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899B5" w14:textId="77777777" w:rsidR="00D76CDF" w:rsidRPr="003E7AB7" w:rsidRDefault="00D76CDF" w:rsidP="00FB6849">
      <w:pPr>
        <w:rPr>
          <w:b/>
          <w:color w:val="0F2B52" w:themeColor="accent2" w:themeShade="BF"/>
          <w:sz w:val="32"/>
          <w:szCs w:val="32"/>
          <w:lang w:val="en-GB"/>
        </w:rPr>
        <w:sectPr w:rsidR="00D76CDF" w:rsidRPr="003E7AB7" w:rsidSect="00D76CDF">
          <w:headerReference w:type="default" r:id="rId11"/>
          <w:footerReference w:type="default" r:id="rId12"/>
          <w:headerReference w:type="first" r:id="rId13"/>
          <w:endnotePr>
            <w:numFmt w:val="decimal"/>
          </w:endnotePr>
          <w:pgSz w:w="11906" w:h="16838"/>
          <w:pgMar w:top="1134" w:right="1134" w:bottom="1134" w:left="1134" w:header="709" w:footer="709" w:gutter="0"/>
          <w:cols w:space="708"/>
          <w:titlePg/>
          <w:docGrid w:linePitch="360"/>
        </w:sectPr>
      </w:pPr>
    </w:p>
    <w:p w14:paraId="195B1181" w14:textId="0F1EFD9C" w:rsidR="00AA1D5D" w:rsidRPr="00E8461E" w:rsidRDefault="00121D1D" w:rsidP="003C2724">
      <w:pPr>
        <w:pStyle w:val="TOCHeading"/>
      </w:pPr>
      <w:r w:rsidRPr="00E8461E">
        <w:lastRenderedPageBreak/>
        <w:t>National Health and Climate Strategy</w:t>
      </w:r>
    </w:p>
    <w:p w14:paraId="559F6856" w14:textId="77777777" w:rsidR="003C2724" w:rsidRPr="00E8461E" w:rsidRDefault="003C2724" w:rsidP="003C2724">
      <w:pPr>
        <w:spacing w:after="0"/>
        <w:rPr>
          <w:rFonts w:cs="Arial"/>
          <w:b/>
          <w:bCs/>
          <w:sz w:val="18"/>
          <w:szCs w:val="18"/>
        </w:rPr>
      </w:pPr>
      <w:r w:rsidRPr="00E8461E">
        <w:rPr>
          <w:rFonts w:cs="Arial"/>
          <w:b/>
          <w:bCs/>
          <w:sz w:val="18"/>
          <w:szCs w:val="18"/>
        </w:rPr>
        <w:t>Front Cover</w:t>
      </w:r>
    </w:p>
    <w:p w14:paraId="5F729A36" w14:textId="77777777" w:rsidR="003C2724" w:rsidRPr="00E8461E" w:rsidRDefault="003C2724" w:rsidP="003C2724">
      <w:pPr>
        <w:spacing w:after="0"/>
        <w:rPr>
          <w:rFonts w:cstheme="minorHAnsi"/>
          <w:sz w:val="18"/>
          <w:szCs w:val="18"/>
        </w:rPr>
      </w:pPr>
      <w:r w:rsidRPr="00E8461E">
        <w:rPr>
          <w:rStyle w:val="Strong"/>
          <w:rFonts w:cstheme="minorHAnsi"/>
          <w:b w:val="0"/>
          <w:bCs w:val="0"/>
          <w:sz w:val="18"/>
          <w:szCs w:val="18"/>
          <w:shd w:val="clear" w:color="auto" w:fill="FFFFFF"/>
        </w:rPr>
        <w:t>Kati Thanda</w:t>
      </w:r>
      <w:r w:rsidRPr="00E8461E">
        <w:rPr>
          <w:rFonts w:cstheme="minorHAnsi"/>
          <w:b/>
          <w:bCs/>
          <w:sz w:val="18"/>
          <w:szCs w:val="18"/>
          <w:shd w:val="clear" w:color="auto" w:fill="FFFFFF"/>
        </w:rPr>
        <w:t>–</w:t>
      </w:r>
      <w:r w:rsidRPr="00E8461E">
        <w:rPr>
          <w:rStyle w:val="Strong"/>
          <w:rFonts w:cstheme="minorHAnsi"/>
          <w:b w:val="0"/>
          <w:bCs w:val="0"/>
          <w:sz w:val="18"/>
          <w:szCs w:val="18"/>
          <w:shd w:val="clear" w:color="auto" w:fill="FFFFFF"/>
        </w:rPr>
        <w:t>Lake Eyr</w:t>
      </w:r>
      <w:r w:rsidRPr="000F6772">
        <w:rPr>
          <w:rFonts w:cstheme="minorHAnsi"/>
          <w:sz w:val="18"/>
          <w:szCs w:val="18"/>
        </w:rPr>
        <w:t>e</w:t>
      </w:r>
      <w:r w:rsidRPr="00E8461E">
        <w:rPr>
          <w:rFonts w:cstheme="minorHAnsi"/>
          <w:b/>
          <w:bCs/>
          <w:sz w:val="18"/>
          <w:szCs w:val="18"/>
        </w:rPr>
        <w:t>,</w:t>
      </w:r>
      <w:r w:rsidRPr="00E8461E">
        <w:rPr>
          <w:rFonts w:cstheme="minorHAnsi"/>
          <w:sz w:val="18"/>
          <w:szCs w:val="18"/>
        </w:rPr>
        <w:t xml:space="preserve"> Maree, South Australia, Australia</w:t>
      </w:r>
    </w:p>
    <w:p w14:paraId="4A92E3D5" w14:textId="77777777" w:rsidR="003C2724" w:rsidRPr="00E8461E" w:rsidRDefault="003C2724" w:rsidP="003C2724">
      <w:pPr>
        <w:spacing w:after="120"/>
        <w:rPr>
          <w:rFonts w:cstheme="minorHAnsi"/>
          <w:sz w:val="18"/>
          <w:szCs w:val="18"/>
        </w:rPr>
      </w:pPr>
      <w:r w:rsidRPr="00E8461E">
        <w:rPr>
          <w:rFonts w:cstheme="minorHAnsi"/>
          <w:sz w:val="18"/>
          <w:szCs w:val="18"/>
        </w:rPr>
        <w:t>Credit: Ignacio Palacios</w:t>
      </w:r>
    </w:p>
    <w:p w14:paraId="003B3089" w14:textId="77777777" w:rsidR="003C2724" w:rsidRPr="00E8461E" w:rsidRDefault="003C2724" w:rsidP="003C2724">
      <w:pPr>
        <w:spacing w:after="0"/>
        <w:rPr>
          <w:rFonts w:cstheme="minorHAnsi"/>
          <w:b/>
          <w:bCs/>
          <w:sz w:val="18"/>
          <w:szCs w:val="18"/>
        </w:rPr>
      </w:pPr>
      <w:r w:rsidRPr="00E8461E">
        <w:rPr>
          <w:rFonts w:cstheme="minorHAnsi"/>
          <w:b/>
          <w:bCs/>
          <w:sz w:val="18"/>
          <w:szCs w:val="18"/>
        </w:rPr>
        <w:t xml:space="preserve">Acknowledgements </w:t>
      </w:r>
    </w:p>
    <w:p w14:paraId="79C19630" w14:textId="77777777" w:rsidR="003C2724" w:rsidRPr="00E8461E" w:rsidRDefault="003C2724" w:rsidP="003C2724">
      <w:pPr>
        <w:spacing w:after="120"/>
        <w:rPr>
          <w:rFonts w:cstheme="minorHAnsi"/>
          <w:sz w:val="18"/>
          <w:szCs w:val="18"/>
        </w:rPr>
      </w:pPr>
      <w:r w:rsidRPr="00E8461E">
        <w:rPr>
          <w:rFonts w:cstheme="minorHAnsi"/>
          <w:sz w:val="18"/>
          <w:szCs w:val="18"/>
        </w:rPr>
        <w:t>Many individuals and organisations have given their time and expertise to the development of the National Health and Climate Strategy. The Chief Medical Officer's Advisory Group, composed of Australian experts in health and climate change, has guided its development. The Department of Health and Aged Care would also like to acknowledge the contributions of colleagues in all state and territory health departments, including through the Climate and Health State and Territory Network, the Healthy Environments and Lives Network, and other experts and practitioners from across the country and worldwide.</w:t>
      </w:r>
    </w:p>
    <w:p w14:paraId="12ABA5E7" w14:textId="77777777" w:rsidR="003C2724" w:rsidRPr="00E8461E" w:rsidRDefault="003C2724" w:rsidP="003C2724">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cstheme="minorHAnsi"/>
          <w:b/>
          <w:bCs/>
          <w:sz w:val="18"/>
          <w:szCs w:val="18"/>
          <w:lang w:val="en-US"/>
        </w:rPr>
      </w:pPr>
      <w:r w:rsidRPr="00E8461E">
        <w:rPr>
          <w:rFonts w:cstheme="minorHAnsi"/>
          <w:b/>
          <w:bCs/>
          <w:sz w:val="18"/>
          <w:szCs w:val="18"/>
          <w:lang w:val="en-US"/>
        </w:rPr>
        <w:t xml:space="preserve">Acknowledgement of Country </w:t>
      </w:r>
    </w:p>
    <w:p w14:paraId="5E085786" w14:textId="77777777" w:rsidR="003C2724" w:rsidRPr="00E8461E" w:rsidRDefault="003C2724" w:rsidP="003C2724">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cstheme="minorHAnsi"/>
          <w:b/>
          <w:bCs/>
          <w:sz w:val="18"/>
          <w:szCs w:val="18"/>
          <w:lang w:val="en-US"/>
        </w:rPr>
      </w:pPr>
      <w:r w:rsidRPr="00E8461E">
        <w:rPr>
          <w:rFonts w:cstheme="minorHAnsi"/>
          <w:color w:val="000000"/>
          <w:sz w:val="18"/>
          <w:szCs w:val="18"/>
        </w:rPr>
        <w:t xml:space="preserve">The Australian Government acknowledges the Traditional Owners of Country throughout Australia, and their continuing connection to land, </w:t>
      </w:r>
      <w:proofErr w:type="gramStart"/>
      <w:r w:rsidRPr="00E8461E">
        <w:rPr>
          <w:rFonts w:cstheme="minorHAnsi"/>
          <w:color w:val="000000"/>
          <w:sz w:val="18"/>
          <w:szCs w:val="18"/>
        </w:rPr>
        <w:t>sea</w:t>
      </w:r>
      <w:proofErr w:type="gramEnd"/>
      <w:r w:rsidRPr="00E8461E">
        <w:rPr>
          <w:rFonts w:cstheme="minorHAnsi"/>
          <w:color w:val="000000"/>
          <w:sz w:val="18"/>
          <w:szCs w:val="18"/>
        </w:rPr>
        <w:t xml:space="preserve"> and community. We pay our respects to them and their cultures, and to Elders both past and present.</w:t>
      </w:r>
    </w:p>
    <w:p w14:paraId="011289E6" w14:textId="77777777" w:rsidR="003C2724" w:rsidRPr="00E8461E" w:rsidRDefault="003C2724" w:rsidP="003C2724">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cstheme="minorHAnsi"/>
          <w:b/>
          <w:bCs/>
          <w:sz w:val="18"/>
          <w:szCs w:val="18"/>
          <w:lang w:val="en-US"/>
        </w:rPr>
      </w:pPr>
      <w:r w:rsidRPr="00E8461E">
        <w:rPr>
          <w:rFonts w:cstheme="minorHAnsi"/>
          <w:b/>
          <w:bCs/>
          <w:sz w:val="18"/>
          <w:szCs w:val="18"/>
          <w:lang w:val="en-US"/>
        </w:rPr>
        <w:t xml:space="preserve">Cultural Advice </w:t>
      </w:r>
    </w:p>
    <w:p w14:paraId="3F40E458" w14:textId="77777777" w:rsidR="003C2724" w:rsidRPr="00E8461E" w:rsidRDefault="003C2724" w:rsidP="003C2724">
      <w:pPr>
        <w:spacing w:after="120"/>
        <w:rPr>
          <w:rFonts w:cstheme="minorHAnsi"/>
          <w:sz w:val="18"/>
          <w:szCs w:val="18"/>
        </w:rPr>
      </w:pPr>
      <w:r w:rsidRPr="00E8461E">
        <w:rPr>
          <w:rFonts w:cstheme="minorHAnsi"/>
          <w:sz w:val="18"/>
          <w:szCs w:val="18"/>
        </w:rPr>
        <w:t>Please be aware this document may contain images, quotes and names of people who may have passed away.</w:t>
      </w:r>
    </w:p>
    <w:p w14:paraId="3784C8C1" w14:textId="77777777" w:rsidR="003C2724" w:rsidRPr="00E8461E" w:rsidRDefault="003C2724" w:rsidP="003C2724">
      <w:pPr>
        <w:spacing w:after="120"/>
        <w:rPr>
          <w:rFonts w:cstheme="minorHAnsi"/>
          <w:sz w:val="18"/>
          <w:szCs w:val="18"/>
        </w:rPr>
      </w:pPr>
    </w:p>
    <w:p w14:paraId="7C166FAC" w14:textId="77777777" w:rsidR="003C2724" w:rsidRPr="00E8461E" w:rsidRDefault="003C2724" w:rsidP="003C2724">
      <w:pPr>
        <w:spacing w:after="120"/>
        <w:rPr>
          <w:rFonts w:cstheme="minorHAnsi"/>
          <w:sz w:val="16"/>
          <w:szCs w:val="16"/>
        </w:rPr>
      </w:pPr>
      <w:r w:rsidRPr="00E8461E">
        <w:rPr>
          <w:rFonts w:cstheme="minorHAnsi"/>
          <w:sz w:val="16"/>
          <w:szCs w:val="16"/>
        </w:rPr>
        <w:t>© Commonwealth of Australia as represented by the Department of Health and Aged Care 2023</w:t>
      </w:r>
    </w:p>
    <w:p w14:paraId="03C71858" w14:textId="77777777" w:rsidR="003C2724" w:rsidRPr="00E8461E" w:rsidRDefault="003C2724" w:rsidP="003C2724">
      <w:pPr>
        <w:pBdr>
          <w:top w:val="single" w:sz="4" w:space="1" w:color="auto"/>
          <w:bottom w:val="single" w:sz="4" w:space="1" w:color="auto"/>
        </w:pBdr>
        <w:rPr>
          <w:rFonts w:cstheme="minorHAnsi"/>
          <w:sz w:val="16"/>
          <w:szCs w:val="16"/>
        </w:rPr>
      </w:pPr>
      <w:r w:rsidRPr="00E8461E">
        <w:rPr>
          <w:rFonts w:cstheme="minorHAnsi"/>
          <w:sz w:val="16"/>
          <w:szCs w:val="16"/>
        </w:rPr>
        <w:t>Title: National Health and Climate Strategy</w:t>
      </w:r>
    </w:p>
    <w:p w14:paraId="07FD8904" w14:textId="1DCCECEC" w:rsidR="003C2724" w:rsidRPr="00E8461E" w:rsidRDefault="00B75924" w:rsidP="003C2724">
      <w:pPr>
        <w:pBdr>
          <w:top w:val="single" w:sz="4" w:space="1" w:color="auto"/>
          <w:bottom w:val="single" w:sz="4" w:space="1" w:color="auto"/>
        </w:pBdr>
        <w:rPr>
          <w:rFonts w:cstheme="minorHAnsi"/>
          <w:sz w:val="16"/>
          <w:szCs w:val="16"/>
        </w:rPr>
      </w:pPr>
      <w:r w:rsidRPr="00E8461E">
        <w:rPr>
          <w:rFonts w:cstheme="minorHAnsi"/>
          <w:sz w:val="16"/>
          <w:szCs w:val="16"/>
        </w:rPr>
        <w:t>Online ISBN: 978-1-74186-001-6</w:t>
      </w:r>
    </w:p>
    <w:p w14:paraId="141B0248" w14:textId="77777777" w:rsidR="003C2724" w:rsidRPr="00E8461E" w:rsidRDefault="003C2724" w:rsidP="003C2724">
      <w:pPr>
        <w:spacing w:after="0"/>
        <w:rPr>
          <w:rFonts w:cstheme="minorHAnsi"/>
          <w:b/>
          <w:sz w:val="18"/>
          <w:szCs w:val="18"/>
        </w:rPr>
      </w:pPr>
      <w:r w:rsidRPr="00E8461E">
        <w:rPr>
          <w:rFonts w:cstheme="minorHAnsi"/>
          <w:b/>
          <w:sz w:val="18"/>
          <w:szCs w:val="18"/>
        </w:rPr>
        <w:t>Creative Commons Licence</w:t>
      </w:r>
    </w:p>
    <w:p w14:paraId="6B3342F2" w14:textId="77777777" w:rsidR="003C2724" w:rsidRPr="00E8461E" w:rsidRDefault="003C2724" w:rsidP="003C2724">
      <w:pPr>
        <w:spacing w:after="0"/>
        <w:rPr>
          <w:rFonts w:cstheme="minorHAnsi"/>
          <w:sz w:val="18"/>
          <w:szCs w:val="18"/>
        </w:rPr>
      </w:pPr>
      <w:r w:rsidRPr="00E8461E">
        <w:rPr>
          <w:rFonts w:cstheme="minorHAnsi"/>
          <w:noProof/>
          <w:sz w:val="18"/>
          <w:szCs w:val="18"/>
        </w:rPr>
        <w:drawing>
          <wp:inline distT="0" distB="0" distL="0" distR="0" wp14:anchorId="142114E3" wp14:editId="542B0A2D">
            <wp:extent cx="1026160" cy="356870"/>
            <wp:effectExtent l="0" t="0" r="2540" b="5080"/>
            <wp:docPr id="5" name="Picture 5"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289C1FFF" w14:textId="77777777" w:rsidR="003C2724" w:rsidRPr="00E8461E" w:rsidRDefault="003C2724" w:rsidP="003C2724">
      <w:pPr>
        <w:autoSpaceDE w:val="0"/>
        <w:autoSpaceDN w:val="0"/>
        <w:spacing w:before="240" w:after="120" w:line="181" w:lineRule="atLeast"/>
        <w:rPr>
          <w:rFonts w:cstheme="minorHAnsi"/>
          <w:sz w:val="18"/>
          <w:szCs w:val="18"/>
        </w:rPr>
      </w:pPr>
      <w:r w:rsidRPr="00E8461E">
        <w:rPr>
          <w:rFonts w:cstheme="minorHAnsi"/>
          <w:sz w:val="18"/>
          <w:szCs w:val="18"/>
        </w:rPr>
        <w:t xml:space="preserve">This publication is licensed under the Creative Commons Attribution 4.0 International Public License available from </w:t>
      </w:r>
      <w:hyperlink r:id="rId16" w:history="1">
        <w:r w:rsidRPr="00E8461E">
          <w:rPr>
            <w:rStyle w:val="Hyperlink"/>
            <w:rFonts w:cstheme="minorHAnsi"/>
            <w:sz w:val="18"/>
            <w:szCs w:val="18"/>
          </w:rPr>
          <w:t>https://creativecommons.org/licenses/by/4.0/legalcode</w:t>
        </w:r>
      </w:hyperlink>
      <w:r w:rsidRPr="00E8461E">
        <w:rPr>
          <w:rStyle w:val="Hyperlink"/>
          <w:rFonts w:cstheme="minorHAnsi"/>
          <w:sz w:val="18"/>
          <w:szCs w:val="18"/>
        </w:rPr>
        <w:t xml:space="preserve"> </w:t>
      </w:r>
      <w:r w:rsidRPr="00E8461E">
        <w:rPr>
          <w:rFonts w:cstheme="minorHAnsi"/>
          <w:sz w:val="18"/>
          <w:szCs w:val="18"/>
        </w:rPr>
        <w:t xml:space="preserve">(“Licence”). You must read and understand the Licence before using any material from this publication. </w:t>
      </w:r>
    </w:p>
    <w:p w14:paraId="08844AA3" w14:textId="77777777" w:rsidR="003C2724" w:rsidRPr="00E8461E" w:rsidRDefault="003C2724" w:rsidP="003C2724">
      <w:pPr>
        <w:autoSpaceDE w:val="0"/>
        <w:autoSpaceDN w:val="0"/>
        <w:spacing w:before="100" w:after="0"/>
        <w:rPr>
          <w:rFonts w:cstheme="minorHAnsi"/>
          <w:b/>
          <w:bCs/>
          <w:sz w:val="18"/>
          <w:szCs w:val="18"/>
        </w:rPr>
      </w:pPr>
      <w:r w:rsidRPr="00E8461E">
        <w:rPr>
          <w:rFonts w:cstheme="minorHAnsi"/>
          <w:b/>
          <w:bCs/>
          <w:sz w:val="18"/>
          <w:szCs w:val="18"/>
        </w:rPr>
        <w:t>Restrictions</w:t>
      </w:r>
    </w:p>
    <w:p w14:paraId="56301040" w14:textId="77777777" w:rsidR="003C2724" w:rsidRPr="00E8461E" w:rsidRDefault="003C2724" w:rsidP="003C2724">
      <w:pPr>
        <w:autoSpaceDE w:val="0"/>
        <w:autoSpaceDN w:val="0"/>
        <w:spacing w:after="0"/>
        <w:rPr>
          <w:rFonts w:cstheme="minorHAnsi"/>
          <w:sz w:val="18"/>
          <w:szCs w:val="18"/>
        </w:rPr>
      </w:pPr>
      <w:r w:rsidRPr="00E8461E">
        <w:rPr>
          <w:rFonts w:cstheme="minorHAnsi"/>
          <w:sz w:val="18"/>
          <w:szCs w:val="18"/>
        </w:rPr>
        <w:t xml:space="preserve">The Licence may not give you all the permissions necessary for your intended use. For example, other rights (such as publicity, </w:t>
      </w:r>
      <w:proofErr w:type="gramStart"/>
      <w:r w:rsidRPr="00E8461E">
        <w:rPr>
          <w:rFonts w:cstheme="minorHAnsi"/>
          <w:sz w:val="18"/>
          <w:szCs w:val="18"/>
        </w:rPr>
        <w:t>privacy</w:t>
      </w:r>
      <w:proofErr w:type="gramEnd"/>
      <w:r w:rsidRPr="00E8461E">
        <w:rPr>
          <w:rFonts w:cstheme="minorHAnsi"/>
          <w:sz w:val="18"/>
          <w:szCs w:val="18"/>
        </w:rPr>
        <w:t xml:space="preserve"> and moral rights) may limit how you use the material found in this publication. </w:t>
      </w:r>
    </w:p>
    <w:p w14:paraId="0CEC5A91" w14:textId="77777777" w:rsidR="003C2724" w:rsidRPr="00E8461E" w:rsidRDefault="003C2724" w:rsidP="003C2724">
      <w:pPr>
        <w:autoSpaceDE w:val="0"/>
        <w:autoSpaceDN w:val="0"/>
        <w:spacing w:after="0"/>
        <w:rPr>
          <w:rFonts w:cstheme="minorHAnsi"/>
          <w:sz w:val="18"/>
          <w:szCs w:val="18"/>
        </w:rPr>
      </w:pPr>
      <w:r w:rsidRPr="00E8461E">
        <w:rPr>
          <w:rFonts w:cstheme="minorHAnsi"/>
          <w:sz w:val="18"/>
          <w:szCs w:val="18"/>
        </w:rPr>
        <w:t xml:space="preserve">The Licence does not cover, and there is no permission given for, use of any of the following material found in this publication: </w:t>
      </w:r>
    </w:p>
    <w:p w14:paraId="625B350E" w14:textId="77777777" w:rsidR="003C2724" w:rsidRPr="00E8461E" w:rsidRDefault="003C2724" w:rsidP="0065729E">
      <w:pPr>
        <w:pStyle w:val="ListParagraph"/>
        <w:numPr>
          <w:ilvl w:val="0"/>
          <w:numId w:val="8"/>
        </w:numPr>
        <w:spacing w:after="0" w:line="240" w:lineRule="auto"/>
        <w:rPr>
          <w:rFonts w:cstheme="minorHAnsi"/>
          <w:sz w:val="18"/>
          <w:szCs w:val="16"/>
        </w:rPr>
      </w:pPr>
      <w:r w:rsidRPr="00E8461E">
        <w:rPr>
          <w:rFonts w:cstheme="minorHAnsi"/>
          <w:sz w:val="18"/>
          <w:szCs w:val="16"/>
        </w:rPr>
        <w:t>the Commonwealth Coat of Arms. (</w:t>
      </w:r>
      <w:proofErr w:type="gramStart"/>
      <w:r w:rsidRPr="00E8461E">
        <w:rPr>
          <w:rFonts w:cstheme="minorHAnsi"/>
          <w:sz w:val="18"/>
          <w:szCs w:val="16"/>
        </w:rPr>
        <w:t>by</w:t>
      </w:r>
      <w:proofErr w:type="gramEnd"/>
      <w:r w:rsidRPr="00E8461E">
        <w:rPr>
          <w:rFonts w:cstheme="minorHAnsi"/>
          <w:sz w:val="18"/>
          <w:szCs w:val="16"/>
        </w:rPr>
        <w:t xml:space="preserve"> way of information, the terms under which the Coat of Arms may be used can be found on the Department of Prime Minister and Cabinet website </w:t>
      </w:r>
      <w:r w:rsidRPr="00E8461E">
        <w:rPr>
          <w:rStyle w:val="Hyperlink"/>
          <w:rFonts w:cstheme="minorHAnsi"/>
          <w:sz w:val="18"/>
          <w:szCs w:val="16"/>
          <w:lang w:eastAsia="en-AU"/>
        </w:rPr>
        <w:t>http://www.dpmc.gov.au/government/commonwealth-coat-arms</w:t>
      </w:r>
      <w:r w:rsidRPr="00E8461E">
        <w:rPr>
          <w:rFonts w:cstheme="minorHAnsi"/>
          <w:sz w:val="18"/>
          <w:szCs w:val="16"/>
        </w:rPr>
        <w:t>);</w:t>
      </w:r>
    </w:p>
    <w:p w14:paraId="600F45C2" w14:textId="77777777" w:rsidR="003C2724" w:rsidRPr="00E8461E" w:rsidRDefault="003C2724" w:rsidP="0065729E">
      <w:pPr>
        <w:pStyle w:val="ListParagraph"/>
        <w:numPr>
          <w:ilvl w:val="0"/>
          <w:numId w:val="8"/>
        </w:numPr>
        <w:spacing w:after="0" w:line="240" w:lineRule="auto"/>
        <w:rPr>
          <w:rFonts w:cstheme="minorHAnsi"/>
          <w:sz w:val="18"/>
          <w:szCs w:val="16"/>
        </w:rPr>
      </w:pPr>
      <w:r w:rsidRPr="00E8461E">
        <w:rPr>
          <w:rFonts w:cstheme="minorHAnsi"/>
          <w:sz w:val="18"/>
          <w:szCs w:val="16"/>
        </w:rPr>
        <w:t xml:space="preserve">any logos and </w:t>
      </w:r>
      <w:proofErr w:type="gramStart"/>
      <w:r w:rsidRPr="00E8461E">
        <w:rPr>
          <w:rFonts w:cstheme="minorHAnsi"/>
          <w:sz w:val="18"/>
          <w:szCs w:val="16"/>
        </w:rPr>
        <w:t>trademarks;</w:t>
      </w:r>
      <w:proofErr w:type="gramEnd"/>
    </w:p>
    <w:p w14:paraId="44F3FDFD" w14:textId="77777777" w:rsidR="003C2724" w:rsidRPr="00E8461E" w:rsidRDefault="003C2724" w:rsidP="0065729E">
      <w:pPr>
        <w:pStyle w:val="ListParagraph"/>
        <w:numPr>
          <w:ilvl w:val="0"/>
          <w:numId w:val="8"/>
        </w:numPr>
        <w:spacing w:after="0" w:line="240" w:lineRule="auto"/>
        <w:rPr>
          <w:rFonts w:cstheme="minorHAnsi"/>
          <w:sz w:val="18"/>
          <w:szCs w:val="16"/>
        </w:rPr>
      </w:pPr>
      <w:r w:rsidRPr="00E8461E">
        <w:rPr>
          <w:rFonts w:cstheme="minorHAnsi"/>
          <w:sz w:val="18"/>
          <w:szCs w:val="16"/>
        </w:rPr>
        <w:t xml:space="preserve">any photographs and </w:t>
      </w:r>
      <w:proofErr w:type="gramStart"/>
      <w:r w:rsidRPr="00E8461E">
        <w:rPr>
          <w:rFonts w:cstheme="minorHAnsi"/>
          <w:sz w:val="18"/>
          <w:szCs w:val="16"/>
        </w:rPr>
        <w:t>images;</w:t>
      </w:r>
      <w:proofErr w:type="gramEnd"/>
      <w:r w:rsidRPr="00E8461E">
        <w:rPr>
          <w:rFonts w:cstheme="minorHAnsi"/>
          <w:sz w:val="18"/>
          <w:szCs w:val="16"/>
        </w:rPr>
        <w:t xml:space="preserve"> </w:t>
      </w:r>
    </w:p>
    <w:p w14:paraId="5F63BCEF" w14:textId="77777777" w:rsidR="003C2724" w:rsidRPr="00E8461E" w:rsidRDefault="003C2724" w:rsidP="0065729E">
      <w:pPr>
        <w:pStyle w:val="ListParagraph"/>
        <w:numPr>
          <w:ilvl w:val="0"/>
          <w:numId w:val="8"/>
        </w:numPr>
        <w:spacing w:after="0" w:line="240" w:lineRule="auto"/>
        <w:rPr>
          <w:rFonts w:cstheme="minorHAnsi"/>
          <w:sz w:val="18"/>
          <w:szCs w:val="16"/>
        </w:rPr>
      </w:pPr>
      <w:r w:rsidRPr="00E8461E">
        <w:rPr>
          <w:rFonts w:cstheme="minorHAnsi"/>
          <w:sz w:val="18"/>
          <w:szCs w:val="16"/>
        </w:rPr>
        <w:t>any signatures; and</w:t>
      </w:r>
    </w:p>
    <w:p w14:paraId="004A4803" w14:textId="08469980" w:rsidR="003C2724" w:rsidRPr="00E8461E" w:rsidRDefault="003C2724" w:rsidP="0065729E">
      <w:pPr>
        <w:pStyle w:val="ListParagraph"/>
        <w:numPr>
          <w:ilvl w:val="0"/>
          <w:numId w:val="8"/>
        </w:numPr>
        <w:spacing w:line="240" w:lineRule="auto"/>
        <w:rPr>
          <w:rFonts w:cstheme="minorHAnsi"/>
          <w:sz w:val="18"/>
          <w:szCs w:val="18"/>
        </w:rPr>
      </w:pPr>
      <w:r w:rsidRPr="00E8461E">
        <w:rPr>
          <w:rFonts w:cstheme="minorHAnsi"/>
          <w:sz w:val="18"/>
          <w:szCs w:val="18"/>
        </w:rPr>
        <w:t>any material belonging to third parties.</w:t>
      </w:r>
    </w:p>
    <w:p w14:paraId="3CB94726" w14:textId="77777777" w:rsidR="003C2724" w:rsidRPr="00E8461E" w:rsidRDefault="003C2724" w:rsidP="003C2724">
      <w:pPr>
        <w:autoSpaceDE w:val="0"/>
        <w:autoSpaceDN w:val="0"/>
        <w:spacing w:after="0"/>
        <w:ind w:right="-765"/>
        <w:rPr>
          <w:rFonts w:cstheme="minorHAnsi"/>
          <w:sz w:val="18"/>
          <w:szCs w:val="18"/>
        </w:rPr>
      </w:pPr>
      <w:r w:rsidRPr="00E8461E">
        <w:rPr>
          <w:rFonts w:cstheme="minorHAnsi"/>
          <w:b/>
          <w:bCs/>
          <w:sz w:val="18"/>
          <w:szCs w:val="18"/>
        </w:rPr>
        <w:t>Attribution</w:t>
      </w:r>
    </w:p>
    <w:p w14:paraId="2AEB4F27" w14:textId="77777777" w:rsidR="003C2724" w:rsidRPr="00E8461E" w:rsidRDefault="003C2724" w:rsidP="003C2724">
      <w:pPr>
        <w:autoSpaceDE w:val="0"/>
        <w:autoSpaceDN w:val="0"/>
        <w:spacing w:after="0"/>
        <w:ind w:right="-765"/>
        <w:rPr>
          <w:rFonts w:cstheme="minorHAnsi"/>
          <w:sz w:val="18"/>
          <w:szCs w:val="18"/>
        </w:rPr>
      </w:pPr>
      <w:r w:rsidRPr="00E8461E">
        <w:rPr>
          <w:rFonts w:cstheme="minorHAnsi"/>
          <w:sz w:val="18"/>
          <w:szCs w:val="18"/>
        </w:rPr>
        <w:t xml:space="preserve">Without limiting your obligations under the Licence, the Department of </w:t>
      </w:r>
      <w:proofErr w:type="gramStart"/>
      <w:r w:rsidRPr="00E8461E">
        <w:rPr>
          <w:rFonts w:cstheme="minorHAnsi"/>
          <w:sz w:val="18"/>
          <w:szCs w:val="18"/>
        </w:rPr>
        <w:t>Health</w:t>
      </w:r>
      <w:proofErr w:type="gramEnd"/>
      <w:r w:rsidRPr="00E8461E">
        <w:rPr>
          <w:rFonts w:cstheme="minorHAnsi"/>
          <w:sz w:val="18"/>
          <w:szCs w:val="18"/>
        </w:rPr>
        <w:t xml:space="preserve"> and Aged Care requests that you attribute this publication in your work. Any reasonable form of words may be used </w:t>
      </w:r>
      <w:proofErr w:type="gramStart"/>
      <w:r w:rsidRPr="00E8461E">
        <w:rPr>
          <w:rFonts w:cstheme="minorHAnsi"/>
          <w:sz w:val="18"/>
          <w:szCs w:val="18"/>
        </w:rPr>
        <w:t>provided that</w:t>
      </w:r>
      <w:proofErr w:type="gramEnd"/>
      <w:r w:rsidRPr="00E8461E">
        <w:rPr>
          <w:rFonts w:cstheme="minorHAnsi"/>
          <w:sz w:val="18"/>
          <w:szCs w:val="18"/>
        </w:rPr>
        <w:t xml:space="preserve"> you:</w:t>
      </w:r>
    </w:p>
    <w:p w14:paraId="204864EF" w14:textId="77777777" w:rsidR="003C2724" w:rsidRPr="00E8461E" w:rsidRDefault="003C2724" w:rsidP="0065729E">
      <w:pPr>
        <w:pStyle w:val="BulletUnindented"/>
        <w:rPr>
          <w:sz w:val="18"/>
          <w:szCs w:val="18"/>
        </w:rPr>
      </w:pPr>
      <w:r w:rsidRPr="00E8461E">
        <w:rPr>
          <w:sz w:val="18"/>
          <w:szCs w:val="18"/>
        </w:rPr>
        <w:t xml:space="preserve">include a reference to this publication and </w:t>
      </w:r>
      <w:proofErr w:type="gramStart"/>
      <w:r w:rsidRPr="00E8461E">
        <w:rPr>
          <w:sz w:val="18"/>
          <w:szCs w:val="18"/>
        </w:rPr>
        <w:t>where</w:t>
      </w:r>
      <w:proofErr w:type="gramEnd"/>
      <w:r w:rsidRPr="00E8461E">
        <w:rPr>
          <w:sz w:val="18"/>
          <w:szCs w:val="18"/>
        </w:rPr>
        <w:t xml:space="preserve">, practicable, the relevant page numbers; </w:t>
      </w:r>
    </w:p>
    <w:p w14:paraId="1454EF88" w14:textId="77777777" w:rsidR="003C2724" w:rsidRPr="00E8461E" w:rsidRDefault="003C2724" w:rsidP="0065729E">
      <w:pPr>
        <w:pStyle w:val="BulletUnindented"/>
        <w:rPr>
          <w:sz w:val="18"/>
          <w:szCs w:val="18"/>
        </w:rPr>
      </w:pPr>
      <w:r w:rsidRPr="00E8461E">
        <w:rPr>
          <w:sz w:val="18"/>
          <w:szCs w:val="18"/>
        </w:rPr>
        <w:t xml:space="preserve">make it clear that you have permission to use the material under the Creative Commons Attribution 4.0 International Public </w:t>
      </w:r>
      <w:proofErr w:type="gramStart"/>
      <w:r w:rsidRPr="00E8461E">
        <w:rPr>
          <w:sz w:val="18"/>
          <w:szCs w:val="18"/>
        </w:rPr>
        <w:t>License;</w:t>
      </w:r>
      <w:proofErr w:type="gramEnd"/>
    </w:p>
    <w:p w14:paraId="1975EB8E" w14:textId="77777777" w:rsidR="003C2724" w:rsidRPr="00E8461E" w:rsidRDefault="003C2724" w:rsidP="0065729E">
      <w:pPr>
        <w:pStyle w:val="BulletUnindented"/>
        <w:rPr>
          <w:sz w:val="18"/>
          <w:szCs w:val="18"/>
        </w:rPr>
      </w:pPr>
      <w:r w:rsidRPr="00E8461E">
        <w:rPr>
          <w:sz w:val="18"/>
          <w:szCs w:val="18"/>
        </w:rPr>
        <w:t xml:space="preserve">make it clear whether or not you have changed the material used from this </w:t>
      </w:r>
      <w:proofErr w:type="gramStart"/>
      <w:r w:rsidRPr="00E8461E">
        <w:rPr>
          <w:sz w:val="18"/>
          <w:szCs w:val="18"/>
        </w:rPr>
        <w:t>publication;</w:t>
      </w:r>
      <w:proofErr w:type="gramEnd"/>
      <w:r w:rsidRPr="00E8461E">
        <w:rPr>
          <w:sz w:val="18"/>
          <w:szCs w:val="18"/>
        </w:rPr>
        <w:t xml:space="preserve"> </w:t>
      </w:r>
    </w:p>
    <w:p w14:paraId="5BDA746F" w14:textId="77777777" w:rsidR="003C2724" w:rsidRPr="00E8461E" w:rsidRDefault="003C2724" w:rsidP="0065729E">
      <w:pPr>
        <w:pStyle w:val="BulletUnindented"/>
        <w:rPr>
          <w:sz w:val="18"/>
          <w:szCs w:val="18"/>
        </w:rPr>
      </w:pPr>
      <w:r w:rsidRPr="00E8461E">
        <w:rPr>
          <w:sz w:val="18"/>
          <w:szCs w:val="18"/>
        </w:rPr>
        <w:t>include a copyright notice in relation to the material used. In the case of no change to the material, the words “© Commonwealth of Australia (Department of Health and Aged Care) 2023” may be used. In the case where the material has been changed or adapted, the words: “Based on Commonwealth of Australia (Department of Health and Aged Care) material” may be used; and</w:t>
      </w:r>
    </w:p>
    <w:p w14:paraId="4B84ACF3" w14:textId="6914E124" w:rsidR="003C2724" w:rsidRPr="00E8461E" w:rsidRDefault="003C2724" w:rsidP="0065729E">
      <w:pPr>
        <w:pStyle w:val="BulletUnindented"/>
        <w:rPr>
          <w:sz w:val="18"/>
          <w:szCs w:val="16"/>
        </w:rPr>
      </w:pPr>
      <w:r w:rsidRPr="00E8461E">
        <w:rPr>
          <w:sz w:val="18"/>
          <w:szCs w:val="16"/>
        </w:rPr>
        <w:t>do not suggest that the Department of Health and Aged Care endorses you or your use of the material.</w:t>
      </w:r>
    </w:p>
    <w:p w14:paraId="3BEBC549" w14:textId="77777777" w:rsidR="003C2724" w:rsidRPr="00E8461E" w:rsidRDefault="003C2724" w:rsidP="003C2724">
      <w:pPr>
        <w:spacing w:after="0"/>
        <w:rPr>
          <w:rFonts w:cstheme="minorHAnsi"/>
          <w:b/>
          <w:bCs/>
          <w:sz w:val="18"/>
          <w:szCs w:val="18"/>
        </w:rPr>
      </w:pPr>
      <w:r w:rsidRPr="00E8461E">
        <w:rPr>
          <w:rFonts w:cstheme="minorHAnsi"/>
          <w:b/>
          <w:bCs/>
          <w:sz w:val="18"/>
          <w:szCs w:val="18"/>
        </w:rPr>
        <w:t>Enquiries</w:t>
      </w:r>
    </w:p>
    <w:p w14:paraId="32F3FF8C" w14:textId="7E0C964C" w:rsidR="003C2724" w:rsidRPr="00E8461E" w:rsidRDefault="003C2724" w:rsidP="003C2724">
      <w:pPr>
        <w:rPr>
          <w:rFonts w:cstheme="minorHAnsi"/>
          <w:sz w:val="18"/>
          <w:szCs w:val="18"/>
        </w:rPr>
      </w:pPr>
      <w:r w:rsidRPr="00E8461E">
        <w:rPr>
          <w:rFonts w:cstheme="minorHAnsi"/>
          <w:sz w:val="18"/>
          <w:szCs w:val="18"/>
        </w:rPr>
        <w:t xml:space="preserve">Enquiries regarding any other use of this publication should be addressed to the Branch Manager, Communication Branch, Department of Health and Aged Care, GPO Box 9848, Canberra ACT 2601, or via e-mail to </w:t>
      </w:r>
      <w:hyperlink r:id="rId17" w:history="1">
        <w:r w:rsidRPr="00E8461E">
          <w:rPr>
            <w:rStyle w:val="Hyperlink"/>
            <w:rFonts w:cstheme="minorHAnsi"/>
            <w:sz w:val="18"/>
            <w:szCs w:val="18"/>
          </w:rPr>
          <w:t>copyright@health.gov.au</w:t>
        </w:r>
      </w:hyperlink>
      <w:r w:rsidRPr="00E8461E">
        <w:rPr>
          <w:rStyle w:val="Hyperlink"/>
          <w:rFonts w:cstheme="minorHAnsi"/>
          <w:sz w:val="18"/>
          <w:szCs w:val="18"/>
          <w:u w:val="none"/>
        </w:rPr>
        <w:t>.</w:t>
      </w:r>
    </w:p>
    <w:p w14:paraId="3D1CB56F" w14:textId="77777777" w:rsidR="003C2724" w:rsidRPr="00E8461E" w:rsidRDefault="003C2724" w:rsidP="00D76CDF">
      <w:pPr>
        <w:pStyle w:val="TOCHeading"/>
        <w:sectPr w:rsidR="003C2724" w:rsidRPr="00E8461E" w:rsidSect="003C2724">
          <w:headerReference w:type="first" r:id="rId18"/>
          <w:endnotePr>
            <w:numFmt w:val="decimal"/>
          </w:endnotePr>
          <w:pgSz w:w="11906" w:h="16838"/>
          <w:pgMar w:top="851" w:right="1134" w:bottom="709" w:left="1134" w:header="709" w:footer="709" w:gutter="0"/>
          <w:cols w:space="708"/>
          <w:titlePg/>
          <w:docGrid w:linePitch="360"/>
        </w:sectPr>
      </w:pPr>
    </w:p>
    <w:p w14:paraId="3A88CA9F" w14:textId="2E29916D" w:rsidR="0051737A" w:rsidRPr="00E8461E" w:rsidRDefault="0051737A" w:rsidP="00D76CDF">
      <w:pPr>
        <w:pStyle w:val="TOCHeading"/>
      </w:pPr>
      <w:r w:rsidRPr="00E8461E">
        <w:lastRenderedPageBreak/>
        <w:t>Table of Contents</w:t>
      </w:r>
    </w:p>
    <w:sdt>
      <w:sdtPr>
        <w:rPr>
          <w:b/>
          <w:lang w:val="en-GB"/>
        </w:rPr>
        <w:id w:val="-1961018914"/>
        <w:docPartObj>
          <w:docPartGallery w:val="Table of Contents"/>
          <w:docPartUnique/>
        </w:docPartObj>
      </w:sdtPr>
      <w:sdtEndPr>
        <w:rPr>
          <w:b w:val="0"/>
        </w:rPr>
      </w:sdtEndPr>
      <w:sdtContent>
        <w:p w14:paraId="23A2B709" w14:textId="10B7B20D" w:rsidR="0065729E" w:rsidRPr="00E8461E" w:rsidRDefault="0065729E" w:rsidP="0065729E">
          <w:pPr>
            <w:pStyle w:val="TOC2"/>
            <w:spacing w:after="0"/>
            <w:rPr>
              <w:rFonts w:eastAsiaTheme="minorEastAsia"/>
              <w:noProof/>
              <w:lang w:eastAsia="en-AU"/>
            </w:rPr>
          </w:pPr>
          <w:r w:rsidRPr="00E8461E">
            <w:rPr>
              <w:lang w:val="en-GB"/>
            </w:rPr>
            <w:fldChar w:fldCharType="begin"/>
          </w:r>
          <w:r w:rsidRPr="00E8461E">
            <w:rPr>
              <w:lang w:val="en-GB"/>
            </w:rPr>
            <w:instrText xml:space="preserve"> TOC \o "1-2" \h \z \u </w:instrText>
          </w:r>
          <w:r w:rsidRPr="00E8461E">
            <w:rPr>
              <w:lang w:val="en-GB"/>
            </w:rPr>
            <w:fldChar w:fldCharType="separate"/>
          </w:r>
          <w:hyperlink w:anchor="_Toc151999611" w:history="1">
            <w:r w:rsidRPr="00E8461E">
              <w:rPr>
                <w:rStyle w:val="Hyperlink"/>
                <w:noProof/>
              </w:rPr>
              <w:t>Ministers’ foreword</w:t>
            </w:r>
            <w:r w:rsidRPr="00E8461E">
              <w:rPr>
                <w:noProof/>
                <w:webHidden/>
              </w:rPr>
              <w:tab/>
            </w:r>
            <w:r w:rsidRPr="00E8461E">
              <w:rPr>
                <w:noProof/>
                <w:webHidden/>
              </w:rPr>
              <w:fldChar w:fldCharType="begin"/>
            </w:r>
            <w:r w:rsidRPr="00E8461E">
              <w:rPr>
                <w:noProof/>
                <w:webHidden/>
              </w:rPr>
              <w:instrText xml:space="preserve"> PAGEREF _Toc151999611 \h </w:instrText>
            </w:r>
            <w:r w:rsidRPr="00E8461E">
              <w:rPr>
                <w:noProof/>
                <w:webHidden/>
              </w:rPr>
            </w:r>
            <w:r w:rsidRPr="00E8461E">
              <w:rPr>
                <w:noProof/>
                <w:webHidden/>
              </w:rPr>
              <w:fldChar w:fldCharType="separate"/>
            </w:r>
            <w:r w:rsidR="000F6772">
              <w:rPr>
                <w:noProof/>
                <w:webHidden/>
              </w:rPr>
              <w:t>4</w:t>
            </w:r>
            <w:r w:rsidRPr="00E8461E">
              <w:rPr>
                <w:noProof/>
                <w:webHidden/>
              </w:rPr>
              <w:fldChar w:fldCharType="end"/>
            </w:r>
          </w:hyperlink>
        </w:p>
        <w:p w14:paraId="34548D24" w14:textId="14DB7D3A" w:rsidR="0065729E" w:rsidRPr="00E8461E" w:rsidRDefault="00B07FA8" w:rsidP="0065729E">
          <w:pPr>
            <w:pStyle w:val="TOC2"/>
            <w:spacing w:after="0"/>
            <w:rPr>
              <w:rFonts w:eastAsiaTheme="minorEastAsia"/>
              <w:noProof/>
              <w:lang w:eastAsia="en-AU"/>
            </w:rPr>
          </w:pPr>
          <w:hyperlink w:anchor="_Toc151999612" w:history="1">
            <w:r w:rsidR="0065729E" w:rsidRPr="00E8461E">
              <w:rPr>
                <w:rStyle w:val="Hyperlink"/>
                <w:noProof/>
              </w:rPr>
              <w:t>Executive summary</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_Toc151999612 \h </w:instrText>
            </w:r>
            <w:r w:rsidR="0065729E" w:rsidRPr="00E8461E">
              <w:rPr>
                <w:noProof/>
                <w:webHidden/>
              </w:rPr>
            </w:r>
            <w:r w:rsidR="0065729E" w:rsidRPr="00E8461E">
              <w:rPr>
                <w:noProof/>
                <w:webHidden/>
              </w:rPr>
              <w:fldChar w:fldCharType="separate"/>
            </w:r>
            <w:r w:rsidR="000F6772">
              <w:rPr>
                <w:noProof/>
                <w:webHidden/>
              </w:rPr>
              <w:t>6</w:t>
            </w:r>
            <w:r w:rsidR="0065729E" w:rsidRPr="00E8461E">
              <w:rPr>
                <w:noProof/>
                <w:webHidden/>
              </w:rPr>
              <w:fldChar w:fldCharType="end"/>
            </w:r>
          </w:hyperlink>
        </w:p>
        <w:p w14:paraId="2AB772C0" w14:textId="77598709" w:rsidR="0065729E" w:rsidRPr="00E8461E" w:rsidRDefault="00B07FA8" w:rsidP="0065729E">
          <w:pPr>
            <w:pStyle w:val="TOC1"/>
            <w:rPr>
              <w:rFonts w:eastAsiaTheme="minorEastAsia"/>
              <w:lang w:eastAsia="en-AU"/>
            </w:rPr>
          </w:pPr>
          <w:hyperlink w:anchor="_Toc151999613" w:history="1">
            <w:r w:rsidR="0065729E" w:rsidRPr="00E8461E">
              <w:rPr>
                <w:rStyle w:val="Hyperlink"/>
                <w:color w:val="0A1D37" w:themeColor="accent2" w:themeShade="80"/>
              </w:rPr>
              <w:t>Chapter 1: Why do we need a National Health and Climate Strategy?</w:t>
            </w:r>
            <w:r w:rsidR="0065729E" w:rsidRPr="00E8461E">
              <w:rPr>
                <w:webHidden/>
              </w:rPr>
              <w:tab/>
            </w:r>
            <w:r w:rsidR="0065729E" w:rsidRPr="00E8461E">
              <w:rPr>
                <w:webHidden/>
              </w:rPr>
              <w:fldChar w:fldCharType="begin"/>
            </w:r>
            <w:r w:rsidR="0065729E" w:rsidRPr="00E8461E">
              <w:rPr>
                <w:webHidden/>
              </w:rPr>
              <w:instrText xml:space="preserve"> PAGEREF _Toc151999613 \h </w:instrText>
            </w:r>
            <w:r w:rsidR="0065729E" w:rsidRPr="00E8461E">
              <w:rPr>
                <w:webHidden/>
              </w:rPr>
            </w:r>
            <w:r w:rsidR="0065729E" w:rsidRPr="00E8461E">
              <w:rPr>
                <w:webHidden/>
              </w:rPr>
              <w:fldChar w:fldCharType="separate"/>
            </w:r>
            <w:r w:rsidR="000F6772">
              <w:rPr>
                <w:webHidden/>
              </w:rPr>
              <w:t>8</w:t>
            </w:r>
            <w:r w:rsidR="0065729E" w:rsidRPr="00E8461E">
              <w:rPr>
                <w:webHidden/>
              </w:rPr>
              <w:fldChar w:fldCharType="end"/>
            </w:r>
          </w:hyperlink>
        </w:p>
        <w:p w14:paraId="5AB9ECF7" w14:textId="3C6CF344" w:rsidR="0065729E" w:rsidRPr="00E8461E" w:rsidRDefault="00B07FA8" w:rsidP="0065729E">
          <w:pPr>
            <w:pStyle w:val="TOC1"/>
            <w:rPr>
              <w:rFonts w:eastAsiaTheme="minorEastAsia"/>
              <w:lang w:eastAsia="en-AU"/>
            </w:rPr>
          </w:pPr>
          <w:hyperlink w:anchor="_Toc151999614" w:history="1">
            <w:r w:rsidR="0065729E" w:rsidRPr="00E8461E">
              <w:rPr>
                <w:rStyle w:val="Hyperlink"/>
                <w:color w:val="0A1D37" w:themeColor="accent2" w:themeShade="80"/>
              </w:rPr>
              <w:t>Chapter 2: About the National Health and Climate Strategy</w:t>
            </w:r>
            <w:r w:rsidR="0065729E" w:rsidRPr="00E8461E">
              <w:rPr>
                <w:webHidden/>
              </w:rPr>
              <w:tab/>
            </w:r>
            <w:r w:rsidR="0065729E" w:rsidRPr="00E8461E">
              <w:rPr>
                <w:webHidden/>
              </w:rPr>
              <w:fldChar w:fldCharType="begin"/>
            </w:r>
            <w:r w:rsidR="0065729E" w:rsidRPr="00E8461E">
              <w:rPr>
                <w:webHidden/>
              </w:rPr>
              <w:instrText xml:space="preserve"> PAGEREF _Toc151999614 \h </w:instrText>
            </w:r>
            <w:r w:rsidR="0065729E" w:rsidRPr="00E8461E">
              <w:rPr>
                <w:webHidden/>
              </w:rPr>
            </w:r>
            <w:r w:rsidR="0065729E" w:rsidRPr="00E8461E">
              <w:rPr>
                <w:webHidden/>
              </w:rPr>
              <w:fldChar w:fldCharType="separate"/>
            </w:r>
            <w:r w:rsidR="000F6772">
              <w:rPr>
                <w:webHidden/>
              </w:rPr>
              <w:t>10</w:t>
            </w:r>
            <w:r w:rsidR="0065729E" w:rsidRPr="00E8461E">
              <w:rPr>
                <w:webHidden/>
              </w:rPr>
              <w:fldChar w:fldCharType="end"/>
            </w:r>
          </w:hyperlink>
        </w:p>
        <w:p w14:paraId="29C4A8EE" w14:textId="692BD8A4" w:rsidR="0065729E" w:rsidRPr="00E8461E" w:rsidRDefault="00B07FA8" w:rsidP="0065729E">
          <w:pPr>
            <w:pStyle w:val="TOC2"/>
            <w:spacing w:after="0"/>
            <w:rPr>
              <w:rFonts w:eastAsiaTheme="minorEastAsia"/>
              <w:noProof/>
              <w:lang w:eastAsia="en-AU"/>
            </w:rPr>
          </w:pPr>
          <w:hyperlink w:anchor="_Toc151999615" w:history="1">
            <w:r w:rsidR="0065729E" w:rsidRPr="00E8461E">
              <w:rPr>
                <w:rStyle w:val="Hyperlink"/>
                <w:noProof/>
              </w:rPr>
              <w:t>2.1 Objectives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_Toc151999615 \h </w:instrText>
            </w:r>
            <w:r w:rsidR="0065729E" w:rsidRPr="00E8461E">
              <w:rPr>
                <w:noProof/>
                <w:webHidden/>
              </w:rPr>
            </w:r>
            <w:r w:rsidR="0065729E" w:rsidRPr="00E8461E">
              <w:rPr>
                <w:noProof/>
                <w:webHidden/>
              </w:rPr>
              <w:fldChar w:fldCharType="separate"/>
            </w:r>
            <w:r w:rsidR="000F6772">
              <w:rPr>
                <w:noProof/>
                <w:webHidden/>
              </w:rPr>
              <w:t>12</w:t>
            </w:r>
            <w:r w:rsidR="0065729E" w:rsidRPr="00E8461E">
              <w:rPr>
                <w:noProof/>
                <w:webHidden/>
              </w:rPr>
              <w:fldChar w:fldCharType="end"/>
            </w:r>
          </w:hyperlink>
        </w:p>
        <w:p w14:paraId="78918D32" w14:textId="7CA940F4" w:rsidR="0065729E" w:rsidRPr="00E8461E" w:rsidRDefault="00B07FA8" w:rsidP="0065729E">
          <w:pPr>
            <w:pStyle w:val="TOC2"/>
            <w:spacing w:after="0"/>
            <w:rPr>
              <w:rFonts w:eastAsiaTheme="minorEastAsia"/>
              <w:noProof/>
              <w:lang w:eastAsia="en-AU"/>
            </w:rPr>
          </w:pPr>
          <w:hyperlink w:anchor="_Toc151999616" w:history="1">
            <w:r w:rsidR="0065729E" w:rsidRPr="00E8461E">
              <w:rPr>
                <w:rStyle w:val="Hyperlink"/>
                <w:noProof/>
              </w:rPr>
              <w:t>2.2 Principles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_Toc151999616 \h </w:instrText>
            </w:r>
            <w:r w:rsidR="0065729E" w:rsidRPr="00E8461E">
              <w:rPr>
                <w:noProof/>
                <w:webHidden/>
              </w:rPr>
            </w:r>
            <w:r w:rsidR="0065729E" w:rsidRPr="00E8461E">
              <w:rPr>
                <w:noProof/>
                <w:webHidden/>
              </w:rPr>
              <w:fldChar w:fldCharType="separate"/>
            </w:r>
            <w:r w:rsidR="000F6772">
              <w:rPr>
                <w:noProof/>
                <w:webHidden/>
              </w:rPr>
              <w:t>12</w:t>
            </w:r>
            <w:r w:rsidR="0065729E" w:rsidRPr="00E8461E">
              <w:rPr>
                <w:noProof/>
                <w:webHidden/>
              </w:rPr>
              <w:fldChar w:fldCharType="end"/>
            </w:r>
          </w:hyperlink>
        </w:p>
        <w:p w14:paraId="02E2B619" w14:textId="41722C56" w:rsidR="0065729E" w:rsidRPr="00E8461E" w:rsidRDefault="00B07FA8" w:rsidP="0065729E">
          <w:pPr>
            <w:pStyle w:val="TOC2"/>
            <w:spacing w:after="0"/>
            <w:rPr>
              <w:rFonts w:eastAsiaTheme="minorEastAsia"/>
              <w:noProof/>
              <w:lang w:eastAsia="en-AU"/>
            </w:rPr>
          </w:pPr>
          <w:hyperlink w:anchor="_Toc151999617" w:history="1">
            <w:r w:rsidR="0065729E" w:rsidRPr="00E8461E">
              <w:rPr>
                <w:rStyle w:val="Hyperlink"/>
                <w:noProof/>
              </w:rPr>
              <w:t>2.3 First Nations people and climate change</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_Toc151999617 \h </w:instrText>
            </w:r>
            <w:r w:rsidR="0065729E" w:rsidRPr="00E8461E">
              <w:rPr>
                <w:noProof/>
                <w:webHidden/>
              </w:rPr>
            </w:r>
            <w:r w:rsidR="0065729E" w:rsidRPr="00E8461E">
              <w:rPr>
                <w:noProof/>
                <w:webHidden/>
              </w:rPr>
              <w:fldChar w:fldCharType="separate"/>
            </w:r>
            <w:r w:rsidR="000F6772">
              <w:rPr>
                <w:noProof/>
                <w:webHidden/>
              </w:rPr>
              <w:t>15</w:t>
            </w:r>
            <w:r w:rsidR="0065729E" w:rsidRPr="00E8461E">
              <w:rPr>
                <w:noProof/>
                <w:webHidden/>
              </w:rPr>
              <w:fldChar w:fldCharType="end"/>
            </w:r>
          </w:hyperlink>
        </w:p>
        <w:p w14:paraId="4E70852B" w14:textId="4922DA2C" w:rsidR="0065729E" w:rsidRPr="00E8461E" w:rsidRDefault="00B07FA8" w:rsidP="0065729E">
          <w:pPr>
            <w:pStyle w:val="TOC2"/>
            <w:spacing w:after="0"/>
            <w:rPr>
              <w:rFonts w:eastAsiaTheme="minorEastAsia"/>
              <w:noProof/>
              <w:lang w:eastAsia="en-AU"/>
            </w:rPr>
          </w:pPr>
          <w:hyperlink w:anchor="_Toc151999618" w:history="1">
            <w:r w:rsidR="0065729E" w:rsidRPr="00E8461E">
              <w:rPr>
                <w:rStyle w:val="Hyperlink"/>
                <w:noProof/>
              </w:rPr>
              <w:t>2.4 Priority populations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_Toc151999618 \h </w:instrText>
            </w:r>
            <w:r w:rsidR="0065729E" w:rsidRPr="00E8461E">
              <w:rPr>
                <w:noProof/>
                <w:webHidden/>
              </w:rPr>
            </w:r>
            <w:r w:rsidR="0065729E" w:rsidRPr="00E8461E">
              <w:rPr>
                <w:noProof/>
                <w:webHidden/>
              </w:rPr>
              <w:fldChar w:fldCharType="separate"/>
            </w:r>
            <w:r w:rsidR="000F6772">
              <w:rPr>
                <w:noProof/>
                <w:webHidden/>
              </w:rPr>
              <w:t>16</w:t>
            </w:r>
            <w:r w:rsidR="0065729E" w:rsidRPr="00E8461E">
              <w:rPr>
                <w:noProof/>
                <w:webHidden/>
              </w:rPr>
              <w:fldChar w:fldCharType="end"/>
            </w:r>
          </w:hyperlink>
        </w:p>
        <w:p w14:paraId="4DB1A348" w14:textId="3B41F685" w:rsidR="0065729E" w:rsidRPr="00E8461E" w:rsidRDefault="00B07FA8" w:rsidP="0065729E">
          <w:pPr>
            <w:pStyle w:val="TOC2"/>
            <w:spacing w:after="0"/>
            <w:rPr>
              <w:rFonts w:eastAsiaTheme="minorEastAsia"/>
              <w:noProof/>
              <w:lang w:eastAsia="en-AU"/>
            </w:rPr>
          </w:pPr>
          <w:hyperlink w:anchor="_Toc151999619" w:history="1">
            <w:r w:rsidR="0065729E" w:rsidRPr="00E8461E">
              <w:rPr>
                <w:rStyle w:val="Hyperlink"/>
                <w:noProof/>
              </w:rPr>
              <w:t>2.5 Enablers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_Toc151999619 \h </w:instrText>
            </w:r>
            <w:r w:rsidR="0065729E" w:rsidRPr="00E8461E">
              <w:rPr>
                <w:noProof/>
                <w:webHidden/>
              </w:rPr>
            </w:r>
            <w:r w:rsidR="0065729E" w:rsidRPr="00E8461E">
              <w:rPr>
                <w:noProof/>
                <w:webHidden/>
              </w:rPr>
              <w:fldChar w:fldCharType="separate"/>
            </w:r>
            <w:r w:rsidR="000F6772">
              <w:rPr>
                <w:noProof/>
                <w:webHidden/>
              </w:rPr>
              <w:t>18</w:t>
            </w:r>
            <w:r w:rsidR="0065729E" w:rsidRPr="00E8461E">
              <w:rPr>
                <w:noProof/>
                <w:webHidden/>
              </w:rPr>
              <w:fldChar w:fldCharType="end"/>
            </w:r>
          </w:hyperlink>
        </w:p>
        <w:p w14:paraId="32D1D7C6" w14:textId="2CF6EDAA" w:rsidR="0065729E" w:rsidRPr="00E8461E" w:rsidRDefault="00B07FA8" w:rsidP="0065729E">
          <w:pPr>
            <w:pStyle w:val="TOC2"/>
            <w:spacing w:after="0"/>
            <w:rPr>
              <w:rFonts w:eastAsiaTheme="minorEastAsia"/>
              <w:noProof/>
              <w:lang w:eastAsia="en-AU"/>
            </w:rPr>
          </w:pPr>
          <w:hyperlink w:anchor="_Toc151999620" w:history="1">
            <w:r w:rsidR="0065729E" w:rsidRPr="00E8461E">
              <w:rPr>
                <w:rStyle w:val="Hyperlink"/>
                <w:noProof/>
              </w:rPr>
              <w:t>2.6 Consultation</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_Toc151999620 \h </w:instrText>
            </w:r>
            <w:r w:rsidR="0065729E" w:rsidRPr="00E8461E">
              <w:rPr>
                <w:noProof/>
                <w:webHidden/>
              </w:rPr>
            </w:r>
            <w:r w:rsidR="0065729E" w:rsidRPr="00E8461E">
              <w:rPr>
                <w:noProof/>
                <w:webHidden/>
              </w:rPr>
              <w:fldChar w:fldCharType="separate"/>
            </w:r>
            <w:r w:rsidR="000F6772">
              <w:rPr>
                <w:noProof/>
                <w:webHidden/>
              </w:rPr>
              <w:t>18</w:t>
            </w:r>
            <w:r w:rsidR="0065729E" w:rsidRPr="00E8461E">
              <w:rPr>
                <w:noProof/>
                <w:webHidden/>
              </w:rPr>
              <w:fldChar w:fldCharType="end"/>
            </w:r>
          </w:hyperlink>
        </w:p>
        <w:p w14:paraId="374F9FDF" w14:textId="1034AB70" w:rsidR="0065729E" w:rsidRPr="00E8461E" w:rsidRDefault="00B07FA8" w:rsidP="0065729E">
          <w:pPr>
            <w:pStyle w:val="TOC1"/>
            <w:rPr>
              <w:rFonts w:eastAsiaTheme="minorEastAsia"/>
              <w:lang w:eastAsia="en-AU"/>
            </w:rPr>
          </w:pPr>
          <w:hyperlink w:anchor="_Toc151999621" w:history="1">
            <w:r w:rsidR="0065729E" w:rsidRPr="00E8461E">
              <w:rPr>
                <w:rStyle w:val="Hyperlink"/>
                <w:color w:val="012448" w:themeColor="hyperlink" w:themeShade="80"/>
              </w:rPr>
              <w:t>Chapter 3: Building a climate-resilient health system and enhancing its capacity to protect population health</w:t>
            </w:r>
            <w:r w:rsidR="0065729E" w:rsidRPr="00E8461E">
              <w:rPr>
                <w:webHidden/>
              </w:rPr>
              <w:tab/>
            </w:r>
            <w:r w:rsidR="0065729E" w:rsidRPr="00E8461E">
              <w:rPr>
                <w:webHidden/>
              </w:rPr>
              <w:fldChar w:fldCharType="begin"/>
            </w:r>
            <w:r w:rsidR="0065729E" w:rsidRPr="00E8461E">
              <w:rPr>
                <w:webHidden/>
              </w:rPr>
              <w:instrText xml:space="preserve"> PAGEREF _Toc151999621 \h </w:instrText>
            </w:r>
            <w:r w:rsidR="0065729E" w:rsidRPr="00E8461E">
              <w:rPr>
                <w:webHidden/>
              </w:rPr>
            </w:r>
            <w:r w:rsidR="0065729E" w:rsidRPr="00E8461E">
              <w:rPr>
                <w:webHidden/>
              </w:rPr>
              <w:fldChar w:fldCharType="separate"/>
            </w:r>
            <w:r w:rsidR="000F6772">
              <w:rPr>
                <w:webHidden/>
              </w:rPr>
              <w:t>20</w:t>
            </w:r>
            <w:r w:rsidR="0065729E" w:rsidRPr="00E8461E">
              <w:rPr>
                <w:webHidden/>
              </w:rPr>
              <w:fldChar w:fldCharType="end"/>
            </w:r>
          </w:hyperlink>
        </w:p>
        <w:p w14:paraId="04B4F8CB" w14:textId="78FC91DF" w:rsidR="0065729E" w:rsidRPr="00E8461E" w:rsidRDefault="00B07FA8" w:rsidP="0065729E">
          <w:pPr>
            <w:pStyle w:val="TOC2"/>
            <w:spacing w:after="0"/>
            <w:rPr>
              <w:rFonts w:eastAsiaTheme="minorEastAsia"/>
              <w:noProof/>
              <w:lang w:eastAsia="en-AU"/>
            </w:rPr>
          </w:pPr>
          <w:hyperlink w:anchor="_Toc151999622" w:history="1">
            <w:r w:rsidR="0065729E" w:rsidRPr="00E8461E">
              <w:rPr>
                <w:rStyle w:val="Hyperlink"/>
                <w:noProof/>
              </w:rPr>
              <w:t>3.1 Health and climate risk assessment and health adaptation planning</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_Toc151999622 \h </w:instrText>
            </w:r>
            <w:r w:rsidR="0065729E" w:rsidRPr="00E8461E">
              <w:rPr>
                <w:noProof/>
                <w:webHidden/>
              </w:rPr>
            </w:r>
            <w:r w:rsidR="0065729E" w:rsidRPr="00E8461E">
              <w:rPr>
                <w:noProof/>
                <w:webHidden/>
              </w:rPr>
              <w:fldChar w:fldCharType="separate"/>
            </w:r>
            <w:r w:rsidR="000F6772">
              <w:rPr>
                <w:noProof/>
                <w:webHidden/>
              </w:rPr>
              <w:t>21</w:t>
            </w:r>
            <w:r w:rsidR="0065729E" w:rsidRPr="00E8461E">
              <w:rPr>
                <w:noProof/>
                <w:webHidden/>
              </w:rPr>
              <w:fldChar w:fldCharType="end"/>
            </w:r>
          </w:hyperlink>
        </w:p>
        <w:p w14:paraId="2DB941DD" w14:textId="4D365435" w:rsidR="0065729E" w:rsidRPr="00E8461E" w:rsidRDefault="00B07FA8" w:rsidP="0065729E">
          <w:pPr>
            <w:pStyle w:val="TOC2"/>
            <w:spacing w:after="0"/>
            <w:rPr>
              <w:rFonts w:eastAsiaTheme="minorEastAsia"/>
              <w:noProof/>
              <w:lang w:eastAsia="en-AU"/>
            </w:rPr>
          </w:pPr>
          <w:hyperlink w:anchor="_Toc151999623" w:history="1">
            <w:r w:rsidR="0065729E" w:rsidRPr="00E8461E">
              <w:rPr>
                <w:rStyle w:val="Hyperlink"/>
                <w:noProof/>
              </w:rPr>
              <w:t>3.2 Prevention: the starting point for health system adaptation</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_Toc151999623 \h </w:instrText>
            </w:r>
            <w:r w:rsidR="0065729E" w:rsidRPr="00E8461E">
              <w:rPr>
                <w:noProof/>
                <w:webHidden/>
              </w:rPr>
            </w:r>
            <w:r w:rsidR="0065729E" w:rsidRPr="00E8461E">
              <w:rPr>
                <w:noProof/>
                <w:webHidden/>
              </w:rPr>
              <w:fldChar w:fldCharType="separate"/>
            </w:r>
            <w:r w:rsidR="000F6772">
              <w:rPr>
                <w:noProof/>
                <w:webHidden/>
              </w:rPr>
              <w:t>26</w:t>
            </w:r>
            <w:r w:rsidR="0065729E" w:rsidRPr="00E8461E">
              <w:rPr>
                <w:noProof/>
                <w:webHidden/>
              </w:rPr>
              <w:fldChar w:fldCharType="end"/>
            </w:r>
          </w:hyperlink>
        </w:p>
        <w:p w14:paraId="37208504" w14:textId="48C50308" w:rsidR="0065729E" w:rsidRPr="00E8461E" w:rsidRDefault="00B07FA8" w:rsidP="0065729E">
          <w:pPr>
            <w:pStyle w:val="TOC2"/>
            <w:spacing w:after="0"/>
            <w:rPr>
              <w:rFonts w:eastAsiaTheme="minorEastAsia"/>
              <w:noProof/>
              <w:lang w:eastAsia="en-AU"/>
            </w:rPr>
          </w:pPr>
          <w:hyperlink w:anchor="_Toc151999624" w:history="1">
            <w:r w:rsidR="0065729E" w:rsidRPr="00E8461E">
              <w:rPr>
                <w:rStyle w:val="Hyperlink"/>
                <w:noProof/>
              </w:rPr>
              <w:t xml:space="preserve">3.3 </w:t>
            </w:r>
            <w:r w:rsidR="0065729E" w:rsidRPr="00E8461E">
              <w:rPr>
                <w:rStyle w:val="Hyperlink"/>
                <w:noProof/>
                <w:lang w:val="en-GB"/>
              </w:rPr>
              <w:t>Working in partnership to protect the health of First Nations communities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_Toc151999624 \h </w:instrText>
            </w:r>
            <w:r w:rsidR="0065729E" w:rsidRPr="00E8461E">
              <w:rPr>
                <w:noProof/>
                <w:webHidden/>
              </w:rPr>
            </w:r>
            <w:r w:rsidR="0065729E" w:rsidRPr="00E8461E">
              <w:rPr>
                <w:noProof/>
                <w:webHidden/>
              </w:rPr>
              <w:fldChar w:fldCharType="separate"/>
            </w:r>
            <w:r w:rsidR="000F6772">
              <w:rPr>
                <w:noProof/>
                <w:webHidden/>
              </w:rPr>
              <w:t>27</w:t>
            </w:r>
            <w:r w:rsidR="0065729E" w:rsidRPr="00E8461E">
              <w:rPr>
                <w:noProof/>
                <w:webHidden/>
              </w:rPr>
              <w:fldChar w:fldCharType="end"/>
            </w:r>
          </w:hyperlink>
        </w:p>
        <w:p w14:paraId="759BBA19" w14:textId="47F8ECD6" w:rsidR="0065729E" w:rsidRPr="00E8461E" w:rsidRDefault="00B07FA8" w:rsidP="0065729E">
          <w:pPr>
            <w:pStyle w:val="TOC2"/>
            <w:spacing w:after="0"/>
            <w:rPr>
              <w:rFonts w:eastAsiaTheme="minorEastAsia"/>
              <w:noProof/>
              <w:lang w:eastAsia="en-AU"/>
            </w:rPr>
          </w:pPr>
          <w:hyperlink w:anchor="_Toc151999625" w:history="1">
            <w:r w:rsidR="0065729E" w:rsidRPr="00E8461E">
              <w:rPr>
                <w:rStyle w:val="Hyperlink"/>
                <w:noProof/>
              </w:rPr>
              <w:t>3.4 Protecting health by building a climate-resilient healthcare sector</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_Toc151999625 \h </w:instrText>
            </w:r>
            <w:r w:rsidR="0065729E" w:rsidRPr="00E8461E">
              <w:rPr>
                <w:noProof/>
                <w:webHidden/>
              </w:rPr>
            </w:r>
            <w:r w:rsidR="0065729E" w:rsidRPr="00E8461E">
              <w:rPr>
                <w:noProof/>
                <w:webHidden/>
              </w:rPr>
              <w:fldChar w:fldCharType="separate"/>
            </w:r>
            <w:r w:rsidR="000F6772">
              <w:rPr>
                <w:noProof/>
                <w:webHidden/>
              </w:rPr>
              <w:t>29</w:t>
            </w:r>
            <w:r w:rsidR="0065729E" w:rsidRPr="00E8461E">
              <w:rPr>
                <w:noProof/>
                <w:webHidden/>
              </w:rPr>
              <w:fldChar w:fldCharType="end"/>
            </w:r>
          </w:hyperlink>
        </w:p>
        <w:p w14:paraId="723F5481" w14:textId="73C10789" w:rsidR="0065729E" w:rsidRPr="00E8461E" w:rsidRDefault="00B07FA8" w:rsidP="0065729E">
          <w:pPr>
            <w:pStyle w:val="TOC2"/>
            <w:spacing w:after="0"/>
            <w:rPr>
              <w:rFonts w:eastAsiaTheme="minorEastAsia"/>
              <w:noProof/>
              <w:lang w:eastAsia="en-AU"/>
            </w:rPr>
          </w:pPr>
          <w:hyperlink w:anchor="_Toc151999626" w:history="1">
            <w:r w:rsidR="0065729E" w:rsidRPr="00E8461E">
              <w:rPr>
                <w:rStyle w:val="Hyperlink"/>
                <w:noProof/>
                <w:lang w:val="en-GB"/>
              </w:rPr>
              <w:t>3.5 Protecting health by building a climate-resilient aged care sector</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_Toc151999626 \h </w:instrText>
            </w:r>
            <w:r w:rsidR="0065729E" w:rsidRPr="00E8461E">
              <w:rPr>
                <w:noProof/>
                <w:webHidden/>
              </w:rPr>
            </w:r>
            <w:r w:rsidR="0065729E" w:rsidRPr="00E8461E">
              <w:rPr>
                <w:noProof/>
                <w:webHidden/>
              </w:rPr>
              <w:fldChar w:fldCharType="separate"/>
            </w:r>
            <w:r w:rsidR="000F6772">
              <w:rPr>
                <w:noProof/>
                <w:webHidden/>
              </w:rPr>
              <w:t>36</w:t>
            </w:r>
            <w:r w:rsidR="0065729E" w:rsidRPr="00E8461E">
              <w:rPr>
                <w:noProof/>
                <w:webHidden/>
              </w:rPr>
              <w:fldChar w:fldCharType="end"/>
            </w:r>
          </w:hyperlink>
        </w:p>
        <w:p w14:paraId="0299C9C9" w14:textId="5AF210F4" w:rsidR="0065729E" w:rsidRPr="00E8461E" w:rsidRDefault="00B07FA8" w:rsidP="0065729E">
          <w:pPr>
            <w:pStyle w:val="TOC1"/>
            <w:rPr>
              <w:rFonts w:eastAsiaTheme="minorEastAsia"/>
              <w:lang w:eastAsia="en-AU"/>
            </w:rPr>
          </w:pPr>
          <w:hyperlink w:anchor="_Toc151999627" w:history="1">
            <w:r w:rsidR="0065729E" w:rsidRPr="00E8461E">
              <w:rPr>
                <w:rStyle w:val="Hyperlink"/>
                <w:color w:val="0A1D37" w:themeColor="accent2" w:themeShade="80"/>
              </w:rPr>
              <w:t>Chapter 4: Building a sustainable, high-quality, net zero health system</w:t>
            </w:r>
            <w:r w:rsidR="0065729E" w:rsidRPr="00E8461E">
              <w:rPr>
                <w:webHidden/>
              </w:rPr>
              <w:tab/>
            </w:r>
            <w:r w:rsidR="0065729E" w:rsidRPr="00E8461E">
              <w:rPr>
                <w:webHidden/>
              </w:rPr>
              <w:fldChar w:fldCharType="begin"/>
            </w:r>
            <w:r w:rsidR="0065729E" w:rsidRPr="00E8461E">
              <w:rPr>
                <w:webHidden/>
              </w:rPr>
              <w:instrText xml:space="preserve"> PAGEREF _Toc151999627 \h </w:instrText>
            </w:r>
            <w:r w:rsidR="0065729E" w:rsidRPr="00E8461E">
              <w:rPr>
                <w:webHidden/>
              </w:rPr>
            </w:r>
            <w:r w:rsidR="0065729E" w:rsidRPr="00E8461E">
              <w:rPr>
                <w:webHidden/>
              </w:rPr>
              <w:fldChar w:fldCharType="separate"/>
            </w:r>
            <w:r w:rsidR="000F6772">
              <w:rPr>
                <w:webHidden/>
              </w:rPr>
              <w:t>38</w:t>
            </w:r>
            <w:r w:rsidR="0065729E" w:rsidRPr="00E8461E">
              <w:rPr>
                <w:webHidden/>
              </w:rPr>
              <w:fldChar w:fldCharType="end"/>
            </w:r>
          </w:hyperlink>
        </w:p>
        <w:p w14:paraId="60DECD4E" w14:textId="102F2638" w:rsidR="0065729E" w:rsidRPr="00E8461E" w:rsidRDefault="00B07FA8" w:rsidP="0065729E">
          <w:pPr>
            <w:pStyle w:val="TOC2"/>
            <w:spacing w:after="0"/>
            <w:rPr>
              <w:rFonts w:eastAsiaTheme="minorEastAsia"/>
              <w:noProof/>
              <w:lang w:eastAsia="en-AU"/>
            </w:rPr>
          </w:pPr>
          <w:hyperlink w:anchor="_Toc151999628" w:history="1">
            <w:r w:rsidR="0065729E" w:rsidRPr="00E8461E">
              <w:rPr>
                <w:rStyle w:val="Hyperlink"/>
                <w:noProof/>
              </w:rPr>
              <w:t>4.1 Measuring health system greenhouse gas emissions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_Toc151999628 \h </w:instrText>
            </w:r>
            <w:r w:rsidR="0065729E" w:rsidRPr="00E8461E">
              <w:rPr>
                <w:noProof/>
                <w:webHidden/>
              </w:rPr>
            </w:r>
            <w:r w:rsidR="0065729E" w:rsidRPr="00E8461E">
              <w:rPr>
                <w:noProof/>
                <w:webHidden/>
              </w:rPr>
              <w:fldChar w:fldCharType="separate"/>
            </w:r>
            <w:r w:rsidR="000F6772">
              <w:rPr>
                <w:noProof/>
                <w:webHidden/>
              </w:rPr>
              <w:t>38</w:t>
            </w:r>
            <w:r w:rsidR="0065729E" w:rsidRPr="00E8461E">
              <w:rPr>
                <w:noProof/>
                <w:webHidden/>
              </w:rPr>
              <w:fldChar w:fldCharType="end"/>
            </w:r>
          </w:hyperlink>
        </w:p>
        <w:p w14:paraId="5E770666" w14:textId="753873FB" w:rsidR="0065729E" w:rsidRPr="00E8461E" w:rsidRDefault="00B07FA8" w:rsidP="0065729E">
          <w:pPr>
            <w:pStyle w:val="TOC2"/>
            <w:spacing w:after="0"/>
            <w:rPr>
              <w:rFonts w:eastAsiaTheme="minorEastAsia"/>
              <w:noProof/>
              <w:lang w:eastAsia="en-AU"/>
            </w:rPr>
          </w:pPr>
          <w:hyperlink w:anchor="_Toc151999629" w:history="1">
            <w:r w:rsidR="0065729E" w:rsidRPr="00E8461E">
              <w:rPr>
                <w:rStyle w:val="Hyperlink"/>
                <w:noProof/>
              </w:rPr>
              <w:t>4.2 Reducing health system greenhouse gas emissions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_Toc151999629 \h </w:instrText>
            </w:r>
            <w:r w:rsidR="0065729E" w:rsidRPr="00E8461E">
              <w:rPr>
                <w:noProof/>
                <w:webHidden/>
              </w:rPr>
            </w:r>
            <w:r w:rsidR="0065729E" w:rsidRPr="00E8461E">
              <w:rPr>
                <w:noProof/>
                <w:webHidden/>
              </w:rPr>
              <w:fldChar w:fldCharType="separate"/>
            </w:r>
            <w:r w:rsidR="000F6772">
              <w:rPr>
                <w:noProof/>
                <w:webHidden/>
              </w:rPr>
              <w:t>48</w:t>
            </w:r>
            <w:r w:rsidR="0065729E" w:rsidRPr="00E8461E">
              <w:rPr>
                <w:noProof/>
                <w:webHidden/>
              </w:rPr>
              <w:fldChar w:fldCharType="end"/>
            </w:r>
          </w:hyperlink>
        </w:p>
        <w:p w14:paraId="173D5877" w14:textId="38E73A76" w:rsidR="0065729E" w:rsidRPr="00E8461E" w:rsidRDefault="00B07FA8" w:rsidP="0065729E">
          <w:pPr>
            <w:pStyle w:val="TOC2"/>
            <w:spacing w:after="0"/>
            <w:rPr>
              <w:rFonts w:eastAsiaTheme="minorEastAsia"/>
              <w:noProof/>
              <w:lang w:eastAsia="en-AU"/>
            </w:rPr>
          </w:pPr>
          <w:hyperlink w:anchor="_Toc151999630" w:history="1">
            <w:r w:rsidR="0065729E" w:rsidRPr="00E8461E">
              <w:rPr>
                <w:rStyle w:val="Hyperlink"/>
                <w:noProof/>
              </w:rPr>
              <w:t>4</w:t>
            </w:r>
            <w:r w:rsidR="0065729E" w:rsidRPr="00E8461E">
              <w:rPr>
                <w:rStyle w:val="Hyperlink"/>
                <w:noProof/>
                <w:lang w:val="en-GB"/>
              </w:rPr>
              <w:t>.3 Preventing ill health</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_Toc151999630 \h </w:instrText>
            </w:r>
            <w:r w:rsidR="0065729E" w:rsidRPr="00E8461E">
              <w:rPr>
                <w:noProof/>
                <w:webHidden/>
              </w:rPr>
            </w:r>
            <w:r w:rsidR="0065729E" w:rsidRPr="00E8461E">
              <w:rPr>
                <w:noProof/>
                <w:webHidden/>
              </w:rPr>
              <w:fldChar w:fldCharType="separate"/>
            </w:r>
            <w:r w:rsidR="000F6772">
              <w:rPr>
                <w:noProof/>
                <w:webHidden/>
              </w:rPr>
              <w:t>49</w:t>
            </w:r>
            <w:r w:rsidR="0065729E" w:rsidRPr="00E8461E">
              <w:rPr>
                <w:noProof/>
                <w:webHidden/>
              </w:rPr>
              <w:fldChar w:fldCharType="end"/>
            </w:r>
          </w:hyperlink>
        </w:p>
        <w:p w14:paraId="277785CE" w14:textId="40E8E181" w:rsidR="0065729E" w:rsidRPr="00E8461E" w:rsidRDefault="00B07FA8" w:rsidP="0065729E">
          <w:pPr>
            <w:pStyle w:val="TOC2"/>
            <w:spacing w:after="0"/>
            <w:rPr>
              <w:rFonts w:eastAsiaTheme="minorEastAsia"/>
              <w:noProof/>
              <w:lang w:eastAsia="en-AU"/>
            </w:rPr>
          </w:pPr>
          <w:hyperlink w:anchor="_Toc151999631" w:history="1">
            <w:r w:rsidR="0065729E" w:rsidRPr="00E8461E">
              <w:rPr>
                <w:rStyle w:val="Hyperlink"/>
                <w:noProof/>
              </w:rPr>
              <w:t>4</w:t>
            </w:r>
            <w:r w:rsidR="0065729E" w:rsidRPr="00E8461E">
              <w:rPr>
                <w:rStyle w:val="Hyperlink"/>
                <w:noProof/>
                <w:lang w:val="en-GB"/>
              </w:rPr>
              <w:t>.4 Providing appropriate care and tackling unwarranted variations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_Toc151999631 \h </w:instrText>
            </w:r>
            <w:r w:rsidR="0065729E" w:rsidRPr="00E8461E">
              <w:rPr>
                <w:noProof/>
                <w:webHidden/>
              </w:rPr>
            </w:r>
            <w:r w:rsidR="0065729E" w:rsidRPr="00E8461E">
              <w:rPr>
                <w:noProof/>
                <w:webHidden/>
              </w:rPr>
              <w:fldChar w:fldCharType="separate"/>
            </w:r>
            <w:r w:rsidR="000F6772">
              <w:rPr>
                <w:noProof/>
                <w:webHidden/>
              </w:rPr>
              <w:t>50</w:t>
            </w:r>
            <w:r w:rsidR="0065729E" w:rsidRPr="00E8461E">
              <w:rPr>
                <w:noProof/>
                <w:webHidden/>
              </w:rPr>
              <w:fldChar w:fldCharType="end"/>
            </w:r>
          </w:hyperlink>
        </w:p>
        <w:p w14:paraId="2F54E8A2" w14:textId="515607F6" w:rsidR="0065729E" w:rsidRPr="00E8461E" w:rsidRDefault="00B07FA8" w:rsidP="0065729E">
          <w:pPr>
            <w:pStyle w:val="TOC2"/>
            <w:spacing w:after="0"/>
            <w:rPr>
              <w:rFonts w:eastAsiaTheme="minorEastAsia"/>
              <w:noProof/>
              <w:lang w:eastAsia="en-AU"/>
            </w:rPr>
          </w:pPr>
          <w:hyperlink w:anchor="_Toc151999632" w:history="1">
            <w:r w:rsidR="0065729E" w:rsidRPr="00E8461E">
              <w:rPr>
                <w:rStyle w:val="Hyperlink"/>
                <w:noProof/>
                <w:lang w:val="en-GB"/>
              </w:rPr>
              <w:t>4.5 Reducing greenhouse gas emissions from the delivery of care</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_Toc151999632 \h </w:instrText>
            </w:r>
            <w:r w:rsidR="0065729E" w:rsidRPr="00E8461E">
              <w:rPr>
                <w:noProof/>
                <w:webHidden/>
              </w:rPr>
            </w:r>
            <w:r w:rsidR="0065729E" w:rsidRPr="00E8461E">
              <w:rPr>
                <w:noProof/>
                <w:webHidden/>
              </w:rPr>
              <w:fldChar w:fldCharType="separate"/>
            </w:r>
            <w:r w:rsidR="000F6772">
              <w:rPr>
                <w:noProof/>
                <w:webHidden/>
              </w:rPr>
              <w:t>52</w:t>
            </w:r>
            <w:r w:rsidR="0065729E" w:rsidRPr="00E8461E">
              <w:rPr>
                <w:noProof/>
                <w:webHidden/>
              </w:rPr>
              <w:fldChar w:fldCharType="end"/>
            </w:r>
          </w:hyperlink>
        </w:p>
        <w:p w14:paraId="676D5C8D" w14:textId="65F8C404" w:rsidR="0065729E" w:rsidRPr="00E8461E" w:rsidRDefault="00B07FA8" w:rsidP="0065729E">
          <w:pPr>
            <w:pStyle w:val="TOC1"/>
            <w:rPr>
              <w:rFonts w:eastAsiaTheme="minorEastAsia"/>
              <w:lang w:eastAsia="en-AU"/>
            </w:rPr>
          </w:pPr>
          <w:hyperlink w:anchor="_Toc151999633" w:history="1">
            <w:r w:rsidR="0065729E" w:rsidRPr="00E8461E">
              <w:rPr>
                <w:rStyle w:val="Hyperlink"/>
                <w:color w:val="012448" w:themeColor="hyperlink" w:themeShade="80"/>
              </w:rPr>
              <w:t>Chapter 5: Collaborating internationally to build sustainable, climate-resilient health systems and communities</w:t>
            </w:r>
            <w:r w:rsidR="0065729E" w:rsidRPr="00E8461E">
              <w:rPr>
                <w:webHidden/>
              </w:rPr>
              <w:tab/>
            </w:r>
            <w:r w:rsidR="0065729E" w:rsidRPr="00E8461E">
              <w:rPr>
                <w:webHidden/>
              </w:rPr>
              <w:fldChar w:fldCharType="begin"/>
            </w:r>
            <w:r w:rsidR="0065729E" w:rsidRPr="00E8461E">
              <w:rPr>
                <w:webHidden/>
              </w:rPr>
              <w:instrText xml:space="preserve"> PAGEREF _Toc151999633 \h </w:instrText>
            </w:r>
            <w:r w:rsidR="0065729E" w:rsidRPr="00E8461E">
              <w:rPr>
                <w:webHidden/>
              </w:rPr>
            </w:r>
            <w:r w:rsidR="0065729E" w:rsidRPr="00E8461E">
              <w:rPr>
                <w:webHidden/>
              </w:rPr>
              <w:fldChar w:fldCharType="separate"/>
            </w:r>
            <w:r w:rsidR="000F6772">
              <w:rPr>
                <w:webHidden/>
              </w:rPr>
              <w:t>69</w:t>
            </w:r>
            <w:r w:rsidR="0065729E" w:rsidRPr="00E8461E">
              <w:rPr>
                <w:webHidden/>
              </w:rPr>
              <w:fldChar w:fldCharType="end"/>
            </w:r>
          </w:hyperlink>
        </w:p>
        <w:p w14:paraId="698474EC" w14:textId="1611941B" w:rsidR="0065729E" w:rsidRPr="00E8461E" w:rsidRDefault="00B07FA8" w:rsidP="0065729E">
          <w:pPr>
            <w:pStyle w:val="TOC2"/>
            <w:spacing w:after="0"/>
            <w:rPr>
              <w:rFonts w:eastAsiaTheme="minorEastAsia"/>
              <w:noProof/>
              <w:lang w:eastAsia="en-AU"/>
            </w:rPr>
          </w:pPr>
          <w:hyperlink w:anchor="_Toc151999634" w:history="1">
            <w:r w:rsidR="0065729E" w:rsidRPr="00E8461E">
              <w:rPr>
                <w:rStyle w:val="Hyperlink"/>
                <w:noProof/>
                <w:lang w:val="en-GB"/>
              </w:rPr>
              <w:t>5.1 International responses to health and climate change</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_Toc151999634 \h </w:instrText>
            </w:r>
            <w:r w:rsidR="0065729E" w:rsidRPr="00E8461E">
              <w:rPr>
                <w:noProof/>
                <w:webHidden/>
              </w:rPr>
            </w:r>
            <w:r w:rsidR="0065729E" w:rsidRPr="00E8461E">
              <w:rPr>
                <w:noProof/>
                <w:webHidden/>
              </w:rPr>
              <w:fldChar w:fldCharType="separate"/>
            </w:r>
            <w:r w:rsidR="000F6772">
              <w:rPr>
                <w:noProof/>
                <w:webHidden/>
              </w:rPr>
              <w:t>70</w:t>
            </w:r>
            <w:r w:rsidR="0065729E" w:rsidRPr="00E8461E">
              <w:rPr>
                <w:noProof/>
                <w:webHidden/>
              </w:rPr>
              <w:fldChar w:fldCharType="end"/>
            </w:r>
          </w:hyperlink>
        </w:p>
        <w:p w14:paraId="19866A90" w14:textId="7FE859B8" w:rsidR="0065729E" w:rsidRPr="00E8461E" w:rsidRDefault="00B07FA8" w:rsidP="0065729E">
          <w:pPr>
            <w:pStyle w:val="TOC2"/>
            <w:spacing w:after="0"/>
            <w:rPr>
              <w:rFonts w:eastAsiaTheme="minorEastAsia"/>
              <w:noProof/>
              <w:lang w:eastAsia="en-AU"/>
            </w:rPr>
          </w:pPr>
          <w:hyperlink w:anchor="_Toc151999635" w:history="1">
            <w:r w:rsidR="0065729E" w:rsidRPr="00E8461E">
              <w:rPr>
                <w:rStyle w:val="Hyperlink"/>
                <w:noProof/>
                <w:lang w:val="en-GB"/>
              </w:rPr>
              <w:t>5.2 International cooperation under the Paris Agreement</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_Toc151999635 \h </w:instrText>
            </w:r>
            <w:r w:rsidR="0065729E" w:rsidRPr="00E8461E">
              <w:rPr>
                <w:noProof/>
                <w:webHidden/>
              </w:rPr>
            </w:r>
            <w:r w:rsidR="0065729E" w:rsidRPr="00E8461E">
              <w:rPr>
                <w:noProof/>
                <w:webHidden/>
              </w:rPr>
              <w:fldChar w:fldCharType="separate"/>
            </w:r>
            <w:r w:rsidR="000F6772">
              <w:rPr>
                <w:noProof/>
                <w:webHidden/>
              </w:rPr>
              <w:t>71</w:t>
            </w:r>
            <w:r w:rsidR="0065729E" w:rsidRPr="00E8461E">
              <w:rPr>
                <w:noProof/>
                <w:webHidden/>
              </w:rPr>
              <w:fldChar w:fldCharType="end"/>
            </w:r>
          </w:hyperlink>
        </w:p>
        <w:p w14:paraId="54B2CE35" w14:textId="78DF93F2" w:rsidR="0065729E" w:rsidRPr="00E8461E" w:rsidRDefault="00B07FA8" w:rsidP="0065729E">
          <w:pPr>
            <w:pStyle w:val="TOC2"/>
            <w:spacing w:after="0"/>
            <w:rPr>
              <w:rFonts w:eastAsiaTheme="minorEastAsia"/>
              <w:noProof/>
              <w:lang w:eastAsia="en-AU"/>
            </w:rPr>
          </w:pPr>
          <w:hyperlink w:anchor="_Toc151999636" w:history="1">
            <w:r w:rsidR="0065729E" w:rsidRPr="00E8461E">
              <w:rPr>
                <w:rStyle w:val="Hyperlink"/>
                <w:noProof/>
                <w:lang w:val="en-GB"/>
              </w:rPr>
              <w:t>5.3 Australia’s international development program</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_Toc151999636 \h </w:instrText>
            </w:r>
            <w:r w:rsidR="0065729E" w:rsidRPr="00E8461E">
              <w:rPr>
                <w:noProof/>
                <w:webHidden/>
              </w:rPr>
            </w:r>
            <w:r w:rsidR="0065729E" w:rsidRPr="00E8461E">
              <w:rPr>
                <w:noProof/>
                <w:webHidden/>
              </w:rPr>
              <w:fldChar w:fldCharType="separate"/>
            </w:r>
            <w:r w:rsidR="000F6772">
              <w:rPr>
                <w:noProof/>
                <w:webHidden/>
              </w:rPr>
              <w:t>71</w:t>
            </w:r>
            <w:r w:rsidR="0065729E" w:rsidRPr="00E8461E">
              <w:rPr>
                <w:noProof/>
                <w:webHidden/>
              </w:rPr>
              <w:fldChar w:fldCharType="end"/>
            </w:r>
          </w:hyperlink>
        </w:p>
        <w:p w14:paraId="6A9DB46C" w14:textId="7E15E54E" w:rsidR="0065729E" w:rsidRPr="00E8461E" w:rsidRDefault="00B07FA8" w:rsidP="0065729E">
          <w:pPr>
            <w:pStyle w:val="TOC2"/>
            <w:spacing w:after="0"/>
            <w:rPr>
              <w:rFonts w:eastAsiaTheme="minorEastAsia"/>
              <w:noProof/>
              <w:lang w:eastAsia="en-AU"/>
            </w:rPr>
          </w:pPr>
          <w:hyperlink w:anchor="_Toc151999637" w:history="1">
            <w:r w:rsidR="0065729E" w:rsidRPr="00E8461E">
              <w:rPr>
                <w:rStyle w:val="Hyperlink"/>
                <w:noProof/>
                <w:lang w:val="en-GB"/>
              </w:rPr>
              <w:t>5.4 First Nations people and climate negotiations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_Toc151999637 \h </w:instrText>
            </w:r>
            <w:r w:rsidR="0065729E" w:rsidRPr="00E8461E">
              <w:rPr>
                <w:noProof/>
                <w:webHidden/>
              </w:rPr>
            </w:r>
            <w:r w:rsidR="0065729E" w:rsidRPr="00E8461E">
              <w:rPr>
                <w:noProof/>
                <w:webHidden/>
              </w:rPr>
              <w:fldChar w:fldCharType="separate"/>
            </w:r>
            <w:r w:rsidR="000F6772">
              <w:rPr>
                <w:noProof/>
                <w:webHidden/>
              </w:rPr>
              <w:t>74</w:t>
            </w:r>
            <w:r w:rsidR="0065729E" w:rsidRPr="00E8461E">
              <w:rPr>
                <w:noProof/>
                <w:webHidden/>
              </w:rPr>
              <w:fldChar w:fldCharType="end"/>
            </w:r>
          </w:hyperlink>
        </w:p>
        <w:p w14:paraId="3F1F8606" w14:textId="448BA5D7" w:rsidR="0065729E" w:rsidRPr="00E8461E" w:rsidRDefault="00B07FA8" w:rsidP="0065729E">
          <w:pPr>
            <w:pStyle w:val="TOC1"/>
            <w:rPr>
              <w:rFonts w:eastAsiaTheme="minorEastAsia"/>
              <w:lang w:eastAsia="en-AU"/>
            </w:rPr>
          </w:pPr>
          <w:hyperlink w:anchor="_Toc151999638" w:history="1">
            <w:r w:rsidR="0065729E" w:rsidRPr="00E8461E">
              <w:rPr>
                <w:rStyle w:val="Hyperlink"/>
                <w:color w:val="012448" w:themeColor="hyperlink" w:themeShade="80"/>
              </w:rPr>
              <w:t>Chapter 6: Supporting healthy, climate-resilient and sustainable communities through whole-of-government action</w:t>
            </w:r>
            <w:r w:rsidR="0065729E" w:rsidRPr="00E8461E">
              <w:rPr>
                <w:webHidden/>
              </w:rPr>
              <w:tab/>
            </w:r>
            <w:r w:rsidR="0065729E" w:rsidRPr="00E8461E">
              <w:rPr>
                <w:webHidden/>
              </w:rPr>
              <w:fldChar w:fldCharType="begin"/>
            </w:r>
            <w:r w:rsidR="0065729E" w:rsidRPr="00E8461E">
              <w:rPr>
                <w:webHidden/>
              </w:rPr>
              <w:instrText xml:space="preserve"> PAGEREF _Toc151999638 \h </w:instrText>
            </w:r>
            <w:r w:rsidR="0065729E" w:rsidRPr="00E8461E">
              <w:rPr>
                <w:webHidden/>
              </w:rPr>
            </w:r>
            <w:r w:rsidR="0065729E" w:rsidRPr="00E8461E">
              <w:rPr>
                <w:webHidden/>
              </w:rPr>
              <w:fldChar w:fldCharType="separate"/>
            </w:r>
            <w:r w:rsidR="000F6772">
              <w:rPr>
                <w:webHidden/>
              </w:rPr>
              <w:t>75</w:t>
            </w:r>
            <w:r w:rsidR="0065729E" w:rsidRPr="00E8461E">
              <w:rPr>
                <w:webHidden/>
              </w:rPr>
              <w:fldChar w:fldCharType="end"/>
            </w:r>
          </w:hyperlink>
        </w:p>
        <w:p w14:paraId="37657882" w14:textId="7FAFA9C5" w:rsidR="0065729E" w:rsidRPr="00E8461E" w:rsidRDefault="00B07FA8" w:rsidP="0065729E">
          <w:pPr>
            <w:pStyle w:val="TOC2"/>
            <w:spacing w:after="0"/>
            <w:rPr>
              <w:rFonts w:eastAsiaTheme="minorEastAsia"/>
              <w:noProof/>
              <w:lang w:eastAsia="en-AU"/>
            </w:rPr>
          </w:pPr>
          <w:hyperlink w:anchor="_Toc151999639" w:history="1">
            <w:r w:rsidR="0065729E" w:rsidRPr="00E8461E">
              <w:rPr>
                <w:rStyle w:val="Hyperlink"/>
                <w:noProof/>
              </w:rPr>
              <w:t>6.1 Heat and heatwaves</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_Toc151999639 \h </w:instrText>
            </w:r>
            <w:r w:rsidR="0065729E" w:rsidRPr="00E8461E">
              <w:rPr>
                <w:noProof/>
                <w:webHidden/>
              </w:rPr>
            </w:r>
            <w:r w:rsidR="0065729E" w:rsidRPr="00E8461E">
              <w:rPr>
                <w:noProof/>
                <w:webHidden/>
              </w:rPr>
              <w:fldChar w:fldCharType="separate"/>
            </w:r>
            <w:r w:rsidR="000F6772">
              <w:rPr>
                <w:noProof/>
                <w:webHidden/>
              </w:rPr>
              <w:t>75</w:t>
            </w:r>
            <w:r w:rsidR="0065729E" w:rsidRPr="00E8461E">
              <w:rPr>
                <w:noProof/>
                <w:webHidden/>
              </w:rPr>
              <w:fldChar w:fldCharType="end"/>
            </w:r>
          </w:hyperlink>
        </w:p>
        <w:p w14:paraId="4ACCF562" w14:textId="0ED19328" w:rsidR="0065729E" w:rsidRPr="00E8461E" w:rsidRDefault="00B07FA8" w:rsidP="0065729E">
          <w:pPr>
            <w:pStyle w:val="TOC2"/>
            <w:spacing w:after="0"/>
            <w:rPr>
              <w:rFonts w:eastAsiaTheme="minorEastAsia"/>
              <w:noProof/>
              <w:lang w:eastAsia="en-AU"/>
            </w:rPr>
          </w:pPr>
          <w:hyperlink w:anchor="_Toc151999640" w:history="1">
            <w:r w:rsidR="0065729E" w:rsidRPr="00E8461E">
              <w:rPr>
                <w:rStyle w:val="Hyperlink"/>
                <w:noProof/>
                <w:lang w:val="en-GB"/>
              </w:rPr>
              <w:t>6.2 Air quality</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_Toc151999640 \h </w:instrText>
            </w:r>
            <w:r w:rsidR="0065729E" w:rsidRPr="00E8461E">
              <w:rPr>
                <w:noProof/>
                <w:webHidden/>
              </w:rPr>
            </w:r>
            <w:r w:rsidR="0065729E" w:rsidRPr="00E8461E">
              <w:rPr>
                <w:noProof/>
                <w:webHidden/>
              </w:rPr>
              <w:fldChar w:fldCharType="separate"/>
            </w:r>
            <w:r w:rsidR="000F6772">
              <w:rPr>
                <w:noProof/>
                <w:webHidden/>
              </w:rPr>
              <w:t>78</w:t>
            </w:r>
            <w:r w:rsidR="0065729E" w:rsidRPr="00E8461E">
              <w:rPr>
                <w:noProof/>
                <w:webHidden/>
              </w:rPr>
              <w:fldChar w:fldCharType="end"/>
            </w:r>
          </w:hyperlink>
        </w:p>
        <w:p w14:paraId="33EE887E" w14:textId="4221AAB9" w:rsidR="0065729E" w:rsidRPr="00E8461E" w:rsidRDefault="00B07FA8" w:rsidP="0065729E">
          <w:pPr>
            <w:pStyle w:val="TOC2"/>
            <w:spacing w:after="0"/>
            <w:rPr>
              <w:rFonts w:eastAsiaTheme="minorEastAsia"/>
              <w:noProof/>
              <w:lang w:eastAsia="en-AU"/>
            </w:rPr>
          </w:pPr>
          <w:hyperlink w:anchor="_Toc151999641" w:history="1">
            <w:r w:rsidR="0065729E" w:rsidRPr="00E8461E">
              <w:rPr>
                <w:rStyle w:val="Hyperlink"/>
                <w:noProof/>
              </w:rPr>
              <w:t>6.3 Communicable disease</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_Toc151999641 \h </w:instrText>
            </w:r>
            <w:r w:rsidR="0065729E" w:rsidRPr="00E8461E">
              <w:rPr>
                <w:noProof/>
                <w:webHidden/>
              </w:rPr>
            </w:r>
            <w:r w:rsidR="0065729E" w:rsidRPr="00E8461E">
              <w:rPr>
                <w:noProof/>
                <w:webHidden/>
              </w:rPr>
              <w:fldChar w:fldCharType="separate"/>
            </w:r>
            <w:r w:rsidR="000F6772">
              <w:rPr>
                <w:noProof/>
                <w:webHidden/>
              </w:rPr>
              <w:t>80</w:t>
            </w:r>
            <w:r w:rsidR="0065729E" w:rsidRPr="00E8461E">
              <w:rPr>
                <w:noProof/>
                <w:webHidden/>
              </w:rPr>
              <w:fldChar w:fldCharType="end"/>
            </w:r>
          </w:hyperlink>
        </w:p>
        <w:p w14:paraId="60F72615" w14:textId="575CB093" w:rsidR="0065729E" w:rsidRPr="00E8461E" w:rsidRDefault="00B07FA8" w:rsidP="0065729E">
          <w:pPr>
            <w:pStyle w:val="TOC2"/>
            <w:spacing w:after="0"/>
            <w:rPr>
              <w:rFonts w:eastAsiaTheme="minorEastAsia"/>
              <w:noProof/>
              <w:lang w:eastAsia="en-AU"/>
            </w:rPr>
          </w:pPr>
          <w:hyperlink w:anchor="_Toc151999642" w:history="1">
            <w:r w:rsidR="0065729E" w:rsidRPr="00E8461E">
              <w:rPr>
                <w:rStyle w:val="Hyperlink"/>
                <w:noProof/>
              </w:rPr>
              <w:t>6.4 Mental health</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_Toc151999642 \h </w:instrText>
            </w:r>
            <w:r w:rsidR="0065729E" w:rsidRPr="00E8461E">
              <w:rPr>
                <w:noProof/>
                <w:webHidden/>
              </w:rPr>
            </w:r>
            <w:r w:rsidR="0065729E" w:rsidRPr="00E8461E">
              <w:rPr>
                <w:noProof/>
                <w:webHidden/>
              </w:rPr>
              <w:fldChar w:fldCharType="separate"/>
            </w:r>
            <w:r w:rsidR="000F6772">
              <w:rPr>
                <w:noProof/>
                <w:webHidden/>
              </w:rPr>
              <w:t>83</w:t>
            </w:r>
            <w:r w:rsidR="0065729E" w:rsidRPr="00E8461E">
              <w:rPr>
                <w:noProof/>
                <w:webHidden/>
              </w:rPr>
              <w:fldChar w:fldCharType="end"/>
            </w:r>
          </w:hyperlink>
        </w:p>
        <w:p w14:paraId="047CEB71" w14:textId="7BF7AC00" w:rsidR="0065729E" w:rsidRPr="00E8461E" w:rsidRDefault="00B07FA8" w:rsidP="0065729E">
          <w:pPr>
            <w:pStyle w:val="TOC2"/>
            <w:spacing w:after="0"/>
            <w:rPr>
              <w:rFonts w:eastAsiaTheme="minorEastAsia"/>
              <w:noProof/>
              <w:lang w:eastAsia="en-AU"/>
            </w:rPr>
          </w:pPr>
          <w:hyperlink w:anchor="_Toc151999643" w:history="1">
            <w:r w:rsidR="0065729E" w:rsidRPr="00E8461E">
              <w:rPr>
                <w:rStyle w:val="Hyperlink"/>
                <w:noProof/>
              </w:rPr>
              <w:t>6.5 Food, nutrition, agriculture, and land management</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_Toc151999643 \h </w:instrText>
            </w:r>
            <w:r w:rsidR="0065729E" w:rsidRPr="00E8461E">
              <w:rPr>
                <w:noProof/>
                <w:webHidden/>
              </w:rPr>
            </w:r>
            <w:r w:rsidR="0065729E" w:rsidRPr="00E8461E">
              <w:rPr>
                <w:noProof/>
                <w:webHidden/>
              </w:rPr>
              <w:fldChar w:fldCharType="separate"/>
            </w:r>
            <w:r w:rsidR="000F6772">
              <w:rPr>
                <w:noProof/>
                <w:webHidden/>
              </w:rPr>
              <w:t>84</w:t>
            </w:r>
            <w:r w:rsidR="0065729E" w:rsidRPr="00E8461E">
              <w:rPr>
                <w:noProof/>
                <w:webHidden/>
              </w:rPr>
              <w:fldChar w:fldCharType="end"/>
            </w:r>
          </w:hyperlink>
        </w:p>
        <w:p w14:paraId="47611289" w14:textId="523F1084" w:rsidR="0065729E" w:rsidRPr="00E8461E" w:rsidRDefault="00B07FA8" w:rsidP="0065729E">
          <w:pPr>
            <w:pStyle w:val="TOC2"/>
            <w:spacing w:after="0"/>
            <w:rPr>
              <w:rFonts w:eastAsiaTheme="minorEastAsia"/>
              <w:noProof/>
              <w:lang w:eastAsia="en-AU"/>
            </w:rPr>
          </w:pPr>
          <w:hyperlink w:anchor="_Toc151999644" w:history="1">
            <w:r w:rsidR="0065729E" w:rsidRPr="00E8461E">
              <w:rPr>
                <w:rStyle w:val="Hyperlink"/>
                <w:noProof/>
              </w:rPr>
              <w:t>6.6 Built environment and housing</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_Toc151999644 \h </w:instrText>
            </w:r>
            <w:r w:rsidR="0065729E" w:rsidRPr="00E8461E">
              <w:rPr>
                <w:noProof/>
                <w:webHidden/>
              </w:rPr>
            </w:r>
            <w:r w:rsidR="0065729E" w:rsidRPr="00E8461E">
              <w:rPr>
                <w:noProof/>
                <w:webHidden/>
              </w:rPr>
              <w:fldChar w:fldCharType="separate"/>
            </w:r>
            <w:r w:rsidR="000F6772">
              <w:rPr>
                <w:noProof/>
                <w:webHidden/>
              </w:rPr>
              <w:t>87</w:t>
            </w:r>
            <w:r w:rsidR="0065729E" w:rsidRPr="00E8461E">
              <w:rPr>
                <w:noProof/>
                <w:webHidden/>
              </w:rPr>
              <w:fldChar w:fldCharType="end"/>
            </w:r>
          </w:hyperlink>
        </w:p>
        <w:p w14:paraId="7210EC5B" w14:textId="1F192273" w:rsidR="0065729E" w:rsidRPr="00E8461E" w:rsidRDefault="00B07FA8" w:rsidP="0065729E">
          <w:pPr>
            <w:pStyle w:val="TOC2"/>
            <w:spacing w:after="0"/>
            <w:rPr>
              <w:rFonts w:eastAsiaTheme="minorEastAsia"/>
              <w:noProof/>
              <w:lang w:eastAsia="en-AU"/>
            </w:rPr>
          </w:pPr>
          <w:hyperlink w:anchor="_Toc151999645" w:history="1">
            <w:r w:rsidR="0065729E" w:rsidRPr="00E8461E">
              <w:rPr>
                <w:rStyle w:val="Hyperlink"/>
                <w:noProof/>
                <w:lang w:val="en-GB"/>
              </w:rPr>
              <w:t>6.7 Physical activity and active travel</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_Toc151999645 \h </w:instrText>
            </w:r>
            <w:r w:rsidR="0065729E" w:rsidRPr="00E8461E">
              <w:rPr>
                <w:noProof/>
                <w:webHidden/>
              </w:rPr>
            </w:r>
            <w:r w:rsidR="0065729E" w:rsidRPr="00E8461E">
              <w:rPr>
                <w:noProof/>
                <w:webHidden/>
              </w:rPr>
              <w:fldChar w:fldCharType="separate"/>
            </w:r>
            <w:r w:rsidR="000F6772">
              <w:rPr>
                <w:noProof/>
                <w:webHidden/>
              </w:rPr>
              <w:t>90</w:t>
            </w:r>
            <w:r w:rsidR="0065729E" w:rsidRPr="00E8461E">
              <w:rPr>
                <w:noProof/>
                <w:webHidden/>
              </w:rPr>
              <w:fldChar w:fldCharType="end"/>
            </w:r>
          </w:hyperlink>
        </w:p>
        <w:p w14:paraId="0E48500E" w14:textId="11470F09" w:rsidR="0065729E" w:rsidRPr="00E8461E" w:rsidRDefault="00B07FA8" w:rsidP="0065729E">
          <w:pPr>
            <w:pStyle w:val="TOC1"/>
            <w:rPr>
              <w:rFonts w:eastAsiaTheme="minorEastAsia"/>
              <w:lang w:eastAsia="en-AU"/>
            </w:rPr>
          </w:pPr>
          <w:hyperlink w:anchor="_Toc151999646" w:history="1">
            <w:r w:rsidR="0065729E" w:rsidRPr="00E8461E">
              <w:rPr>
                <w:rStyle w:val="Hyperlink"/>
                <w:color w:val="012448" w:themeColor="hyperlink" w:themeShade="80"/>
              </w:rPr>
              <w:t>Chapter 7: Enablers of action on climate and health</w:t>
            </w:r>
            <w:r w:rsidR="0065729E" w:rsidRPr="00E8461E">
              <w:rPr>
                <w:webHidden/>
              </w:rPr>
              <w:tab/>
            </w:r>
            <w:r w:rsidR="0065729E" w:rsidRPr="00E8461E">
              <w:rPr>
                <w:webHidden/>
              </w:rPr>
              <w:fldChar w:fldCharType="begin"/>
            </w:r>
            <w:r w:rsidR="0065729E" w:rsidRPr="00E8461E">
              <w:rPr>
                <w:webHidden/>
              </w:rPr>
              <w:instrText xml:space="preserve"> PAGEREF _Toc151999646 \h </w:instrText>
            </w:r>
            <w:r w:rsidR="0065729E" w:rsidRPr="00E8461E">
              <w:rPr>
                <w:webHidden/>
              </w:rPr>
            </w:r>
            <w:r w:rsidR="0065729E" w:rsidRPr="00E8461E">
              <w:rPr>
                <w:webHidden/>
              </w:rPr>
              <w:fldChar w:fldCharType="separate"/>
            </w:r>
            <w:r w:rsidR="000F6772">
              <w:rPr>
                <w:webHidden/>
              </w:rPr>
              <w:t>92</w:t>
            </w:r>
            <w:r w:rsidR="0065729E" w:rsidRPr="00E8461E">
              <w:rPr>
                <w:webHidden/>
              </w:rPr>
              <w:fldChar w:fldCharType="end"/>
            </w:r>
          </w:hyperlink>
        </w:p>
        <w:p w14:paraId="0733D945" w14:textId="545CC9D0" w:rsidR="0065729E" w:rsidRPr="00E8461E" w:rsidRDefault="00B07FA8" w:rsidP="0065729E">
          <w:pPr>
            <w:pStyle w:val="TOC2"/>
            <w:spacing w:after="0"/>
            <w:rPr>
              <w:rFonts w:eastAsiaTheme="minorEastAsia"/>
              <w:noProof/>
              <w:lang w:eastAsia="en-AU"/>
            </w:rPr>
          </w:pPr>
          <w:hyperlink w:anchor="_Toc151999647" w:history="1">
            <w:r w:rsidR="0065729E" w:rsidRPr="00E8461E">
              <w:rPr>
                <w:rStyle w:val="Hyperlink"/>
                <w:noProof/>
              </w:rPr>
              <w:t>7.1 Workforce, leadership and training</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_Toc151999647 \h </w:instrText>
            </w:r>
            <w:r w:rsidR="0065729E" w:rsidRPr="00E8461E">
              <w:rPr>
                <w:noProof/>
                <w:webHidden/>
              </w:rPr>
            </w:r>
            <w:r w:rsidR="0065729E" w:rsidRPr="00E8461E">
              <w:rPr>
                <w:noProof/>
                <w:webHidden/>
              </w:rPr>
              <w:fldChar w:fldCharType="separate"/>
            </w:r>
            <w:r w:rsidR="000F6772">
              <w:rPr>
                <w:noProof/>
                <w:webHidden/>
              </w:rPr>
              <w:t>92</w:t>
            </w:r>
            <w:r w:rsidR="0065729E" w:rsidRPr="00E8461E">
              <w:rPr>
                <w:noProof/>
                <w:webHidden/>
              </w:rPr>
              <w:fldChar w:fldCharType="end"/>
            </w:r>
          </w:hyperlink>
        </w:p>
        <w:p w14:paraId="6B22D7AC" w14:textId="174C3A4E" w:rsidR="0065729E" w:rsidRPr="00E8461E" w:rsidRDefault="00B07FA8" w:rsidP="0065729E">
          <w:pPr>
            <w:pStyle w:val="TOC2"/>
            <w:spacing w:after="0"/>
            <w:rPr>
              <w:rFonts w:eastAsiaTheme="minorEastAsia"/>
              <w:noProof/>
              <w:lang w:eastAsia="en-AU"/>
            </w:rPr>
          </w:pPr>
          <w:hyperlink w:anchor="_Toc151999648" w:history="1">
            <w:r w:rsidR="0065729E" w:rsidRPr="00E8461E">
              <w:rPr>
                <w:rStyle w:val="Hyperlink"/>
                <w:noProof/>
              </w:rPr>
              <w:t>7.2 Research and innovation</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_Toc151999648 \h </w:instrText>
            </w:r>
            <w:r w:rsidR="0065729E" w:rsidRPr="00E8461E">
              <w:rPr>
                <w:noProof/>
                <w:webHidden/>
              </w:rPr>
            </w:r>
            <w:r w:rsidR="0065729E" w:rsidRPr="00E8461E">
              <w:rPr>
                <w:noProof/>
                <w:webHidden/>
              </w:rPr>
              <w:fldChar w:fldCharType="separate"/>
            </w:r>
            <w:r w:rsidR="000F6772">
              <w:rPr>
                <w:noProof/>
                <w:webHidden/>
              </w:rPr>
              <w:t>94</w:t>
            </w:r>
            <w:r w:rsidR="0065729E" w:rsidRPr="00E8461E">
              <w:rPr>
                <w:noProof/>
                <w:webHidden/>
              </w:rPr>
              <w:fldChar w:fldCharType="end"/>
            </w:r>
          </w:hyperlink>
        </w:p>
        <w:p w14:paraId="32B8D6C0" w14:textId="62F8AFB4" w:rsidR="0065729E" w:rsidRPr="00E8461E" w:rsidRDefault="00B07FA8" w:rsidP="0065729E">
          <w:pPr>
            <w:pStyle w:val="TOC2"/>
            <w:spacing w:after="0"/>
            <w:rPr>
              <w:rFonts w:eastAsiaTheme="minorEastAsia"/>
              <w:noProof/>
              <w:lang w:eastAsia="en-AU"/>
            </w:rPr>
          </w:pPr>
          <w:hyperlink w:anchor="_Toc151999649" w:history="1">
            <w:r w:rsidR="0065729E" w:rsidRPr="00E8461E">
              <w:rPr>
                <w:rStyle w:val="Hyperlink"/>
                <w:noProof/>
              </w:rPr>
              <w:t>7.3 Communication and engagement</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_Toc151999649 \h </w:instrText>
            </w:r>
            <w:r w:rsidR="0065729E" w:rsidRPr="00E8461E">
              <w:rPr>
                <w:noProof/>
                <w:webHidden/>
              </w:rPr>
            </w:r>
            <w:r w:rsidR="0065729E" w:rsidRPr="00E8461E">
              <w:rPr>
                <w:noProof/>
                <w:webHidden/>
              </w:rPr>
              <w:fldChar w:fldCharType="separate"/>
            </w:r>
            <w:r w:rsidR="000F6772">
              <w:rPr>
                <w:noProof/>
                <w:webHidden/>
              </w:rPr>
              <w:t>95</w:t>
            </w:r>
            <w:r w:rsidR="0065729E" w:rsidRPr="00E8461E">
              <w:rPr>
                <w:noProof/>
                <w:webHidden/>
              </w:rPr>
              <w:fldChar w:fldCharType="end"/>
            </w:r>
          </w:hyperlink>
        </w:p>
        <w:p w14:paraId="78134190" w14:textId="19B029CC" w:rsidR="0065729E" w:rsidRPr="00E8461E" w:rsidRDefault="00B07FA8" w:rsidP="0065729E">
          <w:pPr>
            <w:pStyle w:val="TOC2"/>
            <w:spacing w:after="0"/>
            <w:rPr>
              <w:rFonts w:eastAsiaTheme="minorEastAsia"/>
              <w:noProof/>
              <w:lang w:eastAsia="en-AU"/>
            </w:rPr>
          </w:pPr>
          <w:hyperlink w:anchor="_Toc151999650" w:history="1">
            <w:r w:rsidR="0065729E" w:rsidRPr="00E8461E">
              <w:rPr>
                <w:rStyle w:val="Hyperlink"/>
                <w:noProof/>
              </w:rPr>
              <w:t>7.4 Collaboration and governance</w:t>
            </w:r>
            <w:r w:rsidR="0065729E" w:rsidRPr="00E8461E">
              <w:rPr>
                <w:noProof/>
                <w:webHidden/>
              </w:rPr>
              <w:tab/>
            </w:r>
            <w:r w:rsidR="0065729E" w:rsidRPr="00E8461E">
              <w:rPr>
                <w:noProof/>
                <w:webHidden/>
              </w:rPr>
              <w:fldChar w:fldCharType="begin"/>
            </w:r>
            <w:r w:rsidR="0065729E" w:rsidRPr="00E8461E">
              <w:rPr>
                <w:noProof/>
                <w:webHidden/>
              </w:rPr>
              <w:instrText xml:space="preserve"> PAGEREF _Toc151999650 \h </w:instrText>
            </w:r>
            <w:r w:rsidR="0065729E" w:rsidRPr="00E8461E">
              <w:rPr>
                <w:noProof/>
                <w:webHidden/>
              </w:rPr>
            </w:r>
            <w:r w:rsidR="0065729E" w:rsidRPr="00E8461E">
              <w:rPr>
                <w:noProof/>
                <w:webHidden/>
              </w:rPr>
              <w:fldChar w:fldCharType="separate"/>
            </w:r>
            <w:r w:rsidR="000F6772">
              <w:rPr>
                <w:noProof/>
                <w:webHidden/>
              </w:rPr>
              <w:t>96</w:t>
            </w:r>
            <w:r w:rsidR="0065729E" w:rsidRPr="00E8461E">
              <w:rPr>
                <w:noProof/>
                <w:webHidden/>
              </w:rPr>
              <w:fldChar w:fldCharType="end"/>
            </w:r>
          </w:hyperlink>
        </w:p>
        <w:p w14:paraId="15C72BE6" w14:textId="0AD6202A" w:rsidR="0065729E" w:rsidRPr="00E8461E" w:rsidRDefault="00B07FA8" w:rsidP="0065729E">
          <w:pPr>
            <w:pStyle w:val="TOC1"/>
            <w:rPr>
              <w:rFonts w:eastAsiaTheme="minorEastAsia"/>
              <w:lang w:eastAsia="en-AU"/>
            </w:rPr>
          </w:pPr>
          <w:hyperlink w:anchor="_Toc151999651" w:history="1">
            <w:r w:rsidR="0065729E" w:rsidRPr="00E8461E">
              <w:rPr>
                <w:rStyle w:val="Hyperlink"/>
                <w:color w:val="012448" w:themeColor="hyperlink" w:themeShade="80"/>
              </w:rPr>
              <w:t>Appendix – List of actions</w:t>
            </w:r>
            <w:r w:rsidR="0065729E" w:rsidRPr="00E8461E">
              <w:rPr>
                <w:webHidden/>
              </w:rPr>
              <w:tab/>
            </w:r>
            <w:r w:rsidR="0065729E" w:rsidRPr="00E8461E">
              <w:rPr>
                <w:webHidden/>
              </w:rPr>
              <w:fldChar w:fldCharType="begin"/>
            </w:r>
            <w:r w:rsidR="0065729E" w:rsidRPr="00E8461E">
              <w:rPr>
                <w:webHidden/>
              </w:rPr>
              <w:instrText xml:space="preserve"> PAGEREF _Toc151999651 \h </w:instrText>
            </w:r>
            <w:r w:rsidR="0065729E" w:rsidRPr="00E8461E">
              <w:rPr>
                <w:webHidden/>
              </w:rPr>
            </w:r>
            <w:r w:rsidR="0065729E" w:rsidRPr="00E8461E">
              <w:rPr>
                <w:webHidden/>
              </w:rPr>
              <w:fldChar w:fldCharType="separate"/>
            </w:r>
            <w:r w:rsidR="000F6772">
              <w:rPr>
                <w:webHidden/>
              </w:rPr>
              <w:t>97</w:t>
            </w:r>
            <w:r w:rsidR="0065729E" w:rsidRPr="00E8461E">
              <w:rPr>
                <w:webHidden/>
              </w:rPr>
              <w:fldChar w:fldCharType="end"/>
            </w:r>
          </w:hyperlink>
        </w:p>
        <w:p w14:paraId="14EBD054" w14:textId="08E555B8" w:rsidR="0065729E" w:rsidRPr="00E8461E" w:rsidRDefault="00B07FA8" w:rsidP="0065729E">
          <w:pPr>
            <w:pStyle w:val="TOC1"/>
            <w:rPr>
              <w:rFonts w:eastAsiaTheme="minorEastAsia"/>
              <w:lang w:eastAsia="en-AU"/>
            </w:rPr>
          </w:pPr>
          <w:hyperlink w:anchor="_Toc151999652" w:history="1">
            <w:r w:rsidR="0065729E" w:rsidRPr="00E8461E">
              <w:rPr>
                <w:rStyle w:val="Hyperlink"/>
                <w:color w:val="012448" w:themeColor="hyperlink" w:themeShade="80"/>
              </w:rPr>
              <w:t>References</w:t>
            </w:r>
            <w:r w:rsidR="0065729E" w:rsidRPr="00E8461E">
              <w:rPr>
                <w:webHidden/>
              </w:rPr>
              <w:tab/>
            </w:r>
            <w:r w:rsidR="0065729E" w:rsidRPr="00E8461E">
              <w:rPr>
                <w:webHidden/>
              </w:rPr>
              <w:fldChar w:fldCharType="begin"/>
            </w:r>
            <w:r w:rsidR="0065729E" w:rsidRPr="00E8461E">
              <w:rPr>
                <w:webHidden/>
              </w:rPr>
              <w:instrText xml:space="preserve"> PAGEREF _Toc151999652 \h </w:instrText>
            </w:r>
            <w:r w:rsidR="0065729E" w:rsidRPr="00E8461E">
              <w:rPr>
                <w:webHidden/>
              </w:rPr>
            </w:r>
            <w:r w:rsidR="0065729E" w:rsidRPr="00E8461E">
              <w:rPr>
                <w:webHidden/>
              </w:rPr>
              <w:fldChar w:fldCharType="separate"/>
            </w:r>
            <w:r w:rsidR="000F6772">
              <w:rPr>
                <w:webHidden/>
              </w:rPr>
              <w:t>106</w:t>
            </w:r>
            <w:r w:rsidR="0065729E" w:rsidRPr="00E8461E">
              <w:rPr>
                <w:webHidden/>
              </w:rPr>
              <w:fldChar w:fldCharType="end"/>
            </w:r>
          </w:hyperlink>
        </w:p>
        <w:p w14:paraId="7F427315" w14:textId="35A3DBB7" w:rsidR="00E14513" w:rsidRPr="00E8461E" w:rsidRDefault="0065729E" w:rsidP="0065729E">
          <w:pPr>
            <w:pStyle w:val="TOC2"/>
            <w:spacing w:after="0"/>
            <w:rPr>
              <w:lang w:val="en-GB"/>
            </w:rPr>
          </w:pPr>
          <w:r w:rsidRPr="00E8461E">
            <w:rPr>
              <w:lang w:val="en-GB"/>
            </w:rPr>
            <w:fldChar w:fldCharType="end"/>
          </w:r>
        </w:p>
      </w:sdtContent>
    </w:sdt>
    <w:p w14:paraId="05B9E23B" w14:textId="77777777" w:rsidR="000F6772" w:rsidRDefault="000F6772" w:rsidP="00CE2599">
      <w:pPr>
        <w:pStyle w:val="Heading2"/>
        <w:sectPr w:rsidR="000F6772" w:rsidSect="0065729E">
          <w:endnotePr>
            <w:numFmt w:val="decimal"/>
          </w:endnotePr>
          <w:pgSz w:w="11906" w:h="16838"/>
          <w:pgMar w:top="1134" w:right="1134" w:bottom="568" w:left="1134" w:header="709" w:footer="709" w:gutter="0"/>
          <w:cols w:space="708"/>
          <w:titlePg/>
          <w:docGrid w:linePitch="360"/>
        </w:sectPr>
      </w:pPr>
      <w:bookmarkStart w:id="0" w:name="_Toc147086728"/>
      <w:bookmarkStart w:id="1" w:name="_Toc149909968"/>
      <w:bookmarkStart w:id="2" w:name="_Toc149918432"/>
      <w:bookmarkStart w:id="3" w:name="_Toc151999611"/>
    </w:p>
    <w:p w14:paraId="731C129D" w14:textId="3FCB02A9" w:rsidR="007A466B" w:rsidRPr="00E8461E" w:rsidRDefault="00307B14" w:rsidP="00CE2599">
      <w:pPr>
        <w:pStyle w:val="Heading2"/>
      </w:pPr>
      <w:r w:rsidRPr="00E8461E">
        <w:lastRenderedPageBreak/>
        <w:t>Ministers</w:t>
      </w:r>
      <w:r w:rsidR="00557BF3" w:rsidRPr="00E8461E">
        <w:t>’</w:t>
      </w:r>
      <w:r w:rsidRPr="00E8461E">
        <w:t xml:space="preserve"> </w:t>
      </w:r>
      <w:bookmarkEnd w:id="0"/>
      <w:r w:rsidR="00D015B1" w:rsidRPr="00E8461E">
        <w:t>f</w:t>
      </w:r>
      <w:r w:rsidRPr="00E8461E">
        <w:t>oreword</w:t>
      </w:r>
      <w:bookmarkEnd w:id="1"/>
      <w:bookmarkEnd w:id="2"/>
      <w:bookmarkEnd w:id="3"/>
    </w:p>
    <w:p w14:paraId="2E307AFB" w14:textId="1A71BD5A" w:rsidR="004C7C12" w:rsidRPr="00E8461E" w:rsidRDefault="00D92088" w:rsidP="0065729E">
      <w:pPr>
        <w:spacing w:after="120"/>
      </w:pPr>
      <w:r w:rsidRPr="00E8461E">
        <w:t>The World Health Organi</w:t>
      </w:r>
      <w:r w:rsidR="00802542" w:rsidRPr="00E8461E">
        <w:t>z</w:t>
      </w:r>
      <w:r w:rsidRPr="00E8461E">
        <w:t>ation has described climate change as the greatest threat to public health in the 21</w:t>
      </w:r>
      <w:r w:rsidRPr="00E8461E">
        <w:rPr>
          <w:vertAlign w:val="superscript"/>
        </w:rPr>
        <w:t>st</w:t>
      </w:r>
      <w:r w:rsidRPr="00E8461E">
        <w:t xml:space="preserve"> Century.</w:t>
      </w:r>
      <w:r w:rsidR="001B1F3B" w:rsidRPr="00E8461E">
        <w:t xml:space="preserve"> </w:t>
      </w:r>
      <w:r w:rsidR="0047107A" w:rsidRPr="00E8461E">
        <w:t>People in Australia are</w:t>
      </w:r>
      <w:r w:rsidR="008829A9" w:rsidRPr="00E8461E">
        <w:t xml:space="preserve"> already </w:t>
      </w:r>
      <w:r w:rsidR="007F583D" w:rsidRPr="00E8461E">
        <w:t>feeling the effects of</w:t>
      </w:r>
      <w:r w:rsidR="0047107A" w:rsidRPr="00E8461E">
        <w:t xml:space="preserve"> a warming planet</w:t>
      </w:r>
      <w:r w:rsidR="005D1AB7" w:rsidRPr="00E8461E">
        <w:t>.</w:t>
      </w:r>
      <w:r w:rsidR="003219DE" w:rsidRPr="00E8461E">
        <w:t xml:space="preserve"> </w:t>
      </w:r>
      <w:r w:rsidR="00654273" w:rsidRPr="00E8461E">
        <w:t xml:space="preserve">In recent years, unprecedented droughts, </w:t>
      </w:r>
      <w:proofErr w:type="gramStart"/>
      <w:r w:rsidR="00654273" w:rsidRPr="00E8461E">
        <w:t>fires</w:t>
      </w:r>
      <w:proofErr w:type="gramEnd"/>
      <w:r w:rsidR="00654273" w:rsidRPr="00E8461E">
        <w:t xml:space="preserve"> and floods</w:t>
      </w:r>
      <w:r w:rsidR="00322495" w:rsidRPr="00E8461E">
        <w:t xml:space="preserve"> hav</w:t>
      </w:r>
      <w:r w:rsidR="001002C8" w:rsidRPr="00E8461E">
        <w:t xml:space="preserve">e taken </w:t>
      </w:r>
      <w:r w:rsidR="000261A3" w:rsidRPr="00E8461E">
        <w:t>their</w:t>
      </w:r>
      <w:r w:rsidR="001002C8" w:rsidRPr="00E8461E">
        <w:t xml:space="preserve"> toll on lives. </w:t>
      </w:r>
      <w:r w:rsidR="002D5DC7" w:rsidRPr="00E8461E">
        <w:t>Longer and hotter summers</w:t>
      </w:r>
      <w:r w:rsidR="00603ED4" w:rsidRPr="00E8461E">
        <w:t>,</w:t>
      </w:r>
      <w:r w:rsidR="00BC3B76" w:rsidRPr="00E8461E">
        <w:t xml:space="preserve"> </w:t>
      </w:r>
      <w:r w:rsidR="00732A46" w:rsidRPr="00E8461E">
        <w:t>with</w:t>
      </w:r>
      <w:r w:rsidR="00A76E64" w:rsidRPr="00E8461E">
        <w:t xml:space="preserve"> </w:t>
      </w:r>
      <w:r w:rsidR="004D3CD9" w:rsidRPr="00E8461E">
        <w:t xml:space="preserve">more </w:t>
      </w:r>
      <w:r w:rsidR="00603ED4" w:rsidRPr="00E8461E">
        <w:t xml:space="preserve">frequent and intense </w:t>
      </w:r>
      <w:r w:rsidR="00A76E64" w:rsidRPr="00E8461E">
        <w:t>heatwaves</w:t>
      </w:r>
      <w:r w:rsidR="00732A46" w:rsidRPr="00E8461E">
        <w:t xml:space="preserve">, </w:t>
      </w:r>
      <w:r w:rsidR="004D3CD9" w:rsidRPr="00E8461E">
        <w:t>are regularly</w:t>
      </w:r>
      <w:r w:rsidR="00732A46" w:rsidRPr="00E8461E">
        <w:t xml:space="preserve"> break</w:t>
      </w:r>
      <w:r w:rsidR="004D3CD9" w:rsidRPr="00E8461E">
        <w:t>ing</w:t>
      </w:r>
      <w:r w:rsidR="00732A46" w:rsidRPr="00E8461E">
        <w:t xml:space="preserve"> temperature records</w:t>
      </w:r>
      <w:r w:rsidR="00687F65" w:rsidRPr="00E8461E">
        <w:t xml:space="preserve">. </w:t>
      </w:r>
      <w:r w:rsidR="00EF57E9" w:rsidRPr="00E8461E">
        <w:t>I</w:t>
      </w:r>
      <w:r w:rsidR="003229FE" w:rsidRPr="00E8461E">
        <w:t>llness</w:t>
      </w:r>
      <w:r w:rsidR="00EF57E9" w:rsidRPr="00E8461E">
        <w:t xml:space="preserve">, </w:t>
      </w:r>
      <w:proofErr w:type="gramStart"/>
      <w:r w:rsidR="00EF57E9" w:rsidRPr="00E8461E">
        <w:t>injury</w:t>
      </w:r>
      <w:proofErr w:type="gramEnd"/>
      <w:r w:rsidR="003229FE" w:rsidRPr="00E8461E">
        <w:t xml:space="preserve"> and death</w:t>
      </w:r>
      <w:r w:rsidR="00EF57E9" w:rsidRPr="00E8461E">
        <w:t xml:space="preserve"> related to </w:t>
      </w:r>
      <w:r w:rsidR="00CF5AF7" w:rsidRPr="00E8461E">
        <w:t>disasters</w:t>
      </w:r>
      <w:r w:rsidR="00EF57E9" w:rsidRPr="00E8461E">
        <w:t xml:space="preserve"> and</w:t>
      </w:r>
      <w:r w:rsidR="00CF5AF7" w:rsidRPr="00E8461E">
        <w:t xml:space="preserve"> extreme</w:t>
      </w:r>
      <w:r w:rsidR="00EF57E9" w:rsidRPr="00E8461E">
        <w:t xml:space="preserve"> heat</w:t>
      </w:r>
      <w:r w:rsidR="003229FE" w:rsidRPr="00E8461E">
        <w:t xml:space="preserve"> represent</w:t>
      </w:r>
      <w:r w:rsidR="00F379DD" w:rsidRPr="00E8461E">
        <w:t xml:space="preserve"> </w:t>
      </w:r>
      <w:r w:rsidR="00247EA7" w:rsidRPr="00E8461E">
        <w:t>just a few</w:t>
      </w:r>
      <w:r w:rsidR="00F379DD" w:rsidRPr="00E8461E">
        <w:t xml:space="preserve"> of </w:t>
      </w:r>
      <w:r w:rsidR="00BF2854" w:rsidRPr="00E8461E">
        <w:t>climate change</w:t>
      </w:r>
      <w:r w:rsidR="00660673" w:rsidRPr="00E8461E">
        <w:t>’s impacts on</w:t>
      </w:r>
      <w:r w:rsidR="00E27E72" w:rsidRPr="00E8461E">
        <w:t xml:space="preserve"> health</w:t>
      </w:r>
      <w:r w:rsidR="007E48A6" w:rsidRPr="00E8461E">
        <w:t>.</w:t>
      </w:r>
      <w:r w:rsidR="001F1098" w:rsidRPr="00E8461E">
        <w:t xml:space="preserve"> </w:t>
      </w:r>
      <w:r w:rsidR="00F62F3F" w:rsidRPr="00E8461E">
        <w:t xml:space="preserve">Without action to reduce emissions, climate change </w:t>
      </w:r>
      <w:r w:rsidR="00812825" w:rsidRPr="00E8461E">
        <w:t xml:space="preserve">will </w:t>
      </w:r>
      <w:r w:rsidR="003E3626" w:rsidRPr="00E8461E">
        <w:t xml:space="preserve">threaten </w:t>
      </w:r>
      <w:r w:rsidR="00B10B17" w:rsidRPr="00E8461E">
        <w:t>food and water security,</w:t>
      </w:r>
      <w:r w:rsidR="003E3626" w:rsidRPr="00E8461E">
        <w:t xml:space="preserve"> facilitate</w:t>
      </w:r>
      <w:r w:rsidR="00B10B17" w:rsidRPr="00E8461E">
        <w:t xml:space="preserve"> </w:t>
      </w:r>
      <w:r w:rsidR="00E32B41" w:rsidRPr="00E8461E">
        <w:t xml:space="preserve">the spread of infectious </w:t>
      </w:r>
      <w:proofErr w:type="gramStart"/>
      <w:r w:rsidR="00E32B41" w:rsidRPr="00E8461E">
        <w:t>disease</w:t>
      </w:r>
      <w:r w:rsidR="00F861FC" w:rsidRPr="00E8461E">
        <w:t>s</w:t>
      </w:r>
      <w:proofErr w:type="gramEnd"/>
      <w:r w:rsidR="00B10B17" w:rsidRPr="00E8461E">
        <w:t xml:space="preserve"> and</w:t>
      </w:r>
      <w:r w:rsidR="00F27C1C" w:rsidRPr="00E8461E">
        <w:t xml:space="preserve"> worsen</w:t>
      </w:r>
      <w:r w:rsidR="00B10B17" w:rsidRPr="00E8461E">
        <w:t xml:space="preserve"> air quality</w:t>
      </w:r>
      <w:r w:rsidR="008049AD" w:rsidRPr="00E8461E">
        <w:t xml:space="preserve"> with </w:t>
      </w:r>
      <w:r w:rsidR="00AE0721" w:rsidRPr="00E8461E">
        <w:t xml:space="preserve">far-reaching and </w:t>
      </w:r>
      <w:r w:rsidR="008049AD" w:rsidRPr="00E8461E">
        <w:t>d</w:t>
      </w:r>
      <w:r w:rsidR="000C0887" w:rsidRPr="00E8461E">
        <w:t>evastating</w:t>
      </w:r>
      <w:r w:rsidR="008049AD" w:rsidRPr="00E8461E">
        <w:t xml:space="preserve"> consequences for </w:t>
      </w:r>
      <w:r w:rsidR="00A418F5" w:rsidRPr="00E8461E">
        <w:t>health</w:t>
      </w:r>
      <w:r w:rsidR="0074758C" w:rsidRPr="00E8461E">
        <w:t xml:space="preserve">. </w:t>
      </w:r>
      <w:r w:rsidR="00B40FAA" w:rsidRPr="00E8461E">
        <w:t>C</w:t>
      </w:r>
      <w:r w:rsidR="00A03698" w:rsidRPr="00E8461E">
        <w:t>limate change</w:t>
      </w:r>
      <w:r w:rsidR="00A671CA" w:rsidRPr="00E8461E">
        <w:t xml:space="preserve"> is</w:t>
      </w:r>
      <w:r w:rsidR="00132C32" w:rsidRPr="00E8461E">
        <w:t xml:space="preserve"> </w:t>
      </w:r>
      <w:r w:rsidR="00A671CA" w:rsidRPr="00E8461E">
        <w:t>also</w:t>
      </w:r>
      <w:r w:rsidR="00447C8D" w:rsidRPr="00E8461E">
        <w:t xml:space="preserve"> having </w:t>
      </w:r>
      <w:r w:rsidR="00682E42" w:rsidRPr="00E8461E">
        <w:t>a</w:t>
      </w:r>
      <w:r w:rsidR="00447C8D" w:rsidRPr="00E8461E">
        <w:t xml:space="preserve"> </w:t>
      </w:r>
      <w:r w:rsidR="00682E42" w:rsidRPr="00E8461E">
        <w:t>profound impact on</w:t>
      </w:r>
      <w:r w:rsidR="007C2D8C" w:rsidRPr="00E8461E">
        <w:t xml:space="preserve"> mental </w:t>
      </w:r>
      <w:r w:rsidR="00707451" w:rsidRPr="00E8461E">
        <w:t>health</w:t>
      </w:r>
      <w:r w:rsidR="007C2D8C" w:rsidRPr="00E8461E">
        <w:t xml:space="preserve"> across the country</w:t>
      </w:r>
      <w:r w:rsidR="000E7176" w:rsidRPr="00E8461E">
        <w:t>, particularly amongst our youth</w:t>
      </w:r>
      <w:r w:rsidR="007C2D8C" w:rsidRPr="00E8461E">
        <w:t>.</w:t>
      </w:r>
    </w:p>
    <w:p w14:paraId="4628A339" w14:textId="5067E5F0" w:rsidR="004C7C12" w:rsidRPr="00E8461E" w:rsidRDefault="00DC24C3" w:rsidP="0065729E">
      <w:pPr>
        <w:spacing w:after="120"/>
      </w:pPr>
      <w:r w:rsidRPr="00E8461E">
        <w:t xml:space="preserve">In recognition of the urgent need to address the </w:t>
      </w:r>
      <w:r w:rsidR="004424B6" w:rsidRPr="00E8461E">
        <w:t>health risks associated with climate change</w:t>
      </w:r>
      <w:r w:rsidRPr="00E8461E">
        <w:t>,</w:t>
      </w:r>
      <w:r w:rsidR="003D2746" w:rsidRPr="00E8461E">
        <w:t xml:space="preserve"> </w:t>
      </w:r>
      <w:r w:rsidR="00EB37D3" w:rsidRPr="00E8461E">
        <w:t>we are</w:t>
      </w:r>
      <w:r w:rsidR="003D2746" w:rsidRPr="00E8461E">
        <w:t xml:space="preserve"> </w:t>
      </w:r>
      <w:r w:rsidR="00F223B5" w:rsidRPr="00E8461E">
        <w:t>proud</w:t>
      </w:r>
      <w:r w:rsidR="003D2746" w:rsidRPr="00E8461E">
        <w:t xml:space="preserve"> to launch </w:t>
      </w:r>
      <w:r w:rsidR="00A026D4" w:rsidRPr="00E8461E">
        <w:t xml:space="preserve">Australia’s first National Health and Climate Strategy. Across the globe, health systems are a </w:t>
      </w:r>
      <w:r w:rsidR="00412998" w:rsidRPr="00E8461E">
        <w:t>significant</w:t>
      </w:r>
      <w:r w:rsidR="00A026D4" w:rsidRPr="00E8461E">
        <w:t xml:space="preserve"> contributor to </w:t>
      </w:r>
      <w:r w:rsidR="00800696" w:rsidRPr="00E8461E">
        <w:t>greenhouse gas emissions</w:t>
      </w:r>
      <w:r w:rsidR="005C731E" w:rsidRPr="00E8461E">
        <w:t>.</w:t>
      </w:r>
      <w:r w:rsidR="00A026D4" w:rsidRPr="00E8461E">
        <w:t xml:space="preserve"> </w:t>
      </w:r>
      <w:r w:rsidR="00D50FDF" w:rsidRPr="00E8461E">
        <w:t xml:space="preserve">As the Minister </w:t>
      </w:r>
      <w:r w:rsidR="00F3191F" w:rsidRPr="00E8461E">
        <w:t>and Assistant</w:t>
      </w:r>
      <w:r w:rsidR="00D50FDF" w:rsidRPr="00E8461E">
        <w:t xml:space="preserve"> Minister for Health and Aged Care</w:t>
      </w:r>
      <w:r w:rsidR="006F5ED7" w:rsidRPr="00E8461E">
        <w:t xml:space="preserve">, </w:t>
      </w:r>
      <w:r w:rsidR="00774B2A" w:rsidRPr="00E8461E">
        <w:t>we</w:t>
      </w:r>
      <w:r w:rsidR="006F5ED7" w:rsidRPr="00E8461E">
        <w:t xml:space="preserve"> understand</w:t>
      </w:r>
      <w:r w:rsidR="006445A3" w:rsidRPr="00E8461E">
        <w:t xml:space="preserve"> and fully support</w:t>
      </w:r>
      <w:r w:rsidR="0034182C" w:rsidRPr="00E8461E">
        <w:t xml:space="preserve"> </w:t>
      </w:r>
      <w:r w:rsidR="00E3221C" w:rsidRPr="00E8461E">
        <w:t>the imperative</w:t>
      </w:r>
      <w:r w:rsidR="00AE7AF3" w:rsidRPr="00E8461E">
        <w:t xml:space="preserve"> for</w:t>
      </w:r>
      <w:r w:rsidR="005A2C9B" w:rsidRPr="00E8461E">
        <w:t xml:space="preserve"> </w:t>
      </w:r>
      <w:r w:rsidR="00411507" w:rsidRPr="00E8461E">
        <w:t xml:space="preserve">Australia’s </w:t>
      </w:r>
      <w:r w:rsidR="004B4CA9" w:rsidRPr="00E8461E">
        <w:t>health system</w:t>
      </w:r>
      <w:r w:rsidR="00411507" w:rsidRPr="00E8461E">
        <w:t xml:space="preserve"> </w:t>
      </w:r>
      <w:r w:rsidR="00AE7AF3" w:rsidRPr="00E8461E">
        <w:t xml:space="preserve">to </w:t>
      </w:r>
      <w:r w:rsidR="00D0222C" w:rsidRPr="00E8461E">
        <w:t xml:space="preserve">play its part in </w:t>
      </w:r>
      <w:r w:rsidR="00FF68BC" w:rsidRPr="00E8461E">
        <w:t xml:space="preserve">Australia’s transition to </w:t>
      </w:r>
      <w:r w:rsidR="00612EED" w:rsidRPr="00E8461E">
        <w:t xml:space="preserve">a </w:t>
      </w:r>
      <w:r w:rsidR="004B4CA9" w:rsidRPr="00E8461E">
        <w:t>n</w:t>
      </w:r>
      <w:r w:rsidR="00754536" w:rsidRPr="00E8461E">
        <w:t xml:space="preserve">et </w:t>
      </w:r>
      <w:r w:rsidR="004B4CA9" w:rsidRPr="00E8461E">
        <w:t>z</w:t>
      </w:r>
      <w:r w:rsidR="00754536" w:rsidRPr="00E8461E">
        <w:t>ero economy</w:t>
      </w:r>
      <w:r w:rsidR="00FF68BC" w:rsidRPr="00E8461E">
        <w:t xml:space="preserve"> by 2050</w:t>
      </w:r>
      <w:r w:rsidR="0030016C" w:rsidRPr="00E8461E">
        <w:t>.</w:t>
      </w:r>
      <w:r w:rsidR="000172FC" w:rsidRPr="00E8461E">
        <w:t xml:space="preserve"> </w:t>
      </w:r>
      <w:r w:rsidR="00670B50" w:rsidRPr="00E8461E">
        <w:t>However, e</w:t>
      </w:r>
      <w:r w:rsidR="00420230" w:rsidRPr="00E8461E">
        <w:t>ven with global action to mitigate climate change, there is a</w:t>
      </w:r>
      <w:r w:rsidR="001C7421" w:rsidRPr="00E8461E">
        <w:t xml:space="preserve"> pressing</w:t>
      </w:r>
      <w:r w:rsidR="00420230" w:rsidRPr="00E8461E">
        <w:t xml:space="preserve"> need to prepare </w:t>
      </w:r>
      <w:r w:rsidR="005A0F17" w:rsidRPr="00E8461E">
        <w:t xml:space="preserve">the </w:t>
      </w:r>
      <w:r w:rsidR="00420230" w:rsidRPr="00E8461E">
        <w:t>health system and communities for the inevitable health impacts of climate change. The Strategy sets out a plan for</w:t>
      </w:r>
      <w:r w:rsidR="009813C8" w:rsidRPr="00E8461E">
        <w:t xml:space="preserve"> building a net zero health system and</w:t>
      </w:r>
      <w:r w:rsidR="00420230" w:rsidRPr="00E8461E">
        <w:t xml:space="preserve"> strengthening the </w:t>
      </w:r>
      <w:r w:rsidR="009813C8" w:rsidRPr="00E8461E">
        <w:t xml:space="preserve">climate </w:t>
      </w:r>
      <w:r w:rsidR="00420230" w:rsidRPr="00E8461E">
        <w:t xml:space="preserve">resilience of </w:t>
      </w:r>
      <w:r w:rsidR="006445A3" w:rsidRPr="00E8461E">
        <w:t xml:space="preserve">our </w:t>
      </w:r>
      <w:r w:rsidR="00420230" w:rsidRPr="00E8461E">
        <w:t xml:space="preserve">health system, recognising the interdependent relationship between </w:t>
      </w:r>
      <w:r w:rsidR="001C7421" w:rsidRPr="00E8461E">
        <w:t xml:space="preserve">climate </w:t>
      </w:r>
      <w:r w:rsidR="00420230" w:rsidRPr="00E8461E">
        <w:t xml:space="preserve">adaptation and mitigation. </w:t>
      </w:r>
      <w:r w:rsidR="004A70EE" w:rsidRPr="00E8461E">
        <w:t xml:space="preserve">The Strategy will build on the existing work </w:t>
      </w:r>
      <w:r w:rsidR="00774B11" w:rsidRPr="00E8461E">
        <w:t>at all levels of government</w:t>
      </w:r>
      <w:r w:rsidR="004A70EE" w:rsidRPr="00E8461E">
        <w:t xml:space="preserve"> and </w:t>
      </w:r>
      <w:r w:rsidR="00774B11" w:rsidRPr="00E8461E">
        <w:t>by</w:t>
      </w:r>
      <w:r w:rsidR="004A70EE" w:rsidRPr="00E8461E">
        <w:t xml:space="preserve"> health professionals and establish a </w:t>
      </w:r>
      <w:r w:rsidR="0097781D" w:rsidRPr="00E8461E">
        <w:t>path forward</w:t>
      </w:r>
      <w:r w:rsidR="004A70EE" w:rsidRPr="00E8461E">
        <w:t xml:space="preserve"> for Australia’s </w:t>
      </w:r>
      <w:r w:rsidR="00E81292" w:rsidRPr="00E8461E">
        <w:t xml:space="preserve">international </w:t>
      </w:r>
      <w:r w:rsidR="004A70EE" w:rsidRPr="00E8461E">
        <w:t>leadership on climate and health.</w:t>
      </w:r>
    </w:p>
    <w:p w14:paraId="603090CC" w14:textId="77777777" w:rsidR="000F6772" w:rsidRDefault="00AA4A87" w:rsidP="0065729E">
      <w:pPr>
        <w:spacing w:after="120"/>
        <w:sectPr w:rsidR="000F6772" w:rsidSect="000F6772">
          <w:endnotePr>
            <w:numFmt w:val="decimal"/>
          </w:endnotePr>
          <w:pgSz w:w="11906" w:h="16838"/>
          <w:pgMar w:top="5812" w:right="1134" w:bottom="568" w:left="1134" w:header="709" w:footer="709" w:gutter="0"/>
          <w:cols w:space="708"/>
          <w:titlePg/>
          <w:docGrid w:linePitch="360"/>
        </w:sectPr>
      </w:pPr>
      <w:r w:rsidRPr="00E8461E">
        <w:t>The Strategy adopts a Health in All Policies perspective, recognising that collaboration across different policy areas is crucial to the development of just and equitable responses to address the impact of climate change on health</w:t>
      </w:r>
      <w:r w:rsidR="00382337" w:rsidRPr="00E8461E">
        <w:t>.</w:t>
      </w:r>
      <w:r w:rsidR="008F3309" w:rsidRPr="00E8461E">
        <w:t xml:space="preserve"> </w:t>
      </w:r>
      <w:r w:rsidR="00382337" w:rsidRPr="00E8461E">
        <w:t>G</w:t>
      </w:r>
      <w:r w:rsidR="00420230" w:rsidRPr="00E8461E">
        <w:t>ood climate policy is good public health policy.</w:t>
      </w:r>
      <w:r w:rsidR="00FB5514" w:rsidRPr="00E8461E">
        <w:t xml:space="preserve"> Emission reduction</w:t>
      </w:r>
      <w:r w:rsidR="00420230" w:rsidRPr="00E8461E">
        <w:t xml:space="preserve"> across all sectors</w:t>
      </w:r>
      <w:r w:rsidR="00A16BE1" w:rsidRPr="00E8461E">
        <w:t xml:space="preserve"> </w:t>
      </w:r>
      <w:r w:rsidR="007F4AAC" w:rsidRPr="00E8461E">
        <w:t xml:space="preserve">is </w:t>
      </w:r>
      <w:r w:rsidR="00FB5514" w:rsidRPr="00E8461E">
        <w:t xml:space="preserve">necessary </w:t>
      </w:r>
      <w:r w:rsidR="00EF5020" w:rsidRPr="00E8461E">
        <w:t>to</w:t>
      </w:r>
      <w:r w:rsidR="00F121FE" w:rsidRPr="00E8461E">
        <w:t xml:space="preserve"> reduce the impact of climate change on our health</w:t>
      </w:r>
      <w:r w:rsidR="00407D02" w:rsidRPr="00E8461E">
        <w:t xml:space="preserve"> and wellbeing</w:t>
      </w:r>
      <w:r w:rsidR="00420230" w:rsidRPr="00E8461E">
        <w:t>.</w:t>
      </w:r>
      <w:r w:rsidR="00BA1954" w:rsidRPr="00E8461E">
        <w:t xml:space="preserve"> T</w:t>
      </w:r>
      <w:r w:rsidR="00420230" w:rsidRPr="00E8461E">
        <w:t xml:space="preserve">he Strategy </w:t>
      </w:r>
      <w:r w:rsidR="0036779F" w:rsidRPr="00E8461E">
        <w:t xml:space="preserve">also </w:t>
      </w:r>
      <w:r w:rsidR="00420230" w:rsidRPr="00E8461E">
        <w:t xml:space="preserve">includes action </w:t>
      </w:r>
      <w:r w:rsidR="007F4AAC" w:rsidRPr="00E8461E">
        <w:t xml:space="preserve">to </w:t>
      </w:r>
      <w:r w:rsidR="00420230" w:rsidRPr="00E8461E">
        <w:t xml:space="preserve">amplify the relationship between </w:t>
      </w:r>
      <w:r w:rsidR="00304AA5" w:rsidRPr="00E8461E">
        <w:t xml:space="preserve">Australia’s </w:t>
      </w:r>
      <w:r w:rsidR="004043E0" w:rsidRPr="00E8461E">
        <w:t>climate</w:t>
      </w:r>
      <w:r w:rsidR="00304AA5" w:rsidRPr="00E8461E">
        <w:t xml:space="preserve"> </w:t>
      </w:r>
      <w:r w:rsidR="00F76D72" w:rsidRPr="00E8461E">
        <w:t xml:space="preserve">and disaster </w:t>
      </w:r>
      <w:r w:rsidR="00304AA5" w:rsidRPr="00E8461E">
        <w:t>policies</w:t>
      </w:r>
      <w:r w:rsidR="00420230" w:rsidRPr="00E8461E">
        <w:t xml:space="preserve"> and preventive health outcomes. </w:t>
      </w:r>
      <w:r w:rsidR="00806709" w:rsidRPr="00E8461E">
        <w:t>Keeping</w:t>
      </w:r>
      <w:r w:rsidR="00420230" w:rsidRPr="00E8461E">
        <w:t xml:space="preserve"> people healthy and out </w:t>
      </w:r>
      <w:r w:rsidR="002A46C1" w:rsidRPr="00E8461E">
        <w:t>of hospitals</w:t>
      </w:r>
      <w:r w:rsidR="00420230" w:rsidRPr="00E8461E">
        <w:t xml:space="preserve"> will </w:t>
      </w:r>
      <w:r w:rsidR="00C5068E" w:rsidRPr="00E8461E">
        <w:t>support</w:t>
      </w:r>
      <w:r w:rsidR="003E602F" w:rsidRPr="00E8461E">
        <w:t xml:space="preserve"> Australia’s</w:t>
      </w:r>
      <w:r w:rsidR="00C5068E" w:rsidRPr="00E8461E">
        <w:t xml:space="preserve"> progress to reduce emissions</w:t>
      </w:r>
      <w:r w:rsidR="00420230" w:rsidRPr="00E8461E">
        <w:t xml:space="preserve">. </w:t>
      </w:r>
      <w:r w:rsidR="00806709" w:rsidRPr="00E8461E">
        <w:t xml:space="preserve">At the same time, </w:t>
      </w:r>
      <w:r w:rsidR="00B06EF7" w:rsidRPr="00E8461E">
        <w:t xml:space="preserve">preventing disease </w:t>
      </w:r>
      <w:r w:rsidR="0078579C" w:rsidRPr="00E8461E">
        <w:t xml:space="preserve">will </w:t>
      </w:r>
      <w:r w:rsidR="00AC7FDB" w:rsidRPr="00E8461E">
        <w:t xml:space="preserve">help to </w:t>
      </w:r>
      <w:r w:rsidR="00A2262F" w:rsidRPr="00E8461E">
        <w:t xml:space="preserve">ameliorate </w:t>
      </w:r>
      <w:r w:rsidR="00420230" w:rsidRPr="00E8461E">
        <w:t xml:space="preserve">some </w:t>
      </w:r>
      <w:r w:rsidR="006C5FF9" w:rsidRPr="00E8461E">
        <w:t xml:space="preserve">of </w:t>
      </w:r>
      <w:r w:rsidR="00420230" w:rsidRPr="00E8461E">
        <w:t xml:space="preserve">the negative health </w:t>
      </w:r>
      <w:r w:rsidR="00362A08" w:rsidRPr="00E8461E">
        <w:t>consequence</w:t>
      </w:r>
      <w:r w:rsidR="00420230" w:rsidRPr="00E8461E">
        <w:t>s associated with climate change.</w:t>
      </w:r>
    </w:p>
    <w:p w14:paraId="69BDEB0C" w14:textId="5F2A1982" w:rsidR="004C7C12" w:rsidRPr="00E8461E" w:rsidRDefault="00DA7334" w:rsidP="0065729E">
      <w:pPr>
        <w:spacing w:after="120"/>
      </w:pPr>
      <w:r w:rsidRPr="00E8461E">
        <w:lastRenderedPageBreak/>
        <w:t xml:space="preserve">Our health is dependent on the health of the environment. The Strategy </w:t>
      </w:r>
      <w:r w:rsidR="00C64F80" w:rsidRPr="00E8461E">
        <w:t>address</w:t>
      </w:r>
      <w:r w:rsidR="00F42250" w:rsidRPr="00E8461E">
        <w:t>es</w:t>
      </w:r>
      <w:r w:rsidR="00CC61A8" w:rsidRPr="00E8461E">
        <w:t xml:space="preserve"> </w:t>
      </w:r>
      <w:r w:rsidR="00BD0EA2" w:rsidRPr="00E8461E">
        <w:t xml:space="preserve">the </w:t>
      </w:r>
      <w:r w:rsidR="007751A7" w:rsidRPr="00E8461E">
        <w:t xml:space="preserve">interconnectedness between the health of humans, </w:t>
      </w:r>
      <w:proofErr w:type="gramStart"/>
      <w:r w:rsidR="007751A7" w:rsidRPr="00E8461E">
        <w:t>animals</w:t>
      </w:r>
      <w:proofErr w:type="gramEnd"/>
      <w:r w:rsidR="007751A7" w:rsidRPr="00E8461E">
        <w:t xml:space="preserve"> and the environment </w:t>
      </w:r>
      <w:r w:rsidR="00402B9E" w:rsidRPr="00E8461E">
        <w:t xml:space="preserve">by adopting a One Health perspective. </w:t>
      </w:r>
      <w:r w:rsidR="00EA2BC4" w:rsidRPr="00E8461E">
        <w:t xml:space="preserve">It also </w:t>
      </w:r>
      <w:r w:rsidR="00E82155" w:rsidRPr="00E8461E">
        <w:t>recognises the</w:t>
      </w:r>
      <w:r w:rsidR="00293E6C" w:rsidRPr="00E8461E">
        <w:t xml:space="preserve"> relationship between health and the environment </w:t>
      </w:r>
      <w:r w:rsidR="00402B9E" w:rsidRPr="00E8461E">
        <w:t>by emphasising the</w:t>
      </w:r>
      <w:r w:rsidR="00E35E3C" w:rsidRPr="00E8461E">
        <w:t xml:space="preserve"> need to e</w:t>
      </w:r>
      <w:r w:rsidR="001A3E6B" w:rsidRPr="00E8461E">
        <w:t xml:space="preserve">levate </w:t>
      </w:r>
      <w:r w:rsidR="00A24248" w:rsidRPr="00E8461E">
        <w:t>the</w:t>
      </w:r>
      <w:r w:rsidR="00487D23" w:rsidRPr="00E8461E">
        <w:t xml:space="preserve"> leadership</w:t>
      </w:r>
      <w:r w:rsidR="00670B3C" w:rsidRPr="00E8461E">
        <w:t>,</w:t>
      </w:r>
      <w:r w:rsidR="00487D23" w:rsidRPr="00E8461E">
        <w:t xml:space="preserve"> </w:t>
      </w:r>
      <w:proofErr w:type="gramStart"/>
      <w:r w:rsidR="00487D23" w:rsidRPr="00E8461E">
        <w:t>wisdom</w:t>
      </w:r>
      <w:proofErr w:type="gramEnd"/>
      <w:r w:rsidR="00670B3C" w:rsidRPr="00E8461E">
        <w:t xml:space="preserve"> and knowledge</w:t>
      </w:r>
      <w:r w:rsidR="00487D23" w:rsidRPr="00E8461E">
        <w:t xml:space="preserve"> of </w:t>
      </w:r>
      <w:r w:rsidR="00B11936" w:rsidRPr="00E8461E">
        <w:t>First Nations</w:t>
      </w:r>
      <w:r w:rsidR="001A2DDB" w:rsidRPr="00E8461E">
        <w:t xml:space="preserve"> </w:t>
      </w:r>
      <w:r w:rsidR="00F95A30" w:rsidRPr="00E8461E">
        <w:t>people</w:t>
      </w:r>
      <w:r w:rsidR="00817ED5" w:rsidRPr="00E8461E">
        <w:t xml:space="preserve"> in the</w:t>
      </w:r>
      <w:r w:rsidR="001A2DDB" w:rsidRPr="00E8461E">
        <w:t xml:space="preserve"> response to the health impacts of climate change</w:t>
      </w:r>
      <w:r w:rsidR="00B11936" w:rsidRPr="00E8461E">
        <w:t xml:space="preserve">. </w:t>
      </w:r>
      <w:r w:rsidR="002D4EE8" w:rsidRPr="00E8461E">
        <w:t>For tens of thousands of years, First Nations</w:t>
      </w:r>
      <w:r w:rsidR="00817ED5" w:rsidRPr="00E8461E">
        <w:t xml:space="preserve"> people</w:t>
      </w:r>
      <w:r w:rsidR="009A4174" w:rsidRPr="00E8461E">
        <w:t xml:space="preserve"> ha</w:t>
      </w:r>
      <w:r w:rsidR="00B10BF5" w:rsidRPr="00E8461E">
        <w:t xml:space="preserve">ve </w:t>
      </w:r>
      <w:r w:rsidR="008347F3" w:rsidRPr="00E8461E">
        <w:t>adapted to</w:t>
      </w:r>
      <w:r w:rsidR="009A4174" w:rsidRPr="00E8461E">
        <w:t xml:space="preserve"> </w:t>
      </w:r>
      <w:r w:rsidR="00297D23" w:rsidRPr="00E8461E">
        <w:t>different climatic extremes.</w:t>
      </w:r>
      <w:r w:rsidR="00B156D1" w:rsidRPr="00E8461E">
        <w:t xml:space="preserve"> </w:t>
      </w:r>
      <w:r w:rsidR="00A90972" w:rsidRPr="00E8461E">
        <w:t>Tackling the health impacts of</w:t>
      </w:r>
      <w:r w:rsidR="002E1E4B" w:rsidRPr="00E8461E">
        <w:t xml:space="preserve"> </w:t>
      </w:r>
      <w:r w:rsidR="001D41A6" w:rsidRPr="00E8461E">
        <w:t>climate change requires us to rethink our relationship to the planet.</w:t>
      </w:r>
      <w:r w:rsidR="00297D23" w:rsidRPr="00E8461E">
        <w:t xml:space="preserve"> </w:t>
      </w:r>
      <w:r w:rsidR="009B7525" w:rsidRPr="00E8461E">
        <w:t xml:space="preserve">It is vital we look </w:t>
      </w:r>
      <w:r w:rsidR="00FF6063" w:rsidRPr="00E8461E">
        <w:t xml:space="preserve">to </w:t>
      </w:r>
      <w:r w:rsidR="00297D23" w:rsidRPr="00E8461E">
        <w:t>First Nations</w:t>
      </w:r>
      <w:r w:rsidR="00817ED5" w:rsidRPr="00E8461E">
        <w:t xml:space="preserve"> people</w:t>
      </w:r>
      <w:r w:rsidR="00297D23" w:rsidRPr="00E8461E">
        <w:t>’</w:t>
      </w:r>
      <w:r w:rsidR="00817ED5" w:rsidRPr="00E8461E">
        <w:t>s</w:t>
      </w:r>
      <w:r w:rsidR="00297D23" w:rsidRPr="00E8461E">
        <w:t xml:space="preserve"> </w:t>
      </w:r>
      <w:r w:rsidR="00AF652E" w:rsidRPr="00E8461E">
        <w:t>holistic understanding of health</w:t>
      </w:r>
      <w:r w:rsidR="00F00E0F" w:rsidRPr="00E8461E">
        <w:t xml:space="preserve"> </w:t>
      </w:r>
      <w:r w:rsidR="00670B3C" w:rsidRPr="00E8461E">
        <w:t xml:space="preserve">and </w:t>
      </w:r>
      <w:r w:rsidR="005B777C" w:rsidRPr="00E8461E">
        <w:t xml:space="preserve">ongoing </w:t>
      </w:r>
      <w:r w:rsidR="00670B3C" w:rsidRPr="00E8461E">
        <w:t xml:space="preserve">custodianship of the land </w:t>
      </w:r>
      <w:r w:rsidR="004472BB" w:rsidRPr="00E8461E">
        <w:t xml:space="preserve">and </w:t>
      </w:r>
      <w:r w:rsidR="00811535" w:rsidRPr="00E8461E">
        <w:t>seas</w:t>
      </w:r>
      <w:r w:rsidR="009F7941" w:rsidRPr="00E8461E">
        <w:t xml:space="preserve"> as we work toward </w:t>
      </w:r>
      <w:r w:rsidR="00F65871" w:rsidRPr="00E8461E">
        <w:t xml:space="preserve">building </w:t>
      </w:r>
      <w:r w:rsidR="009F7941" w:rsidRPr="00E8461E">
        <w:t>a healthy and sustainable future</w:t>
      </w:r>
      <w:r w:rsidR="00CE6DA9" w:rsidRPr="00E8461E">
        <w:t xml:space="preserve"> for all.</w:t>
      </w:r>
    </w:p>
    <w:p w14:paraId="4E7EAEBF" w14:textId="50705A08" w:rsidR="0072038A" w:rsidRPr="00E8461E" w:rsidRDefault="00855383" w:rsidP="0065729E">
      <w:pPr>
        <w:spacing w:after="120"/>
      </w:pPr>
      <w:r w:rsidRPr="00E8461E">
        <w:t xml:space="preserve">This Strategy reaffirms our </w:t>
      </w:r>
      <w:proofErr w:type="gramStart"/>
      <w:r w:rsidRPr="00E8461E">
        <w:t>Government’s</w:t>
      </w:r>
      <w:proofErr w:type="gramEnd"/>
      <w:r w:rsidRPr="00E8461E">
        <w:t xml:space="preserve"> strong commitment to genuine action on climate change, and further commits us to reduce the health system’s contributions to climate change</w:t>
      </w:r>
      <w:r w:rsidR="0080109B" w:rsidRPr="00E8461E">
        <w:t xml:space="preserve"> and </w:t>
      </w:r>
      <w:r w:rsidR="0094601C" w:rsidRPr="00E8461E">
        <w:t>outlines</w:t>
      </w:r>
      <w:r w:rsidR="0080109B" w:rsidRPr="00E8461E">
        <w:t xml:space="preserve"> clear action to adapt to climate change</w:t>
      </w:r>
      <w:r w:rsidRPr="00E8461E">
        <w:t>.</w:t>
      </w:r>
    </w:p>
    <w:p w14:paraId="20E10AE0" w14:textId="77777777" w:rsidR="00356598" w:rsidRPr="00E8461E" w:rsidRDefault="00356598" w:rsidP="00356598">
      <w:pPr>
        <w:spacing w:after="0"/>
        <w:rPr>
          <w:b/>
        </w:rPr>
      </w:pPr>
      <w:r w:rsidRPr="00E8461E">
        <w:rPr>
          <w:b/>
          <w:noProof/>
        </w:rPr>
        <w:drawing>
          <wp:inline distT="0" distB="0" distL="0" distR="0" wp14:anchorId="027DC2A0" wp14:editId="29003D02">
            <wp:extent cx="848995" cy="848995"/>
            <wp:effectExtent l="0" t="0" r="8255" b="8255"/>
            <wp:docPr id="3" name="Picture 3" descr="Photo of The Hon Mark Butler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The Hon Mark Butler 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240"/>
                    <a:stretch/>
                  </pic:blipFill>
                  <pic:spPr bwMode="auto">
                    <a:xfrm>
                      <a:off x="0" y="0"/>
                      <a:ext cx="854196" cy="854196"/>
                    </a:xfrm>
                    <a:prstGeom prst="round2DiagRect">
                      <a:avLst/>
                    </a:prstGeom>
                    <a:noFill/>
                    <a:ln>
                      <a:noFill/>
                    </a:ln>
                    <a:extLst>
                      <a:ext uri="{53640926-AAD7-44D8-BBD7-CCE9431645EC}">
                        <a14:shadowObscured xmlns:a14="http://schemas.microsoft.com/office/drawing/2010/main"/>
                      </a:ext>
                    </a:extLst>
                  </pic:spPr>
                </pic:pic>
              </a:graphicData>
            </a:graphic>
          </wp:inline>
        </w:drawing>
      </w:r>
    </w:p>
    <w:p w14:paraId="7C32C796" w14:textId="166F71C3" w:rsidR="004C7C12" w:rsidRPr="00E8461E" w:rsidRDefault="00BC60AD" w:rsidP="00356598">
      <w:pPr>
        <w:spacing w:after="0"/>
        <w:rPr>
          <w:b/>
        </w:rPr>
      </w:pPr>
      <w:r w:rsidRPr="00E8461E">
        <w:rPr>
          <w:b/>
        </w:rPr>
        <w:t>The Hon Mark Butler MP</w:t>
      </w:r>
    </w:p>
    <w:p w14:paraId="505B1C51" w14:textId="77777777" w:rsidR="0065729E" w:rsidRPr="00E8461E" w:rsidRDefault="00BC60AD" w:rsidP="0065729E">
      <w:pPr>
        <w:tabs>
          <w:tab w:val="left" w:pos="2040"/>
        </w:tabs>
        <w:spacing w:after="120"/>
        <w:rPr>
          <w:b/>
        </w:rPr>
      </w:pPr>
      <w:r w:rsidRPr="00E8461E">
        <w:rPr>
          <w:b/>
        </w:rPr>
        <w:t>Minister for Health and Aged Care</w:t>
      </w:r>
    </w:p>
    <w:p w14:paraId="418CDF03" w14:textId="2D6D2CC4" w:rsidR="00356598" w:rsidRPr="00E8461E" w:rsidRDefault="00356598" w:rsidP="0065729E">
      <w:pPr>
        <w:tabs>
          <w:tab w:val="left" w:pos="2040"/>
        </w:tabs>
        <w:spacing w:after="120"/>
        <w:rPr>
          <w:b/>
        </w:rPr>
      </w:pPr>
      <w:r w:rsidRPr="00E8461E">
        <w:rPr>
          <w:b/>
          <w:noProof/>
        </w:rPr>
        <w:drawing>
          <wp:inline distT="0" distB="0" distL="0" distR="0" wp14:anchorId="696AC614" wp14:editId="62707BAF">
            <wp:extent cx="849600" cy="849600"/>
            <wp:effectExtent l="0" t="0" r="8255" b="8255"/>
            <wp:docPr id="4" name="Picture 4" descr="Photo of The Hon Ged Kearn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The Hon Ged Kearney 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780"/>
                    <a:stretch/>
                  </pic:blipFill>
                  <pic:spPr bwMode="auto">
                    <a:xfrm>
                      <a:off x="0" y="0"/>
                      <a:ext cx="849600" cy="849600"/>
                    </a:xfrm>
                    <a:prstGeom prst="round2DiagRect">
                      <a:avLst/>
                    </a:prstGeom>
                    <a:noFill/>
                    <a:ln>
                      <a:noFill/>
                    </a:ln>
                    <a:extLst>
                      <a:ext uri="{53640926-AAD7-44D8-BBD7-CCE9431645EC}">
                        <a14:shadowObscured xmlns:a14="http://schemas.microsoft.com/office/drawing/2010/main"/>
                      </a:ext>
                    </a:extLst>
                  </pic:spPr>
                </pic:pic>
              </a:graphicData>
            </a:graphic>
          </wp:inline>
        </w:drawing>
      </w:r>
    </w:p>
    <w:p w14:paraId="40ED163F" w14:textId="79E7C994" w:rsidR="00356598" w:rsidRPr="00E8461E" w:rsidRDefault="00356598" w:rsidP="00356598">
      <w:pPr>
        <w:tabs>
          <w:tab w:val="left" w:pos="2040"/>
        </w:tabs>
        <w:spacing w:after="0"/>
        <w:rPr>
          <w:b/>
        </w:rPr>
      </w:pPr>
      <w:r w:rsidRPr="00E8461E">
        <w:rPr>
          <w:b/>
        </w:rPr>
        <w:t>The Hon Ged Kearney MP</w:t>
      </w:r>
    </w:p>
    <w:p w14:paraId="7F6516C6" w14:textId="77777777" w:rsidR="0065729E" w:rsidRPr="00E8461E" w:rsidRDefault="00356598" w:rsidP="00356598">
      <w:pPr>
        <w:tabs>
          <w:tab w:val="left" w:pos="2040"/>
        </w:tabs>
        <w:spacing w:after="0"/>
        <w:rPr>
          <w:b/>
        </w:rPr>
        <w:sectPr w:rsidR="0065729E" w:rsidRPr="00E8461E" w:rsidSect="000F6772">
          <w:endnotePr>
            <w:numFmt w:val="decimal"/>
          </w:endnotePr>
          <w:pgSz w:w="11906" w:h="16838"/>
          <w:pgMar w:top="6521" w:right="1134" w:bottom="567" w:left="1134" w:header="709" w:footer="709" w:gutter="0"/>
          <w:cols w:space="708"/>
          <w:titlePg/>
          <w:docGrid w:linePitch="360"/>
        </w:sectPr>
      </w:pPr>
      <w:r w:rsidRPr="00E8461E">
        <w:rPr>
          <w:b/>
        </w:rPr>
        <w:t>Assistant Minister for Health and Aged Care</w:t>
      </w:r>
    </w:p>
    <w:p w14:paraId="121586C3" w14:textId="54F4B7F7" w:rsidR="00156397" w:rsidRPr="00E8461E" w:rsidRDefault="00156397" w:rsidP="00CE2599">
      <w:pPr>
        <w:pStyle w:val="Heading2"/>
      </w:pPr>
      <w:bookmarkStart w:id="4" w:name="_Toc149909969"/>
      <w:bookmarkStart w:id="5" w:name="_Toc149918433"/>
      <w:bookmarkStart w:id="6" w:name="_Toc151999612"/>
      <w:bookmarkStart w:id="7" w:name="_Toc147086729"/>
      <w:bookmarkStart w:id="8" w:name="_Toc147502181"/>
      <w:r w:rsidRPr="00E8461E">
        <w:lastRenderedPageBreak/>
        <w:t>Executive summary</w:t>
      </w:r>
      <w:bookmarkEnd w:id="4"/>
      <w:bookmarkEnd w:id="5"/>
      <w:bookmarkEnd w:id="6"/>
    </w:p>
    <w:p w14:paraId="1F2A0035" w14:textId="6E182B1E" w:rsidR="007302E8" w:rsidRPr="00E8461E" w:rsidRDefault="007302E8" w:rsidP="007302E8">
      <w:r w:rsidRPr="00E8461E">
        <w:t xml:space="preserve">Australia’s first National Health and Climate Strategy sets out a whole-of-government plan for addressing the health and wellbeing impacts of climate change, whilst also addressing the contribution of the health system – encompassing public and preventive health, primary and secondary health care, and aged care – to climate change. The Strategy commits to action over </w:t>
      </w:r>
      <w:r w:rsidR="0086471D" w:rsidRPr="00E8461E">
        <w:t>five</w:t>
      </w:r>
      <w:r w:rsidRPr="00E8461E">
        <w:t xml:space="preserve"> years</w:t>
      </w:r>
      <w:r w:rsidR="00777212" w:rsidRPr="00E8461E">
        <w:t xml:space="preserve"> and lays </w:t>
      </w:r>
      <w:r w:rsidRPr="00E8461E">
        <w:t>out an ongoing program of work.</w:t>
      </w:r>
    </w:p>
    <w:p w14:paraId="7FB1E0CC" w14:textId="77777777" w:rsidR="007302E8" w:rsidRPr="00E8461E" w:rsidRDefault="007302E8" w:rsidP="007302E8">
      <w:r w:rsidRPr="00E8461E">
        <w:t>The Strategy’s vision is ‘Healthy, climate-resilient communities, and a sustainable, resilient, high-quality, net zero health system’. It is organised around four objectives in pursuit of this vision.</w:t>
      </w:r>
    </w:p>
    <w:p w14:paraId="235D3E5F" w14:textId="63AD512A" w:rsidR="007302E8" w:rsidRPr="00E8461E" w:rsidRDefault="007302E8" w:rsidP="001A0582">
      <w:pPr>
        <w:rPr>
          <w:rStyle w:val="null1"/>
          <w:rFonts w:eastAsia="Times New Roman"/>
        </w:rPr>
      </w:pPr>
      <w:r w:rsidRPr="00E8461E">
        <w:rPr>
          <w:b/>
        </w:rPr>
        <w:t>Objective 1 (Health system resilience) is to b</w:t>
      </w:r>
      <w:r w:rsidRPr="00E8461E">
        <w:rPr>
          <w:rStyle w:val="null1"/>
          <w:rFonts w:eastAsia="Times New Roman"/>
          <w:b/>
        </w:rPr>
        <w:t>uild a climate-resilient health system and enhance its capacity to protect health and wellbeing from the impacts of climate change</w:t>
      </w:r>
      <w:r w:rsidRPr="00E8461E">
        <w:rPr>
          <w:rStyle w:val="null1"/>
          <w:rFonts w:eastAsia="Times New Roman"/>
        </w:rPr>
        <w:t xml:space="preserve"> </w:t>
      </w:r>
      <w:r w:rsidRPr="00E8461E">
        <w:rPr>
          <w:rStyle w:val="null1"/>
          <w:rFonts w:eastAsia="Times New Roman"/>
          <w:bCs/>
        </w:rPr>
        <w:t>– to ensure the health system provides high quality, equitable, and culturally safe care, and supports healthy communities in a changing climate</w:t>
      </w:r>
      <w:r w:rsidRPr="00E8461E">
        <w:rPr>
          <w:rStyle w:val="null1"/>
          <w:rFonts w:eastAsia="Times New Roman"/>
        </w:rPr>
        <w:t>. Key actions are to:</w:t>
      </w:r>
    </w:p>
    <w:p w14:paraId="7946FC99" w14:textId="2154690B" w:rsidR="00C128B5" w:rsidRPr="00E8461E" w:rsidRDefault="007302E8" w:rsidP="001A0582">
      <w:pPr>
        <w:pStyle w:val="BulletUnindented"/>
        <w:rPr>
          <w:rStyle w:val="null1"/>
        </w:rPr>
      </w:pPr>
      <w:r w:rsidRPr="00E8461E">
        <w:rPr>
          <w:rStyle w:val="null1"/>
        </w:rPr>
        <w:t>Support and facilitate health-climate risk assessment and health adaptation planning at all levels of the health system.</w:t>
      </w:r>
    </w:p>
    <w:p w14:paraId="68F56F91" w14:textId="7F38A99D" w:rsidR="00D91A24" w:rsidRPr="00E8461E" w:rsidRDefault="004B328B" w:rsidP="001A0582">
      <w:pPr>
        <w:pStyle w:val="BulletUnindented"/>
        <w:rPr>
          <w:rStyle w:val="null1"/>
        </w:rPr>
      </w:pPr>
      <w:r w:rsidRPr="00E8461E">
        <w:rPr>
          <w:rStyle w:val="null1"/>
        </w:rPr>
        <w:t xml:space="preserve">Work in partnership with First Nations </w:t>
      </w:r>
      <w:r w:rsidR="00D70FC3" w:rsidRPr="00E8461E">
        <w:rPr>
          <w:rStyle w:val="null1"/>
        </w:rPr>
        <w:t>stakeholders to address the impacts of climate change on the health of First Nations people</w:t>
      </w:r>
      <w:r w:rsidR="00245B7F" w:rsidRPr="00E8461E">
        <w:rPr>
          <w:rStyle w:val="null1"/>
        </w:rPr>
        <w:t>.</w:t>
      </w:r>
    </w:p>
    <w:p w14:paraId="4D7ED021" w14:textId="303B0B4C" w:rsidR="00451F64" w:rsidRPr="00E8461E" w:rsidRDefault="007302E8" w:rsidP="001A0582">
      <w:pPr>
        <w:pStyle w:val="BulletUnindented"/>
      </w:pPr>
      <w:r w:rsidRPr="00E8461E">
        <w:t>Build a climate-resilient health system that can deliver equitable, high</w:t>
      </w:r>
      <w:r w:rsidR="00B645A0" w:rsidRPr="00E8461E">
        <w:t>-</w:t>
      </w:r>
      <w:r w:rsidRPr="00E8461E">
        <w:t>quality care in a changing climate</w:t>
      </w:r>
      <w:r w:rsidR="001C508E" w:rsidRPr="00E8461E">
        <w:t>.</w:t>
      </w:r>
    </w:p>
    <w:p w14:paraId="6223AB3F" w14:textId="77777777" w:rsidR="00356598" w:rsidRPr="00E8461E" w:rsidRDefault="007302E8" w:rsidP="001A0582">
      <w:pPr>
        <w:pStyle w:val="BulletUnindented"/>
      </w:pPr>
      <w:r w:rsidRPr="00E8461E">
        <w:t xml:space="preserve">Strengthen health system preparedness, response and recovery for climate-related disasters and extreme weather events, </w:t>
      </w:r>
      <w:proofErr w:type="gramStart"/>
      <w:r w:rsidRPr="00E8461E">
        <w:t>in particular by</w:t>
      </w:r>
      <w:proofErr w:type="gramEnd"/>
      <w:r w:rsidRPr="00E8461E">
        <w:t xml:space="preserve"> strengthening the role of primary care.</w:t>
      </w:r>
    </w:p>
    <w:p w14:paraId="72A6451C" w14:textId="0785735E" w:rsidR="007302E8" w:rsidRPr="00E8461E" w:rsidRDefault="007302E8" w:rsidP="001A0582">
      <w:r w:rsidRPr="00E8461E">
        <w:rPr>
          <w:b/>
        </w:rPr>
        <w:t>Objective 2 (Health system decarbonisation) is to build a sustainable, high</w:t>
      </w:r>
      <w:r w:rsidR="000A40DB" w:rsidRPr="00E8461E">
        <w:rPr>
          <w:b/>
        </w:rPr>
        <w:t>-</w:t>
      </w:r>
      <w:r w:rsidRPr="00E8461E">
        <w:rPr>
          <w:b/>
        </w:rPr>
        <w:t xml:space="preserve">quality, net zero health system </w:t>
      </w:r>
      <w:r w:rsidRPr="00E8461E">
        <w:t>– to minimise environmental harm caused by the health system and contribute to the achievement of Australia’s overall emissions reduction goals</w:t>
      </w:r>
      <w:r w:rsidRPr="00E8461E">
        <w:rPr>
          <w:b/>
        </w:rPr>
        <w:t>.</w:t>
      </w:r>
      <w:r w:rsidRPr="00E8461E">
        <w:t xml:space="preserve"> Key actions are to:</w:t>
      </w:r>
    </w:p>
    <w:p w14:paraId="6FB62D58" w14:textId="77777777" w:rsidR="007302E8" w:rsidRPr="00E8461E" w:rsidRDefault="007302E8" w:rsidP="0065729E">
      <w:pPr>
        <w:pStyle w:val="BulletUnindented"/>
      </w:pPr>
      <w:r w:rsidRPr="00E8461E">
        <w:t>Establish regular reporting of health system greenhouse gas emissions, so progress in reducing these emissions can be tracked over time.</w:t>
      </w:r>
    </w:p>
    <w:p w14:paraId="3AF671A5" w14:textId="77777777" w:rsidR="007302E8" w:rsidRPr="00E8461E" w:rsidRDefault="007302E8" w:rsidP="0065729E">
      <w:pPr>
        <w:pStyle w:val="BulletUnindented"/>
      </w:pPr>
      <w:r w:rsidRPr="00E8461E">
        <w:t>Develop a health system decarbonisation roadmap, and as part of this negotiate an emission reduction trajectory for the health system.</w:t>
      </w:r>
    </w:p>
    <w:p w14:paraId="1B729758" w14:textId="77777777" w:rsidR="007302E8" w:rsidRPr="00E8461E" w:rsidRDefault="007302E8" w:rsidP="0065729E">
      <w:pPr>
        <w:pStyle w:val="BulletUnindented"/>
      </w:pPr>
      <w:r w:rsidRPr="00E8461E">
        <w:t>Reduce health system emissions by reducing demand for care, by keeping people healthy and by ensuring appropriate, equitable delivery of care and tackling unwarranted variations.</w:t>
      </w:r>
    </w:p>
    <w:p w14:paraId="1624BAA0" w14:textId="77777777" w:rsidR="007302E8" w:rsidRPr="00E8461E" w:rsidRDefault="007302E8" w:rsidP="0065729E">
      <w:pPr>
        <w:pStyle w:val="BulletUnindented"/>
      </w:pPr>
      <w:r w:rsidRPr="00E8461E">
        <w:t>Decarbonise care delivery by tackling key sources of emissions: the built environment and energy; travel and transport; medicines and gases; food and catering; waste and resource use; and the supply chain.</w:t>
      </w:r>
    </w:p>
    <w:p w14:paraId="30FD2864" w14:textId="77777777" w:rsidR="001A0582" w:rsidRPr="00E8461E" w:rsidRDefault="00BE143C" w:rsidP="001A0582">
      <w:r w:rsidRPr="00E8461E">
        <w:rPr>
          <w:b/>
          <w:bCs/>
        </w:rPr>
        <w:t xml:space="preserve">Objective </w:t>
      </w:r>
      <w:r w:rsidR="00CA4C58" w:rsidRPr="00E8461E">
        <w:rPr>
          <w:b/>
          <w:bCs/>
        </w:rPr>
        <w:t>3</w:t>
      </w:r>
      <w:r w:rsidRPr="00E8461E">
        <w:rPr>
          <w:b/>
          <w:bCs/>
        </w:rPr>
        <w:t xml:space="preserve"> (International collaboration) is to collaborate internationally to build sustainable, climate-resilient health systems and communities</w:t>
      </w:r>
      <w:r w:rsidR="00F83B2F" w:rsidRPr="00E8461E">
        <w:t xml:space="preserve"> – to</w:t>
      </w:r>
      <w:r w:rsidRPr="00E8461E">
        <w:t xml:space="preserve"> identify opportunities for knowledge sharing and the development of international standards as well as highlight the ways in which Australia can support its neighbours to protect and promote health in their climate change responses. Key actions are to:</w:t>
      </w:r>
    </w:p>
    <w:p w14:paraId="34292619" w14:textId="7B034F8E" w:rsidR="00BE143C" w:rsidRPr="00E8461E" w:rsidRDefault="00BE143C" w:rsidP="001A0582">
      <w:pPr>
        <w:pStyle w:val="BulletUnindented"/>
        <w:spacing w:after="0"/>
      </w:pPr>
      <w:r w:rsidRPr="00E8461E">
        <w:t>Work with health systems in comparable jurisdictions to align approaches to:</w:t>
      </w:r>
    </w:p>
    <w:p w14:paraId="29A754DD" w14:textId="77777777" w:rsidR="00BE143C" w:rsidRPr="00E8461E" w:rsidRDefault="00BE143C" w:rsidP="0065729E">
      <w:pPr>
        <w:pStyle w:val="BulletIndent1"/>
      </w:pPr>
      <w:r w:rsidRPr="00E8461E">
        <w:t>Procurement policy – to support decarbonisation of health system supply chains.</w:t>
      </w:r>
    </w:p>
    <w:p w14:paraId="136F7C94" w14:textId="77777777" w:rsidR="00BE143C" w:rsidRPr="00E8461E" w:rsidRDefault="00BE143C" w:rsidP="0065729E">
      <w:pPr>
        <w:pStyle w:val="BulletIndent1"/>
      </w:pPr>
      <w:r w:rsidRPr="00E8461E">
        <w:t>Measurement and public reporting of environmental impacts of health technology products.</w:t>
      </w:r>
    </w:p>
    <w:p w14:paraId="370AE886" w14:textId="57931F78" w:rsidR="00BE143C" w:rsidRPr="00E8461E" w:rsidRDefault="00B61983" w:rsidP="0065729E">
      <w:pPr>
        <w:pStyle w:val="BulletUnindented"/>
      </w:pPr>
      <w:r w:rsidRPr="00E8461E">
        <w:lastRenderedPageBreak/>
        <w:t xml:space="preserve">Join </w:t>
      </w:r>
      <w:r w:rsidR="00FC216C" w:rsidRPr="00E8461E">
        <w:t>the Alliance for Transformative Action on Climate and Health.</w:t>
      </w:r>
    </w:p>
    <w:p w14:paraId="38871D58" w14:textId="0B0F9E8A" w:rsidR="00BE143C" w:rsidRPr="00E8461E" w:rsidRDefault="00BE143C" w:rsidP="0065729E">
      <w:pPr>
        <w:pStyle w:val="BulletUnindented"/>
      </w:pPr>
      <w:r w:rsidRPr="00E8461E">
        <w:t>Consider options for including health-related action in Australia’s next Nationally Determined Contribution under the United Nations Framework Convention on Climate Change, due in 2025.</w:t>
      </w:r>
    </w:p>
    <w:p w14:paraId="6017134D" w14:textId="050148BA" w:rsidR="00510D75" w:rsidRPr="00E8461E" w:rsidRDefault="001D69EF" w:rsidP="001A0582">
      <w:r w:rsidRPr="00E8461E">
        <w:rPr>
          <w:b/>
          <w:bCs/>
        </w:rPr>
        <w:t xml:space="preserve">Objective 4 (Health in </w:t>
      </w:r>
      <w:r w:rsidRPr="00E8461E" w:rsidDel="00351EAE">
        <w:rPr>
          <w:b/>
          <w:bCs/>
        </w:rPr>
        <w:t xml:space="preserve">all </w:t>
      </w:r>
      <w:r w:rsidRPr="00E8461E">
        <w:rPr>
          <w:b/>
          <w:bCs/>
        </w:rPr>
        <w:t xml:space="preserve">policies) </w:t>
      </w:r>
      <w:bookmarkStart w:id="9" w:name="_Hlk150507064"/>
      <w:r w:rsidRPr="00E8461E">
        <w:rPr>
          <w:b/>
          <w:bCs/>
        </w:rPr>
        <w:t>is to support healthy, climate-</w:t>
      </w:r>
      <w:proofErr w:type="gramStart"/>
      <w:r w:rsidRPr="00E8461E">
        <w:rPr>
          <w:b/>
          <w:bCs/>
        </w:rPr>
        <w:t>resilient</w:t>
      </w:r>
      <w:proofErr w:type="gramEnd"/>
      <w:r w:rsidRPr="00E8461E">
        <w:rPr>
          <w:b/>
          <w:bCs/>
        </w:rPr>
        <w:t xml:space="preserve"> and sustainable communities through </w:t>
      </w:r>
      <w:bookmarkEnd w:id="9"/>
      <w:r w:rsidRPr="00E8461E">
        <w:rPr>
          <w:b/>
          <w:bCs/>
        </w:rPr>
        <w:t>whole-of-government action which recognises the relationship between health and climate outcomes –</w:t>
      </w:r>
      <w:r w:rsidRPr="00E8461E">
        <w:t xml:space="preserve"> </w:t>
      </w:r>
      <w:r w:rsidRPr="00E8461E">
        <w:rPr>
          <w:bCs/>
        </w:rPr>
        <w:t>taking a Health in All Polic</w:t>
      </w:r>
      <w:r w:rsidR="00F0170A" w:rsidRPr="00E8461E">
        <w:rPr>
          <w:bCs/>
        </w:rPr>
        <w:t>i</w:t>
      </w:r>
      <w:r w:rsidRPr="00E8461E">
        <w:rPr>
          <w:bCs/>
        </w:rPr>
        <w:t xml:space="preserve">es approach by promoting the health co-benefits of emissions reductions across society and adaptation action beyond the health system to protect health and wellbeing from climate change. </w:t>
      </w:r>
      <w:r w:rsidR="00510D75" w:rsidRPr="00E8461E">
        <w:t>Key actions are to:</w:t>
      </w:r>
    </w:p>
    <w:p w14:paraId="25027974" w14:textId="227F8645" w:rsidR="00510D75" w:rsidRPr="00E8461E" w:rsidRDefault="00D8408D" w:rsidP="0065729E">
      <w:pPr>
        <w:pStyle w:val="BulletUnindented"/>
      </w:pPr>
      <w:r w:rsidRPr="00E8461E">
        <w:t xml:space="preserve">Tackle </w:t>
      </w:r>
      <w:r w:rsidR="00297A87" w:rsidRPr="00E8461E">
        <w:t xml:space="preserve">the health impacts of </w:t>
      </w:r>
      <w:r w:rsidR="002C36CC" w:rsidRPr="00E8461E">
        <w:t xml:space="preserve">rising heat and </w:t>
      </w:r>
      <w:r w:rsidR="00EE7250" w:rsidRPr="00E8461E">
        <w:t xml:space="preserve">air pollution </w:t>
      </w:r>
      <w:r w:rsidR="005A3A64" w:rsidRPr="00E8461E">
        <w:t>through collaborative action with states and territories.</w:t>
      </w:r>
    </w:p>
    <w:p w14:paraId="00A8EDBB" w14:textId="7F8FDF02" w:rsidR="00F33BEE" w:rsidRPr="00E8461E" w:rsidRDefault="002B05C1" w:rsidP="0065729E">
      <w:pPr>
        <w:pStyle w:val="BulletUnindented"/>
      </w:pPr>
      <w:r w:rsidRPr="00E8461E">
        <w:t>Support</w:t>
      </w:r>
      <w:r w:rsidR="00F33BEE" w:rsidRPr="00E8461E">
        <w:t xml:space="preserve"> healthy, sustainable lifestyles through </w:t>
      </w:r>
      <w:r w:rsidR="004A1E93" w:rsidRPr="00E8461E">
        <w:t xml:space="preserve">work on the </w:t>
      </w:r>
      <w:r w:rsidR="00C72A8C" w:rsidRPr="00E8461E">
        <w:t xml:space="preserve">National Dietary Guidelines and </w:t>
      </w:r>
      <w:r w:rsidR="009A33ED" w:rsidRPr="00E8461E">
        <w:t xml:space="preserve">promoting </w:t>
      </w:r>
      <w:r w:rsidR="003F685B" w:rsidRPr="00E8461E">
        <w:t>active travel</w:t>
      </w:r>
      <w:r w:rsidR="00EB3DD8" w:rsidRPr="00E8461E">
        <w:t>.</w:t>
      </w:r>
    </w:p>
    <w:p w14:paraId="52F6F2B2" w14:textId="39356643" w:rsidR="00B11C0E" w:rsidRPr="00E8461E" w:rsidRDefault="00B11C0E" w:rsidP="0065729E">
      <w:pPr>
        <w:pStyle w:val="BulletUnindented"/>
      </w:pPr>
      <w:r w:rsidRPr="00E8461E">
        <w:t>Promote the health benefits of climate-resilient housing through input to the National Housing and Homelessness P</w:t>
      </w:r>
      <w:r w:rsidR="00CB2368" w:rsidRPr="00E8461E">
        <w:t>lan</w:t>
      </w:r>
      <w:r w:rsidRPr="00E8461E">
        <w:t xml:space="preserve"> and updates to the National Construction Code.</w:t>
      </w:r>
    </w:p>
    <w:p w14:paraId="66C96A5B" w14:textId="77777777" w:rsidR="00B11C0E" w:rsidRPr="00E8461E" w:rsidRDefault="00B11C0E" w:rsidP="0065729E">
      <w:pPr>
        <w:pStyle w:val="BulletUnindented"/>
      </w:pPr>
      <w:r w:rsidRPr="00E8461E">
        <w:t>Mobilise collaborative responses to climate-sensitive communicable diseases, as well as climate-related psychological distress and mental ill health.</w:t>
      </w:r>
    </w:p>
    <w:p w14:paraId="69C383BF" w14:textId="04D0F41D" w:rsidR="00746BA1" w:rsidRPr="00E8461E" w:rsidRDefault="005967F1" w:rsidP="00156397">
      <w:r w:rsidRPr="00E8461E">
        <w:t xml:space="preserve">The Strategy </w:t>
      </w:r>
      <w:r w:rsidR="007302E8" w:rsidRPr="00E8461E">
        <w:t xml:space="preserve">is informed throughout by </w:t>
      </w:r>
      <w:r w:rsidR="0098615F" w:rsidRPr="00E8461E">
        <w:t xml:space="preserve">five </w:t>
      </w:r>
      <w:r w:rsidR="00156397" w:rsidRPr="00E8461E">
        <w:t>principles:</w:t>
      </w:r>
      <w:r w:rsidR="007302E8" w:rsidRPr="00E8461E">
        <w:t xml:space="preserve"> Health Equity and the Right to Health, One Health and Planetary Health, First Nations Leadership, Population Health and Prevention, and Evidence-Informed Policymaking. These </w:t>
      </w:r>
      <w:r w:rsidR="007302E8" w:rsidRPr="00E8461E">
        <w:rPr>
          <w:lang w:val="en-GB"/>
        </w:rPr>
        <w:t xml:space="preserve">principles will help to ensure that action is </w:t>
      </w:r>
      <w:r w:rsidR="00D374E1" w:rsidRPr="00E8461E">
        <w:rPr>
          <w:lang w:val="en-GB"/>
        </w:rPr>
        <w:t>informed by</w:t>
      </w:r>
      <w:r w:rsidR="007302E8" w:rsidRPr="00E8461E">
        <w:rPr>
          <w:lang w:val="en-GB"/>
        </w:rPr>
        <w:t xml:space="preserve"> evidence, promotes linkages between human health and environmental health, and is undertaken in a culturally safe and just way.</w:t>
      </w:r>
      <w:r w:rsidR="007302E8" w:rsidRPr="00E8461E" w:rsidDel="004A2BB3">
        <w:t xml:space="preserve"> </w:t>
      </w:r>
      <w:r w:rsidR="007302E8" w:rsidRPr="00E8461E">
        <w:t>Crucially, the principles also uphold the leadership, strength, and wisdom of First Nations people, and reinforce the Australian Government’s commitment to working in partnership to protect First Nations health and wellbeing from the impacts of climate change. The Strategy also outlines</w:t>
      </w:r>
      <w:r w:rsidR="007302E8" w:rsidRPr="00E8461E" w:rsidDel="00644E70">
        <w:t xml:space="preserve"> action </w:t>
      </w:r>
      <w:r w:rsidR="007302E8" w:rsidRPr="00E8461E">
        <w:t xml:space="preserve">in the following areas that will enable the achievement of the Strategy’s objectives: workforce, </w:t>
      </w:r>
      <w:proofErr w:type="gramStart"/>
      <w:r w:rsidR="007302E8" w:rsidRPr="00E8461E">
        <w:t>leadership</w:t>
      </w:r>
      <w:proofErr w:type="gramEnd"/>
      <w:r w:rsidR="007302E8" w:rsidRPr="00E8461E">
        <w:t xml:space="preserve"> and training; research and innovation; communication and engagement; and collaboration and governance, including at the international level.</w:t>
      </w:r>
      <w:r w:rsidR="00746BA1" w:rsidRPr="00E8461E">
        <w:rPr>
          <w:lang w:val="en-GB"/>
        </w:rPr>
        <w:br w:type="page"/>
      </w:r>
    </w:p>
    <w:p w14:paraId="2B550D68" w14:textId="572FA168" w:rsidR="007A466B" w:rsidRPr="00E8461E" w:rsidRDefault="00AD4D25" w:rsidP="00356598">
      <w:pPr>
        <w:pStyle w:val="Heading1"/>
        <w:rPr>
          <w:lang w:val="en-GB"/>
        </w:rPr>
      </w:pPr>
      <w:bookmarkStart w:id="10" w:name="_Toc149909970"/>
      <w:bookmarkStart w:id="11" w:name="_Toc149918434"/>
      <w:bookmarkStart w:id="12" w:name="_Toc151999613"/>
      <w:r w:rsidRPr="00E8461E">
        <w:rPr>
          <w:lang w:val="en-GB"/>
        </w:rPr>
        <w:lastRenderedPageBreak/>
        <w:t xml:space="preserve">Chapter 1: </w:t>
      </w:r>
      <w:r w:rsidR="00206C7D" w:rsidRPr="00E8461E">
        <w:rPr>
          <w:lang w:val="en-GB"/>
        </w:rPr>
        <w:t>Why do we need a National Health and Climate Strategy?</w:t>
      </w:r>
      <w:bookmarkEnd w:id="7"/>
      <w:bookmarkEnd w:id="8"/>
      <w:bookmarkEnd w:id="10"/>
      <w:bookmarkEnd w:id="11"/>
      <w:bookmarkEnd w:id="12"/>
    </w:p>
    <w:p w14:paraId="594FE7E6" w14:textId="69804994" w:rsidR="00653752" w:rsidRPr="00E8461E" w:rsidRDefault="00653752" w:rsidP="00653752">
      <w:pPr>
        <w:rPr>
          <w:lang w:val="en-GB"/>
        </w:rPr>
      </w:pPr>
      <w:r w:rsidRPr="00E8461E">
        <w:rPr>
          <w:noProof/>
          <w:lang w:val="en-GB"/>
        </w:rPr>
        <mc:AlternateContent>
          <mc:Choice Requires="wps">
            <w:drawing>
              <wp:inline distT="0" distB="0" distL="0" distR="0" wp14:anchorId="7993A999" wp14:editId="30DE55EF">
                <wp:extent cx="1035592" cy="115657"/>
                <wp:effectExtent l="0" t="0" r="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FA1FFD" id="Rectangle 9"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44FEE150" w14:textId="7CE1DD8D" w:rsidR="0040385C" w:rsidRPr="00E8461E" w:rsidRDefault="00F213A9" w:rsidP="0040385C">
      <w:r w:rsidRPr="00E8461E">
        <w:rPr>
          <w:lang w:val="en-GB"/>
        </w:rPr>
        <w:t>People in Australia are already experiencing the impacts of climate change on their health.</w:t>
      </w:r>
      <w:r w:rsidR="003F1D3F" w:rsidRPr="00E8461E">
        <w:rPr>
          <w:lang w:val="en-GB"/>
        </w:rPr>
        <w:t xml:space="preserve"> </w:t>
      </w:r>
      <w:r w:rsidR="0040385C" w:rsidRPr="00E8461E">
        <w:t>By 2022, Australia had warmed an average of 1.47 ± 0.24°C since national records began.</w:t>
      </w:r>
      <w:r w:rsidR="002D4994" w:rsidRPr="00E8461E">
        <w:rPr>
          <w:rStyle w:val="EndnoteReference"/>
        </w:rPr>
        <w:endnoteReference w:id="2"/>
      </w:r>
      <w:r w:rsidR="0040385C" w:rsidRPr="00E8461E">
        <w:t xml:space="preserve"> </w:t>
      </w:r>
      <w:r w:rsidR="00EE25EA" w:rsidRPr="00E8461E">
        <w:t>T</w:t>
      </w:r>
      <w:r w:rsidR="0040385C" w:rsidRPr="00E8461E">
        <w:t xml:space="preserve">he most recent report of the Intergovernmental Panel on Climate Change </w:t>
      </w:r>
      <w:r w:rsidR="00EE25EA" w:rsidRPr="00E8461E">
        <w:t xml:space="preserve">projects </w:t>
      </w:r>
      <w:r w:rsidR="0040385C" w:rsidRPr="00E8461E">
        <w:t xml:space="preserve">Earth is likely to reach a global warming of 1.5°C from pre-industrial levels </w:t>
      </w:r>
      <w:r w:rsidR="00EE25EA" w:rsidRPr="00E8461E">
        <w:t>between 2030 and 2052</w:t>
      </w:r>
      <w:r w:rsidR="00C34CB2" w:rsidRPr="00E8461E">
        <w:t xml:space="preserve"> if climate change </w:t>
      </w:r>
      <w:r w:rsidR="00856504" w:rsidRPr="00E8461E">
        <w:t>cont</w:t>
      </w:r>
      <w:r w:rsidR="005326E1" w:rsidRPr="00E8461E">
        <w:t>in</w:t>
      </w:r>
      <w:r w:rsidR="00856504" w:rsidRPr="00E8461E">
        <w:t>ue</w:t>
      </w:r>
      <w:r w:rsidR="005326E1" w:rsidRPr="00E8461E">
        <w:t>s</w:t>
      </w:r>
      <w:r w:rsidR="00856504" w:rsidRPr="00E8461E">
        <w:t xml:space="preserve"> to increase</w:t>
      </w:r>
      <w:r w:rsidR="00C34CB2" w:rsidRPr="00E8461E">
        <w:t xml:space="preserve"> a</w:t>
      </w:r>
      <w:r w:rsidR="006D0F42" w:rsidRPr="00E8461E">
        <w:t>t the current rate.</w:t>
      </w:r>
      <w:r w:rsidR="006D0F42" w:rsidRPr="00E8461E">
        <w:rPr>
          <w:rStyle w:val="EndnoteReference"/>
        </w:rPr>
        <w:endnoteReference w:id="3"/>
      </w:r>
    </w:p>
    <w:p w14:paraId="25A7E4F0" w14:textId="4106E45C" w:rsidR="003370B2" w:rsidRPr="00E8461E" w:rsidRDefault="00603364" w:rsidP="00053EF2">
      <w:pPr>
        <w:rPr>
          <w:lang w:val="en-GB"/>
        </w:rPr>
      </w:pPr>
      <w:r w:rsidRPr="00E8461E">
        <w:rPr>
          <w:lang w:val="en-GB"/>
        </w:rPr>
        <w:t>C</w:t>
      </w:r>
      <w:r w:rsidR="008A6B6F" w:rsidRPr="00E8461E">
        <w:rPr>
          <w:lang w:val="en-GB"/>
        </w:rPr>
        <w:t xml:space="preserve">limate change is </w:t>
      </w:r>
      <w:r w:rsidR="678FE5E4" w:rsidRPr="00E8461E">
        <w:rPr>
          <w:lang w:val="en-GB"/>
        </w:rPr>
        <w:t>disrupting</w:t>
      </w:r>
      <w:r w:rsidR="008A6B6F" w:rsidRPr="00E8461E">
        <w:rPr>
          <w:lang w:val="en-GB"/>
        </w:rPr>
        <w:t xml:space="preserve"> the environmental and human systems that play an important role in maintaining health.</w:t>
      </w:r>
      <w:r w:rsidR="482483CB" w:rsidRPr="00E8461E">
        <w:rPr>
          <w:lang w:val="en-GB"/>
        </w:rPr>
        <w:t xml:space="preserve"> </w:t>
      </w:r>
      <w:r w:rsidR="00632BF3" w:rsidRPr="00E8461E">
        <w:rPr>
          <w:lang w:val="en-GB"/>
        </w:rPr>
        <w:t>By increasing the</w:t>
      </w:r>
      <w:r w:rsidR="00BD4286" w:rsidRPr="00E8461E">
        <w:rPr>
          <w:lang w:val="en-GB"/>
        </w:rPr>
        <w:t xml:space="preserve"> frequency,</w:t>
      </w:r>
      <w:r w:rsidR="00AE3305" w:rsidRPr="00E8461E">
        <w:rPr>
          <w:lang w:val="en-GB"/>
        </w:rPr>
        <w:t xml:space="preserve"> intensity and</w:t>
      </w:r>
      <w:r w:rsidR="00BD4286" w:rsidRPr="00E8461E">
        <w:rPr>
          <w:lang w:val="en-GB"/>
        </w:rPr>
        <w:t xml:space="preserve"> duration </w:t>
      </w:r>
      <w:r w:rsidR="00AE3305" w:rsidRPr="00E8461E">
        <w:rPr>
          <w:lang w:val="en-GB"/>
        </w:rPr>
        <w:t xml:space="preserve">of extreme </w:t>
      </w:r>
      <w:r w:rsidR="003F6D1C" w:rsidRPr="00E8461E">
        <w:rPr>
          <w:lang w:val="en-GB"/>
        </w:rPr>
        <w:t>weather events</w:t>
      </w:r>
      <w:r w:rsidR="0091509B" w:rsidRPr="00E8461E">
        <w:rPr>
          <w:lang w:val="en-GB"/>
        </w:rPr>
        <w:t xml:space="preserve">, climate change </w:t>
      </w:r>
      <w:r w:rsidR="004B0C02" w:rsidRPr="00E8461E">
        <w:rPr>
          <w:lang w:val="en-GB"/>
        </w:rPr>
        <w:t xml:space="preserve">is </w:t>
      </w:r>
      <w:r w:rsidR="005C2B25" w:rsidRPr="00E8461E">
        <w:rPr>
          <w:lang w:val="en-GB"/>
        </w:rPr>
        <w:t>leading to more</w:t>
      </w:r>
      <w:r w:rsidR="004B0C02" w:rsidRPr="00E8461E">
        <w:rPr>
          <w:lang w:val="en-GB"/>
        </w:rPr>
        <w:t xml:space="preserve"> </w:t>
      </w:r>
      <w:r w:rsidR="004C2E6B" w:rsidRPr="00E8461E">
        <w:rPr>
          <w:lang w:val="en-GB"/>
        </w:rPr>
        <w:t>death</w:t>
      </w:r>
      <w:r w:rsidR="00C97462" w:rsidRPr="00E8461E">
        <w:rPr>
          <w:lang w:val="en-GB"/>
        </w:rPr>
        <w:t>s</w:t>
      </w:r>
      <w:r w:rsidR="004C2E6B" w:rsidRPr="00E8461E">
        <w:rPr>
          <w:lang w:val="en-GB"/>
        </w:rPr>
        <w:t xml:space="preserve">, </w:t>
      </w:r>
      <w:proofErr w:type="gramStart"/>
      <w:r w:rsidR="004C2E6B" w:rsidRPr="00E8461E">
        <w:rPr>
          <w:lang w:val="en-GB"/>
        </w:rPr>
        <w:t>disease</w:t>
      </w:r>
      <w:proofErr w:type="gramEnd"/>
      <w:r w:rsidR="004C2E6B" w:rsidRPr="00E8461E">
        <w:rPr>
          <w:lang w:val="en-GB"/>
        </w:rPr>
        <w:t xml:space="preserve"> and injury</w:t>
      </w:r>
      <w:r w:rsidR="003D277C" w:rsidRPr="00E8461E">
        <w:rPr>
          <w:lang w:val="en-GB"/>
        </w:rPr>
        <w:t xml:space="preserve">, as well as </w:t>
      </w:r>
      <w:r w:rsidR="006C2470" w:rsidRPr="00E8461E">
        <w:rPr>
          <w:lang w:val="en-GB"/>
        </w:rPr>
        <w:t>adversely impacting mental health and wellbeing</w:t>
      </w:r>
      <w:r w:rsidR="00D21111" w:rsidRPr="00E8461E">
        <w:rPr>
          <w:lang w:val="en-GB"/>
        </w:rPr>
        <w:t>.</w:t>
      </w:r>
      <w:r w:rsidR="003F6D1C" w:rsidRPr="00E8461E">
        <w:rPr>
          <w:lang w:val="en-GB"/>
        </w:rPr>
        <w:t xml:space="preserve"> </w:t>
      </w:r>
      <w:r w:rsidR="00E47419" w:rsidRPr="00E8461E">
        <w:rPr>
          <w:lang w:val="en-GB"/>
        </w:rPr>
        <w:t xml:space="preserve">Warmer </w:t>
      </w:r>
      <w:r w:rsidR="008A6B6F" w:rsidRPr="00E8461E">
        <w:rPr>
          <w:lang w:val="en-GB"/>
        </w:rPr>
        <w:t xml:space="preserve">temperatures </w:t>
      </w:r>
      <w:r w:rsidR="002831C2" w:rsidRPr="00E8461E">
        <w:rPr>
          <w:lang w:val="en-GB"/>
        </w:rPr>
        <w:t xml:space="preserve">expand </w:t>
      </w:r>
      <w:r w:rsidR="008A6B6F" w:rsidRPr="00E8461E">
        <w:rPr>
          <w:lang w:val="en-GB"/>
        </w:rPr>
        <w:t xml:space="preserve">the </w:t>
      </w:r>
      <w:r w:rsidR="002831C2" w:rsidRPr="00E8461E">
        <w:rPr>
          <w:lang w:val="en-GB"/>
        </w:rPr>
        <w:t>geographic</w:t>
      </w:r>
      <w:r w:rsidR="008A6B6F" w:rsidRPr="00E8461E">
        <w:rPr>
          <w:lang w:val="en-GB"/>
        </w:rPr>
        <w:t xml:space="preserve"> spread of food-,</w:t>
      </w:r>
      <w:r w:rsidR="5E7A16F7" w:rsidRPr="00E8461E">
        <w:rPr>
          <w:lang w:val="en-GB"/>
        </w:rPr>
        <w:t xml:space="preserve"> </w:t>
      </w:r>
      <w:r w:rsidR="008A6B6F" w:rsidRPr="00E8461E">
        <w:rPr>
          <w:lang w:val="en-GB"/>
        </w:rPr>
        <w:t>water- and vector-borne diseases, whil</w:t>
      </w:r>
      <w:r w:rsidR="270FB42F" w:rsidRPr="00E8461E">
        <w:rPr>
          <w:lang w:val="en-GB"/>
        </w:rPr>
        <w:t>e</w:t>
      </w:r>
      <w:r w:rsidR="008A6B6F" w:rsidRPr="00E8461E">
        <w:rPr>
          <w:lang w:val="en-GB"/>
        </w:rPr>
        <w:t xml:space="preserve"> threatening food and water security. Air pollution </w:t>
      </w:r>
      <w:r w:rsidR="004F3D3C" w:rsidRPr="00E8461E">
        <w:rPr>
          <w:lang w:val="en-GB"/>
        </w:rPr>
        <w:t>exacerbated by</w:t>
      </w:r>
      <w:r w:rsidR="008A6B6F" w:rsidRPr="00E8461E">
        <w:rPr>
          <w:lang w:val="en-GB"/>
        </w:rPr>
        <w:t xml:space="preserve"> climate change </w:t>
      </w:r>
      <w:r w:rsidR="00267D0C" w:rsidRPr="00E8461E">
        <w:rPr>
          <w:lang w:val="en-GB"/>
        </w:rPr>
        <w:t>aggravates</w:t>
      </w:r>
      <w:r w:rsidR="008A6B6F" w:rsidRPr="00E8461E" w:rsidDel="00A54F63">
        <w:rPr>
          <w:lang w:val="en-GB"/>
        </w:rPr>
        <w:t xml:space="preserve"> </w:t>
      </w:r>
      <w:r w:rsidR="008A6B6F" w:rsidRPr="00E8461E">
        <w:rPr>
          <w:lang w:val="en-GB"/>
        </w:rPr>
        <w:t xml:space="preserve">a variety of respiratory </w:t>
      </w:r>
      <w:r w:rsidR="001506FB" w:rsidRPr="00E8461E">
        <w:rPr>
          <w:lang w:val="en-GB"/>
        </w:rPr>
        <w:t>and cardiovascular</w:t>
      </w:r>
      <w:r w:rsidR="008A6B6F" w:rsidRPr="00E8461E">
        <w:rPr>
          <w:lang w:val="en-GB"/>
        </w:rPr>
        <w:t xml:space="preserve"> conditions, including asthma</w:t>
      </w:r>
      <w:r w:rsidR="00FE0A50" w:rsidRPr="00E8461E">
        <w:rPr>
          <w:lang w:val="en-GB"/>
        </w:rPr>
        <w:t>,</w:t>
      </w:r>
      <w:r w:rsidR="008A6B6F" w:rsidRPr="00E8461E">
        <w:rPr>
          <w:lang w:val="en-GB"/>
        </w:rPr>
        <w:t xml:space="preserve"> lung</w:t>
      </w:r>
      <w:r w:rsidR="000D33BA" w:rsidRPr="00E8461E">
        <w:rPr>
          <w:lang w:val="en-GB"/>
        </w:rPr>
        <w:t xml:space="preserve"> </w:t>
      </w:r>
      <w:r w:rsidR="008A6B6F" w:rsidRPr="00E8461E">
        <w:rPr>
          <w:lang w:val="en-GB"/>
        </w:rPr>
        <w:t>cancer</w:t>
      </w:r>
      <w:r w:rsidR="00EF7D61" w:rsidRPr="00E8461E">
        <w:rPr>
          <w:lang w:val="en-GB"/>
        </w:rPr>
        <w:t xml:space="preserve"> and ischaemic heart disease</w:t>
      </w:r>
      <w:r w:rsidR="008A6B6F" w:rsidRPr="00E8461E">
        <w:rPr>
          <w:lang w:val="en-GB"/>
        </w:rPr>
        <w:t>.</w:t>
      </w:r>
    </w:p>
    <w:p w14:paraId="3C7F80E3" w14:textId="4F366FC6" w:rsidR="00256E57" w:rsidRPr="00E8461E" w:rsidRDefault="008A6B6F" w:rsidP="00053EF2">
      <w:pPr>
        <w:rPr>
          <w:lang w:val="en-GB"/>
        </w:rPr>
      </w:pPr>
      <w:r w:rsidRPr="00E8461E">
        <w:rPr>
          <w:lang w:val="en-GB"/>
        </w:rPr>
        <w:t>Climate change also affects health outcomes</w:t>
      </w:r>
      <w:r w:rsidRPr="00E8461E" w:rsidDel="007E792D">
        <w:rPr>
          <w:lang w:val="en-GB"/>
        </w:rPr>
        <w:t xml:space="preserve"> </w:t>
      </w:r>
      <w:r w:rsidR="00DA185D" w:rsidRPr="00E8461E">
        <w:rPr>
          <w:lang w:val="en-GB"/>
        </w:rPr>
        <w:t>by</w:t>
      </w:r>
      <w:r w:rsidRPr="00E8461E">
        <w:rPr>
          <w:lang w:val="en-GB"/>
        </w:rPr>
        <w:t xml:space="preserve"> </w:t>
      </w:r>
      <w:r w:rsidR="009E0D7A" w:rsidRPr="00E8461E">
        <w:rPr>
          <w:lang w:val="en-GB"/>
        </w:rPr>
        <w:t xml:space="preserve">disrupting </w:t>
      </w:r>
      <w:r w:rsidRPr="00E8461E">
        <w:rPr>
          <w:lang w:val="en-GB"/>
        </w:rPr>
        <w:t>productivity</w:t>
      </w:r>
      <w:r w:rsidR="009E0D7A" w:rsidRPr="00E8461E">
        <w:rPr>
          <w:lang w:val="en-GB"/>
        </w:rPr>
        <w:t>,</w:t>
      </w:r>
      <w:r w:rsidRPr="00E8461E" w:rsidDel="009E0D7A">
        <w:rPr>
          <w:lang w:val="en-GB"/>
        </w:rPr>
        <w:t xml:space="preserve"> </w:t>
      </w:r>
      <w:r w:rsidRPr="00E8461E">
        <w:rPr>
          <w:lang w:val="en-GB"/>
        </w:rPr>
        <w:t>workforce conditions</w:t>
      </w:r>
      <w:r w:rsidR="009E0D7A" w:rsidRPr="00E8461E">
        <w:rPr>
          <w:lang w:val="en-GB"/>
        </w:rPr>
        <w:t xml:space="preserve"> and</w:t>
      </w:r>
      <w:r w:rsidR="001F5349" w:rsidRPr="00E8461E">
        <w:rPr>
          <w:lang w:val="en-GB"/>
        </w:rPr>
        <w:t xml:space="preserve"> </w:t>
      </w:r>
      <w:r w:rsidR="001F5349" w:rsidRPr="00E8461E">
        <w:rPr>
          <w:rFonts w:eastAsia="Times New Roman"/>
        </w:rPr>
        <w:t>healthcare services</w:t>
      </w:r>
      <w:r w:rsidR="00770B2E" w:rsidRPr="00E8461E">
        <w:rPr>
          <w:rFonts w:eastAsia="Times New Roman"/>
        </w:rPr>
        <w:t>,</w:t>
      </w:r>
      <w:r w:rsidR="009E0D7A" w:rsidRPr="00E8461E">
        <w:rPr>
          <w:rFonts w:eastAsia="Times New Roman"/>
        </w:rPr>
        <w:t xml:space="preserve"> and through its impacts on</w:t>
      </w:r>
      <w:r w:rsidR="001F5349" w:rsidRPr="00E8461E">
        <w:rPr>
          <w:rFonts w:eastAsia="Times New Roman"/>
        </w:rPr>
        <w:t xml:space="preserve"> </w:t>
      </w:r>
      <w:r w:rsidRPr="00E8461E">
        <w:rPr>
          <w:lang w:val="en-GB"/>
        </w:rPr>
        <w:t>housing</w:t>
      </w:r>
      <w:r w:rsidR="001F2FAE" w:rsidRPr="00E8461E">
        <w:rPr>
          <w:lang w:val="en-GB"/>
        </w:rPr>
        <w:t xml:space="preserve"> and</w:t>
      </w:r>
      <w:r w:rsidR="00125840" w:rsidRPr="00E8461E">
        <w:rPr>
          <w:lang w:val="en-GB"/>
        </w:rPr>
        <w:t xml:space="preserve"> </w:t>
      </w:r>
      <w:r w:rsidRPr="00E8461E">
        <w:rPr>
          <w:lang w:val="en-GB"/>
        </w:rPr>
        <w:t>infrastructure</w:t>
      </w:r>
      <w:r w:rsidR="00770B2E" w:rsidRPr="00E8461E">
        <w:rPr>
          <w:lang w:val="en-GB"/>
        </w:rPr>
        <w:t>,</w:t>
      </w:r>
      <w:r w:rsidR="00E527E4" w:rsidRPr="00E8461E">
        <w:rPr>
          <w:lang w:val="en-GB"/>
        </w:rPr>
        <w:t xml:space="preserve"> nature and biodiversity</w:t>
      </w:r>
      <w:r w:rsidR="00770B2E" w:rsidRPr="00E8461E">
        <w:rPr>
          <w:lang w:val="en-GB"/>
        </w:rPr>
        <w:t>,</w:t>
      </w:r>
      <w:r w:rsidR="008D3341" w:rsidRPr="00E8461E">
        <w:rPr>
          <w:lang w:val="en-GB"/>
        </w:rPr>
        <w:t xml:space="preserve"> </w:t>
      </w:r>
      <w:r w:rsidRPr="00E8461E">
        <w:rPr>
          <w:lang w:val="en-GB"/>
        </w:rPr>
        <w:t>and population displacement.</w:t>
      </w:r>
      <w:r w:rsidR="009839F2" w:rsidRPr="00E8461E">
        <w:rPr>
          <w:lang w:val="en-GB"/>
        </w:rPr>
        <w:t xml:space="preserve"> </w:t>
      </w:r>
      <w:r w:rsidR="0001396B" w:rsidRPr="00E8461E">
        <w:rPr>
          <w:rFonts w:ascii="Calibri" w:eastAsia="Calibri" w:hAnsi="Calibri" w:cs="Calibri"/>
          <w:lang w:val="en-GB"/>
        </w:rPr>
        <w:t xml:space="preserve">Climate change interacts with many of Australia’s other significant health and wellbeing challenges, such as </w:t>
      </w:r>
      <w:r w:rsidR="002A33AD" w:rsidRPr="00E8461E">
        <w:rPr>
          <w:rFonts w:ascii="Calibri" w:eastAsia="Calibri" w:hAnsi="Calibri" w:cs="Calibri"/>
          <w:lang w:val="en-GB"/>
        </w:rPr>
        <w:t xml:space="preserve">an </w:t>
      </w:r>
      <w:r w:rsidR="0001396B" w:rsidRPr="00E8461E">
        <w:rPr>
          <w:rFonts w:ascii="Calibri" w:eastAsia="Calibri" w:hAnsi="Calibri" w:cs="Calibri"/>
          <w:lang w:val="en-GB"/>
        </w:rPr>
        <w:t xml:space="preserve">ageing population, a growing burden of </w:t>
      </w:r>
      <w:r w:rsidR="00B23359" w:rsidRPr="00E8461E">
        <w:rPr>
          <w:rFonts w:ascii="Calibri" w:eastAsia="Calibri" w:hAnsi="Calibri" w:cs="Calibri"/>
          <w:lang w:val="en-GB"/>
        </w:rPr>
        <w:t xml:space="preserve">climate-sensitive </w:t>
      </w:r>
      <w:r w:rsidR="0001396B" w:rsidRPr="00E8461E">
        <w:rPr>
          <w:rFonts w:ascii="Calibri" w:eastAsia="Calibri" w:hAnsi="Calibri" w:cs="Calibri"/>
          <w:lang w:val="en-GB"/>
        </w:rPr>
        <w:t>chronic disease and ongoing</w:t>
      </w:r>
      <w:r w:rsidR="0001396B" w:rsidRPr="00E8461E" w:rsidDel="00767230">
        <w:rPr>
          <w:rFonts w:ascii="Calibri" w:eastAsia="Calibri" w:hAnsi="Calibri" w:cs="Calibri"/>
          <w:lang w:val="en-GB"/>
        </w:rPr>
        <w:t xml:space="preserve"> </w:t>
      </w:r>
      <w:r w:rsidR="0001396B" w:rsidRPr="00E8461E">
        <w:rPr>
          <w:rFonts w:ascii="Calibri" w:eastAsia="Calibri" w:hAnsi="Calibri" w:cs="Calibri"/>
          <w:lang w:val="en-GB"/>
        </w:rPr>
        <w:t xml:space="preserve">population health inequalities. </w:t>
      </w:r>
      <w:r w:rsidR="000A5F11" w:rsidRPr="00E8461E">
        <w:rPr>
          <w:lang w:val="en-GB"/>
        </w:rPr>
        <w:t xml:space="preserve">There is therefore an urgent need to build community and health system resilience to </w:t>
      </w:r>
      <w:r w:rsidR="00F416FA" w:rsidRPr="00E8461E">
        <w:rPr>
          <w:lang w:val="en-GB"/>
        </w:rPr>
        <w:t>the impacts of this climate emergency on human health and wellbeing</w:t>
      </w:r>
      <w:r w:rsidR="001000FE" w:rsidRPr="00E8461E">
        <w:rPr>
          <w:lang w:val="en-GB"/>
        </w:rPr>
        <w:t>.</w:t>
      </w:r>
    </w:p>
    <w:p w14:paraId="14306132" w14:textId="5E6D33EF" w:rsidR="007A466B" w:rsidRPr="00E8461E" w:rsidRDefault="00390219" w:rsidP="00A82926">
      <w:pPr>
        <w:rPr>
          <w:lang w:val="en-GB"/>
        </w:rPr>
      </w:pPr>
      <w:r w:rsidRPr="00E8461E">
        <w:rPr>
          <w:lang w:val="en-GB"/>
        </w:rPr>
        <w:t>While the health system has a</w:t>
      </w:r>
      <w:r w:rsidR="00FB31A1" w:rsidRPr="00E8461E">
        <w:rPr>
          <w:lang w:val="en-GB"/>
        </w:rPr>
        <w:t xml:space="preserve"> </w:t>
      </w:r>
      <w:r w:rsidR="00CA5EC2" w:rsidRPr="00E8461E">
        <w:rPr>
          <w:lang w:val="en-GB"/>
        </w:rPr>
        <w:t xml:space="preserve">crucial role </w:t>
      </w:r>
      <w:r w:rsidR="00726CF0" w:rsidRPr="00E8461E">
        <w:rPr>
          <w:lang w:val="en-GB"/>
        </w:rPr>
        <w:t>to play</w:t>
      </w:r>
      <w:r w:rsidR="00CA5EC2" w:rsidRPr="00E8461E">
        <w:rPr>
          <w:lang w:val="en-GB"/>
        </w:rPr>
        <w:t xml:space="preserve"> in</w:t>
      </w:r>
      <w:r w:rsidR="00552A98" w:rsidRPr="00E8461E">
        <w:rPr>
          <w:lang w:val="en-GB"/>
        </w:rPr>
        <w:t xml:space="preserve"> addressing the </w:t>
      </w:r>
      <w:r w:rsidR="001D7B0F" w:rsidRPr="00E8461E">
        <w:rPr>
          <w:lang w:val="en-GB"/>
        </w:rPr>
        <w:t xml:space="preserve">impacts of climate change, </w:t>
      </w:r>
      <w:r w:rsidRPr="00E8461E">
        <w:rPr>
          <w:lang w:val="en-GB"/>
        </w:rPr>
        <w:t>it</w:t>
      </w:r>
      <w:r w:rsidR="001D7B0F" w:rsidRPr="00E8461E">
        <w:rPr>
          <w:lang w:val="en-GB"/>
        </w:rPr>
        <w:t xml:space="preserve"> also </w:t>
      </w:r>
      <w:r w:rsidR="009D6C9D" w:rsidRPr="00E8461E">
        <w:rPr>
          <w:lang w:val="en-GB"/>
        </w:rPr>
        <w:t>generates</w:t>
      </w:r>
      <w:r w:rsidR="00616292" w:rsidRPr="00E8461E">
        <w:rPr>
          <w:lang w:val="en-GB"/>
        </w:rPr>
        <w:t xml:space="preserve"> </w:t>
      </w:r>
      <w:r w:rsidR="00F62D1C" w:rsidRPr="00E8461E">
        <w:rPr>
          <w:lang w:val="en-GB"/>
        </w:rPr>
        <w:t xml:space="preserve">emissions </w:t>
      </w:r>
      <w:r w:rsidR="00616292" w:rsidRPr="00E8461E">
        <w:rPr>
          <w:lang w:val="en-GB"/>
        </w:rPr>
        <w:t>in the</w:t>
      </w:r>
      <w:r w:rsidR="00F62D1C" w:rsidRPr="00E8461E">
        <w:rPr>
          <w:lang w:val="en-GB"/>
        </w:rPr>
        <w:t xml:space="preserve"> delivery of care.</w:t>
      </w:r>
      <w:r w:rsidR="00552A98" w:rsidRPr="00E8461E">
        <w:rPr>
          <w:lang w:val="en-GB"/>
        </w:rPr>
        <w:t xml:space="preserve"> </w:t>
      </w:r>
      <w:r w:rsidR="00F84A5A" w:rsidRPr="00E8461E">
        <w:rPr>
          <w:lang w:val="en-GB"/>
        </w:rPr>
        <w:t>Globally, the health care sector is estimated to be either directly or indirectly responsible for over 5% of total greenhouse gas emissions</w:t>
      </w:r>
      <w:r w:rsidR="0067324D" w:rsidRPr="00E8461E">
        <w:rPr>
          <w:lang w:val="en-GB"/>
        </w:rPr>
        <w:t>.</w:t>
      </w:r>
      <w:r w:rsidR="0067324D" w:rsidRPr="00E8461E">
        <w:rPr>
          <w:rStyle w:val="EndnoteReference"/>
          <w:lang w:val="en-GB"/>
        </w:rPr>
        <w:endnoteReference w:id="4"/>
      </w:r>
      <w:r w:rsidR="00F84A5A" w:rsidRPr="00E8461E">
        <w:rPr>
          <w:lang w:val="en-GB"/>
        </w:rPr>
        <w:t xml:space="preserve"> </w:t>
      </w:r>
      <w:r w:rsidR="00CF297A" w:rsidRPr="00E8461E">
        <w:rPr>
          <w:lang w:val="en-GB"/>
        </w:rPr>
        <w:t>U</w:t>
      </w:r>
      <w:r w:rsidR="00C61D9E" w:rsidRPr="00E8461E">
        <w:rPr>
          <w:lang w:val="en-GB"/>
        </w:rPr>
        <w:t>nder the Paris Agreement</w:t>
      </w:r>
      <w:r w:rsidR="00CF297A" w:rsidRPr="00E8461E">
        <w:rPr>
          <w:lang w:val="en-GB"/>
        </w:rPr>
        <w:t xml:space="preserve">, </w:t>
      </w:r>
      <w:r w:rsidR="007F6AFB" w:rsidRPr="00E8461E">
        <w:rPr>
          <w:lang w:val="en-GB"/>
        </w:rPr>
        <w:t xml:space="preserve">Australia committed to </w:t>
      </w:r>
      <w:r w:rsidR="00745637" w:rsidRPr="00E8461E">
        <w:rPr>
          <w:lang w:val="en-GB"/>
        </w:rPr>
        <w:t xml:space="preserve">work alongside other countries </w:t>
      </w:r>
      <w:r w:rsidR="005C5964" w:rsidRPr="00E8461E">
        <w:rPr>
          <w:lang w:val="en-GB"/>
        </w:rPr>
        <w:t>hold the increase in global average temperature to well below 2</w:t>
      </w:r>
      <w:r w:rsidR="005C5964" w:rsidRPr="00E8461E">
        <w:rPr>
          <w:rFonts w:ascii="Calibri" w:eastAsia="Calibri" w:hAnsi="Calibri" w:cs="Calibri"/>
          <w:lang w:val="en-GB"/>
        </w:rPr>
        <w:t>°C above pre-industrial levels and pursue efforts to limit the temperature increase to 1.5°C above pre-industrial levels.</w:t>
      </w:r>
      <w:r w:rsidR="005C5964" w:rsidRPr="00E8461E">
        <w:rPr>
          <w:lang w:val="en-GB"/>
        </w:rPr>
        <w:t xml:space="preserve"> In 2022</w:t>
      </w:r>
      <w:r w:rsidR="006C78AA" w:rsidRPr="00E8461E">
        <w:rPr>
          <w:lang w:val="en-GB"/>
        </w:rPr>
        <w:t>,</w:t>
      </w:r>
      <w:r w:rsidR="005C5964" w:rsidRPr="00E8461E">
        <w:rPr>
          <w:lang w:val="en-GB"/>
        </w:rPr>
        <w:t xml:space="preserve"> Australia committed to reduce national emissions by 43% against 2005 levels by 2030 and achieve net zero emissions by 2050. </w:t>
      </w:r>
      <w:r w:rsidR="00E0263B" w:rsidRPr="00E8461E">
        <w:rPr>
          <w:lang w:val="en-GB"/>
        </w:rPr>
        <w:t>Achieving the</w:t>
      </w:r>
      <w:r w:rsidR="006043E2" w:rsidRPr="00E8461E">
        <w:rPr>
          <w:lang w:val="en-GB"/>
        </w:rPr>
        <w:t xml:space="preserve">se commitments </w:t>
      </w:r>
      <w:r w:rsidR="00745637" w:rsidRPr="00E8461E">
        <w:rPr>
          <w:lang w:val="en-GB"/>
        </w:rPr>
        <w:t>will require</w:t>
      </w:r>
      <w:r w:rsidR="007F6AFB" w:rsidRPr="00E8461E">
        <w:rPr>
          <w:lang w:val="en-GB"/>
        </w:rPr>
        <w:t xml:space="preserve"> decarbonisation </w:t>
      </w:r>
      <w:r w:rsidR="002D041D" w:rsidRPr="00E8461E">
        <w:rPr>
          <w:lang w:val="en-GB"/>
        </w:rPr>
        <w:t xml:space="preserve">across </w:t>
      </w:r>
      <w:r w:rsidR="00A479D2" w:rsidRPr="00E8461E">
        <w:rPr>
          <w:lang w:val="en-GB"/>
        </w:rPr>
        <w:t>every sector of the economy</w:t>
      </w:r>
      <w:r w:rsidR="008B1407" w:rsidRPr="00E8461E">
        <w:rPr>
          <w:lang w:val="en-GB"/>
        </w:rPr>
        <w:t>, including</w:t>
      </w:r>
      <w:r w:rsidR="001F0B43" w:rsidRPr="00E8461E">
        <w:rPr>
          <w:lang w:val="en-GB"/>
        </w:rPr>
        <w:t xml:space="preserve"> the health</w:t>
      </w:r>
      <w:r w:rsidR="00E31092" w:rsidRPr="00E8461E">
        <w:rPr>
          <w:lang w:val="en-GB"/>
        </w:rPr>
        <w:t xml:space="preserve"> system</w:t>
      </w:r>
      <w:r w:rsidR="008B1407" w:rsidRPr="00E8461E">
        <w:rPr>
          <w:lang w:val="en-GB"/>
        </w:rPr>
        <w:t>.</w:t>
      </w:r>
      <w:r w:rsidR="001F0B43" w:rsidRPr="00E8461E">
        <w:rPr>
          <w:lang w:val="en-GB"/>
        </w:rPr>
        <w:t xml:space="preserve"> </w:t>
      </w:r>
      <w:r w:rsidR="007B052C" w:rsidRPr="00E8461E">
        <w:rPr>
          <w:lang w:val="en-GB"/>
        </w:rPr>
        <w:t>Reducing</w:t>
      </w:r>
      <w:r w:rsidR="001F0B43" w:rsidRPr="00E8461E">
        <w:rPr>
          <w:lang w:val="en-GB"/>
        </w:rPr>
        <w:t xml:space="preserve"> health system emissions also aligns with the health profession’s responsibility to </w:t>
      </w:r>
      <w:r w:rsidR="008526D4" w:rsidRPr="00E8461E">
        <w:rPr>
          <w:lang w:val="en-GB"/>
        </w:rPr>
        <w:t>‘</w:t>
      </w:r>
      <w:r w:rsidR="001F0B43" w:rsidRPr="00E8461E">
        <w:rPr>
          <w:lang w:val="en-GB"/>
        </w:rPr>
        <w:t>first do no harm</w:t>
      </w:r>
      <w:r w:rsidR="008526D4" w:rsidRPr="00E8461E">
        <w:rPr>
          <w:lang w:val="en-GB"/>
        </w:rPr>
        <w:t>’</w:t>
      </w:r>
      <w:r w:rsidR="001F0B43" w:rsidRPr="00E8461E">
        <w:rPr>
          <w:lang w:val="en-GB"/>
        </w:rPr>
        <w:t>.</w:t>
      </w:r>
    </w:p>
    <w:p w14:paraId="13B4054B" w14:textId="610BFA50" w:rsidR="00F9276B" w:rsidRPr="00E8461E" w:rsidRDefault="00557D78" w:rsidP="009C46C8">
      <w:pPr>
        <w:rPr>
          <w:lang w:val="en-GB"/>
        </w:rPr>
      </w:pPr>
      <w:r w:rsidRPr="00E8461E">
        <w:rPr>
          <w:lang w:val="en-GB"/>
        </w:rPr>
        <w:t xml:space="preserve">The health system also has a role to play in highlighting the health benefits </w:t>
      </w:r>
      <w:r w:rsidR="007B052C" w:rsidRPr="00E8461E">
        <w:rPr>
          <w:lang w:val="en-GB"/>
        </w:rPr>
        <w:t>of emissions reductions</w:t>
      </w:r>
      <w:r w:rsidR="006412D3" w:rsidRPr="00E8461E">
        <w:rPr>
          <w:lang w:val="en-GB"/>
        </w:rPr>
        <w:t xml:space="preserve"> </w:t>
      </w:r>
      <w:r w:rsidRPr="00E8461E">
        <w:rPr>
          <w:lang w:val="en-GB"/>
        </w:rPr>
        <w:t>more generally</w:t>
      </w:r>
      <w:r w:rsidR="006412D3" w:rsidRPr="00E8461E">
        <w:rPr>
          <w:lang w:val="en-GB"/>
        </w:rPr>
        <w:t>.</w:t>
      </w:r>
      <w:r w:rsidR="001E21C0" w:rsidRPr="00E8461E">
        <w:rPr>
          <w:lang w:val="en-GB"/>
        </w:rPr>
        <w:t xml:space="preserve"> </w:t>
      </w:r>
      <w:r w:rsidR="00CD1692" w:rsidRPr="00E8461E">
        <w:rPr>
          <w:lang w:val="en-GB"/>
        </w:rPr>
        <w:t>P</w:t>
      </w:r>
      <w:r w:rsidR="005D6F0B" w:rsidRPr="00E8461E">
        <w:rPr>
          <w:lang w:val="en-GB"/>
        </w:rPr>
        <w:t>olicies to mitigate</w:t>
      </w:r>
      <w:r w:rsidR="000077E7" w:rsidRPr="00E8461E">
        <w:rPr>
          <w:lang w:val="en-GB"/>
        </w:rPr>
        <w:t xml:space="preserve"> </w:t>
      </w:r>
      <w:r w:rsidR="001E21C0" w:rsidRPr="00E8461E">
        <w:rPr>
          <w:lang w:val="en-GB"/>
        </w:rPr>
        <w:t xml:space="preserve">emissions from </w:t>
      </w:r>
      <w:r w:rsidR="00A64C96" w:rsidRPr="00E8461E">
        <w:rPr>
          <w:lang w:val="en-GB"/>
        </w:rPr>
        <w:t xml:space="preserve">housing, </w:t>
      </w:r>
      <w:r w:rsidR="00E27448" w:rsidRPr="00E8461E">
        <w:rPr>
          <w:lang w:val="en-GB"/>
        </w:rPr>
        <w:t xml:space="preserve">food production and agriculture, </w:t>
      </w:r>
      <w:r w:rsidR="00EA070A" w:rsidRPr="00E8461E">
        <w:rPr>
          <w:lang w:val="en-GB"/>
        </w:rPr>
        <w:t xml:space="preserve">energy generation, </w:t>
      </w:r>
      <w:r w:rsidR="00B96037" w:rsidRPr="00E8461E">
        <w:rPr>
          <w:lang w:val="en-GB"/>
        </w:rPr>
        <w:t xml:space="preserve">industry, </w:t>
      </w:r>
      <w:r w:rsidR="00F535BA" w:rsidRPr="00E8461E">
        <w:rPr>
          <w:lang w:val="en-GB"/>
        </w:rPr>
        <w:t xml:space="preserve">and </w:t>
      </w:r>
      <w:r w:rsidR="0085174A" w:rsidRPr="00E8461E">
        <w:rPr>
          <w:lang w:val="en-GB"/>
        </w:rPr>
        <w:t>travel and t</w:t>
      </w:r>
      <w:r w:rsidR="008622C0" w:rsidRPr="00E8461E">
        <w:rPr>
          <w:lang w:val="en-GB"/>
        </w:rPr>
        <w:t>r</w:t>
      </w:r>
      <w:r w:rsidR="0085174A" w:rsidRPr="00E8461E">
        <w:rPr>
          <w:lang w:val="en-GB"/>
        </w:rPr>
        <w:t>ansport</w:t>
      </w:r>
      <w:r w:rsidR="00A64C96" w:rsidRPr="00E8461E">
        <w:rPr>
          <w:lang w:val="en-GB"/>
        </w:rPr>
        <w:t>,</w:t>
      </w:r>
      <w:r w:rsidR="00CD39A5" w:rsidRPr="00E8461E">
        <w:rPr>
          <w:lang w:val="en-GB"/>
        </w:rPr>
        <w:t xml:space="preserve"> </w:t>
      </w:r>
      <w:r w:rsidR="005D6F0B" w:rsidRPr="00E8461E">
        <w:rPr>
          <w:lang w:val="en-GB"/>
        </w:rPr>
        <w:t>have the potential to result in</w:t>
      </w:r>
      <w:r w:rsidR="00FE5FD2" w:rsidRPr="00E8461E">
        <w:rPr>
          <w:lang w:val="en-GB"/>
        </w:rPr>
        <w:t xml:space="preserve"> major public health benefits</w:t>
      </w:r>
      <w:r w:rsidR="006644CC" w:rsidRPr="00E8461E">
        <w:rPr>
          <w:lang w:val="en-GB"/>
        </w:rPr>
        <w:t>,</w:t>
      </w:r>
      <w:r w:rsidR="00A742AD" w:rsidRPr="00E8461E">
        <w:rPr>
          <w:lang w:val="en-GB"/>
        </w:rPr>
        <w:t xml:space="preserve"> for example through</w:t>
      </w:r>
      <w:r w:rsidR="00856A00" w:rsidRPr="00E8461E">
        <w:rPr>
          <w:lang w:val="en-GB"/>
        </w:rPr>
        <w:t xml:space="preserve"> improved </w:t>
      </w:r>
      <w:r w:rsidR="00A742AD" w:rsidRPr="00E8461E">
        <w:rPr>
          <w:lang w:val="en-GB"/>
        </w:rPr>
        <w:t>urban air quality</w:t>
      </w:r>
      <w:r w:rsidR="00E9049D" w:rsidRPr="00E8461E">
        <w:rPr>
          <w:lang w:val="en-GB"/>
        </w:rPr>
        <w:t xml:space="preserve">, healthier </w:t>
      </w:r>
      <w:r w:rsidR="00856A00" w:rsidRPr="00E8461E">
        <w:rPr>
          <w:lang w:val="en-GB"/>
        </w:rPr>
        <w:t>diet</w:t>
      </w:r>
      <w:r w:rsidR="002E4794" w:rsidRPr="00E8461E">
        <w:rPr>
          <w:lang w:val="en-GB"/>
        </w:rPr>
        <w:t>s</w:t>
      </w:r>
      <w:r w:rsidR="00E95094" w:rsidRPr="00E8461E">
        <w:rPr>
          <w:lang w:val="en-GB"/>
        </w:rPr>
        <w:t xml:space="preserve"> and</w:t>
      </w:r>
      <w:r w:rsidR="00856A00" w:rsidRPr="00E8461E">
        <w:rPr>
          <w:lang w:val="en-GB"/>
        </w:rPr>
        <w:t xml:space="preserve"> </w:t>
      </w:r>
      <w:r w:rsidR="00E95094" w:rsidRPr="00E8461E">
        <w:rPr>
          <w:lang w:val="en-GB"/>
        </w:rPr>
        <w:t>increased physical activity</w:t>
      </w:r>
      <w:r w:rsidR="00FE5FD2" w:rsidRPr="00E8461E">
        <w:rPr>
          <w:lang w:val="en-GB"/>
        </w:rPr>
        <w:t xml:space="preserve">. </w:t>
      </w:r>
      <w:r w:rsidR="007255A3" w:rsidRPr="00E8461E">
        <w:rPr>
          <w:lang w:val="en-GB"/>
        </w:rPr>
        <w:t xml:space="preserve">The health system will also be </w:t>
      </w:r>
      <w:r w:rsidR="00E85E69" w:rsidRPr="00E8461E">
        <w:rPr>
          <w:lang w:val="en-GB"/>
        </w:rPr>
        <w:t>particularly</w:t>
      </w:r>
      <w:r w:rsidR="007255A3" w:rsidRPr="00E8461E">
        <w:rPr>
          <w:lang w:val="en-GB"/>
        </w:rPr>
        <w:t xml:space="preserve"> </w:t>
      </w:r>
      <w:r w:rsidR="00D86402" w:rsidRPr="00E8461E">
        <w:rPr>
          <w:lang w:val="en-GB"/>
        </w:rPr>
        <w:t>affected</w:t>
      </w:r>
      <w:r w:rsidR="007255A3" w:rsidRPr="00E8461E">
        <w:rPr>
          <w:lang w:val="en-GB"/>
        </w:rPr>
        <w:t xml:space="preserve"> by the failure to mitigate or adapt to climate change</w:t>
      </w:r>
      <w:r w:rsidR="004F49BE" w:rsidRPr="00E8461E">
        <w:rPr>
          <w:lang w:val="en-GB"/>
        </w:rPr>
        <w:t>, as i</w:t>
      </w:r>
      <w:r w:rsidR="00351C8E" w:rsidRPr="00E8461E">
        <w:rPr>
          <w:lang w:val="en-GB"/>
        </w:rPr>
        <w:t xml:space="preserve">ncreased mortality, </w:t>
      </w:r>
      <w:proofErr w:type="gramStart"/>
      <w:r w:rsidR="00351C8E" w:rsidRPr="00E8461E">
        <w:rPr>
          <w:lang w:val="en-GB"/>
        </w:rPr>
        <w:t>disease</w:t>
      </w:r>
      <w:proofErr w:type="gramEnd"/>
      <w:r w:rsidR="00351C8E" w:rsidRPr="00E8461E">
        <w:rPr>
          <w:lang w:val="en-GB"/>
        </w:rPr>
        <w:t xml:space="preserve"> and injury will lead to pressure on healthcare demand and capacity.</w:t>
      </w:r>
    </w:p>
    <w:p w14:paraId="770C36B1" w14:textId="069880F7" w:rsidR="003B02D8" w:rsidRPr="00E8461E" w:rsidRDefault="006C40DB" w:rsidP="007703A2">
      <w:pPr>
        <w:rPr>
          <w:lang w:val="en-GB"/>
        </w:rPr>
      </w:pPr>
      <w:r w:rsidRPr="00E8461E">
        <w:rPr>
          <w:lang w:val="en-GB"/>
        </w:rPr>
        <w:t>First Nations</w:t>
      </w:r>
      <w:r w:rsidR="00D43CA3" w:rsidRPr="00E8461E">
        <w:rPr>
          <w:lang w:val="en-GB"/>
        </w:rPr>
        <w:t xml:space="preserve"> people</w:t>
      </w:r>
      <w:r w:rsidRPr="00E8461E">
        <w:rPr>
          <w:lang w:val="en-GB"/>
        </w:rPr>
        <w:t>’</w:t>
      </w:r>
      <w:r w:rsidR="00D43CA3" w:rsidRPr="00E8461E">
        <w:rPr>
          <w:lang w:val="en-GB"/>
        </w:rPr>
        <w:t>s</w:t>
      </w:r>
      <w:r w:rsidRPr="00E8461E">
        <w:rPr>
          <w:lang w:val="en-GB"/>
        </w:rPr>
        <w:t xml:space="preserve"> holistic understanding of health and wellbeing has a critical role to play in Australia’s response to climate change. </w:t>
      </w:r>
      <w:r w:rsidR="00B27EEE" w:rsidRPr="00E8461E">
        <w:rPr>
          <w:lang w:val="en-GB"/>
        </w:rPr>
        <w:t>First Nations</w:t>
      </w:r>
      <w:r w:rsidRPr="00E8461E">
        <w:rPr>
          <w:lang w:val="en-GB"/>
        </w:rPr>
        <w:t xml:space="preserve"> people</w:t>
      </w:r>
      <w:r w:rsidR="00B27EEE" w:rsidRPr="00E8461E">
        <w:rPr>
          <w:lang w:val="en-GB"/>
        </w:rPr>
        <w:t xml:space="preserve"> have a unique connection to Country – their traditional land</w:t>
      </w:r>
      <w:r w:rsidR="004A6874" w:rsidRPr="00E8461E">
        <w:rPr>
          <w:lang w:val="en-GB"/>
        </w:rPr>
        <w:t>s</w:t>
      </w:r>
      <w:r w:rsidR="00B27EEE" w:rsidRPr="00E8461E">
        <w:rPr>
          <w:lang w:val="en-GB"/>
        </w:rPr>
        <w:t xml:space="preserve">, </w:t>
      </w:r>
      <w:proofErr w:type="gramStart"/>
      <w:r w:rsidR="00B27EEE" w:rsidRPr="00E8461E">
        <w:rPr>
          <w:lang w:val="en-GB"/>
        </w:rPr>
        <w:t>seas</w:t>
      </w:r>
      <w:proofErr w:type="gramEnd"/>
      <w:r w:rsidR="00B27EEE" w:rsidRPr="00E8461E">
        <w:rPr>
          <w:lang w:val="en-GB"/>
        </w:rPr>
        <w:t xml:space="preserve"> and waterways. For First Nations</w:t>
      </w:r>
      <w:r w:rsidRPr="00E8461E">
        <w:rPr>
          <w:lang w:val="en-GB"/>
        </w:rPr>
        <w:t xml:space="preserve"> people</w:t>
      </w:r>
      <w:r w:rsidR="00B27EEE" w:rsidRPr="00E8461E">
        <w:rPr>
          <w:lang w:val="en-GB"/>
        </w:rPr>
        <w:t>, Country is more than just a physical place. Country is central to First Nations</w:t>
      </w:r>
      <w:r w:rsidRPr="00E8461E">
        <w:rPr>
          <w:lang w:val="en-GB"/>
        </w:rPr>
        <w:t xml:space="preserve"> people</w:t>
      </w:r>
      <w:r w:rsidR="006F46FE" w:rsidRPr="00E8461E">
        <w:rPr>
          <w:lang w:val="en-GB"/>
        </w:rPr>
        <w:t>’</w:t>
      </w:r>
      <w:r w:rsidRPr="00E8461E">
        <w:rPr>
          <w:lang w:val="en-GB"/>
        </w:rPr>
        <w:t>s</w:t>
      </w:r>
      <w:r w:rsidR="00B27EEE" w:rsidRPr="00E8461E">
        <w:rPr>
          <w:lang w:val="en-GB"/>
        </w:rPr>
        <w:t xml:space="preserve"> </w:t>
      </w:r>
      <w:r w:rsidR="002524E3" w:rsidRPr="00E8461E">
        <w:rPr>
          <w:lang w:val="en-GB"/>
        </w:rPr>
        <w:t xml:space="preserve">holistic understanding of </w:t>
      </w:r>
      <w:r w:rsidR="00DC5C3D" w:rsidRPr="00E8461E">
        <w:rPr>
          <w:lang w:val="en-GB"/>
        </w:rPr>
        <w:t xml:space="preserve">health, where health </w:t>
      </w:r>
      <w:r w:rsidR="00B24E47" w:rsidRPr="00E8461E">
        <w:rPr>
          <w:lang w:val="en-GB"/>
        </w:rPr>
        <w:t>is understood as</w:t>
      </w:r>
      <w:r w:rsidR="00DC5C3D" w:rsidRPr="00E8461E">
        <w:rPr>
          <w:lang w:val="en-GB"/>
        </w:rPr>
        <w:t xml:space="preserve"> the </w:t>
      </w:r>
      <w:r w:rsidR="005A1CD2" w:rsidRPr="00E8461E">
        <w:rPr>
          <w:lang w:val="en-GB"/>
        </w:rPr>
        <w:t xml:space="preserve">social, </w:t>
      </w:r>
      <w:proofErr w:type="gramStart"/>
      <w:r w:rsidR="005A1CD2" w:rsidRPr="00E8461E">
        <w:rPr>
          <w:lang w:val="en-GB"/>
        </w:rPr>
        <w:t>cultural</w:t>
      </w:r>
      <w:proofErr w:type="gramEnd"/>
      <w:r w:rsidR="005A1CD2" w:rsidRPr="00E8461E">
        <w:rPr>
          <w:lang w:val="en-GB"/>
        </w:rPr>
        <w:t xml:space="preserve"> and </w:t>
      </w:r>
      <w:r w:rsidR="00AD771A" w:rsidRPr="00E8461E">
        <w:rPr>
          <w:lang w:val="en-GB"/>
        </w:rPr>
        <w:t xml:space="preserve">emotional wellbeing of </w:t>
      </w:r>
      <w:r w:rsidR="003E1D39" w:rsidRPr="00E8461E">
        <w:rPr>
          <w:lang w:val="en-GB"/>
        </w:rPr>
        <w:t>the whole community</w:t>
      </w:r>
      <w:r w:rsidR="003B02D8" w:rsidRPr="00E8461E">
        <w:rPr>
          <w:lang w:val="en-GB"/>
        </w:rPr>
        <w:t>.</w:t>
      </w:r>
      <w:r w:rsidR="0032288C" w:rsidRPr="00E8461E">
        <w:rPr>
          <w:lang w:val="en-GB"/>
        </w:rPr>
        <w:t xml:space="preserve"> Caring for Country, including First Nations land </w:t>
      </w:r>
      <w:r w:rsidR="0032288C" w:rsidRPr="00E8461E">
        <w:rPr>
          <w:lang w:val="en-GB"/>
        </w:rPr>
        <w:lastRenderedPageBreak/>
        <w:t xml:space="preserve">and sea management, is </w:t>
      </w:r>
      <w:r w:rsidR="004855DC" w:rsidRPr="00E8461E">
        <w:rPr>
          <w:lang w:val="en-GB"/>
        </w:rPr>
        <w:t>strongly asso</w:t>
      </w:r>
      <w:r w:rsidR="00F8400D" w:rsidRPr="00E8461E">
        <w:rPr>
          <w:lang w:val="en-GB"/>
        </w:rPr>
        <w:t xml:space="preserve">ciated </w:t>
      </w:r>
      <w:r w:rsidR="001F03ED" w:rsidRPr="00E8461E">
        <w:rPr>
          <w:lang w:val="en-GB"/>
        </w:rPr>
        <w:t>with</w:t>
      </w:r>
      <w:r w:rsidR="00A76002" w:rsidRPr="00E8461E">
        <w:rPr>
          <w:lang w:val="en-GB"/>
        </w:rPr>
        <w:t xml:space="preserve"> the</w:t>
      </w:r>
      <w:r w:rsidR="001F03ED" w:rsidRPr="00E8461E">
        <w:rPr>
          <w:lang w:val="en-GB"/>
        </w:rPr>
        <w:t xml:space="preserve"> </w:t>
      </w:r>
      <w:r w:rsidR="007703A2" w:rsidRPr="00E8461E">
        <w:rPr>
          <w:lang w:val="en-GB"/>
        </w:rPr>
        <w:t>social-political, cultural, economic, physical and emotional wellbeing of First Nations people.</w:t>
      </w:r>
      <w:r w:rsidR="00A76002" w:rsidRPr="00E8461E">
        <w:rPr>
          <w:rStyle w:val="EndnoteReference"/>
          <w:lang w:val="en-GB"/>
        </w:rPr>
        <w:endnoteReference w:id="5"/>
      </w:r>
      <w:r w:rsidR="007703A2" w:rsidRPr="00E8461E">
        <w:rPr>
          <w:lang w:val="en-GB"/>
        </w:rPr>
        <w:t xml:space="preserve"> </w:t>
      </w:r>
      <w:r w:rsidR="003B02D8" w:rsidRPr="00E8461E">
        <w:rPr>
          <w:lang w:val="en-GB"/>
        </w:rPr>
        <w:t xml:space="preserve">First Nations </w:t>
      </w:r>
      <w:r w:rsidR="003B02D8" w:rsidRPr="00E8461E" w:rsidDel="00084694">
        <w:rPr>
          <w:lang w:val="en-GB"/>
        </w:rPr>
        <w:t>people</w:t>
      </w:r>
      <w:r w:rsidR="002347FC" w:rsidRPr="00E8461E" w:rsidDel="00084694">
        <w:rPr>
          <w:lang w:val="en-GB"/>
        </w:rPr>
        <w:t xml:space="preserve"> often say</w:t>
      </w:r>
      <w:r w:rsidR="003B02D8" w:rsidRPr="00E8461E">
        <w:rPr>
          <w:lang w:val="en-GB"/>
        </w:rPr>
        <w:t xml:space="preserve"> if the Country is healthy</w:t>
      </w:r>
      <w:r w:rsidR="009251C1" w:rsidRPr="00E8461E">
        <w:rPr>
          <w:lang w:val="en-GB"/>
        </w:rPr>
        <w:t>,</w:t>
      </w:r>
      <w:r w:rsidR="003B02D8" w:rsidRPr="00E8461E">
        <w:rPr>
          <w:lang w:val="en-GB"/>
        </w:rPr>
        <w:t xml:space="preserve"> then the People will be healthy.</w:t>
      </w:r>
      <w:r w:rsidR="00725AD7" w:rsidRPr="00E8461E">
        <w:rPr>
          <w:rStyle w:val="EndnoteReference"/>
          <w:lang w:val="en-GB"/>
        </w:rPr>
        <w:endnoteReference w:id="6"/>
      </w:r>
      <w:r w:rsidR="0036419F" w:rsidRPr="00E8461E">
        <w:rPr>
          <w:lang w:val="en-GB"/>
        </w:rPr>
        <w:t xml:space="preserve"> There is growing recognition First Nations people’s leadership on climate change adaptation and mitigation will not only improve health outcomes for First Nations </w:t>
      </w:r>
      <w:r w:rsidR="0036419F" w:rsidRPr="00E8461E" w:rsidDel="00824743">
        <w:rPr>
          <w:lang w:val="en-GB"/>
        </w:rPr>
        <w:t>people</w:t>
      </w:r>
      <w:r w:rsidR="0036419F" w:rsidRPr="00E8461E">
        <w:rPr>
          <w:lang w:val="en-GB"/>
        </w:rPr>
        <w:t>, but have benefits for all people in Australia.</w:t>
      </w:r>
      <w:r w:rsidR="0036419F" w:rsidRPr="00E8461E">
        <w:rPr>
          <w:rStyle w:val="EndnoteReference"/>
          <w:lang w:val="en-GB"/>
        </w:rPr>
        <w:endnoteReference w:id="7"/>
      </w:r>
    </w:p>
    <w:p w14:paraId="76251BD6" w14:textId="5E4E02B3" w:rsidR="00B550FB" w:rsidRPr="00E8461E" w:rsidRDefault="00B550FB" w:rsidP="00DD6256">
      <w:pPr>
        <w:rPr>
          <w:lang w:val="en-GB"/>
        </w:rPr>
      </w:pPr>
      <w:bookmarkStart w:id="17" w:name="_Toc147086735"/>
      <w:bookmarkStart w:id="18" w:name="_Toc147502186"/>
      <w:r w:rsidRPr="00E8461E">
        <w:rPr>
          <w:lang w:val="en-GB"/>
        </w:rPr>
        <w:br w:type="page"/>
      </w:r>
    </w:p>
    <w:p w14:paraId="79F90732" w14:textId="5B7B5774" w:rsidR="00EA340C" w:rsidRPr="00E8461E" w:rsidRDefault="005405F9" w:rsidP="00D76CDF">
      <w:pPr>
        <w:pStyle w:val="Heading1"/>
        <w:rPr>
          <w:lang w:val="en-GB"/>
        </w:rPr>
      </w:pPr>
      <w:bookmarkStart w:id="19" w:name="_Toc149909971"/>
      <w:bookmarkStart w:id="20" w:name="_Toc149918435"/>
      <w:bookmarkStart w:id="21" w:name="_Toc151999614"/>
      <w:r w:rsidRPr="00E8461E">
        <w:rPr>
          <w:lang w:val="en-GB"/>
        </w:rPr>
        <w:lastRenderedPageBreak/>
        <w:t xml:space="preserve">Chapter </w:t>
      </w:r>
      <w:r w:rsidRPr="00E8461E" w:rsidDel="00B61D59">
        <w:rPr>
          <w:lang w:val="en-GB"/>
        </w:rPr>
        <w:t>2</w:t>
      </w:r>
      <w:r w:rsidR="00E63764" w:rsidRPr="00E8461E">
        <w:rPr>
          <w:lang w:val="en-GB"/>
        </w:rPr>
        <w:t>:</w:t>
      </w:r>
      <w:r w:rsidRPr="00E8461E">
        <w:rPr>
          <w:lang w:val="en-GB"/>
        </w:rPr>
        <w:t xml:space="preserve"> </w:t>
      </w:r>
      <w:r w:rsidR="00B52568" w:rsidRPr="00E8461E">
        <w:rPr>
          <w:lang w:val="en-GB"/>
        </w:rPr>
        <w:t xml:space="preserve">About the </w:t>
      </w:r>
      <w:r w:rsidR="00D015B1" w:rsidRPr="00E8461E">
        <w:rPr>
          <w:lang w:val="en-GB"/>
        </w:rPr>
        <w:t xml:space="preserve">National Health and Climate </w:t>
      </w:r>
      <w:r w:rsidR="00B52568" w:rsidRPr="00E8461E">
        <w:rPr>
          <w:lang w:val="en-GB"/>
        </w:rPr>
        <w:t>Strategy</w:t>
      </w:r>
      <w:bookmarkEnd w:id="17"/>
      <w:bookmarkEnd w:id="18"/>
      <w:bookmarkEnd w:id="19"/>
      <w:bookmarkEnd w:id="20"/>
      <w:bookmarkEnd w:id="21"/>
    </w:p>
    <w:p w14:paraId="25D6E4C5" w14:textId="4013150F" w:rsidR="00653752" w:rsidRPr="00E8461E" w:rsidRDefault="00653752" w:rsidP="00653752">
      <w:pPr>
        <w:rPr>
          <w:lang w:val="en-GB"/>
        </w:rPr>
      </w:pPr>
      <w:r w:rsidRPr="00E8461E">
        <w:rPr>
          <w:noProof/>
          <w:lang w:val="en-GB"/>
        </w:rPr>
        <mc:AlternateContent>
          <mc:Choice Requires="wps">
            <w:drawing>
              <wp:inline distT="0" distB="0" distL="0" distR="0" wp14:anchorId="371BC2D5" wp14:editId="3F0E2BD0">
                <wp:extent cx="1035592" cy="115657"/>
                <wp:effectExtent l="0" t="0" r="0" b="0"/>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126AE" id="Rectangle 8"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2B546A5E" w14:textId="52EB0C17" w:rsidR="006F5224" w:rsidRPr="00E8461E" w:rsidRDefault="007E0245" w:rsidP="00874243">
      <w:pPr>
        <w:rPr>
          <w:lang w:val="en-GB"/>
        </w:rPr>
      </w:pPr>
      <w:r w:rsidRPr="00E8461E">
        <w:rPr>
          <w:lang w:val="en-GB"/>
        </w:rPr>
        <w:t>This document is Australia</w:t>
      </w:r>
      <w:r w:rsidR="009E2323" w:rsidRPr="00E8461E">
        <w:rPr>
          <w:lang w:val="en-GB"/>
        </w:rPr>
        <w:t>’</w:t>
      </w:r>
      <w:r w:rsidRPr="00E8461E">
        <w:rPr>
          <w:lang w:val="en-GB"/>
        </w:rPr>
        <w:t xml:space="preserve">s first National Health and Climate Strategy. </w:t>
      </w:r>
      <w:r w:rsidR="002355A8" w:rsidRPr="00E8461E">
        <w:rPr>
          <w:lang w:val="en-GB"/>
        </w:rPr>
        <w:t xml:space="preserve">In recognition of the </w:t>
      </w:r>
      <w:r w:rsidR="00FD34BA" w:rsidRPr="00E8461E">
        <w:rPr>
          <w:lang w:val="en-GB"/>
        </w:rPr>
        <w:t xml:space="preserve">urgent </w:t>
      </w:r>
      <w:r w:rsidR="002355A8" w:rsidRPr="00E8461E">
        <w:rPr>
          <w:lang w:val="en-GB"/>
        </w:rPr>
        <w:t>need to</w:t>
      </w:r>
      <w:r w:rsidR="00857920" w:rsidRPr="00E8461E">
        <w:rPr>
          <w:lang w:val="en-GB"/>
        </w:rPr>
        <w:t xml:space="preserve"> </w:t>
      </w:r>
      <w:proofErr w:type="gramStart"/>
      <w:r w:rsidR="003210F3" w:rsidRPr="00E8461E">
        <w:rPr>
          <w:lang w:val="en-GB"/>
        </w:rPr>
        <w:t>take action</w:t>
      </w:r>
      <w:proofErr w:type="gramEnd"/>
      <w:r w:rsidR="002355A8" w:rsidRPr="00E8461E">
        <w:rPr>
          <w:lang w:val="en-GB"/>
        </w:rPr>
        <w:t xml:space="preserve">, </w:t>
      </w:r>
      <w:r w:rsidR="00A86176" w:rsidRPr="00E8461E">
        <w:rPr>
          <w:lang w:val="en-GB"/>
        </w:rPr>
        <w:t>t</w:t>
      </w:r>
      <w:r w:rsidR="0069644C" w:rsidRPr="00E8461E">
        <w:rPr>
          <w:lang w:val="en-GB"/>
        </w:rPr>
        <w:t>his</w:t>
      </w:r>
      <w:r w:rsidR="00F906E3" w:rsidRPr="00E8461E">
        <w:rPr>
          <w:lang w:val="en-GB"/>
        </w:rPr>
        <w:t xml:space="preserve"> Strategy </w:t>
      </w:r>
      <w:r w:rsidR="0069644C" w:rsidRPr="00E8461E">
        <w:rPr>
          <w:lang w:val="en-GB"/>
        </w:rPr>
        <w:t>outlines a national</w:t>
      </w:r>
      <w:r w:rsidR="002D4579" w:rsidRPr="00E8461E">
        <w:rPr>
          <w:lang w:val="en-GB"/>
        </w:rPr>
        <w:t xml:space="preserve"> </w:t>
      </w:r>
      <w:r w:rsidR="00D23CAF" w:rsidRPr="00E8461E">
        <w:rPr>
          <w:lang w:val="en-GB"/>
        </w:rPr>
        <w:t xml:space="preserve">plan </w:t>
      </w:r>
      <w:r w:rsidR="005608CF" w:rsidRPr="00E8461E">
        <w:rPr>
          <w:lang w:val="en-GB"/>
        </w:rPr>
        <w:t xml:space="preserve">to reduce the impacts of climate change on </w:t>
      </w:r>
      <w:r w:rsidR="00CA3976" w:rsidRPr="00E8461E">
        <w:rPr>
          <w:lang w:val="en-GB"/>
        </w:rPr>
        <w:t xml:space="preserve">population </w:t>
      </w:r>
      <w:r w:rsidR="005608CF" w:rsidRPr="00E8461E">
        <w:rPr>
          <w:lang w:val="en-GB"/>
        </w:rPr>
        <w:t>health and the</w:t>
      </w:r>
      <w:r w:rsidR="00CA3976" w:rsidRPr="00E8461E">
        <w:rPr>
          <w:lang w:val="en-GB"/>
        </w:rPr>
        <w:t xml:space="preserve"> functioning of the</w:t>
      </w:r>
      <w:r w:rsidR="005608CF" w:rsidRPr="00E8461E">
        <w:rPr>
          <w:lang w:val="en-GB"/>
        </w:rPr>
        <w:t xml:space="preserve"> health system, and to </w:t>
      </w:r>
      <w:r w:rsidR="006C1339" w:rsidRPr="00E8461E">
        <w:rPr>
          <w:lang w:val="en-GB"/>
        </w:rPr>
        <w:t xml:space="preserve">guide </w:t>
      </w:r>
      <w:r w:rsidR="007F4AAC" w:rsidRPr="00E8461E">
        <w:rPr>
          <w:lang w:val="en-GB"/>
        </w:rPr>
        <w:t>the</w:t>
      </w:r>
      <w:r w:rsidR="006143C9" w:rsidRPr="00E8461E">
        <w:rPr>
          <w:lang w:val="en-GB"/>
        </w:rPr>
        <w:t xml:space="preserve"> decarbonisation </w:t>
      </w:r>
      <w:r w:rsidR="007F4AAC" w:rsidRPr="00E8461E">
        <w:rPr>
          <w:lang w:val="en-GB"/>
        </w:rPr>
        <w:t xml:space="preserve">of the health system </w:t>
      </w:r>
      <w:r w:rsidR="006143C9" w:rsidRPr="00E8461E">
        <w:rPr>
          <w:lang w:val="en-GB"/>
        </w:rPr>
        <w:t xml:space="preserve">in </w:t>
      </w:r>
      <w:r w:rsidR="00DF5280" w:rsidRPr="00E8461E">
        <w:rPr>
          <w:lang w:val="en-GB"/>
        </w:rPr>
        <w:t>a</w:t>
      </w:r>
      <w:r w:rsidR="002C4BB1" w:rsidRPr="00E8461E">
        <w:rPr>
          <w:lang w:val="en-GB"/>
        </w:rPr>
        <w:t xml:space="preserve"> just and equitable way.</w:t>
      </w:r>
      <w:r w:rsidR="00D23CAF" w:rsidRPr="00E8461E">
        <w:rPr>
          <w:lang w:val="en-GB"/>
        </w:rPr>
        <w:t xml:space="preserve"> </w:t>
      </w:r>
      <w:r w:rsidR="008C76BF" w:rsidRPr="00E8461E">
        <w:rPr>
          <w:lang w:val="en-GB"/>
        </w:rPr>
        <w:t xml:space="preserve">Throughout this Strategy we use the word ‘health’ </w:t>
      </w:r>
      <w:r w:rsidR="003E5BE8" w:rsidRPr="00E8461E">
        <w:rPr>
          <w:lang w:val="en-GB"/>
        </w:rPr>
        <w:t>to encompass</w:t>
      </w:r>
      <w:r w:rsidR="00FD3E7B" w:rsidRPr="00E8461E" w:rsidDel="003E5BE8">
        <w:rPr>
          <w:lang w:val="en-GB"/>
        </w:rPr>
        <w:t xml:space="preserve"> </w:t>
      </w:r>
      <w:r w:rsidR="00FD3E7B" w:rsidRPr="00E8461E">
        <w:rPr>
          <w:lang w:val="en-GB"/>
        </w:rPr>
        <w:t>not just the absence of disease or injury</w:t>
      </w:r>
      <w:r w:rsidR="00B85D75" w:rsidRPr="00E8461E">
        <w:rPr>
          <w:lang w:val="en-GB"/>
        </w:rPr>
        <w:t>, but</w:t>
      </w:r>
      <w:r w:rsidR="00FD3E7B" w:rsidRPr="00E8461E" w:rsidDel="00B85D75">
        <w:rPr>
          <w:lang w:val="en-GB"/>
        </w:rPr>
        <w:t xml:space="preserve"> </w:t>
      </w:r>
      <w:r w:rsidR="00FD3E7B" w:rsidRPr="00E8461E">
        <w:rPr>
          <w:lang w:val="en-GB"/>
        </w:rPr>
        <w:t xml:space="preserve">a state of complete physical, </w:t>
      </w:r>
      <w:proofErr w:type="gramStart"/>
      <w:r w:rsidR="00FD3E7B" w:rsidRPr="00E8461E">
        <w:rPr>
          <w:lang w:val="en-GB"/>
        </w:rPr>
        <w:t>mental</w:t>
      </w:r>
      <w:proofErr w:type="gramEnd"/>
      <w:r w:rsidR="00FD3E7B" w:rsidRPr="00E8461E">
        <w:rPr>
          <w:lang w:val="en-GB"/>
        </w:rPr>
        <w:t xml:space="preserve"> and social wellbeing.</w:t>
      </w:r>
      <w:r w:rsidR="00FD3E7B" w:rsidRPr="00E8461E">
        <w:rPr>
          <w:rStyle w:val="EndnoteReference"/>
          <w:lang w:val="en-GB"/>
        </w:rPr>
        <w:endnoteReference w:id="8"/>
      </w:r>
      <w:r w:rsidR="00FD3E7B" w:rsidRPr="00E8461E">
        <w:rPr>
          <w:lang w:val="en-GB"/>
        </w:rPr>
        <w:t xml:space="preserve"> </w:t>
      </w:r>
      <w:r w:rsidR="00871FBA" w:rsidRPr="00E8461E">
        <w:rPr>
          <w:lang w:val="en-GB"/>
        </w:rPr>
        <w:t xml:space="preserve">The vision </w:t>
      </w:r>
      <w:r w:rsidR="00706889" w:rsidRPr="00E8461E">
        <w:rPr>
          <w:lang w:val="en-GB"/>
        </w:rPr>
        <w:t xml:space="preserve">statement </w:t>
      </w:r>
      <w:r w:rsidR="00C201A7" w:rsidRPr="00E8461E">
        <w:rPr>
          <w:lang w:val="en-GB"/>
        </w:rPr>
        <w:t>motivating</w:t>
      </w:r>
      <w:r w:rsidR="002B3FC6" w:rsidRPr="00E8461E">
        <w:rPr>
          <w:lang w:val="en-GB"/>
        </w:rPr>
        <w:t xml:space="preserve"> the Strategy is:</w:t>
      </w:r>
    </w:p>
    <w:p w14:paraId="750BD12A" w14:textId="07F24F19" w:rsidR="001A0582" w:rsidRPr="00E8461E" w:rsidRDefault="001A0582" w:rsidP="001A0582">
      <w:pPr>
        <w:pBdr>
          <w:top w:val="single" w:sz="12" w:space="1" w:color="008A95" w:themeColor="accent1"/>
          <w:bottom w:val="single" w:sz="12" w:space="1" w:color="008A95" w:themeColor="accent1"/>
        </w:pBdr>
        <w:rPr>
          <w:b/>
          <w:bCs/>
          <w:color w:val="0A1D37" w:themeColor="accent2" w:themeShade="80"/>
          <w:sz w:val="24"/>
          <w:szCs w:val="24"/>
          <w:lang w:val="en-GB"/>
        </w:rPr>
      </w:pPr>
      <w:r w:rsidRPr="00E8461E">
        <w:rPr>
          <w:b/>
          <w:bCs/>
          <w:color w:val="0A1D37" w:themeColor="accent2" w:themeShade="80"/>
          <w:sz w:val="24"/>
          <w:szCs w:val="24"/>
          <w:lang w:val="en-GB"/>
        </w:rPr>
        <w:t>NATIONAL HEALTH AND CLIMATE STRATEGY – VISION STATEMENT</w:t>
      </w:r>
    </w:p>
    <w:p w14:paraId="1E3BBE9A" w14:textId="61643370" w:rsidR="001A0582" w:rsidRPr="00E8461E" w:rsidRDefault="001A0582" w:rsidP="001A0582">
      <w:pPr>
        <w:pBdr>
          <w:top w:val="single" w:sz="12" w:space="1" w:color="008A95" w:themeColor="accent1"/>
          <w:bottom w:val="single" w:sz="12" w:space="1" w:color="008A95" w:themeColor="accent1"/>
        </w:pBdr>
        <w:rPr>
          <w:color w:val="0A1D37" w:themeColor="accent2" w:themeShade="80"/>
          <w:sz w:val="20"/>
          <w:szCs w:val="20"/>
          <w:lang w:val="en-GB"/>
        </w:rPr>
      </w:pPr>
      <w:r w:rsidRPr="00E8461E">
        <w:rPr>
          <w:color w:val="0A1D37" w:themeColor="accent2" w:themeShade="80"/>
          <w:sz w:val="28"/>
          <w:szCs w:val="28"/>
          <w:lang w:val="en-GB"/>
        </w:rPr>
        <w:t>Healthy, climate-resilient communities, and a sustainable, resilient, high-quality, net zero health system.</w:t>
      </w:r>
    </w:p>
    <w:p w14:paraId="7283A808" w14:textId="0E230580" w:rsidR="00A8087E" w:rsidRPr="00E8461E" w:rsidRDefault="00D1021B" w:rsidP="00A8087E">
      <w:pPr>
        <w:rPr>
          <w:lang w:val="en-GB"/>
        </w:rPr>
      </w:pPr>
      <w:r w:rsidRPr="00E8461E">
        <w:rPr>
          <w:lang w:val="en-GB"/>
        </w:rPr>
        <w:t xml:space="preserve">The Strategy’s </w:t>
      </w:r>
      <w:r w:rsidR="000573DF" w:rsidRPr="00E8461E">
        <w:rPr>
          <w:lang w:val="en-GB"/>
        </w:rPr>
        <w:t xml:space="preserve">purpose is to lay out a program of work on climate and health to be undertaken over the coming decades, and to identify priority action over the next </w:t>
      </w:r>
      <w:r w:rsidR="00B275DA" w:rsidRPr="00E8461E">
        <w:rPr>
          <w:lang w:val="en-GB"/>
        </w:rPr>
        <w:t>5</w:t>
      </w:r>
      <w:r w:rsidR="00EE564A" w:rsidRPr="00E8461E">
        <w:rPr>
          <w:lang w:val="en-GB"/>
        </w:rPr>
        <w:t xml:space="preserve"> years</w:t>
      </w:r>
      <w:r w:rsidR="006E4553" w:rsidRPr="00E8461E">
        <w:rPr>
          <w:lang w:val="en-GB"/>
        </w:rPr>
        <w:t xml:space="preserve"> to reduce emissions from the health system and </w:t>
      </w:r>
      <w:r w:rsidR="007F4AAC" w:rsidRPr="00E8461E">
        <w:rPr>
          <w:lang w:val="en-GB"/>
        </w:rPr>
        <w:t xml:space="preserve">to </w:t>
      </w:r>
      <w:r w:rsidR="006E4553" w:rsidRPr="00E8461E">
        <w:rPr>
          <w:lang w:val="en-GB"/>
        </w:rPr>
        <w:t>support adaptation to the impacts of climate change</w:t>
      </w:r>
      <w:r w:rsidR="000573DF" w:rsidRPr="00E8461E">
        <w:rPr>
          <w:lang w:val="en-GB"/>
        </w:rPr>
        <w:t>.</w:t>
      </w:r>
      <w:r w:rsidR="00A8087E" w:rsidRPr="00E8461E">
        <w:rPr>
          <w:lang w:val="en-GB"/>
        </w:rPr>
        <w:t xml:space="preserve"> </w:t>
      </w:r>
      <w:bookmarkStart w:id="22" w:name="_Hlk151983509"/>
      <w:r w:rsidR="00314BF8" w:rsidRPr="00E8461E">
        <w:t xml:space="preserve">Much of the work to protect health and wellbeing from the impacts of climate change is already underway across Australia. However, </w:t>
      </w:r>
      <w:proofErr w:type="gramStart"/>
      <w:r w:rsidR="00314BF8" w:rsidRPr="00E8461E">
        <w:t>a number of</w:t>
      </w:r>
      <w:proofErr w:type="gramEnd"/>
      <w:r w:rsidR="00314BF8" w:rsidRPr="00E8461E">
        <w:t xml:space="preserve"> </w:t>
      </w:r>
      <w:r w:rsidR="00141E3D" w:rsidRPr="00E8461E">
        <w:t>actions will require further consideration</w:t>
      </w:r>
      <w:r w:rsidR="000E3390" w:rsidRPr="00E8461E">
        <w:t>, including where</w:t>
      </w:r>
      <w:r w:rsidR="006B1CEB" w:rsidRPr="00E8461E">
        <w:t xml:space="preserve"> further funding is required</w:t>
      </w:r>
      <w:r w:rsidR="00314BF8" w:rsidRPr="00E8461E">
        <w:t xml:space="preserve">. </w:t>
      </w:r>
      <w:bookmarkEnd w:id="22"/>
      <w:r w:rsidR="00A8087E" w:rsidRPr="00E8461E">
        <w:rPr>
          <w:lang w:val="en-GB"/>
        </w:rPr>
        <w:t xml:space="preserve">An update on progress in developing and delivering action in support of the Strategy’s vision statement will be published </w:t>
      </w:r>
      <w:r w:rsidR="00102367" w:rsidRPr="00E8461E">
        <w:rPr>
          <w:lang w:val="en-GB"/>
        </w:rPr>
        <w:t>by 2026</w:t>
      </w:r>
      <w:r w:rsidR="00A8087E" w:rsidRPr="00E8461E">
        <w:rPr>
          <w:lang w:val="en-GB"/>
        </w:rPr>
        <w:t>.</w:t>
      </w:r>
    </w:p>
    <w:p w14:paraId="39FFCCBE" w14:textId="04C8899D" w:rsidR="000573DF" w:rsidRPr="00E8461E" w:rsidRDefault="00847047" w:rsidP="00874243">
      <w:pPr>
        <w:rPr>
          <w:lang w:val="en-GB"/>
        </w:rPr>
      </w:pPr>
      <w:r w:rsidRPr="00E8461E">
        <w:rPr>
          <w:lang w:val="en-GB"/>
        </w:rPr>
        <w:t>The Strategy recognises</w:t>
      </w:r>
      <w:r w:rsidR="00244893" w:rsidRPr="00E8461E">
        <w:rPr>
          <w:lang w:val="en-GB"/>
        </w:rPr>
        <w:t xml:space="preserve"> </w:t>
      </w:r>
      <w:r w:rsidRPr="00E8461E">
        <w:rPr>
          <w:lang w:val="en-GB"/>
        </w:rPr>
        <w:t xml:space="preserve">an effective response to the health impacts of climate change must encompass action </w:t>
      </w:r>
      <w:r w:rsidR="00025884" w:rsidRPr="00E8461E">
        <w:rPr>
          <w:lang w:val="en-GB"/>
        </w:rPr>
        <w:t>by all parts of the health system, which include</w:t>
      </w:r>
      <w:r w:rsidR="0048757B" w:rsidRPr="00E8461E">
        <w:rPr>
          <w:lang w:val="en-GB"/>
        </w:rPr>
        <w:t>s</w:t>
      </w:r>
      <w:r w:rsidR="00025884" w:rsidRPr="00E8461E">
        <w:rPr>
          <w:lang w:val="en-GB"/>
        </w:rPr>
        <w:t>:</w:t>
      </w:r>
    </w:p>
    <w:p w14:paraId="508B533E" w14:textId="77777777" w:rsidR="00024746" w:rsidRPr="00E8461E" w:rsidRDefault="00024746" w:rsidP="0065729E">
      <w:pPr>
        <w:pStyle w:val="BulletUnindented"/>
      </w:pPr>
      <w:bookmarkStart w:id="23" w:name="_Hlk147408928"/>
      <w:r w:rsidRPr="00E8461E">
        <w:t>Primary and community care, secondary and tertiary care, and aged care, including public health and preventive health.</w:t>
      </w:r>
    </w:p>
    <w:p w14:paraId="1604E027" w14:textId="77777777" w:rsidR="00FB52C3" w:rsidRPr="00E8461E" w:rsidRDefault="00FB52C3" w:rsidP="0065729E">
      <w:pPr>
        <w:pStyle w:val="BulletUnindented"/>
      </w:pPr>
      <w:r w:rsidRPr="00E8461E">
        <w:t>All levels of the health system, including national, state/territory, and local health systems.</w:t>
      </w:r>
    </w:p>
    <w:p w14:paraId="0C055329" w14:textId="77777777" w:rsidR="00024746" w:rsidRPr="00E8461E" w:rsidRDefault="00024746" w:rsidP="0065729E">
      <w:pPr>
        <w:pStyle w:val="BulletUnindented"/>
      </w:pPr>
      <w:r w:rsidRPr="00E8461E">
        <w:t>Private as well as public providers, including health and aged care providers, providers of diagnostic and pathology services, and providers of health-related education and training.</w:t>
      </w:r>
    </w:p>
    <w:p w14:paraId="4353F302" w14:textId="77777777" w:rsidR="00024746" w:rsidRPr="00E8461E" w:rsidRDefault="00024746" w:rsidP="0065729E">
      <w:pPr>
        <w:pStyle w:val="BulletUnindented"/>
      </w:pPr>
      <w:r w:rsidRPr="00E8461E">
        <w:t>Manufacturers, including manufacturers of health technology products and consumables used by the health system.</w:t>
      </w:r>
    </w:p>
    <w:bookmarkEnd w:id="23"/>
    <w:p w14:paraId="50634467" w14:textId="31717B2D" w:rsidR="00753D53" w:rsidRPr="00E8461E" w:rsidRDefault="0048757B" w:rsidP="00D73559">
      <w:pPr>
        <w:rPr>
          <w:lang w:val="en-GB"/>
        </w:rPr>
      </w:pPr>
      <w:r w:rsidRPr="00E8461E">
        <w:rPr>
          <w:lang w:val="en-GB"/>
        </w:rPr>
        <w:t>Delivering the Strategy will require</w:t>
      </w:r>
      <w:r w:rsidR="009F3938" w:rsidRPr="00E8461E">
        <w:rPr>
          <w:lang w:val="en-GB"/>
        </w:rPr>
        <w:t xml:space="preserve"> </w:t>
      </w:r>
      <w:r w:rsidR="009C412A" w:rsidRPr="00E8461E">
        <w:rPr>
          <w:lang w:val="en-GB"/>
        </w:rPr>
        <w:t>collaboration across policy areas</w:t>
      </w:r>
      <w:r w:rsidR="009F3938" w:rsidRPr="00E8461E">
        <w:rPr>
          <w:lang w:val="en-GB"/>
        </w:rPr>
        <w:t xml:space="preserve"> by a</w:t>
      </w:r>
      <w:r w:rsidR="00024746" w:rsidRPr="00E8461E">
        <w:rPr>
          <w:lang w:val="en-GB"/>
        </w:rPr>
        <w:t xml:space="preserve">ll </w:t>
      </w:r>
      <w:r w:rsidR="00836B0A" w:rsidRPr="00E8461E">
        <w:rPr>
          <w:lang w:val="en-GB"/>
        </w:rPr>
        <w:t xml:space="preserve">Australian Government </w:t>
      </w:r>
      <w:r w:rsidR="00024746" w:rsidRPr="00E8461E">
        <w:rPr>
          <w:lang w:val="en-GB"/>
        </w:rPr>
        <w:t>and state</w:t>
      </w:r>
      <w:r w:rsidR="00346E17" w:rsidRPr="00E8461E">
        <w:rPr>
          <w:lang w:val="en-GB"/>
        </w:rPr>
        <w:t xml:space="preserve"> and </w:t>
      </w:r>
      <w:r w:rsidR="00024746" w:rsidRPr="00E8461E">
        <w:rPr>
          <w:lang w:val="en-GB"/>
        </w:rPr>
        <w:t>territory government departments</w:t>
      </w:r>
      <w:r w:rsidR="001B3B49" w:rsidRPr="00E8461E">
        <w:rPr>
          <w:lang w:val="en-GB"/>
        </w:rPr>
        <w:t>. This is</w:t>
      </w:r>
      <w:r w:rsidR="00024746" w:rsidRPr="00E8461E">
        <w:rPr>
          <w:lang w:val="en-GB"/>
        </w:rPr>
        <w:t xml:space="preserve"> in line with a Health in All Policies approach</w:t>
      </w:r>
      <w:r w:rsidR="001B3B49" w:rsidRPr="00E8461E">
        <w:rPr>
          <w:lang w:val="en-GB"/>
        </w:rPr>
        <w:t xml:space="preserve">, which </w:t>
      </w:r>
      <w:r w:rsidR="0012219C" w:rsidRPr="00E8461E">
        <w:rPr>
          <w:lang w:val="en-GB"/>
        </w:rPr>
        <w:t xml:space="preserve">underpins this </w:t>
      </w:r>
      <w:r w:rsidR="000908FD" w:rsidRPr="00E8461E">
        <w:rPr>
          <w:lang w:val="en-GB"/>
        </w:rPr>
        <w:t>S</w:t>
      </w:r>
      <w:r w:rsidR="0012219C" w:rsidRPr="00E8461E">
        <w:rPr>
          <w:lang w:val="en-GB"/>
        </w:rPr>
        <w:t>trategy.</w:t>
      </w:r>
      <w:r w:rsidR="006A1485" w:rsidRPr="00E8461E">
        <w:rPr>
          <w:lang w:val="en-GB"/>
        </w:rPr>
        <w:t xml:space="preserve"> </w:t>
      </w:r>
      <w:r w:rsidR="00D73559" w:rsidRPr="00E8461E">
        <w:rPr>
          <w:lang w:val="en-GB"/>
        </w:rPr>
        <w:t>A Health in All Policies approach acknowledges that human health and health equity are influenced by more than the health system itself. This approach aims</w:t>
      </w:r>
      <w:r w:rsidR="00D73559" w:rsidRPr="00E8461E" w:rsidDel="00DE7D18">
        <w:rPr>
          <w:lang w:val="en-GB"/>
        </w:rPr>
        <w:t xml:space="preserve"> </w:t>
      </w:r>
      <w:r w:rsidR="00D73559" w:rsidRPr="00E8461E">
        <w:rPr>
          <w:lang w:val="en-GB"/>
        </w:rPr>
        <w:t xml:space="preserve">to maximise the synergies between good climate policy and public health policy by facilitating sectors outside of </w:t>
      </w:r>
      <w:r w:rsidR="006D7E1A" w:rsidRPr="00E8461E">
        <w:rPr>
          <w:lang w:val="en-GB"/>
        </w:rPr>
        <w:t>h</w:t>
      </w:r>
      <w:r w:rsidR="00D73559" w:rsidRPr="00E8461E">
        <w:rPr>
          <w:lang w:val="en-GB"/>
        </w:rPr>
        <w:t>ealth to routinely consider and account for the health impact of their policies, plans and implementation.</w:t>
      </w:r>
      <w:r w:rsidR="006D7E1A" w:rsidRPr="00E8461E">
        <w:rPr>
          <w:lang w:val="en-GB"/>
        </w:rPr>
        <w:t xml:space="preserve"> </w:t>
      </w:r>
      <w:r w:rsidR="00D73559" w:rsidRPr="00E8461E">
        <w:rPr>
          <w:lang w:val="en-GB"/>
        </w:rPr>
        <w:t>The World Health Organization defines Health in All Policies as “an approach to public policies across sectors that systematically takes into account the health implications of decisions, seeks synergies, and avoids harmful health impacts in order to improve population health and health equity.”</w:t>
      </w:r>
      <w:r w:rsidR="00D357D0" w:rsidRPr="00E8461E">
        <w:rPr>
          <w:rStyle w:val="EndnoteReference"/>
          <w:lang w:val="en-GB"/>
        </w:rPr>
        <w:endnoteReference w:id="9"/>
      </w:r>
      <w:r w:rsidR="00D73559" w:rsidRPr="00E8461E">
        <w:rPr>
          <w:lang w:val="en-GB"/>
        </w:rPr>
        <w:t xml:space="preserve"> The Strategy adopts a Health in All Policies approach by including action and commitments across a wide range of policy areas to ensure </w:t>
      </w:r>
      <w:r w:rsidR="00D73559" w:rsidRPr="00E8461E">
        <w:rPr>
          <w:lang w:val="en-GB"/>
        </w:rPr>
        <w:lastRenderedPageBreak/>
        <w:t>their initiatives consider health outcomes.</w:t>
      </w:r>
      <w:r w:rsidR="004E28DB" w:rsidRPr="00E8461E">
        <w:rPr>
          <w:lang w:val="en-GB"/>
        </w:rPr>
        <w:t xml:space="preserve"> This approach is illustrated in Figure </w:t>
      </w:r>
      <w:proofErr w:type="gramStart"/>
      <w:r w:rsidR="004E28DB" w:rsidRPr="00E8461E">
        <w:rPr>
          <w:lang w:val="en-GB"/>
        </w:rPr>
        <w:t>1, and</w:t>
      </w:r>
      <w:proofErr w:type="gramEnd"/>
      <w:r w:rsidR="004E28DB" w:rsidRPr="00E8461E">
        <w:rPr>
          <w:lang w:val="en-GB"/>
        </w:rPr>
        <w:t xml:space="preserve"> discussed in further detail later in the Strategy.</w:t>
      </w:r>
    </w:p>
    <w:p w14:paraId="05CFF182" w14:textId="64550B14" w:rsidR="00024746" w:rsidRPr="00E8461E" w:rsidRDefault="00CE2144" w:rsidP="00D32CD1">
      <w:pPr>
        <w:rPr>
          <w:lang w:val="en-GB"/>
        </w:rPr>
      </w:pPr>
      <w:r w:rsidRPr="00E8461E">
        <w:rPr>
          <w:lang w:val="en-GB"/>
        </w:rPr>
        <w:t xml:space="preserve">Alongside this, </w:t>
      </w:r>
      <w:r w:rsidR="005A1EFC" w:rsidRPr="00E8461E">
        <w:rPr>
          <w:lang w:val="en-GB"/>
        </w:rPr>
        <w:t xml:space="preserve">a </w:t>
      </w:r>
      <w:r w:rsidR="00986F61" w:rsidRPr="00E8461E">
        <w:rPr>
          <w:lang w:val="en-GB"/>
        </w:rPr>
        <w:t>‘</w:t>
      </w:r>
      <w:r w:rsidR="005A1EFC" w:rsidRPr="00E8461E">
        <w:rPr>
          <w:lang w:val="en-GB"/>
        </w:rPr>
        <w:t>climate in all health policies</w:t>
      </w:r>
      <w:r w:rsidR="00AB0CA8" w:rsidRPr="00E8461E">
        <w:rPr>
          <w:lang w:val="en-GB"/>
        </w:rPr>
        <w:t>’</w:t>
      </w:r>
      <w:r w:rsidR="005A1EFC" w:rsidRPr="00E8461E">
        <w:rPr>
          <w:lang w:val="en-GB"/>
        </w:rPr>
        <w:t xml:space="preserve"> approach is needed</w:t>
      </w:r>
      <w:r w:rsidR="00F54790" w:rsidRPr="00E8461E">
        <w:rPr>
          <w:lang w:val="en-GB"/>
        </w:rPr>
        <w:t xml:space="preserve"> </w:t>
      </w:r>
      <w:r w:rsidR="00EA5FCE" w:rsidRPr="00E8461E">
        <w:rPr>
          <w:lang w:val="en-GB"/>
        </w:rPr>
        <w:t xml:space="preserve">to ensure that </w:t>
      </w:r>
      <w:r w:rsidR="002B5602" w:rsidRPr="00E8461E">
        <w:rPr>
          <w:lang w:val="en-GB"/>
        </w:rPr>
        <w:t xml:space="preserve">climate change impacts </w:t>
      </w:r>
      <w:r w:rsidR="001E6B16" w:rsidRPr="00E8461E">
        <w:rPr>
          <w:lang w:val="en-GB"/>
        </w:rPr>
        <w:t xml:space="preserve">and sustainability are incorporated </w:t>
      </w:r>
      <w:r w:rsidR="00D73712" w:rsidRPr="00E8461E">
        <w:rPr>
          <w:lang w:val="en-GB"/>
        </w:rPr>
        <w:t xml:space="preserve">into </w:t>
      </w:r>
      <w:r w:rsidR="00522AA5" w:rsidRPr="00E8461E">
        <w:rPr>
          <w:lang w:val="en-GB"/>
        </w:rPr>
        <w:t>health</w:t>
      </w:r>
      <w:r w:rsidR="00D5358C" w:rsidRPr="00E8461E">
        <w:rPr>
          <w:lang w:val="en-GB"/>
        </w:rPr>
        <w:t xml:space="preserve"> policy</w:t>
      </w:r>
      <w:r w:rsidR="00522AA5" w:rsidRPr="00E8461E">
        <w:rPr>
          <w:lang w:val="en-GB"/>
        </w:rPr>
        <w:t>,</w:t>
      </w:r>
      <w:r w:rsidR="00D73712" w:rsidRPr="00E8461E">
        <w:rPr>
          <w:lang w:val="en-GB"/>
        </w:rPr>
        <w:t xml:space="preserve"> the health system</w:t>
      </w:r>
      <w:r w:rsidR="007503A9" w:rsidRPr="00E8461E">
        <w:rPr>
          <w:lang w:val="en-GB"/>
        </w:rPr>
        <w:t>,</w:t>
      </w:r>
      <w:r w:rsidR="00D73712" w:rsidRPr="00E8461E">
        <w:rPr>
          <w:lang w:val="en-GB"/>
        </w:rPr>
        <w:t xml:space="preserve"> and all areas of health and aged care delivery.</w:t>
      </w:r>
      <w:r w:rsidR="00F54790" w:rsidRPr="00E8461E">
        <w:rPr>
          <w:lang w:val="en-GB"/>
        </w:rPr>
        <w:t xml:space="preserve"> </w:t>
      </w:r>
      <w:r w:rsidR="001509F1" w:rsidRPr="00E8461E">
        <w:rPr>
          <w:lang w:val="en-GB"/>
        </w:rPr>
        <w:t xml:space="preserve">As well as </w:t>
      </w:r>
      <w:r w:rsidR="00992F77" w:rsidRPr="00E8461E">
        <w:rPr>
          <w:lang w:val="en-GB"/>
        </w:rPr>
        <w:t xml:space="preserve">facilitating </w:t>
      </w:r>
      <w:r w:rsidR="001509F1" w:rsidRPr="00E8461E">
        <w:rPr>
          <w:lang w:val="en-GB"/>
        </w:rPr>
        <w:t>collaborati</w:t>
      </w:r>
      <w:r w:rsidR="00992F77" w:rsidRPr="00E8461E">
        <w:rPr>
          <w:lang w:val="en-GB"/>
        </w:rPr>
        <w:t>on</w:t>
      </w:r>
      <w:r w:rsidR="001509F1" w:rsidRPr="00E8461E">
        <w:rPr>
          <w:lang w:val="en-GB"/>
        </w:rPr>
        <w:t xml:space="preserve"> across levels and parts of government, </w:t>
      </w:r>
      <w:r w:rsidR="00953767" w:rsidRPr="00E8461E">
        <w:rPr>
          <w:lang w:val="en-GB"/>
        </w:rPr>
        <w:t xml:space="preserve">the </w:t>
      </w:r>
      <w:r w:rsidR="00992F77" w:rsidRPr="00E8461E">
        <w:rPr>
          <w:lang w:val="en-GB"/>
        </w:rPr>
        <w:t>Government</w:t>
      </w:r>
      <w:r w:rsidR="00953767" w:rsidRPr="00E8461E">
        <w:rPr>
          <w:lang w:val="en-GB"/>
        </w:rPr>
        <w:t xml:space="preserve"> </w:t>
      </w:r>
      <w:r w:rsidR="00483BC6" w:rsidRPr="00E8461E">
        <w:rPr>
          <w:lang w:val="en-GB"/>
        </w:rPr>
        <w:t xml:space="preserve">will involve </w:t>
      </w:r>
      <w:r w:rsidR="00016D4A" w:rsidRPr="00E8461E">
        <w:rPr>
          <w:lang w:val="en-GB"/>
        </w:rPr>
        <w:t xml:space="preserve">patient and consumer groups, </w:t>
      </w:r>
      <w:r w:rsidR="00D627FC" w:rsidRPr="00E8461E">
        <w:rPr>
          <w:lang w:val="en-GB"/>
        </w:rPr>
        <w:t xml:space="preserve">private providers, </w:t>
      </w:r>
      <w:proofErr w:type="gramStart"/>
      <w:r w:rsidR="00DE63B7" w:rsidRPr="00E8461E">
        <w:rPr>
          <w:lang w:val="en-GB"/>
        </w:rPr>
        <w:t>industry</w:t>
      </w:r>
      <w:proofErr w:type="gramEnd"/>
      <w:r w:rsidR="00DE63B7" w:rsidRPr="00E8461E">
        <w:rPr>
          <w:lang w:val="en-GB"/>
        </w:rPr>
        <w:t xml:space="preserve"> and suppliers in </w:t>
      </w:r>
      <w:r w:rsidR="00F56E32" w:rsidRPr="00E8461E">
        <w:rPr>
          <w:lang w:val="en-GB"/>
        </w:rPr>
        <w:t xml:space="preserve">the </w:t>
      </w:r>
      <w:r w:rsidR="005A6C90" w:rsidRPr="00E8461E">
        <w:rPr>
          <w:lang w:val="en-GB"/>
        </w:rPr>
        <w:t>delivery of the Strategy</w:t>
      </w:r>
      <w:r w:rsidR="008B71AF" w:rsidRPr="00E8461E">
        <w:rPr>
          <w:lang w:val="en-GB"/>
        </w:rPr>
        <w:t>.</w:t>
      </w:r>
    </w:p>
    <w:p w14:paraId="3BB89034" w14:textId="70BB668E" w:rsidR="002B27EF" w:rsidRPr="00E8461E" w:rsidRDefault="002B27EF" w:rsidP="002B27EF">
      <w:pPr>
        <w:pStyle w:val="Caption"/>
        <w:rPr>
          <w:lang w:val="en-GB"/>
        </w:rPr>
      </w:pPr>
      <w:r w:rsidRPr="00E8461E">
        <w:t xml:space="preserve">Figure </w:t>
      </w:r>
      <w:r w:rsidR="00B07FA8">
        <w:fldChar w:fldCharType="begin"/>
      </w:r>
      <w:r w:rsidR="00B07FA8">
        <w:instrText xml:space="preserve"> SEQ Figure \* ARABIC </w:instrText>
      </w:r>
      <w:r w:rsidR="00B07FA8">
        <w:fldChar w:fldCharType="separate"/>
      </w:r>
      <w:r w:rsidR="003E7FC6" w:rsidRPr="00E8461E">
        <w:rPr>
          <w:noProof/>
        </w:rPr>
        <w:t>1</w:t>
      </w:r>
      <w:r w:rsidR="00B07FA8">
        <w:rPr>
          <w:noProof/>
        </w:rPr>
        <w:fldChar w:fldCharType="end"/>
      </w:r>
      <w:r w:rsidRPr="00E8461E">
        <w:t xml:space="preserve"> </w:t>
      </w:r>
      <w:bookmarkStart w:id="24" w:name="_Hlk152153128"/>
      <w:r w:rsidRPr="00E8461E">
        <w:t>Health in All Policies approach in the National Health and Climate Strategy</w:t>
      </w:r>
      <w:bookmarkEnd w:id="24"/>
    </w:p>
    <w:p w14:paraId="313CD024" w14:textId="6F219948" w:rsidR="0087167F" w:rsidRPr="00E8461E" w:rsidRDefault="0087167F" w:rsidP="0087167F">
      <w:pPr>
        <w:keepNext/>
      </w:pPr>
      <w:r w:rsidRPr="00E8461E">
        <w:rPr>
          <w:noProof/>
          <w:lang w:val="en-GB"/>
        </w:rPr>
        <w:drawing>
          <wp:inline distT="0" distB="0" distL="0" distR="0" wp14:anchorId="51A8463A" wp14:editId="717B4A02">
            <wp:extent cx="5936035" cy="6220249"/>
            <wp:effectExtent l="0" t="0" r="7620" b="9525"/>
            <wp:docPr id="2" name="Picture 2" descr="A circular diagram depicting Health in All Policies approach in the National Health and Climate Strategy. &#10;The centre circle reads Health in All Policies. The next reads Determinants of Health and lists biomedical, digital, commercial, cultural, economic, structural, environmental, and social.  The outer circles list Policy areas and related polices, it lists:&#10;• Policy area of food, nutrition, water, and agriculture which includes the policies: Australian Dietary Guidelines, National Statement on Climate Change and Agriculture, Australian Government Drought Plan, and National Biosecurity Strategy 2022-2032.&#10;• Policy area of Mental Health which includes the policies: Increasing social community connectedness, Workforce awareness, education, and capacity-building.&#10;• Policy area of First Nations which includes the policies: National Aboriginal and Torres Strait Islander Health Plan 2021-2031, Housing Policy Partnership, First Nations Clean Energy Strategy, and National Strategy for Food Security in Remote First Nations Communities. &#10;• Policy area of communicable diseases which includes the policies: National Adaptation Plan, and National Climate Risk Assessment. &#10;• Policy area of built environment and housing which includes the policies: National Housing and Homeless Plan, Nationwide House Energy Rating Scheme, National Construction Code, and National Australian Built Environment Rating System.&#10;• Policy area of heat and heatwaves which includes the policy: National Heat-Health Action Plan.&#10;• Policy area of prevention, physical activity and transport which includes the policies: National Fuel Efficiency Standard, National Electric Vehicle Strategy, Active Travel promotion, and National Preventative Health Strategy. &#10;• Policy area of air quality which includes the policy: National Clean Air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diagram depicting Health in All Policies approach in the National Health and Climate Strategy. &#10;The centre circle reads Health in All Policies. The next reads Determinants of Health and lists biomedical, digital, commercial, cultural, economic, structural, environmental, and social.  The outer circles list Policy areas and related polices, it lists:&#10;• Policy area of food, nutrition, water, and agriculture which includes the policies: Australian Dietary Guidelines, National Statement on Climate Change and Agriculture, Australian Government Drought Plan, and National Biosecurity Strategy 2022-2032.&#10;• Policy area of Mental Health which includes the policies: Increasing social community connectedness, Workforce awareness, education, and capacity-building.&#10;• Policy area of First Nations which includes the policies: National Aboriginal and Torres Strait Islander Health Plan 2021-2031, Housing Policy Partnership, First Nations Clean Energy Strategy, and National Strategy for Food Security in Remote First Nations Communities. &#10;• Policy area of communicable diseases which includes the policies: National Adaptation Plan, and National Climate Risk Assessment. &#10;• Policy area of built environment and housing which includes the policies: National Housing and Homeless Plan, Nationwide House Energy Rating Scheme, National Construction Code, and National Australian Built Environment Rating System.&#10;• Policy area of heat and heatwaves which includes the policy: National Heat-Health Action Plan.&#10;• Policy area of prevention, physical activity and transport which includes the policies: National Fuel Efficiency Standard, National Electric Vehicle Strategy, Active Travel promotion, and National Preventative Health Strategy. &#10;• Policy area of air quality which includes the policy: National Clean Air Agreement."/>
                    <pic:cNvPicPr/>
                  </pic:nvPicPr>
                  <pic:blipFill>
                    <a:blip r:embed="rId21" cstate="print">
                      <a:extLst>
                        <a:ext uri="{28A0092B-C50C-407E-A947-70E740481C1C}">
                          <a14:useLocalDpi xmlns:a14="http://schemas.microsoft.com/office/drawing/2010/main" val="0"/>
                        </a:ext>
                      </a:extLst>
                    </a:blip>
                    <a:srcRect t="11603" b="11603"/>
                    <a:stretch>
                      <a:fillRect/>
                    </a:stretch>
                  </pic:blipFill>
                  <pic:spPr bwMode="auto">
                    <a:xfrm>
                      <a:off x="0" y="0"/>
                      <a:ext cx="5936035" cy="6220249"/>
                    </a:xfrm>
                    <a:prstGeom prst="rect">
                      <a:avLst/>
                    </a:prstGeom>
                    <a:ln>
                      <a:noFill/>
                    </a:ln>
                    <a:extLst>
                      <a:ext uri="{53640926-AAD7-44D8-BBD7-CCE9431645EC}">
                        <a14:shadowObscured xmlns:a14="http://schemas.microsoft.com/office/drawing/2010/main"/>
                      </a:ext>
                    </a:extLst>
                  </pic:spPr>
                </pic:pic>
              </a:graphicData>
            </a:graphic>
          </wp:inline>
        </w:drawing>
      </w:r>
    </w:p>
    <w:p w14:paraId="51983F00" w14:textId="77777777" w:rsidR="00642E00" w:rsidRDefault="00642E00">
      <w:pPr>
        <w:spacing w:after="160" w:line="259" w:lineRule="auto"/>
        <w:sectPr w:rsidR="00642E00" w:rsidSect="00D76CDF">
          <w:endnotePr>
            <w:numFmt w:val="decimal"/>
          </w:endnotePr>
          <w:pgSz w:w="11906" w:h="16838"/>
          <w:pgMar w:top="1134" w:right="1134" w:bottom="1134" w:left="1134" w:header="709" w:footer="709" w:gutter="0"/>
          <w:cols w:space="708"/>
          <w:titlePg/>
          <w:docGrid w:linePitch="360"/>
        </w:sectPr>
      </w:pPr>
      <w:bookmarkStart w:id="25" w:name="_Toc147086736"/>
      <w:bookmarkStart w:id="26" w:name="_Toc147502187"/>
      <w:bookmarkStart w:id="27" w:name="_Toc149909972"/>
      <w:bookmarkStart w:id="28" w:name="_Toc149918436"/>
      <w:bookmarkStart w:id="29" w:name="_Toc151999615"/>
    </w:p>
    <w:p w14:paraId="60660165" w14:textId="1E6FED36" w:rsidR="003D63E0" w:rsidRPr="00E8461E" w:rsidRDefault="00642E00" w:rsidP="00CE2599">
      <w:pPr>
        <w:pStyle w:val="Heading2"/>
      </w:pPr>
      <w:r>
        <w:lastRenderedPageBreak/>
        <w:t>2</w:t>
      </w:r>
      <w:r w:rsidR="005405F9" w:rsidRPr="00E8461E">
        <w:t xml:space="preserve">.1 </w:t>
      </w:r>
      <w:r w:rsidR="00C2701F" w:rsidRPr="00E8461E">
        <w:t>Objectives</w:t>
      </w:r>
      <w:bookmarkEnd w:id="25"/>
      <w:bookmarkEnd w:id="26"/>
      <w:bookmarkEnd w:id="27"/>
      <w:bookmarkEnd w:id="28"/>
      <w:bookmarkEnd w:id="29"/>
    </w:p>
    <w:p w14:paraId="1DFAB5B8" w14:textId="5562559A" w:rsidR="002B1D75" w:rsidRPr="00E8461E" w:rsidRDefault="0030460A" w:rsidP="002B1D75">
      <w:pPr>
        <w:rPr>
          <w:lang w:val="en-GB"/>
        </w:rPr>
      </w:pPr>
      <w:r w:rsidRPr="00E8461E">
        <w:rPr>
          <w:lang w:val="en-GB"/>
        </w:rPr>
        <w:t xml:space="preserve">The Strategy’s vision will be achieved through </w:t>
      </w:r>
      <w:r w:rsidR="00193E4E" w:rsidRPr="00E8461E">
        <w:rPr>
          <w:lang w:val="en-GB"/>
        </w:rPr>
        <w:t xml:space="preserve">the pursuit of </w:t>
      </w:r>
      <w:r w:rsidR="008507F9" w:rsidRPr="00E8461E">
        <w:rPr>
          <w:lang w:val="en-GB"/>
        </w:rPr>
        <w:t>four</w:t>
      </w:r>
      <w:r w:rsidR="002B1D75" w:rsidRPr="00E8461E">
        <w:rPr>
          <w:lang w:val="en-GB"/>
        </w:rPr>
        <w:t xml:space="preserve"> objectives</w:t>
      </w:r>
      <w:r w:rsidR="00394AC7" w:rsidRPr="00E8461E">
        <w:rPr>
          <w:lang w:val="en-GB"/>
        </w:rPr>
        <w:t>.</w:t>
      </w:r>
    </w:p>
    <w:p w14:paraId="16574713" w14:textId="34E8F963" w:rsidR="009849EA" w:rsidRPr="00E8461E" w:rsidRDefault="005A5782" w:rsidP="009849EA">
      <w:r w:rsidRPr="00E8461E">
        <w:rPr>
          <w:rStyle w:val="Strong"/>
        </w:rPr>
        <w:t xml:space="preserve">Objective </w:t>
      </w:r>
      <w:r w:rsidR="00F85670" w:rsidRPr="00E8461E">
        <w:rPr>
          <w:rStyle w:val="Strong"/>
        </w:rPr>
        <w:t>1</w:t>
      </w:r>
      <w:r w:rsidRPr="00E8461E">
        <w:rPr>
          <w:rStyle w:val="Strong"/>
        </w:rPr>
        <w:t xml:space="preserve"> </w:t>
      </w:r>
      <w:r w:rsidR="00642E00">
        <w:rPr>
          <w:rStyle w:val="Strong"/>
        </w:rPr>
        <w:t xml:space="preserve">- </w:t>
      </w:r>
      <w:r w:rsidRPr="00E8461E">
        <w:rPr>
          <w:rStyle w:val="Strong"/>
        </w:rPr>
        <w:t xml:space="preserve">Health system resilience: </w:t>
      </w:r>
      <w:r w:rsidRPr="00642E00">
        <w:t>Build a climate-resilient health system and enhance its capacity to protect health and wellbeing from the impacts of climate change. The Strategy will inform and guide action by the health system to protect and promote population health while adapting to the impacts of climate change.</w:t>
      </w:r>
    </w:p>
    <w:p w14:paraId="535726A7" w14:textId="68B41631" w:rsidR="00BB333A" w:rsidRPr="00E8461E" w:rsidRDefault="00BB333A" w:rsidP="009849EA">
      <w:r w:rsidRPr="00E8461E">
        <w:rPr>
          <w:b/>
        </w:rPr>
        <w:t xml:space="preserve">Objective </w:t>
      </w:r>
      <w:r w:rsidR="00F85670" w:rsidRPr="00E8461E">
        <w:rPr>
          <w:b/>
        </w:rPr>
        <w:t>2</w:t>
      </w:r>
      <w:r w:rsidR="00C7571E" w:rsidRPr="00E8461E">
        <w:rPr>
          <w:b/>
        </w:rPr>
        <w:t xml:space="preserve"> </w:t>
      </w:r>
      <w:r w:rsidR="00642E00">
        <w:rPr>
          <w:b/>
        </w:rPr>
        <w:t xml:space="preserve">- </w:t>
      </w:r>
      <w:r w:rsidR="00C7571E" w:rsidRPr="00E8461E">
        <w:rPr>
          <w:b/>
        </w:rPr>
        <w:t>Health system decarbonisation</w:t>
      </w:r>
      <w:r w:rsidRPr="00E8461E">
        <w:rPr>
          <w:b/>
        </w:rPr>
        <w:t xml:space="preserve">: </w:t>
      </w:r>
      <w:r w:rsidRPr="00642E00">
        <w:t xml:space="preserve">Build a sustainable, high quality, net zero health system. The Strategy will guide the development of a plan to decarbonise the Australian health system, informed by a comprehensive assessment of the </w:t>
      </w:r>
      <w:r w:rsidR="00B1579E" w:rsidRPr="00642E00">
        <w:t xml:space="preserve">emissions </w:t>
      </w:r>
      <w:r w:rsidRPr="00642E00">
        <w:t>footprint of the Australian health system and existing state and territory strategies and plans.</w:t>
      </w:r>
    </w:p>
    <w:p w14:paraId="5CCA38F1" w14:textId="5FC43DBA" w:rsidR="004A2CC6" w:rsidRPr="00E8461E" w:rsidRDefault="00BB333A" w:rsidP="009849EA">
      <w:r w:rsidRPr="00E8461E">
        <w:rPr>
          <w:rStyle w:val="Strong"/>
        </w:rPr>
        <w:t>Objective 3</w:t>
      </w:r>
      <w:r w:rsidR="007531ED" w:rsidRPr="00E8461E">
        <w:rPr>
          <w:rStyle w:val="Strong"/>
        </w:rPr>
        <w:t xml:space="preserve"> </w:t>
      </w:r>
      <w:r w:rsidR="00642E00">
        <w:rPr>
          <w:rStyle w:val="Strong"/>
        </w:rPr>
        <w:t xml:space="preserve">- </w:t>
      </w:r>
      <w:r w:rsidR="004A2CC6" w:rsidRPr="00E8461E">
        <w:rPr>
          <w:rStyle w:val="Strong"/>
        </w:rPr>
        <w:t xml:space="preserve">International collaboration: </w:t>
      </w:r>
      <w:r w:rsidR="004A2CC6" w:rsidRPr="00642E00">
        <w:t>Collaborate internationally to build sustainable, climate-resilient health systems and communities. The Strategy will identify opportunities for knowledge sharing and the development of international standards as well as highlight the ways Australia can support its neighbours to protect and promote health in their climate change responses.</w:t>
      </w:r>
    </w:p>
    <w:p w14:paraId="6DB93C36" w14:textId="0680DFF1" w:rsidR="00BB333A" w:rsidRPr="00642E00" w:rsidRDefault="00677D4E" w:rsidP="009849EA">
      <w:r w:rsidRPr="00E8461E">
        <w:rPr>
          <w:rStyle w:val="Strong"/>
        </w:rPr>
        <w:t>Objective 4</w:t>
      </w:r>
      <w:r w:rsidR="00642E00">
        <w:rPr>
          <w:rStyle w:val="Strong"/>
        </w:rPr>
        <w:t xml:space="preserve"> - </w:t>
      </w:r>
      <w:r w:rsidRPr="00E8461E">
        <w:rPr>
          <w:rStyle w:val="Strong"/>
        </w:rPr>
        <w:t xml:space="preserve">Health in </w:t>
      </w:r>
      <w:r w:rsidRPr="00E8461E" w:rsidDel="00351EAE">
        <w:rPr>
          <w:rStyle w:val="Strong"/>
        </w:rPr>
        <w:t xml:space="preserve">all </w:t>
      </w:r>
      <w:r w:rsidRPr="00E8461E">
        <w:rPr>
          <w:rStyle w:val="Strong"/>
        </w:rPr>
        <w:t>policies:</w:t>
      </w:r>
      <w:r w:rsidR="00642E00">
        <w:rPr>
          <w:rStyle w:val="Strong"/>
        </w:rPr>
        <w:t xml:space="preserve"> </w:t>
      </w:r>
      <w:r w:rsidRPr="00642E00">
        <w:t>Support healthy, climate-</w:t>
      </w:r>
      <w:proofErr w:type="gramStart"/>
      <w:r w:rsidRPr="00642E00">
        <w:t>resilient</w:t>
      </w:r>
      <w:proofErr w:type="gramEnd"/>
      <w:r w:rsidRPr="00642E00">
        <w:t xml:space="preserve"> and sustainable communities through whole-of-government action which recognises the relationship between health and climate outcomes</w:t>
      </w:r>
      <w:r w:rsidR="00937F5C" w:rsidRPr="00642E00">
        <w:t xml:space="preserve">. </w:t>
      </w:r>
      <w:r w:rsidR="005041DD" w:rsidRPr="00642E00">
        <w:t xml:space="preserve">The Strategy </w:t>
      </w:r>
      <w:r w:rsidR="00C7656C" w:rsidRPr="00642E00">
        <w:t>adopts</w:t>
      </w:r>
      <w:r w:rsidR="005041DD" w:rsidRPr="00642E00">
        <w:t xml:space="preserve"> </w:t>
      </w:r>
      <w:r w:rsidRPr="00642E00">
        <w:t xml:space="preserve">a Health in All </w:t>
      </w:r>
      <w:bookmarkStart w:id="30" w:name="_Hlk151983527"/>
      <w:r w:rsidR="00C13135" w:rsidRPr="00642E00">
        <w:t xml:space="preserve">Policies </w:t>
      </w:r>
      <w:bookmarkEnd w:id="30"/>
      <w:r w:rsidRPr="00642E00">
        <w:t>approach</w:t>
      </w:r>
      <w:r w:rsidR="000E0FEA" w:rsidRPr="00642E00">
        <w:t>,</w:t>
      </w:r>
      <w:r w:rsidRPr="00642E00">
        <w:t xml:space="preserve"> promoting the health co-benefits of emissions reductions across society and adaptation action beyond the health system to protect health and wellbeing from climate change.</w:t>
      </w:r>
    </w:p>
    <w:p w14:paraId="707FAD40" w14:textId="619E4EDB" w:rsidR="003C5ED6" w:rsidRPr="00E8461E" w:rsidRDefault="009B7AB2" w:rsidP="00CE2599">
      <w:pPr>
        <w:pStyle w:val="Heading2"/>
      </w:pPr>
      <w:bookmarkStart w:id="31" w:name="_Toc147086737"/>
      <w:bookmarkStart w:id="32" w:name="_Toc147502188"/>
      <w:bookmarkStart w:id="33" w:name="_Toc149909973"/>
      <w:bookmarkStart w:id="34" w:name="_Toc149918437"/>
      <w:bookmarkStart w:id="35" w:name="_Toc151999616"/>
      <w:r w:rsidRPr="00E8461E">
        <w:t>2</w:t>
      </w:r>
      <w:r w:rsidR="005405F9" w:rsidRPr="00E8461E">
        <w:t xml:space="preserve">.2 </w:t>
      </w:r>
      <w:r w:rsidR="00C2701F" w:rsidRPr="00E8461E">
        <w:t>Principles</w:t>
      </w:r>
      <w:bookmarkEnd w:id="31"/>
      <w:bookmarkEnd w:id="32"/>
      <w:bookmarkEnd w:id="33"/>
      <w:bookmarkEnd w:id="34"/>
      <w:bookmarkEnd w:id="35"/>
    </w:p>
    <w:p w14:paraId="75BACF10" w14:textId="1888D7D1" w:rsidR="003C5ED6" w:rsidRPr="00E8461E" w:rsidRDefault="006840C1" w:rsidP="003C5ED6">
      <w:pPr>
        <w:rPr>
          <w:lang w:val="en-GB"/>
        </w:rPr>
      </w:pPr>
      <w:r w:rsidRPr="00E8461E">
        <w:rPr>
          <w:lang w:val="en-GB"/>
        </w:rPr>
        <w:t>Pursuit of the</w:t>
      </w:r>
      <w:r w:rsidR="003C5ED6" w:rsidRPr="00E8461E">
        <w:rPr>
          <w:lang w:val="en-GB"/>
        </w:rPr>
        <w:t xml:space="preserve"> </w:t>
      </w:r>
      <w:r w:rsidR="00D21AD8" w:rsidRPr="00E8461E">
        <w:rPr>
          <w:lang w:val="en-GB"/>
        </w:rPr>
        <w:t>above</w:t>
      </w:r>
      <w:r w:rsidR="003C5ED6" w:rsidRPr="00E8461E">
        <w:rPr>
          <w:lang w:val="en-GB"/>
        </w:rPr>
        <w:t xml:space="preserve"> </w:t>
      </w:r>
      <w:r w:rsidR="008507F9" w:rsidRPr="00E8461E">
        <w:rPr>
          <w:lang w:val="en-GB"/>
        </w:rPr>
        <w:t>four</w:t>
      </w:r>
      <w:r w:rsidR="00F829FB" w:rsidRPr="00E8461E">
        <w:rPr>
          <w:lang w:val="en-GB"/>
        </w:rPr>
        <w:t xml:space="preserve"> </w:t>
      </w:r>
      <w:r w:rsidR="003C5ED6" w:rsidRPr="00E8461E">
        <w:rPr>
          <w:lang w:val="en-GB"/>
        </w:rPr>
        <w:t xml:space="preserve">objectives will be </w:t>
      </w:r>
      <w:r w:rsidRPr="00E8461E">
        <w:rPr>
          <w:lang w:val="en-GB"/>
        </w:rPr>
        <w:t>informed throughout</w:t>
      </w:r>
      <w:r w:rsidR="00EB5CC3" w:rsidRPr="00E8461E">
        <w:rPr>
          <w:lang w:val="en-GB"/>
        </w:rPr>
        <w:t xml:space="preserve"> the Strategy</w:t>
      </w:r>
      <w:r w:rsidR="003C5ED6" w:rsidRPr="00E8461E">
        <w:rPr>
          <w:lang w:val="en-GB"/>
        </w:rPr>
        <w:t xml:space="preserve"> by </w:t>
      </w:r>
      <w:r w:rsidR="00E362E9" w:rsidRPr="00E8461E">
        <w:rPr>
          <w:lang w:val="en-GB"/>
        </w:rPr>
        <w:t>five</w:t>
      </w:r>
      <w:r w:rsidR="003C5ED6" w:rsidRPr="00E8461E">
        <w:rPr>
          <w:lang w:val="en-GB"/>
        </w:rPr>
        <w:t xml:space="preserve"> </w:t>
      </w:r>
      <w:r w:rsidR="00A659DB" w:rsidRPr="00E8461E">
        <w:rPr>
          <w:lang w:val="en-GB"/>
        </w:rPr>
        <w:t>interlinked</w:t>
      </w:r>
      <w:r w:rsidR="003C5ED6" w:rsidRPr="00E8461E">
        <w:rPr>
          <w:lang w:val="en-GB"/>
        </w:rPr>
        <w:t xml:space="preserve"> principles </w:t>
      </w:r>
      <w:r w:rsidR="00164D71" w:rsidRPr="00E8461E">
        <w:rPr>
          <w:lang w:val="en-GB"/>
        </w:rPr>
        <w:t>to ensure that</w:t>
      </w:r>
      <w:r w:rsidR="003607C6" w:rsidRPr="00E8461E">
        <w:rPr>
          <w:lang w:val="en-GB"/>
        </w:rPr>
        <w:t xml:space="preserve"> </w:t>
      </w:r>
      <w:r w:rsidR="00410582" w:rsidRPr="00E8461E">
        <w:rPr>
          <w:lang w:val="en-GB"/>
        </w:rPr>
        <w:t>action</w:t>
      </w:r>
      <w:r w:rsidR="007F4AAC" w:rsidRPr="00E8461E">
        <w:rPr>
          <w:lang w:val="en-GB"/>
        </w:rPr>
        <w:t xml:space="preserve"> is </w:t>
      </w:r>
      <w:r w:rsidR="00872EEE" w:rsidRPr="00E8461E">
        <w:rPr>
          <w:lang w:val="en-GB"/>
        </w:rPr>
        <w:t>based on</w:t>
      </w:r>
      <w:r w:rsidR="00130583" w:rsidRPr="00E8461E">
        <w:rPr>
          <w:lang w:val="en-GB"/>
        </w:rPr>
        <w:t xml:space="preserve"> evidence and</w:t>
      </w:r>
      <w:r w:rsidR="00410582" w:rsidRPr="00E8461E">
        <w:rPr>
          <w:lang w:val="en-GB"/>
        </w:rPr>
        <w:t xml:space="preserve"> undertaken in a</w:t>
      </w:r>
      <w:r w:rsidR="003C5ED6" w:rsidRPr="00E8461E">
        <w:rPr>
          <w:lang w:val="en-GB"/>
        </w:rPr>
        <w:t xml:space="preserve"> culturally safe and just way</w:t>
      </w:r>
      <w:r w:rsidR="0030460A" w:rsidRPr="00E8461E">
        <w:rPr>
          <w:lang w:val="en-GB"/>
        </w:rPr>
        <w:t>.</w:t>
      </w:r>
      <w:r w:rsidR="003C5ED6" w:rsidRPr="00E8461E">
        <w:rPr>
          <w:lang w:val="en-GB"/>
        </w:rPr>
        <w:t xml:space="preserve"> </w:t>
      </w:r>
      <w:r w:rsidR="006D2872" w:rsidRPr="00E8461E">
        <w:rPr>
          <w:lang w:val="en-GB"/>
        </w:rPr>
        <w:t xml:space="preserve">These principles, not listed in any order of priority, </w:t>
      </w:r>
      <w:proofErr w:type="gramStart"/>
      <w:r w:rsidR="006D2872" w:rsidRPr="00E8461E">
        <w:rPr>
          <w:lang w:val="en-GB"/>
        </w:rPr>
        <w:t>are:</w:t>
      </w:r>
      <w:proofErr w:type="gramEnd"/>
      <w:r w:rsidR="006D2872" w:rsidRPr="00E8461E">
        <w:rPr>
          <w:lang w:val="en-GB"/>
        </w:rPr>
        <w:t xml:space="preserve"> </w:t>
      </w:r>
      <w:bookmarkStart w:id="36" w:name="_Hlk147409316"/>
      <w:r w:rsidR="006D2872" w:rsidRPr="00642E00">
        <w:rPr>
          <w:bCs/>
          <w:lang w:val="en-GB"/>
        </w:rPr>
        <w:t>Health Equity</w:t>
      </w:r>
      <w:r w:rsidR="009B71FA" w:rsidRPr="00642E00">
        <w:rPr>
          <w:bCs/>
          <w:lang w:val="en-GB"/>
        </w:rPr>
        <w:t xml:space="preserve"> and the Right to Health</w:t>
      </w:r>
      <w:r w:rsidR="006D2872" w:rsidRPr="00642E00">
        <w:rPr>
          <w:bCs/>
          <w:lang w:val="en-GB"/>
        </w:rPr>
        <w:t>, One Health and Planetary Health, First Nations Leadership, Population Health and Prevention, and Evidence-Informed Policymaking.</w:t>
      </w:r>
    </w:p>
    <w:bookmarkEnd w:id="36"/>
    <w:p w14:paraId="151D26C4" w14:textId="622489C8" w:rsidR="004C7C12" w:rsidRPr="00E8461E" w:rsidRDefault="001C4155" w:rsidP="009849EA">
      <w:pPr>
        <w:rPr>
          <w:rStyle w:val="Strong"/>
        </w:rPr>
      </w:pPr>
      <w:r w:rsidRPr="00E8461E">
        <w:rPr>
          <w:rStyle w:val="Strong"/>
        </w:rPr>
        <w:t xml:space="preserve">Principle </w:t>
      </w:r>
      <w:r w:rsidR="001C5301" w:rsidRPr="00E8461E">
        <w:rPr>
          <w:rStyle w:val="Strong"/>
        </w:rPr>
        <w:t>1</w:t>
      </w:r>
      <w:r w:rsidR="00177E4E" w:rsidRPr="00E8461E">
        <w:rPr>
          <w:rStyle w:val="Strong"/>
        </w:rPr>
        <w:t>:</w:t>
      </w:r>
      <w:r w:rsidRPr="00E8461E">
        <w:rPr>
          <w:rStyle w:val="Strong"/>
        </w:rPr>
        <w:t xml:space="preserve"> </w:t>
      </w:r>
      <w:r w:rsidR="009B71FA" w:rsidRPr="00E8461E">
        <w:rPr>
          <w:rStyle w:val="Strong"/>
        </w:rPr>
        <w:t>Health Equity and the</w:t>
      </w:r>
      <w:r w:rsidR="00CE404F" w:rsidRPr="00E8461E">
        <w:rPr>
          <w:rStyle w:val="Strong"/>
        </w:rPr>
        <w:t xml:space="preserve"> Right to Health</w:t>
      </w:r>
      <w:r w:rsidR="00177E4E" w:rsidRPr="00E8461E">
        <w:rPr>
          <w:rStyle w:val="Strong"/>
        </w:rPr>
        <w:t>.</w:t>
      </w:r>
      <w:r w:rsidR="00713C4F" w:rsidRPr="00E8461E">
        <w:rPr>
          <w:rStyle w:val="Strong"/>
        </w:rPr>
        <w:t xml:space="preserve"> </w:t>
      </w:r>
      <w:r w:rsidR="00EE64D9" w:rsidRPr="00E8461E">
        <w:rPr>
          <w:rStyle w:val="Strong"/>
        </w:rPr>
        <w:t>H</w:t>
      </w:r>
      <w:r w:rsidR="00AD1E85" w:rsidRPr="00E8461E">
        <w:rPr>
          <w:rStyle w:val="Strong"/>
        </w:rPr>
        <w:t xml:space="preserve">ealth </w:t>
      </w:r>
      <w:r w:rsidR="005110FA" w:rsidRPr="00E8461E">
        <w:rPr>
          <w:rStyle w:val="Strong"/>
        </w:rPr>
        <w:t>is a</w:t>
      </w:r>
      <w:r w:rsidR="00AD1E85" w:rsidRPr="00E8461E">
        <w:rPr>
          <w:rStyle w:val="Strong"/>
        </w:rPr>
        <w:t xml:space="preserve"> fundamental human right </w:t>
      </w:r>
      <w:r w:rsidR="00F84436" w:rsidRPr="00E8461E">
        <w:rPr>
          <w:rStyle w:val="Strong"/>
        </w:rPr>
        <w:t xml:space="preserve">that is </w:t>
      </w:r>
      <w:r w:rsidR="00AD1E85" w:rsidRPr="00E8461E">
        <w:rPr>
          <w:rStyle w:val="Strong"/>
        </w:rPr>
        <w:t>undermined by climate change</w:t>
      </w:r>
      <w:r w:rsidR="00972A9E" w:rsidRPr="00E8461E">
        <w:rPr>
          <w:rStyle w:val="Strong"/>
        </w:rPr>
        <w:t>.</w:t>
      </w:r>
      <w:r w:rsidR="00713C4F" w:rsidRPr="00E8461E">
        <w:rPr>
          <w:rStyle w:val="Strong"/>
        </w:rPr>
        <w:t xml:space="preserve"> S</w:t>
      </w:r>
      <w:r w:rsidR="009D06F4" w:rsidRPr="00E8461E">
        <w:rPr>
          <w:rStyle w:val="Strong"/>
        </w:rPr>
        <w:t xml:space="preserve">ome populations are more </w:t>
      </w:r>
      <w:r w:rsidR="001E44AC" w:rsidRPr="00E8461E">
        <w:rPr>
          <w:rStyle w:val="Strong"/>
        </w:rPr>
        <w:t>susceptible</w:t>
      </w:r>
      <w:r w:rsidR="0079042C" w:rsidRPr="00E8461E">
        <w:rPr>
          <w:rStyle w:val="Strong"/>
        </w:rPr>
        <w:t xml:space="preserve"> </w:t>
      </w:r>
      <w:r w:rsidR="009D06F4" w:rsidRPr="00E8461E">
        <w:rPr>
          <w:rStyle w:val="Strong"/>
        </w:rPr>
        <w:t>to and have less capacity to adapt to the health impacts of climate change</w:t>
      </w:r>
      <w:r w:rsidR="00A64FCE" w:rsidRPr="00E8461E">
        <w:rPr>
          <w:rStyle w:val="Strong"/>
        </w:rPr>
        <w:t>. R</w:t>
      </w:r>
      <w:r w:rsidR="009D06F4" w:rsidRPr="00E8461E">
        <w:rPr>
          <w:rStyle w:val="Strong"/>
        </w:rPr>
        <w:t>esponses to climate change need to take account of disparities in health outcomes</w:t>
      </w:r>
      <w:r w:rsidR="008D1DF6" w:rsidRPr="00E8461E">
        <w:rPr>
          <w:rStyle w:val="Strong"/>
        </w:rPr>
        <w:t xml:space="preserve"> through strengths-based approaches</w:t>
      </w:r>
      <w:r w:rsidR="009D06F4" w:rsidRPr="00E8461E">
        <w:rPr>
          <w:rStyle w:val="Strong"/>
        </w:rPr>
        <w:t>.</w:t>
      </w:r>
    </w:p>
    <w:p w14:paraId="3290420B" w14:textId="647E3E5C" w:rsidR="004C7C12" w:rsidRPr="00E8461E" w:rsidRDefault="00F84436" w:rsidP="001C4155">
      <w:pPr>
        <w:rPr>
          <w:lang w:val="en-GB"/>
        </w:rPr>
      </w:pPr>
      <w:r w:rsidRPr="00E8461E">
        <w:rPr>
          <w:lang w:val="en-GB"/>
        </w:rPr>
        <w:t>Australia recognises the right to health, defined as the universal right to the enjoyment of the highest attainable standard of physical and mental health for all people without discrimination.</w:t>
      </w:r>
      <w:r w:rsidRPr="00E8461E">
        <w:rPr>
          <w:rStyle w:val="EndnoteReference"/>
          <w:lang w:val="en-GB"/>
        </w:rPr>
        <w:endnoteReference w:id="10"/>
      </w:r>
      <w:r w:rsidRPr="00E8461E">
        <w:rPr>
          <w:lang w:val="en-GB"/>
        </w:rPr>
        <w:t xml:space="preserve"> A health equity approach recognises </w:t>
      </w:r>
      <w:r w:rsidR="00B56272" w:rsidRPr="00E8461E">
        <w:rPr>
          <w:lang w:val="en-GB"/>
        </w:rPr>
        <w:t>that</w:t>
      </w:r>
      <w:r w:rsidRPr="00E8461E" w:rsidDel="00513A1A">
        <w:rPr>
          <w:lang w:val="en-GB"/>
        </w:rPr>
        <w:t xml:space="preserve"> </w:t>
      </w:r>
      <w:r w:rsidR="00513A1A" w:rsidRPr="00E8461E">
        <w:rPr>
          <w:lang w:val="en-GB"/>
        </w:rPr>
        <w:t>the</w:t>
      </w:r>
      <w:r w:rsidRPr="00E8461E">
        <w:rPr>
          <w:lang w:val="en-GB"/>
        </w:rPr>
        <w:t xml:space="preserve"> fundamental right to health is undermined by climate change.</w:t>
      </w:r>
      <w:r w:rsidR="004C7C12" w:rsidRPr="00E8461E">
        <w:rPr>
          <w:rStyle w:val="EndnoteReference"/>
          <w:lang w:val="en-GB"/>
        </w:rPr>
        <w:t xml:space="preserve"> </w:t>
      </w:r>
      <w:r w:rsidRPr="00E8461E">
        <w:rPr>
          <w:lang w:val="en-GB"/>
        </w:rPr>
        <w:t>Climate change affects everybody, but not everybody will be affected equally – some groups are at greater risk of experiencing adverse health impacts from climate change than others. These include pregnant women</w:t>
      </w:r>
      <w:r w:rsidR="005C760C" w:rsidRPr="00E8461E">
        <w:rPr>
          <w:lang w:val="en-GB"/>
        </w:rPr>
        <w:t>,</w:t>
      </w:r>
      <w:r w:rsidR="00A23CAE" w:rsidRPr="00E8461E">
        <w:rPr>
          <w:rStyle w:val="FootnoteReference"/>
          <w:lang w:val="en-GB"/>
        </w:rPr>
        <w:footnoteReference w:customMarkFollows="1" w:id="2"/>
        <w:t>¨</w:t>
      </w:r>
      <w:r w:rsidRPr="00E8461E">
        <w:rPr>
          <w:lang w:val="en-GB"/>
        </w:rPr>
        <w:t xml:space="preserve"> </w:t>
      </w:r>
      <w:r w:rsidR="00F058A2" w:rsidRPr="00E8461E">
        <w:rPr>
          <w:lang w:val="en-GB"/>
        </w:rPr>
        <w:lastRenderedPageBreak/>
        <w:t>young</w:t>
      </w:r>
      <w:r w:rsidRPr="00E8461E">
        <w:rPr>
          <w:lang w:val="en-GB"/>
        </w:rPr>
        <w:t xml:space="preserve"> children, the elderly, people with pre-existing </w:t>
      </w:r>
      <w:r w:rsidR="00DE5C24" w:rsidRPr="00E8461E">
        <w:rPr>
          <w:lang w:val="en-GB"/>
        </w:rPr>
        <w:t>and/or chronic</w:t>
      </w:r>
      <w:r w:rsidRPr="00E8461E">
        <w:rPr>
          <w:lang w:val="en-GB"/>
        </w:rPr>
        <w:t xml:space="preserve"> health conditions</w:t>
      </w:r>
      <w:r w:rsidR="00E445EA" w:rsidRPr="00E8461E">
        <w:rPr>
          <w:lang w:val="en-GB"/>
        </w:rPr>
        <w:t>,</w:t>
      </w:r>
      <w:r w:rsidRPr="00E8461E">
        <w:rPr>
          <w:lang w:val="en-GB"/>
        </w:rPr>
        <w:t xml:space="preserve"> such as respiratory and cardiovascular diseases, people with poor mental health, and people with disabilities.</w:t>
      </w:r>
    </w:p>
    <w:p w14:paraId="0ACF35BB" w14:textId="3694262A" w:rsidR="001C4155" w:rsidRPr="00E8461E" w:rsidRDefault="00F84436" w:rsidP="001C4155">
      <w:pPr>
        <w:rPr>
          <w:lang w:val="en-GB"/>
        </w:rPr>
      </w:pPr>
      <w:r w:rsidRPr="00E8461E">
        <w:rPr>
          <w:lang w:val="en-GB"/>
        </w:rPr>
        <w:t>Existing inequities mean some groups – such as people experiencing socio-economic disadvantage and social marginalisation, First Nations</w:t>
      </w:r>
      <w:r w:rsidR="002C7772" w:rsidRPr="00E8461E">
        <w:rPr>
          <w:lang w:val="en-GB"/>
        </w:rPr>
        <w:t xml:space="preserve"> people</w:t>
      </w:r>
      <w:r w:rsidRPr="00E8461E">
        <w:rPr>
          <w:lang w:val="en-GB"/>
        </w:rPr>
        <w:t>, culturally and linguistically diverse communities</w:t>
      </w:r>
      <w:r w:rsidR="003A22A3" w:rsidRPr="00E8461E">
        <w:rPr>
          <w:lang w:val="en-GB"/>
        </w:rPr>
        <w:t>, outdoor workers</w:t>
      </w:r>
      <w:r w:rsidRPr="00E8461E">
        <w:rPr>
          <w:lang w:val="en-GB"/>
        </w:rPr>
        <w:t xml:space="preserve"> and people living in rural and remote areas – are at a disproportionately increased risk of adverse health impacts from climate change. The Strategy therefore adopts a health equity approach to </w:t>
      </w:r>
      <w:r w:rsidR="0058724B" w:rsidRPr="00E8461E">
        <w:rPr>
          <w:lang w:val="en-GB"/>
        </w:rPr>
        <w:t xml:space="preserve">all action across its </w:t>
      </w:r>
      <w:r w:rsidRPr="00E8461E">
        <w:rPr>
          <w:lang w:val="en-GB"/>
        </w:rPr>
        <w:t>mitigation and adaptation plans, taking account of existing health disparities and ensuring they are addressed through strengths-based approaches.</w:t>
      </w:r>
      <w:r w:rsidR="00D7035E" w:rsidRPr="00E8461E">
        <w:rPr>
          <w:lang w:val="en-GB"/>
        </w:rPr>
        <w:t xml:space="preserve"> </w:t>
      </w:r>
      <w:r w:rsidR="00A64FCE" w:rsidRPr="00E8461E">
        <w:rPr>
          <w:lang w:val="en-GB"/>
        </w:rPr>
        <w:t>C</w:t>
      </w:r>
      <w:r w:rsidR="009D06F4" w:rsidRPr="00E8461E">
        <w:rPr>
          <w:lang w:val="en-GB"/>
        </w:rPr>
        <w:t xml:space="preserve">limate change is </w:t>
      </w:r>
      <w:r w:rsidR="00A64FCE" w:rsidRPr="00E8461E">
        <w:rPr>
          <w:lang w:val="en-GB"/>
        </w:rPr>
        <w:t>also</w:t>
      </w:r>
      <w:r w:rsidR="009D06F4" w:rsidRPr="00E8461E">
        <w:rPr>
          <w:lang w:val="en-GB"/>
        </w:rPr>
        <w:t xml:space="preserve"> an issue of intergenerational equity, </w:t>
      </w:r>
      <w:r w:rsidR="005F231A" w:rsidRPr="00E8461E">
        <w:rPr>
          <w:lang w:val="en-GB"/>
        </w:rPr>
        <w:t>and there is an urgent need to act now to safeguard the planet for the health and wellbeing of future generations.</w:t>
      </w:r>
    </w:p>
    <w:p w14:paraId="3C076739" w14:textId="0EAC9D0E" w:rsidR="001C4155" w:rsidRPr="00E8461E" w:rsidRDefault="001C4155" w:rsidP="001C4155">
      <w:pPr>
        <w:rPr>
          <w:b/>
          <w:lang w:val="en-GB"/>
        </w:rPr>
      </w:pPr>
      <w:r w:rsidRPr="00E8461E">
        <w:rPr>
          <w:b/>
          <w:lang w:val="en-GB"/>
        </w:rPr>
        <w:t xml:space="preserve">Principle </w:t>
      </w:r>
      <w:r w:rsidR="00F82457" w:rsidRPr="00E8461E">
        <w:rPr>
          <w:b/>
          <w:lang w:val="en-GB"/>
        </w:rPr>
        <w:t>2</w:t>
      </w:r>
      <w:r w:rsidR="00177E4E" w:rsidRPr="00E8461E">
        <w:rPr>
          <w:b/>
          <w:bCs/>
          <w:lang w:val="en-GB"/>
        </w:rPr>
        <w:t>:</w:t>
      </w:r>
      <w:r w:rsidRPr="00E8461E">
        <w:rPr>
          <w:b/>
          <w:lang w:val="en-GB"/>
        </w:rPr>
        <w:t xml:space="preserve"> One Health and Planetary Health</w:t>
      </w:r>
      <w:r w:rsidR="00177E4E" w:rsidRPr="00E8461E">
        <w:rPr>
          <w:b/>
          <w:bCs/>
          <w:lang w:val="en-GB"/>
        </w:rPr>
        <w:t>.</w:t>
      </w:r>
      <w:r w:rsidR="00845551" w:rsidRPr="00E8461E">
        <w:rPr>
          <w:b/>
          <w:lang w:val="en-GB"/>
        </w:rPr>
        <w:t xml:space="preserve"> One Health and Planetary Health</w:t>
      </w:r>
      <w:r w:rsidR="00477DE6" w:rsidRPr="00E8461E">
        <w:rPr>
          <w:b/>
          <w:lang w:val="en-GB"/>
        </w:rPr>
        <w:t xml:space="preserve"> recognise</w:t>
      </w:r>
      <w:r w:rsidR="003A783B" w:rsidRPr="00E8461E">
        <w:rPr>
          <w:b/>
          <w:lang w:val="en-GB"/>
        </w:rPr>
        <w:t xml:space="preserve"> thriving ecosystems </w:t>
      </w:r>
      <w:r w:rsidR="00DE1828" w:rsidRPr="00E8461E">
        <w:rPr>
          <w:b/>
          <w:lang w:val="en-GB"/>
        </w:rPr>
        <w:t>as</w:t>
      </w:r>
      <w:r w:rsidR="003A783B" w:rsidRPr="00E8461E">
        <w:rPr>
          <w:b/>
          <w:lang w:val="en-GB"/>
        </w:rPr>
        <w:t xml:space="preserve"> essential condition</w:t>
      </w:r>
      <w:r w:rsidR="00DE1828" w:rsidRPr="00E8461E">
        <w:rPr>
          <w:b/>
          <w:lang w:val="en-GB"/>
        </w:rPr>
        <w:t>s</w:t>
      </w:r>
      <w:r w:rsidR="003A783B" w:rsidRPr="00E8461E">
        <w:rPr>
          <w:b/>
          <w:lang w:val="en-GB"/>
        </w:rPr>
        <w:t xml:space="preserve"> for</w:t>
      </w:r>
      <w:r w:rsidR="003D372A" w:rsidRPr="00E8461E">
        <w:rPr>
          <w:b/>
          <w:lang w:val="en-GB"/>
        </w:rPr>
        <w:t xml:space="preserve"> human heal</w:t>
      </w:r>
      <w:r w:rsidR="00FA2026" w:rsidRPr="00E8461E">
        <w:rPr>
          <w:b/>
          <w:lang w:val="en-GB"/>
        </w:rPr>
        <w:t>th</w:t>
      </w:r>
      <w:r w:rsidR="00155BF1" w:rsidRPr="00E8461E">
        <w:rPr>
          <w:b/>
          <w:lang w:val="en-GB"/>
        </w:rPr>
        <w:t xml:space="preserve"> and the need to regenerate </w:t>
      </w:r>
      <w:r w:rsidR="00780AA1" w:rsidRPr="00E8461E">
        <w:rPr>
          <w:b/>
          <w:lang w:val="en-GB"/>
        </w:rPr>
        <w:t>planetary health to create a healthy future.</w:t>
      </w:r>
    </w:p>
    <w:p w14:paraId="40776F87" w14:textId="3422F331" w:rsidR="004C7C12" w:rsidRPr="00E8461E" w:rsidRDefault="00F00508" w:rsidP="00F00508">
      <w:pPr>
        <w:rPr>
          <w:lang w:val="en-GB"/>
        </w:rPr>
      </w:pPr>
      <w:r w:rsidRPr="00E8461E">
        <w:rPr>
          <w:lang w:val="en-GB"/>
        </w:rPr>
        <w:t xml:space="preserve">One Health recognises human health is deeply interconnected with the health of animals and our shared environment. One Health acknowledges we cannot optimise global population health if food systems are </w:t>
      </w:r>
      <w:r w:rsidR="00457DA0" w:rsidRPr="00E8461E">
        <w:rPr>
          <w:lang w:val="en-GB"/>
        </w:rPr>
        <w:t>unsustainable</w:t>
      </w:r>
      <w:r w:rsidRPr="00E8461E">
        <w:rPr>
          <w:lang w:val="en-GB"/>
        </w:rPr>
        <w:t xml:space="preserve">, the environment is polluted, or the risk of zoonotic disease is neglected. Transmission of </w:t>
      </w:r>
      <w:r w:rsidR="008901AF" w:rsidRPr="00E8461E">
        <w:rPr>
          <w:lang w:val="en-GB"/>
        </w:rPr>
        <w:t xml:space="preserve">infectious </w:t>
      </w:r>
      <w:r w:rsidRPr="00E8461E">
        <w:rPr>
          <w:lang w:val="en-GB"/>
        </w:rPr>
        <w:t>disease</w:t>
      </w:r>
      <w:r w:rsidR="008901AF" w:rsidRPr="00E8461E">
        <w:rPr>
          <w:lang w:val="en-GB"/>
        </w:rPr>
        <w:t>s</w:t>
      </w:r>
      <w:r w:rsidRPr="00E8461E">
        <w:rPr>
          <w:lang w:val="en-GB"/>
        </w:rPr>
        <w:t xml:space="preserve"> at the animal–human–ecosystem interface highlights the need for multidisciplinary approaches. One Health also considers broader ecosystem health, including the role of microorganisms and plants in decomposition, soil enrichment, and medicine and oxygen production.</w:t>
      </w:r>
      <w:r w:rsidR="00C055B1" w:rsidRPr="00E8461E">
        <w:rPr>
          <w:rStyle w:val="EndnoteReference"/>
          <w:lang w:val="en-GB"/>
        </w:rPr>
        <w:endnoteReference w:id="11"/>
      </w:r>
    </w:p>
    <w:p w14:paraId="41290BAF" w14:textId="0DBF60DB" w:rsidR="00F00508" w:rsidRPr="00E8461E" w:rsidRDefault="00F00508" w:rsidP="00F00508">
      <w:pPr>
        <w:rPr>
          <w:lang w:val="en-GB"/>
        </w:rPr>
      </w:pPr>
      <w:r w:rsidRPr="00E8461E">
        <w:rPr>
          <w:lang w:val="en-GB"/>
        </w:rPr>
        <w:t>One Health is a guiding principle of work currently underway to establish an Australian Centre of Disease Control (CDC). The commitment to establish an A</w:t>
      </w:r>
      <w:r w:rsidR="00787BEB" w:rsidRPr="00E8461E">
        <w:rPr>
          <w:lang w:val="en-GB"/>
        </w:rPr>
        <w:t>ustralia</w:t>
      </w:r>
      <w:r w:rsidR="00931F2E" w:rsidRPr="00E8461E">
        <w:rPr>
          <w:lang w:val="en-GB"/>
        </w:rPr>
        <w:t>n</w:t>
      </w:r>
      <w:r w:rsidR="00787BEB" w:rsidRPr="00E8461E">
        <w:rPr>
          <w:lang w:val="en-GB"/>
        </w:rPr>
        <w:t xml:space="preserve"> </w:t>
      </w:r>
      <w:r w:rsidRPr="00E8461E">
        <w:rPr>
          <w:lang w:val="en-GB"/>
        </w:rPr>
        <w:t>CDC arose out of the COVID-19 pandemic. Reviews of the global response to COVID-19 highlighted the need for increased surveillance to identify emerging pathogens, including those influenced by climate change. The A</w:t>
      </w:r>
      <w:r w:rsidR="0070536E" w:rsidRPr="00E8461E">
        <w:rPr>
          <w:lang w:val="en-GB"/>
        </w:rPr>
        <w:t>ustralia</w:t>
      </w:r>
      <w:r w:rsidR="00D96283" w:rsidRPr="00E8461E">
        <w:rPr>
          <w:lang w:val="en-GB"/>
        </w:rPr>
        <w:t>n</w:t>
      </w:r>
      <w:r w:rsidR="0070536E" w:rsidRPr="00E8461E">
        <w:rPr>
          <w:lang w:val="en-GB"/>
        </w:rPr>
        <w:t xml:space="preserve"> </w:t>
      </w:r>
      <w:r w:rsidRPr="00E8461E">
        <w:rPr>
          <w:lang w:val="en-GB"/>
        </w:rPr>
        <w:t xml:space="preserve">CDC will lead One Health collaboration in </w:t>
      </w:r>
      <w:r w:rsidR="7ECC166C" w:rsidRPr="00E8461E">
        <w:rPr>
          <w:lang w:val="en-GB"/>
        </w:rPr>
        <w:t xml:space="preserve">areas such as </w:t>
      </w:r>
      <w:r w:rsidRPr="00E8461E">
        <w:rPr>
          <w:lang w:val="en-GB"/>
        </w:rPr>
        <w:t xml:space="preserve">disease </w:t>
      </w:r>
      <w:r w:rsidR="00CC11C6" w:rsidRPr="00E8461E">
        <w:rPr>
          <w:lang w:val="en-GB"/>
        </w:rPr>
        <w:t>prevention,</w:t>
      </w:r>
      <w:r w:rsidRPr="00E8461E">
        <w:rPr>
          <w:lang w:val="en-GB"/>
        </w:rPr>
        <w:t xml:space="preserve"> detection, verification, </w:t>
      </w:r>
      <w:proofErr w:type="gramStart"/>
      <w:r w:rsidRPr="00E8461E">
        <w:rPr>
          <w:lang w:val="en-GB"/>
        </w:rPr>
        <w:t>containment</w:t>
      </w:r>
      <w:proofErr w:type="gramEnd"/>
      <w:r w:rsidRPr="00E8461E">
        <w:rPr>
          <w:lang w:val="en-GB"/>
        </w:rPr>
        <w:t xml:space="preserve"> and response.</w:t>
      </w:r>
    </w:p>
    <w:p w14:paraId="6F3A2C88" w14:textId="60062129" w:rsidR="00F00508" w:rsidRPr="00E8461E" w:rsidRDefault="00F00508" w:rsidP="00F00508">
      <w:pPr>
        <w:rPr>
          <w:rFonts w:ascii="Times New Roman" w:hAnsi="Times New Roman" w:cs="Times New Roman"/>
          <w:sz w:val="24"/>
          <w:szCs w:val="24"/>
          <w:lang w:val="en-GB"/>
        </w:rPr>
      </w:pPr>
      <w:r w:rsidRPr="00E8461E">
        <w:rPr>
          <w:lang w:val="en-GB"/>
        </w:rPr>
        <w:t>One Health closely relates to the concept of Planetary Health, which addresses the impacts of human disruptions to Earth’s natural systems on human health. Planetary Health contends that human health depends on the health of the planet.</w:t>
      </w:r>
      <w:r w:rsidR="00A018D2" w:rsidRPr="00E8461E">
        <w:rPr>
          <w:rStyle w:val="EndnoteReference"/>
          <w:lang w:val="en-GB"/>
        </w:rPr>
        <w:endnoteReference w:id="12"/>
      </w:r>
      <w:r w:rsidRPr="00E8461E">
        <w:rPr>
          <w:lang w:val="en-GB"/>
        </w:rPr>
        <w:t xml:space="preserve"> Climate change, pollution, and a loss of biodiversity are major drivers of communicable diseases, chronic </w:t>
      </w:r>
      <w:proofErr w:type="gramStart"/>
      <w:r w:rsidRPr="00E8461E">
        <w:rPr>
          <w:lang w:val="en-GB"/>
        </w:rPr>
        <w:t>illnesses</w:t>
      </w:r>
      <w:proofErr w:type="gramEnd"/>
      <w:r w:rsidRPr="00E8461E">
        <w:rPr>
          <w:lang w:val="en-GB"/>
        </w:rPr>
        <w:t xml:space="preserve"> and mental health </w:t>
      </w:r>
      <w:r w:rsidR="00F67D0E" w:rsidRPr="00E8461E">
        <w:rPr>
          <w:lang w:val="en-GB"/>
        </w:rPr>
        <w:t>conditions</w:t>
      </w:r>
      <w:r w:rsidRPr="00E8461E">
        <w:rPr>
          <w:lang w:val="en-GB"/>
        </w:rPr>
        <w:t>.</w:t>
      </w:r>
    </w:p>
    <w:p w14:paraId="272F3B3B" w14:textId="5F792895" w:rsidR="001C4155" w:rsidRPr="00E8461E" w:rsidRDefault="001C4155" w:rsidP="001C4155">
      <w:pPr>
        <w:rPr>
          <w:b/>
          <w:lang w:val="en-GB"/>
        </w:rPr>
      </w:pPr>
      <w:r w:rsidRPr="00E8461E">
        <w:rPr>
          <w:b/>
          <w:lang w:val="en-GB"/>
        </w:rPr>
        <w:t xml:space="preserve">Principle </w:t>
      </w:r>
      <w:r w:rsidR="00F82457" w:rsidRPr="00E8461E">
        <w:rPr>
          <w:b/>
          <w:lang w:val="en-GB"/>
        </w:rPr>
        <w:t>3</w:t>
      </w:r>
      <w:r w:rsidR="00177E4E" w:rsidRPr="00E8461E">
        <w:rPr>
          <w:b/>
          <w:bCs/>
          <w:lang w:val="en-GB"/>
        </w:rPr>
        <w:t>:</w:t>
      </w:r>
      <w:r w:rsidRPr="00E8461E">
        <w:rPr>
          <w:b/>
          <w:lang w:val="en-GB"/>
        </w:rPr>
        <w:t xml:space="preserve"> First Nations Leadership</w:t>
      </w:r>
      <w:r w:rsidR="00177E4E" w:rsidRPr="00E8461E">
        <w:rPr>
          <w:b/>
          <w:bCs/>
          <w:lang w:val="en-GB"/>
        </w:rPr>
        <w:t>.</w:t>
      </w:r>
      <w:r w:rsidR="00EF56F6" w:rsidRPr="00E8461E">
        <w:rPr>
          <w:b/>
          <w:lang w:val="en-GB"/>
        </w:rPr>
        <w:t xml:space="preserve"> </w:t>
      </w:r>
      <w:r w:rsidR="00C24A47" w:rsidRPr="00E8461E">
        <w:rPr>
          <w:b/>
          <w:lang w:val="en-GB"/>
        </w:rPr>
        <w:t>First Nations</w:t>
      </w:r>
      <w:r w:rsidR="00AD243B" w:rsidRPr="00E8461E">
        <w:rPr>
          <w:b/>
          <w:lang w:val="en-GB"/>
        </w:rPr>
        <w:t xml:space="preserve"> communities’</w:t>
      </w:r>
      <w:r w:rsidR="00C24A47" w:rsidRPr="00E8461E">
        <w:rPr>
          <w:b/>
          <w:lang w:val="en-GB"/>
        </w:rPr>
        <w:t xml:space="preserve"> knowledge and experience </w:t>
      </w:r>
      <w:r w:rsidR="008F43A5" w:rsidRPr="00E8461E">
        <w:rPr>
          <w:b/>
          <w:lang w:val="en-GB"/>
        </w:rPr>
        <w:t>must</w:t>
      </w:r>
      <w:r w:rsidR="00C24A47" w:rsidRPr="00E8461E">
        <w:rPr>
          <w:b/>
          <w:lang w:val="en-GB"/>
        </w:rPr>
        <w:t xml:space="preserve"> be central to decision-making on climate and health policy at all levels.</w:t>
      </w:r>
    </w:p>
    <w:p w14:paraId="0F6E3CF9" w14:textId="77777777" w:rsidR="00BA055E" w:rsidRPr="00E8461E" w:rsidRDefault="00D7368F" w:rsidP="00D7368F">
      <w:pPr>
        <w:rPr>
          <w:lang w:val="en-GB"/>
        </w:rPr>
      </w:pPr>
      <w:r w:rsidRPr="00E8461E">
        <w:rPr>
          <w:lang w:val="en-GB"/>
        </w:rPr>
        <w:t xml:space="preserve">The Strategy recognises that to support climate justice, climate and health policy at all levels must be informed by the </w:t>
      </w:r>
      <w:r w:rsidR="008D0BF9" w:rsidRPr="00E8461E">
        <w:rPr>
          <w:lang w:val="en-GB"/>
        </w:rPr>
        <w:t xml:space="preserve">leadership, </w:t>
      </w:r>
      <w:proofErr w:type="gramStart"/>
      <w:r w:rsidRPr="00E8461E">
        <w:rPr>
          <w:lang w:val="en-GB"/>
        </w:rPr>
        <w:t>knowledge</w:t>
      </w:r>
      <w:proofErr w:type="gramEnd"/>
      <w:r w:rsidRPr="00E8461E">
        <w:rPr>
          <w:lang w:val="en-GB"/>
        </w:rPr>
        <w:t xml:space="preserve"> and experience of First Nations</w:t>
      </w:r>
      <w:r w:rsidR="00BE14F4" w:rsidRPr="00E8461E">
        <w:rPr>
          <w:lang w:val="en-GB"/>
        </w:rPr>
        <w:t xml:space="preserve"> people</w:t>
      </w:r>
      <w:r w:rsidRPr="00E8461E">
        <w:rPr>
          <w:lang w:val="en-GB"/>
        </w:rPr>
        <w:t>.</w:t>
      </w:r>
    </w:p>
    <w:p w14:paraId="790887F7" w14:textId="2A754039" w:rsidR="00515B3F" w:rsidRPr="00E8461E" w:rsidRDefault="00515B3F" w:rsidP="00D7368F">
      <w:pPr>
        <w:rPr>
          <w:lang w:val="en-GB"/>
        </w:rPr>
      </w:pPr>
      <w:r w:rsidRPr="00E8461E">
        <w:rPr>
          <w:lang w:val="en-GB"/>
        </w:rPr>
        <w:t>First Nations people have demonstrated their ability to adapt to a changed climate. For thousands of years, First Nations</w:t>
      </w:r>
      <w:r w:rsidRPr="00E8461E" w:rsidDel="006C40DB">
        <w:rPr>
          <w:lang w:val="en-GB"/>
        </w:rPr>
        <w:t xml:space="preserve"> </w:t>
      </w:r>
      <w:r w:rsidRPr="00E8461E">
        <w:rPr>
          <w:lang w:val="en-GB"/>
        </w:rPr>
        <w:t>people protected and sustainably managed the resources on Country, passing their traditional ecological and scientific knowledge down through the generations. Colonisation and forced removals disrupted First Nations people’s ability to adapt to climate change by dispossessing First Nations people of their land, seas and waterways, and by suppressing First Nations peoples’ culture, knowledge and trading practices.</w:t>
      </w:r>
      <w:r w:rsidRPr="00E8461E">
        <w:rPr>
          <w:rStyle w:val="EndnoteReference"/>
          <w:lang w:val="en-GB"/>
        </w:rPr>
        <w:endnoteReference w:id="13"/>
      </w:r>
      <w:r w:rsidRPr="00E8461E">
        <w:rPr>
          <w:lang w:val="en-GB"/>
        </w:rPr>
        <w:t xml:space="preserve"> Despite the impacts of colonisation, First Nations people have continued to care for Country,</w:t>
      </w:r>
      <w:r w:rsidRPr="00E8461E" w:rsidDel="00D361AD">
        <w:rPr>
          <w:lang w:val="en-GB"/>
        </w:rPr>
        <w:t xml:space="preserve"> </w:t>
      </w:r>
      <w:r w:rsidRPr="00E8461E">
        <w:rPr>
          <w:lang w:val="en-GB"/>
        </w:rPr>
        <w:t>develop their diverse knowledge systems and cultural practices, and provide leadership on sustainable land and sea management</w:t>
      </w:r>
      <w:r w:rsidR="00AA05F9" w:rsidRPr="00E8461E">
        <w:rPr>
          <w:lang w:val="en-GB"/>
        </w:rPr>
        <w:t xml:space="preserve"> and holistic health and wellbeing</w:t>
      </w:r>
      <w:r w:rsidRPr="00E8461E">
        <w:rPr>
          <w:lang w:val="en-GB"/>
        </w:rPr>
        <w:t>.</w:t>
      </w:r>
    </w:p>
    <w:p w14:paraId="60AE72E2" w14:textId="7B30B258" w:rsidR="00FA310F" w:rsidRPr="00E8461E" w:rsidRDefault="00832292" w:rsidP="00A87E01">
      <w:pPr>
        <w:rPr>
          <w:lang w:val="en-GB"/>
        </w:rPr>
      </w:pPr>
      <w:r w:rsidRPr="00E8461E">
        <w:rPr>
          <w:lang w:val="en-GB"/>
        </w:rPr>
        <w:lastRenderedPageBreak/>
        <w:t>In July 2020</w:t>
      </w:r>
      <w:r w:rsidR="009902E3" w:rsidRPr="00E8461E">
        <w:rPr>
          <w:lang w:val="en-GB"/>
        </w:rPr>
        <w:t>,</w:t>
      </w:r>
      <w:r w:rsidRPr="00E8461E">
        <w:rPr>
          <w:lang w:val="en-GB"/>
        </w:rPr>
        <w:t xml:space="preserve"> the Australian Government signed the National Agreement on Closing the Gap (National Agreement) and committed to the implementation of the Agreement’s four Priority Reforms</w:t>
      </w:r>
      <w:r w:rsidR="00FA310F" w:rsidRPr="00E8461E">
        <w:rPr>
          <w:lang w:val="en-GB"/>
        </w:rPr>
        <w:t>:</w:t>
      </w:r>
    </w:p>
    <w:p w14:paraId="1B52EA08" w14:textId="77777777" w:rsidR="00FA310F" w:rsidRPr="00E8461E" w:rsidRDefault="00FA310F" w:rsidP="0065729E">
      <w:pPr>
        <w:pStyle w:val="BulletUnindented"/>
      </w:pPr>
      <w:bookmarkStart w:id="37" w:name="_Hlk149661558"/>
      <w:r w:rsidRPr="00E8461E">
        <w:t xml:space="preserve">Priority Reform 1: Formal partnerships and shared decision </w:t>
      </w:r>
      <w:proofErr w:type="gramStart"/>
      <w:r w:rsidRPr="00E8461E">
        <w:t>making</w:t>
      </w:r>
      <w:proofErr w:type="gramEnd"/>
    </w:p>
    <w:p w14:paraId="56E8F6D8" w14:textId="77777777" w:rsidR="00FA310F" w:rsidRPr="00E8461E" w:rsidRDefault="00FA310F" w:rsidP="0065729E">
      <w:pPr>
        <w:pStyle w:val="BulletUnindented"/>
      </w:pPr>
      <w:r w:rsidRPr="00E8461E">
        <w:t xml:space="preserve">Priority Reform 2: Building the community-controlled </w:t>
      </w:r>
      <w:proofErr w:type="gramStart"/>
      <w:r w:rsidRPr="00E8461E">
        <w:t>sector</w:t>
      </w:r>
      <w:proofErr w:type="gramEnd"/>
    </w:p>
    <w:p w14:paraId="42529050" w14:textId="77777777" w:rsidR="00FA310F" w:rsidRPr="00E8461E" w:rsidRDefault="00FA310F" w:rsidP="0065729E">
      <w:pPr>
        <w:pStyle w:val="BulletUnindented"/>
      </w:pPr>
      <w:r w:rsidRPr="00E8461E">
        <w:t xml:space="preserve">Priority Reform 3: Transforming government </w:t>
      </w:r>
      <w:proofErr w:type="gramStart"/>
      <w:r w:rsidRPr="00E8461E">
        <w:t>organisations</w:t>
      </w:r>
      <w:proofErr w:type="gramEnd"/>
    </w:p>
    <w:p w14:paraId="3F4EA1E1" w14:textId="3F1E611F" w:rsidR="00FA310F" w:rsidRPr="00E8461E" w:rsidRDefault="00FA310F" w:rsidP="0065729E">
      <w:pPr>
        <w:pStyle w:val="BulletUnindented"/>
      </w:pPr>
      <w:r w:rsidRPr="00E8461E">
        <w:t>Priority Reform 4: Shared access to data and information at a regional level.</w:t>
      </w:r>
      <w:bookmarkEnd w:id="37"/>
    </w:p>
    <w:p w14:paraId="54B15822" w14:textId="2E6CABF0" w:rsidR="00EA150C" w:rsidRPr="00E8461E" w:rsidRDefault="008D0D6A" w:rsidP="008A514A">
      <w:pPr>
        <w:rPr>
          <w:lang w:val="en-GB"/>
        </w:rPr>
      </w:pPr>
      <w:r w:rsidRPr="00E8461E">
        <w:rPr>
          <w:lang w:val="en-GB"/>
        </w:rPr>
        <w:t>Together, the four priority reforms change the way governments work and offer a roadmap to overcome the inequities experienced by First Nations people</w:t>
      </w:r>
      <w:r w:rsidR="003A0369" w:rsidRPr="00E8461E">
        <w:rPr>
          <w:lang w:val="en-GB"/>
        </w:rPr>
        <w:t xml:space="preserve"> and to provide health care that is accessible and culturally safe for First Nations people</w:t>
      </w:r>
      <w:r w:rsidR="5208ECB5" w:rsidRPr="00E8461E">
        <w:rPr>
          <w:lang w:val="en-GB"/>
        </w:rPr>
        <w:t>.</w:t>
      </w:r>
      <w:r w:rsidRPr="00E8461E">
        <w:rPr>
          <w:lang w:val="en-GB"/>
        </w:rPr>
        <w:t xml:space="preserve"> </w:t>
      </w:r>
      <w:r w:rsidR="00E81824" w:rsidRPr="00E8461E">
        <w:rPr>
          <w:lang w:val="en-GB"/>
        </w:rPr>
        <w:t>The Strategy will align with the four priority reforms of the National Agreement and seek to ensure the Strategy’s implementation – and any future iterations of the Strategy – are delivered in partnership with First Nations people</w:t>
      </w:r>
      <w:r w:rsidR="00620436" w:rsidRPr="00E8461E">
        <w:rPr>
          <w:lang w:val="en-GB"/>
        </w:rPr>
        <w:t xml:space="preserve"> </w:t>
      </w:r>
      <w:r w:rsidR="00786BEA" w:rsidRPr="00E8461E">
        <w:rPr>
          <w:lang w:val="en-GB"/>
        </w:rPr>
        <w:t>and empower First Nations peopl</w:t>
      </w:r>
      <w:r w:rsidR="00B7351F" w:rsidRPr="00E8461E">
        <w:rPr>
          <w:lang w:val="en-GB"/>
        </w:rPr>
        <w:t xml:space="preserve">e to share </w:t>
      </w:r>
      <w:r w:rsidR="00836ADF" w:rsidRPr="00E8461E">
        <w:rPr>
          <w:lang w:val="en-GB"/>
        </w:rPr>
        <w:t>in</w:t>
      </w:r>
      <w:r w:rsidR="00B7351F" w:rsidRPr="00E8461E">
        <w:rPr>
          <w:lang w:val="en-GB"/>
        </w:rPr>
        <w:t xml:space="preserve"> decision-making</w:t>
      </w:r>
      <w:r w:rsidR="00E81824" w:rsidRPr="00E8461E">
        <w:rPr>
          <w:lang w:val="en-GB"/>
        </w:rPr>
        <w:t>.</w:t>
      </w:r>
    </w:p>
    <w:p w14:paraId="51B4F12C" w14:textId="2B81EC42" w:rsidR="001C4155" w:rsidRPr="00E8461E" w:rsidRDefault="00B737B2" w:rsidP="001C4155">
      <w:pPr>
        <w:rPr>
          <w:lang w:val="en-GB"/>
        </w:rPr>
      </w:pPr>
      <w:r w:rsidRPr="00E8461E">
        <w:rPr>
          <w:lang w:val="en-GB"/>
        </w:rPr>
        <w:t>The Australian</w:t>
      </w:r>
      <w:r w:rsidRPr="00E8461E" w:rsidDel="000908DA">
        <w:rPr>
          <w:lang w:val="en-GB"/>
        </w:rPr>
        <w:t xml:space="preserve"> </w:t>
      </w:r>
      <w:r w:rsidR="000908DA" w:rsidRPr="00E8461E">
        <w:rPr>
          <w:lang w:val="en-GB"/>
        </w:rPr>
        <w:t xml:space="preserve">Government’s </w:t>
      </w:r>
      <w:r w:rsidRPr="00E8461E">
        <w:rPr>
          <w:lang w:val="en-GB"/>
        </w:rPr>
        <w:t xml:space="preserve">commitment to co-designing health policy in partnership with First Nations people is </w:t>
      </w:r>
      <w:r w:rsidR="00F85B62" w:rsidRPr="00E8461E">
        <w:rPr>
          <w:lang w:val="en-GB"/>
        </w:rPr>
        <w:t xml:space="preserve">also </w:t>
      </w:r>
      <w:r w:rsidRPr="00E8461E">
        <w:rPr>
          <w:lang w:val="en-GB"/>
        </w:rPr>
        <w:t>reflected in the development and implementation of the National Aboriginal and Torres Strait Islander Health Plan for 2021–2031</w:t>
      </w:r>
      <w:r w:rsidR="00A94EE2" w:rsidRPr="00E8461E">
        <w:rPr>
          <w:rStyle w:val="EndnoteReference"/>
          <w:lang w:val="en-GB"/>
        </w:rPr>
        <w:endnoteReference w:id="14"/>
      </w:r>
      <w:r w:rsidRPr="00E8461E">
        <w:rPr>
          <w:lang w:val="en-GB"/>
        </w:rPr>
        <w:t xml:space="preserve"> and the National Aboriginal and Torres Strait Islander Health Workforce Strategic Framework and Implementation Plan 2021-2023.</w:t>
      </w:r>
      <w:r w:rsidR="007B255E" w:rsidRPr="00E8461E">
        <w:rPr>
          <w:rStyle w:val="EndnoteReference"/>
          <w:lang w:val="en-GB"/>
        </w:rPr>
        <w:endnoteReference w:id="15"/>
      </w:r>
      <w:r w:rsidRPr="00E8461E">
        <w:rPr>
          <w:lang w:val="en-GB"/>
        </w:rPr>
        <w:t xml:space="preserve"> </w:t>
      </w:r>
      <w:r w:rsidR="00BA0CC4" w:rsidRPr="00E8461E">
        <w:rPr>
          <w:lang w:val="en-GB"/>
        </w:rPr>
        <w:t>Section</w:t>
      </w:r>
      <w:r w:rsidR="00F64331" w:rsidRPr="00E8461E">
        <w:rPr>
          <w:lang w:val="en-GB"/>
        </w:rPr>
        <w:t xml:space="preserve"> 3.3 provides further information</w:t>
      </w:r>
      <w:r w:rsidR="00FC7D93" w:rsidRPr="00E8461E">
        <w:rPr>
          <w:lang w:val="en-GB"/>
        </w:rPr>
        <w:t xml:space="preserve"> about the </w:t>
      </w:r>
      <w:r w:rsidR="00A36D15" w:rsidRPr="00E8461E">
        <w:rPr>
          <w:lang w:val="en-GB"/>
        </w:rPr>
        <w:t>Strategic Framework</w:t>
      </w:r>
      <w:r w:rsidR="00FC7D93" w:rsidRPr="00E8461E">
        <w:rPr>
          <w:lang w:val="en-GB"/>
        </w:rPr>
        <w:t xml:space="preserve"> and</w:t>
      </w:r>
      <w:r w:rsidR="00161CE3" w:rsidRPr="00E8461E">
        <w:rPr>
          <w:lang w:val="en-GB"/>
        </w:rPr>
        <w:t xml:space="preserve"> </w:t>
      </w:r>
      <w:r w:rsidR="00EA5487" w:rsidRPr="00E8461E">
        <w:rPr>
          <w:lang w:val="en-GB"/>
        </w:rPr>
        <w:t xml:space="preserve">the Australian Government’s </w:t>
      </w:r>
      <w:r w:rsidR="007F307C" w:rsidRPr="00E8461E">
        <w:rPr>
          <w:lang w:val="en-GB"/>
        </w:rPr>
        <w:t xml:space="preserve">partnership with First Nations communities to support </w:t>
      </w:r>
      <w:r w:rsidR="0011578C" w:rsidRPr="00E8461E">
        <w:rPr>
          <w:lang w:val="en-GB"/>
        </w:rPr>
        <w:t>climate adaptation</w:t>
      </w:r>
      <w:r w:rsidR="00EA5487" w:rsidRPr="00E8461E">
        <w:rPr>
          <w:lang w:val="en-GB"/>
        </w:rPr>
        <w:t xml:space="preserve"> under the </w:t>
      </w:r>
      <w:r w:rsidR="0011578C" w:rsidRPr="00E8461E">
        <w:rPr>
          <w:lang w:val="en-GB"/>
        </w:rPr>
        <w:t>Health Plan.</w:t>
      </w:r>
    </w:p>
    <w:p w14:paraId="1CE7F561" w14:textId="7D2D508A" w:rsidR="00B737B2" w:rsidRPr="00E8461E" w:rsidRDefault="002549DE" w:rsidP="001C4155">
      <w:pPr>
        <w:rPr>
          <w:lang w:val="en-GB"/>
        </w:rPr>
      </w:pPr>
      <w:r w:rsidRPr="00E8461E">
        <w:rPr>
          <w:lang w:val="en-GB"/>
        </w:rPr>
        <w:t xml:space="preserve">At the same time, consultation with First Nations peak bodies and organisations identified a governance gap </w:t>
      </w:r>
      <w:r w:rsidR="00B043E3" w:rsidRPr="00E8461E">
        <w:rPr>
          <w:lang w:val="en-GB"/>
        </w:rPr>
        <w:t>at</w:t>
      </w:r>
      <w:r w:rsidRPr="00E8461E">
        <w:rPr>
          <w:lang w:val="en-GB"/>
        </w:rPr>
        <w:t xml:space="preserve"> the intersection between the health of First Nations people and climate change. The </w:t>
      </w:r>
      <w:proofErr w:type="spellStart"/>
      <w:r w:rsidRPr="00E8461E">
        <w:rPr>
          <w:lang w:val="en-GB"/>
        </w:rPr>
        <w:t>Lowitja</w:t>
      </w:r>
      <w:proofErr w:type="spellEnd"/>
      <w:r w:rsidRPr="00E8461E">
        <w:rPr>
          <w:lang w:val="en-GB"/>
        </w:rPr>
        <w:t xml:space="preserve"> Institute is leading work in this space and is in the process of engaging with First Nations representatives to identify the best models which will support First Nations </w:t>
      </w:r>
      <w:r w:rsidR="00A86B6D" w:rsidRPr="00E8461E">
        <w:rPr>
          <w:lang w:val="en-GB"/>
        </w:rPr>
        <w:t>people’s</w:t>
      </w:r>
      <w:r w:rsidRPr="00E8461E">
        <w:rPr>
          <w:lang w:val="en-GB"/>
        </w:rPr>
        <w:t xml:space="preserve"> leadership and self-determination in climate and health policy.</w:t>
      </w:r>
    </w:p>
    <w:p w14:paraId="5D849D8B" w14:textId="01F0BEB3" w:rsidR="00BE2A3D" w:rsidRPr="00E8461E" w:rsidRDefault="001C4155" w:rsidP="00BE2A3D">
      <w:pPr>
        <w:rPr>
          <w:rStyle w:val="Strong"/>
        </w:rPr>
      </w:pPr>
      <w:r w:rsidRPr="00E8461E">
        <w:rPr>
          <w:rStyle w:val="Strong"/>
        </w:rPr>
        <w:t xml:space="preserve">Principle </w:t>
      </w:r>
      <w:r w:rsidR="00F82457" w:rsidRPr="00E8461E">
        <w:rPr>
          <w:rStyle w:val="Strong"/>
        </w:rPr>
        <w:t>4</w:t>
      </w:r>
      <w:r w:rsidR="00177E4E" w:rsidRPr="00E8461E">
        <w:rPr>
          <w:rStyle w:val="Strong"/>
        </w:rPr>
        <w:t>:</w:t>
      </w:r>
      <w:r w:rsidRPr="00E8461E">
        <w:rPr>
          <w:rStyle w:val="Strong"/>
        </w:rPr>
        <w:t xml:space="preserve"> Population Health and Prevention</w:t>
      </w:r>
      <w:r w:rsidR="00177E4E" w:rsidRPr="00E8461E">
        <w:rPr>
          <w:rStyle w:val="Strong"/>
        </w:rPr>
        <w:t>.</w:t>
      </w:r>
      <w:r w:rsidR="00BE2A3D" w:rsidRPr="00E8461E">
        <w:rPr>
          <w:rStyle w:val="Strong"/>
        </w:rPr>
        <w:t xml:space="preserve"> The response to climate change must be underpinned by a public health perspective</w:t>
      </w:r>
      <w:r w:rsidR="00D10C61" w:rsidRPr="00E8461E">
        <w:rPr>
          <w:rStyle w:val="Strong"/>
        </w:rPr>
        <w:t>, recognising</w:t>
      </w:r>
      <w:r w:rsidR="00BE2A3D" w:rsidRPr="00E8461E">
        <w:rPr>
          <w:rStyle w:val="Strong"/>
        </w:rPr>
        <w:t xml:space="preserve"> </w:t>
      </w:r>
      <w:r w:rsidR="00CE06F6" w:rsidRPr="00E8461E">
        <w:rPr>
          <w:rStyle w:val="Strong"/>
        </w:rPr>
        <w:t xml:space="preserve">the </w:t>
      </w:r>
      <w:r w:rsidR="00BE2A3D" w:rsidRPr="00E8461E">
        <w:rPr>
          <w:rStyle w:val="Strong"/>
        </w:rPr>
        <w:t>prevention of disease and maintenance of good health across the lifespan assists both mitigation and adaptation.</w:t>
      </w:r>
    </w:p>
    <w:p w14:paraId="054112EA" w14:textId="77777777" w:rsidR="0072038A" w:rsidRPr="00E8461E" w:rsidRDefault="005433DF" w:rsidP="005433DF">
      <w:r w:rsidRPr="00E8461E">
        <w:t>Maintaining good health and preventing disease is the starting point for reducing</w:t>
      </w:r>
      <w:r w:rsidR="007F4AAC" w:rsidRPr="00E8461E">
        <w:t xml:space="preserve"> emissions in </w:t>
      </w:r>
      <w:r w:rsidR="00991B2C" w:rsidRPr="00E8461E">
        <w:t>the health</w:t>
      </w:r>
      <w:r w:rsidRPr="00E8461E">
        <w:t xml:space="preserve"> system because </w:t>
      </w:r>
      <w:r w:rsidR="007F4AAC" w:rsidRPr="00E8461E">
        <w:t xml:space="preserve">they </w:t>
      </w:r>
      <w:r w:rsidRPr="00E8461E">
        <w:t xml:space="preserve">reduce the need to provide care in the first place. Many health impacts of climate change take the form of exacerbation of pre-existing </w:t>
      </w:r>
      <w:r w:rsidR="00CD23A9" w:rsidRPr="00E8461E">
        <w:t xml:space="preserve">and/or chronic </w:t>
      </w:r>
      <w:r w:rsidRPr="00E8461E">
        <w:t>health</w:t>
      </w:r>
      <w:r w:rsidRPr="00E8461E" w:rsidDel="006F00BA">
        <w:t xml:space="preserve"> </w:t>
      </w:r>
      <w:r w:rsidRPr="00E8461E">
        <w:t xml:space="preserve">conditions – so it follows that preventing these conditions from arising must be a key </w:t>
      </w:r>
      <w:r w:rsidR="008C4168" w:rsidRPr="00E8461E">
        <w:t>component</w:t>
      </w:r>
      <w:r w:rsidRPr="00E8461E">
        <w:t xml:space="preserve"> of any </w:t>
      </w:r>
      <w:r w:rsidR="00E35B71" w:rsidRPr="00E8461E">
        <w:t>S</w:t>
      </w:r>
      <w:r w:rsidRPr="00E8461E">
        <w:t>trategy to build community resilience to the health impacts of climate change.</w:t>
      </w:r>
    </w:p>
    <w:p w14:paraId="51074F41" w14:textId="6C88F1E5" w:rsidR="005433DF" w:rsidRPr="00E8461E" w:rsidRDefault="005433DF" w:rsidP="005433DF">
      <w:pPr>
        <w:rPr>
          <w:lang w:val="en-GB"/>
        </w:rPr>
      </w:pPr>
      <w:r w:rsidRPr="00E8461E">
        <w:rPr>
          <w:lang w:val="en-GB"/>
        </w:rPr>
        <w:t>At present, Australia</w:t>
      </w:r>
      <w:r w:rsidR="004F2688" w:rsidRPr="00E8461E">
        <w:rPr>
          <w:lang w:val="en-GB"/>
        </w:rPr>
        <w:t>’</w:t>
      </w:r>
      <w:r w:rsidRPr="00E8461E">
        <w:rPr>
          <w:lang w:val="en-GB"/>
        </w:rPr>
        <w:t>s health system overwhelmingly focuses on the treatment of illness and disease and is increasingly under pressure from the growing burden of chronic</w:t>
      </w:r>
      <w:r w:rsidR="002D7BF3" w:rsidRPr="00E8461E">
        <w:rPr>
          <w:lang w:val="en-GB"/>
        </w:rPr>
        <w:t xml:space="preserve"> health</w:t>
      </w:r>
      <w:r w:rsidRPr="00E8461E">
        <w:rPr>
          <w:lang w:val="en-GB"/>
        </w:rPr>
        <w:t xml:space="preserve"> conditions in Australia</w:t>
      </w:r>
      <w:r w:rsidR="004F2688" w:rsidRPr="00E8461E">
        <w:rPr>
          <w:lang w:val="en-GB"/>
        </w:rPr>
        <w:t>’</w:t>
      </w:r>
      <w:r w:rsidRPr="00E8461E">
        <w:rPr>
          <w:lang w:val="en-GB"/>
        </w:rPr>
        <w:t xml:space="preserve">s population. Addressing this by preventing the development of risk factors and </w:t>
      </w:r>
      <w:r w:rsidR="007F4AAC" w:rsidRPr="00E8461E">
        <w:rPr>
          <w:lang w:val="en-GB"/>
        </w:rPr>
        <w:t xml:space="preserve">the </w:t>
      </w:r>
      <w:r w:rsidR="006F7DBB" w:rsidRPr="00E8461E">
        <w:rPr>
          <w:lang w:val="en-GB"/>
        </w:rPr>
        <w:t xml:space="preserve">progression of </w:t>
      </w:r>
      <w:r w:rsidRPr="00E8461E">
        <w:rPr>
          <w:lang w:val="en-GB"/>
        </w:rPr>
        <w:t>disease requires action on the wider determinants of health, as well as the delivery of high</w:t>
      </w:r>
      <w:r w:rsidR="00B645A0" w:rsidRPr="00E8461E">
        <w:rPr>
          <w:lang w:val="en-GB"/>
        </w:rPr>
        <w:t>-</w:t>
      </w:r>
      <w:r w:rsidRPr="00E8461E">
        <w:rPr>
          <w:lang w:val="en-GB"/>
        </w:rPr>
        <w:t>quality preventive healthcare.</w:t>
      </w:r>
      <w:r w:rsidR="000F02FD" w:rsidRPr="00E8461E">
        <w:rPr>
          <w:lang w:val="en-GB"/>
        </w:rPr>
        <w:t xml:space="preserve"> </w:t>
      </w:r>
      <w:r w:rsidR="004F2688" w:rsidRPr="00E8461E">
        <w:rPr>
          <w:lang w:val="en-GB"/>
        </w:rPr>
        <w:t>In recognition of this, this Strategy will be implemented in line with the National Preventive Health Strategy 2021</w:t>
      </w:r>
      <w:r w:rsidR="00D73B47" w:rsidRPr="00E8461E">
        <w:rPr>
          <w:lang w:val="en-GB"/>
        </w:rPr>
        <w:t>-2030</w:t>
      </w:r>
      <w:r w:rsidR="004F2688" w:rsidRPr="00E8461E">
        <w:rPr>
          <w:lang w:val="en-GB"/>
        </w:rPr>
        <w:t>.</w:t>
      </w:r>
    </w:p>
    <w:p w14:paraId="7CA8DA41" w14:textId="42B6E364" w:rsidR="004C7C12" w:rsidRPr="00E8461E" w:rsidRDefault="001C4155" w:rsidP="001C4155">
      <w:pPr>
        <w:rPr>
          <w:rStyle w:val="Strong"/>
        </w:rPr>
      </w:pPr>
      <w:r w:rsidRPr="00E8461E">
        <w:rPr>
          <w:rStyle w:val="Strong"/>
        </w:rPr>
        <w:lastRenderedPageBreak/>
        <w:t xml:space="preserve">Principle </w:t>
      </w:r>
      <w:r w:rsidR="00576EA1" w:rsidRPr="00E8461E">
        <w:rPr>
          <w:rStyle w:val="Strong"/>
        </w:rPr>
        <w:t>5</w:t>
      </w:r>
      <w:r w:rsidR="00177E4E" w:rsidRPr="00E8461E">
        <w:rPr>
          <w:rStyle w:val="Strong"/>
        </w:rPr>
        <w:t>:</w:t>
      </w:r>
      <w:r w:rsidRPr="00E8461E">
        <w:rPr>
          <w:rStyle w:val="Strong"/>
        </w:rPr>
        <w:t xml:space="preserve"> Evidence-</w:t>
      </w:r>
      <w:r w:rsidR="006F48D4" w:rsidRPr="00E8461E">
        <w:rPr>
          <w:rStyle w:val="Strong"/>
        </w:rPr>
        <w:t>Informed</w:t>
      </w:r>
      <w:r w:rsidRPr="00E8461E">
        <w:rPr>
          <w:rStyle w:val="Strong"/>
        </w:rPr>
        <w:t xml:space="preserve"> Policymaking</w:t>
      </w:r>
      <w:r w:rsidR="00177E4E" w:rsidRPr="00E8461E">
        <w:rPr>
          <w:rStyle w:val="Strong"/>
        </w:rPr>
        <w:t>.</w:t>
      </w:r>
      <w:r w:rsidR="001043B3" w:rsidRPr="00E8461E">
        <w:rPr>
          <w:rStyle w:val="Strong"/>
        </w:rPr>
        <w:t xml:space="preserve"> The response to climate change must be based on the best available data, </w:t>
      </w:r>
      <w:proofErr w:type="gramStart"/>
      <w:r w:rsidR="001043B3" w:rsidRPr="00E8461E">
        <w:rPr>
          <w:rStyle w:val="Strong"/>
        </w:rPr>
        <w:t>evidence</w:t>
      </w:r>
      <w:proofErr w:type="gramEnd"/>
      <w:r w:rsidR="001043B3" w:rsidRPr="00E8461E">
        <w:rPr>
          <w:rStyle w:val="Strong"/>
        </w:rPr>
        <w:t xml:space="preserve"> and research – but we must also be willing to take action on a prudent and precautionary basis in the face of uncertainty and incomplete information.</w:t>
      </w:r>
    </w:p>
    <w:p w14:paraId="2F622581" w14:textId="0A196DEF" w:rsidR="004403D0" w:rsidRPr="00E8461E" w:rsidRDefault="006601E7" w:rsidP="004C3101">
      <w:pPr>
        <w:rPr>
          <w:lang w:val="en-GB"/>
        </w:rPr>
      </w:pPr>
      <w:r w:rsidRPr="00E8461E">
        <w:rPr>
          <w:lang w:val="en-GB"/>
        </w:rPr>
        <w:t xml:space="preserve">Effective policymaking requires </w:t>
      </w:r>
      <w:r w:rsidR="007F4AAC" w:rsidRPr="00E8461E">
        <w:rPr>
          <w:lang w:val="en-GB"/>
        </w:rPr>
        <w:t xml:space="preserve">the </w:t>
      </w:r>
      <w:r w:rsidRPr="00E8461E">
        <w:rPr>
          <w:lang w:val="en-GB"/>
        </w:rPr>
        <w:t xml:space="preserve">consideration of existing robust scientific evidence, expert </w:t>
      </w:r>
      <w:proofErr w:type="gramStart"/>
      <w:r w:rsidRPr="00E8461E">
        <w:rPr>
          <w:lang w:val="en-GB"/>
        </w:rPr>
        <w:t>guidance</w:t>
      </w:r>
      <w:proofErr w:type="gramEnd"/>
      <w:r w:rsidRPr="00E8461E">
        <w:rPr>
          <w:lang w:val="en-GB"/>
        </w:rPr>
        <w:t xml:space="preserve"> and best practice</w:t>
      </w:r>
      <w:r w:rsidR="00940688" w:rsidRPr="00E8461E">
        <w:rPr>
          <w:lang w:val="en-GB"/>
        </w:rPr>
        <w:t xml:space="preserve"> nationally and internationally</w:t>
      </w:r>
      <w:r w:rsidRPr="00E8461E">
        <w:rPr>
          <w:lang w:val="en-GB"/>
        </w:rPr>
        <w:t>.</w:t>
      </w:r>
      <w:r w:rsidR="00BF4B1D" w:rsidRPr="00E8461E">
        <w:rPr>
          <w:lang w:val="en-GB"/>
        </w:rPr>
        <w:t xml:space="preserve"> </w:t>
      </w:r>
      <w:r w:rsidR="001043B3" w:rsidRPr="00E8461E">
        <w:rPr>
          <w:lang w:val="en-GB"/>
        </w:rPr>
        <w:t xml:space="preserve">Where possible, resources </w:t>
      </w:r>
      <w:r w:rsidR="005333B5" w:rsidRPr="00E8461E">
        <w:rPr>
          <w:lang w:val="en-GB"/>
        </w:rPr>
        <w:t>should</w:t>
      </w:r>
      <w:r w:rsidR="001043B3" w:rsidRPr="00E8461E">
        <w:rPr>
          <w:lang w:val="en-GB"/>
        </w:rPr>
        <w:t xml:space="preserve"> be allocated to maximise population health gains, </w:t>
      </w:r>
      <w:r w:rsidRPr="00E8461E">
        <w:rPr>
          <w:lang w:val="en-GB"/>
        </w:rPr>
        <w:t xml:space="preserve">in line with the principles of cost-effectiveness analysis, </w:t>
      </w:r>
      <w:r w:rsidR="001043B3" w:rsidRPr="00E8461E">
        <w:rPr>
          <w:lang w:val="en-GB"/>
        </w:rPr>
        <w:t>while also taking account of health inequities and rights-based approaches.</w:t>
      </w:r>
      <w:bookmarkStart w:id="38" w:name="_Toc149909974"/>
    </w:p>
    <w:p w14:paraId="108DC0F6" w14:textId="77777777" w:rsidR="00A51557" w:rsidRPr="00E8461E" w:rsidRDefault="009B7AB2" w:rsidP="00CE2599">
      <w:pPr>
        <w:pStyle w:val="Heading2"/>
      </w:pPr>
      <w:bookmarkStart w:id="39" w:name="_Toc151999617"/>
      <w:r w:rsidRPr="00E8461E">
        <w:t>2</w:t>
      </w:r>
      <w:r w:rsidR="005D3A59" w:rsidRPr="00E8461E">
        <w:t xml:space="preserve">.3 </w:t>
      </w:r>
      <w:r w:rsidR="00993B69" w:rsidRPr="00E8461E">
        <w:t xml:space="preserve">First Nations </w:t>
      </w:r>
      <w:r w:rsidR="00752229" w:rsidRPr="00E8461E">
        <w:t>people and climate change</w:t>
      </w:r>
      <w:bookmarkEnd w:id="39"/>
    </w:p>
    <w:p w14:paraId="293064ED" w14:textId="1DF8E5B8" w:rsidR="00A51557" w:rsidRPr="00E8461E" w:rsidRDefault="00A51557" w:rsidP="00A51557">
      <w:pPr>
        <w:rPr>
          <w:lang w:val="en-GB"/>
        </w:rPr>
      </w:pPr>
      <w:r w:rsidRPr="00E8461E">
        <w:rPr>
          <w:lang w:val="en-GB"/>
        </w:rPr>
        <w:t xml:space="preserve">First Nations people have a holistic understanding of health and wellbeing. The </w:t>
      </w:r>
      <w:proofErr w:type="spellStart"/>
      <w:r w:rsidRPr="00E8461E">
        <w:rPr>
          <w:lang w:val="en-GB"/>
        </w:rPr>
        <w:t>Lowitja</w:t>
      </w:r>
      <w:proofErr w:type="spellEnd"/>
      <w:r w:rsidRPr="00E8461E">
        <w:rPr>
          <w:lang w:val="en-GB"/>
        </w:rPr>
        <w:t xml:space="preserve"> Institute defines this understanding as the awareness that “good health is dependent on respectful and reciprocal relationships to Country, culture, spirituality, community and family.”</w:t>
      </w:r>
      <w:r w:rsidRPr="00E8461E">
        <w:rPr>
          <w:rStyle w:val="EndnoteReference"/>
          <w:lang w:val="en-GB"/>
        </w:rPr>
        <w:endnoteReference w:id="16"/>
      </w:r>
      <w:r w:rsidRPr="00E8461E">
        <w:rPr>
          <w:lang w:val="en-GB"/>
        </w:rPr>
        <w:t xml:space="preserve"> First Nations people care for Country through sustainable management of land and resources, enabled by knowledge developed over tens of thousands of years.</w:t>
      </w:r>
      <w:r w:rsidRPr="00E8461E">
        <w:rPr>
          <w:rStyle w:val="EndnoteReference"/>
          <w:lang w:val="en-GB"/>
        </w:rPr>
        <w:endnoteReference w:id="17"/>
      </w:r>
    </w:p>
    <w:p w14:paraId="7091851B" w14:textId="19AC3EAB" w:rsidR="001A0582" w:rsidRPr="00E8461E" w:rsidRDefault="001A0582" w:rsidP="006D7EDA">
      <w:pPr>
        <w:pBdr>
          <w:top w:val="dashed" w:sz="4" w:space="1" w:color="008A95" w:themeColor="accent1"/>
          <w:bottom w:val="dashed" w:sz="4" w:space="1" w:color="008A95" w:themeColor="accent1"/>
        </w:pBdr>
        <w:rPr>
          <w:lang w:val="en-GB"/>
        </w:rPr>
      </w:pPr>
      <w:r w:rsidRPr="00E8461E">
        <w:rPr>
          <w:bCs/>
          <w:sz w:val="28"/>
          <w:szCs w:val="28"/>
          <w:lang w:val="en-GB"/>
        </w:rPr>
        <w:t>“Healthy Country and healthy people go hand in hand.”</w:t>
      </w:r>
      <w:r w:rsidRPr="00E8461E">
        <w:rPr>
          <w:b/>
          <w:sz w:val="28"/>
          <w:szCs w:val="28"/>
          <w:lang w:val="en-GB"/>
        </w:rPr>
        <w:t xml:space="preserve"> </w:t>
      </w:r>
      <w:r w:rsidRPr="00E8461E">
        <w:rPr>
          <w:b/>
          <w:lang w:val="en-GB"/>
        </w:rPr>
        <w:br/>
      </w:r>
      <w:r w:rsidRPr="00E8461E">
        <w:rPr>
          <w:bCs/>
          <w:lang w:val="en-GB"/>
        </w:rPr>
        <w:t xml:space="preserve">– </w:t>
      </w:r>
      <w:r w:rsidRPr="00E8461E">
        <w:rPr>
          <w:b/>
          <w:lang w:val="en-GB"/>
        </w:rPr>
        <w:t xml:space="preserve">Maddison Miller, </w:t>
      </w:r>
      <w:proofErr w:type="spellStart"/>
      <w:r w:rsidRPr="00E8461E">
        <w:rPr>
          <w:b/>
          <w:lang w:val="en-GB"/>
        </w:rPr>
        <w:t>Dharug</w:t>
      </w:r>
      <w:proofErr w:type="spellEnd"/>
      <w:r w:rsidRPr="00E8461E">
        <w:rPr>
          <w:b/>
          <w:lang w:val="en-GB"/>
        </w:rPr>
        <w:t xml:space="preserve"> woman and Lecturer in Ecology Knowledges, University of Melbourne</w:t>
      </w:r>
    </w:p>
    <w:p w14:paraId="105377E7" w14:textId="5CB4D9D2" w:rsidR="00A51557" w:rsidRPr="00E8461E" w:rsidRDefault="00A51557" w:rsidP="00A51557">
      <w:pPr>
        <w:rPr>
          <w:lang w:val="en-GB"/>
        </w:rPr>
      </w:pPr>
      <w:r w:rsidRPr="00E8461E">
        <w:rPr>
          <w:lang w:val="en-GB"/>
        </w:rPr>
        <w:t>The Intergovernmental Panel on Climate Change recognises colonisation is a key driver of climate change.</w:t>
      </w:r>
      <w:r w:rsidRPr="00E8461E">
        <w:rPr>
          <w:rStyle w:val="EndnoteReference"/>
          <w:lang w:val="en-GB"/>
        </w:rPr>
        <w:endnoteReference w:id="18"/>
      </w:r>
      <w:r w:rsidRPr="00E8461E">
        <w:rPr>
          <w:lang w:val="en-GB"/>
        </w:rPr>
        <w:t xml:space="preserve"> Colonisation disrupted First Nation people’s connection to Country by dispossessing them of their lands and interrupting inter-generational transfer of knowledge. Climate change affects First Nations people’s health through </w:t>
      </w:r>
      <w:r w:rsidR="00F84AD3" w:rsidRPr="00E8461E">
        <w:rPr>
          <w:lang w:val="en-GB"/>
        </w:rPr>
        <w:t xml:space="preserve">its </w:t>
      </w:r>
      <w:r w:rsidRPr="00E8461E">
        <w:rPr>
          <w:lang w:val="en-GB"/>
        </w:rPr>
        <w:t>impacts on the cultural and social determinants of health, including connection to Country, housing, infrastructure, and food and water security.</w:t>
      </w:r>
      <w:r w:rsidR="00283675" w:rsidRPr="00E8461E">
        <w:rPr>
          <w:lang w:val="en-GB"/>
        </w:rPr>
        <w:t xml:space="preserve"> </w:t>
      </w:r>
      <w:r w:rsidR="00B65CD8" w:rsidRPr="00E8461E">
        <w:rPr>
          <w:lang w:val="en-GB"/>
        </w:rPr>
        <w:t xml:space="preserve">Extreme weather events, loss of biodiversity, and </w:t>
      </w:r>
      <w:r w:rsidR="00FA6D1B" w:rsidRPr="00E8461E">
        <w:rPr>
          <w:lang w:val="en-GB"/>
        </w:rPr>
        <w:t xml:space="preserve">the </w:t>
      </w:r>
      <w:r w:rsidR="00B65CD8" w:rsidRPr="00E8461E">
        <w:rPr>
          <w:lang w:val="en-GB"/>
        </w:rPr>
        <w:t xml:space="preserve">destruction of Country caused by climate change can adversely impact First Nation people’s physical, </w:t>
      </w:r>
      <w:proofErr w:type="gramStart"/>
      <w:r w:rsidR="00B65CD8" w:rsidRPr="00E8461E">
        <w:rPr>
          <w:lang w:val="en-GB"/>
        </w:rPr>
        <w:t>social</w:t>
      </w:r>
      <w:proofErr w:type="gramEnd"/>
      <w:r w:rsidR="00B65CD8" w:rsidRPr="00E8461E">
        <w:rPr>
          <w:lang w:val="en-GB"/>
        </w:rPr>
        <w:t xml:space="preserve"> and emotional wellbeing. </w:t>
      </w:r>
      <w:r w:rsidR="00A8675F" w:rsidRPr="00E8461E">
        <w:rPr>
          <w:lang w:val="en-GB"/>
        </w:rPr>
        <w:t>Many First Nations people are concerned about the impact of climate change on their ability to practice culture and ceremony and maintain the connections to Country vital to First Nations</w:t>
      </w:r>
      <w:r w:rsidR="00C67B89" w:rsidRPr="00E8461E">
        <w:rPr>
          <w:lang w:val="en-GB"/>
        </w:rPr>
        <w:t xml:space="preserve"> people’s</w:t>
      </w:r>
      <w:r w:rsidR="00A8675F" w:rsidRPr="00E8461E">
        <w:rPr>
          <w:lang w:val="en-GB"/>
        </w:rPr>
        <w:t xml:space="preserve"> health and wellbeing. </w:t>
      </w:r>
      <w:r w:rsidRPr="00E8461E" w:rsidDel="009E5C15">
        <w:rPr>
          <w:lang w:val="en-GB"/>
        </w:rPr>
        <w:t xml:space="preserve">Existing </w:t>
      </w:r>
      <w:r w:rsidRPr="00E8461E">
        <w:rPr>
          <w:lang w:val="en-GB"/>
        </w:rPr>
        <w:t>socio-economic disadvantage and high rates of chronic disease, rooted in colonisation, exacerbate the impact of climate change on the health of First Nations people and constrain First Nations communities’ ability to adapt to climate change.</w:t>
      </w:r>
      <w:r w:rsidR="006B62B7" w:rsidRPr="00E8461E">
        <w:rPr>
          <w:lang w:val="en-GB"/>
        </w:rPr>
        <w:t xml:space="preserve"> </w:t>
      </w:r>
      <w:r w:rsidR="00920746" w:rsidRPr="00E8461E">
        <w:rPr>
          <w:lang w:val="en-GB"/>
        </w:rPr>
        <w:t>The impacts of climate change on First Nations health are diverse, requiring c</w:t>
      </w:r>
      <w:r w:rsidR="006B62B7" w:rsidRPr="00E8461E">
        <w:rPr>
          <w:lang w:val="en-GB"/>
        </w:rPr>
        <w:t>ommunity-led and place-based solutions</w:t>
      </w:r>
      <w:r w:rsidR="00920746" w:rsidRPr="00E8461E">
        <w:rPr>
          <w:lang w:val="en-GB"/>
        </w:rPr>
        <w:t>.</w:t>
      </w:r>
    </w:p>
    <w:p w14:paraId="3C427E84" w14:textId="4FFCE372" w:rsidR="008B27E5" w:rsidRPr="00E8461E" w:rsidRDefault="00A51557" w:rsidP="008B27E5">
      <w:pPr>
        <w:tabs>
          <w:tab w:val="left" w:pos="4395"/>
        </w:tabs>
        <w:rPr>
          <w:lang w:val="en-GB"/>
        </w:rPr>
      </w:pPr>
      <w:r w:rsidRPr="00E8461E">
        <w:rPr>
          <w:lang w:val="en-GB"/>
        </w:rPr>
        <w:t xml:space="preserve">First Nations people continue to draw on traditional knowledge and practices to keep communities and Country healthy, and contribute to climate change mitigation, adaptation, and disaster preparedness and response. </w:t>
      </w:r>
      <w:r w:rsidR="008B27E5" w:rsidRPr="00E8461E">
        <w:rPr>
          <w:lang w:val="en-GB"/>
        </w:rPr>
        <w:t xml:space="preserve">First Nations land and sea management practices are based on deep and nuanced knowledges developed over tens of thousands of years of close observation and sustained custodianship of Country. </w:t>
      </w:r>
      <w:r w:rsidR="00DA2FB1" w:rsidRPr="00E8461E">
        <w:rPr>
          <w:lang w:val="en-GB"/>
        </w:rPr>
        <w:t>Indigenous</w:t>
      </w:r>
      <w:r w:rsidRPr="00E8461E">
        <w:rPr>
          <w:lang w:val="en-GB"/>
        </w:rPr>
        <w:t xml:space="preserve"> Rangers use traditional land </w:t>
      </w:r>
      <w:r w:rsidR="00752229" w:rsidRPr="00E8461E">
        <w:rPr>
          <w:lang w:val="en-GB"/>
        </w:rPr>
        <w:t xml:space="preserve">and sea </w:t>
      </w:r>
      <w:r w:rsidRPr="00E8461E">
        <w:rPr>
          <w:lang w:val="en-GB"/>
        </w:rPr>
        <w:t>management practices to protect biodiversity, mitigate bushfires and maintain cultural sites.</w:t>
      </w:r>
      <w:r w:rsidRPr="00E8461E">
        <w:rPr>
          <w:rStyle w:val="EndnoteReference"/>
          <w:lang w:val="en-GB"/>
        </w:rPr>
        <w:endnoteReference w:id="19"/>
      </w:r>
      <w:r w:rsidRPr="00E8461E">
        <w:rPr>
          <w:lang w:val="en-GB"/>
        </w:rPr>
        <w:t xml:space="preserve"> </w:t>
      </w:r>
      <w:r w:rsidR="007447C9" w:rsidRPr="00E8461E">
        <w:rPr>
          <w:lang w:val="en-GB"/>
        </w:rPr>
        <w:t>C</w:t>
      </w:r>
      <w:r w:rsidR="00A96F99" w:rsidRPr="00E8461E">
        <w:rPr>
          <w:lang w:val="en-GB"/>
        </w:rPr>
        <w:t xml:space="preserve">ultural burning is one form of land management practiced by First Nations people which is increasingly being recognised for its ability to reduce greenhouse gas emissions. </w:t>
      </w:r>
      <w:r w:rsidR="003A4BAF" w:rsidRPr="00E8461E">
        <w:rPr>
          <w:lang w:val="en-GB"/>
        </w:rPr>
        <w:t xml:space="preserve">Cultural burning involves ‘cool’ or small, frequent and </w:t>
      </w:r>
      <w:proofErr w:type="gramStart"/>
      <w:r w:rsidR="003A4BAF" w:rsidRPr="00E8461E">
        <w:rPr>
          <w:lang w:val="en-GB"/>
        </w:rPr>
        <w:t>low-intensity</w:t>
      </w:r>
      <w:proofErr w:type="gramEnd"/>
      <w:r w:rsidR="003A4BAF" w:rsidRPr="00E8461E">
        <w:rPr>
          <w:lang w:val="en-GB"/>
        </w:rPr>
        <w:t xml:space="preserve"> burns that are conducted in the early dry season to reduce the intensity and scale of wildfire. </w:t>
      </w:r>
      <w:r w:rsidR="00204576" w:rsidRPr="00E8461E">
        <w:rPr>
          <w:lang w:val="en-GB"/>
        </w:rPr>
        <w:t xml:space="preserve">Cultural burning mitigates greenhouse gas emissions by reducing the number and severity of fires, </w:t>
      </w:r>
      <w:r w:rsidR="00294286" w:rsidRPr="00E8461E">
        <w:rPr>
          <w:lang w:val="en-GB"/>
        </w:rPr>
        <w:t xml:space="preserve">as well </w:t>
      </w:r>
      <w:r w:rsidR="00043319" w:rsidRPr="00E8461E">
        <w:rPr>
          <w:lang w:val="en-GB"/>
        </w:rPr>
        <w:t>as</w:t>
      </w:r>
      <w:r w:rsidR="00294286" w:rsidRPr="00E8461E">
        <w:rPr>
          <w:lang w:val="en-GB"/>
        </w:rPr>
        <w:t xml:space="preserve"> </w:t>
      </w:r>
      <w:r w:rsidR="00043319" w:rsidRPr="00E8461E">
        <w:rPr>
          <w:lang w:val="en-GB"/>
        </w:rPr>
        <w:t>by</w:t>
      </w:r>
      <w:r w:rsidR="00204576" w:rsidRPr="00E8461E">
        <w:rPr>
          <w:lang w:val="en-GB"/>
        </w:rPr>
        <w:t xml:space="preserve"> protecting biodiversity and supporting carbon sequestration.</w:t>
      </w:r>
    </w:p>
    <w:p w14:paraId="38181D8E" w14:textId="625AC029" w:rsidR="00BA055E" w:rsidRPr="00E8461E" w:rsidRDefault="00A51557" w:rsidP="00A51557">
      <w:pPr>
        <w:rPr>
          <w:lang w:val="en-GB"/>
        </w:rPr>
      </w:pPr>
      <w:r w:rsidRPr="00E8461E">
        <w:rPr>
          <w:lang w:val="en-GB"/>
        </w:rPr>
        <w:t xml:space="preserve">Consistent with a Health in All Policies approach, the Australian Government recognises the importance of working across policy areas in partnership with First Nations people to address the impact of climate </w:t>
      </w:r>
      <w:r w:rsidRPr="00E8461E">
        <w:rPr>
          <w:lang w:val="en-GB"/>
        </w:rPr>
        <w:lastRenderedPageBreak/>
        <w:t>change on the social and cultural determinants of health. The cultural determinants of health encompass connection to Country, community and family, the ability to practice culture and language, and self-determination. Centring the cultural determinants of health in policy is especially important to strengthen the health outcomes of First Nations people.</w:t>
      </w:r>
      <w:r w:rsidRPr="00E8461E">
        <w:rPr>
          <w:rStyle w:val="EndnoteReference"/>
          <w:lang w:val="en-GB"/>
        </w:rPr>
        <w:endnoteReference w:id="20"/>
      </w:r>
      <w:r w:rsidRPr="00E8461E">
        <w:rPr>
          <w:lang w:val="en-GB"/>
        </w:rPr>
        <w:t xml:space="preserve"> Feedback from the Strategy consultation process emphasised the need for collaborative, multi-sectoral approaches to climate adaptation and mitigation which empower First Nations people’s wisdom and leadership and are co-designed in partnership with First Nations communities</w:t>
      </w:r>
      <w:r w:rsidR="0036630C" w:rsidRPr="00E8461E">
        <w:rPr>
          <w:lang w:val="en-GB"/>
        </w:rPr>
        <w:t xml:space="preserve"> in line with </w:t>
      </w:r>
      <w:r w:rsidR="008C476E" w:rsidRPr="00E8461E">
        <w:rPr>
          <w:lang w:val="en-GB"/>
        </w:rPr>
        <w:t xml:space="preserve">the Priority Reforms under </w:t>
      </w:r>
      <w:r w:rsidR="00FD1717" w:rsidRPr="00E8461E">
        <w:rPr>
          <w:lang w:val="en-GB"/>
        </w:rPr>
        <w:t>the National Agreement on Closing the Gap.</w:t>
      </w:r>
    </w:p>
    <w:p w14:paraId="1032A914" w14:textId="77777777" w:rsidR="0FCD74EE" w:rsidRPr="00E8461E" w:rsidRDefault="009B7AB2" w:rsidP="00CE2599">
      <w:pPr>
        <w:pStyle w:val="Heading2"/>
      </w:pPr>
      <w:bookmarkStart w:id="40" w:name="_Toc151999618"/>
      <w:r w:rsidRPr="00E8461E">
        <w:t>2</w:t>
      </w:r>
      <w:r w:rsidR="005D3A59" w:rsidRPr="00E8461E">
        <w:t>.</w:t>
      </w:r>
      <w:r w:rsidR="00A51557" w:rsidRPr="00E8461E">
        <w:t>4</w:t>
      </w:r>
      <w:r w:rsidR="005D3A59" w:rsidRPr="00E8461E">
        <w:t xml:space="preserve"> </w:t>
      </w:r>
      <w:bookmarkStart w:id="41" w:name="_Toc149918439"/>
      <w:r w:rsidR="0E8E3C36" w:rsidRPr="00E8461E">
        <w:t xml:space="preserve">Priority </w:t>
      </w:r>
      <w:r w:rsidR="00566E66" w:rsidRPr="00E8461E">
        <w:t>p</w:t>
      </w:r>
      <w:r w:rsidR="0E8E3C36" w:rsidRPr="00E8461E">
        <w:t>opulations</w:t>
      </w:r>
      <w:bookmarkEnd w:id="38"/>
      <w:bookmarkEnd w:id="41"/>
      <w:bookmarkEnd w:id="40"/>
    </w:p>
    <w:p w14:paraId="028D2B9A" w14:textId="77777777" w:rsidR="00C40905" w:rsidRPr="00E8461E" w:rsidRDefault="0E8E3C36"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Certain population groups and communities are significantly more </w:t>
      </w:r>
      <w:r w:rsidR="00623B7A" w:rsidRPr="00E8461E">
        <w:rPr>
          <w:rFonts w:ascii="Calibri" w:eastAsia="Calibri" w:hAnsi="Calibri" w:cs="Calibri"/>
          <w:color w:val="000000" w:themeColor="text1"/>
        </w:rPr>
        <w:t>at risk of</w:t>
      </w:r>
      <w:r w:rsidRPr="00E8461E">
        <w:rPr>
          <w:rFonts w:ascii="Calibri" w:eastAsia="Calibri" w:hAnsi="Calibri" w:cs="Calibri"/>
          <w:color w:val="000000" w:themeColor="text1"/>
        </w:rPr>
        <w:t xml:space="preserve"> negative health effects </w:t>
      </w:r>
      <w:r w:rsidR="004F1A83" w:rsidRPr="00E8461E">
        <w:rPr>
          <w:rFonts w:ascii="Calibri" w:eastAsia="Calibri" w:hAnsi="Calibri" w:cs="Calibri"/>
          <w:color w:val="000000" w:themeColor="text1"/>
        </w:rPr>
        <w:t xml:space="preserve">associated with </w:t>
      </w:r>
      <w:r w:rsidRPr="00E8461E">
        <w:rPr>
          <w:rFonts w:ascii="Calibri" w:eastAsia="Calibri" w:hAnsi="Calibri" w:cs="Calibri"/>
          <w:color w:val="000000" w:themeColor="text1"/>
        </w:rPr>
        <w:t>climate</w:t>
      </w:r>
      <w:r w:rsidR="004F1A83" w:rsidRPr="00E8461E">
        <w:rPr>
          <w:rFonts w:ascii="Calibri" w:eastAsia="Calibri" w:hAnsi="Calibri" w:cs="Calibri"/>
          <w:color w:val="000000" w:themeColor="text1"/>
        </w:rPr>
        <w:t xml:space="preserve"> change</w:t>
      </w:r>
      <w:r w:rsidRPr="00E8461E">
        <w:rPr>
          <w:rFonts w:ascii="Calibri" w:eastAsia="Calibri" w:hAnsi="Calibri" w:cs="Calibri"/>
          <w:color w:val="000000" w:themeColor="text1"/>
        </w:rPr>
        <w:t xml:space="preserve"> </w:t>
      </w:r>
      <w:r w:rsidR="00C138D4" w:rsidRPr="00E8461E">
        <w:rPr>
          <w:rFonts w:ascii="Calibri" w:eastAsia="Calibri" w:hAnsi="Calibri" w:cs="Calibri"/>
          <w:color w:val="000000" w:themeColor="text1"/>
        </w:rPr>
        <w:t>and</w:t>
      </w:r>
      <w:r w:rsidRPr="00E8461E">
        <w:rPr>
          <w:rFonts w:ascii="Calibri" w:eastAsia="Calibri" w:hAnsi="Calibri" w:cs="Calibri"/>
          <w:color w:val="000000" w:themeColor="text1"/>
        </w:rPr>
        <w:t xml:space="preserve"> have been identified as priority groups in this </w:t>
      </w:r>
      <w:r w:rsidR="00F91B18" w:rsidRPr="00E8461E">
        <w:rPr>
          <w:rFonts w:ascii="Calibri" w:eastAsia="Calibri" w:hAnsi="Calibri" w:cs="Calibri"/>
          <w:color w:val="000000" w:themeColor="text1"/>
        </w:rPr>
        <w:t>S</w:t>
      </w:r>
      <w:r w:rsidRPr="00E8461E">
        <w:rPr>
          <w:rFonts w:ascii="Calibri" w:eastAsia="Calibri" w:hAnsi="Calibri" w:cs="Calibri"/>
          <w:color w:val="000000" w:themeColor="text1"/>
        </w:rPr>
        <w:t>trategy.</w:t>
      </w:r>
    </w:p>
    <w:p w14:paraId="14C91416" w14:textId="77777777" w:rsidR="00451F64" w:rsidRPr="00E8461E" w:rsidRDefault="00BF6D28" w:rsidP="742C1120">
      <w:pPr>
        <w:rPr>
          <w:rFonts w:ascii="Calibri" w:eastAsia="Calibri" w:hAnsi="Calibri" w:cs="Calibri"/>
          <w:color w:val="000000" w:themeColor="text1"/>
        </w:rPr>
      </w:pPr>
      <w:r w:rsidRPr="00E8461E">
        <w:rPr>
          <w:rFonts w:ascii="Calibri" w:eastAsia="Calibri" w:hAnsi="Calibri" w:cs="Calibri"/>
          <w:color w:val="000000" w:themeColor="text1"/>
        </w:rPr>
        <w:t>The Australian Government</w:t>
      </w:r>
      <w:r w:rsidR="0E8E3C36" w:rsidRPr="00E8461E">
        <w:rPr>
          <w:rFonts w:ascii="Calibri" w:eastAsia="Calibri" w:hAnsi="Calibri" w:cs="Calibri"/>
          <w:color w:val="000000" w:themeColor="text1"/>
        </w:rPr>
        <w:t xml:space="preserve"> </w:t>
      </w:r>
      <w:r w:rsidR="00490862" w:rsidRPr="00E8461E">
        <w:rPr>
          <w:rFonts w:ascii="Calibri" w:eastAsia="Calibri" w:hAnsi="Calibri" w:cs="Calibri"/>
          <w:color w:val="000000" w:themeColor="text1"/>
        </w:rPr>
        <w:t>acknowledges</w:t>
      </w:r>
      <w:r w:rsidR="0E8E3C36" w:rsidRPr="00E8461E">
        <w:rPr>
          <w:rFonts w:ascii="Calibri" w:eastAsia="Calibri" w:hAnsi="Calibri" w:cs="Calibri"/>
          <w:color w:val="000000" w:themeColor="text1"/>
        </w:rPr>
        <w:t xml:space="preserve"> that these groups and communities should be empowered and prioritised in </w:t>
      </w:r>
      <w:r w:rsidR="00FC13F1" w:rsidRPr="00E8461E">
        <w:rPr>
          <w:rFonts w:ascii="Calibri" w:eastAsia="Calibri" w:hAnsi="Calibri" w:cs="Calibri"/>
          <w:color w:val="000000" w:themeColor="text1"/>
        </w:rPr>
        <w:t xml:space="preserve">the development and </w:t>
      </w:r>
      <w:r w:rsidR="0E8E3C36" w:rsidRPr="00E8461E">
        <w:rPr>
          <w:rFonts w:ascii="Calibri" w:eastAsia="Calibri" w:hAnsi="Calibri" w:cs="Calibri"/>
          <w:color w:val="000000" w:themeColor="text1"/>
        </w:rPr>
        <w:t>delivery</w:t>
      </w:r>
      <w:r w:rsidR="00FC13F1" w:rsidRPr="00E8461E">
        <w:rPr>
          <w:rFonts w:ascii="Calibri" w:eastAsia="Calibri" w:hAnsi="Calibri" w:cs="Calibri"/>
          <w:color w:val="000000" w:themeColor="text1"/>
        </w:rPr>
        <w:t xml:space="preserve"> of </w:t>
      </w:r>
      <w:r w:rsidR="00354D20" w:rsidRPr="00E8461E">
        <w:rPr>
          <w:rFonts w:ascii="Calibri" w:eastAsia="Calibri" w:hAnsi="Calibri" w:cs="Calibri"/>
          <w:color w:val="000000" w:themeColor="text1"/>
        </w:rPr>
        <w:t>the initiatives o</w:t>
      </w:r>
      <w:r w:rsidRPr="00E8461E">
        <w:rPr>
          <w:rFonts w:ascii="Calibri" w:eastAsia="Calibri" w:hAnsi="Calibri" w:cs="Calibri"/>
          <w:color w:val="000000" w:themeColor="text1"/>
        </w:rPr>
        <w:t>utlined in this Strategy</w:t>
      </w:r>
      <w:r w:rsidR="0E8E3C36" w:rsidRPr="00E8461E">
        <w:rPr>
          <w:rFonts w:ascii="Calibri" w:eastAsia="Calibri" w:hAnsi="Calibri" w:cs="Calibri"/>
          <w:color w:val="000000" w:themeColor="text1"/>
        </w:rPr>
        <w:t xml:space="preserve">. Importantly, their unique perspectives </w:t>
      </w:r>
      <w:r w:rsidR="009134C7" w:rsidRPr="00E8461E">
        <w:rPr>
          <w:rFonts w:ascii="Calibri" w:eastAsia="Calibri" w:hAnsi="Calibri" w:cs="Calibri"/>
          <w:color w:val="000000" w:themeColor="text1"/>
        </w:rPr>
        <w:t xml:space="preserve">and strengths </w:t>
      </w:r>
      <w:r w:rsidR="0E8E3C36" w:rsidRPr="00E8461E">
        <w:rPr>
          <w:rFonts w:ascii="Calibri" w:eastAsia="Calibri" w:hAnsi="Calibri" w:cs="Calibri"/>
          <w:color w:val="000000" w:themeColor="text1"/>
        </w:rPr>
        <w:t xml:space="preserve">should be </w:t>
      </w:r>
      <w:proofErr w:type="gramStart"/>
      <w:r w:rsidR="0E8E3C36" w:rsidRPr="00E8461E">
        <w:rPr>
          <w:rFonts w:ascii="Calibri" w:eastAsia="Calibri" w:hAnsi="Calibri" w:cs="Calibri"/>
          <w:color w:val="000000" w:themeColor="text1"/>
        </w:rPr>
        <w:t>taken into account</w:t>
      </w:r>
      <w:proofErr w:type="gramEnd"/>
      <w:r w:rsidR="0E8E3C36" w:rsidRPr="00E8461E">
        <w:rPr>
          <w:rFonts w:ascii="Calibri" w:eastAsia="Calibri" w:hAnsi="Calibri" w:cs="Calibri"/>
          <w:color w:val="000000" w:themeColor="text1"/>
        </w:rPr>
        <w:t xml:space="preserve"> in assessing vulnerability,</w:t>
      </w:r>
      <w:r w:rsidR="002460EA" w:rsidRPr="00E8461E">
        <w:rPr>
          <w:rFonts w:ascii="Calibri" w:eastAsia="Calibri" w:hAnsi="Calibri" w:cs="Calibri"/>
          <w:color w:val="000000" w:themeColor="text1"/>
        </w:rPr>
        <w:t xml:space="preserve"> preparing for and responding to emergencies,</w:t>
      </w:r>
      <w:r w:rsidR="0E8E3C36" w:rsidRPr="00E8461E">
        <w:rPr>
          <w:rFonts w:ascii="Calibri" w:eastAsia="Calibri" w:hAnsi="Calibri" w:cs="Calibri"/>
          <w:color w:val="000000" w:themeColor="text1"/>
        </w:rPr>
        <w:t xml:space="preserve"> </w:t>
      </w:r>
      <w:r w:rsidR="00187587" w:rsidRPr="00E8461E">
        <w:rPr>
          <w:rFonts w:ascii="Calibri" w:eastAsia="Calibri" w:hAnsi="Calibri" w:cs="Calibri"/>
          <w:color w:val="000000" w:themeColor="text1"/>
        </w:rPr>
        <w:t>increasing</w:t>
      </w:r>
      <w:r w:rsidR="0E8E3C36" w:rsidRPr="00E8461E">
        <w:rPr>
          <w:rFonts w:ascii="Calibri" w:eastAsia="Calibri" w:hAnsi="Calibri" w:cs="Calibri"/>
          <w:color w:val="000000" w:themeColor="text1"/>
        </w:rPr>
        <w:t xml:space="preserve"> climate resilience and developing adaptation plans.</w:t>
      </w:r>
      <w:r w:rsidR="007D0915" w:rsidRPr="00E8461E">
        <w:rPr>
          <w:rFonts w:ascii="Calibri" w:eastAsia="Calibri" w:hAnsi="Calibri" w:cs="Calibri"/>
          <w:color w:val="000000" w:themeColor="text1"/>
        </w:rPr>
        <w:t xml:space="preserve"> </w:t>
      </w:r>
      <w:r w:rsidR="004B072D" w:rsidRPr="00E8461E">
        <w:rPr>
          <w:rFonts w:ascii="Calibri" w:eastAsia="Calibri" w:hAnsi="Calibri" w:cs="Calibri"/>
          <w:color w:val="000000" w:themeColor="text1"/>
        </w:rPr>
        <w:t xml:space="preserve">Their needs must also be considered </w:t>
      </w:r>
      <w:r w:rsidR="00957407" w:rsidRPr="00E8461E">
        <w:rPr>
          <w:rFonts w:ascii="Calibri" w:eastAsia="Calibri" w:hAnsi="Calibri" w:cs="Calibri"/>
          <w:color w:val="000000" w:themeColor="text1"/>
        </w:rPr>
        <w:t>in the development and implementation of action to reduce emissions from the health system.</w:t>
      </w:r>
    </w:p>
    <w:p w14:paraId="5FC4F855" w14:textId="77777777" w:rsidR="00451F64" w:rsidRPr="00E8461E" w:rsidRDefault="00D523E4"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As discussed above in </w:t>
      </w:r>
      <w:r w:rsidR="00DB64ED" w:rsidRPr="00E8461E">
        <w:rPr>
          <w:rFonts w:ascii="Calibri" w:eastAsia="Calibri" w:hAnsi="Calibri" w:cs="Calibri"/>
          <w:color w:val="000000" w:themeColor="text1"/>
        </w:rPr>
        <w:t xml:space="preserve">section </w:t>
      </w:r>
      <w:r w:rsidRPr="00E8461E">
        <w:rPr>
          <w:rFonts w:ascii="Calibri" w:eastAsia="Calibri" w:hAnsi="Calibri" w:cs="Calibri"/>
          <w:color w:val="000000" w:themeColor="text1"/>
        </w:rPr>
        <w:t>2.3,</w:t>
      </w:r>
      <w:r w:rsidR="0E8E3C36" w:rsidRPr="00E8461E">
        <w:rPr>
          <w:rFonts w:ascii="Calibri" w:eastAsia="Calibri" w:hAnsi="Calibri" w:cs="Calibri"/>
          <w:color w:val="000000" w:themeColor="text1"/>
        </w:rPr>
        <w:t xml:space="preserve"> </w:t>
      </w:r>
      <w:r w:rsidR="00C36338" w:rsidRPr="00E8461E">
        <w:rPr>
          <w:rFonts w:ascii="Calibri" w:eastAsia="Calibri" w:hAnsi="Calibri" w:cs="Calibri"/>
          <w:color w:val="000000" w:themeColor="text1"/>
        </w:rPr>
        <w:t>First Nations communities experience diverse impacts from climate change, and priorities vary across the country</w:t>
      </w:r>
      <w:r w:rsidR="0E8E3C36" w:rsidRPr="00E8461E">
        <w:rPr>
          <w:rFonts w:ascii="Calibri" w:eastAsia="Calibri" w:hAnsi="Calibri" w:cs="Calibri"/>
          <w:color w:val="000000" w:themeColor="text1"/>
        </w:rPr>
        <w:t>.</w:t>
      </w:r>
    </w:p>
    <w:p w14:paraId="2CE62CAF" w14:textId="77777777" w:rsidR="00C40905" w:rsidRPr="00E8461E" w:rsidRDefault="0E8E3C36"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Due to Australia’s diverse climatic zones and land use characteristics, certain communities are </w:t>
      </w:r>
      <w:r w:rsidR="003B4A50" w:rsidRPr="00E8461E">
        <w:rPr>
          <w:rFonts w:ascii="Calibri" w:eastAsia="Calibri" w:hAnsi="Calibri" w:cs="Calibri"/>
          <w:color w:val="000000" w:themeColor="text1"/>
        </w:rPr>
        <w:t xml:space="preserve">disproportionately </w:t>
      </w:r>
      <w:r w:rsidRPr="00E8461E">
        <w:rPr>
          <w:rFonts w:ascii="Calibri" w:eastAsia="Calibri" w:hAnsi="Calibri" w:cs="Calibri"/>
          <w:color w:val="000000" w:themeColor="text1"/>
        </w:rPr>
        <w:t>affected by climate-related health impacts. People living in tropical and subtropical climate</w:t>
      </w:r>
      <w:r w:rsidR="00B54F58" w:rsidRPr="00E8461E">
        <w:rPr>
          <w:rFonts w:ascii="Calibri" w:eastAsia="Calibri" w:hAnsi="Calibri" w:cs="Calibri"/>
          <w:color w:val="000000" w:themeColor="text1"/>
        </w:rPr>
        <w:t>s</w:t>
      </w:r>
      <w:r w:rsidRPr="00E8461E">
        <w:rPr>
          <w:rFonts w:ascii="Calibri" w:eastAsia="Calibri" w:hAnsi="Calibri" w:cs="Calibri"/>
          <w:color w:val="000000" w:themeColor="text1"/>
        </w:rPr>
        <w:t xml:space="preserve"> are at higher risk of exposure to high average temperatures and heatwaves that may </w:t>
      </w:r>
      <w:r w:rsidR="007525C3" w:rsidRPr="00E8461E">
        <w:rPr>
          <w:rFonts w:ascii="Calibri" w:eastAsia="Calibri" w:hAnsi="Calibri" w:cs="Calibri"/>
          <w:color w:val="000000" w:themeColor="text1"/>
        </w:rPr>
        <w:t>worsen mental health</w:t>
      </w:r>
      <w:r w:rsidRPr="00E8461E">
        <w:rPr>
          <w:rFonts w:ascii="Calibri" w:eastAsia="Calibri" w:hAnsi="Calibri" w:cs="Calibri"/>
          <w:color w:val="000000" w:themeColor="text1"/>
        </w:rPr>
        <w:t xml:space="preserve">, cardiovascular </w:t>
      </w:r>
      <w:proofErr w:type="gramStart"/>
      <w:r w:rsidRPr="00E8461E">
        <w:rPr>
          <w:rFonts w:ascii="Calibri" w:eastAsia="Calibri" w:hAnsi="Calibri" w:cs="Calibri"/>
          <w:color w:val="000000" w:themeColor="text1"/>
        </w:rPr>
        <w:t>disease</w:t>
      </w:r>
      <w:proofErr w:type="gramEnd"/>
      <w:r w:rsidRPr="00E8461E">
        <w:rPr>
          <w:rFonts w:ascii="Calibri" w:eastAsia="Calibri" w:hAnsi="Calibri" w:cs="Calibri"/>
          <w:color w:val="000000" w:themeColor="text1"/>
        </w:rPr>
        <w:t xml:space="preserve"> and renal disease</w:t>
      </w:r>
      <w:r w:rsidR="00306D0A" w:rsidRPr="00E8461E">
        <w:rPr>
          <w:rFonts w:ascii="Calibri" w:eastAsia="Calibri" w:hAnsi="Calibri" w:cs="Calibri"/>
          <w:color w:val="000000" w:themeColor="text1"/>
        </w:rPr>
        <w:t>.</w:t>
      </w:r>
      <w:r w:rsidR="007A78B2" w:rsidRPr="00E8461E">
        <w:rPr>
          <w:rStyle w:val="EndnoteReference"/>
          <w:rFonts w:ascii="Calibri" w:eastAsia="Calibri" w:hAnsi="Calibri" w:cs="Calibri"/>
          <w:color w:val="000000" w:themeColor="text1"/>
        </w:rPr>
        <w:endnoteReference w:id="21"/>
      </w:r>
      <w:r w:rsidR="0055300C" w:rsidRPr="00E8461E">
        <w:rPr>
          <w:rFonts w:ascii="Calibri" w:eastAsia="Calibri" w:hAnsi="Calibri" w:cs="Calibri"/>
          <w:color w:val="000000" w:themeColor="text1"/>
          <w:vertAlign w:val="superscript"/>
        </w:rPr>
        <w:t>,</w:t>
      </w:r>
      <w:r w:rsidR="00907F66" w:rsidRPr="00E8461E">
        <w:rPr>
          <w:rStyle w:val="EndnoteReference"/>
          <w:rFonts w:ascii="Calibri" w:eastAsia="Calibri" w:hAnsi="Calibri" w:cs="Calibri"/>
          <w:color w:val="000000" w:themeColor="text1"/>
        </w:rPr>
        <w:endnoteReference w:id="22"/>
      </w:r>
      <w:r w:rsidR="0055300C" w:rsidRPr="00E8461E">
        <w:rPr>
          <w:rFonts w:ascii="Calibri" w:eastAsia="Calibri" w:hAnsi="Calibri" w:cs="Calibri"/>
          <w:color w:val="000000" w:themeColor="text1"/>
          <w:vertAlign w:val="superscript"/>
        </w:rPr>
        <w:t>,</w:t>
      </w:r>
      <w:r w:rsidR="00907F66" w:rsidRPr="00E8461E">
        <w:rPr>
          <w:rStyle w:val="EndnoteReference"/>
          <w:rFonts w:ascii="Calibri" w:eastAsia="Calibri" w:hAnsi="Calibri" w:cs="Calibri"/>
          <w:color w:val="000000" w:themeColor="text1"/>
        </w:rPr>
        <w:endnoteReference w:id="23"/>
      </w:r>
      <w:r w:rsidRPr="00E8461E">
        <w:rPr>
          <w:rFonts w:ascii="Calibri" w:eastAsia="Calibri" w:hAnsi="Calibri" w:cs="Calibri"/>
          <w:color w:val="000000" w:themeColor="text1"/>
        </w:rPr>
        <w:t xml:space="preserve"> People living in urban areas are </w:t>
      </w:r>
      <w:r w:rsidR="00CA0638" w:rsidRPr="00E8461E">
        <w:rPr>
          <w:rFonts w:ascii="Calibri" w:eastAsia="Calibri" w:hAnsi="Calibri" w:cs="Calibri"/>
          <w:color w:val="000000" w:themeColor="text1"/>
        </w:rPr>
        <w:t>particularly exposed</w:t>
      </w:r>
      <w:r w:rsidR="00E32973" w:rsidRPr="00E8461E">
        <w:rPr>
          <w:rFonts w:ascii="Calibri" w:eastAsia="Calibri" w:hAnsi="Calibri" w:cs="Calibri"/>
          <w:color w:val="000000" w:themeColor="text1"/>
        </w:rPr>
        <w:t xml:space="preserve"> </w:t>
      </w:r>
      <w:r w:rsidRPr="00E8461E">
        <w:rPr>
          <w:rFonts w:ascii="Calibri" w:eastAsia="Calibri" w:hAnsi="Calibri" w:cs="Calibri"/>
          <w:color w:val="000000" w:themeColor="text1"/>
        </w:rPr>
        <w:t>to urban heat</w:t>
      </w:r>
      <w:r w:rsidR="00CA0638" w:rsidRPr="00E8461E">
        <w:rPr>
          <w:rFonts w:ascii="Calibri" w:eastAsia="Calibri" w:hAnsi="Calibri" w:cs="Calibri"/>
          <w:color w:val="000000" w:themeColor="text1"/>
        </w:rPr>
        <w:t>, and those</w:t>
      </w:r>
      <w:r w:rsidRPr="00E8461E">
        <w:rPr>
          <w:rFonts w:ascii="Calibri" w:eastAsia="Calibri" w:hAnsi="Calibri" w:cs="Calibri"/>
          <w:color w:val="000000" w:themeColor="text1"/>
        </w:rPr>
        <w:t xml:space="preserve"> who are socially isolated</w:t>
      </w:r>
      <w:r w:rsidR="00CA0638" w:rsidRPr="00E8461E">
        <w:rPr>
          <w:rFonts w:ascii="Calibri" w:eastAsia="Calibri" w:hAnsi="Calibri" w:cs="Calibri"/>
          <w:color w:val="000000" w:themeColor="text1"/>
        </w:rPr>
        <w:t xml:space="preserve"> (</w:t>
      </w:r>
      <w:r w:rsidRPr="00E8461E">
        <w:rPr>
          <w:rFonts w:ascii="Calibri" w:eastAsia="Calibri" w:hAnsi="Calibri" w:cs="Calibri"/>
          <w:color w:val="000000" w:themeColor="text1"/>
        </w:rPr>
        <w:t>such as older people living alone</w:t>
      </w:r>
      <w:r w:rsidR="00CA0638" w:rsidRPr="00E8461E">
        <w:rPr>
          <w:rFonts w:ascii="Calibri" w:eastAsia="Calibri" w:hAnsi="Calibri" w:cs="Calibri"/>
          <w:color w:val="000000" w:themeColor="text1"/>
        </w:rPr>
        <w:t>) are at increased risk of heat-related illness</w:t>
      </w:r>
      <w:r w:rsidRPr="00E8461E">
        <w:rPr>
          <w:rFonts w:ascii="Calibri" w:eastAsia="Calibri" w:hAnsi="Calibri" w:cs="Calibri"/>
          <w:color w:val="000000" w:themeColor="text1"/>
        </w:rPr>
        <w:t>.</w:t>
      </w:r>
    </w:p>
    <w:p w14:paraId="46D6D861" w14:textId="3389DD9C" w:rsidR="00C40905" w:rsidRPr="00E8461E" w:rsidRDefault="0E8E3C36"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Rural and remote areas are vulnerable to </w:t>
      </w:r>
      <w:r w:rsidR="00A54359" w:rsidRPr="00E8461E">
        <w:rPr>
          <w:rFonts w:ascii="Calibri" w:eastAsia="Calibri" w:hAnsi="Calibri" w:cs="Calibri"/>
          <w:color w:val="000000" w:themeColor="text1"/>
        </w:rPr>
        <w:t xml:space="preserve">a range of hazards including </w:t>
      </w:r>
      <w:r w:rsidRPr="00E8461E">
        <w:rPr>
          <w:rFonts w:ascii="Calibri" w:eastAsia="Calibri" w:hAnsi="Calibri" w:cs="Calibri"/>
          <w:color w:val="000000" w:themeColor="text1"/>
        </w:rPr>
        <w:t>droughts</w:t>
      </w:r>
      <w:r w:rsidR="00A54359" w:rsidRPr="00E8461E">
        <w:rPr>
          <w:rFonts w:ascii="Calibri" w:eastAsia="Calibri" w:hAnsi="Calibri" w:cs="Calibri"/>
          <w:color w:val="000000" w:themeColor="text1"/>
        </w:rPr>
        <w:t>, bushfire, cyclone, severe storms,</w:t>
      </w:r>
      <w:r w:rsidRPr="00E8461E">
        <w:rPr>
          <w:rFonts w:ascii="Calibri" w:eastAsia="Calibri" w:hAnsi="Calibri" w:cs="Calibri"/>
          <w:color w:val="000000" w:themeColor="text1"/>
        </w:rPr>
        <w:t xml:space="preserve"> and </w:t>
      </w:r>
      <w:r w:rsidR="00A54359" w:rsidRPr="00E8461E">
        <w:rPr>
          <w:rFonts w:ascii="Calibri" w:eastAsia="Calibri" w:hAnsi="Calibri" w:cs="Calibri"/>
          <w:color w:val="000000" w:themeColor="text1"/>
        </w:rPr>
        <w:t xml:space="preserve">significant </w:t>
      </w:r>
      <w:r w:rsidRPr="00E8461E">
        <w:rPr>
          <w:rFonts w:ascii="Calibri" w:eastAsia="Calibri" w:hAnsi="Calibri" w:cs="Calibri"/>
          <w:color w:val="000000" w:themeColor="text1"/>
        </w:rPr>
        <w:t>flood</w:t>
      </w:r>
      <w:r w:rsidR="00A54359" w:rsidRPr="00E8461E">
        <w:rPr>
          <w:rFonts w:ascii="Calibri" w:eastAsia="Calibri" w:hAnsi="Calibri" w:cs="Calibri"/>
          <w:color w:val="000000" w:themeColor="text1"/>
        </w:rPr>
        <w:t>ing</w:t>
      </w:r>
      <w:r w:rsidRPr="00E8461E">
        <w:rPr>
          <w:rFonts w:ascii="Calibri" w:eastAsia="Calibri" w:hAnsi="Calibri" w:cs="Calibri"/>
          <w:color w:val="000000" w:themeColor="text1"/>
        </w:rPr>
        <w:t>, with associated health impacts including increased mortality and morbidity rates, mental health issues and injuries.</w:t>
      </w:r>
      <w:r w:rsidR="000377B7" w:rsidRPr="00E8461E">
        <w:rPr>
          <w:rStyle w:val="EndnoteReference"/>
          <w:rFonts w:ascii="Calibri" w:eastAsia="Calibri" w:hAnsi="Calibri" w:cs="Calibri"/>
          <w:color w:val="000000" w:themeColor="text1"/>
        </w:rPr>
        <w:endnoteReference w:id="24"/>
      </w:r>
      <w:r w:rsidR="00746CA9" w:rsidRPr="00E8461E">
        <w:rPr>
          <w:rFonts w:ascii="Calibri" w:eastAsia="Calibri" w:hAnsi="Calibri" w:cs="Calibri"/>
          <w:color w:val="000000" w:themeColor="text1"/>
          <w:vertAlign w:val="superscript"/>
        </w:rPr>
        <w:t>,</w:t>
      </w:r>
      <w:r w:rsidR="000377B7" w:rsidRPr="00E8461E">
        <w:rPr>
          <w:rStyle w:val="EndnoteReference"/>
          <w:rFonts w:ascii="Calibri" w:eastAsia="Calibri" w:hAnsi="Calibri" w:cs="Calibri"/>
          <w:color w:val="000000" w:themeColor="text1"/>
        </w:rPr>
        <w:endnoteReference w:id="25"/>
      </w:r>
      <w:r w:rsidRPr="00E8461E">
        <w:rPr>
          <w:rFonts w:ascii="Calibri" w:eastAsia="Calibri" w:hAnsi="Calibri" w:cs="Calibri"/>
          <w:color w:val="000000" w:themeColor="text1"/>
        </w:rPr>
        <w:t xml:space="preserve"> </w:t>
      </w:r>
      <w:r w:rsidR="0024398E" w:rsidRPr="00E8461E">
        <w:rPr>
          <w:rFonts w:ascii="Calibri" w:eastAsia="Calibri" w:hAnsi="Calibri" w:cs="Calibri"/>
          <w:color w:val="000000" w:themeColor="text1"/>
        </w:rPr>
        <w:t>T</w:t>
      </w:r>
      <w:r w:rsidRPr="00E8461E">
        <w:rPr>
          <w:rFonts w:ascii="Calibri" w:eastAsia="Calibri" w:hAnsi="Calibri" w:cs="Calibri"/>
          <w:color w:val="000000" w:themeColor="text1"/>
        </w:rPr>
        <w:t>he elderly and those with disabilities or without access to transport</w:t>
      </w:r>
      <w:r w:rsidR="0024398E" w:rsidRPr="00E8461E">
        <w:rPr>
          <w:rFonts w:ascii="Calibri" w:eastAsia="Calibri" w:hAnsi="Calibri" w:cs="Calibri"/>
          <w:color w:val="000000" w:themeColor="text1"/>
        </w:rPr>
        <w:t xml:space="preserve"> in high-risk communities can be disproportionately affecte</w:t>
      </w:r>
      <w:r w:rsidR="0093098F" w:rsidRPr="00E8461E">
        <w:rPr>
          <w:rFonts w:ascii="Calibri" w:eastAsia="Calibri" w:hAnsi="Calibri" w:cs="Calibri"/>
          <w:color w:val="000000" w:themeColor="text1"/>
        </w:rPr>
        <w:t>d</w:t>
      </w:r>
      <w:r w:rsidR="00746CA9" w:rsidRPr="00E8461E">
        <w:rPr>
          <w:rFonts w:ascii="Calibri" w:eastAsia="Calibri" w:hAnsi="Calibri" w:cs="Calibri"/>
          <w:color w:val="000000" w:themeColor="text1"/>
        </w:rPr>
        <w:t>.</w:t>
      </w:r>
      <w:r w:rsidR="00746CA9" w:rsidRPr="00E8461E">
        <w:rPr>
          <w:rStyle w:val="EndnoteReference"/>
          <w:rFonts w:ascii="Calibri" w:eastAsia="Calibri" w:hAnsi="Calibri" w:cs="Calibri"/>
          <w:color w:val="000000" w:themeColor="text1"/>
        </w:rPr>
        <w:endnoteReference w:id="26"/>
      </w:r>
      <w:r w:rsidRPr="00E8461E">
        <w:rPr>
          <w:rFonts w:ascii="Calibri" w:eastAsia="Calibri" w:hAnsi="Calibri" w:cs="Calibri"/>
          <w:color w:val="000000" w:themeColor="text1"/>
        </w:rPr>
        <w:t xml:space="preserve"> Peri-urban communities are</w:t>
      </w:r>
      <w:r w:rsidR="0093098F" w:rsidRPr="00E8461E">
        <w:rPr>
          <w:rFonts w:ascii="Calibri" w:eastAsia="Calibri" w:hAnsi="Calibri" w:cs="Calibri"/>
          <w:color w:val="000000" w:themeColor="text1"/>
        </w:rPr>
        <w:t xml:space="preserve"> also</w:t>
      </w:r>
      <w:r w:rsidRPr="00E8461E">
        <w:rPr>
          <w:rFonts w:ascii="Calibri" w:eastAsia="Calibri" w:hAnsi="Calibri" w:cs="Calibri"/>
          <w:color w:val="000000" w:themeColor="text1"/>
        </w:rPr>
        <w:t xml:space="preserve"> at higher risk </w:t>
      </w:r>
      <w:r w:rsidR="0093098F" w:rsidRPr="00E8461E">
        <w:rPr>
          <w:rFonts w:ascii="Calibri" w:eastAsia="Calibri" w:hAnsi="Calibri" w:cs="Calibri"/>
          <w:color w:val="000000" w:themeColor="text1"/>
        </w:rPr>
        <w:t>of being affected by</w:t>
      </w:r>
      <w:r w:rsidRPr="00E8461E">
        <w:rPr>
          <w:rFonts w:ascii="Calibri" w:eastAsia="Calibri" w:hAnsi="Calibri" w:cs="Calibri"/>
          <w:color w:val="000000" w:themeColor="text1"/>
        </w:rPr>
        <w:t xml:space="preserve"> bushfires</w:t>
      </w:r>
      <w:r w:rsidR="000D2A7A" w:rsidRPr="00E8461E">
        <w:rPr>
          <w:rFonts w:ascii="Calibri" w:eastAsia="Calibri" w:hAnsi="Calibri" w:cs="Calibri"/>
          <w:color w:val="000000" w:themeColor="text1"/>
        </w:rPr>
        <w:t xml:space="preserve"> and bushfire smoke</w:t>
      </w:r>
      <w:r w:rsidR="00B45574" w:rsidRPr="00E8461E">
        <w:rPr>
          <w:rFonts w:ascii="Calibri" w:eastAsia="Calibri" w:hAnsi="Calibri" w:cs="Calibri"/>
          <w:color w:val="000000" w:themeColor="text1"/>
        </w:rPr>
        <w:t>. M</w:t>
      </w:r>
      <w:r w:rsidRPr="00E8461E">
        <w:rPr>
          <w:rFonts w:ascii="Calibri" w:eastAsia="Calibri" w:hAnsi="Calibri" w:cs="Calibri"/>
          <w:color w:val="000000" w:themeColor="text1"/>
        </w:rPr>
        <w:t>ost loss of life from bushfires occurs around the fringes of cities</w:t>
      </w:r>
      <w:r w:rsidR="00DE2041" w:rsidRPr="00E8461E">
        <w:rPr>
          <w:rFonts w:ascii="Calibri" w:eastAsia="Calibri" w:hAnsi="Calibri" w:cs="Calibri"/>
          <w:color w:val="000000" w:themeColor="text1"/>
        </w:rPr>
        <w:t>,</w:t>
      </w:r>
      <w:r w:rsidRPr="00E8461E">
        <w:rPr>
          <w:rFonts w:ascii="Calibri" w:eastAsia="Calibri" w:hAnsi="Calibri" w:cs="Calibri"/>
          <w:color w:val="000000" w:themeColor="text1"/>
        </w:rPr>
        <w:t xml:space="preserve"> where homes are commonly </w:t>
      </w:r>
      <w:proofErr w:type="gramStart"/>
      <w:r w:rsidRPr="00E8461E">
        <w:rPr>
          <w:rFonts w:ascii="Calibri" w:eastAsia="Calibri" w:hAnsi="Calibri" w:cs="Calibri"/>
          <w:color w:val="000000" w:themeColor="text1"/>
        </w:rPr>
        <w:t>in close proximity to</w:t>
      </w:r>
      <w:proofErr w:type="gramEnd"/>
      <w:r w:rsidRPr="00E8461E">
        <w:rPr>
          <w:rFonts w:ascii="Calibri" w:eastAsia="Calibri" w:hAnsi="Calibri" w:cs="Calibri"/>
          <w:color w:val="000000" w:themeColor="text1"/>
        </w:rPr>
        <w:t xml:space="preserve"> flammable vegetation.</w:t>
      </w:r>
      <w:r w:rsidR="00746CA9" w:rsidRPr="00E8461E">
        <w:rPr>
          <w:rStyle w:val="EndnoteReference"/>
          <w:rFonts w:ascii="Calibri" w:eastAsia="Calibri" w:hAnsi="Calibri" w:cs="Calibri"/>
          <w:color w:val="000000" w:themeColor="text1"/>
        </w:rPr>
        <w:endnoteReference w:id="27"/>
      </w:r>
    </w:p>
    <w:p w14:paraId="6A71ADB3" w14:textId="58D82D69" w:rsidR="00256E57" w:rsidRPr="00E8461E" w:rsidRDefault="0E8E3C36" w:rsidP="742C1120">
      <w:pPr>
        <w:rPr>
          <w:rFonts w:eastAsia="Times New Roman"/>
        </w:rPr>
      </w:pPr>
      <w:r w:rsidRPr="00E8461E">
        <w:rPr>
          <w:rFonts w:ascii="Calibri" w:eastAsia="Calibri" w:hAnsi="Calibri" w:cs="Calibri"/>
          <w:color w:val="000000" w:themeColor="text1"/>
        </w:rPr>
        <w:t xml:space="preserve">People with chronic illness, including physical and mental health conditions such as asthma, heart disease, chronic kidney </w:t>
      </w:r>
      <w:r w:rsidRPr="00E8461E">
        <w:rPr>
          <w:rFonts w:ascii="Calibri" w:eastAsia="Calibri" w:hAnsi="Calibri" w:cs="Calibri"/>
        </w:rPr>
        <w:t xml:space="preserve">disease or anxiety and depression, are at </w:t>
      </w:r>
      <w:r w:rsidR="00306C81" w:rsidRPr="00E8461E">
        <w:rPr>
          <w:rFonts w:ascii="Calibri" w:eastAsia="Calibri" w:hAnsi="Calibri" w:cs="Calibri"/>
        </w:rPr>
        <w:t xml:space="preserve">particular </w:t>
      </w:r>
      <w:r w:rsidRPr="00E8461E">
        <w:rPr>
          <w:rFonts w:ascii="Calibri" w:eastAsia="Calibri" w:hAnsi="Calibri" w:cs="Calibri"/>
        </w:rPr>
        <w:t>risk during bushfires, heatwaves, or flood</w:t>
      </w:r>
      <w:r w:rsidR="006635DD" w:rsidRPr="00E8461E">
        <w:rPr>
          <w:rFonts w:ascii="Calibri" w:eastAsia="Calibri" w:hAnsi="Calibri" w:cs="Calibri"/>
        </w:rPr>
        <w:t>s</w:t>
      </w:r>
      <w:r w:rsidRPr="00E8461E">
        <w:rPr>
          <w:rFonts w:ascii="Calibri" w:eastAsia="Calibri" w:hAnsi="Calibri" w:cs="Calibri"/>
        </w:rPr>
        <w:t>.</w:t>
      </w:r>
      <w:r w:rsidR="00B7648C" w:rsidRPr="00E8461E">
        <w:rPr>
          <w:rStyle w:val="EndnoteReference"/>
          <w:rFonts w:ascii="Calibri" w:eastAsia="Calibri" w:hAnsi="Calibri" w:cs="Calibri"/>
        </w:rPr>
        <w:endnoteReference w:id="28"/>
      </w:r>
      <w:r w:rsidR="0038067E" w:rsidRPr="00E8461E">
        <w:rPr>
          <w:rFonts w:ascii="Calibri" w:eastAsia="Calibri" w:hAnsi="Calibri" w:cs="Calibri"/>
          <w:vertAlign w:val="superscript"/>
        </w:rPr>
        <w:t>,</w:t>
      </w:r>
      <w:r w:rsidR="002340E3" w:rsidRPr="00E8461E">
        <w:rPr>
          <w:rStyle w:val="EndnoteReference"/>
          <w:rFonts w:ascii="Calibri" w:eastAsia="Calibri" w:hAnsi="Calibri" w:cs="Calibri"/>
        </w:rPr>
        <w:endnoteReference w:id="29"/>
      </w:r>
      <w:r w:rsidR="0092020F" w:rsidRPr="00E8461E">
        <w:rPr>
          <w:rFonts w:ascii="Calibri" w:eastAsia="Calibri" w:hAnsi="Calibri" w:cs="Calibri"/>
          <w:vertAlign w:val="superscript"/>
        </w:rPr>
        <w:t>,</w:t>
      </w:r>
      <w:r w:rsidR="0092020F" w:rsidRPr="00E8461E">
        <w:rPr>
          <w:rStyle w:val="EndnoteReference"/>
          <w:rFonts w:ascii="Calibri" w:eastAsia="Calibri" w:hAnsi="Calibri" w:cs="Calibri"/>
        </w:rPr>
        <w:endnoteReference w:id="30"/>
      </w:r>
      <w:r w:rsidR="002340E3" w:rsidRPr="00E8461E">
        <w:rPr>
          <w:rFonts w:eastAsia="Times New Roman"/>
        </w:rPr>
        <w:t xml:space="preserve"> </w:t>
      </w:r>
      <w:r w:rsidR="008D5BB7" w:rsidRPr="00E8461E">
        <w:rPr>
          <w:rFonts w:eastAsia="Times New Roman"/>
        </w:rPr>
        <w:t xml:space="preserve">People at risk of developing chronic conditions may also be negatively </w:t>
      </w:r>
      <w:r w:rsidR="00F20686" w:rsidRPr="00E8461E">
        <w:rPr>
          <w:rFonts w:eastAsia="Times New Roman"/>
        </w:rPr>
        <w:t>affected</w:t>
      </w:r>
      <w:r w:rsidR="008D5BB7" w:rsidRPr="00E8461E">
        <w:rPr>
          <w:rFonts w:eastAsia="Times New Roman"/>
        </w:rPr>
        <w:t xml:space="preserve"> by these climate events, due to delaying or completely foregoing health screening assessments during these times. </w:t>
      </w:r>
      <w:r w:rsidRPr="00E8461E">
        <w:rPr>
          <w:rFonts w:ascii="Calibri" w:eastAsia="Calibri" w:hAnsi="Calibri" w:cs="Calibri"/>
        </w:rPr>
        <w:t>People with disability</w:t>
      </w:r>
      <w:r w:rsidR="006635DD" w:rsidRPr="00E8461E">
        <w:rPr>
          <w:rFonts w:ascii="Calibri" w:eastAsia="Calibri" w:hAnsi="Calibri" w:cs="Calibri"/>
        </w:rPr>
        <w:t xml:space="preserve"> –</w:t>
      </w:r>
      <w:r w:rsidRPr="00E8461E">
        <w:rPr>
          <w:rFonts w:ascii="Calibri" w:eastAsia="Calibri" w:hAnsi="Calibri" w:cs="Calibri"/>
        </w:rPr>
        <w:t xml:space="preserve"> for example, those with restricted mobility</w:t>
      </w:r>
      <w:r w:rsidR="009F74FE" w:rsidRPr="00E8461E">
        <w:rPr>
          <w:rFonts w:ascii="Calibri" w:eastAsia="Calibri" w:hAnsi="Calibri" w:cs="Calibri"/>
        </w:rPr>
        <w:t xml:space="preserve"> –</w:t>
      </w:r>
      <w:r w:rsidRPr="00E8461E">
        <w:rPr>
          <w:rFonts w:ascii="Calibri" w:eastAsia="Calibri" w:hAnsi="Calibri" w:cs="Calibri"/>
        </w:rPr>
        <w:t xml:space="preserve"> and </w:t>
      </w:r>
      <w:r w:rsidRPr="00E8461E">
        <w:rPr>
          <w:rFonts w:ascii="Calibri" w:eastAsia="Calibri" w:hAnsi="Calibri" w:cs="Calibri"/>
          <w:color w:val="000000" w:themeColor="text1"/>
        </w:rPr>
        <w:t xml:space="preserve">their carers </w:t>
      </w:r>
      <w:r w:rsidR="00525729" w:rsidRPr="00E8461E">
        <w:rPr>
          <w:rFonts w:ascii="Calibri" w:eastAsia="Calibri" w:hAnsi="Calibri" w:cs="Calibri"/>
          <w:color w:val="000000" w:themeColor="text1"/>
        </w:rPr>
        <w:t xml:space="preserve">– </w:t>
      </w:r>
      <w:r w:rsidRPr="00E8461E">
        <w:rPr>
          <w:rFonts w:ascii="Calibri" w:eastAsia="Calibri" w:hAnsi="Calibri" w:cs="Calibri"/>
          <w:color w:val="000000" w:themeColor="text1"/>
        </w:rPr>
        <w:t xml:space="preserve">are more likely to be </w:t>
      </w:r>
      <w:r w:rsidR="006209BD" w:rsidRPr="00E8461E">
        <w:rPr>
          <w:rFonts w:ascii="Calibri" w:eastAsia="Calibri" w:hAnsi="Calibri" w:cs="Calibri"/>
          <w:color w:val="000000" w:themeColor="text1"/>
        </w:rPr>
        <w:t xml:space="preserve">affected </w:t>
      </w:r>
      <w:r w:rsidRPr="00E8461E">
        <w:rPr>
          <w:rFonts w:ascii="Calibri" w:eastAsia="Calibri" w:hAnsi="Calibri" w:cs="Calibri"/>
          <w:color w:val="000000" w:themeColor="text1"/>
        </w:rPr>
        <w:t xml:space="preserve">by flooding and </w:t>
      </w:r>
      <w:r w:rsidR="006209BD" w:rsidRPr="00E8461E">
        <w:rPr>
          <w:rFonts w:ascii="Calibri" w:eastAsia="Calibri" w:hAnsi="Calibri" w:cs="Calibri"/>
          <w:color w:val="000000" w:themeColor="text1"/>
        </w:rPr>
        <w:t xml:space="preserve">to </w:t>
      </w:r>
      <w:r w:rsidRPr="00E8461E">
        <w:rPr>
          <w:rFonts w:ascii="Calibri" w:eastAsia="Calibri" w:hAnsi="Calibri" w:cs="Calibri"/>
          <w:color w:val="000000" w:themeColor="text1"/>
        </w:rPr>
        <w:t>have less capacity to successfully adapt or relocate to safe long-term housing.</w:t>
      </w:r>
      <w:r w:rsidR="00B7648C" w:rsidRPr="00E8461E">
        <w:rPr>
          <w:rStyle w:val="EndnoteReference"/>
          <w:rFonts w:ascii="Calibri" w:eastAsia="Calibri" w:hAnsi="Calibri" w:cs="Calibri"/>
          <w:color w:val="000000" w:themeColor="text1"/>
        </w:rPr>
        <w:endnoteReference w:id="31"/>
      </w:r>
    </w:p>
    <w:p w14:paraId="73F04F94" w14:textId="77777777" w:rsidR="00633957" w:rsidRPr="00E8461E" w:rsidRDefault="0E8E3C36" w:rsidP="742C1120">
      <w:r w:rsidRPr="00E8461E">
        <w:t xml:space="preserve">Older people can be highly </w:t>
      </w:r>
      <w:r w:rsidR="00091104" w:rsidRPr="00E8461E">
        <w:t xml:space="preserve">susceptible </w:t>
      </w:r>
      <w:r w:rsidRPr="00E8461E">
        <w:t>to the health impacts of climate change. Chronic diseases, medications and frailty mean many older people have heightened physiological susceptibility to climate hazards such as heat and air pollution. In addition, many older people face particular social and financial barriers to adapting to climate change on an individual level.</w:t>
      </w:r>
    </w:p>
    <w:p w14:paraId="10DF5055" w14:textId="77777777" w:rsidR="00D32CDD" w:rsidRPr="00E8461E" w:rsidRDefault="003C75BF" w:rsidP="742C1120">
      <w:pPr>
        <w:rPr>
          <w:rFonts w:ascii="Calibri" w:eastAsia="Calibri" w:hAnsi="Calibri" w:cs="Calibri"/>
          <w:color w:val="000000" w:themeColor="text1"/>
        </w:rPr>
      </w:pPr>
      <w:r w:rsidRPr="00E8461E">
        <w:rPr>
          <w:rFonts w:ascii="Calibri" w:eastAsia="Calibri" w:hAnsi="Calibri" w:cs="Calibri"/>
          <w:color w:val="000000" w:themeColor="text1"/>
        </w:rPr>
        <w:lastRenderedPageBreak/>
        <w:t xml:space="preserve">Adverse health impacts of climate change are disproportionately experienced by women and children. For example, there is evidence that domestic violence against women and children </w:t>
      </w:r>
      <w:r w:rsidR="00F33E62" w:rsidRPr="00E8461E">
        <w:rPr>
          <w:rFonts w:ascii="Calibri" w:eastAsia="Calibri" w:hAnsi="Calibri" w:cs="Calibri"/>
          <w:color w:val="000000" w:themeColor="text1"/>
        </w:rPr>
        <w:t>increases</w:t>
      </w:r>
      <w:r w:rsidRPr="00E8461E">
        <w:rPr>
          <w:rFonts w:ascii="Calibri" w:eastAsia="Calibri" w:hAnsi="Calibri" w:cs="Calibri"/>
          <w:color w:val="000000" w:themeColor="text1"/>
        </w:rPr>
        <w:t xml:space="preserve"> during and following climate-related disasters and extreme weather events.</w:t>
      </w:r>
      <w:r w:rsidR="00014F10" w:rsidRPr="00E8461E">
        <w:rPr>
          <w:rStyle w:val="EndnoteReference"/>
          <w:rFonts w:ascii="Calibri" w:eastAsia="Calibri" w:hAnsi="Calibri" w:cs="Calibri"/>
          <w:color w:val="000000" w:themeColor="text1"/>
        </w:rPr>
        <w:endnoteReference w:id="32"/>
      </w:r>
      <w:r w:rsidRPr="00E8461E">
        <w:rPr>
          <w:rFonts w:ascii="Calibri" w:eastAsia="Calibri" w:hAnsi="Calibri" w:cs="Calibri"/>
          <w:color w:val="000000" w:themeColor="text1"/>
        </w:rPr>
        <w:t xml:space="preserve"> </w:t>
      </w:r>
      <w:r w:rsidR="0E8E3C36" w:rsidRPr="00E8461E">
        <w:rPr>
          <w:rFonts w:ascii="Calibri" w:eastAsia="Calibri" w:hAnsi="Calibri" w:cs="Calibri"/>
          <w:color w:val="000000" w:themeColor="text1"/>
        </w:rPr>
        <w:t xml:space="preserve">Pregnant </w:t>
      </w:r>
      <w:r w:rsidR="009C6E71" w:rsidRPr="00E8461E">
        <w:rPr>
          <w:rFonts w:ascii="Calibri" w:eastAsia="Calibri" w:hAnsi="Calibri" w:cs="Calibri"/>
          <w:color w:val="000000" w:themeColor="text1"/>
        </w:rPr>
        <w:t>women</w:t>
      </w:r>
      <w:r w:rsidR="0E8E3C36" w:rsidRPr="00E8461E">
        <w:rPr>
          <w:rFonts w:ascii="Calibri" w:eastAsia="Calibri" w:hAnsi="Calibri" w:cs="Calibri"/>
          <w:color w:val="000000" w:themeColor="text1"/>
        </w:rPr>
        <w:t xml:space="preserve"> and their growing foetus have increased vulnerability to climate-related</w:t>
      </w:r>
      <w:r w:rsidR="0E8E3C36" w:rsidRPr="00E8461E">
        <w:rPr>
          <w:rFonts w:ascii="Calibri" w:eastAsia="Calibri" w:hAnsi="Calibri" w:cs="Calibri"/>
        </w:rPr>
        <w:t xml:space="preserve"> </w:t>
      </w:r>
      <w:r w:rsidR="0E8E3C36" w:rsidRPr="00E8461E">
        <w:rPr>
          <w:rFonts w:ascii="Calibri" w:eastAsia="Calibri" w:hAnsi="Calibri" w:cs="Calibri"/>
          <w:color w:val="000000" w:themeColor="text1"/>
        </w:rPr>
        <w:t xml:space="preserve">emergencies, including extreme weather events, heat and </w:t>
      </w:r>
      <w:r w:rsidR="00421B9F" w:rsidRPr="00E8461E">
        <w:rPr>
          <w:rFonts w:ascii="Calibri" w:eastAsia="Calibri" w:hAnsi="Calibri" w:cs="Calibri"/>
          <w:color w:val="000000" w:themeColor="text1"/>
        </w:rPr>
        <w:t>bushfires</w:t>
      </w:r>
      <w:r w:rsidR="7C56171D" w:rsidRPr="00E8461E">
        <w:rPr>
          <w:rFonts w:ascii="Calibri" w:eastAsia="Calibri" w:hAnsi="Calibri" w:cs="Calibri"/>
          <w:color w:val="000000" w:themeColor="text1"/>
        </w:rPr>
        <w:t>.</w:t>
      </w:r>
      <w:r w:rsidR="00D00FA0" w:rsidRPr="00E8461E">
        <w:rPr>
          <w:rStyle w:val="EndnoteReference"/>
          <w:rFonts w:ascii="Calibri" w:eastAsia="Calibri" w:hAnsi="Calibri" w:cs="Calibri"/>
          <w:color w:val="000000" w:themeColor="text1"/>
        </w:rPr>
        <w:endnoteReference w:id="33"/>
      </w:r>
      <w:r w:rsidR="0E8E3C36" w:rsidRPr="00E8461E">
        <w:rPr>
          <w:rFonts w:ascii="Calibri" w:eastAsia="Calibri" w:hAnsi="Calibri" w:cs="Calibri"/>
          <w:color w:val="000000" w:themeColor="text1"/>
        </w:rPr>
        <w:t xml:space="preserve"> High temperatures can increase risk of preterm birth, low birthweight and still </w:t>
      </w:r>
      <w:r w:rsidR="4C2D435B" w:rsidRPr="00E8461E">
        <w:rPr>
          <w:rFonts w:ascii="Calibri" w:eastAsia="Calibri" w:hAnsi="Calibri" w:cs="Calibri"/>
          <w:color w:val="000000" w:themeColor="text1"/>
        </w:rPr>
        <w:t>birth</w:t>
      </w:r>
      <w:r w:rsidR="33E885B4" w:rsidRPr="00E8461E">
        <w:rPr>
          <w:rFonts w:ascii="Calibri" w:eastAsia="Calibri" w:hAnsi="Calibri" w:cs="Calibri"/>
          <w:color w:val="000000" w:themeColor="text1"/>
        </w:rPr>
        <w:t>.</w:t>
      </w:r>
      <w:r w:rsidR="0E8E3C36" w:rsidRPr="00E8461E">
        <w:rPr>
          <w:rStyle w:val="EndnoteReference"/>
          <w:rFonts w:ascii="Calibri" w:eastAsia="Calibri" w:hAnsi="Calibri" w:cs="Calibri"/>
          <w:color w:val="000000" w:themeColor="text1"/>
        </w:rPr>
        <w:endnoteReference w:id="34"/>
      </w:r>
      <w:r w:rsidR="0E8E3C36" w:rsidRPr="00E8461E">
        <w:rPr>
          <w:rFonts w:ascii="Calibri" w:eastAsia="Calibri" w:hAnsi="Calibri" w:cs="Calibri"/>
          <w:color w:val="000000" w:themeColor="text1"/>
        </w:rPr>
        <w:t xml:space="preserve"> </w:t>
      </w:r>
      <w:r w:rsidR="23900644" w:rsidRPr="00E8461E">
        <w:rPr>
          <w:rFonts w:ascii="Calibri" w:eastAsia="Calibri" w:hAnsi="Calibri" w:cs="Calibri"/>
          <w:color w:val="000000" w:themeColor="text1"/>
        </w:rPr>
        <w:t xml:space="preserve">There is also an established association between smoke inhalation from bushfires and </w:t>
      </w:r>
      <w:r w:rsidR="00BB2F3F" w:rsidRPr="00E8461E">
        <w:rPr>
          <w:rFonts w:ascii="Calibri" w:eastAsia="Calibri" w:hAnsi="Calibri" w:cs="Calibri"/>
          <w:color w:val="000000" w:themeColor="text1"/>
        </w:rPr>
        <w:t xml:space="preserve">adverse </w:t>
      </w:r>
      <w:r w:rsidR="23900644" w:rsidRPr="00E8461E">
        <w:rPr>
          <w:rFonts w:ascii="Calibri" w:eastAsia="Calibri" w:hAnsi="Calibri" w:cs="Calibri"/>
          <w:color w:val="000000" w:themeColor="text1"/>
        </w:rPr>
        <w:t>pregnancy outcomes</w:t>
      </w:r>
      <w:r w:rsidR="006B34E4" w:rsidRPr="00E8461E">
        <w:rPr>
          <w:rFonts w:ascii="Calibri" w:eastAsia="Calibri" w:hAnsi="Calibri" w:cs="Calibri"/>
          <w:color w:val="000000" w:themeColor="text1"/>
        </w:rPr>
        <w:t>.</w:t>
      </w:r>
      <w:r w:rsidR="006B34E4" w:rsidRPr="00E8461E">
        <w:rPr>
          <w:rStyle w:val="EndnoteReference"/>
          <w:rFonts w:ascii="Calibri" w:eastAsia="Calibri" w:hAnsi="Calibri" w:cs="Calibri"/>
          <w:color w:val="000000" w:themeColor="text1"/>
        </w:rPr>
        <w:endnoteReference w:id="35"/>
      </w:r>
    </w:p>
    <w:p w14:paraId="07C29035" w14:textId="78530A8E" w:rsidR="003F22BA" w:rsidRPr="00E8461E" w:rsidRDefault="00CE689B"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Infants, </w:t>
      </w:r>
      <w:proofErr w:type="gramStart"/>
      <w:r w:rsidRPr="00E8461E">
        <w:rPr>
          <w:rFonts w:ascii="Calibri" w:eastAsia="Calibri" w:hAnsi="Calibri" w:cs="Calibri"/>
          <w:color w:val="000000" w:themeColor="text1"/>
        </w:rPr>
        <w:t>children</w:t>
      </w:r>
      <w:proofErr w:type="gramEnd"/>
      <w:r w:rsidRPr="00E8461E">
        <w:rPr>
          <w:rFonts w:ascii="Calibri" w:eastAsia="Calibri" w:hAnsi="Calibri" w:cs="Calibri"/>
          <w:color w:val="000000" w:themeColor="text1"/>
        </w:rPr>
        <w:t xml:space="preserve"> and young people </w:t>
      </w:r>
      <w:r w:rsidRPr="00E8461E">
        <w:rPr>
          <w:rStyle w:val="normaltextrun"/>
          <w:rFonts w:ascii="Calibri" w:hAnsi="Calibri" w:cs="Calibri"/>
          <w:color w:val="000000"/>
          <w:shd w:val="clear" w:color="auto" w:fill="FFFFFF"/>
        </w:rPr>
        <w:t xml:space="preserve">will </w:t>
      </w:r>
      <w:r w:rsidR="00D32CDD" w:rsidRPr="00E8461E">
        <w:rPr>
          <w:rStyle w:val="normaltextrun"/>
          <w:rFonts w:ascii="Calibri" w:hAnsi="Calibri" w:cs="Calibri"/>
          <w:color w:val="000000"/>
          <w:shd w:val="clear" w:color="auto" w:fill="FFFFFF"/>
        </w:rPr>
        <w:t xml:space="preserve">have the greatest exposure to </w:t>
      </w:r>
      <w:r w:rsidR="00412E49" w:rsidRPr="00E8461E">
        <w:rPr>
          <w:rStyle w:val="normaltextrun"/>
          <w:rFonts w:ascii="Calibri" w:hAnsi="Calibri" w:cs="Calibri"/>
          <w:color w:val="000000"/>
          <w:shd w:val="clear" w:color="auto" w:fill="FFFFFF"/>
        </w:rPr>
        <w:t xml:space="preserve">climate change across their lifetime, </w:t>
      </w:r>
      <w:r w:rsidR="00194772" w:rsidRPr="00E8461E">
        <w:rPr>
          <w:rStyle w:val="normaltextrun"/>
          <w:rFonts w:ascii="Calibri" w:hAnsi="Calibri" w:cs="Calibri"/>
          <w:color w:val="000000"/>
          <w:shd w:val="clear" w:color="auto" w:fill="FFFFFF"/>
        </w:rPr>
        <w:t xml:space="preserve">meaning they will </w:t>
      </w:r>
      <w:r w:rsidRPr="00E8461E">
        <w:rPr>
          <w:rStyle w:val="normaltextrun"/>
          <w:rFonts w:ascii="Calibri" w:hAnsi="Calibri" w:cs="Calibri"/>
          <w:color w:val="000000"/>
          <w:shd w:val="clear" w:color="auto" w:fill="FFFFFF"/>
        </w:rPr>
        <w:t xml:space="preserve">disproportionately experience </w:t>
      </w:r>
      <w:r w:rsidR="00194772" w:rsidRPr="00E8461E">
        <w:rPr>
          <w:rStyle w:val="normaltextrun"/>
          <w:rFonts w:ascii="Calibri" w:hAnsi="Calibri" w:cs="Calibri"/>
          <w:color w:val="000000"/>
          <w:shd w:val="clear" w:color="auto" w:fill="FFFFFF"/>
        </w:rPr>
        <w:t>its adverse</w:t>
      </w:r>
      <w:r w:rsidRPr="00E8461E">
        <w:rPr>
          <w:rStyle w:val="normaltextrun"/>
          <w:rFonts w:ascii="Calibri" w:hAnsi="Calibri" w:cs="Calibri"/>
          <w:color w:val="000000"/>
          <w:shd w:val="clear" w:color="auto" w:fill="FFFFFF"/>
        </w:rPr>
        <w:t xml:space="preserve"> impacts.</w:t>
      </w:r>
      <w:r w:rsidR="00C808A7" w:rsidRPr="00E8461E">
        <w:rPr>
          <w:rStyle w:val="normaltextrun"/>
          <w:rFonts w:ascii="Calibri" w:hAnsi="Calibri" w:cs="Calibri"/>
          <w:color w:val="000000"/>
          <w:shd w:val="clear" w:color="auto" w:fill="FFFFFF"/>
        </w:rPr>
        <w:t xml:space="preserve"> </w:t>
      </w:r>
      <w:r w:rsidR="005365EE" w:rsidRPr="00E8461E">
        <w:rPr>
          <w:rStyle w:val="normaltextrun"/>
          <w:rFonts w:ascii="Calibri" w:hAnsi="Calibri" w:cs="Calibri"/>
          <w:color w:val="000000"/>
          <w:shd w:val="clear" w:color="auto" w:fill="FFFFFF"/>
        </w:rPr>
        <w:t xml:space="preserve">Children and </w:t>
      </w:r>
      <w:r w:rsidR="005365EE" w:rsidRPr="00E8461E">
        <w:rPr>
          <w:rStyle w:val="eop"/>
          <w:rFonts w:ascii="Calibri" w:hAnsi="Calibri" w:cs="Calibri"/>
          <w:color w:val="000000"/>
          <w:shd w:val="clear" w:color="auto" w:fill="FFFFFF"/>
        </w:rPr>
        <w:t>y</w:t>
      </w:r>
      <w:r w:rsidR="009F7201" w:rsidRPr="00E8461E">
        <w:rPr>
          <w:rStyle w:val="eop"/>
          <w:rFonts w:ascii="Calibri" w:hAnsi="Calibri" w:cs="Calibri"/>
          <w:color w:val="000000"/>
          <w:shd w:val="clear" w:color="auto" w:fill="FFFFFF"/>
        </w:rPr>
        <w:t xml:space="preserve">oung people are </w:t>
      </w:r>
      <w:r w:rsidR="005365EE" w:rsidRPr="00E8461E">
        <w:rPr>
          <w:rStyle w:val="eop"/>
          <w:rFonts w:ascii="Calibri" w:hAnsi="Calibri" w:cs="Calibri"/>
          <w:color w:val="000000"/>
          <w:shd w:val="clear" w:color="auto" w:fill="FFFFFF"/>
        </w:rPr>
        <w:t xml:space="preserve">susceptible </w:t>
      </w:r>
      <w:r w:rsidR="001B67F2" w:rsidRPr="00E8461E">
        <w:rPr>
          <w:rStyle w:val="eop"/>
          <w:rFonts w:ascii="Calibri" w:hAnsi="Calibri" w:cs="Calibri"/>
          <w:color w:val="000000"/>
          <w:shd w:val="clear" w:color="auto" w:fill="FFFFFF"/>
        </w:rPr>
        <w:t>to an array of adverse climate-related health outcomes</w:t>
      </w:r>
      <w:r w:rsidR="0053102E" w:rsidRPr="00E8461E">
        <w:rPr>
          <w:rStyle w:val="eop"/>
          <w:rFonts w:ascii="Calibri" w:hAnsi="Calibri" w:cs="Calibri"/>
          <w:color w:val="000000"/>
          <w:shd w:val="clear" w:color="auto" w:fill="FFFFFF"/>
        </w:rPr>
        <w:t xml:space="preserve"> </w:t>
      </w:r>
      <w:r w:rsidR="001B67F2" w:rsidRPr="00E8461E">
        <w:rPr>
          <w:rStyle w:val="eop"/>
          <w:rFonts w:ascii="Calibri" w:hAnsi="Calibri" w:cs="Calibri"/>
          <w:color w:val="000000"/>
          <w:shd w:val="clear" w:color="auto" w:fill="FFFFFF"/>
        </w:rPr>
        <w:t>and</w:t>
      </w:r>
      <w:r w:rsidR="0053102E" w:rsidRPr="00E8461E">
        <w:rPr>
          <w:rStyle w:val="eop"/>
          <w:rFonts w:ascii="Calibri" w:hAnsi="Calibri" w:cs="Calibri"/>
          <w:color w:val="000000"/>
          <w:shd w:val="clear" w:color="auto" w:fill="FFFFFF"/>
        </w:rPr>
        <w:t xml:space="preserve"> are</w:t>
      </w:r>
      <w:r w:rsidR="005365EE" w:rsidRPr="00E8461E">
        <w:rPr>
          <w:rStyle w:val="eop"/>
          <w:rFonts w:ascii="Calibri" w:hAnsi="Calibri" w:cs="Calibri"/>
          <w:color w:val="000000"/>
          <w:shd w:val="clear" w:color="auto" w:fill="FFFFFF"/>
        </w:rPr>
        <w:t xml:space="preserve"> </w:t>
      </w:r>
      <w:r w:rsidR="009F7201" w:rsidRPr="00E8461E">
        <w:rPr>
          <w:rStyle w:val="eop"/>
          <w:rFonts w:ascii="Calibri" w:hAnsi="Calibri" w:cs="Calibri"/>
          <w:color w:val="000000"/>
          <w:shd w:val="clear" w:color="auto" w:fill="FFFFFF"/>
        </w:rPr>
        <w:t xml:space="preserve">also especially </w:t>
      </w:r>
      <w:r w:rsidR="001D6EAD" w:rsidRPr="00E8461E">
        <w:rPr>
          <w:rStyle w:val="eop"/>
          <w:rFonts w:ascii="Calibri" w:hAnsi="Calibri" w:cs="Calibri"/>
          <w:color w:val="000000"/>
          <w:shd w:val="clear" w:color="auto" w:fill="FFFFFF"/>
        </w:rPr>
        <w:t xml:space="preserve">likely to experience </w:t>
      </w:r>
      <w:r w:rsidR="0009444C" w:rsidRPr="00E8461E">
        <w:rPr>
          <w:rStyle w:val="eop"/>
          <w:rFonts w:ascii="Calibri" w:hAnsi="Calibri" w:cs="Calibri"/>
          <w:color w:val="000000"/>
          <w:shd w:val="clear" w:color="auto" w:fill="FFFFFF"/>
        </w:rPr>
        <w:t>mental and emotional distress</w:t>
      </w:r>
      <w:r w:rsidR="00D476EC" w:rsidRPr="00E8461E">
        <w:rPr>
          <w:rStyle w:val="eop"/>
          <w:rFonts w:ascii="Calibri" w:hAnsi="Calibri" w:cs="Calibri"/>
          <w:color w:val="000000"/>
          <w:shd w:val="clear" w:color="auto" w:fill="FFFFFF"/>
        </w:rPr>
        <w:t xml:space="preserve"> related to climate change</w:t>
      </w:r>
      <w:r w:rsidR="001B67F2" w:rsidRPr="00E8461E">
        <w:rPr>
          <w:rStyle w:val="eop"/>
          <w:rFonts w:ascii="Calibri" w:hAnsi="Calibri" w:cs="Calibri"/>
          <w:color w:val="000000"/>
          <w:shd w:val="clear" w:color="auto" w:fill="FFFFFF"/>
        </w:rPr>
        <w:t>.</w:t>
      </w:r>
      <w:r w:rsidR="00B83AF4" w:rsidRPr="00E8461E">
        <w:rPr>
          <w:rStyle w:val="EndnoteReference"/>
          <w:rFonts w:ascii="Calibri" w:hAnsi="Calibri" w:cs="Calibri"/>
          <w:color w:val="000000"/>
          <w:shd w:val="clear" w:color="auto" w:fill="FFFFFF"/>
        </w:rPr>
        <w:endnoteReference w:id="36"/>
      </w:r>
    </w:p>
    <w:p w14:paraId="2F63CC7A" w14:textId="77777777" w:rsidR="00C40905" w:rsidRPr="00E8461E" w:rsidRDefault="0E8E3C36"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People of low socioeconomic status, including homeless people, are disproportionally affected by the negative impacts of climate change. </w:t>
      </w:r>
      <w:r w:rsidR="00DE22E2" w:rsidRPr="00E8461E">
        <w:rPr>
          <w:rFonts w:ascii="Calibri" w:eastAsia="Calibri" w:hAnsi="Calibri" w:cs="Calibri"/>
          <w:color w:val="000000" w:themeColor="text1"/>
        </w:rPr>
        <w:t xml:space="preserve">This </w:t>
      </w:r>
      <w:r w:rsidR="00E868BB" w:rsidRPr="00E8461E">
        <w:rPr>
          <w:rFonts w:ascii="Calibri" w:eastAsia="Calibri" w:hAnsi="Calibri" w:cs="Calibri"/>
          <w:color w:val="000000" w:themeColor="text1"/>
        </w:rPr>
        <w:t xml:space="preserve">can be </w:t>
      </w:r>
      <w:r w:rsidR="00DE22E2" w:rsidRPr="00E8461E">
        <w:rPr>
          <w:rFonts w:ascii="Calibri" w:eastAsia="Calibri" w:hAnsi="Calibri" w:cs="Calibri"/>
          <w:color w:val="000000" w:themeColor="text1"/>
        </w:rPr>
        <w:t>because they</w:t>
      </w:r>
      <w:r w:rsidRPr="00E8461E">
        <w:rPr>
          <w:rFonts w:ascii="Calibri" w:eastAsia="Calibri" w:hAnsi="Calibri" w:cs="Calibri"/>
          <w:color w:val="000000" w:themeColor="text1"/>
        </w:rPr>
        <w:t xml:space="preserve"> may not have access to </w:t>
      </w:r>
      <w:r w:rsidR="00161F7C" w:rsidRPr="00E8461E">
        <w:rPr>
          <w:rFonts w:ascii="Calibri" w:eastAsia="Calibri" w:hAnsi="Calibri" w:cs="Calibri"/>
          <w:color w:val="000000" w:themeColor="text1"/>
        </w:rPr>
        <w:t xml:space="preserve">good quality, </w:t>
      </w:r>
      <w:r w:rsidRPr="00E8461E">
        <w:rPr>
          <w:rFonts w:ascii="Calibri" w:eastAsia="Calibri" w:hAnsi="Calibri" w:cs="Calibri"/>
          <w:color w:val="000000" w:themeColor="text1"/>
        </w:rPr>
        <w:t>climate-resilient housing to protect them from extreme weather. Poorer households are typically located in places with higher air pollution and noise levels near busy streets.</w:t>
      </w:r>
      <w:r w:rsidR="00B7648C" w:rsidRPr="00E8461E">
        <w:rPr>
          <w:rStyle w:val="EndnoteReference"/>
          <w:rFonts w:ascii="Calibri" w:eastAsia="Calibri" w:hAnsi="Calibri" w:cs="Calibri"/>
          <w:color w:val="000000" w:themeColor="text1"/>
        </w:rPr>
        <w:endnoteReference w:id="37"/>
      </w:r>
    </w:p>
    <w:p w14:paraId="280FC2FA" w14:textId="77777777" w:rsidR="00C40905" w:rsidRPr="00E8461E" w:rsidRDefault="0E8E3C36" w:rsidP="742C1120">
      <w:pPr>
        <w:rPr>
          <w:rFonts w:ascii="Calibri" w:eastAsia="Calibri" w:hAnsi="Calibri" w:cs="Calibri"/>
          <w:color w:val="000000" w:themeColor="text1"/>
        </w:rPr>
      </w:pPr>
      <w:r w:rsidRPr="00E8461E">
        <w:rPr>
          <w:rFonts w:ascii="Calibri" w:eastAsia="Calibri" w:hAnsi="Calibri" w:cs="Calibri"/>
          <w:color w:val="000000" w:themeColor="text1"/>
        </w:rPr>
        <w:t xml:space="preserve">Certain culturally and linguistically diverse groups, including migrants, may have relatively limited access to health protection advice and resources before, during and after </w:t>
      </w:r>
      <w:r w:rsidR="001D2DAB" w:rsidRPr="00E8461E">
        <w:rPr>
          <w:rFonts w:ascii="Calibri" w:eastAsia="Calibri" w:hAnsi="Calibri" w:cs="Calibri"/>
          <w:color w:val="000000" w:themeColor="text1"/>
        </w:rPr>
        <w:t xml:space="preserve">hazards and </w:t>
      </w:r>
      <w:r w:rsidR="00DA3FFC" w:rsidRPr="00E8461E">
        <w:rPr>
          <w:rFonts w:ascii="Calibri" w:eastAsia="Calibri" w:hAnsi="Calibri" w:cs="Calibri"/>
          <w:color w:val="000000" w:themeColor="text1"/>
        </w:rPr>
        <w:t xml:space="preserve">climate-related </w:t>
      </w:r>
      <w:r w:rsidR="001D2DAB" w:rsidRPr="00E8461E">
        <w:rPr>
          <w:rFonts w:ascii="Calibri" w:eastAsia="Calibri" w:hAnsi="Calibri" w:cs="Calibri"/>
          <w:color w:val="000000" w:themeColor="text1"/>
        </w:rPr>
        <w:t>disasters</w:t>
      </w:r>
      <w:r w:rsidRPr="00E8461E">
        <w:rPr>
          <w:rFonts w:ascii="Calibri" w:eastAsia="Calibri" w:hAnsi="Calibri" w:cs="Calibri"/>
          <w:color w:val="000000" w:themeColor="text1"/>
        </w:rPr>
        <w:t>. These groups, as well as people with hearing or vision-related disabilities, can benefit from accessible health messaging and climate emergency advice.</w:t>
      </w:r>
      <w:r w:rsidR="002171C4" w:rsidRPr="00E8461E">
        <w:rPr>
          <w:rStyle w:val="EndnoteReference"/>
          <w:rFonts w:ascii="Calibri" w:eastAsia="Calibri" w:hAnsi="Calibri" w:cs="Calibri"/>
          <w:color w:val="000000" w:themeColor="text1"/>
        </w:rPr>
        <w:endnoteReference w:id="38"/>
      </w:r>
      <w:r w:rsidR="00302A9C" w:rsidRPr="00E8461E">
        <w:rPr>
          <w:rFonts w:ascii="Calibri" w:eastAsia="Calibri" w:hAnsi="Calibri" w:cs="Calibri"/>
          <w:color w:val="000000" w:themeColor="text1"/>
        </w:rPr>
        <w:t xml:space="preserve"> Like First Nations people, c</w:t>
      </w:r>
      <w:r w:rsidRPr="00E8461E">
        <w:rPr>
          <w:rFonts w:ascii="Calibri" w:eastAsia="Calibri" w:hAnsi="Calibri" w:cs="Calibri"/>
          <w:color w:val="000000" w:themeColor="text1"/>
        </w:rPr>
        <w:t>ulturally diverse groups have valuable insights into climate change adaptation from their inter-generational knowledge and experiences from different climatic zones</w:t>
      </w:r>
      <w:r w:rsidR="00991B2C" w:rsidRPr="00E8461E">
        <w:rPr>
          <w:rFonts w:ascii="Calibri" w:eastAsia="Calibri" w:hAnsi="Calibri" w:cs="Calibri"/>
          <w:color w:val="000000" w:themeColor="text1"/>
        </w:rPr>
        <w:t>.</w:t>
      </w:r>
    </w:p>
    <w:p w14:paraId="48486E2E" w14:textId="194B2EA6" w:rsidR="00C40905" w:rsidRPr="00E8461E" w:rsidRDefault="00183E56" w:rsidP="742C1120">
      <w:pPr>
        <w:rPr>
          <w:rFonts w:ascii="Calibri" w:eastAsia="Calibri" w:hAnsi="Calibri" w:cs="Calibri"/>
          <w:color w:val="000000" w:themeColor="text1"/>
        </w:rPr>
      </w:pPr>
      <w:r w:rsidRPr="00E8461E">
        <w:rPr>
          <w:rFonts w:ascii="Calibri" w:eastAsia="Calibri" w:hAnsi="Calibri" w:cs="Calibri"/>
          <w:color w:val="000000" w:themeColor="text1"/>
        </w:rPr>
        <w:t>Certain o</w:t>
      </w:r>
      <w:r w:rsidR="0E8E3C36" w:rsidRPr="00E8461E">
        <w:rPr>
          <w:rFonts w:ascii="Calibri" w:eastAsia="Calibri" w:hAnsi="Calibri" w:cs="Calibri"/>
          <w:color w:val="000000" w:themeColor="text1"/>
        </w:rPr>
        <w:t>ccupation</w:t>
      </w:r>
      <w:r w:rsidRPr="00E8461E">
        <w:rPr>
          <w:rFonts w:ascii="Calibri" w:eastAsia="Calibri" w:hAnsi="Calibri" w:cs="Calibri"/>
          <w:color w:val="000000" w:themeColor="text1"/>
        </w:rPr>
        <w:t>s</w:t>
      </w:r>
      <w:r w:rsidR="00B3039F" w:rsidRPr="00E8461E">
        <w:rPr>
          <w:rFonts w:ascii="Calibri" w:eastAsia="Calibri" w:hAnsi="Calibri" w:cs="Calibri"/>
          <w:color w:val="000000" w:themeColor="text1"/>
        </w:rPr>
        <w:t xml:space="preserve"> also</w:t>
      </w:r>
      <w:r w:rsidR="0E8E3C36" w:rsidRPr="00E8461E">
        <w:rPr>
          <w:rFonts w:ascii="Calibri" w:eastAsia="Calibri" w:hAnsi="Calibri" w:cs="Calibri"/>
          <w:color w:val="000000" w:themeColor="text1"/>
        </w:rPr>
        <w:t xml:space="preserve"> put individuals at higher risk from climate change, rising temperatures and extreme </w:t>
      </w:r>
      <w:r w:rsidR="00BC2B3F" w:rsidRPr="00E8461E">
        <w:rPr>
          <w:rFonts w:ascii="Calibri" w:eastAsia="Calibri" w:hAnsi="Calibri" w:cs="Calibri"/>
          <w:color w:val="000000" w:themeColor="text1"/>
        </w:rPr>
        <w:t>weather</w:t>
      </w:r>
      <w:r w:rsidR="0E8E3C36" w:rsidRPr="00E8461E">
        <w:rPr>
          <w:rFonts w:ascii="Calibri" w:eastAsia="Calibri" w:hAnsi="Calibri" w:cs="Calibri"/>
          <w:color w:val="000000" w:themeColor="text1"/>
        </w:rPr>
        <w:t xml:space="preserve"> events</w:t>
      </w:r>
      <w:r w:rsidR="002735F6" w:rsidRPr="00E8461E">
        <w:rPr>
          <w:rFonts w:ascii="Calibri" w:eastAsia="Calibri" w:hAnsi="Calibri" w:cs="Calibri"/>
          <w:color w:val="000000" w:themeColor="text1"/>
        </w:rPr>
        <w:t>.</w:t>
      </w:r>
      <w:r w:rsidR="0E8E3C36" w:rsidRPr="00E8461E">
        <w:rPr>
          <w:rFonts w:ascii="Calibri" w:eastAsia="Calibri" w:hAnsi="Calibri" w:cs="Calibri"/>
          <w:color w:val="000000" w:themeColor="text1"/>
        </w:rPr>
        <w:t xml:space="preserve"> Outdoor workers such as farmers, rangers, </w:t>
      </w:r>
      <w:proofErr w:type="gramStart"/>
      <w:r w:rsidR="0E8E3C36" w:rsidRPr="00E8461E">
        <w:rPr>
          <w:rFonts w:ascii="Calibri" w:eastAsia="Calibri" w:hAnsi="Calibri" w:cs="Calibri"/>
          <w:color w:val="000000" w:themeColor="text1"/>
        </w:rPr>
        <w:t>construction</w:t>
      </w:r>
      <w:proofErr w:type="gramEnd"/>
      <w:r w:rsidR="0E8E3C36" w:rsidRPr="00E8461E">
        <w:rPr>
          <w:rFonts w:ascii="Calibri" w:eastAsia="Calibri" w:hAnsi="Calibri" w:cs="Calibri"/>
          <w:color w:val="000000" w:themeColor="text1"/>
        </w:rPr>
        <w:t xml:space="preserve"> and transportation workers, as well as those working in hot indoor environments, are at increased risk of heat-related illnesses, renal diseases and injuries.</w:t>
      </w:r>
      <w:r w:rsidR="00B110F4" w:rsidRPr="00E8461E">
        <w:rPr>
          <w:rStyle w:val="EndnoteReference"/>
          <w:rFonts w:ascii="Calibri" w:eastAsia="Calibri" w:hAnsi="Calibri" w:cs="Calibri"/>
          <w:color w:val="000000" w:themeColor="text1"/>
        </w:rPr>
        <w:endnoteReference w:id="39"/>
      </w:r>
      <w:r w:rsidR="0E8E3C36" w:rsidRPr="00E8461E">
        <w:rPr>
          <w:rFonts w:ascii="Calibri" w:eastAsia="Calibri" w:hAnsi="Calibri" w:cs="Calibri"/>
          <w:color w:val="000000" w:themeColor="text1"/>
        </w:rPr>
        <w:t xml:space="preserve"> First responders, including firefighters, paramedics and police officers, are at higher risk of exposure to floods, bushfires, heat and air pollution. Healthcare workers are potentially at higher risk of transmission of climate-related communicable </w:t>
      </w:r>
      <w:r w:rsidR="00991B2C" w:rsidRPr="00E8461E">
        <w:rPr>
          <w:rFonts w:ascii="Calibri" w:eastAsia="Calibri" w:hAnsi="Calibri" w:cs="Calibri"/>
          <w:color w:val="000000" w:themeColor="text1"/>
        </w:rPr>
        <w:t>diseases and</w:t>
      </w:r>
      <w:r w:rsidR="0E8E3C36" w:rsidRPr="00E8461E">
        <w:rPr>
          <w:rFonts w:ascii="Calibri" w:eastAsia="Calibri" w:hAnsi="Calibri" w:cs="Calibri"/>
          <w:color w:val="000000" w:themeColor="text1"/>
        </w:rPr>
        <w:t xml:space="preserve"> can be affected by surges in healthcare demand during extreme weather events.</w:t>
      </w:r>
      <w:r w:rsidR="00CF3247" w:rsidRPr="00E8461E">
        <w:rPr>
          <w:rStyle w:val="EndnoteReference"/>
          <w:rFonts w:ascii="Calibri" w:eastAsia="Calibri" w:hAnsi="Calibri" w:cs="Calibri"/>
          <w:color w:val="000000" w:themeColor="text1"/>
        </w:rPr>
        <w:endnoteReference w:id="40"/>
      </w:r>
      <w:r w:rsidR="0E8E3C36" w:rsidRPr="00E8461E">
        <w:rPr>
          <w:rFonts w:ascii="Calibri" w:eastAsia="Calibri" w:hAnsi="Calibri" w:cs="Calibri"/>
          <w:color w:val="000000" w:themeColor="text1"/>
        </w:rPr>
        <w:t xml:space="preserve"> Targeted advice and resources, such as suitable personal protective equipment, </w:t>
      </w:r>
      <w:proofErr w:type="gramStart"/>
      <w:r w:rsidR="0E8E3C36" w:rsidRPr="00E8461E">
        <w:rPr>
          <w:rFonts w:ascii="Calibri" w:eastAsia="Calibri" w:hAnsi="Calibri" w:cs="Calibri"/>
          <w:color w:val="000000" w:themeColor="text1"/>
        </w:rPr>
        <w:t>education</w:t>
      </w:r>
      <w:proofErr w:type="gramEnd"/>
      <w:r w:rsidR="0E8E3C36" w:rsidRPr="00E8461E">
        <w:rPr>
          <w:rFonts w:ascii="Calibri" w:eastAsia="Calibri" w:hAnsi="Calibri" w:cs="Calibri"/>
          <w:color w:val="000000" w:themeColor="text1"/>
        </w:rPr>
        <w:t xml:space="preserve"> and training, should be made available to protect and empower these priority occupational groups.</w:t>
      </w:r>
    </w:p>
    <w:p w14:paraId="2B00DD9F" w14:textId="77777777" w:rsidR="003B727B" w:rsidRPr="00E8461E" w:rsidRDefault="002D60EF" w:rsidP="742C1120">
      <w:pPr>
        <w:rPr>
          <w:rFonts w:ascii="Calibri" w:eastAsia="Calibri" w:hAnsi="Calibri" w:cs="Calibri"/>
          <w:color w:val="000000" w:themeColor="text1"/>
        </w:rPr>
      </w:pPr>
      <w:r w:rsidRPr="00E8461E">
        <w:rPr>
          <w:rFonts w:ascii="Calibri" w:eastAsia="Calibri" w:hAnsi="Calibri" w:cs="Calibri"/>
          <w:color w:val="000000" w:themeColor="text1"/>
        </w:rPr>
        <w:t>Individuals can</w:t>
      </w:r>
      <w:r w:rsidR="00266E60" w:rsidRPr="00E8461E">
        <w:rPr>
          <w:rFonts w:ascii="Calibri" w:eastAsia="Calibri" w:hAnsi="Calibri" w:cs="Calibri"/>
          <w:color w:val="000000" w:themeColor="text1"/>
        </w:rPr>
        <w:t xml:space="preserve"> </w:t>
      </w:r>
      <w:r w:rsidR="004D1EAB" w:rsidRPr="00E8461E">
        <w:rPr>
          <w:rFonts w:ascii="Calibri" w:eastAsia="Calibri" w:hAnsi="Calibri" w:cs="Calibri"/>
          <w:color w:val="000000" w:themeColor="text1"/>
        </w:rPr>
        <w:t xml:space="preserve">experience intersecting </w:t>
      </w:r>
      <w:r w:rsidR="007638EE" w:rsidRPr="00E8461E">
        <w:rPr>
          <w:rFonts w:ascii="Calibri" w:eastAsia="Calibri" w:hAnsi="Calibri" w:cs="Calibri"/>
          <w:color w:val="000000" w:themeColor="text1"/>
        </w:rPr>
        <w:t xml:space="preserve">susceptibility to the </w:t>
      </w:r>
      <w:r w:rsidR="00957F29" w:rsidRPr="00E8461E">
        <w:rPr>
          <w:rFonts w:ascii="Calibri" w:eastAsia="Calibri" w:hAnsi="Calibri" w:cs="Calibri"/>
          <w:color w:val="000000" w:themeColor="text1"/>
        </w:rPr>
        <w:t>health impacts of climate change.</w:t>
      </w:r>
      <w:r w:rsidR="007638EE" w:rsidRPr="00E8461E">
        <w:rPr>
          <w:rFonts w:ascii="Calibri" w:eastAsia="Calibri" w:hAnsi="Calibri" w:cs="Calibri"/>
          <w:color w:val="000000" w:themeColor="text1"/>
        </w:rPr>
        <w:t xml:space="preserve"> </w:t>
      </w:r>
      <w:r w:rsidR="00AD30B6" w:rsidRPr="00E8461E">
        <w:rPr>
          <w:rFonts w:ascii="Calibri" w:eastAsia="Calibri" w:hAnsi="Calibri" w:cs="Calibri"/>
          <w:color w:val="000000" w:themeColor="text1"/>
        </w:rPr>
        <w:t>For example, First Nations people experience higher rates of disability and chronic illness, and responses must prioritise cultural safety.</w:t>
      </w:r>
      <w:r w:rsidR="001F2805" w:rsidRPr="00E8461E">
        <w:rPr>
          <w:rFonts w:ascii="Calibri" w:eastAsia="Calibri" w:hAnsi="Calibri" w:cs="Calibri"/>
          <w:color w:val="000000" w:themeColor="text1"/>
        </w:rPr>
        <w:t xml:space="preserve"> </w:t>
      </w:r>
      <w:r w:rsidR="00C47EC8" w:rsidRPr="00E8461E">
        <w:rPr>
          <w:rFonts w:ascii="Calibri" w:eastAsia="Calibri" w:hAnsi="Calibri" w:cs="Calibri"/>
          <w:color w:val="000000" w:themeColor="text1"/>
        </w:rPr>
        <w:t xml:space="preserve">Culturally and linguistically diverse groups </w:t>
      </w:r>
      <w:r w:rsidR="00AA2927" w:rsidRPr="00E8461E">
        <w:rPr>
          <w:rFonts w:ascii="Calibri" w:eastAsia="Calibri" w:hAnsi="Calibri" w:cs="Calibri"/>
          <w:color w:val="000000" w:themeColor="text1"/>
        </w:rPr>
        <w:t xml:space="preserve">will </w:t>
      </w:r>
      <w:r w:rsidR="0056053D" w:rsidRPr="00E8461E">
        <w:rPr>
          <w:rFonts w:ascii="Calibri" w:eastAsia="Calibri" w:hAnsi="Calibri" w:cs="Calibri"/>
          <w:color w:val="000000" w:themeColor="text1"/>
        </w:rPr>
        <w:t xml:space="preserve">experience different climate </w:t>
      </w:r>
      <w:r w:rsidR="00DE48D3" w:rsidRPr="00E8461E">
        <w:rPr>
          <w:rFonts w:ascii="Calibri" w:eastAsia="Calibri" w:hAnsi="Calibri" w:cs="Calibri"/>
          <w:color w:val="000000" w:themeColor="text1"/>
        </w:rPr>
        <w:t>impact</w:t>
      </w:r>
      <w:r w:rsidR="0056053D" w:rsidRPr="00E8461E">
        <w:rPr>
          <w:rFonts w:ascii="Calibri" w:eastAsia="Calibri" w:hAnsi="Calibri" w:cs="Calibri"/>
          <w:color w:val="000000" w:themeColor="text1"/>
        </w:rPr>
        <w:t>s</w:t>
      </w:r>
      <w:r w:rsidR="00553F3C" w:rsidRPr="00E8461E">
        <w:rPr>
          <w:rFonts w:ascii="Calibri" w:eastAsia="Calibri" w:hAnsi="Calibri" w:cs="Calibri"/>
          <w:color w:val="000000" w:themeColor="text1"/>
        </w:rPr>
        <w:t xml:space="preserve">, depending on </w:t>
      </w:r>
      <w:r w:rsidR="006C12B6" w:rsidRPr="00E8461E">
        <w:rPr>
          <w:rFonts w:ascii="Calibri" w:eastAsia="Calibri" w:hAnsi="Calibri" w:cs="Calibri"/>
          <w:color w:val="000000" w:themeColor="text1"/>
        </w:rPr>
        <w:t>factors like</w:t>
      </w:r>
      <w:r w:rsidR="00553F3C" w:rsidRPr="00E8461E">
        <w:rPr>
          <w:rFonts w:ascii="Calibri" w:eastAsia="Calibri" w:hAnsi="Calibri" w:cs="Calibri"/>
          <w:color w:val="000000" w:themeColor="text1"/>
        </w:rPr>
        <w:t xml:space="preserve"> </w:t>
      </w:r>
      <w:r w:rsidR="003C17CB" w:rsidRPr="00E8461E">
        <w:rPr>
          <w:rFonts w:ascii="Calibri" w:eastAsia="Calibri" w:hAnsi="Calibri" w:cs="Calibri"/>
          <w:color w:val="000000" w:themeColor="text1"/>
        </w:rPr>
        <w:t xml:space="preserve">socio-economic status and </w:t>
      </w:r>
      <w:r w:rsidR="00553F3C" w:rsidRPr="00E8461E">
        <w:rPr>
          <w:rFonts w:ascii="Calibri" w:eastAsia="Calibri" w:hAnsi="Calibri" w:cs="Calibri"/>
          <w:color w:val="000000" w:themeColor="text1"/>
        </w:rPr>
        <w:t>whether they</w:t>
      </w:r>
      <w:r w:rsidR="00C47EC8" w:rsidRPr="00E8461E">
        <w:rPr>
          <w:rFonts w:ascii="Calibri" w:eastAsia="Calibri" w:hAnsi="Calibri" w:cs="Calibri"/>
          <w:color w:val="000000" w:themeColor="text1"/>
        </w:rPr>
        <w:t xml:space="preserve"> liv</w:t>
      </w:r>
      <w:r w:rsidR="00553F3C" w:rsidRPr="00E8461E">
        <w:rPr>
          <w:rFonts w:ascii="Calibri" w:eastAsia="Calibri" w:hAnsi="Calibri" w:cs="Calibri"/>
          <w:color w:val="000000" w:themeColor="text1"/>
        </w:rPr>
        <w:t>e</w:t>
      </w:r>
      <w:r w:rsidR="00C47EC8" w:rsidRPr="00E8461E">
        <w:rPr>
          <w:rFonts w:ascii="Calibri" w:eastAsia="Calibri" w:hAnsi="Calibri" w:cs="Calibri"/>
          <w:color w:val="000000" w:themeColor="text1"/>
        </w:rPr>
        <w:t xml:space="preserve"> in urban</w:t>
      </w:r>
      <w:r w:rsidR="003C17CB" w:rsidRPr="00E8461E">
        <w:rPr>
          <w:rFonts w:ascii="Calibri" w:eastAsia="Calibri" w:hAnsi="Calibri" w:cs="Calibri"/>
          <w:color w:val="000000" w:themeColor="text1"/>
        </w:rPr>
        <w:t xml:space="preserve"> or rural</w:t>
      </w:r>
      <w:r w:rsidR="00C47EC8" w:rsidRPr="00E8461E">
        <w:rPr>
          <w:rFonts w:ascii="Calibri" w:eastAsia="Calibri" w:hAnsi="Calibri" w:cs="Calibri"/>
          <w:color w:val="000000" w:themeColor="text1"/>
        </w:rPr>
        <w:t xml:space="preserve"> regions</w:t>
      </w:r>
      <w:r w:rsidR="00430715" w:rsidRPr="00E8461E">
        <w:rPr>
          <w:rFonts w:ascii="Calibri" w:eastAsia="Calibri" w:hAnsi="Calibri" w:cs="Calibri"/>
          <w:color w:val="000000" w:themeColor="text1"/>
        </w:rPr>
        <w:t>.</w:t>
      </w:r>
      <w:r w:rsidR="00F36F97" w:rsidRPr="00E8461E">
        <w:rPr>
          <w:rFonts w:ascii="Calibri" w:eastAsia="Calibri" w:hAnsi="Calibri" w:cs="Calibri"/>
          <w:color w:val="000000" w:themeColor="text1"/>
        </w:rPr>
        <w:t xml:space="preserve"> Policy responses must </w:t>
      </w:r>
      <w:r w:rsidR="0056053D" w:rsidRPr="00E8461E">
        <w:rPr>
          <w:rFonts w:ascii="Calibri" w:eastAsia="Calibri" w:hAnsi="Calibri" w:cs="Calibri"/>
          <w:color w:val="000000" w:themeColor="text1"/>
        </w:rPr>
        <w:t xml:space="preserve">be sensitive to </w:t>
      </w:r>
      <w:r w:rsidR="00554773" w:rsidRPr="00E8461E">
        <w:rPr>
          <w:rFonts w:ascii="Calibri" w:eastAsia="Calibri" w:hAnsi="Calibri" w:cs="Calibri"/>
          <w:color w:val="000000" w:themeColor="text1"/>
        </w:rPr>
        <w:t>how</w:t>
      </w:r>
      <w:r w:rsidR="00DD11B6" w:rsidRPr="00E8461E">
        <w:rPr>
          <w:rFonts w:ascii="Calibri" w:eastAsia="Calibri" w:hAnsi="Calibri" w:cs="Calibri"/>
          <w:color w:val="000000" w:themeColor="text1"/>
        </w:rPr>
        <w:t xml:space="preserve"> lived</w:t>
      </w:r>
      <w:r w:rsidR="00554773" w:rsidRPr="00E8461E">
        <w:rPr>
          <w:rFonts w:ascii="Calibri" w:eastAsia="Calibri" w:hAnsi="Calibri" w:cs="Calibri"/>
          <w:color w:val="000000" w:themeColor="text1"/>
        </w:rPr>
        <w:t xml:space="preserve"> experiences of </w:t>
      </w:r>
      <w:r w:rsidR="00357F08" w:rsidRPr="00E8461E">
        <w:rPr>
          <w:rFonts w:ascii="Calibri" w:eastAsia="Calibri" w:hAnsi="Calibri" w:cs="Calibri"/>
          <w:color w:val="000000" w:themeColor="text1"/>
        </w:rPr>
        <w:t xml:space="preserve">the increased risk to the health impacts of </w:t>
      </w:r>
      <w:r w:rsidR="00551DA5" w:rsidRPr="00E8461E">
        <w:rPr>
          <w:rFonts w:ascii="Calibri" w:eastAsia="Calibri" w:hAnsi="Calibri" w:cs="Calibri"/>
          <w:color w:val="000000" w:themeColor="text1"/>
        </w:rPr>
        <w:t xml:space="preserve">climate </w:t>
      </w:r>
      <w:r w:rsidR="00357F08" w:rsidRPr="00E8461E">
        <w:rPr>
          <w:rFonts w:ascii="Calibri" w:eastAsia="Calibri" w:hAnsi="Calibri" w:cs="Calibri"/>
          <w:color w:val="000000" w:themeColor="text1"/>
        </w:rPr>
        <w:t>change</w:t>
      </w:r>
      <w:r w:rsidR="00262201" w:rsidRPr="00E8461E">
        <w:rPr>
          <w:rFonts w:ascii="Calibri" w:eastAsia="Calibri" w:hAnsi="Calibri" w:cs="Calibri"/>
          <w:color w:val="000000" w:themeColor="text1"/>
        </w:rPr>
        <w:t xml:space="preserve"> can overlap </w:t>
      </w:r>
      <w:r w:rsidR="00174EAD" w:rsidRPr="00E8461E">
        <w:rPr>
          <w:rFonts w:ascii="Calibri" w:eastAsia="Calibri" w:hAnsi="Calibri" w:cs="Calibri"/>
          <w:color w:val="000000" w:themeColor="text1"/>
        </w:rPr>
        <w:t>across</w:t>
      </w:r>
      <w:r w:rsidR="00AF64F0" w:rsidRPr="00E8461E">
        <w:rPr>
          <w:rFonts w:ascii="Calibri" w:eastAsia="Calibri" w:hAnsi="Calibri" w:cs="Calibri"/>
          <w:color w:val="000000" w:themeColor="text1"/>
        </w:rPr>
        <w:t xml:space="preserve"> priority populations.</w:t>
      </w:r>
    </w:p>
    <w:p w14:paraId="6C336B8F" w14:textId="6128F251" w:rsidR="00C40905" w:rsidRPr="00E8461E" w:rsidRDefault="009B7AB2" w:rsidP="00CE2599">
      <w:pPr>
        <w:pStyle w:val="Heading2"/>
      </w:pPr>
      <w:bookmarkStart w:id="42" w:name="_Toc147086738"/>
      <w:bookmarkStart w:id="43" w:name="_Toc147502189"/>
      <w:bookmarkStart w:id="44" w:name="_Toc149909975"/>
      <w:bookmarkStart w:id="45" w:name="_Toc149918440"/>
      <w:bookmarkStart w:id="46" w:name="_Toc151999619"/>
      <w:r w:rsidRPr="00E8461E">
        <w:t>2</w:t>
      </w:r>
      <w:r w:rsidR="005405F9" w:rsidRPr="00E8461E">
        <w:t>.</w:t>
      </w:r>
      <w:r w:rsidR="00A51557" w:rsidRPr="00E8461E">
        <w:t>5</w:t>
      </w:r>
      <w:r w:rsidR="005405F9" w:rsidRPr="00E8461E">
        <w:t xml:space="preserve"> </w:t>
      </w:r>
      <w:r w:rsidR="00C40905" w:rsidRPr="00E8461E">
        <w:t>Enablers</w:t>
      </w:r>
      <w:bookmarkEnd w:id="42"/>
      <w:bookmarkEnd w:id="43"/>
      <w:bookmarkEnd w:id="44"/>
      <w:bookmarkEnd w:id="45"/>
      <w:bookmarkEnd w:id="46"/>
    </w:p>
    <w:p w14:paraId="7EA24F4A" w14:textId="24C8DBA1" w:rsidR="005A1A8D" w:rsidRPr="00E8461E" w:rsidRDefault="00D21AD8" w:rsidP="005A1A8D">
      <w:pPr>
        <w:rPr>
          <w:lang w:val="en-GB"/>
        </w:rPr>
      </w:pPr>
      <w:r w:rsidRPr="00E8461E">
        <w:rPr>
          <w:lang w:val="en-GB"/>
        </w:rPr>
        <w:t>The Strategy</w:t>
      </w:r>
      <w:r w:rsidR="004C52C5" w:rsidRPr="00E8461E">
        <w:rPr>
          <w:lang w:val="en-GB"/>
        </w:rPr>
        <w:t xml:space="preserve"> will also develop action </w:t>
      </w:r>
      <w:r w:rsidR="004669EC" w:rsidRPr="00E8461E">
        <w:rPr>
          <w:lang w:val="en-GB"/>
        </w:rPr>
        <w:t>in</w:t>
      </w:r>
      <w:r w:rsidR="006D1F75" w:rsidRPr="00E8461E">
        <w:rPr>
          <w:lang w:val="en-GB"/>
        </w:rPr>
        <w:t xml:space="preserve"> the following</w:t>
      </w:r>
      <w:r w:rsidR="00536498" w:rsidRPr="00E8461E">
        <w:rPr>
          <w:lang w:val="en-GB"/>
        </w:rPr>
        <w:t xml:space="preserve"> </w:t>
      </w:r>
      <w:r w:rsidR="004669EC" w:rsidRPr="00E8461E">
        <w:rPr>
          <w:lang w:val="en-GB"/>
        </w:rPr>
        <w:t xml:space="preserve">areas, which will </w:t>
      </w:r>
      <w:r w:rsidR="007D2166" w:rsidRPr="00E8461E">
        <w:rPr>
          <w:lang w:val="en-GB"/>
        </w:rPr>
        <w:t xml:space="preserve">‘enable’ achievement of the Strategy’s </w:t>
      </w:r>
      <w:r w:rsidR="00BE28E5" w:rsidRPr="00E8461E">
        <w:rPr>
          <w:lang w:val="en-GB"/>
        </w:rPr>
        <w:t>four</w:t>
      </w:r>
      <w:r w:rsidR="00C1783E" w:rsidRPr="00E8461E">
        <w:rPr>
          <w:lang w:val="en-GB"/>
        </w:rPr>
        <w:t xml:space="preserve"> </w:t>
      </w:r>
      <w:r w:rsidR="00C32E64" w:rsidRPr="00E8461E">
        <w:rPr>
          <w:lang w:val="en-GB"/>
        </w:rPr>
        <w:t xml:space="preserve">core </w:t>
      </w:r>
      <w:r w:rsidR="007D2166" w:rsidRPr="00E8461E">
        <w:rPr>
          <w:lang w:val="en-GB"/>
        </w:rPr>
        <w:t>objectives.</w:t>
      </w:r>
    </w:p>
    <w:p w14:paraId="5D144188" w14:textId="0BE69AFD" w:rsidR="00C40905" w:rsidRPr="00E8461E" w:rsidRDefault="004B008E" w:rsidP="00C40905">
      <w:pPr>
        <w:rPr>
          <w:lang w:val="en-GB"/>
        </w:rPr>
      </w:pPr>
      <w:r w:rsidRPr="00E8461E">
        <w:rPr>
          <w:b/>
          <w:lang w:val="en-GB"/>
        </w:rPr>
        <w:lastRenderedPageBreak/>
        <w:t>Enabler 1</w:t>
      </w:r>
      <w:r w:rsidR="00A02AC2" w:rsidRPr="00E8461E">
        <w:rPr>
          <w:b/>
          <w:bCs/>
          <w:lang w:val="en-GB"/>
        </w:rPr>
        <w:t>:</w:t>
      </w:r>
      <w:r w:rsidRPr="00E8461E">
        <w:rPr>
          <w:b/>
          <w:lang w:val="en-GB"/>
        </w:rPr>
        <w:t xml:space="preserve"> Workforce, </w:t>
      </w:r>
      <w:proofErr w:type="gramStart"/>
      <w:r w:rsidRPr="00E8461E">
        <w:rPr>
          <w:b/>
          <w:lang w:val="en-GB"/>
        </w:rPr>
        <w:t>leadership</w:t>
      </w:r>
      <w:proofErr w:type="gramEnd"/>
      <w:r w:rsidRPr="00E8461E">
        <w:rPr>
          <w:b/>
          <w:lang w:val="en-GB"/>
        </w:rPr>
        <w:t xml:space="preserve"> and training</w:t>
      </w:r>
      <w:r w:rsidR="00A02AC2" w:rsidRPr="00E8461E">
        <w:rPr>
          <w:b/>
          <w:bCs/>
          <w:lang w:val="en-GB"/>
        </w:rPr>
        <w:t>.</w:t>
      </w:r>
      <w:r w:rsidR="007F0112" w:rsidRPr="00E8461E">
        <w:rPr>
          <w:lang w:val="en-GB"/>
        </w:rPr>
        <w:t xml:space="preserve"> </w:t>
      </w:r>
      <w:r w:rsidR="0061543C" w:rsidRPr="00E8461E">
        <w:rPr>
          <w:lang w:val="en-GB"/>
        </w:rPr>
        <w:t>The Strategy will s</w:t>
      </w:r>
      <w:r w:rsidR="006409A6" w:rsidRPr="00E8461E">
        <w:rPr>
          <w:lang w:val="en-GB"/>
        </w:rPr>
        <w:t>upport</w:t>
      </w:r>
      <w:r w:rsidR="00BB6E2E" w:rsidRPr="00E8461E">
        <w:rPr>
          <w:lang w:val="en-GB"/>
        </w:rPr>
        <w:t xml:space="preserve"> and engag</w:t>
      </w:r>
      <w:r w:rsidR="0061543C" w:rsidRPr="00E8461E">
        <w:rPr>
          <w:lang w:val="en-GB"/>
        </w:rPr>
        <w:t>e</w:t>
      </w:r>
      <w:r w:rsidR="00BB6E2E" w:rsidRPr="00E8461E">
        <w:rPr>
          <w:lang w:val="en-GB"/>
        </w:rPr>
        <w:t xml:space="preserve"> the health and aged care workforce to further develop the skills and capacity to raise public awareness and understanding of the health impacts of climate change</w:t>
      </w:r>
      <w:r w:rsidR="00B02C41" w:rsidRPr="00E8461E">
        <w:rPr>
          <w:lang w:val="en-GB"/>
        </w:rPr>
        <w:t xml:space="preserve"> and </w:t>
      </w:r>
      <w:r w:rsidR="00BB6E2E" w:rsidRPr="00E8461E">
        <w:rPr>
          <w:lang w:val="en-GB"/>
        </w:rPr>
        <w:t>take action to address these impacts</w:t>
      </w:r>
      <w:r w:rsidR="00B02C41" w:rsidRPr="00E8461E">
        <w:rPr>
          <w:lang w:val="en-GB"/>
        </w:rPr>
        <w:t>. It wil</w:t>
      </w:r>
      <w:r w:rsidR="007541D4" w:rsidRPr="00E8461E">
        <w:rPr>
          <w:lang w:val="en-GB"/>
        </w:rPr>
        <w:t xml:space="preserve">l also support the </w:t>
      </w:r>
      <w:r w:rsidR="00246DDF" w:rsidRPr="00E8461E">
        <w:rPr>
          <w:lang w:val="en-GB"/>
        </w:rPr>
        <w:t>workforce</w:t>
      </w:r>
      <w:r w:rsidR="007541D4" w:rsidRPr="00E8461E">
        <w:rPr>
          <w:lang w:val="en-GB"/>
        </w:rPr>
        <w:t xml:space="preserve"> to </w:t>
      </w:r>
      <w:r w:rsidR="00BB6E2E" w:rsidRPr="00E8461E">
        <w:rPr>
          <w:lang w:val="en-GB"/>
        </w:rPr>
        <w:t>strengthe</w:t>
      </w:r>
      <w:r w:rsidR="007541D4" w:rsidRPr="00E8461E">
        <w:rPr>
          <w:lang w:val="en-GB"/>
        </w:rPr>
        <w:t>n</w:t>
      </w:r>
      <w:r w:rsidR="00BB6E2E" w:rsidRPr="00E8461E">
        <w:rPr>
          <w:lang w:val="en-GB"/>
        </w:rPr>
        <w:t xml:space="preserve"> the resilience of health services </w:t>
      </w:r>
      <w:r w:rsidR="007541D4" w:rsidRPr="00E8461E">
        <w:rPr>
          <w:lang w:val="en-GB"/>
        </w:rPr>
        <w:t>in</w:t>
      </w:r>
      <w:r w:rsidR="00BB6E2E" w:rsidRPr="00E8461E">
        <w:rPr>
          <w:lang w:val="en-GB"/>
        </w:rPr>
        <w:t xml:space="preserve"> providing care to affected populations and lead</w:t>
      </w:r>
      <w:r w:rsidR="00391AEA" w:rsidRPr="00E8461E">
        <w:rPr>
          <w:lang w:val="en-GB"/>
        </w:rPr>
        <w:t xml:space="preserve"> </w:t>
      </w:r>
      <w:r w:rsidR="00BB6E2E" w:rsidRPr="00E8461E">
        <w:rPr>
          <w:lang w:val="en-GB"/>
        </w:rPr>
        <w:t>innovation in reducing health system emissions.</w:t>
      </w:r>
    </w:p>
    <w:p w14:paraId="5659BB95" w14:textId="0DE39B96" w:rsidR="00460238" w:rsidRPr="00E8461E" w:rsidRDefault="00460238" w:rsidP="00460238">
      <w:pPr>
        <w:rPr>
          <w:lang w:val="en-GB"/>
        </w:rPr>
      </w:pPr>
      <w:r w:rsidRPr="00E8461E">
        <w:rPr>
          <w:b/>
          <w:lang w:val="en-GB"/>
        </w:rPr>
        <w:t>Enabler 2</w:t>
      </w:r>
      <w:r w:rsidR="00A02AC2" w:rsidRPr="00E8461E">
        <w:rPr>
          <w:b/>
          <w:bCs/>
          <w:lang w:val="en-GB"/>
        </w:rPr>
        <w:t>:</w:t>
      </w:r>
      <w:r w:rsidR="00205FA0" w:rsidRPr="00E8461E">
        <w:rPr>
          <w:b/>
          <w:lang w:val="en-GB"/>
        </w:rPr>
        <w:t xml:space="preserve"> </w:t>
      </w:r>
      <w:r w:rsidRPr="00E8461E">
        <w:rPr>
          <w:b/>
          <w:lang w:val="en-GB"/>
        </w:rPr>
        <w:t>Research</w:t>
      </w:r>
      <w:r w:rsidR="00A02AC2" w:rsidRPr="00E8461E">
        <w:rPr>
          <w:b/>
          <w:bCs/>
          <w:lang w:val="en-GB"/>
        </w:rPr>
        <w:t xml:space="preserve"> and innovation.</w:t>
      </w:r>
      <w:r w:rsidR="00C7005B" w:rsidRPr="00E8461E">
        <w:rPr>
          <w:b/>
          <w:lang w:val="en-GB"/>
        </w:rPr>
        <w:t xml:space="preserve"> </w:t>
      </w:r>
      <w:r w:rsidRPr="00E8461E">
        <w:rPr>
          <w:lang w:val="en-GB"/>
        </w:rPr>
        <w:t>Investing in and supporting coordinated climate and health research will improve the evidence base</w:t>
      </w:r>
      <w:r w:rsidR="00205FA0" w:rsidRPr="00E8461E">
        <w:rPr>
          <w:b/>
          <w:lang w:val="en-GB"/>
        </w:rPr>
        <w:t xml:space="preserve"> </w:t>
      </w:r>
      <w:r w:rsidRPr="00E8461E">
        <w:rPr>
          <w:lang w:val="en-GB"/>
        </w:rPr>
        <w:t>for responses to</w:t>
      </w:r>
      <w:r w:rsidR="001D5837" w:rsidRPr="00E8461E">
        <w:rPr>
          <w:lang w:val="en-GB"/>
        </w:rPr>
        <w:t xml:space="preserve"> climate change</w:t>
      </w:r>
      <w:r w:rsidRPr="00E8461E">
        <w:rPr>
          <w:lang w:val="en-GB"/>
        </w:rPr>
        <w:t>.</w:t>
      </w:r>
    </w:p>
    <w:p w14:paraId="42733A27" w14:textId="2A6E7822" w:rsidR="00BE531F" w:rsidRPr="00E8461E" w:rsidRDefault="00C7005B" w:rsidP="00BE531F">
      <w:pPr>
        <w:rPr>
          <w:lang w:val="en-GB"/>
        </w:rPr>
      </w:pPr>
      <w:r w:rsidRPr="00E8461E">
        <w:rPr>
          <w:b/>
          <w:lang w:val="en-GB"/>
        </w:rPr>
        <w:t>Enabler 3</w:t>
      </w:r>
      <w:r w:rsidR="00A02AC2" w:rsidRPr="00E8461E">
        <w:rPr>
          <w:b/>
          <w:bCs/>
          <w:lang w:val="en-GB"/>
        </w:rPr>
        <w:t>:</w:t>
      </w:r>
      <w:r w:rsidRPr="00E8461E">
        <w:rPr>
          <w:b/>
          <w:lang w:val="en-GB"/>
        </w:rPr>
        <w:t xml:space="preserve"> </w:t>
      </w:r>
      <w:r w:rsidR="00797030" w:rsidRPr="00E8461E">
        <w:rPr>
          <w:b/>
          <w:lang w:val="en-GB"/>
        </w:rPr>
        <w:t>Communication and engagement</w:t>
      </w:r>
      <w:r w:rsidR="00A02AC2" w:rsidRPr="00E8461E">
        <w:rPr>
          <w:b/>
          <w:bCs/>
          <w:lang w:val="en-GB"/>
        </w:rPr>
        <w:t>.</w:t>
      </w:r>
      <w:r w:rsidR="00141DDF" w:rsidRPr="00E8461E">
        <w:rPr>
          <w:b/>
          <w:lang w:val="en-GB"/>
        </w:rPr>
        <w:t xml:space="preserve"> </w:t>
      </w:r>
      <w:r w:rsidR="00D718C6" w:rsidRPr="00E8461E">
        <w:rPr>
          <w:lang w:val="en-GB"/>
        </w:rPr>
        <w:t xml:space="preserve">Improving and refining how agencies </w:t>
      </w:r>
      <w:r w:rsidR="006305FD" w:rsidRPr="00E8461E">
        <w:rPr>
          <w:lang w:val="en-GB"/>
        </w:rPr>
        <w:t xml:space="preserve">communicate and </w:t>
      </w:r>
      <w:r w:rsidR="00D718C6" w:rsidRPr="00E8461E">
        <w:rPr>
          <w:lang w:val="en-GB"/>
        </w:rPr>
        <w:t>engage</w:t>
      </w:r>
      <w:r w:rsidR="00141DDF" w:rsidRPr="00E8461E">
        <w:rPr>
          <w:lang w:val="en-GB"/>
        </w:rPr>
        <w:t xml:space="preserve"> with a wide range of stakeholders and the </w:t>
      </w:r>
      <w:proofErr w:type="gramStart"/>
      <w:r w:rsidR="00141DDF" w:rsidRPr="00E8461E">
        <w:rPr>
          <w:lang w:val="en-GB"/>
        </w:rPr>
        <w:t>general public</w:t>
      </w:r>
      <w:proofErr w:type="gramEnd"/>
      <w:r w:rsidR="00141DDF" w:rsidRPr="00E8461E">
        <w:rPr>
          <w:lang w:val="en-GB"/>
        </w:rPr>
        <w:t xml:space="preserve"> will ensure action to address the health impacts of climate change </w:t>
      </w:r>
      <w:r w:rsidR="009806ED" w:rsidRPr="00E8461E">
        <w:rPr>
          <w:lang w:val="en-GB"/>
        </w:rPr>
        <w:t xml:space="preserve">and decarbonise the health system </w:t>
      </w:r>
      <w:r w:rsidR="007F4AAC" w:rsidRPr="00E8461E">
        <w:rPr>
          <w:lang w:val="en-GB"/>
        </w:rPr>
        <w:t xml:space="preserve">is </w:t>
      </w:r>
      <w:r w:rsidR="00141DDF" w:rsidRPr="00E8461E">
        <w:rPr>
          <w:lang w:val="en-GB"/>
        </w:rPr>
        <w:t>widely understood</w:t>
      </w:r>
      <w:r w:rsidR="007A3CCE" w:rsidRPr="00E8461E">
        <w:rPr>
          <w:lang w:val="en-GB"/>
        </w:rPr>
        <w:t xml:space="preserve"> and endorsed</w:t>
      </w:r>
      <w:r w:rsidR="00141DDF" w:rsidRPr="00E8461E">
        <w:rPr>
          <w:lang w:val="en-GB"/>
        </w:rPr>
        <w:t>.</w:t>
      </w:r>
    </w:p>
    <w:p w14:paraId="3EC8EF1A" w14:textId="0630B80F" w:rsidR="004263C8" w:rsidRPr="00E8461E" w:rsidRDefault="00990082" w:rsidP="009023C9">
      <w:pPr>
        <w:rPr>
          <w:lang w:val="en-GB"/>
        </w:rPr>
      </w:pPr>
      <w:r w:rsidRPr="00E8461E">
        <w:rPr>
          <w:b/>
          <w:lang w:val="en-GB"/>
        </w:rPr>
        <w:t>Enabler 4</w:t>
      </w:r>
      <w:r w:rsidR="00A02AC2" w:rsidRPr="00E8461E">
        <w:rPr>
          <w:b/>
          <w:bCs/>
          <w:lang w:val="en-GB"/>
        </w:rPr>
        <w:t>:</w:t>
      </w:r>
      <w:r w:rsidRPr="00E8461E">
        <w:rPr>
          <w:b/>
          <w:lang w:val="en-GB"/>
        </w:rPr>
        <w:t xml:space="preserve"> </w:t>
      </w:r>
      <w:r w:rsidR="00CD105E" w:rsidRPr="00E8461E">
        <w:rPr>
          <w:b/>
          <w:lang w:val="en-GB"/>
        </w:rPr>
        <w:t>Collaboration</w:t>
      </w:r>
      <w:r w:rsidR="00E20F04" w:rsidRPr="00E8461E">
        <w:rPr>
          <w:b/>
          <w:bCs/>
          <w:lang w:val="en-GB"/>
        </w:rPr>
        <w:t xml:space="preserve"> and governance</w:t>
      </w:r>
      <w:r w:rsidR="00A02AC2" w:rsidRPr="00E8461E">
        <w:rPr>
          <w:b/>
          <w:bCs/>
          <w:lang w:val="en-GB"/>
        </w:rPr>
        <w:t>.</w:t>
      </w:r>
      <w:r w:rsidR="00CD105E" w:rsidRPr="00E8461E">
        <w:rPr>
          <w:b/>
          <w:lang w:val="en-GB"/>
        </w:rPr>
        <w:t xml:space="preserve"> </w:t>
      </w:r>
      <w:r w:rsidR="00B426FE" w:rsidRPr="00E8461E">
        <w:rPr>
          <w:lang w:val="en-GB"/>
        </w:rPr>
        <w:t>Ensuring appropriate</w:t>
      </w:r>
      <w:r w:rsidR="00BE531F" w:rsidRPr="00E8461E">
        <w:rPr>
          <w:lang w:val="en-GB"/>
        </w:rPr>
        <w:t xml:space="preserve"> governance structures </w:t>
      </w:r>
      <w:r w:rsidR="00B426FE" w:rsidRPr="00E8461E">
        <w:rPr>
          <w:lang w:val="en-GB"/>
        </w:rPr>
        <w:t>are in place</w:t>
      </w:r>
      <w:r w:rsidR="00BE531F" w:rsidRPr="00E8461E">
        <w:rPr>
          <w:lang w:val="en-GB"/>
        </w:rPr>
        <w:t xml:space="preserve"> – both cross-jurisdictional and beyond government – to facilitate</w:t>
      </w:r>
      <w:r w:rsidRPr="00E8461E">
        <w:rPr>
          <w:lang w:val="en-GB"/>
        </w:rPr>
        <w:t xml:space="preserve"> </w:t>
      </w:r>
      <w:r w:rsidR="00BE531F" w:rsidRPr="00E8461E">
        <w:rPr>
          <w:lang w:val="en-GB"/>
        </w:rPr>
        <w:t>regular collaboration with all stakeholders (</w:t>
      </w:r>
      <w:r w:rsidR="00B518AF" w:rsidRPr="00E8461E">
        <w:rPr>
          <w:lang w:val="en-GB"/>
        </w:rPr>
        <w:t xml:space="preserve">including </w:t>
      </w:r>
      <w:r w:rsidR="00C744DD" w:rsidRPr="00E8461E">
        <w:rPr>
          <w:lang w:val="en-GB"/>
        </w:rPr>
        <w:t>workforce,</w:t>
      </w:r>
      <w:r w:rsidR="00B518AF" w:rsidRPr="00E8461E">
        <w:rPr>
          <w:lang w:val="en-GB"/>
        </w:rPr>
        <w:t xml:space="preserve"> </w:t>
      </w:r>
      <w:proofErr w:type="gramStart"/>
      <w:r w:rsidR="00B518AF" w:rsidRPr="00E8461E">
        <w:rPr>
          <w:lang w:val="en-GB"/>
        </w:rPr>
        <w:t>consumers</w:t>
      </w:r>
      <w:proofErr w:type="gramEnd"/>
      <w:r w:rsidR="00B518AF" w:rsidRPr="00E8461E">
        <w:rPr>
          <w:lang w:val="en-GB"/>
        </w:rPr>
        <w:t xml:space="preserve"> </w:t>
      </w:r>
      <w:r w:rsidR="00BE531F" w:rsidRPr="00E8461E">
        <w:rPr>
          <w:lang w:val="en-GB"/>
        </w:rPr>
        <w:t xml:space="preserve">and </w:t>
      </w:r>
      <w:r w:rsidR="00B518AF" w:rsidRPr="00E8461E">
        <w:rPr>
          <w:lang w:val="en-GB"/>
        </w:rPr>
        <w:t>patients</w:t>
      </w:r>
      <w:r w:rsidR="00BE531F" w:rsidRPr="00E8461E">
        <w:rPr>
          <w:lang w:val="en-GB"/>
        </w:rPr>
        <w:t>) will build ownership</w:t>
      </w:r>
      <w:r w:rsidR="003D3ED9" w:rsidRPr="00E8461E">
        <w:rPr>
          <w:lang w:val="en-GB"/>
        </w:rPr>
        <w:t>, define roles and responsibilities</w:t>
      </w:r>
      <w:r w:rsidR="004A593A" w:rsidRPr="00E8461E">
        <w:rPr>
          <w:lang w:val="en-GB"/>
        </w:rPr>
        <w:t>,</w:t>
      </w:r>
      <w:r w:rsidR="00BE531F" w:rsidRPr="00E8461E">
        <w:rPr>
          <w:lang w:val="en-GB"/>
        </w:rPr>
        <w:t xml:space="preserve"> and</w:t>
      </w:r>
      <w:r w:rsidRPr="00E8461E">
        <w:rPr>
          <w:lang w:val="en-GB"/>
        </w:rPr>
        <w:t xml:space="preserve"> </w:t>
      </w:r>
      <w:r w:rsidR="00BE531F" w:rsidRPr="00E8461E">
        <w:rPr>
          <w:lang w:val="en-GB"/>
        </w:rPr>
        <w:t>facilitate working partnerships where required to plan and deliver shared commitments to reduce</w:t>
      </w:r>
      <w:r w:rsidRPr="00E8461E">
        <w:rPr>
          <w:lang w:val="en-GB"/>
        </w:rPr>
        <w:t xml:space="preserve"> </w:t>
      </w:r>
      <w:r w:rsidR="00BE531F" w:rsidRPr="00E8461E">
        <w:rPr>
          <w:lang w:val="en-GB"/>
        </w:rPr>
        <w:t>emissions and strengthen climate resilience.</w:t>
      </w:r>
      <w:r w:rsidR="00B518AF" w:rsidRPr="00E8461E">
        <w:rPr>
          <w:lang w:val="en-GB"/>
        </w:rPr>
        <w:t xml:space="preserve"> </w:t>
      </w:r>
      <w:r w:rsidR="00692CED" w:rsidRPr="00E8461E">
        <w:rPr>
          <w:lang w:val="en-GB"/>
        </w:rPr>
        <w:t>These governance structures</w:t>
      </w:r>
      <w:r w:rsidR="00C744DD" w:rsidRPr="00E8461E">
        <w:rPr>
          <w:lang w:val="en-GB"/>
        </w:rPr>
        <w:t xml:space="preserve"> will </w:t>
      </w:r>
      <w:r w:rsidR="006C793D" w:rsidRPr="00E8461E">
        <w:rPr>
          <w:lang w:val="en-GB"/>
        </w:rPr>
        <w:t xml:space="preserve">also </w:t>
      </w:r>
      <w:r w:rsidR="00C744DD" w:rsidRPr="00E8461E">
        <w:rPr>
          <w:lang w:val="en-GB"/>
        </w:rPr>
        <w:t xml:space="preserve">be </w:t>
      </w:r>
      <w:r w:rsidR="006C793D" w:rsidRPr="00E8461E">
        <w:rPr>
          <w:lang w:val="en-GB"/>
        </w:rPr>
        <w:t>used</w:t>
      </w:r>
      <w:r w:rsidR="009023C9" w:rsidRPr="00E8461E">
        <w:rPr>
          <w:lang w:val="en-GB"/>
        </w:rPr>
        <w:t xml:space="preserve"> to </w:t>
      </w:r>
      <w:r w:rsidR="006C793D" w:rsidRPr="00E8461E">
        <w:rPr>
          <w:lang w:val="en-GB"/>
        </w:rPr>
        <w:t>measure and track</w:t>
      </w:r>
      <w:r w:rsidR="009023C9" w:rsidRPr="00E8461E">
        <w:rPr>
          <w:lang w:val="en-GB"/>
        </w:rPr>
        <w:t xml:space="preserve"> progress </w:t>
      </w:r>
      <w:r w:rsidR="006C793D" w:rsidRPr="00E8461E">
        <w:rPr>
          <w:lang w:val="en-GB"/>
        </w:rPr>
        <w:t>in delivering the Strategy</w:t>
      </w:r>
      <w:r w:rsidR="009023C9" w:rsidRPr="00E8461E">
        <w:rPr>
          <w:lang w:val="en-GB"/>
        </w:rPr>
        <w:t xml:space="preserve">, inform future decisions, drive </w:t>
      </w:r>
      <w:proofErr w:type="gramStart"/>
      <w:r w:rsidR="009023C9" w:rsidRPr="00E8461E">
        <w:rPr>
          <w:lang w:val="en-GB"/>
        </w:rPr>
        <w:t>action</w:t>
      </w:r>
      <w:proofErr w:type="gramEnd"/>
      <w:r w:rsidR="009023C9" w:rsidRPr="00E8461E">
        <w:rPr>
          <w:lang w:val="en-GB"/>
        </w:rPr>
        <w:t xml:space="preserve"> and hold </w:t>
      </w:r>
      <w:r w:rsidR="006A45C3" w:rsidRPr="00E8461E">
        <w:rPr>
          <w:lang w:val="en-GB"/>
        </w:rPr>
        <w:t xml:space="preserve">policymakers and </w:t>
      </w:r>
      <w:r w:rsidR="009023C9" w:rsidRPr="00E8461E">
        <w:rPr>
          <w:lang w:val="en-GB"/>
        </w:rPr>
        <w:t>stakeholders accountable.</w:t>
      </w:r>
    </w:p>
    <w:p w14:paraId="0A98A5D0" w14:textId="33ED99ED" w:rsidR="0093009B" w:rsidRPr="00E8461E" w:rsidRDefault="009B7AB2" w:rsidP="00CE2599">
      <w:pPr>
        <w:pStyle w:val="Heading2"/>
      </w:pPr>
      <w:bookmarkStart w:id="47" w:name="_Toc147086739"/>
      <w:bookmarkStart w:id="48" w:name="_Toc147502190"/>
      <w:bookmarkStart w:id="49" w:name="_Toc149909976"/>
      <w:bookmarkStart w:id="50" w:name="_Toc149918441"/>
      <w:bookmarkStart w:id="51" w:name="_Toc151999620"/>
      <w:r w:rsidRPr="00E8461E">
        <w:t>2</w:t>
      </w:r>
      <w:r w:rsidR="005405F9" w:rsidRPr="00E8461E">
        <w:t>.</w:t>
      </w:r>
      <w:r w:rsidR="00A51557" w:rsidRPr="00E8461E">
        <w:t>6</w:t>
      </w:r>
      <w:r w:rsidR="005405F9" w:rsidRPr="00E8461E">
        <w:t xml:space="preserve"> </w:t>
      </w:r>
      <w:r w:rsidR="0093009B" w:rsidRPr="00E8461E">
        <w:t>Consultation</w:t>
      </w:r>
      <w:bookmarkEnd w:id="47"/>
      <w:bookmarkEnd w:id="48"/>
      <w:bookmarkEnd w:id="49"/>
      <w:bookmarkEnd w:id="50"/>
      <w:bookmarkEnd w:id="51"/>
    </w:p>
    <w:p w14:paraId="35B7B747" w14:textId="31306882" w:rsidR="005E6A67" w:rsidRPr="00E8461E" w:rsidRDefault="00613D87" w:rsidP="0093009B">
      <w:pPr>
        <w:rPr>
          <w:lang w:val="en-GB"/>
        </w:rPr>
      </w:pPr>
      <w:r w:rsidRPr="00E8461E">
        <w:rPr>
          <w:lang w:val="en-GB"/>
        </w:rPr>
        <w:t>The diverse</w:t>
      </w:r>
      <w:r w:rsidR="0093009B" w:rsidRPr="00E8461E">
        <w:rPr>
          <w:lang w:val="en-GB"/>
        </w:rPr>
        <w:t xml:space="preserve"> views, ideas and experiences </w:t>
      </w:r>
      <w:r w:rsidRPr="00E8461E">
        <w:rPr>
          <w:lang w:val="en-GB"/>
        </w:rPr>
        <w:t>of</w:t>
      </w:r>
      <w:r w:rsidR="0093009B" w:rsidRPr="00E8461E">
        <w:rPr>
          <w:lang w:val="en-GB"/>
        </w:rPr>
        <w:t xml:space="preserve"> stakeholders and the community</w:t>
      </w:r>
      <w:r w:rsidRPr="00E8461E">
        <w:rPr>
          <w:lang w:val="en-GB"/>
        </w:rPr>
        <w:t xml:space="preserve"> ha</w:t>
      </w:r>
      <w:r w:rsidR="0021010A" w:rsidRPr="00E8461E">
        <w:rPr>
          <w:lang w:val="en-GB"/>
        </w:rPr>
        <w:t>ve</w:t>
      </w:r>
      <w:r w:rsidRPr="00E8461E">
        <w:rPr>
          <w:lang w:val="en-GB"/>
        </w:rPr>
        <w:t xml:space="preserve"> been a vital input into develop</w:t>
      </w:r>
      <w:r w:rsidR="00D64C2C" w:rsidRPr="00E8461E">
        <w:rPr>
          <w:lang w:val="en-GB"/>
        </w:rPr>
        <w:t>ing</w:t>
      </w:r>
      <w:r w:rsidRPr="00E8461E">
        <w:rPr>
          <w:lang w:val="en-GB"/>
        </w:rPr>
        <w:t xml:space="preserve"> this Strategy</w:t>
      </w:r>
      <w:r w:rsidR="0093009B" w:rsidRPr="00E8461E">
        <w:rPr>
          <w:lang w:val="en-GB"/>
        </w:rPr>
        <w:t xml:space="preserve">. To capture these perspectives, the Department </w:t>
      </w:r>
      <w:r w:rsidR="00B67396" w:rsidRPr="00E8461E">
        <w:rPr>
          <w:lang w:val="en-GB"/>
        </w:rPr>
        <w:t>of Health and Aged Care</w:t>
      </w:r>
      <w:r w:rsidR="0093009B" w:rsidRPr="00E8461E">
        <w:rPr>
          <w:lang w:val="en-GB"/>
        </w:rPr>
        <w:t xml:space="preserve"> released a </w:t>
      </w:r>
      <w:r w:rsidR="008A1652" w:rsidRPr="00E8461E">
        <w:rPr>
          <w:lang w:val="en-GB"/>
        </w:rPr>
        <w:t>Consultation Paper</w:t>
      </w:r>
      <w:r w:rsidR="0093009B" w:rsidRPr="00E8461E">
        <w:rPr>
          <w:lang w:val="en-GB"/>
        </w:rPr>
        <w:t xml:space="preserve"> </w:t>
      </w:r>
      <w:r w:rsidR="003E3F22" w:rsidRPr="00E8461E">
        <w:rPr>
          <w:lang w:val="en-GB"/>
        </w:rPr>
        <w:t xml:space="preserve">via the Department’s Consultation Hub as a starting point for testing the proposed approach to </w:t>
      </w:r>
      <w:r w:rsidR="00E35B71" w:rsidRPr="00E8461E">
        <w:rPr>
          <w:lang w:val="en-GB"/>
        </w:rPr>
        <w:t>S</w:t>
      </w:r>
      <w:r w:rsidR="003E3F22" w:rsidRPr="00E8461E">
        <w:rPr>
          <w:lang w:val="en-GB"/>
        </w:rPr>
        <w:t>trategy development</w:t>
      </w:r>
      <w:r w:rsidR="00385766" w:rsidRPr="00E8461E">
        <w:rPr>
          <w:lang w:val="en-GB"/>
        </w:rPr>
        <w:t>.</w:t>
      </w:r>
      <w:r w:rsidR="00C669EB" w:rsidRPr="00E8461E">
        <w:rPr>
          <w:lang w:val="en-GB"/>
        </w:rPr>
        <w:t xml:space="preserve"> The </w:t>
      </w:r>
      <w:r w:rsidR="007C4FC6" w:rsidRPr="00E8461E">
        <w:rPr>
          <w:lang w:val="en-GB"/>
        </w:rPr>
        <w:t xml:space="preserve">Consultation </w:t>
      </w:r>
      <w:r w:rsidR="00491612" w:rsidRPr="00E8461E">
        <w:rPr>
          <w:lang w:val="en-GB"/>
        </w:rPr>
        <w:t>Paper</w:t>
      </w:r>
      <w:r w:rsidR="003E3F22" w:rsidRPr="00E8461E">
        <w:rPr>
          <w:lang w:val="en-GB"/>
        </w:rPr>
        <w:t xml:space="preserve"> pos</w:t>
      </w:r>
      <w:r w:rsidR="00E83755" w:rsidRPr="00E8461E">
        <w:rPr>
          <w:lang w:val="en-GB"/>
        </w:rPr>
        <w:t>ed</w:t>
      </w:r>
      <w:r w:rsidR="003E3F22" w:rsidRPr="00E8461E">
        <w:rPr>
          <w:lang w:val="en-GB"/>
        </w:rPr>
        <w:t xml:space="preserve"> 25 questions to frame conversations, </w:t>
      </w:r>
      <w:r w:rsidR="000D437A" w:rsidRPr="00E8461E">
        <w:rPr>
          <w:lang w:val="en-GB"/>
        </w:rPr>
        <w:t>and</w:t>
      </w:r>
      <w:r w:rsidR="00D06D1D" w:rsidRPr="00E8461E">
        <w:rPr>
          <w:lang w:val="en-GB"/>
        </w:rPr>
        <w:t xml:space="preserve"> the Department invited</w:t>
      </w:r>
      <w:r w:rsidR="00F42910" w:rsidRPr="00E8461E">
        <w:rPr>
          <w:lang w:val="en-GB"/>
        </w:rPr>
        <w:t xml:space="preserve"> </w:t>
      </w:r>
      <w:r w:rsidR="003E3F22" w:rsidRPr="00E8461E">
        <w:rPr>
          <w:lang w:val="en-GB"/>
        </w:rPr>
        <w:t>written submissions</w:t>
      </w:r>
      <w:r w:rsidR="000D437A" w:rsidRPr="00E8461E">
        <w:rPr>
          <w:lang w:val="en-GB"/>
        </w:rPr>
        <w:t xml:space="preserve"> </w:t>
      </w:r>
      <w:r w:rsidR="003E3F22" w:rsidRPr="00E8461E">
        <w:rPr>
          <w:lang w:val="en-GB"/>
        </w:rPr>
        <w:t xml:space="preserve">and </w:t>
      </w:r>
      <w:r w:rsidR="00511269" w:rsidRPr="00E8461E">
        <w:rPr>
          <w:lang w:val="en-GB"/>
        </w:rPr>
        <w:t>responses to</w:t>
      </w:r>
      <w:r w:rsidR="003E3F22" w:rsidRPr="00E8461E">
        <w:rPr>
          <w:lang w:val="en-GB"/>
        </w:rPr>
        <w:t xml:space="preserve"> online surveys.</w:t>
      </w:r>
      <w:r w:rsidR="003A4A6D" w:rsidRPr="00E8461E">
        <w:rPr>
          <w:rStyle w:val="EndnoteReference"/>
          <w:lang w:val="en-GB"/>
        </w:rPr>
        <w:endnoteReference w:id="41"/>
      </w:r>
    </w:p>
    <w:p w14:paraId="3AA8FDCC" w14:textId="11600A08" w:rsidR="008821D3" w:rsidRPr="00E8461E" w:rsidRDefault="001961BC" w:rsidP="001961BC">
      <w:pPr>
        <w:rPr>
          <w:lang w:val="en-GB"/>
        </w:rPr>
      </w:pPr>
      <w:r w:rsidRPr="00E8461E">
        <w:rPr>
          <w:lang w:val="en-GB"/>
        </w:rPr>
        <w:t xml:space="preserve">In addition to written responses, </w:t>
      </w:r>
      <w:r w:rsidR="008362DE" w:rsidRPr="00E8461E">
        <w:rPr>
          <w:lang w:val="en-GB"/>
        </w:rPr>
        <w:t>the Department</w:t>
      </w:r>
      <w:r w:rsidR="0093009B" w:rsidRPr="00E8461E">
        <w:rPr>
          <w:lang w:val="en-GB"/>
        </w:rPr>
        <w:t xml:space="preserve"> undertook a range </w:t>
      </w:r>
      <w:r w:rsidR="00251AE6" w:rsidRPr="00E8461E">
        <w:rPr>
          <w:lang w:val="en-GB"/>
        </w:rPr>
        <w:t>of</w:t>
      </w:r>
      <w:r w:rsidR="0093009B" w:rsidRPr="00E8461E">
        <w:rPr>
          <w:lang w:val="en-GB"/>
        </w:rPr>
        <w:t xml:space="preserve"> stakeholder engagement activit</w:t>
      </w:r>
      <w:r w:rsidR="006172CB" w:rsidRPr="00E8461E">
        <w:rPr>
          <w:lang w:val="en-GB"/>
        </w:rPr>
        <w:t>ies</w:t>
      </w:r>
      <w:r w:rsidR="0093009B" w:rsidRPr="00E8461E">
        <w:rPr>
          <w:lang w:val="en-GB"/>
        </w:rPr>
        <w:t xml:space="preserve">, including </w:t>
      </w:r>
      <w:r w:rsidR="008362DE" w:rsidRPr="00E8461E">
        <w:rPr>
          <w:lang w:val="en-GB"/>
        </w:rPr>
        <w:t>face-to-face and online consultation</w:t>
      </w:r>
      <w:r w:rsidR="0093009B" w:rsidRPr="00E8461E">
        <w:rPr>
          <w:lang w:val="en-GB"/>
        </w:rPr>
        <w:t xml:space="preserve"> workshops</w:t>
      </w:r>
      <w:r w:rsidR="008362DE" w:rsidRPr="00E8461E">
        <w:rPr>
          <w:lang w:val="en-GB"/>
        </w:rPr>
        <w:t xml:space="preserve"> and Ministerial roundtables</w:t>
      </w:r>
      <w:r w:rsidR="004D1313" w:rsidRPr="00E8461E">
        <w:rPr>
          <w:lang w:val="en-GB"/>
        </w:rPr>
        <w:t xml:space="preserve"> (see Figure 2)</w:t>
      </w:r>
      <w:r w:rsidR="008362DE" w:rsidRPr="00E8461E">
        <w:rPr>
          <w:lang w:val="en-GB"/>
        </w:rPr>
        <w:t xml:space="preserve">. </w:t>
      </w:r>
      <w:r w:rsidR="00857FDF" w:rsidRPr="00E8461E">
        <w:rPr>
          <w:lang w:val="en-GB"/>
        </w:rPr>
        <w:t>This included an online roundtable hosted by the Hon Ged Kearney</w:t>
      </w:r>
      <w:r w:rsidR="006440CB" w:rsidRPr="00E8461E">
        <w:rPr>
          <w:lang w:val="en-GB"/>
        </w:rPr>
        <w:t xml:space="preserve"> MP</w:t>
      </w:r>
      <w:r w:rsidR="00857FDF" w:rsidRPr="00E8461E">
        <w:rPr>
          <w:lang w:val="en-GB"/>
        </w:rPr>
        <w:t xml:space="preserve">, Assistant Minister for </w:t>
      </w:r>
      <w:proofErr w:type="gramStart"/>
      <w:r w:rsidR="00857FDF" w:rsidRPr="00E8461E">
        <w:rPr>
          <w:lang w:val="en-GB"/>
        </w:rPr>
        <w:t>Health</w:t>
      </w:r>
      <w:proofErr w:type="gramEnd"/>
      <w:r w:rsidR="00857FDF" w:rsidRPr="00E8461E">
        <w:rPr>
          <w:lang w:val="en-GB"/>
        </w:rPr>
        <w:t xml:space="preserve"> and Aged Care,</w:t>
      </w:r>
      <w:r w:rsidRPr="00E8461E">
        <w:rPr>
          <w:lang w:val="en-GB"/>
        </w:rPr>
        <w:t xml:space="preserve"> on the impacts of climate change on </w:t>
      </w:r>
      <w:r w:rsidR="00857FDF" w:rsidRPr="00E8461E">
        <w:rPr>
          <w:lang w:val="en-GB"/>
        </w:rPr>
        <w:t xml:space="preserve">the health and wellbeing of </w:t>
      </w:r>
      <w:r w:rsidRPr="00E8461E">
        <w:rPr>
          <w:lang w:val="en-GB"/>
        </w:rPr>
        <w:t>First Nation</w:t>
      </w:r>
      <w:r w:rsidR="00857FDF" w:rsidRPr="00E8461E">
        <w:rPr>
          <w:lang w:val="en-GB"/>
        </w:rPr>
        <w:t>s</w:t>
      </w:r>
      <w:r w:rsidR="00E47013" w:rsidRPr="00E8461E">
        <w:rPr>
          <w:lang w:val="en-GB"/>
        </w:rPr>
        <w:t xml:space="preserve"> people</w:t>
      </w:r>
      <w:r w:rsidRPr="00E8461E">
        <w:rPr>
          <w:lang w:val="en-GB"/>
        </w:rPr>
        <w:t xml:space="preserve">. </w:t>
      </w:r>
      <w:r w:rsidR="00742465" w:rsidRPr="00E8461E">
        <w:rPr>
          <w:lang w:val="en-GB"/>
        </w:rPr>
        <w:t>R</w:t>
      </w:r>
      <w:r w:rsidRPr="00E8461E">
        <w:rPr>
          <w:lang w:val="en-GB"/>
        </w:rPr>
        <w:t xml:space="preserve">elevant organisations, interest groups, </w:t>
      </w:r>
      <w:r w:rsidR="00180ADA" w:rsidRPr="00E8461E">
        <w:rPr>
          <w:lang w:val="en-GB"/>
        </w:rPr>
        <w:t>state</w:t>
      </w:r>
      <w:r w:rsidR="00E56EB9" w:rsidRPr="00E8461E">
        <w:rPr>
          <w:lang w:val="en-GB"/>
        </w:rPr>
        <w:t xml:space="preserve"> and </w:t>
      </w:r>
      <w:r w:rsidR="00180ADA" w:rsidRPr="00E8461E">
        <w:rPr>
          <w:lang w:val="en-GB"/>
        </w:rPr>
        <w:t xml:space="preserve">territory </w:t>
      </w:r>
      <w:r w:rsidRPr="00E8461E">
        <w:rPr>
          <w:lang w:val="en-GB"/>
        </w:rPr>
        <w:t>governments and experts</w:t>
      </w:r>
      <w:r w:rsidR="00CA2823" w:rsidRPr="00E8461E">
        <w:rPr>
          <w:lang w:val="en-GB"/>
        </w:rPr>
        <w:t xml:space="preserve"> were consulted</w:t>
      </w:r>
      <w:r w:rsidR="006051E2" w:rsidRPr="00E8461E">
        <w:rPr>
          <w:lang w:val="en-GB"/>
        </w:rPr>
        <w:t>. Over 750 invitations were sent to organisations and/or individuals across the breadth of stakeholder groups</w:t>
      </w:r>
      <w:r w:rsidR="001B7F93" w:rsidRPr="00E8461E">
        <w:rPr>
          <w:lang w:val="en-GB"/>
        </w:rPr>
        <w:t xml:space="preserve"> (</w:t>
      </w:r>
      <w:r w:rsidR="00CF7761" w:rsidRPr="00E8461E">
        <w:rPr>
          <w:lang w:val="en-GB"/>
        </w:rPr>
        <w:t>see</w:t>
      </w:r>
      <w:r w:rsidRPr="00E8461E">
        <w:rPr>
          <w:lang w:val="en-GB"/>
        </w:rPr>
        <w:t xml:space="preserve"> Figure </w:t>
      </w:r>
      <w:r w:rsidR="004D1313" w:rsidRPr="00E8461E">
        <w:rPr>
          <w:lang w:val="en-GB"/>
        </w:rPr>
        <w:t>3</w:t>
      </w:r>
      <w:r w:rsidRPr="00E8461E">
        <w:rPr>
          <w:lang w:val="en-GB"/>
        </w:rPr>
        <w:t>)</w:t>
      </w:r>
      <w:r w:rsidR="00923172" w:rsidRPr="00E8461E">
        <w:rPr>
          <w:lang w:val="en-GB"/>
        </w:rPr>
        <w:t>.</w:t>
      </w:r>
      <w:r w:rsidRPr="00E8461E">
        <w:rPr>
          <w:lang w:val="en-GB"/>
        </w:rPr>
        <w:t xml:space="preserve"> </w:t>
      </w:r>
      <w:r w:rsidR="00923172" w:rsidRPr="00E8461E">
        <w:rPr>
          <w:lang w:val="en-GB"/>
        </w:rPr>
        <w:t>More than</w:t>
      </w:r>
      <w:r w:rsidRPr="00E8461E">
        <w:rPr>
          <w:lang w:val="en-GB"/>
        </w:rPr>
        <w:t xml:space="preserve"> </w:t>
      </w:r>
      <w:r w:rsidR="00857FDF" w:rsidRPr="00E8461E">
        <w:rPr>
          <w:lang w:val="en-GB"/>
        </w:rPr>
        <w:t>300</w:t>
      </w:r>
      <w:r w:rsidRPr="00E8461E">
        <w:rPr>
          <w:lang w:val="en-GB"/>
        </w:rPr>
        <w:t xml:space="preserve"> stakeholders</w:t>
      </w:r>
      <w:r w:rsidR="00EB3EEE" w:rsidRPr="00E8461E">
        <w:rPr>
          <w:lang w:val="en-GB"/>
        </w:rPr>
        <w:t>, including those representing regional and rural organisations,</w:t>
      </w:r>
      <w:r w:rsidRPr="00E8461E">
        <w:rPr>
          <w:lang w:val="en-GB"/>
        </w:rPr>
        <w:t xml:space="preserve"> </w:t>
      </w:r>
      <w:proofErr w:type="gramStart"/>
      <w:r w:rsidRPr="00E8461E">
        <w:rPr>
          <w:lang w:val="en-GB"/>
        </w:rPr>
        <w:t>attend</w:t>
      </w:r>
      <w:r w:rsidR="006A15B7" w:rsidRPr="00E8461E">
        <w:rPr>
          <w:lang w:val="en-GB"/>
        </w:rPr>
        <w:t>ed</w:t>
      </w:r>
      <w:proofErr w:type="gramEnd"/>
      <w:r w:rsidRPr="00E8461E">
        <w:rPr>
          <w:lang w:val="en-GB"/>
        </w:rPr>
        <w:t xml:space="preserve"> and contribut</w:t>
      </w:r>
      <w:r w:rsidR="006A15B7" w:rsidRPr="00E8461E">
        <w:rPr>
          <w:lang w:val="en-GB"/>
        </w:rPr>
        <w:t>ed</w:t>
      </w:r>
      <w:r w:rsidRPr="00E8461E">
        <w:rPr>
          <w:lang w:val="en-GB"/>
        </w:rPr>
        <w:t xml:space="preserve"> to workshop</w:t>
      </w:r>
      <w:r w:rsidR="00857FDF" w:rsidRPr="00E8461E">
        <w:rPr>
          <w:lang w:val="en-GB"/>
        </w:rPr>
        <w:t xml:space="preserve"> and roundtable</w:t>
      </w:r>
      <w:r w:rsidRPr="00E8461E">
        <w:rPr>
          <w:lang w:val="en-GB"/>
        </w:rPr>
        <w:t xml:space="preserve"> discussions.</w:t>
      </w:r>
    </w:p>
    <w:p w14:paraId="2C6D841D" w14:textId="77777777" w:rsidR="008821D3" w:rsidRPr="00E8461E" w:rsidRDefault="008821D3">
      <w:pPr>
        <w:spacing w:after="160" w:line="259" w:lineRule="auto"/>
        <w:rPr>
          <w:lang w:val="en-GB"/>
        </w:rPr>
      </w:pPr>
      <w:r w:rsidRPr="00E8461E">
        <w:rPr>
          <w:lang w:val="en-GB"/>
        </w:rPr>
        <w:br w:type="page"/>
      </w:r>
    </w:p>
    <w:p w14:paraId="5F82D8F6" w14:textId="30860BFE" w:rsidR="002B27EF" w:rsidRPr="00E8461E" w:rsidRDefault="002B27EF" w:rsidP="002B27EF">
      <w:pPr>
        <w:pStyle w:val="Caption"/>
        <w:jc w:val="center"/>
        <w:rPr>
          <w:lang w:val="en-GB"/>
        </w:rPr>
      </w:pPr>
      <w:r w:rsidRPr="00E8461E">
        <w:lastRenderedPageBreak/>
        <w:t xml:space="preserve">Figure </w:t>
      </w:r>
      <w:r w:rsidR="00B07FA8">
        <w:fldChar w:fldCharType="begin"/>
      </w:r>
      <w:r w:rsidR="00B07FA8">
        <w:instrText xml:space="preserve"> SEQ Figure \* ARABIC </w:instrText>
      </w:r>
      <w:r w:rsidR="00B07FA8">
        <w:fldChar w:fldCharType="separate"/>
      </w:r>
      <w:r w:rsidR="003E7FC6" w:rsidRPr="00E8461E">
        <w:rPr>
          <w:noProof/>
        </w:rPr>
        <w:t>2</w:t>
      </w:r>
      <w:r w:rsidR="00B07FA8">
        <w:rPr>
          <w:noProof/>
        </w:rPr>
        <w:fldChar w:fldCharType="end"/>
      </w:r>
      <w:r w:rsidRPr="00E8461E">
        <w:t>: Consultation to inform development of the National Health and Climate Strategy</w:t>
      </w:r>
    </w:p>
    <w:p w14:paraId="33CEDE4C" w14:textId="77777777" w:rsidR="002B27EF" w:rsidRPr="00E8461E" w:rsidRDefault="00955205" w:rsidP="002B27EF">
      <w:pPr>
        <w:keepNext/>
        <w:jc w:val="center"/>
      </w:pPr>
      <w:r w:rsidRPr="00E8461E">
        <w:rPr>
          <w:noProof/>
        </w:rPr>
        <w:drawing>
          <wp:inline distT="0" distB="0" distL="0" distR="0" wp14:anchorId="7943F020" wp14:editId="1747DB16">
            <wp:extent cx="5162550" cy="2177075"/>
            <wp:effectExtent l="0" t="0" r="0" b="0"/>
            <wp:docPr id="10" name="Picture 10" descr="An overview of consultations to inform the development of the National Health and Climate Strategy including: 270 submissions received, 300+ stakeholders participated in workshops, 4 virtual workshops including First Nations, aged care and primary care sector, and 12 face-to-face workshops in the following cities: Darwin, Cairns, Brisbane, Sydney, Canberra, Hobart, Melbourne, Adelaide and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overview of consultations to inform the development of the National Health and Climate Strategy including: 270 submissions received, 300+ stakeholders participated in workshops, 4 virtual workshops including First Nations, aged care and primary care sector, and 12 face-to-face workshops in the following cities: Darwin, Cairns, Brisbane, Sydney, Canberra, Hobart, Melbourne, Adelaide and Perth."/>
                    <pic:cNvPicPr/>
                  </pic:nvPicPr>
                  <pic:blipFill rotWithShape="1">
                    <a:blip r:embed="rId22" cstate="print">
                      <a:extLst>
                        <a:ext uri="{28A0092B-C50C-407E-A947-70E740481C1C}">
                          <a14:useLocalDpi xmlns:a14="http://schemas.microsoft.com/office/drawing/2010/main" val="0"/>
                        </a:ext>
                      </a:extLst>
                    </a:blip>
                    <a:srcRect l="-1684" r="-457"/>
                    <a:stretch/>
                  </pic:blipFill>
                  <pic:spPr bwMode="auto">
                    <a:xfrm>
                      <a:off x="0" y="0"/>
                      <a:ext cx="5172278" cy="2181178"/>
                    </a:xfrm>
                    <a:prstGeom prst="rect">
                      <a:avLst/>
                    </a:prstGeom>
                    <a:ln>
                      <a:noFill/>
                    </a:ln>
                    <a:extLst>
                      <a:ext uri="{53640926-AAD7-44D8-BBD7-CCE9431645EC}">
                        <a14:shadowObscured xmlns:a14="http://schemas.microsoft.com/office/drawing/2010/main"/>
                      </a:ext>
                    </a:extLst>
                  </pic:spPr>
                </pic:pic>
              </a:graphicData>
            </a:graphic>
          </wp:inline>
        </w:drawing>
      </w:r>
    </w:p>
    <w:p w14:paraId="5A011302" w14:textId="69260732" w:rsidR="00156FA9" w:rsidRPr="00E8461E" w:rsidRDefault="00156FA9" w:rsidP="00156FA9">
      <w:pPr>
        <w:rPr>
          <w:lang w:val="en-GB"/>
        </w:rPr>
      </w:pPr>
      <w:r w:rsidRPr="00E8461E">
        <w:rPr>
          <w:lang w:val="en-GB"/>
        </w:rPr>
        <w:t>The mixed-mode stakeholder engagement process provided an opportunity for a diverse range of voices to contribute and provide feedback on the Consultation Paper, as well as the scope and focus of the Strategy.</w:t>
      </w:r>
    </w:p>
    <w:p w14:paraId="5F5F0D8D" w14:textId="5C3FF933" w:rsidR="0093009B" w:rsidRPr="00E8461E" w:rsidRDefault="0093009B" w:rsidP="0093009B">
      <w:pPr>
        <w:rPr>
          <w:lang w:val="en-GB"/>
        </w:rPr>
      </w:pPr>
      <w:r w:rsidRPr="00E8461E">
        <w:rPr>
          <w:lang w:val="en-GB"/>
        </w:rPr>
        <w:t xml:space="preserve">The </w:t>
      </w:r>
      <w:r w:rsidR="00954B37" w:rsidRPr="00E8461E">
        <w:rPr>
          <w:lang w:val="en-GB"/>
        </w:rPr>
        <w:t xml:space="preserve">invitation to </w:t>
      </w:r>
      <w:r w:rsidRPr="00E8461E">
        <w:rPr>
          <w:lang w:val="en-GB"/>
        </w:rPr>
        <w:t>written submissions and online survey</w:t>
      </w:r>
      <w:r w:rsidR="00DE5B1E" w:rsidRPr="00E8461E">
        <w:rPr>
          <w:lang w:val="en-GB"/>
        </w:rPr>
        <w:t>s</w:t>
      </w:r>
      <w:r w:rsidRPr="00E8461E">
        <w:rPr>
          <w:lang w:val="en-GB"/>
        </w:rPr>
        <w:t xml:space="preserve"> w</w:t>
      </w:r>
      <w:r w:rsidR="0043090B" w:rsidRPr="00E8461E">
        <w:rPr>
          <w:lang w:val="en-GB"/>
        </w:rPr>
        <w:t>as</w:t>
      </w:r>
      <w:r w:rsidRPr="00E8461E">
        <w:rPr>
          <w:lang w:val="en-GB"/>
        </w:rPr>
        <w:t xml:space="preserve"> open to public response from 2 June to 24 July 2023. The Department received 166</w:t>
      </w:r>
      <w:r w:rsidR="0030097C" w:rsidRPr="00E8461E">
        <w:rPr>
          <w:lang w:val="en-GB"/>
        </w:rPr>
        <w:t xml:space="preserve"> long</w:t>
      </w:r>
      <w:r w:rsidRPr="00E8461E">
        <w:rPr>
          <w:lang w:val="en-GB"/>
        </w:rPr>
        <w:t xml:space="preserve"> submissions and 104 survey responses, from organisations and individuals across the diverse stakeholder landscape including medical professionals, primary care, advocacy organisations, academia</w:t>
      </w:r>
      <w:r w:rsidR="003E71A4" w:rsidRPr="00E8461E">
        <w:rPr>
          <w:lang w:val="en-GB"/>
        </w:rPr>
        <w:t>, industry</w:t>
      </w:r>
      <w:r w:rsidRPr="00E8461E">
        <w:rPr>
          <w:lang w:val="en-GB"/>
        </w:rPr>
        <w:t>, and medical societies and colleges.</w:t>
      </w:r>
    </w:p>
    <w:p w14:paraId="02B73D58" w14:textId="605840A0" w:rsidR="00BA055E" w:rsidRPr="00E8461E" w:rsidRDefault="0093009B" w:rsidP="00BA055E">
      <w:pPr>
        <w:rPr>
          <w:b/>
          <w:bCs/>
          <w:lang w:val="en-GB"/>
        </w:rPr>
      </w:pPr>
      <w:r w:rsidRPr="00E8461E">
        <w:rPr>
          <w:lang w:val="en-GB"/>
        </w:rPr>
        <w:t xml:space="preserve">The workshops were designed to capture stakeholders’ views on the proposed Strategy design including the scope, principles, </w:t>
      </w:r>
      <w:proofErr w:type="gramStart"/>
      <w:r w:rsidRPr="00E8461E">
        <w:rPr>
          <w:lang w:val="en-GB"/>
        </w:rPr>
        <w:t>objectives</w:t>
      </w:r>
      <w:proofErr w:type="gramEnd"/>
      <w:r w:rsidRPr="00E8461E">
        <w:rPr>
          <w:lang w:val="en-GB"/>
        </w:rPr>
        <w:t xml:space="preserve"> and enablers. Workshops were also used to identify sector- and stakeholder-specific focus areas and action to support the implementation of the Strategy. Specific workshops </w:t>
      </w:r>
      <w:r w:rsidR="001948EF" w:rsidRPr="00E8461E">
        <w:rPr>
          <w:lang w:val="en-GB"/>
        </w:rPr>
        <w:t>or roundtables</w:t>
      </w:r>
      <w:r w:rsidRPr="00E8461E">
        <w:rPr>
          <w:lang w:val="en-GB"/>
        </w:rPr>
        <w:t xml:space="preserve"> targeted aged care, disability, First Nations </w:t>
      </w:r>
      <w:r w:rsidR="00706E5F" w:rsidRPr="00E8461E">
        <w:rPr>
          <w:lang w:val="en-GB"/>
        </w:rPr>
        <w:t xml:space="preserve">communities </w:t>
      </w:r>
      <w:r w:rsidRPr="00E8461E">
        <w:rPr>
          <w:lang w:val="en-GB"/>
        </w:rPr>
        <w:t>and primary care.</w:t>
      </w:r>
    </w:p>
    <w:p w14:paraId="4C286822" w14:textId="602958DF" w:rsidR="002B27EF" w:rsidRPr="00E8461E" w:rsidRDefault="002B27EF" w:rsidP="002B27EF">
      <w:pPr>
        <w:pStyle w:val="Caption"/>
        <w:rPr>
          <w:lang w:val="en-GB"/>
        </w:rPr>
      </w:pPr>
      <w:r w:rsidRPr="00E8461E">
        <w:t xml:space="preserve">Figure </w:t>
      </w:r>
      <w:r w:rsidR="00B07FA8">
        <w:fldChar w:fldCharType="begin"/>
      </w:r>
      <w:r w:rsidR="00B07FA8">
        <w:instrText xml:space="preserve"> SEQ Figure \* ARABIC </w:instrText>
      </w:r>
      <w:r w:rsidR="00B07FA8">
        <w:fldChar w:fldCharType="separate"/>
      </w:r>
      <w:r w:rsidR="003E7FC6" w:rsidRPr="00E8461E">
        <w:rPr>
          <w:noProof/>
        </w:rPr>
        <w:t>3</w:t>
      </w:r>
      <w:r w:rsidR="00B07FA8">
        <w:rPr>
          <w:noProof/>
        </w:rPr>
        <w:fldChar w:fldCharType="end"/>
      </w:r>
      <w:r w:rsidRPr="00E8461E">
        <w:t xml:space="preserve"> Stakeholder groups engaged as part of the consultation </w:t>
      </w:r>
      <w:proofErr w:type="gramStart"/>
      <w:r w:rsidRPr="00E8461E">
        <w:t>process</w:t>
      </w:r>
      <w:proofErr w:type="gramEnd"/>
    </w:p>
    <w:p w14:paraId="77A8E33F" w14:textId="77777777" w:rsidR="002B27EF" w:rsidRPr="00E8461E" w:rsidRDefault="00512825" w:rsidP="002B27EF">
      <w:pPr>
        <w:keepNext/>
      </w:pPr>
      <w:r w:rsidRPr="00E8461E">
        <w:rPr>
          <w:noProof/>
          <w:lang w:val="en-GB"/>
        </w:rPr>
        <w:drawing>
          <wp:inline distT="0" distB="0" distL="0" distR="0" wp14:anchorId="172BA1CE" wp14:editId="3C048AD7">
            <wp:extent cx="4761186" cy="3276871"/>
            <wp:effectExtent l="0" t="0" r="1905" b="0"/>
            <wp:docPr id="32" name="Picture 32" descr="A diagram of the stakeholder groups engaged as part of the consultation process including:&#10;• Government: Commonwealth Government, state and territory, councils, local health systems&#10;• Health service providers: public and preventative health, primary and community care, secondary and tertiary care, and ambulance&#10;• Industry: research and development, manufacturing/production, and distribution. &#10;• Academia and research: medical, public health, climate change and environmental health, and climate science and policy.&#10;• Representative organisations: patients and consumers, disabilities, medical profession, allied health professions, nursing, pharmacy, and climate/environment. &#10;• Rural: community groups, and health providers.&#10;• Aged Care: health providers, and peak bodies. &#10;• First Nations: community groups, health providers, environmental/land management, and leadership and peak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the stakeholder groups engaged as part of the consultation process including:&#10;• Government: Commonwealth Government, state and territory, councils, local health systems&#10;• Health service providers: public and preventative health, primary and community care, secondary and tertiary care, and ambulance&#10;• Industry: research and development, manufacturing/production, and distribution. &#10;• Academia and research: medical, public health, climate change and environmental health, and climate science and policy.&#10;• Representative organisations: patients and consumers, disabilities, medical profession, allied health professions, nursing, pharmacy, and climate/environment. &#10;• Rural: community groups, and health providers.&#10;• Aged Care: health providers, and peak bodies. &#10;• First Nations: community groups, health providers, environmental/land management, and leadership and peak bodie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83593" cy="3292292"/>
                    </a:xfrm>
                    <a:prstGeom prst="rect">
                      <a:avLst/>
                    </a:prstGeom>
                    <a:noFill/>
                  </pic:spPr>
                </pic:pic>
              </a:graphicData>
            </a:graphic>
          </wp:inline>
        </w:drawing>
      </w:r>
    </w:p>
    <w:p w14:paraId="1F359922" w14:textId="77777777" w:rsidR="00F40598" w:rsidRPr="00E8461E" w:rsidRDefault="00F40598" w:rsidP="00607F59">
      <w:pPr>
        <w:rPr>
          <w:lang w:val="en-GB"/>
        </w:rPr>
      </w:pPr>
      <w:bookmarkStart w:id="52" w:name="_Toc147086740"/>
      <w:bookmarkStart w:id="53" w:name="_Toc147502191"/>
      <w:r w:rsidRPr="00E8461E">
        <w:rPr>
          <w:lang w:val="en-GB"/>
        </w:rPr>
        <w:br w:type="page"/>
      </w:r>
    </w:p>
    <w:p w14:paraId="15C81468" w14:textId="0E075379" w:rsidR="007A466B" w:rsidRPr="00E8461E" w:rsidRDefault="00045F9F" w:rsidP="00D76CDF">
      <w:pPr>
        <w:pStyle w:val="Heading1"/>
        <w:rPr>
          <w:lang w:val="en-GB"/>
        </w:rPr>
      </w:pPr>
      <w:bookmarkStart w:id="54" w:name="_Toc149909977"/>
      <w:bookmarkStart w:id="55" w:name="_Toc149918442"/>
      <w:bookmarkStart w:id="56" w:name="_Toc151999621"/>
      <w:r w:rsidRPr="00E8461E">
        <w:rPr>
          <w:lang w:val="en-GB"/>
        </w:rPr>
        <w:lastRenderedPageBreak/>
        <w:t xml:space="preserve">Chapter 3: </w:t>
      </w:r>
      <w:bookmarkEnd w:id="52"/>
      <w:bookmarkEnd w:id="53"/>
      <w:r w:rsidR="00394AC7" w:rsidRPr="00E8461E">
        <w:rPr>
          <w:lang w:val="en-GB"/>
        </w:rPr>
        <w:t>Build</w:t>
      </w:r>
      <w:r w:rsidR="00116FB0" w:rsidRPr="00E8461E">
        <w:rPr>
          <w:lang w:val="en-GB"/>
        </w:rPr>
        <w:t>ing</w:t>
      </w:r>
      <w:r w:rsidR="00394AC7" w:rsidRPr="00E8461E">
        <w:rPr>
          <w:lang w:val="en-GB"/>
        </w:rPr>
        <w:t xml:space="preserve"> a </w:t>
      </w:r>
      <w:bookmarkEnd w:id="54"/>
      <w:bookmarkEnd w:id="55"/>
      <w:r w:rsidR="009C63F2" w:rsidRPr="00E8461E">
        <w:rPr>
          <w:lang w:val="en-GB"/>
        </w:rPr>
        <w:t xml:space="preserve">climate-resilient health system and </w:t>
      </w:r>
      <w:r w:rsidR="005D21CA" w:rsidRPr="00E8461E">
        <w:rPr>
          <w:lang w:val="en-GB"/>
        </w:rPr>
        <w:t xml:space="preserve">enhancing its capacity to protect </w:t>
      </w:r>
      <w:r w:rsidR="00FC1289" w:rsidRPr="00E8461E">
        <w:rPr>
          <w:lang w:val="en-GB"/>
        </w:rPr>
        <w:t xml:space="preserve">population </w:t>
      </w:r>
      <w:proofErr w:type="gramStart"/>
      <w:r w:rsidR="00FC1289" w:rsidRPr="00E8461E">
        <w:rPr>
          <w:lang w:val="en-GB"/>
        </w:rPr>
        <w:t>health</w:t>
      </w:r>
      <w:bookmarkEnd w:id="56"/>
      <w:proofErr w:type="gramEnd"/>
    </w:p>
    <w:p w14:paraId="4A19F59D" w14:textId="2D425F51" w:rsidR="006D7EDA" w:rsidRPr="00E8461E" w:rsidRDefault="006D7EDA" w:rsidP="006D7EDA">
      <w:pPr>
        <w:rPr>
          <w:lang w:val="en-GB"/>
        </w:rPr>
      </w:pPr>
      <w:r w:rsidRPr="00E8461E">
        <w:rPr>
          <w:noProof/>
          <w:lang w:val="en-GB"/>
        </w:rPr>
        <mc:AlternateContent>
          <mc:Choice Requires="wps">
            <w:drawing>
              <wp:inline distT="0" distB="0" distL="0" distR="0" wp14:anchorId="664F7FBE" wp14:editId="6F36FA2C">
                <wp:extent cx="1035592" cy="115657"/>
                <wp:effectExtent l="0" t="0" r="0" b="0"/>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7BC40E" id="Rectangle 6"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781AB475" w14:textId="572A54E2" w:rsidR="006D7EDA" w:rsidRPr="00E8461E" w:rsidRDefault="006D7EDA" w:rsidP="00653752">
      <w:pPr>
        <w:shd w:val="clear" w:color="auto" w:fill="F0F1F1" w:themeFill="background2"/>
        <w:spacing w:after="0"/>
        <w:rPr>
          <w:b/>
          <w:color w:val="0A1D37" w:themeColor="accent2" w:themeShade="80"/>
          <w:sz w:val="24"/>
          <w:szCs w:val="24"/>
        </w:rPr>
      </w:pPr>
      <w:r w:rsidRPr="00E8461E">
        <w:rPr>
          <w:rStyle w:val="null1"/>
          <w:rFonts w:eastAsia="Times New Roman"/>
          <w:b/>
          <w:color w:val="0A1D37" w:themeColor="accent2" w:themeShade="80"/>
          <w:sz w:val="24"/>
          <w:szCs w:val="24"/>
        </w:rPr>
        <w:t xml:space="preserve">OBJECTIVE 1 - </w:t>
      </w:r>
      <w:r w:rsidRPr="00E8461E">
        <w:rPr>
          <w:b/>
          <w:color w:val="0A1D37" w:themeColor="accent2" w:themeShade="80"/>
          <w:sz w:val="24"/>
          <w:szCs w:val="24"/>
        </w:rPr>
        <w:t>HEALTH SYSTEM RESILIENCE</w:t>
      </w:r>
    </w:p>
    <w:p w14:paraId="6E4AAB50" w14:textId="3532C775" w:rsidR="001A0582" w:rsidRPr="00E8461E" w:rsidRDefault="001A0582" w:rsidP="00653752">
      <w:pPr>
        <w:pBdr>
          <w:bottom w:val="single" w:sz="12" w:space="1" w:color="153A6E" w:themeColor="accent2"/>
        </w:pBdr>
        <w:shd w:val="clear" w:color="auto" w:fill="F0F1F1" w:themeFill="background2"/>
        <w:rPr>
          <w:sz w:val="24"/>
          <w:szCs w:val="24"/>
          <w:lang w:val="en-GB"/>
        </w:rPr>
      </w:pPr>
      <w:r w:rsidRPr="00E8461E">
        <w:rPr>
          <w:rStyle w:val="null1"/>
          <w:rFonts w:eastAsia="Times New Roman"/>
          <w:b/>
          <w:sz w:val="24"/>
          <w:szCs w:val="24"/>
        </w:rPr>
        <w:t>Build a climate-resilient health system and enhance its capacity to protect health and wellbeing from the impacts of climate change.</w:t>
      </w:r>
      <w:r w:rsidRPr="00E8461E">
        <w:rPr>
          <w:rStyle w:val="null1"/>
          <w:rFonts w:eastAsia="Times New Roman"/>
          <w:sz w:val="24"/>
          <w:szCs w:val="24"/>
        </w:rPr>
        <w:t xml:space="preserve"> </w:t>
      </w:r>
      <w:r w:rsidRPr="00E8461E">
        <w:rPr>
          <w:sz w:val="24"/>
          <w:szCs w:val="24"/>
        </w:rPr>
        <w:t>The Strategy will inform and guide action by the health system to protect and promote population health while adapting to the impacts of climate change.</w:t>
      </w:r>
    </w:p>
    <w:p w14:paraId="62F9928F" w14:textId="0C85CA6B" w:rsidR="00BA055E" w:rsidRPr="00E8461E" w:rsidRDefault="00AF2426" w:rsidP="00D22B33">
      <w:pPr>
        <w:rPr>
          <w:lang w:val="en-GB"/>
        </w:rPr>
      </w:pPr>
      <w:r w:rsidRPr="00E8461E">
        <w:rPr>
          <w:rFonts w:ascii="Calibri" w:eastAsia="Calibri" w:hAnsi="Calibri" w:cs="Calibri"/>
          <w:lang w:val="en-GB"/>
        </w:rPr>
        <w:t>Climate change is already affecting health and wellbeing in Australia.</w:t>
      </w:r>
      <w:r w:rsidR="005E5046" w:rsidRPr="00E8461E">
        <w:rPr>
          <w:rStyle w:val="EndnoteReference"/>
          <w:rFonts w:ascii="Calibri" w:eastAsia="Calibri" w:hAnsi="Calibri" w:cs="Calibri"/>
          <w:lang w:val="en-GB"/>
        </w:rPr>
        <w:endnoteReference w:id="42"/>
      </w:r>
      <w:r w:rsidRPr="00E8461E">
        <w:rPr>
          <w:rFonts w:ascii="Calibri" w:eastAsia="Calibri" w:hAnsi="Calibri" w:cs="Calibri"/>
          <w:lang w:val="en-GB"/>
        </w:rPr>
        <w:t xml:space="preserve"> In the last decade, catastrophic floods, devastating fires, and intensifying heat have taken a physical and mental toll on people across the country.</w:t>
      </w:r>
      <w:r w:rsidR="00AB3E0D" w:rsidRPr="00E8461E">
        <w:rPr>
          <w:rStyle w:val="EndnoteReference"/>
          <w:rFonts w:ascii="Calibri" w:eastAsia="Calibri" w:hAnsi="Calibri" w:cs="Calibri"/>
          <w:lang w:val="en-GB"/>
        </w:rPr>
        <w:endnoteReference w:id="43"/>
      </w:r>
      <w:r w:rsidRPr="00E8461E">
        <w:rPr>
          <w:rFonts w:ascii="Calibri" w:eastAsia="Calibri" w:hAnsi="Calibri" w:cs="Calibri"/>
          <w:lang w:val="en-GB"/>
        </w:rPr>
        <w:t xml:space="preserve"> In the years ahead, even with a rapid acceleration of global mitigation efforts, climate change will increase pressures on the natural and social systems that support human health and wellbeing.</w:t>
      </w:r>
      <w:r w:rsidR="00E828E7" w:rsidRPr="00E8461E">
        <w:rPr>
          <w:rStyle w:val="EndnoteReference"/>
          <w:rFonts w:ascii="Calibri" w:eastAsia="Calibri" w:hAnsi="Calibri" w:cs="Calibri"/>
          <w:lang w:val="en-GB"/>
        </w:rPr>
        <w:endnoteReference w:id="44"/>
      </w:r>
    </w:p>
    <w:p w14:paraId="4F5DF444" w14:textId="36A20CA5" w:rsidR="00D22B33" w:rsidRPr="00E8461E" w:rsidRDefault="00D22B33" w:rsidP="00D22B33">
      <w:pPr>
        <w:rPr>
          <w:lang w:val="en-GB"/>
        </w:rPr>
      </w:pPr>
      <w:r w:rsidRPr="00E8461E">
        <w:rPr>
          <w:lang w:val="en-GB"/>
        </w:rPr>
        <w:t xml:space="preserve">Integrated, comprehensive action, using a Health </w:t>
      </w:r>
      <w:r w:rsidR="00752C44" w:rsidRPr="00E8461E">
        <w:rPr>
          <w:lang w:val="en-GB"/>
        </w:rPr>
        <w:t>i</w:t>
      </w:r>
      <w:r w:rsidRPr="00E8461E">
        <w:rPr>
          <w:lang w:val="en-GB"/>
        </w:rPr>
        <w:t>n All Policies approach,</w:t>
      </w:r>
      <w:r w:rsidR="00D60B7B" w:rsidRPr="00E8461E">
        <w:rPr>
          <w:rStyle w:val="EndnoteReference"/>
          <w:lang w:val="en-GB"/>
        </w:rPr>
        <w:endnoteReference w:id="45"/>
      </w:r>
      <w:r w:rsidRPr="00E8461E">
        <w:rPr>
          <w:lang w:val="en-GB"/>
        </w:rPr>
        <w:t xml:space="preserve"> will be required to alleviate these impacts, and to ensure that population health and health equity continues to improve even in an increasingly unstable climate. </w:t>
      </w:r>
      <w:r w:rsidR="006623A2" w:rsidRPr="00E8461E">
        <w:rPr>
          <w:lang w:val="en-GB"/>
        </w:rPr>
        <w:t>F</w:t>
      </w:r>
      <w:r w:rsidRPr="00E8461E">
        <w:rPr>
          <w:lang w:val="en-GB"/>
        </w:rPr>
        <w:t>eedback received during the Strategy consultation process highlighted the following key national-level risks to population health and wellbeing:</w:t>
      </w:r>
    </w:p>
    <w:p w14:paraId="160A91EA" w14:textId="20B8E38A" w:rsidR="00BA055E" w:rsidRPr="00E8461E" w:rsidRDefault="009230BE" w:rsidP="0065729E">
      <w:pPr>
        <w:pStyle w:val="BulletUnindented"/>
      </w:pPr>
      <w:r w:rsidRPr="00E8461E">
        <w:t xml:space="preserve">Risks from </w:t>
      </w:r>
      <w:r w:rsidR="00485856" w:rsidRPr="00E8461E">
        <w:t>climate</w:t>
      </w:r>
      <w:r w:rsidR="006A588D" w:rsidRPr="00E8461E">
        <w:t>-related</w:t>
      </w:r>
      <w:r w:rsidR="00485856" w:rsidRPr="00E8461E">
        <w:t xml:space="preserve"> disasters and extreme weather events, including bushfires</w:t>
      </w:r>
      <w:r w:rsidR="00212AA1" w:rsidRPr="00E8461E">
        <w:t xml:space="preserve"> and </w:t>
      </w:r>
      <w:proofErr w:type="gramStart"/>
      <w:r w:rsidR="00485856" w:rsidRPr="00E8461E">
        <w:t>floods</w:t>
      </w:r>
      <w:proofErr w:type="gramEnd"/>
    </w:p>
    <w:p w14:paraId="71407499" w14:textId="19D185E6" w:rsidR="00CB130A" w:rsidRPr="00E8461E" w:rsidRDefault="00D22B33" w:rsidP="0065729E">
      <w:pPr>
        <w:pStyle w:val="BulletUnindented"/>
      </w:pPr>
      <w:r w:rsidRPr="00E8461E">
        <w:t xml:space="preserve">Risks from increased heat, including both heatwaves and incremental increases in </w:t>
      </w:r>
      <w:proofErr w:type="gramStart"/>
      <w:r w:rsidRPr="00E8461E">
        <w:t>temperature</w:t>
      </w:r>
      <w:proofErr w:type="gramEnd"/>
    </w:p>
    <w:p w14:paraId="1860769C" w14:textId="28D79373" w:rsidR="00D22B33" w:rsidRPr="00E8461E" w:rsidRDefault="00D22B33" w:rsidP="0065729E">
      <w:pPr>
        <w:pStyle w:val="BulletUnindented"/>
      </w:pPr>
      <w:r w:rsidRPr="00E8461E">
        <w:t xml:space="preserve">Risks from reduced air quality driven by climate </w:t>
      </w:r>
      <w:proofErr w:type="gramStart"/>
      <w:r w:rsidRPr="00E8461E">
        <w:t>change</w:t>
      </w:r>
      <w:proofErr w:type="gramEnd"/>
    </w:p>
    <w:p w14:paraId="47B3004F" w14:textId="01CBE080" w:rsidR="00D22B33" w:rsidRPr="00E8461E" w:rsidRDefault="00D22B33" w:rsidP="0065729E">
      <w:pPr>
        <w:pStyle w:val="BulletUnindented"/>
      </w:pPr>
      <w:r w:rsidRPr="00E8461E">
        <w:t>Risks from climate-sensitive</w:t>
      </w:r>
      <w:r w:rsidR="000B799B" w:rsidRPr="00E8461E">
        <w:t xml:space="preserve"> non-communicable </w:t>
      </w:r>
      <w:r w:rsidR="00F2290B" w:rsidRPr="00E8461E">
        <w:t xml:space="preserve">disease (such as </w:t>
      </w:r>
      <w:r w:rsidR="00924B60" w:rsidRPr="00E8461E">
        <w:t xml:space="preserve">respiratory and cardiovascular disease) </w:t>
      </w:r>
      <w:r w:rsidR="000B799B" w:rsidRPr="00E8461E">
        <w:t>and</w:t>
      </w:r>
      <w:r w:rsidRPr="00E8461E">
        <w:t xml:space="preserve"> communicable diseases</w:t>
      </w:r>
      <w:r w:rsidR="000B799B" w:rsidRPr="00E8461E">
        <w:t xml:space="preserve"> (such as </w:t>
      </w:r>
      <w:r w:rsidRPr="00E8461E">
        <w:t>tropical and vector-borne diseases</w:t>
      </w:r>
      <w:r w:rsidR="00633661" w:rsidRPr="00E8461E">
        <w:t>)</w:t>
      </w:r>
    </w:p>
    <w:p w14:paraId="391FB509" w14:textId="77777777" w:rsidR="00D22B33" w:rsidRPr="00E8461E" w:rsidRDefault="00D22B33" w:rsidP="0065729E">
      <w:pPr>
        <w:pStyle w:val="BulletUnindented"/>
      </w:pPr>
      <w:r w:rsidRPr="00E8461E">
        <w:t>Risks to mental health and wellbeing</w:t>
      </w:r>
    </w:p>
    <w:p w14:paraId="1070E80C" w14:textId="77777777" w:rsidR="00D22B33" w:rsidRPr="00E8461E" w:rsidRDefault="00D22B33" w:rsidP="0065729E">
      <w:pPr>
        <w:pStyle w:val="BulletUnindented"/>
      </w:pPr>
      <w:r w:rsidRPr="00E8461E">
        <w:t>Risks from reduced food and water security</w:t>
      </w:r>
    </w:p>
    <w:p w14:paraId="0A56A669" w14:textId="77777777" w:rsidR="0078576E" w:rsidRPr="00E8461E" w:rsidRDefault="00D22B33" w:rsidP="0065729E">
      <w:pPr>
        <w:pStyle w:val="BulletUnindented"/>
      </w:pPr>
      <w:r w:rsidRPr="00E8461E">
        <w:t>Risks from poor</w:t>
      </w:r>
      <w:r w:rsidR="00B645A0" w:rsidRPr="00E8461E">
        <w:t>-</w:t>
      </w:r>
      <w:r w:rsidRPr="00E8461E">
        <w:t>quality or inappropriate housing and infrastructure.</w:t>
      </w:r>
    </w:p>
    <w:p w14:paraId="0407A26D" w14:textId="6A1CFD58" w:rsidR="00BA055E" w:rsidRPr="00E8461E" w:rsidRDefault="00AF2426" w:rsidP="0078576E">
      <w:pPr>
        <w:pStyle w:val="BulletUnindented"/>
        <w:numPr>
          <w:ilvl w:val="0"/>
          <w:numId w:val="0"/>
        </w:numPr>
        <w:contextualSpacing/>
      </w:pPr>
      <w:r w:rsidRPr="00E8461E">
        <w:rPr>
          <w:rFonts w:ascii="Calibri" w:eastAsia="Calibri" w:hAnsi="Calibri" w:cs="Calibri"/>
        </w:rPr>
        <w:t>Protecting and promoting health in a changing climate will require effective adaptation across Australia’s health system, and beyond.</w:t>
      </w:r>
      <w:r w:rsidR="00912F41" w:rsidRPr="00E8461E">
        <w:rPr>
          <w:rFonts w:ascii="Calibri" w:eastAsia="Calibri" w:hAnsi="Calibri" w:cs="Calibri"/>
        </w:rPr>
        <w:t xml:space="preserve"> </w:t>
      </w:r>
      <w:r w:rsidR="00F329CB" w:rsidRPr="00E8461E">
        <w:t xml:space="preserve">Health system performance affects population health and wellbeing, and vice versa. However, many of the key determinants of population health – and thus, much of the work that will need to be done to protect it in a changing climate – lie beyond the control of the health system. Action on these ‘wider determinants’ </w:t>
      </w:r>
      <w:r w:rsidR="00BA055E" w:rsidRPr="00E8461E">
        <w:t>is</w:t>
      </w:r>
      <w:r w:rsidR="00F329CB" w:rsidRPr="00E8461E">
        <w:t xml:space="preserve"> discussed in </w:t>
      </w:r>
      <w:r w:rsidR="00912F41" w:rsidRPr="00E8461E">
        <w:t xml:space="preserve">Chapter </w:t>
      </w:r>
      <w:r w:rsidR="00906259" w:rsidRPr="00E8461E">
        <w:t>6</w:t>
      </w:r>
      <w:r w:rsidR="00912F41" w:rsidRPr="00E8461E">
        <w:t>.</w:t>
      </w:r>
    </w:p>
    <w:p w14:paraId="618620FE" w14:textId="65A6F3B9" w:rsidR="00624F16" w:rsidRPr="00E8461E" w:rsidRDefault="00AF2426" w:rsidP="00624F16">
      <w:r w:rsidRPr="00E8461E">
        <w:t>Wherever possible, work to increase resilience should pursue opportunities to reduce emissions, so that climate mitigation and adaptation efforts are complementary and synergistic.</w:t>
      </w:r>
      <w:r w:rsidR="00E960AB" w:rsidRPr="00E8461E">
        <w:rPr>
          <w:rStyle w:val="EndnoteReference"/>
        </w:rPr>
        <w:endnoteReference w:id="46"/>
      </w:r>
      <w:r w:rsidRPr="00E8461E">
        <w:t xml:space="preserve"> </w:t>
      </w:r>
      <w:r w:rsidR="00624F16" w:rsidRPr="00E8461E">
        <w:t>It should also</w:t>
      </w:r>
      <w:r w:rsidR="00C1511C" w:rsidRPr="00E8461E">
        <w:t>:</w:t>
      </w:r>
    </w:p>
    <w:p w14:paraId="71AC93A0" w14:textId="62B7FBC9" w:rsidR="00624F16" w:rsidRPr="00E8461E" w:rsidRDefault="00624F16" w:rsidP="0065729E">
      <w:pPr>
        <w:pStyle w:val="BulletUnindented"/>
      </w:pPr>
      <w:r w:rsidRPr="00E8461E">
        <w:t>Be place-based, community-led and values-driven, so that adaption is tailored to the specific areas and communities that will be affected.</w:t>
      </w:r>
    </w:p>
    <w:p w14:paraId="04A85BC9" w14:textId="0EB1049F" w:rsidR="00624F16" w:rsidRPr="00E8461E" w:rsidRDefault="00624F16" w:rsidP="0065729E">
      <w:pPr>
        <w:pStyle w:val="BulletUnindented"/>
      </w:pPr>
      <w:r w:rsidRPr="00E8461E">
        <w:t xml:space="preserve">Involve everyone, because different levels of government, households, </w:t>
      </w:r>
      <w:proofErr w:type="gramStart"/>
      <w:r w:rsidRPr="00E8461E">
        <w:t>businesses</w:t>
      </w:r>
      <w:proofErr w:type="gramEnd"/>
      <w:r w:rsidRPr="00E8461E">
        <w:t xml:space="preserve"> and community organisations all have different but complementary roles in an effective whole-of-nation response</w:t>
      </w:r>
      <w:r w:rsidR="002966A5" w:rsidRPr="00E8461E">
        <w:t>.</w:t>
      </w:r>
    </w:p>
    <w:p w14:paraId="39F68062" w14:textId="77777777" w:rsidR="0078576E" w:rsidRPr="00E8461E" w:rsidRDefault="00624F16" w:rsidP="0065729E">
      <w:pPr>
        <w:pStyle w:val="BulletUnindented"/>
      </w:pPr>
      <w:r w:rsidRPr="00E8461E">
        <w:lastRenderedPageBreak/>
        <w:t>Be underpinned by science and analysis to inform decision-making, help prioritise areas for adaptation, and choose the best responses.</w:t>
      </w:r>
      <w:r w:rsidR="00AF2AD3" w:rsidRPr="00E8461E">
        <w:rPr>
          <w:rStyle w:val="EndnoteReference"/>
          <w:vertAlign w:val="baseline"/>
        </w:rPr>
        <w:endnoteReference w:id="47"/>
      </w:r>
    </w:p>
    <w:p w14:paraId="33002B17" w14:textId="19C4F4C2" w:rsidR="00AF2426" w:rsidRPr="00E8461E" w:rsidRDefault="00AF2426" w:rsidP="0081618F">
      <w:pPr>
        <w:pStyle w:val="BulletUnindented"/>
        <w:numPr>
          <w:ilvl w:val="0"/>
          <w:numId w:val="0"/>
        </w:numPr>
        <w:spacing w:before="240"/>
        <w:contextualSpacing/>
      </w:pPr>
      <w:r w:rsidRPr="00E8461E">
        <w:t>Australia’s national adaptation efforts are underpinned by an acknowledgment that climate risks should be addressed by identifying and empowering those who are best placed to manage them. The Council of Australian Governments’ 2012 Select Council on Climate Change’s Roles and Responsibilities for Climate Change Adaptation in Australia guides cross-government cooperation on climate change adaptation,</w:t>
      </w:r>
      <w:r w:rsidRPr="00E8461E">
        <w:rPr>
          <w:rStyle w:val="EndnoteReference"/>
        </w:rPr>
        <w:endnoteReference w:id="48"/>
      </w:r>
      <w:r w:rsidRPr="00E8461E">
        <w:t xml:space="preserve"> and highlights the specific roles and responsibilities of the Australian Government. These are:</w:t>
      </w:r>
    </w:p>
    <w:p w14:paraId="2881D877" w14:textId="77777777" w:rsidR="00AF2426" w:rsidRPr="00E8461E" w:rsidRDefault="00AF2426" w:rsidP="0065729E">
      <w:pPr>
        <w:pStyle w:val="ListNumber"/>
      </w:pPr>
      <w:r w:rsidRPr="00E8461E">
        <w:t>Providing national leadership on adaptation reform</w:t>
      </w:r>
    </w:p>
    <w:p w14:paraId="185A0F2C" w14:textId="77777777" w:rsidR="00AF2426" w:rsidRPr="00E8461E" w:rsidRDefault="00AF2426" w:rsidP="0065729E">
      <w:pPr>
        <w:pStyle w:val="ListNumber"/>
      </w:pPr>
      <w:r w:rsidRPr="00E8461E">
        <w:t xml:space="preserve">Providing nationally authoritative climate science and information, including updated climate projections and scenarios of future climate, to inform decision-making across the </w:t>
      </w:r>
      <w:proofErr w:type="gramStart"/>
      <w:r w:rsidRPr="00E8461E">
        <w:t>economy</w:t>
      </w:r>
      <w:proofErr w:type="gramEnd"/>
    </w:p>
    <w:p w14:paraId="5204B877" w14:textId="77777777" w:rsidR="00AF2426" w:rsidRPr="00E8461E" w:rsidRDefault="00AF2426" w:rsidP="0065729E">
      <w:pPr>
        <w:pStyle w:val="ListNumber"/>
      </w:pPr>
      <w:r w:rsidRPr="00E8461E">
        <w:t>Managing climate risks to Australian Government assets and services, including investments in public infrastructure</w:t>
      </w:r>
    </w:p>
    <w:p w14:paraId="3FA55756" w14:textId="6B6E6E74" w:rsidR="00AF2426" w:rsidRPr="00E8461E" w:rsidRDefault="00AF2426" w:rsidP="0065729E">
      <w:pPr>
        <w:pStyle w:val="ListNumber"/>
      </w:pPr>
      <w:r w:rsidRPr="00E8461E">
        <w:t>Maintaining a strong, flexible economy and a well-targeted social safety net to ensure resources are available to respond to climate change and groups in vulnerable situations are not disproportionately affected.</w:t>
      </w:r>
    </w:p>
    <w:p w14:paraId="79266098" w14:textId="5AC1650A" w:rsidR="003F1C96" w:rsidRPr="00E8461E" w:rsidRDefault="00EB6832" w:rsidP="004C636D">
      <w:r w:rsidRPr="00E8461E">
        <w:t xml:space="preserve">Many states, territories, and local governments </w:t>
      </w:r>
      <w:r w:rsidR="00D764A8" w:rsidRPr="00E8461E">
        <w:t>and health systems</w:t>
      </w:r>
      <w:r w:rsidRPr="00E8461E">
        <w:t xml:space="preserve"> </w:t>
      </w:r>
      <w:r w:rsidR="007B3953" w:rsidRPr="00E8461E">
        <w:t>are already well progressed in</w:t>
      </w:r>
      <w:r w:rsidR="009A69A3" w:rsidRPr="00E8461E">
        <w:t xml:space="preserve"> </w:t>
      </w:r>
      <w:r w:rsidR="00E5541A" w:rsidRPr="00E8461E">
        <w:t>assess</w:t>
      </w:r>
      <w:r w:rsidR="007B3953" w:rsidRPr="00E8461E">
        <w:t>ing</w:t>
      </w:r>
      <w:r w:rsidR="00E5541A" w:rsidRPr="00E8461E">
        <w:t xml:space="preserve"> and </w:t>
      </w:r>
      <w:r w:rsidR="009A69A3" w:rsidRPr="00E8461E">
        <w:t>address</w:t>
      </w:r>
      <w:r w:rsidR="007B3953" w:rsidRPr="00E8461E">
        <w:t>ing</w:t>
      </w:r>
      <w:r w:rsidR="009A69A3" w:rsidRPr="00E8461E">
        <w:t xml:space="preserve"> the health impacts of climate change in their jurisdictions</w:t>
      </w:r>
      <w:r w:rsidR="00824E8E" w:rsidRPr="00E8461E">
        <w:t>.</w:t>
      </w:r>
      <w:r w:rsidR="00D61C1C" w:rsidRPr="00E8461E">
        <w:rPr>
          <w:rStyle w:val="EndnoteReference"/>
        </w:rPr>
        <w:endnoteReference w:id="49"/>
      </w:r>
      <w:r w:rsidR="006A489F" w:rsidRPr="00E8461E">
        <w:rPr>
          <w:vertAlign w:val="superscript"/>
        </w:rPr>
        <w:t>,</w:t>
      </w:r>
      <w:r w:rsidR="00D61C1C" w:rsidRPr="00E8461E">
        <w:rPr>
          <w:rStyle w:val="EndnoteReference"/>
        </w:rPr>
        <w:endnoteReference w:id="50"/>
      </w:r>
      <w:r w:rsidR="00E5541A" w:rsidRPr="00E8461E">
        <w:t xml:space="preserve"> </w:t>
      </w:r>
      <w:r w:rsidR="005E5995" w:rsidRPr="00E8461E">
        <w:t xml:space="preserve">For example, </w:t>
      </w:r>
      <w:r w:rsidR="00FE79B1" w:rsidRPr="00E8461E">
        <w:t xml:space="preserve">in 2019 </w:t>
      </w:r>
      <w:r w:rsidR="00A7550E" w:rsidRPr="00E8461E">
        <w:t xml:space="preserve">the Western Australian Government </w:t>
      </w:r>
      <w:r w:rsidR="00FE79B1" w:rsidRPr="00E8461E">
        <w:t xml:space="preserve">held the world’s first statutory inquiry into climate change and health, which </w:t>
      </w:r>
      <w:r w:rsidR="006D4065" w:rsidRPr="00E8461E">
        <w:t>provided a</w:t>
      </w:r>
      <w:r w:rsidR="000A102E" w:rsidRPr="00E8461E">
        <w:t xml:space="preserve"> robust, evidence-based </w:t>
      </w:r>
      <w:r w:rsidR="006D4065" w:rsidRPr="00E8461E">
        <w:t xml:space="preserve">foundation for </w:t>
      </w:r>
      <w:r w:rsidR="000A102E" w:rsidRPr="00E8461E">
        <w:t>state</w:t>
      </w:r>
      <w:r w:rsidR="00F2037A" w:rsidRPr="00E8461E">
        <w:t>-</w:t>
      </w:r>
      <w:r w:rsidR="000A102E" w:rsidRPr="00E8461E">
        <w:t>wide action on climate and health.</w:t>
      </w:r>
      <w:r w:rsidR="00DD094A" w:rsidRPr="00E8461E">
        <w:rPr>
          <w:rStyle w:val="EndnoteReference"/>
        </w:rPr>
        <w:endnoteReference w:id="51"/>
      </w:r>
      <w:r w:rsidR="00650B85" w:rsidRPr="00E8461E">
        <w:t xml:space="preserve"> </w:t>
      </w:r>
      <w:r w:rsidR="00E5541A" w:rsidRPr="00E8461E">
        <w:t>The Strategy will seek to leverage and complement these approaches.</w:t>
      </w:r>
    </w:p>
    <w:p w14:paraId="7527813C" w14:textId="03954495" w:rsidR="007E7319" w:rsidRPr="00E8461E" w:rsidDel="007E7319" w:rsidRDefault="00AF2426" w:rsidP="007E7319">
      <w:r w:rsidRPr="00E8461E">
        <w:t>This chapter outlines action that will be taken to protect and promote health in a changing climate</w:t>
      </w:r>
      <w:r w:rsidR="00CE4EFA" w:rsidRPr="00E8461E">
        <w:t xml:space="preserve"> from within the health system</w:t>
      </w:r>
      <w:r w:rsidR="00FC1289" w:rsidRPr="00E8461E">
        <w:t>.</w:t>
      </w:r>
      <w:r w:rsidR="00A53078" w:rsidRPr="00E8461E">
        <w:t xml:space="preserve"> </w:t>
      </w:r>
      <w:r w:rsidR="006852C0" w:rsidRPr="00E8461E">
        <w:t>Where</w:t>
      </w:r>
      <w:r w:rsidR="00FC3DD0" w:rsidRPr="00E8461E">
        <w:t>ver</w:t>
      </w:r>
      <w:r w:rsidR="006852C0" w:rsidRPr="00E8461E">
        <w:t xml:space="preserve"> relevant, </w:t>
      </w:r>
      <w:r w:rsidR="00995657" w:rsidRPr="00E8461E">
        <w:t>this action</w:t>
      </w:r>
      <w:r w:rsidR="00E371D3" w:rsidRPr="00E8461E">
        <w:t xml:space="preserve"> will </w:t>
      </w:r>
      <w:r w:rsidR="006852C0" w:rsidRPr="00E8461E">
        <w:t>be undertaken in partnership with First Nations stakeholders</w:t>
      </w:r>
      <w:r w:rsidR="0026213C" w:rsidRPr="00E8461E">
        <w:t xml:space="preserve">, </w:t>
      </w:r>
      <w:r w:rsidR="002B69B0" w:rsidRPr="00E8461E">
        <w:t xml:space="preserve">prioritising a strengths-based, culturally safe approach to </w:t>
      </w:r>
      <w:r w:rsidR="00E64CF2" w:rsidRPr="00E8461E">
        <w:t>First Nations</w:t>
      </w:r>
      <w:r w:rsidR="00125BCB" w:rsidRPr="00E8461E">
        <w:t xml:space="preserve"> people’s</w:t>
      </w:r>
      <w:r w:rsidR="0017713F" w:rsidRPr="00E8461E">
        <w:t xml:space="preserve"> </w:t>
      </w:r>
      <w:r w:rsidR="008C5CE9" w:rsidRPr="00E8461E">
        <w:t>health</w:t>
      </w:r>
      <w:r w:rsidR="00CB410C" w:rsidRPr="00E8461E">
        <w:t xml:space="preserve">, </w:t>
      </w:r>
      <w:r w:rsidR="00611797" w:rsidRPr="00E8461E">
        <w:t>consistent with implement</w:t>
      </w:r>
      <w:r w:rsidR="001E015A" w:rsidRPr="00E8461E">
        <w:t>ation</w:t>
      </w:r>
      <w:r w:rsidR="00611797" w:rsidRPr="00E8461E">
        <w:t xml:space="preserve"> of the National Agreement on Closing the Gap’s four Priority Reforms</w:t>
      </w:r>
      <w:r w:rsidR="008C5CE9" w:rsidRPr="00E8461E">
        <w:t>.</w:t>
      </w:r>
      <w:r w:rsidR="00FC1289" w:rsidRPr="00E8461E">
        <w:t xml:space="preserve"> Th</w:t>
      </w:r>
      <w:r w:rsidR="00FC3DD0" w:rsidRPr="00E8461E">
        <w:t xml:space="preserve">e first section of this chapter outlines action on </w:t>
      </w:r>
      <w:r w:rsidR="007E7319" w:rsidRPr="00E8461E">
        <w:t>climate and health risk assessment and adaptation planning (which will underpin adaptation efforts across both the health system and the wider determinants of health)</w:t>
      </w:r>
      <w:r w:rsidR="00173542" w:rsidRPr="00E8461E">
        <w:t>. The second section dis</w:t>
      </w:r>
      <w:r w:rsidR="00192323" w:rsidRPr="00E8461E">
        <w:t xml:space="preserve">cusses the role of </w:t>
      </w:r>
      <w:r w:rsidR="00A92593" w:rsidRPr="00E8461E">
        <w:t xml:space="preserve">prevention in building </w:t>
      </w:r>
      <w:r w:rsidR="007E7319" w:rsidRPr="00E8461E">
        <w:t>health system resilience</w:t>
      </w:r>
      <w:r w:rsidR="00A92593" w:rsidRPr="00E8461E">
        <w:t xml:space="preserve"> and </w:t>
      </w:r>
      <w:r w:rsidR="000A4C42" w:rsidRPr="00E8461E">
        <w:t xml:space="preserve">improving population health. </w:t>
      </w:r>
      <w:r w:rsidR="008D0F00" w:rsidRPr="00E8461E">
        <w:t xml:space="preserve">The third section </w:t>
      </w:r>
      <w:r w:rsidR="003034FE" w:rsidRPr="00E8461E">
        <w:t xml:space="preserve">outlines the </w:t>
      </w:r>
      <w:r w:rsidR="00CA4CBB" w:rsidRPr="00E8461E">
        <w:t xml:space="preserve">Australian </w:t>
      </w:r>
      <w:r w:rsidR="00D803FD" w:rsidRPr="00E8461E">
        <w:t>Government’s</w:t>
      </w:r>
      <w:r w:rsidR="00CA4CBB" w:rsidRPr="00E8461E">
        <w:t xml:space="preserve"> partnership with</w:t>
      </w:r>
      <w:r w:rsidR="00CA4CBB" w:rsidRPr="00E8461E" w:rsidDel="00055C42">
        <w:t xml:space="preserve"> </w:t>
      </w:r>
      <w:r w:rsidR="00CA4CBB" w:rsidRPr="00E8461E">
        <w:t>First Nations communit</w:t>
      </w:r>
      <w:r w:rsidR="00055C42" w:rsidRPr="00E8461E">
        <w:t>ies</w:t>
      </w:r>
      <w:r w:rsidR="00CA4CBB" w:rsidRPr="00E8461E">
        <w:t xml:space="preserve"> </w:t>
      </w:r>
      <w:r w:rsidR="004D0043" w:rsidRPr="00E8461E">
        <w:t>and workforce</w:t>
      </w:r>
      <w:r w:rsidR="00CA4CBB" w:rsidRPr="00E8461E">
        <w:t xml:space="preserve"> </w:t>
      </w:r>
      <w:r w:rsidR="004D0043" w:rsidRPr="00E8461E">
        <w:t>to address</w:t>
      </w:r>
      <w:r w:rsidR="00CA4CBB" w:rsidRPr="00E8461E">
        <w:t xml:space="preserve"> the impacts of climate change</w:t>
      </w:r>
      <w:r w:rsidR="004D0043" w:rsidRPr="00E8461E">
        <w:t xml:space="preserve"> on First Nations health</w:t>
      </w:r>
      <w:r w:rsidR="00BA7098" w:rsidRPr="00E8461E">
        <w:t>.</w:t>
      </w:r>
      <w:r w:rsidR="000A4C42" w:rsidRPr="00E8461E">
        <w:t xml:space="preserve"> The final two sections outline </w:t>
      </w:r>
      <w:r w:rsidR="007E7319" w:rsidRPr="00E8461E">
        <w:t xml:space="preserve">measures to build </w:t>
      </w:r>
      <w:r w:rsidR="000A4C42" w:rsidRPr="00E8461E">
        <w:t>resilience in the health and aged care sectors.</w:t>
      </w:r>
    </w:p>
    <w:p w14:paraId="4A4C9F4E" w14:textId="50895442" w:rsidR="00CF310B" w:rsidRPr="00E8461E" w:rsidRDefault="008E516C" w:rsidP="00CE2599">
      <w:pPr>
        <w:pStyle w:val="Heading2"/>
      </w:pPr>
      <w:bookmarkStart w:id="57" w:name="_Toc149909999"/>
      <w:bookmarkStart w:id="58" w:name="_Toc149918465"/>
      <w:bookmarkStart w:id="59" w:name="_Toc151999622"/>
      <w:r w:rsidRPr="00E8461E">
        <w:t>3</w:t>
      </w:r>
      <w:r w:rsidR="00D15631" w:rsidRPr="00E8461E">
        <w:t>.1</w:t>
      </w:r>
      <w:r w:rsidR="00AF2426" w:rsidRPr="00E8461E" w:rsidDel="00D15631">
        <w:t xml:space="preserve"> </w:t>
      </w:r>
      <w:r w:rsidR="00CF310B" w:rsidRPr="00E8461E">
        <w:t>Health</w:t>
      </w:r>
      <w:r w:rsidR="00942D86" w:rsidRPr="00E8461E">
        <w:t xml:space="preserve"> and </w:t>
      </w:r>
      <w:r w:rsidR="00CF310B" w:rsidRPr="00E8461E">
        <w:t>climate risk assessment</w:t>
      </w:r>
      <w:r w:rsidR="008566CD" w:rsidRPr="00E8461E">
        <w:t xml:space="preserve"> and health adaptation planning</w:t>
      </w:r>
      <w:bookmarkEnd w:id="57"/>
      <w:bookmarkEnd w:id="58"/>
      <w:bookmarkEnd w:id="59"/>
    </w:p>
    <w:p w14:paraId="39DCCE76" w14:textId="77777777" w:rsidR="00E05E9F" w:rsidRPr="00E8461E" w:rsidRDefault="00AA295F" w:rsidP="00CF310B">
      <w:r w:rsidRPr="00E8461E">
        <w:t xml:space="preserve">Undertaking </w:t>
      </w:r>
      <w:r w:rsidR="00DF6E34" w:rsidRPr="00E8461E">
        <w:t>climate and health</w:t>
      </w:r>
      <w:r w:rsidRPr="00E8461E">
        <w:t xml:space="preserve"> risk assessment</w:t>
      </w:r>
      <w:r w:rsidR="00E25F3B" w:rsidRPr="00E8461E">
        <w:t>s</w:t>
      </w:r>
      <w:r w:rsidRPr="00E8461E">
        <w:t xml:space="preserve"> and health adaptation planning is widely recognised as the starting point for evidence-based, strategic action to build a climate-resilient community and health </w:t>
      </w:r>
      <w:proofErr w:type="gramStart"/>
      <w:r w:rsidRPr="00E8461E">
        <w:t>system, and</w:t>
      </w:r>
      <w:proofErr w:type="gramEnd"/>
      <w:r w:rsidRPr="00E8461E">
        <w:t xml:space="preserve"> protect human health and wellbeing from the impacts of climate change. </w:t>
      </w:r>
    </w:p>
    <w:p w14:paraId="788844B4" w14:textId="3C228E57" w:rsidR="00CF310B" w:rsidRPr="00E8461E" w:rsidRDefault="00671C4A" w:rsidP="00CF310B">
      <w:r w:rsidRPr="00E8461E">
        <w:rPr>
          <w:rFonts w:ascii="Calibri" w:eastAsia="Calibri" w:hAnsi="Calibri" w:cs="Calibri"/>
          <w:lang w:val="en-GB"/>
        </w:rPr>
        <w:t>C</w:t>
      </w:r>
      <w:r w:rsidR="00CF310B" w:rsidRPr="00E8461E">
        <w:rPr>
          <w:rFonts w:ascii="Calibri" w:eastAsia="Calibri" w:hAnsi="Calibri" w:cs="Calibri"/>
          <w:lang w:val="en-GB"/>
        </w:rPr>
        <w:t>limate and health risk assessments, and/or vulnerability</w:t>
      </w:r>
      <w:r w:rsidR="00E25F3B" w:rsidRPr="00E8461E">
        <w:rPr>
          <w:rFonts w:ascii="Calibri" w:eastAsia="Calibri" w:hAnsi="Calibri" w:cs="Calibri"/>
          <w:lang w:val="en-GB"/>
        </w:rPr>
        <w:t xml:space="preserve">, </w:t>
      </w:r>
      <w:proofErr w:type="gramStart"/>
      <w:r w:rsidR="00E25F3B" w:rsidRPr="00E8461E">
        <w:rPr>
          <w:rFonts w:ascii="Calibri" w:eastAsia="Calibri" w:hAnsi="Calibri" w:cs="Calibri"/>
          <w:lang w:val="en-GB"/>
        </w:rPr>
        <w:t>capacity</w:t>
      </w:r>
      <w:proofErr w:type="gramEnd"/>
      <w:r w:rsidR="00CF310B" w:rsidRPr="00E8461E">
        <w:rPr>
          <w:rFonts w:ascii="Calibri" w:eastAsia="Calibri" w:hAnsi="Calibri" w:cs="Calibri"/>
          <w:lang w:val="en-GB"/>
        </w:rPr>
        <w:t xml:space="preserve"> and adaptation assessments</w:t>
      </w:r>
      <w:r w:rsidR="006E03C1" w:rsidRPr="00E8461E">
        <w:rPr>
          <w:rFonts w:ascii="Calibri" w:eastAsia="Calibri" w:hAnsi="Calibri" w:cs="Calibri"/>
          <w:lang w:val="en-GB"/>
        </w:rPr>
        <w:t>,</w:t>
      </w:r>
      <w:r w:rsidRPr="00E8461E">
        <w:rPr>
          <w:rFonts w:ascii="Calibri" w:eastAsia="Calibri" w:hAnsi="Calibri" w:cs="Calibri"/>
          <w:lang w:val="en-GB"/>
        </w:rPr>
        <w:t xml:space="preserve"> </w:t>
      </w:r>
      <w:r w:rsidR="00CF310B" w:rsidRPr="00E8461E">
        <w:rPr>
          <w:rFonts w:ascii="Calibri" w:eastAsia="Calibri" w:hAnsi="Calibri" w:cs="Calibri"/>
          <w:lang w:val="en-GB"/>
        </w:rPr>
        <w:t xml:space="preserve">identify, analyse, and ideally quantify </w:t>
      </w:r>
      <w:r w:rsidR="006E03C1" w:rsidRPr="00E8461E">
        <w:rPr>
          <w:rFonts w:ascii="Calibri" w:eastAsia="Calibri" w:hAnsi="Calibri" w:cs="Calibri"/>
          <w:lang w:val="en-GB"/>
        </w:rPr>
        <w:t xml:space="preserve">the </w:t>
      </w:r>
      <w:r w:rsidR="00CF310B" w:rsidRPr="00E8461E">
        <w:rPr>
          <w:rFonts w:ascii="Calibri" w:eastAsia="Calibri" w:hAnsi="Calibri" w:cs="Calibri"/>
          <w:lang w:val="en-GB"/>
        </w:rPr>
        <w:t>impacts of climate change on health and wellbeing; assess the capacity of health and health-determining systems to manage these risks; and identify and prioritise measures to manage risks over various timeframes</w:t>
      </w:r>
      <w:r w:rsidR="00FA4E8A" w:rsidRPr="00E8461E">
        <w:rPr>
          <w:rFonts w:ascii="Calibri" w:eastAsia="Calibri" w:hAnsi="Calibri" w:cs="Calibri"/>
          <w:lang w:val="en-GB"/>
        </w:rPr>
        <w:t xml:space="preserve"> </w:t>
      </w:r>
      <w:r w:rsidR="00427361" w:rsidRPr="00E8461E">
        <w:rPr>
          <w:rFonts w:ascii="Calibri" w:eastAsia="Calibri" w:hAnsi="Calibri" w:cs="Calibri"/>
          <w:lang w:val="en-GB"/>
        </w:rPr>
        <w:t>and population groups</w:t>
      </w:r>
      <w:r w:rsidR="00FA4E8A" w:rsidRPr="00E8461E">
        <w:rPr>
          <w:rFonts w:ascii="Calibri" w:eastAsia="Calibri" w:hAnsi="Calibri" w:cs="Calibri"/>
          <w:lang w:val="en-GB"/>
        </w:rPr>
        <w:t xml:space="preserve"> – thus </w:t>
      </w:r>
      <w:r w:rsidR="00A44904" w:rsidRPr="00E8461E">
        <w:rPr>
          <w:rFonts w:ascii="Calibri" w:eastAsia="Calibri" w:hAnsi="Calibri" w:cs="Calibri"/>
          <w:lang w:val="en-GB"/>
        </w:rPr>
        <w:t>providing the key input into health adaptation plans</w:t>
      </w:r>
      <w:r w:rsidR="00CF310B" w:rsidRPr="00E8461E">
        <w:rPr>
          <w:rFonts w:ascii="Calibri" w:eastAsia="Calibri" w:hAnsi="Calibri" w:cs="Calibri"/>
          <w:lang w:val="en-GB"/>
        </w:rPr>
        <w:t>.</w:t>
      </w:r>
      <w:r w:rsidR="00CF310B" w:rsidRPr="00E8461E">
        <w:rPr>
          <w:rStyle w:val="EndnoteReference"/>
          <w:rFonts w:ascii="Calibri" w:eastAsia="Calibri" w:hAnsi="Calibri" w:cs="Calibri"/>
          <w:lang w:val="en-GB"/>
        </w:rPr>
        <w:endnoteReference w:id="52"/>
      </w:r>
    </w:p>
    <w:p w14:paraId="414E1D5A" w14:textId="77777777" w:rsidR="00966959" w:rsidRDefault="00CF310B" w:rsidP="00966959">
      <w:pPr>
        <w:rPr>
          <w:rFonts w:ascii="Calibri" w:eastAsia="Calibri" w:hAnsi="Calibri" w:cs="Calibri"/>
          <w:lang w:val="en-GB"/>
        </w:rPr>
      </w:pPr>
      <w:r w:rsidRPr="00E8461E">
        <w:rPr>
          <w:rFonts w:ascii="Calibri" w:eastAsia="Calibri" w:hAnsi="Calibri" w:cs="Calibri"/>
          <w:lang w:val="en-GB"/>
        </w:rPr>
        <w:lastRenderedPageBreak/>
        <w:t>Climate risk is broadly defined as a function of</w:t>
      </w:r>
      <w:r w:rsidRPr="00E8461E" w:rsidDel="00D01336">
        <w:rPr>
          <w:rFonts w:ascii="Calibri" w:eastAsia="Calibri" w:hAnsi="Calibri" w:cs="Calibri"/>
          <w:lang w:val="en-GB"/>
        </w:rPr>
        <w:t xml:space="preserve"> </w:t>
      </w:r>
      <w:r w:rsidRPr="00E8461E">
        <w:rPr>
          <w:rFonts w:ascii="Calibri" w:eastAsia="Calibri" w:hAnsi="Calibri" w:cs="Calibri"/>
          <w:lang w:val="en-GB"/>
        </w:rPr>
        <w:t>hazard, exposure, and vulnerability.</w:t>
      </w:r>
      <w:r w:rsidRPr="00E8461E">
        <w:rPr>
          <w:rStyle w:val="EndnoteReference"/>
          <w:rFonts w:ascii="Calibri" w:eastAsia="Calibri" w:hAnsi="Calibri" w:cs="Calibri"/>
          <w:lang w:val="en-GB"/>
        </w:rPr>
        <w:endnoteReference w:id="53"/>
      </w:r>
      <w:r w:rsidRPr="00E8461E">
        <w:rPr>
          <w:rFonts w:ascii="Calibri" w:eastAsia="Calibri" w:hAnsi="Calibri" w:cs="Calibri"/>
          <w:vertAlign w:val="superscript"/>
          <w:lang w:val="en-GB"/>
        </w:rPr>
        <w:t>,</w:t>
      </w:r>
      <w:r w:rsidRPr="00E8461E">
        <w:rPr>
          <w:rStyle w:val="EndnoteReference"/>
          <w:rFonts w:ascii="Calibri" w:eastAsia="Calibri" w:hAnsi="Calibri" w:cs="Calibri"/>
          <w:lang w:val="en-GB"/>
        </w:rPr>
        <w:endnoteReference w:id="54"/>
      </w:r>
      <w:r w:rsidRPr="00E8461E">
        <w:rPr>
          <w:rFonts w:ascii="Calibri" w:eastAsia="Calibri" w:hAnsi="Calibri" w:cs="Calibri"/>
          <w:lang w:val="en-GB"/>
        </w:rPr>
        <w:t xml:space="preserve"> Definitions of these terms are included in Box </w:t>
      </w:r>
      <w:r w:rsidR="001C5DBE" w:rsidRPr="00E8461E">
        <w:rPr>
          <w:rFonts w:ascii="Calibri" w:eastAsia="Calibri" w:hAnsi="Calibri" w:cs="Calibri"/>
          <w:lang w:val="en-GB"/>
        </w:rPr>
        <w:t>1</w:t>
      </w:r>
      <w:r w:rsidRPr="00E8461E">
        <w:rPr>
          <w:rFonts w:ascii="Calibri" w:eastAsia="Calibri" w:hAnsi="Calibri" w:cs="Calibri"/>
          <w:lang w:val="en-GB"/>
        </w:rPr>
        <w:t xml:space="preserve">. </w:t>
      </w:r>
    </w:p>
    <w:p w14:paraId="46B56154" w14:textId="3D2EA3C9" w:rsidR="006D7EDA" w:rsidRPr="00E8461E" w:rsidRDefault="006D7EDA" w:rsidP="00966959">
      <w:pPr>
        <w:pBdr>
          <w:top w:val="single" w:sz="12" w:space="1" w:color="6D6D70" w:themeColor="text2"/>
        </w:pBdr>
        <w:rPr>
          <w:lang w:val="en-US"/>
        </w:rPr>
      </w:pPr>
      <w:r w:rsidRPr="00E8461E">
        <w:rPr>
          <w:rStyle w:val="Heading3Char"/>
        </w:rPr>
        <w:t>Box 1</w:t>
      </w:r>
      <w:r w:rsidRPr="00E8461E">
        <w:rPr>
          <w:rStyle w:val="EndnoteReference"/>
          <w:rFonts w:ascii="Calibri" w:eastAsia="Calibri" w:hAnsi="Calibri" w:cs="Calibri"/>
          <w:lang w:val="en-GB"/>
        </w:rPr>
        <w:endnoteReference w:id="55"/>
      </w:r>
      <w:r w:rsidRPr="00E8461E">
        <w:rPr>
          <w:rFonts w:ascii="Calibri" w:eastAsia="Calibri" w:hAnsi="Calibri" w:cs="Calibri"/>
          <w:vertAlign w:val="superscript"/>
          <w:lang w:val="en-GB"/>
        </w:rPr>
        <w:t>,</w:t>
      </w:r>
      <w:r w:rsidRPr="00E8461E">
        <w:rPr>
          <w:rStyle w:val="EndnoteReference"/>
          <w:rFonts w:ascii="Calibri" w:eastAsia="Calibri" w:hAnsi="Calibri" w:cs="Calibri"/>
          <w:lang w:val="en-GB"/>
        </w:rPr>
        <w:endnoteReference w:id="56"/>
      </w:r>
    </w:p>
    <w:p w14:paraId="3763A7E3" w14:textId="77777777" w:rsidR="006D7EDA" w:rsidRPr="00E8461E" w:rsidRDefault="006D7EDA" w:rsidP="006D7EDA">
      <w:pPr>
        <w:pStyle w:val="ListParagraph"/>
        <w:numPr>
          <w:ilvl w:val="0"/>
          <w:numId w:val="1"/>
        </w:numPr>
        <w:spacing w:line="240" w:lineRule="auto"/>
        <w:ind w:left="357" w:hanging="357"/>
        <w:rPr>
          <w:lang w:val="en-US"/>
        </w:rPr>
      </w:pPr>
      <w:r w:rsidRPr="00E8461E">
        <w:rPr>
          <w:b/>
          <w:bCs/>
          <w:lang w:val="en-US"/>
        </w:rPr>
        <w:t>Hazard</w:t>
      </w:r>
      <w:r w:rsidRPr="00E8461E">
        <w:rPr>
          <w:lang w:val="en-US"/>
        </w:rPr>
        <w:t>: the actual or potential occurrence of a physical event, trend or physical impact that may cause health impacts, as well as damage and loss to property, infrastructure, livelihoods, service provision, ecosystems, and environmental resources.</w:t>
      </w:r>
    </w:p>
    <w:p w14:paraId="052C772D" w14:textId="77777777" w:rsidR="006D7EDA" w:rsidRPr="00E8461E" w:rsidRDefault="006D7EDA" w:rsidP="006D7EDA">
      <w:pPr>
        <w:pStyle w:val="ListParagraph"/>
        <w:numPr>
          <w:ilvl w:val="0"/>
          <w:numId w:val="1"/>
        </w:numPr>
        <w:spacing w:line="240" w:lineRule="auto"/>
        <w:ind w:left="357" w:hanging="357"/>
        <w:rPr>
          <w:lang w:val="en-US"/>
        </w:rPr>
      </w:pPr>
      <w:r w:rsidRPr="00E8461E">
        <w:rPr>
          <w:b/>
          <w:bCs/>
          <w:lang w:val="en-US"/>
        </w:rPr>
        <w:t>Exposure</w:t>
      </w:r>
      <w:r w:rsidRPr="00E8461E">
        <w:rPr>
          <w:lang w:val="en-US"/>
        </w:rPr>
        <w:t>: the presence of either of the following in places and settings that could be adversely affected by a hazard:</w:t>
      </w:r>
    </w:p>
    <w:p w14:paraId="15E4A64F" w14:textId="77777777" w:rsidR="006D7EDA" w:rsidRPr="00E8461E" w:rsidRDefault="006D7EDA" w:rsidP="006D7EDA">
      <w:pPr>
        <w:pStyle w:val="BulletIndent1"/>
      </w:pPr>
      <w:r w:rsidRPr="00E8461E">
        <w:t>People, livelihoods, species or ecosystems, environmental functions, services</w:t>
      </w:r>
    </w:p>
    <w:p w14:paraId="7FCCD792" w14:textId="77777777" w:rsidR="006D7EDA" w:rsidRPr="00E8461E" w:rsidRDefault="006D7EDA" w:rsidP="006D7EDA">
      <w:pPr>
        <w:pStyle w:val="BulletIndent1"/>
      </w:pPr>
      <w:r w:rsidRPr="00E8461E">
        <w:t>Resources, infrastructure, or economic, social, or cultural assets.</w:t>
      </w:r>
    </w:p>
    <w:p w14:paraId="7077090D" w14:textId="77777777" w:rsidR="006D7EDA" w:rsidRPr="00E8461E" w:rsidRDefault="006D7EDA" w:rsidP="006D7EDA">
      <w:pPr>
        <w:pStyle w:val="ListParagraph"/>
        <w:numPr>
          <w:ilvl w:val="0"/>
          <w:numId w:val="1"/>
        </w:numPr>
        <w:spacing w:line="240" w:lineRule="auto"/>
        <w:ind w:left="357" w:hanging="357"/>
      </w:pPr>
      <w:r w:rsidRPr="00E8461E">
        <w:rPr>
          <w:b/>
          <w:bCs/>
          <w:lang w:val="en-US"/>
        </w:rPr>
        <w:t>Vulnerability</w:t>
      </w:r>
      <w:r w:rsidRPr="00E8461E">
        <w:rPr>
          <w:lang w:val="en-US"/>
        </w:rPr>
        <w:t xml:space="preserve"> is the </w:t>
      </w:r>
      <w:r w:rsidRPr="00E8461E">
        <w:t>propensity or predisposition to be adversely affected by exposure to a hazard. This encompasses:</w:t>
      </w:r>
    </w:p>
    <w:p w14:paraId="21A3323C" w14:textId="77777777" w:rsidR="006D7EDA" w:rsidRPr="00E8461E" w:rsidRDefault="006D7EDA" w:rsidP="006D7EDA">
      <w:pPr>
        <w:pStyle w:val="BulletIndent1"/>
      </w:pPr>
      <w:r w:rsidRPr="00E8461E">
        <w:rPr>
          <w:b/>
          <w:bCs/>
        </w:rPr>
        <w:t>Adaptive capacity</w:t>
      </w:r>
      <w:r w:rsidRPr="00E8461E">
        <w:t>: the ability of a system, population or individual to adjust to the impacts of climate change.</w:t>
      </w:r>
    </w:p>
    <w:p w14:paraId="6FF3FF7D" w14:textId="0CCADAAD" w:rsidR="00CF58B6" w:rsidRPr="005B6AD2" w:rsidRDefault="006D7EDA" w:rsidP="005B6AD2">
      <w:pPr>
        <w:pStyle w:val="ListParagraph"/>
        <w:numPr>
          <w:ilvl w:val="0"/>
          <w:numId w:val="1"/>
        </w:numPr>
        <w:pBdr>
          <w:bottom w:val="single" w:sz="12" w:space="1" w:color="A5A5A5" w:themeColor="accent3"/>
        </w:pBdr>
        <w:spacing w:line="240" w:lineRule="auto"/>
        <w:ind w:left="357" w:hanging="357"/>
        <w:rPr>
          <w:rFonts w:ascii="Calibri" w:eastAsia="Calibri" w:hAnsi="Calibri" w:cs="Calibri"/>
          <w:lang w:val="en-GB"/>
        </w:rPr>
      </w:pPr>
      <w:r w:rsidRPr="005B6AD2">
        <w:rPr>
          <w:b/>
          <w:bCs/>
        </w:rPr>
        <w:t>Sensitivity</w:t>
      </w:r>
      <w:r w:rsidRPr="00E8461E">
        <w:t>: the degree to which a system, population or individual is likely to be affected by a given exposure to a hazard.</w:t>
      </w:r>
    </w:p>
    <w:p w14:paraId="708C5E6F" w14:textId="1D1FFFFE" w:rsidR="00966959" w:rsidRDefault="00CF310B" w:rsidP="00CF310B">
      <w:pPr>
        <w:rPr>
          <w:rFonts w:ascii="Calibri" w:eastAsia="Calibri" w:hAnsi="Calibri" w:cs="Calibri"/>
          <w:lang w:val="en-GB"/>
        </w:rPr>
      </w:pPr>
      <w:r w:rsidRPr="00E8461E">
        <w:rPr>
          <w:rFonts w:ascii="Calibri" w:eastAsia="Calibri" w:hAnsi="Calibri" w:cs="Calibri"/>
          <w:lang w:val="en-GB"/>
        </w:rPr>
        <w:t>Climate change affects the frequency, intensity, and duration of a range of hazards</w:t>
      </w:r>
      <w:r w:rsidR="00E34DFD" w:rsidRPr="00E8461E">
        <w:rPr>
          <w:rFonts w:ascii="Calibri" w:eastAsia="Calibri" w:hAnsi="Calibri" w:cs="Calibri"/>
          <w:lang w:val="en-GB"/>
        </w:rPr>
        <w:t xml:space="preserve"> (See Figure 4). </w:t>
      </w:r>
      <w:r w:rsidRPr="00E8461E">
        <w:rPr>
          <w:rFonts w:ascii="Calibri" w:eastAsia="Calibri" w:hAnsi="Calibri" w:cs="Calibri"/>
          <w:lang w:val="en-GB"/>
        </w:rPr>
        <w:t>The</w:t>
      </w:r>
      <w:r w:rsidRPr="00E8461E" w:rsidDel="007B51D6">
        <w:rPr>
          <w:rFonts w:ascii="Calibri" w:eastAsia="Calibri" w:hAnsi="Calibri" w:cs="Calibri"/>
          <w:lang w:val="en-GB"/>
        </w:rPr>
        <w:t xml:space="preserve"> </w:t>
      </w:r>
      <w:r w:rsidRPr="00E8461E">
        <w:rPr>
          <w:rFonts w:ascii="Calibri" w:eastAsia="Calibri" w:hAnsi="Calibri" w:cs="Calibri"/>
          <w:lang w:val="en-GB"/>
        </w:rPr>
        <w:t xml:space="preserve">degree of climate risks to health </w:t>
      </w:r>
      <w:r w:rsidR="00CC48F1" w:rsidRPr="00E8461E">
        <w:rPr>
          <w:rFonts w:ascii="Calibri" w:eastAsia="Calibri" w:hAnsi="Calibri" w:cs="Calibri"/>
          <w:lang w:val="en-GB"/>
        </w:rPr>
        <w:t>due to</w:t>
      </w:r>
      <w:r w:rsidRPr="00E8461E">
        <w:rPr>
          <w:rFonts w:ascii="Calibri" w:eastAsia="Calibri" w:hAnsi="Calibri" w:cs="Calibri"/>
          <w:lang w:val="en-GB"/>
        </w:rPr>
        <w:t xml:space="preserve"> increasing hazards depends on the extent of exposure to the hazard, and the vulnerability of the exposed person, population, or system. The relationships between hazards, exposures, and vulnerabilities in terms climate risks to health and wellbeing are summarised in </w:t>
      </w:r>
      <w:r w:rsidR="00E34DFD" w:rsidRPr="00E8461E">
        <w:rPr>
          <w:rFonts w:ascii="Calibri" w:eastAsia="Calibri" w:hAnsi="Calibri" w:cs="Calibri"/>
          <w:lang w:val="en-GB"/>
        </w:rPr>
        <w:t>Figure 5.</w:t>
      </w:r>
    </w:p>
    <w:p w14:paraId="6FAC85C4" w14:textId="77777777" w:rsidR="00966959" w:rsidRDefault="00966959">
      <w:pPr>
        <w:spacing w:after="160" w:line="259" w:lineRule="auto"/>
        <w:rPr>
          <w:rFonts w:ascii="Calibri" w:eastAsia="Calibri" w:hAnsi="Calibri" w:cs="Calibri"/>
          <w:lang w:val="en-GB"/>
        </w:rPr>
      </w:pPr>
      <w:r>
        <w:rPr>
          <w:rFonts w:ascii="Calibri" w:eastAsia="Calibri" w:hAnsi="Calibri" w:cs="Calibri"/>
          <w:lang w:val="en-GB"/>
        </w:rPr>
        <w:br w:type="page"/>
      </w:r>
    </w:p>
    <w:p w14:paraId="7358FF95" w14:textId="13C4EADE" w:rsidR="002B27EF" w:rsidRPr="00E8461E" w:rsidRDefault="002B27EF" w:rsidP="002B27EF">
      <w:pPr>
        <w:pStyle w:val="Caption"/>
        <w:rPr>
          <w:b/>
          <w:bCs/>
          <w:lang w:val="en-GB"/>
        </w:rPr>
      </w:pPr>
      <w:r w:rsidRPr="00E8461E">
        <w:lastRenderedPageBreak/>
        <w:t xml:space="preserve">Figure </w:t>
      </w:r>
      <w:r w:rsidR="00B07FA8">
        <w:fldChar w:fldCharType="begin"/>
      </w:r>
      <w:r w:rsidR="00B07FA8">
        <w:instrText xml:space="preserve"> SEQ Figure \* ARABIC </w:instrText>
      </w:r>
      <w:r w:rsidR="00B07FA8">
        <w:fldChar w:fldCharType="separate"/>
      </w:r>
      <w:r w:rsidR="003E7FC6" w:rsidRPr="00E8461E">
        <w:rPr>
          <w:noProof/>
        </w:rPr>
        <w:t>4</w:t>
      </w:r>
      <w:r w:rsidR="00B07FA8">
        <w:rPr>
          <w:noProof/>
        </w:rPr>
        <w:fldChar w:fldCharType="end"/>
      </w:r>
      <w:r w:rsidRPr="00E8461E">
        <w:t xml:space="preserve"> Predicted changes in hazards for </w:t>
      </w:r>
      <w:proofErr w:type="gramStart"/>
      <w:r w:rsidRPr="00E8461E">
        <w:t>Australia</w:t>
      </w:r>
      <w:proofErr w:type="gramEnd"/>
    </w:p>
    <w:p w14:paraId="48B0445A" w14:textId="77777777" w:rsidR="002B27EF" w:rsidRPr="00E8461E" w:rsidRDefault="002B27EF" w:rsidP="002B27EF">
      <w:pPr>
        <w:keepNext/>
      </w:pPr>
      <w:r w:rsidRPr="00E8461E">
        <w:rPr>
          <w:b/>
          <w:bCs/>
          <w:noProof/>
          <w:lang w:val="en-GB"/>
        </w:rPr>
        <w:drawing>
          <wp:inline distT="0" distB="0" distL="0" distR="0" wp14:anchorId="28C34DBF" wp14:editId="7B8B81CD">
            <wp:extent cx="6291943" cy="3971797"/>
            <wp:effectExtent l="0" t="0" r="0" b="0"/>
            <wp:docPr id="7" name="Picture 7" descr="A diagram of Australia with a list of the predicted changes in hazards for Australia which includes:&#10;• More severe fire weather days&#10;• More frequent heatwaves and hot days over 35˚C&#10;• More time spent in drought&#10;• Sea level rise and increase in coastal flooding&#10;• More coastal erosion and changes to shorelines&#10;• Fewer but more intense tropical cyclones&#10;• Increase in heavy rainfall and flood risk&#10;• More likely than not increase in hailstorms&#10;• Fewer extratropical storms but with heavier rainfall&#10;• Increase in ocean temperatures and acid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ustralia with a list of the predicted changes in hazards for Australia which includes:&#10;• More severe fire weather days&#10;• More frequent heatwaves and hot days over 35˚C&#10;• More time spent in drought&#10;• Sea level rise and increase in coastal flooding&#10;• More coastal erosion and changes to shorelines&#10;• Fewer but more intense tropical cyclones&#10;• Increase in heavy rainfall and flood risk&#10;• More likely than not increase in hailstorms&#10;• Fewer extratropical storms but with heavier rainfall&#10;• Increase in ocean temperatures and acidity.&#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18660" cy="3988662"/>
                    </a:xfrm>
                    <a:prstGeom prst="rect">
                      <a:avLst/>
                    </a:prstGeom>
                  </pic:spPr>
                </pic:pic>
              </a:graphicData>
            </a:graphic>
          </wp:inline>
        </w:drawing>
      </w:r>
    </w:p>
    <w:p w14:paraId="4E8976C8" w14:textId="77777777" w:rsidR="002B27EF" w:rsidRPr="00E8461E" w:rsidRDefault="002B27EF" w:rsidP="002B27EF">
      <w:r w:rsidRPr="00E8461E">
        <w:t>Source: Australian Climate Service, adapted from IPCC AR6 and other sources.</w:t>
      </w:r>
    </w:p>
    <w:p w14:paraId="0B2C385D" w14:textId="77777777" w:rsidR="00966959" w:rsidRDefault="00966959">
      <w:pPr>
        <w:spacing w:after="160" w:line="259" w:lineRule="auto"/>
        <w:rPr>
          <w:iCs/>
          <w:color w:val="363638" w:themeColor="text2" w:themeShade="80"/>
          <w:sz w:val="18"/>
          <w:szCs w:val="18"/>
        </w:rPr>
      </w:pPr>
      <w:r>
        <w:br w:type="page"/>
      </w:r>
    </w:p>
    <w:p w14:paraId="4D98FA8C" w14:textId="4894AFE1" w:rsidR="002B27EF" w:rsidRPr="00E8461E" w:rsidRDefault="002B27EF" w:rsidP="002B27EF">
      <w:pPr>
        <w:pStyle w:val="Caption"/>
        <w:rPr>
          <w:rFonts w:ascii="Calibri" w:eastAsia="Calibri" w:hAnsi="Calibri" w:cs="Calibri"/>
          <w:b/>
          <w:bCs/>
          <w:lang w:val="en-GB"/>
        </w:rPr>
      </w:pPr>
      <w:r w:rsidRPr="00E8461E">
        <w:lastRenderedPageBreak/>
        <w:t xml:space="preserve">Figure </w:t>
      </w:r>
      <w:r w:rsidR="00B07FA8">
        <w:fldChar w:fldCharType="begin"/>
      </w:r>
      <w:r w:rsidR="00B07FA8">
        <w:instrText xml:space="preserve"> SEQ Figure \* ARABIC </w:instrText>
      </w:r>
      <w:r w:rsidR="00B07FA8">
        <w:fldChar w:fldCharType="separate"/>
      </w:r>
      <w:r w:rsidR="003E7FC6" w:rsidRPr="00E8461E">
        <w:rPr>
          <w:noProof/>
        </w:rPr>
        <w:t>5</w:t>
      </w:r>
      <w:r w:rsidR="00B07FA8">
        <w:rPr>
          <w:noProof/>
        </w:rPr>
        <w:fldChar w:fldCharType="end"/>
      </w:r>
      <w:r w:rsidRPr="00E8461E">
        <w:t xml:space="preserve"> Climate-related risks to health and wellbeing</w:t>
      </w:r>
    </w:p>
    <w:p w14:paraId="6259A61D" w14:textId="3C4C139B" w:rsidR="002B27EF" w:rsidRPr="00E8461E" w:rsidRDefault="002B27EF" w:rsidP="002B27EF">
      <w:pPr>
        <w:keepNext/>
      </w:pPr>
      <w:r w:rsidRPr="00E8461E">
        <w:rPr>
          <w:rFonts w:ascii="Calibri" w:eastAsia="Calibri" w:hAnsi="Calibri" w:cs="Calibri"/>
          <w:b/>
          <w:bCs/>
          <w:noProof/>
          <w:lang w:val="en-GB"/>
        </w:rPr>
        <w:drawing>
          <wp:inline distT="0" distB="0" distL="0" distR="0" wp14:anchorId="4AC50008" wp14:editId="6E1C713E">
            <wp:extent cx="6119902" cy="7467600"/>
            <wp:effectExtent l="0" t="0" r="0" b="0"/>
            <wp:docPr id="17" name="Picture 17" descr="A diagram depicting the climate-related risks to health and wellbeing. The top left section reads: &#10;Vulnerability: Many different demographic, social, economic, political, and health system factors determine individual and population vulnerability. These include:&#10;• Age&#10;• Health, pregnancy&#10;• and nutritional status&#10;• Socioeconomic status&#10;• Ethnicity&#10;• First Nations status&#10;• Housing&#10;• Access to health and social services&#10;• Urban planning and land use&#10;• Leadership and governance&#10;• Technology and data&#10;This section is linked by a two-way arrow to the top right section which reads:&#10;Exposure to Hazards: People and health systems will be increasingly exposed to climate-related hazards such as:&#10;• Heat (heatwaves, increased average temperatures)&#10;• Bushfires&#10;• Sea level rise&#10;• Changes to rainfall (including droughts and flooding risk)&#10;• Storms and tropical cyclones&#10;• Ocean warming and acidification&#10;• Altered vectoral distribution and behaviour&#10;• Biodiversity loss and reduced ecosystem services&#10;• Air pollution&#10;• Food and water insecurity&#10;The top two sections, Vulnerability and Exposure to Hazards, are linked to the bottom section by an arrow, and this section, titled: Climate risks to health, wellbeing, and health systems, lists the human health outcomes: mental health, infections disease, chronic and non-communicable disease exacerbations, injury and mortality, malnutrition and food-related disease, and heat-related illness which is linked by an arrow to the health system outcomes: increased demand on health services, disrupted health service delivery, damage to health infrastructure, and overwhelmed health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depicting the climate-related risks to health and wellbeing. The top left section reads: &#10;Vulnerability: Many different demographic, social, economic, political, and health system factors determine individual and population vulnerability. These include:&#10;• Age&#10;• Health, pregnancy&#10;• and nutritional status&#10;• Socioeconomic status&#10;• Ethnicity&#10;• First Nations status&#10;• Housing&#10;• Access to health and social services&#10;• Urban planning and land use&#10;• Leadership and governance&#10;• Technology and data&#10;This section is linked by a two-way arrow to the top right section which reads:&#10;Exposure to Hazards: People and health systems will be increasingly exposed to climate-related hazards such as:&#10;• Heat (heatwaves, increased average temperatures)&#10;• Bushfires&#10;• Sea level rise&#10;• Changes to rainfall (including droughts and flooding risk)&#10;• Storms and tropical cyclones&#10;• Ocean warming and acidification&#10;• Altered vectoral distribution and behaviour&#10;• Biodiversity loss and reduced ecosystem services&#10;• Air pollution&#10;• Food and water insecurity&#10;The top two sections, Vulnerability and Exposure to Hazards, are linked to the bottom section by an arrow, and this section, titled: Climate risks to health, wellbeing, and health systems, lists the human health outcomes: mental health, infections disease, chronic and non-communicable disease exacerbations, injury and mortality, malnutrition and food-related disease, and heat-related illness which is linked by an arrow to the health system outcomes: increased demand on health services, disrupted health service delivery, damage to health infrastructure, and overwhelmed health services.&#10;"/>
                    <pic:cNvPicPr/>
                  </pic:nvPicPr>
                  <pic:blipFill rotWithShape="1">
                    <a:blip r:embed="rId25" cstate="print">
                      <a:extLst>
                        <a:ext uri="{28A0092B-C50C-407E-A947-70E740481C1C}">
                          <a14:useLocalDpi xmlns:a14="http://schemas.microsoft.com/office/drawing/2010/main" val="0"/>
                        </a:ext>
                      </a:extLst>
                    </a:blip>
                    <a:srcRect t="7186" b="3391"/>
                    <a:stretch/>
                  </pic:blipFill>
                  <pic:spPr bwMode="auto">
                    <a:xfrm>
                      <a:off x="0" y="0"/>
                      <a:ext cx="6120384" cy="7468188"/>
                    </a:xfrm>
                    <a:prstGeom prst="rect">
                      <a:avLst/>
                    </a:prstGeom>
                    <a:ln>
                      <a:noFill/>
                    </a:ln>
                    <a:extLst>
                      <a:ext uri="{53640926-AAD7-44D8-BBD7-CCE9431645EC}">
                        <a14:shadowObscured xmlns:a14="http://schemas.microsoft.com/office/drawing/2010/main"/>
                      </a:ext>
                    </a:extLst>
                  </pic:spPr>
                </pic:pic>
              </a:graphicData>
            </a:graphic>
          </wp:inline>
        </w:drawing>
      </w:r>
    </w:p>
    <w:p w14:paraId="2729C136" w14:textId="0C98B284" w:rsidR="00CF310B" w:rsidRPr="00E8461E" w:rsidRDefault="00CF310B" w:rsidP="00CF310B">
      <w:pPr>
        <w:rPr>
          <w:rFonts w:cstheme="minorHAnsi"/>
        </w:rPr>
      </w:pPr>
      <w:r w:rsidRPr="00E8461E">
        <w:rPr>
          <w:rFonts w:ascii="Calibri" w:eastAsia="Calibri" w:hAnsi="Calibri" w:cs="Calibri"/>
          <w:lang w:val="en-GB"/>
        </w:rPr>
        <w:t xml:space="preserve">The National Climate Risk Assessment lays the foundations for </w:t>
      </w:r>
      <w:r w:rsidR="005A0F74" w:rsidRPr="00E8461E">
        <w:rPr>
          <w:rFonts w:ascii="Calibri" w:eastAsia="Calibri" w:hAnsi="Calibri" w:cs="Calibri"/>
          <w:lang w:val="en-GB"/>
        </w:rPr>
        <w:t xml:space="preserve">future </w:t>
      </w:r>
      <w:r w:rsidR="00AC5307" w:rsidRPr="00E8461E">
        <w:rPr>
          <w:rFonts w:ascii="Calibri" w:eastAsia="Calibri" w:hAnsi="Calibri" w:cs="Calibri"/>
          <w:lang w:val="en-GB"/>
        </w:rPr>
        <w:t>health</w:t>
      </w:r>
      <w:r w:rsidR="005A0F74" w:rsidRPr="00E8461E">
        <w:rPr>
          <w:rFonts w:ascii="Calibri" w:eastAsia="Calibri" w:hAnsi="Calibri" w:cs="Calibri"/>
          <w:lang w:val="en-GB"/>
        </w:rPr>
        <w:t xml:space="preserve"> and </w:t>
      </w:r>
      <w:r w:rsidRPr="00E8461E">
        <w:rPr>
          <w:rFonts w:ascii="Calibri" w:eastAsia="Calibri" w:hAnsi="Calibri" w:cs="Calibri"/>
          <w:lang w:val="en-GB"/>
        </w:rPr>
        <w:t xml:space="preserve">climate risk </w:t>
      </w:r>
      <w:r w:rsidR="006A0202" w:rsidRPr="00E8461E">
        <w:rPr>
          <w:rFonts w:ascii="Calibri" w:eastAsia="Calibri" w:hAnsi="Calibri" w:cs="Calibri"/>
          <w:lang w:val="en-GB"/>
        </w:rPr>
        <w:t>a</w:t>
      </w:r>
      <w:r w:rsidRPr="00E8461E">
        <w:rPr>
          <w:rFonts w:ascii="Calibri" w:eastAsia="Calibri" w:hAnsi="Calibri" w:cs="Calibri"/>
          <w:lang w:val="en-GB"/>
        </w:rPr>
        <w:t>ssessment</w:t>
      </w:r>
      <w:r w:rsidR="005A0F74" w:rsidRPr="00E8461E">
        <w:rPr>
          <w:rFonts w:ascii="Calibri" w:eastAsia="Calibri" w:hAnsi="Calibri" w:cs="Calibri"/>
          <w:lang w:val="en-GB"/>
        </w:rPr>
        <w:t>s</w:t>
      </w:r>
      <w:r w:rsidRPr="00E8461E">
        <w:rPr>
          <w:rFonts w:ascii="Calibri" w:eastAsia="Calibri" w:hAnsi="Calibri" w:cs="Calibri"/>
          <w:lang w:val="en-GB"/>
        </w:rPr>
        <w:t xml:space="preserve"> </w:t>
      </w:r>
      <w:r w:rsidR="006A0202" w:rsidRPr="00E8461E">
        <w:rPr>
          <w:rFonts w:ascii="Calibri" w:eastAsia="Calibri" w:hAnsi="Calibri" w:cs="Calibri"/>
          <w:lang w:val="en-GB"/>
        </w:rPr>
        <w:t>in</w:t>
      </w:r>
      <w:r w:rsidRPr="00E8461E">
        <w:rPr>
          <w:rFonts w:ascii="Calibri" w:eastAsia="Calibri" w:hAnsi="Calibri" w:cs="Calibri"/>
          <w:lang w:val="en-GB"/>
        </w:rPr>
        <w:t xml:space="preserve"> Australia. </w:t>
      </w:r>
      <w:r w:rsidRPr="00E8461E">
        <w:rPr>
          <w:rFonts w:cstheme="minorHAnsi"/>
        </w:rPr>
        <w:t>It will identify and prioritise key</w:t>
      </w:r>
      <w:r w:rsidRPr="00E8461E" w:rsidDel="0036192C">
        <w:rPr>
          <w:rFonts w:cstheme="minorHAnsi"/>
        </w:rPr>
        <w:t xml:space="preserve"> </w:t>
      </w:r>
      <w:r w:rsidRPr="00E8461E">
        <w:rPr>
          <w:rFonts w:cstheme="minorHAnsi"/>
        </w:rPr>
        <w:t xml:space="preserve">national risks and impacts to Australia from climate change. </w:t>
      </w:r>
      <w:r w:rsidRPr="00E8461E" w:rsidDel="0036192C">
        <w:rPr>
          <w:rFonts w:cstheme="minorHAnsi"/>
        </w:rPr>
        <w:t>The</w:t>
      </w:r>
      <w:r w:rsidRPr="00E8461E">
        <w:rPr>
          <w:rFonts w:cstheme="minorHAnsi"/>
        </w:rPr>
        <w:t xml:space="preserve"> Australian Government has allocated $</w:t>
      </w:r>
      <w:r w:rsidR="005B323E" w:rsidRPr="00E8461E">
        <w:rPr>
          <w:rFonts w:cstheme="minorHAnsi"/>
        </w:rPr>
        <w:t xml:space="preserve">27.4 </w:t>
      </w:r>
      <w:r w:rsidRPr="00E8461E">
        <w:rPr>
          <w:rFonts w:cstheme="minorHAnsi"/>
        </w:rPr>
        <w:t xml:space="preserve">million over 2 years from 2023-24 to support delivery of the National Climate Risk Assessment and accompanying National Adaptation Plan, which will </w:t>
      </w:r>
      <w:r w:rsidR="00C96B34" w:rsidRPr="00E8461E">
        <w:rPr>
          <w:rFonts w:cstheme="minorHAnsi"/>
        </w:rPr>
        <w:t>outline</w:t>
      </w:r>
      <w:r w:rsidRPr="00E8461E">
        <w:rPr>
          <w:rFonts w:cstheme="minorHAnsi"/>
        </w:rPr>
        <w:t xml:space="preserve"> an agreed national response that prioritises Australia’s adaptation action and opportunities. </w:t>
      </w:r>
      <w:r w:rsidR="004730F4" w:rsidRPr="00E8461E">
        <w:rPr>
          <w:rFonts w:cstheme="minorHAnsi"/>
        </w:rPr>
        <w:t>T</w:t>
      </w:r>
      <w:r w:rsidRPr="00E8461E">
        <w:rPr>
          <w:rFonts w:cstheme="minorHAnsi"/>
        </w:rPr>
        <w:t xml:space="preserve">he National Climate Risk </w:t>
      </w:r>
      <w:r w:rsidRPr="00E8461E">
        <w:rPr>
          <w:rFonts w:cstheme="minorHAnsi"/>
        </w:rPr>
        <w:lastRenderedPageBreak/>
        <w:t xml:space="preserve">Assessment and the National Adaptation Plan – </w:t>
      </w:r>
      <w:r w:rsidR="004730F4" w:rsidRPr="00E8461E">
        <w:rPr>
          <w:rFonts w:cstheme="minorHAnsi"/>
        </w:rPr>
        <w:t xml:space="preserve">both </w:t>
      </w:r>
      <w:r w:rsidRPr="00E8461E">
        <w:rPr>
          <w:rFonts w:cstheme="minorHAnsi"/>
        </w:rPr>
        <w:t xml:space="preserve">led by the Department of Climate Change, Energy, the Environment and Water – are considering the effects of climate change on health, wellbeing, and health </w:t>
      </w:r>
      <w:r w:rsidR="008C2785" w:rsidRPr="00E8461E">
        <w:rPr>
          <w:rFonts w:cstheme="minorHAnsi"/>
        </w:rPr>
        <w:t xml:space="preserve">and social </w:t>
      </w:r>
      <w:r w:rsidRPr="00E8461E">
        <w:rPr>
          <w:rFonts w:cstheme="minorHAnsi"/>
        </w:rPr>
        <w:t>systems at a national level.</w:t>
      </w:r>
    </w:p>
    <w:p w14:paraId="36AD50CC" w14:textId="77777777" w:rsidR="00653752" w:rsidRPr="002F70E9" w:rsidRDefault="00653752" w:rsidP="002F70E9">
      <w:pPr>
        <w:pStyle w:val="Heading4"/>
      </w:pPr>
      <w:r w:rsidRPr="002F70E9">
        <w:t>Action 3.1</w:t>
      </w:r>
    </w:p>
    <w:p w14:paraId="3201688B" w14:textId="77777777" w:rsidR="00653752" w:rsidRPr="00E8461E" w:rsidRDefault="00653752" w:rsidP="00653752">
      <w:pPr>
        <w:rPr>
          <w:b/>
          <w:bCs/>
          <w:lang w:val="en-GB"/>
        </w:rPr>
      </w:pPr>
      <w:r w:rsidRPr="00E8461E">
        <w:rPr>
          <w:b/>
          <w:bCs/>
          <w:lang w:val="en-GB"/>
        </w:rPr>
        <w:t>Undertaking a National Health Vulnerability, Capacity and Adaptation Assessment</w:t>
      </w:r>
    </w:p>
    <w:p w14:paraId="59052D72" w14:textId="7B146C71" w:rsidR="00653752" w:rsidRPr="00E8461E" w:rsidRDefault="00653752" w:rsidP="00CE2599">
      <w:pPr>
        <w:pBdr>
          <w:bottom w:val="single" w:sz="12" w:space="1" w:color="008A95" w:themeColor="accent1"/>
        </w:pBdr>
        <w:rPr>
          <w:rFonts w:cstheme="minorHAnsi"/>
        </w:rPr>
      </w:pPr>
      <w:r w:rsidRPr="00E8461E">
        <w:rPr>
          <w:lang w:val="en-GB"/>
        </w:rPr>
        <w:t>The Australian Government will undertake a National Health Vulnerability, Capacity and Adaptation Assessment, starting with an analysis of the Health and Social Support System within the National Climate Risk Assessment. The National Health Vulnerability, Capacity and Adaptation Assessment will holistically assess the health and wellbeing impacts of climate change across society, with impacts on health system functioning forming one area of focus.</w:t>
      </w:r>
    </w:p>
    <w:p w14:paraId="40307095" w14:textId="67F8EC98" w:rsidR="00815548" w:rsidRPr="00E8461E" w:rsidRDefault="00815548" w:rsidP="00CF310B"/>
    <w:p w14:paraId="3ED2EBC4" w14:textId="77777777" w:rsidR="00CE2599" w:rsidRPr="00E8461E" w:rsidRDefault="00CE2599" w:rsidP="00CE2599">
      <w:pPr>
        <w:pBdr>
          <w:top w:val="single" w:sz="12" w:space="1" w:color="008A95" w:themeColor="accent1"/>
        </w:pBdr>
        <w:spacing w:line="259" w:lineRule="auto"/>
        <w:rPr>
          <w:b/>
          <w:bCs/>
          <w:lang w:val="en-GB"/>
        </w:rPr>
      </w:pPr>
      <w:r w:rsidRPr="00E8461E">
        <w:rPr>
          <w:rStyle w:val="Heading4Char"/>
          <w:iCs w:val="0"/>
        </w:rPr>
        <w:t>Action 3.2</w:t>
      </w:r>
    </w:p>
    <w:p w14:paraId="3CAB9A84" w14:textId="77777777" w:rsidR="00CE2599" w:rsidRPr="00E8461E" w:rsidRDefault="00CE2599" w:rsidP="00CE2599">
      <w:pPr>
        <w:spacing w:line="259" w:lineRule="auto"/>
        <w:rPr>
          <w:b/>
          <w:bCs/>
          <w:lang w:val="en-GB"/>
        </w:rPr>
      </w:pPr>
      <w:r w:rsidRPr="00E8461E">
        <w:rPr>
          <w:b/>
          <w:bCs/>
          <w:lang w:val="en-GB"/>
        </w:rPr>
        <w:t>Developing a National Health Adaptation Plan</w:t>
      </w:r>
    </w:p>
    <w:p w14:paraId="53996560" w14:textId="1E538B67" w:rsidR="00CE2599" w:rsidRPr="00E8461E" w:rsidRDefault="00CE2599" w:rsidP="00CE2599">
      <w:pPr>
        <w:pBdr>
          <w:bottom w:val="single" w:sz="12" w:space="1" w:color="008A95" w:themeColor="accent1"/>
        </w:pBdr>
      </w:pPr>
      <w:r w:rsidRPr="00E8461E">
        <w:rPr>
          <w:lang w:val="en-GB"/>
        </w:rPr>
        <w:t>The Australian Government will develop a National Health Adaptation Plan as part of the National Adaptation Plan, expected to be published by the end of 2024.</w:t>
      </w:r>
    </w:p>
    <w:p w14:paraId="664C2909" w14:textId="77777777" w:rsidR="00BA055E" w:rsidRPr="00E8461E" w:rsidRDefault="00CF310B" w:rsidP="00E107CC">
      <w:pPr>
        <w:autoSpaceDE w:val="0"/>
        <w:autoSpaceDN w:val="0"/>
        <w:adjustRightInd w:val="0"/>
        <w:spacing w:line="22" w:lineRule="atLeast"/>
        <w:rPr>
          <w:rFonts w:ascii="Calibri" w:eastAsia="Calibri" w:hAnsi="Calibri" w:cs="Calibri"/>
          <w:lang w:val="en-GB"/>
        </w:rPr>
      </w:pPr>
      <w:r w:rsidRPr="00E8461E">
        <w:rPr>
          <w:rFonts w:ascii="Calibri" w:eastAsia="Calibri" w:hAnsi="Calibri" w:cs="Calibri"/>
          <w:lang w:val="en-GB"/>
        </w:rPr>
        <w:t xml:space="preserve">In addition to </w:t>
      </w:r>
      <w:r w:rsidR="006F544F" w:rsidRPr="00E8461E">
        <w:rPr>
          <w:rFonts w:ascii="Calibri" w:eastAsia="Calibri" w:hAnsi="Calibri" w:cs="Calibri"/>
          <w:lang w:val="en-GB"/>
        </w:rPr>
        <w:t xml:space="preserve">national </w:t>
      </w:r>
      <w:r w:rsidR="00DF6E34" w:rsidRPr="00E8461E">
        <w:rPr>
          <w:rFonts w:ascii="Calibri" w:eastAsia="Calibri" w:hAnsi="Calibri" w:cs="Calibri"/>
          <w:lang w:val="en-GB"/>
        </w:rPr>
        <w:t>climate and health</w:t>
      </w:r>
      <w:r w:rsidR="006F544F" w:rsidRPr="00E8461E">
        <w:rPr>
          <w:rFonts w:ascii="Calibri" w:eastAsia="Calibri" w:hAnsi="Calibri" w:cs="Calibri"/>
          <w:lang w:val="en-GB"/>
        </w:rPr>
        <w:t xml:space="preserve"> risk assessment and health adaptation planning, </w:t>
      </w:r>
      <w:r w:rsidRPr="00E8461E">
        <w:rPr>
          <w:rFonts w:ascii="Calibri" w:eastAsia="Calibri" w:hAnsi="Calibri" w:cs="Calibri"/>
          <w:lang w:val="en-GB"/>
        </w:rPr>
        <w:t xml:space="preserve">comprehensive local and regional risk </w:t>
      </w:r>
      <w:proofErr w:type="gramStart"/>
      <w:r w:rsidRPr="00E8461E">
        <w:rPr>
          <w:rFonts w:ascii="Calibri" w:eastAsia="Calibri" w:hAnsi="Calibri" w:cs="Calibri"/>
          <w:lang w:val="en-GB"/>
        </w:rPr>
        <w:t>assessments</w:t>
      </w:r>
      <w:proofErr w:type="gramEnd"/>
      <w:r w:rsidRPr="00E8461E">
        <w:rPr>
          <w:rFonts w:ascii="Calibri" w:eastAsia="Calibri" w:hAnsi="Calibri" w:cs="Calibri"/>
          <w:lang w:val="en-GB"/>
        </w:rPr>
        <w:t xml:space="preserve"> and adaptation plans</w:t>
      </w:r>
      <w:r w:rsidR="00AA6FA7" w:rsidRPr="00E8461E">
        <w:rPr>
          <w:rFonts w:ascii="Calibri" w:eastAsia="Calibri" w:hAnsi="Calibri" w:cs="Calibri"/>
          <w:lang w:val="en-GB"/>
        </w:rPr>
        <w:t>, developed in consultation with</w:t>
      </w:r>
      <w:r w:rsidR="005B7FF2" w:rsidRPr="00E8461E">
        <w:rPr>
          <w:rFonts w:ascii="Calibri" w:eastAsia="Calibri" w:hAnsi="Calibri" w:cs="Calibri"/>
          <w:lang w:val="en-GB"/>
        </w:rPr>
        <w:t xml:space="preserve"> local</w:t>
      </w:r>
      <w:r w:rsidR="00AA6FA7" w:rsidRPr="00E8461E">
        <w:rPr>
          <w:rFonts w:ascii="Calibri" w:eastAsia="Calibri" w:hAnsi="Calibri" w:cs="Calibri"/>
          <w:lang w:val="en-GB"/>
        </w:rPr>
        <w:t xml:space="preserve"> communities</w:t>
      </w:r>
      <w:r w:rsidR="005B7FF2" w:rsidRPr="00E8461E">
        <w:rPr>
          <w:rFonts w:ascii="Calibri" w:eastAsia="Calibri" w:hAnsi="Calibri" w:cs="Calibri"/>
          <w:lang w:val="en-GB"/>
        </w:rPr>
        <w:t xml:space="preserve"> and priority populations</w:t>
      </w:r>
      <w:r w:rsidR="00AA6FA7" w:rsidRPr="00E8461E">
        <w:rPr>
          <w:rFonts w:ascii="Calibri" w:eastAsia="Calibri" w:hAnsi="Calibri" w:cs="Calibri"/>
          <w:lang w:val="en-GB"/>
        </w:rPr>
        <w:t>,</w:t>
      </w:r>
      <w:r w:rsidRPr="00E8461E">
        <w:rPr>
          <w:rFonts w:ascii="Calibri" w:eastAsia="Calibri" w:hAnsi="Calibri" w:cs="Calibri"/>
          <w:lang w:val="en-GB"/>
        </w:rPr>
        <w:t xml:space="preserve"> will be crucial in effectively addressing climate-related risks to health and wellbeing. The geographic, demographic, and meteorological diversity of Australia means that climate and health risk profiles will differ significantly between regions and localities, requiring tailored and place-based responses to address risks. Furthermore,</w:t>
      </w:r>
      <w:r w:rsidR="00C91E50" w:rsidRPr="00E8461E">
        <w:rPr>
          <w:rFonts w:ascii="Calibri" w:eastAsia="Calibri" w:hAnsi="Calibri" w:cs="Calibri"/>
          <w:lang w:val="en-GB"/>
        </w:rPr>
        <w:t xml:space="preserve"> the wide variation in</w:t>
      </w:r>
      <w:r w:rsidRPr="00E8461E">
        <w:rPr>
          <w:rFonts w:ascii="Calibri" w:eastAsia="Calibri" w:hAnsi="Calibri" w:cs="Calibri"/>
          <w:lang w:val="en-GB"/>
        </w:rPr>
        <w:t xml:space="preserve"> health system capacity and capability </w:t>
      </w:r>
      <w:r w:rsidR="00C91E50" w:rsidRPr="00E8461E">
        <w:rPr>
          <w:rFonts w:ascii="Calibri" w:eastAsia="Calibri" w:hAnsi="Calibri" w:cs="Calibri"/>
          <w:lang w:val="en-GB"/>
        </w:rPr>
        <w:t xml:space="preserve">across Australia </w:t>
      </w:r>
      <w:r w:rsidRPr="00E8461E">
        <w:rPr>
          <w:rFonts w:ascii="Calibri" w:eastAsia="Calibri" w:hAnsi="Calibri" w:cs="Calibri"/>
          <w:lang w:val="en-GB"/>
        </w:rPr>
        <w:t>needs to be accounted for in risk assessments and adaptation plans.</w:t>
      </w:r>
    </w:p>
    <w:p w14:paraId="108EAC6C" w14:textId="17A3BDD6" w:rsidR="00CF310B" w:rsidRPr="00E8461E" w:rsidRDefault="00CF310B" w:rsidP="00E107CC">
      <w:pPr>
        <w:autoSpaceDE w:val="0"/>
        <w:autoSpaceDN w:val="0"/>
        <w:adjustRightInd w:val="0"/>
        <w:spacing w:line="22" w:lineRule="atLeast"/>
        <w:rPr>
          <w:rFonts w:ascii="Calibri" w:eastAsia="Calibri" w:hAnsi="Calibri" w:cs="Calibri"/>
          <w:lang w:val="en-GB"/>
        </w:rPr>
      </w:pPr>
      <w:r w:rsidRPr="00E8461E">
        <w:rPr>
          <w:rFonts w:ascii="Calibri" w:eastAsia="Calibri" w:hAnsi="Calibri" w:cs="Calibri"/>
          <w:lang w:val="en-GB"/>
        </w:rPr>
        <w:t xml:space="preserve">To support local and regional health systems </w:t>
      </w:r>
      <w:r w:rsidR="002E3EDA" w:rsidRPr="00E8461E">
        <w:rPr>
          <w:rFonts w:ascii="Calibri" w:eastAsia="Calibri" w:hAnsi="Calibri" w:cs="Calibri"/>
          <w:lang w:val="en-GB"/>
        </w:rPr>
        <w:t xml:space="preserve">and communities </w:t>
      </w:r>
      <w:r w:rsidRPr="00E8461E">
        <w:rPr>
          <w:rFonts w:ascii="Calibri" w:eastAsia="Calibri" w:hAnsi="Calibri" w:cs="Calibri"/>
          <w:lang w:val="en-GB"/>
        </w:rPr>
        <w:t>to conduct vulnerability and adaptation assessments in a place-based but nationally consistent manner, the Australian Government will collaboratively develop guidance and implementation support tools</w:t>
      </w:r>
      <w:r w:rsidR="00A34CD4" w:rsidRPr="00E8461E">
        <w:rPr>
          <w:rFonts w:ascii="Calibri" w:eastAsia="Calibri" w:hAnsi="Calibri" w:cs="Calibri"/>
          <w:lang w:val="en-GB"/>
        </w:rPr>
        <w:t xml:space="preserve">, noting that some jurisdictions have already made progress </w:t>
      </w:r>
      <w:r w:rsidR="000777F1" w:rsidRPr="00E8461E">
        <w:rPr>
          <w:rFonts w:ascii="Calibri" w:eastAsia="Calibri" w:hAnsi="Calibri" w:cs="Calibri"/>
          <w:lang w:val="en-GB"/>
        </w:rPr>
        <w:t>in this space</w:t>
      </w:r>
      <w:r w:rsidRPr="00E8461E">
        <w:rPr>
          <w:rFonts w:ascii="Calibri" w:eastAsia="Calibri" w:hAnsi="Calibri" w:cs="Calibri"/>
          <w:lang w:val="en-GB"/>
        </w:rPr>
        <w:t xml:space="preserve">. </w:t>
      </w:r>
      <w:r w:rsidR="00CA0132" w:rsidRPr="00E8461E">
        <w:rPr>
          <w:rFonts w:ascii="Calibri" w:eastAsia="Calibri" w:hAnsi="Calibri" w:cs="Calibri"/>
          <w:lang w:val="en-GB"/>
        </w:rPr>
        <w:t xml:space="preserve">There may also be a need to explore options for building the capacity of the health sector to conduct and </w:t>
      </w:r>
      <w:r w:rsidR="000D50AD" w:rsidRPr="00E8461E">
        <w:rPr>
          <w:rFonts w:ascii="Calibri" w:eastAsia="Calibri" w:hAnsi="Calibri" w:cs="Calibri"/>
          <w:lang w:val="en-GB"/>
        </w:rPr>
        <w:t>implement</w:t>
      </w:r>
      <w:r w:rsidR="002106AD" w:rsidRPr="00E8461E">
        <w:rPr>
          <w:rFonts w:ascii="Calibri" w:eastAsia="Calibri" w:hAnsi="Calibri" w:cs="Calibri"/>
          <w:lang w:val="en-GB"/>
        </w:rPr>
        <w:t xml:space="preserve"> health and climate risk assessments.</w:t>
      </w:r>
      <w:r w:rsidR="00CA0132" w:rsidRPr="00E8461E">
        <w:rPr>
          <w:rFonts w:ascii="Calibri" w:eastAsia="Calibri" w:hAnsi="Calibri" w:cs="Calibri"/>
          <w:lang w:val="en-GB"/>
        </w:rPr>
        <w:t xml:space="preserve"> </w:t>
      </w:r>
      <w:proofErr w:type="gramStart"/>
      <w:r w:rsidR="00372B90" w:rsidRPr="00E8461E">
        <w:rPr>
          <w:rFonts w:ascii="Calibri" w:eastAsia="Calibri" w:hAnsi="Calibri" w:cs="Calibri"/>
          <w:lang w:val="en-GB"/>
        </w:rPr>
        <w:t>Particular c</w:t>
      </w:r>
      <w:r w:rsidRPr="00E8461E">
        <w:rPr>
          <w:rFonts w:ascii="Calibri" w:eastAsia="Calibri" w:hAnsi="Calibri" w:cs="Calibri"/>
          <w:lang w:val="en-GB"/>
        </w:rPr>
        <w:t>onsideration</w:t>
      </w:r>
      <w:proofErr w:type="gramEnd"/>
      <w:r w:rsidRPr="00E8461E">
        <w:rPr>
          <w:rFonts w:ascii="Calibri" w:eastAsia="Calibri" w:hAnsi="Calibri" w:cs="Calibri"/>
          <w:lang w:val="en-GB"/>
        </w:rPr>
        <w:t xml:space="preserve"> will be given to </w:t>
      </w:r>
      <w:r w:rsidR="00630F4D" w:rsidRPr="00E8461E">
        <w:rPr>
          <w:rFonts w:ascii="Calibri" w:eastAsia="Calibri" w:hAnsi="Calibri" w:cs="Calibri"/>
          <w:lang w:val="en-GB"/>
        </w:rPr>
        <w:t>developing</w:t>
      </w:r>
      <w:r w:rsidRPr="00E8461E">
        <w:rPr>
          <w:rFonts w:ascii="Calibri" w:eastAsia="Calibri" w:hAnsi="Calibri" w:cs="Calibri"/>
          <w:lang w:val="en-GB"/>
        </w:rPr>
        <w:t xml:space="preserve"> guidance and tools</w:t>
      </w:r>
      <w:r w:rsidR="0014127C" w:rsidRPr="00E8461E">
        <w:rPr>
          <w:rFonts w:ascii="Calibri" w:eastAsia="Calibri" w:hAnsi="Calibri" w:cs="Calibri"/>
          <w:lang w:val="en-GB"/>
        </w:rPr>
        <w:t xml:space="preserve"> </w:t>
      </w:r>
      <w:r w:rsidR="002D10B5" w:rsidRPr="00E8461E">
        <w:rPr>
          <w:rFonts w:ascii="Calibri" w:eastAsia="Calibri" w:hAnsi="Calibri" w:cs="Calibri"/>
          <w:lang w:val="en-GB"/>
        </w:rPr>
        <w:t>in partnership with and</w:t>
      </w:r>
      <w:r w:rsidR="0062255A" w:rsidRPr="00E8461E">
        <w:rPr>
          <w:rFonts w:ascii="Calibri" w:eastAsia="Calibri" w:hAnsi="Calibri" w:cs="Calibri"/>
          <w:lang w:val="en-GB"/>
        </w:rPr>
        <w:t xml:space="preserve"> for use by </w:t>
      </w:r>
      <w:r w:rsidRPr="00E8461E">
        <w:rPr>
          <w:rFonts w:ascii="Calibri" w:eastAsia="Calibri" w:hAnsi="Calibri" w:cs="Calibri"/>
          <w:lang w:val="en-GB"/>
        </w:rPr>
        <w:t>Aboriginal Community-Controlled Health Services</w:t>
      </w:r>
      <w:r w:rsidR="005B0479" w:rsidRPr="00E8461E">
        <w:rPr>
          <w:rFonts w:ascii="Calibri" w:eastAsia="Calibri" w:hAnsi="Calibri" w:cs="Calibri"/>
          <w:lang w:val="en-GB"/>
        </w:rPr>
        <w:t xml:space="preserve"> (ACCHS)</w:t>
      </w:r>
      <w:r w:rsidR="0062255A" w:rsidRPr="00E8461E">
        <w:rPr>
          <w:rFonts w:ascii="Calibri" w:eastAsia="Calibri" w:hAnsi="Calibri" w:cs="Calibri"/>
          <w:lang w:val="en-GB"/>
        </w:rPr>
        <w:t>,</w:t>
      </w:r>
      <w:r w:rsidR="00291E9D" w:rsidRPr="00E8461E">
        <w:rPr>
          <w:rFonts w:ascii="Calibri" w:eastAsia="Calibri" w:hAnsi="Calibri" w:cs="Calibri"/>
          <w:lang w:val="en-GB"/>
        </w:rPr>
        <w:t xml:space="preserve"> while acknowledging</w:t>
      </w:r>
      <w:r w:rsidR="0062255A" w:rsidRPr="00E8461E">
        <w:rPr>
          <w:rFonts w:ascii="Calibri" w:eastAsia="Calibri" w:hAnsi="Calibri" w:cs="Calibri"/>
          <w:lang w:val="en-GB"/>
        </w:rPr>
        <w:t xml:space="preserve"> and </w:t>
      </w:r>
      <w:r w:rsidR="00291E9D" w:rsidRPr="00E8461E">
        <w:rPr>
          <w:rFonts w:ascii="Calibri" w:eastAsia="Calibri" w:hAnsi="Calibri" w:cs="Calibri"/>
          <w:lang w:val="en-GB"/>
        </w:rPr>
        <w:t>addressing the</w:t>
      </w:r>
      <w:r w:rsidR="00A8371B" w:rsidRPr="00E8461E">
        <w:rPr>
          <w:rFonts w:ascii="Calibri" w:eastAsia="Calibri" w:hAnsi="Calibri" w:cs="Calibri"/>
          <w:lang w:val="en-GB"/>
        </w:rPr>
        <w:t xml:space="preserve"> capacity constraints </w:t>
      </w:r>
      <w:r w:rsidR="009F44EB" w:rsidRPr="00E8461E">
        <w:rPr>
          <w:rFonts w:ascii="Calibri" w:eastAsia="Calibri" w:hAnsi="Calibri" w:cs="Calibri"/>
          <w:lang w:val="en-GB"/>
        </w:rPr>
        <w:t xml:space="preserve">and </w:t>
      </w:r>
      <w:r w:rsidR="00550AA6" w:rsidRPr="00E8461E">
        <w:rPr>
          <w:rFonts w:ascii="Calibri" w:eastAsia="Calibri" w:hAnsi="Calibri" w:cs="Calibri"/>
          <w:lang w:val="en-GB"/>
        </w:rPr>
        <w:t xml:space="preserve">workforce shortages which </w:t>
      </w:r>
      <w:r w:rsidR="008833AC" w:rsidRPr="00E8461E">
        <w:rPr>
          <w:rFonts w:ascii="Calibri" w:eastAsia="Calibri" w:hAnsi="Calibri" w:cs="Calibri"/>
          <w:lang w:val="en-GB"/>
        </w:rPr>
        <w:t>impact</w:t>
      </w:r>
      <w:r w:rsidR="00125039" w:rsidRPr="00E8461E">
        <w:rPr>
          <w:rFonts w:ascii="Calibri" w:eastAsia="Calibri" w:hAnsi="Calibri" w:cs="Calibri"/>
          <w:lang w:val="en-GB"/>
        </w:rPr>
        <w:t xml:space="preserve"> </w:t>
      </w:r>
      <w:r w:rsidR="005B0479" w:rsidRPr="00E8461E">
        <w:rPr>
          <w:rFonts w:ascii="Calibri" w:eastAsia="Calibri" w:hAnsi="Calibri" w:cs="Calibri"/>
          <w:lang w:val="en-GB"/>
        </w:rPr>
        <w:t>ACCHS</w:t>
      </w:r>
      <w:r w:rsidR="008833AC" w:rsidRPr="00E8461E">
        <w:rPr>
          <w:rFonts w:ascii="Calibri" w:eastAsia="Calibri" w:hAnsi="Calibri" w:cs="Calibri"/>
          <w:lang w:val="en-GB"/>
        </w:rPr>
        <w:t>’</w:t>
      </w:r>
      <w:r w:rsidR="005B0479" w:rsidRPr="00E8461E">
        <w:rPr>
          <w:rFonts w:ascii="Calibri" w:eastAsia="Calibri" w:hAnsi="Calibri" w:cs="Calibri"/>
          <w:lang w:val="en-GB"/>
        </w:rPr>
        <w:t xml:space="preserve"> </w:t>
      </w:r>
      <w:r w:rsidR="008833AC" w:rsidRPr="00E8461E">
        <w:rPr>
          <w:rFonts w:ascii="Calibri" w:eastAsia="Calibri" w:hAnsi="Calibri" w:cs="Calibri"/>
          <w:lang w:val="en-GB"/>
        </w:rPr>
        <w:t>participation</w:t>
      </w:r>
      <w:r w:rsidR="005B0479" w:rsidRPr="00E8461E">
        <w:rPr>
          <w:rFonts w:ascii="Calibri" w:eastAsia="Calibri" w:hAnsi="Calibri" w:cs="Calibri"/>
          <w:lang w:val="en-GB"/>
        </w:rPr>
        <w:t xml:space="preserve"> in wider </w:t>
      </w:r>
      <w:r w:rsidR="009F44EB" w:rsidRPr="00E8461E">
        <w:rPr>
          <w:rFonts w:ascii="Calibri" w:eastAsia="Calibri" w:hAnsi="Calibri" w:cs="Calibri"/>
          <w:lang w:val="en-GB"/>
        </w:rPr>
        <w:t>climate risk assessment and adaptation planning processes</w:t>
      </w:r>
      <w:r w:rsidRPr="00E8461E">
        <w:rPr>
          <w:rFonts w:ascii="Calibri" w:eastAsia="Calibri" w:hAnsi="Calibri" w:cs="Calibri"/>
          <w:lang w:val="en-GB"/>
        </w:rPr>
        <w:t>.</w:t>
      </w:r>
    </w:p>
    <w:p w14:paraId="70CE3F87" w14:textId="77777777" w:rsidR="00CE2599" w:rsidRPr="00E8461E" w:rsidRDefault="00CE2599" w:rsidP="00D80EFD">
      <w:pPr>
        <w:pStyle w:val="Heading4"/>
        <w:rPr>
          <w:iCs w:val="0"/>
        </w:rPr>
      </w:pPr>
      <w:bookmarkStart w:id="61" w:name="_Toc149918466"/>
      <w:r w:rsidRPr="00E8461E">
        <w:rPr>
          <w:iCs w:val="0"/>
        </w:rPr>
        <w:t>Action 3.3</w:t>
      </w:r>
    </w:p>
    <w:p w14:paraId="3367FFC0" w14:textId="77777777" w:rsidR="00CE2599" w:rsidRPr="00E8461E" w:rsidRDefault="00CE2599" w:rsidP="00CE2599">
      <w:pPr>
        <w:rPr>
          <w:b/>
          <w:lang w:val="en-GB"/>
        </w:rPr>
      </w:pPr>
      <w:r w:rsidRPr="00E8461E">
        <w:rPr>
          <w:b/>
          <w:lang w:val="en-GB"/>
        </w:rPr>
        <w:t>Developing guidance on risk assessment and adaptation planning</w:t>
      </w:r>
    </w:p>
    <w:p w14:paraId="55DA03D9" w14:textId="37CB3D32" w:rsidR="00DC7749" w:rsidRPr="00E8461E" w:rsidRDefault="00CE2599" w:rsidP="00CE2599">
      <w:pPr>
        <w:pBdr>
          <w:bottom w:val="single" w:sz="12" w:space="1" w:color="008A95" w:themeColor="accent1"/>
        </w:pBdr>
        <w:rPr>
          <w:lang w:val="en-GB"/>
        </w:rPr>
      </w:pPr>
      <w:r w:rsidRPr="00E8461E">
        <w:rPr>
          <w:bCs/>
          <w:lang w:val="en-GB"/>
        </w:rPr>
        <w:t>The Australian Government</w:t>
      </w:r>
      <w:r w:rsidRPr="00E8461E" w:rsidDel="00B00B50">
        <w:rPr>
          <w:bCs/>
          <w:lang w:val="en-GB"/>
        </w:rPr>
        <w:t xml:space="preserve"> </w:t>
      </w:r>
      <w:r w:rsidRPr="00E8461E" w:rsidDel="00B00B50">
        <w:t>will</w:t>
      </w:r>
      <w:r w:rsidRPr="00E8461E">
        <w:t xml:space="preserve"> develop guidance and implementation support tools in partnership with states, territories, Aboriginal Community-Controlled Health </w:t>
      </w:r>
      <w:proofErr w:type="gramStart"/>
      <w:r w:rsidRPr="00E8461E">
        <w:t>Services</w:t>
      </w:r>
      <w:proofErr w:type="gramEnd"/>
      <w:r w:rsidRPr="00E8461E">
        <w:t xml:space="preserve"> and other relevant stakeholders to enable state and territory health systems, local health systems, Aboriginal Community-Controlled Health Services and hospitals to undertake climate risk assessment and develop adaptation plans in a nationally consistent way.</w:t>
      </w:r>
    </w:p>
    <w:p w14:paraId="3BE325B6" w14:textId="7D44C2E7" w:rsidR="00DC7749" w:rsidRPr="00E8461E" w:rsidRDefault="00DC7749" w:rsidP="00DC7749">
      <w:pPr>
        <w:rPr>
          <w:lang w:val="en-GB"/>
        </w:rPr>
      </w:pPr>
      <w:r w:rsidRPr="00E8461E">
        <w:rPr>
          <w:lang w:val="en-GB"/>
        </w:rPr>
        <w:lastRenderedPageBreak/>
        <w:t>The Strategy consultation process identified that ACCHS are often well-placed to participate in community-led and place-based climate risk assessment and adaptation planning processes. However, they</w:t>
      </w:r>
      <w:r w:rsidRPr="00E8461E" w:rsidDel="001A44C8">
        <w:rPr>
          <w:lang w:val="en-GB"/>
        </w:rPr>
        <w:t xml:space="preserve"> </w:t>
      </w:r>
      <w:r w:rsidRPr="00E8461E">
        <w:rPr>
          <w:lang w:val="en-GB"/>
        </w:rPr>
        <w:t xml:space="preserve">are limited by critical capacity constraints and workforce shortages across the sector. There is an opportunity to build the capacity of ACCHS to participate in climate risk assessment, adaptation planning and emergency preparedness, </w:t>
      </w:r>
      <w:proofErr w:type="gramStart"/>
      <w:r w:rsidRPr="00E8461E">
        <w:rPr>
          <w:lang w:val="en-GB"/>
        </w:rPr>
        <w:t>response</w:t>
      </w:r>
      <w:proofErr w:type="gramEnd"/>
      <w:r w:rsidRPr="00E8461E">
        <w:rPr>
          <w:lang w:val="en-GB"/>
        </w:rPr>
        <w:t xml:space="preserve"> and recovery, in line with the priority reforms of the National Agreement.</w:t>
      </w:r>
    </w:p>
    <w:p w14:paraId="6B0AB7EF" w14:textId="77777777" w:rsidR="00CE2599" w:rsidRPr="00E8461E" w:rsidRDefault="00CE2599" w:rsidP="00D80EFD">
      <w:pPr>
        <w:pStyle w:val="Heading4"/>
        <w:rPr>
          <w:iCs w:val="0"/>
        </w:rPr>
      </w:pPr>
      <w:r w:rsidRPr="00E8461E">
        <w:rPr>
          <w:iCs w:val="0"/>
        </w:rPr>
        <w:t>Action 3.4</w:t>
      </w:r>
    </w:p>
    <w:p w14:paraId="153F2A63" w14:textId="77777777" w:rsidR="00CE2599" w:rsidRPr="00E8461E" w:rsidRDefault="00CE2599" w:rsidP="00CE2599">
      <w:pPr>
        <w:rPr>
          <w:lang w:val="en-GB"/>
        </w:rPr>
      </w:pPr>
      <w:r w:rsidRPr="00E8461E">
        <w:rPr>
          <w:b/>
          <w:bCs/>
        </w:rPr>
        <w:t>Building the capacity of Aboriginal Community-Controlled Health Services</w:t>
      </w:r>
    </w:p>
    <w:p w14:paraId="51F62588" w14:textId="3349D46F" w:rsidR="00CE2599" w:rsidRPr="00E8461E" w:rsidRDefault="00CE2599" w:rsidP="00CE2599">
      <w:pPr>
        <w:pBdr>
          <w:bottom w:val="single" w:sz="12" w:space="1" w:color="008A95" w:themeColor="accent1"/>
        </w:pBdr>
        <w:rPr>
          <w:lang w:val="en-GB"/>
        </w:rPr>
      </w:pPr>
      <w:r w:rsidRPr="00E8461E">
        <w:t xml:space="preserve">In partnership with the Aboriginal community-controlled health sector, the Australian Government will work to identify options to support the capacity of Aboriginal Community Controlled Health Services to participate in place-based climate risk assessment and adaptation planning and emergency preparedness, </w:t>
      </w:r>
      <w:proofErr w:type="gramStart"/>
      <w:r w:rsidRPr="00E8461E">
        <w:t>response</w:t>
      </w:r>
      <w:proofErr w:type="gramEnd"/>
      <w:r w:rsidRPr="00E8461E">
        <w:t xml:space="preserve"> and recovery for climate-related disasters.</w:t>
      </w:r>
    </w:p>
    <w:p w14:paraId="4867C3A2" w14:textId="54B8858E" w:rsidR="00AA393D" w:rsidRPr="00E8461E" w:rsidRDefault="008E516C" w:rsidP="00CE2599">
      <w:pPr>
        <w:pStyle w:val="Heading2"/>
      </w:pPr>
      <w:bookmarkStart w:id="62" w:name="_Toc151999623"/>
      <w:r w:rsidRPr="00E8461E">
        <w:t>3</w:t>
      </w:r>
      <w:r w:rsidR="00D15631" w:rsidRPr="00E8461E">
        <w:t>.2</w:t>
      </w:r>
      <w:r w:rsidR="00416107" w:rsidRPr="00E8461E">
        <w:t xml:space="preserve"> </w:t>
      </w:r>
      <w:r w:rsidRPr="00E8461E">
        <w:t>Prevent</w:t>
      </w:r>
      <w:r w:rsidR="006951E2" w:rsidRPr="00E8461E">
        <w:t>ion</w:t>
      </w:r>
      <w:r w:rsidR="00AA393D" w:rsidRPr="00E8461E">
        <w:t>: the starting point for health system adaptation</w:t>
      </w:r>
      <w:bookmarkEnd w:id="62"/>
    </w:p>
    <w:p w14:paraId="7001FD01" w14:textId="72AA91AC" w:rsidR="00371F7E" w:rsidRPr="00E8461E" w:rsidRDefault="00C87B0B" w:rsidP="00371F7E">
      <w:r w:rsidRPr="00E8461E">
        <w:t xml:space="preserve">Preventing ill health underpins this Strategy’s approach to building an equitable, climate-resilient health system, and enhancing its capacity to protect population health. This is because people with ill health and with chronic conditions can be </w:t>
      </w:r>
      <w:r w:rsidR="00970DC1" w:rsidRPr="00E8461E">
        <w:t>more susceptible</w:t>
      </w:r>
      <w:r w:rsidRPr="00E8461E">
        <w:t xml:space="preserve"> to the health impacts of climate change. </w:t>
      </w:r>
      <w:r w:rsidR="00371F7E" w:rsidRPr="00E8461E">
        <w:t>Recent data indicate that 47% of all Australians live with one or more chronic conditions, while 18.6% live with two or more conditions.</w:t>
      </w:r>
      <w:r w:rsidR="00371F7E" w:rsidRPr="00E8461E">
        <w:rPr>
          <w:rStyle w:val="EndnoteReference"/>
        </w:rPr>
        <w:endnoteReference w:id="57"/>
      </w:r>
      <w:r w:rsidR="00371F7E" w:rsidRPr="00E8461E">
        <w:t xml:space="preserve"> As many health impacts of climate change </w:t>
      </w:r>
      <w:r w:rsidR="007829C9" w:rsidRPr="00E8461E">
        <w:t xml:space="preserve">risk increasing </w:t>
      </w:r>
      <w:r w:rsidR="00371F7E" w:rsidRPr="00E8461E">
        <w:t>pre-existing and/or chronic conditions (for instance, rising temperatures and more frequent heatwaves contribute to increased cardiovascular and respiratory morbidity and mortality),</w:t>
      </w:r>
      <w:r w:rsidR="00371F7E" w:rsidRPr="00E8461E">
        <w:rPr>
          <w:rStyle w:val="EndnoteReference"/>
        </w:rPr>
        <w:endnoteReference w:id="58"/>
      </w:r>
      <w:r w:rsidR="00371F7E" w:rsidRPr="00E8461E">
        <w:rPr>
          <w:vertAlign w:val="superscript"/>
        </w:rPr>
        <w:t>,</w:t>
      </w:r>
      <w:r w:rsidR="00371F7E" w:rsidRPr="00E8461E">
        <w:rPr>
          <w:rStyle w:val="EndnoteReference"/>
        </w:rPr>
        <w:endnoteReference w:id="59"/>
      </w:r>
      <w:r w:rsidR="00371F7E" w:rsidRPr="00E8461E">
        <w:t xml:space="preserve"> many of these negative effects can be avoided or ameliorated by preventing the onset of disease, or ensuring existing disease is detected early and well managed. Prevention reduces individual and population vulnerability to climate change health impacts and builds climate resilience.</w:t>
      </w:r>
    </w:p>
    <w:p w14:paraId="61947D22" w14:textId="085C6BD0" w:rsidR="007336D4" w:rsidRPr="00E8461E" w:rsidRDefault="007336D4" w:rsidP="007336D4">
      <w:r w:rsidRPr="00E8461E">
        <w:t>Good health,</w:t>
      </w:r>
      <w:r w:rsidRPr="00E8461E" w:rsidDel="00835234">
        <w:t xml:space="preserve"> </w:t>
      </w:r>
      <w:r w:rsidRPr="00E8461E">
        <w:t xml:space="preserve">wellbeing and disease prevention </w:t>
      </w:r>
      <w:r w:rsidR="00523342" w:rsidRPr="00E8461E">
        <w:t>depend on the wider determinants of health</w:t>
      </w:r>
      <w:r w:rsidRPr="00E8461E">
        <w:t>, such as safe</w:t>
      </w:r>
      <w:r w:rsidR="00F50B3E" w:rsidRPr="00E8461E">
        <w:t>, affordable, climate resilient</w:t>
      </w:r>
      <w:r w:rsidRPr="00E8461E">
        <w:t xml:space="preserve"> and comfortable housing; transport and access to health and social services; clean air and water; sound and stable education and employment; cultural expression and continuity; technology; and functioning family, </w:t>
      </w:r>
      <w:proofErr w:type="gramStart"/>
      <w:r w:rsidRPr="00E8461E">
        <w:t>friends</w:t>
      </w:r>
      <w:proofErr w:type="gramEnd"/>
      <w:r w:rsidRPr="00E8461E">
        <w:t xml:space="preserve"> and community networks. Environmental determinants, including climate change, biodiversity, air pollution and the built environment also play a strong role in health and wellbeing, as do the commercial and cultural determinants of health (discussed in Chapter 6). Although they are critical to health and wellbeing, many of the</w:t>
      </w:r>
      <w:r w:rsidR="00447D38" w:rsidRPr="00E8461E">
        <w:t>se</w:t>
      </w:r>
      <w:r w:rsidRPr="00E8461E">
        <w:t xml:space="preserve"> </w:t>
      </w:r>
      <w:r w:rsidR="008D470F" w:rsidRPr="00E8461E">
        <w:t>wider determinants</w:t>
      </w:r>
      <w:r w:rsidRPr="00E8461E">
        <w:t xml:space="preserve"> sit outside the direct responsibility of the health system, and effectively addressing them to prevent ill health</w:t>
      </w:r>
      <w:r w:rsidR="00523342" w:rsidRPr="00E8461E">
        <w:t xml:space="preserve"> </w:t>
      </w:r>
      <w:r w:rsidRPr="00E8461E">
        <w:t xml:space="preserve">requires a whole-of-government approach. This Strategy is committed to such an approach, with action on the wider determinants of human and planetary health discussed </w:t>
      </w:r>
      <w:r w:rsidRPr="00E8461E" w:rsidDel="003144EE">
        <w:t xml:space="preserve">in </w:t>
      </w:r>
      <w:r w:rsidRPr="00E8461E">
        <w:t xml:space="preserve">Chapter </w:t>
      </w:r>
      <w:r w:rsidR="00C14186" w:rsidRPr="00E8461E">
        <w:t>6</w:t>
      </w:r>
      <w:r w:rsidRPr="00E8461E">
        <w:t>.</w:t>
      </w:r>
    </w:p>
    <w:p w14:paraId="0A3DD459" w14:textId="1C3F2C92" w:rsidR="00C87B0B" w:rsidRPr="00E8461E" w:rsidRDefault="00C87B0B" w:rsidP="00C87B0B">
      <w:pPr>
        <w:rPr>
          <w:rFonts w:cstheme="minorHAnsi"/>
          <w:lang w:val="en-GB"/>
        </w:rPr>
      </w:pPr>
      <w:r w:rsidRPr="00E8461E">
        <w:t>The cornerstone of the Australian Government’s current approach to preventing ill health is the National Preventive Health Strategy, which outlines a vision to “improve the health and wellbeing of all Australians at all stages of life through prevention.”</w:t>
      </w:r>
      <w:r w:rsidRPr="00E8461E">
        <w:rPr>
          <w:rStyle w:val="EndnoteReference"/>
          <w:lang w:val="en-GB"/>
        </w:rPr>
        <w:endnoteReference w:id="60"/>
      </w:r>
      <w:r w:rsidRPr="00E8461E">
        <w:rPr>
          <w:lang w:val="en-GB"/>
        </w:rPr>
        <w:t xml:space="preserve"> </w:t>
      </w:r>
      <w:r w:rsidR="00086EC4" w:rsidRPr="00E8461E">
        <w:rPr>
          <w:rFonts w:cstheme="minorHAnsi"/>
          <w:lang w:val="en-GB"/>
        </w:rPr>
        <w:t>Focus areas of the National Preventive Health Strategy include reducing tobacco use and nicotine addiction, improving access to and the consumption of a healthy diet, increasing physical activity, increasing cancer screening and prevention, improving immunisation coverage, reducing alcohol and other drug harm, and promoting and protecting mental health. The National Preventive Health Strategy also identifies key system</w:t>
      </w:r>
      <w:r w:rsidR="004B58CC" w:rsidRPr="00E8461E">
        <w:rPr>
          <w:rFonts w:cstheme="minorHAnsi"/>
          <w:lang w:val="en-GB"/>
        </w:rPr>
        <w:t xml:space="preserve"> </w:t>
      </w:r>
      <w:r w:rsidR="00086EC4" w:rsidRPr="00E8461E">
        <w:rPr>
          <w:rFonts w:cstheme="minorHAnsi"/>
          <w:lang w:val="en-GB"/>
        </w:rPr>
        <w:t xml:space="preserve">enablers that are critical to creating a more effective and integrated prevention system, including health </w:t>
      </w:r>
      <w:proofErr w:type="gramStart"/>
      <w:r w:rsidR="00086EC4" w:rsidRPr="00E8461E">
        <w:rPr>
          <w:rFonts w:cstheme="minorHAnsi"/>
          <w:lang w:val="en-GB"/>
        </w:rPr>
        <w:t>literacy</w:t>
      </w:r>
      <w:proofErr w:type="gramEnd"/>
      <w:r w:rsidR="00086EC4" w:rsidRPr="00E8461E">
        <w:rPr>
          <w:rFonts w:cstheme="minorHAnsi"/>
          <w:lang w:val="en-GB"/>
        </w:rPr>
        <w:t xml:space="preserve"> and building strong partnerships and community engagement.</w:t>
      </w:r>
      <w:r w:rsidR="00086EC4" w:rsidRPr="00E8461E">
        <w:rPr>
          <w:rFonts w:cstheme="minorHAnsi"/>
        </w:rPr>
        <w:t xml:space="preserve"> </w:t>
      </w:r>
      <w:r w:rsidRPr="00E8461E">
        <w:rPr>
          <w:rFonts w:cstheme="minorHAnsi"/>
          <w:lang w:val="en-GB"/>
        </w:rPr>
        <w:t xml:space="preserve">The National Health and Climate Strategy will complement and augment the </w:t>
      </w:r>
      <w:r w:rsidRPr="00E8461E">
        <w:rPr>
          <w:rFonts w:cstheme="minorHAnsi"/>
          <w:lang w:val="en-GB"/>
        </w:rPr>
        <w:lastRenderedPageBreak/>
        <w:t>priorities outlined in the National Preventive Health Strategy, to improve population health and reduce pressure and demand on health services.</w:t>
      </w:r>
    </w:p>
    <w:p w14:paraId="0B1B91BC" w14:textId="0C318559" w:rsidR="00BA055E" w:rsidRPr="00E8461E" w:rsidRDefault="00A0278B" w:rsidP="00F05C62">
      <w:r w:rsidRPr="00E8461E">
        <w:t>Although m</w:t>
      </w:r>
      <w:r w:rsidR="000F42C6" w:rsidRPr="00E8461E">
        <w:t xml:space="preserve">any of key drivers of ill health lie beyond </w:t>
      </w:r>
      <w:r w:rsidR="00E93D53" w:rsidRPr="00E8461E">
        <w:t xml:space="preserve">its remit, the health system </w:t>
      </w:r>
      <w:r w:rsidR="007A06E7" w:rsidRPr="00E8461E">
        <w:t xml:space="preserve">has a central role to play in </w:t>
      </w:r>
      <w:r w:rsidR="00E93D53" w:rsidRPr="00E8461E">
        <w:t xml:space="preserve">disease prevention – and, by extension, </w:t>
      </w:r>
      <w:r w:rsidR="009D42C6" w:rsidRPr="00E8461E">
        <w:t xml:space="preserve">in </w:t>
      </w:r>
      <w:r w:rsidR="007A06E7" w:rsidRPr="00E8461E">
        <w:t xml:space="preserve">building resilience to the health impacts of climate change. </w:t>
      </w:r>
      <w:proofErr w:type="gramStart"/>
      <w:r w:rsidR="009D42C6" w:rsidRPr="00E8461E">
        <w:t>In particular, p</w:t>
      </w:r>
      <w:r w:rsidR="007A06E7" w:rsidRPr="00E8461E">
        <w:t>rimary</w:t>
      </w:r>
      <w:proofErr w:type="gramEnd"/>
      <w:r w:rsidR="007A06E7" w:rsidRPr="00E8461E">
        <w:t xml:space="preserve"> care (the health care people seek first in their community, such as general practitioners, nurses, pharmacists and allied health professionals)</w:t>
      </w:r>
      <w:r w:rsidR="007A06E7" w:rsidRPr="00E8461E">
        <w:rPr>
          <w:rStyle w:val="EndnoteReference"/>
        </w:rPr>
        <w:endnoteReference w:id="61"/>
      </w:r>
      <w:r w:rsidR="007A06E7" w:rsidRPr="00E8461E">
        <w:t xml:space="preserve"> </w:t>
      </w:r>
      <w:r w:rsidR="00D464A8" w:rsidRPr="00E8461E">
        <w:t>will be crucial in</w:t>
      </w:r>
      <w:r w:rsidR="009D42C6" w:rsidRPr="00E8461E">
        <w:t xml:space="preserve"> providing </w:t>
      </w:r>
      <w:r w:rsidR="007A06E7" w:rsidRPr="00E8461E">
        <w:t>preventive care and chronic condition management to ameliorate the health impacts of climate change.</w:t>
      </w:r>
      <w:r w:rsidR="007A06E7" w:rsidRPr="00E8461E">
        <w:rPr>
          <w:rStyle w:val="EndnoteReference"/>
        </w:rPr>
        <w:endnoteReference w:id="62"/>
      </w:r>
      <w:r w:rsidR="007A06E7" w:rsidRPr="00E8461E">
        <w:t xml:space="preserve"> For example, updating asthma action plans can help safeguard patients against asthma </w:t>
      </w:r>
      <w:r w:rsidR="007973B7" w:rsidRPr="00E8461E">
        <w:t xml:space="preserve">events </w:t>
      </w:r>
      <w:r w:rsidR="007A06E7" w:rsidRPr="00E8461E">
        <w:t xml:space="preserve">during </w:t>
      </w:r>
      <w:r w:rsidR="008E5FD3" w:rsidRPr="00E8461E">
        <w:t>thunderstorms</w:t>
      </w:r>
      <w:r w:rsidR="007A06E7" w:rsidRPr="00E8461E">
        <w:t>,</w:t>
      </w:r>
      <w:r w:rsidR="007A06E7" w:rsidRPr="00E8461E">
        <w:rPr>
          <w:rStyle w:val="EndnoteReference"/>
        </w:rPr>
        <w:endnoteReference w:id="63"/>
      </w:r>
      <w:r w:rsidR="007A06E7" w:rsidRPr="00E8461E">
        <w:t xml:space="preserve"> thereby enhancing patients’ resilience to environmental hazards. Similarly, providing heat health information (such as advice on recognising hot weather conditions and staying cool), or ‘social prescriptions’ to relevant community services can build resilience to extreme heat and heatwaves.</w:t>
      </w:r>
      <w:r w:rsidR="007A06E7" w:rsidRPr="00E8461E">
        <w:rPr>
          <w:rStyle w:val="EndnoteReference"/>
        </w:rPr>
        <w:endnoteReference w:id="64"/>
      </w:r>
    </w:p>
    <w:p w14:paraId="0349F8A5" w14:textId="3C0A4833" w:rsidR="00F05C62" w:rsidRPr="00E8461E" w:rsidRDefault="00F05C62" w:rsidP="00F05C62">
      <w:pPr>
        <w:rPr>
          <w:vertAlign w:val="superscript"/>
        </w:rPr>
      </w:pPr>
      <w:r w:rsidRPr="00E8461E">
        <w:rPr>
          <w:lang w:val="en-GB"/>
        </w:rPr>
        <w:t>Australia’s Primary Health Care 10 Year Plan 2022-2032, and the RACGP</w:t>
      </w:r>
      <w:r w:rsidR="00BA1322" w:rsidRPr="00E8461E">
        <w:rPr>
          <w:lang w:val="en-GB"/>
        </w:rPr>
        <w:t>’s</w:t>
      </w:r>
      <w:r w:rsidRPr="00E8461E">
        <w:rPr>
          <w:lang w:val="en-GB"/>
        </w:rPr>
        <w:t xml:space="preserve"> </w:t>
      </w:r>
      <w:r w:rsidRPr="00E8461E">
        <w:t>‘</w:t>
      </w:r>
      <w:r w:rsidRPr="00E8461E">
        <w:rPr>
          <w:lang w:val="en-GB"/>
        </w:rPr>
        <w:t>Putting prevention into practice’ guidelines,</w:t>
      </w:r>
      <w:r w:rsidRPr="00E8461E">
        <w:rPr>
          <w:rStyle w:val="EndnoteReference"/>
          <w:lang w:val="en-GB"/>
        </w:rPr>
        <w:endnoteReference w:id="65"/>
      </w:r>
      <w:r w:rsidRPr="00E8461E">
        <w:rPr>
          <w:lang w:val="en-GB"/>
        </w:rPr>
        <w:t xml:space="preserve"> </w:t>
      </w:r>
      <w:r w:rsidR="00594603" w:rsidRPr="00E8461E">
        <w:rPr>
          <w:lang w:val="en-GB"/>
        </w:rPr>
        <w:t xml:space="preserve">highlight that </w:t>
      </w:r>
      <w:r w:rsidRPr="00E8461E">
        <w:rPr>
          <w:lang w:val="en-GB"/>
        </w:rPr>
        <w:t>primary health care providers have an important role to play in delivering preventive health interventions and helping slow or reverse the progression of chronic disease.</w:t>
      </w:r>
      <w:r w:rsidRPr="00E8461E">
        <w:rPr>
          <w:rStyle w:val="EndnoteReference"/>
          <w:lang w:val="en-GB"/>
        </w:rPr>
        <w:endnoteReference w:id="66"/>
      </w:r>
      <w:r w:rsidRPr="00E8461E">
        <w:rPr>
          <w:lang w:val="en-GB"/>
        </w:rPr>
        <w:t xml:space="preserve"> Primary health care reforms outlined in the Primary Health Care 10 Year Plan, such as </w:t>
      </w:r>
      <w:r w:rsidR="0048729E" w:rsidRPr="00E8461E">
        <w:rPr>
          <w:lang w:val="en-GB"/>
        </w:rPr>
        <w:t>Medicare Benefits Schedule</w:t>
      </w:r>
      <w:r w:rsidR="00BE4DB9" w:rsidRPr="00E8461E">
        <w:rPr>
          <w:lang w:val="en-GB"/>
        </w:rPr>
        <w:t xml:space="preserve"> </w:t>
      </w:r>
      <w:r w:rsidRPr="00E8461E">
        <w:rPr>
          <w:lang w:val="en-GB"/>
        </w:rPr>
        <w:t xml:space="preserve">funded telehealth; GP funding reform; </w:t>
      </w:r>
      <w:r w:rsidR="00D91E4F" w:rsidRPr="00E8461E">
        <w:rPr>
          <w:lang w:val="en-GB"/>
        </w:rPr>
        <w:t xml:space="preserve">and </w:t>
      </w:r>
      <w:r w:rsidRPr="00E8461E">
        <w:rPr>
          <w:lang w:val="en-GB"/>
        </w:rPr>
        <w:t>Closing the Gap</w:t>
      </w:r>
      <w:r w:rsidR="00D91E4F" w:rsidRPr="00E8461E">
        <w:rPr>
          <w:lang w:val="en-GB"/>
        </w:rPr>
        <w:t xml:space="preserve"> </w:t>
      </w:r>
      <w:r w:rsidRPr="00E8461E">
        <w:rPr>
          <w:lang w:val="en-GB"/>
        </w:rPr>
        <w:t>will help prevent ill health and strengthen the health system’s response to climate change.</w:t>
      </w:r>
      <w:r w:rsidRPr="00E8461E" w:rsidDel="006E3FF3">
        <w:rPr>
          <w:rFonts w:cstheme="minorHAnsi"/>
          <w:lang w:val="en-GB"/>
        </w:rPr>
        <w:t xml:space="preserve"> </w:t>
      </w:r>
      <w:r w:rsidRPr="00E8461E">
        <w:rPr>
          <w:lang w:val="en-GB"/>
        </w:rPr>
        <w:t>In addition, the Australian Government is exploring how alternative models of care could help address ill health and a lack of wellbeing (such as</w:t>
      </w:r>
      <w:r w:rsidRPr="00E8461E">
        <w:t xml:space="preserve"> housing, employment, </w:t>
      </w:r>
      <w:proofErr w:type="gramStart"/>
      <w:r w:rsidRPr="00E8461E">
        <w:t>income</w:t>
      </w:r>
      <w:proofErr w:type="gramEnd"/>
      <w:r w:rsidRPr="00E8461E">
        <w:t xml:space="preserve"> or social support issues).</w:t>
      </w:r>
      <w:r w:rsidRPr="00E8461E">
        <w:rPr>
          <w:rStyle w:val="EndnoteReference"/>
        </w:rPr>
        <w:endnoteReference w:id="67"/>
      </w:r>
      <w:r w:rsidRPr="00E8461E">
        <w:t xml:space="preserve"> The Australian Government has commissioned a feasibility study (to be completed in 2024) that will investigate how social prescribing could be integrated into the Australian health system. Evidence suggests that social prescribing can play a role in preventing ill health and redu</w:t>
      </w:r>
      <w:r w:rsidR="00C35A10" w:rsidRPr="00E8461E">
        <w:t xml:space="preserve">cing healthcare needs, </w:t>
      </w:r>
      <w:r w:rsidR="00594603" w:rsidRPr="00E8461E">
        <w:t xml:space="preserve">thereby improving population </w:t>
      </w:r>
      <w:proofErr w:type="gramStart"/>
      <w:r w:rsidR="00594603" w:rsidRPr="00E8461E">
        <w:t>health</w:t>
      </w:r>
      <w:proofErr w:type="gramEnd"/>
      <w:r w:rsidR="00594603" w:rsidRPr="00E8461E">
        <w:t xml:space="preserve"> and </w:t>
      </w:r>
      <w:r w:rsidR="007A06E7" w:rsidRPr="00E8461E">
        <w:t xml:space="preserve">strengthening </w:t>
      </w:r>
      <w:r w:rsidR="00594603" w:rsidRPr="00E8461E">
        <w:t xml:space="preserve">both health system and broader community </w:t>
      </w:r>
      <w:r w:rsidR="007A06E7" w:rsidRPr="00E8461E">
        <w:t>resilience</w:t>
      </w:r>
      <w:r w:rsidRPr="00E8461E">
        <w:t>.</w:t>
      </w:r>
      <w:r w:rsidRPr="00E8461E">
        <w:rPr>
          <w:rStyle w:val="EndnoteReference"/>
        </w:rPr>
        <w:endnoteReference w:id="68"/>
      </w:r>
      <w:r w:rsidRPr="00E8461E">
        <w:rPr>
          <w:vertAlign w:val="superscript"/>
        </w:rPr>
        <w:t>,</w:t>
      </w:r>
      <w:r w:rsidRPr="00E8461E">
        <w:rPr>
          <w:rStyle w:val="EndnoteReference"/>
        </w:rPr>
        <w:endnoteReference w:id="69"/>
      </w:r>
    </w:p>
    <w:p w14:paraId="092A1A01" w14:textId="77777777" w:rsidR="00CE2599" w:rsidRPr="00E8461E" w:rsidRDefault="00CE2599" w:rsidP="00D80EFD">
      <w:pPr>
        <w:pStyle w:val="Heading4"/>
        <w:rPr>
          <w:iCs w:val="0"/>
        </w:rPr>
      </w:pPr>
      <w:r w:rsidRPr="00E8461E">
        <w:rPr>
          <w:iCs w:val="0"/>
        </w:rPr>
        <w:t>Action 3.5</w:t>
      </w:r>
    </w:p>
    <w:p w14:paraId="2F3445FF" w14:textId="77777777" w:rsidR="00CE2599" w:rsidRPr="00E8461E" w:rsidRDefault="00CE2599" w:rsidP="00CE2599">
      <w:pPr>
        <w:rPr>
          <w:lang w:val="en-GB"/>
        </w:rPr>
      </w:pPr>
      <w:r w:rsidRPr="00E8461E">
        <w:rPr>
          <w:b/>
          <w:lang w:val="en-GB"/>
        </w:rPr>
        <w:t>Considering climate impacts in implementing the National Preventive Health Strategy</w:t>
      </w:r>
    </w:p>
    <w:p w14:paraId="036E12DE" w14:textId="77777777" w:rsidR="00CE2599" w:rsidRPr="00E8461E" w:rsidRDefault="00CE2599" w:rsidP="00CE2599">
      <w:r w:rsidRPr="00E8461E">
        <w:t xml:space="preserve">The </w:t>
      </w:r>
      <w:r w:rsidRPr="00E8461E">
        <w:rPr>
          <w:rFonts w:cs="Times New Roman"/>
        </w:rPr>
        <w:t>Australian Government</w:t>
      </w:r>
      <w:r w:rsidRPr="00E8461E">
        <w:t xml:space="preserve"> will consider the impact of climate change in implementing the National Preventive Health Strategy 2021-2030, recognising the role of preventive health in:</w:t>
      </w:r>
    </w:p>
    <w:p w14:paraId="096161B6" w14:textId="5416C0DB" w:rsidR="00CE2599" w:rsidRPr="00E8461E" w:rsidRDefault="00CE2599" w:rsidP="005B1D14">
      <w:pPr>
        <w:pStyle w:val="ListParagraph"/>
        <w:numPr>
          <w:ilvl w:val="0"/>
          <w:numId w:val="4"/>
        </w:numPr>
        <w:spacing w:line="240" w:lineRule="auto"/>
      </w:pPr>
      <w:r w:rsidRPr="00E8461E">
        <w:t>Reducing demand on carbon-intensive health services and therefore reducing greenhouse gas emissions from the health system</w:t>
      </w:r>
    </w:p>
    <w:p w14:paraId="7180B1AE" w14:textId="2267F652" w:rsidR="00CE2599" w:rsidRPr="00E8461E" w:rsidRDefault="00CE2599" w:rsidP="00CE2599">
      <w:pPr>
        <w:pStyle w:val="ListParagraph"/>
        <w:numPr>
          <w:ilvl w:val="0"/>
          <w:numId w:val="4"/>
        </w:numPr>
        <w:pBdr>
          <w:bottom w:val="single" w:sz="12" w:space="1" w:color="008A95" w:themeColor="accent1"/>
        </w:pBdr>
        <w:spacing w:line="240" w:lineRule="auto"/>
      </w:pPr>
      <w:r w:rsidRPr="00E8461E">
        <w:t>Building population and health system resilience to the health impacts of climate change and extreme weather events.</w:t>
      </w:r>
    </w:p>
    <w:p w14:paraId="32240E31" w14:textId="5D252ABE" w:rsidR="00E71DB7" w:rsidRPr="00E8461E" w:rsidRDefault="00E71DB7" w:rsidP="00CE2599">
      <w:pPr>
        <w:pStyle w:val="Heading2"/>
        <w:rPr>
          <w:lang w:val="en-GB"/>
        </w:rPr>
      </w:pPr>
      <w:bookmarkStart w:id="63" w:name="_Toc151999624"/>
      <w:r w:rsidRPr="00E8461E">
        <w:t xml:space="preserve">3.3 </w:t>
      </w:r>
      <w:r w:rsidRPr="00E8461E">
        <w:rPr>
          <w:lang w:val="en-GB"/>
        </w:rPr>
        <w:t>Working in partnership to protect</w:t>
      </w:r>
      <w:r w:rsidR="00D66CD6" w:rsidRPr="00E8461E">
        <w:rPr>
          <w:lang w:val="en-GB"/>
        </w:rPr>
        <w:t xml:space="preserve"> the health of</w:t>
      </w:r>
      <w:r w:rsidRPr="00E8461E">
        <w:rPr>
          <w:lang w:val="en-GB"/>
        </w:rPr>
        <w:t xml:space="preserve"> First Nations </w:t>
      </w:r>
      <w:proofErr w:type="gramStart"/>
      <w:r w:rsidR="00D66CD6" w:rsidRPr="00E8461E">
        <w:rPr>
          <w:lang w:val="en-GB"/>
        </w:rPr>
        <w:t>communities</w:t>
      </w:r>
      <w:bookmarkEnd w:id="63"/>
      <w:proofErr w:type="gramEnd"/>
    </w:p>
    <w:p w14:paraId="0906938B" w14:textId="45FA034A" w:rsidR="00165D2F" w:rsidRPr="00E8461E" w:rsidRDefault="002500DE" w:rsidP="00532276">
      <w:pPr>
        <w:rPr>
          <w:lang w:val="en-GB"/>
        </w:rPr>
      </w:pPr>
      <w:r w:rsidRPr="00E8461E">
        <w:rPr>
          <w:lang w:val="en-GB"/>
        </w:rPr>
        <w:t xml:space="preserve">The Australian Government is committed to working in partnership </w:t>
      </w:r>
      <w:r w:rsidR="002F47E8" w:rsidRPr="00E8461E">
        <w:rPr>
          <w:lang w:val="en-GB"/>
        </w:rPr>
        <w:t>with</w:t>
      </w:r>
      <w:r w:rsidR="00FF79B4" w:rsidRPr="00E8461E">
        <w:rPr>
          <w:lang w:val="en-GB"/>
        </w:rPr>
        <w:t xml:space="preserve"> </w:t>
      </w:r>
      <w:r w:rsidR="002F47E8" w:rsidRPr="00E8461E">
        <w:rPr>
          <w:lang w:val="en-GB"/>
        </w:rPr>
        <w:t>First Nations communit</w:t>
      </w:r>
      <w:r w:rsidR="005F4C5A" w:rsidRPr="00E8461E">
        <w:rPr>
          <w:lang w:val="en-GB"/>
        </w:rPr>
        <w:t>ies</w:t>
      </w:r>
      <w:r w:rsidR="002F47E8" w:rsidRPr="00E8461E">
        <w:rPr>
          <w:lang w:val="en-GB"/>
        </w:rPr>
        <w:t xml:space="preserve"> to </w:t>
      </w:r>
      <w:r w:rsidR="00FF79B4" w:rsidRPr="00E8461E">
        <w:rPr>
          <w:lang w:val="en-GB"/>
        </w:rPr>
        <w:t xml:space="preserve">improve the </w:t>
      </w:r>
      <w:r w:rsidR="00B70477" w:rsidRPr="00E8461E">
        <w:rPr>
          <w:lang w:val="en-GB"/>
        </w:rPr>
        <w:t>health outcomes of First Nations</w:t>
      </w:r>
      <w:r w:rsidR="00D165DD" w:rsidRPr="00E8461E">
        <w:rPr>
          <w:lang w:val="en-GB"/>
        </w:rPr>
        <w:t xml:space="preserve"> people</w:t>
      </w:r>
      <w:r w:rsidR="00B70477" w:rsidRPr="00E8461E">
        <w:rPr>
          <w:lang w:val="en-GB"/>
        </w:rPr>
        <w:t xml:space="preserve">, including </w:t>
      </w:r>
      <w:r w:rsidR="001342B0" w:rsidRPr="00E8461E">
        <w:rPr>
          <w:lang w:val="en-GB"/>
        </w:rPr>
        <w:t xml:space="preserve">by </w:t>
      </w:r>
      <w:r w:rsidR="00756E3C" w:rsidRPr="00E8461E">
        <w:rPr>
          <w:lang w:val="en-GB"/>
        </w:rPr>
        <w:t>empowering First Nations people’s shared decision-making in climate and health adaptation.</w:t>
      </w:r>
    </w:p>
    <w:p w14:paraId="5CD9AD9B" w14:textId="046BF55F" w:rsidR="00E71DB7" w:rsidRPr="00E8461E" w:rsidRDefault="00E71DB7" w:rsidP="00E71DB7">
      <w:pPr>
        <w:rPr>
          <w:lang w:val="en-GB"/>
        </w:rPr>
      </w:pPr>
      <w:r w:rsidRPr="00E8461E">
        <w:rPr>
          <w:lang w:val="en-GB"/>
        </w:rPr>
        <w:t xml:space="preserve">In line with the National Agreement on Closing the Gap, the Australian Government developed the National Aboriginal and Torres Strait Islander Health Plan 2021–2031 (the Plan) in partnership with First Nations people. The Plan recognises climate risks for Aboriginal and Torres Strait Islander people’s physical, social, </w:t>
      </w:r>
      <w:proofErr w:type="gramStart"/>
      <w:r w:rsidRPr="00E8461E">
        <w:rPr>
          <w:lang w:val="en-GB"/>
        </w:rPr>
        <w:lastRenderedPageBreak/>
        <w:t>emotional</w:t>
      </w:r>
      <w:proofErr w:type="gramEnd"/>
      <w:r w:rsidRPr="00E8461E">
        <w:rPr>
          <w:lang w:val="en-GB"/>
        </w:rPr>
        <w:t xml:space="preserve"> and cultural wellbeing and identifies ‘Healthy environments, sustainability and preparedness’ as a key objective including the following priorities:</w:t>
      </w:r>
    </w:p>
    <w:p w14:paraId="25E5FB76" w14:textId="77777777" w:rsidR="00E71DB7" w:rsidRPr="00E8461E" w:rsidRDefault="00E71DB7" w:rsidP="0065729E">
      <w:pPr>
        <w:pStyle w:val="BulletUnindented"/>
      </w:pPr>
      <w:r w:rsidRPr="00E8461E">
        <w:t>Growing the First Nations environmental health workforce</w:t>
      </w:r>
    </w:p>
    <w:p w14:paraId="02ECA3C8" w14:textId="77777777" w:rsidR="00E71DB7" w:rsidRPr="00E8461E" w:rsidRDefault="00E71DB7" w:rsidP="0065729E">
      <w:pPr>
        <w:pStyle w:val="BulletUnindented"/>
      </w:pPr>
      <w:r w:rsidRPr="00E8461E">
        <w:t>Housing and infrastructure solutions</w:t>
      </w:r>
    </w:p>
    <w:p w14:paraId="4B53CED3" w14:textId="77777777" w:rsidR="00E71DB7" w:rsidRPr="00E8461E" w:rsidRDefault="00E71DB7" w:rsidP="0065729E">
      <w:pPr>
        <w:pStyle w:val="BulletUnindented"/>
      </w:pPr>
      <w:r w:rsidRPr="00E8461E">
        <w:t>Food security</w:t>
      </w:r>
    </w:p>
    <w:p w14:paraId="69326412" w14:textId="010CFB20" w:rsidR="00E71DB7" w:rsidRPr="00E8461E" w:rsidRDefault="00E71DB7" w:rsidP="0065729E">
      <w:pPr>
        <w:pStyle w:val="BulletUnindented"/>
      </w:pPr>
      <w:r w:rsidRPr="00E8461E">
        <w:t xml:space="preserve">Disaster planning, </w:t>
      </w:r>
      <w:proofErr w:type="gramStart"/>
      <w:r w:rsidRPr="00E8461E">
        <w:t>preparedness</w:t>
      </w:r>
      <w:proofErr w:type="gramEnd"/>
      <w:r w:rsidRPr="00E8461E">
        <w:t xml:space="preserve"> and recovery.</w:t>
      </w:r>
      <w:r w:rsidR="009F7F1E" w:rsidRPr="00E8461E">
        <w:rPr>
          <w:rStyle w:val="EndnoteReference"/>
        </w:rPr>
        <w:endnoteReference w:id="70"/>
      </w:r>
    </w:p>
    <w:p w14:paraId="7024B2FD" w14:textId="5966C98A" w:rsidR="00E71DB7" w:rsidRPr="00E8461E" w:rsidRDefault="00E71DB7" w:rsidP="00E71DB7">
      <w:pPr>
        <w:rPr>
          <w:lang w:val="en-GB"/>
        </w:rPr>
      </w:pPr>
      <w:r w:rsidRPr="00E8461E">
        <w:rPr>
          <w:lang w:val="en-GB"/>
        </w:rPr>
        <w:t xml:space="preserve">The Department of Health and Aged Care plans to establish a governance body under the Aboriginal and Torres Strait Islander Health Plan in consultation with the Aboriginal </w:t>
      </w:r>
      <w:r w:rsidR="00172EBB" w:rsidRPr="00E8461E">
        <w:rPr>
          <w:lang w:val="en-GB"/>
        </w:rPr>
        <w:t>C</w:t>
      </w:r>
      <w:r w:rsidRPr="00E8461E">
        <w:rPr>
          <w:lang w:val="en-GB"/>
        </w:rPr>
        <w:t>ommunity-</w:t>
      </w:r>
      <w:r w:rsidR="00172EBB" w:rsidRPr="00E8461E">
        <w:rPr>
          <w:lang w:val="en-GB"/>
        </w:rPr>
        <w:t>C</w:t>
      </w:r>
      <w:r w:rsidRPr="00E8461E">
        <w:rPr>
          <w:lang w:val="en-GB"/>
        </w:rPr>
        <w:t xml:space="preserve">ontrolled </w:t>
      </w:r>
      <w:r w:rsidR="00172EBB" w:rsidRPr="00E8461E">
        <w:rPr>
          <w:lang w:val="en-GB"/>
        </w:rPr>
        <w:t>H</w:t>
      </w:r>
      <w:r w:rsidRPr="00E8461E">
        <w:rPr>
          <w:lang w:val="en-GB"/>
        </w:rPr>
        <w:t xml:space="preserve">ealth </w:t>
      </w:r>
      <w:r w:rsidR="00172EBB" w:rsidRPr="00E8461E">
        <w:rPr>
          <w:lang w:val="en-GB"/>
        </w:rPr>
        <w:t>S</w:t>
      </w:r>
      <w:r w:rsidRPr="00E8461E">
        <w:rPr>
          <w:lang w:val="en-GB"/>
        </w:rPr>
        <w:t>ector. This governance body will provide an ongoing mechanism for First Nations leadership in implementing the Plan</w:t>
      </w:r>
      <w:r w:rsidR="004A5EF8" w:rsidRPr="00E8461E">
        <w:rPr>
          <w:lang w:val="en-GB"/>
        </w:rPr>
        <w:t xml:space="preserve">, </w:t>
      </w:r>
      <w:r w:rsidR="00BC170F" w:rsidRPr="00E8461E">
        <w:rPr>
          <w:lang w:val="en-GB"/>
        </w:rPr>
        <w:t>in line</w:t>
      </w:r>
      <w:r w:rsidR="004A5EF8" w:rsidRPr="00E8461E">
        <w:rPr>
          <w:lang w:val="en-GB"/>
        </w:rPr>
        <w:t xml:space="preserve"> with </w:t>
      </w:r>
      <w:r w:rsidR="004034D9" w:rsidRPr="00E8461E">
        <w:rPr>
          <w:lang w:val="en-GB"/>
        </w:rPr>
        <w:t xml:space="preserve">Priority Reform One: Formal Partnerships and Shared Decision Making </w:t>
      </w:r>
      <w:r w:rsidR="00BC170F" w:rsidRPr="00E8461E">
        <w:rPr>
          <w:lang w:val="en-GB"/>
        </w:rPr>
        <w:t xml:space="preserve">under </w:t>
      </w:r>
      <w:r w:rsidR="00034CDF" w:rsidRPr="00E8461E">
        <w:rPr>
          <w:lang w:val="en-GB"/>
        </w:rPr>
        <w:t>the National Agreement on</w:t>
      </w:r>
      <w:r w:rsidR="00BC170F" w:rsidRPr="00E8461E">
        <w:rPr>
          <w:lang w:val="en-GB"/>
        </w:rPr>
        <w:t xml:space="preserve"> Closing the Gap.</w:t>
      </w:r>
      <w:bookmarkStart w:id="64" w:name="_Hlk151984115"/>
      <w:r w:rsidR="0050358D" w:rsidRPr="00E8461E">
        <w:rPr>
          <w:lang w:val="en-GB"/>
        </w:rPr>
        <w:t xml:space="preserve"> </w:t>
      </w:r>
      <w:r w:rsidR="0050358D" w:rsidRPr="00E8461E">
        <w:t xml:space="preserve">In section 2.2 we also discuss the </w:t>
      </w:r>
      <w:proofErr w:type="spellStart"/>
      <w:r w:rsidR="0050358D" w:rsidRPr="00E8461E">
        <w:t>Lowitja</w:t>
      </w:r>
      <w:proofErr w:type="spellEnd"/>
      <w:r w:rsidR="0050358D" w:rsidRPr="00E8461E">
        <w:t xml:space="preserve"> Institute’s work to improve governance in relation to First Nations climate and health policy.</w:t>
      </w:r>
      <w:bookmarkEnd w:id="64"/>
    </w:p>
    <w:p w14:paraId="556036A3" w14:textId="77777777" w:rsidR="00CE2599" w:rsidRPr="00E8461E" w:rsidRDefault="00CE2599" w:rsidP="00D80EFD">
      <w:pPr>
        <w:pStyle w:val="Heading4"/>
        <w:rPr>
          <w:iCs w:val="0"/>
        </w:rPr>
      </w:pPr>
      <w:r w:rsidRPr="00E8461E">
        <w:rPr>
          <w:iCs w:val="0"/>
        </w:rPr>
        <w:t>Action 3.6</w:t>
      </w:r>
    </w:p>
    <w:p w14:paraId="671CE307" w14:textId="77777777" w:rsidR="00CE2599" w:rsidRPr="00E8461E" w:rsidRDefault="00CE2599" w:rsidP="00CE2599">
      <w:pPr>
        <w:rPr>
          <w:b/>
          <w:bCs/>
          <w:lang w:val="en-GB"/>
        </w:rPr>
      </w:pPr>
      <w:r w:rsidRPr="00E8461E">
        <w:rPr>
          <w:b/>
          <w:bCs/>
          <w:lang w:val="en-GB"/>
        </w:rPr>
        <w:t>Supporting leadership of First Nations communities on health and climate change</w:t>
      </w:r>
    </w:p>
    <w:p w14:paraId="5A3E7F40" w14:textId="77777777" w:rsidR="00CE2599" w:rsidRPr="00E8461E" w:rsidRDefault="00CE2599" w:rsidP="00CE2599">
      <w:pPr>
        <w:rPr>
          <w:lang w:val="en-GB"/>
        </w:rPr>
      </w:pPr>
      <w:r w:rsidRPr="00E8461E">
        <w:t xml:space="preserve">The Australian Government </w:t>
      </w:r>
      <w:r w:rsidRPr="00E8461E">
        <w:rPr>
          <w:lang w:val="en-GB"/>
        </w:rPr>
        <w:t>will work in partnership with First Nations organisations to support First Nations leadership on action and investment in climate change adaptation, including through its collaboration with Aboriginal Community Controlled Health Services to implement the following priorities under Objective 7 of the National Aboriginal and Torres Strait Islander Health Plan 2021-2031:</w:t>
      </w:r>
    </w:p>
    <w:p w14:paraId="2AA48FD2" w14:textId="77777777" w:rsidR="00CE2599" w:rsidRPr="00E8461E" w:rsidRDefault="00CE2599" w:rsidP="00CE2599">
      <w:pPr>
        <w:pStyle w:val="BulletUnindented"/>
      </w:pPr>
      <w:r w:rsidRPr="00E8461E">
        <w:t>Growing the First Nations environmental health workforce</w:t>
      </w:r>
    </w:p>
    <w:p w14:paraId="062E2F67" w14:textId="77777777" w:rsidR="00CE2599" w:rsidRPr="00E8461E" w:rsidRDefault="00CE2599" w:rsidP="00CE2599">
      <w:pPr>
        <w:pStyle w:val="BulletUnindented"/>
      </w:pPr>
      <w:r w:rsidRPr="00E8461E">
        <w:t>Housing and infrastructure solutions</w:t>
      </w:r>
    </w:p>
    <w:p w14:paraId="31174DAE" w14:textId="77777777" w:rsidR="00CE2599" w:rsidRPr="00E8461E" w:rsidRDefault="00CE2599" w:rsidP="005430DD">
      <w:pPr>
        <w:pStyle w:val="BulletUnindented"/>
      </w:pPr>
      <w:r w:rsidRPr="00E8461E">
        <w:t>Food security</w:t>
      </w:r>
    </w:p>
    <w:p w14:paraId="1449811B" w14:textId="03DF85A9" w:rsidR="00302E2F" w:rsidRPr="00E8461E" w:rsidRDefault="00CE2599" w:rsidP="00CE2599">
      <w:pPr>
        <w:pStyle w:val="BulletUnindented"/>
        <w:pBdr>
          <w:bottom w:val="single" w:sz="12" w:space="1" w:color="008A95" w:themeColor="accent1"/>
        </w:pBdr>
      </w:pPr>
      <w:r w:rsidRPr="00E8461E">
        <w:t xml:space="preserve">Disaster planning, </w:t>
      </w:r>
      <w:proofErr w:type="gramStart"/>
      <w:r w:rsidRPr="00E8461E">
        <w:t>preparedness</w:t>
      </w:r>
      <w:proofErr w:type="gramEnd"/>
      <w:r w:rsidRPr="00E8461E">
        <w:t xml:space="preserve"> and recovery.</w:t>
      </w:r>
    </w:p>
    <w:p w14:paraId="23F65CD4" w14:textId="43D813E3" w:rsidR="00651AF3" w:rsidRPr="00E8461E" w:rsidRDefault="00165D2F" w:rsidP="00651AF3">
      <w:pPr>
        <w:rPr>
          <w:lang w:val="en-GB"/>
        </w:rPr>
      </w:pPr>
      <w:r w:rsidRPr="00E8461E">
        <w:rPr>
          <w:lang w:val="en-GB"/>
        </w:rPr>
        <w:t xml:space="preserve">The </w:t>
      </w:r>
      <w:r w:rsidR="00EA5310" w:rsidRPr="00E8461E">
        <w:rPr>
          <w:lang w:val="en-GB"/>
        </w:rPr>
        <w:t xml:space="preserve">Strategy recognises the leadership of the First Nations health workforce in providing culturally safe and responsive care to support the </w:t>
      </w:r>
      <w:r w:rsidR="003E247F" w:rsidRPr="00E8461E">
        <w:rPr>
          <w:lang w:val="en-GB"/>
        </w:rPr>
        <w:t xml:space="preserve">capacity of First Nations communities </w:t>
      </w:r>
      <w:r w:rsidR="0022454C" w:rsidRPr="00E8461E">
        <w:rPr>
          <w:lang w:val="en-GB"/>
        </w:rPr>
        <w:t xml:space="preserve">to adapt to a changing climate. </w:t>
      </w:r>
      <w:r w:rsidR="00651AF3" w:rsidRPr="00E8461E">
        <w:rPr>
          <w:lang w:val="en-GB"/>
        </w:rPr>
        <w:t>T</w:t>
      </w:r>
      <w:r w:rsidR="00651AF3" w:rsidRPr="00E8461E">
        <w:t xml:space="preserve">he </w:t>
      </w:r>
      <w:r w:rsidR="00651AF3" w:rsidRPr="00E8461E">
        <w:rPr>
          <w:lang w:val="en-GB"/>
        </w:rPr>
        <w:t>Aboriginal and Torres Strait Islander Health Workforce Strategic Framework and Implementation Plan, co-designed with First Nations people, sets a roadmap for growing the First Nations health workforce. It includes action to attract, recruit and retain workers across the health sector, a key factor in building the capacity to close the gap in health and life outcomes and quickly respond during climate-related disasters and pandemics.</w:t>
      </w:r>
    </w:p>
    <w:p w14:paraId="5ACCD544" w14:textId="77777777" w:rsidR="00651AF3" w:rsidRPr="00E8461E" w:rsidRDefault="00651AF3" w:rsidP="00651AF3">
      <w:pPr>
        <w:rPr>
          <w:rFonts w:ascii="Calibri" w:eastAsia="Calibri" w:hAnsi="Calibri" w:cs="Calibri"/>
          <w:lang w:val="en-GB"/>
        </w:rPr>
      </w:pPr>
      <w:r w:rsidRPr="00E8461E">
        <w:rPr>
          <w:rFonts w:ascii="Calibri" w:eastAsia="Calibri" w:hAnsi="Calibri" w:cs="Calibri"/>
          <w:lang w:val="en-GB"/>
        </w:rPr>
        <w:t>The First Nations environmental health workforce provides frontline capacity to respond to the environmental health risks faced by First Nations communities, including those driven by climate change. In 2021, the Australian Government funded the National Aboriginal Community Controlled Health Organisation to deliver a National Strategic Roadmap to establish an Aboriginal and Torres Strait Islander Environmental Health workforce. This presents a valuable opportunity to ensure the environmental health risks associated with climate change are factored into future planning and capacity building for the workforce.</w:t>
      </w:r>
    </w:p>
    <w:p w14:paraId="66B0C372" w14:textId="5456EDBC" w:rsidR="00ED54F5" w:rsidRPr="00E8461E" w:rsidRDefault="0080263B" w:rsidP="00773BD9">
      <w:pPr>
        <w:rPr>
          <w:lang w:val="en-GB"/>
        </w:rPr>
      </w:pPr>
      <w:r w:rsidRPr="00E8461E">
        <w:rPr>
          <w:lang w:val="en-GB"/>
        </w:rPr>
        <w:lastRenderedPageBreak/>
        <w:t xml:space="preserve">Climate change </w:t>
      </w:r>
      <w:r w:rsidR="00936490" w:rsidRPr="00E8461E">
        <w:rPr>
          <w:lang w:val="en-GB"/>
        </w:rPr>
        <w:t>affects</w:t>
      </w:r>
      <w:r w:rsidR="00846A3A" w:rsidRPr="00E8461E">
        <w:rPr>
          <w:lang w:val="en-GB"/>
        </w:rPr>
        <w:t xml:space="preserve"> </w:t>
      </w:r>
      <w:r w:rsidR="00D744ED" w:rsidRPr="00E8461E">
        <w:rPr>
          <w:lang w:val="en-GB"/>
        </w:rPr>
        <w:t>the</w:t>
      </w:r>
      <w:r w:rsidR="001262F7" w:rsidRPr="00E8461E">
        <w:rPr>
          <w:lang w:val="en-GB"/>
        </w:rPr>
        <w:t xml:space="preserve"> </w:t>
      </w:r>
      <w:r w:rsidR="00846A3A" w:rsidRPr="00E8461E">
        <w:rPr>
          <w:lang w:val="en-GB"/>
        </w:rPr>
        <w:t>social and cultural determinants of health,</w:t>
      </w:r>
      <w:r w:rsidR="001262F7" w:rsidRPr="00E8461E">
        <w:rPr>
          <w:lang w:val="en-GB"/>
        </w:rPr>
        <w:t xml:space="preserve"> which </w:t>
      </w:r>
      <w:r w:rsidR="00B717E9" w:rsidRPr="00E8461E">
        <w:rPr>
          <w:lang w:val="en-GB"/>
        </w:rPr>
        <w:t xml:space="preserve">are important enablers of </w:t>
      </w:r>
      <w:r w:rsidR="001262F7" w:rsidRPr="00E8461E">
        <w:rPr>
          <w:lang w:val="en-GB"/>
        </w:rPr>
        <w:t xml:space="preserve">First Nations </w:t>
      </w:r>
      <w:r w:rsidR="00AB6FF4" w:rsidRPr="00E8461E">
        <w:rPr>
          <w:lang w:val="en-GB"/>
        </w:rPr>
        <w:t>people’s</w:t>
      </w:r>
      <w:r w:rsidR="004E0BCE" w:rsidRPr="00E8461E">
        <w:rPr>
          <w:lang w:val="en-GB"/>
        </w:rPr>
        <w:t xml:space="preserve"> </w:t>
      </w:r>
      <w:r w:rsidR="0033212B" w:rsidRPr="00E8461E">
        <w:rPr>
          <w:lang w:val="en-GB"/>
        </w:rPr>
        <w:t>capacity to adapt.</w:t>
      </w:r>
      <w:r w:rsidR="0026461F" w:rsidRPr="00E8461E">
        <w:rPr>
          <w:rStyle w:val="EndnoteReference"/>
          <w:lang w:val="en-GB"/>
        </w:rPr>
        <w:endnoteReference w:id="71"/>
      </w:r>
      <w:r w:rsidR="00D744ED" w:rsidRPr="00E8461E">
        <w:rPr>
          <w:lang w:val="en-GB"/>
        </w:rPr>
        <w:t xml:space="preserve"> </w:t>
      </w:r>
      <w:r w:rsidR="00E41EB7" w:rsidRPr="00E8461E">
        <w:rPr>
          <w:lang w:val="en-GB"/>
        </w:rPr>
        <w:t>Chapter 6</w:t>
      </w:r>
      <w:r w:rsidR="000F3CA8" w:rsidRPr="00E8461E">
        <w:rPr>
          <w:lang w:val="en-GB"/>
        </w:rPr>
        <w:t xml:space="preserve"> outlines</w:t>
      </w:r>
      <w:r w:rsidR="00A25815" w:rsidRPr="00E8461E">
        <w:rPr>
          <w:lang w:val="en-GB"/>
        </w:rPr>
        <w:t xml:space="preserve"> </w:t>
      </w:r>
      <w:r w:rsidR="00845332" w:rsidRPr="00E8461E">
        <w:rPr>
          <w:lang w:val="en-GB"/>
        </w:rPr>
        <w:t>action</w:t>
      </w:r>
      <w:r w:rsidR="000F3CA8" w:rsidRPr="00E8461E">
        <w:rPr>
          <w:lang w:val="en-GB"/>
        </w:rPr>
        <w:t xml:space="preserve"> </w:t>
      </w:r>
      <w:r w:rsidR="00E41EB7" w:rsidRPr="00E8461E">
        <w:rPr>
          <w:lang w:val="en-GB"/>
        </w:rPr>
        <w:t>the Strategy will take to</w:t>
      </w:r>
      <w:r w:rsidR="00EA2C14" w:rsidRPr="00E8461E">
        <w:rPr>
          <w:lang w:val="en-GB"/>
        </w:rPr>
        <w:t xml:space="preserve"> work in partnership with </w:t>
      </w:r>
      <w:r w:rsidR="00D7111E" w:rsidRPr="00E8461E">
        <w:rPr>
          <w:lang w:val="en-GB"/>
        </w:rPr>
        <w:t xml:space="preserve">First Nations </w:t>
      </w:r>
      <w:r w:rsidR="00235C3F" w:rsidRPr="00E8461E">
        <w:rPr>
          <w:lang w:val="en-GB"/>
        </w:rPr>
        <w:t xml:space="preserve">communities to address the impact of climate change on </w:t>
      </w:r>
      <w:r w:rsidR="00775985" w:rsidRPr="00E8461E">
        <w:rPr>
          <w:lang w:val="en-GB"/>
        </w:rPr>
        <w:t xml:space="preserve">the social </w:t>
      </w:r>
      <w:r w:rsidR="005B6467" w:rsidRPr="00E8461E">
        <w:rPr>
          <w:lang w:val="en-GB"/>
        </w:rPr>
        <w:t>determinants</w:t>
      </w:r>
      <w:r w:rsidR="00775985" w:rsidRPr="00E8461E">
        <w:rPr>
          <w:lang w:val="en-GB"/>
        </w:rPr>
        <w:t xml:space="preserve"> of health, </w:t>
      </w:r>
      <w:r w:rsidR="002500DE" w:rsidRPr="00E8461E">
        <w:rPr>
          <w:lang w:val="en-GB"/>
        </w:rPr>
        <w:t>including</w:t>
      </w:r>
      <w:r w:rsidR="00235C3F" w:rsidRPr="00E8461E">
        <w:rPr>
          <w:lang w:val="en-GB"/>
        </w:rPr>
        <w:t xml:space="preserve"> </w:t>
      </w:r>
      <w:r w:rsidR="00F146A8" w:rsidRPr="00E8461E">
        <w:rPr>
          <w:lang w:val="en-GB"/>
        </w:rPr>
        <w:t>food security and housing and infrastructure</w:t>
      </w:r>
      <w:r w:rsidR="00A91C31" w:rsidRPr="00E8461E">
        <w:rPr>
          <w:lang w:val="en-GB"/>
        </w:rPr>
        <w:t>.</w:t>
      </w:r>
    </w:p>
    <w:p w14:paraId="47FF7A0D" w14:textId="37CCCD5E" w:rsidR="00AF2426" w:rsidRPr="00E8461E" w:rsidRDefault="008E516C" w:rsidP="00CE2599">
      <w:pPr>
        <w:pStyle w:val="Heading2"/>
      </w:pPr>
      <w:bookmarkStart w:id="66" w:name="_Toc151999625"/>
      <w:r w:rsidRPr="00E8461E">
        <w:t>3</w:t>
      </w:r>
      <w:r w:rsidR="00D15631" w:rsidRPr="00E8461E">
        <w:t>.</w:t>
      </w:r>
      <w:r w:rsidR="000D0A23" w:rsidRPr="00E8461E">
        <w:t>4</w:t>
      </w:r>
      <w:r w:rsidR="00416107" w:rsidRPr="00E8461E">
        <w:t xml:space="preserve"> </w:t>
      </w:r>
      <w:bookmarkStart w:id="67" w:name="_Toc149910000"/>
      <w:r w:rsidR="002F5DFA" w:rsidRPr="00E8461E">
        <w:t>Protecting health by building</w:t>
      </w:r>
      <w:r w:rsidR="00AA297E" w:rsidRPr="00E8461E">
        <w:t xml:space="preserve"> a climate-resilient health</w:t>
      </w:r>
      <w:r w:rsidR="008E4C51" w:rsidRPr="00E8461E">
        <w:t>care</w:t>
      </w:r>
      <w:r w:rsidR="00AA297E" w:rsidRPr="00E8461E">
        <w:t xml:space="preserve"> </w:t>
      </w:r>
      <w:bookmarkEnd w:id="61"/>
      <w:bookmarkEnd w:id="67"/>
      <w:proofErr w:type="gramStart"/>
      <w:r w:rsidR="002F5DFA" w:rsidRPr="00E8461E">
        <w:t>sector</w:t>
      </w:r>
      <w:bookmarkEnd w:id="66"/>
      <w:proofErr w:type="gramEnd"/>
    </w:p>
    <w:p w14:paraId="1875FE84" w14:textId="77777777" w:rsidR="00753D53" w:rsidRPr="00E8461E" w:rsidRDefault="00AF2426" w:rsidP="00223900">
      <w:r w:rsidRPr="00E8461E">
        <w:t>The health</w:t>
      </w:r>
      <w:r w:rsidR="00DB317A" w:rsidRPr="00E8461E">
        <w:t>care sector</w:t>
      </w:r>
      <w:r w:rsidRPr="00E8461E">
        <w:t xml:space="preserve"> has a vital role to play in protecting and promoting health and wellbeing in </w:t>
      </w:r>
      <w:r w:rsidR="00025DDE" w:rsidRPr="00E8461E">
        <w:t>a</w:t>
      </w:r>
      <w:r w:rsidRPr="00E8461E">
        <w:t xml:space="preserve"> changing climate. It is critical that, despite the mounting pressures of climate change, people in Australia can access high-quality, equitable</w:t>
      </w:r>
      <w:r w:rsidR="006D1C0C" w:rsidRPr="00E8461E">
        <w:t>,</w:t>
      </w:r>
      <w:r w:rsidRPr="00E8461E">
        <w:t xml:space="preserve"> culturally safe healthcare. </w:t>
      </w:r>
      <w:r w:rsidR="005B6040" w:rsidRPr="00E8461E">
        <w:t xml:space="preserve">Health services can also </w:t>
      </w:r>
      <w:r w:rsidRPr="00E8461E">
        <w:t xml:space="preserve">serve as </w:t>
      </w:r>
      <w:r w:rsidR="005B6040" w:rsidRPr="00E8461E">
        <w:t>‘</w:t>
      </w:r>
      <w:r w:rsidRPr="00E8461E">
        <w:t>anchor</w:t>
      </w:r>
      <w:r w:rsidR="005B6040" w:rsidRPr="00E8461E">
        <w:t xml:space="preserve">s’ </w:t>
      </w:r>
      <w:r w:rsidRPr="00E8461E">
        <w:t>in</w:t>
      </w:r>
      <w:r w:rsidR="005B6040" w:rsidRPr="00E8461E">
        <w:t xml:space="preserve"> their</w:t>
      </w:r>
      <w:r w:rsidRPr="00E8461E">
        <w:t xml:space="preserve"> communities to build </w:t>
      </w:r>
      <w:r w:rsidR="00952BBC" w:rsidRPr="00E8461E">
        <w:t xml:space="preserve">broader </w:t>
      </w:r>
      <w:r w:rsidRPr="00E8461E">
        <w:t>climate resilience</w:t>
      </w:r>
      <w:r w:rsidR="005B6040" w:rsidRPr="00E8461E">
        <w:t>.</w:t>
      </w:r>
      <w:r w:rsidR="005B6040" w:rsidRPr="00E8461E">
        <w:rPr>
          <w:rStyle w:val="EndnoteReference"/>
        </w:rPr>
        <w:endnoteReference w:id="72"/>
      </w:r>
    </w:p>
    <w:p w14:paraId="7EB3D44D" w14:textId="67973B8C" w:rsidR="00223900" w:rsidRPr="00E8461E" w:rsidRDefault="00AF2426" w:rsidP="00223900">
      <w:pPr>
        <w:rPr>
          <w:lang w:val="en-GB"/>
        </w:rPr>
      </w:pPr>
      <w:r w:rsidRPr="00E8461E">
        <w:t>The Australian Government is committed to achieving the World Health Organization’s vision of a climate resilient health system: “one that is capable to anticipate, respond to, cope with, recover from and adapt to climate-related shocks and stress, so as to bring sustained improvements in population health, despite an unstable climate.”</w:t>
      </w:r>
      <w:r w:rsidRPr="00E8461E">
        <w:rPr>
          <w:rStyle w:val="EndnoteReference"/>
        </w:rPr>
        <w:endnoteReference w:id="73"/>
      </w:r>
      <w:r w:rsidRPr="00E8461E">
        <w:t xml:space="preserve"> This section outlines action </w:t>
      </w:r>
      <w:r w:rsidRPr="00E8461E">
        <w:rPr>
          <w:lang w:val="en-GB"/>
        </w:rPr>
        <w:t>to build a climate-resilient health</w:t>
      </w:r>
      <w:r w:rsidR="008E4C51" w:rsidRPr="00E8461E">
        <w:rPr>
          <w:lang w:val="en-GB"/>
        </w:rPr>
        <w:t>care sector</w:t>
      </w:r>
      <w:r w:rsidR="00F936A3" w:rsidRPr="00E8461E">
        <w:rPr>
          <w:lang w:val="en-GB"/>
        </w:rPr>
        <w:t>,</w:t>
      </w:r>
      <w:r w:rsidRPr="00E8461E">
        <w:rPr>
          <w:lang w:val="en-GB"/>
        </w:rPr>
        <w:t xml:space="preserve"> and enhance its capacity to protect health and wellbeing from climate change.</w:t>
      </w:r>
    </w:p>
    <w:p w14:paraId="57B8A6A5" w14:textId="467D84F4" w:rsidR="00385300" w:rsidRPr="00E8461E" w:rsidRDefault="00416107" w:rsidP="000614D6">
      <w:r w:rsidRPr="00E8461E">
        <w:t>In addition to the measures outlined below, a</w:t>
      </w:r>
      <w:r w:rsidR="000D0B81" w:rsidRPr="00E8461E">
        <w:t xml:space="preserve">chieving </w:t>
      </w:r>
      <w:r w:rsidRPr="00E8461E">
        <w:t xml:space="preserve">this objective </w:t>
      </w:r>
      <w:r w:rsidR="000D0B81" w:rsidRPr="00E8461E">
        <w:t xml:space="preserve">will be supported by </w:t>
      </w:r>
      <w:r w:rsidR="009654D4" w:rsidRPr="00E8461E">
        <w:t>the Environmental Sustainability and Climate Resilience Healthcare Module being developed by the Australian Commission on Safety and Quality in Health Care</w:t>
      </w:r>
      <w:r w:rsidR="000D7843" w:rsidRPr="00E8461E">
        <w:t xml:space="preserve"> and discussed </w:t>
      </w:r>
      <w:r w:rsidR="007F5CF9" w:rsidRPr="00E8461E">
        <w:t xml:space="preserve">in </w:t>
      </w:r>
      <w:r w:rsidR="001C5DBE" w:rsidRPr="00E8461E">
        <w:t xml:space="preserve">section </w:t>
      </w:r>
      <w:r w:rsidR="007F5CF9" w:rsidRPr="00E8461E">
        <w:t xml:space="preserve">4.2 of this Strategy. </w:t>
      </w:r>
      <w:bookmarkStart w:id="68" w:name="_Hlk151984222"/>
      <w:r w:rsidR="00B4625E" w:rsidRPr="00E8461E">
        <w:t>The Module will pilot voluntary accreditation standards for health service organisations, with a view to informing the next edition of the National Safety and Quality Health Service Standards due for release in 2027.</w:t>
      </w:r>
      <w:bookmarkEnd w:id="68"/>
    </w:p>
    <w:p w14:paraId="0875091C" w14:textId="068A0C08" w:rsidR="00597B10" w:rsidRPr="00E8461E" w:rsidRDefault="008E516C" w:rsidP="00571F10">
      <w:pPr>
        <w:pStyle w:val="Heading3"/>
      </w:pPr>
      <w:bookmarkStart w:id="69" w:name="_Toc149910001"/>
      <w:bookmarkStart w:id="70" w:name="_Toc149918467"/>
      <w:r w:rsidRPr="00E8461E">
        <w:t>3</w:t>
      </w:r>
      <w:r w:rsidR="005C526D" w:rsidRPr="00E8461E">
        <w:t>.</w:t>
      </w:r>
      <w:r w:rsidR="00283464" w:rsidRPr="00E8461E">
        <w:t>4</w:t>
      </w:r>
      <w:r w:rsidR="005C526D" w:rsidRPr="00E8461E">
        <w:t xml:space="preserve">.1 </w:t>
      </w:r>
      <w:r w:rsidR="00D66CD6" w:rsidRPr="00E8461E">
        <w:t>Climate and health d</w:t>
      </w:r>
      <w:r w:rsidR="005C526D" w:rsidRPr="00E8461E">
        <w:t>ata</w:t>
      </w:r>
      <w:r w:rsidR="00D66CD6" w:rsidRPr="00E8461E">
        <w:t xml:space="preserve"> collection</w:t>
      </w:r>
      <w:r w:rsidR="00597B10" w:rsidRPr="00E8461E">
        <w:t>, monitoring, and surveillance</w:t>
      </w:r>
      <w:bookmarkEnd w:id="69"/>
      <w:bookmarkEnd w:id="70"/>
    </w:p>
    <w:p w14:paraId="0CEB3691" w14:textId="55FEB541" w:rsidR="00597B10" w:rsidRPr="00E8461E" w:rsidRDefault="00597B10" w:rsidP="00597B10">
      <w:pPr>
        <w:spacing w:line="257" w:lineRule="auto"/>
        <w:rPr>
          <w:rFonts w:ascii="Calibri" w:eastAsia="Calibri" w:hAnsi="Calibri" w:cs="Calibri"/>
          <w:lang w:val="en-GB"/>
        </w:rPr>
      </w:pPr>
      <w:r w:rsidRPr="00E8461E">
        <w:rPr>
          <w:rFonts w:ascii="Calibri" w:eastAsia="Calibri" w:hAnsi="Calibri" w:cs="Calibri"/>
          <w:lang w:val="en-GB"/>
        </w:rPr>
        <w:t>Monitoring and surveillance systems that capture and integrate data on both environmental hazards and human health are essential building block</w:t>
      </w:r>
      <w:r w:rsidR="007F20DA" w:rsidRPr="00E8461E">
        <w:rPr>
          <w:rFonts w:ascii="Calibri" w:eastAsia="Calibri" w:hAnsi="Calibri" w:cs="Calibri"/>
          <w:lang w:val="en-GB"/>
        </w:rPr>
        <w:t>s</w:t>
      </w:r>
      <w:r w:rsidRPr="00E8461E">
        <w:rPr>
          <w:rFonts w:ascii="Calibri" w:eastAsia="Calibri" w:hAnsi="Calibri" w:cs="Calibri"/>
          <w:lang w:val="en-GB"/>
        </w:rPr>
        <w:t xml:space="preserve"> </w:t>
      </w:r>
      <w:r w:rsidR="003D11C8" w:rsidRPr="00E8461E">
        <w:rPr>
          <w:rFonts w:ascii="Calibri" w:eastAsia="Calibri" w:hAnsi="Calibri" w:cs="Calibri"/>
          <w:lang w:val="en-GB"/>
        </w:rPr>
        <w:t>in preparing</w:t>
      </w:r>
      <w:r w:rsidRPr="00E8461E">
        <w:rPr>
          <w:rFonts w:ascii="Calibri" w:eastAsia="Calibri" w:hAnsi="Calibri" w:cs="Calibri"/>
          <w:lang w:val="en-GB"/>
        </w:rPr>
        <w:t xml:space="preserve"> for and </w:t>
      </w:r>
      <w:r w:rsidR="003D11C8" w:rsidRPr="00E8461E">
        <w:rPr>
          <w:rFonts w:ascii="Calibri" w:eastAsia="Calibri" w:hAnsi="Calibri" w:cs="Calibri"/>
          <w:lang w:val="en-GB"/>
        </w:rPr>
        <w:t>responding</w:t>
      </w:r>
      <w:r w:rsidRPr="00E8461E">
        <w:rPr>
          <w:rFonts w:ascii="Calibri" w:eastAsia="Calibri" w:hAnsi="Calibri" w:cs="Calibri"/>
          <w:lang w:val="en-GB"/>
        </w:rPr>
        <w:t xml:space="preserve"> to the impacts of climate change on health and wellbeing. Climate change monitoring systems provide important information to track and forecast changes in weather and environmental conditions (such as atmosphere, </w:t>
      </w:r>
      <w:proofErr w:type="gramStart"/>
      <w:r w:rsidRPr="00E8461E">
        <w:rPr>
          <w:rFonts w:ascii="Calibri" w:eastAsia="Calibri" w:hAnsi="Calibri" w:cs="Calibri"/>
          <w:lang w:val="en-GB"/>
        </w:rPr>
        <w:t>ocean</w:t>
      </w:r>
      <w:proofErr w:type="gramEnd"/>
      <w:r w:rsidRPr="00E8461E">
        <w:rPr>
          <w:rFonts w:ascii="Calibri" w:eastAsia="Calibri" w:hAnsi="Calibri" w:cs="Calibri"/>
          <w:lang w:val="en-GB"/>
        </w:rPr>
        <w:t xml:space="preserve"> and terrestrial systems).</w:t>
      </w:r>
      <w:r w:rsidRPr="00E8461E">
        <w:rPr>
          <w:rStyle w:val="EndnoteReference"/>
          <w:rFonts w:ascii="Calibri" w:eastAsia="Calibri" w:hAnsi="Calibri" w:cs="Calibri"/>
          <w:lang w:val="en-GB"/>
        </w:rPr>
        <w:endnoteReference w:id="74"/>
      </w:r>
      <w:r w:rsidRPr="00E8461E">
        <w:rPr>
          <w:rFonts w:ascii="Calibri" w:eastAsia="Calibri" w:hAnsi="Calibri" w:cs="Calibri"/>
          <w:lang w:val="en-GB"/>
        </w:rPr>
        <w:t xml:space="preserve"> Surveillance (the continuous collection, analysis and interpretation of data related to health) helps track and identify trends in disease and support health system preparedness and response.</w:t>
      </w:r>
      <w:r w:rsidRPr="00E8461E">
        <w:rPr>
          <w:rStyle w:val="EndnoteReference"/>
          <w:rFonts w:ascii="Calibri" w:eastAsia="Calibri" w:hAnsi="Calibri" w:cs="Calibri"/>
          <w:lang w:val="en-GB"/>
        </w:rPr>
        <w:endnoteReference w:id="75"/>
      </w:r>
    </w:p>
    <w:p w14:paraId="268B5BD4" w14:textId="27F2418F" w:rsidR="00597B10" w:rsidRPr="00E8461E" w:rsidRDefault="00597B10" w:rsidP="00597B10">
      <w:pPr>
        <w:spacing w:line="257" w:lineRule="auto"/>
        <w:rPr>
          <w:rFonts w:ascii="Calibri" w:eastAsia="Calibri" w:hAnsi="Calibri" w:cs="Calibri"/>
          <w:lang w:val="en-GB"/>
        </w:rPr>
      </w:pPr>
      <w:r w:rsidRPr="00E8461E">
        <w:rPr>
          <w:rFonts w:ascii="Calibri" w:eastAsia="Calibri" w:hAnsi="Calibri" w:cs="Calibri"/>
          <w:lang w:val="en-GB"/>
        </w:rPr>
        <w:t xml:space="preserve">Monitoring and surveillance of high-risk weather and environmental hazards is already taking place. Examples include the National Heatwave Warning </w:t>
      </w:r>
      <w:r w:rsidR="00D1621F" w:rsidRPr="00E8461E">
        <w:rPr>
          <w:rFonts w:ascii="Calibri" w:eastAsia="Calibri" w:hAnsi="Calibri" w:cs="Calibri"/>
          <w:lang w:val="en-GB"/>
        </w:rPr>
        <w:t>Service</w:t>
      </w:r>
      <w:r w:rsidRPr="00E8461E">
        <w:rPr>
          <w:rFonts w:ascii="Calibri" w:eastAsia="Calibri" w:hAnsi="Calibri" w:cs="Calibri"/>
          <w:lang w:val="en-GB"/>
        </w:rPr>
        <w:t>, the Epidemic Thunderstorm Asthma Forecasting System (see case study</w:t>
      </w:r>
      <w:r w:rsidR="0010344C" w:rsidRPr="00E8461E">
        <w:rPr>
          <w:rFonts w:ascii="Calibri" w:eastAsia="Calibri" w:hAnsi="Calibri" w:cs="Calibri"/>
          <w:lang w:val="en-GB"/>
        </w:rPr>
        <w:t xml:space="preserve"> </w:t>
      </w:r>
      <w:r w:rsidR="000E08ED" w:rsidRPr="00E8461E">
        <w:rPr>
          <w:rFonts w:ascii="Calibri" w:eastAsia="Calibri" w:hAnsi="Calibri" w:cs="Calibri"/>
          <w:lang w:val="en-GB"/>
        </w:rPr>
        <w:t>1</w:t>
      </w:r>
      <w:r w:rsidRPr="00E8461E">
        <w:rPr>
          <w:rFonts w:ascii="Calibri" w:eastAsia="Calibri" w:hAnsi="Calibri" w:cs="Calibri"/>
          <w:lang w:val="en-GB"/>
        </w:rPr>
        <w:t>) and air quality monitoring systems. These systems provide</w:t>
      </w:r>
      <w:r w:rsidR="001F0858" w:rsidRPr="00E8461E">
        <w:rPr>
          <w:rFonts w:ascii="Calibri" w:eastAsia="Calibri" w:hAnsi="Calibri" w:cs="Calibri"/>
          <w:lang w:val="en-GB"/>
        </w:rPr>
        <w:t xml:space="preserve"> </w:t>
      </w:r>
      <w:r w:rsidRPr="00E8461E">
        <w:rPr>
          <w:rFonts w:ascii="Calibri" w:eastAsia="Calibri" w:hAnsi="Calibri" w:cs="Calibri"/>
          <w:lang w:val="en-GB"/>
        </w:rPr>
        <w:t xml:space="preserve">critical information about </w:t>
      </w:r>
      <w:r w:rsidR="008735AD" w:rsidRPr="00E8461E">
        <w:rPr>
          <w:rFonts w:ascii="Calibri" w:eastAsia="Calibri" w:hAnsi="Calibri" w:cs="Calibri"/>
          <w:lang w:val="en-GB"/>
        </w:rPr>
        <w:t xml:space="preserve">climate-related </w:t>
      </w:r>
      <w:r w:rsidRPr="00E8461E">
        <w:rPr>
          <w:rFonts w:ascii="Calibri" w:eastAsia="Calibri" w:hAnsi="Calibri" w:cs="Calibri"/>
          <w:lang w:val="en-GB"/>
        </w:rPr>
        <w:t xml:space="preserve">environmental hazards, enabling health </w:t>
      </w:r>
      <w:r w:rsidR="001F0858" w:rsidRPr="00E8461E">
        <w:rPr>
          <w:rFonts w:ascii="Calibri" w:eastAsia="Calibri" w:hAnsi="Calibri" w:cs="Calibri"/>
          <w:lang w:val="en-GB"/>
        </w:rPr>
        <w:t>services</w:t>
      </w:r>
      <w:r w:rsidR="008210B6" w:rsidRPr="00E8461E">
        <w:rPr>
          <w:rFonts w:ascii="Calibri" w:eastAsia="Calibri" w:hAnsi="Calibri" w:cs="Calibri"/>
          <w:lang w:val="en-GB"/>
        </w:rPr>
        <w:t>, emergency services,</w:t>
      </w:r>
      <w:r w:rsidRPr="00E8461E">
        <w:rPr>
          <w:rFonts w:ascii="Calibri" w:eastAsia="Calibri" w:hAnsi="Calibri" w:cs="Calibri"/>
          <w:lang w:val="en-GB"/>
        </w:rPr>
        <w:t xml:space="preserve"> and individuals to prepare and respond.</w:t>
      </w:r>
    </w:p>
    <w:p w14:paraId="3E47A583" w14:textId="77777777" w:rsidR="00CE2599" w:rsidRPr="00E8461E" w:rsidRDefault="00CE2599" w:rsidP="00D80EFD">
      <w:pPr>
        <w:pStyle w:val="Heading4"/>
        <w:rPr>
          <w:iCs w:val="0"/>
        </w:rPr>
      </w:pPr>
      <w:r w:rsidRPr="00E8461E">
        <w:rPr>
          <w:iCs w:val="0"/>
        </w:rPr>
        <w:t>Case study 1</w:t>
      </w:r>
    </w:p>
    <w:p w14:paraId="5DA55AE5" w14:textId="77777777" w:rsidR="00CE2599" w:rsidRPr="00E8461E" w:rsidRDefault="00CE2599" w:rsidP="00CE2599">
      <w:pPr>
        <w:rPr>
          <w:b/>
        </w:rPr>
      </w:pPr>
      <w:r w:rsidRPr="00E8461E">
        <w:rPr>
          <w:b/>
        </w:rPr>
        <w:t xml:space="preserve">Epidemic thunderstorm asthma risk </w:t>
      </w:r>
      <w:proofErr w:type="gramStart"/>
      <w:r w:rsidRPr="00E8461E">
        <w:rPr>
          <w:b/>
        </w:rPr>
        <w:t>forecast</w:t>
      </w:r>
      <w:proofErr w:type="gramEnd"/>
    </w:p>
    <w:p w14:paraId="2B9CE7E6" w14:textId="77777777" w:rsidR="00CE2599" w:rsidRPr="00E8461E" w:rsidRDefault="00CE2599" w:rsidP="00CE2599">
      <w:pPr>
        <w:rPr>
          <w:lang w:val="en-GB"/>
        </w:rPr>
      </w:pPr>
      <w:r w:rsidRPr="00E8461E">
        <w:rPr>
          <w:lang w:val="en-GB"/>
        </w:rPr>
        <w:t>Thunderstorm asthma is a significant public health risk in Australia and is likely to become more frequent and widespread as climate change advances.</w:t>
      </w:r>
      <w:r w:rsidRPr="00E8461E">
        <w:rPr>
          <w:rStyle w:val="EndnoteReference"/>
          <w:lang w:val="en-GB"/>
        </w:rPr>
        <w:endnoteReference w:id="76"/>
      </w:r>
      <w:r w:rsidRPr="00E8461E">
        <w:rPr>
          <w:lang w:val="en-GB"/>
        </w:rPr>
        <w:t xml:space="preserve"> Thunderstorm asthma events are triggered by an uncommon combination of a certain type of thunderstorm and high grass pollen levels.</w:t>
      </w:r>
    </w:p>
    <w:p w14:paraId="3D791AD4" w14:textId="77777777" w:rsidR="00CE2599" w:rsidRPr="00E8461E" w:rsidRDefault="00CE2599" w:rsidP="00CE2599">
      <w:pPr>
        <w:rPr>
          <w:lang w:val="en-GB"/>
        </w:rPr>
      </w:pPr>
      <w:r w:rsidRPr="00E8461E">
        <w:rPr>
          <w:lang w:val="en-GB"/>
        </w:rPr>
        <w:t xml:space="preserve">In November 2016, Victoria experienced the world’s largest epidemic thunderstorm asthma event. Within 30 hours, this resulted in significant public health impacts with 3,365 more respiratory-related </w:t>
      </w:r>
      <w:r w:rsidRPr="00E8461E">
        <w:rPr>
          <w:lang w:val="en-GB"/>
        </w:rPr>
        <w:lastRenderedPageBreak/>
        <w:t>presentations (a 672% increase) to public hospitals in Melbourne and Geelong, an estimated 476 admissions, 30 intensive care admissions and 10 deaths.</w:t>
      </w:r>
      <w:r w:rsidRPr="00E8461E">
        <w:rPr>
          <w:rStyle w:val="EndnoteReference"/>
          <w:lang w:val="en-GB"/>
        </w:rPr>
        <w:endnoteReference w:id="77"/>
      </w:r>
      <w:r w:rsidRPr="00E8461E">
        <w:rPr>
          <w:vertAlign w:val="superscript"/>
          <w:lang w:val="en-GB"/>
        </w:rPr>
        <w:t>,</w:t>
      </w:r>
      <w:r w:rsidRPr="00E8461E">
        <w:rPr>
          <w:rStyle w:val="EndnoteReference"/>
          <w:lang w:val="en-GB"/>
        </w:rPr>
        <w:endnoteReference w:id="78"/>
      </w:r>
    </w:p>
    <w:p w14:paraId="13C9C2EC" w14:textId="6A06FA4D" w:rsidR="00CE2599" w:rsidRPr="00E8461E" w:rsidRDefault="00CE2599" w:rsidP="00CE2599">
      <w:pPr>
        <w:pBdr>
          <w:bottom w:val="single" w:sz="12" w:space="1" w:color="008A95" w:themeColor="accent1"/>
        </w:pBdr>
        <w:spacing w:line="257" w:lineRule="auto"/>
        <w:rPr>
          <w:rFonts w:ascii="Calibri" w:eastAsia="Calibri" w:hAnsi="Calibri" w:cs="Calibri"/>
          <w:lang w:val="en-GB"/>
        </w:rPr>
      </w:pPr>
      <w:r w:rsidRPr="00E8461E">
        <w:rPr>
          <w:lang w:val="en-GB"/>
        </w:rPr>
        <w:t>The response to the 2016 event was reviewed by the Inspector-General for Emergency Management. The review identified emergency services had limited ability to adequately meet the extraordinary and rapid increase in demand on the health care system.</w:t>
      </w:r>
      <w:r w:rsidRPr="00E8461E">
        <w:rPr>
          <w:rStyle w:val="EndnoteReference"/>
          <w:lang w:val="en-GB"/>
        </w:rPr>
        <w:endnoteReference w:id="79"/>
      </w:r>
      <w:r w:rsidRPr="00E8461E">
        <w:rPr>
          <w:lang w:val="en-GB"/>
        </w:rPr>
        <w:t xml:space="preserve"> As a result, the Victorian Government implemented the Epidemic Thunderstorm Asthma Risk Forecasting System, which provides health services, emergency services and communities with information to inform decisions, avoid exposure and know when to practice protective behaviours. Forecasts will enable emergency services to increase staff availability to better meet the anticipated demand and assist in planning and deploying resources. The forecast supports the Victorian health system to prepare for and respond to epidemic thunderstorm asthma events. There are plans to roll out the forecast system to other jurisdictions.</w:t>
      </w:r>
    </w:p>
    <w:p w14:paraId="7C780D8C" w14:textId="3E3A0964" w:rsidR="00BA055E" w:rsidRPr="00E8461E" w:rsidRDefault="00597B10" w:rsidP="00597B10">
      <w:pPr>
        <w:autoSpaceDE w:val="0"/>
        <w:autoSpaceDN w:val="0"/>
        <w:adjustRightInd w:val="0"/>
        <w:spacing w:line="240" w:lineRule="auto"/>
        <w:rPr>
          <w:lang w:val="en-GB"/>
        </w:rPr>
      </w:pPr>
      <w:r w:rsidRPr="00E8461E">
        <w:rPr>
          <w:lang w:val="en-GB"/>
        </w:rPr>
        <w:t xml:space="preserve">Systematic monitoring of health system climate preparedness and performance, relevant environmental hazards, and the population burden of climate-sensitive disease </w:t>
      </w:r>
      <w:r w:rsidR="00545731" w:rsidRPr="00E8461E">
        <w:rPr>
          <w:lang w:val="en-GB"/>
        </w:rPr>
        <w:t>(including both communicable and non-communicable disease)</w:t>
      </w:r>
      <w:r w:rsidRPr="00E8461E">
        <w:rPr>
          <w:lang w:val="en-GB"/>
        </w:rPr>
        <w:t xml:space="preserve"> will help to develop a more accurate assessment of climate-related risks to health and health systems and ensure that adaptation measures are effective and tailored to these risks.</w:t>
      </w:r>
      <w:r w:rsidR="00493645" w:rsidRPr="00E8461E">
        <w:rPr>
          <w:lang w:val="en-GB"/>
        </w:rPr>
        <w:t xml:space="preserve"> </w:t>
      </w:r>
      <w:r w:rsidR="00493645" w:rsidRPr="00E8461E">
        <w:rPr>
          <w:rFonts w:ascii="Calibri" w:eastAsia="Calibri" w:hAnsi="Calibri" w:cs="Calibri"/>
          <w:lang w:val="en-GB"/>
        </w:rPr>
        <w:t xml:space="preserve">This includes strengthening monitoring and surveillance for both public health </w:t>
      </w:r>
      <w:r w:rsidR="002512EC" w:rsidRPr="00E8461E">
        <w:rPr>
          <w:rFonts w:ascii="Calibri" w:eastAsia="Calibri" w:hAnsi="Calibri" w:cs="Calibri"/>
          <w:lang w:val="en-GB"/>
        </w:rPr>
        <w:t xml:space="preserve">(including communicable and non-communicable diseases) </w:t>
      </w:r>
      <w:r w:rsidR="00493645" w:rsidRPr="00E8461E">
        <w:rPr>
          <w:rFonts w:ascii="Calibri" w:eastAsia="Calibri" w:hAnsi="Calibri" w:cs="Calibri"/>
          <w:lang w:val="en-GB"/>
        </w:rPr>
        <w:t>and environmental hazards related to climate change and enhancing data integration to improve preparedness and response.</w:t>
      </w:r>
      <w:r w:rsidRPr="00E8461E">
        <w:rPr>
          <w:lang w:val="en-GB"/>
        </w:rPr>
        <w:t xml:space="preserve"> Although many elements of a climate-health monitoring and surveillance system are already in place, there is a need to build on these, identify and fill data gaps, develop relevant indicators, and establish routine data collection and reporting.</w:t>
      </w:r>
      <w:r w:rsidR="00316095" w:rsidRPr="00E8461E">
        <w:rPr>
          <w:lang w:val="en-GB"/>
        </w:rPr>
        <w:t xml:space="preserve"> </w:t>
      </w:r>
      <w:r w:rsidR="006B6056" w:rsidRPr="00E8461E">
        <w:rPr>
          <w:lang w:val="en-GB"/>
        </w:rPr>
        <w:t>Where relevant, t</w:t>
      </w:r>
      <w:r w:rsidR="00316095" w:rsidRPr="00E8461E">
        <w:rPr>
          <w:lang w:val="en-GB"/>
        </w:rPr>
        <w:t xml:space="preserve">his work must respect the </w:t>
      </w:r>
      <w:r w:rsidR="006B6056" w:rsidRPr="00E8461E">
        <w:rPr>
          <w:lang w:val="en-GB"/>
        </w:rPr>
        <w:t>principles of Indigenous Data Sovereignty.</w:t>
      </w:r>
    </w:p>
    <w:p w14:paraId="7E1395DB" w14:textId="77777777" w:rsidR="00CE2599" w:rsidRPr="00E8461E" w:rsidRDefault="00CE2599" w:rsidP="00D80EFD">
      <w:pPr>
        <w:pStyle w:val="Heading4"/>
        <w:rPr>
          <w:iCs w:val="0"/>
        </w:rPr>
      </w:pPr>
      <w:r w:rsidRPr="00E8461E">
        <w:rPr>
          <w:iCs w:val="0"/>
        </w:rPr>
        <w:t>Action 3.7</w:t>
      </w:r>
    </w:p>
    <w:p w14:paraId="5068E0B4" w14:textId="77777777" w:rsidR="00CE2599" w:rsidRPr="00E8461E" w:rsidRDefault="00CE2599" w:rsidP="00CE2599">
      <w:pPr>
        <w:pStyle w:val="Heading3"/>
        <w:rPr>
          <w:lang w:val="en-GB"/>
        </w:rPr>
      </w:pPr>
      <w:r w:rsidRPr="00E8461E">
        <w:rPr>
          <w:lang w:val="en-GB"/>
        </w:rPr>
        <w:t xml:space="preserve">Developing options for climate and health monitoring, </w:t>
      </w:r>
      <w:proofErr w:type="gramStart"/>
      <w:r w:rsidRPr="00E8461E">
        <w:rPr>
          <w:lang w:val="en-GB"/>
        </w:rPr>
        <w:t>data</w:t>
      </w:r>
      <w:proofErr w:type="gramEnd"/>
      <w:r w:rsidRPr="00E8461E">
        <w:rPr>
          <w:lang w:val="en-GB"/>
        </w:rPr>
        <w:t xml:space="preserve"> and indicators</w:t>
      </w:r>
    </w:p>
    <w:p w14:paraId="53870690" w14:textId="628133D4" w:rsidR="00CE2599" w:rsidRPr="00E8461E" w:rsidRDefault="00CE2599" w:rsidP="00CE2599">
      <w:pPr>
        <w:pBdr>
          <w:bottom w:val="single" w:sz="12" w:space="1" w:color="008A95" w:themeColor="accent1"/>
        </w:pBdr>
        <w:autoSpaceDE w:val="0"/>
        <w:autoSpaceDN w:val="0"/>
        <w:adjustRightInd w:val="0"/>
        <w:spacing w:line="240" w:lineRule="auto"/>
        <w:rPr>
          <w:lang w:val="en-GB"/>
        </w:rPr>
      </w:pPr>
      <w:r w:rsidRPr="00E8461E">
        <w:t>The Australian Government will work with relevant stakeholders to explore options for developing a framework for routine data collection, monitoring, and reporting on the impacts of climate change on population health and health system functioning. This will be based on World Health Organization guidance and will include indicators of (a) relevant determinants of health; (b) the association between climate-related exposures and climate-sensitive health outcomes; and (c) health system resilience.</w:t>
      </w:r>
      <w:r w:rsidRPr="00E8461E">
        <w:rPr>
          <w:rStyle w:val="EndnoteReference"/>
        </w:rPr>
        <w:endnoteReference w:id="80"/>
      </w:r>
      <w:r w:rsidRPr="00E8461E">
        <w:t xml:space="preserve"> The Government will work with stakeholders to improve the availability, collection and reporting of data to support this work.</w:t>
      </w:r>
    </w:p>
    <w:p w14:paraId="40F3C482" w14:textId="5D27D399" w:rsidR="009C6D37" w:rsidRPr="00E8461E" w:rsidRDefault="00C66627" w:rsidP="00571F10">
      <w:pPr>
        <w:pStyle w:val="Heading3"/>
        <w:rPr>
          <w:lang w:val="en-GB"/>
        </w:rPr>
      </w:pPr>
      <w:bookmarkStart w:id="75" w:name="_Toc147502205"/>
      <w:bookmarkStart w:id="76" w:name="_Toc149910002"/>
      <w:bookmarkStart w:id="77" w:name="_Toc149918468"/>
      <w:r w:rsidRPr="00E8461E">
        <w:rPr>
          <w:lang w:val="en-GB"/>
        </w:rPr>
        <w:t>3</w:t>
      </w:r>
      <w:r w:rsidR="00B174CB" w:rsidRPr="00E8461E">
        <w:rPr>
          <w:lang w:val="en-GB"/>
        </w:rPr>
        <w:t>.</w:t>
      </w:r>
      <w:r w:rsidR="00283464" w:rsidRPr="00E8461E">
        <w:rPr>
          <w:lang w:val="en-GB"/>
        </w:rPr>
        <w:t>4</w:t>
      </w:r>
      <w:r w:rsidR="00B174CB" w:rsidRPr="00E8461E">
        <w:rPr>
          <w:lang w:val="en-GB"/>
        </w:rPr>
        <w:t xml:space="preserve">.2 </w:t>
      </w:r>
      <w:r w:rsidR="008A22F2" w:rsidRPr="00E8461E">
        <w:rPr>
          <w:lang w:val="en-GB"/>
        </w:rPr>
        <w:t>Health w</w:t>
      </w:r>
      <w:r w:rsidR="009C6D37" w:rsidRPr="00E8461E">
        <w:rPr>
          <w:lang w:val="en-GB"/>
        </w:rPr>
        <w:t>orkforce</w:t>
      </w:r>
      <w:bookmarkEnd w:id="75"/>
      <w:bookmarkEnd w:id="76"/>
      <w:bookmarkEnd w:id="77"/>
    </w:p>
    <w:p w14:paraId="01C77410" w14:textId="60D7098E" w:rsidR="001360D8" w:rsidRPr="00E8461E" w:rsidRDefault="4C1794AE">
      <w:pPr>
        <w:rPr>
          <w:rFonts w:ascii="Calibri" w:eastAsia="Calibri" w:hAnsi="Calibri" w:cs="Calibri"/>
          <w:lang w:val="en-GB"/>
        </w:rPr>
      </w:pPr>
      <w:r w:rsidRPr="00E8461E">
        <w:rPr>
          <w:rFonts w:ascii="Calibri" w:eastAsia="Calibri" w:hAnsi="Calibri" w:cs="Calibri"/>
          <w:lang w:val="en-GB"/>
        </w:rPr>
        <w:t xml:space="preserve">A </w:t>
      </w:r>
      <w:r w:rsidR="004C7C12" w:rsidRPr="00E8461E">
        <w:rPr>
          <w:rFonts w:ascii="Calibri" w:eastAsia="Calibri" w:hAnsi="Calibri" w:cs="Calibri"/>
          <w:lang w:val="en-GB"/>
        </w:rPr>
        <w:t>climate-</w:t>
      </w:r>
      <w:r w:rsidRPr="00E8461E">
        <w:rPr>
          <w:rFonts w:ascii="Calibri" w:eastAsia="Calibri" w:hAnsi="Calibri" w:cs="Calibri"/>
          <w:lang w:val="en-GB"/>
        </w:rPr>
        <w:t>resilient health</w:t>
      </w:r>
      <w:r w:rsidR="0084769E" w:rsidRPr="00E8461E">
        <w:rPr>
          <w:rFonts w:ascii="Calibri" w:eastAsia="Calibri" w:hAnsi="Calibri" w:cs="Calibri"/>
          <w:lang w:val="en-GB"/>
        </w:rPr>
        <w:t>care sector</w:t>
      </w:r>
      <w:r w:rsidRPr="00E8461E">
        <w:rPr>
          <w:rFonts w:ascii="Calibri" w:eastAsia="Calibri" w:hAnsi="Calibri" w:cs="Calibri"/>
          <w:lang w:val="en-GB"/>
        </w:rPr>
        <w:t xml:space="preserve"> relies on a capable </w:t>
      </w:r>
      <w:r w:rsidR="00457C31" w:rsidRPr="00E8461E">
        <w:rPr>
          <w:rFonts w:ascii="Calibri" w:eastAsia="Calibri" w:hAnsi="Calibri" w:cs="Calibri"/>
          <w:lang w:val="en-GB"/>
        </w:rPr>
        <w:t xml:space="preserve">and adaptable </w:t>
      </w:r>
      <w:r w:rsidRPr="00E8461E">
        <w:rPr>
          <w:rFonts w:ascii="Calibri" w:eastAsia="Calibri" w:hAnsi="Calibri" w:cs="Calibri"/>
          <w:lang w:val="en-GB"/>
        </w:rPr>
        <w:t>workforce</w:t>
      </w:r>
      <w:r w:rsidR="008F4048" w:rsidRPr="00E8461E">
        <w:rPr>
          <w:rFonts w:ascii="Calibri" w:eastAsia="Calibri" w:hAnsi="Calibri" w:cs="Calibri"/>
          <w:lang w:val="en-GB"/>
        </w:rPr>
        <w:t xml:space="preserve"> with the knowledge, </w:t>
      </w:r>
      <w:proofErr w:type="gramStart"/>
      <w:r w:rsidR="008F4048" w:rsidRPr="00E8461E">
        <w:rPr>
          <w:rFonts w:ascii="Calibri" w:eastAsia="Calibri" w:hAnsi="Calibri" w:cs="Calibri"/>
          <w:lang w:val="en-GB"/>
        </w:rPr>
        <w:t>skills</w:t>
      </w:r>
      <w:proofErr w:type="gramEnd"/>
      <w:r w:rsidR="008F4048" w:rsidRPr="00E8461E">
        <w:rPr>
          <w:rFonts w:ascii="Calibri" w:eastAsia="Calibri" w:hAnsi="Calibri" w:cs="Calibri"/>
          <w:lang w:val="en-GB"/>
        </w:rPr>
        <w:t xml:space="preserve"> and capability to </w:t>
      </w:r>
      <w:r w:rsidR="004C7C12" w:rsidRPr="00E8461E">
        <w:rPr>
          <w:rFonts w:ascii="Calibri" w:eastAsia="Calibri" w:hAnsi="Calibri" w:cs="Calibri"/>
          <w:lang w:val="en-GB"/>
        </w:rPr>
        <w:t>recognise, prepare for, and respond to health risks linked to climate change</w:t>
      </w:r>
      <w:r w:rsidR="00910004" w:rsidRPr="00E8461E">
        <w:rPr>
          <w:rFonts w:ascii="Calibri" w:eastAsia="Calibri" w:hAnsi="Calibri" w:cs="Calibri"/>
          <w:lang w:val="en-GB"/>
        </w:rPr>
        <w:t xml:space="preserve">. </w:t>
      </w:r>
      <w:r w:rsidR="004C7C12" w:rsidRPr="00E8461E">
        <w:rPr>
          <w:rFonts w:ascii="Calibri" w:eastAsia="Calibri" w:hAnsi="Calibri" w:cs="Calibri"/>
          <w:lang w:val="en-GB"/>
        </w:rPr>
        <w:t xml:space="preserve">Key strategies for building </w:t>
      </w:r>
      <w:r w:rsidRPr="00E8461E">
        <w:rPr>
          <w:rFonts w:ascii="Calibri" w:eastAsia="Calibri" w:hAnsi="Calibri" w:cs="Calibri"/>
          <w:lang w:val="en-GB"/>
        </w:rPr>
        <w:t>workforce resilience</w:t>
      </w:r>
      <w:r w:rsidR="004C7C12" w:rsidRPr="00E8461E">
        <w:rPr>
          <w:rFonts w:ascii="Calibri" w:eastAsia="Calibri" w:hAnsi="Calibri" w:cs="Calibri"/>
          <w:lang w:val="en-GB"/>
        </w:rPr>
        <w:t xml:space="preserve"> and adaptability </w:t>
      </w:r>
      <w:r w:rsidR="001360D8" w:rsidRPr="00E8461E">
        <w:rPr>
          <w:rFonts w:ascii="Calibri" w:eastAsia="Calibri" w:hAnsi="Calibri" w:cs="Calibri"/>
          <w:lang w:val="en-GB"/>
        </w:rPr>
        <w:t>include:</w:t>
      </w:r>
    </w:p>
    <w:p w14:paraId="1D3800FE" w14:textId="77777777" w:rsidR="00256E57" w:rsidRPr="00E8461E" w:rsidRDefault="001360D8" w:rsidP="0065729E">
      <w:pPr>
        <w:pStyle w:val="BulletUnindented"/>
      </w:pPr>
      <w:r w:rsidRPr="00E8461E">
        <w:rPr>
          <w:b/>
        </w:rPr>
        <w:t>Education and training:</w:t>
      </w:r>
      <w:r w:rsidRPr="00E8461E">
        <w:t xml:space="preserve"> </w:t>
      </w:r>
      <w:r w:rsidR="001F431C" w:rsidRPr="00E8461E">
        <w:t>Workforce</w:t>
      </w:r>
      <w:r w:rsidR="00314597" w:rsidRPr="00E8461E">
        <w:t xml:space="preserve"> </w:t>
      </w:r>
      <w:r w:rsidR="00CA2622" w:rsidRPr="00E8461E">
        <w:t>t</w:t>
      </w:r>
      <w:r w:rsidR="4C1794AE" w:rsidRPr="00E8461E">
        <w:t xml:space="preserve">echnical and professional capacity can be developed through </w:t>
      </w:r>
      <w:r w:rsidR="00CA2622" w:rsidRPr="00E8461E">
        <w:t xml:space="preserve">climate-specific </w:t>
      </w:r>
      <w:r w:rsidR="4C1794AE" w:rsidRPr="00E8461E">
        <w:t>education and training</w:t>
      </w:r>
      <w:r w:rsidR="009E4516" w:rsidRPr="00E8461E">
        <w:t xml:space="preserve"> tailored to </w:t>
      </w:r>
      <w:r w:rsidR="4C1794AE" w:rsidRPr="00E8461E">
        <w:t xml:space="preserve">workforce knowledge and skill gaps, as well as </w:t>
      </w:r>
      <w:r w:rsidR="002900F4" w:rsidRPr="00E8461E">
        <w:t>to</w:t>
      </w:r>
      <w:r w:rsidR="4C1794AE" w:rsidRPr="00E8461E">
        <w:t xml:space="preserve"> anticipated local climate-related health risks.</w:t>
      </w:r>
    </w:p>
    <w:p w14:paraId="09F9493C" w14:textId="3FA1CDE9" w:rsidR="00256E57" w:rsidRPr="00E8461E" w:rsidRDefault="001360D8" w:rsidP="0065729E">
      <w:pPr>
        <w:pStyle w:val="BulletUnindented"/>
        <w:rPr>
          <w:rFonts w:ascii="Calibri" w:eastAsia="Calibri" w:hAnsi="Calibri" w:cs="Calibri"/>
        </w:rPr>
      </w:pPr>
      <w:r w:rsidRPr="00E8461E">
        <w:rPr>
          <w:b/>
        </w:rPr>
        <w:t xml:space="preserve">Recruitment and retention: </w:t>
      </w:r>
      <w:r w:rsidR="4C1794AE" w:rsidRPr="00E8461E">
        <w:t>Adequate number</w:t>
      </w:r>
      <w:r w:rsidR="00B16089" w:rsidRPr="00E8461E">
        <w:t>s</w:t>
      </w:r>
      <w:r w:rsidR="4C1794AE" w:rsidRPr="00E8461E">
        <w:t xml:space="preserve"> and availability of health workers are </w:t>
      </w:r>
      <w:r w:rsidR="00382104" w:rsidRPr="00E8461E">
        <w:t xml:space="preserve">also </w:t>
      </w:r>
      <w:r w:rsidR="4C1794AE" w:rsidRPr="00E8461E">
        <w:t xml:space="preserve">necessary to </w:t>
      </w:r>
      <w:r w:rsidR="00DE7BF5" w:rsidRPr="00E8461E">
        <w:t>enable the health system to</w:t>
      </w:r>
      <w:r w:rsidR="4C1794AE" w:rsidRPr="00E8461E">
        <w:t xml:space="preserve"> adapt and respond to climate change. </w:t>
      </w:r>
      <w:r w:rsidR="0027767A" w:rsidRPr="00E8461E">
        <w:t>Climate</w:t>
      </w:r>
      <w:r w:rsidR="4C1794AE" w:rsidRPr="00E8461E">
        <w:t xml:space="preserve"> change is </w:t>
      </w:r>
      <w:r w:rsidR="003F4352" w:rsidRPr="00E8461E">
        <w:t xml:space="preserve">increasing </w:t>
      </w:r>
      <w:r w:rsidR="4C1794AE" w:rsidRPr="00E8461E">
        <w:t>health workforce shortages, particularly in rural and remote areas that are already vulnerable to inequitable healthcare access</w:t>
      </w:r>
      <w:r w:rsidR="4C1794AE" w:rsidRPr="00E8461E" w:rsidDel="00852D17">
        <w:t>.</w:t>
      </w:r>
      <w:r w:rsidR="00D140D3" w:rsidRPr="00E8461E">
        <w:rPr>
          <w:rStyle w:val="EndnoteReference"/>
          <w:rFonts w:ascii="Calibri" w:eastAsia="Calibri" w:hAnsi="Calibri" w:cs="Calibri"/>
        </w:rPr>
        <w:endnoteReference w:id="81"/>
      </w:r>
      <w:r w:rsidR="00852D17" w:rsidRPr="00E8461E">
        <w:rPr>
          <w:vertAlign w:val="superscript"/>
        </w:rPr>
        <w:t>,</w:t>
      </w:r>
      <w:r w:rsidR="00D140D3" w:rsidRPr="00E8461E">
        <w:rPr>
          <w:rStyle w:val="EndnoteReference"/>
          <w:rFonts w:ascii="Calibri" w:eastAsia="Calibri" w:hAnsi="Calibri" w:cs="Calibri"/>
        </w:rPr>
        <w:endnoteReference w:id="82"/>
      </w:r>
      <w:r w:rsidR="4C1794AE" w:rsidRPr="00E8461E">
        <w:t xml:space="preserve"> </w:t>
      </w:r>
      <w:r w:rsidR="00460402" w:rsidRPr="00E8461E">
        <w:t xml:space="preserve">This is exacerbated when crises, such as extreme weather events, </w:t>
      </w:r>
      <w:r w:rsidR="009529D2" w:rsidRPr="00E8461E">
        <w:t xml:space="preserve">affect </w:t>
      </w:r>
      <w:r w:rsidR="00460402" w:rsidRPr="00E8461E">
        <w:t xml:space="preserve">a particular community. </w:t>
      </w:r>
      <w:r w:rsidR="4C1794AE" w:rsidRPr="00E8461E">
        <w:t xml:space="preserve">Challenges </w:t>
      </w:r>
      <w:r w:rsidR="00114850" w:rsidRPr="00E8461E">
        <w:t>to retention include</w:t>
      </w:r>
      <w:r w:rsidR="4C1794AE" w:rsidRPr="00E8461E">
        <w:t xml:space="preserve"> heavier workloads for remaining staff, service </w:t>
      </w:r>
      <w:r w:rsidR="4C1794AE" w:rsidRPr="00E8461E">
        <w:lastRenderedPageBreak/>
        <w:t>discontinuity</w:t>
      </w:r>
      <w:r w:rsidR="00C37EB1" w:rsidRPr="00E8461E">
        <w:t>,</w:t>
      </w:r>
      <w:r w:rsidR="4C1794AE" w:rsidRPr="00E8461E">
        <w:t xml:space="preserve"> and financial burdens on </w:t>
      </w:r>
      <w:r w:rsidR="00E63BB2" w:rsidRPr="00E8461E">
        <w:t>health services</w:t>
      </w:r>
      <w:r w:rsidR="4C1794AE" w:rsidRPr="00E8461E">
        <w:t>. Given the</w:t>
      </w:r>
      <w:r w:rsidR="00E63BB2" w:rsidRPr="00E8461E">
        <w:t>se</w:t>
      </w:r>
      <w:r w:rsidR="4C1794AE" w:rsidRPr="00E8461E">
        <w:t xml:space="preserve"> challenges, effective recruitment and retention strategies are critical </w:t>
      </w:r>
      <w:r w:rsidR="00E328E7" w:rsidRPr="00E8461E">
        <w:t xml:space="preserve">in </w:t>
      </w:r>
      <w:r w:rsidR="4C1794AE" w:rsidRPr="00E8461E">
        <w:t>establishing and s</w:t>
      </w:r>
      <w:r w:rsidR="4C1794AE" w:rsidRPr="00E8461E">
        <w:rPr>
          <w:rFonts w:ascii="Calibri" w:eastAsia="Calibri" w:hAnsi="Calibri" w:cs="Calibri"/>
        </w:rPr>
        <w:t>ustaining a climate-resilient health workforce.</w:t>
      </w:r>
    </w:p>
    <w:p w14:paraId="3C74ED22" w14:textId="6E77EE2E" w:rsidR="004C7C12" w:rsidRPr="00E8461E" w:rsidRDefault="001360D8" w:rsidP="0065729E">
      <w:pPr>
        <w:pStyle w:val="BulletUnindented"/>
        <w:rPr>
          <w:rFonts w:ascii="Calibri" w:eastAsia="Calibri" w:hAnsi="Calibri" w:cs="Calibri"/>
        </w:rPr>
      </w:pPr>
      <w:r w:rsidRPr="00E8461E">
        <w:rPr>
          <w:b/>
        </w:rPr>
        <w:t>Innovative models of care:</w:t>
      </w:r>
      <w:r w:rsidRPr="00E8461E">
        <w:t xml:space="preserve"> </w:t>
      </w:r>
      <w:r w:rsidR="00B93CD6" w:rsidRPr="00E8461E">
        <w:t>T</w:t>
      </w:r>
      <w:r w:rsidR="00746A4B" w:rsidRPr="00E8461E">
        <w:t xml:space="preserve">he health workforce will increasingly need to be adaptable and flexible in preparing for and responding to climate-related events. </w:t>
      </w:r>
      <w:r w:rsidR="4C1794AE" w:rsidRPr="00E8461E">
        <w:t xml:space="preserve">The growing and shifting demands on the health </w:t>
      </w:r>
      <w:r w:rsidR="003C69F5" w:rsidRPr="00E8461E">
        <w:t>workforce</w:t>
      </w:r>
      <w:r w:rsidR="4C1794AE" w:rsidRPr="00E8461E">
        <w:t xml:space="preserve"> due to climate change</w:t>
      </w:r>
      <w:r w:rsidR="009430DC" w:rsidRPr="00E8461E">
        <w:t xml:space="preserve"> will</w:t>
      </w:r>
      <w:r w:rsidR="4C1794AE" w:rsidRPr="00E8461E">
        <w:t xml:space="preserve"> necessitate adopt</w:t>
      </w:r>
      <w:r w:rsidR="003C69F5" w:rsidRPr="00E8461E">
        <w:rPr>
          <w:rFonts w:ascii="Calibri" w:eastAsia="Calibri" w:hAnsi="Calibri" w:cs="Calibri"/>
        </w:rPr>
        <w:t>ion of</w:t>
      </w:r>
      <w:r w:rsidR="00C87108" w:rsidRPr="00E8461E">
        <w:rPr>
          <w:rFonts w:ascii="Calibri" w:eastAsia="Calibri" w:hAnsi="Calibri" w:cs="Calibri"/>
        </w:rPr>
        <w:t xml:space="preserve"> </w:t>
      </w:r>
      <w:r w:rsidR="4C1794AE" w:rsidRPr="00E8461E">
        <w:rPr>
          <w:rFonts w:ascii="Calibri" w:eastAsia="Calibri" w:hAnsi="Calibri" w:cs="Calibri"/>
        </w:rPr>
        <w:t>alternative and innovative models of care to support more effective use of existing health workers</w:t>
      </w:r>
      <w:r w:rsidR="00DA3FE4" w:rsidRPr="00E8461E">
        <w:rPr>
          <w:rFonts w:ascii="Calibri" w:eastAsia="Calibri" w:hAnsi="Calibri" w:cs="Calibri"/>
        </w:rPr>
        <w:t>.</w:t>
      </w:r>
      <w:r w:rsidR="00D140D3" w:rsidRPr="00E8461E">
        <w:rPr>
          <w:rStyle w:val="EndnoteReference"/>
          <w:rFonts w:ascii="Calibri" w:eastAsia="Calibri" w:hAnsi="Calibri" w:cs="Calibri"/>
        </w:rPr>
        <w:endnoteReference w:id="83"/>
      </w:r>
    </w:p>
    <w:p w14:paraId="5C9293E1" w14:textId="6BC783F5" w:rsidR="00A92E83" w:rsidRPr="00E8461E" w:rsidRDefault="00EE22E5" w:rsidP="5BD354B3">
      <w:r w:rsidRPr="00E8461E">
        <w:t xml:space="preserve">Later in the Strategy, under </w:t>
      </w:r>
      <w:r w:rsidR="00086CA9" w:rsidRPr="00E8461E">
        <w:t>the ‘Workforce, leadership and training’ enabler</w:t>
      </w:r>
      <w:r w:rsidR="00B230B6" w:rsidRPr="00E8461E">
        <w:t xml:space="preserve"> (sec</w:t>
      </w:r>
      <w:r w:rsidR="00094AA2" w:rsidRPr="00E8461E">
        <w:t>tion 7.</w:t>
      </w:r>
      <w:r w:rsidR="00D23B48" w:rsidRPr="00E8461E">
        <w:t>1</w:t>
      </w:r>
      <w:r w:rsidR="00094AA2" w:rsidRPr="00E8461E">
        <w:t>)</w:t>
      </w:r>
      <w:r w:rsidR="00086CA9" w:rsidRPr="00E8461E">
        <w:t xml:space="preserve">, we outline action </w:t>
      </w:r>
      <w:r w:rsidR="005B7F09" w:rsidRPr="00E8461E">
        <w:t xml:space="preserve">the </w:t>
      </w:r>
      <w:r w:rsidR="00694F25" w:rsidRPr="00E8461E">
        <w:t xml:space="preserve">Government </w:t>
      </w:r>
      <w:r w:rsidR="005B7F09" w:rsidRPr="00E8461E">
        <w:t>will take to strengthen workforce resilience from the impacts of climate change.</w:t>
      </w:r>
    </w:p>
    <w:p w14:paraId="57AB5AD9" w14:textId="77777777" w:rsidR="00734E73" w:rsidRPr="00E8461E" w:rsidRDefault="00734E73" w:rsidP="00D80EFD">
      <w:pPr>
        <w:pStyle w:val="Heading4"/>
        <w:rPr>
          <w:iCs w:val="0"/>
        </w:rPr>
      </w:pPr>
      <w:r w:rsidRPr="00E8461E">
        <w:rPr>
          <w:iCs w:val="0"/>
        </w:rPr>
        <w:t>CASE STUDY 2</w:t>
      </w:r>
    </w:p>
    <w:p w14:paraId="63C9152A" w14:textId="77777777" w:rsidR="00734E73" w:rsidRPr="00E8461E" w:rsidRDefault="00734E73" w:rsidP="00734E73">
      <w:pPr>
        <w:rPr>
          <w:b/>
          <w:bCs/>
        </w:rPr>
      </w:pPr>
      <w:r w:rsidRPr="00E8461E">
        <w:rPr>
          <w:b/>
          <w:bCs/>
        </w:rPr>
        <w:t>National Emergency Worker Support Service</w:t>
      </w:r>
    </w:p>
    <w:p w14:paraId="343DE066" w14:textId="77777777" w:rsidR="00734E73" w:rsidRPr="00E8461E" w:rsidRDefault="00734E73" w:rsidP="00734E73">
      <w:r w:rsidRPr="00E8461E">
        <w:t>Climate-related disasters can have a negative impact on the mental health of people in Australia. The emergency services workers and volunteers who respond to these disasters are at greater risk of developing mental illness. 39% of emergency responders are diagnosed with a mental health condition at some point in their life, and these workers are diagnosed with post-traumatic stress disorder (PTSD) at a rate two times higher than the general Australian population.</w:t>
      </w:r>
    </w:p>
    <w:p w14:paraId="44D6715C" w14:textId="77777777" w:rsidR="00734E73" w:rsidRPr="00E8461E" w:rsidRDefault="00734E73" w:rsidP="00734E73">
      <w:r w:rsidRPr="00E8461E">
        <w:t>The Australian Government has funded the establishment of mental health services for people affected by disasters, of which $8 million was provided to the Black Dog Institute for the establishment and delivery of the National Emergency Worker Support Service. This service is available to all emergency services workers – including volunteers and those who are retired – who respond to disasters such as bushfires, floods, and the COVID-19 pandemic.</w:t>
      </w:r>
    </w:p>
    <w:p w14:paraId="601E418B" w14:textId="35D43251" w:rsidR="00734E73" w:rsidRPr="00E8461E" w:rsidRDefault="00734E73" w:rsidP="00734E73">
      <w:pPr>
        <w:pBdr>
          <w:bottom w:val="single" w:sz="12" w:space="1" w:color="008A95" w:themeColor="accent1"/>
        </w:pBdr>
      </w:pPr>
      <w:r w:rsidRPr="00E8461E">
        <w:t>Through the National Emergency Worker Support Service, emergency services workers can access up to twelve sessions with a clinical psychologist free of charge, either face-to-face or via telehealth. They can also access a quick and confidential online mental health check to see how they are feeling and receive a report that identifies their symptoms and provides recommendations for support. The service also provides free evidence-based training to GPs and other health professionals to help diagnose and treat PTSD in emergency services workers.</w:t>
      </w:r>
      <w:r w:rsidR="00A31007" w:rsidRPr="00E8461E">
        <w:rPr>
          <w:rStyle w:val="EndnoteReference"/>
        </w:rPr>
        <w:endnoteReference w:id="84"/>
      </w:r>
    </w:p>
    <w:p w14:paraId="491D6D92" w14:textId="24FDCC47" w:rsidR="006D6DCB" w:rsidRPr="00E8461E" w:rsidRDefault="00906EE5" w:rsidP="00571F10">
      <w:pPr>
        <w:pStyle w:val="Heading3"/>
      </w:pPr>
      <w:bookmarkStart w:id="78" w:name="_Toc147086758"/>
      <w:bookmarkStart w:id="79" w:name="_Toc147502206"/>
      <w:bookmarkStart w:id="80" w:name="_Toc149910003"/>
      <w:bookmarkStart w:id="81" w:name="_Toc149918469"/>
      <w:r w:rsidRPr="00E8461E">
        <w:t>3</w:t>
      </w:r>
      <w:r w:rsidR="006D6DCB" w:rsidRPr="00E8461E" w:rsidDel="008D2BF6">
        <w:t>.</w:t>
      </w:r>
      <w:r w:rsidR="00283464" w:rsidRPr="00E8461E">
        <w:t>4</w:t>
      </w:r>
      <w:r w:rsidR="009B1021" w:rsidRPr="00E8461E" w:rsidDel="008D2BF6">
        <w:t xml:space="preserve">.3 </w:t>
      </w:r>
      <w:r w:rsidR="008A22F2" w:rsidRPr="00E8461E">
        <w:t>Health i</w:t>
      </w:r>
      <w:r w:rsidR="006D6DCB" w:rsidRPr="00E8461E">
        <w:t xml:space="preserve">nfrastructure and supply </w:t>
      </w:r>
      <w:bookmarkEnd w:id="78"/>
      <w:r w:rsidR="005E7B4B" w:rsidRPr="00E8461E">
        <w:t>chains</w:t>
      </w:r>
      <w:bookmarkEnd w:id="79"/>
      <w:bookmarkEnd w:id="80"/>
      <w:bookmarkEnd w:id="81"/>
    </w:p>
    <w:p w14:paraId="4D2583C8" w14:textId="7B06CCC7" w:rsidR="0084510A" w:rsidRPr="00E8461E" w:rsidRDefault="00826A69" w:rsidP="00BF0A47">
      <w:pPr>
        <w:rPr>
          <w:rFonts w:ascii="Calibri" w:eastAsia="Calibri" w:hAnsi="Calibri" w:cs="Calibri"/>
          <w:lang w:val="en-GB"/>
        </w:rPr>
      </w:pPr>
      <w:r w:rsidRPr="00E8461E">
        <w:rPr>
          <w:rFonts w:ascii="Calibri" w:eastAsia="Calibri" w:hAnsi="Calibri" w:cs="Calibri"/>
          <w:lang w:val="en-GB"/>
        </w:rPr>
        <w:t xml:space="preserve">Ensuring </w:t>
      </w:r>
      <w:r w:rsidR="00AA29E1" w:rsidRPr="00E8461E">
        <w:rPr>
          <w:rFonts w:ascii="Calibri" w:eastAsia="Calibri" w:hAnsi="Calibri" w:cs="Calibri"/>
          <w:lang w:val="en-GB"/>
        </w:rPr>
        <w:t>resilience of health</w:t>
      </w:r>
      <w:r w:rsidR="001401CF" w:rsidRPr="00E8461E">
        <w:rPr>
          <w:rFonts w:ascii="Calibri" w:eastAsia="Calibri" w:hAnsi="Calibri" w:cs="Calibri"/>
          <w:lang w:val="en-GB"/>
        </w:rPr>
        <w:t xml:space="preserve"> system infrastructure and supply chains is a precondition</w:t>
      </w:r>
      <w:r w:rsidR="7B05942E" w:rsidRPr="00E8461E">
        <w:rPr>
          <w:rFonts w:ascii="Calibri" w:eastAsia="Calibri" w:hAnsi="Calibri" w:cs="Calibri"/>
          <w:lang w:val="en-GB"/>
        </w:rPr>
        <w:t xml:space="preserve"> of a climate</w:t>
      </w:r>
      <w:r w:rsidR="0027716F" w:rsidRPr="00E8461E">
        <w:rPr>
          <w:rFonts w:ascii="Calibri" w:eastAsia="Calibri" w:hAnsi="Calibri" w:cs="Calibri"/>
          <w:lang w:val="en-GB"/>
        </w:rPr>
        <w:t>-</w:t>
      </w:r>
      <w:r w:rsidR="7B05942E" w:rsidRPr="00E8461E">
        <w:rPr>
          <w:rFonts w:ascii="Calibri" w:eastAsia="Calibri" w:hAnsi="Calibri" w:cs="Calibri"/>
          <w:lang w:val="en-GB"/>
        </w:rPr>
        <w:t xml:space="preserve">resilient health system. This includes ensuring </w:t>
      </w:r>
      <w:r w:rsidR="00710D3C" w:rsidRPr="00E8461E">
        <w:rPr>
          <w:rFonts w:ascii="Calibri" w:eastAsia="Calibri" w:hAnsi="Calibri" w:cs="Calibri"/>
          <w:lang w:val="en-GB"/>
        </w:rPr>
        <w:t xml:space="preserve">land use </w:t>
      </w:r>
      <w:r w:rsidR="004A38CC" w:rsidRPr="00E8461E">
        <w:rPr>
          <w:rFonts w:ascii="Calibri" w:eastAsia="Calibri" w:hAnsi="Calibri" w:cs="Calibri"/>
          <w:lang w:val="en-GB"/>
        </w:rPr>
        <w:t xml:space="preserve">and facility location </w:t>
      </w:r>
      <w:r w:rsidR="00710D3C" w:rsidRPr="00E8461E">
        <w:rPr>
          <w:rFonts w:ascii="Calibri" w:eastAsia="Calibri" w:hAnsi="Calibri" w:cs="Calibri"/>
          <w:lang w:val="en-GB"/>
        </w:rPr>
        <w:t>decisions</w:t>
      </w:r>
      <w:r w:rsidR="001A68ED" w:rsidRPr="00E8461E">
        <w:rPr>
          <w:rFonts w:ascii="Calibri" w:eastAsia="Calibri" w:hAnsi="Calibri" w:cs="Calibri"/>
          <w:lang w:val="en-GB"/>
        </w:rPr>
        <w:t>, storage of medical supplies</w:t>
      </w:r>
      <w:r w:rsidR="002F38FA" w:rsidRPr="00E8461E">
        <w:rPr>
          <w:rFonts w:ascii="Calibri" w:eastAsia="Calibri" w:hAnsi="Calibri" w:cs="Calibri"/>
          <w:lang w:val="en-GB"/>
        </w:rPr>
        <w:t>, records</w:t>
      </w:r>
      <w:r w:rsidR="00B13928" w:rsidRPr="00E8461E">
        <w:rPr>
          <w:rFonts w:ascii="Calibri" w:eastAsia="Calibri" w:hAnsi="Calibri" w:cs="Calibri"/>
          <w:lang w:val="en-GB"/>
        </w:rPr>
        <w:t>,</w:t>
      </w:r>
      <w:r w:rsidR="001A68ED" w:rsidRPr="00E8461E">
        <w:rPr>
          <w:rFonts w:ascii="Calibri" w:eastAsia="Calibri" w:hAnsi="Calibri" w:cs="Calibri"/>
          <w:lang w:val="en-GB"/>
        </w:rPr>
        <w:t xml:space="preserve"> and information,</w:t>
      </w:r>
      <w:r w:rsidR="7B05942E" w:rsidRPr="00E8461E">
        <w:rPr>
          <w:rFonts w:ascii="Calibri" w:eastAsia="Calibri" w:hAnsi="Calibri" w:cs="Calibri"/>
          <w:lang w:val="en-GB"/>
        </w:rPr>
        <w:t xml:space="preserve"> and building codes account for current and future climate risks. Essential environmental services</w:t>
      </w:r>
      <w:r w:rsidR="00685BD8" w:rsidRPr="00E8461E">
        <w:rPr>
          <w:rFonts w:ascii="Calibri" w:eastAsia="Calibri" w:hAnsi="Calibri" w:cs="Calibri"/>
          <w:lang w:val="en-GB"/>
        </w:rPr>
        <w:t xml:space="preserve"> and critical infrastructure</w:t>
      </w:r>
      <w:r w:rsidR="7B05942E" w:rsidRPr="00E8461E">
        <w:rPr>
          <w:rFonts w:ascii="Calibri" w:eastAsia="Calibri" w:hAnsi="Calibri" w:cs="Calibri"/>
          <w:lang w:val="en-GB"/>
        </w:rPr>
        <w:t xml:space="preserve"> such as electricity, clean water and sanitation need to be resilient to extreme weather</w:t>
      </w:r>
      <w:r w:rsidR="005C25ED" w:rsidRPr="00E8461E">
        <w:rPr>
          <w:rFonts w:ascii="Calibri" w:eastAsia="Calibri" w:hAnsi="Calibri" w:cs="Calibri"/>
          <w:lang w:val="en-GB"/>
        </w:rPr>
        <w:t xml:space="preserve"> events</w:t>
      </w:r>
      <w:r w:rsidR="7B05942E" w:rsidRPr="00E8461E">
        <w:rPr>
          <w:rFonts w:ascii="Calibri" w:eastAsia="Calibri" w:hAnsi="Calibri" w:cs="Calibri"/>
          <w:lang w:val="en-GB"/>
        </w:rPr>
        <w:t>.</w:t>
      </w:r>
      <w:r w:rsidR="009453C7" w:rsidRPr="00E8461E">
        <w:rPr>
          <w:rFonts w:ascii="Calibri" w:eastAsia="Calibri" w:hAnsi="Calibri" w:cs="Calibri"/>
          <w:lang w:val="en-GB"/>
        </w:rPr>
        <w:t xml:space="preserve"> </w:t>
      </w:r>
      <w:r w:rsidR="00C22123" w:rsidRPr="00E8461E">
        <w:rPr>
          <w:rFonts w:ascii="Calibri" w:eastAsia="Calibri" w:hAnsi="Calibri" w:cs="Calibri"/>
          <w:lang w:val="en-GB"/>
        </w:rPr>
        <w:t>Measures to</w:t>
      </w:r>
      <w:r w:rsidR="0084510A" w:rsidRPr="00E8461E">
        <w:rPr>
          <w:rFonts w:ascii="Calibri" w:eastAsia="Calibri" w:hAnsi="Calibri" w:cs="Calibri"/>
          <w:lang w:val="en-GB"/>
        </w:rPr>
        <w:t xml:space="preserve"> progress opportunities to embed climate resilience principles in </w:t>
      </w:r>
      <w:r w:rsidR="0084510A" w:rsidRPr="00E8461E">
        <w:rPr>
          <w:rFonts w:ascii="Calibri" w:hAnsi="Calibri" w:cs="Calibri"/>
          <w:lang w:val="en-GB"/>
        </w:rPr>
        <w:t>minimum requirements for the design, construction and performance of new buildings</w:t>
      </w:r>
      <w:r w:rsidR="00C22123" w:rsidRPr="00E8461E">
        <w:rPr>
          <w:rFonts w:ascii="Calibri" w:eastAsia="Calibri" w:hAnsi="Calibri" w:cs="Calibri"/>
          <w:lang w:val="en-GB"/>
        </w:rPr>
        <w:t xml:space="preserve"> </w:t>
      </w:r>
      <w:r w:rsidR="008E3228" w:rsidRPr="00E8461E">
        <w:rPr>
          <w:rFonts w:ascii="Calibri" w:eastAsia="Calibri" w:hAnsi="Calibri" w:cs="Calibri"/>
          <w:lang w:val="en-GB"/>
        </w:rPr>
        <w:t xml:space="preserve">are discussed </w:t>
      </w:r>
      <w:r w:rsidR="005D76CE" w:rsidRPr="00E8461E">
        <w:rPr>
          <w:rFonts w:ascii="Calibri" w:eastAsia="Calibri" w:hAnsi="Calibri" w:cs="Calibri"/>
          <w:lang w:val="en-GB"/>
        </w:rPr>
        <w:t xml:space="preserve">in Chapter </w:t>
      </w:r>
      <w:r w:rsidR="00487915" w:rsidRPr="00E8461E">
        <w:rPr>
          <w:rFonts w:ascii="Calibri" w:eastAsia="Calibri" w:hAnsi="Calibri" w:cs="Calibri"/>
          <w:lang w:val="en-GB"/>
        </w:rPr>
        <w:t>6</w:t>
      </w:r>
      <w:r w:rsidR="005D76CE" w:rsidRPr="00E8461E">
        <w:rPr>
          <w:rFonts w:ascii="Calibri" w:eastAsia="Calibri" w:hAnsi="Calibri" w:cs="Calibri"/>
          <w:lang w:val="en-GB"/>
        </w:rPr>
        <w:t>.</w:t>
      </w:r>
    </w:p>
    <w:p w14:paraId="4901D74D" w14:textId="5BF273F2" w:rsidR="00204B09" w:rsidRPr="00E8461E" w:rsidRDefault="251A2532" w:rsidP="008065B3">
      <w:r w:rsidRPr="00E8461E" w:rsidDel="00D856D5">
        <w:t xml:space="preserve">Well-functioning, resilient supply chains are critical for ensuring ongoing access to essential goods and services for Australians. Over the past few years, Australia’s supply chains have experienced unprecedented disruptions including a global pandemic, extreme weather events and skills shortages. Climate-related supply chain disruptions have the potential to impact the movement of life-saving pharmaceuticals, medical </w:t>
      </w:r>
      <w:proofErr w:type="gramStart"/>
      <w:r w:rsidRPr="00E8461E" w:rsidDel="00D856D5">
        <w:t>devices</w:t>
      </w:r>
      <w:proofErr w:type="gramEnd"/>
      <w:r w:rsidRPr="00E8461E" w:rsidDel="00D856D5">
        <w:t xml:space="preserve"> and personal protective equipment around the country, and in turn affect Australia’s </w:t>
      </w:r>
      <w:r w:rsidRPr="00E8461E" w:rsidDel="00D856D5">
        <w:lastRenderedPageBreak/>
        <w:t>health systems. The Office of Supply Chain Resilience lead</w:t>
      </w:r>
      <w:r w:rsidR="00965B75" w:rsidRPr="00E8461E" w:rsidDel="00D856D5">
        <w:t>s</w:t>
      </w:r>
      <w:r w:rsidRPr="00E8461E" w:rsidDel="00D856D5">
        <w:t xml:space="preserve"> whole-of-government coordination to identify and manage critical vulnerabilities in Australia’s supply chains. This includes working with industry, government</w:t>
      </w:r>
      <w:r w:rsidR="008D2BF6" w:rsidRPr="00E8461E" w:rsidDel="00D856D5">
        <w:t>,</w:t>
      </w:r>
      <w:r w:rsidRPr="00E8461E" w:rsidDel="00D856D5">
        <w:t xml:space="preserve"> and international partners to build resilience in vulnerable and critical supply chains, which if disrupted, would materially impact the health, </w:t>
      </w:r>
      <w:proofErr w:type="gramStart"/>
      <w:r w:rsidRPr="00E8461E" w:rsidDel="00D856D5">
        <w:t>safety</w:t>
      </w:r>
      <w:proofErr w:type="gramEnd"/>
      <w:r w:rsidRPr="00E8461E" w:rsidDel="00D856D5">
        <w:t xml:space="preserve"> and wellbeing of the community, </w:t>
      </w:r>
      <w:r w:rsidR="00AF3BCF" w:rsidRPr="00E8461E">
        <w:t xml:space="preserve">or </w:t>
      </w:r>
      <w:r w:rsidRPr="00E8461E" w:rsidDel="00D856D5">
        <w:t xml:space="preserve">threaten economic stability or national security. </w:t>
      </w:r>
      <w:r w:rsidR="002766EC" w:rsidRPr="00E8461E" w:rsidDel="00D856D5">
        <w:t xml:space="preserve">Other government resources that support supply chain resilience include the </w:t>
      </w:r>
      <w:r w:rsidR="00134210" w:rsidRPr="00E8461E" w:rsidDel="00D856D5">
        <w:t>National Coordination Mechanism</w:t>
      </w:r>
      <w:r w:rsidR="002766EC" w:rsidRPr="00E8461E" w:rsidDel="00D856D5">
        <w:t xml:space="preserve">, which can be utilised for both crisis response and recovery efforts; and </w:t>
      </w:r>
      <w:r w:rsidR="47E77EBC" w:rsidRPr="00E8461E" w:rsidDel="00D856D5">
        <w:t>the National Medical Stockpile</w:t>
      </w:r>
      <w:r w:rsidR="002766EC" w:rsidRPr="00E8461E" w:rsidDel="00D856D5">
        <w:t xml:space="preserve">, which </w:t>
      </w:r>
      <w:r w:rsidR="47E77EBC" w:rsidRPr="00E8461E" w:rsidDel="00D856D5">
        <w:t xml:space="preserve">provides a strategic reserve of </w:t>
      </w:r>
      <w:r w:rsidR="003F6A9F" w:rsidRPr="00E8461E" w:rsidDel="00D856D5">
        <w:t>medicines</w:t>
      </w:r>
      <w:r w:rsidR="47E77EBC" w:rsidRPr="00E8461E" w:rsidDel="00D856D5">
        <w:t xml:space="preserve">, vaccines, </w:t>
      </w:r>
      <w:proofErr w:type="gramStart"/>
      <w:r w:rsidR="47E77EBC" w:rsidRPr="00E8461E" w:rsidDel="00D856D5">
        <w:t>antidotes</w:t>
      </w:r>
      <w:proofErr w:type="gramEnd"/>
      <w:r w:rsidR="47E77EBC" w:rsidRPr="00E8461E" w:rsidDel="00D856D5">
        <w:t xml:space="preserve"> and personal protective equipment for use in national health emerge</w:t>
      </w:r>
      <w:r w:rsidR="2759E616" w:rsidRPr="00E8461E" w:rsidDel="00D856D5">
        <w:t>ncies</w:t>
      </w:r>
      <w:r w:rsidR="00EE1236" w:rsidRPr="00E8461E" w:rsidDel="00D856D5">
        <w:t>.</w:t>
      </w:r>
    </w:p>
    <w:p w14:paraId="3AB37F70" w14:textId="771049B0" w:rsidR="00BA055E" w:rsidRPr="00E8461E" w:rsidRDefault="00974CB2" w:rsidP="008065B3">
      <w:r w:rsidRPr="00E8461E">
        <w:t xml:space="preserve">Both infrastructure and supply chain resilience </w:t>
      </w:r>
      <w:r w:rsidR="00D718C6" w:rsidRPr="00E8461E">
        <w:t>are</w:t>
      </w:r>
      <w:r w:rsidR="00C662BC" w:rsidRPr="00E8461E">
        <w:t xml:space="preserve"> important </w:t>
      </w:r>
      <w:r w:rsidR="00446E0D" w:rsidRPr="00E8461E">
        <w:t xml:space="preserve">considerations in </w:t>
      </w:r>
      <w:r w:rsidR="008D12B4" w:rsidRPr="00E8461E">
        <w:t>climate and health risk assessment</w:t>
      </w:r>
      <w:r w:rsidR="00D718C6" w:rsidRPr="00E8461E">
        <w:t xml:space="preserve"> and adaptation planning</w:t>
      </w:r>
      <w:r w:rsidR="001C3711" w:rsidRPr="00E8461E">
        <w:t xml:space="preserve"> and will be considered in </w:t>
      </w:r>
      <w:r w:rsidR="002204A8" w:rsidRPr="00E8461E">
        <w:t xml:space="preserve">the development of </w:t>
      </w:r>
      <w:r w:rsidR="00D718C6" w:rsidRPr="00E8461E">
        <w:t xml:space="preserve">relevant </w:t>
      </w:r>
      <w:r w:rsidR="002204A8" w:rsidRPr="00E8461E">
        <w:t xml:space="preserve">guidance </w:t>
      </w:r>
      <w:r w:rsidR="00D718C6" w:rsidRPr="00E8461E">
        <w:t>by the Australian Government</w:t>
      </w:r>
      <w:bookmarkStart w:id="82" w:name="_Hlk151984599"/>
      <w:r w:rsidR="003956AA" w:rsidRPr="00E8461E">
        <w:t xml:space="preserve">, including that discussed in </w:t>
      </w:r>
      <w:r w:rsidR="009A6E4F" w:rsidRPr="00E8461E">
        <w:t>Action 3.3</w:t>
      </w:r>
      <w:bookmarkEnd w:id="82"/>
      <w:r w:rsidR="00D718C6" w:rsidRPr="00E8461E">
        <w:t>.</w:t>
      </w:r>
    </w:p>
    <w:p w14:paraId="4A8D798B" w14:textId="77777777" w:rsidR="00734E73" w:rsidRPr="00E8461E" w:rsidRDefault="00734E73" w:rsidP="00D80EFD">
      <w:pPr>
        <w:pStyle w:val="Heading4"/>
        <w:rPr>
          <w:iCs w:val="0"/>
        </w:rPr>
      </w:pPr>
      <w:r w:rsidRPr="00E8461E">
        <w:rPr>
          <w:iCs w:val="0"/>
        </w:rPr>
        <w:t>Case study 3</w:t>
      </w:r>
    </w:p>
    <w:p w14:paraId="307CB3BF" w14:textId="77777777" w:rsidR="00734E73" w:rsidRPr="00E8461E" w:rsidRDefault="00734E73" w:rsidP="00734E73">
      <w:pPr>
        <w:spacing w:line="257" w:lineRule="auto"/>
        <w:rPr>
          <w:rFonts w:ascii="Calibri" w:eastAsia="Calibri" w:hAnsi="Calibri" w:cs="Calibri"/>
          <w:b/>
          <w:lang w:val="en-GB"/>
        </w:rPr>
      </w:pPr>
      <w:r w:rsidRPr="00E8461E">
        <w:rPr>
          <w:rFonts w:ascii="Calibri" w:eastAsia="Calibri" w:hAnsi="Calibri" w:cs="Calibri"/>
          <w:b/>
          <w:lang w:val="en-GB"/>
        </w:rPr>
        <w:t>Purple House: recycling water for remote haemodialysis</w:t>
      </w:r>
    </w:p>
    <w:p w14:paraId="3B086F98" w14:textId="77777777" w:rsidR="00734E73" w:rsidRPr="00E8461E" w:rsidRDefault="00734E73" w:rsidP="00734E73">
      <w:pPr>
        <w:rPr>
          <w:lang w:val="en-GB"/>
        </w:rPr>
      </w:pPr>
      <w:r w:rsidRPr="00E8461E">
        <w:rPr>
          <w:lang w:val="en-GB"/>
        </w:rPr>
        <w:t>For First Nations people living in rural regions, accessing haemodialysis treatment can be a challenge. Individuals who require haemodialysis must undergo five hours of treatment three times a week. Haemodialysis treatment requires around 400 litres of very clean water per patient per week to operate.</w:t>
      </w:r>
      <w:r w:rsidRPr="00E8461E">
        <w:rPr>
          <w:rStyle w:val="EndnoteReference"/>
          <w:lang w:val="en-GB"/>
        </w:rPr>
        <w:endnoteReference w:id="85"/>
      </w:r>
      <w:r w:rsidRPr="00E8461E">
        <w:rPr>
          <w:lang w:val="en-GB"/>
        </w:rPr>
        <w:t>Where treatment is unavailable locally because of water insecurity, First Nations individuals diagnosed with kidney failure must permanently relocate to town or frequently travel great distances to access life-saving treatment.</w:t>
      </w:r>
    </w:p>
    <w:p w14:paraId="4DADDF74" w14:textId="77777777" w:rsidR="00734E73" w:rsidRPr="00E8461E" w:rsidRDefault="00734E73" w:rsidP="00734E73">
      <w:pPr>
        <w:rPr>
          <w:lang w:val="en-GB"/>
        </w:rPr>
      </w:pPr>
      <w:r w:rsidRPr="00E8461E">
        <w:rPr>
          <w:lang w:val="en-GB"/>
        </w:rPr>
        <w:t>Purple House</w:t>
      </w:r>
      <w:r w:rsidRPr="00E8461E" w:rsidDel="00230DB9">
        <w:rPr>
          <w:lang w:val="en-GB"/>
        </w:rPr>
        <w:t xml:space="preserve">, </w:t>
      </w:r>
      <w:r w:rsidRPr="00E8461E">
        <w:rPr>
          <w:lang w:val="en-GB"/>
        </w:rPr>
        <w:t xml:space="preserve">also known as Western Desert </w:t>
      </w:r>
      <w:proofErr w:type="spellStart"/>
      <w:r w:rsidRPr="00E8461E">
        <w:rPr>
          <w:lang w:val="en-GB"/>
        </w:rPr>
        <w:t>Nganampa</w:t>
      </w:r>
      <w:proofErr w:type="spellEnd"/>
      <w:r w:rsidRPr="00E8461E">
        <w:rPr>
          <w:lang w:val="en-GB"/>
        </w:rPr>
        <w:t xml:space="preserve"> </w:t>
      </w:r>
      <w:proofErr w:type="spellStart"/>
      <w:r w:rsidRPr="00E8461E">
        <w:rPr>
          <w:lang w:val="en-GB"/>
        </w:rPr>
        <w:t>Walytja</w:t>
      </w:r>
      <w:proofErr w:type="spellEnd"/>
      <w:r w:rsidRPr="00E8461E">
        <w:rPr>
          <w:lang w:val="en-GB"/>
        </w:rPr>
        <w:t xml:space="preserve"> </w:t>
      </w:r>
      <w:proofErr w:type="spellStart"/>
      <w:r w:rsidRPr="00E8461E">
        <w:rPr>
          <w:lang w:val="en-GB"/>
        </w:rPr>
        <w:t>Palyantjaku</w:t>
      </w:r>
      <w:proofErr w:type="spellEnd"/>
      <w:r w:rsidRPr="00E8461E">
        <w:rPr>
          <w:lang w:val="en-GB"/>
        </w:rPr>
        <w:t xml:space="preserve"> </w:t>
      </w:r>
      <w:proofErr w:type="spellStart"/>
      <w:r w:rsidRPr="00E8461E">
        <w:rPr>
          <w:lang w:val="en-GB"/>
        </w:rPr>
        <w:t>Tjutaku</w:t>
      </w:r>
      <w:proofErr w:type="spellEnd"/>
      <w:r w:rsidRPr="00E8461E">
        <w:rPr>
          <w:lang w:val="en-GB"/>
        </w:rPr>
        <w:t xml:space="preserve"> Aboriginal Corporation, established a new model of care to resolve this problem.</w:t>
      </w:r>
      <w:r w:rsidRPr="00E8461E" w:rsidDel="00CF6C7E">
        <w:rPr>
          <w:lang w:val="en-GB"/>
        </w:rPr>
        <w:t xml:space="preserve"> </w:t>
      </w:r>
      <w:r w:rsidRPr="00E8461E">
        <w:rPr>
          <w:lang w:val="en-GB"/>
        </w:rPr>
        <w:t xml:space="preserve">Purple House runs 19 remote dialysis clinics, meaning people can receive treatment whilst remaining in community. For those requiring more hands-on care, the Purple Truck mobile dialysis unit allows patients to travel home to spend time with family or attend festivals or funerals. Being able to spend more time at home supports patients </w:t>
      </w:r>
      <w:r w:rsidRPr="00E8461E" w:rsidDel="004002C4">
        <w:rPr>
          <w:lang w:val="en-GB"/>
        </w:rPr>
        <w:t xml:space="preserve">to </w:t>
      </w:r>
      <w:r w:rsidRPr="00E8461E">
        <w:rPr>
          <w:lang w:val="en-GB"/>
        </w:rPr>
        <w:t>maintain health, which is compromised by being away from C</w:t>
      </w:r>
      <w:r w:rsidRPr="00E8461E" w:rsidDel="003529F4">
        <w:rPr>
          <w:lang w:val="en-GB"/>
        </w:rPr>
        <w:t>ountry</w:t>
      </w:r>
      <w:r w:rsidRPr="00E8461E">
        <w:rPr>
          <w:lang w:val="en-GB"/>
        </w:rPr>
        <w:t>.</w:t>
      </w:r>
    </w:p>
    <w:p w14:paraId="46E7ED75" w14:textId="226238B0" w:rsidR="00734E73" w:rsidRPr="00E8461E" w:rsidRDefault="00734E73" w:rsidP="00734E73">
      <w:pPr>
        <w:pBdr>
          <w:bottom w:val="single" w:sz="12" w:space="1" w:color="008A95" w:themeColor="accent1"/>
        </w:pBdr>
      </w:pPr>
      <w:r w:rsidRPr="00E8461E">
        <w:rPr>
          <w:lang w:val="en-GB"/>
        </w:rPr>
        <w:t>In 2022 Purple House biomedical engineer Michael Smith discovered that the water used in dialysis could be purified through a process called reverse osmosis. This technology was adopted by Purple House in all their newly built remote clinics and retrofitted in clinics facing water insecurity.</w:t>
      </w:r>
      <w:r w:rsidRPr="00E8461E">
        <w:rPr>
          <w:rStyle w:val="EndnoteReference"/>
          <w:lang w:val="en-GB"/>
        </w:rPr>
        <w:endnoteReference w:id="86"/>
      </w:r>
      <w:r w:rsidRPr="00E8461E">
        <w:rPr>
          <w:lang w:val="en-GB"/>
        </w:rPr>
        <w:t xml:space="preserve"> A large amount of the dialysis water could be reused to offset Purple House’s town water consumption. Purple House’s innovation has strengthened water security in many communities, allowing residents to preserve water for drinking and household use. The water recycling technique and the mobility of the Purple Truck ensures access to essential treatment in remote communities where there are water shortages due to drought or other reasons.</w:t>
      </w:r>
    </w:p>
    <w:p w14:paraId="3FD274B2" w14:textId="4AFE05DE" w:rsidR="007E4CE7" w:rsidRPr="00E8461E" w:rsidRDefault="00906EE5" w:rsidP="00571F10">
      <w:pPr>
        <w:pStyle w:val="Heading3"/>
      </w:pPr>
      <w:bookmarkStart w:id="83" w:name="_Toc147502208"/>
      <w:bookmarkStart w:id="84" w:name="_Toc147086760"/>
      <w:bookmarkStart w:id="85" w:name="_Toc149910005"/>
      <w:bookmarkStart w:id="86" w:name="_Toc149918471"/>
      <w:r w:rsidRPr="00E8461E">
        <w:t>3</w:t>
      </w:r>
      <w:r w:rsidR="00105C65" w:rsidRPr="00E8461E">
        <w:t>.</w:t>
      </w:r>
      <w:r w:rsidR="00283464" w:rsidRPr="00E8461E">
        <w:t>4</w:t>
      </w:r>
      <w:r w:rsidR="00105C65" w:rsidRPr="00E8461E">
        <w:t>.</w:t>
      </w:r>
      <w:r w:rsidR="00660E87" w:rsidRPr="00E8461E">
        <w:t>4</w:t>
      </w:r>
      <w:r w:rsidR="00B174CB" w:rsidRPr="00E8461E">
        <w:t xml:space="preserve"> </w:t>
      </w:r>
      <w:r w:rsidR="00AA295F" w:rsidRPr="00E8461E">
        <w:t>Health emergency</w:t>
      </w:r>
      <w:r w:rsidR="004F7D0F" w:rsidRPr="00E8461E">
        <w:t xml:space="preserve"> preparedness, response</w:t>
      </w:r>
      <w:r w:rsidR="000D6322" w:rsidRPr="00E8461E">
        <w:t>,</w:t>
      </w:r>
      <w:r w:rsidR="004F7D0F" w:rsidRPr="00E8461E">
        <w:t xml:space="preserve"> and recovery</w:t>
      </w:r>
      <w:bookmarkEnd w:id="83"/>
      <w:bookmarkEnd w:id="84"/>
      <w:bookmarkEnd w:id="85"/>
      <w:bookmarkEnd w:id="86"/>
    </w:p>
    <w:p w14:paraId="0D8C33A5" w14:textId="0064A7BB" w:rsidR="00BA055E" w:rsidRPr="00E8461E" w:rsidRDefault="000C3294" w:rsidP="00FF118F">
      <w:pPr>
        <w:rPr>
          <w:lang w:val="en-GB"/>
        </w:rPr>
      </w:pPr>
      <w:r w:rsidRPr="00E8461E">
        <w:rPr>
          <w:lang w:val="en-GB"/>
        </w:rPr>
        <w:t>A consequence of i</w:t>
      </w:r>
      <w:r w:rsidR="00FB293F" w:rsidRPr="00E8461E">
        <w:rPr>
          <w:lang w:val="en-GB"/>
        </w:rPr>
        <w:t xml:space="preserve">ncreased climate-related disasters and </w:t>
      </w:r>
      <w:r w:rsidR="00CE013D" w:rsidRPr="00E8461E">
        <w:rPr>
          <w:lang w:val="en-GB"/>
        </w:rPr>
        <w:t>severe</w:t>
      </w:r>
      <w:r w:rsidR="00FB293F" w:rsidRPr="00E8461E">
        <w:rPr>
          <w:lang w:val="en-GB"/>
        </w:rPr>
        <w:t xml:space="preserve"> weather events (such as storms, fires, floods</w:t>
      </w:r>
      <w:r w:rsidR="00941A01" w:rsidRPr="00E8461E">
        <w:rPr>
          <w:lang w:val="en-GB"/>
        </w:rPr>
        <w:t>,</w:t>
      </w:r>
      <w:r w:rsidR="00FB293F" w:rsidRPr="00E8461E">
        <w:rPr>
          <w:lang w:val="en-GB"/>
        </w:rPr>
        <w:t xml:space="preserve"> and droughts) </w:t>
      </w:r>
      <w:r w:rsidRPr="00E8461E">
        <w:rPr>
          <w:lang w:val="en-GB"/>
        </w:rPr>
        <w:t>is more</w:t>
      </w:r>
      <w:r w:rsidR="004E0FC9" w:rsidRPr="00E8461E">
        <w:rPr>
          <w:lang w:val="en-GB"/>
        </w:rPr>
        <w:t xml:space="preserve"> frequent and severe </w:t>
      </w:r>
      <w:r w:rsidR="00705E0B" w:rsidRPr="00E8461E">
        <w:rPr>
          <w:lang w:val="en-GB"/>
        </w:rPr>
        <w:t>health emergencies.</w:t>
      </w:r>
      <w:r w:rsidR="00DD59A7" w:rsidRPr="00E8461E">
        <w:rPr>
          <w:lang w:val="en-GB"/>
        </w:rPr>
        <w:t xml:space="preserve"> These</w:t>
      </w:r>
      <w:r w:rsidR="00DF709B" w:rsidRPr="00E8461E">
        <w:rPr>
          <w:lang w:val="en-GB"/>
        </w:rPr>
        <w:t xml:space="preserve"> events </w:t>
      </w:r>
      <w:r w:rsidR="00E47105" w:rsidRPr="00E8461E">
        <w:rPr>
          <w:lang w:val="en-GB"/>
        </w:rPr>
        <w:t xml:space="preserve">can </w:t>
      </w:r>
      <w:r w:rsidR="000A3546" w:rsidRPr="00E8461E">
        <w:rPr>
          <w:lang w:val="en-GB"/>
        </w:rPr>
        <w:t xml:space="preserve">have significant </w:t>
      </w:r>
      <w:r w:rsidR="00E314A4" w:rsidRPr="00E8461E">
        <w:rPr>
          <w:lang w:val="en-GB"/>
        </w:rPr>
        <w:t xml:space="preserve">direct </w:t>
      </w:r>
      <w:r w:rsidR="000A3546" w:rsidRPr="00E8461E">
        <w:rPr>
          <w:lang w:val="en-GB"/>
        </w:rPr>
        <w:t xml:space="preserve">impacts on </w:t>
      </w:r>
      <w:r w:rsidR="000F7E48" w:rsidRPr="00E8461E">
        <w:rPr>
          <w:lang w:val="en-GB"/>
        </w:rPr>
        <w:t>health</w:t>
      </w:r>
      <w:r w:rsidR="00D045CA" w:rsidRPr="00E8461E">
        <w:rPr>
          <w:lang w:val="en-GB"/>
        </w:rPr>
        <w:t xml:space="preserve"> and </w:t>
      </w:r>
      <w:r w:rsidR="000F7E48" w:rsidRPr="00E8461E">
        <w:rPr>
          <w:lang w:val="en-GB"/>
        </w:rPr>
        <w:t xml:space="preserve">wellbeing, </w:t>
      </w:r>
      <w:r w:rsidR="00D045CA" w:rsidRPr="00E8461E">
        <w:rPr>
          <w:lang w:val="en-GB"/>
        </w:rPr>
        <w:t>including</w:t>
      </w:r>
      <w:r w:rsidR="00D822C9" w:rsidRPr="00E8461E">
        <w:rPr>
          <w:lang w:val="en-GB"/>
        </w:rPr>
        <w:t xml:space="preserve"> i</w:t>
      </w:r>
      <w:r w:rsidR="00CB2599" w:rsidRPr="00E8461E">
        <w:rPr>
          <w:lang w:val="en-GB"/>
        </w:rPr>
        <w:t>njuries</w:t>
      </w:r>
      <w:r w:rsidR="00564BFB" w:rsidRPr="00E8461E">
        <w:rPr>
          <w:lang w:val="en-GB"/>
        </w:rPr>
        <w:t xml:space="preserve"> and mortality,</w:t>
      </w:r>
      <w:r w:rsidR="00CB2599" w:rsidRPr="00E8461E">
        <w:rPr>
          <w:lang w:val="en-GB"/>
        </w:rPr>
        <w:t xml:space="preserve"> </w:t>
      </w:r>
      <w:r w:rsidR="0034529A" w:rsidRPr="00E8461E">
        <w:rPr>
          <w:lang w:val="en-GB"/>
        </w:rPr>
        <w:t xml:space="preserve">increases in </w:t>
      </w:r>
      <w:r w:rsidR="00DA0ADA" w:rsidRPr="00E8461E">
        <w:rPr>
          <w:lang w:val="en-GB"/>
        </w:rPr>
        <w:t xml:space="preserve">climate-sensitive non-communicable </w:t>
      </w:r>
      <w:r w:rsidR="00D822C9" w:rsidRPr="00E8461E">
        <w:rPr>
          <w:lang w:val="en-GB"/>
        </w:rPr>
        <w:t>disease, c</w:t>
      </w:r>
      <w:r w:rsidR="00114D67" w:rsidRPr="00E8461E">
        <w:rPr>
          <w:lang w:val="en-GB"/>
        </w:rPr>
        <w:t>ommunicable disease outbreaks</w:t>
      </w:r>
      <w:r w:rsidR="00DE08C3" w:rsidRPr="00E8461E">
        <w:rPr>
          <w:lang w:val="en-GB"/>
        </w:rPr>
        <w:t>,</w:t>
      </w:r>
      <w:r w:rsidR="00114D67" w:rsidRPr="00E8461E">
        <w:rPr>
          <w:lang w:val="en-GB"/>
        </w:rPr>
        <w:t xml:space="preserve"> </w:t>
      </w:r>
      <w:r w:rsidR="00D822C9" w:rsidRPr="00E8461E">
        <w:rPr>
          <w:lang w:val="en-GB"/>
        </w:rPr>
        <w:t>and psychological distress</w:t>
      </w:r>
      <w:r w:rsidR="004F6AA9" w:rsidRPr="00E8461E">
        <w:rPr>
          <w:lang w:val="en-GB"/>
        </w:rPr>
        <w:t>, and so increase demand for health and care services. These events</w:t>
      </w:r>
      <w:r w:rsidR="0091573C" w:rsidRPr="00E8461E">
        <w:rPr>
          <w:lang w:val="en-GB"/>
        </w:rPr>
        <w:t xml:space="preserve"> can also d</w:t>
      </w:r>
      <w:r w:rsidR="00032C7C" w:rsidRPr="00E8461E">
        <w:rPr>
          <w:lang w:val="en-GB"/>
        </w:rPr>
        <w:t>isrupt</w:t>
      </w:r>
      <w:r w:rsidR="00285ECF" w:rsidRPr="00E8461E">
        <w:rPr>
          <w:lang w:val="en-GB"/>
        </w:rPr>
        <w:t xml:space="preserve"> </w:t>
      </w:r>
      <w:r w:rsidR="00E314A4" w:rsidRPr="00E8461E">
        <w:rPr>
          <w:lang w:val="en-GB"/>
        </w:rPr>
        <w:t xml:space="preserve">health system </w:t>
      </w:r>
      <w:r w:rsidR="0091573C" w:rsidRPr="00E8461E">
        <w:rPr>
          <w:lang w:val="en-GB"/>
        </w:rPr>
        <w:t xml:space="preserve">performance </w:t>
      </w:r>
      <w:r w:rsidR="00B7074D" w:rsidRPr="00E8461E">
        <w:rPr>
          <w:lang w:val="en-GB"/>
        </w:rPr>
        <w:t>through</w:t>
      </w:r>
      <w:r w:rsidR="008F350A" w:rsidRPr="00E8461E">
        <w:rPr>
          <w:lang w:val="en-GB"/>
        </w:rPr>
        <w:t xml:space="preserve"> </w:t>
      </w:r>
      <w:r w:rsidR="008927DB" w:rsidRPr="00E8461E">
        <w:rPr>
          <w:lang w:val="en-GB"/>
        </w:rPr>
        <w:t>impacts on</w:t>
      </w:r>
      <w:r w:rsidR="00FA7280" w:rsidRPr="00E8461E">
        <w:rPr>
          <w:lang w:val="en-GB"/>
        </w:rPr>
        <w:t xml:space="preserve"> </w:t>
      </w:r>
      <w:r w:rsidR="00410394" w:rsidRPr="00E8461E">
        <w:rPr>
          <w:lang w:val="en-GB"/>
        </w:rPr>
        <w:t>essential services</w:t>
      </w:r>
      <w:r w:rsidR="008927DB" w:rsidRPr="00E8461E">
        <w:rPr>
          <w:lang w:val="en-GB"/>
        </w:rPr>
        <w:t>,</w:t>
      </w:r>
      <w:r w:rsidR="00410394" w:rsidRPr="00E8461E">
        <w:rPr>
          <w:lang w:val="en-GB"/>
        </w:rPr>
        <w:t xml:space="preserve"> supply chains</w:t>
      </w:r>
      <w:r w:rsidR="00EA3C7D" w:rsidRPr="00E8461E">
        <w:rPr>
          <w:lang w:val="en-GB"/>
        </w:rPr>
        <w:t>, infrastructure</w:t>
      </w:r>
      <w:r w:rsidR="00B7074D" w:rsidRPr="00E8461E">
        <w:rPr>
          <w:lang w:val="en-GB"/>
        </w:rPr>
        <w:t>,</w:t>
      </w:r>
      <w:r w:rsidR="00EA3C7D" w:rsidRPr="00E8461E">
        <w:rPr>
          <w:lang w:val="en-GB"/>
        </w:rPr>
        <w:t xml:space="preserve"> </w:t>
      </w:r>
      <w:r w:rsidR="00EC391E" w:rsidRPr="00E8461E">
        <w:rPr>
          <w:lang w:val="en-GB"/>
        </w:rPr>
        <w:t xml:space="preserve">ambulance services, </w:t>
      </w:r>
      <w:r w:rsidR="00EA3C7D" w:rsidRPr="00E8461E">
        <w:rPr>
          <w:lang w:val="en-GB"/>
        </w:rPr>
        <w:t>and workforce.</w:t>
      </w:r>
      <w:r w:rsidR="00725A01" w:rsidRPr="00E8461E">
        <w:rPr>
          <w:lang w:val="en-GB"/>
        </w:rPr>
        <w:t xml:space="preserve"> In this </w:t>
      </w:r>
      <w:r w:rsidR="00725A01" w:rsidRPr="00E8461E">
        <w:rPr>
          <w:lang w:val="en-GB"/>
        </w:rPr>
        <w:lastRenderedPageBreak/>
        <w:t xml:space="preserve">context, </w:t>
      </w:r>
      <w:r w:rsidR="009026F2" w:rsidRPr="00E8461E">
        <w:rPr>
          <w:lang w:val="en-GB"/>
        </w:rPr>
        <w:t xml:space="preserve">proactive, </w:t>
      </w:r>
      <w:r w:rsidR="00725A01" w:rsidRPr="00E8461E">
        <w:rPr>
          <w:lang w:val="en-GB"/>
        </w:rPr>
        <w:t>effective</w:t>
      </w:r>
      <w:r w:rsidR="009026F2" w:rsidRPr="00E8461E">
        <w:rPr>
          <w:lang w:val="en-GB"/>
        </w:rPr>
        <w:t>,</w:t>
      </w:r>
      <w:r w:rsidR="00725A01" w:rsidRPr="00E8461E">
        <w:rPr>
          <w:lang w:val="en-GB"/>
        </w:rPr>
        <w:t xml:space="preserve"> and efficient health emergency</w:t>
      </w:r>
      <w:r w:rsidR="00725A01" w:rsidRPr="00E8461E" w:rsidDel="00503306">
        <w:rPr>
          <w:lang w:val="en-GB"/>
        </w:rPr>
        <w:t xml:space="preserve"> </w:t>
      </w:r>
      <w:r w:rsidR="00725A01" w:rsidRPr="00E8461E">
        <w:rPr>
          <w:lang w:val="en-GB"/>
        </w:rPr>
        <w:t>planning</w:t>
      </w:r>
      <w:r w:rsidR="00503306" w:rsidRPr="00E8461E">
        <w:rPr>
          <w:lang w:val="en-GB"/>
        </w:rPr>
        <w:t>, preparation, response</w:t>
      </w:r>
      <w:r w:rsidR="00A844A1" w:rsidRPr="00E8461E">
        <w:rPr>
          <w:lang w:val="en-GB"/>
        </w:rPr>
        <w:t>, and review</w:t>
      </w:r>
      <w:r w:rsidR="00725A01" w:rsidRPr="00E8461E">
        <w:rPr>
          <w:lang w:val="en-GB"/>
        </w:rPr>
        <w:t xml:space="preserve"> is increasingly important.</w:t>
      </w:r>
    </w:p>
    <w:p w14:paraId="5A1CDBB7" w14:textId="2737C7D4" w:rsidR="00C46844" w:rsidRPr="00E8461E" w:rsidRDefault="00FF118F" w:rsidP="00FF118F">
      <w:pPr>
        <w:rPr>
          <w:lang w:val="en-GB"/>
        </w:rPr>
      </w:pPr>
      <w:r w:rsidRPr="00E8461E">
        <w:rPr>
          <w:lang w:val="en-GB"/>
        </w:rPr>
        <w:t xml:space="preserve">The Australian Government is working to reduce disaster </w:t>
      </w:r>
      <w:r w:rsidR="00DF13EE" w:rsidRPr="00E8461E">
        <w:rPr>
          <w:lang w:val="en-GB"/>
        </w:rPr>
        <w:t>risks</w:t>
      </w:r>
      <w:r w:rsidRPr="00E8461E">
        <w:rPr>
          <w:lang w:val="en-GB"/>
        </w:rPr>
        <w:t xml:space="preserve"> and strengthen resilience</w:t>
      </w:r>
      <w:r w:rsidRPr="00E8461E">
        <w:t xml:space="preserve"> </w:t>
      </w:r>
      <w:r w:rsidR="0041251F" w:rsidRPr="00E8461E">
        <w:t xml:space="preserve">across the disaster continuum – from response and recovery to overall risk reduction. </w:t>
      </w:r>
      <w:r w:rsidR="00B538DB" w:rsidRPr="00E8461E">
        <w:rPr>
          <w:lang w:val="en-GB"/>
        </w:rPr>
        <w:t xml:space="preserve">The National Health and Climate Strategy will contribute to and support numerous other initiatives </w:t>
      </w:r>
      <w:r w:rsidR="006A6E26" w:rsidRPr="00E8461E">
        <w:rPr>
          <w:lang w:val="en-GB"/>
        </w:rPr>
        <w:t xml:space="preserve">to optimise </w:t>
      </w:r>
      <w:r w:rsidR="006A26FB" w:rsidRPr="00E8461E">
        <w:rPr>
          <w:lang w:val="en-GB"/>
        </w:rPr>
        <w:t>emergency preparedness, response</w:t>
      </w:r>
      <w:r w:rsidR="00FA5E11" w:rsidRPr="00E8461E">
        <w:rPr>
          <w:lang w:val="en-GB"/>
        </w:rPr>
        <w:t>,</w:t>
      </w:r>
      <w:r w:rsidR="006A26FB" w:rsidRPr="00E8461E">
        <w:rPr>
          <w:lang w:val="en-GB"/>
        </w:rPr>
        <w:t xml:space="preserve"> and recovery. </w:t>
      </w:r>
      <w:r w:rsidR="0041251F" w:rsidRPr="00E8461E">
        <w:t xml:space="preserve">The National Emergency Management Agency was established </w:t>
      </w:r>
      <w:r w:rsidR="004E1323" w:rsidRPr="00E8461E">
        <w:t xml:space="preserve">in </w:t>
      </w:r>
      <w:r w:rsidR="0041251F" w:rsidRPr="00E8461E">
        <w:t>2022</w:t>
      </w:r>
      <w:r w:rsidR="004B317D" w:rsidRPr="00E8461E">
        <w:t xml:space="preserve"> to manage Australia’s disaster and emergency management efforts</w:t>
      </w:r>
      <w:r w:rsidR="006A26FB" w:rsidRPr="00E8461E">
        <w:t xml:space="preserve">, and is </w:t>
      </w:r>
      <w:r w:rsidR="0034751F" w:rsidRPr="00E8461E">
        <w:t xml:space="preserve">administering </w:t>
      </w:r>
      <w:r w:rsidRPr="00E8461E">
        <w:rPr>
          <w:lang w:val="en-GB"/>
        </w:rPr>
        <w:t xml:space="preserve">the </w:t>
      </w:r>
      <w:r w:rsidR="00316778" w:rsidRPr="00E8461E">
        <w:rPr>
          <w:lang w:val="en-GB"/>
        </w:rPr>
        <w:t>Second National Action Plan to implement</w:t>
      </w:r>
      <w:r w:rsidRPr="00E8461E">
        <w:rPr>
          <w:lang w:val="en-GB"/>
        </w:rPr>
        <w:t xml:space="preserve"> National Disaster Risk Reduction Framework</w:t>
      </w:r>
      <w:r w:rsidR="00DF13EE" w:rsidRPr="00E8461E">
        <w:rPr>
          <w:lang w:val="en-GB"/>
        </w:rPr>
        <w:t xml:space="preserve">, which </w:t>
      </w:r>
      <w:r w:rsidRPr="00E8461E">
        <w:rPr>
          <w:lang w:val="en-GB"/>
        </w:rPr>
        <w:t>aims to coordinate and align “whole-of-nation” efforts to reduce systemic disaster risk to create stronger, more secure, and more resilient communities before, during and after disasters</w:t>
      </w:r>
      <w:r w:rsidR="00D9751A" w:rsidRPr="00E8461E">
        <w:rPr>
          <w:lang w:val="en-GB"/>
        </w:rPr>
        <w:t>.</w:t>
      </w:r>
      <w:r w:rsidR="00D9751A" w:rsidRPr="00E8461E">
        <w:rPr>
          <w:rStyle w:val="EndnoteReference"/>
          <w:lang w:val="en-GB"/>
        </w:rPr>
        <w:endnoteReference w:id="87"/>
      </w:r>
      <w:r w:rsidRPr="00E8461E">
        <w:rPr>
          <w:lang w:val="en-GB"/>
        </w:rPr>
        <w:t xml:space="preserve"> </w:t>
      </w:r>
      <w:r w:rsidR="000E33B3" w:rsidRPr="00E8461E">
        <w:rPr>
          <w:lang w:val="en-GB"/>
        </w:rPr>
        <w:t>Other key initiatives include</w:t>
      </w:r>
      <w:r w:rsidR="00B2380D" w:rsidRPr="00E8461E">
        <w:rPr>
          <w:lang w:val="en-GB"/>
        </w:rPr>
        <w:t xml:space="preserve"> the</w:t>
      </w:r>
      <w:r w:rsidR="00FE2513" w:rsidRPr="00E8461E">
        <w:rPr>
          <w:lang w:val="en-GB"/>
        </w:rPr>
        <w:t xml:space="preserve"> National Disaster Mental Health and Wellbeing Framework</w:t>
      </w:r>
      <w:r w:rsidR="00E948AF" w:rsidRPr="00E8461E">
        <w:rPr>
          <w:rStyle w:val="EndnoteReference"/>
          <w:lang w:val="en-GB"/>
        </w:rPr>
        <w:endnoteReference w:id="88"/>
      </w:r>
      <w:r w:rsidR="00FE2513" w:rsidRPr="00E8461E">
        <w:rPr>
          <w:lang w:val="en-GB"/>
        </w:rPr>
        <w:t xml:space="preserve"> and the </w:t>
      </w:r>
      <w:r w:rsidR="0004328A" w:rsidRPr="00E8461E">
        <w:rPr>
          <w:lang w:val="en-GB"/>
        </w:rPr>
        <w:t xml:space="preserve">first </w:t>
      </w:r>
      <w:r w:rsidR="00053488" w:rsidRPr="00E8461E">
        <w:rPr>
          <w:lang w:val="en-GB"/>
        </w:rPr>
        <w:t xml:space="preserve">National </w:t>
      </w:r>
      <w:r w:rsidR="00FE2513" w:rsidRPr="00E8461E">
        <w:rPr>
          <w:lang w:val="en-GB"/>
        </w:rPr>
        <w:t>Mental Health Plan for Emergency Services Workers</w:t>
      </w:r>
      <w:r w:rsidR="00270B61" w:rsidRPr="00E8461E">
        <w:rPr>
          <w:lang w:val="en-GB"/>
        </w:rPr>
        <w:t xml:space="preserve"> </w:t>
      </w:r>
      <w:bookmarkStart w:id="88" w:name="_Hlk151984814"/>
      <w:r w:rsidR="00270B61" w:rsidRPr="00E8461E">
        <w:rPr>
          <w:lang w:val="en-GB"/>
        </w:rPr>
        <w:t>2024-</w:t>
      </w:r>
      <w:r w:rsidR="00BC3AF7" w:rsidRPr="00E8461E">
        <w:rPr>
          <w:lang w:val="en-GB"/>
        </w:rPr>
        <w:t>20</w:t>
      </w:r>
      <w:r w:rsidR="00270B61" w:rsidRPr="00E8461E">
        <w:rPr>
          <w:lang w:val="en-GB"/>
        </w:rPr>
        <w:t>27,</w:t>
      </w:r>
      <w:r w:rsidR="00E948AF" w:rsidRPr="00E8461E">
        <w:rPr>
          <w:lang w:val="en-GB"/>
        </w:rPr>
        <w:t xml:space="preserve"> which is currently being developed</w:t>
      </w:r>
      <w:bookmarkEnd w:id="88"/>
      <w:r w:rsidR="00FE2513" w:rsidRPr="00E8461E">
        <w:rPr>
          <w:lang w:val="en-GB"/>
        </w:rPr>
        <w:t xml:space="preserve">. </w:t>
      </w:r>
      <w:r w:rsidR="008F33DC" w:rsidRPr="00E8461E">
        <w:rPr>
          <w:lang w:val="en-GB"/>
        </w:rPr>
        <w:t xml:space="preserve">These </w:t>
      </w:r>
      <w:r w:rsidR="00F53F0C" w:rsidRPr="00E8461E">
        <w:rPr>
          <w:lang w:val="en-GB"/>
        </w:rPr>
        <w:t xml:space="preserve">will </w:t>
      </w:r>
      <w:r w:rsidR="00BD4DDA" w:rsidRPr="00E8461E">
        <w:rPr>
          <w:lang w:val="en-GB"/>
        </w:rPr>
        <w:t xml:space="preserve">complement and support </w:t>
      </w:r>
      <w:r w:rsidR="00835C75" w:rsidRPr="00E8461E">
        <w:rPr>
          <w:lang w:val="en-GB"/>
        </w:rPr>
        <w:t xml:space="preserve">work arising from this Strategy to strengthen </w:t>
      </w:r>
      <w:r w:rsidR="004435BA" w:rsidRPr="00E8461E">
        <w:rPr>
          <w:lang w:val="en-GB"/>
        </w:rPr>
        <w:t xml:space="preserve">the capacity of </w:t>
      </w:r>
      <w:r w:rsidR="005D66C5" w:rsidRPr="00E8461E">
        <w:rPr>
          <w:lang w:val="en-GB"/>
        </w:rPr>
        <w:t xml:space="preserve">the </w:t>
      </w:r>
      <w:r w:rsidR="004435BA" w:rsidRPr="00E8461E">
        <w:rPr>
          <w:lang w:val="en-GB"/>
        </w:rPr>
        <w:t>health system to prepare for, respond to, and recover from</w:t>
      </w:r>
      <w:r w:rsidR="00835C75" w:rsidRPr="00E8461E">
        <w:rPr>
          <w:lang w:val="en-GB"/>
        </w:rPr>
        <w:t xml:space="preserve"> </w:t>
      </w:r>
      <w:r w:rsidR="0060208F" w:rsidRPr="00E8461E">
        <w:rPr>
          <w:lang w:val="en-GB"/>
        </w:rPr>
        <w:t>climate related disasters and extreme weather events.</w:t>
      </w:r>
    </w:p>
    <w:p w14:paraId="7A79C41C" w14:textId="77777777" w:rsidR="00734E73" w:rsidRPr="00E8461E" w:rsidRDefault="00734E73" w:rsidP="00D80EFD">
      <w:pPr>
        <w:pStyle w:val="Heading4"/>
        <w:rPr>
          <w:iCs w:val="0"/>
        </w:rPr>
      </w:pPr>
      <w:r w:rsidRPr="00E8461E">
        <w:rPr>
          <w:iCs w:val="0"/>
        </w:rPr>
        <w:t>Case study 4</w:t>
      </w:r>
    </w:p>
    <w:p w14:paraId="2C655884" w14:textId="77777777" w:rsidR="00734E73" w:rsidRPr="00E8461E" w:rsidRDefault="00734E73" w:rsidP="00734E73">
      <w:pPr>
        <w:rPr>
          <w:b/>
          <w:lang w:val="en-GB"/>
        </w:rPr>
      </w:pPr>
      <w:r w:rsidRPr="00E8461E">
        <w:rPr>
          <w:b/>
          <w:lang w:val="en-GB"/>
        </w:rPr>
        <w:t>Fire to Flourish – First Nations community-led disaster resilience</w:t>
      </w:r>
    </w:p>
    <w:p w14:paraId="4701918D" w14:textId="77777777" w:rsidR="00734E73" w:rsidRPr="00E8461E" w:rsidRDefault="00734E73" w:rsidP="00734E73">
      <w:r w:rsidRPr="00E8461E">
        <w:t>Disasters have uniquely local impacts. Not everyone will be affected the same way, depending on where they live or who they are. Local communities therefore need to be supported to lead their own recovery efforts.</w:t>
      </w:r>
    </w:p>
    <w:p w14:paraId="2239A0A5" w14:textId="77777777" w:rsidR="00734E73" w:rsidRPr="00E8461E" w:rsidRDefault="00734E73" w:rsidP="00734E73">
      <w:r w:rsidRPr="00E8461E">
        <w:t>Established by Monash University after the 2019/20 bushfires, Fire to Flourish is working with local communities, including First Nations people, to trial and scale innovations to enable community-led resilience while addressing systemic disadvantage. Fire to Flourish takes a holistic approach, recognising that social capital, economic wellbeing, natural and built environments, and health and wellbeing all work together to strengthen a community’s resilience.</w:t>
      </w:r>
    </w:p>
    <w:p w14:paraId="17D4AC4A" w14:textId="77777777" w:rsidR="00734E73" w:rsidRPr="00E8461E" w:rsidRDefault="00734E73" w:rsidP="00734E73">
      <w:r w:rsidRPr="00E8461E">
        <w:t xml:space="preserve">Fire to Flourish is co-designed with community, and First Nations people are embedded in its leadership, operations, </w:t>
      </w:r>
      <w:proofErr w:type="gramStart"/>
      <w:r w:rsidRPr="00E8461E">
        <w:t>community</w:t>
      </w:r>
      <w:proofErr w:type="gramEnd"/>
      <w:r w:rsidRPr="00E8461E">
        <w:t xml:space="preserve"> and research teams. Three of the community leads are First Nations women. First Nations colleagues are sharing their holistic knowledges and ensuring that First Nations leadership is central across the program. This has involved fostering strong relationships, deeply listening to First Nations voices, and critically working at a speed that enables trust to be built.</w:t>
      </w:r>
    </w:p>
    <w:p w14:paraId="18C44371" w14:textId="54E25E42" w:rsidR="008F33DC" w:rsidRPr="00E8461E" w:rsidRDefault="00734E73" w:rsidP="00734E73">
      <w:pPr>
        <w:pBdr>
          <w:bottom w:val="single" w:sz="12" w:space="1" w:color="008A95" w:themeColor="accent1"/>
        </w:pBdr>
        <w:rPr>
          <w:lang w:val="en-GB"/>
        </w:rPr>
      </w:pPr>
      <w:r w:rsidRPr="00E8461E">
        <w:t>As the world’s oldest living culture, Australia’s First Nations people are strong and resilient. First Nations community members have led activities that support the whole community to recover. Examples include creative recovery activities like basket weaving and possum skin making that invite people to connect and share their stories.</w:t>
      </w:r>
    </w:p>
    <w:p w14:paraId="23A8EEB4" w14:textId="33F89706" w:rsidR="004C7C12" w:rsidRPr="00E8461E" w:rsidRDefault="00603AD2" w:rsidP="00E969BE">
      <w:pPr>
        <w:rPr>
          <w:lang w:val="en-GB"/>
        </w:rPr>
      </w:pPr>
      <w:r w:rsidRPr="00E8461E">
        <w:rPr>
          <w:lang w:val="en-GB"/>
        </w:rPr>
        <w:t>At present, t</w:t>
      </w:r>
      <w:r w:rsidR="00405C2B" w:rsidRPr="00E8461E">
        <w:rPr>
          <w:lang w:val="en-GB"/>
        </w:rPr>
        <w:t>he Department of Health and Aged Care</w:t>
      </w:r>
      <w:r w:rsidR="00FF4182" w:rsidRPr="00E8461E">
        <w:rPr>
          <w:lang w:val="en-GB"/>
        </w:rPr>
        <w:t xml:space="preserve"> </w:t>
      </w:r>
      <w:r w:rsidR="005F75FF" w:rsidRPr="00E8461E">
        <w:rPr>
          <w:lang w:val="en-GB"/>
        </w:rPr>
        <w:t>maintains</w:t>
      </w:r>
      <w:r w:rsidR="00405C2B" w:rsidRPr="00E8461E">
        <w:rPr>
          <w:lang w:val="en-GB"/>
        </w:rPr>
        <w:t xml:space="preserve"> </w:t>
      </w:r>
      <w:r w:rsidR="00232E70" w:rsidRPr="00E8461E">
        <w:rPr>
          <w:lang w:val="en-GB"/>
        </w:rPr>
        <w:t>a</w:t>
      </w:r>
      <w:r w:rsidR="00405C2B" w:rsidRPr="00E8461E">
        <w:rPr>
          <w:lang w:val="en-GB"/>
        </w:rPr>
        <w:t xml:space="preserve"> series of health emergency response plans that provide guidance on how the Australian health s</w:t>
      </w:r>
      <w:r w:rsidR="007707A4" w:rsidRPr="00E8461E">
        <w:rPr>
          <w:lang w:val="en-GB"/>
        </w:rPr>
        <w:t>ystem</w:t>
      </w:r>
      <w:r w:rsidR="00405C2B" w:rsidRPr="00E8461E">
        <w:rPr>
          <w:lang w:val="en-GB"/>
        </w:rPr>
        <w:t xml:space="preserve"> </w:t>
      </w:r>
      <w:r w:rsidR="007707A4" w:rsidRPr="00E8461E">
        <w:rPr>
          <w:lang w:val="en-GB"/>
        </w:rPr>
        <w:t>should</w:t>
      </w:r>
      <w:r w:rsidR="00A776EF" w:rsidRPr="00E8461E">
        <w:rPr>
          <w:lang w:val="en-GB"/>
        </w:rPr>
        <w:t xml:space="preserve"> work</w:t>
      </w:r>
      <w:r w:rsidR="00A00659" w:rsidRPr="00E8461E">
        <w:rPr>
          <w:lang w:val="en-GB"/>
        </w:rPr>
        <w:t xml:space="preserve"> </w:t>
      </w:r>
      <w:r w:rsidR="00405C2B" w:rsidRPr="00E8461E">
        <w:rPr>
          <w:lang w:val="en-GB"/>
        </w:rPr>
        <w:t xml:space="preserve">collaboratively to </w:t>
      </w:r>
      <w:r w:rsidR="009727AB" w:rsidRPr="00E8461E">
        <w:rPr>
          <w:lang w:val="en-GB"/>
        </w:rPr>
        <w:t xml:space="preserve">prepare for and manage the consequences of health </w:t>
      </w:r>
      <w:r w:rsidR="00405C2B" w:rsidRPr="00E8461E">
        <w:rPr>
          <w:lang w:val="en-GB"/>
        </w:rPr>
        <w:t>emergency incidents of national significanc</w:t>
      </w:r>
      <w:r w:rsidR="003C4045" w:rsidRPr="00E8461E">
        <w:rPr>
          <w:lang w:val="en-GB"/>
        </w:rPr>
        <w:t>e, including climate</w:t>
      </w:r>
      <w:r w:rsidR="00D60870" w:rsidRPr="00E8461E">
        <w:rPr>
          <w:lang w:val="en-GB"/>
        </w:rPr>
        <w:t>-related disasters</w:t>
      </w:r>
      <w:r w:rsidR="003C4045" w:rsidRPr="00E8461E">
        <w:rPr>
          <w:lang w:val="en-GB"/>
        </w:rPr>
        <w:t xml:space="preserve"> and extreme weather events. </w:t>
      </w:r>
      <w:r w:rsidR="001E0DE7" w:rsidRPr="00E8461E">
        <w:rPr>
          <w:rFonts w:ascii="Calibri" w:eastAsia="Calibri" w:hAnsi="Calibri" w:cs="Calibri"/>
        </w:rPr>
        <w:t>S</w:t>
      </w:r>
      <w:r w:rsidR="007B0793" w:rsidRPr="00E8461E">
        <w:rPr>
          <w:rFonts w:ascii="Calibri" w:eastAsia="Calibri" w:hAnsi="Calibri" w:cs="Calibri"/>
        </w:rPr>
        <w:t xml:space="preserve">tate and territory governments have primary responsibility for life </w:t>
      </w:r>
      <w:r w:rsidR="006664FD" w:rsidRPr="00E8461E">
        <w:rPr>
          <w:rFonts w:ascii="Calibri" w:eastAsia="Calibri" w:hAnsi="Calibri" w:cs="Calibri"/>
        </w:rPr>
        <w:t xml:space="preserve">emergencies </w:t>
      </w:r>
      <w:r w:rsidR="007B0793" w:rsidRPr="00E8461E">
        <w:rPr>
          <w:rFonts w:ascii="Calibri" w:eastAsia="Calibri" w:hAnsi="Calibri" w:cs="Calibri"/>
        </w:rPr>
        <w:t xml:space="preserve">in their jurisdictions, </w:t>
      </w:r>
      <w:r w:rsidR="009B318C" w:rsidRPr="00E8461E">
        <w:rPr>
          <w:rFonts w:ascii="Calibri" w:eastAsia="Calibri" w:hAnsi="Calibri" w:cs="Calibri"/>
        </w:rPr>
        <w:t>with the</w:t>
      </w:r>
      <w:r w:rsidR="001E0DE7" w:rsidRPr="00E8461E">
        <w:rPr>
          <w:rFonts w:ascii="Calibri" w:eastAsia="Calibri" w:hAnsi="Calibri" w:cs="Calibri"/>
        </w:rPr>
        <w:t xml:space="preserve"> Co</w:t>
      </w:r>
      <w:r w:rsidR="009B318C" w:rsidRPr="00E8461E">
        <w:rPr>
          <w:rFonts w:ascii="Calibri" w:eastAsia="Calibri" w:hAnsi="Calibri" w:cs="Calibri"/>
        </w:rPr>
        <w:t xml:space="preserve">mmonwealth providing </w:t>
      </w:r>
      <w:r w:rsidR="004E20C8" w:rsidRPr="00E8461E">
        <w:rPr>
          <w:rFonts w:ascii="Calibri" w:eastAsia="Calibri" w:hAnsi="Calibri" w:cs="Calibri"/>
        </w:rPr>
        <w:t xml:space="preserve">additional </w:t>
      </w:r>
      <w:r w:rsidR="009B318C" w:rsidRPr="00E8461E">
        <w:rPr>
          <w:rFonts w:ascii="Calibri" w:eastAsia="Calibri" w:hAnsi="Calibri" w:cs="Calibri"/>
        </w:rPr>
        <w:t xml:space="preserve">support </w:t>
      </w:r>
      <w:r w:rsidR="00B44976" w:rsidRPr="00E8461E">
        <w:rPr>
          <w:rFonts w:ascii="Calibri" w:eastAsia="Calibri" w:hAnsi="Calibri" w:cs="Calibri"/>
        </w:rPr>
        <w:t>when required.</w:t>
      </w:r>
      <w:r w:rsidR="007B0793" w:rsidRPr="00E8461E">
        <w:rPr>
          <w:lang w:val="en-GB"/>
        </w:rPr>
        <w:t xml:space="preserve"> </w:t>
      </w:r>
      <w:r w:rsidR="009D4EA2" w:rsidRPr="00E8461E">
        <w:rPr>
          <w:lang w:val="en-GB"/>
        </w:rPr>
        <w:t>Work</w:t>
      </w:r>
      <w:r w:rsidR="00BA450E" w:rsidRPr="00E8461E">
        <w:rPr>
          <w:lang w:val="en-GB"/>
        </w:rPr>
        <w:t xml:space="preserve"> is currently underway to review and consolidate existing health emergency response plans </w:t>
      </w:r>
      <w:r w:rsidR="00D651F0" w:rsidRPr="00E8461E">
        <w:rPr>
          <w:lang w:val="en-GB"/>
        </w:rPr>
        <w:t xml:space="preserve">into an overarching </w:t>
      </w:r>
      <w:r w:rsidR="00E72622" w:rsidRPr="00E8461E">
        <w:rPr>
          <w:lang w:val="en-GB"/>
        </w:rPr>
        <w:t xml:space="preserve">health emergency response </w:t>
      </w:r>
      <w:r w:rsidR="00A9145D" w:rsidRPr="00E8461E">
        <w:rPr>
          <w:lang w:val="en-GB"/>
        </w:rPr>
        <w:t>plan</w:t>
      </w:r>
      <w:r w:rsidR="00A67FCE" w:rsidRPr="00E8461E">
        <w:rPr>
          <w:lang w:val="en-GB"/>
        </w:rPr>
        <w:t xml:space="preserve">, to ensure more effective coordination and </w:t>
      </w:r>
      <w:r w:rsidR="00A67FCE" w:rsidRPr="00E8461E">
        <w:rPr>
          <w:lang w:val="en-GB"/>
        </w:rPr>
        <w:lastRenderedPageBreak/>
        <w:t>cooperation</w:t>
      </w:r>
      <w:r w:rsidR="00E72622" w:rsidRPr="00E8461E">
        <w:rPr>
          <w:lang w:val="en-GB"/>
        </w:rPr>
        <w:t xml:space="preserve">. </w:t>
      </w:r>
      <w:r w:rsidR="00503306" w:rsidRPr="00E8461E">
        <w:rPr>
          <w:lang w:val="en-GB"/>
        </w:rPr>
        <w:t xml:space="preserve">This </w:t>
      </w:r>
      <w:r w:rsidR="00A9145D" w:rsidRPr="00E8461E">
        <w:rPr>
          <w:lang w:val="en-GB"/>
        </w:rPr>
        <w:t>plan</w:t>
      </w:r>
      <w:r w:rsidR="00503306" w:rsidRPr="00E8461E">
        <w:rPr>
          <w:lang w:val="en-GB"/>
        </w:rPr>
        <w:t xml:space="preserve"> will support state, territory, and local governments to execute the</w:t>
      </w:r>
      <w:r w:rsidR="007E03BB" w:rsidRPr="00E8461E">
        <w:rPr>
          <w:lang w:val="en-GB"/>
        </w:rPr>
        <w:t>ir</w:t>
      </w:r>
      <w:r w:rsidR="00503306" w:rsidRPr="00E8461E">
        <w:rPr>
          <w:lang w:val="en-GB"/>
        </w:rPr>
        <w:t xml:space="preserve"> leading roles in health emergency </w:t>
      </w:r>
      <w:r w:rsidR="007E03BB" w:rsidRPr="00E8461E">
        <w:rPr>
          <w:lang w:val="en-GB"/>
        </w:rPr>
        <w:t>response</w:t>
      </w:r>
      <w:r w:rsidR="00503306" w:rsidRPr="00E8461E">
        <w:rPr>
          <w:lang w:val="en-GB"/>
        </w:rPr>
        <w:t xml:space="preserve">, with additional support from the </w:t>
      </w:r>
      <w:r w:rsidR="00A9145D" w:rsidRPr="00E8461E">
        <w:rPr>
          <w:lang w:val="en-GB"/>
        </w:rPr>
        <w:t>Australian</w:t>
      </w:r>
      <w:r w:rsidR="00503306" w:rsidRPr="00E8461E">
        <w:rPr>
          <w:lang w:val="en-GB"/>
        </w:rPr>
        <w:t xml:space="preserve"> Government as required.</w:t>
      </w:r>
    </w:p>
    <w:p w14:paraId="756FE06E" w14:textId="77777777" w:rsidR="00734E73" w:rsidRPr="00E8461E" w:rsidRDefault="00734E73" w:rsidP="00D80EFD">
      <w:pPr>
        <w:pStyle w:val="Heading4"/>
        <w:rPr>
          <w:iCs w:val="0"/>
        </w:rPr>
      </w:pPr>
      <w:r w:rsidRPr="00E8461E">
        <w:rPr>
          <w:iCs w:val="0"/>
        </w:rPr>
        <w:t>Action 3.8</w:t>
      </w:r>
    </w:p>
    <w:p w14:paraId="6001C9CE" w14:textId="77777777" w:rsidR="00734E73" w:rsidRPr="00E8461E" w:rsidRDefault="00734E73" w:rsidP="00734E73">
      <w:pPr>
        <w:rPr>
          <w:b/>
          <w:bCs/>
          <w:lang w:val="en-GB"/>
        </w:rPr>
      </w:pPr>
      <w:r w:rsidRPr="00E8461E">
        <w:rPr>
          <w:b/>
          <w:bCs/>
          <w:lang w:val="en-GB"/>
        </w:rPr>
        <w:t xml:space="preserve">Developing a </w:t>
      </w:r>
      <w:r w:rsidRPr="00E8461E">
        <w:rPr>
          <w:b/>
          <w:bCs/>
        </w:rPr>
        <w:t>National Health Emergency Response Plan</w:t>
      </w:r>
    </w:p>
    <w:p w14:paraId="62C68882" w14:textId="3FA7C8C4" w:rsidR="00734E73" w:rsidRPr="00E8461E" w:rsidRDefault="00734E73" w:rsidP="00734E73">
      <w:pPr>
        <w:pBdr>
          <w:bottom w:val="single" w:sz="12" w:space="1" w:color="008A95" w:themeColor="accent1"/>
        </w:pBdr>
        <w:rPr>
          <w:lang w:val="en-GB"/>
        </w:rPr>
      </w:pPr>
      <w:r w:rsidRPr="00E8461E">
        <w:rPr>
          <w:lang w:val="en-GB"/>
        </w:rPr>
        <w:t>The Australian Government will work with states and territories to develop an ‘all hazards’ National Health Emergency Response Plan, which will consider health emergencies for climate-related disasters and extreme weather events. This plan will update and consolidate existing health emergency response plans to provide a single source document to guide Australia’s response to, and recovery from, emergency incidents of national significance.</w:t>
      </w:r>
    </w:p>
    <w:p w14:paraId="7ED19854" w14:textId="61C88276" w:rsidR="004C7C12" w:rsidRPr="00E8461E" w:rsidRDefault="00BA027B" w:rsidP="000C10A0">
      <w:pPr>
        <w:rPr>
          <w:lang w:val="en-GB"/>
        </w:rPr>
      </w:pPr>
      <w:r w:rsidRPr="00E8461E">
        <w:rPr>
          <w:lang w:val="en-GB"/>
        </w:rPr>
        <w:t>P</w:t>
      </w:r>
      <w:r w:rsidR="003475BB" w:rsidRPr="00E8461E">
        <w:rPr>
          <w:lang w:val="en-GB"/>
        </w:rPr>
        <w:t xml:space="preserve">rimary care </w:t>
      </w:r>
      <w:r w:rsidR="003D08B7" w:rsidRPr="00E8461E">
        <w:rPr>
          <w:lang w:val="en-GB"/>
        </w:rPr>
        <w:t xml:space="preserve">has a vital role to play in health system </w:t>
      </w:r>
      <w:r w:rsidR="009D4EA2" w:rsidRPr="00E8461E">
        <w:rPr>
          <w:lang w:val="en-GB"/>
        </w:rPr>
        <w:t xml:space="preserve">preparedness and </w:t>
      </w:r>
      <w:r w:rsidR="003D08B7" w:rsidRPr="00E8461E">
        <w:rPr>
          <w:lang w:val="en-GB"/>
        </w:rPr>
        <w:t xml:space="preserve">response to climate-related </w:t>
      </w:r>
      <w:r w:rsidR="00485671" w:rsidRPr="00E8461E">
        <w:rPr>
          <w:lang w:val="en-GB"/>
        </w:rPr>
        <w:t>disasters</w:t>
      </w:r>
      <w:r w:rsidR="003D08B7" w:rsidRPr="00E8461E">
        <w:rPr>
          <w:lang w:val="en-GB"/>
        </w:rPr>
        <w:t xml:space="preserve">. </w:t>
      </w:r>
      <w:r w:rsidR="00170EBF" w:rsidRPr="00E8461E">
        <w:rPr>
          <w:lang w:val="en-GB"/>
        </w:rPr>
        <w:t xml:space="preserve">In the immediate aftermath of </w:t>
      </w:r>
      <w:r w:rsidR="00485671" w:rsidRPr="00E8461E">
        <w:rPr>
          <w:lang w:val="en-GB"/>
        </w:rPr>
        <w:t xml:space="preserve">these disasters, </w:t>
      </w:r>
      <w:r w:rsidR="007E102D" w:rsidRPr="00E8461E">
        <w:rPr>
          <w:lang w:val="en-GB"/>
        </w:rPr>
        <w:t xml:space="preserve">many </w:t>
      </w:r>
      <w:r w:rsidR="0025443C" w:rsidRPr="00E8461E">
        <w:rPr>
          <w:lang w:val="en-GB"/>
        </w:rPr>
        <w:t xml:space="preserve">people’s </w:t>
      </w:r>
      <w:r w:rsidR="00FC72C1" w:rsidRPr="00E8461E">
        <w:rPr>
          <w:lang w:val="en-GB"/>
        </w:rPr>
        <w:t>needs for care are focused on primary care</w:t>
      </w:r>
      <w:r w:rsidR="00D52628" w:rsidRPr="00E8461E">
        <w:rPr>
          <w:lang w:val="en-GB"/>
        </w:rPr>
        <w:t xml:space="preserve">, such as </w:t>
      </w:r>
      <w:r w:rsidR="00B80760" w:rsidRPr="00E8461E">
        <w:rPr>
          <w:lang w:val="en-GB"/>
        </w:rPr>
        <w:t xml:space="preserve">being able </w:t>
      </w:r>
      <w:r w:rsidR="00C35916" w:rsidRPr="00E8461E">
        <w:rPr>
          <w:lang w:val="en-GB"/>
        </w:rPr>
        <w:t xml:space="preserve">to </w:t>
      </w:r>
      <w:r w:rsidR="003C7618" w:rsidRPr="00E8461E">
        <w:rPr>
          <w:lang w:val="en-GB"/>
        </w:rPr>
        <w:t>access</w:t>
      </w:r>
      <w:r w:rsidR="00B80760" w:rsidRPr="00E8461E">
        <w:rPr>
          <w:lang w:val="en-GB"/>
        </w:rPr>
        <w:t xml:space="preserve"> a GP, </w:t>
      </w:r>
      <w:r w:rsidR="00857F43" w:rsidRPr="00E8461E">
        <w:rPr>
          <w:lang w:val="en-GB"/>
        </w:rPr>
        <w:t xml:space="preserve">community pharmacy, </w:t>
      </w:r>
      <w:r w:rsidR="003C7618" w:rsidRPr="00E8461E">
        <w:rPr>
          <w:lang w:val="en-GB"/>
        </w:rPr>
        <w:t xml:space="preserve">reproductive </w:t>
      </w:r>
      <w:proofErr w:type="gramStart"/>
      <w:r w:rsidR="003C7618" w:rsidRPr="00E8461E">
        <w:rPr>
          <w:lang w:val="en-GB"/>
        </w:rPr>
        <w:t>healthcare</w:t>
      </w:r>
      <w:proofErr w:type="gramEnd"/>
      <w:r w:rsidR="003C7618" w:rsidRPr="00E8461E">
        <w:rPr>
          <w:lang w:val="en-GB"/>
        </w:rPr>
        <w:t xml:space="preserve"> or mental health support.</w:t>
      </w:r>
      <w:r w:rsidR="00BE56D5" w:rsidRPr="00E8461E">
        <w:rPr>
          <w:lang w:val="en-GB"/>
        </w:rPr>
        <w:t xml:space="preserve"> </w:t>
      </w:r>
      <w:r w:rsidR="00B53281" w:rsidRPr="00E8461E">
        <w:rPr>
          <w:lang w:val="en-GB"/>
        </w:rPr>
        <w:t xml:space="preserve">At present, primary care is not systematically integrated into emergency preparedness, </w:t>
      </w:r>
      <w:proofErr w:type="gramStart"/>
      <w:r w:rsidR="00B53281" w:rsidRPr="00E8461E">
        <w:rPr>
          <w:lang w:val="en-GB"/>
        </w:rPr>
        <w:t>response</w:t>
      </w:r>
      <w:proofErr w:type="gramEnd"/>
      <w:r w:rsidR="00F207EE" w:rsidRPr="00E8461E">
        <w:rPr>
          <w:lang w:val="en-GB"/>
        </w:rPr>
        <w:t xml:space="preserve"> </w:t>
      </w:r>
      <w:r w:rsidR="00B53281" w:rsidRPr="00E8461E">
        <w:rPr>
          <w:lang w:val="en-GB"/>
        </w:rPr>
        <w:t>and recovery processes. This means primary care providers such as GPs may not be able to provide the level of care and support</w:t>
      </w:r>
      <w:r w:rsidR="002D25F8" w:rsidRPr="00E8461E">
        <w:rPr>
          <w:lang w:val="en-GB"/>
        </w:rPr>
        <w:t xml:space="preserve"> that</w:t>
      </w:r>
      <w:r w:rsidR="00B53281" w:rsidRPr="00E8461E">
        <w:rPr>
          <w:lang w:val="en-GB"/>
        </w:rPr>
        <w:t xml:space="preserve"> patients and communities need before, during and after disasters. </w:t>
      </w:r>
      <w:r w:rsidR="00B72CE4" w:rsidRPr="00E8461E">
        <w:rPr>
          <w:lang w:val="en-GB"/>
        </w:rPr>
        <w:t xml:space="preserve">In addition, primary care providers are also likely to be </w:t>
      </w:r>
      <w:r w:rsidR="00EF73C9" w:rsidRPr="00E8461E">
        <w:rPr>
          <w:lang w:val="en-GB"/>
        </w:rPr>
        <w:t>affected</w:t>
      </w:r>
      <w:r w:rsidR="00B72CE4" w:rsidRPr="00E8461E">
        <w:rPr>
          <w:lang w:val="en-GB"/>
        </w:rPr>
        <w:t xml:space="preserve"> by the same hazards and risks as the public. </w:t>
      </w:r>
      <w:r w:rsidR="00916350" w:rsidRPr="00E8461E">
        <w:rPr>
          <w:lang w:val="en-GB"/>
        </w:rPr>
        <w:t>T</w:t>
      </w:r>
      <w:r w:rsidR="00B53281" w:rsidRPr="00E8461E">
        <w:rPr>
          <w:lang w:val="en-GB"/>
        </w:rPr>
        <w:t>he 2020 Royal Commission into National Natural Disaster Arrangements recommended that:</w:t>
      </w:r>
    </w:p>
    <w:p w14:paraId="12388549" w14:textId="67F306CE" w:rsidR="00B53281" w:rsidRPr="00E8461E" w:rsidRDefault="00275071" w:rsidP="00275071">
      <w:pPr>
        <w:rPr>
          <w:lang w:val="en-GB"/>
        </w:rPr>
      </w:pPr>
      <w:r w:rsidRPr="00E8461E">
        <w:rPr>
          <w:lang w:val="en-GB"/>
        </w:rPr>
        <w:t>“</w:t>
      </w:r>
      <w:r w:rsidR="00B53281" w:rsidRPr="00E8461E">
        <w:rPr>
          <w:lang w:val="en-GB"/>
        </w:rPr>
        <w:t xml:space="preserve">Australian, state and territory governments should develop arrangements that facilitate greater inclusion of primary healthcare providers in disaster management, </w:t>
      </w:r>
      <w:proofErr w:type="gramStart"/>
      <w:r w:rsidR="00B53281" w:rsidRPr="00E8461E">
        <w:rPr>
          <w:lang w:val="en-GB"/>
        </w:rPr>
        <w:t>including:</w:t>
      </w:r>
      <w:proofErr w:type="gramEnd"/>
      <w:r w:rsidR="00B53281" w:rsidRPr="00E8461E">
        <w:rPr>
          <w:lang w:val="en-GB"/>
        </w:rPr>
        <w:t xml:space="preserve"> representation on relevant disaster committees and plans and providing training, education and other supports.</w:t>
      </w:r>
      <w:r w:rsidRPr="00E8461E">
        <w:rPr>
          <w:lang w:val="en-GB"/>
        </w:rPr>
        <w:t>”</w:t>
      </w:r>
      <w:r w:rsidR="00B53281" w:rsidRPr="00E8461E">
        <w:rPr>
          <w:rStyle w:val="EndnoteReference"/>
          <w:lang w:val="en-GB"/>
        </w:rPr>
        <w:endnoteReference w:id="89"/>
      </w:r>
      <w:r w:rsidRPr="00E8461E">
        <w:rPr>
          <w:lang w:val="en-GB"/>
        </w:rPr>
        <w:t xml:space="preserve"> </w:t>
      </w:r>
    </w:p>
    <w:p w14:paraId="63046024" w14:textId="49FFA99D" w:rsidR="0072038A" w:rsidRPr="00E8461E" w:rsidRDefault="00B53281" w:rsidP="002A61C1">
      <w:pPr>
        <w:rPr>
          <w:lang w:val="en-GB"/>
        </w:rPr>
      </w:pPr>
      <w:r w:rsidRPr="00E8461E">
        <w:rPr>
          <w:lang w:val="en-GB"/>
        </w:rPr>
        <w:t xml:space="preserve">Strengthening the role of primary care in emergency preparedness, response and recovery will help to build the resilience of both </w:t>
      </w:r>
      <w:r w:rsidR="00C33985" w:rsidRPr="00E8461E">
        <w:rPr>
          <w:lang w:val="en-GB"/>
        </w:rPr>
        <w:t xml:space="preserve">the </w:t>
      </w:r>
      <w:r w:rsidRPr="00E8461E">
        <w:rPr>
          <w:lang w:val="en-GB"/>
        </w:rPr>
        <w:t>health system and broader communities.</w:t>
      </w:r>
      <w:r w:rsidR="007E10B6" w:rsidRPr="00E8461E">
        <w:rPr>
          <w:lang w:val="en-GB"/>
        </w:rPr>
        <w:t xml:space="preserve"> If effectively mobilised and supported, primary care providers are well placed to deliver appropriate care in community settings in the aftermath of disasters. This ensures health needs are met as quickly as possible and alleviates pressure on other components of the health system.</w:t>
      </w:r>
    </w:p>
    <w:p w14:paraId="15E6D004" w14:textId="276D8724" w:rsidR="00BA055E" w:rsidRPr="00E8461E" w:rsidRDefault="004753AC" w:rsidP="001321C8">
      <w:pPr>
        <w:rPr>
          <w:lang w:val="en-GB"/>
        </w:rPr>
      </w:pPr>
      <w:r w:rsidRPr="00E8461E">
        <w:rPr>
          <w:lang w:val="en-GB"/>
        </w:rPr>
        <w:t>Primary Health Networks</w:t>
      </w:r>
      <w:r w:rsidR="00764FCB" w:rsidRPr="00E8461E">
        <w:rPr>
          <w:lang w:val="en-GB"/>
        </w:rPr>
        <w:t xml:space="preserve"> </w:t>
      </w:r>
      <w:r w:rsidR="00D27D4D" w:rsidRPr="00E8461E">
        <w:rPr>
          <w:lang w:val="en-GB"/>
        </w:rPr>
        <w:t>also</w:t>
      </w:r>
      <w:r w:rsidRPr="00E8461E">
        <w:rPr>
          <w:lang w:val="en-GB"/>
        </w:rPr>
        <w:t xml:space="preserve"> </w:t>
      </w:r>
      <w:r w:rsidR="00277F30" w:rsidRPr="00E8461E">
        <w:rPr>
          <w:lang w:val="en-GB"/>
        </w:rPr>
        <w:t xml:space="preserve">have a vital role to play </w:t>
      </w:r>
      <w:r w:rsidR="00447E26" w:rsidRPr="00E8461E">
        <w:rPr>
          <w:lang w:val="en-GB"/>
        </w:rPr>
        <w:t>in disaster preparedness and response</w:t>
      </w:r>
      <w:r w:rsidR="003D34EB" w:rsidRPr="00E8461E">
        <w:rPr>
          <w:lang w:val="en-GB"/>
        </w:rPr>
        <w:t xml:space="preserve">. </w:t>
      </w:r>
      <w:r w:rsidR="00447E26" w:rsidRPr="00E8461E">
        <w:rPr>
          <w:lang w:val="en-GB"/>
        </w:rPr>
        <w:t>Their role includes</w:t>
      </w:r>
      <w:r w:rsidR="00764FCB" w:rsidRPr="00E8461E">
        <w:rPr>
          <w:lang w:val="en-GB"/>
        </w:rPr>
        <w:t xml:space="preserve"> </w:t>
      </w:r>
      <w:r w:rsidR="00627619" w:rsidRPr="00E8461E">
        <w:rPr>
          <w:lang w:val="en-GB"/>
        </w:rPr>
        <w:t>coordinat</w:t>
      </w:r>
      <w:r w:rsidR="00447E26" w:rsidRPr="00E8461E">
        <w:rPr>
          <w:lang w:val="en-GB"/>
        </w:rPr>
        <w:t>ing</w:t>
      </w:r>
      <w:r w:rsidR="00627619" w:rsidRPr="00E8461E">
        <w:rPr>
          <w:lang w:val="en-GB"/>
        </w:rPr>
        <w:t xml:space="preserve"> with existing providers to ensure </w:t>
      </w:r>
      <w:r w:rsidR="00DE0C96" w:rsidRPr="00E8461E">
        <w:rPr>
          <w:lang w:val="en-GB"/>
        </w:rPr>
        <w:t>continuity of access</w:t>
      </w:r>
      <w:r w:rsidR="001B2B1D" w:rsidRPr="00E8461E">
        <w:rPr>
          <w:lang w:val="en-GB"/>
        </w:rPr>
        <w:t xml:space="preserve"> </w:t>
      </w:r>
      <w:r w:rsidR="00447E26" w:rsidRPr="00E8461E">
        <w:rPr>
          <w:lang w:val="en-GB"/>
        </w:rPr>
        <w:t xml:space="preserve">to primary </w:t>
      </w:r>
      <w:proofErr w:type="gramStart"/>
      <w:r w:rsidR="00447E26" w:rsidRPr="00E8461E">
        <w:rPr>
          <w:lang w:val="en-GB"/>
        </w:rPr>
        <w:t>care</w:t>
      </w:r>
      <w:r w:rsidR="009E418B" w:rsidRPr="00E8461E">
        <w:rPr>
          <w:lang w:val="en-GB"/>
        </w:rPr>
        <w:t>, and</w:t>
      </w:r>
      <w:proofErr w:type="gramEnd"/>
      <w:r w:rsidR="009E418B" w:rsidRPr="00E8461E">
        <w:rPr>
          <w:lang w:val="en-GB"/>
        </w:rPr>
        <w:t xml:space="preserve"> </w:t>
      </w:r>
      <w:r w:rsidR="00BA1B75" w:rsidRPr="00E8461E">
        <w:rPr>
          <w:lang w:val="en-GB"/>
        </w:rPr>
        <w:t xml:space="preserve">commissioning new services </w:t>
      </w:r>
      <w:r w:rsidR="009E418B" w:rsidRPr="00E8461E">
        <w:rPr>
          <w:lang w:val="en-GB"/>
        </w:rPr>
        <w:t>to meet emerging needs (</w:t>
      </w:r>
      <w:r w:rsidR="009D028C" w:rsidRPr="00E8461E">
        <w:rPr>
          <w:lang w:val="en-GB"/>
        </w:rPr>
        <w:t>such as for</w:t>
      </w:r>
      <w:r w:rsidR="00EC2DC1" w:rsidRPr="00E8461E">
        <w:rPr>
          <w:lang w:val="en-GB"/>
        </w:rPr>
        <w:t xml:space="preserve"> increased</w:t>
      </w:r>
      <w:r w:rsidR="009D028C" w:rsidRPr="00E8461E">
        <w:rPr>
          <w:lang w:val="en-GB"/>
        </w:rPr>
        <w:t xml:space="preserve"> </w:t>
      </w:r>
      <w:r w:rsidR="00EC2DC1" w:rsidRPr="00E8461E">
        <w:rPr>
          <w:lang w:val="en-GB"/>
        </w:rPr>
        <w:t xml:space="preserve">mental health </w:t>
      </w:r>
      <w:r w:rsidR="00447E26" w:rsidRPr="00E8461E">
        <w:rPr>
          <w:lang w:val="en-GB"/>
        </w:rPr>
        <w:t>support</w:t>
      </w:r>
      <w:r w:rsidR="005F5722" w:rsidRPr="00E8461E">
        <w:rPr>
          <w:lang w:val="en-GB"/>
        </w:rPr>
        <w:t>)</w:t>
      </w:r>
      <w:r w:rsidR="0091564E" w:rsidRPr="00E8461E">
        <w:rPr>
          <w:lang w:val="en-GB"/>
        </w:rPr>
        <w:t>.</w:t>
      </w:r>
      <w:r w:rsidR="0091564E" w:rsidRPr="00E8461E">
        <w:t xml:space="preserve"> </w:t>
      </w:r>
      <w:r w:rsidR="00227D1E" w:rsidRPr="00E8461E">
        <w:rPr>
          <w:lang w:val="en-GB"/>
        </w:rPr>
        <w:t xml:space="preserve">Many </w:t>
      </w:r>
      <w:r w:rsidR="00DB31E0" w:rsidRPr="00E8461E">
        <w:rPr>
          <w:lang w:val="en-GB"/>
        </w:rPr>
        <w:t xml:space="preserve">Primary Health Networks </w:t>
      </w:r>
      <w:r w:rsidR="00227D1E" w:rsidRPr="00E8461E">
        <w:rPr>
          <w:lang w:val="en-GB"/>
        </w:rPr>
        <w:t>already play a role in emergency planning, preparedness, response, and recovery, and their large geographical footprint makes them potentially suitable for inclusion in wider incident response/command governance structures</w:t>
      </w:r>
      <w:r w:rsidR="00D35C7C" w:rsidRPr="00E8461E">
        <w:rPr>
          <w:lang w:val="en-GB"/>
        </w:rPr>
        <w:t xml:space="preserve">. </w:t>
      </w:r>
      <w:r w:rsidR="0049440A" w:rsidRPr="00E8461E">
        <w:rPr>
          <w:lang w:val="en-GB"/>
        </w:rPr>
        <w:t>However, the</w:t>
      </w:r>
      <w:r w:rsidR="00E70FC7" w:rsidRPr="00E8461E">
        <w:rPr>
          <w:lang w:val="en-GB"/>
        </w:rPr>
        <w:t xml:space="preserve"> </w:t>
      </w:r>
      <w:r w:rsidR="00537EF3" w:rsidRPr="00E8461E">
        <w:rPr>
          <w:lang w:val="en-GB"/>
        </w:rPr>
        <w:t>Australian</w:t>
      </w:r>
      <w:r w:rsidR="00E70FC7" w:rsidRPr="00E8461E">
        <w:rPr>
          <w:lang w:val="en-GB"/>
        </w:rPr>
        <w:t xml:space="preserve"> </w:t>
      </w:r>
      <w:r w:rsidR="00650014" w:rsidRPr="00E8461E">
        <w:rPr>
          <w:lang w:val="en-GB"/>
        </w:rPr>
        <w:t>Government</w:t>
      </w:r>
      <w:r w:rsidR="005D7E58" w:rsidRPr="00E8461E">
        <w:rPr>
          <w:lang w:val="en-GB"/>
        </w:rPr>
        <w:t xml:space="preserve"> </w:t>
      </w:r>
      <w:r w:rsidR="00E70FC7" w:rsidRPr="00E8461E">
        <w:rPr>
          <w:lang w:val="en-GB"/>
        </w:rPr>
        <w:t>recognises the importance of s</w:t>
      </w:r>
      <w:r w:rsidR="00D9563E" w:rsidRPr="00E8461E">
        <w:rPr>
          <w:lang w:val="en-GB"/>
        </w:rPr>
        <w:t xml:space="preserve">upporting and strengthening </w:t>
      </w:r>
      <w:r w:rsidR="009928CA" w:rsidRPr="00E8461E">
        <w:rPr>
          <w:lang w:val="en-GB"/>
        </w:rPr>
        <w:t xml:space="preserve">the roles of </w:t>
      </w:r>
      <w:r w:rsidR="00DB31E0" w:rsidRPr="00E8461E">
        <w:rPr>
          <w:lang w:val="en-GB"/>
        </w:rPr>
        <w:t>Primary Health Networks</w:t>
      </w:r>
      <w:r w:rsidR="00D9563E" w:rsidRPr="00E8461E">
        <w:rPr>
          <w:lang w:val="en-GB"/>
        </w:rPr>
        <w:t xml:space="preserve"> in </w:t>
      </w:r>
      <w:r w:rsidR="0049440A" w:rsidRPr="00E8461E">
        <w:rPr>
          <w:lang w:val="en-GB"/>
        </w:rPr>
        <w:t>these areas</w:t>
      </w:r>
      <w:r w:rsidR="006E24E1" w:rsidRPr="00E8461E">
        <w:rPr>
          <w:lang w:val="en-GB"/>
        </w:rPr>
        <w:t xml:space="preserve"> – </w:t>
      </w:r>
      <w:r w:rsidR="00D50BDA" w:rsidRPr="00E8461E">
        <w:rPr>
          <w:lang w:val="en-GB"/>
        </w:rPr>
        <w:t xml:space="preserve">including </w:t>
      </w:r>
      <w:r w:rsidR="00C82E55" w:rsidRPr="00E8461E">
        <w:rPr>
          <w:lang w:val="en-GB"/>
        </w:rPr>
        <w:t>by incorporating climate risk into existing health needs assessment pro</w:t>
      </w:r>
      <w:r w:rsidR="00782CB3" w:rsidRPr="00E8461E">
        <w:rPr>
          <w:lang w:val="en-GB"/>
        </w:rPr>
        <w:t>c</w:t>
      </w:r>
      <w:r w:rsidR="00C82E55" w:rsidRPr="00E8461E">
        <w:rPr>
          <w:lang w:val="en-GB"/>
        </w:rPr>
        <w:t>esses</w:t>
      </w:r>
      <w:r w:rsidR="00C82E55" w:rsidRPr="00E8461E" w:rsidDel="00CD4578">
        <w:rPr>
          <w:lang w:val="en-GB"/>
        </w:rPr>
        <w:t>.</w:t>
      </w:r>
    </w:p>
    <w:p w14:paraId="0E498981" w14:textId="77777777" w:rsidR="00AC4D44" w:rsidRDefault="00AC4D44">
      <w:pPr>
        <w:spacing w:after="160" w:line="259" w:lineRule="auto"/>
        <w:rPr>
          <w:rFonts w:eastAsiaTheme="majorEastAsia" w:cstheme="majorBidi"/>
          <w:b/>
          <w:bCs/>
          <w:caps/>
          <w:color w:val="153A6E" w:themeColor="accent2"/>
          <w:lang w:val="en-GB"/>
        </w:rPr>
      </w:pPr>
      <w:r>
        <w:rPr>
          <w:iCs/>
        </w:rPr>
        <w:br w:type="page"/>
      </w:r>
    </w:p>
    <w:p w14:paraId="2F559D90" w14:textId="0C3FFFEB" w:rsidR="00734E73" w:rsidRPr="00E8461E" w:rsidRDefault="00734E73" w:rsidP="00D80EFD">
      <w:pPr>
        <w:pStyle w:val="Heading4"/>
        <w:rPr>
          <w:iCs w:val="0"/>
        </w:rPr>
      </w:pPr>
      <w:r w:rsidRPr="00E8461E">
        <w:rPr>
          <w:iCs w:val="0"/>
        </w:rPr>
        <w:lastRenderedPageBreak/>
        <w:t>Case study 5</w:t>
      </w:r>
    </w:p>
    <w:p w14:paraId="028A7283" w14:textId="77777777" w:rsidR="00734E73" w:rsidRPr="00E8461E" w:rsidRDefault="00734E73" w:rsidP="00734E73">
      <w:pPr>
        <w:rPr>
          <w:b/>
          <w:lang w:val="en-GB"/>
        </w:rPr>
      </w:pPr>
      <w:r w:rsidRPr="00E8461E">
        <w:rPr>
          <w:b/>
          <w:lang w:val="en-GB"/>
        </w:rPr>
        <w:t xml:space="preserve">Healthy North Coast </w:t>
      </w:r>
      <w:r w:rsidRPr="00E8461E">
        <w:rPr>
          <w:b/>
          <w:bCs/>
          <w:lang w:val="en-GB"/>
        </w:rPr>
        <w:t>Primary Health Network</w:t>
      </w:r>
      <w:r w:rsidRPr="00E8461E">
        <w:rPr>
          <w:lang w:val="en-GB"/>
        </w:rPr>
        <w:t xml:space="preserve"> </w:t>
      </w:r>
      <w:r w:rsidRPr="00E8461E">
        <w:rPr>
          <w:b/>
          <w:lang w:val="en-GB"/>
        </w:rPr>
        <w:t>Disaster Resilience Hub</w:t>
      </w:r>
    </w:p>
    <w:p w14:paraId="1457ACDC" w14:textId="77777777" w:rsidR="00734E73" w:rsidRPr="00E8461E" w:rsidRDefault="00734E73" w:rsidP="00734E73">
      <w:pPr>
        <w:rPr>
          <w:lang w:val="en-GB"/>
        </w:rPr>
      </w:pPr>
      <w:r w:rsidRPr="00E8461E">
        <w:rPr>
          <w:lang w:val="en-GB"/>
        </w:rPr>
        <w:t xml:space="preserve">Following several challenging years marked by bushfires, the COVID-19 pandemic and devastating floods </w:t>
      </w:r>
      <w:r w:rsidRPr="00E8461E" w:rsidDel="008704CB">
        <w:rPr>
          <w:lang w:val="en-GB"/>
        </w:rPr>
        <w:t>in</w:t>
      </w:r>
      <w:r w:rsidRPr="00E8461E">
        <w:rPr>
          <w:lang w:val="en-GB"/>
        </w:rPr>
        <w:t xml:space="preserve"> the NSW Northern Rivers region, Healthy North Coast Primary Health Network released its inaugural Disaster Management Framework and Action Plan in December 2022. The Framework offers guidelines for disaster management, and clearly defines the role that primary health plays in enhancing the region’s population health resilience against the impacts of climate change.</w:t>
      </w:r>
    </w:p>
    <w:p w14:paraId="028F4048" w14:textId="77777777" w:rsidR="00734E73" w:rsidRPr="00E8461E" w:rsidRDefault="00734E73" w:rsidP="00734E73">
      <w:pPr>
        <w:rPr>
          <w:lang w:val="en-GB"/>
        </w:rPr>
      </w:pPr>
      <w:r w:rsidRPr="00E8461E">
        <w:rPr>
          <w:lang w:val="en-GB"/>
        </w:rPr>
        <w:t xml:space="preserve">Under the Disaster Management Framework, a Disaster Resilience Hub was established to provide health care professionals </w:t>
      </w:r>
      <w:r w:rsidRPr="00E8461E" w:rsidDel="008A4CD2">
        <w:rPr>
          <w:lang w:val="en-GB"/>
        </w:rPr>
        <w:t>and</w:t>
      </w:r>
      <w:r w:rsidRPr="00E8461E" w:rsidDel="00EC5FAC">
        <w:rPr>
          <w:lang w:val="en-GB"/>
        </w:rPr>
        <w:t xml:space="preserve"> </w:t>
      </w:r>
      <w:r w:rsidRPr="00E8461E">
        <w:rPr>
          <w:lang w:val="en-GB"/>
        </w:rPr>
        <w:t>community members with</w:t>
      </w:r>
      <w:r w:rsidRPr="00E8461E" w:rsidDel="00544C63">
        <w:rPr>
          <w:lang w:val="en-GB"/>
        </w:rPr>
        <w:t xml:space="preserve"> </w:t>
      </w:r>
      <w:r w:rsidRPr="00E8461E">
        <w:rPr>
          <w:lang w:val="en-GB"/>
        </w:rPr>
        <w:t xml:space="preserve">access to a suite of resources on readiness, </w:t>
      </w:r>
      <w:proofErr w:type="gramStart"/>
      <w:r w:rsidRPr="00E8461E">
        <w:rPr>
          <w:lang w:val="en-GB"/>
        </w:rPr>
        <w:t>response</w:t>
      </w:r>
      <w:proofErr w:type="gramEnd"/>
      <w:r w:rsidRPr="00E8461E">
        <w:rPr>
          <w:lang w:val="en-GB"/>
        </w:rPr>
        <w:t xml:space="preserve"> and recovery. A community driven, strengths-based initiative, the Hub enables communities to connect with health services in the wake of a disaster. The Hub also provides primary care practitioners with integrated tools to assist with disaster medical management education and post-traumatic stress disorder training.</w:t>
      </w:r>
    </w:p>
    <w:p w14:paraId="2FE640ED" w14:textId="4CA1B1CB" w:rsidR="00734E73" w:rsidRPr="00E8461E" w:rsidRDefault="00734E73" w:rsidP="00734E73">
      <w:pPr>
        <w:pBdr>
          <w:bottom w:val="single" w:sz="12" w:space="1" w:color="008A95" w:themeColor="accent1"/>
        </w:pBdr>
        <w:rPr>
          <w:lang w:val="en-GB"/>
        </w:rPr>
      </w:pPr>
      <w:r w:rsidRPr="00E8461E">
        <w:rPr>
          <w:lang w:val="en-GB"/>
        </w:rPr>
        <w:t>Healthy North Coast has introduced the Community Wellbeing and Resilience program, recognising the importance of community resilience in improving health and wellbeing following natural disasters. This program directly invests in location-based initiatives, supporting communities in building resilience and fostering social capital.</w:t>
      </w:r>
      <w:r w:rsidRPr="00E8461E">
        <w:rPr>
          <w:rStyle w:val="EndnoteReference"/>
          <w:lang w:val="en-GB"/>
        </w:rPr>
        <w:endnoteReference w:id="90"/>
      </w:r>
    </w:p>
    <w:p w14:paraId="435DA78F" w14:textId="3CDF9737" w:rsidR="0BC9C1DC" w:rsidRPr="00E8461E" w:rsidRDefault="0BC9C1DC">
      <w:pPr>
        <w:rPr>
          <w:lang w:val="en-GB"/>
        </w:rPr>
      </w:pPr>
    </w:p>
    <w:p w14:paraId="1BFD204E" w14:textId="77777777" w:rsidR="00734E73" w:rsidRPr="00E8461E" w:rsidRDefault="00734E73" w:rsidP="00D80EFD">
      <w:pPr>
        <w:pStyle w:val="Heading4"/>
        <w:rPr>
          <w:iCs w:val="0"/>
        </w:rPr>
      </w:pPr>
      <w:r w:rsidRPr="00E8461E">
        <w:rPr>
          <w:iCs w:val="0"/>
        </w:rPr>
        <w:t>Action 3.9</w:t>
      </w:r>
    </w:p>
    <w:p w14:paraId="58CD1D23" w14:textId="77777777" w:rsidR="00734E73" w:rsidRPr="00E8461E" w:rsidRDefault="00734E73" w:rsidP="00734E73">
      <w:pPr>
        <w:rPr>
          <w:b/>
          <w:lang w:val="en-GB"/>
        </w:rPr>
      </w:pPr>
      <w:r w:rsidRPr="00E8461E">
        <w:rPr>
          <w:b/>
          <w:lang w:val="en-GB"/>
        </w:rPr>
        <w:t>Strengthening the role of primary care in emergency response</w:t>
      </w:r>
    </w:p>
    <w:p w14:paraId="4FE3A886" w14:textId="77777777" w:rsidR="00734E73" w:rsidRPr="00E8461E" w:rsidRDefault="00734E73" w:rsidP="00734E73">
      <w:r w:rsidRPr="00E8461E">
        <w:t>The Australian Government will work with relevant stakeholders to strengthen the resilience and availability of primary care during and after climate-related disasters and extreme events by strengthening the role of Primary Health Networks in emergency preparedness and response. This will involve:</w:t>
      </w:r>
    </w:p>
    <w:p w14:paraId="6BC4EA3A" w14:textId="77777777" w:rsidR="00734E73" w:rsidRPr="00E8461E" w:rsidRDefault="00734E73" w:rsidP="00734E73">
      <w:pPr>
        <w:pStyle w:val="BulletUnindented"/>
      </w:pPr>
      <w:r w:rsidRPr="00E8461E">
        <w:t>Supporting Primary Health Networks to consider climate risks in the health needs assessment process and in planning and commissioning of local health services.</w:t>
      </w:r>
    </w:p>
    <w:p w14:paraId="7C5AB332" w14:textId="77777777" w:rsidR="00734E73" w:rsidRPr="00E8461E" w:rsidRDefault="00734E73" w:rsidP="00734E73">
      <w:pPr>
        <w:pStyle w:val="BulletUnindented"/>
        <w:spacing w:after="0"/>
      </w:pPr>
      <w:r w:rsidRPr="00E8461E">
        <w:t xml:space="preserve">Supporting Primary Health Networks to strengthen their functions in emergency preparedness, </w:t>
      </w:r>
      <w:proofErr w:type="gramStart"/>
      <w:r w:rsidRPr="00E8461E">
        <w:t>response</w:t>
      </w:r>
      <w:proofErr w:type="gramEnd"/>
      <w:r w:rsidRPr="00E8461E">
        <w:t xml:space="preserve"> and recovery. These functions encompass both:</w:t>
      </w:r>
    </w:p>
    <w:p w14:paraId="3E997662" w14:textId="77777777" w:rsidR="00734E73" w:rsidRPr="00E8461E" w:rsidRDefault="00734E73" w:rsidP="00734E73">
      <w:pPr>
        <w:pStyle w:val="BulletIndent1"/>
        <w:spacing w:after="0"/>
      </w:pPr>
      <w:r w:rsidRPr="00E8461E">
        <w:t xml:space="preserve">Coordinating existing primary care services – for example, providing guidance and practical coordination and support to ensure continuity of access to relevant clinical care and preventive activities (including mental health support) during climate-related emergencies, particularly to communities in vulnerable </w:t>
      </w:r>
      <w:proofErr w:type="gramStart"/>
      <w:r w:rsidRPr="00E8461E">
        <w:t>situations</w:t>
      </w:r>
      <w:proofErr w:type="gramEnd"/>
    </w:p>
    <w:p w14:paraId="205F52C3" w14:textId="77777777" w:rsidR="00734E73" w:rsidRPr="00E8461E" w:rsidRDefault="00734E73" w:rsidP="00734E73">
      <w:pPr>
        <w:pStyle w:val="BulletIndent1"/>
        <w:spacing w:after="0"/>
      </w:pPr>
      <w:r w:rsidRPr="00E8461E">
        <w:t>Commissioning new services to support additional community needs before, during, and after climate-related emergencies.</w:t>
      </w:r>
    </w:p>
    <w:p w14:paraId="68B8FE35" w14:textId="03F6CF6C" w:rsidR="00734E73" w:rsidRPr="00E8461E" w:rsidRDefault="00734E73" w:rsidP="00734E73">
      <w:pPr>
        <w:pStyle w:val="BulletUnindented"/>
        <w:pBdr>
          <w:bottom w:val="single" w:sz="12" w:space="1" w:color="008A95" w:themeColor="accent1"/>
        </w:pBdr>
      </w:pPr>
      <w:r w:rsidRPr="00E8461E">
        <w:t>Seeking to define clear roles for primary care and Primary Health Networks in emergency preparedness, response, and recovery activities – including by securing a role for Primary Health Networks in local incident response/command governance structures for climate-related emergencies.</w:t>
      </w:r>
    </w:p>
    <w:p w14:paraId="4F4C0916" w14:textId="097262A7" w:rsidR="00A01E34" w:rsidRPr="00E8461E" w:rsidRDefault="00A01E34" w:rsidP="00A01E34">
      <w:pPr>
        <w:rPr>
          <w:lang w:val="en-GB"/>
        </w:rPr>
      </w:pPr>
      <w:bookmarkStart w:id="89" w:name="_Toc149910006"/>
      <w:bookmarkStart w:id="90" w:name="_Toc149918472"/>
      <w:r w:rsidRPr="00E8461E">
        <w:rPr>
          <w:lang w:val="en-GB"/>
        </w:rPr>
        <w:t xml:space="preserve">Indigenous Rangers, Aboriginal Community-Controlled Health Services (ACCHS) and other </w:t>
      </w:r>
      <w:r w:rsidR="00913C97" w:rsidRPr="00E8461E">
        <w:rPr>
          <w:lang w:val="en-GB"/>
        </w:rPr>
        <w:t>First Nations</w:t>
      </w:r>
      <w:r w:rsidRPr="00E8461E">
        <w:rPr>
          <w:lang w:val="en-GB"/>
        </w:rPr>
        <w:t xml:space="preserve"> organisations play a critical role responding to the health impacts of climate change, including climate-related disasters and extreme weather events. First Nations people demonstrated their leadership of </w:t>
      </w:r>
      <w:r w:rsidRPr="00E8461E">
        <w:rPr>
          <w:lang w:val="en-GB"/>
        </w:rPr>
        <w:lastRenderedPageBreak/>
        <w:t xml:space="preserve">community responses and support during recent disasters including the COVID-19 pandemic, the 2019-20 Black Summer Bushfires and the 2022 and 2023 Eastern and Northern Australia Floods. Despite this, First Nations organisations are </w:t>
      </w:r>
      <w:r w:rsidR="009853AE" w:rsidRPr="00E8461E">
        <w:rPr>
          <w:lang w:val="en-GB"/>
        </w:rPr>
        <w:t xml:space="preserve">not often </w:t>
      </w:r>
      <w:r w:rsidRPr="00E8461E">
        <w:rPr>
          <w:lang w:val="en-GB"/>
        </w:rPr>
        <w:t xml:space="preserve">supported to participate </w:t>
      </w:r>
      <w:r w:rsidR="00F40C54" w:rsidRPr="00E8461E">
        <w:rPr>
          <w:lang w:val="en-GB"/>
        </w:rPr>
        <w:t xml:space="preserve">in </w:t>
      </w:r>
      <w:r w:rsidRPr="00E8461E">
        <w:rPr>
          <w:lang w:val="en-GB"/>
        </w:rPr>
        <w:t xml:space="preserve">disaster planning coordination mechanisms. </w:t>
      </w:r>
      <w:r w:rsidR="00F76410" w:rsidRPr="00E8461E">
        <w:rPr>
          <w:lang w:val="en-GB"/>
        </w:rPr>
        <w:t xml:space="preserve">Action </w:t>
      </w:r>
      <w:r w:rsidR="009C6D9D" w:rsidRPr="00E8461E">
        <w:rPr>
          <w:lang w:val="en-GB"/>
        </w:rPr>
        <w:t>3.4</w:t>
      </w:r>
      <w:r w:rsidR="00CB73F6" w:rsidRPr="00E8461E">
        <w:rPr>
          <w:lang w:val="en-GB"/>
        </w:rPr>
        <w:t xml:space="preserve"> in </w:t>
      </w:r>
      <w:r w:rsidR="00F7291B" w:rsidRPr="00E8461E">
        <w:rPr>
          <w:lang w:val="en-GB"/>
        </w:rPr>
        <w:t>s</w:t>
      </w:r>
      <w:r w:rsidR="00CB73F6" w:rsidRPr="00E8461E">
        <w:rPr>
          <w:lang w:val="en-GB"/>
        </w:rPr>
        <w:t xml:space="preserve">ection 3.1 will </w:t>
      </w:r>
      <w:r w:rsidR="00B7120D" w:rsidRPr="00E8461E">
        <w:rPr>
          <w:lang w:val="en-GB"/>
        </w:rPr>
        <w:t xml:space="preserve">support </w:t>
      </w:r>
      <w:r w:rsidR="005C704F" w:rsidRPr="00E8461E">
        <w:rPr>
          <w:lang w:val="en-GB"/>
        </w:rPr>
        <w:t>the capacity of ACCHS in health emergency planning, preparedness, and response.</w:t>
      </w:r>
    </w:p>
    <w:p w14:paraId="0A542EDF" w14:textId="1AEF03D4" w:rsidR="00E13C86" w:rsidRPr="00E8461E" w:rsidRDefault="00AE0059" w:rsidP="00CE2599">
      <w:pPr>
        <w:pStyle w:val="Heading2"/>
        <w:rPr>
          <w:lang w:val="en-GB"/>
        </w:rPr>
      </w:pPr>
      <w:bookmarkStart w:id="91" w:name="_Toc151999626"/>
      <w:r w:rsidRPr="00E8461E">
        <w:rPr>
          <w:lang w:val="en-GB"/>
        </w:rPr>
        <w:t>3</w:t>
      </w:r>
      <w:r w:rsidR="00701698" w:rsidRPr="00E8461E">
        <w:rPr>
          <w:lang w:val="en-GB"/>
        </w:rPr>
        <w:t>.</w:t>
      </w:r>
      <w:r w:rsidR="004E2265" w:rsidRPr="00E8461E">
        <w:rPr>
          <w:lang w:val="en-GB"/>
        </w:rPr>
        <w:t>5</w:t>
      </w:r>
      <w:r w:rsidR="00E13C86" w:rsidRPr="00E8461E">
        <w:rPr>
          <w:lang w:val="en-GB"/>
        </w:rPr>
        <w:t xml:space="preserve"> </w:t>
      </w:r>
      <w:r w:rsidR="002F5DFA" w:rsidRPr="00E8461E">
        <w:rPr>
          <w:lang w:val="en-GB"/>
        </w:rPr>
        <w:t>Protecting health by building</w:t>
      </w:r>
      <w:r w:rsidR="00E13C86" w:rsidRPr="00E8461E">
        <w:rPr>
          <w:lang w:val="en-GB"/>
        </w:rPr>
        <w:t xml:space="preserve"> a climate-resilient aged care </w:t>
      </w:r>
      <w:proofErr w:type="gramStart"/>
      <w:r w:rsidR="00E13C86" w:rsidRPr="00E8461E">
        <w:rPr>
          <w:lang w:val="en-GB"/>
        </w:rPr>
        <w:t>sector</w:t>
      </w:r>
      <w:bookmarkEnd w:id="91"/>
      <w:proofErr w:type="gramEnd"/>
    </w:p>
    <w:p w14:paraId="1BA64784" w14:textId="77777777" w:rsidR="00466EFB" w:rsidRPr="00E8461E" w:rsidRDefault="00466EFB" w:rsidP="00466EFB">
      <w:r w:rsidRPr="00E8461E">
        <w:t>Australia’s aged care system provides services and support to more than a million people each year, and residential care to around 188,000 people at any given point in time.</w:t>
      </w:r>
      <w:r w:rsidRPr="00E8461E">
        <w:rPr>
          <w:rStyle w:val="EndnoteReference"/>
        </w:rPr>
        <w:endnoteReference w:id="91"/>
      </w:r>
      <w:r w:rsidRPr="00E8461E">
        <w:t xml:space="preserve"> As Australia’s population ages, ensuring the aged care sector is resilient to the impacts of climate change will be a crucial challenge. Action taken to improve the health system and community resilience more broadly will have flow-on benefits that contribute to the climate resilience of aged care. However, the aged care sector faces a unique set of challenges and accordingly requires specific measures to improve its resilience. To protect the health of older people, and to ensure the aged care sector keeps pace with the Australia-wide transition to net zero, the Australian Government will ensure climate resilience and environmental sustainability are embedded in reforms to aged care in the years ahead.</w:t>
      </w:r>
    </w:p>
    <w:p w14:paraId="6F0CE9A6" w14:textId="77777777" w:rsidR="00BA055E" w:rsidRPr="00E8461E" w:rsidRDefault="009D549C" w:rsidP="00A62241">
      <w:pPr>
        <w:pStyle w:val="Heading3"/>
        <w:rPr>
          <w:lang w:val="en-GB"/>
        </w:rPr>
      </w:pPr>
      <w:r w:rsidRPr="00E8461E">
        <w:rPr>
          <w:lang w:val="en-GB"/>
        </w:rPr>
        <w:t>3</w:t>
      </w:r>
      <w:r w:rsidR="0032021D" w:rsidRPr="00E8461E">
        <w:rPr>
          <w:lang w:val="en-GB"/>
        </w:rPr>
        <w:t>.</w:t>
      </w:r>
      <w:r w:rsidR="004E2265" w:rsidRPr="00E8461E">
        <w:rPr>
          <w:lang w:val="en-GB"/>
        </w:rPr>
        <w:t>5</w:t>
      </w:r>
      <w:r w:rsidR="0032021D" w:rsidRPr="00E8461E">
        <w:rPr>
          <w:lang w:val="en-GB"/>
        </w:rPr>
        <w:t xml:space="preserve">.1 Aged care emergency </w:t>
      </w:r>
      <w:r w:rsidR="00BA1B86" w:rsidRPr="00E8461E">
        <w:rPr>
          <w:lang w:val="en-GB"/>
        </w:rPr>
        <w:t>preparedness, planning, and response</w:t>
      </w:r>
    </w:p>
    <w:p w14:paraId="0E42949A" w14:textId="77777777" w:rsidR="009E5A68" w:rsidRPr="00E8461E" w:rsidRDefault="00E13C86" w:rsidP="00E13C86">
      <w:r w:rsidRPr="00E8461E">
        <w:rPr>
          <w:rFonts w:cstheme="minorHAnsi"/>
        </w:rPr>
        <w:t>It is critical the aged care sector (including both private and government-run aged care services) is adequately prepared to manage the increased frequency and intensity of climate-related disasters and extreme weather events. The COVID-19 pandemic and recent extreme weather events have highlighted a need for improved guidance, support, and coordination for aged care providers in emergencies.</w:t>
      </w:r>
      <w:r w:rsidRPr="00E8461E">
        <w:t xml:space="preserve"> To protect clients’ health and wellbeing during climate-related extreme weather events, aged care providers must plan for and prepare to respond to these situations, while</w:t>
      </w:r>
      <w:r w:rsidRPr="00E8461E">
        <w:rPr>
          <w:rFonts w:asciiTheme="majorHAnsi" w:hAnsiTheme="majorHAnsi" w:cstheme="majorBidi"/>
        </w:rPr>
        <w:t xml:space="preserve"> </w:t>
      </w:r>
      <w:r w:rsidRPr="00E8461E">
        <w:t>respecting the rights of older</w:t>
      </w:r>
      <w:r w:rsidRPr="00E8461E">
        <w:rPr>
          <w:rFonts w:asciiTheme="majorHAnsi" w:hAnsiTheme="majorHAnsi" w:cstheme="majorBidi"/>
        </w:rPr>
        <w:t xml:space="preserve"> </w:t>
      </w:r>
      <w:r w:rsidRPr="00E8461E">
        <w:t xml:space="preserve">people and their choices. </w:t>
      </w:r>
    </w:p>
    <w:p w14:paraId="596DF49F" w14:textId="648F955D" w:rsidR="00E13C86" w:rsidRPr="00E8461E" w:rsidRDefault="00E13C86" w:rsidP="00E13C86">
      <w:pPr>
        <w:rPr>
          <w:rFonts w:ascii="Calibri" w:eastAsia="Calibri" w:hAnsi="Calibri" w:cs="Calibri"/>
        </w:rPr>
      </w:pPr>
      <w:r w:rsidRPr="00E8461E">
        <w:t>The Department of Health and Aged Care</w:t>
      </w:r>
      <w:r w:rsidRPr="00E8461E">
        <w:rPr>
          <w:rFonts w:ascii="Calibri" w:eastAsia="Calibri" w:hAnsi="Calibri" w:cs="Calibri"/>
        </w:rPr>
        <w:t>, Aged Care Quality and Safety Commission and National Emergency Management Agency</w:t>
      </w:r>
      <w:r w:rsidRPr="00E8461E">
        <w:t xml:space="preserve"> support the sector to be prepared for extreme weather events, particularly in the lead up to the high-risk weather season. The Australian Government is working to ensure aged care providers have greater clarity, </w:t>
      </w:r>
      <w:proofErr w:type="gramStart"/>
      <w:r w:rsidRPr="00E8461E">
        <w:t>guidance</w:t>
      </w:r>
      <w:proofErr w:type="gramEnd"/>
      <w:r w:rsidRPr="00E8461E">
        <w:t xml:space="preserve"> and support in emergency response, including during climate-related extreme weather events. </w:t>
      </w:r>
      <w:r w:rsidRPr="00E8461E">
        <w:rPr>
          <w:rFonts w:ascii="Calibri" w:eastAsia="Calibri" w:hAnsi="Calibri" w:cs="Calibri"/>
        </w:rPr>
        <w:t>The Government provides ongoing information and advice to aged care providers and can link providers to other services for increased support during and after emergencies. The Aged Care Quality and Safety Commission provide</w:t>
      </w:r>
      <w:r w:rsidR="00F04ECE" w:rsidRPr="00E8461E">
        <w:rPr>
          <w:rFonts w:ascii="Calibri" w:eastAsia="Calibri" w:hAnsi="Calibri" w:cs="Calibri"/>
        </w:rPr>
        <w:t>s</w:t>
      </w:r>
      <w:r w:rsidRPr="00E8461E">
        <w:rPr>
          <w:rFonts w:ascii="Calibri" w:eastAsia="Calibri" w:hAnsi="Calibri" w:cs="Calibri"/>
        </w:rPr>
        <w:t xml:space="preserve"> guidance materials on their website. Quality assessors provide education and advice to providers to encourage their emergency preparedness, </w:t>
      </w:r>
      <w:r w:rsidR="0007089B" w:rsidRPr="00E8461E">
        <w:rPr>
          <w:rFonts w:ascii="Calibri" w:eastAsia="Calibri" w:hAnsi="Calibri" w:cs="Calibri"/>
        </w:rPr>
        <w:t xml:space="preserve">and in addressing </w:t>
      </w:r>
      <w:r w:rsidRPr="00E8461E">
        <w:rPr>
          <w:rFonts w:ascii="Calibri" w:eastAsia="Calibri" w:hAnsi="Calibri" w:cs="Calibri"/>
        </w:rPr>
        <w:t>gaps identified in audits against standards.</w:t>
      </w:r>
    </w:p>
    <w:p w14:paraId="11F0C594" w14:textId="77777777" w:rsidR="00734E73" w:rsidRPr="00E8461E" w:rsidRDefault="00734E73" w:rsidP="00D80EFD">
      <w:pPr>
        <w:pStyle w:val="Heading4"/>
        <w:rPr>
          <w:iCs w:val="0"/>
        </w:rPr>
      </w:pPr>
      <w:r w:rsidRPr="00E8461E">
        <w:rPr>
          <w:iCs w:val="0"/>
        </w:rPr>
        <w:t>Action 3.10</w:t>
      </w:r>
    </w:p>
    <w:p w14:paraId="5CD88892" w14:textId="77777777" w:rsidR="00734E73" w:rsidRPr="00E8461E" w:rsidRDefault="00734E73" w:rsidP="00734E73">
      <w:pPr>
        <w:rPr>
          <w:rFonts w:ascii="Calibri" w:eastAsia="Calibri" w:hAnsi="Calibri" w:cs="Calibri"/>
          <w:b/>
          <w:lang w:val="en-GB"/>
        </w:rPr>
      </w:pPr>
      <w:r w:rsidRPr="00E8461E">
        <w:rPr>
          <w:b/>
          <w:lang w:val="en-GB"/>
        </w:rPr>
        <w:t>Improving aged care emergency p</w:t>
      </w:r>
      <w:r w:rsidRPr="00E8461E">
        <w:rPr>
          <w:rFonts w:ascii="Calibri" w:eastAsia="Calibri" w:hAnsi="Calibri" w:cs="Calibri"/>
          <w:b/>
          <w:lang w:val="en-GB"/>
        </w:rPr>
        <w:t>reparedness and response capability</w:t>
      </w:r>
    </w:p>
    <w:p w14:paraId="79FC1FA7" w14:textId="77777777" w:rsidR="00734E73" w:rsidRPr="00E8461E" w:rsidRDefault="00734E73" w:rsidP="00734E73">
      <w:pPr>
        <w:rPr>
          <w:rFonts w:ascii="Calibri" w:eastAsia="Calibri" w:hAnsi="Calibri" w:cs="Calibri"/>
          <w:lang w:val="en-GB"/>
        </w:rPr>
      </w:pPr>
      <w:r w:rsidRPr="00E8461E">
        <w:rPr>
          <w:rFonts w:ascii="Calibri" w:eastAsia="Calibri" w:hAnsi="Calibri" w:cs="Calibri"/>
        </w:rPr>
        <w:t>The Australian Government will take the following action to improve aged care emergency preparedness and response capability:</w:t>
      </w:r>
    </w:p>
    <w:p w14:paraId="585748F8" w14:textId="77777777" w:rsidR="00734E73" w:rsidRPr="00E8461E" w:rsidRDefault="00734E73" w:rsidP="00734E73">
      <w:pPr>
        <w:pStyle w:val="BulletUnindented"/>
        <w:rPr>
          <w:rFonts w:ascii="Calibri" w:eastAsia="Calibri" w:hAnsi="Calibri" w:cs="Calibri"/>
        </w:rPr>
      </w:pPr>
      <w:r w:rsidRPr="00E8461E">
        <w:t xml:space="preserve">Continue to provide guidance through effective communication to support aged care providers in emergency preparedness and response, with the expectation of increased frequency and severity of extreme weather events impacting on older people. This will be in conjunction with the Aged Care </w:t>
      </w:r>
      <w:r w:rsidRPr="00E8461E">
        <w:lastRenderedPageBreak/>
        <w:t>Quality and Safety Commission who has existing resourcing for direct engagement with aged care providers.</w:t>
      </w:r>
    </w:p>
    <w:p w14:paraId="736201ED" w14:textId="27974350" w:rsidR="00734E73" w:rsidRPr="00E8461E" w:rsidRDefault="00734E73" w:rsidP="00734E73">
      <w:pPr>
        <w:pStyle w:val="BulletUnindented"/>
        <w:pBdr>
          <w:bottom w:val="single" w:sz="12" w:space="1" w:color="008A95" w:themeColor="accent1"/>
        </w:pBdr>
        <w:rPr>
          <w:rFonts w:ascii="Calibri" w:eastAsia="Calibri" w:hAnsi="Calibri" w:cs="Calibri"/>
        </w:rPr>
      </w:pPr>
      <w:r w:rsidRPr="00E8461E">
        <w:t>Surveillance, monitoring and reporting of extreme weather events, with early identification of potential risks to quality of care to aged care residents, and timely information sharing when risks escalate, in collaboration with the Aged Care Quality and Safety Commission.</w:t>
      </w:r>
    </w:p>
    <w:p w14:paraId="0FCE48F4" w14:textId="444847CB" w:rsidR="0032021D" w:rsidRPr="00E8461E" w:rsidRDefault="009D549C" w:rsidP="00571F10">
      <w:pPr>
        <w:pStyle w:val="Heading3"/>
      </w:pPr>
      <w:r w:rsidRPr="00E8461E">
        <w:t>3</w:t>
      </w:r>
      <w:r w:rsidR="0032021D" w:rsidRPr="00E8461E">
        <w:t>.</w:t>
      </w:r>
      <w:r w:rsidR="004E2265" w:rsidRPr="00E8461E">
        <w:t>5</w:t>
      </w:r>
      <w:r w:rsidR="0032021D" w:rsidRPr="00E8461E">
        <w:t>.2 Aged care quality standards</w:t>
      </w:r>
    </w:p>
    <w:p w14:paraId="25DCD802" w14:textId="324E202E" w:rsidR="00E13C86" w:rsidRPr="00E8461E" w:rsidRDefault="00E13C86" w:rsidP="00E13C86">
      <w:r w:rsidRPr="00E8461E">
        <w:t xml:space="preserve">Following the Royal Commission into Aged Care Quality and Safety, the Australian Government is undertaking a broad package of reforms to ensure aged care at home and in residence is a safe place, where people have the quality of life they deserve. A key component of these reforms is to introduce a modernised, </w:t>
      </w:r>
      <w:proofErr w:type="gramStart"/>
      <w:r w:rsidRPr="00E8461E">
        <w:t>person-centred</w:t>
      </w:r>
      <w:proofErr w:type="gramEnd"/>
      <w:r w:rsidRPr="00E8461E">
        <w:t xml:space="preserve"> and rights-based Aged Care Act, along with a strengthened set of Quality Standards outlining the essential systems and controls that aged care providers must have in place to ensure delivery of safe and quality aged care. The new Aged Care Act, planned for 2024, will incorporate a strengthened set of Quality Standards that will include requirements for aged care providers to prepare for and respond to emergencies and disasters and to manage environmental risks to care and services. These updated Quality Standards will help to ensure aged care providers have greater clarity, guidance, and support on how to manage climate-related risks to the health of older people.</w:t>
      </w:r>
      <w:r w:rsidR="00E04038" w:rsidRPr="00E8461E">
        <w:rPr>
          <w:rStyle w:val="EndnoteReference"/>
        </w:rPr>
        <w:endnoteReference w:id="92"/>
      </w:r>
    </w:p>
    <w:p w14:paraId="68D5C2CB" w14:textId="77777777" w:rsidR="00734E73" w:rsidRPr="00E8461E" w:rsidRDefault="00734E73" w:rsidP="00734E73">
      <w:pPr>
        <w:pBdr>
          <w:top w:val="single" w:sz="12" w:space="1" w:color="008A95" w:themeColor="accent1"/>
        </w:pBdr>
        <w:rPr>
          <w:b/>
          <w:lang w:val="en-GB"/>
        </w:rPr>
      </w:pPr>
      <w:r w:rsidRPr="00E8461E">
        <w:rPr>
          <w:rStyle w:val="Heading4Char"/>
          <w:iCs w:val="0"/>
        </w:rPr>
        <w:t>Action 3.11</w:t>
      </w:r>
    </w:p>
    <w:p w14:paraId="6B9EDE27" w14:textId="77777777" w:rsidR="00734E73" w:rsidRPr="00E8461E" w:rsidRDefault="00734E73" w:rsidP="00734E73">
      <w:pPr>
        <w:rPr>
          <w:b/>
          <w:lang w:val="en-GB"/>
        </w:rPr>
      </w:pPr>
      <w:r w:rsidRPr="00E8461E">
        <w:rPr>
          <w:b/>
          <w:lang w:val="en-GB"/>
        </w:rPr>
        <w:t>Strengthening aged care quality standards</w:t>
      </w:r>
    </w:p>
    <w:p w14:paraId="7A354645" w14:textId="48BD7A66" w:rsidR="00734E73" w:rsidRPr="00E8461E" w:rsidRDefault="00734E73" w:rsidP="00734E73">
      <w:pPr>
        <w:pBdr>
          <w:bottom w:val="single" w:sz="12" w:space="1" w:color="008A95" w:themeColor="accent1"/>
        </w:pBdr>
      </w:pPr>
      <w:r w:rsidRPr="00E8461E">
        <w:t>From July 2024, the new Aged Care Act will give effect to a strengthened set of Aged Care Quality Standards</w:t>
      </w:r>
      <w:r w:rsidRPr="00E8461E">
        <w:rPr>
          <w:rFonts w:ascii="Calibri" w:eastAsia="Calibri" w:hAnsi="Calibri" w:cs="Calibri"/>
        </w:rPr>
        <w:t xml:space="preserve">, which will include requirements </w:t>
      </w:r>
      <w:r w:rsidRPr="00E8461E">
        <w:t>for providers for (a) emergency and disaster management, and (b) managing environmental risks relevant to care and services for older people. The Australian Government and the Aged Care Quality and Safety Commission will work together to develop accompanying guidance and implementation support tools, including to reduce climate-related risks to older peoples’ health.</w:t>
      </w:r>
    </w:p>
    <w:p w14:paraId="24F79F1E" w14:textId="56305417" w:rsidR="00E13C86" w:rsidRPr="00E8461E" w:rsidRDefault="009D549C" w:rsidP="00571F10">
      <w:pPr>
        <w:pStyle w:val="Heading3"/>
      </w:pPr>
      <w:r w:rsidRPr="00E8461E">
        <w:t>3</w:t>
      </w:r>
      <w:r w:rsidR="00B80164" w:rsidRPr="00E8461E">
        <w:t>.</w:t>
      </w:r>
      <w:r w:rsidR="004E2265" w:rsidRPr="00E8461E">
        <w:t>5</w:t>
      </w:r>
      <w:r w:rsidR="00B80164" w:rsidRPr="00E8461E">
        <w:t>.3 Aged care accommodation</w:t>
      </w:r>
    </w:p>
    <w:p w14:paraId="4400F1FE" w14:textId="47B41293" w:rsidR="00E13C86" w:rsidRPr="00E8461E" w:rsidRDefault="00E13C86" w:rsidP="00E13C86">
      <w:pPr>
        <w:rPr>
          <w:rFonts w:ascii="Calibri" w:eastAsia="Calibri" w:hAnsi="Calibri" w:cs="Calibri"/>
        </w:rPr>
      </w:pPr>
      <w:r w:rsidRPr="00E8461E">
        <w:t xml:space="preserve">It is vitally important that aged care accommodation is climate-resilient and able to protect residents’ health from climate-related extreme weather such as heatwaves and flooding. </w:t>
      </w:r>
      <w:r w:rsidRPr="00E8461E">
        <w:rPr>
          <w:rFonts w:ascii="Calibri" w:eastAsia="Calibri" w:hAnsi="Calibri" w:cs="Calibri"/>
        </w:rPr>
        <w:t>In response to Recommendation 45 of the Royal Commission</w:t>
      </w:r>
      <w:r w:rsidR="00E57148" w:rsidRPr="00E8461E">
        <w:rPr>
          <w:rFonts w:ascii="Calibri" w:eastAsia="Calibri" w:hAnsi="Calibri" w:cs="Calibri"/>
        </w:rPr>
        <w:t xml:space="preserve"> report</w:t>
      </w:r>
      <w:r w:rsidRPr="00E8461E">
        <w:rPr>
          <w:rFonts w:ascii="Calibri" w:eastAsia="Calibri" w:hAnsi="Calibri" w:cs="Calibri"/>
        </w:rPr>
        <w:t>, t</w:t>
      </w:r>
      <w:r w:rsidRPr="00E8461E">
        <w:t xml:space="preserve">he Australian Government </w:t>
      </w:r>
      <w:r w:rsidRPr="00E8461E">
        <w:rPr>
          <w:rFonts w:ascii="Calibri" w:eastAsia="Calibri" w:hAnsi="Calibri" w:cs="Calibri"/>
        </w:rPr>
        <w:t>has been working with older people, the aged care sector and design experts to improve the design of residential aged care accommodation.</w:t>
      </w:r>
      <w:r w:rsidR="001869B1" w:rsidRPr="00E8461E">
        <w:rPr>
          <w:rStyle w:val="EndnoteReference"/>
          <w:rFonts w:ascii="Calibri" w:eastAsia="Calibri" w:hAnsi="Calibri" w:cs="Calibri"/>
        </w:rPr>
        <w:endnoteReference w:id="93"/>
      </w:r>
      <w:r w:rsidRPr="00E8461E">
        <w:rPr>
          <w:rFonts w:ascii="Calibri" w:eastAsia="Calibri" w:hAnsi="Calibri" w:cs="Calibri"/>
        </w:rPr>
        <w:t xml:space="preserve"> The</w:t>
      </w:r>
      <w:r w:rsidRPr="00E8461E" w:rsidDel="00594361">
        <w:rPr>
          <w:rFonts w:ascii="Calibri" w:eastAsia="Calibri" w:hAnsi="Calibri" w:cs="Calibri"/>
        </w:rPr>
        <w:t xml:space="preserve"> </w:t>
      </w:r>
      <w:r w:rsidRPr="00E8461E">
        <w:rPr>
          <w:rFonts w:ascii="Calibri" w:eastAsia="Calibri" w:hAnsi="Calibri" w:cs="Calibri"/>
        </w:rPr>
        <w:t xml:space="preserve">Government </w:t>
      </w:r>
      <w:r w:rsidRPr="00E8461E">
        <w:t xml:space="preserve">is developing </w:t>
      </w:r>
      <w:r w:rsidRPr="00E8461E">
        <w:rPr>
          <w:rFonts w:ascii="Calibri" w:eastAsia="Calibri" w:hAnsi="Calibri" w:cs="Calibri"/>
        </w:rPr>
        <w:t xml:space="preserve">a new Residential Aged Care Accommodation Framework, which includes </w:t>
      </w:r>
      <w:r w:rsidRPr="00E8461E">
        <w:t>National Aged Care Design Principles and Guidelines</w:t>
      </w:r>
      <w:r w:rsidRPr="00E8461E">
        <w:rPr>
          <w:rFonts w:ascii="Calibri" w:eastAsia="Calibri" w:hAnsi="Calibri" w:cs="Calibri"/>
        </w:rPr>
        <w:t>, to</w:t>
      </w:r>
      <w:r w:rsidRPr="00E8461E">
        <w:t xml:space="preserve"> provide a comprehensive, evidence-based resource for design of aged care accommodation. </w:t>
      </w:r>
      <w:r w:rsidRPr="00E8461E">
        <w:rPr>
          <w:rFonts w:ascii="Calibri" w:eastAsia="Calibri" w:hAnsi="Calibri" w:cs="Calibri"/>
        </w:rPr>
        <w:t>Draft Principles and Guidelines (which were released in September 2023 for consultation) recognise the importance of environmental sustainability and incorporating sustainable design principles into aged care homes.</w:t>
      </w:r>
      <w:r w:rsidR="00C60B78" w:rsidRPr="00E8461E">
        <w:rPr>
          <w:rStyle w:val="EndnoteReference"/>
          <w:rFonts w:ascii="Calibri" w:eastAsia="Calibri" w:hAnsi="Calibri" w:cs="Calibri"/>
        </w:rPr>
        <w:endnoteReference w:id="94"/>
      </w:r>
    </w:p>
    <w:p w14:paraId="71412397" w14:textId="77777777" w:rsidR="00AC4D44" w:rsidRDefault="00AC4D44">
      <w:pPr>
        <w:spacing w:after="160" w:line="259" w:lineRule="auto"/>
        <w:rPr>
          <w:rFonts w:eastAsiaTheme="majorEastAsia" w:cstheme="majorBidi"/>
          <w:b/>
          <w:bCs/>
          <w:caps/>
          <w:color w:val="153A6E" w:themeColor="accent2"/>
          <w:lang w:val="en-GB"/>
        </w:rPr>
      </w:pPr>
      <w:r>
        <w:rPr>
          <w:iCs/>
        </w:rPr>
        <w:br w:type="page"/>
      </w:r>
    </w:p>
    <w:p w14:paraId="51A5A63E" w14:textId="362CD701" w:rsidR="00734E73" w:rsidRPr="00E8461E" w:rsidRDefault="00734E73" w:rsidP="00D80EFD">
      <w:pPr>
        <w:pStyle w:val="Heading4"/>
        <w:rPr>
          <w:iCs w:val="0"/>
        </w:rPr>
      </w:pPr>
      <w:r w:rsidRPr="00E8461E">
        <w:rPr>
          <w:iCs w:val="0"/>
        </w:rPr>
        <w:lastRenderedPageBreak/>
        <w:t>Action 3.12</w:t>
      </w:r>
    </w:p>
    <w:p w14:paraId="5AE788D7" w14:textId="77777777" w:rsidR="00734E73" w:rsidRPr="00E8461E" w:rsidRDefault="00734E73" w:rsidP="00734E73">
      <w:pPr>
        <w:rPr>
          <w:b/>
          <w:lang w:val="en-GB"/>
        </w:rPr>
      </w:pPr>
      <w:r w:rsidRPr="00E8461E">
        <w:rPr>
          <w:b/>
          <w:lang w:val="en-GB"/>
        </w:rPr>
        <w:t>Introducing aged care design principles and guidelines</w:t>
      </w:r>
    </w:p>
    <w:p w14:paraId="62397761" w14:textId="7F7984A8" w:rsidR="00734E73" w:rsidRPr="00E8461E" w:rsidRDefault="00734E73" w:rsidP="00734E73">
      <w:pPr>
        <w:pBdr>
          <w:bottom w:val="single" w:sz="12" w:space="1" w:color="008A95" w:themeColor="accent1"/>
        </w:pBdr>
        <w:rPr>
          <w:rFonts w:ascii="Calibri" w:eastAsia="Calibri" w:hAnsi="Calibri" w:cs="Calibri"/>
          <w:u w:val="single"/>
        </w:rPr>
      </w:pPr>
      <w:r w:rsidRPr="00E8461E">
        <w:rPr>
          <w:rFonts w:cstheme="minorHAnsi"/>
        </w:rPr>
        <w:t>From 2024, the Australian Government will introduce the National Aged Care Design Principles and Guidelines, which will include considering environmental sustainability and options for climate resilience when designing aged care homes.</w:t>
      </w:r>
    </w:p>
    <w:p w14:paraId="6D68734A" w14:textId="77777777" w:rsidR="00A60BCB" w:rsidRPr="00E8461E" w:rsidRDefault="00A60BCB">
      <w:pPr>
        <w:spacing w:after="160"/>
        <w:rPr>
          <w:lang w:val="en-GB"/>
        </w:rPr>
      </w:pPr>
      <w:r w:rsidRPr="00E8461E">
        <w:rPr>
          <w:lang w:val="en-GB"/>
        </w:rPr>
        <w:br w:type="page"/>
      </w:r>
    </w:p>
    <w:p w14:paraId="0D02CF3C" w14:textId="11AC523C" w:rsidR="00A60BCB" w:rsidRPr="00E8461E" w:rsidRDefault="00A60BCB" w:rsidP="00D76CDF">
      <w:pPr>
        <w:pStyle w:val="Heading1"/>
        <w:rPr>
          <w:lang w:val="en-GB"/>
        </w:rPr>
      </w:pPr>
      <w:bookmarkStart w:id="92" w:name="_Toc151999627"/>
      <w:r w:rsidRPr="00E8461E">
        <w:rPr>
          <w:lang w:val="en-GB"/>
        </w:rPr>
        <w:lastRenderedPageBreak/>
        <w:t>Chapter 4: Building a sustainable, high</w:t>
      </w:r>
      <w:r w:rsidR="00140CDA" w:rsidRPr="00E8461E">
        <w:rPr>
          <w:lang w:val="en-GB"/>
        </w:rPr>
        <w:t>-</w:t>
      </w:r>
      <w:r w:rsidRPr="00E8461E">
        <w:rPr>
          <w:lang w:val="en-GB"/>
        </w:rPr>
        <w:t xml:space="preserve">quality, net zero health </w:t>
      </w:r>
      <w:proofErr w:type="gramStart"/>
      <w:r w:rsidRPr="00E8461E">
        <w:rPr>
          <w:lang w:val="en-GB"/>
        </w:rPr>
        <w:t>system</w:t>
      </w:r>
      <w:bookmarkEnd w:id="92"/>
      <w:proofErr w:type="gramEnd"/>
    </w:p>
    <w:p w14:paraId="1ADB811F" w14:textId="71F53403" w:rsidR="00653752" w:rsidRPr="00E8461E" w:rsidRDefault="00653752" w:rsidP="00653752">
      <w:pPr>
        <w:rPr>
          <w:lang w:val="en-GB"/>
        </w:rPr>
      </w:pPr>
      <w:r w:rsidRPr="00E8461E">
        <w:rPr>
          <w:noProof/>
          <w:lang w:val="en-GB"/>
        </w:rPr>
        <mc:AlternateContent>
          <mc:Choice Requires="wps">
            <w:drawing>
              <wp:inline distT="0" distB="0" distL="0" distR="0" wp14:anchorId="66D9484E" wp14:editId="38B7C3DC">
                <wp:extent cx="1035592" cy="115657"/>
                <wp:effectExtent l="0" t="0" r="0" b="0"/>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0D7B4A" id="Rectangle 11"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1E9D1623" w14:textId="12E76733" w:rsidR="00653752" w:rsidRPr="00E8461E" w:rsidRDefault="00653752" w:rsidP="00653752">
      <w:pPr>
        <w:shd w:val="clear" w:color="auto" w:fill="F0F1F1" w:themeFill="background2"/>
        <w:spacing w:after="0"/>
        <w:rPr>
          <w:b/>
          <w:color w:val="0A1D37" w:themeColor="accent2" w:themeShade="80"/>
        </w:rPr>
      </w:pPr>
      <w:r w:rsidRPr="00E8461E">
        <w:rPr>
          <w:b/>
          <w:color w:val="0A1D37" w:themeColor="accent2" w:themeShade="80"/>
        </w:rPr>
        <w:t>OBJECTIVE 2 - HEALTH SYSTEM DECARBONISATION</w:t>
      </w:r>
    </w:p>
    <w:p w14:paraId="4E7F3B9F" w14:textId="0B66F8E3" w:rsidR="00A60BCB" w:rsidRPr="00E8461E" w:rsidRDefault="00653752" w:rsidP="00653752">
      <w:pPr>
        <w:pBdr>
          <w:bottom w:val="single" w:sz="12" w:space="1" w:color="153A6E" w:themeColor="accent2"/>
        </w:pBdr>
        <w:shd w:val="clear" w:color="auto" w:fill="F0F1F1" w:themeFill="background2"/>
        <w:rPr>
          <w:rFonts w:eastAsia="Times New Roman"/>
          <w:lang w:val="en-GB"/>
        </w:rPr>
      </w:pPr>
      <w:r w:rsidRPr="00E8461E">
        <w:rPr>
          <w:b/>
        </w:rPr>
        <w:t>Build a sustainable, high-quality, net zero health system</w:t>
      </w:r>
      <w:r w:rsidRPr="00E8461E">
        <w:rPr>
          <w:b/>
          <w:bCs/>
        </w:rPr>
        <w:t>.</w:t>
      </w:r>
      <w:r w:rsidRPr="00E8461E">
        <w:t xml:space="preserve"> The Strategy will guide the development of a plan to decarbonise the Australian health system, informed by a comprehensive assessment of the emissions footprint of the Australian health system and existing state and territory strategies and plans.</w:t>
      </w:r>
    </w:p>
    <w:p w14:paraId="7E6833D0" w14:textId="13C9C1A9" w:rsidR="00A60BCB" w:rsidRPr="00E8461E" w:rsidRDefault="00A60BCB" w:rsidP="00A60BCB">
      <w:pPr>
        <w:rPr>
          <w:lang w:val="en-GB"/>
        </w:rPr>
      </w:pPr>
      <w:r w:rsidRPr="00E8461E">
        <w:rPr>
          <w:lang w:val="en-GB"/>
        </w:rPr>
        <w:t xml:space="preserve">As greenhouse gases concentrate in the atmosphere, they lead to further rises in global temperature and climate-related health risks, which amplify </w:t>
      </w:r>
      <w:r w:rsidRPr="00E8461E" w:rsidDel="00F36A9C">
        <w:rPr>
          <w:lang w:val="en-GB"/>
        </w:rPr>
        <w:t xml:space="preserve">with </w:t>
      </w:r>
      <w:r w:rsidRPr="00E8461E">
        <w:rPr>
          <w:lang w:val="en-GB"/>
        </w:rPr>
        <w:t>every increment of warming. Carbon dioxide (CO</w:t>
      </w:r>
      <w:r w:rsidRPr="00E8461E">
        <w:rPr>
          <w:vertAlign w:val="subscript"/>
          <w:lang w:val="en-GB"/>
        </w:rPr>
        <w:t>2</w:t>
      </w:r>
      <w:r w:rsidRPr="00E8461E">
        <w:rPr>
          <w:lang w:val="en-GB"/>
        </w:rPr>
        <w:t>) from fossil fuel combustion and industry is the largest contributor, accounting for 64% global emissions (in CO</w:t>
      </w:r>
      <w:r w:rsidRPr="00E8461E">
        <w:rPr>
          <w:vertAlign w:val="subscript"/>
          <w:lang w:val="en-GB"/>
        </w:rPr>
        <w:t>2</w:t>
      </w:r>
      <w:r w:rsidRPr="00E8461E">
        <w:rPr>
          <w:lang w:val="en-GB"/>
        </w:rPr>
        <w:t xml:space="preserve"> equivalent, CO</w:t>
      </w:r>
      <w:r w:rsidRPr="00E8461E">
        <w:rPr>
          <w:vertAlign w:val="subscript"/>
          <w:lang w:val="en-GB"/>
        </w:rPr>
        <w:t>2</w:t>
      </w:r>
      <w:r w:rsidRPr="00E8461E">
        <w:rPr>
          <w:lang w:val="en-GB"/>
        </w:rPr>
        <w:t>-e) in 2019. Methane contributes the next largest proportion at 18%, followed by net CO</w:t>
      </w:r>
      <w:r w:rsidRPr="00E8461E">
        <w:rPr>
          <w:vertAlign w:val="subscript"/>
          <w:lang w:val="en-GB"/>
        </w:rPr>
        <w:t>2</w:t>
      </w:r>
      <w:r w:rsidRPr="00E8461E">
        <w:rPr>
          <w:lang w:val="en-GB"/>
        </w:rPr>
        <w:t xml:space="preserve"> from land use, land-use change and forestry. Nitrous oxide and fluorinated gases are also greenhouse gases, contributing 4% and 2% respectively to global emissions.</w:t>
      </w:r>
      <w:r w:rsidR="001738C3" w:rsidRPr="00E8461E">
        <w:rPr>
          <w:vertAlign w:val="superscript"/>
          <w:lang w:val="en-GB"/>
        </w:rPr>
        <w:endnoteReference w:id="95"/>
      </w:r>
    </w:p>
    <w:p w14:paraId="41FDDE3D" w14:textId="3E17200D" w:rsidR="00A60BCB" w:rsidRPr="00E8461E" w:rsidRDefault="00A60BCB" w:rsidP="00A60BCB">
      <w:pPr>
        <w:rPr>
          <w:lang w:val="en-GB"/>
        </w:rPr>
      </w:pPr>
      <w:r w:rsidRPr="00E8461E">
        <w:rPr>
          <w:lang w:val="en-GB"/>
        </w:rPr>
        <w:t>Globally, healthcare makes a substantial contribution to climate change, directly or indirectly contributing 5% of total global greenhouse gas emissions.</w:t>
      </w:r>
      <w:r w:rsidRPr="00E8461E">
        <w:rPr>
          <w:vertAlign w:val="superscript"/>
          <w:lang w:val="en-GB"/>
        </w:rPr>
        <w:endnoteReference w:id="96"/>
      </w:r>
      <w:r w:rsidRPr="00E8461E">
        <w:rPr>
          <w:lang w:val="en-GB"/>
        </w:rPr>
        <w:t xml:space="preserve"> The figure in Australia is similar – data from the Department of Climate Change, Environment, Energy and Water suggests that counting direct and indirect emissions, the health system contributes 5.</w:t>
      </w:r>
      <w:r w:rsidR="00BD52DD" w:rsidRPr="00E8461E">
        <w:rPr>
          <w:lang w:val="en-GB"/>
        </w:rPr>
        <w:t>3</w:t>
      </w:r>
      <w:r w:rsidRPr="00E8461E">
        <w:rPr>
          <w:lang w:val="en-GB"/>
        </w:rPr>
        <w:t>% of Australia’s emissions.</w:t>
      </w:r>
      <w:r w:rsidRPr="00E8461E">
        <w:rPr>
          <w:rStyle w:val="EndnoteReference"/>
          <w:lang w:val="en-GB"/>
        </w:rPr>
        <w:endnoteReference w:id="97"/>
      </w:r>
      <w:r w:rsidRPr="00E8461E">
        <w:rPr>
          <w:lang w:val="en-GB"/>
        </w:rPr>
        <w:t xml:space="preserve"> Therefore, decarbonising the health system is also critical to achieving Australia’s net zero target. The key challenge involved in delivering this objective is to improve health, equity, and patient experience, whilst reducing waste and emissions.</w:t>
      </w:r>
    </w:p>
    <w:p w14:paraId="15C65C5D" w14:textId="0687B4E3" w:rsidR="00A60BCB" w:rsidRPr="00E8461E" w:rsidRDefault="00A60BCB" w:rsidP="00A60BCB">
      <w:pPr>
        <w:rPr>
          <w:lang w:val="en-GB"/>
        </w:rPr>
      </w:pPr>
      <w:r w:rsidRPr="00E8461E">
        <w:rPr>
          <w:lang w:val="en-GB"/>
        </w:rPr>
        <w:t xml:space="preserve">In addition to emitting greenhouse gases, the drivers and consequences of climate change also contribute to other environmental harms, such as biodiversity loss, </w:t>
      </w:r>
      <w:proofErr w:type="gramStart"/>
      <w:r w:rsidRPr="00E8461E">
        <w:rPr>
          <w:lang w:val="en-GB"/>
        </w:rPr>
        <w:t>pollution</w:t>
      </w:r>
      <w:proofErr w:type="gramEnd"/>
      <w:r w:rsidRPr="00E8461E">
        <w:rPr>
          <w:lang w:val="en-GB"/>
        </w:rPr>
        <w:t xml:space="preserve"> and waste. The multiple facets of climate change mean that there are also multiple benefits to climate change mitigation,</w:t>
      </w:r>
      <w:r w:rsidRPr="00E8461E" w:rsidDel="004745B5">
        <w:rPr>
          <w:lang w:val="en-GB"/>
        </w:rPr>
        <w:t xml:space="preserve"> </w:t>
      </w:r>
      <w:r w:rsidRPr="00E8461E">
        <w:rPr>
          <w:lang w:val="en-GB"/>
        </w:rPr>
        <w:t xml:space="preserve">‘co-benefits’ that can be realised locally and in the short-term. For example, the electrification of ambulances and hospital transport vehicles will reduce air pollution emissions at the tailpipe and hence reduce the </w:t>
      </w:r>
      <w:r w:rsidR="00F31445" w:rsidRPr="00E8461E">
        <w:rPr>
          <w:lang w:val="en-GB"/>
        </w:rPr>
        <w:t>risk</w:t>
      </w:r>
      <w:r w:rsidR="00457B54" w:rsidRPr="00E8461E">
        <w:rPr>
          <w:lang w:val="en-GB"/>
        </w:rPr>
        <w:t xml:space="preserve"> </w:t>
      </w:r>
      <w:r w:rsidRPr="00E8461E">
        <w:rPr>
          <w:lang w:val="en-GB"/>
        </w:rPr>
        <w:t xml:space="preserve">of respiratory diseases in adjacent areas. Where appropriate, given the individual’s circumstances, active travel to healthcare facilities (such as walking and cycling) would also have a positive impact in reducing air pollution, whilst also lowering the risk of cardiovascular disease and diabetes, and leading to improved mental health outcomes. Such interventions also have wider benefits – for example, active travel will benefit the Australian economy through increased productivity from reduced disease and mortality attributed to physical inactivity. </w:t>
      </w:r>
      <w:r w:rsidR="00823BF2" w:rsidRPr="00E8461E">
        <w:rPr>
          <w:lang w:val="en-GB"/>
        </w:rPr>
        <w:t xml:space="preserve">The health co-benefits of </w:t>
      </w:r>
      <w:r w:rsidR="007127AC" w:rsidRPr="00E8461E">
        <w:rPr>
          <w:lang w:val="en-GB"/>
        </w:rPr>
        <w:t xml:space="preserve">mitigation are discussed further </w:t>
      </w:r>
      <w:r w:rsidR="007F6392" w:rsidRPr="00E8461E">
        <w:rPr>
          <w:lang w:val="en-GB"/>
        </w:rPr>
        <w:t xml:space="preserve">in </w:t>
      </w:r>
      <w:r w:rsidR="00DF5127" w:rsidRPr="00E8461E">
        <w:rPr>
          <w:lang w:val="en-GB"/>
        </w:rPr>
        <w:t>Chapter 6</w:t>
      </w:r>
      <w:r w:rsidR="00534E95" w:rsidRPr="00E8461E">
        <w:rPr>
          <w:lang w:val="en-GB"/>
        </w:rPr>
        <w:t>.</w:t>
      </w:r>
    </w:p>
    <w:p w14:paraId="75D21900" w14:textId="1543856C" w:rsidR="00A60BCB" w:rsidRPr="00E8461E" w:rsidRDefault="00A60BCB" w:rsidP="00A60BCB">
      <w:pPr>
        <w:rPr>
          <w:lang w:val="en-GB"/>
        </w:rPr>
      </w:pPr>
      <w:r w:rsidRPr="00E8461E">
        <w:rPr>
          <w:lang w:val="en-GB"/>
        </w:rPr>
        <w:t xml:space="preserve">Objective </w:t>
      </w:r>
      <w:r w:rsidR="00F84A81" w:rsidRPr="00E8461E">
        <w:rPr>
          <w:lang w:val="en-GB"/>
        </w:rPr>
        <w:t>2</w:t>
      </w:r>
      <w:r w:rsidRPr="00E8461E">
        <w:rPr>
          <w:lang w:val="en-GB"/>
        </w:rPr>
        <w:t xml:space="preserve"> of the Strategy is to build a sustainable, high-quality net zero health system. This chapter </w:t>
      </w:r>
      <w:r w:rsidR="009857A5" w:rsidRPr="00E8461E">
        <w:rPr>
          <w:lang w:val="en-GB"/>
        </w:rPr>
        <w:t xml:space="preserve">first </w:t>
      </w:r>
      <w:r w:rsidRPr="00E8461E">
        <w:rPr>
          <w:lang w:val="en-GB"/>
        </w:rPr>
        <w:t xml:space="preserve">discusses the measurement of health system greenhouse gas emissions – the sources of emissions; how Australian health system emissions are currently measured; and what is required to better measure, understand and report on health system emissions. This chapter then outlines interventions to </w:t>
      </w:r>
      <w:r w:rsidR="00A32757" w:rsidRPr="00E8461E">
        <w:rPr>
          <w:lang w:val="en-GB"/>
        </w:rPr>
        <w:t xml:space="preserve">equitably </w:t>
      </w:r>
      <w:r w:rsidRPr="00E8461E">
        <w:rPr>
          <w:lang w:val="en-GB"/>
        </w:rPr>
        <w:t xml:space="preserve">reduce health system emissions, by reducing demand for care and by decarbonising delivery of care. </w:t>
      </w:r>
      <w:r w:rsidR="00C02C17" w:rsidRPr="00E8461E">
        <w:rPr>
          <w:lang w:val="en-GB"/>
        </w:rPr>
        <w:t xml:space="preserve">The delivery of </w:t>
      </w:r>
      <w:r w:rsidR="00B83B0A" w:rsidRPr="00E8461E">
        <w:rPr>
          <w:lang w:val="en-GB"/>
        </w:rPr>
        <w:t xml:space="preserve">high-quality </w:t>
      </w:r>
      <w:r w:rsidR="008F54A8" w:rsidRPr="00E8461E">
        <w:rPr>
          <w:lang w:val="en-GB"/>
        </w:rPr>
        <w:t xml:space="preserve">healthcare is first and foremost </w:t>
      </w:r>
      <w:r w:rsidR="00122F1C" w:rsidRPr="00E8461E">
        <w:rPr>
          <w:lang w:val="en-GB"/>
        </w:rPr>
        <w:t xml:space="preserve">and will </w:t>
      </w:r>
      <w:r w:rsidR="00D12AC9" w:rsidRPr="00E8461E">
        <w:rPr>
          <w:lang w:val="en-GB"/>
        </w:rPr>
        <w:t>underline each of these actions.</w:t>
      </w:r>
    </w:p>
    <w:p w14:paraId="1815FE34" w14:textId="1673E76D" w:rsidR="00A60BCB" w:rsidRPr="00E8461E" w:rsidRDefault="00660E87" w:rsidP="00CE2599">
      <w:pPr>
        <w:pStyle w:val="Heading2"/>
      </w:pPr>
      <w:bookmarkStart w:id="93" w:name="_Toc147086741"/>
      <w:bookmarkStart w:id="94" w:name="_Toc147502192"/>
      <w:bookmarkStart w:id="95" w:name="_Toc149909978"/>
      <w:bookmarkStart w:id="96" w:name="_Toc149918443"/>
      <w:bookmarkStart w:id="97" w:name="_Toc151999628"/>
      <w:r w:rsidRPr="00E8461E">
        <w:t>4</w:t>
      </w:r>
      <w:r w:rsidR="00A60BCB" w:rsidRPr="00E8461E">
        <w:t>.1 Measuring health system greenhouse gas emissions</w:t>
      </w:r>
      <w:bookmarkEnd w:id="93"/>
      <w:bookmarkEnd w:id="94"/>
      <w:bookmarkEnd w:id="95"/>
      <w:bookmarkEnd w:id="96"/>
      <w:bookmarkEnd w:id="97"/>
    </w:p>
    <w:p w14:paraId="1EC5C545" w14:textId="77777777" w:rsidR="00A60BCB" w:rsidRPr="00E8461E" w:rsidRDefault="00A60BCB" w:rsidP="00A60BCB">
      <w:pPr>
        <w:rPr>
          <w:lang w:val="en-GB"/>
        </w:rPr>
      </w:pPr>
      <w:r w:rsidRPr="00E8461E">
        <w:rPr>
          <w:lang w:val="en-GB"/>
        </w:rPr>
        <w:t xml:space="preserve">To measure and track our success in reducing health system greenhouse gas emissions, we need robust, periodically updated, consistent and sufficiently granular estimates of current emissions levels. This section lays out how greenhouse gas emissions are categorised, explaining what is included in scope 1, 2 and 3 </w:t>
      </w:r>
      <w:r w:rsidRPr="00E8461E">
        <w:rPr>
          <w:lang w:val="en-GB"/>
        </w:rPr>
        <w:lastRenderedPageBreak/>
        <w:t>emissions, and how health system emissions can be measured at both the organisation level and at the product level, through life cycle assessments. It then reports on how health system emissions are currently measured through the Government’s National Greenhouse Accounts and National Greenhouse and Energy Reporting scheme and by states and territories.</w:t>
      </w:r>
    </w:p>
    <w:p w14:paraId="242D9A45" w14:textId="07474840" w:rsidR="00A60BCB" w:rsidRPr="00E8461E" w:rsidRDefault="00660E87" w:rsidP="00571F10">
      <w:pPr>
        <w:pStyle w:val="Heading3"/>
        <w:rPr>
          <w:lang w:val="en-GB"/>
        </w:rPr>
      </w:pPr>
      <w:bookmarkStart w:id="98" w:name="_Toc147086742"/>
      <w:bookmarkStart w:id="99" w:name="_Toc147502193"/>
      <w:bookmarkStart w:id="100" w:name="_Toc149909979"/>
      <w:bookmarkStart w:id="101" w:name="_Toc149918444"/>
      <w:r w:rsidRPr="00E8461E">
        <w:t>4</w:t>
      </w:r>
      <w:r w:rsidR="00A60BCB" w:rsidRPr="00E8461E">
        <w:rPr>
          <w:lang w:val="en-GB"/>
        </w:rPr>
        <w:t>.1.1 Scope 1, 2 and 3 emissions</w:t>
      </w:r>
      <w:bookmarkEnd w:id="98"/>
      <w:bookmarkEnd w:id="99"/>
      <w:bookmarkEnd w:id="100"/>
      <w:bookmarkEnd w:id="101"/>
    </w:p>
    <w:p w14:paraId="0484175F" w14:textId="77777777" w:rsidR="00A60BCB" w:rsidRPr="00E8461E" w:rsidRDefault="00A60BCB" w:rsidP="00A60BCB">
      <w:pPr>
        <w:rPr>
          <w:lang w:val="en-GB"/>
        </w:rPr>
      </w:pPr>
      <w:r w:rsidRPr="00E8461E">
        <w:rPr>
          <w:lang w:val="en-GB"/>
        </w:rPr>
        <w:t>Sources of greenhouse gas emissions are commonly categorised as follows:</w:t>
      </w:r>
      <w:r w:rsidRPr="00E8461E">
        <w:rPr>
          <w:rStyle w:val="EndnoteReference"/>
          <w:lang w:val="en-GB"/>
        </w:rPr>
        <w:endnoteReference w:id="98"/>
      </w:r>
    </w:p>
    <w:p w14:paraId="5A8143DE" w14:textId="77777777" w:rsidR="00A60BCB" w:rsidRPr="00E8461E" w:rsidRDefault="00A60BCB" w:rsidP="0065729E">
      <w:pPr>
        <w:pStyle w:val="BulletUnindented"/>
      </w:pPr>
      <w:r w:rsidRPr="00E8461E">
        <w:rPr>
          <w:b/>
        </w:rPr>
        <w:t>Scope 1 emissions</w:t>
      </w:r>
      <w:r w:rsidRPr="00E8461E">
        <w:t xml:space="preserve"> (direct emissions) are produced from sources within the boundary of an organisation</w:t>
      </w:r>
      <w:r w:rsidRPr="00E8461E" w:rsidDel="00251BB5">
        <w:t>,</w:t>
      </w:r>
      <w:r w:rsidRPr="00E8461E">
        <w:t xml:space="preserve"> and </w:t>
      </w:r>
      <w:proofErr w:type="gramStart"/>
      <w:r w:rsidRPr="00E8461E">
        <w:t>as a result of</w:t>
      </w:r>
      <w:proofErr w:type="gramEnd"/>
      <w:r w:rsidRPr="00E8461E">
        <w:t xml:space="preserve"> that organisation’s activities, and are calculated at the point of emission release. These include emissions from the use of anaesthetic gases and natural gas for heating by hospitals, and fuel use in vehicles owned by hospitals, such as ambulances and other patient transport.</w:t>
      </w:r>
    </w:p>
    <w:p w14:paraId="2C1589DF" w14:textId="77777777" w:rsidR="00A60BCB" w:rsidRPr="00E8461E" w:rsidRDefault="00A60BCB" w:rsidP="0065729E">
      <w:pPr>
        <w:pStyle w:val="BulletUnindented"/>
      </w:pPr>
      <w:r w:rsidRPr="00E8461E">
        <w:rPr>
          <w:b/>
        </w:rPr>
        <w:t>Scope 2 emissions</w:t>
      </w:r>
      <w:r w:rsidRPr="00E8461E">
        <w:t xml:space="preserve"> (energy-related indirect emissions) occur outside the boundary of an organisation from the generation of electricity consumed by the organisation. They are physically produced by burning fuels (such as coal and natural gas) at the power station to create the electricity – for instance, the emissions associated with producing electricity purchased for use in hospitals.</w:t>
      </w:r>
    </w:p>
    <w:p w14:paraId="5156EAE8" w14:textId="77777777" w:rsidR="00A60BCB" w:rsidRPr="00E8461E" w:rsidRDefault="00A60BCB" w:rsidP="0065729E">
      <w:pPr>
        <w:pStyle w:val="BulletUnindented"/>
        <w:spacing w:after="0"/>
      </w:pPr>
      <w:r w:rsidRPr="00E8461E">
        <w:rPr>
          <w:b/>
        </w:rPr>
        <w:t>Scope 3 emissions</w:t>
      </w:r>
      <w:r w:rsidRPr="00E8461E">
        <w:t xml:space="preserve"> (other indirect emissions) are indirect emissions, other than electricity (scope 2) occurring outside the boundary of an organisation because of action by the organisation. Scope 3 emissions may occur:</w:t>
      </w:r>
    </w:p>
    <w:p w14:paraId="0E7E9748" w14:textId="02123C70" w:rsidR="00A60BCB" w:rsidRPr="00E8461E" w:rsidRDefault="00A60BCB" w:rsidP="0065729E">
      <w:pPr>
        <w:pStyle w:val="BulletIndent1"/>
      </w:pPr>
      <w:r w:rsidRPr="00E8461E">
        <w:t>Upstream</w:t>
      </w:r>
      <w:r w:rsidR="00F1131A" w:rsidRPr="00E8461E">
        <w:t>:</w:t>
      </w:r>
      <w:r w:rsidRPr="00E8461E">
        <w:t xml:space="preserve"> For example, a hospital’s upstream scope 3 emissions include those emissions generated in the manufacture of medical equipment used by the hospital, or by hospital staff commuting to work.</w:t>
      </w:r>
    </w:p>
    <w:p w14:paraId="7123591D" w14:textId="3F06C921" w:rsidR="00A60BCB" w:rsidRPr="00E8461E" w:rsidRDefault="00A60BCB" w:rsidP="0065729E">
      <w:pPr>
        <w:pStyle w:val="BulletIndent1"/>
      </w:pPr>
      <w:r w:rsidRPr="00E8461E">
        <w:t>Downstream</w:t>
      </w:r>
      <w:r w:rsidR="00F1131A" w:rsidRPr="00E8461E">
        <w:t>:</w:t>
      </w:r>
      <w:r w:rsidRPr="00E8461E">
        <w:t xml:space="preserve"> For example, a hospital’s downstream scope 3 emissions include those emissions generated from the incineration of its waste offsite.</w:t>
      </w:r>
    </w:p>
    <w:p w14:paraId="555E3B9D" w14:textId="65D87AEA" w:rsidR="00A60BCB" w:rsidRPr="00E8461E" w:rsidRDefault="00A60BCB" w:rsidP="00A60BCB">
      <w:pPr>
        <w:rPr>
          <w:lang w:val="en-GB"/>
        </w:rPr>
      </w:pPr>
      <w:r w:rsidRPr="00E8461E">
        <w:rPr>
          <w:lang w:val="en-GB"/>
        </w:rPr>
        <w:t xml:space="preserve">Some greenhouse gas emissions associated with health system functioning fall outside the traditional definition of scopes 1, 2 and 3, such as patient and visitor travel to and from health and aged care facilities using private vehicles or public transport. It is still important to consider patient </w:t>
      </w:r>
      <w:r w:rsidR="00E0393C" w:rsidRPr="00E8461E">
        <w:rPr>
          <w:lang w:val="en-GB"/>
        </w:rPr>
        <w:t xml:space="preserve">travel </w:t>
      </w:r>
      <w:r w:rsidRPr="00E8461E">
        <w:rPr>
          <w:lang w:val="en-GB"/>
        </w:rPr>
        <w:t xml:space="preserve">emissions as part of the broader perspective of health system ‘value chain’ emissions, as </w:t>
      </w:r>
      <w:r w:rsidR="00E0393C" w:rsidRPr="00E8461E">
        <w:rPr>
          <w:lang w:val="en-GB"/>
        </w:rPr>
        <w:t>a component of the functioning of the health system</w:t>
      </w:r>
      <w:r w:rsidRPr="00E8461E">
        <w:rPr>
          <w:lang w:val="en-GB"/>
        </w:rPr>
        <w:t>.</w:t>
      </w:r>
    </w:p>
    <w:p w14:paraId="7D63FCB2" w14:textId="3CF044F1" w:rsidR="00A60BCB" w:rsidRPr="00E8461E" w:rsidRDefault="00A60BCB" w:rsidP="00A60BCB">
      <w:pPr>
        <w:rPr>
          <w:lang w:val="en-GB"/>
        </w:rPr>
      </w:pPr>
      <w:r w:rsidRPr="00E8461E">
        <w:rPr>
          <w:lang w:val="en-GB"/>
        </w:rPr>
        <w:t xml:space="preserve">Effective action to reduce greenhouse gas emissions requires collaboration between producers and consumers. For instance, off-site incineration of hospital medical waste is classified as scope 3 emissions (where the hospital is consuming incineration services produced by a third party), but one of the actions required to reduce these emissions is training hospital staff to appropriately separate medical and non-medical waste, to minimise the amount sent for incineration. Similarly, </w:t>
      </w:r>
      <w:r w:rsidRPr="00E8461E" w:rsidDel="0041285D">
        <w:rPr>
          <w:lang w:val="en-GB"/>
        </w:rPr>
        <w:t>air</w:t>
      </w:r>
      <w:r w:rsidRPr="00E8461E">
        <w:rPr>
          <w:lang w:val="en-GB"/>
        </w:rPr>
        <w:t xml:space="preserve">, </w:t>
      </w:r>
      <w:proofErr w:type="gramStart"/>
      <w:r w:rsidRPr="00E8461E">
        <w:rPr>
          <w:lang w:val="en-GB"/>
        </w:rPr>
        <w:t>rail</w:t>
      </w:r>
      <w:proofErr w:type="gramEnd"/>
      <w:r w:rsidRPr="00E8461E">
        <w:rPr>
          <w:lang w:val="en-GB"/>
        </w:rPr>
        <w:t xml:space="preserve"> and bus transport by health system staff for work purposes, such as conferences and meetings, is classified as scope 3 emissions. While transport providers have an important role to play in reducing emissions, the health system also has an important role to play as a consumer in reducing its demand for staff transport and changing the transport mix it consumes.</w:t>
      </w:r>
    </w:p>
    <w:p w14:paraId="244AB2CB" w14:textId="68919489" w:rsidR="00A60BCB" w:rsidRPr="00E8461E" w:rsidRDefault="00A60BCB" w:rsidP="00A60BCB">
      <w:pPr>
        <w:rPr>
          <w:lang w:val="en-GB"/>
        </w:rPr>
      </w:pPr>
      <w:r w:rsidRPr="00E8461E">
        <w:rPr>
          <w:lang w:val="en-GB"/>
        </w:rPr>
        <w:t>In recognition of the important role of both consumers and producers in reducing greenhouse gas emissions, the Strategy’s efforts to achieve a net zero health system will encompass scope 1, 2 and 3 emissions. The Strategy will also encompass patient travel to and from health and aged care facilities, irrespective of mode of transport.</w:t>
      </w:r>
    </w:p>
    <w:p w14:paraId="57266ACD" w14:textId="33FC3472" w:rsidR="00A60BCB" w:rsidRPr="00E8461E" w:rsidRDefault="00A60BCB" w:rsidP="00A60BCB">
      <w:pPr>
        <w:rPr>
          <w:lang w:val="en-GB"/>
        </w:rPr>
      </w:pPr>
      <w:r w:rsidRPr="00E8461E">
        <w:rPr>
          <w:lang w:val="en-GB"/>
        </w:rPr>
        <w:lastRenderedPageBreak/>
        <w:t xml:space="preserve">Including scope 3 emissions in the Strategy’s efforts to achieve a net zero health system will be particularly important in supporting evidence-based procurement decisions. For example, if only scope 1 emissions were considered, switching from disposable to reusable hospital gowns would appear to result in an increase in emissions, because the emissions generated in production of the gowns </w:t>
      </w:r>
      <w:r w:rsidR="00154CE8" w:rsidRPr="00E8461E">
        <w:rPr>
          <w:lang w:val="en-GB"/>
        </w:rPr>
        <w:t>would not be</w:t>
      </w:r>
      <w:r w:rsidRPr="00E8461E">
        <w:rPr>
          <w:lang w:val="en-GB"/>
        </w:rPr>
        <w:t xml:space="preserve"> considered, and reusable gowns involve increased use of steam sterilisers which are currently largely gas powered. However, considering emissions across scopes 1, 2 and 3 would reveal reusable gowns generate fewer emissions across the life cycle.</w:t>
      </w:r>
    </w:p>
    <w:p w14:paraId="6C1327CE" w14:textId="77777777" w:rsidR="002B27EF" w:rsidRPr="00E8461E" w:rsidRDefault="002B27EF">
      <w:pPr>
        <w:spacing w:after="160" w:line="259" w:lineRule="auto"/>
        <w:rPr>
          <w:iCs/>
          <w:color w:val="363638" w:themeColor="text2" w:themeShade="80"/>
          <w:sz w:val="18"/>
          <w:szCs w:val="18"/>
        </w:rPr>
      </w:pPr>
      <w:bookmarkStart w:id="102" w:name="_Toc147086743"/>
      <w:bookmarkStart w:id="103" w:name="_Toc147502194"/>
      <w:bookmarkStart w:id="104" w:name="_Toc149909980"/>
      <w:bookmarkStart w:id="105" w:name="_Toc149918445"/>
      <w:r w:rsidRPr="00E8461E">
        <w:br w:type="page"/>
      </w:r>
    </w:p>
    <w:p w14:paraId="0671CC75" w14:textId="57892E56" w:rsidR="002B27EF" w:rsidRPr="00E8461E" w:rsidRDefault="002B27EF" w:rsidP="002B27EF">
      <w:pPr>
        <w:pStyle w:val="Caption"/>
      </w:pPr>
      <w:r w:rsidRPr="00E8461E">
        <w:lastRenderedPageBreak/>
        <w:t xml:space="preserve">Figure </w:t>
      </w:r>
      <w:r w:rsidR="00B07FA8">
        <w:fldChar w:fldCharType="begin"/>
      </w:r>
      <w:r w:rsidR="00B07FA8">
        <w:instrText xml:space="preserve"> SEQ Figure \* ARABIC </w:instrText>
      </w:r>
      <w:r w:rsidR="00B07FA8">
        <w:fldChar w:fldCharType="separate"/>
      </w:r>
      <w:r w:rsidR="003E7FC6" w:rsidRPr="00E8461E">
        <w:rPr>
          <w:noProof/>
        </w:rPr>
        <w:t>6</w:t>
      </w:r>
      <w:r w:rsidR="00B07FA8">
        <w:rPr>
          <w:noProof/>
        </w:rPr>
        <w:fldChar w:fldCharType="end"/>
      </w:r>
      <w:r w:rsidRPr="00E8461E">
        <w:t xml:space="preserve">  Scope 1, 2 and 3 emissions and methods of measurement</w:t>
      </w:r>
      <w:r w:rsidRPr="00E8461E">
        <w:rPr>
          <w:noProof/>
        </w:rPr>
        <w:drawing>
          <wp:inline distT="0" distB="0" distL="0" distR="0" wp14:anchorId="44FBC940" wp14:editId="332F6C6A">
            <wp:extent cx="5662295" cy="8211198"/>
            <wp:effectExtent l="0" t="0" r="0" b="0"/>
            <wp:docPr id="18" name="Picture 18" descr="A diagram to depict measurement of health system emissions.&#10;The diagram differentiates between top-down estimation or bottom-up estimation:&#10;• Top-down estimation: expenditure by category multiplied by emissions intensity by category. &#10;• Bottom-up estimation: Activity or quantity (for example fuel consumed) multiplies by emissions factor by activity or quantity. It also depicts the Process Life Cycle Assessment which includes extraction, processing, manufacturing, assembly, use, and end of life.  &#10;The diagram also depicts the types of emissions for scope 1, 2 and 3 emissions and outside scopes:&#10;• Scope 1: anaesthetic gases, onsite fossil fuel use, and fossil fuel powered vehicles. &#10;• Scope 2: electricity.&#10;• Scope 3: metered dose inhalers, medicines, medical devices, staff commuting and business travel, waste and resource use, water, construction, food and catering, and manufacturing and other supply chain. &#10;• Outside scopes: visitor travel and patient tra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to depict measurement of health system emissions.&#10;The diagram differentiates between top-down estimation or bottom-up estimation:&#10;• Top-down estimation: expenditure by category multiplied by emissions intensity by category. &#10;• Bottom-up estimation: Activity or quantity (for example fuel consumed) multiplies by emissions factor by activity or quantity. It also depicts the Process Life Cycle Assessment which includes extraction, processing, manufacturing, assembly, use, and end of life.  &#10;The diagram also depicts the types of emissions for scope 1, 2 and 3 emissions and outside scopes:&#10;• Scope 1: anaesthetic gases, onsite fossil fuel use, and fossil fuel powered vehicles. &#10;• Scope 2: electricity.&#10;• Scope 3: metered dose inhalers, medicines, medical devices, staff commuting and business travel, waste and resource use, water, construction, food and catering, and manufacturing and other supply chain. &#10;• Outside scopes: visitor travel and patient travel. "/>
                    <pic:cNvPicPr/>
                  </pic:nvPicPr>
                  <pic:blipFill rotWithShape="1">
                    <a:blip r:embed="rId26" cstate="print">
                      <a:extLst>
                        <a:ext uri="{28A0092B-C50C-407E-A947-70E740481C1C}">
                          <a14:useLocalDpi xmlns:a14="http://schemas.microsoft.com/office/drawing/2010/main" val="0"/>
                        </a:ext>
                      </a:extLst>
                    </a:blip>
                    <a:srcRect t="-1958"/>
                    <a:stretch/>
                  </pic:blipFill>
                  <pic:spPr bwMode="auto">
                    <a:xfrm>
                      <a:off x="0" y="0"/>
                      <a:ext cx="5665865" cy="8216375"/>
                    </a:xfrm>
                    <a:prstGeom prst="rect">
                      <a:avLst/>
                    </a:prstGeom>
                    <a:ln>
                      <a:noFill/>
                    </a:ln>
                    <a:extLst>
                      <a:ext uri="{53640926-AAD7-44D8-BBD7-CCE9431645EC}">
                        <a14:shadowObscured xmlns:a14="http://schemas.microsoft.com/office/drawing/2010/main"/>
                      </a:ext>
                    </a:extLst>
                  </pic:spPr>
                </pic:pic>
              </a:graphicData>
            </a:graphic>
          </wp:inline>
        </w:drawing>
      </w:r>
    </w:p>
    <w:p w14:paraId="54C9E748" w14:textId="61C2BA4B" w:rsidR="00A60BCB" w:rsidRPr="00E8461E" w:rsidRDefault="00660E87" w:rsidP="00571F10">
      <w:pPr>
        <w:pStyle w:val="Heading3"/>
        <w:rPr>
          <w:lang w:val="en-GB"/>
        </w:rPr>
      </w:pPr>
      <w:r w:rsidRPr="00E8461E">
        <w:lastRenderedPageBreak/>
        <w:t>4</w:t>
      </w:r>
      <w:r w:rsidR="00A60BCB" w:rsidRPr="00E8461E">
        <w:rPr>
          <w:lang w:val="en-GB"/>
        </w:rPr>
        <w:t xml:space="preserve">.1.2 Ways to measure health system </w:t>
      </w:r>
      <w:proofErr w:type="gramStart"/>
      <w:r w:rsidR="00A60BCB" w:rsidRPr="00E8461E">
        <w:rPr>
          <w:lang w:val="en-GB"/>
        </w:rPr>
        <w:t>emissions</w:t>
      </w:r>
      <w:bookmarkEnd w:id="102"/>
      <w:bookmarkEnd w:id="103"/>
      <w:bookmarkEnd w:id="104"/>
      <w:bookmarkEnd w:id="105"/>
      <w:proofErr w:type="gramEnd"/>
    </w:p>
    <w:p w14:paraId="6F772508" w14:textId="6D74C9BC" w:rsidR="00A60BCB" w:rsidRPr="00E8461E" w:rsidRDefault="00A60BCB" w:rsidP="00A60BCB">
      <w:pPr>
        <w:rPr>
          <w:lang w:val="en-GB"/>
        </w:rPr>
      </w:pPr>
      <w:r w:rsidRPr="00E8461E">
        <w:rPr>
          <w:lang w:val="en-GB"/>
        </w:rPr>
        <w:t>Health system greenhouse gas emissions can be estimated in a ‘bottom-up’ or ‘top-down’ way.</w:t>
      </w:r>
    </w:p>
    <w:p w14:paraId="1E35F41D" w14:textId="346C26B6" w:rsidR="00A60BCB" w:rsidRPr="00E8461E" w:rsidRDefault="00A60BCB" w:rsidP="00A60BCB">
      <w:pPr>
        <w:rPr>
          <w:lang w:val="en-GB"/>
        </w:rPr>
      </w:pPr>
      <w:r w:rsidRPr="00E8461E">
        <w:rPr>
          <w:lang w:val="en-GB"/>
        </w:rPr>
        <w:t>‘Bottom-up’ estimates are based on the measurement of units of activity or other physical quantities – for instance, litres of fuel consumed, tonnes of waste incinerated, or prescriptions of metered dose inhalers dispensed. These physical quantities are then multiplied by an ‘emissions factor’ to obtain an estimate of the resulting greenhouse gas emissions.</w:t>
      </w:r>
    </w:p>
    <w:p w14:paraId="14E86DD6" w14:textId="3415DFDF" w:rsidR="00A60BCB" w:rsidRPr="00E8461E" w:rsidRDefault="00A60BCB" w:rsidP="00A60BCB">
      <w:pPr>
        <w:rPr>
          <w:lang w:val="en-GB"/>
        </w:rPr>
      </w:pPr>
      <w:r w:rsidRPr="00E8461E">
        <w:rPr>
          <w:lang w:val="en-GB"/>
        </w:rPr>
        <w:t xml:space="preserve">‘Top-down’ estimates start at a more macro level, for example, using expenditure </w:t>
      </w:r>
      <w:proofErr w:type="gramStart"/>
      <w:r w:rsidRPr="00E8461E">
        <w:rPr>
          <w:lang w:val="en-GB"/>
        </w:rPr>
        <w:t>in a given</w:t>
      </w:r>
      <w:proofErr w:type="gramEnd"/>
      <w:r w:rsidRPr="00E8461E">
        <w:rPr>
          <w:lang w:val="en-GB"/>
        </w:rPr>
        <w:t xml:space="preserve"> area, multiplied by an emissions factor, to yield an emissions estimate. Top-down estimates often make use of environmentally extended input-output models to map emissions based on one sector’s consumption of another sector’s goods.</w:t>
      </w:r>
    </w:p>
    <w:p w14:paraId="795050B0" w14:textId="463A39FD" w:rsidR="00A60BCB" w:rsidRPr="00E8461E" w:rsidRDefault="00A60BCB" w:rsidP="00A60BCB">
      <w:pPr>
        <w:rPr>
          <w:lang w:val="en-GB"/>
        </w:rPr>
      </w:pPr>
      <w:r w:rsidRPr="00E8461E">
        <w:rPr>
          <w:lang w:val="en-GB"/>
        </w:rPr>
        <w:t>Bottom-up estimates are more resource-intensive and</w:t>
      </w:r>
      <w:r w:rsidRPr="00E8461E" w:rsidDel="00531875">
        <w:rPr>
          <w:lang w:val="en-GB"/>
        </w:rPr>
        <w:t xml:space="preserve"> </w:t>
      </w:r>
      <w:r w:rsidRPr="00E8461E">
        <w:rPr>
          <w:lang w:val="en-GB"/>
        </w:rPr>
        <w:t xml:space="preserve">are </w:t>
      </w:r>
      <w:r w:rsidRPr="00E8461E" w:rsidDel="006E3D04">
        <w:rPr>
          <w:lang w:val="en-GB"/>
        </w:rPr>
        <w:t>not always possible</w:t>
      </w:r>
      <w:r w:rsidRPr="00E8461E">
        <w:rPr>
          <w:lang w:val="en-GB"/>
        </w:rPr>
        <w:t>,</w:t>
      </w:r>
      <w:r w:rsidRPr="00E8461E" w:rsidDel="006E3D04">
        <w:rPr>
          <w:lang w:val="en-GB"/>
        </w:rPr>
        <w:t xml:space="preserve"> given</w:t>
      </w:r>
      <w:r w:rsidRPr="00E8461E">
        <w:rPr>
          <w:lang w:val="en-GB"/>
        </w:rPr>
        <w:t xml:space="preserve"> data availability</w:t>
      </w:r>
      <w:r w:rsidRPr="00E8461E" w:rsidDel="006E3D04">
        <w:rPr>
          <w:lang w:val="en-GB"/>
        </w:rPr>
        <w:t xml:space="preserve"> limitations</w:t>
      </w:r>
      <w:r w:rsidRPr="00E8461E">
        <w:rPr>
          <w:lang w:val="en-GB"/>
        </w:rPr>
        <w:t xml:space="preserve">. However, they generally yield more meaningful estimates than top-down methods. The major limitation of top-down estimates is that they are </w:t>
      </w:r>
      <w:r w:rsidRPr="00E8461E" w:rsidDel="00484DA6">
        <w:rPr>
          <w:lang w:val="en-GB"/>
        </w:rPr>
        <w:t xml:space="preserve">confounded </w:t>
      </w:r>
      <w:r w:rsidRPr="00E8461E">
        <w:rPr>
          <w:lang w:val="en-GB"/>
        </w:rPr>
        <w:t xml:space="preserve">by price differences that are unrelated to embodied emissions. For example, an otherwise equivalent generic medicine 10 times cheaper than a branded medicine would be assumed to have a tenth of the emissions of the branded medicine. As such, top-down estimates are of limited value </w:t>
      </w:r>
      <w:r w:rsidR="00683F9C" w:rsidRPr="00E8461E">
        <w:rPr>
          <w:lang w:val="en-GB"/>
        </w:rPr>
        <w:t xml:space="preserve">in </w:t>
      </w:r>
      <w:r w:rsidRPr="00E8461E">
        <w:rPr>
          <w:lang w:val="en-GB"/>
        </w:rPr>
        <w:t>identifying sources of emissions by activity/product and monitoring progress in reducing emissions.</w:t>
      </w:r>
      <w:r w:rsidRPr="00E8461E">
        <w:rPr>
          <w:rStyle w:val="EndnoteReference"/>
          <w:lang w:val="en-GB"/>
        </w:rPr>
        <w:endnoteReference w:id="99"/>
      </w:r>
    </w:p>
    <w:p w14:paraId="0BC1C6A0" w14:textId="42CF7FCB" w:rsidR="00A60BCB" w:rsidRPr="00E8461E" w:rsidRDefault="00A60BCB" w:rsidP="00A60BCB">
      <w:pPr>
        <w:rPr>
          <w:lang w:val="en-GB"/>
        </w:rPr>
      </w:pPr>
      <w:r w:rsidRPr="00E8461E">
        <w:rPr>
          <w:lang w:val="en-GB"/>
        </w:rPr>
        <w:t xml:space="preserve">The National Health Service (NHS) in England uses a hybrid model, combining bottom-up data (buildings scope 1 and scope 2 emissions, anaesthetic gases, metered dose inhalers and staff, </w:t>
      </w:r>
      <w:proofErr w:type="gramStart"/>
      <w:r w:rsidRPr="00E8461E">
        <w:rPr>
          <w:lang w:val="en-GB"/>
        </w:rPr>
        <w:t>patient</w:t>
      </w:r>
      <w:proofErr w:type="gramEnd"/>
      <w:r w:rsidRPr="00E8461E">
        <w:rPr>
          <w:lang w:val="en-GB"/>
        </w:rPr>
        <w:t xml:space="preserve"> and visitor travel) with top-down modelling of supply chain, fleet and commissioned services emissions.</w:t>
      </w:r>
      <w:r w:rsidRPr="00E8461E">
        <w:rPr>
          <w:rStyle w:val="EndnoteReference"/>
          <w:lang w:val="en-GB"/>
        </w:rPr>
        <w:endnoteReference w:id="100"/>
      </w:r>
      <w:r w:rsidRPr="00E8461E">
        <w:rPr>
          <w:lang w:val="en-GB"/>
        </w:rPr>
        <w:t xml:space="preserve"> Hybrid models are also used in Australia’s National Inventory suite of products.</w:t>
      </w:r>
    </w:p>
    <w:p w14:paraId="23ED9708" w14:textId="55098EA4" w:rsidR="00A60BCB" w:rsidRPr="00E8461E" w:rsidRDefault="00A60BCB" w:rsidP="00A60BCB">
      <w:pPr>
        <w:rPr>
          <w:lang w:val="en-GB"/>
        </w:rPr>
      </w:pPr>
      <w:r w:rsidRPr="00E8461E">
        <w:rPr>
          <w:lang w:val="en-GB"/>
        </w:rPr>
        <w:t xml:space="preserve">Emissions </w:t>
      </w:r>
      <w:proofErr w:type="spellStart"/>
      <w:r w:rsidRPr="00E8461E">
        <w:rPr>
          <w:lang w:val="en-GB"/>
        </w:rPr>
        <w:t>footprinting</w:t>
      </w:r>
      <w:proofErr w:type="spellEnd"/>
      <w:r w:rsidRPr="00E8461E">
        <w:rPr>
          <w:lang w:val="en-GB"/>
        </w:rPr>
        <w:t xml:space="preserve"> at the product or service level, or life cycle analysis, can be undertaken by applying bottom-up methods to estimate the emissions associated with all the inputs that go into the production of a good or service, including raw material extraction, manufacturing, use and end of life management</w:t>
      </w:r>
      <w:r w:rsidRPr="00E8461E" w:rsidDel="00F0222A">
        <w:rPr>
          <w:lang w:val="en-GB"/>
        </w:rPr>
        <w:t>.</w:t>
      </w:r>
      <w:r w:rsidRPr="00E8461E">
        <w:rPr>
          <w:lang w:val="en-GB"/>
        </w:rPr>
        <w:t xml:space="preserve"> Life cycle assessments have been undertaken for a range of health system products and services, including personal protective equipment, instruments, </w:t>
      </w:r>
      <w:proofErr w:type="gramStart"/>
      <w:r w:rsidRPr="00E8461E">
        <w:rPr>
          <w:lang w:val="en-GB"/>
        </w:rPr>
        <w:t>surgeries</w:t>
      </w:r>
      <w:proofErr w:type="gramEnd"/>
      <w:r w:rsidRPr="00E8461E">
        <w:rPr>
          <w:lang w:val="en-GB"/>
        </w:rPr>
        <w:t xml:space="preserve"> and diagnostic </w:t>
      </w:r>
      <w:r w:rsidRPr="00E8461E" w:rsidDel="00BA403E">
        <w:rPr>
          <w:lang w:val="en-GB"/>
        </w:rPr>
        <w:t>testing</w:t>
      </w:r>
      <w:r w:rsidRPr="00E8461E">
        <w:rPr>
          <w:lang w:val="en-GB"/>
        </w:rPr>
        <w:t>.</w:t>
      </w:r>
      <w:r w:rsidRPr="00E8461E">
        <w:rPr>
          <w:rStyle w:val="EndnoteReference"/>
          <w:lang w:val="en-GB"/>
        </w:rPr>
        <w:endnoteReference w:id="101"/>
      </w:r>
      <w:r w:rsidRPr="00E8461E">
        <w:rPr>
          <w:vertAlign w:val="superscript"/>
          <w:lang w:val="en-GB"/>
        </w:rPr>
        <w:t>,</w:t>
      </w:r>
      <w:r w:rsidRPr="00E8461E">
        <w:rPr>
          <w:rStyle w:val="EndnoteReference"/>
          <w:lang w:val="en-GB"/>
        </w:rPr>
        <w:endnoteReference w:id="102"/>
      </w:r>
      <w:r w:rsidRPr="00E8461E">
        <w:rPr>
          <w:vertAlign w:val="superscript"/>
          <w:lang w:val="en-GB"/>
        </w:rPr>
        <w:t>,</w:t>
      </w:r>
      <w:r w:rsidRPr="00E8461E">
        <w:rPr>
          <w:rStyle w:val="EndnoteReference"/>
          <w:lang w:val="en-GB"/>
        </w:rPr>
        <w:endnoteReference w:id="103"/>
      </w:r>
      <w:r w:rsidRPr="00E8461E">
        <w:rPr>
          <w:lang w:val="en-GB"/>
        </w:rPr>
        <w:t xml:space="preserve"> Such assessments can be helpful in making decisions on whether to use disposable or reusable equipment and what medicines, technologies and approaches to use when clinical outcomes are equal.</w:t>
      </w:r>
    </w:p>
    <w:p w14:paraId="6CC7DC81" w14:textId="71FC7F6C" w:rsidR="00A60BCB" w:rsidRPr="00E8461E" w:rsidRDefault="00660E87" w:rsidP="00571F10">
      <w:pPr>
        <w:pStyle w:val="Heading3"/>
        <w:rPr>
          <w:lang w:val="en-GB"/>
        </w:rPr>
      </w:pPr>
      <w:bookmarkStart w:id="107" w:name="_Toc147086744"/>
      <w:bookmarkStart w:id="108" w:name="_Toc147502195"/>
      <w:bookmarkStart w:id="109" w:name="_Toc149909981"/>
      <w:bookmarkStart w:id="110" w:name="_Toc149918446"/>
      <w:r w:rsidRPr="00E8461E">
        <w:t>4</w:t>
      </w:r>
      <w:r w:rsidR="00A60BCB" w:rsidRPr="00E8461E">
        <w:rPr>
          <w:lang w:val="en-GB"/>
        </w:rPr>
        <w:t>.1.3 How are emissions measured in Australia?</w:t>
      </w:r>
      <w:bookmarkEnd w:id="107"/>
      <w:bookmarkEnd w:id="108"/>
      <w:bookmarkEnd w:id="109"/>
      <w:bookmarkEnd w:id="110"/>
    </w:p>
    <w:p w14:paraId="5A20793D" w14:textId="4BFAFD59" w:rsidR="00A60BCB" w:rsidRPr="00E8461E" w:rsidRDefault="00A60BCB" w:rsidP="00A60BCB">
      <w:pPr>
        <w:rPr>
          <w:lang w:val="en-GB"/>
        </w:rPr>
      </w:pPr>
      <w:r w:rsidRPr="00E8461E">
        <w:rPr>
          <w:lang w:val="en-GB"/>
        </w:rPr>
        <w:t>The Department of Climate Change, Energy, the Environment and Water (DCCEEW) compiles Australia’s National Greenhouse Accounts</w:t>
      </w:r>
      <w:r w:rsidR="00CA121D" w:rsidRPr="00E8461E">
        <w:rPr>
          <w:lang w:val="en-GB"/>
        </w:rPr>
        <w:t xml:space="preserve"> (</w:t>
      </w:r>
      <w:r w:rsidR="003F1FEE" w:rsidRPr="00E8461E">
        <w:rPr>
          <w:lang w:val="en-GB"/>
        </w:rPr>
        <w:t xml:space="preserve">the </w:t>
      </w:r>
      <w:r w:rsidR="00CA121D" w:rsidRPr="00E8461E">
        <w:rPr>
          <w:lang w:val="en-GB"/>
        </w:rPr>
        <w:t>Accounts)</w:t>
      </w:r>
      <w:r w:rsidRPr="00E8461E">
        <w:rPr>
          <w:lang w:val="en-GB"/>
        </w:rPr>
        <w:t>. The Accounts are a suite of reports and datasets on Australia’s greenhouse gas emissions and are used to fulfil Australia’s domestic and international emission reporting</w:t>
      </w:r>
      <w:r w:rsidRPr="00E8461E" w:rsidDel="004571AF">
        <w:rPr>
          <w:lang w:val="en-GB"/>
        </w:rPr>
        <w:t xml:space="preserve"> </w:t>
      </w:r>
      <w:r w:rsidRPr="00E8461E">
        <w:rPr>
          <w:lang w:val="en-GB"/>
        </w:rPr>
        <w:t xml:space="preserve">obligations, track progress towards Australia’s Paris Agreement emission reductions targets, and inform and monitor government policy and future national emissions reduction targets. The Accounts are compiled consistent with Paris Agreement rules and guidelines, including the Intergovernmental Panel on Climate Change guidelines for emission </w:t>
      </w:r>
      <w:proofErr w:type="gramStart"/>
      <w:r w:rsidRPr="00E8461E">
        <w:rPr>
          <w:lang w:val="en-GB"/>
        </w:rPr>
        <w:t>estimation</w:t>
      </w:r>
      <w:proofErr w:type="gramEnd"/>
    </w:p>
    <w:p w14:paraId="3AE82948" w14:textId="76D60A68" w:rsidR="00A60BCB" w:rsidRPr="00E8461E" w:rsidRDefault="00A60BCB" w:rsidP="00A60BCB">
      <w:pPr>
        <w:rPr>
          <w:lang w:val="en-GB"/>
        </w:rPr>
      </w:pPr>
      <w:r w:rsidRPr="00E8461E">
        <w:rPr>
          <w:lang w:val="en-GB"/>
        </w:rPr>
        <w:t xml:space="preserve">Wherever possible, the Accounts draw on facility-level data. Where facility-level data is not available, other data sources are used. The Accounts include an annual </w:t>
      </w:r>
      <w:hyperlink r:id="rId27" w:history="1">
        <w:r w:rsidRPr="00E8461E">
          <w:rPr>
            <w:lang w:val="en-GB"/>
          </w:rPr>
          <w:t>National Inventory by Economic Sector</w:t>
        </w:r>
      </w:hyperlink>
      <w:r w:rsidRPr="00E8461E">
        <w:rPr>
          <w:lang w:val="en-GB"/>
        </w:rPr>
        <w:t>, which provides accurate scope 1 emissions data disaggregated by the Australian and New Zealand Standard Industrial Classification.</w:t>
      </w:r>
    </w:p>
    <w:p w14:paraId="33B642BB" w14:textId="16A7322A" w:rsidR="00A60BCB" w:rsidRPr="00E8461E" w:rsidRDefault="00A60BCB" w:rsidP="00A60BCB">
      <w:pPr>
        <w:rPr>
          <w:lang w:val="en-GB"/>
        </w:rPr>
      </w:pPr>
      <w:r w:rsidRPr="00E8461E">
        <w:rPr>
          <w:lang w:val="en-GB"/>
        </w:rPr>
        <w:lastRenderedPageBreak/>
        <w:t>The Accounts’ continuous improvement program, based on latest available data, research, technologies and practices, is expected to improve the accuracy of more granular emissions estimates over time, supporting measurement and tracking of existing and forthcoming health system emissions reduction initiatives.</w:t>
      </w:r>
    </w:p>
    <w:p w14:paraId="4CD644BB" w14:textId="77777777" w:rsidR="003A3AE0" w:rsidRPr="00E8461E" w:rsidRDefault="003A3AE0" w:rsidP="00D80EFD">
      <w:pPr>
        <w:pStyle w:val="Heading4"/>
        <w:rPr>
          <w:iCs w:val="0"/>
        </w:rPr>
      </w:pPr>
      <w:r w:rsidRPr="00E8461E">
        <w:rPr>
          <w:iCs w:val="0"/>
        </w:rPr>
        <w:t>Action 4.1</w:t>
      </w:r>
    </w:p>
    <w:p w14:paraId="5317A262" w14:textId="77777777" w:rsidR="003A3AE0" w:rsidRPr="00E8461E" w:rsidRDefault="003A3AE0" w:rsidP="003A3AE0">
      <w:pPr>
        <w:rPr>
          <w:b/>
          <w:lang w:val="en-GB"/>
        </w:rPr>
      </w:pPr>
      <w:r w:rsidRPr="00E8461E">
        <w:rPr>
          <w:b/>
          <w:bCs/>
        </w:rPr>
        <w:t>Reporting of estimates of health system greenhouse gas emissions</w:t>
      </w:r>
    </w:p>
    <w:p w14:paraId="273C3BFE" w14:textId="4CBD6B62" w:rsidR="003A3AE0" w:rsidRPr="00E8461E" w:rsidRDefault="003A3AE0" w:rsidP="003A3AE0">
      <w:pPr>
        <w:pBdr>
          <w:bottom w:val="single" w:sz="12" w:space="1" w:color="008A95" w:themeColor="accent1"/>
        </w:pBdr>
        <w:rPr>
          <w:lang w:val="en-GB"/>
        </w:rPr>
      </w:pPr>
      <w:r w:rsidRPr="00E8461E">
        <w:rPr>
          <w:lang w:val="en-GB"/>
        </w:rPr>
        <w:t xml:space="preserve">The </w:t>
      </w:r>
      <w:r w:rsidRPr="00E8461E">
        <w:rPr>
          <w:rFonts w:cs="Times New Roman"/>
        </w:rPr>
        <w:t xml:space="preserve">Australian Government </w:t>
      </w:r>
      <w:r w:rsidRPr="00E8461E">
        <w:rPr>
          <w:lang w:val="en-GB"/>
        </w:rPr>
        <w:t>will publish baseline emissions estimates for the health system (inclusive of health and aged care) in 2024 and will seek to publish regular emissions estimates thereafter to track progress in emissions mitigation efforts. To the greatest extent possible, emission estimates will be drawn from Australia’s National Greenhouse Accounts or based on methods and factors consistent with those Accounts. Where practicable,</w:t>
      </w:r>
      <w:r w:rsidRPr="00E8461E" w:rsidDel="0033331B">
        <w:rPr>
          <w:lang w:val="en-GB"/>
        </w:rPr>
        <w:t xml:space="preserve"> estimates will be disaggregated by source, scope, </w:t>
      </w:r>
      <w:proofErr w:type="gramStart"/>
      <w:r w:rsidRPr="00E8461E" w:rsidDel="0033331B">
        <w:rPr>
          <w:lang w:val="en-GB"/>
        </w:rPr>
        <w:t>state</w:t>
      </w:r>
      <w:proofErr w:type="gramEnd"/>
      <w:r w:rsidRPr="00E8461E" w:rsidDel="0033331B">
        <w:rPr>
          <w:lang w:val="en-GB"/>
        </w:rPr>
        <w:t xml:space="preserve"> or territory and whether the emissions occurred within or outside Australia.</w:t>
      </w:r>
    </w:p>
    <w:p w14:paraId="4641F463" w14:textId="77777777" w:rsidR="00A60BCB" w:rsidRPr="00E8461E" w:rsidRDefault="00A60BCB" w:rsidP="00A60BCB">
      <w:pPr>
        <w:rPr>
          <w:lang w:val="en-GB"/>
        </w:rPr>
      </w:pPr>
      <w:proofErr w:type="gramStart"/>
      <w:r w:rsidRPr="00E8461E">
        <w:rPr>
          <w:lang w:val="en-GB"/>
        </w:rPr>
        <w:t>A number of</w:t>
      </w:r>
      <w:proofErr w:type="gramEnd"/>
      <w:r w:rsidRPr="00E8461E">
        <w:rPr>
          <w:lang w:val="en-GB"/>
        </w:rPr>
        <w:t xml:space="preserve"> existing or planned Australian Government schemes involve organisation or facility-level emissions measurement and reporting. New initiatives under the Government’s Powering Australia plan are likely to increase existing health system participation in such schemes.</w:t>
      </w:r>
    </w:p>
    <w:p w14:paraId="6B495573" w14:textId="6D14D071" w:rsidR="00A60BCB" w:rsidRPr="00E8461E" w:rsidRDefault="00A60BCB" w:rsidP="0065729E">
      <w:pPr>
        <w:pStyle w:val="BulletUnindented"/>
      </w:pPr>
      <w:r w:rsidRPr="00E8461E">
        <w:t xml:space="preserve">The Government’s </w:t>
      </w:r>
      <w:hyperlink r:id="rId28" w:history="1">
        <w:r w:rsidRPr="00E8461E">
          <w:t>National Greenhouse and Energy Reporting (NGER) scheme</w:t>
        </w:r>
      </w:hyperlink>
      <w:r w:rsidRPr="00E8461E">
        <w:t xml:space="preserve"> focuses on scope 1 and 2 emissions. It requires facilities covered by the scheme to report annually on their greenhouse gas scope 1 and 2 emissions and energy production and consumption. These data are a key input to Australia’s emissions reporting under the Paris Agreement and </w:t>
      </w:r>
      <w:hyperlink r:id="rId29" w:history="1">
        <w:r w:rsidRPr="00E8461E">
          <w:t>Australia’s National Greenhouse Accounts</w:t>
        </w:r>
      </w:hyperlink>
      <w:r w:rsidRPr="00E8461E">
        <w:t xml:space="preserve">, including the </w:t>
      </w:r>
      <w:hyperlink r:id="rId30" w:history="1">
        <w:r w:rsidRPr="00E8461E">
          <w:t>National Inventory by Economic Sector</w:t>
        </w:r>
      </w:hyperlink>
      <w:r w:rsidRPr="00E8461E">
        <w:t>.</w:t>
      </w:r>
      <w:r w:rsidR="00E079F5" w:rsidRPr="00E8461E">
        <w:rPr>
          <w:rStyle w:val="EndnoteReference"/>
        </w:rPr>
        <w:endnoteReference w:id="104"/>
      </w:r>
    </w:p>
    <w:p w14:paraId="776014A9" w14:textId="77777777" w:rsidR="00A60BCB" w:rsidRPr="00E8461E" w:rsidRDefault="00B07FA8" w:rsidP="0065729E">
      <w:pPr>
        <w:pStyle w:val="BulletUnindented"/>
      </w:pPr>
      <w:hyperlink r:id="rId31" w:history="1">
        <w:r w:rsidR="00A60BCB" w:rsidRPr="00E8461E">
          <w:t>Climate Active</w:t>
        </w:r>
      </w:hyperlink>
      <w:r w:rsidR="00A60BCB" w:rsidRPr="00E8461E">
        <w:t xml:space="preserve"> is a voluntary Australian Government program that certifies credible carbon neutral achievements by businesses who measure, reduce, offset, </w:t>
      </w:r>
      <w:proofErr w:type="gramStart"/>
      <w:r w:rsidR="00A60BCB" w:rsidRPr="00E8461E">
        <w:t>verify</w:t>
      </w:r>
      <w:proofErr w:type="gramEnd"/>
      <w:r w:rsidR="00A60BCB" w:rsidRPr="00E8461E">
        <w:t xml:space="preserve"> and report their emissions. Certification is available for organisations, products and services, buildings, </w:t>
      </w:r>
      <w:proofErr w:type="gramStart"/>
      <w:r w:rsidR="00A60BCB" w:rsidRPr="00E8461E">
        <w:t>events</w:t>
      </w:r>
      <w:proofErr w:type="gramEnd"/>
      <w:r w:rsidR="00A60BCB" w:rsidRPr="00E8461E">
        <w:t xml:space="preserve"> and precincts. Businesses seeking certification must set their emissions boundary and measure emissions in accordance with the Climate Active Carbon Neutral Standard, which is adapted from the GHG Protocol and ISO 14000 series. Climate Active provides businesses seeking certification with an inventory template for reporting emissions which includes emission factors for common emission sources,</w:t>
      </w:r>
      <w:r w:rsidR="00A60BCB" w:rsidRPr="00E8461E">
        <w:rPr>
          <w:color w:val="000000"/>
        </w:rPr>
        <w:t xml:space="preserve"> such as emissions factors sourced from </w:t>
      </w:r>
      <w:r w:rsidR="00A60BCB" w:rsidRPr="00E8461E">
        <w:t>DCCEEW.</w:t>
      </w:r>
      <w:r w:rsidR="00A60BCB" w:rsidRPr="00E8461E">
        <w:rPr>
          <w:rStyle w:val="EndnoteReference"/>
        </w:rPr>
        <w:endnoteReference w:id="105"/>
      </w:r>
    </w:p>
    <w:p w14:paraId="3C058936" w14:textId="35CBEFCA" w:rsidR="00A60BCB" w:rsidRPr="00E8461E" w:rsidRDefault="00A60BCB" w:rsidP="0065729E">
      <w:pPr>
        <w:pStyle w:val="BulletUnindented"/>
      </w:pPr>
      <w:r w:rsidRPr="00E8461E">
        <w:t>Under the Powering Australia plan, the Government committed to reduce Australian Public Service emissions to net zero by 2030 (</w:t>
      </w:r>
      <w:hyperlink r:id="rId32" w:history="1">
        <w:r w:rsidRPr="00E8461E">
          <w:t>APS Net Zero by 2030</w:t>
        </w:r>
      </w:hyperlink>
      <w:r w:rsidRPr="00E8461E">
        <w:t xml:space="preserve">). The </w:t>
      </w:r>
      <w:r w:rsidR="00852379" w:rsidRPr="00E8461E">
        <w:t xml:space="preserve">plan </w:t>
      </w:r>
      <w:r w:rsidRPr="00E8461E">
        <w:t xml:space="preserve">is under </w:t>
      </w:r>
      <w:r w:rsidR="00852379" w:rsidRPr="00E8461E">
        <w:t xml:space="preserve">further </w:t>
      </w:r>
      <w:r w:rsidRPr="00E8461E">
        <w:t>development, with the initial focus on scope 1 and 2 emissions. The 2030 target will initially apply to most non-corporate Commonwealth entities. Corporate Commonwealth entities and Commonwealth companies are encouraged to reduce their emissions, with further consideration being given to these types of entities.</w:t>
      </w:r>
      <w:r w:rsidR="00E232C6" w:rsidRPr="00E8461E">
        <w:rPr>
          <w:rStyle w:val="EndnoteReference"/>
        </w:rPr>
        <w:endnoteReference w:id="106"/>
      </w:r>
    </w:p>
    <w:p w14:paraId="7A7EFDDD" w14:textId="6EE10E43" w:rsidR="00A60BCB" w:rsidRPr="00E8461E" w:rsidRDefault="00A60BCB" w:rsidP="0065729E">
      <w:pPr>
        <w:pStyle w:val="BulletUnindented"/>
      </w:pPr>
      <w:bookmarkStart w:id="113" w:name="_Toc136594144"/>
      <w:r w:rsidRPr="00E8461E">
        <w:t xml:space="preserve">Under the Powering Australia plan, the Government has committed to ensuring large businesses provide people in Australia with greater transparency and accountability when it comes to their climate-related plans, financial </w:t>
      </w:r>
      <w:proofErr w:type="gramStart"/>
      <w:r w:rsidRPr="00E8461E">
        <w:t>risks</w:t>
      </w:r>
      <w:proofErr w:type="gramEnd"/>
      <w:r w:rsidRPr="00E8461E">
        <w:t xml:space="preserve"> and opportunities. As part of this commitment, the Government is introducing standardised, internationally</w:t>
      </w:r>
      <w:r w:rsidR="00782F45" w:rsidRPr="00E8461E">
        <w:t xml:space="preserve"> </w:t>
      </w:r>
      <w:r w:rsidRPr="00E8461E">
        <w:t xml:space="preserve">aligned reporting requirements for large businesses and financial institutions to make disclosures on governance, </w:t>
      </w:r>
      <w:r w:rsidR="006025BA" w:rsidRPr="00E8461E">
        <w:t>s</w:t>
      </w:r>
      <w:r w:rsidRPr="00E8461E">
        <w:t xml:space="preserve">trategy, risk management, </w:t>
      </w:r>
      <w:proofErr w:type="gramStart"/>
      <w:r w:rsidRPr="00E8461E">
        <w:t>targets</w:t>
      </w:r>
      <w:proofErr w:type="gramEnd"/>
      <w:r w:rsidRPr="00E8461E">
        <w:t xml:space="preserve"> and metrics – including greenhouse gases.</w:t>
      </w:r>
      <w:r w:rsidR="009C1B94" w:rsidRPr="00E8461E">
        <w:rPr>
          <w:rStyle w:val="EndnoteReference"/>
        </w:rPr>
        <w:endnoteReference w:id="107"/>
      </w:r>
    </w:p>
    <w:p w14:paraId="61FFE367" w14:textId="77777777" w:rsidR="003A3AE0" w:rsidRPr="00E8461E" w:rsidRDefault="003A3AE0" w:rsidP="00D80EFD">
      <w:pPr>
        <w:pStyle w:val="Heading4"/>
        <w:rPr>
          <w:iCs w:val="0"/>
        </w:rPr>
      </w:pPr>
      <w:r w:rsidRPr="00E8461E">
        <w:rPr>
          <w:iCs w:val="0"/>
        </w:rPr>
        <w:lastRenderedPageBreak/>
        <w:t>Case study 6</w:t>
      </w:r>
    </w:p>
    <w:p w14:paraId="30C3C162" w14:textId="77777777" w:rsidR="003A3AE0" w:rsidRPr="00E8461E" w:rsidRDefault="003A3AE0" w:rsidP="003A3AE0">
      <w:pPr>
        <w:rPr>
          <w:b/>
          <w:bCs/>
          <w:lang w:val="en-GB"/>
        </w:rPr>
      </w:pPr>
      <w:r w:rsidRPr="00E8461E">
        <w:rPr>
          <w:b/>
          <w:bCs/>
          <w:lang w:val="en-GB"/>
        </w:rPr>
        <w:t>Mercy Health’s emissions footprint</w:t>
      </w:r>
    </w:p>
    <w:p w14:paraId="60DE93B5" w14:textId="77777777" w:rsidR="003A3AE0" w:rsidRPr="00E8461E" w:rsidRDefault="003A3AE0" w:rsidP="003A3AE0">
      <w:pPr>
        <w:rPr>
          <w:rFonts w:ascii="Calibri" w:eastAsia="Calibri" w:hAnsi="Calibri" w:cs="Calibri"/>
          <w:lang w:val="en-GB"/>
        </w:rPr>
      </w:pPr>
      <w:r w:rsidRPr="00E8461E">
        <w:rPr>
          <w:rFonts w:ascii="Calibri" w:eastAsia="Calibri" w:hAnsi="Calibri" w:cs="Calibri"/>
          <w:lang w:val="en-GB"/>
        </w:rPr>
        <w:t>Mercy Health is a Catholic provider of public health and aged care services operating across four Australian states and comprising a network of around 820 acute point of care and 2,500 residential aged care places, delivered from around 60 sites.</w:t>
      </w:r>
    </w:p>
    <w:p w14:paraId="55D56F0E" w14:textId="77777777" w:rsidR="003A3AE0" w:rsidRPr="00E8461E" w:rsidRDefault="003A3AE0" w:rsidP="003A3AE0">
      <w:pPr>
        <w:rPr>
          <w:rFonts w:ascii="Calibri" w:eastAsia="Calibri" w:hAnsi="Calibri" w:cs="Calibri"/>
          <w:lang w:val="en-GB"/>
        </w:rPr>
      </w:pPr>
      <w:r w:rsidRPr="00E8461E">
        <w:rPr>
          <w:rFonts w:ascii="Calibri" w:eastAsia="Calibri" w:hAnsi="Calibri" w:cs="Calibri"/>
          <w:lang w:val="en-GB"/>
        </w:rPr>
        <w:t>In 2022, Mercy Health undertook a comprehensive study of the organisation’s full emissions footprint. This work was undertaken as part of Mercy Health’s Caring for People and Planet Strategy, which commits to addressing climate change via sustainable models of care, and ethical and social responsibility.</w:t>
      </w:r>
      <w:r w:rsidRPr="00E8461E">
        <w:rPr>
          <w:rStyle w:val="EndnoteReference"/>
          <w:rFonts w:ascii="Calibri" w:eastAsia="Calibri" w:hAnsi="Calibri" w:cs="Calibri"/>
          <w:lang w:val="en-GB"/>
        </w:rPr>
        <w:endnoteReference w:id="108"/>
      </w:r>
    </w:p>
    <w:p w14:paraId="78123FED" w14:textId="77777777" w:rsidR="003A3AE0" w:rsidRPr="00E8461E" w:rsidRDefault="003A3AE0" w:rsidP="003A3AE0">
      <w:pPr>
        <w:rPr>
          <w:rFonts w:ascii="Calibri" w:eastAsia="Calibri" w:hAnsi="Calibri" w:cs="Calibri"/>
          <w:lang w:val="en-GB"/>
        </w:rPr>
      </w:pPr>
      <w:r w:rsidRPr="00E8461E">
        <w:rPr>
          <w:rFonts w:ascii="Calibri" w:eastAsia="Calibri" w:hAnsi="Calibri" w:cs="Calibri"/>
          <w:lang w:val="en-GB"/>
        </w:rPr>
        <w:t>As Mercy Health is an NGERS reporting organisation, the organisation had good visibility of Scope 1 and 2 emissions at commencement of the study, however there was little understanding of Scope 3 emissions. The study found that Mercy Health’s emissions for the 2020-21 financial year totalled 103 kt CO</w:t>
      </w:r>
      <w:r w:rsidRPr="00E8461E">
        <w:rPr>
          <w:rFonts w:ascii="Calibri" w:eastAsia="Calibri" w:hAnsi="Calibri" w:cs="Calibri"/>
          <w:vertAlign w:val="subscript"/>
          <w:lang w:val="en-GB"/>
        </w:rPr>
        <w:t>2</w:t>
      </w:r>
      <w:r w:rsidRPr="00E8461E">
        <w:rPr>
          <w:rFonts w:ascii="Calibri" w:eastAsia="Calibri" w:hAnsi="Calibri" w:cs="Calibri"/>
          <w:lang w:val="en-GB"/>
        </w:rPr>
        <w:t xml:space="preserve">-e. Scope 1 comprised 11% of emissions, Scope 2 </w:t>
      </w:r>
      <w:proofErr w:type="gramStart"/>
      <w:r w:rsidRPr="00E8461E">
        <w:rPr>
          <w:rFonts w:ascii="Calibri" w:eastAsia="Calibri" w:hAnsi="Calibri" w:cs="Calibri"/>
          <w:lang w:val="en-GB"/>
        </w:rPr>
        <w:t>30%</w:t>
      </w:r>
      <w:proofErr w:type="gramEnd"/>
      <w:r w:rsidRPr="00E8461E">
        <w:rPr>
          <w:rFonts w:ascii="Calibri" w:eastAsia="Calibri" w:hAnsi="Calibri" w:cs="Calibri"/>
          <w:lang w:val="en-GB"/>
        </w:rPr>
        <w:t xml:space="preserve"> and Scope 3 59%. Health Services contributed 49.16% of emissions and Aged Care 47.81%</w:t>
      </w:r>
    </w:p>
    <w:p w14:paraId="6F2B711D" w14:textId="77777777" w:rsidR="003A3AE0" w:rsidRPr="00E8461E" w:rsidRDefault="003A3AE0" w:rsidP="003A3AE0">
      <w:pPr>
        <w:rPr>
          <w:rFonts w:ascii="Calibri" w:eastAsia="Calibri" w:hAnsi="Calibri" w:cs="Calibri"/>
          <w:lang w:val="en-GB"/>
        </w:rPr>
      </w:pPr>
      <w:r w:rsidRPr="00E8461E">
        <w:rPr>
          <w:rFonts w:ascii="Calibri" w:eastAsia="Calibri" w:hAnsi="Calibri" w:cs="Calibri"/>
          <w:lang w:val="en-GB"/>
        </w:rPr>
        <w:t>Building Energy was the largest emissions category (42.03%), with electricity comprising 33.06% of total emissions. This finding highlights the opportunity for Mercy Health to significantly reduce emissions by transitioning to renewable electricity sources.</w:t>
      </w:r>
    </w:p>
    <w:p w14:paraId="15005C60" w14:textId="684ECDF5" w:rsidR="003E7FC6" w:rsidRPr="00E8461E" w:rsidRDefault="003E7FC6" w:rsidP="003E7FC6">
      <w:pPr>
        <w:pStyle w:val="Caption"/>
        <w:rPr>
          <w:rFonts w:eastAsiaTheme="minorEastAsia"/>
          <w:b/>
          <w:bCs/>
        </w:rPr>
      </w:pPr>
      <w:r w:rsidRPr="00E8461E">
        <w:t xml:space="preserve">Figure </w:t>
      </w:r>
      <w:r w:rsidR="00B07FA8">
        <w:fldChar w:fldCharType="begin"/>
      </w:r>
      <w:r w:rsidR="00B07FA8">
        <w:instrText xml:space="preserve"> SEQ Figure \* ARABIC </w:instrText>
      </w:r>
      <w:r w:rsidR="00B07FA8">
        <w:fldChar w:fldCharType="separate"/>
      </w:r>
      <w:r w:rsidRPr="00E8461E">
        <w:rPr>
          <w:noProof/>
        </w:rPr>
        <w:t>7</w:t>
      </w:r>
      <w:r w:rsidR="00B07FA8">
        <w:rPr>
          <w:noProof/>
        </w:rPr>
        <w:fldChar w:fldCharType="end"/>
      </w:r>
      <w:r w:rsidRPr="00E8461E">
        <w:t xml:space="preserve"> Total Greenhous Gas emissions for Mercy Health’s Aged and Community Care Services in 2020/21</w:t>
      </w:r>
    </w:p>
    <w:p w14:paraId="5209E629" w14:textId="77777777" w:rsidR="003E7FC6" w:rsidRPr="00E8461E" w:rsidRDefault="003E7FC6" w:rsidP="003E7FC6">
      <w:r w:rsidRPr="00E8461E">
        <w:rPr>
          <w:noProof/>
        </w:rPr>
        <w:drawing>
          <wp:inline distT="0" distB="0" distL="0" distR="0" wp14:anchorId="761069BF" wp14:editId="036A2339">
            <wp:extent cx="4695471" cy="4493172"/>
            <wp:effectExtent l="0" t="0" r="0" b="3175"/>
            <wp:docPr id="25" name="Picture 25" descr="A pie chart for the total greenhouse total greenhouse gas emissions for Mercy Health’s Aged and Community Care Services in 2020/21.&#10;Total emissions: 49 kt CO2-e&#10;Commissioned:&#10;• Emissions from Commissioned Health Services: 5%&#10;Personal travel&#10;• Emissions from visitor travel: 1%&#10;• Emissions from staff commute: 6%&#10;Supply Chain&#10;• Emissions from other procurement: 1%&#10;• Emissions from pharmaceuticals and chemicals: 2%&#10;• Emissions from medical equipment: 3%&#10;• Emissions from non-medical equipment: 4%&#10;• Emissions from business services: 5%&#10;• Emissions from food and catering: 16%&#10;Delivery of care&#10;• Emissions from fleet and business travel: 3%&#10;• Emissions from water and waste: 6%&#10;• Emissions from building energy: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e chart for the total greenhouse total greenhouse gas emissions for Mercy Health’s Aged and Community Care Services in 2020/21.&#10;Total emissions: 49 kt CO2-e&#10;Commissioned:&#10;• Emissions from Commissioned Health Services: 5%&#10;Personal travel&#10;• Emissions from visitor travel: 1%&#10;• Emissions from staff commute: 6%&#10;Supply Chain&#10;• Emissions from other procurement: 1%&#10;• Emissions from pharmaceuticals and chemicals: 2%&#10;• Emissions from medical equipment: 3%&#10;• Emissions from non-medical equipment: 4%&#10;• Emissions from business services: 5%&#10;• Emissions from food and catering: 16%&#10;Delivery of care&#10;• Emissions from fleet and business travel: 3%&#10;• Emissions from water and waste: 6%&#10;• Emissions from building energy: 47%&#10;"/>
                    <pic:cNvPicPr/>
                  </pic:nvPicPr>
                  <pic:blipFill rotWithShape="1">
                    <a:blip r:embed="rId33" cstate="print">
                      <a:extLst>
                        <a:ext uri="{28A0092B-C50C-407E-A947-70E740481C1C}">
                          <a14:useLocalDpi xmlns:a14="http://schemas.microsoft.com/office/drawing/2010/main" val="0"/>
                        </a:ext>
                      </a:extLst>
                    </a:blip>
                    <a:srcRect l="8244" t="21554" r="8031" b="22117"/>
                    <a:stretch/>
                  </pic:blipFill>
                  <pic:spPr bwMode="auto">
                    <a:xfrm>
                      <a:off x="0" y="0"/>
                      <a:ext cx="4731042" cy="4527210"/>
                    </a:xfrm>
                    <a:prstGeom prst="rect">
                      <a:avLst/>
                    </a:prstGeom>
                    <a:ln>
                      <a:noFill/>
                    </a:ln>
                    <a:extLst>
                      <a:ext uri="{53640926-AAD7-44D8-BBD7-CCE9431645EC}">
                        <a14:shadowObscured xmlns:a14="http://schemas.microsoft.com/office/drawing/2010/main"/>
                      </a:ext>
                    </a:extLst>
                  </pic:spPr>
                </pic:pic>
              </a:graphicData>
            </a:graphic>
          </wp:inline>
        </w:drawing>
      </w:r>
    </w:p>
    <w:p w14:paraId="3D769EDC" w14:textId="77777777" w:rsidR="003E7FC6" w:rsidRPr="00E8461E" w:rsidRDefault="003E7FC6" w:rsidP="003E7FC6">
      <w:pPr>
        <w:pStyle w:val="Caption"/>
        <w:rPr>
          <w:rFonts w:eastAsiaTheme="minorEastAsia"/>
          <w:b/>
          <w:bCs/>
        </w:rPr>
      </w:pPr>
      <w:r w:rsidRPr="00E8461E">
        <w:lastRenderedPageBreak/>
        <w:t xml:space="preserve">Figure </w:t>
      </w:r>
      <w:r w:rsidR="00B07FA8">
        <w:fldChar w:fldCharType="begin"/>
      </w:r>
      <w:r w:rsidR="00B07FA8">
        <w:instrText xml:space="preserve"> SEQ Figure \* ARABIC </w:instrText>
      </w:r>
      <w:r w:rsidR="00B07FA8">
        <w:fldChar w:fldCharType="separate"/>
      </w:r>
      <w:r w:rsidRPr="00E8461E">
        <w:rPr>
          <w:noProof/>
        </w:rPr>
        <w:t>8</w:t>
      </w:r>
      <w:r w:rsidR="00B07FA8">
        <w:rPr>
          <w:noProof/>
        </w:rPr>
        <w:fldChar w:fldCharType="end"/>
      </w:r>
      <w:r w:rsidRPr="00E8461E">
        <w:t xml:space="preserve"> Total Greenhous Gas emissions for Mercy Health’s Health Services in 2020/21</w:t>
      </w:r>
    </w:p>
    <w:p w14:paraId="64874B21" w14:textId="1FBE1A8C" w:rsidR="003E7FC6" w:rsidRPr="00E8461E" w:rsidRDefault="003E7FC6" w:rsidP="003E7FC6">
      <w:pPr>
        <w:pBdr>
          <w:bottom w:val="single" w:sz="12" w:space="1" w:color="008A95" w:themeColor="accent1"/>
        </w:pBdr>
      </w:pPr>
      <w:r w:rsidRPr="00E8461E">
        <w:rPr>
          <w:noProof/>
        </w:rPr>
        <w:drawing>
          <wp:inline distT="0" distB="0" distL="0" distR="0" wp14:anchorId="18DF7F87" wp14:editId="372F56D8">
            <wp:extent cx="4731042" cy="4527210"/>
            <wp:effectExtent l="0" t="0" r="0" b="6985"/>
            <wp:docPr id="27" name="Picture 27" descr="A pie chart for the total greenhouse total greenhouse gas emissions for Mercy Health’s Health Services in 2020/21.&#10;Total emissions: 51 kt CO2-e&#10;Commissioned:&#10;• Emissions from Commissioned Health Services: 6%&#10;Personal travel&#10;• Emissions from patient travel: 2%&#10;• Emissions from visitor travel: 6%&#10;• Emissions from staff commute: 7%&#10;Supply Chain&#10;• Emissions from other procurement: 2%&#10;• Emissions from non-medical equipment: 3%&#10;• Emissions from food and catering: 4%&#10;• Emissions from business services: 7%&#10;• Emissions from medical equipment: 8%&#10;• Emissions from pharmaceuticals and chemicals: 9%&#10;Delivery of care&#10;• Emissions from fleet and business travel: 1%&#10;• Emissions from anaesthetic gases and MDIs: 3%&#10;• Emissions from water and waste: 6%&#10;• Emissions from building energy: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e chart for the total greenhouse total greenhouse gas emissions for Mercy Health’s Health Services in 2020/21.&#10;Total emissions: 51 kt CO2-e&#10;Commissioned:&#10;• Emissions from Commissioned Health Services: 6%&#10;Personal travel&#10;• Emissions from patient travel: 2%&#10;• Emissions from visitor travel: 6%&#10;• Emissions from staff commute: 7%&#10;Supply Chain&#10;• Emissions from other procurement: 2%&#10;• Emissions from non-medical equipment: 3%&#10;• Emissions from food and catering: 4%&#10;• Emissions from business services: 7%&#10;• Emissions from medical equipment: 8%&#10;• Emissions from pharmaceuticals and chemicals: 9%&#10;Delivery of care&#10;• Emissions from fleet and business travel: 1%&#10;• Emissions from anaesthetic gases and MDIs: 3%&#10;• Emissions from water and waste: 6%&#10;• Emissions from building energy: 39%"/>
                    <pic:cNvPicPr/>
                  </pic:nvPicPr>
                  <pic:blipFill rotWithShape="1">
                    <a:blip r:embed="rId34" cstate="print">
                      <a:extLst>
                        <a:ext uri="{28A0092B-C50C-407E-A947-70E740481C1C}">
                          <a14:useLocalDpi xmlns:a14="http://schemas.microsoft.com/office/drawing/2010/main" val="0"/>
                        </a:ext>
                      </a:extLst>
                    </a:blip>
                    <a:srcRect l="7990" t="19692" r="6379" b="20257"/>
                    <a:stretch/>
                  </pic:blipFill>
                  <pic:spPr bwMode="auto">
                    <a:xfrm>
                      <a:off x="0" y="0"/>
                      <a:ext cx="4731042" cy="4527210"/>
                    </a:xfrm>
                    <a:prstGeom prst="rect">
                      <a:avLst/>
                    </a:prstGeom>
                    <a:ln>
                      <a:noFill/>
                    </a:ln>
                    <a:extLst>
                      <a:ext uri="{53640926-AAD7-44D8-BBD7-CCE9431645EC}">
                        <a14:shadowObscured xmlns:a14="http://schemas.microsoft.com/office/drawing/2010/main"/>
                      </a:ext>
                    </a:extLst>
                  </pic:spPr>
                </pic:pic>
              </a:graphicData>
            </a:graphic>
          </wp:inline>
        </w:drawing>
      </w:r>
    </w:p>
    <w:p w14:paraId="5B0D3CF5" w14:textId="55AC7A3C" w:rsidR="003E7FC6" w:rsidRPr="00E8461E" w:rsidRDefault="003E7FC6" w:rsidP="003E7FC6">
      <w:pPr>
        <w:pBdr>
          <w:bottom w:val="single" w:sz="12" w:space="1" w:color="008A95" w:themeColor="accent1"/>
        </w:pBdr>
      </w:pPr>
      <w:r w:rsidRPr="00E8461E">
        <w:t>© Mercy Health</w:t>
      </w:r>
    </w:p>
    <w:p w14:paraId="29279534" w14:textId="013BCDF4" w:rsidR="00A60BCB" w:rsidRPr="00E8461E" w:rsidRDefault="00A60BCB" w:rsidP="00A60BCB">
      <w:pPr>
        <w:rPr>
          <w:lang w:val="en-GB"/>
        </w:rPr>
      </w:pPr>
      <w:r w:rsidRPr="00E8461E">
        <w:rPr>
          <w:lang w:val="en-GB"/>
        </w:rPr>
        <w:t>State and territory health ministries have individually made significant progress to estimate their health system emissions</w:t>
      </w:r>
      <w:r w:rsidR="006E3428" w:rsidRPr="00E8461E">
        <w:rPr>
          <w:lang w:val="en-GB"/>
        </w:rPr>
        <w:t>,</w:t>
      </w:r>
      <w:r w:rsidRPr="00E8461E">
        <w:rPr>
          <w:lang w:val="en-GB"/>
        </w:rPr>
        <w:t xml:space="preserve"> and all intend to establish a regular reporting scheme. This is in parallel to the Australian Government’s established common approach to national and facility-level emission estimation that will support the baseline emissions estimation and reporting for the health system. All states and territories are collecting and reporting health system emissions data on most scope 1 and 2 emissions sources and, to a varying degree</w:t>
      </w:r>
      <w:r w:rsidR="00A11862" w:rsidRPr="00E8461E">
        <w:rPr>
          <w:lang w:val="en-GB"/>
        </w:rPr>
        <w:t>,</w:t>
      </w:r>
      <w:r w:rsidRPr="00E8461E">
        <w:rPr>
          <w:lang w:val="en-GB"/>
        </w:rPr>
        <w:t xml:space="preserve"> on scope 3 emissions sources, with each taking different approaches to their measurement, in line with their own jurisdictional reporting requirements and emissions reductions targets. There is great value in working with all </w:t>
      </w:r>
      <w:r w:rsidR="0045598D" w:rsidRPr="00E8461E">
        <w:rPr>
          <w:lang w:val="en-GB"/>
        </w:rPr>
        <w:t>s</w:t>
      </w:r>
      <w:r w:rsidRPr="00E8461E">
        <w:rPr>
          <w:lang w:val="en-GB"/>
        </w:rPr>
        <w:t xml:space="preserve">tates and </w:t>
      </w:r>
      <w:r w:rsidR="0045598D" w:rsidRPr="00E8461E">
        <w:rPr>
          <w:lang w:val="en-GB"/>
        </w:rPr>
        <w:t>t</w:t>
      </w:r>
      <w:r w:rsidRPr="00E8461E">
        <w:rPr>
          <w:lang w:val="en-GB"/>
        </w:rPr>
        <w:t>erritories to align emissions measurement and reporting.</w:t>
      </w:r>
    </w:p>
    <w:p w14:paraId="2804DCDB" w14:textId="5D9983B1" w:rsidR="00275071" w:rsidRPr="00E8461E" w:rsidRDefault="00A60BCB" w:rsidP="00A60BCB">
      <w:pPr>
        <w:rPr>
          <w:lang w:val="en-GB"/>
        </w:rPr>
      </w:pPr>
      <w:r w:rsidRPr="00E8461E">
        <w:rPr>
          <w:lang w:val="en-GB"/>
        </w:rPr>
        <w:t>his Strategy provides the opportunity for more granular and robust bottom-up emissions measurements that can feed into both the national baseline emissions estimate as well as ongoing reporting. This will be particularly important in accurately monitoring progress along a national health system emissions reduction trajectory.</w:t>
      </w:r>
    </w:p>
    <w:p w14:paraId="43C600CE" w14:textId="76B7802A" w:rsidR="00A60BCB" w:rsidRPr="00E8461E" w:rsidRDefault="00A60BCB" w:rsidP="00A60BCB">
      <w:pPr>
        <w:rPr>
          <w:lang w:val="en-GB"/>
        </w:rPr>
      </w:pPr>
      <w:r w:rsidRPr="00E8461E">
        <w:rPr>
          <w:lang w:val="en-GB"/>
        </w:rPr>
        <w:t xml:space="preserve">More standardised data would allow benchmarking and comparison between jurisdictions as well as between comparatively sized and located health services. Jurisdictions and health services will have the opportunity to demonstrate progress in alignment with the emissions reduction trajectory. Standardised data will enable the identification of jurisdictions and health systems that are leading in emissions reductions to then share best practice with other jurisdictions and health services. Such sharing of </w:t>
      </w:r>
      <w:r w:rsidRPr="00E8461E">
        <w:rPr>
          <w:lang w:val="en-GB"/>
        </w:rPr>
        <w:lastRenderedPageBreak/>
        <w:t>consistent data reporting and best practice will help accelerate mitigation action to help achieve progress in line with an agreed health system emissions reduction trajectory.</w:t>
      </w:r>
    </w:p>
    <w:p w14:paraId="7A1BEA8C" w14:textId="77777777" w:rsidR="003A3AE0" w:rsidRPr="00E8461E" w:rsidRDefault="003A3AE0" w:rsidP="00D80EFD">
      <w:pPr>
        <w:pStyle w:val="Heading4"/>
        <w:rPr>
          <w:iCs w:val="0"/>
        </w:rPr>
      </w:pPr>
      <w:r w:rsidRPr="00E8461E">
        <w:rPr>
          <w:iCs w:val="0"/>
        </w:rPr>
        <w:t>Action 4.2</w:t>
      </w:r>
    </w:p>
    <w:p w14:paraId="1C01F6C5" w14:textId="77777777" w:rsidR="003A3AE0" w:rsidRPr="00E8461E" w:rsidRDefault="003A3AE0" w:rsidP="003A3AE0">
      <w:pPr>
        <w:rPr>
          <w:lang w:val="en-GB"/>
        </w:rPr>
      </w:pPr>
      <w:r w:rsidRPr="00E8461E">
        <w:rPr>
          <w:b/>
          <w:bCs/>
        </w:rPr>
        <w:t>Alignment of approaches to reporting health system greenhouse gas emissions</w:t>
      </w:r>
    </w:p>
    <w:p w14:paraId="78BCB295" w14:textId="1264AB6D" w:rsidR="003A3AE0" w:rsidRPr="00E8461E" w:rsidRDefault="003A3AE0" w:rsidP="003A3AE0">
      <w:pPr>
        <w:pBdr>
          <w:bottom w:val="single" w:sz="12" w:space="1" w:color="008A95" w:themeColor="accent1"/>
        </w:pBdr>
        <w:rPr>
          <w:lang w:val="en-GB"/>
        </w:rPr>
      </w:pPr>
      <w:r w:rsidRPr="00E8461E">
        <w:rPr>
          <w:lang w:val="en-GB"/>
        </w:rPr>
        <w:t xml:space="preserve">The </w:t>
      </w:r>
      <w:r w:rsidRPr="00E8461E">
        <w:rPr>
          <w:rFonts w:cs="Times New Roman"/>
        </w:rPr>
        <w:t xml:space="preserve">Australian Government </w:t>
      </w:r>
      <w:r w:rsidRPr="00E8461E">
        <w:rPr>
          <w:lang w:val="en-GB"/>
        </w:rPr>
        <w:t>will work together with state and territory health departments to align emissions estimation approaches by state and territory health systems, leveraging, to the extent possible, National Greenhouse Accounts methods and frameworks and data already reported by states and territories through their own reporting mechanisms.</w:t>
      </w:r>
    </w:p>
    <w:p w14:paraId="77E6E919" w14:textId="594433C0" w:rsidR="00A60BCB" w:rsidRPr="00E8461E" w:rsidRDefault="00660E87" w:rsidP="00571F10">
      <w:pPr>
        <w:pStyle w:val="Heading3"/>
        <w:rPr>
          <w:lang w:val="en-GB"/>
        </w:rPr>
      </w:pPr>
      <w:bookmarkStart w:id="114" w:name="_Toc147086745"/>
      <w:bookmarkStart w:id="115" w:name="_Toc147502196"/>
      <w:bookmarkStart w:id="116" w:name="_Toc149909982"/>
      <w:bookmarkStart w:id="117" w:name="_Toc149918447"/>
      <w:r w:rsidRPr="00E8461E" w:rsidDel="00520A6C">
        <w:t>4</w:t>
      </w:r>
      <w:r w:rsidR="00A60BCB" w:rsidRPr="00E8461E">
        <w:rPr>
          <w:lang w:val="en-GB"/>
        </w:rPr>
        <w:t>.1.4 What do we know about health system emissions</w:t>
      </w:r>
      <w:bookmarkEnd w:id="114"/>
      <w:bookmarkEnd w:id="115"/>
      <w:r w:rsidR="00A60BCB" w:rsidRPr="00E8461E">
        <w:rPr>
          <w:lang w:val="en-GB"/>
        </w:rPr>
        <w:t>?</w:t>
      </w:r>
      <w:bookmarkEnd w:id="116"/>
      <w:bookmarkEnd w:id="117"/>
    </w:p>
    <w:p w14:paraId="7089493C" w14:textId="5785CCBC" w:rsidR="00A60BCB" w:rsidRPr="00E8461E" w:rsidRDefault="00A60BCB" w:rsidP="00A60BCB">
      <w:pPr>
        <w:rPr>
          <w:b/>
          <w:bCs/>
          <w:lang w:val="en-GB"/>
        </w:rPr>
      </w:pPr>
      <w:r w:rsidRPr="00E8461E">
        <w:rPr>
          <w:b/>
          <w:lang w:val="en-GB"/>
        </w:rPr>
        <w:t>Table 1</w:t>
      </w:r>
      <w:r w:rsidRPr="00E8461E">
        <w:rPr>
          <w:b/>
          <w:bCs/>
          <w:lang w:val="en-GB"/>
        </w:rPr>
        <w:t>: Health system emissions by scope</w:t>
      </w:r>
    </w:p>
    <w:tbl>
      <w:tblPr>
        <w:tblStyle w:val="TableGridLight"/>
        <w:tblW w:w="0" w:type="auto"/>
        <w:tblLook w:val="04A0" w:firstRow="1" w:lastRow="0" w:firstColumn="1" w:lastColumn="0" w:noHBand="0" w:noVBand="1"/>
      </w:tblPr>
      <w:tblGrid>
        <w:gridCol w:w="7366"/>
        <w:gridCol w:w="1650"/>
      </w:tblGrid>
      <w:tr w:rsidR="00A60BCB" w:rsidRPr="00E8461E" w14:paraId="2952D37B" w14:textId="77777777" w:rsidTr="00CC5BB5">
        <w:tc>
          <w:tcPr>
            <w:tcW w:w="7366" w:type="dxa"/>
          </w:tcPr>
          <w:p w14:paraId="5DCB6507" w14:textId="77777777" w:rsidR="00A60BCB" w:rsidRPr="00E8461E" w:rsidRDefault="00A60BCB" w:rsidP="006D276A">
            <w:pPr>
              <w:rPr>
                <w:lang w:val="en-GB"/>
              </w:rPr>
            </w:pPr>
            <w:r w:rsidRPr="00E8461E">
              <w:rPr>
                <w:rFonts w:cstheme="minorHAnsi"/>
                <w:b/>
                <w:lang w:val="en-GB"/>
              </w:rPr>
              <w:t>Category</w:t>
            </w:r>
          </w:p>
        </w:tc>
        <w:tc>
          <w:tcPr>
            <w:tcW w:w="1650" w:type="dxa"/>
          </w:tcPr>
          <w:p w14:paraId="5EEF9C7A" w14:textId="77777777" w:rsidR="00A60BCB" w:rsidRPr="00E8461E" w:rsidRDefault="00A60BCB" w:rsidP="006D276A">
            <w:pPr>
              <w:rPr>
                <w:lang w:val="en-GB"/>
              </w:rPr>
            </w:pPr>
            <w:r w:rsidRPr="00E8461E">
              <w:rPr>
                <w:b/>
                <w:lang w:val="en-GB"/>
              </w:rPr>
              <w:t>kt CO</w:t>
            </w:r>
            <w:r w:rsidRPr="00E8461E">
              <w:rPr>
                <w:b/>
                <w:vertAlign w:val="subscript"/>
                <w:lang w:val="en-GB"/>
              </w:rPr>
              <w:t>2</w:t>
            </w:r>
            <w:r w:rsidRPr="00E8461E">
              <w:rPr>
                <w:b/>
                <w:lang w:val="en-GB"/>
              </w:rPr>
              <w:t xml:space="preserve">-e </w:t>
            </w:r>
          </w:p>
        </w:tc>
      </w:tr>
      <w:tr w:rsidR="00CC5BB5" w:rsidRPr="00E8461E" w14:paraId="1D2B0E4E" w14:textId="77777777" w:rsidTr="00CC5BB5">
        <w:tc>
          <w:tcPr>
            <w:tcW w:w="7366" w:type="dxa"/>
            <w:shd w:val="clear" w:color="auto" w:fill="F2F2F2" w:themeFill="background1" w:themeFillShade="F2"/>
          </w:tcPr>
          <w:p w14:paraId="49F7E562" w14:textId="77777777" w:rsidR="00CC5BB5" w:rsidRPr="00E8461E" w:rsidRDefault="00CC5BB5" w:rsidP="00CC5BB5">
            <w:pPr>
              <w:rPr>
                <w:b/>
                <w:lang w:val="en-GB"/>
              </w:rPr>
            </w:pPr>
            <w:r w:rsidRPr="00E8461E">
              <w:rPr>
                <w:b/>
                <w:lang w:val="en-GB"/>
              </w:rPr>
              <w:t>Scope 1 (FY 2020-2021)</w:t>
            </w:r>
          </w:p>
        </w:tc>
        <w:tc>
          <w:tcPr>
            <w:tcW w:w="1650" w:type="dxa"/>
            <w:shd w:val="clear" w:color="auto" w:fill="F2F2F2" w:themeFill="background1" w:themeFillShade="F2"/>
          </w:tcPr>
          <w:p w14:paraId="6987E362" w14:textId="05CDF9E1" w:rsidR="00CC5BB5" w:rsidRPr="00E8461E" w:rsidRDefault="00CC5BB5" w:rsidP="00CC5BB5">
            <w:pPr>
              <w:rPr>
                <w:b/>
                <w:lang w:val="en-GB"/>
              </w:rPr>
            </w:pPr>
          </w:p>
        </w:tc>
      </w:tr>
      <w:tr w:rsidR="00A60BCB" w:rsidRPr="00E8461E" w14:paraId="0BA57B53" w14:textId="77777777" w:rsidTr="00CC5BB5">
        <w:tc>
          <w:tcPr>
            <w:tcW w:w="7366" w:type="dxa"/>
          </w:tcPr>
          <w:p w14:paraId="17D088CD" w14:textId="77777777" w:rsidR="00A60BCB" w:rsidRPr="00E8461E" w:rsidRDefault="00A60BCB" w:rsidP="006D276A">
            <w:pPr>
              <w:rPr>
                <w:rFonts w:ascii="Calibri" w:hAnsi="Calibri" w:cs="Calibri"/>
                <w:b/>
                <w:color w:val="000000"/>
              </w:rPr>
            </w:pPr>
            <w:r w:rsidRPr="00E8461E">
              <w:rPr>
                <w:rFonts w:ascii="Calibri" w:hAnsi="Calibri" w:cs="Calibri"/>
                <w:b/>
                <w:color w:val="000000" w:themeColor="text1"/>
              </w:rPr>
              <w:t>Hospitals and Medical and Other Health Care Services (total)</w:t>
            </w:r>
          </w:p>
        </w:tc>
        <w:tc>
          <w:tcPr>
            <w:tcW w:w="1650" w:type="dxa"/>
          </w:tcPr>
          <w:p w14:paraId="361CD85F" w14:textId="77777777" w:rsidR="00A60BCB" w:rsidRPr="00E8461E" w:rsidRDefault="00A60BCB" w:rsidP="006D276A">
            <w:pPr>
              <w:jc w:val="right"/>
              <w:rPr>
                <w:rFonts w:ascii="Calibri" w:hAnsi="Calibri" w:cs="Calibri"/>
                <w:b/>
                <w:color w:val="000000"/>
              </w:rPr>
            </w:pPr>
            <w:r w:rsidRPr="00E8461E">
              <w:rPr>
                <w:rFonts w:ascii="Calibri" w:hAnsi="Calibri" w:cs="Calibri"/>
                <w:b/>
                <w:color w:val="000000" w:themeColor="text1"/>
              </w:rPr>
              <w:t>714</w:t>
            </w:r>
          </w:p>
        </w:tc>
      </w:tr>
      <w:tr w:rsidR="00A60BCB" w:rsidRPr="00E8461E" w14:paraId="2E15BFDB" w14:textId="77777777" w:rsidTr="00CC5BB5">
        <w:tc>
          <w:tcPr>
            <w:tcW w:w="7366" w:type="dxa"/>
          </w:tcPr>
          <w:p w14:paraId="6678C537" w14:textId="77777777" w:rsidR="00A60BCB" w:rsidRPr="00E8461E" w:rsidRDefault="00A60BCB" w:rsidP="006D276A">
            <w:pPr>
              <w:rPr>
                <w:lang w:val="en-GB"/>
              </w:rPr>
            </w:pPr>
            <w:r w:rsidRPr="00E8461E">
              <w:rPr>
                <w:lang w:val="en-GB"/>
              </w:rPr>
              <w:tab/>
              <w:t>Fuel combustion for stationary energy purposes</w:t>
            </w:r>
          </w:p>
        </w:tc>
        <w:tc>
          <w:tcPr>
            <w:tcW w:w="1650" w:type="dxa"/>
          </w:tcPr>
          <w:p w14:paraId="4232B34F" w14:textId="77777777" w:rsidR="00A60BCB" w:rsidRPr="00E8461E" w:rsidRDefault="00A60BCB" w:rsidP="006D276A">
            <w:pPr>
              <w:rPr>
                <w:lang w:val="en-GB"/>
              </w:rPr>
            </w:pPr>
            <w:r w:rsidRPr="00E8461E">
              <w:rPr>
                <w:lang w:val="en-GB"/>
              </w:rPr>
              <w:t>299</w:t>
            </w:r>
          </w:p>
        </w:tc>
      </w:tr>
      <w:tr w:rsidR="00A60BCB" w:rsidRPr="00E8461E" w14:paraId="60D267CD" w14:textId="77777777" w:rsidTr="00CC5BB5">
        <w:tc>
          <w:tcPr>
            <w:tcW w:w="7366" w:type="dxa"/>
          </w:tcPr>
          <w:p w14:paraId="136E0C74" w14:textId="77777777" w:rsidR="00A60BCB" w:rsidRPr="00E8461E" w:rsidRDefault="00A60BCB" w:rsidP="006D276A">
            <w:pPr>
              <w:rPr>
                <w:lang w:val="en-GB"/>
              </w:rPr>
            </w:pPr>
            <w:r w:rsidRPr="00E8461E">
              <w:rPr>
                <w:lang w:val="en-GB"/>
              </w:rPr>
              <w:tab/>
              <w:t>Road transport</w:t>
            </w:r>
          </w:p>
        </w:tc>
        <w:tc>
          <w:tcPr>
            <w:tcW w:w="1650" w:type="dxa"/>
          </w:tcPr>
          <w:p w14:paraId="7FE07416" w14:textId="77777777" w:rsidR="00A60BCB" w:rsidRPr="00E8461E" w:rsidRDefault="00A60BCB" w:rsidP="006D276A">
            <w:pPr>
              <w:rPr>
                <w:lang w:val="en-GB"/>
              </w:rPr>
            </w:pPr>
            <w:r w:rsidRPr="00E8461E">
              <w:rPr>
                <w:lang w:val="en-GB"/>
              </w:rPr>
              <w:t>237</w:t>
            </w:r>
          </w:p>
        </w:tc>
      </w:tr>
      <w:tr w:rsidR="00A60BCB" w:rsidRPr="00E8461E" w14:paraId="7009CFC2" w14:textId="77777777" w:rsidTr="00CC5BB5">
        <w:tc>
          <w:tcPr>
            <w:tcW w:w="7366" w:type="dxa"/>
          </w:tcPr>
          <w:p w14:paraId="02E50E66" w14:textId="77777777" w:rsidR="00A60BCB" w:rsidRPr="00E8461E" w:rsidRDefault="00A60BCB" w:rsidP="006D276A">
            <w:pPr>
              <w:rPr>
                <w:lang w:val="en-GB"/>
              </w:rPr>
            </w:pPr>
            <w:r w:rsidRPr="00E8461E">
              <w:rPr>
                <w:lang w:val="en-GB"/>
              </w:rPr>
              <w:tab/>
              <w:t>Commercial refrigeration</w:t>
            </w:r>
          </w:p>
        </w:tc>
        <w:tc>
          <w:tcPr>
            <w:tcW w:w="1650" w:type="dxa"/>
          </w:tcPr>
          <w:p w14:paraId="28661A40" w14:textId="77777777" w:rsidR="00A60BCB" w:rsidRPr="00E8461E" w:rsidRDefault="00A60BCB" w:rsidP="006D276A">
            <w:pPr>
              <w:rPr>
                <w:lang w:val="en-GB"/>
              </w:rPr>
            </w:pPr>
            <w:r w:rsidRPr="00E8461E">
              <w:rPr>
                <w:lang w:val="en-GB"/>
              </w:rPr>
              <w:t>153</w:t>
            </w:r>
          </w:p>
        </w:tc>
      </w:tr>
      <w:tr w:rsidR="00A60BCB" w:rsidRPr="00E8461E" w14:paraId="6B48AB0A" w14:textId="77777777" w:rsidTr="00CC5BB5">
        <w:tc>
          <w:tcPr>
            <w:tcW w:w="7366" w:type="dxa"/>
          </w:tcPr>
          <w:p w14:paraId="43743366" w14:textId="77777777" w:rsidR="00A60BCB" w:rsidRPr="00E8461E" w:rsidRDefault="00A60BCB" w:rsidP="006D276A">
            <w:pPr>
              <w:rPr>
                <w:lang w:val="en-GB"/>
              </w:rPr>
            </w:pPr>
            <w:r w:rsidRPr="00E8461E">
              <w:rPr>
                <w:lang w:val="en-GB"/>
              </w:rPr>
              <w:tab/>
              <w:t>Mobile air-conditioning</w:t>
            </w:r>
          </w:p>
        </w:tc>
        <w:tc>
          <w:tcPr>
            <w:tcW w:w="1650" w:type="dxa"/>
          </w:tcPr>
          <w:p w14:paraId="5BE49583" w14:textId="77777777" w:rsidR="00A60BCB" w:rsidRPr="00E8461E" w:rsidRDefault="00A60BCB" w:rsidP="006D276A">
            <w:pPr>
              <w:rPr>
                <w:lang w:val="en-GB"/>
              </w:rPr>
            </w:pPr>
            <w:r w:rsidRPr="00E8461E">
              <w:rPr>
                <w:lang w:val="en-GB"/>
              </w:rPr>
              <w:t>4</w:t>
            </w:r>
          </w:p>
        </w:tc>
      </w:tr>
      <w:tr w:rsidR="00A60BCB" w:rsidRPr="00E8461E" w14:paraId="429C3129" w14:textId="77777777" w:rsidTr="00CC5BB5">
        <w:tc>
          <w:tcPr>
            <w:tcW w:w="7366" w:type="dxa"/>
          </w:tcPr>
          <w:p w14:paraId="5DD6806A" w14:textId="77777777" w:rsidR="00A60BCB" w:rsidRPr="00E8461E" w:rsidRDefault="00A60BCB" w:rsidP="006D276A">
            <w:pPr>
              <w:rPr>
                <w:lang w:val="en-GB"/>
              </w:rPr>
            </w:pPr>
            <w:r w:rsidRPr="00E8461E">
              <w:rPr>
                <w:lang w:val="en-GB"/>
              </w:rPr>
              <w:tab/>
              <w:t>Stationary air-conditioning</w:t>
            </w:r>
          </w:p>
        </w:tc>
        <w:tc>
          <w:tcPr>
            <w:tcW w:w="1650" w:type="dxa"/>
          </w:tcPr>
          <w:p w14:paraId="09093E00" w14:textId="77777777" w:rsidR="00A60BCB" w:rsidRPr="00E8461E" w:rsidRDefault="00A60BCB" w:rsidP="006D276A">
            <w:pPr>
              <w:rPr>
                <w:lang w:val="en-GB"/>
              </w:rPr>
            </w:pPr>
            <w:r w:rsidRPr="00E8461E">
              <w:rPr>
                <w:lang w:val="en-GB"/>
              </w:rPr>
              <w:t>21</w:t>
            </w:r>
          </w:p>
        </w:tc>
      </w:tr>
      <w:tr w:rsidR="00A60BCB" w:rsidRPr="00E8461E" w14:paraId="5998E4A0" w14:textId="77777777" w:rsidTr="00CC5BB5">
        <w:tc>
          <w:tcPr>
            <w:tcW w:w="7366" w:type="dxa"/>
          </w:tcPr>
          <w:p w14:paraId="7D16BD58" w14:textId="77777777" w:rsidR="00A60BCB" w:rsidRPr="00E8461E" w:rsidRDefault="00A60BCB" w:rsidP="006D276A">
            <w:pPr>
              <w:rPr>
                <w:rFonts w:ascii="Calibri" w:hAnsi="Calibri" w:cs="Calibri"/>
                <w:b/>
                <w:color w:val="000000"/>
              </w:rPr>
            </w:pPr>
            <w:r w:rsidRPr="00E8461E">
              <w:rPr>
                <w:rFonts w:ascii="Calibri" w:hAnsi="Calibri" w:cs="Calibri"/>
                <w:b/>
                <w:color w:val="000000"/>
              </w:rPr>
              <w:t>Residential Care Services (total)</w:t>
            </w:r>
          </w:p>
        </w:tc>
        <w:tc>
          <w:tcPr>
            <w:tcW w:w="1650" w:type="dxa"/>
          </w:tcPr>
          <w:p w14:paraId="6C6AD5CC" w14:textId="77777777" w:rsidR="00A60BCB" w:rsidRPr="00E8461E" w:rsidRDefault="00A60BCB" w:rsidP="006D276A">
            <w:pPr>
              <w:jc w:val="right"/>
              <w:rPr>
                <w:rFonts w:ascii="Calibri" w:hAnsi="Calibri" w:cs="Calibri"/>
                <w:b/>
                <w:color w:val="000000"/>
              </w:rPr>
            </w:pPr>
            <w:r w:rsidRPr="00E8461E">
              <w:rPr>
                <w:rFonts w:ascii="Calibri" w:hAnsi="Calibri" w:cs="Calibri"/>
                <w:b/>
                <w:color w:val="000000"/>
              </w:rPr>
              <w:t>440</w:t>
            </w:r>
          </w:p>
        </w:tc>
      </w:tr>
      <w:tr w:rsidR="00A60BCB" w:rsidRPr="00E8461E" w14:paraId="47097E50" w14:textId="77777777" w:rsidTr="00CC5BB5">
        <w:tc>
          <w:tcPr>
            <w:tcW w:w="7366" w:type="dxa"/>
          </w:tcPr>
          <w:p w14:paraId="5987AF28" w14:textId="77777777" w:rsidR="00A60BCB" w:rsidRPr="00E8461E" w:rsidRDefault="00A60BCB" w:rsidP="006D276A">
            <w:pPr>
              <w:rPr>
                <w:lang w:val="en-GB"/>
              </w:rPr>
            </w:pPr>
            <w:r w:rsidRPr="00E8461E">
              <w:rPr>
                <w:rFonts w:ascii="Calibri" w:hAnsi="Calibri" w:cs="Calibri"/>
                <w:color w:val="000000"/>
              </w:rPr>
              <w:tab/>
              <w:t>Fuel combustion for stationary energy purposes</w:t>
            </w:r>
          </w:p>
        </w:tc>
        <w:tc>
          <w:tcPr>
            <w:tcW w:w="1650" w:type="dxa"/>
          </w:tcPr>
          <w:p w14:paraId="455773FD" w14:textId="77777777" w:rsidR="00A60BCB" w:rsidRPr="00E8461E" w:rsidRDefault="00A60BCB" w:rsidP="006D276A">
            <w:pPr>
              <w:rPr>
                <w:lang w:val="en-GB"/>
              </w:rPr>
            </w:pPr>
            <w:r w:rsidRPr="00E8461E">
              <w:rPr>
                <w:rFonts w:ascii="Calibri" w:hAnsi="Calibri" w:cs="Calibri"/>
                <w:color w:val="000000"/>
              </w:rPr>
              <w:t>290</w:t>
            </w:r>
          </w:p>
        </w:tc>
      </w:tr>
      <w:tr w:rsidR="00A60BCB" w:rsidRPr="00E8461E" w14:paraId="6686EFB0" w14:textId="77777777" w:rsidTr="00CC5BB5">
        <w:tc>
          <w:tcPr>
            <w:tcW w:w="7366" w:type="dxa"/>
          </w:tcPr>
          <w:p w14:paraId="523F8EE4" w14:textId="77777777" w:rsidR="00A60BCB" w:rsidRPr="00E8461E" w:rsidRDefault="00A60BCB" w:rsidP="006D276A">
            <w:pPr>
              <w:rPr>
                <w:lang w:val="en-GB"/>
              </w:rPr>
            </w:pPr>
            <w:r w:rsidRPr="00E8461E">
              <w:rPr>
                <w:rFonts w:ascii="Calibri" w:hAnsi="Calibri" w:cs="Calibri"/>
                <w:color w:val="000000"/>
              </w:rPr>
              <w:tab/>
              <w:t>Road transport</w:t>
            </w:r>
          </w:p>
        </w:tc>
        <w:tc>
          <w:tcPr>
            <w:tcW w:w="1650" w:type="dxa"/>
          </w:tcPr>
          <w:p w14:paraId="6B5993C5" w14:textId="77777777" w:rsidR="00A60BCB" w:rsidRPr="00E8461E" w:rsidRDefault="00A60BCB" w:rsidP="006D276A">
            <w:pPr>
              <w:rPr>
                <w:lang w:val="en-GB"/>
              </w:rPr>
            </w:pPr>
            <w:r w:rsidRPr="00E8461E">
              <w:rPr>
                <w:rFonts w:ascii="Calibri" w:hAnsi="Calibri" w:cs="Calibri"/>
                <w:color w:val="000000"/>
              </w:rPr>
              <w:t>97</w:t>
            </w:r>
          </w:p>
        </w:tc>
      </w:tr>
      <w:tr w:rsidR="00A60BCB" w:rsidRPr="00E8461E" w14:paraId="7F55CF22" w14:textId="77777777" w:rsidTr="00CC5BB5">
        <w:tc>
          <w:tcPr>
            <w:tcW w:w="7366" w:type="dxa"/>
          </w:tcPr>
          <w:p w14:paraId="61A62E58" w14:textId="77777777" w:rsidR="00A60BCB" w:rsidRPr="00E8461E" w:rsidRDefault="00A60BCB" w:rsidP="006D276A">
            <w:pPr>
              <w:rPr>
                <w:lang w:val="en-GB"/>
              </w:rPr>
            </w:pPr>
            <w:r w:rsidRPr="00E8461E">
              <w:rPr>
                <w:rFonts w:ascii="Calibri" w:hAnsi="Calibri" w:cs="Calibri"/>
                <w:color w:val="000000"/>
              </w:rPr>
              <w:tab/>
              <w:t>Lubricant use</w:t>
            </w:r>
          </w:p>
        </w:tc>
        <w:tc>
          <w:tcPr>
            <w:tcW w:w="1650" w:type="dxa"/>
          </w:tcPr>
          <w:p w14:paraId="3F4CC607" w14:textId="77777777" w:rsidR="00A60BCB" w:rsidRPr="00E8461E" w:rsidRDefault="00A60BCB" w:rsidP="006D276A">
            <w:pPr>
              <w:rPr>
                <w:lang w:val="en-GB"/>
              </w:rPr>
            </w:pPr>
            <w:r w:rsidRPr="00E8461E">
              <w:rPr>
                <w:rFonts w:ascii="Calibri" w:hAnsi="Calibri" w:cs="Calibri"/>
                <w:color w:val="000000"/>
              </w:rPr>
              <w:t>2</w:t>
            </w:r>
          </w:p>
        </w:tc>
      </w:tr>
      <w:tr w:rsidR="00A60BCB" w:rsidRPr="00E8461E" w14:paraId="1EAF0353" w14:textId="77777777" w:rsidTr="00CC5BB5">
        <w:tc>
          <w:tcPr>
            <w:tcW w:w="7366" w:type="dxa"/>
          </w:tcPr>
          <w:p w14:paraId="19F84E54" w14:textId="77777777" w:rsidR="00A60BCB" w:rsidRPr="00E8461E" w:rsidRDefault="00A60BCB" w:rsidP="006D276A">
            <w:pPr>
              <w:rPr>
                <w:lang w:val="en-GB"/>
              </w:rPr>
            </w:pPr>
            <w:r w:rsidRPr="00E8461E">
              <w:rPr>
                <w:rFonts w:ascii="Calibri" w:hAnsi="Calibri" w:cs="Calibri"/>
                <w:color w:val="000000"/>
              </w:rPr>
              <w:tab/>
              <w:t>Commercial refrigeration</w:t>
            </w:r>
          </w:p>
        </w:tc>
        <w:tc>
          <w:tcPr>
            <w:tcW w:w="1650" w:type="dxa"/>
          </w:tcPr>
          <w:p w14:paraId="65E1B379" w14:textId="77777777" w:rsidR="00A60BCB" w:rsidRPr="00E8461E" w:rsidRDefault="00A60BCB" w:rsidP="006D276A">
            <w:pPr>
              <w:rPr>
                <w:lang w:val="en-GB"/>
              </w:rPr>
            </w:pPr>
            <w:r w:rsidRPr="00E8461E">
              <w:rPr>
                <w:rFonts w:ascii="Calibri" w:hAnsi="Calibri" w:cs="Calibri"/>
                <w:color w:val="000000"/>
              </w:rPr>
              <w:t>43</w:t>
            </w:r>
          </w:p>
        </w:tc>
      </w:tr>
      <w:tr w:rsidR="00A60BCB" w:rsidRPr="00E8461E" w14:paraId="1F01DB02" w14:textId="77777777" w:rsidTr="00CC5BB5">
        <w:tc>
          <w:tcPr>
            <w:tcW w:w="7366" w:type="dxa"/>
          </w:tcPr>
          <w:p w14:paraId="3B1F3CE0" w14:textId="77777777" w:rsidR="00A60BCB" w:rsidRPr="00E8461E" w:rsidRDefault="00A60BCB" w:rsidP="006D276A">
            <w:pPr>
              <w:rPr>
                <w:lang w:val="en-GB"/>
              </w:rPr>
            </w:pPr>
            <w:r w:rsidRPr="00E8461E">
              <w:rPr>
                <w:rFonts w:ascii="Calibri" w:hAnsi="Calibri" w:cs="Calibri"/>
                <w:color w:val="000000"/>
              </w:rPr>
              <w:tab/>
              <w:t>Mobile air-conditioning</w:t>
            </w:r>
          </w:p>
        </w:tc>
        <w:tc>
          <w:tcPr>
            <w:tcW w:w="1650" w:type="dxa"/>
          </w:tcPr>
          <w:p w14:paraId="386F4048" w14:textId="77777777" w:rsidR="00A60BCB" w:rsidRPr="00E8461E" w:rsidRDefault="00A60BCB" w:rsidP="006D276A">
            <w:pPr>
              <w:rPr>
                <w:lang w:val="en-GB"/>
              </w:rPr>
            </w:pPr>
            <w:r w:rsidRPr="00E8461E">
              <w:rPr>
                <w:rFonts w:ascii="Calibri" w:hAnsi="Calibri" w:cs="Calibri"/>
                <w:color w:val="000000"/>
              </w:rPr>
              <w:t>2</w:t>
            </w:r>
          </w:p>
        </w:tc>
      </w:tr>
      <w:tr w:rsidR="00A60BCB" w:rsidRPr="00E8461E" w14:paraId="3EBD4F40" w14:textId="77777777" w:rsidTr="00CC5BB5">
        <w:tc>
          <w:tcPr>
            <w:tcW w:w="7366" w:type="dxa"/>
          </w:tcPr>
          <w:p w14:paraId="253B8ED4" w14:textId="77777777" w:rsidR="00A60BCB" w:rsidRPr="00E8461E" w:rsidRDefault="00A60BCB" w:rsidP="006D276A">
            <w:pPr>
              <w:rPr>
                <w:lang w:val="en-GB"/>
              </w:rPr>
            </w:pPr>
            <w:r w:rsidRPr="00E8461E">
              <w:rPr>
                <w:rFonts w:ascii="Calibri" w:hAnsi="Calibri" w:cs="Calibri"/>
                <w:color w:val="000000"/>
              </w:rPr>
              <w:tab/>
              <w:t>Stationary air-conditioning</w:t>
            </w:r>
          </w:p>
        </w:tc>
        <w:tc>
          <w:tcPr>
            <w:tcW w:w="1650" w:type="dxa"/>
          </w:tcPr>
          <w:p w14:paraId="78E33035" w14:textId="77777777" w:rsidR="00A60BCB" w:rsidRPr="00E8461E" w:rsidRDefault="00A60BCB" w:rsidP="006D276A">
            <w:pPr>
              <w:rPr>
                <w:lang w:val="en-GB"/>
              </w:rPr>
            </w:pPr>
            <w:r w:rsidRPr="00E8461E">
              <w:rPr>
                <w:rFonts w:ascii="Calibri" w:hAnsi="Calibri" w:cs="Calibri"/>
                <w:color w:val="000000"/>
              </w:rPr>
              <w:t>6</w:t>
            </w:r>
          </w:p>
        </w:tc>
      </w:tr>
      <w:tr w:rsidR="00A60BCB" w:rsidRPr="00E8461E" w14:paraId="320269C4" w14:textId="77777777" w:rsidTr="00CC5BB5">
        <w:tc>
          <w:tcPr>
            <w:tcW w:w="7366" w:type="dxa"/>
          </w:tcPr>
          <w:p w14:paraId="7F961699" w14:textId="77777777" w:rsidR="00A60BCB" w:rsidRPr="00E8461E" w:rsidRDefault="00A60BCB" w:rsidP="006D276A">
            <w:pPr>
              <w:rPr>
                <w:rFonts w:ascii="Calibri" w:hAnsi="Calibri" w:cs="Calibri"/>
                <w:b/>
                <w:color w:val="000000"/>
              </w:rPr>
            </w:pPr>
            <w:r w:rsidRPr="00E8461E">
              <w:rPr>
                <w:rFonts w:ascii="Calibri" w:hAnsi="Calibri" w:cs="Calibri"/>
                <w:b/>
                <w:color w:val="000000"/>
              </w:rPr>
              <w:t>Pharmaceutical and Medicinal Product Manufacturing (total)</w:t>
            </w:r>
          </w:p>
        </w:tc>
        <w:tc>
          <w:tcPr>
            <w:tcW w:w="1650" w:type="dxa"/>
          </w:tcPr>
          <w:p w14:paraId="3BEDEF4E" w14:textId="77777777" w:rsidR="00A60BCB" w:rsidRPr="00E8461E" w:rsidRDefault="00A60BCB" w:rsidP="006D276A">
            <w:pPr>
              <w:jc w:val="right"/>
              <w:rPr>
                <w:rFonts w:ascii="Calibri" w:hAnsi="Calibri" w:cs="Calibri"/>
                <w:b/>
                <w:color w:val="000000"/>
              </w:rPr>
            </w:pPr>
            <w:r w:rsidRPr="00E8461E">
              <w:rPr>
                <w:rFonts w:ascii="Calibri" w:hAnsi="Calibri" w:cs="Calibri"/>
                <w:b/>
                <w:color w:val="000000"/>
              </w:rPr>
              <w:t>12</w:t>
            </w:r>
          </w:p>
        </w:tc>
      </w:tr>
      <w:tr w:rsidR="00A60BCB" w:rsidRPr="00E8461E" w14:paraId="3B2FD78B" w14:textId="77777777" w:rsidTr="00CC5BB5">
        <w:tc>
          <w:tcPr>
            <w:tcW w:w="7366" w:type="dxa"/>
          </w:tcPr>
          <w:p w14:paraId="21A0434C" w14:textId="77777777" w:rsidR="00A60BCB" w:rsidRPr="00E8461E" w:rsidRDefault="00A60BCB" w:rsidP="006D276A">
            <w:pPr>
              <w:rPr>
                <w:lang w:val="en-GB"/>
              </w:rPr>
            </w:pPr>
            <w:r w:rsidRPr="00E8461E">
              <w:rPr>
                <w:rFonts w:ascii="Calibri" w:hAnsi="Calibri" w:cs="Calibri"/>
                <w:color w:val="000000"/>
              </w:rPr>
              <w:tab/>
              <w:t>Fuel combustion for stationary energy purposes</w:t>
            </w:r>
          </w:p>
        </w:tc>
        <w:tc>
          <w:tcPr>
            <w:tcW w:w="1650" w:type="dxa"/>
          </w:tcPr>
          <w:p w14:paraId="1C426BD7" w14:textId="77777777" w:rsidR="00A60BCB" w:rsidRPr="00E8461E" w:rsidRDefault="00A60BCB" w:rsidP="006D276A">
            <w:pPr>
              <w:rPr>
                <w:lang w:val="en-GB"/>
              </w:rPr>
            </w:pPr>
            <w:r w:rsidRPr="00E8461E">
              <w:rPr>
                <w:rFonts w:ascii="Calibri" w:hAnsi="Calibri" w:cs="Calibri"/>
                <w:color w:val="000000"/>
              </w:rPr>
              <w:t>7</w:t>
            </w:r>
          </w:p>
        </w:tc>
      </w:tr>
      <w:tr w:rsidR="00A60BCB" w:rsidRPr="00E8461E" w14:paraId="03C1CB98" w14:textId="77777777" w:rsidTr="00CC5BB5">
        <w:tc>
          <w:tcPr>
            <w:tcW w:w="7366" w:type="dxa"/>
          </w:tcPr>
          <w:p w14:paraId="356CD16E" w14:textId="7E702D12" w:rsidR="00A60BCB" w:rsidRPr="00E8461E" w:rsidRDefault="00A60BCB" w:rsidP="006D276A">
            <w:pPr>
              <w:rPr>
                <w:lang w:val="en-GB"/>
              </w:rPr>
            </w:pPr>
            <w:r w:rsidRPr="00E8461E">
              <w:rPr>
                <w:lang w:val="en-GB"/>
              </w:rPr>
              <w:lastRenderedPageBreak/>
              <w:tab/>
              <w:t xml:space="preserve">Road </w:t>
            </w:r>
            <w:r w:rsidR="0015359E" w:rsidRPr="00E8461E">
              <w:rPr>
                <w:lang w:val="en-GB"/>
              </w:rPr>
              <w:t>t</w:t>
            </w:r>
            <w:r w:rsidRPr="00E8461E">
              <w:rPr>
                <w:lang w:val="en-GB"/>
              </w:rPr>
              <w:t>ransport</w:t>
            </w:r>
          </w:p>
        </w:tc>
        <w:tc>
          <w:tcPr>
            <w:tcW w:w="1650" w:type="dxa"/>
          </w:tcPr>
          <w:p w14:paraId="2AAB2BF3" w14:textId="77777777" w:rsidR="00A60BCB" w:rsidRPr="00E8461E" w:rsidRDefault="00A60BCB" w:rsidP="006D276A">
            <w:pPr>
              <w:rPr>
                <w:lang w:val="en-GB"/>
              </w:rPr>
            </w:pPr>
            <w:r w:rsidRPr="00E8461E">
              <w:rPr>
                <w:lang w:val="en-GB"/>
              </w:rPr>
              <w:t>5</w:t>
            </w:r>
          </w:p>
        </w:tc>
      </w:tr>
      <w:tr w:rsidR="00A60BCB" w:rsidRPr="00E8461E" w14:paraId="7085BB84" w14:textId="77777777" w:rsidTr="00CC5BB5">
        <w:tc>
          <w:tcPr>
            <w:tcW w:w="7366" w:type="dxa"/>
          </w:tcPr>
          <w:p w14:paraId="3CAC302E" w14:textId="77777777" w:rsidR="00A60BCB" w:rsidRPr="00E8461E" w:rsidRDefault="00A60BCB" w:rsidP="006D276A">
            <w:pPr>
              <w:rPr>
                <w:b/>
                <w:lang w:val="en-GB"/>
              </w:rPr>
            </w:pPr>
            <w:r w:rsidRPr="00E8461E">
              <w:rPr>
                <w:rFonts w:cstheme="minorHAnsi"/>
                <w:b/>
                <w:lang w:val="en-GB"/>
              </w:rPr>
              <w:t>Clinical waste incineration (total)</w:t>
            </w:r>
          </w:p>
        </w:tc>
        <w:tc>
          <w:tcPr>
            <w:tcW w:w="1650" w:type="dxa"/>
          </w:tcPr>
          <w:p w14:paraId="34C123C3" w14:textId="77777777" w:rsidR="00A60BCB" w:rsidRPr="00E8461E" w:rsidRDefault="00A60BCB" w:rsidP="006D276A">
            <w:pPr>
              <w:jc w:val="right"/>
              <w:rPr>
                <w:rFonts w:ascii="Calibri" w:hAnsi="Calibri" w:cs="Calibri"/>
                <w:b/>
                <w:color w:val="000000"/>
              </w:rPr>
            </w:pPr>
            <w:r w:rsidRPr="00E8461E">
              <w:rPr>
                <w:rFonts w:ascii="Calibri" w:hAnsi="Calibri" w:cs="Calibri"/>
                <w:b/>
                <w:color w:val="000000"/>
              </w:rPr>
              <w:t>15</w:t>
            </w:r>
          </w:p>
        </w:tc>
      </w:tr>
      <w:tr w:rsidR="00A60BCB" w:rsidRPr="00E8461E" w14:paraId="016FC58D" w14:textId="77777777" w:rsidTr="00CC5BB5">
        <w:tc>
          <w:tcPr>
            <w:tcW w:w="7366" w:type="dxa"/>
          </w:tcPr>
          <w:p w14:paraId="5577A253" w14:textId="77777777" w:rsidR="00A60BCB" w:rsidRPr="00E8461E" w:rsidRDefault="00A60BCB" w:rsidP="006D276A">
            <w:pPr>
              <w:rPr>
                <w:rFonts w:ascii="Calibri" w:hAnsi="Calibri" w:cs="Calibri"/>
                <w:b/>
                <w:color w:val="000000"/>
              </w:rPr>
            </w:pPr>
            <w:r w:rsidRPr="00E8461E">
              <w:rPr>
                <w:rFonts w:ascii="Calibri" w:hAnsi="Calibri" w:cs="Calibri"/>
                <w:b/>
                <w:color w:val="000000"/>
              </w:rPr>
              <w:t xml:space="preserve">Medical Nitrous Oxide use (total) </w:t>
            </w:r>
          </w:p>
        </w:tc>
        <w:tc>
          <w:tcPr>
            <w:tcW w:w="1650" w:type="dxa"/>
          </w:tcPr>
          <w:p w14:paraId="699B2F3A" w14:textId="77777777" w:rsidR="00A60BCB" w:rsidRPr="00E8461E" w:rsidRDefault="00A60BCB" w:rsidP="006D276A">
            <w:pPr>
              <w:jc w:val="right"/>
              <w:rPr>
                <w:rFonts w:ascii="Calibri" w:hAnsi="Calibri" w:cs="Calibri"/>
                <w:b/>
                <w:color w:val="000000"/>
              </w:rPr>
            </w:pPr>
            <w:r w:rsidRPr="00E8461E">
              <w:rPr>
                <w:rFonts w:ascii="Calibri" w:hAnsi="Calibri" w:cs="Calibri"/>
                <w:b/>
                <w:color w:val="000000"/>
              </w:rPr>
              <w:t>300</w:t>
            </w:r>
          </w:p>
        </w:tc>
      </w:tr>
      <w:tr w:rsidR="00A60BCB" w:rsidRPr="00E8461E" w14:paraId="74761FE0" w14:textId="77777777" w:rsidTr="00CC5BB5">
        <w:tc>
          <w:tcPr>
            <w:tcW w:w="7366" w:type="dxa"/>
          </w:tcPr>
          <w:p w14:paraId="37FA60E7" w14:textId="77777777" w:rsidR="00A60BCB" w:rsidRPr="00E8461E" w:rsidRDefault="00A60BCB" w:rsidP="006D276A">
            <w:pPr>
              <w:rPr>
                <w:rFonts w:ascii="Calibri" w:hAnsi="Calibri" w:cs="Calibri"/>
                <w:b/>
                <w:color w:val="000000"/>
              </w:rPr>
            </w:pPr>
            <w:r w:rsidRPr="00E8461E">
              <w:rPr>
                <w:rFonts w:ascii="Calibri" w:hAnsi="Calibri" w:cs="Calibri"/>
                <w:b/>
                <w:color w:val="000000" w:themeColor="text1"/>
              </w:rPr>
              <w:t>TOTAL HEALTH SYSTEM SCOPE 1 ESTIMATE</w:t>
            </w:r>
          </w:p>
        </w:tc>
        <w:tc>
          <w:tcPr>
            <w:tcW w:w="1650" w:type="dxa"/>
          </w:tcPr>
          <w:p w14:paraId="1B645DFB" w14:textId="77777777" w:rsidR="00A60BCB" w:rsidRPr="00E8461E" w:rsidRDefault="00A60BCB" w:rsidP="006D276A">
            <w:pPr>
              <w:jc w:val="right"/>
              <w:rPr>
                <w:rFonts w:ascii="Calibri" w:hAnsi="Calibri" w:cs="Calibri"/>
                <w:b/>
                <w:color w:val="000000"/>
              </w:rPr>
            </w:pPr>
            <w:r w:rsidRPr="00E8461E">
              <w:rPr>
                <w:rFonts w:ascii="Calibri" w:hAnsi="Calibri" w:cs="Calibri"/>
                <w:b/>
                <w:color w:val="000000"/>
              </w:rPr>
              <w:t>1,481</w:t>
            </w:r>
          </w:p>
        </w:tc>
      </w:tr>
      <w:tr w:rsidR="00CC5BB5" w:rsidRPr="00E8461E" w14:paraId="2A6BCC91" w14:textId="77777777" w:rsidTr="00CC5BB5">
        <w:tc>
          <w:tcPr>
            <w:tcW w:w="7366" w:type="dxa"/>
            <w:shd w:val="clear" w:color="auto" w:fill="F2F2F2" w:themeFill="background1" w:themeFillShade="F2"/>
          </w:tcPr>
          <w:p w14:paraId="1C0C1C0D" w14:textId="77777777" w:rsidR="00CC5BB5" w:rsidRPr="00E8461E" w:rsidRDefault="00CC5BB5" w:rsidP="00CC5BB5">
            <w:pPr>
              <w:rPr>
                <w:rFonts w:ascii="Calibri" w:hAnsi="Calibri" w:cs="Calibri"/>
                <w:b/>
                <w:color w:val="000000"/>
              </w:rPr>
            </w:pPr>
            <w:r w:rsidRPr="00E8461E">
              <w:rPr>
                <w:rFonts w:ascii="Calibri" w:hAnsi="Calibri" w:cs="Calibri"/>
                <w:b/>
                <w:color w:val="000000"/>
              </w:rPr>
              <w:t>Scope 2 (FY 2020-2021)</w:t>
            </w:r>
          </w:p>
        </w:tc>
        <w:tc>
          <w:tcPr>
            <w:tcW w:w="1650" w:type="dxa"/>
            <w:shd w:val="clear" w:color="auto" w:fill="F2F2F2" w:themeFill="background1" w:themeFillShade="F2"/>
          </w:tcPr>
          <w:p w14:paraId="72B1CF54" w14:textId="5B6A675C" w:rsidR="00CC5BB5" w:rsidRPr="00E8461E" w:rsidRDefault="00CC5BB5" w:rsidP="00CC5BB5">
            <w:pPr>
              <w:rPr>
                <w:rFonts w:ascii="Calibri" w:hAnsi="Calibri" w:cs="Calibri"/>
                <w:b/>
                <w:color w:val="000000"/>
              </w:rPr>
            </w:pPr>
          </w:p>
        </w:tc>
      </w:tr>
      <w:tr w:rsidR="00A60BCB" w:rsidRPr="00E8461E" w14:paraId="2E223DCB" w14:textId="77777777" w:rsidTr="00CC5BB5">
        <w:tc>
          <w:tcPr>
            <w:tcW w:w="7366" w:type="dxa"/>
          </w:tcPr>
          <w:p w14:paraId="0493A4AE" w14:textId="77777777" w:rsidR="00A60BCB" w:rsidRPr="00E8461E" w:rsidRDefault="00A60BCB" w:rsidP="006D276A">
            <w:pPr>
              <w:rPr>
                <w:rFonts w:ascii="Calibri" w:hAnsi="Calibri" w:cs="Calibri"/>
                <w:b/>
                <w:color w:val="000000"/>
              </w:rPr>
            </w:pPr>
            <w:r w:rsidRPr="00E8461E">
              <w:rPr>
                <w:rFonts w:ascii="Calibri" w:hAnsi="Calibri" w:cs="Calibri"/>
                <w:b/>
                <w:color w:val="000000"/>
              </w:rPr>
              <w:t>TOTAL HEALTH SYSTEM SCOPE 2 ESTIMATE</w:t>
            </w:r>
          </w:p>
        </w:tc>
        <w:tc>
          <w:tcPr>
            <w:tcW w:w="1650" w:type="dxa"/>
          </w:tcPr>
          <w:p w14:paraId="2F215E0F" w14:textId="5218FA30" w:rsidR="00A60BCB" w:rsidRPr="00E8461E" w:rsidRDefault="05A9C0CD" w:rsidP="006D276A">
            <w:pPr>
              <w:jc w:val="right"/>
              <w:rPr>
                <w:rFonts w:ascii="Calibri" w:hAnsi="Calibri" w:cs="Calibri"/>
                <w:b/>
                <w:color w:val="000000"/>
              </w:rPr>
            </w:pPr>
            <w:r w:rsidRPr="00E8461E">
              <w:rPr>
                <w:rFonts w:ascii="Calibri" w:hAnsi="Calibri" w:cs="Calibri"/>
                <w:b/>
                <w:bCs/>
                <w:color w:val="000000" w:themeColor="text1"/>
              </w:rPr>
              <w:t>4</w:t>
            </w:r>
            <w:r w:rsidR="28631153" w:rsidRPr="00E8461E">
              <w:rPr>
                <w:rFonts w:ascii="Calibri" w:hAnsi="Calibri" w:cs="Calibri"/>
                <w:b/>
                <w:bCs/>
                <w:color w:val="000000" w:themeColor="text1"/>
              </w:rPr>
              <w:t>,</w:t>
            </w:r>
            <w:r w:rsidR="764FBE8C" w:rsidRPr="00E8461E">
              <w:rPr>
                <w:rFonts w:ascii="Calibri" w:hAnsi="Calibri" w:cs="Calibri"/>
                <w:b/>
                <w:bCs/>
                <w:color w:val="000000" w:themeColor="text1"/>
              </w:rPr>
              <w:t>732</w:t>
            </w:r>
          </w:p>
        </w:tc>
      </w:tr>
      <w:tr w:rsidR="00CC5BB5" w:rsidRPr="00E8461E" w14:paraId="64279A29" w14:textId="77777777" w:rsidTr="00CC5BB5">
        <w:tc>
          <w:tcPr>
            <w:tcW w:w="7366" w:type="dxa"/>
            <w:shd w:val="clear" w:color="auto" w:fill="F2F2F2" w:themeFill="background1" w:themeFillShade="F2"/>
          </w:tcPr>
          <w:p w14:paraId="091CC4F0" w14:textId="77777777" w:rsidR="00CC5BB5" w:rsidRPr="00E8461E" w:rsidRDefault="00CC5BB5" w:rsidP="00CC5BB5">
            <w:pPr>
              <w:rPr>
                <w:rFonts w:ascii="Calibri" w:hAnsi="Calibri" w:cs="Calibri"/>
                <w:b/>
                <w:color w:val="000000"/>
              </w:rPr>
            </w:pPr>
            <w:r w:rsidRPr="00E8461E">
              <w:rPr>
                <w:rFonts w:ascii="Calibri" w:hAnsi="Calibri" w:cs="Calibri"/>
                <w:b/>
                <w:color w:val="000000"/>
              </w:rPr>
              <w:t>Scope 3 (FY 2019-2020)</w:t>
            </w:r>
          </w:p>
        </w:tc>
        <w:tc>
          <w:tcPr>
            <w:tcW w:w="1650" w:type="dxa"/>
            <w:shd w:val="clear" w:color="auto" w:fill="F2F2F2" w:themeFill="background1" w:themeFillShade="F2"/>
          </w:tcPr>
          <w:p w14:paraId="72A94E23" w14:textId="009C595C" w:rsidR="00CC5BB5" w:rsidRPr="00E8461E" w:rsidRDefault="00CC5BB5" w:rsidP="00CC5BB5">
            <w:pPr>
              <w:rPr>
                <w:rFonts w:ascii="Calibri" w:hAnsi="Calibri" w:cs="Calibri"/>
                <w:b/>
                <w:color w:val="000000"/>
              </w:rPr>
            </w:pPr>
          </w:p>
        </w:tc>
      </w:tr>
      <w:tr w:rsidR="00235D7B" w:rsidRPr="00E8461E" w14:paraId="0E3EAB4E" w14:textId="77777777" w:rsidTr="00CC5BB5">
        <w:tc>
          <w:tcPr>
            <w:tcW w:w="7366" w:type="dxa"/>
          </w:tcPr>
          <w:p w14:paraId="0194A776" w14:textId="7CAA3B70" w:rsidR="00235D7B" w:rsidRPr="00E8461E" w:rsidRDefault="00B32CFB" w:rsidP="006D276A">
            <w:pPr>
              <w:rPr>
                <w:rFonts w:ascii="Calibri" w:hAnsi="Calibri" w:cs="Calibri"/>
                <w:b/>
                <w:color w:val="000000"/>
              </w:rPr>
            </w:pPr>
            <w:r w:rsidRPr="00E8461E">
              <w:rPr>
                <w:rFonts w:ascii="Calibri" w:hAnsi="Calibri" w:cs="Calibri"/>
                <w:b/>
                <w:color w:val="000000"/>
              </w:rPr>
              <w:t xml:space="preserve">Metered </w:t>
            </w:r>
            <w:r w:rsidR="008D37D6" w:rsidRPr="00E8461E">
              <w:rPr>
                <w:rFonts w:ascii="Calibri" w:hAnsi="Calibri" w:cs="Calibri"/>
                <w:b/>
                <w:color w:val="000000"/>
              </w:rPr>
              <w:t>d</w:t>
            </w:r>
            <w:r w:rsidRPr="00E8461E">
              <w:rPr>
                <w:rFonts w:ascii="Calibri" w:hAnsi="Calibri" w:cs="Calibri"/>
                <w:b/>
                <w:color w:val="000000"/>
              </w:rPr>
              <w:t xml:space="preserve">ose </w:t>
            </w:r>
            <w:r w:rsidR="008D37D6" w:rsidRPr="00E8461E">
              <w:rPr>
                <w:rFonts w:ascii="Calibri" w:hAnsi="Calibri" w:cs="Calibri"/>
                <w:b/>
                <w:color w:val="000000"/>
              </w:rPr>
              <w:t>i</w:t>
            </w:r>
            <w:r w:rsidRPr="00E8461E">
              <w:rPr>
                <w:rFonts w:ascii="Calibri" w:hAnsi="Calibri" w:cs="Calibri"/>
                <w:b/>
                <w:color w:val="000000"/>
              </w:rPr>
              <w:t>nhalers</w:t>
            </w:r>
            <w:r w:rsidR="000868EB" w:rsidRPr="00E8461E">
              <w:rPr>
                <w:rFonts w:ascii="Calibri" w:hAnsi="Calibri" w:cs="Calibri"/>
                <w:b/>
                <w:color w:val="000000"/>
              </w:rPr>
              <w:t xml:space="preserve"> (</w:t>
            </w:r>
            <w:r w:rsidR="00B80283" w:rsidRPr="00E8461E">
              <w:rPr>
                <w:rFonts w:ascii="Calibri" w:hAnsi="Calibri" w:cs="Calibri"/>
                <w:b/>
                <w:color w:val="000000"/>
              </w:rPr>
              <w:t>FY2020-2021</w:t>
            </w:r>
            <w:r w:rsidR="000868EB" w:rsidRPr="00E8461E">
              <w:rPr>
                <w:rFonts w:ascii="Calibri" w:hAnsi="Calibri" w:cs="Calibri"/>
                <w:b/>
                <w:color w:val="000000"/>
              </w:rPr>
              <w:t>)</w:t>
            </w:r>
            <w:r w:rsidR="004F2AC1" w:rsidRPr="00E8461E">
              <w:rPr>
                <w:rFonts w:ascii="Calibri" w:hAnsi="Calibri" w:cs="Calibri"/>
                <w:b/>
                <w:color w:val="000000"/>
              </w:rPr>
              <w:t xml:space="preserve"> (total)</w:t>
            </w:r>
            <w:r w:rsidR="000868EB" w:rsidRPr="00E8461E">
              <w:rPr>
                <w:rFonts w:ascii="Calibri" w:hAnsi="Calibri" w:cs="Calibri"/>
                <w:b/>
                <w:color w:val="000000"/>
              </w:rPr>
              <w:t xml:space="preserve"> </w:t>
            </w:r>
          </w:p>
        </w:tc>
        <w:tc>
          <w:tcPr>
            <w:tcW w:w="1650" w:type="dxa"/>
          </w:tcPr>
          <w:p w14:paraId="3EE91104" w14:textId="2BFC2264" w:rsidR="00235D7B" w:rsidRPr="00E8461E" w:rsidRDefault="00B32CFB" w:rsidP="006D276A">
            <w:pPr>
              <w:jc w:val="right"/>
              <w:rPr>
                <w:rFonts w:ascii="Calibri" w:hAnsi="Calibri" w:cs="Calibri"/>
                <w:b/>
                <w:color w:val="000000" w:themeColor="text1"/>
              </w:rPr>
            </w:pPr>
            <w:r w:rsidRPr="00E8461E">
              <w:rPr>
                <w:rFonts w:ascii="Calibri" w:hAnsi="Calibri" w:cs="Calibri"/>
                <w:b/>
                <w:color w:val="000000" w:themeColor="text1"/>
              </w:rPr>
              <w:t>127</w:t>
            </w:r>
          </w:p>
        </w:tc>
      </w:tr>
      <w:tr w:rsidR="0087630A" w:rsidRPr="00E8461E" w14:paraId="4D6AF439" w14:textId="77777777" w:rsidTr="00CC5BB5">
        <w:tc>
          <w:tcPr>
            <w:tcW w:w="7366" w:type="dxa"/>
          </w:tcPr>
          <w:p w14:paraId="0ED7AB2E" w14:textId="6C658850" w:rsidR="0087630A" w:rsidRPr="00E8461E" w:rsidRDefault="001A11E0" w:rsidP="006D276A">
            <w:pPr>
              <w:rPr>
                <w:rFonts w:ascii="Calibri" w:hAnsi="Calibri" w:cs="Calibri"/>
                <w:b/>
                <w:color w:val="000000"/>
              </w:rPr>
            </w:pPr>
            <w:r w:rsidRPr="00E8461E">
              <w:rPr>
                <w:rFonts w:ascii="Calibri" w:hAnsi="Calibri" w:cs="Calibri"/>
                <w:b/>
                <w:color w:val="000000"/>
              </w:rPr>
              <w:t xml:space="preserve">Other </w:t>
            </w:r>
            <w:r w:rsidR="004C7463" w:rsidRPr="00E8461E">
              <w:rPr>
                <w:rFonts w:ascii="Calibri" w:hAnsi="Calibri" w:cs="Calibri"/>
                <w:b/>
                <w:color w:val="000000"/>
              </w:rPr>
              <w:t>s</w:t>
            </w:r>
            <w:r w:rsidRPr="00E8461E">
              <w:rPr>
                <w:rFonts w:ascii="Calibri" w:hAnsi="Calibri" w:cs="Calibri"/>
                <w:b/>
                <w:color w:val="000000"/>
              </w:rPr>
              <w:t>cope 3 emissi</w:t>
            </w:r>
            <w:r w:rsidR="00683300" w:rsidRPr="00E8461E">
              <w:rPr>
                <w:rFonts w:ascii="Calibri" w:hAnsi="Calibri" w:cs="Calibri"/>
                <w:b/>
                <w:color w:val="000000"/>
              </w:rPr>
              <w:t xml:space="preserve">ons </w:t>
            </w:r>
            <w:r w:rsidR="004F2AC1" w:rsidRPr="00E8461E">
              <w:rPr>
                <w:rFonts w:ascii="Calibri" w:hAnsi="Calibri" w:cs="Calibri"/>
                <w:b/>
                <w:color w:val="000000"/>
              </w:rPr>
              <w:t>(total)</w:t>
            </w:r>
          </w:p>
        </w:tc>
        <w:tc>
          <w:tcPr>
            <w:tcW w:w="1650" w:type="dxa"/>
          </w:tcPr>
          <w:p w14:paraId="02CEAA61" w14:textId="73BD91E0" w:rsidR="0087630A" w:rsidRPr="00E8461E" w:rsidRDefault="00063FD6" w:rsidP="006D276A">
            <w:pPr>
              <w:jc w:val="right"/>
              <w:rPr>
                <w:rFonts w:ascii="Calibri" w:hAnsi="Calibri" w:cs="Calibri"/>
                <w:b/>
                <w:color w:val="000000" w:themeColor="text1"/>
              </w:rPr>
            </w:pPr>
            <w:r w:rsidRPr="00E8461E">
              <w:rPr>
                <w:rFonts w:ascii="Calibri" w:hAnsi="Calibri" w:cs="Calibri"/>
                <w:b/>
                <w:color w:val="000000" w:themeColor="text1"/>
              </w:rPr>
              <w:t>18,144</w:t>
            </w:r>
          </w:p>
        </w:tc>
      </w:tr>
      <w:tr w:rsidR="00A60BCB" w:rsidRPr="00E8461E" w14:paraId="59235872" w14:textId="77777777" w:rsidTr="00CC5BB5">
        <w:tc>
          <w:tcPr>
            <w:tcW w:w="7366" w:type="dxa"/>
          </w:tcPr>
          <w:p w14:paraId="42CA1657" w14:textId="77777777" w:rsidR="00A60BCB" w:rsidRPr="00E8461E" w:rsidRDefault="00A60BCB" w:rsidP="006D276A">
            <w:pPr>
              <w:rPr>
                <w:rFonts w:ascii="Calibri" w:hAnsi="Calibri" w:cs="Calibri"/>
                <w:b/>
                <w:color w:val="000000"/>
              </w:rPr>
            </w:pPr>
            <w:r w:rsidRPr="00E8461E">
              <w:rPr>
                <w:rFonts w:ascii="Calibri" w:hAnsi="Calibri" w:cs="Calibri"/>
                <w:b/>
                <w:color w:val="000000"/>
              </w:rPr>
              <w:t>TOTAL HEALTH SYSTEM SCOPE 3 ESTIMATE</w:t>
            </w:r>
          </w:p>
        </w:tc>
        <w:tc>
          <w:tcPr>
            <w:tcW w:w="1650" w:type="dxa"/>
          </w:tcPr>
          <w:p w14:paraId="5DC7E830" w14:textId="307DF916" w:rsidR="00A60BCB" w:rsidRPr="00E8461E" w:rsidRDefault="6312EE39" w:rsidP="006D276A">
            <w:pPr>
              <w:jc w:val="right"/>
              <w:rPr>
                <w:rFonts w:ascii="Calibri" w:hAnsi="Calibri" w:cs="Calibri"/>
                <w:b/>
                <w:color w:val="000000"/>
              </w:rPr>
            </w:pPr>
            <w:r w:rsidRPr="00E8461E">
              <w:rPr>
                <w:rFonts w:ascii="Calibri" w:hAnsi="Calibri" w:cs="Calibri"/>
                <w:b/>
                <w:bCs/>
                <w:color w:val="000000" w:themeColor="text1"/>
              </w:rPr>
              <w:t>18</w:t>
            </w:r>
            <w:r w:rsidR="00840B9D" w:rsidRPr="00E8461E">
              <w:rPr>
                <w:rFonts w:ascii="Calibri" w:hAnsi="Calibri" w:cs="Calibri"/>
                <w:b/>
                <w:bCs/>
                <w:color w:val="000000" w:themeColor="text1"/>
              </w:rPr>
              <w:t>,</w:t>
            </w:r>
            <w:r w:rsidR="00800925" w:rsidRPr="00E8461E">
              <w:rPr>
                <w:rFonts w:ascii="Calibri" w:hAnsi="Calibri" w:cs="Calibri"/>
                <w:b/>
                <w:bCs/>
                <w:color w:val="000000" w:themeColor="text1"/>
              </w:rPr>
              <w:t>271</w:t>
            </w:r>
          </w:p>
        </w:tc>
      </w:tr>
      <w:tr w:rsidR="00A60BCB" w:rsidRPr="00E8461E" w14:paraId="0803F1FB" w14:textId="77777777" w:rsidTr="00CC5BB5">
        <w:tc>
          <w:tcPr>
            <w:tcW w:w="7366" w:type="dxa"/>
          </w:tcPr>
          <w:p w14:paraId="3C04F38B" w14:textId="77777777" w:rsidR="00A60BCB" w:rsidRPr="00E8461E" w:rsidRDefault="00A60BCB" w:rsidP="006D276A">
            <w:pPr>
              <w:rPr>
                <w:rFonts w:ascii="Calibri" w:hAnsi="Calibri" w:cs="Calibri"/>
                <w:b/>
                <w:color w:val="000000"/>
              </w:rPr>
            </w:pPr>
            <w:bookmarkStart w:id="118" w:name="_Toc147086746"/>
            <w:bookmarkStart w:id="119" w:name="_Toc147502197"/>
            <w:bookmarkEnd w:id="113"/>
            <w:r w:rsidRPr="00E8461E">
              <w:rPr>
                <w:rFonts w:ascii="Calibri" w:hAnsi="Calibri" w:cs="Calibri"/>
                <w:b/>
                <w:color w:val="000000"/>
              </w:rPr>
              <w:t>TOTAL HEALTH SYSTEM EMISSIONS ACROSS SCOPES 1, 2 AND 3</w:t>
            </w:r>
          </w:p>
        </w:tc>
        <w:tc>
          <w:tcPr>
            <w:tcW w:w="1650" w:type="dxa"/>
          </w:tcPr>
          <w:p w14:paraId="24FFE514" w14:textId="2DC1CC05" w:rsidR="00A60BCB" w:rsidRPr="00E8461E" w:rsidRDefault="12B8F93F" w:rsidP="006D276A">
            <w:pPr>
              <w:jc w:val="right"/>
              <w:rPr>
                <w:rFonts w:ascii="Calibri" w:hAnsi="Calibri" w:cs="Calibri"/>
                <w:b/>
                <w:color w:val="000000"/>
              </w:rPr>
            </w:pPr>
            <w:r w:rsidRPr="00E8461E">
              <w:rPr>
                <w:rFonts w:ascii="Calibri" w:hAnsi="Calibri" w:cs="Calibri"/>
                <w:b/>
                <w:bCs/>
                <w:color w:val="000000" w:themeColor="text1"/>
              </w:rPr>
              <w:t>24,</w:t>
            </w:r>
            <w:r w:rsidR="00727283" w:rsidRPr="00E8461E">
              <w:rPr>
                <w:rFonts w:ascii="Calibri" w:hAnsi="Calibri" w:cs="Calibri"/>
                <w:b/>
                <w:bCs/>
                <w:color w:val="000000" w:themeColor="text1"/>
              </w:rPr>
              <w:t>484</w:t>
            </w:r>
          </w:p>
        </w:tc>
      </w:tr>
    </w:tbl>
    <w:p w14:paraId="65587DC8" w14:textId="77777777" w:rsidR="003A3AE0" w:rsidRPr="00E8461E" w:rsidRDefault="003A3AE0" w:rsidP="00A60BCB"/>
    <w:p w14:paraId="790A3A47" w14:textId="67DEB1D1" w:rsidR="00A60BCB" w:rsidRPr="00E8461E" w:rsidRDefault="00A60BCB" w:rsidP="00A60BCB">
      <w:r w:rsidRPr="00E8461E">
        <w:t>Scope 1 emissions were obtained from the National Inventory by Economic Sector</w:t>
      </w:r>
      <w:r w:rsidR="004C6FD4" w:rsidRPr="00E8461E">
        <w:t>,</w:t>
      </w:r>
      <w:r w:rsidRPr="00E8461E">
        <w:rPr>
          <w:rStyle w:val="EndnoteReference"/>
        </w:rPr>
        <w:endnoteReference w:id="109"/>
      </w:r>
      <w:r w:rsidRPr="00E8461E">
        <w:t xml:space="preserve"> which provides information on national emissions, disaggregated by the Australian and New Zealand Standard Industrial Classification 2006 and the residential sector. Scope 1 emissions are estimated to be approximately 1,481 </w:t>
      </w:r>
      <w:proofErr w:type="spellStart"/>
      <w:r w:rsidRPr="00E8461E">
        <w:t>kilotonnes</w:t>
      </w:r>
      <w:proofErr w:type="spellEnd"/>
      <w:r w:rsidRPr="00E8461E">
        <w:t xml:space="preserve"> of carbon dioxide equivalent (kt CO</w:t>
      </w:r>
      <w:r w:rsidRPr="00E8461E">
        <w:rPr>
          <w:vertAlign w:val="subscript"/>
        </w:rPr>
        <w:t>2</w:t>
      </w:r>
      <w:r w:rsidRPr="00E8461E">
        <w:t xml:space="preserve">-e), or 0.3% of Australia’s total 2021 emissions </w:t>
      </w:r>
      <w:r w:rsidR="008C422A" w:rsidRPr="00E8461E">
        <w:t xml:space="preserve">of 464.8 million tonnes of </w:t>
      </w:r>
      <w:r w:rsidR="006A6011" w:rsidRPr="00E8461E">
        <w:t>CO</w:t>
      </w:r>
      <w:r w:rsidR="006A6011" w:rsidRPr="00E8461E">
        <w:rPr>
          <w:vertAlign w:val="subscript"/>
        </w:rPr>
        <w:t>2</w:t>
      </w:r>
      <w:r w:rsidR="006A6011" w:rsidRPr="00E8461E">
        <w:t>-e</w:t>
      </w:r>
      <w:r w:rsidR="006A6011" w:rsidRPr="00E8461E" w:rsidDel="006A6011">
        <w:t xml:space="preserve"> </w:t>
      </w:r>
      <w:r w:rsidRPr="00E8461E">
        <w:t>reported under the Paris Agreement.</w:t>
      </w:r>
      <w:r w:rsidR="005031F5" w:rsidRPr="00E8461E">
        <w:rPr>
          <w:rStyle w:val="EndnoteReference"/>
        </w:rPr>
        <w:endnoteReference w:id="110"/>
      </w:r>
      <w:r w:rsidRPr="00E8461E">
        <w:t xml:space="preserve"> As scope 2 emissions data are not currently disaggregated within industrial sectors to the level most relevant to the health and aged care sector, the estimates provided above were imputed using scope 1 and scope 2 emissions data from health and aged care entities reported under the National Greenhouse and Energy Reporting</w:t>
      </w:r>
      <w:r w:rsidRPr="00E8461E" w:rsidDel="001D1C48">
        <w:t xml:space="preserve"> </w:t>
      </w:r>
      <w:r w:rsidRPr="00E8461E">
        <w:t xml:space="preserve">Scheme. Assuming the health system </w:t>
      </w:r>
      <w:proofErr w:type="gramStart"/>
      <w:r w:rsidRPr="00E8461E">
        <w:t>as a whole has</w:t>
      </w:r>
      <w:proofErr w:type="gramEnd"/>
      <w:r w:rsidRPr="00E8461E">
        <w:t xml:space="preserve"> the same ratio of scope 1 to scope 2 emissions as National Greenhouse and Energy Reporting Scheme </w:t>
      </w:r>
      <w:r w:rsidR="00B22D05" w:rsidRPr="00E8461E">
        <w:t>health</w:t>
      </w:r>
      <w:r w:rsidRPr="00E8461E">
        <w:t xml:space="preserve"> </w:t>
      </w:r>
      <w:r w:rsidR="005458BB" w:rsidRPr="00E8461E">
        <w:t>facilities</w:t>
      </w:r>
      <w:r w:rsidR="00F37942" w:rsidRPr="00E8461E">
        <w:t>,</w:t>
      </w:r>
      <w:r w:rsidRPr="00E8461E">
        <w:t xml:space="preserve"> implies total health system scope 2 emissions of approximately </w:t>
      </w:r>
      <w:r w:rsidR="4F813810" w:rsidRPr="00E8461E">
        <w:t>4</w:t>
      </w:r>
      <w:r w:rsidR="00015AF2" w:rsidRPr="00E8461E">
        <w:t>,</w:t>
      </w:r>
      <w:r w:rsidR="74F4F38C" w:rsidRPr="00E8461E">
        <w:t>732</w:t>
      </w:r>
      <w:r w:rsidR="00015AF2" w:rsidRPr="00E8461E">
        <w:t xml:space="preserve"> </w:t>
      </w:r>
      <w:r w:rsidRPr="00E8461E">
        <w:t>kt CO</w:t>
      </w:r>
      <w:r w:rsidRPr="00E8461E">
        <w:rPr>
          <w:vertAlign w:val="subscript"/>
        </w:rPr>
        <w:t>2</w:t>
      </w:r>
      <w:r w:rsidRPr="00E8461E">
        <w:t>-e, or 1.</w:t>
      </w:r>
      <w:r w:rsidR="7E0A1435" w:rsidRPr="00E8461E">
        <w:t>0</w:t>
      </w:r>
      <w:r w:rsidRPr="00E8461E">
        <w:t>% of Australia’s total 2021 emissions reported under the Paris Agreement.</w:t>
      </w:r>
    </w:p>
    <w:p w14:paraId="662B3652" w14:textId="094D48F7" w:rsidR="00A66C85" w:rsidRPr="00E8461E" w:rsidRDefault="00A60BCB" w:rsidP="00A60BCB">
      <w:r w:rsidRPr="00E8461E">
        <w:t>Scope 3 estimates were obtained from the Department of Climate Change, Energy, the Environment and Water’s consumption inventory which includes emissions from the entire supply chain both in Australia and overseas to support the consumption of goods and services by Australians</w:t>
      </w:r>
      <w:r w:rsidR="00643E80" w:rsidRPr="00E8461E">
        <w:t>.</w:t>
      </w:r>
      <w:r w:rsidR="00E22129" w:rsidRPr="00E8461E">
        <w:rPr>
          <w:rStyle w:val="EndnoteReference"/>
        </w:rPr>
        <w:endnoteReference w:id="111"/>
      </w:r>
      <w:r w:rsidR="00643E80" w:rsidRPr="00E8461E">
        <w:t xml:space="preserve"> </w:t>
      </w:r>
      <w:r w:rsidRPr="00E8461E">
        <w:t xml:space="preserve">The consumption inventory differs from the production-based inventory reported under the Paris Agreement that must include only emissions that occur in Australia. </w:t>
      </w:r>
      <w:r w:rsidR="00CE6392" w:rsidRPr="00E8461E">
        <w:t xml:space="preserve">Estimated scope 3 emissions were calculated by subtracting FY 2020-2021 scope 1 and scope 2 emissions from the aggregated FY 2019-2020 consumption inventory total use emissions for the health system (comprising human pharmaceutical and medicinal product manufacturing, health care services and residential care and social care services). </w:t>
      </w:r>
      <w:r w:rsidR="00450742" w:rsidRPr="00E8461E">
        <w:t>S</w:t>
      </w:r>
      <w:r w:rsidRPr="00E8461E">
        <w:t xml:space="preserve">cope 3 emissions are estimated to be approximately </w:t>
      </w:r>
      <w:r w:rsidR="4BD08132" w:rsidRPr="00E8461E">
        <w:t>18,</w:t>
      </w:r>
      <w:r w:rsidR="00060C6B" w:rsidRPr="00E8461E">
        <w:t>271</w:t>
      </w:r>
      <w:r w:rsidRPr="00E8461E">
        <w:t xml:space="preserve"> kt CO</w:t>
      </w:r>
      <w:r w:rsidRPr="00E8461E">
        <w:rPr>
          <w:vertAlign w:val="subscript"/>
        </w:rPr>
        <w:t>2</w:t>
      </w:r>
      <w:r w:rsidRPr="00E8461E">
        <w:t>-e.</w:t>
      </w:r>
      <w:r w:rsidR="00E23F40" w:rsidRPr="00E8461E" w:rsidDel="00E23F40">
        <w:rPr>
          <w:rStyle w:val="EndnoteReference"/>
        </w:rPr>
        <w:t xml:space="preserve"> </w:t>
      </w:r>
      <w:r w:rsidRPr="00E8461E">
        <w:t xml:space="preserve">This estimate is equivalent to </w:t>
      </w:r>
      <w:r w:rsidR="00060C6B" w:rsidRPr="00E8461E">
        <w:t>3</w:t>
      </w:r>
      <w:r w:rsidRPr="00E8461E">
        <w:t>.</w:t>
      </w:r>
      <w:r w:rsidR="00060C6B" w:rsidRPr="00E8461E">
        <w:t>9</w:t>
      </w:r>
      <w:r w:rsidRPr="00E8461E">
        <w:t>% of Australia’s total 2021 emissions reported under the Paris Agreement.</w:t>
      </w:r>
      <w:r w:rsidR="00973BAD" w:rsidRPr="00E8461E">
        <w:t xml:space="preserve"> </w:t>
      </w:r>
      <w:r w:rsidR="0026477B" w:rsidRPr="00E8461E">
        <w:t xml:space="preserve">This estimate includes emissions associated with </w:t>
      </w:r>
      <w:r w:rsidR="009F3569" w:rsidRPr="00E8461E">
        <w:t>social assistance services as this data was unable to be disaggregate</w:t>
      </w:r>
      <w:r w:rsidR="00D15EB0" w:rsidRPr="00E8461E">
        <w:t>d</w:t>
      </w:r>
      <w:r w:rsidR="009F3569" w:rsidRPr="00E8461E">
        <w:t xml:space="preserve"> from residential care, and thus may slightly overestimate </w:t>
      </w:r>
      <w:r w:rsidR="00644F9D" w:rsidRPr="00E8461E">
        <w:t>the health system’s scope</w:t>
      </w:r>
      <w:r w:rsidR="009F3569" w:rsidRPr="00E8461E">
        <w:t xml:space="preserve"> 3 </w:t>
      </w:r>
      <w:r w:rsidR="00644F9D" w:rsidRPr="00E8461E">
        <w:t xml:space="preserve">emissions. </w:t>
      </w:r>
      <w:r w:rsidRPr="00E8461E">
        <w:t xml:space="preserve">Overall, emissions associated with the health system </w:t>
      </w:r>
      <w:r w:rsidRPr="00E8461E">
        <w:lastRenderedPageBreak/>
        <w:t xml:space="preserve">are estimated to be approximately </w:t>
      </w:r>
      <w:r w:rsidR="046D7C53" w:rsidRPr="00E8461E">
        <w:t>24,</w:t>
      </w:r>
      <w:r w:rsidR="00060C6B" w:rsidRPr="00E8461E">
        <w:t>484</w:t>
      </w:r>
      <w:r w:rsidRPr="00E8461E">
        <w:t xml:space="preserve"> kt CO</w:t>
      </w:r>
      <w:r w:rsidRPr="00E8461E">
        <w:rPr>
          <w:vertAlign w:val="subscript"/>
        </w:rPr>
        <w:t>2</w:t>
      </w:r>
      <w:r w:rsidRPr="00E8461E">
        <w:t xml:space="preserve">-e. This estimate is equivalent to </w:t>
      </w:r>
      <w:r w:rsidR="0074608D" w:rsidRPr="00E8461E">
        <w:t>5.</w:t>
      </w:r>
      <w:r w:rsidR="00526706" w:rsidRPr="00E8461E">
        <w:t>3</w:t>
      </w:r>
      <w:r w:rsidRPr="00E8461E">
        <w:t>% of Australia’s total 2021 emissions reported under the Paris Agreement.</w:t>
      </w:r>
    </w:p>
    <w:p w14:paraId="0CE816EF" w14:textId="77777777" w:rsidR="00A60BCB" w:rsidRPr="00E8461E" w:rsidRDefault="00A60BCB" w:rsidP="00A60BCB">
      <w:pPr>
        <w:rPr>
          <w:lang w:eastAsia="en-AU"/>
        </w:rPr>
      </w:pPr>
      <w:r w:rsidRPr="00E8461E">
        <w:t>These estimates do not include some health system emissions, including those associated with the construction of health system buildings and infrastructure (these are associated to the construction sector in the National Greenhouse Accounts and further work is needed to disaggregate them); those associated with fluoridated anaesthetic gases (which are not reportable under the Paris Agreement); and those associated with patient travel. The Government will explore opportunities to include these and other omitted emissions sources in future reporting.</w:t>
      </w:r>
    </w:p>
    <w:p w14:paraId="3EC475CA" w14:textId="2682AD2F" w:rsidR="00A60BCB" w:rsidRPr="00E8461E" w:rsidRDefault="00660E87" w:rsidP="00CE2599">
      <w:pPr>
        <w:pStyle w:val="Heading2"/>
      </w:pPr>
      <w:bookmarkStart w:id="120" w:name="_Toc149909983"/>
      <w:bookmarkStart w:id="121" w:name="_Toc149918448"/>
      <w:bookmarkStart w:id="122" w:name="_Toc151999629"/>
      <w:r w:rsidRPr="00E8461E">
        <w:t>4</w:t>
      </w:r>
      <w:r w:rsidR="00A60BCB" w:rsidRPr="00E8461E">
        <w:t xml:space="preserve">.2 Reducing health system greenhouse gas </w:t>
      </w:r>
      <w:proofErr w:type="gramStart"/>
      <w:r w:rsidR="00A60BCB" w:rsidRPr="00E8461E">
        <w:t>emissions</w:t>
      </w:r>
      <w:bookmarkEnd w:id="118"/>
      <w:bookmarkEnd w:id="119"/>
      <w:bookmarkEnd w:id="120"/>
      <w:bookmarkEnd w:id="121"/>
      <w:bookmarkEnd w:id="122"/>
      <w:proofErr w:type="gramEnd"/>
    </w:p>
    <w:p w14:paraId="11E78B3F" w14:textId="77777777" w:rsidR="00A60BCB" w:rsidRPr="00E8461E" w:rsidRDefault="00A60BCB" w:rsidP="00A60BCB">
      <w:pPr>
        <w:rPr>
          <w:lang w:val="en-GB"/>
        </w:rPr>
      </w:pPr>
      <w:r w:rsidRPr="00E8461E">
        <w:rPr>
          <w:lang w:val="en-GB"/>
        </w:rPr>
        <w:t>The Australian Government has committed to reduce national emissions by 43% below 2005 levels by 2030, and to achieve net zero national emissions by 2050. These targets apply to all parts of the Australian economy, including the health system. The states and territories have also each set targets:</w:t>
      </w:r>
    </w:p>
    <w:p w14:paraId="05EC70D6" w14:textId="7D43F70C" w:rsidR="00D968E3" w:rsidRPr="00E8461E" w:rsidRDefault="00D968E3" w:rsidP="0065729E">
      <w:pPr>
        <w:pStyle w:val="BulletUnindented"/>
      </w:pPr>
      <w:r w:rsidRPr="00E8461E">
        <w:t>Australian Capital Territory – 65-75% below 1990 levels by 2030 and net zero by 2045</w:t>
      </w:r>
      <w:r w:rsidR="00C00275" w:rsidRPr="00E8461E">
        <w:rPr>
          <w:rStyle w:val="EndnoteReference"/>
        </w:rPr>
        <w:endnoteReference w:id="112"/>
      </w:r>
    </w:p>
    <w:p w14:paraId="5AB175F7" w14:textId="799397BF" w:rsidR="00D968E3" w:rsidRPr="00E8461E" w:rsidRDefault="00D968E3" w:rsidP="0065729E">
      <w:pPr>
        <w:pStyle w:val="BulletUnindented"/>
      </w:pPr>
      <w:r w:rsidRPr="00E8461E">
        <w:t>New South Wales – 50% below 2005 levels by 2030 and net zero by 2050</w:t>
      </w:r>
      <w:r w:rsidR="00225097" w:rsidRPr="00E8461E">
        <w:rPr>
          <w:rStyle w:val="EndnoteReference"/>
        </w:rPr>
        <w:endnoteReference w:id="113"/>
      </w:r>
    </w:p>
    <w:p w14:paraId="650775B8" w14:textId="2974CA6D" w:rsidR="00D968E3" w:rsidRPr="00E8461E" w:rsidRDefault="00D968E3" w:rsidP="0065729E">
      <w:pPr>
        <w:pStyle w:val="BulletUnindented"/>
      </w:pPr>
      <w:r w:rsidRPr="00E8461E">
        <w:t>Northern Territory – net zero by 2050</w:t>
      </w:r>
      <w:r w:rsidR="00225097" w:rsidRPr="00E8461E">
        <w:rPr>
          <w:rStyle w:val="EndnoteReference"/>
        </w:rPr>
        <w:endnoteReference w:id="114"/>
      </w:r>
    </w:p>
    <w:p w14:paraId="6A3C10BF" w14:textId="6D4FF644" w:rsidR="00D968E3" w:rsidRPr="00E8461E" w:rsidRDefault="00D968E3" w:rsidP="0065729E">
      <w:pPr>
        <w:pStyle w:val="BulletUnindented"/>
      </w:pPr>
      <w:r w:rsidRPr="00E8461E">
        <w:t>Queensland – 30% below 2005 levels by 2030 and net zero by 2050</w:t>
      </w:r>
      <w:r w:rsidR="00225097" w:rsidRPr="00E8461E">
        <w:rPr>
          <w:rStyle w:val="EndnoteReference"/>
        </w:rPr>
        <w:endnoteReference w:id="115"/>
      </w:r>
    </w:p>
    <w:p w14:paraId="1D5B67B9" w14:textId="2FD114E7" w:rsidR="00D968E3" w:rsidRPr="00E8461E" w:rsidRDefault="00D968E3" w:rsidP="0065729E">
      <w:pPr>
        <w:pStyle w:val="BulletUnindented"/>
      </w:pPr>
      <w:r w:rsidRPr="00E8461E">
        <w:t>South Australia – 50% below 2005 levels by 2030 and net zero by 2050</w:t>
      </w:r>
      <w:r w:rsidR="00225097" w:rsidRPr="00E8461E">
        <w:rPr>
          <w:rStyle w:val="EndnoteReference"/>
        </w:rPr>
        <w:endnoteReference w:id="116"/>
      </w:r>
    </w:p>
    <w:p w14:paraId="56A6F31B" w14:textId="1D46395E" w:rsidR="00D968E3" w:rsidRPr="00E8461E" w:rsidRDefault="00D968E3" w:rsidP="0065729E">
      <w:pPr>
        <w:pStyle w:val="BulletUnindented"/>
      </w:pPr>
      <w:r w:rsidRPr="00E8461E">
        <w:t>Tasmania – net zero or lower by 2030</w:t>
      </w:r>
      <w:r w:rsidR="00225097" w:rsidRPr="00E8461E">
        <w:rPr>
          <w:rStyle w:val="EndnoteReference"/>
        </w:rPr>
        <w:endnoteReference w:id="117"/>
      </w:r>
    </w:p>
    <w:p w14:paraId="5DC936E9" w14:textId="4C4D0E9D" w:rsidR="00D968E3" w:rsidRPr="00E8461E" w:rsidRDefault="00D968E3" w:rsidP="0065729E">
      <w:pPr>
        <w:pStyle w:val="BulletUnindented"/>
      </w:pPr>
      <w:r w:rsidRPr="00E8461E">
        <w:t>Victoria – 45-50% below 2005 levels by 2030 and net zero by 2045</w:t>
      </w:r>
      <w:r w:rsidR="00225097" w:rsidRPr="00E8461E">
        <w:rPr>
          <w:rStyle w:val="EndnoteReference"/>
        </w:rPr>
        <w:endnoteReference w:id="118"/>
      </w:r>
    </w:p>
    <w:p w14:paraId="3C9FC687" w14:textId="6CF0E085" w:rsidR="00A60BCB" w:rsidRPr="00E8461E" w:rsidRDefault="00D968E3" w:rsidP="0065729E">
      <w:pPr>
        <w:pStyle w:val="BulletUnindented"/>
      </w:pPr>
      <w:r w:rsidRPr="00E8461E">
        <w:t>Western Australia – 80% below 2020 levels by 2030 for all government agencies.</w:t>
      </w:r>
      <w:r w:rsidR="00225097" w:rsidRPr="00E8461E">
        <w:rPr>
          <w:rStyle w:val="EndnoteReference"/>
        </w:rPr>
        <w:endnoteReference w:id="119"/>
      </w:r>
    </w:p>
    <w:p w14:paraId="58901071" w14:textId="17D85DBD" w:rsidR="00A60BCB" w:rsidRPr="00E8461E" w:rsidRDefault="00A60BCB" w:rsidP="00A60BCB">
      <w:pPr>
        <w:rPr>
          <w:lang w:val="en-GB"/>
        </w:rPr>
      </w:pPr>
      <w:bookmarkStart w:id="131" w:name="_Hlk147426235"/>
      <w:r w:rsidRPr="00E8461E">
        <w:rPr>
          <w:lang w:val="en-GB"/>
        </w:rPr>
        <w:t>The development of this National Health and Climate Strategy is an opportunity to build on the work of states, territories, health services and individuals, to set an ambitious strategic direction for decarbonisation of the health system, support achievement of Australia’s national emissions reduction targets, and to be a leader in the growing international community of countries committed to transforming their health systems to be low carbon and sustainable.</w:t>
      </w:r>
      <w:bookmarkEnd w:id="131"/>
      <w:r w:rsidRPr="00E8461E">
        <w:rPr>
          <w:lang w:val="en-GB"/>
        </w:rPr>
        <w:t xml:space="preserve"> A priority action of this Strategy is therefore to set a national emissions reduction trajectory for the Australian health system. This trajectory will be supported by a health system decarbonisation roadmap, which will build on state and territory plans </w:t>
      </w:r>
      <w:proofErr w:type="gramStart"/>
      <w:r w:rsidRPr="00E8461E">
        <w:rPr>
          <w:lang w:val="en-GB"/>
        </w:rPr>
        <w:t>and also</w:t>
      </w:r>
      <w:proofErr w:type="gramEnd"/>
      <w:r w:rsidRPr="00E8461E">
        <w:rPr>
          <w:lang w:val="en-GB"/>
        </w:rPr>
        <w:t xml:space="preserve"> address scope 3 emissions. This roadmap will also be developed in alignment with the economy-wide Net Zero 2050 plan and associated sectoral decarbonisation plans (which focus on electricity and energy, industry, resources, the built environment, agriculture and land, and transport).</w:t>
      </w:r>
    </w:p>
    <w:p w14:paraId="69083C24" w14:textId="77777777" w:rsidR="003A3AE0" w:rsidRPr="00E8461E" w:rsidRDefault="003A3AE0" w:rsidP="00D80EFD">
      <w:pPr>
        <w:pStyle w:val="Heading4"/>
        <w:rPr>
          <w:iCs w:val="0"/>
        </w:rPr>
      </w:pPr>
      <w:r w:rsidRPr="00E8461E">
        <w:rPr>
          <w:iCs w:val="0"/>
        </w:rPr>
        <w:t>Action 4.3</w:t>
      </w:r>
    </w:p>
    <w:p w14:paraId="7BF8303A" w14:textId="77777777" w:rsidR="003A3AE0" w:rsidRPr="00E8461E" w:rsidRDefault="003A3AE0" w:rsidP="003A3AE0">
      <w:pPr>
        <w:rPr>
          <w:rFonts w:ascii="Calibri" w:eastAsia="Calibri" w:hAnsi="Calibri" w:cs="Calibri"/>
          <w:b/>
          <w:color w:val="000000" w:themeColor="text1"/>
          <w:lang w:val="en-GB"/>
        </w:rPr>
      </w:pPr>
      <w:r w:rsidRPr="00E8461E">
        <w:rPr>
          <w:rFonts w:ascii="Calibri" w:eastAsia="Calibri" w:hAnsi="Calibri" w:cs="Calibri"/>
          <w:b/>
          <w:color w:val="000000" w:themeColor="text1"/>
          <w:lang w:val="en-GB"/>
        </w:rPr>
        <w:t>Establishing a national health system emissions reduction trajectory</w:t>
      </w:r>
    </w:p>
    <w:p w14:paraId="6290D355" w14:textId="7B5F2AA3" w:rsidR="003A3AE0" w:rsidRPr="00E8461E" w:rsidRDefault="003A3AE0" w:rsidP="003A3AE0">
      <w:pPr>
        <w:pBdr>
          <w:bottom w:val="single" w:sz="12" w:space="1" w:color="008A95" w:themeColor="accent1"/>
        </w:pBdr>
        <w:rPr>
          <w:lang w:val="en-GB"/>
        </w:rPr>
      </w:pPr>
      <w:r w:rsidRPr="00E8461E">
        <w:rPr>
          <w:rFonts w:ascii="Calibri" w:eastAsia="Calibri" w:hAnsi="Calibri" w:cs="Calibri"/>
          <w:color w:val="000000" w:themeColor="text1"/>
          <w:lang w:val="en-GB"/>
        </w:rPr>
        <w:t>The Australian Government will seek to negotiate a national emissions reduction trajectory for the Australian health system. The trajectory will encompass all levels of the health system (inclusive of aged care) and will encompass scope 1, scope 2 and scope 3 emissions and build on</w:t>
      </w:r>
      <w:r w:rsidRPr="00E8461E">
        <w:rPr>
          <w:rFonts w:eastAsia="Times New Roman"/>
        </w:rPr>
        <w:t xml:space="preserve"> existing state and territory trajectories</w:t>
      </w:r>
      <w:r w:rsidRPr="00E8461E">
        <w:rPr>
          <w:rFonts w:ascii="Calibri" w:eastAsia="Calibri" w:hAnsi="Calibri" w:cs="Calibri"/>
          <w:color w:val="000000" w:themeColor="text1"/>
          <w:lang w:val="en-GB"/>
        </w:rPr>
        <w:t>.</w:t>
      </w:r>
    </w:p>
    <w:p w14:paraId="33C20404" w14:textId="77777777" w:rsidR="003A3AE0" w:rsidRPr="00E8461E" w:rsidRDefault="003A3AE0" w:rsidP="003A3AE0"/>
    <w:p w14:paraId="2CBB7F63" w14:textId="1B7A0943" w:rsidR="003A3AE0" w:rsidRPr="00E8461E" w:rsidRDefault="003A3AE0" w:rsidP="00D80EFD">
      <w:pPr>
        <w:pStyle w:val="Heading4"/>
        <w:rPr>
          <w:iCs w:val="0"/>
        </w:rPr>
      </w:pPr>
      <w:r w:rsidRPr="00E8461E">
        <w:rPr>
          <w:iCs w:val="0"/>
        </w:rPr>
        <w:t>Action 4.4</w:t>
      </w:r>
    </w:p>
    <w:p w14:paraId="3012D6A0" w14:textId="77777777" w:rsidR="003A3AE0" w:rsidRPr="00E8461E" w:rsidRDefault="003A3AE0" w:rsidP="003A3AE0">
      <w:pPr>
        <w:rPr>
          <w:rFonts w:ascii="Calibri" w:eastAsia="Calibri" w:hAnsi="Calibri" w:cs="Calibri"/>
          <w:b/>
          <w:color w:val="000000" w:themeColor="text1"/>
          <w:lang w:val="en-GB"/>
        </w:rPr>
      </w:pPr>
      <w:r w:rsidRPr="00E8461E">
        <w:rPr>
          <w:rFonts w:ascii="Calibri" w:eastAsia="Calibri" w:hAnsi="Calibri" w:cs="Calibri"/>
          <w:b/>
          <w:color w:val="000000" w:themeColor="text1"/>
          <w:lang w:val="en-GB"/>
        </w:rPr>
        <w:t>Developing a health system decarbonisation roadmap</w:t>
      </w:r>
    </w:p>
    <w:p w14:paraId="24B5E64D" w14:textId="5DC093E9" w:rsidR="00A60BCB" w:rsidRPr="00E8461E" w:rsidRDefault="003A3AE0" w:rsidP="003A3AE0">
      <w:pPr>
        <w:pBdr>
          <w:bottom w:val="single" w:sz="12" w:space="1" w:color="008A95" w:themeColor="accent1"/>
        </w:pBdr>
      </w:pPr>
      <w:r w:rsidRPr="00E8461E">
        <w:rPr>
          <w:rFonts w:ascii="Calibri" w:eastAsia="Calibri" w:hAnsi="Calibri" w:cs="Calibri"/>
          <w:color w:val="000000" w:themeColor="text1"/>
          <w:lang w:val="en-GB"/>
        </w:rPr>
        <w:t xml:space="preserve">By 2025, the </w:t>
      </w:r>
      <w:r w:rsidRPr="00E8461E">
        <w:rPr>
          <w:rFonts w:cs="Times New Roman"/>
        </w:rPr>
        <w:t xml:space="preserve">Australian Government </w:t>
      </w:r>
      <w:r w:rsidRPr="00E8461E">
        <w:rPr>
          <w:rFonts w:ascii="Calibri" w:eastAsia="Calibri" w:hAnsi="Calibri" w:cs="Calibri"/>
          <w:color w:val="000000" w:themeColor="text1"/>
          <w:lang w:val="en-GB"/>
        </w:rPr>
        <w:t xml:space="preserve">will develop a health system decarbonisation roadmap </w:t>
      </w:r>
      <w:r w:rsidRPr="00E8461E">
        <w:t>encompassing all levels of the health system (inclusive of aged care)</w:t>
      </w:r>
      <w:r w:rsidRPr="00E8461E">
        <w:rPr>
          <w:rFonts w:ascii="Calibri" w:eastAsia="Calibri" w:hAnsi="Calibri" w:cs="Calibri"/>
          <w:color w:val="000000" w:themeColor="text1"/>
          <w:lang w:val="en-GB"/>
        </w:rPr>
        <w:t xml:space="preserve">. The roadmap will encompass scope 1, 2 and 3 emissions as well as patient travel, and will be developed in alignment with the Australia-wide Net Zero 2050 plan and state and territory strategies and plans. The Government will seek to develop the roadmap in partnership with stakeholders in state and territory health systems, and invite participation by private providers, </w:t>
      </w:r>
      <w:proofErr w:type="gramStart"/>
      <w:r w:rsidRPr="00E8461E">
        <w:rPr>
          <w:rFonts w:ascii="Calibri" w:eastAsia="Calibri" w:hAnsi="Calibri" w:cs="Calibri"/>
          <w:color w:val="000000" w:themeColor="text1"/>
          <w:lang w:val="en-GB"/>
        </w:rPr>
        <w:t>industry</w:t>
      </w:r>
      <w:proofErr w:type="gramEnd"/>
      <w:r w:rsidRPr="00E8461E">
        <w:rPr>
          <w:rFonts w:ascii="Calibri" w:eastAsia="Calibri" w:hAnsi="Calibri" w:cs="Calibri"/>
          <w:color w:val="000000" w:themeColor="text1"/>
          <w:lang w:val="en-GB"/>
        </w:rPr>
        <w:t xml:space="preserve"> and suppliers.</w:t>
      </w:r>
    </w:p>
    <w:p w14:paraId="4C355789" w14:textId="77777777" w:rsidR="00A60BCB" w:rsidRPr="00E8461E" w:rsidRDefault="00A60BCB" w:rsidP="00A60BCB">
      <w:pPr>
        <w:rPr>
          <w:lang w:val="en-GB"/>
        </w:rPr>
      </w:pPr>
      <w:r w:rsidRPr="00E8461E">
        <w:rPr>
          <w:lang w:val="en-GB"/>
        </w:rPr>
        <w:t>Health system emissions reduction strategies will focus on ways to improve health, equity, and patient experience, whilst reducing waste and emissions. For instance, as discussed later in this section, the first step in tackling emissions from asthma patients’ inhalers is to optimise their care by ensuring they are on the appropriate treatment to prevent their asthma symptoms. Digital solutions, such as telehealth for outpatient specialist appointments, should focus on improving access to services, particularly in remote communities, with the co-benefit of also reducing transport-related emissions. Attention will also be paid to ensuring that measures to reduce emissions also enhance the health system’s resilience to the impacts of climate change.</w:t>
      </w:r>
    </w:p>
    <w:p w14:paraId="09486F8C" w14:textId="4CD607F2" w:rsidR="00A60BCB" w:rsidRPr="00E8461E" w:rsidRDefault="00A60BCB" w:rsidP="00A60BCB">
      <w:pPr>
        <w:rPr>
          <w:lang w:val="en-GB"/>
        </w:rPr>
      </w:pPr>
      <w:r w:rsidRPr="00E8461E">
        <w:rPr>
          <w:lang w:val="en-GB"/>
        </w:rPr>
        <w:t>Three pillars underpin this Strategy’s approach to health system decarbonisation.</w:t>
      </w:r>
      <w:r w:rsidRPr="00E8461E">
        <w:rPr>
          <w:rStyle w:val="EndnoteReference"/>
          <w:lang w:val="en-GB"/>
        </w:rPr>
        <w:endnoteReference w:id="120"/>
      </w:r>
      <w:r w:rsidR="00AF5945" w:rsidRPr="00E8461E">
        <w:rPr>
          <w:vertAlign w:val="superscript"/>
          <w:lang w:val="en-GB"/>
        </w:rPr>
        <w:t>,</w:t>
      </w:r>
      <w:r w:rsidR="00191E0E" w:rsidRPr="00E8461E">
        <w:rPr>
          <w:rStyle w:val="EndnoteReference"/>
          <w:lang w:val="en-GB"/>
        </w:rPr>
        <w:endnoteReference w:id="121"/>
      </w:r>
      <w:r w:rsidRPr="00E8461E">
        <w:rPr>
          <w:lang w:val="en-GB"/>
        </w:rPr>
        <w:t xml:space="preserve"> The first is to reduce demand for health services by preventing ill health. The second is to ensure the care provided matches what is required, with investigation and treatment undertaken when they are clinically indicated. The final</w:t>
      </w:r>
      <w:r w:rsidRPr="00E8461E" w:rsidDel="002140E0">
        <w:rPr>
          <w:lang w:val="en-GB"/>
        </w:rPr>
        <w:t xml:space="preserve"> </w:t>
      </w:r>
      <w:r w:rsidR="002140E0" w:rsidRPr="00E8461E">
        <w:rPr>
          <w:lang w:val="en-GB"/>
        </w:rPr>
        <w:t xml:space="preserve">pillar </w:t>
      </w:r>
      <w:r w:rsidRPr="00E8461E">
        <w:rPr>
          <w:lang w:val="en-GB"/>
        </w:rPr>
        <w:t>is that, where provision of care is necessary, it should be delivered in a manner that ensures high</w:t>
      </w:r>
      <w:r w:rsidR="00B645A0" w:rsidRPr="00E8461E">
        <w:rPr>
          <w:lang w:val="en-GB"/>
        </w:rPr>
        <w:t>-</w:t>
      </w:r>
      <w:r w:rsidRPr="00E8461E">
        <w:rPr>
          <w:lang w:val="en-GB"/>
        </w:rPr>
        <w:t xml:space="preserve">quality care, whilst minimising any associated greenhouse gas emissions. This involves identifying the sources of emissions from all aspects of care delivery – from the transport of patients to the management of health care waste – and designing interventions that reduce emissions while maintaining care quality. This section outlines how health system emissions will be reduced, walking through each of these three </w:t>
      </w:r>
      <w:r w:rsidR="00274457" w:rsidRPr="00E8461E">
        <w:rPr>
          <w:lang w:val="en-GB"/>
        </w:rPr>
        <w:t>pillars</w:t>
      </w:r>
      <w:r w:rsidRPr="00E8461E">
        <w:rPr>
          <w:lang w:val="en-GB"/>
        </w:rPr>
        <w:t>.</w:t>
      </w:r>
    </w:p>
    <w:p w14:paraId="0C915FAF" w14:textId="3078AF88" w:rsidR="00A60BCB" w:rsidRPr="00E8461E" w:rsidRDefault="00A60BCB" w:rsidP="00A60BCB">
      <w:pPr>
        <w:rPr>
          <w:lang w:val="en-GB"/>
        </w:rPr>
      </w:pPr>
      <w:r w:rsidRPr="00E8461E">
        <w:rPr>
          <w:lang w:val="en-GB"/>
        </w:rPr>
        <w:t xml:space="preserve">The National Safety and Quality Health Service Standards provide a nationally consistent statement of the level of care consumers can expect from health service organisations. The Standards – developed by the Australian Commission on Safety and Quality in Health Care in collaboration with the Australian Government, states and territories, private sector providers, clinical experts, </w:t>
      </w:r>
      <w:proofErr w:type="gramStart"/>
      <w:r w:rsidRPr="00E8461E">
        <w:rPr>
          <w:lang w:val="en-GB"/>
        </w:rPr>
        <w:t>patients</w:t>
      </w:r>
      <w:proofErr w:type="gramEnd"/>
      <w:r w:rsidRPr="00E8461E">
        <w:rPr>
          <w:lang w:val="en-GB"/>
        </w:rPr>
        <w:t xml:space="preserve"> and carers – are used to accredit health service organisations to provide care for patients, and as such represent a unique lever for embedding emissions reduction in delivery of healthcare across the country. In 2024, the Commission intends to pilot a framework that health service organisations can use to address environmental sustainability, as well as on climate resilience, with a view to informing the next edition of the standards due for release in 2027.</w:t>
      </w:r>
    </w:p>
    <w:p w14:paraId="00BB43F7" w14:textId="77777777" w:rsidR="003A3AE0" w:rsidRPr="00E8461E" w:rsidRDefault="003A3AE0" w:rsidP="00D80EFD">
      <w:pPr>
        <w:pStyle w:val="Heading4"/>
        <w:rPr>
          <w:iCs w:val="0"/>
        </w:rPr>
      </w:pPr>
      <w:bookmarkStart w:id="132" w:name="_Toc147086747"/>
      <w:bookmarkStart w:id="133" w:name="_Toc147502198"/>
      <w:bookmarkStart w:id="134" w:name="_Toc149909984"/>
      <w:bookmarkStart w:id="135" w:name="_Toc149918449"/>
      <w:bookmarkStart w:id="136" w:name="_Toc151999630"/>
      <w:r w:rsidRPr="00E8461E">
        <w:rPr>
          <w:iCs w:val="0"/>
        </w:rPr>
        <w:t>Action 4.5</w:t>
      </w:r>
    </w:p>
    <w:p w14:paraId="2B2B19BF" w14:textId="77777777" w:rsidR="003A3AE0" w:rsidRPr="00E8461E" w:rsidRDefault="003A3AE0" w:rsidP="003A3AE0">
      <w:pPr>
        <w:rPr>
          <w:b/>
          <w:bCs/>
          <w:lang w:val="en-GB"/>
        </w:rPr>
      </w:pPr>
      <w:r w:rsidRPr="00E8461E">
        <w:rPr>
          <w:b/>
          <w:bCs/>
          <w:lang w:val="en-GB"/>
        </w:rPr>
        <w:t>New sustainability and climate resilience standards for health service organisations</w:t>
      </w:r>
    </w:p>
    <w:p w14:paraId="630D332D" w14:textId="2F878503" w:rsidR="003A3AE0" w:rsidRPr="00E8461E" w:rsidRDefault="003A3AE0" w:rsidP="003A3AE0">
      <w:pPr>
        <w:pBdr>
          <w:bottom w:val="single" w:sz="12" w:space="1" w:color="008A95" w:themeColor="accent1"/>
        </w:pBdr>
      </w:pPr>
      <w:r w:rsidRPr="00E8461E">
        <w:t xml:space="preserve">In 2024, the Australian Commission on Safety and Quality in Health Care will, with input from the </w:t>
      </w:r>
      <w:r w:rsidRPr="00E8461E">
        <w:rPr>
          <w:rFonts w:cs="Times New Roman"/>
        </w:rPr>
        <w:t xml:space="preserve">Australian Government </w:t>
      </w:r>
      <w:r w:rsidRPr="00E8461E">
        <w:t xml:space="preserve">and states and territories, pilot the Environmental Sustainability and Climate Resilience </w:t>
      </w:r>
      <w:r w:rsidRPr="00E8461E">
        <w:lastRenderedPageBreak/>
        <w:t>Healthcare Module – a framework of action focused on environmental sustainability and building climate resilience. Implementation of the Module will inform action in future national safety and quality standards developed by the Commission.</w:t>
      </w:r>
    </w:p>
    <w:p w14:paraId="3210DF6C" w14:textId="61E9D7EB" w:rsidR="00A60BCB" w:rsidRPr="00E8461E" w:rsidRDefault="00660E87" w:rsidP="00CE2599">
      <w:pPr>
        <w:pStyle w:val="Heading2"/>
        <w:rPr>
          <w:lang w:val="en-GB"/>
        </w:rPr>
      </w:pPr>
      <w:r w:rsidRPr="00E8461E">
        <w:t>4</w:t>
      </w:r>
      <w:r w:rsidR="00A60BCB" w:rsidRPr="00E8461E">
        <w:rPr>
          <w:lang w:val="en-GB"/>
        </w:rPr>
        <w:t xml:space="preserve">.3 Preventing ill </w:t>
      </w:r>
      <w:proofErr w:type="gramStart"/>
      <w:r w:rsidR="00A60BCB" w:rsidRPr="00E8461E">
        <w:rPr>
          <w:lang w:val="en-GB"/>
        </w:rPr>
        <w:t>health</w:t>
      </w:r>
      <w:bookmarkEnd w:id="132"/>
      <w:bookmarkEnd w:id="133"/>
      <w:bookmarkEnd w:id="134"/>
      <w:bookmarkEnd w:id="135"/>
      <w:bookmarkEnd w:id="136"/>
      <w:proofErr w:type="gramEnd"/>
    </w:p>
    <w:p w14:paraId="6ED1AF5A" w14:textId="042A256C" w:rsidR="002E5613" w:rsidRPr="00E8461E" w:rsidRDefault="00EB7978" w:rsidP="002E5613">
      <w:pPr>
        <w:rPr>
          <w:rFonts w:cstheme="minorHAnsi"/>
          <w:lang w:val="en-GB"/>
        </w:rPr>
      </w:pPr>
      <w:r w:rsidRPr="00E8461E">
        <w:t>P</w:t>
      </w:r>
      <w:r w:rsidR="007C3108" w:rsidRPr="00E8461E">
        <w:t xml:space="preserve">reventing ill health is the foundation of the health response to climate change. We can reduce the demand for emissions-intensive forms of health care by supporting people to be healthy, </w:t>
      </w:r>
      <w:proofErr w:type="gramStart"/>
      <w:r w:rsidR="007C3108" w:rsidRPr="00E8461E">
        <w:t>well</w:t>
      </w:r>
      <w:proofErr w:type="gramEnd"/>
      <w:r w:rsidR="007C3108" w:rsidRPr="00E8461E">
        <w:t xml:space="preserve"> and independent in their homes and communities,</w:t>
      </w:r>
      <w:r w:rsidR="007C3108" w:rsidRPr="00E8461E" w:rsidDel="00492F6A">
        <w:t xml:space="preserve"> and</w:t>
      </w:r>
      <w:r w:rsidR="007C3108" w:rsidRPr="00E8461E">
        <w:t xml:space="preserve"> by preventing the onset of disease and the</w:t>
      </w:r>
      <w:r w:rsidR="007C3108" w:rsidRPr="00E8461E" w:rsidDel="00492F6A">
        <w:t xml:space="preserve"> </w:t>
      </w:r>
      <w:r w:rsidR="007C3108" w:rsidRPr="00E8461E">
        <w:t>exacerbation of chronic conditions</w:t>
      </w:r>
      <w:r w:rsidR="007C3108" w:rsidRPr="00E8461E">
        <w:rPr>
          <w:lang w:val="en-GB"/>
        </w:rPr>
        <w:t>.</w:t>
      </w:r>
    </w:p>
    <w:p w14:paraId="1B4EB0C8" w14:textId="17B74695" w:rsidR="00BA055E" w:rsidRPr="00E8461E" w:rsidRDefault="007C3108" w:rsidP="007C3108">
      <w:r w:rsidRPr="00E8461E">
        <w:t xml:space="preserve">Data suggests that 47% of Australians have one or more chronic conditions. </w:t>
      </w:r>
      <w:r w:rsidRPr="00E8461E">
        <w:rPr>
          <w:rFonts w:eastAsia="Times New Roman"/>
        </w:rPr>
        <w:t>Approximately 38% of the disease burden is potentially preventable if all modifiable risk factors such as tobacco smoking, insufficient physical inactivity, poor diet, overweight and obesity can be better addressed</w:t>
      </w:r>
      <w:r w:rsidRPr="00E8461E">
        <w:t>.</w:t>
      </w:r>
      <w:r w:rsidRPr="00E8461E">
        <w:rPr>
          <w:rStyle w:val="EndnoteReference"/>
        </w:rPr>
        <w:endnoteReference w:id="122"/>
      </w:r>
      <w:r w:rsidRPr="00E8461E">
        <w:t xml:space="preserve"> An estimated $320 million annually is spent on avoidable hospital admissions for chronic conditions. Poor health and chronic conditions are not shared equally among Australia’s population – the highest and lowest socioeconomic groups in Australia are separated by a difference in life expectancy at birth of 5.9 years for males and 3.9 years for females.</w:t>
      </w:r>
      <w:r w:rsidRPr="00E8461E">
        <w:rPr>
          <w:rStyle w:val="EndnoteReference"/>
        </w:rPr>
        <w:endnoteReference w:id="123"/>
      </w:r>
    </w:p>
    <w:p w14:paraId="389B4315" w14:textId="2D88711E" w:rsidR="007C3108" w:rsidRPr="00E8461E" w:rsidRDefault="00D36566" w:rsidP="007C3108">
      <w:r w:rsidRPr="00E8461E">
        <w:t>All levels of p</w:t>
      </w:r>
      <w:r w:rsidR="007C3108" w:rsidRPr="00E8461E">
        <w:t xml:space="preserve">revention can improve health equity, quality of life and reduce pressure on </w:t>
      </w:r>
      <w:r w:rsidR="00D303F7" w:rsidRPr="00E8461E">
        <w:t xml:space="preserve">the </w:t>
      </w:r>
      <w:r w:rsidR="007C3108" w:rsidRPr="00E8461E">
        <w:t>health system</w:t>
      </w:r>
      <w:r w:rsidR="00B26948" w:rsidRPr="00E8461E">
        <w:t xml:space="preserve">, </w:t>
      </w:r>
      <w:r w:rsidR="00EB7978" w:rsidRPr="00E8461E">
        <w:t xml:space="preserve">as described in section </w:t>
      </w:r>
      <w:r w:rsidR="00B41E42" w:rsidRPr="00E8461E">
        <w:t>3.2</w:t>
      </w:r>
      <w:r w:rsidR="0025177D" w:rsidRPr="00E8461E">
        <w:t>. This</w:t>
      </w:r>
      <w:r w:rsidR="00EB7978" w:rsidRPr="00E8461E">
        <w:t xml:space="preserve"> is addressed </w:t>
      </w:r>
      <w:r w:rsidR="005A165B" w:rsidRPr="00E8461E">
        <w:t>by</w:t>
      </w:r>
      <w:r w:rsidR="005511C7" w:rsidRPr="00E8461E">
        <w:t xml:space="preserve"> the </w:t>
      </w:r>
      <w:r w:rsidR="00960335" w:rsidRPr="00E8461E">
        <w:t>National Preventive Health Strategy</w:t>
      </w:r>
      <w:r w:rsidR="00F363DF" w:rsidRPr="00E8461E">
        <w:t xml:space="preserve"> through its </w:t>
      </w:r>
      <w:r w:rsidR="00822621" w:rsidRPr="00E8461E">
        <w:t>focus on</w:t>
      </w:r>
      <w:r w:rsidR="00255AF1" w:rsidRPr="00E8461E">
        <w:t xml:space="preserve"> </w:t>
      </w:r>
      <w:r w:rsidR="002C651F" w:rsidRPr="00E8461E">
        <w:t xml:space="preserve">harm due to tobacco, </w:t>
      </w:r>
      <w:proofErr w:type="gramStart"/>
      <w:r w:rsidR="002C651F" w:rsidRPr="00E8461E">
        <w:t>alcohol</w:t>
      </w:r>
      <w:proofErr w:type="gramEnd"/>
      <w:r w:rsidR="002C651F" w:rsidRPr="00E8461E">
        <w:t xml:space="preserve"> and drug use</w:t>
      </w:r>
      <w:r w:rsidR="00E85CD4" w:rsidRPr="00E8461E">
        <w:t>;</w:t>
      </w:r>
      <w:r w:rsidR="00775EC2" w:rsidRPr="00E8461E">
        <w:t xml:space="preserve"> </w:t>
      </w:r>
      <w:r w:rsidR="00E107C3" w:rsidRPr="00E8461E">
        <w:t>healthy diets and physical acti</w:t>
      </w:r>
      <w:r w:rsidR="00ED13B2" w:rsidRPr="00E8461E">
        <w:t>vity</w:t>
      </w:r>
      <w:r w:rsidR="00F1309F" w:rsidRPr="00E8461E">
        <w:t>;</w:t>
      </w:r>
      <w:r w:rsidR="00322418" w:rsidRPr="00E8461E">
        <w:t xml:space="preserve"> and </w:t>
      </w:r>
      <w:r w:rsidR="007A526D" w:rsidRPr="00E8461E">
        <w:t>immunisation and cancer prevention.</w:t>
      </w:r>
    </w:p>
    <w:p w14:paraId="53EA4153" w14:textId="715C4B22" w:rsidR="00163BBB" w:rsidRPr="00E8461E" w:rsidRDefault="00163BBB" w:rsidP="007C3108">
      <w:r w:rsidRPr="00E8461E">
        <w:t xml:space="preserve">Primary care </w:t>
      </w:r>
      <w:r w:rsidR="00E4567B" w:rsidRPr="00E8461E">
        <w:t xml:space="preserve">is also key for </w:t>
      </w:r>
      <w:r w:rsidR="006401BD" w:rsidRPr="00E8461E">
        <w:t>providing preventive care</w:t>
      </w:r>
      <w:r w:rsidR="004B07E4" w:rsidRPr="00E8461E">
        <w:t xml:space="preserve">, </w:t>
      </w:r>
      <w:r w:rsidR="009746AE" w:rsidRPr="00E8461E">
        <w:t>supporting chronic condition</w:t>
      </w:r>
      <w:r w:rsidR="00C81633" w:rsidRPr="00E8461E">
        <w:t xml:space="preserve"> </w:t>
      </w:r>
      <w:proofErr w:type="gramStart"/>
      <w:r w:rsidR="00C81633" w:rsidRPr="00E8461E">
        <w:t>management</w:t>
      </w:r>
      <w:proofErr w:type="gramEnd"/>
      <w:r w:rsidR="00C81633" w:rsidRPr="00E8461E">
        <w:t xml:space="preserve"> and </w:t>
      </w:r>
      <w:r w:rsidR="00EB22B5" w:rsidRPr="00E8461E">
        <w:t xml:space="preserve">slowing and sometimes reversing the progression of </w:t>
      </w:r>
      <w:r w:rsidR="00126D26" w:rsidRPr="00E8461E">
        <w:t>chronic diseases.</w:t>
      </w:r>
      <w:r w:rsidR="00F37A98" w:rsidRPr="00E8461E">
        <w:t xml:space="preserve"> </w:t>
      </w:r>
      <w:r w:rsidR="00D43950" w:rsidRPr="00E8461E">
        <w:t xml:space="preserve">Access to and use of primary care services </w:t>
      </w:r>
      <w:r w:rsidR="004056B7" w:rsidRPr="00E8461E">
        <w:t xml:space="preserve">therefore not only </w:t>
      </w:r>
      <w:r w:rsidR="00B11120" w:rsidRPr="00E8461E">
        <w:t>improve</w:t>
      </w:r>
      <w:r w:rsidR="00F55BFA" w:rsidRPr="00E8461E">
        <w:t>s</w:t>
      </w:r>
      <w:r w:rsidR="00B11120" w:rsidRPr="00E8461E">
        <w:t xml:space="preserve"> </w:t>
      </w:r>
      <w:r w:rsidR="00FE42C8" w:rsidRPr="00E8461E">
        <w:t>people’s wellbeing and quality of life</w:t>
      </w:r>
      <w:r w:rsidR="0074416F" w:rsidRPr="00E8461E">
        <w:t xml:space="preserve"> –</w:t>
      </w:r>
      <w:r w:rsidR="001C1C67" w:rsidRPr="00E8461E">
        <w:t xml:space="preserve"> it</w:t>
      </w:r>
      <w:r w:rsidR="008220B5" w:rsidRPr="00E8461E">
        <w:t xml:space="preserve"> also</w:t>
      </w:r>
      <w:r w:rsidR="00F76693" w:rsidRPr="00E8461E">
        <w:t xml:space="preserve"> reduce</w:t>
      </w:r>
      <w:r w:rsidR="008220B5" w:rsidRPr="00E8461E">
        <w:t>s</w:t>
      </w:r>
      <w:r w:rsidR="00F76693" w:rsidRPr="00E8461E">
        <w:t xml:space="preserve"> the </w:t>
      </w:r>
      <w:r w:rsidR="008B2449" w:rsidRPr="00E8461E">
        <w:t>need for more emission intensive</w:t>
      </w:r>
      <w:r w:rsidR="00A8008D" w:rsidRPr="00E8461E">
        <w:t xml:space="preserve"> hospital-based care. </w:t>
      </w:r>
      <w:r w:rsidR="002C42F5" w:rsidRPr="00E8461E">
        <w:t xml:space="preserve">Indeed, a high-quality, </w:t>
      </w:r>
      <w:proofErr w:type="gramStart"/>
      <w:r w:rsidR="002C42F5" w:rsidRPr="00E8461E">
        <w:t>effective</w:t>
      </w:r>
      <w:proofErr w:type="gramEnd"/>
      <w:r w:rsidR="002C42F5" w:rsidRPr="00E8461E">
        <w:t xml:space="preserve"> and evidence-based primary healthcare system</w:t>
      </w:r>
      <w:r w:rsidR="00940B67" w:rsidRPr="00E8461E">
        <w:t xml:space="preserve"> </w:t>
      </w:r>
      <w:r w:rsidR="009D532F" w:rsidRPr="00E8461E">
        <w:t>provides a backbone for a sustainable health system.</w:t>
      </w:r>
      <w:r w:rsidR="00C33D9A" w:rsidRPr="00E8461E">
        <w:t xml:space="preserve"> </w:t>
      </w:r>
      <w:r w:rsidR="00D05880" w:rsidRPr="00E8461E">
        <w:t xml:space="preserve">Primary </w:t>
      </w:r>
      <w:r w:rsidR="000538A3" w:rsidRPr="00E8461E">
        <w:t>healthcare reforms, as</w:t>
      </w:r>
      <w:r w:rsidR="00C33D9A" w:rsidRPr="00E8461E">
        <w:t xml:space="preserve"> identified in </w:t>
      </w:r>
      <w:r w:rsidR="00FB2D03" w:rsidRPr="00E8461E">
        <w:t>Australia’s Primary Health Care 10 Year Plan 2022-2032</w:t>
      </w:r>
      <w:r w:rsidR="000538A3" w:rsidRPr="00E8461E">
        <w:t>,</w:t>
      </w:r>
      <w:r w:rsidR="00DF12FF" w:rsidRPr="00E8461E">
        <w:rPr>
          <w:rStyle w:val="EndnoteReference"/>
        </w:rPr>
        <w:endnoteReference w:id="124"/>
      </w:r>
      <w:r w:rsidR="00831753" w:rsidRPr="00E8461E">
        <w:t xml:space="preserve"> will suppor</w:t>
      </w:r>
      <w:r w:rsidR="00317CC4" w:rsidRPr="00E8461E">
        <w:t xml:space="preserve">t preventive interventions and the delivery </w:t>
      </w:r>
      <w:r w:rsidR="00D55EC2" w:rsidRPr="00E8461E">
        <w:t>of high-quality primar</w:t>
      </w:r>
      <w:r w:rsidR="0047776D" w:rsidRPr="00E8461E">
        <w:t>y healthcare.</w:t>
      </w:r>
    </w:p>
    <w:p w14:paraId="648BED9F" w14:textId="77E30FE9" w:rsidR="00A60BCB" w:rsidRPr="00E8461E" w:rsidRDefault="00162E01" w:rsidP="00CE2599">
      <w:pPr>
        <w:pStyle w:val="Heading2"/>
        <w:rPr>
          <w:lang w:val="en-GB"/>
        </w:rPr>
      </w:pPr>
      <w:bookmarkStart w:id="141" w:name="_Toc147086748"/>
      <w:bookmarkStart w:id="142" w:name="_Toc147502199"/>
      <w:bookmarkStart w:id="143" w:name="_Toc149909985"/>
      <w:bookmarkStart w:id="144" w:name="_Toc149918450"/>
      <w:bookmarkStart w:id="145" w:name="_Toc151999631"/>
      <w:r w:rsidRPr="00E8461E">
        <w:t>4</w:t>
      </w:r>
      <w:r w:rsidR="00A60BCB" w:rsidRPr="00E8461E">
        <w:rPr>
          <w:lang w:val="en-GB"/>
        </w:rPr>
        <w:t>.4</w:t>
      </w:r>
      <w:r w:rsidR="00A60BCB" w:rsidRPr="00E8461E" w:rsidDel="002C2D3C">
        <w:rPr>
          <w:lang w:val="en-GB"/>
        </w:rPr>
        <w:t xml:space="preserve"> </w:t>
      </w:r>
      <w:r w:rsidR="00A60BCB" w:rsidRPr="00E8461E">
        <w:rPr>
          <w:lang w:val="en-GB"/>
        </w:rPr>
        <w:t xml:space="preserve">Providing appropriate care and tackling unwarranted </w:t>
      </w:r>
      <w:proofErr w:type="gramStart"/>
      <w:r w:rsidR="00A60BCB" w:rsidRPr="00E8461E">
        <w:rPr>
          <w:lang w:val="en-GB"/>
        </w:rPr>
        <w:t>variations</w:t>
      </w:r>
      <w:bookmarkEnd w:id="141"/>
      <w:bookmarkEnd w:id="142"/>
      <w:bookmarkEnd w:id="143"/>
      <w:bookmarkEnd w:id="144"/>
      <w:bookmarkEnd w:id="145"/>
      <w:proofErr w:type="gramEnd"/>
    </w:p>
    <w:p w14:paraId="1A7AD597" w14:textId="77777777" w:rsidR="00753D53" w:rsidRPr="00E8461E" w:rsidRDefault="00A60BCB" w:rsidP="00A60BCB">
      <w:pPr>
        <w:rPr>
          <w:lang w:val="en-GB"/>
        </w:rPr>
      </w:pPr>
      <w:r w:rsidRPr="00E8461E">
        <w:rPr>
          <w:lang w:val="en-GB"/>
        </w:rPr>
        <w:t>Opportunities to reduce emissions by providing value-based care are increasingly being recognised, including by avoiding overdiagnosis, overtreatment and unnecessary imaging and pathology tests.</w:t>
      </w:r>
      <w:r w:rsidRPr="00E8461E">
        <w:rPr>
          <w:rStyle w:val="EndnoteReference"/>
          <w:lang w:val="en-GB"/>
        </w:rPr>
        <w:endnoteReference w:id="125"/>
      </w:r>
      <w:r w:rsidRPr="00E8461E">
        <w:rPr>
          <w:lang w:val="en-GB"/>
        </w:rPr>
        <w:t xml:space="preserve"> Improving health care management will improve patient outcomes and help to avoid ‘adverse events’ such as medication errors and hospital-acquired infections, which increase the duration of hospital stays and associated emissions.</w:t>
      </w:r>
      <w:r w:rsidRPr="00E8461E">
        <w:rPr>
          <w:rStyle w:val="EndnoteReference"/>
          <w:lang w:val="en-GB"/>
        </w:rPr>
        <w:endnoteReference w:id="126"/>
      </w:r>
    </w:p>
    <w:p w14:paraId="6727C999" w14:textId="75433366" w:rsidR="00A60BCB" w:rsidRPr="00E8461E" w:rsidRDefault="00A60BCB" w:rsidP="00A60BCB">
      <w:pPr>
        <w:rPr>
          <w:lang w:val="en-GB"/>
        </w:rPr>
      </w:pPr>
      <w:r w:rsidRPr="00E8461E">
        <w:rPr>
          <w:lang w:val="en-GB"/>
        </w:rPr>
        <w:t>Low value care is defined as healthcare interventions with a risk of harm and uncertain or no benefit. This can be at an individual level for the patient, or at a health system level for specific populations when resources are not targeted to those with the greatest clinical need. Assumptions about what might be considered low value care must be aligned with the self-determined health priorities of First Nations communities. Appropriate care reduces waste and can lead to more equitable health care delivery by prioritising health care for people who need it most.</w:t>
      </w:r>
    </w:p>
    <w:p w14:paraId="1B95B96B" w14:textId="1774A43D" w:rsidR="00A60BCB" w:rsidRPr="00E8461E" w:rsidRDefault="00A60BCB" w:rsidP="00A60BCB">
      <w:pPr>
        <w:rPr>
          <w:lang w:val="en-GB"/>
        </w:rPr>
      </w:pPr>
      <w:r w:rsidRPr="00E8461E">
        <w:rPr>
          <w:lang w:val="en-GB"/>
        </w:rPr>
        <w:lastRenderedPageBreak/>
        <w:t>There is some evidence in areas of healthcare such as mental health and orthopaedics, that for some health conditions, treatments such as exercise programs and physical activity provide equal or superior health outcomes, when compared with medication or surgery. They also have fewer risks and side-effects and are low cost and low carbon.</w:t>
      </w:r>
      <w:r w:rsidRPr="00E8461E">
        <w:rPr>
          <w:rStyle w:val="EndnoteReference"/>
          <w:lang w:val="en-GB"/>
        </w:rPr>
        <w:endnoteReference w:id="127"/>
      </w:r>
      <w:r w:rsidRPr="00E8461E">
        <w:rPr>
          <w:vertAlign w:val="superscript"/>
          <w:lang w:val="en-GB"/>
        </w:rPr>
        <w:t>,</w:t>
      </w:r>
      <w:r w:rsidRPr="00E8461E">
        <w:rPr>
          <w:rStyle w:val="EndnoteReference"/>
          <w:lang w:val="en-GB"/>
        </w:rPr>
        <w:endnoteReference w:id="128"/>
      </w:r>
      <w:r w:rsidRPr="00E8461E">
        <w:rPr>
          <w:lang w:val="en-GB"/>
        </w:rPr>
        <w:t xml:space="preserve"> In these cases, non-pharmacological and non-procedural options should be given greater consideration in treatment plans.</w:t>
      </w:r>
    </w:p>
    <w:p w14:paraId="7219EF0D" w14:textId="5EB608BE" w:rsidR="00A60BCB" w:rsidRPr="00E8461E" w:rsidRDefault="00A60BCB" w:rsidP="00A60BCB">
      <w:pPr>
        <w:rPr>
          <w:lang w:val="en-GB"/>
        </w:rPr>
      </w:pPr>
      <w:r w:rsidRPr="00E8461E">
        <w:rPr>
          <w:lang w:val="en-GB"/>
        </w:rPr>
        <w:t>Variations in the level of care delivery should not necessarily be seen as a negative. It may be appropriate if such differences reflect health services responding to</w:t>
      </w:r>
      <w:r w:rsidR="00A32757" w:rsidRPr="00E8461E">
        <w:rPr>
          <w:lang w:val="en-GB"/>
        </w:rPr>
        <w:t xml:space="preserve"> inequities, or</w:t>
      </w:r>
      <w:r w:rsidRPr="00E8461E">
        <w:rPr>
          <w:lang w:val="en-GB"/>
        </w:rPr>
        <w:t xml:space="preserve"> differences in patient preferences or underlying needs. When a difference in the use of health services does not reflect these factors, it is unwarranted variation and represents an opportunity for the health system to improve.</w:t>
      </w:r>
    </w:p>
    <w:p w14:paraId="349EE3BE" w14:textId="7334C7E2" w:rsidR="00A60BCB" w:rsidRPr="00E8461E" w:rsidRDefault="00A60BCB" w:rsidP="00A60BCB">
      <w:pPr>
        <w:rPr>
          <w:rFonts w:cstheme="minorHAnsi"/>
          <w:lang w:val="en-GB"/>
        </w:rPr>
      </w:pPr>
      <w:r w:rsidRPr="00E8461E">
        <w:rPr>
          <w:lang w:val="en-GB"/>
        </w:rPr>
        <w:t>The Australian Atlas of Healthcare Variation series, published by the Australian Commission on Safety and Quality in Health Care</w:t>
      </w:r>
      <w:r w:rsidR="0030236B" w:rsidRPr="00E8461E">
        <w:rPr>
          <w:lang w:val="en-GB"/>
        </w:rPr>
        <w:t>,</w:t>
      </w:r>
      <w:r w:rsidRPr="00E8461E">
        <w:rPr>
          <w:lang w:val="en-GB"/>
        </w:rPr>
        <w:t xml:space="preserve"> maps the use of health care according to where people live, providing data and direction for health services to identify and address unwarranted variation and improve the appropriateness of care.</w:t>
      </w:r>
      <w:bookmarkStart w:id="146" w:name="_Ref144975312"/>
      <w:r w:rsidRPr="00E8461E">
        <w:rPr>
          <w:rStyle w:val="EndnoteReference"/>
          <w:lang w:val="en-GB"/>
        </w:rPr>
        <w:endnoteReference w:id="129"/>
      </w:r>
      <w:bookmarkEnd w:id="146"/>
    </w:p>
    <w:p w14:paraId="094CC140" w14:textId="1413F4AA" w:rsidR="00A60BCB" w:rsidRPr="00E8461E" w:rsidRDefault="00A60BCB" w:rsidP="00A60BCB">
      <w:pPr>
        <w:rPr>
          <w:lang w:val="en-GB"/>
        </w:rPr>
      </w:pPr>
      <w:r w:rsidRPr="00E8461E">
        <w:rPr>
          <w:lang w:val="en-GB"/>
        </w:rPr>
        <w:t>Inappropriate antimicrobial use is low value care because it increases the risk of antimicrobial resistance and infection caused by antimicrobial resistant organisms, increasing the need for hospitalisation. The forthcoming Australian report on antimicrobial use in human health</w:t>
      </w:r>
      <w:r w:rsidRPr="00E8461E">
        <w:rPr>
          <w:rFonts w:ascii="Arial" w:hAnsi="Arial" w:cs="Arial"/>
          <w:lang w:val="en-GB"/>
        </w:rPr>
        <w:t xml:space="preserve"> </w:t>
      </w:r>
      <w:r w:rsidRPr="00E8461E">
        <w:rPr>
          <w:lang w:val="en-GB"/>
        </w:rPr>
        <w:t>shows antimicrobial use in Australian hospitals is higher than in Canada and comparable European countries.</w:t>
      </w:r>
      <w:r w:rsidRPr="00E8461E">
        <w:rPr>
          <w:rStyle w:val="EndnoteReference"/>
          <w:lang w:val="en-GB"/>
        </w:rPr>
        <w:endnoteReference w:id="130"/>
      </w:r>
    </w:p>
    <w:p w14:paraId="2F5F263A" w14:textId="77777777" w:rsidR="003A3AE0" w:rsidRPr="00E8461E" w:rsidRDefault="003A3AE0" w:rsidP="00D80EFD">
      <w:pPr>
        <w:pStyle w:val="Heading4"/>
        <w:rPr>
          <w:iCs w:val="0"/>
        </w:rPr>
      </w:pPr>
      <w:r w:rsidRPr="00E8461E">
        <w:rPr>
          <w:iCs w:val="0"/>
        </w:rPr>
        <w:t>Case study 7</w:t>
      </w:r>
    </w:p>
    <w:p w14:paraId="704A462D" w14:textId="77777777" w:rsidR="003A3AE0" w:rsidRPr="00E8461E" w:rsidRDefault="003A3AE0" w:rsidP="003A3AE0">
      <w:pPr>
        <w:rPr>
          <w:b/>
          <w:bCs/>
          <w:lang w:val="en-GB"/>
        </w:rPr>
      </w:pPr>
      <w:r w:rsidRPr="00E8461E">
        <w:rPr>
          <w:b/>
          <w:bCs/>
          <w:lang w:val="en-GB"/>
        </w:rPr>
        <w:t>Addressing low value care in emergency departments</w:t>
      </w:r>
    </w:p>
    <w:p w14:paraId="6C7314A5" w14:textId="77777777" w:rsidR="003A3AE0" w:rsidRPr="00E8461E" w:rsidRDefault="003A3AE0" w:rsidP="003A3AE0">
      <w:pPr>
        <w:rPr>
          <w:lang w:val="en-GB"/>
        </w:rPr>
      </w:pPr>
      <w:r w:rsidRPr="00E8461E">
        <w:rPr>
          <w:lang w:val="en-GB"/>
        </w:rPr>
        <w:t xml:space="preserve">In 2022, a team within the Royal Melbourne Hospital Emergency Department identified arterial blood gas testing and coagulation profile testing were routinely being undertaken when not required. In response, the team embarked on a systematic review, out of which educational materials were developed to differentiate between patients who did and did not need these tests. These materials were strategically positioned within the Emergency </w:t>
      </w:r>
      <w:proofErr w:type="gramStart"/>
      <w:r w:rsidRPr="00E8461E">
        <w:rPr>
          <w:lang w:val="en-GB"/>
        </w:rPr>
        <w:t>Department, and</w:t>
      </w:r>
      <w:proofErr w:type="gramEnd"/>
      <w:r w:rsidRPr="00E8461E">
        <w:rPr>
          <w:lang w:val="en-GB"/>
        </w:rPr>
        <w:t xml:space="preserve"> were incorporated into the department’s educational initiatives using ‘Choosing Wisely’ principles.</w:t>
      </w:r>
    </w:p>
    <w:p w14:paraId="15EBF827" w14:textId="77777777" w:rsidR="003A3AE0" w:rsidRPr="00E8461E" w:rsidRDefault="003A3AE0" w:rsidP="003A3AE0">
      <w:pPr>
        <w:rPr>
          <w:lang w:val="en-GB"/>
        </w:rPr>
      </w:pPr>
      <w:r w:rsidRPr="00E8461E">
        <w:rPr>
          <w:lang w:val="en-GB"/>
        </w:rPr>
        <w:t>As a result of this initiative, over 1200 unnecessary blood tests were avoided each month, corresponding to annual cost savings of $240,000 and emissions reductions of 900kg CO</w:t>
      </w:r>
      <w:r w:rsidRPr="00E8461E">
        <w:rPr>
          <w:vertAlign w:val="subscript"/>
          <w:lang w:val="en-GB"/>
        </w:rPr>
        <w:t>2</w:t>
      </w:r>
      <w:r w:rsidRPr="00E8461E">
        <w:rPr>
          <w:lang w:val="en-GB"/>
        </w:rPr>
        <w:t>-e.</w:t>
      </w:r>
      <w:r w:rsidRPr="00E8461E">
        <w:rPr>
          <w:rStyle w:val="EndnoteReference"/>
          <w:lang w:val="en-GB"/>
        </w:rPr>
        <w:endnoteReference w:id="131"/>
      </w:r>
    </w:p>
    <w:p w14:paraId="5C9DDE1F" w14:textId="189BAD89" w:rsidR="003A3AE0" w:rsidRPr="00E8461E" w:rsidRDefault="003A3AE0" w:rsidP="003A3AE0">
      <w:pPr>
        <w:pBdr>
          <w:bottom w:val="single" w:sz="12" w:space="1" w:color="008A95" w:themeColor="accent1"/>
        </w:pBdr>
        <w:rPr>
          <w:lang w:val="en-GB"/>
        </w:rPr>
      </w:pPr>
      <w:r w:rsidRPr="00E8461E">
        <w:rPr>
          <w:lang w:val="en-GB"/>
        </w:rPr>
        <w:t>This work served as an inspiration, fostering a culture of innovative problem-solving within the Emergency Department. Projects following a similar model have been initiated subsequently. This initiative underscores the importance of evidence-based practice in reducing low value care.</w:t>
      </w:r>
    </w:p>
    <w:p w14:paraId="730EC29A" w14:textId="39A07ECD" w:rsidR="00A60BCB" w:rsidRPr="00E8461E" w:rsidRDefault="00A60BCB" w:rsidP="00A60BCB">
      <w:pPr>
        <w:rPr>
          <w:lang w:val="en-GB"/>
        </w:rPr>
      </w:pPr>
      <w:r w:rsidRPr="00E8461E">
        <w:rPr>
          <w:lang w:val="en-GB"/>
        </w:rPr>
        <w:t>The selection of strategies to reduce low value care should be tailored to account for contextual factors relevant to the different tests and treatments being targeted, and closely involve health professionals, patients, and consumers.</w:t>
      </w:r>
      <w:r w:rsidRPr="00E8461E">
        <w:rPr>
          <w:rStyle w:val="EndnoteReference"/>
          <w:lang w:val="en-GB"/>
        </w:rPr>
        <w:endnoteReference w:id="132"/>
      </w:r>
      <w:r w:rsidRPr="00E8461E">
        <w:rPr>
          <w:lang w:val="en-GB"/>
        </w:rPr>
        <w:t xml:space="preserve"> The Commission has published guidance to address unwarranted variation, including a </w:t>
      </w:r>
      <w:hyperlink r:id="rId35" w:history="1">
        <w:r w:rsidRPr="00E8461E">
          <w:rPr>
            <w:lang w:val="en-GB"/>
          </w:rPr>
          <w:t>User Guide</w:t>
        </w:r>
        <w:r w:rsidRPr="00E8461E">
          <w:rPr>
            <w:rStyle w:val="EndnoteReference"/>
            <w:lang w:val="en-GB"/>
          </w:rPr>
          <w:endnoteReference w:id="133"/>
        </w:r>
        <w:r w:rsidRPr="00E8461E">
          <w:rPr>
            <w:lang w:val="en-GB"/>
          </w:rPr>
          <w:t xml:space="preserve"> for reviewing clinical variation</w:t>
        </w:r>
      </w:hyperlink>
      <w:r w:rsidRPr="00E8461E">
        <w:rPr>
          <w:lang w:val="en-GB"/>
        </w:rPr>
        <w:t xml:space="preserve">. Health professional organisations are also working to provide better care and ensure better use of healthcare resources through initiatives such as the RACP Evolve program and the RACGP’s </w:t>
      </w:r>
      <w:r w:rsidR="00BB3490" w:rsidRPr="00E8461E">
        <w:rPr>
          <w:lang w:val="en-GB"/>
        </w:rPr>
        <w:t>‘</w:t>
      </w:r>
      <w:r w:rsidRPr="00E8461E">
        <w:rPr>
          <w:lang w:val="en-GB"/>
        </w:rPr>
        <w:t>First do no harm: A guide to choosing wisely in general practice</w:t>
      </w:r>
      <w:r w:rsidR="00BB3490" w:rsidRPr="00E8461E">
        <w:rPr>
          <w:lang w:val="en-GB"/>
        </w:rPr>
        <w:t>’</w:t>
      </w:r>
      <w:r w:rsidRPr="00E8461E">
        <w:rPr>
          <w:lang w:val="en-GB"/>
        </w:rPr>
        <w:t>.</w:t>
      </w:r>
      <w:r w:rsidRPr="00E8461E">
        <w:rPr>
          <w:rStyle w:val="EndnoteReference"/>
          <w:lang w:val="en-GB"/>
        </w:rPr>
        <w:endnoteReference w:id="134"/>
      </w:r>
      <w:r w:rsidRPr="00E8461E">
        <w:rPr>
          <w:vertAlign w:val="superscript"/>
          <w:lang w:val="en-GB"/>
        </w:rPr>
        <w:t>,</w:t>
      </w:r>
      <w:r w:rsidRPr="00E8461E">
        <w:rPr>
          <w:rStyle w:val="EndnoteReference"/>
          <w:lang w:val="en-GB"/>
        </w:rPr>
        <w:endnoteReference w:id="135"/>
      </w:r>
      <w:r w:rsidRPr="00E8461E">
        <w:rPr>
          <w:lang w:val="en-GB"/>
        </w:rPr>
        <w:t xml:space="preserve"> Work to reduce low</w:t>
      </w:r>
      <w:r w:rsidR="00F9052C" w:rsidRPr="00E8461E">
        <w:rPr>
          <w:lang w:val="en-GB"/>
        </w:rPr>
        <w:t xml:space="preserve"> </w:t>
      </w:r>
      <w:r w:rsidRPr="00E8461E">
        <w:rPr>
          <w:lang w:val="en-GB"/>
        </w:rPr>
        <w:t>value care arising from this Strategy will seek to complement these existing initiatives.</w:t>
      </w:r>
    </w:p>
    <w:p w14:paraId="2CC1E7D8" w14:textId="77777777" w:rsidR="003A3AE0" w:rsidRPr="00E8461E" w:rsidRDefault="003A3AE0" w:rsidP="00D80EFD">
      <w:pPr>
        <w:pStyle w:val="Heading4"/>
        <w:rPr>
          <w:iCs w:val="0"/>
        </w:rPr>
      </w:pPr>
      <w:r w:rsidRPr="00E8461E">
        <w:rPr>
          <w:iCs w:val="0"/>
        </w:rPr>
        <w:lastRenderedPageBreak/>
        <w:t>Action 4.6</w:t>
      </w:r>
    </w:p>
    <w:p w14:paraId="25E80FAE" w14:textId="77777777" w:rsidR="003A3AE0" w:rsidRPr="00E8461E" w:rsidRDefault="003A3AE0" w:rsidP="003A3AE0">
      <w:pPr>
        <w:rPr>
          <w:lang w:val="en-GB"/>
        </w:rPr>
      </w:pPr>
      <w:r w:rsidRPr="00E8461E">
        <w:rPr>
          <w:b/>
          <w:lang w:val="en-GB"/>
        </w:rPr>
        <w:t>Tackling unwarranted variations in clinical governance</w:t>
      </w:r>
    </w:p>
    <w:p w14:paraId="52AE4141" w14:textId="77777777" w:rsidR="003A3AE0" w:rsidRPr="00E8461E" w:rsidDel="00601622" w:rsidRDefault="003A3AE0" w:rsidP="003A3AE0">
      <w:pPr>
        <w:rPr>
          <w:lang w:val="en-GB"/>
        </w:rPr>
      </w:pPr>
      <w:r w:rsidRPr="00E8461E" w:rsidDel="00601622">
        <w:rPr>
          <w:lang w:val="en-GB"/>
        </w:rPr>
        <w:t>The Australian Commission on Safety and Quality in Health Care will develop guidance for health service organisation</w:t>
      </w:r>
      <w:r w:rsidRPr="00E8461E">
        <w:rPr>
          <w:lang w:val="en-GB"/>
        </w:rPr>
        <w:t>s’</w:t>
      </w:r>
      <w:r w:rsidRPr="00E8461E" w:rsidDel="00601622">
        <w:rPr>
          <w:lang w:val="en-GB"/>
        </w:rPr>
        <w:t xml:space="preserve"> governing bodies and leadership teams </w:t>
      </w:r>
      <w:r w:rsidRPr="00E8461E">
        <w:rPr>
          <w:lang w:val="en-GB"/>
        </w:rPr>
        <w:t>on the delivery of appropriate, high value care, focusing on reducing unwarranted healthcare variation and low value care by prescribing:</w:t>
      </w:r>
    </w:p>
    <w:p w14:paraId="020A398D" w14:textId="77777777" w:rsidR="003A3AE0" w:rsidRPr="00E8461E" w:rsidRDefault="003A3AE0" w:rsidP="003A3AE0">
      <w:pPr>
        <w:pStyle w:val="BulletUnindented"/>
      </w:pPr>
      <w:r w:rsidRPr="00E8461E">
        <w:t xml:space="preserve">Model roles, responsibilities and accountabilities of members of governing bodies and leadership teams for delivering appropriate </w:t>
      </w:r>
      <w:proofErr w:type="gramStart"/>
      <w:r w:rsidRPr="00E8461E">
        <w:t>care</w:t>
      </w:r>
      <w:proofErr w:type="gramEnd"/>
    </w:p>
    <w:p w14:paraId="5D4E8F04" w14:textId="77777777" w:rsidR="003A3AE0" w:rsidRPr="00E8461E" w:rsidRDefault="003A3AE0" w:rsidP="003A3AE0">
      <w:pPr>
        <w:pStyle w:val="BulletUnindented"/>
      </w:pPr>
      <w:r w:rsidRPr="00E8461E">
        <w:t xml:space="preserve">Approaches to identify, measure and address unwarranted healthcare variation in line with an organisation’s risk management </w:t>
      </w:r>
      <w:proofErr w:type="gramStart"/>
      <w:r w:rsidRPr="00E8461E">
        <w:t>framework</w:t>
      </w:r>
      <w:proofErr w:type="gramEnd"/>
    </w:p>
    <w:p w14:paraId="545338ED" w14:textId="77777777" w:rsidR="003A3AE0" w:rsidRPr="00E8461E" w:rsidRDefault="003A3AE0" w:rsidP="003A3AE0">
      <w:pPr>
        <w:pStyle w:val="BulletUnindented"/>
      </w:pPr>
      <w:r w:rsidRPr="00E8461E">
        <w:t xml:space="preserve">A framework to invest, disinvest and reinvest resources to improve outcomes and shift resources from lower value to higher value </w:t>
      </w:r>
      <w:proofErr w:type="gramStart"/>
      <w:r w:rsidRPr="00E8461E">
        <w:t>activity</w:t>
      </w:r>
      <w:proofErr w:type="gramEnd"/>
    </w:p>
    <w:p w14:paraId="5D2D4521" w14:textId="2A031BEE" w:rsidR="003A3AE0" w:rsidRPr="00E8461E" w:rsidRDefault="003A3AE0" w:rsidP="003A3AE0">
      <w:pPr>
        <w:pStyle w:val="BulletUnindented"/>
        <w:pBdr>
          <w:bottom w:val="single" w:sz="12" w:space="1" w:color="008A95" w:themeColor="accent1"/>
        </w:pBdr>
      </w:pPr>
      <w:r w:rsidRPr="00E8461E">
        <w:t>Strategies to support monitoring and evaluation of local approaches to reducing low value care.</w:t>
      </w:r>
    </w:p>
    <w:p w14:paraId="152A0209" w14:textId="1E988D1A" w:rsidR="000227C5" w:rsidRPr="00E8461E" w:rsidRDefault="000227C5" w:rsidP="00A60BCB">
      <w:pPr>
        <w:rPr>
          <w:lang w:val="en-GB"/>
        </w:rPr>
      </w:pPr>
    </w:p>
    <w:p w14:paraId="446425D5" w14:textId="77777777" w:rsidR="003A3AE0" w:rsidRPr="00E8461E" w:rsidRDefault="003A3AE0" w:rsidP="00D80EFD">
      <w:pPr>
        <w:pStyle w:val="Heading4"/>
        <w:rPr>
          <w:iCs w:val="0"/>
        </w:rPr>
      </w:pPr>
      <w:r w:rsidRPr="00E8461E">
        <w:rPr>
          <w:iCs w:val="0"/>
        </w:rPr>
        <w:t>Action 4.7</w:t>
      </w:r>
    </w:p>
    <w:p w14:paraId="510C2908" w14:textId="77777777" w:rsidR="003A3AE0" w:rsidRPr="00E8461E" w:rsidRDefault="003A3AE0" w:rsidP="003A3AE0">
      <w:pPr>
        <w:rPr>
          <w:b/>
          <w:lang w:val="en-GB"/>
        </w:rPr>
      </w:pPr>
      <w:r w:rsidRPr="00E8461E">
        <w:rPr>
          <w:b/>
          <w:lang w:val="en-GB"/>
        </w:rPr>
        <w:t>Tackling unwarranted variations with health service organisations</w:t>
      </w:r>
    </w:p>
    <w:p w14:paraId="5A8EEAC7" w14:textId="77777777" w:rsidR="003A3AE0" w:rsidRPr="00E8461E" w:rsidRDefault="003A3AE0" w:rsidP="003A3AE0">
      <w:pPr>
        <w:rPr>
          <w:lang w:val="en-GB"/>
        </w:rPr>
      </w:pPr>
      <w:r w:rsidRPr="00E8461E">
        <w:rPr>
          <w:lang w:val="en-GB"/>
        </w:rPr>
        <w:t xml:space="preserve">The Australian Commission on Safety and Quality in Health Care and the </w:t>
      </w:r>
      <w:r w:rsidRPr="00E8461E">
        <w:rPr>
          <w:rFonts w:cs="Times New Roman"/>
        </w:rPr>
        <w:t>Australian Government</w:t>
      </w:r>
      <w:r w:rsidRPr="00E8461E">
        <w:rPr>
          <w:lang w:val="en-GB"/>
        </w:rPr>
        <w:t xml:space="preserve"> will work together to identify opportunities to support health service organisations reduce unwarranted healthcare variation and low value care by:</w:t>
      </w:r>
    </w:p>
    <w:p w14:paraId="37D1AA16" w14:textId="77777777" w:rsidR="003A3AE0" w:rsidRPr="00E8461E" w:rsidRDefault="003A3AE0" w:rsidP="003A3AE0">
      <w:pPr>
        <w:pStyle w:val="BulletUnindented"/>
      </w:pPr>
      <w:r w:rsidRPr="00E8461E">
        <w:t xml:space="preserve">Identifying clinical priority areas where there is evidence of low value care or unwarranted healthcare variation and take action to align care with evidence-based </w:t>
      </w:r>
      <w:proofErr w:type="gramStart"/>
      <w:r w:rsidRPr="00E8461E">
        <w:t>practice</w:t>
      </w:r>
      <w:proofErr w:type="gramEnd"/>
    </w:p>
    <w:p w14:paraId="0176E703" w14:textId="77777777" w:rsidR="003A3AE0" w:rsidRPr="00E8461E" w:rsidRDefault="003A3AE0" w:rsidP="003A3AE0">
      <w:pPr>
        <w:pStyle w:val="BulletUnindented"/>
      </w:pPr>
      <w:r w:rsidRPr="00E8461E">
        <w:t xml:space="preserve">Developing measures to review the appropriateness of healthcare delivery with patient-reported outcome measures and patient-reported experience </w:t>
      </w:r>
      <w:proofErr w:type="gramStart"/>
      <w:r w:rsidRPr="00E8461E">
        <w:t>measures</w:t>
      </w:r>
      <w:proofErr w:type="gramEnd"/>
    </w:p>
    <w:p w14:paraId="2901EE74" w14:textId="1DC5F9EF" w:rsidR="003A3AE0" w:rsidRPr="00E8461E" w:rsidRDefault="003A3AE0" w:rsidP="003A3AE0">
      <w:pPr>
        <w:pStyle w:val="BulletUnindented"/>
      </w:pPr>
      <w:r w:rsidRPr="00E8461E">
        <w:t xml:space="preserve">Describing stewardship programs for the quality use of medicines to reduce overuse and inappropriate </w:t>
      </w:r>
      <w:proofErr w:type="gramStart"/>
      <w:r w:rsidRPr="00E8461E">
        <w:t>prescribing</w:t>
      </w:r>
      <w:proofErr w:type="gramEnd"/>
    </w:p>
    <w:p w14:paraId="5D69F18A" w14:textId="7D8D18EB" w:rsidR="003A3AE0" w:rsidRPr="00E8461E" w:rsidRDefault="003A3AE0" w:rsidP="003A3AE0">
      <w:pPr>
        <w:pStyle w:val="BulletUnindented"/>
      </w:pPr>
      <w:r w:rsidRPr="00E8461E">
        <w:t>Developing a framework and tools to monitor and evaluate systems for providing and improving the appropriateness of care.</w:t>
      </w:r>
    </w:p>
    <w:p w14:paraId="578269A3" w14:textId="7BDA6EE2" w:rsidR="00A60BCB" w:rsidRPr="00E8461E" w:rsidRDefault="00162E01" w:rsidP="00CE2599">
      <w:pPr>
        <w:pStyle w:val="Heading2"/>
        <w:rPr>
          <w:lang w:val="en-GB"/>
        </w:rPr>
      </w:pPr>
      <w:bookmarkStart w:id="151" w:name="_Toc147086749"/>
      <w:bookmarkStart w:id="152" w:name="_Toc147502200"/>
      <w:bookmarkStart w:id="153" w:name="_Toc149909986"/>
      <w:bookmarkStart w:id="154" w:name="_Toc149918451"/>
      <w:bookmarkStart w:id="155" w:name="_Toc151999632"/>
      <w:r w:rsidRPr="00E8461E">
        <w:rPr>
          <w:lang w:val="en-GB"/>
        </w:rPr>
        <w:t>4</w:t>
      </w:r>
      <w:r w:rsidR="00A60BCB" w:rsidRPr="00E8461E">
        <w:rPr>
          <w:lang w:val="en-GB"/>
        </w:rPr>
        <w:t>.5</w:t>
      </w:r>
      <w:r w:rsidR="00A60BCB" w:rsidRPr="00E8461E" w:rsidDel="002C2D3C">
        <w:rPr>
          <w:lang w:val="en-GB"/>
        </w:rPr>
        <w:t xml:space="preserve"> </w:t>
      </w:r>
      <w:r w:rsidR="00A60BCB" w:rsidRPr="00E8461E">
        <w:rPr>
          <w:lang w:val="en-GB"/>
        </w:rPr>
        <w:t xml:space="preserve">Reducing greenhouse gas emissions from the delivery of </w:t>
      </w:r>
      <w:proofErr w:type="gramStart"/>
      <w:r w:rsidR="00A60BCB" w:rsidRPr="00E8461E">
        <w:rPr>
          <w:lang w:val="en-GB"/>
        </w:rPr>
        <w:t>care</w:t>
      </w:r>
      <w:bookmarkEnd w:id="151"/>
      <w:bookmarkEnd w:id="152"/>
      <w:bookmarkEnd w:id="153"/>
      <w:bookmarkEnd w:id="154"/>
      <w:bookmarkEnd w:id="155"/>
      <w:proofErr w:type="gramEnd"/>
    </w:p>
    <w:p w14:paraId="411B6B9B" w14:textId="77777777" w:rsidR="00A60BCB" w:rsidRPr="00E8461E" w:rsidRDefault="00A60BCB" w:rsidP="00A60BCB">
      <w:pPr>
        <w:rPr>
          <w:rStyle w:val="Heading4Char"/>
          <w:rFonts w:eastAsiaTheme="minorHAnsi" w:cstheme="minorBidi"/>
          <w:b w:val="0"/>
          <w:iCs w:val="0"/>
          <w:color w:val="auto"/>
        </w:rPr>
      </w:pPr>
      <w:r w:rsidRPr="00E8461E">
        <w:rPr>
          <w:lang w:val="en-GB"/>
        </w:rPr>
        <w:t xml:space="preserve">In addition to reducing health system emissions by preventing ill health and reducing the delivery of inappropriate care, delivery of appropriate care needs to be decarbonised. This section first outlines work to understand emissions for different patient pathways. Second, it discusses different sources of emissions in health and aged care, and action to address them – for the built environment, </w:t>
      </w:r>
      <w:proofErr w:type="gramStart"/>
      <w:r w:rsidRPr="00E8461E">
        <w:rPr>
          <w:lang w:val="en-GB"/>
        </w:rPr>
        <w:t>energy</w:t>
      </w:r>
      <w:proofErr w:type="gramEnd"/>
      <w:r w:rsidRPr="00E8461E">
        <w:rPr>
          <w:lang w:val="en-GB"/>
        </w:rPr>
        <w:t xml:space="preserve"> and water; travel and transport; medicines and gases; food and catering; waste and resource use; and in the supply chain.</w:t>
      </w:r>
    </w:p>
    <w:p w14:paraId="53FBE788" w14:textId="0479FF26" w:rsidR="00A60BCB" w:rsidRPr="00E8461E" w:rsidRDefault="00801482" w:rsidP="00571F10">
      <w:pPr>
        <w:pStyle w:val="Heading3"/>
      </w:pPr>
      <w:bookmarkStart w:id="156" w:name="_Toc149909987"/>
      <w:bookmarkStart w:id="157" w:name="_Toc149918452"/>
      <w:r w:rsidRPr="00E8461E">
        <w:rPr>
          <w:rStyle w:val="Heading4Char"/>
          <w:b/>
          <w:iCs w:val="0"/>
        </w:rPr>
        <w:lastRenderedPageBreak/>
        <w:t>4</w:t>
      </w:r>
      <w:r w:rsidR="00A60BCB" w:rsidRPr="00E8461E">
        <w:rPr>
          <w:rStyle w:val="Heading4Char"/>
          <w:b/>
          <w:iCs w:val="0"/>
        </w:rPr>
        <w:t>.5.1 Understanding emissions from clinical care</w:t>
      </w:r>
      <w:bookmarkEnd w:id="156"/>
      <w:bookmarkEnd w:id="157"/>
    </w:p>
    <w:p w14:paraId="01EE3E87" w14:textId="5979FBD7" w:rsidR="008821D3" w:rsidRPr="00E8461E" w:rsidRDefault="00A60BCB" w:rsidP="00A60BCB">
      <w:pPr>
        <w:rPr>
          <w:lang w:val="en-GB"/>
        </w:rPr>
      </w:pPr>
      <w:r w:rsidRPr="00E8461E">
        <w:rPr>
          <w:lang w:val="en-GB"/>
        </w:rPr>
        <w:t xml:space="preserve">A model of care defines the way health services are delivered, incorporating best practice care and services for a person, population group or patient cohort as they progress through the stages of a condition, </w:t>
      </w:r>
      <w:proofErr w:type="gramStart"/>
      <w:r w:rsidRPr="00E8461E">
        <w:rPr>
          <w:lang w:val="en-GB"/>
        </w:rPr>
        <w:t>injury</w:t>
      </w:r>
      <w:proofErr w:type="gramEnd"/>
      <w:r w:rsidRPr="00E8461E">
        <w:rPr>
          <w:lang w:val="en-GB"/>
        </w:rPr>
        <w:t xml:space="preserve"> or event. A model of care aims to ensure people get the right care, at the right time, by the right team and in the right place</w:t>
      </w:r>
      <w:r w:rsidRPr="00E8461E">
        <w:rPr>
          <w:rStyle w:val="EndnoteReference"/>
          <w:lang w:val="en-GB"/>
        </w:rPr>
        <w:endnoteReference w:id="136"/>
      </w:r>
      <w:r w:rsidR="004F7F2C" w:rsidRPr="00E8461E">
        <w:rPr>
          <w:lang w:val="en-GB"/>
        </w:rPr>
        <w:t xml:space="preserve"> </w:t>
      </w:r>
      <w:r w:rsidR="006F6176" w:rsidRPr="00E8461E">
        <w:rPr>
          <w:lang w:val="en-GB"/>
        </w:rPr>
        <w:t>to ensure the highest quality of care is provided.</w:t>
      </w:r>
      <w:r w:rsidR="00460B85" w:rsidRPr="00E8461E">
        <w:rPr>
          <w:lang w:val="en-GB"/>
        </w:rPr>
        <w:t xml:space="preserve"> Figure</w:t>
      </w:r>
      <w:r w:rsidR="006D1153" w:rsidRPr="00E8461E">
        <w:rPr>
          <w:lang w:val="en-GB"/>
        </w:rPr>
        <w:t xml:space="preserve"> </w:t>
      </w:r>
      <w:r w:rsidR="002C76AD" w:rsidRPr="00E8461E">
        <w:rPr>
          <w:lang w:val="en-GB"/>
        </w:rPr>
        <w:t>9</w:t>
      </w:r>
      <w:r w:rsidR="006D1153" w:rsidRPr="00E8461E">
        <w:rPr>
          <w:lang w:val="en-GB"/>
        </w:rPr>
        <w:t xml:space="preserve"> </w:t>
      </w:r>
      <w:r w:rsidR="00566F9E" w:rsidRPr="00E8461E">
        <w:rPr>
          <w:lang w:val="en-GB"/>
        </w:rPr>
        <w:t xml:space="preserve">presents an example of a care pathway </w:t>
      </w:r>
      <w:r w:rsidR="003F4D02" w:rsidRPr="00E8461E">
        <w:rPr>
          <w:lang w:val="en-GB"/>
        </w:rPr>
        <w:t>for prostate cancer,</w:t>
      </w:r>
      <w:r w:rsidR="00266029" w:rsidRPr="00E8461E">
        <w:rPr>
          <w:lang w:val="en-GB"/>
        </w:rPr>
        <w:t xml:space="preserve"> </w:t>
      </w:r>
      <w:r w:rsidR="00FF4B01" w:rsidRPr="00E8461E">
        <w:rPr>
          <w:lang w:val="en-GB"/>
        </w:rPr>
        <w:t xml:space="preserve">with associated </w:t>
      </w:r>
      <w:r w:rsidR="00BD7C91" w:rsidRPr="00E8461E">
        <w:rPr>
          <w:lang w:val="en-GB"/>
        </w:rPr>
        <w:t xml:space="preserve">potential </w:t>
      </w:r>
      <w:r w:rsidR="00641C2F" w:rsidRPr="00E8461E">
        <w:rPr>
          <w:lang w:val="en-GB"/>
        </w:rPr>
        <w:t>emission</w:t>
      </w:r>
      <w:r w:rsidR="00BD7C91" w:rsidRPr="00E8461E">
        <w:rPr>
          <w:lang w:val="en-GB"/>
        </w:rPr>
        <w:t xml:space="preserve"> hotspots.</w:t>
      </w:r>
    </w:p>
    <w:p w14:paraId="37BF5387" w14:textId="77777777" w:rsidR="008821D3" w:rsidRPr="00E8461E" w:rsidRDefault="008821D3">
      <w:pPr>
        <w:spacing w:after="160" w:line="259" w:lineRule="auto"/>
        <w:rPr>
          <w:lang w:val="en-GB"/>
        </w:rPr>
      </w:pPr>
      <w:r w:rsidRPr="00E8461E">
        <w:rPr>
          <w:lang w:val="en-GB"/>
        </w:rPr>
        <w:br w:type="page"/>
      </w:r>
    </w:p>
    <w:p w14:paraId="60488743" w14:textId="77777777" w:rsidR="00A60BCB" w:rsidRPr="00E8461E" w:rsidRDefault="00A60BCB" w:rsidP="00A60BCB">
      <w:pPr>
        <w:rPr>
          <w:lang w:val="en-GB"/>
        </w:rPr>
      </w:pPr>
    </w:p>
    <w:p w14:paraId="66E45241" w14:textId="336A5B85" w:rsidR="008821D3" w:rsidRPr="00E8461E" w:rsidRDefault="008821D3" w:rsidP="008821D3">
      <w:pPr>
        <w:pStyle w:val="Caption"/>
      </w:pPr>
      <w:r w:rsidRPr="00E8461E">
        <w:t xml:space="preserve">Figure </w:t>
      </w:r>
      <w:r w:rsidR="00B07FA8">
        <w:fldChar w:fldCharType="begin"/>
      </w:r>
      <w:r w:rsidR="00B07FA8">
        <w:instrText xml:space="preserve"> SEQ Figure \* ARABIC </w:instrText>
      </w:r>
      <w:r w:rsidR="00B07FA8">
        <w:fldChar w:fldCharType="separate"/>
      </w:r>
      <w:r w:rsidR="003E7FC6" w:rsidRPr="00E8461E">
        <w:rPr>
          <w:noProof/>
        </w:rPr>
        <w:t>9</w:t>
      </w:r>
      <w:r w:rsidR="00B07FA8">
        <w:rPr>
          <w:noProof/>
        </w:rPr>
        <w:fldChar w:fldCharType="end"/>
      </w:r>
      <w:r w:rsidRPr="00E8461E">
        <w:t xml:space="preserve"> Understanding emissions from clinical care – Prostate Cancer Care Pathway</w:t>
      </w:r>
      <w:r w:rsidRPr="00E8461E">
        <w:rPr>
          <w:noProof/>
          <w:lang w:val="en-GB"/>
        </w:rPr>
        <w:drawing>
          <wp:inline distT="0" distB="0" distL="0" distR="0" wp14:anchorId="3C5A7A19" wp14:editId="1A50BBE4">
            <wp:extent cx="6120130" cy="7846348"/>
            <wp:effectExtent l="0" t="0" r="0" b="2540"/>
            <wp:docPr id="19" name="Picture 19" descr="Understanding emissions from clinical care – prostate cancer care pathway. &#10;The diagram depicts a pathway that reads:&#10;1 Prevention and early detection:&#10;• address lifestyle risk factors&#10;• discuss benefits and harms of screening&#10;2 Presentation, initial investigations and referral&#10;3 Diagnosis, staging and treatment planning&#10;4 Treatment: Establish intent of treatment:&#10;• curative&#10;• anti-cancer therapy to improve quality of life and/or longevity without expectation of cure symptom palliation.&#10;&#10;5 Care after initial treatment and recovery.&#10;&#10;Then the pathway divides into two paths. The first is:&#10;6 Managing recurrent, residual, and metastatic disease&#10;7 End-of-life care.&#10;The second is:&#10;6 Life after canc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derstanding emissions from clinical care – prostate cancer care pathway. &#10;The diagram depicts a pathway that reads:&#10;1 Prevention and early detection:&#10;• address lifestyle risk factors&#10;• discuss benefits and harms of screening&#10;2 Presentation, initial investigations and referral&#10;3 Diagnosis, staging and treatment planning&#10;4 Treatment: Establish intent of treatment:&#10;• curative&#10;• anti-cancer therapy to improve quality of life and/or longevity without expectation of cure symptom palliation.&#10;&#10;5 Care after initial treatment and recovery.&#10;&#10;Then the pathway divides into two paths. The first is:&#10;6 Managing recurrent, residual, and metastatic disease&#10;7 End-of-life care.&#10;The second is:&#10;6 Life after cancer.&#10;"/>
                    <pic:cNvPicPr/>
                  </pic:nvPicPr>
                  <pic:blipFill rotWithShape="1">
                    <a:blip r:embed="rId36" cstate="print">
                      <a:extLst>
                        <a:ext uri="{28A0092B-C50C-407E-A947-70E740481C1C}">
                          <a14:useLocalDpi xmlns:a14="http://schemas.microsoft.com/office/drawing/2010/main" val="0"/>
                        </a:ext>
                      </a:extLst>
                    </a:blip>
                    <a:srcRect t="6045"/>
                    <a:stretch/>
                  </pic:blipFill>
                  <pic:spPr bwMode="auto">
                    <a:xfrm>
                      <a:off x="0" y="0"/>
                      <a:ext cx="6120384" cy="7846674"/>
                    </a:xfrm>
                    <a:prstGeom prst="rect">
                      <a:avLst/>
                    </a:prstGeom>
                    <a:ln>
                      <a:noFill/>
                    </a:ln>
                    <a:extLst>
                      <a:ext uri="{53640926-AAD7-44D8-BBD7-CCE9431645EC}">
                        <a14:shadowObscured xmlns:a14="http://schemas.microsoft.com/office/drawing/2010/main"/>
                      </a:ext>
                    </a:extLst>
                  </pic:spPr>
                </pic:pic>
              </a:graphicData>
            </a:graphic>
          </wp:inline>
        </w:drawing>
      </w:r>
    </w:p>
    <w:p w14:paraId="3803A0D4" w14:textId="77777777" w:rsidR="008821D3" w:rsidRPr="00E8461E" w:rsidRDefault="008821D3" w:rsidP="008821D3">
      <w:r w:rsidRPr="00E8461E">
        <w:t xml:space="preserve">Source: Cancer Council, Optimal Care Pathway </w:t>
      </w:r>
      <w:proofErr w:type="gramStart"/>
      <w:r w:rsidRPr="00E8461E">
        <w:t>For</w:t>
      </w:r>
      <w:proofErr w:type="gramEnd"/>
      <w:r w:rsidRPr="00E8461E">
        <w:t xml:space="preserve"> Men With Prostate Cancer, June 2021.</w:t>
      </w:r>
    </w:p>
    <w:p w14:paraId="5419262F" w14:textId="77777777" w:rsidR="008821D3" w:rsidRPr="00E8461E" w:rsidRDefault="008821D3" w:rsidP="008821D3"/>
    <w:p w14:paraId="3B87ECFC" w14:textId="0AEAA5B9" w:rsidR="00A60BCB" w:rsidRPr="00E8461E" w:rsidRDefault="00A60BCB" w:rsidP="00A60BCB">
      <w:pPr>
        <w:rPr>
          <w:lang w:val="en-GB"/>
        </w:rPr>
      </w:pPr>
      <w:r w:rsidRPr="00E8461E">
        <w:rPr>
          <w:lang w:val="en-GB"/>
        </w:rPr>
        <w:t xml:space="preserve">With growing recognition of the impact of care delivery on climate change, health professionals have begun work to understand how the models of care they adopt can not only </w:t>
      </w:r>
      <w:r w:rsidR="00E27E55" w:rsidRPr="00E8461E">
        <w:rPr>
          <w:lang w:val="en-GB"/>
        </w:rPr>
        <w:t xml:space="preserve">provide </w:t>
      </w:r>
      <w:r w:rsidR="00FC54B7" w:rsidRPr="00E8461E">
        <w:rPr>
          <w:lang w:val="en-GB"/>
        </w:rPr>
        <w:t>high</w:t>
      </w:r>
      <w:r w:rsidR="00B645A0" w:rsidRPr="00E8461E">
        <w:rPr>
          <w:lang w:val="en-GB"/>
        </w:rPr>
        <w:t>-</w:t>
      </w:r>
      <w:r w:rsidR="00FC54B7" w:rsidRPr="00E8461E">
        <w:rPr>
          <w:lang w:val="en-GB"/>
        </w:rPr>
        <w:t xml:space="preserve">quality care and </w:t>
      </w:r>
      <w:r w:rsidRPr="00E8461E">
        <w:rPr>
          <w:lang w:val="en-GB"/>
        </w:rPr>
        <w:t>maximise health outcomes, but also minimise environmental impacts and build climate resilience. There have been many studies examining the</w:t>
      </w:r>
      <w:r w:rsidRPr="00E8461E" w:rsidDel="00BA3A5E">
        <w:rPr>
          <w:lang w:val="en-GB"/>
        </w:rPr>
        <w:t xml:space="preserve"> </w:t>
      </w:r>
      <w:r w:rsidRPr="00E8461E">
        <w:rPr>
          <w:lang w:val="en-GB"/>
        </w:rPr>
        <w:t>emissions footprint of reusable versus disposable products, such as ureteroscopes, central venous catheter insertion kits, and anaesthetic equipment.</w:t>
      </w:r>
      <w:r w:rsidRPr="00E8461E">
        <w:rPr>
          <w:rStyle w:val="EndnoteReference"/>
          <w:lang w:val="en-GB"/>
        </w:rPr>
        <w:endnoteReference w:id="137"/>
      </w:r>
      <w:r w:rsidRPr="00E8461E">
        <w:rPr>
          <w:vertAlign w:val="superscript"/>
          <w:lang w:val="en-GB"/>
        </w:rPr>
        <w:t>,</w:t>
      </w:r>
      <w:r w:rsidRPr="00E8461E">
        <w:rPr>
          <w:rStyle w:val="EndnoteReference"/>
          <w:lang w:val="en-GB"/>
        </w:rPr>
        <w:endnoteReference w:id="138"/>
      </w:r>
      <w:r w:rsidRPr="00E8461E">
        <w:rPr>
          <w:vertAlign w:val="superscript"/>
          <w:lang w:val="en-GB"/>
        </w:rPr>
        <w:t>,</w:t>
      </w:r>
      <w:r w:rsidRPr="00E8461E">
        <w:rPr>
          <w:rStyle w:val="EndnoteReference"/>
          <w:lang w:val="en-GB"/>
        </w:rPr>
        <w:endnoteReference w:id="139"/>
      </w:r>
      <w:r w:rsidRPr="00E8461E">
        <w:rPr>
          <w:lang w:val="en-GB"/>
        </w:rPr>
        <w:t xml:space="preserve"> There are also many studies examining emissions from different approaches to care, for example providing haemodialysis in a centre or a suburban satellite, undertaking skin excisions in clinic or in hospital, and using spinal versus general anaesthesia for a total knee replacement.</w:t>
      </w:r>
      <w:r w:rsidRPr="00E8461E">
        <w:rPr>
          <w:rStyle w:val="EndnoteReference"/>
          <w:lang w:val="en-GB"/>
        </w:rPr>
        <w:endnoteReference w:id="140"/>
      </w:r>
      <w:r w:rsidRPr="00E8461E">
        <w:rPr>
          <w:vertAlign w:val="superscript"/>
          <w:lang w:val="en-GB"/>
        </w:rPr>
        <w:t>,</w:t>
      </w:r>
      <w:r w:rsidRPr="00E8461E">
        <w:rPr>
          <w:rStyle w:val="EndnoteReference"/>
          <w:lang w:val="en-GB"/>
        </w:rPr>
        <w:endnoteReference w:id="141"/>
      </w:r>
      <w:r w:rsidRPr="00E8461E">
        <w:rPr>
          <w:vertAlign w:val="superscript"/>
          <w:lang w:val="en-GB"/>
        </w:rPr>
        <w:t>,</w:t>
      </w:r>
      <w:r w:rsidRPr="00E8461E">
        <w:rPr>
          <w:rStyle w:val="EndnoteReference"/>
          <w:lang w:val="en-GB"/>
        </w:rPr>
        <w:endnoteReference w:id="142"/>
      </w:r>
      <w:r w:rsidRPr="00E8461E">
        <w:rPr>
          <w:lang w:val="en-GB"/>
        </w:rPr>
        <w:t xml:space="preserve"> There has also been work to change the way in which care is delivered. For example, the telehealth team at Royal Melbourne Hospital facilitated over 83,000 outpatient telehealth appointments, preventing an estimated 12 million km of travel, saving an estimated 2.4 million kg CO</w:t>
      </w:r>
      <w:r w:rsidRPr="00E8461E">
        <w:rPr>
          <w:vertAlign w:val="subscript"/>
          <w:lang w:val="en-GB"/>
        </w:rPr>
        <w:t>2</w:t>
      </w:r>
      <w:r w:rsidRPr="00E8461E">
        <w:rPr>
          <w:lang w:val="en-GB"/>
        </w:rPr>
        <w:t xml:space="preserve">-e </w:t>
      </w:r>
      <w:proofErr w:type="gramStart"/>
      <w:r w:rsidRPr="00E8461E">
        <w:rPr>
          <w:lang w:val="en-GB"/>
        </w:rPr>
        <w:t>emissions</w:t>
      </w:r>
      <w:proofErr w:type="gramEnd"/>
      <w:r w:rsidRPr="00E8461E">
        <w:rPr>
          <w:lang w:val="en-GB"/>
        </w:rPr>
        <w:t xml:space="preserve"> and preventing the use and disposal of an estimated 100,000 N95 masks.</w:t>
      </w:r>
    </w:p>
    <w:p w14:paraId="2A6390E1" w14:textId="4C9D0068" w:rsidR="00A60BCB" w:rsidRPr="00E8461E" w:rsidRDefault="00A60BCB" w:rsidP="00A60BCB">
      <w:pPr>
        <w:rPr>
          <w:lang w:val="en-GB"/>
        </w:rPr>
      </w:pPr>
      <w:r w:rsidRPr="00E8461E">
        <w:rPr>
          <w:lang w:val="en-GB"/>
        </w:rPr>
        <w:t>Professional bodies are also working to reduce the greenhouse gas emissions of the care they deliver. For example:</w:t>
      </w:r>
    </w:p>
    <w:p w14:paraId="48B9D118" w14:textId="3E25717E" w:rsidR="00A60BCB" w:rsidRPr="00E8461E" w:rsidRDefault="00A60BCB" w:rsidP="0065729E">
      <w:pPr>
        <w:pStyle w:val="BulletUnindented"/>
      </w:pPr>
      <w:r w:rsidRPr="00E8461E">
        <w:t xml:space="preserve">The Australian College of Nursing has developed Nursing Leadership in Emissions Reduction Guiding Principles, which identifies </w:t>
      </w:r>
      <w:r w:rsidR="00B80E5A" w:rsidRPr="00E8461E">
        <w:t xml:space="preserve">the </w:t>
      </w:r>
      <w:r w:rsidRPr="00E8461E">
        <w:t xml:space="preserve">role </w:t>
      </w:r>
      <w:r w:rsidR="00142A2D" w:rsidRPr="00E8461E">
        <w:t xml:space="preserve">played by nurses </w:t>
      </w:r>
      <w:r w:rsidRPr="00E8461E">
        <w:t>in controlling clinical waste and leading on environmental stewardship.</w:t>
      </w:r>
      <w:r w:rsidRPr="00E8461E">
        <w:rPr>
          <w:rStyle w:val="EndnoteReference"/>
        </w:rPr>
        <w:endnoteReference w:id="143"/>
      </w:r>
    </w:p>
    <w:p w14:paraId="1B9758E4" w14:textId="77777777" w:rsidR="00A60BCB" w:rsidRPr="00E8461E" w:rsidRDefault="00A60BCB" w:rsidP="0065729E">
      <w:pPr>
        <w:pStyle w:val="BulletUnindented"/>
      </w:pPr>
      <w:r w:rsidRPr="00E8461E">
        <w:t>The Australian and New Zealand Society of Nephrology has developed environmentally sustainable guidelines for kidney care facilities aimed at design and construction teams, facility managers, and clinical staff.</w:t>
      </w:r>
      <w:r w:rsidRPr="00E8461E">
        <w:rPr>
          <w:rStyle w:val="EndnoteReference"/>
        </w:rPr>
        <w:endnoteReference w:id="144"/>
      </w:r>
    </w:p>
    <w:p w14:paraId="1839EE22" w14:textId="3D7FD533" w:rsidR="00A60BCB" w:rsidRPr="00E8461E" w:rsidRDefault="00A60BCB" w:rsidP="0065729E">
      <w:pPr>
        <w:pStyle w:val="BulletUnindented"/>
      </w:pPr>
      <w:r w:rsidRPr="00E8461E">
        <w:t xml:space="preserve">Optometry Australia </w:t>
      </w:r>
      <w:r w:rsidR="00BD27E3" w:rsidRPr="00E8461E">
        <w:t xml:space="preserve">is </w:t>
      </w:r>
      <w:r w:rsidRPr="00E8461E">
        <w:t>developing a Sustainability Roadmap, which identifies opportunities to decarbonise optometry, particularly through setting decarbonisation expectations for the industry and designing circular solutions and a sustainable procurement policy template.</w:t>
      </w:r>
      <w:r w:rsidRPr="00E8461E">
        <w:rPr>
          <w:rStyle w:val="EndnoteReference"/>
        </w:rPr>
        <w:endnoteReference w:id="145"/>
      </w:r>
    </w:p>
    <w:p w14:paraId="017156E3" w14:textId="528A5607" w:rsidR="00A60BCB" w:rsidRPr="00E8461E" w:rsidRDefault="00A60BCB" w:rsidP="0065729E">
      <w:pPr>
        <w:pStyle w:val="BulletUnindented"/>
      </w:pPr>
      <w:r w:rsidRPr="00E8461E">
        <w:t xml:space="preserve">The Royal Australian College of General Practitioners </w:t>
      </w:r>
      <w:r w:rsidR="0061707E" w:rsidRPr="00E8461E">
        <w:t xml:space="preserve">has </w:t>
      </w:r>
      <w:r w:rsidRPr="00E8461E">
        <w:t xml:space="preserve">developed an </w:t>
      </w:r>
      <w:r w:rsidR="00BB3490" w:rsidRPr="00E8461E">
        <w:t>‘</w:t>
      </w:r>
      <w:r w:rsidRPr="00E8461E">
        <w:t>Environmental sustainability in general practice</w:t>
      </w:r>
      <w:r w:rsidR="00BB3490" w:rsidRPr="00E8461E">
        <w:t>’</w:t>
      </w:r>
      <w:r w:rsidRPr="00E8461E">
        <w:t xml:space="preserve"> resource to support GP practices to reduce their environmental footprint.</w:t>
      </w:r>
      <w:r w:rsidRPr="00E8461E">
        <w:rPr>
          <w:rStyle w:val="EndnoteReference"/>
        </w:rPr>
        <w:endnoteReference w:id="146"/>
      </w:r>
    </w:p>
    <w:p w14:paraId="741EEF58" w14:textId="738DCA1E" w:rsidR="00A60BCB" w:rsidRPr="00E8461E" w:rsidRDefault="00A60BCB" w:rsidP="0065729E">
      <w:pPr>
        <w:pStyle w:val="BulletUnindented"/>
      </w:pPr>
      <w:r w:rsidRPr="00E8461E">
        <w:t xml:space="preserve">The Royal Australian and New Zealand College of Obstetricians and Gynaecologists is establishing an Environmental Sustainability </w:t>
      </w:r>
      <w:r w:rsidR="00F33966" w:rsidRPr="00E8461E">
        <w:t>W</w:t>
      </w:r>
      <w:r w:rsidRPr="00E8461E">
        <w:t>orking Group, which aims to advocate for the reduction of the environmental footprint within the obstetrics and gynaecology profession and health services more broadly.</w:t>
      </w:r>
    </w:p>
    <w:p w14:paraId="61D0FB9A" w14:textId="77777777" w:rsidR="00A60BCB" w:rsidRPr="00E8461E" w:rsidRDefault="00A60BCB" w:rsidP="0065729E">
      <w:pPr>
        <w:pStyle w:val="BulletUnindented"/>
      </w:pPr>
      <w:r w:rsidRPr="00E8461E">
        <w:t>The Royal Australasian College of Surgeons has promoted the use of telehealth for outpatient appointments where appropriate.</w:t>
      </w:r>
      <w:r w:rsidRPr="00E8461E">
        <w:rPr>
          <w:rStyle w:val="EndnoteReference"/>
        </w:rPr>
        <w:endnoteReference w:id="147"/>
      </w:r>
    </w:p>
    <w:p w14:paraId="29513942" w14:textId="77777777" w:rsidR="00A60BCB" w:rsidRPr="00E8461E" w:rsidRDefault="00A60BCB" w:rsidP="0065729E">
      <w:pPr>
        <w:pStyle w:val="BulletUnindented"/>
      </w:pPr>
      <w:r w:rsidRPr="00E8461E">
        <w:t>Doctors for the Environment Australia and the Australian Medical Association have developed Green College Guidelines, which advise research and quality improvement in environmental sustainability and the development of an audit tool for clinicians and departments to evaluate environmental impact.</w:t>
      </w:r>
      <w:r w:rsidRPr="00E8461E">
        <w:rPr>
          <w:rStyle w:val="EndnoteReference"/>
        </w:rPr>
        <w:endnoteReference w:id="148"/>
      </w:r>
    </w:p>
    <w:p w14:paraId="2C0E6B8D" w14:textId="77777777" w:rsidR="00A60BCB" w:rsidRPr="00E8461E" w:rsidRDefault="00A60BCB" w:rsidP="0065729E">
      <w:pPr>
        <w:pStyle w:val="BulletUnindented"/>
      </w:pPr>
      <w:r w:rsidRPr="00E8461E">
        <w:t>The Australian Psychological Society has produced the Climate Change Empowerment Handbook, which provides psychological strategies to tackle climate change, including personal and collective action.</w:t>
      </w:r>
      <w:r w:rsidRPr="00E8461E">
        <w:rPr>
          <w:rStyle w:val="EndnoteReference"/>
        </w:rPr>
        <w:endnoteReference w:id="149"/>
      </w:r>
    </w:p>
    <w:p w14:paraId="2A815E04" w14:textId="07827935" w:rsidR="00A60BCB" w:rsidRPr="00E8461E" w:rsidRDefault="00A60BCB" w:rsidP="00A60BCB">
      <w:pPr>
        <w:rPr>
          <w:lang w:val="en-GB"/>
        </w:rPr>
      </w:pPr>
      <w:proofErr w:type="gramStart"/>
      <w:r w:rsidRPr="00E8461E">
        <w:rPr>
          <w:lang w:val="en-GB"/>
        </w:rPr>
        <w:t>Moving forward, there</w:t>
      </w:r>
      <w:proofErr w:type="gramEnd"/>
      <w:r w:rsidRPr="00E8461E">
        <w:rPr>
          <w:lang w:val="en-GB"/>
        </w:rPr>
        <w:t xml:space="preserve"> is a need to scale up and replicate existing good practice in healthy, resilient, sustainable models of care across the health system. </w:t>
      </w:r>
      <w:r w:rsidR="00A551F3" w:rsidRPr="00E8461E">
        <w:rPr>
          <w:lang w:val="en-GB"/>
        </w:rPr>
        <w:t xml:space="preserve">As much as possible, </w:t>
      </w:r>
      <w:r w:rsidR="003546C9" w:rsidRPr="00E8461E">
        <w:rPr>
          <w:lang w:val="en-GB"/>
        </w:rPr>
        <w:t xml:space="preserve">innovation across the health system </w:t>
      </w:r>
      <w:r w:rsidR="001A5721" w:rsidRPr="00E8461E">
        <w:rPr>
          <w:lang w:val="en-GB"/>
        </w:rPr>
        <w:t>should</w:t>
      </w:r>
      <w:r w:rsidR="00B10C55" w:rsidRPr="00E8461E">
        <w:rPr>
          <w:lang w:val="en-GB"/>
        </w:rPr>
        <w:t xml:space="preserve"> be </w:t>
      </w:r>
      <w:r w:rsidR="00FA790C" w:rsidRPr="00E8461E">
        <w:rPr>
          <w:lang w:val="en-GB"/>
        </w:rPr>
        <w:t>informed by the need to reduce emissions.</w:t>
      </w:r>
      <w:r w:rsidR="001A5721" w:rsidRPr="00E8461E">
        <w:rPr>
          <w:lang w:val="en-GB"/>
        </w:rPr>
        <w:t xml:space="preserve"> </w:t>
      </w:r>
      <w:r w:rsidRPr="00E8461E">
        <w:rPr>
          <w:lang w:val="en-GB"/>
        </w:rPr>
        <w:t xml:space="preserve">Active consumer engagement – particularly </w:t>
      </w:r>
      <w:r w:rsidRPr="00E8461E">
        <w:rPr>
          <w:lang w:val="en-GB"/>
        </w:rPr>
        <w:lastRenderedPageBreak/>
        <w:t xml:space="preserve">with priority populations – on the health and environmental benefits of optimised models of care will be important </w:t>
      </w:r>
      <w:r w:rsidR="00A868A3" w:rsidRPr="00E8461E">
        <w:rPr>
          <w:lang w:val="en-GB"/>
        </w:rPr>
        <w:t xml:space="preserve">in </w:t>
      </w:r>
      <w:r w:rsidRPr="00E8461E">
        <w:rPr>
          <w:lang w:val="en-GB"/>
        </w:rPr>
        <w:t>achieving widespread change.</w:t>
      </w:r>
    </w:p>
    <w:p w14:paraId="6C23D9BA" w14:textId="41EA2437" w:rsidR="003A3AE0" w:rsidRPr="00E8461E" w:rsidRDefault="00D80EFD" w:rsidP="00D80EFD">
      <w:pPr>
        <w:pStyle w:val="Heading4"/>
        <w:rPr>
          <w:iCs w:val="0"/>
        </w:rPr>
      </w:pPr>
      <w:r w:rsidRPr="00E8461E">
        <w:rPr>
          <w:iCs w:val="0"/>
          <w:caps w:val="0"/>
        </w:rPr>
        <w:t>Case study 8</w:t>
      </w:r>
    </w:p>
    <w:p w14:paraId="3664ABC8" w14:textId="77777777" w:rsidR="003A3AE0" w:rsidRPr="00E8461E" w:rsidRDefault="003A3AE0" w:rsidP="003A3AE0">
      <w:pPr>
        <w:rPr>
          <w:b/>
          <w:bCs/>
          <w:lang w:val="en-GB"/>
        </w:rPr>
      </w:pPr>
      <w:r w:rsidRPr="00E8461E">
        <w:rPr>
          <w:b/>
          <w:bCs/>
          <w:lang w:val="en-GB"/>
        </w:rPr>
        <w:t>Emissions footprint of different dialysis options</w:t>
      </w:r>
    </w:p>
    <w:p w14:paraId="337098C2" w14:textId="4F1EF132" w:rsidR="003A3AE0" w:rsidRPr="00E8461E" w:rsidRDefault="003A3AE0" w:rsidP="003A3AE0">
      <w:pPr>
        <w:pBdr>
          <w:bottom w:val="single" w:sz="12" w:space="1" w:color="008A95" w:themeColor="accent1"/>
        </w:pBdr>
        <w:rPr>
          <w:lang w:val="en-GB"/>
        </w:rPr>
      </w:pPr>
      <w:r w:rsidRPr="00E8461E">
        <w:rPr>
          <w:lang w:val="en-GB"/>
        </w:rPr>
        <w:t>Peritoneal dialysis is a common and increasingly used treatment for kidney failure, yet there is a lack of information about its emissions footprint. For the first time in Australia, greenhouse gas emissions were quantified, associated with delivery of both automated peritoneal dialysis (APD, where a machine provides dialysis overnight) and continuous ambulatory peritoneal dialysis (CAPD, where patients do their own dialysis exchanges). APD was responsible for approximately 64% more greenhouse gas emissions per person than CAPD. The main source of emissions was the manufacture and disposal of fluid and consumables used during treatment. However, the transport of these was also important, particularly to patients living in rural and remote areas. Recycling the plastics used during treatments could significantly reduce emissions. These findings will inform the kidney care community’s search for models of care that improve outcomes and while also reducing emissions where clinically appropriate.</w:t>
      </w:r>
    </w:p>
    <w:p w14:paraId="463E3FAC" w14:textId="7C39DF4C" w:rsidR="00A60BCB" w:rsidRPr="00E8461E" w:rsidRDefault="00A60BCB" w:rsidP="00A60BCB">
      <w:pPr>
        <w:rPr>
          <w:lang w:val="en-GB"/>
        </w:rPr>
      </w:pPr>
    </w:p>
    <w:p w14:paraId="00B067A7" w14:textId="77777777" w:rsidR="003A3AE0" w:rsidRPr="00E8461E" w:rsidRDefault="003A3AE0" w:rsidP="00D80EFD">
      <w:pPr>
        <w:pStyle w:val="Heading4"/>
        <w:rPr>
          <w:iCs w:val="0"/>
        </w:rPr>
      </w:pPr>
      <w:r w:rsidRPr="00E8461E">
        <w:rPr>
          <w:iCs w:val="0"/>
        </w:rPr>
        <w:t>Action 4.8</w:t>
      </w:r>
    </w:p>
    <w:p w14:paraId="0A85229A" w14:textId="77777777" w:rsidR="003A3AE0" w:rsidRPr="00E8461E" w:rsidRDefault="003A3AE0" w:rsidP="003A3AE0">
      <w:pPr>
        <w:rPr>
          <w:lang w:val="en-GB"/>
        </w:rPr>
      </w:pPr>
      <w:r w:rsidRPr="00E8461E">
        <w:rPr>
          <w:b/>
          <w:bCs/>
          <w:lang w:val="en-GB"/>
        </w:rPr>
        <w:t>Developing a framework for reducing emissions by optimising models of care</w:t>
      </w:r>
    </w:p>
    <w:p w14:paraId="533860D1" w14:textId="308D1283" w:rsidR="002C76AD" w:rsidRPr="00E8461E" w:rsidRDefault="003A3AE0" w:rsidP="003A3AE0">
      <w:pPr>
        <w:pBdr>
          <w:bottom w:val="single" w:sz="12" w:space="1" w:color="008A95" w:themeColor="accent1"/>
        </w:pBdr>
        <w:rPr>
          <w:lang w:val="en-GB"/>
        </w:rPr>
      </w:pPr>
      <w:r w:rsidRPr="00E8461E">
        <w:rPr>
          <w:lang w:val="en-GB"/>
        </w:rPr>
        <w:t xml:space="preserve">The </w:t>
      </w:r>
      <w:r w:rsidRPr="00E8461E">
        <w:rPr>
          <w:rFonts w:cs="Times New Roman"/>
        </w:rPr>
        <w:t xml:space="preserve">Australian Government </w:t>
      </w:r>
      <w:r w:rsidRPr="00E8461E">
        <w:rPr>
          <w:lang w:val="en-GB"/>
        </w:rPr>
        <w:t>will work with professional bodies to develop and pilot a framework for mapping emissions hotspots across patient care pathways of clinical specialties and the National Health Priority Areas to identify opportunities to reduce emissions while optimising patient care. This will build on the framework planned for development by the National Health Service in England.</w:t>
      </w:r>
    </w:p>
    <w:p w14:paraId="5E300BF6" w14:textId="664460AF" w:rsidR="00A60BCB" w:rsidRPr="00E8461E" w:rsidRDefault="00801482" w:rsidP="00571F10">
      <w:pPr>
        <w:pStyle w:val="Heading3"/>
      </w:pPr>
      <w:bookmarkStart w:id="162" w:name="_Toc149909988"/>
      <w:bookmarkStart w:id="163" w:name="_Toc149918453"/>
      <w:r w:rsidRPr="00E8461E">
        <w:t>4</w:t>
      </w:r>
      <w:r w:rsidR="00A60BCB" w:rsidRPr="00E8461E">
        <w:t xml:space="preserve">.5.2 The built environment, </w:t>
      </w:r>
      <w:proofErr w:type="gramStart"/>
      <w:r w:rsidR="00A60BCB" w:rsidRPr="00E8461E">
        <w:t>energy</w:t>
      </w:r>
      <w:proofErr w:type="gramEnd"/>
      <w:r w:rsidR="00A60BCB" w:rsidRPr="00E8461E">
        <w:t xml:space="preserve"> and water</w:t>
      </w:r>
      <w:bookmarkEnd w:id="162"/>
      <w:bookmarkEnd w:id="163"/>
    </w:p>
    <w:p w14:paraId="01D4B683" w14:textId="1351D3BC" w:rsidR="00A60BCB" w:rsidRPr="00E8461E" w:rsidRDefault="00A60BCB" w:rsidP="00A60BCB">
      <w:pPr>
        <w:rPr>
          <w:lang w:val="en-GB"/>
        </w:rPr>
      </w:pPr>
      <w:r w:rsidRPr="00E8461E">
        <w:rPr>
          <w:lang w:val="en-GB"/>
        </w:rPr>
        <w:t xml:space="preserve">The built environment consists of all the human-made aspects of people’s surroundings, including hospitals, facilities, </w:t>
      </w:r>
      <w:proofErr w:type="gramStart"/>
      <w:r w:rsidRPr="00E8461E">
        <w:rPr>
          <w:lang w:val="en-GB"/>
        </w:rPr>
        <w:t>roads</w:t>
      </w:r>
      <w:proofErr w:type="gramEnd"/>
      <w:r w:rsidRPr="00E8461E">
        <w:rPr>
          <w:lang w:val="en-GB"/>
        </w:rPr>
        <w:t xml:space="preserve"> and other connecting transit systems. Buildings contribute to climate change through their construction, </w:t>
      </w:r>
      <w:proofErr w:type="gramStart"/>
      <w:r w:rsidRPr="00E8461E">
        <w:rPr>
          <w:lang w:val="en-GB"/>
        </w:rPr>
        <w:t>maintenance</w:t>
      </w:r>
      <w:proofErr w:type="gramEnd"/>
      <w:r w:rsidRPr="00E8461E">
        <w:rPr>
          <w:lang w:val="en-GB"/>
        </w:rPr>
        <w:t xml:space="preserve"> and daily operation. This includes the materials they use; their location; and electricity, </w:t>
      </w:r>
      <w:proofErr w:type="gramStart"/>
      <w:r w:rsidRPr="00E8461E">
        <w:rPr>
          <w:lang w:val="en-GB"/>
        </w:rPr>
        <w:t>gas</w:t>
      </w:r>
      <w:proofErr w:type="gramEnd"/>
      <w:r w:rsidRPr="00E8461E">
        <w:rPr>
          <w:lang w:val="en-GB"/>
        </w:rPr>
        <w:t xml:space="preserve"> and water usage. Malik et al estimated capital expenditure for health care buildings, including expenditure on the building of new hospitals and retrofitting or upgrading of established hospitals, represents 8% of total </w:t>
      </w:r>
      <w:r w:rsidR="00390FAE" w:rsidRPr="00E8461E">
        <w:rPr>
          <w:lang w:val="en-GB"/>
        </w:rPr>
        <w:t xml:space="preserve">Australian </w:t>
      </w:r>
      <w:r w:rsidRPr="00E8461E">
        <w:rPr>
          <w:lang w:val="en-GB"/>
        </w:rPr>
        <w:t>health care emissions.</w:t>
      </w:r>
      <w:r w:rsidR="00D87CA6" w:rsidRPr="00E8461E">
        <w:rPr>
          <w:rStyle w:val="EndnoteReference"/>
          <w:lang w:val="en-GB"/>
        </w:rPr>
        <w:endnoteReference w:id="150"/>
      </w:r>
      <w:r w:rsidRPr="00E8461E">
        <w:rPr>
          <w:lang w:val="en-GB"/>
        </w:rPr>
        <w:t xml:space="preserve"> However, this figure only considers emissions from physical construction and upgrades and not building energy use.</w:t>
      </w:r>
    </w:p>
    <w:p w14:paraId="0568B4E4" w14:textId="4534A0B3" w:rsidR="00A60BCB" w:rsidRPr="00E8461E" w:rsidRDefault="00C843CA" w:rsidP="00A60BCB">
      <w:pPr>
        <w:rPr>
          <w:lang w:val="en-GB"/>
        </w:rPr>
      </w:pPr>
      <w:r w:rsidRPr="00E8461E">
        <w:rPr>
          <w:lang w:val="en-GB"/>
        </w:rPr>
        <w:t>It will be important</w:t>
      </w:r>
      <w:r w:rsidR="00A60BCB" w:rsidRPr="00E8461E">
        <w:rPr>
          <w:lang w:val="en-GB"/>
        </w:rPr>
        <w:t xml:space="preserve"> to measure emissions from the ongoing operation of buildings across health and aged care. Emissions from heating and cooling of buildings and refrigeration of food and medicines will include both scope 2 emissions from energy use and scope 1 emissions from refrigerants and gas heating. Health care facilities also consume large quantities of water and use energy to heat, pump and dispose of it. The Strategy will seek to utilise and build on existing government schemes, including the National Australian Built Environment Rating System (NABERS) Energy and Water Ratings, which are available to both public hospitals and residential aged care facilities, </w:t>
      </w:r>
      <w:r w:rsidR="00E97169" w:rsidRPr="00E8461E">
        <w:rPr>
          <w:lang w:val="en-GB"/>
        </w:rPr>
        <w:t xml:space="preserve">and the National Construction Code, </w:t>
      </w:r>
      <w:r w:rsidR="00A60BCB" w:rsidRPr="00E8461E">
        <w:rPr>
          <w:lang w:val="en-GB"/>
        </w:rPr>
        <w:t>to identify emissions reduction opportunities and track progress.</w:t>
      </w:r>
    </w:p>
    <w:p w14:paraId="47A56216" w14:textId="0F05BEDC" w:rsidR="00A60BCB" w:rsidRPr="00E8461E" w:rsidRDefault="00A60BCB" w:rsidP="00A60BCB">
      <w:r w:rsidRPr="00E8461E">
        <w:rPr>
          <w:lang w:val="en-GB"/>
        </w:rPr>
        <w:lastRenderedPageBreak/>
        <w:t xml:space="preserve">Work is also underway within the states and territories to decarbonise buildings within the health system. For example, </w:t>
      </w:r>
      <w:r w:rsidRPr="00E8461E" w:rsidDel="00911A35">
        <w:t xml:space="preserve">the Victorian Health Building Authority </w:t>
      </w:r>
      <w:r w:rsidRPr="00E8461E">
        <w:t>Guidelines for sustainability in capital works provide guidance on how to build sustainable and resilient health facilities. The guidelines support the Victorian’s Government’s commitment for all new public hospitals to be all-electric and use 100% renewable electricity in Victorian public hospitals by 2025.</w:t>
      </w:r>
      <w:r w:rsidRPr="00E8461E">
        <w:rPr>
          <w:rStyle w:val="EndnoteReference"/>
        </w:rPr>
        <w:endnoteReference w:id="151"/>
      </w:r>
      <w:r w:rsidRPr="00E8461E">
        <w:t xml:space="preserve"> Healthcare buildings less than 10,000 square metres will have to be all-electric, given they are expected to handle thermal loads efficiently and economically. For buildings over 10,000 square metres, opportunities to use more electric plant and equipment to minimise the use of natural gas will need to be investigated and documented in their sustainability reports.</w:t>
      </w:r>
      <w:r w:rsidR="00812EC4" w:rsidRPr="00E8461E">
        <w:t xml:space="preserve"> A recent announcement from the Victorian Health Building Authority means that all new buildings, irrespective of size, will be required to be all-electric.</w:t>
      </w:r>
      <w:r w:rsidR="00812EC4" w:rsidRPr="00E8461E">
        <w:rPr>
          <w:rStyle w:val="EndnoteReference"/>
        </w:rPr>
        <w:endnoteReference w:id="152"/>
      </w:r>
    </w:p>
    <w:p w14:paraId="2EB0C142" w14:textId="3387AF60" w:rsidR="00A60BCB" w:rsidRPr="00E8461E" w:rsidRDefault="00A60BCB" w:rsidP="00A60BCB">
      <w:pPr>
        <w:rPr>
          <w:rFonts w:ascii="Calibri" w:hAnsi="Calibri" w:cs="Calibri"/>
          <w:lang w:val="en-GB"/>
        </w:rPr>
      </w:pPr>
      <w:r w:rsidRPr="00E8461E">
        <w:rPr>
          <w:rFonts w:ascii="Calibri" w:hAnsi="Calibri" w:cs="Calibri"/>
          <w:lang w:val="en-GB"/>
        </w:rPr>
        <w:t xml:space="preserve">The impacts of the built and urban environment on human health and wellbeing, and initiatives to improve climate resilience, are discussed further in Chapter </w:t>
      </w:r>
      <w:r w:rsidR="00847330" w:rsidRPr="00E8461E">
        <w:rPr>
          <w:rFonts w:ascii="Calibri" w:hAnsi="Calibri" w:cs="Calibri"/>
          <w:lang w:val="en-GB"/>
        </w:rPr>
        <w:t>6</w:t>
      </w:r>
      <w:r w:rsidRPr="00E8461E">
        <w:rPr>
          <w:rFonts w:ascii="Calibri" w:hAnsi="Calibri" w:cs="Calibri"/>
          <w:lang w:val="en-GB"/>
        </w:rPr>
        <w:t>.</w:t>
      </w:r>
    </w:p>
    <w:p w14:paraId="2D860122" w14:textId="77777777" w:rsidR="003A3AE0" w:rsidRPr="00E8461E" w:rsidRDefault="003A3AE0" w:rsidP="00D80EFD">
      <w:pPr>
        <w:pStyle w:val="Heading4"/>
        <w:rPr>
          <w:iCs w:val="0"/>
        </w:rPr>
      </w:pPr>
      <w:r w:rsidRPr="00E8461E">
        <w:rPr>
          <w:iCs w:val="0"/>
        </w:rPr>
        <w:t>Action 4.9</w:t>
      </w:r>
    </w:p>
    <w:p w14:paraId="08E64933" w14:textId="77777777" w:rsidR="003A3AE0" w:rsidRPr="00E8461E" w:rsidRDefault="003A3AE0" w:rsidP="003A3AE0">
      <w:pPr>
        <w:rPr>
          <w:b/>
          <w:lang w:val="en-GB"/>
        </w:rPr>
      </w:pPr>
      <w:r w:rsidRPr="00E8461E">
        <w:rPr>
          <w:b/>
          <w:lang w:val="en-GB"/>
        </w:rPr>
        <w:t>Expanding use of NABERS ratings for health and aged care facilities</w:t>
      </w:r>
    </w:p>
    <w:p w14:paraId="0592E6D3" w14:textId="77777777" w:rsidR="003A3AE0" w:rsidRPr="00E8461E" w:rsidRDefault="003A3AE0" w:rsidP="003A3AE0">
      <w:r w:rsidRPr="00E8461E">
        <w:t xml:space="preserve">The </w:t>
      </w:r>
      <w:r w:rsidRPr="00E8461E">
        <w:rPr>
          <w:rFonts w:cs="Times New Roman"/>
        </w:rPr>
        <w:t>Australian Government</w:t>
      </w:r>
      <w:r w:rsidRPr="00E8461E">
        <w:t xml:space="preserve"> will consider:</w:t>
      </w:r>
    </w:p>
    <w:p w14:paraId="513CD386" w14:textId="77777777" w:rsidR="003A3AE0" w:rsidRPr="00E8461E" w:rsidRDefault="003A3AE0" w:rsidP="003A3AE0">
      <w:pPr>
        <w:pStyle w:val="BulletUnindented"/>
        <w:rPr>
          <w:rFonts w:ascii="Calibri" w:hAnsi="Calibri"/>
        </w:rPr>
      </w:pPr>
      <w:r w:rsidRPr="00E8461E">
        <w:t>Expanding the use and public reporting of National Australian Built Environment Rating System for public hospitals and residential aged care</w:t>
      </w:r>
    </w:p>
    <w:p w14:paraId="775FB3EA" w14:textId="12047D05" w:rsidR="003A3AE0" w:rsidRPr="00E8461E" w:rsidRDefault="003A3AE0" w:rsidP="003A3AE0">
      <w:pPr>
        <w:pStyle w:val="BulletUnindented"/>
        <w:pBdr>
          <w:bottom w:val="single" w:sz="12" w:space="1" w:color="008A95" w:themeColor="accent1"/>
        </w:pBdr>
        <w:rPr>
          <w:rFonts w:ascii="Calibri" w:hAnsi="Calibri"/>
        </w:rPr>
      </w:pPr>
      <w:r w:rsidRPr="00E8461E">
        <w:t>Developing and implementing National Australian Built Environment Rating System tools for private hospitals and medical centres.</w:t>
      </w:r>
    </w:p>
    <w:p w14:paraId="4ECF8B5B" w14:textId="77777777" w:rsidR="003A3AE0" w:rsidRPr="00E8461E" w:rsidRDefault="003A3AE0" w:rsidP="003A3AE0"/>
    <w:p w14:paraId="47BC2AFF" w14:textId="028F4ED2" w:rsidR="003A3AE0" w:rsidRPr="00E8461E" w:rsidRDefault="003A3AE0" w:rsidP="00D80EFD">
      <w:pPr>
        <w:pStyle w:val="Heading4"/>
        <w:rPr>
          <w:iCs w:val="0"/>
        </w:rPr>
      </w:pPr>
      <w:r w:rsidRPr="00E8461E">
        <w:rPr>
          <w:iCs w:val="0"/>
        </w:rPr>
        <w:t>Action 4.10</w:t>
      </w:r>
    </w:p>
    <w:p w14:paraId="18CA430B" w14:textId="77777777" w:rsidR="003A3AE0" w:rsidRPr="00E8461E" w:rsidRDefault="003A3AE0" w:rsidP="003A3AE0">
      <w:pPr>
        <w:rPr>
          <w:lang w:val="en-GB"/>
        </w:rPr>
      </w:pPr>
      <w:r w:rsidRPr="00E8461E">
        <w:rPr>
          <w:b/>
          <w:lang w:val="en-GB"/>
        </w:rPr>
        <w:t>Moving towards zero emissions buildings</w:t>
      </w:r>
    </w:p>
    <w:p w14:paraId="40E18216" w14:textId="227ABEA3" w:rsidR="00A60BCB" w:rsidRPr="00E8461E" w:rsidRDefault="003A3AE0" w:rsidP="003A3AE0">
      <w:pPr>
        <w:pBdr>
          <w:bottom w:val="single" w:sz="12" w:space="1" w:color="008A95" w:themeColor="accent1"/>
        </w:pBdr>
        <w:rPr>
          <w:lang w:val="en-GB"/>
        </w:rPr>
      </w:pPr>
      <w:r w:rsidRPr="00E8461E">
        <w:t>The Australian Government and the Australian Building Codes Board will work together to consider possible changes to the commercial building energy efficiency requirements in the National Construction Code. The changes are intended to support the Government’s energy and greenhouse gas policies, including the 2050 net zero target. If agreed by Building Ministers, the new requirements will apply to hospitals and other health and aged care facilities.</w:t>
      </w:r>
    </w:p>
    <w:p w14:paraId="457ABF4E" w14:textId="77777777" w:rsidR="003A3AE0" w:rsidRPr="00E8461E" w:rsidRDefault="003A3AE0" w:rsidP="003A3AE0">
      <w:bookmarkStart w:id="164" w:name="_Toc149909989"/>
      <w:bookmarkStart w:id="165" w:name="_Toc149918454"/>
    </w:p>
    <w:p w14:paraId="38A472E8" w14:textId="0E227806" w:rsidR="003A3AE0" w:rsidRPr="00E8461E" w:rsidRDefault="00D80EFD" w:rsidP="00D80EFD">
      <w:pPr>
        <w:pStyle w:val="Heading4"/>
        <w:rPr>
          <w:iCs w:val="0"/>
        </w:rPr>
      </w:pPr>
      <w:r w:rsidRPr="00E8461E">
        <w:rPr>
          <w:iCs w:val="0"/>
          <w:caps w:val="0"/>
        </w:rPr>
        <w:t xml:space="preserve">Case study 9 </w:t>
      </w:r>
    </w:p>
    <w:p w14:paraId="17D90C18" w14:textId="77777777" w:rsidR="003A3AE0" w:rsidRPr="00E8461E" w:rsidRDefault="003A3AE0" w:rsidP="003A3AE0">
      <w:pPr>
        <w:rPr>
          <w:b/>
          <w:bCs/>
        </w:rPr>
      </w:pPr>
      <w:r w:rsidRPr="00E8461E">
        <w:rPr>
          <w:b/>
          <w:bCs/>
        </w:rPr>
        <w:t>Decarbonisation of health infrastructure in the ACT</w:t>
      </w:r>
    </w:p>
    <w:p w14:paraId="7CB1B813" w14:textId="77777777" w:rsidR="003A3AE0" w:rsidRPr="00E8461E" w:rsidRDefault="003A3AE0" w:rsidP="003A3AE0">
      <w:r w:rsidRPr="00E8461E">
        <w:t xml:space="preserve">Canberra Hospital’s new Critical Services Building will be Australia’s first all-electric major hospital building when it opens in 2024. The building’s all-electric status will avoid 1.89 kt CO2-e of emissions annually, which is equivalent to removing 760 cars from the roads. Key features include energy-efficient systems, with intelligent heating and cooling, and a high-performing double-glazed façade, which minimises the </w:t>
      </w:r>
      <w:r w:rsidRPr="00E8461E">
        <w:lastRenderedPageBreak/>
        <w:t>cooling required in summer and heating required in winter. This will work alongside new technology that automatically monitors and controls heating, ventilation, and cooling.</w:t>
      </w:r>
    </w:p>
    <w:p w14:paraId="2827DCD7" w14:textId="48EFBC6B" w:rsidR="003A3AE0" w:rsidRPr="00E8461E" w:rsidRDefault="003A3AE0" w:rsidP="003A3AE0">
      <w:pPr>
        <w:pBdr>
          <w:bottom w:val="single" w:sz="12" w:space="1" w:color="008A95" w:themeColor="accent1"/>
        </w:pBdr>
      </w:pPr>
      <w:r w:rsidRPr="00E8461E">
        <w:t>The new building includes locally sourced low carbon concrete. During demolition of the previous buildings that stood on the site, 96% of the materials were salvaged and repurposed for other projects. The ACT has also committed $1 billion to building a new all-electric northside hospital in Bruce.</w:t>
      </w:r>
    </w:p>
    <w:p w14:paraId="03EE9C5F" w14:textId="25C59668" w:rsidR="00A60BCB" w:rsidRPr="00E8461E" w:rsidRDefault="00801482" w:rsidP="00571F10">
      <w:pPr>
        <w:pStyle w:val="Heading3"/>
      </w:pPr>
      <w:r w:rsidRPr="00E8461E">
        <w:t>4</w:t>
      </w:r>
      <w:r w:rsidR="00A60BCB" w:rsidRPr="00E8461E">
        <w:t>.5.3 Travel and transport</w:t>
      </w:r>
      <w:bookmarkEnd w:id="164"/>
      <w:bookmarkEnd w:id="165"/>
    </w:p>
    <w:p w14:paraId="78196A28" w14:textId="2F392665" w:rsidR="00A60BCB" w:rsidRPr="00E8461E" w:rsidRDefault="00A60BCB" w:rsidP="00A60BCB">
      <w:pPr>
        <w:rPr>
          <w:lang w:val="en-GB"/>
        </w:rPr>
      </w:pPr>
      <w:r w:rsidRPr="00E8461E">
        <w:rPr>
          <w:lang w:val="en-GB"/>
        </w:rPr>
        <w:t>Transport is a significant contributor to health system emissions. Emissions from vehicles owned or controlled by hospitals and the health system are accounted for in either scope 1 (for fuel use), or in scope 2 (for electricity use when electric vehicles are charged from the healthcare organisation’s purchased energy). Emissions associated with vehicles not owned by the health system, such as employee commuting, and supply chain transportation, largely fall into scope 3. Finally, emissions associated with patient travel to and from health and aged facilities (excluding owned or leased vehicles, such as ambulances) are generally considered to fall outside of scopes 1, 2 and 3.</w:t>
      </w:r>
      <w:r w:rsidRPr="00E8461E">
        <w:rPr>
          <w:rStyle w:val="EndnoteReference"/>
          <w:lang w:val="en-GB"/>
        </w:rPr>
        <w:endnoteReference w:id="153"/>
      </w:r>
      <w:r w:rsidRPr="00E8461E">
        <w:rPr>
          <w:lang w:val="en-GB"/>
        </w:rPr>
        <w:t xml:space="preserve"> Travel and transport includes air as well as road transport. When it produced a 2015 baseline estimate of its scope 1 and scope 2 emissions, Ambulance Victoria estimated that air transport contributed 33% of greenhouse gas emissions, with road transport contributing 37% and emissions from buildings contributing 30%.</w:t>
      </w:r>
      <w:r w:rsidRPr="00E8461E">
        <w:rPr>
          <w:rStyle w:val="EndnoteReference"/>
          <w:lang w:val="en-GB"/>
        </w:rPr>
        <w:endnoteReference w:id="154"/>
      </w:r>
    </w:p>
    <w:p w14:paraId="6605548B" w14:textId="38E02941" w:rsidR="00A60BCB" w:rsidRPr="00E8461E" w:rsidRDefault="00A60BCB" w:rsidP="00A60BCB">
      <w:pPr>
        <w:rPr>
          <w:lang w:val="en-GB"/>
        </w:rPr>
      </w:pPr>
      <w:r w:rsidRPr="00E8461E">
        <w:rPr>
          <w:lang w:val="en-GB"/>
        </w:rPr>
        <w:t xml:space="preserve">While a detailed measurement of the contribution of patient travel to the Australian health system’s emissions footprint is yet to be undertaken, it is important to consider, as </w:t>
      </w:r>
      <w:r w:rsidR="008C7CD0" w:rsidRPr="00E8461E">
        <w:rPr>
          <w:lang w:val="en-GB"/>
        </w:rPr>
        <w:t xml:space="preserve">a component of the functioning of </w:t>
      </w:r>
      <w:r w:rsidRPr="00E8461E">
        <w:rPr>
          <w:lang w:val="en-GB"/>
        </w:rPr>
        <w:t xml:space="preserve">the health system. </w:t>
      </w:r>
      <w:r w:rsidR="0024567E" w:rsidRPr="00E8461E">
        <w:rPr>
          <w:lang w:val="en-GB"/>
        </w:rPr>
        <w:t>For example,</w:t>
      </w:r>
      <w:r w:rsidR="0024567E" w:rsidRPr="00E8461E" w:rsidDel="00BA3A5E">
        <w:rPr>
          <w:lang w:val="en-GB"/>
        </w:rPr>
        <w:t xml:space="preserve"> </w:t>
      </w:r>
      <w:r w:rsidR="0024567E" w:rsidRPr="00E8461E">
        <w:rPr>
          <w:lang w:val="en-GB"/>
        </w:rPr>
        <w:t xml:space="preserve">emissions </w:t>
      </w:r>
      <w:proofErr w:type="spellStart"/>
      <w:r w:rsidR="0024567E" w:rsidRPr="00E8461E">
        <w:rPr>
          <w:lang w:val="en-GB"/>
        </w:rPr>
        <w:t>footprinting</w:t>
      </w:r>
      <w:proofErr w:type="spellEnd"/>
      <w:r w:rsidR="0024567E" w:rsidRPr="00E8461E">
        <w:rPr>
          <w:lang w:val="en-GB"/>
        </w:rPr>
        <w:t xml:space="preserve"> data from NSW Health shows that patient, </w:t>
      </w:r>
      <w:proofErr w:type="gramStart"/>
      <w:r w:rsidR="0024567E" w:rsidRPr="00E8461E">
        <w:rPr>
          <w:lang w:val="en-GB"/>
        </w:rPr>
        <w:t>staff</w:t>
      </w:r>
      <w:proofErr w:type="gramEnd"/>
      <w:r w:rsidR="0024567E" w:rsidRPr="00E8461E">
        <w:rPr>
          <w:lang w:val="en-GB"/>
        </w:rPr>
        <w:t xml:space="preserve"> and visitor travel comprises 13% of the Central Coast Local Health District’s total emissions and 24% of Nepean Hospital’s total emissions.</w:t>
      </w:r>
      <w:r w:rsidR="0024567E" w:rsidRPr="00E8461E">
        <w:rPr>
          <w:rStyle w:val="EndnoteReference"/>
          <w:lang w:val="en-GB"/>
        </w:rPr>
        <w:endnoteReference w:id="155"/>
      </w:r>
      <w:r w:rsidR="0024567E" w:rsidRPr="00E8461E">
        <w:rPr>
          <w:lang w:val="en-GB"/>
        </w:rPr>
        <w:t xml:space="preserve"> </w:t>
      </w:r>
      <w:r w:rsidRPr="00E8461E">
        <w:rPr>
          <w:lang w:val="en-GB"/>
        </w:rPr>
        <w:t xml:space="preserve">Accounting for patient travel is also important in capturing the emissions reductions from increased clinically appropriate use of telehealth and hospital in the home services. First Nations people in remote locations will face different challenges compared to Australians living in urban locations. Targeted action is necessary to ensure challenges in remote locations are adequately </w:t>
      </w:r>
      <w:proofErr w:type="gramStart"/>
      <w:r w:rsidRPr="00E8461E">
        <w:rPr>
          <w:lang w:val="en-GB"/>
        </w:rPr>
        <w:t>addressed</w:t>
      </w:r>
      <w:proofErr w:type="gramEnd"/>
    </w:p>
    <w:p w14:paraId="30509CE3" w14:textId="0A9B72B7" w:rsidR="00A60BCB" w:rsidRPr="00E8461E" w:rsidRDefault="00A60BCB" w:rsidP="00A60BCB">
      <w:pPr>
        <w:rPr>
          <w:lang w:val="en-GB"/>
        </w:rPr>
      </w:pPr>
      <w:r w:rsidRPr="00E8461E">
        <w:rPr>
          <w:lang w:val="en-GB"/>
        </w:rPr>
        <w:t>Road traffic contributes to harmful air pollution and noise pollution, causing health issues, especially for communities living near high-traffic areas.</w:t>
      </w:r>
      <w:r w:rsidRPr="00E8461E">
        <w:rPr>
          <w:rStyle w:val="EndnoteReference"/>
          <w:lang w:val="en-GB"/>
        </w:rPr>
        <w:endnoteReference w:id="156"/>
      </w:r>
      <w:r w:rsidRPr="00E8461E">
        <w:rPr>
          <w:lang w:val="en-GB"/>
        </w:rPr>
        <w:t xml:space="preserve"> Research from the University of Melbourne suggests that there are more than 11,000 premature deaths (adults), 12,000 cardiovascular hospitalisations and 66,000 cases of asthma (among 0-18 years </w:t>
      </w:r>
      <w:proofErr w:type="spellStart"/>
      <w:r w:rsidRPr="00E8461E">
        <w:rPr>
          <w:lang w:val="en-GB"/>
        </w:rPr>
        <w:t>olds</w:t>
      </w:r>
      <w:proofErr w:type="spellEnd"/>
      <w:r w:rsidRPr="00E8461E">
        <w:rPr>
          <w:lang w:val="en-GB"/>
        </w:rPr>
        <w:t>) from motor vehicle air pollution in Australia each year.</w:t>
      </w:r>
      <w:r w:rsidRPr="00E8461E">
        <w:rPr>
          <w:rStyle w:val="EndnoteReference"/>
          <w:lang w:val="en-GB"/>
        </w:rPr>
        <w:endnoteReference w:id="157"/>
      </w:r>
      <w:r w:rsidRPr="00E8461E">
        <w:rPr>
          <w:lang w:val="en-GB"/>
        </w:rPr>
        <w:t xml:space="preserve"> Transitioning to vehicles with advanced emissions control systems and the use of cleaner liquid fuels can reduce harmful noxious emissions, reduce greenhouse gas emissions, and improve population health. Furthermore, greater promotion of active travel and public transport for patient and staff travel could result in increased physical activity, leading to improved physical and mental well-being.</w:t>
      </w:r>
      <w:r w:rsidRPr="00E8461E">
        <w:rPr>
          <w:rStyle w:val="EndnoteReference"/>
          <w:lang w:val="en-GB"/>
        </w:rPr>
        <w:endnoteReference w:id="158"/>
      </w:r>
      <w:r w:rsidRPr="00E8461E">
        <w:rPr>
          <w:lang w:val="en-GB"/>
        </w:rPr>
        <w:t xml:space="preserve"> Physical activity and active travel are discussed in further detail in Chapter </w:t>
      </w:r>
      <w:r w:rsidR="00991C8D" w:rsidRPr="00E8461E">
        <w:rPr>
          <w:lang w:val="en-GB"/>
        </w:rPr>
        <w:t>6</w:t>
      </w:r>
      <w:r w:rsidRPr="00E8461E">
        <w:rPr>
          <w:lang w:val="en-GB"/>
        </w:rPr>
        <w:t>.</w:t>
      </w:r>
    </w:p>
    <w:p w14:paraId="15DA1337" w14:textId="3E6FC075" w:rsidR="00C502C4" w:rsidRPr="00E8461E" w:rsidRDefault="00A60BCB" w:rsidP="00A752D1">
      <w:pPr>
        <w:rPr>
          <w:lang w:val="en-GB"/>
        </w:rPr>
      </w:pPr>
      <w:r w:rsidRPr="00E8461E">
        <w:rPr>
          <w:lang w:val="en-GB"/>
        </w:rPr>
        <w:t xml:space="preserve">Areas for action in the travel and transport space </w:t>
      </w:r>
      <w:r w:rsidR="00EF081C" w:rsidRPr="00E8461E">
        <w:rPr>
          <w:lang w:val="en-GB"/>
        </w:rPr>
        <w:t xml:space="preserve">(summarised also in Figure </w:t>
      </w:r>
      <w:r w:rsidR="003A3AE0" w:rsidRPr="00E8461E">
        <w:rPr>
          <w:lang w:val="en-GB"/>
        </w:rPr>
        <w:t>10</w:t>
      </w:r>
      <w:r w:rsidR="00EF081C" w:rsidRPr="00E8461E">
        <w:rPr>
          <w:lang w:val="en-GB"/>
        </w:rPr>
        <w:t xml:space="preserve">) </w:t>
      </w:r>
      <w:r w:rsidR="00207014" w:rsidRPr="00E8461E">
        <w:rPr>
          <w:lang w:val="en-GB"/>
        </w:rPr>
        <w:t>are</w:t>
      </w:r>
      <w:r w:rsidR="00C502C4" w:rsidRPr="00E8461E">
        <w:rPr>
          <w:lang w:val="en-GB"/>
        </w:rPr>
        <w:t>:</w:t>
      </w:r>
    </w:p>
    <w:p w14:paraId="42FD4CE0" w14:textId="79773BDA" w:rsidR="00A60BCB" w:rsidRPr="00E8461E" w:rsidRDefault="00A60BCB" w:rsidP="0065729E">
      <w:pPr>
        <w:pStyle w:val="BulletUnindented"/>
      </w:pPr>
      <w:r w:rsidRPr="00E8461E">
        <w:rPr>
          <w:b/>
        </w:rPr>
        <w:t xml:space="preserve">Electrifying fleet vehicles: </w:t>
      </w:r>
      <w:r w:rsidRPr="00E8461E">
        <w:t>Switching from internal combustion engines to electric vehicles will reduce greenhouse gas emissions from fossil fuel combustion as the electricity grid decarbonises. The Government has a Net Zero Australian Public Service by 2030 target, which includes 75% low emissions vehicles for Commonwealth fleet new passenger vehicle purchases and leases by 2025.</w:t>
      </w:r>
      <w:r w:rsidR="004D6957" w:rsidRPr="00E8461E">
        <w:rPr>
          <w:rStyle w:val="EndnoteReference"/>
        </w:rPr>
        <w:endnoteReference w:id="159"/>
      </w:r>
      <w:r w:rsidRPr="00E8461E">
        <w:t xml:space="preserve"> Many states and territories have set electric vehicle targets and taken action to support vehicle electrification. Net </w:t>
      </w:r>
      <w:r w:rsidRPr="00E8461E">
        <w:lastRenderedPageBreak/>
        <w:t xml:space="preserve">zero ambulance prototypes as well as mental health response vehicles have now been launched and piloted through the </w:t>
      </w:r>
      <w:r w:rsidR="003907F5" w:rsidRPr="00E8461E">
        <w:t xml:space="preserve">National Health Service </w:t>
      </w:r>
      <w:r w:rsidRPr="00E8461E">
        <w:t>in England.</w:t>
      </w:r>
      <w:r w:rsidRPr="00E8461E">
        <w:rPr>
          <w:rStyle w:val="EndnoteReference"/>
        </w:rPr>
        <w:endnoteReference w:id="160"/>
      </w:r>
    </w:p>
    <w:p w14:paraId="0A7B04AC" w14:textId="285939CF" w:rsidR="00A60BCB" w:rsidRPr="00E8461E" w:rsidRDefault="00A60BCB" w:rsidP="0065729E">
      <w:pPr>
        <w:pStyle w:val="BulletUnindented"/>
      </w:pPr>
      <w:r w:rsidRPr="00E8461E">
        <w:rPr>
          <w:b/>
        </w:rPr>
        <w:t>Delivering care closer to home where clinically appropriate</w:t>
      </w:r>
      <w:r w:rsidRPr="00E8461E">
        <w:rPr>
          <w:b/>
          <w:bCs/>
        </w:rPr>
        <w:t xml:space="preserve">: </w:t>
      </w:r>
      <w:r w:rsidRPr="00E8461E">
        <w:t xml:space="preserve">Telehealth and Hospital in the Home can provide outpatient care for patients that is clinically appropriate, more </w:t>
      </w:r>
      <w:proofErr w:type="gramStart"/>
      <w:r w:rsidRPr="00E8461E">
        <w:t>accessible</w:t>
      </w:r>
      <w:proofErr w:type="gramEnd"/>
      <w:r w:rsidRPr="00E8461E">
        <w:t xml:space="preserve"> and more convenient for patients, while reducing patient travel emissions. In response to the COVID-19 pandemic, the Australian Government introduced temporary telehealth </w:t>
      </w:r>
      <w:r w:rsidR="009D151C" w:rsidRPr="00E8461E">
        <w:t>Medicare Benefits Schedule (</w:t>
      </w:r>
      <w:r w:rsidRPr="00E8461E">
        <w:t>MBS</w:t>
      </w:r>
      <w:r w:rsidR="009D151C" w:rsidRPr="00E8461E">
        <w:t>)</w:t>
      </w:r>
      <w:r w:rsidRPr="00E8461E">
        <w:t xml:space="preserve"> items to ensure safe access to health care. Telehealth accounted for 14% of specialist consultations across Australia from March to September 2020. A review and survey conducted by the Royal Australasian College of Surgeons </w:t>
      </w:r>
      <w:r w:rsidRPr="00E8461E">
        <w:rPr>
          <w:rFonts w:ascii="Calibri" w:hAnsi="Calibri" w:cs="Calibri"/>
          <w:color w:val="000000"/>
          <w:shd w:val="clear" w:color="auto" w:fill="FFFFFF"/>
        </w:rPr>
        <w:t xml:space="preserve">found patients felt telehealth services saved time and money and improved access to specialty care; 94% of patients said they were satisfied with the quality of their </w:t>
      </w:r>
      <w:r w:rsidRPr="00E8461E">
        <w:rPr>
          <w:rFonts w:ascii="Calibri" w:hAnsi="Calibri" w:cs="Calibri"/>
          <w:color w:val="000000"/>
        </w:rPr>
        <w:t>telehealth</w:t>
      </w:r>
      <w:r w:rsidRPr="00E8461E">
        <w:rPr>
          <w:rFonts w:ascii="Calibri" w:hAnsi="Calibri" w:cs="Calibri"/>
          <w:color w:val="000000"/>
          <w:shd w:val="clear" w:color="auto" w:fill="FFFFFF"/>
        </w:rPr>
        <w:t xml:space="preserve"> consultation.</w:t>
      </w:r>
      <w:r w:rsidR="00775ADA" w:rsidRPr="00E8461E">
        <w:rPr>
          <w:rStyle w:val="EndnoteReference"/>
        </w:rPr>
        <w:endnoteReference w:id="161"/>
      </w:r>
      <w:r w:rsidRPr="00E8461E">
        <w:rPr>
          <w:rFonts w:ascii="Calibri" w:hAnsi="Calibri" w:cs="Calibri"/>
          <w:color w:val="000000"/>
          <w:shd w:val="clear" w:color="auto" w:fill="FFFFFF"/>
        </w:rPr>
        <w:t xml:space="preserve"> </w:t>
      </w:r>
      <w:r w:rsidRPr="00E8461E">
        <w:rPr>
          <w:rFonts w:cstheme="minorHAnsi"/>
        </w:rPr>
        <w:t xml:space="preserve">The Virtual Clinical Care Centre is an effort by NSW Ambulance to manage the increased volume of emergency calls, especially during heightened demand such as the COVID-19 pandemic and the NSW North Coast floods. The </w:t>
      </w:r>
      <w:r w:rsidR="00352304" w:rsidRPr="00E8461E">
        <w:rPr>
          <w:rFonts w:cstheme="minorHAnsi"/>
        </w:rPr>
        <w:t xml:space="preserve">Centre </w:t>
      </w:r>
      <w:r w:rsidRPr="00E8461E">
        <w:rPr>
          <w:rFonts w:cstheme="minorHAnsi"/>
        </w:rPr>
        <w:t>facilitates advance handling of low acuity cases, ensuring emergency resources are prioritised for critical situations, while providing care guidance to others.</w:t>
      </w:r>
      <w:r w:rsidRPr="00E8461E">
        <w:rPr>
          <w:rStyle w:val="EndnoteReference"/>
          <w:rFonts w:cstheme="minorHAnsi"/>
        </w:rPr>
        <w:endnoteReference w:id="162"/>
      </w:r>
      <w:r w:rsidR="00A44C75" w:rsidRPr="00E8461E">
        <w:rPr>
          <w:rFonts w:cstheme="minorHAnsi"/>
        </w:rPr>
        <w:t xml:space="preserve"> </w:t>
      </w:r>
      <w:r w:rsidR="004A13E8" w:rsidRPr="00E8461E">
        <w:rPr>
          <w:rFonts w:cstheme="minorHAnsi"/>
        </w:rPr>
        <w:t xml:space="preserve">The </w:t>
      </w:r>
      <w:r w:rsidR="005F7034" w:rsidRPr="00E8461E">
        <w:rPr>
          <w:rFonts w:cstheme="minorHAnsi"/>
        </w:rPr>
        <w:t>Medicare Benefits Schedule Review Advisory Committe</w:t>
      </w:r>
      <w:r w:rsidR="005544B6" w:rsidRPr="00E8461E">
        <w:rPr>
          <w:rFonts w:cstheme="minorHAnsi"/>
        </w:rPr>
        <w:t xml:space="preserve">e </w:t>
      </w:r>
      <w:r w:rsidR="00E848C1" w:rsidRPr="00E8461E">
        <w:rPr>
          <w:rFonts w:cstheme="minorHAnsi"/>
        </w:rPr>
        <w:t>has conducted a Post Implementation Review of Telehealth MBS items</w:t>
      </w:r>
      <w:r w:rsidR="00DB7DB8" w:rsidRPr="00E8461E">
        <w:rPr>
          <w:rFonts w:cstheme="minorHAnsi"/>
        </w:rPr>
        <w:t xml:space="preserve"> and considers it appro</w:t>
      </w:r>
      <w:r w:rsidR="00470B20" w:rsidRPr="00E8461E">
        <w:rPr>
          <w:rFonts w:cstheme="minorHAnsi"/>
        </w:rPr>
        <w:t>priate the Government continue</w:t>
      </w:r>
      <w:r w:rsidR="001529A9" w:rsidRPr="00E8461E">
        <w:rPr>
          <w:rFonts w:cstheme="minorHAnsi"/>
        </w:rPr>
        <w:t>s</w:t>
      </w:r>
      <w:r w:rsidR="00470B20" w:rsidRPr="00E8461E">
        <w:rPr>
          <w:rFonts w:cstheme="minorHAnsi"/>
        </w:rPr>
        <w:t xml:space="preserve"> supporting </w:t>
      </w:r>
      <w:r w:rsidR="00906053" w:rsidRPr="00E8461E">
        <w:rPr>
          <w:rFonts w:cstheme="minorHAnsi"/>
        </w:rPr>
        <w:t xml:space="preserve">the </w:t>
      </w:r>
      <w:r w:rsidR="00470B20" w:rsidRPr="00E8461E">
        <w:rPr>
          <w:rFonts w:cstheme="minorHAnsi"/>
        </w:rPr>
        <w:t>better uptake of telehealth where quality and safety standards can be met.</w:t>
      </w:r>
    </w:p>
    <w:p w14:paraId="2C6EDF0D" w14:textId="77777777" w:rsidR="00A60BCB" w:rsidRPr="00E8461E" w:rsidRDefault="00A60BCB" w:rsidP="0065729E">
      <w:pPr>
        <w:pStyle w:val="BulletUnindented"/>
        <w:rPr>
          <w:b/>
        </w:rPr>
      </w:pPr>
      <w:r w:rsidRPr="00E8461E">
        <w:rPr>
          <w:b/>
        </w:rPr>
        <w:t xml:space="preserve">Changing modes of delivery of medicines, medical </w:t>
      </w:r>
      <w:proofErr w:type="gramStart"/>
      <w:r w:rsidRPr="00E8461E">
        <w:rPr>
          <w:b/>
        </w:rPr>
        <w:t>supplies</w:t>
      </w:r>
      <w:proofErr w:type="gramEnd"/>
      <w:r w:rsidRPr="00E8461E">
        <w:rPr>
          <w:b/>
        </w:rPr>
        <w:t xml:space="preserve"> and community visits: </w:t>
      </w:r>
      <w:r w:rsidRPr="00E8461E">
        <w:t>Not all courier services or community visits need to be undertaken in a motor vehicle. NHS trusts across England have been piloting alternative modes of travel and transport. For example, chemotherapy medicines are now delivered to hospital sites via cycle couriers in Oxford University Hospital NHS Foundation Trust and by drone from Queen Alexandra Hospital in Portsmouth to St Mary’s Hospital on the Isle of Wight.</w:t>
      </w:r>
      <w:r w:rsidRPr="00E8461E">
        <w:rPr>
          <w:rStyle w:val="EndnoteReference"/>
        </w:rPr>
        <w:endnoteReference w:id="163"/>
      </w:r>
    </w:p>
    <w:p w14:paraId="346FC1C7" w14:textId="55A3353A" w:rsidR="00A60BCB" w:rsidRPr="00E8461E" w:rsidRDefault="00A60BCB" w:rsidP="0065729E">
      <w:pPr>
        <w:pStyle w:val="BulletUnindented"/>
        <w:rPr>
          <w:b/>
        </w:rPr>
      </w:pPr>
      <w:r w:rsidRPr="00E8461E">
        <w:rPr>
          <w:b/>
        </w:rPr>
        <w:t xml:space="preserve">Supporting active travel among staff and patients: </w:t>
      </w:r>
      <w:r w:rsidRPr="00E8461E">
        <w:t>Interventions to support zero emissions staff travel include showering, changing and locker facilities, and salary sacrifice schemes for bicycles. Increased active travel is associated with improved staff physical and mental health and wellbeing and can also lower staff sickness and absenteeism.</w:t>
      </w:r>
      <w:r w:rsidRPr="00E8461E">
        <w:rPr>
          <w:rStyle w:val="EndnoteReference"/>
        </w:rPr>
        <w:endnoteReference w:id="164"/>
      </w:r>
    </w:p>
    <w:p w14:paraId="3E69B0C8" w14:textId="77777777" w:rsidR="00A60BCB" w:rsidRPr="00E8461E" w:rsidRDefault="00A60BCB" w:rsidP="0065729E">
      <w:pPr>
        <w:pStyle w:val="BulletUnindented"/>
      </w:pPr>
      <w:r w:rsidRPr="00E8461E">
        <w:rPr>
          <w:b/>
          <w:bCs/>
        </w:rPr>
        <w:t xml:space="preserve">Working with local councils and state and territory governments to improve public transport options to health and aged care facilities: </w:t>
      </w:r>
      <w:r w:rsidRPr="00E8461E">
        <w:t>Walking or cycling to health and aged care facilities may not be possible or practical, including because of disability and/or long distances from services. Furthermore, almost 700,000 households in Australia do not have a motor vehicle and therefore driving to health and aged care facilities may not be an option.</w:t>
      </w:r>
      <w:r w:rsidRPr="00E8461E">
        <w:rPr>
          <w:rStyle w:val="EndnoteReference"/>
        </w:rPr>
        <w:endnoteReference w:id="165"/>
      </w:r>
      <w:r w:rsidRPr="00E8461E">
        <w:t xml:space="preserve"> Improving public transport options to health services will improve access and reduce inequities. It can also reduce health system emissions from staff and patient travel as public transport becomes cheaper and more convenient.</w:t>
      </w:r>
    </w:p>
    <w:p w14:paraId="6284E75D" w14:textId="74C53454" w:rsidR="00A60BCB" w:rsidRPr="00E8461E" w:rsidRDefault="00A60BCB" w:rsidP="00A60BCB">
      <w:pPr>
        <w:rPr>
          <w:lang w:val="en-GB"/>
        </w:rPr>
      </w:pPr>
      <w:r w:rsidRPr="00E8461E">
        <w:rPr>
          <w:lang w:val="en-GB"/>
        </w:rPr>
        <w:t>The Australian Government launched the National Electric Vehicle Strategy in 2023.</w:t>
      </w:r>
      <w:r w:rsidRPr="00E8461E">
        <w:rPr>
          <w:rStyle w:val="EndnoteReference"/>
          <w:lang w:val="en-GB"/>
        </w:rPr>
        <w:endnoteReference w:id="166"/>
      </w:r>
      <w:r w:rsidRPr="00E8461E">
        <w:rPr>
          <w:lang w:val="en-GB"/>
        </w:rPr>
        <w:t xml:space="preserve"> This Strategy builds on existing state and territory electric vehicle targets and will support the efforts of state and territory health systems to electrify their vehicle fleets by introducing the national fuel efficiency standard, a key intention of which is to increase the availability of affordable electric vehicles in Australia.</w:t>
      </w:r>
    </w:p>
    <w:p w14:paraId="233236EC" w14:textId="77777777" w:rsidR="008821D3" w:rsidRPr="00E8461E" w:rsidRDefault="008821D3" w:rsidP="008821D3"/>
    <w:p w14:paraId="47AB8ACD" w14:textId="63FC4672" w:rsidR="008821D3" w:rsidRPr="00E8461E" w:rsidRDefault="008821D3">
      <w:pPr>
        <w:spacing w:after="160" w:line="259" w:lineRule="auto"/>
      </w:pPr>
      <w:r w:rsidRPr="00E8461E">
        <w:br w:type="page"/>
      </w:r>
    </w:p>
    <w:p w14:paraId="1AF8C6BF" w14:textId="6E802F57" w:rsidR="008821D3" w:rsidRPr="00E8461E" w:rsidRDefault="008821D3" w:rsidP="008821D3">
      <w:pPr>
        <w:pStyle w:val="Caption"/>
      </w:pPr>
      <w:r w:rsidRPr="00E8461E">
        <w:lastRenderedPageBreak/>
        <w:t xml:space="preserve">Figure </w:t>
      </w:r>
      <w:r w:rsidR="00B07FA8">
        <w:fldChar w:fldCharType="begin"/>
      </w:r>
      <w:r w:rsidR="00B07FA8">
        <w:instrText xml:space="preserve"> SEQ Figure \* ARABIC </w:instrText>
      </w:r>
      <w:r w:rsidR="00B07FA8">
        <w:fldChar w:fldCharType="separate"/>
      </w:r>
      <w:r w:rsidR="003E7FC6" w:rsidRPr="00E8461E">
        <w:rPr>
          <w:noProof/>
        </w:rPr>
        <w:t>10</w:t>
      </w:r>
      <w:r w:rsidR="00B07FA8">
        <w:rPr>
          <w:noProof/>
        </w:rPr>
        <w:fldChar w:fldCharType="end"/>
      </w:r>
      <w:r w:rsidRPr="00E8461E">
        <w:t xml:space="preserve"> Decarbonising travel and transport</w:t>
      </w:r>
    </w:p>
    <w:p w14:paraId="20A16B50" w14:textId="4002D4D3" w:rsidR="008821D3" w:rsidRPr="00E8461E" w:rsidRDefault="008821D3" w:rsidP="008821D3">
      <w:r w:rsidRPr="00E8461E">
        <w:rPr>
          <w:noProof/>
        </w:rPr>
        <w:drawing>
          <wp:inline distT="0" distB="0" distL="0" distR="0" wp14:anchorId="724A24CA" wp14:editId="1BC7DEB6">
            <wp:extent cx="6119903" cy="7458075"/>
            <wp:effectExtent l="0" t="0" r="0" b="0"/>
            <wp:docPr id="20" name="Picture 20" descr="A diagram showing actions for decarbonising travel and transport which reads:&#10;• Electrifying the fleet and private vehicles&#10;• Supporting active travel among staff and patients&#10;• Delivering care closer to home where clinically appropriate&#10;• Changing modes of delivery of medicines, medical supplies and community visits&#10;• Working with local councils to improve public transport options to health and aged care facil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ctions for decarbonising travel and transport which reads:&#10;• Electrifying the fleet and private vehicles&#10;• Supporting active travel among staff and patients&#10;• Delivering care closer to home where clinically appropriate&#10;• Changing modes of delivery of medicines, medical supplies and community visits&#10;• Working with local councils to improve public transport options to health and aged care facilities. &#10;"/>
                    <pic:cNvPicPr/>
                  </pic:nvPicPr>
                  <pic:blipFill rotWithShape="1">
                    <a:blip r:embed="rId37" cstate="print">
                      <a:extLst>
                        <a:ext uri="{28A0092B-C50C-407E-A947-70E740481C1C}">
                          <a14:useLocalDpi xmlns:a14="http://schemas.microsoft.com/office/drawing/2010/main" val="0"/>
                        </a:ext>
                      </a:extLst>
                    </a:blip>
                    <a:srcRect t="7299" b="3391"/>
                    <a:stretch/>
                  </pic:blipFill>
                  <pic:spPr bwMode="auto">
                    <a:xfrm>
                      <a:off x="0" y="0"/>
                      <a:ext cx="6120384" cy="7458662"/>
                    </a:xfrm>
                    <a:prstGeom prst="rect">
                      <a:avLst/>
                    </a:prstGeom>
                    <a:ln>
                      <a:noFill/>
                    </a:ln>
                    <a:extLst>
                      <a:ext uri="{53640926-AAD7-44D8-BBD7-CCE9431645EC}">
                        <a14:shadowObscured xmlns:a14="http://schemas.microsoft.com/office/drawing/2010/main"/>
                      </a:ext>
                    </a:extLst>
                  </pic:spPr>
                </pic:pic>
              </a:graphicData>
            </a:graphic>
          </wp:inline>
        </w:drawing>
      </w:r>
    </w:p>
    <w:p w14:paraId="0F2D6AE4" w14:textId="5DFD8428" w:rsidR="008821D3" w:rsidRPr="00E8461E" w:rsidRDefault="008821D3">
      <w:pPr>
        <w:spacing w:after="160" w:line="259" w:lineRule="auto"/>
      </w:pPr>
      <w:r w:rsidRPr="00E8461E">
        <w:br w:type="page"/>
      </w:r>
    </w:p>
    <w:p w14:paraId="3B0D4987" w14:textId="71A6A1FD" w:rsidR="003A3AE0" w:rsidRPr="00E8461E" w:rsidRDefault="00D80EFD" w:rsidP="00D80EFD">
      <w:pPr>
        <w:pStyle w:val="Heading4"/>
        <w:rPr>
          <w:iCs w:val="0"/>
        </w:rPr>
      </w:pPr>
      <w:r w:rsidRPr="00E8461E">
        <w:rPr>
          <w:iCs w:val="0"/>
        </w:rPr>
        <w:lastRenderedPageBreak/>
        <w:t>Case study 10</w:t>
      </w:r>
    </w:p>
    <w:p w14:paraId="07CA81E9" w14:textId="77777777" w:rsidR="003A3AE0" w:rsidRPr="00E8461E" w:rsidRDefault="003A3AE0" w:rsidP="003A3AE0">
      <w:pPr>
        <w:rPr>
          <w:b/>
          <w:bCs/>
          <w:lang w:val="en-GB"/>
        </w:rPr>
      </w:pPr>
      <w:r w:rsidRPr="00E8461E">
        <w:rPr>
          <w:b/>
          <w:bCs/>
          <w:lang w:val="en-GB"/>
        </w:rPr>
        <w:t>Royal Melbourne Hospital telehealth program</w:t>
      </w:r>
    </w:p>
    <w:p w14:paraId="7EE66E27" w14:textId="77777777" w:rsidR="003A3AE0" w:rsidRPr="00E8461E" w:rsidRDefault="003A3AE0" w:rsidP="003A3AE0">
      <w:pPr>
        <w:rPr>
          <w:lang w:val="en-GB"/>
        </w:rPr>
      </w:pPr>
      <w:r w:rsidRPr="00E8461E">
        <w:rPr>
          <w:lang w:val="en-GB"/>
        </w:rPr>
        <w:t>The advent of telehealth, accelerated by the COVID-19 pandemic, has transformed healthcare. Telehealth is a promising avenue for curbing emissions linked to patient travel, while also fostering patient-centred care closer to home where clinically suitable. The telehealth team at Royal Melbourne Hospital facilitated over 83,000 outpatient telehealth appointments between January and November 2022, effectively circumventing the need for many patients to travel for in-person consultations. These appointments avoided 12 million km of patient travel, equal to 2.4 kt of CO2-e emissions.</w:t>
      </w:r>
    </w:p>
    <w:p w14:paraId="6E9119C8" w14:textId="691CDC4E" w:rsidR="003A3AE0" w:rsidRPr="00E8461E" w:rsidRDefault="003A3AE0" w:rsidP="003A3AE0">
      <w:pPr>
        <w:pBdr>
          <w:bottom w:val="single" w:sz="12" w:space="1" w:color="008A95" w:themeColor="accent1"/>
        </w:pBdr>
        <w:rPr>
          <w:lang w:val="en-GB"/>
        </w:rPr>
      </w:pPr>
      <w:r w:rsidRPr="00E8461E">
        <w:rPr>
          <w:lang w:val="en-GB"/>
        </w:rPr>
        <w:t>With patients and accompanying support persons required to wear N95 masks at RMH, during this time an estimated 100,000 N95 masks were saved, corresponding to emissions savings of 6.7 tonnes of CO2-e and cost savings of $154,000. These savings also allowed redistribution of N95 masks during a time of acute shortage.</w:t>
      </w:r>
    </w:p>
    <w:p w14:paraId="0CE55A5F" w14:textId="51E0FE84" w:rsidR="00A60BCB" w:rsidRPr="00E8461E" w:rsidRDefault="00A60BCB" w:rsidP="00A60BCB">
      <w:pPr>
        <w:rPr>
          <w:lang w:val="en-GB"/>
        </w:rPr>
      </w:pPr>
    </w:p>
    <w:p w14:paraId="12BEA86E" w14:textId="77777777" w:rsidR="003A3AE0" w:rsidRPr="00E8461E" w:rsidRDefault="003A3AE0" w:rsidP="00D80EFD">
      <w:pPr>
        <w:pStyle w:val="Heading4"/>
        <w:rPr>
          <w:iCs w:val="0"/>
        </w:rPr>
      </w:pPr>
      <w:r w:rsidRPr="00E8461E">
        <w:rPr>
          <w:iCs w:val="0"/>
        </w:rPr>
        <w:t>Action 4.11</w:t>
      </w:r>
    </w:p>
    <w:p w14:paraId="37502D49" w14:textId="77777777" w:rsidR="003A3AE0" w:rsidRPr="00E8461E" w:rsidRDefault="003A3AE0" w:rsidP="003A3AE0">
      <w:pPr>
        <w:rPr>
          <w:b/>
          <w:lang w:val="en-GB"/>
        </w:rPr>
      </w:pPr>
      <w:r w:rsidRPr="00E8461E">
        <w:rPr>
          <w:b/>
          <w:lang w:val="en-GB"/>
        </w:rPr>
        <w:t>Sharing best practice in reducing ambulance emissions</w:t>
      </w:r>
    </w:p>
    <w:p w14:paraId="3F90E8B1" w14:textId="19E616E3" w:rsidR="003A3AE0" w:rsidRPr="00E8461E" w:rsidRDefault="003A3AE0" w:rsidP="003A3AE0">
      <w:pPr>
        <w:pBdr>
          <w:bottom w:val="single" w:sz="12" w:space="1" w:color="008A95" w:themeColor="accent1"/>
        </w:pBdr>
        <w:rPr>
          <w:lang w:val="en-GB"/>
        </w:rPr>
      </w:pPr>
      <w:r w:rsidRPr="00E8461E">
        <w:rPr>
          <w:lang w:val="en-GB"/>
        </w:rPr>
        <w:t>The Australian Government and the Council of Ambulance Authorities will work together to promote knowledge sharing and data collection among state and territory ambulance services and other patient transport providers, also drawing on international experience, to adopt best practices in reducing emissions from ambulance services and to measure and report on progress.</w:t>
      </w:r>
    </w:p>
    <w:p w14:paraId="55F210C9" w14:textId="1E11C0AD" w:rsidR="00A60BCB" w:rsidRPr="00E8461E" w:rsidRDefault="00801482" w:rsidP="00571F10">
      <w:pPr>
        <w:pStyle w:val="Heading3"/>
      </w:pPr>
      <w:bookmarkStart w:id="168" w:name="_Toc149909990"/>
      <w:bookmarkStart w:id="169" w:name="_Toc149918455"/>
      <w:r w:rsidRPr="00E8461E">
        <w:t>4</w:t>
      </w:r>
      <w:r w:rsidR="00A60BCB" w:rsidRPr="00E8461E">
        <w:t>.5.4 Medicines and gases</w:t>
      </w:r>
      <w:bookmarkEnd w:id="168"/>
      <w:bookmarkEnd w:id="169"/>
    </w:p>
    <w:p w14:paraId="7C69F231" w14:textId="2E301927" w:rsidR="00A60BCB" w:rsidRPr="00E8461E" w:rsidRDefault="00A60BCB" w:rsidP="00A60BCB">
      <w:r w:rsidRPr="00E8461E">
        <w:t xml:space="preserve">This section considers medicines and gases that generate greenhouse gases at the point of use – in particular, </w:t>
      </w:r>
      <w:r w:rsidRPr="00E8461E">
        <w:rPr>
          <w:lang w:val="en-GB"/>
        </w:rPr>
        <w:t>anaesthetic gases and pressurised metered dose inhalers (</w:t>
      </w:r>
      <w:proofErr w:type="spellStart"/>
      <w:r w:rsidRPr="00E8461E">
        <w:rPr>
          <w:lang w:val="en-GB"/>
        </w:rPr>
        <w:t>pMDIs</w:t>
      </w:r>
      <w:proofErr w:type="spellEnd"/>
      <w:r w:rsidRPr="00E8461E">
        <w:rPr>
          <w:lang w:val="en-GB"/>
        </w:rPr>
        <w:t>)</w:t>
      </w:r>
      <w:r w:rsidR="009C7FCB" w:rsidRPr="00E8461E">
        <w:rPr>
          <w:lang w:val="en-GB"/>
        </w:rPr>
        <w:t xml:space="preserve"> – </w:t>
      </w:r>
      <w:r w:rsidRPr="00E8461E">
        <w:rPr>
          <w:lang w:val="en-GB"/>
        </w:rPr>
        <w:t>which are significant contributors to health system emissions</w:t>
      </w:r>
      <w:r w:rsidRPr="00E8461E">
        <w:t>. Reducing emissions of all medicines is addressed in other sections, through the inclusion of emissions considerations in Health Technology Assessments, tackling overprescribing, and reducing emissions in the supply chain.</w:t>
      </w:r>
    </w:p>
    <w:p w14:paraId="69F2A259" w14:textId="0F52DA62" w:rsidR="00A60BCB" w:rsidRPr="00E8461E" w:rsidRDefault="00A60BCB" w:rsidP="00A60BCB">
      <w:pPr>
        <w:rPr>
          <w:lang w:val="en-GB"/>
        </w:rPr>
      </w:pPr>
      <w:r w:rsidRPr="00E8461E">
        <w:rPr>
          <w:lang w:val="en-GB"/>
        </w:rPr>
        <w:t xml:space="preserve">Anaesthetic gases delivered through inhalation (known as volatile anaesthetics) include </w:t>
      </w:r>
      <w:proofErr w:type="spellStart"/>
      <w:r w:rsidRPr="00E8461E">
        <w:rPr>
          <w:lang w:val="en-GB"/>
        </w:rPr>
        <w:t>hydrofluoroethers</w:t>
      </w:r>
      <w:proofErr w:type="spellEnd"/>
      <w:r w:rsidRPr="00E8461E">
        <w:rPr>
          <w:lang w:val="en-GB"/>
        </w:rPr>
        <w:t xml:space="preserve"> (sevoflurane and desflurane), chlorofluorocarbons (isoflurane) and nitrous oxide.</w:t>
      </w:r>
      <w:r w:rsidRPr="00E8461E">
        <w:rPr>
          <w:rStyle w:val="EndnoteReference"/>
          <w:lang w:val="en-GB"/>
        </w:rPr>
        <w:endnoteReference w:id="167"/>
      </w:r>
      <w:r w:rsidRPr="00E8461E">
        <w:rPr>
          <w:lang w:val="en-GB"/>
        </w:rPr>
        <w:t xml:space="preserve"> Pressurised metered dose inhalers (</w:t>
      </w:r>
      <w:proofErr w:type="spellStart"/>
      <w:r w:rsidRPr="00E8461E">
        <w:rPr>
          <w:lang w:val="en-GB"/>
        </w:rPr>
        <w:t>pMDIs</w:t>
      </w:r>
      <w:proofErr w:type="spellEnd"/>
      <w:r w:rsidRPr="00E8461E">
        <w:rPr>
          <w:lang w:val="en-GB"/>
        </w:rPr>
        <w:t>) are prescribed to patients to treat respiratory illnesses, including asthma and chronic obstructive pulmonary disease, and use hydrofluorocarbon propellants.</w:t>
      </w:r>
      <w:r w:rsidRPr="00E8461E">
        <w:rPr>
          <w:rStyle w:val="EndnoteReference"/>
          <w:lang w:val="en-GB"/>
        </w:rPr>
        <w:endnoteReference w:id="168"/>
      </w:r>
      <w:r w:rsidRPr="00E8461E">
        <w:rPr>
          <w:lang w:val="en-GB"/>
        </w:rPr>
        <w:t xml:space="preserve"> Both nitrous oxide and fluorinated gases have a very high global warming potential compared to CO</w:t>
      </w:r>
      <w:r w:rsidRPr="00E8461E">
        <w:rPr>
          <w:vertAlign w:val="subscript"/>
          <w:lang w:val="en-GB"/>
        </w:rPr>
        <w:t>2</w:t>
      </w:r>
      <w:r w:rsidRPr="00E8461E">
        <w:rPr>
          <w:lang w:val="en-GB"/>
        </w:rPr>
        <w:t>.</w:t>
      </w:r>
    </w:p>
    <w:p w14:paraId="0A4CF80F" w14:textId="7890929A" w:rsidR="00A60BCB" w:rsidRPr="00E8461E" w:rsidRDefault="00A60BCB" w:rsidP="00A60BCB">
      <w:pPr>
        <w:rPr>
          <w:lang w:val="en-GB"/>
        </w:rPr>
      </w:pPr>
      <w:r w:rsidRPr="00E8461E">
        <w:rPr>
          <w:lang w:val="en-GB"/>
        </w:rPr>
        <w:t xml:space="preserve">Fortunately, there are safe and effective environmentally sustainable alternative inhalers and anaesthetic gases that are clinically appropriate </w:t>
      </w:r>
      <w:r w:rsidR="004D3DB4" w:rsidRPr="00E8461E">
        <w:rPr>
          <w:lang w:val="en-GB"/>
        </w:rPr>
        <w:t xml:space="preserve">(and </w:t>
      </w:r>
      <w:r w:rsidR="00491592" w:rsidRPr="00E8461E">
        <w:rPr>
          <w:lang w:val="en-GB"/>
        </w:rPr>
        <w:t>support high</w:t>
      </w:r>
      <w:r w:rsidR="00B645A0" w:rsidRPr="00E8461E">
        <w:rPr>
          <w:lang w:val="en-GB"/>
        </w:rPr>
        <w:t>-</w:t>
      </w:r>
      <w:r w:rsidR="00491592" w:rsidRPr="00E8461E">
        <w:rPr>
          <w:lang w:val="en-GB"/>
        </w:rPr>
        <w:t xml:space="preserve">quality care) </w:t>
      </w:r>
      <w:r w:rsidRPr="00E8461E">
        <w:rPr>
          <w:lang w:val="en-GB"/>
        </w:rPr>
        <w:t xml:space="preserve">for many patients. </w:t>
      </w:r>
      <w:r w:rsidR="009C4397" w:rsidRPr="00E8461E">
        <w:rPr>
          <w:lang w:val="en-GB"/>
        </w:rPr>
        <w:t xml:space="preserve">Emissions </w:t>
      </w:r>
      <w:r w:rsidR="001625EC" w:rsidRPr="00E8461E">
        <w:rPr>
          <w:lang w:val="en-GB"/>
        </w:rPr>
        <w:t xml:space="preserve">from </w:t>
      </w:r>
      <w:proofErr w:type="spellStart"/>
      <w:r w:rsidR="001625EC" w:rsidRPr="00E8461E">
        <w:rPr>
          <w:lang w:val="en-GB"/>
        </w:rPr>
        <w:t>pMDIs</w:t>
      </w:r>
      <w:proofErr w:type="spellEnd"/>
      <w:r w:rsidR="001625EC" w:rsidRPr="00E8461E">
        <w:rPr>
          <w:lang w:val="en-GB"/>
        </w:rPr>
        <w:t xml:space="preserve"> </w:t>
      </w:r>
      <w:r w:rsidR="003D544C" w:rsidRPr="00E8461E">
        <w:rPr>
          <w:lang w:val="en-GB"/>
        </w:rPr>
        <w:t xml:space="preserve">can </w:t>
      </w:r>
      <w:r w:rsidR="00671545" w:rsidRPr="00E8461E">
        <w:rPr>
          <w:lang w:val="en-GB"/>
        </w:rPr>
        <w:t xml:space="preserve">first be supported by ensuring </w:t>
      </w:r>
      <w:r w:rsidR="00371F86" w:rsidRPr="00E8461E">
        <w:rPr>
          <w:lang w:val="en-GB"/>
        </w:rPr>
        <w:t xml:space="preserve">respiratory patients </w:t>
      </w:r>
      <w:r w:rsidR="00C465E6" w:rsidRPr="00E8461E">
        <w:rPr>
          <w:lang w:val="en-GB"/>
        </w:rPr>
        <w:t xml:space="preserve">are receiving </w:t>
      </w:r>
      <w:r w:rsidR="007725F6" w:rsidRPr="00E8461E">
        <w:rPr>
          <w:lang w:val="en-GB"/>
        </w:rPr>
        <w:t>high-quality, evidence-based care, through correct diagnosis</w:t>
      </w:r>
      <w:r w:rsidR="00F52F2E" w:rsidRPr="00E8461E">
        <w:rPr>
          <w:lang w:val="en-GB"/>
        </w:rPr>
        <w:t xml:space="preserve">, use of </w:t>
      </w:r>
      <w:r w:rsidR="00FC2B19" w:rsidRPr="00E8461E">
        <w:rPr>
          <w:lang w:val="en-GB"/>
        </w:rPr>
        <w:t xml:space="preserve">preventive </w:t>
      </w:r>
      <w:r w:rsidR="00F52F2E" w:rsidRPr="00E8461E">
        <w:rPr>
          <w:lang w:val="en-GB"/>
        </w:rPr>
        <w:t>medication</w:t>
      </w:r>
      <w:r w:rsidR="00C273B0" w:rsidRPr="00E8461E">
        <w:rPr>
          <w:lang w:val="en-GB"/>
        </w:rPr>
        <w:t xml:space="preserve"> and a</w:t>
      </w:r>
      <w:r w:rsidR="0060509C" w:rsidRPr="00E8461E">
        <w:rPr>
          <w:lang w:val="en-GB"/>
        </w:rPr>
        <w:t xml:space="preserve">voiding </w:t>
      </w:r>
      <w:r w:rsidR="00E70698" w:rsidRPr="00E8461E">
        <w:rPr>
          <w:lang w:val="en-GB"/>
        </w:rPr>
        <w:t xml:space="preserve">risk </w:t>
      </w:r>
      <w:r w:rsidR="0060509C" w:rsidRPr="00E8461E">
        <w:rPr>
          <w:lang w:val="en-GB"/>
        </w:rPr>
        <w:t xml:space="preserve">factors. </w:t>
      </w:r>
      <w:r w:rsidR="00221D12" w:rsidRPr="00E8461E">
        <w:rPr>
          <w:lang w:val="en-GB"/>
        </w:rPr>
        <w:t xml:space="preserve">Then, where clinically appropriate, </w:t>
      </w:r>
      <w:proofErr w:type="spellStart"/>
      <w:r w:rsidR="009608E4" w:rsidRPr="00E8461E">
        <w:rPr>
          <w:lang w:val="en-GB"/>
        </w:rPr>
        <w:t>pMDIs</w:t>
      </w:r>
      <w:proofErr w:type="spellEnd"/>
      <w:r w:rsidR="009608E4" w:rsidRPr="00E8461E">
        <w:rPr>
          <w:lang w:val="en-GB"/>
        </w:rPr>
        <w:t xml:space="preserve"> can be switched to d</w:t>
      </w:r>
      <w:r w:rsidRPr="00E8461E">
        <w:rPr>
          <w:lang w:val="en-GB"/>
        </w:rPr>
        <w:t>ry powder inhalers and soft mist inhalers</w:t>
      </w:r>
      <w:r w:rsidR="009608E4" w:rsidRPr="00E8461E">
        <w:rPr>
          <w:lang w:val="en-GB"/>
        </w:rPr>
        <w:t>, which</w:t>
      </w:r>
      <w:r w:rsidRPr="00E8461E">
        <w:rPr>
          <w:lang w:val="en-GB"/>
        </w:rPr>
        <w:t xml:space="preserve"> have a significantly smaller emissions footprint than </w:t>
      </w:r>
      <w:proofErr w:type="spellStart"/>
      <w:r w:rsidRPr="00E8461E">
        <w:rPr>
          <w:lang w:val="en-GB"/>
        </w:rPr>
        <w:t>pMDIs</w:t>
      </w:r>
      <w:proofErr w:type="spellEnd"/>
      <w:r w:rsidRPr="00E8461E">
        <w:rPr>
          <w:lang w:val="en-GB"/>
        </w:rPr>
        <w:t xml:space="preserve">. The </w:t>
      </w:r>
      <w:r w:rsidR="009B22BC" w:rsidRPr="00E8461E">
        <w:rPr>
          <w:lang w:val="en-GB"/>
        </w:rPr>
        <w:t>National Asthma Council Australia</w:t>
      </w:r>
      <w:r w:rsidRPr="00E8461E">
        <w:rPr>
          <w:lang w:val="en-GB"/>
        </w:rPr>
        <w:t xml:space="preserve"> recommends </w:t>
      </w:r>
      <w:proofErr w:type="spellStart"/>
      <w:r w:rsidRPr="00E8461E">
        <w:rPr>
          <w:lang w:val="en-GB"/>
        </w:rPr>
        <w:t>pMDIs</w:t>
      </w:r>
      <w:proofErr w:type="spellEnd"/>
      <w:r w:rsidRPr="00E8461E">
        <w:rPr>
          <w:lang w:val="en-GB"/>
        </w:rPr>
        <w:t xml:space="preserve"> for young children and people with severely limited inspiratory capacity.</w:t>
      </w:r>
      <w:r w:rsidR="00F07AA2" w:rsidRPr="00E8461E">
        <w:rPr>
          <w:rStyle w:val="EndnoteReference"/>
          <w:lang w:val="en-GB"/>
        </w:rPr>
        <w:endnoteReference w:id="169"/>
      </w:r>
      <w:r w:rsidRPr="00E8461E">
        <w:rPr>
          <w:lang w:val="en-GB"/>
        </w:rPr>
        <w:t xml:space="preserve"> However, for most people, a switch to dry powder inhalers can assist in reducing emissions without compromising patient </w:t>
      </w:r>
      <w:r w:rsidRPr="00E8461E">
        <w:rPr>
          <w:lang w:val="en-GB"/>
        </w:rPr>
        <w:lastRenderedPageBreak/>
        <w:t xml:space="preserve">care. Consumer engagement on the health and environmental benefits of switching to a dry powder inhaler will be an important aspect of making this switch. This would reduce emissions given </w:t>
      </w:r>
      <w:proofErr w:type="spellStart"/>
      <w:r w:rsidRPr="00E8461E">
        <w:rPr>
          <w:lang w:val="en-GB"/>
        </w:rPr>
        <w:t>pMDIs</w:t>
      </w:r>
      <w:proofErr w:type="spellEnd"/>
      <w:r w:rsidRPr="00E8461E">
        <w:rPr>
          <w:lang w:val="en-GB"/>
        </w:rPr>
        <w:t xml:space="preserve"> constitute the bulk of the several million inhalers used annually in Australia.</w:t>
      </w:r>
      <w:r w:rsidRPr="00E8461E">
        <w:rPr>
          <w:rStyle w:val="EndnoteReference"/>
          <w:lang w:val="en-GB"/>
        </w:rPr>
        <w:endnoteReference w:id="170"/>
      </w:r>
    </w:p>
    <w:p w14:paraId="5DC9BD6F" w14:textId="5D551634" w:rsidR="008F1C13" w:rsidRPr="00E8461E" w:rsidRDefault="00A60BCB" w:rsidP="00A60BCB">
      <w:pPr>
        <w:rPr>
          <w:lang w:val="en-GB"/>
        </w:rPr>
      </w:pPr>
      <w:r w:rsidRPr="00E8461E">
        <w:rPr>
          <w:lang w:val="en-GB"/>
        </w:rPr>
        <w:t>Desflurane is an inhalational anaesthetic with a 100-year global warming potential over 2500 times that of CO</w:t>
      </w:r>
      <w:r w:rsidRPr="00E8461E">
        <w:rPr>
          <w:vertAlign w:val="subscript"/>
          <w:lang w:val="en-GB"/>
        </w:rPr>
        <w:t>2</w:t>
      </w:r>
      <w:r w:rsidRPr="00E8461E">
        <w:rPr>
          <w:lang w:val="en-GB"/>
        </w:rPr>
        <w:t>. It also has a global warming impact around 13 times greater than that of sevoflurane,</w:t>
      </w:r>
      <w:r w:rsidR="00340919" w:rsidRPr="00E8461E">
        <w:rPr>
          <w:rStyle w:val="EndnoteReference"/>
          <w:lang w:val="en-GB"/>
        </w:rPr>
        <w:t xml:space="preserve"> </w:t>
      </w:r>
      <w:r w:rsidRPr="00E8461E">
        <w:rPr>
          <w:lang w:val="en-GB"/>
        </w:rPr>
        <w:t>another anaesthetic gas used for similar clinical indications, with no proven clinical benefit to using desflurane over sevoflurane or other agents</w:t>
      </w:r>
      <w:r w:rsidRPr="00E8461E" w:rsidDel="00504A30">
        <w:rPr>
          <w:lang w:val="en-GB"/>
        </w:rPr>
        <w:t>.</w:t>
      </w:r>
      <w:r w:rsidR="00EE1190" w:rsidRPr="00E8461E">
        <w:rPr>
          <w:rStyle w:val="EndnoteReference"/>
          <w:lang w:val="en-GB"/>
        </w:rPr>
        <w:endnoteReference w:id="171"/>
      </w:r>
      <w:r w:rsidR="00A16291" w:rsidRPr="00E8461E">
        <w:rPr>
          <w:rStyle w:val="EndnoteReference"/>
          <w:lang w:val="en-GB"/>
        </w:rPr>
        <w:t>,</w:t>
      </w:r>
      <w:r w:rsidRPr="00E8461E">
        <w:rPr>
          <w:rStyle w:val="EndnoteReference"/>
          <w:lang w:val="en-GB"/>
        </w:rPr>
        <w:endnoteReference w:id="172"/>
      </w:r>
      <w:r w:rsidRPr="00E8461E">
        <w:rPr>
          <w:lang w:val="en-GB"/>
        </w:rPr>
        <w:t xml:space="preserve"> Desflurane use has also been found to be significantly more expensive than alternatives</w:t>
      </w:r>
      <w:r w:rsidR="001820D3" w:rsidRPr="00E8461E">
        <w:rPr>
          <w:lang w:val="en-GB"/>
        </w:rPr>
        <w:t xml:space="preserve">. </w:t>
      </w:r>
      <w:r w:rsidRPr="00E8461E">
        <w:rPr>
          <w:lang w:val="en-GB"/>
        </w:rPr>
        <w:t xml:space="preserve">Although desflurane is (like other fluorinated anaesthetic gases) not reportable under the Paris Agreement and therefore not part of Australia’s National Greenhouse Accounts, given it makes a significant contribution to health system emissions and clinically safe alternatives are available, its phase-out is an important priority </w:t>
      </w:r>
      <w:r w:rsidR="00D94E22" w:rsidRPr="00E8461E">
        <w:rPr>
          <w:lang w:val="en-GB"/>
        </w:rPr>
        <w:t xml:space="preserve">in </w:t>
      </w:r>
      <w:r w:rsidRPr="00E8461E">
        <w:rPr>
          <w:lang w:val="en-GB"/>
        </w:rPr>
        <w:t>reducing Australia’s health system emissions.</w:t>
      </w:r>
    </w:p>
    <w:p w14:paraId="6FEBDF69" w14:textId="3ED913F7" w:rsidR="00212C6E" w:rsidRPr="00E8461E" w:rsidRDefault="0016162C" w:rsidP="000227C5">
      <w:pPr>
        <w:tabs>
          <w:tab w:val="left" w:pos="6237"/>
        </w:tabs>
      </w:pPr>
      <w:r w:rsidRPr="00E8461E">
        <w:rPr>
          <w:lang w:val="en-GB"/>
        </w:rPr>
        <w:t>In 2021, Alfred Health in Melbourne became one of the first health services in Australia to stop using</w:t>
      </w:r>
      <w:r w:rsidR="00ED437B" w:rsidRPr="00E8461E">
        <w:rPr>
          <w:lang w:val="en-GB"/>
        </w:rPr>
        <w:t xml:space="preserve"> desflurane</w:t>
      </w:r>
      <w:r w:rsidRPr="00E8461E">
        <w:rPr>
          <w:lang w:val="en-GB"/>
        </w:rPr>
        <w:t xml:space="preserve">. </w:t>
      </w:r>
      <w:r w:rsidR="00335885" w:rsidRPr="00E8461E">
        <w:rPr>
          <w:lang w:val="en-GB"/>
        </w:rPr>
        <w:t>They found that</w:t>
      </w:r>
      <w:r w:rsidR="00335885" w:rsidRPr="00E8461E">
        <w:t xml:space="preserve"> </w:t>
      </w:r>
      <w:r w:rsidR="00335885" w:rsidRPr="00E8461E">
        <w:rPr>
          <w:lang w:val="en-GB"/>
        </w:rPr>
        <w:t>between 2012 and 2018, they purchased an average of 336 desflurane bottles per annum, meaning r</w:t>
      </w:r>
      <w:r w:rsidR="00ED437B" w:rsidRPr="00E8461E">
        <w:rPr>
          <w:lang w:val="en-GB"/>
        </w:rPr>
        <w:t xml:space="preserve">emoving desflurane </w:t>
      </w:r>
      <w:r w:rsidR="00AC2A57" w:rsidRPr="00E8461E">
        <w:rPr>
          <w:lang w:val="en-GB"/>
        </w:rPr>
        <w:t>would save</w:t>
      </w:r>
      <w:r w:rsidR="00ED437B" w:rsidRPr="00E8461E">
        <w:rPr>
          <w:lang w:val="en-GB"/>
        </w:rPr>
        <w:t xml:space="preserve"> 290 tonnes CO</w:t>
      </w:r>
      <w:r w:rsidR="00ED437B" w:rsidRPr="00E8461E">
        <w:rPr>
          <w:vertAlign w:val="subscript"/>
          <w:lang w:val="en-GB"/>
        </w:rPr>
        <w:t>2</w:t>
      </w:r>
      <w:r w:rsidR="00ED437B" w:rsidRPr="00E8461E">
        <w:rPr>
          <w:lang w:val="en-GB"/>
        </w:rPr>
        <w:t xml:space="preserve">-e per annum compared to </w:t>
      </w:r>
      <w:r w:rsidR="00AC2A57" w:rsidRPr="00E8461E">
        <w:rPr>
          <w:lang w:val="en-GB"/>
        </w:rPr>
        <w:t>use over these years</w:t>
      </w:r>
      <w:r w:rsidR="000161DE" w:rsidRPr="00E8461E">
        <w:rPr>
          <w:lang w:val="en-GB"/>
        </w:rPr>
        <w:t xml:space="preserve"> and </w:t>
      </w:r>
      <w:r w:rsidR="00ED1918" w:rsidRPr="00E8461E">
        <w:rPr>
          <w:lang w:val="en-GB"/>
        </w:rPr>
        <w:t>provided the hospital a cost saving of $</w:t>
      </w:r>
      <w:r w:rsidR="00AE37C4" w:rsidRPr="00E8461E">
        <w:rPr>
          <w:lang w:val="en-GB"/>
        </w:rPr>
        <w:t>22,491 in 2021 alone</w:t>
      </w:r>
      <w:r w:rsidR="00ED437B" w:rsidRPr="00E8461E">
        <w:rPr>
          <w:lang w:val="en-GB"/>
        </w:rPr>
        <w:t xml:space="preserve">. </w:t>
      </w:r>
      <w:r w:rsidR="008F1C13" w:rsidRPr="00E8461E">
        <w:t>In October 2023, WA Health became the first public health jurisdiction in Australia to remove desflurane from its state</w:t>
      </w:r>
      <w:r w:rsidR="00B36B0E" w:rsidRPr="00E8461E">
        <w:t>-</w:t>
      </w:r>
      <w:r w:rsidR="008F1C13" w:rsidRPr="00E8461E">
        <w:t xml:space="preserve">wide </w:t>
      </w:r>
      <w:proofErr w:type="gramStart"/>
      <w:r w:rsidR="008F1C13" w:rsidRPr="00E8461E">
        <w:t>medicines</w:t>
      </w:r>
      <w:proofErr w:type="gramEnd"/>
      <w:r w:rsidR="008F1C13" w:rsidRPr="00E8461E">
        <w:t xml:space="preserve"> formulary</w:t>
      </w:r>
      <w:r w:rsidR="00A05C00" w:rsidRPr="00E8461E">
        <w:t xml:space="preserve"> (case study </w:t>
      </w:r>
      <w:r w:rsidR="00693CA1" w:rsidRPr="00E8461E">
        <w:t>11</w:t>
      </w:r>
      <w:r w:rsidR="001820D3" w:rsidRPr="00E8461E">
        <w:t>)</w:t>
      </w:r>
      <w:r w:rsidR="008F1C13" w:rsidRPr="00E8461E">
        <w:t>.</w:t>
      </w:r>
      <w:r w:rsidR="007809D7" w:rsidRPr="00E8461E">
        <w:rPr>
          <w:rStyle w:val="EndnoteReference"/>
          <w:lang w:val="en-GB"/>
        </w:rPr>
        <w:endnoteReference w:id="173"/>
      </w:r>
    </w:p>
    <w:p w14:paraId="2A03B80B" w14:textId="77777777" w:rsidR="003A3AE0" w:rsidRPr="00E8461E" w:rsidRDefault="003A3AE0" w:rsidP="00D80EFD">
      <w:pPr>
        <w:pStyle w:val="Heading4"/>
        <w:rPr>
          <w:iCs w:val="0"/>
        </w:rPr>
      </w:pPr>
      <w:r w:rsidRPr="00E8461E">
        <w:rPr>
          <w:iCs w:val="0"/>
        </w:rPr>
        <w:t>Case study 11</w:t>
      </w:r>
    </w:p>
    <w:p w14:paraId="6BB84028" w14:textId="77777777" w:rsidR="003A3AE0" w:rsidRPr="00E8461E" w:rsidRDefault="003A3AE0" w:rsidP="003A3AE0">
      <w:pPr>
        <w:rPr>
          <w:b/>
          <w:bCs/>
        </w:rPr>
      </w:pPr>
      <w:r w:rsidRPr="00E8461E">
        <w:rPr>
          <w:b/>
          <w:bCs/>
        </w:rPr>
        <w:t>Removing desflurane from WA Health Medicines Formulary</w:t>
      </w:r>
    </w:p>
    <w:p w14:paraId="16822749" w14:textId="77777777" w:rsidR="003A3AE0" w:rsidRPr="00E8461E" w:rsidRDefault="003A3AE0" w:rsidP="003A3AE0">
      <w:r w:rsidRPr="00E8461E">
        <w:t xml:space="preserve">In October 2023, WA Health became the first public health jurisdiction in Australia to remove desflurane from its </w:t>
      </w:r>
      <w:proofErr w:type="spellStart"/>
      <w:r w:rsidRPr="00E8461E">
        <w:t>Statewide</w:t>
      </w:r>
      <w:proofErr w:type="spellEnd"/>
      <w:r w:rsidRPr="00E8461E">
        <w:t xml:space="preserve"> Medicines Formulary. This outcome formalised a clinician led movement over several years which focussed on education, engagement, and advocacy to raise awareness of the environmental impact of desflurane and reduce its use at individual hospitals and health services. Regular monitoring of desflurane use over five years indicated there had been a widespread shift to lower carbon anaesthetic alternatives and, importantly, no adverse clinical outcomes.</w:t>
      </w:r>
    </w:p>
    <w:p w14:paraId="28DFBA88" w14:textId="1A29CC9A" w:rsidR="003A3AE0" w:rsidRPr="00E8461E" w:rsidRDefault="003A3AE0" w:rsidP="003A3AE0">
      <w:pPr>
        <w:pBdr>
          <w:bottom w:val="single" w:sz="12" w:space="1" w:color="008A95" w:themeColor="accent1"/>
        </w:pBdr>
        <w:tabs>
          <w:tab w:val="left" w:pos="6237"/>
        </w:tabs>
      </w:pPr>
      <w:r w:rsidRPr="00E8461E">
        <w:t xml:space="preserve">As momentum grew, it became important to embed the change at a system level to safeguard it for the future and help demonstrate WA Health’s commitment to low carbon and environmentally sustainable healthcare. A submission seeking the removal of desflurane from the Formulary – supported across multiple disciplines, including anaesthetists, theatre staff, Heads of Departments, </w:t>
      </w:r>
      <w:proofErr w:type="gramStart"/>
      <w:r w:rsidRPr="00E8461E">
        <w:t>pharmacists</w:t>
      </w:r>
      <w:proofErr w:type="gramEnd"/>
      <w:r w:rsidRPr="00E8461E">
        <w:t xml:space="preserve"> and sustainability officers – was presented to and accepted by the WA Therapeutic Advisory Group and the WA Drug Evaluation Panel. It is estimated that, annually, removal of desflurane from the state formulary saves $750,000 and reduces emissions by around 1,800 tonnes of CO</w:t>
      </w:r>
      <w:r w:rsidRPr="00E8461E">
        <w:rPr>
          <w:vertAlign w:val="subscript"/>
        </w:rPr>
        <w:t>2</w:t>
      </w:r>
      <w:r w:rsidRPr="00E8461E">
        <w:rPr>
          <w:lang w:val="en-GB"/>
        </w:rPr>
        <w:t>-</w:t>
      </w:r>
      <w:r w:rsidRPr="00E8461E">
        <w:t>e.</w:t>
      </w:r>
    </w:p>
    <w:p w14:paraId="159E442C" w14:textId="245A3BAD" w:rsidR="00A60BCB" w:rsidRPr="00E8461E" w:rsidRDefault="009F7812" w:rsidP="00A60BCB">
      <w:r w:rsidRPr="00E8461E">
        <w:t xml:space="preserve">As presented in </w:t>
      </w:r>
      <w:r w:rsidR="00066FC8" w:rsidRPr="00E8461E">
        <w:t>section 4.1.4</w:t>
      </w:r>
      <w:r w:rsidRPr="00E8461E">
        <w:t xml:space="preserve"> above, medical nitrous oxide use contributes 20%</w:t>
      </w:r>
      <w:r w:rsidR="0095186A" w:rsidRPr="00E8461E">
        <w:t xml:space="preserve"> of the total Australian health system </w:t>
      </w:r>
      <w:r w:rsidR="00B010B9" w:rsidRPr="00E8461E">
        <w:t>Scope 1 emissions</w:t>
      </w:r>
      <w:r w:rsidR="00983F6B" w:rsidRPr="00E8461E">
        <w:t xml:space="preserve">, according to </w:t>
      </w:r>
      <w:r w:rsidR="00072606" w:rsidRPr="00E8461E">
        <w:t>National Greenhouse Accounts data</w:t>
      </w:r>
      <w:r w:rsidR="00B010B9" w:rsidRPr="00E8461E">
        <w:t>.</w:t>
      </w:r>
      <w:r w:rsidR="00AC2208" w:rsidRPr="00E8461E">
        <w:t xml:space="preserve"> Nitrous oxide is </w:t>
      </w:r>
      <w:r w:rsidR="000B59FC" w:rsidRPr="00E8461E">
        <w:t>widely used in birthing suites, paediatric and adult operating theatres, and emergency departments, as well as dental, skin care, and veterinary clinics.</w:t>
      </w:r>
      <w:r w:rsidR="00CA6A94" w:rsidRPr="00E8461E">
        <w:t xml:space="preserve"> A study of </w:t>
      </w:r>
      <w:r w:rsidR="001D085B" w:rsidRPr="00E8461E">
        <w:t>nitrous oxide</w:t>
      </w:r>
      <w:r w:rsidR="00CA6A94" w:rsidRPr="00E8461E">
        <w:t xml:space="preserve"> </w:t>
      </w:r>
      <w:proofErr w:type="gramStart"/>
      <w:r w:rsidR="00CA6A94" w:rsidRPr="00E8461E">
        <w:t>use</w:t>
      </w:r>
      <w:proofErr w:type="gramEnd"/>
      <w:r w:rsidR="00CA6A94" w:rsidRPr="00E8461E">
        <w:t xml:space="preserve"> in Footscray Hospital found that there was a 77% discrepancy between</w:t>
      </w:r>
      <w:r w:rsidR="001D085B" w:rsidRPr="00E8461E">
        <w:t xml:space="preserve"> the volume </w:t>
      </w:r>
      <w:r w:rsidR="00205707" w:rsidRPr="00E8461E">
        <w:t xml:space="preserve">procured and the volume used </w:t>
      </w:r>
      <w:r w:rsidR="00CA6A94" w:rsidRPr="00E8461E">
        <w:t>due to leakage from piped manifold systems</w:t>
      </w:r>
      <w:r w:rsidR="00EF2C81" w:rsidRPr="00E8461E">
        <w:t>.</w:t>
      </w:r>
      <w:r w:rsidR="00EF2C81" w:rsidRPr="00E8461E">
        <w:rPr>
          <w:rStyle w:val="EndnoteReference"/>
        </w:rPr>
        <w:endnoteReference w:id="174"/>
      </w:r>
      <w:r w:rsidR="00EF2C81" w:rsidRPr="00E8461E">
        <w:t xml:space="preserve"> Similar </w:t>
      </w:r>
      <w:r w:rsidR="00344259" w:rsidRPr="00E8461E">
        <w:t xml:space="preserve">discrepancies </w:t>
      </w:r>
      <w:r w:rsidR="00EF2C81" w:rsidRPr="00E8461E">
        <w:t xml:space="preserve">have </w:t>
      </w:r>
      <w:r w:rsidR="00344259" w:rsidRPr="00E8461E">
        <w:t xml:space="preserve">also </w:t>
      </w:r>
      <w:r w:rsidR="00EF2C81" w:rsidRPr="00E8461E">
        <w:t xml:space="preserve">been </w:t>
      </w:r>
      <w:r w:rsidR="00344259" w:rsidRPr="00E8461E">
        <w:t>found in the UK.</w:t>
      </w:r>
      <w:r w:rsidR="00F8569A" w:rsidRPr="00E8461E">
        <w:t xml:space="preserve"> The Queensland Government </w:t>
      </w:r>
      <w:proofErr w:type="spellStart"/>
      <w:r w:rsidR="00A24B27" w:rsidRPr="00E8461E">
        <w:t>Statewide</w:t>
      </w:r>
      <w:proofErr w:type="spellEnd"/>
      <w:r w:rsidR="00A24B27" w:rsidRPr="00E8461E">
        <w:t xml:space="preserve"> Anaesthesia and Perio</w:t>
      </w:r>
      <w:r w:rsidR="00A560FE" w:rsidRPr="00E8461E">
        <w:t xml:space="preserve">perative Care Clinical Network </w:t>
      </w:r>
      <w:r w:rsidR="004C7E1B" w:rsidRPr="00E8461E">
        <w:t>has produced a series of recommendations on reduc</w:t>
      </w:r>
      <w:r w:rsidR="00470184" w:rsidRPr="00E8461E">
        <w:t xml:space="preserve">ing nitrous oxide emissions, which include avoiding </w:t>
      </w:r>
      <w:r w:rsidR="00A62CE0" w:rsidRPr="00E8461E">
        <w:t xml:space="preserve">use of nitrous oxide where possible, avoiding </w:t>
      </w:r>
      <w:r w:rsidR="002E6625" w:rsidRPr="00E8461E">
        <w:t>installing new nitrous oxide piping</w:t>
      </w:r>
      <w:r w:rsidR="00B87A08" w:rsidRPr="00E8461E">
        <w:t xml:space="preserve"> and decommissioning existing piping</w:t>
      </w:r>
      <w:r w:rsidR="00E1181F" w:rsidRPr="00E8461E">
        <w:t>.</w:t>
      </w:r>
      <w:r w:rsidR="00AA7239" w:rsidRPr="00E8461E">
        <w:rPr>
          <w:rStyle w:val="EndnoteReference"/>
        </w:rPr>
        <w:endnoteReference w:id="175"/>
      </w:r>
      <w:r w:rsidR="002122A4" w:rsidRPr="00E8461E">
        <w:t xml:space="preserve"> Emissions reductions from </w:t>
      </w:r>
      <w:r w:rsidR="002122A4" w:rsidRPr="00E8461E">
        <w:lastRenderedPageBreak/>
        <w:t>nitrous oxide use are also possible by tackling ‘venting’</w:t>
      </w:r>
      <w:r w:rsidR="00913A1D" w:rsidRPr="00E8461E">
        <w:t xml:space="preserve">, the practice of releasing unused nitrous oxide when cannisters are returned </w:t>
      </w:r>
      <w:r w:rsidR="008570E3" w:rsidRPr="00E8461E">
        <w:t>for refill.</w:t>
      </w:r>
    </w:p>
    <w:p w14:paraId="0B596F75" w14:textId="77777777" w:rsidR="000241FE" w:rsidRPr="00E8461E" w:rsidRDefault="000241FE" w:rsidP="00A60BCB">
      <w:pPr>
        <w:rPr>
          <w:lang w:val="en-GB"/>
        </w:rPr>
      </w:pPr>
    </w:p>
    <w:p w14:paraId="07085118" w14:textId="77777777" w:rsidR="003A3AE0" w:rsidRPr="00E8461E" w:rsidRDefault="003A3AE0" w:rsidP="00D80EFD">
      <w:pPr>
        <w:pStyle w:val="Heading4"/>
        <w:rPr>
          <w:iCs w:val="0"/>
        </w:rPr>
      </w:pPr>
      <w:r w:rsidRPr="00E8461E">
        <w:rPr>
          <w:iCs w:val="0"/>
        </w:rPr>
        <w:t>Action 4.12</w:t>
      </w:r>
    </w:p>
    <w:p w14:paraId="651BC4BB" w14:textId="77777777" w:rsidR="003A3AE0" w:rsidRPr="00E8461E" w:rsidRDefault="003A3AE0" w:rsidP="003A3AE0">
      <w:pPr>
        <w:rPr>
          <w:b/>
          <w:lang w:val="en-GB"/>
        </w:rPr>
      </w:pPr>
      <w:r w:rsidRPr="00E8461E">
        <w:rPr>
          <w:b/>
          <w:lang w:val="en-GB"/>
        </w:rPr>
        <w:t>Reducing emissions from desflurane</w:t>
      </w:r>
    </w:p>
    <w:p w14:paraId="493FB413" w14:textId="755730EB" w:rsidR="00A60BCB" w:rsidRPr="00E8461E" w:rsidRDefault="003A3AE0" w:rsidP="003A3AE0">
      <w:pPr>
        <w:pBdr>
          <w:bottom w:val="single" w:sz="12" w:space="1" w:color="008A95" w:themeColor="accent1"/>
        </w:pBdr>
        <w:rPr>
          <w:lang w:val="en-GB"/>
        </w:rPr>
      </w:pPr>
      <w:r w:rsidRPr="00E8461E">
        <w:rPr>
          <w:lang w:val="en-GB"/>
        </w:rPr>
        <w:t>The Australian Government will work with the Australian and New Zealand College of Anaesthetists, the Australian Society of Anaesthetists and states and territories to significantly reduce use of desflurane, including by agreeing a date by which its use will be phased out.</w:t>
      </w:r>
    </w:p>
    <w:p w14:paraId="114B594C" w14:textId="6A66C38C" w:rsidR="00A60BCB" w:rsidRPr="00E8461E" w:rsidRDefault="00A60BCB" w:rsidP="00A60BCB">
      <w:pPr>
        <w:rPr>
          <w:lang w:val="en-GB"/>
        </w:rPr>
      </w:pPr>
    </w:p>
    <w:p w14:paraId="62561AC6" w14:textId="77777777" w:rsidR="003A3AE0" w:rsidRPr="00E8461E" w:rsidRDefault="003A3AE0" w:rsidP="00D80EFD">
      <w:pPr>
        <w:pStyle w:val="Heading4"/>
        <w:rPr>
          <w:iCs w:val="0"/>
        </w:rPr>
      </w:pPr>
      <w:r w:rsidRPr="00E8461E">
        <w:rPr>
          <w:iCs w:val="0"/>
        </w:rPr>
        <w:t>Action 4.13</w:t>
      </w:r>
    </w:p>
    <w:p w14:paraId="1C4E0DE0" w14:textId="77777777" w:rsidR="003A3AE0" w:rsidRPr="00E8461E" w:rsidRDefault="003A3AE0" w:rsidP="003A3AE0">
      <w:pPr>
        <w:rPr>
          <w:b/>
          <w:lang w:val="en-GB"/>
        </w:rPr>
      </w:pPr>
      <w:r w:rsidRPr="00E8461E">
        <w:rPr>
          <w:b/>
          <w:lang w:val="en-GB"/>
        </w:rPr>
        <w:t>Reducing emissions from nitrous oxide</w:t>
      </w:r>
    </w:p>
    <w:p w14:paraId="0368B0DF" w14:textId="79770C15" w:rsidR="003A3AE0" w:rsidRPr="00E8461E" w:rsidDel="00A373E1" w:rsidRDefault="003A3AE0" w:rsidP="003A3AE0">
      <w:pPr>
        <w:pBdr>
          <w:bottom w:val="single" w:sz="12" w:space="1" w:color="008A95" w:themeColor="accent1"/>
        </w:pBdr>
        <w:rPr>
          <w:lang w:val="en-GB"/>
        </w:rPr>
      </w:pPr>
      <w:r w:rsidRPr="00E8461E">
        <w:t xml:space="preserve">The Australian Government will work with the Australasian College for Emergency Medicine, the Australian and New Zealand College of Anaesthetists, </w:t>
      </w:r>
      <w:r w:rsidRPr="00E8461E">
        <w:rPr>
          <w:lang w:val="en-GB"/>
        </w:rPr>
        <w:t xml:space="preserve">the Australian Society of Anaesthetists, </w:t>
      </w:r>
      <w:r w:rsidRPr="00E8461E">
        <w:t>the Australian Nursing and Midwifery Federation, the Royal Australian and New Zealand College of Obstetricians and Gynaecologists, states, territories, industry and suppliers to improve patient care, protect health care staff and reduce greenhouse gas emissions from nitrous oxide gas, both by reducing wastage from leaks and venting and by educating on appropriate use.</w:t>
      </w:r>
    </w:p>
    <w:p w14:paraId="214F0B21" w14:textId="72991299" w:rsidR="003A3AE0" w:rsidRPr="00E8461E" w:rsidRDefault="003A3AE0" w:rsidP="003A3AE0">
      <w:bookmarkStart w:id="170" w:name="_Toc149909991"/>
      <w:bookmarkStart w:id="171" w:name="_Toc149918456"/>
    </w:p>
    <w:p w14:paraId="3286BDBE" w14:textId="77777777" w:rsidR="003A3AE0" w:rsidRPr="00E8461E" w:rsidRDefault="003A3AE0" w:rsidP="00D80EFD">
      <w:pPr>
        <w:pStyle w:val="Heading4"/>
        <w:rPr>
          <w:iCs w:val="0"/>
        </w:rPr>
      </w:pPr>
      <w:r w:rsidRPr="00E8461E">
        <w:rPr>
          <w:iCs w:val="0"/>
        </w:rPr>
        <w:t>Action 4.14</w:t>
      </w:r>
    </w:p>
    <w:p w14:paraId="7629EB13" w14:textId="77777777" w:rsidR="003A3AE0" w:rsidRPr="00E8461E" w:rsidRDefault="003A3AE0" w:rsidP="003A3AE0">
      <w:pPr>
        <w:rPr>
          <w:b/>
          <w:lang w:val="en-GB"/>
        </w:rPr>
      </w:pPr>
      <w:r w:rsidRPr="00E8461E">
        <w:rPr>
          <w:b/>
          <w:lang w:val="en-GB"/>
        </w:rPr>
        <w:t>Reducing emissions from respiratory inhalers</w:t>
      </w:r>
    </w:p>
    <w:p w14:paraId="756B5AC9" w14:textId="412C3BED" w:rsidR="003A3AE0" w:rsidRPr="00E8461E" w:rsidRDefault="003A3AE0" w:rsidP="003A3AE0">
      <w:pPr>
        <w:pBdr>
          <w:bottom w:val="single" w:sz="12" w:space="1" w:color="008A95" w:themeColor="accent1"/>
        </w:pBdr>
      </w:pPr>
      <w:r w:rsidRPr="00E8461E">
        <w:rPr>
          <w:lang w:val="en-GB"/>
        </w:rPr>
        <w:t xml:space="preserve">The Australian Government will work with Asthma Australia, National Asthma Council of Australia, Lung Foundation of Australia, Thoracic Society of Australia and New Zealand, Royal Australian College of General </w:t>
      </w:r>
      <w:proofErr w:type="gramStart"/>
      <w:r w:rsidRPr="00E8461E">
        <w:rPr>
          <w:lang w:val="en-GB"/>
        </w:rPr>
        <w:t>Practitioners</w:t>
      </w:r>
      <w:proofErr w:type="gramEnd"/>
      <w:r w:rsidRPr="00E8461E">
        <w:rPr>
          <w:lang w:val="en-GB"/>
        </w:rPr>
        <w:t xml:space="preserve"> and industry to improve respiratory health outcomes and reduce greenhouse gas emissions from respiratory inhalers.</w:t>
      </w:r>
    </w:p>
    <w:p w14:paraId="12C5E462" w14:textId="63ED4A7A" w:rsidR="00A60BCB" w:rsidRPr="00E8461E" w:rsidRDefault="00801482" w:rsidP="00571F10">
      <w:pPr>
        <w:pStyle w:val="Heading3"/>
      </w:pPr>
      <w:r w:rsidRPr="00E8461E">
        <w:t>4</w:t>
      </w:r>
      <w:r w:rsidR="00A60BCB" w:rsidRPr="00E8461E">
        <w:t>.5.5 Food and catering</w:t>
      </w:r>
      <w:bookmarkEnd w:id="170"/>
      <w:bookmarkEnd w:id="171"/>
    </w:p>
    <w:p w14:paraId="4CD74204" w14:textId="2FE682E0" w:rsidR="00A60BCB" w:rsidRPr="00E8461E" w:rsidRDefault="00A60BCB" w:rsidP="00A60BCB">
      <w:pPr>
        <w:rPr>
          <w:lang w:val="en-GB"/>
        </w:rPr>
      </w:pPr>
      <w:r w:rsidRPr="00E8461E">
        <w:rPr>
          <w:lang w:val="en-GB"/>
        </w:rPr>
        <w:t>Food and catering are a substantial contributor to health and aged care emissions</w:t>
      </w:r>
      <w:r w:rsidRPr="00E8461E" w:rsidDel="00A75839">
        <w:rPr>
          <w:lang w:val="en-GB"/>
        </w:rPr>
        <w:t>.</w:t>
      </w:r>
      <w:r w:rsidRPr="00E8461E" w:rsidDel="00A75839">
        <w:rPr>
          <w:rStyle w:val="EndnoteReference"/>
          <w:lang w:val="en-GB"/>
        </w:rPr>
        <w:endnoteReference w:id="176"/>
      </w:r>
      <w:r w:rsidRPr="00E8461E">
        <w:rPr>
          <w:lang w:val="en-GB"/>
        </w:rPr>
        <w:t xml:space="preserve"> Reducing food</w:t>
      </w:r>
      <w:r w:rsidR="006F52E4" w:rsidRPr="00E8461E">
        <w:rPr>
          <w:lang w:val="en-GB"/>
        </w:rPr>
        <w:t>-</w:t>
      </w:r>
      <w:r w:rsidRPr="00E8461E">
        <w:rPr>
          <w:lang w:val="en-GB"/>
        </w:rPr>
        <w:t xml:space="preserve"> and catering-related emissions involves action in three broad areas: updating menus to include more nutritious low-carbon foods, eliminating food waste, and making sustainable food procurement decisions. Improved management of food refrigeration is an opportunity to reduce both scope 2 emissions from energy use and scope 1 emissions from refrigerants, as well as reduce food waste.</w:t>
      </w:r>
    </w:p>
    <w:p w14:paraId="6E8CF39C" w14:textId="1AA2002C" w:rsidR="00A60BCB" w:rsidRPr="00E8461E" w:rsidRDefault="00A60BCB" w:rsidP="00A60BCB">
      <w:pPr>
        <w:rPr>
          <w:lang w:val="en-GB"/>
        </w:rPr>
      </w:pPr>
      <w:r w:rsidRPr="00E8461E">
        <w:rPr>
          <w:lang w:val="en-GB"/>
        </w:rPr>
        <w:t xml:space="preserve">The Australian Dietary Guidelines are the key source of information for the types and amounts of food people need to eat for good health and wellbeing, reduce risk of chronic disease and prevent deficiency. The Australian Dietary Guidelines inform policy for food and beverage provision in health and aged care </w:t>
      </w:r>
      <w:r w:rsidRPr="00E8461E">
        <w:rPr>
          <w:lang w:val="en-GB"/>
        </w:rPr>
        <w:lastRenderedPageBreak/>
        <w:t>services. In</w:t>
      </w:r>
      <w:r w:rsidRPr="00E8461E" w:rsidDel="002725F8">
        <w:rPr>
          <w:lang w:val="en-GB"/>
        </w:rPr>
        <w:t xml:space="preserve"> </w:t>
      </w:r>
      <w:r w:rsidR="002725F8" w:rsidRPr="00E8461E">
        <w:rPr>
          <w:lang w:val="en-GB"/>
        </w:rPr>
        <w:t xml:space="preserve">section </w:t>
      </w:r>
      <w:r w:rsidR="006728F1" w:rsidRPr="00E8461E">
        <w:rPr>
          <w:lang w:val="en-GB"/>
        </w:rPr>
        <w:t>6.5</w:t>
      </w:r>
      <w:r w:rsidRPr="00E8461E">
        <w:rPr>
          <w:lang w:val="en-GB"/>
        </w:rPr>
        <w:t>, we discuss action the Australian Government is taking to update these Guidelines to consider sustainability.</w:t>
      </w:r>
    </w:p>
    <w:p w14:paraId="076F05D9" w14:textId="3607D80B" w:rsidR="00A60BCB" w:rsidRPr="00E8461E" w:rsidRDefault="00A60BCB" w:rsidP="00A60BCB">
      <w:pPr>
        <w:rPr>
          <w:lang w:val="en-GB"/>
        </w:rPr>
      </w:pPr>
      <w:r w:rsidRPr="00E8461E">
        <w:rPr>
          <w:lang w:val="en-GB"/>
        </w:rPr>
        <w:t xml:space="preserve">The second area of action is to reduce and effectively manage food waste. 7.6 million tonnes of food are wasted across in Australia each year and food waste </w:t>
      </w:r>
      <w:proofErr w:type="gramStart"/>
      <w:r w:rsidRPr="00E8461E">
        <w:rPr>
          <w:lang w:val="en-GB"/>
        </w:rPr>
        <w:t>is</w:t>
      </w:r>
      <w:proofErr w:type="gramEnd"/>
      <w:r w:rsidRPr="00E8461E">
        <w:rPr>
          <w:lang w:val="en-GB"/>
        </w:rPr>
        <w:t xml:space="preserve"> responsible for 3% of Australia’s greenhouse gas emissions.</w:t>
      </w:r>
      <w:r w:rsidRPr="00E8461E">
        <w:rPr>
          <w:rStyle w:val="EndnoteReference"/>
          <w:lang w:val="en-GB"/>
        </w:rPr>
        <w:endnoteReference w:id="177"/>
      </w:r>
      <w:r w:rsidRPr="00E8461E">
        <w:rPr>
          <w:lang w:val="en-GB"/>
        </w:rPr>
        <w:t xml:space="preserve"> Food waste also causes unnecessary use of water and land to grow food that is never consumed. In the 2017 National Food Waste Strategy the </w:t>
      </w:r>
      <w:r w:rsidRPr="00E8461E" w:rsidDel="00CD54EB">
        <w:rPr>
          <w:lang w:val="en-GB"/>
        </w:rPr>
        <w:t xml:space="preserve">government </w:t>
      </w:r>
      <w:r w:rsidRPr="00E8461E">
        <w:rPr>
          <w:lang w:val="en-GB"/>
        </w:rPr>
        <w:t>set a goal to halve the country’s food waste by 2030.</w:t>
      </w:r>
      <w:r w:rsidRPr="00E8461E">
        <w:rPr>
          <w:rStyle w:val="EndnoteReference"/>
          <w:lang w:val="en-GB"/>
        </w:rPr>
        <w:endnoteReference w:id="178"/>
      </w:r>
    </w:p>
    <w:p w14:paraId="3A63F9D8" w14:textId="6C62E65E" w:rsidR="00A60BCB" w:rsidRPr="00E8461E" w:rsidRDefault="00A60BCB" w:rsidP="00A60BCB">
      <w:pPr>
        <w:rPr>
          <w:lang w:val="en-GB"/>
        </w:rPr>
      </w:pPr>
      <w:r w:rsidRPr="00E8461E">
        <w:rPr>
          <w:lang w:val="en-GB"/>
        </w:rPr>
        <w:t>The final area of action is food procurement. Health and residential aged care services can reduce food and catering emissions by purchasing locally and sustainably produced food wherever possible, engaging with suppliers to reduce packaging, and encouraging sustainable practices in food cultivation, manufacture, distribution, and waste management.</w:t>
      </w:r>
      <w:r w:rsidRPr="00E8461E">
        <w:rPr>
          <w:rStyle w:val="EndnoteReference"/>
          <w:lang w:val="en-GB"/>
        </w:rPr>
        <w:endnoteReference w:id="179"/>
      </w:r>
    </w:p>
    <w:p w14:paraId="2B8DFD36" w14:textId="77777777" w:rsidR="003A3AE0" w:rsidRPr="00E8461E" w:rsidRDefault="003A3AE0" w:rsidP="00D80EFD">
      <w:pPr>
        <w:pStyle w:val="Heading4"/>
        <w:rPr>
          <w:iCs w:val="0"/>
        </w:rPr>
      </w:pPr>
      <w:r w:rsidRPr="00E8461E">
        <w:rPr>
          <w:iCs w:val="0"/>
        </w:rPr>
        <w:t>Action 4.15</w:t>
      </w:r>
    </w:p>
    <w:p w14:paraId="0137D54A" w14:textId="77777777" w:rsidR="003A3AE0" w:rsidRPr="00E8461E" w:rsidRDefault="003A3AE0" w:rsidP="003A3AE0">
      <w:pPr>
        <w:rPr>
          <w:b/>
          <w:lang w:val="en-GB"/>
        </w:rPr>
      </w:pPr>
      <w:r w:rsidRPr="00E8461E">
        <w:rPr>
          <w:b/>
          <w:lang w:val="en-GB"/>
        </w:rPr>
        <w:t>Review of nutrition standards in health care</w:t>
      </w:r>
    </w:p>
    <w:p w14:paraId="292C8243" w14:textId="55FE3519" w:rsidR="003A3AE0" w:rsidRPr="00E8461E" w:rsidRDefault="003A3AE0" w:rsidP="003A3AE0">
      <w:pPr>
        <w:pBdr>
          <w:bottom w:val="single" w:sz="12" w:space="1" w:color="008A95" w:themeColor="accent1"/>
        </w:pBdr>
        <w:rPr>
          <w:lang w:val="en-GB"/>
        </w:rPr>
      </w:pPr>
      <w:r w:rsidRPr="00E8461E">
        <w:rPr>
          <w:lang w:val="en-GB"/>
        </w:rPr>
        <w:t xml:space="preserve">The Australian Government will commission and publish a review of how sustainability is currently considered in state and territory policies on food access, </w:t>
      </w:r>
      <w:proofErr w:type="gramStart"/>
      <w:r w:rsidRPr="00E8461E">
        <w:rPr>
          <w:lang w:val="en-GB"/>
        </w:rPr>
        <w:t>availability</w:t>
      </w:r>
      <w:proofErr w:type="gramEnd"/>
      <w:r w:rsidRPr="00E8461E">
        <w:rPr>
          <w:lang w:val="en-GB"/>
        </w:rPr>
        <w:t xml:space="preserve"> and procurement in hospitals, and may consider relevant policies internationally. This review could inform guidance on food provision with the public hospital system.</w:t>
      </w:r>
    </w:p>
    <w:p w14:paraId="3DEC7849" w14:textId="401D678D" w:rsidR="00A60BCB" w:rsidRPr="00E8461E" w:rsidRDefault="00801482" w:rsidP="00571F10">
      <w:pPr>
        <w:pStyle w:val="Heading3"/>
      </w:pPr>
      <w:bookmarkStart w:id="178" w:name="_Toc149909992"/>
      <w:bookmarkStart w:id="179" w:name="_Toc149918457"/>
      <w:r w:rsidRPr="00E8461E">
        <w:t>4</w:t>
      </w:r>
      <w:r w:rsidR="00A60BCB" w:rsidRPr="00E8461E">
        <w:t>.5.6 Waste and resource use</w:t>
      </w:r>
      <w:bookmarkEnd w:id="178"/>
      <w:bookmarkEnd w:id="179"/>
    </w:p>
    <w:p w14:paraId="336DD295" w14:textId="08977BBC" w:rsidR="00A60BCB" w:rsidRPr="00E8461E" w:rsidRDefault="00A60BCB" w:rsidP="00A60BCB">
      <w:pPr>
        <w:rPr>
          <w:lang w:val="en-GB"/>
        </w:rPr>
      </w:pPr>
      <w:r w:rsidRPr="00E8461E">
        <w:rPr>
          <w:lang w:val="en-GB"/>
        </w:rPr>
        <w:t xml:space="preserve">The health system generates multiple waste streams, both non-hazardous (such as food, drink and used hand towels) and hazardous (including clinical waste – defined as waste contaminated with bodily fluids, </w:t>
      </w:r>
      <w:proofErr w:type="gramStart"/>
      <w:r w:rsidRPr="00E8461E">
        <w:rPr>
          <w:lang w:val="en-GB"/>
        </w:rPr>
        <w:t>chemicals</w:t>
      </w:r>
      <w:proofErr w:type="gramEnd"/>
      <w:r w:rsidRPr="00E8461E">
        <w:rPr>
          <w:lang w:val="en-GB"/>
        </w:rPr>
        <w:t xml:space="preserve"> or pharmaceuticals, such as discarded sharps, </w:t>
      </w:r>
      <w:r w:rsidR="000A7C68" w:rsidRPr="00E8461E">
        <w:rPr>
          <w:lang w:val="en-GB"/>
        </w:rPr>
        <w:t xml:space="preserve">intravenous </w:t>
      </w:r>
      <w:r w:rsidRPr="00E8461E">
        <w:rPr>
          <w:lang w:val="en-GB"/>
        </w:rPr>
        <w:t xml:space="preserve">fluid and unused medicines – and anatomical waste). The emissions footprint of this waste depends on the type of waste and the method of disposal, which can include recycling, compost, </w:t>
      </w:r>
      <w:proofErr w:type="gramStart"/>
      <w:r w:rsidRPr="00E8461E">
        <w:rPr>
          <w:lang w:val="en-GB"/>
        </w:rPr>
        <w:t>landfill</w:t>
      </w:r>
      <w:proofErr w:type="gramEnd"/>
      <w:r w:rsidRPr="00E8461E">
        <w:rPr>
          <w:lang w:val="en-GB"/>
        </w:rPr>
        <w:t xml:space="preserve"> and incineration. For example, hazardous waste has a high emissions footprint as it requires extra processing, including high temperature incineration or chemical decontamination.</w:t>
      </w:r>
      <w:r w:rsidRPr="00E8461E">
        <w:rPr>
          <w:rStyle w:val="EndnoteReference"/>
          <w:lang w:val="en-GB"/>
        </w:rPr>
        <w:endnoteReference w:id="180"/>
      </w:r>
    </w:p>
    <w:p w14:paraId="4FEE992A" w14:textId="3672954B" w:rsidR="00A60BCB" w:rsidRPr="00E8461E" w:rsidRDefault="00A60BCB" w:rsidP="00A60BCB">
      <w:pPr>
        <w:rPr>
          <w:lang w:val="en-GB"/>
        </w:rPr>
      </w:pPr>
      <w:r w:rsidRPr="00E8461E">
        <w:rPr>
          <w:lang w:val="en-GB"/>
        </w:rPr>
        <w:t>As a result of the 2018 National Waste Policy and the 2019 National Waste Policy Action Plan, the Australian Government is working to reduce and manage waste Australia-wide.</w:t>
      </w:r>
      <w:r w:rsidR="00B40C45" w:rsidRPr="00E8461E">
        <w:rPr>
          <w:rStyle w:val="EndnoteReference"/>
          <w:lang w:val="en-GB"/>
        </w:rPr>
        <w:endnoteReference w:id="181"/>
      </w:r>
      <w:r w:rsidR="00AA3763" w:rsidRPr="00E8461E">
        <w:rPr>
          <w:vertAlign w:val="superscript"/>
          <w:lang w:val="en-GB"/>
        </w:rPr>
        <w:t>,</w:t>
      </w:r>
      <w:r w:rsidR="00AA3763" w:rsidRPr="00E8461E">
        <w:rPr>
          <w:rStyle w:val="EndnoteReference"/>
          <w:lang w:val="en-GB"/>
        </w:rPr>
        <w:endnoteReference w:id="182"/>
      </w:r>
      <w:r w:rsidRPr="00E8461E">
        <w:rPr>
          <w:lang w:val="en-GB"/>
        </w:rPr>
        <w:t xml:space="preserve"> This includes commitments to recover 80% of all waste by 2030, phase out problematic and unnecessary plastics by 2025, and halve the amount of organic waste sent to landfill by 2030.</w:t>
      </w:r>
    </w:p>
    <w:p w14:paraId="0F76CFAE" w14:textId="75E578A4" w:rsidR="00A60BCB" w:rsidRPr="00E8461E" w:rsidRDefault="00A60BCB" w:rsidP="00A60BCB">
      <w:pPr>
        <w:rPr>
          <w:lang w:val="en-GB"/>
        </w:rPr>
      </w:pPr>
      <w:r w:rsidRPr="00E8461E">
        <w:rPr>
          <w:lang w:val="en-GB"/>
        </w:rPr>
        <w:t xml:space="preserve">Work is already underway to reduce health system waste in many Australian states, </w:t>
      </w:r>
      <w:proofErr w:type="gramStart"/>
      <w:r w:rsidRPr="00E8461E">
        <w:rPr>
          <w:lang w:val="en-GB"/>
        </w:rPr>
        <w:t>territories</w:t>
      </w:r>
      <w:proofErr w:type="gramEnd"/>
      <w:r w:rsidRPr="00E8461E">
        <w:rPr>
          <w:lang w:val="en-GB"/>
        </w:rPr>
        <w:t xml:space="preserve"> and health services. For example, NSW Health has developed a five-year sustainable waste management plan with the goal of diverting 80% of waste away from landfill.</w:t>
      </w:r>
      <w:r w:rsidRPr="00E8461E">
        <w:rPr>
          <w:rStyle w:val="EndnoteReference"/>
          <w:lang w:val="en-GB"/>
        </w:rPr>
        <w:endnoteReference w:id="183"/>
      </w:r>
      <w:r w:rsidRPr="00E8461E">
        <w:rPr>
          <w:lang w:val="en-GB"/>
        </w:rPr>
        <w:t xml:space="preserve"> Further efforts are underway in line with the waste hierarchy</w:t>
      </w:r>
      <w:r w:rsidR="003E7AB7" w:rsidRPr="00E8461E">
        <w:rPr>
          <w:lang w:val="en-GB"/>
        </w:rPr>
        <w:t xml:space="preserve"> shown in Figure 11. These include</w:t>
      </w:r>
      <w:r w:rsidR="00653752" w:rsidRPr="00E8461E">
        <w:rPr>
          <w:lang w:val="en-GB"/>
        </w:rPr>
        <w:t>:</w:t>
      </w:r>
    </w:p>
    <w:p w14:paraId="5C09FD82" w14:textId="77777777" w:rsidR="00A60BCB" w:rsidRPr="00E8461E" w:rsidRDefault="00A60BCB" w:rsidP="0065729E">
      <w:pPr>
        <w:pStyle w:val="BulletUnindented"/>
      </w:pPr>
      <w:r w:rsidRPr="00E8461E">
        <w:rPr>
          <w:b/>
          <w:bCs/>
        </w:rPr>
        <w:t>Reduce</w:t>
      </w:r>
      <w:r w:rsidRPr="00E8461E">
        <w:t xml:space="preserve"> packaging and use of disposable items when they are not clinically indicated. A ‘Gloves Off’ project, to reduce use of non-sterile gloves when there is no benefit to patients or workers, is being trialled in John Hunter Hospital in NSW,</w:t>
      </w:r>
      <w:r w:rsidRPr="00E8461E">
        <w:rPr>
          <w:rStyle w:val="EndnoteReference"/>
        </w:rPr>
        <w:endnoteReference w:id="184"/>
      </w:r>
      <w:r w:rsidRPr="00E8461E">
        <w:t xml:space="preserve"> inspired by a similar project at Great Ormond Street Hospital in London which saved 21 tonnes of plastic and £90,000.</w:t>
      </w:r>
      <w:r w:rsidRPr="00E8461E">
        <w:rPr>
          <w:rStyle w:val="EndnoteReference"/>
        </w:rPr>
        <w:endnoteReference w:id="185"/>
      </w:r>
    </w:p>
    <w:p w14:paraId="064F4004" w14:textId="295ED4BC" w:rsidR="00A60BCB" w:rsidRPr="00E8461E" w:rsidRDefault="00A60BCB" w:rsidP="0065729E">
      <w:pPr>
        <w:pStyle w:val="BulletUnindented"/>
      </w:pPr>
      <w:r w:rsidRPr="00E8461E">
        <w:rPr>
          <w:b/>
          <w:bCs/>
        </w:rPr>
        <w:lastRenderedPageBreak/>
        <w:t xml:space="preserve">Reuse </w:t>
      </w:r>
      <w:r w:rsidRPr="00E8461E">
        <w:t xml:space="preserve">medical devices, such as surgical and anaesthetic instruments and personal protective equipment </w:t>
      </w:r>
      <w:r w:rsidR="00D758D8" w:rsidRPr="00E8461E">
        <w:t xml:space="preserve">or PPE </w:t>
      </w:r>
      <w:r w:rsidRPr="00E8461E">
        <w:t>(including surgical and isolation gowns and face masks). A recent study found switching from single-use anaesthetic equipment to reusables across six operating rooms in Western Health in Victoria would result in annual savings of $32,000, along with an 84% reduction of CO</w:t>
      </w:r>
      <w:r w:rsidRPr="00E8461E">
        <w:rPr>
          <w:vertAlign w:val="subscript"/>
        </w:rPr>
        <w:t>2</w:t>
      </w:r>
      <w:r w:rsidRPr="00E8461E">
        <w:t>-e emissions if accompanied by decarbonisation of the electricity grid in line with the current UK and EU power mix.</w:t>
      </w:r>
      <w:r w:rsidRPr="00E8461E">
        <w:rPr>
          <w:rStyle w:val="EndnoteReference"/>
        </w:rPr>
        <w:endnoteReference w:id="186"/>
      </w:r>
      <w:r w:rsidRPr="00E8461E">
        <w:t xml:space="preserve"> A different study found introducing reusable isolation gowns in the Intensive Care Unit in Western Health in Victoria could result in a 95% reduction in solid waste, a 41% reduction in CO</w:t>
      </w:r>
      <w:r w:rsidRPr="00E8461E">
        <w:rPr>
          <w:vertAlign w:val="subscript"/>
        </w:rPr>
        <w:t>2</w:t>
      </w:r>
      <w:r w:rsidRPr="00E8461E">
        <w:t>-e, and a $1 saving per gown use.</w:t>
      </w:r>
      <w:r w:rsidRPr="00E8461E">
        <w:rPr>
          <w:rStyle w:val="EndnoteReference"/>
        </w:rPr>
        <w:endnoteReference w:id="187"/>
      </w:r>
      <w:r w:rsidRPr="00E8461E">
        <w:t xml:space="preserve"> This study was undertaken during COVID-19, when single use gowns were more expensive due to high demand and low supply. There remain cost challenges supporting the switch from disposable gowns to reusables (see case study </w:t>
      </w:r>
      <w:r w:rsidR="008A503A" w:rsidRPr="00E8461E">
        <w:t>12</w:t>
      </w:r>
      <w:r w:rsidRPr="00E8461E">
        <w:t>), meaning more work is required to make reusable products more cost competitive.</w:t>
      </w:r>
    </w:p>
    <w:p w14:paraId="2957A07D" w14:textId="0EBADFF6" w:rsidR="00A60BCB" w:rsidRPr="00E8461E" w:rsidRDefault="00A60BCB" w:rsidP="0065729E">
      <w:pPr>
        <w:pStyle w:val="BulletUnindented"/>
      </w:pPr>
      <w:r w:rsidRPr="00E8461E">
        <w:rPr>
          <w:b/>
          <w:bCs/>
        </w:rPr>
        <w:t xml:space="preserve">Reprocess </w:t>
      </w:r>
      <w:r w:rsidRPr="00E8461E">
        <w:t xml:space="preserve">medical equipment and devices. Reprocessing involves all the steps required to make a contaminated reusable or single-use device ready for patient use. The steps involved in reprocessing may include cleaning, functional testing, repackaging, relabelling, </w:t>
      </w:r>
      <w:proofErr w:type="gramStart"/>
      <w:r w:rsidRPr="00E8461E">
        <w:t>disinfection</w:t>
      </w:r>
      <w:proofErr w:type="gramEnd"/>
      <w:r w:rsidRPr="00E8461E">
        <w:t xml:space="preserve"> or sterilisation. The reprocessing of single-use devices involves strict requirements to avoid risk to patients</w:t>
      </w:r>
      <w:r w:rsidR="00D11B3D" w:rsidRPr="00E8461E">
        <w:t xml:space="preserve"> and maintain high</w:t>
      </w:r>
      <w:r w:rsidR="00B645A0" w:rsidRPr="00E8461E">
        <w:t>-</w:t>
      </w:r>
      <w:r w:rsidR="00D11B3D" w:rsidRPr="00E8461E">
        <w:t>quality care</w:t>
      </w:r>
      <w:r w:rsidRPr="00E8461E">
        <w:t>.</w:t>
      </w:r>
    </w:p>
    <w:p w14:paraId="21B49662" w14:textId="7286A88B" w:rsidR="00A60BCB" w:rsidRPr="00E8461E" w:rsidRDefault="00A60BCB" w:rsidP="0065729E">
      <w:pPr>
        <w:pStyle w:val="BulletUnindented"/>
      </w:pPr>
      <w:r w:rsidRPr="00E8461E">
        <w:rPr>
          <w:b/>
        </w:rPr>
        <w:t xml:space="preserve">Refurbish </w:t>
      </w:r>
      <w:r w:rsidRPr="00E8461E">
        <w:t xml:space="preserve">and reuse equipment. Walking aids given to patients for acute or </w:t>
      </w:r>
      <w:proofErr w:type="gramStart"/>
      <w:r w:rsidRPr="00E8461E">
        <w:t>short term</w:t>
      </w:r>
      <w:proofErr w:type="gramEnd"/>
      <w:r w:rsidRPr="00E8461E">
        <w:t xml:space="preserve"> use – </w:t>
      </w:r>
      <w:r w:rsidR="0028055F" w:rsidRPr="00E8461E">
        <w:t>for example,</w:t>
      </w:r>
      <w:r w:rsidRPr="00E8461E">
        <w:t xml:space="preserve"> walking sticks, crutches and walking frames – can be returned, cleaned, refurbished and reused.</w:t>
      </w:r>
    </w:p>
    <w:p w14:paraId="27F9DF35" w14:textId="21455304" w:rsidR="00A60BCB" w:rsidRPr="00E8461E" w:rsidRDefault="00A60BCB" w:rsidP="0065729E">
      <w:pPr>
        <w:pStyle w:val="BulletUnindented"/>
        <w:rPr>
          <w:b/>
        </w:rPr>
      </w:pPr>
      <w:r w:rsidRPr="00E8461E">
        <w:rPr>
          <w:b/>
        </w:rPr>
        <w:t xml:space="preserve">Recycle </w:t>
      </w:r>
      <w:r w:rsidRPr="00E8461E">
        <w:t>equipment that cannot be reused. Imperial College Healthcare NHS Trust in London is working with PPE manufacturer Globus Group to recycle disposable face masks into new products, such as operating theatre clogs, plastic bed pans and disposable syringes.</w:t>
      </w:r>
      <w:r w:rsidRPr="00E8461E">
        <w:rPr>
          <w:rStyle w:val="EndnoteReference"/>
        </w:rPr>
        <w:endnoteReference w:id="188"/>
      </w:r>
    </w:p>
    <w:p w14:paraId="37F4B12C" w14:textId="08B04DB0" w:rsidR="00A60BCB" w:rsidRPr="00E8461E" w:rsidRDefault="00A60BCB" w:rsidP="0065729E">
      <w:pPr>
        <w:pStyle w:val="BulletUnindented"/>
        <w:rPr>
          <w:b/>
        </w:rPr>
      </w:pPr>
      <w:r w:rsidRPr="00E8461E">
        <w:rPr>
          <w:b/>
        </w:rPr>
        <w:t xml:space="preserve">Replace </w:t>
      </w:r>
      <w:r w:rsidRPr="00E8461E">
        <w:t>disposable plastic products with more biodegradable alternatives</w:t>
      </w:r>
      <w:r w:rsidR="00C21572" w:rsidRPr="00E8461E">
        <w:t>, which are then properly composted</w:t>
      </w:r>
      <w:r w:rsidR="00986814" w:rsidRPr="00E8461E">
        <w:t xml:space="preserve">, rather than </w:t>
      </w:r>
      <w:r w:rsidR="00B650FB" w:rsidRPr="00E8461E">
        <w:t>sent to landfill</w:t>
      </w:r>
      <w:r w:rsidRPr="00E8461E">
        <w:t xml:space="preserve">. For example, </w:t>
      </w:r>
      <w:proofErr w:type="gramStart"/>
      <w:r w:rsidRPr="00E8461E">
        <w:t>South West</w:t>
      </w:r>
      <w:proofErr w:type="gramEnd"/>
      <w:r w:rsidRPr="00E8461E">
        <w:t xml:space="preserve"> Healthcare in Victoria has replaced single use plastic items with compostable alternatives, such as compostable injection trays, kidney dishes, denture pots and lids and anaesthetic trays.</w:t>
      </w:r>
    </w:p>
    <w:p w14:paraId="76EE6BEB" w14:textId="207F7745" w:rsidR="00A60BCB" w:rsidRPr="00E8461E" w:rsidRDefault="00A60BCB" w:rsidP="0065729E">
      <w:pPr>
        <w:pStyle w:val="BulletUnindented"/>
      </w:pPr>
      <w:r w:rsidRPr="00E8461E">
        <w:rPr>
          <w:b/>
        </w:rPr>
        <w:t>Waste segregation</w:t>
      </w:r>
      <w:r w:rsidRPr="00E8461E">
        <w:t xml:space="preserve"> to reduce the amount of waste requiring emissions-intensive specialised treatment, for instance incineration. </w:t>
      </w:r>
      <w:r w:rsidR="00383E12" w:rsidRPr="00E8461E">
        <w:t xml:space="preserve">Improving waste segregation is fundamental for </w:t>
      </w:r>
      <w:r w:rsidR="0015014D" w:rsidRPr="00E8461E">
        <w:t xml:space="preserve">the </w:t>
      </w:r>
      <w:r w:rsidR="00FB49D6" w:rsidRPr="00E8461E">
        <w:t>appropriate management</w:t>
      </w:r>
      <w:r w:rsidR="003A46C9" w:rsidRPr="00E8461E">
        <w:t xml:space="preserve"> </w:t>
      </w:r>
      <w:r w:rsidR="0015014D" w:rsidRPr="00E8461E">
        <w:t xml:space="preserve">and </w:t>
      </w:r>
      <w:r w:rsidR="009D40AA" w:rsidRPr="00E8461E">
        <w:t>reduction of emissions from</w:t>
      </w:r>
      <w:r w:rsidR="00FB49D6" w:rsidRPr="00E8461E">
        <w:t xml:space="preserve"> </w:t>
      </w:r>
      <w:r w:rsidR="003A46C9" w:rsidRPr="00E8461E">
        <w:t xml:space="preserve">waste streams. </w:t>
      </w:r>
      <w:r w:rsidRPr="00E8461E">
        <w:t>The Victorian Department of Health provides a range of resources to support staff to manage their waste effectively, including waste audit guidelines, information on polyvinyl chloride (PVC) recycling, waste and recycling signage and guidance to clinical staff.</w:t>
      </w:r>
      <w:r w:rsidRPr="00E8461E">
        <w:rPr>
          <w:rStyle w:val="EndnoteReference"/>
        </w:rPr>
        <w:endnoteReference w:id="189"/>
      </w:r>
    </w:p>
    <w:p w14:paraId="21DB397C" w14:textId="77777777" w:rsidR="008821D3" w:rsidRPr="00E8461E" w:rsidRDefault="008821D3" w:rsidP="008821D3">
      <w:pPr>
        <w:pStyle w:val="BulletUnindented"/>
        <w:keepNext/>
        <w:numPr>
          <w:ilvl w:val="0"/>
          <w:numId w:val="0"/>
        </w:numPr>
        <w:ind w:left="357" w:hanging="357"/>
      </w:pPr>
    </w:p>
    <w:p w14:paraId="64FD2CF0" w14:textId="77777777" w:rsidR="008821D3" w:rsidRPr="00E8461E" w:rsidRDefault="008821D3">
      <w:pPr>
        <w:spacing w:after="160" w:line="259" w:lineRule="auto"/>
        <w:rPr>
          <w:iCs/>
          <w:color w:val="363638" w:themeColor="text2" w:themeShade="80"/>
          <w:sz w:val="18"/>
          <w:szCs w:val="18"/>
        </w:rPr>
      </w:pPr>
      <w:r w:rsidRPr="00E8461E">
        <w:br w:type="page"/>
      </w:r>
    </w:p>
    <w:p w14:paraId="7238FC9F" w14:textId="04427C23" w:rsidR="008821D3" w:rsidRPr="00E8461E" w:rsidRDefault="008821D3" w:rsidP="008821D3">
      <w:pPr>
        <w:pStyle w:val="Caption"/>
        <w:rPr>
          <w:b/>
          <w:bCs/>
        </w:rPr>
      </w:pPr>
      <w:r w:rsidRPr="00E8461E">
        <w:lastRenderedPageBreak/>
        <w:t xml:space="preserve">Figure </w:t>
      </w:r>
      <w:r w:rsidR="00B07FA8">
        <w:fldChar w:fldCharType="begin"/>
      </w:r>
      <w:r w:rsidR="00B07FA8">
        <w:instrText xml:space="preserve"> SEQ Figure \* ARABIC </w:instrText>
      </w:r>
      <w:r w:rsidR="00B07FA8">
        <w:fldChar w:fldCharType="separate"/>
      </w:r>
      <w:r w:rsidR="003E7FC6" w:rsidRPr="00E8461E">
        <w:rPr>
          <w:noProof/>
        </w:rPr>
        <w:t>11</w:t>
      </w:r>
      <w:r w:rsidR="00B07FA8">
        <w:rPr>
          <w:noProof/>
        </w:rPr>
        <w:fldChar w:fldCharType="end"/>
      </w:r>
      <w:r w:rsidRPr="00E8461E">
        <w:t xml:space="preserve"> Waste and resource use</w:t>
      </w:r>
    </w:p>
    <w:p w14:paraId="62BE3E10" w14:textId="73C684A2" w:rsidR="008821D3" w:rsidRPr="00E8461E" w:rsidRDefault="008821D3" w:rsidP="008821D3">
      <w:r w:rsidRPr="00E8461E">
        <w:rPr>
          <w:noProof/>
        </w:rPr>
        <w:drawing>
          <wp:inline distT="0" distB="0" distL="0" distR="0" wp14:anchorId="1C1D4E7D" wp14:editId="5C79BA6B">
            <wp:extent cx="3000375" cy="7302500"/>
            <wp:effectExtent l="0" t="0" r="9525" b="0"/>
            <wp:docPr id="22" name="Picture 22" descr="A diagram on waste and resource use which are reduce, reuse, refurbish, recycle, replace, and waste se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n waste and resource use which are reduce, reuse, refurbish, recycle, replace, and waste segregation."/>
                    <pic:cNvPicPr/>
                  </pic:nvPicPr>
                  <pic:blipFill rotWithShape="1">
                    <a:blip r:embed="rId38" cstate="print">
                      <a:extLst>
                        <a:ext uri="{28A0092B-C50C-407E-A947-70E740481C1C}">
                          <a14:useLocalDpi xmlns:a14="http://schemas.microsoft.com/office/drawing/2010/main" val="0"/>
                        </a:ext>
                      </a:extLst>
                    </a:blip>
                    <a:srcRect l="22959" r="20976"/>
                    <a:stretch/>
                  </pic:blipFill>
                  <pic:spPr bwMode="auto">
                    <a:xfrm>
                      <a:off x="0" y="0"/>
                      <a:ext cx="3003108" cy="7309152"/>
                    </a:xfrm>
                    <a:prstGeom prst="rect">
                      <a:avLst/>
                    </a:prstGeom>
                    <a:ln>
                      <a:noFill/>
                    </a:ln>
                    <a:extLst>
                      <a:ext uri="{53640926-AAD7-44D8-BBD7-CCE9431645EC}">
                        <a14:shadowObscured xmlns:a14="http://schemas.microsoft.com/office/drawing/2010/main"/>
                      </a:ext>
                    </a:extLst>
                  </pic:spPr>
                </pic:pic>
              </a:graphicData>
            </a:graphic>
          </wp:inline>
        </w:drawing>
      </w:r>
    </w:p>
    <w:p w14:paraId="279967E8" w14:textId="77777777" w:rsidR="008821D3" w:rsidRPr="00E8461E" w:rsidRDefault="008821D3">
      <w:pPr>
        <w:spacing w:after="160" w:line="259" w:lineRule="auto"/>
        <w:rPr>
          <w:rFonts w:eastAsiaTheme="majorEastAsia" w:cstheme="majorBidi"/>
          <w:b/>
          <w:bCs/>
          <w:caps/>
          <w:color w:val="153A6E" w:themeColor="accent2"/>
          <w:lang w:val="en-GB"/>
        </w:rPr>
      </w:pPr>
      <w:r w:rsidRPr="00E8461E">
        <w:rPr>
          <w:iCs/>
        </w:rPr>
        <w:br w:type="page"/>
      </w:r>
    </w:p>
    <w:p w14:paraId="0F1E94B5" w14:textId="164D1E8B" w:rsidR="003A3AE0" w:rsidRPr="00E8461E" w:rsidRDefault="00D80EFD" w:rsidP="00D80EFD">
      <w:pPr>
        <w:pStyle w:val="Heading4"/>
        <w:rPr>
          <w:iCs w:val="0"/>
        </w:rPr>
      </w:pPr>
      <w:r w:rsidRPr="00E8461E">
        <w:rPr>
          <w:iCs w:val="0"/>
        </w:rPr>
        <w:lastRenderedPageBreak/>
        <w:t>Case study 12</w:t>
      </w:r>
    </w:p>
    <w:p w14:paraId="233BA039" w14:textId="77777777" w:rsidR="003A3AE0" w:rsidRPr="00E8461E" w:rsidRDefault="003A3AE0" w:rsidP="003A3AE0">
      <w:pPr>
        <w:rPr>
          <w:b/>
          <w:bCs/>
        </w:rPr>
      </w:pPr>
      <w:r w:rsidRPr="00E8461E">
        <w:rPr>
          <w:b/>
          <w:bCs/>
        </w:rPr>
        <w:t>Reusable hospital gowns: spotlight on Barwon Health</w:t>
      </w:r>
    </w:p>
    <w:p w14:paraId="417E7496" w14:textId="7A7FC5D3" w:rsidR="003A3AE0" w:rsidRPr="00E8461E" w:rsidRDefault="003A3AE0" w:rsidP="003A3AE0">
      <w:r w:rsidRPr="00E8461E">
        <w:t>While efforts are underway to reduce health sector emissions, health workers are advocating for procurement guidelines which maximise health outcomes while minimising both emissions and cost.</w:t>
      </w:r>
      <w:r w:rsidR="002D46FD" w:rsidRPr="00E8461E">
        <w:rPr>
          <w:rStyle w:val="EndnoteReference"/>
        </w:rPr>
        <w:endnoteReference w:id="190"/>
      </w:r>
      <w:r w:rsidRPr="00E8461E">
        <w:t xml:space="preserve"> Barwon Health and Deakin University examined the potential environmental and economic benefits from changing from </w:t>
      </w:r>
      <w:proofErr w:type="gramStart"/>
      <w:r w:rsidRPr="00E8461E">
        <w:t>single-use</w:t>
      </w:r>
      <w:proofErr w:type="gramEnd"/>
      <w:r w:rsidRPr="00E8461E">
        <w:t xml:space="preserve"> to reusable isolation gowns (an item of personal protective equipment designed to protect healthcare workers and patients from transfer of body fluids and microorganisms).</w:t>
      </w:r>
    </w:p>
    <w:p w14:paraId="2B4B7C14" w14:textId="337839AA" w:rsidR="003A3AE0" w:rsidRPr="00E8461E" w:rsidRDefault="003A3AE0" w:rsidP="003A3AE0">
      <w:r w:rsidRPr="00E8461E">
        <w:t>A life cycle assessment was conducted to assess the greenhouse gas emissions and solid waste associated with both gown types. The emissions produced by each gown type were monetised using the World Bank ‘social cost of carbon’,</w:t>
      </w:r>
      <w:r w:rsidR="002D46FD" w:rsidRPr="00E8461E">
        <w:rPr>
          <w:rStyle w:val="EndnoteReference"/>
        </w:rPr>
        <w:endnoteReference w:id="191"/>
      </w:r>
      <w:r w:rsidRPr="00E8461E">
        <w:t xml:space="preserve"> added to the financial cost of the gowns to give a total cost.</w:t>
      </w:r>
    </w:p>
    <w:p w14:paraId="09E3E017" w14:textId="77777777" w:rsidR="003A3AE0" w:rsidRPr="00E8461E" w:rsidRDefault="003A3AE0" w:rsidP="003A3AE0">
      <w:r w:rsidRPr="00E8461E">
        <w:t>Reusable gowns were guaranteed for 100 wash cycles. Allowing for losses, one reusable gown was assumed to replace approximately 90 single use gowns. Reusable gowns were found to have substantial environmental benefits with 96% less solid waste and at least a 42% smaller emissions footprint over five years. The emissions savings from reusable gowns would be further increased by powering the laundries with renewable electricity (the study assumed the current Victorian energy mix in which brown coal predominates) or by using zero emission trucks to transport the gowns. This combination could lead to an 88% emissions reduction over five years.</w:t>
      </w:r>
    </w:p>
    <w:p w14:paraId="7236A004" w14:textId="06187726" w:rsidR="000227C5" w:rsidRPr="00E8461E" w:rsidRDefault="003A3AE0" w:rsidP="003A3AE0">
      <w:pPr>
        <w:pBdr>
          <w:bottom w:val="single" w:sz="12" w:space="1" w:color="008A95" w:themeColor="accent1"/>
        </w:pBdr>
      </w:pPr>
      <w:r w:rsidRPr="00E8461E">
        <w:t>The cost per use of reusable gowns was estimated to be more than that of single-use gowns, based on available quotes and costs for the study. Including monetised environmental damages did not significantly change the cost differential. A proportion of this price was estimated to be attributed to the transport costs moving gowns from the hospital to the laundry facility. A frequent review of costs of both gown types, bundling into a larger linen contract, and shorter travel distances between laundries and hospitals could see the reusable gowns being more cost competitive.</w:t>
      </w:r>
    </w:p>
    <w:p w14:paraId="03E9C0C1" w14:textId="36FB4744" w:rsidR="00A60BCB" w:rsidRPr="00E8461E" w:rsidRDefault="00A60BCB" w:rsidP="003A3AE0">
      <w:r w:rsidRPr="00E8461E">
        <w:t>Many medical products contain PVC and other halogenated materials that produce toxic and persistent organic pollutants (POPs) such as dioxins, furans and polychlorinated biphenyls in small quantities when burned.</w:t>
      </w:r>
      <w:r w:rsidRPr="00E8461E">
        <w:rPr>
          <w:rStyle w:val="EndnoteReference"/>
        </w:rPr>
        <w:endnoteReference w:id="192"/>
      </w:r>
      <w:r w:rsidRPr="00E8461E">
        <w:t xml:space="preserve"> Australia has committed to eliminate POPs under the Stockholm Convention. Medical waste incineration facilities can use best practice pollution elimination technologies to reduce these and other emissions such as</w:t>
      </w:r>
      <w:r w:rsidR="00C20114" w:rsidRPr="00E8461E">
        <w:t xml:space="preserve"> those from</w:t>
      </w:r>
      <w:r w:rsidRPr="00E8461E">
        <w:t xml:space="preserve"> black carbon (which also acts as a short-lived climate pollutant), and oxides of nitrogen.</w:t>
      </w:r>
    </w:p>
    <w:p w14:paraId="0C6EB22B" w14:textId="4509C56B" w:rsidR="00A60BCB" w:rsidRPr="00E8461E" w:rsidRDefault="00A60BCB" w:rsidP="00A60BCB">
      <w:pPr>
        <w:rPr>
          <w:lang w:val="en-GB"/>
        </w:rPr>
      </w:pPr>
      <w:r w:rsidRPr="00E8461E">
        <w:rPr>
          <w:lang w:val="en-GB"/>
        </w:rPr>
        <w:t>In 2022, the Minister for the Environment and Water included Plastics in healthcare products in the 2022-23 Minister’s (Product Stewardship) Priority List.</w:t>
      </w:r>
      <w:r w:rsidR="002A7EFF" w:rsidRPr="00E8461E">
        <w:rPr>
          <w:rStyle w:val="EndnoteReference"/>
          <w:lang w:val="en-GB"/>
        </w:rPr>
        <w:endnoteReference w:id="193"/>
      </w:r>
      <w:r w:rsidRPr="00E8461E">
        <w:rPr>
          <w:lang w:val="en-GB"/>
        </w:rPr>
        <w:t xml:space="preserve"> The Minister’s priority list identifies the products and materials considered most in need of industry-led product stewardship action.</w:t>
      </w:r>
    </w:p>
    <w:p w14:paraId="13F636D3" w14:textId="0FAB1090" w:rsidR="00A60BCB" w:rsidRPr="00E8461E" w:rsidRDefault="00A60BCB" w:rsidP="00A60BCB">
      <w:pPr>
        <w:rPr>
          <w:lang w:val="en-GB"/>
        </w:rPr>
      </w:pPr>
      <w:r w:rsidRPr="00E8461E">
        <w:rPr>
          <w:lang w:val="en-GB"/>
        </w:rPr>
        <w:t xml:space="preserve">The carbon and environmental impact of waste can also be tackled through engagement with suppliers. Health and aged care procurers can engage in dialogue with manufacturers and ensure contracts and tendering processes incentivise circularity concepts, such as reuse, </w:t>
      </w:r>
      <w:proofErr w:type="gramStart"/>
      <w:r w:rsidRPr="00E8461E">
        <w:rPr>
          <w:lang w:val="en-GB"/>
        </w:rPr>
        <w:t>refurbishment</w:t>
      </w:r>
      <w:proofErr w:type="gramEnd"/>
      <w:r w:rsidRPr="00E8461E">
        <w:rPr>
          <w:lang w:val="en-GB"/>
        </w:rPr>
        <w:t xml:space="preserve"> and recycling. This is discussed further in the next section.</w:t>
      </w:r>
    </w:p>
    <w:p w14:paraId="15C40C7F" w14:textId="77777777" w:rsidR="00D80EFD" w:rsidRPr="00E8461E" w:rsidRDefault="00D80EFD" w:rsidP="00D80EFD">
      <w:pPr>
        <w:pStyle w:val="Heading4"/>
        <w:rPr>
          <w:iCs w:val="0"/>
        </w:rPr>
      </w:pPr>
      <w:r w:rsidRPr="00E8461E">
        <w:rPr>
          <w:iCs w:val="0"/>
        </w:rPr>
        <w:t>Action 4.16</w:t>
      </w:r>
    </w:p>
    <w:p w14:paraId="1D2025C7" w14:textId="77777777" w:rsidR="00D80EFD" w:rsidRPr="00E8461E" w:rsidRDefault="00D80EFD" w:rsidP="00D80EFD">
      <w:pPr>
        <w:rPr>
          <w:b/>
          <w:lang w:val="en-GB"/>
        </w:rPr>
      </w:pPr>
      <w:r w:rsidRPr="00E8461E">
        <w:rPr>
          <w:b/>
          <w:lang w:val="en-GB"/>
        </w:rPr>
        <w:t>Supporting the systematic implementation of waste reduction action</w:t>
      </w:r>
    </w:p>
    <w:p w14:paraId="30A71B03" w14:textId="7555FB43" w:rsidR="00D80EFD" w:rsidRPr="00E8461E" w:rsidRDefault="00D80EFD" w:rsidP="00D80EFD">
      <w:pPr>
        <w:pBdr>
          <w:bottom w:val="single" w:sz="12" w:space="1" w:color="008A95" w:themeColor="accent1"/>
        </w:pBdr>
        <w:rPr>
          <w:lang w:val="en-GB"/>
        </w:rPr>
      </w:pPr>
      <w:r w:rsidRPr="00E8461E">
        <w:rPr>
          <w:lang w:val="en-GB"/>
        </w:rPr>
        <w:lastRenderedPageBreak/>
        <w:t xml:space="preserve">The Australian Government will commission and publish a review of the potential ways in which health and aged care waste can be reduced, reused, refurbished, recycled, </w:t>
      </w:r>
      <w:proofErr w:type="gramStart"/>
      <w:r w:rsidRPr="00E8461E">
        <w:rPr>
          <w:lang w:val="en-GB"/>
        </w:rPr>
        <w:t>replaced</w:t>
      </w:r>
      <w:proofErr w:type="gramEnd"/>
      <w:r w:rsidRPr="00E8461E">
        <w:rPr>
          <w:lang w:val="en-GB"/>
        </w:rPr>
        <w:t xml:space="preserve"> and segregated and how these changes can be implemented. This review will then feed into the green procurement and sustainable resource use guidelines and further resources for health and aged care facilities and staff.</w:t>
      </w:r>
    </w:p>
    <w:p w14:paraId="38FD0BFC" w14:textId="23B47399" w:rsidR="00A60BCB" w:rsidRPr="00E8461E" w:rsidRDefault="00801482" w:rsidP="00571F10">
      <w:pPr>
        <w:pStyle w:val="Heading3"/>
      </w:pPr>
      <w:bookmarkStart w:id="180" w:name="_Toc149909993"/>
      <w:bookmarkStart w:id="181" w:name="_Toc149918458"/>
      <w:r w:rsidRPr="00E8461E">
        <w:t>4</w:t>
      </w:r>
      <w:r w:rsidR="00A60BCB" w:rsidRPr="00E8461E">
        <w:t>.5.7 Supply chain</w:t>
      </w:r>
      <w:bookmarkEnd w:id="180"/>
      <w:bookmarkEnd w:id="181"/>
    </w:p>
    <w:p w14:paraId="418896F1" w14:textId="252E5789" w:rsidR="00A60BCB" w:rsidRPr="00E8461E" w:rsidRDefault="00A60BCB" w:rsidP="00A60BCB">
      <w:pPr>
        <w:rPr>
          <w:lang w:val="en-GB"/>
        </w:rPr>
      </w:pPr>
      <w:r w:rsidRPr="00E8461E">
        <w:rPr>
          <w:lang w:val="en-GB"/>
        </w:rPr>
        <w:t xml:space="preserve">Around 70% of the health system’s global emissions footprint is derived from the supply chain, including but not limited to the production, </w:t>
      </w:r>
      <w:proofErr w:type="gramStart"/>
      <w:r w:rsidRPr="00E8461E">
        <w:rPr>
          <w:lang w:val="en-GB"/>
        </w:rPr>
        <w:t>transport</w:t>
      </w:r>
      <w:proofErr w:type="gramEnd"/>
      <w:r w:rsidRPr="00E8461E">
        <w:rPr>
          <w:lang w:val="en-GB"/>
        </w:rPr>
        <w:t xml:space="preserve"> and disposal of health-related goods such as medicines.</w:t>
      </w:r>
      <w:r w:rsidRPr="00E8461E">
        <w:rPr>
          <w:rStyle w:val="EndnoteReference"/>
          <w:lang w:val="en-GB"/>
        </w:rPr>
        <w:endnoteReference w:id="194"/>
      </w:r>
      <w:r w:rsidRPr="00E8461E">
        <w:rPr>
          <w:lang w:val="en-GB"/>
        </w:rPr>
        <w:t xml:space="preserve"> Health and aged care organisations are well placed to leverage their considerable purchasing power to influence manufacturers to improve and report on the environmental performance and the emissions footprint of the products they purchase.</w:t>
      </w:r>
    </w:p>
    <w:p w14:paraId="775A1A2D" w14:textId="7DE0F14A" w:rsidR="00A60BCB" w:rsidRPr="00E8461E" w:rsidRDefault="00A60BCB" w:rsidP="00A60BCB">
      <w:pPr>
        <w:rPr>
          <w:lang w:val="en-GB"/>
        </w:rPr>
      </w:pPr>
      <w:r w:rsidRPr="00E8461E">
        <w:rPr>
          <w:lang w:val="en-GB"/>
        </w:rPr>
        <w:t>A large proportion of items purchased in Australia’s health system come from the same international suppliers (for example, pharmaceutical, medical imaging and other medical technology companies), who also supply to other international health systems. Aligning health system procurement requirements would represent a larger share of the market, which would strengthen the requirements of suppliers from each individual health system and reduce the reporting burden of companies as they develop and implement their own net zero plans.</w:t>
      </w:r>
    </w:p>
    <w:p w14:paraId="7EAF1758" w14:textId="2F3B2C0C" w:rsidR="00A60BCB" w:rsidRPr="00E8461E" w:rsidRDefault="00A60BCB" w:rsidP="00A60BCB">
      <w:pPr>
        <w:rPr>
          <w:rFonts w:ascii="Calibri" w:eastAsia="Calibri" w:hAnsi="Calibri" w:cs="Calibri"/>
          <w:lang w:val="en-GB"/>
        </w:rPr>
      </w:pPr>
      <w:r w:rsidRPr="00E8461E">
        <w:rPr>
          <w:rFonts w:ascii="Calibri" w:eastAsia="Calibri" w:hAnsi="Calibri" w:cs="Calibri"/>
          <w:lang w:val="en-GB"/>
        </w:rPr>
        <w:t xml:space="preserve">Ensuring resilience of health system supply chains is discussed in section </w:t>
      </w:r>
      <w:r w:rsidR="006F6F29" w:rsidRPr="00E8461E">
        <w:rPr>
          <w:rFonts w:ascii="Calibri" w:eastAsia="Calibri" w:hAnsi="Calibri" w:cs="Calibri"/>
          <w:lang w:val="en-GB"/>
        </w:rPr>
        <w:t>3</w:t>
      </w:r>
      <w:r w:rsidRPr="00E8461E">
        <w:rPr>
          <w:rFonts w:ascii="Calibri" w:eastAsia="Calibri" w:hAnsi="Calibri" w:cs="Calibri"/>
          <w:lang w:val="en-GB"/>
        </w:rPr>
        <w:t>.</w:t>
      </w:r>
      <w:r w:rsidR="006F6F29" w:rsidRPr="00E8461E">
        <w:rPr>
          <w:rFonts w:ascii="Calibri" w:eastAsia="Calibri" w:hAnsi="Calibri" w:cs="Calibri"/>
          <w:lang w:val="en-GB"/>
        </w:rPr>
        <w:t>4</w:t>
      </w:r>
      <w:r w:rsidRPr="00E8461E">
        <w:rPr>
          <w:rFonts w:ascii="Calibri" w:eastAsia="Calibri" w:hAnsi="Calibri" w:cs="Calibri"/>
          <w:lang w:val="en-GB"/>
        </w:rPr>
        <w:t>.3.</w:t>
      </w:r>
      <w:r w:rsidR="00951183" w:rsidRPr="00E8461E">
        <w:rPr>
          <w:rFonts w:ascii="Calibri" w:eastAsia="Calibri" w:hAnsi="Calibri" w:cs="Calibri"/>
          <w:lang w:val="en-GB"/>
        </w:rPr>
        <w:t xml:space="preserve"> International collaboration to decarbonise health system supply chains is discussed in section 5.1.</w:t>
      </w:r>
    </w:p>
    <w:p w14:paraId="337281EB" w14:textId="77777777" w:rsidR="00D80EFD" w:rsidRPr="00E8461E" w:rsidRDefault="00D80EFD" w:rsidP="00D80EFD">
      <w:pPr>
        <w:pStyle w:val="Heading4"/>
        <w:rPr>
          <w:iCs w:val="0"/>
        </w:rPr>
      </w:pPr>
      <w:r w:rsidRPr="00E8461E">
        <w:rPr>
          <w:iCs w:val="0"/>
        </w:rPr>
        <w:t>Action 4.17</w:t>
      </w:r>
    </w:p>
    <w:p w14:paraId="4AEEE2E5" w14:textId="77777777" w:rsidR="00D80EFD" w:rsidRPr="00E8461E" w:rsidRDefault="00D80EFD" w:rsidP="00D80EFD">
      <w:pPr>
        <w:rPr>
          <w:b/>
          <w:lang w:val="en-GB"/>
        </w:rPr>
      </w:pPr>
      <w:r w:rsidRPr="00E8461E">
        <w:rPr>
          <w:b/>
          <w:lang w:val="en-GB"/>
        </w:rPr>
        <w:t>Promoting green procurement and sustainable resource use</w:t>
      </w:r>
    </w:p>
    <w:p w14:paraId="0C1597F0" w14:textId="498352D1" w:rsidR="00D80EFD" w:rsidRPr="00E8461E" w:rsidRDefault="00D80EFD" w:rsidP="00D80EFD">
      <w:pPr>
        <w:pBdr>
          <w:bottom w:val="single" w:sz="12" w:space="1" w:color="008A95" w:themeColor="accent1"/>
        </w:pBdr>
        <w:rPr>
          <w:lang w:val="en-GB"/>
        </w:rPr>
      </w:pPr>
      <w:r w:rsidRPr="00E8461E">
        <w:rPr>
          <w:lang w:val="en-GB"/>
        </w:rPr>
        <w:t xml:space="preserve">The Australian Government will develop guidelines on green procurement and sustainable resource use in consultation with states, territories, </w:t>
      </w:r>
      <w:proofErr w:type="gramStart"/>
      <w:r w:rsidRPr="00E8461E">
        <w:rPr>
          <w:lang w:val="en-GB"/>
        </w:rPr>
        <w:t>industry</w:t>
      </w:r>
      <w:proofErr w:type="gramEnd"/>
      <w:r w:rsidRPr="00E8461E">
        <w:rPr>
          <w:lang w:val="en-GB"/>
        </w:rPr>
        <w:t xml:space="preserve"> and suppliers</w:t>
      </w:r>
      <w:r w:rsidRPr="00E8461E">
        <w:rPr>
          <w:bCs/>
          <w:lang w:val="en-GB"/>
        </w:rPr>
        <w:t>.</w:t>
      </w:r>
    </w:p>
    <w:p w14:paraId="41FF77B0" w14:textId="4CB0D7F5" w:rsidR="00973E53" w:rsidRPr="00E8461E" w:rsidRDefault="00973E53">
      <w:pPr>
        <w:spacing w:after="160"/>
        <w:rPr>
          <w:lang w:val="en-GB"/>
        </w:rPr>
      </w:pPr>
      <w:r w:rsidRPr="00E8461E">
        <w:rPr>
          <w:lang w:val="en-GB"/>
        </w:rPr>
        <w:br w:type="page"/>
      </w:r>
    </w:p>
    <w:p w14:paraId="373F28CF" w14:textId="43054427" w:rsidR="008A5196" w:rsidRPr="00E8461E" w:rsidRDefault="005A147C" w:rsidP="00D76CDF">
      <w:pPr>
        <w:pStyle w:val="Heading1"/>
        <w:rPr>
          <w:lang w:val="en-GB"/>
        </w:rPr>
      </w:pPr>
      <w:bookmarkStart w:id="182" w:name="_Toc151999633"/>
      <w:bookmarkStart w:id="183" w:name="_Toc149765725"/>
      <w:r w:rsidRPr="00E8461E">
        <w:rPr>
          <w:lang w:val="en-GB"/>
        </w:rPr>
        <w:lastRenderedPageBreak/>
        <w:t xml:space="preserve">Chapter 5: </w:t>
      </w:r>
      <w:r w:rsidR="008A5196" w:rsidRPr="00E8461E">
        <w:rPr>
          <w:lang w:val="en-GB"/>
        </w:rPr>
        <w:t xml:space="preserve">Collaborating internationally to build sustainable, climate-resilient health systems and </w:t>
      </w:r>
      <w:proofErr w:type="gramStart"/>
      <w:r w:rsidR="008A5196" w:rsidRPr="00E8461E">
        <w:rPr>
          <w:lang w:val="en-GB"/>
        </w:rPr>
        <w:t>communities</w:t>
      </w:r>
      <w:bookmarkEnd w:id="182"/>
      <w:proofErr w:type="gramEnd"/>
    </w:p>
    <w:p w14:paraId="3C145E71" w14:textId="7477D975" w:rsidR="00653752" w:rsidRPr="00E8461E" w:rsidRDefault="00653752" w:rsidP="00653752">
      <w:pPr>
        <w:rPr>
          <w:lang w:val="en-GB"/>
        </w:rPr>
      </w:pPr>
      <w:r w:rsidRPr="00E8461E">
        <w:rPr>
          <w:noProof/>
          <w:lang w:val="en-GB"/>
        </w:rPr>
        <mc:AlternateContent>
          <mc:Choice Requires="wps">
            <w:drawing>
              <wp:inline distT="0" distB="0" distL="0" distR="0" wp14:anchorId="34DE577D" wp14:editId="50CF2529">
                <wp:extent cx="1035592" cy="115657"/>
                <wp:effectExtent l="0" t="0" r="0" b="0"/>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26D0A2" id="Rectangle 12"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663E40C3" w14:textId="0969E7BC" w:rsidR="00653752" w:rsidRPr="00E8461E" w:rsidRDefault="00653752" w:rsidP="00653752">
      <w:pPr>
        <w:pBdr>
          <w:bottom w:val="single" w:sz="12" w:space="1" w:color="153A6E" w:themeColor="accent2"/>
        </w:pBdr>
        <w:shd w:val="clear" w:color="auto" w:fill="F0F1F1" w:themeFill="background2"/>
        <w:spacing w:after="0"/>
        <w:rPr>
          <w:b/>
          <w:bCs/>
          <w:color w:val="0A1D37" w:themeColor="accent2" w:themeShade="80"/>
        </w:rPr>
      </w:pPr>
      <w:r w:rsidRPr="00E8461E">
        <w:rPr>
          <w:b/>
          <w:bCs/>
          <w:color w:val="0A1D37" w:themeColor="accent2" w:themeShade="80"/>
        </w:rPr>
        <w:t xml:space="preserve">OBJECTIVE 3 - INTERNATIONAL COLLABORATION: </w:t>
      </w:r>
    </w:p>
    <w:p w14:paraId="34A03E80" w14:textId="1EF2DE13" w:rsidR="008A5196" w:rsidRPr="00E8461E" w:rsidRDefault="00653752" w:rsidP="00653752">
      <w:pPr>
        <w:pBdr>
          <w:bottom w:val="single" w:sz="12" w:space="1" w:color="153A6E" w:themeColor="accent2"/>
        </w:pBdr>
        <w:shd w:val="clear" w:color="auto" w:fill="F0F1F1" w:themeFill="background2"/>
        <w:rPr>
          <w:lang w:val="en-GB"/>
        </w:rPr>
      </w:pPr>
      <w:r w:rsidRPr="00E8461E">
        <w:rPr>
          <w:b/>
          <w:bCs/>
        </w:rPr>
        <w:t>Collaborate internationally to build sustainable, climate-resilient health systems and communities.</w:t>
      </w:r>
      <w:r w:rsidRPr="00E8461E">
        <w:t xml:space="preserve"> The Strategy will identify opportunities for knowledge sharing and the development of international standards as well as highlight the ways Australia can support its neighbours to protect and promote health in their climate change responses.</w:t>
      </w:r>
    </w:p>
    <w:p w14:paraId="028A8846" w14:textId="001D5944" w:rsidR="008A5196" w:rsidRPr="00E8461E" w:rsidRDefault="008A5196" w:rsidP="008A5196">
      <w:pPr>
        <w:rPr>
          <w:lang w:val="en-GB"/>
        </w:rPr>
      </w:pPr>
      <w:r w:rsidRPr="00E8461E">
        <w:rPr>
          <w:lang w:val="en-GB"/>
        </w:rPr>
        <w:t>Climate change is a global problem. Addressing climate change effectively requires working with other nations. There are also limits to what Australia can achieve on its own. For example, Australia’s small share of the global medicines and medical device markets limits its ability to impose new sustainability-driven requirements and standards on international manufacturers. However, by collaborating with other jurisdictions to align requirements and standards we can achieve more rapid change, while at the same time minimising the burden on manufacturers and suppliers.</w:t>
      </w:r>
    </w:p>
    <w:p w14:paraId="2156090B" w14:textId="0AA251AA" w:rsidR="008A5196" w:rsidRPr="00E8461E" w:rsidRDefault="008A5196" w:rsidP="008A5196">
      <w:r w:rsidRPr="00E8461E">
        <w:t xml:space="preserve">The COVID-19 pandemic highlighted the significant interdependencies between nations in managing disease threats that cross national borders and maintaining critical health supply chains. Climate change is already </w:t>
      </w:r>
      <w:r w:rsidR="003A2CF9" w:rsidRPr="00E8461E">
        <w:t xml:space="preserve">increasing </w:t>
      </w:r>
      <w:r w:rsidRPr="00E8461E">
        <w:t xml:space="preserve">existing pressures in these areas, and mitigating the risks to health which may arise from these pressures will require close international cooperation and alignment. For example, communicable diseases could spill across borders into previously unaffected regions and nations due to the direct and indirect effects of climate change. Climate-related drought, heatwaves, wildfires and changing seasonal patterns, can </w:t>
      </w:r>
      <w:r w:rsidR="00362A25" w:rsidRPr="00E8461E">
        <w:t xml:space="preserve">affect </w:t>
      </w:r>
      <w:r w:rsidRPr="00E8461E">
        <w:t>food production in major regional and global food bowls, with flow-on effects on food security and nutrition around the world. To mitigate risks from these climate</w:t>
      </w:r>
      <w:r w:rsidR="006269A9" w:rsidRPr="00E8461E">
        <w:t xml:space="preserve"> impacts</w:t>
      </w:r>
      <w:r w:rsidRPr="00E8461E">
        <w:t>, frequent, transparent and effective international knowledge</w:t>
      </w:r>
      <w:r w:rsidR="00CD62E6" w:rsidRPr="00E8461E">
        <w:t xml:space="preserve"> </w:t>
      </w:r>
      <w:proofErr w:type="gramStart"/>
      <w:r w:rsidRPr="00E8461E">
        <w:t>sharing</w:t>
      </w:r>
      <w:proofErr w:type="gramEnd"/>
      <w:r w:rsidRPr="00E8461E">
        <w:t xml:space="preserve"> and collaboration will be required.</w:t>
      </w:r>
    </w:p>
    <w:p w14:paraId="7BA5D821" w14:textId="3C5BF7C1" w:rsidR="008A5196" w:rsidRPr="00E8461E" w:rsidRDefault="008A5196" w:rsidP="008A5196">
      <w:r w:rsidRPr="00E8461E">
        <w:t xml:space="preserve">Initially formed to share information about work in COVID-19, an international collaboration between like-minded health technology assessment bodies was established in 2021. This </w:t>
      </w:r>
      <w:r w:rsidR="0088238A" w:rsidRPr="00E8461E">
        <w:t>i</w:t>
      </w:r>
      <w:r w:rsidRPr="00E8461E">
        <w:t xml:space="preserve">nternational collaboration, which spans Australia, Canada, New </w:t>
      </w:r>
      <w:proofErr w:type="gramStart"/>
      <w:r w:rsidRPr="00E8461E">
        <w:t>Zealand</w:t>
      </w:r>
      <w:proofErr w:type="gramEnd"/>
      <w:r w:rsidRPr="00E8461E">
        <w:t xml:space="preserve"> and the United Kingdom, is exploring the feasibility of sharing </w:t>
      </w:r>
      <w:r w:rsidR="00DE2762" w:rsidRPr="00E8461E">
        <w:t xml:space="preserve">the work </w:t>
      </w:r>
      <w:r w:rsidRPr="00E8461E">
        <w:t>to support decision making, identifying and preparing for the opportunities and challenges of the future.</w:t>
      </w:r>
      <w:r w:rsidRPr="00E8461E">
        <w:rPr>
          <w:rStyle w:val="EndnoteReference"/>
        </w:rPr>
        <w:endnoteReference w:id="195"/>
      </w:r>
    </w:p>
    <w:p w14:paraId="492AE06D" w14:textId="6D3DB6D9" w:rsidR="008A5196" w:rsidRPr="00E8461E" w:rsidRDefault="008A5196" w:rsidP="008A5196">
      <w:r w:rsidRPr="00E8461E">
        <w:t xml:space="preserve">Two of the members of the </w:t>
      </w:r>
      <w:r w:rsidR="0088238A" w:rsidRPr="00E8461E">
        <w:t>i</w:t>
      </w:r>
      <w:r w:rsidRPr="00E8461E">
        <w:t xml:space="preserve">nternational collaboration, the National Institute for Health and Care Excellence and the Canadian Agency for Drugs and Technologies in Health, are exploring how to incorporate environmental considerations in </w:t>
      </w:r>
      <w:r w:rsidR="00EF787E" w:rsidRPr="00E8461E">
        <w:t xml:space="preserve">health technology assessment </w:t>
      </w:r>
      <w:r w:rsidRPr="00E8461E">
        <w:t>processes.</w:t>
      </w:r>
      <w:r w:rsidRPr="00E8461E">
        <w:rPr>
          <w:rStyle w:val="EndnoteReference"/>
        </w:rPr>
        <w:endnoteReference w:id="196"/>
      </w:r>
      <w:r w:rsidRPr="00E8461E">
        <w:rPr>
          <w:vertAlign w:val="superscript"/>
        </w:rPr>
        <w:t>,</w:t>
      </w:r>
      <w:r w:rsidRPr="00E8461E">
        <w:rPr>
          <w:rStyle w:val="EndnoteReference"/>
        </w:rPr>
        <w:endnoteReference w:id="197"/>
      </w:r>
      <w:r w:rsidRPr="00E8461E">
        <w:t xml:space="preserve"> The inclusion of environmental considerations in these processes could be helpful in making decisions on medicines and medical technologies when other factors, such as clinical outcomes and cost-effectiveness, are equal.</w:t>
      </w:r>
    </w:p>
    <w:p w14:paraId="5A07EEF3" w14:textId="77777777" w:rsidR="00D80EFD" w:rsidRPr="00E8461E" w:rsidRDefault="00D80EFD" w:rsidP="00D80EFD">
      <w:pPr>
        <w:pStyle w:val="Heading4"/>
        <w:rPr>
          <w:iCs w:val="0"/>
        </w:rPr>
      </w:pPr>
      <w:r w:rsidRPr="00E8461E">
        <w:rPr>
          <w:iCs w:val="0"/>
        </w:rPr>
        <w:t>Action 5.1</w:t>
      </w:r>
    </w:p>
    <w:p w14:paraId="7D66B6D1" w14:textId="77777777" w:rsidR="00D80EFD" w:rsidRPr="00E8461E" w:rsidRDefault="00D80EFD" w:rsidP="00D80EFD">
      <w:pPr>
        <w:rPr>
          <w:b/>
          <w:bCs/>
          <w:lang w:val="en-GB"/>
        </w:rPr>
      </w:pPr>
      <w:r w:rsidRPr="00E8461E">
        <w:rPr>
          <w:b/>
          <w:bCs/>
          <w:lang w:val="en-GB"/>
        </w:rPr>
        <w:t xml:space="preserve">Considering the role for emissions </w:t>
      </w:r>
      <w:proofErr w:type="spellStart"/>
      <w:r w:rsidRPr="00E8461E">
        <w:rPr>
          <w:b/>
          <w:bCs/>
          <w:lang w:val="en-GB"/>
        </w:rPr>
        <w:t>footprinting</w:t>
      </w:r>
      <w:proofErr w:type="spellEnd"/>
      <w:r w:rsidRPr="00E8461E">
        <w:rPr>
          <w:b/>
          <w:bCs/>
          <w:lang w:val="en-GB"/>
        </w:rPr>
        <w:t xml:space="preserve"> of health technology products</w:t>
      </w:r>
    </w:p>
    <w:p w14:paraId="739C9B8A" w14:textId="68806842" w:rsidR="00D80EFD" w:rsidRPr="00E8461E" w:rsidRDefault="00D80EFD" w:rsidP="00D80EFD">
      <w:pPr>
        <w:pBdr>
          <w:bottom w:val="single" w:sz="12" w:space="1" w:color="008A95" w:themeColor="accent1"/>
        </w:pBdr>
      </w:pPr>
      <w:r w:rsidRPr="00E8461E">
        <w:rPr>
          <w:lang w:val="en-GB"/>
        </w:rPr>
        <w:t xml:space="preserve">The Australian Government will, in consultation with industry and other relevant stakeholders, review options for including public reporting and consideration of environmental impacts, starting with </w:t>
      </w:r>
      <w:r w:rsidRPr="00E8461E">
        <w:rPr>
          <w:lang w:val="en-GB"/>
        </w:rPr>
        <w:lastRenderedPageBreak/>
        <w:t>greenhouse gas emissions,</w:t>
      </w:r>
      <w:r w:rsidRPr="00E8461E" w:rsidDel="008650CD">
        <w:t xml:space="preserve"> </w:t>
      </w:r>
      <w:r w:rsidRPr="00E8461E">
        <w:t xml:space="preserve">of health technologies, </w:t>
      </w:r>
      <w:r w:rsidRPr="00E8461E">
        <w:rPr>
          <w:lang w:val="en-GB"/>
        </w:rPr>
        <w:t>in</w:t>
      </w:r>
      <w:r w:rsidRPr="00E8461E" w:rsidDel="008E34A4">
        <w:rPr>
          <w:lang w:val="en-GB"/>
        </w:rPr>
        <w:t xml:space="preserve"> </w:t>
      </w:r>
      <w:r w:rsidRPr="00E8461E">
        <w:rPr>
          <w:lang w:val="en-GB"/>
        </w:rPr>
        <w:t>collaboration and alignment with international best practice in comparable jurisdictions.</w:t>
      </w:r>
    </w:p>
    <w:p w14:paraId="38720739" w14:textId="5435B8A4" w:rsidR="008A5196" w:rsidRPr="00E8461E" w:rsidRDefault="000D0D2E" w:rsidP="00CE2599">
      <w:pPr>
        <w:pStyle w:val="Heading2"/>
        <w:rPr>
          <w:lang w:val="en-GB"/>
        </w:rPr>
      </w:pPr>
      <w:bookmarkStart w:id="184" w:name="_Toc151999634"/>
      <w:r w:rsidRPr="00E8461E">
        <w:rPr>
          <w:lang w:val="en-GB"/>
        </w:rPr>
        <w:t>5</w:t>
      </w:r>
      <w:r w:rsidR="008A5196" w:rsidRPr="00E8461E">
        <w:rPr>
          <w:lang w:val="en-GB"/>
        </w:rPr>
        <w:t>.1 International responses to health and climate change</w:t>
      </w:r>
      <w:bookmarkEnd w:id="184"/>
    </w:p>
    <w:p w14:paraId="5535C4C7" w14:textId="07929C88" w:rsidR="008A5196" w:rsidRPr="00E8461E" w:rsidRDefault="008A5196" w:rsidP="008A5196">
      <w:r w:rsidRPr="00E8461E">
        <w:t xml:space="preserve">Many of Australia’s closest allies and partners around the world have well-advanced programs and policies to increase the sustainability and climate-resilience of their health systems. In Canada, the </w:t>
      </w:r>
      <w:proofErr w:type="spellStart"/>
      <w:r w:rsidRPr="00E8461E">
        <w:t>HealthAdapt</w:t>
      </w:r>
      <w:proofErr w:type="spellEnd"/>
      <w:r w:rsidRPr="00E8461E">
        <w:t xml:space="preserve"> Program helps the health sector prepare for and respond to the impacts of climate change.</w:t>
      </w:r>
      <w:r w:rsidRPr="00E8461E">
        <w:rPr>
          <w:rStyle w:val="EndnoteReference"/>
        </w:rPr>
        <w:endnoteReference w:id="198"/>
      </w:r>
      <w:r w:rsidRPr="00E8461E">
        <w:t xml:space="preserve"> In New Zealand, climate change is now a priority in the </w:t>
      </w:r>
      <w:proofErr w:type="spellStart"/>
      <w:r w:rsidRPr="00E8461E">
        <w:t>Te</w:t>
      </w:r>
      <w:proofErr w:type="spellEnd"/>
      <w:r w:rsidRPr="00E8461E">
        <w:t xml:space="preserve"> </w:t>
      </w:r>
      <w:proofErr w:type="spellStart"/>
      <w:r w:rsidRPr="00E8461E">
        <w:t>Pae</w:t>
      </w:r>
      <w:proofErr w:type="spellEnd"/>
      <w:r w:rsidRPr="00E8461E">
        <w:t xml:space="preserve"> Tata Interim New Zealand Health Plan 2022, and work is underway to address three focus areas: health system decarbonisation, environment in all practices, and health system resilience and adaptation.</w:t>
      </w:r>
      <w:r w:rsidRPr="00E8461E">
        <w:rPr>
          <w:rStyle w:val="EndnoteReference"/>
        </w:rPr>
        <w:endnoteReference w:id="199"/>
      </w:r>
    </w:p>
    <w:p w14:paraId="23980EF1" w14:textId="7B2529C2" w:rsidR="008A5196" w:rsidRPr="00E8461E" w:rsidRDefault="00612763" w:rsidP="008A5196">
      <w:r w:rsidRPr="00E8461E">
        <w:t>Each of the National Health Services of England, Scotland and Wales have published health and climate change strategies.</w:t>
      </w:r>
      <w:r w:rsidRPr="00E8461E">
        <w:rPr>
          <w:rStyle w:val="EndnoteReference"/>
        </w:rPr>
        <w:endnoteReference w:id="200"/>
      </w:r>
      <w:r w:rsidRPr="00E8461E">
        <w:rPr>
          <w:vertAlign w:val="superscript"/>
        </w:rPr>
        <w:t>,</w:t>
      </w:r>
      <w:r w:rsidRPr="00E8461E">
        <w:rPr>
          <w:rStyle w:val="EndnoteReference"/>
        </w:rPr>
        <w:endnoteReference w:id="201"/>
      </w:r>
      <w:r w:rsidRPr="00E8461E">
        <w:rPr>
          <w:vertAlign w:val="superscript"/>
        </w:rPr>
        <w:t>,</w:t>
      </w:r>
      <w:r w:rsidRPr="00E8461E">
        <w:rPr>
          <w:rStyle w:val="EndnoteReference"/>
        </w:rPr>
        <w:endnoteReference w:id="202"/>
      </w:r>
      <w:r w:rsidRPr="00E8461E">
        <w:t xml:space="preserve"> The National Health Service in England has developed a supplier roadmap for its domestic and international suppliers and is also collaborating with the United States Department of Health and Human Services to align procurement requirements for suppliers (case study 13).</w:t>
      </w:r>
    </w:p>
    <w:p w14:paraId="6B7CE356" w14:textId="77777777" w:rsidR="00D80EFD" w:rsidRPr="00E8461E" w:rsidRDefault="00D80EFD" w:rsidP="00D80EFD">
      <w:pPr>
        <w:pStyle w:val="Heading4"/>
        <w:rPr>
          <w:iCs w:val="0"/>
        </w:rPr>
      </w:pPr>
      <w:r w:rsidRPr="00E8461E">
        <w:rPr>
          <w:iCs w:val="0"/>
        </w:rPr>
        <w:t>Case study 13</w:t>
      </w:r>
    </w:p>
    <w:p w14:paraId="312A4E15" w14:textId="77777777" w:rsidR="00D80EFD" w:rsidRPr="00E8461E" w:rsidRDefault="00D80EFD" w:rsidP="00D80EFD">
      <w:pPr>
        <w:rPr>
          <w:b/>
          <w:lang w:val="en-GB"/>
        </w:rPr>
      </w:pPr>
      <w:r w:rsidRPr="00E8461E">
        <w:rPr>
          <w:b/>
        </w:rPr>
        <w:t>Decarbonisation of</w:t>
      </w:r>
      <w:r w:rsidRPr="00E8461E">
        <w:rPr>
          <w:b/>
          <w:lang w:val="en-GB"/>
        </w:rPr>
        <w:t xml:space="preserve"> international supply chains</w:t>
      </w:r>
    </w:p>
    <w:p w14:paraId="3F024E93" w14:textId="77777777" w:rsidR="00D80EFD" w:rsidRPr="00E8461E" w:rsidRDefault="00D80EFD" w:rsidP="00D80EFD">
      <w:pPr>
        <w:rPr>
          <w:lang w:val="en-GB"/>
        </w:rPr>
      </w:pPr>
      <w:r w:rsidRPr="00E8461E">
        <w:rPr>
          <w:lang w:val="en-GB"/>
        </w:rPr>
        <w:t>In 2020, the National Health Service (NHS) in England published its ‘Delivering a Net Zero National Health Service’ report, where it committed to reducing its greenhouse gas emissions to net zero by 2045. The supply chain, including medicines and medical equipment, accounts for over 60% of the NHS’s total emissions.</w:t>
      </w:r>
      <w:r w:rsidRPr="00E8461E">
        <w:rPr>
          <w:rStyle w:val="EndnoteReference"/>
          <w:lang w:val="en-GB"/>
        </w:rPr>
        <w:endnoteReference w:id="203"/>
      </w:r>
    </w:p>
    <w:p w14:paraId="568D3A2A" w14:textId="77777777" w:rsidR="00D80EFD" w:rsidRPr="00E8461E" w:rsidRDefault="00D80EFD" w:rsidP="00D80EFD">
      <w:pPr>
        <w:rPr>
          <w:lang w:val="en-GB"/>
        </w:rPr>
      </w:pPr>
      <w:r w:rsidRPr="00E8461E">
        <w:rPr>
          <w:lang w:val="en-GB"/>
        </w:rPr>
        <w:t xml:space="preserve">After consulting with suppliers, in 2021 NHS England published its supplier roadmap to help suppliers align with its net zero target. This roadmap presents requirements for all contracts over a certain value that increase through to 2030, including a minimum 10% net zero and social value weighting in procurement decisions; a requirement that suppliers publish a carbon reduction plan; public reporting of targets and emissions by suppliers; and, from 2027/28, emissions </w:t>
      </w:r>
      <w:proofErr w:type="spellStart"/>
      <w:r w:rsidRPr="00E8461E">
        <w:rPr>
          <w:lang w:val="en-GB"/>
        </w:rPr>
        <w:t>footprinting</w:t>
      </w:r>
      <w:proofErr w:type="spellEnd"/>
      <w:r w:rsidRPr="00E8461E">
        <w:rPr>
          <w:lang w:val="en-GB"/>
        </w:rPr>
        <w:t xml:space="preserve"> of individual products supplied to the NHS.</w:t>
      </w:r>
      <w:r w:rsidRPr="00E8461E">
        <w:rPr>
          <w:rStyle w:val="EndnoteReference"/>
          <w:lang w:val="en-GB"/>
        </w:rPr>
        <w:endnoteReference w:id="204"/>
      </w:r>
    </w:p>
    <w:p w14:paraId="5BBFE339" w14:textId="02FD3228" w:rsidR="00D80EFD" w:rsidRPr="00E8461E" w:rsidRDefault="00D80EFD" w:rsidP="00D80EFD">
      <w:pPr>
        <w:pBdr>
          <w:bottom w:val="single" w:sz="12" w:space="1" w:color="008A95" w:themeColor="accent1"/>
        </w:pBdr>
      </w:pPr>
      <w:r w:rsidRPr="00E8461E">
        <w:rPr>
          <w:lang w:val="en-GB"/>
        </w:rPr>
        <w:t>In recognition that health supply chains are international in nature and that many suppliers provide goods and services to more than one national health system, NHS England and the United States Department of Health and Human Services have announced an intention to collaborate to align health system procurement requirements.</w:t>
      </w:r>
      <w:r w:rsidRPr="00E8461E">
        <w:rPr>
          <w:rStyle w:val="EndnoteReference"/>
          <w:lang w:val="en-GB"/>
        </w:rPr>
        <w:endnoteReference w:id="205"/>
      </w:r>
    </w:p>
    <w:p w14:paraId="62979B36" w14:textId="69186529" w:rsidR="008A5196" w:rsidRPr="00E8461E" w:rsidRDefault="008A5196" w:rsidP="008A5196">
      <w:pPr>
        <w:rPr>
          <w:lang w:val="en-GB"/>
        </w:rPr>
      </w:pPr>
    </w:p>
    <w:p w14:paraId="2A2A0F88" w14:textId="77777777" w:rsidR="00D80EFD" w:rsidRPr="00E8461E" w:rsidRDefault="00D80EFD" w:rsidP="00D80EFD">
      <w:pPr>
        <w:pStyle w:val="Heading4"/>
        <w:rPr>
          <w:iCs w:val="0"/>
        </w:rPr>
      </w:pPr>
      <w:r w:rsidRPr="00E8461E">
        <w:rPr>
          <w:iCs w:val="0"/>
        </w:rPr>
        <w:t>Action 5.2</w:t>
      </w:r>
    </w:p>
    <w:p w14:paraId="2AA2A029" w14:textId="77777777" w:rsidR="00D80EFD" w:rsidRPr="00E8461E" w:rsidRDefault="00D80EFD" w:rsidP="00D80EFD">
      <w:pPr>
        <w:rPr>
          <w:lang w:val="en-GB"/>
        </w:rPr>
      </w:pPr>
      <w:r w:rsidRPr="00E8461E">
        <w:rPr>
          <w:b/>
          <w:lang w:val="en-GB"/>
        </w:rPr>
        <w:t xml:space="preserve">Collaborating to decarbonise international supply </w:t>
      </w:r>
      <w:proofErr w:type="gramStart"/>
      <w:r w:rsidRPr="00E8461E">
        <w:rPr>
          <w:b/>
          <w:lang w:val="en-GB"/>
        </w:rPr>
        <w:t>chains</w:t>
      </w:r>
      <w:proofErr w:type="gramEnd"/>
      <w:r w:rsidRPr="00E8461E">
        <w:rPr>
          <w:lang w:val="en-GB"/>
        </w:rPr>
        <w:t xml:space="preserve"> </w:t>
      </w:r>
    </w:p>
    <w:p w14:paraId="67EDD5A5" w14:textId="3BE710DF" w:rsidR="00D80EFD" w:rsidRPr="00E8461E" w:rsidRDefault="00D80EFD" w:rsidP="00D80EFD">
      <w:pPr>
        <w:pBdr>
          <w:bottom w:val="single" w:sz="12" w:space="1" w:color="008A95" w:themeColor="accent1"/>
        </w:pBdr>
        <w:rPr>
          <w:lang w:val="en-GB"/>
        </w:rPr>
      </w:pPr>
      <w:r w:rsidRPr="00E8461E">
        <w:rPr>
          <w:lang w:val="en-GB"/>
        </w:rPr>
        <w:t>In working to decarbonise health system supply chains, the Australian Government will work with the international collaboration between the English National Health Service and the United States Department of Health and Human Services to develop aligned procurement requirements to decarbonise health system supply chains.</w:t>
      </w:r>
    </w:p>
    <w:p w14:paraId="6D2A488C" w14:textId="549D8C7E" w:rsidR="008A5196" w:rsidRPr="00E8461E" w:rsidRDefault="008A5196" w:rsidP="008A5196">
      <w:pPr>
        <w:rPr>
          <w:lang w:val="en-GB"/>
        </w:rPr>
      </w:pPr>
      <w:r w:rsidRPr="00E8461E">
        <w:rPr>
          <w:lang w:val="en-GB"/>
        </w:rPr>
        <w:lastRenderedPageBreak/>
        <w:t>There has also been increasing engagement on health and climate change in international fora. The Alliance for Transformative Action on Climate and Health (ATACH) was established as a platform for coordination and collaboration to support countries who have made climate resilient and sustainable health systems commitments, initially through the COP26 Health Programme in Glasgow.</w:t>
      </w:r>
      <w:r w:rsidRPr="00E8461E">
        <w:rPr>
          <w:rStyle w:val="EndnoteReference"/>
          <w:lang w:val="en-GB"/>
        </w:rPr>
        <w:endnoteReference w:id="206"/>
      </w:r>
      <w:r w:rsidRPr="00E8461E">
        <w:rPr>
          <w:lang w:val="en-GB"/>
        </w:rPr>
        <w:t xml:space="preserve"> ATACH, which</w:t>
      </w:r>
      <w:r w:rsidRPr="00E8461E" w:rsidDel="0063287C">
        <w:rPr>
          <w:lang w:val="en-GB"/>
        </w:rPr>
        <w:t xml:space="preserve"> </w:t>
      </w:r>
      <w:r w:rsidRPr="00E8461E">
        <w:rPr>
          <w:lang w:val="en-GB"/>
        </w:rPr>
        <w:t>has 76 nation states as members as of November 2023, monitors and shares knowledge and coordinates action in five key areas:</w:t>
      </w:r>
    </w:p>
    <w:p w14:paraId="0A2E0C36" w14:textId="334DE7D9" w:rsidR="008A5196" w:rsidRPr="00E8461E" w:rsidRDefault="008A5196" w:rsidP="0065729E">
      <w:pPr>
        <w:pStyle w:val="BulletUnindented"/>
      </w:pPr>
      <w:r w:rsidRPr="00E8461E">
        <w:t>Climate Resilient Health Systems</w:t>
      </w:r>
    </w:p>
    <w:p w14:paraId="23973615" w14:textId="4EC43B36" w:rsidR="008A5196" w:rsidRPr="00E8461E" w:rsidRDefault="008A5196" w:rsidP="0065729E">
      <w:pPr>
        <w:pStyle w:val="BulletUnindented"/>
      </w:pPr>
      <w:r w:rsidRPr="00E8461E">
        <w:t>Low Carbon Sustainable Health Systems</w:t>
      </w:r>
    </w:p>
    <w:p w14:paraId="7B027B86" w14:textId="5920561D" w:rsidR="008A5196" w:rsidRPr="00E8461E" w:rsidRDefault="008A5196" w:rsidP="0065729E">
      <w:pPr>
        <w:pStyle w:val="BulletUnindented"/>
      </w:pPr>
      <w:r w:rsidRPr="00E8461E">
        <w:t>Supply Chains</w:t>
      </w:r>
    </w:p>
    <w:p w14:paraId="2949B0DA" w14:textId="48948C06" w:rsidR="008A5196" w:rsidRPr="00E8461E" w:rsidRDefault="008A5196" w:rsidP="0065729E">
      <w:pPr>
        <w:pStyle w:val="BulletUnindented"/>
      </w:pPr>
      <w:r w:rsidRPr="00E8461E">
        <w:t>Financing the Health Commitments on Climate Resilient and Low Carbon Health Systems</w:t>
      </w:r>
    </w:p>
    <w:p w14:paraId="0B1267B3" w14:textId="6E6FD716" w:rsidR="008A5196" w:rsidRPr="00E8461E" w:rsidRDefault="008A5196" w:rsidP="0065729E">
      <w:pPr>
        <w:pStyle w:val="BulletUnindented"/>
      </w:pPr>
      <w:r w:rsidRPr="00E8461E">
        <w:t>Climate Action and Nutrition.</w:t>
      </w:r>
    </w:p>
    <w:p w14:paraId="539B6505" w14:textId="0B7F5EBD" w:rsidR="00D80EFD" w:rsidRPr="00E8461E" w:rsidRDefault="00D80EFD" w:rsidP="00D80EFD">
      <w:pPr>
        <w:pStyle w:val="BulletUnindented"/>
        <w:numPr>
          <w:ilvl w:val="0"/>
          <w:numId w:val="0"/>
        </w:numPr>
        <w:ind w:left="357" w:hanging="357"/>
      </w:pPr>
    </w:p>
    <w:p w14:paraId="7ED719F0" w14:textId="77777777" w:rsidR="00D80EFD" w:rsidRPr="00E8461E" w:rsidRDefault="00D80EFD" w:rsidP="00D80EFD">
      <w:pPr>
        <w:pStyle w:val="Heading4"/>
        <w:rPr>
          <w:iCs w:val="0"/>
        </w:rPr>
      </w:pPr>
      <w:r w:rsidRPr="00E8461E">
        <w:rPr>
          <w:iCs w:val="0"/>
        </w:rPr>
        <w:t>Action 5.3</w:t>
      </w:r>
    </w:p>
    <w:p w14:paraId="1D0B1589" w14:textId="77777777" w:rsidR="00D80EFD" w:rsidRPr="00E8461E" w:rsidRDefault="00D80EFD" w:rsidP="00D80EFD">
      <w:pPr>
        <w:rPr>
          <w:b/>
          <w:bCs/>
          <w:lang w:val="en-GB"/>
        </w:rPr>
      </w:pPr>
      <w:r w:rsidRPr="00E8461E">
        <w:rPr>
          <w:b/>
          <w:bCs/>
          <w:lang w:val="en-GB"/>
        </w:rPr>
        <w:t>Alliance for Transformative Action on Climate and Health</w:t>
      </w:r>
    </w:p>
    <w:p w14:paraId="30623E0C" w14:textId="4D45DA4C" w:rsidR="00D80EFD" w:rsidRPr="00E8461E" w:rsidRDefault="00D80EFD" w:rsidP="00D80EFD">
      <w:pPr>
        <w:pBdr>
          <w:bottom w:val="single" w:sz="12" w:space="1" w:color="008A95" w:themeColor="accent1"/>
        </w:pBdr>
      </w:pPr>
      <w:r w:rsidRPr="00E8461E">
        <w:rPr>
          <w:lang w:val="en-GB"/>
        </w:rPr>
        <w:t>The Australian Government will join and actively participate in the Alliance for Transformational Action on Climate and Health.</w:t>
      </w:r>
    </w:p>
    <w:p w14:paraId="102EDB07" w14:textId="77777777" w:rsidR="00BA055E" w:rsidRPr="00E8461E" w:rsidRDefault="00213325" w:rsidP="00CE2599">
      <w:pPr>
        <w:pStyle w:val="Heading2"/>
        <w:rPr>
          <w:lang w:val="en-GB"/>
        </w:rPr>
      </w:pPr>
      <w:bookmarkStart w:id="185" w:name="_Toc151999635"/>
      <w:r w:rsidRPr="00E8461E">
        <w:rPr>
          <w:lang w:val="en-GB"/>
        </w:rPr>
        <w:t>5</w:t>
      </w:r>
      <w:r w:rsidR="008A5196" w:rsidRPr="00E8461E">
        <w:rPr>
          <w:lang w:val="en-GB"/>
        </w:rPr>
        <w:t>.2 International cooperation under the Paris Agreement</w:t>
      </w:r>
      <w:bookmarkEnd w:id="185"/>
    </w:p>
    <w:p w14:paraId="0183FE91" w14:textId="1774A969" w:rsidR="008A5196" w:rsidRPr="00E8461E" w:rsidRDefault="008A5196" w:rsidP="008A5196">
      <w:pPr>
        <w:rPr>
          <w:lang w:val="en-GB"/>
        </w:rPr>
      </w:pPr>
      <w:r w:rsidRPr="00E8461E">
        <w:rPr>
          <w:lang w:val="en-GB"/>
        </w:rPr>
        <w:t xml:space="preserve">The Paris Agreement set the goal of limiting the global average temperature rise to well below 2°C above pre-industrial levels and pursuing efforts to limit temperature increase to 1.5°C. Parties, including Australia, must make submissions (known as Nationally Determined Contributions or NDCs) outlining how they will contribute to achieving this goal. NDCs communicate plans for emissions reduction and climate change adaptation and must be updated every five years with increasing ambition, based on each country’s capabilities and capacities. Australia submitted its first NDC in 2015 and submitted an update in 2022. Australia’s second NDC submission, due in 2025, will build on the work of the Net Zero 2050 plan, the National Climate Risk Assessment, the National Adaptation </w:t>
      </w:r>
      <w:proofErr w:type="gramStart"/>
      <w:r w:rsidRPr="00E8461E">
        <w:rPr>
          <w:lang w:val="en-GB"/>
        </w:rPr>
        <w:t>Plan</w:t>
      </w:r>
      <w:proofErr w:type="gramEnd"/>
      <w:r w:rsidRPr="00E8461E">
        <w:rPr>
          <w:lang w:val="en-GB"/>
        </w:rPr>
        <w:t xml:space="preserve"> and other national strategies.</w:t>
      </w:r>
    </w:p>
    <w:p w14:paraId="425D921E" w14:textId="77777777" w:rsidR="00D80EFD" w:rsidRPr="00E8461E" w:rsidRDefault="00D80EFD" w:rsidP="00D80EFD">
      <w:pPr>
        <w:pStyle w:val="Heading4"/>
        <w:rPr>
          <w:iCs w:val="0"/>
        </w:rPr>
      </w:pPr>
      <w:r w:rsidRPr="00E8461E">
        <w:rPr>
          <w:iCs w:val="0"/>
        </w:rPr>
        <w:t>Action 5.4</w:t>
      </w:r>
    </w:p>
    <w:p w14:paraId="1ABB545B" w14:textId="77777777" w:rsidR="00D80EFD" w:rsidRPr="00E8461E" w:rsidRDefault="00D80EFD" w:rsidP="00D80EFD">
      <w:pPr>
        <w:rPr>
          <w:b/>
          <w:bCs/>
          <w:lang w:val="en-GB"/>
        </w:rPr>
      </w:pPr>
      <w:r w:rsidRPr="00E8461E">
        <w:rPr>
          <w:b/>
          <w:bCs/>
          <w:lang w:val="en-GB"/>
        </w:rPr>
        <w:t xml:space="preserve">Incorporating health considerations into </w:t>
      </w:r>
      <w:r w:rsidRPr="00E8461E">
        <w:rPr>
          <w:b/>
          <w:bCs/>
        </w:rPr>
        <w:t>Australia’s next Nationally Determined Contribution under the Paris Agreement</w:t>
      </w:r>
    </w:p>
    <w:p w14:paraId="7193E33B" w14:textId="1F9FD72A" w:rsidR="00D80EFD" w:rsidRPr="00E8461E" w:rsidRDefault="00D80EFD" w:rsidP="00D80EFD">
      <w:pPr>
        <w:pBdr>
          <w:bottom w:val="single" w:sz="12" w:space="1" w:color="008A95" w:themeColor="accent1"/>
        </w:pBdr>
        <w:rPr>
          <w:lang w:val="en-GB"/>
        </w:rPr>
      </w:pPr>
      <w:r w:rsidRPr="00E8461E">
        <w:t>The Australian Government is considering options for how its next Nationally Determined Contribution under the United Nations Framework Convention on Climate Change, due for submission in 2025, could highlight its strong action to reduce emissions from the health system and improve resilience to climate impacts.</w:t>
      </w:r>
    </w:p>
    <w:p w14:paraId="57D9F6C5" w14:textId="6B689BAB" w:rsidR="008A5196" w:rsidRPr="00E8461E" w:rsidRDefault="00213325" w:rsidP="00CE2599">
      <w:pPr>
        <w:pStyle w:val="Heading2"/>
        <w:rPr>
          <w:lang w:val="en-GB"/>
        </w:rPr>
      </w:pPr>
      <w:bookmarkStart w:id="186" w:name="_Toc151999636"/>
      <w:r w:rsidRPr="00E8461E">
        <w:rPr>
          <w:lang w:val="en-GB"/>
        </w:rPr>
        <w:t>5</w:t>
      </w:r>
      <w:r w:rsidR="008A5196" w:rsidRPr="00E8461E">
        <w:rPr>
          <w:lang w:val="en-GB"/>
        </w:rPr>
        <w:t>.3 Australia’s international development program</w:t>
      </w:r>
      <w:bookmarkEnd w:id="186"/>
    </w:p>
    <w:p w14:paraId="0A3B3A13" w14:textId="2CE0239A" w:rsidR="00BA055E" w:rsidRPr="00E8461E" w:rsidRDefault="008A5196" w:rsidP="008A5196">
      <w:r w:rsidRPr="00E8461E">
        <w:t xml:space="preserve">Climate action is at the heart of Australia’s </w:t>
      </w:r>
      <w:r w:rsidR="000749A5" w:rsidRPr="00E8461E">
        <w:t xml:space="preserve">new </w:t>
      </w:r>
      <w:r w:rsidRPr="00E8461E">
        <w:t>International Development Policy 2023.</w:t>
      </w:r>
      <w:r w:rsidR="00787D1E" w:rsidRPr="00E8461E">
        <w:rPr>
          <w:rStyle w:val="EndnoteReference"/>
        </w:rPr>
        <w:endnoteReference w:id="207"/>
      </w:r>
      <w:r w:rsidRPr="00E8461E">
        <w:t xml:space="preserve"> The Policy makes a commitment to working together with our partners in Australia and overseas to </w:t>
      </w:r>
      <w:r w:rsidR="001C26CE" w:rsidRPr="00E8461E">
        <w:t xml:space="preserve">better address climate </w:t>
      </w:r>
      <w:r w:rsidR="001C26CE" w:rsidRPr="00E8461E">
        <w:lastRenderedPageBreak/>
        <w:t>change</w:t>
      </w:r>
      <w:r w:rsidRPr="00E8461E">
        <w:t>. New climate targets will ensure Australian development assistance tackles climate impacts. All bilateral and regional Development Partnership Plans will consider climate risk and at least half of all new bilateral and regional investments will have a climate change objective from 2024-25, with a goal of reaching 80</w:t>
      </w:r>
      <w:r w:rsidR="00567921" w:rsidRPr="00E8461E">
        <w:t xml:space="preserve">% </w:t>
      </w:r>
      <w:r w:rsidRPr="00E8461E">
        <w:t>in 2028–29.</w:t>
      </w:r>
    </w:p>
    <w:p w14:paraId="684ED025" w14:textId="481F91A2" w:rsidR="008A5196" w:rsidRPr="00E8461E" w:rsidRDefault="008A5196" w:rsidP="008A5196">
      <w:r w:rsidRPr="00E8461E">
        <w:t>Climate change is a cross-cutting theme for Australia’s new five-year $620 million Partnerships for a Healthy Region Initiative, recognising the importance of the intersection between climate change and health. The initiative aims to enhance the capacity of partners to understand good practice and models to integrating climate change across public health investments, with all partnership initiatives addressing climate change.</w:t>
      </w:r>
      <w:r w:rsidR="007C289D" w:rsidRPr="00E8461E">
        <w:rPr>
          <w:rStyle w:val="EndnoteReference"/>
        </w:rPr>
        <w:endnoteReference w:id="208"/>
      </w:r>
    </w:p>
    <w:p w14:paraId="004AA69E" w14:textId="29CEC495" w:rsidR="00451F64" w:rsidRPr="00E8461E" w:rsidRDefault="008A5196" w:rsidP="008A5196">
      <w:r w:rsidRPr="00E8461E">
        <w:t>Engagement with our Pacific neighbours is particularly important to Australia’s climate change collaboration. Australia endorsed the 2050 Strategy for the Blue Pacific Continent as a framework to take a strategic and long-term approach to Pacific regionalism.</w:t>
      </w:r>
      <w:r w:rsidR="00997404" w:rsidRPr="00E8461E">
        <w:rPr>
          <w:rStyle w:val="EndnoteReference"/>
        </w:rPr>
        <w:endnoteReference w:id="209"/>
      </w:r>
      <w:r w:rsidRPr="00E8461E">
        <w:t xml:space="preserve"> As described below, Australia has partnership programs with several Pacific countries, including Nauru, Kiribati, Solomon Islands, Tonga, Papua New Guinea, as well as South</w:t>
      </w:r>
      <w:r w:rsidR="006A4FD5" w:rsidRPr="00E8461E">
        <w:t>e</w:t>
      </w:r>
      <w:r w:rsidRPr="00E8461E">
        <w:t xml:space="preserve">ast Asia neighbours, including Timor-Leste, </w:t>
      </w:r>
      <w:proofErr w:type="gramStart"/>
      <w:r w:rsidRPr="00E8461E">
        <w:t>Cambodia</w:t>
      </w:r>
      <w:proofErr w:type="gramEnd"/>
      <w:r w:rsidRPr="00E8461E">
        <w:t xml:space="preserve"> and Indonesia.</w:t>
      </w:r>
      <w:r w:rsidR="00F46D4B" w:rsidRPr="00E8461E">
        <w:t xml:space="preserve"> At the Pacific Islands Forum 2023, the Australian Government committed to increase financial aid to Pacific nations facing climate threats, including through contributions to funding for the Green Climate Fund and the new Pacific Resilience Facility. Australia will also contribute at least $350 million in climate infrastructure for the region via the Pacific Climate Infrastructure Financing Partnership, helping to build resilience in the face of a changing climate.</w:t>
      </w:r>
      <w:r w:rsidR="00F27ACF" w:rsidRPr="00E8461E">
        <w:rPr>
          <w:rStyle w:val="EndnoteReference"/>
        </w:rPr>
        <w:endnoteReference w:id="210"/>
      </w:r>
    </w:p>
    <w:p w14:paraId="54033C69" w14:textId="3B928D7C" w:rsidR="008A5196" w:rsidRPr="00E8461E" w:rsidRDefault="00213325" w:rsidP="008A5196">
      <w:pPr>
        <w:pStyle w:val="Heading3"/>
      </w:pPr>
      <w:r w:rsidRPr="00E8461E">
        <w:t>5</w:t>
      </w:r>
      <w:r w:rsidR="008A5196" w:rsidRPr="00E8461E">
        <w:t>.3.1 Health systems</w:t>
      </w:r>
    </w:p>
    <w:p w14:paraId="1B31600A" w14:textId="7615D6B5" w:rsidR="008A5196" w:rsidRPr="00E8461E" w:rsidRDefault="008A5196" w:rsidP="008A5196">
      <w:r w:rsidRPr="00E8461E">
        <w:t xml:space="preserve">The Australian Government is providing support to priority countries to develop climate-resilient health systems which are efficient, responsive and protect population health in an unstable and changing climate. </w:t>
      </w:r>
      <w:r w:rsidRPr="00E8461E">
        <w:rPr>
          <w:rFonts w:cstheme="minorHAnsi"/>
        </w:rPr>
        <w:t>Key programs include:</w:t>
      </w:r>
    </w:p>
    <w:p w14:paraId="503E1595" w14:textId="1ED6C917" w:rsidR="008A5196" w:rsidRPr="00E8461E" w:rsidRDefault="008A5196" w:rsidP="0065729E">
      <w:pPr>
        <w:pStyle w:val="BulletUnindented"/>
      </w:pPr>
      <w:r w:rsidRPr="00E8461E">
        <w:t xml:space="preserve">Our $266 million three-year contribution to the Global Fund to Fight AIDS, Tuberculosis and Malaria, through which Australia is supporting 50 of the </w:t>
      </w:r>
      <w:proofErr w:type="spellStart"/>
      <w:r w:rsidRPr="00E8461E">
        <w:t>countries</w:t>
      </w:r>
      <w:proofErr w:type="spellEnd"/>
      <w:r w:rsidRPr="00E8461E">
        <w:t xml:space="preserve"> most </w:t>
      </w:r>
      <w:r w:rsidR="00AA198F" w:rsidRPr="00E8461E">
        <w:t xml:space="preserve">susceptible </w:t>
      </w:r>
      <w:r w:rsidRPr="00E8461E">
        <w:t>to climate change, addresses the impact of climate change on these diseases and builds low-carbon, climate-resilient health systems.</w:t>
      </w:r>
      <w:r w:rsidR="00730251" w:rsidRPr="00E8461E">
        <w:rPr>
          <w:rStyle w:val="EndnoteReference"/>
        </w:rPr>
        <w:endnoteReference w:id="211"/>
      </w:r>
      <w:r w:rsidRPr="00E8461E">
        <w:t xml:space="preserve"> The work of the Global Fund includes activities such as assessing the impact of climate change on malaria transmission, assessing the threat of climate-related drug and insecticide resistance, championing environmentally sustainable sourcing and supply of medical commodities</w:t>
      </w:r>
      <w:r w:rsidR="00EF7D24" w:rsidRPr="00E8461E">
        <w:t>,</w:t>
      </w:r>
      <w:r w:rsidRPr="00E8461E">
        <w:t xml:space="preserve"> and strengthening emergency response capacity.</w:t>
      </w:r>
    </w:p>
    <w:p w14:paraId="78CEC693" w14:textId="451DC62C" w:rsidR="008A5196" w:rsidRPr="00E8461E" w:rsidRDefault="008A5196" w:rsidP="0065729E">
      <w:pPr>
        <w:pStyle w:val="BulletUnindented"/>
        <w:rPr>
          <w:rFonts w:cstheme="minorHAnsi"/>
        </w:rPr>
      </w:pPr>
      <w:r w:rsidRPr="00E8461E">
        <w:rPr>
          <w:rFonts w:cstheme="minorHAnsi"/>
        </w:rPr>
        <w:t>The Government’s Australia-Pacific Climate Partnerships program, which is providing specialist technical assistance on climate and health to investment design teams for health programs in Nauru, Kiribati, Solomon Islands and Tonga. The program has also supported an analysis of the impact of climate change on mental health in the Pacific.</w:t>
      </w:r>
      <w:r w:rsidR="003F3BEB" w:rsidRPr="00E8461E">
        <w:rPr>
          <w:rStyle w:val="EndnoteReference"/>
          <w:rFonts w:cstheme="minorHAnsi"/>
        </w:rPr>
        <w:endnoteReference w:id="212"/>
      </w:r>
    </w:p>
    <w:p w14:paraId="4D8BDBF4" w14:textId="30ED4369" w:rsidR="00BA055E" w:rsidRPr="00E8461E" w:rsidRDefault="008A5196" w:rsidP="0065729E">
      <w:pPr>
        <w:pStyle w:val="BulletUnindented"/>
        <w:rPr>
          <w:rFonts w:cstheme="minorHAnsi"/>
        </w:rPr>
      </w:pPr>
      <w:r w:rsidRPr="00E8461E">
        <w:rPr>
          <w:rFonts w:cstheme="minorHAnsi"/>
        </w:rPr>
        <w:t xml:space="preserve">In Papua New Guinea, Australia is supporting an assessment </w:t>
      </w:r>
      <w:r w:rsidR="00A957B8" w:rsidRPr="00E8461E">
        <w:rPr>
          <w:rFonts w:cstheme="minorHAnsi"/>
        </w:rPr>
        <w:t xml:space="preserve">of </w:t>
      </w:r>
      <w:r w:rsidRPr="00E8461E">
        <w:rPr>
          <w:rFonts w:cstheme="minorHAnsi"/>
        </w:rPr>
        <w:t xml:space="preserve">key climate risks and opportunities in the country’s health sector to guide development of the </w:t>
      </w:r>
      <w:r w:rsidR="00B017E5" w:rsidRPr="00E8461E">
        <w:rPr>
          <w:rFonts w:cstheme="minorHAnsi"/>
        </w:rPr>
        <w:t>Papua New Guinea</w:t>
      </w:r>
      <w:r w:rsidRPr="00E8461E">
        <w:rPr>
          <w:rFonts w:cstheme="minorHAnsi"/>
        </w:rPr>
        <w:t xml:space="preserve"> Government’s next Health Portfolio Plan.</w:t>
      </w:r>
    </w:p>
    <w:p w14:paraId="633BD1FD" w14:textId="7E8F0942" w:rsidR="008A5196" w:rsidRPr="00E8461E" w:rsidRDefault="008A5196" w:rsidP="0065729E">
      <w:pPr>
        <w:pStyle w:val="BulletUnindented"/>
        <w:rPr>
          <w:b/>
        </w:rPr>
      </w:pPr>
      <w:r w:rsidRPr="00E8461E">
        <w:rPr>
          <w:rFonts w:cstheme="minorHAnsi"/>
        </w:rPr>
        <w:t>Australia also supported the Kiribati Ministry of Health and Medical Services to review the Draft Kiribati National Environmental Health and Climate Change and Health Action Plan 2020–2023.</w:t>
      </w:r>
    </w:p>
    <w:p w14:paraId="08F3AF7B" w14:textId="6250A825" w:rsidR="008A5196" w:rsidRPr="00E8461E" w:rsidRDefault="00213325" w:rsidP="008A5196">
      <w:pPr>
        <w:pStyle w:val="Heading3"/>
      </w:pPr>
      <w:r w:rsidRPr="00E8461E">
        <w:lastRenderedPageBreak/>
        <w:t>5</w:t>
      </w:r>
      <w:r w:rsidR="008A5196" w:rsidRPr="00E8461E">
        <w:t>.3.2 Food security</w:t>
      </w:r>
    </w:p>
    <w:p w14:paraId="079FA9A0" w14:textId="193FD4A2" w:rsidR="008A5196" w:rsidRPr="00E8461E" w:rsidRDefault="008A5196" w:rsidP="008A5196">
      <w:pPr>
        <w:rPr>
          <w:rFonts w:cstheme="minorHAnsi"/>
        </w:rPr>
      </w:pPr>
      <w:r w:rsidRPr="00E8461E">
        <w:rPr>
          <w:rFonts w:cstheme="minorHAnsi"/>
        </w:rPr>
        <w:t xml:space="preserve">While climate change is not the only force at play shaping food security and nutrition in the Indo-Pacific, it is exerting increasing pressure on already stressed food systems. Climate change </w:t>
      </w:r>
      <w:r w:rsidR="00A77CDA" w:rsidRPr="00E8461E">
        <w:rPr>
          <w:rFonts w:cstheme="minorHAnsi"/>
        </w:rPr>
        <w:t xml:space="preserve">affects </w:t>
      </w:r>
      <w:r w:rsidRPr="00E8461E">
        <w:rPr>
          <w:rFonts w:cstheme="minorHAnsi"/>
        </w:rPr>
        <w:t xml:space="preserve">food systems across all the dimensions of food and nutrition security. The potential result is increased food prices and </w:t>
      </w:r>
      <w:r w:rsidR="00F44803" w:rsidRPr="00E8461E">
        <w:rPr>
          <w:rFonts w:cstheme="minorHAnsi"/>
        </w:rPr>
        <w:t xml:space="preserve">the </w:t>
      </w:r>
      <w:r w:rsidRPr="00E8461E">
        <w:rPr>
          <w:rFonts w:cstheme="minorHAnsi"/>
        </w:rPr>
        <w:t>reduced availability of food.</w:t>
      </w:r>
    </w:p>
    <w:p w14:paraId="5B345BE7" w14:textId="40CD1B40" w:rsidR="008A5196" w:rsidRPr="00E8461E" w:rsidRDefault="008A5196" w:rsidP="008A5196">
      <w:pPr>
        <w:rPr>
          <w:rFonts w:cstheme="minorHAnsi"/>
        </w:rPr>
      </w:pPr>
      <w:r w:rsidRPr="00E8461E">
        <w:rPr>
          <w:rFonts w:cstheme="minorHAnsi"/>
        </w:rPr>
        <w:t>The Australian</w:t>
      </w:r>
      <w:r w:rsidRPr="00E8461E" w:rsidDel="0018539A">
        <w:rPr>
          <w:rFonts w:cstheme="minorHAnsi"/>
        </w:rPr>
        <w:t xml:space="preserve"> </w:t>
      </w:r>
      <w:r w:rsidR="0018539A" w:rsidRPr="00E8461E">
        <w:rPr>
          <w:rFonts w:cstheme="minorHAnsi"/>
        </w:rPr>
        <w:t xml:space="preserve">Government </w:t>
      </w:r>
      <w:r w:rsidRPr="00E8461E">
        <w:rPr>
          <w:rFonts w:cstheme="minorHAnsi"/>
        </w:rPr>
        <w:t>provides support to help reduce the exposure of farmers to short-term climate risks, while also building resilience so they can cope with shocks and longer-term stresses. Adaptation is essential in both Asia and the Pacific, but particularly in the Pacific</w:t>
      </w:r>
      <w:r w:rsidR="0026039E" w:rsidRPr="00E8461E">
        <w:rPr>
          <w:rFonts w:cstheme="minorHAnsi"/>
        </w:rPr>
        <w:t>.</w:t>
      </w:r>
      <w:r w:rsidR="00796C3A" w:rsidRPr="00E8461E">
        <w:rPr>
          <w:rStyle w:val="EndnoteReference"/>
          <w:rFonts w:cstheme="minorHAnsi"/>
        </w:rPr>
        <w:endnoteReference w:id="213"/>
      </w:r>
      <w:r w:rsidRPr="00E8461E">
        <w:rPr>
          <w:rFonts w:cstheme="minorHAnsi"/>
        </w:rPr>
        <w:t xml:space="preserve"> This involves finding and promoting climate</w:t>
      </w:r>
      <w:r w:rsidR="00F04C12" w:rsidRPr="00E8461E">
        <w:rPr>
          <w:rFonts w:cstheme="minorHAnsi"/>
        </w:rPr>
        <w:t>-</w:t>
      </w:r>
      <w:r w:rsidRPr="00E8461E">
        <w:rPr>
          <w:rFonts w:cstheme="minorHAnsi"/>
        </w:rPr>
        <w:t>tolerant varieties of plants, improving soil condition and water efficiency and, more broadly, improving livelihoods and income opportunities within the food system.</w:t>
      </w:r>
    </w:p>
    <w:p w14:paraId="30792559" w14:textId="77777777" w:rsidR="008A5196" w:rsidRPr="00E8461E" w:rsidRDefault="008A5196" w:rsidP="008A5196">
      <w:pPr>
        <w:rPr>
          <w:rFonts w:cstheme="minorHAnsi"/>
        </w:rPr>
      </w:pPr>
      <w:r w:rsidRPr="00E8461E">
        <w:rPr>
          <w:rFonts w:cstheme="minorHAnsi"/>
        </w:rPr>
        <w:t>Australian support also targets mitigation, aiming to reduce greenhouse gas emissions associated with agricultural production. This includes improved agricultural technologies and practices.</w:t>
      </w:r>
    </w:p>
    <w:p w14:paraId="6D6E8877" w14:textId="77777777" w:rsidR="008A5196" w:rsidRPr="00E8461E" w:rsidRDefault="008A5196" w:rsidP="008A5196">
      <w:pPr>
        <w:rPr>
          <w:rFonts w:cstheme="minorHAnsi"/>
        </w:rPr>
      </w:pPr>
      <w:r w:rsidRPr="00E8461E">
        <w:rPr>
          <w:rFonts w:cstheme="minorHAnsi"/>
        </w:rPr>
        <w:t>Key climate-resilient agricultural development initiatives include:</w:t>
      </w:r>
    </w:p>
    <w:p w14:paraId="447622E9" w14:textId="179B3C45" w:rsidR="008A5196" w:rsidRPr="00E8461E" w:rsidRDefault="008A5196" w:rsidP="0065729E">
      <w:pPr>
        <w:pStyle w:val="BulletUnindented"/>
      </w:pPr>
      <w:r w:rsidRPr="00E8461E">
        <w:rPr>
          <w:b/>
          <w:bCs/>
        </w:rPr>
        <w:t xml:space="preserve">Pacific Food Security Initiative: </w:t>
      </w:r>
      <w:r w:rsidRPr="00E8461E">
        <w:t>Australia has supported the Pacific Food Security Initiative with $9.5</w:t>
      </w:r>
      <w:r w:rsidR="00D87EC2" w:rsidRPr="00E8461E">
        <w:t xml:space="preserve"> </w:t>
      </w:r>
      <w:r w:rsidRPr="00E8461E">
        <w:t xml:space="preserve">million between 2020 </w:t>
      </w:r>
      <w:r w:rsidR="000F79E0" w:rsidRPr="00E8461E">
        <w:t>and</w:t>
      </w:r>
      <w:r w:rsidRPr="00E8461E">
        <w:t xml:space="preserve"> 2024, working in partnership with </w:t>
      </w:r>
      <w:r w:rsidR="005E4959" w:rsidRPr="00E8461E">
        <w:t>governments</w:t>
      </w:r>
      <w:r w:rsidRPr="00E8461E">
        <w:t>, regional organisations, the private sector, NGOs and other community partners to increase the availability and affordability of local, nutritious foods.</w:t>
      </w:r>
      <w:r w:rsidR="00CD64D6" w:rsidRPr="00E8461E">
        <w:rPr>
          <w:rStyle w:val="EndnoteReference"/>
        </w:rPr>
        <w:endnoteReference w:id="214"/>
      </w:r>
      <w:r w:rsidRPr="00E8461E">
        <w:t xml:space="preserve"> Such foods are vital for health and long-term wellbeing and can also generate significant local income and employment, boosting economic opportunities for rural communities and providing effective, sustainable pathways to build climate resilience.</w:t>
      </w:r>
    </w:p>
    <w:p w14:paraId="03260ADB" w14:textId="3963EAA0" w:rsidR="008A5196" w:rsidRPr="00E8461E" w:rsidRDefault="008A5196" w:rsidP="0065729E">
      <w:pPr>
        <w:pStyle w:val="BulletUnindented"/>
        <w:rPr>
          <w:b/>
        </w:rPr>
      </w:pPr>
      <w:r w:rsidRPr="00E8461E">
        <w:rPr>
          <w:b/>
          <w:bCs/>
        </w:rPr>
        <w:t xml:space="preserve">Global Agricultural and Food Security Program: </w:t>
      </w:r>
      <w:r w:rsidRPr="00E8461E">
        <w:t>Australia is a strong supporter of the Global Agriculture and Food Security Program,</w:t>
      </w:r>
      <w:r w:rsidRPr="00E8461E">
        <w:rPr>
          <w:rStyle w:val="EndnoteReference"/>
        </w:rPr>
        <w:endnoteReference w:id="215"/>
      </w:r>
      <w:r w:rsidRPr="00E8461E">
        <w:t xml:space="preserve"> providing $150 million between 2010 </w:t>
      </w:r>
      <w:r w:rsidR="000F79E0" w:rsidRPr="00E8461E">
        <w:t>and</w:t>
      </w:r>
      <w:r w:rsidRPr="00E8461E">
        <w:t xml:space="preserve"> 2024. The Program invests in sustainable and climate-resilient practices that reduce agriculture’s climate footprint, strengthen farmers’ resilience, and increase food production to meet current and future demand. Under the Program close to USD1.7 billion has been invested since 2010 to assist some 153 million farmers in some of the world's poorest countries including Cambodia, Timor-Leste, Tuvalu, </w:t>
      </w:r>
      <w:proofErr w:type="gramStart"/>
      <w:r w:rsidRPr="00E8461E">
        <w:t>Kiribati</w:t>
      </w:r>
      <w:proofErr w:type="gramEnd"/>
      <w:r w:rsidRPr="00E8461E">
        <w:t xml:space="preserve"> and the Solomon Islands.</w:t>
      </w:r>
    </w:p>
    <w:p w14:paraId="657B2E9A" w14:textId="492CC182" w:rsidR="008A5196" w:rsidRPr="00E8461E" w:rsidRDefault="008A5196" w:rsidP="0065729E">
      <w:pPr>
        <w:pStyle w:val="BulletUnindented"/>
        <w:rPr>
          <w:b/>
        </w:rPr>
      </w:pPr>
      <w:proofErr w:type="spellStart"/>
      <w:r w:rsidRPr="00E8461E">
        <w:rPr>
          <w:b/>
          <w:bCs/>
        </w:rPr>
        <w:t>To'os</w:t>
      </w:r>
      <w:proofErr w:type="spellEnd"/>
      <w:r w:rsidRPr="00E8461E">
        <w:rPr>
          <w:b/>
          <w:bCs/>
        </w:rPr>
        <w:t xml:space="preserve"> </w:t>
      </w:r>
      <w:proofErr w:type="spellStart"/>
      <w:r w:rsidRPr="00E8461E">
        <w:rPr>
          <w:b/>
          <w:bCs/>
        </w:rPr>
        <w:t>ba</w:t>
      </w:r>
      <w:proofErr w:type="spellEnd"/>
      <w:r w:rsidRPr="00E8461E">
        <w:rPr>
          <w:b/>
          <w:bCs/>
        </w:rPr>
        <w:t xml:space="preserve"> </w:t>
      </w:r>
      <w:proofErr w:type="spellStart"/>
      <w:r w:rsidRPr="00E8461E">
        <w:rPr>
          <w:b/>
          <w:bCs/>
        </w:rPr>
        <w:t>Moris</w:t>
      </w:r>
      <w:proofErr w:type="spellEnd"/>
      <w:r w:rsidRPr="00E8461E">
        <w:rPr>
          <w:b/>
          <w:bCs/>
        </w:rPr>
        <w:t xml:space="preserve"> </w:t>
      </w:r>
      <w:proofErr w:type="spellStart"/>
      <w:r w:rsidRPr="00E8461E">
        <w:rPr>
          <w:b/>
          <w:bCs/>
        </w:rPr>
        <w:t>Di'ak</w:t>
      </w:r>
      <w:proofErr w:type="spellEnd"/>
      <w:r w:rsidRPr="00E8461E">
        <w:rPr>
          <w:b/>
          <w:bCs/>
        </w:rPr>
        <w:t xml:space="preserve">/Farming for Prosperity (TOMAK): </w:t>
      </w:r>
      <w:r w:rsidRPr="00E8461E">
        <w:t>The Australian Government has funded TOMAK with $50 million between 2016</w:t>
      </w:r>
      <w:r w:rsidR="000F79E0" w:rsidRPr="00E8461E">
        <w:t xml:space="preserve"> and </w:t>
      </w:r>
      <w:r w:rsidRPr="00E8461E">
        <w:t>2026. TOMAK is a 10-year (2016-2026) agriculture livelihoods program implemented in Timor-Leste, in partnership with Timor-Leste's Ministry of Agriculture, Livestock, Fisheries and Forestry and Ministry of Health, Secretary of State for Equality, municipal and local authorities, as well as NGOs and the private sector.</w:t>
      </w:r>
      <w:r w:rsidRPr="00E8461E">
        <w:rPr>
          <w:rStyle w:val="EndnoteReference"/>
        </w:rPr>
        <w:endnoteReference w:id="216"/>
      </w:r>
      <w:r w:rsidRPr="00E8461E">
        <w:rPr>
          <w:b/>
          <w:bCs/>
        </w:rPr>
        <w:t xml:space="preserve"> </w:t>
      </w:r>
      <w:r w:rsidRPr="00E8461E">
        <w:t>The program aims to increase the resilience of agriculture-based livelihoods, improve household food security and dietary diversity, and improve government policies, programs, and services. To achieve this, TOMAK examines food supply chains and the local food environment to support farming families, as well provide capacity development to its partners.</w:t>
      </w:r>
    </w:p>
    <w:p w14:paraId="41B7A8E2" w14:textId="426C6DD1" w:rsidR="008A5196" w:rsidRPr="00E8461E" w:rsidRDefault="00384A4B" w:rsidP="008A5196">
      <w:pPr>
        <w:pStyle w:val="Heading3"/>
      </w:pPr>
      <w:r w:rsidRPr="00E8461E">
        <w:t>5</w:t>
      </w:r>
      <w:r w:rsidR="008A5196" w:rsidRPr="00E8461E">
        <w:t>.3.3 Water security</w:t>
      </w:r>
    </w:p>
    <w:p w14:paraId="3DD6B5E7" w14:textId="550879B5" w:rsidR="008A5196" w:rsidRPr="00E8461E" w:rsidRDefault="008A5196" w:rsidP="008A5196">
      <w:pPr>
        <w:rPr>
          <w:rFonts w:cstheme="minorHAnsi"/>
        </w:rPr>
      </w:pPr>
      <w:r w:rsidRPr="00E8461E">
        <w:rPr>
          <w:rFonts w:cstheme="minorHAnsi"/>
        </w:rPr>
        <w:t xml:space="preserve">In some places, increasing droughts and extreme temperatures are leading to water scarcity and losses in agricultural production. In other places, unseasonal rainfall can lead to flooding that </w:t>
      </w:r>
      <w:r w:rsidR="00E06355" w:rsidRPr="00E8461E">
        <w:rPr>
          <w:rFonts w:cstheme="minorHAnsi"/>
        </w:rPr>
        <w:t>affects</w:t>
      </w:r>
      <w:r w:rsidRPr="00E8461E">
        <w:rPr>
          <w:rFonts w:cstheme="minorHAnsi"/>
        </w:rPr>
        <w:t xml:space="preserve"> drinking water and threatens sanitation. Climate impacts are changing river courses, increasing snow </w:t>
      </w:r>
      <w:proofErr w:type="gramStart"/>
      <w:r w:rsidRPr="00E8461E">
        <w:rPr>
          <w:rFonts w:cstheme="minorHAnsi"/>
        </w:rPr>
        <w:t>melt</w:t>
      </w:r>
      <w:proofErr w:type="gramEnd"/>
      <w:r w:rsidRPr="00E8461E">
        <w:rPr>
          <w:rFonts w:cstheme="minorHAnsi"/>
        </w:rPr>
        <w:t xml:space="preserve"> and changing the distribution of rainfall, with serious impacts on communities and exacerbating existing inequalities. Climate change is adding to existing water insecurity across the globe.</w:t>
      </w:r>
    </w:p>
    <w:p w14:paraId="2019C0C0" w14:textId="38DFB29D" w:rsidR="008A5196" w:rsidRPr="00E8461E" w:rsidRDefault="008A5196" w:rsidP="008A5196">
      <w:pPr>
        <w:rPr>
          <w:rFonts w:cstheme="minorHAnsi"/>
          <w:bCs/>
          <w:lang w:val="en-GB"/>
        </w:rPr>
      </w:pPr>
      <w:r w:rsidRPr="00E8461E">
        <w:rPr>
          <w:rFonts w:cstheme="minorHAnsi"/>
          <w:bCs/>
          <w:lang w:val="en-GB"/>
        </w:rPr>
        <w:lastRenderedPageBreak/>
        <w:t xml:space="preserve">Good hygiene practice in health care facilities is fundamental in providing quality care, especially for mothers, </w:t>
      </w:r>
      <w:proofErr w:type="spellStart"/>
      <w:proofErr w:type="gramStart"/>
      <w:r w:rsidRPr="00E8461E">
        <w:rPr>
          <w:rFonts w:cstheme="minorHAnsi"/>
          <w:bCs/>
          <w:lang w:val="en-GB"/>
        </w:rPr>
        <w:t>newborns</w:t>
      </w:r>
      <w:proofErr w:type="spellEnd"/>
      <w:proofErr w:type="gramEnd"/>
      <w:r w:rsidRPr="00E8461E">
        <w:rPr>
          <w:rFonts w:cstheme="minorHAnsi"/>
          <w:bCs/>
          <w:lang w:val="en-GB"/>
        </w:rPr>
        <w:t xml:space="preserve"> and children. Globally, one half of health care facilities lack facilities to clean hands where care is provided or at toilets, one in five lack basic water services, and one in 10 have no sanitation services.</w:t>
      </w:r>
    </w:p>
    <w:p w14:paraId="1A531DE1" w14:textId="78D41536" w:rsidR="008A5196" w:rsidRPr="00E8461E" w:rsidRDefault="008A5196" w:rsidP="008A5196">
      <w:pPr>
        <w:rPr>
          <w:rFonts w:cstheme="minorHAnsi"/>
        </w:rPr>
      </w:pPr>
      <w:r w:rsidRPr="00E8461E">
        <w:rPr>
          <w:rFonts w:cstheme="minorHAnsi"/>
        </w:rPr>
        <w:t>The Australian Government is investing in water resource management and water and sanitation programs to assist partner governments in the Indo-Pacific region build more resilient systems to support water security from the rapidly growing threat of climate change. This helps reduce the risk of water</w:t>
      </w:r>
      <w:r w:rsidR="00C97F57" w:rsidRPr="00E8461E">
        <w:rPr>
          <w:rFonts w:cstheme="minorHAnsi"/>
        </w:rPr>
        <w:t>-</w:t>
      </w:r>
      <w:r w:rsidRPr="00E8461E">
        <w:rPr>
          <w:rFonts w:cstheme="minorHAnsi"/>
        </w:rPr>
        <w:t>borne diseases which are some of the most significant global health impacts of climate change.</w:t>
      </w:r>
      <w:r w:rsidRPr="00E8461E">
        <w:rPr>
          <w:rStyle w:val="EndnoteReference"/>
          <w:rFonts w:cstheme="minorHAnsi"/>
        </w:rPr>
        <w:endnoteReference w:id="217"/>
      </w:r>
    </w:p>
    <w:p w14:paraId="0C64524A" w14:textId="77777777" w:rsidR="008A5196" w:rsidRPr="00E8461E" w:rsidRDefault="008A5196" w:rsidP="008A5196">
      <w:pPr>
        <w:rPr>
          <w:rFonts w:cstheme="minorHAnsi"/>
        </w:rPr>
      </w:pPr>
      <w:r w:rsidRPr="00E8461E">
        <w:rPr>
          <w:rFonts w:cstheme="minorHAnsi"/>
        </w:rPr>
        <w:t>Key programs include:</w:t>
      </w:r>
    </w:p>
    <w:p w14:paraId="7FB59ED9" w14:textId="7B3EB332" w:rsidR="008A5196" w:rsidRPr="00E8461E" w:rsidRDefault="008A5196" w:rsidP="0065729E">
      <w:pPr>
        <w:pStyle w:val="BulletUnindented"/>
      </w:pPr>
      <w:r w:rsidRPr="00E8461E">
        <w:rPr>
          <w:b/>
        </w:rPr>
        <w:t>Water for Women Fund</w:t>
      </w:r>
      <w:r w:rsidRPr="00E8461E">
        <w:t xml:space="preserve"> ($159.9 million, 2018-2025) which is delivering 20 climate-resilient water, </w:t>
      </w:r>
      <w:proofErr w:type="gramStart"/>
      <w:r w:rsidRPr="00E8461E">
        <w:t>sanitation</w:t>
      </w:r>
      <w:proofErr w:type="gramEnd"/>
      <w:r w:rsidRPr="00E8461E">
        <w:t xml:space="preserve"> and hygiene projects across 16 countries in the Indo-Pacific region.</w:t>
      </w:r>
      <w:r w:rsidRPr="00E8461E">
        <w:rPr>
          <w:rStyle w:val="EndnoteReference"/>
          <w:rFonts w:cstheme="minorHAnsi"/>
        </w:rPr>
        <w:endnoteReference w:id="218"/>
      </w:r>
    </w:p>
    <w:p w14:paraId="759BE3FB" w14:textId="1DCD3911" w:rsidR="008A5196" w:rsidRPr="00E8461E" w:rsidRDefault="008A5196" w:rsidP="0065729E">
      <w:pPr>
        <w:pStyle w:val="BulletUnindented"/>
      </w:pPr>
      <w:r w:rsidRPr="00E8461E">
        <w:rPr>
          <w:b/>
        </w:rPr>
        <w:t>Australian Water Partnership</w:t>
      </w:r>
      <w:r w:rsidRPr="00E8461E">
        <w:t xml:space="preserve"> ($33</w:t>
      </w:r>
      <w:r w:rsidR="00791B57" w:rsidRPr="00E8461E">
        <w:t xml:space="preserve"> </w:t>
      </w:r>
      <w:r w:rsidRPr="00E8461E">
        <w:t>million, 2019-2024) which mobilises Australian water sector expertise in support of Australia’s development cooperation program. The Partnership is mainstreaming climate change across relevant activities</w:t>
      </w:r>
      <w:r w:rsidRPr="00E8461E">
        <w:rPr>
          <w:rStyle w:val="EndnoteReference"/>
          <w:rFonts w:cstheme="minorHAnsi"/>
        </w:rPr>
        <w:endnoteReference w:id="219"/>
      </w:r>
      <w:r w:rsidRPr="00E8461E">
        <w:t xml:space="preserve"> and supporting dedicated climate change initiatives, such as its Hindu Kush Himalaya Governance Program</w:t>
      </w:r>
      <w:r w:rsidRPr="00E8461E">
        <w:rPr>
          <w:rStyle w:val="EndnoteReference"/>
          <w:rFonts w:cstheme="minorHAnsi"/>
        </w:rPr>
        <w:endnoteReference w:id="220"/>
      </w:r>
      <w:r w:rsidRPr="00E8461E">
        <w:t xml:space="preserve"> and the Water Security and Climate Resilience in West Java project.</w:t>
      </w:r>
      <w:r w:rsidRPr="00E8461E">
        <w:rPr>
          <w:rStyle w:val="EndnoteReference"/>
          <w:rFonts w:cstheme="minorHAnsi"/>
        </w:rPr>
        <w:endnoteReference w:id="221"/>
      </w:r>
    </w:p>
    <w:p w14:paraId="7885FA28" w14:textId="15332833" w:rsidR="008A5196" w:rsidRPr="00E8461E" w:rsidRDefault="00755D9B" w:rsidP="0065729E">
      <w:pPr>
        <w:pStyle w:val="BulletUnindented"/>
        <w:rPr>
          <w:u w:val="single"/>
        </w:rPr>
      </w:pPr>
      <w:r w:rsidRPr="00E8461E">
        <w:rPr>
          <w:b/>
          <w:bCs/>
        </w:rPr>
        <w:t xml:space="preserve">Improving Climate Resilient Water, Sanitation, and Hygiene in East Asia and Pacific </w:t>
      </w:r>
      <w:r w:rsidR="008A5196" w:rsidRPr="00E8461E">
        <w:t>($6 million, 2022-</w:t>
      </w:r>
      <w:r w:rsidR="00791B57" w:rsidRPr="00E8461E">
        <w:t>20</w:t>
      </w:r>
      <w:r w:rsidR="008A5196" w:rsidRPr="00E8461E">
        <w:t>25)</w:t>
      </w:r>
      <w:r w:rsidR="00EE5F8C" w:rsidRPr="00E8461E">
        <w:t xml:space="preserve">, with UNICEF East Asia and Pacific Regional Office, </w:t>
      </w:r>
      <w:r w:rsidR="008A5196" w:rsidRPr="00E8461E">
        <w:t xml:space="preserve">supports climate resilient </w:t>
      </w:r>
      <w:r w:rsidR="00EE5F8C" w:rsidRPr="00E8461E">
        <w:t xml:space="preserve">water, </w:t>
      </w:r>
      <w:proofErr w:type="gramStart"/>
      <w:r w:rsidR="00EE5F8C" w:rsidRPr="00E8461E">
        <w:t>sanitation</w:t>
      </w:r>
      <w:proofErr w:type="gramEnd"/>
      <w:r w:rsidR="00EE5F8C" w:rsidRPr="00E8461E">
        <w:t xml:space="preserve"> and hygiene </w:t>
      </w:r>
      <w:r w:rsidR="008A5196" w:rsidRPr="00E8461E">
        <w:t>in six countries</w:t>
      </w:r>
      <w:r w:rsidR="00EE5F8C" w:rsidRPr="00E8461E">
        <w:t>:</w:t>
      </w:r>
      <w:r w:rsidR="008A5196" w:rsidRPr="00E8461E">
        <w:t xml:space="preserve"> Cambodia, Indonesia, Timor-Leste, Papua New Guinea, Solomon Islands and Kiribati.</w:t>
      </w:r>
    </w:p>
    <w:p w14:paraId="46DAD8FA" w14:textId="3E56E838" w:rsidR="008A5196" w:rsidRPr="00E8461E" w:rsidRDefault="00384A4B" w:rsidP="00CE2599">
      <w:pPr>
        <w:pStyle w:val="Heading2"/>
        <w:rPr>
          <w:lang w:val="en-GB"/>
        </w:rPr>
      </w:pPr>
      <w:bookmarkStart w:id="189" w:name="_Toc151999637"/>
      <w:r w:rsidRPr="00E8461E">
        <w:rPr>
          <w:lang w:val="en-GB"/>
        </w:rPr>
        <w:t>5</w:t>
      </w:r>
      <w:r w:rsidR="008A5196" w:rsidRPr="00E8461E">
        <w:rPr>
          <w:lang w:val="en-GB"/>
        </w:rPr>
        <w:t>.4 First Nations people and climate negotiations</w:t>
      </w:r>
      <w:bookmarkEnd w:id="189"/>
    </w:p>
    <w:p w14:paraId="6581B6F1" w14:textId="5798B859" w:rsidR="00D852BB" w:rsidRPr="00E8461E" w:rsidRDefault="008A5196" w:rsidP="008A5196">
      <w:r w:rsidRPr="00E8461E">
        <w:t xml:space="preserve">At COP21 in Paris in 2015, First Nations representatives formed the </w:t>
      </w:r>
      <w:r w:rsidR="00C655EC" w:rsidRPr="00E8461E">
        <w:t xml:space="preserve">International </w:t>
      </w:r>
      <w:r w:rsidRPr="00E8461E">
        <w:t>Indigenous Peoples</w:t>
      </w:r>
      <w:r w:rsidR="00F14C69" w:rsidRPr="00E8461E">
        <w:t>’</w:t>
      </w:r>
      <w:r w:rsidRPr="00E8461E">
        <w:t xml:space="preserve"> Forum on Climate Change,</w:t>
      </w:r>
      <w:r w:rsidRPr="00E8461E">
        <w:rPr>
          <w:rStyle w:val="EndnoteReference"/>
        </w:rPr>
        <w:endnoteReference w:id="222"/>
      </w:r>
      <w:r w:rsidRPr="00E8461E">
        <w:t xml:space="preserve"> to call for stronger international action on mitigation, adaptation, loss and damage, and finance, </w:t>
      </w:r>
      <w:r w:rsidR="00B6077D" w:rsidRPr="00E8461E">
        <w:t xml:space="preserve">to prioritise </w:t>
      </w:r>
      <w:r w:rsidRPr="00E8461E">
        <w:t xml:space="preserve">the needs of First Nations peoples. </w:t>
      </w:r>
      <w:r w:rsidR="004D2397" w:rsidRPr="00E8461E">
        <w:t xml:space="preserve">This forum and others recognise the many intersecting relationships between the environment, climate change, and First Nations people’s physical, </w:t>
      </w:r>
      <w:proofErr w:type="gramStart"/>
      <w:r w:rsidR="004D2397" w:rsidRPr="00E8461E">
        <w:t>social</w:t>
      </w:r>
      <w:proofErr w:type="gramEnd"/>
      <w:r w:rsidR="004D2397" w:rsidRPr="00E8461E">
        <w:t xml:space="preserve"> and emotional wellbeing.</w:t>
      </w:r>
    </w:p>
    <w:p w14:paraId="67CEF230" w14:textId="2868FA9E" w:rsidR="00BA055E" w:rsidRPr="00E8461E" w:rsidRDefault="008A5196" w:rsidP="008A5196">
      <w:r w:rsidRPr="00E8461E">
        <w:t xml:space="preserve">The United Nations Framework Convention on Climate Change has also created the Local Communities and Indigenous Peoples Platform, which serves to enhance the engagement of local communities and First Nations peoples in the international climate change negotiation process and </w:t>
      </w:r>
      <w:r w:rsidR="0036385C" w:rsidRPr="00E8461E">
        <w:t xml:space="preserve">to </w:t>
      </w:r>
      <w:r w:rsidRPr="00E8461E">
        <w:t xml:space="preserve">strengthen </w:t>
      </w:r>
      <w:r w:rsidR="0036385C" w:rsidRPr="00E8461E">
        <w:t>the</w:t>
      </w:r>
      <w:r w:rsidRPr="00E8461E">
        <w:t xml:space="preserve"> sharing of knowledge and technologies.</w:t>
      </w:r>
      <w:r w:rsidRPr="00E8461E">
        <w:rPr>
          <w:rStyle w:val="EndnoteReference"/>
        </w:rPr>
        <w:endnoteReference w:id="223"/>
      </w:r>
      <w:r w:rsidRPr="00E8461E">
        <w:t xml:space="preserve"> The United Nations Permanent Forum on Indigenous Issues is also used by First Nations people from across the globe, including Australia, to advance calls for recognition of First Nations views on human and planetary health.</w:t>
      </w:r>
    </w:p>
    <w:p w14:paraId="3D9047C2" w14:textId="6699EE16" w:rsidR="008A5196" w:rsidRPr="00E8461E" w:rsidRDefault="008A5196" w:rsidP="00FB1C87">
      <w:pPr>
        <w:rPr>
          <w:lang w:val="en-GB"/>
        </w:rPr>
      </w:pPr>
      <w:r w:rsidRPr="00E8461E">
        <w:t>First Nations representatives from Australia attend the annual United Nations climate conference. Delegations such as those supported by Australia’s Indigenous Peoples Organisation have advanced the case for inclusion of First Nations people in climate decisions and solutions. They have also showcased local practices such as cultural burning as examples of First Nations knowledge contributing to climate change mitigation and adaptation.</w:t>
      </w:r>
      <w:r w:rsidRPr="00E8461E">
        <w:rPr>
          <w:rStyle w:val="EndnoteReference"/>
        </w:rPr>
        <w:endnoteReference w:id="224"/>
      </w:r>
      <w:r w:rsidRPr="00E8461E">
        <w:t xml:space="preserve"> Australia’s First Nations leaders are also active in regional forums, such as the 2022 First People’s Forum for Oceania, hosted by </w:t>
      </w:r>
      <w:proofErr w:type="spellStart"/>
      <w:r w:rsidRPr="00E8461E">
        <w:rPr>
          <w:rFonts w:eastAsia="Times New Roman"/>
        </w:rPr>
        <w:t>Girringun</w:t>
      </w:r>
      <w:proofErr w:type="spellEnd"/>
      <w:r w:rsidRPr="00E8461E">
        <w:rPr>
          <w:rFonts w:eastAsia="Times New Roman"/>
        </w:rPr>
        <w:t xml:space="preserve"> Aboriginal Corporation,</w:t>
      </w:r>
      <w:r w:rsidRPr="00E8461E">
        <w:t xml:space="preserve"> which brought together First Nations leaders from across the Pacific to set First Nations climate priorities ahead of COP27.</w:t>
      </w:r>
      <w:r w:rsidRPr="00E8461E">
        <w:rPr>
          <w:rStyle w:val="EndnoteReference"/>
        </w:rPr>
        <w:endnoteReference w:id="225"/>
      </w:r>
      <w:r w:rsidRPr="00E8461E">
        <w:rPr>
          <w:lang w:val="en-GB"/>
        </w:rPr>
        <w:br w:type="page"/>
      </w:r>
    </w:p>
    <w:p w14:paraId="181DB89E" w14:textId="3064ABFD" w:rsidR="005A147C" w:rsidRPr="00E8461E" w:rsidRDefault="005A147C" w:rsidP="00D76CDF">
      <w:pPr>
        <w:pStyle w:val="Heading1"/>
      </w:pPr>
      <w:bookmarkStart w:id="190" w:name="_Toc151999638"/>
      <w:r w:rsidRPr="00E8461E">
        <w:rPr>
          <w:lang w:val="en-GB"/>
        </w:rPr>
        <w:lastRenderedPageBreak/>
        <w:t xml:space="preserve">Chapter </w:t>
      </w:r>
      <w:r w:rsidR="008A5196" w:rsidRPr="00E8461E">
        <w:rPr>
          <w:lang w:val="en-GB"/>
        </w:rPr>
        <w:t>6</w:t>
      </w:r>
      <w:r w:rsidRPr="00E8461E">
        <w:rPr>
          <w:lang w:val="en-GB"/>
        </w:rPr>
        <w:t xml:space="preserve">: </w:t>
      </w:r>
      <w:bookmarkEnd w:id="183"/>
      <w:r w:rsidR="00945838" w:rsidRPr="00E8461E">
        <w:t xml:space="preserve">Supporting healthy, climate-resilient and sustainable communities through whole-of-government </w:t>
      </w:r>
      <w:proofErr w:type="gramStart"/>
      <w:r w:rsidR="00945838" w:rsidRPr="00E8461E">
        <w:t>action</w:t>
      </w:r>
      <w:bookmarkEnd w:id="190"/>
      <w:proofErr w:type="gramEnd"/>
    </w:p>
    <w:p w14:paraId="2126D8F0" w14:textId="6A5D225C" w:rsidR="00653752" w:rsidRPr="00E8461E" w:rsidRDefault="00653752" w:rsidP="00653752">
      <w:r w:rsidRPr="00E8461E">
        <w:rPr>
          <w:noProof/>
          <w:lang w:val="en-GB"/>
        </w:rPr>
        <mc:AlternateContent>
          <mc:Choice Requires="wps">
            <w:drawing>
              <wp:inline distT="0" distB="0" distL="0" distR="0" wp14:anchorId="11FC25F3" wp14:editId="11489ECA">
                <wp:extent cx="1035592" cy="115657"/>
                <wp:effectExtent l="0" t="0" r="0" b="0"/>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1BD810" id="Rectangle 13"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bookmarkEnd w:id="89"/>
    <w:bookmarkEnd w:id="90"/>
    <w:p w14:paraId="7254144A" w14:textId="2A9B91D6" w:rsidR="00653752" w:rsidRPr="00E8461E" w:rsidRDefault="00653752" w:rsidP="00653752">
      <w:pPr>
        <w:pBdr>
          <w:bottom w:val="single" w:sz="12" w:space="1" w:color="153A6E" w:themeColor="accent2"/>
        </w:pBdr>
        <w:shd w:val="clear" w:color="auto" w:fill="F0F1F1" w:themeFill="background2"/>
        <w:spacing w:after="0"/>
        <w:rPr>
          <w:b/>
          <w:bCs/>
          <w:color w:val="0A1D37" w:themeColor="accent2" w:themeShade="80"/>
        </w:rPr>
      </w:pPr>
      <w:r w:rsidRPr="00E8461E">
        <w:rPr>
          <w:b/>
          <w:bCs/>
          <w:color w:val="0A1D37" w:themeColor="accent2" w:themeShade="80"/>
        </w:rPr>
        <w:t xml:space="preserve">OBJECTIVE 4 - HEALTH IN </w:t>
      </w:r>
      <w:r w:rsidRPr="00E8461E" w:rsidDel="00351EAE">
        <w:rPr>
          <w:b/>
          <w:bCs/>
          <w:color w:val="0A1D37" w:themeColor="accent2" w:themeShade="80"/>
        </w:rPr>
        <w:t xml:space="preserve">ALL </w:t>
      </w:r>
      <w:r w:rsidRPr="00E8461E">
        <w:rPr>
          <w:b/>
          <w:bCs/>
          <w:color w:val="0A1D37" w:themeColor="accent2" w:themeShade="80"/>
        </w:rPr>
        <w:t xml:space="preserve">POLICIES: </w:t>
      </w:r>
    </w:p>
    <w:p w14:paraId="3B6934AA" w14:textId="2959BA7D" w:rsidR="002942FB" w:rsidRPr="00E8461E" w:rsidRDefault="00653752" w:rsidP="00653752">
      <w:pPr>
        <w:pBdr>
          <w:bottom w:val="single" w:sz="12" w:space="1" w:color="153A6E" w:themeColor="accent2"/>
        </w:pBdr>
        <w:shd w:val="clear" w:color="auto" w:fill="F0F1F1" w:themeFill="background2"/>
        <w:rPr>
          <w:lang w:val="en-GB"/>
        </w:rPr>
      </w:pPr>
      <w:r w:rsidRPr="00E8461E">
        <w:rPr>
          <w:b/>
          <w:bCs/>
        </w:rPr>
        <w:t>Support healthy, climate-</w:t>
      </w:r>
      <w:proofErr w:type="gramStart"/>
      <w:r w:rsidRPr="00E8461E">
        <w:rPr>
          <w:b/>
          <w:bCs/>
        </w:rPr>
        <w:t>resilient</w:t>
      </w:r>
      <w:proofErr w:type="gramEnd"/>
      <w:r w:rsidRPr="00E8461E">
        <w:rPr>
          <w:b/>
          <w:bCs/>
        </w:rPr>
        <w:t xml:space="preserve"> and sustainable communities through whole-of-government action which recognises the relationship between health and climate outcomes.</w:t>
      </w:r>
      <w:r w:rsidRPr="00E8461E">
        <w:t xml:space="preserve"> </w:t>
      </w:r>
      <w:r w:rsidRPr="00E8461E">
        <w:rPr>
          <w:bCs/>
        </w:rPr>
        <w:t>The Strategy adopts a Health in All Policies approach, promoting the health co-benefits of emissions reductions across society and adaptation action beyond the health system to protect health and wellbeing from climate change.</w:t>
      </w:r>
    </w:p>
    <w:p w14:paraId="5FA67B60" w14:textId="77777777" w:rsidR="00342A08" w:rsidRPr="00E8461E" w:rsidRDefault="002942FB" w:rsidP="002942FB">
      <w:pPr>
        <w:rPr>
          <w:rFonts w:ascii="Calibri" w:eastAsia="Calibri" w:hAnsi="Calibri" w:cs="Calibri"/>
          <w:lang w:val="en-GB"/>
        </w:rPr>
      </w:pPr>
      <w:r w:rsidRPr="00E8461E">
        <w:rPr>
          <w:lang w:val="en-GB"/>
        </w:rPr>
        <w:t xml:space="preserve">The Australian Government is committed to protecting the health of people in Australia and the health of our environment. These commitments can be achieved synergistically, through an integrated, Health </w:t>
      </w:r>
      <w:r w:rsidR="00627808" w:rsidRPr="00E8461E">
        <w:rPr>
          <w:lang w:val="en-GB"/>
        </w:rPr>
        <w:t>i</w:t>
      </w:r>
      <w:r w:rsidRPr="00E8461E">
        <w:rPr>
          <w:lang w:val="en-GB"/>
        </w:rPr>
        <w:t xml:space="preserve">n All Policies approach that addresses the </w:t>
      </w:r>
      <w:r w:rsidRPr="00E8461E">
        <w:rPr>
          <w:rFonts w:ascii="Calibri" w:eastAsia="Calibri" w:hAnsi="Calibri" w:cs="Calibri"/>
          <w:lang w:val="en-GB"/>
        </w:rPr>
        <w:t xml:space="preserve">wider determinants, or ‘building blocks’, of both human and planetary health. Healthy, resilient, and sustainable food and agriculture, urban environments, buildings, and transport can help address the health impacts of climate change while also reducing emissions. </w:t>
      </w:r>
    </w:p>
    <w:p w14:paraId="1BE8A5B7" w14:textId="3B6F2C2F" w:rsidR="002942FB" w:rsidRPr="00E8461E" w:rsidRDefault="00342A08" w:rsidP="002942FB">
      <w:pPr>
        <w:rPr>
          <w:rFonts w:ascii="Calibri" w:eastAsia="Calibri" w:hAnsi="Calibri" w:cs="Calibri"/>
          <w:lang w:val="en-GB"/>
        </w:rPr>
      </w:pPr>
      <w:r w:rsidRPr="00E8461E">
        <w:rPr>
          <w:lang w:val="en-GB"/>
        </w:rPr>
        <w:t>T</w:t>
      </w:r>
      <w:r w:rsidR="002942FB" w:rsidRPr="00E8461E">
        <w:rPr>
          <w:lang w:val="en-GB"/>
        </w:rPr>
        <w:t xml:space="preserve">he Government is working to maximise the human and planetary health benefits of its wide-ranging climate mitigation and adaptation action. </w:t>
      </w:r>
      <w:r w:rsidR="0064742C" w:rsidRPr="00E8461E">
        <w:rPr>
          <w:lang w:val="en-GB"/>
        </w:rPr>
        <w:t xml:space="preserve">This </w:t>
      </w:r>
      <w:r w:rsidR="00855A68" w:rsidRPr="00E8461E">
        <w:rPr>
          <w:lang w:val="en-GB"/>
        </w:rPr>
        <w:t>ali</w:t>
      </w:r>
      <w:r w:rsidR="007A23EF" w:rsidRPr="00E8461E">
        <w:rPr>
          <w:lang w:val="en-GB"/>
        </w:rPr>
        <w:t>g</w:t>
      </w:r>
      <w:r w:rsidR="00855A68" w:rsidRPr="00E8461E">
        <w:rPr>
          <w:lang w:val="en-GB"/>
        </w:rPr>
        <w:t>ns with</w:t>
      </w:r>
      <w:r w:rsidR="0064742C" w:rsidRPr="00E8461E">
        <w:rPr>
          <w:lang w:val="en-GB"/>
        </w:rPr>
        <w:t xml:space="preserve"> the Health in All Policies approach that underpins this </w:t>
      </w:r>
      <w:r w:rsidR="007A23EF" w:rsidRPr="00E8461E">
        <w:rPr>
          <w:lang w:val="en-GB"/>
        </w:rPr>
        <w:t>S</w:t>
      </w:r>
      <w:r w:rsidR="0064742C" w:rsidRPr="00E8461E">
        <w:rPr>
          <w:lang w:val="en-GB"/>
        </w:rPr>
        <w:t xml:space="preserve">trategy, which </w:t>
      </w:r>
      <w:r w:rsidR="003D0DD8" w:rsidRPr="00E8461E">
        <w:rPr>
          <w:lang w:val="en-GB"/>
        </w:rPr>
        <w:t>recognises</w:t>
      </w:r>
      <w:r w:rsidR="0064742C" w:rsidRPr="00E8461E">
        <w:rPr>
          <w:lang w:val="en-GB"/>
        </w:rPr>
        <w:t xml:space="preserve"> that </w:t>
      </w:r>
      <w:r w:rsidR="00862389" w:rsidRPr="00E8461E">
        <w:rPr>
          <w:lang w:val="en-GB"/>
        </w:rPr>
        <w:t>human</w:t>
      </w:r>
      <w:r w:rsidR="0064742C" w:rsidRPr="00E8461E">
        <w:rPr>
          <w:lang w:val="en-GB"/>
        </w:rPr>
        <w:t xml:space="preserve"> health </w:t>
      </w:r>
      <w:r w:rsidR="00862389" w:rsidRPr="00E8461E">
        <w:rPr>
          <w:lang w:val="en-GB"/>
        </w:rPr>
        <w:t xml:space="preserve">and </w:t>
      </w:r>
      <w:r w:rsidR="0064742C" w:rsidRPr="00E8461E">
        <w:rPr>
          <w:lang w:val="en-GB"/>
        </w:rPr>
        <w:t xml:space="preserve">health </w:t>
      </w:r>
      <w:r w:rsidR="00862389" w:rsidRPr="00E8461E">
        <w:rPr>
          <w:lang w:val="en-GB"/>
        </w:rPr>
        <w:t xml:space="preserve">equity are </w:t>
      </w:r>
      <w:r w:rsidR="002828F4" w:rsidRPr="00E8461E">
        <w:rPr>
          <w:lang w:val="en-GB"/>
        </w:rPr>
        <w:t>shaped</w:t>
      </w:r>
      <w:r w:rsidR="00862389" w:rsidRPr="00E8461E">
        <w:rPr>
          <w:lang w:val="en-GB"/>
        </w:rPr>
        <w:t xml:space="preserve"> </w:t>
      </w:r>
      <w:r w:rsidR="00CF283B" w:rsidRPr="00E8461E">
        <w:rPr>
          <w:lang w:val="en-GB"/>
        </w:rPr>
        <w:t xml:space="preserve">by </w:t>
      </w:r>
      <w:r w:rsidR="002828F4" w:rsidRPr="00E8461E">
        <w:rPr>
          <w:lang w:val="en-GB"/>
        </w:rPr>
        <w:t>factors beyond</w:t>
      </w:r>
      <w:r w:rsidR="00CF283B" w:rsidRPr="00E8461E">
        <w:rPr>
          <w:lang w:val="en-GB"/>
        </w:rPr>
        <w:t xml:space="preserve"> the </w:t>
      </w:r>
      <w:r w:rsidR="002828F4" w:rsidRPr="00E8461E">
        <w:rPr>
          <w:lang w:val="en-GB"/>
        </w:rPr>
        <w:t xml:space="preserve">scope of the </w:t>
      </w:r>
      <w:r w:rsidR="00CF283B" w:rsidRPr="00E8461E">
        <w:rPr>
          <w:lang w:val="en-GB"/>
        </w:rPr>
        <w:t>health system.</w:t>
      </w:r>
      <w:r w:rsidR="00CF283B" w:rsidRPr="00E8461E">
        <w:rPr>
          <w:rStyle w:val="EndnoteReference"/>
          <w:lang w:val="en-GB"/>
        </w:rPr>
        <w:endnoteReference w:id="226"/>
      </w:r>
      <w:r w:rsidR="002942FB" w:rsidRPr="00E8461E">
        <w:rPr>
          <w:lang w:val="en-GB"/>
        </w:rPr>
        <w:t xml:space="preserve"> This section outlines work across sectors and society to support healthier</w:t>
      </w:r>
      <w:r w:rsidR="00DB15B1" w:rsidRPr="00E8461E">
        <w:rPr>
          <w:lang w:val="en-GB"/>
        </w:rPr>
        <w:t xml:space="preserve">, </w:t>
      </w:r>
      <w:r w:rsidR="00F36B81" w:rsidRPr="00E8461E">
        <w:rPr>
          <w:lang w:val="en-GB"/>
        </w:rPr>
        <w:t xml:space="preserve">more </w:t>
      </w:r>
      <w:proofErr w:type="gramStart"/>
      <w:r w:rsidR="00DB15B1" w:rsidRPr="00E8461E">
        <w:rPr>
          <w:lang w:val="en-GB"/>
        </w:rPr>
        <w:t>resilient</w:t>
      </w:r>
      <w:proofErr w:type="gramEnd"/>
      <w:r w:rsidR="002942FB" w:rsidRPr="00E8461E">
        <w:rPr>
          <w:lang w:val="en-GB"/>
        </w:rPr>
        <w:t xml:space="preserve"> and more sustainable communities in Australia’s changing climate. </w:t>
      </w:r>
      <w:r w:rsidR="00B06FCB" w:rsidRPr="00E8461E">
        <w:rPr>
          <w:lang w:val="en-GB"/>
        </w:rPr>
        <w:t xml:space="preserve">Much </w:t>
      </w:r>
      <w:r w:rsidR="004A60D1" w:rsidRPr="00E8461E">
        <w:rPr>
          <w:lang w:val="en-GB"/>
        </w:rPr>
        <w:t>of the action outlined in this section will have significant benefits in terms of both climate change mitigation, as well as in adapting to the health impacts of climate change.</w:t>
      </w:r>
    </w:p>
    <w:p w14:paraId="362F3DC7" w14:textId="24BE866F" w:rsidR="002942FB" w:rsidRPr="00E8461E" w:rsidRDefault="002942FB" w:rsidP="002942FB">
      <w:pPr>
        <w:rPr>
          <w:lang w:val="en-GB"/>
        </w:rPr>
      </w:pPr>
      <w:r w:rsidRPr="00E8461E">
        <w:rPr>
          <w:lang w:val="en-GB"/>
        </w:rPr>
        <w:t xml:space="preserve">Significant improvements in population health will be </w:t>
      </w:r>
      <w:r w:rsidR="006C36B0" w:rsidRPr="00E8461E">
        <w:rPr>
          <w:lang w:val="en-GB"/>
        </w:rPr>
        <w:t>gained</w:t>
      </w:r>
      <w:r w:rsidRPr="00E8461E">
        <w:rPr>
          <w:lang w:val="en-GB"/>
        </w:rPr>
        <w:t xml:space="preserve"> </w:t>
      </w:r>
      <w:proofErr w:type="gramStart"/>
      <w:r w:rsidRPr="00E8461E">
        <w:rPr>
          <w:lang w:val="en-GB"/>
        </w:rPr>
        <w:t>as a result of</w:t>
      </w:r>
      <w:proofErr w:type="gramEnd"/>
      <w:r w:rsidRPr="00E8461E">
        <w:rPr>
          <w:lang w:val="en-GB"/>
        </w:rPr>
        <w:t xml:space="preserve"> action to achieve Australia’s commitment to net zero emissions by 2050. Positive health outcomes that arise from action to reduce greenhouse gas emissions are known as the ‘health co-benefits’ of climate change mitigation. These co-benefits tend to be experienced sooner than the benefits that will be experienced from slowing the pace of climate change, and they improve the health of people living and working in the places where the mitigation efforts have been made.</w:t>
      </w:r>
      <w:r w:rsidRPr="00E8461E">
        <w:rPr>
          <w:rStyle w:val="EndnoteReference"/>
          <w:lang w:val="en-GB"/>
        </w:rPr>
        <w:endnoteReference w:id="227"/>
      </w:r>
      <w:r w:rsidRPr="00E8461E">
        <w:rPr>
          <w:lang w:val="en-GB"/>
        </w:rPr>
        <w:t xml:space="preserve"> Evidence shows that co-benefits arise from mitigation interventions in sectors such electricity generation, household energy, land transport, and food and agriculture.</w:t>
      </w:r>
      <w:r w:rsidRPr="00E8461E">
        <w:rPr>
          <w:rStyle w:val="EndnoteReference"/>
          <w:lang w:val="en-GB"/>
        </w:rPr>
        <w:endnoteReference w:id="228"/>
      </w:r>
      <w:r w:rsidRPr="00E8461E">
        <w:rPr>
          <w:lang w:val="en-GB"/>
        </w:rPr>
        <w:t xml:space="preserve"> These correspond to key greenhouse gas emitting sectors, which have been identified to develop sectoral decarbonisation plans as part of the Government’s Net Zero 2050 plan.</w:t>
      </w:r>
      <w:r w:rsidRPr="00E8461E">
        <w:rPr>
          <w:rStyle w:val="EndnoteReference"/>
          <w:lang w:val="en-GB"/>
        </w:rPr>
        <w:endnoteReference w:id="229"/>
      </w:r>
    </w:p>
    <w:p w14:paraId="311B99B8" w14:textId="45C89F47" w:rsidR="004E1A00" w:rsidRPr="00E8461E" w:rsidRDefault="00384A4B" w:rsidP="00CE2599">
      <w:pPr>
        <w:pStyle w:val="Heading2"/>
      </w:pPr>
      <w:bookmarkStart w:id="191" w:name="_Toc149910007"/>
      <w:bookmarkStart w:id="192" w:name="_Toc149918473"/>
      <w:bookmarkStart w:id="193" w:name="_Toc151999639"/>
      <w:r w:rsidRPr="00E8461E">
        <w:t>6</w:t>
      </w:r>
      <w:r w:rsidR="00B174CB" w:rsidRPr="00E8461E">
        <w:t xml:space="preserve">.1 </w:t>
      </w:r>
      <w:r w:rsidR="004E1A00" w:rsidRPr="00E8461E">
        <w:t>Heat and heatwaves</w:t>
      </w:r>
      <w:bookmarkEnd w:id="191"/>
      <w:bookmarkEnd w:id="192"/>
      <w:bookmarkEnd w:id="193"/>
    </w:p>
    <w:p w14:paraId="0AE4E3CA" w14:textId="43A3CD4F" w:rsidR="004E1A00" w:rsidRPr="00E8461E" w:rsidRDefault="004E1A00" w:rsidP="004E1A00">
      <w:pPr>
        <w:spacing w:line="257" w:lineRule="auto"/>
        <w:rPr>
          <w:rFonts w:eastAsiaTheme="minorEastAsia"/>
          <w:lang w:val="en-GB"/>
        </w:rPr>
      </w:pPr>
      <w:r w:rsidRPr="00E8461E">
        <w:rPr>
          <w:rFonts w:eastAsiaTheme="minorEastAsia"/>
          <w:lang w:val="en-GB"/>
        </w:rPr>
        <w:t>Heat is one of the most significant climate risks to health and wellbeing in Australia. Heatwaves already cause more deaths than any other natural hazard,</w:t>
      </w:r>
      <w:r w:rsidRPr="00E8461E">
        <w:rPr>
          <w:rStyle w:val="EndnoteReference"/>
          <w:rFonts w:eastAsiaTheme="minorEastAsia"/>
          <w:lang w:val="en-GB"/>
        </w:rPr>
        <w:endnoteReference w:id="230"/>
      </w:r>
      <w:r w:rsidR="00FF1F55" w:rsidRPr="00E8461E">
        <w:rPr>
          <w:rFonts w:eastAsiaTheme="minorEastAsia"/>
          <w:vertAlign w:val="superscript"/>
          <w:lang w:val="en-GB"/>
        </w:rPr>
        <w:t>,</w:t>
      </w:r>
      <w:r w:rsidR="00FF1F55" w:rsidRPr="00E8461E">
        <w:rPr>
          <w:rStyle w:val="EndnoteReference"/>
          <w:rFonts w:eastAsiaTheme="minorEastAsia"/>
          <w:lang w:val="en-GB"/>
        </w:rPr>
        <w:endnoteReference w:id="231"/>
      </w:r>
      <w:r w:rsidR="00FF1F55" w:rsidRPr="00E8461E">
        <w:rPr>
          <w:rFonts w:eastAsiaTheme="minorEastAsia"/>
          <w:lang w:val="en-GB"/>
        </w:rPr>
        <w:t xml:space="preserve"> </w:t>
      </w:r>
      <w:r w:rsidRPr="00E8461E">
        <w:rPr>
          <w:rFonts w:eastAsiaTheme="minorEastAsia"/>
          <w:lang w:val="en-GB"/>
        </w:rPr>
        <w:t>and the health risks associated with heat exposure will increase as temperatures rise, our population ages, and more people in Australia live and work in urban centres. Exposure to both extreme heat events, and to incremental increases in heat overall, are associated with increased morbidity and mortality – with flow on impacts on healthcare costs and productivity.</w:t>
      </w:r>
    </w:p>
    <w:p w14:paraId="42B307E7" w14:textId="24167121" w:rsidR="004E1A00" w:rsidRPr="00E8461E" w:rsidRDefault="004E1A00" w:rsidP="004E1A00">
      <w:pPr>
        <w:spacing w:line="257" w:lineRule="auto"/>
        <w:rPr>
          <w:rFonts w:eastAsiaTheme="minorEastAsia"/>
          <w:lang w:val="en-GB"/>
        </w:rPr>
      </w:pPr>
      <w:r w:rsidRPr="00E8461E">
        <w:rPr>
          <w:rFonts w:eastAsiaTheme="minorEastAsia"/>
          <w:lang w:val="en-GB"/>
        </w:rPr>
        <w:t xml:space="preserve">Adverse health outcomes from heat exposure include heatstroke, dehydration, </w:t>
      </w:r>
      <w:r w:rsidR="00047BEF" w:rsidRPr="00E8461E">
        <w:rPr>
          <w:rFonts w:eastAsiaTheme="minorEastAsia"/>
          <w:lang w:val="en-GB"/>
        </w:rPr>
        <w:t>increases in</w:t>
      </w:r>
      <w:r w:rsidRPr="00E8461E">
        <w:rPr>
          <w:rFonts w:eastAsiaTheme="minorEastAsia"/>
          <w:lang w:val="en-GB"/>
        </w:rPr>
        <w:t xml:space="preserve"> chronic disease, preterm births and still births, and mental ill-health</w:t>
      </w:r>
      <w:r w:rsidR="00813FA0" w:rsidRPr="00E8461E">
        <w:rPr>
          <w:rFonts w:eastAsiaTheme="minorEastAsia"/>
          <w:lang w:val="en-GB"/>
        </w:rPr>
        <w:t>.</w:t>
      </w:r>
      <w:r w:rsidR="00C3595E" w:rsidRPr="00E8461E">
        <w:rPr>
          <w:rStyle w:val="EndnoteReference"/>
          <w:rFonts w:eastAsiaTheme="minorEastAsia"/>
          <w:lang w:val="en-GB"/>
        </w:rPr>
        <w:endnoteReference w:id="232"/>
      </w:r>
      <w:r w:rsidR="00813FA0" w:rsidRPr="00E8461E">
        <w:rPr>
          <w:rStyle w:val="EndnoteReference"/>
          <w:rFonts w:eastAsiaTheme="minorEastAsia"/>
          <w:lang w:val="en-GB"/>
        </w:rPr>
        <w:endnoteReference w:id="233"/>
      </w:r>
      <w:r w:rsidRPr="00E8461E">
        <w:rPr>
          <w:rFonts w:eastAsiaTheme="minorEastAsia"/>
          <w:lang w:val="en-GB"/>
        </w:rPr>
        <w:t xml:space="preserve"> Moreover, extreme heat can disrupt infrastructure, preventing people from safely accessing healthcare, medication, and other essential services. Groups at particular risk of experiencing heat-related illness include older people, outdoor </w:t>
      </w:r>
      <w:r w:rsidRPr="00E8461E">
        <w:rPr>
          <w:rFonts w:eastAsiaTheme="minorEastAsia"/>
          <w:lang w:val="en-GB"/>
        </w:rPr>
        <w:lastRenderedPageBreak/>
        <w:t>workers, people with chronic conditions, pregnant women, children, people living in poorly insulated housing or remote communities, people with reduced mobility, culturally and linguistically diverse communities, refugees, and people experiencing energy poverty and/or social isolation.</w:t>
      </w:r>
    </w:p>
    <w:p w14:paraId="49A86B57" w14:textId="3C8750D8" w:rsidR="004E1A00" w:rsidRPr="00E8461E" w:rsidRDefault="004E1A00" w:rsidP="004E1A00">
      <w:pPr>
        <w:spacing w:line="257" w:lineRule="auto"/>
        <w:rPr>
          <w:rFonts w:eastAsiaTheme="minorEastAsia"/>
          <w:lang w:val="en-GB"/>
        </w:rPr>
      </w:pPr>
      <w:r w:rsidRPr="00E8461E">
        <w:rPr>
          <w:rFonts w:eastAsiaTheme="minorEastAsia"/>
          <w:lang w:val="en-GB"/>
        </w:rPr>
        <w:t>Many of the adverse health impacts of heat can be minimised or prevented with well-designed adaptation interventions</w:t>
      </w:r>
      <w:r w:rsidR="00526233" w:rsidRPr="00E8461E">
        <w:rPr>
          <w:rFonts w:eastAsiaTheme="minorEastAsia"/>
          <w:lang w:val="en-GB"/>
        </w:rPr>
        <w:t>.</w:t>
      </w:r>
      <w:r w:rsidRPr="00E8461E">
        <w:rPr>
          <w:rFonts w:eastAsiaTheme="minorEastAsia"/>
          <w:lang w:val="en-GB"/>
        </w:rPr>
        <w:t xml:space="preserve"> Relevant interventions include heatwave warning systems, public education and risk communication campaigns, as well as targeted outreach programs for at-risk populations</w:t>
      </w:r>
      <w:r w:rsidR="00DD5E63" w:rsidRPr="00E8461E">
        <w:rPr>
          <w:rFonts w:eastAsiaTheme="minorEastAsia"/>
          <w:lang w:val="en-GB"/>
        </w:rPr>
        <w:t xml:space="preserve"> (such as providing heat refuges)</w:t>
      </w:r>
      <w:r w:rsidRPr="00E8461E">
        <w:rPr>
          <w:rFonts w:eastAsiaTheme="minorEastAsia"/>
          <w:lang w:val="en-GB"/>
        </w:rPr>
        <w:t>.</w:t>
      </w:r>
      <w:r w:rsidR="00940AE7" w:rsidRPr="00E8461E">
        <w:rPr>
          <w:rStyle w:val="EndnoteReference"/>
          <w:rFonts w:eastAsiaTheme="minorEastAsia"/>
          <w:lang w:val="en-GB"/>
        </w:rPr>
        <w:endnoteReference w:id="234"/>
      </w:r>
      <w:r w:rsidRPr="00E8461E">
        <w:rPr>
          <w:rFonts w:eastAsiaTheme="minorEastAsia"/>
          <w:lang w:val="en-GB"/>
        </w:rPr>
        <w:t xml:space="preserve"> It is also important to </w:t>
      </w:r>
      <w:r w:rsidR="002C14ED" w:rsidRPr="00E8461E">
        <w:rPr>
          <w:rFonts w:eastAsiaTheme="minorEastAsia"/>
          <w:lang w:val="en-GB"/>
        </w:rPr>
        <w:t xml:space="preserve">act on the wider determinants of health, such as </w:t>
      </w:r>
      <w:r w:rsidRPr="00E8461E">
        <w:rPr>
          <w:rFonts w:eastAsiaTheme="minorEastAsia"/>
          <w:lang w:val="en-GB"/>
        </w:rPr>
        <w:t>mak</w:t>
      </w:r>
      <w:r w:rsidR="002C14ED" w:rsidRPr="00E8461E">
        <w:rPr>
          <w:rFonts w:eastAsiaTheme="minorEastAsia"/>
          <w:lang w:val="en-GB"/>
        </w:rPr>
        <w:t>ing</w:t>
      </w:r>
      <w:r w:rsidRPr="00E8461E">
        <w:rPr>
          <w:rFonts w:eastAsiaTheme="minorEastAsia"/>
          <w:lang w:val="en-GB"/>
        </w:rPr>
        <w:t xml:space="preserve"> changes to buildings</w:t>
      </w:r>
      <w:r w:rsidR="00DD5E63" w:rsidRPr="00E8461E">
        <w:rPr>
          <w:rFonts w:eastAsiaTheme="minorEastAsia"/>
          <w:lang w:val="en-GB"/>
        </w:rPr>
        <w:t xml:space="preserve">, </w:t>
      </w:r>
      <w:r w:rsidRPr="00E8461E">
        <w:rPr>
          <w:rFonts w:eastAsiaTheme="minorEastAsia"/>
          <w:lang w:val="en-GB"/>
        </w:rPr>
        <w:t>urban environments</w:t>
      </w:r>
      <w:r w:rsidR="00DD5E63" w:rsidRPr="00E8461E">
        <w:rPr>
          <w:rFonts w:eastAsiaTheme="minorEastAsia"/>
          <w:lang w:val="en-GB"/>
        </w:rPr>
        <w:t>, and land use</w:t>
      </w:r>
      <w:r w:rsidRPr="00E8461E">
        <w:rPr>
          <w:rFonts w:eastAsiaTheme="minorEastAsia"/>
          <w:lang w:val="en-GB"/>
        </w:rPr>
        <w:t xml:space="preserve"> that reduce heat retention and exposure</w:t>
      </w:r>
      <w:r w:rsidR="00526233" w:rsidRPr="00E8461E">
        <w:rPr>
          <w:rFonts w:eastAsiaTheme="minorEastAsia"/>
          <w:lang w:val="en-GB"/>
        </w:rPr>
        <w:t>,</w:t>
      </w:r>
      <w:r w:rsidR="00E0328C" w:rsidRPr="00E8461E">
        <w:rPr>
          <w:rStyle w:val="EndnoteReference"/>
          <w:rFonts w:eastAsiaTheme="minorEastAsia"/>
          <w:lang w:val="en-GB"/>
        </w:rPr>
        <w:endnoteReference w:id="235"/>
      </w:r>
      <w:r w:rsidRPr="00E8461E">
        <w:rPr>
          <w:rFonts w:eastAsiaTheme="minorEastAsia"/>
          <w:lang w:val="en-GB"/>
        </w:rPr>
        <w:t xml:space="preserve"> such as increasing blue </w:t>
      </w:r>
      <w:r w:rsidR="00EA039B" w:rsidRPr="00E8461E">
        <w:rPr>
          <w:rFonts w:eastAsiaTheme="minorEastAsia"/>
          <w:lang w:val="en-GB"/>
        </w:rPr>
        <w:t xml:space="preserve">(aquatic) </w:t>
      </w:r>
      <w:r w:rsidRPr="00E8461E">
        <w:rPr>
          <w:rFonts w:eastAsiaTheme="minorEastAsia"/>
          <w:lang w:val="en-GB"/>
        </w:rPr>
        <w:t xml:space="preserve">and green </w:t>
      </w:r>
      <w:r w:rsidR="00EA039B" w:rsidRPr="00E8461E">
        <w:rPr>
          <w:rFonts w:eastAsiaTheme="minorEastAsia"/>
          <w:lang w:val="en-GB"/>
        </w:rPr>
        <w:t xml:space="preserve">(vegetated) </w:t>
      </w:r>
      <w:r w:rsidRPr="00E8461E">
        <w:rPr>
          <w:rFonts w:eastAsiaTheme="minorEastAsia"/>
          <w:lang w:val="en-GB"/>
        </w:rPr>
        <w:t>space, and improving building insulation</w:t>
      </w:r>
      <w:r w:rsidR="004A3BE6" w:rsidRPr="00E8461E">
        <w:rPr>
          <w:rFonts w:eastAsiaTheme="minorEastAsia"/>
          <w:lang w:val="en-GB"/>
        </w:rPr>
        <w:t>, shading</w:t>
      </w:r>
      <w:r w:rsidRPr="00E8461E">
        <w:rPr>
          <w:rFonts w:eastAsiaTheme="minorEastAsia"/>
          <w:lang w:val="en-GB"/>
        </w:rPr>
        <w:t xml:space="preserve"> and ventilation.</w:t>
      </w:r>
      <w:r w:rsidR="0043357C" w:rsidRPr="00E8461E">
        <w:rPr>
          <w:rFonts w:eastAsiaTheme="minorEastAsia"/>
          <w:lang w:val="en-GB"/>
        </w:rPr>
        <w:t xml:space="preserve"> Where possible, interventions should be </w:t>
      </w:r>
      <w:r w:rsidR="001D4AC8" w:rsidRPr="00E8461E">
        <w:rPr>
          <w:rFonts w:eastAsiaTheme="minorEastAsia"/>
          <w:lang w:val="en-GB"/>
        </w:rPr>
        <w:t xml:space="preserve">implemented in such a way as </w:t>
      </w:r>
      <w:r w:rsidR="00D018C6" w:rsidRPr="00E8461E">
        <w:rPr>
          <w:rFonts w:eastAsiaTheme="minorEastAsia"/>
          <w:lang w:val="en-GB"/>
        </w:rPr>
        <w:t xml:space="preserve">to </w:t>
      </w:r>
      <w:r w:rsidR="00EB0F21" w:rsidRPr="00E8461E">
        <w:rPr>
          <w:rFonts w:eastAsiaTheme="minorEastAsia"/>
          <w:lang w:val="en-GB"/>
        </w:rPr>
        <w:t xml:space="preserve">promote health equity, and </w:t>
      </w:r>
      <w:r w:rsidR="00E32E84" w:rsidRPr="00E8461E">
        <w:rPr>
          <w:rFonts w:eastAsiaTheme="minorEastAsia"/>
          <w:lang w:val="en-GB"/>
        </w:rPr>
        <w:t xml:space="preserve">to </w:t>
      </w:r>
      <w:r w:rsidR="00D018C6" w:rsidRPr="00E8461E">
        <w:rPr>
          <w:rFonts w:eastAsiaTheme="minorEastAsia"/>
          <w:lang w:val="en-GB"/>
        </w:rPr>
        <w:t xml:space="preserve">avoid increasing greenhouse gas emissions and contributing further to climate change. </w:t>
      </w:r>
      <w:r w:rsidRPr="00E8461E">
        <w:rPr>
          <w:rFonts w:eastAsiaTheme="minorEastAsia"/>
          <w:lang w:val="en-GB"/>
        </w:rPr>
        <w:t xml:space="preserve">Figure </w:t>
      </w:r>
      <w:r w:rsidR="003E7AB7" w:rsidRPr="00E8461E">
        <w:rPr>
          <w:rFonts w:eastAsiaTheme="minorEastAsia"/>
          <w:lang w:val="en-GB"/>
        </w:rPr>
        <w:t>12</w:t>
      </w:r>
      <w:r w:rsidRPr="00E8461E">
        <w:rPr>
          <w:rFonts w:eastAsiaTheme="minorEastAsia"/>
          <w:lang w:val="en-GB"/>
        </w:rPr>
        <w:t xml:space="preserve"> outlines the array of measures that could be considered to reduce risks to health from heat. There is also an opportunity to learn from First Nations knowledges and cultures in managing the impacts of heat (see case study </w:t>
      </w:r>
      <w:r w:rsidR="00170B39" w:rsidRPr="00E8461E">
        <w:rPr>
          <w:rFonts w:eastAsiaTheme="minorEastAsia"/>
          <w:lang w:val="en-GB"/>
        </w:rPr>
        <w:t>15</w:t>
      </w:r>
      <w:r w:rsidRPr="00E8461E">
        <w:rPr>
          <w:rFonts w:eastAsiaTheme="minorEastAsia"/>
          <w:lang w:val="en-GB"/>
        </w:rPr>
        <w:t>).</w:t>
      </w:r>
    </w:p>
    <w:p w14:paraId="4F7939D5" w14:textId="01D058DA" w:rsidR="008821D3" w:rsidRPr="00E8461E" w:rsidRDefault="008821D3" w:rsidP="003E7FC6">
      <w:pPr>
        <w:pStyle w:val="Caption"/>
      </w:pPr>
      <w:r w:rsidRPr="00E8461E">
        <w:t xml:space="preserve">Figure </w:t>
      </w:r>
      <w:r w:rsidR="00B07FA8">
        <w:fldChar w:fldCharType="begin"/>
      </w:r>
      <w:r w:rsidR="00B07FA8">
        <w:instrText xml:space="preserve"> SEQ Figure \* ARABIC </w:instrText>
      </w:r>
      <w:r w:rsidR="00B07FA8">
        <w:fldChar w:fldCharType="separate"/>
      </w:r>
      <w:r w:rsidR="003E7FC6" w:rsidRPr="00E8461E">
        <w:rPr>
          <w:noProof/>
        </w:rPr>
        <w:t>12</w:t>
      </w:r>
      <w:r w:rsidR="00B07FA8">
        <w:rPr>
          <w:noProof/>
        </w:rPr>
        <w:fldChar w:fldCharType="end"/>
      </w:r>
      <w:r w:rsidRPr="00E8461E">
        <w:t xml:space="preserve"> Measures to manage the health impacts of heat</w:t>
      </w:r>
      <w:r w:rsidRPr="00E8461E">
        <w:rPr>
          <w:rFonts w:eastAsiaTheme="minorEastAsia"/>
          <w:noProof/>
          <w:lang w:val="en-GB"/>
        </w:rPr>
        <w:drawing>
          <wp:inline distT="0" distB="0" distL="0" distR="0" wp14:anchorId="0871F1A2" wp14:editId="13D7CB68">
            <wp:extent cx="5667366" cy="5770180"/>
            <wp:effectExtent l="0" t="0" r="0" b="2540"/>
            <wp:docPr id="23" name="Picture 23" descr="A diagram depicting the measures to manage the impacts of heat which lists:&#10;• Urban planning&#10;• Heat-resilient buildings and infrastructure&#10;• Heat and health risk assessments and management plans&#10;• Community and awareness and adaptive capacity&#10;• Data, monitoring, and surveillance&#10;• Heat and health risk communication&#10;• Heat-health warning systems&#10;• Mapping and outreach to people 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depicting the measures to manage the impacts of heat which lists:&#10;• Urban planning&#10;• Heat-resilient buildings and infrastructure&#10;• Heat and health risk assessments and management plans&#10;• Community and awareness and adaptive capacity&#10;• Data, monitoring, and surveillance&#10;• Heat and health risk communication&#10;• Heat-health warning systems&#10;• Mapping and outreach to people at risk."/>
                    <pic:cNvPicPr/>
                  </pic:nvPicPr>
                  <pic:blipFill rotWithShape="1">
                    <a:blip r:embed="rId39" cstate="print">
                      <a:extLst>
                        <a:ext uri="{28A0092B-C50C-407E-A947-70E740481C1C}">
                          <a14:useLocalDpi xmlns:a14="http://schemas.microsoft.com/office/drawing/2010/main" val="0"/>
                        </a:ext>
                      </a:extLst>
                    </a:blip>
                    <a:srcRect t="12756" b="12631"/>
                    <a:stretch/>
                  </pic:blipFill>
                  <pic:spPr bwMode="auto">
                    <a:xfrm>
                      <a:off x="0" y="0"/>
                      <a:ext cx="5680828" cy="5783887"/>
                    </a:xfrm>
                    <a:prstGeom prst="rect">
                      <a:avLst/>
                    </a:prstGeom>
                    <a:ln>
                      <a:noFill/>
                    </a:ln>
                    <a:extLst>
                      <a:ext uri="{53640926-AAD7-44D8-BBD7-CCE9431645EC}">
                        <a14:shadowObscured xmlns:a14="http://schemas.microsoft.com/office/drawing/2010/main"/>
                      </a:ext>
                    </a:extLst>
                  </pic:spPr>
                </pic:pic>
              </a:graphicData>
            </a:graphic>
          </wp:inline>
        </w:drawing>
      </w:r>
    </w:p>
    <w:p w14:paraId="4F895226" w14:textId="30ED4969" w:rsidR="004E1A00" w:rsidRPr="00E8461E" w:rsidRDefault="004E1A00" w:rsidP="004E1A00">
      <w:pPr>
        <w:spacing w:line="257" w:lineRule="auto"/>
        <w:rPr>
          <w:rFonts w:eastAsiaTheme="minorEastAsia"/>
          <w:lang w:val="en-GB"/>
        </w:rPr>
      </w:pPr>
      <w:r w:rsidRPr="00E8461E">
        <w:rPr>
          <w:rFonts w:eastAsiaTheme="minorEastAsia"/>
          <w:lang w:val="en-GB"/>
        </w:rPr>
        <w:lastRenderedPageBreak/>
        <w:t>Heat and health action plans are widely used around the world as a framework for responding collaboratively and systematically to the various health impacts of heat to prevent morbidity and mortality arising from heatwaves and hot weather</w:t>
      </w:r>
      <w:r w:rsidRPr="00E8461E">
        <w:t>.</w:t>
      </w:r>
      <w:r w:rsidRPr="00E8461E">
        <w:rPr>
          <w:rStyle w:val="EndnoteReference"/>
        </w:rPr>
        <w:endnoteReference w:id="236"/>
      </w:r>
      <w:r w:rsidRPr="00E8461E">
        <w:t xml:space="preserve"> Many state, territory and local governments already have plans in place to address the risks to health from heat in their jurisdictions.</w:t>
      </w:r>
      <w:r w:rsidRPr="00E8461E">
        <w:rPr>
          <w:rFonts w:eastAsiaTheme="minorEastAsia"/>
          <w:lang w:val="en-GB"/>
        </w:rPr>
        <w:t xml:space="preserve"> A National Heat-Health Action Plan will complement and leverage these plans, as well as the recently published National Heatwave Warning Framework,</w:t>
      </w:r>
      <w:r w:rsidRPr="00E8461E">
        <w:rPr>
          <w:rStyle w:val="EndnoteReference"/>
          <w:rFonts w:eastAsiaTheme="minorEastAsia"/>
          <w:lang w:val="en-GB"/>
        </w:rPr>
        <w:endnoteReference w:id="237"/>
      </w:r>
      <w:r w:rsidRPr="00E8461E">
        <w:rPr>
          <w:rFonts w:eastAsiaTheme="minorEastAsia"/>
          <w:lang w:val="en-GB"/>
        </w:rPr>
        <w:t xml:space="preserve"> to support best-practice approaches to heat and health across Australia.</w:t>
      </w:r>
    </w:p>
    <w:p w14:paraId="31AC4991" w14:textId="77777777" w:rsidR="00D80EFD" w:rsidRPr="00E8461E" w:rsidRDefault="00D80EFD" w:rsidP="00D80EFD">
      <w:pPr>
        <w:pStyle w:val="Heading4"/>
        <w:rPr>
          <w:iCs w:val="0"/>
        </w:rPr>
      </w:pPr>
      <w:r w:rsidRPr="00E8461E">
        <w:rPr>
          <w:iCs w:val="0"/>
        </w:rPr>
        <w:t>Action 6.1</w:t>
      </w:r>
    </w:p>
    <w:p w14:paraId="398F0CC7" w14:textId="77777777" w:rsidR="00D80EFD" w:rsidRPr="00E8461E" w:rsidRDefault="00D80EFD" w:rsidP="00D80EFD">
      <w:pPr>
        <w:rPr>
          <w:b/>
          <w:lang w:val="en-GB"/>
        </w:rPr>
      </w:pPr>
      <w:r w:rsidRPr="00E8461E">
        <w:rPr>
          <w:b/>
          <w:lang w:val="en-GB"/>
        </w:rPr>
        <w:t>Developing a National Heat-Health Action Plan</w:t>
      </w:r>
    </w:p>
    <w:p w14:paraId="3FEA049C" w14:textId="77777777" w:rsidR="00D80EFD" w:rsidRPr="00E8461E" w:rsidRDefault="00D80EFD" w:rsidP="00D80EFD">
      <w:r w:rsidRPr="00E8461E">
        <w:t>The Australian Government will work with states and territories to develop and publish a National Heat-Health Action Plan which promotes a nationally consistent approach to minimising the health impacts of heat. Key considerations in this plan will include:</w:t>
      </w:r>
    </w:p>
    <w:p w14:paraId="0FBFB81B" w14:textId="77777777" w:rsidR="00D80EFD" w:rsidRPr="00E8461E" w:rsidRDefault="00D80EFD" w:rsidP="00D80EFD">
      <w:pPr>
        <w:pStyle w:val="BulletUnindented"/>
      </w:pPr>
      <w:r w:rsidRPr="00E8461E">
        <w:t xml:space="preserve">Strengthening the National Heatwave Warning Framework as approaches to heatwaves develop over </w:t>
      </w:r>
      <w:proofErr w:type="gramStart"/>
      <w:r w:rsidRPr="00E8461E">
        <w:t>time</w:t>
      </w:r>
      <w:proofErr w:type="gramEnd"/>
    </w:p>
    <w:p w14:paraId="490698B5" w14:textId="77777777" w:rsidR="00D80EFD" w:rsidRPr="00E8461E" w:rsidRDefault="00D80EFD" w:rsidP="00D80EFD">
      <w:pPr>
        <w:pStyle w:val="BulletUnindented"/>
      </w:pPr>
      <w:r w:rsidRPr="00E8461E">
        <w:t>Providing guidance and support tools for health workers, community organisations, and other relevant sectors in preventing, identifying, and responding to heat-related illness</w:t>
      </w:r>
    </w:p>
    <w:p w14:paraId="1D1D3ABD" w14:textId="77777777" w:rsidR="00D80EFD" w:rsidRPr="00E8461E" w:rsidRDefault="00D80EFD" w:rsidP="00D80EFD">
      <w:pPr>
        <w:pStyle w:val="BulletUnindented"/>
      </w:pPr>
      <w:r w:rsidRPr="00E8461E">
        <w:t>Enhancing monitoring, surveillance, and data collection for heat vulnerability and health impacts</w:t>
      </w:r>
    </w:p>
    <w:p w14:paraId="0563161E" w14:textId="77777777" w:rsidR="00D80EFD" w:rsidRPr="00E8461E" w:rsidRDefault="00D80EFD" w:rsidP="00D80EFD">
      <w:pPr>
        <w:pStyle w:val="BulletUnindented"/>
      </w:pPr>
      <w:r w:rsidRPr="00E8461E">
        <w:t>Identifying and pursuing opportunities to reduce population exposure to heat (including urban heat islands)</w:t>
      </w:r>
    </w:p>
    <w:p w14:paraId="45542BE1" w14:textId="77777777" w:rsidR="00D80EFD" w:rsidRPr="00E8461E" w:rsidRDefault="00D80EFD" w:rsidP="00D80EFD">
      <w:pPr>
        <w:pStyle w:val="BulletUnindented"/>
      </w:pPr>
      <w:r w:rsidRPr="00E8461E">
        <w:t>Supporting tailored and evidence-based public health messaging about the health impacts of heat and self-protective measures</w:t>
      </w:r>
    </w:p>
    <w:p w14:paraId="69851610" w14:textId="49242C4E" w:rsidR="00D80EFD" w:rsidRPr="00E8461E" w:rsidRDefault="00D80EFD" w:rsidP="00D80EFD">
      <w:pPr>
        <w:pStyle w:val="BulletUnindented"/>
        <w:pBdr>
          <w:bottom w:val="single" w:sz="12" w:space="1" w:color="008A95" w:themeColor="accent1"/>
        </w:pBdr>
        <w:rPr>
          <w:rFonts w:eastAsiaTheme="minorEastAsia"/>
        </w:rPr>
      </w:pPr>
      <w:r w:rsidRPr="00E8461E">
        <w:t>Minimising heat-health impacts amongst at-risk groups, including occupationally exposed workers, culturally and linguistically diverse communities, and people with disabilities or reduced mobility.</w:t>
      </w:r>
    </w:p>
    <w:p w14:paraId="42D57622" w14:textId="77777777" w:rsidR="004E1A00" w:rsidRPr="00E8461E" w:rsidRDefault="004E1A00" w:rsidP="004E1A00">
      <w:pPr>
        <w:rPr>
          <w:lang w:val="en-GB"/>
        </w:rPr>
      </w:pPr>
    </w:p>
    <w:p w14:paraId="10E5DF62" w14:textId="77777777" w:rsidR="00D80EFD" w:rsidRPr="00E8461E" w:rsidRDefault="00D80EFD" w:rsidP="00D80EFD">
      <w:pPr>
        <w:pStyle w:val="Heading4"/>
        <w:rPr>
          <w:iCs w:val="0"/>
        </w:rPr>
      </w:pPr>
      <w:bookmarkStart w:id="194" w:name="_Toc149910008"/>
      <w:bookmarkStart w:id="195" w:name="_Toc149918474"/>
      <w:r w:rsidRPr="00E8461E">
        <w:rPr>
          <w:iCs w:val="0"/>
        </w:rPr>
        <w:t>Case study 14</w:t>
      </w:r>
    </w:p>
    <w:p w14:paraId="5DB75E0F" w14:textId="77777777" w:rsidR="00D80EFD" w:rsidRPr="00E8461E" w:rsidRDefault="00D80EFD" w:rsidP="00D80EFD">
      <w:pPr>
        <w:rPr>
          <w:b/>
          <w:lang w:val="en-GB"/>
        </w:rPr>
      </w:pPr>
      <w:r w:rsidRPr="00E8461E">
        <w:rPr>
          <w:b/>
          <w:lang w:val="en-GB"/>
        </w:rPr>
        <w:t>South Australian heat health warning system</w:t>
      </w:r>
    </w:p>
    <w:p w14:paraId="5EA04CC6" w14:textId="77777777" w:rsidR="00D80EFD" w:rsidRPr="00E8461E" w:rsidRDefault="00D80EFD" w:rsidP="00D80EFD">
      <w:pPr>
        <w:rPr>
          <w:lang w:val="en-GB"/>
        </w:rPr>
      </w:pPr>
      <w:r w:rsidRPr="00E8461E">
        <w:rPr>
          <w:lang w:val="en-GB"/>
        </w:rPr>
        <w:t>The South Australia heat health warning system was developed after the extreme heatwave of January 2008-2009, which led to 374 deaths and over 2000 cases of illness or injury. The South Australian warning system incorporates public heat warnings, health advisories and targeted support for at-risk groups including the elderly, those with mental health conditions and the homeless.</w:t>
      </w:r>
    </w:p>
    <w:p w14:paraId="2E92023A" w14:textId="46AE3447" w:rsidR="00F85D58" w:rsidRPr="00E8461E" w:rsidRDefault="00D80EFD" w:rsidP="00D80EFD">
      <w:pPr>
        <w:pBdr>
          <w:bottom w:val="single" w:sz="12" w:space="1" w:color="008A95" w:themeColor="accent1"/>
        </w:pBdr>
        <w:rPr>
          <w:lang w:val="en-GB"/>
        </w:rPr>
      </w:pPr>
      <w:r w:rsidRPr="00E8461E">
        <w:rPr>
          <w:lang w:val="en-GB"/>
        </w:rPr>
        <w:t>The South Australian</w:t>
      </w:r>
      <w:r w:rsidRPr="00E8461E" w:rsidDel="00A7031D">
        <w:rPr>
          <w:lang w:val="en-GB"/>
        </w:rPr>
        <w:t xml:space="preserve"> </w:t>
      </w:r>
      <w:r w:rsidRPr="00E8461E">
        <w:rPr>
          <w:lang w:val="en-GB"/>
        </w:rPr>
        <w:t xml:space="preserve">warning system supports the </w:t>
      </w:r>
      <w:proofErr w:type="spellStart"/>
      <w:r w:rsidRPr="00E8461E">
        <w:rPr>
          <w:lang w:val="en-GB"/>
        </w:rPr>
        <w:t>Telecross</w:t>
      </w:r>
      <w:proofErr w:type="spellEnd"/>
      <w:r w:rsidRPr="00E8461E">
        <w:rPr>
          <w:lang w:val="en-GB"/>
        </w:rPr>
        <w:t xml:space="preserve"> Redi program, a telephone support program conducted by the Red Cross and funded by the South Australian Department of Human Services. The program provides daily welfare check phone calls to at-risk or isolated clients. Individuals either self-register or are registered by family members, doctors, or support workers. When registered clients do not respond to a call, SA Police conduct a home welfare check. Research into</w:t>
      </w:r>
      <w:r w:rsidRPr="00E8461E" w:rsidDel="00A7031D">
        <w:rPr>
          <w:lang w:val="en-GB"/>
        </w:rPr>
        <w:t xml:space="preserve"> </w:t>
      </w:r>
      <w:r w:rsidRPr="00E8461E">
        <w:rPr>
          <w:lang w:val="en-GB"/>
        </w:rPr>
        <w:t>warning systems across the globe demonstrates they can lead to reductions in adverse health outcomes and can be cost-effective public health interventions.</w:t>
      </w:r>
      <w:r w:rsidRPr="00E8461E">
        <w:rPr>
          <w:rStyle w:val="EndnoteReference"/>
          <w:lang w:val="en-GB"/>
        </w:rPr>
        <w:endnoteReference w:id="238"/>
      </w:r>
    </w:p>
    <w:p w14:paraId="02B0833C" w14:textId="5E1D7624" w:rsidR="00D80EFD" w:rsidRPr="00E8461E" w:rsidRDefault="00D80EFD" w:rsidP="00D80EFD">
      <w:pPr>
        <w:rPr>
          <w:lang w:val="en-GB"/>
        </w:rPr>
      </w:pPr>
      <w:bookmarkStart w:id="196" w:name="_Toc151999640"/>
    </w:p>
    <w:p w14:paraId="58C22CD2" w14:textId="77777777" w:rsidR="00D80EFD" w:rsidRPr="00E8461E" w:rsidRDefault="00D80EFD" w:rsidP="00D80EFD">
      <w:pPr>
        <w:pStyle w:val="Heading4"/>
        <w:rPr>
          <w:iCs w:val="0"/>
        </w:rPr>
      </w:pPr>
      <w:r w:rsidRPr="00E8461E">
        <w:rPr>
          <w:iCs w:val="0"/>
        </w:rPr>
        <w:t>Case study 15</w:t>
      </w:r>
    </w:p>
    <w:p w14:paraId="2C3E6462" w14:textId="77777777" w:rsidR="00D80EFD" w:rsidRPr="00E8461E" w:rsidRDefault="00D80EFD" w:rsidP="00D80EFD">
      <w:pPr>
        <w:spacing w:line="259" w:lineRule="auto"/>
        <w:rPr>
          <w:b/>
          <w:lang w:val="en-GB"/>
        </w:rPr>
      </w:pPr>
      <w:r w:rsidRPr="00E8461E">
        <w:rPr>
          <w:b/>
          <w:lang w:val="en-GB"/>
        </w:rPr>
        <w:t>First Nations culture and adaptation to extreme heat</w:t>
      </w:r>
    </w:p>
    <w:p w14:paraId="709DD33F" w14:textId="77777777" w:rsidR="00D80EFD" w:rsidRPr="00E8461E" w:rsidRDefault="00D80EFD" w:rsidP="00D80EFD">
      <w:pPr>
        <w:rPr>
          <w:lang w:val="en-GB"/>
        </w:rPr>
      </w:pPr>
      <w:r w:rsidRPr="00E8461E">
        <w:rPr>
          <w:lang w:val="en-GB"/>
        </w:rPr>
        <w:t>There is growing recognition that First Nations cultures can provide important insights into climate adaptation. Already one of the hottest places on earth, the Northern Territory is especially susceptible to the effects of climate change. A 2023 study published in The Lancet Planetary Health found the traditional cultural practices of Aboriginal people living in the Northern Territory enable them to withstand hot weather better than non-Indigenous Australians.</w:t>
      </w:r>
      <w:r w:rsidRPr="00E8461E">
        <w:rPr>
          <w:rStyle w:val="EndnoteReference"/>
          <w:lang w:val="en-GB"/>
        </w:rPr>
        <w:endnoteReference w:id="239"/>
      </w:r>
      <w:r w:rsidRPr="00E8461E">
        <w:rPr>
          <w:lang w:val="en-GB"/>
        </w:rPr>
        <w:t xml:space="preserve"> These practices, developed over many generations, are based on First Nations people’s seasonal knowledge and harmonious understanding of culture and the environment. They involve avoiding physical activity during the hottest times in the day, for example by aligning social and cultural practices with cooler periods.</w:t>
      </w:r>
    </w:p>
    <w:p w14:paraId="71BE1B4F" w14:textId="77777777" w:rsidR="00D80EFD" w:rsidRPr="00E8461E" w:rsidRDefault="00D80EFD" w:rsidP="00D80EFD">
      <w:pPr>
        <w:rPr>
          <w:lang w:val="en-GB"/>
        </w:rPr>
      </w:pPr>
      <w:r w:rsidRPr="00E8461E">
        <w:rPr>
          <w:lang w:val="en-GB"/>
        </w:rPr>
        <w:t>Warumungu elder and co-author of the study, Norman Frank Tjupurrula, reflected on the role of culture in supporting First Nations people’s resilience to extreme weather as part of the study’s findings:</w:t>
      </w:r>
    </w:p>
    <w:p w14:paraId="252A969E" w14:textId="77777777" w:rsidR="00D80EFD" w:rsidRPr="00E8461E" w:rsidRDefault="00D80EFD" w:rsidP="00D80EFD">
      <w:pPr>
        <w:ind w:left="720"/>
        <w:rPr>
          <w:lang w:val="en-GB"/>
        </w:rPr>
      </w:pPr>
      <w:r w:rsidRPr="00E8461E">
        <w:rPr>
          <w:lang w:val="en-GB"/>
        </w:rPr>
        <w:t xml:space="preserve">“Our culture is as old as this </w:t>
      </w:r>
      <w:proofErr w:type="gramStart"/>
      <w:r w:rsidRPr="00E8461E">
        <w:rPr>
          <w:lang w:val="en-GB"/>
        </w:rPr>
        <w:t>country,</w:t>
      </w:r>
      <w:proofErr w:type="gramEnd"/>
      <w:r w:rsidRPr="00E8461E">
        <w:rPr>
          <w:lang w:val="en-GB"/>
        </w:rPr>
        <w:t xml:space="preserve"> it is very old. And how we live now, it’s changing, but our culture comes from the old ways. In the old days, in the wintertime, people would walk out in the desert, collecting seeds and bush potato in the desert when it was cool. In summertime they would live in the river and creek country, near the water. In the very hot </w:t>
      </w:r>
      <w:proofErr w:type="gramStart"/>
      <w:r w:rsidRPr="00E8461E">
        <w:rPr>
          <w:lang w:val="en-GB"/>
        </w:rPr>
        <w:t>weather</w:t>
      </w:r>
      <w:proofErr w:type="gramEnd"/>
      <w:r w:rsidRPr="00E8461E">
        <w:rPr>
          <w:lang w:val="en-GB"/>
        </w:rPr>
        <w:t xml:space="preserve"> they’d be around the spring country where they could get water.”</w:t>
      </w:r>
    </w:p>
    <w:p w14:paraId="2B4A3439" w14:textId="6DE0FB0B" w:rsidR="00D80EFD" w:rsidRPr="00E8461E" w:rsidRDefault="00D80EFD" w:rsidP="00D80EFD">
      <w:pPr>
        <w:pBdr>
          <w:bottom w:val="single" w:sz="12" w:space="1" w:color="008A95" w:themeColor="accent1"/>
        </w:pBdr>
        <w:rPr>
          <w:lang w:val="en-GB"/>
        </w:rPr>
      </w:pPr>
      <w:r w:rsidRPr="00E8461E">
        <w:rPr>
          <w:lang w:val="en-GB"/>
        </w:rPr>
        <w:t xml:space="preserve">Looking to First Nations people’s cultural practices provides Australian society with an opportunity to rethink the way we work, </w:t>
      </w:r>
      <w:proofErr w:type="gramStart"/>
      <w:r w:rsidRPr="00E8461E">
        <w:rPr>
          <w:lang w:val="en-GB"/>
        </w:rPr>
        <w:t>live</w:t>
      </w:r>
      <w:proofErr w:type="gramEnd"/>
      <w:r w:rsidRPr="00E8461E">
        <w:rPr>
          <w:lang w:val="en-GB"/>
        </w:rPr>
        <w:t xml:space="preserve"> and play to build resilience to the health impacts of the climate change.</w:t>
      </w:r>
      <w:r w:rsidRPr="00E8461E" w:rsidDel="003004AF">
        <w:rPr>
          <w:lang w:val="en-GB"/>
        </w:rPr>
        <w:t xml:space="preserve"> </w:t>
      </w:r>
      <w:r w:rsidRPr="00E8461E">
        <w:rPr>
          <w:lang w:val="en-GB"/>
        </w:rPr>
        <w:t>Non-Indigenous Australians can also protect themselves from extreme heat by avoiding physical exertion during the hottest times of the day.</w:t>
      </w:r>
    </w:p>
    <w:p w14:paraId="7D11531F" w14:textId="4B43CA30" w:rsidR="00BA055E" w:rsidRPr="00E8461E" w:rsidRDefault="00C25776" w:rsidP="00CE2599">
      <w:pPr>
        <w:pStyle w:val="Heading2"/>
        <w:rPr>
          <w:lang w:val="en-GB"/>
        </w:rPr>
      </w:pPr>
      <w:r w:rsidRPr="00E8461E">
        <w:rPr>
          <w:lang w:val="en-GB"/>
        </w:rPr>
        <w:t>6</w:t>
      </w:r>
      <w:r w:rsidR="00B174CB" w:rsidRPr="00E8461E">
        <w:rPr>
          <w:lang w:val="en-GB"/>
        </w:rPr>
        <w:t xml:space="preserve">.2 </w:t>
      </w:r>
      <w:r w:rsidR="00AF7ED5" w:rsidRPr="00E8461E">
        <w:rPr>
          <w:lang w:val="en-GB"/>
        </w:rPr>
        <w:t>Air quality</w:t>
      </w:r>
      <w:bookmarkEnd w:id="196"/>
    </w:p>
    <w:bookmarkEnd w:id="194"/>
    <w:bookmarkEnd w:id="195"/>
    <w:p w14:paraId="1784A5CD" w14:textId="1AB617F8" w:rsidR="00753D53" w:rsidRPr="00E8461E" w:rsidRDefault="00AF7ED5" w:rsidP="004A60D1">
      <w:pPr>
        <w:rPr>
          <w:rFonts w:ascii="Calibri" w:eastAsia="Calibri" w:hAnsi="Calibri" w:cs="Calibri"/>
          <w:lang w:val="en-GB"/>
        </w:rPr>
      </w:pPr>
      <w:r w:rsidRPr="00E8461E">
        <w:rPr>
          <w:rFonts w:ascii="Calibri" w:eastAsia="Calibri" w:hAnsi="Calibri" w:cs="Calibri"/>
          <w:lang w:val="en-GB"/>
        </w:rPr>
        <w:t xml:space="preserve">Climate change adversely affects air quality via </w:t>
      </w:r>
      <w:proofErr w:type="gramStart"/>
      <w:r w:rsidRPr="00E8461E">
        <w:rPr>
          <w:rFonts w:ascii="Calibri" w:eastAsia="Calibri" w:hAnsi="Calibri" w:cs="Calibri"/>
          <w:lang w:val="en-GB"/>
        </w:rPr>
        <w:t>a number of</w:t>
      </w:r>
      <w:proofErr w:type="gramEnd"/>
      <w:r w:rsidRPr="00E8461E">
        <w:rPr>
          <w:rFonts w:ascii="Calibri" w:eastAsia="Calibri" w:hAnsi="Calibri" w:cs="Calibri"/>
          <w:lang w:val="en-GB"/>
        </w:rPr>
        <w:t xml:space="preserve"> intersecting pathways </w:t>
      </w:r>
      <w:r w:rsidR="008C0696" w:rsidRPr="00E8461E">
        <w:rPr>
          <w:rFonts w:ascii="Calibri" w:eastAsia="Calibri" w:hAnsi="Calibri" w:cs="Calibri"/>
          <w:lang w:val="en-GB"/>
        </w:rPr>
        <w:t xml:space="preserve">(see Figure </w:t>
      </w:r>
      <w:r w:rsidR="003E7AB7" w:rsidRPr="00E8461E">
        <w:rPr>
          <w:rFonts w:ascii="Calibri" w:eastAsia="Calibri" w:hAnsi="Calibri" w:cs="Calibri"/>
          <w:lang w:val="en-GB"/>
        </w:rPr>
        <w:t>13</w:t>
      </w:r>
      <w:r w:rsidR="008C0696" w:rsidRPr="00E8461E">
        <w:rPr>
          <w:rFonts w:ascii="Calibri" w:eastAsia="Calibri" w:hAnsi="Calibri" w:cs="Calibri"/>
          <w:lang w:val="en-GB"/>
        </w:rPr>
        <w:t>).</w:t>
      </w:r>
      <w:r w:rsidR="004A60D1" w:rsidRPr="00E8461E">
        <w:rPr>
          <w:rFonts w:ascii="Calibri" w:eastAsia="Calibri" w:hAnsi="Calibri" w:cs="Calibri"/>
          <w:lang w:val="en-GB"/>
        </w:rPr>
        <w:t xml:space="preserve"> Air quality is a major environmental determinant of health and </w:t>
      </w:r>
      <w:r w:rsidR="004A60D1" w:rsidRPr="00E8461E">
        <w:rPr>
          <w:lang w:val="en-GB"/>
        </w:rPr>
        <w:t>is recognised as a major global public health risk.</w:t>
      </w:r>
      <w:r w:rsidR="004A60D1" w:rsidRPr="00E8461E">
        <w:rPr>
          <w:rStyle w:val="EndnoteReference"/>
          <w:lang w:val="en-GB"/>
        </w:rPr>
        <w:endnoteReference w:id="240"/>
      </w:r>
      <w:r w:rsidR="004A60D1" w:rsidRPr="00E8461E">
        <w:rPr>
          <w:rFonts w:ascii="Calibri" w:eastAsia="Calibri" w:hAnsi="Calibri" w:cs="Calibri"/>
          <w:lang w:val="en-GB"/>
        </w:rPr>
        <w:t xml:space="preserve"> Air pollution – indoor and outdoor, from both biogenic (natural) and anthropogenic (human) sources – is associated with a wide range of adverse health effects</w:t>
      </w:r>
      <w:r w:rsidR="00DA5EDB" w:rsidRPr="00E8461E">
        <w:rPr>
          <w:rFonts w:ascii="Calibri" w:eastAsia="Calibri" w:hAnsi="Calibri" w:cs="Calibri"/>
          <w:lang w:val="en-GB"/>
        </w:rPr>
        <w:t>, many of which are inequitably distributed</w:t>
      </w:r>
      <w:r w:rsidR="004A60D1" w:rsidRPr="00E8461E">
        <w:rPr>
          <w:rFonts w:ascii="Calibri" w:eastAsia="Calibri" w:hAnsi="Calibri" w:cs="Calibri"/>
          <w:lang w:val="en-GB"/>
        </w:rPr>
        <w:t>.</w:t>
      </w:r>
    </w:p>
    <w:p w14:paraId="4CD720D5" w14:textId="03798CBE" w:rsidR="00BA055E" w:rsidRPr="00E8461E" w:rsidRDefault="004A60D1" w:rsidP="004A60D1">
      <w:pPr>
        <w:rPr>
          <w:lang w:val="en-GB"/>
        </w:rPr>
      </w:pPr>
      <w:r w:rsidRPr="00E8461E">
        <w:rPr>
          <w:rFonts w:ascii="Calibri" w:eastAsia="Calibri" w:hAnsi="Calibri" w:cs="Calibri"/>
          <w:lang w:val="en-GB"/>
        </w:rPr>
        <w:t xml:space="preserve">According to the </w:t>
      </w:r>
      <w:r w:rsidR="00C91FD4" w:rsidRPr="00E8461E">
        <w:rPr>
          <w:rFonts w:ascii="Calibri" w:eastAsia="Calibri" w:hAnsi="Calibri" w:cs="Calibri"/>
          <w:lang w:val="en-GB"/>
        </w:rPr>
        <w:t>World Health Organization</w:t>
      </w:r>
      <w:r w:rsidRPr="00E8461E">
        <w:rPr>
          <w:rFonts w:ascii="Calibri" w:eastAsia="Calibri" w:hAnsi="Calibri" w:cs="Calibri"/>
          <w:lang w:val="en-GB"/>
        </w:rPr>
        <w:t>, “the burden of disease attributable to air pollution is now estimated to be on a par with other major global health risks such as unhealthy diet and tobacco smoking.</w:t>
      </w:r>
      <w:r w:rsidRPr="00E8461E">
        <w:t>”</w:t>
      </w:r>
      <w:r w:rsidRPr="00E8461E">
        <w:rPr>
          <w:rStyle w:val="EndnoteReference"/>
          <w:rFonts w:ascii="Calibri" w:eastAsia="Calibri" w:hAnsi="Calibri" w:cs="Calibri"/>
          <w:lang w:val="en-GB"/>
        </w:rPr>
        <w:endnoteReference w:id="241"/>
      </w:r>
      <w:r w:rsidRPr="00E8461E">
        <w:t xml:space="preserve"> </w:t>
      </w:r>
      <w:r w:rsidRPr="00E8461E">
        <w:rPr>
          <w:rFonts w:ascii="Calibri" w:eastAsia="Calibri" w:hAnsi="Calibri" w:cs="Calibri"/>
          <w:lang w:val="en-GB"/>
        </w:rPr>
        <w:t xml:space="preserve">Moreover, </w:t>
      </w:r>
      <w:r w:rsidRPr="00E8461E">
        <w:rPr>
          <w:lang w:val="en-GB"/>
        </w:rPr>
        <w:t>air pollution from coal, oil and gas is responsible for 8.7 million deaths globally each year.</w:t>
      </w:r>
      <w:r w:rsidRPr="00E8461E">
        <w:rPr>
          <w:rStyle w:val="EndnoteReference"/>
          <w:lang w:val="en-GB"/>
        </w:rPr>
        <w:endnoteReference w:id="242"/>
      </w:r>
      <w:r w:rsidRPr="00E8461E">
        <w:rPr>
          <w:lang w:val="en-GB"/>
        </w:rPr>
        <w:t xml:space="preserve"> </w:t>
      </w:r>
      <w:r w:rsidR="004C04B6" w:rsidRPr="00E8461E">
        <w:rPr>
          <w:lang w:val="en-GB"/>
        </w:rPr>
        <w:t xml:space="preserve">Alongside their contribution to </w:t>
      </w:r>
      <w:r w:rsidR="001050BC" w:rsidRPr="00E8461E">
        <w:rPr>
          <w:lang w:val="en-GB"/>
        </w:rPr>
        <w:t>greenhouse gas emissions, c</w:t>
      </w:r>
      <w:r w:rsidRPr="00E8461E">
        <w:rPr>
          <w:lang w:val="en-GB"/>
        </w:rPr>
        <w:t>ombustion-based electricity, transport, heating, resource extraction, industry, agricultural practices and waste disposal all produce noxious pollutants that are harmful to human health, such as particulate matter (PM</w:t>
      </w:r>
      <w:r w:rsidRPr="00E8461E">
        <w:rPr>
          <w:vertAlign w:val="subscript"/>
          <w:lang w:val="en-GB"/>
        </w:rPr>
        <w:t>2.5</w:t>
      </w:r>
      <w:r w:rsidRPr="00E8461E">
        <w:rPr>
          <w:lang w:val="en-GB"/>
        </w:rPr>
        <w:t>) and nitrogen dioxide (NO</w:t>
      </w:r>
      <w:r w:rsidRPr="00E8461E">
        <w:rPr>
          <w:vertAlign w:val="subscript"/>
          <w:lang w:val="en-GB"/>
        </w:rPr>
        <w:t>2</w:t>
      </w:r>
      <w:r w:rsidRPr="00E8461E">
        <w:rPr>
          <w:lang w:val="en-GB"/>
        </w:rPr>
        <w:t>)</w:t>
      </w:r>
      <w:r w:rsidR="00526233" w:rsidRPr="00E8461E">
        <w:rPr>
          <w:lang w:val="en-GB"/>
        </w:rPr>
        <w:t>.</w:t>
      </w:r>
      <w:r w:rsidR="008F5E9D" w:rsidRPr="00E8461E">
        <w:rPr>
          <w:rStyle w:val="EndnoteReference"/>
          <w:lang w:val="en-GB"/>
        </w:rPr>
        <w:endnoteReference w:id="243"/>
      </w:r>
      <w:r w:rsidRPr="00E8461E">
        <w:rPr>
          <w:lang w:val="en-GB"/>
        </w:rPr>
        <w:t xml:space="preserve"> The health system also contributes to local air pollution.</w:t>
      </w:r>
      <w:r w:rsidRPr="00E8461E">
        <w:rPr>
          <w:rStyle w:val="EndnoteReference"/>
          <w:lang w:val="en-GB"/>
        </w:rPr>
        <w:endnoteReference w:id="244"/>
      </w:r>
    </w:p>
    <w:p w14:paraId="185C0E89" w14:textId="46D01080" w:rsidR="00AF7ED5" w:rsidRPr="00E8461E" w:rsidRDefault="00AF7ED5" w:rsidP="00AF7ED5">
      <w:pPr>
        <w:rPr>
          <w:rFonts w:ascii="Calibri" w:eastAsia="Calibri" w:hAnsi="Calibri" w:cs="Calibri"/>
          <w:lang w:val="en-GB"/>
        </w:rPr>
      </w:pPr>
      <w:r w:rsidRPr="00E8461E">
        <w:rPr>
          <w:rFonts w:ascii="Calibri" w:eastAsia="Calibri" w:hAnsi="Calibri" w:cs="Calibri"/>
          <w:lang w:val="en-GB"/>
        </w:rPr>
        <w:t>Certain populations are particularly susceptible to the health impacts of poor air quality. These include children, pregnant women and older people, people living and/or working in low socio-economic status communities</w:t>
      </w:r>
      <w:r w:rsidR="000B71D7" w:rsidRPr="00E8461E">
        <w:rPr>
          <w:rFonts w:ascii="Calibri" w:eastAsia="Calibri" w:hAnsi="Calibri" w:cs="Calibri"/>
          <w:lang w:val="en-GB"/>
        </w:rPr>
        <w:t xml:space="preserve">, </w:t>
      </w:r>
      <w:r w:rsidR="0064685E" w:rsidRPr="00E8461E">
        <w:rPr>
          <w:rFonts w:ascii="Calibri" w:eastAsia="Calibri" w:hAnsi="Calibri" w:cs="Calibri"/>
          <w:lang w:val="en-GB"/>
        </w:rPr>
        <w:t>people</w:t>
      </w:r>
      <w:r w:rsidR="000B71D7" w:rsidRPr="00E8461E">
        <w:rPr>
          <w:rFonts w:ascii="Calibri" w:eastAsia="Calibri" w:hAnsi="Calibri" w:cs="Calibri"/>
          <w:lang w:val="en-GB"/>
        </w:rPr>
        <w:t xml:space="preserve"> with </w:t>
      </w:r>
      <w:r w:rsidR="00AE5AF8" w:rsidRPr="00E8461E">
        <w:rPr>
          <w:rFonts w:ascii="Calibri" w:eastAsia="Calibri" w:hAnsi="Calibri" w:cs="Calibri"/>
          <w:lang w:val="en-GB"/>
        </w:rPr>
        <w:t xml:space="preserve">seasonal </w:t>
      </w:r>
      <w:r w:rsidR="0064685E" w:rsidRPr="00E8461E">
        <w:rPr>
          <w:rFonts w:ascii="Calibri" w:eastAsia="Calibri" w:hAnsi="Calibri" w:cs="Calibri"/>
          <w:lang w:val="en-GB"/>
        </w:rPr>
        <w:t>allergies and hay fever,</w:t>
      </w:r>
      <w:r w:rsidRPr="00E8461E">
        <w:rPr>
          <w:rFonts w:ascii="Calibri" w:eastAsia="Calibri" w:hAnsi="Calibri" w:cs="Calibri"/>
          <w:lang w:val="en-GB"/>
        </w:rPr>
        <w:t xml:space="preserve"> and those with chronic respiratory or cardiovascular conditions such as asthma or ischaemic heart disease. Research has found exposure to air </w:t>
      </w:r>
      <w:r w:rsidRPr="00E8461E">
        <w:rPr>
          <w:rFonts w:ascii="Calibri" w:eastAsia="Calibri" w:hAnsi="Calibri" w:cs="Calibri"/>
          <w:lang w:val="en-GB"/>
        </w:rPr>
        <w:lastRenderedPageBreak/>
        <w:t xml:space="preserve">pollution is associated with numerous adverse reproductive health outcomes, including decreased fertility, preterm </w:t>
      </w:r>
      <w:proofErr w:type="gramStart"/>
      <w:r w:rsidRPr="00E8461E">
        <w:rPr>
          <w:rFonts w:ascii="Calibri" w:eastAsia="Calibri" w:hAnsi="Calibri" w:cs="Calibri"/>
          <w:lang w:val="en-GB"/>
        </w:rPr>
        <w:t>births</w:t>
      </w:r>
      <w:proofErr w:type="gramEnd"/>
      <w:r w:rsidRPr="00E8461E">
        <w:rPr>
          <w:rFonts w:ascii="Calibri" w:eastAsia="Calibri" w:hAnsi="Calibri" w:cs="Calibri"/>
          <w:lang w:val="en-GB"/>
        </w:rPr>
        <w:t xml:space="preserve"> and birth defects.</w:t>
      </w:r>
      <w:r w:rsidRPr="00E8461E">
        <w:rPr>
          <w:rStyle w:val="EndnoteReference"/>
          <w:rFonts w:ascii="Calibri" w:eastAsia="Calibri" w:hAnsi="Calibri" w:cs="Calibri"/>
          <w:lang w:val="en-GB"/>
        </w:rPr>
        <w:endnoteReference w:id="245"/>
      </w:r>
      <w:r w:rsidRPr="00E8461E">
        <w:rPr>
          <w:rFonts w:ascii="Calibri" w:eastAsia="Calibri" w:hAnsi="Calibri" w:cs="Calibri"/>
          <w:lang w:val="en-GB"/>
        </w:rPr>
        <w:t xml:space="preserve"> In the coming decades, key demographic and epidemiological trends – including population growth and ageing, a growing burden of air pollution-sensitive chronic disease, and increasing urbanisation – are likely to increase </w:t>
      </w:r>
      <w:r w:rsidR="004960D1" w:rsidRPr="00E8461E">
        <w:rPr>
          <w:rFonts w:ascii="Calibri" w:eastAsia="Calibri" w:hAnsi="Calibri" w:cs="Calibri"/>
          <w:lang w:val="en-GB"/>
        </w:rPr>
        <w:t xml:space="preserve">population-level </w:t>
      </w:r>
      <w:r w:rsidRPr="00E8461E">
        <w:rPr>
          <w:rFonts w:ascii="Calibri" w:eastAsia="Calibri" w:hAnsi="Calibri" w:cs="Calibri"/>
          <w:lang w:val="en-GB"/>
        </w:rPr>
        <w:t>vulnerability to the health impacts of air pollution.</w:t>
      </w:r>
    </w:p>
    <w:p w14:paraId="6148715F" w14:textId="6C20A21E" w:rsidR="008821D3" w:rsidRPr="00E8461E" w:rsidRDefault="008821D3" w:rsidP="008821D3">
      <w:pPr>
        <w:pStyle w:val="Caption"/>
      </w:pPr>
      <w:r w:rsidRPr="00E8461E">
        <w:t xml:space="preserve">Figure </w:t>
      </w:r>
      <w:r w:rsidR="00B07FA8">
        <w:fldChar w:fldCharType="begin"/>
      </w:r>
      <w:r w:rsidR="00B07FA8">
        <w:instrText xml:space="preserve"> SEQ Figure \* ARABIC</w:instrText>
      </w:r>
      <w:r w:rsidR="00B07FA8">
        <w:instrText xml:space="preserve"> </w:instrText>
      </w:r>
      <w:r w:rsidR="00B07FA8">
        <w:fldChar w:fldCharType="separate"/>
      </w:r>
      <w:r w:rsidR="003E7FC6" w:rsidRPr="00E8461E">
        <w:rPr>
          <w:noProof/>
        </w:rPr>
        <w:t>13</w:t>
      </w:r>
      <w:r w:rsidR="00B07FA8">
        <w:rPr>
          <w:noProof/>
        </w:rPr>
        <w:fldChar w:fldCharType="end"/>
      </w:r>
      <w:r w:rsidRPr="00E8461E">
        <w:t xml:space="preserve"> The impacts of climate change on air quality</w:t>
      </w:r>
    </w:p>
    <w:p w14:paraId="4B59480F" w14:textId="77777777" w:rsidR="008821D3" w:rsidRPr="00E8461E" w:rsidRDefault="008821D3" w:rsidP="008821D3">
      <w:pPr>
        <w:keepNext/>
      </w:pPr>
      <w:r w:rsidRPr="00E8461E">
        <w:rPr>
          <w:rFonts w:ascii="Calibri" w:eastAsia="Calibri" w:hAnsi="Calibri" w:cs="Calibri"/>
          <w:noProof/>
          <w:lang w:val="en-GB"/>
        </w:rPr>
        <w:drawing>
          <wp:inline distT="0" distB="0" distL="0" distR="0" wp14:anchorId="7D31375A" wp14:editId="567535EB">
            <wp:extent cx="6119854" cy="4600575"/>
            <wp:effectExtent l="0" t="0" r="0" b="0"/>
            <wp:docPr id="24" name="Picture 24" descr="A diagram of the impacts of climate change on air quality which lists:&#10;• Higher temperatures: Heat increases the formation and stagnation of air pollutants such as ozone and particulate matter.&#10;• Aeroallergens: Climate change affects the concentration, distribution, and allergenicity of aeroallergens such as pollens.&#10;• Bushfires and storms: Climate and extreme weather events such as bushfires and dust storms cause ambient air pollution.&#10;• Indoor air quality: Increased rainfall and flooding can cause damp and mould to proliferate in households, with adverse effects on indoor ai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the impacts of climate change on air quality which lists:&#10;• Higher temperatures: Heat increases the formation and stagnation of air pollutants such as ozone and particulate matter.&#10;• Aeroallergens: Climate change affects the concentration, distribution, and allergenicity of aeroallergens such as pollens.&#10;• Bushfires and storms: Climate and extreme weather events such as bushfires and dust storms cause ambient air pollution.&#10;• Indoor air quality: Increased rainfall and flooding can cause damp and mould to proliferate in households, with adverse effects on indoor air quality."/>
                    <pic:cNvPicPr/>
                  </pic:nvPicPr>
                  <pic:blipFill rotWithShape="1">
                    <a:blip r:embed="rId40" cstate="print">
                      <a:extLst>
                        <a:ext uri="{28A0092B-C50C-407E-A947-70E740481C1C}">
                          <a14:useLocalDpi xmlns:a14="http://schemas.microsoft.com/office/drawing/2010/main" val="0"/>
                        </a:ext>
                      </a:extLst>
                    </a:blip>
                    <a:srcRect t="23723" b="21186"/>
                    <a:stretch/>
                  </pic:blipFill>
                  <pic:spPr bwMode="auto">
                    <a:xfrm>
                      <a:off x="0" y="0"/>
                      <a:ext cx="6120384" cy="4600974"/>
                    </a:xfrm>
                    <a:prstGeom prst="rect">
                      <a:avLst/>
                    </a:prstGeom>
                    <a:ln>
                      <a:noFill/>
                    </a:ln>
                    <a:extLst>
                      <a:ext uri="{53640926-AAD7-44D8-BBD7-CCE9431645EC}">
                        <a14:shadowObscured xmlns:a14="http://schemas.microsoft.com/office/drawing/2010/main"/>
                      </a:ext>
                    </a:extLst>
                  </pic:spPr>
                </pic:pic>
              </a:graphicData>
            </a:graphic>
          </wp:inline>
        </w:drawing>
      </w:r>
    </w:p>
    <w:p w14:paraId="6FD7D4EA" w14:textId="36FE0D84" w:rsidR="00AF7ED5" w:rsidRPr="00E8461E" w:rsidRDefault="00AF7ED5" w:rsidP="00AF7ED5">
      <w:pPr>
        <w:rPr>
          <w:rFonts w:ascii="Calibri" w:eastAsia="Calibri" w:hAnsi="Calibri" w:cs="Calibri"/>
          <w:lang w:val="en-GB"/>
        </w:rPr>
      </w:pPr>
      <w:r w:rsidRPr="00E8461E">
        <w:rPr>
          <w:rFonts w:ascii="Calibri" w:eastAsia="Calibri" w:hAnsi="Calibri" w:cs="Calibri"/>
          <w:lang w:val="en-GB"/>
        </w:rPr>
        <w:t xml:space="preserve">Several recent events have highlighted and increased awareness of the health impacts of poor air quality. Smoke from the 2019/2020 Black Summer bushfires affected an estimated 80% of the Australian population at some point and caused </w:t>
      </w:r>
      <w:r w:rsidR="00F96A88" w:rsidRPr="00E8461E">
        <w:rPr>
          <w:rFonts w:ascii="Calibri" w:eastAsia="Calibri" w:hAnsi="Calibri" w:cs="Calibri"/>
          <w:lang w:val="en-GB"/>
        </w:rPr>
        <w:t xml:space="preserve">at least </w:t>
      </w:r>
      <w:r w:rsidRPr="00E8461E">
        <w:rPr>
          <w:rFonts w:ascii="Calibri" w:eastAsia="Calibri" w:hAnsi="Calibri" w:cs="Calibri"/>
          <w:lang w:val="en-GB"/>
        </w:rPr>
        <w:t>417 premature deaths, more than 3000 hospital admissions, and more than 1000 asthma presentations at emergency departments.</w:t>
      </w:r>
      <w:r w:rsidR="004C0C21" w:rsidRPr="00E8461E">
        <w:rPr>
          <w:rStyle w:val="EndnoteReference"/>
          <w:rFonts w:ascii="Calibri" w:eastAsia="Calibri" w:hAnsi="Calibri" w:cs="Calibri"/>
          <w:lang w:val="en-GB"/>
        </w:rPr>
        <w:endnoteReference w:id="246"/>
      </w:r>
      <w:r w:rsidR="004C0C21" w:rsidRPr="00E8461E">
        <w:rPr>
          <w:vertAlign w:val="superscript"/>
        </w:rPr>
        <w:t>,</w:t>
      </w:r>
      <w:r w:rsidRPr="00E8461E">
        <w:rPr>
          <w:rStyle w:val="EndnoteReference"/>
          <w:rFonts w:ascii="Calibri" w:eastAsia="Calibri" w:hAnsi="Calibri" w:cs="Calibri"/>
          <w:lang w:val="en-GB"/>
        </w:rPr>
        <w:endnoteReference w:id="247"/>
      </w:r>
      <w:r w:rsidRPr="00E8461E">
        <w:rPr>
          <w:rFonts w:ascii="Calibri" w:eastAsia="Calibri" w:hAnsi="Calibri" w:cs="Calibri"/>
          <w:lang w:val="en-GB"/>
        </w:rPr>
        <w:t xml:space="preserve"> </w:t>
      </w:r>
      <w:r w:rsidR="00461A4C" w:rsidRPr="00E8461E">
        <w:rPr>
          <w:rFonts w:ascii="Calibri" w:eastAsia="Calibri" w:hAnsi="Calibri" w:cs="Calibri"/>
          <w:lang w:val="en-GB"/>
        </w:rPr>
        <w:t>Climate change affects the concentration of pollen in the air and consequently the frequency and severity of thunderstorm asthma epidemics.</w:t>
      </w:r>
      <w:r w:rsidR="00BA6596" w:rsidRPr="00E8461E">
        <w:rPr>
          <w:rStyle w:val="EndnoteReference"/>
          <w:rFonts w:ascii="Calibri" w:eastAsia="Calibri" w:hAnsi="Calibri" w:cs="Calibri"/>
          <w:lang w:val="en-GB"/>
        </w:rPr>
        <w:endnoteReference w:id="248"/>
      </w:r>
      <w:r w:rsidRPr="00E8461E">
        <w:rPr>
          <w:rFonts w:ascii="Calibri" w:eastAsia="Calibri" w:hAnsi="Calibri" w:cs="Calibri"/>
          <w:lang w:val="en-GB"/>
        </w:rPr>
        <w:t xml:space="preserve"> In 2016, Melbourne was affected by </w:t>
      </w:r>
      <w:r w:rsidR="00FF47E6" w:rsidRPr="00E8461E">
        <w:rPr>
          <w:rFonts w:ascii="Calibri" w:eastAsia="Calibri" w:hAnsi="Calibri" w:cs="Calibri"/>
          <w:lang w:val="en-GB"/>
        </w:rPr>
        <w:t>the world’s largest</w:t>
      </w:r>
      <w:r w:rsidR="00F97CE8" w:rsidRPr="00E8461E">
        <w:rPr>
          <w:rFonts w:ascii="Calibri" w:eastAsia="Calibri" w:hAnsi="Calibri" w:cs="Calibri"/>
          <w:lang w:val="en-GB"/>
        </w:rPr>
        <w:t xml:space="preserve"> epidemic</w:t>
      </w:r>
      <w:r w:rsidRPr="00E8461E">
        <w:rPr>
          <w:rFonts w:ascii="Calibri" w:eastAsia="Calibri" w:hAnsi="Calibri" w:cs="Calibri"/>
          <w:lang w:val="en-GB"/>
        </w:rPr>
        <w:t xml:space="preserve"> thunderstorm asthma </w:t>
      </w:r>
      <w:r w:rsidR="00F97CE8" w:rsidRPr="00E8461E">
        <w:rPr>
          <w:rFonts w:ascii="Calibri" w:eastAsia="Calibri" w:hAnsi="Calibri" w:cs="Calibri"/>
          <w:lang w:val="en-GB"/>
        </w:rPr>
        <w:t>event</w:t>
      </w:r>
      <w:r w:rsidRPr="00E8461E">
        <w:rPr>
          <w:rFonts w:ascii="Calibri" w:eastAsia="Calibri" w:hAnsi="Calibri" w:cs="Calibri"/>
          <w:lang w:val="en-GB"/>
        </w:rPr>
        <w:t>, which resulted in ten deaths and thousands of people experiencing breathing difficulties</w:t>
      </w:r>
      <w:r w:rsidR="00BD2C01" w:rsidRPr="00E8461E">
        <w:rPr>
          <w:rFonts w:ascii="Calibri" w:eastAsia="Calibri" w:hAnsi="Calibri" w:cs="Calibri"/>
          <w:lang w:val="en-GB"/>
        </w:rPr>
        <w:t xml:space="preserve"> (see case study 1)</w:t>
      </w:r>
      <w:r w:rsidR="00526233" w:rsidRPr="00E8461E">
        <w:rPr>
          <w:rFonts w:ascii="Calibri" w:eastAsia="Calibri" w:hAnsi="Calibri" w:cs="Calibri"/>
          <w:lang w:val="en-GB"/>
        </w:rPr>
        <w:t>.</w:t>
      </w:r>
      <w:r w:rsidR="0098120B" w:rsidRPr="00E8461E">
        <w:rPr>
          <w:rStyle w:val="EndnoteReference"/>
          <w:rFonts w:ascii="Calibri" w:eastAsia="Calibri" w:hAnsi="Calibri" w:cs="Calibri"/>
          <w:lang w:val="en-GB"/>
        </w:rPr>
        <w:endnoteReference w:id="249"/>
      </w:r>
      <w:r w:rsidRPr="00E8461E">
        <w:rPr>
          <w:rFonts w:ascii="Calibri" w:eastAsia="Calibri" w:hAnsi="Calibri" w:cs="Calibri"/>
          <w:lang w:val="en-GB"/>
        </w:rPr>
        <w:t xml:space="preserve"> Climate change is likely to lead to more frequent and widespread episodes of bushfire smoke</w:t>
      </w:r>
      <w:r w:rsidR="00864A5D" w:rsidRPr="00E8461E">
        <w:rPr>
          <w:rFonts w:ascii="Calibri" w:eastAsia="Calibri" w:hAnsi="Calibri" w:cs="Calibri"/>
          <w:lang w:val="en-GB"/>
        </w:rPr>
        <w:t>, ozone pollution,</w:t>
      </w:r>
      <w:r w:rsidRPr="00E8461E">
        <w:rPr>
          <w:rFonts w:ascii="Calibri" w:eastAsia="Calibri" w:hAnsi="Calibri" w:cs="Calibri"/>
          <w:lang w:val="en-GB"/>
        </w:rPr>
        <w:t xml:space="preserve"> and thunderstorm asthma.</w:t>
      </w:r>
      <w:r w:rsidRPr="00E8461E">
        <w:rPr>
          <w:rStyle w:val="EndnoteReference"/>
          <w:rFonts w:ascii="Calibri" w:eastAsia="Calibri" w:hAnsi="Calibri" w:cs="Calibri"/>
          <w:lang w:val="en-GB"/>
        </w:rPr>
        <w:endnoteReference w:id="250"/>
      </w:r>
      <w:r w:rsidR="00FA1489" w:rsidRPr="00E8461E">
        <w:rPr>
          <w:rFonts w:ascii="Calibri" w:eastAsia="Calibri" w:hAnsi="Calibri" w:cs="Calibri"/>
          <w:lang w:val="en-GB"/>
        </w:rPr>
        <w:t xml:space="preserve"> The </w:t>
      </w:r>
      <w:r w:rsidR="003A2C09" w:rsidRPr="00E8461E">
        <w:rPr>
          <w:rFonts w:ascii="Calibri" w:eastAsia="Calibri" w:hAnsi="Calibri" w:cs="Calibri"/>
          <w:lang w:val="en-GB"/>
        </w:rPr>
        <w:t>Royal Commission into National Natural Disaster Arrangements</w:t>
      </w:r>
      <w:r w:rsidR="00975082" w:rsidRPr="00E8461E">
        <w:rPr>
          <w:rFonts w:ascii="Calibri" w:eastAsia="Calibri" w:hAnsi="Calibri" w:cs="Calibri"/>
          <w:lang w:val="en-GB"/>
        </w:rPr>
        <w:t xml:space="preserve"> and the </w:t>
      </w:r>
      <w:r w:rsidR="00D510B7" w:rsidRPr="00E8461E">
        <w:rPr>
          <w:rFonts w:ascii="Calibri" w:eastAsia="Calibri" w:hAnsi="Calibri" w:cs="Calibri"/>
          <w:lang w:val="en-GB"/>
        </w:rPr>
        <w:t>Australian State of the Environment 2021 report</w:t>
      </w:r>
      <w:r w:rsidR="009F15AE" w:rsidRPr="00E8461E">
        <w:rPr>
          <w:rFonts w:ascii="Calibri" w:eastAsia="Calibri" w:hAnsi="Calibri" w:cs="Calibri"/>
          <w:lang w:val="en-GB"/>
        </w:rPr>
        <w:t xml:space="preserve"> </w:t>
      </w:r>
      <w:r w:rsidR="004C0C21" w:rsidRPr="00E8461E">
        <w:rPr>
          <w:rFonts w:ascii="Calibri" w:eastAsia="Calibri" w:hAnsi="Calibri" w:cs="Calibri"/>
          <w:lang w:val="en-GB"/>
        </w:rPr>
        <w:t>recognise the growing need for better air quality action and information in Australia.</w:t>
      </w:r>
      <w:r w:rsidR="003A2C09" w:rsidRPr="00E8461E">
        <w:rPr>
          <w:rStyle w:val="EndnoteReference"/>
          <w:rFonts w:ascii="Calibri" w:eastAsia="Calibri" w:hAnsi="Calibri" w:cs="Calibri"/>
          <w:lang w:val="en-GB"/>
        </w:rPr>
        <w:endnoteReference w:id="251"/>
      </w:r>
      <w:r w:rsidR="00376D1E" w:rsidRPr="00E8461E">
        <w:rPr>
          <w:rFonts w:ascii="Calibri" w:eastAsia="Calibri" w:hAnsi="Calibri" w:cs="Calibri"/>
          <w:vertAlign w:val="superscript"/>
          <w:lang w:val="en-GB"/>
        </w:rPr>
        <w:t>,</w:t>
      </w:r>
      <w:r w:rsidR="00376D1E" w:rsidRPr="00E8461E">
        <w:rPr>
          <w:rStyle w:val="EndnoteReference"/>
          <w:rFonts w:ascii="Calibri" w:eastAsia="Calibri" w:hAnsi="Calibri" w:cs="Calibri"/>
          <w:lang w:val="en-GB"/>
        </w:rPr>
        <w:endnoteReference w:id="252"/>
      </w:r>
    </w:p>
    <w:p w14:paraId="713B93AC" w14:textId="69190A25" w:rsidR="00AF7ED5" w:rsidRPr="00E8461E" w:rsidRDefault="00AF7ED5" w:rsidP="00AF7ED5">
      <w:pPr>
        <w:rPr>
          <w:lang w:val="en-GB"/>
        </w:rPr>
      </w:pPr>
      <w:r w:rsidRPr="00E8461E">
        <w:rPr>
          <w:rFonts w:ascii="Calibri" w:eastAsia="Calibri" w:hAnsi="Calibri" w:cs="Calibri"/>
          <w:lang w:val="en-GB"/>
        </w:rPr>
        <w:t>By global standards, Australia has relatively good indoor and outdoor air quality.</w:t>
      </w:r>
      <w:r w:rsidRPr="00E8461E">
        <w:rPr>
          <w:rStyle w:val="EndnoteReference"/>
          <w:rFonts w:ascii="Calibri" w:eastAsia="Calibri" w:hAnsi="Calibri" w:cs="Calibri"/>
          <w:lang w:val="en-GB"/>
        </w:rPr>
        <w:endnoteReference w:id="253"/>
      </w:r>
      <w:r w:rsidRPr="00E8461E">
        <w:rPr>
          <w:rFonts w:ascii="Calibri" w:eastAsia="Calibri" w:hAnsi="Calibri" w:cs="Calibri"/>
          <w:lang w:val="en-GB"/>
        </w:rPr>
        <w:t xml:space="preserve"> However, there is increasing evidence to suggest adverse health effects occur even at very low air pollutant exposure </w:t>
      </w:r>
      <w:r w:rsidRPr="00E8461E">
        <w:rPr>
          <w:rFonts w:ascii="Calibri" w:eastAsia="Calibri" w:hAnsi="Calibri" w:cs="Calibri"/>
          <w:lang w:val="en-GB"/>
        </w:rPr>
        <w:lastRenderedPageBreak/>
        <w:t>levels.</w:t>
      </w:r>
      <w:r w:rsidRPr="00E8461E">
        <w:rPr>
          <w:rStyle w:val="EndnoteReference"/>
          <w:rFonts w:ascii="Calibri" w:eastAsia="Calibri" w:hAnsi="Calibri" w:cs="Calibri"/>
          <w:lang w:val="en-GB"/>
        </w:rPr>
        <w:endnoteReference w:id="254"/>
      </w:r>
      <w:r w:rsidRPr="00E8461E">
        <w:rPr>
          <w:rFonts w:ascii="Calibri" w:eastAsia="Calibri" w:hAnsi="Calibri" w:cs="Calibri"/>
          <w:lang w:val="en-GB"/>
        </w:rPr>
        <w:t xml:space="preserve"> By extension, health benefits are likely to arise from improvements to air quality beyond compliance with existing national and international standards. </w:t>
      </w:r>
      <w:r w:rsidRPr="00E8461E">
        <w:rPr>
          <w:lang w:val="en-GB"/>
        </w:rPr>
        <w:t>Evidence suggests that significant and rapid health co-benefits can be achieved by targeting climate mitigation policies to also achieve air quality outcomes</w:t>
      </w:r>
      <w:r w:rsidR="009E438A" w:rsidRPr="00E8461E">
        <w:rPr>
          <w:lang w:val="en-GB"/>
        </w:rPr>
        <w:t>.</w:t>
      </w:r>
      <w:r w:rsidR="002C3CB0" w:rsidRPr="00E8461E">
        <w:rPr>
          <w:rStyle w:val="EndnoteReference"/>
          <w:lang w:val="en-GB"/>
        </w:rPr>
        <w:endnoteReference w:id="255"/>
      </w:r>
      <w:r w:rsidRPr="00E8461E">
        <w:rPr>
          <w:lang w:val="en-GB"/>
        </w:rPr>
        <w:t xml:space="preserve"> A range of studies from the United States have quantified the air quality co-benefits of replacing fossil</w:t>
      </w:r>
      <w:r w:rsidR="002A193D" w:rsidRPr="00E8461E">
        <w:rPr>
          <w:lang w:val="en-GB"/>
        </w:rPr>
        <w:t>-</w:t>
      </w:r>
      <w:r w:rsidRPr="00E8461E">
        <w:rPr>
          <w:lang w:val="en-GB"/>
        </w:rPr>
        <w:t>fuel</w:t>
      </w:r>
      <w:r w:rsidR="0056642A" w:rsidRPr="00E8461E">
        <w:rPr>
          <w:lang w:val="en-GB"/>
        </w:rPr>
        <w:t>-</w:t>
      </w:r>
      <w:r w:rsidR="007D5A49" w:rsidRPr="00E8461E">
        <w:rPr>
          <w:lang w:val="en-GB"/>
        </w:rPr>
        <w:t>generated</w:t>
      </w:r>
      <w:r w:rsidRPr="00E8461E">
        <w:rPr>
          <w:lang w:val="en-GB"/>
        </w:rPr>
        <w:t xml:space="preserve"> electricity with renewable energy, finding the air quality co-benefits due to improved health outcomes exceed the cost of deployment.</w:t>
      </w:r>
      <w:r w:rsidRPr="00E8461E">
        <w:rPr>
          <w:rStyle w:val="EndnoteReference"/>
          <w:lang w:val="en-GB"/>
        </w:rPr>
        <w:endnoteReference w:id="256"/>
      </w:r>
      <w:r w:rsidRPr="00E8461E">
        <w:rPr>
          <w:lang w:val="en-GB"/>
        </w:rPr>
        <w:t xml:space="preserve"> The Intergovernmental Panel on Climate Change and the International Energy Agency recommend integrated policies to prioritise both air quality and climate goals from the outset to maximise co-benefits between climate change mitigation and noxious pollution control.</w:t>
      </w:r>
      <w:r w:rsidRPr="00E8461E">
        <w:rPr>
          <w:rStyle w:val="EndnoteReference"/>
          <w:lang w:val="en-GB"/>
        </w:rPr>
        <w:endnoteReference w:id="257"/>
      </w:r>
    </w:p>
    <w:p w14:paraId="1E6CE8FD" w14:textId="274FD2F8" w:rsidR="00BA055E" w:rsidRPr="00E8461E" w:rsidRDefault="004B4194" w:rsidP="00AF7ED5">
      <w:pPr>
        <w:rPr>
          <w:lang w:val="en-GB"/>
        </w:rPr>
      </w:pPr>
      <w:r w:rsidRPr="00E8461E">
        <w:rPr>
          <w:lang w:val="en-GB"/>
        </w:rPr>
        <w:t xml:space="preserve">A key </w:t>
      </w:r>
      <w:r w:rsidR="00E86D60" w:rsidRPr="00E8461E">
        <w:rPr>
          <w:lang w:val="en-GB"/>
        </w:rPr>
        <w:t>dimension</w:t>
      </w:r>
      <w:r w:rsidRPr="00E8461E">
        <w:rPr>
          <w:lang w:val="en-GB"/>
        </w:rPr>
        <w:t xml:space="preserve"> of addressing the </w:t>
      </w:r>
      <w:r w:rsidR="00E63A13" w:rsidRPr="00E8461E">
        <w:rPr>
          <w:lang w:val="en-GB"/>
        </w:rPr>
        <w:t xml:space="preserve">health impacts of air pollution and climate change is </w:t>
      </w:r>
      <w:r w:rsidR="003B6522" w:rsidRPr="00E8461E">
        <w:rPr>
          <w:lang w:val="en-GB"/>
        </w:rPr>
        <w:t>identifying and implementing strategies to improve</w:t>
      </w:r>
      <w:r w:rsidR="00E86D60" w:rsidRPr="00E8461E">
        <w:rPr>
          <w:lang w:val="en-GB"/>
        </w:rPr>
        <w:t xml:space="preserve"> indoor air quality. </w:t>
      </w:r>
      <w:r w:rsidR="00D46382" w:rsidRPr="00E8461E">
        <w:rPr>
          <w:lang w:val="en-GB"/>
        </w:rPr>
        <w:t xml:space="preserve">Poor indoor air quality </w:t>
      </w:r>
      <w:r w:rsidR="00BC4158" w:rsidRPr="00E8461E">
        <w:rPr>
          <w:lang w:val="en-GB"/>
        </w:rPr>
        <w:t>–</w:t>
      </w:r>
      <w:r w:rsidR="00D46382" w:rsidRPr="00E8461E">
        <w:rPr>
          <w:lang w:val="en-GB"/>
        </w:rPr>
        <w:t xml:space="preserve"> </w:t>
      </w:r>
      <w:r w:rsidR="00BC4158" w:rsidRPr="00E8461E">
        <w:rPr>
          <w:lang w:val="en-GB"/>
        </w:rPr>
        <w:t xml:space="preserve">which may be driven by </w:t>
      </w:r>
      <w:proofErr w:type="gramStart"/>
      <w:r w:rsidR="00BC4158" w:rsidRPr="00E8461E">
        <w:rPr>
          <w:lang w:val="en-GB"/>
        </w:rPr>
        <w:t>a number of</w:t>
      </w:r>
      <w:proofErr w:type="gramEnd"/>
      <w:r w:rsidR="00BC4158" w:rsidRPr="00E8461E">
        <w:rPr>
          <w:lang w:val="en-GB"/>
        </w:rPr>
        <w:t xml:space="preserve"> factors, including inadequate ventilation, </w:t>
      </w:r>
      <w:r w:rsidR="00FD4389" w:rsidRPr="00E8461E">
        <w:rPr>
          <w:lang w:val="en-GB"/>
        </w:rPr>
        <w:t>or</w:t>
      </w:r>
      <w:r w:rsidR="00BC4158" w:rsidRPr="00E8461E">
        <w:rPr>
          <w:lang w:val="en-GB"/>
        </w:rPr>
        <w:t xml:space="preserve"> </w:t>
      </w:r>
      <w:r w:rsidR="00767A24" w:rsidRPr="00E8461E">
        <w:rPr>
          <w:lang w:val="en-GB"/>
        </w:rPr>
        <w:t xml:space="preserve">use of </w:t>
      </w:r>
      <w:r w:rsidR="00895FDD" w:rsidRPr="00E8461E">
        <w:rPr>
          <w:lang w:val="en-GB"/>
        </w:rPr>
        <w:t>wood or gas heater</w:t>
      </w:r>
      <w:r w:rsidR="00FD4389" w:rsidRPr="00E8461E">
        <w:rPr>
          <w:lang w:val="en-GB"/>
        </w:rPr>
        <w:t>s</w:t>
      </w:r>
      <w:r w:rsidR="00895FDD" w:rsidRPr="00E8461E">
        <w:rPr>
          <w:lang w:val="en-GB"/>
        </w:rPr>
        <w:t xml:space="preserve"> – is associated with a variety of adverse health outcomes</w:t>
      </w:r>
      <w:r w:rsidR="00FD4389" w:rsidRPr="00E8461E">
        <w:rPr>
          <w:lang w:val="en-GB"/>
        </w:rPr>
        <w:t>.</w:t>
      </w:r>
      <w:r w:rsidR="000B51F7" w:rsidRPr="00E8461E">
        <w:rPr>
          <w:rStyle w:val="EndnoteReference"/>
          <w:lang w:val="en-GB"/>
        </w:rPr>
        <w:endnoteReference w:id="258"/>
      </w:r>
      <w:r w:rsidR="00FD4389" w:rsidRPr="00E8461E">
        <w:rPr>
          <w:lang w:val="en-GB"/>
        </w:rPr>
        <w:t xml:space="preserve"> As </w:t>
      </w:r>
      <w:r w:rsidR="003E2A09" w:rsidRPr="00E8461E">
        <w:rPr>
          <w:lang w:val="en-GB"/>
        </w:rPr>
        <w:t xml:space="preserve">noted </w:t>
      </w:r>
      <w:r w:rsidR="00FD4389" w:rsidRPr="00E8461E">
        <w:rPr>
          <w:lang w:val="en-GB"/>
        </w:rPr>
        <w:t xml:space="preserve">in Figure </w:t>
      </w:r>
      <w:r w:rsidR="003E2A09" w:rsidRPr="00E8461E">
        <w:rPr>
          <w:lang w:val="en-GB"/>
        </w:rPr>
        <w:t>13</w:t>
      </w:r>
      <w:r w:rsidR="00FD4389" w:rsidRPr="00E8461E">
        <w:rPr>
          <w:lang w:val="en-GB"/>
        </w:rPr>
        <w:t xml:space="preserve">, climate change can worsen indoor air quality, for example </w:t>
      </w:r>
      <w:r w:rsidR="00BE5B8C" w:rsidRPr="00E8461E">
        <w:rPr>
          <w:lang w:val="en-GB"/>
        </w:rPr>
        <w:t xml:space="preserve">by contributing </w:t>
      </w:r>
      <w:r w:rsidR="00FD4389" w:rsidRPr="00E8461E">
        <w:rPr>
          <w:lang w:val="en-GB"/>
        </w:rPr>
        <w:t xml:space="preserve">to the proliferation of household mould as a result of flooding. </w:t>
      </w:r>
      <w:r w:rsidR="00566B55" w:rsidRPr="00E8461E">
        <w:rPr>
          <w:lang w:val="en-GB"/>
        </w:rPr>
        <w:t>Over the past few years, t</w:t>
      </w:r>
      <w:r w:rsidR="00BA29A5" w:rsidRPr="00E8461E">
        <w:rPr>
          <w:lang w:val="en-GB"/>
        </w:rPr>
        <w:t xml:space="preserve">he COVID-19 pandemic </w:t>
      </w:r>
      <w:r w:rsidR="00566B55" w:rsidRPr="00E8461E">
        <w:rPr>
          <w:lang w:val="en-GB"/>
        </w:rPr>
        <w:t>has drawn particular attention to the need</w:t>
      </w:r>
      <w:r w:rsidR="00BA29A5" w:rsidRPr="00E8461E">
        <w:rPr>
          <w:lang w:val="en-GB"/>
        </w:rPr>
        <w:t xml:space="preserve"> for </w:t>
      </w:r>
      <w:r w:rsidR="00D32C9D" w:rsidRPr="00E8461E">
        <w:rPr>
          <w:lang w:val="en-GB"/>
        </w:rPr>
        <w:t xml:space="preserve">further research </w:t>
      </w:r>
      <w:r w:rsidR="001B5D14" w:rsidRPr="00E8461E">
        <w:rPr>
          <w:lang w:val="en-GB"/>
        </w:rPr>
        <w:t xml:space="preserve">on </w:t>
      </w:r>
      <w:r w:rsidR="00E15F33" w:rsidRPr="00E8461E">
        <w:rPr>
          <w:lang w:val="en-GB"/>
        </w:rPr>
        <w:t>the effects of indoor air quality on human health, a</w:t>
      </w:r>
      <w:r w:rsidR="00D32C9D" w:rsidRPr="00E8461E">
        <w:rPr>
          <w:lang w:val="en-GB"/>
        </w:rPr>
        <w:t xml:space="preserve">s well as potential measures to </w:t>
      </w:r>
      <w:r w:rsidR="004C5EE7" w:rsidRPr="00E8461E">
        <w:rPr>
          <w:lang w:val="en-GB"/>
        </w:rPr>
        <w:t>improve indoor air quality and protect human health.</w:t>
      </w:r>
      <w:r w:rsidR="00AE23EA" w:rsidRPr="00E8461E">
        <w:rPr>
          <w:rStyle w:val="EndnoteReference"/>
          <w:lang w:val="en-GB"/>
        </w:rPr>
        <w:endnoteReference w:id="259"/>
      </w:r>
    </w:p>
    <w:p w14:paraId="360B5D82" w14:textId="57E84DC5" w:rsidR="00BF4205" w:rsidRPr="00E8461E" w:rsidRDefault="005E1D1D" w:rsidP="00AF7ED5">
      <w:pPr>
        <w:rPr>
          <w:rFonts w:ascii="Calibri" w:eastAsia="Calibri" w:hAnsi="Calibri" w:cs="Calibri"/>
          <w:lang w:val="en-GB"/>
        </w:rPr>
      </w:pPr>
      <w:r w:rsidRPr="00E8461E">
        <w:rPr>
          <w:rFonts w:ascii="Calibri" w:eastAsia="Calibri" w:hAnsi="Calibri" w:cs="Calibri"/>
          <w:lang w:val="en-GB"/>
        </w:rPr>
        <w:t xml:space="preserve">Improving ambient air quality is similarly crucial. </w:t>
      </w:r>
      <w:r w:rsidR="00AF7ED5" w:rsidRPr="00E8461E">
        <w:rPr>
          <w:rFonts w:ascii="Calibri" w:eastAsia="Calibri" w:hAnsi="Calibri" w:cs="Calibri"/>
          <w:lang w:val="en-GB"/>
        </w:rPr>
        <w:t>In Australia, national outdoor air quality standards are set through the National Environment Protection Measure for Ambient Air Quality</w:t>
      </w:r>
      <w:r w:rsidR="00C3517F" w:rsidRPr="00E8461E">
        <w:rPr>
          <w:rStyle w:val="EndnoteReference"/>
          <w:rFonts w:ascii="Calibri" w:eastAsia="Calibri" w:hAnsi="Calibri" w:cs="Calibri"/>
          <w:lang w:val="en-GB"/>
        </w:rPr>
        <w:endnoteReference w:id="260"/>
      </w:r>
      <w:r w:rsidR="00AF7ED5" w:rsidRPr="00E8461E">
        <w:rPr>
          <w:rFonts w:ascii="Calibri" w:eastAsia="Calibri" w:hAnsi="Calibri" w:cs="Calibri"/>
          <w:lang w:val="en-GB"/>
        </w:rPr>
        <w:t xml:space="preserve"> and are reflected in state and territory legislation. State, territory, and local governments are responsible for monitoring and managing air quality in their jurisdictions via local environment protection agencies. The National Clean Air Agreement provides a cooperative framework for state and territory governments and the Commonwealth to work together on priority action to improve air quality and reduce the adverse effects of air pollution on human health</w:t>
      </w:r>
      <w:r w:rsidR="00E2460B" w:rsidRPr="00E8461E">
        <w:rPr>
          <w:rFonts w:ascii="Calibri" w:eastAsia="Calibri" w:hAnsi="Calibri" w:cs="Calibri"/>
          <w:lang w:val="en-GB"/>
        </w:rPr>
        <w:t>.</w:t>
      </w:r>
      <w:r w:rsidR="00A46688" w:rsidRPr="00E8461E">
        <w:rPr>
          <w:rStyle w:val="EndnoteReference"/>
          <w:rFonts w:ascii="Calibri" w:eastAsia="Calibri" w:hAnsi="Calibri" w:cs="Calibri"/>
          <w:lang w:val="en-GB"/>
        </w:rPr>
        <w:endnoteReference w:id="261"/>
      </w:r>
    </w:p>
    <w:p w14:paraId="401CD9D2" w14:textId="77777777" w:rsidR="00653752" w:rsidRPr="00E8461E" w:rsidRDefault="00653752" w:rsidP="00D80EFD">
      <w:pPr>
        <w:pStyle w:val="Heading4"/>
        <w:rPr>
          <w:iCs w:val="0"/>
        </w:rPr>
      </w:pPr>
      <w:r w:rsidRPr="00E8461E">
        <w:rPr>
          <w:iCs w:val="0"/>
        </w:rPr>
        <w:t>Action 6.2</w:t>
      </w:r>
    </w:p>
    <w:p w14:paraId="2DDD1CB7" w14:textId="77777777" w:rsidR="00653752" w:rsidRPr="00E8461E" w:rsidRDefault="00653752" w:rsidP="00653752">
      <w:pPr>
        <w:rPr>
          <w:b/>
          <w:lang w:val="en-GB"/>
        </w:rPr>
      </w:pPr>
      <w:r w:rsidRPr="00E8461E">
        <w:rPr>
          <w:b/>
          <w:lang w:val="en-GB"/>
        </w:rPr>
        <w:t>Addressing the impacts of climate change on air quality</w:t>
      </w:r>
    </w:p>
    <w:p w14:paraId="05FC6E37" w14:textId="16A360A4" w:rsidR="00653752" w:rsidRPr="00E8461E" w:rsidRDefault="00653752" w:rsidP="00D80EFD">
      <w:pPr>
        <w:pBdr>
          <w:bottom w:val="single" w:sz="12" w:space="1" w:color="008A95" w:themeColor="accent1"/>
        </w:pBdr>
        <w:rPr>
          <w:rFonts w:ascii="Calibri" w:eastAsia="Calibri" w:hAnsi="Calibri" w:cs="Calibri"/>
          <w:lang w:val="en-GB"/>
        </w:rPr>
      </w:pPr>
      <w:r w:rsidRPr="00E8461E">
        <w:rPr>
          <w:lang w:val="en-GB"/>
        </w:rPr>
        <w:t>The Australian Government will work together with states and territories to address the risks and health impacts of reduced air quality driven by climate change, as part of wider work to increase knowledge, awareness, and capacity to respond to the risks and health impacts of air pollution. This will be achieved through relevant projects outlined in the National Clean Air Agreement work plan, and other complementary programs and initiatives.</w:t>
      </w:r>
    </w:p>
    <w:p w14:paraId="3FCE30B2" w14:textId="798E2074" w:rsidR="009F52D7" w:rsidRPr="00E8461E" w:rsidRDefault="00C25776" w:rsidP="00CE2599">
      <w:pPr>
        <w:pStyle w:val="Heading2"/>
        <w:rPr>
          <w:rFonts w:eastAsia="Calibri"/>
        </w:rPr>
      </w:pPr>
      <w:bookmarkStart w:id="197" w:name="_Toc151999641"/>
      <w:bookmarkStart w:id="198" w:name="_Toc149910011"/>
      <w:bookmarkStart w:id="199" w:name="_Toc149918477"/>
      <w:r w:rsidRPr="00E8461E">
        <w:t>6</w:t>
      </w:r>
      <w:r w:rsidR="009F5FE1" w:rsidRPr="00E8461E">
        <w:t xml:space="preserve">.3 </w:t>
      </w:r>
      <w:r w:rsidR="009F52D7" w:rsidRPr="00E8461E">
        <w:t>Communicable disease</w:t>
      </w:r>
      <w:bookmarkEnd w:id="197"/>
    </w:p>
    <w:p w14:paraId="642EF6E0" w14:textId="575B8848" w:rsidR="009F52D7" w:rsidRPr="00E8461E" w:rsidRDefault="009F52D7" w:rsidP="009F52D7">
      <w:r w:rsidRPr="00E8461E">
        <w:rPr>
          <w:rFonts w:ascii="Calibri" w:hAnsi="Calibri" w:cs="Calibri"/>
          <w:lang w:val="en-GB"/>
        </w:rPr>
        <w:t>Climate change is expected to affect the emergence and transmission of numerous communicable diseases in Australia and worldwide.</w:t>
      </w:r>
      <w:r w:rsidRPr="00E8461E">
        <w:rPr>
          <w:rStyle w:val="EndnoteReference"/>
          <w:rFonts w:ascii="Calibri" w:hAnsi="Calibri" w:cs="Calibri"/>
          <w:lang w:val="en-GB"/>
        </w:rPr>
        <w:endnoteReference w:id="262"/>
      </w:r>
      <w:r w:rsidRPr="00E8461E">
        <w:rPr>
          <w:rFonts w:ascii="Calibri" w:hAnsi="Calibri" w:cs="Calibri"/>
          <w:lang w:val="en-GB"/>
        </w:rPr>
        <w:t xml:space="preserve"> Climate-sensitive communicable diseases include vector-borne diseases such as dengue; water-borne diseases such as cholera; zoonotic diseases such as leptospirosis and Hendra virus; food-borne diseases such as salmonella; and soil-borne diseases such as melioidosis. Changes in climate are expected to make certain regions more susceptible to disease transmission. Other factors increasing the risk of disease transmission include population growth, migration, and urban densification; altered land use patterns; and contamination of</w:t>
      </w:r>
      <w:r w:rsidRPr="00E8461E">
        <w:t xml:space="preserve"> water and food supplies and damage to </w:t>
      </w:r>
      <w:r w:rsidR="00A0531E" w:rsidRPr="00E8461E">
        <w:t xml:space="preserve">sewerage </w:t>
      </w:r>
      <w:r w:rsidRPr="00E8461E">
        <w:t xml:space="preserve">systems </w:t>
      </w:r>
      <w:proofErr w:type="gramStart"/>
      <w:r w:rsidRPr="00E8461E">
        <w:t>as a result of</w:t>
      </w:r>
      <w:proofErr w:type="gramEnd"/>
      <w:r w:rsidRPr="00E8461E">
        <w:t xml:space="preserve"> extreme weather events.</w:t>
      </w:r>
      <w:r w:rsidRPr="00E8461E">
        <w:rPr>
          <w:rStyle w:val="EndnoteReference"/>
        </w:rPr>
        <w:endnoteReference w:id="263"/>
      </w:r>
    </w:p>
    <w:p w14:paraId="19A3699A" w14:textId="74DB1151" w:rsidR="009F52D7" w:rsidRPr="00E8461E" w:rsidRDefault="009F52D7" w:rsidP="009F52D7">
      <w:pPr>
        <w:rPr>
          <w:lang w:val="en-GB"/>
        </w:rPr>
      </w:pPr>
      <w:r w:rsidRPr="00E8461E">
        <w:rPr>
          <w:lang w:val="en-GB"/>
        </w:rPr>
        <w:lastRenderedPageBreak/>
        <w:t>Transmission of vector-borne diseases is significantly affected by climate change, which can affect the distribution, abundance, and seasonality of disease vectors such as mosquitoes and ticks.</w:t>
      </w:r>
      <w:r w:rsidRPr="00E8461E">
        <w:rPr>
          <w:rFonts w:ascii="Calibri" w:hAnsi="Calibri" w:cs="Calibri"/>
          <w:lang w:val="en-GB"/>
        </w:rPr>
        <w:t xml:space="preserve"> Climate-related increases in temperature and precipitation are likely to create widespread changes in conditions which may be favourable for mosquito breeding.</w:t>
      </w:r>
      <w:r w:rsidRPr="00E8461E">
        <w:rPr>
          <w:rStyle w:val="EndnoteReference"/>
          <w:rFonts w:ascii="Calibri" w:hAnsi="Calibri" w:cs="Calibri"/>
          <w:lang w:val="en-GB"/>
        </w:rPr>
        <w:endnoteReference w:id="264"/>
      </w:r>
      <w:r w:rsidRPr="00E8461E">
        <w:rPr>
          <w:rFonts w:ascii="Calibri" w:hAnsi="Calibri" w:cs="Calibri"/>
          <w:lang w:val="en-GB"/>
        </w:rPr>
        <w:t xml:space="preserve"> These changes can alter the mosquito season, either on an ongoing basis or in association with extreme weather events. They can also drive invasions of mosquitoes into areas where human populations were previously unexposed to mosquito-borne disease. There are several climate-sensitive </w:t>
      </w:r>
      <w:proofErr w:type="gramStart"/>
      <w:r w:rsidRPr="00E8461E">
        <w:rPr>
          <w:rFonts w:ascii="Calibri" w:hAnsi="Calibri" w:cs="Calibri"/>
          <w:lang w:val="en-GB"/>
        </w:rPr>
        <w:t>vector</w:t>
      </w:r>
      <w:proofErr w:type="gramEnd"/>
      <w:r w:rsidRPr="00E8461E">
        <w:rPr>
          <w:rFonts w:ascii="Calibri" w:hAnsi="Calibri" w:cs="Calibri"/>
          <w:lang w:val="en-GB"/>
        </w:rPr>
        <w:t xml:space="preserve">-borne diseases of concern for Australia. These include dengue, Japanese encephalitis, and Ross River virus (see Table </w:t>
      </w:r>
      <w:r w:rsidR="00417BE7" w:rsidRPr="00E8461E">
        <w:rPr>
          <w:rFonts w:ascii="Calibri" w:hAnsi="Calibri" w:cs="Calibri"/>
          <w:lang w:val="en-GB"/>
        </w:rPr>
        <w:t>2</w:t>
      </w:r>
      <w:r w:rsidRPr="00E8461E">
        <w:rPr>
          <w:rFonts w:ascii="Calibri" w:hAnsi="Calibri" w:cs="Calibri"/>
          <w:lang w:val="en-GB"/>
        </w:rPr>
        <w:t xml:space="preserve">). </w:t>
      </w:r>
      <w:r w:rsidRPr="00E8461E">
        <w:rPr>
          <w:lang w:val="en-GB"/>
        </w:rPr>
        <w:t xml:space="preserve">There are also a number of serious mosquito-borne diseases which are not known to be in </w:t>
      </w:r>
      <w:proofErr w:type="gramStart"/>
      <w:r w:rsidRPr="00E8461E">
        <w:rPr>
          <w:lang w:val="en-GB"/>
        </w:rPr>
        <w:t>Australia</w:t>
      </w:r>
      <w:proofErr w:type="gramEnd"/>
      <w:r w:rsidRPr="00E8461E">
        <w:rPr>
          <w:lang w:val="en-GB"/>
        </w:rPr>
        <w:t xml:space="preserve"> but </w:t>
      </w:r>
      <w:r w:rsidR="00BD7C39" w:rsidRPr="00E8461E">
        <w:rPr>
          <w:lang w:val="en-GB"/>
        </w:rPr>
        <w:t xml:space="preserve">which </w:t>
      </w:r>
      <w:r w:rsidRPr="00E8461E">
        <w:rPr>
          <w:lang w:val="en-GB"/>
        </w:rPr>
        <w:t xml:space="preserve">have the potential to become established. Effective management of vector-borne diseases requires </w:t>
      </w:r>
      <w:r w:rsidR="00912943" w:rsidRPr="00E8461E">
        <w:rPr>
          <w:lang w:val="en-GB"/>
        </w:rPr>
        <w:t xml:space="preserve">the </w:t>
      </w:r>
      <w:r w:rsidRPr="00E8461E">
        <w:rPr>
          <w:lang w:val="en-GB"/>
        </w:rPr>
        <w:t xml:space="preserve">control of vector breeding sites, </w:t>
      </w:r>
      <w:proofErr w:type="gramStart"/>
      <w:r w:rsidRPr="00E8461E">
        <w:rPr>
          <w:lang w:val="en-GB"/>
        </w:rPr>
        <w:t>surveillance</w:t>
      </w:r>
      <w:proofErr w:type="gramEnd"/>
      <w:r w:rsidRPr="00E8461E">
        <w:rPr>
          <w:lang w:val="en-GB"/>
        </w:rPr>
        <w:t xml:space="preserve"> and</w:t>
      </w:r>
      <w:r w:rsidR="00912943" w:rsidRPr="00E8461E">
        <w:rPr>
          <w:lang w:val="en-GB"/>
        </w:rPr>
        <w:t xml:space="preserve"> the</w:t>
      </w:r>
      <w:r w:rsidRPr="00E8461E">
        <w:rPr>
          <w:lang w:val="en-GB"/>
        </w:rPr>
        <w:t xml:space="preserve"> control of vector populations (including at Australia’s border and at foreign airports serving Australian routes), vaccination against relevant diseases where available or appropriate, </w:t>
      </w:r>
      <w:r w:rsidR="001E3908" w:rsidRPr="00E8461E">
        <w:rPr>
          <w:lang w:val="en-GB"/>
        </w:rPr>
        <w:t>early warning systems</w:t>
      </w:r>
      <w:r w:rsidRPr="00E8461E">
        <w:rPr>
          <w:lang w:val="en-GB"/>
        </w:rPr>
        <w:t xml:space="preserve"> and public education </w:t>
      </w:r>
      <w:r w:rsidR="00625BB5" w:rsidRPr="00E8461E">
        <w:rPr>
          <w:lang w:val="en-GB"/>
        </w:rPr>
        <w:t xml:space="preserve">on </w:t>
      </w:r>
      <w:r w:rsidRPr="00E8461E">
        <w:rPr>
          <w:lang w:val="en-GB"/>
        </w:rPr>
        <w:t>risk reduction measures.</w:t>
      </w:r>
    </w:p>
    <w:p w14:paraId="019897D6" w14:textId="6D732D0B" w:rsidR="00417BE7" w:rsidRPr="00E8461E" w:rsidRDefault="00417BE7" w:rsidP="009F52D7">
      <w:pPr>
        <w:rPr>
          <w:rFonts w:ascii="Calibri" w:hAnsi="Calibri" w:cs="Calibri"/>
          <w:b/>
        </w:rPr>
      </w:pPr>
      <w:r w:rsidRPr="00E8461E">
        <w:rPr>
          <w:rFonts w:ascii="Calibri" w:hAnsi="Calibri" w:cs="Calibri"/>
          <w:b/>
          <w:bCs/>
          <w:lang w:val="en-GB"/>
        </w:rPr>
        <w:t>Table 2:</w:t>
      </w:r>
      <w:r w:rsidR="004009C8" w:rsidRPr="00E8461E">
        <w:rPr>
          <w:rFonts w:ascii="Calibri" w:hAnsi="Calibri" w:cs="Calibri"/>
          <w:b/>
          <w:bCs/>
          <w:lang w:val="en-GB"/>
        </w:rPr>
        <w:t xml:space="preserve"> </w:t>
      </w:r>
      <w:r w:rsidR="004009C8" w:rsidRPr="00E8461E">
        <w:rPr>
          <w:rFonts w:ascii="Calibri" w:hAnsi="Calibri" w:cs="Calibri"/>
          <w:b/>
          <w:bCs/>
        </w:rPr>
        <w:t>Key climate-sensitive vector-borne diseases of relevance for Australia</w:t>
      </w:r>
    </w:p>
    <w:tbl>
      <w:tblPr>
        <w:tblStyle w:val="TableGridLight"/>
        <w:tblW w:w="0" w:type="auto"/>
        <w:tblLook w:val="04A0" w:firstRow="1" w:lastRow="0" w:firstColumn="1" w:lastColumn="0" w:noHBand="0" w:noVBand="1"/>
      </w:tblPr>
      <w:tblGrid>
        <w:gridCol w:w="1579"/>
        <w:gridCol w:w="7437"/>
      </w:tblGrid>
      <w:tr w:rsidR="009F52D7" w:rsidRPr="00E8461E" w14:paraId="6C06A65A" w14:textId="77777777" w:rsidTr="00653752">
        <w:tc>
          <w:tcPr>
            <w:tcW w:w="1579" w:type="dxa"/>
          </w:tcPr>
          <w:p w14:paraId="67B74C05" w14:textId="4CD24720" w:rsidR="009F52D7" w:rsidRPr="00E8461E" w:rsidRDefault="00653752" w:rsidP="006D276A">
            <w:pPr>
              <w:rPr>
                <w:rFonts w:ascii="Calibri" w:hAnsi="Calibri" w:cs="Calibri"/>
                <w:b/>
                <w:bCs/>
                <w:lang w:val="en-GB"/>
              </w:rPr>
            </w:pPr>
            <w:r w:rsidRPr="00E8461E">
              <w:rPr>
                <w:rFonts w:ascii="Calibri" w:hAnsi="Calibri" w:cs="Calibri"/>
                <w:b/>
                <w:bCs/>
                <w:lang w:val="en-GB"/>
              </w:rPr>
              <w:t>Disease</w:t>
            </w:r>
          </w:p>
        </w:tc>
        <w:tc>
          <w:tcPr>
            <w:tcW w:w="7437" w:type="dxa"/>
          </w:tcPr>
          <w:p w14:paraId="7DEC4457" w14:textId="77777777" w:rsidR="009F52D7" w:rsidRPr="00E8461E" w:rsidRDefault="009F52D7" w:rsidP="006D276A">
            <w:pPr>
              <w:rPr>
                <w:rFonts w:ascii="Calibri" w:hAnsi="Calibri" w:cs="Calibri"/>
                <w:b/>
                <w:lang w:val="en-GB"/>
              </w:rPr>
            </w:pPr>
            <w:r w:rsidRPr="00E8461E">
              <w:rPr>
                <w:rFonts w:ascii="Calibri" w:hAnsi="Calibri" w:cs="Calibri"/>
                <w:b/>
                <w:bCs/>
                <w:lang w:val="en-GB"/>
              </w:rPr>
              <w:t xml:space="preserve">Summary </w:t>
            </w:r>
          </w:p>
        </w:tc>
      </w:tr>
      <w:tr w:rsidR="009F52D7" w:rsidRPr="00E8461E" w14:paraId="30774CD5" w14:textId="77777777" w:rsidTr="00653752">
        <w:tc>
          <w:tcPr>
            <w:tcW w:w="1579" w:type="dxa"/>
          </w:tcPr>
          <w:p w14:paraId="5628C880" w14:textId="77777777" w:rsidR="009F52D7" w:rsidRPr="00E8461E" w:rsidRDefault="009F52D7" w:rsidP="006D276A">
            <w:pPr>
              <w:rPr>
                <w:rFonts w:ascii="Calibri" w:hAnsi="Calibri" w:cs="Calibri"/>
                <w:b/>
                <w:lang w:val="en-GB"/>
              </w:rPr>
            </w:pPr>
            <w:r w:rsidRPr="00E8461E">
              <w:rPr>
                <w:rFonts w:ascii="Calibri" w:hAnsi="Calibri" w:cs="Calibri"/>
                <w:b/>
                <w:lang w:val="en-GB"/>
              </w:rPr>
              <w:t>Dengue</w:t>
            </w:r>
          </w:p>
        </w:tc>
        <w:tc>
          <w:tcPr>
            <w:tcW w:w="7437" w:type="dxa"/>
          </w:tcPr>
          <w:p w14:paraId="75A0AF70" w14:textId="77777777" w:rsidR="009F52D7" w:rsidRPr="00E8461E" w:rsidRDefault="009F52D7" w:rsidP="006D276A">
            <w:pPr>
              <w:rPr>
                <w:rFonts w:ascii="Calibri" w:hAnsi="Calibri" w:cs="Calibri"/>
                <w:lang w:val="en-GB"/>
              </w:rPr>
            </w:pPr>
            <w:r w:rsidRPr="00E8461E">
              <w:rPr>
                <w:rFonts w:ascii="Calibri" w:hAnsi="Calibri" w:cs="Calibri"/>
                <w:i/>
                <w:iCs/>
                <w:lang w:val="en-GB"/>
              </w:rPr>
              <w:t>Dengue Virus</w:t>
            </w:r>
            <w:r w:rsidRPr="00E8461E">
              <w:rPr>
                <w:rFonts w:ascii="Calibri" w:hAnsi="Calibri" w:cs="Calibri"/>
                <w:lang w:val="en-GB"/>
              </w:rPr>
              <w:t xml:space="preserve"> is transmitted to humans by infected Aedes mosquitoes and can cause severe and occasionally lethal infections. Currently in Australia, these mosquitoes are only found in northern Queensland and the Torres Strait, where there are occasional dengue outbreaks stemming from overseas-acquired cases. </w:t>
            </w:r>
            <w:r w:rsidRPr="00E8461E">
              <w:rPr>
                <w:rFonts w:ascii="Calibri" w:eastAsia="Calibri" w:hAnsi="Calibri" w:cs="Calibri"/>
                <w:lang w:val="en-GB"/>
              </w:rPr>
              <w:t xml:space="preserve">Climate change may indirectly allow Aedes mosquitoes to become more widespread, exposing more people to disease. </w:t>
            </w:r>
            <w:r w:rsidRPr="00E8461E">
              <w:rPr>
                <w:rFonts w:ascii="Calibri" w:hAnsi="Calibri" w:cs="Calibri"/>
                <w:lang w:val="en-GB"/>
              </w:rPr>
              <w:t>A vaccine for dengue exists, however in Australia it is only recommended for use in very limited circumstances.</w:t>
            </w:r>
            <w:r w:rsidRPr="00E8461E">
              <w:rPr>
                <w:rStyle w:val="EndnoteReference"/>
                <w:rFonts w:ascii="Calibri" w:hAnsi="Calibri" w:cs="Calibri"/>
                <w:lang w:val="en-GB"/>
              </w:rPr>
              <w:endnoteReference w:id="265"/>
            </w:r>
            <w:r w:rsidRPr="00E8461E">
              <w:rPr>
                <w:rFonts w:ascii="Calibri" w:hAnsi="Calibri" w:cs="Calibri"/>
                <w:lang w:val="en-GB"/>
              </w:rPr>
              <w:t xml:space="preserve"> </w:t>
            </w:r>
          </w:p>
        </w:tc>
      </w:tr>
      <w:tr w:rsidR="009F52D7" w:rsidRPr="00E8461E" w14:paraId="3ADA023B" w14:textId="77777777" w:rsidTr="00653752">
        <w:tc>
          <w:tcPr>
            <w:tcW w:w="1579" w:type="dxa"/>
          </w:tcPr>
          <w:p w14:paraId="6BCB45A4" w14:textId="77777777" w:rsidR="009F52D7" w:rsidRPr="00E8461E" w:rsidRDefault="009F52D7" w:rsidP="006D276A">
            <w:pPr>
              <w:rPr>
                <w:rFonts w:ascii="Calibri" w:hAnsi="Calibri" w:cs="Calibri"/>
                <w:b/>
                <w:lang w:val="en-GB"/>
              </w:rPr>
            </w:pPr>
            <w:r w:rsidRPr="00E8461E">
              <w:rPr>
                <w:rFonts w:ascii="Calibri" w:hAnsi="Calibri" w:cs="Calibri"/>
                <w:b/>
                <w:lang w:val="en-GB"/>
              </w:rPr>
              <w:t xml:space="preserve">Malaria </w:t>
            </w:r>
          </w:p>
        </w:tc>
        <w:tc>
          <w:tcPr>
            <w:tcW w:w="7437" w:type="dxa"/>
          </w:tcPr>
          <w:p w14:paraId="703BA29B" w14:textId="77777777" w:rsidR="009F52D7" w:rsidRPr="00E8461E" w:rsidRDefault="009F52D7" w:rsidP="006D276A">
            <w:pPr>
              <w:rPr>
                <w:rFonts w:ascii="Calibri" w:hAnsi="Calibri" w:cs="Calibri"/>
                <w:lang w:val="en-GB"/>
              </w:rPr>
            </w:pPr>
            <w:r w:rsidRPr="00E8461E">
              <w:rPr>
                <w:rFonts w:ascii="Calibri" w:hAnsi="Calibri" w:cs="Calibri"/>
                <w:i/>
                <w:iCs/>
                <w:lang w:val="en-GB"/>
              </w:rPr>
              <w:t>Malaria</w:t>
            </w:r>
            <w:r w:rsidRPr="00E8461E">
              <w:rPr>
                <w:rFonts w:ascii="Calibri" w:hAnsi="Calibri" w:cs="Calibri"/>
                <w:lang w:val="en-GB"/>
              </w:rPr>
              <w:t xml:space="preserve"> is an infection caused by parasites transmitted to humans by infected Anopheles mosquitoes. The severity of disease varies, but it can be life-threatening. Endemic malaria has been eradicated from Australia since the 1960s. There is a risk that climate change could enable exotic malaria vectors to establish in Australia and cause disease outbreaks. Malaria vaccines are not currently recommended for use in Australia.</w:t>
            </w:r>
            <w:r w:rsidRPr="00E8461E">
              <w:rPr>
                <w:rStyle w:val="EndnoteReference"/>
                <w:rFonts w:ascii="Calibri" w:hAnsi="Calibri" w:cs="Calibri"/>
                <w:lang w:val="en-GB"/>
              </w:rPr>
              <w:endnoteReference w:id="266"/>
            </w:r>
          </w:p>
        </w:tc>
      </w:tr>
      <w:tr w:rsidR="009F52D7" w:rsidRPr="00E8461E" w14:paraId="31F8F293" w14:textId="77777777" w:rsidTr="00653752">
        <w:tc>
          <w:tcPr>
            <w:tcW w:w="1579" w:type="dxa"/>
          </w:tcPr>
          <w:p w14:paraId="589456E4" w14:textId="77777777" w:rsidR="009F52D7" w:rsidRPr="00E8461E" w:rsidRDefault="009F52D7" w:rsidP="006D276A">
            <w:pPr>
              <w:rPr>
                <w:rFonts w:ascii="Calibri" w:hAnsi="Calibri" w:cs="Calibri"/>
                <w:b/>
                <w:lang w:val="en-GB"/>
              </w:rPr>
            </w:pPr>
            <w:r w:rsidRPr="00E8461E">
              <w:rPr>
                <w:rFonts w:ascii="Calibri" w:hAnsi="Calibri" w:cs="Calibri"/>
                <w:b/>
                <w:lang w:val="en-GB"/>
              </w:rPr>
              <w:t xml:space="preserve">Japanese encephalitis </w:t>
            </w:r>
          </w:p>
        </w:tc>
        <w:tc>
          <w:tcPr>
            <w:tcW w:w="7437" w:type="dxa"/>
          </w:tcPr>
          <w:p w14:paraId="4DD65147" w14:textId="77777777" w:rsidR="009F52D7" w:rsidRPr="00E8461E" w:rsidRDefault="009F52D7" w:rsidP="006D276A">
            <w:pPr>
              <w:rPr>
                <w:lang w:val="en-GB"/>
              </w:rPr>
            </w:pPr>
            <w:r w:rsidRPr="00E8461E">
              <w:rPr>
                <w:rFonts w:ascii="Calibri" w:hAnsi="Calibri" w:cs="Calibri"/>
                <w:i/>
                <w:iCs/>
                <w:lang w:val="en-GB"/>
              </w:rPr>
              <w:t>Japanese Encephalitis Virus</w:t>
            </w:r>
            <w:r w:rsidRPr="00E8461E">
              <w:rPr>
                <w:rFonts w:ascii="Calibri" w:hAnsi="Calibri" w:cs="Calibri"/>
                <w:lang w:val="en-GB"/>
              </w:rPr>
              <w:t xml:space="preserve"> (JEV) is spread from animals to humans via Culex mosquitoes. Although most infections are asymptomatic, symptomatic cases have a high rate of mortality and permanent morbidity. Disease is preventable with two safe and effective vaccines currently recommended for high-risk groups in Australia.</w:t>
            </w:r>
            <w:r w:rsidRPr="00E8461E">
              <w:rPr>
                <w:rStyle w:val="EndnoteReference"/>
                <w:rFonts w:ascii="Calibri" w:hAnsi="Calibri" w:cs="Calibri"/>
                <w:lang w:val="en-GB"/>
              </w:rPr>
              <w:endnoteReference w:id="267"/>
            </w:r>
            <w:r w:rsidRPr="00E8461E">
              <w:rPr>
                <w:rFonts w:ascii="Calibri" w:hAnsi="Calibri" w:cs="Calibri"/>
                <w:lang w:val="en-GB"/>
              </w:rPr>
              <w:t xml:space="preserve"> Climate change may increase JEV outbreaks in the future.</w:t>
            </w:r>
          </w:p>
        </w:tc>
      </w:tr>
      <w:tr w:rsidR="009F52D7" w:rsidRPr="00E8461E" w14:paraId="20779642" w14:textId="77777777" w:rsidTr="00653752">
        <w:tc>
          <w:tcPr>
            <w:tcW w:w="1579" w:type="dxa"/>
          </w:tcPr>
          <w:p w14:paraId="367ECCD1" w14:textId="77777777" w:rsidR="009F52D7" w:rsidRPr="00E8461E" w:rsidRDefault="009F52D7" w:rsidP="006D276A">
            <w:pPr>
              <w:rPr>
                <w:rFonts w:ascii="Calibri" w:hAnsi="Calibri" w:cs="Calibri"/>
                <w:b/>
                <w:lang w:val="en-GB"/>
              </w:rPr>
            </w:pPr>
            <w:r w:rsidRPr="00E8461E">
              <w:rPr>
                <w:rFonts w:ascii="Calibri" w:hAnsi="Calibri" w:cs="Calibri"/>
                <w:b/>
                <w:lang w:val="en-GB"/>
              </w:rPr>
              <w:t>Murray Valley Encephalitis and Ross River Virus</w:t>
            </w:r>
          </w:p>
        </w:tc>
        <w:tc>
          <w:tcPr>
            <w:tcW w:w="7437" w:type="dxa"/>
          </w:tcPr>
          <w:p w14:paraId="3984387B" w14:textId="559EC168" w:rsidR="009F52D7" w:rsidRPr="00E8461E" w:rsidRDefault="009F52D7" w:rsidP="006D276A">
            <w:r w:rsidRPr="00E8461E">
              <w:rPr>
                <w:i/>
                <w:iCs/>
              </w:rPr>
              <w:t>Murray Valley Encephalitis Virus</w:t>
            </w:r>
            <w:r w:rsidRPr="00E8461E">
              <w:t xml:space="preserve"> and </w:t>
            </w:r>
            <w:r w:rsidRPr="00E8461E">
              <w:rPr>
                <w:i/>
                <w:iCs/>
              </w:rPr>
              <w:t>Ross River Virus</w:t>
            </w:r>
            <w:r w:rsidRPr="00E8461E">
              <w:t xml:space="preserve"> are both transmitted to humans by infected mosquitoes. </w:t>
            </w:r>
            <w:r w:rsidR="00B33A9E" w:rsidRPr="00E8461E">
              <w:t xml:space="preserve">The disease </w:t>
            </w:r>
            <w:r w:rsidRPr="00E8461E">
              <w:t xml:space="preserve">caused by both viruses is generally </w:t>
            </w:r>
            <w:proofErr w:type="gramStart"/>
            <w:r w:rsidRPr="00E8461E">
              <w:t>mild, but</w:t>
            </w:r>
            <w:proofErr w:type="gramEnd"/>
            <w:r w:rsidRPr="00E8461E">
              <w:t xml:space="preserve"> can be severe. Both viruses are currently endemic in Australia, with most cases occurring in northern Australia. There is no specific treatment or vaccine. </w:t>
            </w:r>
            <w:r w:rsidRPr="00E8461E">
              <w:rPr>
                <w:rFonts w:ascii="Calibri" w:eastAsia="Calibri" w:hAnsi="Calibri" w:cs="Calibri"/>
              </w:rPr>
              <w:t xml:space="preserve">Climate change could potentially result in increased transmission and disease in Australia. </w:t>
            </w:r>
          </w:p>
        </w:tc>
      </w:tr>
    </w:tbl>
    <w:p w14:paraId="26CC3812" w14:textId="31E0CFB1" w:rsidR="009F52D7" w:rsidRPr="00E8461E" w:rsidRDefault="009F52D7" w:rsidP="009F52D7">
      <w:pPr>
        <w:rPr>
          <w:b/>
          <w:lang w:val="en-GB"/>
        </w:rPr>
      </w:pPr>
    </w:p>
    <w:p w14:paraId="61663B3C" w14:textId="77777777" w:rsidR="00D80EFD" w:rsidRPr="00E8461E" w:rsidRDefault="00D80EFD" w:rsidP="00D80EFD">
      <w:pPr>
        <w:pStyle w:val="Heading4"/>
        <w:rPr>
          <w:iCs w:val="0"/>
        </w:rPr>
      </w:pPr>
      <w:r w:rsidRPr="00E8461E">
        <w:rPr>
          <w:iCs w:val="0"/>
        </w:rPr>
        <w:lastRenderedPageBreak/>
        <w:t>Case study 16</w:t>
      </w:r>
    </w:p>
    <w:p w14:paraId="29FB5912" w14:textId="77777777" w:rsidR="00D80EFD" w:rsidRPr="00E8461E" w:rsidRDefault="00D80EFD" w:rsidP="00D80EFD">
      <w:pPr>
        <w:tabs>
          <w:tab w:val="left" w:pos="5674"/>
        </w:tabs>
        <w:rPr>
          <w:rFonts w:ascii="Calibri" w:hAnsi="Calibri" w:cs="Calibri"/>
          <w:b/>
          <w:lang w:val="en-GB"/>
        </w:rPr>
      </w:pPr>
      <w:r w:rsidRPr="00E8461E">
        <w:rPr>
          <w:rFonts w:ascii="Calibri" w:hAnsi="Calibri" w:cs="Calibri"/>
          <w:b/>
          <w:lang w:val="en-GB"/>
        </w:rPr>
        <w:t>Wolbachia release in North Queensland communities</w:t>
      </w:r>
    </w:p>
    <w:p w14:paraId="2A94CD13" w14:textId="77777777" w:rsidR="00D80EFD" w:rsidRPr="00E8461E" w:rsidRDefault="00D80EFD" w:rsidP="00D80EFD">
      <w:pPr>
        <w:rPr>
          <w:lang w:val="en-GB"/>
        </w:rPr>
      </w:pPr>
      <w:r w:rsidRPr="00E8461E">
        <w:rPr>
          <w:lang w:val="en-GB"/>
        </w:rPr>
        <w:t xml:space="preserve">Certain tropical diseases, including dengue, yellow fever and Zika, are primarily spread by the </w:t>
      </w:r>
      <w:r w:rsidRPr="00E8461E">
        <w:rPr>
          <w:i/>
          <w:iCs/>
          <w:lang w:val="en-GB"/>
        </w:rPr>
        <w:t>Aedes aegypti</w:t>
      </w:r>
      <w:r w:rsidRPr="00E8461E">
        <w:rPr>
          <w:lang w:val="en-GB"/>
        </w:rPr>
        <w:t xml:space="preserve"> mosquito. Traditional vector control has largely failed to control </w:t>
      </w:r>
      <w:r w:rsidRPr="00E8461E">
        <w:rPr>
          <w:i/>
          <w:iCs/>
          <w:lang w:val="en-GB"/>
        </w:rPr>
        <w:t>Aedes aegypti</w:t>
      </w:r>
      <w:r w:rsidRPr="00E8461E" w:rsidDel="00A776C8">
        <w:rPr>
          <w:lang w:val="en-GB"/>
        </w:rPr>
        <w:t xml:space="preserve"> </w:t>
      </w:r>
      <w:r w:rsidRPr="00E8461E">
        <w:rPr>
          <w:lang w:val="en-GB"/>
        </w:rPr>
        <w:t>due to widespread insecticide resistance and resource constraints, with multiple dengue cases reported annually in Queensland. Climate change is leading to an expansion of mosquito habitat and prolongation of the active mosquito season, increasing the risk of human exposure to vector-borne disease.</w:t>
      </w:r>
    </w:p>
    <w:p w14:paraId="298C1AF6" w14:textId="77777777" w:rsidR="00D80EFD" w:rsidRPr="00E8461E" w:rsidRDefault="00D80EFD" w:rsidP="00D80EFD">
      <w:pPr>
        <w:rPr>
          <w:lang w:val="en-GB"/>
        </w:rPr>
      </w:pPr>
      <w:r w:rsidRPr="00E8461E">
        <w:rPr>
          <w:lang w:val="en-GB"/>
        </w:rPr>
        <w:t xml:space="preserve">In Cairns in 2011, the World Mosquito Program released a few dozen </w:t>
      </w:r>
      <w:r w:rsidRPr="00E8461E">
        <w:rPr>
          <w:i/>
          <w:iCs/>
          <w:lang w:val="en-GB"/>
        </w:rPr>
        <w:t>Aedes aegypti</w:t>
      </w:r>
      <w:r w:rsidRPr="00E8461E">
        <w:rPr>
          <w:lang w:val="en-GB"/>
        </w:rPr>
        <w:t xml:space="preserve"> mosquitos carrying a safe and naturally occurring bacteria called </w:t>
      </w:r>
      <w:r w:rsidRPr="00E8461E">
        <w:rPr>
          <w:i/>
          <w:iCs/>
          <w:lang w:val="en-GB"/>
        </w:rPr>
        <w:t>Wolbachia</w:t>
      </w:r>
      <w:r w:rsidRPr="00E8461E">
        <w:rPr>
          <w:lang w:val="en-GB"/>
        </w:rPr>
        <w:t xml:space="preserve">. When </w:t>
      </w:r>
      <w:r w:rsidRPr="00E8461E">
        <w:rPr>
          <w:i/>
          <w:iCs/>
          <w:lang w:val="en-GB"/>
        </w:rPr>
        <w:t>Aedes aegypti</w:t>
      </w:r>
      <w:r w:rsidRPr="00E8461E">
        <w:rPr>
          <w:lang w:val="en-GB"/>
        </w:rPr>
        <w:t xml:space="preserve"> carry </w:t>
      </w:r>
      <w:r w:rsidRPr="00E8461E">
        <w:rPr>
          <w:i/>
          <w:iCs/>
          <w:lang w:val="en-GB"/>
        </w:rPr>
        <w:t>Wolbachia</w:t>
      </w:r>
      <w:r w:rsidRPr="00E8461E">
        <w:rPr>
          <w:lang w:val="en-GB"/>
        </w:rPr>
        <w:t xml:space="preserve">, their capacity to spread viruses like dengue, yellow fever and zika is reduced. The technique of sterilising dengue carrying </w:t>
      </w:r>
      <w:r w:rsidRPr="00E8461E">
        <w:rPr>
          <w:i/>
          <w:iCs/>
          <w:lang w:val="en-GB"/>
        </w:rPr>
        <w:t>Aedes aegypti</w:t>
      </w:r>
      <w:r w:rsidRPr="00E8461E">
        <w:rPr>
          <w:lang w:val="en-GB"/>
        </w:rPr>
        <w:t xml:space="preserve"> offspring with </w:t>
      </w:r>
      <w:r w:rsidRPr="00E8461E">
        <w:rPr>
          <w:i/>
          <w:iCs/>
          <w:lang w:val="en-GB"/>
        </w:rPr>
        <w:t>Wolbachia</w:t>
      </w:r>
      <w:r w:rsidRPr="00E8461E">
        <w:rPr>
          <w:lang w:val="en-GB"/>
        </w:rPr>
        <w:t xml:space="preserve"> is regarded as a long term, self-sustaining public health intervention, and has been implemented in 11 countries. The Cairns release followed decades of research investigating the potential for </w:t>
      </w:r>
      <w:r w:rsidRPr="00E8461E">
        <w:rPr>
          <w:i/>
          <w:iCs/>
          <w:lang w:val="en-GB"/>
        </w:rPr>
        <w:t>Wolbachia</w:t>
      </w:r>
      <w:r w:rsidRPr="00E8461E">
        <w:rPr>
          <w:lang w:val="en-GB"/>
        </w:rPr>
        <w:t xml:space="preserve">-carrying </w:t>
      </w:r>
      <w:r w:rsidRPr="00E8461E">
        <w:rPr>
          <w:i/>
          <w:iCs/>
          <w:lang w:val="en-GB"/>
        </w:rPr>
        <w:t xml:space="preserve">Aedes aegypti </w:t>
      </w:r>
      <w:r w:rsidRPr="00E8461E">
        <w:rPr>
          <w:lang w:val="en-GB"/>
        </w:rPr>
        <w:t>mosquitoes to reduce the capacity of mosquitoes to spread disease.</w:t>
      </w:r>
    </w:p>
    <w:p w14:paraId="188C820F" w14:textId="7EF306A9" w:rsidR="00D80EFD" w:rsidRPr="00E8461E" w:rsidRDefault="00D80EFD" w:rsidP="00D80EFD">
      <w:pPr>
        <w:pBdr>
          <w:bottom w:val="single" w:sz="12" w:space="1" w:color="008A95" w:themeColor="accent1"/>
        </w:pBdr>
        <w:rPr>
          <w:b/>
          <w:lang w:val="en-GB"/>
        </w:rPr>
      </w:pPr>
      <w:r w:rsidRPr="00E8461E">
        <w:rPr>
          <w:lang w:val="en-GB"/>
        </w:rPr>
        <w:t xml:space="preserve">The World Mosquito Program has partnered with local councils and health services in Queensland to implement various programs, including the Dengue Safe Project </w:t>
      </w:r>
      <w:proofErr w:type="spellStart"/>
      <w:r w:rsidRPr="00E8461E">
        <w:rPr>
          <w:lang w:val="en-GB"/>
        </w:rPr>
        <w:t>Ingham</w:t>
      </w:r>
      <w:proofErr w:type="spellEnd"/>
      <w:r w:rsidRPr="00E8461E">
        <w:rPr>
          <w:lang w:val="en-GB"/>
        </w:rPr>
        <w:t xml:space="preserve">. Further research in Australia has demonstrated the potential for </w:t>
      </w:r>
      <w:r w:rsidRPr="00E8461E">
        <w:rPr>
          <w:i/>
          <w:iCs/>
          <w:lang w:val="en-GB"/>
        </w:rPr>
        <w:t>Wolbachia</w:t>
      </w:r>
      <w:r w:rsidRPr="00E8461E">
        <w:rPr>
          <w:lang w:val="en-GB"/>
        </w:rPr>
        <w:t xml:space="preserve"> to</w:t>
      </w:r>
      <w:r w:rsidRPr="00E8461E" w:rsidDel="001B71C7">
        <w:rPr>
          <w:lang w:val="en-GB"/>
        </w:rPr>
        <w:t xml:space="preserve"> </w:t>
      </w:r>
      <w:r w:rsidRPr="00E8461E">
        <w:rPr>
          <w:lang w:val="en-GB"/>
        </w:rPr>
        <w:t xml:space="preserve">reduce instances of dengue transmission in Queensland. In the summer of 2018, multiple research organisations participated in a trial release of </w:t>
      </w:r>
      <w:r w:rsidRPr="00E8461E">
        <w:rPr>
          <w:i/>
          <w:iCs/>
          <w:lang w:val="en-GB"/>
        </w:rPr>
        <w:t>Aedes aegypti</w:t>
      </w:r>
      <w:r w:rsidRPr="00E8461E">
        <w:rPr>
          <w:lang w:val="en-GB"/>
        </w:rPr>
        <w:t xml:space="preserve"> mosquitoes sterilised with </w:t>
      </w:r>
      <w:r w:rsidRPr="00E8461E">
        <w:rPr>
          <w:i/>
          <w:iCs/>
          <w:lang w:val="en-GB"/>
        </w:rPr>
        <w:t>Wolbachia</w:t>
      </w:r>
      <w:r w:rsidRPr="00E8461E">
        <w:rPr>
          <w:lang w:val="en-GB"/>
        </w:rPr>
        <w:t xml:space="preserve"> across three regions in Northern Queensland. Over 80% of the mosquito population were suppressed over the course of the trial period, and two out of the three sites saw substantially suppressed mosquito populations the following season. With fewer mosquitoes carrying dengue each season, the number of infections in humans may also decrease. To ensure effectiveness, levels of </w:t>
      </w:r>
      <w:r w:rsidRPr="00E8461E">
        <w:rPr>
          <w:i/>
          <w:iCs/>
          <w:lang w:val="en-GB"/>
        </w:rPr>
        <w:t>Wolbachia</w:t>
      </w:r>
      <w:r w:rsidRPr="00E8461E">
        <w:rPr>
          <w:lang w:val="en-GB"/>
        </w:rPr>
        <w:t xml:space="preserve"> must remain high in the mosquito population, which requires close monitoring to detect changes.</w:t>
      </w:r>
    </w:p>
    <w:p w14:paraId="28582AE1" w14:textId="466EA652" w:rsidR="009F52D7" w:rsidRPr="00E8461E" w:rsidRDefault="009F52D7" w:rsidP="009F52D7">
      <w:r w:rsidRPr="00E8461E">
        <w:rPr>
          <w:rFonts w:ascii="Calibri" w:hAnsi="Calibri" w:cs="Calibri"/>
          <w:lang w:val="en-GB"/>
        </w:rPr>
        <w:t xml:space="preserve">Climate change will also affect the emergence and transmission of a variety of other communicable diseases, in addition to those spread by vectors. </w:t>
      </w:r>
      <w:r w:rsidR="00FF6F44" w:rsidRPr="00E8461E">
        <w:rPr>
          <w:rFonts w:ascii="Calibri" w:hAnsi="Calibri" w:cs="Calibri"/>
          <w:lang w:val="en-GB"/>
        </w:rPr>
        <w:t>The e</w:t>
      </w:r>
      <w:r w:rsidRPr="00E8461E">
        <w:rPr>
          <w:rFonts w:ascii="Calibri" w:hAnsi="Calibri" w:cs="Calibri"/>
          <w:lang w:val="en-GB"/>
        </w:rPr>
        <w:t xml:space="preserve">cosystem stress, change, and destruction associated with climate change, combined with human population </w:t>
      </w:r>
      <w:proofErr w:type="gramStart"/>
      <w:r w:rsidRPr="00E8461E">
        <w:rPr>
          <w:rFonts w:ascii="Calibri" w:hAnsi="Calibri" w:cs="Calibri"/>
          <w:lang w:val="en-GB"/>
        </w:rPr>
        <w:t>factors</w:t>
      </w:r>
      <w:proofErr w:type="gramEnd"/>
      <w:r w:rsidRPr="00E8461E">
        <w:rPr>
          <w:rFonts w:ascii="Calibri" w:hAnsi="Calibri" w:cs="Calibri"/>
          <w:lang w:val="en-GB"/>
        </w:rPr>
        <w:t xml:space="preserve"> and changing land use, increase the risk of zoonotic disease transmission (transmission from animals to humans). Increased temperatures, extreme weather events, and other climate factors are also likely to cause altered transmission of food-, water-, and soil-borne diseases, and infectious skin diseases.</w:t>
      </w:r>
      <w:r w:rsidRPr="00E8461E">
        <w:rPr>
          <w:rStyle w:val="EndnoteReference"/>
          <w:rFonts w:ascii="Calibri" w:hAnsi="Calibri" w:cs="Calibri"/>
          <w:lang w:val="en-GB"/>
        </w:rPr>
        <w:endnoteReference w:id="268"/>
      </w:r>
      <w:r w:rsidRPr="00E8461E">
        <w:t xml:space="preserve"> Furthermore, climate change is also accelerating the emergence and spread of antimicrobial resistance.</w:t>
      </w:r>
      <w:r w:rsidRPr="00E8461E">
        <w:rPr>
          <w:rStyle w:val="EndnoteReference"/>
        </w:rPr>
        <w:endnoteReference w:id="269"/>
      </w:r>
    </w:p>
    <w:p w14:paraId="7BE627EE" w14:textId="63D77F20" w:rsidR="009F52D7" w:rsidRPr="00E8461E" w:rsidRDefault="009F52D7" w:rsidP="009F52D7">
      <w:pPr>
        <w:rPr>
          <w:lang w:val="en-GB"/>
        </w:rPr>
      </w:pPr>
      <w:r w:rsidRPr="00E8461E">
        <w:rPr>
          <w:rFonts w:ascii="Calibri" w:hAnsi="Calibri" w:cs="Calibri"/>
          <w:lang w:val="en-GB"/>
        </w:rPr>
        <w:t xml:space="preserve">A priority for the Australian Centre for Disease Control (CDC) is expected to be to support the enhancement of Australia’s capacity to identify, monitor and respond to the full spectrum of emerging communicable disease threats driven by climate change, in line with One Health principles. </w:t>
      </w:r>
      <w:r w:rsidRPr="00E8461E">
        <w:rPr>
          <w:lang w:val="en-GB"/>
        </w:rPr>
        <w:t xml:space="preserve">Enhanced and up-to-date communicable disease surveillance will facilitate the management of associated risks to health and wellbeing in Australia. The Australian CDC will play an important role in supporting </w:t>
      </w:r>
      <w:r w:rsidR="00330628" w:rsidRPr="00E8461E">
        <w:rPr>
          <w:lang w:val="en-GB"/>
        </w:rPr>
        <w:t xml:space="preserve">the </w:t>
      </w:r>
      <w:r w:rsidRPr="00E8461E">
        <w:rPr>
          <w:lang w:val="en-GB"/>
        </w:rPr>
        <w:t xml:space="preserve">improved coordination of communicable disease surveillance and response, including enhanced collaboration and data sharing between jurisdictions. The Australian CDC will also work to ensure One Health principles are embedded across portfolios and jurisdictions, in recognition of the need for proactive multisectoral collaboration to strengthen disease surveillance and pandemic prevention and preparedness at the human-animal-ecosystem interface. This work will complement and supplement work on other aspects of climate change and health data, monitoring, and surveillance outlined at </w:t>
      </w:r>
      <w:r w:rsidR="00BD0971" w:rsidRPr="00E8461E">
        <w:rPr>
          <w:lang w:val="en-GB"/>
        </w:rPr>
        <w:t>section 3.4</w:t>
      </w:r>
      <w:r w:rsidR="00C10326" w:rsidRPr="00E8461E">
        <w:rPr>
          <w:lang w:val="en-GB"/>
        </w:rPr>
        <w:t>.</w:t>
      </w:r>
      <w:r w:rsidR="00BD0971" w:rsidRPr="00E8461E">
        <w:rPr>
          <w:lang w:val="en-GB"/>
        </w:rPr>
        <w:t>1.</w:t>
      </w:r>
    </w:p>
    <w:p w14:paraId="5056C83C" w14:textId="77777777" w:rsidR="00D80EFD" w:rsidRPr="00E8461E" w:rsidRDefault="00D80EFD" w:rsidP="00D80EFD">
      <w:pPr>
        <w:pStyle w:val="Heading4"/>
        <w:rPr>
          <w:iCs w:val="0"/>
        </w:rPr>
      </w:pPr>
      <w:r w:rsidRPr="00E8461E">
        <w:rPr>
          <w:iCs w:val="0"/>
        </w:rPr>
        <w:lastRenderedPageBreak/>
        <w:t>Action 6.3</w:t>
      </w:r>
    </w:p>
    <w:p w14:paraId="2C4C7A9E" w14:textId="77777777" w:rsidR="00D80EFD" w:rsidRPr="00E8461E" w:rsidRDefault="00D80EFD" w:rsidP="00D80EFD">
      <w:pPr>
        <w:rPr>
          <w:b/>
          <w:lang w:val="en-GB"/>
        </w:rPr>
      </w:pPr>
      <w:r w:rsidRPr="00E8461E">
        <w:rPr>
          <w:b/>
          <w:lang w:val="en-GB"/>
        </w:rPr>
        <w:t>Addressing climate change impacts on communicable disease</w:t>
      </w:r>
    </w:p>
    <w:p w14:paraId="0D08CA8E" w14:textId="77777777" w:rsidR="00D80EFD" w:rsidRPr="00E8461E" w:rsidRDefault="00D80EFD" w:rsidP="00D80EFD">
      <w:pPr>
        <w:rPr>
          <w:lang w:val="en-GB"/>
        </w:rPr>
      </w:pPr>
      <w:r w:rsidRPr="00E8461E">
        <w:rPr>
          <w:lang w:val="en-GB"/>
        </w:rPr>
        <w:t>It is anticipated that the Australian Centre for Disease Control will work with jurisdictional stakeholders to enhance Australia’s communicable disease surveillance, prevention, and response capabilities, reflecting the impacts of climate change on communicable disease emergence and transmission. Key considerations will include:</w:t>
      </w:r>
    </w:p>
    <w:p w14:paraId="254F642F" w14:textId="77777777" w:rsidR="00D80EFD" w:rsidRPr="00E8461E" w:rsidRDefault="00D80EFD" w:rsidP="00D80EFD">
      <w:pPr>
        <w:pStyle w:val="ListParagraph"/>
        <w:numPr>
          <w:ilvl w:val="0"/>
          <w:numId w:val="5"/>
        </w:numPr>
        <w:rPr>
          <w:bCs/>
          <w:lang w:val="en-GB"/>
        </w:rPr>
      </w:pPr>
      <w:r w:rsidRPr="00E8461E">
        <w:rPr>
          <w:bCs/>
          <w:lang w:val="en-GB"/>
        </w:rPr>
        <w:t>Increasing data sharing, linkages, and analysis across departments and jurisdictions, with improved consistency and integration of human and animal disease and relevant ecosystem data</w:t>
      </w:r>
    </w:p>
    <w:p w14:paraId="71C31432" w14:textId="77777777" w:rsidR="00D80EFD" w:rsidRPr="00E8461E" w:rsidRDefault="00D80EFD" w:rsidP="00D80EFD">
      <w:pPr>
        <w:pStyle w:val="ListParagraph"/>
        <w:numPr>
          <w:ilvl w:val="0"/>
          <w:numId w:val="5"/>
        </w:numPr>
        <w:rPr>
          <w:bCs/>
          <w:lang w:val="en-GB"/>
        </w:rPr>
      </w:pPr>
      <w:r w:rsidRPr="00E8461E">
        <w:rPr>
          <w:bCs/>
          <w:lang w:val="en-GB"/>
        </w:rPr>
        <w:t>Enhancing surveillance and risk analysis of disease vectors, zoonotic disease, and antimicrobial resistance</w:t>
      </w:r>
    </w:p>
    <w:p w14:paraId="5D34DEDE" w14:textId="63EABA0C" w:rsidR="00D80EFD" w:rsidRPr="00E8461E" w:rsidRDefault="00D80EFD" w:rsidP="00D80EFD">
      <w:pPr>
        <w:pBdr>
          <w:bottom w:val="single" w:sz="12" w:space="1" w:color="008A95" w:themeColor="accent1"/>
        </w:pBdr>
        <w:rPr>
          <w:lang w:val="en-GB"/>
        </w:rPr>
      </w:pPr>
      <w:r w:rsidRPr="00E8461E">
        <w:rPr>
          <w:lang w:val="en-GB"/>
        </w:rPr>
        <w:t>Establishing governance and operational structures to coordinate, promote, support, and assess the adoption of One Health principles across all levels of Australian government.</w:t>
      </w:r>
    </w:p>
    <w:p w14:paraId="66B9D3DB" w14:textId="55518090" w:rsidR="009F52D7" w:rsidRPr="00E8461E" w:rsidRDefault="000967AC" w:rsidP="00CE2599">
      <w:pPr>
        <w:pStyle w:val="Heading2"/>
        <w:rPr>
          <w:rStyle w:val="Heading3Char"/>
          <w:b/>
          <w:sz w:val="26"/>
          <w:szCs w:val="26"/>
        </w:rPr>
      </w:pPr>
      <w:bookmarkStart w:id="200" w:name="_Toc151999642"/>
      <w:r w:rsidRPr="00E8461E">
        <w:rPr>
          <w:rStyle w:val="Heading3Char"/>
          <w:b/>
          <w:sz w:val="26"/>
          <w:szCs w:val="26"/>
        </w:rPr>
        <w:t>6</w:t>
      </w:r>
      <w:r w:rsidR="009F52D7" w:rsidRPr="00E8461E">
        <w:rPr>
          <w:rStyle w:val="Heading3Char"/>
          <w:b/>
          <w:sz w:val="26"/>
          <w:szCs w:val="26"/>
        </w:rPr>
        <w:t>.</w:t>
      </w:r>
      <w:r w:rsidR="00623D7B" w:rsidRPr="00E8461E">
        <w:rPr>
          <w:rStyle w:val="Heading3Char"/>
          <w:b/>
          <w:sz w:val="26"/>
          <w:szCs w:val="26"/>
        </w:rPr>
        <w:t>4</w:t>
      </w:r>
      <w:r w:rsidR="009F52D7" w:rsidRPr="00E8461E">
        <w:rPr>
          <w:rStyle w:val="Heading3Char"/>
          <w:b/>
          <w:sz w:val="26"/>
          <w:szCs w:val="26"/>
        </w:rPr>
        <w:t xml:space="preserve"> Mental health</w:t>
      </w:r>
      <w:bookmarkEnd w:id="200"/>
    </w:p>
    <w:p w14:paraId="0201619D" w14:textId="5EAD9A9A" w:rsidR="009F52D7" w:rsidRPr="00E8461E" w:rsidRDefault="009F52D7" w:rsidP="009F52D7">
      <w:pPr>
        <w:rPr>
          <w:lang w:val="en-GB"/>
        </w:rPr>
      </w:pPr>
      <w:r w:rsidRPr="00E8461E">
        <w:t>The impacts of climate change on mental health and wellbeing are serious and wide-reaching.</w:t>
      </w:r>
      <w:r w:rsidRPr="00E8461E">
        <w:rPr>
          <w:rStyle w:val="EndnoteReference"/>
        </w:rPr>
        <w:endnoteReference w:id="270"/>
      </w:r>
      <w:r w:rsidRPr="00E8461E">
        <w:t xml:space="preserve"> People in Australia are already experiencing psychological distress, exacerbations of existing mental health conditions, and other adverse mental health outcomes as a result of the impacts of climate change</w:t>
      </w:r>
      <w:r w:rsidR="00536DB1" w:rsidRPr="00E8461E">
        <w:t xml:space="preserve"> and extreme events</w:t>
      </w:r>
      <w:r w:rsidRPr="00E8461E">
        <w:t>.</w:t>
      </w:r>
      <w:r w:rsidRPr="00E8461E">
        <w:rPr>
          <w:rStyle w:val="EndnoteReference"/>
        </w:rPr>
        <w:endnoteReference w:id="271"/>
      </w:r>
      <w:r w:rsidRPr="00E8461E">
        <w:rPr>
          <w:vertAlign w:val="superscript"/>
        </w:rPr>
        <w:t>,</w:t>
      </w:r>
      <w:r w:rsidRPr="00E8461E">
        <w:rPr>
          <w:rStyle w:val="EndnoteReference"/>
        </w:rPr>
        <w:endnoteReference w:id="272"/>
      </w:r>
      <w:r w:rsidRPr="00E8461E">
        <w:t xml:space="preserve"> Even without first-hand exposure, the mere awareness of the unfolding threat of climate change can have mental health impacts.</w:t>
      </w:r>
      <w:r w:rsidRPr="00E8461E">
        <w:rPr>
          <w:rStyle w:val="EndnoteReference"/>
        </w:rPr>
        <w:endnoteReference w:id="273"/>
      </w:r>
      <w:r w:rsidRPr="00E8461E">
        <w:t xml:space="preserve"> In one study, more than half (51%) of Australians surveyed </w:t>
      </w:r>
      <w:r w:rsidR="00345972" w:rsidRPr="00E8461E">
        <w:t xml:space="preserve">were </w:t>
      </w:r>
      <w:r w:rsidRPr="00E8461E">
        <w:t>“very (25%) or fairly (26%) worried” about climate change and extreme weather events in Australia</w:t>
      </w:r>
      <w:r w:rsidRPr="00E8461E">
        <w:rPr>
          <w:lang w:val="en-GB"/>
        </w:rPr>
        <w:t>.</w:t>
      </w:r>
      <w:r w:rsidRPr="00E8461E">
        <w:rPr>
          <w:rStyle w:val="EndnoteReference"/>
          <w:lang w:val="en-GB"/>
        </w:rPr>
        <w:endnoteReference w:id="274"/>
      </w:r>
      <w:r w:rsidRPr="00E8461E">
        <w:rPr>
          <w:lang w:val="en-GB"/>
        </w:rPr>
        <w:t xml:space="preserve"> ‘Climate distress’ can lead to mental disorders, especially if individuals and communities do not receive adequate support.</w:t>
      </w:r>
      <w:r w:rsidRPr="00E8461E">
        <w:rPr>
          <w:rStyle w:val="EndnoteReference"/>
          <w:lang w:val="en-GB"/>
        </w:rPr>
        <w:endnoteReference w:id="275"/>
      </w:r>
    </w:p>
    <w:p w14:paraId="4CA384C4" w14:textId="128EB254" w:rsidR="009F52D7" w:rsidRPr="00E8461E" w:rsidRDefault="009F52D7" w:rsidP="009F52D7">
      <w:r w:rsidRPr="00E8461E">
        <w:rPr>
          <w:rStyle w:val="normaltextrun"/>
          <w:rFonts w:ascii="Calibri" w:hAnsi="Calibri" w:cs="Calibri"/>
          <w:color w:val="000000"/>
          <w:bdr w:val="none" w:sz="0" w:space="0" w:color="auto" w:frame="1"/>
        </w:rPr>
        <w:t>Climate change magnifies the already inequitable distribution of mental ill-health in Australia,</w:t>
      </w:r>
      <w:r w:rsidRPr="00E8461E">
        <w:rPr>
          <w:rStyle w:val="EndnoteReference"/>
          <w:rFonts w:ascii="Calibri" w:hAnsi="Calibri" w:cs="Calibri"/>
          <w:color w:val="000000"/>
          <w:bdr w:val="none" w:sz="0" w:space="0" w:color="auto" w:frame="1"/>
        </w:rPr>
        <w:endnoteReference w:id="276"/>
      </w:r>
      <w:r w:rsidRPr="00E8461E">
        <w:rPr>
          <w:rStyle w:val="normaltextrun"/>
          <w:rFonts w:ascii="Calibri" w:hAnsi="Calibri" w:cs="Calibri"/>
          <w:color w:val="000000"/>
          <w:bdr w:val="none" w:sz="0" w:space="0" w:color="auto" w:frame="1"/>
        </w:rPr>
        <w:t xml:space="preserve"> and this is projected to get worse.</w:t>
      </w:r>
      <w:r w:rsidRPr="00E8461E">
        <w:rPr>
          <w:rStyle w:val="EndnoteReference"/>
          <w:rFonts w:ascii="Calibri" w:hAnsi="Calibri" w:cs="Calibri"/>
          <w:color w:val="000000"/>
          <w:bdr w:val="none" w:sz="0" w:space="0" w:color="auto" w:frame="1"/>
        </w:rPr>
        <w:endnoteReference w:id="277"/>
      </w:r>
      <w:r w:rsidRPr="00E8461E">
        <w:rPr>
          <w:rStyle w:val="normaltextrun"/>
          <w:rFonts w:ascii="Calibri" w:hAnsi="Calibri" w:cs="Calibri"/>
          <w:color w:val="000000"/>
          <w:bdr w:val="none" w:sz="0" w:space="0" w:color="auto" w:frame="1"/>
        </w:rPr>
        <w:t xml:space="preserve"> </w:t>
      </w:r>
      <w:r w:rsidRPr="00E8461E">
        <w:rPr>
          <w:lang w:val="en-GB"/>
        </w:rPr>
        <w:t xml:space="preserve">Populations at greatest risk of negative mental health impacts of climate change include young people; people living with existing mental illness and disabilities; First Nations people and culturally </w:t>
      </w:r>
      <w:r w:rsidR="00795970" w:rsidRPr="00E8461E">
        <w:rPr>
          <w:lang w:val="en-GB"/>
        </w:rPr>
        <w:t>and linguistically</w:t>
      </w:r>
      <w:r w:rsidRPr="00E8461E">
        <w:rPr>
          <w:lang w:val="en-GB"/>
        </w:rPr>
        <w:t xml:space="preserve"> diverse groups; and </w:t>
      </w:r>
      <w:r w:rsidRPr="00E8461E">
        <w:t>people experiencing or at risk of family, domestic and sexual violence.</w:t>
      </w:r>
      <w:r w:rsidR="00C40A31" w:rsidRPr="00E8461E">
        <w:rPr>
          <w:rStyle w:val="EndnoteReference"/>
        </w:rPr>
        <w:endnoteReference w:id="278"/>
      </w:r>
      <w:r w:rsidRPr="00E8461E">
        <w:rPr>
          <w:lang w:val="en-GB"/>
        </w:rPr>
        <w:t xml:space="preserve"> Other at-risk groups include those who live in rural and remote communities, live in low socio-economic areas, or are vocationally exposed to climate change.</w:t>
      </w:r>
      <w:r w:rsidRPr="00E8461E">
        <w:rPr>
          <w:rStyle w:val="EndnoteReference"/>
          <w:lang w:val="en-GB"/>
        </w:rPr>
        <w:endnoteReference w:id="279"/>
      </w:r>
      <w:r w:rsidRPr="00E8461E">
        <w:rPr>
          <w:vertAlign w:val="superscript"/>
          <w:lang w:val="en-GB"/>
        </w:rPr>
        <w:t>,</w:t>
      </w:r>
      <w:r w:rsidRPr="00E8461E">
        <w:rPr>
          <w:rStyle w:val="EndnoteReference"/>
          <w:lang w:val="en-GB"/>
        </w:rPr>
        <w:endnoteReference w:id="280"/>
      </w:r>
      <w:r w:rsidRPr="00E8461E">
        <w:rPr>
          <w:vertAlign w:val="superscript"/>
          <w:lang w:val="en-GB"/>
        </w:rPr>
        <w:t>,</w:t>
      </w:r>
      <w:r w:rsidRPr="00E8461E">
        <w:rPr>
          <w:rStyle w:val="EndnoteReference"/>
          <w:lang w:val="en-GB"/>
        </w:rPr>
        <w:endnoteReference w:id="281"/>
      </w:r>
      <w:r w:rsidRPr="00E8461E">
        <w:rPr>
          <w:lang w:val="en-GB"/>
        </w:rPr>
        <w:t xml:space="preserve"> </w:t>
      </w:r>
      <w:r w:rsidRPr="00E8461E">
        <w:t>The Australian Government recognises the need to further support these priority populations, and ensure that mental health support is provided in a way that is proactive, accessible, and appropriate to their circumstances.</w:t>
      </w:r>
    </w:p>
    <w:p w14:paraId="2BD891D1" w14:textId="65DB30A3" w:rsidR="00BA055E" w:rsidRPr="00E8461E" w:rsidRDefault="00661B0F" w:rsidP="009F52D7">
      <w:pPr>
        <w:rPr>
          <w:rFonts w:eastAsia="Times New Roman"/>
          <w:lang w:val="en-GB"/>
        </w:rPr>
      </w:pPr>
      <w:r w:rsidRPr="00E8461E">
        <w:rPr>
          <w:rFonts w:eastAsia="Times New Roman"/>
          <w:lang w:val="en-GB"/>
        </w:rPr>
        <w:t>One of the way</w:t>
      </w:r>
      <w:r w:rsidR="003373E6" w:rsidRPr="00E8461E">
        <w:rPr>
          <w:rFonts w:eastAsia="Times New Roman"/>
          <w:lang w:val="en-GB"/>
        </w:rPr>
        <w:t>s</w:t>
      </w:r>
      <w:r w:rsidRPr="00E8461E">
        <w:rPr>
          <w:rFonts w:eastAsia="Times New Roman"/>
          <w:lang w:val="en-GB"/>
        </w:rPr>
        <w:t xml:space="preserve"> in which </w:t>
      </w:r>
      <w:r w:rsidR="001E6C3C" w:rsidRPr="00E8461E">
        <w:rPr>
          <w:rFonts w:eastAsia="Times New Roman"/>
          <w:lang w:val="en-GB"/>
        </w:rPr>
        <w:t xml:space="preserve">climate change affects mental health and wellbeing is through </w:t>
      </w:r>
      <w:r w:rsidR="00A111A8" w:rsidRPr="00E8461E">
        <w:rPr>
          <w:rFonts w:eastAsia="Times New Roman"/>
          <w:lang w:val="en-GB"/>
        </w:rPr>
        <w:t>the impacts of climate</w:t>
      </w:r>
      <w:r w:rsidR="00110FDE" w:rsidRPr="00E8461E">
        <w:rPr>
          <w:rFonts w:eastAsia="Times New Roman"/>
          <w:lang w:val="en-GB"/>
        </w:rPr>
        <w:t>-related</w:t>
      </w:r>
      <w:r w:rsidR="00A111A8" w:rsidRPr="00E8461E">
        <w:rPr>
          <w:rFonts w:eastAsia="Times New Roman"/>
          <w:lang w:val="en-GB"/>
        </w:rPr>
        <w:t xml:space="preserve"> disasters and extreme weather events. </w:t>
      </w:r>
      <w:r w:rsidR="009F52D7" w:rsidRPr="00E8461E">
        <w:rPr>
          <w:rFonts w:eastAsia="Times New Roman"/>
          <w:lang w:val="en-GB"/>
        </w:rPr>
        <w:t xml:space="preserve">The </w:t>
      </w:r>
      <w:r w:rsidR="009F52D7" w:rsidRPr="00E8461E">
        <w:t>National Disaster Mental Health and Wellbeing Framework affirms a national commitment between Commonwealth, state and territory governments to consistently and sustainably support the delivery of mental health services and improve the wellbeing of affected individuals before, during and after disaster events and recommends all Australian governments adopt a five-year planning timeframe for mental health recovery.</w:t>
      </w:r>
      <w:r w:rsidR="009F52D7" w:rsidRPr="00E8461E">
        <w:rPr>
          <w:rStyle w:val="EndnoteReference"/>
          <w:rFonts w:eastAsia="Times New Roman"/>
          <w:lang w:val="en-GB"/>
        </w:rPr>
        <w:endnoteReference w:id="282"/>
      </w:r>
      <w:r w:rsidR="009F52D7" w:rsidRPr="00E8461E">
        <w:t xml:space="preserve"> </w:t>
      </w:r>
      <w:r w:rsidR="009F52D7" w:rsidRPr="00E8461E">
        <w:rPr>
          <w:rFonts w:eastAsia="Times New Roman"/>
          <w:lang w:val="en-GB"/>
        </w:rPr>
        <w:t>The Australian Government’s mental health investment in response to climate-related disasters has historically been through time-limited, ad hoc supports for individuals and communities as an immediate response to specific disaster events. However, evidence shows that disaster-affected individuals are likely to continue experiencing mental ill-health up to ten years after a disaster event.</w:t>
      </w:r>
      <w:r w:rsidR="009F52D7" w:rsidRPr="00E8461E">
        <w:rPr>
          <w:rStyle w:val="EndnoteReference"/>
          <w:rFonts w:eastAsia="Times New Roman"/>
          <w:lang w:val="en-GB"/>
        </w:rPr>
        <w:endnoteReference w:id="283"/>
      </w:r>
    </w:p>
    <w:p w14:paraId="204C822A" w14:textId="244F2EE3" w:rsidR="009F52D7" w:rsidRPr="00E8461E" w:rsidRDefault="009F52D7" w:rsidP="009F52D7">
      <w:pPr>
        <w:rPr>
          <w:vertAlign w:val="superscript"/>
          <w:lang w:val="en-GB"/>
        </w:rPr>
      </w:pPr>
      <w:r w:rsidRPr="00E8461E">
        <w:rPr>
          <w:rFonts w:eastAsia="Times New Roman"/>
          <w:lang w:val="en-GB"/>
        </w:rPr>
        <w:lastRenderedPageBreak/>
        <w:t>To ensure people are adequately supported to deal with the mental health impacts of climate change</w:t>
      </w:r>
      <w:r w:rsidR="003345A8" w:rsidRPr="00E8461E">
        <w:rPr>
          <w:rFonts w:eastAsia="Times New Roman"/>
          <w:lang w:val="en-GB"/>
        </w:rPr>
        <w:t xml:space="preserve"> – which include, but are not limited to, the impacts of climate disasters </w:t>
      </w:r>
      <w:r w:rsidR="004C28B4" w:rsidRPr="00E8461E">
        <w:rPr>
          <w:rFonts w:eastAsia="Times New Roman"/>
          <w:lang w:val="en-GB"/>
        </w:rPr>
        <w:t>–</w:t>
      </w:r>
      <w:r w:rsidR="003345A8" w:rsidRPr="00E8461E">
        <w:rPr>
          <w:rFonts w:eastAsia="Times New Roman"/>
          <w:lang w:val="en-GB"/>
        </w:rPr>
        <w:t xml:space="preserve"> </w:t>
      </w:r>
      <w:r w:rsidR="004C28B4" w:rsidRPr="00E8461E">
        <w:rPr>
          <w:rFonts w:eastAsia="Times New Roman"/>
          <w:lang w:val="en-GB"/>
        </w:rPr>
        <w:t xml:space="preserve">requires </w:t>
      </w:r>
      <w:r w:rsidRPr="00E8461E">
        <w:rPr>
          <w:rFonts w:eastAsia="Times New Roman"/>
          <w:lang w:val="en-GB"/>
        </w:rPr>
        <w:t xml:space="preserve">action </w:t>
      </w:r>
      <w:r w:rsidRPr="00E8461E">
        <w:rPr>
          <w:lang w:val="en-GB"/>
        </w:rPr>
        <w:t>from all levels of government, health care professionals, service providers, and the wider community</w:t>
      </w:r>
      <w:r w:rsidRPr="00E8461E">
        <w:rPr>
          <w:rFonts w:eastAsia="Times New Roman"/>
          <w:lang w:val="en-GB"/>
        </w:rPr>
        <w:t xml:space="preserve">. </w:t>
      </w:r>
      <w:r w:rsidRPr="00E8461E">
        <w:rPr>
          <w:rFonts w:ascii="Calibri" w:hAnsi="Calibri" w:cs="Calibri"/>
          <w:color w:val="000000"/>
          <w:bdr w:val="none" w:sz="0" w:space="0" w:color="auto" w:frame="1"/>
        </w:rPr>
        <w:t xml:space="preserve">Ensuring continuity of access to primary care is important, as is including primary care providers such as General Practitioners in mental health prevention and care planning and training for climate change. However, action to protect mental health from the impacts of climate change must extend beyond the health system. </w:t>
      </w:r>
      <w:r w:rsidRPr="00E8461E">
        <w:rPr>
          <w:lang w:val="en-GB"/>
        </w:rPr>
        <w:t xml:space="preserve">There is also a need to promote mental health and wellbeing and community psychological resilience in preparation for the ongoing climate crisis, such as </w:t>
      </w:r>
      <w:r w:rsidRPr="00E8461E">
        <w:t>by building skills for people to support each other in community settings to manage climate distress, and by increasing social connectedness</w:t>
      </w:r>
      <w:r w:rsidRPr="00E8461E">
        <w:rPr>
          <w:lang w:val="en-GB"/>
        </w:rPr>
        <w:t>.</w:t>
      </w:r>
      <w:r w:rsidRPr="00E8461E">
        <w:rPr>
          <w:rStyle w:val="EndnoteReference"/>
          <w:lang w:val="en-GB"/>
        </w:rPr>
        <w:endnoteReference w:id="284"/>
      </w:r>
      <w:r w:rsidRPr="00E8461E">
        <w:rPr>
          <w:vertAlign w:val="superscript"/>
          <w:lang w:val="en-GB"/>
        </w:rPr>
        <w:t>,</w:t>
      </w:r>
      <w:r w:rsidRPr="00E8461E">
        <w:rPr>
          <w:rStyle w:val="EndnoteReference"/>
          <w:lang w:val="en-GB"/>
        </w:rPr>
        <w:endnoteReference w:id="285"/>
      </w:r>
      <w:r w:rsidRPr="00E8461E">
        <w:rPr>
          <w:vertAlign w:val="superscript"/>
          <w:lang w:val="en-GB"/>
        </w:rPr>
        <w:t>,</w:t>
      </w:r>
      <w:r w:rsidRPr="00E8461E">
        <w:rPr>
          <w:rStyle w:val="EndnoteReference"/>
          <w:lang w:val="en-GB"/>
        </w:rPr>
        <w:endnoteReference w:id="286"/>
      </w:r>
      <w:r w:rsidRPr="00E8461E">
        <w:rPr>
          <w:vertAlign w:val="superscript"/>
          <w:lang w:val="en-GB"/>
        </w:rPr>
        <w:t>,</w:t>
      </w:r>
      <w:r w:rsidRPr="00E8461E">
        <w:rPr>
          <w:rStyle w:val="EndnoteReference"/>
          <w:lang w:val="en-GB"/>
        </w:rPr>
        <w:endnoteReference w:id="287"/>
      </w:r>
    </w:p>
    <w:p w14:paraId="37685AB3" w14:textId="77777777" w:rsidR="00D80EFD" w:rsidRPr="00E8461E" w:rsidRDefault="00D80EFD" w:rsidP="00D80EFD">
      <w:pPr>
        <w:pStyle w:val="Heading4"/>
        <w:rPr>
          <w:iCs w:val="0"/>
        </w:rPr>
      </w:pPr>
      <w:r w:rsidRPr="00E8461E">
        <w:rPr>
          <w:iCs w:val="0"/>
        </w:rPr>
        <w:t>Action 6.4</w:t>
      </w:r>
    </w:p>
    <w:p w14:paraId="396C659C" w14:textId="77777777" w:rsidR="00D80EFD" w:rsidRPr="00E8461E" w:rsidRDefault="00D80EFD" w:rsidP="00D80EFD">
      <w:pPr>
        <w:rPr>
          <w:b/>
          <w:lang w:val="en-GB"/>
        </w:rPr>
      </w:pPr>
      <w:r w:rsidRPr="00E8461E">
        <w:rPr>
          <w:b/>
          <w:lang w:val="en-GB"/>
        </w:rPr>
        <w:t>Increasing social community connectedness</w:t>
      </w:r>
    </w:p>
    <w:p w14:paraId="0CC68852" w14:textId="0E82F0AF" w:rsidR="00D80EFD" w:rsidRPr="00E8461E" w:rsidRDefault="00D80EFD" w:rsidP="00D80EFD">
      <w:pPr>
        <w:pBdr>
          <w:bottom w:val="single" w:sz="12" w:space="1" w:color="008A95" w:themeColor="accent1"/>
        </w:pBdr>
        <w:rPr>
          <w:lang w:val="en-GB"/>
        </w:rPr>
      </w:pPr>
      <w:r w:rsidRPr="00E8461E">
        <w:t>The Australian Government will work to improve and promote mental health initiatives aimed at increasing social community connectedness to help build longer-term resilience in communities before, and after, climate-related disasters and extreme weather events. This will help to address a wide range of mental health impacts of climate change, as well as support and complement the implementation of the National Disaster Mental Health and Wellbeing Framework.</w:t>
      </w:r>
    </w:p>
    <w:p w14:paraId="3D36C34C" w14:textId="47DEA56B" w:rsidR="009F52D7" w:rsidRPr="00E8461E" w:rsidRDefault="009F52D7" w:rsidP="009F52D7">
      <w:pPr>
        <w:rPr>
          <w:lang w:val="en-GB"/>
        </w:rPr>
      </w:pPr>
    </w:p>
    <w:p w14:paraId="26E9BDC2" w14:textId="77777777" w:rsidR="00D80EFD" w:rsidRPr="00E8461E" w:rsidRDefault="00D80EFD" w:rsidP="00D80EFD">
      <w:pPr>
        <w:pStyle w:val="Heading4"/>
        <w:rPr>
          <w:iCs w:val="0"/>
        </w:rPr>
      </w:pPr>
      <w:r w:rsidRPr="00E8461E">
        <w:rPr>
          <w:iCs w:val="0"/>
        </w:rPr>
        <w:t>Action 6.5</w:t>
      </w:r>
    </w:p>
    <w:p w14:paraId="702173E5" w14:textId="77777777" w:rsidR="00D80EFD" w:rsidRPr="00E8461E" w:rsidRDefault="00D80EFD" w:rsidP="00D80EFD">
      <w:pPr>
        <w:rPr>
          <w:b/>
          <w:lang w:val="en-GB"/>
        </w:rPr>
      </w:pPr>
      <w:r w:rsidRPr="00E8461E">
        <w:rPr>
          <w:b/>
          <w:lang w:val="en-GB"/>
        </w:rPr>
        <w:t>Building workforce</w:t>
      </w:r>
      <w:r w:rsidRPr="00E8461E">
        <w:rPr>
          <w:b/>
          <w:bCs/>
        </w:rPr>
        <w:t xml:space="preserve"> awareness, education, and capacity-building</w:t>
      </w:r>
    </w:p>
    <w:p w14:paraId="437CD44F" w14:textId="4E680FC7" w:rsidR="00D80EFD" w:rsidRPr="00E8461E" w:rsidRDefault="00D80EFD" w:rsidP="00D80EFD">
      <w:pPr>
        <w:pBdr>
          <w:bottom w:val="single" w:sz="12" w:space="1" w:color="008A95" w:themeColor="accent1"/>
        </w:pBdr>
        <w:rPr>
          <w:lang w:val="en-GB"/>
        </w:rPr>
      </w:pPr>
      <w:r w:rsidRPr="00E8461E">
        <w:rPr>
          <w:lang w:val="en-GB"/>
        </w:rPr>
        <w:t xml:space="preserve">The Australian Government </w:t>
      </w:r>
      <w:r w:rsidRPr="00E8461E">
        <w:t xml:space="preserve">will work with relevant stakeholders to build workforce capacity to prevent, identify, and respond to the mental health and wellbeing impacts of climate change, including by exploring options for training in climate change and mental </w:t>
      </w:r>
      <w:proofErr w:type="gramStart"/>
      <w:r w:rsidRPr="00E8461E">
        <w:t>health</w:t>
      </w:r>
      <w:proofErr w:type="gramEnd"/>
    </w:p>
    <w:p w14:paraId="7FB6EE0A" w14:textId="1C479168" w:rsidR="00345BA1" w:rsidRPr="00E8461E" w:rsidRDefault="000967AC" w:rsidP="00CE2599">
      <w:pPr>
        <w:pStyle w:val="Heading2"/>
      </w:pPr>
      <w:bookmarkStart w:id="201" w:name="_Toc151999643"/>
      <w:r w:rsidRPr="00E8461E">
        <w:t>6</w:t>
      </w:r>
      <w:r w:rsidR="009F5FE1" w:rsidRPr="00E8461E">
        <w:t>.</w:t>
      </w:r>
      <w:r w:rsidR="00623D7B" w:rsidRPr="00E8461E">
        <w:t>5</w:t>
      </w:r>
      <w:r w:rsidR="009F5FE1" w:rsidRPr="00E8461E">
        <w:t xml:space="preserve"> Food</w:t>
      </w:r>
      <w:bookmarkEnd w:id="198"/>
      <w:bookmarkEnd w:id="199"/>
      <w:r w:rsidR="00E52FB0" w:rsidRPr="00E8461E">
        <w:t xml:space="preserve">, </w:t>
      </w:r>
      <w:r w:rsidR="00786DC2" w:rsidRPr="00E8461E">
        <w:t xml:space="preserve">nutrition, </w:t>
      </w:r>
      <w:r w:rsidR="00E52FB0" w:rsidRPr="00E8461E">
        <w:t>agriculture</w:t>
      </w:r>
      <w:r w:rsidR="00D34233" w:rsidRPr="00E8461E">
        <w:t>, and land management</w:t>
      </w:r>
      <w:bookmarkEnd w:id="201"/>
    </w:p>
    <w:p w14:paraId="56975B57" w14:textId="76EA046C" w:rsidR="00345BA1" w:rsidRPr="00E8461E" w:rsidRDefault="00345BA1" w:rsidP="00345BA1">
      <w:r w:rsidRPr="00E8461E">
        <w:rPr>
          <w:rStyle w:val="normaltextrun"/>
          <w:rFonts w:ascii="Calibri" w:hAnsi="Calibri" w:cs="Calibri"/>
          <w:color w:val="000000"/>
          <w:shd w:val="clear" w:color="auto" w:fill="FFFFFF"/>
        </w:rPr>
        <w:t xml:space="preserve">Climate change </w:t>
      </w:r>
      <w:r w:rsidRPr="00E8461E">
        <w:rPr>
          <w:rFonts w:ascii="Calibri" w:hAnsi="Calibri" w:cs="Calibri"/>
          <w:color w:val="000000"/>
          <w:shd w:val="clear" w:color="auto" w:fill="FFFFFF"/>
        </w:rPr>
        <w:t>threatens safe and reliable access to sufficient, nutritious and culturally appropriate food</w:t>
      </w:r>
      <w:r w:rsidRPr="00E8461E">
        <w:rPr>
          <w:rStyle w:val="normaltextrun"/>
          <w:rFonts w:ascii="Calibri" w:hAnsi="Calibri" w:cs="Calibri"/>
          <w:color w:val="000000"/>
          <w:shd w:val="clear" w:color="auto" w:fill="FFFFFF"/>
        </w:rPr>
        <w:t>.</w:t>
      </w:r>
      <w:r w:rsidRPr="00E8461E">
        <w:rPr>
          <w:rStyle w:val="EndnoteReference"/>
          <w:rFonts w:ascii="Calibri" w:hAnsi="Calibri" w:cs="Calibri"/>
          <w:color w:val="000000"/>
          <w:shd w:val="clear" w:color="auto" w:fill="FFFFFF"/>
        </w:rPr>
        <w:endnoteReference w:id="288"/>
      </w:r>
      <w:r w:rsidRPr="00E8461E">
        <w:rPr>
          <w:rStyle w:val="normaltextrun"/>
          <w:rFonts w:ascii="Calibri" w:hAnsi="Calibri" w:cs="Calibri"/>
          <w:color w:val="000000"/>
          <w:shd w:val="clear" w:color="auto" w:fill="FFFFFF"/>
          <w:vertAlign w:val="superscript"/>
        </w:rPr>
        <w:t>,</w:t>
      </w:r>
      <w:r w:rsidRPr="00E8461E">
        <w:rPr>
          <w:rStyle w:val="EndnoteReference"/>
          <w:rFonts w:ascii="Calibri" w:hAnsi="Calibri" w:cs="Calibri"/>
          <w:color w:val="000000"/>
          <w:shd w:val="clear" w:color="auto" w:fill="FFFFFF"/>
        </w:rPr>
        <w:endnoteReference w:id="289"/>
      </w:r>
      <w:r w:rsidRPr="00E8461E">
        <w:rPr>
          <w:rStyle w:val="normaltextrun"/>
          <w:rFonts w:ascii="Calibri" w:hAnsi="Calibri" w:cs="Calibri"/>
          <w:color w:val="000000"/>
          <w:shd w:val="clear" w:color="auto" w:fill="FFFFFF"/>
          <w:vertAlign w:val="superscript"/>
        </w:rPr>
        <w:t xml:space="preserve"> </w:t>
      </w:r>
      <w:r w:rsidRPr="00E8461E">
        <w:rPr>
          <w:rStyle w:val="normaltextrun"/>
          <w:rFonts w:ascii="Calibri" w:hAnsi="Calibri" w:cs="Calibri"/>
          <w:color w:val="000000"/>
          <w:shd w:val="clear" w:color="auto" w:fill="FFFFFF"/>
        </w:rPr>
        <w:t>Changes in temperature and rainfall, increases in extreme weather events, and shifts in the distribution of pests and invasive species all pose risks to Australia’s food security, with consequences for dietary habits and, in turn, human health.</w:t>
      </w:r>
      <w:r w:rsidRPr="00E8461E">
        <w:rPr>
          <w:rStyle w:val="EndnoteReference"/>
          <w:rFonts w:ascii="Calibri" w:hAnsi="Calibri" w:cs="Calibri"/>
          <w:color w:val="000000"/>
          <w:shd w:val="clear" w:color="auto" w:fill="FFFFFF"/>
        </w:rPr>
        <w:endnoteReference w:id="290"/>
      </w:r>
      <w:r w:rsidRPr="00E8461E">
        <w:rPr>
          <w:rStyle w:val="normaltextrun"/>
          <w:rFonts w:ascii="Calibri" w:hAnsi="Calibri" w:cs="Calibri"/>
          <w:color w:val="000000"/>
          <w:sz w:val="24"/>
          <w:szCs w:val="24"/>
          <w:shd w:val="clear" w:color="auto" w:fill="FFFFFF"/>
          <w:vertAlign w:val="superscript"/>
        </w:rPr>
        <w:t>,</w:t>
      </w:r>
      <w:r w:rsidRPr="00E8461E">
        <w:rPr>
          <w:rStyle w:val="EndnoteReference"/>
          <w:rFonts w:ascii="Calibri" w:hAnsi="Calibri" w:cs="Calibri"/>
          <w:color w:val="000000"/>
          <w:shd w:val="clear" w:color="auto" w:fill="FFFFFF"/>
        </w:rPr>
        <w:endnoteReference w:id="291"/>
      </w:r>
      <w:r w:rsidRPr="00E8461E">
        <w:rPr>
          <w:rStyle w:val="normaltextrun"/>
          <w:rFonts w:ascii="Calibri" w:hAnsi="Calibri" w:cs="Calibri"/>
          <w:color w:val="000000"/>
          <w:sz w:val="24"/>
          <w:szCs w:val="24"/>
          <w:shd w:val="clear" w:color="auto" w:fill="FFFFFF"/>
        </w:rPr>
        <w:t xml:space="preserve"> </w:t>
      </w:r>
      <w:r w:rsidRPr="00E8461E">
        <w:rPr>
          <w:lang w:val="en-GB"/>
        </w:rPr>
        <w:t>T</w:t>
      </w:r>
      <w:r w:rsidRPr="00E8461E">
        <w:rPr>
          <w:rFonts w:eastAsia="Calibri"/>
        </w:rPr>
        <w:t>he Australian Government is working with the agricultural sector to</w:t>
      </w:r>
      <w:r w:rsidRPr="00E8461E">
        <w:t xml:space="preserve"> build climate resilience through a range of national programs and initiatives, including:</w:t>
      </w:r>
    </w:p>
    <w:p w14:paraId="0797F42C" w14:textId="2303E9EB" w:rsidR="00345BA1" w:rsidRPr="00E8461E" w:rsidRDefault="00345BA1" w:rsidP="00D80EFD">
      <w:pPr>
        <w:pStyle w:val="BulletUnindented"/>
      </w:pPr>
      <w:r w:rsidRPr="00E8461E">
        <w:rPr>
          <w:b/>
        </w:rPr>
        <w:t>Driving climate-smart agricultural practices</w:t>
      </w:r>
      <w:r w:rsidRPr="00E8461E">
        <w:t xml:space="preserve"> by working with state and territory governments and industry to ensure Australia continues to sustainably increase agricultural productivity, improve adaptation and resilience to a changing climate, and drive a low-emissions agriculture sector, </w:t>
      </w:r>
      <w:proofErr w:type="gramStart"/>
      <w:r w:rsidRPr="00E8461E">
        <w:t>in particular through</w:t>
      </w:r>
      <w:proofErr w:type="gramEnd"/>
      <w:r w:rsidRPr="00E8461E">
        <w:t xml:space="preserve"> the National Statement on Climate Change and Agriculture and the $302 million Climate-smart Agriculture Program.</w:t>
      </w:r>
      <w:r w:rsidR="00EF3142" w:rsidRPr="00E8461E">
        <w:rPr>
          <w:rStyle w:val="EndnoteReference"/>
          <w:rFonts w:eastAsia="Calibri"/>
          <w:color w:val="000000" w:themeColor="text1"/>
        </w:rPr>
        <w:t xml:space="preserve"> </w:t>
      </w:r>
      <w:r w:rsidR="00EF3142" w:rsidRPr="00E8461E">
        <w:rPr>
          <w:rStyle w:val="EndnoteReference"/>
          <w:rFonts w:eastAsia="Calibri"/>
          <w:color w:val="000000" w:themeColor="text1"/>
        </w:rPr>
        <w:endnoteReference w:id="292"/>
      </w:r>
    </w:p>
    <w:p w14:paraId="6B7EF993" w14:textId="6831A0EE" w:rsidR="00345BA1" w:rsidRPr="00E8461E" w:rsidRDefault="00345BA1" w:rsidP="00D80EFD">
      <w:pPr>
        <w:pStyle w:val="BulletUnindented"/>
      </w:pPr>
      <w:r w:rsidRPr="00E8461E">
        <w:rPr>
          <w:b/>
        </w:rPr>
        <w:t xml:space="preserve">Improving drought management, </w:t>
      </w:r>
      <w:proofErr w:type="gramStart"/>
      <w:r w:rsidRPr="00E8461E">
        <w:rPr>
          <w:b/>
        </w:rPr>
        <w:t>resilience</w:t>
      </w:r>
      <w:proofErr w:type="gramEnd"/>
      <w:r w:rsidRPr="00E8461E">
        <w:rPr>
          <w:b/>
        </w:rPr>
        <w:t xml:space="preserve"> and preparedness</w:t>
      </w:r>
      <w:r w:rsidRPr="00E8461E">
        <w:t xml:space="preserve"> by developing a new National Drought Agreement with states and territories. The</w:t>
      </w:r>
      <w:r w:rsidRPr="00E8461E" w:rsidDel="00081DE1">
        <w:t xml:space="preserve"> </w:t>
      </w:r>
      <w:r w:rsidR="00081DE1" w:rsidRPr="00E8461E">
        <w:t xml:space="preserve">Government </w:t>
      </w:r>
      <w:r w:rsidRPr="00E8461E">
        <w:t xml:space="preserve">will also develop a new Australian Government Drought Plan and drought decision-making framework and implement a drought early warning system. </w:t>
      </w:r>
      <w:r w:rsidRPr="00E8461E">
        <w:lastRenderedPageBreak/>
        <w:t>A new Drought Resilience Funding Plan and associated Investment Strategy will guide investment of the $400 million available from the Future Drought Fund over the period 2024-2028.</w:t>
      </w:r>
    </w:p>
    <w:p w14:paraId="01396216" w14:textId="77777777" w:rsidR="00345BA1" w:rsidRPr="00E8461E" w:rsidRDefault="00345BA1" w:rsidP="00D80EFD">
      <w:pPr>
        <w:pStyle w:val="BulletUnindented"/>
        <w:rPr>
          <w:rFonts w:ascii="Calibri" w:hAnsi="Calibri"/>
        </w:rPr>
      </w:pPr>
      <w:r w:rsidRPr="00E8461E">
        <w:rPr>
          <w:b/>
        </w:rPr>
        <w:t>Strengthening Australia’s future biosecurity system</w:t>
      </w:r>
      <w:r w:rsidRPr="00E8461E">
        <w:t xml:space="preserve"> through the National Biosecurity Strategy 2022-2032, which addresses changing and increasing biosecurity risks driven in part by climate change.</w:t>
      </w:r>
    </w:p>
    <w:p w14:paraId="06BDEF8A" w14:textId="77777777" w:rsidR="00EB70C3" w:rsidRPr="00E8461E" w:rsidRDefault="00EB70C3" w:rsidP="00EB70C3">
      <w:pPr>
        <w:rPr>
          <w:lang w:val="en-GB"/>
        </w:rPr>
      </w:pPr>
      <w:r w:rsidRPr="00E8461E">
        <w:rPr>
          <w:lang w:val="en-GB"/>
        </w:rPr>
        <w:t xml:space="preserve">Ensuring that Australia’s agriculture and food systems are healthy, </w:t>
      </w:r>
      <w:proofErr w:type="gramStart"/>
      <w:r w:rsidRPr="00E8461E">
        <w:rPr>
          <w:lang w:val="en-GB"/>
        </w:rPr>
        <w:t>resilient</w:t>
      </w:r>
      <w:proofErr w:type="gramEnd"/>
      <w:r w:rsidRPr="00E8461E">
        <w:rPr>
          <w:lang w:val="en-GB"/>
        </w:rPr>
        <w:t xml:space="preserve"> and sustainable is critical to reducing emissions and improving population health. At present, agriculture contributes 16.8% of Australia’s greenhouse gas emissions.</w:t>
      </w:r>
      <w:r w:rsidRPr="00E8461E">
        <w:rPr>
          <w:rStyle w:val="EndnoteReference"/>
          <w:lang w:val="en-GB"/>
        </w:rPr>
        <w:endnoteReference w:id="293"/>
      </w:r>
      <w:r w:rsidRPr="00E8461E">
        <w:rPr>
          <w:lang w:val="en-GB"/>
        </w:rPr>
        <w:t xml:space="preserve"> Food-related agricultural emissions can be reduced in varying degrees through technological progress, reducing food waste, and dietary changes, which collectively have the potential to yield health benefits.</w:t>
      </w:r>
      <w:r w:rsidRPr="00E8461E">
        <w:rPr>
          <w:rStyle w:val="EndnoteReference"/>
          <w:lang w:val="en-GB"/>
        </w:rPr>
        <w:endnoteReference w:id="294"/>
      </w:r>
      <w:r w:rsidRPr="00E8461E">
        <w:rPr>
          <w:lang w:val="en-GB"/>
        </w:rPr>
        <w:t xml:space="preserve"> The evidence suggests diets high in fruits, vegetables, legumes, nuts and wholegrains, and low in red and processed meat, reduce risk of coronary heart disease, stroke, type 2 diabetes and colorectal cancer.</w:t>
      </w:r>
      <w:r w:rsidRPr="00E8461E">
        <w:rPr>
          <w:rStyle w:val="EndnoteReference"/>
          <w:lang w:val="en-GB"/>
        </w:rPr>
        <w:endnoteReference w:id="295"/>
      </w:r>
      <w:r w:rsidRPr="00E8461E">
        <w:rPr>
          <w:lang w:val="en-GB"/>
        </w:rPr>
        <w:t xml:space="preserve"> Australian Bureau of Statistics data suggest only 6.1% of adults in Australia eat the amount of fruit and vegetables recommended by the Australian Dietary Guidelines,</w:t>
      </w:r>
      <w:r w:rsidRPr="00E8461E">
        <w:rPr>
          <w:rStyle w:val="EndnoteReference"/>
          <w:lang w:val="en-GB"/>
        </w:rPr>
        <w:endnoteReference w:id="296"/>
      </w:r>
      <w:r w:rsidRPr="00E8461E">
        <w:rPr>
          <w:lang w:val="en-GB"/>
        </w:rPr>
        <w:t xml:space="preserve"> and it is estimated 16,400 deaths in 2019 were attributable to high consumption of red and processed meat and dairy.</w:t>
      </w:r>
      <w:r w:rsidRPr="00E8461E">
        <w:rPr>
          <w:rStyle w:val="EndnoteReference"/>
          <w:lang w:val="en-GB"/>
        </w:rPr>
        <w:endnoteReference w:id="297"/>
      </w:r>
      <w:r w:rsidRPr="00E8461E" w:rsidDel="00B45A83">
        <w:rPr>
          <w:lang w:val="en-GB"/>
        </w:rPr>
        <w:t xml:space="preserve"> </w:t>
      </w:r>
      <w:r w:rsidRPr="00E8461E">
        <w:rPr>
          <w:lang w:val="en-GB"/>
        </w:rPr>
        <w:t>Research has demonstrated that if population-level changes to diets were made to include no processed meat, small amounts of red meat, moderate amounts of other animal-sourced foods (poultry, fish, and dairy), and generous amounts of fruits, vegetables, legumes, and nuts, premature mortality could decrease by 19% in 2030, and also contribute to reducing food-related greenhouse gas emissions.</w:t>
      </w:r>
      <w:r w:rsidRPr="00E8461E">
        <w:rPr>
          <w:rStyle w:val="EndnoteReference"/>
          <w:lang w:val="en-GB"/>
        </w:rPr>
        <w:endnoteReference w:id="298"/>
      </w:r>
      <w:r w:rsidRPr="00E8461E">
        <w:rPr>
          <w:lang w:val="en-GB"/>
        </w:rPr>
        <w:t xml:space="preserve"> This would require significant shifts in current eating patterns and guidelines. Discretionary foods, described by the Australian Dietary Guidelines as “foods and drinks not necessary to provide the nutrients the body needs”, are also estimated to contribute to a third of diet-related greenhouse gas emissions in Australia.</w:t>
      </w:r>
      <w:r w:rsidRPr="00E8461E">
        <w:rPr>
          <w:rStyle w:val="EndnoteReference"/>
          <w:lang w:val="en-GB"/>
        </w:rPr>
        <w:endnoteReference w:id="299"/>
      </w:r>
    </w:p>
    <w:p w14:paraId="7F289D69" w14:textId="6BC596B7" w:rsidR="00EB70C3" w:rsidRPr="00E8461E" w:rsidRDefault="00EB70C3" w:rsidP="00EB70C3">
      <w:pPr>
        <w:rPr>
          <w:lang w:val="en-GB"/>
        </w:rPr>
      </w:pPr>
      <w:r w:rsidRPr="00E8461E">
        <w:rPr>
          <w:lang w:val="en-GB"/>
        </w:rPr>
        <w:t xml:space="preserve">In preparing for the review of the Australian Dietary Guidelines announced in 2020, stakeholders identified sustainability (including economic, </w:t>
      </w:r>
      <w:proofErr w:type="gramStart"/>
      <w:r w:rsidRPr="00E8461E">
        <w:rPr>
          <w:lang w:val="en-GB"/>
        </w:rPr>
        <w:t>social</w:t>
      </w:r>
      <w:proofErr w:type="gramEnd"/>
      <w:r w:rsidRPr="00E8461E">
        <w:rPr>
          <w:lang w:val="en-GB"/>
        </w:rPr>
        <w:t xml:space="preserve"> and environmental impacts) and dietary patterns as a key topic to be prioritised in evidence reviews that will underpin updated Guidelines. Expanding the dietary guidelines to further consider sustainable food systems will be key </w:t>
      </w:r>
      <w:r w:rsidRPr="00E8461E" w:rsidDel="00277C62">
        <w:rPr>
          <w:lang w:val="en-GB"/>
        </w:rPr>
        <w:t xml:space="preserve">to </w:t>
      </w:r>
      <w:r w:rsidRPr="00E8461E">
        <w:rPr>
          <w:lang w:val="en-GB"/>
        </w:rPr>
        <w:t xml:space="preserve">supporting future policy action and consumer decisions to reduce food-related health system emissions across the supply chain while also supporting health and wellbeing. Widespread adoption of the Australian Dietary Guidelines is </w:t>
      </w:r>
      <w:r w:rsidR="009064E4" w:rsidRPr="00E8461E">
        <w:rPr>
          <w:lang w:val="en-GB"/>
        </w:rPr>
        <w:t xml:space="preserve">also important </w:t>
      </w:r>
      <w:r w:rsidRPr="00E8461E">
        <w:rPr>
          <w:lang w:val="en-GB"/>
        </w:rPr>
        <w:t>– evidence suggests that a shift from existing average Australian diets to a diet consistent with the existing Australian Dietary Guidelines will greatly reduce the environmental impact of diets.</w:t>
      </w:r>
      <w:r w:rsidRPr="00E8461E">
        <w:rPr>
          <w:rStyle w:val="EndnoteReference"/>
          <w:lang w:val="en-GB"/>
        </w:rPr>
        <w:endnoteReference w:id="300"/>
      </w:r>
    </w:p>
    <w:p w14:paraId="13648E6A" w14:textId="77777777" w:rsidR="00D80EFD" w:rsidRPr="00E8461E" w:rsidRDefault="00D80EFD" w:rsidP="00D80EFD">
      <w:pPr>
        <w:pStyle w:val="Heading4"/>
        <w:rPr>
          <w:iCs w:val="0"/>
        </w:rPr>
      </w:pPr>
      <w:r w:rsidRPr="00E8461E">
        <w:rPr>
          <w:iCs w:val="0"/>
        </w:rPr>
        <w:t>Case study 17</w:t>
      </w:r>
    </w:p>
    <w:p w14:paraId="13B8325B" w14:textId="77777777" w:rsidR="00D80EFD" w:rsidRPr="00E8461E" w:rsidRDefault="00D80EFD" w:rsidP="00D80EFD">
      <w:pPr>
        <w:rPr>
          <w:b/>
          <w:bCs/>
        </w:rPr>
      </w:pPr>
      <w:r w:rsidRPr="00E8461E">
        <w:rPr>
          <w:b/>
          <w:bCs/>
        </w:rPr>
        <w:t>Healthy and sustainable food system action across Tasmania</w:t>
      </w:r>
    </w:p>
    <w:p w14:paraId="1C70893A" w14:textId="77777777" w:rsidR="00D80EFD" w:rsidRPr="00E8461E" w:rsidRDefault="00D80EFD" w:rsidP="00D80EFD">
      <w:pPr>
        <w:rPr>
          <w:lang w:val="en-GB"/>
        </w:rPr>
      </w:pPr>
      <w:r w:rsidRPr="00E8461E">
        <w:rPr>
          <w:lang w:val="en-GB"/>
        </w:rPr>
        <w:t>The Tasmanian Department of Health funds several projects through the Healthy Tasmania Strategic Plan 2022-2026, aligned to the priority areas of Eating Well and Climate Change and Health. Eat Well Tasmania act as a connector across the Tasmanian food system to champion healthy eating and promote opportunities to enjoy healthy, seasonal, local food every day.</w:t>
      </w:r>
    </w:p>
    <w:p w14:paraId="244D4A71" w14:textId="77777777" w:rsidR="00D80EFD" w:rsidRPr="00E8461E" w:rsidRDefault="00D80EFD" w:rsidP="00D80EFD">
      <w:pPr>
        <w:rPr>
          <w:lang w:val="en-GB"/>
        </w:rPr>
      </w:pPr>
      <w:r w:rsidRPr="00E8461E">
        <w:rPr>
          <w:lang w:val="en-GB"/>
        </w:rPr>
        <w:t xml:space="preserve">The What’s in Season campaign understands eating seasonally is a tasty, </w:t>
      </w:r>
      <w:proofErr w:type="gramStart"/>
      <w:r w:rsidRPr="00E8461E">
        <w:rPr>
          <w:lang w:val="en-GB"/>
        </w:rPr>
        <w:t>affordable</w:t>
      </w:r>
      <w:proofErr w:type="gramEnd"/>
      <w:r w:rsidRPr="00E8461E">
        <w:rPr>
          <w:lang w:val="en-GB"/>
        </w:rPr>
        <w:t xml:space="preserve"> and nutritious way to enjoy Tasmanian produce at home whilst building a culture of healthy eating. Promoting fruit and vegetable availability across the four seasons through storytelling and social media demonstrates the links between food consumption, individual, community and planetary health in a way consumers relate to and understand.</w:t>
      </w:r>
    </w:p>
    <w:p w14:paraId="442D98C2" w14:textId="77777777" w:rsidR="00D80EFD" w:rsidRPr="00E8461E" w:rsidRDefault="00D80EFD" w:rsidP="00D80EFD">
      <w:pPr>
        <w:rPr>
          <w:lang w:val="en-GB"/>
        </w:rPr>
      </w:pPr>
      <w:r w:rsidRPr="00E8461E">
        <w:rPr>
          <w:lang w:val="en-GB"/>
        </w:rPr>
        <w:t xml:space="preserve">Too Good to Waste is a consumer behaviour change campaign crafted by Eat Well Tasmania to motivate Tasmanians to reduce their food waste and eat well. The campaign raises awareness about the links </w:t>
      </w:r>
      <w:r w:rsidRPr="00E8461E">
        <w:rPr>
          <w:lang w:val="en-GB"/>
        </w:rPr>
        <w:lastRenderedPageBreak/>
        <w:t xml:space="preserve">between food, </w:t>
      </w:r>
      <w:proofErr w:type="gramStart"/>
      <w:r w:rsidRPr="00E8461E">
        <w:rPr>
          <w:lang w:val="en-GB"/>
        </w:rPr>
        <w:t>health</w:t>
      </w:r>
      <w:proofErr w:type="gramEnd"/>
      <w:r w:rsidRPr="00E8461E">
        <w:rPr>
          <w:lang w:val="en-GB"/>
        </w:rPr>
        <w:t xml:space="preserve"> and climate change by showcasing inspirational stories about food waste champions and providing tips on food preparation, storage advice, and eating produce past its prime. The campaign includes a food waste tool kit featuring waste-free fridge and pantry guides, food waste ‘first aid’ guides, recipe generator and seasonal produce storage guides to complement the What's in Season guides.</w:t>
      </w:r>
    </w:p>
    <w:p w14:paraId="12EC6ED5" w14:textId="244A1DCD" w:rsidR="00D80EFD" w:rsidRPr="00E8461E" w:rsidRDefault="00D80EFD" w:rsidP="00D80EFD">
      <w:pPr>
        <w:pBdr>
          <w:bottom w:val="single" w:sz="12" w:space="1" w:color="008A95" w:themeColor="accent1"/>
        </w:pBdr>
        <w:rPr>
          <w:lang w:val="en-GB"/>
        </w:rPr>
      </w:pPr>
      <w:r w:rsidRPr="00E8461E">
        <w:rPr>
          <w:lang w:val="en-GB"/>
        </w:rPr>
        <w:t xml:space="preserve">The Sustainable Institutional Food Procurement Tasmania project involves scoping current procurement and food service systems to identify points for improving the health and sustainability of meals. The Sustainable Table project focuses on co-benefits of reducing emissions and improving the nutrition quality of ingredients. For example, mapping regional seasonality of vegetables helps adapt healthy menus and shorten supply chains. In countries like Australia, transporting vegetables produces twice as many emissions as their production. </w:t>
      </w:r>
      <w:proofErr w:type="spellStart"/>
      <w:r w:rsidRPr="00E8461E">
        <w:rPr>
          <w:lang w:val="en-GB"/>
        </w:rPr>
        <w:t>Relocalisation</w:t>
      </w:r>
      <w:proofErr w:type="spellEnd"/>
      <w:r w:rsidRPr="00E8461E">
        <w:rPr>
          <w:lang w:val="en-GB"/>
        </w:rPr>
        <w:t xml:space="preserve"> of procurement can reduce emissions from transport and supply fresher, more nutrient dense vegetables for institutional meals.</w:t>
      </w:r>
    </w:p>
    <w:p w14:paraId="083455D0" w14:textId="339D2CC1" w:rsidR="00EB70C3" w:rsidRPr="00E8461E" w:rsidRDefault="00EB70C3" w:rsidP="00EB70C3">
      <w:pPr>
        <w:rPr>
          <w:lang w:val="en-GB"/>
        </w:rPr>
      </w:pPr>
    </w:p>
    <w:p w14:paraId="707795E6" w14:textId="77777777" w:rsidR="00D80EFD" w:rsidRPr="00E8461E" w:rsidRDefault="00D80EFD" w:rsidP="00D80EFD">
      <w:pPr>
        <w:pStyle w:val="Heading4"/>
        <w:rPr>
          <w:iCs w:val="0"/>
        </w:rPr>
      </w:pPr>
      <w:r w:rsidRPr="00E8461E">
        <w:rPr>
          <w:iCs w:val="0"/>
        </w:rPr>
        <w:t>Action 6.6</w:t>
      </w:r>
    </w:p>
    <w:p w14:paraId="36BE8068" w14:textId="77777777" w:rsidR="00D80EFD" w:rsidRPr="00E8461E" w:rsidRDefault="00D80EFD" w:rsidP="00D80EFD">
      <w:pPr>
        <w:rPr>
          <w:b/>
          <w:lang w:val="en-GB"/>
        </w:rPr>
      </w:pPr>
      <w:r w:rsidRPr="00E8461E">
        <w:rPr>
          <w:b/>
          <w:lang w:val="en-GB"/>
        </w:rPr>
        <w:t>Taking account of sustainability considerations in the Australian Dietary Guidelines</w:t>
      </w:r>
    </w:p>
    <w:p w14:paraId="322C81AD" w14:textId="4550E654" w:rsidR="00D80EFD" w:rsidRPr="00E8461E" w:rsidRDefault="00D80EFD" w:rsidP="00D80EFD">
      <w:pPr>
        <w:pBdr>
          <w:bottom w:val="single" w:sz="12" w:space="1" w:color="008A95" w:themeColor="accent1"/>
        </w:pBdr>
        <w:rPr>
          <w:lang w:val="en-GB"/>
        </w:rPr>
      </w:pPr>
      <w:r w:rsidRPr="00E8461E">
        <w:rPr>
          <w:lang w:val="en-GB"/>
        </w:rPr>
        <w:t>The National Health and Medical Research Council will engage with the Australian Government to consider economic, social, and environmental sustainability in the updated Australian Dietary Guidelines, including Australia’s commitment to the Sustainable Development Goals, the Paris Agreement and net zero emissions by 2050. The updated Australian Dietary Guidelines are expected to be published by 2026.</w:t>
      </w:r>
    </w:p>
    <w:p w14:paraId="6294EFA1" w14:textId="0D1159BF" w:rsidR="00665AD3" w:rsidRPr="00E8461E" w:rsidRDefault="00665AD3" w:rsidP="00665AD3">
      <w:pPr>
        <w:rPr>
          <w:lang w:val="en-GB"/>
        </w:rPr>
      </w:pPr>
      <w:bookmarkStart w:id="204" w:name="_Toc149765727"/>
      <w:bookmarkStart w:id="205" w:name="_Toc149910012"/>
      <w:bookmarkStart w:id="206" w:name="_Toc149918478"/>
      <w:r w:rsidRPr="00E8461E">
        <w:rPr>
          <w:lang w:val="en-GB"/>
        </w:rPr>
        <w:t xml:space="preserve">For First Nations people living in remote regions, climate change impacts on food security in several ways. Challenges to food security in rural regions include long and complex supply chains, harsh climates, high operational costs, seasonal </w:t>
      </w:r>
      <w:proofErr w:type="gramStart"/>
      <w:r w:rsidRPr="00E8461E">
        <w:rPr>
          <w:lang w:val="en-GB"/>
        </w:rPr>
        <w:t>isolation</w:t>
      </w:r>
      <w:proofErr w:type="gramEnd"/>
      <w:r w:rsidRPr="00E8461E">
        <w:rPr>
          <w:lang w:val="en-GB"/>
        </w:rPr>
        <w:t xml:space="preserve"> and fragile transport infrastructure. </w:t>
      </w:r>
      <w:r w:rsidRPr="00E8461E">
        <w:t xml:space="preserve">Food security is therefore a longstanding issue which </w:t>
      </w:r>
      <w:r w:rsidRPr="00E8461E">
        <w:rPr>
          <w:lang w:val="en-GB"/>
        </w:rPr>
        <w:t>faces compounding impacts from produce shortages and supply chain interruptions caused by climate change. For example, extreme weather affects food availability and cost, such as when the 2022 floods in the Northern Australia prevented food transport trucks from reaching community stores for extended periods.</w:t>
      </w:r>
    </w:p>
    <w:p w14:paraId="261D069B" w14:textId="1AE5D8EE" w:rsidR="00665AD3" w:rsidRPr="00E8461E" w:rsidRDefault="00665AD3" w:rsidP="00665AD3">
      <w:pPr>
        <w:rPr>
          <w:lang w:val="en-GB"/>
        </w:rPr>
      </w:pPr>
      <w:r w:rsidRPr="00E8461E">
        <w:rPr>
          <w:lang w:val="en-GB"/>
        </w:rPr>
        <w:t>Climate change impacts, including destruction of land and waterways, extreme weather, extinctions, biodiversity loss and changing animal and plant distribution, make it harder to practice traditional and other local methods of food production.</w:t>
      </w:r>
      <w:r w:rsidRPr="00E8461E">
        <w:rPr>
          <w:rStyle w:val="EndnoteReference"/>
          <w:lang w:val="en-GB"/>
        </w:rPr>
        <w:endnoteReference w:id="301"/>
      </w:r>
      <w:r w:rsidRPr="00E8461E">
        <w:rPr>
          <w:lang w:val="en-GB"/>
        </w:rPr>
        <w:t xml:space="preserve"> Restricted access to traditional foods and barriers to varieties of affordable, available nutritious food in remote stores has resulted in many First Nations people consuming an energy-dense, nutrient poor diet.</w:t>
      </w:r>
    </w:p>
    <w:p w14:paraId="13C07EA3" w14:textId="77777777" w:rsidR="00D80EFD" w:rsidRPr="00E8461E" w:rsidRDefault="00D80EFD" w:rsidP="00D80EFD">
      <w:pPr>
        <w:pStyle w:val="Heading4"/>
        <w:rPr>
          <w:iCs w:val="0"/>
        </w:rPr>
      </w:pPr>
      <w:r w:rsidRPr="00E8461E">
        <w:rPr>
          <w:iCs w:val="0"/>
        </w:rPr>
        <w:t>Action 6.7</w:t>
      </w:r>
    </w:p>
    <w:p w14:paraId="5AC6ED48" w14:textId="77777777" w:rsidR="00D80EFD" w:rsidRPr="00E8461E" w:rsidRDefault="00D80EFD" w:rsidP="00D80EFD">
      <w:pPr>
        <w:rPr>
          <w:b/>
          <w:bCs/>
          <w:lang w:val="en-GB"/>
        </w:rPr>
      </w:pPr>
      <w:r w:rsidRPr="00E8461E">
        <w:rPr>
          <w:b/>
          <w:bCs/>
          <w:lang w:val="en-GB"/>
        </w:rPr>
        <w:t>Addressing the impacts of climate change on First Nations health and food security</w:t>
      </w:r>
    </w:p>
    <w:p w14:paraId="4293284C" w14:textId="1C89DA98" w:rsidR="00665AD3" w:rsidRPr="00E8461E" w:rsidRDefault="00D80EFD" w:rsidP="00D80EFD">
      <w:pPr>
        <w:pBdr>
          <w:bottom w:val="single" w:sz="12" w:space="1" w:color="008A95" w:themeColor="accent1"/>
        </w:pBdr>
        <w:rPr>
          <w:lang w:val="en-GB"/>
        </w:rPr>
      </w:pPr>
      <w:r w:rsidRPr="00E8461E">
        <w:rPr>
          <w:lang w:val="en-GB"/>
        </w:rPr>
        <w:t xml:space="preserve">In partnership with First Nations communities, the Australian Government will work to address the impacts of climate change on First Nations food security </w:t>
      </w:r>
      <w:r w:rsidRPr="00E8461E" w:rsidDel="00567152">
        <w:rPr>
          <w:lang w:val="en-GB"/>
        </w:rPr>
        <w:t>and</w:t>
      </w:r>
      <w:r w:rsidRPr="00E8461E">
        <w:rPr>
          <w:lang w:val="en-GB"/>
        </w:rPr>
        <w:t xml:space="preserve"> the health of First Nations people, including through the National Strategy for Food Security in Remote First Nations Communities.</w:t>
      </w:r>
    </w:p>
    <w:p w14:paraId="730E1425" w14:textId="09BECED6" w:rsidR="00BA055E" w:rsidRPr="00E8461E" w:rsidRDefault="007D3996" w:rsidP="00EA5CC8">
      <w:pPr>
        <w:rPr>
          <w:lang w:val="en-GB"/>
        </w:rPr>
      </w:pPr>
      <w:r w:rsidRPr="00E8461E">
        <w:rPr>
          <w:lang w:val="en-GB"/>
        </w:rPr>
        <w:t xml:space="preserve">Benefits of First Nations people’s land and sea management include healthy and diverse environments, and better access to culturally appropriate, nutritious food. </w:t>
      </w:r>
      <w:r w:rsidR="00D34233" w:rsidRPr="00E8461E">
        <w:rPr>
          <w:lang w:val="en-GB"/>
        </w:rPr>
        <w:t xml:space="preserve">Caring for Country is also associated with positive </w:t>
      </w:r>
      <w:r w:rsidR="00D34233" w:rsidRPr="00E8461E">
        <w:rPr>
          <w:lang w:val="en-GB"/>
        </w:rPr>
        <w:lastRenderedPageBreak/>
        <w:t>outcomes for First Nations</w:t>
      </w:r>
      <w:r w:rsidR="005B6D52" w:rsidRPr="00E8461E">
        <w:rPr>
          <w:lang w:val="en-GB"/>
        </w:rPr>
        <w:t xml:space="preserve"> people’s</w:t>
      </w:r>
      <w:r w:rsidR="00D34233" w:rsidRPr="00E8461E">
        <w:rPr>
          <w:lang w:val="en-GB"/>
        </w:rPr>
        <w:t xml:space="preserve"> physical, </w:t>
      </w:r>
      <w:proofErr w:type="gramStart"/>
      <w:r w:rsidR="00D34233" w:rsidRPr="00E8461E">
        <w:rPr>
          <w:lang w:val="en-GB"/>
        </w:rPr>
        <w:t>emotional</w:t>
      </w:r>
      <w:proofErr w:type="gramEnd"/>
      <w:r w:rsidR="00D34233" w:rsidRPr="00E8461E">
        <w:rPr>
          <w:lang w:val="en-GB"/>
        </w:rPr>
        <w:t xml:space="preserve"> and social wellbeing, whilst also having economic co-benefits.</w:t>
      </w:r>
    </w:p>
    <w:p w14:paraId="0BBD8814" w14:textId="5EB579CA" w:rsidR="00801482" w:rsidRPr="00E8461E" w:rsidRDefault="000967AC" w:rsidP="00CE2599">
      <w:pPr>
        <w:pStyle w:val="Heading2"/>
      </w:pPr>
      <w:bookmarkStart w:id="207" w:name="_Toc151999644"/>
      <w:r w:rsidRPr="00E8461E">
        <w:t>6</w:t>
      </w:r>
      <w:r w:rsidR="00215BDF" w:rsidRPr="00E8461E">
        <w:t>.</w:t>
      </w:r>
      <w:r w:rsidR="00623D7B" w:rsidRPr="00E8461E">
        <w:t>6</w:t>
      </w:r>
      <w:r w:rsidR="00801482" w:rsidRPr="00E8461E">
        <w:t xml:space="preserve"> Built environment and </w:t>
      </w:r>
      <w:proofErr w:type="gramStart"/>
      <w:r w:rsidR="00801482" w:rsidRPr="00E8461E">
        <w:t>housing</w:t>
      </w:r>
      <w:bookmarkEnd w:id="207"/>
      <w:proofErr w:type="gramEnd"/>
    </w:p>
    <w:p w14:paraId="011A1BCB" w14:textId="7E443835" w:rsidR="00801482" w:rsidRPr="00E8461E" w:rsidRDefault="00801482" w:rsidP="00DC0F04">
      <w:pPr>
        <w:tabs>
          <w:tab w:val="left" w:pos="8364"/>
        </w:tabs>
        <w:rPr>
          <w:rFonts w:ascii="Calibri" w:hAnsi="Calibri" w:cs="Calibri"/>
          <w:lang w:val="en-GB"/>
        </w:rPr>
      </w:pPr>
      <w:r w:rsidRPr="00E8461E">
        <w:rPr>
          <w:rFonts w:ascii="Calibri" w:hAnsi="Calibri" w:cs="Calibri"/>
          <w:lang w:val="en-GB"/>
        </w:rPr>
        <w:t>The built environment has a profound impact on our health. As the Australian Institute of Health and Welfare notes, it influences our “activity levels, access to nutritious food, the houses we live in… affect[</w:t>
      </w:r>
      <w:proofErr w:type="spellStart"/>
      <w:r w:rsidRPr="00E8461E">
        <w:rPr>
          <w:rFonts w:ascii="Calibri" w:hAnsi="Calibri" w:cs="Calibri"/>
          <w:lang w:val="en-GB"/>
        </w:rPr>
        <w:t>ing</w:t>
      </w:r>
      <w:proofErr w:type="spellEnd"/>
      <w:r w:rsidRPr="00E8461E">
        <w:rPr>
          <w:rFonts w:ascii="Calibri" w:hAnsi="Calibri" w:cs="Calibri"/>
          <w:lang w:val="en-GB"/>
        </w:rPr>
        <w:t>] the air we breathe …the water we drink, and shelter[</w:t>
      </w:r>
      <w:proofErr w:type="spellStart"/>
      <w:r w:rsidRPr="00E8461E">
        <w:rPr>
          <w:rFonts w:ascii="Calibri" w:hAnsi="Calibri" w:cs="Calibri"/>
          <w:lang w:val="en-GB"/>
        </w:rPr>
        <w:t>ing</w:t>
      </w:r>
      <w:proofErr w:type="spellEnd"/>
      <w:r w:rsidRPr="00E8461E">
        <w:rPr>
          <w:rFonts w:ascii="Calibri" w:hAnsi="Calibri" w:cs="Calibri"/>
          <w:lang w:val="en-GB"/>
        </w:rPr>
        <w:t>] us from the weather.”</w:t>
      </w:r>
      <w:r w:rsidRPr="00E8461E">
        <w:rPr>
          <w:rStyle w:val="EndnoteReference"/>
          <w:rFonts w:ascii="Calibri" w:hAnsi="Calibri" w:cs="Calibri"/>
          <w:lang w:val="en-GB"/>
        </w:rPr>
        <w:endnoteReference w:id="302"/>
      </w:r>
      <w:r w:rsidRPr="00E8461E">
        <w:rPr>
          <w:rFonts w:ascii="Calibri" w:hAnsi="Calibri" w:cs="Calibri"/>
          <w:lang w:val="en-GB"/>
        </w:rPr>
        <w:t xml:space="preserve"> Optimising the built environment can have significant benefits for population health, while improving the resilience and sustainability of the environments in which humans live. In the coming years, the Australian Government will deliver a new comprehensive National Urban Policy. The National Urban Policy will address urgent challenges facing our major cities – from equitable access to jobs, </w:t>
      </w:r>
      <w:proofErr w:type="gramStart"/>
      <w:r w:rsidRPr="00E8461E">
        <w:rPr>
          <w:rFonts w:ascii="Calibri" w:hAnsi="Calibri" w:cs="Calibri"/>
          <w:lang w:val="en-GB"/>
        </w:rPr>
        <w:t>homes</w:t>
      </w:r>
      <w:proofErr w:type="gramEnd"/>
      <w:r w:rsidRPr="00E8461E">
        <w:rPr>
          <w:rFonts w:ascii="Calibri" w:hAnsi="Calibri" w:cs="Calibri"/>
          <w:lang w:val="en-GB"/>
        </w:rPr>
        <w:t xml:space="preserve"> and services, to climate impacts and decarbonisation. It will bring together a vision for sustainable growth in our cities.</w:t>
      </w:r>
    </w:p>
    <w:p w14:paraId="1C3E32A1" w14:textId="12732A93" w:rsidR="00BA055E" w:rsidRPr="00E8461E" w:rsidRDefault="00801482" w:rsidP="00801482">
      <w:pPr>
        <w:rPr>
          <w:rFonts w:ascii="Calibri" w:hAnsi="Calibri" w:cs="Calibri"/>
          <w:lang w:val="en-GB"/>
        </w:rPr>
      </w:pPr>
      <w:r w:rsidRPr="00E8461E">
        <w:rPr>
          <w:rFonts w:ascii="Calibri" w:hAnsi="Calibri" w:cs="Calibri"/>
          <w:lang w:val="en-GB"/>
        </w:rPr>
        <w:t xml:space="preserve">Many of the major climate impacts on population health are mediated </w:t>
      </w:r>
      <w:r w:rsidR="000B4D45" w:rsidRPr="00E8461E">
        <w:rPr>
          <w:lang w:val="en-GB"/>
        </w:rPr>
        <w:t xml:space="preserve">– </w:t>
      </w:r>
      <w:r w:rsidRPr="00E8461E">
        <w:rPr>
          <w:rFonts w:ascii="Calibri" w:hAnsi="Calibri" w:cs="Calibri"/>
          <w:lang w:val="en-GB"/>
        </w:rPr>
        <w:t xml:space="preserve">and potentially exacerbated </w:t>
      </w:r>
      <w:r w:rsidR="000B4D45" w:rsidRPr="00E8461E">
        <w:rPr>
          <w:lang w:val="en-GB"/>
        </w:rPr>
        <w:t>–</w:t>
      </w:r>
      <w:r w:rsidRPr="00E8461E">
        <w:rPr>
          <w:lang w:val="en-GB"/>
        </w:rPr>
        <w:t xml:space="preserve"> </w:t>
      </w:r>
      <w:r w:rsidRPr="00E8461E">
        <w:rPr>
          <w:rFonts w:ascii="Calibri" w:hAnsi="Calibri" w:cs="Calibri"/>
          <w:lang w:val="en-GB"/>
        </w:rPr>
        <w:t>by the quality and climate resilience of the built environment in which people live, work, and play. As such, ensuring that cities, infrastructure, and housing are climate-</w:t>
      </w:r>
      <w:proofErr w:type="gramStart"/>
      <w:r w:rsidRPr="00E8461E">
        <w:rPr>
          <w:rFonts w:ascii="Calibri" w:hAnsi="Calibri" w:cs="Calibri"/>
          <w:lang w:val="en-GB"/>
        </w:rPr>
        <w:t>resilient</w:t>
      </w:r>
      <w:proofErr w:type="gramEnd"/>
      <w:r w:rsidRPr="00E8461E">
        <w:rPr>
          <w:rFonts w:ascii="Calibri" w:hAnsi="Calibri" w:cs="Calibri"/>
          <w:lang w:val="en-GB"/>
        </w:rPr>
        <w:t xml:space="preserve"> and health-promoting is vitally important to protecting health in a changing climate. Key factors in the resilience and adaptive capacity of cities to the pressures arising from climate change include the thermal mass of the urban form (surfaces such as bricks, concrete and asphalt roads absorb and radiate heat, causing the ‘heat island’ effect);</w:t>
      </w:r>
      <w:r w:rsidRPr="00E8461E">
        <w:rPr>
          <w:rStyle w:val="EndnoteReference"/>
          <w:rFonts w:ascii="Calibri" w:hAnsi="Calibri" w:cs="Calibri"/>
          <w:lang w:val="en-GB"/>
        </w:rPr>
        <w:endnoteReference w:id="303"/>
      </w:r>
      <w:r w:rsidRPr="00E8461E">
        <w:rPr>
          <w:rFonts w:ascii="Calibri" w:hAnsi="Calibri" w:cs="Calibri"/>
          <w:lang w:val="en-GB"/>
        </w:rPr>
        <w:t xml:space="preserve"> the extent and quality of vegetated areas;</w:t>
      </w:r>
      <w:r w:rsidRPr="00E8461E">
        <w:rPr>
          <w:rStyle w:val="EndnoteReference"/>
          <w:rFonts w:ascii="Calibri" w:hAnsi="Calibri" w:cs="Calibri"/>
          <w:lang w:val="en-GB"/>
        </w:rPr>
        <w:endnoteReference w:id="304"/>
      </w:r>
      <w:r w:rsidRPr="00E8461E">
        <w:rPr>
          <w:rFonts w:ascii="Calibri" w:hAnsi="Calibri" w:cs="Calibri"/>
          <w:lang w:val="en-GB"/>
        </w:rPr>
        <w:t xml:space="preserve"> the extent of impervious surfaces and the attention paid to flood mitigation;</w:t>
      </w:r>
      <w:r w:rsidRPr="00E8461E" w:rsidDel="00A15052">
        <w:rPr>
          <w:rStyle w:val="EndnoteReference"/>
          <w:rFonts w:ascii="Calibri" w:hAnsi="Calibri" w:cs="Calibri"/>
          <w:lang w:val="en-GB"/>
        </w:rPr>
        <w:endnoteReference w:id="305"/>
      </w:r>
      <w:r w:rsidRPr="00E8461E">
        <w:rPr>
          <w:rFonts w:ascii="Calibri" w:hAnsi="Calibri" w:cs="Calibri"/>
          <w:lang w:val="en-GB"/>
        </w:rPr>
        <w:t xml:space="preserve"> and social dimensions</w:t>
      </w:r>
      <w:r w:rsidR="00133C76" w:rsidRPr="00E8461E">
        <w:rPr>
          <w:rFonts w:ascii="Calibri" w:hAnsi="Calibri" w:cs="Calibri"/>
          <w:lang w:val="en-GB"/>
        </w:rPr>
        <w:t>,</w:t>
      </w:r>
      <w:r w:rsidRPr="00E8461E">
        <w:rPr>
          <w:rFonts w:ascii="Calibri" w:hAnsi="Calibri" w:cs="Calibri"/>
          <w:lang w:val="en-GB"/>
        </w:rPr>
        <w:t xml:space="preserve"> such as how public spaces facilitate civic engagement and interaction.</w:t>
      </w:r>
    </w:p>
    <w:p w14:paraId="44E4B189" w14:textId="16B50CE1" w:rsidR="00BA055E" w:rsidRPr="00E8461E" w:rsidRDefault="00801482" w:rsidP="00801482">
      <w:pPr>
        <w:rPr>
          <w:rFonts w:ascii="Calibri" w:hAnsi="Calibri" w:cs="Calibri"/>
        </w:rPr>
      </w:pPr>
      <w:r w:rsidRPr="00E8461E">
        <w:rPr>
          <w:rFonts w:ascii="Calibri" w:hAnsi="Calibri" w:cs="Calibri"/>
        </w:rPr>
        <w:t>Integrating more green and blue spaces into urban areas improves adaptive capacity while delivering benefits for human general and mental health through recreational amenity.</w:t>
      </w:r>
      <w:r w:rsidRPr="00E8461E">
        <w:rPr>
          <w:rStyle w:val="EndnoteReference"/>
          <w:rFonts w:ascii="Calibri" w:hAnsi="Calibri" w:cs="Calibri"/>
        </w:rPr>
        <w:endnoteReference w:id="306"/>
      </w:r>
      <w:r w:rsidRPr="00E8461E">
        <w:rPr>
          <w:rFonts w:ascii="Calibri" w:hAnsi="Calibri" w:cs="Calibri"/>
        </w:rPr>
        <w:t xml:space="preserve"> These spaces can mitigate both excess heat and flooding risk and should also be designed in such a way as to limit mosquito breeding sites to prevent the spread of mosquito-borne disease. Plants provide shade and release water vapour during transpiration, generating a natural evaporative cooling process that helps to mitigate the urban heat island effect.</w:t>
      </w:r>
      <w:r w:rsidRPr="00E8461E">
        <w:rPr>
          <w:rFonts w:ascii="Calibri" w:hAnsi="Calibri" w:cs="Calibri"/>
          <w:vertAlign w:val="superscript"/>
        </w:rPr>
        <w:endnoteReference w:id="307"/>
      </w:r>
      <w:r w:rsidRPr="00E8461E">
        <w:rPr>
          <w:rFonts w:ascii="Calibri" w:hAnsi="Calibri" w:cs="Calibri"/>
        </w:rPr>
        <w:t xml:space="preserve"> Lakes and other water features provide similar benefits owing to evaporation, while modifying stormwater infrastructure to create riparian zones through ‘water sensitive urban design’ can reduce flooding risks by slowing down water flow and increasing the ‘sponginess’ of the ground.</w:t>
      </w:r>
      <w:r w:rsidRPr="00E8461E">
        <w:rPr>
          <w:rStyle w:val="EndnoteReference"/>
          <w:rFonts w:ascii="Calibri" w:hAnsi="Calibri" w:cs="Calibri"/>
          <w:lang w:val="en-GB"/>
        </w:rPr>
        <w:endnoteReference w:id="308"/>
      </w:r>
      <w:r w:rsidRPr="00E8461E">
        <w:rPr>
          <w:rFonts w:ascii="Calibri" w:hAnsi="Calibri" w:cs="Calibri"/>
          <w:lang w:val="en-GB"/>
        </w:rPr>
        <w:t xml:space="preserve"> </w:t>
      </w:r>
      <w:r w:rsidRPr="00E8461E">
        <w:rPr>
          <w:rFonts w:ascii="Calibri" w:hAnsi="Calibri" w:cs="Calibri"/>
        </w:rPr>
        <w:t xml:space="preserve">Trees also provide shade which improves pedestrian wellbeing on hot days and reduces heat absorption by urban surfaces. </w:t>
      </w:r>
      <w:r w:rsidR="003B75CB" w:rsidRPr="00E8461E">
        <w:rPr>
          <w:rFonts w:ascii="Calibri" w:hAnsi="Calibri" w:cs="Calibri"/>
        </w:rPr>
        <w:t>Well</w:t>
      </w:r>
      <w:r w:rsidR="009E7876" w:rsidRPr="00E8461E">
        <w:rPr>
          <w:rFonts w:ascii="Calibri" w:hAnsi="Calibri" w:cs="Calibri"/>
        </w:rPr>
        <w:t xml:space="preserve"> </w:t>
      </w:r>
      <w:r w:rsidR="003B75CB" w:rsidRPr="00E8461E">
        <w:rPr>
          <w:rFonts w:ascii="Calibri" w:hAnsi="Calibri" w:cs="Calibri"/>
        </w:rPr>
        <w:t>designed and maintained g</w:t>
      </w:r>
      <w:r w:rsidRPr="00E8461E">
        <w:rPr>
          <w:rFonts w:ascii="Calibri" w:hAnsi="Calibri" w:cs="Calibri"/>
        </w:rPr>
        <w:t xml:space="preserve">reen spaces can also reduce air pollutants. </w:t>
      </w:r>
      <w:r w:rsidR="00BC62C4" w:rsidRPr="00E8461E">
        <w:rPr>
          <w:rFonts w:ascii="Calibri" w:hAnsi="Calibri" w:cs="Calibri"/>
        </w:rPr>
        <w:t>P</w:t>
      </w:r>
      <w:r w:rsidRPr="00E8461E">
        <w:rPr>
          <w:rFonts w:ascii="Calibri" w:hAnsi="Calibri" w:cs="Calibri"/>
        </w:rPr>
        <w:t>arks, street trees and riparian zones are important tools to reduce climate risks in urban areas.</w:t>
      </w:r>
    </w:p>
    <w:p w14:paraId="7D8E760F" w14:textId="6734FFF3" w:rsidR="00801482" w:rsidRPr="00E8461E" w:rsidRDefault="00801482" w:rsidP="00801482">
      <w:pPr>
        <w:rPr>
          <w:rFonts w:ascii="Calibri" w:hAnsi="Calibri" w:cs="Calibri"/>
          <w:lang w:val="en-GB"/>
        </w:rPr>
      </w:pPr>
      <w:r w:rsidRPr="00E8461E">
        <w:rPr>
          <w:rFonts w:ascii="Calibri" w:hAnsi="Calibri" w:cs="Calibri"/>
          <w:lang w:val="en-GB"/>
        </w:rPr>
        <w:t xml:space="preserve">In addition to improving urban environments, it is important that buildings themselves are designed to be sustainable, health-promoting and climate resilient. Many principles of sustainable building design and construction not only save energy but also ameliorate the health effects of climate change. For example, minimising combustion processes can reduce climate impact while improving indoor air quality. Pollution from wood heaters, </w:t>
      </w:r>
      <w:proofErr w:type="spellStart"/>
      <w:r w:rsidRPr="00E8461E">
        <w:rPr>
          <w:rFonts w:ascii="Calibri" w:hAnsi="Calibri" w:cs="Calibri"/>
          <w:lang w:val="en-GB"/>
        </w:rPr>
        <w:t>unflued</w:t>
      </w:r>
      <w:proofErr w:type="spellEnd"/>
      <w:r w:rsidRPr="00E8461E">
        <w:rPr>
          <w:rFonts w:ascii="Calibri" w:hAnsi="Calibri" w:cs="Calibri"/>
          <w:lang w:val="en-GB"/>
        </w:rPr>
        <w:t xml:space="preserve"> gas heaters</w:t>
      </w:r>
      <w:r w:rsidR="00644458" w:rsidRPr="00E8461E">
        <w:rPr>
          <w:rFonts w:ascii="Calibri" w:hAnsi="Calibri" w:cs="Calibri"/>
          <w:lang w:val="en-GB"/>
        </w:rPr>
        <w:t xml:space="preserve"> and </w:t>
      </w:r>
      <w:r w:rsidRPr="00E8461E">
        <w:rPr>
          <w:rFonts w:ascii="Calibri" w:hAnsi="Calibri" w:cs="Calibri"/>
          <w:lang w:val="en-GB"/>
        </w:rPr>
        <w:t>inadequately ventilated gas cooktops, along with vehicle fumes from attached garages can trigger asthma onset and flareups.</w:t>
      </w:r>
      <w:r w:rsidRPr="00E8461E">
        <w:rPr>
          <w:rStyle w:val="EndnoteReference"/>
          <w:rFonts w:ascii="Calibri" w:hAnsi="Calibri" w:cs="Calibri"/>
          <w:lang w:val="en-GB"/>
        </w:rPr>
        <w:endnoteReference w:id="309"/>
      </w:r>
      <w:r w:rsidRPr="00E8461E">
        <w:rPr>
          <w:rFonts w:ascii="Calibri" w:hAnsi="Calibri" w:cs="Calibri"/>
          <w:lang w:val="en-GB"/>
        </w:rPr>
        <w:t xml:space="preserve"> Energy</w:t>
      </w:r>
      <w:r w:rsidRPr="00E8461E" w:rsidDel="00AD4D35">
        <w:rPr>
          <w:rFonts w:ascii="Calibri" w:hAnsi="Calibri" w:cs="Calibri"/>
          <w:lang w:val="en-GB"/>
        </w:rPr>
        <w:t>-</w:t>
      </w:r>
      <w:r w:rsidRPr="00E8461E">
        <w:rPr>
          <w:rFonts w:ascii="Calibri" w:hAnsi="Calibri" w:cs="Calibri"/>
          <w:lang w:val="en-GB"/>
        </w:rPr>
        <w:t>efficient alternatives, such as reverse-cycle air conditioners and induction cooktops, reduce emissions while protecting health. In addition, improving thermal performance and energy efficiency – through increased insulation, improved ventilation, attention to the size and position of windows, and shade structures – is critical both for reducing greenhouse gas emissions and protecting health in a warming climate.</w:t>
      </w:r>
      <w:r w:rsidRPr="00E8461E">
        <w:rPr>
          <w:vertAlign w:val="superscript"/>
          <w:lang w:val="en-GB"/>
        </w:rPr>
        <w:endnoteReference w:id="310"/>
      </w:r>
      <w:r w:rsidRPr="00E8461E">
        <w:rPr>
          <w:rFonts w:ascii="Calibri" w:hAnsi="Calibri" w:cs="Calibri"/>
          <w:vertAlign w:val="superscript"/>
          <w:lang w:val="en-GB"/>
        </w:rPr>
        <w:t>,</w:t>
      </w:r>
      <w:r w:rsidRPr="00E8461E">
        <w:rPr>
          <w:vertAlign w:val="superscript"/>
          <w:lang w:val="en-GB"/>
        </w:rPr>
        <w:endnoteReference w:id="311"/>
      </w:r>
    </w:p>
    <w:p w14:paraId="7C8CDDA9" w14:textId="45B6552E" w:rsidR="00801482" w:rsidRPr="00E8461E" w:rsidRDefault="00193AB6" w:rsidP="00801482">
      <w:pPr>
        <w:rPr>
          <w:rFonts w:ascii="Calibri" w:hAnsi="Calibri" w:cs="Calibri"/>
        </w:rPr>
      </w:pPr>
      <w:r w:rsidRPr="00E8461E">
        <w:rPr>
          <w:rFonts w:ascii="Calibri" w:hAnsi="Calibri" w:cs="Calibri"/>
        </w:rPr>
        <w:t>Good</w:t>
      </w:r>
      <w:r w:rsidR="000A40DB" w:rsidRPr="00E8461E">
        <w:rPr>
          <w:rFonts w:ascii="Calibri" w:hAnsi="Calibri" w:cs="Calibri"/>
        </w:rPr>
        <w:t>-</w:t>
      </w:r>
      <w:r w:rsidRPr="00E8461E">
        <w:rPr>
          <w:rFonts w:ascii="Calibri" w:hAnsi="Calibri" w:cs="Calibri"/>
        </w:rPr>
        <w:t xml:space="preserve">quality </w:t>
      </w:r>
      <w:r w:rsidR="00801482" w:rsidRPr="00E8461E">
        <w:rPr>
          <w:rFonts w:ascii="Calibri" w:hAnsi="Calibri" w:cs="Calibri"/>
        </w:rPr>
        <w:t>and climate</w:t>
      </w:r>
      <w:r w:rsidR="000A40DB" w:rsidRPr="00E8461E">
        <w:rPr>
          <w:rFonts w:ascii="Calibri" w:hAnsi="Calibri" w:cs="Calibri"/>
        </w:rPr>
        <w:t>-</w:t>
      </w:r>
      <w:r w:rsidR="00801482" w:rsidRPr="00E8461E">
        <w:rPr>
          <w:rFonts w:ascii="Calibri" w:hAnsi="Calibri" w:cs="Calibri"/>
        </w:rPr>
        <w:t xml:space="preserve">resilient buildings are necessary for protecting communities from environmental hazards and the health impacts of climate change. It is important that buildings being constructed today are </w:t>
      </w:r>
      <w:r w:rsidR="00801482" w:rsidRPr="00E8461E">
        <w:rPr>
          <w:rFonts w:ascii="Calibri" w:hAnsi="Calibri" w:cs="Calibri"/>
        </w:rPr>
        <w:lastRenderedPageBreak/>
        <w:t xml:space="preserve">resilient to and suitable for a changing climate, which will feature increasingly frequent and severe climate hazards. </w:t>
      </w:r>
      <w:r w:rsidR="00801482" w:rsidRPr="00E8461E">
        <w:rPr>
          <w:rFonts w:ascii="Calibri" w:hAnsi="Calibri" w:cs="Calibri"/>
          <w:lang w:val="en-GB"/>
        </w:rPr>
        <w:t xml:space="preserve">The National Construction Code (NCC) sets out minimum requirements for the design, </w:t>
      </w:r>
      <w:proofErr w:type="gramStart"/>
      <w:r w:rsidR="00801482" w:rsidRPr="00E8461E">
        <w:rPr>
          <w:rFonts w:ascii="Calibri" w:hAnsi="Calibri" w:cs="Calibri"/>
          <w:lang w:val="en-GB"/>
        </w:rPr>
        <w:t>construction</w:t>
      </w:r>
      <w:proofErr w:type="gramEnd"/>
      <w:r w:rsidR="00801482" w:rsidRPr="00E8461E">
        <w:rPr>
          <w:rFonts w:ascii="Calibri" w:hAnsi="Calibri" w:cs="Calibri"/>
          <w:lang w:val="en-GB"/>
        </w:rPr>
        <w:t xml:space="preserve"> and performance of new buildings. Recent updates to the NCC have addressed the increased prevalence of extreme weather. For example, new wind assessment standards in 2021 account for possible changes in extreme winds driven by climate change over a building’s design life,</w:t>
      </w:r>
      <w:r w:rsidR="00801482" w:rsidRPr="00E8461E">
        <w:rPr>
          <w:rStyle w:val="EndnoteReference"/>
          <w:rFonts w:ascii="Calibri" w:hAnsi="Calibri" w:cs="Calibri"/>
          <w:lang w:val="en-GB"/>
        </w:rPr>
        <w:endnoteReference w:id="312"/>
      </w:r>
      <w:r w:rsidR="00801482" w:rsidRPr="00E8461E">
        <w:rPr>
          <w:rFonts w:ascii="Calibri" w:hAnsi="Calibri" w:cs="Calibri"/>
          <w:lang w:val="en-GB"/>
        </w:rPr>
        <w:t xml:space="preserve"> and </w:t>
      </w:r>
      <w:r w:rsidR="00801482" w:rsidRPr="00E8461E">
        <w:rPr>
          <w:rFonts w:ascii="Calibri" w:hAnsi="Calibri" w:cs="Calibri"/>
        </w:rPr>
        <w:t>new condensation provisions ameliorate mould growth.</w:t>
      </w:r>
      <w:r w:rsidR="00801482" w:rsidRPr="00E8461E">
        <w:rPr>
          <w:rFonts w:ascii="Calibri" w:hAnsi="Calibri" w:cs="Calibri"/>
          <w:lang w:val="en-GB"/>
        </w:rPr>
        <w:t xml:space="preserve"> Further, </w:t>
      </w:r>
      <w:r w:rsidR="00801482" w:rsidRPr="00E8461E">
        <w:rPr>
          <w:rFonts w:ascii="Calibri" w:hAnsi="Calibri" w:cs="Calibri"/>
        </w:rPr>
        <w:t>NCC</w:t>
      </w:r>
      <w:r w:rsidR="00801482" w:rsidRPr="00E8461E" w:rsidDel="00A20819">
        <w:rPr>
          <w:rFonts w:ascii="Calibri" w:hAnsi="Calibri" w:cs="Calibri"/>
        </w:rPr>
        <w:t xml:space="preserve"> </w:t>
      </w:r>
      <w:r w:rsidR="00801482" w:rsidRPr="00E8461E">
        <w:rPr>
          <w:rFonts w:ascii="Calibri" w:hAnsi="Calibri" w:cs="Calibri"/>
        </w:rPr>
        <w:t xml:space="preserve">provisions for energy efficiency and thermal performance in residential buildings </w:t>
      </w:r>
      <w:r w:rsidR="00E20678" w:rsidRPr="00E8461E">
        <w:rPr>
          <w:rFonts w:ascii="Calibri" w:hAnsi="Calibri" w:cs="Calibri"/>
        </w:rPr>
        <w:t>were</w:t>
      </w:r>
      <w:r w:rsidR="00801482" w:rsidRPr="00E8461E">
        <w:rPr>
          <w:rFonts w:ascii="Calibri" w:hAnsi="Calibri" w:cs="Calibri"/>
        </w:rPr>
        <w:t xml:space="preserve"> introduced in 2022 requir</w:t>
      </w:r>
      <w:r w:rsidR="00E20678" w:rsidRPr="00E8461E">
        <w:rPr>
          <w:rFonts w:ascii="Calibri" w:hAnsi="Calibri" w:cs="Calibri"/>
        </w:rPr>
        <w:t>ing</w:t>
      </w:r>
      <w:r w:rsidR="00801482" w:rsidRPr="00E8461E">
        <w:rPr>
          <w:rFonts w:ascii="Calibri" w:hAnsi="Calibri" w:cs="Calibri"/>
        </w:rPr>
        <w:t xml:space="preserve"> new homes to improve minimum performance from 6 stars to 7 stars</w:t>
      </w:r>
      <w:r w:rsidR="00E20678" w:rsidRPr="00E8461E">
        <w:rPr>
          <w:rFonts w:ascii="Calibri" w:hAnsi="Calibri" w:cs="Calibri"/>
        </w:rPr>
        <w:t xml:space="preserve"> out of a possible 10</w:t>
      </w:r>
      <w:r w:rsidR="00801482" w:rsidRPr="00E8461E">
        <w:rPr>
          <w:rFonts w:ascii="Calibri" w:hAnsi="Calibri" w:cs="Calibri"/>
        </w:rPr>
        <w:t>,</w:t>
      </w:r>
      <w:r w:rsidR="00381930" w:rsidRPr="00E8461E">
        <w:rPr>
          <w:rStyle w:val="EndnoteReference"/>
          <w:rFonts w:ascii="Calibri" w:hAnsi="Calibri" w:cs="Calibri"/>
        </w:rPr>
        <w:endnoteReference w:id="313"/>
      </w:r>
      <w:r w:rsidR="00801482" w:rsidRPr="00E8461E">
        <w:rPr>
          <w:rFonts w:ascii="Calibri" w:hAnsi="Calibri" w:cs="Calibri"/>
        </w:rPr>
        <w:t xml:space="preserve"> meaning new houses will use significantly less energy.</w:t>
      </w:r>
    </w:p>
    <w:p w14:paraId="232998DF" w14:textId="77777777" w:rsidR="00D80EFD" w:rsidRPr="00E8461E" w:rsidRDefault="00D80EFD" w:rsidP="00D80EFD">
      <w:pPr>
        <w:pBdr>
          <w:top w:val="single" w:sz="12" w:space="1" w:color="008A95" w:themeColor="accent1"/>
        </w:pBdr>
        <w:rPr>
          <w:b/>
          <w:bCs/>
          <w:lang w:val="en-GB"/>
        </w:rPr>
      </w:pPr>
      <w:r w:rsidRPr="00E8461E">
        <w:rPr>
          <w:rStyle w:val="Heading4Char"/>
          <w:iCs w:val="0"/>
        </w:rPr>
        <w:t>Action 6.8</w:t>
      </w:r>
    </w:p>
    <w:p w14:paraId="0DDA682D" w14:textId="77777777" w:rsidR="00D80EFD" w:rsidRPr="00E8461E" w:rsidRDefault="00D80EFD" w:rsidP="00D80EFD">
      <w:pPr>
        <w:rPr>
          <w:b/>
          <w:lang w:val="en-GB"/>
        </w:rPr>
      </w:pPr>
      <w:r w:rsidRPr="00E8461E">
        <w:rPr>
          <w:b/>
          <w:lang w:val="en-GB"/>
        </w:rPr>
        <w:t>Considering climate resilience in updates to the National Construction Code</w:t>
      </w:r>
    </w:p>
    <w:p w14:paraId="7EEE9DD3" w14:textId="0EDB2C90" w:rsidR="00D80EFD" w:rsidRPr="00E8461E" w:rsidRDefault="00D80EFD" w:rsidP="00D80EFD">
      <w:pPr>
        <w:pBdr>
          <w:bottom w:val="single" w:sz="12" w:space="1" w:color="008A95" w:themeColor="accent1"/>
        </w:pBdr>
        <w:rPr>
          <w:rFonts w:ascii="Calibri" w:hAnsi="Calibri" w:cs="Calibri"/>
          <w:lang w:val="en-GB"/>
        </w:rPr>
      </w:pPr>
      <w:r w:rsidRPr="00E8461E">
        <w:rPr>
          <w:lang w:val="en-GB"/>
        </w:rPr>
        <w:t>The Australian Government will work with states, territories, and the Australian Building Codes Board to progress opportunities to embed sustainability and climate resilience principles in the National Construction Code, and in doing so will consider the health impacts of climate change.</w:t>
      </w:r>
    </w:p>
    <w:p w14:paraId="6055E5AF" w14:textId="77777777" w:rsidR="00801482" w:rsidRPr="00E8461E" w:rsidRDefault="00801482" w:rsidP="00801482">
      <w:pPr>
        <w:rPr>
          <w:rFonts w:ascii="Calibri" w:hAnsi="Calibri" w:cs="Calibri"/>
          <w:vertAlign w:val="superscript"/>
          <w:lang w:val="en-GB"/>
        </w:rPr>
      </w:pPr>
      <w:r w:rsidRPr="00E8461E">
        <w:rPr>
          <w:rFonts w:ascii="Calibri" w:hAnsi="Calibri" w:cs="Calibri"/>
          <w:lang w:val="en-GB"/>
        </w:rPr>
        <w:t xml:space="preserve">Access to appropriate, </w:t>
      </w:r>
      <w:proofErr w:type="gramStart"/>
      <w:r w:rsidRPr="00E8461E">
        <w:rPr>
          <w:rFonts w:ascii="Calibri" w:hAnsi="Calibri" w:cs="Calibri"/>
          <w:lang w:val="en-GB"/>
        </w:rPr>
        <w:t>affordable</w:t>
      </w:r>
      <w:proofErr w:type="gramEnd"/>
      <w:r w:rsidRPr="00E8461E">
        <w:rPr>
          <w:rFonts w:ascii="Calibri" w:hAnsi="Calibri" w:cs="Calibri"/>
          <w:lang w:val="en-GB"/>
        </w:rPr>
        <w:t xml:space="preserve"> and secure housing provides physical and emotional safety, promotes better health outcomes, and improves quality of life. As average temperatures increase, there will be more frequent and severe extreme weather events, as well as gradual changes (for example, coastline changes from increased saltwater intrusion and erosion associated with sea level rise). These weather and environmental changes will place increased pressure on the capacity of buildings to protect inhabitants. Many homes across Australia are not built to perform well during extreme weather events.</w:t>
      </w:r>
      <w:r w:rsidRPr="00E8461E">
        <w:rPr>
          <w:rStyle w:val="EndnoteReference"/>
          <w:rFonts w:ascii="Calibri" w:hAnsi="Calibri" w:cs="Calibri"/>
          <w:lang w:val="en-GB"/>
        </w:rPr>
        <w:endnoteReference w:id="314"/>
      </w:r>
      <w:r w:rsidRPr="00E8461E">
        <w:rPr>
          <w:rFonts w:ascii="Calibri" w:hAnsi="Calibri" w:cs="Calibri"/>
          <w:vertAlign w:val="superscript"/>
          <w:lang w:val="en-GB"/>
        </w:rPr>
        <w:t>,</w:t>
      </w:r>
      <w:r w:rsidRPr="00E8461E">
        <w:rPr>
          <w:rStyle w:val="EndnoteReference"/>
          <w:rFonts w:ascii="Calibri" w:hAnsi="Calibri" w:cs="Calibri"/>
          <w:lang w:val="en-GB"/>
        </w:rPr>
        <w:endnoteReference w:id="315"/>
      </w:r>
    </w:p>
    <w:p w14:paraId="2D5A8B6A" w14:textId="3EB70330" w:rsidR="00801482" w:rsidRPr="00E8461E" w:rsidRDefault="00801482" w:rsidP="00801482">
      <w:pPr>
        <w:rPr>
          <w:rFonts w:ascii="Calibri" w:hAnsi="Calibri" w:cs="Calibri"/>
          <w:lang w:val="en-GB"/>
        </w:rPr>
      </w:pPr>
      <w:r w:rsidRPr="00E8461E">
        <w:rPr>
          <w:rFonts w:ascii="Calibri" w:hAnsi="Calibri" w:cs="Calibri"/>
          <w:lang w:val="en-GB"/>
        </w:rPr>
        <w:t>A lack of effective insulation, ventilation and climate control can make inhabitants more susceptible to heat stress and heat-related illness.</w:t>
      </w:r>
      <w:r w:rsidRPr="00E8461E">
        <w:rPr>
          <w:rStyle w:val="EndnoteReference"/>
          <w:rFonts w:ascii="Calibri" w:hAnsi="Calibri" w:cs="Calibri"/>
          <w:lang w:val="en-GB"/>
        </w:rPr>
        <w:endnoteReference w:id="316"/>
      </w:r>
      <w:r w:rsidRPr="00E8461E">
        <w:rPr>
          <w:rFonts w:ascii="Calibri" w:hAnsi="Calibri" w:cs="Calibri"/>
          <w:lang w:val="en-GB"/>
        </w:rPr>
        <w:t xml:space="preserve"> Problems with water infiltration and water vapour build-up can cause further complications such as mould growth, particularly affecting people with compromised immune systems, </w:t>
      </w:r>
      <w:proofErr w:type="gramStart"/>
      <w:r w:rsidRPr="00E8461E">
        <w:rPr>
          <w:rFonts w:ascii="Calibri" w:hAnsi="Calibri" w:cs="Calibri"/>
          <w:lang w:val="en-GB"/>
        </w:rPr>
        <w:t>allergies</w:t>
      </w:r>
      <w:proofErr w:type="gramEnd"/>
      <w:r w:rsidRPr="00E8461E">
        <w:rPr>
          <w:rFonts w:ascii="Calibri" w:hAnsi="Calibri" w:cs="Calibri"/>
          <w:lang w:val="en-GB"/>
        </w:rPr>
        <w:t xml:space="preserve"> or chronic lung conditions.</w:t>
      </w:r>
      <w:r w:rsidRPr="00E8461E">
        <w:rPr>
          <w:rStyle w:val="EndnoteReference"/>
          <w:rFonts w:ascii="Calibri" w:hAnsi="Calibri" w:cs="Calibri"/>
          <w:lang w:val="en-GB"/>
        </w:rPr>
        <w:endnoteReference w:id="317"/>
      </w:r>
    </w:p>
    <w:p w14:paraId="60488C9A" w14:textId="68BD8742" w:rsidR="00801482" w:rsidRPr="00E8461E" w:rsidRDefault="00801482" w:rsidP="00801482">
      <w:r w:rsidRPr="00E8461E">
        <w:rPr>
          <w:rFonts w:ascii="Calibri" w:hAnsi="Calibri" w:cs="Calibri"/>
          <w:lang w:val="en-GB"/>
        </w:rPr>
        <w:t>H</w:t>
      </w:r>
      <w:r w:rsidRPr="00E8461E">
        <w:rPr>
          <w:lang w:val="en-GB"/>
        </w:rPr>
        <w:t>ouseholds are a major contributor to greenhouse gas emissions, accounting for around 22% of Australia’s total.</w:t>
      </w:r>
      <w:r w:rsidRPr="00E8461E">
        <w:rPr>
          <w:rStyle w:val="EndnoteReference"/>
          <w:lang w:val="en-GB"/>
        </w:rPr>
        <w:endnoteReference w:id="318"/>
      </w:r>
      <w:r w:rsidRPr="00E8461E">
        <w:rPr>
          <w:lang w:val="en-GB"/>
        </w:rPr>
        <w:t xml:space="preserve"> These emissions largely come from gas use for heating and cooking, as well as electricity. </w:t>
      </w:r>
      <w:r w:rsidRPr="00E8461E">
        <w:t>Most Australian homes were built before minimum efficiency regulations were introduced; as a result, the average home has an energy efficiency rating of only 1.7 stars.</w:t>
      </w:r>
      <w:r w:rsidRPr="00E8461E">
        <w:rPr>
          <w:rStyle w:val="EndnoteReference"/>
        </w:rPr>
        <w:endnoteReference w:id="319"/>
      </w:r>
      <w:r w:rsidRPr="00E8461E">
        <w:t xml:space="preserve"> </w:t>
      </w:r>
      <w:r w:rsidRPr="00E8461E">
        <w:rPr>
          <w:lang w:val="en-GB"/>
        </w:rPr>
        <w:t>Measures to reduce emissions by improving energy efficiency, such as home retrofits, and switching from gas to electricity,</w:t>
      </w:r>
      <w:r w:rsidRPr="00E8461E" w:rsidDel="00E267A1">
        <w:rPr>
          <w:lang w:val="en-GB"/>
        </w:rPr>
        <w:t xml:space="preserve"> </w:t>
      </w:r>
      <w:r w:rsidRPr="00E8461E">
        <w:rPr>
          <w:lang w:val="en-GB"/>
        </w:rPr>
        <w:t xml:space="preserve">can reduce humidity and damp, and improve thermal comfort and indoor air quality. This can improve mental health and reduce the risk of heart disease, lung disease, </w:t>
      </w:r>
      <w:proofErr w:type="gramStart"/>
      <w:r w:rsidRPr="00E8461E">
        <w:rPr>
          <w:lang w:val="en-GB"/>
        </w:rPr>
        <w:t>stroke</w:t>
      </w:r>
      <w:proofErr w:type="gramEnd"/>
      <w:r w:rsidRPr="00E8461E">
        <w:rPr>
          <w:lang w:val="en-GB"/>
        </w:rPr>
        <w:t xml:space="preserve"> and cancer.</w:t>
      </w:r>
      <w:r w:rsidRPr="00E8461E">
        <w:rPr>
          <w:rStyle w:val="EndnoteReference"/>
          <w:rFonts w:ascii="Calibri" w:eastAsia="Times New Roman" w:hAnsi="Calibri" w:cs="Calibri"/>
          <w:lang w:val="en-GB"/>
        </w:rPr>
        <w:endnoteReference w:id="320"/>
      </w:r>
      <w:r w:rsidRPr="00E8461E">
        <w:rPr>
          <w:rFonts w:ascii="Calibri" w:eastAsia="Times New Roman" w:hAnsi="Calibri" w:cs="Calibri"/>
          <w:vertAlign w:val="superscript"/>
          <w:lang w:val="en-GB"/>
        </w:rPr>
        <w:t>,</w:t>
      </w:r>
      <w:r w:rsidRPr="00E8461E">
        <w:rPr>
          <w:rStyle w:val="EndnoteReference"/>
          <w:rFonts w:ascii="Calibri" w:eastAsia="Times New Roman" w:hAnsi="Calibri" w:cs="Calibri"/>
          <w:lang w:val="en-GB"/>
        </w:rPr>
        <w:endnoteReference w:id="321"/>
      </w:r>
      <w:r w:rsidRPr="00E8461E">
        <w:rPr>
          <w:rFonts w:ascii="Calibri" w:eastAsia="Times New Roman" w:hAnsi="Calibri" w:cs="Calibri"/>
          <w:vertAlign w:val="superscript"/>
          <w:lang w:val="en-GB"/>
        </w:rPr>
        <w:t>,</w:t>
      </w:r>
      <w:r w:rsidRPr="00E8461E">
        <w:rPr>
          <w:rStyle w:val="EndnoteReference"/>
          <w:rFonts w:ascii="Calibri" w:eastAsia="Times New Roman" w:hAnsi="Calibri" w:cs="Calibri"/>
          <w:lang w:val="en-GB"/>
        </w:rPr>
        <w:endnoteReference w:id="322"/>
      </w:r>
    </w:p>
    <w:p w14:paraId="684D9A79" w14:textId="49FAD840" w:rsidR="00801482" w:rsidRPr="00E8461E" w:rsidRDefault="00801482" w:rsidP="00801482">
      <w:pPr>
        <w:rPr>
          <w:rFonts w:ascii="Calibri" w:eastAsia="Times New Roman" w:hAnsi="Calibri" w:cs="Calibri"/>
          <w:lang w:val="en-GB"/>
        </w:rPr>
      </w:pPr>
      <w:r w:rsidRPr="00E8461E">
        <w:rPr>
          <w:lang w:eastAsia="en-AU"/>
        </w:rPr>
        <w:t>The $1.7 billion Energy Savings Package announced in the 2023-24 Budget will help households, local councils, and businesses to access energy upgrades. This package includes the $1.3 billion Household Energy Upgrades Fund, which provides $1 billion to the Clean Energy Finance Corporation to provide low-cost finance for home upgrades that save energy</w:t>
      </w:r>
      <w:r w:rsidR="005555D3" w:rsidRPr="00E8461E">
        <w:rPr>
          <w:lang w:eastAsia="en-AU"/>
        </w:rPr>
        <w:t>, and</w:t>
      </w:r>
      <w:r w:rsidRPr="00E8461E">
        <w:rPr>
          <w:lang w:eastAsia="en-AU"/>
        </w:rPr>
        <w:t xml:space="preserve"> $300 million to support upgrades to social housing, co-</w:t>
      </w:r>
      <w:proofErr w:type="spellStart"/>
      <w:r w:rsidRPr="00E8461E">
        <w:rPr>
          <w:lang w:eastAsia="en-AU"/>
        </w:rPr>
        <w:t>funded</w:t>
      </w:r>
      <w:proofErr w:type="spellEnd"/>
      <w:r w:rsidRPr="00E8461E">
        <w:rPr>
          <w:lang w:eastAsia="en-AU"/>
        </w:rPr>
        <w:t xml:space="preserve"> and designed in partnership with the states and territories; and $100 million to support local governments to improve energy performance of local government facilities. The Government is developing the National Energy Performance Strategy which establishes a framework for long</w:t>
      </w:r>
      <w:r w:rsidR="00B720D9" w:rsidRPr="00E8461E">
        <w:rPr>
          <w:lang w:eastAsia="en-AU"/>
        </w:rPr>
        <w:t>-</w:t>
      </w:r>
      <w:r w:rsidRPr="00E8461E">
        <w:rPr>
          <w:lang w:eastAsia="en-AU"/>
        </w:rPr>
        <w:t xml:space="preserve">term co-ordinated action to deliver the Government’s vision for Australians to enjoy the economic, climate and health benefits of improved energy performance. The Household Energy Upgrades Fund is a downpayment on the National Energy Performance Strategy, helping households make better choices to improve the energy performance </w:t>
      </w:r>
      <w:r w:rsidRPr="00E8461E">
        <w:rPr>
          <w:lang w:eastAsia="en-AU"/>
        </w:rPr>
        <w:lastRenderedPageBreak/>
        <w:t>of their homes, including through improved thermal efficiency, especially those experiencing hardship who are more at risk to adverse health impacts from poorly insulated homes.</w:t>
      </w:r>
    </w:p>
    <w:p w14:paraId="374CE296" w14:textId="77777777" w:rsidR="00D80EFD" w:rsidRPr="00E8461E" w:rsidRDefault="00D80EFD" w:rsidP="00D80EFD">
      <w:pPr>
        <w:pStyle w:val="Heading4"/>
        <w:rPr>
          <w:iCs w:val="0"/>
        </w:rPr>
      </w:pPr>
      <w:r w:rsidRPr="00E8461E">
        <w:rPr>
          <w:iCs w:val="0"/>
        </w:rPr>
        <w:t>Case study 18</w:t>
      </w:r>
    </w:p>
    <w:p w14:paraId="1B9D5E73" w14:textId="77777777" w:rsidR="00D80EFD" w:rsidRPr="00E8461E" w:rsidRDefault="00D80EFD" w:rsidP="00D80EFD">
      <w:pPr>
        <w:tabs>
          <w:tab w:val="left" w:pos="6330"/>
        </w:tabs>
        <w:rPr>
          <w:b/>
          <w:lang w:val="en-GB"/>
        </w:rPr>
      </w:pPr>
      <w:r w:rsidRPr="00E8461E">
        <w:rPr>
          <w:b/>
          <w:lang w:val="en-GB"/>
        </w:rPr>
        <w:t>Victorian Healthy Homes Program</w:t>
      </w:r>
    </w:p>
    <w:p w14:paraId="7F3D1FF7" w14:textId="77777777" w:rsidR="00D80EFD" w:rsidRPr="00E8461E" w:rsidRDefault="00D80EFD" w:rsidP="00D80EFD">
      <w:pPr>
        <w:rPr>
          <w:lang w:val="en-GB"/>
        </w:rPr>
      </w:pPr>
      <w:r w:rsidRPr="00E8461E">
        <w:rPr>
          <w:lang w:val="en-GB"/>
        </w:rPr>
        <w:t>Cold winters in Victoria, combined with thermally inefficient housing, can pose serious health risks to some populations. Cold indoor temperatures are associated with negative health impacts for elderly people, children and people with disability or chronic illness. High indoor humidity can also exacerbate asthma and allergies.</w:t>
      </w:r>
    </w:p>
    <w:p w14:paraId="67003DCA" w14:textId="77777777" w:rsidR="00D80EFD" w:rsidRPr="00E8461E" w:rsidRDefault="00D80EFD" w:rsidP="00D80EFD">
      <w:pPr>
        <w:rPr>
          <w:lang w:val="en-GB"/>
        </w:rPr>
      </w:pPr>
      <w:r w:rsidRPr="00E8461E">
        <w:rPr>
          <w:lang w:val="en-GB"/>
        </w:rPr>
        <w:t xml:space="preserve">The Victorian Healthy Homes Program was a randomised controlled trial measuring the impact of home upgrades to improve energy efficiency and thermal comfort on temperature, energy use, </w:t>
      </w:r>
      <w:proofErr w:type="gramStart"/>
      <w:r w:rsidRPr="00E8461E">
        <w:rPr>
          <w:lang w:val="en-GB"/>
        </w:rPr>
        <w:t>health</w:t>
      </w:r>
      <w:proofErr w:type="gramEnd"/>
      <w:r w:rsidRPr="00E8461E">
        <w:rPr>
          <w:lang w:val="en-GB"/>
        </w:rPr>
        <w:t xml:space="preserve"> and wellbeing. Run by Sustainability Victoria, the program delivered home upgrades to 1000 vulnerable households in the state. It found a small upgrade (average cost $2,809) increased indoor temperatures and improved health outcomes during the winter period, including reduced breathlessness and </w:t>
      </w:r>
      <w:r w:rsidRPr="00E8461E" w:rsidDel="008235D9">
        <w:rPr>
          <w:lang w:val="en-GB"/>
        </w:rPr>
        <w:t xml:space="preserve">improved </w:t>
      </w:r>
      <w:r w:rsidRPr="00E8461E">
        <w:rPr>
          <w:lang w:val="en-GB"/>
        </w:rPr>
        <w:t>mental health and quality of life for participants. Other benefits included lower energy bills and reduced emissions, due to significantly lower gas use.</w:t>
      </w:r>
    </w:p>
    <w:p w14:paraId="25EAB48D" w14:textId="0F4F605A" w:rsidR="00801482" w:rsidRPr="00E8461E" w:rsidRDefault="00D80EFD" w:rsidP="00D80EFD">
      <w:pPr>
        <w:rPr>
          <w:lang w:val="en-GB"/>
        </w:rPr>
      </w:pPr>
      <w:r w:rsidRPr="00E8461E">
        <w:rPr>
          <w:lang w:val="en-GB"/>
        </w:rPr>
        <w:t xml:space="preserve">Improved health outcomes translated into savings to the health system of $887 per person over the </w:t>
      </w:r>
      <w:proofErr w:type="gramStart"/>
      <w:r w:rsidRPr="00E8461E">
        <w:rPr>
          <w:lang w:val="en-GB"/>
        </w:rPr>
        <w:t>three month</w:t>
      </w:r>
      <w:proofErr w:type="gramEnd"/>
      <w:r w:rsidRPr="00E8461E">
        <w:rPr>
          <w:lang w:val="en-GB"/>
        </w:rPr>
        <w:t xml:space="preserve"> winter period. Cost-benefit analysis also demonstrated the upgrade would be cost saving within three years, yielding a net saving of $4,783 per household over ten years due to energy savings and health gains.</w:t>
      </w:r>
    </w:p>
    <w:p w14:paraId="381D4729" w14:textId="77777777" w:rsidR="00801482" w:rsidRPr="00E8461E" w:rsidRDefault="00801482" w:rsidP="00D80EFD">
      <w:pPr>
        <w:pBdr>
          <w:bottom w:val="single" w:sz="12" w:space="1" w:color="008A95" w:themeColor="accent1"/>
        </w:pBdr>
        <w:rPr>
          <w:rFonts w:cstheme="minorHAnsi"/>
          <w:lang w:val="en-GB"/>
        </w:rPr>
      </w:pPr>
      <w:r w:rsidRPr="00E8461E">
        <w:rPr>
          <w:lang w:val="en-GB"/>
        </w:rPr>
        <w:t>Climate change is</w:t>
      </w:r>
      <w:r w:rsidRPr="00E8461E" w:rsidDel="009556A2">
        <w:rPr>
          <w:lang w:val="en-GB"/>
        </w:rPr>
        <w:t xml:space="preserve"> </w:t>
      </w:r>
      <w:r w:rsidRPr="00E8461E">
        <w:rPr>
          <w:lang w:val="en-GB"/>
        </w:rPr>
        <w:t>increasing housing insecurity in Australia. Floods in Queensland and NSW in 2022 affected an estimated 20,000 homes,</w:t>
      </w:r>
      <w:r w:rsidRPr="00E8461E">
        <w:rPr>
          <w:rStyle w:val="EndnoteReference"/>
          <w:lang w:val="en-GB"/>
        </w:rPr>
        <w:endnoteReference w:id="323"/>
      </w:r>
      <w:r w:rsidRPr="00E8461E">
        <w:rPr>
          <w:lang w:val="en-GB"/>
        </w:rPr>
        <w:t xml:space="preserve"> with 3,800 homes deemed unliveable in NSW.</w:t>
      </w:r>
      <w:r w:rsidRPr="00E8461E">
        <w:rPr>
          <w:rStyle w:val="EndnoteReference"/>
          <w:lang w:val="en-GB"/>
        </w:rPr>
        <w:endnoteReference w:id="324"/>
      </w:r>
      <w:r w:rsidRPr="00E8461E">
        <w:rPr>
          <w:lang w:val="en-GB"/>
        </w:rPr>
        <w:t xml:space="preserve"> The 2019-20 bushfires in south-eastern Australia triggered around 65,000 displacements and destroyed more than 3,100 homes.</w:t>
      </w:r>
      <w:r w:rsidRPr="00E8461E">
        <w:rPr>
          <w:rStyle w:val="EndnoteReference"/>
          <w:lang w:val="en-GB"/>
        </w:rPr>
        <w:endnoteReference w:id="325"/>
      </w:r>
      <w:r w:rsidRPr="00E8461E">
        <w:rPr>
          <w:lang w:val="en-GB"/>
        </w:rPr>
        <w:t xml:space="preserve"> Climate-related disasters can strain transitional and short-term housing services and providers as well as the broader housing sector.</w:t>
      </w:r>
      <w:r w:rsidRPr="00E8461E">
        <w:rPr>
          <w:rStyle w:val="EndnoteReference"/>
          <w:lang w:val="en-GB"/>
        </w:rPr>
        <w:endnoteReference w:id="326"/>
      </w:r>
      <w:r w:rsidRPr="00E8461E">
        <w:rPr>
          <w:lang w:val="en-GB"/>
        </w:rPr>
        <w:t xml:space="preserve"> Many people experience mental trauma from the experience of emergency evacuation and losing homes.</w:t>
      </w:r>
      <w:r w:rsidRPr="00E8461E">
        <w:rPr>
          <w:rFonts w:cstheme="minorHAnsi"/>
          <w:lang w:val="en-GB"/>
        </w:rPr>
        <w:t xml:space="preserve"> </w:t>
      </w:r>
      <w:r w:rsidRPr="00E8461E">
        <w:rPr>
          <w:lang w:val="en-GB"/>
        </w:rPr>
        <w:t xml:space="preserve">Homelessness can have significant impacts on a person’s mental and physical health, their ability to access healthcare, and their security and safety. </w:t>
      </w:r>
      <w:r w:rsidRPr="00E8461E">
        <w:t>In addition, people already experiencing homelessness prior to a climate-related disaster will often have less access to public safety information and services, increasing danger during events and creating barriers to recovery.</w:t>
      </w:r>
      <w:r w:rsidRPr="00E8461E">
        <w:rPr>
          <w:rStyle w:val="EndnoteReference"/>
        </w:rPr>
        <w:endnoteReference w:id="327"/>
      </w:r>
    </w:p>
    <w:p w14:paraId="100255E7" w14:textId="05CD6442" w:rsidR="00DC7749" w:rsidRPr="00E8461E" w:rsidRDefault="00DC7749" w:rsidP="000A014E">
      <w:pPr>
        <w:rPr>
          <w:lang w:val="en-GB"/>
        </w:rPr>
      </w:pPr>
    </w:p>
    <w:p w14:paraId="17BDEADF" w14:textId="77777777" w:rsidR="00D80EFD" w:rsidRPr="00E8461E" w:rsidRDefault="00D80EFD" w:rsidP="00D80EFD">
      <w:pPr>
        <w:pStyle w:val="Heading4"/>
        <w:rPr>
          <w:iCs w:val="0"/>
        </w:rPr>
      </w:pPr>
      <w:r w:rsidRPr="00E8461E">
        <w:rPr>
          <w:iCs w:val="0"/>
        </w:rPr>
        <w:t>Action 6.9</w:t>
      </w:r>
    </w:p>
    <w:p w14:paraId="6BE81F49" w14:textId="77777777" w:rsidR="00D80EFD" w:rsidRPr="00E8461E" w:rsidRDefault="00D80EFD" w:rsidP="00D80EFD">
      <w:pPr>
        <w:rPr>
          <w:b/>
          <w:lang w:val="en-GB"/>
        </w:rPr>
      </w:pPr>
      <w:r w:rsidRPr="00E8461E">
        <w:rPr>
          <w:b/>
          <w:bCs/>
          <w:lang w:val="en-GB"/>
        </w:rPr>
        <w:t>C</w:t>
      </w:r>
      <w:r w:rsidRPr="00E8461E">
        <w:rPr>
          <w:b/>
          <w:lang w:val="en-GB"/>
        </w:rPr>
        <w:t>onsidering climate resilience in developing</w:t>
      </w:r>
      <w:r w:rsidRPr="00E8461E" w:rsidDel="00A37039">
        <w:rPr>
          <w:b/>
          <w:lang w:val="en-GB"/>
        </w:rPr>
        <w:t xml:space="preserve"> </w:t>
      </w:r>
      <w:r w:rsidRPr="00E8461E">
        <w:rPr>
          <w:b/>
          <w:lang w:val="en-GB"/>
        </w:rPr>
        <w:t>the National Housing and Homelessness Plan</w:t>
      </w:r>
    </w:p>
    <w:p w14:paraId="6F27CD44" w14:textId="72A516BC" w:rsidR="00D80EFD" w:rsidRPr="00E8461E" w:rsidRDefault="00D80EFD" w:rsidP="00D80EFD">
      <w:pPr>
        <w:pBdr>
          <w:bottom w:val="single" w:sz="12" w:space="1" w:color="008A95" w:themeColor="accent1"/>
        </w:pBdr>
        <w:rPr>
          <w:lang w:val="en-GB"/>
        </w:rPr>
      </w:pPr>
      <w:r w:rsidRPr="00E8461E">
        <w:t>The Australian Government, in collaboration with states and territories, will deliver a National Housing and Homelessness Plan that will outline a shared vision to inform future housing and homelessness policy in Australia. In developing this plan, the Government will consider the health benefits of climate-resilient housing.</w:t>
      </w:r>
    </w:p>
    <w:p w14:paraId="314FDCA6" w14:textId="47CE126E" w:rsidR="000A014E" w:rsidRPr="00E8461E" w:rsidRDefault="000A014E" w:rsidP="000A014E">
      <w:pPr>
        <w:rPr>
          <w:lang w:val="en-GB"/>
        </w:rPr>
      </w:pPr>
      <w:r w:rsidRPr="00E8461E">
        <w:rPr>
          <w:lang w:val="en-GB"/>
        </w:rPr>
        <w:t>One in three First Nations people currently live in houses with major structural defects,</w:t>
      </w:r>
      <w:r w:rsidRPr="00E8461E">
        <w:rPr>
          <w:rStyle w:val="EndnoteReference"/>
          <w:lang w:val="en-GB"/>
        </w:rPr>
        <w:endnoteReference w:id="328"/>
      </w:r>
      <w:r w:rsidRPr="00E8461E">
        <w:rPr>
          <w:lang w:val="en-GB"/>
        </w:rPr>
        <w:t xml:space="preserve"> and are therefore more likely to be affected by increased heat and other changes to climate. In remote First Nations </w:t>
      </w:r>
      <w:r w:rsidRPr="00E8461E">
        <w:rPr>
          <w:lang w:val="en-GB"/>
        </w:rPr>
        <w:lastRenderedPageBreak/>
        <w:t>communities, energy poverty and poorly designed, low-quality housing – as well as poor access to housing and essential services – interact with high levels of chronic disease to produce poor health outcomes. For example, many First Nations communities rely on prepaid electricity meters. Frequent disconnection is an ongoing issue, leaving some First Nations people unable to run vital medical equipment such as oxygen concentrators and home dialysis machines.</w:t>
      </w:r>
    </w:p>
    <w:p w14:paraId="60E79D9B" w14:textId="04AA904A" w:rsidR="000A014E" w:rsidRPr="00E8461E" w:rsidRDefault="000A014E" w:rsidP="000A014E">
      <w:pPr>
        <w:rPr>
          <w:lang w:val="en-GB"/>
        </w:rPr>
      </w:pPr>
      <w:r w:rsidRPr="00E8461E">
        <w:rPr>
          <w:lang w:val="en-GB"/>
        </w:rPr>
        <w:t>There is a large body of evidence showing a relationship between First Nations health and access to ‘health hardware’</w:t>
      </w:r>
      <w:r w:rsidR="003D42F2" w:rsidRPr="00E8461E">
        <w:rPr>
          <w:lang w:val="en-GB"/>
        </w:rPr>
        <w:t>,</w:t>
      </w:r>
      <w:r w:rsidR="00392B5C" w:rsidRPr="00E8461E">
        <w:rPr>
          <w:rStyle w:val="EndnoteReference"/>
          <w:lang w:val="en-GB"/>
        </w:rPr>
        <w:endnoteReference w:id="329"/>
      </w:r>
      <w:r w:rsidRPr="00E8461E">
        <w:rPr>
          <w:lang w:val="en-GB"/>
        </w:rPr>
        <w:t xml:space="preserve"> a term which encompasses physical home appliances necessary for healthy living, such as refrigerators, air conditioners and stovetops, as well as the overall design and maintenance of housing and access to essential services. First Nations people dependent on medications like insulin (which must be stored below 30°C) struggle to store their medications at the right temperature if they lack a functioning refrigerator or live in energy poverty.</w:t>
      </w:r>
      <w:r w:rsidRPr="00E8461E">
        <w:rPr>
          <w:rStyle w:val="EndnoteReference"/>
          <w:lang w:val="en-GB"/>
        </w:rPr>
        <w:endnoteReference w:id="330"/>
      </w:r>
      <w:r w:rsidRPr="00E8461E">
        <w:rPr>
          <w:lang w:val="en-GB"/>
        </w:rPr>
        <w:t xml:space="preserve"> These pre-existing inequities in access to quality housing and health hardware mean First Nations people are particularly susceptible to suffering poor health outcomes </w:t>
      </w:r>
      <w:proofErr w:type="gramStart"/>
      <w:r w:rsidRPr="00E8461E">
        <w:rPr>
          <w:lang w:val="en-GB"/>
        </w:rPr>
        <w:t>as a result of</w:t>
      </w:r>
      <w:proofErr w:type="gramEnd"/>
      <w:r w:rsidRPr="00E8461E">
        <w:rPr>
          <w:lang w:val="en-GB"/>
        </w:rPr>
        <w:t xml:space="preserve"> climate change.</w:t>
      </w:r>
    </w:p>
    <w:p w14:paraId="0BEB9555" w14:textId="32E15450" w:rsidR="000A014E" w:rsidRPr="00E8461E" w:rsidRDefault="000A014E" w:rsidP="000A014E">
      <w:pPr>
        <w:rPr>
          <w:lang w:val="en-GB"/>
        </w:rPr>
      </w:pPr>
      <w:r w:rsidRPr="00E8461E">
        <w:rPr>
          <w:lang w:val="en-GB"/>
        </w:rPr>
        <w:t>In 2022, the Joint Council on Closing the Gap agreed an Aboriginal and Torres Strait Islander Housing Sector Strengthening Plan under Priority Reform 2 of the Closing the Gap Agreement.</w:t>
      </w:r>
      <w:r w:rsidRPr="00E8461E">
        <w:rPr>
          <w:rStyle w:val="EndnoteReference"/>
          <w:lang w:val="en-GB"/>
        </w:rPr>
        <w:endnoteReference w:id="331"/>
      </w:r>
      <w:r w:rsidRPr="00E8461E">
        <w:rPr>
          <w:lang w:val="en-GB"/>
        </w:rPr>
        <w:t xml:space="preserve"> Additionally, the Joint Council agreed to establish a Housing Policy Partnership, to be co-chaired by </w:t>
      </w:r>
      <w:r w:rsidR="00361659" w:rsidRPr="00E8461E">
        <w:rPr>
          <w:lang w:val="en-GB"/>
        </w:rPr>
        <w:t>the</w:t>
      </w:r>
      <w:r w:rsidRPr="00E8461E">
        <w:rPr>
          <w:lang w:val="en-GB"/>
        </w:rPr>
        <w:t xml:space="preserve"> National Aboriginal and Torres Strait Islander Housing Association and the Department of Social Services. $9.2 million of government funding has been allocated to the Housing Policy Partnership over three years from 2022/23, which will provide a forum for First Nations voice</w:t>
      </w:r>
      <w:r w:rsidR="00B61A29" w:rsidRPr="00E8461E">
        <w:rPr>
          <w:lang w:val="en-GB"/>
        </w:rPr>
        <w:t>s</w:t>
      </w:r>
      <w:r w:rsidRPr="00E8461E">
        <w:rPr>
          <w:lang w:val="en-GB"/>
        </w:rPr>
        <w:t xml:space="preserve"> to lead and shape the development of housing and homelessness solutions. In addition to these initiatives, the First Nations Clean Energy Strategy, and the National Energy Performance Strategy are expected to address energy poverty and climate resilience in First Nations communities. The National Housing and Homelessness Plan is also expected to consider First Nations housing issues, including the impact</w:t>
      </w:r>
      <w:r w:rsidR="00E45154" w:rsidRPr="00E8461E">
        <w:rPr>
          <w:lang w:val="en-GB"/>
        </w:rPr>
        <w:t>s</w:t>
      </w:r>
      <w:r w:rsidRPr="00E8461E">
        <w:rPr>
          <w:lang w:val="en-GB"/>
        </w:rPr>
        <w:t xml:space="preserve"> of a changing climate</w:t>
      </w:r>
      <w:r w:rsidRPr="00E8461E" w:rsidDel="00F355E2">
        <w:rPr>
          <w:lang w:val="en-GB"/>
        </w:rPr>
        <w:t>.</w:t>
      </w:r>
    </w:p>
    <w:p w14:paraId="1CC5A325" w14:textId="77777777" w:rsidR="00D80EFD" w:rsidRPr="00E8461E" w:rsidRDefault="00D80EFD" w:rsidP="00D80EFD">
      <w:pPr>
        <w:pStyle w:val="Heading4"/>
        <w:rPr>
          <w:iCs w:val="0"/>
        </w:rPr>
      </w:pPr>
      <w:r w:rsidRPr="00E8461E">
        <w:rPr>
          <w:iCs w:val="0"/>
        </w:rPr>
        <w:t>Action 6.10</w:t>
      </w:r>
    </w:p>
    <w:p w14:paraId="6510808E" w14:textId="77777777" w:rsidR="00D80EFD" w:rsidRPr="00E8461E" w:rsidRDefault="00D80EFD" w:rsidP="00D80EFD">
      <w:pPr>
        <w:rPr>
          <w:b/>
          <w:lang w:val="en-GB"/>
        </w:rPr>
      </w:pPr>
      <w:r w:rsidRPr="00E8461E">
        <w:rPr>
          <w:b/>
          <w:lang w:val="en-GB"/>
        </w:rPr>
        <w:t>Promoting the health benefits of improved First Nations housing and energy security</w:t>
      </w:r>
    </w:p>
    <w:p w14:paraId="4520B7AE" w14:textId="77777777" w:rsidR="00D80EFD" w:rsidRPr="00E8461E" w:rsidRDefault="00D80EFD" w:rsidP="00D80EFD">
      <w:r w:rsidRPr="00E8461E">
        <w:t>The Australian Government will:</w:t>
      </w:r>
    </w:p>
    <w:p w14:paraId="13335DDD" w14:textId="77777777" w:rsidR="00D80EFD" w:rsidRPr="00E8461E" w:rsidRDefault="00D80EFD" w:rsidP="00D80EFD">
      <w:pPr>
        <w:pStyle w:val="ListParagraph"/>
        <w:numPr>
          <w:ilvl w:val="0"/>
          <w:numId w:val="3"/>
        </w:numPr>
      </w:pPr>
      <w:r w:rsidRPr="00E8461E">
        <w:t>Work in partnership with the National Aboriginal and Torres Strait Islander Housing Association, who are co-chairing the newly established Housing Policy Partnership, to promote the importance of high-quality, climate-resilient housing in reducing the negative health impacts of climate change on First Nations communities.</w:t>
      </w:r>
    </w:p>
    <w:p w14:paraId="096C5A02" w14:textId="34A49DFC" w:rsidR="00D80EFD" w:rsidRPr="00E8461E" w:rsidRDefault="00D80EFD" w:rsidP="00D80EFD">
      <w:pPr>
        <w:pBdr>
          <w:bottom w:val="single" w:sz="12" w:space="1" w:color="008A95" w:themeColor="accent1"/>
        </w:pBdr>
        <w:rPr>
          <w:lang w:val="en-GB"/>
        </w:rPr>
      </w:pPr>
      <w:r w:rsidRPr="00E8461E">
        <w:t>Work in partnership with First Nations communities to include a health perspective in the First Nations Clean Energy Strategy, including by exploring opportunities to improve access to affordable and reliable power through renewable energy (</w:t>
      </w:r>
      <w:proofErr w:type="gramStart"/>
      <w:r w:rsidRPr="00E8461E">
        <w:t>e.g.</w:t>
      </w:r>
      <w:proofErr w:type="gramEnd"/>
      <w:r w:rsidRPr="00E8461E">
        <w:t xml:space="preserve"> rooftop solar, community microgrids and battery storage) for First Nations housing and health infrastructure.</w:t>
      </w:r>
    </w:p>
    <w:p w14:paraId="6C89C4D7" w14:textId="43380A3A" w:rsidR="00215BDF" w:rsidRPr="00E8461E" w:rsidRDefault="009839C5" w:rsidP="00CE2599">
      <w:pPr>
        <w:pStyle w:val="Heading2"/>
        <w:rPr>
          <w:lang w:val="en-GB"/>
        </w:rPr>
      </w:pPr>
      <w:bookmarkStart w:id="210" w:name="_Toc151999645"/>
      <w:r w:rsidRPr="00E8461E">
        <w:rPr>
          <w:lang w:val="en-GB"/>
        </w:rPr>
        <w:t>6</w:t>
      </w:r>
      <w:r w:rsidR="00215BDF" w:rsidRPr="00E8461E">
        <w:rPr>
          <w:lang w:val="en-GB"/>
        </w:rPr>
        <w:t>.</w:t>
      </w:r>
      <w:r w:rsidR="00623D7B" w:rsidRPr="00E8461E">
        <w:rPr>
          <w:lang w:val="en-GB"/>
        </w:rPr>
        <w:t>7</w:t>
      </w:r>
      <w:r w:rsidR="00215BDF" w:rsidRPr="00E8461E">
        <w:rPr>
          <w:lang w:val="en-GB"/>
        </w:rPr>
        <w:t xml:space="preserve"> Physical activity and active </w:t>
      </w:r>
      <w:bookmarkEnd w:id="204"/>
      <w:r w:rsidR="00215BDF" w:rsidRPr="00E8461E">
        <w:rPr>
          <w:lang w:val="en-GB"/>
        </w:rPr>
        <w:t>travel</w:t>
      </w:r>
      <w:bookmarkEnd w:id="210"/>
    </w:p>
    <w:p w14:paraId="559F4097" w14:textId="77777777" w:rsidR="00BA055E" w:rsidRPr="00E8461E" w:rsidRDefault="001947AF" w:rsidP="00F15B23">
      <w:pPr>
        <w:rPr>
          <w:lang w:val="en-GB"/>
        </w:rPr>
      </w:pPr>
      <w:r w:rsidRPr="00E8461E">
        <w:rPr>
          <w:lang w:val="en-GB"/>
        </w:rPr>
        <w:t xml:space="preserve">Australian guidelines for physical activity and exercise recommend that adults aged 18-64 engage in between </w:t>
      </w:r>
      <w:r w:rsidRPr="00E8461E">
        <w:t>2.5 and 5 hours of moderate intensity physical activity, or between 1.25 and 2.5 hours of vigorous intensity physical activity per week.</w:t>
      </w:r>
      <w:r w:rsidRPr="00E8461E">
        <w:rPr>
          <w:rStyle w:val="EndnoteReference"/>
          <w:lang w:val="en-GB"/>
        </w:rPr>
        <w:endnoteReference w:id="332"/>
      </w:r>
      <w:r w:rsidRPr="00E8461E">
        <w:t xml:space="preserve"> </w:t>
      </w:r>
      <w:r w:rsidR="00F15B23" w:rsidRPr="00E8461E">
        <w:rPr>
          <w:lang w:val="en-GB"/>
        </w:rPr>
        <w:t>Physical activity can improve mental wellbeing and help prevent and manage chronic conditions such as cardiovascular disease and type 2 diabetes.</w:t>
      </w:r>
      <w:r w:rsidR="00F15B23" w:rsidRPr="00E8461E">
        <w:rPr>
          <w:rStyle w:val="EndnoteReference"/>
          <w:lang w:val="en-GB"/>
        </w:rPr>
        <w:endnoteReference w:id="333"/>
      </w:r>
      <w:r w:rsidR="00F15B23" w:rsidRPr="00E8461E">
        <w:rPr>
          <w:lang w:val="en-GB"/>
        </w:rPr>
        <w:t xml:space="preserve"> In 2022, it was estimated </w:t>
      </w:r>
      <w:r w:rsidR="00F15B23" w:rsidRPr="00E8461E">
        <w:rPr>
          <w:lang w:val="en-GB"/>
        </w:rPr>
        <w:lastRenderedPageBreak/>
        <w:t>39% of women and 32% of men aged 18-64 in Australia do not do the recommended amount of physical activity.</w:t>
      </w:r>
      <w:r w:rsidR="00F15B23" w:rsidRPr="00E8461E">
        <w:rPr>
          <w:rStyle w:val="EndnoteReference"/>
          <w:lang w:val="en-GB"/>
        </w:rPr>
        <w:endnoteReference w:id="334"/>
      </w:r>
    </w:p>
    <w:p w14:paraId="6B943D3D" w14:textId="3746F0F5" w:rsidR="008B2EA1" w:rsidRPr="00E8461E" w:rsidRDefault="00F15B23" w:rsidP="00F15B23">
      <w:pPr>
        <w:rPr>
          <w:lang w:val="en-GB"/>
        </w:rPr>
      </w:pPr>
      <w:r w:rsidRPr="00E8461E">
        <w:rPr>
          <w:lang w:val="en-GB"/>
        </w:rPr>
        <w:t>Active travel – walking or cycling to get to a destination – provides an opportunity to achieve recommended levels of physical activity</w:t>
      </w:r>
      <w:r w:rsidR="008B2EA1" w:rsidRPr="00E8461E">
        <w:rPr>
          <w:lang w:val="en-GB"/>
        </w:rPr>
        <w:t>, while delivering benefits for planetary health</w:t>
      </w:r>
      <w:r w:rsidR="00FF0EC4" w:rsidRPr="00E8461E">
        <w:rPr>
          <w:lang w:val="en-GB"/>
        </w:rPr>
        <w:t>,</w:t>
      </w:r>
      <w:r w:rsidR="008B2EA1" w:rsidRPr="00E8461E">
        <w:rPr>
          <w:lang w:val="en-GB"/>
        </w:rPr>
        <w:t xml:space="preserve"> </w:t>
      </w:r>
      <w:r w:rsidR="00921CF7" w:rsidRPr="00E8461E">
        <w:rPr>
          <w:lang w:val="en-GB"/>
        </w:rPr>
        <w:t xml:space="preserve">and </w:t>
      </w:r>
      <w:r w:rsidR="008B2EA1" w:rsidRPr="00E8461E">
        <w:rPr>
          <w:rFonts w:ascii="Calibri" w:hAnsi="Calibri" w:cs="Calibri"/>
          <w:lang w:val="en-GB"/>
        </w:rPr>
        <w:t>improving health outcomes.</w:t>
      </w:r>
      <w:r w:rsidR="008B2EA1" w:rsidRPr="00E8461E">
        <w:rPr>
          <w:rStyle w:val="EndnoteReference"/>
          <w:rFonts w:ascii="Calibri" w:hAnsi="Calibri" w:cs="Calibri"/>
          <w:lang w:val="en-GB"/>
        </w:rPr>
        <w:endnoteReference w:id="335"/>
      </w:r>
      <w:r w:rsidR="00423FA9" w:rsidRPr="00E8461E">
        <w:rPr>
          <w:rFonts w:ascii="Calibri" w:hAnsi="Calibri" w:cs="Calibri"/>
          <w:vertAlign w:val="superscript"/>
          <w:lang w:val="en-GB"/>
        </w:rPr>
        <w:t>,</w:t>
      </w:r>
      <w:r w:rsidRPr="00E8461E">
        <w:rPr>
          <w:rStyle w:val="EndnoteReference"/>
          <w:rFonts w:ascii="Calibri" w:hAnsi="Calibri" w:cs="Calibri"/>
          <w:lang w:val="en-GB"/>
        </w:rPr>
        <w:endnoteReference w:id="336"/>
      </w:r>
      <w:r w:rsidRPr="00E8461E">
        <w:rPr>
          <w:lang w:val="en-GB"/>
        </w:rPr>
        <w:t xml:space="preserve"> </w:t>
      </w:r>
      <w:r w:rsidRPr="00E8461E">
        <w:rPr>
          <w:rFonts w:ascii="Calibri" w:hAnsi="Calibri" w:cs="Calibri"/>
          <w:lang w:val="en-GB"/>
        </w:rPr>
        <w:t xml:space="preserve">Redesigning cities to prioritise walking, cycling and public transportation usually also involves a more compact city form less centred around car travel. </w:t>
      </w:r>
      <w:r w:rsidRPr="00E8461E">
        <w:rPr>
          <w:rFonts w:ascii="Calibri" w:hAnsi="Calibri" w:cs="Calibri"/>
        </w:rPr>
        <w:t>Adequate housing density, well-connected streets, mixed land use to create nearby destinations, high-quality pedestrian infrastructure and proximate public transport are key determinants of walkability.</w:t>
      </w:r>
      <w:r w:rsidRPr="00E8461E">
        <w:rPr>
          <w:rStyle w:val="EndnoteReference"/>
          <w:rFonts w:ascii="Calibri" w:hAnsi="Calibri" w:cs="Calibri"/>
        </w:rPr>
        <w:endnoteReference w:id="337"/>
      </w:r>
      <w:r w:rsidRPr="00E8461E">
        <w:rPr>
          <w:rFonts w:ascii="Calibri" w:hAnsi="Calibri" w:cs="Calibri"/>
        </w:rPr>
        <w:t xml:space="preserve"> Large areas of Australian cities currently have poor walkability and access to public transport, especially in outer suburban areas.</w:t>
      </w:r>
      <w:r w:rsidRPr="00E8461E">
        <w:rPr>
          <w:rStyle w:val="EndnoteReference"/>
          <w:rFonts w:ascii="Calibri" w:hAnsi="Calibri" w:cs="Calibri"/>
        </w:rPr>
        <w:endnoteReference w:id="338"/>
      </w:r>
      <w:r w:rsidRPr="00E8461E">
        <w:rPr>
          <w:rFonts w:ascii="Calibri" w:hAnsi="Calibri" w:cs="Calibri"/>
        </w:rPr>
        <w:t xml:space="preserve"> </w:t>
      </w:r>
      <w:r w:rsidR="008B2EA1" w:rsidRPr="00E8461E">
        <w:rPr>
          <w:rFonts w:ascii="Calibri" w:hAnsi="Calibri" w:cs="Calibri"/>
        </w:rPr>
        <w:t>Australia</w:t>
      </w:r>
      <w:r w:rsidR="00EC37AF" w:rsidRPr="00E8461E">
        <w:rPr>
          <w:rFonts w:ascii="Calibri" w:hAnsi="Calibri" w:cs="Calibri"/>
        </w:rPr>
        <w:t xml:space="preserve"> also has low levels of</w:t>
      </w:r>
      <w:r w:rsidR="008B2EA1" w:rsidRPr="00E8461E">
        <w:rPr>
          <w:rFonts w:ascii="Calibri" w:hAnsi="Calibri" w:cs="Calibri"/>
        </w:rPr>
        <w:t xml:space="preserve"> cycling</w:t>
      </w:r>
      <w:r w:rsidR="00EC37AF" w:rsidRPr="00E8461E">
        <w:rPr>
          <w:rFonts w:ascii="Calibri" w:hAnsi="Calibri" w:cs="Calibri"/>
        </w:rPr>
        <w:t>, estimated at</w:t>
      </w:r>
      <w:r w:rsidR="008B2EA1" w:rsidRPr="00E8461E">
        <w:rPr>
          <w:rFonts w:ascii="Calibri" w:hAnsi="Calibri" w:cs="Calibri"/>
        </w:rPr>
        <w:t xml:space="preserve"> 1.8% of all trips.</w:t>
      </w:r>
      <w:r w:rsidR="008B2EA1" w:rsidRPr="00E8461E">
        <w:rPr>
          <w:rStyle w:val="EndnoteReference"/>
        </w:rPr>
        <w:endnoteReference w:id="339"/>
      </w:r>
      <w:r w:rsidR="008B2EA1" w:rsidRPr="00E8461E">
        <w:rPr>
          <w:rStyle w:val="EndnoteReference"/>
        </w:rPr>
        <w:t xml:space="preserve"> </w:t>
      </w:r>
      <w:r w:rsidR="008B2EA1" w:rsidRPr="00E8461E">
        <w:rPr>
          <w:rFonts w:ascii="Calibri" w:hAnsi="Calibri" w:cs="Calibri"/>
        </w:rPr>
        <w:t>This compares to 11.5% in Japan and 26.8% in the Netherlands.</w:t>
      </w:r>
    </w:p>
    <w:p w14:paraId="199DD743" w14:textId="77777777" w:rsidR="001C45FA" w:rsidRPr="00E8461E" w:rsidRDefault="00F15B23" w:rsidP="001C45FA">
      <w:pPr>
        <w:rPr>
          <w:vertAlign w:val="superscript"/>
          <w:lang w:val="en-GB"/>
        </w:rPr>
      </w:pPr>
      <w:r w:rsidRPr="00E8461E">
        <w:rPr>
          <w:rFonts w:ascii="Calibri" w:hAnsi="Calibri" w:cs="Calibri"/>
          <w:lang w:val="en-GB"/>
        </w:rPr>
        <w:t>Improving transport options with an emphasis on public and active transport will tend to boost average fitness levels, while reducing air and noise pollution and overall rates of motor vehicle accidents, with considerable population health benefits especially in reducing rates of chronic disease.</w:t>
      </w:r>
      <w:r w:rsidRPr="00E8461E">
        <w:rPr>
          <w:rStyle w:val="EndnoteReference"/>
          <w:rFonts w:ascii="Calibri" w:hAnsi="Calibri" w:cs="Calibri"/>
          <w:lang w:val="en-GB"/>
        </w:rPr>
        <w:endnoteReference w:id="340"/>
      </w:r>
      <w:r w:rsidR="001C45FA" w:rsidRPr="00E8461E">
        <w:rPr>
          <w:rFonts w:ascii="Calibri" w:hAnsi="Calibri" w:cs="Calibri"/>
          <w:lang w:val="en-GB"/>
        </w:rPr>
        <w:t xml:space="preserve"> </w:t>
      </w:r>
      <w:r w:rsidR="001C45FA" w:rsidRPr="00E8461E">
        <w:rPr>
          <w:lang w:val="en-GB"/>
        </w:rPr>
        <w:t>A study across nine countries found increasing cycling and walking could result in over 2 million deaths avoided per year by 2040.</w:t>
      </w:r>
      <w:r w:rsidR="001C45FA" w:rsidRPr="00E8461E">
        <w:rPr>
          <w:rStyle w:val="EndnoteReference"/>
          <w:lang w:val="en-GB"/>
        </w:rPr>
        <w:endnoteReference w:id="341"/>
      </w:r>
      <w:r w:rsidR="001C45FA" w:rsidRPr="00E8461E">
        <w:rPr>
          <w:lang w:val="en-GB"/>
        </w:rPr>
        <w:t xml:space="preserve"> An Adelaide study modelling a shift of 40% of vehicle kilometres to active transport found that 508 deaths per year could be prevented due to increased physical activity.</w:t>
      </w:r>
      <w:r w:rsidR="001C45FA" w:rsidRPr="00E8461E">
        <w:rPr>
          <w:rStyle w:val="EndnoteReference"/>
          <w:lang w:val="en-GB"/>
        </w:rPr>
        <w:endnoteReference w:id="342"/>
      </w:r>
      <w:r w:rsidR="001C45FA" w:rsidRPr="00E8461E">
        <w:rPr>
          <w:lang w:val="en-GB"/>
        </w:rPr>
        <w:t xml:space="preserve"> Resources such as the World Health Organization’s Health Economic Assessment Tool for walking and cycling can support decision making for transport interventions by modelling the effects of different policy options on physical activity, air pollution and road fatalities.</w:t>
      </w:r>
      <w:r w:rsidR="001C45FA" w:rsidRPr="00E8461E">
        <w:rPr>
          <w:rStyle w:val="EndnoteReference"/>
          <w:lang w:val="en-GB"/>
        </w:rPr>
        <w:endnoteReference w:id="343"/>
      </w:r>
      <w:r w:rsidR="001C45FA" w:rsidRPr="00E8461E">
        <w:rPr>
          <w:vertAlign w:val="superscript"/>
          <w:lang w:val="en-GB"/>
        </w:rPr>
        <w:t>,</w:t>
      </w:r>
      <w:r w:rsidR="001C45FA" w:rsidRPr="00E8461E">
        <w:rPr>
          <w:rStyle w:val="EndnoteReference"/>
          <w:lang w:val="en-GB"/>
        </w:rPr>
        <w:endnoteReference w:id="344"/>
      </w:r>
    </w:p>
    <w:p w14:paraId="3461F30C" w14:textId="6A8FA843" w:rsidR="008B2A7F" w:rsidRPr="00E8461E" w:rsidRDefault="000F4FE3" w:rsidP="008B2A7F">
      <w:r w:rsidRPr="00E8461E">
        <w:rPr>
          <w:lang w:val="en-GB"/>
        </w:rPr>
        <w:t>A</w:t>
      </w:r>
      <w:r w:rsidR="008B2A7F" w:rsidRPr="00E8461E">
        <w:rPr>
          <w:lang w:val="en-GB"/>
        </w:rPr>
        <w:t>ctive travel is not always available as a viable option to all people</w:t>
      </w:r>
      <w:r w:rsidR="008B2A7F" w:rsidRPr="00E8461E">
        <w:t>.</w:t>
      </w:r>
      <w:r w:rsidR="008B2A7F" w:rsidRPr="00E8461E">
        <w:rPr>
          <w:rStyle w:val="EndnoteReference"/>
        </w:rPr>
        <w:endnoteReference w:id="345"/>
      </w:r>
      <w:r w:rsidR="008B2A7F" w:rsidRPr="00E8461E">
        <w:t xml:space="preserve"> Uneven and narrow pavements and other limitations to accessible infrastructure can disproportionately prevent people with a disability, children and the elderly from walking or </w:t>
      </w:r>
      <w:r w:rsidR="00275B26" w:rsidRPr="00E8461E">
        <w:t xml:space="preserve">travelling </w:t>
      </w:r>
      <w:r w:rsidR="00F63C47" w:rsidRPr="00E8461E">
        <w:t>with mobility aids</w:t>
      </w:r>
      <w:r w:rsidR="008B2A7F" w:rsidRPr="00E8461E">
        <w:t>.</w:t>
      </w:r>
      <w:r w:rsidR="008B2A7F" w:rsidRPr="00E8461E">
        <w:rPr>
          <w:rStyle w:val="EndnoteReference"/>
        </w:rPr>
        <w:endnoteReference w:id="346"/>
      </w:r>
      <w:r w:rsidR="008B2A7F" w:rsidRPr="00E8461E">
        <w:t xml:space="preserve"> Furthermore, people with care responsibilities </w:t>
      </w:r>
      <w:r w:rsidR="00A4425F" w:rsidRPr="00E8461E">
        <w:t xml:space="preserve">can </w:t>
      </w:r>
      <w:proofErr w:type="gramStart"/>
      <w:r w:rsidR="008B2A7F" w:rsidRPr="00E8461E">
        <w:t>experience difficulty</w:t>
      </w:r>
      <w:proofErr w:type="gramEnd"/>
      <w:r w:rsidR="008B2A7F" w:rsidRPr="00E8461E">
        <w:t xml:space="preserve"> conducting journeys via active modes or even public transport. </w:t>
      </w:r>
      <w:r w:rsidR="00FA2D9B" w:rsidRPr="00E8461E">
        <w:t>These</w:t>
      </w:r>
      <w:r w:rsidR="008B2A7F" w:rsidRPr="00E8461E">
        <w:t xml:space="preserve"> challenges require ongoing creative policy thinking.</w:t>
      </w:r>
    </w:p>
    <w:p w14:paraId="6B4BA428" w14:textId="77777777" w:rsidR="00D80EFD" w:rsidRPr="00E8461E" w:rsidRDefault="00D80EFD" w:rsidP="00D80EFD">
      <w:pPr>
        <w:pStyle w:val="Heading4"/>
        <w:rPr>
          <w:iCs w:val="0"/>
        </w:rPr>
      </w:pPr>
      <w:r w:rsidRPr="00E8461E">
        <w:rPr>
          <w:iCs w:val="0"/>
        </w:rPr>
        <w:t>Action 6.11</w:t>
      </w:r>
    </w:p>
    <w:p w14:paraId="4FE572F7" w14:textId="77777777" w:rsidR="00D80EFD" w:rsidRPr="00E8461E" w:rsidRDefault="00D80EFD" w:rsidP="00D80EFD">
      <w:pPr>
        <w:rPr>
          <w:bCs/>
          <w:lang w:val="en-GB"/>
        </w:rPr>
      </w:pPr>
      <w:r w:rsidRPr="00E8461E">
        <w:rPr>
          <w:b/>
          <w:lang w:val="en-GB"/>
        </w:rPr>
        <w:t>Promoting active travel</w:t>
      </w:r>
    </w:p>
    <w:p w14:paraId="2436F46C" w14:textId="2C35A16E" w:rsidR="00D80EFD" w:rsidRPr="00E8461E" w:rsidRDefault="00A31007" w:rsidP="00D80EFD">
      <w:pPr>
        <w:pBdr>
          <w:bottom w:val="single" w:sz="12" w:space="1" w:color="008A95" w:themeColor="accent1"/>
        </w:pBdr>
      </w:pPr>
      <w:r w:rsidRPr="00E8461E">
        <w:rPr>
          <w:bCs/>
          <w:lang w:val="en-GB"/>
        </w:rPr>
        <w:t>The Australian Government will seek to engage relevant agencies across all levels of government to promote active travel. This will support and complement implementation of the National Preventive Health Strategy 2021-2030.  Please also double check this is carried through in actions appendix</w:t>
      </w:r>
      <w:r w:rsidR="00D80EFD" w:rsidRPr="00E8461E">
        <w:rPr>
          <w:bCs/>
          <w:lang w:val="en-GB"/>
        </w:rPr>
        <w:t>.</w:t>
      </w:r>
    </w:p>
    <w:p w14:paraId="2177AA28" w14:textId="77777777" w:rsidR="00C257C4" w:rsidRPr="00E8461E" w:rsidRDefault="00C257C4" w:rsidP="00BA055E">
      <w:pPr>
        <w:rPr>
          <w:lang w:val="en-GB"/>
        </w:rPr>
      </w:pPr>
      <w:bookmarkStart w:id="211" w:name="_Toc149910017"/>
      <w:bookmarkStart w:id="212" w:name="_Toc147086770"/>
      <w:bookmarkStart w:id="213" w:name="_Toc147502218"/>
      <w:bookmarkEnd w:id="205"/>
      <w:bookmarkEnd w:id="206"/>
      <w:r w:rsidRPr="00E8461E">
        <w:rPr>
          <w:lang w:val="en-GB"/>
        </w:rPr>
        <w:br w:type="page"/>
      </w:r>
    </w:p>
    <w:p w14:paraId="673B6B5E" w14:textId="799341A8" w:rsidR="00C158DC" w:rsidRPr="00E8461E" w:rsidRDefault="003F688B" w:rsidP="00D76CDF">
      <w:pPr>
        <w:pStyle w:val="Heading1"/>
        <w:rPr>
          <w:lang w:val="en-GB"/>
        </w:rPr>
      </w:pPr>
      <w:bookmarkStart w:id="214" w:name="_Toc149910024"/>
      <w:bookmarkStart w:id="215" w:name="_Toc149918486"/>
      <w:bookmarkStart w:id="216" w:name="_Toc151999646"/>
      <w:bookmarkEnd w:id="211"/>
      <w:r w:rsidRPr="00E8461E">
        <w:rPr>
          <w:lang w:val="en-GB"/>
        </w:rPr>
        <w:lastRenderedPageBreak/>
        <w:t xml:space="preserve">Chapter </w:t>
      </w:r>
      <w:r w:rsidR="008D1463" w:rsidRPr="00E8461E">
        <w:rPr>
          <w:lang w:val="en-GB"/>
        </w:rPr>
        <w:t>7</w:t>
      </w:r>
      <w:r w:rsidRPr="00E8461E">
        <w:rPr>
          <w:lang w:val="en-GB"/>
        </w:rPr>
        <w:t xml:space="preserve">: </w:t>
      </w:r>
      <w:r w:rsidR="00C158DC" w:rsidRPr="00E8461E">
        <w:rPr>
          <w:lang w:val="en-GB"/>
        </w:rPr>
        <w:t>Enablers</w:t>
      </w:r>
      <w:bookmarkEnd w:id="212"/>
      <w:bookmarkEnd w:id="213"/>
      <w:r w:rsidR="007D0043" w:rsidRPr="00E8461E">
        <w:rPr>
          <w:lang w:val="en-GB"/>
        </w:rPr>
        <w:t xml:space="preserve"> of action on climate and health</w:t>
      </w:r>
      <w:bookmarkEnd w:id="214"/>
      <w:bookmarkEnd w:id="215"/>
      <w:bookmarkEnd w:id="216"/>
    </w:p>
    <w:p w14:paraId="214ACF55" w14:textId="4E00A8C0" w:rsidR="00653752" w:rsidRPr="00E8461E" w:rsidRDefault="00653752" w:rsidP="00653752">
      <w:pPr>
        <w:rPr>
          <w:lang w:val="en-GB"/>
        </w:rPr>
      </w:pPr>
      <w:r w:rsidRPr="00E8461E">
        <w:rPr>
          <w:noProof/>
          <w:lang w:val="en-GB"/>
        </w:rPr>
        <mc:AlternateContent>
          <mc:Choice Requires="wps">
            <w:drawing>
              <wp:inline distT="0" distB="0" distL="0" distR="0" wp14:anchorId="0A56A26C" wp14:editId="38A1C674">
                <wp:extent cx="1035592" cy="115657"/>
                <wp:effectExtent l="0" t="0" r="0" b="0"/>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C62FB1" id="Rectangle 14"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785857F3" w14:textId="39CF3ED0" w:rsidR="0CDEED5F" w:rsidRPr="00E8461E" w:rsidRDefault="008D1463" w:rsidP="00CE2599">
      <w:pPr>
        <w:pStyle w:val="Heading2"/>
      </w:pPr>
      <w:bookmarkStart w:id="217" w:name="_Toc147086771"/>
      <w:bookmarkStart w:id="218" w:name="_Toc147502219"/>
      <w:bookmarkStart w:id="219" w:name="_Toc149910025"/>
      <w:bookmarkStart w:id="220" w:name="_Toc149918487"/>
      <w:bookmarkStart w:id="221" w:name="_Toc151999647"/>
      <w:r w:rsidRPr="00E8461E">
        <w:t>7</w:t>
      </w:r>
      <w:r w:rsidR="003F688B" w:rsidRPr="00E8461E">
        <w:t xml:space="preserve">.1 </w:t>
      </w:r>
      <w:r w:rsidR="008441FC" w:rsidRPr="00E8461E">
        <w:t xml:space="preserve">Workforce, </w:t>
      </w:r>
      <w:proofErr w:type="gramStart"/>
      <w:r w:rsidR="008441FC" w:rsidRPr="00E8461E">
        <w:t>leadership</w:t>
      </w:r>
      <w:proofErr w:type="gramEnd"/>
      <w:r w:rsidR="008441FC" w:rsidRPr="00E8461E">
        <w:t xml:space="preserve"> and training</w:t>
      </w:r>
      <w:bookmarkEnd w:id="217"/>
      <w:bookmarkEnd w:id="218"/>
      <w:bookmarkEnd w:id="219"/>
      <w:bookmarkEnd w:id="220"/>
      <w:bookmarkEnd w:id="221"/>
    </w:p>
    <w:p w14:paraId="61AA92A6" w14:textId="64BF379F" w:rsidR="00C42EFC" w:rsidRPr="00E8461E" w:rsidRDefault="00161907" w:rsidP="004C7C12">
      <w:pPr>
        <w:rPr>
          <w:lang w:val="en-GB"/>
        </w:rPr>
      </w:pPr>
      <w:r w:rsidRPr="00E8461E">
        <w:rPr>
          <w:lang w:val="en-GB"/>
        </w:rPr>
        <w:t>Workforce mobilisation</w:t>
      </w:r>
      <w:r w:rsidR="33284823" w:rsidRPr="00E8461E">
        <w:rPr>
          <w:lang w:val="en-GB"/>
        </w:rPr>
        <w:t xml:space="preserve"> is a key </w:t>
      </w:r>
      <w:r w:rsidR="00360597" w:rsidRPr="00E8461E">
        <w:rPr>
          <w:lang w:val="en-GB"/>
        </w:rPr>
        <w:t xml:space="preserve">precondition </w:t>
      </w:r>
      <w:r w:rsidR="00F17227" w:rsidRPr="00E8461E">
        <w:rPr>
          <w:lang w:val="en-GB"/>
        </w:rPr>
        <w:t xml:space="preserve">in </w:t>
      </w:r>
      <w:r w:rsidR="33284823" w:rsidRPr="00E8461E">
        <w:rPr>
          <w:lang w:val="en-GB"/>
        </w:rPr>
        <w:t>building</w:t>
      </w:r>
      <w:r w:rsidR="00360597" w:rsidRPr="00E8461E">
        <w:rPr>
          <w:lang w:val="en-GB"/>
        </w:rPr>
        <w:t xml:space="preserve"> a sustainable and climate-resilient </w:t>
      </w:r>
      <w:r w:rsidR="33284823" w:rsidRPr="00E8461E">
        <w:rPr>
          <w:lang w:val="en-GB"/>
        </w:rPr>
        <w:t xml:space="preserve">health system. </w:t>
      </w:r>
      <w:r w:rsidR="00EB19E3" w:rsidRPr="00E8461E">
        <w:rPr>
          <w:lang w:val="en-GB"/>
        </w:rPr>
        <w:t>The World Health Organi</w:t>
      </w:r>
      <w:r w:rsidR="00F24537" w:rsidRPr="00E8461E">
        <w:rPr>
          <w:lang w:val="en-GB"/>
        </w:rPr>
        <w:t>z</w:t>
      </w:r>
      <w:r w:rsidR="00EB19E3" w:rsidRPr="00E8461E">
        <w:rPr>
          <w:lang w:val="en-GB"/>
        </w:rPr>
        <w:t>ation has found the implementation of climate change and health strategies is limited by the capacity of the health workforce.</w:t>
      </w:r>
      <w:r w:rsidR="00473BA6" w:rsidRPr="00E8461E">
        <w:rPr>
          <w:rStyle w:val="EndnoteReference"/>
          <w:lang w:val="en-GB"/>
        </w:rPr>
        <w:endnoteReference w:id="347"/>
      </w:r>
      <w:r w:rsidR="00EB19E3" w:rsidRPr="00E8461E">
        <w:rPr>
          <w:lang w:val="en-GB"/>
        </w:rPr>
        <w:t xml:space="preserve"> </w:t>
      </w:r>
      <w:r w:rsidR="00360597" w:rsidRPr="00E8461E">
        <w:rPr>
          <w:lang w:val="en-GB"/>
        </w:rPr>
        <w:t xml:space="preserve">As part of the consultation process to develop this Strategy, </w:t>
      </w:r>
      <w:r w:rsidR="7D2BF70B" w:rsidRPr="00E8461E">
        <w:rPr>
          <w:lang w:val="en-GB"/>
        </w:rPr>
        <w:t>a wide range of</w:t>
      </w:r>
      <w:r w:rsidR="33284823" w:rsidRPr="00E8461E">
        <w:rPr>
          <w:lang w:val="en-GB"/>
        </w:rPr>
        <w:t xml:space="preserve"> </w:t>
      </w:r>
      <w:r w:rsidR="00146215" w:rsidRPr="00E8461E">
        <w:rPr>
          <w:lang w:val="en-GB"/>
        </w:rPr>
        <w:t xml:space="preserve">health </w:t>
      </w:r>
      <w:r w:rsidR="00E063E6" w:rsidRPr="00E8461E">
        <w:rPr>
          <w:lang w:val="en-GB"/>
        </w:rPr>
        <w:t xml:space="preserve">professional representative groups made submissions </w:t>
      </w:r>
      <w:r w:rsidR="33284823" w:rsidRPr="00E8461E">
        <w:rPr>
          <w:lang w:val="en-GB"/>
        </w:rPr>
        <w:t xml:space="preserve">overwhelmingly supportive of improving sustainability and climate resilience in </w:t>
      </w:r>
      <w:r w:rsidR="00E24F29" w:rsidRPr="00E8461E">
        <w:rPr>
          <w:lang w:val="en-GB"/>
        </w:rPr>
        <w:t>health</w:t>
      </w:r>
      <w:r w:rsidR="33284823" w:rsidRPr="00E8461E">
        <w:rPr>
          <w:lang w:val="en-GB"/>
        </w:rPr>
        <w:t xml:space="preserve"> workplace</w:t>
      </w:r>
      <w:r w:rsidR="00E5289C" w:rsidRPr="00E8461E">
        <w:rPr>
          <w:lang w:val="en-GB"/>
        </w:rPr>
        <w:t>s</w:t>
      </w:r>
      <w:r w:rsidR="33284823" w:rsidRPr="00E8461E">
        <w:rPr>
          <w:lang w:val="en-GB"/>
        </w:rPr>
        <w:t>.</w:t>
      </w:r>
      <w:r w:rsidR="000867CA" w:rsidRPr="00E8461E">
        <w:rPr>
          <w:lang w:val="en-GB"/>
        </w:rPr>
        <w:t xml:space="preserve"> </w:t>
      </w:r>
      <w:r w:rsidR="00C42EFC" w:rsidRPr="00E8461E">
        <w:rPr>
          <w:lang w:val="en-GB"/>
        </w:rPr>
        <w:t xml:space="preserve">This response is consistent with evidence showing health workers are concerned about </w:t>
      </w:r>
      <w:r w:rsidR="003E58B8" w:rsidRPr="00E8461E">
        <w:rPr>
          <w:lang w:val="en-GB"/>
        </w:rPr>
        <w:t xml:space="preserve">the health effects of </w:t>
      </w:r>
      <w:r w:rsidR="00C42EFC" w:rsidRPr="00E8461E">
        <w:rPr>
          <w:lang w:val="en-GB"/>
        </w:rPr>
        <w:t>climate change</w:t>
      </w:r>
      <w:r w:rsidR="00B3234C" w:rsidRPr="00E8461E">
        <w:rPr>
          <w:lang w:val="en-GB"/>
        </w:rPr>
        <w:t xml:space="preserve"> and the environmental impact of health systems</w:t>
      </w:r>
      <w:r w:rsidR="00C42EFC" w:rsidRPr="00E8461E">
        <w:rPr>
          <w:lang w:val="en-GB"/>
        </w:rPr>
        <w:t>, understand healthy people are dependent on a healthy environment</w:t>
      </w:r>
      <w:r w:rsidR="00914B12" w:rsidRPr="00E8461E">
        <w:rPr>
          <w:lang w:val="en-GB"/>
        </w:rPr>
        <w:t>,</w:t>
      </w:r>
      <w:r w:rsidR="00C42EFC" w:rsidRPr="00E8461E">
        <w:rPr>
          <w:lang w:val="en-GB"/>
        </w:rPr>
        <w:t xml:space="preserve"> and are </w:t>
      </w:r>
      <w:r w:rsidR="001A3283" w:rsidRPr="00E8461E">
        <w:rPr>
          <w:lang w:val="en-GB"/>
        </w:rPr>
        <w:t>motivated</w:t>
      </w:r>
      <w:r w:rsidR="00C42EFC" w:rsidRPr="00E8461E">
        <w:rPr>
          <w:lang w:val="en-GB"/>
        </w:rPr>
        <w:t xml:space="preserve"> to be part of the transition to </w:t>
      </w:r>
      <w:r w:rsidRPr="00E8461E">
        <w:rPr>
          <w:lang w:val="en-GB"/>
        </w:rPr>
        <w:t xml:space="preserve">a </w:t>
      </w:r>
      <w:r w:rsidR="00C42EFC" w:rsidRPr="00E8461E">
        <w:rPr>
          <w:lang w:val="en-GB"/>
        </w:rPr>
        <w:t>net zero and climate</w:t>
      </w:r>
      <w:r w:rsidRPr="00E8461E">
        <w:rPr>
          <w:lang w:val="en-GB"/>
        </w:rPr>
        <w:t>-</w:t>
      </w:r>
      <w:r w:rsidR="00C42EFC" w:rsidRPr="00E8461E">
        <w:rPr>
          <w:lang w:val="en-GB"/>
        </w:rPr>
        <w:t>resilien</w:t>
      </w:r>
      <w:r w:rsidRPr="00E8461E">
        <w:rPr>
          <w:lang w:val="en-GB"/>
        </w:rPr>
        <w:t>t health system</w:t>
      </w:r>
      <w:r w:rsidR="00C42EFC" w:rsidRPr="00E8461E">
        <w:rPr>
          <w:lang w:val="en-GB"/>
        </w:rPr>
        <w:t xml:space="preserve">. A Sunshine Coast Hospital &amp; Health Service survey showed 90% of staff ‘strongly agree’ or ‘agree’ climate change is a serious problem </w:t>
      </w:r>
      <w:r w:rsidR="00DC3054" w:rsidRPr="00E8461E">
        <w:rPr>
          <w:lang w:val="en-GB"/>
        </w:rPr>
        <w:t>requiring</w:t>
      </w:r>
      <w:r w:rsidR="00C42EFC" w:rsidRPr="00E8461E">
        <w:rPr>
          <w:lang w:val="en-GB"/>
        </w:rPr>
        <w:t xml:space="preserve"> immediate action; and 87% of staff ‘strongly agree’ or ‘agree’ health services should lead the way on climate action.</w:t>
      </w:r>
      <w:r w:rsidR="00F01445" w:rsidRPr="00E8461E">
        <w:rPr>
          <w:rStyle w:val="EndnoteReference"/>
          <w:lang w:val="en-GB"/>
        </w:rPr>
        <w:endnoteReference w:id="348"/>
      </w:r>
      <w:r w:rsidR="00C42EFC" w:rsidRPr="00E8461E">
        <w:rPr>
          <w:lang w:val="en-GB"/>
        </w:rPr>
        <w:t xml:space="preserve"> Similarly, a 2023 Royal Australasian College of Surgeons </w:t>
      </w:r>
      <w:r w:rsidR="006E681D" w:rsidRPr="00E8461E">
        <w:rPr>
          <w:lang w:val="en-GB"/>
        </w:rPr>
        <w:t>s</w:t>
      </w:r>
      <w:r w:rsidR="00C42EFC" w:rsidRPr="00E8461E">
        <w:rPr>
          <w:lang w:val="en-GB"/>
        </w:rPr>
        <w:t xml:space="preserve">urvey found </w:t>
      </w:r>
      <w:r w:rsidR="00C42EFC" w:rsidRPr="00E8461E">
        <w:t xml:space="preserve">79% of surgeons make personal choices outside work to reduce their </w:t>
      </w:r>
      <w:r w:rsidR="00455C4A" w:rsidRPr="00E8461E">
        <w:t xml:space="preserve">emissions </w:t>
      </w:r>
      <w:r w:rsidR="00C42EFC" w:rsidRPr="00E8461E">
        <w:t xml:space="preserve">footprint and 82% and 90% would use reusable gowns and drapes and surgical instruments respectively, if </w:t>
      </w:r>
      <w:r w:rsidR="006E681D" w:rsidRPr="00E8461E">
        <w:t>given</w:t>
      </w:r>
      <w:r w:rsidR="00C42EFC" w:rsidRPr="00E8461E">
        <w:t xml:space="preserve"> supporting evidence</w:t>
      </w:r>
      <w:r w:rsidR="00B17F4F" w:rsidRPr="00E8461E">
        <w:t xml:space="preserve"> and </w:t>
      </w:r>
      <w:r w:rsidR="00C42EFC" w:rsidRPr="00E8461E">
        <w:t>guidelines.</w:t>
      </w:r>
      <w:r w:rsidR="00F01445" w:rsidRPr="00E8461E">
        <w:rPr>
          <w:rStyle w:val="EndnoteReference"/>
        </w:rPr>
        <w:endnoteReference w:id="349"/>
      </w:r>
      <w:r w:rsidR="001F4875" w:rsidRPr="00E8461E">
        <w:t xml:space="preserve"> These findings are congruent with </w:t>
      </w:r>
      <w:r w:rsidR="00567254" w:rsidRPr="00E8461E">
        <w:t>international</w:t>
      </w:r>
      <w:r w:rsidR="001F4875" w:rsidRPr="00E8461E">
        <w:t xml:space="preserve"> health workforce</w:t>
      </w:r>
      <w:r w:rsidR="00B26C10" w:rsidRPr="00E8461E">
        <w:t xml:space="preserve"> studies.</w:t>
      </w:r>
      <w:r w:rsidR="007974E0" w:rsidRPr="00E8461E">
        <w:rPr>
          <w:rStyle w:val="EndnoteReference"/>
        </w:rPr>
        <w:endnoteReference w:id="350"/>
      </w:r>
    </w:p>
    <w:p w14:paraId="2E360AD8" w14:textId="2206555B" w:rsidR="004C7C12" w:rsidRPr="00E8461E" w:rsidRDefault="33284823" w:rsidP="541CB08A">
      <w:pPr>
        <w:rPr>
          <w:lang w:val="en-GB"/>
        </w:rPr>
      </w:pPr>
      <w:r w:rsidRPr="00E8461E">
        <w:rPr>
          <w:lang w:val="en-GB"/>
        </w:rPr>
        <w:t xml:space="preserve">The </w:t>
      </w:r>
      <w:r w:rsidR="005809BA" w:rsidRPr="00E8461E">
        <w:rPr>
          <w:lang w:val="en-GB"/>
        </w:rPr>
        <w:t xml:space="preserve">Australian </w:t>
      </w:r>
      <w:r w:rsidRPr="00E8461E">
        <w:rPr>
          <w:lang w:val="en-GB"/>
        </w:rPr>
        <w:t xml:space="preserve">Government recognises much </w:t>
      </w:r>
      <w:r w:rsidR="00B72E62" w:rsidRPr="00E8461E">
        <w:rPr>
          <w:lang w:val="en-GB"/>
        </w:rPr>
        <w:t>of the</w:t>
      </w:r>
      <w:r w:rsidRPr="00E8461E">
        <w:rPr>
          <w:lang w:val="en-GB"/>
        </w:rPr>
        <w:t xml:space="preserve"> progress to date</w:t>
      </w:r>
      <w:r w:rsidR="00E5289C" w:rsidRPr="00E8461E">
        <w:rPr>
          <w:lang w:val="en-GB"/>
        </w:rPr>
        <w:t xml:space="preserve"> in building a sustainable and climate-resilient health system</w:t>
      </w:r>
      <w:r w:rsidRPr="00E8461E">
        <w:rPr>
          <w:lang w:val="en-GB"/>
        </w:rPr>
        <w:t xml:space="preserve"> has been achieved by passionate workers driving reform and innovation around the country. </w:t>
      </w:r>
      <w:r w:rsidR="005809BA" w:rsidRPr="00E8461E">
        <w:rPr>
          <w:lang w:val="en-GB"/>
        </w:rPr>
        <w:t>A key aim of this Strategy is to</w:t>
      </w:r>
      <w:r w:rsidRPr="00E8461E">
        <w:rPr>
          <w:lang w:val="en-GB"/>
        </w:rPr>
        <w:t xml:space="preserve"> support</w:t>
      </w:r>
      <w:r w:rsidR="00305CB5" w:rsidRPr="00E8461E">
        <w:rPr>
          <w:lang w:val="en-GB"/>
        </w:rPr>
        <w:t>, upskill</w:t>
      </w:r>
      <w:r w:rsidRPr="00E8461E">
        <w:rPr>
          <w:lang w:val="en-GB"/>
        </w:rPr>
        <w:t xml:space="preserve"> and mobilise the health and aged care </w:t>
      </w:r>
      <w:r w:rsidR="26543728" w:rsidRPr="00E8461E">
        <w:rPr>
          <w:lang w:val="en-GB"/>
        </w:rPr>
        <w:t xml:space="preserve">workforce </w:t>
      </w:r>
      <w:r w:rsidRPr="00E8461E">
        <w:rPr>
          <w:lang w:val="en-GB"/>
        </w:rPr>
        <w:t>to raise public awareness and understanding of the health impacts of climate change; take action to address these impacts</w:t>
      </w:r>
      <w:r w:rsidR="00744682" w:rsidRPr="00E8461E">
        <w:rPr>
          <w:lang w:val="en-GB"/>
        </w:rPr>
        <w:t>;</w:t>
      </w:r>
      <w:r w:rsidRPr="00E8461E">
        <w:rPr>
          <w:lang w:val="en-GB"/>
        </w:rPr>
        <w:t xml:space="preserve"> strengthen the </w:t>
      </w:r>
      <w:r w:rsidR="000C1865" w:rsidRPr="00E8461E">
        <w:rPr>
          <w:lang w:val="en-GB"/>
        </w:rPr>
        <w:t xml:space="preserve">climate </w:t>
      </w:r>
      <w:r w:rsidRPr="00E8461E">
        <w:rPr>
          <w:lang w:val="en-GB"/>
        </w:rPr>
        <w:t>resilience of health services</w:t>
      </w:r>
      <w:r w:rsidR="00140798" w:rsidRPr="00E8461E">
        <w:rPr>
          <w:lang w:val="en-GB"/>
        </w:rPr>
        <w:t>;</w:t>
      </w:r>
      <w:r w:rsidRPr="00E8461E">
        <w:rPr>
          <w:lang w:val="en-GB"/>
        </w:rPr>
        <w:t xml:space="preserve"> provid</w:t>
      </w:r>
      <w:r w:rsidR="001402F9" w:rsidRPr="00E8461E">
        <w:rPr>
          <w:lang w:val="en-GB"/>
        </w:rPr>
        <w:t>e</w:t>
      </w:r>
      <w:r w:rsidRPr="00E8461E">
        <w:rPr>
          <w:lang w:val="en-GB"/>
        </w:rPr>
        <w:t xml:space="preserve"> care to affected populations; and lead innovation in reducing health system emissions. The Australian Government </w:t>
      </w:r>
      <w:r w:rsidR="00F110FE" w:rsidRPr="00E8461E">
        <w:rPr>
          <w:lang w:val="en-GB"/>
        </w:rPr>
        <w:t>is supporting</w:t>
      </w:r>
      <w:r w:rsidRPr="00E8461E">
        <w:rPr>
          <w:lang w:val="en-GB"/>
        </w:rPr>
        <w:t xml:space="preserve"> the health system to </w:t>
      </w:r>
      <w:r w:rsidR="4742889C" w:rsidRPr="00E8461E">
        <w:rPr>
          <w:lang w:val="en-GB"/>
        </w:rPr>
        <w:t>attract</w:t>
      </w:r>
      <w:r w:rsidRPr="00E8461E">
        <w:rPr>
          <w:lang w:val="en-GB"/>
        </w:rPr>
        <w:t xml:space="preserve"> and </w:t>
      </w:r>
      <w:r w:rsidR="4742889C" w:rsidRPr="00E8461E">
        <w:rPr>
          <w:lang w:val="en-GB"/>
        </w:rPr>
        <w:t>retain</w:t>
      </w:r>
      <w:r w:rsidRPr="00E8461E">
        <w:rPr>
          <w:lang w:val="en-GB"/>
        </w:rPr>
        <w:t xml:space="preserve"> staff into the future, acknowledging the existing and expected future pressures faced by the health workforce – including stresses related to the COVID-19 pandemic, recent climate-related emergencies such as bushfires and floods, </w:t>
      </w:r>
      <w:r w:rsidR="0079752A" w:rsidRPr="00E8461E">
        <w:rPr>
          <w:lang w:val="en-GB"/>
        </w:rPr>
        <w:t xml:space="preserve">the </w:t>
      </w:r>
      <w:r w:rsidR="0058280E" w:rsidRPr="00E8461E">
        <w:rPr>
          <w:lang w:val="en-GB"/>
        </w:rPr>
        <w:t>burden of chronic conditions</w:t>
      </w:r>
      <w:r w:rsidRPr="00E8461E">
        <w:rPr>
          <w:lang w:val="en-GB"/>
        </w:rPr>
        <w:t xml:space="preserve"> and ongoing workforce shortages.</w:t>
      </w:r>
      <w:r w:rsidR="00E60B61" w:rsidRPr="00E8461E">
        <w:rPr>
          <w:lang w:val="en-GB"/>
        </w:rPr>
        <w:t xml:space="preserve"> Future public health workforce planning is vital, as is increasing its capacity and capability to effectively deal with the impacts of public health emergencies, communicable and non-communicable </w:t>
      </w:r>
      <w:r w:rsidR="00991B2C" w:rsidRPr="00E8461E">
        <w:rPr>
          <w:lang w:val="en-GB"/>
        </w:rPr>
        <w:t>diseases,</w:t>
      </w:r>
      <w:r w:rsidR="00E60B61" w:rsidRPr="00E8461E">
        <w:rPr>
          <w:lang w:val="en-GB"/>
        </w:rPr>
        <w:t xml:space="preserve"> and the impacts of climate change.</w:t>
      </w:r>
    </w:p>
    <w:p w14:paraId="776D1839" w14:textId="77777777" w:rsidR="00E968DE" w:rsidRPr="00E8461E" w:rsidRDefault="00E968DE" w:rsidP="541CB08A">
      <w:pPr>
        <w:rPr>
          <w:lang w:val="en-GB"/>
        </w:rPr>
      </w:pPr>
    </w:p>
    <w:p w14:paraId="7C1CDCEF" w14:textId="4F3D5890" w:rsidR="00726C53" w:rsidRPr="00E8461E" w:rsidRDefault="00B234F6" w:rsidP="541CB08A">
      <w:pPr>
        <w:rPr>
          <w:lang w:val="en-GB"/>
        </w:rPr>
      </w:pPr>
      <w:r w:rsidRPr="00E8461E">
        <w:rPr>
          <w:lang w:val="en-GB"/>
        </w:rPr>
        <w:t>Building a sustainable and climate-resilien</w:t>
      </w:r>
      <w:r w:rsidR="00155546" w:rsidRPr="00E8461E">
        <w:rPr>
          <w:lang w:val="en-GB"/>
        </w:rPr>
        <w:t>t</w:t>
      </w:r>
      <w:r w:rsidRPr="00E8461E">
        <w:rPr>
          <w:lang w:val="en-GB"/>
        </w:rPr>
        <w:t xml:space="preserve"> health system </w:t>
      </w:r>
      <w:r w:rsidR="006D2011" w:rsidRPr="00E8461E">
        <w:rPr>
          <w:lang w:val="en-GB"/>
        </w:rPr>
        <w:t xml:space="preserve">requires a workforce with new </w:t>
      </w:r>
      <w:r w:rsidR="00014A5F" w:rsidRPr="00E8461E">
        <w:rPr>
          <w:lang w:val="en-GB"/>
        </w:rPr>
        <w:t>knowledge</w:t>
      </w:r>
      <w:r w:rsidR="00EC3393" w:rsidRPr="00E8461E">
        <w:rPr>
          <w:lang w:val="en-GB"/>
        </w:rPr>
        <w:t xml:space="preserve">, </w:t>
      </w:r>
      <w:proofErr w:type="gramStart"/>
      <w:r w:rsidR="00014A5F" w:rsidRPr="00E8461E">
        <w:rPr>
          <w:lang w:val="en-GB"/>
        </w:rPr>
        <w:t>skills</w:t>
      </w:r>
      <w:proofErr w:type="gramEnd"/>
      <w:r w:rsidR="00EC3393" w:rsidRPr="00E8461E">
        <w:rPr>
          <w:lang w:val="en-GB"/>
        </w:rPr>
        <w:t xml:space="preserve"> and capacities</w:t>
      </w:r>
      <w:r w:rsidR="009634BA" w:rsidRPr="00E8461E">
        <w:rPr>
          <w:lang w:val="en-GB"/>
        </w:rPr>
        <w:t>. This</w:t>
      </w:r>
      <w:r w:rsidR="006D2011" w:rsidRPr="00E8461E">
        <w:rPr>
          <w:lang w:val="en-GB"/>
        </w:rPr>
        <w:t xml:space="preserve"> requires</w:t>
      </w:r>
      <w:r w:rsidR="009634BA" w:rsidRPr="00E8461E">
        <w:rPr>
          <w:lang w:val="en-GB"/>
        </w:rPr>
        <w:t xml:space="preserve">, as one </w:t>
      </w:r>
      <w:r w:rsidR="0065774E" w:rsidRPr="00E8461E">
        <w:rPr>
          <w:lang w:val="en-GB"/>
        </w:rPr>
        <w:t xml:space="preserve">essential </w:t>
      </w:r>
      <w:r w:rsidR="009634BA" w:rsidRPr="00E8461E">
        <w:rPr>
          <w:lang w:val="en-GB"/>
        </w:rPr>
        <w:t>component,</w:t>
      </w:r>
      <w:r w:rsidR="006D2011" w:rsidRPr="00E8461E">
        <w:rPr>
          <w:lang w:val="en-GB"/>
        </w:rPr>
        <w:t xml:space="preserve"> </w:t>
      </w:r>
      <w:r w:rsidR="00014A5F" w:rsidRPr="00E8461E">
        <w:rPr>
          <w:lang w:val="en-GB"/>
        </w:rPr>
        <w:t xml:space="preserve">inclusion of climate change and sustainable health in relevant health </w:t>
      </w:r>
      <w:r w:rsidR="00602A87" w:rsidRPr="00E8461E">
        <w:rPr>
          <w:lang w:val="en-GB"/>
        </w:rPr>
        <w:t xml:space="preserve">and aged care </w:t>
      </w:r>
      <w:r w:rsidR="00014A5F" w:rsidRPr="00E8461E">
        <w:rPr>
          <w:lang w:val="en-GB"/>
        </w:rPr>
        <w:t>professions’ curricula</w:t>
      </w:r>
      <w:r w:rsidR="009634BA" w:rsidRPr="00E8461E">
        <w:rPr>
          <w:lang w:val="en-GB"/>
        </w:rPr>
        <w:t xml:space="preserve"> and training</w:t>
      </w:r>
      <w:r w:rsidR="00014A5F" w:rsidRPr="00E8461E">
        <w:rPr>
          <w:lang w:val="en-GB"/>
        </w:rPr>
        <w:t>.</w:t>
      </w:r>
      <w:r w:rsidR="00A31601" w:rsidRPr="00E8461E">
        <w:rPr>
          <w:rStyle w:val="EndnoteReference"/>
          <w:lang w:val="en-GB"/>
        </w:rPr>
        <w:endnoteReference w:id="351"/>
      </w:r>
      <w:r w:rsidR="00133ABE" w:rsidRPr="00E8461E">
        <w:rPr>
          <w:lang w:val="en-GB"/>
        </w:rPr>
        <w:t xml:space="preserve"> This will ensure that at entry to the health workplace new health </w:t>
      </w:r>
      <w:r w:rsidR="00602A87" w:rsidRPr="00E8461E">
        <w:rPr>
          <w:lang w:val="en-GB"/>
        </w:rPr>
        <w:t xml:space="preserve">and aged care </w:t>
      </w:r>
      <w:r w:rsidR="00133ABE" w:rsidRPr="00E8461E">
        <w:rPr>
          <w:lang w:val="en-GB"/>
        </w:rPr>
        <w:t>pro</w:t>
      </w:r>
      <w:r w:rsidR="005C6A8C" w:rsidRPr="00E8461E">
        <w:rPr>
          <w:lang w:val="en-GB"/>
        </w:rPr>
        <w:t xml:space="preserve">fessionals </w:t>
      </w:r>
      <w:r w:rsidR="009015F6" w:rsidRPr="00E8461E">
        <w:rPr>
          <w:lang w:val="en-GB"/>
        </w:rPr>
        <w:t>have the basic knowledge and skills required</w:t>
      </w:r>
      <w:r w:rsidR="00CA77EC" w:rsidRPr="00E8461E">
        <w:rPr>
          <w:lang w:val="en-GB"/>
        </w:rPr>
        <w:t>.</w:t>
      </w:r>
      <w:r w:rsidR="00014A5F" w:rsidRPr="00E8461E">
        <w:rPr>
          <w:lang w:val="en-GB"/>
        </w:rPr>
        <w:t xml:space="preserve"> </w:t>
      </w:r>
      <w:r w:rsidR="00D90017" w:rsidRPr="00E8461E">
        <w:rPr>
          <w:lang w:val="en-GB"/>
        </w:rPr>
        <w:t>Several</w:t>
      </w:r>
      <w:r w:rsidR="00014A5F" w:rsidRPr="00E8461E">
        <w:rPr>
          <w:lang w:val="en-GB"/>
        </w:rPr>
        <w:t xml:space="preserve"> health professions have already begun to introduce these components into </w:t>
      </w:r>
      <w:r w:rsidR="00951EF4" w:rsidRPr="00E8461E">
        <w:rPr>
          <w:lang w:val="en-GB"/>
        </w:rPr>
        <w:t>accreditation</w:t>
      </w:r>
      <w:r w:rsidR="00014A5F" w:rsidRPr="00E8461E">
        <w:rPr>
          <w:lang w:val="en-GB"/>
        </w:rPr>
        <w:t xml:space="preserve"> </w:t>
      </w:r>
      <w:r w:rsidR="006524D5" w:rsidRPr="00E8461E">
        <w:rPr>
          <w:lang w:val="en-GB"/>
        </w:rPr>
        <w:t xml:space="preserve">standards and </w:t>
      </w:r>
      <w:r w:rsidR="00014A5F" w:rsidRPr="00E8461E">
        <w:rPr>
          <w:lang w:val="en-GB"/>
        </w:rPr>
        <w:t>curricula</w:t>
      </w:r>
      <w:r w:rsidR="00DF1DF0" w:rsidRPr="00E8461E">
        <w:rPr>
          <w:lang w:val="en-GB"/>
        </w:rPr>
        <w:t>. T</w:t>
      </w:r>
      <w:r w:rsidR="00014A5F" w:rsidRPr="00E8461E">
        <w:rPr>
          <w:lang w:val="en-GB"/>
        </w:rPr>
        <w:t>h</w:t>
      </w:r>
      <w:r w:rsidR="00190CFA" w:rsidRPr="00E8461E">
        <w:rPr>
          <w:lang w:val="en-GB"/>
        </w:rPr>
        <w:t>e Government is committed to supporting the expansion of these and other relevant education and training initiatives in the years ahead.</w:t>
      </w:r>
      <w:r w:rsidR="00C63B4F" w:rsidRPr="00E8461E">
        <w:rPr>
          <w:lang w:val="en-GB"/>
        </w:rPr>
        <w:t xml:space="preserve"> </w:t>
      </w:r>
      <w:r w:rsidR="00592E9D" w:rsidRPr="00E8461E">
        <w:rPr>
          <w:lang w:val="en-GB"/>
        </w:rPr>
        <w:t xml:space="preserve">Upskilling </w:t>
      </w:r>
      <w:r w:rsidR="00D94DEE" w:rsidRPr="00E8461E">
        <w:rPr>
          <w:lang w:val="en-GB"/>
        </w:rPr>
        <w:t xml:space="preserve">the existing workforce and encouraging </w:t>
      </w:r>
      <w:r w:rsidR="002129FD" w:rsidRPr="00E8461E">
        <w:rPr>
          <w:lang w:val="en-GB"/>
        </w:rPr>
        <w:t>change can occur through a variety of strategies</w:t>
      </w:r>
      <w:r w:rsidR="009A1FD2" w:rsidRPr="00E8461E">
        <w:rPr>
          <w:lang w:val="en-GB"/>
        </w:rPr>
        <w:t xml:space="preserve">, </w:t>
      </w:r>
      <w:r w:rsidR="007E28B9" w:rsidRPr="00E8461E">
        <w:rPr>
          <w:lang w:val="en-GB"/>
        </w:rPr>
        <w:t xml:space="preserve">including </w:t>
      </w:r>
      <w:r w:rsidR="00EF5814" w:rsidRPr="00E8461E">
        <w:rPr>
          <w:lang w:val="en-GB"/>
        </w:rPr>
        <w:t>by</w:t>
      </w:r>
      <w:r w:rsidR="000C0C19" w:rsidRPr="00E8461E">
        <w:rPr>
          <w:lang w:val="en-GB"/>
        </w:rPr>
        <w:t xml:space="preserve"> </w:t>
      </w:r>
      <w:r w:rsidR="000E1669" w:rsidRPr="00E8461E">
        <w:rPr>
          <w:lang w:val="en-GB"/>
        </w:rPr>
        <w:t xml:space="preserve">embedding sustainability </w:t>
      </w:r>
      <w:r w:rsidR="00EF5814" w:rsidRPr="00E8461E">
        <w:rPr>
          <w:lang w:val="en-GB"/>
        </w:rPr>
        <w:t>training</w:t>
      </w:r>
      <w:r w:rsidR="00D93CA9" w:rsidRPr="00E8461E">
        <w:rPr>
          <w:lang w:val="en-GB"/>
        </w:rPr>
        <w:t xml:space="preserve"> </w:t>
      </w:r>
      <w:r w:rsidR="00853628" w:rsidRPr="00E8461E">
        <w:rPr>
          <w:lang w:val="en-GB"/>
        </w:rPr>
        <w:t>into Continuing Professional Development</w:t>
      </w:r>
      <w:r w:rsidR="00D93CA9" w:rsidRPr="00E8461E">
        <w:rPr>
          <w:lang w:val="en-GB"/>
        </w:rPr>
        <w:t xml:space="preserve">; </w:t>
      </w:r>
      <w:r w:rsidR="00227BF4" w:rsidRPr="00E8461E">
        <w:rPr>
          <w:lang w:val="en-GB"/>
        </w:rPr>
        <w:t xml:space="preserve">creating local </w:t>
      </w:r>
      <w:r w:rsidR="00B710CA" w:rsidRPr="00E8461E">
        <w:rPr>
          <w:lang w:val="en-GB"/>
        </w:rPr>
        <w:t>health net zero leads</w:t>
      </w:r>
      <w:r w:rsidR="000C0C19" w:rsidRPr="00E8461E">
        <w:rPr>
          <w:lang w:val="en-GB"/>
        </w:rPr>
        <w:t>;</w:t>
      </w:r>
      <w:r w:rsidR="00B710CA" w:rsidRPr="00E8461E">
        <w:rPr>
          <w:lang w:val="en-GB"/>
        </w:rPr>
        <w:t xml:space="preserve"> </w:t>
      </w:r>
      <w:r w:rsidR="00F652A3" w:rsidRPr="00E8461E">
        <w:rPr>
          <w:lang w:val="en-GB"/>
        </w:rPr>
        <w:t>short courses</w:t>
      </w:r>
      <w:r w:rsidR="00AB5C89" w:rsidRPr="00E8461E">
        <w:rPr>
          <w:lang w:val="en-GB"/>
        </w:rPr>
        <w:t>;</w:t>
      </w:r>
      <w:r w:rsidR="006149F1" w:rsidRPr="00E8461E">
        <w:rPr>
          <w:lang w:val="en-GB"/>
        </w:rPr>
        <w:t xml:space="preserve"> and</w:t>
      </w:r>
      <w:r w:rsidR="00E170C2" w:rsidRPr="00E8461E">
        <w:rPr>
          <w:lang w:val="en-GB"/>
        </w:rPr>
        <w:t xml:space="preserve"> </w:t>
      </w:r>
      <w:r w:rsidR="006323FA" w:rsidRPr="00E8461E">
        <w:rPr>
          <w:lang w:val="en-GB"/>
        </w:rPr>
        <w:t>the</w:t>
      </w:r>
      <w:r w:rsidR="00AE5D0E" w:rsidRPr="00E8461E">
        <w:rPr>
          <w:lang w:val="en-GB"/>
        </w:rPr>
        <w:t xml:space="preserve"> uptake of sustainability focused quality improvement </w:t>
      </w:r>
      <w:r w:rsidR="00FB7317" w:rsidRPr="00E8461E">
        <w:rPr>
          <w:lang w:val="en-GB"/>
        </w:rPr>
        <w:t>processes</w:t>
      </w:r>
      <w:r w:rsidR="003140B2" w:rsidRPr="00E8461E">
        <w:rPr>
          <w:lang w:val="en-GB"/>
        </w:rPr>
        <w:t>.</w:t>
      </w:r>
      <w:r w:rsidR="00700935" w:rsidRPr="00E8461E">
        <w:rPr>
          <w:lang w:val="en-GB"/>
        </w:rPr>
        <w:t xml:space="preserve"> </w:t>
      </w:r>
      <w:r w:rsidR="00F941FF" w:rsidRPr="00E8461E">
        <w:rPr>
          <w:lang w:val="en-GB"/>
        </w:rPr>
        <w:t>In the future,</w:t>
      </w:r>
      <w:r w:rsidR="00C63B4F" w:rsidRPr="00E8461E" w:rsidDel="00D93CA9">
        <w:rPr>
          <w:lang w:val="en-GB"/>
        </w:rPr>
        <w:t xml:space="preserve"> </w:t>
      </w:r>
      <w:r w:rsidR="00F941FF" w:rsidRPr="00E8461E">
        <w:rPr>
          <w:lang w:val="en-GB"/>
        </w:rPr>
        <w:t>a</w:t>
      </w:r>
      <w:r w:rsidR="00AA63B7" w:rsidRPr="00E8461E">
        <w:rPr>
          <w:lang w:val="en-GB"/>
        </w:rPr>
        <w:t xml:space="preserve"> fit for purpose</w:t>
      </w:r>
      <w:r w:rsidR="003140B2" w:rsidRPr="00E8461E">
        <w:rPr>
          <w:lang w:val="en-GB"/>
        </w:rPr>
        <w:t xml:space="preserve"> health</w:t>
      </w:r>
      <w:r w:rsidR="00C461D6" w:rsidRPr="00E8461E">
        <w:rPr>
          <w:lang w:val="en-GB"/>
        </w:rPr>
        <w:t xml:space="preserve"> </w:t>
      </w:r>
      <w:r w:rsidR="00C461D6" w:rsidRPr="00E8461E">
        <w:rPr>
          <w:lang w:val="en-GB"/>
        </w:rPr>
        <w:lastRenderedPageBreak/>
        <w:t>and aged care</w:t>
      </w:r>
      <w:r w:rsidR="00AA63B7" w:rsidRPr="00E8461E">
        <w:rPr>
          <w:lang w:val="en-GB"/>
        </w:rPr>
        <w:t xml:space="preserve"> workforce will </w:t>
      </w:r>
      <w:r w:rsidR="00EC069C" w:rsidRPr="00E8461E">
        <w:rPr>
          <w:lang w:val="en-GB"/>
        </w:rPr>
        <w:t>need to be</w:t>
      </w:r>
      <w:r w:rsidR="00A973D8" w:rsidRPr="00E8461E">
        <w:rPr>
          <w:lang w:val="en-GB"/>
        </w:rPr>
        <w:t xml:space="preserve"> furnished with the capacities to meet emerging health challenges which will require strategic capacity building.</w:t>
      </w:r>
    </w:p>
    <w:p w14:paraId="0F324684" w14:textId="77777777" w:rsidR="0039776D" w:rsidRPr="00E8461E" w:rsidRDefault="0039776D" w:rsidP="0039776D">
      <w:pPr>
        <w:pStyle w:val="Heading4"/>
        <w:rPr>
          <w:iCs w:val="0"/>
        </w:rPr>
      </w:pPr>
      <w:r w:rsidRPr="00E8461E">
        <w:rPr>
          <w:iCs w:val="0"/>
        </w:rPr>
        <w:t>ACTION 7.1</w:t>
      </w:r>
    </w:p>
    <w:p w14:paraId="16C7F904" w14:textId="77777777" w:rsidR="0039776D" w:rsidRPr="00E8461E" w:rsidRDefault="0039776D" w:rsidP="0039776D">
      <w:pPr>
        <w:rPr>
          <w:b/>
          <w:bCs/>
        </w:rPr>
      </w:pPr>
      <w:r w:rsidRPr="00E8461E">
        <w:rPr>
          <w:b/>
          <w:bCs/>
        </w:rPr>
        <w:t xml:space="preserve">Mobilising the health workforce to lead action on climate and </w:t>
      </w:r>
      <w:proofErr w:type="gramStart"/>
      <w:r w:rsidRPr="00E8461E">
        <w:rPr>
          <w:b/>
          <w:bCs/>
        </w:rPr>
        <w:t>health</w:t>
      </w:r>
      <w:proofErr w:type="gramEnd"/>
    </w:p>
    <w:p w14:paraId="10A8D7BC" w14:textId="77777777" w:rsidR="0039776D" w:rsidRPr="00E8461E" w:rsidRDefault="0039776D" w:rsidP="0039776D">
      <w:r w:rsidRPr="00E8461E">
        <w:t xml:space="preserve">The Australian Government will engage with states, </w:t>
      </w:r>
      <w:proofErr w:type="gramStart"/>
      <w:r w:rsidRPr="00E8461E">
        <w:t>territories</w:t>
      </w:r>
      <w:proofErr w:type="gramEnd"/>
      <w:r w:rsidRPr="00E8461E">
        <w:t xml:space="preserve"> and relevant stakeholders to support and mobilise the health workforce to build a sustainable and climate-resilient health system. Key considerations will include:</w:t>
      </w:r>
    </w:p>
    <w:p w14:paraId="38691380" w14:textId="77777777" w:rsidR="0039776D" w:rsidRPr="00E8461E" w:rsidRDefault="0039776D" w:rsidP="0039776D">
      <w:r w:rsidRPr="00E8461E">
        <w:t>•</w:t>
      </w:r>
      <w:r w:rsidRPr="00E8461E">
        <w:tab/>
        <w:t>Incorporating sustainable healthcare and climate resilience principles in health professional training curricula and accreditation processes, including through quality improvement processes</w:t>
      </w:r>
    </w:p>
    <w:p w14:paraId="321DE4ED" w14:textId="77777777" w:rsidR="0039776D" w:rsidRPr="00E8461E" w:rsidRDefault="0039776D" w:rsidP="0039776D">
      <w:pPr>
        <w:pBdr>
          <w:bottom w:val="single" w:sz="12" w:space="1" w:color="008A95" w:themeColor="accent1"/>
        </w:pBdr>
      </w:pPr>
      <w:r w:rsidRPr="00E8461E">
        <w:t>•</w:t>
      </w:r>
      <w:r w:rsidRPr="00E8461E">
        <w:tab/>
        <w:t>Exploring options for developing and providing Continuing Professional Development and other training opportunities in sustainable and resilient healthcare for the health workforce.</w:t>
      </w:r>
    </w:p>
    <w:p w14:paraId="3FE42041" w14:textId="77777777" w:rsidR="0039776D" w:rsidRPr="00E8461E" w:rsidRDefault="0039776D" w:rsidP="0039776D"/>
    <w:p w14:paraId="2DB63462" w14:textId="77777777" w:rsidR="0039776D" w:rsidRPr="00E8461E" w:rsidRDefault="0039776D" w:rsidP="0039776D">
      <w:pPr>
        <w:pStyle w:val="Heading4"/>
        <w:rPr>
          <w:iCs w:val="0"/>
        </w:rPr>
      </w:pPr>
      <w:r w:rsidRPr="00E8461E">
        <w:rPr>
          <w:rStyle w:val="Heading4Char"/>
          <w:b/>
          <w:bCs/>
        </w:rPr>
        <w:t>CASE</w:t>
      </w:r>
      <w:r w:rsidRPr="00E8461E">
        <w:rPr>
          <w:iCs w:val="0"/>
        </w:rPr>
        <w:t xml:space="preserve"> STUDY 19</w:t>
      </w:r>
    </w:p>
    <w:p w14:paraId="4204541D" w14:textId="77777777" w:rsidR="0039776D" w:rsidRPr="00E8461E" w:rsidRDefault="0039776D" w:rsidP="0039776D">
      <w:pPr>
        <w:rPr>
          <w:b/>
          <w:bCs/>
        </w:rPr>
      </w:pPr>
      <w:r w:rsidRPr="00E8461E">
        <w:rPr>
          <w:b/>
          <w:bCs/>
        </w:rPr>
        <w:t>Royal Melbourne Hospital environmental sustainability competition</w:t>
      </w:r>
    </w:p>
    <w:p w14:paraId="3B1BC56F" w14:textId="77777777" w:rsidR="0039776D" w:rsidRPr="00E8461E" w:rsidRDefault="0039776D" w:rsidP="0039776D">
      <w:r w:rsidRPr="00E8461E">
        <w:t>In 2022, Royal Melbourne Hospital launched an environmental sustainability competition aimed at its entire staff, including both clinical and non-clinical personnel. This competition sought out innovative ideas to reduce emissions, waste, and resource usage, while also increasing awareness of the environmental impact of healthcare practices and promoting sustainable work methods.</w:t>
      </w:r>
    </w:p>
    <w:p w14:paraId="3372188E" w14:textId="77777777" w:rsidR="0039776D" w:rsidRPr="00E8461E" w:rsidRDefault="0039776D" w:rsidP="0039776D">
      <w:r w:rsidRPr="00E8461E">
        <w:t>The competition garnered participation from all corners of the hospital, resulting in 13 entries. These submissions spanned a range of categories, including clinical changes, facility improvements, waste reduction strategies, ward-specific innovations, and emissions reduction projects.</w:t>
      </w:r>
    </w:p>
    <w:p w14:paraId="1ACE9809" w14:textId="3B24C246" w:rsidR="00D80EFD" w:rsidRPr="00E8461E" w:rsidRDefault="0039776D" w:rsidP="0039776D">
      <w:pPr>
        <w:pBdr>
          <w:bottom w:val="single" w:sz="12" w:space="1" w:color="008A95" w:themeColor="accent1"/>
        </w:pBdr>
      </w:pPr>
      <w:r w:rsidRPr="00E8461E">
        <w:t>The collective impact of these initiatives was substantial. The initiatives led to a reduction of 2.5 kt CO2-e of emissions and cost savings of $500,000. The efforts also had a tangible effect on waste reduction, diverting 250,000 items away from landfill. Royal Melbourne Hospital continued the competition in 2023, providing enhanced support for participants, including specialised resources offering practical guidance to individuals and teams working on environmental sustainability projects.</w:t>
      </w:r>
    </w:p>
    <w:p w14:paraId="0E9A6FE9" w14:textId="0A91A84D" w:rsidR="00E96B0E" w:rsidRPr="00E8461E" w:rsidRDefault="00E96B0E" w:rsidP="00E96B0E">
      <w:pPr>
        <w:rPr>
          <w:lang w:val="en-GB"/>
        </w:rPr>
      </w:pPr>
      <w:bookmarkStart w:id="222" w:name="_Toc147086772"/>
      <w:bookmarkStart w:id="223" w:name="_Toc147502220"/>
    </w:p>
    <w:p w14:paraId="3B89E57D" w14:textId="77777777" w:rsidR="00D80EFD" w:rsidRPr="00E8461E" w:rsidRDefault="00D80EFD" w:rsidP="00D80EFD">
      <w:pPr>
        <w:pStyle w:val="Heading4"/>
        <w:rPr>
          <w:iCs w:val="0"/>
        </w:rPr>
      </w:pPr>
      <w:r w:rsidRPr="00E8461E">
        <w:rPr>
          <w:iCs w:val="0"/>
        </w:rPr>
        <w:t>Case study 20</w:t>
      </w:r>
    </w:p>
    <w:p w14:paraId="3435D011" w14:textId="77777777" w:rsidR="00D80EFD" w:rsidRPr="00E8461E" w:rsidRDefault="00D80EFD" w:rsidP="00D80EFD">
      <w:pPr>
        <w:rPr>
          <w:b/>
          <w:bCs/>
          <w:lang w:val="en-GB"/>
        </w:rPr>
      </w:pPr>
      <w:r w:rsidRPr="00E8461E">
        <w:rPr>
          <w:b/>
          <w:bCs/>
          <w:lang w:val="en-GB"/>
        </w:rPr>
        <w:t>NSW Health Net Zero Clinical Programs</w:t>
      </w:r>
    </w:p>
    <w:p w14:paraId="0F7BE5FC" w14:textId="77777777" w:rsidR="00D80EFD" w:rsidRPr="00E8461E" w:rsidRDefault="00D80EFD" w:rsidP="00D80EFD">
      <w:r w:rsidRPr="00E8461E">
        <w:t xml:space="preserve">The New South Wales Net Zero Leads Program is a pilot program funded by the Ministry of Health to support clinicians to develop and implement scalable, low-carbon models of care in their workplace. The program is interdisciplinary, involving senior clinicians from allied health, anaesthetics, emergency, intensive care, medical imaging, nursing, </w:t>
      </w:r>
      <w:proofErr w:type="gramStart"/>
      <w:r w:rsidRPr="00E8461E">
        <w:t>pharmacy</w:t>
      </w:r>
      <w:proofErr w:type="gramEnd"/>
      <w:r w:rsidRPr="00E8461E">
        <w:t xml:space="preserve"> and surgery who work across known carbon hotspots. A diverse range of regional and metropolitan local health districts are represented.</w:t>
      </w:r>
      <w:r w:rsidRPr="00E8461E">
        <w:rPr>
          <w:rStyle w:val="EndnoteReference"/>
        </w:rPr>
        <w:endnoteReference w:id="352"/>
      </w:r>
      <w:r w:rsidRPr="00E8461E">
        <w:t xml:space="preserve"> Each Clinical Lead is </w:t>
      </w:r>
      <w:r w:rsidRPr="00E8461E">
        <w:lastRenderedPageBreak/>
        <w:t>supported to take one day per week to lead on a net zero project in their service or specialty. The program also provides opportunities for upskilling and professional development. Clinical Lead projects include:</w:t>
      </w:r>
    </w:p>
    <w:p w14:paraId="1F32A4CE" w14:textId="77777777" w:rsidR="00D80EFD" w:rsidRPr="00E8461E" w:rsidRDefault="00D80EFD" w:rsidP="00D80EFD">
      <w:pPr>
        <w:pStyle w:val="BulletUnindented"/>
      </w:pPr>
      <w:r w:rsidRPr="00E8461E">
        <w:t>Emergency: optimising pathology investigations and reducing unnecessary testing.</w:t>
      </w:r>
      <w:r w:rsidRPr="00E8461E">
        <w:rPr>
          <w:rStyle w:val="EndnoteReference"/>
          <w:color w:val="21272B"/>
        </w:rPr>
        <w:endnoteReference w:id="353"/>
      </w:r>
    </w:p>
    <w:p w14:paraId="74E92569" w14:textId="77777777" w:rsidR="00D80EFD" w:rsidRPr="00E8461E" w:rsidRDefault="00D80EFD" w:rsidP="00D80EFD">
      <w:pPr>
        <w:pStyle w:val="BulletUnindented"/>
      </w:pPr>
      <w:r w:rsidRPr="00E8461E">
        <w:t>Allied Health: improving hand hygiene and reducing unnecessary use of non-sterile gloves.</w:t>
      </w:r>
      <w:r w:rsidRPr="00E8461E">
        <w:rPr>
          <w:rStyle w:val="EndnoteReference"/>
        </w:rPr>
        <w:endnoteReference w:id="354"/>
      </w:r>
    </w:p>
    <w:p w14:paraId="2F4D1E4A" w14:textId="77777777" w:rsidR="00D80EFD" w:rsidRPr="00E8461E" w:rsidRDefault="00D80EFD" w:rsidP="00D80EFD">
      <w:pPr>
        <w:pStyle w:val="BulletUnindented"/>
      </w:pPr>
      <w:r w:rsidRPr="00E8461E">
        <w:t>Intensive Care: reducing use of single-use barrier gowns while maintaining compliance with infection prevention guidelines.</w:t>
      </w:r>
    </w:p>
    <w:p w14:paraId="3C8FBB26" w14:textId="77777777" w:rsidR="00D80EFD" w:rsidRPr="00E8461E" w:rsidRDefault="00D80EFD" w:rsidP="00D80EFD">
      <w:pPr>
        <w:pStyle w:val="BulletUnindented"/>
      </w:pPr>
      <w:r w:rsidRPr="00E8461E">
        <w:t>Anaesthetics: investigating and measuring use of volatile anaesthetics (including desflurane) and introducing a behavioural change intervention to reduce use.</w:t>
      </w:r>
      <w:r w:rsidRPr="00E8461E">
        <w:rPr>
          <w:rStyle w:val="EndnoteReference"/>
        </w:rPr>
        <w:endnoteReference w:id="355"/>
      </w:r>
    </w:p>
    <w:p w14:paraId="710B7878" w14:textId="77777777" w:rsidR="00D80EFD" w:rsidRPr="00E8461E" w:rsidRDefault="00D80EFD" w:rsidP="00D80EFD">
      <w:pPr>
        <w:pStyle w:val="BulletUnindented"/>
      </w:pPr>
      <w:r w:rsidRPr="00E8461E">
        <w:t>Medical Imaging: measuring current clinical demand patterns for computerised tomography scanners and implementing a pilot intervention to turn off scanners not in clinical use out of hours.</w:t>
      </w:r>
      <w:r w:rsidRPr="00E8461E">
        <w:rPr>
          <w:rStyle w:val="EndnoteReference"/>
        </w:rPr>
        <w:endnoteReference w:id="356"/>
      </w:r>
    </w:p>
    <w:p w14:paraId="10F253EA" w14:textId="6019815D" w:rsidR="00D80EFD" w:rsidRPr="00E8461E" w:rsidRDefault="00D80EFD" w:rsidP="00D80EFD">
      <w:pPr>
        <w:pBdr>
          <w:bottom w:val="single" w:sz="12" w:space="1" w:color="008A95" w:themeColor="accent1"/>
        </w:pBdr>
        <w:rPr>
          <w:lang w:val="en-GB"/>
        </w:rPr>
      </w:pPr>
      <w:r w:rsidRPr="00E8461E">
        <w:t>These projects will result in the production of guidelines that other hospitals, local health districts and health jurisdictions can utilise to improve patient outcomes and experience while reducing costs and greenhouse gas emissions.</w:t>
      </w:r>
    </w:p>
    <w:p w14:paraId="474CACF5" w14:textId="26F5D2C7" w:rsidR="008441FC" w:rsidRPr="00E8461E" w:rsidRDefault="008D1463" w:rsidP="00CE2599">
      <w:pPr>
        <w:pStyle w:val="Heading2"/>
      </w:pPr>
      <w:bookmarkStart w:id="226" w:name="_Toc149910026"/>
      <w:bookmarkStart w:id="227" w:name="_Toc149918488"/>
      <w:bookmarkStart w:id="228" w:name="_Toc151999648"/>
      <w:r w:rsidRPr="00E8461E">
        <w:t>7</w:t>
      </w:r>
      <w:r w:rsidR="003F688B" w:rsidRPr="00E8461E">
        <w:t xml:space="preserve">.2 </w:t>
      </w:r>
      <w:r w:rsidR="008441FC" w:rsidRPr="00E8461E">
        <w:t>Research</w:t>
      </w:r>
      <w:r w:rsidR="00FE0294" w:rsidRPr="00E8461E">
        <w:t xml:space="preserve"> and </w:t>
      </w:r>
      <w:bookmarkEnd w:id="222"/>
      <w:bookmarkEnd w:id="223"/>
      <w:r w:rsidR="008929E6" w:rsidRPr="00E8461E">
        <w:t>i</w:t>
      </w:r>
      <w:r w:rsidR="00FE0294" w:rsidRPr="00E8461E">
        <w:t>nnovation</w:t>
      </w:r>
      <w:bookmarkEnd w:id="226"/>
      <w:bookmarkEnd w:id="227"/>
      <w:bookmarkEnd w:id="228"/>
    </w:p>
    <w:p w14:paraId="700FA722" w14:textId="398E85BA" w:rsidR="008A1859" w:rsidRPr="00E8461E" w:rsidRDefault="004756DD" w:rsidP="004756DD">
      <w:pPr>
        <w:rPr>
          <w:lang w:val="en-GB"/>
        </w:rPr>
      </w:pPr>
      <w:r w:rsidRPr="00E8461E">
        <w:rPr>
          <w:lang w:val="en-GB"/>
        </w:rPr>
        <w:t xml:space="preserve">Investing in and supporting coordinated climate and health research will improve the evidence base for responses </w:t>
      </w:r>
      <w:r w:rsidRPr="00E8461E" w:rsidDel="00FF24BB">
        <w:rPr>
          <w:lang w:val="en-GB"/>
        </w:rPr>
        <w:t>to</w:t>
      </w:r>
      <w:r w:rsidR="008A1859" w:rsidRPr="00E8461E">
        <w:rPr>
          <w:lang w:val="en-GB"/>
        </w:rPr>
        <w:t>:</w:t>
      </w:r>
    </w:p>
    <w:p w14:paraId="5EBB4D17" w14:textId="25CECE57" w:rsidR="008A1859" w:rsidRPr="00E8461E" w:rsidRDefault="0024041E" w:rsidP="0065729E">
      <w:pPr>
        <w:pStyle w:val="BulletUnindented"/>
      </w:pPr>
      <w:r w:rsidRPr="00E8461E">
        <w:t>B</w:t>
      </w:r>
      <w:r w:rsidR="004756DD" w:rsidRPr="00E8461E">
        <w:t>etter understand current and emerging climate risks and systemic vulnerabilities</w:t>
      </w:r>
    </w:p>
    <w:p w14:paraId="4A2988D9" w14:textId="25238257" w:rsidR="008A1859" w:rsidRPr="00E8461E" w:rsidRDefault="0024041E" w:rsidP="0065729E">
      <w:pPr>
        <w:pStyle w:val="BulletUnindented"/>
      </w:pPr>
      <w:r w:rsidRPr="00E8461E">
        <w:t>S</w:t>
      </w:r>
      <w:r w:rsidR="004756DD" w:rsidRPr="00E8461E">
        <w:t xml:space="preserve">trengthen the resilience and sustainability of the health </w:t>
      </w:r>
      <w:proofErr w:type="gramStart"/>
      <w:r w:rsidR="004756DD" w:rsidRPr="00E8461E">
        <w:t>system</w:t>
      </w:r>
      <w:proofErr w:type="gramEnd"/>
    </w:p>
    <w:p w14:paraId="2D72747A" w14:textId="2865052B" w:rsidR="0022320C" w:rsidRPr="00E8461E" w:rsidRDefault="0024041E" w:rsidP="0065729E">
      <w:pPr>
        <w:pStyle w:val="BulletUnindented"/>
      </w:pPr>
      <w:r w:rsidRPr="00E8461E">
        <w:t>I</w:t>
      </w:r>
      <w:r w:rsidR="004756DD" w:rsidRPr="00E8461E">
        <w:t xml:space="preserve">mprove health and wellbeing by ameliorating the negative health effects of climate </w:t>
      </w:r>
      <w:proofErr w:type="gramStart"/>
      <w:r w:rsidR="004756DD" w:rsidRPr="00E8461E">
        <w:t>change</w:t>
      </w:r>
      <w:proofErr w:type="gramEnd"/>
    </w:p>
    <w:p w14:paraId="76DD15A7" w14:textId="4FC6FD87" w:rsidR="00256E57" w:rsidRPr="00E8461E" w:rsidRDefault="0024041E" w:rsidP="0065729E">
      <w:pPr>
        <w:pStyle w:val="BulletUnindented"/>
      </w:pPr>
      <w:r w:rsidRPr="00E8461E">
        <w:t>E</w:t>
      </w:r>
      <w:r w:rsidR="0047232D" w:rsidRPr="00E8461E">
        <w:t>valuate ada</w:t>
      </w:r>
      <w:r w:rsidR="00E93B0F" w:rsidRPr="00E8461E">
        <w:t xml:space="preserve">ptation and mitigation </w:t>
      </w:r>
      <w:r w:rsidR="003F78AE" w:rsidRPr="00E8461E">
        <w:t>interventions and</w:t>
      </w:r>
      <w:r w:rsidR="00F21132" w:rsidRPr="00E8461E">
        <w:t xml:space="preserve"> </w:t>
      </w:r>
      <w:r w:rsidR="003F78AE" w:rsidRPr="00E8461E">
        <w:t xml:space="preserve">identify </w:t>
      </w:r>
      <w:r w:rsidR="007F5A4A" w:rsidRPr="00E8461E">
        <w:t>barriers and enablers for their effective implementation and scaling up, as well as</w:t>
      </w:r>
      <w:r w:rsidR="003F78AE" w:rsidRPr="00E8461E">
        <w:t xml:space="preserve"> </w:t>
      </w:r>
      <w:r w:rsidR="003B3415" w:rsidRPr="00E8461E">
        <w:t xml:space="preserve">the wider health benefits of climate </w:t>
      </w:r>
      <w:proofErr w:type="gramStart"/>
      <w:r w:rsidR="003B3415" w:rsidRPr="00E8461E">
        <w:t>action</w:t>
      </w:r>
      <w:proofErr w:type="gramEnd"/>
    </w:p>
    <w:p w14:paraId="11EFD59E" w14:textId="199B5373" w:rsidR="008A1859" w:rsidRPr="00E8461E" w:rsidRDefault="0024041E" w:rsidP="0065729E">
      <w:pPr>
        <w:pStyle w:val="BulletUnindented"/>
      </w:pPr>
      <w:r w:rsidRPr="00E8461E">
        <w:t>R</w:t>
      </w:r>
      <w:r w:rsidR="004756DD" w:rsidRPr="00E8461E">
        <w:t>educe health system greenhouse gas emissions.</w:t>
      </w:r>
    </w:p>
    <w:p w14:paraId="07F63A4D" w14:textId="56CC9D9D" w:rsidR="008A5ADE" w:rsidRPr="00E8461E" w:rsidRDefault="00B6323F" w:rsidP="004756DD">
      <w:pPr>
        <w:rPr>
          <w:lang w:val="en-GB"/>
        </w:rPr>
      </w:pPr>
      <w:r w:rsidRPr="00E8461E">
        <w:rPr>
          <w:lang w:val="en-GB"/>
        </w:rPr>
        <w:t xml:space="preserve">Investing in and supporting </w:t>
      </w:r>
      <w:r w:rsidR="00C43C47" w:rsidRPr="00E8461E">
        <w:rPr>
          <w:lang w:val="en-GB"/>
        </w:rPr>
        <w:t>First Nations</w:t>
      </w:r>
      <w:r w:rsidRPr="00E8461E">
        <w:rPr>
          <w:lang w:val="en-GB"/>
        </w:rPr>
        <w:t xml:space="preserve"> researchers to participate in health and climate research is particularly important to improve the evidence base. There is a need to ‘weave together’ First Nations knowledge and Western science in mitigation and adaptation solutions through the development of respectful and culturally safe partnerships.</w:t>
      </w:r>
      <w:r w:rsidR="002510AA" w:rsidRPr="00E8461E">
        <w:rPr>
          <w:rStyle w:val="EndnoteReference"/>
          <w:lang w:val="en-GB"/>
        </w:rPr>
        <w:endnoteReference w:id="357"/>
      </w:r>
    </w:p>
    <w:p w14:paraId="69D0AAC2" w14:textId="34595E16" w:rsidR="00213819" w:rsidRPr="00E8461E" w:rsidRDefault="001910D8" w:rsidP="0038388E">
      <w:pPr>
        <w:rPr>
          <w:lang w:val="en-GB"/>
        </w:rPr>
      </w:pPr>
      <w:r w:rsidRPr="00E8461E">
        <w:rPr>
          <w:lang w:val="en-GB"/>
        </w:rPr>
        <w:t>To</w:t>
      </w:r>
      <w:r w:rsidR="00616291" w:rsidRPr="00E8461E">
        <w:rPr>
          <w:lang w:val="en-GB"/>
        </w:rPr>
        <w:t xml:space="preserve"> </w:t>
      </w:r>
      <w:r w:rsidRPr="00E8461E">
        <w:rPr>
          <w:lang w:val="en-GB"/>
        </w:rPr>
        <w:t>date</w:t>
      </w:r>
      <w:r w:rsidR="002B402D" w:rsidRPr="00E8461E">
        <w:rPr>
          <w:lang w:val="en-GB"/>
        </w:rPr>
        <w:t xml:space="preserve">, </w:t>
      </w:r>
      <w:r w:rsidR="004A6AD0" w:rsidRPr="00E8461E">
        <w:rPr>
          <w:lang w:val="en-GB"/>
        </w:rPr>
        <w:t>the vast bulk of</w:t>
      </w:r>
      <w:r w:rsidR="002B402D" w:rsidRPr="00E8461E">
        <w:rPr>
          <w:lang w:val="en-GB"/>
        </w:rPr>
        <w:t xml:space="preserve"> climate change and health research </w:t>
      </w:r>
      <w:r w:rsidR="00772997" w:rsidRPr="00E8461E">
        <w:rPr>
          <w:lang w:val="en-GB"/>
        </w:rPr>
        <w:t>has been focused on identifying the health impacts of climate change</w:t>
      </w:r>
      <w:r w:rsidR="00D23BAA" w:rsidRPr="00E8461E">
        <w:rPr>
          <w:lang w:val="en-GB"/>
        </w:rPr>
        <w:t>. The 2022 report of the Lancet Countdown</w:t>
      </w:r>
      <w:r w:rsidR="00F07E49" w:rsidRPr="00E8461E">
        <w:rPr>
          <w:lang w:val="en-GB"/>
        </w:rPr>
        <w:t xml:space="preserve"> found </w:t>
      </w:r>
      <w:r w:rsidR="00B231FB" w:rsidRPr="00E8461E">
        <w:rPr>
          <w:lang w:val="en-GB"/>
        </w:rPr>
        <w:t xml:space="preserve">80% of </w:t>
      </w:r>
      <w:r w:rsidR="00A56F16" w:rsidRPr="00E8461E">
        <w:rPr>
          <w:lang w:val="en-GB"/>
        </w:rPr>
        <w:t xml:space="preserve">English language peer reviewed articles </w:t>
      </w:r>
      <w:r w:rsidR="008178AD" w:rsidRPr="00E8461E">
        <w:rPr>
          <w:lang w:val="en-GB"/>
        </w:rPr>
        <w:t>were on the health impacts</w:t>
      </w:r>
      <w:r w:rsidR="00C45798" w:rsidRPr="00E8461E">
        <w:rPr>
          <w:lang w:val="en-GB"/>
        </w:rPr>
        <w:t xml:space="preserve"> of climate change</w:t>
      </w:r>
      <w:r w:rsidR="000A3723" w:rsidRPr="00E8461E">
        <w:rPr>
          <w:lang w:val="en-GB"/>
        </w:rPr>
        <w:t xml:space="preserve">, with </w:t>
      </w:r>
      <w:r w:rsidR="00BF5F51" w:rsidRPr="00E8461E">
        <w:rPr>
          <w:lang w:val="en-GB"/>
        </w:rPr>
        <w:t xml:space="preserve">8.4% of articles </w:t>
      </w:r>
      <w:r w:rsidR="00A11A3C" w:rsidRPr="00E8461E">
        <w:rPr>
          <w:lang w:val="en-GB"/>
        </w:rPr>
        <w:t>focused on adaptation</w:t>
      </w:r>
      <w:r w:rsidR="00224BDF" w:rsidRPr="00E8461E">
        <w:rPr>
          <w:lang w:val="en-GB"/>
        </w:rPr>
        <w:t xml:space="preserve"> and </w:t>
      </w:r>
      <w:r w:rsidR="001B0E48" w:rsidRPr="00E8461E">
        <w:rPr>
          <w:lang w:val="en-GB"/>
        </w:rPr>
        <w:t xml:space="preserve">11.6% focused on </w:t>
      </w:r>
      <w:r w:rsidR="0028577A" w:rsidRPr="00E8461E">
        <w:rPr>
          <w:lang w:val="en-GB"/>
        </w:rPr>
        <w:t>mitigation</w:t>
      </w:r>
      <w:r w:rsidR="008E2AED" w:rsidRPr="00E8461E">
        <w:rPr>
          <w:lang w:val="en-GB"/>
        </w:rPr>
        <w:t>.</w:t>
      </w:r>
      <w:r w:rsidR="00213819" w:rsidRPr="00E8461E">
        <w:rPr>
          <w:lang w:val="en-GB"/>
        </w:rPr>
        <w:t xml:space="preserve"> </w:t>
      </w:r>
      <w:r w:rsidR="006B6E07" w:rsidRPr="00E8461E">
        <w:rPr>
          <w:lang w:val="en-GB"/>
        </w:rPr>
        <w:t>To</w:t>
      </w:r>
      <w:r w:rsidR="00B74670" w:rsidRPr="00E8461E">
        <w:rPr>
          <w:lang w:val="en-GB"/>
        </w:rPr>
        <w:t xml:space="preserve"> </w:t>
      </w:r>
      <w:r w:rsidR="000E2CBD" w:rsidRPr="00E8461E">
        <w:rPr>
          <w:lang w:val="en-GB"/>
        </w:rPr>
        <w:t>date, the</w:t>
      </w:r>
      <w:r w:rsidR="0058172B" w:rsidRPr="00E8461E">
        <w:rPr>
          <w:lang w:val="en-GB"/>
        </w:rPr>
        <w:t xml:space="preserve"> evidence around </w:t>
      </w:r>
      <w:r w:rsidR="00196977" w:rsidRPr="00E8461E">
        <w:rPr>
          <w:lang w:val="en-GB"/>
        </w:rPr>
        <w:t xml:space="preserve">climate-related health adaptation </w:t>
      </w:r>
      <w:r w:rsidR="00C368B5" w:rsidRPr="00E8461E">
        <w:rPr>
          <w:lang w:val="en-GB"/>
        </w:rPr>
        <w:t>is limited</w:t>
      </w:r>
      <w:r w:rsidR="00365D32" w:rsidRPr="00E8461E">
        <w:rPr>
          <w:lang w:val="en-GB"/>
        </w:rPr>
        <w:t xml:space="preserve"> and there is a nee</w:t>
      </w:r>
      <w:r w:rsidR="002762E6" w:rsidRPr="00E8461E">
        <w:rPr>
          <w:lang w:val="en-GB"/>
        </w:rPr>
        <w:t xml:space="preserve">d for </w:t>
      </w:r>
      <w:r w:rsidR="00C141C8" w:rsidRPr="00E8461E">
        <w:rPr>
          <w:lang w:val="en-GB"/>
        </w:rPr>
        <w:t xml:space="preserve">more work to evaluate the success of efforts to </w:t>
      </w:r>
      <w:r w:rsidR="00FD3616" w:rsidRPr="00E8461E">
        <w:rPr>
          <w:lang w:val="en-GB"/>
        </w:rPr>
        <w:t>adapt to climate change</w:t>
      </w:r>
      <w:r w:rsidR="002027F2" w:rsidRPr="00E8461E">
        <w:rPr>
          <w:lang w:val="en-GB"/>
        </w:rPr>
        <w:t>.</w:t>
      </w:r>
      <w:r w:rsidR="003135F0" w:rsidRPr="00E8461E">
        <w:rPr>
          <w:rStyle w:val="EndnoteReference"/>
          <w:lang w:val="en-GB"/>
        </w:rPr>
        <w:endnoteReference w:id="358"/>
      </w:r>
      <w:r w:rsidR="00400F68" w:rsidRPr="00E8461E">
        <w:rPr>
          <w:lang w:val="en-GB"/>
        </w:rPr>
        <w:t xml:space="preserve"> The </w:t>
      </w:r>
      <w:r w:rsidR="000F370B" w:rsidRPr="00E8461E">
        <w:rPr>
          <w:lang w:val="en-GB"/>
        </w:rPr>
        <w:t xml:space="preserve">National Health and Medical Research Council </w:t>
      </w:r>
      <w:r w:rsidR="00EA69EF" w:rsidRPr="00E8461E">
        <w:rPr>
          <w:lang w:val="en-GB"/>
        </w:rPr>
        <w:t xml:space="preserve">funded a Special Initiative in </w:t>
      </w:r>
      <w:r w:rsidR="00367FCA" w:rsidRPr="00E8461E">
        <w:rPr>
          <w:lang w:val="en-GB"/>
        </w:rPr>
        <w:t xml:space="preserve">Human Health and Environmental Change </w:t>
      </w:r>
      <w:r w:rsidR="007E7108" w:rsidRPr="00E8461E">
        <w:rPr>
          <w:lang w:val="en-GB"/>
        </w:rPr>
        <w:t xml:space="preserve">in 2021, which led to the </w:t>
      </w:r>
      <w:r w:rsidR="00123A48" w:rsidRPr="00E8461E">
        <w:rPr>
          <w:lang w:val="en-GB"/>
        </w:rPr>
        <w:t xml:space="preserve">establishment of the Healthy Environments and Lives </w:t>
      </w:r>
      <w:r w:rsidR="0076746B" w:rsidRPr="00E8461E">
        <w:rPr>
          <w:lang w:val="en-GB"/>
        </w:rPr>
        <w:t xml:space="preserve">(HEAL) National Research Network </w:t>
      </w:r>
      <w:r w:rsidR="0010382C" w:rsidRPr="00E8461E">
        <w:rPr>
          <w:lang w:val="en-GB"/>
        </w:rPr>
        <w:t>aiming to address this need.</w:t>
      </w:r>
      <w:r w:rsidR="00902059" w:rsidRPr="00E8461E">
        <w:rPr>
          <w:rStyle w:val="EndnoteReference"/>
          <w:lang w:val="en-GB"/>
        </w:rPr>
        <w:endnoteReference w:id="359"/>
      </w:r>
      <w:r w:rsidR="00D0018C" w:rsidRPr="00E8461E">
        <w:rPr>
          <w:lang w:val="en-GB"/>
        </w:rPr>
        <w:t xml:space="preserve"> </w:t>
      </w:r>
      <w:r w:rsidR="0038388E" w:rsidRPr="00E8461E">
        <w:rPr>
          <w:lang w:val="en-GB"/>
        </w:rPr>
        <w:t>In addition, Natural Hazards Research Australia has been established as Australia’s national centre for natural hazard resilience and disaster risk reduction</w:t>
      </w:r>
      <w:r w:rsidR="00E66899" w:rsidRPr="00E8461E">
        <w:rPr>
          <w:lang w:val="en-GB"/>
        </w:rPr>
        <w:t xml:space="preserve"> research</w:t>
      </w:r>
      <w:r w:rsidR="0038388E" w:rsidRPr="00E8461E">
        <w:rPr>
          <w:lang w:val="en-GB"/>
        </w:rPr>
        <w:t xml:space="preserve">. It </w:t>
      </w:r>
      <w:r w:rsidR="0063763B" w:rsidRPr="00E8461E">
        <w:rPr>
          <w:lang w:val="en-GB"/>
        </w:rPr>
        <w:t>aims</w:t>
      </w:r>
      <w:r w:rsidR="0038388E" w:rsidRPr="00E8461E">
        <w:rPr>
          <w:lang w:val="en-GB"/>
        </w:rPr>
        <w:t xml:space="preserve"> to deliver usable research and knowledge that creates safer and more resilient communities and addresses the major challenges arising from natural hazards, including bushfires, floods, cyclones, heatwaves, </w:t>
      </w:r>
      <w:proofErr w:type="gramStart"/>
      <w:r w:rsidR="0038388E" w:rsidRPr="00E8461E">
        <w:rPr>
          <w:lang w:val="en-GB"/>
        </w:rPr>
        <w:t>storms</w:t>
      </w:r>
      <w:proofErr w:type="gramEnd"/>
      <w:r w:rsidR="0038388E" w:rsidRPr="00E8461E">
        <w:rPr>
          <w:lang w:val="en-GB"/>
        </w:rPr>
        <w:t xml:space="preserve"> and other hazards.</w:t>
      </w:r>
      <w:r w:rsidR="00B241CF" w:rsidRPr="00E8461E">
        <w:rPr>
          <w:rStyle w:val="EndnoteReference"/>
          <w:lang w:val="en-GB"/>
        </w:rPr>
        <w:endnoteReference w:id="360"/>
      </w:r>
    </w:p>
    <w:p w14:paraId="51424FEE" w14:textId="55C556DF" w:rsidR="0072038A" w:rsidRPr="00E8461E" w:rsidRDefault="00213819" w:rsidP="004756DD">
      <w:pPr>
        <w:rPr>
          <w:lang w:val="en-GB"/>
        </w:rPr>
      </w:pPr>
      <w:r w:rsidRPr="00E8461E">
        <w:rPr>
          <w:lang w:val="en-GB"/>
        </w:rPr>
        <w:lastRenderedPageBreak/>
        <w:t>M</w:t>
      </w:r>
      <w:r w:rsidR="005074E8" w:rsidRPr="00E8461E">
        <w:rPr>
          <w:lang w:val="en-GB"/>
        </w:rPr>
        <w:t xml:space="preserve">ost </w:t>
      </w:r>
      <w:r w:rsidRPr="00E8461E">
        <w:rPr>
          <w:lang w:val="en-GB"/>
        </w:rPr>
        <w:t xml:space="preserve">existing </w:t>
      </w:r>
      <w:r w:rsidR="005074E8" w:rsidRPr="00E8461E">
        <w:rPr>
          <w:lang w:val="en-GB"/>
        </w:rPr>
        <w:t>studies exploring health and</w:t>
      </w:r>
      <w:r w:rsidR="006E6224" w:rsidRPr="00E8461E">
        <w:rPr>
          <w:lang w:val="en-GB"/>
        </w:rPr>
        <w:t xml:space="preserve"> mitigation </w:t>
      </w:r>
      <w:r w:rsidR="005074E8" w:rsidRPr="00E8461E">
        <w:rPr>
          <w:lang w:val="en-GB"/>
        </w:rPr>
        <w:t>focus on</w:t>
      </w:r>
      <w:r w:rsidR="006E6224" w:rsidRPr="00E8461E">
        <w:rPr>
          <w:lang w:val="en-GB"/>
        </w:rPr>
        <w:t xml:space="preserve"> the health </w:t>
      </w:r>
      <w:r w:rsidR="002D7A24" w:rsidRPr="00E8461E">
        <w:rPr>
          <w:lang w:val="en-GB"/>
        </w:rPr>
        <w:t xml:space="preserve">co-benefits </w:t>
      </w:r>
      <w:r w:rsidR="00CC763D" w:rsidRPr="00E8461E">
        <w:rPr>
          <w:lang w:val="en-GB"/>
        </w:rPr>
        <w:t xml:space="preserve">of mitigation </w:t>
      </w:r>
      <w:r w:rsidR="00FA463F" w:rsidRPr="00E8461E">
        <w:rPr>
          <w:lang w:val="en-GB"/>
        </w:rPr>
        <w:t xml:space="preserve">– few studies </w:t>
      </w:r>
      <w:r w:rsidR="00E25CD7" w:rsidRPr="00E8461E">
        <w:rPr>
          <w:lang w:val="en-GB"/>
        </w:rPr>
        <w:t xml:space="preserve">have </w:t>
      </w:r>
      <w:r w:rsidR="00615564" w:rsidRPr="00E8461E">
        <w:rPr>
          <w:lang w:val="en-GB"/>
        </w:rPr>
        <w:t>directly studied how to reduce emissions</w:t>
      </w:r>
      <w:r w:rsidR="0067738B" w:rsidRPr="00E8461E">
        <w:rPr>
          <w:lang w:val="en-GB"/>
        </w:rPr>
        <w:t xml:space="preserve">. </w:t>
      </w:r>
      <w:r w:rsidR="00AC44E3" w:rsidRPr="00E8461E">
        <w:rPr>
          <w:lang w:val="en-GB"/>
        </w:rPr>
        <w:t xml:space="preserve">There </w:t>
      </w:r>
      <w:r w:rsidR="00266DF9" w:rsidRPr="00E8461E">
        <w:rPr>
          <w:lang w:val="en-GB"/>
        </w:rPr>
        <w:t>is a growing body of research of life cycle assessments</w:t>
      </w:r>
      <w:r w:rsidR="008657C7" w:rsidRPr="00E8461E">
        <w:rPr>
          <w:lang w:val="en-GB"/>
        </w:rPr>
        <w:t xml:space="preserve">, </w:t>
      </w:r>
      <w:r w:rsidR="008773D7" w:rsidRPr="00E8461E">
        <w:rPr>
          <w:lang w:val="en-GB"/>
        </w:rPr>
        <w:t xml:space="preserve">comparing </w:t>
      </w:r>
      <w:r w:rsidR="007651FE" w:rsidRPr="00E8461E">
        <w:rPr>
          <w:lang w:val="en-GB"/>
        </w:rPr>
        <w:t>equipment</w:t>
      </w:r>
      <w:r w:rsidR="00615564" w:rsidRPr="00E8461E">
        <w:rPr>
          <w:lang w:val="en-GB"/>
        </w:rPr>
        <w:t xml:space="preserve"> and </w:t>
      </w:r>
      <w:r w:rsidR="007651FE" w:rsidRPr="00E8461E">
        <w:rPr>
          <w:lang w:val="en-GB"/>
        </w:rPr>
        <w:t>procedures, however, there is limited</w:t>
      </w:r>
      <w:r w:rsidR="00615564" w:rsidRPr="00E8461E">
        <w:rPr>
          <w:lang w:val="en-GB"/>
        </w:rPr>
        <w:t xml:space="preserve"> </w:t>
      </w:r>
      <w:r w:rsidR="00485E68" w:rsidRPr="00E8461E">
        <w:rPr>
          <w:lang w:val="en-GB"/>
        </w:rPr>
        <w:t xml:space="preserve">research on </w:t>
      </w:r>
      <w:r w:rsidR="0060399B" w:rsidRPr="00E8461E">
        <w:rPr>
          <w:lang w:val="en-GB"/>
        </w:rPr>
        <w:t xml:space="preserve">the </w:t>
      </w:r>
      <w:r w:rsidR="0060399B" w:rsidRPr="00E8461E" w:rsidDel="00D66B13">
        <w:rPr>
          <w:lang w:val="en-GB"/>
        </w:rPr>
        <w:t xml:space="preserve">carbon </w:t>
      </w:r>
      <w:r w:rsidR="000E365C" w:rsidRPr="00E8461E">
        <w:rPr>
          <w:lang w:val="en-GB"/>
        </w:rPr>
        <w:t xml:space="preserve">hotspots of </w:t>
      </w:r>
      <w:r w:rsidR="001B7A80" w:rsidRPr="00E8461E">
        <w:rPr>
          <w:lang w:val="en-GB"/>
        </w:rPr>
        <w:t xml:space="preserve">entire </w:t>
      </w:r>
      <w:r w:rsidR="000E365C" w:rsidRPr="00E8461E">
        <w:rPr>
          <w:lang w:val="en-GB"/>
        </w:rPr>
        <w:t>clinical pathways.</w:t>
      </w:r>
    </w:p>
    <w:p w14:paraId="0C23AFA1" w14:textId="77777777" w:rsidR="00D80EFD" w:rsidRPr="00E8461E" w:rsidRDefault="00D80EFD" w:rsidP="00D80EFD">
      <w:pPr>
        <w:pStyle w:val="Heading4"/>
        <w:rPr>
          <w:iCs w:val="0"/>
        </w:rPr>
      </w:pPr>
      <w:r w:rsidRPr="00E8461E">
        <w:rPr>
          <w:iCs w:val="0"/>
        </w:rPr>
        <w:t>Action 7.2</w:t>
      </w:r>
    </w:p>
    <w:p w14:paraId="501565EA" w14:textId="77777777" w:rsidR="00D80EFD" w:rsidRPr="00E8461E" w:rsidRDefault="00D80EFD" w:rsidP="00D80EFD">
      <w:pPr>
        <w:rPr>
          <w:b/>
          <w:lang w:val="en-GB"/>
        </w:rPr>
      </w:pPr>
      <w:r w:rsidRPr="00E8461E">
        <w:rPr>
          <w:b/>
          <w:lang w:val="en-GB"/>
        </w:rPr>
        <w:t>Scan of Australian health and climate research</w:t>
      </w:r>
    </w:p>
    <w:p w14:paraId="0EA2870D" w14:textId="5FF3A536" w:rsidR="00D80EFD" w:rsidRPr="00E8461E" w:rsidRDefault="00D80EFD" w:rsidP="00D80EFD">
      <w:pPr>
        <w:pBdr>
          <w:bottom w:val="single" w:sz="12" w:space="1" w:color="008A95" w:themeColor="accent1"/>
        </w:pBdr>
        <w:rPr>
          <w:lang w:val="en-GB"/>
        </w:rPr>
      </w:pPr>
      <w:r w:rsidRPr="00E8461E">
        <w:rPr>
          <w:lang w:val="en-GB"/>
        </w:rPr>
        <w:t>The Australian Government will commission and publish a report which undertakes a scan of current research activities in Australia pertaining to health and climate change</w:t>
      </w:r>
      <w:r w:rsidRPr="00E8461E">
        <w:rPr>
          <w:bCs/>
          <w:lang w:val="en-GB"/>
        </w:rPr>
        <w:t>. The report will identify</w:t>
      </w:r>
      <w:r w:rsidRPr="00E8461E">
        <w:rPr>
          <w:lang w:val="en-GB"/>
        </w:rPr>
        <w:t xml:space="preserve"> gaps in the literature</w:t>
      </w:r>
      <w:r w:rsidRPr="00E8461E">
        <w:rPr>
          <w:bCs/>
          <w:lang w:val="en-GB"/>
        </w:rPr>
        <w:t>, with a view to informing the prioritisation of future research funding.</w:t>
      </w:r>
    </w:p>
    <w:p w14:paraId="0A10F577" w14:textId="2EF22D53" w:rsidR="00BD5139" w:rsidRPr="00E8461E" w:rsidRDefault="00BD5139" w:rsidP="004756DD">
      <w:pPr>
        <w:rPr>
          <w:lang w:val="en-GB"/>
        </w:rPr>
      </w:pPr>
    </w:p>
    <w:p w14:paraId="6A218F49" w14:textId="77777777" w:rsidR="00D80EFD" w:rsidRPr="00E8461E" w:rsidRDefault="00D80EFD" w:rsidP="00D80EFD">
      <w:pPr>
        <w:pStyle w:val="Heading4"/>
        <w:rPr>
          <w:iCs w:val="0"/>
        </w:rPr>
      </w:pPr>
      <w:r w:rsidRPr="00E8461E">
        <w:rPr>
          <w:iCs w:val="0"/>
        </w:rPr>
        <w:t xml:space="preserve">Action </w:t>
      </w:r>
      <w:r w:rsidRPr="00E8461E" w:rsidDel="00EF0B23">
        <w:rPr>
          <w:iCs w:val="0"/>
        </w:rPr>
        <w:t>7</w:t>
      </w:r>
      <w:r w:rsidRPr="00E8461E">
        <w:rPr>
          <w:iCs w:val="0"/>
        </w:rPr>
        <w:t>.3</w:t>
      </w:r>
    </w:p>
    <w:p w14:paraId="2482D5B6" w14:textId="77777777" w:rsidR="00D80EFD" w:rsidRPr="00E8461E" w:rsidRDefault="00D80EFD" w:rsidP="00D80EFD">
      <w:pPr>
        <w:rPr>
          <w:b/>
          <w:lang w:val="en-GB"/>
        </w:rPr>
      </w:pPr>
      <w:r w:rsidRPr="00E8461E">
        <w:rPr>
          <w:b/>
          <w:lang w:val="en-GB"/>
        </w:rPr>
        <w:t>National Health and Medical Research Council Targeted Call for Research</w:t>
      </w:r>
    </w:p>
    <w:p w14:paraId="1BC1853F" w14:textId="4A4D7A10" w:rsidR="00D80EFD" w:rsidRPr="00E8461E" w:rsidRDefault="00D80EFD" w:rsidP="00D80EFD">
      <w:pPr>
        <w:pBdr>
          <w:bottom w:val="single" w:sz="12" w:space="1" w:color="008A95" w:themeColor="accent1"/>
        </w:pBdr>
        <w:rPr>
          <w:lang w:val="en-GB"/>
        </w:rPr>
      </w:pPr>
      <w:r w:rsidRPr="00E8461E">
        <w:rPr>
          <w:lang w:val="en-GB"/>
        </w:rPr>
        <w:t xml:space="preserve">The </w:t>
      </w:r>
      <w:r w:rsidRPr="00E8461E">
        <w:rPr>
          <w:bCs/>
          <w:lang w:val="en-GB"/>
        </w:rPr>
        <w:t>National Health and Medical Research Council</w:t>
      </w:r>
      <w:r w:rsidRPr="00E8461E">
        <w:rPr>
          <w:lang w:val="en-GB"/>
        </w:rPr>
        <w:t xml:space="preserve"> is developing a Targeted Call for Research focusing on strengthening the evidence base for Australian climate-related health impacts and effective interventions to improve health outcomes. The Call is planned for 2024 with an indicative funding allocation of $5 million over 5 years from the Medical Research Endowment Account.</w:t>
      </w:r>
    </w:p>
    <w:p w14:paraId="639401C0" w14:textId="3FAC6EA7" w:rsidR="008441FC" w:rsidRPr="00E8461E" w:rsidRDefault="008D1463" w:rsidP="00CE2599">
      <w:pPr>
        <w:pStyle w:val="Heading2"/>
      </w:pPr>
      <w:bookmarkStart w:id="230" w:name="_Toc147086773"/>
      <w:bookmarkStart w:id="231" w:name="_Toc147502221"/>
      <w:bookmarkStart w:id="232" w:name="_Toc149910027"/>
      <w:bookmarkStart w:id="233" w:name="_Toc149918489"/>
      <w:bookmarkStart w:id="234" w:name="_Toc151999649"/>
      <w:r w:rsidRPr="00E8461E">
        <w:t>7</w:t>
      </w:r>
      <w:r w:rsidR="003F688B" w:rsidRPr="00E8461E">
        <w:t xml:space="preserve">.3 </w:t>
      </w:r>
      <w:r w:rsidR="008441FC" w:rsidRPr="00E8461E">
        <w:t>Communication and engagement</w:t>
      </w:r>
      <w:bookmarkEnd w:id="230"/>
      <w:bookmarkEnd w:id="231"/>
      <w:bookmarkEnd w:id="232"/>
      <w:bookmarkEnd w:id="233"/>
      <w:bookmarkEnd w:id="234"/>
    </w:p>
    <w:p w14:paraId="421A9259" w14:textId="30AF98B4" w:rsidR="00124DE2" w:rsidRPr="00E8461E" w:rsidRDefault="00660832" w:rsidP="00564890">
      <w:pPr>
        <w:rPr>
          <w:lang w:val="en-GB"/>
        </w:rPr>
      </w:pPr>
      <w:r w:rsidRPr="00E8461E">
        <w:rPr>
          <w:lang w:val="en-GB"/>
        </w:rPr>
        <w:t>Communication and engagement will be crucial to</w:t>
      </w:r>
      <w:r w:rsidR="00FD7D92" w:rsidRPr="00E8461E">
        <w:rPr>
          <w:lang w:val="en-GB"/>
        </w:rPr>
        <w:t xml:space="preserve"> mobilis</w:t>
      </w:r>
      <w:r w:rsidRPr="00E8461E">
        <w:rPr>
          <w:lang w:val="en-GB"/>
        </w:rPr>
        <w:t>ing</w:t>
      </w:r>
      <w:r w:rsidR="00FD7D92" w:rsidRPr="00E8461E">
        <w:rPr>
          <w:lang w:val="en-GB"/>
        </w:rPr>
        <w:t xml:space="preserve"> </w:t>
      </w:r>
      <w:r w:rsidR="00B15E3C" w:rsidRPr="00E8461E">
        <w:rPr>
          <w:lang w:val="en-GB"/>
        </w:rPr>
        <w:t>effective, collaborative action on climate change and health</w:t>
      </w:r>
      <w:r w:rsidR="00A06055" w:rsidRPr="00E8461E">
        <w:rPr>
          <w:lang w:val="en-GB"/>
        </w:rPr>
        <w:t xml:space="preserve"> across Australia</w:t>
      </w:r>
      <w:r w:rsidR="00C57076" w:rsidRPr="00E8461E">
        <w:rPr>
          <w:lang w:val="en-GB"/>
        </w:rPr>
        <w:t xml:space="preserve">. </w:t>
      </w:r>
      <w:r w:rsidR="00564890" w:rsidRPr="00E8461E">
        <w:rPr>
          <w:lang w:val="en-GB"/>
        </w:rPr>
        <w:t xml:space="preserve">Effectively communicating and engaging with a wide range of stakeholders and the </w:t>
      </w:r>
      <w:proofErr w:type="gramStart"/>
      <w:r w:rsidR="00564890" w:rsidRPr="00E8461E">
        <w:rPr>
          <w:lang w:val="en-GB"/>
        </w:rPr>
        <w:t>general public</w:t>
      </w:r>
      <w:proofErr w:type="gramEnd"/>
      <w:r w:rsidR="00564890" w:rsidRPr="00E8461E">
        <w:rPr>
          <w:lang w:val="en-GB"/>
        </w:rPr>
        <w:t xml:space="preserve"> will ensure action to address the health and health system impacts of climate change are widely understood</w:t>
      </w:r>
      <w:r w:rsidR="00155128" w:rsidRPr="00E8461E">
        <w:rPr>
          <w:lang w:val="en-GB"/>
        </w:rPr>
        <w:t xml:space="preserve">, providing a </w:t>
      </w:r>
      <w:r w:rsidR="00C36F0E" w:rsidRPr="00E8461E">
        <w:rPr>
          <w:lang w:val="en-GB"/>
        </w:rPr>
        <w:t xml:space="preserve">strong </w:t>
      </w:r>
      <w:r w:rsidR="00155128" w:rsidRPr="00E8461E">
        <w:rPr>
          <w:lang w:val="en-GB"/>
        </w:rPr>
        <w:t>foundation for behavioural change</w:t>
      </w:r>
      <w:r w:rsidR="00221BDA" w:rsidRPr="00E8461E">
        <w:rPr>
          <w:lang w:val="en-GB"/>
        </w:rPr>
        <w:t xml:space="preserve"> across the health system</w:t>
      </w:r>
      <w:r w:rsidR="00564890" w:rsidRPr="00E8461E">
        <w:rPr>
          <w:lang w:val="en-GB"/>
        </w:rPr>
        <w:t>.</w:t>
      </w:r>
      <w:r w:rsidR="00254210" w:rsidRPr="00E8461E">
        <w:rPr>
          <w:lang w:val="en-GB"/>
        </w:rPr>
        <w:t xml:space="preserve"> </w:t>
      </w:r>
      <w:r w:rsidR="00221BDA" w:rsidRPr="00E8461E">
        <w:rPr>
          <w:lang w:val="en-GB"/>
        </w:rPr>
        <w:t>To empower individuals to play an active role in enhancing the sustainability and resilience of the health system, they must be equipped with tools</w:t>
      </w:r>
      <w:r w:rsidR="00F7299D" w:rsidRPr="00E8461E">
        <w:rPr>
          <w:lang w:val="en-GB"/>
        </w:rPr>
        <w:t xml:space="preserve">, </w:t>
      </w:r>
      <w:proofErr w:type="gramStart"/>
      <w:r w:rsidR="00F7299D" w:rsidRPr="00E8461E">
        <w:rPr>
          <w:lang w:val="en-GB"/>
        </w:rPr>
        <w:t>knowledge</w:t>
      </w:r>
      <w:proofErr w:type="gramEnd"/>
      <w:r w:rsidR="00221BDA" w:rsidRPr="00E8461E">
        <w:rPr>
          <w:lang w:val="en-GB"/>
        </w:rPr>
        <w:t xml:space="preserve"> and information to make informed decisions </w:t>
      </w:r>
      <w:r w:rsidR="004143CB" w:rsidRPr="00E8461E">
        <w:rPr>
          <w:lang w:val="en-GB"/>
        </w:rPr>
        <w:t>about</w:t>
      </w:r>
      <w:r w:rsidR="00221BDA" w:rsidRPr="00E8461E">
        <w:rPr>
          <w:lang w:val="en-GB"/>
        </w:rPr>
        <w:t xml:space="preserve"> their health and healthcare.</w:t>
      </w:r>
      <w:r w:rsidR="008604FC" w:rsidRPr="00E8461E">
        <w:rPr>
          <w:lang w:val="en-GB"/>
        </w:rPr>
        <w:t xml:space="preserve"> </w:t>
      </w:r>
      <w:r w:rsidR="00190CFA" w:rsidRPr="00E8461E">
        <w:rPr>
          <w:lang w:val="en-GB"/>
        </w:rPr>
        <w:t xml:space="preserve">For example, it will be increasingly important that individuals understand the </w:t>
      </w:r>
      <w:r w:rsidR="008C4F3A" w:rsidRPr="00E8461E">
        <w:rPr>
          <w:lang w:val="en-GB"/>
        </w:rPr>
        <w:t xml:space="preserve">likely impacts of climate-related hazards such as </w:t>
      </w:r>
      <w:r w:rsidR="003C38FE" w:rsidRPr="00E8461E">
        <w:rPr>
          <w:lang w:val="en-GB"/>
        </w:rPr>
        <w:t xml:space="preserve">heat and bushfire smoke on their health, and </w:t>
      </w:r>
      <w:r w:rsidR="00F06C13" w:rsidRPr="00E8461E">
        <w:rPr>
          <w:lang w:val="en-GB"/>
        </w:rPr>
        <w:t xml:space="preserve">that they </w:t>
      </w:r>
      <w:r w:rsidR="00C5159C" w:rsidRPr="00E8461E">
        <w:rPr>
          <w:lang w:val="en-GB"/>
        </w:rPr>
        <w:t xml:space="preserve">are enabled to take appropriate steps to reduce </w:t>
      </w:r>
      <w:r w:rsidR="00345A2B" w:rsidRPr="00E8461E">
        <w:rPr>
          <w:lang w:val="en-GB"/>
        </w:rPr>
        <w:t>these</w:t>
      </w:r>
      <w:r w:rsidR="00C5159C" w:rsidRPr="00E8461E">
        <w:rPr>
          <w:lang w:val="en-GB"/>
        </w:rPr>
        <w:t xml:space="preserve"> risks. Likewise,</w:t>
      </w:r>
      <w:r w:rsidR="00DB32AE" w:rsidRPr="00E8461E">
        <w:rPr>
          <w:lang w:val="en-GB"/>
        </w:rPr>
        <w:t xml:space="preserve"> where appropriate,</w:t>
      </w:r>
      <w:r w:rsidR="00C5159C" w:rsidRPr="00E8461E">
        <w:rPr>
          <w:lang w:val="en-GB"/>
        </w:rPr>
        <w:t xml:space="preserve"> patients who wish to do so sho</w:t>
      </w:r>
      <w:r w:rsidR="00753286" w:rsidRPr="00E8461E">
        <w:rPr>
          <w:lang w:val="en-GB"/>
        </w:rPr>
        <w:t xml:space="preserve">uld be empowered and </w:t>
      </w:r>
      <w:r w:rsidR="00DB32AE" w:rsidRPr="00E8461E">
        <w:rPr>
          <w:lang w:val="en-GB"/>
        </w:rPr>
        <w:t>supported</w:t>
      </w:r>
      <w:r w:rsidR="00753286" w:rsidRPr="00E8461E">
        <w:rPr>
          <w:lang w:val="en-GB"/>
        </w:rPr>
        <w:t xml:space="preserve"> to make clinically appropriate </w:t>
      </w:r>
      <w:r w:rsidR="00DB32AE" w:rsidRPr="00E8461E">
        <w:rPr>
          <w:lang w:val="en-GB"/>
        </w:rPr>
        <w:t xml:space="preserve">decisions about their healthcare that help to reduce its </w:t>
      </w:r>
      <w:r w:rsidR="008A0286" w:rsidRPr="00E8461E">
        <w:rPr>
          <w:lang w:val="en-GB"/>
        </w:rPr>
        <w:t xml:space="preserve">emissions </w:t>
      </w:r>
      <w:r w:rsidR="00DB32AE" w:rsidRPr="00E8461E">
        <w:rPr>
          <w:lang w:val="en-GB"/>
        </w:rPr>
        <w:t>footprint.</w:t>
      </w:r>
    </w:p>
    <w:p w14:paraId="1FD20A7A" w14:textId="60A7F852" w:rsidR="00256E57" w:rsidRPr="00E8461E" w:rsidRDefault="00564890" w:rsidP="00564890">
      <w:pPr>
        <w:rPr>
          <w:lang w:val="en-GB"/>
        </w:rPr>
      </w:pPr>
      <w:r w:rsidRPr="00E8461E">
        <w:rPr>
          <w:lang w:val="en-GB"/>
        </w:rPr>
        <w:t>There is a particular need for engagement with communities that will be hit hardest by climate change, such as First Nations</w:t>
      </w:r>
      <w:r w:rsidR="004A3095" w:rsidRPr="00E8461E">
        <w:rPr>
          <w:lang w:val="en-GB"/>
        </w:rPr>
        <w:t xml:space="preserve"> </w:t>
      </w:r>
      <w:r w:rsidR="008360BC" w:rsidRPr="00E8461E">
        <w:rPr>
          <w:lang w:val="en-GB"/>
        </w:rPr>
        <w:t>people</w:t>
      </w:r>
      <w:r w:rsidRPr="00E8461E">
        <w:rPr>
          <w:lang w:val="en-GB"/>
        </w:rPr>
        <w:t xml:space="preserve"> and young generations.</w:t>
      </w:r>
      <w:r w:rsidR="00C626BD" w:rsidRPr="00E8461E">
        <w:rPr>
          <w:lang w:val="en-GB"/>
        </w:rPr>
        <w:t xml:space="preserve"> Engagement and communication should also be targeted </w:t>
      </w:r>
      <w:r w:rsidR="005C4135" w:rsidRPr="00E8461E">
        <w:rPr>
          <w:lang w:val="en-GB"/>
        </w:rPr>
        <w:t>to culturally and linguistically diverse communities</w:t>
      </w:r>
      <w:r w:rsidR="00F25AF0" w:rsidRPr="00E8461E">
        <w:rPr>
          <w:lang w:val="en-GB"/>
        </w:rPr>
        <w:t>, and to those who may have limited access to electronic media</w:t>
      </w:r>
      <w:r w:rsidR="00F01C87" w:rsidRPr="00E8461E">
        <w:rPr>
          <w:lang w:val="en-GB"/>
        </w:rPr>
        <w:t xml:space="preserve">, such as </w:t>
      </w:r>
      <w:r w:rsidR="00236F2E" w:rsidRPr="00E8461E">
        <w:rPr>
          <w:lang w:val="en-GB"/>
        </w:rPr>
        <w:t>older people</w:t>
      </w:r>
      <w:r w:rsidR="00F01C87" w:rsidRPr="00E8461E">
        <w:rPr>
          <w:lang w:val="en-GB"/>
        </w:rPr>
        <w:t xml:space="preserve"> and those living in remote </w:t>
      </w:r>
      <w:r w:rsidR="00E531FC" w:rsidRPr="00E8461E">
        <w:rPr>
          <w:lang w:val="en-GB"/>
        </w:rPr>
        <w:t>communities.</w:t>
      </w:r>
      <w:r w:rsidR="00191065" w:rsidRPr="00E8461E">
        <w:rPr>
          <w:lang w:val="en-GB"/>
        </w:rPr>
        <w:t xml:space="preserve"> </w:t>
      </w:r>
      <w:r w:rsidR="00DE4F05" w:rsidRPr="00E8461E">
        <w:rPr>
          <w:lang w:val="en-GB"/>
        </w:rPr>
        <w:t>E</w:t>
      </w:r>
      <w:r w:rsidR="001905F4" w:rsidRPr="00E8461E">
        <w:rPr>
          <w:lang w:val="en-GB"/>
        </w:rPr>
        <w:t>ffective en</w:t>
      </w:r>
      <w:r w:rsidR="00DE4F05" w:rsidRPr="00E8461E">
        <w:rPr>
          <w:lang w:val="en-GB"/>
        </w:rPr>
        <w:t>gag</w:t>
      </w:r>
      <w:r w:rsidR="001905F4" w:rsidRPr="00E8461E">
        <w:rPr>
          <w:lang w:val="en-GB"/>
        </w:rPr>
        <w:t>ement and communication</w:t>
      </w:r>
      <w:r w:rsidR="00DE4F05" w:rsidRPr="00E8461E">
        <w:rPr>
          <w:lang w:val="en-GB"/>
        </w:rPr>
        <w:t xml:space="preserve"> with </w:t>
      </w:r>
      <w:r w:rsidR="001905F4" w:rsidRPr="00E8461E">
        <w:rPr>
          <w:lang w:val="en-GB"/>
        </w:rPr>
        <w:t xml:space="preserve">the public, patients, and consumers will be key to successful, equitable implementation </w:t>
      </w:r>
      <w:r w:rsidR="00FD54F4" w:rsidRPr="00E8461E">
        <w:rPr>
          <w:lang w:val="en-GB"/>
        </w:rPr>
        <w:t>of the Strategy.</w:t>
      </w:r>
      <w:r w:rsidR="001905F4" w:rsidRPr="00E8461E">
        <w:rPr>
          <w:lang w:val="en-GB"/>
        </w:rPr>
        <w:t xml:space="preserve"> </w:t>
      </w:r>
      <w:r w:rsidR="00124DE2" w:rsidRPr="00E8461E">
        <w:rPr>
          <w:lang w:val="en-GB"/>
        </w:rPr>
        <w:t xml:space="preserve">Improving and refining how agencies communicate and engage with a wide range of stakeholders and the </w:t>
      </w:r>
      <w:proofErr w:type="gramStart"/>
      <w:r w:rsidR="00124DE2" w:rsidRPr="00E8461E">
        <w:rPr>
          <w:lang w:val="en-GB"/>
        </w:rPr>
        <w:t>general public</w:t>
      </w:r>
      <w:proofErr w:type="gramEnd"/>
      <w:r w:rsidR="00124DE2" w:rsidRPr="00E8461E">
        <w:rPr>
          <w:lang w:val="en-GB"/>
        </w:rPr>
        <w:t xml:space="preserve"> will ensure action to address the health impacts of climate change and decarbonise the health system is widely understood and endorsed.</w:t>
      </w:r>
      <w:r w:rsidR="001905F4" w:rsidRPr="00E8461E">
        <w:rPr>
          <w:lang w:val="en-GB"/>
        </w:rPr>
        <w:t xml:space="preserve"> </w:t>
      </w:r>
      <w:r w:rsidR="00191065" w:rsidRPr="00E8461E">
        <w:rPr>
          <w:lang w:val="en-GB"/>
        </w:rPr>
        <w:t>As part of implementation of the N</w:t>
      </w:r>
      <w:r w:rsidR="00F17E9D" w:rsidRPr="00E8461E">
        <w:rPr>
          <w:lang w:val="en-GB"/>
        </w:rPr>
        <w:t>ational Preventive Health Strategy</w:t>
      </w:r>
      <w:r w:rsidR="00191065" w:rsidRPr="00E8461E">
        <w:rPr>
          <w:lang w:val="en-GB"/>
        </w:rPr>
        <w:t xml:space="preserve">, a National Consumer Engagement Strategy for Health and Wellbeing (NCESHW) is being developed to strengthen partnerships between health policy </w:t>
      </w:r>
      <w:r w:rsidR="00191065" w:rsidRPr="00E8461E">
        <w:rPr>
          <w:lang w:val="en-GB"/>
        </w:rPr>
        <w:lastRenderedPageBreak/>
        <w:t>makers and the community.</w:t>
      </w:r>
      <w:r w:rsidR="00FA7EDD" w:rsidRPr="00E8461E">
        <w:rPr>
          <w:rStyle w:val="EndnoteReference"/>
          <w:lang w:val="en-GB"/>
        </w:rPr>
        <w:endnoteReference w:id="361"/>
      </w:r>
      <w:r w:rsidR="00191065" w:rsidRPr="00E8461E">
        <w:rPr>
          <w:lang w:val="en-GB"/>
        </w:rPr>
        <w:t xml:space="preserve"> The NCESHW will facilitate consumer participation and engagement at all levels of the health system.</w:t>
      </w:r>
    </w:p>
    <w:p w14:paraId="1F9CFCB1" w14:textId="77777777" w:rsidR="00D80EFD" w:rsidRPr="00E8461E" w:rsidRDefault="00D80EFD" w:rsidP="00D80EFD">
      <w:pPr>
        <w:pStyle w:val="Heading4"/>
        <w:rPr>
          <w:iCs w:val="0"/>
        </w:rPr>
      </w:pPr>
      <w:r w:rsidRPr="00E8461E">
        <w:rPr>
          <w:iCs w:val="0"/>
        </w:rPr>
        <w:t xml:space="preserve">Action </w:t>
      </w:r>
      <w:r w:rsidRPr="00E8461E" w:rsidDel="00EF0B23">
        <w:rPr>
          <w:iCs w:val="0"/>
        </w:rPr>
        <w:t>7.4</w:t>
      </w:r>
    </w:p>
    <w:p w14:paraId="6496E073" w14:textId="77777777" w:rsidR="00D80EFD" w:rsidRPr="00E8461E" w:rsidRDefault="00D80EFD" w:rsidP="00D80EFD">
      <w:pPr>
        <w:rPr>
          <w:b/>
          <w:lang w:val="en-GB"/>
        </w:rPr>
      </w:pPr>
      <w:r w:rsidRPr="00E8461E">
        <w:rPr>
          <w:b/>
          <w:lang w:val="en-GB"/>
        </w:rPr>
        <w:t>Developing health and climate education materials</w:t>
      </w:r>
    </w:p>
    <w:p w14:paraId="26EE50C2" w14:textId="0B2D86EE" w:rsidR="00D80EFD" w:rsidRPr="00E8461E" w:rsidRDefault="00D80EFD" w:rsidP="00D80EFD">
      <w:pPr>
        <w:pBdr>
          <w:bottom w:val="single" w:sz="12" w:space="1" w:color="008A95" w:themeColor="accent1"/>
        </w:pBdr>
        <w:rPr>
          <w:lang w:val="en-GB"/>
        </w:rPr>
      </w:pPr>
      <w:r w:rsidRPr="00E8461E">
        <w:t>The Australian Government will design and deliver public-facing guidance on ways to reduce the emissions footprint of health and aged care, and opportunities to improve resilience to the health impacts of climate change (including action that patients and healthcare workers can take directly).</w:t>
      </w:r>
    </w:p>
    <w:p w14:paraId="40141F48" w14:textId="7EA6D009" w:rsidR="008441FC" w:rsidRPr="00E8461E" w:rsidRDefault="008D1463" w:rsidP="00CE2599">
      <w:pPr>
        <w:pStyle w:val="Heading2"/>
      </w:pPr>
      <w:bookmarkStart w:id="235" w:name="_Toc147086774"/>
      <w:bookmarkStart w:id="236" w:name="_Toc147502222"/>
      <w:bookmarkStart w:id="237" w:name="_Toc149910028"/>
      <w:bookmarkStart w:id="238" w:name="_Toc149918490"/>
      <w:bookmarkStart w:id="239" w:name="_Toc151999650"/>
      <w:r w:rsidRPr="00E8461E">
        <w:t>7</w:t>
      </w:r>
      <w:r w:rsidR="003F688B" w:rsidRPr="00E8461E">
        <w:t xml:space="preserve">.4 </w:t>
      </w:r>
      <w:r w:rsidR="008441FC" w:rsidRPr="00E8461E">
        <w:t>Collaboration</w:t>
      </w:r>
      <w:r w:rsidR="008E08E5" w:rsidRPr="00E8461E">
        <w:t xml:space="preserve"> and </w:t>
      </w:r>
      <w:bookmarkEnd w:id="235"/>
      <w:bookmarkEnd w:id="236"/>
      <w:r w:rsidR="008929E6" w:rsidRPr="00E8461E">
        <w:t>g</w:t>
      </w:r>
      <w:r w:rsidR="008E08E5" w:rsidRPr="00E8461E">
        <w:t>overnance</w:t>
      </w:r>
      <w:bookmarkEnd w:id="237"/>
      <w:bookmarkEnd w:id="238"/>
      <w:bookmarkEnd w:id="239"/>
    </w:p>
    <w:p w14:paraId="36B2588B" w14:textId="4D46B08F" w:rsidR="007E4CE7" w:rsidRPr="00E8461E" w:rsidRDefault="007913CC" w:rsidP="005515AF">
      <w:pPr>
        <w:rPr>
          <w:lang w:val="en-GB"/>
        </w:rPr>
      </w:pPr>
      <w:r w:rsidRPr="00E8461E">
        <w:rPr>
          <w:lang w:val="en-GB"/>
        </w:rPr>
        <w:t>Tackling the health impacts of climate change and reducing health system emissions requires collaboration across all levels of society</w:t>
      </w:r>
      <w:r w:rsidR="0013476C" w:rsidRPr="00E8461E">
        <w:rPr>
          <w:lang w:val="en-GB"/>
        </w:rPr>
        <w:t>.</w:t>
      </w:r>
      <w:r w:rsidR="0079752A" w:rsidRPr="00E8461E">
        <w:rPr>
          <w:lang w:val="en-GB"/>
        </w:rPr>
        <w:t xml:space="preserve"> </w:t>
      </w:r>
      <w:r w:rsidR="0013476C" w:rsidRPr="00E8461E">
        <w:rPr>
          <w:lang w:val="en-GB"/>
        </w:rPr>
        <w:t>T</w:t>
      </w:r>
      <w:r w:rsidR="0079752A" w:rsidRPr="00E8461E">
        <w:rPr>
          <w:lang w:val="en-GB"/>
        </w:rPr>
        <w:t xml:space="preserve">he work </w:t>
      </w:r>
      <w:r w:rsidR="00E4222F" w:rsidRPr="00E8461E">
        <w:rPr>
          <w:lang w:val="en-GB"/>
        </w:rPr>
        <w:t>must be informed by</w:t>
      </w:r>
      <w:r w:rsidR="00837F5B" w:rsidRPr="00E8461E">
        <w:rPr>
          <w:lang w:val="en-GB"/>
        </w:rPr>
        <w:t xml:space="preserve"> </w:t>
      </w:r>
      <w:r w:rsidR="009922CA" w:rsidRPr="00E8461E">
        <w:rPr>
          <w:lang w:val="en-GB"/>
        </w:rPr>
        <w:t xml:space="preserve">the </w:t>
      </w:r>
      <w:r w:rsidR="00837F5B" w:rsidRPr="00E8461E">
        <w:rPr>
          <w:lang w:val="en-GB"/>
        </w:rPr>
        <w:t xml:space="preserve">perspectives of </w:t>
      </w:r>
      <w:r w:rsidR="00F210E0" w:rsidRPr="00E8461E">
        <w:rPr>
          <w:lang w:val="en-GB"/>
        </w:rPr>
        <w:t>patients and consumers</w:t>
      </w:r>
      <w:r w:rsidR="0013476C" w:rsidRPr="00E8461E">
        <w:rPr>
          <w:lang w:val="en-GB"/>
        </w:rPr>
        <w:t>, as well as</w:t>
      </w:r>
      <w:r w:rsidR="00FA44D8" w:rsidRPr="00E8461E">
        <w:rPr>
          <w:lang w:val="en-GB"/>
        </w:rPr>
        <w:t xml:space="preserve"> multi-sectoral collaboration across</w:t>
      </w:r>
      <w:r w:rsidR="0013476C" w:rsidRPr="00E8461E">
        <w:rPr>
          <w:lang w:val="en-GB"/>
        </w:rPr>
        <w:t xml:space="preserve"> </w:t>
      </w:r>
      <w:r w:rsidR="00EC6437" w:rsidRPr="00E8461E">
        <w:rPr>
          <w:lang w:val="en-GB"/>
        </w:rPr>
        <w:t>academia, industry, and relevant professional groups</w:t>
      </w:r>
      <w:r w:rsidR="00E4222F" w:rsidRPr="00E8461E">
        <w:rPr>
          <w:lang w:val="en-GB"/>
        </w:rPr>
        <w:t>.</w:t>
      </w:r>
      <w:r w:rsidR="00F210E0" w:rsidRPr="00E8461E">
        <w:rPr>
          <w:lang w:val="en-GB"/>
        </w:rPr>
        <w:t xml:space="preserve"> </w:t>
      </w:r>
      <w:r w:rsidR="008A2E8C" w:rsidRPr="00E8461E">
        <w:rPr>
          <w:lang w:val="en-GB"/>
        </w:rPr>
        <w:t>The integrated translation of policy into practice requires new ways of collaborating, redefining shared authority and facilitating effective shared decision making.</w:t>
      </w:r>
    </w:p>
    <w:p w14:paraId="21AC57F3" w14:textId="32A56DC4" w:rsidR="009869A6" w:rsidRPr="00E8461E" w:rsidRDefault="00605153" w:rsidP="005515AF">
      <w:pPr>
        <w:rPr>
          <w:lang w:val="en-GB"/>
        </w:rPr>
      </w:pPr>
      <w:r w:rsidRPr="00E8461E">
        <w:rPr>
          <w:lang w:val="en-GB"/>
        </w:rPr>
        <w:t>Ensuring appropriate</w:t>
      </w:r>
      <w:r w:rsidR="005515AF" w:rsidRPr="00E8461E">
        <w:rPr>
          <w:lang w:val="en-GB"/>
        </w:rPr>
        <w:t xml:space="preserve"> governance structures</w:t>
      </w:r>
      <w:r w:rsidRPr="00E8461E">
        <w:rPr>
          <w:lang w:val="en-GB"/>
        </w:rPr>
        <w:t xml:space="preserve"> are in place</w:t>
      </w:r>
      <w:r w:rsidR="005515AF" w:rsidRPr="00E8461E">
        <w:rPr>
          <w:lang w:val="en-GB"/>
        </w:rPr>
        <w:t xml:space="preserve"> – both cross-jurisdictional and beyond government – to facilitate regular collaboration with all stakeholders (and </w:t>
      </w:r>
      <w:proofErr w:type="gramStart"/>
      <w:r w:rsidR="005515AF" w:rsidRPr="00E8461E">
        <w:rPr>
          <w:lang w:val="en-GB"/>
        </w:rPr>
        <w:t>in particular First</w:t>
      </w:r>
      <w:proofErr w:type="gramEnd"/>
      <w:r w:rsidR="005515AF" w:rsidRPr="00E8461E">
        <w:rPr>
          <w:lang w:val="en-GB"/>
        </w:rPr>
        <w:t xml:space="preserve"> Nations</w:t>
      </w:r>
      <w:r w:rsidR="00D14277" w:rsidRPr="00E8461E">
        <w:rPr>
          <w:lang w:val="en-GB"/>
        </w:rPr>
        <w:t xml:space="preserve"> people</w:t>
      </w:r>
      <w:r w:rsidR="005515AF" w:rsidRPr="00E8461E">
        <w:rPr>
          <w:lang w:val="en-GB"/>
        </w:rPr>
        <w:t>) will build ownership and facilitate working partnerships where required to plan and deliver shared commitments to reduce emissions and strengthen climate resilience.</w:t>
      </w:r>
      <w:r w:rsidR="00AA52A9" w:rsidRPr="00E8461E">
        <w:rPr>
          <w:lang w:val="en-GB"/>
        </w:rPr>
        <w:t xml:space="preserve"> </w:t>
      </w:r>
      <w:r w:rsidR="00FB2ABF" w:rsidRPr="00E8461E">
        <w:rPr>
          <w:lang w:val="en-GB"/>
        </w:rPr>
        <w:t xml:space="preserve">These governance structures </w:t>
      </w:r>
      <w:r w:rsidR="00DD31CD" w:rsidRPr="00E8461E">
        <w:rPr>
          <w:lang w:val="en-GB"/>
        </w:rPr>
        <w:t>are also needed to</w:t>
      </w:r>
      <w:r w:rsidR="00FB2ABF" w:rsidRPr="00E8461E">
        <w:rPr>
          <w:lang w:val="en-GB"/>
        </w:rPr>
        <w:t xml:space="preserve"> measure and track progress in delivering the Strategy, to inform future decisions, drive action</w:t>
      </w:r>
      <w:r w:rsidR="0065705E" w:rsidRPr="00E8461E">
        <w:rPr>
          <w:lang w:val="en-GB"/>
        </w:rPr>
        <w:t>,</w:t>
      </w:r>
      <w:r w:rsidR="00FB2ABF" w:rsidRPr="00E8461E">
        <w:rPr>
          <w:lang w:val="en-GB"/>
        </w:rPr>
        <w:t xml:space="preserve"> and hold stakeholders accountable.</w:t>
      </w:r>
    </w:p>
    <w:p w14:paraId="73AD1EE5" w14:textId="77777777" w:rsidR="00D80EFD" w:rsidRPr="00E8461E" w:rsidRDefault="00D80EFD" w:rsidP="00D80EFD">
      <w:pPr>
        <w:pStyle w:val="Heading4"/>
        <w:rPr>
          <w:iCs w:val="0"/>
        </w:rPr>
      </w:pPr>
      <w:r w:rsidRPr="00E8461E">
        <w:rPr>
          <w:iCs w:val="0"/>
        </w:rPr>
        <w:t xml:space="preserve">Action </w:t>
      </w:r>
      <w:r w:rsidRPr="00E8461E" w:rsidDel="00EF0B23">
        <w:rPr>
          <w:iCs w:val="0"/>
        </w:rPr>
        <w:t>7.5</w:t>
      </w:r>
    </w:p>
    <w:p w14:paraId="53871B38" w14:textId="77777777" w:rsidR="00D80EFD" w:rsidRPr="00E8461E" w:rsidRDefault="00D80EFD" w:rsidP="00D80EFD">
      <w:pPr>
        <w:rPr>
          <w:b/>
          <w:lang w:val="en-GB"/>
        </w:rPr>
      </w:pPr>
      <w:r w:rsidRPr="00E8461E">
        <w:rPr>
          <w:b/>
          <w:lang w:val="en-GB"/>
        </w:rPr>
        <w:t>Reviewing h</w:t>
      </w:r>
      <w:r w:rsidRPr="00E8461E">
        <w:rPr>
          <w:b/>
          <w:bCs/>
          <w:lang w:val="en-GB"/>
        </w:rPr>
        <w:t>ealth and climate governance</w:t>
      </w:r>
    </w:p>
    <w:p w14:paraId="0F70C11D" w14:textId="012C2012" w:rsidR="00D80EFD" w:rsidRPr="00E8461E" w:rsidRDefault="00D80EFD" w:rsidP="00D80EFD">
      <w:pPr>
        <w:pBdr>
          <w:bottom w:val="single" w:sz="12" w:space="1" w:color="008A95" w:themeColor="accent1"/>
        </w:pBdr>
        <w:rPr>
          <w:lang w:val="en-GB"/>
        </w:rPr>
      </w:pPr>
      <w:r w:rsidRPr="00E8461E">
        <w:t>The Australian Government will review climate and health governance structures in consultation with states and territories and consider how to enhance cross-jurisdictional collaboration, as well as collaboration across the wider climate and health stakeholder community.</w:t>
      </w:r>
    </w:p>
    <w:p w14:paraId="02DFD4D6" w14:textId="77777777" w:rsidR="00EF3C61" w:rsidRPr="00E8461E" w:rsidRDefault="00EF3C61" w:rsidP="00894C12">
      <w:pPr>
        <w:rPr>
          <w:lang w:val="en-GB"/>
        </w:rPr>
      </w:pPr>
      <w:bookmarkStart w:id="240" w:name="_Toc147086776"/>
      <w:bookmarkStart w:id="241" w:name="_Toc147502224"/>
      <w:bookmarkStart w:id="242" w:name="_Toc149910029"/>
      <w:bookmarkStart w:id="243" w:name="_Toc149918491"/>
      <w:r w:rsidRPr="00E8461E">
        <w:rPr>
          <w:lang w:val="en-GB"/>
        </w:rPr>
        <w:br w:type="page"/>
      </w:r>
    </w:p>
    <w:p w14:paraId="4DA254DC" w14:textId="08438A77" w:rsidR="00972A91" w:rsidRPr="00E8461E" w:rsidRDefault="00972A91" w:rsidP="00D76CDF">
      <w:pPr>
        <w:pStyle w:val="Heading1"/>
        <w:rPr>
          <w:lang w:val="en-GB"/>
        </w:rPr>
      </w:pPr>
      <w:bookmarkStart w:id="244" w:name="_Toc151999651"/>
      <w:r w:rsidRPr="00E8461E">
        <w:rPr>
          <w:lang w:val="en-GB"/>
        </w:rPr>
        <w:lastRenderedPageBreak/>
        <w:t xml:space="preserve">Appendix – List of </w:t>
      </w:r>
      <w:r w:rsidR="000A3D44" w:rsidRPr="00E8461E">
        <w:rPr>
          <w:lang w:val="en-GB"/>
        </w:rPr>
        <w:t>a</w:t>
      </w:r>
      <w:r w:rsidRPr="00E8461E">
        <w:rPr>
          <w:lang w:val="en-GB"/>
        </w:rPr>
        <w:t>ctions</w:t>
      </w:r>
      <w:bookmarkEnd w:id="244"/>
    </w:p>
    <w:p w14:paraId="2223ACF5" w14:textId="4DAEEF8C" w:rsidR="00653752" w:rsidRPr="00E8461E" w:rsidRDefault="00653752" w:rsidP="00653752">
      <w:pPr>
        <w:rPr>
          <w:lang w:val="en-GB"/>
        </w:rPr>
      </w:pPr>
      <w:r w:rsidRPr="00E8461E">
        <w:rPr>
          <w:noProof/>
          <w:lang w:val="en-GB"/>
        </w:rPr>
        <mc:AlternateContent>
          <mc:Choice Requires="wps">
            <w:drawing>
              <wp:inline distT="0" distB="0" distL="0" distR="0" wp14:anchorId="4B289EB5" wp14:editId="705D5F37">
                <wp:extent cx="1035592" cy="115657"/>
                <wp:effectExtent l="0" t="0" r="0" b="0"/>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60A86B" id="Rectangle 15"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p w14:paraId="5D8F4716" w14:textId="77777777" w:rsidR="00B75924" w:rsidRPr="00E8461E" w:rsidRDefault="00B75924" w:rsidP="00B75924">
      <w:pPr>
        <w:pStyle w:val="Heading2"/>
        <w:rPr>
          <w:lang w:val="en-GB"/>
        </w:rPr>
      </w:pPr>
      <w:r w:rsidRPr="00E8461E">
        <w:rPr>
          <w:lang w:val="en-GB"/>
        </w:rPr>
        <w:t>Chapter 3 actions</w:t>
      </w:r>
    </w:p>
    <w:p w14:paraId="5CA6F8C6" w14:textId="77777777" w:rsidR="00B75924" w:rsidRPr="00E8461E" w:rsidRDefault="00B75924" w:rsidP="00B75924">
      <w:pPr>
        <w:pStyle w:val="Heading3"/>
        <w:rPr>
          <w:lang w:val="en-GB"/>
        </w:rPr>
      </w:pPr>
      <w:r w:rsidRPr="00E8461E">
        <w:rPr>
          <w:lang w:val="en-GB"/>
        </w:rPr>
        <w:t>Action 3.1: Undertaking a National Health Vulnerability, Capacity and Adaptation Assessment</w:t>
      </w:r>
    </w:p>
    <w:p w14:paraId="0CA29F58" w14:textId="77777777" w:rsidR="00B75924" w:rsidRPr="00E8461E" w:rsidRDefault="00B75924" w:rsidP="00B75924">
      <w:pPr>
        <w:rPr>
          <w:lang w:val="en-GB"/>
        </w:rPr>
      </w:pPr>
      <w:r w:rsidRPr="00E8461E">
        <w:rPr>
          <w:lang w:val="en-GB"/>
        </w:rPr>
        <w:t>The Australian Government will undertake a National Health Vulnerability, Capacity and Adaptation Assessment, starting with an analysis of the Health and Social Support System within the National Climate Risk Assessment. The National Health Vulnerability, Capacity and Adaptation Assessment will holistically assess the health and wellbeing impacts of climate change across society, with impacts on health system functioning forming one area of focus.</w:t>
      </w:r>
    </w:p>
    <w:p w14:paraId="55C7BD85" w14:textId="77777777" w:rsidR="00B75924" w:rsidRPr="00E8461E" w:rsidRDefault="00B75924" w:rsidP="00B75924">
      <w:pPr>
        <w:pStyle w:val="Heading3"/>
        <w:rPr>
          <w:lang w:val="en-GB"/>
        </w:rPr>
      </w:pPr>
      <w:r w:rsidRPr="00E8461E">
        <w:rPr>
          <w:lang w:val="en-GB"/>
        </w:rPr>
        <w:t>Action 3.2: Developing a National Health Adaptation Plan</w:t>
      </w:r>
    </w:p>
    <w:p w14:paraId="6ABE8D40" w14:textId="77777777" w:rsidR="00B75924" w:rsidRPr="00E8461E" w:rsidRDefault="00B75924" w:rsidP="00B75924">
      <w:pPr>
        <w:rPr>
          <w:lang w:val="en-GB"/>
        </w:rPr>
      </w:pPr>
      <w:r w:rsidRPr="00E8461E">
        <w:rPr>
          <w:lang w:val="en-GB"/>
        </w:rPr>
        <w:t>The Australian Government will develop a National Health Adaptation Plan as part of the National Adaptation Plan, expected to be published by the end of 2024.</w:t>
      </w:r>
    </w:p>
    <w:p w14:paraId="2B3DCCB5" w14:textId="77777777" w:rsidR="00B75924" w:rsidRPr="00E8461E" w:rsidRDefault="00B75924" w:rsidP="00B75924">
      <w:pPr>
        <w:pStyle w:val="Heading3"/>
        <w:rPr>
          <w:lang w:val="en-GB"/>
        </w:rPr>
      </w:pPr>
      <w:r w:rsidRPr="00E8461E">
        <w:rPr>
          <w:lang w:val="en-GB"/>
        </w:rPr>
        <w:t>Action 3.3: Developing guidance on risk assessment and adaptation </w:t>
      </w:r>
      <w:proofErr w:type="gramStart"/>
      <w:r w:rsidRPr="00E8461E">
        <w:rPr>
          <w:lang w:val="en-GB"/>
        </w:rPr>
        <w:t>planning</w:t>
      </w:r>
      <w:proofErr w:type="gramEnd"/>
    </w:p>
    <w:p w14:paraId="7CE30A46" w14:textId="77777777" w:rsidR="00B75924" w:rsidRPr="00E8461E" w:rsidRDefault="00B75924" w:rsidP="00B75924">
      <w:pPr>
        <w:rPr>
          <w:lang w:val="en-GB"/>
        </w:rPr>
      </w:pPr>
      <w:r w:rsidRPr="00E8461E">
        <w:rPr>
          <w:lang w:val="en-GB"/>
        </w:rPr>
        <w:t xml:space="preserve">The Australian Government will develop guidance and implementation support tools in partnership with states, territories, Aboriginal Community-Controlled Health </w:t>
      </w:r>
      <w:proofErr w:type="gramStart"/>
      <w:r w:rsidRPr="00E8461E">
        <w:rPr>
          <w:lang w:val="en-GB"/>
        </w:rPr>
        <w:t>Services</w:t>
      </w:r>
      <w:proofErr w:type="gramEnd"/>
      <w:r w:rsidRPr="00E8461E">
        <w:rPr>
          <w:lang w:val="en-GB"/>
        </w:rPr>
        <w:t xml:space="preserve"> and other relevant stakeholders to enable state and territory health systems, local health systems, Aboriginal Community-Controlled Health Services and hospitals to undertake climate risk assessment and develop adaptation plans in a nationally consistent way.</w:t>
      </w:r>
    </w:p>
    <w:p w14:paraId="2D0E2D6C" w14:textId="77777777" w:rsidR="00B75924" w:rsidRPr="00E8461E" w:rsidRDefault="00B75924" w:rsidP="00B75924">
      <w:pPr>
        <w:pStyle w:val="Heading3"/>
        <w:rPr>
          <w:lang w:val="en-GB"/>
        </w:rPr>
      </w:pPr>
      <w:r w:rsidRPr="00E8461E">
        <w:rPr>
          <w:lang w:val="en-GB"/>
        </w:rPr>
        <w:t>Action 3.4: Building the capacity of Aboriginal community-controlled health </w:t>
      </w:r>
      <w:proofErr w:type="gramStart"/>
      <w:r w:rsidRPr="00E8461E">
        <w:rPr>
          <w:lang w:val="en-GB"/>
        </w:rPr>
        <w:t>services</w:t>
      </w:r>
      <w:proofErr w:type="gramEnd"/>
    </w:p>
    <w:p w14:paraId="13F143CE" w14:textId="77777777" w:rsidR="00B75924" w:rsidRPr="00E8461E" w:rsidRDefault="00B75924" w:rsidP="00B75924">
      <w:pPr>
        <w:rPr>
          <w:lang w:val="en-GB"/>
        </w:rPr>
      </w:pPr>
      <w:r w:rsidRPr="00E8461E">
        <w:rPr>
          <w:lang w:val="en-GB"/>
        </w:rPr>
        <w:t xml:space="preserve">In partnership with the Aboriginal community-controlled health sector, the Australian Government will work to identify options to support the capacity of Aboriginal Community Controlled Health Services to participate in place-based climate risk assessment and adaptation planning and emergency preparedness, </w:t>
      </w:r>
      <w:proofErr w:type="gramStart"/>
      <w:r w:rsidRPr="00E8461E">
        <w:rPr>
          <w:lang w:val="en-GB"/>
        </w:rPr>
        <w:t>response</w:t>
      </w:r>
      <w:proofErr w:type="gramEnd"/>
      <w:r w:rsidRPr="00E8461E">
        <w:rPr>
          <w:lang w:val="en-GB"/>
        </w:rPr>
        <w:t xml:space="preserve"> and recovery for climate-related disasters.</w:t>
      </w:r>
    </w:p>
    <w:p w14:paraId="29C2F8D3" w14:textId="77777777" w:rsidR="00B75924" w:rsidRPr="00E8461E" w:rsidRDefault="00B75924" w:rsidP="00B75924">
      <w:pPr>
        <w:pStyle w:val="Heading3"/>
        <w:rPr>
          <w:lang w:val="en-GB"/>
        </w:rPr>
      </w:pPr>
      <w:r w:rsidRPr="00E8461E">
        <w:rPr>
          <w:lang w:val="en-GB"/>
        </w:rPr>
        <w:t>Action 3.5: Considering climate impacts in implementing the National Preventive Health Strategy</w:t>
      </w:r>
    </w:p>
    <w:p w14:paraId="37D078F7" w14:textId="77777777" w:rsidR="00B75924" w:rsidRPr="00E8461E" w:rsidRDefault="00B75924" w:rsidP="00B75924">
      <w:pPr>
        <w:rPr>
          <w:lang w:val="en-GB"/>
        </w:rPr>
      </w:pPr>
      <w:r w:rsidRPr="00E8461E">
        <w:rPr>
          <w:lang w:val="en-GB"/>
        </w:rPr>
        <w:t>The Australian Government will consider the impact of climate change in implementing the National Preventive Health Strategy 2021-2030, recognising the role of preventive health in:</w:t>
      </w:r>
    </w:p>
    <w:p w14:paraId="53BD6C0D" w14:textId="77777777" w:rsidR="00B75924" w:rsidRPr="00E8461E" w:rsidRDefault="00B75924" w:rsidP="00B75924">
      <w:pPr>
        <w:pStyle w:val="BulletUnindented"/>
      </w:pPr>
      <w:r w:rsidRPr="00E8461E">
        <w:t>Reducing demand on carbon-intensive health services and therefore reducing greenhouse gas emissions from the health system</w:t>
      </w:r>
    </w:p>
    <w:p w14:paraId="24E72423" w14:textId="77777777" w:rsidR="00B75924" w:rsidRPr="00E8461E" w:rsidRDefault="00B75924" w:rsidP="00B75924">
      <w:pPr>
        <w:pStyle w:val="BulletUnindented"/>
      </w:pPr>
      <w:r w:rsidRPr="00E8461E">
        <w:t>Building population and health system resilience to the health impacts of climate change and extreme weather events.</w:t>
      </w:r>
    </w:p>
    <w:p w14:paraId="52621E64" w14:textId="77777777" w:rsidR="00B75924" w:rsidRPr="00E8461E" w:rsidRDefault="00B75924" w:rsidP="00B75924">
      <w:pPr>
        <w:pStyle w:val="Heading3"/>
        <w:rPr>
          <w:lang w:val="en-GB"/>
        </w:rPr>
      </w:pPr>
      <w:r w:rsidRPr="00E8461E">
        <w:rPr>
          <w:lang w:val="en-GB"/>
        </w:rPr>
        <w:t xml:space="preserve">Action 3.6: Supporting leadership of First Nations communities on health and climate </w:t>
      </w:r>
      <w:proofErr w:type="gramStart"/>
      <w:r w:rsidRPr="00E8461E">
        <w:rPr>
          <w:lang w:val="en-GB"/>
        </w:rPr>
        <w:t>change</w:t>
      </w:r>
      <w:proofErr w:type="gramEnd"/>
    </w:p>
    <w:p w14:paraId="1934CDB4" w14:textId="77777777" w:rsidR="00B75924" w:rsidRPr="00E8461E" w:rsidRDefault="00B75924" w:rsidP="00B75924">
      <w:pPr>
        <w:rPr>
          <w:lang w:val="en-GB"/>
        </w:rPr>
      </w:pPr>
      <w:r w:rsidRPr="00E8461E">
        <w:rPr>
          <w:lang w:val="en-GB"/>
        </w:rPr>
        <w:t xml:space="preserve">The Australian Government will work in partnership with First Nations organisations to support First Nations leadership on action and investment in climate change adaptation, including through its </w:t>
      </w:r>
      <w:r w:rsidRPr="00E8461E">
        <w:rPr>
          <w:lang w:val="en-GB"/>
        </w:rPr>
        <w:lastRenderedPageBreak/>
        <w:t>collaboration with Aboriginal Community Controlled Health Services to implement the following priorities under Objective 7 of the National Aboriginal and Torres Strait Islander Health Plan 2021–2031:</w:t>
      </w:r>
    </w:p>
    <w:p w14:paraId="19C43109" w14:textId="77777777" w:rsidR="00B75924" w:rsidRPr="00E8461E" w:rsidRDefault="00B75924" w:rsidP="00B75924">
      <w:pPr>
        <w:pStyle w:val="BulletUnindented"/>
      </w:pPr>
      <w:r w:rsidRPr="00E8461E">
        <w:t>Growing the First Nations environmental health workforce</w:t>
      </w:r>
    </w:p>
    <w:p w14:paraId="1699D40E" w14:textId="77777777" w:rsidR="00B75924" w:rsidRPr="00E8461E" w:rsidRDefault="00B75924" w:rsidP="00B75924">
      <w:pPr>
        <w:pStyle w:val="BulletUnindented"/>
      </w:pPr>
      <w:r w:rsidRPr="00E8461E">
        <w:t>Housing and infrastructure solutions</w:t>
      </w:r>
    </w:p>
    <w:p w14:paraId="2668CFE4" w14:textId="77777777" w:rsidR="00B75924" w:rsidRPr="00E8461E" w:rsidRDefault="00B75924" w:rsidP="00B75924">
      <w:pPr>
        <w:pStyle w:val="BulletUnindented"/>
      </w:pPr>
      <w:r w:rsidRPr="00E8461E">
        <w:t>Food security</w:t>
      </w:r>
    </w:p>
    <w:p w14:paraId="1DFC1727" w14:textId="77777777" w:rsidR="00B75924" w:rsidRPr="00E8461E" w:rsidRDefault="00B75924" w:rsidP="00B75924">
      <w:pPr>
        <w:pStyle w:val="BulletUnindented"/>
      </w:pPr>
      <w:r w:rsidRPr="00E8461E">
        <w:t xml:space="preserve">Disaster planning, </w:t>
      </w:r>
      <w:proofErr w:type="gramStart"/>
      <w:r w:rsidRPr="00E8461E">
        <w:t>preparedness</w:t>
      </w:r>
      <w:proofErr w:type="gramEnd"/>
      <w:r w:rsidRPr="00E8461E">
        <w:t xml:space="preserve"> and recovery.</w:t>
      </w:r>
    </w:p>
    <w:p w14:paraId="6B10E4EB" w14:textId="77777777" w:rsidR="00B75924" w:rsidRPr="00E8461E" w:rsidRDefault="00B75924" w:rsidP="00B75924">
      <w:pPr>
        <w:pStyle w:val="Heading3"/>
        <w:rPr>
          <w:lang w:val="en-GB"/>
        </w:rPr>
      </w:pPr>
      <w:r w:rsidRPr="00E8461E">
        <w:rPr>
          <w:lang w:val="en-GB"/>
        </w:rPr>
        <w:t>Action 3.7: Developing options for climate and health monitoring, data and </w:t>
      </w:r>
      <w:proofErr w:type="gramStart"/>
      <w:r w:rsidRPr="00E8461E">
        <w:rPr>
          <w:lang w:val="en-GB"/>
        </w:rPr>
        <w:t>indicators</w:t>
      </w:r>
      <w:proofErr w:type="gramEnd"/>
    </w:p>
    <w:p w14:paraId="022AFC98" w14:textId="77777777" w:rsidR="00B75924" w:rsidRPr="00E8461E" w:rsidRDefault="00B75924" w:rsidP="00B75924">
      <w:pPr>
        <w:rPr>
          <w:lang w:val="en-GB"/>
        </w:rPr>
      </w:pPr>
      <w:r w:rsidRPr="00E8461E">
        <w:rPr>
          <w:lang w:val="en-GB"/>
        </w:rPr>
        <w:t>The Australian Government will work with relevant stakeholders to explore options for developing a framework for routine data collection, monitoring, and reporting on the impacts of climate change on population health and health system functioning. This will be based on World Health Organization guidance and will include indicators of (a) relevant determinants of health; (b) the association between climate-related exposures and climate-sensitive health outcomes; and (c) health system resilience. The Government will work with stakeholders to improve the availability, collection and reporting of data to support this work.</w:t>
      </w:r>
    </w:p>
    <w:p w14:paraId="4628F204" w14:textId="77777777" w:rsidR="00B75924" w:rsidRPr="00E8461E" w:rsidRDefault="00B75924" w:rsidP="00B75924">
      <w:pPr>
        <w:pStyle w:val="Heading3"/>
        <w:rPr>
          <w:lang w:val="en-GB"/>
        </w:rPr>
      </w:pPr>
      <w:r w:rsidRPr="00E8461E">
        <w:rPr>
          <w:lang w:val="en-GB"/>
        </w:rPr>
        <w:t>Action 3.8: Developing a National Health Emergency Response Plan</w:t>
      </w:r>
    </w:p>
    <w:p w14:paraId="2BD95009" w14:textId="77777777" w:rsidR="00B75924" w:rsidRPr="00E8461E" w:rsidRDefault="00B75924" w:rsidP="00B75924">
      <w:pPr>
        <w:rPr>
          <w:lang w:val="en-GB"/>
        </w:rPr>
      </w:pPr>
      <w:r w:rsidRPr="00E8461E">
        <w:rPr>
          <w:lang w:val="en-GB"/>
        </w:rPr>
        <w:t>The Australian Government will work with states and territories to develop an ‘all hazards’ National Health Emergency Response Plan, which will consider health emergencies for climate-related disasters and extreme weather events. This plan will update and consolidate existing health emergency response plans to provide a single source document to guide Australia’s response to, and recovery from, emergency incidents of national significance.</w:t>
      </w:r>
    </w:p>
    <w:p w14:paraId="4AE025D0" w14:textId="77777777" w:rsidR="00B75924" w:rsidRPr="00E8461E" w:rsidRDefault="00B75924" w:rsidP="00B75924">
      <w:pPr>
        <w:pStyle w:val="Heading3"/>
        <w:rPr>
          <w:lang w:val="en-GB"/>
        </w:rPr>
      </w:pPr>
      <w:r w:rsidRPr="00E8461E">
        <w:rPr>
          <w:lang w:val="en-GB"/>
        </w:rPr>
        <w:t xml:space="preserve">Action 3.9: Strengthening the role of primary care in emergency </w:t>
      </w:r>
      <w:proofErr w:type="gramStart"/>
      <w:r w:rsidRPr="00E8461E">
        <w:rPr>
          <w:lang w:val="en-GB"/>
        </w:rPr>
        <w:t>response</w:t>
      </w:r>
      <w:proofErr w:type="gramEnd"/>
    </w:p>
    <w:p w14:paraId="14176D6A" w14:textId="77777777" w:rsidR="00B75924" w:rsidRPr="00E8461E" w:rsidRDefault="00B75924" w:rsidP="00B75924">
      <w:pPr>
        <w:rPr>
          <w:lang w:val="en-GB"/>
        </w:rPr>
      </w:pPr>
      <w:r w:rsidRPr="00E8461E">
        <w:rPr>
          <w:lang w:val="en-GB"/>
        </w:rPr>
        <w:t>The Australian Government will work with relevant stakeholders to strengthen the resilience and availability of primary care during and after climate-related disasters and extreme events by strengthening the role of Primary Health Networks in emergency preparedness and response. This will involve:</w:t>
      </w:r>
    </w:p>
    <w:p w14:paraId="61CD2E9B" w14:textId="77777777" w:rsidR="00B75924" w:rsidRPr="00E8461E" w:rsidRDefault="00B75924" w:rsidP="00B72BA2">
      <w:pPr>
        <w:pStyle w:val="BulletUnindented"/>
      </w:pPr>
      <w:r w:rsidRPr="00E8461E">
        <w:t>Supporting Primary Health Networks to consider climate risks in the health needs assessment process and in planning and commissioning of local health services.</w:t>
      </w:r>
    </w:p>
    <w:p w14:paraId="1781EBDE" w14:textId="77777777" w:rsidR="00B75924" w:rsidRPr="00E8461E" w:rsidRDefault="00B75924" w:rsidP="00B72BA2">
      <w:pPr>
        <w:pStyle w:val="BulletUnindented"/>
      </w:pPr>
      <w:r w:rsidRPr="00E8461E">
        <w:t xml:space="preserve">Supporting Primary Health Networks to strengthen their functions in emergency preparedness, </w:t>
      </w:r>
      <w:proofErr w:type="gramStart"/>
      <w:r w:rsidRPr="00E8461E">
        <w:t>response</w:t>
      </w:r>
      <w:proofErr w:type="gramEnd"/>
      <w:r w:rsidRPr="00E8461E">
        <w:t xml:space="preserve"> and recovery. These functions encompass both:</w:t>
      </w:r>
    </w:p>
    <w:p w14:paraId="6E426B47" w14:textId="77777777" w:rsidR="00B75924" w:rsidRPr="00E8461E" w:rsidRDefault="00B75924" w:rsidP="00B72BA2">
      <w:pPr>
        <w:pStyle w:val="BulletIndent1"/>
      </w:pPr>
      <w:r w:rsidRPr="00E8461E">
        <w:t>Coordinating existing primary care services – for example, providing guidance and practical coordination and support to ensure continuity of access to relevant clinical care and preventive activities (including mental health support) during climate-related emergencies, particularly to communities in vulnerable </w:t>
      </w:r>
      <w:proofErr w:type="gramStart"/>
      <w:r w:rsidRPr="00E8461E">
        <w:t>situations</w:t>
      </w:r>
      <w:proofErr w:type="gramEnd"/>
    </w:p>
    <w:p w14:paraId="051A7583" w14:textId="77777777" w:rsidR="00B75924" w:rsidRPr="00E8461E" w:rsidRDefault="00B75924" w:rsidP="00B72BA2">
      <w:pPr>
        <w:pStyle w:val="BulletIndent1"/>
      </w:pPr>
      <w:r w:rsidRPr="00E8461E">
        <w:t>Commissioning new services to support additional community needs before, during, and after climate-related emergencies.</w:t>
      </w:r>
    </w:p>
    <w:p w14:paraId="631AD9A9" w14:textId="77777777" w:rsidR="00B75924" w:rsidRPr="00E8461E" w:rsidRDefault="00B75924" w:rsidP="00B72BA2">
      <w:pPr>
        <w:pStyle w:val="BulletUnindented"/>
      </w:pPr>
      <w:r w:rsidRPr="00E8461E">
        <w:t>Seeking to define clear roles for primary care and Primary Health Networks in emergency preparedness, response, and recovery activities – including by securing a role for Primary Health Networks in local incident response/command governance structures for climate-related emergencies.</w:t>
      </w:r>
    </w:p>
    <w:p w14:paraId="181D15A5" w14:textId="77777777" w:rsidR="00B75924" w:rsidRPr="00E8461E" w:rsidRDefault="00B75924" w:rsidP="00B72BA2">
      <w:pPr>
        <w:pStyle w:val="Heading3"/>
        <w:rPr>
          <w:lang w:val="en-GB"/>
        </w:rPr>
      </w:pPr>
      <w:r w:rsidRPr="00E8461E">
        <w:rPr>
          <w:lang w:val="en-GB"/>
        </w:rPr>
        <w:lastRenderedPageBreak/>
        <w:t>Action 3.10: Improving aged care emergency preparedness and response </w:t>
      </w:r>
      <w:proofErr w:type="gramStart"/>
      <w:r w:rsidRPr="00E8461E">
        <w:rPr>
          <w:lang w:val="en-GB"/>
        </w:rPr>
        <w:t>capability</w:t>
      </w:r>
      <w:proofErr w:type="gramEnd"/>
    </w:p>
    <w:p w14:paraId="2ED407FA" w14:textId="77777777" w:rsidR="00B75924" w:rsidRPr="00E8461E" w:rsidRDefault="00B75924" w:rsidP="00B75924">
      <w:pPr>
        <w:rPr>
          <w:lang w:val="en-GB"/>
        </w:rPr>
      </w:pPr>
      <w:r w:rsidRPr="00E8461E">
        <w:rPr>
          <w:lang w:val="en-GB"/>
        </w:rPr>
        <w:t>The Australian Government will take the following action to improve aged care emergency preparedness and response capability:</w:t>
      </w:r>
    </w:p>
    <w:p w14:paraId="1742BBAB" w14:textId="77777777" w:rsidR="00B75924" w:rsidRPr="00E8461E" w:rsidRDefault="00B75924" w:rsidP="00B72BA2">
      <w:pPr>
        <w:pStyle w:val="BulletUnindented"/>
      </w:pPr>
      <w:r w:rsidRPr="00E8461E">
        <w:t>Continue to provide guidance through effective communication to support aged care providers in emergency preparedness and response, with the expectation of increased frequency and severity of extreme weather events impacting on older people. This will be in conjunction with the Aged Care Quality and Safety Commission who has existing resourcing for direct engagement with aged care providers.</w:t>
      </w:r>
    </w:p>
    <w:p w14:paraId="76264B49" w14:textId="77777777" w:rsidR="00B75924" w:rsidRPr="00E8461E" w:rsidRDefault="00B75924" w:rsidP="00B72BA2">
      <w:pPr>
        <w:pStyle w:val="BulletUnindented"/>
      </w:pPr>
      <w:r w:rsidRPr="00E8461E">
        <w:t>Surveillance, monitoring and reporting of extreme weather events, with early identification of potential risks to quality of care to aged care residents, and timely information sharing when risks escalate, in collaboration with the Aged Care Quality and Safety Commission.</w:t>
      </w:r>
    </w:p>
    <w:p w14:paraId="36232A41" w14:textId="77777777" w:rsidR="00B75924" w:rsidRPr="00E8461E" w:rsidRDefault="00B75924" w:rsidP="00B72BA2">
      <w:pPr>
        <w:pStyle w:val="Heading3"/>
        <w:rPr>
          <w:lang w:val="en-GB"/>
        </w:rPr>
      </w:pPr>
      <w:r w:rsidRPr="00E8461E">
        <w:rPr>
          <w:lang w:val="en-GB"/>
        </w:rPr>
        <w:t>Action 3.11: Strengthening aged care quality </w:t>
      </w:r>
      <w:proofErr w:type="gramStart"/>
      <w:r w:rsidRPr="00E8461E">
        <w:rPr>
          <w:lang w:val="en-GB"/>
        </w:rPr>
        <w:t>standards</w:t>
      </w:r>
      <w:proofErr w:type="gramEnd"/>
    </w:p>
    <w:p w14:paraId="7E18C777" w14:textId="77777777" w:rsidR="00B75924" w:rsidRPr="00E8461E" w:rsidRDefault="00B75924" w:rsidP="00B75924">
      <w:pPr>
        <w:rPr>
          <w:lang w:val="en-GB"/>
        </w:rPr>
      </w:pPr>
      <w:r w:rsidRPr="00E8461E">
        <w:rPr>
          <w:lang w:val="en-GB"/>
        </w:rPr>
        <w:t>From July 2024, the new Aged Care Act will give effect to a strengthened set of Aged Care Quality Standards, which will include requirements for providers for (a) emergency and disaster management, and (b) managing environmental risks relevant to care and services for older people. The Australian Government and the Aged Care Quality and Safety Commission will work together to develop accompanying guidance and implementation support tools, including to reduce climate-related risks to older peoples’ health.</w:t>
      </w:r>
    </w:p>
    <w:p w14:paraId="17A927DA" w14:textId="77777777" w:rsidR="00B75924" w:rsidRPr="00E8461E" w:rsidRDefault="00B75924" w:rsidP="00B72BA2">
      <w:pPr>
        <w:pStyle w:val="Heading3"/>
        <w:rPr>
          <w:lang w:val="en-GB"/>
        </w:rPr>
      </w:pPr>
      <w:r w:rsidRPr="00E8461E">
        <w:rPr>
          <w:lang w:val="en-GB"/>
        </w:rPr>
        <w:t xml:space="preserve">Action 3.12: Introducing aged care design principles and </w:t>
      </w:r>
      <w:proofErr w:type="gramStart"/>
      <w:r w:rsidRPr="00E8461E">
        <w:rPr>
          <w:lang w:val="en-GB"/>
        </w:rPr>
        <w:t>guidelines</w:t>
      </w:r>
      <w:proofErr w:type="gramEnd"/>
    </w:p>
    <w:p w14:paraId="4F6AA758" w14:textId="77777777" w:rsidR="00B75924" w:rsidRPr="00E8461E" w:rsidRDefault="00B75924" w:rsidP="00B75924">
      <w:pPr>
        <w:rPr>
          <w:lang w:val="en-GB"/>
        </w:rPr>
      </w:pPr>
      <w:r w:rsidRPr="00E8461E">
        <w:rPr>
          <w:lang w:val="en-GB"/>
        </w:rPr>
        <w:t>From 2024, the Australian Government will introduce the National Aged Care Design Principles and Guidelines, which will include considering environmental sustainability and options for climate resilience when designing aged care homes.</w:t>
      </w:r>
    </w:p>
    <w:p w14:paraId="49A2A9F1" w14:textId="77777777" w:rsidR="00B75924" w:rsidRPr="00E8461E" w:rsidRDefault="00B75924" w:rsidP="00B72BA2">
      <w:pPr>
        <w:pStyle w:val="Heading2"/>
        <w:rPr>
          <w:lang w:val="en-GB"/>
        </w:rPr>
      </w:pPr>
      <w:r w:rsidRPr="00E8461E">
        <w:rPr>
          <w:lang w:val="en-GB"/>
        </w:rPr>
        <w:t>Chapter 4 actions</w:t>
      </w:r>
    </w:p>
    <w:p w14:paraId="005E6DA1" w14:textId="77777777" w:rsidR="00B75924" w:rsidRPr="00E8461E" w:rsidRDefault="00B75924" w:rsidP="00B72BA2">
      <w:pPr>
        <w:pStyle w:val="Heading3"/>
        <w:rPr>
          <w:lang w:val="en-GB"/>
        </w:rPr>
      </w:pPr>
      <w:r w:rsidRPr="00E8461E">
        <w:rPr>
          <w:lang w:val="en-GB"/>
        </w:rPr>
        <w:t>Action 4.1: Reporting of estimates of health system greenhouse gas emissions</w:t>
      </w:r>
    </w:p>
    <w:p w14:paraId="41A05C41" w14:textId="77777777" w:rsidR="00B75924" w:rsidRPr="00E8461E" w:rsidRDefault="00B75924" w:rsidP="00B75924">
      <w:pPr>
        <w:rPr>
          <w:lang w:val="en-GB"/>
        </w:rPr>
      </w:pPr>
      <w:r w:rsidRPr="00E8461E">
        <w:rPr>
          <w:lang w:val="en-GB"/>
        </w:rPr>
        <w:t xml:space="preserve">The Australian Government will publish baseline emissions estimates for the health system (inclusive of health and aged care) in 2024 and will seek to publish regular emissions estimates thereafter to track progress in emissions mitigation efforts. To the greatest extent possible, emission estimates will be drawn from Australia’s National Greenhouse Accounts or based on methods and factors consistent with those Accounts. Where practicable, estimates will be disaggregated by source, scope, </w:t>
      </w:r>
      <w:proofErr w:type="gramStart"/>
      <w:r w:rsidRPr="00E8461E">
        <w:rPr>
          <w:lang w:val="en-GB"/>
        </w:rPr>
        <w:t>state</w:t>
      </w:r>
      <w:proofErr w:type="gramEnd"/>
      <w:r w:rsidRPr="00E8461E">
        <w:rPr>
          <w:lang w:val="en-GB"/>
        </w:rPr>
        <w:t xml:space="preserve"> or territory and whether the emissions occurred within or outside Australia.</w:t>
      </w:r>
    </w:p>
    <w:p w14:paraId="40000E3E" w14:textId="77777777" w:rsidR="00B75924" w:rsidRPr="00E8461E" w:rsidRDefault="00B75924" w:rsidP="00B72BA2">
      <w:pPr>
        <w:pStyle w:val="Heading3"/>
        <w:rPr>
          <w:lang w:val="en-GB"/>
        </w:rPr>
      </w:pPr>
      <w:r w:rsidRPr="00E8461E">
        <w:rPr>
          <w:lang w:val="en-GB"/>
        </w:rPr>
        <w:t xml:space="preserve">Action 4.2: Alignment of approaches to reporting health system greenhouse gas </w:t>
      </w:r>
      <w:proofErr w:type="gramStart"/>
      <w:r w:rsidRPr="00E8461E">
        <w:rPr>
          <w:lang w:val="en-GB"/>
        </w:rPr>
        <w:t>emissions</w:t>
      </w:r>
      <w:proofErr w:type="gramEnd"/>
    </w:p>
    <w:p w14:paraId="5D2F4693" w14:textId="77777777" w:rsidR="00B75924" w:rsidRPr="00E8461E" w:rsidRDefault="00B75924" w:rsidP="00B75924">
      <w:pPr>
        <w:rPr>
          <w:lang w:val="en-GB"/>
        </w:rPr>
      </w:pPr>
      <w:r w:rsidRPr="00E8461E">
        <w:rPr>
          <w:lang w:val="en-GB"/>
        </w:rPr>
        <w:t>The Australian Government will work together with state and territory health departments to align emissions estimation approaches by state and territory health systems, leveraging, to the extent possible, National Greenhouse Accounts methods and frameworks and data already reported by states and territories through their own reporting mechanisms.</w:t>
      </w:r>
    </w:p>
    <w:p w14:paraId="79B35E60" w14:textId="77777777" w:rsidR="00B75924" w:rsidRPr="00E8461E" w:rsidRDefault="00B75924" w:rsidP="00B72BA2">
      <w:pPr>
        <w:pStyle w:val="Heading3"/>
        <w:rPr>
          <w:lang w:val="en-GB"/>
        </w:rPr>
      </w:pPr>
      <w:r w:rsidRPr="00E8461E">
        <w:rPr>
          <w:lang w:val="en-GB"/>
        </w:rPr>
        <w:lastRenderedPageBreak/>
        <w:t>Action 4.3: Establishing a national health system emissions reduction </w:t>
      </w:r>
      <w:proofErr w:type="gramStart"/>
      <w:r w:rsidRPr="00E8461E">
        <w:rPr>
          <w:lang w:val="en-GB"/>
        </w:rPr>
        <w:t>trajectory</w:t>
      </w:r>
      <w:proofErr w:type="gramEnd"/>
    </w:p>
    <w:p w14:paraId="71387512" w14:textId="77777777" w:rsidR="00B75924" w:rsidRPr="00E8461E" w:rsidRDefault="00B75924" w:rsidP="00B75924">
      <w:pPr>
        <w:rPr>
          <w:lang w:val="en-GB"/>
        </w:rPr>
      </w:pPr>
      <w:r w:rsidRPr="00E8461E">
        <w:rPr>
          <w:lang w:val="en-GB"/>
        </w:rPr>
        <w:t>The Australian Government will seek to negotiate a national emissions reduction trajectory for the Australian health system. The trajectory will encompass all levels of the health system (inclusive of aged care) and will encompass scope 1, scope 2 and scope 3 emissions and build on existing state and territory trajectories.</w:t>
      </w:r>
    </w:p>
    <w:p w14:paraId="1DF01878" w14:textId="77777777" w:rsidR="00B75924" w:rsidRPr="00E8461E" w:rsidRDefault="00B75924" w:rsidP="00B72BA2">
      <w:pPr>
        <w:pStyle w:val="Heading3"/>
        <w:rPr>
          <w:lang w:val="en-GB"/>
        </w:rPr>
      </w:pPr>
      <w:r w:rsidRPr="00E8461E">
        <w:rPr>
          <w:lang w:val="en-GB"/>
        </w:rPr>
        <w:t xml:space="preserve">Action 4.4: Developing a health system decarbonisation </w:t>
      </w:r>
      <w:proofErr w:type="gramStart"/>
      <w:r w:rsidRPr="00E8461E">
        <w:rPr>
          <w:lang w:val="en-GB"/>
        </w:rPr>
        <w:t>roadmap</w:t>
      </w:r>
      <w:proofErr w:type="gramEnd"/>
    </w:p>
    <w:p w14:paraId="1EE780D9" w14:textId="77777777" w:rsidR="00B75924" w:rsidRPr="00E8461E" w:rsidRDefault="00B75924" w:rsidP="00B75924">
      <w:pPr>
        <w:rPr>
          <w:lang w:val="en-GB"/>
        </w:rPr>
      </w:pPr>
      <w:r w:rsidRPr="00E8461E">
        <w:rPr>
          <w:lang w:val="en-GB"/>
        </w:rPr>
        <w:t xml:space="preserve">By 2025, the Australian Government will develop a health system decarbonisation roadmap encompassing all levels of the health system (inclusive of aged care). The roadmap will encompass scope 1, 2 and 3 emissions as well as patient travel, and will be developed in alignment with the Australia-wide Net Zero 2050 plan and state and territory strategies and plans. The Government will seek to develop the roadmap in partnership with stakeholders in state and territory health systems, and invite participation by private providers, </w:t>
      </w:r>
      <w:proofErr w:type="gramStart"/>
      <w:r w:rsidRPr="00E8461E">
        <w:rPr>
          <w:lang w:val="en-GB"/>
        </w:rPr>
        <w:t>industry</w:t>
      </w:r>
      <w:proofErr w:type="gramEnd"/>
      <w:r w:rsidRPr="00E8461E">
        <w:rPr>
          <w:lang w:val="en-GB"/>
        </w:rPr>
        <w:t xml:space="preserve"> and suppliers.</w:t>
      </w:r>
    </w:p>
    <w:p w14:paraId="3246C2B9" w14:textId="77777777" w:rsidR="00B75924" w:rsidRPr="00E8461E" w:rsidRDefault="00B75924" w:rsidP="00B72BA2">
      <w:pPr>
        <w:pStyle w:val="Heading3"/>
        <w:rPr>
          <w:lang w:val="en-GB"/>
        </w:rPr>
      </w:pPr>
      <w:r w:rsidRPr="00E8461E">
        <w:rPr>
          <w:lang w:val="en-GB"/>
        </w:rPr>
        <w:t>Action 4.5: New sustainability and climate resilience standards for health service organisations</w:t>
      </w:r>
    </w:p>
    <w:p w14:paraId="5FA90E65" w14:textId="77777777" w:rsidR="00B75924" w:rsidRPr="00E8461E" w:rsidRDefault="00B75924" w:rsidP="00B75924">
      <w:pPr>
        <w:rPr>
          <w:lang w:val="en-GB"/>
        </w:rPr>
      </w:pPr>
      <w:r w:rsidRPr="00E8461E">
        <w:rPr>
          <w:lang w:val="en-GB"/>
        </w:rPr>
        <w:t>In 2024, the Australian Commission on Safety and Quality in Health Care will, with input from the Australian Government and states and territories, pilot the Environmental Sustainability and Climate Resilience Healthcare Module – a framework of action focused on environmental sustainability and building climate resilience. Implementation of the Module will inform action in future national safety and quality standards developed by the Commission.</w:t>
      </w:r>
    </w:p>
    <w:p w14:paraId="739A14B3" w14:textId="77777777" w:rsidR="00B75924" w:rsidRPr="00E8461E" w:rsidRDefault="00B75924" w:rsidP="00B72BA2">
      <w:pPr>
        <w:pStyle w:val="Heading3"/>
        <w:rPr>
          <w:lang w:val="en-GB"/>
        </w:rPr>
      </w:pPr>
      <w:r w:rsidRPr="00E8461E">
        <w:rPr>
          <w:lang w:val="en-GB"/>
        </w:rPr>
        <w:t xml:space="preserve">Action 4.6: Tackling unwarranted variations in clinical </w:t>
      </w:r>
      <w:proofErr w:type="gramStart"/>
      <w:r w:rsidRPr="00E8461E">
        <w:rPr>
          <w:lang w:val="en-GB"/>
        </w:rPr>
        <w:t>governance</w:t>
      </w:r>
      <w:proofErr w:type="gramEnd"/>
    </w:p>
    <w:p w14:paraId="79191953" w14:textId="77777777" w:rsidR="00B75924" w:rsidRPr="00E8461E" w:rsidRDefault="00B75924" w:rsidP="00B75924">
      <w:pPr>
        <w:rPr>
          <w:lang w:val="en-GB"/>
        </w:rPr>
      </w:pPr>
      <w:r w:rsidRPr="00E8461E">
        <w:rPr>
          <w:lang w:val="en-GB"/>
        </w:rPr>
        <w:t>The Australian Commission on Safety and Quality in Health Care will develop guidance for health service organisations’ governing bodies and leadership teams on the delivery of appropriate, high value care, focusing on reducing unwarranted healthcare variation and low value care by prescribing:</w:t>
      </w:r>
    </w:p>
    <w:p w14:paraId="52ED808F" w14:textId="77777777" w:rsidR="00B75924" w:rsidRPr="00E8461E" w:rsidRDefault="00B75924" w:rsidP="00B72BA2">
      <w:pPr>
        <w:pStyle w:val="BulletUnindented"/>
      </w:pPr>
      <w:r w:rsidRPr="00E8461E">
        <w:t xml:space="preserve">Model roles, responsibilities and accountabilities of members of governing bodies and leadership teams for delivering appropriate </w:t>
      </w:r>
      <w:proofErr w:type="gramStart"/>
      <w:r w:rsidRPr="00E8461E">
        <w:t>care</w:t>
      </w:r>
      <w:proofErr w:type="gramEnd"/>
    </w:p>
    <w:p w14:paraId="7C69CE14" w14:textId="77777777" w:rsidR="00B75924" w:rsidRPr="00E8461E" w:rsidRDefault="00B75924" w:rsidP="00B72BA2">
      <w:pPr>
        <w:pStyle w:val="BulletUnindented"/>
      </w:pPr>
      <w:r w:rsidRPr="00E8461E">
        <w:t xml:space="preserve">Approaches to identify, measure and address unwarranted healthcare variation in line with an organisation’s risk management </w:t>
      </w:r>
      <w:proofErr w:type="gramStart"/>
      <w:r w:rsidRPr="00E8461E">
        <w:t>framework</w:t>
      </w:r>
      <w:proofErr w:type="gramEnd"/>
    </w:p>
    <w:p w14:paraId="0213D732" w14:textId="77777777" w:rsidR="00B75924" w:rsidRPr="00E8461E" w:rsidRDefault="00B75924" w:rsidP="00B72BA2">
      <w:pPr>
        <w:pStyle w:val="BulletUnindented"/>
      </w:pPr>
      <w:r w:rsidRPr="00E8461E">
        <w:t xml:space="preserve">A framework to invest, disinvest and reinvest resources to improve outcomes and shift resources from lower value to higher value </w:t>
      </w:r>
      <w:proofErr w:type="gramStart"/>
      <w:r w:rsidRPr="00E8461E">
        <w:t>activity</w:t>
      </w:r>
      <w:proofErr w:type="gramEnd"/>
    </w:p>
    <w:p w14:paraId="4E334B71" w14:textId="77777777" w:rsidR="00B75924" w:rsidRPr="00E8461E" w:rsidRDefault="00B75924" w:rsidP="00B72BA2">
      <w:pPr>
        <w:pStyle w:val="BulletUnindented"/>
      </w:pPr>
      <w:r w:rsidRPr="00E8461E">
        <w:t>Strategies to support monitoring and evaluation of local approaches to reducing low value care.</w:t>
      </w:r>
    </w:p>
    <w:p w14:paraId="20E20353" w14:textId="77777777" w:rsidR="00B75924" w:rsidRPr="00E8461E" w:rsidRDefault="00B75924" w:rsidP="00B72BA2">
      <w:pPr>
        <w:pStyle w:val="Heading3"/>
        <w:rPr>
          <w:lang w:val="en-GB"/>
        </w:rPr>
      </w:pPr>
      <w:r w:rsidRPr="00E8461E">
        <w:rPr>
          <w:lang w:val="en-GB"/>
        </w:rPr>
        <w:t xml:space="preserve">Action 4.7: Tackling unwarranted variations with health service </w:t>
      </w:r>
      <w:proofErr w:type="gramStart"/>
      <w:r w:rsidRPr="00E8461E">
        <w:rPr>
          <w:lang w:val="en-GB"/>
        </w:rPr>
        <w:t>organisations</w:t>
      </w:r>
      <w:proofErr w:type="gramEnd"/>
    </w:p>
    <w:p w14:paraId="19A64665" w14:textId="77777777" w:rsidR="00B75924" w:rsidRPr="00E8461E" w:rsidRDefault="00B75924" w:rsidP="00B75924">
      <w:pPr>
        <w:rPr>
          <w:lang w:val="en-GB"/>
        </w:rPr>
      </w:pPr>
      <w:r w:rsidRPr="00E8461E">
        <w:rPr>
          <w:lang w:val="en-GB"/>
        </w:rPr>
        <w:t>The Australian Commission on Safety and Quality in Health Care and the Australian Government will work together to identify opportunities to support health service organisations reduce unwarranted healthcare variation and low value care by:</w:t>
      </w:r>
    </w:p>
    <w:p w14:paraId="1AE74FDC" w14:textId="77777777" w:rsidR="00B75924" w:rsidRPr="00E8461E" w:rsidRDefault="00B75924" w:rsidP="00B72BA2">
      <w:pPr>
        <w:pStyle w:val="BulletUnindented"/>
      </w:pPr>
      <w:r w:rsidRPr="00E8461E">
        <w:t xml:space="preserve">Identifying clinical priority areas where there is evidence of low value care or unwarranted healthcare variation and take action to align care with evidence-based </w:t>
      </w:r>
      <w:proofErr w:type="gramStart"/>
      <w:r w:rsidRPr="00E8461E">
        <w:t>practice</w:t>
      </w:r>
      <w:proofErr w:type="gramEnd"/>
    </w:p>
    <w:p w14:paraId="36EF631E" w14:textId="77777777" w:rsidR="00B75924" w:rsidRPr="00E8461E" w:rsidRDefault="00B75924" w:rsidP="00B72BA2">
      <w:pPr>
        <w:pStyle w:val="BulletUnindented"/>
      </w:pPr>
      <w:r w:rsidRPr="00E8461E">
        <w:t xml:space="preserve">Developing measures to review the appropriateness of healthcare delivery with patient-reported outcome measures and patient-reported experience </w:t>
      </w:r>
      <w:proofErr w:type="gramStart"/>
      <w:r w:rsidRPr="00E8461E">
        <w:t>measures</w:t>
      </w:r>
      <w:proofErr w:type="gramEnd"/>
    </w:p>
    <w:p w14:paraId="18BA5895" w14:textId="77777777" w:rsidR="00B75924" w:rsidRPr="00E8461E" w:rsidRDefault="00B75924" w:rsidP="00B72BA2">
      <w:pPr>
        <w:pStyle w:val="BulletUnindented"/>
      </w:pPr>
      <w:r w:rsidRPr="00E8461E">
        <w:lastRenderedPageBreak/>
        <w:t xml:space="preserve">Describing stewardship programs for the quality use of medicines to reduce overuse and inappropriate </w:t>
      </w:r>
      <w:proofErr w:type="gramStart"/>
      <w:r w:rsidRPr="00E8461E">
        <w:t>prescribing</w:t>
      </w:r>
      <w:proofErr w:type="gramEnd"/>
    </w:p>
    <w:p w14:paraId="3FE50812" w14:textId="77777777" w:rsidR="00B75924" w:rsidRPr="00E8461E" w:rsidRDefault="00B75924" w:rsidP="00B72BA2">
      <w:pPr>
        <w:pStyle w:val="BulletUnindented"/>
      </w:pPr>
      <w:r w:rsidRPr="00E8461E">
        <w:t>Developing a framework and tools to monitor and evaluate systems for providing and improving the appropriateness of care.</w:t>
      </w:r>
    </w:p>
    <w:p w14:paraId="5073805E" w14:textId="77777777" w:rsidR="00B75924" w:rsidRPr="00E8461E" w:rsidRDefault="00B75924" w:rsidP="00B72BA2">
      <w:pPr>
        <w:pStyle w:val="Heading3"/>
        <w:rPr>
          <w:lang w:val="en-GB"/>
        </w:rPr>
      </w:pPr>
      <w:r w:rsidRPr="00E8461E">
        <w:rPr>
          <w:lang w:val="en-GB"/>
        </w:rPr>
        <w:t xml:space="preserve">Action 4.8: Developing a framework for reducing emissions by optimising models of </w:t>
      </w:r>
      <w:proofErr w:type="gramStart"/>
      <w:r w:rsidRPr="00E8461E">
        <w:rPr>
          <w:lang w:val="en-GB"/>
        </w:rPr>
        <w:t>care</w:t>
      </w:r>
      <w:proofErr w:type="gramEnd"/>
    </w:p>
    <w:p w14:paraId="7A106A37" w14:textId="77777777" w:rsidR="00B75924" w:rsidRPr="00E8461E" w:rsidRDefault="00B75924" w:rsidP="00B75924">
      <w:pPr>
        <w:rPr>
          <w:lang w:val="en-GB"/>
        </w:rPr>
      </w:pPr>
      <w:r w:rsidRPr="00E8461E">
        <w:rPr>
          <w:lang w:val="en-GB"/>
        </w:rPr>
        <w:t>The Australian Government will work with professional bodies to develop and pilot a framework for mapping emissions hotspots across patient care pathways of clinical specialties and the National Health Priority Areas to identify opportunities to reduce emissions while optimising patient care. This will build on the framework planned for development by the National Health Service in England.</w:t>
      </w:r>
    </w:p>
    <w:p w14:paraId="62C7B88A" w14:textId="77777777" w:rsidR="00B75924" w:rsidRPr="00E8461E" w:rsidRDefault="00B75924" w:rsidP="00B72BA2">
      <w:pPr>
        <w:pStyle w:val="Heading3"/>
        <w:rPr>
          <w:lang w:val="en-GB"/>
        </w:rPr>
      </w:pPr>
      <w:r w:rsidRPr="00E8461E">
        <w:rPr>
          <w:lang w:val="en-GB"/>
        </w:rPr>
        <w:t>Action 4.9: Expanding use of NABERS ratings for health and aged care </w:t>
      </w:r>
      <w:proofErr w:type="gramStart"/>
      <w:r w:rsidRPr="00E8461E">
        <w:rPr>
          <w:lang w:val="en-GB"/>
        </w:rPr>
        <w:t>facilities</w:t>
      </w:r>
      <w:proofErr w:type="gramEnd"/>
    </w:p>
    <w:p w14:paraId="22FF6A04" w14:textId="77777777" w:rsidR="00B75924" w:rsidRPr="00E8461E" w:rsidRDefault="00B75924" w:rsidP="00B75924">
      <w:pPr>
        <w:rPr>
          <w:lang w:val="en-GB"/>
        </w:rPr>
      </w:pPr>
      <w:r w:rsidRPr="00E8461E">
        <w:rPr>
          <w:lang w:val="en-GB"/>
        </w:rPr>
        <w:t>The Australian Government will consider:</w:t>
      </w:r>
    </w:p>
    <w:p w14:paraId="3B92D3CD" w14:textId="77777777" w:rsidR="00B75924" w:rsidRPr="00E8461E" w:rsidRDefault="00B75924" w:rsidP="00B72BA2">
      <w:pPr>
        <w:pStyle w:val="BulletUnindented"/>
      </w:pPr>
      <w:r w:rsidRPr="00E8461E">
        <w:t>Expanding the use and public reporting of National Australian Built Environment Rating System for public hospitals and residential aged care</w:t>
      </w:r>
    </w:p>
    <w:p w14:paraId="0AD429BB" w14:textId="77777777" w:rsidR="00B75924" w:rsidRPr="00E8461E" w:rsidRDefault="00B75924" w:rsidP="00B72BA2">
      <w:pPr>
        <w:pStyle w:val="BulletUnindented"/>
      </w:pPr>
      <w:r w:rsidRPr="00E8461E">
        <w:t>Developing and implementing National Australian Built Environment Rating System tools for private hospitals and medical centres.</w:t>
      </w:r>
    </w:p>
    <w:p w14:paraId="08519EA3" w14:textId="77777777" w:rsidR="00B75924" w:rsidRPr="00E8461E" w:rsidRDefault="00B75924" w:rsidP="00B72BA2">
      <w:pPr>
        <w:pStyle w:val="Heading3"/>
        <w:rPr>
          <w:lang w:val="en-GB"/>
        </w:rPr>
      </w:pPr>
      <w:r w:rsidRPr="00E8461E">
        <w:rPr>
          <w:lang w:val="en-GB"/>
        </w:rPr>
        <w:t>Action 4.10: Moving towards zero emissions </w:t>
      </w:r>
      <w:proofErr w:type="gramStart"/>
      <w:r w:rsidRPr="00E8461E">
        <w:rPr>
          <w:lang w:val="en-GB"/>
        </w:rPr>
        <w:t>buildings</w:t>
      </w:r>
      <w:proofErr w:type="gramEnd"/>
    </w:p>
    <w:p w14:paraId="3E3F936E" w14:textId="77777777" w:rsidR="00B75924" w:rsidRPr="00E8461E" w:rsidRDefault="00B75924" w:rsidP="00B75924">
      <w:pPr>
        <w:rPr>
          <w:lang w:val="en-GB"/>
        </w:rPr>
      </w:pPr>
      <w:r w:rsidRPr="00E8461E">
        <w:rPr>
          <w:lang w:val="en-GB"/>
        </w:rPr>
        <w:t>The Australian Government and the Australian Building Codes Board will work together to consider possible changes to the commercial building energy efficiency requirements in the National Construction Code. The changes are intended to support the Government’s energy and greenhouse gas policies, including the 2050 net zero target. If agreed by Building Ministers, the new requirements will apply to hospitals and other health and aged care facilities.</w:t>
      </w:r>
    </w:p>
    <w:p w14:paraId="2807AFFD" w14:textId="77777777" w:rsidR="00B75924" w:rsidRPr="00E8461E" w:rsidRDefault="00B75924" w:rsidP="00B72BA2">
      <w:pPr>
        <w:pStyle w:val="Heading3"/>
        <w:rPr>
          <w:lang w:val="en-GB"/>
        </w:rPr>
      </w:pPr>
      <w:r w:rsidRPr="00E8461E">
        <w:rPr>
          <w:lang w:val="en-GB"/>
        </w:rPr>
        <w:t xml:space="preserve">Action 4.11: Sharing best practice in reducing ambulance </w:t>
      </w:r>
      <w:proofErr w:type="gramStart"/>
      <w:r w:rsidRPr="00E8461E">
        <w:rPr>
          <w:lang w:val="en-GB"/>
        </w:rPr>
        <w:t>emissions</w:t>
      </w:r>
      <w:proofErr w:type="gramEnd"/>
    </w:p>
    <w:p w14:paraId="49F74C42" w14:textId="77777777" w:rsidR="00B75924" w:rsidRPr="00E8461E" w:rsidRDefault="00B75924" w:rsidP="00B75924">
      <w:pPr>
        <w:rPr>
          <w:lang w:val="en-GB"/>
        </w:rPr>
      </w:pPr>
      <w:r w:rsidRPr="00E8461E">
        <w:rPr>
          <w:lang w:val="en-GB"/>
        </w:rPr>
        <w:t>The Australian Government and the Council of Ambulance Authorities will work together to promote knowledge sharing and data collection among state and territory ambulance services and other patient transport providers, also drawing on international experience, to adopt best practices in reducing emissions from ambulance services and to measure and report on progress.</w:t>
      </w:r>
    </w:p>
    <w:p w14:paraId="2F356787" w14:textId="77777777" w:rsidR="00B75924" w:rsidRPr="00E8461E" w:rsidRDefault="00B75924" w:rsidP="00B72BA2">
      <w:pPr>
        <w:pStyle w:val="Heading3"/>
        <w:rPr>
          <w:lang w:val="en-GB"/>
        </w:rPr>
      </w:pPr>
      <w:r w:rsidRPr="00E8461E">
        <w:rPr>
          <w:lang w:val="en-GB"/>
        </w:rPr>
        <w:t>Action 4.12: Reducing emissions from </w:t>
      </w:r>
      <w:proofErr w:type="gramStart"/>
      <w:r w:rsidRPr="00E8461E">
        <w:rPr>
          <w:lang w:val="en-GB"/>
        </w:rPr>
        <w:t>desflurane</w:t>
      </w:r>
      <w:proofErr w:type="gramEnd"/>
    </w:p>
    <w:p w14:paraId="2ED180EF" w14:textId="77777777" w:rsidR="00B75924" w:rsidRPr="00E8461E" w:rsidRDefault="00B75924" w:rsidP="00B75924">
      <w:pPr>
        <w:rPr>
          <w:lang w:val="en-GB"/>
        </w:rPr>
      </w:pPr>
      <w:r w:rsidRPr="00E8461E">
        <w:rPr>
          <w:lang w:val="en-GB"/>
        </w:rPr>
        <w:t>The Australian Government will work with the Australian and New Zealand College of Anaesthetists, the Australian Society of Anaesthetists and states and territories to significantly reduce use of desflurane, including by agreeing a date by which its use will be phased out.</w:t>
      </w:r>
    </w:p>
    <w:p w14:paraId="364C10F7" w14:textId="77777777" w:rsidR="00B75924" w:rsidRPr="00E8461E" w:rsidRDefault="00B75924" w:rsidP="00B72BA2">
      <w:pPr>
        <w:pStyle w:val="Heading3"/>
        <w:rPr>
          <w:lang w:val="en-GB"/>
        </w:rPr>
      </w:pPr>
      <w:r w:rsidRPr="00E8461E">
        <w:rPr>
          <w:lang w:val="en-GB"/>
        </w:rPr>
        <w:t>Action 4.13: Reducing emissions from nitrous </w:t>
      </w:r>
      <w:proofErr w:type="gramStart"/>
      <w:r w:rsidRPr="00E8461E">
        <w:rPr>
          <w:lang w:val="en-GB"/>
        </w:rPr>
        <w:t>oxide</w:t>
      </w:r>
      <w:proofErr w:type="gramEnd"/>
    </w:p>
    <w:p w14:paraId="1F3399CA" w14:textId="77777777" w:rsidR="00B75924" w:rsidRPr="00E8461E" w:rsidRDefault="00B75924" w:rsidP="00B75924">
      <w:pPr>
        <w:rPr>
          <w:lang w:val="en-GB"/>
        </w:rPr>
      </w:pPr>
      <w:r w:rsidRPr="00E8461E">
        <w:rPr>
          <w:lang w:val="en-GB"/>
        </w:rPr>
        <w:t>The Australian Government will work with the Australasian College for Emergency Medicine, the Australian and New Zealand College of Anaesthetists, the Australian Society of Anaesthetists, the Australian Nursing and Midwifery Federation, the Royal Australian and New Zealand College of Obstetricians and Gynaecologists, states, territories, industry and suppliers to improve patient care, protect health care staff and reduce greenhouse gas emissions from nitrous oxide gas, both by reducing wastage from leaks and venting and by educating on appropriate use.</w:t>
      </w:r>
    </w:p>
    <w:p w14:paraId="199FADDB" w14:textId="77777777" w:rsidR="00B75924" w:rsidRPr="00E8461E" w:rsidRDefault="00B75924" w:rsidP="00B72BA2">
      <w:pPr>
        <w:pStyle w:val="Heading3"/>
        <w:rPr>
          <w:lang w:val="en-GB"/>
        </w:rPr>
      </w:pPr>
      <w:r w:rsidRPr="00E8461E">
        <w:rPr>
          <w:lang w:val="en-GB"/>
        </w:rPr>
        <w:lastRenderedPageBreak/>
        <w:t xml:space="preserve">Action 4.14: Reducing emissions from respiratory </w:t>
      </w:r>
      <w:proofErr w:type="gramStart"/>
      <w:r w:rsidRPr="00E8461E">
        <w:rPr>
          <w:lang w:val="en-GB"/>
        </w:rPr>
        <w:t>inhalers</w:t>
      </w:r>
      <w:proofErr w:type="gramEnd"/>
    </w:p>
    <w:p w14:paraId="1DDD6B60" w14:textId="77777777" w:rsidR="00B75924" w:rsidRPr="00E8461E" w:rsidRDefault="00B75924" w:rsidP="00B75924">
      <w:pPr>
        <w:rPr>
          <w:lang w:val="en-GB"/>
        </w:rPr>
      </w:pPr>
      <w:r w:rsidRPr="00E8461E">
        <w:rPr>
          <w:lang w:val="en-GB"/>
        </w:rPr>
        <w:t xml:space="preserve">The Australian Government will work with Asthma Australia, National Asthma Council of Australia, Lung Foundation of Australia, Thoracic Society of Australia and New Zealand, Royal Australian College of General </w:t>
      </w:r>
      <w:proofErr w:type="gramStart"/>
      <w:r w:rsidRPr="00E8461E">
        <w:rPr>
          <w:lang w:val="en-GB"/>
        </w:rPr>
        <w:t>Practitioners</w:t>
      </w:r>
      <w:proofErr w:type="gramEnd"/>
      <w:r w:rsidRPr="00E8461E">
        <w:rPr>
          <w:lang w:val="en-GB"/>
        </w:rPr>
        <w:t xml:space="preserve"> and industry to improve respiratory health outcomes and reduce greenhouse gas emissions from respiratory inhalers.</w:t>
      </w:r>
    </w:p>
    <w:p w14:paraId="526CF9EC" w14:textId="77777777" w:rsidR="00B75924" w:rsidRPr="00E8461E" w:rsidRDefault="00B75924" w:rsidP="00B72BA2">
      <w:pPr>
        <w:pStyle w:val="Heading3"/>
        <w:rPr>
          <w:lang w:val="en-GB"/>
        </w:rPr>
      </w:pPr>
      <w:r w:rsidRPr="00E8461E">
        <w:rPr>
          <w:lang w:val="en-GB"/>
        </w:rPr>
        <w:t>Action 4.15: Review of nutrition standards in health care</w:t>
      </w:r>
    </w:p>
    <w:p w14:paraId="39BCA77B" w14:textId="77777777" w:rsidR="00B75924" w:rsidRPr="00E8461E" w:rsidRDefault="00B75924" w:rsidP="00B75924">
      <w:pPr>
        <w:rPr>
          <w:lang w:val="en-GB"/>
        </w:rPr>
      </w:pPr>
      <w:r w:rsidRPr="00E8461E">
        <w:rPr>
          <w:lang w:val="en-GB"/>
        </w:rPr>
        <w:t xml:space="preserve">The Australian Government will commission and publish a review of how sustainability is currently considered in state and territory policies on food access, </w:t>
      </w:r>
      <w:proofErr w:type="gramStart"/>
      <w:r w:rsidRPr="00E8461E">
        <w:rPr>
          <w:lang w:val="en-GB"/>
        </w:rPr>
        <w:t>availability</w:t>
      </w:r>
      <w:proofErr w:type="gramEnd"/>
      <w:r w:rsidRPr="00E8461E">
        <w:rPr>
          <w:lang w:val="en-GB"/>
        </w:rPr>
        <w:t xml:space="preserve"> and procurement in hospitals, and may consider relevant policies internationally. This review could inform guidance on food provision with the public hospital system.</w:t>
      </w:r>
    </w:p>
    <w:p w14:paraId="1571DDDF" w14:textId="77777777" w:rsidR="00B75924" w:rsidRPr="00E8461E" w:rsidRDefault="00B75924" w:rsidP="00B72BA2">
      <w:pPr>
        <w:pStyle w:val="Heading3"/>
        <w:rPr>
          <w:lang w:val="en-GB"/>
        </w:rPr>
      </w:pPr>
      <w:r w:rsidRPr="00E8461E">
        <w:rPr>
          <w:lang w:val="en-GB"/>
        </w:rPr>
        <w:t xml:space="preserve">Action 4.16: Supporting the systematic implementation of waste reduction </w:t>
      </w:r>
      <w:proofErr w:type="gramStart"/>
      <w:r w:rsidRPr="00E8461E">
        <w:rPr>
          <w:lang w:val="en-GB"/>
        </w:rPr>
        <w:t>action</w:t>
      </w:r>
      <w:proofErr w:type="gramEnd"/>
    </w:p>
    <w:p w14:paraId="4C5972BA" w14:textId="77777777" w:rsidR="00B75924" w:rsidRPr="00E8461E" w:rsidRDefault="00B75924" w:rsidP="00B75924">
      <w:pPr>
        <w:rPr>
          <w:lang w:val="en-GB"/>
        </w:rPr>
      </w:pPr>
      <w:r w:rsidRPr="00E8461E">
        <w:rPr>
          <w:lang w:val="en-GB"/>
        </w:rPr>
        <w:t xml:space="preserve">The Australian Government will commission and publish a review of the potential ways in which health and aged care waste can be reduced, reused, refurbished, recycled, </w:t>
      </w:r>
      <w:proofErr w:type="gramStart"/>
      <w:r w:rsidRPr="00E8461E">
        <w:rPr>
          <w:lang w:val="en-GB"/>
        </w:rPr>
        <w:t>replaced</w:t>
      </w:r>
      <w:proofErr w:type="gramEnd"/>
      <w:r w:rsidRPr="00E8461E">
        <w:rPr>
          <w:lang w:val="en-GB"/>
        </w:rPr>
        <w:t xml:space="preserve"> and segregated and how these changes can be implemented. This review will then feed into the green procurement and sustainable resource use guidelines and further resources for health and aged care facilities and staff.</w:t>
      </w:r>
    </w:p>
    <w:p w14:paraId="1E9324AF" w14:textId="77777777" w:rsidR="00B75924" w:rsidRPr="00E8461E" w:rsidRDefault="00B75924" w:rsidP="00B72BA2">
      <w:pPr>
        <w:pStyle w:val="Heading3"/>
        <w:rPr>
          <w:lang w:val="en-GB"/>
        </w:rPr>
      </w:pPr>
      <w:r w:rsidRPr="00E8461E">
        <w:rPr>
          <w:lang w:val="en-GB"/>
        </w:rPr>
        <w:t>Action 4.17: Promoting green procurement and sustainable resource </w:t>
      </w:r>
      <w:proofErr w:type="gramStart"/>
      <w:r w:rsidRPr="00E8461E">
        <w:rPr>
          <w:lang w:val="en-GB"/>
        </w:rPr>
        <w:t>use</w:t>
      </w:r>
      <w:proofErr w:type="gramEnd"/>
    </w:p>
    <w:p w14:paraId="4383E775" w14:textId="5B088B2E" w:rsidR="00B75924" w:rsidRPr="00E8461E" w:rsidRDefault="00B75924" w:rsidP="00B75924">
      <w:pPr>
        <w:rPr>
          <w:lang w:val="en-GB"/>
        </w:rPr>
      </w:pPr>
      <w:r w:rsidRPr="00E8461E">
        <w:rPr>
          <w:lang w:val="en-GB"/>
        </w:rPr>
        <w:t xml:space="preserve">The Australian Government will develop guidelines on green procurement and sustainable resource use in consultation with states, territories, </w:t>
      </w:r>
      <w:proofErr w:type="gramStart"/>
      <w:r w:rsidRPr="00E8461E">
        <w:rPr>
          <w:lang w:val="en-GB"/>
        </w:rPr>
        <w:t>industry</w:t>
      </w:r>
      <w:proofErr w:type="gramEnd"/>
      <w:r w:rsidRPr="00E8461E">
        <w:rPr>
          <w:lang w:val="en-GB"/>
        </w:rPr>
        <w:t xml:space="preserve"> and suppliers.</w:t>
      </w:r>
    </w:p>
    <w:p w14:paraId="36534819" w14:textId="77777777" w:rsidR="00B75924" w:rsidRPr="00E8461E" w:rsidRDefault="00B75924" w:rsidP="00B72BA2">
      <w:pPr>
        <w:pStyle w:val="Heading2"/>
        <w:rPr>
          <w:lang w:val="en-GB"/>
        </w:rPr>
      </w:pPr>
      <w:r w:rsidRPr="00E8461E">
        <w:rPr>
          <w:lang w:val="en-GB"/>
        </w:rPr>
        <w:t>Chapter 5 actions</w:t>
      </w:r>
    </w:p>
    <w:p w14:paraId="3401C3B2" w14:textId="77777777" w:rsidR="00B75924" w:rsidRPr="00E8461E" w:rsidRDefault="00B75924" w:rsidP="00B72BA2">
      <w:pPr>
        <w:pStyle w:val="Heading3"/>
        <w:rPr>
          <w:lang w:val="en-GB"/>
        </w:rPr>
      </w:pPr>
      <w:r w:rsidRPr="00E8461E">
        <w:rPr>
          <w:lang w:val="en-GB"/>
        </w:rPr>
        <w:t xml:space="preserve">Action 5.1: Considering the role for emissions </w:t>
      </w:r>
      <w:proofErr w:type="spellStart"/>
      <w:r w:rsidRPr="00E8461E">
        <w:rPr>
          <w:lang w:val="en-GB"/>
        </w:rPr>
        <w:t>footprinting</w:t>
      </w:r>
      <w:proofErr w:type="spellEnd"/>
      <w:r w:rsidRPr="00E8461E">
        <w:rPr>
          <w:lang w:val="en-GB"/>
        </w:rPr>
        <w:t xml:space="preserve"> of health technology </w:t>
      </w:r>
      <w:proofErr w:type="gramStart"/>
      <w:r w:rsidRPr="00E8461E">
        <w:rPr>
          <w:lang w:val="en-GB"/>
        </w:rPr>
        <w:t>products</w:t>
      </w:r>
      <w:proofErr w:type="gramEnd"/>
    </w:p>
    <w:p w14:paraId="42BD4A9F" w14:textId="77777777" w:rsidR="00B75924" w:rsidRPr="00E8461E" w:rsidRDefault="00B75924" w:rsidP="00B75924">
      <w:pPr>
        <w:rPr>
          <w:lang w:val="en-GB"/>
        </w:rPr>
      </w:pPr>
      <w:r w:rsidRPr="00E8461E">
        <w:rPr>
          <w:lang w:val="en-GB"/>
        </w:rPr>
        <w:t>The Australian Government will, in consultation with industry and other relevant stakeholders, review options for including public reporting and consideration of environmental impacts, starting with greenhouse gas emissions, of health technologies, in collaboration and alignment with international best practice in comparable jurisdictions.</w:t>
      </w:r>
    </w:p>
    <w:p w14:paraId="72E4901F" w14:textId="77777777" w:rsidR="00B75924" w:rsidRPr="00E8461E" w:rsidRDefault="00B75924" w:rsidP="00B72BA2">
      <w:pPr>
        <w:pStyle w:val="Heading3"/>
        <w:rPr>
          <w:lang w:val="en-GB"/>
        </w:rPr>
      </w:pPr>
      <w:r w:rsidRPr="00E8461E">
        <w:rPr>
          <w:lang w:val="en-GB"/>
        </w:rPr>
        <w:t xml:space="preserve">Action 5.2: Collaborating to decarbonise international supply </w:t>
      </w:r>
      <w:proofErr w:type="gramStart"/>
      <w:r w:rsidRPr="00E8461E">
        <w:rPr>
          <w:lang w:val="en-GB"/>
        </w:rPr>
        <w:t>chains</w:t>
      </w:r>
      <w:proofErr w:type="gramEnd"/>
    </w:p>
    <w:p w14:paraId="4579F7B6" w14:textId="77777777" w:rsidR="00B75924" w:rsidRPr="00E8461E" w:rsidRDefault="00B75924" w:rsidP="00B75924">
      <w:pPr>
        <w:rPr>
          <w:lang w:val="en-GB"/>
        </w:rPr>
      </w:pPr>
      <w:r w:rsidRPr="00E8461E">
        <w:rPr>
          <w:lang w:val="en-GB"/>
        </w:rPr>
        <w:t>In working to decarbonise health system supply chains, the Australian Government will work with the international collaboration between the English National Health Service and the United States Department of Health and Human Services to develop aligned procurement requirements to decarbonise health system supply chains.</w:t>
      </w:r>
    </w:p>
    <w:p w14:paraId="7320E418" w14:textId="77777777" w:rsidR="00B75924" w:rsidRPr="00E8461E" w:rsidRDefault="00B75924" w:rsidP="00B72BA2">
      <w:pPr>
        <w:pStyle w:val="Heading3"/>
        <w:rPr>
          <w:lang w:val="en-GB"/>
        </w:rPr>
      </w:pPr>
      <w:r w:rsidRPr="00E8461E">
        <w:rPr>
          <w:lang w:val="en-GB"/>
        </w:rPr>
        <w:t>Action 5.3: Alliance for Transformative Action on Climate and Health</w:t>
      </w:r>
    </w:p>
    <w:p w14:paraId="4FDB6AE6" w14:textId="77777777" w:rsidR="00B75924" w:rsidRPr="00E8461E" w:rsidRDefault="00B75924" w:rsidP="00B75924">
      <w:pPr>
        <w:rPr>
          <w:lang w:val="en-GB"/>
        </w:rPr>
      </w:pPr>
      <w:r w:rsidRPr="00E8461E">
        <w:rPr>
          <w:lang w:val="en-GB"/>
        </w:rPr>
        <w:t>The Australian Government will join and actively participate in the Alliance for Transformational Action on Climate and Health.</w:t>
      </w:r>
    </w:p>
    <w:p w14:paraId="2FA0CEE6" w14:textId="77777777" w:rsidR="00B75924" w:rsidRPr="00E8461E" w:rsidRDefault="00B75924" w:rsidP="00B72BA2">
      <w:pPr>
        <w:pStyle w:val="Heading3"/>
        <w:rPr>
          <w:lang w:val="en-GB"/>
        </w:rPr>
      </w:pPr>
      <w:r w:rsidRPr="00E8461E">
        <w:rPr>
          <w:lang w:val="en-GB"/>
        </w:rPr>
        <w:t>Action 5.4: Incorporating health consideration into Australia’s next Nationally Determined Contribution under the Paris Agreement</w:t>
      </w:r>
    </w:p>
    <w:p w14:paraId="472E231F" w14:textId="77777777" w:rsidR="00B75924" w:rsidRPr="00E8461E" w:rsidRDefault="00B75924" w:rsidP="00B75924">
      <w:pPr>
        <w:rPr>
          <w:lang w:val="en-GB"/>
        </w:rPr>
      </w:pPr>
      <w:r w:rsidRPr="00E8461E">
        <w:rPr>
          <w:lang w:val="en-GB"/>
        </w:rPr>
        <w:t xml:space="preserve">The Australian Government is considering options for how its next Nationally Determined Contribution under the United Nations Framework Convention on Climate Change, due for submission in 2025, could </w:t>
      </w:r>
      <w:r w:rsidRPr="00E8461E">
        <w:rPr>
          <w:lang w:val="en-GB"/>
        </w:rPr>
        <w:lastRenderedPageBreak/>
        <w:t>highlight its strong action to reduce emissions from the health system and improve resilience to climate impacts.</w:t>
      </w:r>
    </w:p>
    <w:p w14:paraId="500646BC" w14:textId="77777777" w:rsidR="00B75924" w:rsidRPr="00E8461E" w:rsidRDefault="00B75924" w:rsidP="00B72BA2">
      <w:pPr>
        <w:pStyle w:val="Heading2"/>
        <w:rPr>
          <w:lang w:val="en-GB"/>
        </w:rPr>
      </w:pPr>
      <w:r w:rsidRPr="00E8461E">
        <w:rPr>
          <w:lang w:val="en-GB"/>
        </w:rPr>
        <w:t>Chapter 6 actions</w:t>
      </w:r>
    </w:p>
    <w:p w14:paraId="1BD47869" w14:textId="77777777" w:rsidR="00B75924" w:rsidRPr="00E8461E" w:rsidRDefault="00B75924" w:rsidP="00B72BA2">
      <w:pPr>
        <w:pStyle w:val="Heading3"/>
        <w:rPr>
          <w:lang w:val="en-GB"/>
        </w:rPr>
      </w:pPr>
      <w:r w:rsidRPr="00E8461E">
        <w:rPr>
          <w:lang w:val="en-GB"/>
        </w:rPr>
        <w:t>Action 6.1: Developing a National Heat-Health Action Plan</w:t>
      </w:r>
    </w:p>
    <w:p w14:paraId="411C0D04" w14:textId="77777777" w:rsidR="00B75924" w:rsidRPr="00E8461E" w:rsidRDefault="00B75924" w:rsidP="00B75924">
      <w:pPr>
        <w:rPr>
          <w:lang w:val="en-GB"/>
        </w:rPr>
      </w:pPr>
      <w:r w:rsidRPr="00E8461E">
        <w:rPr>
          <w:lang w:val="en-GB"/>
        </w:rPr>
        <w:t>The Australian Government will work with states and territories to develop and publish a National Heat-Health Action Plan which promotes a nationally consistent approach to minimising the health impacts of heat. Key considerations in this plan will include:</w:t>
      </w:r>
    </w:p>
    <w:p w14:paraId="6C2C271F" w14:textId="77777777" w:rsidR="00B75924" w:rsidRPr="00E8461E" w:rsidRDefault="00B75924" w:rsidP="00B72BA2">
      <w:pPr>
        <w:pStyle w:val="BulletUnindented"/>
      </w:pPr>
      <w:r w:rsidRPr="00E8461E">
        <w:t xml:space="preserve">Strengthening the National Heatwave Warning Framework as approaches to heatwaves develop over </w:t>
      </w:r>
      <w:proofErr w:type="gramStart"/>
      <w:r w:rsidRPr="00E8461E">
        <w:t>time</w:t>
      </w:r>
      <w:proofErr w:type="gramEnd"/>
    </w:p>
    <w:p w14:paraId="74E5B3D7" w14:textId="77777777" w:rsidR="00B75924" w:rsidRPr="00E8461E" w:rsidRDefault="00B75924" w:rsidP="00B72BA2">
      <w:pPr>
        <w:pStyle w:val="BulletUnindented"/>
      </w:pPr>
      <w:r w:rsidRPr="00E8461E">
        <w:t>Providing guidance and support tools for health workers, community organisations, and other relevant sectors in preventing, identifying, and responding to heat-related illness</w:t>
      </w:r>
    </w:p>
    <w:p w14:paraId="2B312862" w14:textId="77777777" w:rsidR="00B75924" w:rsidRPr="00E8461E" w:rsidRDefault="00B75924" w:rsidP="00B72BA2">
      <w:pPr>
        <w:pStyle w:val="BulletUnindented"/>
      </w:pPr>
      <w:r w:rsidRPr="00E8461E">
        <w:t>Enhancing monitoring, surveillance, and data collection for heat vulnerability and health impacts</w:t>
      </w:r>
    </w:p>
    <w:p w14:paraId="17E6F306" w14:textId="77777777" w:rsidR="00B75924" w:rsidRPr="00E8461E" w:rsidRDefault="00B75924" w:rsidP="00B72BA2">
      <w:pPr>
        <w:pStyle w:val="BulletUnindented"/>
      </w:pPr>
      <w:r w:rsidRPr="00E8461E">
        <w:t>Identifying and pursuing opportunities to reduce population exposure to heat (including urban heat islands)</w:t>
      </w:r>
    </w:p>
    <w:p w14:paraId="1205E23B" w14:textId="77777777" w:rsidR="00B75924" w:rsidRPr="00E8461E" w:rsidRDefault="00B75924" w:rsidP="00B72BA2">
      <w:pPr>
        <w:pStyle w:val="BulletUnindented"/>
      </w:pPr>
      <w:r w:rsidRPr="00E8461E">
        <w:t>Supporting tailored and evidence-based public health messaging about the health impacts of heat and self-protective measures</w:t>
      </w:r>
    </w:p>
    <w:p w14:paraId="06C4BBFE" w14:textId="77777777" w:rsidR="00B75924" w:rsidRPr="00E8461E" w:rsidRDefault="00B75924" w:rsidP="00B72BA2">
      <w:pPr>
        <w:pStyle w:val="BulletUnindented"/>
      </w:pPr>
      <w:r w:rsidRPr="00E8461E">
        <w:t>Minimising heat-health impacts amongst at-risk groups, including occupationally exposed workers, culturally and linguistically diverse communities, and people with disabilities or reduced mobility.</w:t>
      </w:r>
    </w:p>
    <w:p w14:paraId="446CA87C" w14:textId="77777777" w:rsidR="00B75924" w:rsidRPr="00E8461E" w:rsidRDefault="00B75924" w:rsidP="00B72BA2">
      <w:pPr>
        <w:pStyle w:val="Heading3"/>
        <w:rPr>
          <w:lang w:val="en-GB"/>
        </w:rPr>
      </w:pPr>
      <w:r w:rsidRPr="00E8461E">
        <w:rPr>
          <w:lang w:val="en-GB"/>
        </w:rPr>
        <w:t xml:space="preserve">Action 6.2: Addressing the impacts of climate change on air </w:t>
      </w:r>
      <w:proofErr w:type="gramStart"/>
      <w:r w:rsidRPr="00E8461E">
        <w:rPr>
          <w:lang w:val="en-GB"/>
        </w:rPr>
        <w:t>quality</w:t>
      </w:r>
      <w:proofErr w:type="gramEnd"/>
    </w:p>
    <w:p w14:paraId="17887324" w14:textId="77777777" w:rsidR="00B75924" w:rsidRPr="00E8461E" w:rsidRDefault="00B75924" w:rsidP="00B75924">
      <w:pPr>
        <w:rPr>
          <w:lang w:val="en-GB"/>
        </w:rPr>
      </w:pPr>
      <w:r w:rsidRPr="00E8461E">
        <w:rPr>
          <w:lang w:val="en-GB"/>
        </w:rPr>
        <w:t>The Australian Government will work together with states and territories to address the risks and health impacts of reduced air quality driven by climate change, as part of wider work to increase knowledge, awareness, and capacity to respond to the risks and health impacts of air pollution. This will be achieved through relevant projects outlined in the National Clean Air Agreement work plan, and other complementary programs and initiatives.</w:t>
      </w:r>
    </w:p>
    <w:p w14:paraId="68B5FA9A" w14:textId="77777777" w:rsidR="00B75924" w:rsidRPr="00E8461E" w:rsidRDefault="00B75924" w:rsidP="00B72BA2">
      <w:pPr>
        <w:pStyle w:val="Heading3"/>
        <w:rPr>
          <w:lang w:val="en-GB"/>
        </w:rPr>
      </w:pPr>
      <w:r w:rsidRPr="00E8461E">
        <w:rPr>
          <w:lang w:val="en-GB"/>
        </w:rPr>
        <w:t>Action 6.3: Addressing climate change impacts on communicable </w:t>
      </w:r>
      <w:proofErr w:type="gramStart"/>
      <w:r w:rsidRPr="00E8461E">
        <w:rPr>
          <w:lang w:val="en-GB"/>
        </w:rPr>
        <w:t>disease</w:t>
      </w:r>
      <w:proofErr w:type="gramEnd"/>
    </w:p>
    <w:p w14:paraId="285BCD93" w14:textId="77777777" w:rsidR="00B75924" w:rsidRPr="00E8461E" w:rsidRDefault="00B75924" w:rsidP="00B75924">
      <w:pPr>
        <w:rPr>
          <w:lang w:val="en-GB"/>
        </w:rPr>
      </w:pPr>
      <w:r w:rsidRPr="00E8461E">
        <w:rPr>
          <w:lang w:val="en-GB"/>
        </w:rPr>
        <w:t>It is anticipated that the Australian Centre for Disease Control will work with jurisdictional stakeholders to enhance Australia’s communicable disease surveillance, prevention, and response capabilities, reflecting the impacts of climate change on communicable disease emergence and transmission. Key considerations will include:</w:t>
      </w:r>
    </w:p>
    <w:p w14:paraId="64EA3BE5" w14:textId="77777777" w:rsidR="00B75924" w:rsidRPr="00E8461E" w:rsidRDefault="00B75924" w:rsidP="00B72BA2">
      <w:pPr>
        <w:pStyle w:val="BulletUnindented"/>
      </w:pPr>
      <w:r w:rsidRPr="00E8461E">
        <w:t>Increasing data sharing, linkages, and analysis across departments and jurisdictions, with improved consistency and integration of human and animal disease and relevant ecosystem data</w:t>
      </w:r>
    </w:p>
    <w:p w14:paraId="0908A293" w14:textId="77777777" w:rsidR="00B75924" w:rsidRPr="00E8461E" w:rsidRDefault="00B75924" w:rsidP="00B72BA2">
      <w:pPr>
        <w:pStyle w:val="BulletUnindented"/>
      </w:pPr>
      <w:r w:rsidRPr="00E8461E">
        <w:t>Enhancing surveillance and risk analysis of disease vectors, zoonotic disease, and antimicrobial resistance</w:t>
      </w:r>
    </w:p>
    <w:p w14:paraId="2B51A7D6" w14:textId="77777777" w:rsidR="00B75924" w:rsidRPr="00E8461E" w:rsidRDefault="00B75924" w:rsidP="00B72BA2">
      <w:pPr>
        <w:pStyle w:val="BulletUnindented"/>
      </w:pPr>
      <w:r w:rsidRPr="00E8461E">
        <w:t>Establishing governance and operational structures to coordinate, promote, support, and assess the adoption of One Health principles across all levels of Australian government.</w:t>
      </w:r>
    </w:p>
    <w:p w14:paraId="76A08CB0" w14:textId="77777777" w:rsidR="00B75924" w:rsidRPr="00E8461E" w:rsidRDefault="00B75924" w:rsidP="00B72BA2">
      <w:pPr>
        <w:pStyle w:val="Heading3"/>
        <w:rPr>
          <w:lang w:val="en-GB"/>
        </w:rPr>
      </w:pPr>
      <w:r w:rsidRPr="00E8461E">
        <w:rPr>
          <w:lang w:val="en-GB"/>
        </w:rPr>
        <w:lastRenderedPageBreak/>
        <w:t>Action 6.4: Increasing social community </w:t>
      </w:r>
      <w:proofErr w:type="gramStart"/>
      <w:r w:rsidRPr="00E8461E">
        <w:rPr>
          <w:lang w:val="en-GB"/>
        </w:rPr>
        <w:t>connectedness</w:t>
      </w:r>
      <w:proofErr w:type="gramEnd"/>
    </w:p>
    <w:p w14:paraId="084234E0" w14:textId="77777777" w:rsidR="00B75924" w:rsidRPr="00E8461E" w:rsidRDefault="00B75924" w:rsidP="00B75924">
      <w:pPr>
        <w:rPr>
          <w:lang w:val="en-GB"/>
        </w:rPr>
      </w:pPr>
      <w:r w:rsidRPr="00E8461E">
        <w:rPr>
          <w:lang w:val="en-GB"/>
        </w:rPr>
        <w:t>The Australian Government will work to improve and promote mental health initiatives aimed at increasing social community connectedness to help build longer-term resilience in communities before, and after, climate-related disasters and extreme weather events. This will help to address a wide range of mental health impacts of climate change, as well as support and complement the implementation of the National Disaster Mental Health and Wellbeing Framework.</w:t>
      </w:r>
    </w:p>
    <w:p w14:paraId="6EF32F71" w14:textId="77777777" w:rsidR="00B75924" w:rsidRPr="00E8461E" w:rsidRDefault="00B75924" w:rsidP="00B72BA2">
      <w:pPr>
        <w:pStyle w:val="Heading3"/>
        <w:rPr>
          <w:lang w:val="en-GB"/>
        </w:rPr>
      </w:pPr>
      <w:r w:rsidRPr="00E8461E">
        <w:rPr>
          <w:lang w:val="en-GB"/>
        </w:rPr>
        <w:t>Action 6.5: Building workforce awareness, education, and capacity-</w:t>
      </w:r>
      <w:proofErr w:type="gramStart"/>
      <w:r w:rsidRPr="00E8461E">
        <w:rPr>
          <w:lang w:val="en-GB"/>
        </w:rPr>
        <w:t>building</w:t>
      </w:r>
      <w:proofErr w:type="gramEnd"/>
    </w:p>
    <w:p w14:paraId="026FF97E" w14:textId="77777777" w:rsidR="00B75924" w:rsidRPr="00E8461E" w:rsidRDefault="00B75924" w:rsidP="00B75924">
      <w:pPr>
        <w:rPr>
          <w:lang w:val="en-GB"/>
        </w:rPr>
      </w:pPr>
      <w:r w:rsidRPr="00E8461E">
        <w:rPr>
          <w:lang w:val="en-GB"/>
        </w:rPr>
        <w:t>The Australian Government will work with relevant stakeholders to build workforce capacity to prevent, identify, and respond to the mental health and wellbeing impacts of climate change, including by exploring options for training in climate change and mental health.</w:t>
      </w:r>
    </w:p>
    <w:p w14:paraId="1CC2F892" w14:textId="77777777" w:rsidR="00B75924" w:rsidRPr="00E8461E" w:rsidRDefault="00B75924" w:rsidP="00B72BA2">
      <w:pPr>
        <w:pStyle w:val="Heading3"/>
        <w:rPr>
          <w:lang w:val="en-GB"/>
        </w:rPr>
      </w:pPr>
      <w:r w:rsidRPr="00E8461E">
        <w:rPr>
          <w:lang w:val="en-GB"/>
        </w:rPr>
        <w:t>Action 6.6: Taking account of sustainability considerations in the Australian Dietary Guidelines</w:t>
      </w:r>
    </w:p>
    <w:p w14:paraId="7EC6A971" w14:textId="77777777" w:rsidR="00B75924" w:rsidRPr="00E8461E" w:rsidRDefault="00B75924" w:rsidP="00B75924">
      <w:pPr>
        <w:rPr>
          <w:lang w:val="en-GB"/>
        </w:rPr>
      </w:pPr>
      <w:r w:rsidRPr="00E8461E">
        <w:rPr>
          <w:lang w:val="en-GB"/>
        </w:rPr>
        <w:t>The National Health and Medical Research Council will engage with the Australian Government to consider economic, social, and environmental sustainability in the updated Australian Dietary Guidelines, including Australia’s commitment to the Sustainable Development Goals, the Paris Agreement and net zero emissions by 2050. The updated Australian Dietary Guidelines are expected to be published by 2026.</w:t>
      </w:r>
    </w:p>
    <w:p w14:paraId="265F51EF" w14:textId="77777777" w:rsidR="00B75924" w:rsidRPr="00E8461E" w:rsidRDefault="00B75924" w:rsidP="00B72BA2">
      <w:pPr>
        <w:pStyle w:val="Heading3"/>
        <w:rPr>
          <w:lang w:val="en-GB"/>
        </w:rPr>
      </w:pPr>
      <w:r w:rsidRPr="00E8461E">
        <w:rPr>
          <w:lang w:val="en-GB"/>
        </w:rPr>
        <w:t xml:space="preserve">Action 6.7: Addressing the impacts of climate change on First Nations health and food </w:t>
      </w:r>
      <w:proofErr w:type="gramStart"/>
      <w:r w:rsidRPr="00E8461E">
        <w:rPr>
          <w:lang w:val="en-GB"/>
        </w:rPr>
        <w:t>security</w:t>
      </w:r>
      <w:proofErr w:type="gramEnd"/>
    </w:p>
    <w:p w14:paraId="31D6F74C" w14:textId="77777777" w:rsidR="00B75924" w:rsidRPr="00E8461E" w:rsidRDefault="00B75924" w:rsidP="00B75924">
      <w:pPr>
        <w:rPr>
          <w:lang w:val="en-GB"/>
        </w:rPr>
      </w:pPr>
      <w:r w:rsidRPr="00E8461E">
        <w:rPr>
          <w:lang w:val="en-GB"/>
        </w:rPr>
        <w:t>In partnership with First Nations communities, the Australian Government will work to address the impacts of climate change on First Nations food security and the health of First Nations people, including through the National Strategy for Food Security in Remote First Nations Communities.</w:t>
      </w:r>
    </w:p>
    <w:p w14:paraId="1ED9DE4D" w14:textId="77777777" w:rsidR="00B75924" w:rsidRPr="00E8461E" w:rsidRDefault="00B75924" w:rsidP="00B72BA2">
      <w:pPr>
        <w:pStyle w:val="Heading3"/>
        <w:rPr>
          <w:lang w:val="en-GB"/>
        </w:rPr>
      </w:pPr>
      <w:r w:rsidRPr="00E8461E">
        <w:rPr>
          <w:lang w:val="en-GB"/>
        </w:rPr>
        <w:t>Action 6.8: Considering climate resilience in updates to the National Construction Code</w:t>
      </w:r>
    </w:p>
    <w:p w14:paraId="2731F296" w14:textId="77777777" w:rsidR="00B75924" w:rsidRPr="00E8461E" w:rsidRDefault="00B75924" w:rsidP="00B75924">
      <w:pPr>
        <w:rPr>
          <w:lang w:val="en-GB"/>
        </w:rPr>
      </w:pPr>
      <w:r w:rsidRPr="00E8461E">
        <w:rPr>
          <w:lang w:val="en-GB"/>
        </w:rPr>
        <w:t>The Australian Government will work with states, territories, and the Australian Building Codes Board to progress opportunities to embed sustainability and climate resilience principles in the National Construction Code, and in doing so will consider the health impacts of climate change.</w:t>
      </w:r>
    </w:p>
    <w:p w14:paraId="42342A53" w14:textId="77777777" w:rsidR="00B75924" w:rsidRPr="00E8461E" w:rsidRDefault="00B75924" w:rsidP="00B72BA2">
      <w:pPr>
        <w:pStyle w:val="Heading3"/>
        <w:rPr>
          <w:lang w:val="en-GB"/>
        </w:rPr>
      </w:pPr>
      <w:r w:rsidRPr="00E8461E">
        <w:rPr>
          <w:lang w:val="en-GB"/>
        </w:rPr>
        <w:t>Action 6.9: Considering climate resilience in developing the National Housing and Homelessness Plan</w:t>
      </w:r>
    </w:p>
    <w:p w14:paraId="66489714" w14:textId="77777777" w:rsidR="00B75924" w:rsidRPr="00E8461E" w:rsidRDefault="00B75924" w:rsidP="00B75924">
      <w:pPr>
        <w:rPr>
          <w:lang w:val="en-GB"/>
        </w:rPr>
      </w:pPr>
      <w:r w:rsidRPr="00E8461E">
        <w:rPr>
          <w:lang w:val="en-GB"/>
        </w:rPr>
        <w:t>The Australian Government, in collaboration with states and territories, will deliver a National Housing and Homelessness Plan that will outline a shared vision to inform future housing and homelessness policy in Australia. In developing this plan, the Government will consider the health benefits of climate-resilient housing.</w:t>
      </w:r>
    </w:p>
    <w:p w14:paraId="09D8CDCF" w14:textId="77777777" w:rsidR="00B75924" w:rsidRPr="00E8461E" w:rsidRDefault="00B75924" w:rsidP="00B72BA2">
      <w:pPr>
        <w:pStyle w:val="Heading3"/>
        <w:rPr>
          <w:lang w:val="en-GB"/>
        </w:rPr>
      </w:pPr>
      <w:r w:rsidRPr="00E8461E">
        <w:rPr>
          <w:lang w:val="en-GB"/>
        </w:rPr>
        <w:t xml:space="preserve">Action 6.10: Promoting the health benefits of improved First Nations housing and energy </w:t>
      </w:r>
      <w:proofErr w:type="gramStart"/>
      <w:r w:rsidRPr="00E8461E">
        <w:rPr>
          <w:lang w:val="en-GB"/>
        </w:rPr>
        <w:t>security</w:t>
      </w:r>
      <w:proofErr w:type="gramEnd"/>
    </w:p>
    <w:p w14:paraId="5D5C351F" w14:textId="77777777" w:rsidR="00B75924" w:rsidRPr="00E8461E" w:rsidRDefault="00B75924" w:rsidP="00B75924">
      <w:pPr>
        <w:rPr>
          <w:lang w:val="en-GB"/>
        </w:rPr>
      </w:pPr>
      <w:r w:rsidRPr="00E8461E">
        <w:rPr>
          <w:lang w:val="en-GB"/>
        </w:rPr>
        <w:t>The Australian Government will:</w:t>
      </w:r>
    </w:p>
    <w:p w14:paraId="356EC592" w14:textId="77777777" w:rsidR="00B75924" w:rsidRPr="00E8461E" w:rsidRDefault="00B75924" w:rsidP="00B72BA2">
      <w:pPr>
        <w:pStyle w:val="BulletUnindented"/>
      </w:pPr>
      <w:r w:rsidRPr="00E8461E">
        <w:t>Work in partnership with the National Aboriginal and Torres Strait Islander Housing Association, who are co-chairing the newly established Housing Policy Partnership, to promote the importance of high-quality, climate-resilient housing in reducing the negative health impacts of climate change on First Nations communities.</w:t>
      </w:r>
    </w:p>
    <w:p w14:paraId="759E4DAC" w14:textId="77777777" w:rsidR="00B75924" w:rsidRPr="00E8461E" w:rsidRDefault="00B75924" w:rsidP="00B72BA2">
      <w:pPr>
        <w:pStyle w:val="BulletUnindented"/>
      </w:pPr>
      <w:r w:rsidRPr="00E8461E">
        <w:lastRenderedPageBreak/>
        <w:t>Work in partnership with First Nations communities to include a health perspective in the First Nations Clean Energy Strategy, including by exploring opportunities to improve access to affordable and reliable power through renewable energy (</w:t>
      </w:r>
      <w:proofErr w:type="gramStart"/>
      <w:r w:rsidRPr="00E8461E">
        <w:t>e.g.</w:t>
      </w:r>
      <w:proofErr w:type="gramEnd"/>
      <w:r w:rsidRPr="00E8461E">
        <w:t xml:space="preserve"> rooftop solar, community microgrids and battery storage) for First Nations housing and health infrastructure.</w:t>
      </w:r>
    </w:p>
    <w:p w14:paraId="5516C54E" w14:textId="77777777" w:rsidR="00B75924" w:rsidRPr="00E8461E" w:rsidRDefault="00B75924" w:rsidP="00B72BA2">
      <w:pPr>
        <w:pStyle w:val="Heading3"/>
        <w:rPr>
          <w:lang w:val="en-GB"/>
        </w:rPr>
      </w:pPr>
      <w:r w:rsidRPr="00E8461E">
        <w:rPr>
          <w:lang w:val="en-GB"/>
        </w:rPr>
        <w:t xml:space="preserve">Action 6.11: Promoting active </w:t>
      </w:r>
      <w:proofErr w:type="gramStart"/>
      <w:r w:rsidRPr="00E8461E">
        <w:rPr>
          <w:lang w:val="en-GB"/>
        </w:rPr>
        <w:t>travel</w:t>
      </w:r>
      <w:proofErr w:type="gramEnd"/>
    </w:p>
    <w:p w14:paraId="659C2B0F" w14:textId="77777777" w:rsidR="00B75924" w:rsidRPr="00E8461E" w:rsidRDefault="00B75924" w:rsidP="00B75924">
      <w:pPr>
        <w:rPr>
          <w:lang w:val="en-GB"/>
        </w:rPr>
      </w:pPr>
      <w:r w:rsidRPr="00E8461E">
        <w:rPr>
          <w:lang w:val="en-GB"/>
        </w:rPr>
        <w:t>The Australian Government will seek to engage relevant agencies across all levels of government to promote active travel. This will support and complement implementation of the National Preventive Health Strategy 2021-2030.</w:t>
      </w:r>
    </w:p>
    <w:p w14:paraId="332CC39B" w14:textId="77777777" w:rsidR="00B75924" w:rsidRPr="00E8461E" w:rsidRDefault="00B75924" w:rsidP="00B72BA2">
      <w:pPr>
        <w:pStyle w:val="Heading2"/>
        <w:rPr>
          <w:lang w:val="en-GB"/>
        </w:rPr>
      </w:pPr>
      <w:r w:rsidRPr="00E8461E">
        <w:rPr>
          <w:lang w:val="en-GB"/>
        </w:rPr>
        <w:t>Chapter 7 actions</w:t>
      </w:r>
    </w:p>
    <w:p w14:paraId="5758CD06" w14:textId="77777777" w:rsidR="00B75924" w:rsidRPr="00E8461E" w:rsidRDefault="00B75924" w:rsidP="00B72BA2">
      <w:pPr>
        <w:pStyle w:val="Heading3"/>
        <w:rPr>
          <w:lang w:val="en-GB"/>
        </w:rPr>
      </w:pPr>
      <w:r w:rsidRPr="00E8461E">
        <w:rPr>
          <w:lang w:val="en-GB"/>
        </w:rPr>
        <w:t>Action 7.1: Mobilising the health workforce to lead action on climate and </w:t>
      </w:r>
      <w:proofErr w:type="gramStart"/>
      <w:r w:rsidRPr="00E8461E">
        <w:rPr>
          <w:lang w:val="en-GB"/>
        </w:rPr>
        <w:t>health</w:t>
      </w:r>
      <w:proofErr w:type="gramEnd"/>
    </w:p>
    <w:p w14:paraId="04BE5678" w14:textId="77777777" w:rsidR="00B75924" w:rsidRPr="00E8461E" w:rsidRDefault="00B75924" w:rsidP="00B75924">
      <w:pPr>
        <w:rPr>
          <w:lang w:val="en-GB"/>
        </w:rPr>
      </w:pPr>
      <w:r w:rsidRPr="00E8461E">
        <w:rPr>
          <w:lang w:val="en-GB"/>
        </w:rPr>
        <w:t xml:space="preserve">The Australian Government will engage with states, </w:t>
      </w:r>
      <w:proofErr w:type="gramStart"/>
      <w:r w:rsidRPr="00E8461E">
        <w:rPr>
          <w:lang w:val="en-GB"/>
        </w:rPr>
        <w:t>territories</w:t>
      </w:r>
      <w:proofErr w:type="gramEnd"/>
      <w:r w:rsidRPr="00E8461E">
        <w:rPr>
          <w:lang w:val="en-GB"/>
        </w:rPr>
        <w:t xml:space="preserve"> and relevant stakeholders to support and mobilise the health workforce to build a sustainable and climate-resilient health system. Key considerations will include:</w:t>
      </w:r>
    </w:p>
    <w:p w14:paraId="1507F3AB" w14:textId="77777777" w:rsidR="00B75924" w:rsidRPr="00E8461E" w:rsidRDefault="00B75924" w:rsidP="00B72BA2">
      <w:pPr>
        <w:pStyle w:val="BulletUnindented"/>
      </w:pPr>
      <w:r w:rsidRPr="00E8461E">
        <w:t>Incorporating sustainable healthcare and climate resilience principles in health professional training curricula and accreditation processes, including through quality improvement processes</w:t>
      </w:r>
    </w:p>
    <w:p w14:paraId="6D1B91D4" w14:textId="77777777" w:rsidR="00B75924" w:rsidRPr="00E8461E" w:rsidRDefault="00B75924" w:rsidP="00B72BA2">
      <w:pPr>
        <w:pStyle w:val="BulletUnindented"/>
      </w:pPr>
      <w:r w:rsidRPr="00E8461E">
        <w:t>Exploring options for developing and providing Continuing Professional Development and other training opportunities in sustainable and resilient healthcare for the health workforce.</w:t>
      </w:r>
    </w:p>
    <w:p w14:paraId="55B66062" w14:textId="77777777" w:rsidR="00B75924" w:rsidRPr="00E8461E" w:rsidRDefault="00B75924" w:rsidP="00B72BA2">
      <w:pPr>
        <w:pStyle w:val="Heading3"/>
        <w:rPr>
          <w:lang w:val="en-GB"/>
        </w:rPr>
      </w:pPr>
      <w:r w:rsidRPr="00E8461E">
        <w:rPr>
          <w:lang w:val="en-GB"/>
        </w:rPr>
        <w:t>Action 7.2: Scan of Australian health and climate research</w:t>
      </w:r>
    </w:p>
    <w:p w14:paraId="509C7EDF" w14:textId="77777777" w:rsidR="00B75924" w:rsidRPr="00E8461E" w:rsidRDefault="00B75924" w:rsidP="00B75924">
      <w:pPr>
        <w:rPr>
          <w:lang w:val="en-GB"/>
        </w:rPr>
      </w:pPr>
      <w:r w:rsidRPr="00E8461E">
        <w:rPr>
          <w:lang w:val="en-GB"/>
        </w:rPr>
        <w:t>The Australian Government will commission and publish a report which undertakes a scan of current research activities in Australia pertaining to health and climate change. The report will identify gaps in the literature, with a view to informing the prioritisation of future research funding.</w:t>
      </w:r>
    </w:p>
    <w:p w14:paraId="1EBC00BD" w14:textId="77777777" w:rsidR="00B75924" w:rsidRPr="00E8461E" w:rsidRDefault="00B75924" w:rsidP="00B72BA2">
      <w:pPr>
        <w:pStyle w:val="Heading3"/>
        <w:rPr>
          <w:lang w:val="en-GB"/>
        </w:rPr>
      </w:pPr>
      <w:r w:rsidRPr="00E8461E">
        <w:rPr>
          <w:lang w:val="en-GB"/>
        </w:rPr>
        <w:t>Action 7.3: National Health and Medical Research Council Targeted Call for Research</w:t>
      </w:r>
    </w:p>
    <w:p w14:paraId="2D751054" w14:textId="77777777" w:rsidR="00B75924" w:rsidRPr="00E8461E" w:rsidRDefault="00B75924" w:rsidP="00B75924">
      <w:pPr>
        <w:rPr>
          <w:lang w:val="en-GB"/>
        </w:rPr>
      </w:pPr>
      <w:r w:rsidRPr="00E8461E">
        <w:rPr>
          <w:lang w:val="en-GB"/>
        </w:rPr>
        <w:t>The National Health and Medical Research Council is developing a Targeted Call for Research focusing on strengthening the evidence base for Australian climate-related health impacts and effective interventions to improve health outcomes. The Call is planned for 2024 with an indicative funding allocation of $5 million over 5 years from the Medical Research Endowment Account.</w:t>
      </w:r>
    </w:p>
    <w:p w14:paraId="7F002CCB" w14:textId="77777777" w:rsidR="00B75924" w:rsidRPr="00E8461E" w:rsidRDefault="00B75924" w:rsidP="00B72BA2">
      <w:pPr>
        <w:pStyle w:val="Heading3"/>
        <w:rPr>
          <w:lang w:val="en-GB"/>
        </w:rPr>
      </w:pPr>
      <w:r w:rsidRPr="00E8461E">
        <w:rPr>
          <w:lang w:val="en-GB"/>
        </w:rPr>
        <w:t xml:space="preserve">Action 7.4: Developing health and climate education </w:t>
      </w:r>
      <w:proofErr w:type="gramStart"/>
      <w:r w:rsidRPr="00E8461E">
        <w:rPr>
          <w:lang w:val="en-GB"/>
        </w:rPr>
        <w:t>materials</w:t>
      </w:r>
      <w:proofErr w:type="gramEnd"/>
    </w:p>
    <w:p w14:paraId="44C3767C" w14:textId="77777777" w:rsidR="00B75924" w:rsidRPr="00E8461E" w:rsidRDefault="00B75924" w:rsidP="00B75924">
      <w:pPr>
        <w:rPr>
          <w:lang w:val="en-GB"/>
        </w:rPr>
      </w:pPr>
      <w:r w:rsidRPr="00E8461E">
        <w:rPr>
          <w:lang w:val="en-GB"/>
        </w:rPr>
        <w:t>The Australian Government will design and deliver public-facing guidance on ways to reduce the emissions footprint of health and aged care, and opportunities to improve resilience to the health impacts of climate change (including action that patients and healthcare workers can take directly).</w:t>
      </w:r>
    </w:p>
    <w:p w14:paraId="19A54DF0" w14:textId="77777777" w:rsidR="00B75924" w:rsidRPr="00E8461E" w:rsidRDefault="00B75924" w:rsidP="00B72BA2">
      <w:pPr>
        <w:pStyle w:val="Heading3"/>
        <w:rPr>
          <w:lang w:val="en-GB"/>
        </w:rPr>
      </w:pPr>
      <w:r w:rsidRPr="00E8461E">
        <w:rPr>
          <w:lang w:val="en-GB"/>
        </w:rPr>
        <w:t>Action 7.5: Reviewing health and climate </w:t>
      </w:r>
      <w:proofErr w:type="gramStart"/>
      <w:r w:rsidRPr="00E8461E">
        <w:rPr>
          <w:lang w:val="en-GB"/>
        </w:rPr>
        <w:t>governance</w:t>
      </w:r>
      <w:proofErr w:type="gramEnd"/>
    </w:p>
    <w:p w14:paraId="06D79B34" w14:textId="75ABB053" w:rsidR="00972A91" w:rsidRPr="00E8461E" w:rsidRDefault="00B75924" w:rsidP="00B75924">
      <w:pPr>
        <w:rPr>
          <w:lang w:val="en-GB"/>
        </w:rPr>
      </w:pPr>
      <w:r w:rsidRPr="00E8461E">
        <w:rPr>
          <w:lang w:val="en-GB"/>
        </w:rPr>
        <w:t>The Australian Government will review climate and health governance structures in consultation with states and territories and consider how to enhance cross-jurisdictional collaboration, as well as collaboration across the wider climate and health stakeholder community.</w:t>
      </w:r>
    </w:p>
    <w:p w14:paraId="33329971" w14:textId="0BFD8413" w:rsidR="00AC51D1" w:rsidRPr="00E8461E" w:rsidRDefault="00A94381" w:rsidP="00D76CDF">
      <w:pPr>
        <w:pStyle w:val="Heading1"/>
        <w:rPr>
          <w:lang w:val="en-GB"/>
        </w:rPr>
      </w:pPr>
      <w:bookmarkStart w:id="245" w:name="_Toc147086777"/>
      <w:bookmarkStart w:id="246" w:name="_Toc147502225"/>
      <w:bookmarkStart w:id="247" w:name="_Toc149910030"/>
      <w:bookmarkStart w:id="248" w:name="_Toc149918492"/>
      <w:bookmarkStart w:id="249" w:name="_Toc151999652"/>
      <w:bookmarkEnd w:id="240"/>
      <w:bookmarkEnd w:id="241"/>
      <w:bookmarkEnd w:id="242"/>
      <w:bookmarkEnd w:id="243"/>
      <w:r w:rsidRPr="00E8461E">
        <w:rPr>
          <w:lang w:val="en-GB"/>
        </w:rPr>
        <w:lastRenderedPageBreak/>
        <w:t>References</w:t>
      </w:r>
      <w:bookmarkEnd w:id="245"/>
      <w:bookmarkEnd w:id="246"/>
      <w:bookmarkEnd w:id="247"/>
      <w:bookmarkEnd w:id="248"/>
      <w:bookmarkEnd w:id="249"/>
    </w:p>
    <w:p w14:paraId="17C07DAF" w14:textId="4EA25F91" w:rsidR="00653752" w:rsidRPr="003E7AB7" w:rsidRDefault="00653752" w:rsidP="00653752">
      <w:pPr>
        <w:rPr>
          <w:lang w:val="en-GB"/>
        </w:rPr>
      </w:pPr>
      <w:r w:rsidRPr="00E8461E">
        <w:rPr>
          <w:noProof/>
          <w:lang w:val="en-GB"/>
        </w:rPr>
        <mc:AlternateContent>
          <mc:Choice Requires="wps">
            <w:drawing>
              <wp:inline distT="0" distB="0" distL="0" distR="0" wp14:anchorId="463911F8" wp14:editId="16733E33">
                <wp:extent cx="1035592" cy="115657"/>
                <wp:effectExtent l="0" t="0" r="0" b="0"/>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5592" cy="1156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6B5788" id="Rectangle 16" o:spid="_x0000_s1026" alt="&quot;&quot;" style="width:81.5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" fillcolor="#153a6e [3205]" stroked="f" strokeweight="1pt">
                <w10:anchorlock/>
              </v:rect>
            </w:pict>
          </mc:Fallback>
        </mc:AlternateContent>
      </w:r>
    </w:p>
    <w:sectPr w:rsidR="00653752" w:rsidRPr="003E7AB7" w:rsidSect="00D76CDF">
      <w:endnotePr>
        <w:numFmt w:val="decimal"/>
      </w:endnotePr>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5A005" w14:textId="77777777" w:rsidR="00A728F7" w:rsidRDefault="00A728F7" w:rsidP="000E5D87">
      <w:pPr>
        <w:spacing w:line="240" w:lineRule="auto"/>
      </w:pPr>
      <w:r>
        <w:separator/>
      </w:r>
    </w:p>
  </w:endnote>
  <w:endnote w:type="continuationSeparator" w:id="0">
    <w:p w14:paraId="6E97D570" w14:textId="77777777" w:rsidR="00A728F7" w:rsidRDefault="00A728F7" w:rsidP="000E5D87">
      <w:pPr>
        <w:spacing w:line="240" w:lineRule="auto"/>
      </w:pPr>
      <w:r>
        <w:continuationSeparator/>
      </w:r>
    </w:p>
  </w:endnote>
  <w:endnote w:type="continuationNotice" w:id="1">
    <w:p w14:paraId="384D6B68" w14:textId="77777777" w:rsidR="00A728F7" w:rsidRDefault="00A728F7">
      <w:pPr>
        <w:spacing w:line="240" w:lineRule="auto"/>
      </w:pPr>
    </w:p>
  </w:endnote>
  <w:endnote w:id="2">
    <w:p w14:paraId="7FFD5777" w14:textId="04AB95EC" w:rsidR="002D4994" w:rsidRDefault="002D4994" w:rsidP="00BB3490">
      <w:pPr>
        <w:pStyle w:val="EndnoteText"/>
      </w:pPr>
      <w:r w:rsidRPr="008117D0">
        <w:rPr>
          <w:rStyle w:val="EndnoteReference"/>
        </w:rPr>
        <w:endnoteRef/>
      </w:r>
      <w:r w:rsidRPr="008117D0">
        <w:t xml:space="preserve"> </w:t>
      </w:r>
      <w:r w:rsidR="0092523D">
        <w:t>B</w:t>
      </w:r>
      <w:r w:rsidR="00704964">
        <w:t>ureau of Meteorology</w:t>
      </w:r>
      <w:r w:rsidR="00155F04">
        <w:t xml:space="preserve"> (BOM)</w:t>
      </w:r>
      <w:r w:rsidR="0004209E">
        <w:t xml:space="preserve">, </w:t>
      </w:r>
      <w:hyperlink r:id="rId1" w:history="1">
        <w:r w:rsidR="0004209E" w:rsidRPr="00442633">
          <w:rPr>
            <w:rStyle w:val="Hyperlink"/>
            <w:i/>
            <w:iCs/>
          </w:rPr>
          <w:t>Australia’s chang</w:t>
        </w:r>
        <w:bookmarkStart w:id="13" w:name="_Hlt150947319"/>
        <w:bookmarkStart w:id="14" w:name="_Hlt150947320"/>
        <w:r w:rsidR="0004209E" w:rsidRPr="00442633">
          <w:rPr>
            <w:rStyle w:val="Hyperlink"/>
            <w:i/>
            <w:iCs/>
          </w:rPr>
          <w:t>i</w:t>
        </w:r>
        <w:bookmarkEnd w:id="13"/>
        <w:bookmarkEnd w:id="14"/>
        <w:r w:rsidR="0004209E" w:rsidRPr="00442633">
          <w:rPr>
            <w:rStyle w:val="Hyperlink"/>
            <w:i/>
            <w:iCs/>
          </w:rPr>
          <w:t>ng climate</w:t>
        </w:r>
      </w:hyperlink>
      <w:r w:rsidR="0004209E">
        <w:t xml:space="preserve">, </w:t>
      </w:r>
      <w:r w:rsidR="00155F04">
        <w:t>BOM</w:t>
      </w:r>
      <w:r w:rsidR="0004209E">
        <w:t xml:space="preserve"> website, Australian </w:t>
      </w:r>
      <w:r w:rsidR="00442633">
        <w:t>G</w:t>
      </w:r>
      <w:r w:rsidR="0004209E">
        <w:t xml:space="preserve">overnment, 2022, accessed </w:t>
      </w:r>
      <w:r w:rsidR="00442633">
        <w:t xml:space="preserve">13 November 2023. </w:t>
      </w:r>
    </w:p>
  </w:endnote>
  <w:endnote w:id="3">
    <w:p w14:paraId="7064E583" w14:textId="1D7BD932" w:rsidR="006D0F42" w:rsidRPr="00A22041" w:rsidRDefault="006D0F42" w:rsidP="00BB3490">
      <w:pPr>
        <w:pStyle w:val="EndnoteText"/>
      </w:pPr>
      <w:r w:rsidRPr="00A22041">
        <w:rPr>
          <w:rStyle w:val="EndnoteReference"/>
        </w:rPr>
        <w:endnoteRef/>
      </w:r>
      <w:r w:rsidRPr="00A22041">
        <w:t xml:space="preserve"> </w:t>
      </w:r>
      <w:r w:rsidR="00CD1DF2">
        <w:t xml:space="preserve">R Ara Begum, </w:t>
      </w:r>
      <w:r w:rsidR="00ED2179">
        <w:t>R Lempert, E Ali, TA Benjaminsen, T Bernauer, W Cramer, X Cui, K Mach, G Nagy, NC Stenseth, R Sukumar and P Wester</w:t>
      </w:r>
      <w:r w:rsidR="009B24CE" w:rsidRPr="00A22041">
        <w:t xml:space="preserve">, </w:t>
      </w:r>
      <w:r w:rsidR="00A97011">
        <w:t xml:space="preserve">‘Chapter 1: Point of departure and key concepts’, in </w:t>
      </w:r>
      <w:r w:rsidR="00EB35B0" w:rsidRPr="004165A7">
        <w:rPr>
          <w:i/>
          <w:iCs/>
        </w:rPr>
        <w:t>Climate Change 2022: Impacts, Adaptation and Vulnerability. Contribution of Working Group II to the Sixth Assessment Report of the Intergovernmental Panel on Climate Change</w:t>
      </w:r>
      <w:r w:rsidR="00EB35B0" w:rsidRPr="00840EE8">
        <w:t xml:space="preserve">, </w:t>
      </w:r>
      <w:r w:rsidR="00EB35B0" w:rsidRPr="004165A7">
        <w:rPr>
          <w:iCs/>
        </w:rPr>
        <w:t>Cambridge University Press</w:t>
      </w:r>
      <w:r w:rsidR="00EB35B0" w:rsidRPr="00840EE8">
        <w:t>,</w:t>
      </w:r>
      <w:r w:rsidR="00EB35B0">
        <w:t xml:space="preserve"> Cambridge UK</w:t>
      </w:r>
      <w:r w:rsidR="009B24CE" w:rsidRPr="00A22041">
        <w:t xml:space="preserve">, </w:t>
      </w:r>
      <w:r w:rsidR="00F37C4F" w:rsidRPr="00A22041">
        <w:t xml:space="preserve">2022, </w:t>
      </w:r>
      <w:r w:rsidR="007D6C50">
        <w:t>pp.</w:t>
      </w:r>
      <w:r w:rsidR="005838FA">
        <w:t>121</w:t>
      </w:r>
      <w:r w:rsidR="00ED5B54">
        <w:t>-</w:t>
      </w:r>
      <w:r w:rsidR="003C1C7C">
        <w:t>196</w:t>
      </w:r>
      <w:r w:rsidR="009B24CE" w:rsidRPr="00A22041">
        <w:t>, doi:10.1017/9781009325844.</w:t>
      </w:r>
    </w:p>
  </w:endnote>
  <w:endnote w:id="4">
    <w:p w14:paraId="4B823026" w14:textId="764A3025" w:rsidR="0067324D" w:rsidRDefault="0067324D" w:rsidP="00BB3490">
      <w:pPr>
        <w:pStyle w:val="EndnoteText"/>
      </w:pPr>
      <w:r>
        <w:rPr>
          <w:rStyle w:val="EndnoteReference"/>
        </w:rPr>
        <w:endnoteRef/>
      </w:r>
      <w:r w:rsidR="00322484">
        <w:t xml:space="preserve"> </w:t>
      </w:r>
      <w:r w:rsidR="00755273" w:rsidRPr="00755273">
        <w:t>M Romanello</w:t>
      </w:r>
      <w:r w:rsidR="00382648">
        <w:t>, C Di Napoli, P Drummond, C Green, H Kennard, P Lampard, D Scamman, N Arnell, S Ayeb-Karlsson, L Berrang Ford and 88 other authors</w:t>
      </w:r>
      <w:r w:rsidR="00382648" w:rsidRPr="007F27EA">
        <w:t>,</w:t>
      </w:r>
      <w:r w:rsidR="00755273" w:rsidRPr="00755273">
        <w:t xml:space="preserve"> ‘The 2022 report of the Lancet Countdown on health and climate change: Health at the mercy of fossil fuels’, </w:t>
      </w:r>
      <w:r w:rsidR="00755273" w:rsidRPr="00A22041">
        <w:rPr>
          <w:i/>
        </w:rPr>
        <w:t>The Lancet</w:t>
      </w:r>
      <w:r w:rsidR="00755273" w:rsidRPr="00755273">
        <w:t>, 2022, 400(10363):1619-1654, doi:10.1016/S0140-6736(22)01540-9</w:t>
      </w:r>
      <w:r w:rsidR="002A7D17" w:rsidRPr="0046309A">
        <w:rPr>
          <w:rStyle w:val="Hyperlink"/>
          <w:color w:val="auto"/>
          <w:u w:val="none"/>
        </w:rPr>
        <w:t>.</w:t>
      </w:r>
    </w:p>
  </w:endnote>
  <w:endnote w:id="5">
    <w:p w14:paraId="5F6ECF2C" w14:textId="23E903EF" w:rsidR="00A76002" w:rsidRDefault="00A76002" w:rsidP="00BB3490">
      <w:pPr>
        <w:pStyle w:val="EndnoteText"/>
      </w:pPr>
      <w:r>
        <w:rPr>
          <w:rStyle w:val="EndnoteReference"/>
        </w:rPr>
        <w:endnoteRef/>
      </w:r>
      <w:r>
        <w:t xml:space="preserve"> </w:t>
      </w:r>
      <w:r w:rsidR="00102CFE">
        <w:t>Australian Institute of Aboriginal and Torres Strait Islander Studies (</w:t>
      </w:r>
      <w:r w:rsidR="00755088">
        <w:t>AIATSIS</w:t>
      </w:r>
      <w:r w:rsidR="00102CFE">
        <w:t>)</w:t>
      </w:r>
      <w:r w:rsidR="00755088">
        <w:t xml:space="preserve">, </w:t>
      </w:r>
      <w:hyperlink r:id="rId2" w:history="1">
        <w:r w:rsidR="00D56EB6" w:rsidRPr="00081133">
          <w:rPr>
            <w:rStyle w:val="Hyperlink"/>
            <w:i/>
          </w:rPr>
          <w:t>The Benefits As</w:t>
        </w:r>
        <w:bookmarkStart w:id="15" w:name="_Hlt151035545"/>
        <w:bookmarkStart w:id="16" w:name="_Hlt151035546"/>
        <w:r w:rsidR="00D56EB6" w:rsidRPr="00081133">
          <w:rPr>
            <w:rStyle w:val="Hyperlink"/>
            <w:i/>
          </w:rPr>
          <w:t>s</w:t>
        </w:r>
        <w:bookmarkEnd w:id="15"/>
        <w:bookmarkEnd w:id="16"/>
        <w:r w:rsidR="00D56EB6" w:rsidRPr="00081133">
          <w:rPr>
            <w:rStyle w:val="Hyperlink"/>
            <w:i/>
          </w:rPr>
          <w:t>ociated with Caring for Country: Literature Review</w:t>
        </w:r>
      </w:hyperlink>
      <w:r w:rsidR="00D56EB6">
        <w:t>,</w:t>
      </w:r>
      <w:r w:rsidR="00A85882">
        <w:t xml:space="preserve"> AIATSIS, </w:t>
      </w:r>
      <w:r w:rsidR="008B607B">
        <w:t>A</w:t>
      </w:r>
      <w:r w:rsidR="00102CFE">
        <w:t xml:space="preserve">ustralian Government, </w:t>
      </w:r>
      <w:r w:rsidR="003A0E77">
        <w:t>2011</w:t>
      </w:r>
      <w:r w:rsidR="003274EE">
        <w:t xml:space="preserve">. </w:t>
      </w:r>
    </w:p>
  </w:endnote>
  <w:endnote w:id="6">
    <w:p w14:paraId="20669335" w14:textId="44418C51" w:rsidR="00725AD7" w:rsidRDefault="00725AD7" w:rsidP="00BB3490">
      <w:pPr>
        <w:pStyle w:val="EndnoteText"/>
      </w:pPr>
      <w:r>
        <w:rPr>
          <w:rStyle w:val="EndnoteReference"/>
        </w:rPr>
        <w:endnoteRef/>
      </w:r>
      <w:r>
        <w:t xml:space="preserve"> </w:t>
      </w:r>
      <w:r w:rsidR="00867BBA">
        <w:t xml:space="preserve">CP Burgess, FH Johnston and </w:t>
      </w:r>
      <w:r w:rsidR="00A87BE7">
        <w:t xml:space="preserve">PJ Whitehead, ‘Healthy country: healthy people? Exploring the health benefits of Indigenous natural resource management’, </w:t>
      </w:r>
      <w:r w:rsidR="00EC3CEC" w:rsidRPr="00C56A95">
        <w:rPr>
          <w:i/>
        </w:rPr>
        <w:t>Australian and New Zealand Journal of Public Health</w:t>
      </w:r>
      <w:r w:rsidR="00EC3CEC">
        <w:t xml:space="preserve">, 2005, </w:t>
      </w:r>
      <w:r w:rsidR="00325B9F">
        <w:t>29</w:t>
      </w:r>
      <w:r w:rsidR="00C8738F">
        <w:t>(2):117</w:t>
      </w:r>
      <w:r w:rsidR="006125D7">
        <w:t>-122</w:t>
      </w:r>
      <w:r w:rsidR="002B1100">
        <w:t>, doi:</w:t>
      </w:r>
      <w:r w:rsidR="009F091A" w:rsidRPr="009F091A">
        <w:t>10.1111/j.1467-842X.2005.tb00060.x</w:t>
      </w:r>
      <w:r w:rsidR="009F091A">
        <w:t>.</w:t>
      </w:r>
    </w:p>
  </w:endnote>
  <w:endnote w:id="7">
    <w:p w14:paraId="5232C73A" w14:textId="1C8BEA6D" w:rsidR="0036419F" w:rsidRPr="00A22041" w:rsidRDefault="0036419F" w:rsidP="00BB3490">
      <w:pPr>
        <w:pStyle w:val="EndnoteText"/>
      </w:pPr>
      <w:r w:rsidRPr="00A22041">
        <w:rPr>
          <w:rStyle w:val="EndnoteReference"/>
        </w:rPr>
        <w:endnoteRef/>
      </w:r>
      <w:r w:rsidRPr="00A22041">
        <w:t xml:space="preserve"> S Quilty, NF Jupurrurla, RS Bailie and RL Gruen, ‘Climate, housing, energy and Indigenous health: A call to action’, </w:t>
      </w:r>
      <w:r w:rsidR="00B10955">
        <w:rPr>
          <w:i/>
          <w:iCs/>
        </w:rPr>
        <w:t xml:space="preserve">The </w:t>
      </w:r>
      <w:r w:rsidRPr="00A22041">
        <w:rPr>
          <w:i/>
        </w:rPr>
        <w:t>Medical Journal of Australia</w:t>
      </w:r>
      <w:r w:rsidRPr="00A22041">
        <w:t>, 2022, 217(1):9-12, doi:10.5694/mja2.51610.</w:t>
      </w:r>
    </w:p>
  </w:endnote>
  <w:endnote w:id="8">
    <w:p w14:paraId="3697470C" w14:textId="5E0B393C" w:rsidR="00FD3E7B" w:rsidRPr="00A22041" w:rsidRDefault="00FD3E7B" w:rsidP="00BB3490">
      <w:pPr>
        <w:pStyle w:val="EndnoteText"/>
        <w:rPr>
          <w:iCs/>
        </w:rPr>
      </w:pPr>
      <w:r w:rsidRPr="00A22041">
        <w:rPr>
          <w:rStyle w:val="EndnoteReference"/>
        </w:rPr>
        <w:endnoteRef/>
      </w:r>
      <w:r w:rsidR="001D3DE6" w:rsidRPr="00A22041">
        <w:rPr>
          <w:rFonts w:cstheme="minorHAnsi"/>
          <w:color w:val="222222"/>
          <w:shd w:val="clear" w:color="auto" w:fill="FFFFFF"/>
        </w:rPr>
        <w:t xml:space="preserve"> </w:t>
      </w:r>
      <w:r w:rsidRPr="00A22041">
        <w:rPr>
          <w:rFonts w:cstheme="minorHAnsi"/>
          <w:color w:val="222222"/>
          <w:shd w:val="clear" w:color="auto" w:fill="FFFFFF"/>
        </w:rPr>
        <w:t>World Health Organization</w:t>
      </w:r>
      <w:r w:rsidR="00031FFD" w:rsidRPr="00A22041">
        <w:rPr>
          <w:rFonts w:cstheme="minorHAnsi"/>
          <w:color w:val="222222"/>
          <w:shd w:val="clear" w:color="auto" w:fill="FFFFFF"/>
        </w:rPr>
        <w:t xml:space="preserve"> (WHO)</w:t>
      </w:r>
      <w:r w:rsidRPr="00A22041">
        <w:rPr>
          <w:rFonts w:cstheme="minorHAnsi"/>
          <w:color w:val="222222"/>
          <w:shd w:val="clear" w:color="auto" w:fill="FFFFFF"/>
        </w:rPr>
        <w:t>,</w:t>
      </w:r>
      <w:r w:rsidR="000A278F" w:rsidRPr="00A22041">
        <w:t xml:space="preserve"> </w:t>
      </w:r>
      <w:hyperlink r:id="rId3" w:history="1">
        <w:r w:rsidR="00184C4E">
          <w:rPr>
            <w:rStyle w:val="Hyperlink"/>
            <w:rFonts w:cstheme="minorHAnsi"/>
            <w:i/>
            <w:shd w:val="clear" w:color="auto" w:fill="FFFFFF"/>
          </w:rPr>
          <w:t xml:space="preserve">Constitution of the </w:t>
        </w:r>
        <w:r w:rsidR="002F6391">
          <w:rPr>
            <w:rStyle w:val="Hyperlink"/>
            <w:rFonts w:cstheme="minorHAnsi"/>
            <w:i/>
            <w:shd w:val="clear" w:color="auto" w:fill="FFFFFF"/>
          </w:rPr>
          <w:t>W</w:t>
        </w:r>
        <w:r w:rsidR="00184C4E">
          <w:rPr>
            <w:rStyle w:val="Hyperlink"/>
            <w:rFonts w:cstheme="minorHAnsi"/>
            <w:i/>
            <w:shd w:val="clear" w:color="auto" w:fill="FFFFFF"/>
          </w:rPr>
          <w:t xml:space="preserve">orld </w:t>
        </w:r>
        <w:r w:rsidR="002F6391">
          <w:rPr>
            <w:rStyle w:val="Hyperlink"/>
            <w:rFonts w:cstheme="minorHAnsi"/>
            <w:i/>
            <w:shd w:val="clear" w:color="auto" w:fill="FFFFFF"/>
          </w:rPr>
          <w:t>H</w:t>
        </w:r>
        <w:r w:rsidR="00184C4E">
          <w:rPr>
            <w:rStyle w:val="Hyperlink"/>
            <w:rFonts w:cstheme="minorHAnsi"/>
            <w:i/>
            <w:shd w:val="clear" w:color="auto" w:fill="FFFFFF"/>
          </w:rPr>
          <w:t xml:space="preserve">ealth </w:t>
        </w:r>
        <w:r w:rsidR="002F6391">
          <w:rPr>
            <w:rStyle w:val="Hyperlink"/>
            <w:rFonts w:cstheme="minorHAnsi"/>
            <w:i/>
            <w:shd w:val="clear" w:color="auto" w:fill="FFFFFF"/>
          </w:rPr>
          <w:t>O</w:t>
        </w:r>
        <w:r w:rsidR="00184C4E">
          <w:rPr>
            <w:rStyle w:val="Hyperlink"/>
            <w:rFonts w:cstheme="minorHAnsi"/>
            <w:i/>
            <w:shd w:val="clear" w:color="auto" w:fill="FFFFFF"/>
          </w:rPr>
          <w:t>rganization</w:t>
        </w:r>
      </w:hyperlink>
      <w:r w:rsidR="00184C4E">
        <w:rPr>
          <w:rFonts w:cstheme="minorHAnsi"/>
          <w:i/>
          <w:color w:val="222222"/>
          <w:shd w:val="clear" w:color="auto" w:fill="FFFFFF"/>
        </w:rPr>
        <w:t>,</w:t>
      </w:r>
      <w:r w:rsidR="000B5BCE" w:rsidRPr="00A22041">
        <w:rPr>
          <w:rFonts w:cstheme="minorHAnsi"/>
          <w:i/>
          <w:color w:val="222222"/>
          <w:shd w:val="clear" w:color="auto" w:fill="FFFFFF"/>
        </w:rPr>
        <w:t xml:space="preserve"> </w:t>
      </w:r>
      <w:r w:rsidR="000B5BCE" w:rsidRPr="00A22041">
        <w:rPr>
          <w:rFonts w:cstheme="minorHAnsi"/>
          <w:color w:val="222222"/>
          <w:shd w:val="clear" w:color="auto" w:fill="FFFFFF"/>
        </w:rPr>
        <w:t>WHO</w:t>
      </w:r>
      <w:r w:rsidR="00166DB1" w:rsidRPr="00A22041">
        <w:rPr>
          <w:rFonts w:cstheme="minorHAnsi"/>
          <w:color w:val="222222"/>
          <w:shd w:val="clear" w:color="auto" w:fill="FFFFFF"/>
        </w:rPr>
        <w:t xml:space="preserve"> website</w:t>
      </w:r>
      <w:r w:rsidR="00166DB1" w:rsidRPr="001F735C">
        <w:rPr>
          <w:rFonts w:cstheme="minorHAnsi"/>
          <w:color w:val="222222"/>
          <w:shd w:val="clear" w:color="auto" w:fill="FFFFFF"/>
        </w:rPr>
        <w:t xml:space="preserve">, </w:t>
      </w:r>
      <w:r w:rsidR="00B967A2" w:rsidRPr="001F735C">
        <w:rPr>
          <w:rFonts w:cstheme="minorHAnsi"/>
          <w:color w:val="222222"/>
          <w:shd w:val="clear" w:color="auto" w:fill="FFFFFF"/>
        </w:rPr>
        <w:t>1995</w:t>
      </w:r>
      <w:r w:rsidR="000837F8" w:rsidRPr="00A22041">
        <w:rPr>
          <w:rFonts w:cstheme="minorHAnsi"/>
          <w:i/>
          <w:iCs/>
          <w:color w:val="222222"/>
          <w:shd w:val="clear" w:color="auto" w:fill="FFFFFF"/>
        </w:rPr>
        <w:t>,</w:t>
      </w:r>
      <w:r w:rsidR="000837F8" w:rsidRPr="00A22041">
        <w:rPr>
          <w:rFonts w:cstheme="minorHAnsi"/>
          <w:color w:val="222222"/>
          <w:shd w:val="clear" w:color="auto" w:fill="FFFFFF"/>
        </w:rPr>
        <w:t xml:space="preserve"> </w:t>
      </w:r>
      <w:r w:rsidR="00A773FF">
        <w:rPr>
          <w:rFonts w:cstheme="minorHAnsi"/>
          <w:color w:val="222222"/>
          <w:shd w:val="clear" w:color="auto" w:fill="FFFFFF"/>
        </w:rPr>
        <w:t>accessed 21 November 2023.</w:t>
      </w:r>
    </w:p>
  </w:endnote>
  <w:endnote w:id="9">
    <w:p w14:paraId="38DD27A5" w14:textId="282737E9" w:rsidR="00D357D0" w:rsidRDefault="00D357D0" w:rsidP="00BB3490">
      <w:pPr>
        <w:pStyle w:val="EndnoteText"/>
      </w:pPr>
      <w:r>
        <w:rPr>
          <w:rStyle w:val="EndnoteReference"/>
        </w:rPr>
        <w:endnoteRef/>
      </w:r>
      <w:r>
        <w:t xml:space="preserve"> </w:t>
      </w:r>
      <w:r w:rsidRPr="00A22041">
        <w:t>World Health Organization</w:t>
      </w:r>
      <w:r>
        <w:t xml:space="preserve"> (WHO)</w:t>
      </w:r>
      <w:r w:rsidRPr="00A22041">
        <w:t xml:space="preserve">, </w:t>
      </w:r>
      <w:hyperlink r:id="rId4" w:history="1">
        <w:r w:rsidRPr="00A22041">
          <w:rPr>
            <w:rStyle w:val="Hyperlink"/>
            <w:i/>
          </w:rPr>
          <w:t xml:space="preserve">What you need to know about Health in All </w:t>
        </w:r>
        <w:r w:rsidRPr="00A22041">
          <w:rPr>
            <w:rStyle w:val="Hyperlink"/>
            <w:i/>
            <w:iCs/>
          </w:rPr>
          <w:t>Policies</w:t>
        </w:r>
        <w:r w:rsidR="00965DD9">
          <w:rPr>
            <w:rStyle w:val="Hyperlink"/>
            <w:i/>
            <w:iCs/>
          </w:rPr>
          <w:t>: key messages</w:t>
        </w:r>
      </w:hyperlink>
      <w:r w:rsidRPr="00A22041">
        <w:t xml:space="preserve">, WHO website, 2015, </w:t>
      </w:r>
      <w:r>
        <w:rPr>
          <w:rFonts w:cstheme="minorHAnsi"/>
          <w:color w:val="222222"/>
          <w:shd w:val="clear" w:color="auto" w:fill="FFFFFF"/>
        </w:rPr>
        <w:t xml:space="preserve">accessed </w:t>
      </w:r>
      <w:r w:rsidR="00A773FF">
        <w:rPr>
          <w:rFonts w:cstheme="minorHAnsi"/>
          <w:color w:val="222222"/>
          <w:shd w:val="clear" w:color="auto" w:fill="FFFFFF"/>
        </w:rPr>
        <w:t>21 November 2023.</w:t>
      </w:r>
    </w:p>
  </w:endnote>
  <w:endnote w:id="10">
    <w:p w14:paraId="2230BA72" w14:textId="048E805F" w:rsidR="00F84436" w:rsidRPr="00A22041" w:rsidRDefault="00F84436" w:rsidP="00BB3490">
      <w:pPr>
        <w:pStyle w:val="EndnoteText"/>
      </w:pPr>
      <w:r w:rsidRPr="00A22041">
        <w:rPr>
          <w:rStyle w:val="EndnoteReference"/>
        </w:rPr>
        <w:endnoteRef/>
      </w:r>
      <w:r w:rsidRPr="00A22041">
        <w:t xml:space="preserve"> </w:t>
      </w:r>
      <w:r w:rsidR="008C268B">
        <w:t xml:space="preserve">Australian </w:t>
      </w:r>
      <w:r w:rsidR="00710102" w:rsidRPr="00A22041">
        <w:t xml:space="preserve">Department of Foreign Affairs and Trade (DFAT), </w:t>
      </w:r>
      <w:hyperlink r:id="rId5" w:history="1">
        <w:r w:rsidR="00551268" w:rsidRPr="00897ADF">
          <w:rPr>
            <w:rStyle w:val="Hyperlink"/>
            <w:i/>
            <w:iCs/>
          </w:rPr>
          <w:t>International Covenant on Economic, Social and Cultural Rights</w:t>
        </w:r>
      </w:hyperlink>
      <w:r w:rsidR="00292569" w:rsidRPr="00897ADF">
        <w:rPr>
          <w:i/>
          <w:iCs/>
        </w:rPr>
        <w:t>,</w:t>
      </w:r>
      <w:r w:rsidR="00292569" w:rsidRPr="004B7CA6">
        <w:t xml:space="preserve"> D</w:t>
      </w:r>
      <w:r w:rsidR="005172FA" w:rsidRPr="00A22041">
        <w:t>FAT</w:t>
      </w:r>
      <w:r w:rsidR="00710102" w:rsidRPr="00A22041">
        <w:t xml:space="preserve">, </w:t>
      </w:r>
      <w:r w:rsidR="00694497" w:rsidRPr="00A22041">
        <w:t>Australian Government</w:t>
      </w:r>
      <w:r w:rsidR="00710102" w:rsidRPr="00A22041">
        <w:t xml:space="preserve">, </w:t>
      </w:r>
      <w:r w:rsidR="00044F81">
        <w:t>1995</w:t>
      </w:r>
      <w:r w:rsidR="00431193" w:rsidRPr="00A22041">
        <w:t>.</w:t>
      </w:r>
    </w:p>
  </w:endnote>
  <w:endnote w:id="11">
    <w:p w14:paraId="3BD8774B" w14:textId="70F6879C" w:rsidR="00C055B1" w:rsidRPr="00A22041" w:rsidRDefault="00C055B1" w:rsidP="00BB3490">
      <w:pPr>
        <w:pStyle w:val="EndnoteText"/>
        <w:rPr>
          <w:rFonts w:cstheme="minorHAnsi"/>
          <w:color w:val="202020"/>
          <w:sz w:val="16"/>
          <w:szCs w:val="16"/>
        </w:rPr>
      </w:pPr>
      <w:r w:rsidRPr="00A22041">
        <w:rPr>
          <w:rStyle w:val="EndnoteReference"/>
          <w:rFonts w:cstheme="minorHAnsi"/>
        </w:rPr>
        <w:endnoteRef/>
      </w:r>
      <w:r w:rsidRPr="00A22041">
        <w:rPr>
          <w:rFonts w:cstheme="minorHAnsi"/>
        </w:rPr>
        <w:t xml:space="preserve"> </w:t>
      </w:r>
      <w:r w:rsidR="002B0628" w:rsidRPr="00A22041">
        <w:rPr>
          <w:rFonts w:cstheme="minorHAnsi"/>
        </w:rPr>
        <w:t>One Health High-Level Expert Panel, ‘</w:t>
      </w:r>
      <w:r w:rsidR="002B48B8" w:rsidRPr="00A22041">
        <w:rPr>
          <w:rFonts w:cstheme="minorHAnsi"/>
        </w:rPr>
        <w:t xml:space="preserve">One Health: A new definition for a sustainable and healthy future’, </w:t>
      </w:r>
      <w:r w:rsidR="003252C8" w:rsidRPr="004B7CA6">
        <w:rPr>
          <w:rFonts w:cstheme="minorHAnsi"/>
          <w:i/>
        </w:rPr>
        <w:t>PLOS Pathogens</w:t>
      </w:r>
      <w:r w:rsidR="003252C8" w:rsidRPr="00A22041">
        <w:rPr>
          <w:rFonts w:cstheme="minorHAnsi"/>
        </w:rPr>
        <w:t xml:space="preserve">, </w:t>
      </w:r>
      <w:r w:rsidR="0002391C" w:rsidRPr="00A22041">
        <w:rPr>
          <w:rFonts w:cstheme="minorHAnsi"/>
        </w:rPr>
        <w:t>2022</w:t>
      </w:r>
      <w:r w:rsidR="00156BF2" w:rsidRPr="00A22041">
        <w:rPr>
          <w:rFonts w:cstheme="minorHAnsi"/>
        </w:rPr>
        <w:t xml:space="preserve">, </w:t>
      </w:r>
      <w:r w:rsidR="002A7450" w:rsidRPr="00A22041">
        <w:rPr>
          <w:rFonts w:cstheme="minorHAnsi"/>
        </w:rPr>
        <w:t>18(6)</w:t>
      </w:r>
      <w:r w:rsidR="002E5E4A" w:rsidRPr="00A22041">
        <w:rPr>
          <w:rFonts w:cstheme="minorHAnsi"/>
        </w:rPr>
        <w:t>:</w:t>
      </w:r>
      <w:r w:rsidR="00F801B7">
        <w:rPr>
          <w:rFonts w:cstheme="minorHAnsi"/>
        </w:rPr>
        <w:t>1-4</w:t>
      </w:r>
      <w:r w:rsidR="009B1806" w:rsidRPr="00A22041">
        <w:rPr>
          <w:rFonts w:cstheme="minorHAnsi"/>
        </w:rPr>
        <w:t xml:space="preserve">, </w:t>
      </w:r>
      <w:r w:rsidR="002B31DB" w:rsidRPr="00A22041">
        <w:rPr>
          <w:rFonts w:cstheme="minorHAnsi"/>
        </w:rPr>
        <w:t>doi:</w:t>
      </w:r>
      <w:r w:rsidR="00B92BEF" w:rsidRPr="00A22041">
        <w:rPr>
          <w:rFonts w:cstheme="minorHAnsi"/>
        </w:rPr>
        <w:t>10.1371/journal.ppat.1010537</w:t>
      </w:r>
      <w:r w:rsidR="00FD053B">
        <w:rPr>
          <w:rFonts w:cstheme="minorHAnsi"/>
        </w:rPr>
        <w:t>.</w:t>
      </w:r>
    </w:p>
  </w:endnote>
  <w:endnote w:id="12">
    <w:p w14:paraId="6632FBBB" w14:textId="7EDED1F9" w:rsidR="00A018D2" w:rsidRDefault="00A018D2" w:rsidP="00BB3490">
      <w:pPr>
        <w:pStyle w:val="EndnoteText"/>
      </w:pPr>
      <w:r w:rsidRPr="00FD1ABD">
        <w:rPr>
          <w:rStyle w:val="EndnoteReference"/>
        </w:rPr>
        <w:endnoteRef/>
      </w:r>
      <w:r w:rsidRPr="00FD1ABD">
        <w:t xml:space="preserve"> </w:t>
      </w:r>
      <w:r w:rsidR="002E4D90">
        <w:t>S Whitmee, A Haines, C Beyrer</w:t>
      </w:r>
      <w:r w:rsidR="000B139D">
        <w:t>, F Boltz</w:t>
      </w:r>
      <w:r w:rsidR="0057596C">
        <w:t>, AG Capon, B Ferreira de Souza Dias</w:t>
      </w:r>
      <w:r w:rsidR="00A75E85">
        <w:t xml:space="preserve">, </w:t>
      </w:r>
      <w:r w:rsidR="00086A71">
        <w:t>A Ezeh, H Frumkin, P Gong, P Head</w:t>
      </w:r>
      <w:r w:rsidR="004A5E6F">
        <w:t>, R Horton</w:t>
      </w:r>
      <w:r w:rsidR="000956F6">
        <w:t>, GM Mace</w:t>
      </w:r>
      <w:r w:rsidR="00DE7DBF">
        <w:t xml:space="preserve"> and </w:t>
      </w:r>
      <w:r w:rsidR="001356C8">
        <w:t>10 other</w:t>
      </w:r>
      <w:r w:rsidR="0077014C">
        <w:t xml:space="preserve"> authors</w:t>
      </w:r>
      <w:r w:rsidR="001356C8">
        <w:t>,</w:t>
      </w:r>
      <w:r w:rsidR="0077014C">
        <w:t xml:space="preserve"> </w:t>
      </w:r>
      <w:r w:rsidR="00B61B3E">
        <w:t>‘</w:t>
      </w:r>
      <w:r w:rsidR="0098583D">
        <w:t xml:space="preserve">Safeguarding </w:t>
      </w:r>
      <w:r w:rsidR="000E52EA">
        <w:t>human health in the Ant</w:t>
      </w:r>
      <w:r w:rsidR="00A63C86">
        <w:t xml:space="preserve">hropocene epoch: report of the Rockefeller Foundation – </w:t>
      </w:r>
      <w:r w:rsidR="00A63C86" w:rsidRPr="00296DD8">
        <w:rPr>
          <w:i/>
        </w:rPr>
        <w:t>Lancet</w:t>
      </w:r>
      <w:r w:rsidR="00A63C86">
        <w:t xml:space="preserve"> Commission on planetary health</w:t>
      </w:r>
      <w:r w:rsidR="00B61B3E">
        <w:t>’</w:t>
      </w:r>
      <w:r w:rsidR="001F1D0D">
        <w:t>,</w:t>
      </w:r>
      <w:r w:rsidR="00C65474">
        <w:t xml:space="preserve"> </w:t>
      </w:r>
      <w:r w:rsidR="006A2D6E">
        <w:rPr>
          <w:i/>
          <w:iCs/>
        </w:rPr>
        <w:t>The</w:t>
      </w:r>
      <w:r w:rsidR="00DB3D7E">
        <w:rPr>
          <w:i/>
          <w:iCs/>
        </w:rPr>
        <w:t xml:space="preserve"> </w:t>
      </w:r>
      <w:r w:rsidR="006A2D6E">
        <w:rPr>
          <w:i/>
          <w:iCs/>
        </w:rPr>
        <w:t>Lancet</w:t>
      </w:r>
      <w:r w:rsidR="001303BA">
        <w:t xml:space="preserve">, 2015, </w:t>
      </w:r>
      <w:r w:rsidR="001E1B22">
        <w:t>386(</w:t>
      </w:r>
      <w:r w:rsidR="00DD7D42">
        <w:t>100</w:t>
      </w:r>
      <w:r w:rsidR="00780C58">
        <w:t>07)</w:t>
      </w:r>
      <w:r w:rsidR="000D041D">
        <w:t>:1973</w:t>
      </w:r>
      <w:r w:rsidR="005C4FC3">
        <w:t>-2028</w:t>
      </w:r>
      <w:r w:rsidR="00516635">
        <w:t>, doi:10.1016/S0140</w:t>
      </w:r>
      <w:r w:rsidR="00B73200">
        <w:t>-673</w:t>
      </w:r>
      <w:r w:rsidR="00BB3490">
        <w:t>6</w:t>
      </w:r>
      <w:r w:rsidR="00B73200">
        <w:t>(15)</w:t>
      </w:r>
      <w:r w:rsidR="00E83B0C">
        <w:t xml:space="preserve">60901-1. </w:t>
      </w:r>
    </w:p>
  </w:endnote>
  <w:endnote w:id="13">
    <w:p w14:paraId="7D4908D7" w14:textId="1808F8E1" w:rsidR="00515B3F" w:rsidRPr="00CB50E0" w:rsidRDefault="00515B3F" w:rsidP="00BB3490">
      <w:pPr>
        <w:pStyle w:val="EndnoteText"/>
        <w:rPr>
          <w:rFonts w:cstheme="minorHAnsi"/>
        </w:rPr>
      </w:pPr>
      <w:r w:rsidRPr="00CB50E0">
        <w:rPr>
          <w:rStyle w:val="EndnoteReference"/>
          <w:rFonts w:cstheme="minorHAnsi"/>
        </w:rPr>
        <w:endnoteRef/>
      </w:r>
      <w:r w:rsidRPr="00CB50E0">
        <w:rPr>
          <w:rFonts w:cstheme="minorHAnsi"/>
        </w:rPr>
        <w:t xml:space="preserve"> V Matthews, AR Atkinson, L Grace, L Jo, S Vardoulakis and J Mohamed, ‘Justice, culture, and relationships: Australian Indigenous prescription for planetary health’</w:t>
      </w:r>
      <w:r w:rsidRPr="00CB50E0">
        <w:rPr>
          <w:rFonts w:cstheme="minorHAnsi"/>
          <w:i/>
        </w:rPr>
        <w:t>,</w:t>
      </w:r>
      <w:r w:rsidRPr="00CB50E0">
        <w:rPr>
          <w:rFonts w:cstheme="minorHAnsi"/>
        </w:rPr>
        <w:t xml:space="preserve"> </w:t>
      </w:r>
      <w:r w:rsidRPr="00CB50E0">
        <w:rPr>
          <w:rFonts w:cstheme="minorHAnsi"/>
          <w:i/>
        </w:rPr>
        <w:t>Science,</w:t>
      </w:r>
      <w:r w:rsidRPr="00CB50E0">
        <w:rPr>
          <w:rFonts w:cstheme="minorHAnsi"/>
        </w:rPr>
        <w:t xml:space="preserve"> 2023, 381(6658):636</w:t>
      </w:r>
      <w:r w:rsidR="00526233" w:rsidRPr="00CB50E0">
        <w:rPr>
          <w:rFonts w:cstheme="minorHAnsi"/>
        </w:rPr>
        <w:t>-</w:t>
      </w:r>
      <w:r w:rsidRPr="00CB50E0">
        <w:rPr>
          <w:rFonts w:cstheme="minorHAnsi"/>
        </w:rPr>
        <w:t>641, doi:</w:t>
      </w:r>
      <w:r w:rsidRPr="001D2EE7">
        <w:rPr>
          <w:rStyle w:val="cf01"/>
          <w:rFonts w:asciiTheme="minorHAnsi" w:hAnsiTheme="minorHAnsi" w:cstheme="minorHAnsi"/>
          <w:sz w:val="20"/>
          <w:szCs w:val="20"/>
        </w:rPr>
        <w:t>10.1126/science.adh9949</w:t>
      </w:r>
      <w:r w:rsidRPr="00CB50E0">
        <w:rPr>
          <w:rFonts w:cstheme="minorHAnsi"/>
        </w:rPr>
        <w:t>.</w:t>
      </w:r>
    </w:p>
  </w:endnote>
  <w:endnote w:id="14">
    <w:p w14:paraId="65235250" w14:textId="13E7F06F" w:rsidR="00A94EE2" w:rsidRPr="003F7E7C" w:rsidRDefault="00A94EE2" w:rsidP="00BB3490">
      <w:pPr>
        <w:pStyle w:val="EndnoteText"/>
      </w:pPr>
      <w:r>
        <w:rPr>
          <w:rStyle w:val="EndnoteReference"/>
        </w:rPr>
        <w:endnoteRef/>
      </w:r>
      <w:r>
        <w:t xml:space="preserve"> </w:t>
      </w:r>
      <w:r w:rsidR="008C268B">
        <w:t xml:space="preserve">Australian </w:t>
      </w:r>
      <w:r>
        <w:t xml:space="preserve">Department of Health, </w:t>
      </w:r>
      <w:hyperlink r:id="rId6" w:history="1">
        <w:r w:rsidRPr="003F7E7C">
          <w:rPr>
            <w:rStyle w:val="Hyperlink"/>
            <w:i/>
            <w:iCs/>
          </w:rPr>
          <w:t>National Aboriginal and Torres Strait Islander Health Plan 2021-2031</w:t>
        </w:r>
      </w:hyperlink>
      <w:r>
        <w:rPr>
          <w:i/>
          <w:iCs/>
        </w:rPr>
        <w:t xml:space="preserve">, </w:t>
      </w:r>
      <w:r w:rsidR="00571603">
        <w:t>Department of Health</w:t>
      </w:r>
      <w:r>
        <w:t>, Australian Government</w:t>
      </w:r>
      <w:r w:rsidR="0023645D">
        <w:t>,</w:t>
      </w:r>
      <w:r>
        <w:t xml:space="preserve"> 2021. </w:t>
      </w:r>
    </w:p>
  </w:endnote>
  <w:endnote w:id="15">
    <w:p w14:paraId="5AD71778" w14:textId="2E75C862" w:rsidR="007B255E" w:rsidRDefault="007B255E" w:rsidP="00BB3490">
      <w:pPr>
        <w:pStyle w:val="EndnoteText"/>
      </w:pPr>
      <w:r>
        <w:rPr>
          <w:rStyle w:val="EndnoteReference"/>
        </w:rPr>
        <w:endnoteRef/>
      </w:r>
      <w:r w:rsidR="00B36248">
        <w:t xml:space="preserve"> A</w:t>
      </w:r>
      <w:r w:rsidR="00CF1D19">
        <w:t>ustralian</w:t>
      </w:r>
      <w:r>
        <w:t xml:space="preserve"> </w:t>
      </w:r>
      <w:r w:rsidR="00D66E73">
        <w:t xml:space="preserve">Department of Health, </w:t>
      </w:r>
      <w:hyperlink r:id="rId7" w:history="1">
        <w:r w:rsidR="004B539E" w:rsidRPr="00B0700C">
          <w:rPr>
            <w:rStyle w:val="Hyperlink"/>
            <w:i/>
          </w:rPr>
          <w:t>National Aboriginal and Torres Strait Islander Health Workforce Strategic Framework and Implementation Plan 2021–2031</w:t>
        </w:r>
      </w:hyperlink>
      <w:r w:rsidR="00D66E73">
        <w:t xml:space="preserve">, </w:t>
      </w:r>
      <w:r w:rsidR="00571603">
        <w:t>Department of Health</w:t>
      </w:r>
      <w:r w:rsidR="00D66E73">
        <w:t>, Australian Government</w:t>
      </w:r>
      <w:r w:rsidR="0023645D">
        <w:t>, 2021</w:t>
      </w:r>
      <w:r w:rsidR="00D66E73">
        <w:t xml:space="preserve">. </w:t>
      </w:r>
    </w:p>
  </w:endnote>
  <w:endnote w:id="16">
    <w:p w14:paraId="3C71D78C" w14:textId="597F3C3C" w:rsidR="00A51557" w:rsidRPr="00BB3490" w:rsidRDefault="00A51557" w:rsidP="00BB3490">
      <w:pPr>
        <w:pStyle w:val="EndnoteText"/>
      </w:pPr>
      <w:r w:rsidRPr="00A22041">
        <w:rPr>
          <w:rStyle w:val="EndnoteReference"/>
        </w:rPr>
        <w:endnoteRef/>
      </w:r>
      <w:r w:rsidRPr="00A22041">
        <w:t xml:space="preserve"> </w:t>
      </w:r>
      <w:r w:rsidR="00947DFC" w:rsidRPr="00947DFC">
        <w:t>V Matthews, AR Atkinson, G Lee, K Vine and J Longman</w:t>
      </w:r>
      <w:r w:rsidR="009A3806">
        <w:t xml:space="preserve">, </w:t>
      </w:r>
      <w:hyperlink r:id="rId8" w:history="1">
        <w:r w:rsidR="00746E3D" w:rsidRPr="00FC2DAB">
          <w:rPr>
            <w:rStyle w:val="Hyperlink"/>
            <w:i/>
          </w:rPr>
          <w:t>Climate Change and Aboriginal and Torres Strait Islander Health</w:t>
        </w:r>
      </w:hyperlink>
      <w:r w:rsidR="00746E3D">
        <w:rPr>
          <w:i/>
        </w:rPr>
        <w:t>,</w:t>
      </w:r>
      <w:r w:rsidR="00746E3D" w:rsidRPr="00F42E20">
        <w:rPr>
          <w:i/>
        </w:rPr>
        <w:t xml:space="preserve"> </w:t>
      </w:r>
      <w:r w:rsidR="00746E3D" w:rsidRPr="00F42E20">
        <w:rPr>
          <w:iCs/>
        </w:rPr>
        <w:t xml:space="preserve">Discussion </w:t>
      </w:r>
      <w:r w:rsidR="00746E3D" w:rsidRPr="00BB3490">
        <w:rPr>
          <w:iCs/>
        </w:rPr>
        <w:t>Paper</w:t>
      </w:r>
      <w:r w:rsidR="00947DFC" w:rsidRPr="00BB3490">
        <w:t xml:space="preserve">, </w:t>
      </w:r>
      <w:r w:rsidR="009A3806" w:rsidRPr="00BB3490">
        <w:t>Lowitja Institute</w:t>
      </w:r>
      <w:r w:rsidR="000D4F20" w:rsidRPr="00BB3490">
        <w:t xml:space="preserve">, </w:t>
      </w:r>
      <w:r w:rsidR="00947DFC" w:rsidRPr="00BB3490">
        <w:t>2021.</w:t>
      </w:r>
    </w:p>
  </w:endnote>
  <w:endnote w:id="17">
    <w:p w14:paraId="7666F29E" w14:textId="073F059F" w:rsidR="00A51557" w:rsidRPr="00A22041" w:rsidRDefault="00A51557" w:rsidP="00BB3490">
      <w:pPr>
        <w:pStyle w:val="EndnoteText"/>
      </w:pPr>
      <w:r w:rsidRPr="00BB3490">
        <w:rPr>
          <w:rStyle w:val="EndnoteReference"/>
        </w:rPr>
        <w:endnoteRef/>
      </w:r>
      <w:r w:rsidRPr="00BB3490">
        <w:t xml:space="preserve"> V Matthews, AR Atkinson, </w:t>
      </w:r>
      <w:r w:rsidR="00BB3490" w:rsidRPr="00BB3490">
        <w:t>G Lee, K Vine, J Longman</w:t>
      </w:r>
      <w:r w:rsidRPr="00BB3490">
        <w:t>, S</w:t>
      </w:r>
      <w:r w:rsidRPr="00A22041">
        <w:t xml:space="preserve"> Vardoulakis and J Mohamed, ‘Justice, culture, and relationships: Australian Indigenous prescription for planetary health’, </w:t>
      </w:r>
      <w:r w:rsidRPr="00A22041">
        <w:rPr>
          <w:i/>
        </w:rPr>
        <w:t>Science,</w:t>
      </w:r>
      <w:r w:rsidRPr="00A22041">
        <w:t xml:space="preserve"> 2023, 381(6658):636</w:t>
      </w:r>
      <w:r w:rsidR="00526233">
        <w:t>-</w:t>
      </w:r>
      <w:r w:rsidRPr="00A22041">
        <w:t>641, doi:10.1126/science.adh9949.</w:t>
      </w:r>
    </w:p>
  </w:endnote>
  <w:endnote w:id="18">
    <w:p w14:paraId="0108FF6E" w14:textId="27A82EB2" w:rsidR="00F31AD9" w:rsidRPr="00A22041" w:rsidRDefault="00A51557" w:rsidP="00BB3490">
      <w:pPr>
        <w:pStyle w:val="EndnoteText"/>
      </w:pPr>
      <w:r w:rsidRPr="00840EE8">
        <w:rPr>
          <w:rStyle w:val="EndnoteReference"/>
        </w:rPr>
        <w:endnoteRef/>
      </w:r>
      <w:r w:rsidR="007377EA" w:rsidRPr="00840EE8">
        <w:t xml:space="preserve"> </w:t>
      </w:r>
      <w:r w:rsidRPr="00840EE8">
        <w:t>H P</w:t>
      </w:r>
      <w:r w:rsidR="00574A6B" w:rsidRPr="00840EE8">
        <w:t>ö</w:t>
      </w:r>
      <w:r w:rsidRPr="00840EE8">
        <w:t xml:space="preserve">rtner, DC Roberts, </w:t>
      </w:r>
      <w:r w:rsidR="00574A6B" w:rsidRPr="00840EE8">
        <w:t>ES Poloczanska, K Mintenbeck, M Tignor, A Alegría, M Craig, S Langsdorf, S Löschke, V Möller</w:t>
      </w:r>
      <w:r w:rsidR="00840EE8" w:rsidRPr="00840EE8">
        <w:t xml:space="preserve"> and </w:t>
      </w:r>
      <w:r w:rsidR="00574A6B" w:rsidRPr="00840EE8">
        <w:t>A Okem,</w:t>
      </w:r>
      <w:r w:rsidR="00602C14" w:rsidRPr="00840EE8">
        <w:t xml:space="preserve"> ‘Summary for Policy Makers</w:t>
      </w:r>
      <w:r w:rsidR="004165A7">
        <w:t>’,</w:t>
      </w:r>
      <w:r w:rsidR="004165A7" w:rsidRPr="00840EE8">
        <w:t xml:space="preserve"> </w:t>
      </w:r>
      <w:r w:rsidR="00602C14" w:rsidRPr="00840EE8">
        <w:t xml:space="preserve">in </w:t>
      </w:r>
      <w:r w:rsidR="00602C14" w:rsidRPr="004165A7">
        <w:rPr>
          <w:i/>
          <w:iCs/>
        </w:rPr>
        <w:t>Climate Change 2022: Impacts, Adaptation and Vulnerability. Contribution of Working Group II to the Sixth Assessment Report of the Intergovernmental Panel on Climate Change</w:t>
      </w:r>
      <w:r w:rsidR="00602C14" w:rsidRPr="00840EE8">
        <w:t xml:space="preserve">, </w:t>
      </w:r>
      <w:r w:rsidR="00602C14" w:rsidRPr="004165A7">
        <w:rPr>
          <w:iCs/>
        </w:rPr>
        <w:t>Cambridge University Press</w:t>
      </w:r>
      <w:r w:rsidR="00602C14" w:rsidRPr="00840EE8">
        <w:t>,</w:t>
      </w:r>
      <w:r w:rsidR="004165A7">
        <w:t xml:space="preserve"> Cambridge UK,</w:t>
      </w:r>
      <w:r w:rsidR="00602C14" w:rsidRPr="00840EE8">
        <w:t xml:space="preserve"> 2022, </w:t>
      </w:r>
      <w:r w:rsidR="004165A7">
        <w:t>pp.</w:t>
      </w:r>
      <w:r w:rsidR="00515F82" w:rsidRPr="00840EE8">
        <w:t>3-</w:t>
      </w:r>
      <w:r w:rsidR="00840EE8" w:rsidRPr="00840EE8">
        <w:t>33</w:t>
      </w:r>
      <w:r w:rsidR="00515F82" w:rsidRPr="00840EE8">
        <w:t xml:space="preserve">, </w:t>
      </w:r>
      <w:r w:rsidR="00602C14" w:rsidRPr="00840EE8">
        <w:t>doi:10.1017/9781009325844.001.</w:t>
      </w:r>
    </w:p>
  </w:endnote>
  <w:endnote w:id="19">
    <w:p w14:paraId="7E8031FB" w14:textId="77777777" w:rsidR="00A51557" w:rsidRDefault="00A51557" w:rsidP="00BB3490">
      <w:pPr>
        <w:pStyle w:val="EndnoteText"/>
      </w:pPr>
      <w:r w:rsidRPr="00526233">
        <w:rPr>
          <w:rStyle w:val="EndnoteReference"/>
        </w:rPr>
        <w:endnoteRef/>
      </w:r>
      <w:r>
        <w:t xml:space="preserve"> </w:t>
      </w:r>
      <w:r w:rsidR="00D64766">
        <w:t>National Indigenous Australians A</w:t>
      </w:r>
      <w:r w:rsidR="0084288A">
        <w:t>gency</w:t>
      </w:r>
      <w:r w:rsidR="009F48CD">
        <w:t xml:space="preserve"> (NIAA)</w:t>
      </w:r>
      <w:r w:rsidR="00743250">
        <w:t xml:space="preserve">, </w:t>
      </w:r>
      <w:hyperlink r:id="rId9" w:history="1">
        <w:r w:rsidR="00743250" w:rsidRPr="00917968">
          <w:rPr>
            <w:rStyle w:val="Hyperlink"/>
            <w:i/>
            <w:iCs/>
          </w:rPr>
          <w:t>Indigenous Rangers Program</w:t>
        </w:r>
      </w:hyperlink>
      <w:r w:rsidR="00C25CE1">
        <w:t xml:space="preserve">, NIAA website, </w:t>
      </w:r>
      <w:r w:rsidR="00C07F3E">
        <w:t>n.d</w:t>
      </w:r>
      <w:r w:rsidR="009F48CD">
        <w:t>.</w:t>
      </w:r>
      <w:r w:rsidR="00C07F3E">
        <w:t>, accessed 7 November</w:t>
      </w:r>
      <w:r w:rsidR="009F48CD">
        <w:t xml:space="preserve"> 2023.</w:t>
      </w:r>
    </w:p>
  </w:endnote>
  <w:endnote w:id="20">
    <w:p w14:paraId="7C39D345" w14:textId="02D0395F" w:rsidR="00A51557" w:rsidRPr="00A22041" w:rsidRDefault="00A51557" w:rsidP="00BB3490">
      <w:pPr>
        <w:pStyle w:val="EndnoteText"/>
      </w:pPr>
      <w:r w:rsidRPr="00125E72">
        <w:rPr>
          <w:rStyle w:val="EndnoteReference"/>
        </w:rPr>
        <w:endnoteRef/>
      </w:r>
      <w:r w:rsidRPr="00125E72">
        <w:t xml:space="preserve"> </w:t>
      </w:r>
      <w:r w:rsidR="00697863">
        <w:t xml:space="preserve">E </w:t>
      </w:r>
      <w:r w:rsidRPr="00125E72">
        <w:t xml:space="preserve">Verbunt, </w:t>
      </w:r>
      <w:r w:rsidR="00697863">
        <w:t xml:space="preserve">J </w:t>
      </w:r>
      <w:r w:rsidRPr="00125E72">
        <w:t xml:space="preserve">Luke, </w:t>
      </w:r>
      <w:r w:rsidR="00A00173">
        <w:t xml:space="preserve">Y </w:t>
      </w:r>
      <w:r w:rsidRPr="00125E72">
        <w:t xml:space="preserve">Paradies, </w:t>
      </w:r>
      <w:r w:rsidR="00A00173">
        <w:t xml:space="preserve">M </w:t>
      </w:r>
      <w:r w:rsidRPr="00125E72">
        <w:t xml:space="preserve">Bamblett, </w:t>
      </w:r>
      <w:r w:rsidR="00A00173">
        <w:t xml:space="preserve">C </w:t>
      </w:r>
      <w:r w:rsidRPr="00125E72">
        <w:t xml:space="preserve">Salamone, </w:t>
      </w:r>
      <w:r w:rsidR="00A00173">
        <w:t xml:space="preserve">A </w:t>
      </w:r>
      <w:r w:rsidRPr="00125E72">
        <w:t>Jones</w:t>
      </w:r>
      <w:r w:rsidDel="00A00173">
        <w:t xml:space="preserve"> </w:t>
      </w:r>
      <w:r w:rsidR="00A00173">
        <w:t>and M</w:t>
      </w:r>
      <w:r w:rsidRPr="00125E72">
        <w:t xml:space="preserve"> Kelaher, ‘Cultural determinants of health for Aboriginal and Torres Strait Islander people - a narrative overview of reviews’, </w:t>
      </w:r>
      <w:r w:rsidRPr="00125E72">
        <w:rPr>
          <w:i/>
        </w:rPr>
        <w:t>International Journal for Equity Health</w:t>
      </w:r>
      <w:r w:rsidRPr="00125E72">
        <w:t>, 2021, 20(1):1-9</w:t>
      </w:r>
      <w:r w:rsidR="00AA1CB3">
        <w:t>,</w:t>
      </w:r>
      <w:r w:rsidRPr="00125E72">
        <w:t xml:space="preserve"> doi:10.1186/s12939-021-01514-2.</w:t>
      </w:r>
      <w:r w:rsidRPr="00A22041">
        <w:t xml:space="preserve"> </w:t>
      </w:r>
    </w:p>
  </w:endnote>
  <w:endnote w:id="21">
    <w:p w14:paraId="0C2EACCE" w14:textId="77777777" w:rsidR="007A78B2" w:rsidRPr="00A22041" w:rsidRDefault="007A78B2" w:rsidP="00BB3490">
      <w:pPr>
        <w:pStyle w:val="EndnoteText"/>
      </w:pPr>
      <w:r w:rsidRPr="00A22041">
        <w:rPr>
          <w:rStyle w:val="EndnoteReference"/>
        </w:rPr>
        <w:endnoteRef/>
      </w:r>
      <w:r w:rsidRPr="00A22041">
        <w:t xml:space="preserve"> J </w:t>
      </w:r>
      <w:r w:rsidR="00DE4BBE" w:rsidRPr="00A22041">
        <w:t xml:space="preserve">Liu, BM Varghese, </w:t>
      </w:r>
      <w:r w:rsidR="00665B92" w:rsidRPr="00A22041">
        <w:t>A Hansen</w:t>
      </w:r>
      <w:r w:rsidR="00EA07C9" w:rsidRPr="00A22041">
        <w:t xml:space="preserve">, J Xiang, Y Zhang, </w:t>
      </w:r>
      <w:r w:rsidR="00B26E3A" w:rsidRPr="00A22041">
        <w:t>K Dear</w:t>
      </w:r>
      <w:r w:rsidR="001030FF" w:rsidRPr="00A22041">
        <w:t xml:space="preserve">, </w:t>
      </w:r>
      <w:r w:rsidR="000253B6" w:rsidRPr="00A22041">
        <w:t>M Gourley</w:t>
      </w:r>
      <w:r w:rsidR="00375F36" w:rsidRPr="00A22041">
        <w:t>, T Driscoll, G Morgan, A Capon and P Bi</w:t>
      </w:r>
      <w:r w:rsidR="00B26E3A" w:rsidRPr="00A22041">
        <w:t>, ‘Is there an association between hot weather and poor mental health outcomes? A systematic review and meta-analysis</w:t>
      </w:r>
      <w:r w:rsidR="00F83FC9" w:rsidRPr="00A22041">
        <w:t xml:space="preserve">’, </w:t>
      </w:r>
      <w:r w:rsidR="00F83FC9" w:rsidRPr="00A22041">
        <w:rPr>
          <w:i/>
          <w:iCs/>
        </w:rPr>
        <w:t>Environ</w:t>
      </w:r>
      <w:r w:rsidR="00375F36" w:rsidRPr="00A22041">
        <w:rPr>
          <w:i/>
          <w:iCs/>
        </w:rPr>
        <w:t>ment International</w:t>
      </w:r>
      <w:r w:rsidR="00F83FC9" w:rsidRPr="00A22041">
        <w:rPr>
          <w:i/>
          <w:iCs/>
        </w:rPr>
        <w:t xml:space="preserve">, </w:t>
      </w:r>
      <w:r w:rsidR="00F83FC9" w:rsidRPr="00A22041">
        <w:t>2021, 1</w:t>
      </w:r>
      <w:r w:rsidR="00907F66" w:rsidRPr="00A22041">
        <w:t>53:106533, doi:</w:t>
      </w:r>
      <w:r w:rsidR="00B124B8" w:rsidRPr="00676B93">
        <w:t>10.1016/j.envint.2021.106533</w:t>
      </w:r>
      <w:r w:rsidR="00375F36" w:rsidRPr="0046309A">
        <w:rPr>
          <w:rStyle w:val="Hyperlink"/>
          <w:color w:val="auto"/>
          <w:u w:val="none"/>
        </w:rPr>
        <w:t>.</w:t>
      </w:r>
    </w:p>
  </w:endnote>
  <w:endnote w:id="22">
    <w:p w14:paraId="75A81B59" w14:textId="77777777" w:rsidR="00907F66" w:rsidRPr="00A22041" w:rsidRDefault="00907F66" w:rsidP="00BB3490">
      <w:pPr>
        <w:pStyle w:val="EndnoteText"/>
      </w:pPr>
      <w:r w:rsidRPr="00A22041">
        <w:rPr>
          <w:rStyle w:val="EndnoteReference"/>
        </w:rPr>
        <w:endnoteRef/>
      </w:r>
      <w:r w:rsidRPr="00A22041">
        <w:t xml:space="preserve"> </w:t>
      </w:r>
      <w:r w:rsidR="00582201" w:rsidRPr="00A22041">
        <w:t xml:space="preserve">J Liu, BM Varghese, A Hansen, </w:t>
      </w:r>
      <w:r w:rsidR="000723FA" w:rsidRPr="00A22041">
        <w:t>Y Zhang, T Driscoll, G Morgan</w:t>
      </w:r>
      <w:r w:rsidR="00BE0649" w:rsidRPr="00A22041">
        <w:t>, K Dear, M Gourley, A Capon and P Bi</w:t>
      </w:r>
      <w:r w:rsidR="000723FA" w:rsidRPr="00A22041">
        <w:t>, ‘</w:t>
      </w:r>
      <w:r w:rsidR="009C7178" w:rsidRPr="00A22041">
        <w:t>Heat exposure and cardiovascular health outcomes: a systematic review and meta-analysis</w:t>
      </w:r>
      <w:r w:rsidR="00D17496" w:rsidRPr="00A22041">
        <w:t>’</w:t>
      </w:r>
      <w:r w:rsidR="009C7178" w:rsidRPr="00A22041">
        <w:t xml:space="preserve">, </w:t>
      </w:r>
      <w:r w:rsidR="00421D3C">
        <w:rPr>
          <w:i/>
          <w:iCs/>
        </w:rPr>
        <w:t xml:space="preserve">The </w:t>
      </w:r>
      <w:r w:rsidR="009C7178" w:rsidRPr="00A22041">
        <w:rPr>
          <w:i/>
          <w:iCs/>
        </w:rPr>
        <w:t xml:space="preserve">Lancet Planetary Health, </w:t>
      </w:r>
      <w:r w:rsidR="00D17496" w:rsidRPr="00A22041">
        <w:t>2022, 6</w:t>
      </w:r>
      <w:r w:rsidR="00BE0649" w:rsidRPr="00A22041">
        <w:t>(6)</w:t>
      </w:r>
      <w:r w:rsidR="00D17496" w:rsidRPr="00A22041">
        <w:t>:e484-e495, doi:</w:t>
      </w:r>
      <w:r w:rsidR="00B124B8" w:rsidRPr="00676B93">
        <w:t>10.1016/S2542-5196(22)00117-6</w:t>
      </w:r>
      <w:r w:rsidR="00FF7F4D" w:rsidRPr="00A22041">
        <w:t>.</w:t>
      </w:r>
    </w:p>
  </w:endnote>
  <w:endnote w:id="23">
    <w:p w14:paraId="4D2E0E3B" w14:textId="77777777" w:rsidR="00907F66" w:rsidRPr="00A22041" w:rsidRDefault="00907F66" w:rsidP="00BB3490">
      <w:pPr>
        <w:pStyle w:val="EndnoteText"/>
      </w:pPr>
      <w:r w:rsidRPr="00A22041">
        <w:rPr>
          <w:rStyle w:val="EndnoteReference"/>
        </w:rPr>
        <w:endnoteRef/>
      </w:r>
      <w:r w:rsidRPr="00A22041">
        <w:t xml:space="preserve"> </w:t>
      </w:r>
      <w:r w:rsidR="00893716" w:rsidRPr="00A22041">
        <w:t xml:space="preserve">J Liu, </w:t>
      </w:r>
      <w:r w:rsidR="007A3430" w:rsidRPr="00A22041">
        <w:t xml:space="preserve">BM Varghese, A Hansen, MA Borg, </w:t>
      </w:r>
      <w:r w:rsidR="00594391" w:rsidRPr="00A22041">
        <w:t>Y</w:t>
      </w:r>
      <w:r w:rsidR="007A3430" w:rsidRPr="00A22041">
        <w:t xml:space="preserve"> Zhang, T Driscoll</w:t>
      </w:r>
      <w:r w:rsidR="00594391" w:rsidRPr="00A22041">
        <w:t xml:space="preserve">, G Morgan, K Dear, M Gourley, </w:t>
      </w:r>
      <w:r w:rsidR="00CE05F8" w:rsidRPr="00A22041">
        <w:t>A Capon and P Bi</w:t>
      </w:r>
      <w:r w:rsidR="007A3430" w:rsidRPr="00A22041">
        <w:t xml:space="preserve">, ‘Hot weather as a risk factor for kidney disease </w:t>
      </w:r>
      <w:r w:rsidR="00A84ED8" w:rsidRPr="00A22041">
        <w:t xml:space="preserve">outcomes: A systematic review and meta-analysis of epidemiological </w:t>
      </w:r>
      <w:r w:rsidR="003F5429" w:rsidRPr="00A22041">
        <w:t xml:space="preserve">evidence’, </w:t>
      </w:r>
      <w:r w:rsidR="003F5429" w:rsidRPr="00A22041">
        <w:rPr>
          <w:i/>
          <w:iCs/>
        </w:rPr>
        <w:t>Sci</w:t>
      </w:r>
      <w:r w:rsidR="009013EA" w:rsidRPr="00A22041">
        <w:rPr>
          <w:i/>
          <w:iCs/>
        </w:rPr>
        <w:t>ence of the Total Environment</w:t>
      </w:r>
      <w:r w:rsidR="003F5429" w:rsidRPr="00A22041">
        <w:t xml:space="preserve">, </w:t>
      </w:r>
      <w:r w:rsidR="00160892" w:rsidRPr="00A22041">
        <w:t>2021, 801:149806,</w:t>
      </w:r>
      <w:r w:rsidR="00821371" w:rsidRPr="00A22041">
        <w:t xml:space="preserve"> </w:t>
      </w:r>
      <w:r w:rsidR="00160892" w:rsidRPr="00A22041">
        <w:t>doi:</w:t>
      </w:r>
      <w:r w:rsidR="00B124B8" w:rsidRPr="00676B93">
        <w:t>10.1016/j.scitotenv.2021.149806</w:t>
      </w:r>
      <w:r w:rsidR="009013EA" w:rsidRPr="00451F64">
        <w:rPr>
          <w:rStyle w:val="Hyperlink"/>
          <w:color w:val="000000" w:themeColor="text1"/>
          <w:u w:val="none"/>
        </w:rPr>
        <w:t>.</w:t>
      </w:r>
    </w:p>
  </w:endnote>
  <w:endnote w:id="24">
    <w:p w14:paraId="7AE4D2A9" w14:textId="77777777" w:rsidR="000377B7" w:rsidRPr="00A22041" w:rsidRDefault="000377B7" w:rsidP="00BB3490">
      <w:pPr>
        <w:pStyle w:val="EndnoteText"/>
      </w:pPr>
      <w:r w:rsidRPr="00A22041">
        <w:rPr>
          <w:rStyle w:val="EndnoteReference"/>
        </w:rPr>
        <w:endnoteRef/>
      </w:r>
      <w:r w:rsidRPr="00A22041">
        <w:t xml:space="preserve"> </w:t>
      </w:r>
      <w:r w:rsidR="005E4F70" w:rsidRPr="00A22041">
        <w:t>K Alderman, LR Turner and S Tong</w:t>
      </w:r>
      <w:r w:rsidR="00E61835" w:rsidRPr="00A22041">
        <w:t xml:space="preserve">, </w:t>
      </w:r>
      <w:r w:rsidR="00C32EB0" w:rsidRPr="00A22041">
        <w:t xml:space="preserve">‘Floods and </w:t>
      </w:r>
      <w:r w:rsidR="00F50B5D" w:rsidRPr="00A22041">
        <w:t xml:space="preserve">human health: a systematic review’, </w:t>
      </w:r>
      <w:r w:rsidR="00D70DB1" w:rsidRPr="00A22041">
        <w:rPr>
          <w:i/>
          <w:iCs/>
        </w:rPr>
        <w:t>Environ</w:t>
      </w:r>
      <w:r w:rsidR="00E61835" w:rsidRPr="00A22041">
        <w:rPr>
          <w:i/>
          <w:iCs/>
        </w:rPr>
        <w:t>ment</w:t>
      </w:r>
      <w:r w:rsidR="002352FE" w:rsidRPr="00A22041">
        <w:rPr>
          <w:i/>
          <w:iCs/>
        </w:rPr>
        <w:t xml:space="preserve"> </w:t>
      </w:r>
      <w:r w:rsidR="00D70DB1" w:rsidRPr="00A22041">
        <w:rPr>
          <w:i/>
          <w:iCs/>
        </w:rPr>
        <w:t>Int</w:t>
      </w:r>
      <w:r w:rsidR="00E61835" w:rsidRPr="00A22041">
        <w:rPr>
          <w:i/>
          <w:iCs/>
        </w:rPr>
        <w:t>ernational</w:t>
      </w:r>
      <w:r w:rsidR="00D70DB1" w:rsidRPr="00A22041">
        <w:rPr>
          <w:i/>
          <w:iCs/>
        </w:rPr>
        <w:t xml:space="preserve">, </w:t>
      </w:r>
      <w:r w:rsidR="00D70DB1" w:rsidRPr="00A22041">
        <w:t>2012</w:t>
      </w:r>
      <w:r w:rsidR="00445C82" w:rsidRPr="00A22041">
        <w:t xml:space="preserve">, </w:t>
      </w:r>
      <w:r w:rsidR="000C2C59" w:rsidRPr="00A22041">
        <w:t>47:</w:t>
      </w:r>
      <w:r w:rsidR="00D16815" w:rsidRPr="00A22041">
        <w:t>37-47, doi:</w:t>
      </w:r>
      <w:r w:rsidR="00E20A03" w:rsidRPr="00A22041">
        <w:t>10.1016/j.env</w:t>
      </w:r>
      <w:r w:rsidR="00A10FF0" w:rsidRPr="00A22041">
        <w:t>int.2012</w:t>
      </w:r>
      <w:r w:rsidR="00661DFB" w:rsidRPr="00A22041">
        <w:t>.06.003</w:t>
      </w:r>
      <w:r w:rsidR="00E61835" w:rsidRPr="00A22041">
        <w:t>.</w:t>
      </w:r>
    </w:p>
  </w:endnote>
  <w:endnote w:id="25">
    <w:p w14:paraId="7B67398F" w14:textId="674F986E" w:rsidR="000377B7" w:rsidRPr="00A22041" w:rsidRDefault="000377B7" w:rsidP="00BB3490">
      <w:pPr>
        <w:pStyle w:val="EndnoteText"/>
      </w:pPr>
      <w:r w:rsidRPr="00A22041">
        <w:rPr>
          <w:rStyle w:val="EndnoteReference"/>
        </w:rPr>
        <w:endnoteRef/>
      </w:r>
      <w:r w:rsidR="00390164" w:rsidRPr="00A22041">
        <w:t xml:space="preserve"> </w:t>
      </w:r>
      <w:r w:rsidR="00C85C67" w:rsidRPr="00A22041">
        <w:t>PJ Batterham, K Brown, A Trias, C Poyser, D Kazan and AL Calear</w:t>
      </w:r>
      <w:r w:rsidR="004A2FA5" w:rsidRPr="00A22041">
        <w:t xml:space="preserve">, ‘Systematic review of quantitative studies assessing the relationship between environment and mental health in rural areas’, </w:t>
      </w:r>
      <w:r w:rsidR="00D657A4" w:rsidRPr="00A22041">
        <w:rPr>
          <w:i/>
          <w:iCs/>
        </w:rPr>
        <w:t>Australian Journal of Rural Health</w:t>
      </w:r>
      <w:r w:rsidR="00A22D79" w:rsidRPr="00A22041">
        <w:t xml:space="preserve">, 2022, </w:t>
      </w:r>
      <w:r w:rsidR="00683931" w:rsidRPr="00A22041">
        <w:t>30(3):</w:t>
      </w:r>
      <w:r w:rsidR="00A22D79" w:rsidRPr="00A22041">
        <w:t>306-320, doi:</w:t>
      </w:r>
      <w:r w:rsidR="00471760" w:rsidRPr="00A22041">
        <w:t>10.1111/ajr.12851</w:t>
      </w:r>
      <w:r w:rsidR="00C47886" w:rsidRPr="00A22041">
        <w:t>.</w:t>
      </w:r>
    </w:p>
  </w:endnote>
  <w:endnote w:id="26">
    <w:p w14:paraId="14A8BA74" w14:textId="4766736D" w:rsidR="00746CA9" w:rsidRPr="00A22041" w:rsidRDefault="00746CA9" w:rsidP="00BB3490">
      <w:pPr>
        <w:pStyle w:val="EndnoteText"/>
        <w:rPr>
          <w:rFonts w:ascii="Calibri" w:eastAsia="Calibri" w:hAnsi="Calibri" w:cs="Calibri"/>
          <w:color w:val="000000" w:themeColor="text1"/>
        </w:rPr>
      </w:pPr>
      <w:r w:rsidRPr="00A22041">
        <w:rPr>
          <w:rStyle w:val="EndnoteReference"/>
        </w:rPr>
        <w:endnoteRef/>
      </w:r>
      <w:r w:rsidRPr="00A22041">
        <w:t xml:space="preserve"> </w:t>
      </w:r>
      <w:r w:rsidR="00012D51" w:rsidRPr="00A22041">
        <w:t>Australian Climate Service</w:t>
      </w:r>
      <w:r w:rsidR="0035131D" w:rsidRPr="00A22041">
        <w:t xml:space="preserve"> (ACS)</w:t>
      </w:r>
      <w:r w:rsidR="007F701E" w:rsidRPr="00A22041">
        <w:t xml:space="preserve">, </w:t>
      </w:r>
      <w:hyperlink r:id="rId10" w:history="1">
        <w:r w:rsidR="007F701E" w:rsidRPr="00A22041">
          <w:rPr>
            <w:rStyle w:val="Hyperlink"/>
            <w:i/>
          </w:rPr>
          <w:t>Floods</w:t>
        </w:r>
      </w:hyperlink>
      <w:r w:rsidR="007F701E" w:rsidRPr="00A22041">
        <w:t xml:space="preserve">, </w:t>
      </w:r>
      <w:r w:rsidR="0035131D" w:rsidRPr="00A22041">
        <w:t xml:space="preserve">ACS </w:t>
      </w:r>
      <w:r w:rsidR="00BA3729">
        <w:t>w</w:t>
      </w:r>
      <w:r w:rsidR="00BA3729" w:rsidRPr="00A22041">
        <w:t>ebsite</w:t>
      </w:r>
      <w:r w:rsidR="00727CCE" w:rsidRPr="00A22041">
        <w:t>,</w:t>
      </w:r>
      <w:r w:rsidR="00192151" w:rsidRPr="00A22041">
        <w:t xml:space="preserve"> </w:t>
      </w:r>
      <w:r w:rsidR="007F701E" w:rsidRPr="00A22041">
        <w:t xml:space="preserve">2023, </w:t>
      </w:r>
      <w:r w:rsidR="00402CA1" w:rsidRPr="00A22041">
        <w:t xml:space="preserve">accessed </w:t>
      </w:r>
      <w:r w:rsidR="00BE6379" w:rsidRPr="00A22041">
        <w:t xml:space="preserve">10 </w:t>
      </w:r>
      <w:r w:rsidR="00064490" w:rsidRPr="00A22041">
        <w:t xml:space="preserve">October 2023. </w:t>
      </w:r>
      <w:r w:rsidR="00064490" w:rsidRPr="00A22041">
        <w:rPr>
          <w:rFonts w:cstheme="minorHAnsi"/>
          <w:sz w:val="22"/>
        </w:rPr>
        <w:fldChar w:fldCharType="begin"/>
      </w:r>
      <w:r w:rsidR="00064490" w:rsidRPr="00A22041">
        <w:rPr>
          <w:rFonts w:cstheme="minorHAnsi"/>
          <w:sz w:val="22"/>
        </w:rPr>
        <w:instrText>https://www.acs.gov.au/pages/floods</w:instrText>
      </w:r>
      <w:r w:rsidR="00064490" w:rsidRPr="00A22041">
        <w:rPr>
          <w:rFonts w:cstheme="minorHAnsi"/>
          <w:sz w:val="22"/>
        </w:rPr>
        <w:fldChar w:fldCharType="separate"/>
      </w:r>
      <w:r w:rsidR="00064490" w:rsidRPr="00A22041">
        <w:rPr>
          <w:rStyle w:val="Hyperlink"/>
          <w:rFonts w:cstheme="minorHAnsi"/>
          <w:sz w:val="22"/>
        </w:rPr>
        <w:t>https://www.acs.gov.au/pages/floods</w:t>
      </w:r>
      <w:r w:rsidR="00064490" w:rsidRPr="00A22041">
        <w:rPr>
          <w:rFonts w:cstheme="minorHAnsi"/>
          <w:sz w:val="22"/>
        </w:rPr>
        <w:fldChar w:fldCharType="end"/>
      </w:r>
    </w:p>
  </w:endnote>
  <w:endnote w:id="27">
    <w:p w14:paraId="745B2E87" w14:textId="4C19E9F6" w:rsidR="00746CA9" w:rsidRPr="00A22041" w:rsidRDefault="00746CA9" w:rsidP="00BB3490">
      <w:pPr>
        <w:pStyle w:val="EndnoteText"/>
      </w:pPr>
      <w:r w:rsidRPr="00A22041">
        <w:rPr>
          <w:rStyle w:val="EndnoteReference"/>
        </w:rPr>
        <w:endnoteRef/>
      </w:r>
      <w:r w:rsidR="00CD11DA" w:rsidRPr="00A22041">
        <w:t xml:space="preserve"> Geoscience Australia, </w:t>
      </w:r>
      <w:hyperlink r:id="rId11" w:history="1">
        <w:r w:rsidR="00CD11DA" w:rsidRPr="00A22041">
          <w:rPr>
            <w:rStyle w:val="Hyperlink"/>
            <w:i/>
          </w:rPr>
          <w:t>Bushfire</w:t>
        </w:r>
      </w:hyperlink>
      <w:r w:rsidR="00CD11DA" w:rsidRPr="00A22041">
        <w:rPr>
          <w:i/>
        </w:rPr>
        <w:t xml:space="preserve">, </w:t>
      </w:r>
      <w:r w:rsidR="00DD262A" w:rsidRPr="00A22041">
        <w:t xml:space="preserve">Geoscience Australia </w:t>
      </w:r>
      <w:r w:rsidR="00BA3729">
        <w:t>w</w:t>
      </w:r>
      <w:r w:rsidR="00BA3729" w:rsidRPr="00A22041">
        <w:t>ebsite</w:t>
      </w:r>
      <w:r w:rsidR="00DD262A" w:rsidRPr="00A22041">
        <w:t xml:space="preserve">, 2023, accessed 10 October 2023. </w:t>
      </w:r>
    </w:p>
  </w:endnote>
  <w:endnote w:id="28">
    <w:p w14:paraId="6914DCB6" w14:textId="2F271E9A" w:rsidR="00B7648C" w:rsidRPr="00A22041" w:rsidRDefault="00B7648C" w:rsidP="00BB3490">
      <w:pPr>
        <w:pStyle w:val="EndnoteText"/>
      </w:pPr>
      <w:r w:rsidRPr="008D0EF9">
        <w:rPr>
          <w:rStyle w:val="EndnoteReference"/>
        </w:rPr>
        <w:endnoteRef/>
      </w:r>
      <w:r w:rsidR="00642015" w:rsidRPr="008D0EF9">
        <w:t xml:space="preserve"> </w:t>
      </w:r>
      <w:r w:rsidR="00746CA9" w:rsidRPr="008D0EF9">
        <w:t>K Alderman, LR Turner and S Tong</w:t>
      </w:r>
      <w:r w:rsidR="005C1C09" w:rsidRPr="008D0EF9">
        <w:t>,</w:t>
      </w:r>
      <w:r w:rsidR="00746CA9" w:rsidRPr="008D0EF9">
        <w:t xml:space="preserve"> ‘Floods and human health: </w:t>
      </w:r>
      <w:r w:rsidR="00F94B5C" w:rsidRPr="008D0EF9">
        <w:t>A</w:t>
      </w:r>
      <w:r w:rsidR="00746CA9" w:rsidRPr="008D0EF9">
        <w:t xml:space="preserve"> systematic review’, </w:t>
      </w:r>
      <w:r w:rsidR="00746CA9" w:rsidRPr="008D0EF9">
        <w:rPr>
          <w:i/>
        </w:rPr>
        <w:t>Environ</w:t>
      </w:r>
      <w:r w:rsidR="004B4B18" w:rsidRPr="008D0EF9">
        <w:rPr>
          <w:i/>
        </w:rPr>
        <w:t xml:space="preserve">ment </w:t>
      </w:r>
      <w:r w:rsidR="00746CA9" w:rsidRPr="008D0EF9">
        <w:rPr>
          <w:i/>
        </w:rPr>
        <w:t>Int</w:t>
      </w:r>
      <w:r w:rsidR="004B4B18" w:rsidRPr="008D0EF9">
        <w:rPr>
          <w:i/>
        </w:rPr>
        <w:t>ernational</w:t>
      </w:r>
      <w:r w:rsidR="00746CA9" w:rsidRPr="008D0EF9">
        <w:rPr>
          <w:i/>
        </w:rPr>
        <w:t xml:space="preserve">, </w:t>
      </w:r>
      <w:r w:rsidR="00746CA9" w:rsidRPr="008D0EF9">
        <w:t>2012, 47:37-47, doi:10.1016/j.envint.2012.06.003</w:t>
      </w:r>
      <w:r w:rsidR="00A50BCE" w:rsidRPr="008D0EF9">
        <w:t>.</w:t>
      </w:r>
    </w:p>
  </w:endnote>
  <w:endnote w:id="29">
    <w:p w14:paraId="6A7BBBD1" w14:textId="3A010CF0" w:rsidR="002340E3" w:rsidRDefault="002340E3" w:rsidP="00BB3490">
      <w:pPr>
        <w:pStyle w:val="EndnoteText"/>
      </w:pPr>
      <w:r>
        <w:rPr>
          <w:rStyle w:val="EndnoteReference"/>
        </w:rPr>
        <w:endnoteRef/>
      </w:r>
      <w:r>
        <w:t xml:space="preserve"> </w:t>
      </w:r>
      <w:r w:rsidR="00941708" w:rsidRPr="00A22041">
        <w:t xml:space="preserve">Y Gao, W Huang, P Yu, R Xu, Z Yang, D Gasevic, T Ye, Y Guo and S Li, ‘Long-term impacts of non-occupational wildfire exposure on human health: A systematic review’, </w:t>
      </w:r>
      <w:r w:rsidR="00941708" w:rsidRPr="00A22041">
        <w:rPr>
          <w:i/>
          <w:iCs/>
        </w:rPr>
        <w:t>Environmental Pollution</w:t>
      </w:r>
      <w:r w:rsidR="00941708" w:rsidRPr="00A22041">
        <w:t>, 2023, 320:121041, doi:</w:t>
      </w:r>
      <w:r w:rsidR="00941708" w:rsidRPr="00676B93">
        <w:t>10.1016/j.envpol.2023.121041</w:t>
      </w:r>
      <w:r w:rsidR="00941708" w:rsidRPr="00CD5288">
        <w:rPr>
          <w:rStyle w:val="Hyperlink"/>
          <w:color w:val="auto"/>
          <w:u w:val="none"/>
        </w:rPr>
        <w:t>.</w:t>
      </w:r>
    </w:p>
  </w:endnote>
  <w:endnote w:id="30">
    <w:p w14:paraId="499510F5" w14:textId="79653076" w:rsidR="0092020F" w:rsidRDefault="0092020F" w:rsidP="00BB3490">
      <w:pPr>
        <w:pStyle w:val="EndnoteText"/>
      </w:pPr>
      <w:r>
        <w:rPr>
          <w:rStyle w:val="EndnoteReference"/>
        </w:rPr>
        <w:endnoteRef/>
      </w:r>
      <w:r>
        <w:t xml:space="preserve"> </w:t>
      </w:r>
      <w:r w:rsidRPr="00A22041">
        <w:t xml:space="preserve">MSG Adnan, A Dewan, D Botje, S Shalid and QK Hassan, ‘Vulnerability of Australia to heatwaves: A systematic review on influencing factors, impacts, and mitigation options’, </w:t>
      </w:r>
      <w:r w:rsidRPr="00A22041">
        <w:rPr>
          <w:i/>
          <w:iCs/>
        </w:rPr>
        <w:t>Environmental Research</w:t>
      </w:r>
      <w:r w:rsidRPr="00A22041">
        <w:t>,</w:t>
      </w:r>
      <w:r>
        <w:t xml:space="preserve"> </w:t>
      </w:r>
      <w:r w:rsidRPr="00A22041">
        <w:t>2022, 213:113703, doi:10.1016/J.ENVRES.2022.113703.</w:t>
      </w:r>
    </w:p>
  </w:endnote>
  <w:endnote w:id="31">
    <w:p w14:paraId="7194BC29" w14:textId="2C8633F9" w:rsidR="00B7648C" w:rsidRPr="00BB3490" w:rsidRDefault="00B7648C" w:rsidP="00BB3490">
      <w:pPr>
        <w:pStyle w:val="EndnoteText"/>
        <w:rPr>
          <w:iCs/>
        </w:rPr>
      </w:pPr>
      <w:r w:rsidRPr="00A22041">
        <w:rPr>
          <w:rStyle w:val="EndnoteReference"/>
        </w:rPr>
        <w:endnoteRef/>
      </w:r>
      <w:r w:rsidRPr="00A22041">
        <w:t xml:space="preserve"> </w:t>
      </w:r>
      <w:r w:rsidR="00527A55" w:rsidRPr="00A22041">
        <w:t xml:space="preserve">J Bailie, V Matthews, </w:t>
      </w:r>
      <w:r w:rsidR="004E7D01" w:rsidRPr="00A22041">
        <w:t xml:space="preserve">R Bailie, </w:t>
      </w:r>
      <w:r w:rsidR="00B90568" w:rsidRPr="00A22041">
        <w:t xml:space="preserve">M Villeneuve and J Longman, ‘Exposure to </w:t>
      </w:r>
      <w:r w:rsidR="00B90568" w:rsidRPr="00E04C32">
        <w:t xml:space="preserve">risk and experiences of river flooding for people with disability and carers in rural Australia: </w:t>
      </w:r>
      <w:r w:rsidR="00CF36B6" w:rsidRPr="00E04C32">
        <w:t xml:space="preserve">A </w:t>
      </w:r>
      <w:r w:rsidR="00B90568" w:rsidRPr="00E04C32">
        <w:t>cross-</w:t>
      </w:r>
      <w:r w:rsidR="00B90568" w:rsidRPr="00B36248">
        <w:t>sectional survey’</w:t>
      </w:r>
      <w:r w:rsidR="00B90568" w:rsidRPr="00BB3490">
        <w:rPr>
          <w:i/>
        </w:rPr>
        <w:t xml:space="preserve">, </w:t>
      </w:r>
      <w:r w:rsidR="00BB3490" w:rsidRPr="00BB3490">
        <w:rPr>
          <w:i/>
        </w:rPr>
        <w:t>British Medical Journal</w:t>
      </w:r>
      <w:r w:rsidR="00BB3490" w:rsidRPr="00BB3490" w:rsidDel="00D50287">
        <w:rPr>
          <w:i/>
        </w:rPr>
        <w:t xml:space="preserve"> </w:t>
      </w:r>
      <w:r w:rsidR="00DE0EBB" w:rsidRPr="00E04C32">
        <w:rPr>
          <w:i/>
        </w:rPr>
        <w:t>Open</w:t>
      </w:r>
      <w:r w:rsidR="00DE0EBB" w:rsidRPr="00BB3490">
        <w:rPr>
          <w:iCs/>
        </w:rPr>
        <w:t>, 2022, 12</w:t>
      </w:r>
      <w:r w:rsidR="00CF36B6" w:rsidRPr="00BB3490">
        <w:rPr>
          <w:iCs/>
        </w:rPr>
        <w:t>(8)</w:t>
      </w:r>
      <w:r w:rsidR="00DE0EBB" w:rsidRPr="00BB3490">
        <w:rPr>
          <w:iCs/>
        </w:rPr>
        <w:t>:e056210</w:t>
      </w:r>
      <w:r w:rsidR="00CD1EE9" w:rsidRPr="00BB3490">
        <w:rPr>
          <w:iCs/>
        </w:rPr>
        <w:t>, doi:</w:t>
      </w:r>
      <w:r w:rsidR="007E6BB5" w:rsidRPr="00BB3490">
        <w:rPr>
          <w:iCs/>
        </w:rPr>
        <w:t>10.1136/bmjopen-2021-056210</w:t>
      </w:r>
      <w:r w:rsidR="00405688" w:rsidRPr="00BB3490">
        <w:rPr>
          <w:iCs/>
        </w:rPr>
        <w:t>.</w:t>
      </w:r>
    </w:p>
  </w:endnote>
  <w:endnote w:id="32">
    <w:p w14:paraId="7203694D" w14:textId="32359E72" w:rsidR="00014F10" w:rsidRPr="00E04C32" w:rsidRDefault="00014F10" w:rsidP="00BB3490">
      <w:pPr>
        <w:pStyle w:val="EndnoteText"/>
      </w:pPr>
      <w:r w:rsidRPr="00E04C32">
        <w:rPr>
          <w:rStyle w:val="EndnoteReference"/>
        </w:rPr>
        <w:endnoteRef/>
      </w:r>
      <w:r w:rsidRPr="00E04C32">
        <w:t xml:space="preserve"> </w:t>
      </w:r>
      <w:r w:rsidR="00A11D1D" w:rsidRPr="00E04C32">
        <w:t>R Mahendran, R Xu, S Li and Y Guo</w:t>
      </w:r>
      <w:r w:rsidR="00EB00BA" w:rsidRPr="00E04C32">
        <w:t xml:space="preserve">, ‘Interpersonal violence associated with hot weather’ </w:t>
      </w:r>
      <w:r w:rsidR="00EB00BA" w:rsidRPr="00E04C32">
        <w:rPr>
          <w:i/>
        </w:rPr>
        <w:t>The Lancet</w:t>
      </w:r>
      <w:r w:rsidR="000403FA" w:rsidRPr="00E04C32">
        <w:rPr>
          <w:i/>
        </w:rPr>
        <w:t xml:space="preserve"> Planetary Health, </w:t>
      </w:r>
      <w:r w:rsidR="00740FF7" w:rsidRPr="00E04C32">
        <w:t>2021, 5(9)</w:t>
      </w:r>
      <w:r w:rsidR="008677D8" w:rsidRPr="00E04C32">
        <w:t>:E</w:t>
      </w:r>
      <w:r w:rsidR="00627967" w:rsidRPr="00E04C32">
        <w:t>571-E572</w:t>
      </w:r>
      <w:r w:rsidR="00196C26" w:rsidRPr="00E04C32">
        <w:t>, do</w:t>
      </w:r>
      <w:r w:rsidR="00016F3B" w:rsidRPr="00E04C32">
        <w:t>i:</w:t>
      </w:r>
      <w:r w:rsidR="000A7940" w:rsidRPr="00E04C32">
        <w:t>10.1016/S2542-5196(21)00210-2</w:t>
      </w:r>
      <w:r w:rsidR="00DD647D" w:rsidRPr="00E04C32">
        <w:t>.</w:t>
      </w:r>
    </w:p>
  </w:endnote>
  <w:endnote w:id="33">
    <w:p w14:paraId="07EBAB48" w14:textId="77777777" w:rsidR="00D00FA0" w:rsidRPr="00E04C32" w:rsidRDefault="00D00FA0" w:rsidP="00BB3490">
      <w:pPr>
        <w:pStyle w:val="EndnoteText"/>
      </w:pPr>
      <w:r w:rsidRPr="00E04C32">
        <w:rPr>
          <w:rStyle w:val="EndnoteReference"/>
        </w:rPr>
        <w:endnoteRef/>
      </w:r>
      <w:r w:rsidR="0017685D" w:rsidRPr="00E04C32">
        <w:t xml:space="preserve"> </w:t>
      </w:r>
      <w:r w:rsidR="006700E9" w:rsidRPr="00E04C32">
        <w:t xml:space="preserve">S Ha, </w:t>
      </w:r>
      <w:r w:rsidR="00067E3E" w:rsidRPr="00E04C32">
        <w:t xml:space="preserve">‘The </w:t>
      </w:r>
      <w:r w:rsidR="00CD3DF4" w:rsidRPr="00E04C32">
        <w:t>changing climate and pregnancy health</w:t>
      </w:r>
      <w:r w:rsidR="00067E3E" w:rsidRPr="00E04C32">
        <w:t xml:space="preserve">’, </w:t>
      </w:r>
      <w:r w:rsidR="00067E3E" w:rsidRPr="00E04C32">
        <w:rPr>
          <w:i/>
        </w:rPr>
        <w:t xml:space="preserve">Current Environmental Health Reports, </w:t>
      </w:r>
      <w:r w:rsidR="007C608C" w:rsidRPr="00E04C32">
        <w:t>2022, 9(2):263-275, doi:</w:t>
      </w:r>
      <w:r w:rsidR="007E6BB5" w:rsidRPr="00E04C32">
        <w:t>10.1007/s40572-022-00345-9</w:t>
      </w:r>
      <w:r w:rsidR="00507747" w:rsidRPr="00CD5288">
        <w:rPr>
          <w:rStyle w:val="Hyperlink"/>
          <w:color w:val="auto"/>
          <w:u w:val="none"/>
        </w:rPr>
        <w:t>.</w:t>
      </w:r>
    </w:p>
  </w:endnote>
  <w:endnote w:id="34">
    <w:p w14:paraId="7716A9D1" w14:textId="72B009CD" w:rsidR="71116C38" w:rsidRPr="00A22041" w:rsidRDefault="71116C38" w:rsidP="00BB3490">
      <w:pPr>
        <w:pStyle w:val="EndnoteText"/>
      </w:pPr>
      <w:r w:rsidRPr="00E04C32">
        <w:rPr>
          <w:rStyle w:val="EndnoteReference"/>
        </w:rPr>
        <w:endnoteRef/>
      </w:r>
      <w:r w:rsidR="0017685D" w:rsidRPr="00E04C32">
        <w:t xml:space="preserve"> </w:t>
      </w:r>
      <w:r w:rsidR="003819A3" w:rsidRPr="00E04C32">
        <w:t>MF Cherisch, M</w:t>
      </w:r>
      <w:r w:rsidR="00816312" w:rsidRPr="00E04C32">
        <w:t xml:space="preserve">D Pham, A Areal, MM Haghighi, </w:t>
      </w:r>
      <w:r w:rsidR="00D62CBA" w:rsidRPr="00E04C32">
        <w:t>A Manyuchi</w:t>
      </w:r>
      <w:r w:rsidR="00D66CE8">
        <w:t>,</w:t>
      </w:r>
      <w:r w:rsidR="00D62CBA" w:rsidRPr="00E04C32">
        <w:t xml:space="preserve"> </w:t>
      </w:r>
      <w:r w:rsidR="00D10867" w:rsidRPr="00E04C32">
        <w:t>CP Swift</w:t>
      </w:r>
      <w:r w:rsidR="00B25826" w:rsidRPr="00E04C32">
        <w:t>, B Wernecke, M Robinson, R Hetem, M Boe</w:t>
      </w:r>
      <w:r w:rsidR="00377527" w:rsidRPr="00E04C32">
        <w:t xml:space="preserve">ckmann and </w:t>
      </w:r>
      <w:r w:rsidR="00C86239" w:rsidRPr="00E04C32">
        <w:t>S Hajat</w:t>
      </w:r>
      <w:r w:rsidR="00D10867" w:rsidRPr="00E04C32">
        <w:t xml:space="preserve">, ‘Associations between high temperatures in pregnancy and risk of preterm birth, low birth weight, and stillbirths: </w:t>
      </w:r>
      <w:r w:rsidR="00774BDC">
        <w:t>S</w:t>
      </w:r>
      <w:r w:rsidR="00D10867" w:rsidRPr="00E04C32">
        <w:t>ystematic review and meta-analysis</w:t>
      </w:r>
      <w:r w:rsidR="006629C3" w:rsidRPr="00E04C32">
        <w:t xml:space="preserve">’, </w:t>
      </w:r>
      <w:r w:rsidR="004023D7">
        <w:rPr>
          <w:i/>
        </w:rPr>
        <w:t>British Medical Journal</w:t>
      </w:r>
      <w:r w:rsidR="00751E4F" w:rsidRPr="00E04C32">
        <w:rPr>
          <w:i/>
        </w:rPr>
        <w:t xml:space="preserve">, </w:t>
      </w:r>
      <w:r w:rsidR="00317790" w:rsidRPr="00E04C32">
        <w:t>2020</w:t>
      </w:r>
      <w:r w:rsidR="002949FD" w:rsidRPr="00A22041">
        <w:t xml:space="preserve">, </w:t>
      </w:r>
      <w:r w:rsidR="00A36A08" w:rsidRPr="00A22041">
        <w:t>371:m</w:t>
      </w:r>
      <w:r w:rsidR="002832E0" w:rsidRPr="00A22041">
        <w:t>3811,</w:t>
      </w:r>
      <w:r w:rsidR="00BE41EC" w:rsidRPr="00A22041">
        <w:t xml:space="preserve"> </w:t>
      </w:r>
      <w:r w:rsidR="002832E0" w:rsidRPr="00A22041">
        <w:t>doi:</w:t>
      </w:r>
      <w:r w:rsidR="007E6BB5" w:rsidRPr="00676B93">
        <w:rPr>
          <w:rFonts w:cstheme="minorHAnsi"/>
          <w:bdr w:val="none" w:sz="0" w:space="0" w:color="auto" w:frame="1"/>
        </w:rPr>
        <w:t>10.1136/bmj.m3811</w:t>
      </w:r>
      <w:r w:rsidR="00BE41EC" w:rsidRPr="00A22041">
        <w:rPr>
          <w:rFonts w:cstheme="minorHAnsi"/>
          <w:bdr w:val="none" w:sz="0" w:space="0" w:color="auto" w:frame="1"/>
        </w:rPr>
        <w:t>.</w:t>
      </w:r>
      <w:r w:rsidR="000A5C52" w:rsidRPr="00A22041">
        <w:rPr>
          <w:rFonts w:cstheme="minorHAnsi"/>
          <w:color w:val="333333"/>
          <w:shd w:val="clear" w:color="auto" w:fill="FFFFFF"/>
        </w:rPr>
        <w:t xml:space="preserve"> </w:t>
      </w:r>
    </w:p>
  </w:endnote>
  <w:endnote w:id="35">
    <w:p w14:paraId="414E1191" w14:textId="4B28DAF8" w:rsidR="006B34E4" w:rsidRDefault="006B34E4" w:rsidP="00BB3490">
      <w:pPr>
        <w:pStyle w:val="EndnoteText"/>
      </w:pPr>
      <w:r>
        <w:rPr>
          <w:rStyle w:val="EndnoteReference"/>
        </w:rPr>
        <w:endnoteRef/>
      </w:r>
      <w:r>
        <w:t xml:space="preserve"> </w:t>
      </w:r>
      <w:r w:rsidRPr="00A22041">
        <w:t xml:space="preserve">J Evans, A Bansal, D Schoenaker, N Cherbuin, MJ Peek and DL Davis, ‘Birth outcomes, health, and health care needs of childbearing women following wildfire disasters: an integrative, state-of-the-science review’, </w:t>
      </w:r>
      <w:r w:rsidRPr="00A22041">
        <w:rPr>
          <w:i/>
          <w:iCs/>
        </w:rPr>
        <w:t xml:space="preserve">Environmental </w:t>
      </w:r>
      <w:r w:rsidRPr="00A22041">
        <w:rPr>
          <w:i/>
        </w:rPr>
        <w:t xml:space="preserve">Health </w:t>
      </w:r>
      <w:r w:rsidRPr="00A22041">
        <w:rPr>
          <w:i/>
          <w:iCs/>
        </w:rPr>
        <w:t>Perspectives</w:t>
      </w:r>
      <w:r w:rsidRPr="00A22041">
        <w:t>, 2022, 130(8):86001, doi:</w:t>
      </w:r>
      <w:r w:rsidRPr="00676B93">
        <w:t>10.1289/EHP10544</w:t>
      </w:r>
      <w:r w:rsidRPr="00CD5288">
        <w:rPr>
          <w:rStyle w:val="Hyperlink"/>
          <w:color w:val="auto"/>
          <w:u w:val="none"/>
        </w:rPr>
        <w:t>.</w:t>
      </w:r>
    </w:p>
  </w:endnote>
  <w:endnote w:id="36">
    <w:p w14:paraId="77428204" w14:textId="5B9F00DF" w:rsidR="00B83AF4" w:rsidRPr="00A22041" w:rsidRDefault="00B83AF4" w:rsidP="00BB3490">
      <w:pPr>
        <w:pStyle w:val="EndnoteText"/>
      </w:pPr>
      <w:r w:rsidRPr="00A22041">
        <w:rPr>
          <w:rStyle w:val="EndnoteReference"/>
        </w:rPr>
        <w:endnoteRef/>
      </w:r>
      <w:r w:rsidR="00DA3FC4">
        <w:t xml:space="preserve"> </w:t>
      </w:r>
      <w:r w:rsidR="001B0E26">
        <w:t xml:space="preserve">CX </w:t>
      </w:r>
      <w:r w:rsidR="00D55AC2">
        <w:t xml:space="preserve">Gao, </w:t>
      </w:r>
      <w:r w:rsidR="009A4165">
        <w:t>S</w:t>
      </w:r>
      <w:r w:rsidR="000D7724">
        <w:t xml:space="preserve">M Teo, </w:t>
      </w:r>
      <w:r w:rsidR="00252E89">
        <w:t>N</w:t>
      </w:r>
      <w:r w:rsidR="009A4165">
        <w:t xml:space="preserve"> Bren</w:t>
      </w:r>
      <w:r w:rsidR="00304DFF">
        <w:t>nan</w:t>
      </w:r>
      <w:r w:rsidR="00D55AC2">
        <w:t xml:space="preserve">, </w:t>
      </w:r>
      <w:r w:rsidR="00F5516F">
        <w:t>N Fava, T Freeburn and K Filia</w:t>
      </w:r>
      <w:r w:rsidRPr="00A22041">
        <w:t>,</w:t>
      </w:r>
      <w:r w:rsidRPr="00676B93">
        <w:rPr>
          <w:i/>
        </w:rPr>
        <w:t xml:space="preserve"> </w:t>
      </w:r>
      <w:hyperlink r:id="rId12" w:history="1">
        <w:r w:rsidRPr="005B5118">
          <w:rPr>
            <w:rStyle w:val="Hyperlink"/>
            <w:i/>
          </w:rPr>
          <w:t>Climate Concerns and Young People’s Mental Health</w:t>
        </w:r>
        <w:r w:rsidR="006B28CE" w:rsidRPr="005B5118">
          <w:rPr>
            <w:rStyle w:val="Hyperlink"/>
            <w:i/>
          </w:rPr>
          <w:t>: Findings from the 2022 Mission Australia Youth Survey</w:t>
        </w:r>
      </w:hyperlink>
      <w:r w:rsidRPr="00A22041">
        <w:t xml:space="preserve">, </w:t>
      </w:r>
      <w:r w:rsidR="00DC757A" w:rsidRPr="00A22041">
        <w:t>Orygen and Mission Australi</w:t>
      </w:r>
      <w:r w:rsidR="00DC757A" w:rsidRPr="001E12C2">
        <w:t>a</w:t>
      </w:r>
      <w:r w:rsidR="00DC757A">
        <w:t>,</w:t>
      </w:r>
      <w:r w:rsidR="00DC757A" w:rsidRPr="00A22041">
        <w:t xml:space="preserve"> </w:t>
      </w:r>
      <w:r w:rsidR="008F51CB" w:rsidRPr="00A22041">
        <w:t>202</w:t>
      </w:r>
      <w:r w:rsidR="00250C1D">
        <w:t>3</w:t>
      </w:r>
      <w:r w:rsidR="001E12C2">
        <w:t>.</w:t>
      </w:r>
    </w:p>
  </w:endnote>
  <w:endnote w:id="37">
    <w:p w14:paraId="2B3ED8F0" w14:textId="132A5938" w:rsidR="00B7648C" w:rsidRPr="00762840" w:rsidRDefault="007D308D" w:rsidP="00BB3490">
      <w:pPr>
        <w:pStyle w:val="EndnoteText"/>
      </w:pPr>
      <w:r>
        <w:rPr>
          <w:rStyle w:val="EndnoteReference"/>
        </w:rPr>
        <w:endnoteRef/>
      </w:r>
      <w:r>
        <w:t xml:space="preserve"> </w:t>
      </w:r>
      <w:r w:rsidR="00762840" w:rsidRPr="00A22041">
        <w:t xml:space="preserve">L Ferguson, J Taylor, M Davies, C Shrubsole, P Symonds and S Dimitroulopoulou, ‘Exposure to indoor air pollution across socio-economic groups in high-income countries: A scoping review of the literature and a modelling methodology’, </w:t>
      </w:r>
      <w:r w:rsidR="00762840" w:rsidRPr="00A22041">
        <w:rPr>
          <w:i/>
          <w:iCs/>
        </w:rPr>
        <w:t>Environment International</w:t>
      </w:r>
      <w:r w:rsidR="00762840" w:rsidRPr="00A22041">
        <w:t>, 2020, 143:105748, doi:</w:t>
      </w:r>
      <w:r w:rsidR="00762840" w:rsidRPr="00676B93">
        <w:t>10.1016/j.envint.2020.105748</w:t>
      </w:r>
      <w:r w:rsidR="00762840" w:rsidRPr="00CD5288">
        <w:rPr>
          <w:rStyle w:val="Hyperlink"/>
          <w:color w:val="auto"/>
          <w:u w:val="none"/>
        </w:rPr>
        <w:t>.</w:t>
      </w:r>
    </w:p>
  </w:endnote>
  <w:endnote w:id="38">
    <w:p w14:paraId="394717FA" w14:textId="24595BFA" w:rsidR="002171C4" w:rsidRPr="002171C4" w:rsidRDefault="002171C4" w:rsidP="00BB3490">
      <w:pPr>
        <w:pStyle w:val="EndnoteText"/>
      </w:pPr>
      <w:r>
        <w:rPr>
          <w:rStyle w:val="EndnoteReference"/>
        </w:rPr>
        <w:endnoteRef/>
      </w:r>
      <w:r>
        <w:t xml:space="preserve"> </w:t>
      </w:r>
      <w:r w:rsidRPr="00A22041">
        <w:t xml:space="preserve">E Heaney, L Hunter, A Clulow, D Bowles and S Vardoulakis, ‘Efficacy of communication techniques and health outcomes of bushfire smoke exposure: A scoping review’, </w:t>
      </w:r>
      <w:r w:rsidRPr="00A22041">
        <w:rPr>
          <w:i/>
        </w:rPr>
        <w:t xml:space="preserve">International Journal of Environmental Research </w:t>
      </w:r>
      <w:r w:rsidRPr="00A22041">
        <w:rPr>
          <w:i/>
          <w:iCs/>
        </w:rPr>
        <w:t>and Public Health</w:t>
      </w:r>
      <w:r w:rsidRPr="00A22041">
        <w:t>, 2021, 18(20):10889, doi:</w:t>
      </w:r>
      <w:r w:rsidRPr="00676B93">
        <w:t>10.3390/ijerph182010889</w:t>
      </w:r>
      <w:r w:rsidRPr="00CD5288">
        <w:rPr>
          <w:rStyle w:val="Hyperlink"/>
          <w:color w:val="auto"/>
          <w:u w:val="none"/>
        </w:rPr>
        <w:t>.</w:t>
      </w:r>
    </w:p>
  </w:endnote>
  <w:endnote w:id="39">
    <w:p w14:paraId="7449534B" w14:textId="2E636872" w:rsidR="00B110F4" w:rsidRPr="001F0BD0" w:rsidRDefault="00B110F4" w:rsidP="00BB3490">
      <w:pPr>
        <w:pStyle w:val="EndnoteText"/>
      </w:pPr>
      <w:r>
        <w:rPr>
          <w:rStyle w:val="EndnoteReference"/>
        </w:rPr>
        <w:endnoteRef/>
      </w:r>
      <w:r>
        <w:t xml:space="preserve"> </w:t>
      </w:r>
      <w:r w:rsidR="004023D7">
        <w:t xml:space="preserve">E Humphrys, F Newman and J Goodman, </w:t>
      </w:r>
      <w:hyperlink r:id="rId13" w:history="1">
        <w:r w:rsidR="004023D7" w:rsidRPr="00121EAE">
          <w:rPr>
            <w:rStyle w:val="Hyperlink"/>
            <w:i/>
            <w:iCs/>
          </w:rPr>
          <w:t>Heat Stress and Work in the Era of Climate Change: What We Know, and What We Need to Learn</w:t>
        </w:r>
      </w:hyperlink>
      <w:r w:rsidR="004023D7">
        <w:t>, The Australia Institute and University of Technology Sydney, 2020.</w:t>
      </w:r>
    </w:p>
  </w:endnote>
  <w:endnote w:id="40">
    <w:p w14:paraId="54095035" w14:textId="551867F7" w:rsidR="00CF3247" w:rsidRPr="00B0700C" w:rsidRDefault="00CF3247" w:rsidP="00BB3490">
      <w:pPr>
        <w:pStyle w:val="EndnoteText"/>
        <w:rPr>
          <w:color w:val="000000" w:themeColor="text1"/>
        </w:rPr>
      </w:pPr>
      <w:r>
        <w:rPr>
          <w:rStyle w:val="EndnoteReference"/>
        </w:rPr>
        <w:endnoteRef/>
      </w:r>
      <w:r>
        <w:t xml:space="preserve"> </w:t>
      </w:r>
      <w:r w:rsidRPr="00A22041">
        <w:t xml:space="preserve">GW Lee, K Vine, AR Atkinson, M Tong, J Longman, A Barratt, R Bailie, S Vardoulakis, V Matthews and KM Rahman, ‘Impacts of climate change on health and health services in northern New South Wales, Australia: A rapid review’, </w:t>
      </w:r>
      <w:r w:rsidRPr="00A22041">
        <w:rPr>
          <w:i/>
        </w:rPr>
        <w:t>International Journal of Environmental Research and Public Health</w:t>
      </w:r>
      <w:r w:rsidRPr="00A22041">
        <w:t>, 2023, 20(13):6285, doi:</w:t>
      </w:r>
      <w:r w:rsidRPr="008F3BBB">
        <w:t>10.3390/ijerph20136285</w:t>
      </w:r>
      <w:r w:rsidRPr="00B0700C">
        <w:rPr>
          <w:rStyle w:val="Hyperlink"/>
          <w:color w:val="000000" w:themeColor="text1"/>
          <w:u w:val="none"/>
        </w:rPr>
        <w:t>.</w:t>
      </w:r>
    </w:p>
  </w:endnote>
  <w:endnote w:id="41">
    <w:p w14:paraId="4B5CB8C3" w14:textId="4EA66036" w:rsidR="003A4A6D" w:rsidRPr="00A22041" w:rsidRDefault="003A4A6D" w:rsidP="00BB3490">
      <w:pPr>
        <w:pStyle w:val="EndnoteText"/>
      </w:pPr>
      <w:r w:rsidRPr="00A22041">
        <w:rPr>
          <w:rStyle w:val="EndnoteReference"/>
        </w:rPr>
        <w:endnoteRef/>
      </w:r>
      <w:r w:rsidRPr="00A22041">
        <w:t xml:space="preserve"> </w:t>
      </w:r>
      <w:r w:rsidR="008C268B">
        <w:t xml:space="preserve">Australian </w:t>
      </w:r>
      <w:r w:rsidRPr="00A22041">
        <w:t>Department of Health and Aged Care</w:t>
      </w:r>
      <w:r w:rsidR="004079E5" w:rsidRPr="00A22041">
        <w:t xml:space="preserve"> (DHAC)</w:t>
      </w:r>
      <w:r w:rsidRPr="00A22041">
        <w:t>,</w:t>
      </w:r>
      <w:r w:rsidR="00C61386" w:rsidRPr="00A22041">
        <w:t xml:space="preserve"> </w:t>
      </w:r>
      <w:hyperlink r:id="rId14" w:history="1">
        <w:r w:rsidR="00C61386" w:rsidRPr="00D71CDA">
          <w:rPr>
            <w:rStyle w:val="Hyperlink"/>
            <w:i/>
          </w:rPr>
          <w:t xml:space="preserve">National Health and Climate Strategy – Consultation </w:t>
        </w:r>
        <w:r w:rsidR="00452494" w:rsidRPr="00D71CDA">
          <w:rPr>
            <w:rStyle w:val="Hyperlink"/>
            <w:i/>
          </w:rPr>
          <w:t>Paper</w:t>
        </w:r>
      </w:hyperlink>
      <w:r w:rsidR="00B23E5D" w:rsidRPr="00A22041">
        <w:t xml:space="preserve">, </w:t>
      </w:r>
      <w:r w:rsidR="00956B24" w:rsidRPr="00A22041">
        <w:t>DHAC</w:t>
      </w:r>
      <w:r w:rsidR="00B23E5D" w:rsidRPr="00A22041">
        <w:t xml:space="preserve">, </w:t>
      </w:r>
      <w:r w:rsidR="00956B24" w:rsidRPr="00A22041">
        <w:t xml:space="preserve">Australian Government, </w:t>
      </w:r>
      <w:r w:rsidR="006363C2" w:rsidRPr="00A22041">
        <w:t>2023</w:t>
      </w:r>
      <w:r w:rsidR="00B5795E" w:rsidRPr="00A22041">
        <w:t xml:space="preserve">. </w:t>
      </w:r>
    </w:p>
  </w:endnote>
  <w:endnote w:id="42">
    <w:p w14:paraId="1754E904" w14:textId="773F4E56" w:rsidR="005E5046" w:rsidRDefault="005E5046" w:rsidP="00BB3490">
      <w:pPr>
        <w:pStyle w:val="EndnoteText"/>
      </w:pPr>
      <w:r w:rsidRPr="009D5D65">
        <w:rPr>
          <w:rStyle w:val="EndnoteReference"/>
        </w:rPr>
        <w:endnoteRef/>
      </w:r>
      <w:r w:rsidRPr="009D5D65">
        <w:t xml:space="preserve"> </w:t>
      </w:r>
      <w:r w:rsidR="004B56B3">
        <w:t>PJ Beggs, Y Zhang, A</w:t>
      </w:r>
      <w:r w:rsidR="00B90127">
        <w:t xml:space="preserve"> </w:t>
      </w:r>
      <w:r w:rsidR="004B56B3">
        <w:t xml:space="preserve">McGushin, S Trueck, MK Linnenluecke, H Bambrick, AG Capon, S Vardoulakis, D Green, A Malik, O Jay, M Heenan, IC Hanigan, S Friel, M Stevenson, FH Johnston, C McMichael, F Charlson, AJ Woodward and </w:t>
      </w:r>
      <w:r w:rsidR="00B90127">
        <w:t>M</w:t>
      </w:r>
      <w:r w:rsidR="004B56B3">
        <w:t>B Romanello</w:t>
      </w:r>
      <w:r w:rsidR="00B90127">
        <w:t xml:space="preserve">, </w:t>
      </w:r>
      <w:r w:rsidR="00414F3F">
        <w:t>‘</w:t>
      </w:r>
      <w:r w:rsidR="00414F3F" w:rsidRPr="00414F3F">
        <w:t>The 2022 report of the MJA–Lancet Countdown on health and climate change: Australia unprepared and paying the price</w:t>
      </w:r>
      <w:r w:rsidR="00414F3F">
        <w:t xml:space="preserve">’, </w:t>
      </w:r>
      <w:r w:rsidR="00534C13" w:rsidRPr="00125E72">
        <w:rPr>
          <w:i/>
        </w:rPr>
        <w:t xml:space="preserve">The </w:t>
      </w:r>
      <w:r w:rsidR="004B56B3" w:rsidRPr="00125E72">
        <w:rPr>
          <w:i/>
        </w:rPr>
        <w:t>Med</w:t>
      </w:r>
      <w:r w:rsidR="00414F3F" w:rsidRPr="00125E72">
        <w:rPr>
          <w:i/>
        </w:rPr>
        <w:t>ical</w:t>
      </w:r>
      <w:r w:rsidR="004B56B3" w:rsidRPr="00125E72">
        <w:rPr>
          <w:i/>
        </w:rPr>
        <w:t xml:space="preserve"> J</w:t>
      </w:r>
      <w:r w:rsidR="00414F3F" w:rsidRPr="00125E72">
        <w:rPr>
          <w:i/>
        </w:rPr>
        <w:t>ournal</w:t>
      </w:r>
      <w:r w:rsidR="004B56B3" w:rsidRPr="00125E72">
        <w:rPr>
          <w:i/>
        </w:rPr>
        <w:t xml:space="preserve"> </w:t>
      </w:r>
      <w:r w:rsidR="00534C13" w:rsidRPr="00125E72">
        <w:rPr>
          <w:i/>
        </w:rPr>
        <w:t xml:space="preserve">of </w:t>
      </w:r>
      <w:r w:rsidR="004B56B3" w:rsidRPr="00125E72">
        <w:rPr>
          <w:i/>
        </w:rPr>
        <w:t>Aust</w:t>
      </w:r>
      <w:r w:rsidR="00414F3F" w:rsidRPr="00125E72">
        <w:rPr>
          <w:i/>
        </w:rPr>
        <w:t>ralia</w:t>
      </w:r>
      <w:r w:rsidR="00414F3F">
        <w:t>,</w:t>
      </w:r>
      <w:r w:rsidR="004B56B3">
        <w:t xml:space="preserve"> 2022</w:t>
      </w:r>
      <w:r w:rsidR="00414F3F">
        <w:t>,</w:t>
      </w:r>
      <w:r w:rsidR="004B56B3">
        <w:t xml:space="preserve"> 217(9):439-458</w:t>
      </w:r>
      <w:r w:rsidR="00414F3F">
        <w:t xml:space="preserve">, </w:t>
      </w:r>
      <w:r w:rsidR="004B56B3">
        <w:t>doi:10.5694/mja2.51742</w:t>
      </w:r>
      <w:r w:rsidR="00414F3F">
        <w:t xml:space="preserve">. </w:t>
      </w:r>
    </w:p>
  </w:endnote>
  <w:endnote w:id="43">
    <w:p w14:paraId="091B3A62" w14:textId="0CFFF090" w:rsidR="00AB3E0D" w:rsidRDefault="00AB3E0D" w:rsidP="00BB3490">
      <w:pPr>
        <w:pStyle w:val="EndnoteText"/>
      </w:pPr>
      <w:r w:rsidRPr="00E14307">
        <w:rPr>
          <w:rStyle w:val="EndnoteReference"/>
        </w:rPr>
        <w:endnoteRef/>
      </w:r>
      <w:r w:rsidRPr="00E14307">
        <w:t xml:space="preserve"> Australian Institute of Health and Welfare (AIHW),</w:t>
      </w:r>
      <w:r w:rsidR="00BA055E">
        <w:t xml:space="preserve"> </w:t>
      </w:r>
      <w:hyperlink r:id="rId15" w:history="1">
        <w:r w:rsidRPr="00E14307">
          <w:rPr>
            <w:rStyle w:val="Hyperlink"/>
            <w:i/>
          </w:rPr>
          <w:t>Let’s talk about the weather: injuries related to extreme weather</w:t>
        </w:r>
      </w:hyperlink>
      <w:r w:rsidRPr="00E14307">
        <w:t xml:space="preserve">, </w:t>
      </w:r>
      <w:r w:rsidR="00A90069">
        <w:t xml:space="preserve">AIHW, </w:t>
      </w:r>
      <w:r w:rsidR="00413D40" w:rsidRPr="00A62819">
        <w:t>2023</w:t>
      </w:r>
      <w:r w:rsidR="00A90069">
        <w:t>.</w:t>
      </w:r>
      <w:r w:rsidRPr="00584528">
        <w:t xml:space="preserve"> </w:t>
      </w:r>
    </w:p>
  </w:endnote>
  <w:endnote w:id="44">
    <w:p w14:paraId="03B3332E" w14:textId="52479CE9" w:rsidR="00E828E7" w:rsidRPr="004610B1" w:rsidRDefault="00E828E7" w:rsidP="00BB3490">
      <w:pPr>
        <w:pStyle w:val="EndnoteText"/>
        <w:rPr>
          <w:color w:val="000000" w:themeColor="text1"/>
        </w:rPr>
      </w:pPr>
      <w:r w:rsidRPr="00125E72">
        <w:rPr>
          <w:rStyle w:val="EndnoteReference"/>
          <w:color w:val="000000" w:themeColor="text1"/>
        </w:rPr>
        <w:endnoteRef/>
      </w:r>
      <w:r w:rsidRPr="00125E72">
        <w:rPr>
          <w:color w:val="000000" w:themeColor="text1"/>
        </w:rPr>
        <w:t xml:space="preserve"> </w:t>
      </w:r>
      <w:r w:rsidR="004058AA">
        <w:rPr>
          <w:color w:val="000000" w:themeColor="text1"/>
        </w:rPr>
        <w:t xml:space="preserve">World Meteorological </w:t>
      </w:r>
      <w:r w:rsidR="00A77778">
        <w:rPr>
          <w:color w:val="000000" w:themeColor="text1"/>
        </w:rPr>
        <w:t xml:space="preserve">Organization </w:t>
      </w:r>
      <w:r w:rsidR="004058AA">
        <w:rPr>
          <w:color w:val="000000" w:themeColor="text1"/>
        </w:rPr>
        <w:t>(WMO),</w:t>
      </w:r>
      <w:r>
        <w:rPr>
          <w:color w:val="000000" w:themeColor="text1"/>
        </w:rPr>
        <w:t xml:space="preserve"> </w:t>
      </w:r>
      <w:hyperlink r:id="rId16" w:history="1">
        <w:r w:rsidR="004610B1" w:rsidRPr="002D56B5">
          <w:rPr>
            <w:rStyle w:val="Hyperlink"/>
            <w:i/>
            <w:iCs/>
          </w:rPr>
          <w:t>2023 State of Climate Services: Health</w:t>
        </w:r>
      </w:hyperlink>
      <w:r w:rsidR="004610B1" w:rsidRPr="004610B1">
        <w:rPr>
          <w:rStyle w:val="Hyperlink"/>
          <w:color w:val="000000" w:themeColor="text1"/>
          <w:u w:val="none"/>
        </w:rPr>
        <w:t xml:space="preserve">, WMO, 2023. </w:t>
      </w:r>
    </w:p>
  </w:endnote>
  <w:endnote w:id="45">
    <w:p w14:paraId="2751E3E3" w14:textId="64E3CD9C" w:rsidR="00D60B7B" w:rsidRDefault="00D60B7B" w:rsidP="00BB3490">
      <w:pPr>
        <w:pStyle w:val="EndnoteText"/>
      </w:pPr>
      <w:r w:rsidRPr="00797BCC">
        <w:rPr>
          <w:rStyle w:val="EndnoteReference"/>
        </w:rPr>
        <w:endnoteRef/>
      </w:r>
      <w:r w:rsidR="00151D25">
        <w:t xml:space="preserve"> </w:t>
      </w:r>
      <w:r w:rsidR="005D5701">
        <w:t xml:space="preserve">World Health </w:t>
      </w:r>
      <w:r w:rsidR="007C6ED5">
        <w:t>Organization</w:t>
      </w:r>
      <w:r w:rsidR="005D5701">
        <w:t xml:space="preserve"> (WHO</w:t>
      </w:r>
      <w:r w:rsidR="00CE42FE">
        <w:t xml:space="preserve">), </w:t>
      </w:r>
      <w:hyperlink r:id="rId17" w:history="1">
        <w:r w:rsidR="0087745A" w:rsidRPr="00A74440">
          <w:rPr>
            <w:rStyle w:val="Hyperlink"/>
            <w:i/>
            <w:iCs/>
          </w:rPr>
          <w:t>Promoting Health in All Policies and intersectoral action capacities</w:t>
        </w:r>
      </w:hyperlink>
      <w:r w:rsidR="00DA1B1A">
        <w:t xml:space="preserve">, </w:t>
      </w:r>
      <w:r w:rsidR="00A74440" w:rsidRPr="00A74440">
        <w:t>WHO website</w:t>
      </w:r>
      <w:r w:rsidR="00A74440">
        <w:t xml:space="preserve">, </w:t>
      </w:r>
      <w:r w:rsidR="00DA1B1A">
        <w:t xml:space="preserve">n.d., </w:t>
      </w:r>
      <w:r w:rsidR="0039710F">
        <w:t xml:space="preserve">accessed </w:t>
      </w:r>
      <w:r w:rsidR="00464133">
        <w:t>9 November 2023.</w:t>
      </w:r>
    </w:p>
  </w:endnote>
  <w:endnote w:id="46">
    <w:p w14:paraId="50E0EF1A" w14:textId="1F27C115" w:rsidR="00E960AB" w:rsidRDefault="00E960AB" w:rsidP="00BB3490">
      <w:pPr>
        <w:pStyle w:val="EndnoteText"/>
      </w:pPr>
      <w:r w:rsidRPr="00125E72">
        <w:rPr>
          <w:rStyle w:val="EndnoteReference"/>
        </w:rPr>
        <w:endnoteRef/>
      </w:r>
      <w:r w:rsidRPr="00125E72">
        <w:t xml:space="preserve"> </w:t>
      </w:r>
      <w:r w:rsidR="003857C3">
        <w:t>World Health</w:t>
      </w:r>
      <w:r w:rsidR="003857C3" w:rsidDel="001B72F5">
        <w:t xml:space="preserve"> </w:t>
      </w:r>
      <w:r w:rsidR="001B72F5">
        <w:t xml:space="preserve">Organization </w:t>
      </w:r>
      <w:r w:rsidR="003857C3">
        <w:t>(</w:t>
      </w:r>
      <w:r w:rsidR="003857C3" w:rsidRPr="002D56B5">
        <w:t xml:space="preserve">WHO), </w:t>
      </w:r>
      <w:hyperlink r:id="rId18" w:history="1">
        <w:r w:rsidR="00A54AC7" w:rsidRPr="002D56B5">
          <w:rPr>
            <w:rStyle w:val="Hyperlink"/>
            <w:i/>
            <w:iCs/>
          </w:rPr>
          <w:t>Operational framework for building climate resilient and low carbon health systems</w:t>
        </w:r>
      </w:hyperlink>
      <w:r w:rsidR="00A54AC7" w:rsidRPr="002D56B5">
        <w:t>, WHO, 2023.</w:t>
      </w:r>
      <w:r w:rsidR="00A54AC7">
        <w:t xml:space="preserve"> </w:t>
      </w:r>
    </w:p>
  </w:endnote>
  <w:endnote w:id="47">
    <w:p w14:paraId="7F0B7EFD" w14:textId="689E2E08" w:rsidR="00AF2AD3" w:rsidRPr="00600B6B" w:rsidRDefault="00AF2AD3" w:rsidP="00BB3490">
      <w:pPr>
        <w:pStyle w:val="EndnoteText"/>
      </w:pPr>
      <w:r w:rsidRPr="00125E72">
        <w:rPr>
          <w:rStyle w:val="EndnoteReference"/>
        </w:rPr>
        <w:endnoteRef/>
      </w:r>
      <w:r w:rsidRPr="00125E72">
        <w:t xml:space="preserve"> </w:t>
      </w:r>
      <w:r w:rsidR="008C268B">
        <w:t xml:space="preserve">Australian </w:t>
      </w:r>
      <w:r w:rsidR="0045059C">
        <w:t xml:space="preserve">Department of Climate Change, Energy, the Environment and Water (DCCEEW), </w:t>
      </w:r>
      <w:hyperlink r:id="rId19" w:history="1">
        <w:r w:rsidR="00600B6B" w:rsidRPr="00125E72">
          <w:rPr>
            <w:rStyle w:val="Hyperlink"/>
            <w:i/>
            <w:iCs/>
          </w:rPr>
          <w:t>Climate Adaptation in Australia</w:t>
        </w:r>
      </w:hyperlink>
      <w:r w:rsidR="00600B6B">
        <w:rPr>
          <w:i/>
          <w:iCs/>
        </w:rPr>
        <w:t xml:space="preserve">, </w:t>
      </w:r>
      <w:r w:rsidR="00600B6B">
        <w:t>DCCEEW</w:t>
      </w:r>
      <w:r w:rsidR="00FD4047">
        <w:t xml:space="preserve"> website</w:t>
      </w:r>
      <w:r w:rsidR="003902B7">
        <w:t>, 2023</w:t>
      </w:r>
      <w:r w:rsidR="00FD4047">
        <w:t xml:space="preserve">, accessed </w:t>
      </w:r>
      <w:r w:rsidR="008324B5">
        <w:t>21 November 2023</w:t>
      </w:r>
      <w:r w:rsidR="003902B7">
        <w:t>.</w:t>
      </w:r>
    </w:p>
  </w:endnote>
  <w:endnote w:id="48">
    <w:p w14:paraId="5361EB83" w14:textId="2554300A" w:rsidR="00AF2426" w:rsidRPr="00A22041" w:rsidRDefault="00AF2426" w:rsidP="00BB3490">
      <w:pPr>
        <w:pStyle w:val="EndnoteText"/>
      </w:pPr>
      <w:r w:rsidRPr="00CD5288">
        <w:rPr>
          <w:rStyle w:val="EndnoteReference"/>
        </w:rPr>
        <w:endnoteRef/>
      </w:r>
      <w:r w:rsidRPr="00A22041">
        <w:t xml:space="preserve"> Council of Australian Governments (COAG) </w:t>
      </w:r>
      <w:r w:rsidR="004C78E6" w:rsidRPr="00065521">
        <w:t>Select Council on Climate Change</w:t>
      </w:r>
      <w:r w:rsidR="004C78E6">
        <w:t>,</w:t>
      </w:r>
      <w:r w:rsidRPr="00A22041">
        <w:t xml:space="preserve"> </w:t>
      </w:r>
      <w:hyperlink r:id="rId20" w:anchor="toc_0" w:history="1">
        <w:r w:rsidRPr="00797BCC">
          <w:rPr>
            <w:rStyle w:val="Hyperlink"/>
            <w:i/>
          </w:rPr>
          <w:t>Roles and Responsibilities for Climate Change Adaptation in Australia</w:t>
        </w:r>
      </w:hyperlink>
      <w:r w:rsidRPr="00A22041">
        <w:t xml:space="preserve">, COAG, Australian Government, 2012. </w:t>
      </w:r>
    </w:p>
  </w:endnote>
  <w:endnote w:id="49">
    <w:p w14:paraId="41733830" w14:textId="5F9F719F" w:rsidR="00D61C1C" w:rsidRDefault="00D61C1C" w:rsidP="00BB3490">
      <w:pPr>
        <w:pStyle w:val="EndnoteText"/>
      </w:pPr>
      <w:r w:rsidRPr="007968F1">
        <w:rPr>
          <w:rStyle w:val="EndnoteReference"/>
        </w:rPr>
        <w:endnoteRef/>
      </w:r>
      <w:r w:rsidRPr="007968F1">
        <w:t xml:space="preserve"> </w:t>
      </w:r>
      <w:r w:rsidR="00D41C53" w:rsidRPr="007968F1">
        <w:t>Queensland Health</w:t>
      </w:r>
      <w:r w:rsidR="00BB02A7">
        <w:t xml:space="preserve">, </w:t>
      </w:r>
      <w:hyperlink r:id="rId21" w:history="1">
        <w:r w:rsidR="00BB02A7" w:rsidRPr="00CD5288">
          <w:rPr>
            <w:rStyle w:val="Hyperlink"/>
            <w:i/>
          </w:rPr>
          <w:t>Climate Risk Strategy and Adaptation Planning Guidelines</w:t>
        </w:r>
      </w:hyperlink>
      <w:r w:rsidR="00753731">
        <w:t xml:space="preserve">, Queensland Health </w:t>
      </w:r>
      <w:r w:rsidR="00F14C22">
        <w:t>w</w:t>
      </w:r>
      <w:r w:rsidR="00753731">
        <w:t xml:space="preserve">ebsite, 2022, accessed 7 November </w:t>
      </w:r>
      <w:r w:rsidR="004B521E">
        <w:t>2023.</w:t>
      </w:r>
    </w:p>
  </w:endnote>
  <w:endnote w:id="50">
    <w:p w14:paraId="1613AC6B" w14:textId="744DA166" w:rsidR="00D61C1C" w:rsidRDefault="00D61C1C" w:rsidP="00BB3490">
      <w:pPr>
        <w:pStyle w:val="EndnoteText"/>
      </w:pPr>
      <w:r w:rsidRPr="00006A2B">
        <w:rPr>
          <w:rStyle w:val="EndnoteReference"/>
        </w:rPr>
        <w:endnoteRef/>
      </w:r>
      <w:r w:rsidR="00215BD0">
        <w:t xml:space="preserve"> </w:t>
      </w:r>
      <w:r w:rsidR="00A22006">
        <w:t xml:space="preserve">Victorian </w:t>
      </w:r>
      <w:r w:rsidR="00215BD0">
        <w:t>Department of Health and the</w:t>
      </w:r>
      <w:r w:rsidR="007968F1">
        <w:t xml:space="preserve"> Victorian</w:t>
      </w:r>
      <w:r w:rsidR="00215BD0">
        <w:t xml:space="preserve"> Department of Famil</w:t>
      </w:r>
      <w:r w:rsidR="006237E0">
        <w:t xml:space="preserve">ies, </w:t>
      </w:r>
      <w:r w:rsidR="00BA4B63" w:rsidRPr="00125E72">
        <w:t xml:space="preserve">Fairness and Housing, </w:t>
      </w:r>
      <w:hyperlink r:id="rId22" w:history="1">
        <w:r w:rsidR="00BA4B63" w:rsidRPr="00BA4B63">
          <w:rPr>
            <w:rStyle w:val="Hyperlink"/>
            <w:i/>
            <w:iCs/>
          </w:rPr>
          <w:t>Health and Human Services Climate Change Adaptation Action Plan 2022-2026</w:t>
        </w:r>
      </w:hyperlink>
      <w:r w:rsidR="00BA4E98">
        <w:t xml:space="preserve">, </w:t>
      </w:r>
      <w:r w:rsidR="00BA4E98" w:rsidRPr="005B2070">
        <w:t>Victorian Government</w:t>
      </w:r>
      <w:r w:rsidR="00BA4E98">
        <w:t>, 2022.</w:t>
      </w:r>
    </w:p>
  </w:endnote>
  <w:endnote w:id="51">
    <w:p w14:paraId="216922F3" w14:textId="63D47FD0" w:rsidR="00DD094A" w:rsidRDefault="00DD094A" w:rsidP="00BB3490">
      <w:pPr>
        <w:pStyle w:val="EndnoteText"/>
      </w:pPr>
      <w:r w:rsidRPr="00752D6C">
        <w:rPr>
          <w:rStyle w:val="EndnoteReference"/>
        </w:rPr>
        <w:endnoteRef/>
      </w:r>
      <w:r w:rsidRPr="00752D6C">
        <w:t xml:space="preserve"> </w:t>
      </w:r>
      <w:r w:rsidR="00284DB7">
        <w:t xml:space="preserve">T Weeramanthri, </w:t>
      </w:r>
      <w:r w:rsidR="00CE2423">
        <w:t xml:space="preserve">S Joyce, </w:t>
      </w:r>
      <w:r w:rsidR="00BA040E">
        <w:t>R Bangor-Jones and C Law,</w:t>
      </w:r>
      <w:r w:rsidR="00284DB7">
        <w:t xml:space="preserve"> </w:t>
      </w:r>
      <w:hyperlink r:id="rId23" w:history="1">
        <w:r w:rsidR="002B3668">
          <w:rPr>
            <w:rStyle w:val="Hyperlink"/>
            <w:i/>
            <w:iCs/>
          </w:rPr>
          <w:t>Climate Health WA Inquiry Final Report</w:t>
        </w:r>
      </w:hyperlink>
      <w:r w:rsidR="00C97C1E">
        <w:t xml:space="preserve">, </w:t>
      </w:r>
      <w:r w:rsidR="000A2AA2">
        <w:t xml:space="preserve">WA </w:t>
      </w:r>
      <w:r w:rsidR="00C97C1E">
        <w:t xml:space="preserve">Department of Health, </w:t>
      </w:r>
      <w:r w:rsidR="009B5730">
        <w:t>WA</w:t>
      </w:r>
      <w:r w:rsidR="00C97C1E">
        <w:t xml:space="preserve"> Government, 2020.</w:t>
      </w:r>
    </w:p>
  </w:endnote>
  <w:endnote w:id="52">
    <w:p w14:paraId="3814D0D8" w14:textId="584CF334" w:rsidR="00CF310B" w:rsidRPr="00A22041" w:rsidRDefault="00CF310B" w:rsidP="00BB3490">
      <w:pPr>
        <w:pStyle w:val="EndnoteText"/>
      </w:pPr>
      <w:r w:rsidRPr="00A22041">
        <w:rPr>
          <w:rStyle w:val="EndnoteReference"/>
        </w:rPr>
        <w:endnoteRef/>
      </w:r>
      <w:r w:rsidRPr="00A22041">
        <w:t xml:space="preserve"> World Health </w:t>
      </w:r>
      <w:r w:rsidR="007C6ED5">
        <w:t>Organization</w:t>
      </w:r>
      <w:r w:rsidRPr="00A22041">
        <w:t xml:space="preserve"> (WHO), </w:t>
      </w:r>
      <w:hyperlink r:id="rId24" w:history="1">
        <w:r w:rsidRPr="00A22041">
          <w:rPr>
            <w:rStyle w:val="Hyperlink"/>
            <w:i/>
          </w:rPr>
          <w:t xml:space="preserve">2021 WHO Health and Climate Change Survey </w:t>
        </w:r>
        <w:r w:rsidR="00176BB4" w:rsidRPr="00A22041">
          <w:rPr>
            <w:rStyle w:val="Hyperlink"/>
            <w:i/>
          </w:rPr>
          <w:t>Report</w:t>
        </w:r>
      </w:hyperlink>
      <w:r w:rsidRPr="00A22041">
        <w:t>, WHO, 2021</w:t>
      </w:r>
      <w:r w:rsidR="00176BB4" w:rsidRPr="00A22041">
        <w:t>.</w:t>
      </w:r>
    </w:p>
  </w:endnote>
  <w:endnote w:id="53">
    <w:p w14:paraId="1E08558B" w14:textId="22BED45C" w:rsidR="0056360E" w:rsidRPr="009B15F2" w:rsidRDefault="00CF310B" w:rsidP="00BB3490">
      <w:pPr>
        <w:pStyle w:val="EndnoteText"/>
      </w:pPr>
      <w:r w:rsidRPr="00A22041">
        <w:rPr>
          <w:rStyle w:val="EndnoteReference"/>
        </w:rPr>
        <w:endnoteRef/>
      </w:r>
      <w:r w:rsidRPr="00A22041">
        <w:t xml:space="preserve"> </w:t>
      </w:r>
      <w:bookmarkStart w:id="60" w:name="_Hlk151646947"/>
      <w:r w:rsidR="00995768">
        <w:t>O-D Cardona, M</w:t>
      </w:r>
      <w:r w:rsidR="00007224">
        <w:t xml:space="preserve"> van Aalst, J Birkmann, M Fordham, </w:t>
      </w:r>
      <w:r w:rsidR="00F27A2B">
        <w:t xml:space="preserve">G McGregor, R Perez, R Pulwarty, </w:t>
      </w:r>
      <w:r w:rsidR="00567403">
        <w:t>ELF Schipper</w:t>
      </w:r>
      <w:r w:rsidR="007265F7">
        <w:t xml:space="preserve"> and</w:t>
      </w:r>
      <w:r w:rsidR="00567403">
        <w:t xml:space="preserve"> B</w:t>
      </w:r>
      <w:r w:rsidR="007265F7">
        <w:t>T</w:t>
      </w:r>
      <w:r w:rsidR="00567403">
        <w:t xml:space="preserve"> S</w:t>
      </w:r>
      <w:r w:rsidR="007265F7">
        <w:t>inh</w:t>
      </w:r>
      <w:r w:rsidR="00844B7B">
        <w:t>, ‘</w:t>
      </w:r>
      <w:r w:rsidR="008502D9">
        <w:t xml:space="preserve">Chapter 2: </w:t>
      </w:r>
      <w:r w:rsidR="00844B7B">
        <w:t>Determinants of Risk: Exposure and Vulnerability</w:t>
      </w:r>
      <w:r w:rsidR="00536ED1">
        <w:t>’</w:t>
      </w:r>
      <w:r w:rsidR="00B47E55">
        <w:t>,</w:t>
      </w:r>
      <w:r w:rsidR="00844B7B">
        <w:t xml:space="preserve"> in </w:t>
      </w:r>
      <w:r w:rsidR="009370A0" w:rsidRPr="00BB31A0">
        <w:rPr>
          <w:i/>
        </w:rPr>
        <w:t>Managing the Risks of Extreme Events and Disasters to Advance Climate Change Adaptation</w:t>
      </w:r>
      <w:r w:rsidR="009B15F2" w:rsidRPr="00BB31A0">
        <w:rPr>
          <w:i/>
        </w:rPr>
        <w:t>. A Special Report of Working Groups I and II of the Intergovernmental Panel on Climate Change</w:t>
      </w:r>
      <w:r w:rsidR="00CA31D3">
        <w:t>,</w:t>
      </w:r>
      <w:r w:rsidR="009B15F2">
        <w:t xml:space="preserve"> </w:t>
      </w:r>
      <w:r w:rsidR="009B15F2" w:rsidRPr="00BB31A0">
        <w:t>Cambridge University Press</w:t>
      </w:r>
      <w:r w:rsidR="009B15F2">
        <w:t xml:space="preserve">, </w:t>
      </w:r>
      <w:r w:rsidR="00DF02C9">
        <w:t xml:space="preserve">Cambridge </w:t>
      </w:r>
      <w:r w:rsidR="00630937">
        <w:t xml:space="preserve">UK, </w:t>
      </w:r>
      <w:r w:rsidR="009B15F2" w:rsidRPr="00A22041">
        <w:t>2012</w:t>
      </w:r>
      <w:r w:rsidR="009B15F2">
        <w:t xml:space="preserve">, </w:t>
      </w:r>
      <w:r w:rsidR="0005328B">
        <w:t>pp.</w:t>
      </w:r>
      <w:r w:rsidR="009B15F2">
        <w:t>65-108, doi:</w:t>
      </w:r>
      <w:r w:rsidR="009B15F2" w:rsidRPr="00E920DF">
        <w:t>10.1017/CBO9781139177245</w:t>
      </w:r>
      <w:r w:rsidR="009B15F2">
        <w:t>.</w:t>
      </w:r>
      <w:bookmarkEnd w:id="60"/>
    </w:p>
  </w:endnote>
  <w:endnote w:id="54">
    <w:p w14:paraId="460558A6" w14:textId="20ED78DB" w:rsidR="00CF310B" w:rsidRPr="00A22041" w:rsidRDefault="00CF310B" w:rsidP="00BB3490">
      <w:pPr>
        <w:pStyle w:val="EndnoteText"/>
      </w:pPr>
      <w:r w:rsidRPr="00A22041">
        <w:rPr>
          <w:rStyle w:val="EndnoteReference"/>
        </w:rPr>
        <w:endnoteRef/>
      </w:r>
      <w:r w:rsidRPr="00A22041">
        <w:t xml:space="preserve"> World Health </w:t>
      </w:r>
      <w:r w:rsidR="007C6ED5">
        <w:t>Organization</w:t>
      </w:r>
      <w:r w:rsidRPr="00A22041">
        <w:t xml:space="preserve"> (WHO), </w:t>
      </w:r>
      <w:hyperlink r:id="rId25" w:history="1">
        <w:r w:rsidRPr="00A22041">
          <w:rPr>
            <w:rStyle w:val="Hyperlink"/>
            <w:i/>
          </w:rPr>
          <w:t>Climate change and health: vulnerability and adaptation assessment</w:t>
        </w:r>
      </w:hyperlink>
      <w:r w:rsidRPr="00A22041">
        <w:t>, WHO, 2021</w:t>
      </w:r>
      <w:r w:rsidR="00435C21" w:rsidRPr="00A22041">
        <w:t>.</w:t>
      </w:r>
      <w:r w:rsidR="00256E57" w:rsidRPr="00A22041">
        <w:t xml:space="preserve"> </w:t>
      </w:r>
    </w:p>
  </w:endnote>
  <w:endnote w:id="55">
    <w:p w14:paraId="5D33DF22" w14:textId="77777777" w:rsidR="006D7EDA" w:rsidRPr="00A22041" w:rsidRDefault="006D7EDA" w:rsidP="006D7EDA">
      <w:pPr>
        <w:pStyle w:val="EndnoteText"/>
      </w:pPr>
      <w:r w:rsidRPr="00A22041">
        <w:rPr>
          <w:rStyle w:val="EndnoteReference"/>
        </w:rPr>
        <w:endnoteRef/>
      </w:r>
      <w:r w:rsidRPr="00A22041">
        <w:t xml:space="preserve"> </w:t>
      </w:r>
      <w:r>
        <w:t xml:space="preserve">Australian </w:t>
      </w:r>
      <w:r w:rsidRPr="00A22041">
        <w:t xml:space="preserve">Department of Climate Change, Energy, the Environment and Water (DCCEEW), </w:t>
      </w:r>
      <w:hyperlink r:id="rId26" w:history="1">
        <w:r w:rsidRPr="00A22041">
          <w:rPr>
            <w:rStyle w:val="Hyperlink"/>
            <w:i/>
          </w:rPr>
          <w:t>National Climate Risk Assessment: Methodology</w:t>
        </w:r>
      </w:hyperlink>
      <w:r w:rsidRPr="00A22041">
        <w:t xml:space="preserve">, DCCEEW, Australian Government, 2023. </w:t>
      </w:r>
    </w:p>
  </w:endnote>
  <w:endnote w:id="56">
    <w:p w14:paraId="2A0415B6" w14:textId="77777777" w:rsidR="006D7EDA" w:rsidRPr="00A22041" w:rsidRDefault="006D7EDA" w:rsidP="006D7EDA">
      <w:pPr>
        <w:pStyle w:val="EndnoteText"/>
      </w:pPr>
      <w:r w:rsidRPr="00A22041">
        <w:rPr>
          <w:rStyle w:val="EndnoteReference"/>
        </w:rPr>
        <w:endnoteRef/>
      </w:r>
      <w:r w:rsidRPr="00A22041">
        <w:t xml:space="preserve"> B O'Neill, M </w:t>
      </w:r>
      <w:r>
        <w:t xml:space="preserve">van </w:t>
      </w:r>
      <w:r w:rsidRPr="00A22041">
        <w:t>Aalst</w:t>
      </w:r>
      <w:r>
        <w:t xml:space="preserve">, </w:t>
      </w:r>
      <w:r w:rsidRPr="00A22041">
        <w:t>ZZ Ibrahim,</w:t>
      </w:r>
      <w:r>
        <w:t xml:space="preserve"> L Berrang Ford, S Bhadwal</w:t>
      </w:r>
      <w:r w:rsidRPr="00733406">
        <w:t xml:space="preserve">, H Buhaug, D Diaz, K Frieler, M Garschagen, A Magnan, G Midgley, A Mirzabaev, A Thomas and R Warren, </w:t>
      </w:r>
      <w:r>
        <w:t xml:space="preserve">‘Chapter 16: </w:t>
      </w:r>
      <w:r w:rsidRPr="00A22041">
        <w:t>Key Risks Across Sectors and Regions</w:t>
      </w:r>
      <w:r>
        <w:t>’,</w:t>
      </w:r>
      <w:r w:rsidRPr="00A22041">
        <w:t xml:space="preserve"> </w:t>
      </w:r>
      <w:r>
        <w:t>i</w:t>
      </w:r>
      <w:r w:rsidRPr="00A22041">
        <w:t>n</w:t>
      </w:r>
      <w:r>
        <w:t xml:space="preserve"> </w:t>
      </w:r>
      <w:r w:rsidRPr="00794218">
        <w:rPr>
          <w:i/>
        </w:rPr>
        <w:t>Climate Change 2022: Impacts, Adaptation and Vulnerability. Contribution of Working Group II to the Sixth Assessment Report of the Intergovernmental Panel on Climate Change</w:t>
      </w:r>
      <w:r w:rsidRPr="00A22041">
        <w:t xml:space="preserve">, </w:t>
      </w:r>
      <w:r w:rsidRPr="00794218">
        <w:t>Cambridge University Press</w:t>
      </w:r>
      <w:r w:rsidRPr="00891CBF">
        <w:rPr>
          <w:iCs/>
        </w:rPr>
        <w:t>,</w:t>
      </w:r>
      <w:r w:rsidRPr="00561027">
        <w:t xml:space="preserve"> </w:t>
      </w:r>
      <w:r w:rsidRPr="00B379FB">
        <w:t>Cambridge UK</w:t>
      </w:r>
      <w:r>
        <w:t>,</w:t>
      </w:r>
      <w:r w:rsidRPr="00B379FB">
        <w:t xml:space="preserve"> </w:t>
      </w:r>
      <w:r w:rsidRPr="00561027">
        <w:t xml:space="preserve">2022, </w:t>
      </w:r>
      <w:r>
        <w:t>pp.2411-2538</w:t>
      </w:r>
      <w:r w:rsidRPr="009D7424">
        <w:t>, doi</w:t>
      </w:r>
      <w:r>
        <w:t>:</w:t>
      </w:r>
      <w:r w:rsidRPr="00A22041">
        <w:t>10.1017/9781009325844</w:t>
      </w:r>
      <w:r w:rsidRPr="009D7424">
        <w:t>.</w:t>
      </w:r>
    </w:p>
  </w:endnote>
  <w:endnote w:id="57">
    <w:p w14:paraId="71500321" w14:textId="2EDC3C55" w:rsidR="00371F7E" w:rsidRPr="00A22041" w:rsidRDefault="00371F7E" w:rsidP="00BB3490">
      <w:pPr>
        <w:pStyle w:val="EndnoteText"/>
      </w:pPr>
      <w:r w:rsidRPr="00A22041">
        <w:rPr>
          <w:rStyle w:val="EndnoteReference"/>
        </w:rPr>
        <w:endnoteRef/>
      </w:r>
      <w:r w:rsidRPr="00A22041">
        <w:t xml:space="preserve"> Australian Bureau of Statistics (ABS), </w:t>
      </w:r>
      <w:hyperlink r:id="rId27" w:history="1">
        <w:r w:rsidRPr="00A22041">
          <w:rPr>
            <w:rStyle w:val="Hyperlink"/>
            <w:i/>
          </w:rPr>
          <w:t>Health Conditions Prevalence (2020-21)</w:t>
        </w:r>
      </w:hyperlink>
      <w:r w:rsidR="00A726AE">
        <w:t xml:space="preserve"> [data set],</w:t>
      </w:r>
      <w:r w:rsidRPr="00A22041">
        <w:t xml:space="preserve"> ABS,</w:t>
      </w:r>
      <w:r w:rsidR="00FF3ACB">
        <w:t xml:space="preserve"> </w:t>
      </w:r>
      <w:r w:rsidR="00FF3ACB" w:rsidRPr="00A22041">
        <w:t>Australian Government</w:t>
      </w:r>
      <w:r w:rsidRPr="00A22041">
        <w:t xml:space="preserve">, 2022, </w:t>
      </w:r>
      <w:r>
        <w:t xml:space="preserve">accessed </w:t>
      </w:r>
      <w:r w:rsidR="002F5C6E">
        <w:t>21 November 2023.</w:t>
      </w:r>
    </w:p>
  </w:endnote>
  <w:endnote w:id="58">
    <w:p w14:paraId="723A9E0E" w14:textId="28929199" w:rsidR="00371F7E" w:rsidRPr="00A22041" w:rsidRDefault="00371F7E" w:rsidP="00BB3490">
      <w:pPr>
        <w:pStyle w:val="EndnoteText"/>
      </w:pPr>
      <w:r w:rsidRPr="00A22041">
        <w:rPr>
          <w:rStyle w:val="EndnoteReference"/>
        </w:rPr>
        <w:endnoteRef/>
      </w:r>
      <w:r w:rsidRPr="00A22041">
        <w:t xml:space="preserve"> S Lin, M Luo, RJ Walker, X Liu, SA Hwang and R Chinery, ‘Extreme high temperatures and hospital admissions for respiratory and cardiovascular diseases’, </w:t>
      </w:r>
      <w:r w:rsidRPr="00A22041">
        <w:rPr>
          <w:i/>
        </w:rPr>
        <w:t>Epidemiology</w:t>
      </w:r>
      <w:r w:rsidRPr="00A22041">
        <w:t>, 2009, 20(5):738-746, doi:</w:t>
      </w:r>
      <w:r w:rsidR="001C2D90" w:rsidRPr="00EA3212">
        <w:t>10.1097/ede.0b013e3181ad5522</w:t>
      </w:r>
      <w:r w:rsidR="001F0A60">
        <w:t>.</w:t>
      </w:r>
    </w:p>
  </w:endnote>
  <w:endnote w:id="59">
    <w:p w14:paraId="4DCE6C08" w14:textId="6821F47B" w:rsidR="00371F7E" w:rsidRPr="00A22041" w:rsidRDefault="00371F7E" w:rsidP="00BB3490">
      <w:pPr>
        <w:pStyle w:val="EndnoteText"/>
      </w:pPr>
      <w:r w:rsidRPr="00A22041">
        <w:rPr>
          <w:rStyle w:val="EndnoteReference"/>
        </w:rPr>
        <w:endnoteRef/>
      </w:r>
      <w:r w:rsidRPr="00A22041">
        <w:t xml:space="preserve"> MB Rice, GD Thurston, JR Balmes and KE Pinkerton, ‘Climate change. A global threat to cardiopulmonary health’, </w:t>
      </w:r>
      <w:r w:rsidR="0028560D" w:rsidRPr="00A22B17">
        <w:rPr>
          <w:i/>
        </w:rPr>
        <w:t xml:space="preserve">American </w:t>
      </w:r>
      <w:r w:rsidR="00A22B17" w:rsidRPr="00A22B17">
        <w:rPr>
          <w:i/>
        </w:rPr>
        <w:t>J</w:t>
      </w:r>
      <w:r w:rsidR="0028560D" w:rsidRPr="00A22B17">
        <w:rPr>
          <w:i/>
        </w:rPr>
        <w:t xml:space="preserve">ournal of </w:t>
      </w:r>
      <w:r w:rsidR="00A22B17" w:rsidRPr="00A22B17">
        <w:rPr>
          <w:i/>
        </w:rPr>
        <w:t>R</w:t>
      </w:r>
      <w:r w:rsidR="0028560D" w:rsidRPr="00A22B17">
        <w:rPr>
          <w:i/>
        </w:rPr>
        <w:t xml:space="preserve">espiratory and </w:t>
      </w:r>
      <w:r w:rsidR="00A22B17" w:rsidRPr="00A22B17">
        <w:rPr>
          <w:i/>
        </w:rPr>
        <w:t>C</w:t>
      </w:r>
      <w:r w:rsidR="0028560D" w:rsidRPr="00A22B17">
        <w:rPr>
          <w:i/>
        </w:rPr>
        <w:t xml:space="preserve">ritical </w:t>
      </w:r>
      <w:r w:rsidR="00A22B17" w:rsidRPr="00A22B17">
        <w:rPr>
          <w:i/>
        </w:rPr>
        <w:t>C</w:t>
      </w:r>
      <w:r w:rsidR="0028560D" w:rsidRPr="00A22B17">
        <w:rPr>
          <w:i/>
        </w:rPr>
        <w:t xml:space="preserve">are </w:t>
      </w:r>
      <w:r w:rsidR="00A22B17" w:rsidRPr="00A22B17">
        <w:rPr>
          <w:i/>
        </w:rPr>
        <w:t>M</w:t>
      </w:r>
      <w:r w:rsidR="0028560D" w:rsidRPr="00A22B17">
        <w:rPr>
          <w:i/>
        </w:rPr>
        <w:t>edicine</w:t>
      </w:r>
      <w:r w:rsidRPr="00A22B17">
        <w:t>,</w:t>
      </w:r>
      <w:r w:rsidRPr="00A22041">
        <w:t xml:space="preserve"> 2014, 189(5):512-519. doi:10.1164/rccm.201310-1924PP</w:t>
      </w:r>
      <w:r w:rsidR="001F0A60">
        <w:t>.</w:t>
      </w:r>
    </w:p>
  </w:endnote>
  <w:endnote w:id="60">
    <w:p w14:paraId="06496160" w14:textId="7F5CEE74" w:rsidR="00C87B0B" w:rsidRPr="00A22041" w:rsidRDefault="00C87B0B" w:rsidP="00BB3490">
      <w:pPr>
        <w:pStyle w:val="EndnoteText"/>
      </w:pPr>
      <w:r w:rsidRPr="00A22041">
        <w:rPr>
          <w:rStyle w:val="EndnoteReference"/>
        </w:rPr>
        <w:endnoteRef/>
      </w:r>
      <w:r w:rsidRPr="00A22041">
        <w:t xml:space="preserve"> </w:t>
      </w:r>
      <w:r w:rsidR="00A22006">
        <w:t xml:space="preserve">Australian </w:t>
      </w:r>
      <w:r w:rsidRPr="00A22041">
        <w:t>Department of Health</w:t>
      </w:r>
      <w:r>
        <w:t>,</w:t>
      </w:r>
      <w:r w:rsidRPr="00A22041">
        <w:t xml:space="preserve"> </w:t>
      </w:r>
      <w:hyperlink r:id="rId28" w:history="1">
        <w:r w:rsidRPr="00E56C9D">
          <w:rPr>
            <w:rStyle w:val="Hyperlink"/>
            <w:i/>
          </w:rPr>
          <w:t>National Preventive Health Strategy 2021-2030</w:t>
        </w:r>
      </w:hyperlink>
      <w:r w:rsidR="00BB62F5">
        <w:t xml:space="preserve">, </w:t>
      </w:r>
      <w:r w:rsidR="00493BA3">
        <w:t>Department of Health</w:t>
      </w:r>
      <w:r w:rsidR="009E5D83">
        <w:t xml:space="preserve">, Australian Government, 2021. </w:t>
      </w:r>
    </w:p>
  </w:endnote>
  <w:endnote w:id="61">
    <w:p w14:paraId="61A63A82" w14:textId="3CE55618" w:rsidR="007A06E7" w:rsidRPr="00A22041" w:rsidRDefault="007A06E7" w:rsidP="00BB3490">
      <w:pPr>
        <w:pStyle w:val="EndnoteText"/>
      </w:pPr>
      <w:r w:rsidRPr="00A22041">
        <w:rPr>
          <w:rStyle w:val="EndnoteReference"/>
        </w:rPr>
        <w:endnoteRef/>
      </w:r>
      <w:r w:rsidRPr="00A22041">
        <w:t xml:space="preserve"> </w:t>
      </w:r>
      <w:r w:rsidR="00A22006">
        <w:t xml:space="preserve">Australian </w:t>
      </w:r>
      <w:r w:rsidRPr="00A22041">
        <w:t xml:space="preserve">Department of Health and Aged Care (DHAC), </w:t>
      </w:r>
      <w:hyperlink r:id="rId29" w:history="1">
        <w:r w:rsidRPr="00A22041">
          <w:rPr>
            <w:rStyle w:val="Hyperlink"/>
            <w:i/>
            <w:iCs/>
          </w:rPr>
          <w:t>Primary Care</w:t>
        </w:r>
      </w:hyperlink>
      <w:r w:rsidRPr="00A22041">
        <w:t xml:space="preserve">, DHAC </w:t>
      </w:r>
      <w:r w:rsidR="00044212">
        <w:t>w</w:t>
      </w:r>
      <w:r w:rsidRPr="00A22041">
        <w:t xml:space="preserve">ebsite, 2023, </w:t>
      </w:r>
      <w:r>
        <w:t xml:space="preserve">accessed </w:t>
      </w:r>
      <w:r w:rsidR="002F5C6E">
        <w:t>21 November 2023.</w:t>
      </w:r>
    </w:p>
  </w:endnote>
  <w:endnote w:id="62">
    <w:p w14:paraId="411F67E4" w14:textId="713E322F" w:rsidR="007A06E7" w:rsidRPr="00A22041" w:rsidRDefault="007A06E7" w:rsidP="00BB3490">
      <w:pPr>
        <w:pStyle w:val="EndnoteText"/>
      </w:pPr>
      <w:r w:rsidRPr="00A22041">
        <w:rPr>
          <w:rStyle w:val="EndnoteReference"/>
        </w:rPr>
        <w:endnoteRef/>
      </w:r>
      <w:r w:rsidRPr="00A22041">
        <w:t xml:space="preserve"> SM Dennis, N Zwar, R Griffiths, M Roland, I Hasan, GP Davies </w:t>
      </w:r>
      <w:r w:rsidR="006F6447">
        <w:t>and M Harris,</w:t>
      </w:r>
      <w:r w:rsidRPr="00A22041">
        <w:t xml:space="preserve"> ‘Chronic disease management in primary care: from evidence to policy’, </w:t>
      </w:r>
      <w:r w:rsidR="0038549E">
        <w:rPr>
          <w:i/>
          <w:iCs/>
        </w:rPr>
        <w:t xml:space="preserve">The </w:t>
      </w:r>
      <w:r w:rsidRPr="00A22041">
        <w:rPr>
          <w:i/>
        </w:rPr>
        <w:t>Medical Journal of Australia</w:t>
      </w:r>
      <w:r w:rsidRPr="00A22041">
        <w:t>, 2008, 188(8):S53, doi:10.5694/j.1326-5377.2008.tb01745.x</w:t>
      </w:r>
      <w:r w:rsidR="004D6E84">
        <w:t>.</w:t>
      </w:r>
    </w:p>
  </w:endnote>
  <w:endnote w:id="63">
    <w:p w14:paraId="6CE1676C" w14:textId="3E9B99BE" w:rsidR="007A06E7" w:rsidRPr="00A22041" w:rsidRDefault="007A06E7" w:rsidP="00BB3490">
      <w:pPr>
        <w:pStyle w:val="EndnoteText"/>
      </w:pPr>
      <w:r w:rsidRPr="00A22041">
        <w:rPr>
          <w:rStyle w:val="EndnoteReference"/>
        </w:rPr>
        <w:endnoteRef/>
      </w:r>
      <w:r w:rsidRPr="00A22041">
        <w:t xml:space="preserve"> D Price, KM Hughes, F Thien</w:t>
      </w:r>
      <w:r w:rsidR="00A258B7">
        <w:t xml:space="preserve"> and</w:t>
      </w:r>
      <w:r w:rsidRPr="00A22041">
        <w:t xml:space="preserve"> C Suphioglu, ‘Epidemic Thunderstorm Asthma: Lessons Learned from the Storm Down-Under’, </w:t>
      </w:r>
      <w:r w:rsidRPr="00A22041">
        <w:rPr>
          <w:i/>
        </w:rPr>
        <w:t xml:space="preserve">The Journal of Allergy and Clinical Immunology: In Practice, </w:t>
      </w:r>
      <w:r w:rsidRPr="00A22041">
        <w:t>2021, 9(4):1510-1515, doi:</w:t>
      </w:r>
      <w:r w:rsidR="006277AD" w:rsidRPr="00EA3212">
        <w:t>10.1016/j.jaip.2020.10.022</w:t>
      </w:r>
      <w:r w:rsidR="004D6E84">
        <w:t>.</w:t>
      </w:r>
    </w:p>
  </w:endnote>
  <w:endnote w:id="64">
    <w:p w14:paraId="1E499305" w14:textId="1CDC2F28" w:rsidR="007A06E7" w:rsidRPr="00A22041" w:rsidRDefault="007A06E7" w:rsidP="00BB3490">
      <w:pPr>
        <w:pStyle w:val="EndnoteText"/>
      </w:pPr>
      <w:r w:rsidRPr="00A22041">
        <w:rPr>
          <w:rStyle w:val="EndnoteReference"/>
        </w:rPr>
        <w:endnoteRef/>
      </w:r>
      <w:r w:rsidRPr="00A22041">
        <w:t xml:space="preserve"> D Lowe, KL Ebi and B Forsberg, ‘Heatwave Early Warning Systems and Adaptation Advice to Reduce Human Health Consequences of Heatwaves’, </w:t>
      </w:r>
      <w:r w:rsidR="004E67DB" w:rsidRPr="004E67DB">
        <w:rPr>
          <w:i/>
        </w:rPr>
        <w:t xml:space="preserve">International </w:t>
      </w:r>
      <w:r w:rsidR="004E67DB">
        <w:rPr>
          <w:i/>
        </w:rPr>
        <w:t>J</w:t>
      </w:r>
      <w:r w:rsidR="004E67DB" w:rsidRPr="004E67DB">
        <w:rPr>
          <w:i/>
        </w:rPr>
        <w:t>ournal of</w:t>
      </w:r>
      <w:r w:rsidR="004E67DB">
        <w:rPr>
          <w:i/>
        </w:rPr>
        <w:t xml:space="preserve"> E</w:t>
      </w:r>
      <w:r w:rsidR="004E67DB" w:rsidRPr="004E67DB">
        <w:rPr>
          <w:i/>
        </w:rPr>
        <w:t xml:space="preserve">nvironmental </w:t>
      </w:r>
      <w:r w:rsidR="004E67DB">
        <w:rPr>
          <w:i/>
        </w:rPr>
        <w:t>R</w:t>
      </w:r>
      <w:r w:rsidR="004E67DB" w:rsidRPr="004E67DB">
        <w:rPr>
          <w:i/>
        </w:rPr>
        <w:t>esearch and</w:t>
      </w:r>
      <w:r w:rsidRPr="00A22041">
        <w:rPr>
          <w:i/>
        </w:rPr>
        <w:t xml:space="preserve"> Public Health</w:t>
      </w:r>
      <w:r w:rsidRPr="00A22041">
        <w:t>, 2011, 8(12):4623-4648, doi:</w:t>
      </w:r>
      <w:r w:rsidR="001C4C6A" w:rsidRPr="00EA3212">
        <w:t>10.3390/ijerph8124623</w:t>
      </w:r>
      <w:r w:rsidR="004D6E84">
        <w:t>.</w:t>
      </w:r>
    </w:p>
  </w:endnote>
  <w:endnote w:id="65">
    <w:p w14:paraId="460B5FC4" w14:textId="6E408F3F" w:rsidR="00F05C62" w:rsidRPr="005E7000" w:rsidRDefault="00F05C62" w:rsidP="00BB3490">
      <w:pPr>
        <w:pStyle w:val="EndnoteText"/>
      </w:pPr>
      <w:r w:rsidRPr="00D35985">
        <w:rPr>
          <w:rStyle w:val="EndnoteReference"/>
        </w:rPr>
        <w:endnoteRef/>
      </w:r>
      <w:r w:rsidRPr="00D35985">
        <w:t xml:space="preserve"> Royal Australian College of General Practitioners (RACGP), </w:t>
      </w:r>
      <w:hyperlink r:id="rId30" w:history="1">
        <w:r w:rsidRPr="00D35985">
          <w:rPr>
            <w:rStyle w:val="Hyperlink"/>
            <w:i/>
          </w:rPr>
          <w:t xml:space="preserve">Putting prevention into practice: Guidelines for the implementation of prevention in the general practice setting </w:t>
        </w:r>
        <w:r w:rsidR="00A22006">
          <w:rPr>
            <w:rStyle w:val="Hyperlink"/>
            <w:i/>
          </w:rPr>
          <w:t>–</w:t>
        </w:r>
        <w:r w:rsidRPr="00D35985">
          <w:rPr>
            <w:rStyle w:val="Hyperlink"/>
            <w:i/>
          </w:rPr>
          <w:t xml:space="preserve"> Third Edition</w:t>
        </w:r>
      </w:hyperlink>
      <w:r w:rsidRPr="00D35985">
        <w:t>, RACGP, 2018</w:t>
      </w:r>
      <w:r w:rsidRPr="005E7000">
        <w:t xml:space="preserve">. </w:t>
      </w:r>
    </w:p>
  </w:endnote>
  <w:endnote w:id="66">
    <w:p w14:paraId="3D65C58F" w14:textId="4C77578A" w:rsidR="00F05C62" w:rsidRPr="00A22041" w:rsidRDefault="00F05C62" w:rsidP="00BB3490">
      <w:pPr>
        <w:pStyle w:val="EndnoteText"/>
      </w:pPr>
      <w:r w:rsidRPr="005E7000">
        <w:rPr>
          <w:rStyle w:val="EndnoteReference"/>
        </w:rPr>
        <w:endnoteRef/>
      </w:r>
      <w:r w:rsidRPr="005E7000">
        <w:t xml:space="preserve"> </w:t>
      </w:r>
      <w:r w:rsidR="00A22006">
        <w:t xml:space="preserve">Australian </w:t>
      </w:r>
      <w:r w:rsidRPr="005E7000">
        <w:t>Department of Health</w:t>
      </w:r>
      <w:r w:rsidRPr="00EE06DB">
        <w:t xml:space="preserve">, </w:t>
      </w:r>
      <w:hyperlink r:id="rId31" w:history="1">
        <w:r w:rsidRPr="00EE06DB">
          <w:rPr>
            <w:rStyle w:val="Hyperlink"/>
            <w:i/>
          </w:rPr>
          <w:t>Australia’s Primary Health Care 10 Year Plan 2022–2032</w:t>
        </w:r>
      </w:hyperlink>
      <w:r w:rsidRPr="00EE06DB">
        <w:t xml:space="preserve">, </w:t>
      </w:r>
      <w:r w:rsidR="00493BA3">
        <w:t>Department of Health</w:t>
      </w:r>
      <w:r w:rsidRPr="00EE06DB">
        <w:t>, Australian Government, 2022.</w:t>
      </w:r>
      <w:r w:rsidRPr="00A22041">
        <w:t xml:space="preserve"> </w:t>
      </w:r>
    </w:p>
  </w:endnote>
  <w:endnote w:id="67">
    <w:p w14:paraId="57A13A81" w14:textId="1739788A" w:rsidR="00F05C62" w:rsidRPr="00EF0111" w:rsidRDefault="00C41573" w:rsidP="00BB3490">
      <w:pPr>
        <w:pStyle w:val="EndnoteText"/>
      </w:pPr>
      <w:r w:rsidRPr="00EF0111">
        <w:rPr>
          <w:rStyle w:val="EndnoteReference"/>
        </w:rPr>
        <w:endnoteRef/>
      </w:r>
      <w:r w:rsidRPr="00EF0111">
        <w:t xml:space="preserve"> </w:t>
      </w:r>
      <w:r w:rsidR="00A31768" w:rsidRPr="00EF0111">
        <w:t xml:space="preserve">C Muhl, K Mulligan, I Bayoumi, R Ashcroft and C Godfrey, ‘Establishing internationally accepted conceptual and operational definitions of social prescribing through expert consensus: A Delphi study protocol’, </w:t>
      </w:r>
      <w:r w:rsidR="00A31768" w:rsidRPr="00EF0111">
        <w:rPr>
          <w:i/>
        </w:rPr>
        <w:t>International Journal of Integrated Care</w:t>
      </w:r>
      <w:r w:rsidR="00A31768" w:rsidRPr="00EF0111">
        <w:t>, 2023, 23(1):3, doi:10.5334/ijic.6984.</w:t>
      </w:r>
    </w:p>
  </w:endnote>
  <w:endnote w:id="68">
    <w:p w14:paraId="2C5E9937" w14:textId="3742C2D7" w:rsidR="00F05C62" w:rsidRPr="005E1BDF" w:rsidRDefault="00C41573" w:rsidP="00BB3490">
      <w:pPr>
        <w:pStyle w:val="EndnoteText"/>
      </w:pPr>
      <w:r w:rsidRPr="00EF0111">
        <w:rPr>
          <w:rStyle w:val="EndnoteReference"/>
        </w:rPr>
        <w:endnoteRef/>
      </w:r>
      <w:r w:rsidRPr="00EF0111">
        <w:t xml:space="preserve"> </w:t>
      </w:r>
      <w:r w:rsidR="00DA5F63" w:rsidRPr="00EF0111">
        <w:t xml:space="preserve">JV Pescheny, G Randhawa and Y Pappas, ‘The impact of social prescribing services on service users: A systematic review of the evidence’, </w:t>
      </w:r>
      <w:r w:rsidR="00DA5F63" w:rsidRPr="00EF0111">
        <w:rPr>
          <w:i/>
        </w:rPr>
        <w:t>European Journal of Public Health</w:t>
      </w:r>
      <w:r w:rsidR="00DA5F63" w:rsidRPr="00EF0111">
        <w:t>, 2020, 30(4):664-673, doi:10.1093/eurpub</w:t>
      </w:r>
      <w:r w:rsidR="00DA5F63" w:rsidRPr="005E1BDF">
        <w:t>/ckz078.</w:t>
      </w:r>
    </w:p>
  </w:endnote>
  <w:endnote w:id="69">
    <w:p w14:paraId="732FE407" w14:textId="60A210E0" w:rsidR="00F05C62" w:rsidRPr="00A22041" w:rsidRDefault="00E546AA" w:rsidP="00BB3490">
      <w:pPr>
        <w:pStyle w:val="EndnoteText"/>
      </w:pPr>
      <w:r w:rsidRPr="005E1BDF">
        <w:rPr>
          <w:rStyle w:val="EndnoteReference"/>
        </w:rPr>
        <w:endnoteRef/>
      </w:r>
      <w:r w:rsidRPr="005E1BDF">
        <w:t xml:space="preserve"> </w:t>
      </w:r>
      <w:r w:rsidR="00677674" w:rsidRPr="005E1BDF">
        <w:t xml:space="preserve">C Dayson and C Damm, </w:t>
      </w:r>
      <w:hyperlink r:id="rId32" w:history="1">
        <w:r w:rsidR="00BE0886">
          <w:rPr>
            <w:rStyle w:val="Hyperlink"/>
            <w:i/>
          </w:rPr>
          <w:t xml:space="preserve">Evaluation of the Rotherham Social Prescribing Service for Long Term Conditions </w:t>
        </w:r>
        <w:r w:rsidR="00BE0886" w:rsidRPr="00F817CA">
          <w:rPr>
            <w:rStyle w:val="Hyperlink"/>
            <w:iCs/>
          </w:rPr>
          <w:t>[PDF 1857KB]</w:t>
        </w:r>
      </w:hyperlink>
      <w:r w:rsidR="00E34E51" w:rsidRPr="005E1BDF">
        <w:t xml:space="preserve">, </w:t>
      </w:r>
      <w:r w:rsidR="00677674" w:rsidRPr="005E1BDF">
        <w:t>CRESR</w:t>
      </w:r>
      <w:r w:rsidR="00BC0F76" w:rsidRPr="005E1BDF">
        <w:t xml:space="preserve"> and</w:t>
      </w:r>
      <w:r w:rsidR="00677674" w:rsidRPr="005E1BDF">
        <w:t xml:space="preserve"> Sheffield Hallam University, 2020.</w:t>
      </w:r>
    </w:p>
  </w:endnote>
  <w:endnote w:id="70">
    <w:p w14:paraId="6A0ABDE9" w14:textId="70781638" w:rsidR="009F7F1E" w:rsidRPr="005E1BDF" w:rsidRDefault="009F7F1E" w:rsidP="00BB3490">
      <w:pPr>
        <w:pStyle w:val="EndnoteText"/>
      </w:pPr>
      <w:r w:rsidRPr="00125E72">
        <w:rPr>
          <w:rStyle w:val="EndnoteReference"/>
        </w:rPr>
        <w:endnoteRef/>
      </w:r>
      <w:r w:rsidRPr="00125E72">
        <w:t xml:space="preserve"> </w:t>
      </w:r>
      <w:r w:rsidR="00A22006">
        <w:t xml:space="preserve">Australian </w:t>
      </w:r>
      <w:r w:rsidR="003078A6">
        <w:t>Department of Health</w:t>
      </w:r>
      <w:r w:rsidR="003078A6" w:rsidRPr="00873BA5">
        <w:t>,</w:t>
      </w:r>
      <w:r w:rsidR="003078A6">
        <w:t xml:space="preserve"> </w:t>
      </w:r>
      <w:hyperlink r:id="rId33" w:history="1">
        <w:r w:rsidR="003078A6" w:rsidRPr="003F7E7C">
          <w:rPr>
            <w:rStyle w:val="Hyperlink"/>
            <w:i/>
            <w:iCs/>
          </w:rPr>
          <w:t>National Aboriginal and Torres Strait Islander Health Plan 2021-2031</w:t>
        </w:r>
      </w:hyperlink>
      <w:r w:rsidR="003078A6">
        <w:rPr>
          <w:i/>
          <w:iCs/>
        </w:rPr>
        <w:t xml:space="preserve">, </w:t>
      </w:r>
      <w:r w:rsidR="00493BA3">
        <w:t>Department of Health</w:t>
      </w:r>
      <w:r w:rsidR="003078A6">
        <w:t xml:space="preserve">, Australian </w:t>
      </w:r>
      <w:r w:rsidR="003078A6" w:rsidRPr="005E1BDF">
        <w:t>Government</w:t>
      </w:r>
      <w:r w:rsidR="0073661B">
        <w:t>, 2021</w:t>
      </w:r>
      <w:r w:rsidR="003078A6" w:rsidRPr="005E1BDF">
        <w:t>.</w:t>
      </w:r>
    </w:p>
  </w:endnote>
  <w:endnote w:id="71">
    <w:p w14:paraId="420DAF06" w14:textId="3B268BA0" w:rsidR="0026461F" w:rsidRPr="005E1BDF" w:rsidRDefault="0026461F" w:rsidP="00BB3490">
      <w:pPr>
        <w:pStyle w:val="EndnoteText"/>
      </w:pPr>
      <w:r w:rsidRPr="005E1BDF">
        <w:rPr>
          <w:rStyle w:val="EndnoteReference"/>
        </w:rPr>
        <w:endnoteRef/>
      </w:r>
      <w:r w:rsidRPr="005E1BDF" w:rsidDel="003C39BF">
        <w:t xml:space="preserve"> </w:t>
      </w:r>
      <w:bookmarkStart w:id="65" w:name="_Hlk150874453"/>
      <w:r w:rsidR="00947DFC" w:rsidRPr="005E1BDF">
        <w:t>V Matthews, AR Atkinson, G Lee, K Vine and J Longma</w:t>
      </w:r>
      <w:r w:rsidR="00F74C10" w:rsidRPr="005E1BDF">
        <w:t>n</w:t>
      </w:r>
      <w:r w:rsidR="00B02979">
        <w:t xml:space="preserve">, </w:t>
      </w:r>
      <w:hyperlink r:id="rId34" w:history="1">
        <w:r w:rsidR="001C4C52" w:rsidRPr="00FC2DAB">
          <w:rPr>
            <w:rStyle w:val="Hyperlink"/>
            <w:i/>
          </w:rPr>
          <w:t>Climate Change and Aboriginal and Torres Strait Islander Health</w:t>
        </w:r>
      </w:hyperlink>
      <w:r w:rsidR="001C4C52">
        <w:rPr>
          <w:i/>
        </w:rPr>
        <w:t>,</w:t>
      </w:r>
      <w:r w:rsidR="001C4C52" w:rsidRPr="00F42E20">
        <w:rPr>
          <w:i/>
        </w:rPr>
        <w:t xml:space="preserve"> </w:t>
      </w:r>
      <w:r w:rsidR="001C4C52" w:rsidRPr="00F42E20">
        <w:rPr>
          <w:iCs/>
        </w:rPr>
        <w:t>Discussion Paper</w:t>
      </w:r>
      <w:r w:rsidR="001C4C52" w:rsidRPr="00947DFC">
        <w:t xml:space="preserve">, </w:t>
      </w:r>
      <w:r w:rsidR="001C4C52" w:rsidRPr="009A3806">
        <w:t>Lowitja Institute</w:t>
      </w:r>
      <w:r w:rsidR="001C4C52">
        <w:t xml:space="preserve">, </w:t>
      </w:r>
      <w:r w:rsidR="001C4C52" w:rsidRPr="00947DFC">
        <w:t>2021</w:t>
      </w:r>
      <w:r w:rsidR="001C4C52">
        <w:t>.</w:t>
      </w:r>
      <w:bookmarkEnd w:id="65"/>
    </w:p>
  </w:endnote>
  <w:endnote w:id="72">
    <w:p w14:paraId="2653A299" w14:textId="1742ED5B" w:rsidR="00D8713B" w:rsidRPr="005E1BDF" w:rsidRDefault="005B6040" w:rsidP="00BB3490">
      <w:pPr>
        <w:pStyle w:val="EndnoteText"/>
      </w:pPr>
      <w:r w:rsidRPr="005E1BDF">
        <w:rPr>
          <w:rStyle w:val="EndnoteReference"/>
        </w:rPr>
        <w:endnoteRef/>
      </w:r>
      <w:r w:rsidRPr="005E1BDF">
        <w:t xml:space="preserve"> </w:t>
      </w:r>
      <w:r w:rsidR="00D8713B" w:rsidRPr="005E1BDF">
        <w:t>J Collins</w:t>
      </w:r>
      <w:r w:rsidR="0042657B" w:rsidRPr="005E1BDF">
        <w:t>, ‘</w:t>
      </w:r>
      <w:hyperlink r:id="rId35" w:history="1">
        <w:r w:rsidR="000515D3" w:rsidRPr="005E1BDF">
          <w:rPr>
            <w:rStyle w:val="Hyperlink"/>
          </w:rPr>
          <w:t>An anchor approach to sustainability</w:t>
        </w:r>
      </w:hyperlink>
      <w:r w:rsidR="000515D3" w:rsidRPr="005E1BDF">
        <w:t>’</w:t>
      </w:r>
      <w:r w:rsidR="005B0707" w:rsidRPr="005E1BDF">
        <w:t xml:space="preserve">, </w:t>
      </w:r>
      <w:r w:rsidR="00EE7350" w:rsidRPr="005E1BDF">
        <w:rPr>
          <w:i/>
          <w:iCs/>
        </w:rPr>
        <w:t>The Health Foundation</w:t>
      </w:r>
      <w:r w:rsidR="00EE7350" w:rsidRPr="005E1BDF">
        <w:t>, 10 November 2021, accessed 17 November 2023.</w:t>
      </w:r>
    </w:p>
  </w:endnote>
  <w:endnote w:id="73">
    <w:p w14:paraId="6303599A" w14:textId="562C0A14" w:rsidR="00AF2426" w:rsidRPr="005E1BDF" w:rsidRDefault="00AF2426" w:rsidP="00BB3490">
      <w:pPr>
        <w:pStyle w:val="EndnoteText"/>
      </w:pPr>
      <w:r w:rsidRPr="005E1BDF">
        <w:rPr>
          <w:rStyle w:val="EndnoteReference"/>
        </w:rPr>
        <w:endnoteRef/>
      </w:r>
      <w:r w:rsidRPr="005E1BDF">
        <w:t xml:space="preserve"> World Health </w:t>
      </w:r>
      <w:r w:rsidR="007C6ED5" w:rsidRPr="005E1BDF">
        <w:t>Organization</w:t>
      </w:r>
      <w:r w:rsidRPr="005E1BDF">
        <w:t xml:space="preserve"> (WHO), </w:t>
      </w:r>
      <w:hyperlink r:id="rId36" w:history="1">
        <w:r w:rsidRPr="005E1BDF">
          <w:rPr>
            <w:rStyle w:val="Hyperlink"/>
            <w:i/>
          </w:rPr>
          <w:t>Operational framework for building climate resilient health systems</w:t>
        </w:r>
      </w:hyperlink>
      <w:r w:rsidRPr="005E1BDF">
        <w:t>, WHO, 2015.</w:t>
      </w:r>
    </w:p>
  </w:endnote>
  <w:endnote w:id="74">
    <w:p w14:paraId="722AA8A8" w14:textId="3E340C5E" w:rsidR="00597B10" w:rsidRPr="00A22041" w:rsidRDefault="00597B10" w:rsidP="00BB3490">
      <w:pPr>
        <w:pStyle w:val="EndnoteText"/>
        <w:rPr>
          <w:rFonts w:ascii="Calibri" w:eastAsia="Calibri" w:hAnsi="Calibri" w:cs="Calibri"/>
          <w:lang w:val="en-GB"/>
        </w:rPr>
      </w:pPr>
      <w:r w:rsidRPr="005E1BDF">
        <w:rPr>
          <w:rStyle w:val="EndnoteReference"/>
        </w:rPr>
        <w:endnoteRef/>
      </w:r>
      <w:r w:rsidRPr="005E1BDF">
        <w:t xml:space="preserve"> </w:t>
      </w:r>
      <w:r w:rsidR="00A661D0" w:rsidRPr="005E1BDF">
        <w:rPr>
          <w:rFonts w:ascii="Calibri" w:eastAsia="Calibri" w:hAnsi="Calibri" w:cs="Calibri"/>
          <w:lang w:val="en-GB"/>
        </w:rPr>
        <w:t xml:space="preserve">UN Climate Technology Centre and Network </w:t>
      </w:r>
      <w:r w:rsidR="00C95F4E" w:rsidRPr="005E1BDF">
        <w:rPr>
          <w:rFonts w:ascii="Calibri" w:eastAsia="Calibri" w:hAnsi="Calibri" w:cs="Calibri"/>
          <w:lang w:val="en-GB"/>
        </w:rPr>
        <w:t xml:space="preserve">(CTCN), </w:t>
      </w:r>
      <w:hyperlink r:id="rId37" w:history="1">
        <w:r w:rsidR="009D041C" w:rsidRPr="005E1BDF">
          <w:rPr>
            <w:rStyle w:val="Hyperlink"/>
            <w:rFonts w:ascii="Calibri" w:eastAsia="Calibri" w:hAnsi="Calibri" w:cs="Calibri"/>
            <w:i/>
            <w:iCs/>
            <w:lang w:val="en-GB"/>
          </w:rPr>
          <w:t xml:space="preserve">Climate change </w:t>
        </w:r>
        <w:bookmarkStart w:id="71" w:name="_Hlt150959656"/>
        <w:bookmarkStart w:id="72" w:name="_Hlt150959657"/>
        <w:r w:rsidR="009D041C" w:rsidRPr="005E1BDF">
          <w:rPr>
            <w:rStyle w:val="Hyperlink"/>
            <w:rFonts w:ascii="Calibri" w:eastAsia="Calibri" w:hAnsi="Calibri" w:cs="Calibri"/>
            <w:i/>
            <w:iCs/>
            <w:lang w:val="en-GB"/>
          </w:rPr>
          <w:t>m</w:t>
        </w:r>
        <w:bookmarkEnd w:id="71"/>
        <w:bookmarkEnd w:id="72"/>
        <w:r w:rsidR="009D041C" w:rsidRPr="005E1BDF">
          <w:rPr>
            <w:rStyle w:val="Hyperlink"/>
            <w:rFonts w:ascii="Calibri" w:eastAsia="Calibri" w:hAnsi="Calibri" w:cs="Calibri"/>
            <w:i/>
            <w:iCs/>
            <w:lang w:val="en-GB"/>
          </w:rPr>
          <w:t>onitoring</w:t>
        </w:r>
      </w:hyperlink>
      <w:r w:rsidR="009D041C" w:rsidRPr="005E1BDF">
        <w:rPr>
          <w:rFonts w:ascii="Calibri" w:eastAsia="Calibri" w:hAnsi="Calibri" w:cs="Calibri"/>
          <w:lang w:val="en-GB"/>
        </w:rPr>
        <w:t xml:space="preserve">, </w:t>
      </w:r>
      <w:r w:rsidR="00422874" w:rsidRPr="005E1BDF">
        <w:rPr>
          <w:rFonts w:ascii="Calibri" w:eastAsia="Calibri" w:hAnsi="Calibri" w:cs="Calibri"/>
          <w:lang w:val="en-GB"/>
        </w:rPr>
        <w:t xml:space="preserve">CTCN </w:t>
      </w:r>
      <w:r w:rsidR="00B4150D" w:rsidRPr="005E1BDF">
        <w:rPr>
          <w:rFonts w:ascii="Calibri" w:eastAsia="Calibri" w:hAnsi="Calibri" w:cs="Calibri"/>
          <w:lang w:val="en-GB"/>
        </w:rPr>
        <w:t>w</w:t>
      </w:r>
      <w:r w:rsidR="00422874" w:rsidRPr="005E1BDF">
        <w:rPr>
          <w:rFonts w:ascii="Calibri" w:eastAsia="Calibri" w:hAnsi="Calibri" w:cs="Calibri"/>
          <w:lang w:val="en-GB"/>
        </w:rPr>
        <w:t xml:space="preserve">ebsite, </w:t>
      </w:r>
      <w:r w:rsidR="008B6267" w:rsidRPr="005E1BDF">
        <w:rPr>
          <w:rFonts w:ascii="Calibri" w:eastAsia="Calibri" w:hAnsi="Calibri" w:cs="Calibri"/>
          <w:lang w:val="en-GB"/>
        </w:rPr>
        <w:t>2023</w:t>
      </w:r>
      <w:r w:rsidR="004D018E" w:rsidRPr="005E1BDF">
        <w:rPr>
          <w:rFonts w:ascii="Calibri" w:eastAsia="Calibri" w:hAnsi="Calibri" w:cs="Calibri"/>
          <w:lang w:val="en-GB"/>
        </w:rPr>
        <w:t xml:space="preserve">, </w:t>
      </w:r>
      <w:r w:rsidR="004D018E">
        <w:t xml:space="preserve">accessed </w:t>
      </w:r>
      <w:r w:rsidR="00A71A64">
        <w:t>21 November 2023</w:t>
      </w:r>
      <w:r w:rsidR="004D018E">
        <w:t>.</w:t>
      </w:r>
    </w:p>
  </w:endnote>
  <w:endnote w:id="75">
    <w:p w14:paraId="69952A38" w14:textId="657805A4" w:rsidR="00597B10" w:rsidRPr="00A22041" w:rsidRDefault="00597B10" w:rsidP="00BB3490">
      <w:pPr>
        <w:pStyle w:val="EndnoteText"/>
        <w:rPr>
          <w:rFonts w:ascii="Calibri" w:eastAsia="Calibri" w:hAnsi="Calibri" w:cs="Calibri"/>
          <w:lang w:val="en-GB"/>
        </w:rPr>
      </w:pPr>
      <w:r w:rsidRPr="00A22041">
        <w:rPr>
          <w:rStyle w:val="EndnoteReference"/>
        </w:rPr>
        <w:endnoteRef/>
      </w:r>
      <w:r w:rsidR="00BE18D0" w:rsidRPr="00A22041">
        <w:rPr>
          <w:rFonts w:ascii="Calibri" w:eastAsia="Calibri" w:hAnsi="Calibri" w:cs="Calibri"/>
          <w:lang w:val="en-GB"/>
        </w:rPr>
        <w:t xml:space="preserve"> </w:t>
      </w:r>
      <w:r w:rsidR="00A22006">
        <w:rPr>
          <w:rFonts w:ascii="Calibri" w:eastAsia="Calibri" w:hAnsi="Calibri" w:cs="Calibri"/>
          <w:lang w:val="en-GB"/>
        </w:rPr>
        <w:t xml:space="preserve">Australian </w:t>
      </w:r>
      <w:r w:rsidR="00BE18D0" w:rsidRPr="00A22041">
        <w:rPr>
          <w:rFonts w:ascii="Calibri" w:eastAsia="Calibri" w:hAnsi="Calibri" w:cs="Calibri"/>
          <w:lang w:val="en-GB"/>
        </w:rPr>
        <w:t xml:space="preserve">Department of Health and Aged Care (DHAC), </w:t>
      </w:r>
      <w:hyperlink r:id="rId38" w:history="1">
        <w:r w:rsidR="00BE18D0" w:rsidRPr="00A22041">
          <w:rPr>
            <w:rStyle w:val="Hyperlink"/>
            <w:rFonts w:ascii="Calibri" w:eastAsia="Calibri" w:hAnsi="Calibri" w:cs="Calibri"/>
            <w:i/>
            <w:iCs/>
            <w:lang w:val="en-GB"/>
          </w:rPr>
          <w:t>National Notifiable Disease Surveillance System (NNDSS)</w:t>
        </w:r>
      </w:hyperlink>
      <w:r w:rsidR="00BE18D0" w:rsidRPr="00A22041">
        <w:rPr>
          <w:rFonts w:ascii="Calibri" w:eastAsia="Calibri" w:hAnsi="Calibri" w:cs="Calibri"/>
          <w:lang w:val="en-GB"/>
        </w:rPr>
        <w:t xml:space="preserve">, </w:t>
      </w:r>
      <w:r w:rsidR="00ED026F" w:rsidRPr="00A22041">
        <w:rPr>
          <w:rFonts w:ascii="Calibri" w:eastAsia="Calibri" w:hAnsi="Calibri" w:cs="Calibri"/>
          <w:lang w:val="en-GB"/>
        </w:rPr>
        <w:t>DH</w:t>
      </w:r>
      <w:r w:rsidR="006B405E" w:rsidRPr="00A22041">
        <w:rPr>
          <w:rFonts w:ascii="Calibri" w:eastAsia="Calibri" w:hAnsi="Calibri" w:cs="Calibri"/>
          <w:lang w:val="en-GB"/>
        </w:rPr>
        <w:t xml:space="preserve">AC </w:t>
      </w:r>
      <w:r w:rsidR="00B4150D">
        <w:rPr>
          <w:rFonts w:ascii="Calibri" w:eastAsia="Calibri" w:hAnsi="Calibri" w:cs="Calibri"/>
          <w:lang w:val="en-GB"/>
        </w:rPr>
        <w:t>w</w:t>
      </w:r>
      <w:r w:rsidR="00ED026F" w:rsidRPr="00A22041">
        <w:rPr>
          <w:rFonts w:ascii="Calibri" w:eastAsia="Calibri" w:hAnsi="Calibri" w:cs="Calibri"/>
          <w:lang w:val="en-GB"/>
        </w:rPr>
        <w:t xml:space="preserve">ebsite, </w:t>
      </w:r>
      <w:r w:rsidR="006051F7" w:rsidRPr="00A22041">
        <w:rPr>
          <w:rFonts w:ascii="Calibri" w:eastAsia="Calibri" w:hAnsi="Calibri" w:cs="Calibri"/>
          <w:lang w:val="en-GB"/>
        </w:rPr>
        <w:t>2023</w:t>
      </w:r>
      <w:r w:rsidR="004D018E" w:rsidRPr="00A22041">
        <w:rPr>
          <w:rFonts w:ascii="Calibri" w:eastAsia="Calibri" w:hAnsi="Calibri" w:cs="Calibri"/>
          <w:lang w:val="en-GB"/>
        </w:rPr>
        <w:t xml:space="preserve">, </w:t>
      </w:r>
      <w:r w:rsidR="004D018E">
        <w:t xml:space="preserve">accessed </w:t>
      </w:r>
      <w:r w:rsidR="00A71A64">
        <w:t>21 November 2023.</w:t>
      </w:r>
    </w:p>
  </w:endnote>
  <w:endnote w:id="76">
    <w:p w14:paraId="28BD3A29" w14:textId="77777777" w:rsidR="00CE2599" w:rsidRDefault="00CE2599" w:rsidP="00CE2599">
      <w:pPr>
        <w:pStyle w:val="EndnoteText"/>
      </w:pPr>
      <w:r>
        <w:rPr>
          <w:rStyle w:val="EndnoteReference"/>
        </w:rPr>
        <w:endnoteRef/>
      </w:r>
      <w:r>
        <w:t xml:space="preserve"> A Kevat, ‘</w:t>
      </w:r>
      <w:r w:rsidRPr="00884643">
        <w:t>Thunderstorm Asthma: Looking Back and Looking Forward</w:t>
      </w:r>
      <w:r>
        <w:t xml:space="preserve">’, </w:t>
      </w:r>
      <w:r w:rsidRPr="00125E72">
        <w:rPr>
          <w:i/>
        </w:rPr>
        <w:t>Journal of Asthma and Allergy</w:t>
      </w:r>
      <w:r>
        <w:t>, 2020, 13:293-299, doi:</w:t>
      </w:r>
      <w:r w:rsidRPr="00F21487">
        <w:t>10.2147/JAA.S265697</w:t>
      </w:r>
      <w:r>
        <w:t xml:space="preserve">. </w:t>
      </w:r>
    </w:p>
  </w:endnote>
  <w:endnote w:id="77">
    <w:p w14:paraId="7E6CF6BB" w14:textId="397BFEC3" w:rsidR="00CE2599" w:rsidRPr="00430FA1" w:rsidRDefault="00CE2599" w:rsidP="00CE2599">
      <w:pPr>
        <w:pStyle w:val="EndnoteText"/>
      </w:pPr>
      <w:r>
        <w:rPr>
          <w:rStyle w:val="EndnoteReference"/>
        </w:rPr>
        <w:endnoteRef/>
      </w:r>
      <w:r>
        <w:t xml:space="preserve"> </w:t>
      </w:r>
      <w:r w:rsidR="00B36248" w:rsidRPr="00B36248">
        <w:t xml:space="preserve">Inspector-General for Emergency Management, </w:t>
      </w:r>
      <w:hyperlink r:id="rId39" w:history="1">
        <w:r w:rsidR="00B36248" w:rsidRPr="00B36248">
          <w:rPr>
            <w:rStyle w:val="Hyperlink"/>
            <w:i/>
            <w:iCs/>
          </w:rPr>
          <w:t>Review of response to the thunderstorm asthma event of 21–22 November 2016 – Final Report</w:t>
        </w:r>
      </w:hyperlink>
      <w:r w:rsidR="00B36248" w:rsidRPr="00B36248">
        <w:t>, Victorian Government, 2017.</w:t>
      </w:r>
    </w:p>
  </w:endnote>
  <w:endnote w:id="78">
    <w:p w14:paraId="35425AD9" w14:textId="77777777" w:rsidR="00CE2599" w:rsidRDefault="00CE2599" w:rsidP="00CE2599">
      <w:pPr>
        <w:pStyle w:val="EndnoteText"/>
      </w:pPr>
      <w:r w:rsidRPr="00125E72">
        <w:rPr>
          <w:rStyle w:val="EndnoteReference"/>
        </w:rPr>
        <w:endnoteRef/>
      </w:r>
      <w:r w:rsidRPr="00125E72" w:rsidDel="00F21487">
        <w:t xml:space="preserve"> </w:t>
      </w:r>
      <w:r w:rsidRPr="00125E72">
        <w:t>F Thien, PJ Beggs, D Csutoros, J Darvall, M Hew, JM Davies, PG Bardin, T Bannister, S Barnes</w:t>
      </w:r>
      <w:r>
        <w:t xml:space="preserve">, </w:t>
      </w:r>
      <w:r w:rsidRPr="00125E72">
        <w:t>R Bellomo</w:t>
      </w:r>
      <w:r>
        <w:t xml:space="preserve"> and</w:t>
      </w:r>
      <w:r w:rsidRPr="00125E72">
        <w:t xml:space="preserve"> T Byrne, ‘The Melbourne epidemic thunderstorm asthma event 2016: an investigation of environmental triggers, effect on health services, and patient risk factors’</w:t>
      </w:r>
      <w:r>
        <w:t>,</w:t>
      </w:r>
      <w:r w:rsidRPr="00125E72">
        <w:t xml:space="preserve"> </w:t>
      </w:r>
      <w:r>
        <w:rPr>
          <w:i/>
          <w:iCs/>
        </w:rPr>
        <w:t xml:space="preserve">The </w:t>
      </w:r>
      <w:r w:rsidRPr="00125E72">
        <w:rPr>
          <w:i/>
        </w:rPr>
        <w:t>Lancet Planetary Health</w:t>
      </w:r>
      <w:r w:rsidRPr="00125E72">
        <w:t>, 2018</w:t>
      </w:r>
      <w:r>
        <w:t xml:space="preserve">, </w:t>
      </w:r>
      <w:r w:rsidRPr="00125E72">
        <w:t>2(6):255-</w:t>
      </w:r>
      <w:r>
        <w:t>2</w:t>
      </w:r>
      <w:r w:rsidRPr="00125E72">
        <w:t>63</w:t>
      </w:r>
      <w:r>
        <w:t xml:space="preserve">, </w:t>
      </w:r>
    </w:p>
    <w:p w14:paraId="4DA3F47F" w14:textId="77777777" w:rsidR="00CE2599" w:rsidRDefault="00CE2599" w:rsidP="00CE2599">
      <w:pPr>
        <w:pStyle w:val="EndnoteText"/>
      </w:pPr>
      <w:r w:rsidRPr="00AE015C">
        <w:t>10.1016/S2542-5196(18)30120-7</w:t>
      </w:r>
      <w:r>
        <w:t>.</w:t>
      </w:r>
    </w:p>
  </w:endnote>
  <w:endnote w:id="79">
    <w:p w14:paraId="25E798C9" w14:textId="6DC0028E" w:rsidR="00CE2599" w:rsidRDefault="00CE2599" w:rsidP="00CE2599">
      <w:pPr>
        <w:pStyle w:val="EndnoteText"/>
      </w:pPr>
      <w:r w:rsidRPr="006E054F">
        <w:rPr>
          <w:rStyle w:val="EndnoteReference"/>
        </w:rPr>
        <w:endnoteRef/>
      </w:r>
      <w:r w:rsidRPr="006E054F">
        <w:t xml:space="preserve"> </w:t>
      </w:r>
      <w:r w:rsidR="00B36248" w:rsidRPr="00B36248">
        <w:t xml:space="preserve">Inspector-General for Emergency Management, </w:t>
      </w:r>
      <w:hyperlink r:id="rId40" w:history="1">
        <w:r w:rsidR="00B36248" w:rsidRPr="00B36248">
          <w:rPr>
            <w:rStyle w:val="Hyperlink"/>
            <w:i/>
            <w:iCs/>
          </w:rPr>
          <w:t>Review of response to the thunderstorm asthma event of 21–22 November 2016 – Final Report</w:t>
        </w:r>
      </w:hyperlink>
      <w:r w:rsidR="00B36248" w:rsidRPr="00B36248">
        <w:t>, Victorian Government, 2017</w:t>
      </w:r>
      <w:r w:rsidRPr="00430FA1">
        <w:rPr>
          <w:rStyle w:val="Hyperlink"/>
          <w:color w:val="auto"/>
          <w:u w:val="none"/>
          <w:lang w:val="en-GB"/>
        </w:rPr>
        <w:t>.</w:t>
      </w:r>
    </w:p>
  </w:endnote>
  <w:endnote w:id="80">
    <w:p w14:paraId="11AE2F13" w14:textId="77777777" w:rsidR="00CE2599" w:rsidRPr="00FB3741" w:rsidRDefault="00CE2599" w:rsidP="00CE2599">
      <w:pPr>
        <w:pStyle w:val="EndnoteText"/>
      </w:pPr>
      <w:r w:rsidRPr="00FB3741">
        <w:rPr>
          <w:rStyle w:val="EndnoteReference"/>
        </w:rPr>
        <w:endnoteRef/>
      </w:r>
      <w:r w:rsidRPr="00FB3741">
        <w:t xml:space="preserve"> World Health Organization (WHO), </w:t>
      </w:r>
      <w:hyperlink r:id="rId41" w:history="1">
        <w:r w:rsidRPr="00FB3741">
          <w:rPr>
            <w:rStyle w:val="Hyperlink"/>
            <w:i/>
            <w:iCs/>
          </w:rPr>
          <w:t>Measuring</w:t>
        </w:r>
        <w:bookmarkStart w:id="73" w:name="_Hlt151638333"/>
        <w:bookmarkStart w:id="74" w:name="_Hlt151638334"/>
        <w:r w:rsidRPr="00FB3741">
          <w:rPr>
            <w:rStyle w:val="Hyperlink"/>
            <w:i/>
            <w:iCs/>
          </w:rPr>
          <w:t xml:space="preserve"> </w:t>
        </w:r>
        <w:bookmarkEnd w:id="73"/>
        <w:bookmarkEnd w:id="74"/>
        <w:r w:rsidRPr="00FB3741">
          <w:rPr>
            <w:rStyle w:val="Hyperlink"/>
            <w:i/>
            <w:iCs/>
          </w:rPr>
          <w:t>the climate resilience of health systems</w:t>
        </w:r>
      </w:hyperlink>
      <w:r w:rsidRPr="00FB3741">
        <w:t>, WHO, 2022.</w:t>
      </w:r>
    </w:p>
  </w:endnote>
  <w:endnote w:id="81">
    <w:p w14:paraId="2C9A9024" w14:textId="75E7C96B" w:rsidR="0008435D" w:rsidRPr="00A22041" w:rsidRDefault="00D140D3" w:rsidP="00BB3490">
      <w:pPr>
        <w:pStyle w:val="EndnoteText"/>
      </w:pPr>
      <w:r w:rsidRPr="00A22041">
        <w:rPr>
          <w:rStyle w:val="EndnoteReference"/>
        </w:rPr>
        <w:endnoteRef/>
      </w:r>
      <w:r w:rsidR="007F4A10" w:rsidRPr="00A22041">
        <w:t xml:space="preserve"> C</w:t>
      </w:r>
      <w:r w:rsidRPr="00A22041">
        <w:t xml:space="preserve"> Pendrey</w:t>
      </w:r>
      <w:r w:rsidR="007F4A10" w:rsidRPr="00A22041">
        <w:t xml:space="preserve">, S Quilty, </w:t>
      </w:r>
      <w:r w:rsidR="0008435D" w:rsidRPr="00A22041">
        <w:t xml:space="preserve">RL Gruen, T Weeramanthri and RM Lucas, ‘Is climate change exacerbating health-care workforce shortages for underserved populations?’, </w:t>
      </w:r>
      <w:r w:rsidR="00756EA1">
        <w:rPr>
          <w:i/>
          <w:iCs/>
        </w:rPr>
        <w:t xml:space="preserve">The </w:t>
      </w:r>
      <w:r w:rsidR="003259AC" w:rsidRPr="00A22041">
        <w:rPr>
          <w:i/>
        </w:rPr>
        <w:t>Lancet Planetary Health</w:t>
      </w:r>
      <w:r w:rsidR="003259AC" w:rsidRPr="00A22041">
        <w:t xml:space="preserve">, </w:t>
      </w:r>
      <w:r w:rsidR="005D1E17" w:rsidRPr="00A22041">
        <w:t xml:space="preserve">2021, </w:t>
      </w:r>
      <w:r w:rsidR="00D409D2" w:rsidRPr="00A22041">
        <w:t>5(4):E183-E184</w:t>
      </w:r>
      <w:r w:rsidR="00936AFC" w:rsidRPr="00A22041">
        <w:t>, doi:</w:t>
      </w:r>
      <w:r w:rsidR="009D6FEC" w:rsidRPr="00EA3212">
        <w:t>10.1016/S2542-5196(21)00028-0</w:t>
      </w:r>
      <w:r w:rsidR="00DA3FC4">
        <w:t>.</w:t>
      </w:r>
    </w:p>
  </w:endnote>
  <w:endnote w:id="82">
    <w:p w14:paraId="40988B19" w14:textId="22D6B15D" w:rsidR="00D140D3" w:rsidRPr="00A22041" w:rsidRDefault="00D140D3" w:rsidP="00BB3490">
      <w:pPr>
        <w:pStyle w:val="EndnoteText"/>
      </w:pPr>
      <w:r w:rsidRPr="00A22041">
        <w:rPr>
          <w:rStyle w:val="EndnoteReference"/>
        </w:rPr>
        <w:endnoteRef/>
      </w:r>
      <w:r w:rsidRPr="00A22041">
        <w:t xml:space="preserve"> </w:t>
      </w:r>
      <w:r w:rsidR="00910136" w:rsidRPr="00A22041">
        <w:t xml:space="preserve">J Wakerman, </w:t>
      </w:r>
      <w:r w:rsidR="00CF064C" w:rsidRPr="00A22041">
        <w:t>J Humphreys, D Russell, S Guthridge,</w:t>
      </w:r>
      <w:r w:rsidR="00303CD2" w:rsidRPr="00A22041">
        <w:t xml:space="preserve"> L Bourke, T Dunbar</w:t>
      </w:r>
      <w:r w:rsidR="009C5623">
        <w:t>, Y Zhao, M Ramjan, L Murakami-Gold and MP Jones</w:t>
      </w:r>
      <w:r w:rsidR="00303CD2" w:rsidRPr="00A22041">
        <w:t xml:space="preserve">, </w:t>
      </w:r>
      <w:r w:rsidR="00D321E5" w:rsidRPr="00A22041">
        <w:t>‘Remote health workforce turnover and retention: what are the policy and practice priorities</w:t>
      </w:r>
      <w:r w:rsidR="00932E70" w:rsidRPr="00A22041">
        <w:t xml:space="preserve">?’, </w:t>
      </w:r>
      <w:r w:rsidR="00D23260" w:rsidRPr="00A22041">
        <w:rPr>
          <w:i/>
        </w:rPr>
        <w:t>Human Resources for Health</w:t>
      </w:r>
      <w:r w:rsidR="00D23260" w:rsidRPr="00A22041">
        <w:t xml:space="preserve">, </w:t>
      </w:r>
      <w:r w:rsidR="00F87A5B" w:rsidRPr="00A22041">
        <w:t>2019, 17:99, doi:</w:t>
      </w:r>
      <w:r w:rsidR="00B87FAA" w:rsidRPr="00A22041">
        <w:t>10.1186/s12960-019-0432-y</w:t>
      </w:r>
      <w:r w:rsidR="00DA3FC4">
        <w:t>.</w:t>
      </w:r>
    </w:p>
  </w:endnote>
  <w:endnote w:id="83">
    <w:p w14:paraId="163AE26E" w14:textId="10B71F29" w:rsidR="00D140D3" w:rsidRPr="00A22041" w:rsidRDefault="00D140D3" w:rsidP="00BB3490">
      <w:pPr>
        <w:pStyle w:val="EndnoteText"/>
      </w:pPr>
      <w:r w:rsidRPr="00D37B4E">
        <w:rPr>
          <w:rStyle w:val="EndnoteReference"/>
        </w:rPr>
        <w:endnoteRef/>
      </w:r>
      <w:r w:rsidRPr="00D37B4E">
        <w:t xml:space="preserve"> </w:t>
      </w:r>
      <w:r w:rsidR="00DA3FC4" w:rsidRPr="00D37B4E">
        <w:t>C</w:t>
      </w:r>
      <w:r w:rsidRPr="00D37B4E">
        <w:t xml:space="preserve"> </w:t>
      </w:r>
      <w:r w:rsidR="00172536" w:rsidRPr="00D37B4E">
        <w:t>Pendrey</w:t>
      </w:r>
      <w:r w:rsidR="00DA3FC4" w:rsidRPr="00D37B4E">
        <w:t>, S Quilty, RL Gruen, T Weeramanthri and RM Lucas,</w:t>
      </w:r>
      <w:r w:rsidR="00172536" w:rsidRPr="00D37B4E">
        <w:t xml:space="preserve"> </w:t>
      </w:r>
      <w:r w:rsidR="00503DDE" w:rsidRPr="00D37B4E">
        <w:t>‘</w:t>
      </w:r>
      <w:r w:rsidR="00172536" w:rsidRPr="00D37B4E">
        <w:t>Is climate change exacerbating health-care workforce shortages for underserved populations?</w:t>
      </w:r>
      <w:r w:rsidR="00EC5894" w:rsidRPr="00D37B4E">
        <w:t>’</w:t>
      </w:r>
      <w:r w:rsidR="00DA3FC4" w:rsidRPr="00D37B4E">
        <w:t xml:space="preserve">, </w:t>
      </w:r>
      <w:r w:rsidR="000002E7">
        <w:rPr>
          <w:i/>
          <w:iCs/>
        </w:rPr>
        <w:t xml:space="preserve">The </w:t>
      </w:r>
      <w:r w:rsidR="00DA3FC4" w:rsidRPr="00D37B4E">
        <w:rPr>
          <w:i/>
        </w:rPr>
        <w:t>Lancet Planetary Health</w:t>
      </w:r>
      <w:r w:rsidR="00DA3FC4" w:rsidRPr="00D37B4E">
        <w:t>, 2021, 5(4):E183-E184, doi:10.1016/S2542-5196(21)00028-0.</w:t>
      </w:r>
    </w:p>
  </w:endnote>
  <w:endnote w:id="84">
    <w:p w14:paraId="289B168F" w14:textId="0BC9F4A9" w:rsidR="00A31007" w:rsidRDefault="00A31007">
      <w:pPr>
        <w:pStyle w:val="EndnoteText"/>
      </w:pPr>
      <w:r>
        <w:rPr>
          <w:rStyle w:val="EndnoteReference"/>
        </w:rPr>
        <w:endnoteRef/>
      </w:r>
      <w:r>
        <w:t xml:space="preserve"> </w:t>
      </w:r>
      <w:r w:rsidRPr="00A31007">
        <w:t xml:space="preserve">Black Dog Institute, </w:t>
      </w:r>
      <w:hyperlink r:id="rId42" w:history="1">
        <w:r w:rsidRPr="00A31007">
          <w:rPr>
            <w:rStyle w:val="Hyperlink"/>
            <w:i/>
            <w:iCs/>
          </w:rPr>
          <w:t>National Emergency Worker Support Service</w:t>
        </w:r>
      </w:hyperlink>
      <w:r w:rsidRPr="00A31007">
        <w:t>, Black Dog Institute website, 2023, accessed 3 October 2023.</w:t>
      </w:r>
    </w:p>
  </w:endnote>
  <w:endnote w:id="85">
    <w:p w14:paraId="2D257FB8" w14:textId="77777777" w:rsidR="00734E73" w:rsidRDefault="00734E73" w:rsidP="00734E73">
      <w:pPr>
        <w:pStyle w:val="EndnoteText"/>
      </w:pPr>
      <w:r w:rsidRPr="00B0700C">
        <w:rPr>
          <w:rStyle w:val="EndnoteReference"/>
        </w:rPr>
        <w:endnoteRef/>
      </w:r>
      <w:r w:rsidRPr="00B0700C">
        <w:t xml:space="preserve"> Purple House, </w:t>
      </w:r>
      <w:hyperlink r:id="rId43" w:history="1">
        <w:r w:rsidRPr="00B0700C">
          <w:rPr>
            <w:rStyle w:val="Hyperlink"/>
            <w:i/>
            <w:iCs/>
          </w:rPr>
          <w:t>Dialysis</w:t>
        </w:r>
      </w:hyperlink>
      <w:r>
        <w:rPr>
          <w:i/>
          <w:iCs/>
        </w:rPr>
        <w:t xml:space="preserve">, </w:t>
      </w:r>
      <w:r>
        <w:t xml:space="preserve">Purple House website, n.d., accessed 13 November 2023. </w:t>
      </w:r>
    </w:p>
  </w:endnote>
  <w:endnote w:id="86">
    <w:p w14:paraId="12A19023" w14:textId="77777777" w:rsidR="00734E73" w:rsidRPr="00A22041" w:rsidRDefault="00734E73" w:rsidP="00734E73">
      <w:pPr>
        <w:pStyle w:val="EndnoteText"/>
      </w:pPr>
      <w:r w:rsidRPr="00A22041">
        <w:rPr>
          <w:rStyle w:val="EndnoteReference"/>
        </w:rPr>
        <w:endnoteRef/>
      </w:r>
      <w:r w:rsidRPr="00A22041">
        <w:t xml:space="preserve"> </w:t>
      </w:r>
      <w:r w:rsidRPr="00B30FEA">
        <w:t xml:space="preserve">Purple House, </w:t>
      </w:r>
      <w:hyperlink r:id="rId44" w:history="1">
        <w:r w:rsidRPr="00B0700C">
          <w:rPr>
            <w:rStyle w:val="Hyperlink"/>
            <w:i/>
            <w:iCs/>
          </w:rPr>
          <w:t>Water story</w:t>
        </w:r>
      </w:hyperlink>
      <w:r w:rsidRPr="00B0700C">
        <w:t xml:space="preserve">, Purple House </w:t>
      </w:r>
      <w:r>
        <w:t>w</w:t>
      </w:r>
      <w:r w:rsidRPr="0044001B">
        <w:t>ebsite</w:t>
      </w:r>
      <w:r w:rsidRPr="00B0700C">
        <w:t>,</w:t>
      </w:r>
      <w:r>
        <w:t xml:space="preserve"> n.d.,</w:t>
      </w:r>
      <w:r w:rsidRPr="00B0700C">
        <w:t xml:space="preserve"> accessed 13 November 2023. </w:t>
      </w:r>
    </w:p>
  </w:endnote>
  <w:endnote w:id="87">
    <w:p w14:paraId="6475E855" w14:textId="113E5BC9" w:rsidR="00D9751A" w:rsidRPr="00A22041" w:rsidRDefault="00D9751A" w:rsidP="00BB3490">
      <w:pPr>
        <w:pStyle w:val="EndnoteText"/>
      </w:pPr>
      <w:r w:rsidRPr="00A22041">
        <w:rPr>
          <w:rStyle w:val="EndnoteReference"/>
        </w:rPr>
        <w:endnoteRef/>
      </w:r>
      <w:r w:rsidRPr="00A22041">
        <w:t xml:space="preserve"> </w:t>
      </w:r>
      <w:r w:rsidR="00BF25C4">
        <w:t xml:space="preserve">Australian </w:t>
      </w:r>
      <w:r w:rsidR="00477F24" w:rsidRPr="00A22041">
        <w:t>Department of Home Affairs</w:t>
      </w:r>
      <w:r w:rsidR="00C84400">
        <w:t xml:space="preserve"> (DHA)</w:t>
      </w:r>
      <w:r w:rsidR="00BD375A" w:rsidRPr="00A22041">
        <w:t xml:space="preserve">, </w:t>
      </w:r>
      <w:hyperlink r:id="rId45" w:history="1">
        <w:r w:rsidR="00370209" w:rsidRPr="00A22041">
          <w:rPr>
            <w:rStyle w:val="Hyperlink"/>
            <w:i/>
          </w:rPr>
          <w:t>National Disaster Risk Reduction Framework</w:t>
        </w:r>
      </w:hyperlink>
      <w:r w:rsidR="00370209" w:rsidRPr="00A22041">
        <w:rPr>
          <w:i/>
        </w:rPr>
        <w:t xml:space="preserve">, </w:t>
      </w:r>
      <w:r w:rsidR="00C84400">
        <w:t>DHA</w:t>
      </w:r>
      <w:r w:rsidR="00541608" w:rsidRPr="00A22041">
        <w:t xml:space="preserve">, Australian Government, </w:t>
      </w:r>
      <w:r w:rsidR="003863F6" w:rsidRPr="00A22041">
        <w:t>201</w:t>
      </w:r>
      <w:r w:rsidR="00A66794" w:rsidRPr="00A22041">
        <w:t>8</w:t>
      </w:r>
      <w:r w:rsidR="00B84696" w:rsidRPr="00A22041">
        <w:t xml:space="preserve">. </w:t>
      </w:r>
    </w:p>
  </w:endnote>
  <w:endnote w:id="88">
    <w:p w14:paraId="6304F9AE" w14:textId="77777777" w:rsidR="00E948AF" w:rsidRDefault="00E948AF" w:rsidP="00BB3490">
      <w:pPr>
        <w:pStyle w:val="EndnoteText"/>
      </w:pPr>
      <w:r>
        <w:rPr>
          <w:rStyle w:val="EndnoteReference"/>
        </w:rPr>
        <w:endnoteRef/>
      </w:r>
      <w:r>
        <w:t xml:space="preserve"> </w:t>
      </w:r>
      <w:bookmarkStart w:id="87" w:name="_Hlk151984764"/>
      <w:r>
        <w:t>Australian</w:t>
      </w:r>
      <w:r w:rsidRPr="00A22041">
        <w:t xml:space="preserve"> National Emergency Management Agency (NEMA), </w:t>
      </w:r>
      <w:hyperlink r:id="rId46" w:history="1">
        <w:r w:rsidRPr="00A22041">
          <w:rPr>
            <w:rStyle w:val="Hyperlink"/>
            <w:i/>
          </w:rPr>
          <w:t>National Disaster Mental Health and Wellbeing Framework</w:t>
        </w:r>
      </w:hyperlink>
      <w:r w:rsidRPr="00A22041">
        <w:t xml:space="preserve">, NEMA, </w:t>
      </w:r>
      <w:r>
        <w:t xml:space="preserve">Australian Government, </w:t>
      </w:r>
      <w:r w:rsidRPr="00A22041">
        <w:t>2023</w:t>
      </w:r>
      <w:r>
        <w:t>.</w:t>
      </w:r>
      <w:r>
        <w:rPr>
          <w:lang w:val="en-GB"/>
        </w:rPr>
        <w:t xml:space="preserve"> </w:t>
      </w:r>
      <w:bookmarkEnd w:id="87"/>
    </w:p>
  </w:endnote>
  <w:endnote w:id="89">
    <w:p w14:paraId="61F435EE" w14:textId="46B07DEC" w:rsidR="00B53281" w:rsidRPr="00A22041" w:rsidRDefault="00B53281" w:rsidP="00BB3490">
      <w:pPr>
        <w:pStyle w:val="EndnoteText"/>
      </w:pPr>
      <w:r w:rsidRPr="00A22041">
        <w:rPr>
          <w:rStyle w:val="EndnoteReference"/>
        </w:rPr>
        <w:endnoteRef/>
      </w:r>
      <w:r w:rsidRPr="00A22041">
        <w:t xml:space="preserve"> </w:t>
      </w:r>
      <w:r w:rsidR="00613A92">
        <w:t>Royal Commission into National Natural Disaster Arrangements</w:t>
      </w:r>
      <w:r w:rsidR="002D5BDD" w:rsidRPr="000328CD">
        <w:rPr>
          <w:rStyle w:val="Hyperlink"/>
          <w:color w:val="auto"/>
          <w:u w:val="none"/>
        </w:rPr>
        <w:t xml:space="preserve">, </w:t>
      </w:r>
      <w:hyperlink r:id="rId47" w:history="1">
        <w:r w:rsidR="005637B7">
          <w:rPr>
            <w:rStyle w:val="Hyperlink"/>
            <w:i/>
          </w:rPr>
          <w:t>Royal Commission into National Natural Disaster Arrangements Report</w:t>
        </w:r>
      </w:hyperlink>
      <w:r w:rsidR="002D5BDD" w:rsidRPr="000328CD">
        <w:rPr>
          <w:rStyle w:val="Hyperlink"/>
          <w:color w:val="auto"/>
          <w:u w:val="none"/>
        </w:rPr>
        <w:t>, Australian Government, 2020.</w:t>
      </w:r>
    </w:p>
  </w:endnote>
  <w:endnote w:id="90">
    <w:p w14:paraId="722E95F5" w14:textId="77777777" w:rsidR="00734E73" w:rsidRPr="00A22041" w:rsidRDefault="00734E73" w:rsidP="00734E73">
      <w:pPr>
        <w:pStyle w:val="EndnoteText"/>
        <w:rPr>
          <w:color w:val="034A90" w:themeColor="hyperlink"/>
          <w:u w:val="single"/>
          <w:lang w:val="en-GB"/>
        </w:rPr>
      </w:pPr>
      <w:r w:rsidRPr="00A22041">
        <w:rPr>
          <w:rStyle w:val="EndnoteReference"/>
        </w:rPr>
        <w:endnoteRef/>
      </w:r>
      <w:r w:rsidRPr="00B04550">
        <w:t xml:space="preserve"> </w:t>
      </w:r>
      <w:r>
        <w:t xml:space="preserve">Healthy North Coast, </w:t>
      </w:r>
      <w:hyperlink r:id="rId48" w:history="1">
        <w:r w:rsidRPr="00EE7A97">
          <w:rPr>
            <w:rStyle w:val="Hyperlink"/>
            <w:i/>
            <w:iCs/>
          </w:rPr>
          <w:t>Disaster Management</w:t>
        </w:r>
      </w:hyperlink>
      <w:r>
        <w:t xml:space="preserve">, Healthy North Coast website, 2023, accessed 20 September 2023. </w:t>
      </w:r>
      <w:r w:rsidRPr="00B04550">
        <w:fldChar w:fldCharType="begin"/>
      </w:r>
      <w:r w:rsidRPr="00B04550">
        <w:fldChar w:fldCharType="separate"/>
      </w:r>
      <w:r w:rsidRPr="00B04550">
        <w:rPr>
          <w:rStyle w:val="Hyperlink"/>
          <w:lang w:val="en-GB"/>
        </w:rPr>
        <w:t>Healthy</w:t>
      </w:r>
      <w:r w:rsidRPr="00B04550">
        <w:rPr>
          <w:rStyle w:val="Hyperlink"/>
          <w:lang w:val="en-GB"/>
        </w:rPr>
        <w:fldChar w:fldCharType="end"/>
      </w:r>
    </w:p>
  </w:endnote>
  <w:endnote w:id="91">
    <w:p w14:paraId="55125BA2" w14:textId="08FAE8EB" w:rsidR="00466EFB" w:rsidRPr="00A22041" w:rsidRDefault="00466EFB" w:rsidP="00BB3490">
      <w:pPr>
        <w:pStyle w:val="EndnoteText"/>
      </w:pPr>
      <w:r w:rsidRPr="00A22041">
        <w:rPr>
          <w:rStyle w:val="EndnoteReference"/>
        </w:rPr>
        <w:endnoteRef/>
      </w:r>
      <w:r w:rsidRPr="00A22041">
        <w:t xml:space="preserve"> Australian Institute of Health and Welfare (AIHW), </w:t>
      </w:r>
      <w:hyperlink r:id="rId49" w:history="1">
        <w:r w:rsidRPr="00A22041">
          <w:rPr>
            <w:rStyle w:val="Hyperlink"/>
            <w:i/>
            <w:iCs/>
          </w:rPr>
          <w:t>People using aged care – Fact sheet 2021-22</w:t>
        </w:r>
      </w:hyperlink>
      <w:r w:rsidRPr="00A22041">
        <w:rPr>
          <w:i/>
          <w:iCs/>
        </w:rPr>
        <w:t xml:space="preserve">, </w:t>
      </w:r>
      <w:r w:rsidRPr="00A22041">
        <w:t xml:space="preserve">AIHW, Australian Government, 2022. </w:t>
      </w:r>
    </w:p>
  </w:endnote>
  <w:endnote w:id="92">
    <w:p w14:paraId="0A21D89F" w14:textId="49D7CB4B" w:rsidR="00E04038" w:rsidRPr="00E04038" w:rsidRDefault="00E04038" w:rsidP="00BB3490">
      <w:pPr>
        <w:pStyle w:val="EndnoteText"/>
        <w:rPr>
          <w:highlight w:val="red"/>
        </w:rPr>
      </w:pPr>
      <w:r w:rsidRPr="00CF65B5">
        <w:rPr>
          <w:rStyle w:val="EndnoteReference"/>
        </w:rPr>
        <w:endnoteRef/>
      </w:r>
      <w:r w:rsidRPr="00CF65B5">
        <w:t xml:space="preserve"> </w:t>
      </w:r>
      <w:r w:rsidR="00BF25C4">
        <w:t xml:space="preserve">Australian </w:t>
      </w:r>
      <w:r w:rsidR="00CF65B5">
        <w:t xml:space="preserve">Department of Health and Aged Care </w:t>
      </w:r>
      <w:r w:rsidR="004B4F5C">
        <w:t xml:space="preserve">(DHAC), </w:t>
      </w:r>
      <w:hyperlink r:id="rId50" w:history="1">
        <w:r w:rsidR="00195D8C">
          <w:rPr>
            <w:rStyle w:val="Hyperlink"/>
            <w:i/>
            <w:iCs/>
          </w:rPr>
          <w:t>Revised Aged Care Quality Standards – Detailed draft for public consultation</w:t>
        </w:r>
      </w:hyperlink>
      <w:r w:rsidR="00D07929">
        <w:t>,</w:t>
      </w:r>
      <w:r w:rsidR="000E032C">
        <w:t xml:space="preserve"> DHAC, Australian Government, 202</w:t>
      </w:r>
      <w:r w:rsidR="00441506">
        <w:t>2</w:t>
      </w:r>
      <w:r w:rsidR="000E032C">
        <w:t xml:space="preserve">. </w:t>
      </w:r>
    </w:p>
  </w:endnote>
  <w:endnote w:id="93">
    <w:p w14:paraId="4A6F3682" w14:textId="7AF3EF3B" w:rsidR="001869B1" w:rsidRPr="00E04038" w:rsidRDefault="001869B1" w:rsidP="00BB3490">
      <w:pPr>
        <w:pStyle w:val="EndnoteText"/>
        <w:rPr>
          <w:highlight w:val="red"/>
        </w:rPr>
      </w:pPr>
      <w:r w:rsidRPr="006F3B3E">
        <w:rPr>
          <w:rStyle w:val="EndnoteReference"/>
        </w:rPr>
        <w:endnoteRef/>
      </w:r>
      <w:r w:rsidRPr="006F3B3E">
        <w:t xml:space="preserve"> </w:t>
      </w:r>
      <w:r w:rsidR="009C0F4C">
        <w:t xml:space="preserve">Royal Commission into Aged Care Quality and Safety, </w:t>
      </w:r>
      <w:hyperlink r:id="rId51" w:history="1">
        <w:r w:rsidR="00DD19E7" w:rsidRPr="00780E49">
          <w:rPr>
            <w:rStyle w:val="Hyperlink"/>
            <w:i/>
            <w:iCs/>
          </w:rPr>
          <w:t xml:space="preserve">Final report: Care, Dignity and </w:t>
        </w:r>
        <w:r w:rsidR="00EB036B" w:rsidRPr="00780E49">
          <w:rPr>
            <w:rStyle w:val="Hyperlink"/>
            <w:i/>
            <w:iCs/>
          </w:rPr>
          <w:t>R</w:t>
        </w:r>
        <w:r w:rsidR="00DD19E7" w:rsidRPr="00780E49">
          <w:rPr>
            <w:rStyle w:val="Hyperlink"/>
            <w:i/>
            <w:iCs/>
          </w:rPr>
          <w:t>espect</w:t>
        </w:r>
      </w:hyperlink>
      <w:r w:rsidR="00EB036B">
        <w:t xml:space="preserve">, </w:t>
      </w:r>
      <w:r w:rsidR="004538C3">
        <w:t xml:space="preserve">Australian Government, 2021. </w:t>
      </w:r>
    </w:p>
  </w:endnote>
  <w:endnote w:id="94">
    <w:p w14:paraId="49FF808E" w14:textId="691EE3D9" w:rsidR="00C60B78" w:rsidRDefault="00C60B78" w:rsidP="00BB3490">
      <w:pPr>
        <w:pStyle w:val="EndnoteText"/>
      </w:pPr>
      <w:r w:rsidRPr="00C448FB">
        <w:rPr>
          <w:rStyle w:val="EndnoteReference"/>
        </w:rPr>
        <w:endnoteRef/>
      </w:r>
      <w:r w:rsidRPr="00C448FB">
        <w:t xml:space="preserve"> </w:t>
      </w:r>
      <w:r w:rsidR="00BF25C4">
        <w:t xml:space="preserve">Australian </w:t>
      </w:r>
      <w:r w:rsidR="00C448FB">
        <w:t>Department of Health and Aged Car</w:t>
      </w:r>
      <w:r w:rsidR="003B71D4">
        <w:t xml:space="preserve">e (DHAC), </w:t>
      </w:r>
      <w:hyperlink r:id="rId52" w:history="1">
        <w:r w:rsidR="00640876">
          <w:rPr>
            <w:rStyle w:val="Hyperlink"/>
            <w:i/>
            <w:iCs/>
          </w:rPr>
          <w:t>Final report on the development of the draft National Aged Care Design Principles and Guidelines</w:t>
        </w:r>
      </w:hyperlink>
      <w:r w:rsidR="00EA3834">
        <w:t xml:space="preserve">, </w:t>
      </w:r>
      <w:r w:rsidR="00AD41C5">
        <w:t>DHAC</w:t>
      </w:r>
      <w:r w:rsidR="00896F1E">
        <w:t xml:space="preserve">, </w:t>
      </w:r>
      <w:r w:rsidR="00AD41C5">
        <w:t>Au</w:t>
      </w:r>
      <w:r w:rsidR="00896F1E">
        <w:t>s</w:t>
      </w:r>
      <w:r w:rsidR="00AD41C5">
        <w:t>tralian Government, 202</w:t>
      </w:r>
      <w:r w:rsidR="00896F1E">
        <w:t>3</w:t>
      </w:r>
      <w:r w:rsidR="00596E80">
        <w:t xml:space="preserve">. </w:t>
      </w:r>
    </w:p>
  </w:endnote>
  <w:endnote w:id="95">
    <w:p w14:paraId="7B79A04D" w14:textId="762C9D9E" w:rsidR="00B00BAE" w:rsidRPr="00A22041" w:rsidRDefault="001738C3" w:rsidP="00BB3490">
      <w:pPr>
        <w:pStyle w:val="EndnoteText"/>
      </w:pPr>
      <w:r w:rsidRPr="00A22041">
        <w:rPr>
          <w:rStyle w:val="EndnoteReference"/>
        </w:rPr>
        <w:endnoteRef/>
      </w:r>
      <w:r w:rsidRPr="00A22041">
        <w:t xml:space="preserve"> </w:t>
      </w:r>
      <w:r w:rsidR="00B00BAE" w:rsidRPr="00B00BAE">
        <w:t>PR Shukla, J Skea, R Slade, A</w:t>
      </w:r>
      <w:r w:rsidR="00753D53">
        <w:t xml:space="preserve"> </w:t>
      </w:r>
      <w:r w:rsidR="00B00BAE" w:rsidRPr="00B00BAE">
        <w:t>Al</w:t>
      </w:r>
      <w:r w:rsidR="00753D53">
        <w:t xml:space="preserve"> </w:t>
      </w:r>
      <w:r w:rsidR="00B00BAE" w:rsidRPr="00B00BAE">
        <w:t>Khourdajie, R van Diemen, D McCollum, M Pathak, S Some, P Vyas, R Fradera, M Belkacemi, A Hasija, G Lisboa, S Luz</w:t>
      </w:r>
      <w:r w:rsidR="00A7284A">
        <w:t xml:space="preserve"> and</w:t>
      </w:r>
      <w:r w:rsidR="00B00BAE" w:rsidRPr="00B00BAE">
        <w:t xml:space="preserve"> J Malley,</w:t>
      </w:r>
      <w:r w:rsidR="00362096">
        <w:t xml:space="preserve"> </w:t>
      </w:r>
      <w:r w:rsidR="00362096" w:rsidRPr="004B6EF7">
        <w:rPr>
          <w:i/>
          <w:iCs/>
        </w:rPr>
        <w:t xml:space="preserve">Climate Change 2022: Mitigation of Climate Change. Contribution of Working Group III to the Sixth Assessment Report of the Intergovernmental Panel on Climate Change, </w:t>
      </w:r>
      <w:r w:rsidR="00B16F44" w:rsidRPr="00BB31A0">
        <w:t>Cambridge</w:t>
      </w:r>
      <w:r w:rsidR="0091362D" w:rsidRPr="00BB31A0">
        <w:t xml:space="preserve"> University Press</w:t>
      </w:r>
      <w:r w:rsidR="0091362D" w:rsidRPr="007B2087">
        <w:t>,</w:t>
      </w:r>
      <w:r w:rsidR="007B2087">
        <w:t xml:space="preserve"> Cambridge UK, 2022,</w:t>
      </w:r>
      <w:r w:rsidR="0091362D">
        <w:t xml:space="preserve"> </w:t>
      </w:r>
      <w:r w:rsidR="0091362D" w:rsidRPr="0091362D">
        <w:t>doi</w:t>
      </w:r>
      <w:r w:rsidR="0091362D">
        <w:t>:10.1017/9781009157926.026.</w:t>
      </w:r>
    </w:p>
  </w:endnote>
  <w:endnote w:id="96">
    <w:p w14:paraId="327186A9" w14:textId="3434F2C9" w:rsidR="00A60BCB" w:rsidRPr="00A22041" w:rsidRDefault="00A60BCB" w:rsidP="00BB3490">
      <w:pPr>
        <w:pStyle w:val="EndnoteText"/>
        <w:rPr>
          <w:rFonts w:cstheme="minorHAnsi"/>
          <w:color w:val="000000" w:themeColor="text1"/>
        </w:rPr>
      </w:pPr>
      <w:r w:rsidRPr="00A22041">
        <w:rPr>
          <w:rStyle w:val="EndnoteReference"/>
        </w:rPr>
        <w:endnoteRef/>
      </w:r>
      <w:r w:rsidRPr="00A22041">
        <w:t xml:space="preserve"> M Romanello</w:t>
      </w:r>
      <w:r w:rsidR="007F27EA">
        <w:t xml:space="preserve">, C Di Napoli, P Drummond, </w:t>
      </w:r>
      <w:r w:rsidR="00883437">
        <w:t>C Green</w:t>
      </w:r>
      <w:r w:rsidR="00E71F08">
        <w:t xml:space="preserve">, H Kennard, </w:t>
      </w:r>
      <w:r w:rsidR="00E85B09">
        <w:t xml:space="preserve">P Lampard, </w:t>
      </w:r>
      <w:r w:rsidR="00AE4104">
        <w:t xml:space="preserve">D Scamman, </w:t>
      </w:r>
      <w:r w:rsidR="00B808A1">
        <w:t xml:space="preserve">N Arnell, </w:t>
      </w:r>
      <w:r w:rsidR="008415CC">
        <w:t>S Ayeb-</w:t>
      </w:r>
      <w:r w:rsidR="00EF16ED">
        <w:t xml:space="preserve">Karlsson, </w:t>
      </w:r>
      <w:r w:rsidR="005511E0">
        <w:t xml:space="preserve">L Berrang Ford and </w:t>
      </w:r>
      <w:r w:rsidR="005511E0" w:rsidRPr="00581603">
        <w:t>88 other authors</w:t>
      </w:r>
      <w:r w:rsidRPr="007F27EA">
        <w:t>,</w:t>
      </w:r>
      <w:r w:rsidRPr="00A22041">
        <w:t xml:space="preserve"> ‘The 2022 report of the </w:t>
      </w:r>
      <w:r w:rsidRPr="00722AA4">
        <w:t>Lancet</w:t>
      </w:r>
      <w:r w:rsidRPr="00A22041">
        <w:t xml:space="preserve"> Countdown on health and climate change: Health at the mercy of fossil fuels’, </w:t>
      </w:r>
      <w:r w:rsidRPr="00A22041">
        <w:rPr>
          <w:i/>
        </w:rPr>
        <w:t>The Lancet</w:t>
      </w:r>
      <w:r w:rsidRPr="00A22041">
        <w:t>, 2022, 400(10363):1619-1654, doi:</w:t>
      </w:r>
      <w:r w:rsidRPr="008F3BBB">
        <w:t>10.1016/S0140-6736(22)01540-9</w:t>
      </w:r>
      <w:r w:rsidRPr="0046309A">
        <w:rPr>
          <w:rStyle w:val="Hyperlink"/>
          <w:color w:val="auto"/>
          <w:u w:val="none"/>
        </w:rPr>
        <w:t>.</w:t>
      </w:r>
    </w:p>
  </w:endnote>
  <w:endnote w:id="97">
    <w:p w14:paraId="4847D264" w14:textId="3657534D" w:rsidR="00A60BCB" w:rsidRDefault="00A60BCB" w:rsidP="00BB3490">
      <w:pPr>
        <w:pStyle w:val="EndnoteText"/>
      </w:pPr>
      <w:r w:rsidRPr="00180544">
        <w:rPr>
          <w:rStyle w:val="EndnoteReference"/>
        </w:rPr>
        <w:endnoteRef/>
      </w:r>
      <w:r w:rsidR="0085394C" w:rsidRPr="00180544">
        <w:t xml:space="preserve"> Analysis based on unpublished data provided by </w:t>
      </w:r>
      <w:r w:rsidR="007A238A" w:rsidRPr="00180544">
        <w:t xml:space="preserve">the </w:t>
      </w:r>
      <w:r w:rsidR="00BF25C4">
        <w:t xml:space="preserve">Australian </w:t>
      </w:r>
      <w:r w:rsidR="00822DDE" w:rsidRPr="00180544">
        <w:t>Department of Climate</w:t>
      </w:r>
      <w:r w:rsidR="00822DDE">
        <w:t xml:space="preserve"> </w:t>
      </w:r>
      <w:r w:rsidR="00180544">
        <w:t>Change, Energy, the Environment and Water.</w:t>
      </w:r>
    </w:p>
  </w:endnote>
  <w:endnote w:id="98">
    <w:p w14:paraId="065F2DBC" w14:textId="3650EB6E" w:rsidR="00A60BCB" w:rsidRPr="00A22041" w:rsidRDefault="00A60BCB" w:rsidP="00BB3490">
      <w:pPr>
        <w:pStyle w:val="EndnoteText"/>
      </w:pPr>
      <w:r w:rsidRPr="00A22041">
        <w:rPr>
          <w:rStyle w:val="EndnoteReference"/>
        </w:rPr>
        <w:endnoteRef/>
      </w:r>
      <w:r w:rsidRPr="00A22041">
        <w:t xml:space="preserve"> </w:t>
      </w:r>
      <w:r w:rsidR="00BF25C4">
        <w:t xml:space="preserve">Australian </w:t>
      </w:r>
      <w:r w:rsidRPr="00A22041">
        <w:t xml:space="preserve">Department of Climate Change, Energy, the Environment and Water (DCCEEW), </w:t>
      </w:r>
      <w:hyperlink r:id="rId53" w:history="1">
        <w:r w:rsidRPr="00A22041">
          <w:rPr>
            <w:rStyle w:val="Hyperlink"/>
            <w:i/>
            <w:iCs/>
          </w:rPr>
          <w:t>National Greenhouse Accounts Factors: 2023</w:t>
        </w:r>
      </w:hyperlink>
      <w:r w:rsidRPr="00A22041">
        <w:t xml:space="preserve">, DCCEEW, Australian Government, 2023. </w:t>
      </w:r>
    </w:p>
  </w:endnote>
  <w:endnote w:id="99">
    <w:p w14:paraId="60226BD8" w14:textId="585DB549" w:rsidR="00A60BCB" w:rsidRPr="00A22041" w:rsidRDefault="00A60BCB" w:rsidP="00BB3490">
      <w:pPr>
        <w:pStyle w:val="EndnoteText"/>
      </w:pPr>
      <w:r w:rsidRPr="00A22041">
        <w:rPr>
          <w:rStyle w:val="EndnoteReference"/>
        </w:rPr>
        <w:endnoteRef/>
      </w:r>
      <w:r w:rsidRPr="00A22041">
        <w:t xml:space="preserve"> </w:t>
      </w:r>
      <w:bookmarkStart w:id="106" w:name="_Hlk150960683"/>
      <w:r w:rsidRPr="00A22041">
        <w:t xml:space="preserve">Health Care Without Harm (HCWH), </w:t>
      </w:r>
      <w:hyperlink r:id="rId54" w:history="1">
        <w:r w:rsidRPr="00A22041">
          <w:rPr>
            <w:rStyle w:val="Hyperlink"/>
            <w:i/>
          </w:rPr>
          <w:t xml:space="preserve">Designing a Net Zero Roadmap for </w:t>
        </w:r>
        <w:r w:rsidRPr="00A22041">
          <w:rPr>
            <w:rStyle w:val="Hyperlink"/>
            <w:i/>
            <w:iCs/>
          </w:rPr>
          <w:t>Healthcare</w:t>
        </w:r>
      </w:hyperlink>
      <w:r w:rsidRPr="00A22041">
        <w:t>, HCWH Europe, 2022</w:t>
      </w:r>
      <w:bookmarkEnd w:id="106"/>
      <w:r w:rsidR="008C345B">
        <w:t>.</w:t>
      </w:r>
    </w:p>
  </w:endnote>
  <w:endnote w:id="100">
    <w:p w14:paraId="23902925" w14:textId="7EB0FA1A" w:rsidR="00A60BCB" w:rsidRPr="00A22041" w:rsidRDefault="00A60BCB" w:rsidP="00BB3490">
      <w:pPr>
        <w:pStyle w:val="EndnoteText"/>
      </w:pPr>
      <w:r w:rsidRPr="00A22041">
        <w:rPr>
          <w:rStyle w:val="EndnoteReference"/>
        </w:rPr>
        <w:endnoteRef/>
      </w:r>
      <w:r w:rsidRPr="00A22041">
        <w:t xml:space="preserve"> I Tennison, S Roschnik, B Ashby, R Boyd, I Hamilton, T Oreszczyn, A Owen, M Romanello, P Ruyssevelt, JD Sherman AZ </w:t>
      </w:r>
      <w:r w:rsidRPr="004023D7">
        <w:t xml:space="preserve">Smith, </w:t>
      </w:r>
      <w:r w:rsidR="004023D7" w:rsidRPr="004023D7">
        <w:t xml:space="preserve">K Steele, N Watts and MJ Eckelman, </w:t>
      </w:r>
      <w:r w:rsidRPr="004023D7">
        <w:t>‘Health care’s</w:t>
      </w:r>
      <w:r w:rsidRPr="00A22041">
        <w:t xml:space="preserve"> respons</w:t>
      </w:r>
      <w:r w:rsidR="00DF73AC">
        <w:t>e</w:t>
      </w:r>
      <w:r w:rsidRPr="00A22041">
        <w:t xml:space="preserve"> to climate change: a carbon footprint assessment of the NHS in England’</w:t>
      </w:r>
      <w:r w:rsidRPr="00A22041">
        <w:rPr>
          <w:i/>
        </w:rPr>
        <w:t>, The Lancet Planetary Health</w:t>
      </w:r>
      <w:r w:rsidRPr="00A22041">
        <w:t>, 2021, 5(2):84-92, doi:</w:t>
      </w:r>
      <w:r w:rsidRPr="008F3BBB">
        <w:t>10.1016/S2542-5196(20)30271-0</w:t>
      </w:r>
      <w:r w:rsidRPr="00A22041">
        <w:t>.</w:t>
      </w:r>
    </w:p>
  </w:endnote>
  <w:endnote w:id="101">
    <w:p w14:paraId="17939EE2" w14:textId="0F90F4C8" w:rsidR="00A60BCB" w:rsidRPr="00E02310" w:rsidRDefault="00A60BCB" w:rsidP="00BB3490">
      <w:pPr>
        <w:pStyle w:val="EndnoteText"/>
        <w:rPr>
          <w:i/>
        </w:rPr>
      </w:pPr>
      <w:r w:rsidRPr="00704F69">
        <w:rPr>
          <w:rStyle w:val="EndnoteReference"/>
        </w:rPr>
        <w:endnoteRef/>
      </w:r>
      <w:r w:rsidRPr="00A22041">
        <w:t xml:space="preserve"> </w:t>
      </w:r>
      <w:r w:rsidR="005D507A" w:rsidRPr="00304660">
        <w:t xml:space="preserve">S </w:t>
      </w:r>
      <w:r w:rsidRPr="00A22041">
        <w:t>McAlister</w:t>
      </w:r>
      <w:r w:rsidR="005D507A">
        <w:t>, AL Barratt, KJL Bell</w:t>
      </w:r>
      <w:r w:rsidR="0075024D">
        <w:t xml:space="preserve"> and F McGain</w:t>
      </w:r>
      <w:r>
        <w:t xml:space="preserve">, </w:t>
      </w:r>
      <w:r w:rsidRPr="00A22041">
        <w:t>‘The carbon footprint of pathology testing</w:t>
      </w:r>
      <w:r>
        <w:t>’</w:t>
      </w:r>
      <w:r w:rsidR="00870BC5">
        <w:t xml:space="preserve">, </w:t>
      </w:r>
      <w:r w:rsidR="0038549E">
        <w:rPr>
          <w:i/>
          <w:iCs/>
        </w:rPr>
        <w:t xml:space="preserve">The </w:t>
      </w:r>
      <w:r w:rsidR="00A06870">
        <w:rPr>
          <w:i/>
          <w:iCs/>
        </w:rPr>
        <w:t xml:space="preserve">Medical </w:t>
      </w:r>
      <w:r w:rsidR="00C819D4">
        <w:rPr>
          <w:i/>
          <w:iCs/>
        </w:rPr>
        <w:t>Journal</w:t>
      </w:r>
      <w:r w:rsidR="00A06870">
        <w:rPr>
          <w:i/>
          <w:iCs/>
        </w:rPr>
        <w:t xml:space="preserve"> of Australia</w:t>
      </w:r>
      <w:r w:rsidR="00A06870">
        <w:t xml:space="preserve">, </w:t>
      </w:r>
      <w:r w:rsidR="00D11E7C" w:rsidRPr="00D11E7C">
        <w:t>2020</w:t>
      </w:r>
      <w:r w:rsidR="00BA5A50">
        <w:t>,</w:t>
      </w:r>
      <w:r w:rsidR="00D11E7C" w:rsidRPr="00D11E7C">
        <w:t xml:space="preserve"> 212(8):377-382</w:t>
      </w:r>
      <w:r w:rsidR="004E2555">
        <w:t>,</w:t>
      </w:r>
      <w:r w:rsidR="00D11E7C" w:rsidRPr="00D11E7C">
        <w:t xml:space="preserve"> doi:10.5694/mja2.50583</w:t>
      </w:r>
      <w:r w:rsidR="004E2555">
        <w:t>.</w:t>
      </w:r>
    </w:p>
  </w:endnote>
  <w:endnote w:id="102">
    <w:p w14:paraId="1542F87B" w14:textId="77777777" w:rsidR="00A60BCB" w:rsidRPr="00A22041" w:rsidRDefault="00A60BCB" w:rsidP="00BB3490">
      <w:pPr>
        <w:pStyle w:val="EndnoteText"/>
      </w:pPr>
      <w:r w:rsidRPr="00A22041">
        <w:rPr>
          <w:rStyle w:val="EndnoteReference"/>
        </w:rPr>
        <w:endnoteRef/>
      </w:r>
      <w:r w:rsidRPr="00A22041">
        <w:t xml:space="preserve"> J Drew, SD Christie, D Rainham and C Rizan, ‘HealthcareLCA: an open-access living database of health-care environmental impact assessments’, </w:t>
      </w:r>
      <w:r w:rsidRPr="00A22041">
        <w:rPr>
          <w:i/>
        </w:rPr>
        <w:t>The Lancet Planetary Health</w:t>
      </w:r>
      <w:r w:rsidRPr="00A22041">
        <w:t>, 2022, 6(12):E1000-E1012, doi:</w:t>
      </w:r>
      <w:r w:rsidRPr="00D52FE2">
        <w:t>10.1016/S2542-5196(22)00257-1</w:t>
      </w:r>
      <w:r w:rsidRPr="00D52FE2">
        <w:rPr>
          <w:rStyle w:val="Hyperlink"/>
          <w:u w:val="none"/>
        </w:rPr>
        <w:t>.</w:t>
      </w:r>
    </w:p>
  </w:endnote>
  <w:endnote w:id="103">
    <w:p w14:paraId="454338E3" w14:textId="19182155" w:rsidR="00A60BCB" w:rsidRPr="00A22041" w:rsidRDefault="00A60BCB" w:rsidP="00BB3490">
      <w:pPr>
        <w:pStyle w:val="EndnoteText"/>
      </w:pPr>
      <w:r w:rsidRPr="00A22041">
        <w:rPr>
          <w:rStyle w:val="EndnoteReference"/>
        </w:rPr>
        <w:endnoteRef/>
      </w:r>
      <w:r w:rsidRPr="00A22041">
        <w:t xml:space="preserve"> S McAlister, F McGain, M Petersen, D Story, K Charlesworth, G Ison and A Barratt, ‘The carbon footprint of hospital diagnostic imaging in Australia’, </w:t>
      </w:r>
      <w:r w:rsidRPr="00A22041">
        <w:rPr>
          <w:i/>
        </w:rPr>
        <w:t>The Lancet Regional Health</w:t>
      </w:r>
      <w:r w:rsidR="00681935">
        <w:rPr>
          <w:i/>
        </w:rPr>
        <w:t xml:space="preserve"> </w:t>
      </w:r>
      <w:r w:rsidR="00812A69">
        <w:rPr>
          <w:i/>
        </w:rPr>
        <w:t xml:space="preserve">– </w:t>
      </w:r>
      <w:r w:rsidRPr="00A22041">
        <w:rPr>
          <w:i/>
        </w:rPr>
        <w:t>Western Pacific</w:t>
      </w:r>
      <w:r w:rsidRPr="00A22041">
        <w:t>, 2022, 24:100459, doi:</w:t>
      </w:r>
      <w:r w:rsidRPr="00D52FE2">
        <w:t>10.1016/j.lanwpc.2022.100459</w:t>
      </w:r>
      <w:r w:rsidRPr="00A22041">
        <w:t>.</w:t>
      </w:r>
    </w:p>
  </w:endnote>
  <w:endnote w:id="104">
    <w:p w14:paraId="528D7EA7" w14:textId="1C171AC0" w:rsidR="00E079F5" w:rsidRDefault="00E079F5" w:rsidP="00BB3490">
      <w:pPr>
        <w:pStyle w:val="EndnoteText"/>
      </w:pPr>
      <w:r>
        <w:rPr>
          <w:rStyle w:val="EndnoteReference"/>
        </w:rPr>
        <w:endnoteRef/>
      </w:r>
      <w:r>
        <w:t xml:space="preserve"> </w:t>
      </w:r>
      <w:r w:rsidR="00A778DE">
        <w:t xml:space="preserve">Clean Energy Regulator, </w:t>
      </w:r>
      <w:hyperlink r:id="rId55" w:history="1">
        <w:r w:rsidR="00521162">
          <w:rPr>
            <w:rStyle w:val="Hyperlink"/>
            <w:i/>
            <w:iCs/>
          </w:rPr>
          <w:t>About the National Greenhouse and Energy Reporting scheme</w:t>
        </w:r>
      </w:hyperlink>
      <w:r w:rsidR="008F24AA">
        <w:t xml:space="preserve">, </w:t>
      </w:r>
      <w:r w:rsidR="00E31960">
        <w:t xml:space="preserve">Clean Energy Regulator website, </w:t>
      </w:r>
      <w:r w:rsidR="008411CC">
        <w:t>2022</w:t>
      </w:r>
      <w:r w:rsidR="001E564B">
        <w:t xml:space="preserve">, </w:t>
      </w:r>
      <w:r w:rsidR="00970F5E">
        <w:t>accessed 21 November 2023.</w:t>
      </w:r>
    </w:p>
  </w:endnote>
  <w:endnote w:id="105">
    <w:p w14:paraId="3EEA2AC4" w14:textId="3A9EFF12" w:rsidR="00A60BCB" w:rsidRPr="00A22041" w:rsidRDefault="00A60BCB" w:rsidP="00BB3490">
      <w:pPr>
        <w:pStyle w:val="EndnoteText"/>
      </w:pPr>
      <w:r w:rsidRPr="00A22041">
        <w:rPr>
          <w:rStyle w:val="EndnoteReference"/>
        </w:rPr>
        <w:endnoteRef/>
      </w:r>
      <w:r w:rsidRPr="00A22041">
        <w:t xml:space="preserve"> </w:t>
      </w:r>
      <w:r w:rsidR="00AC28DA">
        <w:t xml:space="preserve">Australian </w:t>
      </w:r>
      <w:r w:rsidRPr="00A22041">
        <w:t xml:space="preserve">Department of Climate Change, Energy, the Environment and Water (DCCEEW), </w:t>
      </w:r>
      <w:hyperlink r:id="rId56" w:history="1">
        <w:r w:rsidRPr="003B7499">
          <w:rPr>
            <w:rStyle w:val="Hyperlink"/>
            <w:i/>
          </w:rPr>
          <w:t>National Greenhous</w:t>
        </w:r>
        <w:bookmarkStart w:id="111" w:name="_Hlt151451186"/>
        <w:bookmarkStart w:id="112" w:name="_Hlt151451187"/>
        <w:r w:rsidRPr="003B7499">
          <w:rPr>
            <w:rStyle w:val="Hyperlink"/>
            <w:i/>
          </w:rPr>
          <w:t>e</w:t>
        </w:r>
        <w:bookmarkEnd w:id="111"/>
        <w:bookmarkEnd w:id="112"/>
        <w:r w:rsidRPr="003B7499">
          <w:rPr>
            <w:rStyle w:val="Hyperlink"/>
            <w:i/>
          </w:rPr>
          <w:t xml:space="preserve"> Accounts Factors</w:t>
        </w:r>
        <w:r w:rsidR="00770132" w:rsidRPr="003B7499">
          <w:rPr>
            <w:rStyle w:val="Hyperlink"/>
            <w:i/>
          </w:rPr>
          <w:t>: 2023</w:t>
        </w:r>
      </w:hyperlink>
      <w:r w:rsidRPr="00A22041">
        <w:rPr>
          <w:i/>
        </w:rPr>
        <w:t xml:space="preserve">, </w:t>
      </w:r>
      <w:r w:rsidRPr="00A22041">
        <w:t xml:space="preserve">DCCEEW, Australian Government, 2023. </w:t>
      </w:r>
    </w:p>
  </w:endnote>
  <w:endnote w:id="106">
    <w:p w14:paraId="1F90C779" w14:textId="373928A7" w:rsidR="00E232C6" w:rsidRDefault="00E232C6" w:rsidP="00BB3490">
      <w:pPr>
        <w:pStyle w:val="EndnoteText"/>
      </w:pPr>
      <w:r w:rsidRPr="00FA3F81">
        <w:rPr>
          <w:rStyle w:val="EndnoteReference"/>
        </w:rPr>
        <w:endnoteRef/>
      </w:r>
      <w:r w:rsidRPr="004D7A4F">
        <w:t xml:space="preserve"> </w:t>
      </w:r>
      <w:r w:rsidR="00AC28DA">
        <w:t xml:space="preserve">Australian </w:t>
      </w:r>
      <w:r w:rsidR="00C047CF">
        <w:t xml:space="preserve">Department of Climate Change, Energy, the Environment and Water (DCCEEW), </w:t>
      </w:r>
      <w:hyperlink r:id="rId57" w:history="1">
        <w:r w:rsidR="001E564B" w:rsidRPr="00BF5414">
          <w:rPr>
            <w:rStyle w:val="Hyperlink"/>
            <w:i/>
            <w:iCs/>
          </w:rPr>
          <w:t>Powering Australia</w:t>
        </w:r>
      </w:hyperlink>
      <w:r w:rsidR="001E564B">
        <w:t xml:space="preserve">, DCCEEW website, </w:t>
      </w:r>
      <w:r w:rsidR="003A62DC">
        <w:t xml:space="preserve">n.d., </w:t>
      </w:r>
      <w:r w:rsidR="003A62DC" w:rsidRPr="00A773FF">
        <w:t xml:space="preserve">accessed </w:t>
      </w:r>
      <w:r w:rsidR="002428BD" w:rsidRPr="00A773FF">
        <w:t>21 November 2023.</w:t>
      </w:r>
    </w:p>
  </w:endnote>
  <w:endnote w:id="107">
    <w:p w14:paraId="120C6BAB" w14:textId="71CAB249" w:rsidR="009C1B94" w:rsidRDefault="009C1B94" w:rsidP="00BB3490">
      <w:pPr>
        <w:pStyle w:val="EndnoteText"/>
      </w:pPr>
      <w:r w:rsidRPr="00FA3F81">
        <w:rPr>
          <w:rStyle w:val="EndnoteReference"/>
        </w:rPr>
        <w:endnoteRef/>
      </w:r>
      <w:r w:rsidRPr="003A62DC">
        <w:t xml:space="preserve"> </w:t>
      </w:r>
      <w:r w:rsidR="00AC28DA">
        <w:t xml:space="preserve">Australian </w:t>
      </w:r>
      <w:r w:rsidR="0050373C">
        <w:t xml:space="preserve">Department of Climate Change, Energy, the Environment and Water (DCCEEW), </w:t>
      </w:r>
      <w:hyperlink r:id="rId58" w:history="1">
        <w:r w:rsidR="0050373C" w:rsidRPr="00BF5414">
          <w:rPr>
            <w:rStyle w:val="Hyperlink"/>
            <w:i/>
            <w:iCs/>
          </w:rPr>
          <w:t>Powering Australia</w:t>
        </w:r>
      </w:hyperlink>
      <w:r w:rsidR="0050373C">
        <w:t xml:space="preserve">, DCCEEW website, n.d., accessed </w:t>
      </w:r>
      <w:r w:rsidR="00CB2E2E">
        <w:t>21 November 2023.</w:t>
      </w:r>
    </w:p>
  </w:endnote>
  <w:endnote w:id="108">
    <w:p w14:paraId="37CE2665" w14:textId="77777777" w:rsidR="003A3AE0" w:rsidRPr="00526233" w:rsidRDefault="003A3AE0" w:rsidP="003A3AE0">
      <w:pPr>
        <w:pStyle w:val="EndnoteText"/>
        <w:rPr>
          <w:i/>
        </w:rPr>
      </w:pPr>
      <w:r w:rsidRPr="00A22041">
        <w:rPr>
          <w:rStyle w:val="EndnoteReference"/>
        </w:rPr>
        <w:endnoteRef/>
      </w:r>
      <w:r w:rsidRPr="00A22041">
        <w:t xml:space="preserve"> </w:t>
      </w:r>
      <w:r>
        <w:t xml:space="preserve">S </w:t>
      </w:r>
      <w:r w:rsidRPr="0050373C">
        <w:t>Desmond,</w:t>
      </w:r>
      <w:r>
        <w:t xml:space="preserve"> J</w:t>
      </w:r>
      <w:r w:rsidRPr="0050373C">
        <w:t xml:space="preserve"> Smith,</w:t>
      </w:r>
      <w:r>
        <w:t xml:space="preserve"> J</w:t>
      </w:r>
      <w:r w:rsidRPr="0050373C">
        <w:t xml:space="preserve"> Hogg, </w:t>
      </w:r>
      <w:r>
        <w:t xml:space="preserve">J </w:t>
      </w:r>
      <w:r w:rsidRPr="0050373C">
        <w:t>Walton-Hespe</w:t>
      </w:r>
      <w:r>
        <w:t xml:space="preserve"> and J </w:t>
      </w:r>
      <w:r w:rsidRPr="0050373C">
        <w:t xml:space="preserve">Gardner-Marlin, </w:t>
      </w:r>
      <w:r>
        <w:t>‘</w:t>
      </w:r>
      <w:r w:rsidRPr="0050373C">
        <w:t>Gathering the Evidence: Health and Aged Care carbon inventory study</w:t>
      </w:r>
      <w:r>
        <w:t>’</w:t>
      </w:r>
      <w:r w:rsidRPr="0050373C">
        <w:t xml:space="preserve">, </w:t>
      </w:r>
      <w:r w:rsidRPr="0050373C">
        <w:rPr>
          <w:i/>
        </w:rPr>
        <w:t>Australian Health Review</w:t>
      </w:r>
      <w:r w:rsidRPr="008C054F">
        <w:rPr>
          <w:iCs/>
        </w:rPr>
        <w:t>,</w:t>
      </w:r>
      <w:r>
        <w:rPr>
          <w:i/>
        </w:rPr>
        <w:t xml:space="preserve"> </w:t>
      </w:r>
      <w:r>
        <w:rPr>
          <w:iCs/>
        </w:rPr>
        <w:t>2023,</w:t>
      </w:r>
      <w:r w:rsidRPr="00BB3F3A">
        <w:t xml:space="preserve"> </w:t>
      </w:r>
      <w:r w:rsidRPr="00526233">
        <w:t>doi:10.1071/AH23129</w:t>
      </w:r>
      <w:r>
        <w:t>.</w:t>
      </w:r>
    </w:p>
  </w:endnote>
  <w:endnote w:id="109">
    <w:p w14:paraId="31725814" w14:textId="04B91066" w:rsidR="00A60BCB" w:rsidRPr="00A22041" w:rsidRDefault="00A60BCB" w:rsidP="00BB3490">
      <w:pPr>
        <w:pStyle w:val="EndnoteText"/>
      </w:pPr>
      <w:r w:rsidRPr="00FA73FB">
        <w:rPr>
          <w:rStyle w:val="EndnoteReference"/>
        </w:rPr>
        <w:endnoteRef/>
      </w:r>
      <w:r w:rsidRPr="00FA73FB">
        <w:t xml:space="preserve"> </w:t>
      </w:r>
      <w:r w:rsidR="00AC28DA">
        <w:t xml:space="preserve">Australian </w:t>
      </w:r>
      <w:r w:rsidRPr="00FA73FB">
        <w:t xml:space="preserve">Department of Climate Change, Energy, the Environment and Water (DCCEEW), </w:t>
      </w:r>
      <w:hyperlink r:id="rId59" w:history="1">
        <w:r w:rsidRPr="00FA73FB">
          <w:rPr>
            <w:rStyle w:val="Hyperlink"/>
            <w:i/>
          </w:rPr>
          <w:t>National inventory by economic sector 2021</w:t>
        </w:r>
      </w:hyperlink>
      <w:r w:rsidRPr="00FA73FB">
        <w:t xml:space="preserve"> </w:t>
      </w:r>
      <w:r w:rsidR="00220DB8">
        <w:t>[data set],</w:t>
      </w:r>
      <w:r w:rsidRPr="00FA73FB">
        <w:t xml:space="preserve"> DCCEEW</w:t>
      </w:r>
      <w:r w:rsidR="00F02228">
        <w:t xml:space="preserve"> website</w:t>
      </w:r>
      <w:r w:rsidRPr="00FA73FB">
        <w:t>, 2023, accessed 11 October 2023.</w:t>
      </w:r>
      <w:r w:rsidRPr="00A22041">
        <w:t xml:space="preserve"> </w:t>
      </w:r>
    </w:p>
  </w:endnote>
  <w:endnote w:id="110">
    <w:p w14:paraId="3B81042D" w14:textId="3E5CBB5A" w:rsidR="005031F5" w:rsidRPr="00B23A93" w:rsidRDefault="005031F5" w:rsidP="00BB3490">
      <w:pPr>
        <w:pStyle w:val="EndnoteText"/>
      </w:pPr>
      <w:r w:rsidRPr="00B23A93">
        <w:rPr>
          <w:rStyle w:val="EndnoteReference"/>
        </w:rPr>
        <w:endnoteRef/>
      </w:r>
      <w:r w:rsidRPr="00B23A93">
        <w:t xml:space="preserve"> </w:t>
      </w:r>
      <w:r w:rsidR="00AC28DA">
        <w:t xml:space="preserve">Australian </w:t>
      </w:r>
      <w:r w:rsidRPr="00B23A93">
        <w:t>Department of Climate Change, Energy, the Environment and Water</w:t>
      </w:r>
      <w:r w:rsidR="00C2236C">
        <w:t xml:space="preserve"> (DCCEEW)</w:t>
      </w:r>
      <w:r w:rsidRPr="00B23A93">
        <w:t xml:space="preserve">, </w:t>
      </w:r>
      <w:hyperlink r:id="rId60" w:history="1">
        <w:r w:rsidRPr="00B23A93">
          <w:rPr>
            <w:rStyle w:val="Hyperlink"/>
            <w:i/>
          </w:rPr>
          <w:t>National Inventory Report 2021</w:t>
        </w:r>
      </w:hyperlink>
      <w:r w:rsidRPr="00B23A93">
        <w:t xml:space="preserve">, </w:t>
      </w:r>
      <w:r w:rsidR="00C2236C">
        <w:t xml:space="preserve">DCCEEW, </w:t>
      </w:r>
      <w:r w:rsidRPr="00B23A93">
        <w:t>Australian Government, 202</w:t>
      </w:r>
      <w:r w:rsidR="00FE5484">
        <w:t>1</w:t>
      </w:r>
      <w:r w:rsidRPr="00B23A93">
        <w:t>.</w:t>
      </w:r>
    </w:p>
  </w:endnote>
  <w:endnote w:id="111">
    <w:p w14:paraId="77A320A5" w14:textId="2C49F516" w:rsidR="00E22129" w:rsidRPr="00B23A93" w:rsidRDefault="00E22129" w:rsidP="00BB3490">
      <w:pPr>
        <w:pStyle w:val="EndnoteText"/>
      </w:pPr>
      <w:r w:rsidRPr="00B23A93">
        <w:rPr>
          <w:rStyle w:val="EndnoteReference"/>
        </w:rPr>
        <w:endnoteRef/>
      </w:r>
      <w:r w:rsidRPr="00B23A93">
        <w:t xml:space="preserve"> </w:t>
      </w:r>
      <w:r w:rsidR="00AF14BB">
        <w:t>Analysis based on unpublished data compiled based on</w:t>
      </w:r>
      <w:r w:rsidRPr="00B23A93">
        <w:t xml:space="preserve"> </w:t>
      </w:r>
      <w:r w:rsidR="005D7713">
        <w:t xml:space="preserve">the methodology outlined in </w:t>
      </w:r>
      <w:r w:rsidR="00FC0B96">
        <w:t xml:space="preserve">the </w:t>
      </w:r>
      <w:r w:rsidR="00AC28DA">
        <w:t xml:space="preserve">Australian </w:t>
      </w:r>
      <w:r w:rsidRPr="00B23A93">
        <w:t xml:space="preserve">Department of Climate Change, Energy, the Environment and Water (DCCEEW), </w:t>
      </w:r>
      <w:hyperlink r:id="rId61" w:history="1">
        <w:r w:rsidRPr="00B23A93">
          <w:rPr>
            <w:rStyle w:val="Hyperlink"/>
            <w:i/>
          </w:rPr>
          <w:t>Quarterly Update of Australia’s National Greenhouse Gas Inventory: June 2019</w:t>
        </w:r>
      </w:hyperlink>
      <w:r w:rsidRPr="00B23A93">
        <w:t xml:space="preserve"> (Special Topic), DCCEEW, Australian Government, 2019. </w:t>
      </w:r>
    </w:p>
  </w:endnote>
  <w:endnote w:id="112">
    <w:p w14:paraId="66D5733D" w14:textId="799B48BB" w:rsidR="00C00275" w:rsidRPr="00342EFB" w:rsidRDefault="00C00275" w:rsidP="00BB3490">
      <w:pPr>
        <w:pStyle w:val="EndnoteText"/>
      </w:pPr>
      <w:r w:rsidRPr="00342EFB">
        <w:rPr>
          <w:rStyle w:val="EndnoteReference"/>
        </w:rPr>
        <w:endnoteRef/>
      </w:r>
      <w:r w:rsidR="00293A32" w:rsidRPr="00293A32">
        <w:t xml:space="preserve"> </w:t>
      </w:r>
      <w:r w:rsidR="00472448">
        <w:t xml:space="preserve">ACT </w:t>
      </w:r>
      <w:r w:rsidR="00293A32">
        <w:t xml:space="preserve">Environment, Planning and Sustainable Development Directorate, </w:t>
      </w:r>
      <w:hyperlink r:id="rId62" w:history="1">
        <w:r w:rsidR="00EB5E7C" w:rsidRPr="00342EFB">
          <w:rPr>
            <w:rStyle w:val="Hyperlink"/>
            <w:i/>
            <w:iCs/>
          </w:rPr>
          <w:t xml:space="preserve">ACT </w:t>
        </w:r>
        <w:bookmarkStart w:id="123" w:name="_Hlt150960919"/>
        <w:bookmarkStart w:id="124" w:name="_Hlt150960920"/>
        <w:r w:rsidR="00EB5E7C" w:rsidRPr="00342EFB">
          <w:rPr>
            <w:rStyle w:val="Hyperlink"/>
            <w:i/>
            <w:iCs/>
          </w:rPr>
          <w:t>C</w:t>
        </w:r>
        <w:bookmarkEnd w:id="123"/>
        <w:bookmarkEnd w:id="124"/>
        <w:r w:rsidR="00EB5E7C" w:rsidRPr="00342EFB">
          <w:rPr>
            <w:rStyle w:val="Hyperlink"/>
            <w:i/>
            <w:iCs/>
          </w:rPr>
          <w:t>limate Change</w:t>
        </w:r>
        <w:bookmarkStart w:id="125" w:name="_Hlt151036181"/>
        <w:bookmarkStart w:id="126" w:name="_Hlt151036182"/>
        <w:r w:rsidR="00EB5E7C" w:rsidRPr="00342EFB">
          <w:rPr>
            <w:rStyle w:val="Hyperlink"/>
            <w:i/>
            <w:iCs/>
          </w:rPr>
          <w:t xml:space="preserve"> </w:t>
        </w:r>
        <w:bookmarkEnd w:id="125"/>
        <w:bookmarkEnd w:id="126"/>
        <w:r w:rsidR="00EB5E7C" w:rsidRPr="00342EFB">
          <w:rPr>
            <w:rStyle w:val="Hyperlink"/>
            <w:i/>
            <w:iCs/>
          </w:rPr>
          <w:t>Strategy 2019-25</w:t>
        </w:r>
      </w:hyperlink>
      <w:r w:rsidR="00EB5E7C">
        <w:t xml:space="preserve">, </w:t>
      </w:r>
      <w:r w:rsidR="00663ABE">
        <w:t xml:space="preserve">ACT Government, 2019. </w:t>
      </w:r>
    </w:p>
  </w:endnote>
  <w:endnote w:id="113">
    <w:p w14:paraId="7DC7A1AB" w14:textId="04875423" w:rsidR="00225097" w:rsidRPr="00526233" w:rsidRDefault="00225097" w:rsidP="00BB3490">
      <w:pPr>
        <w:pStyle w:val="EndnoteText"/>
        <w:rPr>
          <w:highlight w:val="red"/>
        </w:rPr>
      </w:pPr>
      <w:r w:rsidRPr="00342EFB">
        <w:rPr>
          <w:rStyle w:val="EndnoteReference"/>
        </w:rPr>
        <w:endnoteRef/>
      </w:r>
      <w:r w:rsidRPr="00342EFB">
        <w:t xml:space="preserve"> </w:t>
      </w:r>
      <w:r w:rsidR="00472448">
        <w:t xml:space="preserve">NSW </w:t>
      </w:r>
      <w:r w:rsidR="009923C1" w:rsidRPr="009923C1">
        <w:t>Department of Planning, Industry and Environment</w:t>
      </w:r>
      <w:r w:rsidR="009923C1">
        <w:t xml:space="preserve">, </w:t>
      </w:r>
      <w:hyperlink r:id="rId63" w:history="1">
        <w:r w:rsidR="00FF1285" w:rsidRPr="00342EFB">
          <w:rPr>
            <w:rStyle w:val="Hyperlink"/>
            <w:i/>
            <w:iCs/>
          </w:rPr>
          <w:t>Net Zero Plan Stage 1: 2020-2030</w:t>
        </w:r>
      </w:hyperlink>
      <w:r w:rsidR="00FF1285">
        <w:t xml:space="preserve">, NSW Government, 2020. </w:t>
      </w:r>
    </w:p>
  </w:endnote>
  <w:endnote w:id="114">
    <w:p w14:paraId="768430C0" w14:textId="2C8164A7" w:rsidR="00225097" w:rsidRPr="00342EFB" w:rsidRDefault="00225097" w:rsidP="00BB3490">
      <w:pPr>
        <w:pStyle w:val="EndnoteText"/>
      </w:pPr>
      <w:r w:rsidRPr="00342EFB">
        <w:rPr>
          <w:rStyle w:val="EndnoteReference"/>
        </w:rPr>
        <w:endnoteRef/>
      </w:r>
      <w:r w:rsidRPr="00342EFB">
        <w:t xml:space="preserve"> </w:t>
      </w:r>
      <w:r w:rsidR="00472448">
        <w:t xml:space="preserve">NT </w:t>
      </w:r>
      <w:r w:rsidR="00C34E6C" w:rsidRPr="00C34E6C">
        <w:t>Office of Climate Change, Department of Environment and Natural Resources</w:t>
      </w:r>
      <w:r w:rsidR="00465240">
        <w:t xml:space="preserve">, </w:t>
      </w:r>
      <w:bookmarkStart w:id="127" w:name="_Hlt151036324"/>
      <w:bookmarkStart w:id="128" w:name="_Hlt151036325"/>
      <w:r w:rsidR="00C34E6C">
        <w:rPr>
          <w:i/>
          <w:iCs/>
        </w:rPr>
        <w:fldChar w:fldCharType="begin"/>
      </w:r>
      <w:r w:rsidR="00A76503">
        <w:rPr>
          <w:i/>
          <w:iCs/>
        </w:rPr>
        <w:instrText>HYPERLINK "https://climatechange.nt.gov.au/nt-climate-change-response/northern-territory-climate-change-response-towards-2050"</w:instrText>
      </w:r>
      <w:r w:rsidR="00C34E6C">
        <w:rPr>
          <w:i/>
          <w:iCs/>
        </w:rPr>
      </w:r>
      <w:r w:rsidR="00C34E6C">
        <w:rPr>
          <w:i/>
          <w:iCs/>
        </w:rPr>
        <w:fldChar w:fldCharType="separate"/>
      </w:r>
      <w:r w:rsidR="000C696E" w:rsidRPr="00342EFB">
        <w:rPr>
          <w:rStyle w:val="Hyperlink"/>
          <w:i/>
          <w:iCs/>
        </w:rPr>
        <w:t>Northern Territory Climate Change Response: Towards 2050</w:t>
      </w:r>
      <w:r w:rsidR="00C34E6C">
        <w:rPr>
          <w:i/>
          <w:iCs/>
        </w:rPr>
        <w:fldChar w:fldCharType="end"/>
      </w:r>
      <w:bookmarkEnd w:id="127"/>
      <w:bookmarkEnd w:id="128"/>
      <w:r w:rsidR="00955C68">
        <w:t xml:space="preserve">, </w:t>
      </w:r>
      <w:r w:rsidR="00A942C6">
        <w:t xml:space="preserve">NT </w:t>
      </w:r>
      <w:r w:rsidR="00955C68">
        <w:t xml:space="preserve">Government, 2020. </w:t>
      </w:r>
    </w:p>
  </w:endnote>
  <w:endnote w:id="115">
    <w:p w14:paraId="4B8A6E51" w14:textId="3F9DDF1C" w:rsidR="00225097" w:rsidRPr="00526233" w:rsidRDefault="00225097" w:rsidP="00BB3490">
      <w:pPr>
        <w:pStyle w:val="EndnoteText"/>
        <w:rPr>
          <w:highlight w:val="red"/>
        </w:rPr>
      </w:pPr>
      <w:r w:rsidRPr="00342EFB">
        <w:rPr>
          <w:rStyle w:val="EndnoteReference"/>
        </w:rPr>
        <w:endnoteRef/>
      </w:r>
      <w:r w:rsidRPr="00342EFB">
        <w:t xml:space="preserve"> </w:t>
      </w:r>
      <w:r w:rsidR="002B54B3">
        <w:t xml:space="preserve">Queensland </w:t>
      </w:r>
      <w:r w:rsidR="00034C8B">
        <w:t xml:space="preserve">Department of Environment and Science, </w:t>
      </w:r>
      <w:hyperlink r:id="rId64" w:history="1">
        <w:r w:rsidR="00CC14ED" w:rsidRPr="00342EFB">
          <w:rPr>
            <w:rStyle w:val="Hyperlink"/>
            <w:i/>
            <w:iCs/>
          </w:rPr>
          <w:t>Queensland’s greenhouse gas emissions and targets</w:t>
        </w:r>
      </w:hyperlink>
      <w:r w:rsidR="005C227E">
        <w:t>,</w:t>
      </w:r>
      <w:r w:rsidR="00CC14ED">
        <w:t xml:space="preserve"> </w:t>
      </w:r>
      <w:r w:rsidR="00CC14ED" w:rsidRPr="00D93765">
        <w:t>Queensland</w:t>
      </w:r>
      <w:r w:rsidR="00CC14ED">
        <w:t xml:space="preserve"> Government</w:t>
      </w:r>
      <w:r w:rsidR="00664F97">
        <w:t xml:space="preserve"> website</w:t>
      </w:r>
      <w:r w:rsidR="00CC14ED">
        <w:t>, 2023</w:t>
      </w:r>
      <w:r w:rsidR="00664F97">
        <w:t xml:space="preserve">, accessed </w:t>
      </w:r>
      <w:r w:rsidR="00CB2E2E">
        <w:t>21 November 2023.</w:t>
      </w:r>
    </w:p>
  </w:endnote>
  <w:endnote w:id="116">
    <w:p w14:paraId="31217F5C" w14:textId="3E542CA7" w:rsidR="00225097" w:rsidRPr="00526233" w:rsidRDefault="00225097" w:rsidP="00BB3490">
      <w:pPr>
        <w:pStyle w:val="EndnoteText"/>
        <w:rPr>
          <w:highlight w:val="red"/>
        </w:rPr>
      </w:pPr>
      <w:r w:rsidRPr="00342EFB">
        <w:rPr>
          <w:rStyle w:val="EndnoteReference"/>
        </w:rPr>
        <w:endnoteRef/>
      </w:r>
      <w:r w:rsidRPr="00342EFB">
        <w:t xml:space="preserve"> </w:t>
      </w:r>
      <w:r w:rsidR="00472448">
        <w:t xml:space="preserve">SA </w:t>
      </w:r>
      <w:r w:rsidR="007B6DE6">
        <w:t xml:space="preserve">Department for Environment and Water, </w:t>
      </w:r>
      <w:hyperlink r:id="rId65" w:history="1">
        <w:r w:rsidR="00CF7FFC" w:rsidRPr="00342EFB">
          <w:rPr>
            <w:rStyle w:val="Hyperlink"/>
            <w:i/>
            <w:iCs/>
          </w:rPr>
          <w:t>South Australia’s greenhouse gas emissions reporting</w:t>
        </w:r>
      </w:hyperlink>
      <w:r w:rsidR="00CF7FFC">
        <w:t xml:space="preserve">, </w:t>
      </w:r>
      <w:r w:rsidR="00A942C6">
        <w:t>SA</w:t>
      </w:r>
      <w:r w:rsidR="00EF5D2A">
        <w:t xml:space="preserve"> Government</w:t>
      </w:r>
      <w:r w:rsidR="004605EB">
        <w:t xml:space="preserve"> website</w:t>
      </w:r>
      <w:r w:rsidR="00EF5D2A">
        <w:t>, 2023</w:t>
      </w:r>
      <w:r w:rsidR="00AD7D7C">
        <w:t xml:space="preserve">, accessed </w:t>
      </w:r>
      <w:r w:rsidR="00CB2E2E">
        <w:t>21 November 2023.</w:t>
      </w:r>
    </w:p>
  </w:endnote>
  <w:endnote w:id="117">
    <w:p w14:paraId="078A46F9" w14:textId="7FB25C51" w:rsidR="00225097" w:rsidRPr="00526233" w:rsidRDefault="00225097" w:rsidP="00BB3490">
      <w:pPr>
        <w:pStyle w:val="EndnoteText"/>
        <w:rPr>
          <w:highlight w:val="red"/>
        </w:rPr>
      </w:pPr>
      <w:r w:rsidRPr="00342EFB">
        <w:rPr>
          <w:rStyle w:val="EndnoteReference"/>
        </w:rPr>
        <w:endnoteRef/>
      </w:r>
      <w:r w:rsidRPr="00342EFB">
        <w:t xml:space="preserve"> </w:t>
      </w:r>
      <w:r w:rsidR="00A9757A" w:rsidRPr="00784A45">
        <w:t>Tasmania</w:t>
      </w:r>
      <w:r w:rsidR="00EA18A3">
        <w:t>n</w:t>
      </w:r>
      <w:r w:rsidR="00A9757A">
        <w:t xml:space="preserve"> </w:t>
      </w:r>
      <w:r w:rsidR="00230950">
        <w:t xml:space="preserve">Department of State Growth, </w:t>
      </w:r>
      <w:hyperlink r:id="rId66" w:history="1">
        <w:r w:rsidR="00A3091E" w:rsidRPr="00487FF4">
          <w:rPr>
            <w:rStyle w:val="Hyperlink"/>
            <w:i/>
          </w:rPr>
          <w:t>Renewables,</w:t>
        </w:r>
        <w:r w:rsidR="00A3091E" w:rsidRPr="00487FF4">
          <w:rPr>
            <w:rStyle w:val="Hyperlink"/>
          </w:rPr>
          <w:t xml:space="preserve"> </w:t>
        </w:r>
        <w:r w:rsidR="00A3091E" w:rsidRPr="00487FF4">
          <w:rPr>
            <w:rStyle w:val="Hyperlink"/>
            <w:i/>
            <w:iCs/>
          </w:rPr>
          <w:t>Climate and F</w:t>
        </w:r>
        <w:bookmarkStart w:id="129" w:name="_Hlt151452294"/>
        <w:bookmarkStart w:id="130" w:name="_Hlt151452295"/>
        <w:r w:rsidR="00A3091E" w:rsidRPr="00487FF4">
          <w:rPr>
            <w:rStyle w:val="Hyperlink"/>
            <w:i/>
            <w:iCs/>
          </w:rPr>
          <w:t>u</w:t>
        </w:r>
        <w:bookmarkEnd w:id="129"/>
        <w:bookmarkEnd w:id="130"/>
        <w:r w:rsidR="00A3091E" w:rsidRPr="00487FF4">
          <w:rPr>
            <w:rStyle w:val="Hyperlink"/>
            <w:i/>
            <w:iCs/>
          </w:rPr>
          <w:t>ture Industries Tasmania</w:t>
        </w:r>
      </w:hyperlink>
      <w:r w:rsidR="00A3091E">
        <w:t>, Tasmanian Government</w:t>
      </w:r>
      <w:r w:rsidR="000457CC">
        <w:t xml:space="preserve"> website</w:t>
      </w:r>
      <w:r w:rsidR="00A3091E">
        <w:t>,</w:t>
      </w:r>
      <w:r w:rsidR="00B55BC9">
        <w:t xml:space="preserve"> n.d.</w:t>
      </w:r>
      <w:r w:rsidR="000457CC">
        <w:t xml:space="preserve">, </w:t>
      </w:r>
      <w:r w:rsidR="00CB2E2E">
        <w:t>accessed 21 November 2023.</w:t>
      </w:r>
    </w:p>
  </w:endnote>
  <w:endnote w:id="118">
    <w:p w14:paraId="41EBF4FA" w14:textId="392CEC4C" w:rsidR="00225097" w:rsidRPr="00342EFB" w:rsidRDefault="00225097" w:rsidP="00BB3490">
      <w:pPr>
        <w:pStyle w:val="EndnoteText"/>
      </w:pPr>
      <w:r w:rsidRPr="00342EFB">
        <w:rPr>
          <w:rStyle w:val="EndnoteReference"/>
        </w:rPr>
        <w:endnoteRef/>
      </w:r>
      <w:r w:rsidRPr="00342EFB">
        <w:t xml:space="preserve"> </w:t>
      </w:r>
      <w:r w:rsidR="00EA18A3">
        <w:t xml:space="preserve">Victorian </w:t>
      </w:r>
      <w:r w:rsidR="00B9042E">
        <w:t xml:space="preserve">Department of Energy, Environment and Climate Action, </w:t>
      </w:r>
      <w:hyperlink r:id="rId67" w:history="1">
        <w:r w:rsidR="00BC44B9" w:rsidRPr="00342EFB">
          <w:rPr>
            <w:rStyle w:val="Hyperlink"/>
            <w:i/>
            <w:iCs/>
          </w:rPr>
          <w:t>Victorian Government action on climate change</w:t>
        </w:r>
      </w:hyperlink>
      <w:r w:rsidR="00BC44B9">
        <w:t>, Victorian Government</w:t>
      </w:r>
      <w:r w:rsidR="00DA1A15">
        <w:t xml:space="preserve"> website</w:t>
      </w:r>
      <w:r w:rsidR="00BC44B9">
        <w:t>, 2023</w:t>
      </w:r>
      <w:r w:rsidR="00DA1A15">
        <w:t xml:space="preserve">, accessed </w:t>
      </w:r>
      <w:r w:rsidR="00CB2E2E">
        <w:t>21 November 2023.</w:t>
      </w:r>
    </w:p>
  </w:endnote>
  <w:endnote w:id="119">
    <w:p w14:paraId="4503C018" w14:textId="133B4C08" w:rsidR="00225097" w:rsidRDefault="00225097" w:rsidP="00BB3490">
      <w:pPr>
        <w:pStyle w:val="EndnoteText"/>
      </w:pPr>
      <w:r w:rsidRPr="00342EFB">
        <w:rPr>
          <w:rStyle w:val="EndnoteReference"/>
        </w:rPr>
        <w:endnoteRef/>
      </w:r>
      <w:r w:rsidRPr="00342EFB">
        <w:t xml:space="preserve"> </w:t>
      </w:r>
      <w:r w:rsidR="00784A45">
        <w:t xml:space="preserve">WA </w:t>
      </w:r>
      <w:r w:rsidR="00D762F1" w:rsidRPr="00D762F1">
        <w:t>Department of Water and Environmental Regulation</w:t>
      </w:r>
      <w:r w:rsidR="00D762F1">
        <w:t xml:space="preserve">, </w:t>
      </w:r>
      <w:hyperlink r:id="rId68" w:history="1">
        <w:r w:rsidR="00D762F1" w:rsidRPr="00342EFB">
          <w:rPr>
            <w:rStyle w:val="Hyperlink"/>
            <w:i/>
            <w:iCs/>
          </w:rPr>
          <w:t>Government Emissions Interim Target</w:t>
        </w:r>
      </w:hyperlink>
      <w:r w:rsidR="00D762F1">
        <w:t xml:space="preserve">, </w:t>
      </w:r>
      <w:r w:rsidR="005108EB">
        <w:t xml:space="preserve">WA </w:t>
      </w:r>
      <w:r w:rsidR="00D762F1">
        <w:t>Government</w:t>
      </w:r>
      <w:r w:rsidR="004C685D">
        <w:t xml:space="preserve"> website</w:t>
      </w:r>
      <w:r w:rsidR="00D762F1">
        <w:t>, 2022</w:t>
      </w:r>
      <w:r w:rsidR="004C685D">
        <w:t xml:space="preserve">, accessed </w:t>
      </w:r>
      <w:r w:rsidR="00CB2E2E">
        <w:t>21 November 2023.</w:t>
      </w:r>
    </w:p>
  </w:endnote>
  <w:endnote w:id="120">
    <w:p w14:paraId="5C474F1E" w14:textId="77777777" w:rsidR="00A60BCB" w:rsidRPr="00A22041" w:rsidRDefault="00A60BCB" w:rsidP="00BB3490">
      <w:pPr>
        <w:pStyle w:val="EndnoteText"/>
      </w:pPr>
      <w:r w:rsidRPr="00A22041">
        <w:rPr>
          <w:rStyle w:val="EndnoteReference"/>
        </w:rPr>
        <w:endnoteRef/>
      </w:r>
      <w:r w:rsidRPr="00A22041">
        <w:t xml:space="preserve"> AJ MacNeill, F McGain and JD Sherman, ‘Planetary health care: a framework for sustainable health systems’, </w:t>
      </w:r>
      <w:r w:rsidRPr="00A22041">
        <w:rPr>
          <w:i/>
        </w:rPr>
        <w:t xml:space="preserve">The Lancet Planetary Health, </w:t>
      </w:r>
      <w:r w:rsidRPr="00A22041">
        <w:t>2021, (5)2:E66-E68, doi:</w:t>
      </w:r>
      <w:r w:rsidRPr="00D52FE2">
        <w:t>10.1016/S2542-5196(21)00005-X</w:t>
      </w:r>
      <w:r w:rsidRPr="00A22041">
        <w:t>.</w:t>
      </w:r>
    </w:p>
  </w:endnote>
  <w:endnote w:id="121">
    <w:p w14:paraId="541F338F" w14:textId="5608D156" w:rsidR="00191E0E" w:rsidRPr="009D7BF4" w:rsidRDefault="00191E0E" w:rsidP="00BB3490">
      <w:pPr>
        <w:pStyle w:val="EndnoteText"/>
      </w:pPr>
      <w:r w:rsidRPr="009D7BF4">
        <w:rPr>
          <w:rStyle w:val="EndnoteReference"/>
          <w:color w:val="000000" w:themeColor="text1"/>
        </w:rPr>
        <w:endnoteRef/>
      </w:r>
      <w:r w:rsidRPr="009D7BF4">
        <w:rPr>
          <w:color w:val="000000" w:themeColor="text1"/>
        </w:rPr>
        <w:t xml:space="preserve"> </w:t>
      </w:r>
      <w:r w:rsidR="00CF4F7E" w:rsidRPr="009D7BF4">
        <w:rPr>
          <w:color w:val="000000" w:themeColor="text1"/>
        </w:rPr>
        <w:t xml:space="preserve">F Mortimer, </w:t>
      </w:r>
      <w:r w:rsidR="007D5F06" w:rsidRPr="009D7BF4">
        <w:rPr>
          <w:color w:val="000000" w:themeColor="text1"/>
        </w:rPr>
        <w:t xml:space="preserve">‘The sustainable physician’, </w:t>
      </w:r>
      <w:r w:rsidR="007D5F06" w:rsidRPr="009D7BF4">
        <w:rPr>
          <w:i/>
          <w:color w:val="000000" w:themeColor="text1"/>
        </w:rPr>
        <w:t xml:space="preserve">Clinical </w:t>
      </w:r>
      <w:r w:rsidR="00685AF1" w:rsidRPr="009D7BF4">
        <w:rPr>
          <w:i/>
          <w:color w:val="000000" w:themeColor="text1"/>
        </w:rPr>
        <w:t>Medicine</w:t>
      </w:r>
      <w:r w:rsidR="007D5F06" w:rsidRPr="009D7BF4">
        <w:rPr>
          <w:i/>
          <w:color w:val="000000" w:themeColor="text1"/>
        </w:rPr>
        <w:t xml:space="preserve"> Journal</w:t>
      </w:r>
      <w:r w:rsidR="00685AF1" w:rsidRPr="009D7BF4">
        <w:rPr>
          <w:color w:val="000000" w:themeColor="text1"/>
        </w:rPr>
        <w:t xml:space="preserve">, </w:t>
      </w:r>
      <w:r w:rsidR="008E7151" w:rsidRPr="009D7BF4">
        <w:rPr>
          <w:color w:val="000000" w:themeColor="text1"/>
        </w:rPr>
        <w:t>2010</w:t>
      </w:r>
      <w:r w:rsidR="00DC7974" w:rsidRPr="009D7BF4">
        <w:rPr>
          <w:color w:val="000000" w:themeColor="text1"/>
        </w:rPr>
        <w:t>, (</w:t>
      </w:r>
      <w:r w:rsidR="0091781F" w:rsidRPr="009D7BF4">
        <w:rPr>
          <w:color w:val="000000" w:themeColor="text1"/>
        </w:rPr>
        <w:t>10</w:t>
      </w:r>
      <w:r w:rsidR="00DC7974" w:rsidRPr="009D7BF4">
        <w:rPr>
          <w:color w:val="000000" w:themeColor="text1"/>
        </w:rPr>
        <w:t>)2</w:t>
      </w:r>
      <w:r w:rsidR="0091781F" w:rsidRPr="009D7BF4">
        <w:rPr>
          <w:color w:val="000000" w:themeColor="text1"/>
        </w:rPr>
        <w:t>:</w:t>
      </w:r>
      <w:r w:rsidR="008B56D0" w:rsidRPr="009D7BF4">
        <w:rPr>
          <w:color w:val="000000" w:themeColor="text1"/>
        </w:rPr>
        <w:t>110-</w:t>
      </w:r>
      <w:r w:rsidR="00CB3EC2">
        <w:rPr>
          <w:color w:val="000000" w:themeColor="text1"/>
        </w:rPr>
        <w:t>1</w:t>
      </w:r>
      <w:r w:rsidR="008B56D0" w:rsidRPr="009D7BF4">
        <w:rPr>
          <w:color w:val="000000" w:themeColor="text1"/>
        </w:rPr>
        <w:t>11</w:t>
      </w:r>
      <w:r w:rsidR="00666277" w:rsidRPr="009D7BF4">
        <w:rPr>
          <w:color w:val="000000" w:themeColor="text1"/>
        </w:rPr>
        <w:t>, doi:</w:t>
      </w:r>
      <w:r w:rsidR="00B01532" w:rsidRPr="009D7BF4">
        <w:rPr>
          <w:color w:val="000000" w:themeColor="text1"/>
        </w:rPr>
        <w:t>10.7861/clinmedicine.10-2-110</w:t>
      </w:r>
      <w:r w:rsidR="00FF12A3">
        <w:rPr>
          <w:color w:val="000000" w:themeColor="text1"/>
        </w:rPr>
        <w:t xml:space="preserve">. </w:t>
      </w:r>
    </w:p>
  </w:endnote>
  <w:endnote w:id="122">
    <w:p w14:paraId="3769501A" w14:textId="4C0F08DB" w:rsidR="007C3108" w:rsidRPr="009D7BF4" w:rsidRDefault="007C3108" w:rsidP="00BB3490">
      <w:pPr>
        <w:pStyle w:val="EndnoteText"/>
      </w:pPr>
      <w:r w:rsidRPr="009D7BF4">
        <w:rPr>
          <w:rStyle w:val="EndnoteReference"/>
        </w:rPr>
        <w:endnoteRef/>
      </w:r>
      <w:r w:rsidRPr="009D7BF4">
        <w:t xml:space="preserve"> </w:t>
      </w:r>
      <w:r w:rsidRPr="009D7BF4">
        <w:rPr>
          <w:rFonts w:eastAsia="Times New Roman"/>
        </w:rPr>
        <w:t xml:space="preserve">Australian Institute of Health and Welfare (AIHW), </w:t>
      </w:r>
      <w:hyperlink r:id="rId69" w:history="1">
        <w:r w:rsidRPr="009D7BF4">
          <w:rPr>
            <w:rStyle w:val="Hyperlink"/>
            <w:rFonts w:eastAsia="Times New Roman"/>
            <w:i/>
          </w:rPr>
          <w:t>Australian Burden of Disease S</w:t>
        </w:r>
        <w:bookmarkStart w:id="137" w:name="_Hlt151036380"/>
        <w:bookmarkStart w:id="138" w:name="_Hlt151036381"/>
        <w:r w:rsidRPr="009D7BF4">
          <w:rPr>
            <w:rStyle w:val="Hyperlink"/>
            <w:rFonts w:eastAsia="Times New Roman"/>
            <w:i/>
          </w:rPr>
          <w:t>t</w:t>
        </w:r>
        <w:bookmarkEnd w:id="137"/>
        <w:bookmarkEnd w:id="138"/>
        <w:r w:rsidRPr="009D7BF4">
          <w:rPr>
            <w:rStyle w:val="Hyperlink"/>
            <w:rFonts w:eastAsia="Times New Roman"/>
            <w:i/>
          </w:rPr>
          <w:t>udy 2018: key findings</w:t>
        </w:r>
      </w:hyperlink>
      <w:r w:rsidRPr="009D7BF4">
        <w:rPr>
          <w:rFonts w:eastAsia="Times New Roman"/>
        </w:rPr>
        <w:t>, AIHW, Australian Government, 2021.</w:t>
      </w:r>
    </w:p>
  </w:endnote>
  <w:endnote w:id="123">
    <w:p w14:paraId="5A86E063" w14:textId="16815235" w:rsidR="007C3108" w:rsidRPr="00A22041" w:rsidRDefault="007C3108" w:rsidP="00BB3490">
      <w:pPr>
        <w:pStyle w:val="EndnoteText"/>
      </w:pPr>
      <w:r w:rsidRPr="00E56C9D">
        <w:rPr>
          <w:rStyle w:val="EndnoteReference"/>
        </w:rPr>
        <w:endnoteRef/>
      </w:r>
      <w:r w:rsidRPr="009D7BF4">
        <w:t xml:space="preserve"> </w:t>
      </w:r>
      <w:r w:rsidR="00784A45">
        <w:t xml:space="preserve">Australian </w:t>
      </w:r>
      <w:r w:rsidRPr="009D7BF4">
        <w:t>Department</w:t>
      </w:r>
      <w:r w:rsidRPr="00A22041">
        <w:t xml:space="preserve"> of Health</w:t>
      </w:r>
      <w:r w:rsidR="00E56C9D">
        <w:t>,</w:t>
      </w:r>
      <w:r w:rsidRPr="00A22041">
        <w:t xml:space="preserve"> </w:t>
      </w:r>
      <w:hyperlink r:id="rId70" w:history="1">
        <w:r w:rsidRPr="00E56C9D">
          <w:rPr>
            <w:rStyle w:val="Hyperlink"/>
            <w:i/>
          </w:rPr>
          <w:t>National Preventive Health Strategy 2021-2030</w:t>
        </w:r>
      </w:hyperlink>
      <w:r w:rsidR="00E56C9D" w:rsidRPr="00E56C9D">
        <w:t>,</w:t>
      </w:r>
      <w:r w:rsidR="00E56C9D">
        <w:t xml:space="preserve"> </w:t>
      </w:r>
      <w:r w:rsidR="00571603">
        <w:t>Department of Health</w:t>
      </w:r>
      <w:r w:rsidR="00E56C9D">
        <w:t xml:space="preserve">, Australian Government, 2021. </w:t>
      </w:r>
    </w:p>
  </w:endnote>
  <w:endnote w:id="124">
    <w:p w14:paraId="7CBB3921" w14:textId="590D5FD3" w:rsidR="00DF12FF" w:rsidRDefault="00DF12FF" w:rsidP="00BB3490">
      <w:pPr>
        <w:pStyle w:val="EndnoteText"/>
      </w:pPr>
      <w:r w:rsidRPr="00342EFB">
        <w:rPr>
          <w:rStyle w:val="EndnoteReference"/>
        </w:rPr>
        <w:endnoteRef/>
      </w:r>
      <w:r w:rsidRPr="00342EFB">
        <w:t xml:space="preserve"> </w:t>
      </w:r>
      <w:r w:rsidR="00784A45">
        <w:t xml:space="preserve">Australian </w:t>
      </w:r>
      <w:r w:rsidR="0083559F">
        <w:t>Department of Health</w:t>
      </w:r>
      <w:r w:rsidR="006F0A7F">
        <w:t>,</w:t>
      </w:r>
      <w:r w:rsidR="0083559F">
        <w:t xml:space="preserve"> </w:t>
      </w:r>
      <w:hyperlink r:id="rId71" w:history="1">
        <w:r w:rsidR="00F2473F" w:rsidRPr="00342EFB">
          <w:rPr>
            <w:rStyle w:val="Hyperlink"/>
            <w:i/>
            <w:iCs/>
          </w:rPr>
          <w:t>Future focused primary health care: Australia</w:t>
        </w:r>
        <w:bookmarkStart w:id="139" w:name="_Hlt151652984"/>
        <w:bookmarkStart w:id="140" w:name="_Hlt151652985"/>
        <w:r w:rsidR="00F2473F" w:rsidRPr="00342EFB">
          <w:rPr>
            <w:rStyle w:val="Hyperlink"/>
            <w:i/>
            <w:iCs/>
          </w:rPr>
          <w:t>’</w:t>
        </w:r>
        <w:bookmarkEnd w:id="139"/>
        <w:bookmarkEnd w:id="140"/>
        <w:r w:rsidR="00F2473F" w:rsidRPr="00342EFB">
          <w:rPr>
            <w:rStyle w:val="Hyperlink"/>
            <w:i/>
            <w:iCs/>
          </w:rPr>
          <w:t>s Primary Health Care 10 Year Plan 2022-2032</w:t>
        </w:r>
      </w:hyperlink>
      <w:r w:rsidR="00F2473F">
        <w:t xml:space="preserve">, </w:t>
      </w:r>
      <w:r w:rsidR="00571603">
        <w:t>Department of Health</w:t>
      </w:r>
      <w:r w:rsidR="00205BC4">
        <w:t xml:space="preserve">, Australian Government, 2022. </w:t>
      </w:r>
    </w:p>
  </w:endnote>
  <w:endnote w:id="125">
    <w:p w14:paraId="117A43BA" w14:textId="6A4BF964" w:rsidR="00A60BCB" w:rsidRPr="00A22041" w:rsidRDefault="00A60BCB" w:rsidP="00BB3490">
      <w:pPr>
        <w:pStyle w:val="EndnoteText"/>
      </w:pPr>
      <w:r w:rsidRPr="00A22041">
        <w:rPr>
          <w:rStyle w:val="EndnoteReference"/>
        </w:rPr>
        <w:endnoteRef/>
      </w:r>
      <w:r w:rsidRPr="00A22041">
        <w:t xml:space="preserve"> AL Barratt, KJ Bell, K Charlesworth and F McGain, ‘High value healthcare is low carbon healthcare’, </w:t>
      </w:r>
      <w:r w:rsidR="0038549E">
        <w:rPr>
          <w:i/>
          <w:iCs/>
        </w:rPr>
        <w:t xml:space="preserve">The </w:t>
      </w:r>
      <w:r w:rsidRPr="00A22041">
        <w:rPr>
          <w:i/>
          <w:iCs/>
        </w:rPr>
        <w:t xml:space="preserve">Medical Journal of Australia, </w:t>
      </w:r>
      <w:r w:rsidRPr="00A22041">
        <w:t>2022, 216(2):67-68, doi:10.5694/mja2.51331</w:t>
      </w:r>
      <w:r w:rsidR="000B7C75">
        <w:t xml:space="preserve">. </w:t>
      </w:r>
    </w:p>
  </w:endnote>
  <w:endnote w:id="126">
    <w:p w14:paraId="1A84FF67" w14:textId="7C54C7B8" w:rsidR="00A60BCB" w:rsidRPr="00A22041" w:rsidRDefault="00A60BCB" w:rsidP="00BB3490">
      <w:pPr>
        <w:pStyle w:val="EndnoteText"/>
      </w:pPr>
      <w:r w:rsidRPr="00A22041">
        <w:rPr>
          <w:rStyle w:val="EndnoteReference"/>
        </w:rPr>
        <w:endnoteRef/>
      </w:r>
      <w:r w:rsidRPr="00A22041">
        <w:t xml:space="preserve"> R Wilson, W Runciman, R Gibberd, B Harrison, L Newby and J Hamilton, ‘The quality in Australian health care study’, </w:t>
      </w:r>
      <w:r w:rsidR="006F2D6F">
        <w:rPr>
          <w:i/>
          <w:iCs/>
        </w:rPr>
        <w:t xml:space="preserve">The </w:t>
      </w:r>
      <w:r w:rsidRPr="00A22041">
        <w:rPr>
          <w:i/>
        </w:rPr>
        <w:t>Medical Journal of Australia</w:t>
      </w:r>
      <w:r w:rsidRPr="00A22041">
        <w:t>, 1995, 163(9):458-471, doi:10.5694/j.1326-5377.1996.tb94205.x.</w:t>
      </w:r>
    </w:p>
  </w:endnote>
  <w:endnote w:id="127">
    <w:p w14:paraId="7B46DB2C" w14:textId="4884204A" w:rsidR="00A60BCB" w:rsidRPr="00A22041" w:rsidRDefault="00A60BCB" w:rsidP="00BB3490">
      <w:pPr>
        <w:pStyle w:val="EndnoteText"/>
      </w:pPr>
      <w:r w:rsidRPr="00A22041">
        <w:rPr>
          <w:rStyle w:val="EndnoteReference"/>
        </w:rPr>
        <w:endnoteRef/>
      </w:r>
      <w:r w:rsidRPr="00A22041">
        <w:t xml:space="preserve"> B Singh, T Olds, R Curtis, D Dumuid, R Vigara, A Watson</w:t>
      </w:r>
      <w:r w:rsidR="00DD6B2E">
        <w:t xml:space="preserve">, </w:t>
      </w:r>
      <w:r w:rsidR="00652D77">
        <w:t xml:space="preserve">K Szeto, </w:t>
      </w:r>
      <w:r w:rsidR="00C71852">
        <w:t xml:space="preserve">E O’Connor, </w:t>
      </w:r>
      <w:r w:rsidR="00DE2A0C">
        <w:t xml:space="preserve">T Ferguson, </w:t>
      </w:r>
      <w:r w:rsidR="0071362E">
        <w:t xml:space="preserve">E Eglitis, </w:t>
      </w:r>
      <w:r w:rsidR="00A10956">
        <w:t xml:space="preserve">A Miatke, </w:t>
      </w:r>
      <w:r w:rsidR="00D34016">
        <w:t>C EM Simpson and C Maher,</w:t>
      </w:r>
      <w:r w:rsidRPr="00A22041">
        <w:t xml:space="preserve"> ‘Effectiveness of physical activity interventions for improving depression, anxiety and distress: an overview of systematic reviews’, </w:t>
      </w:r>
      <w:r w:rsidRPr="00A22041">
        <w:rPr>
          <w:i/>
        </w:rPr>
        <w:t xml:space="preserve">British Journal of Sports Medicine, </w:t>
      </w:r>
      <w:r w:rsidRPr="00A22041">
        <w:t>2023, 57:1203-1209, doi:</w:t>
      </w:r>
      <w:r w:rsidRPr="00D52FE2">
        <w:t>10.1136/bjsports-2022-106195</w:t>
      </w:r>
      <w:r w:rsidR="000B7C75">
        <w:t>.</w:t>
      </w:r>
    </w:p>
  </w:endnote>
  <w:endnote w:id="128">
    <w:p w14:paraId="68530F22" w14:textId="273E0BBF" w:rsidR="00A60BCB" w:rsidRPr="00A22041" w:rsidRDefault="00A60BCB" w:rsidP="00BB3490">
      <w:pPr>
        <w:pStyle w:val="EndnoteText"/>
      </w:pPr>
      <w:r w:rsidRPr="00A22041">
        <w:rPr>
          <w:rStyle w:val="EndnoteReference"/>
        </w:rPr>
        <w:endnoteRef/>
      </w:r>
      <w:r w:rsidRPr="00A22041">
        <w:t xml:space="preserve"> IA Harris, S Verinder, R Mittal and S Adie, ‘Surgery for chronic musculoskeletal pain: the question of evidence’, </w:t>
      </w:r>
      <w:r w:rsidRPr="00A22041">
        <w:rPr>
          <w:i/>
        </w:rPr>
        <w:t xml:space="preserve">Pain, </w:t>
      </w:r>
      <w:r w:rsidRPr="00A22041">
        <w:t>2020, 161:S95-S103, doi:10.1097/j.pain.0000000000001881</w:t>
      </w:r>
      <w:r w:rsidR="000B7C75">
        <w:t>.</w:t>
      </w:r>
    </w:p>
  </w:endnote>
  <w:endnote w:id="129">
    <w:p w14:paraId="557877C6" w14:textId="01DC514F" w:rsidR="00A60BCB" w:rsidRPr="00A22041" w:rsidRDefault="00A60BCB" w:rsidP="00BB3490">
      <w:pPr>
        <w:pStyle w:val="EndnoteText"/>
      </w:pPr>
      <w:r w:rsidRPr="00A22041">
        <w:rPr>
          <w:rStyle w:val="EndnoteReference"/>
        </w:rPr>
        <w:endnoteRef/>
      </w:r>
      <w:r w:rsidRPr="00A22041">
        <w:t xml:space="preserve"> Australian Commission on Safety and Quality in Health Care (ACSQHC), </w:t>
      </w:r>
      <w:hyperlink r:id="rId72" w:history="1">
        <w:r w:rsidRPr="00A22041">
          <w:rPr>
            <w:rStyle w:val="Hyperlink"/>
            <w:i/>
          </w:rPr>
          <w:t>The Fourth Australian Atlas of Healthcare Variation</w:t>
        </w:r>
      </w:hyperlink>
      <w:r w:rsidRPr="00A22041">
        <w:t>, ACSQHC, Australian Government, 2021.</w:t>
      </w:r>
    </w:p>
  </w:endnote>
  <w:endnote w:id="130">
    <w:p w14:paraId="0997BA67" w14:textId="00E20C61" w:rsidR="00A60BCB" w:rsidRPr="00A22041" w:rsidRDefault="00A60BCB" w:rsidP="00BB3490">
      <w:pPr>
        <w:pStyle w:val="EndnoteText"/>
      </w:pPr>
      <w:r w:rsidRPr="00A22041">
        <w:rPr>
          <w:rStyle w:val="EndnoteReference"/>
        </w:rPr>
        <w:endnoteRef/>
      </w:r>
      <w:r w:rsidRPr="00A22041">
        <w:t xml:space="preserve"> </w:t>
      </w:r>
      <w:r w:rsidRPr="008025E5">
        <w:t xml:space="preserve">Australian Commission on Safety and Quality in Health Care (ACSQHC), </w:t>
      </w:r>
      <w:hyperlink r:id="rId73" w:history="1">
        <w:r w:rsidRPr="00312EE9">
          <w:rPr>
            <w:rStyle w:val="Hyperlink"/>
            <w:i/>
          </w:rPr>
          <w:t>Fifth Australian report on antimicrobial use and resistance in human health</w:t>
        </w:r>
      </w:hyperlink>
      <w:r w:rsidRPr="008025E5">
        <w:t xml:space="preserve">, </w:t>
      </w:r>
      <w:r w:rsidR="00231337">
        <w:t>Antimicrobial Use and Resistance in Australia,</w:t>
      </w:r>
      <w:r w:rsidRPr="008025E5">
        <w:t xml:space="preserve"> ACSQHC</w:t>
      </w:r>
      <w:r w:rsidR="006C6130">
        <w:t xml:space="preserve">, </w:t>
      </w:r>
      <w:r w:rsidR="00034B9B">
        <w:t xml:space="preserve">Australian Government, </w:t>
      </w:r>
      <w:r w:rsidR="008E62BB" w:rsidRPr="008025E5">
        <w:t>2023</w:t>
      </w:r>
      <w:r w:rsidR="000B7C75" w:rsidRPr="008025E5">
        <w:t>.</w:t>
      </w:r>
      <w:r w:rsidR="000B7C75">
        <w:t xml:space="preserve"> </w:t>
      </w:r>
    </w:p>
  </w:endnote>
  <w:endnote w:id="131">
    <w:p w14:paraId="275D318B" w14:textId="77777777" w:rsidR="003A3AE0" w:rsidRPr="00A22041" w:rsidRDefault="003A3AE0" w:rsidP="003A3AE0">
      <w:pPr>
        <w:pStyle w:val="EndnoteText"/>
      </w:pPr>
      <w:r w:rsidRPr="00A22041">
        <w:rPr>
          <w:rStyle w:val="EndnoteReference"/>
        </w:rPr>
        <w:endnoteRef/>
      </w:r>
      <w:r w:rsidRPr="00A22041">
        <w:t xml:space="preserve"> E Kumarakurusingham, </w:t>
      </w:r>
      <w:r>
        <w:t>‘</w:t>
      </w:r>
      <w:r w:rsidRPr="00A22041">
        <w:t>Choosing Wisely audit: Blood gas ordering in the emergency department</w:t>
      </w:r>
      <w:r>
        <w:t>’</w:t>
      </w:r>
      <w:r w:rsidRPr="00A22041">
        <w:t xml:space="preserve">, </w:t>
      </w:r>
      <w:r w:rsidRPr="00A22041">
        <w:rPr>
          <w:i/>
        </w:rPr>
        <w:t>Emergency Management Australasia</w:t>
      </w:r>
      <w:r w:rsidRPr="00A22041">
        <w:t>, 2023, 35(5):871-872, doi:10.1111/1742-6723.14261.</w:t>
      </w:r>
    </w:p>
  </w:endnote>
  <w:endnote w:id="132">
    <w:p w14:paraId="1CD6C23C" w14:textId="4CB582FA" w:rsidR="00A60BCB" w:rsidRPr="009D7BF4" w:rsidRDefault="00A60BCB" w:rsidP="00BB3490">
      <w:pPr>
        <w:pStyle w:val="EndnoteText"/>
      </w:pPr>
      <w:r w:rsidRPr="009D7BF4">
        <w:rPr>
          <w:rStyle w:val="EndnoteReference"/>
        </w:rPr>
        <w:endnoteRef/>
      </w:r>
      <w:r w:rsidRPr="009D7BF4">
        <w:t xml:space="preserve"> P Heus, SA van Dulmen, JW Weenink, CA Naaktgeboren,T Takada, EW Verkerk, I Kamm, MJ van der Laan, L Hooft and RB Kool, ‘What are the Effective Strategies to Reduce Low Value Care? An Analysis of 121 Randomize</w:t>
      </w:r>
      <w:r w:rsidR="007E57D5">
        <w:t>d</w:t>
      </w:r>
      <w:r w:rsidRPr="009D7BF4">
        <w:t xml:space="preserve"> Deimplementation Studies’, </w:t>
      </w:r>
      <w:r w:rsidRPr="009D7BF4">
        <w:rPr>
          <w:i/>
        </w:rPr>
        <w:t>Journal for Healthcare Quality,</w:t>
      </w:r>
      <w:r w:rsidRPr="009D7BF4">
        <w:t xml:space="preserve"> 2023, 45(5):261</w:t>
      </w:r>
      <w:r w:rsidR="00526233">
        <w:t>-</w:t>
      </w:r>
      <w:r w:rsidRPr="009D7BF4">
        <w:t>271, doi:10.1097/JHQ.0000000000000392</w:t>
      </w:r>
      <w:r w:rsidRPr="00CD5288">
        <w:rPr>
          <w:rStyle w:val="Hyperlink"/>
          <w:color w:val="auto"/>
          <w:u w:val="none"/>
        </w:rPr>
        <w:t>.</w:t>
      </w:r>
      <w:r w:rsidRPr="009D7BF4">
        <w:t xml:space="preserve"> </w:t>
      </w:r>
    </w:p>
  </w:endnote>
  <w:endnote w:id="133">
    <w:p w14:paraId="1AC64637" w14:textId="0B36B4F3" w:rsidR="00A60BCB" w:rsidRPr="00A22041" w:rsidRDefault="00A60BCB" w:rsidP="00BB3490">
      <w:pPr>
        <w:pStyle w:val="EndnoteText"/>
      </w:pPr>
      <w:r w:rsidRPr="009D7BF4">
        <w:rPr>
          <w:rStyle w:val="EndnoteReference"/>
        </w:rPr>
        <w:endnoteRef/>
      </w:r>
      <w:r w:rsidRPr="009D7BF4">
        <w:t xml:space="preserve"> A</w:t>
      </w:r>
      <w:r w:rsidRPr="00A22041">
        <w:t xml:space="preserve">ustralian Commission on Safety and Quality in Health Care (ACSQHC), </w:t>
      </w:r>
      <w:hyperlink r:id="rId74" w:history="1">
        <w:r w:rsidRPr="00A22041">
          <w:rPr>
            <w:rStyle w:val="Hyperlink"/>
            <w:i/>
            <w:iCs/>
          </w:rPr>
          <w:t>User Guide for Reviewi</w:t>
        </w:r>
        <w:bookmarkStart w:id="147" w:name="_Hlt150954483"/>
        <w:bookmarkStart w:id="148" w:name="_Hlt150954484"/>
        <w:r w:rsidRPr="00A22041">
          <w:rPr>
            <w:rStyle w:val="Hyperlink"/>
            <w:i/>
            <w:iCs/>
          </w:rPr>
          <w:t>n</w:t>
        </w:r>
        <w:bookmarkEnd w:id="147"/>
        <w:bookmarkEnd w:id="148"/>
        <w:r w:rsidRPr="00A22041">
          <w:rPr>
            <w:rStyle w:val="Hyperlink"/>
            <w:i/>
            <w:iCs/>
          </w:rPr>
          <w:t xml:space="preserve">g Clinical </w:t>
        </w:r>
        <w:r w:rsidR="00147B96">
          <w:rPr>
            <w:rStyle w:val="Hyperlink"/>
            <w:i/>
            <w:iCs/>
          </w:rPr>
          <w:t>Vari</w:t>
        </w:r>
        <w:r w:rsidRPr="00A22041">
          <w:rPr>
            <w:rStyle w:val="Hyperlink"/>
            <w:i/>
            <w:iCs/>
          </w:rPr>
          <w:t>ation</w:t>
        </w:r>
      </w:hyperlink>
      <w:r w:rsidRPr="00A22041">
        <w:rPr>
          <w:i/>
          <w:iCs/>
        </w:rPr>
        <w:t xml:space="preserve">, </w:t>
      </w:r>
      <w:r w:rsidRPr="00A22041">
        <w:t xml:space="preserve">ACSQHC website, 2023, </w:t>
      </w:r>
      <w:r>
        <w:t xml:space="preserve">accessed </w:t>
      </w:r>
      <w:r w:rsidR="00056BBA">
        <w:t>21 November 2023.</w:t>
      </w:r>
    </w:p>
  </w:endnote>
  <w:endnote w:id="134">
    <w:p w14:paraId="4380703E" w14:textId="4A2E8D94" w:rsidR="00A60BCB" w:rsidRDefault="00A60BCB" w:rsidP="00BB3490">
      <w:pPr>
        <w:pStyle w:val="EndnoteText"/>
      </w:pPr>
      <w:r w:rsidRPr="00D52FE2">
        <w:rPr>
          <w:rStyle w:val="EndnoteReference"/>
        </w:rPr>
        <w:endnoteRef/>
      </w:r>
      <w:r>
        <w:t xml:space="preserve"> Royal Australian College of Physicians (RACP), </w:t>
      </w:r>
      <w:hyperlink r:id="rId75" w:history="1">
        <w:r w:rsidRPr="00D52FE2">
          <w:rPr>
            <w:rStyle w:val="Hyperlink"/>
            <w:i/>
          </w:rPr>
          <w:t>Ev</w:t>
        </w:r>
        <w:bookmarkStart w:id="149" w:name="_Hlt150954550"/>
        <w:bookmarkStart w:id="150" w:name="_Hlt150954551"/>
        <w:r w:rsidRPr="00D52FE2">
          <w:rPr>
            <w:rStyle w:val="Hyperlink"/>
            <w:i/>
          </w:rPr>
          <w:t>o</w:t>
        </w:r>
        <w:bookmarkEnd w:id="149"/>
        <w:bookmarkEnd w:id="150"/>
        <w:r w:rsidRPr="00D52FE2">
          <w:rPr>
            <w:rStyle w:val="Hyperlink"/>
            <w:i/>
          </w:rPr>
          <w:t>lve</w:t>
        </w:r>
      </w:hyperlink>
      <w:r w:rsidRPr="00D52FE2">
        <w:rPr>
          <w:i/>
        </w:rPr>
        <w:t>,</w:t>
      </w:r>
      <w:r>
        <w:t xml:space="preserve"> </w:t>
      </w:r>
      <w:r w:rsidR="00A3306C">
        <w:t>RACP website</w:t>
      </w:r>
      <w:r w:rsidRPr="00D52FE2">
        <w:t xml:space="preserve">, </w:t>
      </w:r>
      <w:r w:rsidRPr="009F1537">
        <w:t>n.d.,</w:t>
      </w:r>
      <w:r w:rsidRPr="00D52FE2">
        <w:t xml:space="preserve"> </w:t>
      </w:r>
      <w:r>
        <w:t xml:space="preserve">accessed </w:t>
      </w:r>
      <w:r w:rsidR="00056BBA">
        <w:t>21 November 2023.</w:t>
      </w:r>
    </w:p>
  </w:endnote>
  <w:endnote w:id="135">
    <w:p w14:paraId="315EC035" w14:textId="4B93D9EE" w:rsidR="00A60BCB" w:rsidRDefault="00A60BCB" w:rsidP="00BB3490">
      <w:pPr>
        <w:pStyle w:val="EndnoteText"/>
      </w:pPr>
      <w:r w:rsidRPr="00EE695E">
        <w:rPr>
          <w:rStyle w:val="EndnoteReference"/>
        </w:rPr>
        <w:endnoteRef/>
      </w:r>
      <w:r w:rsidRPr="00EE695E">
        <w:t xml:space="preserve"> Royal Australian College of General Practitioners (RACGP), </w:t>
      </w:r>
      <w:hyperlink r:id="rId76" w:history="1">
        <w:r w:rsidRPr="00EE695E">
          <w:rPr>
            <w:rStyle w:val="Hyperlink"/>
            <w:i/>
            <w:iCs/>
          </w:rPr>
          <w:t>First Do No Harm</w:t>
        </w:r>
      </w:hyperlink>
      <w:r w:rsidRPr="00EE695E">
        <w:t xml:space="preserve">, </w:t>
      </w:r>
      <w:r w:rsidR="000E5761">
        <w:t>RACGP website</w:t>
      </w:r>
      <w:r w:rsidRPr="00EE695E">
        <w:t xml:space="preserve">, 2022, </w:t>
      </w:r>
      <w:r>
        <w:t xml:space="preserve">accessed </w:t>
      </w:r>
      <w:r w:rsidR="00056BBA">
        <w:t>21 November 2023</w:t>
      </w:r>
      <w:r>
        <w:t>.</w:t>
      </w:r>
    </w:p>
  </w:endnote>
  <w:endnote w:id="136">
    <w:p w14:paraId="1B008840" w14:textId="504AABAE" w:rsidR="00A60BCB" w:rsidRPr="00A22041" w:rsidRDefault="00A60BCB" w:rsidP="00BB3490">
      <w:pPr>
        <w:pStyle w:val="EndnoteText"/>
      </w:pPr>
      <w:r w:rsidRPr="00A22041">
        <w:rPr>
          <w:rStyle w:val="EndnoteReference"/>
        </w:rPr>
        <w:endnoteRef/>
      </w:r>
      <w:r w:rsidRPr="00A22041">
        <w:t xml:space="preserve"> </w:t>
      </w:r>
      <w:r w:rsidRPr="00784A45">
        <w:t>NSW</w:t>
      </w:r>
      <w:r w:rsidRPr="00A22041">
        <w:t xml:space="preserve"> Agency for Clinical Innovation</w:t>
      </w:r>
      <w:r>
        <w:t xml:space="preserve"> (ACI)</w:t>
      </w:r>
      <w:r w:rsidRPr="00A22041">
        <w:t xml:space="preserve">, </w:t>
      </w:r>
      <w:hyperlink r:id="rId77" w:history="1">
        <w:r w:rsidR="00371CE6">
          <w:rPr>
            <w:rStyle w:val="Hyperlink"/>
            <w:i/>
          </w:rPr>
          <w:t>Understanding the process to develop a Model of Care: An ACI Framework</w:t>
        </w:r>
        <w:r w:rsidR="00371CE6" w:rsidRPr="00F817CA">
          <w:rPr>
            <w:rStyle w:val="Hyperlink"/>
            <w:iCs/>
          </w:rPr>
          <w:t xml:space="preserve"> [PDF 1086KB]</w:t>
        </w:r>
      </w:hyperlink>
      <w:r w:rsidR="00C97766">
        <w:t>,</w:t>
      </w:r>
      <w:r w:rsidRPr="00A22041">
        <w:t xml:space="preserve"> ACI, NSW Government, </w:t>
      </w:r>
      <w:r w:rsidRPr="003C107E">
        <w:t>2013.</w:t>
      </w:r>
    </w:p>
  </w:endnote>
  <w:endnote w:id="137">
    <w:p w14:paraId="7E77AE4D" w14:textId="77777777" w:rsidR="00A60BCB" w:rsidRPr="00A22041" w:rsidRDefault="00A60BCB" w:rsidP="00BB3490">
      <w:pPr>
        <w:pStyle w:val="EndnoteText"/>
      </w:pPr>
      <w:r w:rsidRPr="00A22041">
        <w:rPr>
          <w:rStyle w:val="EndnoteReference"/>
        </w:rPr>
        <w:endnoteRef/>
      </w:r>
      <w:r w:rsidRPr="00A22041">
        <w:t xml:space="preserve"> NF Davis, S McGrath, M Quinlan, G Jack, N Lawrentshuk and DM Bolton, ‘Carbon footprint in flexible ureteroscopy: a comparative study on the environmental impact of reusable and single-use ureteroscopes’, </w:t>
      </w:r>
      <w:r w:rsidRPr="00A22041">
        <w:rPr>
          <w:i/>
        </w:rPr>
        <w:t xml:space="preserve">Journal of Endourology, </w:t>
      </w:r>
      <w:r w:rsidRPr="00A22041">
        <w:t>2018, 32(3):214-217, doi:</w:t>
      </w:r>
      <w:r w:rsidRPr="00A00470">
        <w:t>10.1089/end.2018.0001</w:t>
      </w:r>
      <w:r w:rsidRPr="00CD5288">
        <w:rPr>
          <w:rStyle w:val="Hyperlink"/>
          <w:color w:val="auto"/>
          <w:u w:val="none"/>
        </w:rPr>
        <w:t>.</w:t>
      </w:r>
    </w:p>
  </w:endnote>
  <w:endnote w:id="138">
    <w:p w14:paraId="5066C2DF" w14:textId="5921B58C" w:rsidR="00A60BCB" w:rsidRPr="00A22041" w:rsidRDefault="00A60BCB" w:rsidP="00BB3490">
      <w:pPr>
        <w:pStyle w:val="EndnoteText"/>
      </w:pPr>
      <w:r w:rsidRPr="00A22041">
        <w:rPr>
          <w:rStyle w:val="EndnoteReference"/>
        </w:rPr>
        <w:endnoteRef/>
      </w:r>
      <w:r w:rsidRPr="00A22041">
        <w:t xml:space="preserve"> F McGain, S McAlister, A McGavin and D Story</w:t>
      </w:r>
      <w:r w:rsidR="007833B0">
        <w:t>,</w:t>
      </w:r>
      <w:r w:rsidR="007833B0" w:rsidRPr="00A22041">
        <w:t xml:space="preserve"> </w:t>
      </w:r>
      <w:r w:rsidRPr="00A22041">
        <w:t xml:space="preserve">‘A life cycle assessment of reusable and single-use central venous catheter insertion kits’, </w:t>
      </w:r>
      <w:r w:rsidRPr="00A22041">
        <w:rPr>
          <w:i/>
        </w:rPr>
        <w:t>Anesthesia and Analgesia</w:t>
      </w:r>
      <w:r w:rsidRPr="00A22041">
        <w:t xml:space="preserve">, 2012, 114(5):1073-1080, doi:10.1213/ANE.0b013e31824e9b69. </w:t>
      </w:r>
    </w:p>
  </w:endnote>
  <w:endnote w:id="139">
    <w:p w14:paraId="114ECB71" w14:textId="735B7A0D" w:rsidR="00A60BCB" w:rsidRPr="00A22041" w:rsidRDefault="00A60BCB" w:rsidP="00BB3490">
      <w:pPr>
        <w:pStyle w:val="EndnoteText"/>
      </w:pPr>
      <w:r w:rsidRPr="00526233">
        <w:rPr>
          <w:rStyle w:val="EndnoteReference"/>
        </w:rPr>
        <w:endnoteRef/>
      </w:r>
      <w:r w:rsidRPr="00A22041">
        <w:t xml:space="preserve"> F McGain, D Story, T Lim</w:t>
      </w:r>
      <w:r w:rsidR="005B39B2">
        <w:t xml:space="preserve"> and</w:t>
      </w:r>
      <w:r w:rsidRPr="00A22041">
        <w:t xml:space="preserve"> S McAlister, ‘Financial and environmental costs of reusable and single-use anaesthetic equipment’, </w:t>
      </w:r>
      <w:r w:rsidRPr="00A22041">
        <w:rPr>
          <w:i/>
        </w:rPr>
        <w:t>British Journal of Anaesthesia</w:t>
      </w:r>
      <w:r w:rsidRPr="00A22041">
        <w:t>, 2017, 118(6):862-869, doi:</w:t>
      </w:r>
      <w:r w:rsidRPr="00A00470">
        <w:t>10.1093/bja/aex098</w:t>
      </w:r>
      <w:r w:rsidRPr="00A22041">
        <w:t>.</w:t>
      </w:r>
    </w:p>
  </w:endnote>
  <w:endnote w:id="140">
    <w:p w14:paraId="16DF6D25" w14:textId="17663318" w:rsidR="00A60BCB" w:rsidRPr="00A22041" w:rsidRDefault="00A60BCB" w:rsidP="00BB3490">
      <w:pPr>
        <w:pStyle w:val="EndnoteText"/>
      </w:pPr>
      <w:r w:rsidRPr="00A22041">
        <w:rPr>
          <w:rStyle w:val="EndnoteReference"/>
        </w:rPr>
        <w:endnoteRef/>
      </w:r>
      <w:r w:rsidRPr="00A22041">
        <w:t xml:space="preserve"> AE Lim, A Perkins</w:t>
      </w:r>
      <w:r w:rsidR="002C3355">
        <w:t xml:space="preserve"> and</w:t>
      </w:r>
      <w:r w:rsidRPr="00A22041">
        <w:t xml:space="preserve"> JWM Agar, ‘The carbon footprint of an Australian satellite haemodialysis unit’, </w:t>
      </w:r>
      <w:r w:rsidRPr="00A22041">
        <w:rPr>
          <w:i/>
        </w:rPr>
        <w:t>Australian Health Review</w:t>
      </w:r>
      <w:r w:rsidRPr="00A22041">
        <w:t>, 2013, 37(3):369-374, doi:10.1071/AH13022</w:t>
      </w:r>
      <w:r w:rsidR="007B69B0">
        <w:t xml:space="preserve">. </w:t>
      </w:r>
    </w:p>
  </w:endnote>
  <w:endnote w:id="141">
    <w:p w14:paraId="146AD5AC" w14:textId="77777777" w:rsidR="00A60BCB" w:rsidRPr="00A22041" w:rsidRDefault="00A60BCB" w:rsidP="00BB3490">
      <w:pPr>
        <w:pStyle w:val="EndnoteText"/>
      </w:pPr>
      <w:r w:rsidRPr="00A22041">
        <w:rPr>
          <w:rStyle w:val="EndnoteReference"/>
        </w:rPr>
        <w:endnoteRef/>
      </w:r>
      <w:r w:rsidRPr="00A22041">
        <w:t xml:space="preserve"> E Tan and D Lim, ‘Carbon footprint of dermatologic surgery’, </w:t>
      </w:r>
      <w:r w:rsidRPr="00A22041">
        <w:rPr>
          <w:i/>
        </w:rPr>
        <w:t>The Australian Journal of Dermatology</w:t>
      </w:r>
      <w:r w:rsidRPr="00A22041">
        <w:t>, 2020, 62(2):E170-E177, doi:10.1111/ajd.13522.</w:t>
      </w:r>
    </w:p>
  </w:endnote>
  <w:endnote w:id="142">
    <w:p w14:paraId="6193E7EC" w14:textId="7CD9EADC" w:rsidR="00A60BCB" w:rsidRPr="00A22041" w:rsidRDefault="00A60BCB" w:rsidP="00BB3490">
      <w:pPr>
        <w:pStyle w:val="EndnoteText"/>
      </w:pPr>
      <w:r w:rsidRPr="00A22041">
        <w:rPr>
          <w:rStyle w:val="EndnoteReference"/>
        </w:rPr>
        <w:endnoteRef/>
      </w:r>
      <w:r w:rsidRPr="00A22041">
        <w:t xml:space="preserve"> F McGain, N Sheridan, K Wickramarachchi, S Yates, B Chan and S McAlister, ‘Carbon footprint of general, regional, and combined anesthesia for total knee replacements’</w:t>
      </w:r>
      <w:r w:rsidR="001C5AFC">
        <w:t>,</w:t>
      </w:r>
      <w:r w:rsidRPr="00A22041">
        <w:t xml:space="preserve"> </w:t>
      </w:r>
      <w:r w:rsidRPr="00A22041">
        <w:rPr>
          <w:i/>
        </w:rPr>
        <w:t>Anesthesiology</w:t>
      </w:r>
      <w:r w:rsidRPr="00A22041">
        <w:t xml:space="preserve">, 2021, </w:t>
      </w:r>
      <w:r w:rsidRPr="004C58AC">
        <w:t>135</w:t>
      </w:r>
      <w:r w:rsidR="004C58AC" w:rsidRPr="004C58AC">
        <w:t>:</w:t>
      </w:r>
      <w:r w:rsidRPr="004C58AC">
        <w:t>976-991,</w:t>
      </w:r>
      <w:r w:rsidRPr="00A22041">
        <w:t xml:space="preserve"> doi:</w:t>
      </w:r>
      <w:r w:rsidRPr="00A00470">
        <w:t>10.1097/ALN.0000000000003967</w:t>
      </w:r>
      <w:r w:rsidRPr="00A22041">
        <w:t>.</w:t>
      </w:r>
    </w:p>
  </w:endnote>
  <w:endnote w:id="143">
    <w:p w14:paraId="01CC01F0" w14:textId="45AD12A8" w:rsidR="00A60BCB" w:rsidRDefault="00A60BCB" w:rsidP="00BB3490">
      <w:pPr>
        <w:pStyle w:val="EndnoteText"/>
      </w:pPr>
      <w:r w:rsidRPr="00232B68">
        <w:rPr>
          <w:rStyle w:val="EndnoteReference"/>
        </w:rPr>
        <w:endnoteRef/>
      </w:r>
      <w:r w:rsidRPr="00232B68">
        <w:t xml:space="preserve"> Australian College of Nursing </w:t>
      </w:r>
      <w:r w:rsidRPr="00E128B1">
        <w:t>(</w:t>
      </w:r>
      <w:r w:rsidR="00E128B1">
        <w:t>ACN</w:t>
      </w:r>
      <w:r w:rsidRPr="00E128B1">
        <w:t>)</w:t>
      </w:r>
      <w:r w:rsidRPr="00232B68">
        <w:t xml:space="preserve">, </w:t>
      </w:r>
      <w:hyperlink r:id="rId78" w:history="1">
        <w:r w:rsidR="00A87608">
          <w:rPr>
            <w:rStyle w:val="Hyperlink"/>
            <w:i/>
            <w:iCs/>
          </w:rPr>
          <w:t>Nursing Leadership in Emissions Reduction: Guiding Principles</w:t>
        </w:r>
      </w:hyperlink>
      <w:r w:rsidRPr="00232B68">
        <w:t xml:space="preserve">, ACN, 2021. </w:t>
      </w:r>
    </w:p>
  </w:endnote>
  <w:endnote w:id="144">
    <w:p w14:paraId="0A73014C" w14:textId="5104734A" w:rsidR="00A60BCB" w:rsidRPr="00A22041" w:rsidRDefault="00A60BCB" w:rsidP="00BB3490">
      <w:pPr>
        <w:pStyle w:val="EndnoteText"/>
      </w:pPr>
      <w:r w:rsidRPr="00A22041">
        <w:rPr>
          <w:rStyle w:val="EndnoteReference"/>
        </w:rPr>
        <w:endnoteRef/>
      </w:r>
      <w:r w:rsidRPr="00A22041">
        <w:t xml:space="preserve"> Australian and New Zealand Society of Nephrology (ANZSN), </w:t>
      </w:r>
      <w:hyperlink r:id="rId79" w:anchor="guidelines" w:history="1">
        <w:r w:rsidRPr="00A22041">
          <w:rPr>
            <w:rStyle w:val="Hyperlink"/>
            <w:i/>
          </w:rPr>
          <w:t>Environmentally Sustainable Design (ESD) Guidelines for Kidney Care Fa</w:t>
        </w:r>
        <w:bookmarkStart w:id="158" w:name="_Hlt148532339"/>
        <w:bookmarkStart w:id="159" w:name="_Hlt148532340"/>
        <w:r w:rsidRPr="00A22041">
          <w:rPr>
            <w:rStyle w:val="Hyperlink"/>
            <w:i/>
          </w:rPr>
          <w:t>c</w:t>
        </w:r>
        <w:bookmarkEnd w:id="158"/>
        <w:bookmarkEnd w:id="159"/>
        <w:r w:rsidRPr="00A22041">
          <w:rPr>
            <w:rStyle w:val="Hyperlink"/>
            <w:i/>
          </w:rPr>
          <w:t>ilities</w:t>
        </w:r>
      </w:hyperlink>
      <w:r w:rsidRPr="00A22041">
        <w:rPr>
          <w:i/>
        </w:rPr>
        <w:t>,</w:t>
      </w:r>
      <w:r w:rsidRPr="00A22041">
        <w:t xml:space="preserve"> ANZSN, 2022. </w:t>
      </w:r>
    </w:p>
  </w:endnote>
  <w:endnote w:id="145">
    <w:p w14:paraId="7905816C" w14:textId="588AD4DE" w:rsidR="00A60BCB" w:rsidRDefault="00A60BCB" w:rsidP="00BB3490">
      <w:pPr>
        <w:pStyle w:val="EndnoteText"/>
      </w:pPr>
      <w:r w:rsidRPr="00B746C6">
        <w:rPr>
          <w:rStyle w:val="EndnoteReference"/>
        </w:rPr>
        <w:endnoteRef/>
      </w:r>
      <w:r w:rsidRPr="00B746C6">
        <w:t xml:space="preserve"> </w:t>
      </w:r>
      <w:r>
        <w:t xml:space="preserve">Optometry Australia, </w:t>
      </w:r>
      <w:hyperlink r:id="rId80" w:history="1">
        <w:r w:rsidRPr="00B76D4B">
          <w:rPr>
            <w:rStyle w:val="Hyperlink"/>
            <w:i/>
            <w:iCs/>
          </w:rPr>
          <w:t>Have your say about sustainability in optometry</w:t>
        </w:r>
      </w:hyperlink>
      <w:r w:rsidRPr="00B76D4B">
        <w:t>, Optometry Australia</w:t>
      </w:r>
      <w:r w:rsidR="00165B17" w:rsidRPr="00B76D4B">
        <w:t xml:space="preserve"> website</w:t>
      </w:r>
      <w:r w:rsidRPr="00B76D4B">
        <w:t>, 11 October 2022, accessed 7 November 2023.</w:t>
      </w:r>
      <w:r>
        <w:t xml:space="preserve"> </w:t>
      </w:r>
    </w:p>
  </w:endnote>
  <w:endnote w:id="146">
    <w:p w14:paraId="634301A3" w14:textId="726E3D02" w:rsidR="00A60BCB" w:rsidRPr="00A22041" w:rsidRDefault="00A60BCB" w:rsidP="00BB3490">
      <w:pPr>
        <w:pStyle w:val="EndnoteText"/>
      </w:pPr>
      <w:r w:rsidRPr="00A22041">
        <w:rPr>
          <w:rStyle w:val="EndnoteReference"/>
        </w:rPr>
        <w:endnoteRef/>
      </w:r>
      <w:r w:rsidRPr="00A22041">
        <w:t xml:space="preserve"> Royal Australian College of General Practitioners (RACGP), </w:t>
      </w:r>
      <w:hyperlink r:id="rId81" w:history="1">
        <w:r w:rsidR="00956509">
          <w:rPr>
            <w:rStyle w:val="Hyperlink"/>
            <w:i/>
          </w:rPr>
          <w:t>Greening up: Environmental sustainability in general practice</w:t>
        </w:r>
      </w:hyperlink>
      <w:r w:rsidRPr="00A22041">
        <w:t xml:space="preserve">, RACGP, </w:t>
      </w:r>
      <w:r w:rsidR="00956509" w:rsidRPr="00A22041">
        <w:t>20</w:t>
      </w:r>
      <w:r w:rsidR="00956509">
        <w:t>22</w:t>
      </w:r>
      <w:r w:rsidRPr="00A22041">
        <w:t xml:space="preserve">. </w:t>
      </w:r>
    </w:p>
  </w:endnote>
  <w:endnote w:id="147">
    <w:p w14:paraId="1CA2AD0C" w14:textId="121E9887" w:rsidR="00A60BCB" w:rsidRPr="00A22041" w:rsidRDefault="00A60BCB" w:rsidP="00BB3490">
      <w:pPr>
        <w:pStyle w:val="EndnoteText"/>
      </w:pPr>
      <w:r w:rsidRPr="00A22041">
        <w:rPr>
          <w:rStyle w:val="EndnoteReference"/>
        </w:rPr>
        <w:endnoteRef/>
      </w:r>
      <w:r w:rsidRPr="00A22041">
        <w:t xml:space="preserve"> Royal Austral</w:t>
      </w:r>
      <w:r w:rsidR="004B29A5">
        <w:t>as</w:t>
      </w:r>
      <w:r w:rsidRPr="00A22041">
        <w:t xml:space="preserve">ian College of </w:t>
      </w:r>
      <w:r w:rsidR="00F4782F">
        <w:t>Surgeons (RACS),</w:t>
      </w:r>
      <w:r w:rsidR="00005D67">
        <w:t xml:space="preserve"> </w:t>
      </w:r>
      <w:hyperlink r:id="rId82" w:history="1">
        <w:r w:rsidR="00005D67" w:rsidRPr="00CE5777">
          <w:rPr>
            <w:rStyle w:val="Hyperlink"/>
            <w:i/>
            <w:iCs/>
          </w:rPr>
          <w:t xml:space="preserve">RACS Advocacy – Review of </w:t>
        </w:r>
        <w:r w:rsidR="00FC1BD3">
          <w:rPr>
            <w:rStyle w:val="Hyperlink"/>
            <w:i/>
            <w:iCs/>
          </w:rPr>
          <w:t>t</w:t>
        </w:r>
        <w:r w:rsidR="00005D67" w:rsidRPr="00CE5777">
          <w:rPr>
            <w:rStyle w:val="Hyperlink"/>
            <w:i/>
            <w:iCs/>
          </w:rPr>
          <w:t xml:space="preserve">elehealth </w:t>
        </w:r>
        <w:r w:rsidR="00FC1BD3">
          <w:rPr>
            <w:rStyle w:val="Hyperlink"/>
            <w:i/>
            <w:iCs/>
          </w:rPr>
          <w:t>s</w:t>
        </w:r>
        <w:r w:rsidR="00005D67" w:rsidRPr="00CE5777">
          <w:rPr>
            <w:rStyle w:val="Hyperlink"/>
            <w:i/>
            <w:iCs/>
          </w:rPr>
          <w:t>ervices in Australia: A rapid review commissioned by RACS</w:t>
        </w:r>
      </w:hyperlink>
      <w:r w:rsidR="00005D67">
        <w:t xml:space="preserve">, RACS, 2020. </w:t>
      </w:r>
    </w:p>
  </w:endnote>
  <w:endnote w:id="148">
    <w:p w14:paraId="27D56F3E" w14:textId="5C2DDEF8" w:rsidR="00A60BCB" w:rsidRPr="00A22041" w:rsidRDefault="00A60BCB" w:rsidP="00BB3490">
      <w:pPr>
        <w:pStyle w:val="EndnoteText"/>
      </w:pPr>
      <w:r w:rsidRPr="00A22041">
        <w:rPr>
          <w:rStyle w:val="EndnoteReference"/>
        </w:rPr>
        <w:endnoteRef/>
      </w:r>
      <w:r w:rsidRPr="00A22041">
        <w:t xml:space="preserve"> Doctors for the Environment Australia (DEA), </w:t>
      </w:r>
      <w:hyperlink r:id="rId83" w:history="1">
        <w:r w:rsidRPr="00A22041">
          <w:rPr>
            <w:rStyle w:val="Hyperlink"/>
            <w:i/>
            <w:iCs/>
          </w:rPr>
          <w:t>GreenCollege Guidelines: Reducing the Environmental Impact of your Medical College, Speciality, Society, Council, and Association</w:t>
        </w:r>
      </w:hyperlink>
      <w:r w:rsidRPr="00A22041">
        <w:t>, DEA, 2022</w:t>
      </w:r>
      <w:r w:rsidR="00AC130C">
        <w:t>.</w:t>
      </w:r>
    </w:p>
  </w:endnote>
  <w:endnote w:id="149">
    <w:p w14:paraId="421954BF" w14:textId="50F2D8A5" w:rsidR="00A60BCB" w:rsidRDefault="00A60BCB" w:rsidP="00BB3490">
      <w:pPr>
        <w:pStyle w:val="EndnoteText"/>
      </w:pPr>
      <w:r w:rsidRPr="00DB2C4F">
        <w:rPr>
          <w:rStyle w:val="EndnoteReference"/>
        </w:rPr>
        <w:endnoteRef/>
      </w:r>
      <w:r w:rsidRPr="00DB2C4F">
        <w:t xml:space="preserve"> </w:t>
      </w:r>
      <w:r w:rsidR="00DB2C4F">
        <w:t xml:space="preserve">Australian Psychological Society (APS), </w:t>
      </w:r>
      <w:hyperlink r:id="rId84" w:history="1">
        <w:r w:rsidR="00D77DAD" w:rsidRPr="00893864">
          <w:rPr>
            <w:rStyle w:val="Hyperlink"/>
            <w:i/>
            <w:iCs/>
          </w:rPr>
          <w:t>The climate change empo</w:t>
        </w:r>
        <w:bookmarkStart w:id="160" w:name="_Hlt151036660"/>
        <w:bookmarkStart w:id="161" w:name="_Hlt151036661"/>
        <w:r w:rsidR="00D77DAD" w:rsidRPr="00893864">
          <w:rPr>
            <w:rStyle w:val="Hyperlink"/>
            <w:i/>
            <w:iCs/>
          </w:rPr>
          <w:t>w</w:t>
        </w:r>
        <w:bookmarkEnd w:id="160"/>
        <w:bookmarkEnd w:id="161"/>
        <w:r w:rsidR="00D77DAD" w:rsidRPr="00893864">
          <w:rPr>
            <w:rStyle w:val="Hyperlink"/>
            <w:i/>
            <w:iCs/>
          </w:rPr>
          <w:t>erment handbook: Psychological strategies to tackle climate change</w:t>
        </w:r>
      </w:hyperlink>
      <w:r w:rsidR="00D77DAD">
        <w:t xml:space="preserve">, </w:t>
      </w:r>
      <w:r w:rsidR="00650793">
        <w:t xml:space="preserve">APS, 2017. </w:t>
      </w:r>
    </w:p>
  </w:endnote>
  <w:endnote w:id="150">
    <w:p w14:paraId="0C4EDB08" w14:textId="02BB6BBE" w:rsidR="00D87CA6" w:rsidRDefault="00D87CA6" w:rsidP="00BB3490">
      <w:pPr>
        <w:pStyle w:val="EndnoteText"/>
      </w:pPr>
      <w:r w:rsidRPr="003473E9">
        <w:rPr>
          <w:rStyle w:val="EndnoteReference"/>
        </w:rPr>
        <w:endnoteRef/>
      </w:r>
      <w:r w:rsidRPr="003473E9">
        <w:t xml:space="preserve"> </w:t>
      </w:r>
      <w:r w:rsidR="004B47E8" w:rsidRPr="003473E9">
        <w:t xml:space="preserve">A </w:t>
      </w:r>
      <w:r w:rsidR="00E01A7A" w:rsidRPr="003473E9">
        <w:t xml:space="preserve">Malik, M Lenzen, S McAlister and F McGain, ‘The carbon footprint of Australian health care’, </w:t>
      </w:r>
      <w:r w:rsidR="00E01A7A" w:rsidRPr="003473E9">
        <w:rPr>
          <w:i/>
          <w:iCs/>
        </w:rPr>
        <w:t>The Lancet</w:t>
      </w:r>
      <w:r w:rsidR="00E01A7A" w:rsidRPr="003473E9">
        <w:t>, 2018, 2(1):e27-e35, doi:10.1016/S2542-5196(17)30180-8</w:t>
      </w:r>
      <w:r w:rsidR="000E6420" w:rsidRPr="003473E9">
        <w:t>.</w:t>
      </w:r>
    </w:p>
  </w:endnote>
  <w:endnote w:id="151">
    <w:p w14:paraId="4FDB7ABD" w14:textId="4C7B22EE" w:rsidR="00A60BCB" w:rsidRPr="00A22041" w:rsidRDefault="00A60BCB" w:rsidP="00BB3490">
      <w:pPr>
        <w:pStyle w:val="EndnoteText"/>
      </w:pPr>
      <w:r w:rsidRPr="009D7BF4">
        <w:rPr>
          <w:rStyle w:val="EndnoteReference"/>
        </w:rPr>
        <w:endnoteRef/>
      </w:r>
      <w:r w:rsidRPr="00A22041">
        <w:t xml:space="preserve"> Victorian Health Building Authority, </w:t>
      </w:r>
      <w:hyperlink r:id="rId85" w:history="1">
        <w:r w:rsidRPr="00A22041">
          <w:rPr>
            <w:rStyle w:val="Hyperlink"/>
            <w:i/>
            <w:iCs/>
          </w:rPr>
          <w:t>Guidelines for sustainability in health care capital works</w:t>
        </w:r>
      </w:hyperlink>
      <w:r w:rsidRPr="00A22041">
        <w:rPr>
          <w:i/>
          <w:iCs/>
        </w:rPr>
        <w:t xml:space="preserve">, </w:t>
      </w:r>
      <w:r w:rsidRPr="00A22041">
        <w:t xml:space="preserve">Victorian Government, 2021. </w:t>
      </w:r>
    </w:p>
  </w:endnote>
  <w:endnote w:id="152">
    <w:p w14:paraId="7203EBE4" w14:textId="7386446A" w:rsidR="00812EC4" w:rsidRDefault="00812EC4" w:rsidP="00BB3490">
      <w:pPr>
        <w:pStyle w:val="EndnoteText"/>
      </w:pPr>
      <w:r w:rsidRPr="005A09C9">
        <w:rPr>
          <w:rStyle w:val="EndnoteReference"/>
        </w:rPr>
        <w:endnoteRef/>
      </w:r>
      <w:r w:rsidR="005A09C9">
        <w:t xml:space="preserve"> </w:t>
      </w:r>
      <w:r w:rsidR="00431D23">
        <w:t>Victoria</w:t>
      </w:r>
      <w:r w:rsidR="00DE20F1">
        <w:t>n</w:t>
      </w:r>
      <w:r w:rsidR="00431D23">
        <w:t xml:space="preserve"> Health Building Authority, </w:t>
      </w:r>
      <w:hyperlink r:id="rId86" w:history="1">
        <w:r w:rsidR="004B47E8" w:rsidRPr="00CD5288">
          <w:rPr>
            <w:rStyle w:val="Hyperlink"/>
            <w:i/>
          </w:rPr>
          <w:t>New public health infrastructure to be all-electric</w:t>
        </w:r>
      </w:hyperlink>
      <w:r w:rsidR="004B47E8" w:rsidRPr="004B47E8">
        <w:t xml:space="preserve"> [media release], Victoria</w:t>
      </w:r>
      <w:r w:rsidR="008A4369">
        <w:t>n</w:t>
      </w:r>
      <w:r w:rsidR="004B47E8" w:rsidRPr="004B47E8">
        <w:t xml:space="preserve"> Government</w:t>
      </w:r>
      <w:r w:rsidR="004B47E8">
        <w:t>,</w:t>
      </w:r>
      <w:r w:rsidR="00F53D20">
        <w:t xml:space="preserve"> </w:t>
      </w:r>
      <w:r w:rsidR="006A18E0">
        <w:t>7 August 2023</w:t>
      </w:r>
      <w:r w:rsidR="008A4369">
        <w:t>,</w:t>
      </w:r>
      <w:r w:rsidR="00287DA4">
        <w:t xml:space="preserve"> accessed </w:t>
      </w:r>
      <w:r w:rsidR="00BB12F2">
        <w:t>21 November 2023.</w:t>
      </w:r>
    </w:p>
  </w:endnote>
  <w:endnote w:id="153">
    <w:p w14:paraId="58410353" w14:textId="29E50434" w:rsidR="00A60BCB" w:rsidRPr="00A22041" w:rsidRDefault="00A60BCB" w:rsidP="00BB3490">
      <w:pPr>
        <w:pStyle w:val="EndnoteText"/>
      </w:pPr>
      <w:r w:rsidRPr="00A22041">
        <w:rPr>
          <w:rStyle w:val="EndnoteReference"/>
        </w:rPr>
        <w:endnoteRef/>
      </w:r>
      <w:r w:rsidRPr="00A22041">
        <w:t xml:space="preserve"> B Sampath, M Jensen, J Lenoci-Edwards, K Little, H Singh and J Sherman, </w:t>
      </w:r>
      <w:hyperlink r:id="rId87" w:history="1">
        <w:r w:rsidR="007C56C6">
          <w:rPr>
            <w:rStyle w:val="Hyperlink"/>
            <w:i/>
          </w:rPr>
          <w:t>Reducing Healthcare Carbon Emissions: A Primer on Measures and Actions for Healthcare Organizations to Mitigate Climate Change</w:t>
        </w:r>
      </w:hyperlink>
      <w:r w:rsidRPr="00A22041">
        <w:t>, Agency for Healthcare Research and Quality</w:t>
      </w:r>
      <w:r w:rsidR="00DA2C9D">
        <w:t xml:space="preserve"> </w:t>
      </w:r>
      <w:r w:rsidR="00EF6346">
        <w:t>(</w:t>
      </w:r>
      <w:r w:rsidR="00DA2C9D">
        <w:t>AHRQ</w:t>
      </w:r>
      <w:r w:rsidR="00EF6346">
        <w:t>)</w:t>
      </w:r>
      <w:r w:rsidR="00DA2C9D">
        <w:t xml:space="preserve"> Publication No. 22-M011</w:t>
      </w:r>
      <w:r w:rsidRPr="00A22041">
        <w:t xml:space="preserve">, </w:t>
      </w:r>
      <w:r w:rsidR="00EF6346">
        <w:t>AHRQ</w:t>
      </w:r>
      <w:r w:rsidRPr="00A22041">
        <w:t xml:space="preserve">, </w:t>
      </w:r>
      <w:r w:rsidR="00A3206E">
        <w:t xml:space="preserve">United States Government, </w:t>
      </w:r>
      <w:r w:rsidRPr="00A22041">
        <w:t xml:space="preserve">2022. </w:t>
      </w:r>
    </w:p>
  </w:endnote>
  <w:endnote w:id="154">
    <w:p w14:paraId="512978F8" w14:textId="60834911" w:rsidR="00A60BCB" w:rsidRPr="00A22041" w:rsidRDefault="00A60BCB" w:rsidP="00BB3490">
      <w:pPr>
        <w:pStyle w:val="EndnoteText"/>
      </w:pPr>
      <w:r w:rsidRPr="00A22041">
        <w:rPr>
          <w:rStyle w:val="EndnoteReference"/>
        </w:rPr>
        <w:endnoteRef/>
      </w:r>
      <w:r w:rsidRPr="00A22041" w:rsidDel="004F6CF9">
        <w:t xml:space="preserve"> </w:t>
      </w:r>
      <w:r w:rsidR="00E22E20">
        <w:t xml:space="preserve">Estimates based on unpublished data provided by </w:t>
      </w:r>
      <w:r w:rsidRPr="00A22041">
        <w:t>Global Green and Healthy Hospitals</w:t>
      </w:r>
      <w:r w:rsidR="00E22E20">
        <w:t>.</w:t>
      </w:r>
    </w:p>
  </w:endnote>
  <w:endnote w:id="155">
    <w:p w14:paraId="47D6A013" w14:textId="65B28E32" w:rsidR="0024567E" w:rsidRPr="00A22041" w:rsidRDefault="0024567E" w:rsidP="00BB3490">
      <w:pPr>
        <w:pStyle w:val="EndnoteText"/>
      </w:pPr>
      <w:r w:rsidRPr="00C22EA5">
        <w:rPr>
          <w:rStyle w:val="EndnoteReference"/>
        </w:rPr>
        <w:endnoteRef/>
      </w:r>
      <w:r w:rsidRPr="00C22EA5">
        <w:t xml:space="preserve"> </w:t>
      </w:r>
      <w:r w:rsidR="00F50782">
        <w:t xml:space="preserve">Estimates based on </w:t>
      </w:r>
      <w:r w:rsidR="00E52989">
        <w:t>unpublished data provided by NSW Ministry of Health.</w:t>
      </w:r>
    </w:p>
  </w:endnote>
  <w:endnote w:id="156">
    <w:p w14:paraId="3F129890" w14:textId="77777777" w:rsidR="00A60BCB" w:rsidRPr="00A22041" w:rsidRDefault="00A60BCB" w:rsidP="00BB3490">
      <w:pPr>
        <w:pStyle w:val="EndnoteText"/>
      </w:pPr>
      <w:r w:rsidRPr="00A22041">
        <w:rPr>
          <w:rStyle w:val="EndnoteReference"/>
        </w:rPr>
        <w:endnoteRef/>
      </w:r>
      <w:r w:rsidRPr="00A22041">
        <w:t xml:space="preserve"> D Fecht, AL Hansell, D Morley, D Dajnak, D Vienneau, S Beevers, MB Toledano, FJ Kelly, HR Anderson and J Gulliver, ‘Spatial and temporal associations of road traffic noise and air pollution in London: Implications for epidemiological studies’, </w:t>
      </w:r>
      <w:r w:rsidRPr="00A22041">
        <w:rPr>
          <w:i/>
        </w:rPr>
        <w:t>Environment International</w:t>
      </w:r>
      <w:r w:rsidRPr="00A22041">
        <w:t>, 2016, 88:235-242, doi:10.1016/j.envint.2015.12.001.</w:t>
      </w:r>
    </w:p>
  </w:endnote>
  <w:endnote w:id="157">
    <w:p w14:paraId="47739751" w14:textId="5ECAF8F3" w:rsidR="00A60BCB" w:rsidRPr="00A22041" w:rsidRDefault="00A60BCB" w:rsidP="00BB3490">
      <w:pPr>
        <w:pStyle w:val="EndnoteText"/>
      </w:pPr>
      <w:r w:rsidRPr="00A22041">
        <w:rPr>
          <w:rStyle w:val="EndnoteReference"/>
        </w:rPr>
        <w:endnoteRef/>
      </w:r>
      <w:r w:rsidRPr="00A22041">
        <w:t xml:space="preserve"> C Walter and K Say, </w:t>
      </w:r>
      <w:r w:rsidR="00521511">
        <w:t>‘</w:t>
      </w:r>
      <w:hyperlink r:id="rId88" w:history="1">
        <w:r w:rsidR="005259E7">
          <w:rPr>
            <w:rStyle w:val="Hyperlink"/>
          </w:rPr>
          <w:t>Vehicle emissions may cause over 11,000 deaths a year, researchers say</w:t>
        </w:r>
      </w:hyperlink>
      <w:r w:rsidR="00AC3508">
        <w:t>’,</w:t>
      </w:r>
      <w:r w:rsidRPr="00A22041">
        <w:t xml:space="preserve"> </w:t>
      </w:r>
      <w:r w:rsidRPr="00CD5288">
        <w:rPr>
          <w:i/>
        </w:rPr>
        <w:t>University of Melbourne</w:t>
      </w:r>
      <w:r w:rsidR="00521511" w:rsidRPr="00CD5288">
        <w:rPr>
          <w:i/>
        </w:rPr>
        <w:t xml:space="preserve"> newsroom</w:t>
      </w:r>
      <w:r w:rsidRPr="00A22041">
        <w:t xml:space="preserve">, </w:t>
      </w:r>
      <w:r w:rsidR="00521511">
        <w:t>24 February</w:t>
      </w:r>
      <w:r w:rsidRPr="00A22041">
        <w:t xml:space="preserve"> 2023</w:t>
      </w:r>
      <w:r w:rsidR="00521511">
        <w:t xml:space="preserve">, accessed </w:t>
      </w:r>
      <w:r w:rsidR="00BB12F2">
        <w:t>21 November 2023.</w:t>
      </w:r>
    </w:p>
  </w:endnote>
  <w:endnote w:id="158">
    <w:p w14:paraId="3880D172" w14:textId="4453EAB0" w:rsidR="00A60BCB" w:rsidRPr="00A22041" w:rsidRDefault="00A60BCB" w:rsidP="00BB3490">
      <w:pPr>
        <w:pStyle w:val="EndnoteText"/>
      </w:pPr>
      <w:r w:rsidRPr="00A22041">
        <w:rPr>
          <w:rStyle w:val="EndnoteReference"/>
        </w:rPr>
        <w:endnoteRef/>
      </w:r>
      <w:r w:rsidRPr="00A22041">
        <w:t xml:space="preserve"> C Rissel, N Curac, M Greenaway and A Bauman, ‘Physical activity associated with public transport use—a review and modelling of potential benefits’, </w:t>
      </w:r>
      <w:r w:rsidRPr="00A22041">
        <w:rPr>
          <w:i/>
        </w:rPr>
        <w:t>International Journal of Environmental Research and Public Health</w:t>
      </w:r>
      <w:r w:rsidRPr="00A22041">
        <w:t>, 2012, 9(7):2454-2478, doi:10.3390/ijerph9072454.</w:t>
      </w:r>
    </w:p>
  </w:endnote>
  <w:endnote w:id="159">
    <w:p w14:paraId="3297B36A" w14:textId="2BBD6183" w:rsidR="004D6957" w:rsidRDefault="004D6957" w:rsidP="00BB3490">
      <w:pPr>
        <w:pStyle w:val="EndnoteText"/>
      </w:pPr>
      <w:r w:rsidRPr="00342EFB">
        <w:rPr>
          <w:rStyle w:val="EndnoteReference"/>
        </w:rPr>
        <w:endnoteRef/>
      </w:r>
      <w:r w:rsidRPr="00342EFB">
        <w:t xml:space="preserve"> </w:t>
      </w:r>
      <w:r w:rsidR="007631E0">
        <w:t xml:space="preserve">Australian </w:t>
      </w:r>
      <w:r w:rsidR="00456E24">
        <w:t xml:space="preserve">Department of Finance, </w:t>
      </w:r>
      <w:hyperlink r:id="rId89" w:history="1">
        <w:r w:rsidR="00DA53AA" w:rsidRPr="002A4EC2" w:rsidDel="00946BA4">
          <w:rPr>
            <w:rStyle w:val="Hyperlink"/>
            <w:i/>
            <w:iCs/>
          </w:rPr>
          <w:t xml:space="preserve">APS Net Zero Emissions by </w:t>
        </w:r>
        <w:r w:rsidR="00946BA4">
          <w:rPr>
            <w:rStyle w:val="Hyperlink"/>
            <w:i/>
            <w:iCs/>
          </w:rPr>
          <w:t>2030</w:t>
        </w:r>
      </w:hyperlink>
      <w:r w:rsidR="00DA53AA">
        <w:t xml:space="preserve">, </w:t>
      </w:r>
      <w:r w:rsidR="006E4FB5">
        <w:t>Department of Finan</w:t>
      </w:r>
      <w:r w:rsidR="003F0B49">
        <w:t>ce</w:t>
      </w:r>
      <w:r w:rsidR="00B03E12">
        <w:t xml:space="preserve"> website</w:t>
      </w:r>
      <w:r w:rsidR="008237B9">
        <w:t xml:space="preserve">, </w:t>
      </w:r>
      <w:r w:rsidR="006C40A1">
        <w:t>2023</w:t>
      </w:r>
      <w:r w:rsidR="00B03E12">
        <w:t xml:space="preserve">, accessed </w:t>
      </w:r>
      <w:r w:rsidR="00BB12F2">
        <w:t>21 November 2023.</w:t>
      </w:r>
    </w:p>
  </w:endnote>
  <w:endnote w:id="160">
    <w:p w14:paraId="40EFE625" w14:textId="6E1CD177" w:rsidR="00A60BCB" w:rsidRPr="00A22041" w:rsidRDefault="00A60BCB" w:rsidP="00BB3490">
      <w:pPr>
        <w:pStyle w:val="EndnoteText"/>
      </w:pPr>
      <w:r w:rsidRPr="00A22041">
        <w:rPr>
          <w:rStyle w:val="EndnoteReference"/>
        </w:rPr>
        <w:endnoteRef/>
      </w:r>
      <w:r w:rsidRPr="00A22041">
        <w:t xml:space="preserve"> NHS England, </w:t>
      </w:r>
      <w:r w:rsidR="00022413">
        <w:t>‘</w:t>
      </w:r>
      <w:hyperlink r:id="rId90" w:history="1">
        <w:r w:rsidRPr="00CD5288">
          <w:rPr>
            <w:rStyle w:val="Hyperlink"/>
          </w:rPr>
          <w:t>NHS rolls out new electric vehicles to help patients and the planet</w:t>
        </w:r>
      </w:hyperlink>
      <w:r w:rsidR="00221F95">
        <w:t>’,</w:t>
      </w:r>
      <w:r w:rsidRPr="00A22041">
        <w:t xml:space="preserve"> </w:t>
      </w:r>
      <w:r w:rsidRPr="00CD5288">
        <w:rPr>
          <w:i/>
        </w:rPr>
        <w:t xml:space="preserve">NHS England </w:t>
      </w:r>
      <w:r w:rsidR="00022413" w:rsidRPr="00CD5288">
        <w:rPr>
          <w:i/>
          <w:iCs/>
        </w:rPr>
        <w:t>news</w:t>
      </w:r>
      <w:r w:rsidRPr="00A22041">
        <w:t xml:space="preserve">, </w:t>
      </w:r>
      <w:r w:rsidR="00022413">
        <w:t xml:space="preserve">30 August </w:t>
      </w:r>
      <w:r w:rsidRPr="00A22041">
        <w:t>2022, accessed 30 August 2023.</w:t>
      </w:r>
    </w:p>
  </w:endnote>
  <w:endnote w:id="161">
    <w:p w14:paraId="2F873F11" w14:textId="45F927C2" w:rsidR="00775ADA" w:rsidRPr="00A22041" w:rsidRDefault="00775ADA" w:rsidP="00BB3490">
      <w:pPr>
        <w:pStyle w:val="EndnoteText"/>
      </w:pPr>
      <w:r w:rsidRPr="00A22041">
        <w:rPr>
          <w:rStyle w:val="EndnoteReference"/>
        </w:rPr>
        <w:endnoteRef/>
      </w:r>
      <w:r w:rsidRPr="00A22041">
        <w:t xml:space="preserve"> S Smith, JH Jacobsen, D Tivey and W Babidge,</w:t>
      </w:r>
      <w:hyperlink r:id="rId91" w:history="1">
        <w:r w:rsidRPr="00A22041">
          <w:rPr>
            <w:rStyle w:val="Hyperlink"/>
            <w:i/>
          </w:rPr>
          <w:t xml:space="preserve"> RACS Advocacy – Review of </w:t>
        </w:r>
        <w:r w:rsidR="00955788">
          <w:rPr>
            <w:rStyle w:val="Hyperlink"/>
            <w:i/>
          </w:rPr>
          <w:t>t</w:t>
        </w:r>
        <w:r w:rsidRPr="00A22041">
          <w:rPr>
            <w:rStyle w:val="Hyperlink"/>
            <w:i/>
          </w:rPr>
          <w:t xml:space="preserve">elehealth </w:t>
        </w:r>
        <w:r w:rsidR="00955788">
          <w:rPr>
            <w:rStyle w:val="Hyperlink"/>
            <w:i/>
          </w:rPr>
          <w:t>s</w:t>
        </w:r>
        <w:r w:rsidRPr="00A22041">
          <w:rPr>
            <w:rStyle w:val="Hyperlink"/>
            <w:i/>
          </w:rPr>
          <w:t>ervices in Australia</w:t>
        </w:r>
      </w:hyperlink>
      <w:r w:rsidRPr="00A22041">
        <w:t>, Royal Australasian College of Surgeons, 2020.</w:t>
      </w:r>
    </w:p>
  </w:endnote>
  <w:endnote w:id="162">
    <w:p w14:paraId="47DBABA2" w14:textId="6754137F" w:rsidR="00A60BCB" w:rsidRPr="00A22041" w:rsidRDefault="00A60BCB" w:rsidP="00BB3490">
      <w:pPr>
        <w:pStyle w:val="EndnoteText"/>
      </w:pPr>
      <w:r w:rsidRPr="00A22041">
        <w:rPr>
          <w:rStyle w:val="EndnoteReference"/>
        </w:rPr>
        <w:endnoteRef/>
      </w:r>
      <w:r w:rsidRPr="00A22041">
        <w:t xml:space="preserve"> NSW Ambulance, </w:t>
      </w:r>
      <w:r w:rsidR="00F55E13">
        <w:t>‘</w:t>
      </w:r>
      <w:hyperlink r:id="rId92" w:history="1">
        <w:r w:rsidRPr="00CD5288">
          <w:rPr>
            <w:rStyle w:val="Hyperlink"/>
          </w:rPr>
          <w:t>VCCC turns</w:t>
        </w:r>
        <w:bookmarkStart w:id="166" w:name="_Hlt151639458"/>
        <w:bookmarkStart w:id="167" w:name="_Hlt151639459"/>
        <w:r w:rsidRPr="00CD5288">
          <w:rPr>
            <w:rStyle w:val="Hyperlink"/>
          </w:rPr>
          <w:t xml:space="preserve"> </w:t>
        </w:r>
        <w:bookmarkEnd w:id="166"/>
        <w:bookmarkEnd w:id="167"/>
        <w:r w:rsidRPr="00CD5288">
          <w:rPr>
            <w:rStyle w:val="Hyperlink"/>
          </w:rPr>
          <w:t>one</w:t>
        </w:r>
      </w:hyperlink>
      <w:r w:rsidR="0079637F">
        <w:rPr>
          <w:i/>
          <w:iCs/>
        </w:rPr>
        <w:t>’,</w:t>
      </w:r>
      <w:r w:rsidRPr="00A22041">
        <w:rPr>
          <w:i/>
          <w:iCs/>
        </w:rPr>
        <w:t xml:space="preserve"> </w:t>
      </w:r>
      <w:r w:rsidRPr="00CD5288">
        <w:rPr>
          <w:i/>
        </w:rPr>
        <w:t>NSW Ambulance</w:t>
      </w:r>
      <w:r w:rsidRPr="00A22041">
        <w:t xml:space="preserve">, </w:t>
      </w:r>
      <w:r w:rsidR="009B2F5A">
        <w:t xml:space="preserve">7 November </w:t>
      </w:r>
      <w:r w:rsidRPr="00A22041">
        <w:t>2022</w:t>
      </w:r>
      <w:r w:rsidRPr="003825CB">
        <w:t xml:space="preserve">, </w:t>
      </w:r>
      <w:r w:rsidRPr="00A44DB0">
        <w:t>accessed</w:t>
      </w:r>
      <w:r>
        <w:t xml:space="preserve"> </w:t>
      </w:r>
      <w:r w:rsidR="00A44DB0">
        <w:t>21 November 2023.</w:t>
      </w:r>
    </w:p>
  </w:endnote>
  <w:endnote w:id="163">
    <w:p w14:paraId="51545379" w14:textId="0268F5CC" w:rsidR="00A60BCB" w:rsidRPr="00A22041" w:rsidRDefault="00A60BCB" w:rsidP="00BB3490">
      <w:pPr>
        <w:pStyle w:val="EndnoteText"/>
      </w:pPr>
      <w:r w:rsidRPr="00A22041">
        <w:rPr>
          <w:rStyle w:val="EndnoteReference"/>
        </w:rPr>
        <w:endnoteRef/>
      </w:r>
      <w:r w:rsidRPr="00A22041">
        <w:t xml:space="preserve"> NHS England, </w:t>
      </w:r>
      <w:hyperlink r:id="rId93" w:history="1">
        <w:r w:rsidRPr="00A22041">
          <w:rPr>
            <w:rStyle w:val="Hyperlink"/>
            <w:i/>
          </w:rPr>
          <w:t>Drone deliveries of vital chemotherapy to the Isle of Wight</w:t>
        </w:r>
      </w:hyperlink>
      <w:r w:rsidRPr="00A22041">
        <w:t xml:space="preserve">, NHS England </w:t>
      </w:r>
      <w:r w:rsidR="00B03E12">
        <w:t>w</w:t>
      </w:r>
      <w:r w:rsidRPr="00A22041">
        <w:t xml:space="preserve">ebsite, 2022, accessed 30 August 2023. </w:t>
      </w:r>
    </w:p>
  </w:endnote>
  <w:endnote w:id="164">
    <w:p w14:paraId="2B1318D5" w14:textId="741D5F19" w:rsidR="00A60BCB" w:rsidRPr="00A22041" w:rsidRDefault="00A60BCB" w:rsidP="00BB3490">
      <w:pPr>
        <w:pStyle w:val="EndnoteText"/>
      </w:pPr>
      <w:r w:rsidRPr="00A22041">
        <w:rPr>
          <w:rStyle w:val="EndnoteReference"/>
        </w:rPr>
        <w:endnoteRef/>
      </w:r>
      <w:r w:rsidRPr="00A22041">
        <w:t xml:space="preserve"> OT Mytton, J Panter</w:t>
      </w:r>
      <w:r w:rsidR="002C3355">
        <w:t xml:space="preserve"> and</w:t>
      </w:r>
      <w:r w:rsidRPr="00A22041">
        <w:t xml:space="preserve"> D Ogilvie, ‘Longitudinal associations of active commuting with wellbeing and sickness absence’, </w:t>
      </w:r>
      <w:r w:rsidRPr="00A22041">
        <w:rPr>
          <w:i/>
        </w:rPr>
        <w:t>Preventive Medicine</w:t>
      </w:r>
      <w:r w:rsidRPr="00A22041">
        <w:t xml:space="preserve">, 2016, </w:t>
      </w:r>
      <w:r w:rsidRPr="0063254C">
        <w:t>84</w:t>
      </w:r>
      <w:r w:rsidR="0063254C" w:rsidRPr="0063254C">
        <w:t>:</w:t>
      </w:r>
      <w:r w:rsidRPr="0063254C">
        <w:t>19-26,</w:t>
      </w:r>
      <w:r w:rsidRPr="00A22041">
        <w:t xml:space="preserve"> doi:10.1016/j.ypmed.2015.12.010.</w:t>
      </w:r>
    </w:p>
  </w:endnote>
  <w:endnote w:id="165">
    <w:p w14:paraId="16AC6EFC" w14:textId="1B34EFE0" w:rsidR="00A60BCB" w:rsidRPr="00A22041" w:rsidRDefault="00A60BCB" w:rsidP="00BB3490">
      <w:pPr>
        <w:pStyle w:val="EndnoteText"/>
      </w:pPr>
      <w:r w:rsidRPr="00A22041">
        <w:rPr>
          <w:rStyle w:val="EndnoteReference"/>
        </w:rPr>
        <w:endnoteRef/>
      </w:r>
      <w:r w:rsidRPr="00A22041">
        <w:t xml:space="preserve"> Australian Bureau of Statistics (ABS), </w:t>
      </w:r>
      <w:hyperlink r:id="rId94" w:history="1">
        <w:r w:rsidR="00B81177" w:rsidRPr="004226D6">
          <w:rPr>
            <w:rStyle w:val="Hyperlink"/>
            <w:i/>
          </w:rPr>
          <w:t xml:space="preserve">2021 </w:t>
        </w:r>
        <w:r w:rsidRPr="004226D6">
          <w:rPr>
            <w:rStyle w:val="Hyperlink"/>
            <w:i/>
          </w:rPr>
          <w:t>Census</w:t>
        </w:r>
        <w:r w:rsidR="001A36CA" w:rsidRPr="004226D6">
          <w:rPr>
            <w:rStyle w:val="Hyperlink"/>
            <w:i/>
          </w:rPr>
          <w:t xml:space="preserve"> </w:t>
        </w:r>
        <w:r w:rsidR="006F2D6F">
          <w:rPr>
            <w:rStyle w:val="Hyperlink"/>
            <w:i/>
          </w:rPr>
          <w:t>–</w:t>
        </w:r>
        <w:r w:rsidR="00B81177" w:rsidRPr="004226D6">
          <w:rPr>
            <w:rStyle w:val="Hyperlink"/>
            <w:i/>
          </w:rPr>
          <w:t xml:space="preserve"> Transpor</w:t>
        </w:r>
        <w:r w:rsidR="004226D6" w:rsidRPr="004226D6">
          <w:rPr>
            <w:rStyle w:val="Hyperlink"/>
            <w:i/>
          </w:rPr>
          <w:t>t</w:t>
        </w:r>
      </w:hyperlink>
      <w:r w:rsidR="00013A98">
        <w:rPr>
          <w:i/>
        </w:rPr>
        <w:t xml:space="preserve"> </w:t>
      </w:r>
      <w:r w:rsidR="004226D6">
        <w:rPr>
          <w:iCs/>
        </w:rPr>
        <w:t>[data set],</w:t>
      </w:r>
      <w:r w:rsidRPr="00A22041">
        <w:rPr>
          <w:i/>
        </w:rPr>
        <w:t xml:space="preserve"> </w:t>
      </w:r>
      <w:r w:rsidRPr="00A22041">
        <w:t>ABS website, 2021, accessed 5 September 2023.</w:t>
      </w:r>
      <w:r w:rsidR="001865F7">
        <w:t xml:space="preserve"> </w:t>
      </w:r>
    </w:p>
  </w:endnote>
  <w:endnote w:id="166">
    <w:p w14:paraId="702A7796" w14:textId="7E2FF585" w:rsidR="00A60BCB" w:rsidRPr="00A22041" w:rsidRDefault="00A60BCB" w:rsidP="00BB3490">
      <w:pPr>
        <w:pStyle w:val="EndnoteText"/>
      </w:pPr>
      <w:r w:rsidRPr="00A22041">
        <w:rPr>
          <w:rStyle w:val="EndnoteReference"/>
        </w:rPr>
        <w:endnoteRef/>
      </w:r>
      <w:r w:rsidRPr="00A22041">
        <w:t xml:space="preserve"> </w:t>
      </w:r>
      <w:r w:rsidR="003E04B4">
        <w:t xml:space="preserve">Australian </w:t>
      </w:r>
      <w:r w:rsidRPr="00A22041">
        <w:t xml:space="preserve">Department of Climate Change, Energy, the Environment and Water (DCCEEW), </w:t>
      </w:r>
      <w:hyperlink r:id="rId95" w:history="1">
        <w:r w:rsidRPr="00277F32">
          <w:rPr>
            <w:rStyle w:val="Hyperlink"/>
            <w:i/>
          </w:rPr>
          <w:t>The National Electric Vehicle Strategy</w:t>
        </w:r>
      </w:hyperlink>
      <w:r w:rsidRPr="00A22041">
        <w:t>, DCCEEW, Australian Government, 2023.</w:t>
      </w:r>
    </w:p>
  </w:endnote>
  <w:endnote w:id="167">
    <w:p w14:paraId="283A9E9E" w14:textId="44C49A87" w:rsidR="00A60BCB" w:rsidRPr="00A22041" w:rsidRDefault="00A60BCB" w:rsidP="00BB3490">
      <w:pPr>
        <w:pStyle w:val="EndnoteText"/>
      </w:pPr>
      <w:r w:rsidRPr="00A22041">
        <w:rPr>
          <w:rStyle w:val="EndnoteReference"/>
        </w:rPr>
        <w:endnoteRef/>
      </w:r>
      <w:r w:rsidRPr="00A22041">
        <w:t xml:space="preserve"> S Ryan and C Nielsen, ‘Global Warming Potential of Inhaled Anaesthetics: Application to Clinical Use’, </w:t>
      </w:r>
      <w:r w:rsidRPr="00A22041">
        <w:rPr>
          <w:i/>
        </w:rPr>
        <w:t>Anaesthesia &amp; Analgesia</w:t>
      </w:r>
      <w:r w:rsidRPr="00A22041">
        <w:t>, 2010, 111(1):92</w:t>
      </w:r>
      <w:r w:rsidR="00D14E4E">
        <w:t>-</w:t>
      </w:r>
      <w:r w:rsidR="003570BD">
        <w:t>9</w:t>
      </w:r>
      <w:r w:rsidR="00D14E4E">
        <w:t>8</w:t>
      </w:r>
      <w:r w:rsidRPr="00A22041">
        <w:t>, doi:10.1213/ANE.0b013e3181e058d7.</w:t>
      </w:r>
    </w:p>
  </w:endnote>
  <w:endnote w:id="168">
    <w:p w14:paraId="6BE3E73E" w14:textId="77777777" w:rsidR="00A60BCB" w:rsidRPr="00A22041" w:rsidRDefault="00A60BCB" w:rsidP="00BB3490">
      <w:pPr>
        <w:pStyle w:val="EndnoteText"/>
      </w:pPr>
      <w:r w:rsidRPr="00A22041">
        <w:rPr>
          <w:rStyle w:val="EndnoteReference"/>
        </w:rPr>
        <w:endnoteRef/>
      </w:r>
      <w:r w:rsidRPr="00A22041">
        <w:t xml:space="preserve"> B Montgomery and J Blakey, ‘Respiratory inhalers and the environment’</w:t>
      </w:r>
      <w:r w:rsidRPr="00A22041">
        <w:rPr>
          <w:i/>
        </w:rPr>
        <w:t>, Australian Journal of General Practice</w:t>
      </w:r>
      <w:r w:rsidRPr="00A22041">
        <w:t>, 2022, 51(12):929-934, doi:10.31128/AJGP-08-22-6536.</w:t>
      </w:r>
    </w:p>
  </w:endnote>
  <w:endnote w:id="169">
    <w:p w14:paraId="28E683A4" w14:textId="7AD19B71" w:rsidR="00F07AA2" w:rsidRPr="000328CD" w:rsidRDefault="00F07AA2" w:rsidP="00BB3490">
      <w:pPr>
        <w:pStyle w:val="EndnoteText"/>
        <w:rPr>
          <w:color w:val="034A90" w:themeColor="hyperlink"/>
          <w:u w:val="single"/>
        </w:rPr>
      </w:pPr>
      <w:r w:rsidRPr="000328CD">
        <w:rPr>
          <w:rStyle w:val="EndnoteReference"/>
        </w:rPr>
        <w:endnoteRef/>
      </w:r>
      <w:r w:rsidRPr="000328CD">
        <w:t xml:space="preserve"> </w:t>
      </w:r>
      <w:r w:rsidR="00F668DA">
        <w:t xml:space="preserve">National </w:t>
      </w:r>
      <w:r w:rsidR="00900FB4" w:rsidRPr="000328CD">
        <w:fldChar w:fldCharType="begin"/>
      </w:r>
      <w:r w:rsidR="00900FB4" w:rsidRPr="000328CD">
        <w:fldChar w:fldCharType="separate"/>
      </w:r>
      <w:r w:rsidR="00900FB4" w:rsidRPr="000328CD">
        <w:rPr>
          <w:rStyle w:val="Hyperlink"/>
        </w:rPr>
        <w:t>National</w:t>
      </w:r>
      <w:r w:rsidR="00900FB4" w:rsidRPr="000328CD">
        <w:rPr>
          <w:rStyle w:val="Hyperlink"/>
        </w:rPr>
        <w:fldChar w:fldCharType="end"/>
      </w:r>
      <w:r w:rsidR="00B42DB8" w:rsidRPr="00775BCE">
        <w:t>Asthma</w:t>
      </w:r>
      <w:r w:rsidR="00B42DB8">
        <w:t xml:space="preserve"> Council Australia</w:t>
      </w:r>
      <w:r w:rsidR="00F668DA">
        <w:t xml:space="preserve"> (NACA)</w:t>
      </w:r>
      <w:r w:rsidR="00B42DB8">
        <w:t xml:space="preserve">, </w:t>
      </w:r>
      <w:hyperlink r:id="rId96" w:history="1">
        <w:r w:rsidR="00B42DB8" w:rsidRPr="000328CD">
          <w:rPr>
            <w:rStyle w:val="Hyperlink"/>
            <w:i/>
            <w:iCs/>
          </w:rPr>
          <w:t>Australian Asthma Handbook</w:t>
        </w:r>
      </w:hyperlink>
      <w:r w:rsidR="00B42DB8">
        <w:t xml:space="preserve">, </w:t>
      </w:r>
      <w:r w:rsidR="00F668DA">
        <w:t>NACA</w:t>
      </w:r>
      <w:r w:rsidR="00B42DB8">
        <w:t xml:space="preserve"> website, 2022, </w:t>
      </w:r>
      <w:r w:rsidR="00B42DB8" w:rsidRPr="00CD5288">
        <w:t xml:space="preserve">accessed </w:t>
      </w:r>
      <w:r w:rsidR="00037144" w:rsidRPr="00CD5288">
        <w:t>21 November 2023</w:t>
      </w:r>
      <w:r w:rsidR="00B42DB8" w:rsidRPr="00CD5288">
        <w:t>.</w:t>
      </w:r>
    </w:p>
  </w:endnote>
  <w:endnote w:id="170">
    <w:p w14:paraId="212B192E" w14:textId="5D6A9CF6" w:rsidR="00F9179B" w:rsidRPr="00A22041" w:rsidRDefault="00A60BCB" w:rsidP="00BB3490">
      <w:pPr>
        <w:pStyle w:val="EndnoteText"/>
      </w:pPr>
      <w:r w:rsidRPr="00342EFB">
        <w:rPr>
          <w:rStyle w:val="EndnoteReference"/>
        </w:rPr>
        <w:endnoteRef/>
      </w:r>
      <w:r w:rsidRPr="00342EFB">
        <w:t xml:space="preserve"> Royal Australian College of General </w:t>
      </w:r>
      <w:r w:rsidR="00B46A76">
        <w:t>Practitioners</w:t>
      </w:r>
      <w:r w:rsidR="00B46A76" w:rsidRPr="00342EFB">
        <w:t xml:space="preserve"> </w:t>
      </w:r>
      <w:r w:rsidRPr="00342EFB">
        <w:t xml:space="preserve">(RACGP), </w:t>
      </w:r>
      <w:hyperlink r:id="rId97" w:history="1">
        <w:r w:rsidR="00956509" w:rsidRPr="00E92DF6">
          <w:rPr>
            <w:rStyle w:val="Hyperlink"/>
            <w:i/>
            <w:iCs/>
          </w:rPr>
          <w:t>Greening up: Environmental sustainability in general practice</w:t>
        </w:r>
      </w:hyperlink>
      <w:r w:rsidRPr="008110E9">
        <w:t>, RACGP,</w:t>
      </w:r>
      <w:r w:rsidRPr="00342EFB">
        <w:t xml:space="preserve"> 2022.</w:t>
      </w:r>
      <w:r w:rsidRPr="00A22041">
        <w:t xml:space="preserve"> </w:t>
      </w:r>
    </w:p>
  </w:endnote>
  <w:endnote w:id="171">
    <w:p w14:paraId="2E158C97" w14:textId="447DD46D" w:rsidR="00EE1190" w:rsidRPr="0043283C" w:rsidRDefault="00EE1190" w:rsidP="00BB3490">
      <w:pPr>
        <w:pStyle w:val="EndnoteText"/>
        <w:rPr>
          <w:i/>
        </w:rPr>
      </w:pPr>
      <w:r w:rsidRPr="00342EFB">
        <w:rPr>
          <w:rStyle w:val="EndnoteReference"/>
        </w:rPr>
        <w:endnoteRef/>
      </w:r>
      <w:r w:rsidRPr="00342EFB">
        <w:t xml:space="preserve"> </w:t>
      </w:r>
      <w:r w:rsidR="003F0425">
        <w:t>H Lee and J Romero,</w:t>
      </w:r>
      <w:r w:rsidRPr="00342EFB">
        <w:t xml:space="preserve"> </w:t>
      </w:r>
      <w:r w:rsidR="0043283C" w:rsidRPr="00B83CD6">
        <w:rPr>
          <w:i/>
        </w:rPr>
        <w:t xml:space="preserve">Climate Change 2023: </w:t>
      </w:r>
      <w:r w:rsidRPr="00B83CD6">
        <w:rPr>
          <w:i/>
        </w:rPr>
        <w:t>Synthesis Report</w:t>
      </w:r>
      <w:r w:rsidR="0043283C" w:rsidRPr="00B83CD6">
        <w:rPr>
          <w:i/>
        </w:rPr>
        <w:t>. Contribution</w:t>
      </w:r>
      <w:r w:rsidRPr="00B83CD6">
        <w:rPr>
          <w:i/>
        </w:rPr>
        <w:t xml:space="preserve"> of </w:t>
      </w:r>
      <w:r w:rsidR="0043283C" w:rsidRPr="00B83CD6">
        <w:rPr>
          <w:i/>
        </w:rPr>
        <w:t xml:space="preserve">Working Groups I, II and III to </w:t>
      </w:r>
      <w:r w:rsidRPr="00B83CD6">
        <w:rPr>
          <w:i/>
        </w:rPr>
        <w:t xml:space="preserve">the Sixth Assessment Report </w:t>
      </w:r>
      <w:r w:rsidR="0043283C" w:rsidRPr="00B83CD6">
        <w:rPr>
          <w:i/>
        </w:rPr>
        <w:t>of the Intergovernmental Panel on Climate Change</w:t>
      </w:r>
      <w:r w:rsidR="00A94590" w:rsidRPr="00F31535">
        <w:t xml:space="preserve">, </w:t>
      </w:r>
      <w:r w:rsidR="00595C5C" w:rsidRPr="00B83CD6">
        <w:t>Intergovernmental</w:t>
      </w:r>
      <w:r w:rsidR="0043283C" w:rsidRPr="00B83CD6">
        <w:t xml:space="preserve"> </w:t>
      </w:r>
      <w:r w:rsidR="00A94590" w:rsidRPr="00B83CD6">
        <w:t>P</w:t>
      </w:r>
      <w:r w:rsidR="0043283C" w:rsidRPr="00B83CD6">
        <w:t xml:space="preserve">anel on </w:t>
      </w:r>
      <w:r w:rsidR="00A94590" w:rsidRPr="00B83CD6">
        <w:t>C</w:t>
      </w:r>
      <w:r w:rsidR="0043283C" w:rsidRPr="00B83CD6">
        <w:t xml:space="preserve">limate </w:t>
      </w:r>
      <w:r w:rsidR="00A94590" w:rsidRPr="00B83CD6">
        <w:t>C</w:t>
      </w:r>
      <w:r w:rsidR="0043283C" w:rsidRPr="00B83CD6">
        <w:t>hange</w:t>
      </w:r>
      <w:r w:rsidR="00A94590" w:rsidRPr="00F31535">
        <w:rPr>
          <w:iCs/>
        </w:rPr>
        <w:t xml:space="preserve">, </w:t>
      </w:r>
      <w:r w:rsidR="00121B2D">
        <w:rPr>
          <w:iCs/>
        </w:rPr>
        <w:t>Geneva,</w:t>
      </w:r>
      <w:r w:rsidR="00A94590" w:rsidRPr="00F31535">
        <w:rPr>
          <w:iCs/>
        </w:rPr>
        <w:t xml:space="preserve"> </w:t>
      </w:r>
      <w:r w:rsidR="00F3654C" w:rsidRPr="00F31535">
        <w:rPr>
          <w:iCs/>
        </w:rPr>
        <w:t>2023</w:t>
      </w:r>
      <w:r w:rsidR="00EE1368" w:rsidRPr="00F31535">
        <w:rPr>
          <w:iCs/>
        </w:rPr>
        <w:t xml:space="preserve">, </w:t>
      </w:r>
      <w:r w:rsidR="00EE1368" w:rsidRPr="00342EFB">
        <w:t>doi:10.59327/IPCC/AR6-9789291691647</w:t>
      </w:r>
      <w:r w:rsidR="00EE1368">
        <w:rPr>
          <w:iCs/>
        </w:rPr>
        <w:t>.</w:t>
      </w:r>
    </w:p>
  </w:endnote>
  <w:endnote w:id="172">
    <w:p w14:paraId="606C354F" w14:textId="077B1CF1" w:rsidR="00A60BCB" w:rsidRPr="00A22041" w:rsidRDefault="00A60BCB" w:rsidP="00BB3490">
      <w:pPr>
        <w:pStyle w:val="EndnoteText"/>
      </w:pPr>
      <w:r w:rsidRPr="00A22041">
        <w:rPr>
          <w:rStyle w:val="EndnoteReference"/>
        </w:rPr>
        <w:endnoteRef/>
      </w:r>
      <w:r w:rsidRPr="00A22041">
        <w:t xml:space="preserve"> </w:t>
      </w:r>
      <w:r w:rsidRPr="00A22041">
        <w:rPr>
          <w:lang w:val="en-GB"/>
        </w:rPr>
        <w:t>CL Shelton, R Sutton and SM White, ‘Desflurane in modern anaesthetic practice: walking on thin ice (caps)?’,</w:t>
      </w:r>
      <w:r w:rsidRPr="00A22041">
        <w:rPr>
          <w:i/>
          <w:lang w:val="en-GB"/>
        </w:rPr>
        <w:t xml:space="preserve"> British Journal of Anaesthesia</w:t>
      </w:r>
      <w:r w:rsidRPr="00A22041">
        <w:rPr>
          <w:lang w:val="en-GB"/>
        </w:rPr>
        <w:t>, 2020, 125(6):852</w:t>
      </w:r>
      <w:r w:rsidR="00526233">
        <w:rPr>
          <w:lang w:val="en-GB"/>
        </w:rPr>
        <w:t>-</w:t>
      </w:r>
      <w:r w:rsidRPr="00A22041">
        <w:rPr>
          <w:lang w:val="en-GB"/>
        </w:rPr>
        <w:t>856, doi:</w:t>
      </w:r>
      <w:r w:rsidRPr="00B25800">
        <w:t>10.1016/j.bja.2020.09.013</w:t>
      </w:r>
      <w:r w:rsidR="00D704E6">
        <w:t>.</w:t>
      </w:r>
    </w:p>
  </w:endnote>
  <w:endnote w:id="173">
    <w:p w14:paraId="03E311EE" w14:textId="1738222D" w:rsidR="007809D7" w:rsidRPr="00A22041" w:rsidRDefault="007809D7" w:rsidP="00BB3490">
      <w:pPr>
        <w:pStyle w:val="EndnoteText"/>
      </w:pPr>
      <w:r w:rsidRPr="00342EFB">
        <w:rPr>
          <w:rStyle w:val="EndnoteReference"/>
        </w:rPr>
        <w:endnoteRef/>
      </w:r>
      <w:r w:rsidRPr="00342EFB">
        <w:t xml:space="preserve"> </w:t>
      </w:r>
      <w:r w:rsidR="00DE71B1" w:rsidRPr="00AD1152">
        <w:t>WA</w:t>
      </w:r>
      <w:r w:rsidRPr="00AD1152">
        <w:t xml:space="preserve"> Department of Health</w:t>
      </w:r>
      <w:r w:rsidRPr="00342EFB">
        <w:t xml:space="preserve">, </w:t>
      </w:r>
      <w:hyperlink r:id="rId98" w:history="1">
        <w:r w:rsidRPr="00342EFB">
          <w:rPr>
            <w:rStyle w:val="Hyperlink"/>
            <w:i/>
          </w:rPr>
          <w:t>Surgery switches to ‘low carbon’ – WA Health takes the knife to high-emissions anaesthetic</w:t>
        </w:r>
      </w:hyperlink>
      <w:r w:rsidR="00FF21C4">
        <w:rPr>
          <w:rStyle w:val="Hyperlink"/>
          <w:i/>
        </w:rPr>
        <w:t xml:space="preserve"> </w:t>
      </w:r>
      <w:r w:rsidR="00FF21C4">
        <w:t>[media release],</w:t>
      </w:r>
      <w:r w:rsidRPr="00342EFB">
        <w:t xml:space="preserve"> WA </w:t>
      </w:r>
      <w:r w:rsidR="00E86E61">
        <w:t>Government</w:t>
      </w:r>
      <w:r w:rsidRPr="00342EFB">
        <w:t xml:space="preserve">, </w:t>
      </w:r>
      <w:r w:rsidR="00DD09A9">
        <w:t>5 October</w:t>
      </w:r>
      <w:r w:rsidRPr="00342EFB">
        <w:t xml:space="preserve"> 2023, </w:t>
      </w:r>
      <w:r>
        <w:t xml:space="preserve">accessed </w:t>
      </w:r>
      <w:r w:rsidR="0039336A">
        <w:t>21 November 2023.</w:t>
      </w:r>
    </w:p>
  </w:endnote>
  <w:endnote w:id="174">
    <w:p w14:paraId="55DDE0FE" w14:textId="36874CCC" w:rsidR="00EF2C81" w:rsidRDefault="00EF2C81" w:rsidP="00BB3490">
      <w:pPr>
        <w:pStyle w:val="EndnoteText"/>
      </w:pPr>
      <w:r w:rsidRPr="008B03B0">
        <w:rPr>
          <w:rStyle w:val="EndnoteReference"/>
        </w:rPr>
        <w:endnoteRef/>
      </w:r>
      <w:r w:rsidRPr="008B03B0">
        <w:t xml:space="preserve"> </w:t>
      </w:r>
      <w:r w:rsidR="00C547EA">
        <w:t xml:space="preserve">R Seglenieks, </w:t>
      </w:r>
      <w:r w:rsidR="005D01C6">
        <w:t xml:space="preserve">A Wong, F Pearson and F McGain, </w:t>
      </w:r>
      <w:r w:rsidR="00D02D07">
        <w:t>‘</w:t>
      </w:r>
      <w:r w:rsidR="00D02D07" w:rsidRPr="00D02D07">
        <w:t>Discrepancy between procurement and clinical use of nitrous oxide: waste not, want not</w:t>
      </w:r>
      <w:r w:rsidR="00D02D07">
        <w:t xml:space="preserve">’, </w:t>
      </w:r>
      <w:r w:rsidR="003F6FD9" w:rsidRPr="00136193">
        <w:rPr>
          <w:i/>
        </w:rPr>
        <w:t>British Journal of Anaesthesia</w:t>
      </w:r>
      <w:r w:rsidR="008F55BC">
        <w:t xml:space="preserve">, </w:t>
      </w:r>
      <w:r w:rsidR="003B1FBD">
        <w:t xml:space="preserve">2022, </w:t>
      </w:r>
      <w:r w:rsidR="00CE6BBF">
        <w:t>128(1):e32-</w:t>
      </w:r>
      <w:r w:rsidR="00F07B62">
        <w:t>e</w:t>
      </w:r>
      <w:r w:rsidR="00CE6BBF">
        <w:t>34, doi:</w:t>
      </w:r>
      <w:r w:rsidR="000364BC">
        <w:t>10.1016</w:t>
      </w:r>
      <w:r w:rsidR="00B0426F">
        <w:t>/j.bja</w:t>
      </w:r>
      <w:r w:rsidR="00136193">
        <w:t>.2021.10.021</w:t>
      </w:r>
      <w:r w:rsidR="004471BF">
        <w:t>.</w:t>
      </w:r>
    </w:p>
  </w:endnote>
  <w:endnote w:id="175">
    <w:p w14:paraId="271AF356" w14:textId="529157FD" w:rsidR="00AA7239" w:rsidRDefault="00AA7239" w:rsidP="00BB3490">
      <w:pPr>
        <w:pStyle w:val="EndnoteText"/>
      </w:pPr>
      <w:r w:rsidRPr="00B66100">
        <w:rPr>
          <w:rStyle w:val="EndnoteReference"/>
        </w:rPr>
        <w:endnoteRef/>
      </w:r>
      <w:r w:rsidRPr="00B66100">
        <w:t xml:space="preserve"> </w:t>
      </w:r>
      <w:r w:rsidR="00B66100">
        <w:t xml:space="preserve">Queensland Health, </w:t>
      </w:r>
      <w:hyperlink r:id="rId99" w:history="1">
        <w:r w:rsidR="001F70E9" w:rsidRPr="00F817CA">
          <w:rPr>
            <w:rStyle w:val="Hyperlink"/>
            <w:i/>
            <w:iCs/>
          </w:rPr>
          <w:t>Communique – Nitrous Oxide</w:t>
        </w:r>
        <w:r w:rsidR="001F70E9" w:rsidRPr="001F70E9">
          <w:rPr>
            <w:rStyle w:val="Hyperlink"/>
          </w:rPr>
          <w:t xml:space="preserve"> [PDF 259KB]</w:t>
        </w:r>
      </w:hyperlink>
      <w:r w:rsidR="00BD5A2F">
        <w:t xml:space="preserve">, </w:t>
      </w:r>
      <w:r w:rsidR="001A4D5A">
        <w:t xml:space="preserve">Statewide </w:t>
      </w:r>
      <w:r w:rsidR="008C0357">
        <w:t>Anaesthesia and Perioperative Network, Queensland Government, 202</w:t>
      </w:r>
      <w:r w:rsidR="00426C86">
        <w:t>2</w:t>
      </w:r>
      <w:r w:rsidR="00EE1368">
        <w:t>.</w:t>
      </w:r>
    </w:p>
  </w:endnote>
  <w:endnote w:id="176">
    <w:p w14:paraId="7DE89C07" w14:textId="72707868" w:rsidR="00A60BCB" w:rsidRPr="00A22041" w:rsidDel="00A75839" w:rsidRDefault="00365B8F" w:rsidP="00BB3490">
      <w:pPr>
        <w:pStyle w:val="EndnoteText"/>
      </w:pPr>
      <w:r>
        <w:rPr>
          <w:rStyle w:val="EndnoteReference"/>
        </w:rPr>
        <w:endnoteRef/>
      </w:r>
      <w:r>
        <w:t xml:space="preserve"> </w:t>
      </w:r>
      <w:r w:rsidR="009B3CC0" w:rsidRPr="00A22041">
        <w:t xml:space="preserve">NHS England, </w:t>
      </w:r>
      <w:hyperlink r:id="rId100" w:history="1">
        <w:r w:rsidR="009B3CC0" w:rsidRPr="00A22041">
          <w:rPr>
            <w:rStyle w:val="Hyperlink"/>
            <w:i/>
          </w:rPr>
          <w:t>Delivering a ‘Net Zero’ National Health Service</w:t>
        </w:r>
      </w:hyperlink>
      <w:r w:rsidR="009B3CC0" w:rsidRPr="00A22041">
        <w:t>, NHS England, 2022.</w:t>
      </w:r>
    </w:p>
  </w:endnote>
  <w:endnote w:id="177">
    <w:p w14:paraId="093EF261" w14:textId="1DEF2FC0" w:rsidR="00A60BCB" w:rsidRPr="00A22041" w:rsidRDefault="00A60BCB" w:rsidP="00BB3490">
      <w:pPr>
        <w:pStyle w:val="EndnoteText"/>
      </w:pPr>
      <w:r w:rsidRPr="00A22041">
        <w:rPr>
          <w:rStyle w:val="EndnoteReference"/>
        </w:rPr>
        <w:endnoteRef/>
      </w:r>
      <w:r w:rsidRPr="00A22041">
        <w:t xml:space="preserve"> Food Innovation Australia (FIAL), </w:t>
      </w:r>
      <w:hyperlink r:id="rId101" w:history="1">
        <w:r w:rsidRPr="00383826">
          <w:rPr>
            <w:rStyle w:val="Hyperlink"/>
            <w:i/>
          </w:rPr>
          <w:t>National Food Waste Strategy Feasibility Study – Final Report</w:t>
        </w:r>
      </w:hyperlink>
      <w:r w:rsidRPr="00A22041">
        <w:t xml:space="preserve">, FIAL, 2021. </w:t>
      </w:r>
    </w:p>
  </w:endnote>
  <w:endnote w:id="178">
    <w:p w14:paraId="4EE52045" w14:textId="69CC227E" w:rsidR="00A60BCB" w:rsidRPr="00A22041" w:rsidRDefault="00A60BCB" w:rsidP="00BB3490">
      <w:pPr>
        <w:pStyle w:val="EndnoteText"/>
      </w:pPr>
      <w:r w:rsidRPr="00342EFB">
        <w:rPr>
          <w:rStyle w:val="EndnoteReference"/>
        </w:rPr>
        <w:endnoteRef/>
      </w:r>
      <w:r w:rsidRPr="00342EFB">
        <w:t xml:space="preserve"> </w:t>
      </w:r>
      <w:r w:rsidR="00DF5061">
        <w:t xml:space="preserve">Australian </w:t>
      </w:r>
      <w:r w:rsidRPr="00342EFB">
        <w:t>Department of the Environment and Energy</w:t>
      </w:r>
      <w:r w:rsidR="003251CC">
        <w:t xml:space="preserve"> (DEE)</w:t>
      </w:r>
      <w:r w:rsidRPr="00342EFB">
        <w:t xml:space="preserve">, </w:t>
      </w:r>
      <w:hyperlink r:id="rId102" w:history="1">
        <w:r w:rsidRPr="00CD5288">
          <w:rPr>
            <w:rStyle w:val="Hyperlink"/>
            <w:i/>
          </w:rPr>
          <w:t>National Food Waste Strategy: Halving Australia’s Food Waste by 2030</w:t>
        </w:r>
      </w:hyperlink>
      <w:r w:rsidRPr="00342EFB">
        <w:t xml:space="preserve">, </w:t>
      </w:r>
      <w:r w:rsidR="003251CC">
        <w:t>DEE</w:t>
      </w:r>
      <w:r w:rsidRPr="00342EFB">
        <w:t>, Australian Government, 2017.</w:t>
      </w:r>
      <w:r w:rsidRPr="00A22041">
        <w:t xml:space="preserve"> </w:t>
      </w:r>
    </w:p>
  </w:endnote>
  <w:endnote w:id="179">
    <w:p w14:paraId="4713D746" w14:textId="44988CD8" w:rsidR="00A60BCB" w:rsidRPr="00A22041" w:rsidRDefault="00A60BCB" w:rsidP="00BB3490">
      <w:pPr>
        <w:pStyle w:val="EndnoteText"/>
      </w:pPr>
      <w:r w:rsidRPr="00A22041">
        <w:rPr>
          <w:rStyle w:val="EndnoteReference"/>
        </w:rPr>
        <w:endnoteRef/>
      </w:r>
      <w:r w:rsidRPr="00A22041">
        <w:t xml:space="preserve"> Health Care Without Harm (HCWH), </w:t>
      </w:r>
      <w:bookmarkStart w:id="172" w:name="_Hlt148533035"/>
      <w:bookmarkStart w:id="173" w:name="_Hlt148533036"/>
      <w:r w:rsidR="007D45A1">
        <w:fldChar w:fldCharType="begin"/>
      </w:r>
      <w:r w:rsidR="007D45A1">
        <w:instrText>HYPERLINK "https://healthcareclimateaction.org/roadmap"</w:instrText>
      </w:r>
      <w:r w:rsidR="007D45A1">
        <w:fldChar w:fldCharType="separate"/>
      </w:r>
      <w:r w:rsidRPr="00A22041">
        <w:rPr>
          <w:rStyle w:val="Hyperlink"/>
          <w:i/>
        </w:rPr>
        <w:t>Global Road Map for Healt</w:t>
      </w:r>
      <w:bookmarkStart w:id="174" w:name="_Hlt148513675"/>
      <w:bookmarkStart w:id="175" w:name="_Hlt148513676"/>
      <w:r w:rsidRPr="00A22041">
        <w:rPr>
          <w:rStyle w:val="Hyperlink"/>
          <w:i/>
        </w:rPr>
        <w:t>h</w:t>
      </w:r>
      <w:bookmarkEnd w:id="174"/>
      <w:bookmarkEnd w:id="175"/>
      <w:r w:rsidRPr="00A22041">
        <w:rPr>
          <w:rStyle w:val="Hyperlink"/>
          <w:i/>
        </w:rPr>
        <w:t xml:space="preserve"> Care Deca</w:t>
      </w:r>
      <w:bookmarkStart w:id="176" w:name="_Hlt148529826"/>
      <w:bookmarkStart w:id="177" w:name="_Hlt148529827"/>
      <w:r w:rsidRPr="00A22041">
        <w:rPr>
          <w:rStyle w:val="Hyperlink"/>
          <w:i/>
        </w:rPr>
        <w:t>r</w:t>
      </w:r>
      <w:bookmarkEnd w:id="176"/>
      <w:bookmarkEnd w:id="177"/>
      <w:r w:rsidRPr="00A22041">
        <w:rPr>
          <w:rStyle w:val="Hyperlink"/>
          <w:i/>
        </w:rPr>
        <w:t>bonization</w:t>
      </w:r>
      <w:r w:rsidR="007D45A1">
        <w:rPr>
          <w:rStyle w:val="Hyperlink"/>
          <w:i/>
        </w:rPr>
        <w:fldChar w:fldCharType="end"/>
      </w:r>
      <w:bookmarkEnd w:id="172"/>
      <w:bookmarkEnd w:id="173"/>
      <w:r w:rsidRPr="00A22041">
        <w:rPr>
          <w:i/>
        </w:rPr>
        <w:t>,</w:t>
      </w:r>
      <w:r w:rsidRPr="00A22041">
        <w:t xml:space="preserve"> HCWH, 2021</w:t>
      </w:r>
      <w:r w:rsidR="00226200">
        <w:t>.</w:t>
      </w:r>
    </w:p>
  </w:endnote>
  <w:endnote w:id="180">
    <w:p w14:paraId="5F367AF5" w14:textId="588B6B45" w:rsidR="00A60BCB" w:rsidRPr="00A22041" w:rsidRDefault="00A60BCB" w:rsidP="00BB3490">
      <w:pPr>
        <w:pStyle w:val="EndnoteText"/>
      </w:pPr>
      <w:r w:rsidRPr="00A22041">
        <w:rPr>
          <w:rStyle w:val="EndnoteReference"/>
        </w:rPr>
        <w:endnoteRef/>
      </w:r>
      <w:r w:rsidRPr="00A22041">
        <w:t xml:space="preserve"> C Rizan, M Bhutta, M Reed and R Lillywhite, ‘The carbon footprint of waste streams in a UK hospital’, </w:t>
      </w:r>
      <w:r w:rsidRPr="00A22041">
        <w:rPr>
          <w:i/>
        </w:rPr>
        <w:t>Journal of Cleaner Production</w:t>
      </w:r>
      <w:r w:rsidRPr="00A22041">
        <w:t>, 2021</w:t>
      </w:r>
      <w:r w:rsidRPr="00194346">
        <w:t>, 286</w:t>
      </w:r>
      <w:r w:rsidR="00194346" w:rsidRPr="00194346">
        <w:t>:</w:t>
      </w:r>
      <w:r w:rsidRPr="00194346">
        <w:t>125446,</w:t>
      </w:r>
      <w:r w:rsidRPr="00A22041">
        <w:t xml:space="preserve"> doi:10.1016/j.jclepro.2020.125446.</w:t>
      </w:r>
    </w:p>
  </w:endnote>
  <w:endnote w:id="181">
    <w:p w14:paraId="6207455C" w14:textId="692823A9" w:rsidR="00B40C45" w:rsidRPr="00342EFB" w:rsidRDefault="00B40C45" w:rsidP="00BB3490">
      <w:pPr>
        <w:pStyle w:val="EndnoteText"/>
      </w:pPr>
      <w:r w:rsidRPr="00342EFB">
        <w:rPr>
          <w:rStyle w:val="EndnoteReference"/>
        </w:rPr>
        <w:endnoteRef/>
      </w:r>
      <w:r w:rsidRPr="00342EFB">
        <w:t xml:space="preserve"> </w:t>
      </w:r>
      <w:r w:rsidR="00DF5061">
        <w:t xml:space="preserve">Australian </w:t>
      </w:r>
      <w:r w:rsidR="00502214">
        <w:t>Department of the Environment and Energy</w:t>
      </w:r>
      <w:r w:rsidR="00EF33CF">
        <w:t xml:space="preserve"> (DEE)</w:t>
      </w:r>
      <w:r w:rsidR="000111CF">
        <w:t xml:space="preserve">, </w:t>
      </w:r>
      <w:hyperlink r:id="rId103" w:history="1">
        <w:r w:rsidR="00061D67" w:rsidRPr="00342EFB">
          <w:rPr>
            <w:rStyle w:val="Hyperlink"/>
            <w:i/>
            <w:iCs/>
          </w:rPr>
          <w:t xml:space="preserve">2018 </w:t>
        </w:r>
        <w:r w:rsidR="000111CF" w:rsidRPr="00342EFB">
          <w:rPr>
            <w:rStyle w:val="Hyperlink"/>
            <w:i/>
            <w:iCs/>
          </w:rPr>
          <w:t>National Waste Policy: less waste more resources</w:t>
        </w:r>
      </w:hyperlink>
      <w:r w:rsidR="000111CF">
        <w:t>,</w:t>
      </w:r>
      <w:r w:rsidR="00061D67">
        <w:t xml:space="preserve"> </w:t>
      </w:r>
      <w:r w:rsidR="00EF33CF">
        <w:t>DEE</w:t>
      </w:r>
      <w:r w:rsidR="00502214">
        <w:t xml:space="preserve">, </w:t>
      </w:r>
      <w:r w:rsidR="00061D67">
        <w:t>Australian Government,</w:t>
      </w:r>
      <w:r w:rsidR="000111CF">
        <w:t xml:space="preserve"> 2018</w:t>
      </w:r>
      <w:r w:rsidR="00AF66B8">
        <w:t>.</w:t>
      </w:r>
      <w:r w:rsidR="000111CF">
        <w:t xml:space="preserve"> </w:t>
      </w:r>
    </w:p>
  </w:endnote>
  <w:endnote w:id="182">
    <w:p w14:paraId="556D8EB6" w14:textId="4AD74835" w:rsidR="00AA3763" w:rsidRDefault="00AA3763" w:rsidP="00BB3490">
      <w:pPr>
        <w:pStyle w:val="EndnoteText"/>
      </w:pPr>
      <w:r w:rsidRPr="00342EFB">
        <w:rPr>
          <w:rStyle w:val="EndnoteReference"/>
        </w:rPr>
        <w:endnoteRef/>
      </w:r>
      <w:r w:rsidRPr="00342EFB">
        <w:t xml:space="preserve"> </w:t>
      </w:r>
      <w:r w:rsidR="00DF5061">
        <w:t xml:space="preserve">Australian </w:t>
      </w:r>
      <w:r w:rsidR="00C77017">
        <w:t>Department of the Environment and Energy</w:t>
      </w:r>
      <w:r w:rsidR="00EF33CF">
        <w:t xml:space="preserve"> (DEE)</w:t>
      </w:r>
      <w:r w:rsidR="00C77017">
        <w:t xml:space="preserve">, </w:t>
      </w:r>
      <w:hyperlink r:id="rId104" w:history="1">
        <w:r w:rsidR="00254909">
          <w:rPr>
            <w:rStyle w:val="Hyperlink"/>
            <w:i/>
            <w:iCs/>
          </w:rPr>
          <w:t>National Waste Policy Action Plan 2019</w:t>
        </w:r>
      </w:hyperlink>
      <w:r w:rsidR="00C77017">
        <w:t xml:space="preserve">, </w:t>
      </w:r>
      <w:r w:rsidR="00EF33CF">
        <w:t>DEE</w:t>
      </w:r>
      <w:r w:rsidR="00C77017">
        <w:t xml:space="preserve">, Australian Government, </w:t>
      </w:r>
      <w:r w:rsidR="005837D5">
        <w:t>2019</w:t>
      </w:r>
      <w:r w:rsidR="0045671F">
        <w:t>.</w:t>
      </w:r>
    </w:p>
  </w:endnote>
  <w:endnote w:id="183">
    <w:p w14:paraId="5C54315D" w14:textId="5BEF702B" w:rsidR="00A60BCB" w:rsidRPr="00A22041" w:rsidRDefault="00A60BCB" w:rsidP="00BB3490">
      <w:pPr>
        <w:pStyle w:val="EndnoteText"/>
      </w:pPr>
      <w:r w:rsidRPr="00A22041">
        <w:rPr>
          <w:rStyle w:val="EndnoteReference"/>
        </w:rPr>
        <w:endnoteRef/>
      </w:r>
      <w:r w:rsidRPr="00A22041">
        <w:t xml:space="preserve"> Western NSW Local Health District, </w:t>
      </w:r>
      <w:hyperlink r:id="rId105" w:history="1">
        <w:r w:rsidR="00807ECB">
          <w:rPr>
            <w:rStyle w:val="Hyperlink"/>
            <w:i/>
          </w:rPr>
          <w:t xml:space="preserve">Environmental Sustainability Strategy 2023-2027 </w:t>
        </w:r>
        <w:r w:rsidR="00807ECB" w:rsidRPr="00BB31A0">
          <w:rPr>
            <w:rStyle w:val="Hyperlink"/>
          </w:rPr>
          <w:t>[PDF 3.8MB]</w:t>
        </w:r>
      </w:hyperlink>
      <w:r w:rsidR="000660EA">
        <w:t>, W</w:t>
      </w:r>
      <w:r w:rsidRPr="00A22041">
        <w:t xml:space="preserve">estern NSW Local Health District, </w:t>
      </w:r>
      <w:r w:rsidR="002C644A">
        <w:t xml:space="preserve">NSW Government, </w:t>
      </w:r>
      <w:r w:rsidRPr="00A22041">
        <w:t xml:space="preserve">2023. </w:t>
      </w:r>
    </w:p>
  </w:endnote>
  <w:endnote w:id="184">
    <w:p w14:paraId="24F6B678" w14:textId="70B225FB" w:rsidR="00A60BCB" w:rsidRPr="00A22041" w:rsidRDefault="00A60BCB" w:rsidP="00BB3490">
      <w:pPr>
        <w:pStyle w:val="EndnoteText"/>
      </w:pPr>
      <w:r w:rsidRPr="00A22041">
        <w:rPr>
          <w:rStyle w:val="EndnoteReference"/>
        </w:rPr>
        <w:endnoteRef/>
      </w:r>
      <w:r w:rsidR="00821BE2" w:rsidRPr="00CE625F">
        <w:t xml:space="preserve"> NSW </w:t>
      </w:r>
      <w:r w:rsidR="00821BE2">
        <w:t xml:space="preserve">Ministry of </w:t>
      </w:r>
      <w:r w:rsidR="00821BE2" w:rsidRPr="00CE625F">
        <w:t xml:space="preserve">Health, </w:t>
      </w:r>
      <w:hyperlink r:id="rId106" w:history="1">
        <w:r w:rsidR="00821BE2" w:rsidRPr="00CE625F">
          <w:rPr>
            <w:rStyle w:val="Hyperlink"/>
            <w:i/>
            <w:iCs/>
          </w:rPr>
          <w:t>Gloves Off Campaig</w:t>
        </w:r>
        <w:r w:rsidR="00821BE2" w:rsidRPr="003852BC">
          <w:rPr>
            <w:rStyle w:val="Hyperlink"/>
            <w:i/>
            <w:iCs/>
          </w:rPr>
          <w:t>n</w:t>
        </w:r>
      </w:hyperlink>
      <w:r w:rsidR="00821BE2">
        <w:rPr>
          <w:i/>
          <w:iCs/>
        </w:rPr>
        <w:t xml:space="preserve">, </w:t>
      </w:r>
      <w:r w:rsidR="00821BE2">
        <w:t>NSW Ministry of Health website, 2023, accessed 13 November 2023.</w:t>
      </w:r>
    </w:p>
  </w:endnote>
  <w:endnote w:id="185">
    <w:p w14:paraId="27C2F2D6" w14:textId="5A6DC6C2" w:rsidR="00A60BCB" w:rsidRPr="00A22041" w:rsidRDefault="00A60BCB" w:rsidP="00BB3490">
      <w:pPr>
        <w:pStyle w:val="EndnoteText"/>
      </w:pPr>
      <w:r w:rsidRPr="00A22041">
        <w:rPr>
          <w:rStyle w:val="EndnoteReference"/>
        </w:rPr>
        <w:endnoteRef/>
      </w:r>
      <w:r w:rsidRPr="00A22041">
        <w:t xml:space="preserve"> NHS England, </w:t>
      </w:r>
      <w:hyperlink r:id="rId107" w:history="1">
        <w:r w:rsidRPr="00A22041">
          <w:rPr>
            <w:rStyle w:val="Hyperlink"/>
            <w:i/>
          </w:rPr>
          <w:t xml:space="preserve">Great Ormond Street Hospital </w:t>
        </w:r>
        <w:r w:rsidR="006F2D6F">
          <w:rPr>
            <w:rStyle w:val="Hyperlink"/>
            <w:i/>
          </w:rPr>
          <w:t>–</w:t>
        </w:r>
        <w:r w:rsidRPr="00A22041">
          <w:rPr>
            <w:rStyle w:val="Hyperlink"/>
            <w:i/>
          </w:rPr>
          <w:t xml:space="preserve"> reducing single use plastics case study</w:t>
        </w:r>
      </w:hyperlink>
      <w:r w:rsidRPr="00A22041">
        <w:t xml:space="preserve">, NHS England </w:t>
      </w:r>
      <w:r w:rsidR="00AF66B8">
        <w:t>web</w:t>
      </w:r>
      <w:r w:rsidRPr="00A22041">
        <w:t xml:space="preserve">site, 2020, accessed 30 August 2023. </w:t>
      </w:r>
    </w:p>
  </w:endnote>
  <w:endnote w:id="186">
    <w:p w14:paraId="7CEABC07" w14:textId="658AC171" w:rsidR="00A60BCB" w:rsidRPr="00A22041" w:rsidRDefault="00A60BCB" w:rsidP="00BB3490">
      <w:pPr>
        <w:pStyle w:val="EndnoteText"/>
      </w:pPr>
      <w:r w:rsidRPr="00342EFB">
        <w:rPr>
          <w:rStyle w:val="EndnoteReference"/>
        </w:rPr>
        <w:endnoteRef/>
      </w:r>
      <w:r w:rsidRPr="00342EFB">
        <w:t xml:space="preserve"> </w:t>
      </w:r>
      <w:r w:rsidR="0010118A" w:rsidRPr="00A22041">
        <w:t>F McGain, D Story, T Lim</w:t>
      </w:r>
      <w:r w:rsidR="0010118A">
        <w:t xml:space="preserve"> and</w:t>
      </w:r>
      <w:r w:rsidR="0010118A" w:rsidRPr="00A22041">
        <w:t xml:space="preserve"> S McAlister, ‘Financial and environmental costs of reusable and single-use anaesthetic equipment’, </w:t>
      </w:r>
      <w:r w:rsidR="0010118A" w:rsidRPr="00A22041">
        <w:rPr>
          <w:i/>
        </w:rPr>
        <w:t>British Journal of Anaesthesia</w:t>
      </w:r>
      <w:r w:rsidR="0010118A" w:rsidRPr="00A22041">
        <w:t>, 2017, 118(6):862-869, doi:</w:t>
      </w:r>
      <w:r w:rsidR="0010118A" w:rsidRPr="00A00470">
        <w:t>10.1093/bja/aex098</w:t>
      </w:r>
      <w:r w:rsidR="0010118A" w:rsidRPr="00A22041">
        <w:t>.</w:t>
      </w:r>
    </w:p>
  </w:endnote>
  <w:endnote w:id="187">
    <w:p w14:paraId="543C52E6" w14:textId="189B9182" w:rsidR="00A60BCB" w:rsidRPr="00A22041" w:rsidRDefault="00A60BCB" w:rsidP="00BB3490">
      <w:pPr>
        <w:pStyle w:val="EndnoteText"/>
      </w:pPr>
      <w:r w:rsidRPr="00A22041">
        <w:rPr>
          <w:rStyle w:val="EndnoteReference"/>
        </w:rPr>
        <w:endnoteRef/>
      </w:r>
      <w:r w:rsidRPr="00A22041" w:rsidDel="00CC21A2">
        <w:t xml:space="preserve"> </w:t>
      </w:r>
      <w:r w:rsidRPr="00A22041">
        <w:t>N Angelopoulos, S Angiolella, P Lyons, B Ross</w:t>
      </w:r>
      <w:r w:rsidR="00A56F1E">
        <w:t xml:space="preserve"> and</w:t>
      </w:r>
      <w:r w:rsidRPr="00A22041">
        <w:t xml:space="preserve"> M Forbes, ‘Survey of intensive care unit staff views on a newly introduced reusable isolation gown’, </w:t>
      </w:r>
      <w:r w:rsidRPr="00A22041">
        <w:rPr>
          <w:i/>
        </w:rPr>
        <w:t>Australian Health Review</w:t>
      </w:r>
      <w:r w:rsidRPr="00A22041">
        <w:t>, 2023, 47(1):131-133, doi:10.1071/AH22223.</w:t>
      </w:r>
    </w:p>
  </w:endnote>
  <w:endnote w:id="188">
    <w:p w14:paraId="5ECADA3C" w14:textId="0BEDF8AF" w:rsidR="00A60BCB" w:rsidRPr="00A22041" w:rsidRDefault="00A60BCB" w:rsidP="00BB3490">
      <w:pPr>
        <w:pStyle w:val="EndnoteText"/>
      </w:pPr>
      <w:r w:rsidRPr="00A22041">
        <w:rPr>
          <w:rStyle w:val="EndnoteReference"/>
        </w:rPr>
        <w:endnoteRef/>
      </w:r>
      <w:r w:rsidRPr="00A22041">
        <w:t xml:space="preserve"> Imperial College Healthcare NHS Trust,</w:t>
      </w:r>
      <w:r w:rsidRPr="000328CD">
        <w:t xml:space="preserve"> </w:t>
      </w:r>
      <w:hyperlink r:id="rId108" w:history="1">
        <w:r w:rsidRPr="008A11BD">
          <w:rPr>
            <w:rStyle w:val="Hyperlink"/>
            <w:i/>
          </w:rPr>
          <w:t>Innovation partnership looks to recycle facemasks into new products for the NHS</w:t>
        </w:r>
      </w:hyperlink>
      <w:r w:rsidRPr="00A22041">
        <w:t>, NHS England</w:t>
      </w:r>
      <w:r w:rsidR="0016362A">
        <w:t xml:space="preserve"> </w:t>
      </w:r>
      <w:r w:rsidR="00A33449">
        <w:t>website</w:t>
      </w:r>
      <w:r w:rsidRPr="00A22041">
        <w:t xml:space="preserve">, </w:t>
      </w:r>
      <w:r w:rsidR="000C73C2">
        <w:t>26 April</w:t>
      </w:r>
      <w:r w:rsidRPr="00A22041">
        <w:t xml:space="preserve"> 2022, accessed 30 August 2023. </w:t>
      </w:r>
    </w:p>
  </w:endnote>
  <w:endnote w:id="189">
    <w:p w14:paraId="27232968" w14:textId="742B2932" w:rsidR="00A60BCB" w:rsidRPr="00A22041" w:rsidRDefault="00A60BCB" w:rsidP="00BB3490">
      <w:pPr>
        <w:pStyle w:val="EndnoteText"/>
      </w:pPr>
      <w:r w:rsidRPr="00342EFB">
        <w:rPr>
          <w:rStyle w:val="EndnoteReference"/>
        </w:rPr>
        <w:endnoteRef/>
      </w:r>
      <w:r w:rsidRPr="00497A8F">
        <w:t xml:space="preserve"> </w:t>
      </w:r>
      <w:r w:rsidR="00D30ADE" w:rsidRPr="00390708">
        <w:t>Victoria</w:t>
      </w:r>
      <w:r w:rsidR="00390708" w:rsidRPr="00AD1152">
        <w:t>n</w:t>
      </w:r>
      <w:r w:rsidRPr="00390708">
        <w:t xml:space="preserve"> Department of Health</w:t>
      </w:r>
      <w:r w:rsidR="00570186" w:rsidRPr="00390708">
        <w:t>,</w:t>
      </w:r>
      <w:r w:rsidR="00570186">
        <w:t xml:space="preserve"> </w:t>
      </w:r>
      <w:hyperlink r:id="rId109" w:history="1">
        <w:r w:rsidRPr="00342EFB">
          <w:rPr>
            <w:rStyle w:val="Hyperlink"/>
            <w:i/>
          </w:rPr>
          <w:t>Waste</w:t>
        </w:r>
      </w:hyperlink>
      <w:r w:rsidRPr="00342EFB">
        <w:t xml:space="preserve">, </w:t>
      </w:r>
      <w:r w:rsidR="00D30ADE">
        <w:t>Victoria</w:t>
      </w:r>
      <w:r w:rsidR="00390708">
        <w:t>n</w:t>
      </w:r>
      <w:r w:rsidR="00D30ADE">
        <w:t xml:space="preserve"> </w:t>
      </w:r>
      <w:r w:rsidRPr="00342EFB">
        <w:t xml:space="preserve">Department of Health </w:t>
      </w:r>
      <w:r w:rsidR="0090235D">
        <w:t>w</w:t>
      </w:r>
      <w:r w:rsidRPr="00342EFB">
        <w:t>ebsite, 2022</w:t>
      </w:r>
      <w:r w:rsidR="0010118A">
        <w:t xml:space="preserve">, </w:t>
      </w:r>
      <w:r w:rsidR="0010118A" w:rsidRPr="00CD5288">
        <w:t xml:space="preserve">accessed </w:t>
      </w:r>
      <w:r w:rsidR="00D42E16" w:rsidRPr="00D42E16">
        <w:t>21 November 2023</w:t>
      </w:r>
      <w:r w:rsidRPr="00D42E16">
        <w:t>.</w:t>
      </w:r>
      <w:r w:rsidRPr="00A22041">
        <w:t xml:space="preserve"> </w:t>
      </w:r>
    </w:p>
  </w:endnote>
  <w:endnote w:id="190">
    <w:p w14:paraId="12D52A17" w14:textId="3EB8F044" w:rsidR="002D46FD" w:rsidRDefault="002D46FD">
      <w:pPr>
        <w:pStyle w:val="EndnoteText"/>
      </w:pPr>
      <w:r>
        <w:rPr>
          <w:rStyle w:val="EndnoteReference"/>
        </w:rPr>
        <w:endnoteRef/>
      </w:r>
      <w:r>
        <w:t xml:space="preserve"> </w:t>
      </w:r>
      <w:r w:rsidRPr="002D46FD">
        <w:t xml:space="preserve">R Patrick, S Allender S, M Forrester, A Huthinson, J Ananthapavan and M Naebe, </w:t>
      </w:r>
      <w:hyperlink r:id="rId110" w:history="1">
        <w:r w:rsidRPr="002D46FD">
          <w:rPr>
            <w:rStyle w:val="Hyperlink"/>
            <w:i/>
            <w:iCs/>
          </w:rPr>
          <w:t>Sustainable healthcare: Medical waste, Circular economy solutions</w:t>
        </w:r>
        <w:r w:rsidRPr="002D46FD">
          <w:rPr>
            <w:rStyle w:val="Hyperlink"/>
          </w:rPr>
          <w:t xml:space="preserve"> [PDF 975KB]</w:t>
        </w:r>
      </w:hyperlink>
      <w:r w:rsidRPr="002D46FD">
        <w:t>, Institute for Health Transformation, Global Centre for Preventive Health and Nutrition and Institute for Frontier Materials, Deakin University, 2023.</w:t>
      </w:r>
    </w:p>
  </w:endnote>
  <w:endnote w:id="191">
    <w:p w14:paraId="26490155" w14:textId="0332B597" w:rsidR="002D46FD" w:rsidRDefault="002D46FD">
      <w:pPr>
        <w:pStyle w:val="EndnoteText"/>
      </w:pPr>
      <w:r>
        <w:rPr>
          <w:rStyle w:val="EndnoteReference"/>
        </w:rPr>
        <w:endnoteRef/>
      </w:r>
      <w:r>
        <w:t xml:space="preserve"> </w:t>
      </w:r>
      <w:r w:rsidRPr="002D46FD">
        <w:t xml:space="preserve">World Bank, </w:t>
      </w:r>
      <w:hyperlink r:id="rId111" w:history="1">
        <w:r w:rsidRPr="002D46FD">
          <w:rPr>
            <w:rStyle w:val="Hyperlink"/>
            <w:i/>
            <w:iCs/>
          </w:rPr>
          <w:t>Shadow price of carbon in economic analysis [PDF 900KB]</w:t>
        </w:r>
      </w:hyperlink>
      <w:r w:rsidRPr="002D46FD">
        <w:rPr>
          <w:i/>
          <w:iCs/>
        </w:rPr>
        <w:t>,</w:t>
      </w:r>
      <w:r w:rsidRPr="002D46FD">
        <w:t xml:space="preserve"> World Bank, 2017.</w:t>
      </w:r>
    </w:p>
  </w:endnote>
  <w:endnote w:id="192">
    <w:p w14:paraId="0AF84D0E" w14:textId="0DDD3AE5" w:rsidR="00A60BCB" w:rsidRPr="00A22041" w:rsidRDefault="00A60BCB" w:rsidP="00BB3490">
      <w:pPr>
        <w:pStyle w:val="EndnoteText"/>
      </w:pPr>
      <w:r w:rsidRPr="00A22041">
        <w:rPr>
          <w:rStyle w:val="EndnoteReference"/>
        </w:rPr>
        <w:endnoteRef/>
      </w:r>
      <w:r w:rsidRPr="00A22041">
        <w:t xml:space="preserve"> T Shibamoto, A Yasuhara and T Katami, ‘Dioxin formation from waste inc</w:t>
      </w:r>
      <w:r w:rsidRPr="00880DA4">
        <w:t xml:space="preserve">ineration’, </w:t>
      </w:r>
      <w:r w:rsidR="00880DA4" w:rsidRPr="00880DA4">
        <w:rPr>
          <w:i/>
        </w:rPr>
        <w:t>Reviews of</w:t>
      </w:r>
      <w:r w:rsidR="00753D53">
        <w:rPr>
          <w:i/>
        </w:rPr>
        <w:t xml:space="preserve"> </w:t>
      </w:r>
      <w:r w:rsidR="00880DA4" w:rsidRPr="00880DA4">
        <w:rPr>
          <w:i/>
        </w:rPr>
        <w:t>Environmental</w:t>
      </w:r>
      <w:r w:rsidR="00753D53">
        <w:rPr>
          <w:i/>
        </w:rPr>
        <w:t xml:space="preserve"> </w:t>
      </w:r>
      <w:r w:rsidR="00880DA4" w:rsidRPr="00880DA4">
        <w:rPr>
          <w:i/>
        </w:rPr>
        <w:t>Contamination and Toxicology</w:t>
      </w:r>
      <w:r w:rsidRPr="00880DA4">
        <w:t>, 2007</w:t>
      </w:r>
      <w:r w:rsidRPr="00A22041">
        <w:t>, 190:1-41</w:t>
      </w:r>
      <w:r w:rsidR="008D46E2">
        <w:t>,</w:t>
      </w:r>
      <w:r w:rsidR="008D46E2" w:rsidRPr="00A22041">
        <w:t xml:space="preserve"> </w:t>
      </w:r>
      <w:r w:rsidRPr="00A22041">
        <w:t>doi:10.1007/978-0-387-36903-7_1</w:t>
      </w:r>
      <w:r w:rsidR="0024371C">
        <w:t>.</w:t>
      </w:r>
    </w:p>
  </w:endnote>
  <w:endnote w:id="193">
    <w:p w14:paraId="22E76FE4" w14:textId="333E6281" w:rsidR="002A7EFF" w:rsidRDefault="002A7EFF" w:rsidP="00BB3490">
      <w:pPr>
        <w:pStyle w:val="EndnoteText"/>
      </w:pPr>
      <w:r w:rsidRPr="00342EFB">
        <w:rPr>
          <w:rStyle w:val="EndnoteReference"/>
        </w:rPr>
        <w:endnoteRef/>
      </w:r>
      <w:r w:rsidRPr="00342EFB">
        <w:t xml:space="preserve"> </w:t>
      </w:r>
      <w:r w:rsidR="00390708">
        <w:t xml:space="preserve">Australian </w:t>
      </w:r>
      <w:r w:rsidR="00E20271">
        <w:t xml:space="preserve">Department of Climate Change, Energy, the Environment and Water (DCCEEW), </w:t>
      </w:r>
      <w:hyperlink r:id="rId112" w:history="1">
        <w:r w:rsidR="00E211E0" w:rsidRPr="00342EFB">
          <w:rPr>
            <w:rStyle w:val="Hyperlink"/>
            <w:i/>
            <w:iCs/>
          </w:rPr>
          <w:t>Minister’s Priority List 2022-23</w:t>
        </w:r>
      </w:hyperlink>
      <w:r w:rsidR="00CD5668">
        <w:t xml:space="preserve">, DCCEEW </w:t>
      </w:r>
      <w:r w:rsidR="00171992">
        <w:t>w</w:t>
      </w:r>
      <w:r w:rsidR="00D322A3">
        <w:t xml:space="preserve">ebsite, </w:t>
      </w:r>
      <w:r w:rsidR="00ED4992">
        <w:t>20</w:t>
      </w:r>
      <w:r w:rsidR="00020C07">
        <w:t xml:space="preserve">22, accessed </w:t>
      </w:r>
      <w:r w:rsidR="00323B52">
        <w:t xml:space="preserve">10 October 2023. </w:t>
      </w:r>
    </w:p>
  </w:endnote>
  <w:endnote w:id="194">
    <w:p w14:paraId="72B0D67E" w14:textId="3D156291" w:rsidR="00A60BCB" w:rsidRPr="00A22041" w:rsidRDefault="00A60BCB" w:rsidP="00BB3490">
      <w:pPr>
        <w:pStyle w:val="EndnoteText"/>
      </w:pPr>
      <w:r w:rsidRPr="00A22041">
        <w:rPr>
          <w:rStyle w:val="EndnoteReference"/>
        </w:rPr>
        <w:endnoteRef/>
      </w:r>
      <w:r w:rsidRPr="00A22041">
        <w:t xml:space="preserve"> J Karliner, S Slotterback, R Boyd, B Ashby, K Steele and J Wang, ‘Health care’s climate footprint: the health sector contribution and opportunities for action’, </w:t>
      </w:r>
      <w:r w:rsidRPr="00A22041">
        <w:rPr>
          <w:i/>
        </w:rPr>
        <w:t>European Journal of Public Health</w:t>
      </w:r>
      <w:r w:rsidRPr="00A22041">
        <w:t>, 2020, 30(Supplement</w:t>
      </w:r>
      <w:r w:rsidR="003A1815">
        <w:t xml:space="preserve"> </w:t>
      </w:r>
      <w:r w:rsidRPr="00A22041">
        <w:t>5):</w:t>
      </w:r>
      <w:r w:rsidR="00B61571">
        <w:t>v</w:t>
      </w:r>
      <w:r w:rsidR="00E525DB">
        <w:t>311</w:t>
      </w:r>
      <w:r w:rsidRPr="00A22041">
        <w:t>, doi:10.1093/eurpub/ckaa165.843.</w:t>
      </w:r>
    </w:p>
  </w:endnote>
  <w:endnote w:id="195">
    <w:p w14:paraId="1814F2C5" w14:textId="0EB4F5EC" w:rsidR="008A5196" w:rsidRDefault="008A5196" w:rsidP="00BB3490">
      <w:pPr>
        <w:pStyle w:val="EndnoteText"/>
      </w:pPr>
      <w:r w:rsidRPr="002F75A1">
        <w:rPr>
          <w:rStyle w:val="EndnoteReference"/>
        </w:rPr>
        <w:endnoteRef/>
      </w:r>
      <w:r w:rsidRPr="002F75A1">
        <w:t xml:space="preserve"> </w:t>
      </w:r>
      <w:r w:rsidR="00390708">
        <w:t xml:space="preserve">Australian </w:t>
      </w:r>
      <w:r w:rsidR="001F2026">
        <w:t>Department of Health and Aged Care (</w:t>
      </w:r>
      <w:r w:rsidR="001F2026" w:rsidRPr="00F24A05">
        <w:t xml:space="preserve">DHAC), </w:t>
      </w:r>
      <w:hyperlink r:id="rId113" w:history="1">
        <w:r w:rsidR="004205E8" w:rsidRPr="00F24A05">
          <w:rPr>
            <w:rStyle w:val="Hyperlink"/>
            <w:i/>
          </w:rPr>
          <w:t xml:space="preserve">International HTA </w:t>
        </w:r>
        <w:r w:rsidR="006426A0" w:rsidRPr="00F24A05">
          <w:rPr>
            <w:rStyle w:val="Hyperlink"/>
            <w:i/>
          </w:rPr>
          <w:t>c</w:t>
        </w:r>
        <w:r w:rsidR="004205E8" w:rsidRPr="00F24A05">
          <w:rPr>
            <w:rStyle w:val="Hyperlink"/>
            <w:i/>
          </w:rPr>
          <w:t>ollaboration expands</w:t>
        </w:r>
      </w:hyperlink>
      <w:r w:rsidR="004205E8" w:rsidRPr="00F24A05">
        <w:rPr>
          <w:i/>
        </w:rPr>
        <w:t xml:space="preserve"> </w:t>
      </w:r>
      <w:r w:rsidR="004205E8" w:rsidRPr="00F24A05">
        <w:t>[media</w:t>
      </w:r>
      <w:r w:rsidR="004205E8">
        <w:t xml:space="preserve"> release], </w:t>
      </w:r>
      <w:r w:rsidR="002C2122">
        <w:t>DHAC</w:t>
      </w:r>
      <w:r w:rsidR="00266F20">
        <w:t xml:space="preserve">, Australian Government, 20 September 2023. </w:t>
      </w:r>
    </w:p>
  </w:endnote>
  <w:endnote w:id="196">
    <w:p w14:paraId="76B23E76" w14:textId="3DA052E5" w:rsidR="008A5196" w:rsidRDefault="008A5196" w:rsidP="00BB3490">
      <w:pPr>
        <w:pStyle w:val="EndnoteText"/>
      </w:pPr>
      <w:r w:rsidRPr="00FC1372">
        <w:rPr>
          <w:rStyle w:val="EndnoteReference"/>
        </w:rPr>
        <w:endnoteRef/>
      </w:r>
      <w:r w:rsidRPr="00FC1372">
        <w:t xml:space="preserve"> </w:t>
      </w:r>
      <w:r w:rsidR="00FC1372">
        <w:t>National Institute for Health and Care Excellence (NICE)</w:t>
      </w:r>
      <w:r w:rsidR="00D62650">
        <w:t xml:space="preserve">, </w:t>
      </w:r>
      <w:hyperlink r:id="rId114" w:history="1">
        <w:r w:rsidR="00D62650" w:rsidRPr="008E1EE6">
          <w:rPr>
            <w:rStyle w:val="Hyperlink"/>
            <w:i/>
          </w:rPr>
          <w:t>NICE Strategy 2021-2026</w:t>
        </w:r>
        <w:r w:rsidR="00D62650" w:rsidRPr="008E1EE6">
          <w:rPr>
            <w:rStyle w:val="Hyperlink"/>
          </w:rPr>
          <w:t xml:space="preserve"> </w:t>
        </w:r>
        <w:r w:rsidR="00234ED4" w:rsidRPr="008E1EE6">
          <w:rPr>
            <w:rStyle w:val="Hyperlink"/>
          </w:rPr>
          <w:t>[PDF 2.5MB]</w:t>
        </w:r>
      </w:hyperlink>
      <w:r w:rsidR="00234ED4">
        <w:t xml:space="preserve">, </w:t>
      </w:r>
      <w:r w:rsidR="007154E6">
        <w:t>NICE UK, 2021.</w:t>
      </w:r>
      <w:r w:rsidR="00FC1372">
        <w:t xml:space="preserve"> </w:t>
      </w:r>
    </w:p>
  </w:endnote>
  <w:endnote w:id="197">
    <w:p w14:paraId="2F133F56" w14:textId="41830176" w:rsidR="008A5196" w:rsidRDefault="008A5196" w:rsidP="00BB3490">
      <w:pPr>
        <w:pStyle w:val="EndnoteText"/>
      </w:pPr>
      <w:r w:rsidRPr="00342EFB">
        <w:rPr>
          <w:rStyle w:val="EndnoteReference"/>
        </w:rPr>
        <w:endnoteRef/>
      </w:r>
      <w:r w:rsidRPr="00342EFB">
        <w:t xml:space="preserve"> </w:t>
      </w:r>
      <w:r w:rsidR="004B7C85" w:rsidRPr="00342EFB">
        <w:t xml:space="preserve">Canada’s </w:t>
      </w:r>
      <w:r w:rsidR="00342955" w:rsidRPr="00342EFB">
        <w:t>Drug and Health Technology Agency</w:t>
      </w:r>
      <w:r w:rsidR="00C02095" w:rsidRPr="00342EFB">
        <w:t xml:space="preserve"> (CADTH)</w:t>
      </w:r>
      <w:r w:rsidR="00342955" w:rsidRPr="00342EFB">
        <w:t xml:space="preserve">, </w:t>
      </w:r>
      <w:hyperlink r:id="rId115" w:history="1">
        <w:r w:rsidR="006A5747" w:rsidRPr="00234ED4">
          <w:rPr>
            <w:rStyle w:val="Hyperlink"/>
            <w:i/>
          </w:rPr>
          <w:t>Criteria for conducting Environmental Assessments in CADTH HTAs</w:t>
        </w:r>
      </w:hyperlink>
      <w:r w:rsidR="006A5747" w:rsidRPr="00342EFB">
        <w:t xml:space="preserve">, </w:t>
      </w:r>
      <w:r w:rsidR="00C02095" w:rsidRPr="00342EFB">
        <w:t>CADTH</w:t>
      </w:r>
      <w:r w:rsidR="000E059B">
        <w:t xml:space="preserve"> website</w:t>
      </w:r>
      <w:r w:rsidR="00C02095" w:rsidRPr="00342EFB">
        <w:t>, 20</w:t>
      </w:r>
      <w:r w:rsidR="00A4105F" w:rsidRPr="00342EFB">
        <w:t>19</w:t>
      </w:r>
      <w:r w:rsidR="000E059B">
        <w:t>,</w:t>
      </w:r>
      <w:r w:rsidR="004023D7">
        <w:t xml:space="preserve"> </w:t>
      </w:r>
      <w:r w:rsidR="004023D7" w:rsidRPr="004023D7">
        <w:t>accessed 27 November 2023.</w:t>
      </w:r>
    </w:p>
  </w:endnote>
  <w:endnote w:id="198">
    <w:p w14:paraId="1071937F" w14:textId="322AB295" w:rsidR="008A5196" w:rsidRDefault="008A5196" w:rsidP="00BB3490">
      <w:pPr>
        <w:pStyle w:val="EndnoteText"/>
      </w:pPr>
      <w:r w:rsidRPr="00BB5ECD">
        <w:rPr>
          <w:rStyle w:val="EndnoteReference"/>
        </w:rPr>
        <w:endnoteRef/>
      </w:r>
      <w:r w:rsidRPr="008E3CF0">
        <w:t xml:space="preserve"> </w:t>
      </w:r>
      <w:r w:rsidR="003D7239">
        <w:t>Health</w:t>
      </w:r>
      <w:r w:rsidR="00BD3FA9">
        <w:t xml:space="preserve"> Canada, </w:t>
      </w:r>
      <w:hyperlink r:id="rId116" w:history="1">
        <w:r w:rsidR="0026781B" w:rsidRPr="00234ED4">
          <w:rPr>
            <w:rStyle w:val="Hyperlink"/>
            <w:i/>
          </w:rPr>
          <w:t>Health</w:t>
        </w:r>
        <w:r w:rsidR="00EB2ABB" w:rsidRPr="00234ED4">
          <w:rPr>
            <w:rStyle w:val="Hyperlink"/>
            <w:i/>
          </w:rPr>
          <w:t>ADAPT</w:t>
        </w:r>
      </w:hyperlink>
      <w:r w:rsidR="00EB2ABB">
        <w:t xml:space="preserve">, </w:t>
      </w:r>
      <w:r w:rsidR="003D7239">
        <w:t>Government of Canada website, 2021</w:t>
      </w:r>
      <w:r w:rsidR="00D414A5">
        <w:t xml:space="preserve">, </w:t>
      </w:r>
      <w:r w:rsidR="00D414A5" w:rsidRPr="00CD5288">
        <w:t xml:space="preserve">accessed </w:t>
      </w:r>
      <w:r w:rsidR="00D42E16" w:rsidRPr="00D42E16">
        <w:t>21 November 2023</w:t>
      </w:r>
      <w:r w:rsidR="0024371C" w:rsidRPr="00D42E16">
        <w:t>.</w:t>
      </w:r>
    </w:p>
  </w:endnote>
  <w:endnote w:id="199">
    <w:p w14:paraId="70342D06" w14:textId="0262A159" w:rsidR="008A5196" w:rsidRPr="00F46ECF" w:rsidRDefault="008A5196" w:rsidP="00BB3490">
      <w:pPr>
        <w:pStyle w:val="EndnoteText"/>
      </w:pPr>
      <w:r w:rsidRPr="00904CFE">
        <w:rPr>
          <w:rStyle w:val="EndnoteReference"/>
        </w:rPr>
        <w:endnoteRef/>
      </w:r>
      <w:r w:rsidR="00CA26CC">
        <w:t xml:space="preserve"> </w:t>
      </w:r>
      <w:r w:rsidR="00CA26CC" w:rsidRPr="00CA26CC">
        <w:t xml:space="preserve">Te Whatu Ora </w:t>
      </w:r>
      <w:r w:rsidR="006F2D6F">
        <w:t>–</w:t>
      </w:r>
      <w:r w:rsidRPr="00904CFE">
        <w:t xml:space="preserve"> </w:t>
      </w:r>
      <w:r w:rsidR="00904CFE">
        <w:t>Health New Zealand</w:t>
      </w:r>
      <w:r w:rsidR="009424BF">
        <w:t xml:space="preserve">, </w:t>
      </w:r>
      <w:hyperlink r:id="rId117" w:history="1">
        <w:r w:rsidR="00442044" w:rsidRPr="00F80CCA">
          <w:rPr>
            <w:rStyle w:val="Hyperlink"/>
            <w:i/>
            <w:iCs/>
          </w:rPr>
          <w:t>Te Pae Tata Interim New Zealand Health Plan 2022</w:t>
        </w:r>
      </w:hyperlink>
      <w:r w:rsidR="00442044">
        <w:t xml:space="preserve">, New Zealand </w:t>
      </w:r>
      <w:r w:rsidR="00442044" w:rsidRPr="00F46ECF">
        <w:t xml:space="preserve">Government, 2022. </w:t>
      </w:r>
    </w:p>
  </w:endnote>
  <w:endnote w:id="200">
    <w:p w14:paraId="663F85BA" w14:textId="3A9305A1" w:rsidR="00612763" w:rsidRPr="00CC0C07" w:rsidRDefault="007243D8" w:rsidP="00BB3490">
      <w:pPr>
        <w:pStyle w:val="EndnoteText"/>
        <w:rPr>
          <w:highlight w:val="red"/>
        </w:rPr>
      </w:pPr>
      <w:r w:rsidRPr="00F46ECF">
        <w:rPr>
          <w:rStyle w:val="EndnoteReference"/>
        </w:rPr>
        <w:endnoteRef/>
      </w:r>
      <w:r w:rsidRPr="00F46ECF">
        <w:t xml:space="preserve"> </w:t>
      </w:r>
      <w:r w:rsidR="009651BA" w:rsidRPr="00F46ECF">
        <w:t xml:space="preserve">NHS England, </w:t>
      </w:r>
      <w:hyperlink r:id="rId118" w:history="1">
        <w:r w:rsidR="009651BA" w:rsidRPr="00F46ECF">
          <w:rPr>
            <w:rStyle w:val="Hyperlink"/>
            <w:i/>
          </w:rPr>
          <w:t>Delivering a ‘Net Zero’ National Health Service</w:t>
        </w:r>
      </w:hyperlink>
      <w:r w:rsidR="009651BA" w:rsidRPr="00F46ECF">
        <w:t>, NHS England, 2022</w:t>
      </w:r>
      <w:r w:rsidR="009651BA" w:rsidRPr="00A22041">
        <w:t>.</w:t>
      </w:r>
    </w:p>
  </w:endnote>
  <w:endnote w:id="201">
    <w:p w14:paraId="43720522" w14:textId="354BD55E" w:rsidR="00612763" w:rsidRPr="00CC0C07" w:rsidRDefault="007243D8" w:rsidP="00BB3490">
      <w:pPr>
        <w:pStyle w:val="EndnoteText"/>
        <w:rPr>
          <w:highlight w:val="red"/>
        </w:rPr>
      </w:pPr>
      <w:r w:rsidRPr="00342EFB">
        <w:rPr>
          <w:rStyle w:val="EndnoteReference"/>
        </w:rPr>
        <w:endnoteRef/>
      </w:r>
      <w:r w:rsidRPr="00342EFB">
        <w:t xml:space="preserve"> </w:t>
      </w:r>
      <w:r w:rsidR="003A244C" w:rsidRPr="003A244C">
        <w:t>Cabinet Secretary for NHS Recovery, Health and Social Care</w:t>
      </w:r>
      <w:r w:rsidR="005F3A99">
        <w:t xml:space="preserve">, </w:t>
      </w:r>
      <w:hyperlink r:id="rId119" w:history="1">
        <w:r w:rsidR="00E65C79" w:rsidRPr="00342EFB">
          <w:rPr>
            <w:rStyle w:val="Hyperlink"/>
            <w:i/>
            <w:iCs/>
          </w:rPr>
          <w:t>NHS Scotland climate emergency and sustainability strategy: 2022-2026</w:t>
        </w:r>
      </w:hyperlink>
      <w:r w:rsidR="00E65C79">
        <w:t xml:space="preserve">, </w:t>
      </w:r>
      <w:r w:rsidR="005B71F9" w:rsidRPr="0068596A">
        <w:t>Scot</w:t>
      </w:r>
      <w:r w:rsidR="002A5EF8">
        <w:t>tish</w:t>
      </w:r>
      <w:r w:rsidR="005B71F9">
        <w:t xml:space="preserve"> Government, </w:t>
      </w:r>
      <w:r w:rsidR="008074B5">
        <w:t>2</w:t>
      </w:r>
      <w:r w:rsidR="00EB422E">
        <w:t xml:space="preserve">022. </w:t>
      </w:r>
    </w:p>
  </w:endnote>
  <w:endnote w:id="202">
    <w:p w14:paraId="29B42A02" w14:textId="29BC278D" w:rsidR="00612763" w:rsidRPr="00F46ECF" w:rsidRDefault="007243D8" w:rsidP="00BB3490">
      <w:pPr>
        <w:pStyle w:val="EndnoteText"/>
        <w:rPr>
          <w:color w:val="034A90" w:themeColor="hyperlink"/>
          <w:u w:val="single"/>
        </w:rPr>
      </w:pPr>
      <w:r w:rsidRPr="00342EFB">
        <w:rPr>
          <w:rStyle w:val="EndnoteReference"/>
        </w:rPr>
        <w:endnoteRef/>
      </w:r>
      <w:r w:rsidR="00665CA4">
        <w:t xml:space="preserve"> Carbon Trust, </w:t>
      </w:r>
      <w:r w:rsidR="009F0990" w:rsidRPr="00342EFB">
        <w:fldChar w:fldCharType="begin"/>
      </w:r>
      <w:r w:rsidR="009F0990" w:rsidRPr="00342EFB">
        <w:fldChar w:fldCharType="separate"/>
      </w:r>
      <w:r w:rsidR="009F0990">
        <w:rPr>
          <w:rStyle w:val="Hyperlink"/>
        </w:rPr>
        <w:t>The</w:t>
      </w:r>
      <w:r w:rsidR="009F0990" w:rsidRPr="00342EFB">
        <w:rPr>
          <w:rStyle w:val="Hyperlink"/>
        </w:rPr>
        <w:fldChar w:fldCharType="end"/>
      </w:r>
      <w:hyperlink r:id="rId120" w:history="1">
        <w:r w:rsidR="008A0291" w:rsidRPr="00342EFB">
          <w:rPr>
            <w:rStyle w:val="Hyperlink"/>
            <w:i/>
            <w:iCs/>
          </w:rPr>
          <w:t>NHS Wales Decarbonisation Strategic Delivery Plan</w:t>
        </w:r>
      </w:hyperlink>
      <w:r w:rsidR="008A0291">
        <w:t xml:space="preserve">, The NHS Wales Shared Services </w:t>
      </w:r>
      <w:r w:rsidR="008A0291" w:rsidRPr="00F46ECF">
        <w:t>Partnership, NHS Wales</w:t>
      </w:r>
      <w:r w:rsidR="002D6AC4" w:rsidRPr="00F46ECF">
        <w:t xml:space="preserve">, </w:t>
      </w:r>
      <w:r w:rsidR="0034725C" w:rsidRPr="00F46ECF">
        <w:t xml:space="preserve">2021. </w:t>
      </w:r>
    </w:p>
  </w:endnote>
  <w:endnote w:id="203">
    <w:p w14:paraId="4679D44A" w14:textId="77777777" w:rsidR="00D80EFD" w:rsidRPr="00F46ECF" w:rsidRDefault="00D80EFD" w:rsidP="00D80EFD">
      <w:pPr>
        <w:pStyle w:val="EndnoteText"/>
      </w:pPr>
      <w:r w:rsidRPr="00F46ECF">
        <w:rPr>
          <w:rStyle w:val="EndnoteReference"/>
        </w:rPr>
        <w:endnoteRef/>
      </w:r>
      <w:r w:rsidRPr="00F46ECF">
        <w:t xml:space="preserve"> NHS England, </w:t>
      </w:r>
      <w:hyperlink r:id="rId121" w:history="1">
        <w:r w:rsidRPr="00F46ECF">
          <w:rPr>
            <w:rStyle w:val="Hyperlink"/>
            <w:i/>
          </w:rPr>
          <w:t>Delivering a ‘Net Zero’ National Health Service</w:t>
        </w:r>
      </w:hyperlink>
      <w:r w:rsidRPr="00F46ECF">
        <w:t>, NHS England, 2022.</w:t>
      </w:r>
    </w:p>
  </w:endnote>
  <w:endnote w:id="204">
    <w:p w14:paraId="4AD1F7B9" w14:textId="77777777" w:rsidR="00D80EFD" w:rsidRDefault="00D80EFD" w:rsidP="00D80EFD">
      <w:pPr>
        <w:pStyle w:val="EndnoteText"/>
      </w:pPr>
      <w:r w:rsidRPr="00F46ECF">
        <w:rPr>
          <w:rStyle w:val="EndnoteReference"/>
        </w:rPr>
        <w:endnoteRef/>
      </w:r>
      <w:r w:rsidRPr="00F46ECF">
        <w:t xml:space="preserve"> NHS England, </w:t>
      </w:r>
      <w:hyperlink r:id="rId122" w:history="1">
        <w:r w:rsidRPr="00F46ECF">
          <w:rPr>
            <w:rStyle w:val="Hyperlink"/>
            <w:i/>
            <w:iCs/>
          </w:rPr>
          <w:t>Suppliers</w:t>
        </w:r>
      </w:hyperlink>
      <w:r w:rsidRPr="00F46ECF">
        <w:t>, NHS England</w:t>
      </w:r>
      <w:r w:rsidRPr="00A22041">
        <w:t xml:space="preserve"> </w:t>
      </w:r>
      <w:r>
        <w:t>w</w:t>
      </w:r>
      <w:r w:rsidRPr="00A22041">
        <w:t>ebsite, 2022, accessed 30 August 2023.</w:t>
      </w:r>
    </w:p>
  </w:endnote>
  <w:endnote w:id="205">
    <w:p w14:paraId="741940B5" w14:textId="77777777" w:rsidR="00D80EFD" w:rsidRPr="00A22041" w:rsidRDefault="00D80EFD" w:rsidP="00D80EFD">
      <w:pPr>
        <w:pStyle w:val="EndnoteText"/>
      </w:pPr>
      <w:r w:rsidRPr="00A22041">
        <w:rPr>
          <w:rStyle w:val="EndnoteReference"/>
        </w:rPr>
        <w:endnoteRef/>
      </w:r>
      <w:r w:rsidRPr="00A22041">
        <w:t xml:space="preserve"> </w:t>
      </w:r>
      <w:r>
        <w:t>United States Department of Health and Human Services, ‘</w:t>
      </w:r>
      <w:hyperlink r:id="rId123" w:history="1">
        <w:r w:rsidRPr="00986031">
          <w:rPr>
            <w:rStyle w:val="Hyperlink"/>
            <w:lang w:val="en-GB"/>
          </w:rPr>
          <w:t>HHS Shares Health Sector Emissions Reduction and Climate Resilience Announcements at COP27</w:t>
        </w:r>
      </w:hyperlink>
      <w:r>
        <w:rPr>
          <w:iCs/>
        </w:rPr>
        <w:t>’,</w:t>
      </w:r>
      <w:r>
        <w:t xml:space="preserve"> </w:t>
      </w:r>
      <w:r w:rsidRPr="00986031">
        <w:rPr>
          <w:i/>
          <w:iCs/>
        </w:rPr>
        <w:t>United States Department of Health and Human Services</w:t>
      </w:r>
      <w:r>
        <w:rPr>
          <w:i/>
          <w:iCs/>
        </w:rPr>
        <w:t>,</w:t>
      </w:r>
      <w:r>
        <w:t xml:space="preserve"> 10 November 2022, accessed 22 November 2023.</w:t>
      </w:r>
    </w:p>
  </w:endnote>
  <w:endnote w:id="206">
    <w:p w14:paraId="3D93F0A0" w14:textId="107740DF" w:rsidR="008A5196" w:rsidRPr="00A22041" w:rsidRDefault="008A5196" w:rsidP="00BB3490">
      <w:pPr>
        <w:pStyle w:val="EndnoteText"/>
      </w:pPr>
      <w:r w:rsidRPr="00A22041">
        <w:rPr>
          <w:rStyle w:val="EndnoteReference"/>
        </w:rPr>
        <w:endnoteRef/>
      </w:r>
      <w:r w:rsidRPr="00A22041">
        <w:t xml:space="preserve"> A</w:t>
      </w:r>
      <w:r w:rsidR="00E12715">
        <w:t xml:space="preserve">lliance for </w:t>
      </w:r>
      <w:r w:rsidRPr="00A22041">
        <w:t>T</w:t>
      </w:r>
      <w:r w:rsidR="00E12715">
        <w:t xml:space="preserve">ransformative </w:t>
      </w:r>
      <w:r w:rsidRPr="00A22041">
        <w:t>A</w:t>
      </w:r>
      <w:r w:rsidR="00E12715">
        <w:t xml:space="preserve">ction on </w:t>
      </w:r>
      <w:r w:rsidRPr="00A22041">
        <w:t>C</w:t>
      </w:r>
      <w:r w:rsidR="00E12715">
        <w:t xml:space="preserve">limate and </w:t>
      </w:r>
      <w:r w:rsidRPr="00A22041">
        <w:t>H</w:t>
      </w:r>
      <w:r w:rsidR="00E12715">
        <w:t>ealth (</w:t>
      </w:r>
      <w:r w:rsidRPr="00A22041">
        <w:t>ATACH</w:t>
      </w:r>
      <w:r w:rsidR="00E12715">
        <w:t xml:space="preserve">), </w:t>
      </w:r>
      <w:hyperlink r:id="rId124" w:history="1">
        <w:r w:rsidR="00E12715" w:rsidRPr="00342EFB">
          <w:rPr>
            <w:rStyle w:val="Hyperlink"/>
            <w:i/>
            <w:iCs/>
          </w:rPr>
          <w:t>ATACH Communit</w:t>
        </w:r>
        <w:r w:rsidR="003E7963" w:rsidRPr="00342EFB">
          <w:rPr>
            <w:rStyle w:val="Hyperlink"/>
            <w:i/>
            <w:iCs/>
          </w:rPr>
          <w:t>y</w:t>
        </w:r>
        <w:r w:rsidRPr="00342EFB">
          <w:rPr>
            <w:rStyle w:val="Hyperlink"/>
            <w:i/>
            <w:iCs/>
          </w:rPr>
          <w:t xml:space="preserve"> of practice</w:t>
        </w:r>
        <w:r w:rsidR="003E7963" w:rsidRPr="00342EFB">
          <w:rPr>
            <w:rStyle w:val="Hyperlink"/>
            <w:i/>
            <w:iCs/>
          </w:rPr>
          <w:t>:</w:t>
        </w:r>
        <w:r w:rsidRPr="00342EFB">
          <w:rPr>
            <w:rStyle w:val="Hyperlink"/>
            <w:i/>
            <w:iCs/>
          </w:rPr>
          <w:t xml:space="preserve"> The Community of Practice for Climate Resilient and Low Carbon Sustainable Health Systems</w:t>
        </w:r>
      </w:hyperlink>
      <w:r w:rsidR="002C3554">
        <w:t>, ATACH</w:t>
      </w:r>
      <w:r w:rsidR="00060F1A">
        <w:t xml:space="preserve"> website</w:t>
      </w:r>
      <w:r w:rsidR="002C3554">
        <w:t xml:space="preserve">, </w:t>
      </w:r>
      <w:r w:rsidR="00B00468">
        <w:t>2023</w:t>
      </w:r>
      <w:r w:rsidR="00060F1A">
        <w:t xml:space="preserve">, accessed </w:t>
      </w:r>
      <w:r w:rsidR="00654162">
        <w:t>21 November 2023.</w:t>
      </w:r>
    </w:p>
  </w:endnote>
  <w:endnote w:id="207">
    <w:p w14:paraId="7A0F1B60" w14:textId="7389E314" w:rsidR="00787D1E" w:rsidRDefault="00787D1E" w:rsidP="00BB3490">
      <w:pPr>
        <w:pStyle w:val="EndnoteText"/>
      </w:pPr>
      <w:r w:rsidRPr="00AC69CF">
        <w:rPr>
          <w:rStyle w:val="EndnoteReference"/>
        </w:rPr>
        <w:endnoteRef/>
      </w:r>
      <w:r w:rsidRPr="00AC69CF">
        <w:t xml:space="preserve"> </w:t>
      </w:r>
      <w:r w:rsidR="00106B8C" w:rsidRPr="00AC69CF">
        <w:t>Australian Minister for Foreign Affairs</w:t>
      </w:r>
      <w:r w:rsidR="00917E9E" w:rsidRPr="00AC69CF">
        <w:t>,</w:t>
      </w:r>
      <w:r w:rsidR="008D527E" w:rsidRPr="00AC69CF" w:rsidDel="00917E9E">
        <w:t xml:space="preserve"> </w:t>
      </w:r>
      <w:hyperlink r:id="rId125" w:history="1">
        <w:r w:rsidR="00C8225D" w:rsidRPr="00AC69CF">
          <w:rPr>
            <w:rStyle w:val="Hyperlink"/>
            <w:i/>
          </w:rPr>
          <w:t>Australia</w:t>
        </w:r>
        <w:r w:rsidR="003F55D2" w:rsidRPr="00AC69CF">
          <w:rPr>
            <w:rStyle w:val="Hyperlink"/>
            <w:i/>
          </w:rPr>
          <w:t>’s</w:t>
        </w:r>
        <w:r w:rsidR="003A2131" w:rsidRPr="00AC69CF">
          <w:rPr>
            <w:rStyle w:val="Hyperlink"/>
            <w:i/>
          </w:rPr>
          <w:t xml:space="preserve"> new </w:t>
        </w:r>
        <w:r w:rsidR="00CC0076" w:rsidRPr="00AC69CF">
          <w:rPr>
            <w:rStyle w:val="Hyperlink"/>
            <w:i/>
          </w:rPr>
          <w:t>International Development Policy and Development Finance Review</w:t>
        </w:r>
      </w:hyperlink>
      <w:r w:rsidR="00CC0076" w:rsidRPr="00AC69CF">
        <w:t xml:space="preserve"> </w:t>
      </w:r>
      <w:r w:rsidR="00BF6FEC" w:rsidRPr="00AC69CF">
        <w:t>[</w:t>
      </w:r>
      <w:r w:rsidR="00665363" w:rsidRPr="00AC69CF">
        <w:t xml:space="preserve">media </w:t>
      </w:r>
      <w:r w:rsidR="00BF6FEC" w:rsidRPr="00AC69CF">
        <w:t>release]</w:t>
      </w:r>
      <w:r w:rsidR="00665363" w:rsidRPr="00AC69CF">
        <w:t xml:space="preserve">, </w:t>
      </w:r>
      <w:r w:rsidR="004306BD" w:rsidRPr="00AC69CF">
        <w:t xml:space="preserve">Australian Minister for Foreign Affairs, </w:t>
      </w:r>
      <w:r w:rsidR="00665363" w:rsidRPr="00AC69CF">
        <w:t>8 August 2023,</w:t>
      </w:r>
      <w:r w:rsidR="009D2319" w:rsidRPr="00AC69CF">
        <w:t xml:space="preserve"> </w:t>
      </w:r>
      <w:r w:rsidR="00890E49" w:rsidRPr="00AC69CF">
        <w:t>a</w:t>
      </w:r>
      <w:r w:rsidR="009D2319" w:rsidRPr="00AC69CF">
        <w:t xml:space="preserve">ccessed </w:t>
      </w:r>
      <w:r w:rsidR="00EE045D" w:rsidRPr="00AC69CF">
        <w:t>9 Nov</w:t>
      </w:r>
      <w:r w:rsidR="00713F46" w:rsidRPr="00AC69CF">
        <w:t>ember 2023</w:t>
      </w:r>
      <w:r w:rsidR="00890E49" w:rsidRPr="00AC69CF">
        <w:t>.</w:t>
      </w:r>
      <w:r w:rsidR="00EE045D">
        <w:t xml:space="preserve"> </w:t>
      </w:r>
    </w:p>
  </w:endnote>
  <w:endnote w:id="208">
    <w:p w14:paraId="7E22D3FB" w14:textId="15EB3B7F" w:rsidR="007C289D" w:rsidRDefault="007C289D" w:rsidP="00BB3490">
      <w:pPr>
        <w:pStyle w:val="EndnoteText"/>
      </w:pPr>
      <w:r w:rsidRPr="001B0529">
        <w:rPr>
          <w:rStyle w:val="EndnoteReference"/>
        </w:rPr>
        <w:endnoteRef/>
      </w:r>
      <w:r w:rsidRPr="001B0529">
        <w:t xml:space="preserve"> </w:t>
      </w:r>
      <w:r w:rsidR="00480B43" w:rsidRPr="00AC69CF">
        <w:t>Australian Minister for Foreign Affairs</w:t>
      </w:r>
      <w:r w:rsidR="00D86BCE">
        <w:t xml:space="preserve"> and</w:t>
      </w:r>
      <w:r w:rsidRPr="001B0529">
        <w:t xml:space="preserve"> </w:t>
      </w:r>
      <w:r w:rsidR="00106C9B">
        <w:t xml:space="preserve">the </w:t>
      </w:r>
      <w:r w:rsidR="00C44D95" w:rsidRPr="00C44D95">
        <w:t>Minister for International Development and the Pacific</w:t>
      </w:r>
      <w:r w:rsidR="00106C9B">
        <w:t xml:space="preserve">, </w:t>
      </w:r>
      <w:hyperlink r:id="rId126" w:history="1">
        <w:r w:rsidR="00EB4BE4" w:rsidRPr="00480B43">
          <w:rPr>
            <w:rStyle w:val="Hyperlink"/>
            <w:i/>
            <w:iCs/>
          </w:rPr>
          <w:t>Investing in a stronger, healthy region</w:t>
        </w:r>
      </w:hyperlink>
      <w:r w:rsidR="00EB4BE4">
        <w:t xml:space="preserve"> [media release]</w:t>
      </w:r>
      <w:r w:rsidR="0099505E">
        <w:t>,</w:t>
      </w:r>
      <w:r w:rsidR="00106C9B">
        <w:t xml:space="preserve"> </w:t>
      </w:r>
      <w:r w:rsidR="00837923">
        <w:t xml:space="preserve">Australian </w:t>
      </w:r>
      <w:r w:rsidR="00695269">
        <w:t xml:space="preserve">Department of Foreign Affairs and Trade, </w:t>
      </w:r>
      <w:r w:rsidR="0099505E">
        <w:t>23 February 2023</w:t>
      </w:r>
      <w:r w:rsidR="00874A21" w:rsidRPr="001B0529">
        <w:t xml:space="preserve">, </w:t>
      </w:r>
      <w:r w:rsidR="0099505E">
        <w:t>a</w:t>
      </w:r>
      <w:r w:rsidR="00874A21" w:rsidRPr="001B0529">
        <w:t>ccessed 10 November 2023</w:t>
      </w:r>
      <w:r w:rsidR="00874A21">
        <w:t>.</w:t>
      </w:r>
    </w:p>
  </w:endnote>
  <w:endnote w:id="209">
    <w:p w14:paraId="353F0D04" w14:textId="6BF7B7CC" w:rsidR="00997404" w:rsidRDefault="00997404" w:rsidP="00BB3490">
      <w:pPr>
        <w:pStyle w:val="EndnoteText"/>
      </w:pPr>
      <w:r w:rsidRPr="001B0529">
        <w:rPr>
          <w:rStyle w:val="EndnoteReference"/>
        </w:rPr>
        <w:endnoteRef/>
      </w:r>
      <w:r w:rsidRPr="001B0529">
        <w:t xml:space="preserve"> </w:t>
      </w:r>
      <w:r w:rsidR="001724C9">
        <w:t xml:space="preserve">Pacific Islands Forum, </w:t>
      </w:r>
      <w:hyperlink r:id="rId127" w:history="1">
        <w:r w:rsidR="001724C9" w:rsidRPr="001B0529">
          <w:rPr>
            <w:rStyle w:val="Hyperlink"/>
            <w:i/>
          </w:rPr>
          <w:t>2050 Strategy for the Blue Pacific Continent</w:t>
        </w:r>
      </w:hyperlink>
      <w:r w:rsidR="007C02D2">
        <w:rPr>
          <w:i/>
          <w:iCs/>
        </w:rPr>
        <w:t>,</w:t>
      </w:r>
      <w:r w:rsidR="001724C9" w:rsidRPr="001B0529">
        <w:t xml:space="preserve"> </w:t>
      </w:r>
      <w:r w:rsidR="00EA1538">
        <w:t>Pacific Islands Forum Secretariat, 2022</w:t>
      </w:r>
      <w:r w:rsidR="00327727">
        <w:t>.</w:t>
      </w:r>
    </w:p>
  </w:endnote>
  <w:endnote w:id="210">
    <w:p w14:paraId="7C584EC8" w14:textId="62DC1D85" w:rsidR="00F27ACF" w:rsidRPr="00340592" w:rsidRDefault="00F27ACF" w:rsidP="00BB3490">
      <w:pPr>
        <w:pStyle w:val="EndnoteText"/>
      </w:pPr>
      <w:r w:rsidRPr="00AC69CF">
        <w:rPr>
          <w:rStyle w:val="EndnoteReference"/>
        </w:rPr>
        <w:endnoteRef/>
      </w:r>
      <w:r w:rsidRPr="00AC69CF">
        <w:t xml:space="preserve"> </w:t>
      </w:r>
      <w:r w:rsidR="0044059A" w:rsidRPr="00AC69CF">
        <w:t>Prime Minister Anthony Albanese</w:t>
      </w:r>
      <w:r w:rsidR="00BC65AD" w:rsidRPr="00AC69CF">
        <w:t xml:space="preserve">, </w:t>
      </w:r>
      <w:hyperlink r:id="rId128" w:history="1">
        <w:r w:rsidR="00522843" w:rsidRPr="00AC69CF">
          <w:rPr>
            <w:rStyle w:val="Hyperlink"/>
            <w:i/>
          </w:rPr>
          <w:t>Strengthening</w:t>
        </w:r>
        <w:r w:rsidR="00340592" w:rsidRPr="00AC69CF">
          <w:rPr>
            <w:rStyle w:val="Hyperlink"/>
            <w:i/>
          </w:rPr>
          <w:t xml:space="preserve"> regional ties through the Pacific Islands Forum</w:t>
        </w:r>
      </w:hyperlink>
      <w:r w:rsidR="00340592" w:rsidRPr="00AC69CF">
        <w:t xml:space="preserve"> [</w:t>
      </w:r>
      <w:r w:rsidR="00A432DD" w:rsidRPr="00AC69CF">
        <w:t xml:space="preserve">media release], Australian Government, </w:t>
      </w:r>
      <w:r w:rsidR="008F5518" w:rsidRPr="00AC69CF">
        <w:t xml:space="preserve">10 November 2023, accessed </w:t>
      </w:r>
      <w:r w:rsidR="00F0294E" w:rsidRPr="00AC69CF">
        <w:t>13 November 2023.</w:t>
      </w:r>
    </w:p>
  </w:endnote>
  <w:endnote w:id="211">
    <w:p w14:paraId="39A6324F" w14:textId="7A74E739" w:rsidR="00730251" w:rsidRDefault="00730251" w:rsidP="00BB3490">
      <w:pPr>
        <w:pStyle w:val="EndnoteText"/>
      </w:pPr>
      <w:r w:rsidRPr="00AC69CF">
        <w:rPr>
          <w:rStyle w:val="EndnoteReference"/>
        </w:rPr>
        <w:endnoteRef/>
      </w:r>
      <w:hyperlink r:id="rId129" w:history="1">
        <w:r w:rsidR="004D7AEA" w:rsidRPr="004D7AEA">
          <w:t xml:space="preserve"> Australian Minister for Foreign Affairs, </w:t>
        </w:r>
        <w:r w:rsidR="004D7AEA">
          <w:rPr>
            <w:rStyle w:val="Hyperlink"/>
            <w:i/>
            <w:iCs/>
          </w:rPr>
          <w:t>Record investment to Global Fund to Fight Aids, Tuberculosis and Malaria</w:t>
        </w:r>
      </w:hyperlink>
      <w:r w:rsidR="000D616D">
        <w:t xml:space="preserve"> [</w:t>
      </w:r>
      <w:r w:rsidR="0015149C">
        <w:t>m</w:t>
      </w:r>
      <w:r w:rsidR="00700849" w:rsidRPr="00AC69CF">
        <w:t>edia release]</w:t>
      </w:r>
      <w:r w:rsidR="00AC69CF">
        <w:t>,</w:t>
      </w:r>
      <w:r w:rsidR="00AC69CF" w:rsidRPr="00AC69CF">
        <w:t xml:space="preserve"> </w:t>
      </w:r>
      <w:r w:rsidR="00F72364" w:rsidRPr="00F72364">
        <w:t>Australian Minister for Foreign Affairs</w:t>
      </w:r>
      <w:r w:rsidR="00F72364">
        <w:t xml:space="preserve">, </w:t>
      </w:r>
      <w:r w:rsidR="00AC69CF" w:rsidRPr="00AC69CF">
        <w:t>23 September 2023</w:t>
      </w:r>
      <w:r w:rsidR="00AC69CF">
        <w:t>,</w:t>
      </w:r>
      <w:r w:rsidR="00700849" w:rsidRPr="00AC69CF">
        <w:t xml:space="preserve"> accessed 9 November 2023.</w:t>
      </w:r>
    </w:p>
  </w:endnote>
  <w:endnote w:id="212">
    <w:p w14:paraId="22486DFD" w14:textId="3F66FB41" w:rsidR="003F3BEB" w:rsidRDefault="003F3BEB" w:rsidP="00BB3490">
      <w:pPr>
        <w:pStyle w:val="EndnoteText"/>
      </w:pPr>
      <w:r w:rsidRPr="001B0529">
        <w:rPr>
          <w:rStyle w:val="EndnoteReference"/>
        </w:rPr>
        <w:endnoteRef/>
      </w:r>
      <w:r w:rsidRPr="001B0529">
        <w:t xml:space="preserve"> A</w:t>
      </w:r>
      <w:r w:rsidR="00256B90">
        <w:t>sian Development Bank</w:t>
      </w:r>
      <w:r w:rsidR="00C522F7">
        <w:t xml:space="preserve"> (ADB)</w:t>
      </w:r>
      <w:r w:rsidR="00256B90">
        <w:t xml:space="preserve">, </w:t>
      </w:r>
      <w:hyperlink r:id="rId130" w:history="1">
        <w:r w:rsidR="00256B90" w:rsidRPr="001B0529">
          <w:rPr>
            <w:rStyle w:val="Hyperlink"/>
            <w:i/>
          </w:rPr>
          <w:t>Australian Climate Finance Partnership (ACFP)</w:t>
        </w:r>
      </w:hyperlink>
      <w:r w:rsidR="002422D5">
        <w:t xml:space="preserve">, </w:t>
      </w:r>
      <w:r w:rsidR="00C522F7">
        <w:t xml:space="preserve">ADB </w:t>
      </w:r>
      <w:r w:rsidR="002422D5">
        <w:t xml:space="preserve">website, n.d., </w:t>
      </w:r>
      <w:r w:rsidR="005D26C2">
        <w:t>a</w:t>
      </w:r>
      <w:r w:rsidR="00844616">
        <w:t>ccessed 10 November 2023.</w:t>
      </w:r>
    </w:p>
  </w:endnote>
  <w:endnote w:id="213">
    <w:p w14:paraId="0ACD01C0" w14:textId="13573E84" w:rsidR="00796C3A" w:rsidRDefault="00796C3A" w:rsidP="00BB3490">
      <w:pPr>
        <w:pStyle w:val="EndnoteText"/>
      </w:pPr>
      <w:r>
        <w:rPr>
          <w:rStyle w:val="EndnoteReference"/>
        </w:rPr>
        <w:endnoteRef/>
      </w:r>
      <w:r>
        <w:t xml:space="preserve"> </w:t>
      </w:r>
      <w:r w:rsidR="00B00468">
        <w:t>KJ Bowen, KL Ebi, A Woodward, L McIver, C Tukuitonga</w:t>
      </w:r>
      <w:r w:rsidR="0053680A">
        <w:t xml:space="preserve"> and P</w:t>
      </w:r>
      <w:r w:rsidRPr="00EA3212">
        <w:t xml:space="preserve"> Nayna Schwerdtle,</w:t>
      </w:r>
      <w:r w:rsidR="00625BCB">
        <w:t xml:space="preserve"> ‘</w:t>
      </w:r>
      <w:r w:rsidRPr="00EA3212">
        <w:t>Human health and climate change in the Pacific: a review of current knowledge</w:t>
      </w:r>
      <w:r w:rsidR="00625BCB">
        <w:t>’,</w:t>
      </w:r>
      <w:r w:rsidRPr="00EA3212">
        <w:t xml:space="preserve"> </w:t>
      </w:r>
      <w:r w:rsidRPr="00B00468">
        <w:rPr>
          <w:i/>
        </w:rPr>
        <w:t>Climate and Development</w:t>
      </w:r>
      <w:r w:rsidRPr="00EA3212">
        <w:t xml:space="preserve">, </w:t>
      </w:r>
      <w:r w:rsidR="00303F32" w:rsidRPr="003D4239">
        <w:t>2023</w:t>
      </w:r>
      <w:r w:rsidR="00112CDD" w:rsidRPr="003D4239">
        <w:t>, 1-15</w:t>
      </w:r>
      <w:r w:rsidR="00112CDD">
        <w:t xml:space="preserve">, </w:t>
      </w:r>
      <w:r w:rsidR="00D625A6">
        <w:t>doi:</w:t>
      </w:r>
      <w:r w:rsidR="00112CDD" w:rsidRPr="00112CDD">
        <w:t>10.1080/17565529.2023.2185479</w:t>
      </w:r>
      <w:r w:rsidR="0024371C">
        <w:t>.</w:t>
      </w:r>
    </w:p>
  </w:endnote>
  <w:endnote w:id="214">
    <w:p w14:paraId="05405BA7" w14:textId="4B7C5416" w:rsidR="00CD64D6" w:rsidRDefault="00CD64D6" w:rsidP="00BB3490">
      <w:pPr>
        <w:pStyle w:val="EndnoteText"/>
      </w:pPr>
      <w:r w:rsidRPr="00060F1A">
        <w:rPr>
          <w:rStyle w:val="EndnoteReference"/>
        </w:rPr>
        <w:endnoteRef/>
      </w:r>
      <w:r w:rsidR="00395D5E" w:rsidRPr="00060F1A">
        <w:t xml:space="preserve"> </w:t>
      </w:r>
      <w:r w:rsidR="007B3B69">
        <w:t xml:space="preserve">Australian </w:t>
      </w:r>
      <w:r w:rsidR="00395D5E" w:rsidRPr="00060F1A">
        <w:t>Department of Foreign Affairs and Trade</w:t>
      </w:r>
      <w:r w:rsidR="00060F1A" w:rsidRPr="00060F1A">
        <w:t xml:space="preserve"> (DFAT)</w:t>
      </w:r>
      <w:r w:rsidR="00395D5E" w:rsidRPr="00060F1A">
        <w:t xml:space="preserve">, </w:t>
      </w:r>
      <w:hyperlink r:id="rId131" w:history="1">
        <w:r w:rsidR="00395D5E" w:rsidRPr="00060F1A">
          <w:rPr>
            <w:rStyle w:val="Hyperlink"/>
            <w:i/>
          </w:rPr>
          <w:t>Climate resilient agricultural development initiatives</w:t>
        </w:r>
      </w:hyperlink>
      <w:r w:rsidR="00220FE6" w:rsidRPr="00060F1A">
        <w:t xml:space="preserve">, </w:t>
      </w:r>
      <w:r w:rsidR="00060F1A" w:rsidRPr="00060F1A">
        <w:rPr>
          <w:iCs/>
        </w:rPr>
        <w:t xml:space="preserve">DFAT website, </w:t>
      </w:r>
      <w:r w:rsidR="00B566B3" w:rsidRPr="00060F1A">
        <w:t>n.d</w:t>
      </w:r>
      <w:r w:rsidR="00B566B3" w:rsidRPr="00060F1A">
        <w:rPr>
          <w:i/>
        </w:rPr>
        <w:t>.,</w:t>
      </w:r>
      <w:r w:rsidR="00220FE6" w:rsidRPr="00060F1A">
        <w:rPr>
          <w:i/>
        </w:rPr>
        <w:t xml:space="preserve"> </w:t>
      </w:r>
      <w:r w:rsidR="002F52AA" w:rsidRPr="00060F1A">
        <w:t>a</w:t>
      </w:r>
      <w:r w:rsidR="009E5519" w:rsidRPr="00060F1A">
        <w:t xml:space="preserve">ccessed </w:t>
      </w:r>
      <w:r w:rsidR="001E452D" w:rsidRPr="00060F1A">
        <w:t>1 November 2023.</w:t>
      </w:r>
    </w:p>
  </w:endnote>
  <w:endnote w:id="215">
    <w:p w14:paraId="6F830649" w14:textId="380173D7" w:rsidR="008A5196" w:rsidRDefault="008A5196" w:rsidP="00BB3490">
      <w:pPr>
        <w:pStyle w:val="EndnoteText"/>
      </w:pPr>
      <w:r>
        <w:rPr>
          <w:rStyle w:val="EndnoteReference"/>
        </w:rPr>
        <w:endnoteRef/>
      </w:r>
      <w:r>
        <w:t xml:space="preserve"> </w:t>
      </w:r>
      <w:r w:rsidRPr="00D86557">
        <w:t>Global Agricultural and Food Security Program</w:t>
      </w:r>
      <w:r>
        <w:t xml:space="preserve"> </w:t>
      </w:r>
      <w:r w:rsidR="00267092">
        <w:t>(GA</w:t>
      </w:r>
      <w:r w:rsidR="00806163">
        <w:t>FSP),</w:t>
      </w:r>
      <w:r w:rsidR="00332560">
        <w:t xml:space="preserve"> </w:t>
      </w:r>
      <w:hyperlink r:id="rId132" w:history="1">
        <w:r w:rsidR="00332560" w:rsidRPr="00332560">
          <w:rPr>
            <w:rStyle w:val="Hyperlink"/>
            <w:i/>
            <w:iCs/>
          </w:rPr>
          <w:t>Our work</w:t>
        </w:r>
      </w:hyperlink>
      <w:r w:rsidR="00332560">
        <w:t>,</w:t>
      </w:r>
      <w:r w:rsidR="00806163">
        <w:t xml:space="preserve"> </w:t>
      </w:r>
      <w:r w:rsidR="00E87155" w:rsidRPr="00332560">
        <w:t xml:space="preserve">GAFSP website, </w:t>
      </w:r>
      <w:r w:rsidR="00882FD3" w:rsidRPr="00332560">
        <w:t>2023,</w:t>
      </w:r>
      <w:r w:rsidR="00882FD3">
        <w:t xml:space="preserve"> </w:t>
      </w:r>
      <w:r w:rsidR="009405A8">
        <w:t>a</w:t>
      </w:r>
      <w:r w:rsidRPr="00454708">
        <w:rPr>
          <w:rFonts w:cstheme="minorHAnsi"/>
        </w:rPr>
        <w:t>ccessed 1 November 2023</w:t>
      </w:r>
      <w:r w:rsidR="0024371C">
        <w:rPr>
          <w:rFonts w:cstheme="minorHAnsi"/>
        </w:rPr>
        <w:t>.</w:t>
      </w:r>
    </w:p>
  </w:endnote>
  <w:endnote w:id="216">
    <w:p w14:paraId="10950865" w14:textId="648B4135" w:rsidR="008A5196" w:rsidRDefault="008A5196" w:rsidP="00BB3490">
      <w:pPr>
        <w:pStyle w:val="EndnoteText"/>
      </w:pPr>
      <w:r>
        <w:rPr>
          <w:rStyle w:val="EndnoteReference"/>
        </w:rPr>
        <w:endnoteRef/>
      </w:r>
      <w:r>
        <w:t xml:space="preserve"> </w:t>
      </w:r>
      <w:r w:rsidRPr="001F0318">
        <w:t>To</w:t>
      </w:r>
      <w:r w:rsidR="003D44E9">
        <w:t>’</w:t>
      </w:r>
      <w:r w:rsidRPr="001F0318">
        <w:t>os ba Moris Di</w:t>
      </w:r>
      <w:r w:rsidR="003D44E9">
        <w:t>’</w:t>
      </w:r>
      <w:r w:rsidRPr="001F0318">
        <w:t>ak</w:t>
      </w:r>
      <w:r w:rsidR="001C1D11">
        <w:t xml:space="preserve"> </w:t>
      </w:r>
      <w:r w:rsidRPr="001F0318">
        <w:t>(TOMAK)</w:t>
      </w:r>
      <w:r w:rsidR="001C1D11">
        <w:t xml:space="preserve">, </w:t>
      </w:r>
      <w:hyperlink r:id="rId133" w:history="1">
        <w:r w:rsidRPr="00D53837">
          <w:rPr>
            <w:rStyle w:val="Hyperlink"/>
            <w:i/>
            <w:iCs/>
          </w:rPr>
          <w:t>Farming for Prosperity</w:t>
        </w:r>
      </w:hyperlink>
      <w:r w:rsidR="001C1D11">
        <w:t xml:space="preserve">, </w:t>
      </w:r>
      <w:r w:rsidR="001C1D11" w:rsidRPr="00D53837">
        <w:t>TOMAK website,</w:t>
      </w:r>
      <w:r w:rsidR="009D2319" w:rsidRPr="00D53837">
        <w:t xml:space="preserve"> </w:t>
      </w:r>
      <w:r w:rsidR="001C1D11" w:rsidRPr="00D53837">
        <w:t>2023,</w:t>
      </w:r>
      <w:r w:rsidR="001C1D11">
        <w:t xml:space="preserve"> </w:t>
      </w:r>
      <w:r w:rsidR="001C1D11">
        <w:rPr>
          <w:rFonts w:cstheme="minorHAnsi"/>
        </w:rPr>
        <w:t>a</w:t>
      </w:r>
      <w:r w:rsidRPr="00454708">
        <w:rPr>
          <w:rFonts w:cstheme="minorHAnsi"/>
        </w:rPr>
        <w:t>ccessed 1 November 2023</w:t>
      </w:r>
      <w:r w:rsidR="001C1D11">
        <w:rPr>
          <w:rFonts w:cstheme="minorHAnsi"/>
        </w:rPr>
        <w:t xml:space="preserve">. </w:t>
      </w:r>
    </w:p>
  </w:endnote>
  <w:endnote w:id="217">
    <w:p w14:paraId="406FD77E" w14:textId="2FDEF397" w:rsidR="008A5196" w:rsidRPr="001C1D11" w:rsidRDefault="008A5196" w:rsidP="00BB3490">
      <w:pPr>
        <w:pStyle w:val="EndnoteText"/>
      </w:pPr>
      <w:r>
        <w:rPr>
          <w:rStyle w:val="EndnoteReference"/>
        </w:rPr>
        <w:endnoteRef/>
      </w:r>
      <w:r>
        <w:t xml:space="preserve"> </w:t>
      </w:r>
      <w:r w:rsidR="001C1D11">
        <w:t>K</w:t>
      </w:r>
      <w:r>
        <w:t xml:space="preserve"> Levy</w:t>
      </w:r>
      <w:r w:rsidR="001C1D11">
        <w:t>, AP</w:t>
      </w:r>
      <w:r>
        <w:t xml:space="preserve"> Woster</w:t>
      </w:r>
      <w:r w:rsidR="001C1D11">
        <w:t>, RS</w:t>
      </w:r>
      <w:r>
        <w:t xml:space="preserve"> Goldstein </w:t>
      </w:r>
      <w:r w:rsidR="001C1D11">
        <w:t>and EJ</w:t>
      </w:r>
      <w:r>
        <w:t xml:space="preserve"> Carlton</w:t>
      </w:r>
      <w:r w:rsidR="001C1D11">
        <w:t>, ‘</w:t>
      </w:r>
      <w:r w:rsidRPr="00DE28D8">
        <w:rPr>
          <w:rFonts w:cstheme="minorHAnsi"/>
        </w:rPr>
        <w:t xml:space="preserve">Untangling the Impacts of Climate Change on Waterborne Diseases: a Systematic Review of </w:t>
      </w:r>
      <w:r w:rsidRPr="00704CCF">
        <w:rPr>
          <w:rFonts w:cstheme="minorHAnsi"/>
        </w:rPr>
        <w:t>Relationships between Diarrheal Diseases and Temperature, Rainfall, Flooding, and Drought</w:t>
      </w:r>
      <w:r w:rsidR="001C1D11">
        <w:rPr>
          <w:rFonts w:cstheme="minorHAnsi"/>
        </w:rPr>
        <w:t>’,</w:t>
      </w:r>
      <w:r w:rsidRPr="00704CCF">
        <w:rPr>
          <w:rFonts w:cstheme="minorHAnsi"/>
        </w:rPr>
        <w:t xml:space="preserve"> </w:t>
      </w:r>
      <w:r w:rsidRPr="00704CCF">
        <w:rPr>
          <w:rFonts w:cstheme="minorHAnsi"/>
          <w:i/>
          <w:iCs/>
        </w:rPr>
        <w:t>Environ</w:t>
      </w:r>
      <w:r w:rsidR="00DF6820">
        <w:rPr>
          <w:rFonts w:cstheme="minorHAnsi"/>
          <w:i/>
          <w:iCs/>
        </w:rPr>
        <w:t>mental</w:t>
      </w:r>
      <w:r w:rsidRPr="00704CCF">
        <w:rPr>
          <w:rFonts w:cstheme="minorHAnsi"/>
          <w:i/>
          <w:iCs/>
        </w:rPr>
        <w:t xml:space="preserve"> Sci</w:t>
      </w:r>
      <w:r w:rsidR="00DF6820">
        <w:rPr>
          <w:rFonts w:cstheme="minorHAnsi"/>
          <w:i/>
          <w:iCs/>
        </w:rPr>
        <w:t>ence and</w:t>
      </w:r>
      <w:r w:rsidRPr="00704CCF">
        <w:rPr>
          <w:rFonts w:cstheme="minorHAnsi"/>
          <w:i/>
          <w:iCs/>
        </w:rPr>
        <w:t xml:space="preserve"> Technol</w:t>
      </w:r>
      <w:r w:rsidR="00DF6820">
        <w:rPr>
          <w:rFonts w:cstheme="minorHAnsi"/>
          <w:i/>
          <w:iCs/>
        </w:rPr>
        <w:t>ogy,</w:t>
      </w:r>
      <w:r w:rsidRPr="00704CCF">
        <w:rPr>
          <w:rFonts w:cstheme="minorHAnsi"/>
        </w:rPr>
        <w:t xml:space="preserve"> 2016</w:t>
      </w:r>
      <w:r w:rsidR="001026F9">
        <w:rPr>
          <w:rFonts w:cstheme="minorHAnsi"/>
        </w:rPr>
        <w:t xml:space="preserve">, </w:t>
      </w:r>
      <w:r w:rsidRPr="00704CCF">
        <w:rPr>
          <w:rFonts w:cstheme="minorHAnsi"/>
        </w:rPr>
        <w:t>50(10):4905-</w:t>
      </w:r>
      <w:r w:rsidR="00837E58">
        <w:rPr>
          <w:rFonts w:cstheme="minorHAnsi"/>
        </w:rPr>
        <w:t>49</w:t>
      </w:r>
      <w:r w:rsidRPr="00704CCF">
        <w:rPr>
          <w:rFonts w:cstheme="minorHAnsi"/>
        </w:rPr>
        <w:t>22</w:t>
      </w:r>
      <w:r w:rsidR="001026F9">
        <w:rPr>
          <w:rFonts w:cstheme="minorHAnsi"/>
        </w:rPr>
        <w:t>,</w:t>
      </w:r>
      <w:r w:rsidRPr="00704CCF">
        <w:rPr>
          <w:rFonts w:cstheme="minorHAnsi"/>
        </w:rPr>
        <w:t xml:space="preserve"> doi:10.1021/acs.est.5b06186</w:t>
      </w:r>
      <w:r w:rsidR="0024371C">
        <w:rPr>
          <w:rFonts w:cstheme="minorHAnsi"/>
        </w:rPr>
        <w:t>.</w:t>
      </w:r>
    </w:p>
  </w:endnote>
  <w:endnote w:id="218">
    <w:p w14:paraId="1DAADD95" w14:textId="5E7A7CEF" w:rsidR="008A5196" w:rsidRPr="00704CCF" w:rsidRDefault="008A5196" w:rsidP="00BB3490">
      <w:pPr>
        <w:pStyle w:val="EndnoteText"/>
        <w:rPr>
          <w:rFonts w:cstheme="minorHAnsi"/>
        </w:rPr>
      </w:pPr>
      <w:r w:rsidRPr="008B2EA3">
        <w:rPr>
          <w:rStyle w:val="EndnoteReference"/>
          <w:rFonts w:cstheme="minorHAnsi"/>
        </w:rPr>
        <w:endnoteRef/>
      </w:r>
      <w:r w:rsidRPr="008B2EA3">
        <w:rPr>
          <w:rFonts w:cstheme="minorHAnsi"/>
        </w:rPr>
        <w:t xml:space="preserve"> Water for Women</w:t>
      </w:r>
      <w:r w:rsidR="007628C9" w:rsidRPr="008B2EA3">
        <w:rPr>
          <w:rFonts w:cstheme="minorHAnsi"/>
        </w:rPr>
        <w:t xml:space="preserve">, </w:t>
      </w:r>
      <w:hyperlink r:id="rId134" w:history="1">
        <w:r w:rsidR="00B30618" w:rsidRPr="000F1195">
          <w:rPr>
            <w:rStyle w:val="Hyperlink"/>
            <w:rFonts w:cstheme="minorHAnsi"/>
            <w:i/>
            <w:iCs/>
          </w:rPr>
          <w:t>What is Water for Women?</w:t>
        </w:r>
      </w:hyperlink>
      <w:r w:rsidR="00B30618">
        <w:rPr>
          <w:rFonts w:cstheme="minorHAnsi"/>
        </w:rPr>
        <w:t xml:space="preserve">, </w:t>
      </w:r>
      <w:r w:rsidR="008B2EA3" w:rsidRPr="008B2EA3">
        <w:rPr>
          <w:rFonts w:cstheme="minorHAnsi"/>
        </w:rPr>
        <w:t>Water for Women website,</w:t>
      </w:r>
      <w:r w:rsidRPr="008B2EA3">
        <w:rPr>
          <w:rFonts w:cstheme="minorHAnsi"/>
        </w:rPr>
        <w:t xml:space="preserve"> </w:t>
      </w:r>
      <w:r w:rsidR="00E840A1" w:rsidRPr="008B2EA3">
        <w:rPr>
          <w:rFonts w:cstheme="minorHAnsi"/>
        </w:rPr>
        <w:t>2020, a</w:t>
      </w:r>
      <w:r w:rsidRPr="008B2EA3">
        <w:rPr>
          <w:rFonts w:cstheme="minorHAnsi"/>
        </w:rPr>
        <w:t>ccessed 1 November 2023</w:t>
      </w:r>
      <w:r w:rsidR="0024371C" w:rsidRPr="008B2EA3">
        <w:rPr>
          <w:rFonts w:cstheme="minorHAnsi"/>
        </w:rPr>
        <w:t>.</w:t>
      </w:r>
    </w:p>
  </w:endnote>
  <w:endnote w:id="219">
    <w:p w14:paraId="3F036AAE" w14:textId="747F39CD" w:rsidR="008A5196" w:rsidRPr="00317EFB" w:rsidRDefault="008A5196" w:rsidP="00BB3490">
      <w:pPr>
        <w:pStyle w:val="EndnoteText"/>
        <w:rPr>
          <w:highlight w:val="magenta"/>
        </w:rPr>
      </w:pPr>
      <w:r w:rsidRPr="00301D53">
        <w:rPr>
          <w:rStyle w:val="EndnoteReference"/>
          <w:rFonts w:cstheme="minorHAnsi"/>
        </w:rPr>
        <w:endnoteRef/>
      </w:r>
      <w:r w:rsidRPr="00301D53">
        <w:rPr>
          <w:rFonts w:cstheme="minorHAnsi"/>
        </w:rPr>
        <w:t xml:space="preserve"> The Australian Water Partnership, </w:t>
      </w:r>
      <w:hyperlink r:id="rId135" w:history="1">
        <w:r w:rsidRPr="00301D53">
          <w:rPr>
            <w:rStyle w:val="Hyperlink"/>
            <w:rFonts w:cstheme="minorHAnsi"/>
            <w:i/>
          </w:rPr>
          <w:t>About: The water imperative</w:t>
        </w:r>
      </w:hyperlink>
      <w:r w:rsidR="008A2C3E" w:rsidRPr="00301D53">
        <w:rPr>
          <w:rFonts w:cstheme="minorHAnsi"/>
        </w:rPr>
        <w:t xml:space="preserve">, </w:t>
      </w:r>
      <w:r w:rsidR="007D0953" w:rsidRPr="00301D53">
        <w:rPr>
          <w:rFonts w:cstheme="minorHAnsi"/>
        </w:rPr>
        <w:t>Australian Aid</w:t>
      </w:r>
      <w:r w:rsidR="00CA5AAA" w:rsidRPr="00301D53">
        <w:rPr>
          <w:rFonts w:cstheme="minorHAnsi"/>
        </w:rPr>
        <w:t xml:space="preserve"> website</w:t>
      </w:r>
      <w:r w:rsidR="007D0953" w:rsidRPr="00301D53">
        <w:rPr>
          <w:rFonts w:cstheme="minorHAnsi"/>
        </w:rPr>
        <w:t xml:space="preserve">, </w:t>
      </w:r>
      <w:r w:rsidR="008C4901" w:rsidRPr="00301D53">
        <w:rPr>
          <w:rFonts w:cstheme="minorHAnsi"/>
        </w:rPr>
        <w:t xml:space="preserve">2021, accessed 1 November 2023. </w:t>
      </w:r>
    </w:p>
  </w:endnote>
  <w:endnote w:id="220">
    <w:p w14:paraId="01206EFB" w14:textId="37B77AEB" w:rsidR="008A5196" w:rsidRDefault="008A5196" w:rsidP="00BB3490">
      <w:pPr>
        <w:pStyle w:val="EndnoteText"/>
      </w:pPr>
      <w:r w:rsidRPr="00800952">
        <w:rPr>
          <w:rStyle w:val="EndnoteReference"/>
        </w:rPr>
        <w:endnoteRef/>
      </w:r>
      <w:r w:rsidRPr="00800952">
        <w:t xml:space="preserve"> </w:t>
      </w:r>
      <w:r w:rsidRPr="00800952">
        <w:rPr>
          <w:rFonts w:cstheme="minorHAnsi"/>
        </w:rPr>
        <w:t xml:space="preserve">The Australian Water Partnership, </w:t>
      </w:r>
      <w:r w:rsidR="00800952" w:rsidRPr="00800952">
        <w:rPr>
          <w:rFonts w:cstheme="minorHAnsi"/>
        </w:rPr>
        <w:t>‘</w:t>
      </w:r>
      <w:hyperlink r:id="rId136" w:history="1">
        <w:r w:rsidRPr="00800952">
          <w:rPr>
            <w:rStyle w:val="Hyperlink"/>
            <w:rFonts w:cstheme="minorHAnsi"/>
          </w:rPr>
          <w:t>Partnerin</w:t>
        </w:r>
        <w:bookmarkStart w:id="187" w:name="_Hlt151643731"/>
        <w:bookmarkStart w:id="188" w:name="_Hlt151643732"/>
        <w:r w:rsidRPr="00800952">
          <w:rPr>
            <w:rStyle w:val="Hyperlink"/>
            <w:rFonts w:cstheme="minorHAnsi"/>
          </w:rPr>
          <w:t>g</w:t>
        </w:r>
        <w:bookmarkEnd w:id="187"/>
        <w:bookmarkEnd w:id="188"/>
        <w:r w:rsidRPr="00800952">
          <w:rPr>
            <w:rStyle w:val="Hyperlink"/>
            <w:rFonts w:cstheme="minorHAnsi"/>
          </w:rPr>
          <w:t xml:space="preserve"> for River Basin Governance in the Hindu Kush Himalaya</w:t>
        </w:r>
      </w:hyperlink>
      <w:r w:rsidR="00800952" w:rsidRPr="00800952">
        <w:rPr>
          <w:rFonts w:cstheme="minorHAnsi"/>
        </w:rPr>
        <w:t>’,</w:t>
      </w:r>
      <w:r w:rsidRPr="00800952">
        <w:rPr>
          <w:rFonts w:cstheme="minorHAnsi"/>
        </w:rPr>
        <w:t xml:space="preserve"> </w:t>
      </w:r>
      <w:r w:rsidR="001C44FB" w:rsidRPr="00800952">
        <w:rPr>
          <w:rFonts w:cstheme="minorHAnsi"/>
          <w:i/>
          <w:iCs/>
        </w:rPr>
        <w:t>Australian Aid</w:t>
      </w:r>
      <w:r w:rsidR="001C44FB" w:rsidRPr="00800952">
        <w:rPr>
          <w:rFonts w:cstheme="minorHAnsi"/>
        </w:rPr>
        <w:t>,</w:t>
      </w:r>
      <w:r w:rsidR="00670D25" w:rsidRPr="00800952">
        <w:rPr>
          <w:rFonts w:cstheme="minorHAnsi"/>
        </w:rPr>
        <w:t xml:space="preserve"> </w:t>
      </w:r>
      <w:r w:rsidR="00B6162D" w:rsidRPr="00800952">
        <w:rPr>
          <w:rFonts w:cstheme="minorHAnsi"/>
        </w:rPr>
        <w:t>31 August</w:t>
      </w:r>
      <w:r w:rsidR="001C44FB" w:rsidRPr="00800952">
        <w:rPr>
          <w:rFonts w:cstheme="minorHAnsi"/>
        </w:rPr>
        <w:t xml:space="preserve"> 2021, </w:t>
      </w:r>
      <w:r w:rsidR="008C4901" w:rsidRPr="00800952">
        <w:rPr>
          <w:rFonts w:cstheme="minorHAnsi"/>
        </w:rPr>
        <w:t>a</w:t>
      </w:r>
      <w:r w:rsidRPr="00800952">
        <w:rPr>
          <w:rFonts w:cstheme="minorHAnsi"/>
        </w:rPr>
        <w:t>ccessed 1 November 2023</w:t>
      </w:r>
      <w:r w:rsidR="0024371C" w:rsidRPr="00800952">
        <w:rPr>
          <w:rFonts w:cstheme="minorHAnsi"/>
        </w:rPr>
        <w:t>.</w:t>
      </w:r>
    </w:p>
  </w:endnote>
  <w:endnote w:id="221">
    <w:p w14:paraId="544E3786" w14:textId="6DAEFD50" w:rsidR="008A5196" w:rsidRDefault="008A5196" w:rsidP="00BB3490">
      <w:pPr>
        <w:pStyle w:val="EndnoteText"/>
      </w:pPr>
      <w:r>
        <w:rPr>
          <w:rStyle w:val="EndnoteReference"/>
        </w:rPr>
        <w:endnoteRef/>
      </w:r>
      <w:r w:rsidRPr="00EF6671">
        <w:t xml:space="preserve"> </w:t>
      </w:r>
      <w:r w:rsidRPr="00EF6671">
        <w:rPr>
          <w:rFonts w:cstheme="minorHAnsi"/>
        </w:rPr>
        <w:t xml:space="preserve">The Australian Water Partnership, </w:t>
      </w:r>
      <w:r w:rsidR="00EF6671">
        <w:rPr>
          <w:rFonts w:cstheme="minorHAnsi"/>
        </w:rPr>
        <w:t>‘</w:t>
      </w:r>
      <w:hyperlink r:id="rId137" w:history="1">
        <w:r w:rsidRPr="00EF6671">
          <w:rPr>
            <w:rStyle w:val="Hyperlink"/>
            <w:rFonts w:cstheme="minorHAnsi"/>
          </w:rPr>
          <w:t>Building climate change resilience in West Java</w:t>
        </w:r>
      </w:hyperlink>
      <w:r w:rsidR="00241801">
        <w:rPr>
          <w:rFonts w:cstheme="minorHAnsi"/>
        </w:rPr>
        <w:t>’</w:t>
      </w:r>
      <w:r w:rsidR="007D2567">
        <w:rPr>
          <w:rFonts w:cstheme="minorHAnsi"/>
        </w:rPr>
        <w:t>,</w:t>
      </w:r>
      <w:r w:rsidR="0024371C" w:rsidRPr="00EF6671">
        <w:rPr>
          <w:rFonts w:cstheme="minorHAnsi"/>
        </w:rPr>
        <w:t xml:space="preserve"> </w:t>
      </w:r>
      <w:r w:rsidR="0024371C" w:rsidRPr="00EF6671">
        <w:rPr>
          <w:rFonts w:cstheme="minorHAnsi"/>
          <w:i/>
          <w:iCs/>
        </w:rPr>
        <w:t>Australian Aid</w:t>
      </w:r>
      <w:r w:rsidR="0024371C" w:rsidRPr="00EF6671">
        <w:rPr>
          <w:rFonts w:cstheme="minorHAnsi"/>
        </w:rPr>
        <w:t xml:space="preserve">, </w:t>
      </w:r>
      <w:r w:rsidR="00EF6671">
        <w:rPr>
          <w:rFonts w:cstheme="minorHAnsi"/>
        </w:rPr>
        <w:t xml:space="preserve">31 August </w:t>
      </w:r>
      <w:r w:rsidR="0024371C" w:rsidRPr="00EF6671">
        <w:rPr>
          <w:rFonts w:cstheme="minorHAnsi"/>
        </w:rPr>
        <w:t>2021,</w:t>
      </w:r>
      <w:r w:rsidRPr="00EF6671">
        <w:rPr>
          <w:rFonts w:cstheme="minorHAnsi"/>
        </w:rPr>
        <w:t xml:space="preserve"> </w:t>
      </w:r>
      <w:r w:rsidR="0024371C" w:rsidRPr="00EF6671">
        <w:rPr>
          <w:rFonts w:cstheme="minorHAnsi"/>
        </w:rPr>
        <w:t>a</w:t>
      </w:r>
      <w:r w:rsidRPr="00EF6671">
        <w:rPr>
          <w:rFonts w:cstheme="minorHAnsi"/>
        </w:rPr>
        <w:t>ccessed 1 November 2023</w:t>
      </w:r>
      <w:r w:rsidR="0024371C" w:rsidRPr="00EF6671">
        <w:rPr>
          <w:rFonts w:cstheme="minorHAnsi"/>
        </w:rPr>
        <w:t>.</w:t>
      </w:r>
    </w:p>
  </w:endnote>
  <w:endnote w:id="222">
    <w:p w14:paraId="57B4ED31" w14:textId="28E8BA51" w:rsidR="008A5196" w:rsidRDefault="008A5196" w:rsidP="00BB3490">
      <w:pPr>
        <w:pStyle w:val="EndnoteText"/>
      </w:pPr>
      <w:r>
        <w:rPr>
          <w:rStyle w:val="EndnoteReference"/>
        </w:rPr>
        <w:endnoteRef/>
      </w:r>
      <w:r>
        <w:t xml:space="preserve"> </w:t>
      </w:r>
      <w:r w:rsidR="00767AE5">
        <w:t>L Etchart,</w:t>
      </w:r>
      <w:r>
        <w:t xml:space="preserve"> </w:t>
      </w:r>
      <w:r w:rsidR="008C21F4">
        <w:t>‘</w:t>
      </w:r>
      <w:r w:rsidR="008C21F4" w:rsidRPr="008C21F4">
        <w:t>The role of indigenous peoples in combating climate change</w:t>
      </w:r>
      <w:r w:rsidR="008C21F4">
        <w:t xml:space="preserve">’, </w:t>
      </w:r>
      <w:r w:rsidR="00AB4A84">
        <w:rPr>
          <w:i/>
          <w:iCs/>
        </w:rPr>
        <w:t>Palgrave Communications</w:t>
      </w:r>
      <w:r w:rsidR="00AB4A84">
        <w:t xml:space="preserve">, </w:t>
      </w:r>
      <w:r w:rsidR="000C3214">
        <w:t>20</w:t>
      </w:r>
      <w:r w:rsidR="00AD40D3">
        <w:t xml:space="preserve">17, </w:t>
      </w:r>
      <w:r w:rsidR="00E1615B">
        <w:t>3:</w:t>
      </w:r>
      <w:r w:rsidR="00145648">
        <w:t>17085, doi:</w:t>
      </w:r>
      <w:r w:rsidR="00BE0980" w:rsidRPr="00BE0980">
        <w:t>10.1057/palcomms.2017.85</w:t>
      </w:r>
      <w:r w:rsidR="00BE0980">
        <w:t xml:space="preserve">. </w:t>
      </w:r>
    </w:p>
  </w:endnote>
  <w:endnote w:id="223">
    <w:p w14:paraId="52FC4A1D" w14:textId="1223F6D9" w:rsidR="008A5196" w:rsidRDefault="008A5196" w:rsidP="00BB3490">
      <w:pPr>
        <w:pStyle w:val="EndnoteText"/>
      </w:pPr>
      <w:r w:rsidRPr="009D5D65">
        <w:rPr>
          <w:rStyle w:val="EndnoteReference"/>
        </w:rPr>
        <w:endnoteRef/>
      </w:r>
      <w:r w:rsidRPr="009D5D65">
        <w:t xml:space="preserve"> </w:t>
      </w:r>
      <w:r w:rsidR="007345D2">
        <w:t xml:space="preserve">United Nations </w:t>
      </w:r>
      <w:r w:rsidR="007D6896">
        <w:t>Framework Convention on Climate Change</w:t>
      </w:r>
      <w:r w:rsidR="00263165">
        <w:t xml:space="preserve"> (UNFCCC)</w:t>
      </w:r>
      <w:r w:rsidR="007D6896">
        <w:t xml:space="preserve">, </w:t>
      </w:r>
      <w:hyperlink r:id="rId138" w:history="1">
        <w:r w:rsidR="00745F5B" w:rsidRPr="0016795D">
          <w:rPr>
            <w:rStyle w:val="Hyperlink"/>
            <w:i/>
          </w:rPr>
          <w:t xml:space="preserve">The local communities and indigenous peoples platform becomes operational at </w:t>
        </w:r>
        <w:r w:rsidR="00EF6671">
          <w:rPr>
            <w:rStyle w:val="Hyperlink"/>
            <w:i/>
          </w:rPr>
          <w:t>COP</w:t>
        </w:r>
        <w:r w:rsidR="00745F5B" w:rsidRPr="0016795D">
          <w:rPr>
            <w:rStyle w:val="Hyperlink"/>
            <w:i/>
          </w:rPr>
          <w:t>23</w:t>
        </w:r>
      </w:hyperlink>
      <w:r w:rsidR="00A14A72">
        <w:t xml:space="preserve">, </w:t>
      </w:r>
      <w:r w:rsidR="00263165">
        <w:t>UNFCCC</w:t>
      </w:r>
      <w:r w:rsidR="001D3D11">
        <w:t xml:space="preserve"> website</w:t>
      </w:r>
      <w:r w:rsidR="00263165">
        <w:t xml:space="preserve">, </w:t>
      </w:r>
      <w:r w:rsidR="00907B63">
        <w:t>n.d.,</w:t>
      </w:r>
      <w:r w:rsidR="00AB1986">
        <w:t xml:space="preserve"> accessed 22 November 2023</w:t>
      </w:r>
      <w:r w:rsidR="00263165">
        <w:t>.</w:t>
      </w:r>
    </w:p>
  </w:endnote>
  <w:endnote w:id="224">
    <w:p w14:paraId="21755668" w14:textId="5D5D21DE" w:rsidR="008A5196" w:rsidRDefault="008A5196" w:rsidP="00BB3490">
      <w:pPr>
        <w:pStyle w:val="EndnoteText"/>
      </w:pPr>
      <w:r w:rsidRPr="0002170B">
        <w:rPr>
          <w:rStyle w:val="EndnoteReference"/>
        </w:rPr>
        <w:endnoteRef/>
      </w:r>
      <w:r w:rsidRPr="00EF6671">
        <w:t xml:space="preserve"> </w:t>
      </w:r>
      <w:r w:rsidR="001C1B08" w:rsidRPr="00EF6671">
        <w:t>In</w:t>
      </w:r>
      <w:r w:rsidR="0007531A" w:rsidRPr="00EF6671">
        <w:t>digenous Peoples Organisation</w:t>
      </w:r>
      <w:r w:rsidR="0078081F" w:rsidRPr="00EF6671">
        <w:t xml:space="preserve"> </w:t>
      </w:r>
      <w:r w:rsidR="00EF6671" w:rsidRPr="00EF6671">
        <w:t xml:space="preserve">(IPO) </w:t>
      </w:r>
      <w:r w:rsidR="0078081F" w:rsidRPr="00EF6671">
        <w:t>Australia</w:t>
      </w:r>
      <w:r w:rsidR="00712329" w:rsidRPr="00EF6671">
        <w:t xml:space="preserve">, </w:t>
      </w:r>
      <w:hyperlink r:id="rId139" w:history="1">
        <w:r w:rsidR="00494E65" w:rsidRPr="00EF6671">
          <w:rPr>
            <w:rStyle w:val="Hyperlink"/>
            <w:i/>
          </w:rPr>
          <w:t>Heal Country, Heal Climate</w:t>
        </w:r>
        <w:r w:rsidR="003A1ABD" w:rsidRPr="00EF6671">
          <w:rPr>
            <w:rStyle w:val="Hyperlink"/>
            <w:i/>
          </w:rPr>
          <w:t xml:space="preserve">: Priorities </w:t>
        </w:r>
        <w:r w:rsidR="00460211" w:rsidRPr="00EF6671">
          <w:rPr>
            <w:rStyle w:val="Hyperlink"/>
            <w:i/>
          </w:rPr>
          <w:t>for climate and environment</w:t>
        </w:r>
      </w:hyperlink>
      <w:r w:rsidR="00460211" w:rsidRPr="00EF6671">
        <w:t xml:space="preserve">, </w:t>
      </w:r>
      <w:r w:rsidR="00EF6671" w:rsidRPr="00EF6671">
        <w:t>IPO</w:t>
      </w:r>
      <w:r w:rsidR="004D1AF5" w:rsidRPr="00EF6671">
        <w:t xml:space="preserve"> Australia, 2021.</w:t>
      </w:r>
      <w:r w:rsidR="004D1AF5">
        <w:t xml:space="preserve"> </w:t>
      </w:r>
    </w:p>
  </w:endnote>
  <w:endnote w:id="225">
    <w:p w14:paraId="3A6F5702" w14:textId="6CB82B31" w:rsidR="008A5196" w:rsidRDefault="008A5196" w:rsidP="00BB3490">
      <w:pPr>
        <w:pStyle w:val="EndnoteText"/>
      </w:pPr>
      <w:r>
        <w:rPr>
          <w:rStyle w:val="EndnoteReference"/>
        </w:rPr>
        <w:endnoteRef/>
      </w:r>
      <w:r>
        <w:t xml:space="preserve"> </w:t>
      </w:r>
      <w:r w:rsidR="00F677D4" w:rsidRPr="007407D2">
        <w:t xml:space="preserve">World Wide Fund </w:t>
      </w:r>
      <w:r w:rsidR="009B270F" w:rsidRPr="007407D2">
        <w:t>for Nature</w:t>
      </w:r>
      <w:r w:rsidR="00CE1CBF" w:rsidRPr="007407D2">
        <w:t xml:space="preserve"> (WWF) Australia</w:t>
      </w:r>
      <w:r w:rsidR="0076243B" w:rsidRPr="007407D2">
        <w:t xml:space="preserve">, </w:t>
      </w:r>
      <w:r w:rsidR="007407D2" w:rsidRPr="007407D2">
        <w:t>‘</w:t>
      </w:r>
      <w:hyperlink r:id="rId140" w:history="1">
        <w:r w:rsidR="00A217D4" w:rsidRPr="007407D2">
          <w:rPr>
            <w:rStyle w:val="Hyperlink"/>
          </w:rPr>
          <w:t xml:space="preserve">“Listen to us” North Qld forum to take first peoples message to the </w:t>
        </w:r>
        <w:r w:rsidR="00B87E54" w:rsidRPr="007407D2">
          <w:rPr>
            <w:rStyle w:val="Hyperlink"/>
          </w:rPr>
          <w:t>UN</w:t>
        </w:r>
        <w:r w:rsidR="00A217D4" w:rsidRPr="007407D2">
          <w:rPr>
            <w:rStyle w:val="Hyperlink"/>
          </w:rPr>
          <w:t xml:space="preserve"> climate change COP</w:t>
        </w:r>
      </w:hyperlink>
      <w:r w:rsidR="007407D2" w:rsidRPr="007407D2">
        <w:t>’,</w:t>
      </w:r>
      <w:r w:rsidR="001C3D88" w:rsidRPr="007407D2">
        <w:t xml:space="preserve"> </w:t>
      </w:r>
      <w:r w:rsidR="00CE1CBF" w:rsidRPr="007407D2">
        <w:rPr>
          <w:i/>
        </w:rPr>
        <w:t>WWF Australia</w:t>
      </w:r>
      <w:r w:rsidR="00CE1CBF" w:rsidRPr="007407D2">
        <w:t xml:space="preserve">, </w:t>
      </w:r>
      <w:r w:rsidR="008727FA" w:rsidRPr="007407D2">
        <w:t>29 September 2022</w:t>
      </w:r>
      <w:r w:rsidR="007407D2">
        <w:t xml:space="preserve">, accessed </w:t>
      </w:r>
      <w:r w:rsidR="0038212F">
        <w:t>21 November 2023.</w:t>
      </w:r>
    </w:p>
  </w:endnote>
  <w:endnote w:id="226">
    <w:p w14:paraId="3759A299" w14:textId="1E6133C8" w:rsidR="00CF283B" w:rsidRPr="00A22041" w:rsidRDefault="00CF283B" w:rsidP="00BB3490">
      <w:pPr>
        <w:pStyle w:val="EndnoteText"/>
      </w:pPr>
      <w:r w:rsidRPr="00A22041">
        <w:rPr>
          <w:rStyle w:val="EndnoteReference"/>
        </w:rPr>
        <w:endnoteRef/>
      </w:r>
      <w:r w:rsidRPr="00A22041">
        <w:t xml:space="preserve"> World Health Organization</w:t>
      </w:r>
      <w:r>
        <w:t xml:space="preserve"> (WHO)</w:t>
      </w:r>
      <w:r w:rsidRPr="00A22041">
        <w:t xml:space="preserve">, </w:t>
      </w:r>
      <w:hyperlink r:id="rId141" w:history="1">
        <w:r w:rsidRPr="0045111E">
          <w:rPr>
            <w:rStyle w:val="Hyperlink"/>
            <w:i/>
            <w:iCs/>
          </w:rPr>
          <w:t>Promoting Health in All Policies and intersectoral action capacities</w:t>
        </w:r>
      </w:hyperlink>
      <w:r>
        <w:t xml:space="preserve">, WHO </w:t>
      </w:r>
      <w:r w:rsidRPr="00A22041">
        <w:t>website</w:t>
      </w:r>
      <w:r>
        <w:t>, n.d.</w:t>
      </w:r>
      <w:r w:rsidR="000A3D63">
        <w:t xml:space="preserve">, accessed </w:t>
      </w:r>
      <w:r w:rsidR="004F3455">
        <w:t>9 November 2023.</w:t>
      </w:r>
    </w:p>
  </w:endnote>
  <w:endnote w:id="227">
    <w:p w14:paraId="0975DC75" w14:textId="77777777" w:rsidR="002942FB" w:rsidRPr="00A22041" w:rsidRDefault="002942FB" w:rsidP="00BB3490">
      <w:pPr>
        <w:pStyle w:val="EndnoteText"/>
        <w:rPr>
          <w:lang w:val="en-GB"/>
        </w:rPr>
      </w:pPr>
      <w:r w:rsidRPr="00A22041">
        <w:rPr>
          <w:rStyle w:val="EndnoteReference"/>
        </w:rPr>
        <w:endnoteRef/>
      </w:r>
      <w:r w:rsidRPr="00A22041">
        <w:t xml:space="preserve"> </w:t>
      </w:r>
      <w:r w:rsidRPr="00A22041">
        <w:rPr>
          <w:lang w:val="en-GB"/>
        </w:rPr>
        <w:t xml:space="preserve">CT Driscoll, JJ Buonocore, JI Levy, KF Lambert, D Burtaw, SB Reid, H Fakhraei and J Schwartz, ‘US Power plant carbon standards and clean air and health co-benefits’, </w:t>
      </w:r>
      <w:r w:rsidRPr="00A22041">
        <w:rPr>
          <w:i/>
          <w:lang w:val="en-GB"/>
        </w:rPr>
        <w:t>Nature Climate Change</w:t>
      </w:r>
      <w:r w:rsidRPr="00A22041">
        <w:rPr>
          <w:lang w:val="en-GB"/>
        </w:rPr>
        <w:t>, 2015, 5(6):535-540, doi:</w:t>
      </w:r>
      <w:r w:rsidRPr="00A22041">
        <w:t>10.1038/NCLIMATE2598.</w:t>
      </w:r>
    </w:p>
  </w:endnote>
  <w:endnote w:id="228">
    <w:p w14:paraId="09973732" w14:textId="7B947A29" w:rsidR="002942FB" w:rsidRPr="00A22041" w:rsidRDefault="002942FB" w:rsidP="00BB3490">
      <w:pPr>
        <w:pStyle w:val="EndnoteText"/>
      </w:pPr>
      <w:r w:rsidRPr="00342EFB">
        <w:rPr>
          <w:rStyle w:val="EndnoteReference"/>
        </w:rPr>
        <w:endnoteRef/>
      </w:r>
      <w:r w:rsidRPr="007334D0">
        <w:t xml:space="preserve"> The Lancet, </w:t>
      </w:r>
      <w:hyperlink r:id="rId142" w:history="1">
        <w:r w:rsidR="00225CA2" w:rsidRPr="00311812">
          <w:rPr>
            <w:rStyle w:val="Hyperlink"/>
            <w:i/>
            <w:iCs/>
          </w:rPr>
          <w:t>Health and Climate Change Series</w:t>
        </w:r>
      </w:hyperlink>
      <w:r w:rsidR="00225CA2" w:rsidRPr="007334D0">
        <w:t xml:space="preserve">, </w:t>
      </w:r>
      <w:r w:rsidRPr="00311812">
        <w:rPr>
          <w:iCs/>
        </w:rPr>
        <w:t>The Lancet</w:t>
      </w:r>
      <w:r w:rsidRPr="007334D0">
        <w:t>, 2009.</w:t>
      </w:r>
    </w:p>
  </w:endnote>
  <w:endnote w:id="229">
    <w:p w14:paraId="092D1F9B" w14:textId="2EB7D430" w:rsidR="002942FB" w:rsidRPr="00A22041" w:rsidRDefault="002942FB" w:rsidP="00BB3490">
      <w:pPr>
        <w:pStyle w:val="EndnoteText"/>
      </w:pPr>
      <w:r w:rsidRPr="00A22041">
        <w:rPr>
          <w:rStyle w:val="EndnoteReference"/>
        </w:rPr>
        <w:endnoteRef/>
      </w:r>
      <w:r w:rsidRPr="00A22041">
        <w:t xml:space="preserve"> </w:t>
      </w:r>
      <w:r w:rsidR="003D44E9">
        <w:t xml:space="preserve">Australian </w:t>
      </w:r>
      <w:r w:rsidRPr="00A22041">
        <w:t xml:space="preserve">Department of Climate Change, Energy, the Environment and Water (DCCEEW), </w:t>
      </w:r>
      <w:hyperlink r:id="rId143" w:history="1">
        <w:r w:rsidRPr="00A22041">
          <w:rPr>
            <w:rStyle w:val="Hyperlink"/>
            <w:i/>
          </w:rPr>
          <w:t>Net Zero</w:t>
        </w:r>
      </w:hyperlink>
      <w:r w:rsidRPr="00A22041">
        <w:rPr>
          <w:i/>
        </w:rPr>
        <w:t xml:space="preserve">, </w:t>
      </w:r>
      <w:r w:rsidRPr="00A22041">
        <w:t xml:space="preserve">DCCEEW, Australian Government, 2023. </w:t>
      </w:r>
    </w:p>
  </w:endnote>
  <w:endnote w:id="230">
    <w:p w14:paraId="3B67E0BA" w14:textId="0597AA67" w:rsidR="004E1A00" w:rsidRPr="00A22041" w:rsidRDefault="004E1A00" w:rsidP="00BB3490">
      <w:pPr>
        <w:pStyle w:val="EndnoteText"/>
      </w:pPr>
      <w:r w:rsidRPr="00A22041">
        <w:rPr>
          <w:rStyle w:val="EndnoteReference"/>
        </w:rPr>
        <w:endnoteRef/>
      </w:r>
      <w:r w:rsidRPr="00A22041">
        <w:t xml:space="preserve"> Australian Climate Service (ACS), </w:t>
      </w:r>
      <w:hyperlink r:id="rId144" w:history="1">
        <w:r w:rsidRPr="00A22041">
          <w:rPr>
            <w:rStyle w:val="Hyperlink"/>
            <w:i/>
            <w:iCs/>
          </w:rPr>
          <w:t>Heatwaves</w:t>
        </w:r>
      </w:hyperlink>
      <w:r w:rsidRPr="00A22041">
        <w:t xml:space="preserve">, ACS </w:t>
      </w:r>
      <w:r w:rsidR="00775C67">
        <w:t>w</w:t>
      </w:r>
      <w:r w:rsidRPr="00A22041">
        <w:t xml:space="preserve">ebsite, n.d., </w:t>
      </w:r>
      <w:r>
        <w:t xml:space="preserve">accessed </w:t>
      </w:r>
      <w:r w:rsidR="0038212F">
        <w:t>21 November 2023.</w:t>
      </w:r>
    </w:p>
  </w:endnote>
  <w:endnote w:id="231">
    <w:p w14:paraId="2DA33F6F" w14:textId="55492318" w:rsidR="00FF1F55" w:rsidRDefault="00FF1F55" w:rsidP="00BB3490">
      <w:pPr>
        <w:pStyle w:val="EndnoteText"/>
      </w:pPr>
      <w:r w:rsidRPr="00342EFB">
        <w:rPr>
          <w:rStyle w:val="EndnoteReference"/>
        </w:rPr>
        <w:endnoteRef/>
      </w:r>
      <w:r w:rsidRPr="00342EFB">
        <w:t xml:space="preserve"> Australian Institute of Health and Welfare (AIHW),</w:t>
      </w:r>
      <w:r w:rsidR="00BA055E" w:rsidRPr="00342EFB">
        <w:t xml:space="preserve"> </w:t>
      </w:r>
      <w:hyperlink r:id="rId145" w:history="1">
        <w:r w:rsidRPr="000A3D63">
          <w:rPr>
            <w:rStyle w:val="Hyperlink"/>
            <w:i/>
          </w:rPr>
          <w:t>Let’s talk about the weather: injuries related to extreme weather</w:t>
        </w:r>
      </w:hyperlink>
      <w:r w:rsidRPr="00342EFB">
        <w:t xml:space="preserve">, </w:t>
      </w:r>
      <w:r w:rsidR="00225CA2">
        <w:t>AIHW, Australian Government, 2023.</w:t>
      </w:r>
      <w:r w:rsidRPr="00342EFB">
        <w:t xml:space="preserve"> </w:t>
      </w:r>
    </w:p>
  </w:endnote>
  <w:endnote w:id="232">
    <w:p w14:paraId="2054976D" w14:textId="553DC925" w:rsidR="00C3595E" w:rsidRPr="009D7BF4" w:rsidRDefault="00C3595E" w:rsidP="00BB3490">
      <w:pPr>
        <w:pStyle w:val="EndnoteText"/>
        <w:rPr>
          <w:highlight w:val="red"/>
        </w:rPr>
      </w:pPr>
      <w:r w:rsidRPr="00173DF2">
        <w:rPr>
          <w:rStyle w:val="EndnoteReference"/>
        </w:rPr>
        <w:endnoteRef/>
      </w:r>
      <w:r w:rsidRPr="00173DF2">
        <w:t xml:space="preserve"> </w:t>
      </w:r>
      <w:r w:rsidR="00F92B25" w:rsidRPr="00173DF2">
        <w:t>C</w:t>
      </w:r>
      <w:r w:rsidRPr="00173DF2">
        <w:t xml:space="preserve"> </w:t>
      </w:r>
      <w:r w:rsidR="00900730" w:rsidRPr="00173DF2">
        <w:t>Sorensen</w:t>
      </w:r>
      <w:r w:rsidR="00753D53">
        <w:t xml:space="preserve"> </w:t>
      </w:r>
      <w:r w:rsidR="00F92B25" w:rsidRPr="00173DF2">
        <w:t xml:space="preserve">and J </w:t>
      </w:r>
      <w:r w:rsidR="00900730" w:rsidRPr="00173DF2">
        <w:t>Hess</w:t>
      </w:r>
      <w:r w:rsidR="00F92B25" w:rsidRPr="00173DF2">
        <w:t>,</w:t>
      </w:r>
      <w:r w:rsidR="00753D53">
        <w:t xml:space="preserve"> </w:t>
      </w:r>
      <w:r w:rsidR="002A3DF5">
        <w:t>‘</w:t>
      </w:r>
      <w:r w:rsidR="00900730" w:rsidRPr="00173DF2">
        <w:t>Treatment and prevention of heat-related illness</w:t>
      </w:r>
      <w:r w:rsidR="002A3DF5">
        <w:t>’</w:t>
      </w:r>
      <w:r w:rsidR="00FA2CFE">
        <w:t>,</w:t>
      </w:r>
      <w:r w:rsidR="00753D53">
        <w:t xml:space="preserve"> </w:t>
      </w:r>
      <w:r w:rsidR="00900730" w:rsidRPr="00F46ECF">
        <w:rPr>
          <w:i/>
        </w:rPr>
        <w:t>N</w:t>
      </w:r>
      <w:r w:rsidR="00F92B25" w:rsidRPr="00F46ECF">
        <w:rPr>
          <w:i/>
        </w:rPr>
        <w:t>ew</w:t>
      </w:r>
      <w:r w:rsidR="00900730" w:rsidRPr="00F46ECF">
        <w:rPr>
          <w:i/>
        </w:rPr>
        <w:t xml:space="preserve"> Engl</w:t>
      </w:r>
      <w:r w:rsidR="00F92B25" w:rsidRPr="00F46ECF">
        <w:rPr>
          <w:i/>
        </w:rPr>
        <w:t>and</w:t>
      </w:r>
      <w:r w:rsidR="00900730" w:rsidRPr="00F46ECF">
        <w:rPr>
          <w:i/>
        </w:rPr>
        <w:t xml:space="preserve"> J</w:t>
      </w:r>
      <w:r w:rsidR="00F92B25" w:rsidRPr="00F46ECF">
        <w:rPr>
          <w:i/>
        </w:rPr>
        <w:t>ournal of</w:t>
      </w:r>
      <w:r w:rsidR="00900730" w:rsidRPr="00F46ECF">
        <w:rPr>
          <w:i/>
        </w:rPr>
        <w:t xml:space="preserve"> Med</w:t>
      </w:r>
      <w:r w:rsidR="00F92B25" w:rsidRPr="00F46ECF">
        <w:rPr>
          <w:i/>
        </w:rPr>
        <w:t>icine</w:t>
      </w:r>
      <w:r w:rsidR="00F92B25" w:rsidRPr="00173DF2">
        <w:t>, 2022,</w:t>
      </w:r>
      <w:r w:rsidR="00753D53">
        <w:t xml:space="preserve"> </w:t>
      </w:r>
      <w:r w:rsidR="00900730" w:rsidRPr="00173DF2">
        <w:t>387:1404–</w:t>
      </w:r>
      <w:r w:rsidR="00BF4A47">
        <w:t>14</w:t>
      </w:r>
      <w:r w:rsidR="00900730" w:rsidRPr="00173DF2">
        <w:t>13</w:t>
      </w:r>
      <w:r w:rsidR="00290628" w:rsidRPr="00173DF2">
        <w:t>, doi:10.1056/NEJMcp2210623.</w:t>
      </w:r>
    </w:p>
  </w:endnote>
  <w:endnote w:id="233">
    <w:p w14:paraId="169F10CE" w14:textId="1D61996A" w:rsidR="00813FA0" w:rsidRPr="001B0529" w:rsidRDefault="00813FA0" w:rsidP="00BB3490">
      <w:pPr>
        <w:pStyle w:val="EndnoteText"/>
        <w:rPr>
          <w:highlight w:val="red"/>
        </w:rPr>
      </w:pPr>
      <w:r w:rsidRPr="00173DF2">
        <w:rPr>
          <w:rStyle w:val="EndnoteReference"/>
        </w:rPr>
        <w:endnoteRef/>
      </w:r>
      <w:r w:rsidRPr="00173DF2">
        <w:t xml:space="preserve"> </w:t>
      </w:r>
      <w:r w:rsidR="00290628" w:rsidRPr="00173DF2">
        <w:t>C</w:t>
      </w:r>
      <w:r w:rsidRPr="00173DF2">
        <w:t xml:space="preserve"> Sorensen,</w:t>
      </w:r>
      <w:r w:rsidR="00753D53">
        <w:t xml:space="preserve"> </w:t>
      </w:r>
      <w:r w:rsidR="00290628" w:rsidRPr="00173DF2">
        <w:t xml:space="preserve">C </w:t>
      </w:r>
      <w:r w:rsidRPr="00173DF2">
        <w:t>Howard,</w:t>
      </w:r>
      <w:r w:rsidR="00753D53">
        <w:t xml:space="preserve"> </w:t>
      </w:r>
      <w:r w:rsidR="00290628" w:rsidRPr="00173DF2">
        <w:t xml:space="preserve">P </w:t>
      </w:r>
      <w:r w:rsidRPr="00173DF2">
        <w:t>Prabhakaran,</w:t>
      </w:r>
      <w:r w:rsidR="00753D53">
        <w:t xml:space="preserve"> </w:t>
      </w:r>
      <w:r w:rsidR="00290628" w:rsidRPr="00173DF2">
        <w:t xml:space="preserve">G </w:t>
      </w:r>
      <w:r w:rsidRPr="00173DF2">
        <w:t>Horton</w:t>
      </w:r>
      <w:r w:rsidR="00753D53">
        <w:t xml:space="preserve"> </w:t>
      </w:r>
      <w:r w:rsidR="00290628" w:rsidRPr="00173DF2">
        <w:t xml:space="preserve">and R </w:t>
      </w:r>
      <w:r w:rsidRPr="00173DF2">
        <w:t>Basu</w:t>
      </w:r>
      <w:r w:rsidR="00290628" w:rsidRPr="00173DF2">
        <w:t>,</w:t>
      </w:r>
      <w:r w:rsidRPr="00173DF2">
        <w:t xml:space="preserve"> </w:t>
      </w:r>
      <w:r w:rsidR="00BE178E" w:rsidRPr="00173DF2">
        <w:t>‘</w:t>
      </w:r>
      <w:r w:rsidRPr="00173DF2">
        <w:t>Heat illnesses in clinical practice</w:t>
      </w:r>
      <w:r w:rsidR="00BE178E" w:rsidRPr="00173DF2">
        <w:t>’</w:t>
      </w:r>
      <w:r w:rsidR="00263FFD" w:rsidRPr="00173DF2">
        <w:t xml:space="preserve">, </w:t>
      </w:r>
      <w:r w:rsidR="004023D7">
        <w:rPr>
          <w:i/>
        </w:rPr>
        <w:t>British Medical Journal</w:t>
      </w:r>
      <w:r w:rsidR="00753D53">
        <w:t xml:space="preserve"> </w:t>
      </w:r>
      <w:r w:rsidRPr="00173DF2">
        <w:t>2022</w:t>
      </w:r>
      <w:r w:rsidR="001163F9" w:rsidRPr="00173DF2">
        <w:t xml:space="preserve">, </w:t>
      </w:r>
      <w:r w:rsidRPr="00173DF2">
        <w:t>378:e070762</w:t>
      </w:r>
      <w:r w:rsidR="00456CB0" w:rsidRPr="00173DF2">
        <w:t>, doi:</w:t>
      </w:r>
      <w:r w:rsidR="00AE482C" w:rsidRPr="00173DF2">
        <w:t>10.1136</w:t>
      </w:r>
      <w:r w:rsidR="00CD389F" w:rsidRPr="00173DF2">
        <w:t>/bmj-2022-070762</w:t>
      </w:r>
      <w:r w:rsidRPr="00173DF2">
        <w:t>.</w:t>
      </w:r>
      <w:r w:rsidR="00FA4F60" w:rsidRPr="00173DF2">
        <w:t xml:space="preserve"> </w:t>
      </w:r>
    </w:p>
  </w:endnote>
  <w:endnote w:id="234">
    <w:p w14:paraId="1CD2C6DC" w14:textId="7934D553" w:rsidR="00940AE7" w:rsidRPr="009D7BF4" w:rsidRDefault="00940AE7" w:rsidP="00BB3490">
      <w:pPr>
        <w:pStyle w:val="EndnoteText"/>
        <w:rPr>
          <w:highlight w:val="red"/>
        </w:rPr>
      </w:pPr>
      <w:r w:rsidRPr="00342EFB">
        <w:rPr>
          <w:rStyle w:val="EndnoteReference"/>
        </w:rPr>
        <w:endnoteRef/>
      </w:r>
      <w:r w:rsidRPr="00342EFB">
        <w:t xml:space="preserve"> </w:t>
      </w:r>
      <w:r w:rsidR="00447102">
        <w:t>F MacMillan, J Schwarzman, K McBride and J Sixsmith</w:t>
      </w:r>
      <w:r w:rsidR="00741C85">
        <w:t>, ‘Effective</w:t>
      </w:r>
      <w:r w:rsidR="00BE178E">
        <w:t xml:space="preserve"> Community-Based Interventions for the Prevention and Management of Heat-Related Illnesses: A Scoping Review’</w:t>
      </w:r>
      <w:r w:rsidR="0065548F">
        <w:t xml:space="preserve">, </w:t>
      </w:r>
      <w:r w:rsidR="0065548F">
        <w:rPr>
          <w:i/>
          <w:iCs/>
        </w:rPr>
        <w:t xml:space="preserve">International Journal of Environmental Research and Public Health, </w:t>
      </w:r>
      <w:r w:rsidR="00C071EA">
        <w:t>2021, 18(16):8362, doi:10</w:t>
      </w:r>
      <w:r w:rsidR="00B70FDF">
        <w:t>.3390/</w:t>
      </w:r>
      <w:r w:rsidR="003524D4">
        <w:t>ijerph</w:t>
      </w:r>
      <w:r w:rsidR="00F65205">
        <w:t>1816</w:t>
      </w:r>
      <w:r w:rsidR="00C143ED">
        <w:t>8362</w:t>
      </w:r>
      <w:r w:rsidR="008076CF">
        <w:t xml:space="preserve">. </w:t>
      </w:r>
    </w:p>
  </w:endnote>
  <w:endnote w:id="235">
    <w:p w14:paraId="3768171B" w14:textId="7A24A6E4" w:rsidR="00E0328C" w:rsidRDefault="00E0328C" w:rsidP="00BB3490">
      <w:pPr>
        <w:pStyle w:val="EndnoteText"/>
      </w:pPr>
      <w:r w:rsidRPr="00342EFB">
        <w:rPr>
          <w:rStyle w:val="EndnoteReference"/>
        </w:rPr>
        <w:endnoteRef/>
      </w:r>
      <w:r w:rsidRPr="00342EFB">
        <w:t xml:space="preserve"> </w:t>
      </w:r>
      <w:r w:rsidR="00BC2A69">
        <w:t>C Smith</w:t>
      </w:r>
      <w:r w:rsidR="002D23CE">
        <w:t xml:space="preserve"> and </w:t>
      </w:r>
      <w:r w:rsidR="00BF45B4">
        <w:t>G Lever</w:t>
      </w:r>
      <w:r w:rsidR="00273BB4">
        <w:t>more, ‘Designing</w:t>
      </w:r>
      <w:r w:rsidR="00511819" w:rsidRPr="00511819">
        <w:t xml:space="preserve"> urban spaces and buildings to improve sustainability and quality of life in a warmer world</w:t>
      </w:r>
      <w:r w:rsidR="00273BB4">
        <w:t>’</w:t>
      </w:r>
      <w:r w:rsidR="00511819">
        <w:t xml:space="preserve">, </w:t>
      </w:r>
      <w:r w:rsidR="00DE6F1B">
        <w:rPr>
          <w:i/>
          <w:iCs/>
        </w:rPr>
        <w:t>Energy Policy</w:t>
      </w:r>
      <w:r w:rsidR="00DE6F1B">
        <w:t>, 20</w:t>
      </w:r>
      <w:r w:rsidR="000D38FF">
        <w:t>08, 35(12):4558-4562</w:t>
      </w:r>
      <w:r w:rsidR="00A03C2D">
        <w:t>, doi:10</w:t>
      </w:r>
      <w:r w:rsidR="00071077">
        <w:t>.1016/j.</w:t>
      </w:r>
      <w:r w:rsidR="00354AFF">
        <w:t>enpol</w:t>
      </w:r>
      <w:r w:rsidR="008E262D">
        <w:t>.2008.09.011.</w:t>
      </w:r>
    </w:p>
  </w:endnote>
  <w:endnote w:id="236">
    <w:p w14:paraId="1B2520FB" w14:textId="1FE047C1" w:rsidR="004E1A00" w:rsidRPr="00A22041" w:rsidRDefault="004E1A00" w:rsidP="00BB3490">
      <w:pPr>
        <w:pStyle w:val="EndnoteText"/>
      </w:pPr>
      <w:r w:rsidRPr="00A22041">
        <w:rPr>
          <w:rStyle w:val="EndnoteReference"/>
        </w:rPr>
        <w:endnoteRef/>
      </w:r>
      <w:r w:rsidRPr="00A22041">
        <w:t xml:space="preserve"> World Health Organization (WHO), </w:t>
      </w:r>
      <w:hyperlink r:id="rId146" w:history="1">
        <w:r w:rsidRPr="00A22041">
          <w:rPr>
            <w:rStyle w:val="Hyperlink"/>
            <w:i/>
          </w:rPr>
          <w:t>Planning heat</w:t>
        </w:r>
        <w:r w:rsidRPr="00A22041">
          <w:rPr>
            <w:rStyle w:val="Hyperlink"/>
            <w:i/>
            <w:iCs/>
          </w:rPr>
          <w:t>-</w:t>
        </w:r>
        <w:r w:rsidRPr="00A22041">
          <w:rPr>
            <w:rStyle w:val="Hyperlink"/>
            <w:i/>
          </w:rPr>
          <w:t>health action</w:t>
        </w:r>
      </w:hyperlink>
      <w:r w:rsidRPr="00A22041">
        <w:rPr>
          <w:i/>
          <w:iCs/>
        </w:rPr>
        <w:t xml:space="preserve">, </w:t>
      </w:r>
      <w:r w:rsidRPr="00A22041">
        <w:t xml:space="preserve">WHO </w:t>
      </w:r>
      <w:r w:rsidR="00775C67">
        <w:t>w</w:t>
      </w:r>
      <w:r w:rsidRPr="00A22041">
        <w:t xml:space="preserve">ebsite, 2021, </w:t>
      </w:r>
      <w:r>
        <w:t xml:space="preserve">accessed </w:t>
      </w:r>
      <w:r w:rsidR="00634890">
        <w:t>21 November 2023.</w:t>
      </w:r>
    </w:p>
  </w:endnote>
  <w:endnote w:id="237">
    <w:p w14:paraId="7A6EF5C0" w14:textId="703F437C" w:rsidR="004E1A00" w:rsidRPr="00A22041" w:rsidRDefault="004E1A00" w:rsidP="00BB3490">
      <w:pPr>
        <w:pStyle w:val="EndnoteText"/>
      </w:pPr>
      <w:r w:rsidRPr="00A22041">
        <w:rPr>
          <w:rStyle w:val="EndnoteReference"/>
        </w:rPr>
        <w:endnoteRef/>
      </w:r>
      <w:r w:rsidRPr="00A22041">
        <w:t xml:space="preserve"> Bureau of Meteorology</w:t>
      </w:r>
      <w:r w:rsidR="00393685">
        <w:t xml:space="preserve"> (BOM)</w:t>
      </w:r>
      <w:r w:rsidRPr="00A22041">
        <w:t xml:space="preserve">, </w:t>
      </w:r>
      <w:hyperlink r:id="rId147" w:history="1">
        <w:r w:rsidR="003E1B2B" w:rsidRPr="00775C67">
          <w:rPr>
            <w:rStyle w:val="Hyperlink"/>
            <w:i/>
          </w:rPr>
          <w:t>New national heatwave warning service to help keep Australians safer this summer</w:t>
        </w:r>
      </w:hyperlink>
      <w:r w:rsidR="00775C67">
        <w:t xml:space="preserve"> [media release],</w:t>
      </w:r>
      <w:r w:rsidRPr="00A22041">
        <w:t xml:space="preserve"> </w:t>
      </w:r>
      <w:r w:rsidR="00393685">
        <w:t>BOM</w:t>
      </w:r>
      <w:r w:rsidRPr="00A22041">
        <w:t xml:space="preserve">, </w:t>
      </w:r>
      <w:r w:rsidR="00775C67">
        <w:t>4 October 2023</w:t>
      </w:r>
      <w:r w:rsidRPr="00A22041">
        <w:t xml:space="preserve">, </w:t>
      </w:r>
      <w:r>
        <w:t xml:space="preserve">accessed </w:t>
      </w:r>
      <w:r w:rsidR="00634890">
        <w:t>21 November 2023</w:t>
      </w:r>
      <w:r w:rsidRPr="00A22041">
        <w:t>.</w:t>
      </w:r>
    </w:p>
  </w:endnote>
  <w:endnote w:id="238">
    <w:p w14:paraId="2418544C" w14:textId="77777777" w:rsidR="00D80EFD" w:rsidRPr="00A22041" w:rsidRDefault="00D80EFD" w:rsidP="00D80EFD">
      <w:pPr>
        <w:pStyle w:val="EndnoteText"/>
      </w:pPr>
      <w:r w:rsidRPr="00342EFB">
        <w:rPr>
          <w:rStyle w:val="EndnoteReference"/>
        </w:rPr>
        <w:endnoteRef/>
      </w:r>
      <w:r>
        <w:t xml:space="preserve"> </w:t>
      </w:r>
      <w:r w:rsidRPr="00ED7DF1">
        <w:t xml:space="preserve">S </w:t>
      </w:r>
      <w:r w:rsidRPr="00ED7DF1">
        <w:rPr>
          <w:rStyle w:val="Hyperlink"/>
          <w:color w:val="auto"/>
          <w:u w:val="none"/>
          <w:lang w:val="en-GB"/>
        </w:rPr>
        <w:t>Williams, M Nitschke, B Yazew Wondmagegn, M Tong, J Xiang, A Hansen, J Nairn, J Karnon and P Bi, ‘Evaluating cost benefits</w:t>
      </w:r>
      <w:r w:rsidRPr="00042D40">
        <w:rPr>
          <w:rStyle w:val="Hyperlink"/>
          <w:color w:val="auto"/>
          <w:u w:val="none"/>
          <w:lang w:val="en-GB"/>
        </w:rPr>
        <w:t xml:space="preserve"> from a heat health warning system in Adelaide, South Australia’</w:t>
      </w:r>
      <w:r>
        <w:rPr>
          <w:rStyle w:val="Hyperlink"/>
          <w:color w:val="auto"/>
          <w:u w:val="none"/>
          <w:lang w:val="en-GB"/>
        </w:rPr>
        <w:t>,</w:t>
      </w:r>
      <w:r w:rsidRPr="00042D40">
        <w:rPr>
          <w:rStyle w:val="Hyperlink"/>
          <w:color w:val="auto"/>
          <w:u w:val="none"/>
          <w:lang w:val="en-GB"/>
        </w:rPr>
        <w:t xml:space="preserve"> </w:t>
      </w:r>
      <w:r w:rsidRPr="00042D40">
        <w:rPr>
          <w:rStyle w:val="Hyperlink"/>
          <w:i/>
          <w:color w:val="auto"/>
          <w:u w:val="none"/>
          <w:lang w:val="en-GB"/>
        </w:rPr>
        <w:t xml:space="preserve">Australian and New Zealand Journal of Public Health, </w:t>
      </w:r>
      <w:r>
        <w:rPr>
          <w:rStyle w:val="Hyperlink"/>
          <w:iCs/>
          <w:color w:val="auto"/>
          <w:u w:val="none"/>
          <w:lang w:val="en-GB"/>
        </w:rPr>
        <w:t xml:space="preserve">2021, </w:t>
      </w:r>
      <w:r w:rsidRPr="00042D40">
        <w:rPr>
          <w:rStyle w:val="Hyperlink"/>
          <w:color w:val="auto"/>
          <w:u w:val="none"/>
          <w:lang w:val="en-GB"/>
        </w:rPr>
        <w:t>46(2)</w:t>
      </w:r>
      <w:r>
        <w:rPr>
          <w:rStyle w:val="Hyperlink"/>
          <w:color w:val="auto"/>
          <w:u w:val="none"/>
          <w:lang w:val="en-GB"/>
        </w:rPr>
        <w:t>:149-154</w:t>
      </w:r>
      <w:r w:rsidRPr="00042D40">
        <w:rPr>
          <w:rStyle w:val="Hyperlink"/>
          <w:color w:val="auto"/>
          <w:u w:val="none"/>
          <w:lang w:val="en-GB"/>
        </w:rPr>
        <w:t>, doi:10.1111/1753-6405-13194.</w:t>
      </w:r>
      <w:r w:rsidRPr="00305394">
        <w:rPr>
          <w:rStyle w:val="Hyperlink"/>
          <w:color w:val="auto"/>
          <w:lang w:val="en-GB"/>
        </w:rPr>
        <w:t xml:space="preserve"> </w:t>
      </w:r>
    </w:p>
  </w:endnote>
  <w:endnote w:id="239">
    <w:p w14:paraId="346C2208" w14:textId="77777777" w:rsidR="00D80EFD" w:rsidRPr="00A22041" w:rsidRDefault="00D80EFD" w:rsidP="00D80EFD">
      <w:pPr>
        <w:pStyle w:val="EndnoteText"/>
      </w:pPr>
      <w:r w:rsidRPr="00342EFB">
        <w:rPr>
          <w:rStyle w:val="EndnoteReference"/>
        </w:rPr>
        <w:endnoteRef/>
      </w:r>
      <w:r w:rsidRPr="00342EFB">
        <w:t xml:space="preserve"> </w:t>
      </w:r>
      <w:r>
        <w:t>S Quilty, NF Jupurrurla, A Lal, V Matthews, A Gasparrini, P Hope, M Brearley and KL Ebi, ‘</w:t>
      </w:r>
      <w:r w:rsidRPr="00F7732F">
        <w:t>The relative value of sociocultural and infrastructural adaptations to heat in a very hot climate in northern Australia: a case time series of heat-associated mortality</w:t>
      </w:r>
      <w:r>
        <w:t xml:space="preserve">’, </w:t>
      </w:r>
      <w:r w:rsidRPr="00A9009E">
        <w:rPr>
          <w:i/>
        </w:rPr>
        <w:t>The Lancet Planetary Health</w:t>
      </w:r>
      <w:r>
        <w:t xml:space="preserve">, 2023, 7(8):684-693, doi:10.1016/S2542-5196(23)00138-9. </w:t>
      </w:r>
    </w:p>
  </w:endnote>
  <w:endnote w:id="240">
    <w:p w14:paraId="300EAE1D" w14:textId="2E83B812" w:rsidR="004A60D1" w:rsidRPr="00A22041" w:rsidRDefault="004A60D1" w:rsidP="00BB3490">
      <w:pPr>
        <w:pStyle w:val="EndnoteText"/>
      </w:pPr>
      <w:r w:rsidRPr="00342EFB">
        <w:rPr>
          <w:rStyle w:val="EndnoteReference"/>
        </w:rPr>
        <w:endnoteRef/>
      </w:r>
      <w:r w:rsidRPr="00342EFB">
        <w:t xml:space="preserve"> </w:t>
      </w:r>
      <w:r w:rsidR="007428E6">
        <w:t>B Hoffman, H Boo</w:t>
      </w:r>
      <w:r w:rsidR="00DE11A5">
        <w:t>gaard</w:t>
      </w:r>
      <w:r w:rsidR="00246A07">
        <w:t xml:space="preserve">, A de Nazelle, ZJ Andersen, M Abramson, M Brauer, B Brunekreef, F Forastiere, </w:t>
      </w:r>
      <w:r w:rsidR="005A2795">
        <w:t xml:space="preserve">W Huang, H Kan, JD Kaufman, </w:t>
      </w:r>
      <w:r w:rsidR="00C922E0">
        <w:t xml:space="preserve">K </w:t>
      </w:r>
      <w:r w:rsidR="00D93C8B">
        <w:t xml:space="preserve">Katsoutanni and </w:t>
      </w:r>
      <w:r w:rsidR="008A350B">
        <w:t>12 other authors,</w:t>
      </w:r>
      <w:r w:rsidRPr="00342EFB">
        <w:t xml:space="preserve"> ‘WHO Air Quality Guidelines 2021</w:t>
      </w:r>
      <w:r w:rsidR="003F41D7">
        <w:t>—</w:t>
      </w:r>
      <w:r w:rsidRPr="00342EFB">
        <w:t xml:space="preserve">Aiming for Healthier Air for all: A Joint Statement by Medical, Public Health, Scientific Societies and Patient Representative Organisations’, </w:t>
      </w:r>
      <w:r w:rsidRPr="00342EFB">
        <w:rPr>
          <w:i/>
        </w:rPr>
        <w:t>International Journal of Public Health</w:t>
      </w:r>
      <w:r w:rsidRPr="00342EFB">
        <w:t>, 2021, 66:1604465, doi:10.3389/ijph.2021.1604465.</w:t>
      </w:r>
    </w:p>
  </w:endnote>
  <w:endnote w:id="241">
    <w:p w14:paraId="619D9E3A" w14:textId="08360340" w:rsidR="004A60D1" w:rsidRPr="00A22041" w:rsidRDefault="004A60D1" w:rsidP="00BB3490">
      <w:pPr>
        <w:pStyle w:val="EndnoteText"/>
      </w:pPr>
      <w:r w:rsidRPr="00CD5288">
        <w:rPr>
          <w:rStyle w:val="EndnoteReference"/>
        </w:rPr>
        <w:endnoteRef/>
      </w:r>
      <w:r w:rsidRPr="00A22041">
        <w:t xml:space="preserve"> World Health Organization (WHO), </w:t>
      </w:r>
      <w:hyperlink r:id="rId148" w:history="1">
        <w:r w:rsidRPr="00A22041">
          <w:rPr>
            <w:rStyle w:val="Hyperlink"/>
            <w:i/>
          </w:rPr>
          <w:t xml:space="preserve">WHO global air quality guidelines: particulate matter (PM2.5 and PM10), ozone, nitrogen dioxide, sulfur dioxide and carbon </w:t>
        </w:r>
        <w:r w:rsidRPr="00A22041">
          <w:rPr>
            <w:rStyle w:val="Hyperlink"/>
            <w:i/>
            <w:iCs/>
          </w:rPr>
          <w:t>monoxide</w:t>
        </w:r>
      </w:hyperlink>
      <w:r w:rsidRPr="00A22041">
        <w:t>, WHO, 2021</w:t>
      </w:r>
      <w:r w:rsidR="00477305">
        <w:t>.</w:t>
      </w:r>
    </w:p>
  </w:endnote>
  <w:endnote w:id="242">
    <w:p w14:paraId="76CBFFAB" w14:textId="41131079" w:rsidR="004A60D1" w:rsidRPr="00A22041" w:rsidRDefault="004A60D1" w:rsidP="00BB3490">
      <w:pPr>
        <w:pStyle w:val="EndnoteText"/>
      </w:pPr>
      <w:r w:rsidRPr="00A22041">
        <w:rPr>
          <w:rStyle w:val="EndnoteReference"/>
        </w:rPr>
        <w:endnoteRef/>
      </w:r>
      <w:r w:rsidRPr="00A22041">
        <w:t xml:space="preserve"> K Vohra, A Vodonos, J Schwartz, E Marais, MP Sulprizio and LJ Mickley, ‘Global mortality from outdoor fine particle pollution generated by fossil fuel combustion: Results from GEOS-Chem’, </w:t>
      </w:r>
      <w:r w:rsidRPr="00A22041">
        <w:rPr>
          <w:i/>
          <w:iCs/>
        </w:rPr>
        <w:t>Environmental Research</w:t>
      </w:r>
      <w:r w:rsidRPr="00A22041">
        <w:t>, 2021, 195:110754, doi:</w:t>
      </w:r>
      <w:r w:rsidR="00FA136A" w:rsidRPr="00342EFB">
        <w:t>10.1016/j.envres.2021.110754</w:t>
      </w:r>
      <w:r w:rsidR="00014D82">
        <w:t>.</w:t>
      </w:r>
    </w:p>
  </w:endnote>
  <w:endnote w:id="243">
    <w:p w14:paraId="073854C0" w14:textId="5579E19F" w:rsidR="008F5E9D" w:rsidRDefault="008F5E9D" w:rsidP="00BB3490">
      <w:pPr>
        <w:pStyle w:val="EndnoteText"/>
      </w:pPr>
      <w:r w:rsidRPr="00342EFB">
        <w:rPr>
          <w:rStyle w:val="EndnoteReference"/>
        </w:rPr>
        <w:endnoteRef/>
      </w:r>
      <w:r w:rsidRPr="00342EFB">
        <w:t xml:space="preserve"> </w:t>
      </w:r>
      <w:r w:rsidR="0036746B">
        <w:t>Wo</w:t>
      </w:r>
      <w:r w:rsidR="00D54830">
        <w:t>r</w:t>
      </w:r>
      <w:r w:rsidR="0036746B">
        <w:t xml:space="preserve">ld Health Organization (WHO), </w:t>
      </w:r>
      <w:hyperlink r:id="rId149" w:history="1">
        <w:r w:rsidR="0036746B" w:rsidRPr="00342EFB">
          <w:rPr>
            <w:rStyle w:val="Hyperlink"/>
            <w:i/>
            <w:iCs/>
          </w:rPr>
          <w:t>Air Quality and Health</w:t>
        </w:r>
      </w:hyperlink>
      <w:r w:rsidR="0039371E">
        <w:t xml:space="preserve">, WHO </w:t>
      </w:r>
      <w:r w:rsidR="00CF49BF">
        <w:t>website, n.d.</w:t>
      </w:r>
      <w:r w:rsidR="00014D82">
        <w:t xml:space="preserve">, accessed </w:t>
      </w:r>
      <w:r w:rsidR="00634890">
        <w:t>21 November 2023.</w:t>
      </w:r>
    </w:p>
  </w:endnote>
  <w:endnote w:id="244">
    <w:p w14:paraId="0B1C32D8" w14:textId="519FF09B" w:rsidR="004A60D1" w:rsidRPr="00A22041" w:rsidRDefault="004A60D1" w:rsidP="00BB3490">
      <w:pPr>
        <w:pStyle w:val="EndnoteText"/>
      </w:pPr>
      <w:r w:rsidRPr="00A22041">
        <w:rPr>
          <w:rStyle w:val="EndnoteReference"/>
        </w:rPr>
        <w:endnoteRef/>
      </w:r>
      <w:r w:rsidRPr="00A22041">
        <w:t xml:space="preserve"> </w:t>
      </w:r>
      <w:r w:rsidR="007571BB">
        <w:t xml:space="preserve">Australian </w:t>
      </w:r>
      <w:r w:rsidRPr="0058304D">
        <w:t xml:space="preserve">Department of Climate Change, Energy, the Environment and Water (DCCEEW), </w:t>
      </w:r>
      <w:hyperlink r:id="rId150" w:history="1">
        <w:r w:rsidRPr="0058304D" w:rsidDel="0087501C">
          <w:rPr>
            <w:rStyle w:val="Hyperlink"/>
            <w:i/>
          </w:rPr>
          <w:t>National Pollutant Inventory</w:t>
        </w:r>
      </w:hyperlink>
      <w:r w:rsidR="00B710D5">
        <w:t xml:space="preserve"> </w:t>
      </w:r>
      <w:r w:rsidR="005D3EF6">
        <w:t>[data set],</w:t>
      </w:r>
      <w:r w:rsidRPr="0058304D">
        <w:t xml:space="preserve"> DCCEEW</w:t>
      </w:r>
      <w:r w:rsidR="00B710D5">
        <w:t>, Australian Government</w:t>
      </w:r>
      <w:r w:rsidRPr="0058304D">
        <w:t>, 2023</w:t>
      </w:r>
      <w:r w:rsidR="003F1194">
        <w:t xml:space="preserve">, accessed </w:t>
      </w:r>
      <w:r w:rsidR="00634890">
        <w:t>21 November 2023</w:t>
      </w:r>
      <w:r w:rsidRPr="00A22041">
        <w:t>.</w:t>
      </w:r>
    </w:p>
  </w:endnote>
  <w:endnote w:id="245">
    <w:p w14:paraId="7B8F3CAD" w14:textId="60302E21" w:rsidR="00AF7ED5" w:rsidRPr="00A22041" w:rsidRDefault="00AF7ED5" w:rsidP="00BB3490">
      <w:pPr>
        <w:pStyle w:val="EndnoteText"/>
      </w:pPr>
      <w:r w:rsidRPr="00A22041">
        <w:rPr>
          <w:rStyle w:val="EndnoteReference"/>
        </w:rPr>
        <w:endnoteRef/>
      </w:r>
      <w:r w:rsidRPr="00A22041">
        <w:t xml:space="preserve"> TR Segal and LC Giudice, ‘Systematic review of climate change effects on reproductive health’, </w:t>
      </w:r>
      <w:r w:rsidRPr="00A22041">
        <w:rPr>
          <w:i/>
        </w:rPr>
        <w:t>Fertility and Sterility</w:t>
      </w:r>
      <w:r w:rsidRPr="00A22041">
        <w:t>, 2022, 118(2):215-223, doi:</w:t>
      </w:r>
      <w:r w:rsidR="00014D82" w:rsidRPr="00342EFB">
        <w:t>10.1016/j.fertnstert.2022.06.005</w:t>
      </w:r>
      <w:r w:rsidRPr="0046309A">
        <w:rPr>
          <w:rStyle w:val="Hyperlink"/>
          <w:color w:val="auto"/>
          <w:u w:val="none"/>
        </w:rPr>
        <w:t>.</w:t>
      </w:r>
    </w:p>
  </w:endnote>
  <w:endnote w:id="246">
    <w:p w14:paraId="0470FE66" w14:textId="0B32AA2E" w:rsidR="004C0C21" w:rsidRPr="00A22041" w:rsidRDefault="004C0C21" w:rsidP="00BB3490">
      <w:pPr>
        <w:pStyle w:val="EndnoteText"/>
      </w:pPr>
      <w:r w:rsidRPr="00A22041">
        <w:rPr>
          <w:rStyle w:val="EndnoteReference"/>
        </w:rPr>
        <w:endnoteRef/>
      </w:r>
      <w:r w:rsidRPr="00A22041" w:rsidDel="00163BF1">
        <w:t xml:space="preserve"> </w:t>
      </w:r>
      <w:r w:rsidRPr="00A22041">
        <w:t xml:space="preserve">FH Johnston, N Borchers-Arriagada, GG Morgan, B Jalaludin, AJ Palmer, GJ Williamson and DMJS Bowman, </w:t>
      </w:r>
      <w:r w:rsidR="00E154FB">
        <w:t>‘</w:t>
      </w:r>
      <w:r w:rsidR="00E154FB" w:rsidRPr="00A22041">
        <w:t xml:space="preserve">Unprecedented </w:t>
      </w:r>
      <w:r w:rsidRPr="00A22041">
        <w:t xml:space="preserve">health costs of smoke-related PM2.5 from the 2019–20 Australian </w:t>
      </w:r>
      <w:r w:rsidR="00E154FB" w:rsidRPr="00A22041">
        <w:t>megafires</w:t>
      </w:r>
      <w:r w:rsidR="00E154FB">
        <w:t>’</w:t>
      </w:r>
      <w:r w:rsidRPr="00A22041">
        <w:t xml:space="preserve">, </w:t>
      </w:r>
      <w:r w:rsidRPr="00A22041">
        <w:rPr>
          <w:i/>
        </w:rPr>
        <w:t xml:space="preserve">Nature Sustainability, </w:t>
      </w:r>
      <w:r w:rsidRPr="00A22041">
        <w:t>2021,</w:t>
      </w:r>
      <w:r w:rsidR="00D54830">
        <w:t xml:space="preserve"> </w:t>
      </w:r>
      <w:r w:rsidRPr="00A22041">
        <w:t>4:42-47, doi:10.1038/s41893-020-00610-5.</w:t>
      </w:r>
    </w:p>
  </w:endnote>
  <w:endnote w:id="247">
    <w:p w14:paraId="42F85DF1" w14:textId="3311C21D" w:rsidR="00AF7ED5" w:rsidRPr="00A22041" w:rsidRDefault="00AF7ED5" w:rsidP="00BB3490">
      <w:pPr>
        <w:pStyle w:val="EndnoteText"/>
      </w:pPr>
      <w:r w:rsidRPr="00A22041">
        <w:rPr>
          <w:rStyle w:val="EndnoteReference"/>
        </w:rPr>
        <w:endnoteRef/>
      </w:r>
      <w:r w:rsidRPr="00A22041">
        <w:t xml:space="preserve"> N Borchers-Arriagada, AJ Palmer, DM Bowman, GG Morgan, BB Jalaludin and FJ Johnston, </w:t>
      </w:r>
      <w:r w:rsidR="00280B20">
        <w:t>‘</w:t>
      </w:r>
      <w:r w:rsidR="00280B20" w:rsidRPr="00A22041">
        <w:t xml:space="preserve">Unprecedented </w:t>
      </w:r>
      <w:r w:rsidRPr="00A22041">
        <w:t xml:space="preserve">smoke-related health burden associated with the 2019-20 bushfires in eastern </w:t>
      </w:r>
      <w:r w:rsidR="00280B20" w:rsidRPr="00A22041">
        <w:t>Australia</w:t>
      </w:r>
      <w:r w:rsidR="00280B20">
        <w:t>’</w:t>
      </w:r>
      <w:r w:rsidRPr="00A22041">
        <w:t xml:space="preserve">, </w:t>
      </w:r>
      <w:r w:rsidRPr="00A22041">
        <w:rPr>
          <w:i/>
        </w:rPr>
        <w:t>The Medical Journal of Australia</w:t>
      </w:r>
      <w:r w:rsidRPr="00A22041">
        <w:t>, 2020, 213(6):282-283, doi:10.5694/mja2.50545.</w:t>
      </w:r>
    </w:p>
  </w:endnote>
  <w:endnote w:id="248">
    <w:p w14:paraId="30C20AD3" w14:textId="36C6FA5B" w:rsidR="00BA6596" w:rsidRDefault="00BA6596" w:rsidP="00BB3490">
      <w:pPr>
        <w:pStyle w:val="EndnoteText"/>
      </w:pPr>
      <w:r w:rsidRPr="00342EFB">
        <w:rPr>
          <w:rStyle w:val="EndnoteReference"/>
        </w:rPr>
        <w:endnoteRef/>
      </w:r>
      <w:r w:rsidR="00014D82">
        <w:t xml:space="preserve"> D</w:t>
      </w:r>
      <w:r w:rsidRPr="00342EFB">
        <w:t xml:space="preserve"> Price,</w:t>
      </w:r>
      <w:r w:rsidR="00876456">
        <w:t xml:space="preserve"> KM</w:t>
      </w:r>
      <w:r w:rsidRPr="00342EFB">
        <w:t xml:space="preserve"> Hughes,</w:t>
      </w:r>
      <w:r>
        <w:t xml:space="preserve"> </w:t>
      </w:r>
      <w:r w:rsidR="006A466E">
        <w:t>F</w:t>
      </w:r>
      <w:r w:rsidRPr="00342EFB">
        <w:t xml:space="preserve"> Thien</w:t>
      </w:r>
      <w:r>
        <w:t xml:space="preserve"> </w:t>
      </w:r>
      <w:r w:rsidR="00CC067F">
        <w:t>and C</w:t>
      </w:r>
      <w:r w:rsidRPr="00342EFB">
        <w:t xml:space="preserve"> Suphioglu</w:t>
      </w:r>
      <w:r w:rsidR="00CC067F">
        <w:t>,</w:t>
      </w:r>
      <w:r w:rsidRPr="00342EFB">
        <w:t xml:space="preserve"> </w:t>
      </w:r>
      <w:r w:rsidR="00CC067F">
        <w:t>‘</w:t>
      </w:r>
      <w:r w:rsidRPr="00342EFB">
        <w:t>Epidemic Thunderstorm Asthma: Lessons Learned from the Storm Down-Under</w:t>
      </w:r>
      <w:r w:rsidR="00CC067F">
        <w:t>’,</w:t>
      </w:r>
      <w:r w:rsidRPr="00342EFB">
        <w:t xml:space="preserve"> </w:t>
      </w:r>
      <w:r w:rsidRPr="00342EFB">
        <w:rPr>
          <w:i/>
        </w:rPr>
        <w:t>J</w:t>
      </w:r>
      <w:r w:rsidR="00CC067F" w:rsidRPr="00342EFB">
        <w:rPr>
          <w:i/>
        </w:rPr>
        <w:t xml:space="preserve">ournal of </w:t>
      </w:r>
      <w:r w:rsidRPr="00342EFB">
        <w:rPr>
          <w:i/>
        </w:rPr>
        <w:t xml:space="preserve">Allergy </w:t>
      </w:r>
      <w:r w:rsidR="0063215B" w:rsidRPr="00342EFB">
        <w:rPr>
          <w:i/>
        </w:rPr>
        <w:t xml:space="preserve">and </w:t>
      </w:r>
      <w:r w:rsidRPr="00342EFB">
        <w:rPr>
          <w:i/>
        </w:rPr>
        <w:t>Clin</w:t>
      </w:r>
      <w:r w:rsidR="0063215B" w:rsidRPr="00342EFB">
        <w:rPr>
          <w:i/>
        </w:rPr>
        <w:t>ical</w:t>
      </w:r>
      <w:r w:rsidRPr="00342EFB">
        <w:rPr>
          <w:i/>
        </w:rPr>
        <w:t xml:space="preserve"> Immunol</w:t>
      </w:r>
      <w:r w:rsidR="0063215B" w:rsidRPr="00342EFB">
        <w:rPr>
          <w:i/>
        </w:rPr>
        <w:t>ogy: In</w:t>
      </w:r>
      <w:r w:rsidRPr="00342EFB">
        <w:rPr>
          <w:i/>
        </w:rPr>
        <w:t xml:space="preserve"> Pract</w:t>
      </w:r>
      <w:r w:rsidR="0063215B" w:rsidRPr="00342EFB">
        <w:rPr>
          <w:i/>
          <w:iCs/>
        </w:rPr>
        <w:t>ice</w:t>
      </w:r>
      <w:r w:rsidR="0063215B">
        <w:t>,</w:t>
      </w:r>
      <w:r w:rsidRPr="00342EFB">
        <w:t xml:space="preserve"> 2021</w:t>
      </w:r>
      <w:r w:rsidR="0063215B">
        <w:t xml:space="preserve">, </w:t>
      </w:r>
      <w:r w:rsidRPr="00342EFB">
        <w:t>9(4):1510-1515</w:t>
      </w:r>
      <w:r w:rsidR="0063215B">
        <w:t>,</w:t>
      </w:r>
      <w:r>
        <w:t xml:space="preserve"> </w:t>
      </w:r>
      <w:r w:rsidRPr="00342EFB">
        <w:t>doi:10.1016/j.jaip.2020.10.022</w:t>
      </w:r>
      <w:r w:rsidR="0063215B">
        <w:t>.</w:t>
      </w:r>
    </w:p>
  </w:endnote>
  <w:endnote w:id="249">
    <w:p w14:paraId="04D05772" w14:textId="4094D2AD" w:rsidR="0098120B" w:rsidRDefault="0098120B" w:rsidP="00BB3490">
      <w:pPr>
        <w:pStyle w:val="EndnoteText"/>
      </w:pPr>
      <w:r w:rsidRPr="00342EFB">
        <w:rPr>
          <w:rStyle w:val="EndnoteReference"/>
        </w:rPr>
        <w:endnoteRef/>
      </w:r>
      <w:r w:rsidR="000747A8">
        <w:t xml:space="preserve"> </w:t>
      </w:r>
      <w:r w:rsidR="009D3744" w:rsidRPr="00342EFB">
        <w:t>F Thien, PJ Beggs, D Csutoros, J Darvall, M Hew, JM Davies, PG Bardin, T Bannister, S Barnes</w:t>
      </w:r>
      <w:r w:rsidR="002D5BDD">
        <w:t>,</w:t>
      </w:r>
      <w:r w:rsidR="009D3744" w:rsidRPr="00342EFB">
        <w:t xml:space="preserve"> R Bellomo</w:t>
      </w:r>
      <w:r w:rsidR="002D5BDD">
        <w:t xml:space="preserve"> and</w:t>
      </w:r>
      <w:r w:rsidR="009D3744" w:rsidRPr="00342EFB">
        <w:t xml:space="preserve"> T Byrne, ‘The Melbourne epidemic thunderstorm asthma event 2016: an investigation of environmental triggers, effect on health services, and patient risk factors’</w:t>
      </w:r>
      <w:r w:rsidR="002A49F0">
        <w:t>,</w:t>
      </w:r>
      <w:r w:rsidR="009D3744" w:rsidRPr="00342EFB">
        <w:t xml:space="preserve"> </w:t>
      </w:r>
      <w:r w:rsidR="009D3744" w:rsidRPr="00342EFB">
        <w:rPr>
          <w:i/>
        </w:rPr>
        <w:t>The Lancet Planetary Health</w:t>
      </w:r>
      <w:r w:rsidR="009D3744" w:rsidRPr="00342EFB">
        <w:t>, 2018</w:t>
      </w:r>
      <w:r w:rsidR="00172DCB">
        <w:t xml:space="preserve">, </w:t>
      </w:r>
      <w:r w:rsidR="009D3744" w:rsidRPr="00342EFB">
        <w:t>2(6):255-</w:t>
      </w:r>
      <w:r w:rsidR="00CB3EC2">
        <w:t>2</w:t>
      </w:r>
      <w:r w:rsidR="009D3744" w:rsidRPr="00342EFB">
        <w:t>63</w:t>
      </w:r>
      <w:r w:rsidR="002C4953">
        <w:t xml:space="preserve">, </w:t>
      </w:r>
      <w:r w:rsidR="002C4953" w:rsidRPr="002C4953">
        <w:t>doi:10.1016/S2542-5196(18)30120-7</w:t>
      </w:r>
      <w:r w:rsidR="009D3744" w:rsidRPr="002C4953">
        <w:t>.</w:t>
      </w:r>
    </w:p>
  </w:endnote>
  <w:endnote w:id="250">
    <w:p w14:paraId="4D38ABC9" w14:textId="77777777" w:rsidR="00AF7ED5" w:rsidRPr="00A22041" w:rsidRDefault="00AF7ED5" w:rsidP="00BB3490">
      <w:pPr>
        <w:pStyle w:val="EndnoteText"/>
      </w:pPr>
      <w:r w:rsidRPr="00A22041">
        <w:rPr>
          <w:rStyle w:val="EndnoteReference"/>
        </w:rPr>
        <w:endnoteRef/>
      </w:r>
      <w:r w:rsidRPr="00A22041">
        <w:t xml:space="preserve"> A Kevat, ‘Thunderstorm asthma: Looking back and looking forward’, </w:t>
      </w:r>
      <w:r w:rsidRPr="00A22041">
        <w:rPr>
          <w:i/>
          <w:iCs/>
        </w:rPr>
        <w:t>Journal of Asthma and</w:t>
      </w:r>
      <w:r w:rsidRPr="00A22041">
        <w:rPr>
          <w:i/>
        </w:rPr>
        <w:t xml:space="preserve"> Allergy, </w:t>
      </w:r>
      <w:r w:rsidRPr="00A22041">
        <w:t>2020, 13:293-299, doi:10.2147/JAA.S265697.</w:t>
      </w:r>
    </w:p>
  </w:endnote>
  <w:endnote w:id="251">
    <w:p w14:paraId="7E823B45" w14:textId="697C0972" w:rsidR="003A2C09" w:rsidRDefault="003A2C09" w:rsidP="00BB3490">
      <w:pPr>
        <w:pStyle w:val="EndnoteText"/>
      </w:pPr>
      <w:r w:rsidRPr="00342EFB">
        <w:rPr>
          <w:rStyle w:val="EndnoteReference"/>
        </w:rPr>
        <w:endnoteRef/>
      </w:r>
      <w:r w:rsidRPr="00342EFB">
        <w:t xml:space="preserve"> </w:t>
      </w:r>
      <w:r w:rsidR="005637B7">
        <w:t>Royal Commission into National Natural Disaster Arrangements</w:t>
      </w:r>
      <w:r w:rsidR="005637B7" w:rsidRPr="000328CD">
        <w:rPr>
          <w:rStyle w:val="Hyperlink"/>
          <w:color w:val="auto"/>
          <w:u w:val="none"/>
        </w:rPr>
        <w:t xml:space="preserve">, </w:t>
      </w:r>
      <w:hyperlink r:id="rId151" w:history="1">
        <w:r w:rsidR="005637B7">
          <w:rPr>
            <w:rStyle w:val="Hyperlink"/>
            <w:i/>
          </w:rPr>
          <w:t>Royal Commission into National Natural Disaster Arrangements Report</w:t>
        </w:r>
      </w:hyperlink>
      <w:r w:rsidR="005637B7" w:rsidRPr="000328CD">
        <w:rPr>
          <w:rStyle w:val="Hyperlink"/>
          <w:color w:val="auto"/>
          <w:u w:val="none"/>
        </w:rPr>
        <w:t>, Australian Government, 2020.</w:t>
      </w:r>
      <w:r w:rsidR="00315DD8" w:rsidRPr="006F4E7D">
        <w:rPr>
          <w:rStyle w:val="Hyperlink"/>
          <w:color w:val="auto"/>
          <w:u w:val="none"/>
        </w:rPr>
        <w:t xml:space="preserve"> </w:t>
      </w:r>
    </w:p>
  </w:endnote>
  <w:endnote w:id="252">
    <w:p w14:paraId="0FBED152" w14:textId="1C5B68BD" w:rsidR="00376D1E" w:rsidRDefault="00376D1E" w:rsidP="00BB3490">
      <w:pPr>
        <w:pStyle w:val="EndnoteText"/>
      </w:pPr>
      <w:r w:rsidRPr="00CB7D74">
        <w:rPr>
          <w:rStyle w:val="EndnoteReference"/>
        </w:rPr>
        <w:endnoteRef/>
      </w:r>
      <w:r w:rsidRPr="00342EFB">
        <w:t xml:space="preserve"> </w:t>
      </w:r>
      <w:r w:rsidR="00C3642C">
        <w:t>ID Cresswell, T Janke and EL Johnson</w:t>
      </w:r>
      <w:r w:rsidR="00C3642C" w:rsidRPr="00A22041">
        <w:t xml:space="preserve">, </w:t>
      </w:r>
      <w:hyperlink r:id="rId152" w:history="1">
        <w:r w:rsidR="00C3642C" w:rsidRPr="00C3642C">
          <w:rPr>
            <w:rStyle w:val="Hyperlink"/>
            <w:i/>
          </w:rPr>
          <w:t>Australia State of the Environment 2021</w:t>
        </w:r>
      </w:hyperlink>
      <w:r w:rsidR="00C3642C" w:rsidRPr="00A22041">
        <w:t xml:space="preserve">, independent report to the Australian Government Minister for the Environment, </w:t>
      </w:r>
      <w:r w:rsidR="00C3642C">
        <w:t>Australian Government</w:t>
      </w:r>
      <w:r w:rsidR="00C3642C" w:rsidRPr="00A22041">
        <w:t>, 2021.</w:t>
      </w:r>
    </w:p>
  </w:endnote>
  <w:endnote w:id="253">
    <w:p w14:paraId="12231191" w14:textId="024FD327" w:rsidR="00AF7ED5" w:rsidRPr="00A22041" w:rsidRDefault="00AF7ED5" w:rsidP="00BB3490">
      <w:pPr>
        <w:pStyle w:val="EndnoteText"/>
      </w:pPr>
      <w:r w:rsidRPr="00CB7D74">
        <w:rPr>
          <w:rStyle w:val="EndnoteReference"/>
        </w:rPr>
        <w:endnoteRef/>
      </w:r>
      <w:r w:rsidRPr="00A22041">
        <w:t xml:space="preserve"> </w:t>
      </w:r>
      <w:r w:rsidR="00666683">
        <w:t>ID Cresswell, T Janke</w:t>
      </w:r>
      <w:r w:rsidRPr="00A22041">
        <w:t xml:space="preserve"> and </w:t>
      </w:r>
      <w:r w:rsidR="00666683">
        <w:t>EL Johnson</w:t>
      </w:r>
      <w:r w:rsidRPr="00A22041">
        <w:t xml:space="preserve">, </w:t>
      </w:r>
      <w:hyperlink r:id="rId153" w:history="1">
        <w:r w:rsidRPr="00C3642C">
          <w:rPr>
            <w:rStyle w:val="Hyperlink"/>
            <w:i/>
          </w:rPr>
          <w:t>Australia State of the Environment 2021</w:t>
        </w:r>
      </w:hyperlink>
      <w:r w:rsidRPr="00A22041">
        <w:t xml:space="preserve">, independent report to the Australian Government Minister for the Environment, </w:t>
      </w:r>
      <w:r w:rsidR="00C3642C">
        <w:t>Australian Government</w:t>
      </w:r>
      <w:r w:rsidRPr="00A22041">
        <w:t>, 2021.</w:t>
      </w:r>
    </w:p>
  </w:endnote>
  <w:endnote w:id="254">
    <w:p w14:paraId="6665AF74" w14:textId="15CCDFDB" w:rsidR="00AF7ED5" w:rsidRPr="00A22041" w:rsidRDefault="00AF7ED5" w:rsidP="00BB3490">
      <w:pPr>
        <w:pStyle w:val="EndnoteText"/>
      </w:pPr>
      <w:r w:rsidRPr="007C6ED5">
        <w:rPr>
          <w:rStyle w:val="EndnoteReference"/>
        </w:rPr>
        <w:endnoteRef/>
      </w:r>
      <w:r w:rsidRPr="007C6ED5">
        <w:t xml:space="preserve"> M Brauer, JR Brook, T Chirstidis, Y Chu, DL Crouse, A Erikson</w:t>
      </w:r>
      <w:r w:rsidR="001A3B80">
        <w:t xml:space="preserve">, </w:t>
      </w:r>
      <w:r w:rsidR="001C5B16">
        <w:t xml:space="preserve">P Hystad, </w:t>
      </w:r>
      <w:r w:rsidR="00433F3B">
        <w:t xml:space="preserve">C Li, RV Martin, J Meng, AJ Pappin, LL Pinault, </w:t>
      </w:r>
      <w:r w:rsidR="00B5599A">
        <w:t xml:space="preserve">M Tjepkema, A von Donkelaar, C Weagle, S Weichenthal and </w:t>
      </w:r>
      <w:r w:rsidR="00A866C2">
        <w:t>RT Burnett,</w:t>
      </w:r>
      <w:r w:rsidRPr="007C6ED5">
        <w:t xml:space="preserve"> ‘Mortality-Air Pollution Associations in Low </w:t>
      </w:r>
      <w:r w:rsidR="00093586" w:rsidRPr="007C6ED5">
        <w:t>Exposure</w:t>
      </w:r>
      <w:r w:rsidRPr="007C6ED5">
        <w:t xml:space="preserve"> Environments (MAPLE): Phase 2’, </w:t>
      </w:r>
      <w:r w:rsidRPr="007C6ED5">
        <w:rPr>
          <w:i/>
        </w:rPr>
        <w:t>Health Effects Institute</w:t>
      </w:r>
      <w:r w:rsidRPr="007C6ED5">
        <w:t xml:space="preserve">, </w:t>
      </w:r>
      <w:r w:rsidR="008C0412">
        <w:t>Research Report 212</w:t>
      </w:r>
      <w:r w:rsidRPr="007C6ED5">
        <w:t>, 2022.</w:t>
      </w:r>
      <w:r w:rsidRPr="00A22041">
        <w:t xml:space="preserve"> </w:t>
      </w:r>
    </w:p>
  </w:endnote>
  <w:endnote w:id="255">
    <w:p w14:paraId="5F80459F" w14:textId="75EFF083" w:rsidR="002C3CB0" w:rsidRPr="00BE5F43" w:rsidRDefault="002C3CB0" w:rsidP="00BB3490">
      <w:pPr>
        <w:pStyle w:val="EndnoteText"/>
      </w:pPr>
      <w:r w:rsidRPr="00342EFB">
        <w:rPr>
          <w:rStyle w:val="EndnoteReference"/>
        </w:rPr>
        <w:endnoteRef/>
      </w:r>
      <w:r w:rsidR="00A652D7" w:rsidRPr="00342EFB">
        <w:t xml:space="preserve"> </w:t>
      </w:r>
      <w:r w:rsidR="00C616F3">
        <w:t xml:space="preserve">S Estella Kim, Y Xie, H Dai, S Fujimori, Y Hijioka, Y Honda, </w:t>
      </w:r>
      <w:r w:rsidR="00E94C12">
        <w:t>M Hashizume, T Masui</w:t>
      </w:r>
      <w:r w:rsidR="00A55B22">
        <w:t>, T Hasegawa, X Xu, K Yi and H Kim</w:t>
      </w:r>
      <w:r w:rsidR="00923EB3">
        <w:t>, ‘Air quality co-benefits from climate mitigation for h</w:t>
      </w:r>
      <w:r w:rsidR="00DC5EA7">
        <w:t xml:space="preserve">uman health in South Korea’, </w:t>
      </w:r>
      <w:r w:rsidR="007036CF">
        <w:rPr>
          <w:i/>
          <w:iCs/>
        </w:rPr>
        <w:t>Environmental International</w:t>
      </w:r>
      <w:r w:rsidR="00BE5F43">
        <w:t xml:space="preserve">, </w:t>
      </w:r>
      <w:r w:rsidR="00C63690">
        <w:t>2020</w:t>
      </w:r>
      <w:r w:rsidR="00C1124D">
        <w:t xml:space="preserve">, </w:t>
      </w:r>
      <w:r w:rsidR="000B1B0B" w:rsidRPr="000C5CD6">
        <w:t>136</w:t>
      </w:r>
      <w:r w:rsidR="000B1B0B">
        <w:t>, doi:</w:t>
      </w:r>
      <w:r w:rsidR="00682648">
        <w:t>10.1016/j.envint.2020.105507.</w:t>
      </w:r>
    </w:p>
  </w:endnote>
  <w:endnote w:id="256">
    <w:p w14:paraId="6608F5CA" w14:textId="77777777" w:rsidR="00AF7ED5" w:rsidRPr="00A22041" w:rsidRDefault="00AF7ED5" w:rsidP="00BB3490">
      <w:pPr>
        <w:pStyle w:val="EndnoteText"/>
        <w:rPr>
          <w:lang w:val="en-GB"/>
        </w:rPr>
      </w:pPr>
      <w:r w:rsidRPr="00A22041">
        <w:rPr>
          <w:rStyle w:val="EndnoteReference"/>
        </w:rPr>
        <w:endnoteRef/>
      </w:r>
      <w:r w:rsidRPr="00A22041">
        <w:t xml:space="preserve"> CL Gallagher and T Holloway, ‘Integrating air quality and public health benefits in US decarbonization strategies’, </w:t>
      </w:r>
      <w:r w:rsidRPr="00A22041">
        <w:rPr>
          <w:i/>
        </w:rPr>
        <w:t>Frontiers in Public Health</w:t>
      </w:r>
      <w:r w:rsidRPr="00A22041">
        <w:t>, 2020, 8:563358, doi:10.3389/fpubh.2020.563358.</w:t>
      </w:r>
    </w:p>
  </w:endnote>
  <w:endnote w:id="257">
    <w:p w14:paraId="00CA41DE" w14:textId="41A0B74C" w:rsidR="00AF7ED5" w:rsidRPr="00A22041" w:rsidRDefault="00AF7ED5" w:rsidP="00BB3490">
      <w:pPr>
        <w:pStyle w:val="EndnoteText"/>
      </w:pPr>
      <w:r w:rsidRPr="00A22041">
        <w:rPr>
          <w:rStyle w:val="EndnoteReference"/>
        </w:rPr>
        <w:endnoteRef/>
      </w:r>
      <w:r w:rsidRPr="00A22041">
        <w:t xml:space="preserve"> International Energy Agency (IEA), </w:t>
      </w:r>
      <w:hyperlink r:id="rId154" w:history="1">
        <w:r w:rsidRPr="00A22041">
          <w:rPr>
            <w:rStyle w:val="Hyperlink"/>
            <w:i/>
            <w:iCs/>
          </w:rPr>
          <w:t>Energy and Air Pollution</w:t>
        </w:r>
      </w:hyperlink>
      <w:r w:rsidRPr="00A22041">
        <w:t xml:space="preserve">, IEA, 2016. </w:t>
      </w:r>
    </w:p>
  </w:endnote>
  <w:endnote w:id="258">
    <w:p w14:paraId="3686AD47" w14:textId="76FA52B1" w:rsidR="000B51F7" w:rsidRPr="00682648" w:rsidRDefault="000B51F7" w:rsidP="00BB3490">
      <w:pPr>
        <w:pStyle w:val="EndnoteText"/>
        <w:rPr>
          <w:rFonts w:cstheme="minorHAnsi"/>
          <w:highlight w:val="red"/>
        </w:rPr>
      </w:pPr>
      <w:r w:rsidRPr="00342EFB">
        <w:rPr>
          <w:rStyle w:val="EndnoteReference"/>
          <w:rFonts w:cstheme="minorHAnsi"/>
        </w:rPr>
        <w:endnoteRef/>
      </w:r>
      <w:r w:rsidRPr="00342EFB">
        <w:rPr>
          <w:rFonts w:cstheme="minorHAnsi"/>
        </w:rPr>
        <w:t xml:space="preserve"> </w:t>
      </w:r>
      <w:r w:rsidR="00682648">
        <w:rPr>
          <w:rFonts w:cstheme="minorHAnsi"/>
        </w:rPr>
        <w:t>S</w:t>
      </w:r>
      <w:r>
        <w:rPr>
          <w:rFonts w:cstheme="minorHAnsi"/>
        </w:rPr>
        <w:t xml:space="preserve"> </w:t>
      </w:r>
      <w:r w:rsidR="00D879CF" w:rsidRPr="00342EFB">
        <w:rPr>
          <w:rStyle w:val="cf01"/>
          <w:rFonts w:asciiTheme="minorHAnsi" w:hAnsiTheme="minorHAnsi" w:cstheme="minorHAnsi"/>
          <w:sz w:val="20"/>
          <w:szCs w:val="20"/>
        </w:rPr>
        <w:t>Vardoulakis,</w:t>
      </w:r>
      <w:r w:rsidR="00D879CF">
        <w:rPr>
          <w:rStyle w:val="cf01"/>
          <w:rFonts w:asciiTheme="minorHAnsi" w:hAnsiTheme="minorHAnsi" w:cstheme="minorHAnsi"/>
          <w:sz w:val="20"/>
          <w:szCs w:val="20"/>
        </w:rPr>
        <w:t xml:space="preserve"> </w:t>
      </w:r>
      <w:r w:rsidR="00682648">
        <w:rPr>
          <w:rStyle w:val="cf01"/>
          <w:rFonts w:asciiTheme="minorHAnsi" w:hAnsiTheme="minorHAnsi" w:cstheme="minorHAnsi"/>
          <w:sz w:val="20"/>
          <w:szCs w:val="20"/>
        </w:rPr>
        <w:t>E</w:t>
      </w:r>
      <w:r w:rsidR="00D879CF" w:rsidRPr="00342EFB">
        <w:rPr>
          <w:rStyle w:val="cf01"/>
          <w:rFonts w:asciiTheme="minorHAnsi" w:hAnsiTheme="minorHAnsi" w:cstheme="minorHAnsi"/>
          <w:sz w:val="20"/>
          <w:szCs w:val="20"/>
        </w:rPr>
        <w:t xml:space="preserve"> Giagloglou,</w:t>
      </w:r>
      <w:r w:rsidR="00D879CF">
        <w:rPr>
          <w:rStyle w:val="cf01"/>
          <w:rFonts w:asciiTheme="minorHAnsi" w:hAnsiTheme="minorHAnsi" w:cstheme="minorHAnsi"/>
          <w:sz w:val="20"/>
          <w:szCs w:val="20"/>
        </w:rPr>
        <w:t xml:space="preserve"> </w:t>
      </w:r>
      <w:r w:rsidR="00682648">
        <w:rPr>
          <w:rStyle w:val="cf01"/>
          <w:rFonts w:asciiTheme="minorHAnsi" w:hAnsiTheme="minorHAnsi" w:cstheme="minorHAnsi"/>
          <w:sz w:val="20"/>
          <w:szCs w:val="20"/>
        </w:rPr>
        <w:t>S</w:t>
      </w:r>
      <w:r w:rsidR="00D879CF" w:rsidRPr="00342EFB">
        <w:rPr>
          <w:rStyle w:val="cf01"/>
          <w:rFonts w:asciiTheme="minorHAnsi" w:hAnsiTheme="minorHAnsi" w:cstheme="minorHAnsi"/>
          <w:sz w:val="20"/>
          <w:szCs w:val="20"/>
        </w:rPr>
        <w:t xml:space="preserve"> Steinle, </w:t>
      </w:r>
      <w:r w:rsidR="00682648">
        <w:rPr>
          <w:rStyle w:val="cf01"/>
          <w:rFonts w:asciiTheme="minorHAnsi" w:hAnsiTheme="minorHAnsi" w:cstheme="minorHAnsi"/>
          <w:sz w:val="20"/>
          <w:szCs w:val="20"/>
        </w:rPr>
        <w:t xml:space="preserve">A </w:t>
      </w:r>
      <w:r w:rsidR="00D879CF" w:rsidRPr="00342EFB">
        <w:rPr>
          <w:rStyle w:val="cf01"/>
          <w:rFonts w:asciiTheme="minorHAnsi" w:hAnsiTheme="minorHAnsi" w:cstheme="minorHAnsi"/>
          <w:sz w:val="20"/>
          <w:szCs w:val="20"/>
        </w:rPr>
        <w:t xml:space="preserve">Davis, </w:t>
      </w:r>
      <w:r w:rsidR="00682648">
        <w:rPr>
          <w:rStyle w:val="cf01"/>
          <w:rFonts w:asciiTheme="minorHAnsi" w:hAnsiTheme="minorHAnsi" w:cstheme="minorHAnsi"/>
          <w:sz w:val="20"/>
          <w:szCs w:val="20"/>
        </w:rPr>
        <w:t xml:space="preserve">A </w:t>
      </w:r>
      <w:r w:rsidR="00D879CF" w:rsidRPr="00342EFB">
        <w:rPr>
          <w:rStyle w:val="cf01"/>
          <w:rFonts w:asciiTheme="minorHAnsi" w:hAnsiTheme="minorHAnsi" w:cstheme="minorHAnsi"/>
          <w:sz w:val="20"/>
          <w:szCs w:val="20"/>
        </w:rPr>
        <w:t xml:space="preserve">Sleeuwenhoek, </w:t>
      </w:r>
      <w:r w:rsidR="00682648">
        <w:rPr>
          <w:rStyle w:val="cf01"/>
          <w:rFonts w:asciiTheme="minorHAnsi" w:hAnsiTheme="minorHAnsi" w:cstheme="minorHAnsi"/>
          <w:sz w:val="20"/>
          <w:szCs w:val="20"/>
        </w:rPr>
        <w:t xml:space="preserve">KS </w:t>
      </w:r>
      <w:r w:rsidR="00D879CF" w:rsidRPr="00342EFB">
        <w:rPr>
          <w:rStyle w:val="cf01"/>
          <w:rFonts w:asciiTheme="minorHAnsi" w:hAnsiTheme="minorHAnsi" w:cstheme="minorHAnsi"/>
          <w:sz w:val="20"/>
          <w:szCs w:val="20"/>
        </w:rPr>
        <w:t>Galea,</w:t>
      </w:r>
      <w:r w:rsidR="00D879CF">
        <w:rPr>
          <w:rStyle w:val="cf01"/>
          <w:rFonts w:asciiTheme="minorHAnsi" w:hAnsiTheme="minorHAnsi" w:cstheme="minorHAnsi"/>
          <w:sz w:val="20"/>
          <w:szCs w:val="20"/>
        </w:rPr>
        <w:t xml:space="preserve"> </w:t>
      </w:r>
      <w:r w:rsidR="00682648">
        <w:rPr>
          <w:rStyle w:val="cf01"/>
          <w:rFonts w:asciiTheme="minorHAnsi" w:hAnsiTheme="minorHAnsi" w:cstheme="minorHAnsi"/>
          <w:sz w:val="20"/>
          <w:szCs w:val="20"/>
        </w:rPr>
        <w:t>K</w:t>
      </w:r>
      <w:r w:rsidR="00D879CF" w:rsidRPr="00342EFB">
        <w:rPr>
          <w:rStyle w:val="cf01"/>
          <w:rFonts w:asciiTheme="minorHAnsi" w:hAnsiTheme="minorHAnsi" w:cstheme="minorHAnsi"/>
          <w:sz w:val="20"/>
          <w:szCs w:val="20"/>
        </w:rPr>
        <w:t xml:space="preserve"> Dixon K</w:t>
      </w:r>
      <w:r w:rsidR="00D879CF">
        <w:rPr>
          <w:rStyle w:val="cf01"/>
          <w:rFonts w:asciiTheme="minorHAnsi" w:hAnsiTheme="minorHAnsi" w:cstheme="minorHAnsi"/>
          <w:sz w:val="20"/>
          <w:szCs w:val="20"/>
        </w:rPr>
        <w:t xml:space="preserve"> </w:t>
      </w:r>
      <w:r w:rsidR="00682648">
        <w:rPr>
          <w:rStyle w:val="cf01"/>
          <w:rFonts w:asciiTheme="minorHAnsi" w:hAnsiTheme="minorHAnsi" w:cstheme="minorHAnsi"/>
          <w:sz w:val="20"/>
          <w:szCs w:val="20"/>
        </w:rPr>
        <w:t>and JO</w:t>
      </w:r>
      <w:r w:rsidR="00D879CF" w:rsidRPr="00342EFB">
        <w:rPr>
          <w:rStyle w:val="cf01"/>
          <w:rFonts w:asciiTheme="minorHAnsi" w:hAnsiTheme="minorHAnsi" w:cstheme="minorHAnsi"/>
          <w:sz w:val="20"/>
          <w:szCs w:val="20"/>
        </w:rPr>
        <w:t xml:space="preserve"> Crawford, </w:t>
      </w:r>
      <w:r w:rsidR="00225B75">
        <w:rPr>
          <w:rStyle w:val="cf01"/>
          <w:rFonts w:asciiTheme="minorHAnsi" w:hAnsiTheme="minorHAnsi" w:cstheme="minorHAnsi"/>
          <w:sz w:val="20"/>
          <w:szCs w:val="20"/>
        </w:rPr>
        <w:t>‘</w:t>
      </w:r>
      <w:r w:rsidR="00D879CF" w:rsidRPr="00342EFB">
        <w:rPr>
          <w:rStyle w:val="cf01"/>
          <w:rFonts w:asciiTheme="minorHAnsi" w:hAnsiTheme="minorHAnsi" w:cstheme="minorHAnsi"/>
          <w:sz w:val="20"/>
          <w:szCs w:val="20"/>
        </w:rPr>
        <w:t>Indoor exposure to selected air pollutants in the home environment: A Systematic Review</w:t>
      </w:r>
      <w:r w:rsidR="00225B75">
        <w:rPr>
          <w:rStyle w:val="cf01"/>
          <w:rFonts w:asciiTheme="minorHAnsi" w:hAnsiTheme="minorHAnsi" w:cstheme="minorHAnsi"/>
          <w:sz w:val="20"/>
          <w:szCs w:val="20"/>
        </w:rPr>
        <w:t>’,</w:t>
      </w:r>
      <w:r w:rsidR="00D879CF" w:rsidRPr="00342EFB">
        <w:rPr>
          <w:rStyle w:val="cf01"/>
          <w:rFonts w:asciiTheme="minorHAnsi" w:hAnsiTheme="minorHAnsi" w:cstheme="minorHAnsi"/>
          <w:sz w:val="20"/>
          <w:szCs w:val="20"/>
        </w:rPr>
        <w:t xml:space="preserve"> </w:t>
      </w:r>
      <w:r w:rsidR="00D879CF" w:rsidRPr="00342EFB">
        <w:rPr>
          <w:rStyle w:val="cf01"/>
          <w:rFonts w:asciiTheme="minorHAnsi" w:hAnsiTheme="minorHAnsi" w:cstheme="minorHAnsi"/>
          <w:i/>
          <w:sz w:val="20"/>
          <w:szCs w:val="20"/>
        </w:rPr>
        <w:t>International Journal of Environmental Research and Public Health</w:t>
      </w:r>
      <w:r w:rsidR="00225B75">
        <w:rPr>
          <w:rStyle w:val="cf01"/>
          <w:rFonts w:asciiTheme="minorHAnsi" w:hAnsiTheme="minorHAnsi" w:cstheme="minorHAnsi"/>
          <w:sz w:val="20"/>
          <w:szCs w:val="20"/>
        </w:rPr>
        <w:t>,</w:t>
      </w:r>
      <w:r w:rsidR="00225B75" w:rsidRPr="00225B75">
        <w:rPr>
          <w:rStyle w:val="cf01"/>
          <w:rFonts w:asciiTheme="minorHAnsi" w:hAnsiTheme="minorHAnsi" w:cstheme="minorHAnsi"/>
          <w:sz w:val="20"/>
          <w:szCs w:val="20"/>
        </w:rPr>
        <w:t xml:space="preserve"> </w:t>
      </w:r>
      <w:r w:rsidR="00225B75" w:rsidRPr="00673557">
        <w:rPr>
          <w:rStyle w:val="cf01"/>
          <w:rFonts w:asciiTheme="minorHAnsi" w:hAnsiTheme="minorHAnsi" w:cstheme="minorHAnsi"/>
          <w:sz w:val="20"/>
          <w:szCs w:val="20"/>
        </w:rPr>
        <w:t>2020</w:t>
      </w:r>
      <w:r w:rsidR="00225B75">
        <w:rPr>
          <w:rStyle w:val="cf01"/>
          <w:rFonts w:asciiTheme="minorHAnsi" w:hAnsiTheme="minorHAnsi" w:cstheme="minorHAnsi"/>
          <w:sz w:val="20"/>
          <w:szCs w:val="20"/>
        </w:rPr>
        <w:t>,</w:t>
      </w:r>
      <w:r w:rsidR="00D879CF" w:rsidRPr="00342EFB">
        <w:rPr>
          <w:rStyle w:val="cf01"/>
          <w:rFonts w:asciiTheme="minorHAnsi" w:hAnsiTheme="minorHAnsi" w:cstheme="minorHAnsi"/>
          <w:sz w:val="20"/>
          <w:szCs w:val="20"/>
        </w:rPr>
        <w:t xml:space="preserve"> </w:t>
      </w:r>
      <w:r w:rsidR="00D879CF" w:rsidRPr="00091782">
        <w:rPr>
          <w:rStyle w:val="cf01"/>
          <w:rFonts w:asciiTheme="minorHAnsi" w:hAnsiTheme="minorHAnsi" w:cstheme="minorHAnsi"/>
          <w:sz w:val="20"/>
          <w:szCs w:val="20"/>
        </w:rPr>
        <w:t>17</w:t>
      </w:r>
      <w:r w:rsidR="00091782" w:rsidRPr="00091782">
        <w:rPr>
          <w:rStyle w:val="cf01"/>
          <w:rFonts w:asciiTheme="minorHAnsi" w:hAnsiTheme="minorHAnsi" w:cstheme="minorHAnsi"/>
          <w:sz w:val="20"/>
          <w:szCs w:val="20"/>
        </w:rPr>
        <w:t>:</w:t>
      </w:r>
      <w:r w:rsidR="00D879CF" w:rsidRPr="00091782">
        <w:rPr>
          <w:rStyle w:val="cf01"/>
          <w:rFonts w:asciiTheme="minorHAnsi" w:hAnsiTheme="minorHAnsi" w:cstheme="minorHAnsi"/>
          <w:sz w:val="20"/>
          <w:szCs w:val="20"/>
        </w:rPr>
        <w:t>8972</w:t>
      </w:r>
      <w:r w:rsidR="00091782" w:rsidRPr="00091782">
        <w:rPr>
          <w:rStyle w:val="cf01"/>
          <w:rFonts w:asciiTheme="minorHAnsi" w:hAnsiTheme="minorHAnsi" w:cstheme="minorHAnsi"/>
          <w:sz w:val="20"/>
          <w:szCs w:val="20"/>
        </w:rPr>
        <w:t>,</w:t>
      </w:r>
      <w:r w:rsidR="00D879CF" w:rsidRPr="00342EFB">
        <w:rPr>
          <w:rStyle w:val="cf01"/>
          <w:rFonts w:asciiTheme="minorHAnsi" w:hAnsiTheme="minorHAnsi" w:cstheme="minorHAnsi"/>
          <w:sz w:val="20"/>
          <w:szCs w:val="20"/>
        </w:rPr>
        <w:t xml:space="preserve"> doi:10.3390/ijerph17238972</w:t>
      </w:r>
      <w:r w:rsidR="00225B75">
        <w:rPr>
          <w:rStyle w:val="cf01"/>
          <w:rFonts w:asciiTheme="minorHAnsi" w:hAnsiTheme="minorHAnsi" w:cstheme="minorHAnsi"/>
          <w:sz w:val="20"/>
          <w:szCs w:val="20"/>
        </w:rPr>
        <w:t>.</w:t>
      </w:r>
    </w:p>
  </w:endnote>
  <w:endnote w:id="259">
    <w:p w14:paraId="625B4B2D" w14:textId="45B93CBE" w:rsidR="00AE23EA" w:rsidRDefault="00AE23EA" w:rsidP="00BB3490">
      <w:pPr>
        <w:pStyle w:val="EndnoteText"/>
      </w:pPr>
      <w:r w:rsidRPr="00342EFB">
        <w:rPr>
          <w:rStyle w:val="EndnoteReference"/>
        </w:rPr>
        <w:endnoteRef/>
      </w:r>
      <w:r>
        <w:t xml:space="preserve"> </w:t>
      </w:r>
      <w:r w:rsidR="007B0BA9">
        <w:t>Standing Committee on Health, Aged Care and Sport</w:t>
      </w:r>
      <w:r w:rsidR="002D65F2">
        <w:t xml:space="preserve">, </w:t>
      </w:r>
      <w:hyperlink r:id="rId155" w:history="1">
        <w:r w:rsidR="00CB7D74">
          <w:rPr>
            <w:rStyle w:val="Hyperlink"/>
            <w:i/>
            <w:iCs/>
          </w:rPr>
          <w:t>Sick and tired: Casting a long shadow. Inquiry into Long COVID and Repeated COVID Infections</w:t>
        </w:r>
      </w:hyperlink>
      <w:r w:rsidR="002D65F2">
        <w:t xml:space="preserve">, </w:t>
      </w:r>
      <w:r w:rsidR="00BF17AE">
        <w:t xml:space="preserve">House of Representatives, </w:t>
      </w:r>
      <w:r w:rsidR="007274D6">
        <w:t xml:space="preserve">Australian Government, </w:t>
      </w:r>
      <w:r w:rsidR="002D65F2">
        <w:t>2023</w:t>
      </w:r>
      <w:r w:rsidR="007274D6">
        <w:t>.</w:t>
      </w:r>
    </w:p>
  </w:endnote>
  <w:endnote w:id="260">
    <w:p w14:paraId="4EBD93A7" w14:textId="1C7564E9" w:rsidR="00C3517F" w:rsidRPr="0046309A" w:rsidRDefault="00C3517F" w:rsidP="00BB3490">
      <w:pPr>
        <w:pStyle w:val="EndnoteText"/>
      </w:pPr>
      <w:r w:rsidRPr="005A651D">
        <w:rPr>
          <w:rStyle w:val="EndnoteReference"/>
        </w:rPr>
        <w:endnoteRef/>
      </w:r>
      <w:r w:rsidRPr="005A651D">
        <w:t xml:space="preserve"> </w:t>
      </w:r>
      <w:r w:rsidR="001106C1" w:rsidRPr="005A651D">
        <w:t>National Environment Protection (Ambient Air Quality</w:t>
      </w:r>
      <w:r w:rsidR="007172AF" w:rsidRPr="005A651D">
        <w:t xml:space="preserve">) Measure, under </w:t>
      </w:r>
      <w:r w:rsidR="002579B1" w:rsidRPr="005A651D">
        <w:t xml:space="preserve">section 20 of the </w:t>
      </w:r>
      <w:r w:rsidR="002579B1" w:rsidRPr="005A651D">
        <w:rPr>
          <w:i/>
        </w:rPr>
        <w:t xml:space="preserve">National </w:t>
      </w:r>
      <w:r w:rsidR="002579B1" w:rsidRPr="005A651D">
        <w:rPr>
          <w:i/>
          <w:iCs/>
        </w:rPr>
        <w:t>Environment</w:t>
      </w:r>
      <w:r w:rsidR="002579B1" w:rsidRPr="005A651D">
        <w:rPr>
          <w:i/>
        </w:rPr>
        <w:t xml:space="preserve"> Protection Council Act 1994</w:t>
      </w:r>
      <w:r w:rsidR="002579B1" w:rsidRPr="005A651D">
        <w:rPr>
          <w:i/>
          <w:iCs/>
        </w:rPr>
        <w:t>.</w:t>
      </w:r>
      <w:r w:rsidR="002579B1">
        <w:rPr>
          <w:i/>
          <w:iCs/>
        </w:rPr>
        <w:t xml:space="preserve"> </w:t>
      </w:r>
    </w:p>
  </w:endnote>
  <w:endnote w:id="261">
    <w:p w14:paraId="4F27B90B" w14:textId="2DC64900" w:rsidR="00A46688" w:rsidRDefault="00A46688" w:rsidP="00BB3490">
      <w:pPr>
        <w:pStyle w:val="EndnoteText"/>
      </w:pPr>
      <w:r w:rsidRPr="0046309A">
        <w:rPr>
          <w:rStyle w:val="EndnoteReference"/>
        </w:rPr>
        <w:endnoteRef/>
      </w:r>
      <w:r w:rsidRPr="00342EFB">
        <w:t xml:space="preserve"> </w:t>
      </w:r>
      <w:r w:rsidR="00DD0C27">
        <w:t xml:space="preserve">Australian </w:t>
      </w:r>
      <w:r w:rsidR="00276DC0">
        <w:t>Department of the Environment</w:t>
      </w:r>
      <w:r w:rsidR="00ED0A8F">
        <w:t xml:space="preserve"> (DE)</w:t>
      </w:r>
      <w:r w:rsidR="00276DC0">
        <w:t xml:space="preserve">, </w:t>
      </w:r>
      <w:hyperlink r:id="rId156" w:history="1">
        <w:r w:rsidR="00276DC0" w:rsidRPr="00342EFB">
          <w:rPr>
            <w:rStyle w:val="Hyperlink"/>
            <w:i/>
            <w:iCs/>
          </w:rPr>
          <w:t>National Clean Air Agreement</w:t>
        </w:r>
      </w:hyperlink>
      <w:r w:rsidR="00276DC0">
        <w:t xml:space="preserve">, </w:t>
      </w:r>
      <w:r w:rsidR="00ED0A8F">
        <w:t>DE</w:t>
      </w:r>
      <w:r w:rsidR="00276DC0">
        <w:t xml:space="preserve">, Australian Government, 2015. </w:t>
      </w:r>
    </w:p>
  </w:endnote>
  <w:endnote w:id="262">
    <w:p w14:paraId="7E9D838C" w14:textId="57D88850" w:rsidR="009F52D7" w:rsidRPr="00A22041" w:rsidRDefault="009F52D7" w:rsidP="00BB3490">
      <w:pPr>
        <w:pStyle w:val="EndnoteText"/>
      </w:pPr>
      <w:r w:rsidRPr="00A22041">
        <w:rPr>
          <w:rStyle w:val="EndnoteReference"/>
        </w:rPr>
        <w:endnoteRef/>
      </w:r>
      <w:r w:rsidRPr="00A22041">
        <w:t xml:space="preserve"> D Harley, P Bi, G Hall, A Swaminathan, S Tong and C Williams, ‘Climate change and infectious diseases in Australia: Future prospects, adaptation options, and research priorities’, </w:t>
      </w:r>
      <w:r w:rsidRPr="00A22041">
        <w:rPr>
          <w:i/>
        </w:rPr>
        <w:t>Asia Pacific Journal of Public Health</w:t>
      </w:r>
      <w:r w:rsidRPr="00A22041">
        <w:t>, 2011, 23(</w:t>
      </w:r>
      <w:r w:rsidR="00394F28">
        <w:t xml:space="preserve">Supplement </w:t>
      </w:r>
      <w:r w:rsidRPr="00A22041">
        <w:t>2):54S-66</w:t>
      </w:r>
      <w:r w:rsidR="00BF4A47">
        <w:t>S</w:t>
      </w:r>
      <w:r w:rsidRPr="00A22041">
        <w:t>, doi:10.1177/1010539510391660.</w:t>
      </w:r>
    </w:p>
  </w:endnote>
  <w:endnote w:id="263">
    <w:p w14:paraId="7BCC8339" w14:textId="13F6047F" w:rsidR="009F52D7" w:rsidRPr="00A22041" w:rsidRDefault="009F52D7" w:rsidP="00BB3490">
      <w:pPr>
        <w:pStyle w:val="EndnoteText"/>
      </w:pPr>
      <w:r w:rsidRPr="00A22041">
        <w:rPr>
          <w:rStyle w:val="EndnoteReference"/>
        </w:rPr>
        <w:endnoteRef/>
      </w:r>
      <w:r w:rsidRPr="00A22041">
        <w:t xml:space="preserve"> RE Baker, AS Mahmud, IF Miller, M Rajeev, F Rasambainarivo, BL Rice</w:t>
      </w:r>
      <w:r w:rsidR="003A6FBA">
        <w:t xml:space="preserve">, S Takahashi, AJ Tatem, CE Wagner, </w:t>
      </w:r>
      <w:r w:rsidR="005E1EE0">
        <w:t>LF Wang, A Wesolowski and CJE Metcalf,</w:t>
      </w:r>
      <w:r w:rsidRPr="00A22041">
        <w:t xml:space="preserve"> ‘Infectious disease in an era of global change’, </w:t>
      </w:r>
      <w:r w:rsidRPr="00A22041">
        <w:rPr>
          <w:i/>
        </w:rPr>
        <w:t>Nature Reviews Microbiology</w:t>
      </w:r>
      <w:r w:rsidRPr="00A22041">
        <w:t>, 2022, 20:193-205, doi</w:t>
      </w:r>
      <w:r w:rsidR="00ED0C27">
        <w:t>:</w:t>
      </w:r>
      <w:r w:rsidRPr="00A22041">
        <w:t>10.1038/s41579-021-00639-z</w:t>
      </w:r>
      <w:r w:rsidR="00974F5E">
        <w:t>.</w:t>
      </w:r>
      <w:r w:rsidR="00126D47">
        <w:t xml:space="preserve"> </w:t>
      </w:r>
    </w:p>
  </w:endnote>
  <w:endnote w:id="264">
    <w:p w14:paraId="6FD31B2A" w14:textId="485EEDAE" w:rsidR="009F52D7" w:rsidRPr="00A22041" w:rsidRDefault="009F52D7" w:rsidP="00BB3490">
      <w:pPr>
        <w:pStyle w:val="EndnoteText"/>
      </w:pPr>
      <w:r w:rsidRPr="00A22041">
        <w:rPr>
          <w:rStyle w:val="EndnoteReference"/>
        </w:rPr>
        <w:endnoteRef/>
      </w:r>
      <w:r w:rsidRPr="00A22041">
        <w:t xml:space="preserve"> FJ Colon-Gonzalez, MO</w:t>
      </w:r>
      <w:r w:rsidRPr="00A22041" w:rsidDel="00A8266E">
        <w:t xml:space="preserve"> </w:t>
      </w:r>
      <w:r w:rsidRPr="00A22041">
        <w:t xml:space="preserve">Odhiambo Sewe, AM Tompkins, H Sjodin, A Casallas, J Rocklov, C Caminade and R Lowe, ‘Projecting the risk of mosquito-borne diseases in a warmer and more populated world: a multi-model, multi-scenario intercomparison modelling study’, 2021, </w:t>
      </w:r>
      <w:r w:rsidRPr="00A22041">
        <w:rPr>
          <w:i/>
        </w:rPr>
        <w:t>The Lancet Planetary Health</w:t>
      </w:r>
      <w:r w:rsidRPr="00A22041">
        <w:t xml:space="preserve">, </w:t>
      </w:r>
      <w:r w:rsidR="00F66C60" w:rsidRPr="00A22041">
        <w:t xml:space="preserve">2021, </w:t>
      </w:r>
      <w:r w:rsidRPr="00A22041">
        <w:t>5(7):e404-e414, doi:</w:t>
      </w:r>
      <w:r w:rsidR="00ED0C27" w:rsidRPr="00173DF2">
        <w:t>10.1016/S2542-5196(21)00132-7</w:t>
      </w:r>
      <w:r w:rsidR="00974F5E">
        <w:t>.</w:t>
      </w:r>
    </w:p>
  </w:endnote>
  <w:endnote w:id="265">
    <w:p w14:paraId="10C60509" w14:textId="0051CB06" w:rsidR="009F52D7" w:rsidRPr="00A22041" w:rsidRDefault="009F52D7" w:rsidP="00BB3490">
      <w:pPr>
        <w:pStyle w:val="EndnoteText"/>
      </w:pPr>
      <w:r w:rsidRPr="00A22041">
        <w:rPr>
          <w:rStyle w:val="EndnoteReference"/>
        </w:rPr>
        <w:endnoteRef/>
      </w:r>
      <w:r w:rsidR="009831C2">
        <w:t xml:space="preserve"> </w:t>
      </w:r>
      <w:r w:rsidR="00513944">
        <w:t>Australian</w:t>
      </w:r>
      <w:r w:rsidR="009831C2">
        <w:t xml:space="preserve"> </w:t>
      </w:r>
      <w:r w:rsidRPr="00A22041">
        <w:t>Department of Health</w:t>
      </w:r>
      <w:r w:rsidR="00D7359C">
        <w:t xml:space="preserve">, </w:t>
      </w:r>
      <w:hyperlink r:id="rId157" w:history="1">
        <w:r w:rsidR="00ED0A8F">
          <w:rPr>
            <w:rStyle w:val="Hyperlink"/>
            <w:i/>
            <w:iCs/>
          </w:rPr>
          <w:t>Clinical advice: ATAGI statement on use of Dengvaxia® for Australians</w:t>
        </w:r>
      </w:hyperlink>
      <w:r w:rsidRPr="00A22041">
        <w:t xml:space="preserve"> </w:t>
      </w:r>
      <w:r w:rsidR="00417289">
        <w:t xml:space="preserve">[media release], </w:t>
      </w:r>
      <w:r w:rsidR="00210B26">
        <w:t xml:space="preserve">Australian </w:t>
      </w:r>
      <w:r w:rsidR="00571603">
        <w:t>Department of Health</w:t>
      </w:r>
      <w:r w:rsidRPr="00A22041">
        <w:t xml:space="preserve">, </w:t>
      </w:r>
      <w:r w:rsidR="00305362">
        <w:t xml:space="preserve">18 July </w:t>
      </w:r>
      <w:r w:rsidRPr="00A22041">
        <w:t xml:space="preserve">2019, </w:t>
      </w:r>
      <w:r w:rsidRPr="00BD7B84">
        <w:t xml:space="preserve">accessed </w:t>
      </w:r>
      <w:r w:rsidR="00A300DD">
        <w:t>21 November 2023.</w:t>
      </w:r>
    </w:p>
  </w:endnote>
  <w:endnote w:id="266">
    <w:p w14:paraId="17BBD79B" w14:textId="7F822ECD" w:rsidR="009F52D7" w:rsidRPr="00A22041" w:rsidRDefault="009F52D7" w:rsidP="00BB3490">
      <w:pPr>
        <w:pStyle w:val="EndnoteText"/>
      </w:pPr>
      <w:r w:rsidRPr="00A22041">
        <w:rPr>
          <w:rStyle w:val="EndnoteReference"/>
        </w:rPr>
        <w:endnoteRef/>
      </w:r>
      <w:r w:rsidRPr="00A22041">
        <w:t xml:space="preserve"> World Health </w:t>
      </w:r>
      <w:r w:rsidR="007C6ED5">
        <w:t>Organization</w:t>
      </w:r>
      <w:r w:rsidRPr="00A22041">
        <w:t xml:space="preserve"> (WHO), </w:t>
      </w:r>
      <w:hyperlink r:id="rId158" w:history="1">
        <w:r w:rsidRPr="00A22041">
          <w:rPr>
            <w:rStyle w:val="Hyperlink"/>
            <w:i/>
            <w:iCs/>
          </w:rPr>
          <w:t>WHO recommends groundbreaking malaria vaccine for children at risk</w:t>
        </w:r>
      </w:hyperlink>
      <w:r w:rsidRPr="00A22041" w:rsidDel="00651874">
        <w:t xml:space="preserve"> </w:t>
      </w:r>
      <w:r w:rsidR="00651874">
        <w:t xml:space="preserve">[media release], </w:t>
      </w:r>
      <w:r w:rsidRPr="00A22041">
        <w:t xml:space="preserve">WHO, </w:t>
      </w:r>
      <w:r w:rsidR="00651874">
        <w:t>6 October</w:t>
      </w:r>
      <w:r w:rsidRPr="00A22041">
        <w:t xml:space="preserve"> 2021, </w:t>
      </w:r>
      <w:r w:rsidRPr="00F45E79">
        <w:t xml:space="preserve">accessed </w:t>
      </w:r>
      <w:r w:rsidR="00A300DD">
        <w:t>21 November 2023.</w:t>
      </w:r>
    </w:p>
  </w:endnote>
  <w:endnote w:id="267">
    <w:p w14:paraId="1C4B04AA" w14:textId="6BCC8295" w:rsidR="009F52D7" w:rsidRPr="00A22041" w:rsidRDefault="009F52D7" w:rsidP="00BB3490">
      <w:pPr>
        <w:pStyle w:val="EndnoteText"/>
      </w:pPr>
      <w:r w:rsidRPr="00A22041">
        <w:rPr>
          <w:rStyle w:val="EndnoteReference"/>
        </w:rPr>
        <w:endnoteRef/>
      </w:r>
      <w:r w:rsidRPr="00A22041">
        <w:t xml:space="preserve"> </w:t>
      </w:r>
      <w:r w:rsidR="003A6B0C">
        <w:t>Australian</w:t>
      </w:r>
      <w:r w:rsidRPr="00A22041">
        <w:t xml:space="preserve"> Department of Health, </w:t>
      </w:r>
      <w:hyperlink r:id="rId159" w:history="1">
        <w:r w:rsidRPr="00A22041">
          <w:rPr>
            <w:rStyle w:val="Hyperlink"/>
            <w:i/>
            <w:iCs/>
          </w:rPr>
          <w:t>Japanese encephalitis</w:t>
        </w:r>
      </w:hyperlink>
      <w:r w:rsidRPr="00A22041">
        <w:rPr>
          <w:i/>
        </w:rPr>
        <w:t xml:space="preserve">, </w:t>
      </w:r>
      <w:r w:rsidRPr="00A22041">
        <w:t xml:space="preserve">Australian Immunisation Handbook </w:t>
      </w:r>
      <w:r w:rsidR="006865A0">
        <w:t>w</w:t>
      </w:r>
      <w:r w:rsidRPr="00A22041">
        <w:t>ebsite, 2022</w:t>
      </w:r>
      <w:r w:rsidR="00DE035D">
        <w:t xml:space="preserve">, </w:t>
      </w:r>
      <w:r w:rsidR="00DE035D" w:rsidRPr="00F45E79">
        <w:t xml:space="preserve">accessed </w:t>
      </w:r>
      <w:r w:rsidR="00A300DD">
        <w:t>21 November 2023</w:t>
      </w:r>
      <w:r w:rsidR="00A942E6">
        <w:t>.</w:t>
      </w:r>
    </w:p>
  </w:endnote>
  <w:endnote w:id="268">
    <w:p w14:paraId="04FEBFCF" w14:textId="3F4FF32B" w:rsidR="009F52D7" w:rsidRPr="00A22041" w:rsidRDefault="009F52D7" w:rsidP="00BB3490">
      <w:pPr>
        <w:pStyle w:val="EndnoteText"/>
      </w:pPr>
      <w:r w:rsidRPr="00A22041">
        <w:rPr>
          <w:rStyle w:val="EndnoteReference"/>
        </w:rPr>
        <w:endnoteRef/>
      </w:r>
      <w:r w:rsidRPr="00A22041">
        <w:t xml:space="preserve"> A Anderson, F Bruce, HP Soyer, C Williams and RB Saunderson, ‘The impact of climate change on skin health’, </w:t>
      </w:r>
      <w:r w:rsidRPr="00A22041">
        <w:rPr>
          <w:i/>
        </w:rPr>
        <w:t xml:space="preserve">The Medical Journal of Australia, </w:t>
      </w:r>
      <w:r w:rsidR="00061C5F">
        <w:rPr>
          <w:iCs/>
        </w:rPr>
        <w:t>2023,</w:t>
      </w:r>
      <w:r w:rsidRPr="00A22041">
        <w:rPr>
          <w:i/>
        </w:rPr>
        <w:t xml:space="preserve"> </w:t>
      </w:r>
      <w:r w:rsidRPr="00A22041">
        <w:t>218(9):388-390, doi:</w:t>
      </w:r>
      <w:r w:rsidR="006865A0" w:rsidRPr="000F1E92">
        <w:t>10.5694/mja2.51931</w:t>
      </w:r>
      <w:r w:rsidR="00A942E6">
        <w:t>.</w:t>
      </w:r>
    </w:p>
  </w:endnote>
  <w:endnote w:id="269">
    <w:p w14:paraId="3C1117B4" w14:textId="1E488761" w:rsidR="009F52D7" w:rsidRPr="00A22041" w:rsidRDefault="009F52D7" w:rsidP="00BB3490">
      <w:pPr>
        <w:pStyle w:val="EndnoteText"/>
      </w:pPr>
      <w:r w:rsidRPr="00A22041">
        <w:rPr>
          <w:rStyle w:val="EndnoteReference"/>
        </w:rPr>
        <w:endnoteRef/>
      </w:r>
      <w:r w:rsidRPr="00A22041">
        <w:t xml:space="preserve"> </w:t>
      </w:r>
      <w:r w:rsidR="00553C6A">
        <w:t>Commonwealth Scientific and Industrial Research Organisation</w:t>
      </w:r>
      <w:r w:rsidR="00553C6A" w:rsidRPr="00A22041">
        <w:t xml:space="preserve"> </w:t>
      </w:r>
      <w:r w:rsidR="00553C6A">
        <w:t>(</w:t>
      </w:r>
      <w:r w:rsidRPr="00A22041">
        <w:t>CSIRO</w:t>
      </w:r>
      <w:r w:rsidR="00553C6A">
        <w:t>)</w:t>
      </w:r>
      <w:r w:rsidRPr="00A22041">
        <w:t xml:space="preserve">, </w:t>
      </w:r>
      <w:hyperlink r:id="rId160" w:history="1">
        <w:r w:rsidRPr="00A22041">
          <w:rPr>
            <w:rStyle w:val="Hyperlink"/>
            <w:i/>
          </w:rPr>
          <w:t xml:space="preserve">Curbing Antimicrobial Resistance </w:t>
        </w:r>
        <w:r w:rsidRPr="00A22041">
          <w:rPr>
            <w:rStyle w:val="Hyperlink"/>
            <w:i/>
            <w:iCs/>
          </w:rPr>
          <w:t>Report</w:t>
        </w:r>
      </w:hyperlink>
      <w:r w:rsidRPr="00A22041">
        <w:t xml:space="preserve">, CSIRO, 2023. </w:t>
      </w:r>
    </w:p>
  </w:endnote>
  <w:endnote w:id="270">
    <w:p w14:paraId="76C7345F" w14:textId="44604754" w:rsidR="009F52D7" w:rsidRPr="00A22041" w:rsidRDefault="009F52D7" w:rsidP="00BB3490">
      <w:pPr>
        <w:pStyle w:val="EndnoteText"/>
      </w:pPr>
      <w:r w:rsidRPr="00A22041">
        <w:rPr>
          <w:rStyle w:val="EndnoteReference"/>
        </w:rPr>
        <w:endnoteRef/>
      </w:r>
      <w:r w:rsidRPr="00A22041">
        <w:t xml:space="preserve"> World Health Organization (WHO), </w:t>
      </w:r>
      <w:hyperlink r:id="rId161" w:history="1">
        <w:r w:rsidR="00540538">
          <w:rPr>
            <w:rStyle w:val="Hyperlink"/>
            <w:i/>
            <w:iCs/>
          </w:rPr>
          <w:t>Mental health</w:t>
        </w:r>
      </w:hyperlink>
      <w:r w:rsidRPr="00A22041">
        <w:t xml:space="preserve">, WHO </w:t>
      </w:r>
      <w:r w:rsidR="003E3E77">
        <w:t>w</w:t>
      </w:r>
      <w:r w:rsidRPr="00A22041">
        <w:t xml:space="preserve">ebsite, 2022, </w:t>
      </w:r>
      <w:r w:rsidRPr="00F45E79">
        <w:t xml:space="preserve">accessed </w:t>
      </w:r>
      <w:r w:rsidR="001014F0">
        <w:t>21 November 2023.</w:t>
      </w:r>
    </w:p>
  </w:endnote>
  <w:endnote w:id="271">
    <w:p w14:paraId="53311480" w14:textId="77777777" w:rsidR="009F52D7" w:rsidRPr="00A22041" w:rsidRDefault="009F52D7" w:rsidP="00BB3490">
      <w:pPr>
        <w:pStyle w:val="EndnoteText"/>
      </w:pPr>
      <w:r w:rsidRPr="00A22041">
        <w:rPr>
          <w:rStyle w:val="EndnoteReference"/>
        </w:rPr>
        <w:endnoteRef/>
      </w:r>
      <w:r w:rsidRPr="00A22041">
        <w:t xml:space="preserve"> FF Charlson, S Ali, T Benmarhnia, M Pearl, A Massazza, J Augustinavicius and JG Scott, ‘Climate change and mental health: a scoping review’, </w:t>
      </w:r>
      <w:r w:rsidRPr="00A22041">
        <w:rPr>
          <w:i/>
        </w:rPr>
        <w:t>International Journal of Environmental Research and Public Health</w:t>
      </w:r>
      <w:r w:rsidRPr="00A22041">
        <w:t>, 2021, 18(9):4486, doi:10.3390/ijerph18094486.</w:t>
      </w:r>
    </w:p>
  </w:endnote>
  <w:endnote w:id="272">
    <w:p w14:paraId="1CEC533C" w14:textId="7A5AA95F" w:rsidR="009F52D7" w:rsidRPr="00A22041" w:rsidRDefault="009F52D7" w:rsidP="00BB3490">
      <w:pPr>
        <w:pStyle w:val="EndnoteText"/>
      </w:pPr>
      <w:r w:rsidRPr="00A22041">
        <w:rPr>
          <w:rStyle w:val="EndnoteReference"/>
        </w:rPr>
        <w:endnoteRef/>
      </w:r>
      <w:r w:rsidRPr="00A22041">
        <w:t xml:space="preserve"> World Health </w:t>
      </w:r>
      <w:r w:rsidR="007C6ED5">
        <w:t>Organization</w:t>
      </w:r>
      <w:r w:rsidRPr="00A22041">
        <w:t xml:space="preserve"> (WHO), </w:t>
      </w:r>
      <w:hyperlink r:id="rId162" w:history="1">
        <w:r w:rsidRPr="00A22041">
          <w:rPr>
            <w:rStyle w:val="Hyperlink"/>
            <w:i/>
          </w:rPr>
          <w:t>Mental health and Climate Change: Policy Brief</w:t>
        </w:r>
      </w:hyperlink>
      <w:r w:rsidRPr="00A22041">
        <w:t xml:space="preserve">, WHO, 2022. </w:t>
      </w:r>
    </w:p>
  </w:endnote>
  <w:endnote w:id="273">
    <w:p w14:paraId="3141EB61" w14:textId="77777777" w:rsidR="009F52D7" w:rsidRPr="00A22041" w:rsidRDefault="009F52D7" w:rsidP="00BB3490">
      <w:pPr>
        <w:pStyle w:val="EndnoteText"/>
      </w:pPr>
      <w:r w:rsidRPr="00A22041">
        <w:rPr>
          <w:rStyle w:val="EndnoteReference"/>
        </w:rPr>
        <w:endnoteRef/>
      </w:r>
      <w:r w:rsidRPr="00A22041">
        <w:t xml:space="preserve"> Doctors for the Environment Australia (DEA), </w:t>
      </w:r>
      <w:hyperlink r:id="rId163" w:history="1">
        <w:r w:rsidRPr="00A22041">
          <w:rPr>
            <w:rStyle w:val="Hyperlink"/>
            <w:i/>
          </w:rPr>
          <w:t>How Climate Change Affects Mental Health in Australia</w:t>
        </w:r>
      </w:hyperlink>
      <w:r w:rsidRPr="00A22041">
        <w:t xml:space="preserve">, DEA, 2021. </w:t>
      </w:r>
    </w:p>
  </w:endnote>
  <w:endnote w:id="274">
    <w:p w14:paraId="48EFC620" w14:textId="0E6413FD" w:rsidR="009F52D7" w:rsidRPr="00A22041" w:rsidRDefault="009F52D7" w:rsidP="00BB3490">
      <w:pPr>
        <w:pStyle w:val="EndnoteText"/>
      </w:pPr>
      <w:r w:rsidRPr="00A22041">
        <w:rPr>
          <w:rStyle w:val="EndnoteReference"/>
        </w:rPr>
        <w:endnoteRef/>
      </w:r>
      <w:r w:rsidRPr="00A22041">
        <w:t xml:space="preserve"> Climate Council</w:t>
      </w:r>
      <w:r w:rsidR="003E3E77">
        <w:t xml:space="preserve"> of Australia</w:t>
      </w:r>
      <w:r w:rsidRPr="00A22041">
        <w:t>,</w:t>
      </w:r>
      <w:r w:rsidRPr="00A22041" w:rsidDel="0066121E">
        <w:t xml:space="preserve"> </w:t>
      </w:r>
      <w:hyperlink r:id="rId164" w:history="1">
        <w:r w:rsidRPr="00A22041">
          <w:rPr>
            <w:rStyle w:val="Hyperlink"/>
            <w:i/>
          </w:rPr>
          <w:t>Summary of results from national study of the impact of climate-fuelled disasters on the mental health of Australians</w:t>
        </w:r>
      </w:hyperlink>
      <w:r w:rsidRPr="00A22041">
        <w:t>, Climate Council</w:t>
      </w:r>
      <w:r w:rsidR="003E3E77">
        <w:t xml:space="preserve"> of Australia</w:t>
      </w:r>
      <w:r w:rsidRPr="00A22041">
        <w:t xml:space="preserve">, 2023. </w:t>
      </w:r>
    </w:p>
  </w:endnote>
  <w:endnote w:id="275">
    <w:p w14:paraId="319083F4" w14:textId="706E54E2" w:rsidR="009F52D7" w:rsidRPr="00A22041" w:rsidRDefault="009F52D7" w:rsidP="00BB3490">
      <w:pPr>
        <w:pStyle w:val="EndnoteText"/>
      </w:pPr>
      <w:r w:rsidRPr="00A22041">
        <w:rPr>
          <w:rStyle w:val="EndnoteReference"/>
        </w:rPr>
        <w:endnoteRef/>
      </w:r>
      <w:r w:rsidRPr="00A22041">
        <w:t xml:space="preserve"> A Seth, J Maxwell, C </w:t>
      </w:r>
      <w:r w:rsidRPr="00A22041" w:rsidDel="00F623D9">
        <w:t>Dey, C</w:t>
      </w:r>
      <w:r w:rsidRPr="00A22041">
        <w:t xml:space="preserve"> Le Feuvre and R </w:t>
      </w:r>
      <w:r w:rsidRPr="00A22041" w:rsidDel="000A0037">
        <w:t xml:space="preserve">Patrick, </w:t>
      </w:r>
      <w:r w:rsidRPr="00A22041">
        <w:t xml:space="preserve">‘Understanding and managing psychological distress due to climate change’, </w:t>
      </w:r>
      <w:r w:rsidRPr="00A22041">
        <w:rPr>
          <w:i/>
        </w:rPr>
        <w:t>Australian Journal of General Practice</w:t>
      </w:r>
      <w:r w:rsidRPr="00A22041">
        <w:t xml:space="preserve">, 2023, </w:t>
      </w:r>
      <w:r w:rsidRPr="009C3E95">
        <w:t>52</w:t>
      </w:r>
      <w:r w:rsidRPr="00A22041">
        <w:t>(5):</w:t>
      </w:r>
      <w:r w:rsidR="00BF4A47">
        <w:t>2</w:t>
      </w:r>
      <w:r w:rsidRPr="00A22041">
        <w:t>63-268, doi:10.31128/AJGP-09-22-6556</w:t>
      </w:r>
      <w:r w:rsidRPr="00A22041" w:rsidDel="00620CC0">
        <w:t>.</w:t>
      </w:r>
    </w:p>
  </w:endnote>
  <w:endnote w:id="276">
    <w:p w14:paraId="35953AF4" w14:textId="79E21AB9" w:rsidR="009F52D7" w:rsidRPr="00A22041" w:rsidRDefault="009F52D7" w:rsidP="00BB3490">
      <w:pPr>
        <w:pStyle w:val="EndnoteText"/>
      </w:pPr>
      <w:r w:rsidRPr="00A22041">
        <w:rPr>
          <w:rStyle w:val="EndnoteReference"/>
        </w:rPr>
        <w:endnoteRef/>
      </w:r>
      <w:r w:rsidRPr="00A22041">
        <w:t xml:space="preserve"> </w:t>
      </w:r>
      <w:r w:rsidRPr="00A22041">
        <w:rPr>
          <w:rFonts w:ascii="Calibri" w:hAnsi="Calibri" w:cs="Calibri"/>
          <w:color w:val="000000"/>
          <w:bdr w:val="none" w:sz="0" w:space="0" w:color="auto" w:frame="1"/>
        </w:rPr>
        <w:t xml:space="preserve">HL Berry, K Bowen and T Kjellstrom, ‘Climate change and mental health: A causal pathways framework’, </w:t>
      </w:r>
      <w:r w:rsidRPr="00A22041">
        <w:rPr>
          <w:rFonts w:ascii="Calibri" w:hAnsi="Calibri" w:cs="Calibri"/>
          <w:i/>
          <w:color w:val="000000"/>
          <w:bdr w:val="none" w:sz="0" w:space="0" w:color="auto" w:frame="1"/>
        </w:rPr>
        <w:t>International Journal of Public Health</w:t>
      </w:r>
      <w:r w:rsidRPr="00A22041">
        <w:rPr>
          <w:rFonts w:ascii="Calibri" w:hAnsi="Calibri" w:cs="Calibri"/>
          <w:color w:val="000000"/>
          <w:bdr w:val="none" w:sz="0" w:space="0" w:color="auto" w:frame="1"/>
        </w:rPr>
        <w:t>, 2010, 55:123-</w:t>
      </w:r>
      <w:r w:rsidR="00BF4A47">
        <w:rPr>
          <w:rFonts w:ascii="Calibri" w:hAnsi="Calibri" w:cs="Calibri"/>
          <w:color w:val="000000"/>
          <w:bdr w:val="none" w:sz="0" w:space="0" w:color="auto" w:frame="1"/>
        </w:rPr>
        <w:t>1</w:t>
      </w:r>
      <w:r w:rsidRPr="00A22041">
        <w:rPr>
          <w:rFonts w:ascii="Calibri" w:hAnsi="Calibri" w:cs="Calibri"/>
          <w:color w:val="000000"/>
          <w:bdr w:val="none" w:sz="0" w:space="0" w:color="auto" w:frame="1"/>
        </w:rPr>
        <w:t>32, doi:10.1007/s00038-009-0112-0.</w:t>
      </w:r>
    </w:p>
  </w:endnote>
  <w:endnote w:id="277">
    <w:p w14:paraId="39036E78" w14:textId="6E3D6603" w:rsidR="009F52D7" w:rsidRPr="00A22041" w:rsidRDefault="009F52D7" w:rsidP="00BB3490">
      <w:pPr>
        <w:pStyle w:val="EndnoteText"/>
      </w:pPr>
      <w:r w:rsidRPr="00A22041">
        <w:rPr>
          <w:rStyle w:val="EndnoteReference"/>
        </w:rPr>
        <w:endnoteRef/>
      </w:r>
      <w:r w:rsidRPr="00A22041">
        <w:t xml:space="preserve"> S </w:t>
      </w:r>
      <w:r w:rsidRPr="00A22041">
        <w:rPr>
          <w:rFonts w:ascii="Calibri" w:hAnsi="Calibri" w:cs="Calibri"/>
          <w:color w:val="000000"/>
          <w:bdr w:val="none" w:sz="0" w:space="0" w:color="auto" w:frame="1"/>
        </w:rPr>
        <w:t xml:space="preserve">Friel, M Marmot, AJ McMichael, T Kjellstrom and D Vågerö, ‘Global health equity and climate stabilisation: A common agenda’, </w:t>
      </w:r>
      <w:r w:rsidRPr="00A22041">
        <w:rPr>
          <w:rFonts w:ascii="Calibri" w:hAnsi="Calibri" w:cs="Calibri"/>
          <w:i/>
          <w:color w:val="000000"/>
          <w:bdr w:val="none" w:sz="0" w:space="0" w:color="auto" w:frame="1"/>
        </w:rPr>
        <w:t>The Lancet</w:t>
      </w:r>
      <w:r w:rsidRPr="00A22041">
        <w:rPr>
          <w:rFonts w:ascii="Calibri" w:hAnsi="Calibri" w:cs="Calibri"/>
          <w:color w:val="000000"/>
          <w:bdr w:val="none" w:sz="0" w:space="0" w:color="auto" w:frame="1"/>
        </w:rPr>
        <w:t xml:space="preserve">, </w:t>
      </w:r>
      <w:r w:rsidR="00995D23">
        <w:rPr>
          <w:rFonts w:ascii="Calibri" w:hAnsi="Calibri" w:cs="Calibri"/>
          <w:color w:val="000000"/>
          <w:bdr w:val="none" w:sz="0" w:space="0" w:color="auto" w:frame="1"/>
        </w:rPr>
        <w:t>2008,</w:t>
      </w:r>
      <w:r w:rsidRPr="00A22041">
        <w:rPr>
          <w:rFonts w:ascii="Calibri" w:hAnsi="Calibri" w:cs="Calibri"/>
          <w:color w:val="000000"/>
          <w:bdr w:val="none" w:sz="0" w:space="0" w:color="auto" w:frame="1"/>
        </w:rPr>
        <w:t xml:space="preserve"> 372(9650):1677-1683, doi:10.1016/S0140-6736(08)61692-X.</w:t>
      </w:r>
    </w:p>
  </w:endnote>
  <w:endnote w:id="278">
    <w:p w14:paraId="075BFE2F" w14:textId="719EF472" w:rsidR="00C40A31" w:rsidRDefault="00C40A31" w:rsidP="00BB3490">
      <w:pPr>
        <w:pStyle w:val="EndnoteText"/>
      </w:pPr>
      <w:r w:rsidRPr="00D207EB">
        <w:rPr>
          <w:rStyle w:val="EndnoteReference"/>
        </w:rPr>
        <w:endnoteRef/>
      </w:r>
      <w:r w:rsidRPr="00D207EB">
        <w:t xml:space="preserve"> </w:t>
      </w:r>
      <w:r w:rsidR="00FF71E3">
        <w:t xml:space="preserve">Women’s Agenda, </w:t>
      </w:r>
      <w:hyperlink r:id="rId165" w:history="1">
        <w:r w:rsidR="00FF71E3" w:rsidRPr="00D207EB">
          <w:rPr>
            <w:rStyle w:val="Hyperlink"/>
            <w:i/>
            <w:iCs/>
          </w:rPr>
          <w:t>The Climate Load: How climate change impacts women in Australia and the risks and opportunities ahead</w:t>
        </w:r>
      </w:hyperlink>
      <w:r w:rsidR="00FF71E3">
        <w:t>, Women’s Agenda, 2023</w:t>
      </w:r>
      <w:r w:rsidR="00D207EB">
        <w:t>.</w:t>
      </w:r>
    </w:p>
  </w:endnote>
  <w:endnote w:id="279">
    <w:p w14:paraId="53B1C48A" w14:textId="1AD3260B" w:rsidR="009F52D7" w:rsidRPr="00A22041" w:rsidRDefault="009F52D7" w:rsidP="00BB3490">
      <w:pPr>
        <w:pStyle w:val="EndnoteText"/>
      </w:pPr>
      <w:r w:rsidRPr="00A22041">
        <w:rPr>
          <w:rStyle w:val="EndnoteReference"/>
        </w:rPr>
        <w:endnoteRef/>
      </w:r>
      <w:r w:rsidRPr="00A22041">
        <w:t xml:space="preserve"> Climate Council</w:t>
      </w:r>
      <w:r w:rsidR="00944353">
        <w:t xml:space="preserve"> of Australia</w:t>
      </w:r>
      <w:r w:rsidRPr="00A22041">
        <w:t xml:space="preserve">, </w:t>
      </w:r>
      <w:hyperlink r:id="rId166" w:history="1">
        <w:r w:rsidRPr="00117C2C">
          <w:rPr>
            <w:rStyle w:val="Hyperlink"/>
            <w:i/>
          </w:rPr>
          <w:t>Mission Zero: How today’s climate choices will reshape Australia</w:t>
        </w:r>
      </w:hyperlink>
      <w:r w:rsidRPr="00A22041">
        <w:t>, Climate Council</w:t>
      </w:r>
      <w:r w:rsidR="00944353">
        <w:t xml:space="preserve"> of Australia</w:t>
      </w:r>
      <w:r w:rsidRPr="00A22041">
        <w:t xml:space="preserve">, 2023. </w:t>
      </w:r>
    </w:p>
  </w:endnote>
  <w:endnote w:id="280">
    <w:p w14:paraId="65CDBEE4" w14:textId="525EE0C4" w:rsidR="009F52D7" w:rsidRPr="00A22041" w:rsidRDefault="009F52D7" w:rsidP="00BB3490">
      <w:pPr>
        <w:pStyle w:val="EndnoteText"/>
      </w:pPr>
      <w:r w:rsidRPr="00A22041">
        <w:rPr>
          <w:rStyle w:val="EndnoteReference"/>
        </w:rPr>
        <w:endnoteRef/>
      </w:r>
      <w:r w:rsidR="00526233">
        <w:t xml:space="preserve"> </w:t>
      </w:r>
      <w:r w:rsidRPr="00A22041">
        <w:t xml:space="preserve">World Health </w:t>
      </w:r>
      <w:r w:rsidR="007C6ED5">
        <w:t>Organization</w:t>
      </w:r>
      <w:r w:rsidRPr="00A22041">
        <w:t xml:space="preserve"> (WHO), </w:t>
      </w:r>
      <w:hyperlink r:id="rId167" w:history="1">
        <w:r w:rsidRPr="00A22041">
          <w:rPr>
            <w:rStyle w:val="Hyperlink"/>
            <w:i/>
            <w:iCs/>
          </w:rPr>
          <w:t>Mental health and Climate Change: Policy Brief</w:t>
        </w:r>
      </w:hyperlink>
      <w:r w:rsidRPr="00A22041">
        <w:t xml:space="preserve">, WHO, 2022. </w:t>
      </w:r>
    </w:p>
  </w:endnote>
  <w:endnote w:id="281">
    <w:p w14:paraId="21212C16" w14:textId="41C70C59" w:rsidR="009F52D7" w:rsidRPr="00A22041" w:rsidRDefault="009F52D7" w:rsidP="00BB3490">
      <w:pPr>
        <w:pStyle w:val="EndnoteText"/>
      </w:pPr>
      <w:r w:rsidRPr="00A22041">
        <w:rPr>
          <w:rStyle w:val="EndnoteReference"/>
        </w:rPr>
        <w:endnoteRef/>
      </w:r>
      <w:r w:rsidRPr="00A22041">
        <w:t xml:space="preserve"> Doctors for the Environment Australia (DEA), </w:t>
      </w:r>
      <w:hyperlink r:id="rId168" w:history="1">
        <w:r w:rsidRPr="00A22041">
          <w:rPr>
            <w:rStyle w:val="Hyperlink"/>
            <w:i/>
          </w:rPr>
          <w:t>How Climate Change Affects Mental Health in Australia</w:t>
        </w:r>
      </w:hyperlink>
      <w:r w:rsidRPr="00A22041">
        <w:t xml:space="preserve">, DEA, 2021. </w:t>
      </w:r>
    </w:p>
  </w:endnote>
  <w:endnote w:id="282">
    <w:p w14:paraId="10A51A1E" w14:textId="3CDC759F" w:rsidR="009F52D7" w:rsidRPr="00A22041" w:rsidRDefault="009F52D7" w:rsidP="00BB3490">
      <w:pPr>
        <w:pStyle w:val="EndnoteText"/>
      </w:pPr>
      <w:r w:rsidRPr="00A22041">
        <w:rPr>
          <w:rStyle w:val="EndnoteReference"/>
        </w:rPr>
        <w:endnoteRef/>
      </w:r>
      <w:r w:rsidRPr="00A22041">
        <w:t xml:space="preserve"> </w:t>
      </w:r>
      <w:r w:rsidR="00EA4EF7">
        <w:t>Australian</w:t>
      </w:r>
      <w:r w:rsidRPr="00A22041">
        <w:t xml:space="preserve"> National Emergency Management Agency (NEMA), </w:t>
      </w:r>
      <w:hyperlink r:id="rId169" w:history="1">
        <w:r w:rsidRPr="00A22041">
          <w:rPr>
            <w:rStyle w:val="Hyperlink"/>
            <w:i/>
          </w:rPr>
          <w:t>National Disaster Mental Health and Wellbeing Framework</w:t>
        </w:r>
      </w:hyperlink>
      <w:r w:rsidRPr="00A22041">
        <w:t xml:space="preserve">, NEMA, </w:t>
      </w:r>
      <w:r w:rsidR="00C14AC0">
        <w:t xml:space="preserve">Australian Government, </w:t>
      </w:r>
      <w:r w:rsidRPr="00A22041">
        <w:t xml:space="preserve">2023. </w:t>
      </w:r>
    </w:p>
  </w:endnote>
  <w:endnote w:id="283">
    <w:p w14:paraId="28E7A75F" w14:textId="30B0B4CE" w:rsidR="009F52D7" w:rsidRPr="00A22041" w:rsidRDefault="009F52D7" w:rsidP="00BB3490">
      <w:pPr>
        <w:pStyle w:val="EndnoteText"/>
      </w:pPr>
      <w:r w:rsidRPr="00A22041">
        <w:rPr>
          <w:rStyle w:val="EndnoteReference"/>
        </w:rPr>
        <w:endnoteRef/>
      </w:r>
      <w:r w:rsidRPr="00A22041">
        <w:t xml:space="preserve"> L Gibbs, R Molyneaux, L Harms, HC Gallagher, K Block, J Richardson</w:t>
      </w:r>
      <w:r w:rsidR="003F004A">
        <w:t xml:space="preserve">, </w:t>
      </w:r>
      <w:r w:rsidR="008173DD">
        <w:t xml:space="preserve">V Brandenburg, M O’Donnell, C Kellett, P Quinn, L Costa, </w:t>
      </w:r>
      <w:r w:rsidR="00E14FEF">
        <w:t>K Brady, G Ireton, C MacDougal and R Bryant,</w:t>
      </w:r>
      <w:r w:rsidRPr="00A22041">
        <w:t xml:space="preserve"> </w:t>
      </w:r>
      <w:hyperlink r:id="rId170" w:history="1">
        <w:r w:rsidRPr="00A22041">
          <w:rPr>
            <w:rStyle w:val="Hyperlink"/>
            <w:i/>
          </w:rPr>
          <w:t>10 Years Beyond Bushfires Report</w:t>
        </w:r>
      </w:hyperlink>
      <w:r w:rsidRPr="00A22041">
        <w:t xml:space="preserve">, University of Melbourne, 2020. </w:t>
      </w:r>
    </w:p>
  </w:endnote>
  <w:endnote w:id="284">
    <w:p w14:paraId="5A0CC35F" w14:textId="46B953EF" w:rsidR="009F52D7" w:rsidRPr="00A22041" w:rsidRDefault="009F52D7" w:rsidP="00BB3490">
      <w:pPr>
        <w:pStyle w:val="EndnoteText"/>
      </w:pPr>
      <w:r w:rsidRPr="00A22041">
        <w:rPr>
          <w:rStyle w:val="EndnoteReference"/>
        </w:rPr>
        <w:endnoteRef/>
      </w:r>
      <w:r w:rsidRPr="00A22041">
        <w:t xml:space="preserve"> B Doppelt, </w:t>
      </w:r>
      <w:r w:rsidRPr="00A22041">
        <w:rPr>
          <w:i/>
        </w:rPr>
        <w:t xml:space="preserve">Preventing and Healing Climate Traumas: A Guide to Building Resilience and Hope in Communities, </w:t>
      </w:r>
      <w:r w:rsidRPr="00A22041">
        <w:t xml:space="preserve">Routledge, </w:t>
      </w:r>
      <w:r w:rsidR="00740E0E">
        <w:t xml:space="preserve">New York, </w:t>
      </w:r>
      <w:r w:rsidRPr="00A22041">
        <w:t>2023, doi:</w:t>
      </w:r>
      <w:r w:rsidRPr="00087E69" w:rsidDel="00C203D0">
        <w:t>10.4324/9781003262442</w:t>
      </w:r>
      <w:r w:rsidR="0046466E">
        <w:t>.</w:t>
      </w:r>
      <w:r w:rsidRPr="00A22041" w:rsidDel="003668C2">
        <w:t xml:space="preserve"> </w:t>
      </w:r>
    </w:p>
  </w:endnote>
  <w:endnote w:id="285">
    <w:p w14:paraId="36B007E0" w14:textId="06898378" w:rsidR="009F52D7" w:rsidRPr="00A22041" w:rsidRDefault="009F52D7" w:rsidP="00BB3490">
      <w:pPr>
        <w:pStyle w:val="EndnoteText"/>
      </w:pPr>
      <w:r w:rsidRPr="00A22041">
        <w:rPr>
          <w:rStyle w:val="EndnoteReference"/>
        </w:rPr>
        <w:endnoteRef/>
      </w:r>
      <w:r w:rsidRPr="00A22041">
        <w:t xml:space="preserve"> B Doppelt, </w:t>
      </w:r>
      <w:r w:rsidRPr="00A22041">
        <w:rPr>
          <w:i/>
        </w:rPr>
        <w:t xml:space="preserve">Transformational Resilience: </w:t>
      </w:r>
      <w:r w:rsidRPr="00A22041">
        <w:rPr>
          <w:i/>
          <w:iCs/>
        </w:rPr>
        <w:t>H</w:t>
      </w:r>
      <w:r w:rsidRPr="00A22041">
        <w:rPr>
          <w:i/>
        </w:rPr>
        <w:t xml:space="preserve">ow </w:t>
      </w:r>
      <w:r w:rsidRPr="00A22041">
        <w:rPr>
          <w:i/>
          <w:iCs/>
        </w:rPr>
        <w:t>Building Human R</w:t>
      </w:r>
      <w:r w:rsidRPr="00A22041">
        <w:rPr>
          <w:i/>
        </w:rPr>
        <w:t xml:space="preserve">esilience to </w:t>
      </w:r>
      <w:r w:rsidRPr="00A22041">
        <w:rPr>
          <w:i/>
          <w:iCs/>
        </w:rPr>
        <w:t>Climate D</w:t>
      </w:r>
      <w:r w:rsidRPr="00A22041">
        <w:rPr>
          <w:i/>
        </w:rPr>
        <w:t xml:space="preserve">isruption can </w:t>
      </w:r>
      <w:r w:rsidRPr="00A22041">
        <w:rPr>
          <w:i/>
          <w:iCs/>
        </w:rPr>
        <w:t>Safeguard S</w:t>
      </w:r>
      <w:r w:rsidRPr="00A22041">
        <w:rPr>
          <w:i/>
        </w:rPr>
        <w:t xml:space="preserve">ociety and </w:t>
      </w:r>
      <w:r w:rsidRPr="00A22041">
        <w:rPr>
          <w:i/>
          <w:iCs/>
        </w:rPr>
        <w:t>Increase W</w:t>
      </w:r>
      <w:r w:rsidRPr="00A22041">
        <w:rPr>
          <w:i/>
        </w:rPr>
        <w:t>ellbeing</w:t>
      </w:r>
      <w:r w:rsidRPr="00A22041">
        <w:t xml:space="preserve">, Routledge, </w:t>
      </w:r>
      <w:r w:rsidR="004B0633">
        <w:t>London</w:t>
      </w:r>
      <w:r w:rsidR="004B211B">
        <w:t>,</w:t>
      </w:r>
      <w:r w:rsidRPr="00A22041">
        <w:t xml:space="preserve"> 2017, doi:</w:t>
      </w:r>
      <w:r w:rsidR="00C203D0" w:rsidRPr="00087E69">
        <w:t>10.4324/9781351283885</w:t>
      </w:r>
      <w:r w:rsidR="0046466E">
        <w:t>.</w:t>
      </w:r>
    </w:p>
  </w:endnote>
  <w:endnote w:id="286">
    <w:p w14:paraId="1A2AF997" w14:textId="77777777" w:rsidR="009F52D7" w:rsidRPr="00A22041" w:rsidRDefault="009F52D7" w:rsidP="00BB3490">
      <w:pPr>
        <w:pStyle w:val="EndnoteText"/>
      </w:pPr>
      <w:r w:rsidRPr="00A22041">
        <w:rPr>
          <w:rStyle w:val="EndnoteReference"/>
        </w:rPr>
        <w:endnoteRef/>
      </w:r>
      <w:r w:rsidRPr="00A22041">
        <w:t xml:space="preserve"> J Longman, M Braddon, B Verlie, D Schlosberg, L Hampshire, C Hawke, A Noonan and E Saurman, ‘Building resilience to the mental health impacts of climate change in rural Australia’, </w:t>
      </w:r>
      <w:r w:rsidRPr="00A22041">
        <w:rPr>
          <w:i/>
        </w:rPr>
        <w:t>The Journal of Climate Change and Health</w:t>
      </w:r>
      <w:r w:rsidRPr="00A22041">
        <w:t>, 2023, 12:100240, doi:10.1016/j.joclim.2023.100240.</w:t>
      </w:r>
    </w:p>
  </w:endnote>
  <w:endnote w:id="287">
    <w:p w14:paraId="7DB5C7D4" w14:textId="09CD3F57" w:rsidR="009F52D7" w:rsidRPr="00A22041" w:rsidRDefault="009F52D7" w:rsidP="00BB3490">
      <w:pPr>
        <w:pStyle w:val="EndnoteText"/>
      </w:pPr>
      <w:r w:rsidRPr="00A22041">
        <w:rPr>
          <w:rStyle w:val="EndnoteReference"/>
        </w:rPr>
        <w:endnoteRef/>
      </w:r>
      <w:r w:rsidRPr="00A22041">
        <w:t xml:space="preserve"> </w:t>
      </w:r>
      <w:r w:rsidRPr="000328CD">
        <w:t xml:space="preserve">J Gergis, G Blashki, J Gardner and S Bradshaw, </w:t>
      </w:r>
      <w:hyperlink r:id="rId171" w:history="1">
        <w:r w:rsidR="00D71472">
          <w:rPr>
            <w:rStyle w:val="Hyperlink"/>
            <w:i/>
          </w:rPr>
          <w:t>Climate Trauma: The growing toll of climate change on the mental health of Australians</w:t>
        </w:r>
      </w:hyperlink>
      <w:r w:rsidRPr="000328CD">
        <w:t>, Climate Council</w:t>
      </w:r>
      <w:r w:rsidR="00C203D0" w:rsidRPr="000328CD">
        <w:t xml:space="preserve"> of Australia</w:t>
      </w:r>
      <w:r w:rsidRPr="000328CD">
        <w:t>, 2023.</w:t>
      </w:r>
      <w:r w:rsidRPr="00A22041">
        <w:t xml:space="preserve"> </w:t>
      </w:r>
    </w:p>
  </w:endnote>
  <w:endnote w:id="288">
    <w:p w14:paraId="5611426F" w14:textId="572F08F7" w:rsidR="00345BA1" w:rsidRPr="00A22041" w:rsidRDefault="00345BA1" w:rsidP="00BB3490">
      <w:pPr>
        <w:pStyle w:val="EndnoteText"/>
      </w:pPr>
      <w:r w:rsidRPr="00A22041">
        <w:rPr>
          <w:rStyle w:val="EndnoteReference"/>
        </w:rPr>
        <w:endnoteRef/>
      </w:r>
      <w:r w:rsidRPr="00A22041">
        <w:t xml:space="preserve"> World Health Organization (WHO), </w:t>
      </w:r>
      <w:hyperlink r:id="rId172" w:history="1">
        <w:r w:rsidR="0096197C">
          <w:rPr>
            <w:rStyle w:val="Hyperlink"/>
            <w:i/>
            <w:iCs/>
          </w:rPr>
          <w:t>Drinking-water</w:t>
        </w:r>
      </w:hyperlink>
      <w:r w:rsidRPr="00A22041">
        <w:rPr>
          <w:i/>
          <w:iCs/>
        </w:rPr>
        <w:t xml:space="preserve">, </w:t>
      </w:r>
      <w:r w:rsidRPr="00A22041">
        <w:t xml:space="preserve">WHO </w:t>
      </w:r>
      <w:r w:rsidR="00B45B49">
        <w:t>w</w:t>
      </w:r>
      <w:r w:rsidRPr="00A22041">
        <w:t xml:space="preserve">ebsite, 2023, </w:t>
      </w:r>
      <w:r w:rsidRPr="00BD7B84">
        <w:t xml:space="preserve">accessed </w:t>
      </w:r>
      <w:r w:rsidR="00C235C6">
        <w:t>21 November 2023</w:t>
      </w:r>
      <w:r w:rsidRPr="00BD7B84">
        <w:t>.</w:t>
      </w:r>
      <w:r w:rsidRPr="00A22041">
        <w:t xml:space="preserve"> </w:t>
      </w:r>
    </w:p>
  </w:endnote>
  <w:endnote w:id="289">
    <w:p w14:paraId="6F2E77F5" w14:textId="4E55BE79" w:rsidR="00345BA1" w:rsidRPr="00A22041" w:rsidRDefault="00345BA1" w:rsidP="00BB3490">
      <w:pPr>
        <w:pStyle w:val="EndnoteText"/>
      </w:pPr>
      <w:r w:rsidRPr="00A22041">
        <w:rPr>
          <w:rStyle w:val="EndnoteReference"/>
        </w:rPr>
        <w:endnoteRef/>
      </w:r>
      <w:r w:rsidRPr="00A22041">
        <w:t xml:space="preserve"> World Health Organization (WHO), </w:t>
      </w:r>
      <w:hyperlink r:id="rId173" w:history="1">
        <w:r w:rsidR="006235CF">
          <w:rPr>
            <w:rStyle w:val="Hyperlink"/>
            <w:i/>
            <w:iCs/>
          </w:rPr>
          <w:t>Food safety</w:t>
        </w:r>
      </w:hyperlink>
      <w:r w:rsidRPr="00A22041">
        <w:rPr>
          <w:i/>
          <w:iCs/>
        </w:rPr>
        <w:t xml:space="preserve">, </w:t>
      </w:r>
      <w:r w:rsidRPr="00A22041">
        <w:t xml:space="preserve">WHO </w:t>
      </w:r>
      <w:r w:rsidR="00B45B49">
        <w:t>w</w:t>
      </w:r>
      <w:r w:rsidRPr="00A22041">
        <w:t xml:space="preserve">ebsite, 2022, </w:t>
      </w:r>
      <w:r w:rsidRPr="00F45E79">
        <w:t xml:space="preserve">accessed </w:t>
      </w:r>
      <w:r w:rsidR="00C235C6">
        <w:t>21 November 2023</w:t>
      </w:r>
      <w:r w:rsidR="00C235C6" w:rsidRPr="00F45E79">
        <w:t>.</w:t>
      </w:r>
    </w:p>
  </w:endnote>
  <w:endnote w:id="290">
    <w:p w14:paraId="64BCF7D3" w14:textId="124CB9D1" w:rsidR="00345BA1" w:rsidRPr="00A22041" w:rsidRDefault="00345BA1" w:rsidP="00BB3490">
      <w:pPr>
        <w:pStyle w:val="EndnoteText"/>
      </w:pPr>
      <w:r w:rsidRPr="00A22041">
        <w:rPr>
          <w:rStyle w:val="EndnoteReference"/>
        </w:rPr>
        <w:endnoteRef/>
      </w:r>
      <w:r w:rsidRPr="00A22041">
        <w:t xml:space="preserve"> </w:t>
      </w:r>
      <w:r w:rsidR="00DC4BB5">
        <w:t>Australian</w:t>
      </w:r>
      <w:r w:rsidRPr="00A22041">
        <w:t xml:space="preserve"> Department of Agriculture, Fisheries and Forestry (DAFF), </w:t>
      </w:r>
      <w:hyperlink r:id="rId174" w:history="1">
        <w:r w:rsidRPr="00A22041">
          <w:rPr>
            <w:rStyle w:val="Hyperlink"/>
            <w:i/>
          </w:rPr>
          <w:t>National State</w:t>
        </w:r>
        <w:bookmarkStart w:id="202" w:name="_Hlt151564953"/>
        <w:bookmarkStart w:id="203" w:name="_Hlt151564954"/>
        <w:r w:rsidRPr="00A22041">
          <w:rPr>
            <w:rStyle w:val="Hyperlink"/>
            <w:i/>
          </w:rPr>
          <w:t>m</w:t>
        </w:r>
        <w:bookmarkEnd w:id="202"/>
        <w:bookmarkEnd w:id="203"/>
        <w:r w:rsidRPr="00A22041">
          <w:rPr>
            <w:rStyle w:val="Hyperlink"/>
            <w:i/>
          </w:rPr>
          <w:t>ent on Climate Change and Agriculture</w:t>
        </w:r>
      </w:hyperlink>
      <w:r w:rsidR="00F07002">
        <w:rPr>
          <w:i/>
        </w:rPr>
        <w:t xml:space="preserve">, </w:t>
      </w:r>
      <w:r w:rsidRPr="00A22041">
        <w:t xml:space="preserve">DAFF, Australian Government, 2023. </w:t>
      </w:r>
    </w:p>
  </w:endnote>
  <w:endnote w:id="291">
    <w:p w14:paraId="407C4360" w14:textId="740BA0C7" w:rsidR="00345BA1" w:rsidRPr="00A22041" w:rsidRDefault="00345BA1" w:rsidP="00BB3490">
      <w:pPr>
        <w:pStyle w:val="EndnoteText"/>
      </w:pPr>
      <w:r w:rsidRPr="00A22041">
        <w:rPr>
          <w:rStyle w:val="EndnoteReference"/>
        </w:rPr>
        <w:endnoteRef/>
      </w:r>
      <w:r w:rsidRPr="00A22041">
        <w:t xml:space="preserve"> </w:t>
      </w:r>
      <w:r w:rsidR="00DC4BB5">
        <w:t>Australian</w:t>
      </w:r>
      <w:r w:rsidRPr="00A22041">
        <w:t xml:space="preserve"> Department of Foreign Affairs and Trade (DFAT), </w:t>
      </w:r>
      <w:hyperlink r:id="rId175" w:history="1">
        <w:r w:rsidRPr="00A22041">
          <w:rPr>
            <w:rStyle w:val="Hyperlink"/>
            <w:i/>
            <w:iCs/>
          </w:rPr>
          <w:t>Improving food and water security</w:t>
        </w:r>
      </w:hyperlink>
      <w:r w:rsidRPr="00A22041">
        <w:rPr>
          <w:i/>
          <w:iCs/>
        </w:rPr>
        <w:t xml:space="preserve">, </w:t>
      </w:r>
      <w:r w:rsidRPr="00A22041">
        <w:t xml:space="preserve">DFAT </w:t>
      </w:r>
      <w:r w:rsidR="00411DBF">
        <w:t>w</w:t>
      </w:r>
      <w:r w:rsidRPr="00A22041">
        <w:t xml:space="preserve">ebsite, 2023, </w:t>
      </w:r>
      <w:r w:rsidRPr="00F45E79">
        <w:t xml:space="preserve">accessed </w:t>
      </w:r>
      <w:r w:rsidR="00C235C6">
        <w:t>21 November 2023</w:t>
      </w:r>
      <w:r w:rsidR="00C235C6" w:rsidRPr="00F45E79">
        <w:t>.</w:t>
      </w:r>
    </w:p>
  </w:endnote>
  <w:endnote w:id="292">
    <w:p w14:paraId="37D53B0F" w14:textId="16C5AE37" w:rsidR="00EF3142" w:rsidRDefault="00EF3142" w:rsidP="00BB3490">
      <w:pPr>
        <w:pStyle w:val="EndnoteText"/>
      </w:pPr>
      <w:r w:rsidRPr="00A65DDC">
        <w:rPr>
          <w:rStyle w:val="EndnoteReference"/>
        </w:rPr>
        <w:endnoteRef/>
      </w:r>
      <w:r w:rsidR="003C43C7" w:rsidRPr="00A65DDC">
        <w:t xml:space="preserve"> </w:t>
      </w:r>
      <w:r w:rsidR="00DC4BB5">
        <w:t>Australian</w:t>
      </w:r>
      <w:r w:rsidR="003C43C7" w:rsidRPr="00A65DDC">
        <w:t xml:space="preserve"> </w:t>
      </w:r>
      <w:r w:rsidR="003C43C7">
        <w:t xml:space="preserve">Department of Agriculture, Fisheries and Forestry (DAFF), </w:t>
      </w:r>
      <w:hyperlink r:id="rId176" w:history="1">
        <w:r w:rsidR="003C43C7" w:rsidRPr="00411DBF">
          <w:rPr>
            <w:rStyle w:val="Hyperlink"/>
            <w:i/>
            <w:iCs/>
          </w:rPr>
          <w:t>National Statement on Climate Change and Agriculture</w:t>
        </w:r>
      </w:hyperlink>
      <w:r w:rsidR="003C43C7">
        <w:t>, DAFF, Australian Government, 2023.</w:t>
      </w:r>
    </w:p>
  </w:endnote>
  <w:endnote w:id="293">
    <w:p w14:paraId="4D45D3F2" w14:textId="1BA13C15" w:rsidR="00EB70C3" w:rsidRPr="00A22041" w:rsidRDefault="00EB70C3" w:rsidP="00BB3490">
      <w:pPr>
        <w:pStyle w:val="EndnoteText"/>
      </w:pPr>
      <w:r w:rsidRPr="00A22041">
        <w:rPr>
          <w:rStyle w:val="EndnoteReference"/>
        </w:rPr>
        <w:endnoteRef/>
      </w:r>
      <w:r w:rsidRPr="00A22041">
        <w:t xml:space="preserve"> </w:t>
      </w:r>
      <w:r w:rsidR="00DC4BB5">
        <w:t>Australian</w:t>
      </w:r>
      <w:r w:rsidRPr="00A22041">
        <w:t xml:space="preserve"> Department of Climate Change, Energy, the Environment and Water (DCCEEW), </w:t>
      </w:r>
      <w:hyperlink r:id="rId177" w:history="1">
        <w:r w:rsidRPr="00A249B1">
          <w:rPr>
            <w:rStyle w:val="Hyperlink"/>
            <w:i/>
          </w:rPr>
          <w:t>Quarterly Update of Australia</w:t>
        </w:r>
        <w:r w:rsidR="006F2D6F">
          <w:rPr>
            <w:rStyle w:val="Hyperlink"/>
            <w:i/>
          </w:rPr>
          <w:t>’</w:t>
        </w:r>
        <w:r w:rsidRPr="00A249B1">
          <w:rPr>
            <w:rStyle w:val="Hyperlink"/>
            <w:i/>
          </w:rPr>
          <w:t>s National Greenhouse Gas Inventory: March 2023</w:t>
        </w:r>
      </w:hyperlink>
      <w:r w:rsidRPr="00A22041">
        <w:t xml:space="preserve">, DCCEEW, Australian Government, 2023. </w:t>
      </w:r>
    </w:p>
  </w:endnote>
  <w:endnote w:id="294">
    <w:p w14:paraId="0AE0B745" w14:textId="1F79CDAF" w:rsidR="00EB70C3" w:rsidRPr="00A22041" w:rsidRDefault="00EB70C3" w:rsidP="00BB3490">
      <w:pPr>
        <w:pStyle w:val="EndnoteText"/>
      </w:pPr>
      <w:r w:rsidRPr="00A22041">
        <w:rPr>
          <w:rStyle w:val="EndnoteReference"/>
        </w:rPr>
        <w:endnoteRef/>
      </w:r>
      <w:r w:rsidRPr="00A22041">
        <w:t xml:space="preserve"> I Hamilton, H Kennard, A McGushin, L Hoglund-Isaksson, G Kiesewetter, M Lott</w:t>
      </w:r>
      <w:r w:rsidR="00AE246A">
        <w:t xml:space="preserve">, </w:t>
      </w:r>
      <w:r w:rsidR="001F6EFD">
        <w:t xml:space="preserve">J Milner, </w:t>
      </w:r>
      <w:r w:rsidR="007A114C">
        <w:t xml:space="preserve">P Purohit, </w:t>
      </w:r>
      <w:r w:rsidR="005472C3">
        <w:t xml:space="preserve">P Rafaj, R Sharma, M </w:t>
      </w:r>
      <w:r w:rsidR="000A27BD">
        <w:t>Springmann, J Woodcock and N Watts,</w:t>
      </w:r>
      <w:r w:rsidRPr="00A22041">
        <w:t xml:space="preserve"> ‘The public health implications of the Paris Agreement: a modelling study’,</w:t>
      </w:r>
      <w:r w:rsidRPr="00A22041">
        <w:rPr>
          <w:i/>
        </w:rPr>
        <w:t xml:space="preserve"> The Lancet Planetary Health</w:t>
      </w:r>
      <w:r w:rsidRPr="00A22041">
        <w:t>, 2021, 5(2):E74-E83, doi:</w:t>
      </w:r>
      <w:r w:rsidR="000879B8" w:rsidRPr="00A942E6">
        <w:t>10.1016/S2542-5196(20)30249-7</w:t>
      </w:r>
      <w:r w:rsidRPr="00A22041">
        <w:t xml:space="preserve">. </w:t>
      </w:r>
    </w:p>
  </w:endnote>
  <w:endnote w:id="295">
    <w:p w14:paraId="69E38910" w14:textId="34286891" w:rsidR="00EB70C3" w:rsidRPr="00A22041" w:rsidRDefault="00EB70C3" w:rsidP="00BB3490">
      <w:pPr>
        <w:pStyle w:val="EndnoteText"/>
      </w:pPr>
      <w:r w:rsidRPr="00A22041">
        <w:rPr>
          <w:rStyle w:val="EndnoteReference"/>
        </w:rPr>
        <w:endnoteRef/>
      </w:r>
      <w:r w:rsidRPr="00A22041" w:rsidDel="0056478A">
        <w:t xml:space="preserve"> </w:t>
      </w:r>
      <w:r w:rsidR="00185EA9" w:rsidRPr="00A22041">
        <w:t>M Romanello</w:t>
      </w:r>
      <w:r w:rsidR="00185EA9">
        <w:t>, C Di Napoli, P Drummond, C Green, H Kennard, P Lampard, D Scamman, N Arnell, S Ayeb-Karlsson, L Berrang Ford and 88 other authors</w:t>
      </w:r>
      <w:r w:rsidR="00185EA9" w:rsidRPr="007F27EA">
        <w:t>,</w:t>
      </w:r>
      <w:r w:rsidR="00185EA9" w:rsidRPr="00A22041">
        <w:t xml:space="preserve"> ‘The 2022 report of the </w:t>
      </w:r>
      <w:r w:rsidR="00185EA9" w:rsidRPr="00722AA4">
        <w:t>Lancet</w:t>
      </w:r>
      <w:r w:rsidR="00185EA9" w:rsidRPr="00A22041">
        <w:t xml:space="preserve"> Countdown on health and climate change: Health at the mercy of fossil fuels’, </w:t>
      </w:r>
      <w:r w:rsidR="00185EA9" w:rsidRPr="00A22041">
        <w:rPr>
          <w:i/>
        </w:rPr>
        <w:t>The Lancet</w:t>
      </w:r>
      <w:r w:rsidR="00185EA9" w:rsidRPr="00A22041">
        <w:t>, 2022, 400(10363):1619-1654,</w:t>
      </w:r>
      <w:r w:rsidR="00185EA9">
        <w:t xml:space="preserve"> doi:</w:t>
      </w:r>
      <w:r w:rsidR="00185EA9" w:rsidRPr="00185EA9">
        <w:t>10.1016/S0140-6736(22)01540-9</w:t>
      </w:r>
      <w:r w:rsidR="00185EA9">
        <w:t>.</w:t>
      </w:r>
    </w:p>
  </w:endnote>
  <w:endnote w:id="296">
    <w:p w14:paraId="590E1117" w14:textId="31E50939" w:rsidR="00EB70C3" w:rsidRPr="00A22041" w:rsidRDefault="00EB70C3" w:rsidP="00BB3490">
      <w:pPr>
        <w:pStyle w:val="EndnoteText"/>
      </w:pPr>
      <w:r w:rsidRPr="00A22041">
        <w:rPr>
          <w:rStyle w:val="EndnoteReference"/>
        </w:rPr>
        <w:endnoteRef/>
      </w:r>
      <w:r w:rsidRPr="00A22041">
        <w:t xml:space="preserve"> Australian Bureau of Statistics (ABS), </w:t>
      </w:r>
      <w:hyperlink r:id="rId178" w:history="1">
        <w:r w:rsidRPr="00A22041">
          <w:rPr>
            <w:rStyle w:val="Hyperlink"/>
            <w:i/>
            <w:iCs/>
          </w:rPr>
          <w:t>Dietary behaviour 2020-21 financial year</w:t>
        </w:r>
      </w:hyperlink>
      <w:r w:rsidRPr="00A22041">
        <w:t xml:space="preserve"> </w:t>
      </w:r>
      <w:r w:rsidR="0032793D">
        <w:t>[data set],</w:t>
      </w:r>
      <w:r w:rsidRPr="00A22041">
        <w:t xml:space="preserve"> ABS, Australian Government, 2022, </w:t>
      </w:r>
      <w:r w:rsidRPr="00F45E79">
        <w:t xml:space="preserve">accessed </w:t>
      </w:r>
      <w:r w:rsidR="00C235C6">
        <w:t>21 November 2023</w:t>
      </w:r>
      <w:r w:rsidR="00C235C6" w:rsidRPr="00F45E79">
        <w:t>.</w:t>
      </w:r>
    </w:p>
  </w:endnote>
  <w:endnote w:id="297">
    <w:p w14:paraId="0BB276E0" w14:textId="292185AD" w:rsidR="00EB70C3" w:rsidRPr="00A22041" w:rsidRDefault="00EB70C3" w:rsidP="00BB3490">
      <w:pPr>
        <w:pStyle w:val="EndnoteText"/>
      </w:pPr>
      <w:r w:rsidRPr="00A22041">
        <w:rPr>
          <w:rStyle w:val="EndnoteReference"/>
        </w:rPr>
        <w:endnoteRef/>
      </w:r>
      <w:r w:rsidRPr="00A22041">
        <w:t xml:space="preserve"> </w:t>
      </w:r>
      <w:r w:rsidR="009117D1" w:rsidRPr="00A22041">
        <w:t>M Romanello</w:t>
      </w:r>
      <w:r w:rsidR="009117D1">
        <w:t>, C Di Napoli, P Drummond, C Green, H Kennard, P Lampard, D Scamman, N Arnell, S Ayeb-Karlsson, L Berrang Ford and 88 other authors</w:t>
      </w:r>
      <w:r w:rsidR="009117D1" w:rsidRPr="007F27EA">
        <w:t>,</w:t>
      </w:r>
      <w:r w:rsidR="009117D1" w:rsidRPr="00A22041">
        <w:t xml:space="preserve"> ‘The 2022 report of the </w:t>
      </w:r>
      <w:r w:rsidR="009117D1" w:rsidRPr="00722AA4">
        <w:t>Lancet</w:t>
      </w:r>
      <w:r w:rsidR="009117D1" w:rsidRPr="00A22041">
        <w:t xml:space="preserve"> Countdown on health and climate change: Health at the mercy of fossil fuels’, </w:t>
      </w:r>
      <w:r w:rsidR="009117D1" w:rsidRPr="00A22041">
        <w:rPr>
          <w:i/>
        </w:rPr>
        <w:t>The Lancet</w:t>
      </w:r>
      <w:r w:rsidR="009117D1" w:rsidRPr="00A22041">
        <w:t>, 2022, 400(10363):1619-1654,</w:t>
      </w:r>
      <w:r w:rsidR="00185EA9">
        <w:t xml:space="preserve"> doi:</w:t>
      </w:r>
      <w:r w:rsidR="00185EA9" w:rsidRPr="00185EA9">
        <w:t>10.1016/S0140-6736(22)01540-9</w:t>
      </w:r>
      <w:r w:rsidR="00185EA9">
        <w:t>.</w:t>
      </w:r>
    </w:p>
  </w:endnote>
  <w:endnote w:id="298">
    <w:p w14:paraId="588728D8" w14:textId="2D98E4DC" w:rsidR="00EB70C3" w:rsidRPr="00A22041" w:rsidRDefault="00EB70C3" w:rsidP="00BB3490">
      <w:pPr>
        <w:pStyle w:val="EndnoteText"/>
      </w:pPr>
      <w:r w:rsidRPr="00A22041">
        <w:rPr>
          <w:rStyle w:val="EndnoteReference"/>
        </w:rPr>
        <w:endnoteRef/>
      </w:r>
      <w:r w:rsidR="00F76FEA">
        <w:t xml:space="preserve"> </w:t>
      </w:r>
      <w:r w:rsidRPr="00A22041">
        <w:t xml:space="preserve">M Springmann, K Wiebe, D Mason-D’Croz, TB Sulser, M Rayner and P Scarborough, ‘Health and nutritional aspects of sustainable diet strategies and their association with environmental impacts’, </w:t>
      </w:r>
      <w:r w:rsidRPr="00A22041">
        <w:rPr>
          <w:i/>
        </w:rPr>
        <w:t>The Lancet Planetary Health</w:t>
      </w:r>
      <w:r w:rsidRPr="00A22041">
        <w:t>, 2018, 2(10):E451-E461, doi:</w:t>
      </w:r>
      <w:r w:rsidR="000879B8" w:rsidRPr="00D10A52">
        <w:t>10.1016/S2542-5196(18)30206-7</w:t>
      </w:r>
      <w:r w:rsidRPr="00A22041">
        <w:t>.</w:t>
      </w:r>
    </w:p>
  </w:endnote>
  <w:endnote w:id="299">
    <w:p w14:paraId="5436CC85" w14:textId="5DBB9651" w:rsidR="00EB70C3" w:rsidRPr="00A22041" w:rsidRDefault="00EB70C3" w:rsidP="00BB3490">
      <w:pPr>
        <w:pStyle w:val="EndnoteText"/>
      </w:pPr>
      <w:r w:rsidRPr="00A22041">
        <w:rPr>
          <w:rStyle w:val="EndnoteReference"/>
        </w:rPr>
        <w:endnoteRef/>
      </w:r>
      <w:r w:rsidRPr="00A22041">
        <w:t xml:space="preserve"> M Hadjikakou, ‘Trimming the excess: environmental impacts of discretionary food consumption in Australia’, </w:t>
      </w:r>
      <w:r w:rsidRPr="00A22041">
        <w:rPr>
          <w:i/>
        </w:rPr>
        <w:t>Ecological Economics</w:t>
      </w:r>
      <w:r w:rsidRPr="00A22041">
        <w:t>, 2017, 131:119-128, doi:</w:t>
      </w:r>
      <w:r w:rsidR="00F13AF9" w:rsidRPr="00D10A52">
        <w:t>10.1016/j.ecolecon.2016.08.006</w:t>
      </w:r>
      <w:r w:rsidR="00F13AF9">
        <w:t>.</w:t>
      </w:r>
    </w:p>
  </w:endnote>
  <w:endnote w:id="300">
    <w:p w14:paraId="5550F34A" w14:textId="4DCF909F" w:rsidR="00EB70C3" w:rsidRPr="00A22041" w:rsidRDefault="00EB70C3" w:rsidP="00BB3490">
      <w:pPr>
        <w:pStyle w:val="EndnoteText"/>
      </w:pPr>
      <w:r w:rsidRPr="00A22041">
        <w:rPr>
          <w:rStyle w:val="EndnoteReference"/>
        </w:rPr>
        <w:endnoteRef/>
      </w:r>
      <w:r w:rsidRPr="00A22041">
        <w:t xml:space="preserve"> GA Hendrie, MA Rebuli, G James-Martin, DL Baird, JR Bogard, AS Lawrence and B Ridoutt, ‘Towards healthier and more sustainable diets in the Australian context: comparison of current diets with the Australian Dietary Guidelines and the EAT-Lancet Planetary Health Diet’, </w:t>
      </w:r>
      <w:r w:rsidRPr="00A22041">
        <w:rPr>
          <w:i/>
        </w:rPr>
        <w:t>B</w:t>
      </w:r>
      <w:r w:rsidR="00021DAA">
        <w:rPr>
          <w:i/>
        </w:rPr>
        <w:t>io</w:t>
      </w:r>
      <w:r w:rsidRPr="00A22041">
        <w:rPr>
          <w:i/>
        </w:rPr>
        <w:t>M</w:t>
      </w:r>
      <w:r w:rsidR="00021DAA">
        <w:rPr>
          <w:i/>
        </w:rPr>
        <w:t xml:space="preserve">ed </w:t>
      </w:r>
      <w:r w:rsidRPr="00A22041">
        <w:rPr>
          <w:i/>
        </w:rPr>
        <w:t>C</w:t>
      </w:r>
      <w:r w:rsidR="00021DAA">
        <w:rPr>
          <w:i/>
        </w:rPr>
        <w:t>entral</w:t>
      </w:r>
      <w:r w:rsidRPr="00A22041">
        <w:rPr>
          <w:i/>
        </w:rPr>
        <w:t xml:space="preserve"> Public Health</w:t>
      </w:r>
      <w:r w:rsidRPr="00A22041">
        <w:t>, 2022, 22(1939), doi:10.1186/s12889-022-14252-z</w:t>
      </w:r>
      <w:r w:rsidR="00F13AF9">
        <w:t>.</w:t>
      </w:r>
    </w:p>
  </w:endnote>
  <w:endnote w:id="301">
    <w:p w14:paraId="33285B6B" w14:textId="63E17C3F" w:rsidR="00665AD3" w:rsidRPr="00A22041" w:rsidRDefault="00665AD3" w:rsidP="00BB3490">
      <w:pPr>
        <w:pStyle w:val="EndnoteText"/>
      </w:pPr>
      <w:r w:rsidRPr="00A22041">
        <w:rPr>
          <w:rStyle w:val="EndnoteReference"/>
        </w:rPr>
        <w:endnoteRef/>
      </w:r>
      <w:r w:rsidR="001C4C52">
        <w:t xml:space="preserve"> </w:t>
      </w:r>
      <w:r w:rsidR="001C4C52" w:rsidRPr="00947DFC">
        <w:t>V Matthews, AR Atkinson, G Lee, K Vine and J Longman</w:t>
      </w:r>
      <w:r w:rsidR="001C4C52">
        <w:t xml:space="preserve">, </w:t>
      </w:r>
      <w:hyperlink r:id="rId179" w:history="1">
        <w:r w:rsidR="001C4C52" w:rsidRPr="00FC2DAB">
          <w:rPr>
            <w:rStyle w:val="Hyperlink"/>
            <w:i/>
          </w:rPr>
          <w:t>Climate Change and Aboriginal and Torres Strait Islander Health</w:t>
        </w:r>
      </w:hyperlink>
      <w:r w:rsidR="001C4C52">
        <w:rPr>
          <w:i/>
        </w:rPr>
        <w:t>,</w:t>
      </w:r>
      <w:r w:rsidR="001C4C52" w:rsidRPr="00F42E20">
        <w:rPr>
          <w:i/>
        </w:rPr>
        <w:t xml:space="preserve"> </w:t>
      </w:r>
      <w:r w:rsidR="001C4C52" w:rsidRPr="00F42E20">
        <w:rPr>
          <w:iCs/>
        </w:rPr>
        <w:t>Discussion Paper</w:t>
      </w:r>
      <w:r w:rsidR="001C4C52" w:rsidRPr="00947DFC">
        <w:t xml:space="preserve">, </w:t>
      </w:r>
      <w:r w:rsidR="001C4C52" w:rsidRPr="009A3806">
        <w:t>Lowitja Institute</w:t>
      </w:r>
      <w:r w:rsidR="001C4C52">
        <w:t xml:space="preserve">, </w:t>
      </w:r>
      <w:r w:rsidR="001C4C52" w:rsidRPr="00947DFC">
        <w:t>2021</w:t>
      </w:r>
      <w:r w:rsidR="001C4C52">
        <w:t>.</w:t>
      </w:r>
    </w:p>
  </w:endnote>
  <w:endnote w:id="302">
    <w:p w14:paraId="57CF57A9" w14:textId="5314C3C2" w:rsidR="00801482" w:rsidRPr="00A22041" w:rsidRDefault="00801482" w:rsidP="00BB3490">
      <w:pPr>
        <w:pStyle w:val="EndnoteText"/>
      </w:pPr>
      <w:r w:rsidRPr="00A22041">
        <w:rPr>
          <w:rStyle w:val="EndnoteReference"/>
        </w:rPr>
        <w:endnoteRef/>
      </w:r>
      <w:r w:rsidRPr="00A22041">
        <w:t xml:space="preserve"> Australian Institute of Health and Welfare (AIHW), </w:t>
      </w:r>
      <w:r w:rsidR="0038672F">
        <w:t>‘</w:t>
      </w:r>
      <w:hyperlink r:id="rId180" w:history="1">
        <w:r w:rsidRPr="00BD7B84">
          <w:rPr>
            <w:rStyle w:val="Hyperlink"/>
          </w:rPr>
          <w:t>Built environment and health</w:t>
        </w:r>
      </w:hyperlink>
      <w:r w:rsidR="005745A8">
        <w:t xml:space="preserve">’, </w:t>
      </w:r>
      <w:r w:rsidRPr="00BB31A0">
        <w:t>AIHW</w:t>
      </w:r>
      <w:r w:rsidRPr="00A22041">
        <w:t xml:space="preserve">, </w:t>
      </w:r>
      <w:r w:rsidR="00D67020">
        <w:t xml:space="preserve">7 July </w:t>
      </w:r>
      <w:r w:rsidRPr="00A22041">
        <w:t>2022</w:t>
      </w:r>
      <w:r w:rsidR="00D67020">
        <w:t>, accessed 21 November 2023</w:t>
      </w:r>
      <w:r w:rsidR="002E2A3D">
        <w:t>.</w:t>
      </w:r>
    </w:p>
  </w:endnote>
  <w:endnote w:id="303">
    <w:p w14:paraId="4862DF89" w14:textId="7C6DCC0E" w:rsidR="00801482" w:rsidRPr="00A22041" w:rsidRDefault="00801482" w:rsidP="00BB3490">
      <w:pPr>
        <w:pStyle w:val="EndnoteText"/>
      </w:pPr>
      <w:r w:rsidRPr="00A22041">
        <w:rPr>
          <w:rStyle w:val="EndnoteReference"/>
        </w:rPr>
        <w:endnoteRef/>
      </w:r>
      <w:r w:rsidRPr="00A22041">
        <w:t xml:space="preserve"> C O’Malley, PAE Piroozfard, ERP Farr and J Gates, ‘An Investigation into Minimizing Urban Heat Island (UHI) Effects: A UK Perspective’, </w:t>
      </w:r>
      <w:r w:rsidRPr="00A22041">
        <w:rPr>
          <w:i/>
        </w:rPr>
        <w:t>Energy Procedia</w:t>
      </w:r>
      <w:r w:rsidRPr="00A22041">
        <w:t>, 2014, 62:72-80, doi:10.1016/j.egypro.2014.12.368.</w:t>
      </w:r>
    </w:p>
  </w:endnote>
  <w:endnote w:id="304">
    <w:p w14:paraId="14266F40" w14:textId="739CDB6E" w:rsidR="00801482" w:rsidRPr="00A22041" w:rsidRDefault="00801482" w:rsidP="00BB3490">
      <w:pPr>
        <w:pStyle w:val="EndnoteText"/>
      </w:pPr>
      <w:r w:rsidRPr="00A22041">
        <w:rPr>
          <w:rStyle w:val="EndnoteReference"/>
        </w:rPr>
        <w:endnoteRef/>
      </w:r>
      <w:r w:rsidRPr="00A22041">
        <w:t xml:space="preserve"> K Nice, N Nazarian, M Lipson, MA Hart, S Seneviratne, JH Thompson</w:t>
      </w:r>
      <w:r w:rsidR="00927CE5">
        <w:t>, M Naserikia, B Godic and M Stevenson,</w:t>
      </w:r>
      <w:r w:rsidRPr="00A22041">
        <w:t xml:space="preserve"> ‘Isolating the impacts of urban form and fabric from geography on urban heat and human thermal comfort’, </w:t>
      </w:r>
      <w:r w:rsidRPr="00A22041">
        <w:rPr>
          <w:i/>
        </w:rPr>
        <w:t xml:space="preserve">Building and Environment, </w:t>
      </w:r>
      <w:r w:rsidRPr="00A22041">
        <w:t>2022, 224(3357), doi:</w:t>
      </w:r>
      <w:r w:rsidR="00F13AF9" w:rsidRPr="002E2A3D">
        <w:t>10.1016/j.buildenv.2022.109502</w:t>
      </w:r>
      <w:r w:rsidR="00F13AF9">
        <w:t>.</w:t>
      </w:r>
    </w:p>
  </w:endnote>
  <w:endnote w:id="305">
    <w:p w14:paraId="2186B3FB" w14:textId="52880D32" w:rsidR="00801482" w:rsidRPr="00A22041" w:rsidDel="00A15052" w:rsidRDefault="00801482" w:rsidP="00BB3490">
      <w:pPr>
        <w:pStyle w:val="EndnoteText"/>
      </w:pPr>
      <w:r w:rsidRPr="00A22041" w:rsidDel="00A15052">
        <w:rPr>
          <w:rStyle w:val="EndnoteReference"/>
        </w:rPr>
        <w:endnoteRef/>
      </w:r>
      <w:r w:rsidRPr="00A22041">
        <w:t xml:space="preserve"> L Frazer, ‘Paving paradise: the peril of impervious surfaces’, </w:t>
      </w:r>
      <w:r w:rsidRPr="00A22041">
        <w:rPr>
          <w:i/>
        </w:rPr>
        <w:t>Environmental Health Perspectives</w:t>
      </w:r>
      <w:r w:rsidRPr="00A22041">
        <w:t>, 2005, 113(7):457-462, doi:10.1289/ehp.113-a456.</w:t>
      </w:r>
    </w:p>
  </w:endnote>
  <w:endnote w:id="306">
    <w:p w14:paraId="47B373D5" w14:textId="446B06B1" w:rsidR="00801482" w:rsidRPr="00A22041" w:rsidRDefault="00801482" w:rsidP="00BB3490">
      <w:pPr>
        <w:pStyle w:val="EndnoteText"/>
      </w:pPr>
      <w:r w:rsidRPr="00A22041">
        <w:rPr>
          <w:rStyle w:val="EndnoteReference"/>
        </w:rPr>
        <w:endnoteRef/>
      </w:r>
      <w:r w:rsidRPr="00A22041">
        <w:t xml:space="preserve"> M van den Berg, W Wendel-Vos, M van Poppel, H Kemper, W van Mechelen and J Maas, ‘Health benefits of green spaces in the living environment: A systematic review of epidemiological studies’, </w:t>
      </w:r>
      <w:r w:rsidRPr="00A22041">
        <w:rPr>
          <w:i/>
        </w:rPr>
        <w:t xml:space="preserve">Urban Forestry &amp; Urban Greening, </w:t>
      </w:r>
      <w:r w:rsidRPr="00A22041">
        <w:t>2015, 14(4):806-816, doi:10.1016/j.ufug.2015.07.008.</w:t>
      </w:r>
    </w:p>
  </w:endnote>
  <w:endnote w:id="307">
    <w:p w14:paraId="4A6F8F71" w14:textId="414D3B04" w:rsidR="00801482" w:rsidRPr="00A22041" w:rsidRDefault="00801482" w:rsidP="00BB3490">
      <w:pPr>
        <w:pStyle w:val="EndnoteText"/>
      </w:pPr>
      <w:r w:rsidRPr="00A22041">
        <w:rPr>
          <w:rStyle w:val="EndnoteReference"/>
        </w:rPr>
        <w:endnoteRef/>
      </w:r>
      <w:r w:rsidRPr="00A22041">
        <w:t xml:space="preserve"> H Saaroni, JH Amorim, JA Hiemstra and D Pearlmutter,</w:t>
      </w:r>
      <w:r w:rsidR="00336171">
        <w:t xml:space="preserve"> </w:t>
      </w:r>
      <w:r w:rsidR="006F2D6F">
        <w:t>‘</w:t>
      </w:r>
      <w:r w:rsidRPr="00A22041">
        <w:t>Urban Green Infrastructure as a tool for urban heat mitigation: Survey of research methodologies and findings across different climatic regions</w:t>
      </w:r>
      <w:r w:rsidR="00336171">
        <w:t>’</w:t>
      </w:r>
      <w:r w:rsidRPr="00A22041">
        <w:t>,</w:t>
      </w:r>
    </w:p>
    <w:p w14:paraId="34DEAC75" w14:textId="6C429068" w:rsidR="00801482" w:rsidRPr="00A22041" w:rsidRDefault="00801482" w:rsidP="00BB3490">
      <w:pPr>
        <w:pStyle w:val="EndnoteText"/>
      </w:pPr>
      <w:r w:rsidRPr="00A22041">
        <w:rPr>
          <w:i/>
        </w:rPr>
        <w:t>Urban Climate</w:t>
      </w:r>
      <w:r w:rsidRPr="00A22041">
        <w:t>, 2018, 24:94-110, doi:10.1016/j.uclim.2018.02.001.</w:t>
      </w:r>
    </w:p>
  </w:endnote>
  <w:endnote w:id="308">
    <w:p w14:paraId="5D8AC624" w14:textId="4952235C" w:rsidR="00801482" w:rsidRPr="00A22041" w:rsidRDefault="00801482" w:rsidP="00BB3490">
      <w:pPr>
        <w:pStyle w:val="EndnoteText"/>
        <w:rPr>
          <w:lang w:val="en-GB"/>
        </w:rPr>
      </w:pPr>
      <w:r w:rsidRPr="00A22041">
        <w:rPr>
          <w:rStyle w:val="EndnoteReference"/>
        </w:rPr>
        <w:endnoteRef/>
      </w:r>
      <w:r w:rsidRPr="00A22041">
        <w:t xml:space="preserve"> THF Wong and RR Brown, ‘The water sensitive city: principles for practice’</w:t>
      </w:r>
      <w:r w:rsidR="008D6FE7">
        <w:t>,</w:t>
      </w:r>
      <w:r w:rsidRPr="00A22041">
        <w:t xml:space="preserve"> </w:t>
      </w:r>
      <w:r w:rsidRPr="00A22041">
        <w:rPr>
          <w:i/>
        </w:rPr>
        <w:t xml:space="preserve">Water Science and Technology, </w:t>
      </w:r>
      <w:r w:rsidRPr="00A22041">
        <w:t>2009, 60(3):673-682, doi:</w:t>
      </w:r>
      <w:r w:rsidRPr="00367D8C">
        <w:t>10.2166/wst.2009.436</w:t>
      </w:r>
      <w:r w:rsidR="006279A3">
        <w:t>.</w:t>
      </w:r>
    </w:p>
  </w:endnote>
  <w:endnote w:id="309">
    <w:p w14:paraId="2FE0316A" w14:textId="3FF1FD62" w:rsidR="00801482" w:rsidRPr="002E3236" w:rsidRDefault="00801482" w:rsidP="00BB3490">
      <w:pPr>
        <w:pStyle w:val="EndnoteText"/>
      </w:pPr>
      <w:r w:rsidRPr="00A22041">
        <w:rPr>
          <w:rStyle w:val="EndnoteReference"/>
        </w:rPr>
        <w:endnoteRef/>
      </w:r>
      <w:r w:rsidRPr="00A22041">
        <w:t xml:space="preserve"> K Belange and EW Triche, ‘Indoor combustion and asthma’, </w:t>
      </w:r>
      <w:r w:rsidR="008C027B" w:rsidRPr="008C027B">
        <w:rPr>
          <w:i/>
        </w:rPr>
        <w:t>Immunology and</w:t>
      </w:r>
      <w:r w:rsidRPr="008C027B">
        <w:rPr>
          <w:i/>
        </w:rPr>
        <w:t xml:space="preserve"> Allergy </w:t>
      </w:r>
      <w:r w:rsidR="008C027B" w:rsidRPr="008C027B">
        <w:rPr>
          <w:i/>
        </w:rPr>
        <w:t>Clinics of</w:t>
      </w:r>
      <w:r w:rsidRPr="008C027B">
        <w:rPr>
          <w:i/>
        </w:rPr>
        <w:t xml:space="preserve"> North </w:t>
      </w:r>
      <w:r w:rsidR="008C027B" w:rsidRPr="002E3236">
        <w:rPr>
          <w:i/>
        </w:rPr>
        <w:t>America</w:t>
      </w:r>
      <w:r w:rsidRPr="002E3236">
        <w:rPr>
          <w:i/>
        </w:rPr>
        <w:t xml:space="preserve">, </w:t>
      </w:r>
      <w:r w:rsidRPr="002E3236">
        <w:t>2008, 28(3):507-519, doi:10.1016/j.iac.2008.03.011.</w:t>
      </w:r>
    </w:p>
  </w:endnote>
  <w:endnote w:id="310">
    <w:p w14:paraId="46D47D49" w14:textId="4C78376D" w:rsidR="00801482" w:rsidRPr="00A22041" w:rsidRDefault="00801482" w:rsidP="00BB3490">
      <w:pPr>
        <w:pStyle w:val="EndnoteText"/>
      </w:pPr>
      <w:r w:rsidRPr="002E3236">
        <w:rPr>
          <w:rStyle w:val="EndnoteReference"/>
        </w:rPr>
        <w:endnoteRef/>
      </w:r>
      <w:r w:rsidRPr="002E3236">
        <w:t xml:space="preserve"> </w:t>
      </w:r>
      <w:r w:rsidR="00F521B6" w:rsidRPr="002E3236">
        <w:t>N</w:t>
      </w:r>
      <w:r w:rsidRPr="002E3236">
        <w:t>SW Department of Planning</w:t>
      </w:r>
      <w:r w:rsidR="00F521B6" w:rsidRPr="002E3236">
        <w:t>,</w:t>
      </w:r>
      <w:r w:rsidRPr="002E3236">
        <w:t xml:space="preserve"> </w:t>
      </w:r>
      <w:hyperlink r:id="rId181" w:history="1">
        <w:r w:rsidRPr="002E3236">
          <w:rPr>
            <w:rStyle w:val="Hyperlink"/>
            <w:i/>
            <w:iCs/>
          </w:rPr>
          <w:t>BASIX thermal comfort protocol</w:t>
        </w:r>
      </w:hyperlink>
      <w:r w:rsidR="00F521B6" w:rsidRPr="002E3236">
        <w:t>, NSW Government</w:t>
      </w:r>
      <w:r w:rsidR="00715E56" w:rsidRPr="002E3236">
        <w:t xml:space="preserve"> website</w:t>
      </w:r>
      <w:r w:rsidR="00F521B6" w:rsidRPr="002E3236">
        <w:t>, 2020</w:t>
      </w:r>
      <w:r w:rsidR="00715E56" w:rsidRPr="002E3236">
        <w:t xml:space="preserve">, accessed </w:t>
      </w:r>
      <w:r w:rsidR="007E5B02" w:rsidRPr="002E3236">
        <w:t>21 November</w:t>
      </w:r>
      <w:r w:rsidR="007E5B02">
        <w:t xml:space="preserve"> 2023</w:t>
      </w:r>
      <w:r w:rsidR="00F521B6">
        <w:t xml:space="preserve">. </w:t>
      </w:r>
    </w:p>
  </w:endnote>
  <w:endnote w:id="311">
    <w:p w14:paraId="60D721D3" w14:textId="5A85E075" w:rsidR="00801482" w:rsidRPr="00A22041" w:rsidRDefault="00801482" w:rsidP="00BB3490">
      <w:pPr>
        <w:pStyle w:val="EndnoteText"/>
      </w:pPr>
      <w:r w:rsidRPr="00A22041">
        <w:rPr>
          <w:rStyle w:val="EndnoteReference"/>
        </w:rPr>
        <w:endnoteRef/>
      </w:r>
      <w:r w:rsidRPr="00A22041">
        <w:t xml:space="preserve"> Sustainability Victoria, </w:t>
      </w:r>
      <w:hyperlink r:id="rId182" w:history="1">
        <w:r w:rsidRPr="00A22041">
          <w:rPr>
            <w:rStyle w:val="Hyperlink"/>
            <w:i/>
          </w:rPr>
          <w:t>Reducing heat gain through home windows</w:t>
        </w:r>
      </w:hyperlink>
      <w:r w:rsidRPr="00A22041">
        <w:rPr>
          <w:i/>
        </w:rPr>
        <w:t xml:space="preserve">, </w:t>
      </w:r>
      <w:r w:rsidRPr="00A22041">
        <w:t xml:space="preserve">Sustainability Victoria </w:t>
      </w:r>
      <w:r w:rsidR="002E033A">
        <w:t>w</w:t>
      </w:r>
      <w:r w:rsidRPr="00A22041">
        <w:t xml:space="preserve">ebsite, 2023, accessed 9 October 2023. </w:t>
      </w:r>
    </w:p>
  </w:endnote>
  <w:endnote w:id="312">
    <w:p w14:paraId="3839805B" w14:textId="0B3C6419" w:rsidR="00801482" w:rsidRPr="00A22041" w:rsidRDefault="00801482" w:rsidP="00BB3490">
      <w:pPr>
        <w:pStyle w:val="EndnoteText"/>
      </w:pPr>
      <w:r w:rsidRPr="00A22041">
        <w:rPr>
          <w:rStyle w:val="EndnoteReference"/>
        </w:rPr>
        <w:endnoteRef/>
      </w:r>
      <w:r w:rsidRPr="00A22041">
        <w:t xml:space="preserve"> STA Consulting Engineers, </w:t>
      </w:r>
      <w:r w:rsidR="00853CB4">
        <w:t>‘</w:t>
      </w:r>
      <w:hyperlink r:id="rId183" w:history="1">
        <w:r w:rsidRPr="00BD7B84">
          <w:rPr>
            <w:rStyle w:val="Hyperlink"/>
          </w:rPr>
          <w:t>Good n</w:t>
        </w:r>
        <w:bookmarkStart w:id="208" w:name="_Hlt151632846"/>
        <w:bookmarkStart w:id="209" w:name="_Hlt151632847"/>
        <w:r w:rsidRPr="00BD7B84">
          <w:rPr>
            <w:rStyle w:val="Hyperlink"/>
          </w:rPr>
          <w:t>e</w:t>
        </w:r>
        <w:bookmarkEnd w:id="208"/>
        <w:bookmarkEnd w:id="209"/>
        <w:r w:rsidRPr="00BD7B84">
          <w:rPr>
            <w:rStyle w:val="Hyperlink"/>
          </w:rPr>
          <w:t>ws for Wind Classifications: 2021 Wind Standards and 2022 NCC update</w:t>
        </w:r>
      </w:hyperlink>
      <w:r w:rsidR="00CE33A3">
        <w:t>’,</w:t>
      </w:r>
      <w:r w:rsidRPr="00A22041">
        <w:t xml:space="preserve"> </w:t>
      </w:r>
      <w:r w:rsidRPr="00BD7B84">
        <w:rPr>
          <w:i/>
        </w:rPr>
        <w:t>STA Consulting Engineers</w:t>
      </w:r>
      <w:r w:rsidRPr="00A22041">
        <w:t xml:space="preserve">, </w:t>
      </w:r>
      <w:r w:rsidR="00194CF0">
        <w:t>6 May</w:t>
      </w:r>
      <w:r w:rsidRPr="00A22041">
        <w:t xml:space="preserve"> 2022, </w:t>
      </w:r>
      <w:r>
        <w:t xml:space="preserve">accessed </w:t>
      </w:r>
      <w:r w:rsidR="007E5B02">
        <w:t>21 November 2023.</w:t>
      </w:r>
    </w:p>
  </w:endnote>
  <w:endnote w:id="313">
    <w:p w14:paraId="05900F01" w14:textId="1F3879AD" w:rsidR="00381930" w:rsidRPr="00A22041" w:rsidRDefault="00381930" w:rsidP="00BB3490">
      <w:pPr>
        <w:pStyle w:val="EndnoteText"/>
      </w:pPr>
      <w:r w:rsidRPr="00A22041">
        <w:rPr>
          <w:rStyle w:val="EndnoteReference"/>
        </w:rPr>
        <w:endnoteRef/>
      </w:r>
      <w:r w:rsidRPr="00A22041">
        <w:t xml:space="preserve"> Australian Building Codes Board (ABCB), </w:t>
      </w:r>
      <w:hyperlink r:id="rId184" w:history="1">
        <w:r w:rsidRPr="00A22041">
          <w:rPr>
            <w:rStyle w:val="Hyperlink"/>
            <w:i/>
            <w:iCs/>
          </w:rPr>
          <w:t>National Constr</w:t>
        </w:r>
        <w:r w:rsidR="00880AF6">
          <w:rPr>
            <w:rStyle w:val="Hyperlink"/>
            <w:i/>
            <w:iCs/>
          </w:rPr>
          <w:t>u</w:t>
        </w:r>
        <w:r w:rsidRPr="00A22041">
          <w:rPr>
            <w:rStyle w:val="Hyperlink"/>
            <w:i/>
            <w:iCs/>
          </w:rPr>
          <w:t>ction Code 2022</w:t>
        </w:r>
      </w:hyperlink>
      <w:r w:rsidRPr="00A22041">
        <w:rPr>
          <w:i/>
          <w:iCs/>
        </w:rPr>
        <w:t xml:space="preserve">, </w:t>
      </w:r>
      <w:r w:rsidRPr="00A22041">
        <w:t xml:space="preserve">ABCB, </w:t>
      </w:r>
      <w:r w:rsidR="00515241">
        <w:t xml:space="preserve">Australian Government, </w:t>
      </w:r>
      <w:r w:rsidRPr="00A22041">
        <w:t xml:space="preserve">2022. </w:t>
      </w:r>
    </w:p>
  </w:endnote>
  <w:endnote w:id="314">
    <w:p w14:paraId="7B93CCF2" w14:textId="322D6F2D" w:rsidR="00801482" w:rsidRPr="00A22041" w:rsidRDefault="00801482" w:rsidP="00BB3490">
      <w:pPr>
        <w:pStyle w:val="EndnoteText"/>
      </w:pPr>
      <w:r w:rsidRPr="00A22041">
        <w:rPr>
          <w:rStyle w:val="EndnoteReference"/>
        </w:rPr>
        <w:endnoteRef/>
      </w:r>
      <w:r w:rsidRPr="00A22041">
        <w:t xml:space="preserve"> T Moore, S Berry and MI Ambrose, ‘Aiming for mediocrity: The case of Australian housing thermal performance’, </w:t>
      </w:r>
      <w:r w:rsidRPr="00A22041">
        <w:rPr>
          <w:i/>
        </w:rPr>
        <w:t xml:space="preserve">Energy Policy, </w:t>
      </w:r>
      <w:r w:rsidRPr="00A22041">
        <w:t>2019, 132:602-610, doi:</w:t>
      </w:r>
      <w:r w:rsidR="009B1B09" w:rsidRPr="009D5D65">
        <w:t>10.1016/j.enpol.2019.06.017</w:t>
      </w:r>
      <w:r w:rsidR="00900F44">
        <w:t>.</w:t>
      </w:r>
    </w:p>
  </w:endnote>
  <w:endnote w:id="315">
    <w:p w14:paraId="702A6476" w14:textId="3174CE88" w:rsidR="00801482" w:rsidRPr="00A22041" w:rsidRDefault="00801482" w:rsidP="00BB3490">
      <w:pPr>
        <w:pStyle w:val="EndnoteText"/>
      </w:pPr>
      <w:r w:rsidRPr="00A22041">
        <w:rPr>
          <w:rStyle w:val="EndnoteReference"/>
        </w:rPr>
        <w:endnoteRef/>
      </w:r>
      <w:r w:rsidRPr="00A22041">
        <w:t xml:space="preserve"> Insurance Council of Australia, </w:t>
      </w:r>
      <w:hyperlink r:id="rId185" w:history="1">
        <w:r w:rsidR="007B0BF9" w:rsidRPr="00B476FB">
          <w:rPr>
            <w:rStyle w:val="Hyperlink"/>
            <w:i/>
          </w:rPr>
          <w:t>Climate Change Impact Series: Tropical Cyclones and Future Risks</w:t>
        </w:r>
        <w:r w:rsidR="007B0BF9">
          <w:rPr>
            <w:rStyle w:val="Hyperlink"/>
            <w:iCs/>
          </w:rPr>
          <w:t xml:space="preserve"> [PDF 502KB]</w:t>
        </w:r>
      </w:hyperlink>
      <w:r w:rsidR="006C51FB">
        <w:rPr>
          <w:iCs/>
        </w:rPr>
        <w:t xml:space="preserve">, </w:t>
      </w:r>
      <w:r w:rsidRPr="00A22041">
        <w:t xml:space="preserve">Insurance Council of Australia, 2021. </w:t>
      </w:r>
    </w:p>
  </w:endnote>
  <w:endnote w:id="316">
    <w:p w14:paraId="145C5EB0" w14:textId="4CC7C9ED" w:rsidR="00801482" w:rsidRPr="00A22041" w:rsidRDefault="00801482" w:rsidP="00BB3490">
      <w:pPr>
        <w:pStyle w:val="EndnoteText"/>
      </w:pPr>
      <w:r w:rsidRPr="00A22041">
        <w:rPr>
          <w:rStyle w:val="EndnoteReference"/>
        </w:rPr>
        <w:endnoteRef/>
      </w:r>
      <w:r w:rsidRPr="00A22041">
        <w:t xml:space="preserve"> CJ Maller and Y Strengers, ‘Housing, heat stress and health in a changing climate: promoting the adaptive capacity of vulnerable households, a suggested way forward</w:t>
      </w:r>
      <w:r w:rsidR="001B5E27">
        <w:t>’,</w:t>
      </w:r>
      <w:r w:rsidRPr="00A22041">
        <w:t xml:space="preserve"> </w:t>
      </w:r>
      <w:r w:rsidRPr="00A22041">
        <w:rPr>
          <w:i/>
        </w:rPr>
        <w:t>Health Promotion International</w:t>
      </w:r>
      <w:r w:rsidRPr="00A22041">
        <w:t>, 2011, 26(4):492-498, doi:</w:t>
      </w:r>
      <w:r w:rsidR="000E3B46" w:rsidRPr="009F0FD6">
        <w:t>10.1093/heapro/dar003</w:t>
      </w:r>
      <w:r w:rsidR="000E3B46">
        <w:t>.</w:t>
      </w:r>
    </w:p>
  </w:endnote>
  <w:endnote w:id="317">
    <w:p w14:paraId="36A94900" w14:textId="5FFA0F17" w:rsidR="00801482" w:rsidRPr="00A22041" w:rsidRDefault="00801482" w:rsidP="00BB3490">
      <w:pPr>
        <w:pStyle w:val="EndnoteText"/>
      </w:pPr>
      <w:r w:rsidRPr="003F7367">
        <w:rPr>
          <w:rStyle w:val="EndnoteReference"/>
        </w:rPr>
        <w:endnoteRef/>
      </w:r>
      <w:r w:rsidRPr="00A22041">
        <w:t xml:space="preserve"> Victoria</w:t>
      </w:r>
      <w:r w:rsidR="00EA0BDC">
        <w:t>n</w:t>
      </w:r>
      <w:r w:rsidRPr="00A22041">
        <w:t xml:space="preserve"> Department of Health, </w:t>
      </w:r>
      <w:hyperlink r:id="rId186" w:history="1">
        <w:r w:rsidRPr="00A22041">
          <w:rPr>
            <w:rStyle w:val="Hyperlink"/>
            <w:i/>
            <w:iCs/>
          </w:rPr>
          <w:t>Mould and your health</w:t>
        </w:r>
      </w:hyperlink>
      <w:r w:rsidRPr="00A22041">
        <w:t xml:space="preserve">, Better Health Channel </w:t>
      </w:r>
      <w:r w:rsidR="00322F6D">
        <w:t>w</w:t>
      </w:r>
      <w:r w:rsidRPr="00A22041">
        <w:t xml:space="preserve">ebsite, 2020, </w:t>
      </w:r>
      <w:r>
        <w:t xml:space="preserve">accessed </w:t>
      </w:r>
      <w:r w:rsidR="007E5B02">
        <w:t>21 November 2023.</w:t>
      </w:r>
    </w:p>
  </w:endnote>
  <w:endnote w:id="318">
    <w:p w14:paraId="17624E48" w14:textId="148CBC09" w:rsidR="00801482" w:rsidRPr="003C1831" w:rsidRDefault="00801482" w:rsidP="00BB3490">
      <w:pPr>
        <w:pStyle w:val="EndnoteText"/>
      </w:pPr>
      <w:r w:rsidRPr="00A22041">
        <w:rPr>
          <w:rStyle w:val="EndnoteReference"/>
        </w:rPr>
        <w:endnoteRef/>
      </w:r>
      <w:r w:rsidRPr="00A22041">
        <w:t xml:space="preserve"> </w:t>
      </w:r>
      <w:r w:rsidR="00F61451">
        <w:t>Australian</w:t>
      </w:r>
      <w:r w:rsidRPr="00A22041">
        <w:t xml:space="preserve"> Department of Climate Change, Energy, the Environment and Water</w:t>
      </w:r>
      <w:r w:rsidR="007A58AF">
        <w:t xml:space="preserve"> (DCCEEW)</w:t>
      </w:r>
      <w:r w:rsidRPr="00A22041">
        <w:t xml:space="preserve">, </w:t>
      </w:r>
      <w:hyperlink r:id="rId187" w:history="1">
        <w:r w:rsidR="007A58AF" w:rsidRPr="003C1831">
          <w:rPr>
            <w:rStyle w:val="Hyperlink"/>
            <w:i/>
            <w:iCs/>
          </w:rPr>
          <w:t>Australia’s National Greenhouse Accounts</w:t>
        </w:r>
      </w:hyperlink>
      <w:r w:rsidR="00AE6DA8" w:rsidRPr="009E28EA">
        <w:t>,</w:t>
      </w:r>
      <w:r w:rsidR="00AE6DA8">
        <w:t xml:space="preserve"> </w:t>
      </w:r>
      <w:r w:rsidR="00D154E3">
        <w:t>DCCEEW</w:t>
      </w:r>
      <w:r w:rsidR="00D154E3" w:rsidRPr="00A22041">
        <w:t xml:space="preserve"> </w:t>
      </w:r>
      <w:r w:rsidR="00C1437C" w:rsidRPr="003C1831">
        <w:t>w</w:t>
      </w:r>
      <w:r w:rsidRPr="003C1831">
        <w:t xml:space="preserve">ebsite, 2023, accessed </w:t>
      </w:r>
      <w:r w:rsidR="007E5B02" w:rsidRPr="003C1831">
        <w:t>21 November 2023.</w:t>
      </w:r>
    </w:p>
  </w:endnote>
  <w:endnote w:id="319">
    <w:p w14:paraId="3161EC5C" w14:textId="6F054D38" w:rsidR="00801482" w:rsidRPr="003C1831" w:rsidRDefault="00801482" w:rsidP="00BB3490">
      <w:pPr>
        <w:pStyle w:val="EndnoteText"/>
      </w:pPr>
      <w:r w:rsidRPr="003C1831">
        <w:rPr>
          <w:rStyle w:val="EndnoteReference"/>
        </w:rPr>
        <w:endnoteRef/>
      </w:r>
      <w:r w:rsidRPr="003C1831">
        <w:t xml:space="preserve"> Renew Australia, </w:t>
      </w:r>
      <w:hyperlink r:id="rId188" w:history="1">
        <w:r w:rsidRPr="003C1831">
          <w:rPr>
            <w:rStyle w:val="Hyperlink"/>
            <w:i/>
            <w:iCs/>
          </w:rPr>
          <w:t>Climate Resilient Homes</w:t>
        </w:r>
      </w:hyperlink>
      <w:r w:rsidRPr="003C1831">
        <w:t>, Renew</w:t>
      </w:r>
      <w:r w:rsidR="00C1437C" w:rsidRPr="003C1831">
        <w:t xml:space="preserve"> Australia</w:t>
      </w:r>
      <w:r w:rsidRPr="003C1831">
        <w:t xml:space="preserve"> </w:t>
      </w:r>
      <w:r w:rsidR="00C1437C" w:rsidRPr="003C1831">
        <w:t>w</w:t>
      </w:r>
      <w:r w:rsidRPr="003C1831">
        <w:t xml:space="preserve">ebsite, n.d., accessed </w:t>
      </w:r>
      <w:r w:rsidR="007E5B02" w:rsidRPr="003C1831">
        <w:t>21 November 2023.</w:t>
      </w:r>
    </w:p>
  </w:endnote>
  <w:endnote w:id="320">
    <w:p w14:paraId="14B554D9" w14:textId="49E77E10" w:rsidR="00801482" w:rsidRPr="003C1831" w:rsidRDefault="00801482" w:rsidP="00BB3490">
      <w:pPr>
        <w:pStyle w:val="EndnoteText"/>
      </w:pPr>
      <w:r w:rsidRPr="003C1831">
        <w:rPr>
          <w:rStyle w:val="EndnoteReference"/>
        </w:rPr>
        <w:endnoteRef/>
      </w:r>
      <w:r w:rsidRPr="003C1831">
        <w:t xml:space="preserve"> J Milner, G Turner, A Ibbetson, PE Colombo, R Green, AD Dangour, A Haines and P Wilkinson, ‘Impact on mortality of pathways to net zero greenhouse gas emissions in England and Wales: a multisectoral modelling study’, </w:t>
      </w:r>
      <w:r w:rsidRPr="003C1831">
        <w:rPr>
          <w:i/>
        </w:rPr>
        <w:t>The Lancet Planetary Health</w:t>
      </w:r>
      <w:r w:rsidRPr="003C1831">
        <w:t>, 2023, 7(2):E128-E136, doi:</w:t>
      </w:r>
      <w:r w:rsidR="009B1B09" w:rsidRPr="003C1831">
        <w:t>10.1016/S2542-5196(22)00310-2</w:t>
      </w:r>
      <w:r w:rsidRPr="003C1831">
        <w:t>.</w:t>
      </w:r>
    </w:p>
  </w:endnote>
  <w:endnote w:id="321">
    <w:p w14:paraId="0B84D0FE" w14:textId="153E6A6B" w:rsidR="00801482" w:rsidRPr="003C1831" w:rsidRDefault="00801482" w:rsidP="00BB3490">
      <w:pPr>
        <w:pStyle w:val="EndnoteText"/>
      </w:pPr>
      <w:r w:rsidRPr="003C1831">
        <w:rPr>
          <w:rStyle w:val="EndnoteReference"/>
        </w:rPr>
        <w:endnoteRef/>
      </w:r>
      <w:r w:rsidRPr="003C1831">
        <w:t xml:space="preserve"> Sustainability Victoria and University of Technology Sydney, </w:t>
      </w:r>
      <w:hyperlink r:id="rId189" w:history="1">
        <w:r w:rsidR="00223D1C" w:rsidRPr="003C1831">
          <w:rPr>
            <w:rStyle w:val="Hyperlink"/>
            <w:i/>
            <w:iCs/>
          </w:rPr>
          <w:t>The Victorian Healthy Homes Program Research findings</w:t>
        </w:r>
      </w:hyperlink>
      <w:r w:rsidRPr="003C1831">
        <w:t>, Sustainability Victoria, Victorian Government, 2023.</w:t>
      </w:r>
    </w:p>
  </w:endnote>
  <w:endnote w:id="322">
    <w:p w14:paraId="7E3F2796" w14:textId="6B48343C" w:rsidR="00801482" w:rsidRPr="00A22041" w:rsidRDefault="005B2EAE" w:rsidP="00BB3490">
      <w:pPr>
        <w:pStyle w:val="EndnoteText"/>
      </w:pPr>
      <w:r w:rsidRPr="003C1831">
        <w:rPr>
          <w:rStyle w:val="EndnoteReference"/>
        </w:rPr>
        <w:endnoteRef/>
      </w:r>
      <w:r w:rsidR="00801482" w:rsidRPr="003C1831">
        <w:t xml:space="preserve"> M Campbell, K Page, T Longden, P Kenny, L</w:t>
      </w:r>
      <w:r w:rsidR="00801482" w:rsidRPr="00A22041">
        <w:t xml:space="preserve"> Hossain, K Wilmot, S Kelly, Y Kim, P Haywood, B Mulhern, S Goodall, K van Gool, R Viney, T Cumming and M Soeberg, ‘Evaluation of the Victorian Healthy Homes Program: </w:t>
      </w:r>
      <w:r w:rsidR="00341FB3" w:rsidRPr="000B2155">
        <w:t>Protocol</w:t>
      </w:r>
      <w:r w:rsidR="00801482" w:rsidRPr="00A22041">
        <w:t xml:space="preserve"> for a randomised controlled trial’, </w:t>
      </w:r>
      <w:r w:rsidR="00801482" w:rsidRPr="00A22041">
        <w:rPr>
          <w:i/>
        </w:rPr>
        <w:t>BMJ Open</w:t>
      </w:r>
      <w:r w:rsidR="00801482" w:rsidRPr="00A22041">
        <w:t>, 2022, 12(4):</w:t>
      </w:r>
      <w:r w:rsidR="00BF4A47">
        <w:t>e</w:t>
      </w:r>
      <w:r w:rsidR="00801482" w:rsidRPr="00A22041">
        <w:t>053828, doi:10.1136/bmjopen-2021-053828.</w:t>
      </w:r>
    </w:p>
  </w:endnote>
  <w:endnote w:id="323">
    <w:p w14:paraId="3A46191C" w14:textId="46004248" w:rsidR="00801482" w:rsidRPr="00A22041" w:rsidRDefault="00801482" w:rsidP="00BB3490">
      <w:pPr>
        <w:pStyle w:val="EndnoteText"/>
      </w:pPr>
      <w:r w:rsidRPr="00A22041">
        <w:rPr>
          <w:rStyle w:val="EndnoteReference"/>
        </w:rPr>
        <w:endnoteRef/>
      </w:r>
      <w:r w:rsidRPr="00A22041">
        <w:t xml:space="preserve"> </w:t>
      </w:r>
      <w:r w:rsidRPr="000328CD">
        <w:t xml:space="preserve">J Hinchliffe, </w:t>
      </w:r>
      <w:r w:rsidR="008278FF">
        <w:t>‘</w:t>
      </w:r>
      <w:hyperlink r:id="rId190" w:history="1">
        <w:r w:rsidR="00CD58CB" w:rsidRPr="008278FF">
          <w:rPr>
            <w:rStyle w:val="Hyperlink"/>
          </w:rPr>
          <w:t>‘</w:t>
        </w:r>
        <w:r w:rsidR="00A958A1" w:rsidRPr="008278FF">
          <w:rPr>
            <w:rStyle w:val="Hyperlink"/>
          </w:rPr>
          <w:t>I rang the homeless line’: How Queensland’s floods compounded a housing crisis</w:t>
        </w:r>
      </w:hyperlink>
      <w:r w:rsidR="008048D3">
        <w:rPr>
          <w:iCs/>
        </w:rPr>
        <w:t>’,</w:t>
      </w:r>
      <w:r w:rsidRPr="000328CD">
        <w:rPr>
          <w:i/>
        </w:rPr>
        <w:t xml:space="preserve"> The Guardian</w:t>
      </w:r>
      <w:r w:rsidRPr="000328CD">
        <w:t xml:space="preserve">, </w:t>
      </w:r>
      <w:r w:rsidR="00DF076D" w:rsidRPr="000328CD">
        <w:t xml:space="preserve">19 March </w:t>
      </w:r>
      <w:r w:rsidRPr="000328CD">
        <w:t xml:space="preserve">2022, </w:t>
      </w:r>
      <w:r>
        <w:t xml:space="preserve">accessed </w:t>
      </w:r>
      <w:r w:rsidR="005C732A">
        <w:t>21 November 2023</w:t>
      </w:r>
      <w:r>
        <w:t>.</w:t>
      </w:r>
      <w:r w:rsidRPr="00A22041">
        <w:t xml:space="preserve"> </w:t>
      </w:r>
    </w:p>
  </w:endnote>
  <w:endnote w:id="324">
    <w:p w14:paraId="2E3E1181" w14:textId="0B9C7164" w:rsidR="00801482" w:rsidRPr="00A22041" w:rsidRDefault="00801482" w:rsidP="00BB3490">
      <w:pPr>
        <w:pStyle w:val="EndnoteText"/>
      </w:pPr>
      <w:r w:rsidRPr="00A22041">
        <w:rPr>
          <w:rStyle w:val="EndnoteReference"/>
        </w:rPr>
        <w:endnoteRef/>
      </w:r>
      <w:r w:rsidRPr="00A22041">
        <w:t xml:space="preserve"> </w:t>
      </w:r>
      <w:r w:rsidRPr="000328CD">
        <w:t xml:space="preserve">E Clure, </w:t>
      </w:r>
      <w:r w:rsidR="00CD58CB" w:rsidRPr="00CD58CB">
        <w:t>‘</w:t>
      </w:r>
      <w:hyperlink r:id="rId191" w:history="1">
        <w:r w:rsidRPr="000328CD">
          <w:rPr>
            <w:rStyle w:val="Hyperlink"/>
          </w:rPr>
          <w:t>People left homeless by NSW floods say they have ‘fallen through the cracks’</w:t>
        </w:r>
      </w:hyperlink>
      <w:r w:rsidR="009112E5">
        <w:t>’,</w:t>
      </w:r>
      <w:r w:rsidRPr="000328CD">
        <w:t xml:space="preserve"> </w:t>
      </w:r>
      <w:r w:rsidRPr="000328CD">
        <w:rPr>
          <w:i/>
        </w:rPr>
        <w:t>ABC News</w:t>
      </w:r>
      <w:r w:rsidRPr="000328CD">
        <w:t xml:space="preserve">, </w:t>
      </w:r>
      <w:r w:rsidR="008F56AE" w:rsidRPr="000328CD">
        <w:t xml:space="preserve">4 April </w:t>
      </w:r>
      <w:r w:rsidRPr="000328CD">
        <w:t>2022</w:t>
      </w:r>
      <w:r w:rsidRPr="00A22041">
        <w:t xml:space="preserve">, </w:t>
      </w:r>
      <w:r>
        <w:t xml:space="preserve">accessed </w:t>
      </w:r>
      <w:r w:rsidR="005C732A">
        <w:t>21 November 2023</w:t>
      </w:r>
      <w:r w:rsidRPr="00A22041">
        <w:t>.</w:t>
      </w:r>
    </w:p>
  </w:endnote>
  <w:endnote w:id="325">
    <w:p w14:paraId="1E323C89" w14:textId="430E4A3C" w:rsidR="00801482" w:rsidRPr="00A22041" w:rsidRDefault="00801482" w:rsidP="00BB3490">
      <w:pPr>
        <w:pStyle w:val="EndnoteText"/>
      </w:pPr>
      <w:r w:rsidRPr="00A22041">
        <w:rPr>
          <w:rStyle w:val="EndnoteReference"/>
        </w:rPr>
        <w:endnoteRef/>
      </w:r>
      <w:r w:rsidRPr="00A22041">
        <w:t xml:space="preserve"> Internal Displacement Monitoring Centre (IDMC), </w:t>
      </w:r>
      <w:hyperlink r:id="rId192" w:history="1">
        <w:r w:rsidRPr="00A22041">
          <w:rPr>
            <w:rStyle w:val="Hyperlink"/>
            <w:i/>
          </w:rPr>
          <w:t>The 2019-2020 Australian Bushfires: From temporary evacuation to longer-term displacement</w:t>
        </w:r>
      </w:hyperlink>
      <w:r w:rsidRPr="00A22041">
        <w:rPr>
          <w:i/>
        </w:rPr>
        <w:t xml:space="preserve">, </w:t>
      </w:r>
      <w:r w:rsidRPr="00A22041">
        <w:t xml:space="preserve">IDMC, 2020. </w:t>
      </w:r>
    </w:p>
  </w:endnote>
  <w:endnote w:id="326">
    <w:p w14:paraId="08490FDE" w14:textId="5C66897A" w:rsidR="00801482" w:rsidRPr="00A22041" w:rsidRDefault="00801482" w:rsidP="00BB3490">
      <w:pPr>
        <w:pStyle w:val="EndnoteText"/>
      </w:pPr>
      <w:r w:rsidRPr="00A22041">
        <w:rPr>
          <w:rStyle w:val="EndnoteReference"/>
        </w:rPr>
        <w:endnoteRef/>
      </w:r>
      <w:r w:rsidRPr="00A22041">
        <w:t xml:space="preserve"> </w:t>
      </w:r>
      <w:r w:rsidR="00DB5DBE">
        <w:t>Australian</w:t>
      </w:r>
      <w:r w:rsidRPr="00A22041">
        <w:t xml:space="preserve"> Department of Social Services (DSS), </w:t>
      </w:r>
      <w:hyperlink r:id="rId193" w:history="1">
        <w:r w:rsidRPr="00A22041">
          <w:rPr>
            <w:rStyle w:val="Hyperlink"/>
            <w:i/>
          </w:rPr>
          <w:t>Developing the National Housing and Homelessness Plan – Issues Paper</w:t>
        </w:r>
      </w:hyperlink>
      <w:r w:rsidRPr="00A22041">
        <w:t xml:space="preserve">, </w:t>
      </w:r>
      <w:r w:rsidRPr="00E0280A">
        <w:t>DSS, Australian Government, 2023.</w:t>
      </w:r>
      <w:r w:rsidRPr="00A22041">
        <w:t xml:space="preserve"> </w:t>
      </w:r>
    </w:p>
  </w:endnote>
  <w:endnote w:id="327">
    <w:p w14:paraId="75F25EAF" w14:textId="4093CFE6" w:rsidR="00801482" w:rsidRPr="00A22041" w:rsidRDefault="00801482" w:rsidP="00BB3490">
      <w:pPr>
        <w:pStyle w:val="EndnoteText"/>
      </w:pPr>
      <w:r w:rsidRPr="00A22041">
        <w:rPr>
          <w:rStyle w:val="EndnoteReference"/>
        </w:rPr>
        <w:endnoteRef/>
      </w:r>
      <w:r w:rsidRPr="00A22041">
        <w:t xml:space="preserve"> M Bezgrebelna, K McKenzie, S Wells, A Ravindran, M Kral, J Christensen</w:t>
      </w:r>
      <w:r w:rsidR="003756E4">
        <w:t xml:space="preserve">, </w:t>
      </w:r>
      <w:r w:rsidR="00641A75">
        <w:t>V Stergiopoulos</w:t>
      </w:r>
      <w:r w:rsidR="009D6476">
        <w:t>, S Gaetz</w:t>
      </w:r>
      <w:r w:rsidR="007E13C9">
        <w:t xml:space="preserve"> and SA Kidd,</w:t>
      </w:r>
      <w:r w:rsidRPr="00A22041">
        <w:t xml:space="preserve"> ‘Climate Change, Weather, Housing Precarity, and Homelessness: A Systematic Review of Reviews’</w:t>
      </w:r>
      <w:r w:rsidR="00041F34">
        <w:t>,</w:t>
      </w:r>
      <w:r w:rsidRPr="00A22041">
        <w:t xml:space="preserve"> </w:t>
      </w:r>
      <w:r w:rsidRPr="00A22041">
        <w:rPr>
          <w:i/>
        </w:rPr>
        <w:t>Int</w:t>
      </w:r>
      <w:r w:rsidR="00B60168">
        <w:rPr>
          <w:i/>
        </w:rPr>
        <w:t>ernational</w:t>
      </w:r>
      <w:r w:rsidRPr="00A22041">
        <w:rPr>
          <w:i/>
        </w:rPr>
        <w:t xml:space="preserve"> J</w:t>
      </w:r>
      <w:r w:rsidR="00B60168">
        <w:rPr>
          <w:i/>
        </w:rPr>
        <w:t>ournal of</w:t>
      </w:r>
      <w:r w:rsidRPr="00A22041">
        <w:rPr>
          <w:i/>
        </w:rPr>
        <w:t xml:space="preserve"> Environ</w:t>
      </w:r>
      <w:r w:rsidR="00B60168">
        <w:rPr>
          <w:i/>
        </w:rPr>
        <w:t>mental</w:t>
      </w:r>
      <w:r w:rsidRPr="00A22041">
        <w:rPr>
          <w:i/>
        </w:rPr>
        <w:t xml:space="preserve"> Res</w:t>
      </w:r>
      <w:r w:rsidR="00B60168">
        <w:rPr>
          <w:i/>
        </w:rPr>
        <w:t>earch and</w:t>
      </w:r>
      <w:r w:rsidRPr="00A22041">
        <w:rPr>
          <w:i/>
        </w:rPr>
        <w:t xml:space="preserve"> Public Health</w:t>
      </w:r>
      <w:r w:rsidRPr="00A22041">
        <w:rPr>
          <w:iCs/>
        </w:rPr>
        <w:t>,</w:t>
      </w:r>
      <w:r w:rsidRPr="00A22041">
        <w:t xml:space="preserve"> 2021</w:t>
      </w:r>
      <w:r w:rsidRPr="00A22041">
        <w:rPr>
          <w:iCs/>
        </w:rPr>
        <w:t>, 18(11):5812, doi:</w:t>
      </w:r>
      <w:r w:rsidRPr="00A22041">
        <w:t>10.3390/ijerph18115812</w:t>
      </w:r>
      <w:r w:rsidR="0054200D">
        <w:t>.</w:t>
      </w:r>
    </w:p>
  </w:endnote>
  <w:endnote w:id="328">
    <w:p w14:paraId="6A35D722" w14:textId="7B102F54" w:rsidR="000A014E" w:rsidRPr="00A22041" w:rsidRDefault="000A014E" w:rsidP="00BB3490">
      <w:pPr>
        <w:pStyle w:val="EndnoteText"/>
      </w:pPr>
      <w:r w:rsidRPr="00A22041">
        <w:rPr>
          <w:rStyle w:val="EndnoteReference"/>
        </w:rPr>
        <w:endnoteRef/>
      </w:r>
      <w:r w:rsidRPr="00A22041">
        <w:t xml:space="preserve"> Australian Institute of Health and Welfare (AIHW), </w:t>
      </w:r>
      <w:hyperlink r:id="rId194" w:history="1">
        <w:r w:rsidR="00C50495">
          <w:rPr>
            <w:rStyle w:val="Hyperlink"/>
            <w:i/>
          </w:rPr>
          <w:t>Australia’s health 2020: in brief</w:t>
        </w:r>
      </w:hyperlink>
      <w:r w:rsidRPr="00A22041">
        <w:t xml:space="preserve">, AIHW, Australian Government, 2020. </w:t>
      </w:r>
    </w:p>
  </w:endnote>
  <w:endnote w:id="329">
    <w:p w14:paraId="201CDB81" w14:textId="04ED8DC6" w:rsidR="00392B5C" w:rsidRPr="00EE7540" w:rsidRDefault="00392B5C" w:rsidP="00BB3490">
      <w:pPr>
        <w:pStyle w:val="EndnoteText"/>
      </w:pPr>
      <w:r w:rsidRPr="00F902D0">
        <w:rPr>
          <w:rStyle w:val="EndnoteReference"/>
          <w:color w:val="000000" w:themeColor="text1"/>
        </w:rPr>
        <w:endnoteRef/>
      </w:r>
      <w:r w:rsidRPr="00F902D0">
        <w:rPr>
          <w:color w:val="000000" w:themeColor="text1"/>
        </w:rPr>
        <w:t xml:space="preserve"> </w:t>
      </w:r>
      <w:r w:rsidR="007365F9">
        <w:t xml:space="preserve">P </w:t>
      </w:r>
      <w:r w:rsidR="0038092C">
        <w:t>Pholeros, T Lea, S Rainow, T S</w:t>
      </w:r>
      <w:r w:rsidR="00D1694D">
        <w:t>owerbutts and PJ Torzillo</w:t>
      </w:r>
      <w:r w:rsidR="00822D1C">
        <w:t xml:space="preserve">, </w:t>
      </w:r>
      <w:r w:rsidR="009F56B3">
        <w:t xml:space="preserve">‘Improving the </w:t>
      </w:r>
      <w:r w:rsidR="009A05F5" w:rsidRPr="009A05F5">
        <w:t>state of health hardware in Australian Indigenous housing: building more houses is not the only answer</w:t>
      </w:r>
      <w:r w:rsidR="009A05F5">
        <w:t xml:space="preserve">’, </w:t>
      </w:r>
      <w:r w:rsidR="00667626">
        <w:rPr>
          <w:i/>
          <w:iCs/>
        </w:rPr>
        <w:t xml:space="preserve">International Journal of </w:t>
      </w:r>
      <w:r w:rsidR="00EE7540">
        <w:rPr>
          <w:i/>
          <w:iCs/>
        </w:rPr>
        <w:t>Circumpolar Health</w:t>
      </w:r>
      <w:r w:rsidR="00EE7540">
        <w:t>, 20</w:t>
      </w:r>
      <w:r w:rsidR="005F7C4B">
        <w:t>13</w:t>
      </w:r>
      <w:r w:rsidR="00A773F2">
        <w:t>, 72</w:t>
      </w:r>
      <w:r w:rsidR="000C72C1">
        <w:t>:1-6</w:t>
      </w:r>
      <w:r w:rsidR="00A773F2">
        <w:t>, doi:</w:t>
      </w:r>
      <w:r w:rsidR="00FB6624">
        <w:t>10.</w:t>
      </w:r>
      <w:r w:rsidR="00041343">
        <w:t>3402/ijch.v</w:t>
      </w:r>
      <w:r w:rsidR="009B3568">
        <w:t>72i0</w:t>
      </w:r>
      <w:r w:rsidR="00940233">
        <w:t xml:space="preserve">.21181. </w:t>
      </w:r>
    </w:p>
  </w:endnote>
  <w:endnote w:id="330">
    <w:p w14:paraId="2E8B1955" w14:textId="59EF22AA" w:rsidR="000A014E" w:rsidRPr="00A22041" w:rsidRDefault="000A014E" w:rsidP="00BB3490">
      <w:pPr>
        <w:pStyle w:val="EndnoteText"/>
      </w:pPr>
      <w:r w:rsidRPr="00A22041">
        <w:rPr>
          <w:rStyle w:val="EndnoteReference"/>
        </w:rPr>
        <w:endnoteRef/>
      </w:r>
      <w:r w:rsidRPr="00A22041">
        <w:t xml:space="preserve"> S Quilty, NF Jupurrurla, RS Bailie and RL Gruen, ‘Climate, housing, energy and Indigenous health: A call to action’, </w:t>
      </w:r>
      <w:r w:rsidR="006F2D6F">
        <w:rPr>
          <w:i/>
          <w:iCs/>
        </w:rPr>
        <w:t xml:space="preserve">The </w:t>
      </w:r>
      <w:r w:rsidRPr="00A22041">
        <w:rPr>
          <w:i/>
        </w:rPr>
        <w:t>Medical Journal of Australia</w:t>
      </w:r>
      <w:r w:rsidRPr="00A22041">
        <w:t>, 2022, 217(1):9-12, doi:</w:t>
      </w:r>
      <w:r w:rsidR="00F167C2" w:rsidRPr="00EA721B">
        <w:t>10.5694/mja2.51610</w:t>
      </w:r>
      <w:r w:rsidRPr="00A22041">
        <w:t>.</w:t>
      </w:r>
    </w:p>
  </w:endnote>
  <w:endnote w:id="331">
    <w:p w14:paraId="29578D86" w14:textId="31248B10" w:rsidR="000A014E" w:rsidRPr="00A22041" w:rsidRDefault="000A014E" w:rsidP="00BB3490">
      <w:pPr>
        <w:pStyle w:val="EndnoteText"/>
      </w:pPr>
      <w:r w:rsidRPr="00A22041">
        <w:rPr>
          <w:rStyle w:val="EndnoteReference"/>
        </w:rPr>
        <w:endnoteRef/>
      </w:r>
      <w:r w:rsidRPr="00A22041">
        <w:t xml:space="preserve"> </w:t>
      </w:r>
      <w:r w:rsidR="00DB5DBE">
        <w:t>Australian</w:t>
      </w:r>
      <w:r w:rsidRPr="00A22041">
        <w:t xml:space="preserve"> </w:t>
      </w:r>
      <w:r w:rsidR="007F0881">
        <w:t>Department of Social Services</w:t>
      </w:r>
      <w:r w:rsidR="0034168D">
        <w:t xml:space="preserve"> (DSS)</w:t>
      </w:r>
      <w:r w:rsidR="0036157C">
        <w:t>,</w:t>
      </w:r>
      <w:r w:rsidR="003F7DC6">
        <w:t xml:space="preserve"> </w:t>
      </w:r>
      <w:hyperlink r:id="rId195" w:history="1">
        <w:r w:rsidR="0072436D">
          <w:rPr>
            <w:rStyle w:val="Hyperlink"/>
            <w:i/>
          </w:rPr>
          <w:t>Aboriginal &amp; Torres Strait Islander Housing Sector Strengthening Plan</w:t>
        </w:r>
        <w:r w:rsidR="0072436D" w:rsidRPr="00D74ABE">
          <w:rPr>
            <w:rStyle w:val="Hyperlink"/>
            <w:iCs/>
          </w:rPr>
          <w:t xml:space="preserve"> [PDF 670KB]</w:t>
        </w:r>
      </w:hyperlink>
      <w:r w:rsidR="00AA2ED4" w:rsidRPr="00A566AF">
        <w:t>,</w:t>
      </w:r>
      <w:r w:rsidR="00AA2ED4" w:rsidRPr="00AA2ED4">
        <w:t xml:space="preserve"> DSS, Australian Government, 2022.</w:t>
      </w:r>
    </w:p>
  </w:endnote>
  <w:endnote w:id="332">
    <w:p w14:paraId="24DAFF32" w14:textId="0AD2E2FE" w:rsidR="001947AF" w:rsidRPr="00A22041" w:rsidRDefault="001947AF" w:rsidP="00BB3490">
      <w:pPr>
        <w:pStyle w:val="EndnoteText"/>
      </w:pPr>
      <w:r w:rsidRPr="00A22041">
        <w:rPr>
          <w:rStyle w:val="EndnoteReference"/>
        </w:rPr>
        <w:endnoteRef/>
      </w:r>
      <w:r w:rsidRPr="00A22041">
        <w:t xml:space="preserve"> </w:t>
      </w:r>
      <w:r w:rsidR="00DB5DBE">
        <w:t>Australian</w:t>
      </w:r>
      <w:r w:rsidRPr="00A22041">
        <w:t xml:space="preserve"> Department of Health, </w:t>
      </w:r>
      <w:hyperlink r:id="rId196" w:history="1">
        <w:r w:rsidRPr="00A22041">
          <w:rPr>
            <w:rStyle w:val="Hyperlink"/>
            <w:i/>
            <w:iCs/>
          </w:rPr>
          <w:t>Physical activity and exercise guidelines for all Australians: For adults (18 to 64 years)</w:t>
        </w:r>
      </w:hyperlink>
      <w:r w:rsidRPr="00A22041">
        <w:t xml:space="preserve">, </w:t>
      </w:r>
      <w:r w:rsidR="00571603">
        <w:t>Australian Department of Health</w:t>
      </w:r>
      <w:r w:rsidRPr="00A22041">
        <w:t xml:space="preserve"> </w:t>
      </w:r>
      <w:r w:rsidR="008A47F3">
        <w:t>w</w:t>
      </w:r>
      <w:r w:rsidRPr="00A22041">
        <w:t xml:space="preserve">ebsite, 2021, </w:t>
      </w:r>
      <w:r>
        <w:t xml:space="preserve">accessed </w:t>
      </w:r>
      <w:r w:rsidR="00A30080">
        <w:t>21 November 2023</w:t>
      </w:r>
      <w:r>
        <w:t>.</w:t>
      </w:r>
    </w:p>
  </w:endnote>
  <w:endnote w:id="333">
    <w:p w14:paraId="23932553" w14:textId="17BEEE7D" w:rsidR="00F15B23" w:rsidRPr="00A22041" w:rsidRDefault="00F15B23" w:rsidP="00BB3490">
      <w:pPr>
        <w:pStyle w:val="EndnoteText"/>
      </w:pPr>
      <w:r w:rsidRPr="00A22041">
        <w:rPr>
          <w:rStyle w:val="EndnoteReference"/>
        </w:rPr>
        <w:endnoteRef/>
      </w:r>
      <w:r w:rsidRPr="00A22041">
        <w:t xml:space="preserve"> Australian Institute of Health and Welfare (AIHW), </w:t>
      </w:r>
      <w:hyperlink r:id="rId197" w:history="1">
        <w:r w:rsidR="00165307" w:rsidRPr="00986031">
          <w:rPr>
            <w:rStyle w:val="Hyperlink"/>
            <w:i/>
            <w:iCs/>
          </w:rPr>
          <w:t>Physical activity and exercise</w:t>
        </w:r>
      </w:hyperlink>
      <w:r w:rsidR="00165307">
        <w:t xml:space="preserve">, </w:t>
      </w:r>
      <w:r w:rsidRPr="00A22041">
        <w:t xml:space="preserve">AIHW </w:t>
      </w:r>
      <w:r w:rsidR="006E35E2">
        <w:t>w</w:t>
      </w:r>
      <w:r w:rsidRPr="00A22041">
        <w:t xml:space="preserve">ebsite, Australian Government, </w:t>
      </w:r>
      <w:r w:rsidR="00FC06E1">
        <w:t>n.d.</w:t>
      </w:r>
      <w:r w:rsidRPr="00A22041">
        <w:t xml:space="preserve">, </w:t>
      </w:r>
      <w:r>
        <w:t xml:space="preserve">accessed </w:t>
      </w:r>
      <w:r w:rsidR="00A30080">
        <w:t>21 November 2023.</w:t>
      </w:r>
    </w:p>
  </w:endnote>
  <w:endnote w:id="334">
    <w:p w14:paraId="5F0BB24C" w14:textId="48FE01BA" w:rsidR="00F15B23" w:rsidRPr="00A22041" w:rsidRDefault="00F15B23" w:rsidP="00BB3490">
      <w:pPr>
        <w:pStyle w:val="EndnoteText"/>
      </w:pPr>
      <w:r w:rsidRPr="00A22041">
        <w:rPr>
          <w:rStyle w:val="EndnoteReference"/>
        </w:rPr>
        <w:endnoteRef/>
      </w:r>
      <w:r w:rsidRPr="00A22041">
        <w:t xml:space="preserve"> Australian Bureau of Statistics (ABS), </w:t>
      </w:r>
      <w:hyperlink r:id="rId198" w:history="1">
        <w:r w:rsidRPr="000346F7">
          <w:rPr>
            <w:rStyle w:val="Hyperlink"/>
            <w:i/>
          </w:rPr>
          <w:t>Microdata: National Health Survey, 2020–21</w:t>
        </w:r>
      </w:hyperlink>
      <w:r w:rsidR="000346F7">
        <w:rPr>
          <w:i/>
        </w:rPr>
        <w:t xml:space="preserve"> </w:t>
      </w:r>
      <w:r w:rsidR="000346F7" w:rsidRPr="00D36937">
        <w:t>[TableBuilder]</w:t>
      </w:r>
      <w:r w:rsidRPr="00A22041">
        <w:t>, ABS</w:t>
      </w:r>
      <w:r w:rsidR="000346F7">
        <w:t xml:space="preserve"> website</w:t>
      </w:r>
      <w:r w:rsidRPr="00A22041">
        <w:t>, 2023</w:t>
      </w:r>
      <w:r w:rsidR="000346F7">
        <w:t xml:space="preserve">, accessed </w:t>
      </w:r>
      <w:r w:rsidR="00A30080">
        <w:t>21 November 2023.</w:t>
      </w:r>
    </w:p>
  </w:endnote>
  <w:endnote w:id="335">
    <w:p w14:paraId="6E48EE94" w14:textId="55340D1C" w:rsidR="008B2EA1" w:rsidRPr="00A22041" w:rsidRDefault="008B2EA1" w:rsidP="00BB3490">
      <w:pPr>
        <w:pStyle w:val="EndnoteText"/>
      </w:pPr>
      <w:r w:rsidRPr="00A22041">
        <w:rPr>
          <w:rStyle w:val="EndnoteReference"/>
        </w:rPr>
        <w:endnoteRef/>
      </w:r>
      <w:r w:rsidRPr="00A22041">
        <w:t xml:space="preserve"> S Khomenko, M Nieuwenhuijsen, A Ambros, S Wegener and N Mueller, ‘Is a liveable city a healthy city? Health impacts of urban and transport planning in Vienna, Austria’, </w:t>
      </w:r>
      <w:r w:rsidRPr="00A22041">
        <w:rPr>
          <w:i/>
        </w:rPr>
        <w:t>Environmental Research</w:t>
      </w:r>
      <w:r w:rsidRPr="00A22041">
        <w:t>, 2020, 183:109238, doi:</w:t>
      </w:r>
      <w:r w:rsidR="00AB6E6D" w:rsidRPr="009D5D65">
        <w:t>10.1016/j.envres.2020.109238</w:t>
      </w:r>
      <w:r w:rsidR="00AB555A">
        <w:t>.</w:t>
      </w:r>
    </w:p>
  </w:endnote>
  <w:endnote w:id="336">
    <w:p w14:paraId="7EF591D5" w14:textId="0DFC3A8B" w:rsidR="008B2EA1" w:rsidRPr="00A22041" w:rsidRDefault="008B2EA1" w:rsidP="00BB3490">
      <w:pPr>
        <w:pStyle w:val="EndnoteText"/>
      </w:pPr>
      <w:r w:rsidRPr="00A22041">
        <w:rPr>
          <w:rStyle w:val="EndnoteReference"/>
        </w:rPr>
        <w:endnoteRef/>
      </w:r>
      <w:r w:rsidR="00F76FEA">
        <w:t xml:space="preserve"> </w:t>
      </w:r>
      <w:r w:rsidRPr="00A22041">
        <w:t>M Nieuwenhuijsen, ‘Urban and transport planning pathways to carbon neutral, liveable and</w:t>
      </w:r>
    </w:p>
    <w:p w14:paraId="2DE89224" w14:textId="4B49156A" w:rsidR="00F15B23" w:rsidRPr="00A22041" w:rsidRDefault="008B2EA1" w:rsidP="00BB3490">
      <w:pPr>
        <w:pStyle w:val="EndnoteText"/>
      </w:pPr>
      <w:r w:rsidRPr="00A22041">
        <w:t>healthy cities; A review of the current evidence</w:t>
      </w:r>
      <w:r w:rsidR="006A6B09">
        <w:t>’,</w:t>
      </w:r>
      <w:r w:rsidRPr="00A22041">
        <w:t xml:space="preserve"> </w:t>
      </w:r>
      <w:r w:rsidRPr="00A22041">
        <w:rPr>
          <w:i/>
        </w:rPr>
        <w:t>Environment International</w:t>
      </w:r>
      <w:r w:rsidRPr="00A22041">
        <w:t>, 2020, 140:105661, doi:</w:t>
      </w:r>
      <w:r w:rsidR="00AB6E6D" w:rsidRPr="009D5D65">
        <w:t>10.1016/j.envint.2020.105661</w:t>
      </w:r>
      <w:r w:rsidR="00AB555A">
        <w:t>.</w:t>
      </w:r>
    </w:p>
  </w:endnote>
  <w:endnote w:id="337">
    <w:p w14:paraId="5080A22C" w14:textId="6D2CB2C2" w:rsidR="00F15B23" w:rsidRPr="00A22041" w:rsidRDefault="00F15B23" w:rsidP="00BB3490">
      <w:pPr>
        <w:pStyle w:val="EndnoteText"/>
      </w:pPr>
      <w:r w:rsidRPr="00A22041">
        <w:rPr>
          <w:rStyle w:val="EndnoteReference"/>
        </w:rPr>
        <w:endnoteRef/>
      </w:r>
      <w:r w:rsidRPr="00A22041">
        <w:t xml:space="preserve"> J Arundel, M Lowe, P Hooper, R Roberts, J Rozek, C Higgs and B Giles-Corti, </w:t>
      </w:r>
      <w:hyperlink r:id="rId199" w:history="1">
        <w:r w:rsidRPr="00A22041">
          <w:rPr>
            <w:rStyle w:val="Hyperlink"/>
            <w:i/>
            <w:iCs/>
          </w:rPr>
          <w:t>Creating liveable cities in Australia: Mapping urban policy implementation and evidence-based national liveability indicators</w:t>
        </w:r>
      </w:hyperlink>
      <w:r w:rsidRPr="00A22041">
        <w:t>, Healthy Liveable Cities Group</w:t>
      </w:r>
      <w:r w:rsidR="00AB555A">
        <w:t>, Centre for Urban Research,</w:t>
      </w:r>
      <w:r w:rsidRPr="00A22041">
        <w:t xml:space="preserve"> </w:t>
      </w:r>
      <w:r w:rsidR="00F123C0" w:rsidRPr="00F123C0">
        <w:t>Royal Melbourne Institute of Technology</w:t>
      </w:r>
      <w:r w:rsidRPr="00A22041">
        <w:t>, 2017.</w:t>
      </w:r>
    </w:p>
  </w:endnote>
  <w:endnote w:id="338">
    <w:p w14:paraId="71DA6525" w14:textId="50A35C2A" w:rsidR="00F15B23" w:rsidRPr="00A22041" w:rsidRDefault="00F15B23" w:rsidP="00BB3490">
      <w:pPr>
        <w:pStyle w:val="EndnoteText"/>
      </w:pPr>
      <w:r w:rsidRPr="00A22041">
        <w:rPr>
          <w:rStyle w:val="EndnoteReference"/>
        </w:rPr>
        <w:endnoteRef/>
      </w:r>
      <w:r w:rsidRPr="00A22041">
        <w:t xml:space="preserve"> B Giles-Corti, T Saghapour, G Turrell, L Gunn, A Both, M Lowe</w:t>
      </w:r>
      <w:r w:rsidR="0037667C">
        <w:t xml:space="preserve">, J Rozek, R Roberts, P Hooper, A Butt and C Higgs, </w:t>
      </w:r>
      <w:r w:rsidRPr="00A22041">
        <w:t xml:space="preserve">‘Spatial and socioeconomic inequities in liveability in Australia’s 21 largest cities: Does city size matter?’, </w:t>
      </w:r>
      <w:r w:rsidRPr="00A22041">
        <w:rPr>
          <w:i/>
        </w:rPr>
        <w:t>Health &amp; Place</w:t>
      </w:r>
      <w:r w:rsidRPr="00A22041">
        <w:t>, 2022, 78:102899, doi:</w:t>
      </w:r>
      <w:r w:rsidR="00AB6E6D" w:rsidRPr="009D5D65">
        <w:t>10.1016/j.healthplace.2022.102899</w:t>
      </w:r>
      <w:r w:rsidR="007B7DDF">
        <w:t>.</w:t>
      </w:r>
    </w:p>
  </w:endnote>
  <w:endnote w:id="339">
    <w:p w14:paraId="7DB7CFB9" w14:textId="476D675A" w:rsidR="008B2EA1" w:rsidRPr="00A22041" w:rsidRDefault="008B2EA1" w:rsidP="00BB3490">
      <w:pPr>
        <w:pStyle w:val="EndnoteText"/>
      </w:pPr>
      <w:r w:rsidRPr="00A22041">
        <w:rPr>
          <w:rStyle w:val="EndnoteReference"/>
        </w:rPr>
        <w:endnoteRef/>
      </w:r>
      <w:r w:rsidRPr="00A22041">
        <w:t xml:space="preserve"> R </w:t>
      </w:r>
      <w:r w:rsidRPr="004023D7">
        <w:t xml:space="preserve">Goel, A Goodman, R Aldred, R Nakamura, L Tatah, LMT Garcia, B Zapata-Diomedi, TH de Sa, G Tiwari, A de </w:t>
      </w:r>
      <w:r w:rsidR="004023D7" w:rsidRPr="004023D7">
        <w:t>Nazelle, M Tainio, R Buehler, T Götschi and J Woodcock</w:t>
      </w:r>
      <w:r w:rsidRPr="00A22041">
        <w:t xml:space="preserve">, ‘Cycling behaviour in 17 countries across 6 continents: levels of cycling, who cycles, for what purpose, and how far?’, </w:t>
      </w:r>
      <w:r w:rsidRPr="00A22041">
        <w:rPr>
          <w:i/>
        </w:rPr>
        <w:t>Transport Reviews</w:t>
      </w:r>
      <w:r w:rsidRPr="00A22041">
        <w:t>, 2022, 42(1):58-81, doi:10.1080/01441647.2021.1915898.</w:t>
      </w:r>
    </w:p>
  </w:endnote>
  <w:endnote w:id="340">
    <w:p w14:paraId="6267439C" w14:textId="4ADCD19B" w:rsidR="00F15B23" w:rsidRPr="00A22041" w:rsidRDefault="00F15B23" w:rsidP="00BB3490">
      <w:pPr>
        <w:pStyle w:val="EndnoteText"/>
      </w:pPr>
      <w:r w:rsidRPr="00A22041">
        <w:rPr>
          <w:rStyle w:val="EndnoteReference"/>
        </w:rPr>
        <w:endnoteRef/>
      </w:r>
      <w:r w:rsidRPr="00A22041">
        <w:t xml:space="preserve"> M Stevenson, J Thompson, TH de Sa, R Ewing, D Mohan, R McClure</w:t>
      </w:r>
      <w:r w:rsidR="00C67015">
        <w:t xml:space="preserve">, </w:t>
      </w:r>
      <w:r w:rsidR="00EB0BC3">
        <w:t xml:space="preserve">I Roberts, G Tiwari, B Giles-Corti, J Sallis, X Sun, M Wallace and J Woodcock, </w:t>
      </w:r>
      <w:r w:rsidRPr="00A22041">
        <w:t>‘Land use, transport, and population health: estimating the health benefits of compact cities’</w:t>
      </w:r>
      <w:r w:rsidR="0097551F">
        <w:t>,</w:t>
      </w:r>
      <w:r w:rsidRPr="00A22041">
        <w:t xml:space="preserve"> </w:t>
      </w:r>
      <w:r w:rsidRPr="00A22041">
        <w:rPr>
          <w:i/>
        </w:rPr>
        <w:t xml:space="preserve">The Lancet, </w:t>
      </w:r>
      <w:r w:rsidRPr="00A22041">
        <w:t>2016, 388(10062):2925-2935, doi:10.1016/S0140-6736(16)30067-8.</w:t>
      </w:r>
    </w:p>
  </w:endnote>
  <w:endnote w:id="341">
    <w:p w14:paraId="6067B89F" w14:textId="62C6E058" w:rsidR="001C45FA" w:rsidRPr="00A22041" w:rsidRDefault="001C45FA" w:rsidP="00BB3490">
      <w:pPr>
        <w:pStyle w:val="EndnoteText"/>
      </w:pPr>
      <w:r w:rsidRPr="00A22041">
        <w:rPr>
          <w:rStyle w:val="EndnoteReference"/>
        </w:rPr>
        <w:endnoteRef/>
      </w:r>
      <w:r w:rsidR="00F76FEA">
        <w:t xml:space="preserve"> </w:t>
      </w:r>
      <w:r w:rsidRPr="00A22041">
        <w:t xml:space="preserve">I Hamilton, H Kennard, A McGushin, L Höglund-Isaksson, G Kiesewetter, M Lott, J Milner, P Purohit, P Rafaj, R </w:t>
      </w:r>
      <w:r w:rsidR="004023D7" w:rsidRPr="004023D7">
        <w:t>Sharma, M Springmann, J Woodcock and N Watts</w:t>
      </w:r>
      <w:r w:rsidRPr="00A22041">
        <w:t xml:space="preserve">, ‘The public health implications of the Paris Agreement: a modelling study’, </w:t>
      </w:r>
      <w:r w:rsidRPr="00A22041">
        <w:rPr>
          <w:i/>
        </w:rPr>
        <w:t>The Lancet Planetary Health</w:t>
      </w:r>
      <w:r w:rsidRPr="00A22041">
        <w:t>, 2021, 5(2):E74-E83, doi:</w:t>
      </w:r>
      <w:r w:rsidR="00AB6E6D" w:rsidRPr="009D5D65">
        <w:t>10.1016/S2542-5196(20)30249-7</w:t>
      </w:r>
      <w:r w:rsidRPr="00A22041">
        <w:t>.</w:t>
      </w:r>
    </w:p>
  </w:endnote>
  <w:endnote w:id="342">
    <w:p w14:paraId="06229976" w14:textId="67704942" w:rsidR="001C45FA" w:rsidRPr="00A22041" w:rsidRDefault="001C45FA" w:rsidP="00BB3490">
      <w:pPr>
        <w:pStyle w:val="EndnoteText"/>
      </w:pPr>
      <w:r w:rsidRPr="00A22041">
        <w:rPr>
          <w:rStyle w:val="EndnoteReference"/>
        </w:rPr>
        <w:endnoteRef/>
      </w:r>
      <w:r w:rsidRPr="00A22041">
        <w:t xml:space="preserve"> T Xia, M Nitschke, Y Zhang, P Shah, S Crabb and A Hansen, ‘Traffic-related air pollution and health co-benefits of alternative transport in Adelaide, South Australia’, </w:t>
      </w:r>
      <w:r w:rsidRPr="00A22041">
        <w:rPr>
          <w:i/>
        </w:rPr>
        <w:t>Environment International</w:t>
      </w:r>
      <w:r w:rsidRPr="00A22041">
        <w:t>, 2015, 74</w:t>
      </w:r>
      <w:r w:rsidR="007A0E5A">
        <w:t>:</w:t>
      </w:r>
      <w:r w:rsidRPr="00A22041">
        <w:t xml:space="preserve">281-290, </w:t>
      </w:r>
      <w:r w:rsidR="004023D7" w:rsidRPr="004023D7">
        <w:t>http://dx.doi.org/10.1016/j.envint.2014.10.004.</w:t>
      </w:r>
    </w:p>
  </w:endnote>
  <w:endnote w:id="343">
    <w:p w14:paraId="7865F458" w14:textId="6567D423" w:rsidR="001C45FA" w:rsidRPr="00A22041" w:rsidRDefault="001C45FA" w:rsidP="00BB3490">
      <w:pPr>
        <w:pStyle w:val="EndnoteText"/>
      </w:pPr>
      <w:r w:rsidRPr="00A22041">
        <w:rPr>
          <w:rStyle w:val="EndnoteReference"/>
        </w:rPr>
        <w:endnoteRef/>
      </w:r>
      <w:r w:rsidRPr="00A22041">
        <w:t xml:space="preserve"> S Kahlmeier, N Cavill, M Thondoo, H Rutter, TH de Sa, F Racioppi and T Gotschi, ‘The Health Economic Assessment Tool (HEAT) for walking and cycling – experiences from 10 years of application of a health impact assessment tool in policy and practice’, </w:t>
      </w:r>
      <w:r w:rsidRPr="00A22041">
        <w:rPr>
          <w:i/>
        </w:rPr>
        <w:t>Frontiers in Sports and Active Living</w:t>
      </w:r>
      <w:r w:rsidRPr="00A22041">
        <w:t>, 2023, 5</w:t>
      </w:r>
      <w:r w:rsidR="005C40CA">
        <w:t>:</w:t>
      </w:r>
      <w:r w:rsidRPr="00A22041">
        <w:t>1146761</w:t>
      </w:r>
      <w:r w:rsidR="00CA7951">
        <w:t xml:space="preserve">, </w:t>
      </w:r>
      <w:r w:rsidR="00CA7951" w:rsidRPr="00CA7951">
        <w:t>doi:10.3389/fspor.2023.1146761</w:t>
      </w:r>
      <w:r w:rsidR="00CA7951">
        <w:t>.</w:t>
      </w:r>
    </w:p>
  </w:endnote>
  <w:endnote w:id="344">
    <w:p w14:paraId="7A5BC1CF" w14:textId="639AED57" w:rsidR="001C45FA" w:rsidRPr="00A22041" w:rsidRDefault="001C45FA" w:rsidP="00BB3490">
      <w:pPr>
        <w:pStyle w:val="EndnoteText"/>
      </w:pPr>
      <w:r w:rsidRPr="00A22041">
        <w:rPr>
          <w:rStyle w:val="EndnoteReference"/>
        </w:rPr>
        <w:endnoteRef/>
      </w:r>
      <w:r w:rsidR="00F76FEA">
        <w:t xml:space="preserve"> </w:t>
      </w:r>
      <w:r w:rsidRPr="00A22041">
        <w:t>N Mueller, D Rojas-Rueda, T Cole-Hunter, A de Nazelle, E Dons, R Gerike, T Gotschi, L Int Panis, S Kahlmeier</w:t>
      </w:r>
      <w:r w:rsidR="00DB1C3F">
        <w:t xml:space="preserve"> and</w:t>
      </w:r>
      <w:r w:rsidRPr="00A22041">
        <w:t xml:space="preserve"> M Nieuwenhuijsen, ‘Health impact assessment of active transportation: a systematic review’, </w:t>
      </w:r>
      <w:r w:rsidRPr="00A22041">
        <w:rPr>
          <w:i/>
        </w:rPr>
        <w:t>Preventive Medicine</w:t>
      </w:r>
      <w:r w:rsidRPr="00A22041">
        <w:t>, 2015, 76</w:t>
      </w:r>
      <w:r w:rsidR="004F772E">
        <w:t>:</w:t>
      </w:r>
      <w:r w:rsidRPr="00A22041">
        <w:t>103-114, doi:</w:t>
      </w:r>
      <w:r w:rsidR="00AB6E6D" w:rsidRPr="009D5D65">
        <w:t>10.1016/j.ypmed.2015.04.010</w:t>
      </w:r>
      <w:r w:rsidRPr="00A22041">
        <w:t>.</w:t>
      </w:r>
    </w:p>
  </w:endnote>
  <w:endnote w:id="345">
    <w:p w14:paraId="2CB5F225" w14:textId="622CFC9C" w:rsidR="008B2A7F" w:rsidRPr="00814F96" w:rsidRDefault="008B2A7F" w:rsidP="00BB3490">
      <w:pPr>
        <w:pStyle w:val="EndnoteText"/>
        <w:rPr>
          <w:highlight w:val="red"/>
        </w:rPr>
      </w:pPr>
      <w:r w:rsidRPr="00083AAA">
        <w:rPr>
          <w:rStyle w:val="EndnoteReference"/>
        </w:rPr>
        <w:endnoteRef/>
      </w:r>
      <w:r w:rsidRPr="00083AAA">
        <w:t xml:space="preserve"> Transport Scotland, </w:t>
      </w:r>
      <w:hyperlink r:id="rId200" w:history="1">
        <w:r w:rsidR="0002510F">
          <w:rPr>
            <w:rStyle w:val="Hyperlink"/>
            <w:i/>
            <w:iCs/>
          </w:rPr>
          <w:t>Interventions to address common barriers to active travel</w:t>
        </w:r>
      </w:hyperlink>
      <w:r w:rsidR="003352FC">
        <w:t xml:space="preserve">, </w:t>
      </w:r>
      <w:r w:rsidR="00D9667E">
        <w:t>Transport Scotland website</w:t>
      </w:r>
      <w:r w:rsidR="003352FC">
        <w:t>, n.d., a</w:t>
      </w:r>
      <w:r w:rsidRPr="004F772E">
        <w:t>ccessed 7 November 2023.</w:t>
      </w:r>
    </w:p>
  </w:endnote>
  <w:endnote w:id="346">
    <w:p w14:paraId="5B1746AA" w14:textId="606D00AF" w:rsidR="008B2A7F" w:rsidRPr="003312CD" w:rsidRDefault="008B2A7F" w:rsidP="00BB3490">
      <w:pPr>
        <w:pStyle w:val="EndnoteText"/>
      </w:pPr>
      <w:r w:rsidRPr="00083AAA">
        <w:rPr>
          <w:rStyle w:val="EndnoteReference"/>
        </w:rPr>
        <w:endnoteRef/>
      </w:r>
      <w:r w:rsidRPr="00BA498C">
        <w:t xml:space="preserve"> N Cavill and A Davis, </w:t>
      </w:r>
      <w:hyperlink r:id="rId201" w:history="1">
        <w:r w:rsidRPr="00E84955">
          <w:rPr>
            <w:rStyle w:val="Hyperlink"/>
            <w:i/>
            <w:iCs/>
          </w:rPr>
          <w:t>Active travel and mid-life</w:t>
        </w:r>
        <w:r w:rsidR="00C478FA" w:rsidRPr="00E84955">
          <w:rPr>
            <w:rStyle w:val="Hyperlink"/>
            <w:i/>
            <w:iCs/>
          </w:rPr>
          <w:t xml:space="preserve">: </w:t>
        </w:r>
        <w:r w:rsidR="009B2ABA" w:rsidRPr="009B2ABA">
          <w:rPr>
            <w:rStyle w:val="Hyperlink"/>
            <w:i/>
            <w:iCs/>
          </w:rPr>
          <w:t>Understanding the barriers and enablers to active travel</w:t>
        </w:r>
      </w:hyperlink>
      <w:r w:rsidR="00C478FA">
        <w:t>,</w:t>
      </w:r>
      <w:r w:rsidRPr="00BA498C">
        <w:t xml:space="preserve"> Centre for Ag</w:t>
      </w:r>
      <w:r w:rsidR="00DC1392">
        <w:t>e</w:t>
      </w:r>
      <w:r w:rsidRPr="00BA498C">
        <w:t>ing Better</w:t>
      </w:r>
      <w:r>
        <w:t xml:space="preserve">, </w:t>
      </w:r>
      <w:r w:rsidRPr="00BA498C">
        <w:t>2021</w:t>
      </w:r>
      <w:r w:rsidR="004F772E">
        <w:t>.</w:t>
      </w:r>
      <w:r w:rsidRPr="00083AAA">
        <w:t xml:space="preserve"> </w:t>
      </w:r>
    </w:p>
  </w:endnote>
  <w:endnote w:id="347">
    <w:p w14:paraId="4630E126" w14:textId="3FBDAFB5" w:rsidR="00473BA6" w:rsidRPr="00A22041" w:rsidRDefault="00473BA6" w:rsidP="00BB3490">
      <w:pPr>
        <w:pStyle w:val="EndnoteText"/>
      </w:pPr>
      <w:r w:rsidRPr="00A22041">
        <w:rPr>
          <w:rStyle w:val="EndnoteReference"/>
        </w:rPr>
        <w:endnoteRef/>
      </w:r>
      <w:r w:rsidRPr="00A22041">
        <w:t xml:space="preserve"> World Health </w:t>
      </w:r>
      <w:r w:rsidR="007C6ED5">
        <w:t>Organization</w:t>
      </w:r>
      <w:r w:rsidR="004F459D" w:rsidRPr="00A22041">
        <w:t xml:space="preserve"> </w:t>
      </w:r>
      <w:r w:rsidR="00771448" w:rsidRPr="00A22041">
        <w:t xml:space="preserve">(WHO), </w:t>
      </w:r>
      <w:hyperlink r:id="rId202" w:history="1">
        <w:r w:rsidR="00771448" w:rsidRPr="00A22041">
          <w:rPr>
            <w:rStyle w:val="Hyperlink"/>
            <w:i/>
          </w:rPr>
          <w:t>2018 WHO health and climate change survey report: tracking global progress</w:t>
        </w:r>
      </w:hyperlink>
      <w:r w:rsidR="00771448" w:rsidRPr="00A22041">
        <w:t xml:space="preserve">, </w:t>
      </w:r>
      <w:r w:rsidR="00AB4F4C" w:rsidRPr="00A22041">
        <w:t>WHO, 201</w:t>
      </w:r>
      <w:r w:rsidR="007E074E">
        <w:t>9</w:t>
      </w:r>
      <w:r w:rsidR="00AB4F4C" w:rsidRPr="00A22041">
        <w:t>.</w:t>
      </w:r>
      <w:r w:rsidR="00771448" w:rsidRPr="00A22041">
        <w:t xml:space="preserve"> </w:t>
      </w:r>
    </w:p>
  </w:endnote>
  <w:endnote w:id="348">
    <w:p w14:paraId="4932E9FF" w14:textId="04F0C668" w:rsidR="00F01445" w:rsidRPr="00A22041" w:rsidRDefault="00F01445" w:rsidP="00BB3490">
      <w:pPr>
        <w:pStyle w:val="EndnoteText"/>
      </w:pPr>
      <w:r w:rsidRPr="00A22041">
        <w:rPr>
          <w:rStyle w:val="EndnoteReference"/>
        </w:rPr>
        <w:endnoteRef/>
      </w:r>
      <w:r w:rsidRPr="00A22041">
        <w:t xml:space="preserve"> </w:t>
      </w:r>
      <w:r w:rsidR="00513EBF" w:rsidRPr="00A22041">
        <w:t>Sunshine Coast Hospital and Health Service,</w:t>
      </w:r>
      <w:r w:rsidRPr="00A22041">
        <w:t xml:space="preserve"> </w:t>
      </w:r>
      <w:r w:rsidR="00213482" w:rsidRPr="00A22041">
        <w:t xml:space="preserve">Griffith University and Global Green and Healthy Hospitals (GGHH), </w:t>
      </w:r>
      <w:hyperlink r:id="rId203" w:history="1">
        <w:r w:rsidR="007A19D8">
          <w:rPr>
            <w:rStyle w:val="Hyperlink"/>
            <w:i/>
            <w:iCs/>
          </w:rPr>
          <w:t xml:space="preserve">Facilitating Environmentally Sustainable and Climate Resilient Healthcare – a collaborative project </w:t>
        </w:r>
        <w:r w:rsidR="007A19D8" w:rsidRPr="00986031">
          <w:rPr>
            <w:rStyle w:val="Hyperlink"/>
          </w:rPr>
          <w:t>[PDF 255KB]</w:t>
        </w:r>
      </w:hyperlink>
      <w:r w:rsidR="00904D10" w:rsidRPr="00A22041">
        <w:rPr>
          <w:i/>
          <w:iCs/>
        </w:rPr>
        <w:t xml:space="preserve">, </w:t>
      </w:r>
      <w:r w:rsidR="00904D10" w:rsidRPr="00A22041">
        <w:t>GGHH,</w:t>
      </w:r>
      <w:r w:rsidR="00213482" w:rsidRPr="00A22041">
        <w:t xml:space="preserve"> </w:t>
      </w:r>
      <w:r w:rsidR="00214142" w:rsidRPr="00A22041">
        <w:t>n.d.</w:t>
      </w:r>
    </w:p>
  </w:endnote>
  <w:endnote w:id="349">
    <w:p w14:paraId="1220921B" w14:textId="08DA0781" w:rsidR="00F01445" w:rsidRPr="00A22041" w:rsidRDefault="00F01445" w:rsidP="00BB3490">
      <w:pPr>
        <w:pStyle w:val="EndnoteText"/>
      </w:pPr>
      <w:r w:rsidRPr="00A22041">
        <w:rPr>
          <w:rStyle w:val="EndnoteReference"/>
        </w:rPr>
        <w:endnoteRef/>
      </w:r>
      <w:r w:rsidRPr="00A22041">
        <w:t xml:space="preserve"> </w:t>
      </w:r>
      <w:r w:rsidR="00686593" w:rsidRPr="00A22041">
        <w:t>JJ Mousley, S Simpson-Yap, M Yu, D Fletcher</w:t>
      </w:r>
      <w:r w:rsidR="00296B46" w:rsidRPr="00A22041">
        <w:t xml:space="preserve"> and B Dunne, ‘Australian and New Zealand surgeons’ attitudes to our role in climate change mitigation’, </w:t>
      </w:r>
      <w:r w:rsidR="0018466D" w:rsidRPr="00A22041">
        <w:rPr>
          <w:i/>
        </w:rPr>
        <w:t xml:space="preserve">ANZ Journal of </w:t>
      </w:r>
      <w:r w:rsidR="00AE0231" w:rsidRPr="00A22041">
        <w:rPr>
          <w:i/>
        </w:rPr>
        <w:t>Surgery</w:t>
      </w:r>
      <w:r w:rsidR="00AE0231" w:rsidRPr="00A22041">
        <w:t xml:space="preserve">, </w:t>
      </w:r>
      <w:r w:rsidR="0091215C" w:rsidRPr="00A22041">
        <w:t>2023, doi:</w:t>
      </w:r>
      <w:r w:rsidR="006F23C0" w:rsidRPr="00A22041">
        <w:t>10.1111/ans.18607.</w:t>
      </w:r>
    </w:p>
  </w:endnote>
  <w:endnote w:id="350">
    <w:p w14:paraId="31D8148C" w14:textId="064510EF" w:rsidR="007974E0" w:rsidRPr="00A22041" w:rsidRDefault="007974E0" w:rsidP="00BB3490">
      <w:pPr>
        <w:pStyle w:val="EndnoteText"/>
      </w:pPr>
      <w:r w:rsidRPr="00A22041">
        <w:rPr>
          <w:rStyle w:val="EndnoteReference"/>
        </w:rPr>
        <w:endnoteRef/>
      </w:r>
      <w:r w:rsidRPr="00A22041">
        <w:t xml:space="preserve"> </w:t>
      </w:r>
      <w:r w:rsidR="009D0809" w:rsidRPr="00A22041">
        <w:t>A Cameron, M Robinson and K Pickles,</w:t>
      </w:r>
      <w:r w:rsidR="007579EF" w:rsidRPr="00A22041">
        <w:t xml:space="preserve"> </w:t>
      </w:r>
      <w:hyperlink r:id="rId204" w:history="1">
        <w:r w:rsidR="00DE1B71">
          <w:rPr>
            <w:rStyle w:val="Hyperlink"/>
            <w:i/>
          </w:rPr>
          <w:t xml:space="preserve">NHS Sustainable Development Unit </w:t>
        </w:r>
        <w:r w:rsidR="00272CA7">
          <w:rPr>
            <w:rStyle w:val="Hyperlink"/>
            <w:i/>
          </w:rPr>
          <w:t>Survey</w:t>
        </w:r>
        <w:r w:rsidR="00DE1B71">
          <w:rPr>
            <w:rStyle w:val="Hyperlink"/>
            <w:i/>
          </w:rPr>
          <w:t xml:space="preserve"> Report </w:t>
        </w:r>
        <w:r w:rsidR="00DE1B71" w:rsidRPr="00986031">
          <w:rPr>
            <w:rStyle w:val="Hyperlink"/>
            <w:iCs/>
          </w:rPr>
          <w:t>[PDF 2297KB]</w:t>
        </w:r>
      </w:hyperlink>
      <w:r w:rsidR="00125A6F" w:rsidRPr="00A22041">
        <w:t>, N</w:t>
      </w:r>
      <w:r w:rsidR="009D0809" w:rsidRPr="00A22041">
        <w:t>HS England, 2017.</w:t>
      </w:r>
    </w:p>
  </w:endnote>
  <w:endnote w:id="351">
    <w:p w14:paraId="5E9336A1" w14:textId="2AB0C7C9" w:rsidR="00A31601" w:rsidRPr="00A22041" w:rsidRDefault="00A31601" w:rsidP="00BB3490">
      <w:pPr>
        <w:pStyle w:val="EndnoteText"/>
      </w:pPr>
      <w:r w:rsidRPr="00A22041">
        <w:rPr>
          <w:rStyle w:val="EndnoteReference"/>
        </w:rPr>
        <w:endnoteRef/>
      </w:r>
      <w:r w:rsidRPr="00A22041">
        <w:t xml:space="preserve"> </w:t>
      </w:r>
      <w:r w:rsidR="006A397B" w:rsidRPr="00A22041">
        <w:t>DL Madden, GL Horton and M Mc</w:t>
      </w:r>
      <w:r w:rsidR="00CA5FF0">
        <w:t>L</w:t>
      </w:r>
      <w:r w:rsidR="006A397B" w:rsidRPr="00A22041">
        <w:t>ean,</w:t>
      </w:r>
      <w:r w:rsidRPr="00A22041">
        <w:t xml:space="preserve"> </w:t>
      </w:r>
      <w:r w:rsidR="00E82E65" w:rsidRPr="00A22041">
        <w:t xml:space="preserve">‘Preparing Australasian </w:t>
      </w:r>
      <w:r w:rsidRPr="00A22041">
        <w:t>medical</w:t>
      </w:r>
      <w:r w:rsidR="00E82E65" w:rsidRPr="00A22041">
        <w:t xml:space="preserve"> </w:t>
      </w:r>
      <w:r w:rsidRPr="00A22041">
        <w:t>students</w:t>
      </w:r>
      <w:r w:rsidR="00E82E65" w:rsidRPr="00A22041">
        <w:t xml:space="preserve"> for </w:t>
      </w:r>
      <w:r w:rsidRPr="00A22041">
        <w:t>environmentally</w:t>
      </w:r>
      <w:r w:rsidR="00E82E65" w:rsidRPr="00A22041">
        <w:t xml:space="preserve"> </w:t>
      </w:r>
      <w:r w:rsidRPr="00A22041">
        <w:t>sustainable</w:t>
      </w:r>
      <w:r w:rsidR="00E82E65" w:rsidRPr="00A22041">
        <w:t xml:space="preserve"> </w:t>
      </w:r>
      <w:r w:rsidRPr="00A22041">
        <w:t>health</w:t>
      </w:r>
      <w:r w:rsidR="00E82E65" w:rsidRPr="00A22041">
        <w:t xml:space="preserve"> care</w:t>
      </w:r>
      <w:r w:rsidR="005910B7" w:rsidRPr="00A22041">
        <w:t xml:space="preserve">’, </w:t>
      </w:r>
      <w:r w:rsidR="006F2D6F">
        <w:rPr>
          <w:i/>
          <w:iCs/>
        </w:rPr>
        <w:t xml:space="preserve">The </w:t>
      </w:r>
      <w:r w:rsidR="005910B7" w:rsidRPr="00A22041">
        <w:rPr>
          <w:i/>
        </w:rPr>
        <w:t xml:space="preserve">Medical Journal of Australia, </w:t>
      </w:r>
      <w:r w:rsidR="005910B7" w:rsidRPr="00A22041">
        <w:t>2022, 216(5):225-229,</w:t>
      </w:r>
      <w:r w:rsidR="00E82E65" w:rsidRPr="00A22041">
        <w:t xml:space="preserve"> </w:t>
      </w:r>
      <w:r w:rsidR="00987C44" w:rsidRPr="00A22041">
        <w:t>doi:10.5694/mja2.51439</w:t>
      </w:r>
      <w:r w:rsidR="002D468B">
        <w:t>.</w:t>
      </w:r>
      <w:r w:rsidR="00987C44" w:rsidRPr="00A22041" w:rsidDel="006A397B">
        <w:t xml:space="preserve"> </w:t>
      </w:r>
    </w:p>
  </w:endnote>
  <w:endnote w:id="352">
    <w:p w14:paraId="4D84AAAB" w14:textId="77777777" w:rsidR="00D80EFD" w:rsidRPr="00A22041" w:rsidRDefault="00D80EFD" w:rsidP="00D80EFD">
      <w:pPr>
        <w:pStyle w:val="EndnoteText"/>
      </w:pPr>
      <w:r w:rsidRPr="00CE625F">
        <w:rPr>
          <w:rStyle w:val="EndnoteReference"/>
        </w:rPr>
        <w:endnoteRef/>
      </w:r>
      <w:r w:rsidRPr="00CE625F">
        <w:t xml:space="preserve"> NSW</w:t>
      </w:r>
      <w:r>
        <w:t xml:space="preserve"> Ministry of</w:t>
      </w:r>
      <w:r w:rsidRPr="00CE625F">
        <w:t xml:space="preserve"> Health</w:t>
      </w:r>
      <w:r>
        <w:t>,</w:t>
      </w:r>
      <w:r w:rsidRPr="005B5D9D">
        <w:t xml:space="preserve"> </w:t>
      </w:r>
      <w:hyperlink r:id="rId205" w:history="1">
        <w:r w:rsidRPr="00CE625F">
          <w:rPr>
            <w:rStyle w:val="Hyperlink"/>
            <w:i/>
          </w:rPr>
          <w:t>Meet the NSW Health Net Zero leads</w:t>
        </w:r>
      </w:hyperlink>
      <w:r>
        <w:t>, NSW Ministry of Health website, NSW Governmen</w:t>
      </w:r>
      <w:bookmarkStart w:id="224" w:name="_Hlt150785589"/>
      <w:bookmarkStart w:id="225" w:name="_Hlt150785590"/>
      <w:r>
        <w:t xml:space="preserve">t, accessed 13 November 2023. </w:t>
      </w:r>
    </w:p>
    <w:bookmarkEnd w:id="224"/>
    <w:bookmarkEnd w:id="225"/>
  </w:endnote>
  <w:endnote w:id="353">
    <w:p w14:paraId="759452CF" w14:textId="77777777" w:rsidR="00D80EFD" w:rsidRPr="00A22041" w:rsidRDefault="00D80EFD" w:rsidP="00D80EFD">
      <w:pPr>
        <w:pStyle w:val="EndnoteText"/>
      </w:pPr>
      <w:r w:rsidRPr="00083AAA">
        <w:rPr>
          <w:rStyle w:val="EndnoteReference"/>
        </w:rPr>
        <w:endnoteRef/>
      </w:r>
      <w:r w:rsidRPr="00A22041">
        <w:t xml:space="preserve"> </w:t>
      </w:r>
      <w:r>
        <w:t xml:space="preserve">S </w:t>
      </w:r>
      <w:r w:rsidRPr="00A22041">
        <w:t>McAlister</w:t>
      </w:r>
      <w:r>
        <w:t xml:space="preserve">, AL Barratt, KJL Bell and F McGain, </w:t>
      </w:r>
      <w:r w:rsidRPr="00A22041">
        <w:t>‘The carbon footprint of pathology testing</w:t>
      </w:r>
      <w:r>
        <w:t xml:space="preserve">’, </w:t>
      </w:r>
      <w:r>
        <w:rPr>
          <w:i/>
          <w:iCs/>
        </w:rPr>
        <w:t>The Medical Journal of Australia</w:t>
      </w:r>
      <w:r>
        <w:t xml:space="preserve">, </w:t>
      </w:r>
      <w:r w:rsidRPr="00D11E7C">
        <w:t>2020</w:t>
      </w:r>
      <w:r>
        <w:t>,</w:t>
      </w:r>
      <w:r w:rsidRPr="00D11E7C">
        <w:t xml:space="preserve"> 212(8):377-382</w:t>
      </w:r>
      <w:r>
        <w:t>,</w:t>
      </w:r>
      <w:r w:rsidRPr="00D11E7C">
        <w:t xml:space="preserve"> doi:10.5694/mja2.50583</w:t>
      </w:r>
      <w:r>
        <w:t>.</w:t>
      </w:r>
    </w:p>
  </w:endnote>
  <w:endnote w:id="354">
    <w:p w14:paraId="5639D698" w14:textId="77777777" w:rsidR="00D80EFD" w:rsidRPr="00526233" w:rsidRDefault="00D80EFD" w:rsidP="00D80EFD">
      <w:pPr>
        <w:pStyle w:val="EndnoteText"/>
        <w:rPr>
          <w:highlight w:val="red"/>
        </w:rPr>
      </w:pPr>
      <w:r w:rsidRPr="00CE625F">
        <w:rPr>
          <w:rStyle w:val="EndnoteReference"/>
        </w:rPr>
        <w:endnoteRef/>
      </w:r>
      <w:r w:rsidRPr="00CE625F">
        <w:t xml:space="preserve"> NSW </w:t>
      </w:r>
      <w:r>
        <w:t>Ministry of</w:t>
      </w:r>
      <w:r w:rsidRPr="00CE625F">
        <w:t xml:space="preserve"> Health, </w:t>
      </w:r>
      <w:hyperlink r:id="rId206" w:history="1">
        <w:r>
          <w:rPr>
            <w:rStyle w:val="Hyperlink"/>
            <w:i/>
            <w:iCs/>
          </w:rPr>
          <w:t>Gloves Off Project</w:t>
        </w:r>
      </w:hyperlink>
      <w:r>
        <w:rPr>
          <w:i/>
          <w:iCs/>
        </w:rPr>
        <w:t xml:space="preserve">, </w:t>
      </w:r>
      <w:r>
        <w:t xml:space="preserve">NSW Ministry of Health website, 2023, accessed 13 November 2023. </w:t>
      </w:r>
    </w:p>
  </w:endnote>
  <w:endnote w:id="355">
    <w:p w14:paraId="03EA67C1" w14:textId="77777777" w:rsidR="00D80EFD" w:rsidRPr="00A22041" w:rsidRDefault="00D80EFD" w:rsidP="00D80EFD">
      <w:pPr>
        <w:pStyle w:val="EndnoteText"/>
      </w:pPr>
      <w:r w:rsidRPr="00BA63F7">
        <w:rPr>
          <w:rStyle w:val="EndnoteReference"/>
        </w:rPr>
        <w:endnoteRef/>
      </w:r>
      <w:r w:rsidRPr="00BA63F7">
        <w:t xml:space="preserve"> Australian and New Zealand College of Anaesthetists (ANZCA), </w:t>
      </w:r>
      <w:hyperlink r:id="rId207" w:history="1">
        <w:r w:rsidRPr="00D53362">
          <w:rPr>
            <w:rStyle w:val="Hyperlink"/>
            <w:i/>
            <w:iCs/>
          </w:rPr>
          <w:t>On the disaster relief frontline</w:t>
        </w:r>
        <w:r>
          <w:rPr>
            <w:rStyle w:val="Hyperlink"/>
          </w:rPr>
          <w:t xml:space="preserve"> [PDF 17MB]</w:t>
        </w:r>
      </w:hyperlink>
      <w:r>
        <w:t xml:space="preserve">, </w:t>
      </w:r>
      <w:r w:rsidRPr="00BA63F7">
        <w:t>ANZCA, 2023.</w:t>
      </w:r>
      <w:r>
        <w:t xml:space="preserve"> </w:t>
      </w:r>
    </w:p>
  </w:endnote>
  <w:endnote w:id="356">
    <w:p w14:paraId="529B051E" w14:textId="77777777" w:rsidR="00D80EFD" w:rsidRDefault="00D80EFD" w:rsidP="00D80EFD">
      <w:pPr>
        <w:pStyle w:val="EndnoteText"/>
      </w:pPr>
      <w:r w:rsidRPr="00083AAA">
        <w:rPr>
          <w:rStyle w:val="EndnoteReference"/>
        </w:rPr>
        <w:endnoteRef/>
      </w:r>
      <w:r w:rsidRPr="00A22041">
        <w:t xml:space="preserve"> </w:t>
      </w:r>
      <w:r w:rsidRPr="005E44C0">
        <w:t xml:space="preserve">S McAlister, F McGain, M Petersen, D Story, K Charlesworth, G Ison and A Barratt, ‘The carbon footprint of hospital diagnostic imaging in Australia’, </w:t>
      </w:r>
      <w:r w:rsidRPr="005E44C0">
        <w:rPr>
          <w:i/>
        </w:rPr>
        <w:t>The Lancet Regional Health</w:t>
      </w:r>
      <w:r>
        <w:rPr>
          <w:i/>
        </w:rPr>
        <w:t xml:space="preserve"> – </w:t>
      </w:r>
      <w:r w:rsidRPr="005E44C0">
        <w:rPr>
          <w:i/>
        </w:rPr>
        <w:t>Western Pacific</w:t>
      </w:r>
      <w:r w:rsidRPr="005E44C0">
        <w:t>, 2022, 24:100459, doi:10.1016/j.lanwpc.2022.100459.</w:t>
      </w:r>
    </w:p>
  </w:endnote>
  <w:endnote w:id="357">
    <w:p w14:paraId="0F4394CC" w14:textId="5E9CBDAC" w:rsidR="002510AA" w:rsidRPr="00A22041" w:rsidRDefault="002510AA" w:rsidP="00BB3490">
      <w:pPr>
        <w:pStyle w:val="EndnoteText"/>
      </w:pPr>
      <w:r w:rsidRPr="001B0529">
        <w:rPr>
          <w:rStyle w:val="EndnoteReference"/>
        </w:rPr>
        <w:endnoteRef/>
      </w:r>
      <w:r w:rsidRPr="001B0529">
        <w:t xml:space="preserve"> </w:t>
      </w:r>
      <w:bookmarkStart w:id="229" w:name="_Hlk150874401"/>
      <w:r w:rsidR="00A8476A" w:rsidRPr="00A8476A">
        <w:t>V Matthews, AR Atkinson, G Lee, K Vine and J Longman</w:t>
      </w:r>
      <w:r w:rsidR="00595289">
        <w:t xml:space="preserve">, </w:t>
      </w:r>
      <w:hyperlink r:id="rId208" w:history="1">
        <w:r w:rsidR="00CD72A4" w:rsidRPr="00FC2DAB">
          <w:rPr>
            <w:rStyle w:val="Hyperlink"/>
            <w:i/>
          </w:rPr>
          <w:t>Climate Change and Aboriginal and Torres Strait Islander Health</w:t>
        </w:r>
      </w:hyperlink>
      <w:r w:rsidR="00CD72A4">
        <w:rPr>
          <w:i/>
        </w:rPr>
        <w:t>,</w:t>
      </w:r>
      <w:r w:rsidR="00CD72A4" w:rsidRPr="00F42E20">
        <w:rPr>
          <w:i/>
        </w:rPr>
        <w:t xml:space="preserve"> </w:t>
      </w:r>
      <w:r w:rsidR="00CD72A4" w:rsidRPr="00F42E20">
        <w:rPr>
          <w:iCs/>
        </w:rPr>
        <w:t>Discussion Paper</w:t>
      </w:r>
      <w:r w:rsidR="00CD72A4" w:rsidRPr="00947DFC">
        <w:t xml:space="preserve">, </w:t>
      </w:r>
      <w:r w:rsidR="00CD72A4" w:rsidRPr="009A3806">
        <w:t>Lowitja Institute</w:t>
      </w:r>
      <w:r w:rsidR="00CD72A4">
        <w:t xml:space="preserve">, </w:t>
      </w:r>
      <w:r w:rsidR="00CD72A4" w:rsidRPr="00947DFC">
        <w:t>2021</w:t>
      </w:r>
      <w:r w:rsidR="00CD72A4">
        <w:t>.</w:t>
      </w:r>
      <w:bookmarkEnd w:id="229"/>
    </w:p>
  </w:endnote>
  <w:endnote w:id="358">
    <w:p w14:paraId="10A83D61" w14:textId="7CE5E72C" w:rsidR="00C04B5F" w:rsidRPr="00A22041" w:rsidRDefault="003135F0" w:rsidP="00BB3490">
      <w:pPr>
        <w:pStyle w:val="EndnoteText"/>
      </w:pPr>
      <w:r w:rsidRPr="00A22041" w:rsidDel="00C04B5F">
        <w:rPr>
          <w:rStyle w:val="EndnoteReference"/>
        </w:rPr>
        <w:endnoteRef/>
      </w:r>
      <w:r w:rsidR="001D04B7" w:rsidRPr="00A22041">
        <w:t xml:space="preserve"> </w:t>
      </w:r>
      <w:r w:rsidR="00C04B5F" w:rsidRPr="00A22041">
        <w:t>G Neta, W Pan, K Ebi, DF Buss, T Castranio, R Lowe, SJ Ryan, AM Stewart-Ibarra, LK Hapairai, M Sehgal</w:t>
      </w:r>
      <w:r w:rsidR="00FE49DE" w:rsidRPr="00A22041">
        <w:t xml:space="preserve">, </w:t>
      </w:r>
      <w:r w:rsidR="00C04B5F" w:rsidRPr="00A22041">
        <w:t>MC Wimberly,</w:t>
      </w:r>
      <w:r w:rsidR="0062569C" w:rsidRPr="00A22041">
        <w:t xml:space="preserve"> L Rollock, M Lichtveld and J Balbus,</w:t>
      </w:r>
      <w:r w:rsidR="00C04B5F" w:rsidRPr="00A22041">
        <w:t xml:space="preserve"> </w:t>
      </w:r>
      <w:r w:rsidR="007D3C2B" w:rsidRPr="005E44C0">
        <w:t>‘</w:t>
      </w:r>
      <w:r w:rsidR="00C04B5F" w:rsidRPr="00A22041">
        <w:t>Advancing climate change health adaptation through implementation science</w:t>
      </w:r>
      <w:r w:rsidR="00BE73C8">
        <w:t>’</w:t>
      </w:r>
      <w:r w:rsidR="00C04B5F" w:rsidRPr="00A22041">
        <w:t xml:space="preserve">, </w:t>
      </w:r>
      <w:r w:rsidR="00C04B5F" w:rsidRPr="00A22041">
        <w:rPr>
          <w:i/>
        </w:rPr>
        <w:t>The Lancet Planetary Health</w:t>
      </w:r>
      <w:r w:rsidR="00C04B5F" w:rsidRPr="00A22041">
        <w:t>, 2022, 6(11):E909-E918, doi:10.1016/s2542-5196(22)00199-1.</w:t>
      </w:r>
    </w:p>
  </w:endnote>
  <w:endnote w:id="359">
    <w:p w14:paraId="0F18998B" w14:textId="79C9B4C4" w:rsidR="00902059" w:rsidRPr="00A22041" w:rsidRDefault="00902059" w:rsidP="00BB3490">
      <w:pPr>
        <w:pStyle w:val="EndnoteText"/>
      </w:pPr>
      <w:r w:rsidRPr="00A22041">
        <w:rPr>
          <w:rStyle w:val="EndnoteReference"/>
        </w:rPr>
        <w:endnoteRef/>
      </w:r>
      <w:r w:rsidRPr="00A22041">
        <w:t xml:space="preserve"> </w:t>
      </w:r>
      <w:r w:rsidR="005D530F" w:rsidRPr="00A22041">
        <w:t xml:space="preserve">S Vardoulakis, </w:t>
      </w:r>
      <w:r w:rsidR="0028563B" w:rsidRPr="00A22041">
        <w:t xml:space="preserve">V Matthews, </w:t>
      </w:r>
      <w:r w:rsidR="008B31AB" w:rsidRPr="00A22041">
        <w:t xml:space="preserve">LP Ford, </w:t>
      </w:r>
      <w:r w:rsidR="00A16F79" w:rsidRPr="00A22041">
        <w:t xml:space="preserve">DE Oyarce, </w:t>
      </w:r>
      <w:r w:rsidR="00EB330A" w:rsidRPr="00A22041">
        <w:t xml:space="preserve">B Farrant, </w:t>
      </w:r>
      <w:r w:rsidR="00C727AC" w:rsidRPr="00A22041">
        <w:t>F Johnston</w:t>
      </w:r>
      <w:r w:rsidR="00E7273F" w:rsidRPr="00A22041">
        <w:t xml:space="preserve">, </w:t>
      </w:r>
      <w:r w:rsidR="00291068" w:rsidRPr="00A22041">
        <w:t>A Cass, R Bentley, C Williams and C Chu</w:t>
      </w:r>
      <w:r w:rsidR="00C727AC" w:rsidRPr="00A22041">
        <w:t>, ‘Healthy Environments and Lives (HEAL): Australian research network in human health and environmental change</w:t>
      </w:r>
      <w:r w:rsidR="00BA3032" w:rsidRPr="00A22041">
        <w:t>’</w:t>
      </w:r>
      <w:r w:rsidR="00C727AC" w:rsidRPr="00A22041">
        <w:t xml:space="preserve">, </w:t>
      </w:r>
      <w:r w:rsidR="00797596">
        <w:rPr>
          <w:i/>
          <w:iCs/>
        </w:rPr>
        <w:t xml:space="preserve">The </w:t>
      </w:r>
      <w:r w:rsidR="00C727AC" w:rsidRPr="00A22041">
        <w:rPr>
          <w:i/>
        </w:rPr>
        <w:t xml:space="preserve">Lancet Planetary Health, </w:t>
      </w:r>
      <w:r w:rsidR="00C727AC" w:rsidRPr="00A22041">
        <w:t xml:space="preserve">2022, </w:t>
      </w:r>
      <w:r w:rsidR="000576FD" w:rsidRPr="00A22041">
        <w:t>6(1):</w:t>
      </w:r>
      <w:r w:rsidRPr="00A22041">
        <w:t>S15</w:t>
      </w:r>
      <w:r w:rsidR="009B5FEF" w:rsidRPr="00A22041">
        <w:t>, doi:</w:t>
      </w:r>
      <w:r w:rsidRPr="00A22041">
        <w:t>10.1016/S2542-5196(22)00277-7</w:t>
      </w:r>
      <w:r w:rsidR="00BA3032" w:rsidRPr="00A22041">
        <w:t>.</w:t>
      </w:r>
    </w:p>
  </w:endnote>
  <w:endnote w:id="360">
    <w:p w14:paraId="55CCE579" w14:textId="3D9117DD" w:rsidR="00B241CF" w:rsidRPr="00572C81" w:rsidRDefault="00B241CF" w:rsidP="00BB3490">
      <w:pPr>
        <w:pStyle w:val="EndnoteText"/>
      </w:pPr>
      <w:r>
        <w:rPr>
          <w:rStyle w:val="EndnoteReference"/>
        </w:rPr>
        <w:endnoteRef/>
      </w:r>
      <w:r>
        <w:t xml:space="preserve"> </w:t>
      </w:r>
      <w:r w:rsidR="00A569DA">
        <w:t xml:space="preserve">Natural Hazards Research Australia, </w:t>
      </w:r>
      <w:hyperlink r:id="rId209" w:history="1">
        <w:r w:rsidR="005720E6">
          <w:rPr>
            <w:rStyle w:val="Hyperlink"/>
            <w:i/>
            <w:iCs/>
          </w:rPr>
          <w:t>Our mission</w:t>
        </w:r>
      </w:hyperlink>
      <w:r w:rsidR="00297A7F">
        <w:rPr>
          <w:i/>
          <w:iCs/>
        </w:rPr>
        <w:t xml:space="preserve">, </w:t>
      </w:r>
      <w:r w:rsidR="00272573">
        <w:t>Na</w:t>
      </w:r>
      <w:r w:rsidR="00572C81">
        <w:t>tural Hazards Research Australia website</w:t>
      </w:r>
      <w:r w:rsidR="00D34A9C">
        <w:t>,</w:t>
      </w:r>
      <w:r w:rsidR="00272573">
        <w:t xml:space="preserve"> 2023, </w:t>
      </w:r>
      <w:r w:rsidR="00572C81">
        <w:t xml:space="preserve">accessed 13 November 2023. </w:t>
      </w:r>
    </w:p>
  </w:endnote>
  <w:endnote w:id="361">
    <w:p w14:paraId="53C8A5CC" w14:textId="739391A3" w:rsidR="00FA7EDD" w:rsidRDefault="00FA7EDD" w:rsidP="00BB3490">
      <w:pPr>
        <w:pStyle w:val="EndnoteText"/>
      </w:pPr>
      <w:r>
        <w:rPr>
          <w:rStyle w:val="EndnoteReference"/>
        </w:rPr>
        <w:endnoteRef/>
      </w:r>
      <w:r w:rsidR="00982C75">
        <w:t xml:space="preserve"> </w:t>
      </w:r>
      <w:r w:rsidR="00DB5DBE">
        <w:t>Australian</w:t>
      </w:r>
      <w:r w:rsidR="00982C75">
        <w:t xml:space="preserve"> </w:t>
      </w:r>
      <w:r w:rsidR="00E32BFD">
        <w:t>Department of Health and Aged Care (DHAC),</w:t>
      </w:r>
      <w:r>
        <w:t xml:space="preserve"> </w:t>
      </w:r>
      <w:hyperlink r:id="rId210" w:history="1">
        <w:r w:rsidR="00A32C0F">
          <w:rPr>
            <w:rStyle w:val="Hyperlink"/>
            <w:i/>
            <w:iCs/>
          </w:rPr>
          <w:t>National Consumer Engagement Strategy for Health and Wellbeing: Draft for consultation</w:t>
        </w:r>
      </w:hyperlink>
      <w:r w:rsidR="00E32BFD">
        <w:t xml:space="preserve">, </w:t>
      </w:r>
      <w:r w:rsidR="00681DD9">
        <w:t xml:space="preserve">DHAC, </w:t>
      </w:r>
      <w:r w:rsidR="00E32BFD">
        <w:t xml:space="preserve">Australian Government, 2023.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2F78" w14:textId="0D025306" w:rsidR="000E5D87" w:rsidRDefault="000E5D87">
    <w:pPr>
      <w:pStyle w:val="Footer"/>
      <w:jc w:val="right"/>
    </w:pPr>
  </w:p>
  <w:p w14:paraId="59D70E40" w14:textId="77777777" w:rsidR="000E5D87" w:rsidRDefault="000E5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A0829" w14:textId="77777777" w:rsidR="00A728F7" w:rsidRDefault="00A728F7" w:rsidP="000E5D87">
      <w:pPr>
        <w:spacing w:line="240" w:lineRule="auto"/>
      </w:pPr>
      <w:r>
        <w:separator/>
      </w:r>
    </w:p>
  </w:footnote>
  <w:footnote w:type="continuationSeparator" w:id="0">
    <w:p w14:paraId="7AC1561C" w14:textId="77777777" w:rsidR="00A728F7" w:rsidRDefault="00A728F7" w:rsidP="000E5D87">
      <w:pPr>
        <w:spacing w:line="240" w:lineRule="auto"/>
      </w:pPr>
      <w:r>
        <w:continuationSeparator/>
      </w:r>
    </w:p>
  </w:footnote>
  <w:footnote w:type="continuationNotice" w:id="1">
    <w:p w14:paraId="451C8FB0" w14:textId="77777777" w:rsidR="00A728F7" w:rsidRDefault="00A728F7">
      <w:pPr>
        <w:spacing w:line="240" w:lineRule="auto"/>
      </w:pPr>
    </w:p>
  </w:footnote>
  <w:footnote w:id="2">
    <w:p w14:paraId="015D4091" w14:textId="67FB16EE" w:rsidR="00A23CAE" w:rsidRDefault="00A23CAE">
      <w:pPr>
        <w:pStyle w:val="FootnoteText"/>
      </w:pPr>
      <w:r w:rsidRPr="00A23CAE">
        <w:rPr>
          <w:rStyle w:val="FootnoteReference"/>
          <w:rFonts w:ascii="Symbol" w:eastAsia="Symbol" w:hAnsi="Symbol" w:cs="Symbol"/>
        </w:rPr>
        <w:t>¨</w:t>
      </w:r>
      <w:r>
        <w:t xml:space="preserve"> </w:t>
      </w:r>
      <w:r w:rsidR="001C11CD" w:rsidRPr="001C11CD">
        <w:t xml:space="preserve">The term ‘woman’ is used throughout this document to refer to a person who becomes pregnant and gives birth. It is recognised that individuals have diverse gender identities, and some people who become pregnant and give birth </w:t>
      </w:r>
      <w:r w:rsidR="00642E00" w:rsidRPr="001C11CD">
        <w:t>do not identify as a woman. When we use these words, it is not meant to exclude those who give birth and do not identify as female.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0A1D37" w:themeColor="accent2" w:themeShade="80"/>
        <w:sz w:val="20"/>
        <w:szCs w:val="20"/>
      </w:rPr>
      <w:id w:val="-1884853539"/>
      <w:docPartObj>
        <w:docPartGallery w:val="Page Numbers (Top of Page)"/>
        <w:docPartUnique/>
      </w:docPartObj>
    </w:sdtPr>
    <w:sdtEndPr>
      <w:rPr>
        <w:noProof/>
      </w:rPr>
    </w:sdtEndPr>
    <w:sdtContent>
      <w:p w14:paraId="042C34EF" w14:textId="4D895ED1" w:rsidR="00D76CDF" w:rsidRPr="00D76CDF" w:rsidRDefault="00D76CDF" w:rsidP="00D76CDF">
        <w:pPr>
          <w:pStyle w:val="Header"/>
          <w:ind w:firstLine="720"/>
          <w:jc w:val="right"/>
          <w:rPr>
            <w:b/>
            <w:bCs/>
            <w:color w:val="0A1D37" w:themeColor="accent2" w:themeShade="80"/>
            <w:sz w:val="20"/>
            <w:szCs w:val="20"/>
          </w:rPr>
        </w:pPr>
        <w:r w:rsidRPr="00833BCB">
          <w:rPr>
            <w:color w:val="0A1D37" w:themeColor="accent2" w:themeShade="80"/>
            <w:sz w:val="20"/>
            <w:szCs w:val="20"/>
          </w:rPr>
          <w:t>NATIONAL</w:t>
        </w:r>
        <w:r w:rsidRPr="00833BCB">
          <w:rPr>
            <w:b/>
            <w:bCs/>
            <w:color w:val="0A1D37" w:themeColor="accent2" w:themeShade="80"/>
            <w:sz w:val="20"/>
            <w:szCs w:val="20"/>
          </w:rPr>
          <w:t xml:space="preserve"> HEALTH AND CLIMATE </w:t>
        </w:r>
        <w:r w:rsidRPr="00833BCB">
          <w:rPr>
            <w:color w:val="0A1D37" w:themeColor="accent2" w:themeShade="80"/>
            <w:sz w:val="20"/>
            <w:szCs w:val="20"/>
          </w:rPr>
          <w:t>STRATEGY</w:t>
        </w:r>
        <w:r w:rsidRPr="00833BCB">
          <w:rPr>
            <w:b/>
            <w:bCs/>
            <w:color w:val="0A1D37" w:themeColor="accent2" w:themeShade="80"/>
            <w:sz w:val="20"/>
            <w:szCs w:val="20"/>
          </w:rPr>
          <w:t xml:space="preserve">         </w:t>
        </w:r>
        <w:r w:rsidRPr="00833BCB">
          <w:rPr>
            <w:b/>
            <w:bCs/>
            <w:color w:val="0A1D37" w:themeColor="accent2" w:themeShade="80"/>
            <w:sz w:val="20"/>
            <w:szCs w:val="20"/>
          </w:rPr>
          <w:fldChar w:fldCharType="begin"/>
        </w:r>
        <w:r w:rsidRPr="00833BCB">
          <w:rPr>
            <w:b/>
            <w:bCs/>
            <w:color w:val="0A1D37" w:themeColor="accent2" w:themeShade="80"/>
            <w:sz w:val="20"/>
            <w:szCs w:val="20"/>
          </w:rPr>
          <w:instrText xml:space="preserve"> PAGE   \* MERGEFORMAT </w:instrText>
        </w:r>
        <w:r w:rsidRPr="00833BCB">
          <w:rPr>
            <w:b/>
            <w:bCs/>
            <w:color w:val="0A1D37" w:themeColor="accent2" w:themeShade="80"/>
            <w:sz w:val="20"/>
            <w:szCs w:val="20"/>
          </w:rPr>
          <w:fldChar w:fldCharType="separate"/>
        </w:r>
        <w:r>
          <w:rPr>
            <w:b/>
            <w:bCs/>
            <w:color w:val="0A1D37" w:themeColor="accent2" w:themeShade="80"/>
            <w:sz w:val="20"/>
            <w:szCs w:val="20"/>
          </w:rPr>
          <w:t>2</w:t>
        </w:r>
        <w:r w:rsidRPr="00833BCB">
          <w:rPr>
            <w:b/>
            <w:bCs/>
            <w:noProof/>
            <w:color w:val="0A1D37" w:themeColor="accent2" w:themeShade="80"/>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32B9" w14:textId="7A18B69B" w:rsidR="00D76CDF" w:rsidRDefault="00D76CDF">
    <w:pPr>
      <w:pStyle w:val="Header"/>
    </w:pPr>
    <w:r>
      <w:rPr>
        <w:noProof/>
      </w:rPr>
      <w:drawing>
        <wp:anchor distT="0" distB="0" distL="114300" distR="114300" simplePos="0" relativeHeight="251659264" behindDoc="1" locked="0" layoutInCell="1" allowOverlap="1" wp14:anchorId="21224482" wp14:editId="42B9DC54">
          <wp:simplePos x="0" y="0"/>
          <wp:positionH relativeFrom="column">
            <wp:posOffset>-719667</wp:posOffset>
          </wp:positionH>
          <wp:positionV relativeFrom="paragraph">
            <wp:posOffset>-491328</wp:posOffset>
          </wp:positionV>
          <wp:extent cx="7592291" cy="10737380"/>
          <wp:effectExtent l="0" t="0" r="889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291" cy="10737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0A1D37" w:themeColor="accent2" w:themeShade="80"/>
        <w:sz w:val="20"/>
        <w:szCs w:val="20"/>
      </w:rPr>
      <w:id w:val="714548155"/>
      <w:docPartObj>
        <w:docPartGallery w:val="Page Numbers (Top of Page)"/>
        <w:docPartUnique/>
      </w:docPartObj>
    </w:sdtPr>
    <w:sdtEndPr>
      <w:rPr>
        <w:noProof/>
      </w:rPr>
    </w:sdtEndPr>
    <w:sdtContent>
      <w:p w14:paraId="4E228A1A" w14:textId="5C42986C" w:rsidR="00D76CDF" w:rsidRPr="00D76CDF" w:rsidRDefault="00D76CDF" w:rsidP="00D76CDF">
        <w:pPr>
          <w:pStyle w:val="Header"/>
          <w:ind w:firstLine="720"/>
          <w:jc w:val="right"/>
          <w:rPr>
            <w:b/>
            <w:bCs/>
            <w:color w:val="0A1D37" w:themeColor="accent2" w:themeShade="80"/>
            <w:sz w:val="20"/>
            <w:szCs w:val="20"/>
          </w:rPr>
        </w:pPr>
        <w:r w:rsidRPr="00833BCB">
          <w:rPr>
            <w:color w:val="0A1D37" w:themeColor="accent2" w:themeShade="80"/>
            <w:sz w:val="20"/>
            <w:szCs w:val="20"/>
          </w:rPr>
          <w:t>NATIONAL</w:t>
        </w:r>
        <w:r w:rsidRPr="00833BCB">
          <w:rPr>
            <w:b/>
            <w:bCs/>
            <w:color w:val="0A1D37" w:themeColor="accent2" w:themeShade="80"/>
            <w:sz w:val="20"/>
            <w:szCs w:val="20"/>
          </w:rPr>
          <w:t xml:space="preserve"> HEALTH AND CLIMATE </w:t>
        </w:r>
        <w:r w:rsidRPr="00833BCB">
          <w:rPr>
            <w:color w:val="0A1D37" w:themeColor="accent2" w:themeShade="80"/>
            <w:sz w:val="20"/>
            <w:szCs w:val="20"/>
          </w:rPr>
          <w:t>STRATEGY</w:t>
        </w:r>
        <w:r w:rsidRPr="00833BCB">
          <w:rPr>
            <w:b/>
            <w:bCs/>
            <w:color w:val="0A1D37" w:themeColor="accent2" w:themeShade="80"/>
            <w:sz w:val="20"/>
            <w:szCs w:val="20"/>
          </w:rPr>
          <w:t xml:space="preserve">         </w:t>
        </w:r>
        <w:r w:rsidRPr="00833BCB">
          <w:rPr>
            <w:b/>
            <w:bCs/>
            <w:color w:val="0A1D37" w:themeColor="accent2" w:themeShade="80"/>
            <w:sz w:val="20"/>
            <w:szCs w:val="20"/>
          </w:rPr>
          <w:fldChar w:fldCharType="begin"/>
        </w:r>
        <w:r w:rsidRPr="00833BCB">
          <w:rPr>
            <w:b/>
            <w:bCs/>
            <w:color w:val="0A1D37" w:themeColor="accent2" w:themeShade="80"/>
            <w:sz w:val="20"/>
            <w:szCs w:val="20"/>
          </w:rPr>
          <w:instrText xml:space="preserve"> PAGE   \* MERGEFORMAT </w:instrText>
        </w:r>
        <w:r w:rsidRPr="00833BCB">
          <w:rPr>
            <w:b/>
            <w:bCs/>
            <w:color w:val="0A1D37" w:themeColor="accent2" w:themeShade="80"/>
            <w:sz w:val="20"/>
            <w:szCs w:val="20"/>
          </w:rPr>
          <w:fldChar w:fldCharType="separate"/>
        </w:r>
        <w:r>
          <w:rPr>
            <w:b/>
            <w:bCs/>
            <w:color w:val="0A1D37" w:themeColor="accent2" w:themeShade="80"/>
            <w:sz w:val="20"/>
            <w:szCs w:val="20"/>
          </w:rPr>
          <w:t>2</w:t>
        </w:r>
        <w:r w:rsidRPr="00833BCB">
          <w:rPr>
            <w:b/>
            <w:bCs/>
            <w:noProof/>
            <w:color w:val="0A1D37" w:themeColor="accent2" w:themeShade="80"/>
            <w:sz w:val="20"/>
            <w:szCs w:val="20"/>
          </w:rPr>
          <w:fldChar w:fldCharType="end"/>
        </w:r>
      </w:p>
    </w:sdtContent>
  </w:sdt>
</w:hdr>
</file>

<file path=word/intelligence2.xml><?xml version="1.0" encoding="utf-8"?>
<int2:intelligence xmlns:int2="http://schemas.microsoft.com/office/intelligence/2020/intelligence" xmlns:oel="http://schemas.microsoft.com/office/2019/extlst">
  <int2:observations>
    <int2:textHash int2:hashCode="BC3EUS+j05HFFw" int2:id="mrV7VYCH">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C26EF30"/>
    <w:lvl w:ilvl="0">
      <w:start w:val="1"/>
      <w:numFmt w:val="decimal"/>
      <w:pStyle w:val="ListNumber"/>
      <w:lvlText w:val="%1."/>
      <w:lvlJc w:val="left"/>
      <w:pPr>
        <w:tabs>
          <w:tab w:val="num" w:pos="360"/>
        </w:tabs>
        <w:ind w:left="360" w:hanging="360"/>
      </w:pPr>
    </w:lvl>
  </w:abstractNum>
  <w:abstractNum w:abstractNumId="1" w15:restartNumberingAfterBreak="0">
    <w:nsid w:val="10A2451F"/>
    <w:multiLevelType w:val="hybridMultilevel"/>
    <w:tmpl w:val="1674B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014A9A"/>
    <w:multiLevelType w:val="hybridMultilevel"/>
    <w:tmpl w:val="8D624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AD1E4C"/>
    <w:multiLevelType w:val="hybridMultilevel"/>
    <w:tmpl w:val="0C845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43440A3"/>
    <w:multiLevelType w:val="hybridMultilevel"/>
    <w:tmpl w:val="A15818C8"/>
    <w:lvl w:ilvl="0" w:tplc="4DB46848">
      <w:start w:val="1"/>
      <w:numFmt w:val="bullet"/>
      <w:pStyle w:val="BulletUninden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F31F1B"/>
    <w:multiLevelType w:val="hybridMultilevel"/>
    <w:tmpl w:val="170C73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685D52"/>
    <w:multiLevelType w:val="hybridMultilevel"/>
    <w:tmpl w:val="E1BA1D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49B3C97"/>
    <w:multiLevelType w:val="singleLevel"/>
    <w:tmpl w:val="86C4904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777C26DB"/>
    <w:multiLevelType w:val="hybridMultilevel"/>
    <w:tmpl w:val="0D2226F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224103476">
    <w:abstractNumId w:val="5"/>
  </w:num>
  <w:num w:numId="2" w16cid:durableId="671373660">
    <w:abstractNumId w:val="4"/>
  </w:num>
  <w:num w:numId="3" w16cid:durableId="1733042301">
    <w:abstractNumId w:val="6"/>
  </w:num>
  <w:num w:numId="4" w16cid:durableId="1205095868">
    <w:abstractNumId w:val="1"/>
  </w:num>
  <w:num w:numId="5" w16cid:durableId="1759868098">
    <w:abstractNumId w:val="2"/>
  </w:num>
  <w:num w:numId="6" w16cid:durableId="1980570952">
    <w:abstractNumId w:val="8"/>
  </w:num>
  <w:num w:numId="7" w16cid:durableId="1956598105">
    <w:abstractNumId w:val="0"/>
  </w:num>
  <w:num w:numId="8" w16cid:durableId="978337965">
    <w:abstractNumId w:val="3"/>
  </w:num>
  <w:num w:numId="9" w16cid:durableId="11102470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1D"/>
    <w:rsid w:val="00000030"/>
    <w:rsid w:val="0000008E"/>
    <w:rsid w:val="000000BD"/>
    <w:rsid w:val="0000011C"/>
    <w:rsid w:val="0000023B"/>
    <w:rsid w:val="0000026C"/>
    <w:rsid w:val="0000026D"/>
    <w:rsid w:val="000002C8"/>
    <w:rsid w:val="000002E7"/>
    <w:rsid w:val="000002FA"/>
    <w:rsid w:val="000003C6"/>
    <w:rsid w:val="000003E0"/>
    <w:rsid w:val="00000430"/>
    <w:rsid w:val="00000493"/>
    <w:rsid w:val="000004F7"/>
    <w:rsid w:val="00000545"/>
    <w:rsid w:val="0000054B"/>
    <w:rsid w:val="00000576"/>
    <w:rsid w:val="00000648"/>
    <w:rsid w:val="00000676"/>
    <w:rsid w:val="000006F7"/>
    <w:rsid w:val="00000701"/>
    <w:rsid w:val="0000071C"/>
    <w:rsid w:val="000007A8"/>
    <w:rsid w:val="00000854"/>
    <w:rsid w:val="00000857"/>
    <w:rsid w:val="00000869"/>
    <w:rsid w:val="000008FA"/>
    <w:rsid w:val="0000097B"/>
    <w:rsid w:val="00000A0F"/>
    <w:rsid w:val="00000A43"/>
    <w:rsid w:val="00000AA2"/>
    <w:rsid w:val="00000B2B"/>
    <w:rsid w:val="00000B4C"/>
    <w:rsid w:val="00000BCE"/>
    <w:rsid w:val="00000C5C"/>
    <w:rsid w:val="00000C90"/>
    <w:rsid w:val="00000C9E"/>
    <w:rsid w:val="00000D63"/>
    <w:rsid w:val="00000D73"/>
    <w:rsid w:val="00000D92"/>
    <w:rsid w:val="00000DC0"/>
    <w:rsid w:val="00000E29"/>
    <w:rsid w:val="00000E74"/>
    <w:rsid w:val="00000EB7"/>
    <w:rsid w:val="00000F00"/>
    <w:rsid w:val="00000F31"/>
    <w:rsid w:val="00000FBA"/>
    <w:rsid w:val="00001041"/>
    <w:rsid w:val="0000107E"/>
    <w:rsid w:val="000010CF"/>
    <w:rsid w:val="0000113A"/>
    <w:rsid w:val="00001169"/>
    <w:rsid w:val="00001181"/>
    <w:rsid w:val="000011C8"/>
    <w:rsid w:val="0000123F"/>
    <w:rsid w:val="0000126F"/>
    <w:rsid w:val="00001341"/>
    <w:rsid w:val="00001353"/>
    <w:rsid w:val="000013FB"/>
    <w:rsid w:val="00001404"/>
    <w:rsid w:val="000014F1"/>
    <w:rsid w:val="0000158B"/>
    <w:rsid w:val="000015F9"/>
    <w:rsid w:val="00001606"/>
    <w:rsid w:val="00001634"/>
    <w:rsid w:val="000016BD"/>
    <w:rsid w:val="00001724"/>
    <w:rsid w:val="00001758"/>
    <w:rsid w:val="00001773"/>
    <w:rsid w:val="0000186C"/>
    <w:rsid w:val="000018A9"/>
    <w:rsid w:val="000018CF"/>
    <w:rsid w:val="000018D7"/>
    <w:rsid w:val="0000190D"/>
    <w:rsid w:val="0000191F"/>
    <w:rsid w:val="00001946"/>
    <w:rsid w:val="0000196D"/>
    <w:rsid w:val="00001987"/>
    <w:rsid w:val="000019C5"/>
    <w:rsid w:val="000019CF"/>
    <w:rsid w:val="000019D0"/>
    <w:rsid w:val="00001A27"/>
    <w:rsid w:val="00001A28"/>
    <w:rsid w:val="00001A3F"/>
    <w:rsid w:val="00001A74"/>
    <w:rsid w:val="00001AB5"/>
    <w:rsid w:val="00001AB9"/>
    <w:rsid w:val="00001B1F"/>
    <w:rsid w:val="00001B53"/>
    <w:rsid w:val="00001B82"/>
    <w:rsid w:val="00001D2B"/>
    <w:rsid w:val="00001D84"/>
    <w:rsid w:val="00001D93"/>
    <w:rsid w:val="00001D9E"/>
    <w:rsid w:val="00001DBA"/>
    <w:rsid w:val="00001DEA"/>
    <w:rsid w:val="00001E3B"/>
    <w:rsid w:val="00001E3C"/>
    <w:rsid w:val="00001E41"/>
    <w:rsid w:val="00001E9A"/>
    <w:rsid w:val="00001F18"/>
    <w:rsid w:val="00001F2E"/>
    <w:rsid w:val="00001F3F"/>
    <w:rsid w:val="00001F94"/>
    <w:rsid w:val="00001FBE"/>
    <w:rsid w:val="00001FF9"/>
    <w:rsid w:val="000020DD"/>
    <w:rsid w:val="0000214F"/>
    <w:rsid w:val="00002154"/>
    <w:rsid w:val="0000216F"/>
    <w:rsid w:val="00002189"/>
    <w:rsid w:val="000021B1"/>
    <w:rsid w:val="000021D4"/>
    <w:rsid w:val="00002207"/>
    <w:rsid w:val="00002285"/>
    <w:rsid w:val="00002310"/>
    <w:rsid w:val="00002326"/>
    <w:rsid w:val="000023C0"/>
    <w:rsid w:val="00002426"/>
    <w:rsid w:val="00002427"/>
    <w:rsid w:val="000024C6"/>
    <w:rsid w:val="0000250A"/>
    <w:rsid w:val="00002570"/>
    <w:rsid w:val="00002620"/>
    <w:rsid w:val="0000262C"/>
    <w:rsid w:val="00002660"/>
    <w:rsid w:val="00002667"/>
    <w:rsid w:val="000026A7"/>
    <w:rsid w:val="00002782"/>
    <w:rsid w:val="000027B0"/>
    <w:rsid w:val="00002802"/>
    <w:rsid w:val="0000282B"/>
    <w:rsid w:val="0000296C"/>
    <w:rsid w:val="00002982"/>
    <w:rsid w:val="000029DA"/>
    <w:rsid w:val="000029E2"/>
    <w:rsid w:val="00002A1B"/>
    <w:rsid w:val="00002A44"/>
    <w:rsid w:val="00002A7B"/>
    <w:rsid w:val="00002AE4"/>
    <w:rsid w:val="00002C58"/>
    <w:rsid w:val="00002C83"/>
    <w:rsid w:val="00002CB5"/>
    <w:rsid w:val="00002CD0"/>
    <w:rsid w:val="00002D5A"/>
    <w:rsid w:val="00002DD7"/>
    <w:rsid w:val="00002E4E"/>
    <w:rsid w:val="00002E54"/>
    <w:rsid w:val="00002E5B"/>
    <w:rsid w:val="00002E7A"/>
    <w:rsid w:val="00002FCB"/>
    <w:rsid w:val="00003079"/>
    <w:rsid w:val="000030E1"/>
    <w:rsid w:val="000030FB"/>
    <w:rsid w:val="00003105"/>
    <w:rsid w:val="00003160"/>
    <w:rsid w:val="000031B2"/>
    <w:rsid w:val="00003338"/>
    <w:rsid w:val="0000333A"/>
    <w:rsid w:val="000033A7"/>
    <w:rsid w:val="000034E0"/>
    <w:rsid w:val="000034F7"/>
    <w:rsid w:val="00003519"/>
    <w:rsid w:val="00003552"/>
    <w:rsid w:val="000035E1"/>
    <w:rsid w:val="0000362E"/>
    <w:rsid w:val="0000365E"/>
    <w:rsid w:val="000036D6"/>
    <w:rsid w:val="0000378B"/>
    <w:rsid w:val="000037C6"/>
    <w:rsid w:val="000038CB"/>
    <w:rsid w:val="000038EA"/>
    <w:rsid w:val="00003931"/>
    <w:rsid w:val="00003933"/>
    <w:rsid w:val="0000393E"/>
    <w:rsid w:val="00003A08"/>
    <w:rsid w:val="00003A52"/>
    <w:rsid w:val="00003A53"/>
    <w:rsid w:val="00003A61"/>
    <w:rsid w:val="00003A67"/>
    <w:rsid w:val="00003B0F"/>
    <w:rsid w:val="00003BE4"/>
    <w:rsid w:val="00003C96"/>
    <w:rsid w:val="00003CDF"/>
    <w:rsid w:val="00003DFC"/>
    <w:rsid w:val="00003E1B"/>
    <w:rsid w:val="00003E97"/>
    <w:rsid w:val="00003EF6"/>
    <w:rsid w:val="00004093"/>
    <w:rsid w:val="000040A6"/>
    <w:rsid w:val="00004140"/>
    <w:rsid w:val="000041A5"/>
    <w:rsid w:val="000041DB"/>
    <w:rsid w:val="000041DE"/>
    <w:rsid w:val="00004335"/>
    <w:rsid w:val="000043C3"/>
    <w:rsid w:val="00004559"/>
    <w:rsid w:val="00004773"/>
    <w:rsid w:val="000047E3"/>
    <w:rsid w:val="00004835"/>
    <w:rsid w:val="00004882"/>
    <w:rsid w:val="000048EF"/>
    <w:rsid w:val="0000491D"/>
    <w:rsid w:val="0000494E"/>
    <w:rsid w:val="00004967"/>
    <w:rsid w:val="000049DB"/>
    <w:rsid w:val="000049F9"/>
    <w:rsid w:val="00004B0D"/>
    <w:rsid w:val="00004B25"/>
    <w:rsid w:val="00004B81"/>
    <w:rsid w:val="00004B99"/>
    <w:rsid w:val="00004BDA"/>
    <w:rsid w:val="00004C41"/>
    <w:rsid w:val="00004C74"/>
    <w:rsid w:val="00004CD8"/>
    <w:rsid w:val="00004D58"/>
    <w:rsid w:val="00004DA3"/>
    <w:rsid w:val="00004DAB"/>
    <w:rsid w:val="00004E1A"/>
    <w:rsid w:val="00004EAB"/>
    <w:rsid w:val="00004EF1"/>
    <w:rsid w:val="00004F9E"/>
    <w:rsid w:val="0000505C"/>
    <w:rsid w:val="00005080"/>
    <w:rsid w:val="000050DA"/>
    <w:rsid w:val="00005105"/>
    <w:rsid w:val="00005236"/>
    <w:rsid w:val="00005273"/>
    <w:rsid w:val="00005286"/>
    <w:rsid w:val="00005296"/>
    <w:rsid w:val="000052C1"/>
    <w:rsid w:val="00005359"/>
    <w:rsid w:val="000053F7"/>
    <w:rsid w:val="0000545A"/>
    <w:rsid w:val="00005466"/>
    <w:rsid w:val="00005469"/>
    <w:rsid w:val="000055AC"/>
    <w:rsid w:val="00005666"/>
    <w:rsid w:val="000056E5"/>
    <w:rsid w:val="0000571C"/>
    <w:rsid w:val="00005747"/>
    <w:rsid w:val="00005769"/>
    <w:rsid w:val="000057F5"/>
    <w:rsid w:val="0000580D"/>
    <w:rsid w:val="00005906"/>
    <w:rsid w:val="0000591B"/>
    <w:rsid w:val="000059D6"/>
    <w:rsid w:val="000059DA"/>
    <w:rsid w:val="00005A30"/>
    <w:rsid w:val="00005AA2"/>
    <w:rsid w:val="00005ABE"/>
    <w:rsid w:val="00005AFF"/>
    <w:rsid w:val="00005B32"/>
    <w:rsid w:val="00005B66"/>
    <w:rsid w:val="00005B87"/>
    <w:rsid w:val="00005B88"/>
    <w:rsid w:val="00005BCB"/>
    <w:rsid w:val="00005D20"/>
    <w:rsid w:val="00005D30"/>
    <w:rsid w:val="00005D33"/>
    <w:rsid w:val="00005D67"/>
    <w:rsid w:val="00005DA2"/>
    <w:rsid w:val="00005DCE"/>
    <w:rsid w:val="00005DD1"/>
    <w:rsid w:val="00005E37"/>
    <w:rsid w:val="00005E43"/>
    <w:rsid w:val="00005E79"/>
    <w:rsid w:val="00005F1F"/>
    <w:rsid w:val="00005F91"/>
    <w:rsid w:val="00005FCB"/>
    <w:rsid w:val="0000606A"/>
    <w:rsid w:val="000060B2"/>
    <w:rsid w:val="0000614A"/>
    <w:rsid w:val="00006207"/>
    <w:rsid w:val="0000625E"/>
    <w:rsid w:val="0000627E"/>
    <w:rsid w:val="00006293"/>
    <w:rsid w:val="00006331"/>
    <w:rsid w:val="0000640E"/>
    <w:rsid w:val="000064C8"/>
    <w:rsid w:val="000064C9"/>
    <w:rsid w:val="000064EC"/>
    <w:rsid w:val="00006513"/>
    <w:rsid w:val="00006556"/>
    <w:rsid w:val="0000657E"/>
    <w:rsid w:val="000065BD"/>
    <w:rsid w:val="00006627"/>
    <w:rsid w:val="00006632"/>
    <w:rsid w:val="00006638"/>
    <w:rsid w:val="00006657"/>
    <w:rsid w:val="00006802"/>
    <w:rsid w:val="00006829"/>
    <w:rsid w:val="000068A8"/>
    <w:rsid w:val="000068FC"/>
    <w:rsid w:val="00006986"/>
    <w:rsid w:val="00006A2B"/>
    <w:rsid w:val="00006ADB"/>
    <w:rsid w:val="00006B04"/>
    <w:rsid w:val="00006B07"/>
    <w:rsid w:val="00006B0D"/>
    <w:rsid w:val="00006B58"/>
    <w:rsid w:val="00006B5B"/>
    <w:rsid w:val="00006B9B"/>
    <w:rsid w:val="00006BB8"/>
    <w:rsid w:val="00006BCA"/>
    <w:rsid w:val="00006BD1"/>
    <w:rsid w:val="00006C33"/>
    <w:rsid w:val="00006D79"/>
    <w:rsid w:val="00006E32"/>
    <w:rsid w:val="00006F36"/>
    <w:rsid w:val="00006F45"/>
    <w:rsid w:val="00006FCB"/>
    <w:rsid w:val="00007071"/>
    <w:rsid w:val="00007153"/>
    <w:rsid w:val="00007182"/>
    <w:rsid w:val="00007224"/>
    <w:rsid w:val="0000722E"/>
    <w:rsid w:val="0000726A"/>
    <w:rsid w:val="00007270"/>
    <w:rsid w:val="00007340"/>
    <w:rsid w:val="00007487"/>
    <w:rsid w:val="00007495"/>
    <w:rsid w:val="00007497"/>
    <w:rsid w:val="0000765F"/>
    <w:rsid w:val="00007662"/>
    <w:rsid w:val="0000779B"/>
    <w:rsid w:val="000077BB"/>
    <w:rsid w:val="000077C1"/>
    <w:rsid w:val="000077E7"/>
    <w:rsid w:val="00007929"/>
    <w:rsid w:val="0000793F"/>
    <w:rsid w:val="00007A17"/>
    <w:rsid w:val="00007A63"/>
    <w:rsid w:val="00007A72"/>
    <w:rsid w:val="00007AC2"/>
    <w:rsid w:val="00007ACE"/>
    <w:rsid w:val="00007ACF"/>
    <w:rsid w:val="00007AD3"/>
    <w:rsid w:val="00007B04"/>
    <w:rsid w:val="00007BD0"/>
    <w:rsid w:val="00007C1A"/>
    <w:rsid w:val="00007C43"/>
    <w:rsid w:val="00007CEE"/>
    <w:rsid w:val="00007DCC"/>
    <w:rsid w:val="00007E19"/>
    <w:rsid w:val="00007ECE"/>
    <w:rsid w:val="00007EFE"/>
    <w:rsid w:val="00007F13"/>
    <w:rsid w:val="00007F39"/>
    <w:rsid w:val="00007FA9"/>
    <w:rsid w:val="00007FB3"/>
    <w:rsid w:val="00010024"/>
    <w:rsid w:val="0001007D"/>
    <w:rsid w:val="0001018F"/>
    <w:rsid w:val="000102B4"/>
    <w:rsid w:val="000102DE"/>
    <w:rsid w:val="000102E6"/>
    <w:rsid w:val="000102F9"/>
    <w:rsid w:val="00010369"/>
    <w:rsid w:val="00010374"/>
    <w:rsid w:val="000103F7"/>
    <w:rsid w:val="00010408"/>
    <w:rsid w:val="000104C1"/>
    <w:rsid w:val="00010507"/>
    <w:rsid w:val="00010551"/>
    <w:rsid w:val="00010598"/>
    <w:rsid w:val="000105F3"/>
    <w:rsid w:val="000105FC"/>
    <w:rsid w:val="00010602"/>
    <w:rsid w:val="0001061C"/>
    <w:rsid w:val="0001063E"/>
    <w:rsid w:val="000107C9"/>
    <w:rsid w:val="00010810"/>
    <w:rsid w:val="0001084D"/>
    <w:rsid w:val="000108B8"/>
    <w:rsid w:val="00010962"/>
    <w:rsid w:val="00010974"/>
    <w:rsid w:val="000109E7"/>
    <w:rsid w:val="000109F4"/>
    <w:rsid w:val="00010A39"/>
    <w:rsid w:val="00010B23"/>
    <w:rsid w:val="00010B53"/>
    <w:rsid w:val="00010BBF"/>
    <w:rsid w:val="00010C55"/>
    <w:rsid w:val="00010C81"/>
    <w:rsid w:val="00010D7F"/>
    <w:rsid w:val="00010F1C"/>
    <w:rsid w:val="00010F9C"/>
    <w:rsid w:val="0001106B"/>
    <w:rsid w:val="00011079"/>
    <w:rsid w:val="0001116C"/>
    <w:rsid w:val="000111CF"/>
    <w:rsid w:val="00011219"/>
    <w:rsid w:val="000112C7"/>
    <w:rsid w:val="0001132F"/>
    <w:rsid w:val="000113C4"/>
    <w:rsid w:val="00011400"/>
    <w:rsid w:val="000114D3"/>
    <w:rsid w:val="0001158C"/>
    <w:rsid w:val="0001159C"/>
    <w:rsid w:val="000115A8"/>
    <w:rsid w:val="000115A9"/>
    <w:rsid w:val="000115DA"/>
    <w:rsid w:val="000116A9"/>
    <w:rsid w:val="000116BF"/>
    <w:rsid w:val="0001178B"/>
    <w:rsid w:val="00011795"/>
    <w:rsid w:val="000117A6"/>
    <w:rsid w:val="000117D3"/>
    <w:rsid w:val="00011824"/>
    <w:rsid w:val="0001183A"/>
    <w:rsid w:val="00011879"/>
    <w:rsid w:val="000118E6"/>
    <w:rsid w:val="00011927"/>
    <w:rsid w:val="0001195E"/>
    <w:rsid w:val="000119DA"/>
    <w:rsid w:val="00011A51"/>
    <w:rsid w:val="00011A93"/>
    <w:rsid w:val="00011B98"/>
    <w:rsid w:val="00011B9E"/>
    <w:rsid w:val="00011BCF"/>
    <w:rsid w:val="00011C4F"/>
    <w:rsid w:val="00011C7E"/>
    <w:rsid w:val="00011C83"/>
    <w:rsid w:val="00011CA2"/>
    <w:rsid w:val="00011CF3"/>
    <w:rsid w:val="00011D06"/>
    <w:rsid w:val="00011D22"/>
    <w:rsid w:val="00011D60"/>
    <w:rsid w:val="00011DE5"/>
    <w:rsid w:val="00011E32"/>
    <w:rsid w:val="00011E54"/>
    <w:rsid w:val="00011EB5"/>
    <w:rsid w:val="00011F09"/>
    <w:rsid w:val="00011F18"/>
    <w:rsid w:val="00011F78"/>
    <w:rsid w:val="00011F7D"/>
    <w:rsid w:val="00011F91"/>
    <w:rsid w:val="0001200E"/>
    <w:rsid w:val="00012062"/>
    <w:rsid w:val="000120A7"/>
    <w:rsid w:val="000120AE"/>
    <w:rsid w:val="000120C7"/>
    <w:rsid w:val="000121F7"/>
    <w:rsid w:val="00012238"/>
    <w:rsid w:val="000122C6"/>
    <w:rsid w:val="00012521"/>
    <w:rsid w:val="0001253D"/>
    <w:rsid w:val="00012568"/>
    <w:rsid w:val="00012624"/>
    <w:rsid w:val="00012643"/>
    <w:rsid w:val="00012682"/>
    <w:rsid w:val="000126D2"/>
    <w:rsid w:val="00012754"/>
    <w:rsid w:val="0001285B"/>
    <w:rsid w:val="00012885"/>
    <w:rsid w:val="00012893"/>
    <w:rsid w:val="000128B7"/>
    <w:rsid w:val="000128E0"/>
    <w:rsid w:val="000129DF"/>
    <w:rsid w:val="00012A4D"/>
    <w:rsid w:val="00012A6B"/>
    <w:rsid w:val="00012AA3"/>
    <w:rsid w:val="00012B38"/>
    <w:rsid w:val="00012B94"/>
    <w:rsid w:val="00012B98"/>
    <w:rsid w:val="00012BBB"/>
    <w:rsid w:val="00012BDD"/>
    <w:rsid w:val="00012C31"/>
    <w:rsid w:val="00012C6A"/>
    <w:rsid w:val="00012C78"/>
    <w:rsid w:val="00012D51"/>
    <w:rsid w:val="00012E2B"/>
    <w:rsid w:val="00012E62"/>
    <w:rsid w:val="00012EBE"/>
    <w:rsid w:val="00012F33"/>
    <w:rsid w:val="00012F35"/>
    <w:rsid w:val="00012F4B"/>
    <w:rsid w:val="00012F95"/>
    <w:rsid w:val="00012FD3"/>
    <w:rsid w:val="0001314A"/>
    <w:rsid w:val="00013161"/>
    <w:rsid w:val="000131E3"/>
    <w:rsid w:val="00013224"/>
    <w:rsid w:val="0001326C"/>
    <w:rsid w:val="00013330"/>
    <w:rsid w:val="00013367"/>
    <w:rsid w:val="000133C0"/>
    <w:rsid w:val="00013412"/>
    <w:rsid w:val="00013414"/>
    <w:rsid w:val="00013416"/>
    <w:rsid w:val="00013431"/>
    <w:rsid w:val="0001349E"/>
    <w:rsid w:val="00013506"/>
    <w:rsid w:val="0001353C"/>
    <w:rsid w:val="00013622"/>
    <w:rsid w:val="00013687"/>
    <w:rsid w:val="000136AF"/>
    <w:rsid w:val="000136FA"/>
    <w:rsid w:val="00013801"/>
    <w:rsid w:val="00013902"/>
    <w:rsid w:val="00013930"/>
    <w:rsid w:val="0001396B"/>
    <w:rsid w:val="000139D7"/>
    <w:rsid w:val="00013A93"/>
    <w:rsid w:val="00013A98"/>
    <w:rsid w:val="00013B61"/>
    <w:rsid w:val="00013C8B"/>
    <w:rsid w:val="00013D0B"/>
    <w:rsid w:val="00013D74"/>
    <w:rsid w:val="00013D9F"/>
    <w:rsid w:val="00013DC3"/>
    <w:rsid w:val="00013DEE"/>
    <w:rsid w:val="00013E24"/>
    <w:rsid w:val="00013E30"/>
    <w:rsid w:val="00013E35"/>
    <w:rsid w:val="00013EC7"/>
    <w:rsid w:val="00013ED0"/>
    <w:rsid w:val="00013F63"/>
    <w:rsid w:val="00013FD0"/>
    <w:rsid w:val="00014041"/>
    <w:rsid w:val="0001408B"/>
    <w:rsid w:val="000140A0"/>
    <w:rsid w:val="000140A6"/>
    <w:rsid w:val="000140D0"/>
    <w:rsid w:val="0001416E"/>
    <w:rsid w:val="000141DA"/>
    <w:rsid w:val="0001424B"/>
    <w:rsid w:val="000142EE"/>
    <w:rsid w:val="0001435F"/>
    <w:rsid w:val="00014382"/>
    <w:rsid w:val="000143FB"/>
    <w:rsid w:val="00014412"/>
    <w:rsid w:val="00014498"/>
    <w:rsid w:val="000144FB"/>
    <w:rsid w:val="00014501"/>
    <w:rsid w:val="00014572"/>
    <w:rsid w:val="00014660"/>
    <w:rsid w:val="0001466C"/>
    <w:rsid w:val="00014755"/>
    <w:rsid w:val="0001476E"/>
    <w:rsid w:val="000147A1"/>
    <w:rsid w:val="000147EA"/>
    <w:rsid w:val="00014807"/>
    <w:rsid w:val="00014839"/>
    <w:rsid w:val="0001487F"/>
    <w:rsid w:val="000148B7"/>
    <w:rsid w:val="00014908"/>
    <w:rsid w:val="00014919"/>
    <w:rsid w:val="0001496F"/>
    <w:rsid w:val="000149DE"/>
    <w:rsid w:val="000149EA"/>
    <w:rsid w:val="00014A36"/>
    <w:rsid w:val="00014A5F"/>
    <w:rsid w:val="00014A63"/>
    <w:rsid w:val="00014AC0"/>
    <w:rsid w:val="00014AF2"/>
    <w:rsid w:val="00014AFB"/>
    <w:rsid w:val="00014B1B"/>
    <w:rsid w:val="00014B24"/>
    <w:rsid w:val="00014B9E"/>
    <w:rsid w:val="00014C4F"/>
    <w:rsid w:val="00014C59"/>
    <w:rsid w:val="00014C6A"/>
    <w:rsid w:val="00014CEB"/>
    <w:rsid w:val="00014D65"/>
    <w:rsid w:val="00014D82"/>
    <w:rsid w:val="00014EA4"/>
    <w:rsid w:val="00014EBA"/>
    <w:rsid w:val="00014EE0"/>
    <w:rsid w:val="00014F10"/>
    <w:rsid w:val="00014FE8"/>
    <w:rsid w:val="00015048"/>
    <w:rsid w:val="000150C3"/>
    <w:rsid w:val="000150CF"/>
    <w:rsid w:val="0001515C"/>
    <w:rsid w:val="000151BC"/>
    <w:rsid w:val="000151E6"/>
    <w:rsid w:val="0001523E"/>
    <w:rsid w:val="0001525E"/>
    <w:rsid w:val="0001532F"/>
    <w:rsid w:val="0001537F"/>
    <w:rsid w:val="000153F6"/>
    <w:rsid w:val="00015416"/>
    <w:rsid w:val="0001542C"/>
    <w:rsid w:val="00015440"/>
    <w:rsid w:val="00015446"/>
    <w:rsid w:val="000154DE"/>
    <w:rsid w:val="0001567B"/>
    <w:rsid w:val="00015685"/>
    <w:rsid w:val="000156A9"/>
    <w:rsid w:val="000157D4"/>
    <w:rsid w:val="00015868"/>
    <w:rsid w:val="000158A6"/>
    <w:rsid w:val="00015955"/>
    <w:rsid w:val="00015A76"/>
    <w:rsid w:val="00015AE9"/>
    <w:rsid w:val="00015AF2"/>
    <w:rsid w:val="00015B23"/>
    <w:rsid w:val="00015BC9"/>
    <w:rsid w:val="00015C8F"/>
    <w:rsid w:val="00015D13"/>
    <w:rsid w:val="00015D82"/>
    <w:rsid w:val="00015DD2"/>
    <w:rsid w:val="00015E54"/>
    <w:rsid w:val="00015ECE"/>
    <w:rsid w:val="00015F0F"/>
    <w:rsid w:val="00015F51"/>
    <w:rsid w:val="00015F75"/>
    <w:rsid w:val="00015FCD"/>
    <w:rsid w:val="00016016"/>
    <w:rsid w:val="0001602E"/>
    <w:rsid w:val="00016037"/>
    <w:rsid w:val="0001614B"/>
    <w:rsid w:val="0001615C"/>
    <w:rsid w:val="000161DE"/>
    <w:rsid w:val="00016203"/>
    <w:rsid w:val="00016207"/>
    <w:rsid w:val="00016240"/>
    <w:rsid w:val="00016345"/>
    <w:rsid w:val="00016379"/>
    <w:rsid w:val="0001640C"/>
    <w:rsid w:val="0001646C"/>
    <w:rsid w:val="0001655D"/>
    <w:rsid w:val="000165F2"/>
    <w:rsid w:val="0001661C"/>
    <w:rsid w:val="0001661F"/>
    <w:rsid w:val="00016623"/>
    <w:rsid w:val="0001665C"/>
    <w:rsid w:val="0001674A"/>
    <w:rsid w:val="00016758"/>
    <w:rsid w:val="00016802"/>
    <w:rsid w:val="00016869"/>
    <w:rsid w:val="000168D8"/>
    <w:rsid w:val="00016960"/>
    <w:rsid w:val="00016A3D"/>
    <w:rsid w:val="00016A4A"/>
    <w:rsid w:val="00016AC2"/>
    <w:rsid w:val="00016C4B"/>
    <w:rsid w:val="00016C77"/>
    <w:rsid w:val="00016C91"/>
    <w:rsid w:val="00016D17"/>
    <w:rsid w:val="00016D4A"/>
    <w:rsid w:val="00016D60"/>
    <w:rsid w:val="00016D81"/>
    <w:rsid w:val="00016DA4"/>
    <w:rsid w:val="00016DCF"/>
    <w:rsid w:val="00016F3B"/>
    <w:rsid w:val="000170F0"/>
    <w:rsid w:val="00017179"/>
    <w:rsid w:val="00017226"/>
    <w:rsid w:val="0001725E"/>
    <w:rsid w:val="00017265"/>
    <w:rsid w:val="000172A8"/>
    <w:rsid w:val="000172BF"/>
    <w:rsid w:val="000172D2"/>
    <w:rsid w:val="000172FC"/>
    <w:rsid w:val="0001731B"/>
    <w:rsid w:val="0001733A"/>
    <w:rsid w:val="00017344"/>
    <w:rsid w:val="0001740B"/>
    <w:rsid w:val="00017437"/>
    <w:rsid w:val="00017552"/>
    <w:rsid w:val="00017553"/>
    <w:rsid w:val="00017569"/>
    <w:rsid w:val="000175B7"/>
    <w:rsid w:val="000175CB"/>
    <w:rsid w:val="000175D7"/>
    <w:rsid w:val="00017664"/>
    <w:rsid w:val="00017673"/>
    <w:rsid w:val="0001769A"/>
    <w:rsid w:val="000176CC"/>
    <w:rsid w:val="0001772E"/>
    <w:rsid w:val="00017736"/>
    <w:rsid w:val="00017746"/>
    <w:rsid w:val="00017773"/>
    <w:rsid w:val="000177A1"/>
    <w:rsid w:val="000178EA"/>
    <w:rsid w:val="000178EE"/>
    <w:rsid w:val="000179A6"/>
    <w:rsid w:val="000179B0"/>
    <w:rsid w:val="00017A8A"/>
    <w:rsid w:val="00017A98"/>
    <w:rsid w:val="00017B22"/>
    <w:rsid w:val="00017B98"/>
    <w:rsid w:val="00017B9D"/>
    <w:rsid w:val="00017C25"/>
    <w:rsid w:val="00017C63"/>
    <w:rsid w:val="00017CEC"/>
    <w:rsid w:val="00017CEF"/>
    <w:rsid w:val="00017D06"/>
    <w:rsid w:val="00017D80"/>
    <w:rsid w:val="00017DEE"/>
    <w:rsid w:val="00017ECA"/>
    <w:rsid w:val="00017F23"/>
    <w:rsid w:val="00017FD8"/>
    <w:rsid w:val="00020117"/>
    <w:rsid w:val="0002015B"/>
    <w:rsid w:val="00020168"/>
    <w:rsid w:val="000201A9"/>
    <w:rsid w:val="000201C2"/>
    <w:rsid w:val="00020226"/>
    <w:rsid w:val="00020239"/>
    <w:rsid w:val="0002024D"/>
    <w:rsid w:val="0002025C"/>
    <w:rsid w:val="000203BB"/>
    <w:rsid w:val="000203DA"/>
    <w:rsid w:val="00020419"/>
    <w:rsid w:val="00020432"/>
    <w:rsid w:val="00020499"/>
    <w:rsid w:val="00020576"/>
    <w:rsid w:val="000205B3"/>
    <w:rsid w:val="00020622"/>
    <w:rsid w:val="000206D8"/>
    <w:rsid w:val="000206DB"/>
    <w:rsid w:val="00020710"/>
    <w:rsid w:val="00020743"/>
    <w:rsid w:val="00020758"/>
    <w:rsid w:val="00020828"/>
    <w:rsid w:val="0002094D"/>
    <w:rsid w:val="00020A2E"/>
    <w:rsid w:val="00020A59"/>
    <w:rsid w:val="00020AAA"/>
    <w:rsid w:val="00020AD2"/>
    <w:rsid w:val="00020C00"/>
    <w:rsid w:val="00020C07"/>
    <w:rsid w:val="00020C27"/>
    <w:rsid w:val="00020C90"/>
    <w:rsid w:val="00020D31"/>
    <w:rsid w:val="00020D40"/>
    <w:rsid w:val="00020DA2"/>
    <w:rsid w:val="00020DA9"/>
    <w:rsid w:val="00020E22"/>
    <w:rsid w:val="00020E7B"/>
    <w:rsid w:val="00020F30"/>
    <w:rsid w:val="00020F3D"/>
    <w:rsid w:val="00020F48"/>
    <w:rsid w:val="00020FA8"/>
    <w:rsid w:val="00020FE7"/>
    <w:rsid w:val="00020FFF"/>
    <w:rsid w:val="0002100C"/>
    <w:rsid w:val="000210A4"/>
    <w:rsid w:val="000210AA"/>
    <w:rsid w:val="00021128"/>
    <w:rsid w:val="00021156"/>
    <w:rsid w:val="0002118D"/>
    <w:rsid w:val="0002118F"/>
    <w:rsid w:val="0002122A"/>
    <w:rsid w:val="00021288"/>
    <w:rsid w:val="00021499"/>
    <w:rsid w:val="000214B2"/>
    <w:rsid w:val="000215E7"/>
    <w:rsid w:val="0002163C"/>
    <w:rsid w:val="000216A5"/>
    <w:rsid w:val="0002170B"/>
    <w:rsid w:val="00021714"/>
    <w:rsid w:val="00021728"/>
    <w:rsid w:val="00021749"/>
    <w:rsid w:val="000217A9"/>
    <w:rsid w:val="000217BA"/>
    <w:rsid w:val="000217C2"/>
    <w:rsid w:val="0002189D"/>
    <w:rsid w:val="000218A0"/>
    <w:rsid w:val="0002196B"/>
    <w:rsid w:val="000219F2"/>
    <w:rsid w:val="00021A29"/>
    <w:rsid w:val="00021A50"/>
    <w:rsid w:val="00021A7A"/>
    <w:rsid w:val="00021AE7"/>
    <w:rsid w:val="00021CB7"/>
    <w:rsid w:val="00021CE5"/>
    <w:rsid w:val="00021CF3"/>
    <w:rsid w:val="00021D6D"/>
    <w:rsid w:val="00021DAA"/>
    <w:rsid w:val="00021DB7"/>
    <w:rsid w:val="00021E6F"/>
    <w:rsid w:val="00021E88"/>
    <w:rsid w:val="00021FC6"/>
    <w:rsid w:val="00021FCC"/>
    <w:rsid w:val="00022140"/>
    <w:rsid w:val="0002217D"/>
    <w:rsid w:val="000221D7"/>
    <w:rsid w:val="000221FE"/>
    <w:rsid w:val="0002220A"/>
    <w:rsid w:val="0002228A"/>
    <w:rsid w:val="000222A3"/>
    <w:rsid w:val="000222BA"/>
    <w:rsid w:val="000222D2"/>
    <w:rsid w:val="000222EC"/>
    <w:rsid w:val="00022360"/>
    <w:rsid w:val="00022413"/>
    <w:rsid w:val="0002254F"/>
    <w:rsid w:val="000225A6"/>
    <w:rsid w:val="000225B5"/>
    <w:rsid w:val="0002263B"/>
    <w:rsid w:val="00022760"/>
    <w:rsid w:val="0002277F"/>
    <w:rsid w:val="00022797"/>
    <w:rsid w:val="000227C5"/>
    <w:rsid w:val="00022834"/>
    <w:rsid w:val="00022855"/>
    <w:rsid w:val="00022A67"/>
    <w:rsid w:val="00022B43"/>
    <w:rsid w:val="00022BFD"/>
    <w:rsid w:val="00022C2A"/>
    <w:rsid w:val="00022C3E"/>
    <w:rsid w:val="00022C5E"/>
    <w:rsid w:val="00022C86"/>
    <w:rsid w:val="00022D2D"/>
    <w:rsid w:val="00022D57"/>
    <w:rsid w:val="00022D9D"/>
    <w:rsid w:val="00022DF1"/>
    <w:rsid w:val="00022E28"/>
    <w:rsid w:val="00022E57"/>
    <w:rsid w:val="00022F2D"/>
    <w:rsid w:val="00022F7E"/>
    <w:rsid w:val="00023039"/>
    <w:rsid w:val="00023055"/>
    <w:rsid w:val="0002307E"/>
    <w:rsid w:val="000230AB"/>
    <w:rsid w:val="000230F8"/>
    <w:rsid w:val="0002318B"/>
    <w:rsid w:val="0002319A"/>
    <w:rsid w:val="000232A3"/>
    <w:rsid w:val="000232BB"/>
    <w:rsid w:val="000232F7"/>
    <w:rsid w:val="00023311"/>
    <w:rsid w:val="00023348"/>
    <w:rsid w:val="00023352"/>
    <w:rsid w:val="00023388"/>
    <w:rsid w:val="000233E0"/>
    <w:rsid w:val="0002341E"/>
    <w:rsid w:val="00023425"/>
    <w:rsid w:val="00023436"/>
    <w:rsid w:val="000234A2"/>
    <w:rsid w:val="00023570"/>
    <w:rsid w:val="00023579"/>
    <w:rsid w:val="00023590"/>
    <w:rsid w:val="000235A1"/>
    <w:rsid w:val="00023645"/>
    <w:rsid w:val="000236DA"/>
    <w:rsid w:val="0002374B"/>
    <w:rsid w:val="000237B5"/>
    <w:rsid w:val="000237C6"/>
    <w:rsid w:val="000237E0"/>
    <w:rsid w:val="0002383A"/>
    <w:rsid w:val="000238A0"/>
    <w:rsid w:val="000238C6"/>
    <w:rsid w:val="000238DC"/>
    <w:rsid w:val="0002391C"/>
    <w:rsid w:val="00023AB2"/>
    <w:rsid w:val="00023B2A"/>
    <w:rsid w:val="00023BA7"/>
    <w:rsid w:val="00023BAC"/>
    <w:rsid w:val="00023C42"/>
    <w:rsid w:val="00023C82"/>
    <w:rsid w:val="00023C8A"/>
    <w:rsid w:val="00023DDD"/>
    <w:rsid w:val="00023DE7"/>
    <w:rsid w:val="00023E93"/>
    <w:rsid w:val="00023EC2"/>
    <w:rsid w:val="00023EE4"/>
    <w:rsid w:val="00023FEF"/>
    <w:rsid w:val="00024011"/>
    <w:rsid w:val="00024057"/>
    <w:rsid w:val="000240C2"/>
    <w:rsid w:val="00024139"/>
    <w:rsid w:val="0002413F"/>
    <w:rsid w:val="00024198"/>
    <w:rsid w:val="000241C3"/>
    <w:rsid w:val="000241FE"/>
    <w:rsid w:val="0002420F"/>
    <w:rsid w:val="00024236"/>
    <w:rsid w:val="00024244"/>
    <w:rsid w:val="000242B5"/>
    <w:rsid w:val="000243D4"/>
    <w:rsid w:val="000244AB"/>
    <w:rsid w:val="000244C4"/>
    <w:rsid w:val="000244C8"/>
    <w:rsid w:val="000244E3"/>
    <w:rsid w:val="00024554"/>
    <w:rsid w:val="000245F6"/>
    <w:rsid w:val="000246A1"/>
    <w:rsid w:val="000246C1"/>
    <w:rsid w:val="0002472D"/>
    <w:rsid w:val="00024746"/>
    <w:rsid w:val="00024758"/>
    <w:rsid w:val="00024777"/>
    <w:rsid w:val="00024793"/>
    <w:rsid w:val="0002479E"/>
    <w:rsid w:val="000247F9"/>
    <w:rsid w:val="00024842"/>
    <w:rsid w:val="00024875"/>
    <w:rsid w:val="0002487A"/>
    <w:rsid w:val="000248B1"/>
    <w:rsid w:val="00024951"/>
    <w:rsid w:val="00024972"/>
    <w:rsid w:val="0002497A"/>
    <w:rsid w:val="00024A60"/>
    <w:rsid w:val="00024AF6"/>
    <w:rsid w:val="00024C74"/>
    <w:rsid w:val="00024CB2"/>
    <w:rsid w:val="00024CBA"/>
    <w:rsid w:val="00024CF4"/>
    <w:rsid w:val="00024DFE"/>
    <w:rsid w:val="00024E11"/>
    <w:rsid w:val="00024E34"/>
    <w:rsid w:val="00024EAB"/>
    <w:rsid w:val="00024ED4"/>
    <w:rsid w:val="00024EF8"/>
    <w:rsid w:val="00024FC8"/>
    <w:rsid w:val="00025014"/>
    <w:rsid w:val="0002510F"/>
    <w:rsid w:val="0002519F"/>
    <w:rsid w:val="000251F1"/>
    <w:rsid w:val="000252C7"/>
    <w:rsid w:val="0002531B"/>
    <w:rsid w:val="0002538B"/>
    <w:rsid w:val="000253B6"/>
    <w:rsid w:val="00025482"/>
    <w:rsid w:val="000254D7"/>
    <w:rsid w:val="000254E6"/>
    <w:rsid w:val="0002550D"/>
    <w:rsid w:val="0002561E"/>
    <w:rsid w:val="00025770"/>
    <w:rsid w:val="000257BC"/>
    <w:rsid w:val="000257C4"/>
    <w:rsid w:val="0002584D"/>
    <w:rsid w:val="00025884"/>
    <w:rsid w:val="00025890"/>
    <w:rsid w:val="000258C7"/>
    <w:rsid w:val="0002596F"/>
    <w:rsid w:val="00025975"/>
    <w:rsid w:val="0002597C"/>
    <w:rsid w:val="000259D4"/>
    <w:rsid w:val="00025B4E"/>
    <w:rsid w:val="00025B9C"/>
    <w:rsid w:val="00025B9F"/>
    <w:rsid w:val="00025DDE"/>
    <w:rsid w:val="00025E08"/>
    <w:rsid w:val="00025E1B"/>
    <w:rsid w:val="00025E7E"/>
    <w:rsid w:val="00025EFC"/>
    <w:rsid w:val="00025EFE"/>
    <w:rsid w:val="00025F15"/>
    <w:rsid w:val="00025F3D"/>
    <w:rsid w:val="00025F45"/>
    <w:rsid w:val="00025F4A"/>
    <w:rsid w:val="00025F62"/>
    <w:rsid w:val="0002608A"/>
    <w:rsid w:val="000260B5"/>
    <w:rsid w:val="000260C1"/>
    <w:rsid w:val="000260DC"/>
    <w:rsid w:val="00026118"/>
    <w:rsid w:val="000261A3"/>
    <w:rsid w:val="000261E8"/>
    <w:rsid w:val="0002643A"/>
    <w:rsid w:val="00026483"/>
    <w:rsid w:val="000264C1"/>
    <w:rsid w:val="00026582"/>
    <w:rsid w:val="000265F4"/>
    <w:rsid w:val="000266C5"/>
    <w:rsid w:val="00026795"/>
    <w:rsid w:val="000267EE"/>
    <w:rsid w:val="000268F7"/>
    <w:rsid w:val="0002692B"/>
    <w:rsid w:val="0002697E"/>
    <w:rsid w:val="000269B9"/>
    <w:rsid w:val="000269C5"/>
    <w:rsid w:val="00026A64"/>
    <w:rsid w:val="00026A7C"/>
    <w:rsid w:val="00026A86"/>
    <w:rsid w:val="00026AEA"/>
    <w:rsid w:val="00026B33"/>
    <w:rsid w:val="00026B74"/>
    <w:rsid w:val="00026B7A"/>
    <w:rsid w:val="00026BBF"/>
    <w:rsid w:val="00026C41"/>
    <w:rsid w:val="00026C7F"/>
    <w:rsid w:val="00026CD2"/>
    <w:rsid w:val="00026D3D"/>
    <w:rsid w:val="00026E0E"/>
    <w:rsid w:val="00026E90"/>
    <w:rsid w:val="00026EA7"/>
    <w:rsid w:val="00026EE8"/>
    <w:rsid w:val="00026F01"/>
    <w:rsid w:val="00027068"/>
    <w:rsid w:val="000270BD"/>
    <w:rsid w:val="00027215"/>
    <w:rsid w:val="00027249"/>
    <w:rsid w:val="00027275"/>
    <w:rsid w:val="00027288"/>
    <w:rsid w:val="0002728E"/>
    <w:rsid w:val="000272A0"/>
    <w:rsid w:val="000272A7"/>
    <w:rsid w:val="000272DC"/>
    <w:rsid w:val="000273E3"/>
    <w:rsid w:val="000274EA"/>
    <w:rsid w:val="000274FF"/>
    <w:rsid w:val="00027569"/>
    <w:rsid w:val="00027678"/>
    <w:rsid w:val="0002768D"/>
    <w:rsid w:val="000276C8"/>
    <w:rsid w:val="000276DA"/>
    <w:rsid w:val="000276F0"/>
    <w:rsid w:val="00027758"/>
    <w:rsid w:val="00027808"/>
    <w:rsid w:val="00027915"/>
    <w:rsid w:val="00027927"/>
    <w:rsid w:val="000279A3"/>
    <w:rsid w:val="000279B9"/>
    <w:rsid w:val="000279FB"/>
    <w:rsid w:val="00027A46"/>
    <w:rsid w:val="00027AAE"/>
    <w:rsid w:val="00027B17"/>
    <w:rsid w:val="00027B8D"/>
    <w:rsid w:val="00027D28"/>
    <w:rsid w:val="00027D6A"/>
    <w:rsid w:val="00027DF6"/>
    <w:rsid w:val="00027E0F"/>
    <w:rsid w:val="00027E1B"/>
    <w:rsid w:val="00027E7C"/>
    <w:rsid w:val="00027F4D"/>
    <w:rsid w:val="0003004A"/>
    <w:rsid w:val="00030066"/>
    <w:rsid w:val="0003007F"/>
    <w:rsid w:val="0003008C"/>
    <w:rsid w:val="000300A4"/>
    <w:rsid w:val="000300BC"/>
    <w:rsid w:val="00030138"/>
    <w:rsid w:val="00030163"/>
    <w:rsid w:val="00030213"/>
    <w:rsid w:val="0003024F"/>
    <w:rsid w:val="00030277"/>
    <w:rsid w:val="00030319"/>
    <w:rsid w:val="000303B7"/>
    <w:rsid w:val="000303BD"/>
    <w:rsid w:val="000303CA"/>
    <w:rsid w:val="00030426"/>
    <w:rsid w:val="00030435"/>
    <w:rsid w:val="00030490"/>
    <w:rsid w:val="00030530"/>
    <w:rsid w:val="00030550"/>
    <w:rsid w:val="00030570"/>
    <w:rsid w:val="00030580"/>
    <w:rsid w:val="0003058A"/>
    <w:rsid w:val="000305EA"/>
    <w:rsid w:val="00030703"/>
    <w:rsid w:val="00030780"/>
    <w:rsid w:val="000307E8"/>
    <w:rsid w:val="00030854"/>
    <w:rsid w:val="000308A9"/>
    <w:rsid w:val="000308F0"/>
    <w:rsid w:val="000309EF"/>
    <w:rsid w:val="00030AA6"/>
    <w:rsid w:val="00030B18"/>
    <w:rsid w:val="00030B3C"/>
    <w:rsid w:val="00030BC5"/>
    <w:rsid w:val="00030BE2"/>
    <w:rsid w:val="00030CE0"/>
    <w:rsid w:val="00030D73"/>
    <w:rsid w:val="00030D7F"/>
    <w:rsid w:val="00030DD0"/>
    <w:rsid w:val="00030DDD"/>
    <w:rsid w:val="00030E57"/>
    <w:rsid w:val="00030E9E"/>
    <w:rsid w:val="00030EA8"/>
    <w:rsid w:val="00030EB6"/>
    <w:rsid w:val="00030EEC"/>
    <w:rsid w:val="00030F9D"/>
    <w:rsid w:val="00031035"/>
    <w:rsid w:val="00031097"/>
    <w:rsid w:val="000310BE"/>
    <w:rsid w:val="000310FE"/>
    <w:rsid w:val="00031100"/>
    <w:rsid w:val="00031124"/>
    <w:rsid w:val="00031131"/>
    <w:rsid w:val="00031152"/>
    <w:rsid w:val="00031182"/>
    <w:rsid w:val="0003118A"/>
    <w:rsid w:val="00031200"/>
    <w:rsid w:val="00031211"/>
    <w:rsid w:val="00031212"/>
    <w:rsid w:val="000312CD"/>
    <w:rsid w:val="000312EB"/>
    <w:rsid w:val="000312F1"/>
    <w:rsid w:val="00031311"/>
    <w:rsid w:val="0003136C"/>
    <w:rsid w:val="0003146A"/>
    <w:rsid w:val="000314F1"/>
    <w:rsid w:val="000314F7"/>
    <w:rsid w:val="00031532"/>
    <w:rsid w:val="000315F6"/>
    <w:rsid w:val="00031619"/>
    <w:rsid w:val="0003162E"/>
    <w:rsid w:val="00031648"/>
    <w:rsid w:val="0003171F"/>
    <w:rsid w:val="0003173E"/>
    <w:rsid w:val="000317CA"/>
    <w:rsid w:val="00031826"/>
    <w:rsid w:val="00031844"/>
    <w:rsid w:val="0003187D"/>
    <w:rsid w:val="000318AB"/>
    <w:rsid w:val="000318C7"/>
    <w:rsid w:val="00031962"/>
    <w:rsid w:val="00031AA4"/>
    <w:rsid w:val="00031AF2"/>
    <w:rsid w:val="00031B40"/>
    <w:rsid w:val="00031B52"/>
    <w:rsid w:val="00031B93"/>
    <w:rsid w:val="00031BB7"/>
    <w:rsid w:val="00031BDD"/>
    <w:rsid w:val="00031C20"/>
    <w:rsid w:val="00031C4F"/>
    <w:rsid w:val="00031C5F"/>
    <w:rsid w:val="00031C72"/>
    <w:rsid w:val="00031DA5"/>
    <w:rsid w:val="00031E78"/>
    <w:rsid w:val="00031F09"/>
    <w:rsid w:val="00031FFD"/>
    <w:rsid w:val="000320AE"/>
    <w:rsid w:val="0003216A"/>
    <w:rsid w:val="00032189"/>
    <w:rsid w:val="000321A6"/>
    <w:rsid w:val="00032220"/>
    <w:rsid w:val="00032247"/>
    <w:rsid w:val="0003226E"/>
    <w:rsid w:val="00032290"/>
    <w:rsid w:val="0003229C"/>
    <w:rsid w:val="0003233E"/>
    <w:rsid w:val="0003237A"/>
    <w:rsid w:val="00032483"/>
    <w:rsid w:val="0003249F"/>
    <w:rsid w:val="00032554"/>
    <w:rsid w:val="00032585"/>
    <w:rsid w:val="000325F1"/>
    <w:rsid w:val="00032658"/>
    <w:rsid w:val="00032728"/>
    <w:rsid w:val="0003272D"/>
    <w:rsid w:val="000327B8"/>
    <w:rsid w:val="000327D3"/>
    <w:rsid w:val="000327E9"/>
    <w:rsid w:val="00032824"/>
    <w:rsid w:val="000328A3"/>
    <w:rsid w:val="000328CD"/>
    <w:rsid w:val="000328EA"/>
    <w:rsid w:val="000329E3"/>
    <w:rsid w:val="00032A35"/>
    <w:rsid w:val="00032A77"/>
    <w:rsid w:val="00032AAD"/>
    <w:rsid w:val="00032B4B"/>
    <w:rsid w:val="00032B5B"/>
    <w:rsid w:val="00032C2A"/>
    <w:rsid w:val="00032C4E"/>
    <w:rsid w:val="00032C7C"/>
    <w:rsid w:val="00032CFC"/>
    <w:rsid w:val="00032D36"/>
    <w:rsid w:val="00032E2F"/>
    <w:rsid w:val="00032E93"/>
    <w:rsid w:val="00032EC6"/>
    <w:rsid w:val="00032EEF"/>
    <w:rsid w:val="00032EF8"/>
    <w:rsid w:val="00032F3B"/>
    <w:rsid w:val="00032F46"/>
    <w:rsid w:val="00032F87"/>
    <w:rsid w:val="000330A5"/>
    <w:rsid w:val="00033194"/>
    <w:rsid w:val="000331B4"/>
    <w:rsid w:val="0003324A"/>
    <w:rsid w:val="00033266"/>
    <w:rsid w:val="0003329A"/>
    <w:rsid w:val="00033309"/>
    <w:rsid w:val="00033331"/>
    <w:rsid w:val="000333FA"/>
    <w:rsid w:val="00033401"/>
    <w:rsid w:val="00033448"/>
    <w:rsid w:val="00033464"/>
    <w:rsid w:val="000334B3"/>
    <w:rsid w:val="000334FB"/>
    <w:rsid w:val="000335DB"/>
    <w:rsid w:val="0003362C"/>
    <w:rsid w:val="00033732"/>
    <w:rsid w:val="000337D2"/>
    <w:rsid w:val="000338CF"/>
    <w:rsid w:val="0003399B"/>
    <w:rsid w:val="000339E8"/>
    <w:rsid w:val="00033A0F"/>
    <w:rsid w:val="00033A15"/>
    <w:rsid w:val="00033A51"/>
    <w:rsid w:val="00033A79"/>
    <w:rsid w:val="00033AD7"/>
    <w:rsid w:val="00033BBE"/>
    <w:rsid w:val="00033C02"/>
    <w:rsid w:val="00033C04"/>
    <w:rsid w:val="00033C1D"/>
    <w:rsid w:val="00033C77"/>
    <w:rsid w:val="00033D13"/>
    <w:rsid w:val="00033D34"/>
    <w:rsid w:val="00033E09"/>
    <w:rsid w:val="00033E35"/>
    <w:rsid w:val="00033E56"/>
    <w:rsid w:val="00033E9A"/>
    <w:rsid w:val="00033ECF"/>
    <w:rsid w:val="00033EFC"/>
    <w:rsid w:val="00034064"/>
    <w:rsid w:val="000341D0"/>
    <w:rsid w:val="000341EC"/>
    <w:rsid w:val="000342A4"/>
    <w:rsid w:val="0003432B"/>
    <w:rsid w:val="00034387"/>
    <w:rsid w:val="000343E2"/>
    <w:rsid w:val="0003441C"/>
    <w:rsid w:val="0003443F"/>
    <w:rsid w:val="000345DF"/>
    <w:rsid w:val="000345E6"/>
    <w:rsid w:val="000346C3"/>
    <w:rsid w:val="000346F7"/>
    <w:rsid w:val="000347DC"/>
    <w:rsid w:val="00034839"/>
    <w:rsid w:val="00034885"/>
    <w:rsid w:val="000348E5"/>
    <w:rsid w:val="000349DC"/>
    <w:rsid w:val="00034A24"/>
    <w:rsid w:val="00034A5A"/>
    <w:rsid w:val="00034A6B"/>
    <w:rsid w:val="00034B04"/>
    <w:rsid w:val="00034B4D"/>
    <w:rsid w:val="00034B58"/>
    <w:rsid w:val="00034B9B"/>
    <w:rsid w:val="00034BD3"/>
    <w:rsid w:val="00034BFA"/>
    <w:rsid w:val="00034C40"/>
    <w:rsid w:val="00034C58"/>
    <w:rsid w:val="00034C8B"/>
    <w:rsid w:val="00034CDF"/>
    <w:rsid w:val="00034CEA"/>
    <w:rsid w:val="00034D04"/>
    <w:rsid w:val="00034DB8"/>
    <w:rsid w:val="00034E28"/>
    <w:rsid w:val="00034E31"/>
    <w:rsid w:val="00034E3E"/>
    <w:rsid w:val="00034E64"/>
    <w:rsid w:val="00034E77"/>
    <w:rsid w:val="00034F19"/>
    <w:rsid w:val="00034F1A"/>
    <w:rsid w:val="00034FDB"/>
    <w:rsid w:val="0003505B"/>
    <w:rsid w:val="00035061"/>
    <w:rsid w:val="00035078"/>
    <w:rsid w:val="000350B9"/>
    <w:rsid w:val="000350DB"/>
    <w:rsid w:val="0003516F"/>
    <w:rsid w:val="00035190"/>
    <w:rsid w:val="000351AA"/>
    <w:rsid w:val="000351B0"/>
    <w:rsid w:val="00035248"/>
    <w:rsid w:val="0003524A"/>
    <w:rsid w:val="00035297"/>
    <w:rsid w:val="0003535B"/>
    <w:rsid w:val="00035481"/>
    <w:rsid w:val="000354DE"/>
    <w:rsid w:val="000354F8"/>
    <w:rsid w:val="000356DA"/>
    <w:rsid w:val="0003572F"/>
    <w:rsid w:val="0003573B"/>
    <w:rsid w:val="0003574F"/>
    <w:rsid w:val="000357AE"/>
    <w:rsid w:val="000357EA"/>
    <w:rsid w:val="00035888"/>
    <w:rsid w:val="000358C9"/>
    <w:rsid w:val="00035948"/>
    <w:rsid w:val="00035973"/>
    <w:rsid w:val="000359E0"/>
    <w:rsid w:val="00035A08"/>
    <w:rsid w:val="00035AB4"/>
    <w:rsid w:val="00035ABB"/>
    <w:rsid w:val="00035AED"/>
    <w:rsid w:val="00035AF8"/>
    <w:rsid w:val="00035B50"/>
    <w:rsid w:val="00035BB7"/>
    <w:rsid w:val="00035BDB"/>
    <w:rsid w:val="00035CE6"/>
    <w:rsid w:val="00035D7E"/>
    <w:rsid w:val="00035D80"/>
    <w:rsid w:val="00035E4C"/>
    <w:rsid w:val="00035F55"/>
    <w:rsid w:val="00035FA5"/>
    <w:rsid w:val="0003606F"/>
    <w:rsid w:val="000360CB"/>
    <w:rsid w:val="00036143"/>
    <w:rsid w:val="0003618B"/>
    <w:rsid w:val="000364BC"/>
    <w:rsid w:val="0003651F"/>
    <w:rsid w:val="00036544"/>
    <w:rsid w:val="000365BD"/>
    <w:rsid w:val="000366B5"/>
    <w:rsid w:val="0003670E"/>
    <w:rsid w:val="000367D8"/>
    <w:rsid w:val="000368EE"/>
    <w:rsid w:val="000368F6"/>
    <w:rsid w:val="00036905"/>
    <w:rsid w:val="00036951"/>
    <w:rsid w:val="000369BE"/>
    <w:rsid w:val="00036A1B"/>
    <w:rsid w:val="00036AF1"/>
    <w:rsid w:val="00036AF5"/>
    <w:rsid w:val="00036B2D"/>
    <w:rsid w:val="00036B8D"/>
    <w:rsid w:val="00036CB9"/>
    <w:rsid w:val="00036CE2"/>
    <w:rsid w:val="00036D03"/>
    <w:rsid w:val="00036D3E"/>
    <w:rsid w:val="00036DB3"/>
    <w:rsid w:val="00036E04"/>
    <w:rsid w:val="00036EC5"/>
    <w:rsid w:val="00036F12"/>
    <w:rsid w:val="00036FF1"/>
    <w:rsid w:val="0003701F"/>
    <w:rsid w:val="00037066"/>
    <w:rsid w:val="00037092"/>
    <w:rsid w:val="00037144"/>
    <w:rsid w:val="00037154"/>
    <w:rsid w:val="0003722C"/>
    <w:rsid w:val="0003725D"/>
    <w:rsid w:val="0003727C"/>
    <w:rsid w:val="00037291"/>
    <w:rsid w:val="000373A9"/>
    <w:rsid w:val="00037485"/>
    <w:rsid w:val="000374E2"/>
    <w:rsid w:val="00037513"/>
    <w:rsid w:val="00037548"/>
    <w:rsid w:val="0003756D"/>
    <w:rsid w:val="000375DC"/>
    <w:rsid w:val="0003763E"/>
    <w:rsid w:val="000376A0"/>
    <w:rsid w:val="000376B0"/>
    <w:rsid w:val="00037728"/>
    <w:rsid w:val="0003774D"/>
    <w:rsid w:val="000377B7"/>
    <w:rsid w:val="00037801"/>
    <w:rsid w:val="00037912"/>
    <w:rsid w:val="0003798D"/>
    <w:rsid w:val="00037A37"/>
    <w:rsid w:val="00037A65"/>
    <w:rsid w:val="00037A73"/>
    <w:rsid w:val="00037AD5"/>
    <w:rsid w:val="00037B03"/>
    <w:rsid w:val="00037B8A"/>
    <w:rsid w:val="00037BD7"/>
    <w:rsid w:val="00037C2E"/>
    <w:rsid w:val="00037C4B"/>
    <w:rsid w:val="00037D1E"/>
    <w:rsid w:val="00037D39"/>
    <w:rsid w:val="00037D3C"/>
    <w:rsid w:val="00037D71"/>
    <w:rsid w:val="00037D76"/>
    <w:rsid w:val="00037DB1"/>
    <w:rsid w:val="00037DBD"/>
    <w:rsid w:val="00037DC4"/>
    <w:rsid w:val="00037E64"/>
    <w:rsid w:val="00037F47"/>
    <w:rsid w:val="00040053"/>
    <w:rsid w:val="0004006E"/>
    <w:rsid w:val="00040171"/>
    <w:rsid w:val="00040185"/>
    <w:rsid w:val="0004018F"/>
    <w:rsid w:val="000401FD"/>
    <w:rsid w:val="000401FE"/>
    <w:rsid w:val="00040228"/>
    <w:rsid w:val="0004023A"/>
    <w:rsid w:val="0004026D"/>
    <w:rsid w:val="000402BD"/>
    <w:rsid w:val="000402EC"/>
    <w:rsid w:val="0004036E"/>
    <w:rsid w:val="00040379"/>
    <w:rsid w:val="000403D3"/>
    <w:rsid w:val="000403E1"/>
    <w:rsid w:val="000403FA"/>
    <w:rsid w:val="0004054C"/>
    <w:rsid w:val="000405F1"/>
    <w:rsid w:val="00040629"/>
    <w:rsid w:val="00040665"/>
    <w:rsid w:val="00040748"/>
    <w:rsid w:val="000407BE"/>
    <w:rsid w:val="000407BF"/>
    <w:rsid w:val="000407E6"/>
    <w:rsid w:val="00040823"/>
    <w:rsid w:val="00040845"/>
    <w:rsid w:val="000408B9"/>
    <w:rsid w:val="000408F7"/>
    <w:rsid w:val="00040925"/>
    <w:rsid w:val="0004093F"/>
    <w:rsid w:val="00040944"/>
    <w:rsid w:val="000409A8"/>
    <w:rsid w:val="00040A9F"/>
    <w:rsid w:val="00040B02"/>
    <w:rsid w:val="00040BA6"/>
    <w:rsid w:val="00040BCD"/>
    <w:rsid w:val="00040C26"/>
    <w:rsid w:val="00040C44"/>
    <w:rsid w:val="00040D03"/>
    <w:rsid w:val="00040D3D"/>
    <w:rsid w:val="00040D55"/>
    <w:rsid w:val="00040DF0"/>
    <w:rsid w:val="00040ED1"/>
    <w:rsid w:val="00040F64"/>
    <w:rsid w:val="00040FE9"/>
    <w:rsid w:val="0004105A"/>
    <w:rsid w:val="00041140"/>
    <w:rsid w:val="00041241"/>
    <w:rsid w:val="0004125E"/>
    <w:rsid w:val="000412A9"/>
    <w:rsid w:val="00041343"/>
    <w:rsid w:val="00041355"/>
    <w:rsid w:val="00041433"/>
    <w:rsid w:val="00041441"/>
    <w:rsid w:val="00041482"/>
    <w:rsid w:val="000414BC"/>
    <w:rsid w:val="0004150C"/>
    <w:rsid w:val="00041579"/>
    <w:rsid w:val="00041589"/>
    <w:rsid w:val="000415B9"/>
    <w:rsid w:val="00041688"/>
    <w:rsid w:val="0004169B"/>
    <w:rsid w:val="0004175D"/>
    <w:rsid w:val="00041766"/>
    <w:rsid w:val="0004177F"/>
    <w:rsid w:val="00041842"/>
    <w:rsid w:val="00041890"/>
    <w:rsid w:val="000418BA"/>
    <w:rsid w:val="0004196E"/>
    <w:rsid w:val="0004197A"/>
    <w:rsid w:val="000419B5"/>
    <w:rsid w:val="00041A7B"/>
    <w:rsid w:val="00041AF6"/>
    <w:rsid w:val="00041B25"/>
    <w:rsid w:val="00041B36"/>
    <w:rsid w:val="00041B67"/>
    <w:rsid w:val="00041B6F"/>
    <w:rsid w:val="00041BC0"/>
    <w:rsid w:val="00041BD8"/>
    <w:rsid w:val="00041BFE"/>
    <w:rsid w:val="00041C2C"/>
    <w:rsid w:val="00041C34"/>
    <w:rsid w:val="00041D04"/>
    <w:rsid w:val="00041D06"/>
    <w:rsid w:val="00041D6A"/>
    <w:rsid w:val="00041F06"/>
    <w:rsid w:val="00041F2E"/>
    <w:rsid w:val="00041F34"/>
    <w:rsid w:val="00041F94"/>
    <w:rsid w:val="0004205D"/>
    <w:rsid w:val="00042076"/>
    <w:rsid w:val="0004209E"/>
    <w:rsid w:val="000420DC"/>
    <w:rsid w:val="0004210C"/>
    <w:rsid w:val="0004211A"/>
    <w:rsid w:val="00042193"/>
    <w:rsid w:val="000421AB"/>
    <w:rsid w:val="000421C2"/>
    <w:rsid w:val="000421EB"/>
    <w:rsid w:val="00042267"/>
    <w:rsid w:val="00042275"/>
    <w:rsid w:val="000422A3"/>
    <w:rsid w:val="00042355"/>
    <w:rsid w:val="0004236A"/>
    <w:rsid w:val="00042375"/>
    <w:rsid w:val="000424B5"/>
    <w:rsid w:val="000424D9"/>
    <w:rsid w:val="000424DB"/>
    <w:rsid w:val="0004251A"/>
    <w:rsid w:val="00042536"/>
    <w:rsid w:val="00042540"/>
    <w:rsid w:val="00042545"/>
    <w:rsid w:val="0004255C"/>
    <w:rsid w:val="000425CD"/>
    <w:rsid w:val="0004265A"/>
    <w:rsid w:val="00042662"/>
    <w:rsid w:val="00042681"/>
    <w:rsid w:val="00042691"/>
    <w:rsid w:val="000426A8"/>
    <w:rsid w:val="00042719"/>
    <w:rsid w:val="00042775"/>
    <w:rsid w:val="0004283E"/>
    <w:rsid w:val="00042854"/>
    <w:rsid w:val="0004289F"/>
    <w:rsid w:val="00042921"/>
    <w:rsid w:val="0004294A"/>
    <w:rsid w:val="00042A6C"/>
    <w:rsid w:val="00042A70"/>
    <w:rsid w:val="00042A84"/>
    <w:rsid w:val="00042A9E"/>
    <w:rsid w:val="00042AF6"/>
    <w:rsid w:val="00042AFF"/>
    <w:rsid w:val="00042BAC"/>
    <w:rsid w:val="00042BC1"/>
    <w:rsid w:val="00042C09"/>
    <w:rsid w:val="00042C78"/>
    <w:rsid w:val="00042C9B"/>
    <w:rsid w:val="00042CE5"/>
    <w:rsid w:val="00042D10"/>
    <w:rsid w:val="00042D24"/>
    <w:rsid w:val="00042D40"/>
    <w:rsid w:val="00042D5E"/>
    <w:rsid w:val="00042ECA"/>
    <w:rsid w:val="00042EF5"/>
    <w:rsid w:val="00042EFB"/>
    <w:rsid w:val="00042F4B"/>
    <w:rsid w:val="00042F60"/>
    <w:rsid w:val="00042FE8"/>
    <w:rsid w:val="000430ED"/>
    <w:rsid w:val="0004315F"/>
    <w:rsid w:val="00043204"/>
    <w:rsid w:val="00043209"/>
    <w:rsid w:val="0004320B"/>
    <w:rsid w:val="0004324B"/>
    <w:rsid w:val="00043277"/>
    <w:rsid w:val="0004328A"/>
    <w:rsid w:val="00043319"/>
    <w:rsid w:val="00043347"/>
    <w:rsid w:val="0004336A"/>
    <w:rsid w:val="00043452"/>
    <w:rsid w:val="00043461"/>
    <w:rsid w:val="00043603"/>
    <w:rsid w:val="0004362E"/>
    <w:rsid w:val="00043635"/>
    <w:rsid w:val="000436CA"/>
    <w:rsid w:val="0004378E"/>
    <w:rsid w:val="00043832"/>
    <w:rsid w:val="000438ED"/>
    <w:rsid w:val="00043980"/>
    <w:rsid w:val="000439D9"/>
    <w:rsid w:val="00043A2B"/>
    <w:rsid w:val="00043A34"/>
    <w:rsid w:val="00043AAC"/>
    <w:rsid w:val="00043B89"/>
    <w:rsid w:val="00043BE0"/>
    <w:rsid w:val="00043BFA"/>
    <w:rsid w:val="00043C3E"/>
    <w:rsid w:val="00043CBE"/>
    <w:rsid w:val="00043CC2"/>
    <w:rsid w:val="00043D35"/>
    <w:rsid w:val="00043DAB"/>
    <w:rsid w:val="00043DDA"/>
    <w:rsid w:val="00043E3E"/>
    <w:rsid w:val="00043E3F"/>
    <w:rsid w:val="00043FA0"/>
    <w:rsid w:val="000440DF"/>
    <w:rsid w:val="000440E7"/>
    <w:rsid w:val="00044109"/>
    <w:rsid w:val="00044148"/>
    <w:rsid w:val="00044212"/>
    <w:rsid w:val="0004421C"/>
    <w:rsid w:val="0004421D"/>
    <w:rsid w:val="00044287"/>
    <w:rsid w:val="000442DD"/>
    <w:rsid w:val="0004432E"/>
    <w:rsid w:val="00044374"/>
    <w:rsid w:val="000443D4"/>
    <w:rsid w:val="000443F9"/>
    <w:rsid w:val="00044443"/>
    <w:rsid w:val="00044463"/>
    <w:rsid w:val="000444AB"/>
    <w:rsid w:val="000444D2"/>
    <w:rsid w:val="000444D4"/>
    <w:rsid w:val="0004452C"/>
    <w:rsid w:val="00044536"/>
    <w:rsid w:val="0004453C"/>
    <w:rsid w:val="00044567"/>
    <w:rsid w:val="0004456D"/>
    <w:rsid w:val="000445A4"/>
    <w:rsid w:val="000445A9"/>
    <w:rsid w:val="000445BD"/>
    <w:rsid w:val="000445EE"/>
    <w:rsid w:val="0004463D"/>
    <w:rsid w:val="0004465E"/>
    <w:rsid w:val="00044788"/>
    <w:rsid w:val="00044873"/>
    <w:rsid w:val="000448BD"/>
    <w:rsid w:val="000448FF"/>
    <w:rsid w:val="00044973"/>
    <w:rsid w:val="00044983"/>
    <w:rsid w:val="000449C1"/>
    <w:rsid w:val="00044A43"/>
    <w:rsid w:val="00044A5B"/>
    <w:rsid w:val="00044AB1"/>
    <w:rsid w:val="00044B76"/>
    <w:rsid w:val="00044C36"/>
    <w:rsid w:val="00044C4D"/>
    <w:rsid w:val="00044C57"/>
    <w:rsid w:val="00044C80"/>
    <w:rsid w:val="00044CAF"/>
    <w:rsid w:val="00044D09"/>
    <w:rsid w:val="00044D56"/>
    <w:rsid w:val="00044D74"/>
    <w:rsid w:val="00044D98"/>
    <w:rsid w:val="00044D9D"/>
    <w:rsid w:val="00044E52"/>
    <w:rsid w:val="00044ED9"/>
    <w:rsid w:val="00044EE4"/>
    <w:rsid w:val="00044F81"/>
    <w:rsid w:val="00044FB9"/>
    <w:rsid w:val="0004506F"/>
    <w:rsid w:val="0004509E"/>
    <w:rsid w:val="000450A6"/>
    <w:rsid w:val="000450BA"/>
    <w:rsid w:val="000450DB"/>
    <w:rsid w:val="00045111"/>
    <w:rsid w:val="00045113"/>
    <w:rsid w:val="0004516C"/>
    <w:rsid w:val="0004516D"/>
    <w:rsid w:val="000451C9"/>
    <w:rsid w:val="000451CB"/>
    <w:rsid w:val="000451F1"/>
    <w:rsid w:val="00045217"/>
    <w:rsid w:val="000452C6"/>
    <w:rsid w:val="000453F2"/>
    <w:rsid w:val="0004540C"/>
    <w:rsid w:val="00045429"/>
    <w:rsid w:val="0004548E"/>
    <w:rsid w:val="000454C8"/>
    <w:rsid w:val="000454CC"/>
    <w:rsid w:val="000454EB"/>
    <w:rsid w:val="000454FB"/>
    <w:rsid w:val="00045521"/>
    <w:rsid w:val="00045552"/>
    <w:rsid w:val="0004558B"/>
    <w:rsid w:val="000455CA"/>
    <w:rsid w:val="000455F5"/>
    <w:rsid w:val="00045675"/>
    <w:rsid w:val="000456A4"/>
    <w:rsid w:val="000456F0"/>
    <w:rsid w:val="00045735"/>
    <w:rsid w:val="00045740"/>
    <w:rsid w:val="000457CC"/>
    <w:rsid w:val="0004592B"/>
    <w:rsid w:val="00045939"/>
    <w:rsid w:val="00045966"/>
    <w:rsid w:val="000459E5"/>
    <w:rsid w:val="00045AEF"/>
    <w:rsid w:val="00045B2D"/>
    <w:rsid w:val="00045B48"/>
    <w:rsid w:val="00045B49"/>
    <w:rsid w:val="00045B74"/>
    <w:rsid w:val="00045B7E"/>
    <w:rsid w:val="00045B89"/>
    <w:rsid w:val="00045BFC"/>
    <w:rsid w:val="00045C12"/>
    <w:rsid w:val="00045C1B"/>
    <w:rsid w:val="00045D81"/>
    <w:rsid w:val="00045DB8"/>
    <w:rsid w:val="00045E98"/>
    <w:rsid w:val="00045EB4"/>
    <w:rsid w:val="00045F9F"/>
    <w:rsid w:val="00045FB5"/>
    <w:rsid w:val="00045FC4"/>
    <w:rsid w:val="00046017"/>
    <w:rsid w:val="0004607F"/>
    <w:rsid w:val="0004608B"/>
    <w:rsid w:val="000460E3"/>
    <w:rsid w:val="00046177"/>
    <w:rsid w:val="00046182"/>
    <w:rsid w:val="00046206"/>
    <w:rsid w:val="0004621A"/>
    <w:rsid w:val="000462E9"/>
    <w:rsid w:val="000463C7"/>
    <w:rsid w:val="000463CD"/>
    <w:rsid w:val="000463DE"/>
    <w:rsid w:val="0004651D"/>
    <w:rsid w:val="0004652D"/>
    <w:rsid w:val="000465B3"/>
    <w:rsid w:val="000465BA"/>
    <w:rsid w:val="000465CD"/>
    <w:rsid w:val="00046603"/>
    <w:rsid w:val="00046613"/>
    <w:rsid w:val="000466B7"/>
    <w:rsid w:val="00046735"/>
    <w:rsid w:val="000467DD"/>
    <w:rsid w:val="000467E4"/>
    <w:rsid w:val="000467FC"/>
    <w:rsid w:val="00046851"/>
    <w:rsid w:val="0004687C"/>
    <w:rsid w:val="00046895"/>
    <w:rsid w:val="00046897"/>
    <w:rsid w:val="000469B0"/>
    <w:rsid w:val="000469C9"/>
    <w:rsid w:val="00046A1B"/>
    <w:rsid w:val="00046A92"/>
    <w:rsid w:val="00046B93"/>
    <w:rsid w:val="00046BF3"/>
    <w:rsid w:val="00046C0D"/>
    <w:rsid w:val="00046C72"/>
    <w:rsid w:val="00046D03"/>
    <w:rsid w:val="00046D26"/>
    <w:rsid w:val="00046DDC"/>
    <w:rsid w:val="00046E56"/>
    <w:rsid w:val="00046E9A"/>
    <w:rsid w:val="00047074"/>
    <w:rsid w:val="000470B3"/>
    <w:rsid w:val="000470E4"/>
    <w:rsid w:val="000470FA"/>
    <w:rsid w:val="00047168"/>
    <w:rsid w:val="00047169"/>
    <w:rsid w:val="000471B2"/>
    <w:rsid w:val="000472C6"/>
    <w:rsid w:val="00047484"/>
    <w:rsid w:val="00047593"/>
    <w:rsid w:val="0004768F"/>
    <w:rsid w:val="00047723"/>
    <w:rsid w:val="000477EE"/>
    <w:rsid w:val="000478D6"/>
    <w:rsid w:val="0004798E"/>
    <w:rsid w:val="00047A64"/>
    <w:rsid w:val="00047AD1"/>
    <w:rsid w:val="00047B35"/>
    <w:rsid w:val="00047B4E"/>
    <w:rsid w:val="00047BEF"/>
    <w:rsid w:val="00047C3F"/>
    <w:rsid w:val="00047C5C"/>
    <w:rsid w:val="00047C72"/>
    <w:rsid w:val="00047CC6"/>
    <w:rsid w:val="00047D24"/>
    <w:rsid w:val="00047D3F"/>
    <w:rsid w:val="00047DF2"/>
    <w:rsid w:val="00047E13"/>
    <w:rsid w:val="00047E22"/>
    <w:rsid w:val="00047F14"/>
    <w:rsid w:val="00047FCC"/>
    <w:rsid w:val="0005005E"/>
    <w:rsid w:val="00050072"/>
    <w:rsid w:val="000500A2"/>
    <w:rsid w:val="000501D4"/>
    <w:rsid w:val="00050217"/>
    <w:rsid w:val="0005035F"/>
    <w:rsid w:val="00050366"/>
    <w:rsid w:val="0005047C"/>
    <w:rsid w:val="000504BC"/>
    <w:rsid w:val="000504D7"/>
    <w:rsid w:val="000504D9"/>
    <w:rsid w:val="00050552"/>
    <w:rsid w:val="000505F3"/>
    <w:rsid w:val="00050615"/>
    <w:rsid w:val="0005061B"/>
    <w:rsid w:val="0005065A"/>
    <w:rsid w:val="0005065B"/>
    <w:rsid w:val="0005067D"/>
    <w:rsid w:val="000506D2"/>
    <w:rsid w:val="0005072A"/>
    <w:rsid w:val="00050796"/>
    <w:rsid w:val="000507DA"/>
    <w:rsid w:val="00050875"/>
    <w:rsid w:val="00050881"/>
    <w:rsid w:val="0005088B"/>
    <w:rsid w:val="000508BE"/>
    <w:rsid w:val="000508CA"/>
    <w:rsid w:val="000509EA"/>
    <w:rsid w:val="00050A93"/>
    <w:rsid w:val="00050AF7"/>
    <w:rsid w:val="00050C9D"/>
    <w:rsid w:val="00050CC0"/>
    <w:rsid w:val="00050D1B"/>
    <w:rsid w:val="00050D4F"/>
    <w:rsid w:val="00050D56"/>
    <w:rsid w:val="00050E5D"/>
    <w:rsid w:val="00050E66"/>
    <w:rsid w:val="00050F26"/>
    <w:rsid w:val="00050F8A"/>
    <w:rsid w:val="00050FBE"/>
    <w:rsid w:val="00050FE0"/>
    <w:rsid w:val="00051079"/>
    <w:rsid w:val="000510AA"/>
    <w:rsid w:val="000510D9"/>
    <w:rsid w:val="00051188"/>
    <w:rsid w:val="000512C0"/>
    <w:rsid w:val="0005134B"/>
    <w:rsid w:val="000513F8"/>
    <w:rsid w:val="0005144C"/>
    <w:rsid w:val="0005147B"/>
    <w:rsid w:val="000514A4"/>
    <w:rsid w:val="000515B5"/>
    <w:rsid w:val="000515C6"/>
    <w:rsid w:val="000515D3"/>
    <w:rsid w:val="000516FE"/>
    <w:rsid w:val="000517E7"/>
    <w:rsid w:val="00051832"/>
    <w:rsid w:val="00051879"/>
    <w:rsid w:val="00051883"/>
    <w:rsid w:val="000518BE"/>
    <w:rsid w:val="000518DD"/>
    <w:rsid w:val="0005192A"/>
    <w:rsid w:val="0005199B"/>
    <w:rsid w:val="000519D3"/>
    <w:rsid w:val="00051A3C"/>
    <w:rsid w:val="00051B3F"/>
    <w:rsid w:val="00051B7F"/>
    <w:rsid w:val="00051D13"/>
    <w:rsid w:val="00051D1A"/>
    <w:rsid w:val="00051E78"/>
    <w:rsid w:val="00051EC7"/>
    <w:rsid w:val="00051FA5"/>
    <w:rsid w:val="000520B9"/>
    <w:rsid w:val="000520E6"/>
    <w:rsid w:val="0005217B"/>
    <w:rsid w:val="000521F6"/>
    <w:rsid w:val="0005224D"/>
    <w:rsid w:val="000522CD"/>
    <w:rsid w:val="000522E6"/>
    <w:rsid w:val="00052300"/>
    <w:rsid w:val="0005234B"/>
    <w:rsid w:val="00052359"/>
    <w:rsid w:val="0005239E"/>
    <w:rsid w:val="0005244D"/>
    <w:rsid w:val="00052465"/>
    <w:rsid w:val="000524D5"/>
    <w:rsid w:val="000524EA"/>
    <w:rsid w:val="00052563"/>
    <w:rsid w:val="00052596"/>
    <w:rsid w:val="00052665"/>
    <w:rsid w:val="00052671"/>
    <w:rsid w:val="000526BC"/>
    <w:rsid w:val="00052703"/>
    <w:rsid w:val="0005273C"/>
    <w:rsid w:val="0005274A"/>
    <w:rsid w:val="000527C4"/>
    <w:rsid w:val="000527FA"/>
    <w:rsid w:val="00052847"/>
    <w:rsid w:val="00052878"/>
    <w:rsid w:val="0005289A"/>
    <w:rsid w:val="000528E5"/>
    <w:rsid w:val="000528F9"/>
    <w:rsid w:val="00052A8A"/>
    <w:rsid w:val="00052B11"/>
    <w:rsid w:val="00052B78"/>
    <w:rsid w:val="00052BE8"/>
    <w:rsid w:val="00052C5C"/>
    <w:rsid w:val="00052CA5"/>
    <w:rsid w:val="00052CF4"/>
    <w:rsid w:val="00052D92"/>
    <w:rsid w:val="00052E25"/>
    <w:rsid w:val="00052E3C"/>
    <w:rsid w:val="00052E62"/>
    <w:rsid w:val="00053005"/>
    <w:rsid w:val="00053014"/>
    <w:rsid w:val="00053050"/>
    <w:rsid w:val="0005308A"/>
    <w:rsid w:val="0005323D"/>
    <w:rsid w:val="00053246"/>
    <w:rsid w:val="0005326C"/>
    <w:rsid w:val="00053283"/>
    <w:rsid w:val="0005328B"/>
    <w:rsid w:val="00053299"/>
    <w:rsid w:val="0005330B"/>
    <w:rsid w:val="00053315"/>
    <w:rsid w:val="0005346D"/>
    <w:rsid w:val="00053488"/>
    <w:rsid w:val="00053519"/>
    <w:rsid w:val="00053607"/>
    <w:rsid w:val="0005369D"/>
    <w:rsid w:val="000536A3"/>
    <w:rsid w:val="000536A4"/>
    <w:rsid w:val="000536B2"/>
    <w:rsid w:val="000536BF"/>
    <w:rsid w:val="000537D7"/>
    <w:rsid w:val="000537E2"/>
    <w:rsid w:val="000537EE"/>
    <w:rsid w:val="00053815"/>
    <w:rsid w:val="00053831"/>
    <w:rsid w:val="00053843"/>
    <w:rsid w:val="00053849"/>
    <w:rsid w:val="000538A3"/>
    <w:rsid w:val="000538D1"/>
    <w:rsid w:val="0005393F"/>
    <w:rsid w:val="00053986"/>
    <w:rsid w:val="00053994"/>
    <w:rsid w:val="00053A31"/>
    <w:rsid w:val="00053A46"/>
    <w:rsid w:val="00053A6D"/>
    <w:rsid w:val="00053A72"/>
    <w:rsid w:val="00053A9B"/>
    <w:rsid w:val="00053AAE"/>
    <w:rsid w:val="00053ACC"/>
    <w:rsid w:val="00053AD0"/>
    <w:rsid w:val="00053B3C"/>
    <w:rsid w:val="00053B71"/>
    <w:rsid w:val="00053C17"/>
    <w:rsid w:val="00053C1E"/>
    <w:rsid w:val="00053CD5"/>
    <w:rsid w:val="00053D76"/>
    <w:rsid w:val="00053DF6"/>
    <w:rsid w:val="00053E72"/>
    <w:rsid w:val="00053EC9"/>
    <w:rsid w:val="00053EED"/>
    <w:rsid w:val="00053EF2"/>
    <w:rsid w:val="00053F4C"/>
    <w:rsid w:val="00053FAC"/>
    <w:rsid w:val="0005401F"/>
    <w:rsid w:val="000540A4"/>
    <w:rsid w:val="000540C5"/>
    <w:rsid w:val="0005419A"/>
    <w:rsid w:val="000541EB"/>
    <w:rsid w:val="000542AB"/>
    <w:rsid w:val="00054339"/>
    <w:rsid w:val="00054340"/>
    <w:rsid w:val="0005439F"/>
    <w:rsid w:val="00054425"/>
    <w:rsid w:val="00054439"/>
    <w:rsid w:val="0005443A"/>
    <w:rsid w:val="00054446"/>
    <w:rsid w:val="0005445D"/>
    <w:rsid w:val="0005455C"/>
    <w:rsid w:val="0005457C"/>
    <w:rsid w:val="000545B1"/>
    <w:rsid w:val="000545E0"/>
    <w:rsid w:val="00054608"/>
    <w:rsid w:val="00054672"/>
    <w:rsid w:val="00054687"/>
    <w:rsid w:val="000546C1"/>
    <w:rsid w:val="000546D6"/>
    <w:rsid w:val="000547EC"/>
    <w:rsid w:val="000548EF"/>
    <w:rsid w:val="0005496B"/>
    <w:rsid w:val="000549F3"/>
    <w:rsid w:val="00054A51"/>
    <w:rsid w:val="00054B62"/>
    <w:rsid w:val="00054B66"/>
    <w:rsid w:val="00054CA5"/>
    <w:rsid w:val="00054CAA"/>
    <w:rsid w:val="00054D64"/>
    <w:rsid w:val="00054D6E"/>
    <w:rsid w:val="00054D8A"/>
    <w:rsid w:val="00054D94"/>
    <w:rsid w:val="00054DB8"/>
    <w:rsid w:val="00054E69"/>
    <w:rsid w:val="00054F18"/>
    <w:rsid w:val="00054F60"/>
    <w:rsid w:val="00054FC3"/>
    <w:rsid w:val="00055049"/>
    <w:rsid w:val="00055055"/>
    <w:rsid w:val="000550A4"/>
    <w:rsid w:val="000550CB"/>
    <w:rsid w:val="000550D2"/>
    <w:rsid w:val="000550DE"/>
    <w:rsid w:val="000550FF"/>
    <w:rsid w:val="00055101"/>
    <w:rsid w:val="00055190"/>
    <w:rsid w:val="000551AE"/>
    <w:rsid w:val="000551C4"/>
    <w:rsid w:val="00055240"/>
    <w:rsid w:val="000552BC"/>
    <w:rsid w:val="000552CE"/>
    <w:rsid w:val="000552F3"/>
    <w:rsid w:val="00055338"/>
    <w:rsid w:val="00055364"/>
    <w:rsid w:val="00055378"/>
    <w:rsid w:val="000553AA"/>
    <w:rsid w:val="0005544C"/>
    <w:rsid w:val="00055459"/>
    <w:rsid w:val="00055461"/>
    <w:rsid w:val="00055477"/>
    <w:rsid w:val="00055485"/>
    <w:rsid w:val="000554A3"/>
    <w:rsid w:val="00055575"/>
    <w:rsid w:val="00055593"/>
    <w:rsid w:val="000555A5"/>
    <w:rsid w:val="000555EE"/>
    <w:rsid w:val="000555FE"/>
    <w:rsid w:val="00055719"/>
    <w:rsid w:val="000557B1"/>
    <w:rsid w:val="000557F5"/>
    <w:rsid w:val="0005581A"/>
    <w:rsid w:val="00055840"/>
    <w:rsid w:val="000558F5"/>
    <w:rsid w:val="00055AA9"/>
    <w:rsid w:val="00055B14"/>
    <w:rsid w:val="00055B2F"/>
    <w:rsid w:val="00055B30"/>
    <w:rsid w:val="00055B76"/>
    <w:rsid w:val="00055BB7"/>
    <w:rsid w:val="00055BD4"/>
    <w:rsid w:val="00055C42"/>
    <w:rsid w:val="00055C8A"/>
    <w:rsid w:val="00055D26"/>
    <w:rsid w:val="00055DC6"/>
    <w:rsid w:val="00055E2B"/>
    <w:rsid w:val="00055EA1"/>
    <w:rsid w:val="00055EC7"/>
    <w:rsid w:val="00055F4D"/>
    <w:rsid w:val="00055FC5"/>
    <w:rsid w:val="00056043"/>
    <w:rsid w:val="00056044"/>
    <w:rsid w:val="000560FA"/>
    <w:rsid w:val="00056172"/>
    <w:rsid w:val="000561DE"/>
    <w:rsid w:val="00056235"/>
    <w:rsid w:val="00056290"/>
    <w:rsid w:val="000562A1"/>
    <w:rsid w:val="000562B8"/>
    <w:rsid w:val="00056303"/>
    <w:rsid w:val="0005634B"/>
    <w:rsid w:val="000563CD"/>
    <w:rsid w:val="000563D3"/>
    <w:rsid w:val="0005642E"/>
    <w:rsid w:val="000564DC"/>
    <w:rsid w:val="0005653E"/>
    <w:rsid w:val="00056578"/>
    <w:rsid w:val="0005657C"/>
    <w:rsid w:val="000565A0"/>
    <w:rsid w:val="000566F2"/>
    <w:rsid w:val="00056704"/>
    <w:rsid w:val="0005677E"/>
    <w:rsid w:val="000567BE"/>
    <w:rsid w:val="000567CF"/>
    <w:rsid w:val="000567E3"/>
    <w:rsid w:val="000568B0"/>
    <w:rsid w:val="00056937"/>
    <w:rsid w:val="000569B1"/>
    <w:rsid w:val="00056A06"/>
    <w:rsid w:val="00056A19"/>
    <w:rsid w:val="00056AB9"/>
    <w:rsid w:val="00056B07"/>
    <w:rsid w:val="00056B69"/>
    <w:rsid w:val="00056B90"/>
    <w:rsid w:val="00056BBA"/>
    <w:rsid w:val="00056BC6"/>
    <w:rsid w:val="00056BFB"/>
    <w:rsid w:val="00056BFC"/>
    <w:rsid w:val="00056D0E"/>
    <w:rsid w:val="00056DE1"/>
    <w:rsid w:val="00056F33"/>
    <w:rsid w:val="00056F3B"/>
    <w:rsid w:val="00056FDF"/>
    <w:rsid w:val="00057094"/>
    <w:rsid w:val="00057116"/>
    <w:rsid w:val="0005714B"/>
    <w:rsid w:val="00057266"/>
    <w:rsid w:val="00057273"/>
    <w:rsid w:val="0005727F"/>
    <w:rsid w:val="00057300"/>
    <w:rsid w:val="0005735F"/>
    <w:rsid w:val="000573DF"/>
    <w:rsid w:val="00057474"/>
    <w:rsid w:val="000574CA"/>
    <w:rsid w:val="000574DE"/>
    <w:rsid w:val="0005750C"/>
    <w:rsid w:val="000575A2"/>
    <w:rsid w:val="00057618"/>
    <w:rsid w:val="00057676"/>
    <w:rsid w:val="000576A1"/>
    <w:rsid w:val="000576C0"/>
    <w:rsid w:val="000576C8"/>
    <w:rsid w:val="000576FD"/>
    <w:rsid w:val="00057799"/>
    <w:rsid w:val="000577D4"/>
    <w:rsid w:val="0005780F"/>
    <w:rsid w:val="00057824"/>
    <w:rsid w:val="00057837"/>
    <w:rsid w:val="00057852"/>
    <w:rsid w:val="000579AC"/>
    <w:rsid w:val="000579C4"/>
    <w:rsid w:val="00057A50"/>
    <w:rsid w:val="00057A5E"/>
    <w:rsid w:val="00057B2E"/>
    <w:rsid w:val="00057C28"/>
    <w:rsid w:val="00057C5B"/>
    <w:rsid w:val="00057D85"/>
    <w:rsid w:val="00057D92"/>
    <w:rsid w:val="00057E25"/>
    <w:rsid w:val="00057FA8"/>
    <w:rsid w:val="00057FCA"/>
    <w:rsid w:val="00060019"/>
    <w:rsid w:val="00060089"/>
    <w:rsid w:val="0006008E"/>
    <w:rsid w:val="000600FA"/>
    <w:rsid w:val="00060130"/>
    <w:rsid w:val="0006022F"/>
    <w:rsid w:val="000602CF"/>
    <w:rsid w:val="0006040D"/>
    <w:rsid w:val="00060448"/>
    <w:rsid w:val="00060488"/>
    <w:rsid w:val="0006048B"/>
    <w:rsid w:val="0006049D"/>
    <w:rsid w:val="000604C9"/>
    <w:rsid w:val="00060538"/>
    <w:rsid w:val="000605B5"/>
    <w:rsid w:val="000605DA"/>
    <w:rsid w:val="00060608"/>
    <w:rsid w:val="0006061B"/>
    <w:rsid w:val="000606B7"/>
    <w:rsid w:val="00060732"/>
    <w:rsid w:val="0006074F"/>
    <w:rsid w:val="00060788"/>
    <w:rsid w:val="000607E0"/>
    <w:rsid w:val="000607EE"/>
    <w:rsid w:val="00060887"/>
    <w:rsid w:val="000608E0"/>
    <w:rsid w:val="0006090C"/>
    <w:rsid w:val="00060919"/>
    <w:rsid w:val="0006091F"/>
    <w:rsid w:val="0006096F"/>
    <w:rsid w:val="0006099A"/>
    <w:rsid w:val="000609DD"/>
    <w:rsid w:val="00060A16"/>
    <w:rsid w:val="00060ABD"/>
    <w:rsid w:val="00060AC0"/>
    <w:rsid w:val="00060AC8"/>
    <w:rsid w:val="00060B1B"/>
    <w:rsid w:val="00060B3A"/>
    <w:rsid w:val="00060B44"/>
    <w:rsid w:val="00060B54"/>
    <w:rsid w:val="00060BCE"/>
    <w:rsid w:val="00060C1C"/>
    <w:rsid w:val="00060C4F"/>
    <w:rsid w:val="00060C6B"/>
    <w:rsid w:val="00060DDA"/>
    <w:rsid w:val="00060DE6"/>
    <w:rsid w:val="00060E19"/>
    <w:rsid w:val="00060E56"/>
    <w:rsid w:val="00060E7E"/>
    <w:rsid w:val="00060EE1"/>
    <w:rsid w:val="00060F1A"/>
    <w:rsid w:val="00060FAB"/>
    <w:rsid w:val="00060FE4"/>
    <w:rsid w:val="000610AB"/>
    <w:rsid w:val="000610E0"/>
    <w:rsid w:val="000610EC"/>
    <w:rsid w:val="0006111B"/>
    <w:rsid w:val="00061125"/>
    <w:rsid w:val="00061285"/>
    <w:rsid w:val="00061310"/>
    <w:rsid w:val="00061345"/>
    <w:rsid w:val="000613B5"/>
    <w:rsid w:val="000613F9"/>
    <w:rsid w:val="000614D6"/>
    <w:rsid w:val="000615D6"/>
    <w:rsid w:val="0006167F"/>
    <w:rsid w:val="00061864"/>
    <w:rsid w:val="00061875"/>
    <w:rsid w:val="00061911"/>
    <w:rsid w:val="0006194F"/>
    <w:rsid w:val="00061963"/>
    <w:rsid w:val="00061A7A"/>
    <w:rsid w:val="00061A92"/>
    <w:rsid w:val="00061AE7"/>
    <w:rsid w:val="00061AED"/>
    <w:rsid w:val="00061B0C"/>
    <w:rsid w:val="00061B8E"/>
    <w:rsid w:val="00061C5F"/>
    <w:rsid w:val="00061C84"/>
    <w:rsid w:val="00061C99"/>
    <w:rsid w:val="00061D67"/>
    <w:rsid w:val="00061DB6"/>
    <w:rsid w:val="00061DE4"/>
    <w:rsid w:val="00061E16"/>
    <w:rsid w:val="00061EC5"/>
    <w:rsid w:val="00061ED9"/>
    <w:rsid w:val="00061F7B"/>
    <w:rsid w:val="00061F95"/>
    <w:rsid w:val="00061F98"/>
    <w:rsid w:val="00061FCB"/>
    <w:rsid w:val="00061FE4"/>
    <w:rsid w:val="00062057"/>
    <w:rsid w:val="00062185"/>
    <w:rsid w:val="0006218C"/>
    <w:rsid w:val="0006221A"/>
    <w:rsid w:val="00062237"/>
    <w:rsid w:val="0006225D"/>
    <w:rsid w:val="00062309"/>
    <w:rsid w:val="0006232D"/>
    <w:rsid w:val="00062379"/>
    <w:rsid w:val="00062425"/>
    <w:rsid w:val="0006244C"/>
    <w:rsid w:val="000624A4"/>
    <w:rsid w:val="000624E3"/>
    <w:rsid w:val="00062512"/>
    <w:rsid w:val="00062516"/>
    <w:rsid w:val="00062519"/>
    <w:rsid w:val="0006253B"/>
    <w:rsid w:val="00062596"/>
    <w:rsid w:val="000625DF"/>
    <w:rsid w:val="00062666"/>
    <w:rsid w:val="0006266D"/>
    <w:rsid w:val="0006267D"/>
    <w:rsid w:val="00062686"/>
    <w:rsid w:val="00062811"/>
    <w:rsid w:val="0006283E"/>
    <w:rsid w:val="000628A1"/>
    <w:rsid w:val="000628E2"/>
    <w:rsid w:val="000628F2"/>
    <w:rsid w:val="000628FF"/>
    <w:rsid w:val="00062923"/>
    <w:rsid w:val="00062926"/>
    <w:rsid w:val="00062A15"/>
    <w:rsid w:val="00062A99"/>
    <w:rsid w:val="00062AAF"/>
    <w:rsid w:val="00062B39"/>
    <w:rsid w:val="00062BBA"/>
    <w:rsid w:val="00062CC8"/>
    <w:rsid w:val="00062DD2"/>
    <w:rsid w:val="00062E20"/>
    <w:rsid w:val="00062E31"/>
    <w:rsid w:val="00062E3D"/>
    <w:rsid w:val="00062E9E"/>
    <w:rsid w:val="00062F10"/>
    <w:rsid w:val="00062FDF"/>
    <w:rsid w:val="000630A2"/>
    <w:rsid w:val="000630AF"/>
    <w:rsid w:val="00063169"/>
    <w:rsid w:val="0006318D"/>
    <w:rsid w:val="0006323E"/>
    <w:rsid w:val="000632A0"/>
    <w:rsid w:val="000632D1"/>
    <w:rsid w:val="0006349F"/>
    <w:rsid w:val="000634D7"/>
    <w:rsid w:val="000634D8"/>
    <w:rsid w:val="000634FA"/>
    <w:rsid w:val="00063565"/>
    <w:rsid w:val="0006366B"/>
    <w:rsid w:val="000636B9"/>
    <w:rsid w:val="000636DC"/>
    <w:rsid w:val="000638D6"/>
    <w:rsid w:val="000638DE"/>
    <w:rsid w:val="000638FD"/>
    <w:rsid w:val="000638FF"/>
    <w:rsid w:val="00063924"/>
    <w:rsid w:val="000639A4"/>
    <w:rsid w:val="000639D5"/>
    <w:rsid w:val="00063A36"/>
    <w:rsid w:val="00063A67"/>
    <w:rsid w:val="00063AA9"/>
    <w:rsid w:val="00063AD2"/>
    <w:rsid w:val="00063AFB"/>
    <w:rsid w:val="00063B2C"/>
    <w:rsid w:val="00063D0E"/>
    <w:rsid w:val="00063D1B"/>
    <w:rsid w:val="00063D5F"/>
    <w:rsid w:val="00063E49"/>
    <w:rsid w:val="00063F13"/>
    <w:rsid w:val="00063F3A"/>
    <w:rsid w:val="00063FD6"/>
    <w:rsid w:val="00064090"/>
    <w:rsid w:val="0006411B"/>
    <w:rsid w:val="00064286"/>
    <w:rsid w:val="000642B5"/>
    <w:rsid w:val="000642D3"/>
    <w:rsid w:val="000642D5"/>
    <w:rsid w:val="000642DE"/>
    <w:rsid w:val="000642FD"/>
    <w:rsid w:val="000643B6"/>
    <w:rsid w:val="00064415"/>
    <w:rsid w:val="00064422"/>
    <w:rsid w:val="00064490"/>
    <w:rsid w:val="00064516"/>
    <w:rsid w:val="00064520"/>
    <w:rsid w:val="000645DB"/>
    <w:rsid w:val="00064671"/>
    <w:rsid w:val="000646E2"/>
    <w:rsid w:val="0006480F"/>
    <w:rsid w:val="0006486B"/>
    <w:rsid w:val="000648C9"/>
    <w:rsid w:val="000648CA"/>
    <w:rsid w:val="000648CF"/>
    <w:rsid w:val="000648DC"/>
    <w:rsid w:val="00064950"/>
    <w:rsid w:val="000649EB"/>
    <w:rsid w:val="00064A26"/>
    <w:rsid w:val="00064A3F"/>
    <w:rsid w:val="00064A6F"/>
    <w:rsid w:val="00064A7D"/>
    <w:rsid w:val="00064BEE"/>
    <w:rsid w:val="00064BFC"/>
    <w:rsid w:val="00064C22"/>
    <w:rsid w:val="00064C6E"/>
    <w:rsid w:val="00064C90"/>
    <w:rsid w:val="00064C96"/>
    <w:rsid w:val="00064CA6"/>
    <w:rsid w:val="00064CB6"/>
    <w:rsid w:val="00064DC7"/>
    <w:rsid w:val="00064DD2"/>
    <w:rsid w:val="00064DD4"/>
    <w:rsid w:val="00064DEB"/>
    <w:rsid w:val="00064E02"/>
    <w:rsid w:val="00064E5C"/>
    <w:rsid w:val="00064F8B"/>
    <w:rsid w:val="00064FC1"/>
    <w:rsid w:val="00065046"/>
    <w:rsid w:val="00065084"/>
    <w:rsid w:val="000650E5"/>
    <w:rsid w:val="00065131"/>
    <w:rsid w:val="000651CD"/>
    <w:rsid w:val="000651FA"/>
    <w:rsid w:val="00065253"/>
    <w:rsid w:val="00065267"/>
    <w:rsid w:val="000652A8"/>
    <w:rsid w:val="00065311"/>
    <w:rsid w:val="0006534B"/>
    <w:rsid w:val="00065376"/>
    <w:rsid w:val="000653CC"/>
    <w:rsid w:val="0006546F"/>
    <w:rsid w:val="000654DE"/>
    <w:rsid w:val="00065504"/>
    <w:rsid w:val="00065521"/>
    <w:rsid w:val="000655B9"/>
    <w:rsid w:val="0006566F"/>
    <w:rsid w:val="00065703"/>
    <w:rsid w:val="00065723"/>
    <w:rsid w:val="00065825"/>
    <w:rsid w:val="0006596C"/>
    <w:rsid w:val="00065A4F"/>
    <w:rsid w:val="00065AA4"/>
    <w:rsid w:val="00065AAE"/>
    <w:rsid w:val="00065ACB"/>
    <w:rsid w:val="00065ACC"/>
    <w:rsid w:val="00065AEC"/>
    <w:rsid w:val="00065BA1"/>
    <w:rsid w:val="00065BAC"/>
    <w:rsid w:val="00065BB7"/>
    <w:rsid w:val="00065C5B"/>
    <w:rsid w:val="00065D20"/>
    <w:rsid w:val="00065D3B"/>
    <w:rsid w:val="00065DA6"/>
    <w:rsid w:val="00065EB6"/>
    <w:rsid w:val="00065EB7"/>
    <w:rsid w:val="00065FAE"/>
    <w:rsid w:val="00065FBC"/>
    <w:rsid w:val="00065FE8"/>
    <w:rsid w:val="0006602B"/>
    <w:rsid w:val="000660EA"/>
    <w:rsid w:val="00066135"/>
    <w:rsid w:val="000661D6"/>
    <w:rsid w:val="000661E7"/>
    <w:rsid w:val="000661F7"/>
    <w:rsid w:val="00066201"/>
    <w:rsid w:val="0006620B"/>
    <w:rsid w:val="00066241"/>
    <w:rsid w:val="0006629C"/>
    <w:rsid w:val="00066333"/>
    <w:rsid w:val="000665F1"/>
    <w:rsid w:val="00066615"/>
    <w:rsid w:val="00066664"/>
    <w:rsid w:val="00066706"/>
    <w:rsid w:val="00066800"/>
    <w:rsid w:val="00066868"/>
    <w:rsid w:val="000668E5"/>
    <w:rsid w:val="00066910"/>
    <w:rsid w:val="00066965"/>
    <w:rsid w:val="00066969"/>
    <w:rsid w:val="000669D0"/>
    <w:rsid w:val="00066A2D"/>
    <w:rsid w:val="00066AC5"/>
    <w:rsid w:val="00066B6B"/>
    <w:rsid w:val="00066BE6"/>
    <w:rsid w:val="00066C6E"/>
    <w:rsid w:val="00066D1E"/>
    <w:rsid w:val="00066D44"/>
    <w:rsid w:val="00066D49"/>
    <w:rsid w:val="00066E62"/>
    <w:rsid w:val="00066EA2"/>
    <w:rsid w:val="00066EAE"/>
    <w:rsid w:val="00066EEB"/>
    <w:rsid w:val="00066F93"/>
    <w:rsid w:val="00066FC8"/>
    <w:rsid w:val="00067018"/>
    <w:rsid w:val="00067053"/>
    <w:rsid w:val="0006707F"/>
    <w:rsid w:val="000670F5"/>
    <w:rsid w:val="00067174"/>
    <w:rsid w:val="000671F5"/>
    <w:rsid w:val="00067235"/>
    <w:rsid w:val="000672E0"/>
    <w:rsid w:val="00067341"/>
    <w:rsid w:val="00067362"/>
    <w:rsid w:val="000674E2"/>
    <w:rsid w:val="0006753A"/>
    <w:rsid w:val="0006773A"/>
    <w:rsid w:val="00067763"/>
    <w:rsid w:val="0006778F"/>
    <w:rsid w:val="000677BD"/>
    <w:rsid w:val="00067842"/>
    <w:rsid w:val="00067868"/>
    <w:rsid w:val="00067932"/>
    <w:rsid w:val="0006795B"/>
    <w:rsid w:val="00067A76"/>
    <w:rsid w:val="00067ABC"/>
    <w:rsid w:val="00067B1E"/>
    <w:rsid w:val="00067BF3"/>
    <w:rsid w:val="00067D0C"/>
    <w:rsid w:val="00067D50"/>
    <w:rsid w:val="00067D59"/>
    <w:rsid w:val="00067DA0"/>
    <w:rsid w:val="00067DD4"/>
    <w:rsid w:val="00067E12"/>
    <w:rsid w:val="00067E3E"/>
    <w:rsid w:val="00067E69"/>
    <w:rsid w:val="00067FC9"/>
    <w:rsid w:val="00067FD7"/>
    <w:rsid w:val="0007004C"/>
    <w:rsid w:val="00070054"/>
    <w:rsid w:val="00070064"/>
    <w:rsid w:val="00070080"/>
    <w:rsid w:val="000700AB"/>
    <w:rsid w:val="000700F2"/>
    <w:rsid w:val="000700FC"/>
    <w:rsid w:val="000701DE"/>
    <w:rsid w:val="00070218"/>
    <w:rsid w:val="00070247"/>
    <w:rsid w:val="00070259"/>
    <w:rsid w:val="000702BB"/>
    <w:rsid w:val="000702D1"/>
    <w:rsid w:val="00070309"/>
    <w:rsid w:val="0007031C"/>
    <w:rsid w:val="000704EE"/>
    <w:rsid w:val="0007052B"/>
    <w:rsid w:val="000705E8"/>
    <w:rsid w:val="000706B3"/>
    <w:rsid w:val="000707A2"/>
    <w:rsid w:val="000707B0"/>
    <w:rsid w:val="00070831"/>
    <w:rsid w:val="0007087F"/>
    <w:rsid w:val="0007089B"/>
    <w:rsid w:val="000708A0"/>
    <w:rsid w:val="00070963"/>
    <w:rsid w:val="0007096D"/>
    <w:rsid w:val="00070998"/>
    <w:rsid w:val="00070A1F"/>
    <w:rsid w:val="00070AB6"/>
    <w:rsid w:val="00070ACD"/>
    <w:rsid w:val="00070BA7"/>
    <w:rsid w:val="00070BF6"/>
    <w:rsid w:val="00070C52"/>
    <w:rsid w:val="00070D66"/>
    <w:rsid w:val="00070D78"/>
    <w:rsid w:val="00070D88"/>
    <w:rsid w:val="00070E77"/>
    <w:rsid w:val="00070E8B"/>
    <w:rsid w:val="00070ED5"/>
    <w:rsid w:val="00070EDA"/>
    <w:rsid w:val="00070F69"/>
    <w:rsid w:val="00070F9B"/>
    <w:rsid w:val="00070FBE"/>
    <w:rsid w:val="00070FE2"/>
    <w:rsid w:val="00071030"/>
    <w:rsid w:val="00071051"/>
    <w:rsid w:val="00071070"/>
    <w:rsid w:val="00071077"/>
    <w:rsid w:val="00071099"/>
    <w:rsid w:val="000710C8"/>
    <w:rsid w:val="00071145"/>
    <w:rsid w:val="00071260"/>
    <w:rsid w:val="00071292"/>
    <w:rsid w:val="00071293"/>
    <w:rsid w:val="0007138C"/>
    <w:rsid w:val="00071415"/>
    <w:rsid w:val="0007141C"/>
    <w:rsid w:val="00071454"/>
    <w:rsid w:val="00071471"/>
    <w:rsid w:val="000714A4"/>
    <w:rsid w:val="000714B5"/>
    <w:rsid w:val="0007154E"/>
    <w:rsid w:val="0007158F"/>
    <w:rsid w:val="000715B2"/>
    <w:rsid w:val="00071656"/>
    <w:rsid w:val="000716D3"/>
    <w:rsid w:val="000718B1"/>
    <w:rsid w:val="000718CD"/>
    <w:rsid w:val="000718E6"/>
    <w:rsid w:val="00071988"/>
    <w:rsid w:val="000719D4"/>
    <w:rsid w:val="00071C7A"/>
    <w:rsid w:val="00071C83"/>
    <w:rsid w:val="00071CC2"/>
    <w:rsid w:val="00071D74"/>
    <w:rsid w:val="00071DA2"/>
    <w:rsid w:val="0007204A"/>
    <w:rsid w:val="00072083"/>
    <w:rsid w:val="000720B3"/>
    <w:rsid w:val="00072183"/>
    <w:rsid w:val="0007221A"/>
    <w:rsid w:val="00072289"/>
    <w:rsid w:val="0007229F"/>
    <w:rsid w:val="0007232F"/>
    <w:rsid w:val="000723FA"/>
    <w:rsid w:val="00072409"/>
    <w:rsid w:val="000724D2"/>
    <w:rsid w:val="00072573"/>
    <w:rsid w:val="00072606"/>
    <w:rsid w:val="00072643"/>
    <w:rsid w:val="00072690"/>
    <w:rsid w:val="000726D0"/>
    <w:rsid w:val="00072707"/>
    <w:rsid w:val="00072767"/>
    <w:rsid w:val="000727B7"/>
    <w:rsid w:val="000727BF"/>
    <w:rsid w:val="0007286B"/>
    <w:rsid w:val="00072876"/>
    <w:rsid w:val="00072924"/>
    <w:rsid w:val="00072934"/>
    <w:rsid w:val="000729D2"/>
    <w:rsid w:val="000729D8"/>
    <w:rsid w:val="00072A38"/>
    <w:rsid w:val="00072A3E"/>
    <w:rsid w:val="00072A68"/>
    <w:rsid w:val="00072AC3"/>
    <w:rsid w:val="00072C19"/>
    <w:rsid w:val="00072CA1"/>
    <w:rsid w:val="00072CD7"/>
    <w:rsid w:val="00072D19"/>
    <w:rsid w:val="00072E6E"/>
    <w:rsid w:val="00072E89"/>
    <w:rsid w:val="00072EC7"/>
    <w:rsid w:val="00072EE6"/>
    <w:rsid w:val="00073010"/>
    <w:rsid w:val="00073088"/>
    <w:rsid w:val="00073090"/>
    <w:rsid w:val="000731D0"/>
    <w:rsid w:val="000731F1"/>
    <w:rsid w:val="0007321F"/>
    <w:rsid w:val="00073253"/>
    <w:rsid w:val="000733C6"/>
    <w:rsid w:val="000733F4"/>
    <w:rsid w:val="00073410"/>
    <w:rsid w:val="00073467"/>
    <w:rsid w:val="00073518"/>
    <w:rsid w:val="0007361B"/>
    <w:rsid w:val="00073623"/>
    <w:rsid w:val="000736A4"/>
    <w:rsid w:val="00073726"/>
    <w:rsid w:val="00073744"/>
    <w:rsid w:val="000737AB"/>
    <w:rsid w:val="0007380B"/>
    <w:rsid w:val="00073898"/>
    <w:rsid w:val="000738DE"/>
    <w:rsid w:val="000738E1"/>
    <w:rsid w:val="0007397C"/>
    <w:rsid w:val="00073A27"/>
    <w:rsid w:val="00073A3A"/>
    <w:rsid w:val="00073C64"/>
    <w:rsid w:val="00073C73"/>
    <w:rsid w:val="00073DC8"/>
    <w:rsid w:val="00073E05"/>
    <w:rsid w:val="00073E62"/>
    <w:rsid w:val="00073E93"/>
    <w:rsid w:val="00073ED2"/>
    <w:rsid w:val="00073EE1"/>
    <w:rsid w:val="00073F15"/>
    <w:rsid w:val="00073F84"/>
    <w:rsid w:val="00074085"/>
    <w:rsid w:val="0007408C"/>
    <w:rsid w:val="000741D0"/>
    <w:rsid w:val="000743DB"/>
    <w:rsid w:val="000743E2"/>
    <w:rsid w:val="00074404"/>
    <w:rsid w:val="000744AD"/>
    <w:rsid w:val="000744B5"/>
    <w:rsid w:val="000744DD"/>
    <w:rsid w:val="0007459A"/>
    <w:rsid w:val="0007466D"/>
    <w:rsid w:val="000746B4"/>
    <w:rsid w:val="000746BD"/>
    <w:rsid w:val="0007471C"/>
    <w:rsid w:val="000747A8"/>
    <w:rsid w:val="000748B1"/>
    <w:rsid w:val="000748FA"/>
    <w:rsid w:val="00074936"/>
    <w:rsid w:val="000749A5"/>
    <w:rsid w:val="00074B00"/>
    <w:rsid w:val="00074C58"/>
    <w:rsid w:val="00074CCA"/>
    <w:rsid w:val="00074D5D"/>
    <w:rsid w:val="00074D9B"/>
    <w:rsid w:val="00074DAD"/>
    <w:rsid w:val="00074DD7"/>
    <w:rsid w:val="00074DDC"/>
    <w:rsid w:val="00074E62"/>
    <w:rsid w:val="00074EAB"/>
    <w:rsid w:val="00074EF9"/>
    <w:rsid w:val="00074F17"/>
    <w:rsid w:val="00074F5F"/>
    <w:rsid w:val="00074FB7"/>
    <w:rsid w:val="00074FC1"/>
    <w:rsid w:val="00074FD7"/>
    <w:rsid w:val="00075073"/>
    <w:rsid w:val="000750DD"/>
    <w:rsid w:val="000750F0"/>
    <w:rsid w:val="000750FC"/>
    <w:rsid w:val="00075146"/>
    <w:rsid w:val="00075173"/>
    <w:rsid w:val="00075197"/>
    <w:rsid w:val="000751E1"/>
    <w:rsid w:val="00075221"/>
    <w:rsid w:val="00075256"/>
    <w:rsid w:val="0007525D"/>
    <w:rsid w:val="0007529D"/>
    <w:rsid w:val="0007531A"/>
    <w:rsid w:val="0007534E"/>
    <w:rsid w:val="000753B6"/>
    <w:rsid w:val="000754DF"/>
    <w:rsid w:val="000754E1"/>
    <w:rsid w:val="0007553F"/>
    <w:rsid w:val="00075613"/>
    <w:rsid w:val="00075630"/>
    <w:rsid w:val="00075689"/>
    <w:rsid w:val="000756FE"/>
    <w:rsid w:val="00075727"/>
    <w:rsid w:val="00075729"/>
    <w:rsid w:val="00075786"/>
    <w:rsid w:val="000757C1"/>
    <w:rsid w:val="000757EE"/>
    <w:rsid w:val="0007582B"/>
    <w:rsid w:val="000758C0"/>
    <w:rsid w:val="000759A0"/>
    <w:rsid w:val="000759D2"/>
    <w:rsid w:val="000759DE"/>
    <w:rsid w:val="000759EB"/>
    <w:rsid w:val="00075AA3"/>
    <w:rsid w:val="00075AAD"/>
    <w:rsid w:val="00075AE8"/>
    <w:rsid w:val="00075AF2"/>
    <w:rsid w:val="00075AF4"/>
    <w:rsid w:val="00075AFC"/>
    <w:rsid w:val="00075B0D"/>
    <w:rsid w:val="00075B36"/>
    <w:rsid w:val="00075B5D"/>
    <w:rsid w:val="00075C45"/>
    <w:rsid w:val="00075CB0"/>
    <w:rsid w:val="00075D50"/>
    <w:rsid w:val="00075D86"/>
    <w:rsid w:val="00075DB1"/>
    <w:rsid w:val="00075E8D"/>
    <w:rsid w:val="00075F1E"/>
    <w:rsid w:val="00075F26"/>
    <w:rsid w:val="00075F49"/>
    <w:rsid w:val="00075F4D"/>
    <w:rsid w:val="00075FCE"/>
    <w:rsid w:val="00075FD3"/>
    <w:rsid w:val="0007603F"/>
    <w:rsid w:val="0007609A"/>
    <w:rsid w:val="000760F3"/>
    <w:rsid w:val="0007617A"/>
    <w:rsid w:val="00076202"/>
    <w:rsid w:val="00076224"/>
    <w:rsid w:val="00076233"/>
    <w:rsid w:val="0007629D"/>
    <w:rsid w:val="00076306"/>
    <w:rsid w:val="00076320"/>
    <w:rsid w:val="00076411"/>
    <w:rsid w:val="0007645C"/>
    <w:rsid w:val="00076510"/>
    <w:rsid w:val="00076544"/>
    <w:rsid w:val="000766BD"/>
    <w:rsid w:val="00076727"/>
    <w:rsid w:val="000767DF"/>
    <w:rsid w:val="0007686B"/>
    <w:rsid w:val="000768B7"/>
    <w:rsid w:val="000768E8"/>
    <w:rsid w:val="0007692E"/>
    <w:rsid w:val="00076A6D"/>
    <w:rsid w:val="00076AF4"/>
    <w:rsid w:val="00076B6D"/>
    <w:rsid w:val="00076C2B"/>
    <w:rsid w:val="00076CA5"/>
    <w:rsid w:val="00076CF4"/>
    <w:rsid w:val="00076D5A"/>
    <w:rsid w:val="00076D6E"/>
    <w:rsid w:val="00076E32"/>
    <w:rsid w:val="00076E6B"/>
    <w:rsid w:val="00076EC8"/>
    <w:rsid w:val="00076EDC"/>
    <w:rsid w:val="00076F40"/>
    <w:rsid w:val="00076F85"/>
    <w:rsid w:val="00076FD2"/>
    <w:rsid w:val="00077117"/>
    <w:rsid w:val="000772BD"/>
    <w:rsid w:val="00077310"/>
    <w:rsid w:val="00077393"/>
    <w:rsid w:val="000773FC"/>
    <w:rsid w:val="00077473"/>
    <w:rsid w:val="00077485"/>
    <w:rsid w:val="00077504"/>
    <w:rsid w:val="0007750E"/>
    <w:rsid w:val="000775BC"/>
    <w:rsid w:val="00077792"/>
    <w:rsid w:val="000777F1"/>
    <w:rsid w:val="000778BE"/>
    <w:rsid w:val="0007791E"/>
    <w:rsid w:val="00077962"/>
    <w:rsid w:val="00077963"/>
    <w:rsid w:val="000779A8"/>
    <w:rsid w:val="000779C5"/>
    <w:rsid w:val="00077A5F"/>
    <w:rsid w:val="00077A83"/>
    <w:rsid w:val="00077A87"/>
    <w:rsid w:val="00077A95"/>
    <w:rsid w:val="00077A96"/>
    <w:rsid w:val="00077AB1"/>
    <w:rsid w:val="00077B58"/>
    <w:rsid w:val="00077B5B"/>
    <w:rsid w:val="00077B90"/>
    <w:rsid w:val="00077BAC"/>
    <w:rsid w:val="00077D24"/>
    <w:rsid w:val="00077E2C"/>
    <w:rsid w:val="00077E72"/>
    <w:rsid w:val="00077FC9"/>
    <w:rsid w:val="00077FFA"/>
    <w:rsid w:val="00080011"/>
    <w:rsid w:val="0008003F"/>
    <w:rsid w:val="0008004C"/>
    <w:rsid w:val="00080122"/>
    <w:rsid w:val="00080144"/>
    <w:rsid w:val="00080159"/>
    <w:rsid w:val="00080240"/>
    <w:rsid w:val="00080262"/>
    <w:rsid w:val="00080283"/>
    <w:rsid w:val="000802F9"/>
    <w:rsid w:val="0008033A"/>
    <w:rsid w:val="00080361"/>
    <w:rsid w:val="000803AE"/>
    <w:rsid w:val="000803B5"/>
    <w:rsid w:val="000803E5"/>
    <w:rsid w:val="0008042D"/>
    <w:rsid w:val="000805ED"/>
    <w:rsid w:val="0008067F"/>
    <w:rsid w:val="000806B8"/>
    <w:rsid w:val="000806F4"/>
    <w:rsid w:val="0008073C"/>
    <w:rsid w:val="00080750"/>
    <w:rsid w:val="0008077E"/>
    <w:rsid w:val="00080784"/>
    <w:rsid w:val="0008079B"/>
    <w:rsid w:val="000807A1"/>
    <w:rsid w:val="000807C2"/>
    <w:rsid w:val="00080850"/>
    <w:rsid w:val="00080891"/>
    <w:rsid w:val="000808B4"/>
    <w:rsid w:val="00080961"/>
    <w:rsid w:val="000809B2"/>
    <w:rsid w:val="000809D7"/>
    <w:rsid w:val="00080A2F"/>
    <w:rsid w:val="00080AA4"/>
    <w:rsid w:val="00080AB8"/>
    <w:rsid w:val="00080AEB"/>
    <w:rsid w:val="00080B0A"/>
    <w:rsid w:val="00080B23"/>
    <w:rsid w:val="00080B5C"/>
    <w:rsid w:val="00080B7A"/>
    <w:rsid w:val="00080BC2"/>
    <w:rsid w:val="00080BE1"/>
    <w:rsid w:val="00080C37"/>
    <w:rsid w:val="00080C5C"/>
    <w:rsid w:val="00080C68"/>
    <w:rsid w:val="00080CC5"/>
    <w:rsid w:val="00080E12"/>
    <w:rsid w:val="00080E69"/>
    <w:rsid w:val="00080EA7"/>
    <w:rsid w:val="00080EC5"/>
    <w:rsid w:val="00080ED4"/>
    <w:rsid w:val="00080F32"/>
    <w:rsid w:val="00080F5C"/>
    <w:rsid w:val="00080F6D"/>
    <w:rsid w:val="00080FAB"/>
    <w:rsid w:val="0008103E"/>
    <w:rsid w:val="00081133"/>
    <w:rsid w:val="0008115D"/>
    <w:rsid w:val="0008116C"/>
    <w:rsid w:val="0008123D"/>
    <w:rsid w:val="0008129C"/>
    <w:rsid w:val="000812A1"/>
    <w:rsid w:val="000812DF"/>
    <w:rsid w:val="00081399"/>
    <w:rsid w:val="000813AB"/>
    <w:rsid w:val="000813F3"/>
    <w:rsid w:val="0008148B"/>
    <w:rsid w:val="00081560"/>
    <w:rsid w:val="000815F2"/>
    <w:rsid w:val="0008176C"/>
    <w:rsid w:val="0008180C"/>
    <w:rsid w:val="000818EF"/>
    <w:rsid w:val="00081941"/>
    <w:rsid w:val="00081969"/>
    <w:rsid w:val="00081A64"/>
    <w:rsid w:val="00081A75"/>
    <w:rsid w:val="00081B17"/>
    <w:rsid w:val="00081B83"/>
    <w:rsid w:val="00081CEF"/>
    <w:rsid w:val="00081D27"/>
    <w:rsid w:val="00081D2B"/>
    <w:rsid w:val="00081DBB"/>
    <w:rsid w:val="00081DE1"/>
    <w:rsid w:val="00081DF6"/>
    <w:rsid w:val="00081E56"/>
    <w:rsid w:val="00081E59"/>
    <w:rsid w:val="00081EB1"/>
    <w:rsid w:val="00081F19"/>
    <w:rsid w:val="00081F2B"/>
    <w:rsid w:val="00081FF4"/>
    <w:rsid w:val="00082136"/>
    <w:rsid w:val="000821B3"/>
    <w:rsid w:val="00082227"/>
    <w:rsid w:val="00082326"/>
    <w:rsid w:val="00082372"/>
    <w:rsid w:val="00082391"/>
    <w:rsid w:val="000823F4"/>
    <w:rsid w:val="000824E5"/>
    <w:rsid w:val="00082550"/>
    <w:rsid w:val="0008257D"/>
    <w:rsid w:val="0008258D"/>
    <w:rsid w:val="000825CE"/>
    <w:rsid w:val="000825F4"/>
    <w:rsid w:val="000826B9"/>
    <w:rsid w:val="000826E8"/>
    <w:rsid w:val="0008270C"/>
    <w:rsid w:val="000827EE"/>
    <w:rsid w:val="0008280E"/>
    <w:rsid w:val="0008282C"/>
    <w:rsid w:val="0008283A"/>
    <w:rsid w:val="000828E8"/>
    <w:rsid w:val="0008292E"/>
    <w:rsid w:val="0008298E"/>
    <w:rsid w:val="000829C9"/>
    <w:rsid w:val="000829F5"/>
    <w:rsid w:val="00082A38"/>
    <w:rsid w:val="00082A74"/>
    <w:rsid w:val="00082ACD"/>
    <w:rsid w:val="00082B7B"/>
    <w:rsid w:val="00082BB5"/>
    <w:rsid w:val="00082BFB"/>
    <w:rsid w:val="00082C53"/>
    <w:rsid w:val="00082C58"/>
    <w:rsid w:val="00082C8A"/>
    <w:rsid w:val="00082D0E"/>
    <w:rsid w:val="00082D64"/>
    <w:rsid w:val="00082DE5"/>
    <w:rsid w:val="00082DEF"/>
    <w:rsid w:val="00082E8F"/>
    <w:rsid w:val="00082F04"/>
    <w:rsid w:val="00083025"/>
    <w:rsid w:val="00083108"/>
    <w:rsid w:val="0008319C"/>
    <w:rsid w:val="000831BF"/>
    <w:rsid w:val="00083279"/>
    <w:rsid w:val="00083284"/>
    <w:rsid w:val="000832A0"/>
    <w:rsid w:val="000832E0"/>
    <w:rsid w:val="000832FC"/>
    <w:rsid w:val="00083359"/>
    <w:rsid w:val="0008336D"/>
    <w:rsid w:val="00083432"/>
    <w:rsid w:val="000835C2"/>
    <w:rsid w:val="00083604"/>
    <w:rsid w:val="00083650"/>
    <w:rsid w:val="00083745"/>
    <w:rsid w:val="000837BD"/>
    <w:rsid w:val="000837F8"/>
    <w:rsid w:val="00083801"/>
    <w:rsid w:val="00083804"/>
    <w:rsid w:val="00083896"/>
    <w:rsid w:val="00083AAA"/>
    <w:rsid w:val="00083AE7"/>
    <w:rsid w:val="00083B0E"/>
    <w:rsid w:val="00083B3C"/>
    <w:rsid w:val="00083B49"/>
    <w:rsid w:val="00083BF9"/>
    <w:rsid w:val="00083CB5"/>
    <w:rsid w:val="00083E53"/>
    <w:rsid w:val="00083F3D"/>
    <w:rsid w:val="00083F57"/>
    <w:rsid w:val="00083F69"/>
    <w:rsid w:val="00083FB7"/>
    <w:rsid w:val="00083FC0"/>
    <w:rsid w:val="00084195"/>
    <w:rsid w:val="000841CC"/>
    <w:rsid w:val="000841FC"/>
    <w:rsid w:val="000842BF"/>
    <w:rsid w:val="000842F2"/>
    <w:rsid w:val="0008435D"/>
    <w:rsid w:val="00084364"/>
    <w:rsid w:val="000843BB"/>
    <w:rsid w:val="000843EC"/>
    <w:rsid w:val="000844AF"/>
    <w:rsid w:val="000844C2"/>
    <w:rsid w:val="0008451E"/>
    <w:rsid w:val="00084570"/>
    <w:rsid w:val="0008461A"/>
    <w:rsid w:val="0008461F"/>
    <w:rsid w:val="00084694"/>
    <w:rsid w:val="000846B0"/>
    <w:rsid w:val="00084721"/>
    <w:rsid w:val="000847B5"/>
    <w:rsid w:val="000847CC"/>
    <w:rsid w:val="000847FC"/>
    <w:rsid w:val="0008480B"/>
    <w:rsid w:val="00084A18"/>
    <w:rsid w:val="00084AB2"/>
    <w:rsid w:val="00084ABC"/>
    <w:rsid w:val="00084AF4"/>
    <w:rsid w:val="00084B21"/>
    <w:rsid w:val="00084B64"/>
    <w:rsid w:val="00084BD1"/>
    <w:rsid w:val="00084BF7"/>
    <w:rsid w:val="00084C02"/>
    <w:rsid w:val="00084C22"/>
    <w:rsid w:val="00084C48"/>
    <w:rsid w:val="00084C6A"/>
    <w:rsid w:val="00084C75"/>
    <w:rsid w:val="00084CE5"/>
    <w:rsid w:val="00084DB2"/>
    <w:rsid w:val="00084DE2"/>
    <w:rsid w:val="00084E74"/>
    <w:rsid w:val="00084E79"/>
    <w:rsid w:val="00084EEB"/>
    <w:rsid w:val="00084F24"/>
    <w:rsid w:val="00084F4A"/>
    <w:rsid w:val="00084F66"/>
    <w:rsid w:val="00084FC6"/>
    <w:rsid w:val="0008503C"/>
    <w:rsid w:val="000850ED"/>
    <w:rsid w:val="000850FE"/>
    <w:rsid w:val="0008513D"/>
    <w:rsid w:val="000851AE"/>
    <w:rsid w:val="000851D5"/>
    <w:rsid w:val="0008528E"/>
    <w:rsid w:val="000852BB"/>
    <w:rsid w:val="000852D9"/>
    <w:rsid w:val="00085360"/>
    <w:rsid w:val="000853BE"/>
    <w:rsid w:val="000853F4"/>
    <w:rsid w:val="0008545C"/>
    <w:rsid w:val="000854C3"/>
    <w:rsid w:val="0008557C"/>
    <w:rsid w:val="0008559D"/>
    <w:rsid w:val="000855BB"/>
    <w:rsid w:val="000855C8"/>
    <w:rsid w:val="0008563C"/>
    <w:rsid w:val="00085675"/>
    <w:rsid w:val="0008574A"/>
    <w:rsid w:val="00085794"/>
    <w:rsid w:val="000857EC"/>
    <w:rsid w:val="0008584C"/>
    <w:rsid w:val="0008588B"/>
    <w:rsid w:val="00085892"/>
    <w:rsid w:val="000858EE"/>
    <w:rsid w:val="00085A23"/>
    <w:rsid w:val="00085A46"/>
    <w:rsid w:val="00085A52"/>
    <w:rsid w:val="00085AA9"/>
    <w:rsid w:val="00085AC1"/>
    <w:rsid w:val="00085B4A"/>
    <w:rsid w:val="00085BED"/>
    <w:rsid w:val="00085E63"/>
    <w:rsid w:val="00085EA1"/>
    <w:rsid w:val="00085EC9"/>
    <w:rsid w:val="00085F44"/>
    <w:rsid w:val="000860C7"/>
    <w:rsid w:val="00086140"/>
    <w:rsid w:val="00086172"/>
    <w:rsid w:val="00086178"/>
    <w:rsid w:val="000861C6"/>
    <w:rsid w:val="00086225"/>
    <w:rsid w:val="000862A7"/>
    <w:rsid w:val="00086398"/>
    <w:rsid w:val="000863AC"/>
    <w:rsid w:val="00086495"/>
    <w:rsid w:val="000864DF"/>
    <w:rsid w:val="000864FF"/>
    <w:rsid w:val="00086527"/>
    <w:rsid w:val="000865AC"/>
    <w:rsid w:val="00086630"/>
    <w:rsid w:val="00086640"/>
    <w:rsid w:val="00086690"/>
    <w:rsid w:val="000866A7"/>
    <w:rsid w:val="000866C1"/>
    <w:rsid w:val="00086724"/>
    <w:rsid w:val="0008674C"/>
    <w:rsid w:val="00086777"/>
    <w:rsid w:val="000867A5"/>
    <w:rsid w:val="000867CA"/>
    <w:rsid w:val="000868EB"/>
    <w:rsid w:val="000869D8"/>
    <w:rsid w:val="000869E0"/>
    <w:rsid w:val="000869FB"/>
    <w:rsid w:val="00086A71"/>
    <w:rsid w:val="00086AA0"/>
    <w:rsid w:val="00086B13"/>
    <w:rsid w:val="00086B23"/>
    <w:rsid w:val="00086B4C"/>
    <w:rsid w:val="00086BB6"/>
    <w:rsid w:val="00086CA9"/>
    <w:rsid w:val="00086D42"/>
    <w:rsid w:val="00086D82"/>
    <w:rsid w:val="00086DC0"/>
    <w:rsid w:val="00086E02"/>
    <w:rsid w:val="00086E53"/>
    <w:rsid w:val="00086E57"/>
    <w:rsid w:val="00086E8E"/>
    <w:rsid w:val="00086EC4"/>
    <w:rsid w:val="00086F41"/>
    <w:rsid w:val="00087044"/>
    <w:rsid w:val="00087046"/>
    <w:rsid w:val="0008705B"/>
    <w:rsid w:val="0008711D"/>
    <w:rsid w:val="000871CD"/>
    <w:rsid w:val="0008725B"/>
    <w:rsid w:val="000872B1"/>
    <w:rsid w:val="00087382"/>
    <w:rsid w:val="000873A2"/>
    <w:rsid w:val="000873D4"/>
    <w:rsid w:val="0008747D"/>
    <w:rsid w:val="00087509"/>
    <w:rsid w:val="00087578"/>
    <w:rsid w:val="000875E2"/>
    <w:rsid w:val="00087601"/>
    <w:rsid w:val="00087679"/>
    <w:rsid w:val="00087702"/>
    <w:rsid w:val="00087714"/>
    <w:rsid w:val="00087752"/>
    <w:rsid w:val="00087762"/>
    <w:rsid w:val="00087782"/>
    <w:rsid w:val="0008780C"/>
    <w:rsid w:val="00087817"/>
    <w:rsid w:val="000878E2"/>
    <w:rsid w:val="000879B8"/>
    <w:rsid w:val="000879C2"/>
    <w:rsid w:val="00087A94"/>
    <w:rsid w:val="00087AAE"/>
    <w:rsid w:val="00087B40"/>
    <w:rsid w:val="00087B80"/>
    <w:rsid w:val="00087C2C"/>
    <w:rsid w:val="00087C3D"/>
    <w:rsid w:val="00087D72"/>
    <w:rsid w:val="00087D87"/>
    <w:rsid w:val="00087DE3"/>
    <w:rsid w:val="00087E23"/>
    <w:rsid w:val="00087E69"/>
    <w:rsid w:val="00087E6A"/>
    <w:rsid w:val="00087ED3"/>
    <w:rsid w:val="00087EEE"/>
    <w:rsid w:val="00087F23"/>
    <w:rsid w:val="00087FD5"/>
    <w:rsid w:val="00090009"/>
    <w:rsid w:val="00090097"/>
    <w:rsid w:val="00090131"/>
    <w:rsid w:val="0009018C"/>
    <w:rsid w:val="0009018F"/>
    <w:rsid w:val="000901C2"/>
    <w:rsid w:val="000901C8"/>
    <w:rsid w:val="000901D9"/>
    <w:rsid w:val="000901F8"/>
    <w:rsid w:val="00090239"/>
    <w:rsid w:val="00090240"/>
    <w:rsid w:val="00090286"/>
    <w:rsid w:val="0009028C"/>
    <w:rsid w:val="0009029A"/>
    <w:rsid w:val="000902B7"/>
    <w:rsid w:val="000902EB"/>
    <w:rsid w:val="0009031A"/>
    <w:rsid w:val="0009033A"/>
    <w:rsid w:val="00090398"/>
    <w:rsid w:val="000903DD"/>
    <w:rsid w:val="0009045F"/>
    <w:rsid w:val="00090472"/>
    <w:rsid w:val="0009058B"/>
    <w:rsid w:val="000905B8"/>
    <w:rsid w:val="00090684"/>
    <w:rsid w:val="00090761"/>
    <w:rsid w:val="000907B5"/>
    <w:rsid w:val="00090825"/>
    <w:rsid w:val="00090840"/>
    <w:rsid w:val="0009084B"/>
    <w:rsid w:val="000908AB"/>
    <w:rsid w:val="000908DA"/>
    <w:rsid w:val="000908FD"/>
    <w:rsid w:val="000909F3"/>
    <w:rsid w:val="00090A67"/>
    <w:rsid w:val="00090AB8"/>
    <w:rsid w:val="00090AE5"/>
    <w:rsid w:val="00090B90"/>
    <w:rsid w:val="00090BE4"/>
    <w:rsid w:val="00090C74"/>
    <w:rsid w:val="00090CD4"/>
    <w:rsid w:val="00090D6F"/>
    <w:rsid w:val="00090D75"/>
    <w:rsid w:val="00090DB0"/>
    <w:rsid w:val="00090E82"/>
    <w:rsid w:val="00090EB4"/>
    <w:rsid w:val="00090F5A"/>
    <w:rsid w:val="00090F90"/>
    <w:rsid w:val="00090FF7"/>
    <w:rsid w:val="00091047"/>
    <w:rsid w:val="000910BB"/>
    <w:rsid w:val="000910DD"/>
    <w:rsid w:val="00091104"/>
    <w:rsid w:val="00091159"/>
    <w:rsid w:val="0009119D"/>
    <w:rsid w:val="0009119E"/>
    <w:rsid w:val="000911A1"/>
    <w:rsid w:val="000911B2"/>
    <w:rsid w:val="000911F8"/>
    <w:rsid w:val="000912FE"/>
    <w:rsid w:val="0009134F"/>
    <w:rsid w:val="000913C9"/>
    <w:rsid w:val="000913CC"/>
    <w:rsid w:val="00091445"/>
    <w:rsid w:val="00091506"/>
    <w:rsid w:val="00091623"/>
    <w:rsid w:val="00091642"/>
    <w:rsid w:val="000916EA"/>
    <w:rsid w:val="00091782"/>
    <w:rsid w:val="0009188E"/>
    <w:rsid w:val="0009190A"/>
    <w:rsid w:val="0009195D"/>
    <w:rsid w:val="00091A20"/>
    <w:rsid w:val="00091A42"/>
    <w:rsid w:val="00091A49"/>
    <w:rsid w:val="00091AA4"/>
    <w:rsid w:val="00091AB7"/>
    <w:rsid w:val="00091AB9"/>
    <w:rsid w:val="00091AD3"/>
    <w:rsid w:val="00091B16"/>
    <w:rsid w:val="00091B94"/>
    <w:rsid w:val="00091C0E"/>
    <w:rsid w:val="00091CA2"/>
    <w:rsid w:val="00091D1F"/>
    <w:rsid w:val="00091E26"/>
    <w:rsid w:val="00091EC3"/>
    <w:rsid w:val="00091F70"/>
    <w:rsid w:val="00091F77"/>
    <w:rsid w:val="00091FBF"/>
    <w:rsid w:val="00092026"/>
    <w:rsid w:val="00092078"/>
    <w:rsid w:val="00092081"/>
    <w:rsid w:val="000920C0"/>
    <w:rsid w:val="000920E0"/>
    <w:rsid w:val="0009216F"/>
    <w:rsid w:val="0009217D"/>
    <w:rsid w:val="0009219D"/>
    <w:rsid w:val="000921C5"/>
    <w:rsid w:val="000921D1"/>
    <w:rsid w:val="000921E5"/>
    <w:rsid w:val="000921ED"/>
    <w:rsid w:val="00092217"/>
    <w:rsid w:val="00092429"/>
    <w:rsid w:val="0009243E"/>
    <w:rsid w:val="00092440"/>
    <w:rsid w:val="0009247D"/>
    <w:rsid w:val="000924F3"/>
    <w:rsid w:val="000924FB"/>
    <w:rsid w:val="0009256E"/>
    <w:rsid w:val="0009259C"/>
    <w:rsid w:val="000925F3"/>
    <w:rsid w:val="00092695"/>
    <w:rsid w:val="000926B3"/>
    <w:rsid w:val="0009270D"/>
    <w:rsid w:val="00092739"/>
    <w:rsid w:val="00092776"/>
    <w:rsid w:val="0009284A"/>
    <w:rsid w:val="00092891"/>
    <w:rsid w:val="000929CA"/>
    <w:rsid w:val="00092A17"/>
    <w:rsid w:val="00092A27"/>
    <w:rsid w:val="00092A89"/>
    <w:rsid w:val="00092ACE"/>
    <w:rsid w:val="00092BAD"/>
    <w:rsid w:val="00092BD9"/>
    <w:rsid w:val="00092C2E"/>
    <w:rsid w:val="00092C6A"/>
    <w:rsid w:val="00092C72"/>
    <w:rsid w:val="00092C8C"/>
    <w:rsid w:val="00092CCC"/>
    <w:rsid w:val="00092CD4"/>
    <w:rsid w:val="00092CDA"/>
    <w:rsid w:val="00092D5E"/>
    <w:rsid w:val="00092DD4"/>
    <w:rsid w:val="00092DF5"/>
    <w:rsid w:val="00092E6E"/>
    <w:rsid w:val="00092E94"/>
    <w:rsid w:val="00092EA0"/>
    <w:rsid w:val="00092EA5"/>
    <w:rsid w:val="00092EB8"/>
    <w:rsid w:val="00092ED8"/>
    <w:rsid w:val="00092EDE"/>
    <w:rsid w:val="00092EE0"/>
    <w:rsid w:val="00092EF4"/>
    <w:rsid w:val="00092F9A"/>
    <w:rsid w:val="00092FFE"/>
    <w:rsid w:val="0009302C"/>
    <w:rsid w:val="00093073"/>
    <w:rsid w:val="0009308C"/>
    <w:rsid w:val="00093168"/>
    <w:rsid w:val="0009327F"/>
    <w:rsid w:val="0009328D"/>
    <w:rsid w:val="0009330A"/>
    <w:rsid w:val="00093316"/>
    <w:rsid w:val="0009333F"/>
    <w:rsid w:val="0009335C"/>
    <w:rsid w:val="00093377"/>
    <w:rsid w:val="00093399"/>
    <w:rsid w:val="0009339D"/>
    <w:rsid w:val="000933CF"/>
    <w:rsid w:val="00093586"/>
    <w:rsid w:val="000935E4"/>
    <w:rsid w:val="00093629"/>
    <w:rsid w:val="00093656"/>
    <w:rsid w:val="0009381C"/>
    <w:rsid w:val="00093930"/>
    <w:rsid w:val="00093A8C"/>
    <w:rsid w:val="00093ABF"/>
    <w:rsid w:val="00093ACA"/>
    <w:rsid w:val="00093B1D"/>
    <w:rsid w:val="00093B2E"/>
    <w:rsid w:val="00093BA4"/>
    <w:rsid w:val="00093C33"/>
    <w:rsid w:val="00093D10"/>
    <w:rsid w:val="00093D59"/>
    <w:rsid w:val="00093D69"/>
    <w:rsid w:val="00093E59"/>
    <w:rsid w:val="00093E5C"/>
    <w:rsid w:val="00093E80"/>
    <w:rsid w:val="00093EDA"/>
    <w:rsid w:val="00093F2A"/>
    <w:rsid w:val="00094011"/>
    <w:rsid w:val="00094012"/>
    <w:rsid w:val="00094089"/>
    <w:rsid w:val="000940D5"/>
    <w:rsid w:val="00094122"/>
    <w:rsid w:val="0009412C"/>
    <w:rsid w:val="0009414E"/>
    <w:rsid w:val="0009433E"/>
    <w:rsid w:val="00094343"/>
    <w:rsid w:val="0009436B"/>
    <w:rsid w:val="0009442E"/>
    <w:rsid w:val="0009444C"/>
    <w:rsid w:val="0009445D"/>
    <w:rsid w:val="000944CF"/>
    <w:rsid w:val="000944F7"/>
    <w:rsid w:val="0009455F"/>
    <w:rsid w:val="00094572"/>
    <w:rsid w:val="000945BA"/>
    <w:rsid w:val="000945FA"/>
    <w:rsid w:val="000946D6"/>
    <w:rsid w:val="000946D8"/>
    <w:rsid w:val="000946F7"/>
    <w:rsid w:val="00094710"/>
    <w:rsid w:val="00094743"/>
    <w:rsid w:val="00094753"/>
    <w:rsid w:val="0009477C"/>
    <w:rsid w:val="00094792"/>
    <w:rsid w:val="000947CE"/>
    <w:rsid w:val="000947F8"/>
    <w:rsid w:val="0009487E"/>
    <w:rsid w:val="00094887"/>
    <w:rsid w:val="00094895"/>
    <w:rsid w:val="000948A1"/>
    <w:rsid w:val="0009490A"/>
    <w:rsid w:val="000949C2"/>
    <w:rsid w:val="00094A56"/>
    <w:rsid w:val="00094A95"/>
    <w:rsid w:val="00094AA2"/>
    <w:rsid w:val="00094B07"/>
    <w:rsid w:val="00094B1E"/>
    <w:rsid w:val="00094B62"/>
    <w:rsid w:val="00094BB0"/>
    <w:rsid w:val="00094C0B"/>
    <w:rsid w:val="00094CA6"/>
    <w:rsid w:val="00094CD1"/>
    <w:rsid w:val="00094D3B"/>
    <w:rsid w:val="00094D6A"/>
    <w:rsid w:val="00094DA2"/>
    <w:rsid w:val="00094DC8"/>
    <w:rsid w:val="00094E19"/>
    <w:rsid w:val="00094E38"/>
    <w:rsid w:val="00094EA9"/>
    <w:rsid w:val="00094EAF"/>
    <w:rsid w:val="00094EC3"/>
    <w:rsid w:val="00094F1F"/>
    <w:rsid w:val="00094F27"/>
    <w:rsid w:val="00094FB2"/>
    <w:rsid w:val="00095019"/>
    <w:rsid w:val="0009501D"/>
    <w:rsid w:val="00095077"/>
    <w:rsid w:val="000950A8"/>
    <w:rsid w:val="000950E7"/>
    <w:rsid w:val="00095179"/>
    <w:rsid w:val="000951D1"/>
    <w:rsid w:val="00095276"/>
    <w:rsid w:val="0009536A"/>
    <w:rsid w:val="000953B1"/>
    <w:rsid w:val="0009547A"/>
    <w:rsid w:val="000954A0"/>
    <w:rsid w:val="000954EB"/>
    <w:rsid w:val="0009554E"/>
    <w:rsid w:val="00095557"/>
    <w:rsid w:val="00095562"/>
    <w:rsid w:val="0009557E"/>
    <w:rsid w:val="000955CC"/>
    <w:rsid w:val="0009561C"/>
    <w:rsid w:val="00095672"/>
    <w:rsid w:val="000956F6"/>
    <w:rsid w:val="0009588E"/>
    <w:rsid w:val="00095891"/>
    <w:rsid w:val="000958B6"/>
    <w:rsid w:val="000958DA"/>
    <w:rsid w:val="0009594C"/>
    <w:rsid w:val="00095969"/>
    <w:rsid w:val="00095A00"/>
    <w:rsid w:val="00095AAB"/>
    <w:rsid w:val="00095BF7"/>
    <w:rsid w:val="00095C2C"/>
    <w:rsid w:val="00095CFA"/>
    <w:rsid w:val="00095D1F"/>
    <w:rsid w:val="00095E08"/>
    <w:rsid w:val="00095E73"/>
    <w:rsid w:val="00095EB9"/>
    <w:rsid w:val="00095EF4"/>
    <w:rsid w:val="00095FDA"/>
    <w:rsid w:val="00096032"/>
    <w:rsid w:val="0009614D"/>
    <w:rsid w:val="0009615A"/>
    <w:rsid w:val="000961BF"/>
    <w:rsid w:val="000961ED"/>
    <w:rsid w:val="00096201"/>
    <w:rsid w:val="0009632E"/>
    <w:rsid w:val="000963AE"/>
    <w:rsid w:val="000963B0"/>
    <w:rsid w:val="000963E4"/>
    <w:rsid w:val="000964E2"/>
    <w:rsid w:val="00096518"/>
    <w:rsid w:val="00096541"/>
    <w:rsid w:val="00096553"/>
    <w:rsid w:val="0009667B"/>
    <w:rsid w:val="0009668B"/>
    <w:rsid w:val="000966C3"/>
    <w:rsid w:val="000966EC"/>
    <w:rsid w:val="00096708"/>
    <w:rsid w:val="00096723"/>
    <w:rsid w:val="0009676C"/>
    <w:rsid w:val="000967AC"/>
    <w:rsid w:val="000967D4"/>
    <w:rsid w:val="00096822"/>
    <w:rsid w:val="0009688F"/>
    <w:rsid w:val="00096923"/>
    <w:rsid w:val="00096938"/>
    <w:rsid w:val="0009694C"/>
    <w:rsid w:val="00096971"/>
    <w:rsid w:val="000969E4"/>
    <w:rsid w:val="00096A0A"/>
    <w:rsid w:val="00096A78"/>
    <w:rsid w:val="00096ADC"/>
    <w:rsid w:val="00096BF0"/>
    <w:rsid w:val="00096C4F"/>
    <w:rsid w:val="00096CC1"/>
    <w:rsid w:val="00096D42"/>
    <w:rsid w:val="00096DCC"/>
    <w:rsid w:val="00096DFC"/>
    <w:rsid w:val="00096E25"/>
    <w:rsid w:val="00096E66"/>
    <w:rsid w:val="00096FFF"/>
    <w:rsid w:val="0009701B"/>
    <w:rsid w:val="00097030"/>
    <w:rsid w:val="000970CB"/>
    <w:rsid w:val="00097136"/>
    <w:rsid w:val="00097193"/>
    <w:rsid w:val="000972B5"/>
    <w:rsid w:val="000972F1"/>
    <w:rsid w:val="00097345"/>
    <w:rsid w:val="000973BD"/>
    <w:rsid w:val="000973DB"/>
    <w:rsid w:val="000973EA"/>
    <w:rsid w:val="0009740C"/>
    <w:rsid w:val="00097417"/>
    <w:rsid w:val="00097454"/>
    <w:rsid w:val="00097464"/>
    <w:rsid w:val="00097494"/>
    <w:rsid w:val="000974F8"/>
    <w:rsid w:val="00097534"/>
    <w:rsid w:val="000975E9"/>
    <w:rsid w:val="0009760A"/>
    <w:rsid w:val="0009760D"/>
    <w:rsid w:val="000976D8"/>
    <w:rsid w:val="00097721"/>
    <w:rsid w:val="00097763"/>
    <w:rsid w:val="000977DA"/>
    <w:rsid w:val="00097892"/>
    <w:rsid w:val="000978CF"/>
    <w:rsid w:val="000978FE"/>
    <w:rsid w:val="00097933"/>
    <w:rsid w:val="00097A0A"/>
    <w:rsid w:val="00097ABC"/>
    <w:rsid w:val="00097B3B"/>
    <w:rsid w:val="00097BD2"/>
    <w:rsid w:val="00097C02"/>
    <w:rsid w:val="00097D20"/>
    <w:rsid w:val="00097D59"/>
    <w:rsid w:val="00097D67"/>
    <w:rsid w:val="00097E2B"/>
    <w:rsid w:val="00097EA8"/>
    <w:rsid w:val="00097F07"/>
    <w:rsid w:val="000A0037"/>
    <w:rsid w:val="000A0042"/>
    <w:rsid w:val="000A009C"/>
    <w:rsid w:val="000A014E"/>
    <w:rsid w:val="000A014F"/>
    <w:rsid w:val="000A0194"/>
    <w:rsid w:val="000A01A2"/>
    <w:rsid w:val="000A023A"/>
    <w:rsid w:val="000A0269"/>
    <w:rsid w:val="000A041E"/>
    <w:rsid w:val="000A042C"/>
    <w:rsid w:val="000A055B"/>
    <w:rsid w:val="000A0562"/>
    <w:rsid w:val="000A05F3"/>
    <w:rsid w:val="000A0614"/>
    <w:rsid w:val="000A0621"/>
    <w:rsid w:val="000A06A5"/>
    <w:rsid w:val="000A071E"/>
    <w:rsid w:val="000A073F"/>
    <w:rsid w:val="000A07AD"/>
    <w:rsid w:val="000A07DB"/>
    <w:rsid w:val="000A085F"/>
    <w:rsid w:val="000A0976"/>
    <w:rsid w:val="000A0A1E"/>
    <w:rsid w:val="000A0A3C"/>
    <w:rsid w:val="000A0A4B"/>
    <w:rsid w:val="000A0A7F"/>
    <w:rsid w:val="000A0B28"/>
    <w:rsid w:val="000A0CB8"/>
    <w:rsid w:val="000A0D52"/>
    <w:rsid w:val="000A0D96"/>
    <w:rsid w:val="000A0E00"/>
    <w:rsid w:val="000A0E49"/>
    <w:rsid w:val="000A0E5E"/>
    <w:rsid w:val="000A0E60"/>
    <w:rsid w:val="000A0E84"/>
    <w:rsid w:val="000A0E91"/>
    <w:rsid w:val="000A0F85"/>
    <w:rsid w:val="000A0FC3"/>
    <w:rsid w:val="000A102E"/>
    <w:rsid w:val="000A1068"/>
    <w:rsid w:val="000A1070"/>
    <w:rsid w:val="000A109C"/>
    <w:rsid w:val="000A10BD"/>
    <w:rsid w:val="000A10DB"/>
    <w:rsid w:val="000A115C"/>
    <w:rsid w:val="000A118F"/>
    <w:rsid w:val="000A1210"/>
    <w:rsid w:val="000A1239"/>
    <w:rsid w:val="000A126B"/>
    <w:rsid w:val="000A1270"/>
    <w:rsid w:val="000A12CC"/>
    <w:rsid w:val="000A130B"/>
    <w:rsid w:val="000A1347"/>
    <w:rsid w:val="000A13A8"/>
    <w:rsid w:val="000A13AB"/>
    <w:rsid w:val="000A13AD"/>
    <w:rsid w:val="000A1402"/>
    <w:rsid w:val="000A147C"/>
    <w:rsid w:val="000A147D"/>
    <w:rsid w:val="000A1493"/>
    <w:rsid w:val="000A1522"/>
    <w:rsid w:val="000A15D3"/>
    <w:rsid w:val="000A1670"/>
    <w:rsid w:val="000A16B4"/>
    <w:rsid w:val="000A16BA"/>
    <w:rsid w:val="000A17D2"/>
    <w:rsid w:val="000A17F3"/>
    <w:rsid w:val="000A189B"/>
    <w:rsid w:val="000A189D"/>
    <w:rsid w:val="000A1A1E"/>
    <w:rsid w:val="000A1A55"/>
    <w:rsid w:val="000A1AD3"/>
    <w:rsid w:val="000A1BB7"/>
    <w:rsid w:val="000A1C99"/>
    <w:rsid w:val="000A1CB5"/>
    <w:rsid w:val="000A1CE2"/>
    <w:rsid w:val="000A1D05"/>
    <w:rsid w:val="000A1DEB"/>
    <w:rsid w:val="000A1E6E"/>
    <w:rsid w:val="000A1E87"/>
    <w:rsid w:val="000A1EC8"/>
    <w:rsid w:val="000A1EE4"/>
    <w:rsid w:val="000A1EF0"/>
    <w:rsid w:val="000A1F06"/>
    <w:rsid w:val="000A1F41"/>
    <w:rsid w:val="000A1F49"/>
    <w:rsid w:val="000A1F70"/>
    <w:rsid w:val="000A1F8F"/>
    <w:rsid w:val="000A206A"/>
    <w:rsid w:val="000A2073"/>
    <w:rsid w:val="000A2082"/>
    <w:rsid w:val="000A20AB"/>
    <w:rsid w:val="000A20E0"/>
    <w:rsid w:val="000A2144"/>
    <w:rsid w:val="000A2154"/>
    <w:rsid w:val="000A219B"/>
    <w:rsid w:val="000A21D8"/>
    <w:rsid w:val="000A21E1"/>
    <w:rsid w:val="000A21E7"/>
    <w:rsid w:val="000A221A"/>
    <w:rsid w:val="000A22A9"/>
    <w:rsid w:val="000A2310"/>
    <w:rsid w:val="000A234D"/>
    <w:rsid w:val="000A2446"/>
    <w:rsid w:val="000A2450"/>
    <w:rsid w:val="000A249E"/>
    <w:rsid w:val="000A24A6"/>
    <w:rsid w:val="000A24AF"/>
    <w:rsid w:val="000A2558"/>
    <w:rsid w:val="000A2623"/>
    <w:rsid w:val="000A262C"/>
    <w:rsid w:val="000A278F"/>
    <w:rsid w:val="000A2799"/>
    <w:rsid w:val="000A27BD"/>
    <w:rsid w:val="000A280B"/>
    <w:rsid w:val="000A285A"/>
    <w:rsid w:val="000A2949"/>
    <w:rsid w:val="000A29B7"/>
    <w:rsid w:val="000A2A83"/>
    <w:rsid w:val="000A2AA2"/>
    <w:rsid w:val="000A2AD7"/>
    <w:rsid w:val="000A2BA1"/>
    <w:rsid w:val="000A2BE3"/>
    <w:rsid w:val="000A2BF3"/>
    <w:rsid w:val="000A2C31"/>
    <w:rsid w:val="000A2C93"/>
    <w:rsid w:val="000A2CE1"/>
    <w:rsid w:val="000A2CE5"/>
    <w:rsid w:val="000A2D21"/>
    <w:rsid w:val="000A2D68"/>
    <w:rsid w:val="000A2E04"/>
    <w:rsid w:val="000A2E5C"/>
    <w:rsid w:val="000A2EFD"/>
    <w:rsid w:val="000A2FF8"/>
    <w:rsid w:val="000A30C0"/>
    <w:rsid w:val="000A31A3"/>
    <w:rsid w:val="000A321B"/>
    <w:rsid w:val="000A32BC"/>
    <w:rsid w:val="000A32E7"/>
    <w:rsid w:val="000A3301"/>
    <w:rsid w:val="000A3342"/>
    <w:rsid w:val="000A334F"/>
    <w:rsid w:val="000A337D"/>
    <w:rsid w:val="000A33F3"/>
    <w:rsid w:val="000A33FE"/>
    <w:rsid w:val="000A3427"/>
    <w:rsid w:val="000A3441"/>
    <w:rsid w:val="000A349F"/>
    <w:rsid w:val="000A3532"/>
    <w:rsid w:val="000A3546"/>
    <w:rsid w:val="000A3547"/>
    <w:rsid w:val="000A3587"/>
    <w:rsid w:val="000A3612"/>
    <w:rsid w:val="000A3624"/>
    <w:rsid w:val="000A365F"/>
    <w:rsid w:val="000A36B1"/>
    <w:rsid w:val="000A3715"/>
    <w:rsid w:val="000A3723"/>
    <w:rsid w:val="000A375F"/>
    <w:rsid w:val="000A3887"/>
    <w:rsid w:val="000A391C"/>
    <w:rsid w:val="000A3931"/>
    <w:rsid w:val="000A397B"/>
    <w:rsid w:val="000A39E3"/>
    <w:rsid w:val="000A3A70"/>
    <w:rsid w:val="000A3B8C"/>
    <w:rsid w:val="000A3B8E"/>
    <w:rsid w:val="000A3BCE"/>
    <w:rsid w:val="000A3C13"/>
    <w:rsid w:val="000A3C79"/>
    <w:rsid w:val="000A3D44"/>
    <w:rsid w:val="000A3D63"/>
    <w:rsid w:val="000A3E61"/>
    <w:rsid w:val="000A406E"/>
    <w:rsid w:val="000A407C"/>
    <w:rsid w:val="000A40AE"/>
    <w:rsid w:val="000A40B0"/>
    <w:rsid w:val="000A40DB"/>
    <w:rsid w:val="000A4106"/>
    <w:rsid w:val="000A4162"/>
    <w:rsid w:val="000A417D"/>
    <w:rsid w:val="000A42EE"/>
    <w:rsid w:val="000A4364"/>
    <w:rsid w:val="000A4426"/>
    <w:rsid w:val="000A447D"/>
    <w:rsid w:val="000A44C4"/>
    <w:rsid w:val="000A44F8"/>
    <w:rsid w:val="000A4508"/>
    <w:rsid w:val="000A457D"/>
    <w:rsid w:val="000A45D2"/>
    <w:rsid w:val="000A465B"/>
    <w:rsid w:val="000A46B1"/>
    <w:rsid w:val="000A4716"/>
    <w:rsid w:val="000A47AB"/>
    <w:rsid w:val="000A47F4"/>
    <w:rsid w:val="000A4925"/>
    <w:rsid w:val="000A493C"/>
    <w:rsid w:val="000A4992"/>
    <w:rsid w:val="000A49B1"/>
    <w:rsid w:val="000A4A08"/>
    <w:rsid w:val="000A4A56"/>
    <w:rsid w:val="000A4AA8"/>
    <w:rsid w:val="000A4B59"/>
    <w:rsid w:val="000A4BA6"/>
    <w:rsid w:val="000A4BCD"/>
    <w:rsid w:val="000A4BDA"/>
    <w:rsid w:val="000A4C42"/>
    <w:rsid w:val="000A4C64"/>
    <w:rsid w:val="000A4C9E"/>
    <w:rsid w:val="000A4CB6"/>
    <w:rsid w:val="000A4CBE"/>
    <w:rsid w:val="000A4D1A"/>
    <w:rsid w:val="000A4D28"/>
    <w:rsid w:val="000A4E18"/>
    <w:rsid w:val="000A4EB4"/>
    <w:rsid w:val="000A4F03"/>
    <w:rsid w:val="000A4F07"/>
    <w:rsid w:val="000A4F8F"/>
    <w:rsid w:val="000A4FD9"/>
    <w:rsid w:val="000A4FFC"/>
    <w:rsid w:val="000A509F"/>
    <w:rsid w:val="000A51AD"/>
    <w:rsid w:val="000A51BF"/>
    <w:rsid w:val="000A51CB"/>
    <w:rsid w:val="000A51F1"/>
    <w:rsid w:val="000A52D4"/>
    <w:rsid w:val="000A5332"/>
    <w:rsid w:val="000A5399"/>
    <w:rsid w:val="000A54CD"/>
    <w:rsid w:val="000A5513"/>
    <w:rsid w:val="000A55B5"/>
    <w:rsid w:val="000A5601"/>
    <w:rsid w:val="000A5663"/>
    <w:rsid w:val="000A5704"/>
    <w:rsid w:val="000A5721"/>
    <w:rsid w:val="000A5725"/>
    <w:rsid w:val="000A57EC"/>
    <w:rsid w:val="000A57FF"/>
    <w:rsid w:val="000A581D"/>
    <w:rsid w:val="000A5920"/>
    <w:rsid w:val="000A598D"/>
    <w:rsid w:val="000A5A8A"/>
    <w:rsid w:val="000A5B03"/>
    <w:rsid w:val="000A5BD9"/>
    <w:rsid w:val="000A5C52"/>
    <w:rsid w:val="000A5CEE"/>
    <w:rsid w:val="000A5D20"/>
    <w:rsid w:val="000A5D93"/>
    <w:rsid w:val="000A5DD2"/>
    <w:rsid w:val="000A5DF0"/>
    <w:rsid w:val="000A5E9A"/>
    <w:rsid w:val="000A5ED6"/>
    <w:rsid w:val="000A5F11"/>
    <w:rsid w:val="000A5FA9"/>
    <w:rsid w:val="000A6087"/>
    <w:rsid w:val="000A611C"/>
    <w:rsid w:val="000A6124"/>
    <w:rsid w:val="000A61C5"/>
    <w:rsid w:val="000A61F6"/>
    <w:rsid w:val="000A6297"/>
    <w:rsid w:val="000A62B9"/>
    <w:rsid w:val="000A62BC"/>
    <w:rsid w:val="000A636C"/>
    <w:rsid w:val="000A637A"/>
    <w:rsid w:val="000A639E"/>
    <w:rsid w:val="000A646B"/>
    <w:rsid w:val="000A6494"/>
    <w:rsid w:val="000A64AA"/>
    <w:rsid w:val="000A651E"/>
    <w:rsid w:val="000A6532"/>
    <w:rsid w:val="000A6582"/>
    <w:rsid w:val="000A65B2"/>
    <w:rsid w:val="000A664D"/>
    <w:rsid w:val="000A6676"/>
    <w:rsid w:val="000A66F9"/>
    <w:rsid w:val="000A6724"/>
    <w:rsid w:val="000A6781"/>
    <w:rsid w:val="000A67B3"/>
    <w:rsid w:val="000A6859"/>
    <w:rsid w:val="000A686F"/>
    <w:rsid w:val="000A687D"/>
    <w:rsid w:val="000A68CA"/>
    <w:rsid w:val="000A692C"/>
    <w:rsid w:val="000A699B"/>
    <w:rsid w:val="000A69B9"/>
    <w:rsid w:val="000A69F5"/>
    <w:rsid w:val="000A69FA"/>
    <w:rsid w:val="000A6A80"/>
    <w:rsid w:val="000A6A89"/>
    <w:rsid w:val="000A6AB9"/>
    <w:rsid w:val="000A6ACA"/>
    <w:rsid w:val="000A6B13"/>
    <w:rsid w:val="000A6B28"/>
    <w:rsid w:val="000A6B33"/>
    <w:rsid w:val="000A6B8D"/>
    <w:rsid w:val="000A6C44"/>
    <w:rsid w:val="000A6C6E"/>
    <w:rsid w:val="000A6CC9"/>
    <w:rsid w:val="000A6D27"/>
    <w:rsid w:val="000A6D54"/>
    <w:rsid w:val="000A6DCF"/>
    <w:rsid w:val="000A6DDE"/>
    <w:rsid w:val="000A6E5E"/>
    <w:rsid w:val="000A6E9E"/>
    <w:rsid w:val="000A6EC7"/>
    <w:rsid w:val="000A6ED1"/>
    <w:rsid w:val="000A6F0C"/>
    <w:rsid w:val="000A6F4E"/>
    <w:rsid w:val="000A6F99"/>
    <w:rsid w:val="000A7004"/>
    <w:rsid w:val="000A701F"/>
    <w:rsid w:val="000A7077"/>
    <w:rsid w:val="000A70CF"/>
    <w:rsid w:val="000A70D9"/>
    <w:rsid w:val="000A718C"/>
    <w:rsid w:val="000A7197"/>
    <w:rsid w:val="000A71BB"/>
    <w:rsid w:val="000A71F7"/>
    <w:rsid w:val="000A7218"/>
    <w:rsid w:val="000A7299"/>
    <w:rsid w:val="000A73D0"/>
    <w:rsid w:val="000A73DA"/>
    <w:rsid w:val="000A742B"/>
    <w:rsid w:val="000A7430"/>
    <w:rsid w:val="000A745F"/>
    <w:rsid w:val="000A7526"/>
    <w:rsid w:val="000A75D0"/>
    <w:rsid w:val="000A760A"/>
    <w:rsid w:val="000A7618"/>
    <w:rsid w:val="000A7742"/>
    <w:rsid w:val="000A77EE"/>
    <w:rsid w:val="000A78C4"/>
    <w:rsid w:val="000A7940"/>
    <w:rsid w:val="000A797C"/>
    <w:rsid w:val="000A79C7"/>
    <w:rsid w:val="000A79D9"/>
    <w:rsid w:val="000A7A00"/>
    <w:rsid w:val="000A7A36"/>
    <w:rsid w:val="000A7B4E"/>
    <w:rsid w:val="000A7B80"/>
    <w:rsid w:val="000A7C48"/>
    <w:rsid w:val="000A7C68"/>
    <w:rsid w:val="000A7CD4"/>
    <w:rsid w:val="000A7CDC"/>
    <w:rsid w:val="000A7D31"/>
    <w:rsid w:val="000A7D46"/>
    <w:rsid w:val="000A7D4C"/>
    <w:rsid w:val="000A7D67"/>
    <w:rsid w:val="000A7D8D"/>
    <w:rsid w:val="000A7DD1"/>
    <w:rsid w:val="000A7DEC"/>
    <w:rsid w:val="000A7E69"/>
    <w:rsid w:val="000A7EFC"/>
    <w:rsid w:val="000A7FBE"/>
    <w:rsid w:val="000B0044"/>
    <w:rsid w:val="000B014A"/>
    <w:rsid w:val="000B0170"/>
    <w:rsid w:val="000B01AB"/>
    <w:rsid w:val="000B026E"/>
    <w:rsid w:val="000B031B"/>
    <w:rsid w:val="000B0374"/>
    <w:rsid w:val="000B03A9"/>
    <w:rsid w:val="000B042E"/>
    <w:rsid w:val="000B0448"/>
    <w:rsid w:val="000B04AB"/>
    <w:rsid w:val="000B0543"/>
    <w:rsid w:val="000B0564"/>
    <w:rsid w:val="000B058A"/>
    <w:rsid w:val="000B05C5"/>
    <w:rsid w:val="000B0626"/>
    <w:rsid w:val="000B073C"/>
    <w:rsid w:val="000B0746"/>
    <w:rsid w:val="000B075D"/>
    <w:rsid w:val="000B07DE"/>
    <w:rsid w:val="000B08E6"/>
    <w:rsid w:val="000B0971"/>
    <w:rsid w:val="000B09C9"/>
    <w:rsid w:val="000B09E2"/>
    <w:rsid w:val="000B09F0"/>
    <w:rsid w:val="000B0AFC"/>
    <w:rsid w:val="000B0B01"/>
    <w:rsid w:val="000B0B64"/>
    <w:rsid w:val="000B0BB6"/>
    <w:rsid w:val="000B0C47"/>
    <w:rsid w:val="000B0C70"/>
    <w:rsid w:val="000B0C76"/>
    <w:rsid w:val="000B0D5C"/>
    <w:rsid w:val="000B0DBE"/>
    <w:rsid w:val="000B0E20"/>
    <w:rsid w:val="000B0E3D"/>
    <w:rsid w:val="000B0EDA"/>
    <w:rsid w:val="000B0F1F"/>
    <w:rsid w:val="000B0F8F"/>
    <w:rsid w:val="000B0FD5"/>
    <w:rsid w:val="000B1063"/>
    <w:rsid w:val="000B107F"/>
    <w:rsid w:val="000B108D"/>
    <w:rsid w:val="000B10A7"/>
    <w:rsid w:val="000B10C3"/>
    <w:rsid w:val="000B1135"/>
    <w:rsid w:val="000B1140"/>
    <w:rsid w:val="000B1200"/>
    <w:rsid w:val="000B125B"/>
    <w:rsid w:val="000B126B"/>
    <w:rsid w:val="000B12CE"/>
    <w:rsid w:val="000B132C"/>
    <w:rsid w:val="000B134E"/>
    <w:rsid w:val="000B139D"/>
    <w:rsid w:val="000B13C5"/>
    <w:rsid w:val="000B1456"/>
    <w:rsid w:val="000B14A6"/>
    <w:rsid w:val="000B14D2"/>
    <w:rsid w:val="000B1503"/>
    <w:rsid w:val="000B1569"/>
    <w:rsid w:val="000B157A"/>
    <w:rsid w:val="000B1586"/>
    <w:rsid w:val="000B16B0"/>
    <w:rsid w:val="000B16D8"/>
    <w:rsid w:val="000B170A"/>
    <w:rsid w:val="000B1748"/>
    <w:rsid w:val="000B17F7"/>
    <w:rsid w:val="000B1835"/>
    <w:rsid w:val="000B184D"/>
    <w:rsid w:val="000B1882"/>
    <w:rsid w:val="000B18AB"/>
    <w:rsid w:val="000B19DF"/>
    <w:rsid w:val="000B1AD1"/>
    <w:rsid w:val="000B1AFD"/>
    <w:rsid w:val="000B1B0B"/>
    <w:rsid w:val="000B1BE8"/>
    <w:rsid w:val="000B1C36"/>
    <w:rsid w:val="000B1C9B"/>
    <w:rsid w:val="000B1CA2"/>
    <w:rsid w:val="000B1D63"/>
    <w:rsid w:val="000B1D6D"/>
    <w:rsid w:val="000B1DC6"/>
    <w:rsid w:val="000B1DE8"/>
    <w:rsid w:val="000B1E13"/>
    <w:rsid w:val="000B1E43"/>
    <w:rsid w:val="000B1E4C"/>
    <w:rsid w:val="000B1ED7"/>
    <w:rsid w:val="000B1F08"/>
    <w:rsid w:val="000B1F11"/>
    <w:rsid w:val="000B1F9C"/>
    <w:rsid w:val="000B1FE2"/>
    <w:rsid w:val="000B1FFD"/>
    <w:rsid w:val="000B2008"/>
    <w:rsid w:val="000B2054"/>
    <w:rsid w:val="000B20F8"/>
    <w:rsid w:val="000B213A"/>
    <w:rsid w:val="000B2145"/>
    <w:rsid w:val="000B2155"/>
    <w:rsid w:val="000B217B"/>
    <w:rsid w:val="000B218A"/>
    <w:rsid w:val="000B21D8"/>
    <w:rsid w:val="000B221B"/>
    <w:rsid w:val="000B223B"/>
    <w:rsid w:val="000B224E"/>
    <w:rsid w:val="000B229F"/>
    <w:rsid w:val="000B2322"/>
    <w:rsid w:val="000B2327"/>
    <w:rsid w:val="000B2399"/>
    <w:rsid w:val="000B23E3"/>
    <w:rsid w:val="000B23FE"/>
    <w:rsid w:val="000B2405"/>
    <w:rsid w:val="000B246F"/>
    <w:rsid w:val="000B2551"/>
    <w:rsid w:val="000B25CE"/>
    <w:rsid w:val="000B262C"/>
    <w:rsid w:val="000B2696"/>
    <w:rsid w:val="000B270B"/>
    <w:rsid w:val="000B2719"/>
    <w:rsid w:val="000B2791"/>
    <w:rsid w:val="000B27AA"/>
    <w:rsid w:val="000B286D"/>
    <w:rsid w:val="000B2941"/>
    <w:rsid w:val="000B295F"/>
    <w:rsid w:val="000B2AEB"/>
    <w:rsid w:val="000B2BEC"/>
    <w:rsid w:val="000B2C28"/>
    <w:rsid w:val="000B2C37"/>
    <w:rsid w:val="000B2C93"/>
    <w:rsid w:val="000B2CAE"/>
    <w:rsid w:val="000B2CCB"/>
    <w:rsid w:val="000B2E1C"/>
    <w:rsid w:val="000B2E26"/>
    <w:rsid w:val="000B2E9A"/>
    <w:rsid w:val="000B2EBD"/>
    <w:rsid w:val="000B2EF8"/>
    <w:rsid w:val="000B2FA3"/>
    <w:rsid w:val="000B3073"/>
    <w:rsid w:val="000B30D7"/>
    <w:rsid w:val="000B3195"/>
    <w:rsid w:val="000B31DB"/>
    <w:rsid w:val="000B3217"/>
    <w:rsid w:val="000B3288"/>
    <w:rsid w:val="000B32D3"/>
    <w:rsid w:val="000B32D8"/>
    <w:rsid w:val="000B32E7"/>
    <w:rsid w:val="000B3381"/>
    <w:rsid w:val="000B33D5"/>
    <w:rsid w:val="000B33D8"/>
    <w:rsid w:val="000B33EA"/>
    <w:rsid w:val="000B3416"/>
    <w:rsid w:val="000B345F"/>
    <w:rsid w:val="000B347B"/>
    <w:rsid w:val="000B34BA"/>
    <w:rsid w:val="000B34CB"/>
    <w:rsid w:val="000B34E1"/>
    <w:rsid w:val="000B3694"/>
    <w:rsid w:val="000B36EA"/>
    <w:rsid w:val="000B37E1"/>
    <w:rsid w:val="000B37F4"/>
    <w:rsid w:val="000B38B7"/>
    <w:rsid w:val="000B392D"/>
    <w:rsid w:val="000B39B1"/>
    <w:rsid w:val="000B39D8"/>
    <w:rsid w:val="000B3A18"/>
    <w:rsid w:val="000B3A36"/>
    <w:rsid w:val="000B3A3E"/>
    <w:rsid w:val="000B3A4E"/>
    <w:rsid w:val="000B3AB2"/>
    <w:rsid w:val="000B3AD3"/>
    <w:rsid w:val="000B3B22"/>
    <w:rsid w:val="000B3B74"/>
    <w:rsid w:val="000B3C57"/>
    <w:rsid w:val="000B3D35"/>
    <w:rsid w:val="000B3E9C"/>
    <w:rsid w:val="000B3EA4"/>
    <w:rsid w:val="000B3EE5"/>
    <w:rsid w:val="000B3F40"/>
    <w:rsid w:val="000B3F8F"/>
    <w:rsid w:val="000B405A"/>
    <w:rsid w:val="000B407A"/>
    <w:rsid w:val="000B40A9"/>
    <w:rsid w:val="000B40E2"/>
    <w:rsid w:val="000B414D"/>
    <w:rsid w:val="000B415C"/>
    <w:rsid w:val="000B4180"/>
    <w:rsid w:val="000B4181"/>
    <w:rsid w:val="000B43D3"/>
    <w:rsid w:val="000B4451"/>
    <w:rsid w:val="000B448C"/>
    <w:rsid w:val="000B44DF"/>
    <w:rsid w:val="000B44FB"/>
    <w:rsid w:val="000B453C"/>
    <w:rsid w:val="000B45A1"/>
    <w:rsid w:val="000B45AF"/>
    <w:rsid w:val="000B45D2"/>
    <w:rsid w:val="000B4679"/>
    <w:rsid w:val="000B46CE"/>
    <w:rsid w:val="000B4702"/>
    <w:rsid w:val="000B48A8"/>
    <w:rsid w:val="000B48F3"/>
    <w:rsid w:val="000B4938"/>
    <w:rsid w:val="000B49BE"/>
    <w:rsid w:val="000B4A1F"/>
    <w:rsid w:val="000B4A4B"/>
    <w:rsid w:val="000B4A63"/>
    <w:rsid w:val="000B4AE7"/>
    <w:rsid w:val="000B4B21"/>
    <w:rsid w:val="000B4B4E"/>
    <w:rsid w:val="000B4B5E"/>
    <w:rsid w:val="000B4C0D"/>
    <w:rsid w:val="000B4D22"/>
    <w:rsid w:val="000B4D34"/>
    <w:rsid w:val="000B4D45"/>
    <w:rsid w:val="000B4E0D"/>
    <w:rsid w:val="000B4E50"/>
    <w:rsid w:val="000B4F58"/>
    <w:rsid w:val="000B5047"/>
    <w:rsid w:val="000B505E"/>
    <w:rsid w:val="000B508C"/>
    <w:rsid w:val="000B50DD"/>
    <w:rsid w:val="000B50FA"/>
    <w:rsid w:val="000B51D4"/>
    <w:rsid w:val="000B51F7"/>
    <w:rsid w:val="000B52E2"/>
    <w:rsid w:val="000B5375"/>
    <w:rsid w:val="000B53E1"/>
    <w:rsid w:val="000B5413"/>
    <w:rsid w:val="000B5442"/>
    <w:rsid w:val="000B5476"/>
    <w:rsid w:val="000B554C"/>
    <w:rsid w:val="000B5610"/>
    <w:rsid w:val="000B5640"/>
    <w:rsid w:val="000B5644"/>
    <w:rsid w:val="000B570F"/>
    <w:rsid w:val="000B5714"/>
    <w:rsid w:val="000B577F"/>
    <w:rsid w:val="000B57E7"/>
    <w:rsid w:val="000B57EE"/>
    <w:rsid w:val="000B57FD"/>
    <w:rsid w:val="000B589E"/>
    <w:rsid w:val="000B58A9"/>
    <w:rsid w:val="000B58CB"/>
    <w:rsid w:val="000B5945"/>
    <w:rsid w:val="000B597F"/>
    <w:rsid w:val="000B5988"/>
    <w:rsid w:val="000B59FC"/>
    <w:rsid w:val="000B5A34"/>
    <w:rsid w:val="000B5A9E"/>
    <w:rsid w:val="000B5B3C"/>
    <w:rsid w:val="000B5B81"/>
    <w:rsid w:val="000B5B8C"/>
    <w:rsid w:val="000B5BB6"/>
    <w:rsid w:val="000B5BCE"/>
    <w:rsid w:val="000B5C5C"/>
    <w:rsid w:val="000B5D00"/>
    <w:rsid w:val="000B5D66"/>
    <w:rsid w:val="000B5E14"/>
    <w:rsid w:val="000B5F85"/>
    <w:rsid w:val="000B5FB1"/>
    <w:rsid w:val="000B60BE"/>
    <w:rsid w:val="000B60ED"/>
    <w:rsid w:val="000B60EF"/>
    <w:rsid w:val="000B611A"/>
    <w:rsid w:val="000B61F8"/>
    <w:rsid w:val="000B623B"/>
    <w:rsid w:val="000B624A"/>
    <w:rsid w:val="000B62DA"/>
    <w:rsid w:val="000B63A8"/>
    <w:rsid w:val="000B6426"/>
    <w:rsid w:val="000B6462"/>
    <w:rsid w:val="000B649A"/>
    <w:rsid w:val="000B649F"/>
    <w:rsid w:val="000B64A8"/>
    <w:rsid w:val="000B64B0"/>
    <w:rsid w:val="000B6522"/>
    <w:rsid w:val="000B652B"/>
    <w:rsid w:val="000B6530"/>
    <w:rsid w:val="000B65D0"/>
    <w:rsid w:val="000B65DB"/>
    <w:rsid w:val="000B661F"/>
    <w:rsid w:val="000B66B2"/>
    <w:rsid w:val="000B6803"/>
    <w:rsid w:val="000B6850"/>
    <w:rsid w:val="000B688C"/>
    <w:rsid w:val="000B68AC"/>
    <w:rsid w:val="000B68AF"/>
    <w:rsid w:val="000B6909"/>
    <w:rsid w:val="000B6991"/>
    <w:rsid w:val="000B6A5F"/>
    <w:rsid w:val="000B6ABA"/>
    <w:rsid w:val="000B6B3F"/>
    <w:rsid w:val="000B6B50"/>
    <w:rsid w:val="000B6BAA"/>
    <w:rsid w:val="000B6BFC"/>
    <w:rsid w:val="000B6C56"/>
    <w:rsid w:val="000B6C5A"/>
    <w:rsid w:val="000B6D9E"/>
    <w:rsid w:val="000B6DEA"/>
    <w:rsid w:val="000B6E3B"/>
    <w:rsid w:val="000B6E88"/>
    <w:rsid w:val="000B6EBF"/>
    <w:rsid w:val="000B6EF7"/>
    <w:rsid w:val="000B6F4A"/>
    <w:rsid w:val="000B6F6D"/>
    <w:rsid w:val="000B7038"/>
    <w:rsid w:val="000B7073"/>
    <w:rsid w:val="000B70AE"/>
    <w:rsid w:val="000B710C"/>
    <w:rsid w:val="000B7136"/>
    <w:rsid w:val="000B71B6"/>
    <w:rsid w:val="000B71D1"/>
    <w:rsid w:val="000B71D7"/>
    <w:rsid w:val="000B7208"/>
    <w:rsid w:val="000B7310"/>
    <w:rsid w:val="000B739E"/>
    <w:rsid w:val="000B7445"/>
    <w:rsid w:val="000B7469"/>
    <w:rsid w:val="000B74A8"/>
    <w:rsid w:val="000B751A"/>
    <w:rsid w:val="000B7551"/>
    <w:rsid w:val="000B759D"/>
    <w:rsid w:val="000B75A9"/>
    <w:rsid w:val="000B763A"/>
    <w:rsid w:val="000B7718"/>
    <w:rsid w:val="000B7878"/>
    <w:rsid w:val="000B788D"/>
    <w:rsid w:val="000B789C"/>
    <w:rsid w:val="000B78BA"/>
    <w:rsid w:val="000B78FD"/>
    <w:rsid w:val="000B7935"/>
    <w:rsid w:val="000B7995"/>
    <w:rsid w:val="000B799B"/>
    <w:rsid w:val="000B7A0F"/>
    <w:rsid w:val="000B7A35"/>
    <w:rsid w:val="000B7A3E"/>
    <w:rsid w:val="000B7C10"/>
    <w:rsid w:val="000B7C14"/>
    <w:rsid w:val="000B7C18"/>
    <w:rsid w:val="000B7C3C"/>
    <w:rsid w:val="000B7C6A"/>
    <w:rsid w:val="000B7C75"/>
    <w:rsid w:val="000B7CF8"/>
    <w:rsid w:val="000B7D00"/>
    <w:rsid w:val="000B7E5A"/>
    <w:rsid w:val="000B7ED6"/>
    <w:rsid w:val="000C006F"/>
    <w:rsid w:val="000C00B3"/>
    <w:rsid w:val="000C011C"/>
    <w:rsid w:val="000C01CA"/>
    <w:rsid w:val="000C0215"/>
    <w:rsid w:val="000C021B"/>
    <w:rsid w:val="000C0286"/>
    <w:rsid w:val="000C030C"/>
    <w:rsid w:val="000C0316"/>
    <w:rsid w:val="000C03A3"/>
    <w:rsid w:val="000C03AD"/>
    <w:rsid w:val="000C03B2"/>
    <w:rsid w:val="000C0469"/>
    <w:rsid w:val="000C0479"/>
    <w:rsid w:val="000C0570"/>
    <w:rsid w:val="000C05C5"/>
    <w:rsid w:val="000C05F0"/>
    <w:rsid w:val="000C05F7"/>
    <w:rsid w:val="000C0625"/>
    <w:rsid w:val="000C06DD"/>
    <w:rsid w:val="000C078B"/>
    <w:rsid w:val="000C078E"/>
    <w:rsid w:val="000C07A3"/>
    <w:rsid w:val="000C0887"/>
    <w:rsid w:val="000C0902"/>
    <w:rsid w:val="000C0944"/>
    <w:rsid w:val="000C09D4"/>
    <w:rsid w:val="000C09E3"/>
    <w:rsid w:val="000C0A0B"/>
    <w:rsid w:val="000C0AC6"/>
    <w:rsid w:val="000C0ADF"/>
    <w:rsid w:val="000C0B59"/>
    <w:rsid w:val="000C0BEB"/>
    <w:rsid w:val="000C0C16"/>
    <w:rsid w:val="000C0C19"/>
    <w:rsid w:val="000C0C1C"/>
    <w:rsid w:val="000C0CDA"/>
    <w:rsid w:val="000C0D0D"/>
    <w:rsid w:val="000C0D14"/>
    <w:rsid w:val="000C0D19"/>
    <w:rsid w:val="000C0D6A"/>
    <w:rsid w:val="000C0D7D"/>
    <w:rsid w:val="000C0D9B"/>
    <w:rsid w:val="000C0E01"/>
    <w:rsid w:val="000C0E6D"/>
    <w:rsid w:val="000C0EB7"/>
    <w:rsid w:val="000C0F7D"/>
    <w:rsid w:val="000C10A0"/>
    <w:rsid w:val="000C10E1"/>
    <w:rsid w:val="000C1102"/>
    <w:rsid w:val="000C1115"/>
    <w:rsid w:val="000C126A"/>
    <w:rsid w:val="000C1463"/>
    <w:rsid w:val="000C1473"/>
    <w:rsid w:val="000C1593"/>
    <w:rsid w:val="000C1596"/>
    <w:rsid w:val="000C1597"/>
    <w:rsid w:val="000C16C6"/>
    <w:rsid w:val="000C16DB"/>
    <w:rsid w:val="000C16DC"/>
    <w:rsid w:val="000C1811"/>
    <w:rsid w:val="000C1830"/>
    <w:rsid w:val="000C1865"/>
    <w:rsid w:val="000C187F"/>
    <w:rsid w:val="000C188D"/>
    <w:rsid w:val="000C18A4"/>
    <w:rsid w:val="000C18D1"/>
    <w:rsid w:val="000C1974"/>
    <w:rsid w:val="000C1990"/>
    <w:rsid w:val="000C1994"/>
    <w:rsid w:val="000C19B3"/>
    <w:rsid w:val="000C1A9D"/>
    <w:rsid w:val="000C1AE7"/>
    <w:rsid w:val="000C1B18"/>
    <w:rsid w:val="000C1B23"/>
    <w:rsid w:val="000C1B2A"/>
    <w:rsid w:val="000C1C02"/>
    <w:rsid w:val="000C1C26"/>
    <w:rsid w:val="000C1C88"/>
    <w:rsid w:val="000C1CE8"/>
    <w:rsid w:val="000C1D09"/>
    <w:rsid w:val="000C1F9D"/>
    <w:rsid w:val="000C1FB6"/>
    <w:rsid w:val="000C1FBD"/>
    <w:rsid w:val="000C202F"/>
    <w:rsid w:val="000C208F"/>
    <w:rsid w:val="000C20A0"/>
    <w:rsid w:val="000C2122"/>
    <w:rsid w:val="000C2195"/>
    <w:rsid w:val="000C22FC"/>
    <w:rsid w:val="000C249D"/>
    <w:rsid w:val="000C255F"/>
    <w:rsid w:val="000C2690"/>
    <w:rsid w:val="000C2712"/>
    <w:rsid w:val="000C27E4"/>
    <w:rsid w:val="000C2808"/>
    <w:rsid w:val="000C2816"/>
    <w:rsid w:val="000C285D"/>
    <w:rsid w:val="000C2894"/>
    <w:rsid w:val="000C28B9"/>
    <w:rsid w:val="000C2956"/>
    <w:rsid w:val="000C2989"/>
    <w:rsid w:val="000C298B"/>
    <w:rsid w:val="000C2999"/>
    <w:rsid w:val="000C29D2"/>
    <w:rsid w:val="000C2A88"/>
    <w:rsid w:val="000C2B64"/>
    <w:rsid w:val="000C2BCC"/>
    <w:rsid w:val="000C2C39"/>
    <w:rsid w:val="000C2C59"/>
    <w:rsid w:val="000C2CF5"/>
    <w:rsid w:val="000C2D7F"/>
    <w:rsid w:val="000C2E91"/>
    <w:rsid w:val="000C2EFA"/>
    <w:rsid w:val="000C2F33"/>
    <w:rsid w:val="000C2FDA"/>
    <w:rsid w:val="000C3044"/>
    <w:rsid w:val="000C3113"/>
    <w:rsid w:val="000C3141"/>
    <w:rsid w:val="000C318A"/>
    <w:rsid w:val="000C31FA"/>
    <w:rsid w:val="000C3200"/>
    <w:rsid w:val="000C3214"/>
    <w:rsid w:val="000C3279"/>
    <w:rsid w:val="000C3294"/>
    <w:rsid w:val="000C3309"/>
    <w:rsid w:val="000C3396"/>
    <w:rsid w:val="000C34C2"/>
    <w:rsid w:val="000C350F"/>
    <w:rsid w:val="000C352D"/>
    <w:rsid w:val="000C3534"/>
    <w:rsid w:val="000C357A"/>
    <w:rsid w:val="000C35F6"/>
    <w:rsid w:val="000C3669"/>
    <w:rsid w:val="000C368E"/>
    <w:rsid w:val="000C36B3"/>
    <w:rsid w:val="000C3768"/>
    <w:rsid w:val="000C3772"/>
    <w:rsid w:val="000C37A6"/>
    <w:rsid w:val="000C3905"/>
    <w:rsid w:val="000C3944"/>
    <w:rsid w:val="000C394F"/>
    <w:rsid w:val="000C39D7"/>
    <w:rsid w:val="000C39DE"/>
    <w:rsid w:val="000C3A52"/>
    <w:rsid w:val="000C3A53"/>
    <w:rsid w:val="000C3A9F"/>
    <w:rsid w:val="000C3AB2"/>
    <w:rsid w:val="000C3AE5"/>
    <w:rsid w:val="000C3B19"/>
    <w:rsid w:val="000C3BDA"/>
    <w:rsid w:val="000C3BED"/>
    <w:rsid w:val="000C3C41"/>
    <w:rsid w:val="000C3D5B"/>
    <w:rsid w:val="000C3DAA"/>
    <w:rsid w:val="000C3E95"/>
    <w:rsid w:val="000C3EBE"/>
    <w:rsid w:val="000C3EEA"/>
    <w:rsid w:val="000C3F61"/>
    <w:rsid w:val="000C4079"/>
    <w:rsid w:val="000C419E"/>
    <w:rsid w:val="000C419F"/>
    <w:rsid w:val="000C41E3"/>
    <w:rsid w:val="000C424C"/>
    <w:rsid w:val="000C42F6"/>
    <w:rsid w:val="000C433E"/>
    <w:rsid w:val="000C4427"/>
    <w:rsid w:val="000C4496"/>
    <w:rsid w:val="000C44A2"/>
    <w:rsid w:val="000C44EA"/>
    <w:rsid w:val="000C45B6"/>
    <w:rsid w:val="000C45CC"/>
    <w:rsid w:val="000C45F7"/>
    <w:rsid w:val="000C47BD"/>
    <w:rsid w:val="000C4844"/>
    <w:rsid w:val="000C48E1"/>
    <w:rsid w:val="000C4924"/>
    <w:rsid w:val="000C4970"/>
    <w:rsid w:val="000C4A02"/>
    <w:rsid w:val="000C4A35"/>
    <w:rsid w:val="000C4A5D"/>
    <w:rsid w:val="000C4A73"/>
    <w:rsid w:val="000C4A97"/>
    <w:rsid w:val="000C4AB0"/>
    <w:rsid w:val="000C4AF7"/>
    <w:rsid w:val="000C4AFB"/>
    <w:rsid w:val="000C4B47"/>
    <w:rsid w:val="000C4C01"/>
    <w:rsid w:val="000C4C48"/>
    <w:rsid w:val="000C4C8E"/>
    <w:rsid w:val="000C4CDB"/>
    <w:rsid w:val="000C4D42"/>
    <w:rsid w:val="000C4D84"/>
    <w:rsid w:val="000C4DDC"/>
    <w:rsid w:val="000C4DDE"/>
    <w:rsid w:val="000C4DDF"/>
    <w:rsid w:val="000C4E2F"/>
    <w:rsid w:val="000C4FC7"/>
    <w:rsid w:val="000C4FD7"/>
    <w:rsid w:val="000C4FDE"/>
    <w:rsid w:val="000C508D"/>
    <w:rsid w:val="000C5208"/>
    <w:rsid w:val="000C526A"/>
    <w:rsid w:val="000C5286"/>
    <w:rsid w:val="000C52FB"/>
    <w:rsid w:val="000C53E7"/>
    <w:rsid w:val="000C53FF"/>
    <w:rsid w:val="000C542B"/>
    <w:rsid w:val="000C544C"/>
    <w:rsid w:val="000C54A9"/>
    <w:rsid w:val="000C5583"/>
    <w:rsid w:val="000C55E6"/>
    <w:rsid w:val="000C560A"/>
    <w:rsid w:val="000C563E"/>
    <w:rsid w:val="000C569C"/>
    <w:rsid w:val="000C5725"/>
    <w:rsid w:val="000C585C"/>
    <w:rsid w:val="000C5864"/>
    <w:rsid w:val="000C5868"/>
    <w:rsid w:val="000C58C8"/>
    <w:rsid w:val="000C58D8"/>
    <w:rsid w:val="000C5910"/>
    <w:rsid w:val="000C5926"/>
    <w:rsid w:val="000C596E"/>
    <w:rsid w:val="000C59B1"/>
    <w:rsid w:val="000C59D8"/>
    <w:rsid w:val="000C5A37"/>
    <w:rsid w:val="000C5A3C"/>
    <w:rsid w:val="000C5A9E"/>
    <w:rsid w:val="000C5BA2"/>
    <w:rsid w:val="000C5BA3"/>
    <w:rsid w:val="000C5C27"/>
    <w:rsid w:val="000C5C62"/>
    <w:rsid w:val="000C5CD6"/>
    <w:rsid w:val="000C5DE8"/>
    <w:rsid w:val="000C5DFA"/>
    <w:rsid w:val="000C5E8B"/>
    <w:rsid w:val="000C5EF2"/>
    <w:rsid w:val="000C5F71"/>
    <w:rsid w:val="000C6036"/>
    <w:rsid w:val="000C606D"/>
    <w:rsid w:val="000C6077"/>
    <w:rsid w:val="000C60E8"/>
    <w:rsid w:val="000C6146"/>
    <w:rsid w:val="000C618C"/>
    <w:rsid w:val="000C62C6"/>
    <w:rsid w:val="000C639C"/>
    <w:rsid w:val="000C63D8"/>
    <w:rsid w:val="000C6455"/>
    <w:rsid w:val="000C6490"/>
    <w:rsid w:val="000C6524"/>
    <w:rsid w:val="000C6530"/>
    <w:rsid w:val="000C6551"/>
    <w:rsid w:val="000C655B"/>
    <w:rsid w:val="000C656F"/>
    <w:rsid w:val="000C6604"/>
    <w:rsid w:val="000C6621"/>
    <w:rsid w:val="000C667E"/>
    <w:rsid w:val="000C6747"/>
    <w:rsid w:val="000C6778"/>
    <w:rsid w:val="000C6782"/>
    <w:rsid w:val="000C6795"/>
    <w:rsid w:val="000C67B0"/>
    <w:rsid w:val="000C67FC"/>
    <w:rsid w:val="000C6821"/>
    <w:rsid w:val="000C6900"/>
    <w:rsid w:val="000C6901"/>
    <w:rsid w:val="000C6960"/>
    <w:rsid w:val="000C696E"/>
    <w:rsid w:val="000C696F"/>
    <w:rsid w:val="000C6A0B"/>
    <w:rsid w:val="000C6A19"/>
    <w:rsid w:val="000C6A3B"/>
    <w:rsid w:val="000C6A40"/>
    <w:rsid w:val="000C6A64"/>
    <w:rsid w:val="000C6B13"/>
    <w:rsid w:val="000C6B1F"/>
    <w:rsid w:val="000C6B32"/>
    <w:rsid w:val="000C6B50"/>
    <w:rsid w:val="000C6C5B"/>
    <w:rsid w:val="000C6CC4"/>
    <w:rsid w:val="000C6CFD"/>
    <w:rsid w:val="000C6D26"/>
    <w:rsid w:val="000C6DCD"/>
    <w:rsid w:val="000C6DEC"/>
    <w:rsid w:val="000C6E6F"/>
    <w:rsid w:val="000C6EAD"/>
    <w:rsid w:val="000C6FB5"/>
    <w:rsid w:val="000C6FC6"/>
    <w:rsid w:val="000C6FED"/>
    <w:rsid w:val="000C701C"/>
    <w:rsid w:val="000C7043"/>
    <w:rsid w:val="000C705B"/>
    <w:rsid w:val="000C706E"/>
    <w:rsid w:val="000C70AE"/>
    <w:rsid w:val="000C7168"/>
    <w:rsid w:val="000C7284"/>
    <w:rsid w:val="000C72AF"/>
    <w:rsid w:val="000C72C1"/>
    <w:rsid w:val="000C7350"/>
    <w:rsid w:val="000C7353"/>
    <w:rsid w:val="000C739C"/>
    <w:rsid w:val="000C73C2"/>
    <w:rsid w:val="000C7473"/>
    <w:rsid w:val="000C7521"/>
    <w:rsid w:val="000C7544"/>
    <w:rsid w:val="000C75EE"/>
    <w:rsid w:val="000C762F"/>
    <w:rsid w:val="000C7719"/>
    <w:rsid w:val="000C774F"/>
    <w:rsid w:val="000C77CC"/>
    <w:rsid w:val="000C784F"/>
    <w:rsid w:val="000C7861"/>
    <w:rsid w:val="000C7878"/>
    <w:rsid w:val="000C788C"/>
    <w:rsid w:val="000C788E"/>
    <w:rsid w:val="000C7894"/>
    <w:rsid w:val="000C7A46"/>
    <w:rsid w:val="000C7B8C"/>
    <w:rsid w:val="000C7C46"/>
    <w:rsid w:val="000C7C67"/>
    <w:rsid w:val="000C7C8A"/>
    <w:rsid w:val="000C7CC9"/>
    <w:rsid w:val="000C7CE1"/>
    <w:rsid w:val="000C7CF2"/>
    <w:rsid w:val="000C7DDF"/>
    <w:rsid w:val="000C7DE4"/>
    <w:rsid w:val="000C7EFD"/>
    <w:rsid w:val="000D00E9"/>
    <w:rsid w:val="000D018B"/>
    <w:rsid w:val="000D0260"/>
    <w:rsid w:val="000D0376"/>
    <w:rsid w:val="000D0400"/>
    <w:rsid w:val="000D040E"/>
    <w:rsid w:val="000D041D"/>
    <w:rsid w:val="000D0430"/>
    <w:rsid w:val="000D04D9"/>
    <w:rsid w:val="000D0530"/>
    <w:rsid w:val="000D06AB"/>
    <w:rsid w:val="000D0704"/>
    <w:rsid w:val="000D083F"/>
    <w:rsid w:val="000D0907"/>
    <w:rsid w:val="000D0959"/>
    <w:rsid w:val="000D09B4"/>
    <w:rsid w:val="000D09BC"/>
    <w:rsid w:val="000D09C6"/>
    <w:rsid w:val="000D09EA"/>
    <w:rsid w:val="000D09F1"/>
    <w:rsid w:val="000D0A23"/>
    <w:rsid w:val="000D0A2E"/>
    <w:rsid w:val="000D0A45"/>
    <w:rsid w:val="000D0AA0"/>
    <w:rsid w:val="000D0B50"/>
    <w:rsid w:val="000D0B78"/>
    <w:rsid w:val="000D0B81"/>
    <w:rsid w:val="000D0C98"/>
    <w:rsid w:val="000D0D2E"/>
    <w:rsid w:val="000D0D4B"/>
    <w:rsid w:val="000D0D64"/>
    <w:rsid w:val="000D0E8A"/>
    <w:rsid w:val="000D0E9E"/>
    <w:rsid w:val="000D0EEB"/>
    <w:rsid w:val="000D1159"/>
    <w:rsid w:val="000D116A"/>
    <w:rsid w:val="000D132F"/>
    <w:rsid w:val="000D1381"/>
    <w:rsid w:val="000D14E4"/>
    <w:rsid w:val="000D14F0"/>
    <w:rsid w:val="000D1502"/>
    <w:rsid w:val="000D1516"/>
    <w:rsid w:val="000D156C"/>
    <w:rsid w:val="000D1579"/>
    <w:rsid w:val="000D1584"/>
    <w:rsid w:val="000D158C"/>
    <w:rsid w:val="000D164E"/>
    <w:rsid w:val="000D1714"/>
    <w:rsid w:val="000D175F"/>
    <w:rsid w:val="000D17A7"/>
    <w:rsid w:val="000D18F5"/>
    <w:rsid w:val="000D1943"/>
    <w:rsid w:val="000D1980"/>
    <w:rsid w:val="000D1AF1"/>
    <w:rsid w:val="000D1B1D"/>
    <w:rsid w:val="000D1B61"/>
    <w:rsid w:val="000D1B83"/>
    <w:rsid w:val="000D1B90"/>
    <w:rsid w:val="000D1CE9"/>
    <w:rsid w:val="000D1D77"/>
    <w:rsid w:val="000D1DAA"/>
    <w:rsid w:val="000D1E1D"/>
    <w:rsid w:val="000D1E59"/>
    <w:rsid w:val="000D1EA1"/>
    <w:rsid w:val="000D1EDA"/>
    <w:rsid w:val="000D1F41"/>
    <w:rsid w:val="000D1F72"/>
    <w:rsid w:val="000D1FDF"/>
    <w:rsid w:val="000D1FFF"/>
    <w:rsid w:val="000D201D"/>
    <w:rsid w:val="000D206E"/>
    <w:rsid w:val="000D2098"/>
    <w:rsid w:val="000D20C0"/>
    <w:rsid w:val="000D2162"/>
    <w:rsid w:val="000D21A4"/>
    <w:rsid w:val="000D2245"/>
    <w:rsid w:val="000D22D1"/>
    <w:rsid w:val="000D234C"/>
    <w:rsid w:val="000D2397"/>
    <w:rsid w:val="000D24A7"/>
    <w:rsid w:val="000D2577"/>
    <w:rsid w:val="000D2578"/>
    <w:rsid w:val="000D25BE"/>
    <w:rsid w:val="000D2731"/>
    <w:rsid w:val="000D27D9"/>
    <w:rsid w:val="000D27F4"/>
    <w:rsid w:val="000D286C"/>
    <w:rsid w:val="000D2908"/>
    <w:rsid w:val="000D29A9"/>
    <w:rsid w:val="000D2A40"/>
    <w:rsid w:val="000D2A7A"/>
    <w:rsid w:val="000D2A96"/>
    <w:rsid w:val="000D2AAB"/>
    <w:rsid w:val="000D2ADE"/>
    <w:rsid w:val="000D2AE1"/>
    <w:rsid w:val="000D2BA4"/>
    <w:rsid w:val="000D2BC5"/>
    <w:rsid w:val="000D2D80"/>
    <w:rsid w:val="000D2DAA"/>
    <w:rsid w:val="000D2DF7"/>
    <w:rsid w:val="000D2DFA"/>
    <w:rsid w:val="000D2E94"/>
    <w:rsid w:val="000D2EDE"/>
    <w:rsid w:val="000D2EE1"/>
    <w:rsid w:val="000D2F6F"/>
    <w:rsid w:val="000D2FBD"/>
    <w:rsid w:val="000D2FC5"/>
    <w:rsid w:val="000D2FFA"/>
    <w:rsid w:val="000D3073"/>
    <w:rsid w:val="000D30A9"/>
    <w:rsid w:val="000D30CB"/>
    <w:rsid w:val="000D3186"/>
    <w:rsid w:val="000D3209"/>
    <w:rsid w:val="000D3328"/>
    <w:rsid w:val="000D33BA"/>
    <w:rsid w:val="000D346D"/>
    <w:rsid w:val="000D3477"/>
    <w:rsid w:val="000D351C"/>
    <w:rsid w:val="000D3554"/>
    <w:rsid w:val="000D35A0"/>
    <w:rsid w:val="000D36EE"/>
    <w:rsid w:val="000D374B"/>
    <w:rsid w:val="000D378F"/>
    <w:rsid w:val="000D37EC"/>
    <w:rsid w:val="000D3804"/>
    <w:rsid w:val="000D3883"/>
    <w:rsid w:val="000D38BC"/>
    <w:rsid w:val="000D38EA"/>
    <w:rsid w:val="000D38F9"/>
    <w:rsid w:val="000D38FF"/>
    <w:rsid w:val="000D39B2"/>
    <w:rsid w:val="000D3B11"/>
    <w:rsid w:val="000D3C36"/>
    <w:rsid w:val="000D3CA2"/>
    <w:rsid w:val="000D3CBC"/>
    <w:rsid w:val="000D3D1B"/>
    <w:rsid w:val="000D3DDC"/>
    <w:rsid w:val="000D3DEE"/>
    <w:rsid w:val="000D3DFF"/>
    <w:rsid w:val="000D3E02"/>
    <w:rsid w:val="000D3E17"/>
    <w:rsid w:val="000D3E7D"/>
    <w:rsid w:val="000D3EB7"/>
    <w:rsid w:val="000D3ED0"/>
    <w:rsid w:val="000D3FC0"/>
    <w:rsid w:val="000D41E1"/>
    <w:rsid w:val="000D4223"/>
    <w:rsid w:val="000D4260"/>
    <w:rsid w:val="000D42DF"/>
    <w:rsid w:val="000D4354"/>
    <w:rsid w:val="000D437A"/>
    <w:rsid w:val="000D438A"/>
    <w:rsid w:val="000D4444"/>
    <w:rsid w:val="000D44A7"/>
    <w:rsid w:val="000D44C4"/>
    <w:rsid w:val="000D44D2"/>
    <w:rsid w:val="000D44EA"/>
    <w:rsid w:val="000D455C"/>
    <w:rsid w:val="000D457C"/>
    <w:rsid w:val="000D4580"/>
    <w:rsid w:val="000D4598"/>
    <w:rsid w:val="000D45DD"/>
    <w:rsid w:val="000D464B"/>
    <w:rsid w:val="000D466E"/>
    <w:rsid w:val="000D4692"/>
    <w:rsid w:val="000D46D7"/>
    <w:rsid w:val="000D4732"/>
    <w:rsid w:val="000D476E"/>
    <w:rsid w:val="000D4775"/>
    <w:rsid w:val="000D47B2"/>
    <w:rsid w:val="000D47CB"/>
    <w:rsid w:val="000D47FE"/>
    <w:rsid w:val="000D4897"/>
    <w:rsid w:val="000D4900"/>
    <w:rsid w:val="000D4983"/>
    <w:rsid w:val="000D49F5"/>
    <w:rsid w:val="000D49FB"/>
    <w:rsid w:val="000D4A16"/>
    <w:rsid w:val="000D4A8E"/>
    <w:rsid w:val="000D4A9B"/>
    <w:rsid w:val="000D4AAD"/>
    <w:rsid w:val="000D4AC6"/>
    <w:rsid w:val="000D4AE2"/>
    <w:rsid w:val="000D4BAC"/>
    <w:rsid w:val="000D4CD9"/>
    <w:rsid w:val="000D4D31"/>
    <w:rsid w:val="000D4D65"/>
    <w:rsid w:val="000D4DA8"/>
    <w:rsid w:val="000D4E03"/>
    <w:rsid w:val="000D4EB8"/>
    <w:rsid w:val="000D4F00"/>
    <w:rsid w:val="000D4F20"/>
    <w:rsid w:val="000D4F83"/>
    <w:rsid w:val="000D507D"/>
    <w:rsid w:val="000D50AD"/>
    <w:rsid w:val="000D50DE"/>
    <w:rsid w:val="000D5157"/>
    <w:rsid w:val="000D519D"/>
    <w:rsid w:val="000D51A1"/>
    <w:rsid w:val="000D5276"/>
    <w:rsid w:val="000D528F"/>
    <w:rsid w:val="000D52C2"/>
    <w:rsid w:val="000D533F"/>
    <w:rsid w:val="000D5362"/>
    <w:rsid w:val="000D537B"/>
    <w:rsid w:val="000D5488"/>
    <w:rsid w:val="000D5500"/>
    <w:rsid w:val="000D5501"/>
    <w:rsid w:val="000D551C"/>
    <w:rsid w:val="000D55C3"/>
    <w:rsid w:val="000D55FE"/>
    <w:rsid w:val="000D561C"/>
    <w:rsid w:val="000D5626"/>
    <w:rsid w:val="000D562C"/>
    <w:rsid w:val="000D5658"/>
    <w:rsid w:val="000D56CC"/>
    <w:rsid w:val="000D5783"/>
    <w:rsid w:val="000D58C8"/>
    <w:rsid w:val="000D58EA"/>
    <w:rsid w:val="000D591A"/>
    <w:rsid w:val="000D5934"/>
    <w:rsid w:val="000D5C92"/>
    <w:rsid w:val="000D5DB2"/>
    <w:rsid w:val="000D5DE4"/>
    <w:rsid w:val="000D5F07"/>
    <w:rsid w:val="000D5F0A"/>
    <w:rsid w:val="000D5F66"/>
    <w:rsid w:val="000D5F98"/>
    <w:rsid w:val="000D5FAC"/>
    <w:rsid w:val="000D5FDC"/>
    <w:rsid w:val="000D6095"/>
    <w:rsid w:val="000D60B7"/>
    <w:rsid w:val="000D60CD"/>
    <w:rsid w:val="000D616D"/>
    <w:rsid w:val="000D61DF"/>
    <w:rsid w:val="000D61F9"/>
    <w:rsid w:val="000D625A"/>
    <w:rsid w:val="000D62DF"/>
    <w:rsid w:val="000D6322"/>
    <w:rsid w:val="000D637A"/>
    <w:rsid w:val="000D63D2"/>
    <w:rsid w:val="000D6473"/>
    <w:rsid w:val="000D64BB"/>
    <w:rsid w:val="000D64E1"/>
    <w:rsid w:val="000D658F"/>
    <w:rsid w:val="000D66EF"/>
    <w:rsid w:val="000D6728"/>
    <w:rsid w:val="000D672F"/>
    <w:rsid w:val="000D6774"/>
    <w:rsid w:val="000D6875"/>
    <w:rsid w:val="000D68A8"/>
    <w:rsid w:val="000D6906"/>
    <w:rsid w:val="000D6965"/>
    <w:rsid w:val="000D6A36"/>
    <w:rsid w:val="000D6AAF"/>
    <w:rsid w:val="000D6AD5"/>
    <w:rsid w:val="000D6AF5"/>
    <w:rsid w:val="000D6B32"/>
    <w:rsid w:val="000D6B3D"/>
    <w:rsid w:val="000D6BB0"/>
    <w:rsid w:val="000D6C82"/>
    <w:rsid w:val="000D6C92"/>
    <w:rsid w:val="000D6D42"/>
    <w:rsid w:val="000D6D7C"/>
    <w:rsid w:val="000D6D8F"/>
    <w:rsid w:val="000D6DD8"/>
    <w:rsid w:val="000D6DEA"/>
    <w:rsid w:val="000D6E51"/>
    <w:rsid w:val="000D6E81"/>
    <w:rsid w:val="000D6F0A"/>
    <w:rsid w:val="000D6F18"/>
    <w:rsid w:val="000D6F87"/>
    <w:rsid w:val="000D6FBE"/>
    <w:rsid w:val="000D706E"/>
    <w:rsid w:val="000D7080"/>
    <w:rsid w:val="000D7155"/>
    <w:rsid w:val="000D7160"/>
    <w:rsid w:val="000D71ED"/>
    <w:rsid w:val="000D72B1"/>
    <w:rsid w:val="000D730D"/>
    <w:rsid w:val="000D739D"/>
    <w:rsid w:val="000D73BB"/>
    <w:rsid w:val="000D7426"/>
    <w:rsid w:val="000D7464"/>
    <w:rsid w:val="000D754D"/>
    <w:rsid w:val="000D75FE"/>
    <w:rsid w:val="000D7627"/>
    <w:rsid w:val="000D762B"/>
    <w:rsid w:val="000D7724"/>
    <w:rsid w:val="000D77C7"/>
    <w:rsid w:val="000D7819"/>
    <w:rsid w:val="000D7843"/>
    <w:rsid w:val="000D7875"/>
    <w:rsid w:val="000D7877"/>
    <w:rsid w:val="000D78B6"/>
    <w:rsid w:val="000D78D7"/>
    <w:rsid w:val="000D79CE"/>
    <w:rsid w:val="000D7A12"/>
    <w:rsid w:val="000D7B49"/>
    <w:rsid w:val="000D7BDF"/>
    <w:rsid w:val="000D7C21"/>
    <w:rsid w:val="000D7C8C"/>
    <w:rsid w:val="000D7CCD"/>
    <w:rsid w:val="000D7D00"/>
    <w:rsid w:val="000D7D41"/>
    <w:rsid w:val="000D7D9F"/>
    <w:rsid w:val="000D7E33"/>
    <w:rsid w:val="000D7EAE"/>
    <w:rsid w:val="000D7EC2"/>
    <w:rsid w:val="000D7ED7"/>
    <w:rsid w:val="000D7F39"/>
    <w:rsid w:val="000D7F50"/>
    <w:rsid w:val="000D7F6C"/>
    <w:rsid w:val="000D7F6E"/>
    <w:rsid w:val="000D7FF0"/>
    <w:rsid w:val="000E0004"/>
    <w:rsid w:val="000E00FD"/>
    <w:rsid w:val="000E0156"/>
    <w:rsid w:val="000E0163"/>
    <w:rsid w:val="000E0185"/>
    <w:rsid w:val="000E01D3"/>
    <w:rsid w:val="000E0230"/>
    <w:rsid w:val="000E028E"/>
    <w:rsid w:val="000E02D7"/>
    <w:rsid w:val="000E02E4"/>
    <w:rsid w:val="000E032C"/>
    <w:rsid w:val="000E033E"/>
    <w:rsid w:val="000E03A9"/>
    <w:rsid w:val="000E0466"/>
    <w:rsid w:val="000E047F"/>
    <w:rsid w:val="000E04A2"/>
    <w:rsid w:val="000E04CE"/>
    <w:rsid w:val="000E0550"/>
    <w:rsid w:val="000E059B"/>
    <w:rsid w:val="000E05AB"/>
    <w:rsid w:val="000E05E5"/>
    <w:rsid w:val="000E0694"/>
    <w:rsid w:val="000E0709"/>
    <w:rsid w:val="000E074E"/>
    <w:rsid w:val="000E0761"/>
    <w:rsid w:val="000E0770"/>
    <w:rsid w:val="000E07FD"/>
    <w:rsid w:val="000E08A0"/>
    <w:rsid w:val="000E08ED"/>
    <w:rsid w:val="000E095D"/>
    <w:rsid w:val="000E09A7"/>
    <w:rsid w:val="000E09F8"/>
    <w:rsid w:val="000E0A1F"/>
    <w:rsid w:val="000E0A88"/>
    <w:rsid w:val="000E0B90"/>
    <w:rsid w:val="000E0C75"/>
    <w:rsid w:val="000E0CBF"/>
    <w:rsid w:val="000E0CCB"/>
    <w:rsid w:val="000E0CE5"/>
    <w:rsid w:val="000E0D0A"/>
    <w:rsid w:val="000E0D0E"/>
    <w:rsid w:val="000E0D7E"/>
    <w:rsid w:val="000E0D81"/>
    <w:rsid w:val="000E0D94"/>
    <w:rsid w:val="000E0EED"/>
    <w:rsid w:val="000E0F6C"/>
    <w:rsid w:val="000E0FB2"/>
    <w:rsid w:val="000E0FEA"/>
    <w:rsid w:val="000E1062"/>
    <w:rsid w:val="000E10C2"/>
    <w:rsid w:val="000E1124"/>
    <w:rsid w:val="000E112E"/>
    <w:rsid w:val="000E118B"/>
    <w:rsid w:val="000E11DA"/>
    <w:rsid w:val="000E1349"/>
    <w:rsid w:val="000E13CD"/>
    <w:rsid w:val="000E13E0"/>
    <w:rsid w:val="000E13EA"/>
    <w:rsid w:val="000E1426"/>
    <w:rsid w:val="000E14EE"/>
    <w:rsid w:val="000E1669"/>
    <w:rsid w:val="000E1940"/>
    <w:rsid w:val="000E19A7"/>
    <w:rsid w:val="000E19C9"/>
    <w:rsid w:val="000E1A02"/>
    <w:rsid w:val="000E1A10"/>
    <w:rsid w:val="000E1A17"/>
    <w:rsid w:val="000E1A2D"/>
    <w:rsid w:val="000E1A67"/>
    <w:rsid w:val="000E1AB6"/>
    <w:rsid w:val="000E1B73"/>
    <w:rsid w:val="000E1B9C"/>
    <w:rsid w:val="000E1BF1"/>
    <w:rsid w:val="000E1C7C"/>
    <w:rsid w:val="000E1DA1"/>
    <w:rsid w:val="000E1DEF"/>
    <w:rsid w:val="000E1FF5"/>
    <w:rsid w:val="000E205A"/>
    <w:rsid w:val="000E20E7"/>
    <w:rsid w:val="000E219E"/>
    <w:rsid w:val="000E2249"/>
    <w:rsid w:val="000E230E"/>
    <w:rsid w:val="000E232A"/>
    <w:rsid w:val="000E2345"/>
    <w:rsid w:val="000E238A"/>
    <w:rsid w:val="000E2405"/>
    <w:rsid w:val="000E2459"/>
    <w:rsid w:val="000E2460"/>
    <w:rsid w:val="000E2473"/>
    <w:rsid w:val="000E255A"/>
    <w:rsid w:val="000E25E3"/>
    <w:rsid w:val="000E261D"/>
    <w:rsid w:val="000E2659"/>
    <w:rsid w:val="000E2669"/>
    <w:rsid w:val="000E268F"/>
    <w:rsid w:val="000E26BC"/>
    <w:rsid w:val="000E26DD"/>
    <w:rsid w:val="000E2722"/>
    <w:rsid w:val="000E27B0"/>
    <w:rsid w:val="000E27E3"/>
    <w:rsid w:val="000E27FC"/>
    <w:rsid w:val="000E280D"/>
    <w:rsid w:val="000E284B"/>
    <w:rsid w:val="000E2882"/>
    <w:rsid w:val="000E290B"/>
    <w:rsid w:val="000E29CA"/>
    <w:rsid w:val="000E29CC"/>
    <w:rsid w:val="000E2A3D"/>
    <w:rsid w:val="000E2B38"/>
    <w:rsid w:val="000E2C74"/>
    <w:rsid w:val="000E2C99"/>
    <w:rsid w:val="000E2CBD"/>
    <w:rsid w:val="000E2D1D"/>
    <w:rsid w:val="000E2D60"/>
    <w:rsid w:val="000E2E0A"/>
    <w:rsid w:val="000E2E10"/>
    <w:rsid w:val="000E2E20"/>
    <w:rsid w:val="000E2E9E"/>
    <w:rsid w:val="000E2EBC"/>
    <w:rsid w:val="000E2EE1"/>
    <w:rsid w:val="000E2F2C"/>
    <w:rsid w:val="000E2F33"/>
    <w:rsid w:val="000E2F60"/>
    <w:rsid w:val="000E2F95"/>
    <w:rsid w:val="000E2FAB"/>
    <w:rsid w:val="000E300A"/>
    <w:rsid w:val="000E316D"/>
    <w:rsid w:val="000E31C3"/>
    <w:rsid w:val="000E32E9"/>
    <w:rsid w:val="000E330E"/>
    <w:rsid w:val="000E3390"/>
    <w:rsid w:val="000E33B3"/>
    <w:rsid w:val="000E33E9"/>
    <w:rsid w:val="000E358A"/>
    <w:rsid w:val="000E35B0"/>
    <w:rsid w:val="000E365C"/>
    <w:rsid w:val="000E367F"/>
    <w:rsid w:val="000E36B8"/>
    <w:rsid w:val="000E3730"/>
    <w:rsid w:val="000E3744"/>
    <w:rsid w:val="000E3952"/>
    <w:rsid w:val="000E3969"/>
    <w:rsid w:val="000E3987"/>
    <w:rsid w:val="000E39BD"/>
    <w:rsid w:val="000E3A47"/>
    <w:rsid w:val="000E3A7D"/>
    <w:rsid w:val="000E3A9A"/>
    <w:rsid w:val="000E3B46"/>
    <w:rsid w:val="000E3B58"/>
    <w:rsid w:val="000E3C05"/>
    <w:rsid w:val="000E3C06"/>
    <w:rsid w:val="000E3D12"/>
    <w:rsid w:val="000E3D84"/>
    <w:rsid w:val="000E3D9B"/>
    <w:rsid w:val="000E3E00"/>
    <w:rsid w:val="000E3E0E"/>
    <w:rsid w:val="000E3E53"/>
    <w:rsid w:val="000E3ED1"/>
    <w:rsid w:val="000E3F0B"/>
    <w:rsid w:val="000E3F14"/>
    <w:rsid w:val="000E3F28"/>
    <w:rsid w:val="000E3F32"/>
    <w:rsid w:val="000E3FD5"/>
    <w:rsid w:val="000E405E"/>
    <w:rsid w:val="000E40C4"/>
    <w:rsid w:val="000E40D1"/>
    <w:rsid w:val="000E4163"/>
    <w:rsid w:val="000E41B6"/>
    <w:rsid w:val="000E42B0"/>
    <w:rsid w:val="000E42DC"/>
    <w:rsid w:val="000E4337"/>
    <w:rsid w:val="000E4365"/>
    <w:rsid w:val="000E4382"/>
    <w:rsid w:val="000E43DD"/>
    <w:rsid w:val="000E43E1"/>
    <w:rsid w:val="000E441D"/>
    <w:rsid w:val="000E4426"/>
    <w:rsid w:val="000E4453"/>
    <w:rsid w:val="000E4468"/>
    <w:rsid w:val="000E449B"/>
    <w:rsid w:val="000E44CF"/>
    <w:rsid w:val="000E4598"/>
    <w:rsid w:val="000E45CD"/>
    <w:rsid w:val="000E465D"/>
    <w:rsid w:val="000E46B2"/>
    <w:rsid w:val="000E46F3"/>
    <w:rsid w:val="000E47B5"/>
    <w:rsid w:val="000E47DC"/>
    <w:rsid w:val="000E47E5"/>
    <w:rsid w:val="000E4855"/>
    <w:rsid w:val="000E487D"/>
    <w:rsid w:val="000E48C6"/>
    <w:rsid w:val="000E4948"/>
    <w:rsid w:val="000E4A64"/>
    <w:rsid w:val="000E4B41"/>
    <w:rsid w:val="000E4B60"/>
    <w:rsid w:val="000E4BAC"/>
    <w:rsid w:val="000E4BC3"/>
    <w:rsid w:val="000E4C63"/>
    <w:rsid w:val="000E4C6B"/>
    <w:rsid w:val="000E4D02"/>
    <w:rsid w:val="000E4D2F"/>
    <w:rsid w:val="000E4D59"/>
    <w:rsid w:val="000E4D63"/>
    <w:rsid w:val="000E4D91"/>
    <w:rsid w:val="000E4DC1"/>
    <w:rsid w:val="000E4DD1"/>
    <w:rsid w:val="000E4E78"/>
    <w:rsid w:val="000E4EBA"/>
    <w:rsid w:val="000E4F04"/>
    <w:rsid w:val="000E4F45"/>
    <w:rsid w:val="000E4F7B"/>
    <w:rsid w:val="000E501D"/>
    <w:rsid w:val="000E5072"/>
    <w:rsid w:val="000E50FC"/>
    <w:rsid w:val="000E520F"/>
    <w:rsid w:val="000E525C"/>
    <w:rsid w:val="000E52B8"/>
    <w:rsid w:val="000E52D7"/>
    <w:rsid w:val="000E52EA"/>
    <w:rsid w:val="000E5358"/>
    <w:rsid w:val="000E53D5"/>
    <w:rsid w:val="000E5455"/>
    <w:rsid w:val="000E54F7"/>
    <w:rsid w:val="000E54FE"/>
    <w:rsid w:val="000E5538"/>
    <w:rsid w:val="000E5634"/>
    <w:rsid w:val="000E575A"/>
    <w:rsid w:val="000E5761"/>
    <w:rsid w:val="000E57D2"/>
    <w:rsid w:val="000E5894"/>
    <w:rsid w:val="000E58C6"/>
    <w:rsid w:val="000E58D0"/>
    <w:rsid w:val="000E59BF"/>
    <w:rsid w:val="000E59F2"/>
    <w:rsid w:val="000E5A28"/>
    <w:rsid w:val="000E5A78"/>
    <w:rsid w:val="000E5A9B"/>
    <w:rsid w:val="000E5AA2"/>
    <w:rsid w:val="000E5AD0"/>
    <w:rsid w:val="000E5B26"/>
    <w:rsid w:val="000E5B81"/>
    <w:rsid w:val="000E5BEE"/>
    <w:rsid w:val="000E5C04"/>
    <w:rsid w:val="000E5CB1"/>
    <w:rsid w:val="000E5D4E"/>
    <w:rsid w:val="000E5D87"/>
    <w:rsid w:val="000E5D8C"/>
    <w:rsid w:val="000E5DAA"/>
    <w:rsid w:val="000E5E41"/>
    <w:rsid w:val="000E5EB3"/>
    <w:rsid w:val="000E5ED0"/>
    <w:rsid w:val="000E5F69"/>
    <w:rsid w:val="000E5F82"/>
    <w:rsid w:val="000E6015"/>
    <w:rsid w:val="000E6097"/>
    <w:rsid w:val="000E61BA"/>
    <w:rsid w:val="000E61FB"/>
    <w:rsid w:val="000E6208"/>
    <w:rsid w:val="000E6278"/>
    <w:rsid w:val="000E62D0"/>
    <w:rsid w:val="000E638D"/>
    <w:rsid w:val="000E63FA"/>
    <w:rsid w:val="000E641D"/>
    <w:rsid w:val="000E6420"/>
    <w:rsid w:val="000E6457"/>
    <w:rsid w:val="000E646C"/>
    <w:rsid w:val="000E654F"/>
    <w:rsid w:val="000E660A"/>
    <w:rsid w:val="000E6688"/>
    <w:rsid w:val="000E673A"/>
    <w:rsid w:val="000E67DE"/>
    <w:rsid w:val="000E67F7"/>
    <w:rsid w:val="000E6877"/>
    <w:rsid w:val="000E68DD"/>
    <w:rsid w:val="000E6912"/>
    <w:rsid w:val="000E69E0"/>
    <w:rsid w:val="000E6AD0"/>
    <w:rsid w:val="000E6C63"/>
    <w:rsid w:val="000E6C89"/>
    <w:rsid w:val="000E6CC3"/>
    <w:rsid w:val="000E6CEB"/>
    <w:rsid w:val="000E6D82"/>
    <w:rsid w:val="000E6D88"/>
    <w:rsid w:val="000E6EAF"/>
    <w:rsid w:val="000E6F0B"/>
    <w:rsid w:val="000E6F64"/>
    <w:rsid w:val="000E7059"/>
    <w:rsid w:val="000E7100"/>
    <w:rsid w:val="000E7131"/>
    <w:rsid w:val="000E7176"/>
    <w:rsid w:val="000E71F6"/>
    <w:rsid w:val="000E7229"/>
    <w:rsid w:val="000E72C6"/>
    <w:rsid w:val="000E738F"/>
    <w:rsid w:val="000E73F1"/>
    <w:rsid w:val="000E740D"/>
    <w:rsid w:val="000E744C"/>
    <w:rsid w:val="000E74CA"/>
    <w:rsid w:val="000E7531"/>
    <w:rsid w:val="000E766A"/>
    <w:rsid w:val="000E7697"/>
    <w:rsid w:val="000E76A6"/>
    <w:rsid w:val="000E7702"/>
    <w:rsid w:val="000E7840"/>
    <w:rsid w:val="000E78E4"/>
    <w:rsid w:val="000E795C"/>
    <w:rsid w:val="000E7A58"/>
    <w:rsid w:val="000E7B19"/>
    <w:rsid w:val="000E7BF8"/>
    <w:rsid w:val="000E7C21"/>
    <w:rsid w:val="000E7C83"/>
    <w:rsid w:val="000E7C85"/>
    <w:rsid w:val="000E7CB6"/>
    <w:rsid w:val="000E7E52"/>
    <w:rsid w:val="000E7FF6"/>
    <w:rsid w:val="000F0033"/>
    <w:rsid w:val="000F003F"/>
    <w:rsid w:val="000F0062"/>
    <w:rsid w:val="000F00B1"/>
    <w:rsid w:val="000F00E4"/>
    <w:rsid w:val="000F00F6"/>
    <w:rsid w:val="000F00FE"/>
    <w:rsid w:val="000F0144"/>
    <w:rsid w:val="000F01A8"/>
    <w:rsid w:val="000F01BF"/>
    <w:rsid w:val="000F028B"/>
    <w:rsid w:val="000F02A0"/>
    <w:rsid w:val="000F02DA"/>
    <w:rsid w:val="000F02FD"/>
    <w:rsid w:val="000F0379"/>
    <w:rsid w:val="000F038F"/>
    <w:rsid w:val="000F0399"/>
    <w:rsid w:val="000F03C2"/>
    <w:rsid w:val="000F0514"/>
    <w:rsid w:val="000F0517"/>
    <w:rsid w:val="000F05B6"/>
    <w:rsid w:val="000F05D6"/>
    <w:rsid w:val="000F061D"/>
    <w:rsid w:val="000F0624"/>
    <w:rsid w:val="000F068D"/>
    <w:rsid w:val="000F06CF"/>
    <w:rsid w:val="000F074E"/>
    <w:rsid w:val="000F0758"/>
    <w:rsid w:val="000F07DC"/>
    <w:rsid w:val="000F07F6"/>
    <w:rsid w:val="000F07FE"/>
    <w:rsid w:val="000F089A"/>
    <w:rsid w:val="000F09DF"/>
    <w:rsid w:val="000F0A26"/>
    <w:rsid w:val="000F0A83"/>
    <w:rsid w:val="000F0B13"/>
    <w:rsid w:val="000F0C0E"/>
    <w:rsid w:val="000F0C67"/>
    <w:rsid w:val="000F0CC8"/>
    <w:rsid w:val="000F0CDC"/>
    <w:rsid w:val="000F0D44"/>
    <w:rsid w:val="000F0DFD"/>
    <w:rsid w:val="000F0EA2"/>
    <w:rsid w:val="000F0ED4"/>
    <w:rsid w:val="000F0EE7"/>
    <w:rsid w:val="000F0F4B"/>
    <w:rsid w:val="000F0F83"/>
    <w:rsid w:val="000F1020"/>
    <w:rsid w:val="000F1024"/>
    <w:rsid w:val="000F1048"/>
    <w:rsid w:val="000F1096"/>
    <w:rsid w:val="000F10EB"/>
    <w:rsid w:val="000F10F7"/>
    <w:rsid w:val="000F1158"/>
    <w:rsid w:val="000F1195"/>
    <w:rsid w:val="000F11B5"/>
    <w:rsid w:val="000F1301"/>
    <w:rsid w:val="000F130F"/>
    <w:rsid w:val="000F13D7"/>
    <w:rsid w:val="000F13DF"/>
    <w:rsid w:val="000F163E"/>
    <w:rsid w:val="000F18CF"/>
    <w:rsid w:val="000F18F4"/>
    <w:rsid w:val="000F196B"/>
    <w:rsid w:val="000F1986"/>
    <w:rsid w:val="000F19EF"/>
    <w:rsid w:val="000F1A96"/>
    <w:rsid w:val="000F1AF7"/>
    <w:rsid w:val="000F1B47"/>
    <w:rsid w:val="000F1BCE"/>
    <w:rsid w:val="000F1C3E"/>
    <w:rsid w:val="000F1CD9"/>
    <w:rsid w:val="000F1D33"/>
    <w:rsid w:val="000F1E15"/>
    <w:rsid w:val="000F1E27"/>
    <w:rsid w:val="000F1E92"/>
    <w:rsid w:val="000F1F8D"/>
    <w:rsid w:val="000F1F95"/>
    <w:rsid w:val="000F1FFE"/>
    <w:rsid w:val="000F201B"/>
    <w:rsid w:val="000F2203"/>
    <w:rsid w:val="000F2207"/>
    <w:rsid w:val="000F222F"/>
    <w:rsid w:val="000F2258"/>
    <w:rsid w:val="000F2271"/>
    <w:rsid w:val="000F22E6"/>
    <w:rsid w:val="000F2302"/>
    <w:rsid w:val="000F2354"/>
    <w:rsid w:val="000F238E"/>
    <w:rsid w:val="000F2398"/>
    <w:rsid w:val="000F2460"/>
    <w:rsid w:val="000F2504"/>
    <w:rsid w:val="000F2552"/>
    <w:rsid w:val="000F2616"/>
    <w:rsid w:val="000F265D"/>
    <w:rsid w:val="000F2665"/>
    <w:rsid w:val="000F2698"/>
    <w:rsid w:val="000F26F0"/>
    <w:rsid w:val="000F2736"/>
    <w:rsid w:val="000F284D"/>
    <w:rsid w:val="000F2882"/>
    <w:rsid w:val="000F2906"/>
    <w:rsid w:val="000F2961"/>
    <w:rsid w:val="000F2984"/>
    <w:rsid w:val="000F2A01"/>
    <w:rsid w:val="000F2A28"/>
    <w:rsid w:val="000F2A7D"/>
    <w:rsid w:val="000F2B81"/>
    <w:rsid w:val="000F2D24"/>
    <w:rsid w:val="000F2D30"/>
    <w:rsid w:val="000F2D40"/>
    <w:rsid w:val="000F2D59"/>
    <w:rsid w:val="000F2DF2"/>
    <w:rsid w:val="000F2DF6"/>
    <w:rsid w:val="000F2E25"/>
    <w:rsid w:val="000F2EE3"/>
    <w:rsid w:val="000F2EE5"/>
    <w:rsid w:val="000F2F7D"/>
    <w:rsid w:val="000F30EF"/>
    <w:rsid w:val="000F312C"/>
    <w:rsid w:val="000F3178"/>
    <w:rsid w:val="000F31A4"/>
    <w:rsid w:val="000F3265"/>
    <w:rsid w:val="000F32C5"/>
    <w:rsid w:val="000F32E6"/>
    <w:rsid w:val="000F336E"/>
    <w:rsid w:val="000F34C3"/>
    <w:rsid w:val="000F3687"/>
    <w:rsid w:val="000F36F5"/>
    <w:rsid w:val="000F36FB"/>
    <w:rsid w:val="000F370B"/>
    <w:rsid w:val="000F3744"/>
    <w:rsid w:val="000F382B"/>
    <w:rsid w:val="000F389B"/>
    <w:rsid w:val="000F3909"/>
    <w:rsid w:val="000F392B"/>
    <w:rsid w:val="000F396B"/>
    <w:rsid w:val="000F39FE"/>
    <w:rsid w:val="000F3A53"/>
    <w:rsid w:val="000F3B00"/>
    <w:rsid w:val="000F3B1C"/>
    <w:rsid w:val="000F3B2D"/>
    <w:rsid w:val="000F3B57"/>
    <w:rsid w:val="000F3B75"/>
    <w:rsid w:val="000F3BAF"/>
    <w:rsid w:val="000F3BE5"/>
    <w:rsid w:val="000F3C16"/>
    <w:rsid w:val="000F3CA8"/>
    <w:rsid w:val="000F3CCA"/>
    <w:rsid w:val="000F3CCE"/>
    <w:rsid w:val="000F3D3A"/>
    <w:rsid w:val="000F3DAB"/>
    <w:rsid w:val="000F3DC1"/>
    <w:rsid w:val="000F3DF6"/>
    <w:rsid w:val="000F3E03"/>
    <w:rsid w:val="000F3E0C"/>
    <w:rsid w:val="000F3E71"/>
    <w:rsid w:val="000F3EB3"/>
    <w:rsid w:val="000F3EC4"/>
    <w:rsid w:val="000F3F0D"/>
    <w:rsid w:val="000F3F64"/>
    <w:rsid w:val="000F3F67"/>
    <w:rsid w:val="000F40D7"/>
    <w:rsid w:val="000F415D"/>
    <w:rsid w:val="000F419F"/>
    <w:rsid w:val="000F41DC"/>
    <w:rsid w:val="000F423A"/>
    <w:rsid w:val="000F42C6"/>
    <w:rsid w:val="000F42CA"/>
    <w:rsid w:val="000F4333"/>
    <w:rsid w:val="000F44AA"/>
    <w:rsid w:val="000F458C"/>
    <w:rsid w:val="000F45F5"/>
    <w:rsid w:val="000F467D"/>
    <w:rsid w:val="000F470E"/>
    <w:rsid w:val="000F4711"/>
    <w:rsid w:val="000F474F"/>
    <w:rsid w:val="000F47AD"/>
    <w:rsid w:val="000F4909"/>
    <w:rsid w:val="000F4946"/>
    <w:rsid w:val="000F494D"/>
    <w:rsid w:val="000F4959"/>
    <w:rsid w:val="000F4A03"/>
    <w:rsid w:val="000F4A90"/>
    <w:rsid w:val="000F4AE2"/>
    <w:rsid w:val="000F4AEC"/>
    <w:rsid w:val="000F4B38"/>
    <w:rsid w:val="000F4B51"/>
    <w:rsid w:val="000F4B55"/>
    <w:rsid w:val="000F4B8F"/>
    <w:rsid w:val="000F4BA3"/>
    <w:rsid w:val="000F4C4F"/>
    <w:rsid w:val="000F4CA7"/>
    <w:rsid w:val="000F4CA9"/>
    <w:rsid w:val="000F4D19"/>
    <w:rsid w:val="000F4D35"/>
    <w:rsid w:val="000F4DEE"/>
    <w:rsid w:val="000F4E00"/>
    <w:rsid w:val="000F4E38"/>
    <w:rsid w:val="000F4EDA"/>
    <w:rsid w:val="000F4F1E"/>
    <w:rsid w:val="000F4F3E"/>
    <w:rsid w:val="000F4F67"/>
    <w:rsid w:val="000F4F77"/>
    <w:rsid w:val="000F4F7A"/>
    <w:rsid w:val="000F4FAF"/>
    <w:rsid w:val="000F4FE3"/>
    <w:rsid w:val="000F5034"/>
    <w:rsid w:val="000F5079"/>
    <w:rsid w:val="000F5089"/>
    <w:rsid w:val="000F5141"/>
    <w:rsid w:val="000F5169"/>
    <w:rsid w:val="000F51BD"/>
    <w:rsid w:val="000F5234"/>
    <w:rsid w:val="000F52B3"/>
    <w:rsid w:val="000F534E"/>
    <w:rsid w:val="000F541E"/>
    <w:rsid w:val="000F5428"/>
    <w:rsid w:val="000F547A"/>
    <w:rsid w:val="000F54C3"/>
    <w:rsid w:val="000F54E1"/>
    <w:rsid w:val="000F555F"/>
    <w:rsid w:val="000F556C"/>
    <w:rsid w:val="000F5572"/>
    <w:rsid w:val="000F5581"/>
    <w:rsid w:val="000F56D4"/>
    <w:rsid w:val="000F5706"/>
    <w:rsid w:val="000F578C"/>
    <w:rsid w:val="000F57B4"/>
    <w:rsid w:val="000F57DA"/>
    <w:rsid w:val="000F58FB"/>
    <w:rsid w:val="000F5926"/>
    <w:rsid w:val="000F5994"/>
    <w:rsid w:val="000F59C5"/>
    <w:rsid w:val="000F5ABF"/>
    <w:rsid w:val="000F5AF6"/>
    <w:rsid w:val="000F5B10"/>
    <w:rsid w:val="000F5B40"/>
    <w:rsid w:val="000F5C24"/>
    <w:rsid w:val="000F5C30"/>
    <w:rsid w:val="000F5C37"/>
    <w:rsid w:val="000F5C82"/>
    <w:rsid w:val="000F5CE8"/>
    <w:rsid w:val="000F5D18"/>
    <w:rsid w:val="000F5D56"/>
    <w:rsid w:val="000F5DA9"/>
    <w:rsid w:val="000F5EC5"/>
    <w:rsid w:val="000F5EE1"/>
    <w:rsid w:val="000F5F15"/>
    <w:rsid w:val="000F5FC7"/>
    <w:rsid w:val="000F5FCB"/>
    <w:rsid w:val="000F6001"/>
    <w:rsid w:val="000F6004"/>
    <w:rsid w:val="000F608A"/>
    <w:rsid w:val="000F61CC"/>
    <w:rsid w:val="000F61D2"/>
    <w:rsid w:val="000F61F6"/>
    <w:rsid w:val="000F63C3"/>
    <w:rsid w:val="000F6454"/>
    <w:rsid w:val="000F6476"/>
    <w:rsid w:val="000F64C9"/>
    <w:rsid w:val="000F64CC"/>
    <w:rsid w:val="000F6558"/>
    <w:rsid w:val="000F6589"/>
    <w:rsid w:val="000F6593"/>
    <w:rsid w:val="000F6627"/>
    <w:rsid w:val="000F6661"/>
    <w:rsid w:val="000F666E"/>
    <w:rsid w:val="000F669C"/>
    <w:rsid w:val="000F66C4"/>
    <w:rsid w:val="000F66EA"/>
    <w:rsid w:val="000F6772"/>
    <w:rsid w:val="000F67A4"/>
    <w:rsid w:val="000F67B4"/>
    <w:rsid w:val="000F684C"/>
    <w:rsid w:val="000F6871"/>
    <w:rsid w:val="000F6877"/>
    <w:rsid w:val="000F6889"/>
    <w:rsid w:val="000F6892"/>
    <w:rsid w:val="000F68C3"/>
    <w:rsid w:val="000F68EA"/>
    <w:rsid w:val="000F6906"/>
    <w:rsid w:val="000F691A"/>
    <w:rsid w:val="000F691F"/>
    <w:rsid w:val="000F69BA"/>
    <w:rsid w:val="000F6B99"/>
    <w:rsid w:val="000F6C2C"/>
    <w:rsid w:val="000F6C55"/>
    <w:rsid w:val="000F6C79"/>
    <w:rsid w:val="000F6D8B"/>
    <w:rsid w:val="000F6E2C"/>
    <w:rsid w:val="000F6E74"/>
    <w:rsid w:val="000F6EF7"/>
    <w:rsid w:val="000F6F42"/>
    <w:rsid w:val="000F6F56"/>
    <w:rsid w:val="000F6F7F"/>
    <w:rsid w:val="000F6FBA"/>
    <w:rsid w:val="000F7063"/>
    <w:rsid w:val="000F70CB"/>
    <w:rsid w:val="000F71B6"/>
    <w:rsid w:val="000F71DD"/>
    <w:rsid w:val="000F7200"/>
    <w:rsid w:val="000F7228"/>
    <w:rsid w:val="000F72D9"/>
    <w:rsid w:val="000F744F"/>
    <w:rsid w:val="000F7465"/>
    <w:rsid w:val="000F7500"/>
    <w:rsid w:val="000F764F"/>
    <w:rsid w:val="000F7765"/>
    <w:rsid w:val="000F77AE"/>
    <w:rsid w:val="000F7826"/>
    <w:rsid w:val="000F7838"/>
    <w:rsid w:val="000F7843"/>
    <w:rsid w:val="000F7858"/>
    <w:rsid w:val="000F79E0"/>
    <w:rsid w:val="000F7B1D"/>
    <w:rsid w:val="000F7B51"/>
    <w:rsid w:val="000F7B5E"/>
    <w:rsid w:val="000F7B6B"/>
    <w:rsid w:val="000F7BE8"/>
    <w:rsid w:val="000F7C5C"/>
    <w:rsid w:val="000F7C75"/>
    <w:rsid w:val="000F7D07"/>
    <w:rsid w:val="000F7D10"/>
    <w:rsid w:val="000F7D3A"/>
    <w:rsid w:val="000F7D7A"/>
    <w:rsid w:val="000F7DE3"/>
    <w:rsid w:val="000F7E02"/>
    <w:rsid w:val="000F7E48"/>
    <w:rsid w:val="000F7F99"/>
    <w:rsid w:val="0010000D"/>
    <w:rsid w:val="001000CB"/>
    <w:rsid w:val="001000D3"/>
    <w:rsid w:val="001000FE"/>
    <w:rsid w:val="00100114"/>
    <w:rsid w:val="00100144"/>
    <w:rsid w:val="00100189"/>
    <w:rsid w:val="001002C8"/>
    <w:rsid w:val="00100329"/>
    <w:rsid w:val="00100369"/>
    <w:rsid w:val="001003DE"/>
    <w:rsid w:val="00100404"/>
    <w:rsid w:val="001004AD"/>
    <w:rsid w:val="001004F3"/>
    <w:rsid w:val="00100515"/>
    <w:rsid w:val="0010052E"/>
    <w:rsid w:val="0010070D"/>
    <w:rsid w:val="00100711"/>
    <w:rsid w:val="00100737"/>
    <w:rsid w:val="0010082E"/>
    <w:rsid w:val="001008E5"/>
    <w:rsid w:val="001008F2"/>
    <w:rsid w:val="001009A2"/>
    <w:rsid w:val="001009F1"/>
    <w:rsid w:val="00100A51"/>
    <w:rsid w:val="00100ABF"/>
    <w:rsid w:val="00100B31"/>
    <w:rsid w:val="00100B8B"/>
    <w:rsid w:val="00100B8C"/>
    <w:rsid w:val="00100C24"/>
    <w:rsid w:val="00100CCD"/>
    <w:rsid w:val="00100D39"/>
    <w:rsid w:val="00100D9C"/>
    <w:rsid w:val="00100DB8"/>
    <w:rsid w:val="00100E73"/>
    <w:rsid w:val="00100E85"/>
    <w:rsid w:val="00101035"/>
    <w:rsid w:val="00101075"/>
    <w:rsid w:val="001010C7"/>
    <w:rsid w:val="0010117B"/>
    <w:rsid w:val="0010118A"/>
    <w:rsid w:val="001011B9"/>
    <w:rsid w:val="00101285"/>
    <w:rsid w:val="0010134B"/>
    <w:rsid w:val="00101375"/>
    <w:rsid w:val="00101380"/>
    <w:rsid w:val="001014B3"/>
    <w:rsid w:val="001014D3"/>
    <w:rsid w:val="001014F0"/>
    <w:rsid w:val="001014FD"/>
    <w:rsid w:val="0010151D"/>
    <w:rsid w:val="0010154C"/>
    <w:rsid w:val="00101578"/>
    <w:rsid w:val="001015DF"/>
    <w:rsid w:val="001016A2"/>
    <w:rsid w:val="001016BF"/>
    <w:rsid w:val="001016F3"/>
    <w:rsid w:val="00101775"/>
    <w:rsid w:val="0010188D"/>
    <w:rsid w:val="001018B4"/>
    <w:rsid w:val="0010199F"/>
    <w:rsid w:val="001019BE"/>
    <w:rsid w:val="001019D2"/>
    <w:rsid w:val="00101A11"/>
    <w:rsid w:val="00101AD2"/>
    <w:rsid w:val="00101B23"/>
    <w:rsid w:val="00101B3E"/>
    <w:rsid w:val="00101B4D"/>
    <w:rsid w:val="00101B60"/>
    <w:rsid w:val="00101BA0"/>
    <w:rsid w:val="00101C54"/>
    <w:rsid w:val="00101CA4"/>
    <w:rsid w:val="00101CCF"/>
    <w:rsid w:val="00101CD1"/>
    <w:rsid w:val="00101D2C"/>
    <w:rsid w:val="00101E2D"/>
    <w:rsid w:val="00101E32"/>
    <w:rsid w:val="00101F50"/>
    <w:rsid w:val="00101F53"/>
    <w:rsid w:val="00101F80"/>
    <w:rsid w:val="001020CA"/>
    <w:rsid w:val="00102119"/>
    <w:rsid w:val="001021AD"/>
    <w:rsid w:val="001021E9"/>
    <w:rsid w:val="00102249"/>
    <w:rsid w:val="001022BE"/>
    <w:rsid w:val="00102367"/>
    <w:rsid w:val="00102465"/>
    <w:rsid w:val="00102512"/>
    <w:rsid w:val="0010252A"/>
    <w:rsid w:val="0010252C"/>
    <w:rsid w:val="00102530"/>
    <w:rsid w:val="0010263A"/>
    <w:rsid w:val="00102681"/>
    <w:rsid w:val="001026B3"/>
    <w:rsid w:val="001026F9"/>
    <w:rsid w:val="0010270D"/>
    <w:rsid w:val="00102791"/>
    <w:rsid w:val="0010285B"/>
    <w:rsid w:val="0010289D"/>
    <w:rsid w:val="001028BC"/>
    <w:rsid w:val="001028D4"/>
    <w:rsid w:val="001028F8"/>
    <w:rsid w:val="001029AB"/>
    <w:rsid w:val="00102AE9"/>
    <w:rsid w:val="00102B81"/>
    <w:rsid w:val="00102BB6"/>
    <w:rsid w:val="00102BBC"/>
    <w:rsid w:val="00102BCD"/>
    <w:rsid w:val="00102CFE"/>
    <w:rsid w:val="00102D72"/>
    <w:rsid w:val="00102D75"/>
    <w:rsid w:val="00102D79"/>
    <w:rsid w:val="00102D93"/>
    <w:rsid w:val="00102DE4"/>
    <w:rsid w:val="00102E22"/>
    <w:rsid w:val="00102E76"/>
    <w:rsid w:val="00102FD9"/>
    <w:rsid w:val="001030B9"/>
    <w:rsid w:val="001030E1"/>
    <w:rsid w:val="001030FF"/>
    <w:rsid w:val="0010314E"/>
    <w:rsid w:val="00103185"/>
    <w:rsid w:val="0010318E"/>
    <w:rsid w:val="001031ED"/>
    <w:rsid w:val="00103201"/>
    <w:rsid w:val="00103294"/>
    <w:rsid w:val="001033A2"/>
    <w:rsid w:val="001033A3"/>
    <w:rsid w:val="001033F9"/>
    <w:rsid w:val="0010344C"/>
    <w:rsid w:val="001034D6"/>
    <w:rsid w:val="0010354C"/>
    <w:rsid w:val="00103568"/>
    <w:rsid w:val="00103735"/>
    <w:rsid w:val="00103794"/>
    <w:rsid w:val="00103796"/>
    <w:rsid w:val="0010382C"/>
    <w:rsid w:val="00103868"/>
    <w:rsid w:val="00103883"/>
    <w:rsid w:val="00103892"/>
    <w:rsid w:val="001038A8"/>
    <w:rsid w:val="001038CE"/>
    <w:rsid w:val="001039CF"/>
    <w:rsid w:val="001039DA"/>
    <w:rsid w:val="001039E6"/>
    <w:rsid w:val="00103A4D"/>
    <w:rsid w:val="00103B10"/>
    <w:rsid w:val="00103B24"/>
    <w:rsid w:val="00103B2A"/>
    <w:rsid w:val="00103B41"/>
    <w:rsid w:val="00103C57"/>
    <w:rsid w:val="00103CA0"/>
    <w:rsid w:val="00103CCC"/>
    <w:rsid w:val="00103D98"/>
    <w:rsid w:val="00103DC2"/>
    <w:rsid w:val="00103E7C"/>
    <w:rsid w:val="00103EB0"/>
    <w:rsid w:val="00103F07"/>
    <w:rsid w:val="00103FF8"/>
    <w:rsid w:val="0010402D"/>
    <w:rsid w:val="0010419C"/>
    <w:rsid w:val="001043B3"/>
    <w:rsid w:val="001043F2"/>
    <w:rsid w:val="00104457"/>
    <w:rsid w:val="00104559"/>
    <w:rsid w:val="0010456F"/>
    <w:rsid w:val="001045D2"/>
    <w:rsid w:val="00104697"/>
    <w:rsid w:val="001046A4"/>
    <w:rsid w:val="00104732"/>
    <w:rsid w:val="00104796"/>
    <w:rsid w:val="00104810"/>
    <w:rsid w:val="0010487B"/>
    <w:rsid w:val="00104884"/>
    <w:rsid w:val="00104895"/>
    <w:rsid w:val="001048A5"/>
    <w:rsid w:val="00104970"/>
    <w:rsid w:val="001049A0"/>
    <w:rsid w:val="001049F2"/>
    <w:rsid w:val="00104A77"/>
    <w:rsid w:val="00104AB3"/>
    <w:rsid w:val="00104B44"/>
    <w:rsid w:val="00104D11"/>
    <w:rsid w:val="00104D70"/>
    <w:rsid w:val="00104E0E"/>
    <w:rsid w:val="00104ED9"/>
    <w:rsid w:val="00104FD4"/>
    <w:rsid w:val="0010503A"/>
    <w:rsid w:val="0010504E"/>
    <w:rsid w:val="00105083"/>
    <w:rsid w:val="00105098"/>
    <w:rsid w:val="001050BC"/>
    <w:rsid w:val="001050C4"/>
    <w:rsid w:val="00105146"/>
    <w:rsid w:val="001051B9"/>
    <w:rsid w:val="001051C7"/>
    <w:rsid w:val="0010521D"/>
    <w:rsid w:val="001052A8"/>
    <w:rsid w:val="001052AC"/>
    <w:rsid w:val="00105389"/>
    <w:rsid w:val="001053A0"/>
    <w:rsid w:val="001053F2"/>
    <w:rsid w:val="0010540D"/>
    <w:rsid w:val="00105465"/>
    <w:rsid w:val="00105517"/>
    <w:rsid w:val="00105545"/>
    <w:rsid w:val="001055AA"/>
    <w:rsid w:val="00105647"/>
    <w:rsid w:val="00105665"/>
    <w:rsid w:val="00105689"/>
    <w:rsid w:val="0010568C"/>
    <w:rsid w:val="001056FE"/>
    <w:rsid w:val="00105701"/>
    <w:rsid w:val="00105715"/>
    <w:rsid w:val="00105719"/>
    <w:rsid w:val="0010573A"/>
    <w:rsid w:val="0010576A"/>
    <w:rsid w:val="00105786"/>
    <w:rsid w:val="00105825"/>
    <w:rsid w:val="00105842"/>
    <w:rsid w:val="0010585B"/>
    <w:rsid w:val="00105891"/>
    <w:rsid w:val="001058C8"/>
    <w:rsid w:val="00105977"/>
    <w:rsid w:val="001059DB"/>
    <w:rsid w:val="00105A3D"/>
    <w:rsid w:val="00105A9A"/>
    <w:rsid w:val="00105ADF"/>
    <w:rsid w:val="00105B0B"/>
    <w:rsid w:val="00105B5F"/>
    <w:rsid w:val="00105BD0"/>
    <w:rsid w:val="00105BEA"/>
    <w:rsid w:val="00105BEF"/>
    <w:rsid w:val="00105BF5"/>
    <w:rsid w:val="00105C65"/>
    <w:rsid w:val="00105C94"/>
    <w:rsid w:val="00105D58"/>
    <w:rsid w:val="00105D68"/>
    <w:rsid w:val="00105DA7"/>
    <w:rsid w:val="00105DD5"/>
    <w:rsid w:val="00105F05"/>
    <w:rsid w:val="00105F3B"/>
    <w:rsid w:val="00105FA6"/>
    <w:rsid w:val="00105FB1"/>
    <w:rsid w:val="00105FB4"/>
    <w:rsid w:val="00105FE9"/>
    <w:rsid w:val="001060EE"/>
    <w:rsid w:val="00106108"/>
    <w:rsid w:val="00106122"/>
    <w:rsid w:val="00106172"/>
    <w:rsid w:val="001061B4"/>
    <w:rsid w:val="001061D8"/>
    <w:rsid w:val="00106270"/>
    <w:rsid w:val="001062D7"/>
    <w:rsid w:val="0010635B"/>
    <w:rsid w:val="001063A8"/>
    <w:rsid w:val="001063CA"/>
    <w:rsid w:val="00106423"/>
    <w:rsid w:val="001064EE"/>
    <w:rsid w:val="00106573"/>
    <w:rsid w:val="001065AA"/>
    <w:rsid w:val="00106641"/>
    <w:rsid w:val="00106677"/>
    <w:rsid w:val="00106684"/>
    <w:rsid w:val="001066A2"/>
    <w:rsid w:val="001066B4"/>
    <w:rsid w:val="001066BF"/>
    <w:rsid w:val="001066F8"/>
    <w:rsid w:val="0010670C"/>
    <w:rsid w:val="001068B4"/>
    <w:rsid w:val="00106903"/>
    <w:rsid w:val="0010691A"/>
    <w:rsid w:val="00106954"/>
    <w:rsid w:val="00106974"/>
    <w:rsid w:val="00106999"/>
    <w:rsid w:val="001069FC"/>
    <w:rsid w:val="00106A7F"/>
    <w:rsid w:val="00106AC3"/>
    <w:rsid w:val="00106B79"/>
    <w:rsid w:val="00106B8C"/>
    <w:rsid w:val="00106BC0"/>
    <w:rsid w:val="00106C22"/>
    <w:rsid w:val="00106C77"/>
    <w:rsid w:val="00106C9B"/>
    <w:rsid w:val="00106CB3"/>
    <w:rsid w:val="00106CE4"/>
    <w:rsid w:val="00106DE4"/>
    <w:rsid w:val="00106E37"/>
    <w:rsid w:val="00106ED2"/>
    <w:rsid w:val="00106F99"/>
    <w:rsid w:val="0010704E"/>
    <w:rsid w:val="0010706E"/>
    <w:rsid w:val="001070A5"/>
    <w:rsid w:val="001070A7"/>
    <w:rsid w:val="001070BB"/>
    <w:rsid w:val="001070E0"/>
    <w:rsid w:val="001070E5"/>
    <w:rsid w:val="0010711A"/>
    <w:rsid w:val="00107127"/>
    <w:rsid w:val="00107164"/>
    <w:rsid w:val="00107198"/>
    <w:rsid w:val="0010719B"/>
    <w:rsid w:val="001071D2"/>
    <w:rsid w:val="00107230"/>
    <w:rsid w:val="0010730B"/>
    <w:rsid w:val="001073D8"/>
    <w:rsid w:val="0010740D"/>
    <w:rsid w:val="0010740E"/>
    <w:rsid w:val="00107426"/>
    <w:rsid w:val="001074AC"/>
    <w:rsid w:val="001074B5"/>
    <w:rsid w:val="00107532"/>
    <w:rsid w:val="0010754C"/>
    <w:rsid w:val="00107811"/>
    <w:rsid w:val="00107872"/>
    <w:rsid w:val="001078FF"/>
    <w:rsid w:val="0010794F"/>
    <w:rsid w:val="00107962"/>
    <w:rsid w:val="00107A7E"/>
    <w:rsid w:val="00107B7F"/>
    <w:rsid w:val="00107C2D"/>
    <w:rsid w:val="00107C35"/>
    <w:rsid w:val="00107C9B"/>
    <w:rsid w:val="00107CBE"/>
    <w:rsid w:val="00107CF7"/>
    <w:rsid w:val="00107D43"/>
    <w:rsid w:val="00107DC4"/>
    <w:rsid w:val="00107E29"/>
    <w:rsid w:val="00107EDE"/>
    <w:rsid w:val="00110029"/>
    <w:rsid w:val="001100D0"/>
    <w:rsid w:val="00110132"/>
    <w:rsid w:val="0011017E"/>
    <w:rsid w:val="00110209"/>
    <w:rsid w:val="00110236"/>
    <w:rsid w:val="00110331"/>
    <w:rsid w:val="00110341"/>
    <w:rsid w:val="0011034B"/>
    <w:rsid w:val="001103EB"/>
    <w:rsid w:val="00110451"/>
    <w:rsid w:val="00110467"/>
    <w:rsid w:val="0011050F"/>
    <w:rsid w:val="001105AB"/>
    <w:rsid w:val="001105BD"/>
    <w:rsid w:val="001106B6"/>
    <w:rsid w:val="001106C1"/>
    <w:rsid w:val="0011073C"/>
    <w:rsid w:val="001107CE"/>
    <w:rsid w:val="00110870"/>
    <w:rsid w:val="001108E1"/>
    <w:rsid w:val="00110909"/>
    <w:rsid w:val="00110930"/>
    <w:rsid w:val="0011096C"/>
    <w:rsid w:val="001109B3"/>
    <w:rsid w:val="001109EF"/>
    <w:rsid w:val="00110A39"/>
    <w:rsid w:val="00110BBE"/>
    <w:rsid w:val="00110C04"/>
    <w:rsid w:val="00110C11"/>
    <w:rsid w:val="00110C33"/>
    <w:rsid w:val="00110C8E"/>
    <w:rsid w:val="00110D13"/>
    <w:rsid w:val="00110D28"/>
    <w:rsid w:val="00110D77"/>
    <w:rsid w:val="00110DB6"/>
    <w:rsid w:val="00110E67"/>
    <w:rsid w:val="00110EE4"/>
    <w:rsid w:val="00110FDE"/>
    <w:rsid w:val="00110FE2"/>
    <w:rsid w:val="0011137C"/>
    <w:rsid w:val="00111448"/>
    <w:rsid w:val="00111467"/>
    <w:rsid w:val="001114D0"/>
    <w:rsid w:val="00111575"/>
    <w:rsid w:val="001115F1"/>
    <w:rsid w:val="00111619"/>
    <w:rsid w:val="001117B7"/>
    <w:rsid w:val="0011182B"/>
    <w:rsid w:val="00111892"/>
    <w:rsid w:val="001118A9"/>
    <w:rsid w:val="0011196A"/>
    <w:rsid w:val="0011199F"/>
    <w:rsid w:val="00111ADB"/>
    <w:rsid w:val="00111BDF"/>
    <w:rsid w:val="00111C24"/>
    <w:rsid w:val="00111C41"/>
    <w:rsid w:val="00111C50"/>
    <w:rsid w:val="00111C9C"/>
    <w:rsid w:val="00111CDB"/>
    <w:rsid w:val="00111D57"/>
    <w:rsid w:val="00111D62"/>
    <w:rsid w:val="00111D6C"/>
    <w:rsid w:val="00111E44"/>
    <w:rsid w:val="00111FB5"/>
    <w:rsid w:val="00111FEF"/>
    <w:rsid w:val="00112027"/>
    <w:rsid w:val="0011216D"/>
    <w:rsid w:val="001121A3"/>
    <w:rsid w:val="001121F6"/>
    <w:rsid w:val="00112213"/>
    <w:rsid w:val="0011240D"/>
    <w:rsid w:val="00112472"/>
    <w:rsid w:val="0011257D"/>
    <w:rsid w:val="001125B0"/>
    <w:rsid w:val="00112668"/>
    <w:rsid w:val="00112780"/>
    <w:rsid w:val="001127FF"/>
    <w:rsid w:val="00112861"/>
    <w:rsid w:val="00112879"/>
    <w:rsid w:val="001128E7"/>
    <w:rsid w:val="0011299F"/>
    <w:rsid w:val="001129B6"/>
    <w:rsid w:val="001129B9"/>
    <w:rsid w:val="00112A28"/>
    <w:rsid w:val="00112A39"/>
    <w:rsid w:val="00112B1E"/>
    <w:rsid w:val="00112B42"/>
    <w:rsid w:val="00112B63"/>
    <w:rsid w:val="00112B91"/>
    <w:rsid w:val="00112BBE"/>
    <w:rsid w:val="00112BE0"/>
    <w:rsid w:val="00112C59"/>
    <w:rsid w:val="00112C63"/>
    <w:rsid w:val="00112CB6"/>
    <w:rsid w:val="00112CDD"/>
    <w:rsid w:val="00112DB8"/>
    <w:rsid w:val="00112E46"/>
    <w:rsid w:val="00112EDC"/>
    <w:rsid w:val="00112F4D"/>
    <w:rsid w:val="00112FB3"/>
    <w:rsid w:val="00113045"/>
    <w:rsid w:val="0011304E"/>
    <w:rsid w:val="00113084"/>
    <w:rsid w:val="001130BA"/>
    <w:rsid w:val="001130BC"/>
    <w:rsid w:val="001130CE"/>
    <w:rsid w:val="001130D3"/>
    <w:rsid w:val="001130FE"/>
    <w:rsid w:val="00113162"/>
    <w:rsid w:val="00113183"/>
    <w:rsid w:val="0011320C"/>
    <w:rsid w:val="00113231"/>
    <w:rsid w:val="00113237"/>
    <w:rsid w:val="00113241"/>
    <w:rsid w:val="001132CA"/>
    <w:rsid w:val="00113337"/>
    <w:rsid w:val="0011339F"/>
    <w:rsid w:val="001133BA"/>
    <w:rsid w:val="00113431"/>
    <w:rsid w:val="001135B7"/>
    <w:rsid w:val="00113619"/>
    <w:rsid w:val="001136B6"/>
    <w:rsid w:val="00113717"/>
    <w:rsid w:val="0011371E"/>
    <w:rsid w:val="0011372D"/>
    <w:rsid w:val="001137B4"/>
    <w:rsid w:val="001137B7"/>
    <w:rsid w:val="001137CD"/>
    <w:rsid w:val="001137E4"/>
    <w:rsid w:val="00113813"/>
    <w:rsid w:val="00113889"/>
    <w:rsid w:val="001138AF"/>
    <w:rsid w:val="001138C1"/>
    <w:rsid w:val="0011396B"/>
    <w:rsid w:val="001139A0"/>
    <w:rsid w:val="001139EB"/>
    <w:rsid w:val="00113A2B"/>
    <w:rsid w:val="00113B0E"/>
    <w:rsid w:val="00113BA8"/>
    <w:rsid w:val="00113BF2"/>
    <w:rsid w:val="00113C2D"/>
    <w:rsid w:val="00113C4A"/>
    <w:rsid w:val="00113D22"/>
    <w:rsid w:val="00113D47"/>
    <w:rsid w:val="00113DAB"/>
    <w:rsid w:val="00113E05"/>
    <w:rsid w:val="00113E7B"/>
    <w:rsid w:val="00113EB3"/>
    <w:rsid w:val="00113F75"/>
    <w:rsid w:val="00113F7F"/>
    <w:rsid w:val="00113FBB"/>
    <w:rsid w:val="0011401A"/>
    <w:rsid w:val="00114082"/>
    <w:rsid w:val="001140C8"/>
    <w:rsid w:val="00114107"/>
    <w:rsid w:val="0011413C"/>
    <w:rsid w:val="0011415A"/>
    <w:rsid w:val="001141CE"/>
    <w:rsid w:val="001141D2"/>
    <w:rsid w:val="001141E1"/>
    <w:rsid w:val="0011421E"/>
    <w:rsid w:val="00114250"/>
    <w:rsid w:val="00114279"/>
    <w:rsid w:val="001142AD"/>
    <w:rsid w:val="001142CB"/>
    <w:rsid w:val="001142EB"/>
    <w:rsid w:val="001142FF"/>
    <w:rsid w:val="001143C0"/>
    <w:rsid w:val="001143DC"/>
    <w:rsid w:val="00114441"/>
    <w:rsid w:val="00114565"/>
    <w:rsid w:val="001145D1"/>
    <w:rsid w:val="00114648"/>
    <w:rsid w:val="0011469E"/>
    <w:rsid w:val="001146D7"/>
    <w:rsid w:val="0011471B"/>
    <w:rsid w:val="00114739"/>
    <w:rsid w:val="00114850"/>
    <w:rsid w:val="0011488F"/>
    <w:rsid w:val="00114893"/>
    <w:rsid w:val="001148DA"/>
    <w:rsid w:val="00114AC4"/>
    <w:rsid w:val="00114B24"/>
    <w:rsid w:val="00114B48"/>
    <w:rsid w:val="00114BC8"/>
    <w:rsid w:val="00114C22"/>
    <w:rsid w:val="00114C68"/>
    <w:rsid w:val="00114C8A"/>
    <w:rsid w:val="00114C8B"/>
    <w:rsid w:val="00114D21"/>
    <w:rsid w:val="00114D67"/>
    <w:rsid w:val="00114DA1"/>
    <w:rsid w:val="00114E14"/>
    <w:rsid w:val="00114E7E"/>
    <w:rsid w:val="00114EBF"/>
    <w:rsid w:val="00114ED5"/>
    <w:rsid w:val="00114EE3"/>
    <w:rsid w:val="00114F00"/>
    <w:rsid w:val="00114F37"/>
    <w:rsid w:val="00114F3C"/>
    <w:rsid w:val="00114FC8"/>
    <w:rsid w:val="0011500C"/>
    <w:rsid w:val="00115101"/>
    <w:rsid w:val="00115116"/>
    <w:rsid w:val="00115164"/>
    <w:rsid w:val="001151B6"/>
    <w:rsid w:val="00115232"/>
    <w:rsid w:val="00115233"/>
    <w:rsid w:val="00115339"/>
    <w:rsid w:val="00115356"/>
    <w:rsid w:val="001153BB"/>
    <w:rsid w:val="001153DF"/>
    <w:rsid w:val="001154D6"/>
    <w:rsid w:val="00115537"/>
    <w:rsid w:val="00115545"/>
    <w:rsid w:val="0011554B"/>
    <w:rsid w:val="0011557A"/>
    <w:rsid w:val="00115606"/>
    <w:rsid w:val="0011562C"/>
    <w:rsid w:val="0011563A"/>
    <w:rsid w:val="001156E4"/>
    <w:rsid w:val="00115728"/>
    <w:rsid w:val="0011572F"/>
    <w:rsid w:val="0011578C"/>
    <w:rsid w:val="001157B6"/>
    <w:rsid w:val="001157E0"/>
    <w:rsid w:val="0011580D"/>
    <w:rsid w:val="0011584E"/>
    <w:rsid w:val="0011599F"/>
    <w:rsid w:val="001159AD"/>
    <w:rsid w:val="001159BB"/>
    <w:rsid w:val="001159EA"/>
    <w:rsid w:val="00115A19"/>
    <w:rsid w:val="00115A32"/>
    <w:rsid w:val="00115A51"/>
    <w:rsid w:val="00115A9F"/>
    <w:rsid w:val="00115B06"/>
    <w:rsid w:val="00115B3F"/>
    <w:rsid w:val="00115B69"/>
    <w:rsid w:val="00115B76"/>
    <w:rsid w:val="00115C71"/>
    <w:rsid w:val="00115E24"/>
    <w:rsid w:val="00115E7C"/>
    <w:rsid w:val="00115E88"/>
    <w:rsid w:val="00115EB4"/>
    <w:rsid w:val="00115F03"/>
    <w:rsid w:val="00115F50"/>
    <w:rsid w:val="00115FB1"/>
    <w:rsid w:val="0011603C"/>
    <w:rsid w:val="0011608F"/>
    <w:rsid w:val="001160BA"/>
    <w:rsid w:val="00116104"/>
    <w:rsid w:val="0011610B"/>
    <w:rsid w:val="001161E0"/>
    <w:rsid w:val="001162D9"/>
    <w:rsid w:val="001163B2"/>
    <w:rsid w:val="001163C8"/>
    <w:rsid w:val="001163E9"/>
    <w:rsid w:val="001163F9"/>
    <w:rsid w:val="001163FE"/>
    <w:rsid w:val="0011640D"/>
    <w:rsid w:val="001164A7"/>
    <w:rsid w:val="001164EB"/>
    <w:rsid w:val="0011652C"/>
    <w:rsid w:val="00116550"/>
    <w:rsid w:val="00116558"/>
    <w:rsid w:val="001165E3"/>
    <w:rsid w:val="001166D1"/>
    <w:rsid w:val="0011677A"/>
    <w:rsid w:val="0011679D"/>
    <w:rsid w:val="00116801"/>
    <w:rsid w:val="00116847"/>
    <w:rsid w:val="00116865"/>
    <w:rsid w:val="0011692C"/>
    <w:rsid w:val="00116986"/>
    <w:rsid w:val="00116990"/>
    <w:rsid w:val="001169E7"/>
    <w:rsid w:val="00116DB4"/>
    <w:rsid w:val="00116DFC"/>
    <w:rsid w:val="00116E38"/>
    <w:rsid w:val="00116EC2"/>
    <w:rsid w:val="00116FB0"/>
    <w:rsid w:val="0011707B"/>
    <w:rsid w:val="00117135"/>
    <w:rsid w:val="001171B9"/>
    <w:rsid w:val="001171DB"/>
    <w:rsid w:val="00117236"/>
    <w:rsid w:val="0011724E"/>
    <w:rsid w:val="001172A8"/>
    <w:rsid w:val="001172E4"/>
    <w:rsid w:val="001172F7"/>
    <w:rsid w:val="00117354"/>
    <w:rsid w:val="00117368"/>
    <w:rsid w:val="001173B4"/>
    <w:rsid w:val="001173FC"/>
    <w:rsid w:val="00117423"/>
    <w:rsid w:val="0011744E"/>
    <w:rsid w:val="00117474"/>
    <w:rsid w:val="00117482"/>
    <w:rsid w:val="001174E0"/>
    <w:rsid w:val="00117576"/>
    <w:rsid w:val="00117589"/>
    <w:rsid w:val="001175D2"/>
    <w:rsid w:val="001176E6"/>
    <w:rsid w:val="00117708"/>
    <w:rsid w:val="001177B4"/>
    <w:rsid w:val="001177E2"/>
    <w:rsid w:val="0011783E"/>
    <w:rsid w:val="00117870"/>
    <w:rsid w:val="00117909"/>
    <w:rsid w:val="0011791B"/>
    <w:rsid w:val="0011794B"/>
    <w:rsid w:val="00117951"/>
    <w:rsid w:val="001179AF"/>
    <w:rsid w:val="00117A0C"/>
    <w:rsid w:val="00117A4D"/>
    <w:rsid w:val="00117AA5"/>
    <w:rsid w:val="00117AB0"/>
    <w:rsid w:val="00117AB8"/>
    <w:rsid w:val="00117ABA"/>
    <w:rsid w:val="00117B39"/>
    <w:rsid w:val="00117C2C"/>
    <w:rsid w:val="00117C51"/>
    <w:rsid w:val="00117C61"/>
    <w:rsid w:val="00117CB7"/>
    <w:rsid w:val="00117D78"/>
    <w:rsid w:val="00117D8E"/>
    <w:rsid w:val="00117DA2"/>
    <w:rsid w:val="00117E50"/>
    <w:rsid w:val="00117E92"/>
    <w:rsid w:val="00117F25"/>
    <w:rsid w:val="00117F92"/>
    <w:rsid w:val="001200B5"/>
    <w:rsid w:val="001200F4"/>
    <w:rsid w:val="0012010C"/>
    <w:rsid w:val="00120111"/>
    <w:rsid w:val="00120113"/>
    <w:rsid w:val="0012025F"/>
    <w:rsid w:val="00120404"/>
    <w:rsid w:val="00120406"/>
    <w:rsid w:val="0012041E"/>
    <w:rsid w:val="00120454"/>
    <w:rsid w:val="001204E8"/>
    <w:rsid w:val="00120565"/>
    <w:rsid w:val="00120568"/>
    <w:rsid w:val="00120662"/>
    <w:rsid w:val="00120693"/>
    <w:rsid w:val="001206BB"/>
    <w:rsid w:val="001206F1"/>
    <w:rsid w:val="00120719"/>
    <w:rsid w:val="0012077D"/>
    <w:rsid w:val="00120914"/>
    <w:rsid w:val="00120966"/>
    <w:rsid w:val="001209AD"/>
    <w:rsid w:val="001209FF"/>
    <w:rsid w:val="00120A22"/>
    <w:rsid w:val="00120AA2"/>
    <w:rsid w:val="00120B3E"/>
    <w:rsid w:val="00120B6D"/>
    <w:rsid w:val="00120B80"/>
    <w:rsid w:val="00120BFD"/>
    <w:rsid w:val="00120C41"/>
    <w:rsid w:val="00120CE2"/>
    <w:rsid w:val="00120CF3"/>
    <w:rsid w:val="00120CF6"/>
    <w:rsid w:val="00120D0D"/>
    <w:rsid w:val="00120E83"/>
    <w:rsid w:val="00120EF7"/>
    <w:rsid w:val="00120F1B"/>
    <w:rsid w:val="00120FAD"/>
    <w:rsid w:val="00120FE2"/>
    <w:rsid w:val="00120FE7"/>
    <w:rsid w:val="0012100A"/>
    <w:rsid w:val="001210F0"/>
    <w:rsid w:val="00121101"/>
    <w:rsid w:val="00121116"/>
    <w:rsid w:val="0012115E"/>
    <w:rsid w:val="00121405"/>
    <w:rsid w:val="00121527"/>
    <w:rsid w:val="00121599"/>
    <w:rsid w:val="001215E3"/>
    <w:rsid w:val="001215F1"/>
    <w:rsid w:val="0012163B"/>
    <w:rsid w:val="00121690"/>
    <w:rsid w:val="001216BB"/>
    <w:rsid w:val="001216D8"/>
    <w:rsid w:val="00121721"/>
    <w:rsid w:val="001217BE"/>
    <w:rsid w:val="00121907"/>
    <w:rsid w:val="0012192F"/>
    <w:rsid w:val="001219C3"/>
    <w:rsid w:val="00121A59"/>
    <w:rsid w:val="00121A62"/>
    <w:rsid w:val="00121B20"/>
    <w:rsid w:val="00121B2D"/>
    <w:rsid w:val="00121B35"/>
    <w:rsid w:val="00121B70"/>
    <w:rsid w:val="00121BAF"/>
    <w:rsid w:val="00121C07"/>
    <w:rsid w:val="00121C1E"/>
    <w:rsid w:val="00121D1D"/>
    <w:rsid w:val="00121D4D"/>
    <w:rsid w:val="00121DAA"/>
    <w:rsid w:val="00121DC4"/>
    <w:rsid w:val="00121E93"/>
    <w:rsid w:val="00121EAE"/>
    <w:rsid w:val="00121EB0"/>
    <w:rsid w:val="00121EBA"/>
    <w:rsid w:val="00121F0B"/>
    <w:rsid w:val="00122040"/>
    <w:rsid w:val="00122047"/>
    <w:rsid w:val="0012204B"/>
    <w:rsid w:val="0012206A"/>
    <w:rsid w:val="001220D8"/>
    <w:rsid w:val="00122103"/>
    <w:rsid w:val="0012216B"/>
    <w:rsid w:val="0012219C"/>
    <w:rsid w:val="001221E9"/>
    <w:rsid w:val="001221EB"/>
    <w:rsid w:val="001222C0"/>
    <w:rsid w:val="00122352"/>
    <w:rsid w:val="00122396"/>
    <w:rsid w:val="001223F5"/>
    <w:rsid w:val="001223F7"/>
    <w:rsid w:val="00122423"/>
    <w:rsid w:val="0012245F"/>
    <w:rsid w:val="0012248B"/>
    <w:rsid w:val="001225A7"/>
    <w:rsid w:val="001225EE"/>
    <w:rsid w:val="0012262E"/>
    <w:rsid w:val="001226CB"/>
    <w:rsid w:val="001226DB"/>
    <w:rsid w:val="00122790"/>
    <w:rsid w:val="001227A6"/>
    <w:rsid w:val="0012284C"/>
    <w:rsid w:val="0012287C"/>
    <w:rsid w:val="0012289E"/>
    <w:rsid w:val="001228BF"/>
    <w:rsid w:val="001228F2"/>
    <w:rsid w:val="00122928"/>
    <w:rsid w:val="0012298E"/>
    <w:rsid w:val="001229F4"/>
    <w:rsid w:val="001229F9"/>
    <w:rsid w:val="00122A01"/>
    <w:rsid w:val="00122A12"/>
    <w:rsid w:val="00122C09"/>
    <w:rsid w:val="00122C18"/>
    <w:rsid w:val="00122CB9"/>
    <w:rsid w:val="00122D60"/>
    <w:rsid w:val="00122DC0"/>
    <w:rsid w:val="00122E22"/>
    <w:rsid w:val="00122F1C"/>
    <w:rsid w:val="00122F76"/>
    <w:rsid w:val="00122FA1"/>
    <w:rsid w:val="00122FF6"/>
    <w:rsid w:val="00123041"/>
    <w:rsid w:val="001232B2"/>
    <w:rsid w:val="0012337E"/>
    <w:rsid w:val="0012339B"/>
    <w:rsid w:val="001233DA"/>
    <w:rsid w:val="001233EB"/>
    <w:rsid w:val="001233F1"/>
    <w:rsid w:val="0012344B"/>
    <w:rsid w:val="001234CC"/>
    <w:rsid w:val="001234E8"/>
    <w:rsid w:val="00123572"/>
    <w:rsid w:val="00123604"/>
    <w:rsid w:val="0012360F"/>
    <w:rsid w:val="00123621"/>
    <w:rsid w:val="0012364A"/>
    <w:rsid w:val="001236B0"/>
    <w:rsid w:val="001236C5"/>
    <w:rsid w:val="0012374E"/>
    <w:rsid w:val="001238C0"/>
    <w:rsid w:val="001238E0"/>
    <w:rsid w:val="0012396B"/>
    <w:rsid w:val="0012397C"/>
    <w:rsid w:val="001239E6"/>
    <w:rsid w:val="00123A48"/>
    <w:rsid w:val="00123A91"/>
    <w:rsid w:val="00123B66"/>
    <w:rsid w:val="00123C15"/>
    <w:rsid w:val="00123C27"/>
    <w:rsid w:val="00123C48"/>
    <w:rsid w:val="00123C59"/>
    <w:rsid w:val="00123CA6"/>
    <w:rsid w:val="00123D2B"/>
    <w:rsid w:val="00123D7F"/>
    <w:rsid w:val="00123DA9"/>
    <w:rsid w:val="00123E03"/>
    <w:rsid w:val="00123E34"/>
    <w:rsid w:val="00123E64"/>
    <w:rsid w:val="00123E78"/>
    <w:rsid w:val="00123E81"/>
    <w:rsid w:val="00123F36"/>
    <w:rsid w:val="00123F46"/>
    <w:rsid w:val="00123F79"/>
    <w:rsid w:val="00123F8E"/>
    <w:rsid w:val="00124082"/>
    <w:rsid w:val="00124145"/>
    <w:rsid w:val="001241EE"/>
    <w:rsid w:val="00124234"/>
    <w:rsid w:val="00124362"/>
    <w:rsid w:val="001243A8"/>
    <w:rsid w:val="001243D1"/>
    <w:rsid w:val="00124488"/>
    <w:rsid w:val="00124591"/>
    <w:rsid w:val="001245A7"/>
    <w:rsid w:val="001245D7"/>
    <w:rsid w:val="0012460D"/>
    <w:rsid w:val="00124667"/>
    <w:rsid w:val="001246AE"/>
    <w:rsid w:val="001246B7"/>
    <w:rsid w:val="001246CD"/>
    <w:rsid w:val="0012475F"/>
    <w:rsid w:val="00124776"/>
    <w:rsid w:val="0012478D"/>
    <w:rsid w:val="001247DE"/>
    <w:rsid w:val="00124829"/>
    <w:rsid w:val="001248C5"/>
    <w:rsid w:val="0012491B"/>
    <w:rsid w:val="001249B4"/>
    <w:rsid w:val="001249ED"/>
    <w:rsid w:val="00124AD5"/>
    <w:rsid w:val="00124B06"/>
    <w:rsid w:val="00124C14"/>
    <w:rsid w:val="00124C94"/>
    <w:rsid w:val="00124C99"/>
    <w:rsid w:val="00124D72"/>
    <w:rsid w:val="00124D8F"/>
    <w:rsid w:val="00124DC0"/>
    <w:rsid w:val="00124DC3"/>
    <w:rsid w:val="00124DDC"/>
    <w:rsid w:val="00124DE2"/>
    <w:rsid w:val="00124EE7"/>
    <w:rsid w:val="00124F32"/>
    <w:rsid w:val="00124FA6"/>
    <w:rsid w:val="00125039"/>
    <w:rsid w:val="0012505E"/>
    <w:rsid w:val="001250AE"/>
    <w:rsid w:val="001250FE"/>
    <w:rsid w:val="0012521A"/>
    <w:rsid w:val="00125262"/>
    <w:rsid w:val="00125353"/>
    <w:rsid w:val="001253D9"/>
    <w:rsid w:val="00125424"/>
    <w:rsid w:val="0012545A"/>
    <w:rsid w:val="001254D7"/>
    <w:rsid w:val="001255AC"/>
    <w:rsid w:val="001255FC"/>
    <w:rsid w:val="0012563C"/>
    <w:rsid w:val="00125728"/>
    <w:rsid w:val="00125840"/>
    <w:rsid w:val="00125884"/>
    <w:rsid w:val="00125900"/>
    <w:rsid w:val="00125913"/>
    <w:rsid w:val="0012591A"/>
    <w:rsid w:val="0012591B"/>
    <w:rsid w:val="001259B5"/>
    <w:rsid w:val="001259D1"/>
    <w:rsid w:val="00125A0D"/>
    <w:rsid w:val="00125A6F"/>
    <w:rsid w:val="00125B18"/>
    <w:rsid w:val="00125B46"/>
    <w:rsid w:val="00125B59"/>
    <w:rsid w:val="00125B60"/>
    <w:rsid w:val="00125B80"/>
    <w:rsid w:val="00125B82"/>
    <w:rsid w:val="00125BCB"/>
    <w:rsid w:val="00125DCA"/>
    <w:rsid w:val="00125E72"/>
    <w:rsid w:val="00125F5C"/>
    <w:rsid w:val="00126069"/>
    <w:rsid w:val="00126124"/>
    <w:rsid w:val="001261CA"/>
    <w:rsid w:val="001261D0"/>
    <w:rsid w:val="0012620C"/>
    <w:rsid w:val="001262A2"/>
    <w:rsid w:val="001262F7"/>
    <w:rsid w:val="0012630B"/>
    <w:rsid w:val="00126352"/>
    <w:rsid w:val="001263D8"/>
    <w:rsid w:val="0012646D"/>
    <w:rsid w:val="00126512"/>
    <w:rsid w:val="00126526"/>
    <w:rsid w:val="001266AF"/>
    <w:rsid w:val="00126717"/>
    <w:rsid w:val="0012673D"/>
    <w:rsid w:val="001267C6"/>
    <w:rsid w:val="001268A2"/>
    <w:rsid w:val="001269A9"/>
    <w:rsid w:val="001269DB"/>
    <w:rsid w:val="00126B12"/>
    <w:rsid w:val="00126BEB"/>
    <w:rsid w:val="00126C05"/>
    <w:rsid w:val="00126C12"/>
    <w:rsid w:val="00126C2A"/>
    <w:rsid w:val="00126D1B"/>
    <w:rsid w:val="00126D26"/>
    <w:rsid w:val="00126D47"/>
    <w:rsid w:val="00126D9F"/>
    <w:rsid w:val="00126E33"/>
    <w:rsid w:val="00127061"/>
    <w:rsid w:val="00127092"/>
    <w:rsid w:val="001270EA"/>
    <w:rsid w:val="00127135"/>
    <w:rsid w:val="00127182"/>
    <w:rsid w:val="001271A4"/>
    <w:rsid w:val="001271CF"/>
    <w:rsid w:val="001271F2"/>
    <w:rsid w:val="00127223"/>
    <w:rsid w:val="001272D2"/>
    <w:rsid w:val="0012739C"/>
    <w:rsid w:val="001273E0"/>
    <w:rsid w:val="00127497"/>
    <w:rsid w:val="001274A6"/>
    <w:rsid w:val="001274D7"/>
    <w:rsid w:val="001275E4"/>
    <w:rsid w:val="001275EA"/>
    <w:rsid w:val="0012761E"/>
    <w:rsid w:val="0012766E"/>
    <w:rsid w:val="0012768F"/>
    <w:rsid w:val="001277CA"/>
    <w:rsid w:val="001278E1"/>
    <w:rsid w:val="00127903"/>
    <w:rsid w:val="001279C1"/>
    <w:rsid w:val="001279EE"/>
    <w:rsid w:val="00127A0D"/>
    <w:rsid w:val="00127A70"/>
    <w:rsid w:val="00127AF9"/>
    <w:rsid w:val="00127BB5"/>
    <w:rsid w:val="00127BE4"/>
    <w:rsid w:val="00127BEB"/>
    <w:rsid w:val="00127BEE"/>
    <w:rsid w:val="00127C86"/>
    <w:rsid w:val="00127CD1"/>
    <w:rsid w:val="00127CDC"/>
    <w:rsid w:val="00127CE8"/>
    <w:rsid w:val="00127DA0"/>
    <w:rsid w:val="00127DD6"/>
    <w:rsid w:val="00127E5F"/>
    <w:rsid w:val="00127E60"/>
    <w:rsid w:val="00127EA4"/>
    <w:rsid w:val="00127EDC"/>
    <w:rsid w:val="00127F59"/>
    <w:rsid w:val="00130040"/>
    <w:rsid w:val="0013006F"/>
    <w:rsid w:val="00130117"/>
    <w:rsid w:val="0013011A"/>
    <w:rsid w:val="001301AD"/>
    <w:rsid w:val="001301D7"/>
    <w:rsid w:val="001301DC"/>
    <w:rsid w:val="0013023B"/>
    <w:rsid w:val="001302AE"/>
    <w:rsid w:val="00130333"/>
    <w:rsid w:val="0013035D"/>
    <w:rsid w:val="001303BA"/>
    <w:rsid w:val="0013048D"/>
    <w:rsid w:val="001304AB"/>
    <w:rsid w:val="00130583"/>
    <w:rsid w:val="0013058C"/>
    <w:rsid w:val="001306B4"/>
    <w:rsid w:val="001306DC"/>
    <w:rsid w:val="00130704"/>
    <w:rsid w:val="0013071D"/>
    <w:rsid w:val="00130828"/>
    <w:rsid w:val="00130977"/>
    <w:rsid w:val="001309C0"/>
    <w:rsid w:val="001309CA"/>
    <w:rsid w:val="00130A37"/>
    <w:rsid w:val="00130AEA"/>
    <w:rsid w:val="00130B0E"/>
    <w:rsid w:val="00130C20"/>
    <w:rsid w:val="00130C5B"/>
    <w:rsid w:val="00130C8E"/>
    <w:rsid w:val="00130D53"/>
    <w:rsid w:val="00130DC6"/>
    <w:rsid w:val="00130DF9"/>
    <w:rsid w:val="00130DFD"/>
    <w:rsid w:val="00130E4F"/>
    <w:rsid w:val="00130E68"/>
    <w:rsid w:val="00130E8A"/>
    <w:rsid w:val="00130E9F"/>
    <w:rsid w:val="00130EA7"/>
    <w:rsid w:val="00130EB9"/>
    <w:rsid w:val="00130EC9"/>
    <w:rsid w:val="00130EEF"/>
    <w:rsid w:val="00130FAC"/>
    <w:rsid w:val="00130FCF"/>
    <w:rsid w:val="00131090"/>
    <w:rsid w:val="00131221"/>
    <w:rsid w:val="0013123F"/>
    <w:rsid w:val="0013125A"/>
    <w:rsid w:val="001312D8"/>
    <w:rsid w:val="00131320"/>
    <w:rsid w:val="00131367"/>
    <w:rsid w:val="001313C3"/>
    <w:rsid w:val="001313FE"/>
    <w:rsid w:val="001314AC"/>
    <w:rsid w:val="001314B6"/>
    <w:rsid w:val="001314EE"/>
    <w:rsid w:val="00131504"/>
    <w:rsid w:val="001315FC"/>
    <w:rsid w:val="00131607"/>
    <w:rsid w:val="001316AE"/>
    <w:rsid w:val="001316E5"/>
    <w:rsid w:val="001317F0"/>
    <w:rsid w:val="00131837"/>
    <w:rsid w:val="001318D4"/>
    <w:rsid w:val="001318DB"/>
    <w:rsid w:val="001318DF"/>
    <w:rsid w:val="0013197D"/>
    <w:rsid w:val="001319B5"/>
    <w:rsid w:val="00131A55"/>
    <w:rsid w:val="00131AEB"/>
    <w:rsid w:val="00131B89"/>
    <w:rsid w:val="00131C01"/>
    <w:rsid w:val="00131C39"/>
    <w:rsid w:val="00131CCD"/>
    <w:rsid w:val="00131D5B"/>
    <w:rsid w:val="00131DB2"/>
    <w:rsid w:val="00131DBF"/>
    <w:rsid w:val="00131FF3"/>
    <w:rsid w:val="00132003"/>
    <w:rsid w:val="00132022"/>
    <w:rsid w:val="00132053"/>
    <w:rsid w:val="001320C7"/>
    <w:rsid w:val="0013215E"/>
    <w:rsid w:val="001321AF"/>
    <w:rsid w:val="001321C8"/>
    <w:rsid w:val="00132252"/>
    <w:rsid w:val="0013228B"/>
    <w:rsid w:val="00132320"/>
    <w:rsid w:val="0013236C"/>
    <w:rsid w:val="00132379"/>
    <w:rsid w:val="001323A8"/>
    <w:rsid w:val="001323B0"/>
    <w:rsid w:val="001323C9"/>
    <w:rsid w:val="001323D9"/>
    <w:rsid w:val="001323DD"/>
    <w:rsid w:val="00132419"/>
    <w:rsid w:val="0013241A"/>
    <w:rsid w:val="00132512"/>
    <w:rsid w:val="00132531"/>
    <w:rsid w:val="0013260B"/>
    <w:rsid w:val="001326C7"/>
    <w:rsid w:val="0013270D"/>
    <w:rsid w:val="00132727"/>
    <w:rsid w:val="0013272D"/>
    <w:rsid w:val="00132790"/>
    <w:rsid w:val="0013285C"/>
    <w:rsid w:val="00132866"/>
    <w:rsid w:val="00132888"/>
    <w:rsid w:val="001328D3"/>
    <w:rsid w:val="00132975"/>
    <w:rsid w:val="00132982"/>
    <w:rsid w:val="0013298C"/>
    <w:rsid w:val="001329F5"/>
    <w:rsid w:val="00132A0B"/>
    <w:rsid w:val="00132A3D"/>
    <w:rsid w:val="00132AF1"/>
    <w:rsid w:val="00132B62"/>
    <w:rsid w:val="00132B7F"/>
    <w:rsid w:val="00132C27"/>
    <w:rsid w:val="00132C32"/>
    <w:rsid w:val="00132CD2"/>
    <w:rsid w:val="00132D2E"/>
    <w:rsid w:val="00132DF0"/>
    <w:rsid w:val="00132E2C"/>
    <w:rsid w:val="00132EB6"/>
    <w:rsid w:val="00132F32"/>
    <w:rsid w:val="00132FDE"/>
    <w:rsid w:val="00132FEB"/>
    <w:rsid w:val="00133059"/>
    <w:rsid w:val="001330E2"/>
    <w:rsid w:val="00133143"/>
    <w:rsid w:val="00133174"/>
    <w:rsid w:val="0013318E"/>
    <w:rsid w:val="001331EC"/>
    <w:rsid w:val="0013322B"/>
    <w:rsid w:val="00133233"/>
    <w:rsid w:val="00133247"/>
    <w:rsid w:val="0013328C"/>
    <w:rsid w:val="001332D7"/>
    <w:rsid w:val="001332E7"/>
    <w:rsid w:val="001332F7"/>
    <w:rsid w:val="0013333D"/>
    <w:rsid w:val="00133395"/>
    <w:rsid w:val="001333AC"/>
    <w:rsid w:val="0013346F"/>
    <w:rsid w:val="0013355F"/>
    <w:rsid w:val="0013368B"/>
    <w:rsid w:val="0013369E"/>
    <w:rsid w:val="001336D2"/>
    <w:rsid w:val="00133712"/>
    <w:rsid w:val="00133788"/>
    <w:rsid w:val="00133792"/>
    <w:rsid w:val="001337A5"/>
    <w:rsid w:val="001337BD"/>
    <w:rsid w:val="001337D0"/>
    <w:rsid w:val="001338C7"/>
    <w:rsid w:val="001338D7"/>
    <w:rsid w:val="001338E1"/>
    <w:rsid w:val="0013390C"/>
    <w:rsid w:val="001339BF"/>
    <w:rsid w:val="00133A0B"/>
    <w:rsid w:val="00133A19"/>
    <w:rsid w:val="00133A1A"/>
    <w:rsid w:val="00133ABE"/>
    <w:rsid w:val="00133ABF"/>
    <w:rsid w:val="00133B35"/>
    <w:rsid w:val="00133B3D"/>
    <w:rsid w:val="00133C60"/>
    <w:rsid w:val="00133C6E"/>
    <w:rsid w:val="00133C76"/>
    <w:rsid w:val="00133CA3"/>
    <w:rsid w:val="00133CE5"/>
    <w:rsid w:val="00133D61"/>
    <w:rsid w:val="00133E56"/>
    <w:rsid w:val="00133E66"/>
    <w:rsid w:val="00133E8D"/>
    <w:rsid w:val="00133EB0"/>
    <w:rsid w:val="00133F25"/>
    <w:rsid w:val="00133F39"/>
    <w:rsid w:val="00133F9D"/>
    <w:rsid w:val="0013403C"/>
    <w:rsid w:val="00134062"/>
    <w:rsid w:val="00134113"/>
    <w:rsid w:val="0013415E"/>
    <w:rsid w:val="00134210"/>
    <w:rsid w:val="00134212"/>
    <w:rsid w:val="00134273"/>
    <w:rsid w:val="0013428D"/>
    <w:rsid w:val="0013429E"/>
    <w:rsid w:val="0013429F"/>
    <w:rsid w:val="001342B0"/>
    <w:rsid w:val="001342B1"/>
    <w:rsid w:val="001342B9"/>
    <w:rsid w:val="001342BB"/>
    <w:rsid w:val="00134489"/>
    <w:rsid w:val="0013452B"/>
    <w:rsid w:val="0013455B"/>
    <w:rsid w:val="00134594"/>
    <w:rsid w:val="001346A2"/>
    <w:rsid w:val="001346AF"/>
    <w:rsid w:val="001346DA"/>
    <w:rsid w:val="00134726"/>
    <w:rsid w:val="0013476C"/>
    <w:rsid w:val="001347DB"/>
    <w:rsid w:val="001347E3"/>
    <w:rsid w:val="00134813"/>
    <w:rsid w:val="001348C3"/>
    <w:rsid w:val="0013492C"/>
    <w:rsid w:val="001349C4"/>
    <w:rsid w:val="00134AB3"/>
    <w:rsid w:val="00134B8C"/>
    <w:rsid w:val="00134BB9"/>
    <w:rsid w:val="00134BD5"/>
    <w:rsid w:val="00134BF5"/>
    <w:rsid w:val="00134C7E"/>
    <w:rsid w:val="00134DAA"/>
    <w:rsid w:val="00134DFA"/>
    <w:rsid w:val="00134E0C"/>
    <w:rsid w:val="00135088"/>
    <w:rsid w:val="0013510A"/>
    <w:rsid w:val="0013511E"/>
    <w:rsid w:val="001351F6"/>
    <w:rsid w:val="00135202"/>
    <w:rsid w:val="00135248"/>
    <w:rsid w:val="00135267"/>
    <w:rsid w:val="00135283"/>
    <w:rsid w:val="001352D4"/>
    <w:rsid w:val="001352E5"/>
    <w:rsid w:val="0013532D"/>
    <w:rsid w:val="0013543E"/>
    <w:rsid w:val="001354B0"/>
    <w:rsid w:val="001354EA"/>
    <w:rsid w:val="0013552A"/>
    <w:rsid w:val="001355FB"/>
    <w:rsid w:val="00135615"/>
    <w:rsid w:val="00135633"/>
    <w:rsid w:val="0013567B"/>
    <w:rsid w:val="001356C8"/>
    <w:rsid w:val="0013571D"/>
    <w:rsid w:val="00135736"/>
    <w:rsid w:val="00135739"/>
    <w:rsid w:val="001357D2"/>
    <w:rsid w:val="00135868"/>
    <w:rsid w:val="00135881"/>
    <w:rsid w:val="00135B32"/>
    <w:rsid w:val="00135C57"/>
    <w:rsid w:val="00135CA0"/>
    <w:rsid w:val="00135DDE"/>
    <w:rsid w:val="00135E18"/>
    <w:rsid w:val="00135ECD"/>
    <w:rsid w:val="00135F93"/>
    <w:rsid w:val="00135FC4"/>
    <w:rsid w:val="00135FF6"/>
    <w:rsid w:val="001360B2"/>
    <w:rsid w:val="001360D8"/>
    <w:rsid w:val="001360E5"/>
    <w:rsid w:val="00136193"/>
    <w:rsid w:val="001361E0"/>
    <w:rsid w:val="001361FE"/>
    <w:rsid w:val="00136229"/>
    <w:rsid w:val="0013622A"/>
    <w:rsid w:val="0013625D"/>
    <w:rsid w:val="00136274"/>
    <w:rsid w:val="001362FA"/>
    <w:rsid w:val="00136374"/>
    <w:rsid w:val="00136377"/>
    <w:rsid w:val="001363E4"/>
    <w:rsid w:val="00136425"/>
    <w:rsid w:val="001364BC"/>
    <w:rsid w:val="001364F0"/>
    <w:rsid w:val="00136565"/>
    <w:rsid w:val="001365ED"/>
    <w:rsid w:val="00136675"/>
    <w:rsid w:val="001366D6"/>
    <w:rsid w:val="0013671D"/>
    <w:rsid w:val="00136731"/>
    <w:rsid w:val="00136733"/>
    <w:rsid w:val="00136778"/>
    <w:rsid w:val="001367D6"/>
    <w:rsid w:val="0013683B"/>
    <w:rsid w:val="00136932"/>
    <w:rsid w:val="0013696F"/>
    <w:rsid w:val="00136A21"/>
    <w:rsid w:val="00136AFB"/>
    <w:rsid w:val="00136B42"/>
    <w:rsid w:val="00136B46"/>
    <w:rsid w:val="00136B9E"/>
    <w:rsid w:val="00136C04"/>
    <w:rsid w:val="00136C35"/>
    <w:rsid w:val="00136CAD"/>
    <w:rsid w:val="00136CFD"/>
    <w:rsid w:val="00136D62"/>
    <w:rsid w:val="00136D8E"/>
    <w:rsid w:val="00136D8F"/>
    <w:rsid w:val="00136D91"/>
    <w:rsid w:val="00136DAE"/>
    <w:rsid w:val="00136E46"/>
    <w:rsid w:val="00136EB2"/>
    <w:rsid w:val="00136ECD"/>
    <w:rsid w:val="00136F17"/>
    <w:rsid w:val="00136F1B"/>
    <w:rsid w:val="00136F2E"/>
    <w:rsid w:val="00137115"/>
    <w:rsid w:val="00137162"/>
    <w:rsid w:val="001371F1"/>
    <w:rsid w:val="0013721F"/>
    <w:rsid w:val="00137231"/>
    <w:rsid w:val="001372F0"/>
    <w:rsid w:val="00137316"/>
    <w:rsid w:val="00137387"/>
    <w:rsid w:val="001373B9"/>
    <w:rsid w:val="00137420"/>
    <w:rsid w:val="00137438"/>
    <w:rsid w:val="0013743C"/>
    <w:rsid w:val="00137471"/>
    <w:rsid w:val="001374D2"/>
    <w:rsid w:val="0013752F"/>
    <w:rsid w:val="00137530"/>
    <w:rsid w:val="00137538"/>
    <w:rsid w:val="00137567"/>
    <w:rsid w:val="00137571"/>
    <w:rsid w:val="001375AC"/>
    <w:rsid w:val="00137644"/>
    <w:rsid w:val="00137665"/>
    <w:rsid w:val="00137729"/>
    <w:rsid w:val="001377E0"/>
    <w:rsid w:val="001377E7"/>
    <w:rsid w:val="00137827"/>
    <w:rsid w:val="0013787F"/>
    <w:rsid w:val="00137958"/>
    <w:rsid w:val="0013798A"/>
    <w:rsid w:val="001379EF"/>
    <w:rsid w:val="00137A25"/>
    <w:rsid w:val="00137B06"/>
    <w:rsid w:val="00137BC0"/>
    <w:rsid w:val="00137BCB"/>
    <w:rsid w:val="00137C5F"/>
    <w:rsid w:val="00137C71"/>
    <w:rsid w:val="00137D07"/>
    <w:rsid w:val="00137D60"/>
    <w:rsid w:val="00137DDD"/>
    <w:rsid w:val="00137F80"/>
    <w:rsid w:val="00140093"/>
    <w:rsid w:val="001400A6"/>
    <w:rsid w:val="001400CF"/>
    <w:rsid w:val="001400F6"/>
    <w:rsid w:val="001401CF"/>
    <w:rsid w:val="00140220"/>
    <w:rsid w:val="001402F9"/>
    <w:rsid w:val="001402FE"/>
    <w:rsid w:val="00140358"/>
    <w:rsid w:val="001403D0"/>
    <w:rsid w:val="001403E4"/>
    <w:rsid w:val="001403EF"/>
    <w:rsid w:val="0014050B"/>
    <w:rsid w:val="00140542"/>
    <w:rsid w:val="0014057E"/>
    <w:rsid w:val="00140591"/>
    <w:rsid w:val="001405F0"/>
    <w:rsid w:val="00140604"/>
    <w:rsid w:val="00140610"/>
    <w:rsid w:val="00140660"/>
    <w:rsid w:val="001406FB"/>
    <w:rsid w:val="0014074B"/>
    <w:rsid w:val="00140798"/>
    <w:rsid w:val="0014079C"/>
    <w:rsid w:val="001407A5"/>
    <w:rsid w:val="00140808"/>
    <w:rsid w:val="0014081E"/>
    <w:rsid w:val="00140863"/>
    <w:rsid w:val="001408E9"/>
    <w:rsid w:val="0014095B"/>
    <w:rsid w:val="00140984"/>
    <w:rsid w:val="00140A60"/>
    <w:rsid w:val="00140A86"/>
    <w:rsid w:val="00140AC0"/>
    <w:rsid w:val="00140B74"/>
    <w:rsid w:val="00140C02"/>
    <w:rsid w:val="00140C25"/>
    <w:rsid w:val="00140C6B"/>
    <w:rsid w:val="00140CD1"/>
    <w:rsid w:val="00140CDA"/>
    <w:rsid w:val="00140D70"/>
    <w:rsid w:val="00140DDA"/>
    <w:rsid w:val="00140E20"/>
    <w:rsid w:val="00140F04"/>
    <w:rsid w:val="00140F0F"/>
    <w:rsid w:val="00141025"/>
    <w:rsid w:val="00141066"/>
    <w:rsid w:val="001410A5"/>
    <w:rsid w:val="001411B5"/>
    <w:rsid w:val="001411F4"/>
    <w:rsid w:val="00141222"/>
    <w:rsid w:val="0014127C"/>
    <w:rsid w:val="0014130E"/>
    <w:rsid w:val="0014138B"/>
    <w:rsid w:val="00141436"/>
    <w:rsid w:val="001415F0"/>
    <w:rsid w:val="00141654"/>
    <w:rsid w:val="0014168D"/>
    <w:rsid w:val="0014170B"/>
    <w:rsid w:val="001417A6"/>
    <w:rsid w:val="001417AF"/>
    <w:rsid w:val="001417F5"/>
    <w:rsid w:val="00141835"/>
    <w:rsid w:val="00141864"/>
    <w:rsid w:val="00141906"/>
    <w:rsid w:val="00141A07"/>
    <w:rsid w:val="00141C60"/>
    <w:rsid w:val="00141CC7"/>
    <w:rsid w:val="00141CD4"/>
    <w:rsid w:val="00141D84"/>
    <w:rsid w:val="00141D95"/>
    <w:rsid w:val="00141DDF"/>
    <w:rsid w:val="00141E1C"/>
    <w:rsid w:val="00141E3D"/>
    <w:rsid w:val="00141EB5"/>
    <w:rsid w:val="00141EF2"/>
    <w:rsid w:val="00141F15"/>
    <w:rsid w:val="00141F3A"/>
    <w:rsid w:val="00141FA3"/>
    <w:rsid w:val="0014200E"/>
    <w:rsid w:val="00142029"/>
    <w:rsid w:val="001420A7"/>
    <w:rsid w:val="00142129"/>
    <w:rsid w:val="0014212B"/>
    <w:rsid w:val="00142145"/>
    <w:rsid w:val="00142147"/>
    <w:rsid w:val="0014215D"/>
    <w:rsid w:val="0014217F"/>
    <w:rsid w:val="001421D3"/>
    <w:rsid w:val="00142258"/>
    <w:rsid w:val="001422D9"/>
    <w:rsid w:val="0014233C"/>
    <w:rsid w:val="00142354"/>
    <w:rsid w:val="0014244D"/>
    <w:rsid w:val="00142451"/>
    <w:rsid w:val="001424BA"/>
    <w:rsid w:val="00142590"/>
    <w:rsid w:val="0014259C"/>
    <w:rsid w:val="001425B6"/>
    <w:rsid w:val="001425D4"/>
    <w:rsid w:val="00142654"/>
    <w:rsid w:val="00142695"/>
    <w:rsid w:val="001426DD"/>
    <w:rsid w:val="00142701"/>
    <w:rsid w:val="00142709"/>
    <w:rsid w:val="001428D3"/>
    <w:rsid w:val="001428EB"/>
    <w:rsid w:val="0014292C"/>
    <w:rsid w:val="00142A0C"/>
    <w:rsid w:val="00142A2D"/>
    <w:rsid w:val="00142A42"/>
    <w:rsid w:val="00142A65"/>
    <w:rsid w:val="00142A69"/>
    <w:rsid w:val="00142A6C"/>
    <w:rsid w:val="00142A98"/>
    <w:rsid w:val="00142AB6"/>
    <w:rsid w:val="00142B75"/>
    <w:rsid w:val="00142B91"/>
    <w:rsid w:val="00142BD0"/>
    <w:rsid w:val="00142D9A"/>
    <w:rsid w:val="00142DEE"/>
    <w:rsid w:val="00142E24"/>
    <w:rsid w:val="00142E3A"/>
    <w:rsid w:val="00142FBA"/>
    <w:rsid w:val="0014300E"/>
    <w:rsid w:val="00143071"/>
    <w:rsid w:val="0014312F"/>
    <w:rsid w:val="001431B7"/>
    <w:rsid w:val="00143218"/>
    <w:rsid w:val="00143229"/>
    <w:rsid w:val="00143377"/>
    <w:rsid w:val="0014339D"/>
    <w:rsid w:val="001433C1"/>
    <w:rsid w:val="0014344A"/>
    <w:rsid w:val="00143543"/>
    <w:rsid w:val="0014364A"/>
    <w:rsid w:val="00143655"/>
    <w:rsid w:val="00143665"/>
    <w:rsid w:val="00143697"/>
    <w:rsid w:val="001436AC"/>
    <w:rsid w:val="001436BB"/>
    <w:rsid w:val="00143768"/>
    <w:rsid w:val="0014378B"/>
    <w:rsid w:val="00143792"/>
    <w:rsid w:val="001437C2"/>
    <w:rsid w:val="001437D2"/>
    <w:rsid w:val="0014384C"/>
    <w:rsid w:val="00143883"/>
    <w:rsid w:val="00143894"/>
    <w:rsid w:val="0014389A"/>
    <w:rsid w:val="001438D1"/>
    <w:rsid w:val="001438FB"/>
    <w:rsid w:val="0014396B"/>
    <w:rsid w:val="00143985"/>
    <w:rsid w:val="001439F1"/>
    <w:rsid w:val="00143A77"/>
    <w:rsid w:val="00143A9A"/>
    <w:rsid w:val="00143AC7"/>
    <w:rsid w:val="00143AD1"/>
    <w:rsid w:val="00143B27"/>
    <w:rsid w:val="00143B8D"/>
    <w:rsid w:val="00143C8B"/>
    <w:rsid w:val="00143C91"/>
    <w:rsid w:val="00143D50"/>
    <w:rsid w:val="00143DD7"/>
    <w:rsid w:val="00143E47"/>
    <w:rsid w:val="00143E79"/>
    <w:rsid w:val="00143E93"/>
    <w:rsid w:val="00144027"/>
    <w:rsid w:val="0014404E"/>
    <w:rsid w:val="001440FA"/>
    <w:rsid w:val="0014416E"/>
    <w:rsid w:val="001443EA"/>
    <w:rsid w:val="0014449A"/>
    <w:rsid w:val="001444F5"/>
    <w:rsid w:val="00144502"/>
    <w:rsid w:val="00144557"/>
    <w:rsid w:val="001445BA"/>
    <w:rsid w:val="001445D0"/>
    <w:rsid w:val="0014477E"/>
    <w:rsid w:val="001447A0"/>
    <w:rsid w:val="001447F5"/>
    <w:rsid w:val="001448D9"/>
    <w:rsid w:val="00144942"/>
    <w:rsid w:val="00144A10"/>
    <w:rsid w:val="00144A31"/>
    <w:rsid w:val="00144A61"/>
    <w:rsid w:val="00144A68"/>
    <w:rsid w:val="00144AA8"/>
    <w:rsid w:val="00144B1F"/>
    <w:rsid w:val="00144B87"/>
    <w:rsid w:val="00144BBC"/>
    <w:rsid w:val="00144BBE"/>
    <w:rsid w:val="00144D3F"/>
    <w:rsid w:val="00144DA2"/>
    <w:rsid w:val="00144DBC"/>
    <w:rsid w:val="00144EAF"/>
    <w:rsid w:val="00144EC1"/>
    <w:rsid w:val="00144EFC"/>
    <w:rsid w:val="00144FBB"/>
    <w:rsid w:val="00144FE2"/>
    <w:rsid w:val="00145141"/>
    <w:rsid w:val="0014518C"/>
    <w:rsid w:val="0014519E"/>
    <w:rsid w:val="001453EA"/>
    <w:rsid w:val="00145496"/>
    <w:rsid w:val="001454CC"/>
    <w:rsid w:val="00145538"/>
    <w:rsid w:val="00145556"/>
    <w:rsid w:val="001455B7"/>
    <w:rsid w:val="00145648"/>
    <w:rsid w:val="0014569A"/>
    <w:rsid w:val="001456F5"/>
    <w:rsid w:val="00145766"/>
    <w:rsid w:val="00145771"/>
    <w:rsid w:val="0014577F"/>
    <w:rsid w:val="001458B8"/>
    <w:rsid w:val="00145906"/>
    <w:rsid w:val="0014597A"/>
    <w:rsid w:val="001459A1"/>
    <w:rsid w:val="00145AA8"/>
    <w:rsid w:val="00145AF2"/>
    <w:rsid w:val="00145B66"/>
    <w:rsid w:val="00145B77"/>
    <w:rsid w:val="00145BE9"/>
    <w:rsid w:val="00145C91"/>
    <w:rsid w:val="00145D54"/>
    <w:rsid w:val="00145D7F"/>
    <w:rsid w:val="00145DA5"/>
    <w:rsid w:val="00145DE2"/>
    <w:rsid w:val="00145E4F"/>
    <w:rsid w:val="00145E96"/>
    <w:rsid w:val="00145F41"/>
    <w:rsid w:val="00145FD8"/>
    <w:rsid w:val="00145FF2"/>
    <w:rsid w:val="0014613D"/>
    <w:rsid w:val="00146209"/>
    <w:rsid w:val="00146215"/>
    <w:rsid w:val="00146217"/>
    <w:rsid w:val="00146293"/>
    <w:rsid w:val="0014633F"/>
    <w:rsid w:val="001463F9"/>
    <w:rsid w:val="001464B8"/>
    <w:rsid w:val="001464F2"/>
    <w:rsid w:val="0014658E"/>
    <w:rsid w:val="001465CB"/>
    <w:rsid w:val="001465E2"/>
    <w:rsid w:val="001467A8"/>
    <w:rsid w:val="001467A9"/>
    <w:rsid w:val="001467DA"/>
    <w:rsid w:val="00146886"/>
    <w:rsid w:val="001468AF"/>
    <w:rsid w:val="001468E2"/>
    <w:rsid w:val="0014691A"/>
    <w:rsid w:val="00146938"/>
    <w:rsid w:val="00146A3C"/>
    <w:rsid w:val="00146A8D"/>
    <w:rsid w:val="00146A97"/>
    <w:rsid w:val="00146ACA"/>
    <w:rsid w:val="00146B3B"/>
    <w:rsid w:val="00146BAC"/>
    <w:rsid w:val="00146C09"/>
    <w:rsid w:val="00146D3F"/>
    <w:rsid w:val="00146DC7"/>
    <w:rsid w:val="00146E23"/>
    <w:rsid w:val="00146EC1"/>
    <w:rsid w:val="00146ED4"/>
    <w:rsid w:val="00146EE3"/>
    <w:rsid w:val="00146F20"/>
    <w:rsid w:val="00146F24"/>
    <w:rsid w:val="00146FDF"/>
    <w:rsid w:val="00147017"/>
    <w:rsid w:val="0014704F"/>
    <w:rsid w:val="00147095"/>
    <w:rsid w:val="001470EF"/>
    <w:rsid w:val="001470F7"/>
    <w:rsid w:val="0014711D"/>
    <w:rsid w:val="00147274"/>
    <w:rsid w:val="00147275"/>
    <w:rsid w:val="001472E9"/>
    <w:rsid w:val="0014730F"/>
    <w:rsid w:val="00147333"/>
    <w:rsid w:val="001473A3"/>
    <w:rsid w:val="001473D9"/>
    <w:rsid w:val="00147424"/>
    <w:rsid w:val="00147448"/>
    <w:rsid w:val="00147540"/>
    <w:rsid w:val="00147567"/>
    <w:rsid w:val="001475D3"/>
    <w:rsid w:val="00147696"/>
    <w:rsid w:val="0014769A"/>
    <w:rsid w:val="00147709"/>
    <w:rsid w:val="00147788"/>
    <w:rsid w:val="0014778C"/>
    <w:rsid w:val="0014780C"/>
    <w:rsid w:val="001478C9"/>
    <w:rsid w:val="001478F9"/>
    <w:rsid w:val="00147943"/>
    <w:rsid w:val="00147976"/>
    <w:rsid w:val="0014797A"/>
    <w:rsid w:val="001479CF"/>
    <w:rsid w:val="001479D1"/>
    <w:rsid w:val="00147AF0"/>
    <w:rsid w:val="00147AF5"/>
    <w:rsid w:val="00147B0A"/>
    <w:rsid w:val="00147B96"/>
    <w:rsid w:val="00147C57"/>
    <w:rsid w:val="00147C58"/>
    <w:rsid w:val="00147C91"/>
    <w:rsid w:val="00147C9C"/>
    <w:rsid w:val="00147CC8"/>
    <w:rsid w:val="00147CEA"/>
    <w:rsid w:val="00147D0F"/>
    <w:rsid w:val="00147D69"/>
    <w:rsid w:val="00147D93"/>
    <w:rsid w:val="00147DC8"/>
    <w:rsid w:val="00147E08"/>
    <w:rsid w:val="00147E3C"/>
    <w:rsid w:val="00147E77"/>
    <w:rsid w:val="00147F34"/>
    <w:rsid w:val="00147F8F"/>
    <w:rsid w:val="00147FEC"/>
    <w:rsid w:val="00150017"/>
    <w:rsid w:val="00150071"/>
    <w:rsid w:val="00150082"/>
    <w:rsid w:val="001500B5"/>
    <w:rsid w:val="0015010D"/>
    <w:rsid w:val="0015014D"/>
    <w:rsid w:val="00150150"/>
    <w:rsid w:val="00150158"/>
    <w:rsid w:val="0015019E"/>
    <w:rsid w:val="001501C3"/>
    <w:rsid w:val="001501CB"/>
    <w:rsid w:val="00150272"/>
    <w:rsid w:val="001502AC"/>
    <w:rsid w:val="00150393"/>
    <w:rsid w:val="001503AC"/>
    <w:rsid w:val="001503F9"/>
    <w:rsid w:val="00150468"/>
    <w:rsid w:val="00150471"/>
    <w:rsid w:val="00150505"/>
    <w:rsid w:val="001505A0"/>
    <w:rsid w:val="001505CB"/>
    <w:rsid w:val="001505F5"/>
    <w:rsid w:val="00150603"/>
    <w:rsid w:val="0015067C"/>
    <w:rsid w:val="001506AE"/>
    <w:rsid w:val="001506C2"/>
    <w:rsid w:val="001506E7"/>
    <w:rsid w:val="001506FB"/>
    <w:rsid w:val="0015075E"/>
    <w:rsid w:val="00150793"/>
    <w:rsid w:val="001507DB"/>
    <w:rsid w:val="00150965"/>
    <w:rsid w:val="0015097E"/>
    <w:rsid w:val="001509F1"/>
    <w:rsid w:val="00150A66"/>
    <w:rsid w:val="00150B6B"/>
    <w:rsid w:val="00150B6E"/>
    <w:rsid w:val="00150B9E"/>
    <w:rsid w:val="00150BB5"/>
    <w:rsid w:val="00150BC4"/>
    <w:rsid w:val="00150C7B"/>
    <w:rsid w:val="00150DB3"/>
    <w:rsid w:val="00150DF2"/>
    <w:rsid w:val="00150E13"/>
    <w:rsid w:val="00150E16"/>
    <w:rsid w:val="00150EC0"/>
    <w:rsid w:val="00150F4B"/>
    <w:rsid w:val="00150F4D"/>
    <w:rsid w:val="00151018"/>
    <w:rsid w:val="0015110C"/>
    <w:rsid w:val="0015112B"/>
    <w:rsid w:val="001511CC"/>
    <w:rsid w:val="001511CD"/>
    <w:rsid w:val="001512AE"/>
    <w:rsid w:val="001512DF"/>
    <w:rsid w:val="00151327"/>
    <w:rsid w:val="00151389"/>
    <w:rsid w:val="00151468"/>
    <w:rsid w:val="0015146E"/>
    <w:rsid w:val="0015149C"/>
    <w:rsid w:val="001514D9"/>
    <w:rsid w:val="00151500"/>
    <w:rsid w:val="0015151E"/>
    <w:rsid w:val="00151582"/>
    <w:rsid w:val="001515BF"/>
    <w:rsid w:val="0015163B"/>
    <w:rsid w:val="0015165F"/>
    <w:rsid w:val="0015172C"/>
    <w:rsid w:val="00151731"/>
    <w:rsid w:val="0015176B"/>
    <w:rsid w:val="00151879"/>
    <w:rsid w:val="00151928"/>
    <w:rsid w:val="00151990"/>
    <w:rsid w:val="00151B1E"/>
    <w:rsid w:val="00151B50"/>
    <w:rsid w:val="00151C26"/>
    <w:rsid w:val="00151C55"/>
    <w:rsid w:val="00151C7D"/>
    <w:rsid w:val="00151D1A"/>
    <w:rsid w:val="00151D25"/>
    <w:rsid w:val="00151D97"/>
    <w:rsid w:val="00151DC0"/>
    <w:rsid w:val="00151DED"/>
    <w:rsid w:val="00151DF7"/>
    <w:rsid w:val="00151E37"/>
    <w:rsid w:val="00151EAD"/>
    <w:rsid w:val="00151F0D"/>
    <w:rsid w:val="00151F3D"/>
    <w:rsid w:val="00151F82"/>
    <w:rsid w:val="00151FBA"/>
    <w:rsid w:val="00151FE8"/>
    <w:rsid w:val="0015200E"/>
    <w:rsid w:val="00152100"/>
    <w:rsid w:val="00152120"/>
    <w:rsid w:val="00152160"/>
    <w:rsid w:val="00152174"/>
    <w:rsid w:val="00152222"/>
    <w:rsid w:val="00152279"/>
    <w:rsid w:val="00152295"/>
    <w:rsid w:val="001522D1"/>
    <w:rsid w:val="001522E2"/>
    <w:rsid w:val="001522EA"/>
    <w:rsid w:val="001523A0"/>
    <w:rsid w:val="001523E7"/>
    <w:rsid w:val="00152485"/>
    <w:rsid w:val="001524B1"/>
    <w:rsid w:val="001524E4"/>
    <w:rsid w:val="00152620"/>
    <w:rsid w:val="0015266E"/>
    <w:rsid w:val="001527A4"/>
    <w:rsid w:val="001528D9"/>
    <w:rsid w:val="001528F1"/>
    <w:rsid w:val="0015291B"/>
    <w:rsid w:val="0015292E"/>
    <w:rsid w:val="0015295C"/>
    <w:rsid w:val="00152973"/>
    <w:rsid w:val="001529A9"/>
    <w:rsid w:val="00152AD6"/>
    <w:rsid w:val="00152BB5"/>
    <w:rsid w:val="00152BC2"/>
    <w:rsid w:val="00152C0F"/>
    <w:rsid w:val="00152C81"/>
    <w:rsid w:val="00152D1D"/>
    <w:rsid w:val="00152D46"/>
    <w:rsid w:val="00152DD3"/>
    <w:rsid w:val="00152E67"/>
    <w:rsid w:val="00152E93"/>
    <w:rsid w:val="001531CB"/>
    <w:rsid w:val="001531FE"/>
    <w:rsid w:val="00153217"/>
    <w:rsid w:val="00153258"/>
    <w:rsid w:val="00153268"/>
    <w:rsid w:val="00153298"/>
    <w:rsid w:val="001532B6"/>
    <w:rsid w:val="00153336"/>
    <w:rsid w:val="00153345"/>
    <w:rsid w:val="001533E5"/>
    <w:rsid w:val="001533F0"/>
    <w:rsid w:val="00153404"/>
    <w:rsid w:val="00153457"/>
    <w:rsid w:val="0015349B"/>
    <w:rsid w:val="001534D9"/>
    <w:rsid w:val="0015359E"/>
    <w:rsid w:val="001537D0"/>
    <w:rsid w:val="0015384D"/>
    <w:rsid w:val="001538F3"/>
    <w:rsid w:val="0015393E"/>
    <w:rsid w:val="00153A1A"/>
    <w:rsid w:val="00153A88"/>
    <w:rsid w:val="00153AC4"/>
    <w:rsid w:val="00153B3A"/>
    <w:rsid w:val="00153B3E"/>
    <w:rsid w:val="00153E11"/>
    <w:rsid w:val="00153E64"/>
    <w:rsid w:val="00153EBA"/>
    <w:rsid w:val="00153EDA"/>
    <w:rsid w:val="00153F0E"/>
    <w:rsid w:val="00153F1B"/>
    <w:rsid w:val="00153F51"/>
    <w:rsid w:val="00153FD2"/>
    <w:rsid w:val="0015410D"/>
    <w:rsid w:val="00154218"/>
    <w:rsid w:val="00154299"/>
    <w:rsid w:val="001542B1"/>
    <w:rsid w:val="001542CD"/>
    <w:rsid w:val="00154323"/>
    <w:rsid w:val="0015432B"/>
    <w:rsid w:val="001543AE"/>
    <w:rsid w:val="001543B8"/>
    <w:rsid w:val="001543D4"/>
    <w:rsid w:val="0015442B"/>
    <w:rsid w:val="001544C0"/>
    <w:rsid w:val="001544F0"/>
    <w:rsid w:val="00154592"/>
    <w:rsid w:val="001545C4"/>
    <w:rsid w:val="00154605"/>
    <w:rsid w:val="0015462B"/>
    <w:rsid w:val="0015466A"/>
    <w:rsid w:val="001546A8"/>
    <w:rsid w:val="00154740"/>
    <w:rsid w:val="00154812"/>
    <w:rsid w:val="00154821"/>
    <w:rsid w:val="00154859"/>
    <w:rsid w:val="001548BE"/>
    <w:rsid w:val="001548CB"/>
    <w:rsid w:val="00154985"/>
    <w:rsid w:val="0015498C"/>
    <w:rsid w:val="001549A3"/>
    <w:rsid w:val="00154A18"/>
    <w:rsid w:val="00154AF2"/>
    <w:rsid w:val="00154B00"/>
    <w:rsid w:val="00154C0D"/>
    <w:rsid w:val="00154C10"/>
    <w:rsid w:val="00154C39"/>
    <w:rsid w:val="00154C3C"/>
    <w:rsid w:val="00154CE8"/>
    <w:rsid w:val="00154CEF"/>
    <w:rsid w:val="00154D96"/>
    <w:rsid w:val="00154DDA"/>
    <w:rsid w:val="00154E75"/>
    <w:rsid w:val="00154F49"/>
    <w:rsid w:val="0015500A"/>
    <w:rsid w:val="00155065"/>
    <w:rsid w:val="001550F3"/>
    <w:rsid w:val="00155116"/>
    <w:rsid w:val="00155128"/>
    <w:rsid w:val="001551BD"/>
    <w:rsid w:val="001551EE"/>
    <w:rsid w:val="0015525B"/>
    <w:rsid w:val="00155267"/>
    <w:rsid w:val="0015530B"/>
    <w:rsid w:val="00155425"/>
    <w:rsid w:val="0015542D"/>
    <w:rsid w:val="00155546"/>
    <w:rsid w:val="0015554D"/>
    <w:rsid w:val="001555A4"/>
    <w:rsid w:val="001555E6"/>
    <w:rsid w:val="001555FD"/>
    <w:rsid w:val="001556BF"/>
    <w:rsid w:val="0015570D"/>
    <w:rsid w:val="001557A7"/>
    <w:rsid w:val="001557ED"/>
    <w:rsid w:val="0015581A"/>
    <w:rsid w:val="0015582B"/>
    <w:rsid w:val="00155871"/>
    <w:rsid w:val="0015587D"/>
    <w:rsid w:val="00155897"/>
    <w:rsid w:val="00155970"/>
    <w:rsid w:val="0015598F"/>
    <w:rsid w:val="001559CD"/>
    <w:rsid w:val="00155A41"/>
    <w:rsid w:val="00155AAB"/>
    <w:rsid w:val="00155ADC"/>
    <w:rsid w:val="00155AFF"/>
    <w:rsid w:val="00155B56"/>
    <w:rsid w:val="00155B6D"/>
    <w:rsid w:val="00155B9C"/>
    <w:rsid w:val="00155BF1"/>
    <w:rsid w:val="00155CC0"/>
    <w:rsid w:val="00155CCA"/>
    <w:rsid w:val="00155EAD"/>
    <w:rsid w:val="00155EC0"/>
    <w:rsid w:val="00155F04"/>
    <w:rsid w:val="00155F2D"/>
    <w:rsid w:val="00155F4D"/>
    <w:rsid w:val="00156041"/>
    <w:rsid w:val="001560CB"/>
    <w:rsid w:val="0015618D"/>
    <w:rsid w:val="001561CE"/>
    <w:rsid w:val="00156244"/>
    <w:rsid w:val="00156278"/>
    <w:rsid w:val="001562CF"/>
    <w:rsid w:val="001562FA"/>
    <w:rsid w:val="00156325"/>
    <w:rsid w:val="0015634C"/>
    <w:rsid w:val="00156397"/>
    <w:rsid w:val="001563FD"/>
    <w:rsid w:val="0015641B"/>
    <w:rsid w:val="00156423"/>
    <w:rsid w:val="0015643D"/>
    <w:rsid w:val="0015649A"/>
    <w:rsid w:val="00156556"/>
    <w:rsid w:val="0015656C"/>
    <w:rsid w:val="0015657F"/>
    <w:rsid w:val="001565A5"/>
    <w:rsid w:val="001565D8"/>
    <w:rsid w:val="00156610"/>
    <w:rsid w:val="0015671E"/>
    <w:rsid w:val="0015675A"/>
    <w:rsid w:val="00156792"/>
    <w:rsid w:val="001567C8"/>
    <w:rsid w:val="00156864"/>
    <w:rsid w:val="001568C1"/>
    <w:rsid w:val="00156925"/>
    <w:rsid w:val="00156994"/>
    <w:rsid w:val="001569A6"/>
    <w:rsid w:val="001569C2"/>
    <w:rsid w:val="001569D6"/>
    <w:rsid w:val="00156A0C"/>
    <w:rsid w:val="00156AE0"/>
    <w:rsid w:val="00156BA4"/>
    <w:rsid w:val="00156BF2"/>
    <w:rsid w:val="00156C11"/>
    <w:rsid w:val="00156C31"/>
    <w:rsid w:val="00156CC5"/>
    <w:rsid w:val="00156CE0"/>
    <w:rsid w:val="00156CF8"/>
    <w:rsid w:val="00156D00"/>
    <w:rsid w:val="00156DB1"/>
    <w:rsid w:val="00156DF6"/>
    <w:rsid w:val="00156E2E"/>
    <w:rsid w:val="00156E36"/>
    <w:rsid w:val="00156E53"/>
    <w:rsid w:val="00156ED8"/>
    <w:rsid w:val="00156F62"/>
    <w:rsid w:val="00156F63"/>
    <w:rsid w:val="00156F6B"/>
    <w:rsid w:val="00156FA9"/>
    <w:rsid w:val="00157017"/>
    <w:rsid w:val="00157022"/>
    <w:rsid w:val="00157031"/>
    <w:rsid w:val="001570F7"/>
    <w:rsid w:val="0015718F"/>
    <w:rsid w:val="00157191"/>
    <w:rsid w:val="001571C3"/>
    <w:rsid w:val="001571FE"/>
    <w:rsid w:val="001572A5"/>
    <w:rsid w:val="0015744D"/>
    <w:rsid w:val="00157487"/>
    <w:rsid w:val="001574EB"/>
    <w:rsid w:val="0015750A"/>
    <w:rsid w:val="00157510"/>
    <w:rsid w:val="0015751B"/>
    <w:rsid w:val="0015770B"/>
    <w:rsid w:val="00157729"/>
    <w:rsid w:val="00157736"/>
    <w:rsid w:val="0015778D"/>
    <w:rsid w:val="001577B3"/>
    <w:rsid w:val="00157855"/>
    <w:rsid w:val="00157895"/>
    <w:rsid w:val="00157897"/>
    <w:rsid w:val="001578DD"/>
    <w:rsid w:val="001579A2"/>
    <w:rsid w:val="001579F2"/>
    <w:rsid w:val="00157A5A"/>
    <w:rsid w:val="00157AB1"/>
    <w:rsid w:val="00157AD8"/>
    <w:rsid w:val="00157B1A"/>
    <w:rsid w:val="00157B73"/>
    <w:rsid w:val="00157B7F"/>
    <w:rsid w:val="00157B91"/>
    <w:rsid w:val="00157C6F"/>
    <w:rsid w:val="00157D15"/>
    <w:rsid w:val="00157D48"/>
    <w:rsid w:val="00157DE5"/>
    <w:rsid w:val="00157E0C"/>
    <w:rsid w:val="00157E55"/>
    <w:rsid w:val="00157E9F"/>
    <w:rsid w:val="00157F91"/>
    <w:rsid w:val="00157F9A"/>
    <w:rsid w:val="00157FBC"/>
    <w:rsid w:val="00160033"/>
    <w:rsid w:val="001601A1"/>
    <w:rsid w:val="001601DB"/>
    <w:rsid w:val="00160201"/>
    <w:rsid w:val="0016026C"/>
    <w:rsid w:val="001602D6"/>
    <w:rsid w:val="001604B9"/>
    <w:rsid w:val="001604D9"/>
    <w:rsid w:val="00160542"/>
    <w:rsid w:val="0016059B"/>
    <w:rsid w:val="001605BF"/>
    <w:rsid w:val="0016061C"/>
    <w:rsid w:val="0016063C"/>
    <w:rsid w:val="001606A3"/>
    <w:rsid w:val="00160705"/>
    <w:rsid w:val="00160730"/>
    <w:rsid w:val="0016073E"/>
    <w:rsid w:val="00160763"/>
    <w:rsid w:val="00160799"/>
    <w:rsid w:val="001607C4"/>
    <w:rsid w:val="00160892"/>
    <w:rsid w:val="001608B2"/>
    <w:rsid w:val="0016091C"/>
    <w:rsid w:val="001609DC"/>
    <w:rsid w:val="00160A0B"/>
    <w:rsid w:val="00160A35"/>
    <w:rsid w:val="00160A94"/>
    <w:rsid w:val="00160B31"/>
    <w:rsid w:val="00160B42"/>
    <w:rsid w:val="00160BBD"/>
    <w:rsid w:val="00160BD5"/>
    <w:rsid w:val="00160BF5"/>
    <w:rsid w:val="00160BFE"/>
    <w:rsid w:val="00160C62"/>
    <w:rsid w:val="00160CE9"/>
    <w:rsid w:val="00160D18"/>
    <w:rsid w:val="00160DFB"/>
    <w:rsid w:val="00160DFC"/>
    <w:rsid w:val="00160E0E"/>
    <w:rsid w:val="00160E32"/>
    <w:rsid w:val="00160E36"/>
    <w:rsid w:val="00160F96"/>
    <w:rsid w:val="00160FB4"/>
    <w:rsid w:val="00161004"/>
    <w:rsid w:val="00161016"/>
    <w:rsid w:val="00161082"/>
    <w:rsid w:val="001610AB"/>
    <w:rsid w:val="001610D1"/>
    <w:rsid w:val="001610FA"/>
    <w:rsid w:val="0016111E"/>
    <w:rsid w:val="0016113D"/>
    <w:rsid w:val="0016114B"/>
    <w:rsid w:val="0016119C"/>
    <w:rsid w:val="00161203"/>
    <w:rsid w:val="00161212"/>
    <w:rsid w:val="00161297"/>
    <w:rsid w:val="00161342"/>
    <w:rsid w:val="001613B9"/>
    <w:rsid w:val="00161463"/>
    <w:rsid w:val="001614FA"/>
    <w:rsid w:val="001615C9"/>
    <w:rsid w:val="001615F2"/>
    <w:rsid w:val="001615FB"/>
    <w:rsid w:val="001615FD"/>
    <w:rsid w:val="0016162C"/>
    <w:rsid w:val="00161640"/>
    <w:rsid w:val="00161684"/>
    <w:rsid w:val="001616CE"/>
    <w:rsid w:val="001616DF"/>
    <w:rsid w:val="001616FD"/>
    <w:rsid w:val="0016173D"/>
    <w:rsid w:val="0016174B"/>
    <w:rsid w:val="00161753"/>
    <w:rsid w:val="00161799"/>
    <w:rsid w:val="001617DA"/>
    <w:rsid w:val="00161838"/>
    <w:rsid w:val="0016184A"/>
    <w:rsid w:val="00161855"/>
    <w:rsid w:val="00161889"/>
    <w:rsid w:val="00161907"/>
    <w:rsid w:val="00161937"/>
    <w:rsid w:val="00161947"/>
    <w:rsid w:val="00161A4A"/>
    <w:rsid w:val="00161A62"/>
    <w:rsid w:val="00161A7E"/>
    <w:rsid w:val="00161A8F"/>
    <w:rsid w:val="00161AE5"/>
    <w:rsid w:val="00161B2D"/>
    <w:rsid w:val="00161B3C"/>
    <w:rsid w:val="00161B54"/>
    <w:rsid w:val="00161B79"/>
    <w:rsid w:val="00161B83"/>
    <w:rsid w:val="00161BC5"/>
    <w:rsid w:val="00161BD0"/>
    <w:rsid w:val="00161CE3"/>
    <w:rsid w:val="00161D21"/>
    <w:rsid w:val="00161D59"/>
    <w:rsid w:val="00161D6A"/>
    <w:rsid w:val="00161D93"/>
    <w:rsid w:val="00161DC2"/>
    <w:rsid w:val="00161DF8"/>
    <w:rsid w:val="00161E0D"/>
    <w:rsid w:val="00161EFE"/>
    <w:rsid w:val="00161F72"/>
    <w:rsid w:val="00161F7C"/>
    <w:rsid w:val="00161F7D"/>
    <w:rsid w:val="00161F85"/>
    <w:rsid w:val="00161F94"/>
    <w:rsid w:val="00161F96"/>
    <w:rsid w:val="00162012"/>
    <w:rsid w:val="00162018"/>
    <w:rsid w:val="0016203A"/>
    <w:rsid w:val="0016204B"/>
    <w:rsid w:val="00162083"/>
    <w:rsid w:val="00162096"/>
    <w:rsid w:val="0016209C"/>
    <w:rsid w:val="0016210B"/>
    <w:rsid w:val="001621B4"/>
    <w:rsid w:val="001623F6"/>
    <w:rsid w:val="001624AE"/>
    <w:rsid w:val="0016251D"/>
    <w:rsid w:val="00162553"/>
    <w:rsid w:val="001625BB"/>
    <w:rsid w:val="001625EC"/>
    <w:rsid w:val="00162613"/>
    <w:rsid w:val="0016265A"/>
    <w:rsid w:val="00162661"/>
    <w:rsid w:val="00162672"/>
    <w:rsid w:val="00162730"/>
    <w:rsid w:val="0016275A"/>
    <w:rsid w:val="0016277D"/>
    <w:rsid w:val="001628AE"/>
    <w:rsid w:val="001628CF"/>
    <w:rsid w:val="00162929"/>
    <w:rsid w:val="00162972"/>
    <w:rsid w:val="0016299E"/>
    <w:rsid w:val="00162A5C"/>
    <w:rsid w:val="00162A6E"/>
    <w:rsid w:val="00162A71"/>
    <w:rsid w:val="00162A97"/>
    <w:rsid w:val="00162AA1"/>
    <w:rsid w:val="00162ACE"/>
    <w:rsid w:val="00162AF4"/>
    <w:rsid w:val="00162B0A"/>
    <w:rsid w:val="00162B6F"/>
    <w:rsid w:val="00162B8F"/>
    <w:rsid w:val="00162BA0"/>
    <w:rsid w:val="00162BAF"/>
    <w:rsid w:val="00162BC9"/>
    <w:rsid w:val="00162C06"/>
    <w:rsid w:val="00162C61"/>
    <w:rsid w:val="00162D42"/>
    <w:rsid w:val="00162D63"/>
    <w:rsid w:val="00162D72"/>
    <w:rsid w:val="00162D7A"/>
    <w:rsid w:val="00162D93"/>
    <w:rsid w:val="00162DD0"/>
    <w:rsid w:val="00162DD4"/>
    <w:rsid w:val="00162E01"/>
    <w:rsid w:val="00162E7B"/>
    <w:rsid w:val="00162EC8"/>
    <w:rsid w:val="00162EE2"/>
    <w:rsid w:val="00162F49"/>
    <w:rsid w:val="00163037"/>
    <w:rsid w:val="00163050"/>
    <w:rsid w:val="00163075"/>
    <w:rsid w:val="001630E9"/>
    <w:rsid w:val="001630F5"/>
    <w:rsid w:val="00163189"/>
    <w:rsid w:val="00163190"/>
    <w:rsid w:val="0016319A"/>
    <w:rsid w:val="001631E0"/>
    <w:rsid w:val="00163224"/>
    <w:rsid w:val="0016326D"/>
    <w:rsid w:val="0016330D"/>
    <w:rsid w:val="00163377"/>
    <w:rsid w:val="0016343F"/>
    <w:rsid w:val="0016349E"/>
    <w:rsid w:val="001634A0"/>
    <w:rsid w:val="001634D6"/>
    <w:rsid w:val="001634ED"/>
    <w:rsid w:val="001635C3"/>
    <w:rsid w:val="0016362A"/>
    <w:rsid w:val="001636A1"/>
    <w:rsid w:val="001636C1"/>
    <w:rsid w:val="00163784"/>
    <w:rsid w:val="001637D4"/>
    <w:rsid w:val="001637E4"/>
    <w:rsid w:val="001637F7"/>
    <w:rsid w:val="00163849"/>
    <w:rsid w:val="00163972"/>
    <w:rsid w:val="001639B9"/>
    <w:rsid w:val="001639C7"/>
    <w:rsid w:val="001639DD"/>
    <w:rsid w:val="00163A15"/>
    <w:rsid w:val="00163A77"/>
    <w:rsid w:val="00163A93"/>
    <w:rsid w:val="00163A9E"/>
    <w:rsid w:val="00163BBB"/>
    <w:rsid w:val="00163BF1"/>
    <w:rsid w:val="00163CCA"/>
    <w:rsid w:val="00163D16"/>
    <w:rsid w:val="00163DC0"/>
    <w:rsid w:val="00163E16"/>
    <w:rsid w:val="00163E99"/>
    <w:rsid w:val="00163F21"/>
    <w:rsid w:val="00163F71"/>
    <w:rsid w:val="00163FB8"/>
    <w:rsid w:val="00163FC2"/>
    <w:rsid w:val="0016402A"/>
    <w:rsid w:val="0016405A"/>
    <w:rsid w:val="00164085"/>
    <w:rsid w:val="001640EA"/>
    <w:rsid w:val="0016413C"/>
    <w:rsid w:val="0016415E"/>
    <w:rsid w:val="001642A0"/>
    <w:rsid w:val="001642C8"/>
    <w:rsid w:val="00164381"/>
    <w:rsid w:val="001643ED"/>
    <w:rsid w:val="0016440E"/>
    <w:rsid w:val="00164431"/>
    <w:rsid w:val="0016446B"/>
    <w:rsid w:val="0016449B"/>
    <w:rsid w:val="001644D2"/>
    <w:rsid w:val="00164509"/>
    <w:rsid w:val="0016451D"/>
    <w:rsid w:val="00164574"/>
    <w:rsid w:val="001645AF"/>
    <w:rsid w:val="001645CE"/>
    <w:rsid w:val="001645E8"/>
    <w:rsid w:val="001646E8"/>
    <w:rsid w:val="00164705"/>
    <w:rsid w:val="0016479D"/>
    <w:rsid w:val="001647AD"/>
    <w:rsid w:val="00164803"/>
    <w:rsid w:val="00164858"/>
    <w:rsid w:val="00164860"/>
    <w:rsid w:val="0016489E"/>
    <w:rsid w:val="001648F1"/>
    <w:rsid w:val="00164A2E"/>
    <w:rsid w:val="00164A65"/>
    <w:rsid w:val="00164A68"/>
    <w:rsid w:val="00164AE7"/>
    <w:rsid w:val="00164B4C"/>
    <w:rsid w:val="00164B58"/>
    <w:rsid w:val="00164B6F"/>
    <w:rsid w:val="00164BA8"/>
    <w:rsid w:val="00164BC0"/>
    <w:rsid w:val="00164C0B"/>
    <w:rsid w:val="00164C5B"/>
    <w:rsid w:val="00164C5D"/>
    <w:rsid w:val="00164C7F"/>
    <w:rsid w:val="00164C95"/>
    <w:rsid w:val="00164CFE"/>
    <w:rsid w:val="00164D71"/>
    <w:rsid w:val="00164D86"/>
    <w:rsid w:val="00164DA3"/>
    <w:rsid w:val="00164E0B"/>
    <w:rsid w:val="00164E31"/>
    <w:rsid w:val="00164E74"/>
    <w:rsid w:val="00164F94"/>
    <w:rsid w:val="00164F98"/>
    <w:rsid w:val="00164FC6"/>
    <w:rsid w:val="00165002"/>
    <w:rsid w:val="00165018"/>
    <w:rsid w:val="00165047"/>
    <w:rsid w:val="00165081"/>
    <w:rsid w:val="00165157"/>
    <w:rsid w:val="001651B7"/>
    <w:rsid w:val="001651D4"/>
    <w:rsid w:val="00165245"/>
    <w:rsid w:val="00165269"/>
    <w:rsid w:val="00165307"/>
    <w:rsid w:val="00165335"/>
    <w:rsid w:val="0016538A"/>
    <w:rsid w:val="00165392"/>
    <w:rsid w:val="00165396"/>
    <w:rsid w:val="001653A8"/>
    <w:rsid w:val="001653D5"/>
    <w:rsid w:val="0016554A"/>
    <w:rsid w:val="001655C8"/>
    <w:rsid w:val="001655CD"/>
    <w:rsid w:val="001655FA"/>
    <w:rsid w:val="00165605"/>
    <w:rsid w:val="00165621"/>
    <w:rsid w:val="00165662"/>
    <w:rsid w:val="001656B8"/>
    <w:rsid w:val="001656D1"/>
    <w:rsid w:val="00165788"/>
    <w:rsid w:val="001657D8"/>
    <w:rsid w:val="001657E2"/>
    <w:rsid w:val="001659E7"/>
    <w:rsid w:val="00165A64"/>
    <w:rsid w:val="00165B17"/>
    <w:rsid w:val="00165D2F"/>
    <w:rsid w:val="00165E36"/>
    <w:rsid w:val="00165E68"/>
    <w:rsid w:val="00165E80"/>
    <w:rsid w:val="00165EE1"/>
    <w:rsid w:val="00165F1C"/>
    <w:rsid w:val="00165F83"/>
    <w:rsid w:val="00165F87"/>
    <w:rsid w:val="00165FC0"/>
    <w:rsid w:val="00166085"/>
    <w:rsid w:val="001660B6"/>
    <w:rsid w:val="00166276"/>
    <w:rsid w:val="001663B1"/>
    <w:rsid w:val="001663BB"/>
    <w:rsid w:val="001663F8"/>
    <w:rsid w:val="001663F9"/>
    <w:rsid w:val="00166437"/>
    <w:rsid w:val="001664B5"/>
    <w:rsid w:val="001664D2"/>
    <w:rsid w:val="00166560"/>
    <w:rsid w:val="00166573"/>
    <w:rsid w:val="00166585"/>
    <w:rsid w:val="0016670B"/>
    <w:rsid w:val="0016684F"/>
    <w:rsid w:val="001668A2"/>
    <w:rsid w:val="001669E8"/>
    <w:rsid w:val="00166A94"/>
    <w:rsid w:val="00166ADC"/>
    <w:rsid w:val="00166BD8"/>
    <w:rsid w:val="00166C85"/>
    <w:rsid w:val="00166C99"/>
    <w:rsid w:val="00166DB1"/>
    <w:rsid w:val="00166DE3"/>
    <w:rsid w:val="00166E6E"/>
    <w:rsid w:val="00166E70"/>
    <w:rsid w:val="00166E7D"/>
    <w:rsid w:val="00166E9F"/>
    <w:rsid w:val="00166F05"/>
    <w:rsid w:val="00166F25"/>
    <w:rsid w:val="001670D4"/>
    <w:rsid w:val="001670D7"/>
    <w:rsid w:val="00167146"/>
    <w:rsid w:val="0016719B"/>
    <w:rsid w:val="001671A7"/>
    <w:rsid w:val="001671BF"/>
    <w:rsid w:val="001671C1"/>
    <w:rsid w:val="001671C9"/>
    <w:rsid w:val="00167273"/>
    <w:rsid w:val="001672FE"/>
    <w:rsid w:val="0016730F"/>
    <w:rsid w:val="00167310"/>
    <w:rsid w:val="00167315"/>
    <w:rsid w:val="0016733B"/>
    <w:rsid w:val="001673DE"/>
    <w:rsid w:val="0016743C"/>
    <w:rsid w:val="00167442"/>
    <w:rsid w:val="0016748B"/>
    <w:rsid w:val="001674D9"/>
    <w:rsid w:val="00167526"/>
    <w:rsid w:val="0016756D"/>
    <w:rsid w:val="00167687"/>
    <w:rsid w:val="001676A8"/>
    <w:rsid w:val="001676E5"/>
    <w:rsid w:val="00167711"/>
    <w:rsid w:val="00167714"/>
    <w:rsid w:val="00167716"/>
    <w:rsid w:val="00167722"/>
    <w:rsid w:val="00167769"/>
    <w:rsid w:val="00167793"/>
    <w:rsid w:val="001677B0"/>
    <w:rsid w:val="001677F4"/>
    <w:rsid w:val="00167805"/>
    <w:rsid w:val="0016782A"/>
    <w:rsid w:val="00167889"/>
    <w:rsid w:val="00167911"/>
    <w:rsid w:val="0016793D"/>
    <w:rsid w:val="0016795D"/>
    <w:rsid w:val="0016797D"/>
    <w:rsid w:val="00167A79"/>
    <w:rsid w:val="00167AB9"/>
    <w:rsid w:val="00167B1A"/>
    <w:rsid w:val="00167B37"/>
    <w:rsid w:val="00167BA8"/>
    <w:rsid w:val="00167BCF"/>
    <w:rsid w:val="00167BEA"/>
    <w:rsid w:val="00167C62"/>
    <w:rsid w:val="00167C8C"/>
    <w:rsid w:val="00167C95"/>
    <w:rsid w:val="00167C9C"/>
    <w:rsid w:val="00167D12"/>
    <w:rsid w:val="00167D61"/>
    <w:rsid w:val="00167D6C"/>
    <w:rsid w:val="00167E24"/>
    <w:rsid w:val="00167ECE"/>
    <w:rsid w:val="00170003"/>
    <w:rsid w:val="00170061"/>
    <w:rsid w:val="00170077"/>
    <w:rsid w:val="001700C9"/>
    <w:rsid w:val="001700F9"/>
    <w:rsid w:val="00170164"/>
    <w:rsid w:val="001701C2"/>
    <w:rsid w:val="001701CE"/>
    <w:rsid w:val="0017020C"/>
    <w:rsid w:val="00170215"/>
    <w:rsid w:val="00170237"/>
    <w:rsid w:val="001702A5"/>
    <w:rsid w:val="0017032D"/>
    <w:rsid w:val="0017046E"/>
    <w:rsid w:val="001704C7"/>
    <w:rsid w:val="0017050E"/>
    <w:rsid w:val="0017054B"/>
    <w:rsid w:val="001705AF"/>
    <w:rsid w:val="001705FF"/>
    <w:rsid w:val="0017066F"/>
    <w:rsid w:val="00170798"/>
    <w:rsid w:val="0017092D"/>
    <w:rsid w:val="00170932"/>
    <w:rsid w:val="00170967"/>
    <w:rsid w:val="001709C3"/>
    <w:rsid w:val="00170A07"/>
    <w:rsid w:val="00170A9E"/>
    <w:rsid w:val="00170AED"/>
    <w:rsid w:val="00170B39"/>
    <w:rsid w:val="00170B7F"/>
    <w:rsid w:val="00170BAB"/>
    <w:rsid w:val="00170BCD"/>
    <w:rsid w:val="00170C70"/>
    <w:rsid w:val="00170C94"/>
    <w:rsid w:val="00170CA8"/>
    <w:rsid w:val="00170D32"/>
    <w:rsid w:val="00170DE7"/>
    <w:rsid w:val="00170E25"/>
    <w:rsid w:val="00170E32"/>
    <w:rsid w:val="00170E46"/>
    <w:rsid w:val="00170E7D"/>
    <w:rsid w:val="00170EBF"/>
    <w:rsid w:val="00170F67"/>
    <w:rsid w:val="0017100F"/>
    <w:rsid w:val="0017108D"/>
    <w:rsid w:val="001710A2"/>
    <w:rsid w:val="001710D2"/>
    <w:rsid w:val="001710FF"/>
    <w:rsid w:val="0017111E"/>
    <w:rsid w:val="001711B4"/>
    <w:rsid w:val="0017124D"/>
    <w:rsid w:val="00171252"/>
    <w:rsid w:val="0017128C"/>
    <w:rsid w:val="001712BF"/>
    <w:rsid w:val="00171357"/>
    <w:rsid w:val="0017139E"/>
    <w:rsid w:val="001713B2"/>
    <w:rsid w:val="001713C5"/>
    <w:rsid w:val="001713D1"/>
    <w:rsid w:val="001713D9"/>
    <w:rsid w:val="00171449"/>
    <w:rsid w:val="00171476"/>
    <w:rsid w:val="001714DF"/>
    <w:rsid w:val="00171535"/>
    <w:rsid w:val="001715C8"/>
    <w:rsid w:val="0017164B"/>
    <w:rsid w:val="00171657"/>
    <w:rsid w:val="001716D1"/>
    <w:rsid w:val="00171784"/>
    <w:rsid w:val="001717C0"/>
    <w:rsid w:val="001717C3"/>
    <w:rsid w:val="001717DD"/>
    <w:rsid w:val="001717DF"/>
    <w:rsid w:val="00171806"/>
    <w:rsid w:val="0017186D"/>
    <w:rsid w:val="0017187E"/>
    <w:rsid w:val="00171886"/>
    <w:rsid w:val="00171992"/>
    <w:rsid w:val="001719A4"/>
    <w:rsid w:val="001719CA"/>
    <w:rsid w:val="001719E4"/>
    <w:rsid w:val="00171B17"/>
    <w:rsid w:val="00171B48"/>
    <w:rsid w:val="00171B74"/>
    <w:rsid w:val="00171BA0"/>
    <w:rsid w:val="00171BCE"/>
    <w:rsid w:val="00171CB4"/>
    <w:rsid w:val="00171CDE"/>
    <w:rsid w:val="00171CF5"/>
    <w:rsid w:val="00171D65"/>
    <w:rsid w:val="00171D88"/>
    <w:rsid w:val="00171D89"/>
    <w:rsid w:val="00171E11"/>
    <w:rsid w:val="00171E62"/>
    <w:rsid w:val="00171E76"/>
    <w:rsid w:val="00171EF1"/>
    <w:rsid w:val="00171F69"/>
    <w:rsid w:val="00171F77"/>
    <w:rsid w:val="00171F92"/>
    <w:rsid w:val="00171FCF"/>
    <w:rsid w:val="00172017"/>
    <w:rsid w:val="0017206C"/>
    <w:rsid w:val="00172120"/>
    <w:rsid w:val="00172130"/>
    <w:rsid w:val="00172159"/>
    <w:rsid w:val="00172188"/>
    <w:rsid w:val="00172228"/>
    <w:rsid w:val="0017223F"/>
    <w:rsid w:val="00172253"/>
    <w:rsid w:val="00172265"/>
    <w:rsid w:val="0017227E"/>
    <w:rsid w:val="00172307"/>
    <w:rsid w:val="00172375"/>
    <w:rsid w:val="00172396"/>
    <w:rsid w:val="00172407"/>
    <w:rsid w:val="0017242D"/>
    <w:rsid w:val="00172444"/>
    <w:rsid w:val="00172480"/>
    <w:rsid w:val="001724AB"/>
    <w:rsid w:val="001724C9"/>
    <w:rsid w:val="00172536"/>
    <w:rsid w:val="00172554"/>
    <w:rsid w:val="0017262D"/>
    <w:rsid w:val="001726F5"/>
    <w:rsid w:val="0017273F"/>
    <w:rsid w:val="00172780"/>
    <w:rsid w:val="001727D8"/>
    <w:rsid w:val="0017282B"/>
    <w:rsid w:val="001728C2"/>
    <w:rsid w:val="001728C3"/>
    <w:rsid w:val="00172920"/>
    <w:rsid w:val="00172944"/>
    <w:rsid w:val="001729AC"/>
    <w:rsid w:val="00172A55"/>
    <w:rsid w:val="00172AAA"/>
    <w:rsid w:val="00172AD2"/>
    <w:rsid w:val="00172B67"/>
    <w:rsid w:val="00172BBA"/>
    <w:rsid w:val="00172C94"/>
    <w:rsid w:val="00172CAB"/>
    <w:rsid w:val="00172DC8"/>
    <w:rsid w:val="00172DCB"/>
    <w:rsid w:val="00172DD3"/>
    <w:rsid w:val="00172E73"/>
    <w:rsid w:val="00172EBB"/>
    <w:rsid w:val="00172EE7"/>
    <w:rsid w:val="00172EE8"/>
    <w:rsid w:val="00172F2E"/>
    <w:rsid w:val="00172FF5"/>
    <w:rsid w:val="00173047"/>
    <w:rsid w:val="00173060"/>
    <w:rsid w:val="0017307E"/>
    <w:rsid w:val="001730D2"/>
    <w:rsid w:val="001730F2"/>
    <w:rsid w:val="00173182"/>
    <w:rsid w:val="001731CE"/>
    <w:rsid w:val="001732D2"/>
    <w:rsid w:val="00173317"/>
    <w:rsid w:val="0017337F"/>
    <w:rsid w:val="0017338D"/>
    <w:rsid w:val="001733FA"/>
    <w:rsid w:val="00173491"/>
    <w:rsid w:val="001734CC"/>
    <w:rsid w:val="001734EB"/>
    <w:rsid w:val="00173534"/>
    <w:rsid w:val="00173542"/>
    <w:rsid w:val="00173582"/>
    <w:rsid w:val="00173590"/>
    <w:rsid w:val="001735C1"/>
    <w:rsid w:val="0017369A"/>
    <w:rsid w:val="001736A3"/>
    <w:rsid w:val="001736B8"/>
    <w:rsid w:val="001736D9"/>
    <w:rsid w:val="0017371F"/>
    <w:rsid w:val="00173747"/>
    <w:rsid w:val="0017389D"/>
    <w:rsid w:val="001738C2"/>
    <w:rsid w:val="001738C3"/>
    <w:rsid w:val="0017394C"/>
    <w:rsid w:val="0017397C"/>
    <w:rsid w:val="00173A37"/>
    <w:rsid w:val="00173A5F"/>
    <w:rsid w:val="00173B07"/>
    <w:rsid w:val="00173B21"/>
    <w:rsid w:val="00173B5B"/>
    <w:rsid w:val="00173BF7"/>
    <w:rsid w:val="00173C28"/>
    <w:rsid w:val="00173C3E"/>
    <w:rsid w:val="00173C88"/>
    <w:rsid w:val="00173CA2"/>
    <w:rsid w:val="00173CCA"/>
    <w:rsid w:val="00173DF2"/>
    <w:rsid w:val="00173E04"/>
    <w:rsid w:val="00173E0C"/>
    <w:rsid w:val="00173E2F"/>
    <w:rsid w:val="00173EAA"/>
    <w:rsid w:val="00173EE4"/>
    <w:rsid w:val="00173EE9"/>
    <w:rsid w:val="00173F41"/>
    <w:rsid w:val="00173F7E"/>
    <w:rsid w:val="00174036"/>
    <w:rsid w:val="00174080"/>
    <w:rsid w:val="00174094"/>
    <w:rsid w:val="001741BE"/>
    <w:rsid w:val="00174253"/>
    <w:rsid w:val="0017428D"/>
    <w:rsid w:val="001742E2"/>
    <w:rsid w:val="001742E8"/>
    <w:rsid w:val="001743A6"/>
    <w:rsid w:val="001743A8"/>
    <w:rsid w:val="001743B7"/>
    <w:rsid w:val="001743D9"/>
    <w:rsid w:val="001743E1"/>
    <w:rsid w:val="00174547"/>
    <w:rsid w:val="0017456D"/>
    <w:rsid w:val="00174587"/>
    <w:rsid w:val="001745B7"/>
    <w:rsid w:val="001745C7"/>
    <w:rsid w:val="00174608"/>
    <w:rsid w:val="00174616"/>
    <w:rsid w:val="00174621"/>
    <w:rsid w:val="00174638"/>
    <w:rsid w:val="00174652"/>
    <w:rsid w:val="001746CD"/>
    <w:rsid w:val="00174735"/>
    <w:rsid w:val="00174741"/>
    <w:rsid w:val="001747D1"/>
    <w:rsid w:val="0017482F"/>
    <w:rsid w:val="00174848"/>
    <w:rsid w:val="001748AA"/>
    <w:rsid w:val="001748F0"/>
    <w:rsid w:val="00174911"/>
    <w:rsid w:val="0017491C"/>
    <w:rsid w:val="00174930"/>
    <w:rsid w:val="00174956"/>
    <w:rsid w:val="00174972"/>
    <w:rsid w:val="00174A2F"/>
    <w:rsid w:val="00174A35"/>
    <w:rsid w:val="00174A8E"/>
    <w:rsid w:val="00174AB0"/>
    <w:rsid w:val="00174AC6"/>
    <w:rsid w:val="00174ADE"/>
    <w:rsid w:val="00174B05"/>
    <w:rsid w:val="00174B62"/>
    <w:rsid w:val="00174CC8"/>
    <w:rsid w:val="00174D2D"/>
    <w:rsid w:val="00174D74"/>
    <w:rsid w:val="00174D8A"/>
    <w:rsid w:val="00174E3B"/>
    <w:rsid w:val="00174E42"/>
    <w:rsid w:val="00174EAD"/>
    <w:rsid w:val="00174EFC"/>
    <w:rsid w:val="00174F03"/>
    <w:rsid w:val="00174F68"/>
    <w:rsid w:val="00175027"/>
    <w:rsid w:val="00175030"/>
    <w:rsid w:val="00175038"/>
    <w:rsid w:val="0017504B"/>
    <w:rsid w:val="00175174"/>
    <w:rsid w:val="001751D3"/>
    <w:rsid w:val="00175243"/>
    <w:rsid w:val="001752DF"/>
    <w:rsid w:val="001752E1"/>
    <w:rsid w:val="001752F8"/>
    <w:rsid w:val="00175360"/>
    <w:rsid w:val="00175362"/>
    <w:rsid w:val="00175451"/>
    <w:rsid w:val="00175463"/>
    <w:rsid w:val="0017546D"/>
    <w:rsid w:val="00175644"/>
    <w:rsid w:val="0017567E"/>
    <w:rsid w:val="001756DB"/>
    <w:rsid w:val="00175706"/>
    <w:rsid w:val="00175775"/>
    <w:rsid w:val="001757D8"/>
    <w:rsid w:val="001758D6"/>
    <w:rsid w:val="0017596F"/>
    <w:rsid w:val="0017597D"/>
    <w:rsid w:val="001759E6"/>
    <w:rsid w:val="00175A5E"/>
    <w:rsid w:val="00175A6B"/>
    <w:rsid w:val="00175AB2"/>
    <w:rsid w:val="00175B28"/>
    <w:rsid w:val="00175B34"/>
    <w:rsid w:val="00175C28"/>
    <w:rsid w:val="00175C48"/>
    <w:rsid w:val="00175C78"/>
    <w:rsid w:val="00175CF2"/>
    <w:rsid w:val="00175CFC"/>
    <w:rsid w:val="00175DFD"/>
    <w:rsid w:val="00175EA7"/>
    <w:rsid w:val="001760A6"/>
    <w:rsid w:val="001760D6"/>
    <w:rsid w:val="00176166"/>
    <w:rsid w:val="001761D7"/>
    <w:rsid w:val="00176245"/>
    <w:rsid w:val="0017628B"/>
    <w:rsid w:val="0017630D"/>
    <w:rsid w:val="00176558"/>
    <w:rsid w:val="001765CC"/>
    <w:rsid w:val="001765E8"/>
    <w:rsid w:val="00176627"/>
    <w:rsid w:val="001766AF"/>
    <w:rsid w:val="001766EA"/>
    <w:rsid w:val="0017672C"/>
    <w:rsid w:val="00176746"/>
    <w:rsid w:val="0017677A"/>
    <w:rsid w:val="001767AA"/>
    <w:rsid w:val="001767F2"/>
    <w:rsid w:val="00176809"/>
    <w:rsid w:val="00176831"/>
    <w:rsid w:val="0017683D"/>
    <w:rsid w:val="0017684B"/>
    <w:rsid w:val="0017685C"/>
    <w:rsid w:val="0017685D"/>
    <w:rsid w:val="00176888"/>
    <w:rsid w:val="0017693A"/>
    <w:rsid w:val="00176941"/>
    <w:rsid w:val="00176945"/>
    <w:rsid w:val="0017696E"/>
    <w:rsid w:val="00176972"/>
    <w:rsid w:val="00176977"/>
    <w:rsid w:val="0017697D"/>
    <w:rsid w:val="0017698E"/>
    <w:rsid w:val="001769F0"/>
    <w:rsid w:val="00176BA7"/>
    <w:rsid w:val="00176BB4"/>
    <w:rsid w:val="00176BCF"/>
    <w:rsid w:val="00176BE8"/>
    <w:rsid w:val="00176C87"/>
    <w:rsid w:val="00176C8B"/>
    <w:rsid w:val="00176CED"/>
    <w:rsid w:val="00176D3E"/>
    <w:rsid w:val="00176DDD"/>
    <w:rsid w:val="00176E7B"/>
    <w:rsid w:val="00176EE0"/>
    <w:rsid w:val="00176F39"/>
    <w:rsid w:val="00176F76"/>
    <w:rsid w:val="00176F77"/>
    <w:rsid w:val="00176FC2"/>
    <w:rsid w:val="00176FDA"/>
    <w:rsid w:val="0017706D"/>
    <w:rsid w:val="00177094"/>
    <w:rsid w:val="00177099"/>
    <w:rsid w:val="001770F6"/>
    <w:rsid w:val="0017713F"/>
    <w:rsid w:val="00177175"/>
    <w:rsid w:val="0017718D"/>
    <w:rsid w:val="00177213"/>
    <w:rsid w:val="001772CC"/>
    <w:rsid w:val="00177365"/>
    <w:rsid w:val="0017736F"/>
    <w:rsid w:val="0017738F"/>
    <w:rsid w:val="001773A0"/>
    <w:rsid w:val="001773CB"/>
    <w:rsid w:val="001773D1"/>
    <w:rsid w:val="001773E6"/>
    <w:rsid w:val="001773FC"/>
    <w:rsid w:val="00177456"/>
    <w:rsid w:val="00177497"/>
    <w:rsid w:val="00177560"/>
    <w:rsid w:val="0017764C"/>
    <w:rsid w:val="001776CD"/>
    <w:rsid w:val="001776FB"/>
    <w:rsid w:val="00177702"/>
    <w:rsid w:val="00177730"/>
    <w:rsid w:val="00177737"/>
    <w:rsid w:val="001777B4"/>
    <w:rsid w:val="001777C1"/>
    <w:rsid w:val="00177802"/>
    <w:rsid w:val="00177830"/>
    <w:rsid w:val="00177840"/>
    <w:rsid w:val="0017784A"/>
    <w:rsid w:val="001778BB"/>
    <w:rsid w:val="00177952"/>
    <w:rsid w:val="0017795F"/>
    <w:rsid w:val="00177A4B"/>
    <w:rsid w:val="00177A96"/>
    <w:rsid w:val="00177ACC"/>
    <w:rsid w:val="00177B34"/>
    <w:rsid w:val="00177B42"/>
    <w:rsid w:val="00177CB6"/>
    <w:rsid w:val="00177CD9"/>
    <w:rsid w:val="00177D2E"/>
    <w:rsid w:val="00177D65"/>
    <w:rsid w:val="00177D77"/>
    <w:rsid w:val="00177E05"/>
    <w:rsid w:val="00177E4B"/>
    <w:rsid w:val="00177E4E"/>
    <w:rsid w:val="00177E6C"/>
    <w:rsid w:val="00177EDF"/>
    <w:rsid w:val="00177F5F"/>
    <w:rsid w:val="00177F7F"/>
    <w:rsid w:val="00180021"/>
    <w:rsid w:val="001800D5"/>
    <w:rsid w:val="001800D8"/>
    <w:rsid w:val="001801C8"/>
    <w:rsid w:val="00180207"/>
    <w:rsid w:val="0018022A"/>
    <w:rsid w:val="00180411"/>
    <w:rsid w:val="0018044E"/>
    <w:rsid w:val="0018045F"/>
    <w:rsid w:val="00180461"/>
    <w:rsid w:val="0018049C"/>
    <w:rsid w:val="001804BE"/>
    <w:rsid w:val="00180506"/>
    <w:rsid w:val="00180544"/>
    <w:rsid w:val="0018054F"/>
    <w:rsid w:val="00180564"/>
    <w:rsid w:val="00180589"/>
    <w:rsid w:val="001805AD"/>
    <w:rsid w:val="001805C9"/>
    <w:rsid w:val="001805F8"/>
    <w:rsid w:val="0018062A"/>
    <w:rsid w:val="001806AB"/>
    <w:rsid w:val="001806F1"/>
    <w:rsid w:val="0018070B"/>
    <w:rsid w:val="00180745"/>
    <w:rsid w:val="00180767"/>
    <w:rsid w:val="00180771"/>
    <w:rsid w:val="001807CB"/>
    <w:rsid w:val="001808A4"/>
    <w:rsid w:val="001808E9"/>
    <w:rsid w:val="0018090B"/>
    <w:rsid w:val="0018091A"/>
    <w:rsid w:val="00180969"/>
    <w:rsid w:val="0018099F"/>
    <w:rsid w:val="001809D0"/>
    <w:rsid w:val="001809FF"/>
    <w:rsid w:val="00180A53"/>
    <w:rsid w:val="00180A70"/>
    <w:rsid w:val="00180AA7"/>
    <w:rsid w:val="00180ABC"/>
    <w:rsid w:val="00180AD9"/>
    <w:rsid w:val="00180ADA"/>
    <w:rsid w:val="00180AF0"/>
    <w:rsid w:val="00180AF5"/>
    <w:rsid w:val="00180C57"/>
    <w:rsid w:val="00180D11"/>
    <w:rsid w:val="00180D48"/>
    <w:rsid w:val="00180DF4"/>
    <w:rsid w:val="00180FCC"/>
    <w:rsid w:val="00180FDA"/>
    <w:rsid w:val="00181004"/>
    <w:rsid w:val="00181018"/>
    <w:rsid w:val="00181090"/>
    <w:rsid w:val="00181157"/>
    <w:rsid w:val="0018116C"/>
    <w:rsid w:val="00181179"/>
    <w:rsid w:val="001811BA"/>
    <w:rsid w:val="001811EA"/>
    <w:rsid w:val="0018129E"/>
    <w:rsid w:val="001812B2"/>
    <w:rsid w:val="0018132F"/>
    <w:rsid w:val="001813A0"/>
    <w:rsid w:val="00181434"/>
    <w:rsid w:val="00181526"/>
    <w:rsid w:val="001815A0"/>
    <w:rsid w:val="001815AA"/>
    <w:rsid w:val="00181619"/>
    <w:rsid w:val="001816A7"/>
    <w:rsid w:val="0018170F"/>
    <w:rsid w:val="00181843"/>
    <w:rsid w:val="0018187F"/>
    <w:rsid w:val="0018191C"/>
    <w:rsid w:val="00181968"/>
    <w:rsid w:val="00181A04"/>
    <w:rsid w:val="00181A78"/>
    <w:rsid w:val="00181B22"/>
    <w:rsid w:val="00181C72"/>
    <w:rsid w:val="00181CAB"/>
    <w:rsid w:val="00181CFF"/>
    <w:rsid w:val="00181D0A"/>
    <w:rsid w:val="00181D0E"/>
    <w:rsid w:val="00181DDB"/>
    <w:rsid w:val="00181E1D"/>
    <w:rsid w:val="00181EF8"/>
    <w:rsid w:val="00181EFE"/>
    <w:rsid w:val="00181F44"/>
    <w:rsid w:val="00181F6E"/>
    <w:rsid w:val="00181F80"/>
    <w:rsid w:val="00182034"/>
    <w:rsid w:val="001820C7"/>
    <w:rsid w:val="001820D3"/>
    <w:rsid w:val="001820EA"/>
    <w:rsid w:val="00182177"/>
    <w:rsid w:val="0018217A"/>
    <w:rsid w:val="0018218C"/>
    <w:rsid w:val="0018221F"/>
    <w:rsid w:val="00182247"/>
    <w:rsid w:val="001822F9"/>
    <w:rsid w:val="00182335"/>
    <w:rsid w:val="001823F6"/>
    <w:rsid w:val="001823FA"/>
    <w:rsid w:val="00182418"/>
    <w:rsid w:val="0018241A"/>
    <w:rsid w:val="00182429"/>
    <w:rsid w:val="0018242F"/>
    <w:rsid w:val="00182451"/>
    <w:rsid w:val="0018248D"/>
    <w:rsid w:val="001824B7"/>
    <w:rsid w:val="00182503"/>
    <w:rsid w:val="00182574"/>
    <w:rsid w:val="001826D9"/>
    <w:rsid w:val="00182710"/>
    <w:rsid w:val="0018279D"/>
    <w:rsid w:val="00182822"/>
    <w:rsid w:val="00182954"/>
    <w:rsid w:val="00182A14"/>
    <w:rsid w:val="00182A22"/>
    <w:rsid w:val="00182ACA"/>
    <w:rsid w:val="00182B10"/>
    <w:rsid w:val="00182B3E"/>
    <w:rsid w:val="00182B45"/>
    <w:rsid w:val="00182B58"/>
    <w:rsid w:val="00182BC5"/>
    <w:rsid w:val="00182C49"/>
    <w:rsid w:val="00182C83"/>
    <w:rsid w:val="00182CC8"/>
    <w:rsid w:val="00182D55"/>
    <w:rsid w:val="00182D86"/>
    <w:rsid w:val="00182DB9"/>
    <w:rsid w:val="00182E1A"/>
    <w:rsid w:val="00182E7D"/>
    <w:rsid w:val="00182E86"/>
    <w:rsid w:val="00182EC5"/>
    <w:rsid w:val="00182ED0"/>
    <w:rsid w:val="00182F0D"/>
    <w:rsid w:val="00182F74"/>
    <w:rsid w:val="00183016"/>
    <w:rsid w:val="00183023"/>
    <w:rsid w:val="00183038"/>
    <w:rsid w:val="00183056"/>
    <w:rsid w:val="001830D9"/>
    <w:rsid w:val="0018313A"/>
    <w:rsid w:val="00183194"/>
    <w:rsid w:val="001831EB"/>
    <w:rsid w:val="00183222"/>
    <w:rsid w:val="0018323A"/>
    <w:rsid w:val="00183268"/>
    <w:rsid w:val="0018330F"/>
    <w:rsid w:val="001833C8"/>
    <w:rsid w:val="0018344E"/>
    <w:rsid w:val="001834C1"/>
    <w:rsid w:val="001835A3"/>
    <w:rsid w:val="001835A7"/>
    <w:rsid w:val="001835D5"/>
    <w:rsid w:val="0018363E"/>
    <w:rsid w:val="001836E0"/>
    <w:rsid w:val="0018373F"/>
    <w:rsid w:val="00183764"/>
    <w:rsid w:val="0018376D"/>
    <w:rsid w:val="001837D9"/>
    <w:rsid w:val="00183856"/>
    <w:rsid w:val="0018386E"/>
    <w:rsid w:val="0018387A"/>
    <w:rsid w:val="00183935"/>
    <w:rsid w:val="00183984"/>
    <w:rsid w:val="0018398E"/>
    <w:rsid w:val="00183A14"/>
    <w:rsid w:val="00183A17"/>
    <w:rsid w:val="00183A2A"/>
    <w:rsid w:val="00183A39"/>
    <w:rsid w:val="00183B07"/>
    <w:rsid w:val="00183B5C"/>
    <w:rsid w:val="00183B80"/>
    <w:rsid w:val="00183B86"/>
    <w:rsid w:val="00183BED"/>
    <w:rsid w:val="00183C53"/>
    <w:rsid w:val="00183D2A"/>
    <w:rsid w:val="00183D6E"/>
    <w:rsid w:val="00183E20"/>
    <w:rsid w:val="00183E22"/>
    <w:rsid w:val="00183E56"/>
    <w:rsid w:val="00183E8A"/>
    <w:rsid w:val="00183EC8"/>
    <w:rsid w:val="00183FB4"/>
    <w:rsid w:val="00184006"/>
    <w:rsid w:val="0018417C"/>
    <w:rsid w:val="001841B0"/>
    <w:rsid w:val="00184206"/>
    <w:rsid w:val="00184230"/>
    <w:rsid w:val="0018427C"/>
    <w:rsid w:val="001842BF"/>
    <w:rsid w:val="001842C3"/>
    <w:rsid w:val="001843B7"/>
    <w:rsid w:val="001843DF"/>
    <w:rsid w:val="001843E2"/>
    <w:rsid w:val="00184526"/>
    <w:rsid w:val="00184558"/>
    <w:rsid w:val="00184569"/>
    <w:rsid w:val="00184582"/>
    <w:rsid w:val="00184590"/>
    <w:rsid w:val="00184637"/>
    <w:rsid w:val="0018466D"/>
    <w:rsid w:val="001846A1"/>
    <w:rsid w:val="001846C5"/>
    <w:rsid w:val="0018476F"/>
    <w:rsid w:val="0018478D"/>
    <w:rsid w:val="0018480B"/>
    <w:rsid w:val="00184836"/>
    <w:rsid w:val="0018488C"/>
    <w:rsid w:val="0018494C"/>
    <w:rsid w:val="0018496E"/>
    <w:rsid w:val="00184989"/>
    <w:rsid w:val="0018499E"/>
    <w:rsid w:val="001849C3"/>
    <w:rsid w:val="00184AE7"/>
    <w:rsid w:val="00184B1A"/>
    <w:rsid w:val="00184C07"/>
    <w:rsid w:val="00184C1E"/>
    <w:rsid w:val="00184C4E"/>
    <w:rsid w:val="00184C93"/>
    <w:rsid w:val="00184C9D"/>
    <w:rsid w:val="00184CB3"/>
    <w:rsid w:val="00184CDA"/>
    <w:rsid w:val="00184DA3"/>
    <w:rsid w:val="00184DC9"/>
    <w:rsid w:val="00184DD3"/>
    <w:rsid w:val="00184EB7"/>
    <w:rsid w:val="00184EBB"/>
    <w:rsid w:val="00184F70"/>
    <w:rsid w:val="00184FF8"/>
    <w:rsid w:val="00185017"/>
    <w:rsid w:val="00185061"/>
    <w:rsid w:val="001850B5"/>
    <w:rsid w:val="001850D1"/>
    <w:rsid w:val="00185182"/>
    <w:rsid w:val="001852BC"/>
    <w:rsid w:val="001852CD"/>
    <w:rsid w:val="0018539A"/>
    <w:rsid w:val="001853A7"/>
    <w:rsid w:val="001853B8"/>
    <w:rsid w:val="0018544E"/>
    <w:rsid w:val="001854DF"/>
    <w:rsid w:val="001854F8"/>
    <w:rsid w:val="00185550"/>
    <w:rsid w:val="00185562"/>
    <w:rsid w:val="001855B6"/>
    <w:rsid w:val="001855BB"/>
    <w:rsid w:val="0018569F"/>
    <w:rsid w:val="001856CA"/>
    <w:rsid w:val="001856FF"/>
    <w:rsid w:val="0018570E"/>
    <w:rsid w:val="00185730"/>
    <w:rsid w:val="001857F4"/>
    <w:rsid w:val="001857FE"/>
    <w:rsid w:val="0018586A"/>
    <w:rsid w:val="001858FD"/>
    <w:rsid w:val="0018590E"/>
    <w:rsid w:val="00185AA1"/>
    <w:rsid w:val="00185B78"/>
    <w:rsid w:val="00185C6C"/>
    <w:rsid w:val="00185C71"/>
    <w:rsid w:val="00185CE2"/>
    <w:rsid w:val="00185D22"/>
    <w:rsid w:val="00185D7F"/>
    <w:rsid w:val="00185D85"/>
    <w:rsid w:val="00185E02"/>
    <w:rsid w:val="00185EA9"/>
    <w:rsid w:val="00185EDA"/>
    <w:rsid w:val="00185EFF"/>
    <w:rsid w:val="00185F34"/>
    <w:rsid w:val="001860EE"/>
    <w:rsid w:val="00186217"/>
    <w:rsid w:val="0018627C"/>
    <w:rsid w:val="00186295"/>
    <w:rsid w:val="00186302"/>
    <w:rsid w:val="00186393"/>
    <w:rsid w:val="0018639A"/>
    <w:rsid w:val="00186464"/>
    <w:rsid w:val="0018646C"/>
    <w:rsid w:val="00186481"/>
    <w:rsid w:val="00186498"/>
    <w:rsid w:val="001865F7"/>
    <w:rsid w:val="0018661E"/>
    <w:rsid w:val="0018662A"/>
    <w:rsid w:val="001866B4"/>
    <w:rsid w:val="001866BD"/>
    <w:rsid w:val="001866D1"/>
    <w:rsid w:val="001866D2"/>
    <w:rsid w:val="001866F7"/>
    <w:rsid w:val="00186729"/>
    <w:rsid w:val="00186769"/>
    <w:rsid w:val="0018679D"/>
    <w:rsid w:val="001867CC"/>
    <w:rsid w:val="0018683C"/>
    <w:rsid w:val="001868D3"/>
    <w:rsid w:val="00186947"/>
    <w:rsid w:val="001869B1"/>
    <w:rsid w:val="00186A2B"/>
    <w:rsid w:val="00186AEA"/>
    <w:rsid w:val="00186B67"/>
    <w:rsid w:val="00186C11"/>
    <w:rsid w:val="00186C53"/>
    <w:rsid w:val="00186C95"/>
    <w:rsid w:val="00186D0F"/>
    <w:rsid w:val="00186D38"/>
    <w:rsid w:val="00186D87"/>
    <w:rsid w:val="00186D89"/>
    <w:rsid w:val="00186DB4"/>
    <w:rsid w:val="00186DDE"/>
    <w:rsid w:val="00186DFF"/>
    <w:rsid w:val="00186E00"/>
    <w:rsid w:val="00186EFD"/>
    <w:rsid w:val="00186F08"/>
    <w:rsid w:val="00186F49"/>
    <w:rsid w:val="0018705E"/>
    <w:rsid w:val="001870D7"/>
    <w:rsid w:val="00187109"/>
    <w:rsid w:val="00187148"/>
    <w:rsid w:val="0018715E"/>
    <w:rsid w:val="00187180"/>
    <w:rsid w:val="00187190"/>
    <w:rsid w:val="001871C4"/>
    <w:rsid w:val="001871D6"/>
    <w:rsid w:val="00187206"/>
    <w:rsid w:val="00187222"/>
    <w:rsid w:val="00187240"/>
    <w:rsid w:val="0018724A"/>
    <w:rsid w:val="0018725E"/>
    <w:rsid w:val="0018729D"/>
    <w:rsid w:val="001872FE"/>
    <w:rsid w:val="00187326"/>
    <w:rsid w:val="00187327"/>
    <w:rsid w:val="00187354"/>
    <w:rsid w:val="00187391"/>
    <w:rsid w:val="00187419"/>
    <w:rsid w:val="00187423"/>
    <w:rsid w:val="0018742E"/>
    <w:rsid w:val="0018749E"/>
    <w:rsid w:val="001874A0"/>
    <w:rsid w:val="001874F8"/>
    <w:rsid w:val="001874FA"/>
    <w:rsid w:val="00187520"/>
    <w:rsid w:val="0018757E"/>
    <w:rsid w:val="00187587"/>
    <w:rsid w:val="001875F0"/>
    <w:rsid w:val="001876B2"/>
    <w:rsid w:val="0018770E"/>
    <w:rsid w:val="0018775D"/>
    <w:rsid w:val="001877C3"/>
    <w:rsid w:val="001877D9"/>
    <w:rsid w:val="0018781C"/>
    <w:rsid w:val="00187845"/>
    <w:rsid w:val="00187875"/>
    <w:rsid w:val="001878A8"/>
    <w:rsid w:val="001878BA"/>
    <w:rsid w:val="00187929"/>
    <w:rsid w:val="00187948"/>
    <w:rsid w:val="00187AC7"/>
    <w:rsid w:val="00187B76"/>
    <w:rsid w:val="00187B86"/>
    <w:rsid w:val="00187C09"/>
    <w:rsid w:val="00187D32"/>
    <w:rsid w:val="00187D98"/>
    <w:rsid w:val="00187E12"/>
    <w:rsid w:val="00187E8C"/>
    <w:rsid w:val="00187EC0"/>
    <w:rsid w:val="00187EDE"/>
    <w:rsid w:val="00187F13"/>
    <w:rsid w:val="00187F20"/>
    <w:rsid w:val="00187F5B"/>
    <w:rsid w:val="00187F6C"/>
    <w:rsid w:val="00187F9E"/>
    <w:rsid w:val="0018B356"/>
    <w:rsid w:val="001900BB"/>
    <w:rsid w:val="0019014F"/>
    <w:rsid w:val="00190196"/>
    <w:rsid w:val="00190210"/>
    <w:rsid w:val="001902AF"/>
    <w:rsid w:val="001903D6"/>
    <w:rsid w:val="0019047A"/>
    <w:rsid w:val="001904B1"/>
    <w:rsid w:val="001904D9"/>
    <w:rsid w:val="001904F9"/>
    <w:rsid w:val="00190543"/>
    <w:rsid w:val="001905F4"/>
    <w:rsid w:val="00190684"/>
    <w:rsid w:val="001906BC"/>
    <w:rsid w:val="001907D6"/>
    <w:rsid w:val="00190863"/>
    <w:rsid w:val="001908A2"/>
    <w:rsid w:val="001908CD"/>
    <w:rsid w:val="00190950"/>
    <w:rsid w:val="00190966"/>
    <w:rsid w:val="00190A60"/>
    <w:rsid w:val="00190A86"/>
    <w:rsid w:val="00190BDE"/>
    <w:rsid w:val="00190C35"/>
    <w:rsid w:val="00190CA3"/>
    <w:rsid w:val="00190CE3"/>
    <w:rsid w:val="00190CFA"/>
    <w:rsid w:val="00190D6B"/>
    <w:rsid w:val="00190E00"/>
    <w:rsid w:val="00190E30"/>
    <w:rsid w:val="00190F0F"/>
    <w:rsid w:val="00190F25"/>
    <w:rsid w:val="00190FF2"/>
    <w:rsid w:val="0019103C"/>
    <w:rsid w:val="00191065"/>
    <w:rsid w:val="0019109C"/>
    <w:rsid w:val="001910A1"/>
    <w:rsid w:val="001910B6"/>
    <w:rsid w:val="001910D8"/>
    <w:rsid w:val="00191117"/>
    <w:rsid w:val="00191207"/>
    <w:rsid w:val="0019122D"/>
    <w:rsid w:val="001912D1"/>
    <w:rsid w:val="001912E2"/>
    <w:rsid w:val="001912FA"/>
    <w:rsid w:val="001912FE"/>
    <w:rsid w:val="001913D7"/>
    <w:rsid w:val="00191562"/>
    <w:rsid w:val="00191627"/>
    <w:rsid w:val="0019162E"/>
    <w:rsid w:val="00191650"/>
    <w:rsid w:val="00191757"/>
    <w:rsid w:val="00191772"/>
    <w:rsid w:val="00191846"/>
    <w:rsid w:val="00191854"/>
    <w:rsid w:val="0019186A"/>
    <w:rsid w:val="00191874"/>
    <w:rsid w:val="001919AD"/>
    <w:rsid w:val="00191A16"/>
    <w:rsid w:val="00191A41"/>
    <w:rsid w:val="00191A9B"/>
    <w:rsid w:val="00191B3D"/>
    <w:rsid w:val="00191B3F"/>
    <w:rsid w:val="00191BC3"/>
    <w:rsid w:val="00191C59"/>
    <w:rsid w:val="00191C7B"/>
    <w:rsid w:val="00191CB8"/>
    <w:rsid w:val="00191CFB"/>
    <w:rsid w:val="00191D13"/>
    <w:rsid w:val="00191E0E"/>
    <w:rsid w:val="00191EE6"/>
    <w:rsid w:val="00191F5A"/>
    <w:rsid w:val="00191F80"/>
    <w:rsid w:val="00191FBC"/>
    <w:rsid w:val="00192035"/>
    <w:rsid w:val="00192151"/>
    <w:rsid w:val="001921AD"/>
    <w:rsid w:val="001921BB"/>
    <w:rsid w:val="001921BC"/>
    <w:rsid w:val="00192230"/>
    <w:rsid w:val="00192289"/>
    <w:rsid w:val="0019229B"/>
    <w:rsid w:val="001922E2"/>
    <w:rsid w:val="00192323"/>
    <w:rsid w:val="00192462"/>
    <w:rsid w:val="001924FF"/>
    <w:rsid w:val="0019252C"/>
    <w:rsid w:val="001925DC"/>
    <w:rsid w:val="001925EF"/>
    <w:rsid w:val="00192603"/>
    <w:rsid w:val="00192632"/>
    <w:rsid w:val="001926D0"/>
    <w:rsid w:val="0019272A"/>
    <w:rsid w:val="00192743"/>
    <w:rsid w:val="001927A5"/>
    <w:rsid w:val="001927E1"/>
    <w:rsid w:val="001927E9"/>
    <w:rsid w:val="00192818"/>
    <w:rsid w:val="00192846"/>
    <w:rsid w:val="0019286A"/>
    <w:rsid w:val="00192945"/>
    <w:rsid w:val="001929FB"/>
    <w:rsid w:val="00192A03"/>
    <w:rsid w:val="00192A75"/>
    <w:rsid w:val="00192B36"/>
    <w:rsid w:val="00192B58"/>
    <w:rsid w:val="00192B84"/>
    <w:rsid w:val="00192BBD"/>
    <w:rsid w:val="00192C16"/>
    <w:rsid w:val="00192CC1"/>
    <w:rsid w:val="00192CE2"/>
    <w:rsid w:val="00192CEF"/>
    <w:rsid w:val="00192D63"/>
    <w:rsid w:val="00192D6B"/>
    <w:rsid w:val="00192DEE"/>
    <w:rsid w:val="00192EF6"/>
    <w:rsid w:val="0019302A"/>
    <w:rsid w:val="001930F2"/>
    <w:rsid w:val="00193107"/>
    <w:rsid w:val="0019317D"/>
    <w:rsid w:val="0019318D"/>
    <w:rsid w:val="001931CF"/>
    <w:rsid w:val="001931FC"/>
    <w:rsid w:val="001931FF"/>
    <w:rsid w:val="00193226"/>
    <w:rsid w:val="0019327C"/>
    <w:rsid w:val="00193291"/>
    <w:rsid w:val="00193354"/>
    <w:rsid w:val="0019337F"/>
    <w:rsid w:val="001933C1"/>
    <w:rsid w:val="00193445"/>
    <w:rsid w:val="00193468"/>
    <w:rsid w:val="001934A1"/>
    <w:rsid w:val="001934C8"/>
    <w:rsid w:val="001934DD"/>
    <w:rsid w:val="001934F3"/>
    <w:rsid w:val="00193506"/>
    <w:rsid w:val="0019350A"/>
    <w:rsid w:val="001935A2"/>
    <w:rsid w:val="0019373B"/>
    <w:rsid w:val="00193751"/>
    <w:rsid w:val="00193760"/>
    <w:rsid w:val="00193804"/>
    <w:rsid w:val="0019385F"/>
    <w:rsid w:val="00193983"/>
    <w:rsid w:val="001939BB"/>
    <w:rsid w:val="00193A44"/>
    <w:rsid w:val="00193AB6"/>
    <w:rsid w:val="00193AF7"/>
    <w:rsid w:val="00193AF8"/>
    <w:rsid w:val="00193B0F"/>
    <w:rsid w:val="00193C43"/>
    <w:rsid w:val="00193C87"/>
    <w:rsid w:val="00193C8A"/>
    <w:rsid w:val="00193CE5"/>
    <w:rsid w:val="00193CF3"/>
    <w:rsid w:val="00193D52"/>
    <w:rsid w:val="00193E4E"/>
    <w:rsid w:val="00193EFC"/>
    <w:rsid w:val="00193F60"/>
    <w:rsid w:val="001940AA"/>
    <w:rsid w:val="001940AB"/>
    <w:rsid w:val="001940AD"/>
    <w:rsid w:val="00194154"/>
    <w:rsid w:val="0019423A"/>
    <w:rsid w:val="00194256"/>
    <w:rsid w:val="0019430D"/>
    <w:rsid w:val="00194330"/>
    <w:rsid w:val="00194346"/>
    <w:rsid w:val="0019435D"/>
    <w:rsid w:val="0019436E"/>
    <w:rsid w:val="001943C8"/>
    <w:rsid w:val="00194439"/>
    <w:rsid w:val="00194463"/>
    <w:rsid w:val="001944C2"/>
    <w:rsid w:val="001946C9"/>
    <w:rsid w:val="00194772"/>
    <w:rsid w:val="00194792"/>
    <w:rsid w:val="001947AF"/>
    <w:rsid w:val="001947F1"/>
    <w:rsid w:val="00194812"/>
    <w:rsid w:val="001948B5"/>
    <w:rsid w:val="001948EF"/>
    <w:rsid w:val="001949FA"/>
    <w:rsid w:val="00194A91"/>
    <w:rsid w:val="00194B47"/>
    <w:rsid w:val="00194B65"/>
    <w:rsid w:val="00194C5C"/>
    <w:rsid w:val="00194CA1"/>
    <w:rsid w:val="00194CCF"/>
    <w:rsid w:val="00194CF0"/>
    <w:rsid w:val="00194D2B"/>
    <w:rsid w:val="00194E1F"/>
    <w:rsid w:val="00194E23"/>
    <w:rsid w:val="00194E65"/>
    <w:rsid w:val="00194ED7"/>
    <w:rsid w:val="00194EF1"/>
    <w:rsid w:val="00194F00"/>
    <w:rsid w:val="00194F1E"/>
    <w:rsid w:val="00194F38"/>
    <w:rsid w:val="00194F4D"/>
    <w:rsid w:val="00194F83"/>
    <w:rsid w:val="00194FF9"/>
    <w:rsid w:val="0019513D"/>
    <w:rsid w:val="0019520E"/>
    <w:rsid w:val="00195244"/>
    <w:rsid w:val="001952CE"/>
    <w:rsid w:val="0019530A"/>
    <w:rsid w:val="00195344"/>
    <w:rsid w:val="00195397"/>
    <w:rsid w:val="001953A9"/>
    <w:rsid w:val="001953AD"/>
    <w:rsid w:val="0019540F"/>
    <w:rsid w:val="00195483"/>
    <w:rsid w:val="0019549A"/>
    <w:rsid w:val="00195516"/>
    <w:rsid w:val="00195529"/>
    <w:rsid w:val="0019554D"/>
    <w:rsid w:val="00195573"/>
    <w:rsid w:val="001956F6"/>
    <w:rsid w:val="00195713"/>
    <w:rsid w:val="0019577A"/>
    <w:rsid w:val="001957D6"/>
    <w:rsid w:val="001958A0"/>
    <w:rsid w:val="001958A8"/>
    <w:rsid w:val="0019591B"/>
    <w:rsid w:val="00195BBE"/>
    <w:rsid w:val="00195C24"/>
    <w:rsid w:val="00195C34"/>
    <w:rsid w:val="00195C9D"/>
    <w:rsid w:val="00195CBA"/>
    <w:rsid w:val="00195CCE"/>
    <w:rsid w:val="00195CFF"/>
    <w:rsid w:val="00195D3C"/>
    <w:rsid w:val="00195D5E"/>
    <w:rsid w:val="00195D8C"/>
    <w:rsid w:val="00195D9F"/>
    <w:rsid w:val="00195F06"/>
    <w:rsid w:val="00195F15"/>
    <w:rsid w:val="00195F18"/>
    <w:rsid w:val="00196024"/>
    <w:rsid w:val="00196049"/>
    <w:rsid w:val="0019607A"/>
    <w:rsid w:val="0019607F"/>
    <w:rsid w:val="001960AB"/>
    <w:rsid w:val="001960FE"/>
    <w:rsid w:val="001961BC"/>
    <w:rsid w:val="00196205"/>
    <w:rsid w:val="00196288"/>
    <w:rsid w:val="00196290"/>
    <w:rsid w:val="00196329"/>
    <w:rsid w:val="001963A8"/>
    <w:rsid w:val="001963D6"/>
    <w:rsid w:val="00196431"/>
    <w:rsid w:val="0019653D"/>
    <w:rsid w:val="001965A8"/>
    <w:rsid w:val="001965E4"/>
    <w:rsid w:val="00196651"/>
    <w:rsid w:val="00196664"/>
    <w:rsid w:val="001966CF"/>
    <w:rsid w:val="0019671E"/>
    <w:rsid w:val="00196803"/>
    <w:rsid w:val="0019687C"/>
    <w:rsid w:val="00196898"/>
    <w:rsid w:val="001968D0"/>
    <w:rsid w:val="00196966"/>
    <w:rsid w:val="00196977"/>
    <w:rsid w:val="00196A57"/>
    <w:rsid w:val="00196A9A"/>
    <w:rsid w:val="00196B03"/>
    <w:rsid w:val="00196B23"/>
    <w:rsid w:val="00196B46"/>
    <w:rsid w:val="00196C26"/>
    <w:rsid w:val="00196D66"/>
    <w:rsid w:val="00196E0F"/>
    <w:rsid w:val="00196E2B"/>
    <w:rsid w:val="00196E84"/>
    <w:rsid w:val="00196EB7"/>
    <w:rsid w:val="00196ED2"/>
    <w:rsid w:val="00196ED7"/>
    <w:rsid w:val="00196F58"/>
    <w:rsid w:val="00196F76"/>
    <w:rsid w:val="00196FB8"/>
    <w:rsid w:val="00196FBF"/>
    <w:rsid w:val="0019704D"/>
    <w:rsid w:val="001970E4"/>
    <w:rsid w:val="00197171"/>
    <w:rsid w:val="001972C4"/>
    <w:rsid w:val="001972CE"/>
    <w:rsid w:val="001972FE"/>
    <w:rsid w:val="001973A8"/>
    <w:rsid w:val="001973E2"/>
    <w:rsid w:val="00197495"/>
    <w:rsid w:val="001974F9"/>
    <w:rsid w:val="00197545"/>
    <w:rsid w:val="00197586"/>
    <w:rsid w:val="001975A3"/>
    <w:rsid w:val="001975A5"/>
    <w:rsid w:val="0019760A"/>
    <w:rsid w:val="00197616"/>
    <w:rsid w:val="0019768A"/>
    <w:rsid w:val="00197731"/>
    <w:rsid w:val="00197794"/>
    <w:rsid w:val="00197871"/>
    <w:rsid w:val="00197926"/>
    <w:rsid w:val="0019792E"/>
    <w:rsid w:val="00197981"/>
    <w:rsid w:val="001979F0"/>
    <w:rsid w:val="001979F6"/>
    <w:rsid w:val="00197A5D"/>
    <w:rsid w:val="00197AD2"/>
    <w:rsid w:val="00197B5D"/>
    <w:rsid w:val="00197BCB"/>
    <w:rsid w:val="00197BCC"/>
    <w:rsid w:val="00197BCF"/>
    <w:rsid w:val="00197BD1"/>
    <w:rsid w:val="00197CD0"/>
    <w:rsid w:val="00197CFB"/>
    <w:rsid w:val="00197D23"/>
    <w:rsid w:val="00197D7B"/>
    <w:rsid w:val="00197D99"/>
    <w:rsid w:val="00197DB5"/>
    <w:rsid w:val="00197E35"/>
    <w:rsid w:val="00197ECD"/>
    <w:rsid w:val="00197EF5"/>
    <w:rsid w:val="00197F3D"/>
    <w:rsid w:val="00197F50"/>
    <w:rsid w:val="00197FB8"/>
    <w:rsid w:val="001A0065"/>
    <w:rsid w:val="001A00E7"/>
    <w:rsid w:val="001A013D"/>
    <w:rsid w:val="001A01A9"/>
    <w:rsid w:val="001A0236"/>
    <w:rsid w:val="001A02F3"/>
    <w:rsid w:val="001A032D"/>
    <w:rsid w:val="001A0333"/>
    <w:rsid w:val="001A03D4"/>
    <w:rsid w:val="001A03F2"/>
    <w:rsid w:val="001A0438"/>
    <w:rsid w:val="001A045B"/>
    <w:rsid w:val="001A0476"/>
    <w:rsid w:val="001A04B7"/>
    <w:rsid w:val="001A051A"/>
    <w:rsid w:val="001A053F"/>
    <w:rsid w:val="001A0582"/>
    <w:rsid w:val="001A0603"/>
    <w:rsid w:val="001A06D8"/>
    <w:rsid w:val="001A073E"/>
    <w:rsid w:val="001A0742"/>
    <w:rsid w:val="001A07C2"/>
    <w:rsid w:val="001A08D4"/>
    <w:rsid w:val="001A08DD"/>
    <w:rsid w:val="001A0A71"/>
    <w:rsid w:val="001A0B82"/>
    <w:rsid w:val="001A0BCB"/>
    <w:rsid w:val="001A0C4D"/>
    <w:rsid w:val="001A0C6E"/>
    <w:rsid w:val="001A0C7A"/>
    <w:rsid w:val="001A0C8B"/>
    <w:rsid w:val="001A0CC3"/>
    <w:rsid w:val="001A0D07"/>
    <w:rsid w:val="001A0D5B"/>
    <w:rsid w:val="001A0D7B"/>
    <w:rsid w:val="001A0EA3"/>
    <w:rsid w:val="001A0FCA"/>
    <w:rsid w:val="001A0FFE"/>
    <w:rsid w:val="001A106F"/>
    <w:rsid w:val="001A10C2"/>
    <w:rsid w:val="001A10F7"/>
    <w:rsid w:val="001A112D"/>
    <w:rsid w:val="001A1181"/>
    <w:rsid w:val="001A11E0"/>
    <w:rsid w:val="001A1218"/>
    <w:rsid w:val="001A12C3"/>
    <w:rsid w:val="001A12F3"/>
    <w:rsid w:val="001A1436"/>
    <w:rsid w:val="001A145F"/>
    <w:rsid w:val="001A14E1"/>
    <w:rsid w:val="001A1543"/>
    <w:rsid w:val="001A161D"/>
    <w:rsid w:val="001A16FF"/>
    <w:rsid w:val="001A1730"/>
    <w:rsid w:val="001A173D"/>
    <w:rsid w:val="001A17A9"/>
    <w:rsid w:val="001A17CC"/>
    <w:rsid w:val="001A1846"/>
    <w:rsid w:val="001A18F2"/>
    <w:rsid w:val="001A197E"/>
    <w:rsid w:val="001A1A02"/>
    <w:rsid w:val="001A1A37"/>
    <w:rsid w:val="001A1A99"/>
    <w:rsid w:val="001A1AB1"/>
    <w:rsid w:val="001A1ADE"/>
    <w:rsid w:val="001A1C1C"/>
    <w:rsid w:val="001A1C38"/>
    <w:rsid w:val="001A1C69"/>
    <w:rsid w:val="001A1C8A"/>
    <w:rsid w:val="001A1D46"/>
    <w:rsid w:val="001A1D5B"/>
    <w:rsid w:val="001A1D9D"/>
    <w:rsid w:val="001A1DA6"/>
    <w:rsid w:val="001A1DDC"/>
    <w:rsid w:val="001A1E28"/>
    <w:rsid w:val="001A1EAF"/>
    <w:rsid w:val="001A1F34"/>
    <w:rsid w:val="001A1F6A"/>
    <w:rsid w:val="001A1FBC"/>
    <w:rsid w:val="001A1FD2"/>
    <w:rsid w:val="001A1FFF"/>
    <w:rsid w:val="001A2024"/>
    <w:rsid w:val="001A209E"/>
    <w:rsid w:val="001A2105"/>
    <w:rsid w:val="001A2108"/>
    <w:rsid w:val="001A212C"/>
    <w:rsid w:val="001A2177"/>
    <w:rsid w:val="001A219A"/>
    <w:rsid w:val="001A21D0"/>
    <w:rsid w:val="001A2226"/>
    <w:rsid w:val="001A224B"/>
    <w:rsid w:val="001A2280"/>
    <w:rsid w:val="001A22FF"/>
    <w:rsid w:val="001A233F"/>
    <w:rsid w:val="001A23D9"/>
    <w:rsid w:val="001A248B"/>
    <w:rsid w:val="001A2493"/>
    <w:rsid w:val="001A24A7"/>
    <w:rsid w:val="001A24EA"/>
    <w:rsid w:val="001A24FF"/>
    <w:rsid w:val="001A2505"/>
    <w:rsid w:val="001A2532"/>
    <w:rsid w:val="001A2545"/>
    <w:rsid w:val="001A2593"/>
    <w:rsid w:val="001A26D9"/>
    <w:rsid w:val="001A26EF"/>
    <w:rsid w:val="001A2738"/>
    <w:rsid w:val="001A274C"/>
    <w:rsid w:val="001A275B"/>
    <w:rsid w:val="001A2798"/>
    <w:rsid w:val="001A27E5"/>
    <w:rsid w:val="001A2890"/>
    <w:rsid w:val="001A2983"/>
    <w:rsid w:val="001A29EC"/>
    <w:rsid w:val="001A2A13"/>
    <w:rsid w:val="001A2A51"/>
    <w:rsid w:val="001A2B00"/>
    <w:rsid w:val="001A2BC2"/>
    <w:rsid w:val="001A2C10"/>
    <w:rsid w:val="001A2C58"/>
    <w:rsid w:val="001A2CA5"/>
    <w:rsid w:val="001A2CE9"/>
    <w:rsid w:val="001A2D12"/>
    <w:rsid w:val="001A2D27"/>
    <w:rsid w:val="001A2D2D"/>
    <w:rsid w:val="001A2DDB"/>
    <w:rsid w:val="001A2E0F"/>
    <w:rsid w:val="001A2F32"/>
    <w:rsid w:val="001A2F3C"/>
    <w:rsid w:val="001A2F47"/>
    <w:rsid w:val="001A2FD0"/>
    <w:rsid w:val="001A2FD7"/>
    <w:rsid w:val="001A30C1"/>
    <w:rsid w:val="001A30DC"/>
    <w:rsid w:val="001A30EE"/>
    <w:rsid w:val="001A316F"/>
    <w:rsid w:val="001A3199"/>
    <w:rsid w:val="001A320C"/>
    <w:rsid w:val="001A3221"/>
    <w:rsid w:val="001A3283"/>
    <w:rsid w:val="001A331D"/>
    <w:rsid w:val="001A3341"/>
    <w:rsid w:val="001A3352"/>
    <w:rsid w:val="001A338D"/>
    <w:rsid w:val="001A3395"/>
    <w:rsid w:val="001A33DB"/>
    <w:rsid w:val="001A3404"/>
    <w:rsid w:val="001A3422"/>
    <w:rsid w:val="001A3442"/>
    <w:rsid w:val="001A3449"/>
    <w:rsid w:val="001A3528"/>
    <w:rsid w:val="001A352B"/>
    <w:rsid w:val="001A3537"/>
    <w:rsid w:val="001A35EA"/>
    <w:rsid w:val="001A35F0"/>
    <w:rsid w:val="001A3639"/>
    <w:rsid w:val="001A363C"/>
    <w:rsid w:val="001A36CA"/>
    <w:rsid w:val="001A37B1"/>
    <w:rsid w:val="001A37B9"/>
    <w:rsid w:val="001A37FF"/>
    <w:rsid w:val="001A3911"/>
    <w:rsid w:val="001A395C"/>
    <w:rsid w:val="001A39E4"/>
    <w:rsid w:val="001A39EF"/>
    <w:rsid w:val="001A39FF"/>
    <w:rsid w:val="001A3A9D"/>
    <w:rsid w:val="001A3AB6"/>
    <w:rsid w:val="001A3AD8"/>
    <w:rsid w:val="001A3AE1"/>
    <w:rsid w:val="001A3B4D"/>
    <w:rsid w:val="001A3B80"/>
    <w:rsid w:val="001A3B82"/>
    <w:rsid w:val="001A3BC9"/>
    <w:rsid w:val="001A3BE8"/>
    <w:rsid w:val="001A3C2A"/>
    <w:rsid w:val="001A3CA9"/>
    <w:rsid w:val="001A3D03"/>
    <w:rsid w:val="001A3E1D"/>
    <w:rsid w:val="001A3E4B"/>
    <w:rsid w:val="001A3E6B"/>
    <w:rsid w:val="001A3E78"/>
    <w:rsid w:val="001A3FFB"/>
    <w:rsid w:val="001A40C1"/>
    <w:rsid w:val="001A4135"/>
    <w:rsid w:val="001A41A2"/>
    <w:rsid w:val="001A422E"/>
    <w:rsid w:val="001A42D1"/>
    <w:rsid w:val="001A4312"/>
    <w:rsid w:val="001A43C0"/>
    <w:rsid w:val="001A43ED"/>
    <w:rsid w:val="001A440D"/>
    <w:rsid w:val="001A4430"/>
    <w:rsid w:val="001A443D"/>
    <w:rsid w:val="001A447C"/>
    <w:rsid w:val="001A44C3"/>
    <w:rsid w:val="001A44C8"/>
    <w:rsid w:val="001A44EC"/>
    <w:rsid w:val="001A452F"/>
    <w:rsid w:val="001A4541"/>
    <w:rsid w:val="001A458B"/>
    <w:rsid w:val="001A4636"/>
    <w:rsid w:val="001A4637"/>
    <w:rsid w:val="001A463B"/>
    <w:rsid w:val="001A4693"/>
    <w:rsid w:val="001A46AA"/>
    <w:rsid w:val="001A472A"/>
    <w:rsid w:val="001A4742"/>
    <w:rsid w:val="001A4773"/>
    <w:rsid w:val="001A478A"/>
    <w:rsid w:val="001A478D"/>
    <w:rsid w:val="001A4821"/>
    <w:rsid w:val="001A48A6"/>
    <w:rsid w:val="001A48D2"/>
    <w:rsid w:val="001A494D"/>
    <w:rsid w:val="001A49EC"/>
    <w:rsid w:val="001A4A47"/>
    <w:rsid w:val="001A4A86"/>
    <w:rsid w:val="001A4ABE"/>
    <w:rsid w:val="001A4AFD"/>
    <w:rsid w:val="001A4BDC"/>
    <w:rsid w:val="001A4C42"/>
    <w:rsid w:val="001A4C64"/>
    <w:rsid w:val="001A4C83"/>
    <w:rsid w:val="001A4CD4"/>
    <w:rsid w:val="001A4D38"/>
    <w:rsid w:val="001A4D5A"/>
    <w:rsid w:val="001A4D8F"/>
    <w:rsid w:val="001A4DB7"/>
    <w:rsid w:val="001A4E1B"/>
    <w:rsid w:val="001A4E51"/>
    <w:rsid w:val="001A4E58"/>
    <w:rsid w:val="001A4E91"/>
    <w:rsid w:val="001A4F1F"/>
    <w:rsid w:val="001A4F58"/>
    <w:rsid w:val="001A5056"/>
    <w:rsid w:val="001A506B"/>
    <w:rsid w:val="001A50BC"/>
    <w:rsid w:val="001A514C"/>
    <w:rsid w:val="001A5155"/>
    <w:rsid w:val="001A517A"/>
    <w:rsid w:val="001A51B7"/>
    <w:rsid w:val="001A51CA"/>
    <w:rsid w:val="001A51CF"/>
    <w:rsid w:val="001A51E3"/>
    <w:rsid w:val="001A528E"/>
    <w:rsid w:val="001A52A7"/>
    <w:rsid w:val="001A5351"/>
    <w:rsid w:val="001A5358"/>
    <w:rsid w:val="001A53A9"/>
    <w:rsid w:val="001A53B7"/>
    <w:rsid w:val="001A53BB"/>
    <w:rsid w:val="001A540C"/>
    <w:rsid w:val="001A5444"/>
    <w:rsid w:val="001A544F"/>
    <w:rsid w:val="001A5482"/>
    <w:rsid w:val="001A549C"/>
    <w:rsid w:val="001A54C3"/>
    <w:rsid w:val="001A54D9"/>
    <w:rsid w:val="001A5577"/>
    <w:rsid w:val="001A55C8"/>
    <w:rsid w:val="001A55F4"/>
    <w:rsid w:val="001A5638"/>
    <w:rsid w:val="001A5641"/>
    <w:rsid w:val="001A56A8"/>
    <w:rsid w:val="001A5702"/>
    <w:rsid w:val="001A5721"/>
    <w:rsid w:val="001A5751"/>
    <w:rsid w:val="001A5792"/>
    <w:rsid w:val="001A57F8"/>
    <w:rsid w:val="001A5829"/>
    <w:rsid w:val="001A5845"/>
    <w:rsid w:val="001A5869"/>
    <w:rsid w:val="001A58C5"/>
    <w:rsid w:val="001A58CD"/>
    <w:rsid w:val="001A5940"/>
    <w:rsid w:val="001A599A"/>
    <w:rsid w:val="001A59D4"/>
    <w:rsid w:val="001A59D6"/>
    <w:rsid w:val="001A5ABA"/>
    <w:rsid w:val="001A5B0A"/>
    <w:rsid w:val="001A5CAE"/>
    <w:rsid w:val="001A5D17"/>
    <w:rsid w:val="001A5DD9"/>
    <w:rsid w:val="001A5DDF"/>
    <w:rsid w:val="001A5ECC"/>
    <w:rsid w:val="001A5F18"/>
    <w:rsid w:val="001A5F38"/>
    <w:rsid w:val="001A6066"/>
    <w:rsid w:val="001A6070"/>
    <w:rsid w:val="001A607A"/>
    <w:rsid w:val="001A6082"/>
    <w:rsid w:val="001A6104"/>
    <w:rsid w:val="001A610F"/>
    <w:rsid w:val="001A6130"/>
    <w:rsid w:val="001A61D1"/>
    <w:rsid w:val="001A62C4"/>
    <w:rsid w:val="001A6312"/>
    <w:rsid w:val="001A634B"/>
    <w:rsid w:val="001A6360"/>
    <w:rsid w:val="001A639A"/>
    <w:rsid w:val="001A642D"/>
    <w:rsid w:val="001A647E"/>
    <w:rsid w:val="001A6484"/>
    <w:rsid w:val="001A6522"/>
    <w:rsid w:val="001A658A"/>
    <w:rsid w:val="001A65FE"/>
    <w:rsid w:val="001A663D"/>
    <w:rsid w:val="001A66BB"/>
    <w:rsid w:val="001A66CB"/>
    <w:rsid w:val="001A6879"/>
    <w:rsid w:val="001A68A2"/>
    <w:rsid w:val="001A68B8"/>
    <w:rsid w:val="001A68CB"/>
    <w:rsid w:val="001A68ED"/>
    <w:rsid w:val="001A6904"/>
    <w:rsid w:val="001A6A5D"/>
    <w:rsid w:val="001A6B20"/>
    <w:rsid w:val="001A6B3D"/>
    <w:rsid w:val="001A6B6E"/>
    <w:rsid w:val="001A6C42"/>
    <w:rsid w:val="001A6D70"/>
    <w:rsid w:val="001A6D81"/>
    <w:rsid w:val="001A6E3D"/>
    <w:rsid w:val="001A6EB8"/>
    <w:rsid w:val="001A6EE3"/>
    <w:rsid w:val="001A6F19"/>
    <w:rsid w:val="001A6F21"/>
    <w:rsid w:val="001A6FD2"/>
    <w:rsid w:val="001A6FDB"/>
    <w:rsid w:val="001A6FE9"/>
    <w:rsid w:val="001A7031"/>
    <w:rsid w:val="001A706F"/>
    <w:rsid w:val="001A70D7"/>
    <w:rsid w:val="001A70FB"/>
    <w:rsid w:val="001A7159"/>
    <w:rsid w:val="001A7199"/>
    <w:rsid w:val="001A73C5"/>
    <w:rsid w:val="001A7407"/>
    <w:rsid w:val="001A753E"/>
    <w:rsid w:val="001A756C"/>
    <w:rsid w:val="001A756F"/>
    <w:rsid w:val="001A7636"/>
    <w:rsid w:val="001A77C4"/>
    <w:rsid w:val="001A7879"/>
    <w:rsid w:val="001A790B"/>
    <w:rsid w:val="001A7925"/>
    <w:rsid w:val="001A79FC"/>
    <w:rsid w:val="001A7AC0"/>
    <w:rsid w:val="001A7AEE"/>
    <w:rsid w:val="001A7B34"/>
    <w:rsid w:val="001A7B50"/>
    <w:rsid w:val="001A7BE0"/>
    <w:rsid w:val="001A7C24"/>
    <w:rsid w:val="001A7C46"/>
    <w:rsid w:val="001A7C9E"/>
    <w:rsid w:val="001A7CB7"/>
    <w:rsid w:val="001A7CD8"/>
    <w:rsid w:val="001A7D54"/>
    <w:rsid w:val="001A7DE4"/>
    <w:rsid w:val="001A7DFE"/>
    <w:rsid w:val="001A7E48"/>
    <w:rsid w:val="001A7E5D"/>
    <w:rsid w:val="001A7E7A"/>
    <w:rsid w:val="001A7EE8"/>
    <w:rsid w:val="001A7F21"/>
    <w:rsid w:val="001A7F4A"/>
    <w:rsid w:val="001A7FA4"/>
    <w:rsid w:val="001A7FE1"/>
    <w:rsid w:val="001B0006"/>
    <w:rsid w:val="001B0025"/>
    <w:rsid w:val="001B0092"/>
    <w:rsid w:val="001B00DC"/>
    <w:rsid w:val="001B011E"/>
    <w:rsid w:val="001B015B"/>
    <w:rsid w:val="001B01AB"/>
    <w:rsid w:val="001B01B1"/>
    <w:rsid w:val="001B0338"/>
    <w:rsid w:val="001B0392"/>
    <w:rsid w:val="001B03AD"/>
    <w:rsid w:val="001B03DA"/>
    <w:rsid w:val="001B03F1"/>
    <w:rsid w:val="001B03FD"/>
    <w:rsid w:val="001B045F"/>
    <w:rsid w:val="001B04EF"/>
    <w:rsid w:val="001B0529"/>
    <w:rsid w:val="001B0541"/>
    <w:rsid w:val="001B0580"/>
    <w:rsid w:val="001B05CB"/>
    <w:rsid w:val="001B05DF"/>
    <w:rsid w:val="001B05F2"/>
    <w:rsid w:val="001B0613"/>
    <w:rsid w:val="001B0672"/>
    <w:rsid w:val="001B0686"/>
    <w:rsid w:val="001B0687"/>
    <w:rsid w:val="001B06EF"/>
    <w:rsid w:val="001B06F4"/>
    <w:rsid w:val="001B0750"/>
    <w:rsid w:val="001B07AA"/>
    <w:rsid w:val="001B07CC"/>
    <w:rsid w:val="001B07F8"/>
    <w:rsid w:val="001B08B0"/>
    <w:rsid w:val="001B0900"/>
    <w:rsid w:val="001B0921"/>
    <w:rsid w:val="001B0957"/>
    <w:rsid w:val="001B09B9"/>
    <w:rsid w:val="001B09BE"/>
    <w:rsid w:val="001B0A6E"/>
    <w:rsid w:val="001B0AF9"/>
    <w:rsid w:val="001B0B06"/>
    <w:rsid w:val="001B0B3B"/>
    <w:rsid w:val="001B0B77"/>
    <w:rsid w:val="001B0B78"/>
    <w:rsid w:val="001B0B96"/>
    <w:rsid w:val="001B0C0C"/>
    <w:rsid w:val="001B0C3C"/>
    <w:rsid w:val="001B0C59"/>
    <w:rsid w:val="001B0CAD"/>
    <w:rsid w:val="001B0CC6"/>
    <w:rsid w:val="001B0CE4"/>
    <w:rsid w:val="001B0D25"/>
    <w:rsid w:val="001B0D3B"/>
    <w:rsid w:val="001B0D3C"/>
    <w:rsid w:val="001B0DF1"/>
    <w:rsid w:val="001B0DF7"/>
    <w:rsid w:val="001B0E0A"/>
    <w:rsid w:val="001B0E26"/>
    <w:rsid w:val="001B0E48"/>
    <w:rsid w:val="001B0E64"/>
    <w:rsid w:val="001B0F19"/>
    <w:rsid w:val="001B0F66"/>
    <w:rsid w:val="001B0FE7"/>
    <w:rsid w:val="001B102A"/>
    <w:rsid w:val="001B104A"/>
    <w:rsid w:val="001B1095"/>
    <w:rsid w:val="001B10A5"/>
    <w:rsid w:val="001B11DD"/>
    <w:rsid w:val="001B11E5"/>
    <w:rsid w:val="001B12E9"/>
    <w:rsid w:val="001B1305"/>
    <w:rsid w:val="001B131E"/>
    <w:rsid w:val="001B1418"/>
    <w:rsid w:val="001B1436"/>
    <w:rsid w:val="001B1553"/>
    <w:rsid w:val="001B157F"/>
    <w:rsid w:val="001B158E"/>
    <w:rsid w:val="001B15C3"/>
    <w:rsid w:val="001B1653"/>
    <w:rsid w:val="001B16BB"/>
    <w:rsid w:val="001B16E9"/>
    <w:rsid w:val="001B16F5"/>
    <w:rsid w:val="001B1711"/>
    <w:rsid w:val="001B175A"/>
    <w:rsid w:val="001B1772"/>
    <w:rsid w:val="001B17AD"/>
    <w:rsid w:val="001B17B9"/>
    <w:rsid w:val="001B17D3"/>
    <w:rsid w:val="001B1892"/>
    <w:rsid w:val="001B1893"/>
    <w:rsid w:val="001B18C3"/>
    <w:rsid w:val="001B18D9"/>
    <w:rsid w:val="001B190B"/>
    <w:rsid w:val="001B1939"/>
    <w:rsid w:val="001B1946"/>
    <w:rsid w:val="001B19D1"/>
    <w:rsid w:val="001B1AA0"/>
    <w:rsid w:val="001B1BB8"/>
    <w:rsid w:val="001B1BBA"/>
    <w:rsid w:val="001B1C12"/>
    <w:rsid w:val="001B1C1F"/>
    <w:rsid w:val="001B1C59"/>
    <w:rsid w:val="001B1C97"/>
    <w:rsid w:val="001B1CB6"/>
    <w:rsid w:val="001B1CE9"/>
    <w:rsid w:val="001B1D30"/>
    <w:rsid w:val="001B1D44"/>
    <w:rsid w:val="001B1D5C"/>
    <w:rsid w:val="001B1DA4"/>
    <w:rsid w:val="001B1ED8"/>
    <w:rsid w:val="001B1EEE"/>
    <w:rsid w:val="001B1F3B"/>
    <w:rsid w:val="001B1FCB"/>
    <w:rsid w:val="001B2024"/>
    <w:rsid w:val="001B2090"/>
    <w:rsid w:val="001B2161"/>
    <w:rsid w:val="001B21AB"/>
    <w:rsid w:val="001B21D9"/>
    <w:rsid w:val="001B22D2"/>
    <w:rsid w:val="001B22E8"/>
    <w:rsid w:val="001B22F1"/>
    <w:rsid w:val="001B230C"/>
    <w:rsid w:val="001B234E"/>
    <w:rsid w:val="001B23C1"/>
    <w:rsid w:val="001B23CB"/>
    <w:rsid w:val="001B24A7"/>
    <w:rsid w:val="001B24B5"/>
    <w:rsid w:val="001B251C"/>
    <w:rsid w:val="001B2585"/>
    <w:rsid w:val="001B25A9"/>
    <w:rsid w:val="001B25C3"/>
    <w:rsid w:val="001B262D"/>
    <w:rsid w:val="001B2664"/>
    <w:rsid w:val="001B26DB"/>
    <w:rsid w:val="001B2752"/>
    <w:rsid w:val="001B2799"/>
    <w:rsid w:val="001B27D3"/>
    <w:rsid w:val="001B27DB"/>
    <w:rsid w:val="001B281E"/>
    <w:rsid w:val="001B2827"/>
    <w:rsid w:val="001B2844"/>
    <w:rsid w:val="001B285A"/>
    <w:rsid w:val="001B28CF"/>
    <w:rsid w:val="001B2A41"/>
    <w:rsid w:val="001B2ABD"/>
    <w:rsid w:val="001B2B0A"/>
    <w:rsid w:val="001B2B1C"/>
    <w:rsid w:val="001B2B1D"/>
    <w:rsid w:val="001B2BBA"/>
    <w:rsid w:val="001B2BF6"/>
    <w:rsid w:val="001B2D4E"/>
    <w:rsid w:val="001B2DD5"/>
    <w:rsid w:val="001B2E17"/>
    <w:rsid w:val="001B2E35"/>
    <w:rsid w:val="001B2F23"/>
    <w:rsid w:val="001B2FD4"/>
    <w:rsid w:val="001B2FD7"/>
    <w:rsid w:val="001B301E"/>
    <w:rsid w:val="001B30AA"/>
    <w:rsid w:val="001B313B"/>
    <w:rsid w:val="001B320F"/>
    <w:rsid w:val="001B3337"/>
    <w:rsid w:val="001B3354"/>
    <w:rsid w:val="001B339F"/>
    <w:rsid w:val="001B33EF"/>
    <w:rsid w:val="001B3436"/>
    <w:rsid w:val="001B348B"/>
    <w:rsid w:val="001B34BE"/>
    <w:rsid w:val="001B34DE"/>
    <w:rsid w:val="001B368F"/>
    <w:rsid w:val="001B36B0"/>
    <w:rsid w:val="001B373A"/>
    <w:rsid w:val="001B37B1"/>
    <w:rsid w:val="001B37C4"/>
    <w:rsid w:val="001B37CF"/>
    <w:rsid w:val="001B37E6"/>
    <w:rsid w:val="001B3832"/>
    <w:rsid w:val="001B3834"/>
    <w:rsid w:val="001B3871"/>
    <w:rsid w:val="001B388E"/>
    <w:rsid w:val="001B38B1"/>
    <w:rsid w:val="001B38F4"/>
    <w:rsid w:val="001B39AA"/>
    <w:rsid w:val="001B3A04"/>
    <w:rsid w:val="001B3B11"/>
    <w:rsid w:val="001B3B49"/>
    <w:rsid w:val="001B3BC6"/>
    <w:rsid w:val="001B3C15"/>
    <w:rsid w:val="001B3CAB"/>
    <w:rsid w:val="001B3D39"/>
    <w:rsid w:val="001B3DAF"/>
    <w:rsid w:val="001B3DF3"/>
    <w:rsid w:val="001B3E8E"/>
    <w:rsid w:val="001B3E9E"/>
    <w:rsid w:val="001B3EA1"/>
    <w:rsid w:val="001B3F05"/>
    <w:rsid w:val="001B3F6D"/>
    <w:rsid w:val="001B4002"/>
    <w:rsid w:val="001B4045"/>
    <w:rsid w:val="001B41FA"/>
    <w:rsid w:val="001B435A"/>
    <w:rsid w:val="001B436D"/>
    <w:rsid w:val="001B439F"/>
    <w:rsid w:val="001B43C7"/>
    <w:rsid w:val="001B43DB"/>
    <w:rsid w:val="001B4417"/>
    <w:rsid w:val="001B454C"/>
    <w:rsid w:val="001B4615"/>
    <w:rsid w:val="001B47D9"/>
    <w:rsid w:val="001B47FB"/>
    <w:rsid w:val="001B4811"/>
    <w:rsid w:val="001B484F"/>
    <w:rsid w:val="001B488F"/>
    <w:rsid w:val="001B48AA"/>
    <w:rsid w:val="001B4920"/>
    <w:rsid w:val="001B4960"/>
    <w:rsid w:val="001B4A3A"/>
    <w:rsid w:val="001B4A54"/>
    <w:rsid w:val="001B4AB7"/>
    <w:rsid w:val="001B4B67"/>
    <w:rsid w:val="001B4B7A"/>
    <w:rsid w:val="001B4B9A"/>
    <w:rsid w:val="001B4C25"/>
    <w:rsid w:val="001B4D2F"/>
    <w:rsid w:val="001B4D7B"/>
    <w:rsid w:val="001B4DE4"/>
    <w:rsid w:val="001B4E17"/>
    <w:rsid w:val="001B4E2D"/>
    <w:rsid w:val="001B4EE7"/>
    <w:rsid w:val="001B4F4A"/>
    <w:rsid w:val="001B4F81"/>
    <w:rsid w:val="001B500D"/>
    <w:rsid w:val="001B5028"/>
    <w:rsid w:val="001B5091"/>
    <w:rsid w:val="001B512C"/>
    <w:rsid w:val="001B518B"/>
    <w:rsid w:val="001B5197"/>
    <w:rsid w:val="001B519C"/>
    <w:rsid w:val="001B51C9"/>
    <w:rsid w:val="001B51CC"/>
    <w:rsid w:val="001B51EF"/>
    <w:rsid w:val="001B520B"/>
    <w:rsid w:val="001B523C"/>
    <w:rsid w:val="001B5285"/>
    <w:rsid w:val="001B52A7"/>
    <w:rsid w:val="001B52DD"/>
    <w:rsid w:val="001B5319"/>
    <w:rsid w:val="001B5320"/>
    <w:rsid w:val="001B5337"/>
    <w:rsid w:val="001B5406"/>
    <w:rsid w:val="001B5462"/>
    <w:rsid w:val="001B5480"/>
    <w:rsid w:val="001B5497"/>
    <w:rsid w:val="001B5514"/>
    <w:rsid w:val="001B5598"/>
    <w:rsid w:val="001B55A3"/>
    <w:rsid w:val="001B55B1"/>
    <w:rsid w:val="001B55D5"/>
    <w:rsid w:val="001B55D7"/>
    <w:rsid w:val="001B55E4"/>
    <w:rsid w:val="001B5624"/>
    <w:rsid w:val="001B562C"/>
    <w:rsid w:val="001B56AB"/>
    <w:rsid w:val="001B570E"/>
    <w:rsid w:val="001B57A9"/>
    <w:rsid w:val="001B584B"/>
    <w:rsid w:val="001B5867"/>
    <w:rsid w:val="001B5960"/>
    <w:rsid w:val="001B5991"/>
    <w:rsid w:val="001B59B3"/>
    <w:rsid w:val="001B59E9"/>
    <w:rsid w:val="001B59F6"/>
    <w:rsid w:val="001B5A0A"/>
    <w:rsid w:val="001B5A5E"/>
    <w:rsid w:val="001B5BB4"/>
    <w:rsid w:val="001B5C16"/>
    <w:rsid w:val="001B5C2F"/>
    <w:rsid w:val="001B5C5B"/>
    <w:rsid w:val="001B5C65"/>
    <w:rsid w:val="001B5C73"/>
    <w:rsid w:val="001B5D14"/>
    <w:rsid w:val="001B5D40"/>
    <w:rsid w:val="001B5D42"/>
    <w:rsid w:val="001B5E27"/>
    <w:rsid w:val="001B5E8E"/>
    <w:rsid w:val="001B5ECF"/>
    <w:rsid w:val="001B5EFB"/>
    <w:rsid w:val="001B5F23"/>
    <w:rsid w:val="001B5F36"/>
    <w:rsid w:val="001B5F76"/>
    <w:rsid w:val="001B5F8B"/>
    <w:rsid w:val="001B5FA7"/>
    <w:rsid w:val="001B5FE0"/>
    <w:rsid w:val="001B6057"/>
    <w:rsid w:val="001B6074"/>
    <w:rsid w:val="001B60A1"/>
    <w:rsid w:val="001B60B5"/>
    <w:rsid w:val="001B60DF"/>
    <w:rsid w:val="001B6115"/>
    <w:rsid w:val="001B6131"/>
    <w:rsid w:val="001B6161"/>
    <w:rsid w:val="001B61BD"/>
    <w:rsid w:val="001B6200"/>
    <w:rsid w:val="001B6205"/>
    <w:rsid w:val="001B621F"/>
    <w:rsid w:val="001B622F"/>
    <w:rsid w:val="001B6274"/>
    <w:rsid w:val="001B628F"/>
    <w:rsid w:val="001B6296"/>
    <w:rsid w:val="001B62B0"/>
    <w:rsid w:val="001B6329"/>
    <w:rsid w:val="001B6351"/>
    <w:rsid w:val="001B63BC"/>
    <w:rsid w:val="001B63C9"/>
    <w:rsid w:val="001B6414"/>
    <w:rsid w:val="001B6472"/>
    <w:rsid w:val="001B6479"/>
    <w:rsid w:val="001B6494"/>
    <w:rsid w:val="001B64B6"/>
    <w:rsid w:val="001B64C2"/>
    <w:rsid w:val="001B64DE"/>
    <w:rsid w:val="001B657A"/>
    <w:rsid w:val="001B6587"/>
    <w:rsid w:val="001B65CC"/>
    <w:rsid w:val="001B65DC"/>
    <w:rsid w:val="001B6605"/>
    <w:rsid w:val="001B6680"/>
    <w:rsid w:val="001B6693"/>
    <w:rsid w:val="001B66C1"/>
    <w:rsid w:val="001B67E3"/>
    <w:rsid w:val="001B67F2"/>
    <w:rsid w:val="001B684E"/>
    <w:rsid w:val="001B685B"/>
    <w:rsid w:val="001B68C6"/>
    <w:rsid w:val="001B6987"/>
    <w:rsid w:val="001B69BE"/>
    <w:rsid w:val="001B6A29"/>
    <w:rsid w:val="001B6A43"/>
    <w:rsid w:val="001B6ABD"/>
    <w:rsid w:val="001B6B14"/>
    <w:rsid w:val="001B6B41"/>
    <w:rsid w:val="001B6B44"/>
    <w:rsid w:val="001B6B8D"/>
    <w:rsid w:val="001B6BC7"/>
    <w:rsid w:val="001B6BD0"/>
    <w:rsid w:val="001B6BDE"/>
    <w:rsid w:val="001B6BE8"/>
    <w:rsid w:val="001B6C2F"/>
    <w:rsid w:val="001B6C45"/>
    <w:rsid w:val="001B6C67"/>
    <w:rsid w:val="001B6D12"/>
    <w:rsid w:val="001B6DDB"/>
    <w:rsid w:val="001B6DFF"/>
    <w:rsid w:val="001B6E5B"/>
    <w:rsid w:val="001B6ED5"/>
    <w:rsid w:val="001B6FDE"/>
    <w:rsid w:val="001B700E"/>
    <w:rsid w:val="001B703F"/>
    <w:rsid w:val="001B7089"/>
    <w:rsid w:val="001B70FE"/>
    <w:rsid w:val="001B7166"/>
    <w:rsid w:val="001B7194"/>
    <w:rsid w:val="001B7212"/>
    <w:rsid w:val="001B7215"/>
    <w:rsid w:val="001B7249"/>
    <w:rsid w:val="001B728F"/>
    <w:rsid w:val="001B72C1"/>
    <w:rsid w:val="001B72F5"/>
    <w:rsid w:val="001B734B"/>
    <w:rsid w:val="001B73A5"/>
    <w:rsid w:val="001B73AE"/>
    <w:rsid w:val="001B7425"/>
    <w:rsid w:val="001B7435"/>
    <w:rsid w:val="001B7460"/>
    <w:rsid w:val="001B74B5"/>
    <w:rsid w:val="001B7569"/>
    <w:rsid w:val="001B7596"/>
    <w:rsid w:val="001B75AA"/>
    <w:rsid w:val="001B75B4"/>
    <w:rsid w:val="001B760E"/>
    <w:rsid w:val="001B7650"/>
    <w:rsid w:val="001B7676"/>
    <w:rsid w:val="001B770F"/>
    <w:rsid w:val="001B7792"/>
    <w:rsid w:val="001B7813"/>
    <w:rsid w:val="001B7868"/>
    <w:rsid w:val="001B788A"/>
    <w:rsid w:val="001B78C9"/>
    <w:rsid w:val="001B7935"/>
    <w:rsid w:val="001B798A"/>
    <w:rsid w:val="001B799C"/>
    <w:rsid w:val="001B7A18"/>
    <w:rsid w:val="001B7A80"/>
    <w:rsid w:val="001B7B17"/>
    <w:rsid w:val="001B7B18"/>
    <w:rsid w:val="001B7B38"/>
    <w:rsid w:val="001B7C3F"/>
    <w:rsid w:val="001B7C8F"/>
    <w:rsid w:val="001B7CAB"/>
    <w:rsid w:val="001B7D0B"/>
    <w:rsid w:val="001B7D99"/>
    <w:rsid w:val="001B7DAE"/>
    <w:rsid w:val="001B7F04"/>
    <w:rsid w:val="001B7F6D"/>
    <w:rsid w:val="001B7F93"/>
    <w:rsid w:val="001B7FB5"/>
    <w:rsid w:val="001C009E"/>
    <w:rsid w:val="001C00B5"/>
    <w:rsid w:val="001C0129"/>
    <w:rsid w:val="001C0139"/>
    <w:rsid w:val="001C0147"/>
    <w:rsid w:val="001C0158"/>
    <w:rsid w:val="001C026F"/>
    <w:rsid w:val="001C027B"/>
    <w:rsid w:val="001C02B0"/>
    <w:rsid w:val="001C02C1"/>
    <w:rsid w:val="001C02D0"/>
    <w:rsid w:val="001C0332"/>
    <w:rsid w:val="001C039B"/>
    <w:rsid w:val="001C0403"/>
    <w:rsid w:val="001C041D"/>
    <w:rsid w:val="001C0434"/>
    <w:rsid w:val="001C0494"/>
    <w:rsid w:val="001C0499"/>
    <w:rsid w:val="001C04A2"/>
    <w:rsid w:val="001C04E3"/>
    <w:rsid w:val="001C0547"/>
    <w:rsid w:val="001C0565"/>
    <w:rsid w:val="001C05C8"/>
    <w:rsid w:val="001C068A"/>
    <w:rsid w:val="001C06D3"/>
    <w:rsid w:val="001C0747"/>
    <w:rsid w:val="001C0768"/>
    <w:rsid w:val="001C0788"/>
    <w:rsid w:val="001C07CB"/>
    <w:rsid w:val="001C07F9"/>
    <w:rsid w:val="001C0832"/>
    <w:rsid w:val="001C0859"/>
    <w:rsid w:val="001C0928"/>
    <w:rsid w:val="001C0993"/>
    <w:rsid w:val="001C09AD"/>
    <w:rsid w:val="001C0B13"/>
    <w:rsid w:val="001C0BF9"/>
    <w:rsid w:val="001C0D60"/>
    <w:rsid w:val="001C0D69"/>
    <w:rsid w:val="001C0D6E"/>
    <w:rsid w:val="001C0D8C"/>
    <w:rsid w:val="001C0DA0"/>
    <w:rsid w:val="001C0DAB"/>
    <w:rsid w:val="001C0DC9"/>
    <w:rsid w:val="001C0E3A"/>
    <w:rsid w:val="001C0E82"/>
    <w:rsid w:val="001C0E87"/>
    <w:rsid w:val="001C0F15"/>
    <w:rsid w:val="001C0F22"/>
    <w:rsid w:val="001C0F6F"/>
    <w:rsid w:val="001C1072"/>
    <w:rsid w:val="001C10F1"/>
    <w:rsid w:val="001C1119"/>
    <w:rsid w:val="001C11CD"/>
    <w:rsid w:val="001C11DE"/>
    <w:rsid w:val="001C124C"/>
    <w:rsid w:val="001C126F"/>
    <w:rsid w:val="001C12C1"/>
    <w:rsid w:val="001C1383"/>
    <w:rsid w:val="001C13D2"/>
    <w:rsid w:val="001C1477"/>
    <w:rsid w:val="001C14DD"/>
    <w:rsid w:val="001C1530"/>
    <w:rsid w:val="001C154A"/>
    <w:rsid w:val="001C1574"/>
    <w:rsid w:val="001C15C3"/>
    <w:rsid w:val="001C16A2"/>
    <w:rsid w:val="001C16EE"/>
    <w:rsid w:val="001C1720"/>
    <w:rsid w:val="001C179B"/>
    <w:rsid w:val="001C1875"/>
    <w:rsid w:val="001C18A9"/>
    <w:rsid w:val="001C19D1"/>
    <w:rsid w:val="001C19FE"/>
    <w:rsid w:val="001C1A09"/>
    <w:rsid w:val="001C1A5E"/>
    <w:rsid w:val="001C1ABD"/>
    <w:rsid w:val="001C1AE7"/>
    <w:rsid w:val="001C1B08"/>
    <w:rsid w:val="001C1B80"/>
    <w:rsid w:val="001C1BBD"/>
    <w:rsid w:val="001C1BD2"/>
    <w:rsid w:val="001C1C07"/>
    <w:rsid w:val="001C1C30"/>
    <w:rsid w:val="001C1C67"/>
    <w:rsid w:val="001C1D0E"/>
    <w:rsid w:val="001C1D11"/>
    <w:rsid w:val="001C1D14"/>
    <w:rsid w:val="001C1D64"/>
    <w:rsid w:val="001C1DA4"/>
    <w:rsid w:val="001C1DAA"/>
    <w:rsid w:val="001C1DEE"/>
    <w:rsid w:val="001C1F36"/>
    <w:rsid w:val="001C1FF4"/>
    <w:rsid w:val="001C1FFA"/>
    <w:rsid w:val="001C2116"/>
    <w:rsid w:val="001C2183"/>
    <w:rsid w:val="001C21AE"/>
    <w:rsid w:val="001C21B4"/>
    <w:rsid w:val="001C21CB"/>
    <w:rsid w:val="001C2260"/>
    <w:rsid w:val="001C22B9"/>
    <w:rsid w:val="001C22E4"/>
    <w:rsid w:val="001C22E8"/>
    <w:rsid w:val="001C2302"/>
    <w:rsid w:val="001C234C"/>
    <w:rsid w:val="001C2384"/>
    <w:rsid w:val="001C2394"/>
    <w:rsid w:val="001C23C6"/>
    <w:rsid w:val="001C2411"/>
    <w:rsid w:val="001C2437"/>
    <w:rsid w:val="001C2492"/>
    <w:rsid w:val="001C24CF"/>
    <w:rsid w:val="001C2616"/>
    <w:rsid w:val="001C2648"/>
    <w:rsid w:val="001C267E"/>
    <w:rsid w:val="001C26B8"/>
    <w:rsid w:val="001C26CE"/>
    <w:rsid w:val="001C2833"/>
    <w:rsid w:val="001C2858"/>
    <w:rsid w:val="001C285D"/>
    <w:rsid w:val="001C28AF"/>
    <w:rsid w:val="001C2989"/>
    <w:rsid w:val="001C2A41"/>
    <w:rsid w:val="001C2B4E"/>
    <w:rsid w:val="001C2B5C"/>
    <w:rsid w:val="001C2B72"/>
    <w:rsid w:val="001C2B78"/>
    <w:rsid w:val="001C2BE8"/>
    <w:rsid w:val="001C2C2F"/>
    <w:rsid w:val="001C2C6F"/>
    <w:rsid w:val="001C2CAE"/>
    <w:rsid w:val="001C2D1E"/>
    <w:rsid w:val="001C2D5D"/>
    <w:rsid w:val="001C2D90"/>
    <w:rsid w:val="001C2E6A"/>
    <w:rsid w:val="001C2E96"/>
    <w:rsid w:val="001C2EAE"/>
    <w:rsid w:val="001C2EFC"/>
    <w:rsid w:val="001C2F61"/>
    <w:rsid w:val="001C2FBB"/>
    <w:rsid w:val="001C3026"/>
    <w:rsid w:val="001C30D3"/>
    <w:rsid w:val="001C314C"/>
    <w:rsid w:val="001C31C3"/>
    <w:rsid w:val="001C3202"/>
    <w:rsid w:val="001C320B"/>
    <w:rsid w:val="001C3212"/>
    <w:rsid w:val="001C329F"/>
    <w:rsid w:val="001C3398"/>
    <w:rsid w:val="001C344E"/>
    <w:rsid w:val="001C3466"/>
    <w:rsid w:val="001C34B9"/>
    <w:rsid w:val="001C3515"/>
    <w:rsid w:val="001C35B1"/>
    <w:rsid w:val="001C35CF"/>
    <w:rsid w:val="001C3633"/>
    <w:rsid w:val="001C367F"/>
    <w:rsid w:val="001C36D0"/>
    <w:rsid w:val="001C3711"/>
    <w:rsid w:val="001C3779"/>
    <w:rsid w:val="001C37FE"/>
    <w:rsid w:val="001C385A"/>
    <w:rsid w:val="001C3957"/>
    <w:rsid w:val="001C3A69"/>
    <w:rsid w:val="001C3A70"/>
    <w:rsid w:val="001C3B06"/>
    <w:rsid w:val="001C3BD3"/>
    <w:rsid w:val="001C3C15"/>
    <w:rsid w:val="001C3C3E"/>
    <w:rsid w:val="001C3C62"/>
    <w:rsid w:val="001C3C6D"/>
    <w:rsid w:val="001C3CDD"/>
    <w:rsid w:val="001C3CE5"/>
    <w:rsid w:val="001C3D17"/>
    <w:rsid w:val="001C3D4C"/>
    <w:rsid w:val="001C3D7E"/>
    <w:rsid w:val="001C3D88"/>
    <w:rsid w:val="001C3DB8"/>
    <w:rsid w:val="001C3DE7"/>
    <w:rsid w:val="001C3E6D"/>
    <w:rsid w:val="001C3E78"/>
    <w:rsid w:val="001C3E9F"/>
    <w:rsid w:val="001C3EB2"/>
    <w:rsid w:val="001C3EBA"/>
    <w:rsid w:val="001C3F55"/>
    <w:rsid w:val="001C3F71"/>
    <w:rsid w:val="001C4003"/>
    <w:rsid w:val="001C40ED"/>
    <w:rsid w:val="001C4129"/>
    <w:rsid w:val="001C412F"/>
    <w:rsid w:val="001C4155"/>
    <w:rsid w:val="001C4185"/>
    <w:rsid w:val="001C41AE"/>
    <w:rsid w:val="001C4283"/>
    <w:rsid w:val="001C42B8"/>
    <w:rsid w:val="001C4303"/>
    <w:rsid w:val="001C43CD"/>
    <w:rsid w:val="001C43F9"/>
    <w:rsid w:val="001C441B"/>
    <w:rsid w:val="001C442B"/>
    <w:rsid w:val="001C4475"/>
    <w:rsid w:val="001C44A2"/>
    <w:rsid w:val="001C44F1"/>
    <w:rsid w:val="001C44FB"/>
    <w:rsid w:val="001C4532"/>
    <w:rsid w:val="001C45A6"/>
    <w:rsid w:val="001C45D6"/>
    <w:rsid w:val="001C45E5"/>
    <w:rsid w:val="001C45FA"/>
    <w:rsid w:val="001C4606"/>
    <w:rsid w:val="001C462B"/>
    <w:rsid w:val="001C4653"/>
    <w:rsid w:val="001C46BE"/>
    <w:rsid w:val="001C47F8"/>
    <w:rsid w:val="001C487E"/>
    <w:rsid w:val="001C48C4"/>
    <w:rsid w:val="001C4902"/>
    <w:rsid w:val="001C4974"/>
    <w:rsid w:val="001C49C2"/>
    <w:rsid w:val="001C4A0B"/>
    <w:rsid w:val="001C4A36"/>
    <w:rsid w:val="001C4A50"/>
    <w:rsid w:val="001C4A69"/>
    <w:rsid w:val="001C4ABE"/>
    <w:rsid w:val="001C4ACA"/>
    <w:rsid w:val="001C4B71"/>
    <w:rsid w:val="001C4C52"/>
    <w:rsid w:val="001C4C6A"/>
    <w:rsid w:val="001C4C85"/>
    <w:rsid w:val="001C4DBA"/>
    <w:rsid w:val="001C4DD2"/>
    <w:rsid w:val="001C4DD8"/>
    <w:rsid w:val="001C4DE0"/>
    <w:rsid w:val="001C4DE3"/>
    <w:rsid w:val="001C4E1C"/>
    <w:rsid w:val="001C4E3F"/>
    <w:rsid w:val="001C4E87"/>
    <w:rsid w:val="001C4EEE"/>
    <w:rsid w:val="001C4F0C"/>
    <w:rsid w:val="001C4FC3"/>
    <w:rsid w:val="001C4FF0"/>
    <w:rsid w:val="001C5018"/>
    <w:rsid w:val="001C508E"/>
    <w:rsid w:val="001C50BA"/>
    <w:rsid w:val="001C5113"/>
    <w:rsid w:val="001C5198"/>
    <w:rsid w:val="001C526F"/>
    <w:rsid w:val="001C5301"/>
    <w:rsid w:val="001C535B"/>
    <w:rsid w:val="001C5360"/>
    <w:rsid w:val="001C538B"/>
    <w:rsid w:val="001C53C5"/>
    <w:rsid w:val="001C53C6"/>
    <w:rsid w:val="001C53F2"/>
    <w:rsid w:val="001C544D"/>
    <w:rsid w:val="001C544F"/>
    <w:rsid w:val="001C5488"/>
    <w:rsid w:val="001C54B9"/>
    <w:rsid w:val="001C5513"/>
    <w:rsid w:val="001C558B"/>
    <w:rsid w:val="001C562A"/>
    <w:rsid w:val="001C5662"/>
    <w:rsid w:val="001C566E"/>
    <w:rsid w:val="001C572D"/>
    <w:rsid w:val="001C57E0"/>
    <w:rsid w:val="001C5883"/>
    <w:rsid w:val="001C59F0"/>
    <w:rsid w:val="001C59F5"/>
    <w:rsid w:val="001C5AFC"/>
    <w:rsid w:val="001C5B08"/>
    <w:rsid w:val="001C5B16"/>
    <w:rsid w:val="001C5B55"/>
    <w:rsid w:val="001C5B67"/>
    <w:rsid w:val="001C5BBA"/>
    <w:rsid w:val="001C5C16"/>
    <w:rsid w:val="001C5C95"/>
    <w:rsid w:val="001C5CE8"/>
    <w:rsid w:val="001C5CF9"/>
    <w:rsid w:val="001C5D65"/>
    <w:rsid w:val="001C5DB2"/>
    <w:rsid w:val="001C5DBE"/>
    <w:rsid w:val="001C5DD3"/>
    <w:rsid w:val="001C5DE9"/>
    <w:rsid w:val="001C5DED"/>
    <w:rsid w:val="001C5EB5"/>
    <w:rsid w:val="001C5EDD"/>
    <w:rsid w:val="001C5F1B"/>
    <w:rsid w:val="001C5F1C"/>
    <w:rsid w:val="001C5F79"/>
    <w:rsid w:val="001C5F84"/>
    <w:rsid w:val="001C5FEA"/>
    <w:rsid w:val="001C6057"/>
    <w:rsid w:val="001C60E9"/>
    <w:rsid w:val="001C6184"/>
    <w:rsid w:val="001C621B"/>
    <w:rsid w:val="001C62DB"/>
    <w:rsid w:val="001C6317"/>
    <w:rsid w:val="001C6397"/>
    <w:rsid w:val="001C639B"/>
    <w:rsid w:val="001C63D3"/>
    <w:rsid w:val="001C6469"/>
    <w:rsid w:val="001C64AE"/>
    <w:rsid w:val="001C64E5"/>
    <w:rsid w:val="001C6519"/>
    <w:rsid w:val="001C67C5"/>
    <w:rsid w:val="001C68B1"/>
    <w:rsid w:val="001C69C3"/>
    <w:rsid w:val="001C69FB"/>
    <w:rsid w:val="001C6A5A"/>
    <w:rsid w:val="001C6AB0"/>
    <w:rsid w:val="001C6B97"/>
    <w:rsid w:val="001C6BD0"/>
    <w:rsid w:val="001C6C93"/>
    <w:rsid w:val="001C6CB5"/>
    <w:rsid w:val="001C6D8D"/>
    <w:rsid w:val="001C6DD4"/>
    <w:rsid w:val="001C6DDE"/>
    <w:rsid w:val="001C6E03"/>
    <w:rsid w:val="001C6E8A"/>
    <w:rsid w:val="001C6E8F"/>
    <w:rsid w:val="001C6EDF"/>
    <w:rsid w:val="001C6F55"/>
    <w:rsid w:val="001C6FA4"/>
    <w:rsid w:val="001C7069"/>
    <w:rsid w:val="001C7078"/>
    <w:rsid w:val="001C7094"/>
    <w:rsid w:val="001C7122"/>
    <w:rsid w:val="001C7189"/>
    <w:rsid w:val="001C723D"/>
    <w:rsid w:val="001C7259"/>
    <w:rsid w:val="001C726E"/>
    <w:rsid w:val="001C728B"/>
    <w:rsid w:val="001C7296"/>
    <w:rsid w:val="001C7396"/>
    <w:rsid w:val="001C7421"/>
    <w:rsid w:val="001C747E"/>
    <w:rsid w:val="001C752E"/>
    <w:rsid w:val="001C7651"/>
    <w:rsid w:val="001C765B"/>
    <w:rsid w:val="001C767C"/>
    <w:rsid w:val="001C7682"/>
    <w:rsid w:val="001C76A4"/>
    <w:rsid w:val="001C76CC"/>
    <w:rsid w:val="001C76E4"/>
    <w:rsid w:val="001C7719"/>
    <w:rsid w:val="001C773A"/>
    <w:rsid w:val="001C7870"/>
    <w:rsid w:val="001C7892"/>
    <w:rsid w:val="001C78C7"/>
    <w:rsid w:val="001C797E"/>
    <w:rsid w:val="001C7A1E"/>
    <w:rsid w:val="001C7A3F"/>
    <w:rsid w:val="001C7A55"/>
    <w:rsid w:val="001C7AA9"/>
    <w:rsid w:val="001C7AD7"/>
    <w:rsid w:val="001C7AE4"/>
    <w:rsid w:val="001C7B3C"/>
    <w:rsid w:val="001C7BA6"/>
    <w:rsid w:val="001C7C93"/>
    <w:rsid w:val="001C7CFB"/>
    <w:rsid w:val="001C7DD4"/>
    <w:rsid w:val="001C7DE3"/>
    <w:rsid w:val="001C7DF2"/>
    <w:rsid w:val="001C7F7F"/>
    <w:rsid w:val="001C7F8E"/>
    <w:rsid w:val="001C7FAC"/>
    <w:rsid w:val="001C7FBC"/>
    <w:rsid w:val="001C7FEC"/>
    <w:rsid w:val="001D00A5"/>
    <w:rsid w:val="001D00BE"/>
    <w:rsid w:val="001D00CA"/>
    <w:rsid w:val="001D00FF"/>
    <w:rsid w:val="001D015B"/>
    <w:rsid w:val="001D0166"/>
    <w:rsid w:val="001D01D9"/>
    <w:rsid w:val="001D0291"/>
    <w:rsid w:val="001D0355"/>
    <w:rsid w:val="001D0368"/>
    <w:rsid w:val="001D036E"/>
    <w:rsid w:val="001D03D6"/>
    <w:rsid w:val="001D0485"/>
    <w:rsid w:val="001D0493"/>
    <w:rsid w:val="001D04B7"/>
    <w:rsid w:val="001D04CA"/>
    <w:rsid w:val="001D04F0"/>
    <w:rsid w:val="001D0558"/>
    <w:rsid w:val="001D0573"/>
    <w:rsid w:val="001D058C"/>
    <w:rsid w:val="001D05AA"/>
    <w:rsid w:val="001D05BE"/>
    <w:rsid w:val="001D05E8"/>
    <w:rsid w:val="001D0621"/>
    <w:rsid w:val="001D062E"/>
    <w:rsid w:val="001D0720"/>
    <w:rsid w:val="001D0735"/>
    <w:rsid w:val="001D0784"/>
    <w:rsid w:val="001D07B5"/>
    <w:rsid w:val="001D07D5"/>
    <w:rsid w:val="001D07EC"/>
    <w:rsid w:val="001D085B"/>
    <w:rsid w:val="001D08DB"/>
    <w:rsid w:val="001D0988"/>
    <w:rsid w:val="001D0A57"/>
    <w:rsid w:val="001D0AD6"/>
    <w:rsid w:val="001D0B08"/>
    <w:rsid w:val="001D0BAD"/>
    <w:rsid w:val="001D0C1E"/>
    <w:rsid w:val="001D0C78"/>
    <w:rsid w:val="001D0CC3"/>
    <w:rsid w:val="001D0CC7"/>
    <w:rsid w:val="001D0D1A"/>
    <w:rsid w:val="001D0DF5"/>
    <w:rsid w:val="001D0E03"/>
    <w:rsid w:val="001D0E7B"/>
    <w:rsid w:val="001D0E88"/>
    <w:rsid w:val="001D0F2B"/>
    <w:rsid w:val="001D0F42"/>
    <w:rsid w:val="001D0FD1"/>
    <w:rsid w:val="001D1040"/>
    <w:rsid w:val="001D10B4"/>
    <w:rsid w:val="001D10CF"/>
    <w:rsid w:val="001D1133"/>
    <w:rsid w:val="001D128E"/>
    <w:rsid w:val="001D12FB"/>
    <w:rsid w:val="001D1305"/>
    <w:rsid w:val="001D1312"/>
    <w:rsid w:val="001D1358"/>
    <w:rsid w:val="001D13DC"/>
    <w:rsid w:val="001D14A1"/>
    <w:rsid w:val="001D150D"/>
    <w:rsid w:val="001D1551"/>
    <w:rsid w:val="001D15B6"/>
    <w:rsid w:val="001D15DF"/>
    <w:rsid w:val="001D1670"/>
    <w:rsid w:val="001D1676"/>
    <w:rsid w:val="001D173C"/>
    <w:rsid w:val="001D17B2"/>
    <w:rsid w:val="001D17F9"/>
    <w:rsid w:val="001D17FF"/>
    <w:rsid w:val="001D1835"/>
    <w:rsid w:val="001D192F"/>
    <w:rsid w:val="001D1A39"/>
    <w:rsid w:val="001D1A3C"/>
    <w:rsid w:val="001D1A76"/>
    <w:rsid w:val="001D1B77"/>
    <w:rsid w:val="001D1BBB"/>
    <w:rsid w:val="001D1C48"/>
    <w:rsid w:val="001D1CA0"/>
    <w:rsid w:val="001D1D6A"/>
    <w:rsid w:val="001D1E22"/>
    <w:rsid w:val="001D1E5B"/>
    <w:rsid w:val="001D1E69"/>
    <w:rsid w:val="001D1EBB"/>
    <w:rsid w:val="001D1F98"/>
    <w:rsid w:val="001D1FCC"/>
    <w:rsid w:val="001D205F"/>
    <w:rsid w:val="001D20A7"/>
    <w:rsid w:val="001D2130"/>
    <w:rsid w:val="001D213D"/>
    <w:rsid w:val="001D2148"/>
    <w:rsid w:val="001D21DD"/>
    <w:rsid w:val="001D21F2"/>
    <w:rsid w:val="001D21F7"/>
    <w:rsid w:val="001D228B"/>
    <w:rsid w:val="001D2296"/>
    <w:rsid w:val="001D229E"/>
    <w:rsid w:val="001D233A"/>
    <w:rsid w:val="001D2357"/>
    <w:rsid w:val="001D235E"/>
    <w:rsid w:val="001D2382"/>
    <w:rsid w:val="001D23AB"/>
    <w:rsid w:val="001D2410"/>
    <w:rsid w:val="001D24CE"/>
    <w:rsid w:val="001D24E2"/>
    <w:rsid w:val="001D2521"/>
    <w:rsid w:val="001D2524"/>
    <w:rsid w:val="001D2525"/>
    <w:rsid w:val="001D2529"/>
    <w:rsid w:val="001D2536"/>
    <w:rsid w:val="001D2631"/>
    <w:rsid w:val="001D264D"/>
    <w:rsid w:val="001D26B1"/>
    <w:rsid w:val="001D27EB"/>
    <w:rsid w:val="001D28CA"/>
    <w:rsid w:val="001D2970"/>
    <w:rsid w:val="001D29F8"/>
    <w:rsid w:val="001D2A32"/>
    <w:rsid w:val="001D2A54"/>
    <w:rsid w:val="001D2A5B"/>
    <w:rsid w:val="001D2A8A"/>
    <w:rsid w:val="001D2A9E"/>
    <w:rsid w:val="001D2B91"/>
    <w:rsid w:val="001D2B9E"/>
    <w:rsid w:val="001D2C41"/>
    <w:rsid w:val="001D2C49"/>
    <w:rsid w:val="001D2CEC"/>
    <w:rsid w:val="001D2DAB"/>
    <w:rsid w:val="001D2DB0"/>
    <w:rsid w:val="001D2DB6"/>
    <w:rsid w:val="001D2DEB"/>
    <w:rsid w:val="001D2DF4"/>
    <w:rsid w:val="001D2E40"/>
    <w:rsid w:val="001D2EA4"/>
    <w:rsid w:val="001D2EE7"/>
    <w:rsid w:val="001D2F5A"/>
    <w:rsid w:val="001D2FDC"/>
    <w:rsid w:val="001D2FEF"/>
    <w:rsid w:val="001D300F"/>
    <w:rsid w:val="001D30D2"/>
    <w:rsid w:val="001D30D4"/>
    <w:rsid w:val="001D30DB"/>
    <w:rsid w:val="001D3174"/>
    <w:rsid w:val="001D3189"/>
    <w:rsid w:val="001D31E9"/>
    <w:rsid w:val="001D3228"/>
    <w:rsid w:val="001D327D"/>
    <w:rsid w:val="001D32D1"/>
    <w:rsid w:val="001D32F9"/>
    <w:rsid w:val="001D3334"/>
    <w:rsid w:val="001D3368"/>
    <w:rsid w:val="001D33EC"/>
    <w:rsid w:val="001D3422"/>
    <w:rsid w:val="001D3450"/>
    <w:rsid w:val="001D348B"/>
    <w:rsid w:val="001D34ED"/>
    <w:rsid w:val="001D356E"/>
    <w:rsid w:val="001D362C"/>
    <w:rsid w:val="001D36DB"/>
    <w:rsid w:val="001D36E8"/>
    <w:rsid w:val="001D36F1"/>
    <w:rsid w:val="001D36FA"/>
    <w:rsid w:val="001D37DE"/>
    <w:rsid w:val="001D37E2"/>
    <w:rsid w:val="001D3820"/>
    <w:rsid w:val="001D3860"/>
    <w:rsid w:val="001D38A7"/>
    <w:rsid w:val="001D3979"/>
    <w:rsid w:val="001D39CF"/>
    <w:rsid w:val="001D39D0"/>
    <w:rsid w:val="001D39DC"/>
    <w:rsid w:val="001D3AB8"/>
    <w:rsid w:val="001D3AC1"/>
    <w:rsid w:val="001D3AF9"/>
    <w:rsid w:val="001D3BB2"/>
    <w:rsid w:val="001D3BC0"/>
    <w:rsid w:val="001D3C18"/>
    <w:rsid w:val="001D3C20"/>
    <w:rsid w:val="001D3C60"/>
    <w:rsid w:val="001D3D11"/>
    <w:rsid w:val="001D3D52"/>
    <w:rsid w:val="001D3D73"/>
    <w:rsid w:val="001D3DC4"/>
    <w:rsid w:val="001D3DD3"/>
    <w:rsid w:val="001D3DE6"/>
    <w:rsid w:val="001D3DF6"/>
    <w:rsid w:val="001D3E44"/>
    <w:rsid w:val="001D3F72"/>
    <w:rsid w:val="001D3F76"/>
    <w:rsid w:val="001D3FA6"/>
    <w:rsid w:val="001D3FC3"/>
    <w:rsid w:val="001D4037"/>
    <w:rsid w:val="001D40EF"/>
    <w:rsid w:val="001D40F7"/>
    <w:rsid w:val="001D41A6"/>
    <w:rsid w:val="001D41AF"/>
    <w:rsid w:val="001D42D5"/>
    <w:rsid w:val="001D42EB"/>
    <w:rsid w:val="001D4310"/>
    <w:rsid w:val="001D437C"/>
    <w:rsid w:val="001D4452"/>
    <w:rsid w:val="001D4472"/>
    <w:rsid w:val="001D451D"/>
    <w:rsid w:val="001D4566"/>
    <w:rsid w:val="001D458B"/>
    <w:rsid w:val="001D4605"/>
    <w:rsid w:val="001D4629"/>
    <w:rsid w:val="001D467D"/>
    <w:rsid w:val="001D46A4"/>
    <w:rsid w:val="001D46C1"/>
    <w:rsid w:val="001D4701"/>
    <w:rsid w:val="001D4717"/>
    <w:rsid w:val="001D47EF"/>
    <w:rsid w:val="001D484F"/>
    <w:rsid w:val="001D488C"/>
    <w:rsid w:val="001D4A4A"/>
    <w:rsid w:val="001D4A56"/>
    <w:rsid w:val="001D4A94"/>
    <w:rsid w:val="001D4AC8"/>
    <w:rsid w:val="001D4AF6"/>
    <w:rsid w:val="001D4C6F"/>
    <w:rsid w:val="001D4C7D"/>
    <w:rsid w:val="001D4D08"/>
    <w:rsid w:val="001D4D54"/>
    <w:rsid w:val="001D4E6A"/>
    <w:rsid w:val="001D4FD7"/>
    <w:rsid w:val="001D5034"/>
    <w:rsid w:val="001D504C"/>
    <w:rsid w:val="001D5066"/>
    <w:rsid w:val="001D5067"/>
    <w:rsid w:val="001D5075"/>
    <w:rsid w:val="001D50AD"/>
    <w:rsid w:val="001D50F5"/>
    <w:rsid w:val="001D5160"/>
    <w:rsid w:val="001D51A1"/>
    <w:rsid w:val="001D51A3"/>
    <w:rsid w:val="001D51A9"/>
    <w:rsid w:val="001D51D1"/>
    <w:rsid w:val="001D5281"/>
    <w:rsid w:val="001D5288"/>
    <w:rsid w:val="001D5336"/>
    <w:rsid w:val="001D539B"/>
    <w:rsid w:val="001D545B"/>
    <w:rsid w:val="001D5484"/>
    <w:rsid w:val="001D5523"/>
    <w:rsid w:val="001D5620"/>
    <w:rsid w:val="001D5634"/>
    <w:rsid w:val="001D566F"/>
    <w:rsid w:val="001D570B"/>
    <w:rsid w:val="001D572F"/>
    <w:rsid w:val="001D574E"/>
    <w:rsid w:val="001D575E"/>
    <w:rsid w:val="001D5837"/>
    <w:rsid w:val="001D5889"/>
    <w:rsid w:val="001D594E"/>
    <w:rsid w:val="001D599C"/>
    <w:rsid w:val="001D5A62"/>
    <w:rsid w:val="001D5AB9"/>
    <w:rsid w:val="001D5B60"/>
    <w:rsid w:val="001D5B74"/>
    <w:rsid w:val="001D5C17"/>
    <w:rsid w:val="001D5C39"/>
    <w:rsid w:val="001D5C81"/>
    <w:rsid w:val="001D5C84"/>
    <w:rsid w:val="001D5DD5"/>
    <w:rsid w:val="001D5E37"/>
    <w:rsid w:val="001D5E49"/>
    <w:rsid w:val="001D5EAA"/>
    <w:rsid w:val="001D5EC5"/>
    <w:rsid w:val="001D5F72"/>
    <w:rsid w:val="001D5FB9"/>
    <w:rsid w:val="001D5FE1"/>
    <w:rsid w:val="001D602E"/>
    <w:rsid w:val="001D60EA"/>
    <w:rsid w:val="001D6187"/>
    <w:rsid w:val="001D61E5"/>
    <w:rsid w:val="001D62F0"/>
    <w:rsid w:val="001D6302"/>
    <w:rsid w:val="001D634E"/>
    <w:rsid w:val="001D63D0"/>
    <w:rsid w:val="001D63E1"/>
    <w:rsid w:val="001D642F"/>
    <w:rsid w:val="001D6443"/>
    <w:rsid w:val="001D644C"/>
    <w:rsid w:val="001D646C"/>
    <w:rsid w:val="001D649B"/>
    <w:rsid w:val="001D64BC"/>
    <w:rsid w:val="001D654A"/>
    <w:rsid w:val="001D6679"/>
    <w:rsid w:val="001D6721"/>
    <w:rsid w:val="001D6742"/>
    <w:rsid w:val="001D677B"/>
    <w:rsid w:val="001D6804"/>
    <w:rsid w:val="001D6809"/>
    <w:rsid w:val="001D6815"/>
    <w:rsid w:val="001D6837"/>
    <w:rsid w:val="001D69E9"/>
    <w:rsid w:val="001D69EF"/>
    <w:rsid w:val="001D6A1A"/>
    <w:rsid w:val="001D6ACF"/>
    <w:rsid w:val="001D6AE7"/>
    <w:rsid w:val="001D6BA0"/>
    <w:rsid w:val="001D6C1A"/>
    <w:rsid w:val="001D6DF2"/>
    <w:rsid w:val="001D6E67"/>
    <w:rsid w:val="001D6E93"/>
    <w:rsid w:val="001D6EAD"/>
    <w:rsid w:val="001D6F00"/>
    <w:rsid w:val="001D6F25"/>
    <w:rsid w:val="001D6F91"/>
    <w:rsid w:val="001D710D"/>
    <w:rsid w:val="001D714A"/>
    <w:rsid w:val="001D7214"/>
    <w:rsid w:val="001D7219"/>
    <w:rsid w:val="001D7235"/>
    <w:rsid w:val="001D73BC"/>
    <w:rsid w:val="001D7542"/>
    <w:rsid w:val="001D754C"/>
    <w:rsid w:val="001D7550"/>
    <w:rsid w:val="001D759A"/>
    <w:rsid w:val="001D7753"/>
    <w:rsid w:val="001D7778"/>
    <w:rsid w:val="001D77BE"/>
    <w:rsid w:val="001D77E2"/>
    <w:rsid w:val="001D7845"/>
    <w:rsid w:val="001D7848"/>
    <w:rsid w:val="001D78C7"/>
    <w:rsid w:val="001D78EA"/>
    <w:rsid w:val="001D795E"/>
    <w:rsid w:val="001D79D9"/>
    <w:rsid w:val="001D7A0A"/>
    <w:rsid w:val="001D7AC4"/>
    <w:rsid w:val="001D7B0F"/>
    <w:rsid w:val="001D7B5B"/>
    <w:rsid w:val="001D7B6F"/>
    <w:rsid w:val="001D7BBC"/>
    <w:rsid w:val="001D7C53"/>
    <w:rsid w:val="001D7E60"/>
    <w:rsid w:val="001D7EDC"/>
    <w:rsid w:val="001D7F20"/>
    <w:rsid w:val="001D7FDD"/>
    <w:rsid w:val="001E0046"/>
    <w:rsid w:val="001E0150"/>
    <w:rsid w:val="001E015A"/>
    <w:rsid w:val="001E016F"/>
    <w:rsid w:val="001E025C"/>
    <w:rsid w:val="001E02DB"/>
    <w:rsid w:val="001E033B"/>
    <w:rsid w:val="001E0346"/>
    <w:rsid w:val="001E0367"/>
    <w:rsid w:val="001E04E8"/>
    <w:rsid w:val="001E050D"/>
    <w:rsid w:val="001E0516"/>
    <w:rsid w:val="001E062D"/>
    <w:rsid w:val="001E0683"/>
    <w:rsid w:val="001E06BB"/>
    <w:rsid w:val="001E0704"/>
    <w:rsid w:val="001E07FB"/>
    <w:rsid w:val="001E085B"/>
    <w:rsid w:val="001E0910"/>
    <w:rsid w:val="001E0928"/>
    <w:rsid w:val="001E0944"/>
    <w:rsid w:val="001E0971"/>
    <w:rsid w:val="001E0A55"/>
    <w:rsid w:val="001E0AAC"/>
    <w:rsid w:val="001E0B34"/>
    <w:rsid w:val="001E0B3D"/>
    <w:rsid w:val="001E0BE9"/>
    <w:rsid w:val="001E0BEB"/>
    <w:rsid w:val="001E0C06"/>
    <w:rsid w:val="001E0D59"/>
    <w:rsid w:val="001E0DBA"/>
    <w:rsid w:val="001E0DE1"/>
    <w:rsid w:val="001E0DE7"/>
    <w:rsid w:val="001E0DF1"/>
    <w:rsid w:val="001E0DFF"/>
    <w:rsid w:val="001E0E28"/>
    <w:rsid w:val="001E0EAC"/>
    <w:rsid w:val="001E0ED3"/>
    <w:rsid w:val="001E0EF4"/>
    <w:rsid w:val="001E0EF8"/>
    <w:rsid w:val="001E0F70"/>
    <w:rsid w:val="001E1014"/>
    <w:rsid w:val="001E103C"/>
    <w:rsid w:val="001E1058"/>
    <w:rsid w:val="001E1091"/>
    <w:rsid w:val="001E10CB"/>
    <w:rsid w:val="001E1103"/>
    <w:rsid w:val="001E1201"/>
    <w:rsid w:val="001E1226"/>
    <w:rsid w:val="001E12A7"/>
    <w:rsid w:val="001E12C2"/>
    <w:rsid w:val="001E12F1"/>
    <w:rsid w:val="001E139F"/>
    <w:rsid w:val="001E142D"/>
    <w:rsid w:val="001E14FE"/>
    <w:rsid w:val="001E1545"/>
    <w:rsid w:val="001E1547"/>
    <w:rsid w:val="001E15FA"/>
    <w:rsid w:val="001E161F"/>
    <w:rsid w:val="001E16DD"/>
    <w:rsid w:val="001E16FB"/>
    <w:rsid w:val="001E174E"/>
    <w:rsid w:val="001E1759"/>
    <w:rsid w:val="001E1820"/>
    <w:rsid w:val="001E1839"/>
    <w:rsid w:val="001E18BA"/>
    <w:rsid w:val="001E18CC"/>
    <w:rsid w:val="001E19C4"/>
    <w:rsid w:val="001E1A04"/>
    <w:rsid w:val="001E1AB2"/>
    <w:rsid w:val="001E1ACB"/>
    <w:rsid w:val="001E1B22"/>
    <w:rsid w:val="001E1B57"/>
    <w:rsid w:val="001E1DFC"/>
    <w:rsid w:val="001E1E25"/>
    <w:rsid w:val="001E1E74"/>
    <w:rsid w:val="001E1EC6"/>
    <w:rsid w:val="001E1F2E"/>
    <w:rsid w:val="001E1F90"/>
    <w:rsid w:val="001E1F92"/>
    <w:rsid w:val="001E206F"/>
    <w:rsid w:val="001E20BE"/>
    <w:rsid w:val="001E21C0"/>
    <w:rsid w:val="001E21E9"/>
    <w:rsid w:val="001E2306"/>
    <w:rsid w:val="001E2385"/>
    <w:rsid w:val="001E251E"/>
    <w:rsid w:val="001E2557"/>
    <w:rsid w:val="001E276A"/>
    <w:rsid w:val="001E27DD"/>
    <w:rsid w:val="001E27DE"/>
    <w:rsid w:val="001E28CE"/>
    <w:rsid w:val="001E2981"/>
    <w:rsid w:val="001E29B6"/>
    <w:rsid w:val="001E2A89"/>
    <w:rsid w:val="001E2A9A"/>
    <w:rsid w:val="001E2AC9"/>
    <w:rsid w:val="001E2AD2"/>
    <w:rsid w:val="001E2B08"/>
    <w:rsid w:val="001E2B10"/>
    <w:rsid w:val="001E2B58"/>
    <w:rsid w:val="001E2B94"/>
    <w:rsid w:val="001E2C62"/>
    <w:rsid w:val="001E2C80"/>
    <w:rsid w:val="001E2CC8"/>
    <w:rsid w:val="001E2CE3"/>
    <w:rsid w:val="001E2CF5"/>
    <w:rsid w:val="001E2D77"/>
    <w:rsid w:val="001E2D8A"/>
    <w:rsid w:val="001E2DD4"/>
    <w:rsid w:val="001E2F47"/>
    <w:rsid w:val="001E2F90"/>
    <w:rsid w:val="001E300D"/>
    <w:rsid w:val="001E3041"/>
    <w:rsid w:val="001E31C0"/>
    <w:rsid w:val="001E31FF"/>
    <w:rsid w:val="001E32BE"/>
    <w:rsid w:val="001E32CC"/>
    <w:rsid w:val="001E32D4"/>
    <w:rsid w:val="001E33EE"/>
    <w:rsid w:val="001E345F"/>
    <w:rsid w:val="001E3485"/>
    <w:rsid w:val="001E3496"/>
    <w:rsid w:val="001E34F0"/>
    <w:rsid w:val="001E3500"/>
    <w:rsid w:val="001E355F"/>
    <w:rsid w:val="001E356D"/>
    <w:rsid w:val="001E35E0"/>
    <w:rsid w:val="001E35E3"/>
    <w:rsid w:val="001E361F"/>
    <w:rsid w:val="001E3636"/>
    <w:rsid w:val="001E36B1"/>
    <w:rsid w:val="001E36B7"/>
    <w:rsid w:val="001E36EB"/>
    <w:rsid w:val="001E3822"/>
    <w:rsid w:val="001E3878"/>
    <w:rsid w:val="001E3908"/>
    <w:rsid w:val="001E3959"/>
    <w:rsid w:val="001E3974"/>
    <w:rsid w:val="001E3A4D"/>
    <w:rsid w:val="001E3A72"/>
    <w:rsid w:val="001E3AA0"/>
    <w:rsid w:val="001E3AAA"/>
    <w:rsid w:val="001E3B31"/>
    <w:rsid w:val="001E3DC3"/>
    <w:rsid w:val="001E3DC8"/>
    <w:rsid w:val="001E3E2D"/>
    <w:rsid w:val="001E3E72"/>
    <w:rsid w:val="001E3EA5"/>
    <w:rsid w:val="001E3ECF"/>
    <w:rsid w:val="001E3FB0"/>
    <w:rsid w:val="001E4074"/>
    <w:rsid w:val="001E40E3"/>
    <w:rsid w:val="001E414C"/>
    <w:rsid w:val="001E4168"/>
    <w:rsid w:val="001E4180"/>
    <w:rsid w:val="001E41E7"/>
    <w:rsid w:val="001E42BF"/>
    <w:rsid w:val="001E42FE"/>
    <w:rsid w:val="001E4302"/>
    <w:rsid w:val="001E4340"/>
    <w:rsid w:val="001E439E"/>
    <w:rsid w:val="001E43FF"/>
    <w:rsid w:val="001E443E"/>
    <w:rsid w:val="001E4473"/>
    <w:rsid w:val="001E44AC"/>
    <w:rsid w:val="001E452D"/>
    <w:rsid w:val="001E4584"/>
    <w:rsid w:val="001E45C7"/>
    <w:rsid w:val="001E46F4"/>
    <w:rsid w:val="001E4715"/>
    <w:rsid w:val="001E474A"/>
    <w:rsid w:val="001E476A"/>
    <w:rsid w:val="001E477C"/>
    <w:rsid w:val="001E47A6"/>
    <w:rsid w:val="001E47D6"/>
    <w:rsid w:val="001E4823"/>
    <w:rsid w:val="001E48CD"/>
    <w:rsid w:val="001E4957"/>
    <w:rsid w:val="001E49C9"/>
    <w:rsid w:val="001E49F4"/>
    <w:rsid w:val="001E4AB0"/>
    <w:rsid w:val="001E4AC3"/>
    <w:rsid w:val="001E4B72"/>
    <w:rsid w:val="001E4BA3"/>
    <w:rsid w:val="001E4DE1"/>
    <w:rsid w:val="001E4F27"/>
    <w:rsid w:val="001E4F9D"/>
    <w:rsid w:val="001E4FAB"/>
    <w:rsid w:val="001E4FD5"/>
    <w:rsid w:val="001E4FEA"/>
    <w:rsid w:val="001E5048"/>
    <w:rsid w:val="001E5073"/>
    <w:rsid w:val="001E50AD"/>
    <w:rsid w:val="001E51A1"/>
    <w:rsid w:val="001E51AB"/>
    <w:rsid w:val="001E51D3"/>
    <w:rsid w:val="001E51F3"/>
    <w:rsid w:val="001E520D"/>
    <w:rsid w:val="001E526F"/>
    <w:rsid w:val="001E5276"/>
    <w:rsid w:val="001E52F3"/>
    <w:rsid w:val="001E531F"/>
    <w:rsid w:val="001E539E"/>
    <w:rsid w:val="001E53D0"/>
    <w:rsid w:val="001E5425"/>
    <w:rsid w:val="001E5437"/>
    <w:rsid w:val="001E55D7"/>
    <w:rsid w:val="001E5619"/>
    <w:rsid w:val="001E564B"/>
    <w:rsid w:val="001E5656"/>
    <w:rsid w:val="001E5675"/>
    <w:rsid w:val="001E56A9"/>
    <w:rsid w:val="001E586D"/>
    <w:rsid w:val="001E5885"/>
    <w:rsid w:val="001E58E8"/>
    <w:rsid w:val="001E5905"/>
    <w:rsid w:val="001E595F"/>
    <w:rsid w:val="001E5987"/>
    <w:rsid w:val="001E59CC"/>
    <w:rsid w:val="001E5A37"/>
    <w:rsid w:val="001E5A5A"/>
    <w:rsid w:val="001E5AF7"/>
    <w:rsid w:val="001E5C1D"/>
    <w:rsid w:val="001E5CBB"/>
    <w:rsid w:val="001E5D2D"/>
    <w:rsid w:val="001E5D71"/>
    <w:rsid w:val="001E5D74"/>
    <w:rsid w:val="001E5DAA"/>
    <w:rsid w:val="001E5E08"/>
    <w:rsid w:val="001E5E5E"/>
    <w:rsid w:val="001E5E99"/>
    <w:rsid w:val="001E5F4F"/>
    <w:rsid w:val="001E5FDE"/>
    <w:rsid w:val="001E5FF7"/>
    <w:rsid w:val="001E6075"/>
    <w:rsid w:val="001E61B0"/>
    <w:rsid w:val="001E6201"/>
    <w:rsid w:val="001E623F"/>
    <w:rsid w:val="001E6259"/>
    <w:rsid w:val="001E6347"/>
    <w:rsid w:val="001E63FB"/>
    <w:rsid w:val="001E650D"/>
    <w:rsid w:val="001E657A"/>
    <w:rsid w:val="001E65AD"/>
    <w:rsid w:val="001E65B5"/>
    <w:rsid w:val="001E65E8"/>
    <w:rsid w:val="001E6743"/>
    <w:rsid w:val="001E6751"/>
    <w:rsid w:val="001E675F"/>
    <w:rsid w:val="001E6779"/>
    <w:rsid w:val="001E67DD"/>
    <w:rsid w:val="001E687A"/>
    <w:rsid w:val="001E6985"/>
    <w:rsid w:val="001E6B16"/>
    <w:rsid w:val="001E6B2C"/>
    <w:rsid w:val="001E6B8E"/>
    <w:rsid w:val="001E6BDC"/>
    <w:rsid w:val="001E6BE0"/>
    <w:rsid w:val="001E6C3C"/>
    <w:rsid w:val="001E6CD3"/>
    <w:rsid w:val="001E6CE7"/>
    <w:rsid w:val="001E6CEF"/>
    <w:rsid w:val="001E6D7F"/>
    <w:rsid w:val="001E6D91"/>
    <w:rsid w:val="001E6DBF"/>
    <w:rsid w:val="001E6DED"/>
    <w:rsid w:val="001E6E34"/>
    <w:rsid w:val="001E6EA2"/>
    <w:rsid w:val="001E6ED1"/>
    <w:rsid w:val="001E6F94"/>
    <w:rsid w:val="001E6FC2"/>
    <w:rsid w:val="001E706C"/>
    <w:rsid w:val="001E7098"/>
    <w:rsid w:val="001E70B2"/>
    <w:rsid w:val="001E70CF"/>
    <w:rsid w:val="001E7135"/>
    <w:rsid w:val="001E7155"/>
    <w:rsid w:val="001E7233"/>
    <w:rsid w:val="001E72DF"/>
    <w:rsid w:val="001E72E2"/>
    <w:rsid w:val="001E733E"/>
    <w:rsid w:val="001E745C"/>
    <w:rsid w:val="001E7495"/>
    <w:rsid w:val="001E74B8"/>
    <w:rsid w:val="001E75A4"/>
    <w:rsid w:val="001E75CF"/>
    <w:rsid w:val="001E75DA"/>
    <w:rsid w:val="001E7693"/>
    <w:rsid w:val="001E77E1"/>
    <w:rsid w:val="001E7823"/>
    <w:rsid w:val="001E7848"/>
    <w:rsid w:val="001E78FD"/>
    <w:rsid w:val="001E7933"/>
    <w:rsid w:val="001E794A"/>
    <w:rsid w:val="001E79F9"/>
    <w:rsid w:val="001E7AA0"/>
    <w:rsid w:val="001E7AE3"/>
    <w:rsid w:val="001E7B8D"/>
    <w:rsid w:val="001E7BCC"/>
    <w:rsid w:val="001E7C27"/>
    <w:rsid w:val="001E7CF8"/>
    <w:rsid w:val="001E7D17"/>
    <w:rsid w:val="001E7D46"/>
    <w:rsid w:val="001E7DAA"/>
    <w:rsid w:val="001E7DBB"/>
    <w:rsid w:val="001E7DC7"/>
    <w:rsid w:val="001E7EA7"/>
    <w:rsid w:val="001E7F5B"/>
    <w:rsid w:val="001E7F5F"/>
    <w:rsid w:val="001E7F8A"/>
    <w:rsid w:val="001E7FF1"/>
    <w:rsid w:val="001F01AB"/>
    <w:rsid w:val="001F0216"/>
    <w:rsid w:val="001F024A"/>
    <w:rsid w:val="001F0278"/>
    <w:rsid w:val="001F02E0"/>
    <w:rsid w:val="001F02E6"/>
    <w:rsid w:val="001F031D"/>
    <w:rsid w:val="001F03AB"/>
    <w:rsid w:val="001F03ED"/>
    <w:rsid w:val="001F0418"/>
    <w:rsid w:val="001F044C"/>
    <w:rsid w:val="001F0484"/>
    <w:rsid w:val="001F04F1"/>
    <w:rsid w:val="001F0652"/>
    <w:rsid w:val="001F06CB"/>
    <w:rsid w:val="001F0721"/>
    <w:rsid w:val="001F0722"/>
    <w:rsid w:val="001F0725"/>
    <w:rsid w:val="001F07BD"/>
    <w:rsid w:val="001F07FB"/>
    <w:rsid w:val="001F0800"/>
    <w:rsid w:val="001F0858"/>
    <w:rsid w:val="001F0872"/>
    <w:rsid w:val="001F0874"/>
    <w:rsid w:val="001F0895"/>
    <w:rsid w:val="001F08A2"/>
    <w:rsid w:val="001F08B4"/>
    <w:rsid w:val="001F08B5"/>
    <w:rsid w:val="001F08CB"/>
    <w:rsid w:val="001F08D2"/>
    <w:rsid w:val="001F08F7"/>
    <w:rsid w:val="001F0922"/>
    <w:rsid w:val="001F093E"/>
    <w:rsid w:val="001F09CA"/>
    <w:rsid w:val="001F0A60"/>
    <w:rsid w:val="001F0B1A"/>
    <w:rsid w:val="001F0B1C"/>
    <w:rsid w:val="001F0B43"/>
    <w:rsid w:val="001F0B4B"/>
    <w:rsid w:val="001F0BA2"/>
    <w:rsid w:val="001F0BD0"/>
    <w:rsid w:val="001F0C67"/>
    <w:rsid w:val="001F0C7D"/>
    <w:rsid w:val="001F0D40"/>
    <w:rsid w:val="001F0DC8"/>
    <w:rsid w:val="001F0E44"/>
    <w:rsid w:val="001F0EFC"/>
    <w:rsid w:val="001F0F39"/>
    <w:rsid w:val="001F0F4E"/>
    <w:rsid w:val="001F0FAC"/>
    <w:rsid w:val="001F105A"/>
    <w:rsid w:val="001F1098"/>
    <w:rsid w:val="001F10A1"/>
    <w:rsid w:val="001F10F6"/>
    <w:rsid w:val="001F118A"/>
    <w:rsid w:val="001F118D"/>
    <w:rsid w:val="001F1196"/>
    <w:rsid w:val="001F1205"/>
    <w:rsid w:val="001F1246"/>
    <w:rsid w:val="001F128E"/>
    <w:rsid w:val="001F12D5"/>
    <w:rsid w:val="001F12E8"/>
    <w:rsid w:val="001F139F"/>
    <w:rsid w:val="001F13CB"/>
    <w:rsid w:val="001F141C"/>
    <w:rsid w:val="001F1470"/>
    <w:rsid w:val="001F14F6"/>
    <w:rsid w:val="001F1536"/>
    <w:rsid w:val="001F1560"/>
    <w:rsid w:val="001F1593"/>
    <w:rsid w:val="001F159C"/>
    <w:rsid w:val="001F15CF"/>
    <w:rsid w:val="001F1648"/>
    <w:rsid w:val="001F165E"/>
    <w:rsid w:val="001F16F9"/>
    <w:rsid w:val="001F1723"/>
    <w:rsid w:val="001F1758"/>
    <w:rsid w:val="001F1794"/>
    <w:rsid w:val="001F17AB"/>
    <w:rsid w:val="001F17B2"/>
    <w:rsid w:val="001F17BE"/>
    <w:rsid w:val="001F17C4"/>
    <w:rsid w:val="001F17D4"/>
    <w:rsid w:val="001F1915"/>
    <w:rsid w:val="001F191E"/>
    <w:rsid w:val="001F196D"/>
    <w:rsid w:val="001F1A03"/>
    <w:rsid w:val="001F1A69"/>
    <w:rsid w:val="001F1BDD"/>
    <w:rsid w:val="001F1BE9"/>
    <w:rsid w:val="001F1D0C"/>
    <w:rsid w:val="001F1D0D"/>
    <w:rsid w:val="001F1D93"/>
    <w:rsid w:val="001F1D9A"/>
    <w:rsid w:val="001F1DB2"/>
    <w:rsid w:val="001F1DF3"/>
    <w:rsid w:val="001F1EF6"/>
    <w:rsid w:val="001F1F78"/>
    <w:rsid w:val="001F1FA7"/>
    <w:rsid w:val="001F1FC8"/>
    <w:rsid w:val="001F1FFA"/>
    <w:rsid w:val="001F2026"/>
    <w:rsid w:val="001F2038"/>
    <w:rsid w:val="001F203E"/>
    <w:rsid w:val="001F20CA"/>
    <w:rsid w:val="001F20D3"/>
    <w:rsid w:val="001F2128"/>
    <w:rsid w:val="001F2145"/>
    <w:rsid w:val="001F21AE"/>
    <w:rsid w:val="001F2206"/>
    <w:rsid w:val="001F2211"/>
    <w:rsid w:val="001F2238"/>
    <w:rsid w:val="001F2288"/>
    <w:rsid w:val="001F22E7"/>
    <w:rsid w:val="001F22F8"/>
    <w:rsid w:val="001F23E6"/>
    <w:rsid w:val="001F2495"/>
    <w:rsid w:val="001F24A9"/>
    <w:rsid w:val="001F2531"/>
    <w:rsid w:val="001F2541"/>
    <w:rsid w:val="001F265F"/>
    <w:rsid w:val="001F269D"/>
    <w:rsid w:val="001F2726"/>
    <w:rsid w:val="001F2805"/>
    <w:rsid w:val="001F2833"/>
    <w:rsid w:val="001F2877"/>
    <w:rsid w:val="001F2887"/>
    <w:rsid w:val="001F29F8"/>
    <w:rsid w:val="001F2BE9"/>
    <w:rsid w:val="001F2C58"/>
    <w:rsid w:val="001F2C88"/>
    <w:rsid w:val="001F2DB2"/>
    <w:rsid w:val="001F2DEE"/>
    <w:rsid w:val="001F2F99"/>
    <w:rsid w:val="001F2FAE"/>
    <w:rsid w:val="001F307D"/>
    <w:rsid w:val="001F3121"/>
    <w:rsid w:val="001F32C1"/>
    <w:rsid w:val="001F33C6"/>
    <w:rsid w:val="001F33E5"/>
    <w:rsid w:val="001F344E"/>
    <w:rsid w:val="001F3490"/>
    <w:rsid w:val="001F349C"/>
    <w:rsid w:val="001F353D"/>
    <w:rsid w:val="001F3595"/>
    <w:rsid w:val="001F35C1"/>
    <w:rsid w:val="001F3876"/>
    <w:rsid w:val="001F38E3"/>
    <w:rsid w:val="001F3A55"/>
    <w:rsid w:val="001F3A67"/>
    <w:rsid w:val="001F3A6A"/>
    <w:rsid w:val="001F3A8C"/>
    <w:rsid w:val="001F3AFF"/>
    <w:rsid w:val="001F3B68"/>
    <w:rsid w:val="001F3BD0"/>
    <w:rsid w:val="001F3CB2"/>
    <w:rsid w:val="001F3D19"/>
    <w:rsid w:val="001F3E1F"/>
    <w:rsid w:val="001F3F02"/>
    <w:rsid w:val="001F3FB5"/>
    <w:rsid w:val="001F40FD"/>
    <w:rsid w:val="001F41F7"/>
    <w:rsid w:val="001F4218"/>
    <w:rsid w:val="001F427B"/>
    <w:rsid w:val="001F431C"/>
    <w:rsid w:val="001F432E"/>
    <w:rsid w:val="001F4370"/>
    <w:rsid w:val="001F438D"/>
    <w:rsid w:val="001F439D"/>
    <w:rsid w:val="001F43DA"/>
    <w:rsid w:val="001F4411"/>
    <w:rsid w:val="001F45D5"/>
    <w:rsid w:val="001F45FD"/>
    <w:rsid w:val="001F4631"/>
    <w:rsid w:val="001F4656"/>
    <w:rsid w:val="001F46A2"/>
    <w:rsid w:val="001F46FA"/>
    <w:rsid w:val="001F479A"/>
    <w:rsid w:val="001F480D"/>
    <w:rsid w:val="001F4875"/>
    <w:rsid w:val="001F48A1"/>
    <w:rsid w:val="001F48DD"/>
    <w:rsid w:val="001F4901"/>
    <w:rsid w:val="001F4915"/>
    <w:rsid w:val="001F497C"/>
    <w:rsid w:val="001F499F"/>
    <w:rsid w:val="001F4A67"/>
    <w:rsid w:val="001F4B74"/>
    <w:rsid w:val="001F4BEA"/>
    <w:rsid w:val="001F4C71"/>
    <w:rsid w:val="001F4D00"/>
    <w:rsid w:val="001F4D2A"/>
    <w:rsid w:val="001F4D2D"/>
    <w:rsid w:val="001F4D4E"/>
    <w:rsid w:val="001F4D78"/>
    <w:rsid w:val="001F4DDA"/>
    <w:rsid w:val="001F4DE3"/>
    <w:rsid w:val="001F4F2A"/>
    <w:rsid w:val="001F4F65"/>
    <w:rsid w:val="001F4F75"/>
    <w:rsid w:val="001F4FE3"/>
    <w:rsid w:val="001F5024"/>
    <w:rsid w:val="001F5043"/>
    <w:rsid w:val="001F509C"/>
    <w:rsid w:val="001F5100"/>
    <w:rsid w:val="001F5152"/>
    <w:rsid w:val="001F5315"/>
    <w:rsid w:val="001F5316"/>
    <w:rsid w:val="001F5349"/>
    <w:rsid w:val="001F5357"/>
    <w:rsid w:val="001F53D7"/>
    <w:rsid w:val="001F5484"/>
    <w:rsid w:val="001F54CB"/>
    <w:rsid w:val="001F555D"/>
    <w:rsid w:val="001F5577"/>
    <w:rsid w:val="001F55E1"/>
    <w:rsid w:val="001F5622"/>
    <w:rsid w:val="001F569C"/>
    <w:rsid w:val="001F56BB"/>
    <w:rsid w:val="001F56EE"/>
    <w:rsid w:val="001F574D"/>
    <w:rsid w:val="001F57AE"/>
    <w:rsid w:val="001F57C0"/>
    <w:rsid w:val="001F5834"/>
    <w:rsid w:val="001F589A"/>
    <w:rsid w:val="001F58D2"/>
    <w:rsid w:val="001F58F7"/>
    <w:rsid w:val="001F5974"/>
    <w:rsid w:val="001F59DD"/>
    <w:rsid w:val="001F5A49"/>
    <w:rsid w:val="001F5AFB"/>
    <w:rsid w:val="001F5BF0"/>
    <w:rsid w:val="001F5CE9"/>
    <w:rsid w:val="001F5D0A"/>
    <w:rsid w:val="001F5D52"/>
    <w:rsid w:val="001F5EBE"/>
    <w:rsid w:val="001F5FD9"/>
    <w:rsid w:val="001F5FE7"/>
    <w:rsid w:val="001F5FEA"/>
    <w:rsid w:val="001F5FFC"/>
    <w:rsid w:val="001F608D"/>
    <w:rsid w:val="001F60AE"/>
    <w:rsid w:val="001F610B"/>
    <w:rsid w:val="001F611A"/>
    <w:rsid w:val="001F617B"/>
    <w:rsid w:val="001F61CD"/>
    <w:rsid w:val="001F625F"/>
    <w:rsid w:val="001F62B2"/>
    <w:rsid w:val="001F638D"/>
    <w:rsid w:val="001F63A1"/>
    <w:rsid w:val="001F63E0"/>
    <w:rsid w:val="001F6465"/>
    <w:rsid w:val="001F648E"/>
    <w:rsid w:val="001F64A1"/>
    <w:rsid w:val="001F64C1"/>
    <w:rsid w:val="001F653F"/>
    <w:rsid w:val="001F6593"/>
    <w:rsid w:val="001F65E8"/>
    <w:rsid w:val="001F6612"/>
    <w:rsid w:val="001F66D4"/>
    <w:rsid w:val="001F670F"/>
    <w:rsid w:val="001F6736"/>
    <w:rsid w:val="001F6775"/>
    <w:rsid w:val="001F6786"/>
    <w:rsid w:val="001F67CE"/>
    <w:rsid w:val="001F67DA"/>
    <w:rsid w:val="001F6921"/>
    <w:rsid w:val="001F6923"/>
    <w:rsid w:val="001F694F"/>
    <w:rsid w:val="001F6976"/>
    <w:rsid w:val="001F69B5"/>
    <w:rsid w:val="001F69F7"/>
    <w:rsid w:val="001F6B01"/>
    <w:rsid w:val="001F6B2F"/>
    <w:rsid w:val="001F6B41"/>
    <w:rsid w:val="001F6C27"/>
    <w:rsid w:val="001F6C49"/>
    <w:rsid w:val="001F6CFE"/>
    <w:rsid w:val="001F6D2A"/>
    <w:rsid w:val="001F6D32"/>
    <w:rsid w:val="001F6D59"/>
    <w:rsid w:val="001F6D78"/>
    <w:rsid w:val="001F6EB1"/>
    <w:rsid w:val="001F6EFD"/>
    <w:rsid w:val="001F6F9B"/>
    <w:rsid w:val="001F6FA4"/>
    <w:rsid w:val="001F7067"/>
    <w:rsid w:val="001F70E9"/>
    <w:rsid w:val="001F711E"/>
    <w:rsid w:val="001F7159"/>
    <w:rsid w:val="001F71B8"/>
    <w:rsid w:val="001F7276"/>
    <w:rsid w:val="001F72E7"/>
    <w:rsid w:val="001F7309"/>
    <w:rsid w:val="001F730D"/>
    <w:rsid w:val="001F7329"/>
    <w:rsid w:val="001F735C"/>
    <w:rsid w:val="001F7392"/>
    <w:rsid w:val="001F73CD"/>
    <w:rsid w:val="001F7458"/>
    <w:rsid w:val="001F74CA"/>
    <w:rsid w:val="001F74FD"/>
    <w:rsid w:val="001F7580"/>
    <w:rsid w:val="001F75F9"/>
    <w:rsid w:val="001F7679"/>
    <w:rsid w:val="001F76AF"/>
    <w:rsid w:val="001F777E"/>
    <w:rsid w:val="001F77B2"/>
    <w:rsid w:val="001F77D4"/>
    <w:rsid w:val="001F77D9"/>
    <w:rsid w:val="001F780E"/>
    <w:rsid w:val="001F785E"/>
    <w:rsid w:val="001F787C"/>
    <w:rsid w:val="001F78B4"/>
    <w:rsid w:val="001F78DF"/>
    <w:rsid w:val="001F792C"/>
    <w:rsid w:val="001F7939"/>
    <w:rsid w:val="001F795D"/>
    <w:rsid w:val="001F798C"/>
    <w:rsid w:val="001F79F8"/>
    <w:rsid w:val="001F7A51"/>
    <w:rsid w:val="001F7AAA"/>
    <w:rsid w:val="001F7ACE"/>
    <w:rsid w:val="001F7C64"/>
    <w:rsid w:val="001F7CB2"/>
    <w:rsid w:val="001F7CD8"/>
    <w:rsid w:val="001F7D3C"/>
    <w:rsid w:val="001F7D6C"/>
    <w:rsid w:val="001F7DBE"/>
    <w:rsid w:val="001F7DC1"/>
    <w:rsid w:val="001F7DDD"/>
    <w:rsid w:val="001F7DFE"/>
    <w:rsid w:val="001F7E14"/>
    <w:rsid w:val="001F7E39"/>
    <w:rsid w:val="001F7E6D"/>
    <w:rsid w:val="001F7F26"/>
    <w:rsid w:val="001F7F73"/>
    <w:rsid w:val="001F7F95"/>
    <w:rsid w:val="0020000F"/>
    <w:rsid w:val="0020008A"/>
    <w:rsid w:val="00200134"/>
    <w:rsid w:val="00200136"/>
    <w:rsid w:val="00200190"/>
    <w:rsid w:val="002001EC"/>
    <w:rsid w:val="00200223"/>
    <w:rsid w:val="002002A8"/>
    <w:rsid w:val="00200334"/>
    <w:rsid w:val="002003E6"/>
    <w:rsid w:val="002003E7"/>
    <w:rsid w:val="00200462"/>
    <w:rsid w:val="0020054F"/>
    <w:rsid w:val="00200591"/>
    <w:rsid w:val="002005C2"/>
    <w:rsid w:val="00200696"/>
    <w:rsid w:val="002006C2"/>
    <w:rsid w:val="00200708"/>
    <w:rsid w:val="0020071F"/>
    <w:rsid w:val="002007BC"/>
    <w:rsid w:val="0020088F"/>
    <w:rsid w:val="00200908"/>
    <w:rsid w:val="0020091F"/>
    <w:rsid w:val="0020096C"/>
    <w:rsid w:val="00200A07"/>
    <w:rsid w:val="00200A16"/>
    <w:rsid w:val="00200B23"/>
    <w:rsid w:val="00200B82"/>
    <w:rsid w:val="00200BA4"/>
    <w:rsid w:val="00200CB3"/>
    <w:rsid w:val="00200D4B"/>
    <w:rsid w:val="00200D5B"/>
    <w:rsid w:val="00200D69"/>
    <w:rsid w:val="00200D7C"/>
    <w:rsid w:val="00200DC7"/>
    <w:rsid w:val="00200E7A"/>
    <w:rsid w:val="00200E94"/>
    <w:rsid w:val="00200EC5"/>
    <w:rsid w:val="00200F67"/>
    <w:rsid w:val="00201094"/>
    <w:rsid w:val="002010C2"/>
    <w:rsid w:val="002010FA"/>
    <w:rsid w:val="002011D8"/>
    <w:rsid w:val="00201203"/>
    <w:rsid w:val="00201272"/>
    <w:rsid w:val="0020127D"/>
    <w:rsid w:val="0020135C"/>
    <w:rsid w:val="00201528"/>
    <w:rsid w:val="0020153F"/>
    <w:rsid w:val="0020154E"/>
    <w:rsid w:val="002015F0"/>
    <w:rsid w:val="00201608"/>
    <w:rsid w:val="002016B0"/>
    <w:rsid w:val="00201700"/>
    <w:rsid w:val="00201736"/>
    <w:rsid w:val="00201881"/>
    <w:rsid w:val="00201883"/>
    <w:rsid w:val="002019C0"/>
    <w:rsid w:val="002019C5"/>
    <w:rsid w:val="00201A0A"/>
    <w:rsid w:val="00201A92"/>
    <w:rsid w:val="00201AC5"/>
    <w:rsid w:val="00201AE5"/>
    <w:rsid w:val="00201B9B"/>
    <w:rsid w:val="00201CCD"/>
    <w:rsid w:val="00201CF1"/>
    <w:rsid w:val="00201D17"/>
    <w:rsid w:val="00201D6B"/>
    <w:rsid w:val="00201D74"/>
    <w:rsid w:val="00201DC8"/>
    <w:rsid w:val="00201E18"/>
    <w:rsid w:val="00201E23"/>
    <w:rsid w:val="00201E53"/>
    <w:rsid w:val="00201EB6"/>
    <w:rsid w:val="00201EC4"/>
    <w:rsid w:val="00201ECC"/>
    <w:rsid w:val="00201EF3"/>
    <w:rsid w:val="00201F83"/>
    <w:rsid w:val="0020205D"/>
    <w:rsid w:val="00202073"/>
    <w:rsid w:val="002020BF"/>
    <w:rsid w:val="00202163"/>
    <w:rsid w:val="0020222B"/>
    <w:rsid w:val="00202281"/>
    <w:rsid w:val="0020229E"/>
    <w:rsid w:val="002022F1"/>
    <w:rsid w:val="002023D9"/>
    <w:rsid w:val="002023FF"/>
    <w:rsid w:val="0020240F"/>
    <w:rsid w:val="00202435"/>
    <w:rsid w:val="00202439"/>
    <w:rsid w:val="0020246E"/>
    <w:rsid w:val="00202486"/>
    <w:rsid w:val="0020261B"/>
    <w:rsid w:val="00202622"/>
    <w:rsid w:val="002026DB"/>
    <w:rsid w:val="00202776"/>
    <w:rsid w:val="002027CD"/>
    <w:rsid w:val="002027F0"/>
    <w:rsid w:val="002027F2"/>
    <w:rsid w:val="002027FF"/>
    <w:rsid w:val="0020282A"/>
    <w:rsid w:val="0020282D"/>
    <w:rsid w:val="0020283D"/>
    <w:rsid w:val="00202845"/>
    <w:rsid w:val="00202881"/>
    <w:rsid w:val="002028BD"/>
    <w:rsid w:val="002028D5"/>
    <w:rsid w:val="00202904"/>
    <w:rsid w:val="0020297D"/>
    <w:rsid w:val="002029B4"/>
    <w:rsid w:val="00202A0A"/>
    <w:rsid w:val="00202A8D"/>
    <w:rsid w:val="00202A9E"/>
    <w:rsid w:val="00202AAF"/>
    <w:rsid w:val="00202AC3"/>
    <w:rsid w:val="00202AEC"/>
    <w:rsid w:val="00202AF7"/>
    <w:rsid w:val="00202C76"/>
    <w:rsid w:val="00202C8A"/>
    <w:rsid w:val="00202C92"/>
    <w:rsid w:val="00202CAB"/>
    <w:rsid w:val="00202D0F"/>
    <w:rsid w:val="00202D25"/>
    <w:rsid w:val="00202E3F"/>
    <w:rsid w:val="00202EA1"/>
    <w:rsid w:val="00202F24"/>
    <w:rsid w:val="0020309D"/>
    <w:rsid w:val="002031BC"/>
    <w:rsid w:val="002031D1"/>
    <w:rsid w:val="00203252"/>
    <w:rsid w:val="002032FD"/>
    <w:rsid w:val="00203395"/>
    <w:rsid w:val="002033CA"/>
    <w:rsid w:val="0020343D"/>
    <w:rsid w:val="00203461"/>
    <w:rsid w:val="002034BE"/>
    <w:rsid w:val="002034C2"/>
    <w:rsid w:val="002034F6"/>
    <w:rsid w:val="0020356B"/>
    <w:rsid w:val="0020370C"/>
    <w:rsid w:val="00203759"/>
    <w:rsid w:val="0020376C"/>
    <w:rsid w:val="0020376E"/>
    <w:rsid w:val="00203781"/>
    <w:rsid w:val="0020379B"/>
    <w:rsid w:val="002037BE"/>
    <w:rsid w:val="002038A9"/>
    <w:rsid w:val="002038CE"/>
    <w:rsid w:val="002038FB"/>
    <w:rsid w:val="00203906"/>
    <w:rsid w:val="00203965"/>
    <w:rsid w:val="002039D7"/>
    <w:rsid w:val="002039FC"/>
    <w:rsid w:val="00203A26"/>
    <w:rsid w:val="00203AC5"/>
    <w:rsid w:val="00203ADA"/>
    <w:rsid w:val="00203AE7"/>
    <w:rsid w:val="00203B0E"/>
    <w:rsid w:val="00203B58"/>
    <w:rsid w:val="00203C50"/>
    <w:rsid w:val="00203C83"/>
    <w:rsid w:val="00203D3D"/>
    <w:rsid w:val="00203D51"/>
    <w:rsid w:val="00203D58"/>
    <w:rsid w:val="00203DA4"/>
    <w:rsid w:val="00203DC6"/>
    <w:rsid w:val="00203DEA"/>
    <w:rsid w:val="00203E50"/>
    <w:rsid w:val="00203E85"/>
    <w:rsid w:val="00203EAC"/>
    <w:rsid w:val="00203F45"/>
    <w:rsid w:val="00203F7F"/>
    <w:rsid w:val="00203F8C"/>
    <w:rsid w:val="0020404C"/>
    <w:rsid w:val="00204062"/>
    <w:rsid w:val="00204073"/>
    <w:rsid w:val="0020407B"/>
    <w:rsid w:val="00204102"/>
    <w:rsid w:val="00204150"/>
    <w:rsid w:val="00204179"/>
    <w:rsid w:val="002041B2"/>
    <w:rsid w:val="002041CB"/>
    <w:rsid w:val="00204252"/>
    <w:rsid w:val="002042E2"/>
    <w:rsid w:val="00204386"/>
    <w:rsid w:val="002043BD"/>
    <w:rsid w:val="002043D6"/>
    <w:rsid w:val="00204422"/>
    <w:rsid w:val="0020447E"/>
    <w:rsid w:val="002044D5"/>
    <w:rsid w:val="00204544"/>
    <w:rsid w:val="00204572"/>
    <w:rsid w:val="00204576"/>
    <w:rsid w:val="00204668"/>
    <w:rsid w:val="00204731"/>
    <w:rsid w:val="00204738"/>
    <w:rsid w:val="002047FF"/>
    <w:rsid w:val="00204823"/>
    <w:rsid w:val="002048E4"/>
    <w:rsid w:val="002048F2"/>
    <w:rsid w:val="00204963"/>
    <w:rsid w:val="00204A08"/>
    <w:rsid w:val="00204A3F"/>
    <w:rsid w:val="00204A45"/>
    <w:rsid w:val="00204A6C"/>
    <w:rsid w:val="00204A98"/>
    <w:rsid w:val="00204B09"/>
    <w:rsid w:val="00204B1B"/>
    <w:rsid w:val="00204B1C"/>
    <w:rsid w:val="00204B99"/>
    <w:rsid w:val="00204C51"/>
    <w:rsid w:val="00204C99"/>
    <w:rsid w:val="00204CF4"/>
    <w:rsid w:val="00204DFB"/>
    <w:rsid w:val="00204E4C"/>
    <w:rsid w:val="00204E73"/>
    <w:rsid w:val="00204EAA"/>
    <w:rsid w:val="00204EEB"/>
    <w:rsid w:val="00204F02"/>
    <w:rsid w:val="00204F2D"/>
    <w:rsid w:val="00204F3C"/>
    <w:rsid w:val="00204F85"/>
    <w:rsid w:val="00204FBA"/>
    <w:rsid w:val="00204FE0"/>
    <w:rsid w:val="00204FEA"/>
    <w:rsid w:val="00205036"/>
    <w:rsid w:val="002050B5"/>
    <w:rsid w:val="0020511B"/>
    <w:rsid w:val="0020512B"/>
    <w:rsid w:val="002052CF"/>
    <w:rsid w:val="00205397"/>
    <w:rsid w:val="002053AC"/>
    <w:rsid w:val="002053E4"/>
    <w:rsid w:val="002053F0"/>
    <w:rsid w:val="002053FA"/>
    <w:rsid w:val="0020540A"/>
    <w:rsid w:val="0020540F"/>
    <w:rsid w:val="00205471"/>
    <w:rsid w:val="00205603"/>
    <w:rsid w:val="00205646"/>
    <w:rsid w:val="002056D4"/>
    <w:rsid w:val="002056EE"/>
    <w:rsid w:val="00205707"/>
    <w:rsid w:val="00205775"/>
    <w:rsid w:val="002057D6"/>
    <w:rsid w:val="002057F2"/>
    <w:rsid w:val="0020582C"/>
    <w:rsid w:val="002058D3"/>
    <w:rsid w:val="00205962"/>
    <w:rsid w:val="002059DB"/>
    <w:rsid w:val="002059E8"/>
    <w:rsid w:val="00205A02"/>
    <w:rsid w:val="00205A14"/>
    <w:rsid w:val="00205A30"/>
    <w:rsid w:val="00205B10"/>
    <w:rsid w:val="00205B26"/>
    <w:rsid w:val="00205B87"/>
    <w:rsid w:val="00205BAD"/>
    <w:rsid w:val="00205BC4"/>
    <w:rsid w:val="00205E69"/>
    <w:rsid w:val="00205E70"/>
    <w:rsid w:val="00205E81"/>
    <w:rsid w:val="00205EAA"/>
    <w:rsid w:val="00205ECC"/>
    <w:rsid w:val="00205EEF"/>
    <w:rsid w:val="00205FA0"/>
    <w:rsid w:val="00205FA3"/>
    <w:rsid w:val="0020603C"/>
    <w:rsid w:val="0020615A"/>
    <w:rsid w:val="0020618D"/>
    <w:rsid w:val="0020619F"/>
    <w:rsid w:val="002061E3"/>
    <w:rsid w:val="00206310"/>
    <w:rsid w:val="002063AF"/>
    <w:rsid w:val="0020642D"/>
    <w:rsid w:val="00206466"/>
    <w:rsid w:val="002064B9"/>
    <w:rsid w:val="00206520"/>
    <w:rsid w:val="0020654E"/>
    <w:rsid w:val="0020655C"/>
    <w:rsid w:val="0020657E"/>
    <w:rsid w:val="00206595"/>
    <w:rsid w:val="002065BD"/>
    <w:rsid w:val="002065D5"/>
    <w:rsid w:val="002065F5"/>
    <w:rsid w:val="0020664E"/>
    <w:rsid w:val="002066B4"/>
    <w:rsid w:val="002067A8"/>
    <w:rsid w:val="002067AB"/>
    <w:rsid w:val="002067CB"/>
    <w:rsid w:val="00206828"/>
    <w:rsid w:val="00206857"/>
    <w:rsid w:val="00206871"/>
    <w:rsid w:val="00206872"/>
    <w:rsid w:val="00206874"/>
    <w:rsid w:val="00206889"/>
    <w:rsid w:val="0020689D"/>
    <w:rsid w:val="002068EE"/>
    <w:rsid w:val="00206919"/>
    <w:rsid w:val="00206939"/>
    <w:rsid w:val="00206995"/>
    <w:rsid w:val="002069B6"/>
    <w:rsid w:val="00206A6A"/>
    <w:rsid w:val="00206AB1"/>
    <w:rsid w:val="00206AE3"/>
    <w:rsid w:val="00206B8C"/>
    <w:rsid w:val="00206BF8"/>
    <w:rsid w:val="00206C32"/>
    <w:rsid w:val="00206C48"/>
    <w:rsid w:val="00206C7D"/>
    <w:rsid w:val="00206D0C"/>
    <w:rsid w:val="00206D36"/>
    <w:rsid w:val="00206DD1"/>
    <w:rsid w:val="00206DE0"/>
    <w:rsid w:val="00206E12"/>
    <w:rsid w:val="00206E59"/>
    <w:rsid w:val="00206F1C"/>
    <w:rsid w:val="00207001"/>
    <w:rsid w:val="00207014"/>
    <w:rsid w:val="0020705C"/>
    <w:rsid w:val="00207079"/>
    <w:rsid w:val="002070A6"/>
    <w:rsid w:val="002070CB"/>
    <w:rsid w:val="00207171"/>
    <w:rsid w:val="002072DE"/>
    <w:rsid w:val="00207406"/>
    <w:rsid w:val="00207436"/>
    <w:rsid w:val="00207516"/>
    <w:rsid w:val="0020755B"/>
    <w:rsid w:val="00207562"/>
    <w:rsid w:val="002075A2"/>
    <w:rsid w:val="00207607"/>
    <w:rsid w:val="00207639"/>
    <w:rsid w:val="00207675"/>
    <w:rsid w:val="0020769E"/>
    <w:rsid w:val="002076D3"/>
    <w:rsid w:val="002076DC"/>
    <w:rsid w:val="00207705"/>
    <w:rsid w:val="0020772F"/>
    <w:rsid w:val="00207751"/>
    <w:rsid w:val="002077A6"/>
    <w:rsid w:val="002077CB"/>
    <w:rsid w:val="002077E4"/>
    <w:rsid w:val="00207805"/>
    <w:rsid w:val="0020787E"/>
    <w:rsid w:val="00207936"/>
    <w:rsid w:val="00207978"/>
    <w:rsid w:val="002079AF"/>
    <w:rsid w:val="00207A20"/>
    <w:rsid w:val="00207A4D"/>
    <w:rsid w:val="00207A76"/>
    <w:rsid w:val="00207A79"/>
    <w:rsid w:val="00207AA0"/>
    <w:rsid w:val="00207B44"/>
    <w:rsid w:val="00207B9D"/>
    <w:rsid w:val="00207BB4"/>
    <w:rsid w:val="00207BD6"/>
    <w:rsid w:val="00207BD7"/>
    <w:rsid w:val="00207CA4"/>
    <w:rsid w:val="00207D71"/>
    <w:rsid w:val="00207E7F"/>
    <w:rsid w:val="00207F06"/>
    <w:rsid w:val="00207F65"/>
    <w:rsid w:val="00210084"/>
    <w:rsid w:val="002100E0"/>
    <w:rsid w:val="0021010A"/>
    <w:rsid w:val="0021016D"/>
    <w:rsid w:val="00210174"/>
    <w:rsid w:val="0021019B"/>
    <w:rsid w:val="0021020F"/>
    <w:rsid w:val="002102E1"/>
    <w:rsid w:val="002102FB"/>
    <w:rsid w:val="00210301"/>
    <w:rsid w:val="00210369"/>
    <w:rsid w:val="00210382"/>
    <w:rsid w:val="002103C9"/>
    <w:rsid w:val="002103E6"/>
    <w:rsid w:val="002103ED"/>
    <w:rsid w:val="0021045D"/>
    <w:rsid w:val="002104A1"/>
    <w:rsid w:val="002104DA"/>
    <w:rsid w:val="00210502"/>
    <w:rsid w:val="0021054E"/>
    <w:rsid w:val="002105DC"/>
    <w:rsid w:val="002105F9"/>
    <w:rsid w:val="00210601"/>
    <w:rsid w:val="00210608"/>
    <w:rsid w:val="0021063A"/>
    <w:rsid w:val="002106AD"/>
    <w:rsid w:val="002106C8"/>
    <w:rsid w:val="00210728"/>
    <w:rsid w:val="00210740"/>
    <w:rsid w:val="002108AE"/>
    <w:rsid w:val="00210A11"/>
    <w:rsid w:val="00210A20"/>
    <w:rsid w:val="00210A57"/>
    <w:rsid w:val="00210AA6"/>
    <w:rsid w:val="00210B02"/>
    <w:rsid w:val="00210B26"/>
    <w:rsid w:val="00210B62"/>
    <w:rsid w:val="00210B92"/>
    <w:rsid w:val="00210BDE"/>
    <w:rsid w:val="00210BE2"/>
    <w:rsid w:val="00210C5B"/>
    <w:rsid w:val="00210CBD"/>
    <w:rsid w:val="00210CE2"/>
    <w:rsid w:val="00210D6F"/>
    <w:rsid w:val="00210D90"/>
    <w:rsid w:val="00210DC8"/>
    <w:rsid w:val="00210DE2"/>
    <w:rsid w:val="00210EF1"/>
    <w:rsid w:val="00210F17"/>
    <w:rsid w:val="00210F54"/>
    <w:rsid w:val="00210F56"/>
    <w:rsid w:val="00210F60"/>
    <w:rsid w:val="00210F7D"/>
    <w:rsid w:val="00210F8E"/>
    <w:rsid w:val="00210FA8"/>
    <w:rsid w:val="00210FE4"/>
    <w:rsid w:val="00211051"/>
    <w:rsid w:val="00211061"/>
    <w:rsid w:val="00211093"/>
    <w:rsid w:val="002110C8"/>
    <w:rsid w:val="00211156"/>
    <w:rsid w:val="00211199"/>
    <w:rsid w:val="002112D0"/>
    <w:rsid w:val="00211347"/>
    <w:rsid w:val="0021135E"/>
    <w:rsid w:val="00211363"/>
    <w:rsid w:val="00211369"/>
    <w:rsid w:val="0021138C"/>
    <w:rsid w:val="002113D6"/>
    <w:rsid w:val="002113FC"/>
    <w:rsid w:val="0021144F"/>
    <w:rsid w:val="002114A6"/>
    <w:rsid w:val="002114C3"/>
    <w:rsid w:val="002114DC"/>
    <w:rsid w:val="0021151C"/>
    <w:rsid w:val="00211569"/>
    <w:rsid w:val="002115F1"/>
    <w:rsid w:val="00211685"/>
    <w:rsid w:val="002117D4"/>
    <w:rsid w:val="0021180A"/>
    <w:rsid w:val="002118CA"/>
    <w:rsid w:val="002118D1"/>
    <w:rsid w:val="00211930"/>
    <w:rsid w:val="00211984"/>
    <w:rsid w:val="00211A1B"/>
    <w:rsid w:val="00211A35"/>
    <w:rsid w:val="00211A3A"/>
    <w:rsid w:val="00211B21"/>
    <w:rsid w:val="00211B7D"/>
    <w:rsid w:val="00211BFC"/>
    <w:rsid w:val="00211C2F"/>
    <w:rsid w:val="00211C89"/>
    <w:rsid w:val="00211CDA"/>
    <w:rsid w:val="00211D2B"/>
    <w:rsid w:val="00211D43"/>
    <w:rsid w:val="00211E1F"/>
    <w:rsid w:val="00211E7F"/>
    <w:rsid w:val="00211FAB"/>
    <w:rsid w:val="00211FE3"/>
    <w:rsid w:val="00212001"/>
    <w:rsid w:val="00212018"/>
    <w:rsid w:val="0021209A"/>
    <w:rsid w:val="0021210D"/>
    <w:rsid w:val="0021216E"/>
    <w:rsid w:val="00212276"/>
    <w:rsid w:val="002122A4"/>
    <w:rsid w:val="0021231A"/>
    <w:rsid w:val="00212343"/>
    <w:rsid w:val="0021235D"/>
    <w:rsid w:val="00212396"/>
    <w:rsid w:val="0021244E"/>
    <w:rsid w:val="002124AD"/>
    <w:rsid w:val="0021256E"/>
    <w:rsid w:val="002125C4"/>
    <w:rsid w:val="002125CF"/>
    <w:rsid w:val="002125D8"/>
    <w:rsid w:val="002127D5"/>
    <w:rsid w:val="002128A9"/>
    <w:rsid w:val="00212950"/>
    <w:rsid w:val="002129FD"/>
    <w:rsid w:val="00212A98"/>
    <w:rsid w:val="00212AA1"/>
    <w:rsid w:val="00212AA9"/>
    <w:rsid w:val="00212ABA"/>
    <w:rsid w:val="00212AF2"/>
    <w:rsid w:val="00212BAF"/>
    <w:rsid w:val="00212BD0"/>
    <w:rsid w:val="00212C57"/>
    <w:rsid w:val="00212C69"/>
    <w:rsid w:val="00212C6E"/>
    <w:rsid w:val="00212CBA"/>
    <w:rsid w:val="00212CDA"/>
    <w:rsid w:val="00212CDB"/>
    <w:rsid w:val="00212D45"/>
    <w:rsid w:val="00212D68"/>
    <w:rsid w:val="00212E1A"/>
    <w:rsid w:val="00212E6A"/>
    <w:rsid w:val="00212EBE"/>
    <w:rsid w:val="00212EC6"/>
    <w:rsid w:val="00212ECA"/>
    <w:rsid w:val="00212EEF"/>
    <w:rsid w:val="00212F42"/>
    <w:rsid w:val="00213006"/>
    <w:rsid w:val="00213074"/>
    <w:rsid w:val="002130E2"/>
    <w:rsid w:val="00213193"/>
    <w:rsid w:val="00213267"/>
    <w:rsid w:val="00213315"/>
    <w:rsid w:val="00213325"/>
    <w:rsid w:val="002133DA"/>
    <w:rsid w:val="0021344E"/>
    <w:rsid w:val="00213482"/>
    <w:rsid w:val="002134E6"/>
    <w:rsid w:val="0021350B"/>
    <w:rsid w:val="00213525"/>
    <w:rsid w:val="00213634"/>
    <w:rsid w:val="002136B0"/>
    <w:rsid w:val="0021378F"/>
    <w:rsid w:val="002137DD"/>
    <w:rsid w:val="00213819"/>
    <w:rsid w:val="002138A5"/>
    <w:rsid w:val="002138B1"/>
    <w:rsid w:val="002138C7"/>
    <w:rsid w:val="00213940"/>
    <w:rsid w:val="0021396C"/>
    <w:rsid w:val="00213987"/>
    <w:rsid w:val="002139A7"/>
    <w:rsid w:val="00213A75"/>
    <w:rsid w:val="00213B10"/>
    <w:rsid w:val="00213B3A"/>
    <w:rsid w:val="00213B3E"/>
    <w:rsid w:val="00213BBB"/>
    <w:rsid w:val="00213BDE"/>
    <w:rsid w:val="00213BFB"/>
    <w:rsid w:val="00213C0B"/>
    <w:rsid w:val="00213C37"/>
    <w:rsid w:val="00213CC7"/>
    <w:rsid w:val="00213D05"/>
    <w:rsid w:val="00213D61"/>
    <w:rsid w:val="00213E03"/>
    <w:rsid w:val="00213E40"/>
    <w:rsid w:val="00213E69"/>
    <w:rsid w:val="00213F4B"/>
    <w:rsid w:val="00213F7F"/>
    <w:rsid w:val="00213FC6"/>
    <w:rsid w:val="00213FFE"/>
    <w:rsid w:val="00214052"/>
    <w:rsid w:val="002140A6"/>
    <w:rsid w:val="002140E0"/>
    <w:rsid w:val="00214115"/>
    <w:rsid w:val="00214142"/>
    <w:rsid w:val="0021417E"/>
    <w:rsid w:val="002141BE"/>
    <w:rsid w:val="002141F1"/>
    <w:rsid w:val="00214240"/>
    <w:rsid w:val="00214241"/>
    <w:rsid w:val="00214244"/>
    <w:rsid w:val="00214274"/>
    <w:rsid w:val="00214289"/>
    <w:rsid w:val="00214291"/>
    <w:rsid w:val="0021430D"/>
    <w:rsid w:val="002143B5"/>
    <w:rsid w:val="00214471"/>
    <w:rsid w:val="00214492"/>
    <w:rsid w:val="002144D1"/>
    <w:rsid w:val="002144D6"/>
    <w:rsid w:val="00214555"/>
    <w:rsid w:val="00214566"/>
    <w:rsid w:val="002145DA"/>
    <w:rsid w:val="0021464B"/>
    <w:rsid w:val="00214682"/>
    <w:rsid w:val="002146D1"/>
    <w:rsid w:val="00214756"/>
    <w:rsid w:val="00214810"/>
    <w:rsid w:val="0021495C"/>
    <w:rsid w:val="00214991"/>
    <w:rsid w:val="00214A0A"/>
    <w:rsid w:val="00214A67"/>
    <w:rsid w:val="00214A93"/>
    <w:rsid w:val="00214AC6"/>
    <w:rsid w:val="00214AFC"/>
    <w:rsid w:val="00214B0C"/>
    <w:rsid w:val="00214B6B"/>
    <w:rsid w:val="00214BDB"/>
    <w:rsid w:val="00214BEC"/>
    <w:rsid w:val="00214C7F"/>
    <w:rsid w:val="00214D95"/>
    <w:rsid w:val="00214DDD"/>
    <w:rsid w:val="00214E16"/>
    <w:rsid w:val="00214E89"/>
    <w:rsid w:val="00214EC0"/>
    <w:rsid w:val="00214F10"/>
    <w:rsid w:val="00214F62"/>
    <w:rsid w:val="00214F9A"/>
    <w:rsid w:val="00215013"/>
    <w:rsid w:val="00215080"/>
    <w:rsid w:val="002150C7"/>
    <w:rsid w:val="002150ED"/>
    <w:rsid w:val="002150FC"/>
    <w:rsid w:val="0021514E"/>
    <w:rsid w:val="0021516D"/>
    <w:rsid w:val="00215189"/>
    <w:rsid w:val="002151D5"/>
    <w:rsid w:val="0021524C"/>
    <w:rsid w:val="00215281"/>
    <w:rsid w:val="00215316"/>
    <w:rsid w:val="0021535E"/>
    <w:rsid w:val="002153D8"/>
    <w:rsid w:val="00215499"/>
    <w:rsid w:val="002154A6"/>
    <w:rsid w:val="00215515"/>
    <w:rsid w:val="00215555"/>
    <w:rsid w:val="0021559A"/>
    <w:rsid w:val="002155D2"/>
    <w:rsid w:val="002155DF"/>
    <w:rsid w:val="002155FD"/>
    <w:rsid w:val="00215613"/>
    <w:rsid w:val="002156AC"/>
    <w:rsid w:val="00215784"/>
    <w:rsid w:val="002157EE"/>
    <w:rsid w:val="00215801"/>
    <w:rsid w:val="0021584F"/>
    <w:rsid w:val="00215870"/>
    <w:rsid w:val="002158D5"/>
    <w:rsid w:val="00215999"/>
    <w:rsid w:val="002159C7"/>
    <w:rsid w:val="002159EC"/>
    <w:rsid w:val="00215A16"/>
    <w:rsid w:val="00215B4D"/>
    <w:rsid w:val="00215BBA"/>
    <w:rsid w:val="00215BD0"/>
    <w:rsid w:val="00215BDF"/>
    <w:rsid w:val="00215BEF"/>
    <w:rsid w:val="00215CA8"/>
    <w:rsid w:val="00215D45"/>
    <w:rsid w:val="00215D55"/>
    <w:rsid w:val="00215DD3"/>
    <w:rsid w:val="00215E28"/>
    <w:rsid w:val="00215E62"/>
    <w:rsid w:val="00215F05"/>
    <w:rsid w:val="00215F49"/>
    <w:rsid w:val="00216001"/>
    <w:rsid w:val="00216120"/>
    <w:rsid w:val="0021613D"/>
    <w:rsid w:val="0021615D"/>
    <w:rsid w:val="0021618F"/>
    <w:rsid w:val="00216190"/>
    <w:rsid w:val="002161DF"/>
    <w:rsid w:val="00216206"/>
    <w:rsid w:val="00216258"/>
    <w:rsid w:val="002162BA"/>
    <w:rsid w:val="002162E5"/>
    <w:rsid w:val="002163F2"/>
    <w:rsid w:val="002164C7"/>
    <w:rsid w:val="00216744"/>
    <w:rsid w:val="00216766"/>
    <w:rsid w:val="002167A9"/>
    <w:rsid w:val="00216826"/>
    <w:rsid w:val="0021688C"/>
    <w:rsid w:val="00216927"/>
    <w:rsid w:val="002169A9"/>
    <w:rsid w:val="002169AE"/>
    <w:rsid w:val="00216A4B"/>
    <w:rsid w:val="00216AB8"/>
    <w:rsid w:val="00216AD9"/>
    <w:rsid w:val="00216B86"/>
    <w:rsid w:val="00216C74"/>
    <w:rsid w:val="00216C7D"/>
    <w:rsid w:val="00216C88"/>
    <w:rsid w:val="00216C8E"/>
    <w:rsid w:val="00216D27"/>
    <w:rsid w:val="00216E38"/>
    <w:rsid w:val="00216ED2"/>
    <w:rsid w:val="00216F02"/>
    <w:rsid w:val="00216F7D"/>
    <w:rsid w:val="0021700A"/>
    <w:rsid w:val="0021701C"/>
    <w:rsid w:val="0021702F"/>
    <w:rsid w:val="00217050"/>
    <w:rsid w:val="0021714A"/>
    <w:rsid w:val="002171C4"/>
    <w:rsid w:val="002171F9"/>
    <w:rsid w:val="0021720C"/>
    <w:rsid w:val="0021722A"/>
    <w:rsid w:val="00217353"/>
    <w:rsid w:val="002173B3"/>
    <w:rsid w:val="00217445"/>
    <w:rsid w:val="002174BF"/>
    <w:rsid w:val="00217552"/>
    <w:rsid w:val="00217554"/>
    <w:rsid w:val="002175E9"/>
    <w:rsid w:val="00217603"/>
    <w:rsid w:val="0021760E"/>
    <w:rsid w:val="00217610"/>
    <w:rsid w:val="00217687"/>
    <w:rsid w:val="0021771D"/>
    <w:rsid w:val="00217754"/>
    <w:rsid w:val="00217762"/>
    <w:rsid w:val="002177EB"/>
    <w:rsid w:val="00217821"/>
    <w:rsid w:val="0021782C"/>
    <w:rsid w:val="0021782E"/>
    <w:rsid w:val="00217870"/>
    <w:rsid w:val="0021788C"/>
    <w:rsid w:val="002179DA"/>
    <w:rsid w:val="002179EF"/>
    <w:rsid w:val="002179F3"/>
    <w:rsid w:val="00217A83"/>
    <w:rsid w:val="00217B9B"/>
    <w:rsid w:val="00217BA7"/>
    <w:rsid w:val="00217BD1"/>
    <w:rsid w:val="00217C37"/>
    <w:rsid w:val="00217C66"/>
    <w:rsid w:val="00217C7B"/>
    <w:rsid w:val="00217D29"/>
    <w:rsid w:val="00217E3C"/>
    <w:rsid w:val="00217EB8"/>
    <w:rsid w:val="00217ECA"/>
    <w:rsid w:val="00217FFB"/>
    <w:rsid w:val="0022005C"/>
    <w:rsid w:val="00220187"/>
    <w:rsid w:val="0022018D"/>
    <w:rsid w:val="002201D3"/>
    <w:rsid w:val="00220275"/>
    <w:rsid w:val="00220282"/>
    <w:rsid w:val="00220299"/>
    <w:rsid w:val="002202CF"/>
    <w:rsid w:val="002202D4"/>
    <w:rsid w:val="00220388"/>
    <w:rsid w:val="0022038D"/>
    <w:rsid w:val="002203EA"/>
    <w:rsid w:val="0022049C"/>
    <w:rsid w:val="002204A8"/>
    <w:rsid w:val="00220582"/>
    <w:rsid w:val="002205C8"/>
    <w:rsid w:val="002205DB"/>
    <w:rsid w:val="00220721"/>
    <w:rsid w:val="00220860"/>
    <w:rsid w:val="002208D1"/>
    <w:rsid w:val="00220A53"/>
    <w:rsid w:val="00220A5A"/>
    <w:rsid w:val="00220AAF"/>
    <w:rsid w:val="00220AB8"/>
    <w:rsid w:val="00220AF8"/>
    <w:rsid w:val="00220B11"/>
    <w:rsid w:val="00220B46"/>
    <w:rsid w:val="00220B58"/>
    <w:rsid w:val="00220B9F"/>
    <w:rsid w:val="00220BD6"/>
    <w:rsid w:val="00220BE0"/>
    <w:rsid w:val="00220C87"/>
    <w:rsid w:val="00220CAC"/>
    <w:rsid w:val="00220D46"/>
    <w:rsid w:val="00220DB8"/>
    <w:rsid w:val="00220DCB"/>
    <w:rsid w:val="00220EC6"/>
    <w:rsid w:val="00220F15"/>
    <w:rsid w:val="00220F49"/>
    <w:rsid w:val="00220FE6"/>
    <w:rsid w:val="00221016"/>
    <w:rsid w:val="002210B5"/>
    <w:rsid w:val="0022112E"/>
    <w:rsid w:val="00221163"/>
    <w:rsid w:val="0022120F"/>
    <w:rsid w:val="00221237"/>
    <w:rsid w:val="00221282"/>
    <w:rsid w:val="002212F5"/>
    <w:rsid w:val="0022133A"/>
    <w:rsid w:val="00221344"/>
    <w:rsid w:val="0022135F"/>
    <w:rsid w:val="00221392"/>
    <w:rsid w:val="00221427"/>
    <w:rsid w:val="00221466"/>
    <w:rsid w:val="00221507"/>
    <w:rsid w:val="00221653"/>
    <w:rsid w:val="00221692"/>
    <w:rsid w:val="00221759"/>
    <w:rsid w:val="0022175C"/>
    <w:rsid w:val="002217FF"/>
    <w:rsid w:val="00221884"/>
    <w:rsid w:val="0022189D"/>
    <w:rsid w:val="002218E7"/>
    <w:rsid w:val="002219D4"/>
    <w:rsid w:val="00221B1B"/>
    <w:rsid w:val="00221BDA"/>
    <w:rsid w:val="00221D12"/>
    <w:rsid w:val="00221D63"/>
    <w:rsid w:val="00221D6C"/>
    <w:rsid w:val="00221D9E"/>
    <w:rsid w:val="00221DCE"/>
    <w:rsid w:val="00221EBE"/>
    <w:rsid w:val="00221F6D"/>
    <w:rsid w:val="00221F7B"/>
    <w:rsid w:val="00221F87"/>
    <w:rsid w:val="00221F95"/>
    <w:rsid w:val="00221FE7"/>
    <w:rsid w:val="00222014"/>
    <w:rsid w:val="00222063"/>
    <w:rsid w:val="002220D7"/>
    <w:rsid w:val="002220E0"/>
    <w:rsid w:val="0022211A"/>
    <w:rsid w:val="00222129"/>
    <w:rsid w:val="002221EC"/>
    <w:rsid w:val="00222204"/>
    <w:rsid w:val="00222233"/>
    <w:rsid w:val="0022227A"/>
    <w:rsid w:val="00222290"/>
    <w:rsid w:val="0022235A"/>
    <w:rsid w:val="00222423"/>
    <w:rsid w:val="0022246B"/>
    <w:rsid w:val="0022250D"/>
    <w:rsid w:val="00222520"/>
    <w:rsid w:val="0022269A"/>
    <w:rsid w:val="00222774"/>
    <w:rsid w:val="002227D8"/>
    <w:rsid w:val="0022286A"/>
    <w:rsid w:val="002228EC"/>
    <w:rsid w:val="0022294A"/>
    <w:rsid w:val="0022298B"/>
    <w:rsid w:val="00222A1F"/>
    <w:rsid w:val="00222A4D"/>
    <w:rsid w:val="00222AA3"/>
    <w:rsid w:val="00222B57"/>
    <w:rsid w:val="00222B88"/>
    <w:rsid w:val="00222B8C"/>
    <w:rsid w:val="00222BC5"/>
    <w:rsid w:val="00222C05"/>
    <w:rsid w:val="00222C1C"/>
    <w:rsid w:val="00222C7E"/>
    <w:rsid w:val="00222E05"/>
    <w:rsid w:val="00222E09"/>
    <w:rsid w:val="00222E74"/>
    <w:rsid w:val="00222EAF"/>
    <w:rsid w:val="00222FB1"/>
    <w:rsid w:val="00222FD7"/>
    <w:rsid w:val="002230C9"/>
    <w:rsid w:val="0022312C"/>
    <w:rsid w:val="00223156"/>
    <w:rsid w:val="0022315B"/>
    <w:rsid w:val="0022320C"/>
    <w:rsid w:val="0022321F"/>
    <w:rsid w:val="00223223"/>
    <w:rsid w:val="00223243"/>
    <w:rsid w:val="00223360"/>
    <w:rsid w:val="002233DF"/>
    <w:rsid w:val="002233EE"/>
    <w:rsid w:val="0022341B"/>
    <w:rsid w:val="0022347B"/>
    <w:rsid w:val="00223530"/>
    <w:rsid w:val="0022353A"/>
    <w:rsid w:val="0022354B"/>
    <w:rsid w:val="002235CB"/>
    <w:rsid w:val="002235EE"/>
    <w:rsid w:val="00223617"/>
    <w:rsid w:val="00223629"/>
    <w:rsid w:val="00223667"/>
    <w:rsid w:val="0022368C"/>
    <w:rsid w:val="00223695"/>
    <w:rsid w:val="002236A5"/>
    <w:rsid w:val="002237C3"/>
    <w:rsid w:val="00223847"/>
    <w:rsid w:val="002238CB"/>
    <w:rsid w:val="002238ED"/>
    <w:rsid w:val="00223900"/>
    <w:rsid w:val="00223952"/>
    <w:rsid w:val="002239CB"/>
    <w:rsid w:val="002239DC"/>
    <w:rsid w:val="00223A45"/>
    <w:rsid w:val="00223A67"/>
    <w:rsid w:val="00223ABF"/>
    <w:rsid w:val="00223B97"/>
    <w:rsid w:val="00223BAB"/>
    <w:rsid w:val="00223C4E"/>
    <w:rsid w:val="00223C95"/>
    <w:rsid w:val="00223CB8"/>
    <w:rsid w:val="00223CE9"/>
    <w:rsid w:val="00223D1C"/>
    <w:rsid w:val="00223D67"/>
    <w:rsid w:val="00223E08"/>
    <w:rsid w:val="00223E33"/>
    <w:rsid w:val="00223E82"/>
    <w:rsid w:val="00223E8C"/>
    <w:rsid w:val="00223F00"/>
    <w:rsid w:val="00223F7C"/>
    <w:rsid w:val="0022401B"/>
    <w:rsid w:val="00224089"/>
    <w:rsid w:val="002241CB"/>
    <w:rsid w:val="002241F1"/>
    <w:rsid w:val="002241F2"/>
    <w:rsid w:val="00224263"/>
    <w:rsid w:val="00224281"/>
    <w:rsid w:val="00224416"/>
    <w:rsid w:val="00224466"/>
    <w:rsid w:val="00224482"/>
    <w:rsid w:val="002244B4"/>
    <w:rsid w:val="00224512"/>
    <w:rsid w:val="00224535"/>
    <w:rsid w:val="0022454C"/>
    <w:rsid w:val="00224587"/>
    <w:rsid w:val="002245C2"/>
    <w:rsid w:val="002245DD"/>
    <w:rsid w:val="002245FC"/>
    <w:rsid w:val="00224627"/>
    <w:rsid w:val="0022462F"/>
    <w:rsid w:val="00224655"/>
    <w:rsid w:val="0022466C"/>
    <w:rsid w:val="0022467E"/>
    <w:rsid w:val="00224709"/>
    <w:rsid w:val="00224769"/>
    <w:rsid w:val="002248CF"/>
    <w:rsid w:val="002249D1"/>
    <w:rsid w:val="002249F0"/>
    <w:rsid w:val="00224A15"/>
    <w:rsid w:val="00224ABB"/>
    <w:rsid w:val="00224AED"/>
    <w:rsid w:val="00224AF4"/>
    <w:rsid w:val="00224B13"/>
    <w:rsid w:val="00224B6B"/>
    <w:rsid w:val="00224BDF"/>
    <w:rsid w:val="00224BFB"/>
    <w:rsid w:val="00224C41"/>
    <w:rsid w:val="00224CFF"/>
    <w:rsid w:val="00224D06"/>
    <w:rsid w:val="00224D46"/>
    <w:rsid w:val="00224DA2"/>
    <w:rsid w:val="00224DBE"/>
    <w:rsid w:val="00224DD7"/>
    <w:rsid w:val="00224E4F"/>
    <w:rsid w:val="00224E6D"/>
    <w:rsid w:val="00224E91"/>
    <w:rsid w:val="00224F71"/>
    <w:rsid w:val="00224F91"/>
    <w:rsid w:val="00224F9F"/>
    <w:rsid w:val="00225097"/>
    <w:rsid w:val="002250CF"/>
    <w:rsid w:val="002250D8"/>
    <w:rsid w:val="00225111"/>
    <w:rsid w:val="00225146"/>
    <w:rsid w:val="00225160"/>
    <w:rsid w:val="0022516D"/>
    <w:rsid w:val="0022527D"/>
    <w:rsid w:val="002252BE"/>
    <w:rsid w:val="002252DA"/>
    <w:rsid w:val="0022536C"/>
    <w:rsid w:val="002253A7"/>
    <w:rsid w:val="002253BA"/>
    <w:rsid w:val="002254EA"/>
    <w:rsid w:val="0022556A"/>
    <w:rsid w:val="00225579"/>
    <w:rsid w:val="00225585"/>
    <w:rsid w:val="0022558A"/>
    <w:rsid w:val="00225602"/>
    <w:rsid w:val="00225639"/>
    <w:rsid w:val="0022563E"/>
    <w:rsid w:val="00225648"/>
    <w:rsid w:val="00225683"/>
    <w:rsid w:val="002256A1"/>
    <w:rsid w:val="002256AB"/>
    <w:rsid w:val="002256B1"/>
    <w:rsid w:val="002256D2"/>
    <w:rsid w:val="002256FE"/>
    <w:rsid w:val="002257C4"/>
    <w:rsid w:val="002257E0"/>
    <w:rsid w:val="00225824"/>
    <w:rsid w:val="00225844"/>
    <w:rsid w:val="00225858"/>
    <w:rsid w:val="002258A2"/>
    <w:rsid w:val="002258A3"/>
    <w:rsid w:val="002258A9"/>
    <w:rsid w:val="00225A07"/>
    <w:rsid w:val="00225A59"/>
    <w:rsid w:val="00225B0D"/>
    <w:rsid w:val="00225B5A"/>
    <w:rsid w:val="00225B75"/>
    <w:rsid w:val="00225C4F"/>
    <w:rsid w:val="00225C79"/>
    <w:rsid w:val="00225C93"/>
    <w:rsid w:val="00225CA2"/>
    <w:rsid w:val="00225E1E"/>
    <w:rsid w:val="00225E8D"/>
    <w:rsid w:val="00225F42"/>
    <w:rsid w:val="00225F4B"/>
    <w:rsid w:val="0022601E"/>
    <w:rsid w:val="00226045"/>
    <w:rsid w:val="0022605E"/>
    <w:rsid w:val="00226062"/>
    <w:rsid w:val="0022610F"/>
    <w:rsid w:val="00226176"/>
    <w:rsid w:val="002261B6"/>
    <w:rsid w:val="00226200"/>
    <w:rsid w:val="0022624B"/>
    <w:rsid w:val="0022624D"/>
    <w:rsid w:val="0022627C"/>
    <w:rsid w:val="002262BF"/>
    <w:rsid w:val="0022638D"/>
    <w:rsid w:val="002264AB"/>
    <w:rsid w:val="002264C8"/>
    <w:rsid w:val="002264E9"/>
    <w:rsid w:val="002265E4"/>
    <w:rsid w:val="002265F5"/>
    <w:rsid w:val="0022665C"/>
    <w:rsid w:val="0022665F"/>
    <w:rsid w:val="002266AA"/>
    <w:rsid w:val="002266C7"/>
    <w:rsid w:val="002266E7"/>
    <w:rsid w:val="002266FC"/>
    <w:rsid w:val="00226722"/>
    <w:rsid w:val="00226756"/>
    <w:rsid w:val="0022675F"/>
    <w:rsid w:val="00226786"/>
    <w:rsid w:val="002267B9"/>
    <w:rsid w:val="00226842"/>
    <w:rsid w:val="002268CF"/>
    <w:rsid w:val="002268DD"/>
    <w:rsid w:val="00226950"/>
    <w:rsid w:val="00226A70"/>
    <w:rsid w:val="00226A9F"/>
    <w:rsid w:val="00226BFC"/>
    <w:rsid w:val="00226C18"/>
    <w:rsid w:val="00226C32"/>
    <w:rsid w:val="00226D21"/>
    <w:rsid w:val="00226D36"/>
    <w:rsid w:val="00226D62"/>
    <w:rsid w:val="00226D8B"/>
    <w:rsid w:val="00226DA9"/>
    <w:rsid w:val="00226DF3"/>
    <w:rsid w:val="00226EEB"/>
    <w:rsid w:val="00226F9E"/>
    <w:rsid w:val="00226FBB"/>
    <w:rsid w:val="00226FFA"/>
    <w:rsid w:val="00227135"/>
    <w:rsid w:val="0022713E"/>
    <w:rsid w:val="002271BE"/>
    <w:rsid w:val="002272EE"/>
    <w:rsid w:val="002272FC"/>
    <w:rsid w:val="002273B0"/>
    <w:rsid w:val="002273C1"/>
    <w:rsid w:val="002273D2"/>
    <w:rsid w:val="002273E9"/>
    <w:rsid w:val="002273FB"/>
    <w:rsid w:val="00227404"/>
    <w:rsid w:val="0022747E"/>
    <w:rsid w:val="00227538"/>
    <w:rsid w:val="0022758A"/>
    <w:rsid w:val="0022758F"/>
    <w:rsid w:val="00227689"/>
    <w:rsid w:val="00227711"/>
    <w:rsid w:val="0022772E"/>
    <w:rsid w:val="00227785"/>
    <w:rsid w:val="002277CB"/>
    <w:rsid w:val="002277DE"/>
    <w:rsid w:val="00227836"/>
    <w:rsid w:val="0022784D"/>
    <w:rsid w:val="00227887"/>
    <w:rsid w:val="002278CF"/>
    <w:rsid w:val="00227965"/>
    <w:rsid w:val="002279CA"/>
    <w:rsid w:val="00227A58"/>
    <w:rsid w:val="00227A81"/>
    <w:rsid w:val="00227BB0"/>
    <w:rsid w:val="00227BF4"/>
    <w:rsid w:val="00227C17"/>
    <w:rsid w:val="00227C72"/>
    <w:rsid w:val="00227C75"/>
    <w:rsid w:val="00227D00"/>
    <w:rsid w:val="00227D1D"/>
    <w:rsid w:val="00227D1E"/>
    <w:rsid w:val="00227D2F"/>
    <w:rsid w:val="00227D73"/>
    <w:rsid w:val="00227DD1"/>
    <w:rsid w:val="00227E2C"/>
    <w:rsid w:val="00227E44"/>
    <w:rsid w:val="00230071"/>
    <w:rsid w:val="002300A5"/>
    <w:rsid w:val="002300C8"/>
    <w:rsid w:val="002300E3"/>
    <w:rsid w:val="0023012C"/>
    <w:rsid w:val="0023014A"/>
    <w:rsid w:val="00230190"/>
    <w:rsid w:val="002303C8"/>
    <w:rsid w:val="002303EC"/>
    <w:rsid w:val="00230441"/>
    <w:rsid w:val="00230445"/>
    <w:rsid w:val="0023046A"/>
    <w:rsid w:val="00230664"/>
    <w:rsid w:val="00230670"/>
    <w:rsid w:val="00230698"/>
    <w:rsid w:val="002306E7"/>
    <w:rsid w:val="00230702"/>
    <w:rsid w:val="00230735"/>
    <w:rsid w:val="00230786"/>
    <w:rsid w:val="00230804"/>
    <w:rsid w:val="0023083B"/>
    <w:rsid w:val="00230872"/>
    <w:rsid w:val="002308E1"/>
    <w:rsid w:val="00230950"/>
    <w:rsid w:val="00230970"/>
    <w:rsid w:val="00230A6A"/>
    <w:rsid w:val="00230A86"/>
    <w:rsid w:val="00230B4F"/>
    <w:rsid w:val="00230B94"/>
    <w:rsid w:val="00230C24"/>
    <w:rsid w:val="00230CE1"/>
    <w:rsid w:val="00230CED"/>
    <w:rsid w:val="00230D29"/>
    <w:rsid w:val="00230D74"/>
    <w:rsid w:val="00230DB9"/>
    <w:rsid w:val="00230DEC"/>
    <w:rsid w:val="00230E15"/>
    <w:rsid w:val="00230EFD"/>
    <w:rsid w:val="00230F99"/>
    <w:rsid w:val="00230FBF"/>
    <w:rsid w:val="00231037"/>
    <w:rsid w:val="00231087"/>
    <w:rsid w:val="00231164"/>
    <w:rsid w:val="002311A8"/>
    <w:rsid w:val="002311B7"/>
    <w:rsid w:val="002311E2"/>
    <w:rsid w:val="0023126E"/>
    <w:rsid w:val="002312D1"/>
    <w:rsid w:val="00231337"/>
    <w:rsid w:val="0023141D"/>
    <w:rsid w:val="00231435"/>
    <w:rsid w:val="00231457"/>
    <w:rsid w:val="00231481"/>
    <w:rsid w:val="002314DB"/>
    <w:rsid w:val="0023154E"/>
    <w:rsid w:val="00231644"/>
    <w:rsid w:val="00231646"/>
    <w:rsid w:val="00231691"/>
    <w:rsid w:val="0023186D"/>
    <w:rsid w:val="00231923"/>
    <w:rsid w:val="002319BA"/>
    <w:rsid w:val="00231AAA"/>
    <w:rsid w:val="00231AB8"/>
    <w:rsid w:val="00231B20"/>
    <w:rsid w:val="00231B21"/>
    <w:rsid w:val="00231B54"/>
    <w:rsid w:val="00231BDA"/>
    <w:rsid w:val="00231D1D"/>
    <w:rsid w:val="00231D37"/>
    <w:rsid w:val="00231DA5"/>
    <w:rsid w:val="00231DB3"/>
    <w:rsid w:val="00231E0B"/>
    <w:rsid w:val="00231E28"/>
    <w:rsid w:val="00231F1F"/>
    <w:rsid w:val="00231F81"/>
    <w:rsid w:val="00231FFF"/>
    <w:rsid w:val="0023202D"/>
    <w:rsid w:val="00232130"/>
    <w:rsid w:val="00232153"/>
    <w:rsid w:val="0023216A"/>
    <w:rsid w:val="002321E1"/>
    <w:rsid w:val="0023226A"/>
    <w:rsid w:val="00232351"/>
    <w:rsid w:val="002323DE"/>
    <w:rsid w:val="002323E1"/>
    <w:rsid w:val="002324D2"/>
    <w:rsid w:val="00232559"/>
    <w:rsid w:val="00232572"/>
    <w:rsid w:val="0023259B"/>
    <w:rsid w:val="002325F5"/>
    <w:rsid w:val="00232618"/>
    <w:rsid w:val="00232626"/>
    <w:rsid w:val="0023263B"/>
    <w:rsid w:val="002326F1"/>
    <w:rsid w:val="0023273D"/>
    <w:rsid w:val="00232743"/>
    <w:rsid w:val="002327B3"/>
    <w:rsid w:val="002327B5"/>
    <w:rsid w:val="002327E7"/>
    <w:rsid w:val="002327ED"/>
    <w:rsid w:val="00232952"/>
    <w:rsid w:val="00232981"/>
    <w:rsid w:val="002329B2"/>
    <w:rsid w:val="002329E0"/>
    <w:rsid w:val="00232A17"/>
    <w:rsid w:val="00232A48"/>
    <w:rsid w:val="00232AFD"/>
    <w:rsid w:val="00232B68"/>
    <w:rsid w:val="00232D31"/>
    <w:rsid w:val="00232D87"/>
    <w:rsid w:val="00232D92"/>
    <w:rsid w:val="00232DCA"/>
    <w:rsid w:val="00232DD6"/>
    <w:rsid w:val="00232DEE"/>
    <w:rsid w:val="00232E60"/>
    <w:rsid w:val="00232E70"/>
    <w:rsid w:val="00232E80"/>
    <w:rsid w:val="00232E9D"/>
    <w:rsid w:val="00232F04"/>
    <w:rsid w:val="00232FC1"/>
    <w:rsid w:val="00233067"/>
    <w:rsid w:val="0023306B"/>
    <w:rsid w:val="0023308D"/>
    <w:rsid w:val="002330D0"/>
    <w:rsid w:val="002331A6"/>
    <w:rsid w:val="002331BF"/>
    <w:rsid w:val="002331DD"/>
    <w:rsid w:val="002332F6"/>
    <w:rsid w:val="00233461"/>
    <w:rsid w:val="002334C3"/>
    <w:rsid w:val="00233518"/>
    <w:rsid w:val="002335A4"/>
    <w:rsid w:val="002335BE"/>
    <w:rsid w:val="002335CC"/>
    <w:rsid w:val="0023367B"/>
    <w:rsid w:val="002336C5"/>
    <w:rsid w:val="0023372F"/>
    <w:rsid w:val="00233790"/>
    <w:rsid w:val="002337D3"/>
    <w:rsid w:val="002337E0"/>
    <w:rsid w:val="002338F5"/>
    <w:rsid w:val="002339A0"/>
    <w:rsid w:val="00233A05"/>
    <w:rsid w:val="00233AB9"/>
    <w:rsid w:val="00233B36"/>
    <w:rsid w:val="00233B54"/>
    <w:rsid w:val="00233B6A"/>
    <w:rsid w:val="00233B7E"/>
    <w:rsid w:val="00233BD0"/>
    <w:rsid w:val="00233BFB"/>
    <w:rsid w:val="00233C38"/>
    <w:rsid w:val="00233D01"/>
    <w:rsid w:val="00233D29"/>
    <w:rsid w:val="00233D6A"/>
    <w:rsid w:val="00233DDD"/>
    <w:rsid w:val="00233E0D"/>
    <w:rsid w:val="00233E94"/>
    <w:rsid w:val="00233F5C"/>
    <w:rsid w:val="00233F8E"/>
    <w:rsid w:val="00233F9F"/>
    <w:rsid w:val="00233FAF"/>
    <w:rsid w:val="00233FCD"/>
    <w:rsid w:val="002340C5"/>
    <w:rsid w:val="002340E3"/>
    <w:rsid w:val="00234170"/>
    <w:rsid w:val="002341D5"/>
    <w:rsid w:val="002341F8"/>
    <w:rsid w:val="0023423D"/>
    <w:rsid w:val="0023424C"/>
    <w:rsid w:val="0023426A"/>
    <w:rsid w:val="002342D0"/>
    <w:rsid w:val="002342D4"/>
    <w:rsid w:val="002342EC"/>
    <w:rsid w:val="0023430C"/>
    <w:rsid w:val="0023433B"/>
    <w:rsid w:val="002343A6"/>
    <w:rsid w:val="002343C5"/>
    <w:rsid w:val="0023445D"/>
    <w:rsid w:val="002344B4"/>
    <w:rsid w:val="002344BF"/>
    <w:rsid w:val="0023458B"/>
    <w:rsid w:val="002345BE"/>
    <w:rsid w:val="0023469C"/>
    <w:rsid w:val="002347BE"/>
    <w:rsid w:val="002347FC"/>
    <w:rsid w:val="0023484D"/>
    <w:rsid w:val="00234870"/>
    <w:rsid w:val="00234885"/>
    <w:rsid w:val="002349EB"/>
    <w:rsid w:val="00234A6E"/>
    <w:rsid w:val="00234A88"/>
    <w:rsid w:val="00234B1B"/>
    <w:rsid w:val="00234B63"/>
    <w:rsid w:val="00234B6F"/>
    <w:rsid w:val="00234B91"/>
    <w:rsid w:val="00234D74"/>
    <w:rsid w:val="00234D95"/>
    <w:rsid w:val="00234E1A"/>
    <w:rsid w:val="00234E8A"/>
    <w:rsid w:val="00234ED4"/>
    <w:rsid w:val="00234F00"/>
    <w:rsid w:val="00234F0A"/>
    <w:rsid w:val="00234F22"/>
    <w:rsid w:val="00234F79"/>
    <w:rsid w:val="00235053"/>
    <w:rsid w:val="002350B3"/>
    <w:rsid w:val="002350DA"/>
    <w:rsid w:val="002350E9"/>
    <w:rsid w:val="002351C0"/>
    <w:rsid w:val="002351CB"/>
    <w:rsid w:val="00235246"/>
    <w:rsid w:val="00235265"/>
    <w:rsid w:val="00235268"/>
    <w:rsid w:val="002352DA"/>
    <w:rsid w:val="002352FE"/>
    <w:rsid w:val="0023536B"/>
    <w:rsid w:val="002353CE"/>
    <w:rsid w:val="002353DE"/>
    <w:rsid w:val="0023540F"/>
    <w:rsid w:val="00235458"/>
    <w:rsid w:val="002354AC"/>
    <w:rsid w:val="002354DC"/>
    <w:rsid w:val="00235520"/>
    <w:rsid w:val="00235537"/>
    <w:rsid w:val="002355A3"/>
    <w:rsid w:val="002355A8"/>
    <w:rsid w:val="00235600"/>
    <w:rsid w:val="00235655"/>
    <w:rsid w:val="0023571B"/>
    <w:rsid w:val="00235741"/>
    <w:rsid w:val="00235757"/>
    <w:rsid w:val="002357A0"/>
    <w:rsid w:val="002357D9"/>
    <w:rsid w:val="002358AF"/>
    <w:rsid w:val="00235904"/>
    <w:rsid w:val="0023597A"/>
    <w:rsid w:val="002359E3"/>
    <w:rsid w:val="00235A36"/>
    <w:rsid w:val="00235A50"/>
    <w:rsid w:val="00235A6D"/>
    <w:rsid w:val="00235A74"/>
    <w:rsid w:val="00235A8D"/>
    <w:rsid w:val="00235B30"/>
    <w:rsid w:val="00235B66"/>
    <w:rsid w:val="00235B7D"/>
    <w:rsid w:val="00235B80"/>
    <w:rsid w:val="00235C3F"/>
    <w:rsid w:val="00235C49"/>
    <w:rsid w:val="00235C4B"/>
    <w:rsid w:val="00235C74"/>
    <w:rsid w:val="00235C91"/>
    <w:rsid w:val="00235C93"/>
    <w:rsid w:val="00235C9A"/>
    <w:rsid w:val="00235C9B"/>
    <w:rsid w:val="00235CD7"/>
    <w:rsid w:val="00235D2F"/>
    <w:rsid w:val="00235D37"/>
    <w:rsid w:val="00235D7B"/>
    <w:rsid w:val="00235DA6"/>
    <w:rsid w:val="00235DAE"/>
    <w:rsid w:val="00235DC6"/>
    <w:rsid w:val="00235E4C"/>
    <w:rsid w:val="00235E52"/>
    <w:rsid w:val="00235E86"/>
    <w:rsid w:val="00235F02"/>
    <w:rsid w:val="00235F54"/>
    <w:rsid w:val="00235F6D"/>
    <w:rsid w:val="00235FCC"/>
    <w:rsid w:val="002360FF"/>
    <w:rsid w:val="00236143"/>
    <w:rsid w:val="0023615E"/>
    <w:rsid w:val="002361A2"/>
    <w:rsid w:val="002361A7"/>
    <w:rsid w:val="002361EA"/>
    <w:rsid w:val="0023621E"/>
    <w:rsid w:val="002362B7"/>
    <w:rsid w:val="002362C7"/>
    <w:rsid w:val="0023630E"/>
    <w:rsid w:val="002363A3"/>
    <w:rsid w:val="00236423"/>
    <w:rsid w:val="0023645D"/>
    <w:rsid w:val="002364BB"/>
    <w:rsid w:val="002364CE"/>
    <w:rsid w:val="0023651B"/>
    <w:rsid w:val="0023653E"/>
    <w:rsid w:val="00236655"/>
    <w:rsid w:val="00236675"/>
    <w:rsid w:val="00236678"/>
    <w:rsid w:val="0023667B"/>
    <w:rsid w:val="002366AD"/>
    <w:rsid w:val="002366C4"/>
    <w:rsid w:val="0023672E"/>
    <w:rsid w:val="00236735"/>
    <w:rsid w:val="00236774"/>
    <w:rsid w:val="002367B6"/>
    <w:rsid w:val="002367B7"/>
    <w:rsid w:val="002367DE"/>
    <w:rsid w:val="00236826"/>
    <w:rsid w:val="002368A8"/>
    <w:rsid w:val="0023690A"/>
    <w:rsid w:val="00236979"/>
    <w:rsid w:val="002369B3"/>
    <w:rsid w:val="00236A35"/>
    <w:rsid w:val="00236A8C"/>
    <w:rsid w:val="00236AE3"/>
    <w:rsid w:val="00236B10"/>
    <w:rsid w:val="00236B49"/>
    <w:rsid w:val="00236BAD"/>
    <w:rsid w:val="00236C97"/>
    <w:rsid w:val="00236D07"/>
    <w:rsid w:val="00236D44"/>
    <w:rsid w:val="00236D47"/>
    <w:rsid w:val="00236D67"/>
    <w:rsid w:val="00236DB0"/>
    <w:rsid w:val="00236DCE"/>
    <w:rsid w:val="00236DD7"/>
    <w:rsid w:val="00236DE8"/>
    <w:rsid w:val="00236E68"/>
    <w:rsid w:val="00236ECE"/>
    <w:rsid w:val="00236F2E"/>
    <w:rsid w:val="0023701B"/>
    <w:rsid w:val="00237042"/>
    <w:rsid w:val="0023708D"/>
    <w:rsid w:val="0023727B"/>
    <w:rsid w:val="002372D5"/>
    <w:rsid w:val="002373E4"/>
    <w:rsid w:val="00237472"/>
    <w:rsid w:val="002374F1"/>
    <w:rsid w:val="00237586"/>
    <w:rsid w:val="002375DD"/>
    <w:rsid w:val="0023761D"/>
    <w:rsid w:val="0023763B"/>
    <w:rsid w:val="0023764E"/>
    <w:rsid w:val="00237658"/>
    <w:rsid w:val="002376C1"/>
    <w:rsid w:val="002376EB"/>
    <w:rsid w:val="00237758"/>
    <w:rsid w:val="002377B8"/>
    <w:rsid w:val="002377BA"/>
    <w:rsid w:val="002377F1"/>
    <w:rsid w:val="0023795B"/>
    <w:rsid w:val="00237A54"/>
    <w:rsid w:val="00237AF8"/>
    <w:rsid w:val="00237B16"/>
    <w:rsid w:val="00237B2D"/>
    <w:rsid w:val="00237B3A"/>
    <w:rsid w:val="00237C12"/>
    <w:rsid w:val="00237C46"/>
    <w:rsid w:val="00237C60"/>
    <w:rsid w:val="00237C6A"/>
    <w:rsid w:val="00237CA8"/>
    <w:rsid w:val="00237CB1"/>
    <w:rsid w:val="00237CD2"/>
    <w:rsid w:val="00237D2A"/>
    <w:rsid w:val="00237ECB"/>
    <w:rsid w:val="00237F16"/>
    <w:rsid w:val="00237F2A"/>
    <w:rsid w:val="00240031"/>
    <w:rsid w:val="00240049"/>
    <w:rsid w:val="002400C2"/>
    <w:rsid w:val="0024013B"/>
    <w:rsid w:val="0024015E"/>
    <w:rsid w:val="0024017A"/>
    <w:rsid w:val="002401CB"/>
    <w:rsid w:val="00240267"/>
    <w:rsid w:val="0024027F"/>
    <w:rsid w:val="002402BC"/>
    <w:rsid w:val="002402F0"/>
    <w:rsid w:val="002403BF"/>
    <w:rsid w:val="002403DC"/>
    <w:rsid w:val="0024041E"/>
    <w:rsid w:val="0024041F"/>
    <w:rsid w:val="0024043B"/>
    <w:rsid w:val="00240469"/>
    <w:rsid w:val="0024059B"/>
    <w:rsid w:val="00240656"/>
    <w:rsid w:val="002406A1"/>
    <w:rsid w:val="002407EB"/>
    <w:rsid w:val="002408AE"/>
    <w:rsid w:val="00240902"/>
    <w:rsid w:val="00240910"/>
    <w:rsid w:val="00240926"/>
    <w:rsid w:val="0024092C"/>
    <w:rsid w:val="00240967"/>
    <w:rsid w:val="00240A47"/>
    <w:rsid w:val="00240AF9"/>
    <w:rsid w:val="00240B05"/>
    <w:rsid w:val="00240BD6"/>
    <w:rsid w:val="00240C12"/>
    <w:rsid w:val="00240C69"/>
    <w:rsid w:val="00240C70"/>
    <w:rsid w:val="00240C9A"/>
    <w:rsid w:val="00240D38"/>
    <w:rsid w:val="00240DB7"/>
    <w:rsid w:val="00240DE6"/>
    <w:rsid w:val="00240DE7"/>
    <w:rsid w:val="00240E08"/>
    <w:rsid w:val="00240E7A"/>
    <w:rsid w:val="00240E9F"/>
    <w:rsid w:val="00240F54"/>
    <w:rsid w:val="00240F98"/>
    <w:rsid w:val="0024109B"/>
    <w:rsid w:val="00241106"/>
    <w:rsid w:val="0024115D"/>
    <w:rsid w:val="002411BF"/>
    <w:rsid w:val="002411D3"/>
    <w:rsid w:val="002411DB"/>
    <w:rsid w:val="002411F5"/>
    <w:rsid w:val="0024121F"/>
    <w:rsid w:val="002412BB"/>
    <w:rsid w:val="0024131A"/>
    <w:rsid w:val="00241356"/>
    <w:rsid w:val="00241383"/>
    <w:rsid w:val="002413FD"/>
    <w:rsid w:val="00241536"/>
    <w:rsid w:val="00241682"/>
    <w:rsid w:val="002416D2"/>
    <w:rsid w:val="00241761"/>
    <w:rsid w:val="00241801"/>
    <w:rsid w:val="00241876"/>
    <w:rsid w:val="002418AD"/>
    <w:rsid w:val="002418C9"/>
    <w:rsid w:val="002418F9"/>
    <w:rsid w:val="0024197C"/>
    <w:rsid w:val="002419DA"/>
    <w:rsid w:val="00241A06"/>
    <w:rsid w:val="00241AFE"/>
    <w:rsid w:val="00241B0A"/>
    <w:rsid w:val="00241B48"/>
    <w:rsid w:val="00241B65"/>
    <w:rsid w:val="00241B69"/>
    <w:rsid w:val="00241BCE"/>
    <w:rsid w:val="00241C82"/>
    <w:rsid w:val="00241C87"/>
    <w:rsid w:val="00241D3A"/>
    <w:rsid w:val="00241D9E"/>
    <w:rsid w:val="00241DA3"/>
    <w:rsid w:val="00241DA6"/>
    <w:rsid w:val="00241DFE"/>
    <w:rsid w:val="00241EDE"/>
    <w:rsid w:val="00241F35"/>
    <w:rsid w:val="00241F97"/>
    <w:rsid w:val="00241FAB"/>
    <w:rsid w:val="00241FF5"/>
    <w:rsid w:val="00242015"/>
    <w:rsid w:val="00242016"/>
    <w:rsid w:val="002420B4"/>
    <w:rsid w:val="002422CA"/>
    <w:rsid w:val="002422D5"/>
    <w:rsid w:val="002422EA"/>
    <w:rsid w:val="00242308"/>
    <w:rsid w:val="00242325"/>
    <w:rsid w:val="002423B0"/>
    <w:rsid w:val="002423DF"/>
    <w:rsid w:val="002423E6"/>
    <w:rsid w:val="002424EB"/>
    <w:rsid w:val="0024253D"/>
    <w:rsid w:val="0024258B"/>
    <w:rsid w:val="0024259B"/>
    <w:rsid w:val="00242688"/>
    <w:rsid w:val="00242708"/>
    <w:rsid w:val="0024270B"/>
    <w:rsid w:val="00242845"/>
    <w:rsid w:val="002428BD"/>
    <w:rsid w:val="00242911"/>
    <w:rsid w:val="002429C1"/>
    <w:rsid w:val="002429EA"/>
    <w:rsid w:val="00242A35"/>
    <w:rsid w:val="00242AE6"/>
    <w:rsid w:val="00242B50"/>
    <w:rsid w:val="00242B9E"/>
    <w:rsid w:val="00242BCE"/>
    <w:rsid w:val="00242C03"/>
    <w:rsid w:val="00242C2F"/>
    <w:rsid w:val="00242CAF"/>
    <w:rsid w:val="00242D03"/>
    <w:rsid w:val="00242D83"/>
    <w:rsid w:val="00242E9B"/>
    <w:rsid w:val="00243062"/>
    <w:rsid w:val="00243084"/>
    <w:rsid w:val="00243108"/>
    <w:rsid w:val="0024317A"/>
    <w:rsid w:val="002431B3"/>
    <w:rsid w:val="002432B1"/>
    <w:rsid w:val="002432CA"/>
    <w:rsid w:val="00243314"/>
    <w:rsid w:val="0024331E"/>
    <w:rsid w:val="00243392"/>
    <w:rsid w:val="002433A4"/>
    <w:rsid w:val="002433C4"/>
    <w:rsid w:val="002433C6"/>
    <w:rsid w:val="002433EF"/>
    <w:rsid w:val="00243401"/>
    <w:rsid w:val="00243447"/>
    <w:rsid w:val="00243490"/>
    <w:rsid w:val="002434D1"/>
    <w:rsid w:val="002434E0"/>
    <w:rsid w:val="0024358B"/>
    <w:rsid w:val="0024371C"/>
    <w:rsid w:val="0024374E"/>
    <w:rsid w:val="002438C3"/>
    <w:rsid w:val="00243911"/>
    <w:rsid w:val="00243918"/>
    <w:rsid w:val="0024392E"/>
    <w:rsid w:val="0024398E"/>
    <w:rsid w:val="002439C0"/>
    <w:rsid w:val="00243A7E"/>
    <w:rsid w:val="00243AC0"/>
    <w:rsid w:val="00243B29"/>
    <w:rsid w:val="00243B5C"/>
    <w:rsid w:val="00243BED"/>
    <w:rsid w:val="00243C38"/>
    <w:rsid w:val="00243C43"/>
    <w:rsid w:val="00243D45"/>
    <w:rsid w:val="00243D49"/>
    <w:rsid w:val="00243E59"/>
    <w:rsid w:val="00243EB9"/>
    <w:rsid w:val="00243F64"/>
    <w:rsid w:val="002440D3"/>
    <w:rsid w:val="00244111"/>
    <w:rsid w:val="0024411C"/>
    <w:rsid w:val="00244209"/>
    <w:rsid w:val="00244235"/>
    <w:rsid w:val="00244236"/>
    <w:rsid w:val="0024432B"/>
    <w:rsid w:val="00244343"/>
    <w:rsid w:val="00244357"/>
    <w:rsid w:val="002443B9"/>
    <w:rsid w:val="00244421"/>
    <w:rsid w:val="00244501"/>
    <w:rsid w:val="002445A2"/>
    <w:rsid w:val="002445CD"/>
    <w:rsid w:val="002445E7"/>
    <w:rsid w:val="0024465C"/>
    <w:rsid w:val="00244734"/>
    <w:rsid w:val="0024473F"/>
    <w:rsid w:val="002447C0"/>
    <w:rsid w:val="002447C2"/>
    <w:rsid w:val="002447D2"/>
    <w:rsid w:val="0024487F"/>
    <w:rsid w:val="00244893"/>
    <w:rsid w:val="002448D0"/>
    <w:rsid w:val="00244938"/>
    <w:rsid w:val="00244984"/>
    <w:rsid w:val="0024499E"/>
    <w:rsid w:val="002449DA"/>
    <w:rsid w:val="00244B7A"/>
    <w:rsid w:val="00244C55"/>
    <w:rsid w:val="00244C70"/>
    <w:rsid w:val="00244CD7"/>
    <w:rsid w:val="00244DA4"/>
    <w:rsid w:val="00244DC4"/>
    <w:rsid w:val="00244F0B"/>
    <w:rsid w:val="00244F63"/>
    <w:rsid w:val="00244FA0"/>
    <w:rsid w:val="00244FAF"/>
    <w:rsid w:val="00244FE7"/>
    <w:rsid w:val="00245090"/>
    <w:rsid w:val="00245140"/>
    <w:rsid w:val="00245175"/>
    <w:rsid w:val="00245181"/>
    <w:rsid w:val="00245274"/>
    <w:rsid w:val="002452E7"/>
    <w:rsid w:val="00245328"/>
    <w:rsid w:val="0024535A"/>
    <w:rsid w:val="00245395"/>
    <w:rsid w:val="002453AF"/>
    <w:rsid w:val="0024544D"/>
    <w:rsid w:val="00245453"/>
    <w:rsid w:val="002454F7"/>
    <w:rsid w:val="002454FE"/>
    <w:rsid w:val="0024555F"/>
    <w:rsid w:val="002455F1"/>
    <w:rsid w:val="00245632"/>
    <w:rsid w:val="00245647"/>
    <w:rsid w:val="0024567E"/>
    <w:rsid w:val="0024568C"/>
    <w:rsid w:val="002457A2"/>
    <w:rsid w:val="002457CF"/>
    <w:rsid w:val="002457E3"/>
    <w:rsid w:val="00245835"/>
    <w:rsid w:val="00245855"/>
    <w:rsid w:val="00245896"/>
    <w:rsid w:val="00245928"/>
    <w:rsid w:val="002459C2"/>
    <w:rsid w:val="00245A5D"/>
    <w:rsid w:val="00245A62"/>
    <w:rsid w:val="00245B02"/>
    <w:rsid w:val="00245B7F"/>
    <w:rsid w:val="00245BD4"/>
    <w:rsid w:val="00245C03"/>
    <w:rsid w:val="00245CA6"/>
    <w:rsid w:val="00245D53"/>
    <w:rsid w:val="00245D68"/>
    <w:rsid w:val="00245EAC"/>
    <w:rsid w:val="00245F05"/>
    <w:rsid w:val="00245F08"/>
    <w:rsid w:val="00245F11"/>
    <w:rsid w:val="00245F1B"/>
    <w:rsid w:val="00246031"/>
    <w:rsid w:val="002460A3"/>
    <w:rsid w:val="002460C8"/>
    <w:rsid w:val="002460D8"/>
    <w:rsid w:val="002460EA"/>
    <w:rsid w:val="00246141"/>
    <w:rsid w:val="002461E9"/>
    <w:rsid w:val="002461EC"/>
    <w:rsid w:val="00246216"/>
    <w:rsid w:val="00246234"/>
    <w:rsid w:val="00246322"/>
    <w:rsid w:val="00246373"/>
    <w:rsid w:val="002463C3"/>
    <w:rsid w:val="0024640B"/>
    <w:rsid w:val="0024649C"/>
    <w:rsid w:val="002464C4"/>
    <w:rsid w:val="0024656A"/>
    <w:rsid w:val="0024658C"/>
    <w:rsid w:val="00246634"/>
    <w:rsid w:val="002466D8"/>
    <w:rsid w:val="00246729"/>
    <w:rsid w:val="00246828"/>
    <w:rsid w:val="002468E5"/>
    <w:rsid w:val="0024691B"/>
    <w:rsid w:val="00246996"/>
    <w:rsid w:val="002469C5"/>
    <w:rsid w:val="00246A07"/>
    <w:rsid w:val="00246A46"/>
    <w:rsid w:val="00246A83"/>
    <w:rsid w:val="00246AB5"/>
    <w:rsid w:val="00246B77"/>
    <w:rsid w:val="00246BB8"/>
    <w:rsid w:val="00246C42"/>
    <w:rsid w:val="00246C5B"/>
    <w:rsid w:val="00246C93"/>
    <w:rsid w:val="00246CBA"/>
    <w:rsid w:val="00246D7B"/>
    <w:rsid w:val="00246DDF"/>
    <w:rsid w:val="00246DEC"/>
    <w:rsid w:val="00246F55"/>
    <w:rsid w:val="00246F8D"/>
    <w:rsid w:val="00246FC6"/>
    <w:rsid w:val="00246FEF"/>
    <w:rsid w:val="002470C6"/>
    <w:rsid w:val="002470ED"/>
    <w:rsid w:val="00247168"/>
    <w:rsid w:val="00247190"/>
    <w:rsid w:val="0024724C"/>
    <w:rsid w:val="00247254"/>
    <w:rsid w:val="002473A1"/>
    <w:rsid w:val="0024741C"/>
    <w:rsid w:val="00247422"/>
    <w:rsid w:val="0024746B"/>
    <w:rsid w:val="00247492"/>
    <w:rsid w:val="002474B5"/>
    <w:rsid w:val="00247512"/>
    <w:rsid w:val="00247522"/>
    <w:rsid w:val="00247637"/>
    <w:rsid w:val="0024765B"/>
    <w:rsid w:val="00247696"/>
    <w:rsid w:val="00247708"/>
    <w:rsid w:val="00247745"/>
    <w:rsid w:val="00247757"/>
    <w:rsid w:val="0024778E"/>
    <w:rsid w:val="002477B5"/>
    <w:rsid w:val="002477F1"/>
    <w:rsid w:val="0024786E"/>
    <w:rsid w:val="0024787C"/>
    <w:rsid w:val="002478A2"/>
    <w:rsid w:val="00247961"/>
    <w:rsid w:val="00247997"/>
    <w:rsid w:val="002479BB"/>
    <w:rsid w:val="00247A59"/>
    <w:rsid w:val="00247ABC"/>
    <w:rsid w:val="00247B2F"/>
    <w:rsid w:val="00247C38"/>
    <w:rsid w:val="00247C42"/>
    <w:rsid w:val="00247C84"/>
    <w:rsid w:val="00247CA9"/>
    <w:rsid w:val="00247D0C"/>
    <w:rsid w:val="00247D1F"/>
    <w:rsid w:val="00247DF0"/>
    <w:rsid w:val="00247E3F"/>
    <w:rsid w:val="00247E6D"/>
    <w:rsid w:val="00247EA7"/>
    <w:rsid w:val="00247EBB"/>
    <w:rsid w:val="00247EE4"/>
    <w:rsid w:val="00247F25"/>
    <w:rsid w:val="00247F70"/>
    <w:rsid w:val="0025001F"/>
    <w:rsid w:val="002500AB"/>
    <w:rsid w:val="002500C2"/>
    <w:rsid w:val="002500C6"/>
    <w:rsid w:val="002500DE"/>
    <w:rsid w:val="00250123"/>
    <w:rsid w:val="00250245"/>
    <w:rsid w:val="0025024C"/>
    <w:rsid w:val="00250281"/>
    <w:rsid w:val="00250308"/>
    <w:rsid w:val="00250336"/>
    <w:rsid w:val="00250391"/>
    <w:rsid w:val="002503AA"/>
    <w:rsid w:val="002503F6"/>
    <w:rsid w:val="002503FF"/>
    <w:rsid w:val="002504DF"/>
    <w:rsid w:val="00250593"/>
    <w:rsid w:val="002505B3"/>
    <w:rsid w:val="002506B2"/>
    <w:rsid w:val="00250776"/>
    <w:rsid w:val="00250799"/>
    <w:rsid w:val="002507E1"/>
    <w:rsid w:val="002507E6"/>
    <w:rsid w:val="002507FB"/>
    <w:rsid w:val="0025080E"/>
    <w:rsid w:val="00250892"/>
    <w:rsid w:val="00250893"/>
    <w:rsid w:val="0025089E"/>
    <w:rsid w:val="002508DB"/>
    <w:rsid w:val="00250909"/>
    <w:rsid w:val="00250974"/>
    <w:rsid w:val="0025099B"/>
    <w:rsid w:val="002509CE"/>
    <w:rsid w:val="00250A39"/>
    <w:rsid w:val="00250B24"/>
    <w:rsid w:val="00250C1D"/>
    <w:rsid w:val="00250D89"/>
    <w:rsid w:val="00250DD9"/>
    <w:rsid w:val="00250E64"/>
    <w:rsid w:val="00250EBB"/>
    <w:rsid w:val="00250F5D"/>
    <w:rsid w:val="00250F89"/>
    <w:rsid w:val="00251017"/>
    <w:rsid w:val="00251029"/>
    <w:rsid w:val="00251063"/>
    <w:rsid w:val="0025109C"/>
    <w:rsid w:val="002510AA"/>
    <w:rsid w:val="002510ED"/>
    <w:rsid w:val="002511C6"/>
    <w:rsid w:val="00251228"/>
    <w:rsid w:val="00251240"/>
    <w:rsid w:val="002512EC"/>
    <w:rsid w:val="002512F5"/>
    <w:rsid w:val="00251342"/>
    <w:rsid w:val="0025138B"/>
    <w:rsid w:val="002513F5"/>
    <w:rsid w:val="0025144B"/>
    <w:rsid w:val="0025146E"/>
    <w:rsid w:val="002514AE"/>
    <w:rsid w:val="00251500"/>
    <w:rsid w:val="0025153B"/>
    <w:rsid w:val="0025155F"/>
    <w:rsid w:val="00251604"/>
    <w:rsid w:val="0025165D"/>
    <w:rsid w:val="00251734"/>
    <w:rsid w:val="00251758"/>
    <w:rsid w:val="0025175D"/>
    <w:rsid w:val="0025177D"/>
    <w:rsid w:val="002517DC"/>
    <w:rsid w:val="0025183A"/>
    <w:rsid w:val="0025183C"/>
    <w:rsid w:val="0025183D"/>
    <w:rsid w:val="0025184E"/>
    <w:rsid w:val="0025192F"/>
    <w:rsid w:val="002519A6"/>
    <w:rsid w:val="002519B7"/>
    <w:rsid w:val="00251A26"/>
    <w:rsid w:val="00251AE6"/>
    <w:rsid w:val="00251AFD"/>
    <w:rsid w:val="00251B7E"/>
    <w:rsid w:val="00251BB5"/>
    <w:rsid w:val="00251C3D"/>
    <w:rsid w:val="00251C7E"/>
    <w:rsid w:val="00251D4E"/>
    <w:rsid w:val="00251D78"/>
    <w:rsid w:val="00251E1F"/>
    <w:rsid w:val="00251E35"/>
    <w:rsid w:val="00251E76"/>
    <w:rsid w:val="00251F23"/>
    <w:rsid w:val="00251FF8"/>
    <w:rsid w:val="00252051"/>
    <w:rsid w:val="00252061"/>
    <w:rsid w:val="0025213A"/>
    <w:rsid w:val="002521C2"/>
    <w:rsid w:val="00252252"/>
    <w:rsid w:val="002522B2"/>
    <w:rsid w:val="00252317"/>
    <w:rsid w:val="00252359"/>
    <w:rsid w:val="0025243A"/>
    <w:rsid w:val="00252480"/>
    <w:rsid w:val="002524B2"/>
    <w:rsid w:val="002524E3"/>
    <w:rsid w:val="00252515"/>
    <w:rsid w:val="002525AA"/>
    <w:rsid w:val="002525AC"/>
    <w:rsid w:val="002525CD"/>
    <w:rsid w:val="00252633"/>
    <w:rsid w:val="0025265D"/>
    <w:rsid w:val="002526ED"/>
    <w:rsid w:val="002526F8"/>
    <w:rsid w:val="0025272F"/>
    <w:rsid w:val="00252857"/>
    <w:rsid w:val="00252922"/>
    <w:rsid w:val="00252983"/>
    <w:rsid w:val="002529D9"/>
    <w:rsid w:val="00252A00"/>
    <w:rsid w:val="00252A12"/>
    <w:rsid w:val="00252A54"/>
    <w:rsid w:val="00252B32"/>
    <w:rsid w:val="00252B6A"/>
    <w:rsid w:val="00252D31"/>
    <w:rsid w:val="00252D48"/>
    <w:rsid w:val="00252DCF"/>
    <w:rsid w:val="00252E1F"/>
    <w:rsid w:val="00252E82"/>
    <w:rsid w:val="00252E89"/>
    <w:rsid w:val="00252ED6"/>
    <w:rsid w:val="00252EF1"/>
    <w:rsid w:val="00253034"/>
    <w:rsid w:val="002530BA"/>
    <w:rsid w:val="002530ED"/>
    <w:rsid w:val="0025311E"/>
    <w:rsid w:val="002531B2"/>
    <w:rsid w:val="002532D6"/>
    <w:rsid w:val="002534B2"/>
    <w:rsid w:val="00253524"/>
    <w:rsid w:val="00253545"/>
    <w:rsid w:val="0025354A"/>
    <w:rsid w:val="00253575"/>
    <w:rsid w:val="0025362E"/>
    <w:rsid w:val="0025367D"/>
    <w:rsid w:val="0025367F"/>
    <w:rsid w:val="002536AB"/>
    <w:rsid w:val="002536DA"/>
    <w:rsid w:val="002536EA"/>
    <w:rsid w:val="00253739"/>
    <w:rsid w:val="00253784"/>
    <w:rsid w:val="002537CC"/>
    <w:rsid w:val="0025380A"/>
    <w:rsid w:val="0025380D"/>
    <w:rsid w:val="0025380F"/>
    <w:rsid w:val="00253845"/>
    <w:rsid w:val="00253898"/>
    <w:rsid w:val="002538B0"/>
    <w:rsid w:val="002538C7"/>
    <w:rsid w:val="002538D8"/>
    <w:rsid w:val="00253945"/>
    <w:rsid w:val="0025394D"/>
    <w:rsid w:val="0025395F"/>
    <w:rsid w:val="002539CE"/>
    <w:rsid w:val="00253A66"/>
    <w:rsid w:val="00253ABA"/>
    <w:rsid w:val="00253AE0"/>
    <w:rsid w:val="00253BB9"/>
    <w:rsid w:val="00253C05"/>
    <w:rsid w:val="00253C14"/>
    <w:rsid w:val="00253D5E"/>
    <w:rsid w:val="00253E1D"/>
    <w:rsid w:val="00253E52"/>
    <w:rsid w:val="00253E60"/>
    <w:rsid w:val="00253EE2"/>
    <w:rsid w:val="00253FCD"/>
    <w:rsid w:val="0025405A"/>
    <w:rsid w:val="00254210"/>
    <w:rsid w:val="002542AC"/>
    <w:rsid w:val="002542CC"/>
    <w:rsid w:val="002542EB"/>
    <w:rsid w:val="00254371"/>
    <w:rsid w:val="002543B0"/>
    <w:rsid w:val="0025440E"/>
    <w:rsid w:val="00254439"/>
    <w:rsid w:val="0025443C"/>
    <w:rsid w:val="00254444"/>
    <w:rsid w:val="00254572"/>
    <w:rsid w:val="0025459D"/>
    <w:rsid w:val="002545B8"/>
    <w:rsid w:val="002545F2"/>
    <w:rsid w:val="00254618"/>
    <w:rsid w:val="002546D2"/>
    <w:rsid w:val="002547DD"/>
    <w:rsid w:val="00254871"/>
    <w:rsid w:val="0025489E"/>
    <w:rsid w:val="002548D6"/>
    <w:rsid w:val="002548E3"/>
    <w:rsid w:val="00254909"/>
    <w:rsid w:val="00254967"/>
    <w:rsid w:val="00254976"/>
    <w:rsid w:val="002549DE"/>
    <w:rsid w:val="00254A0A"/>
    <w:rsid w:val="00254ADF"/>
    <w:rsid w:val="00254AEB"/>
    <w:rsid w:val="00254AEE"/>
    <w:rsid w:val="00254B3D"/>
    <w:rsid w:val="00254B8B"/>
    <w:rsid w:val="00254BAF"/>
    <w:rsid w:val="00254BBD"/>
    <w:rsid w:val="00254BC5"/>
    <w:rsid w:val="00254C06"/>
    <w:rsid w:val="00254C07"/>
    <w:rsid w:val="00254C2A"/>
    <w:rsid w:val="00254C99"/>
    <w:rsid w:val="00254D36"/>
    <w:rsid w:val="00254D58"/>
    <w:rsid w:val="00254DF9"/>
    <w:rsid w:val="00254F21"/>
    <w:rsid w:val="00254F64"/>
    <w:rsid w:val="00254FAD"/>
    <w:rsid w:val="00254FE4"/>
    <w:rsid w:val="0025500F"/>
    <w:rsid w:val="00255013"/>
    <w:rsid w:val="0025505F"/>
    <w:rsid w:val="00255122"/>
    <w:rsid w:val="0025515B"/>
    <w:rsid w:val="00255202"/>
    <w:rsid w:val="00255204"/>
    <w:rsid w:val="0025525D"/>
    <w:rsid w:val="00255286"/>
    <w:rsid w:val="0025530F"/>
    <w:rsid w:val="002554AA"/>
    <w:rsid w:val="002555F8"/>
    <w:rsid w:val="0025571C"/>
    <w:rsid w:val="00255773"/>
    <w:rsid w:val="002557A1"/>
    <w:rsid w:val="00255826"/>
    <w:rsid w:val="0025587E"/>
    <w:rsid w:val="002558D9"/>
    <w:rsid w:val="002559DB"/>
    <w:rsid w:val="00255A05"/>
    <w:rsid w:val="00255A66"/>
    <w:rsid w:val="00255AF1"/>
    <w:rsid w:val="00255B29"/>
    <w:rsid w:val="00255B47"/>
    <w:rsid w:val="00255B54"/>
    <w:rsid w:val="00255B55"/>
    <w:rsid w:val="00255B7D"/>
    <w:rsid w:val="00255BDD"/>
    <w:rsid w:val="00255C79"/>
    <w:rsid w:val="00255CB2"/>
    <w:rsid w:val="00255CDA"/>
    <w:rsid w:val="00255D2C"/>
    <w:rsid w:val="00255E05"/>
    <w:rsid w:val="00255E2E"/>
    <w:rsid w:val="00255E89"/>
    <w:rsid w:val="00255EA9"/>
    <w:rsid w:val="00255EC7"/>
    <w:rsid w:val="00255F04"/>
    <w:rsid w:val="00255F6D"/>
    <w:rsid w:val="00255F8D"/>
    <w:rsid w:val="00255F98"/>
    <w:rsid w:val="00255F9B"/>
    <w:rsid w:val="00255FEC"/>
    <w:rsid w:val="00256060"/>
    <w:rsid w:val="00256078"/>
    <w:rsid w:val="002560ED"/>
    <w:rsid w:val="00256146"/>
    <w:rsid w:val="002561B6"/>
    <w:rsid w:val="0025620A"/>
    <w:rsid w:val="0025621C"/>
    <w:rsid w:val="00256258"/>
    <w:rsid w:val="002562DF"/>
    <w:rsid w:val="002563BF"/>
    <w:rsid w:val="002563D1"/>
    <w:rsid w:val="0025650A"/>
    <w:rsid w:val="0025650C"/>
    <w:rsid w:val="00256531"/>
    <w:rsid w:val="00256579"/>
    <w:rsid w:val="002565E1"/>
    <w:rsid w:val="0025660B"/>
    <w:rsid w:val="0025661E"/>
    <w:rsid w:val="00256837"/>
    <w:rsid w:val="00256863"/>
    <w:rsid w:val="00256871"/>
    <w:rsid w:val="002568A6"/>
    <w:rsid w:val="002568F5"/>
    <w:rsid w:val="002569BD"/>
    <w:rsid w:val="00256A60"/>
    <w:rsid w:val="00256A84"/>
    <w:rsid w:val="00256A99"/>
    <w:rsid w:val="00256AC3"/>
    <w:rsid w:val="00256AF6"/>
    <w:rsid w:val="00256B90"/>
    <w:rsid w:val="00256B9E"/>
    <w:rsid w:val="00256BED"/>
    <w:rsid w:val="00256CC2"/>
    <w:rsid w:val="00256DCE"/>
    <w:rsid w:val="00256DF8"/>
    <w:rsid w:val="00256E0B"/>
    <w:rsid w:val="00256E57"/>
    <w:rsid w:val="00256EBA"/>
    <w:rsid w:val="00256F3B"/>
    <w:rsid w:val="00256F7D"/>
    <w:rsid w:val="00257094"/>
    <w:rsid w:val="002570DC"/>
    <w:rsid w:val="00257154"/>
    <w:rsid w:val="0025717F"/>
    <w:rsid w:val="002571FE"/>
    <w:rsid w:val="002573E2"/>
    <w:rsid w:val="002573E9"/>
    <w:rsid w:val="002573F0"/>
    <w:rsid w:val="00257448"/>
    <w:rsid w:val="0025748B"/>
    <w:rsid w:val="00257497"/>
    <w:rsid w:val="002574AE"/>
    <w:rsid w:val="00257580"/>
    <w:rsid w:val="002575A2"/>
    <w:rsid w:val="00257787"/>
    <w:rsid w:val="002577E0"/>
    <w:rsid w:val="002578AF"/>
    <w:rsid w:val="002578BE"/>
    <w:rsid w:val="00257937"/>
    <w:rsid w:val="0025797C"/>
    <w:rsid w:val="002579AB"/>
    <w:rsid w:val="002579B1"/>
    <w:rsid w:val="002579E5"/>
    <w:rsid w:val="00257A0F"/>
    <w:rsid w:val="00257A19"/>
    <w:rsid w:val="00257A62"/>
    <w:rsid w:val="00257AFF"/>
    <w:rsid w:val="00257B16"/>
    <w:rsid w:val="00257B4E"/>
    <w:rsid w:val="00257C0C"/>
    <w:rsid w:val="00257C2B"/>
    <w:rsid w:val="00257C70"/>
    <w:rsid w:val="00257C9E"/>
    <w:rsid w:val="00257EC5"/>
    <w:rsid w:val="00257EE3"/>
    <w:rsid w:val="00257EF1"/>
    <w:rsid w:val="00257F10"/>
    <w:rsid w:val="00257F24"/>
    <w:rsid w:val="00257F37"/>
    <w:rsid w:val="00257F8B"/>
    <w:rsid w:val="00257FFB"/>
    <w:rsid w:val="00260016"/>
    <w:rsid w:val="0026001D"/>
    <w:rsid w:val="0026003E"/>
    <w:rsid w:val="002600DC"/>
    <w:rsid w:val="00260209"/>
    <w:rsid w:val="00260243"/>
    <w:rsid w:val="00260255"/>
    <w:rsid w:val="0026029B"/>
    <w:rsid w:val="0026030B"/>
    <w:rsid w:val="00260312"/>
    <w:rsid w:val="0026039E"/>
    <w:rsid w:val="002603A1"/>
    <w:rsid w:val="00260445"/>
    <w:rsid w:val="0026048D"/>
    <w:rsid w:val="002604A2"/>
    <w:rsid w:val="002604D2"/>
    <w:rsid w:val="0026058F"/>
    <w:rsid w:val="002605CF"/>
    <w:rsid w:val="002606E1"/>
    <w:rsid w:val="00260741"/>
    <w:rsid w:val="00260785"/>
    <w:rsid w:val="002607E6"/>
    <w:rsid w:val="0026085A"/>
    <w:rsid w:val="002608ED"/>
    <w:rsid w:val="0026090B"/>
    <w:rsid w:val="00260A93"/>
    <w:rsid w:val="00260A9D"/>
    <w:rsid w:val="00260AC5"/>
    <w:rsid w:val="00260B25"/>
    <w:rsid w:val="00260B63"/>
    <w:rsid w:val="00260CA4"/>
    <w:rsid w:val="00260CE4"/>
    <w:rsid w:val="00260CEA"/>
    <w:rsid w:val="00260CFF"/>
    <w:rsid w:val="00260D10"/>
    <w:rsid w:val="00260D4A"/>
    <w:rsid w:val="00260DA0"/>
    <w:rsid w:val="00260DC4"/>
    <w:rsid w:val="00260E8A"/>
    <w:rsid w:val="00260F9A"/>
    <w:rsid w:val="00260FA0"/>
    <w:rsid w:val="00260FD6"/>
    <w:rsid w:val="00261110"/>
    <w:rsid w:val="00261137"/>
    <w:rsid w:val="00261206"/>
    <w:rsid w:val="0026126C"/>
    <w:rsid w:val="00261281"/>
    <w:rsid w:val="00261292"/>
    <w:rsid w:val="0026133F"/>
    <w:rsid w:val="0026139D"/>
    <w:rsid w:val="002613CA"/>
    <w:rsid w:val="002613CE"/>
    <w:rsid w:val="00261401"/>
    <w:rsid w:val="00261421"/>
    <w:rsid w:val="00261455"/>
    <w:rsid w:val="0026157E"/>
    <w:rsid w:val="00261776"/>
    <w:rsid w:val="00261828"/>
    <w:rsid w:val="00261871"/>
    <w:rsid w:val="00261881"/>
    <w:rsid w:val="0026189C"/>
    <w:rsid w:val="002618D3"/>
    <w:rsid w:val="00261969"/>
    <w:rsid w:val="0026198D"/>
    <w:rsid w:val="002619AA"/>
    <w:rsid w:val="002619B5"/>
    <w:rsid w:val="002619F0"/>
    <w:rsid w:val="00261A4D"/>
    <w:rsid w:val="00261AAC"/>
    <w:rsid w:val="00261B68"/>
    <w:rsid w:val="00261C26"/>
    <w:rsid w:val="00261C29"/>
    <w:rsid w:val="00261CA2"/>
    <w:rsid w:val="00261CFB"/>
    <w:rsid w:val="00261D87"/>
    <w:rsid w:val="00261D94"/>
    <w:rsid w:val="00261DA5"/>
    <w:rsid w:val="00261DCB"/>
    <w:rsid w:val="00261E19"/>
    <w:rsid w:val="00261E7C"/>
    <w:rsid w:val="00261F46"/>
    <w:rsid w:val="00261F51"/>
    <w:rsid w:val="00261FA2"/>
    <w:rsid w:val="00261FE0"/>
    <w:rsid w:val="00262050"/>
    <w:rsid w:val="00262113"/>
    <w:rsid w:val="0026213C"/>
    <w:rsid w:val="002621E4"/>
    <w:rsid w:val="00262201"/>
    <w:rsid w:val="0026229F"/>
    <w:rsid w:val="002623E4"/>
    <w:rsid w:val="002624A5"/>
    <w:rsid w:val="002624B0"/>
    <w:rsid w:val="002625F5"/>
    <w:rsid w:val="002625FE"/>
    <w:rsid w:val="00262670"/>
    <w:rsid w:val="00262692"/>
    <w:rsid w:val="00262798"/>
    <w:rsid w:val="00262855"/>
    <w:rsid w:val="00262869"/>
    <w:rsid w:val="002628D4"/>
    <w:rsid w:val="00262938"/>
    <w:rsid w:val="00262AA6"/>
    <w:rsid w:val="00262AEE"/>
    <w:rsid w:val="00262B1A"/>
    <w:rsid w:val="00262C12"/>
    <w:rsid w:val="00262C32"/>
    <w:rsid w:val="00262C4D"/>
    <w:rsid w:val="00262C6E"/>
    <w:rsid w:val="00262C7D"/>
    <w:rsid w:val="00262C93"/>
    <w:rsid w:val="00262D47"/>
    <w:rsid w:val="00262D79"/>
    <w:rsid w:val="00262DB2"/>
    <w:rsid w:val="00262E14"/>
    <w:rsid w:val="00262E79"/>
    <w:rsid w:val="00262EC4"/>
    <w:rsid w:val="00262F46"/>
    <w:rsid w:val="00262F96"/>
    <w:rsid w:val="00262FD3"/>
    <w:rsid w:val="00263005"/>
    <w:rsid w:val="00263035"/>
    <w:rsid w:val="002630C9"/>
    <w:rsid w:val="002630CF"/>
    <w:rsid w:val="002630DD"/>
    <w:rsid w:val="0026312E"/>
    <w:rsid w:val="0026314E"/>
    <w:rsid w:val="00263165"/>
    <w:rsid w:val="0026317E"/>
    <w:rsid w:val="00263199"/>
    <w:rsid w:val="00263242"/>
    <w:rsid w:val="002632C8"/>
    <w:rsid w:val="002632EF"/>
    <w:rsid w:val="00263327"/>
    <w:rsid w:val="0026335C"/>
    <w:rsid w:val="002634C8"/>
    <w:rsid w:val="002634D0"/>
    <w:rsid w:val="00263548"/>
    <w:rsid w:val="002635CC"/>
    <w:rsid w:val="0026362C"/>
    <w:rsid w:val="00263638"/>
    <w:rsid w:val="0026364E"/>
    <w:rsid w:val="002636EF"/>
    <w:rsid w:val="0026377E"/>
    <w:rsid w:val="002637F7"/>
    <w:rsid w:val="002639E6"/>
    <w:rsid w:val="002639F5"/>
    <w:rsid w:val="00263A71"/>
    <w:rsid w:val="00263A77"/>
    <w:rsid w:val="00263A7F"/>
    <w:rsid w:val="00263AC8"/>
    <w:rsid w:val="00263AE0"/>
    <w:rsid w:val="00263AF6"/>
    <w:rsid w:val="00263B36"/>
    <w:rsid w:val="00263C2A"/>
    <w:rsid w:val="00263C8C"/>
    <w:rsid w:val="00263D38"/>
    <w:rsid w:val="00263D66"/>
    <w:rsid w:val="00263D9E"/>
    <w:rsid w:val="00263E42"/>
    <w:rsid w:val="00263E47"/>
    <w:rsid w:val="00263E75"/>
    <w:rsid w:val="00263EE7"/>
    <w:rsid w:val="00263F06"/>
    <w:rsid w:val="00263F47"/>
    <w:rsid w:val="00263F7F"/>
    <w:rsid w:val="00263FDE"/>
    <w:rsid w:val="00263FFD"/>
    <w:rsid w:val="00264002"/>
    <w:rsid w:val="00264076"/>
    <w:rsid w:val="002640F7"/>
    <w:rsid w:val="00264111"/>
    <w:rsid w:val="00264125"/>
    <w:rsid w:val="002641C0"/>
    <w:rsid w:val="002641F1"/>
    <w:rsid w:val="00264241"/>
    <w:rsid w:val="00264275"/>
    <w:rsid w:val="00264290"/>
    <w:rsid w:val="002643BA"/>
    <w:rsid w:val="0026442E"/>
    <w:rsid w:val="00264473"/>
    <w:rsid w:val="002644CD"/>
    <w:rsid w:val="00264510"/>
    <w:rsid w:val="0026454E"/>
    <w:rsid w:val="002645DC"/>
    <w:rsid w:val="0026461F"/>
    <w:rsid w:val="00264651"/>
    <w:rsid w:val="00264700"/>
    <w:rsid w:val="0026474A"/>
    <w:rsid w:val="0026477B"/>
    <w:rsid w:val="0026477E"/>
    <w:rsid w:val="00264783"/>
    <w:rsid w:val="002648D9"/>
    <w:rsid w:val="00264920"/>
    <w:rsid w:val="00264934"/>
    <w:rsid w:val="0026493C"/>
    <w:rsid w:val="00264984"/>
    <w:rsid w:val="002649B8"/>
    <w:rsid w:val="002649D4"/>
    <w:rsid w:val="002649EE"/>
    <w:rsid w:val="00264A13"/>
    <w:rsid w:val="00264A50"/>
    <w:rsid w:val="00264A7A"/>
    <w:rsid w:val="00264A7B"/>
    <w:rsid w:val="00264A99"/>
    <w:rsid w:val="00264AEE"/>
    <w:rsid w:val="00264B3E"/>
    <w:rsid w:val="00264BEC"/>
    <w:rsid w:val="00264C5F"/>
    <w:rsid w:val="00264CD8"/>
    <w:rsid w:val="00264CFC"/>
    <w:rsid w:val="00264DAD"/>
    <w:rsid w:val="00264DDA"/>
    <w:rsid w:val="00264E1C"/>
    <w:rsid w:val="00264E8F"/>
    <w:rsid w:val="00264F39"/>
    <w:rsid w:val="00264F47"/>
    <w:rsid w:val="00264F73"/>
    <w:rsid w:val="00264F7B"/>
    <w:rsid w:val="00264F91"/>
    <w:rsid w:val="00264FB2"/>
    <w:rsid w:val="0026505D"/>
    <w:rsid w:val="0026514E"/>
    <w:rsid w:val="00265195"/>
    <w:rsid w:val="002651B4"/>
    <w:rsid w:val="00265277"/>
    <w:rsid w:val="002652B2"/>
    <w:rsid w:val="002652E1"/>
    <w:rsid w:val="002652E2"/>
    <w:rsid w:val="00265318"/>
    <w:rsid w:val="002653C2"/>
    <w:rsid w:val="00265429"/>
    <w:rsid w:val="00265565"/>
    <w:rsid w:val="0026562D"/>
    <w:rsid w:val="00265706"/>
    <w:rsid w:val="002657AB"/>
    <w:rsid w:val="002657DE"/>
    <w:rsid w:val="0026580E"/>
    <w:rsid w:val="0026590C"/>
    <w:rsid w:val="00265ADF"/>
    <w:rsid w:val="00265AE8"/>
    <w:rsid w:val="00265B9E"/>
    <w:rsid w:val="00265C55"/>
    <w:rsid w:val="00265C6D"/>
    <w:rsid w:val="00265CBC"/>
    <w:rsid w:val="00265E0F"/>
    <w:rsid w:val="00265E37"/>
    <w:rsid w:val="00265E81"/>
    <w:rsid w:val="0026600B"/>
    <w:rsid w:val="00266029"/>
    <w:rsid w:val="002660E2"/>
    <w:rsid w:val="00266214"/>
    <w:rsid w:val="00266274"/>
    <w:rsid w:val="002662C5"/>
    <w:rsid w:val="002663A1"/>
    <w:rsid w:val="002663EA"/>
    <w:rsid w:val="002664C5"/>
    <w:rsid w:val="002665A5"/>
    <w:rsid w:val="002665C2"/>
    <w:rsid w:val="002666A3"/>
    <w:rsid w:val="002666CC"/>
    <w:rsid w:val="002666F1"/>
    <w:rsid w:val="0026671D"/>
    <w:rsid w:val="002667A0"/>
    <w:rsid w:val="002667EA"/>
    <w:rsid w:val="0026683B"/>
    <w:rsid w:val="00266857"/>
    <w:rsid w:val="00266879"/>
    <w:rsid w:val="0026693C"/>
    <w:rsid w:val="00266986"/>
    <w:rsid w:val="002669C0"/>
    <w:rsid w:val="00266A0A"/>
    <w:rsid w:val="00266A4A"/>
    <w:rsid w:val="00266A4E"/>
    <w:rsid w:val="00266A59"/>
    <w:rsid w:val="00266A5E"/>
    <w:rsid w:val="00266A63"/>
    <w:rsid w:val="00266B48"/>
    <w:rsid w:val="00266B80"/>
    <w:rsid w:val="00266BC1"/>
    <w:rsid w:val="00266BF6"/>
    <w:rsid w:val="00266CD7"/>
    <w:rsid w:val="00266D20"/>
    <w:rsid w:val="00266DCE"/>
    <w:rsid w:val="00266DF9"/>
    <w:rsid w:val="00266E43"/>
    <w:rsid w:val="00266E5B"/>
    <w:rsid w:val="00266E60"/>
    <w:rsid w:val="00266E87"/>
    <w:rsid w:val="00266EA0"/>
    <w:rsid w:val="00266F20"/>
    <w:rsid w:val="00266F49"/>
    <w:rsid w:val="00266F5E"/>
    <w:rsid w:val="00266F69"/>
    <w:rsid w:val="00266F90"/>
    <w:rsid w:val="00266FA4"/>
    <w:rsid w:val="00266FC9"/>
    <w:rsid w:val="00266FF4"/>
    <w:rsid w:val="00267092"/>
    <w:rsid w:val="002670A1"/>
    <w:rsid w:val="002670BD"/>
    <w:rsid w:val="002670D1"/>
    <w:rsid w:val="002671D5"/>
    <w:rsid w:val="00267311"/>
    <w:rsid w:val="0026734A"/>
    <w:rsid w:val="0026736A"/>
    <w:rsid w:val="002673D8"/>
    <w:rsid w:val="00267401"/>
    <w:rsid w:val="00267446"/>
    <w:rsid w:val="00267478"/>
    <w:rsid w:val="00267497"/>
    <w:rsid w:val="00267518"/>
    <w:rsid w:val="00267550"/>
    <w:rsid w:val="002675CD"/>
    <w:rsid w:val="002675D9"/>
    <w:rsid w:val="00267625"/>
    <w:rsid w:val="002676A6"/>
    <w:rsid w:val="002676D9"/>
    <w:rsid w:val="0026779C"/>
    <w:rsid w:val="002677C8"/>
    <w:rsid w:val="0026781B"/>
    <w:rsid w:val="002678C1"/>
    <w:rsid w:val="00267935"/>
    <w:rsid w:val="00267945"/>
    <w:rsid w:val="0026794B"/>
    <w:rsid w:val="00267A45"/>
    <w:rsid w:val="00267ADF"/>
    <w:rsid w:val="00267B35"/>
    <w:rsid w:val="00267BA7"/>
    <w:rsid w:val="00267BD3"/>
    <w:rsid w:val="00267BED"/>
    <w:rsid w:val="00267C11"/>
    <w:rsid w:val="00267C1A"/>
    <w:rsid w:val="00267C70"/>
    <w:rsid w:val="00267CA6"/>
    <w:rsid w:val="00267D0C"/>
    <w:rsid w:val="00267EB0"/>
    <w:rsid w:val="00267EBA"/>
    <w:rsid w:val="00267ED7"/>
    <w:rsid w:val="00267ED8"/>
    <w:rsid w:val="00267F01"/>
    <w:rsid w:val="00267F30"/>
    <w:rsid w:val="00267FB8"/>
    <w:rsid w:val="00267FC9"/>
    <w:rsid w:val="00270027"/>
    <w:rsid w:val="00270078"/>
    <w:rsid w:val="00270083"/>
    <w:rsid w:val="002700E9"/>
    <w:rsid w:val="0027012E"/>
    <w:rsid w:val="0027013F"/>
    <w:rsid w:val="00270184"/>
    <w:rsid w:val="002701A4"/>
    <w:rsid w:val="002701CE"/>
    <w:rsid w:val="0027027D"/>
    <w:rsid w:val="002702C5"/>
    <w:rsid w:val="00270302"/>
    <w:rsid w:val="00270371"/>
    <w:rsid w:val="00270412"/>
    <w:rsid w:val="0027043A"/>
    <w:rsid w:val="002704A0"/>
    <w:rsid w:val="002704D4"/>
    <w:rsid w:val="00270529"/>
    <w:rsid w:val="002705BD"/>
    <w:rsid w:val="002705CC"/>
    <w:rsid w:val="002705E4"/>
    <w:rsid w:val="00270727"/>
    <w:rsid w:val="00270730"/>
    <w:rsid w:val="00270732"/>
    <w:rsid w:val="0027075F"/>
    <w:rsid w:val="0027078E"/>
    <w:rsid w:val="0027085F"/>
    <w:rsid w:val="00270889"/>
    <w:rsid w:val="00270920"/>
    <w:rsid w:val="00270931"/>
    <w:rsid w:val="00270989"/>
    <w:rsid w:val="002709B4"/>
    <w:rsid w:val="002709CA"/>
    <w:rsid w:val="002709F4"/>
    <w:rsid w:val="00270A1C"/>
    <w:rsid w:val="00270ACD"/>
    <w:rsid w:val="00270B3F"/>
    <w:rsid w:val="00270B61"/>
    <w:rsid w:val="00270C20"/>
    <w:rsid w:val="00270C4F"/>
    <w:rsid w:val="00270C5E"/>
    <w:rsid w:val="00270C65"/>
    <w:rsid w:val="00270CA3"/>
    <w:rsid w:val="00270CA6"/>
    <w:rsid w:val="00270CEA"/>
    <w:rsid w:val="00270E0A"/>
    <w:rsid w:val="00270F17"/>
    <w:rsid w:val="00270F4E"/>
    <w:rsid w:val="00270F78"/>
    <w:rsid w:val="00270FAA"/>
    <w:rsid w:val="00270FD7"/>
    <w:rsid w:val="00270FDD"/>
    <w:rsid w:val="00271019"/>
    <w:rsid w:val="0027102C"/>
    <w:rsid w:val="00271084"/>
    <w:rsid w:val="002710A9"/>
    <w:rsid w:val="00271113"/>
    <w:rsid w:val="00271119"/>
    <w:rsid w:val="00271149"/>
    <w:rsid w:val="00271185"/>
    <w:rsid w:val="00271229"/>
    <w:rsid w:val="002712EB"/>
    <w:rsid w:val="00271343"/>
    <w:rsid w:val="00271375"/>
    <w:rsid w:val="002713B4"/>
    <w:rsid w:val="002713DD"/>
    <w:rsid w:val="0027141D"/>
    <w:rsid w:val="00271435"/>
    <w:rsid w:val="00271496"/>
    <w:rsid w:val="002714AB"/>
    <w:rsid w:val="00271516"/>
    <w:rsid w:val="0027152C"/>
    <w:rsid w:val="00271571"/>
    <w:rsid w:val="002715A9"/>
    <w:rsid w:val="00271612"/>
    <w:rsid w:val="00271708"/>
    <w:rsid w:val="002717C6"/>
    <w:rsid w:val="00271815"/>
    <w:rsid w:val="00271895"/>
    <w:rsid w:val="00271972"/>
    <w:rsid w:val="002719F7"/>
    <w:rsid w:val="00271A11"/>
    <w:rsid w:val="00271ABF"/>
    <w:rsid w:val="00271BB9"/>
    <w:rsid w:val="00271D23"/>
    <w:rsid w:val="00271E52"/>
    <w:rsid w:val="00271E93"/>
    <w:rsid w:val="00271F81"/>
    <w:rsid w:val="0027208F"/>
    <w:rsid w:val="002720C4"/>
    <w:rsid w:val="0027219A"/>
    <w:rsid w:val="002721F9"/>
    <w:rsid w:val="002722BC"/>
    <w:rsid w:val="00272343"/>
    <w:rsid w:val="002723CA"/>
    <w:rsid w:val="0027247E"/>
    <w:rsid w:val="0027249A"/>
    <w:rsid w:val="002724C6"/>
    <w:rsid w:val="00272573"/>
    <w:rsid w:val="00272596"/>
    <w:rsid w:val="002725F8"/>
    <w:rsid w:val="0027266C"/>
    <w:rsid w:val="00272686"/>
    <w:rsid w:val="002726A0"/>
    <w:rsid w:val="00272707"/>
    <w:rsid w:val="00272731"/>
    <w:rsid w:val="002727F9"/>
    <w:rsid w:val="00272832"/>
    <w:rsid w:val="00272871"/>
    <w:rsid w:val="00272991"/>
    <w:rsid w:val="002729B7"/>
    <w:rsid w:val="00272AB8"/>
    <w:rsid w:val="00272AE8"/>
    <w:rsid w:val="00272C01"/>
    <w:rsid w:val="00272C06"/>
    <w:rsid w:val="00272C34"/>
    <w:rsid w:val="00272C3A"/>
    <w:rsid w:val="00272C3C"/>
    <w:rsid w:val="00272CA7"/>
    <w:rsid w:val="00272D37"/>
    <w:rsid w:val="00272DB5"/>
    <w:rsid w:val="00272E16"/>
    <w:rsid w:val="00272E2F"/>
    <w:rsid w:val="00272E70"/>
    <w:rsid w:val="00272F6D"/>
    <w:rsid w:val="00272FAD"/>
    <w:rsid w:val="0027300C"/>
    <w:rsid w:val="0027301A"/>
    <w:rsid w:val="0027307F"/>
    <w:rsid w:val="00273092"/>
    <w:rsid w:val="00273157"/>
    <w:rsid w:val="002731DB"/>
    <w:rsid w:val="002731F6"/>
    <w:rsid w:val="0027320A"/>
    <w:rsid w:val="00273237"/>
    <w:rsid w:val="0027326F"/>
    <w:rsid w:val="00273275"/>
    <w:rsid w:val="00273307"/>
    <w:rsid w:val="002733D6"/>
    <w:rsid w:val="002734D7"/>
    <w:rsid w:val="0027351A"/>
    <w:rsid w:val="002735E9"/>
    <w:rsid w:val="002735F6"/>
    <w:rsid w:val="00273621"/>
    <w:rsid w:val="00273695"/>
    <w:rsid w:val="002736D5"/>
    <w:rsid w:val="00273716"/>
    <w:rsid w:val="0027371E"/>
    <w:rsid w:val="00273763"/>
    <w:rsid w:val="00273849"/>
    <w:rsid w:val="00273894"/>
    <w:rsid w:val="00273936"/>
    <w:rsid w:val="0027398A"/>
    <w:rsid w:val="00273A40"/>
    <w:rsid w:val="00273A44"/>
    <w:rsid w:val="00273AF5"/>
    <w:rsid w:val="00273B87"/>
    <w:rsid w:val="00273B8A"/>
    <w:rsid w:val="00273BB4"/>
    <w:rsid w:val="00273BDC"/>
    <w:rsid w:val="00273C37"/>
    <w:rsid w:val="00273CE3"/>
    <w:rsid w:val="00273D11"/>
    <w:rsid w:val="00273D66"/>
    <w:rsid w:val="00273E1C"/>
    <w:rsid w:val="00273E63"/>
    <w:rsid w:val="00273E7D"/>
    <w:rsid w:val="00273E97"/>
    <w:rsid w:val="00273F02"/>
    <w:rsid w:val="00273F37"/>
    <w:rsid w:val="00273F6E"/>
    <w:rsid w:val="00273F76"/>
    <w:rsid w:val="00273F7F"/>
    <w:rsid w:val="002741D4"/>
    <w:rsid w:val="00274212"/>
    <w:rsid w:val="002742E8"/>
    <w:rsid w:val="0027430E"/>
    <w:rsid w:val="0027435E"/>
    <w:rsid w:val="0027437B"/>
    <w:rsid w:val="00274387"/>
    <w:rsid w:val="002743DB"/>
    <w:rsid w:val="002743E2"/>
    <w:rsid w:val="00274439"/>
    <w:rsid w:val="00274454"/>
    <w:rsid w:val="00274457"/>
    <w:rsid w:val="00274477"/>
    <w:rsid w:val="00274540"/>
    <w:rsid w:val="002745E8"/>
    <w:rsid w:val="00274658"/>
    <w:rsid w:val="0027468F"/>
    <w:rsid w:val="00274693"/>
    <w:rsid w:val="002747AA"/>
    <w:rsid w:val="00274857"/>
    <w:rsid w:val="00274892"/>
    <w:rsid w:val="002748D8"/>
    <w:rsid w:val="002748EE"/>
    <w:rsid w:val="00274938"/>
    <w:rsid w:val="0027497E"/>
    <w:rsid w:val="002749E1"/>
    <w:rsid w:val="00274A49"/>
    <w:rsid w:val="00274B1D"/>
    <w:rsid w:val="00274B7D"/>
    <w:rsid w:val="00274BDF"/>
    <w:rsid w:val="00274CEB"/>
    <w:rsid w:val="00274D24"/>
    <w:rsid w:val="00274D54"/>
    <w:rsid w:val="00274EC0"/>
    <w:rsid w:val="00274ED0"/>
    <w:rsid w:val="00274FBA"/>
    <w:rsid w:val="00274FD5"/>
    <w:rsid w:val="00274FD6"/>
    <w:rsid w:val="00275071"/>
    <w:rsid w:val="00275095"/>
    <w:rsid w:val="002750E4"/>
    <w:rsid w:val="002751E7"/>
    <w:rsid w:val="0027521F"/>
    <w:rsid w:val="00275283"/>
    <w:rsid w:val="00275370"/>
    <w:rsid w:val="002753C6"/>
    <w:rsid w:val="002753D0"/>
    <w:rsid w:val="00275416"/>
    <w:rsid w:val="002754AC"/>
    <w:rsid w:val="002754BC"/>
    <w:rsid w:val="00275694"/>
    <w:rsid w:val="00275752"/>
    <w:rsid w:val="002757CD"/>
    <w:rsid w:val="002757F8"/>
    <w:rsid w:val="00275819"/>
    <w:rsid w:val="00275842"/>
    <w:rsid w:val="00275889"/>
    <w:rsid w:val="002759D6"/>
    <w:rsid w:val="002759E1"/>
    <w:rsid w:val="00275A00"/>
    <w:rsid w:val="00275A11"/>
    <w:rsid w:val="00275A13"/>
    <w:rsid w:val="00275AF1"/>
    <w:rsid w:val="00275AFB"/>
    <w:rsid w:val="00275B26"/>
    <w:rsid w:val="00275B35"/>
    <w:rsid w:val="00275B6B"/>
    <w:rsid w:val="00275BAE"/>
    <w:rsid w:val="00275C92"/>
    <w:rsid w:val="00275D1F"/>
    <w:rsid w:val="00275D78"/>
    <w:rsid w:val="00275EB2"/>
    <w:rsid w:val="00275EDA"/>
    <w:rsid w:val="00275F2F"/>
    <w:rsid w:val="00275FAE"/>
    <w:rsid w:val="00275FCA"/>
    <w:rsid w:val="00276094"/>
    <w:rsid w:val="002760F1"/>
    <w:rsid w:val="002760F8"/>
    <w:rsid w:val="002760FF"/>
    <w:rsid w:val="00276142"/>
    <w:rsid w:val="00276160"/>
    <w:rsid w:val="00276189"/>
    <w:rsid w:val="00276198"/>
    <w:rsid w:val="002761CD"/>
    <w:rsid w:val="002761D1"/>
    <w:rsid w:val="00276216"/>
    <w:rsid w:val="002762E6"/>
    <w:rsid w:val="00276302"/>
    <w:rsid w:val="00276326"/>
    <w:rsid w:val="00276529"/>
    <w:rsid w:val="00276550"/>
    <w:rsid w:val="00276563"/>
    <w:rsid w:val="00276589"/>
    <w:rsid w:val="0027658A"/>
    <w:rsid w:val="002765B1"/>
    <w:rsid w:val="00276694"/>
    <w:rsid w:val="002766A1"/>
    <w:rsid w:val="002766EC"/>
    <w:rsid w:val="0027671C"/>
    <w:rsid w:val="00276732"/>
    <w:rsid w:val="0027674F"/>
    <w:rsid w:val="002767B3"/>
    <w:rsid w:val="002768FA"/>
    <w:rsid w:val="0027695D"/>
    <w:rsid w:val="002769A5"/>
    <w:rsid w:val="002769C9"/>
    <w:rsid w:val="00276A1A"/>
    <w:rsid w:val="00276A83"/>
    <w:rsid w:val="00276ACC"/>
    <w:rsid w:val="00276ADB"/>
    <w:rsid w:val="00276B5E"/>
    <w:rsid w:val="00276D13"/>
    <w:rsid w:val="00276D4D"/>
    <w:rsid w:val="00276DA4"/>
    <w:rsid w:val="00276DAB"/>
    <w:rsid w:val="00276DC0"/>
    <w:rsid w:val="00276E49"/>
    <w:rsid w:val="00276E8C"/>
    <w:rsid w:val="00276F81"/>
    <w:rsid w:val="00277041"/>
    <w:rsid w:val="00277071"/>
    <w:rsid w:val="0027716F"/>
    <w:rsid w:val="002771E3"/>
    <w:rsid w:val="00277255"/>
    <w:rsid w:val="0027726E"/>
    <w:rsid w:val="00277280"/>
    <w:rsid w:val="002772E5"/>
    <w:rsid w:val="00277327"/>
    <w:rsid w:val="00277445"/>
    <w:rsid w:val="00277456"/>
    <w:rsid w:val="0027745B"/>
    <w:rsid w:val="0027754F"/>
    <w:rsid w:val="00277625"/>
    <w:rsid w:val="00277678"/>
    <w:rsid w:val="0027767A"/>
    <w:rsid w:val="0027769B"/>
    <w:rsid w:val="002776A5"/>
    <w:rsid w:val="002776D9"/>
    <w:rsid w:val="0027774E"/>
    <w:rsid w:val="002777AD"/>
    <w:rsid w:val="00277868"/>
    <w:rsid w:val="002778A8"/>
    <w:rsid w:val="002778E2"/>
    <w:rsid w:val="0027795C"/>
    <w:rsid w:val="0027798C"/>
    <w:rsid w:val="002779C2"/>
    <w:rsid w:val="002779C3"/>
    <w:rsid w:val="00277A4B"/>
    <w:rsid w:val="00277ACF"/>
    <w:rsid w:val="00277B9A"/>
    <w:rsid w:val="00277BF4"/>
    <w:rsid w:val="00277C07"/>
    <w:rsid w:val="00277C62"/>
    <w:rsid w:val="00277C88"/>
    <w:rsid w:val="00277C9B"/>
    <w:rsid w:val="00277D2B"/>
    <w:rsid w:val="00277D88"/>
    <w:rsid w:val="00277DFB"/>
    <w:rsid w:val="00277E5E"/>
    <w:rsid w:val="00277E72"/>
    <w:rsid w:val="00277F28"/>
    <w:rsid w:val="00277F30"/>
    <w:rsid w:val="00277F32"/>
    <w:rsid w:val="00277FA2"/>
    <w:rsid w:val="00280030"/>
    <w:rsid w:val="0028008F"/>
    <w:rsid w:val="00280106"/>
    <w:rsid w:val="00280116"/>
    <w:rsid w:val="002801CC"/>
    <w:rsid w:val="00280274"/>
    <w:rsid w:val="002802FB"/>
    <w:rsid w:val="002803CD"/>
    <w:rsid w:val="00280406"/>
    <w:rsid w:val="002804A9"/>
    <w:rsid w:val="0028055F"/>
    <w:rsid w:val="00280571"/>
    <w:rsid w:val="002806A4"/>
    <w:rsid w:val="002806D0"/>
    <w:rsid w:val="00280758"/>
    <w:rsid w:val="002807BF"/>
    <w:rsid w:val="002807CE"/>
    <w:rsid w:val="002807D3"/>
    <w:rsid w:val="002807E8"/>
    <w:rsid w:val="002807FC"/>
    <w:rsid w:val="0028086A"/>
    <w:rsid w:val="00280984"/>
    <w:rsid w:val="00280AE0"/>
    <w:rsid w:val="00280AEB"/>
    <w:rsid w:val="00280B20"/>
    <w:rsid w:val="00280C2B"/>
    <w:rsid w:val="00280C65"/>
    <w:rsid w:val="00280D17"/>
    <w:rsid w:val="00280D45"/>
    <w:rsid w:val="00280D7E"/>
    <w:rsid w:val="00280E56"/>
    <w:rsid w:val="00280E5E"/>
    <w:rsid w:val="00280EEA"/>
    <w:rsid w:val="00280F28"/>
    <w:rsid w:val="00280F66"/>
    <w:rsid w:val="00280FD2"/>
    <w:rsid w:val="00281016"/>
    <w:rsid w:val="0028101A"/>
    <w:rsid w:val="00281063"/>
    <w:rsid w:val="00281084"/>
    <w:rsid w:val="00281089"/>
    <w:rsid w:val="0028108C"/>
    <w:rsid w:val="002810EE"/>
    <w:rsid w:val="0028120D"/>
    <w:rsid w:val="0028126B"/>
    <w:rsid w:val="002812D4"/>
    <w:rsid w:val="00281337"/>
    <w:rsid w:val="0028135B"/>
    <w:rsid w:val="002813B3"/>
    <w:rsid w:val="002813DC"/>
    <w:rsid w:val="0028144E"/>
    <w:rsid w:val="00281488"/>
    <w:rsid w:val="002814C0"/>
    <w:rsid w:val="002814F5"/>
    <w:rsid w:val="0028158F"/>
    <w:rsid w:val="002815E0"/>
    <w:rsid w:val="002815F1"/>
    <w:rsid w:val="00281602"/>
    <w:rsid w:val="002816F8"/>
    <w:rsid w:val="002817B0"/>
    <w:rsid w:val="00281825"/>
    <w:rsid w:val="002818BE"/>
    <w:rsid w:val="00281904"/>
    <w:rsid w:val="0028193E"/>
    <w:rsid w:val="00281970"/>
    <w:rsid w:val="00281998"/>
    <w:rsid w:val="00281A8C"/>
    <w:rsid w:val="00281B5A"/>
    <w:rsid w:val="00281B93"/>
    <w:rsid w:val="00281BC1"/>
    <w:rsid w:val="00281C24"/>
    <w:rsid w:val="00281D11"/>
    <w:rsid w:val="00281D3E"/>
    <w:rsid w:val="00281D59"/>
    <w:rsid w:val="00281D8B"/>
    <w:rsid w:val="00281DCA"/>
    <w:rsid w:val="00281DCF"/>
    <w:rsid w:val="00281E1A"/>
    <w:rsid w:val="00281E5B"/>
    <w:rsid w:val="00281E74"/>
    <w:rsid w:val="00281EC9"/>
    <w:rsid w:val="00281EEA"/>
    <w:rsid w:val="00281EEC"/>
    <w:rsid w:val="00281F5A"/>
    <w:rsid w:val="00281FDC"/>
    <w:rsid w:val="0028202E"/>
    <w:rsid w:val="00282056"/>
    <w:rsid w:val="002820FE"/>
    <w:rsid w:val="00282159"/>
    <w:rsid w:val="002821B4"/>
    <w:rsid w:val="00282234"/>
    <w:rsid w:val="002822BB"/>
    <w:rsid w:val="002822C1"/>
    <w:rsid w:val="00282300"/>
    <w:rsid w:val="00282398"/>
    <w:rsid w:val="002823D2"/>
    <w:rsid w:val="00282474"/>
    <w:rsid w:val="0028249F"/>
    <w:rsid w:val="002824FF"/>
    <w:rsid w:val="0028251E"/>
    <w:rsid w:val="00282560"/>
    <w:rsid w:val="002825BB"/>
    <w:rsid w:val="002825E8"/>
    <w:rsid w:val="002825FB"/>
    <w:rsid w:val="002826E5"/>
    <w:rsid w:val="00282739"/>
    <w:rsid w:val="00282742"/>
    <w:rsid w:val="00282748"/>
    <w:rsid w:val="002827CB"/>
    <w:rsid w:val="002828F4"/>
    <w:rsid w:val="002829A2"/>
    <w:rsid w:val="00282A40"/>
    <w:rsid w:val="00282A41"/>
    <w:rsid w:val="00282B90"/>
    <w:rsid w:val="00282BE5"/>
    <w:rsid w:val="00282BF0"/>
    <w:rsid w:val="00282C4F"/>
    <w:rsid w:val="00282C96"/>
    <w:rsid w:val="00282CD6"/>
    <w:rsid w:val="00282CDE"/>
    <w:rsid w:val="00282D28"/>
    <w:rsid w:val="00282DE0"/>
    <w:rsid w:val="00282E42"/>
    <w:rsid w:val="00282FB3"/>
    <w:rsid w:val="00283046"/>
    <w:rsid w:val="00283053"/>
    <w:rsid w:val="002830B9"/>
    <w:rsid w:val="00283153"/>
    <w:rsid w:val="002831C2"/>
    <w:rsid w:val="002831D0"/>
    <w:rsid w:val="00283246"/>
    <w:rsid w:val="00283292"/>
    <w:rsid w:val="0028329D"/>
    <w:rsid w:val="0028329F"/>
    <w:rsid w:val="002832E0"/>
    <w:rsid w:val="0028336F"/>
    <w:rsid w:val="002833A0"/>
    <w:rsid w:val="00283428"/>
    <w:rsid w:val="00283441"/>
    <w:rsid w:val="00283464"/>
    <w:rsid w:val="0028346D"/>
    <w:rsid w:val="00283480"/>
    <w:rsid w:val="00283572"/>
    <w:rsid w:val="002835EA"/>
    <w:rsid w:val="002835F9"/>
    <w:rsid w:val="00283627"/>
    <w:rsid w:val="0028362D"/>
    <w:rsid w:val="00283675"/>
    <w:rsid w:val="0028370A"/>
    <w:rsid w:val="0028372A"/>
    <w:rsid w:val="0028372F"/>
    <w:rsid w:val="00283791"/>
    <w:rsid w:val="002837D1"/>
    <w:rsid w:val="0028386C"/>
    <w:rsid w:val="002838C9"/>
    <w:rsid w:val="0028392C"/>
    <w:rsid w:val="00283961"/>
    <w:rsid w:val="00283970"/>
    <w:rsid w:val="00283A2C"/>
    <w:rsid w:val="00283A39"/>
    <w:rsid w:val="00283A50"/>
    <w:rsid w:val="00283B8E"/>
    <w:rsid w:val="00283C1E"/>
    <w:rsid w:val="00283CB1"/>
    <w:rsid w:val="00283CD8"/>
    <w:rsid w:val="00283D26"/>
    <w:rsid w:val="00283D55"/>
    <w:rsid w:val="00283D80"/>
    <w:rsid w:val="00283D8B"/>
    <w:rsid w:val="00283DFA"/>
    <w:rsid w:val="00283E77"/>
    <w:rsid w:val="00283F72"/>
    <w:rsid w:val="00283FA3"/>
    <w:rsid w:val="00283FC3"/>
    <w:rsid w:val="00284044"/>
    <w:rsid w:val="0028404A"/>
    <w:rsid w:val="002840B2"/>
    <w:rsid w:val="002840EF"/>
    <w:rsid w:val="002840F4"/>
    <w:rsid w:val="00284115"/>
    <w:rsid w:val="00284157"/>
    <w:rsid w:val="0028417C"/>
    <w:rsid w:val="002841A7"/>
    <w:rsid w:val="00284355"/>
    <w:rsid w:val="00284361"/>
    <w:rsid w:val="00284380"/>
    <w:rsid w:val="0028438B"/>
    <w:rsid w:val="002843FD"/>
    <w:rsid w:val="0028440A"/>
    <w:rsid w:val="0028448C"/>
    <w:rsid w:val="00284508"/>
    <w:rsid w:val="002845A7"/>
    <w:rsid w:val="00284629"/>
    <w:rsid w:val="00284716"/>
    <w:rsid w:val="00284784"/>
    <w:rsid w:val="0028478E"/>
    <w:rsid w:val="002847B0"/>
    <w:rsid w:val="00284837"/>
    <w:rsid w:val="0028488F"/>
    <w:rsid w:val="0028492D"/>
    <w:rsid w:val="0028493A"/>
    <w:rsid w:val="00284A7E"/>
    <w:rsid w:val="00284AE2"/>
    <w:rsid w:val="00284AEA"/>
    <w:rsid w:val="00284B23"/>
    <w:rsid w:val="00284B3C"/>
    <w:rsid w:val="00284C0E"/>
    <w:rsid w:val="00284C8E"/>
    <w:rsid w:val="00284DB7"/>
    <w:rsid w:val="00284E2C"/>
    <w:rsid w:val="00284E39"/>
    <w:rsid w:val="00284ED8"/>
    <w:rsid w:val="00284F74"/>
    <w:rsid w:val="0028509A"/>
    <w:rsid w:val="00285160"/>
    <w:rsid w:val="0028517A"/>
    <w:rsid w:val="00285198"/>
    <w:rsid w:val="002851F5"/>
    <w:rsid w:val="002851FE"/>
    <w:rsid w:val="0028522E"/>
    <w:rsid w:val="0028524E"/>
    <w:rsid w:val="00285267"/>
    <w:rsid w:val="0028527E"/>
    <w:rsid w:val="002852A1"/>
    <w:rsid w:val="0028530D"/>
    <w:rsid w:val="002853B9"/>
    <w:rsid w:val="00285470"/>
    <w:rsid w:val="002854F1"/>
    <w:rsid w:val="002855BB"/>
    <w:rsid w:val="002855FB"/>
    <w:rsid w:val="0028560D"/>
    <w:rsid w:val="00285620"/>
    <w:rsid w:val="0028563B"/>
    <w:rsid w:val="00285646"/>
    <w:rsid w:val="002856BC"/>
    <w:rsid w:val="002856CE"/>
    <w:rsid w:val="002856D0"/>
    <w:rsid w:val="00285769"/>
    <w:rsid w:val="0028577A"/>
    <w:rsid w:val="00285794"/>
    <w:rsid w:val="00285822"/>
    <w:rsid w:val="00285889"/>
    <w:rsid w:val="00285897"/>
    <w:rsid w:val="002858FB"/>
    <w:rsid w:val="00285908"/>
    <w:rsid w:val="0028590E"/>
    <w:rsid w:val="0028596C"/>
    <w:rsid w:val="0028599B"/>
    <w:rsid w:val="002859D8"/>
    <w:rsid w:val="00285A28"/>
    <w:rsid w:val="00285AFD"/>
    <w:rsid w:val="00285C0B"/>
    <w:rsid w:val="00285C0D"/>
    <w:rsid w:val="00285C4A"/>
    <w:rsid w:val="00285D6E"/>
    <w:rsid w:val="00285EB7"/>
    <w:rsid w:val="00285EB8"/>
    <w:rsid w:val="00285ECF"/>
    <w:rsid w:val="00285EE5"/>
    <w:rsid w:val="00285F21"/>
    <w:rsid w:val="00285F51"/>
    <w:rsid w:val="00286009"/>
    <w:rsid w:val="00286042"/>
    <w:rsid w:val="002860EE"/>
    <w:rsid w:val="00286109"/>
    <w:rsid w:val="00286162"/>
    <w:rsid w:val="0028619E"/>
    <w:rsid w:val="002861F3"/>
    <w:rsid w:val="00286214"/>
    <w:rsid w:val="0028623E"/>
    <w:rsid w:val="00286322"/>
    <w:rsid w:val="00286336"/>
    <w:rsid w:val="00286361"/>
    <w:rsid w:val="00286392"/>
    <w:rsid w:val="00286418"/>
    <w:rsid w:val="00286446"/>
    <w:rsid w:val="002864A9"/>
    <w:rsid w:val="002864B7"/>
    <w:rsid w:val="00286510"/>
    <w:rsid w:val="002865A2"/>
    <w:rsid w:val="002865D1"/>
    <w:rsid w:val="002866E8"/>
    <w:rsid w:val="00286796"/>
    <w:rsid w:val="002867A4"/>
    <w:rsid w:val="002867BE"/>
    <w:rsid w:val="002868C7"/>
    <w:rsid w:val="00286970"/>
    <w:rsid w:val="0028698C"/>
    <w:rsid w:val="00286A3B"/>
    <w:rsid w:val="00286A5B"/>
    <w:rsid w:val="00286A85"/>
    <w:rsid w:val="00286B13"/>
    <w:rsid w:val="00286C5D"/>
    <w:rsid w:val="00286D0B"/>
    <w:rsid w:val="00286DE7"/>
    <w:rsid w:val="00286E0D"/>
    <w:rsid w:val="00286E24"/>
    <w:rsid w:val="00286E46"/>
    <w:rsid w:val="00286F31"/>
    <w:rsid w:val="00286F4A"/>
    <w:rsid w:val="00286FEE"/>
    <w:rsid w:val="00286FF3"/>
    <w:rsid w:val="0028701A"/>
    <w:rsid w:val="00287023"/>
    <w:rsid w:val="00287048"/>
    <w:rsid w:val="00287075"/>
    <w:rsid w:val="002870E0"/>
    <w:rsid w:val="002870EA"/>
    <w:rsid w:val="00287128"/>
    <w:rsid w:val="00287147"/>
    <w:rsid w:val="00287183"/>
    <w:rsid w:val="00287271"/>
    <w:rsid w:val="002872E5"/>
    <w:rsid w:val="00287317"/>
    <w:rsid w:val="0028735F"/>
    <w:rsid w:val="002873A3"/>
    <w:rsid w:val="002873A9"/>
    <w:rsid w:val="0028753F"/>
    <w:rsid w:val="00287543"/>
    <w:rsid w:val="002875B9"/>
    <w:rsid w:val="002875C6"/>
    <w:rsid w:val="002875E4"/>
    <w:rsid w:val="0028769A"/>
    <w:rsid w:val="002876A0"/>
    <w:rsid w:val="0028770C"/>
    <w:rsid w:val="002877B8"/>
    <w:rsid w:val="00287831"/>
    <w:rsid w:val="0028787D"/>
    <w:rsid w:val="002878C1"/>
    <w:rsid w:val="0028793F"/>
    <w:rsid w:val="002879B0"/>
    <w:rsid w:val="00287A67"/>
    <w:rsid w:val="00287B02"/>
    <w:rsid w:val="00287BBF"/>
    <w:rsid w:val="00287C3F"/>
    <w:rsid w:val="00287C43"/>
    <w:rsid w:val="00287C95"/>
    <w:rsid w:val="00287CDB"/>
    <w:rsid w:val="00287D5D"/>
    <w:rsid w:val="00287D7D"/>
    <w:rsid w:val="00287DA4"/>
    <w:rsid w:val="00287DB4"/>
    <w:rsid w:val="00287E3B"/>
    <w:rsid w:val="00287F70"/>
    <w:rsid w:val="00287FBC"/>
    <w:rsid w:val="002900C6"/>
    <w:rsid w:val="002900F4"/>
    <w:rsid w:val="002900F9"/>
    <w:rsid w:val="0029013D"/>
    <w:rsid w:val="00290167"/>
    <w:rsid w:val="0029016B"/>
    <w:rsid w:val="002901C8"/>
    <w:rsid w:val="00290212"/>
    <w:rsid w:val="00290226"/>
    <w:rsid w:val="00290250"/>
    <w:rsid w:val="002902B7"/>
    <w:rsid w:val="00290366"/>
    <w:rsid w:val="00290461"/>
    <w:rsid w:val="00290515"/>
    <w:rsid w:val="00290555"/>
    <w:rsid w:val="0029056F"/>
    <w:rsid w:val="002905F0"/>
    <w:rsid w:val="00290628"/>
    <w:rsid w:val="00290670"/>
    <w:rsid w:val="002906B4"/>
    <w:rsid w:val="002906B9"/>
    <w:rsid w:val="00290706"/>
    <w:rsid w:val="00290712"/>
    <w:rsid w:val="00290719"/>
    <w:rsid w:val="0029072E"/>
    <w:rsid w:val="00290733"/>
    <w:rsid w:val="0029079C"/>
    <w:rsid w:val="002907BF"/>
    <w:rsid w:val="002908C2"/>
    <w:rsid w:val="002908EF"/>
    <w:rsid w:val="0029092D"/>
    <w:rsid w:val="00290997"/>
    <w:rsid w:val="002909AF"/>
    <w:rsid w:val="002909F2"/>
    <w:rsid w:val="00290A28"/>
    <w:rsid w:val="00290AFE"/>
    <w:rsid w:val="00290B6D"/>
    <w:rsid w:val="00290B80"/>
    <w:rsid w:val="00290BE7"/>
    <w:rsid w:val="00290C3C"/>
    <w:rsid w:val="00290D00"/>
    <w:rsid w:val="00290D41"/>
    <w:rsid w:val="00290D4B"/>
    <w:rsid w:val="00290D51"/>
    <w:rsid w:val="00290DB6"/>
    <w:rsid w:val="00290DFC"/>
    <w:rsid w:val="00290F39"/>
    <w:rsid w:val="00291068"/>
    <w:rsid w:val="00291081"/>
    <w:rsid w:val="00291109"/>
    <w:rsid w:val="00291114"/>
    <w:rsid w:val="00291141"/>
    <w:rsid w:val="00291165"/>
    <w:rsid w:val="002912C6"/>
    <w:rsid w:val="002912D4"/>
    <w:rsid w:val="0029132A"/>
    <w:rsid w:val="00291371"/>
    <w:rsid w:val="002913EC"/>
    <w:rsid w:val="00291469"/>
    <w:rsid w:val="0029148F"/>
    <w:rsid w:val="002915CA"/>
    <w:rsid w:val="00291657"/>
    <w:rsid w:val="00291673"/>
    <w:rsid w:val="00291677"/>
    <w:rsid w:val="002916DF"/>
    <w:rsid w:val="002916F9"/>
    <w:rsid w:val="00291714"/>
    <w:rsid w:val="00291742"/>
    <w:rsid w:val="002917BD"/>
    <w:rsid w:val="002919CC"/>
    <w:rsid w:val="002919E9"/>
    <w:rsid w:val="00291A72"/>
    <w:rsid w:val="00291A78"/>
    <w:rsid w:val="00291AFB"/>
    <w:rsid w:val="00291B56"/>
    <w:rsid w:val="00291BAF"/>
    <w:rsid w:val="00291BD3"/>
    <w:rsid w:val="00291C1E"/>
    <w:rsid w:val="00291C2C"/>
    <w:rsid w:val="00291C52"/>
    <w:rsid w:val="00291CAF"/>
    <w:rsid w:val="00291CCA"/>
    <w:rsid w:val="00291CD0"/>
    <w:rsid w:val="00291CD9"/>
    <w:rsid w:val="00291D7F"/>
    <w:rsid w:val="00291D9B"/>
    <w:rsid w:val="00291DDA"/>
    <w:rsid w:val="00291E57"/>
    <w:rsid w:val="00291E9D"/>
    <w:rsid w:val="00291F50"/>
    <w:rsid w:val="0029204B"/>
    <w:rsid w:val="002920E3"/>
    <w:rsid w:val="00292120"/>
    <w:rsid w:val="00292213"/>
    <w:rsid w:val="0029221E"/>
    <w:rsid w:val="00292298"/>
    <w:rsid w:val="002922A3"/>
    <w:rsid w:val="002922CF"/>
    <w:rsid w:val="0029235C"/>
    <w:rsid w:val="00292378"/>
    <w:rsid w:val="002923C0"/>
    <w:rsid w:val="00292420"/>
    <w:rsid w:val="002924BE"/>
    <w:rsid w:val="00292569"/>
    <w:rsid w:val="0029257A"/>
    <w:rsid w:val="002925E3"/>
    <w:rsid w:val="0029267B"/>
    <w:rsid w:val="002926A3"/>
    <w:rsid w:val="0029274C"/>
    <w:rsid w:val="00292764"/>
    <w:rsid w:val="002927B3"/>
    <w:rsid w:val="002927E6"/>
    <w:rsid w:val="00292889"/>
    <w:rsid w:val="0029292D"/>
    <w:rsid w:val="002929E0"/>
    <w:rsid w:val="002929E6"/>
    <w:rsid w:val="00292A37"/>
    <w:rsid w:val="00292A6E"/>
    <w:rsid w:val="00292AF5"/>
    <w:rsid w:val="00292B22"/>
    <w:rsid w:val="00292B57"/>
    <w:rsid w:val="00292B6D"/>
    <w:rsid w:val="00292B72"/>
    <w:rsid w:val="00292BAF"/>
    <w:rsid w:val="00292C2E"/>
    <w:rsid w:val="00292D2E"/>
    <w:rsid w:val="00292D46"/>
    <w:rsid w:val="00292D61"/>
    <w:rsid w:val="00292DC1"/>
    <w:rsid w:val="00292E3A"/>
    <w:rsid w:val="00292E42"/>
    <w:rsid w:val="00292E47"/>
    <w:rsid w:val="00292E60"/>
    <w:rsid w:val="00292E91"/>
    <w:rsid w:val="00292F21"/>
    <w:rsid w:val="00292F91"/>
    <w:rsid w:val="0029307A"/>
    <w:rsid w:val="00293295"/>
    <w:rsid w:val="00293313"/>
    <w:rsid w:val="0029334E"/>
    <w:rsid w:val="002933A1"/>
    <w:rsid w:val="002933C9"/>
    <w:rsid w:val="002934F1"/>
    <w:rsid w:val="00293509"/>
    <w:rsid w:val="00293570"/>
    <w:rsid w:val="00293664"/>
    <w:rsid w:val="0029371A"/>
    <w:rsid w:val="002937AB"/>
    <w:rsid w:val="0029388D"/>
    <w:rsid w:val="002938FA"/>
    <w:rsid w:val="00293919"/>
    <w:rsid w:val="002939B7"/>
    <w:rsid w:val="00293A32"/>
    <w:rsid w:val="00293A99"/>
    <w:rsid w:val="00293AB2"/>
    <w:rsid w:val="00293AC6"/>
    <w:rsid w:val="00293B13"/>
    <w:rsid w:val="00293B1B"/>
    <w:rsid w:val="00293B86"/>
    <w:rsid w:val="00293B88"/>
    <w:rsid w:val="00293BA7"/>
    <w:rsid w:val="00293BC7"/>
    <w:rsid w:val="00293C3E"/>
    <w:rsid w:val="00293C9B"/>
    <w:rsid w:val="00293D36"/>
    <w:rsid w:val="00293E67"/>
    <w:rsid w:val="00293E6C"/>
    <w:rsid w:val="00293EA8"/>
    <w:rsid w:val="00293EA9"/>
    <w:rsid w:val="00293EE2"/>
    <w:rsid w:val="00293EF7"/>
    <w:rsid w:val="00293F1A"/>
    <w:rsid w:val="00293F33"/>
    <w:rsid w:val="00293F58"/>
    <w:rsid w:val="00294088"/>
    <w:rsid w:val="00294128"/>
    <w:rsid w:val="00294133"/>
    <w:rsid w:val="00294158"/>
    <w:rsid w:val="0029416B"/>
    <w:rsid w:val="002941E2"/>
    <w:rsid w:val="0029423D"/>
    <w:rsid w:val="00294286"/>
    <w:rsid w:val="002942FB"/>
    <w:rsid w:val="00294333"/>
    <w:rsid w:val="00294388"/>
    <w:rsid w:val="002943DB"/>
    <w:rsid w:val="002943F0"/>
    <w:rsid w:val="00294432"/>
    <w:rsid w:val="0029448E"/>
    <w:rsid w:val="002944E0"/>
    <w:rsid w:val="0029455D"/>
    <w:rsid w:val="002945A0"/>
    <w:rsid w:val="00294639"/>
    <w:rsid w:val="00294784"/>
    <w:rsid w:val="00294814"/>
    <w:rsid w:val="002948A9"/>
    <w:rsid w:val="002948B4"/>
    <w:rsid w:val="002949FD"/>
    <w:rsid w:val="00294A08"/>
    <w:rsid w:val="00294B23"/>
    <w:rsid w:val="00294B75"/>
    <w:rsid w:val="00294BC2"/>
    <w:rsid w:val="00294CE9"/>
    <w:rsid w:val="00294D5F"/>
    <w:rsid w:val="00294DD2"/>
    <w:rsid w:val="00294DD9"/>
    <w:rsid w:val="00294E14"/>
    <w:rsid w:val="00294E21"/>
    <w:rsid w:val="00294EE3"/>
    <w:rsid w:val="00294F1B"/>
    <w:rsid w:val="00294FFA"/>
    <w:rsid w:val="0029504F"/>
    <w:rsid w:val="00295111"/>
    <w:rsid w:val="00295286"/>
    <w:rsid w:val="00295289"/>
    <w:rsid w:val="00295297"/>
    <w:rsid w:val="002952C4"/>
    <w:rsid w:val="00295331"/>
    <w:rsid w:val="00295353"/>
    <w:rsid w:val="00295361"/>
    <w:rsid w:val="002953A6"/>
    <w:rsid w:val="00295486"/>
    <w:rsid w:val="002954A0"/>
    <w:rsid w:val="002954B9"/>
    <w:rsid w:val="002954FB"/>
    <w:rsid w:val="0029551E"/>
    <w:rsid w:val="00295567"/>
    <w:rsid w:val="002955D4"/>
    <w:rsid w:val="0029561F"/>
    <w:rsid w:val="00295629"/>
    <w:rsid w:val="002956D6"/>
    <w:rsid w:val="00295738"/>
    <w:rsid w:val="0029578A"/>
    <w:rsid w:val="002957C4"/>
    <w:rsid w:val="002957EA"/>
    <w:rsid w:val="00295851"/>
    <w:rsid w:val="002958F3"/>
    <w:rsid w:val="002959B5"/>
    <w:rsid w:val="00295A20"/>
    <w:rsid w:val="00295AF3"/>
    <w:rsid w:val="00295B82"/>
    <w:rsid w:val="00295C46"/>
    <w:rsid w:val="00295C8D"/>
    <w:rsid w:val="00295D7A"/>
    <w:rsid w:val="00295E10"/>
    <w:rsid w:val="00295E33"/>
    <w:rsid w:val="00295F21"/>
    <w:rsid w:val="00295F38"/>
    <w:rsid w:val="00295F41"/>
    <w:rsid w:val="002960F4"/>
    <w:rsid w:val="002961B0"/>
    <w:rsid w:val="0029626D"/>
    <w:rsid w:val="002962AF"/>
    <w:rsid w:val="002962B8"/>
    <w:rsid w:val="00296494"/>
    <w:rsid w:val="0029649C"/>
    <w:rsid w:val="0029650C"/>
    <w:rsid w:val="0029656D"/>
    <w:rsid w:val="002965E9"/>
    <w:rsid w:val="00296643"/>
    <w:rsid w:val="002966A5"/>
    <w:rsid w:val="002966A7"/>
    <w:rsid w:val="002966B0"/>
    <w:rsid w:val="002966D2"/>
    <w:rsid w:val="002966FD"/>
    <w:rsid w:val="00296741"/>
    <w:rsid w:val="00296764"/>
    <w:rsid w:val="0029679A"/>
    <w:rsid w:val="002967FD"/>
    <w:rsid w:val="00296883"/>
    <w:rsid w:val="0029693D"/>
    <w:rsid w:val="0029694D"/>
    <w:rsid w:val="002969BD"/>
    <w:rsid w:val="00296B46"/>
    <w:rsid w:val="00296C86"/>
    <w:rsid w:val="00296D20"/>
    <w:rsid w:val="00296DD8"/>
    <w:rsid w:val="00296DFD"/>
    <w:rsid w:val="00296E59"/>
    <w:rsid w:val="00296F74"/>
    <w:rsid w:val="00296FAE"/>
    <w:rsid w:val="00297046"/>
    <w:rsid w:val="0029705C"/>
    <w:rsid w:val="002970D6"/>
    <w:rsid w:val="00297111"/>
    <w:rsid w:val="00297114"/>
    <w:rsid w:val="00297136"/>
    <w:rsid w:val="002971FF"/>
    <w:rsid w:val="0029723D"/>
    <w:rsid w:val="00297251"/>
    <w:rsid w:val="0029725D"/>
    <w:rsid w:val="0029725E"/>
    <w:rsid w:val="002972B6"/>
    <w:rsid w:val="002973B5"/>
    <w:rsid w:val="002973C1"/>
    <w:rsid w:val="0029743B"/>
    <w:rsid w:val="002974F9"/>
    <w:rsid w:val="0029754F"/>
    <w:rsid w:val="0029757D"/>
    <w:rsid w:val="0029767F"/>
    <w:rsid w:val="0029770A"/>
    <w:rsid w:val="00297754"/>
    <w:rsid w:val="00297759"/>
    <w:rsid w:val="002977B6"/>
    <w:rsid w:val="002977CF"/>
    <w:rsid w:val="002977F8"/>
    <w:rsid w:val="002979BF"/>
    <w:rsid w:val="002979F6"/>
    <w:rsid w:val="00297A1A"/>
    <w:rsid w:val="00297A1C"/>
    <w:rsid w:val="00297A7F"/>
    <w:rsid w:val="00297A87"/>
    <w:rsid w:val="00297A91"/>
    <w:rsid w:val="00297B04"/>
    <w:rsid w:val="00297B1B"/>
    <w:rsid w:val="00297B55"/>
    <w:rsid w:val="00297BD8"/>
    <w:rsid w:val="00297C38"/>
    <w:rsid w:val="00297C3B"/>
    <w:rsid w:val="00297CBE"/>
    <w:rsid w:val="00297CFF"/>
    <w:rsid w:val="00297D02"/>
    <w:rsid w:val="00297D23"/>
    <w:rsid w:val="00297E91"/>
    <w:rsid w:val="00297ECC"/>
    <w:rsid w:val="00297F0F"/>
    <w:rsid w:val="00297F4E"/>
    <w:rsid w:val="00297F97"/>
    <w:rsid w:val="00297FFB"/>
    <w:rsid w:val="002A0071"/>
    <w:rsid w:val="002A0286"/>
    <w:rsid w:val="002A02BC"/>
    <w:rsid w:val="002A032A"/>
    <w:rsid w:val="002A0370"/>
    <w:rsid w:val="002A0380"/>
    <w:rsid w:val="002A03FE"/>
    <w:rsid w:val="002A04AD"/>
    <w:rsid w:val="002A04B6"/>
    <w:rsid w:val="002A0575"/>
    <w:rsid w:val="002A05BC"/>
    <w:rsid w:val="002A05CA"/>
    <w:rsid w:val="002A05CB"/>
    <w:rsid w:val="002A061F"/>
    <w:rsid w:val="002A0699"/>
    <w:rsid w:val="002A07A7"/>
    <w:rsid w:val="002A08AD"/>
    <w:rsid w:val="002A08F5"/>
    <w:rsid w:val="002A090C"/>
    <w:rsid w:val="002A0948"/>
    <w:rsid w:val="002A09E1"/>
    <w:rsid w:val="002A09E5"/>
    <w:rsid w:val="002A0A1D"/>
    <w:rsid w:val="002A0A2D"/>
    <w:rsid w:val="002A0A86"/>
    <w:rsid w:val="002A0AB7"/>
    <w:rsid w:val="002A0AEA"/>
    <w:rsid w:val="002A0B0D"/>
    <w:rsid w:val="002A0B13"/>
    <w:rsid w:val="002A0BA8"/>
    <w:rsid w:val="002A0C4C"/>
    <w:rsid w:val="002A0D2F"/>
    <w:rsid w:val="002A0D44"/>
    <w:rsid w:val="002A0E2A"/>
    <w:rsid w:val="002A0E47"/>
    <w:rsid w:val="002A0E7A"/>
    <w:rsid w:val="002A0F6A"/>
    <w:rsid w:val="002A0F6D"/>
    <w:rsid w:val="002A0FD7"/>
    <w:rsid w:val="002A0FF8"/>
    <w:rsid w:val="002A10B1"/>
    <w:rsid w:val="002A118F"/>
    <w:rsid w:val="002A1306"/>
    <w:rsid w:val="002A1310"/>
    <w:rsid w:val="002A1318"/>
    <w:rsid w:val="002A1322"/>
    <w:rsid w:val="002A137F"/>
    <w:rsid w:val="002A14AB"/>
    <w:rsid w:val="002A14EE"/>
    <w:rsid w:val="002A1597"/>
    <w:rsid w:val="002A15BA"/>
    <w:rsid w:val="002A15F1"/>
    <w:rsid w:val="002A1628"/>
    <w:rsid w:val="002A1698"/>
    <w:rsid w:val="002A17D9"/>
    <w:rsid w:val="002A1817"/>
    <w:rsid w:val="002A1849"/>
    <w:rsid w:val="002A1888"/>
    <w:rsid w:val="002A190A"/>
    <w:rsid w:val="002A192A"/>
    <w:rsid w:val="002A193D"/>
    <w:rsid w:val="002A1981"/>
    <w:rsid w:val="002A19D9"/>
    <w:rsid w:val="002A1A59"/>
    <w:rsid w:val="002A1AC3"/>
    <w:rsid w:val="002A1B2F"/>
    <w:rsid w:val="002A1B3C"/>
    <w:rsid w:val="002A1B7D"/>
    <w:rsid w:val="002A1B8F"/>
    <w:rsid w:val="002A1BDE"/>
    <w:rsid w:val="002A1BE0"/>
    <w:rsid w:val="002A1BF7"/>
    <w:rsid w:val="002A1C4A"/>
    <w:rsid w:val="002A1C58"/>
    <w:rsid w:val="002A1CA5"/>
    <w:rsid w:val="002A1D00"/>
    <w:rsid w:val="002A1D91"/>
    <w:rsid w:val="002A1ED6"/>
    <w:rsid w:val="002A1EE5"/>
    <w:rsid w:val="002A1FF3"/>
    <w:rsid w:val="002A2019"/>
    <w:rsid w:val="002A2076"/>
    <w:rsid w:val="002A2189"/>
    <w:rsid w:val="002A2203"/>
    <w:rsid w:val="002A2245"/>
    <w:rsid w:val="002A2265"/>
    <w:rsid w:val="002A2276"/>
    <w:rsid w:val="002A22B2"/>
    <w:rsid w:val="002A2327"/>
    <w:rsid w:val="002A23B5"/>
    <w:rsid w:val="002A23CC"/>
    <w:rsid w:val="002A2406"/>
    <w:rsid w:val="002A2410"/>
    <w:rsid w:val="002A2480"/>
    <w:rsid w:val="002A24ED"/>
    <w:rsid w:val="002A24F2"/>
    <w:rsid w:val="002A2533"/>
    <w:rsid w:val="002A2567"/>
    <w:rsid w:val="002A25AA"/>
    <w:rsid w:val="002A25FC"/>
    <w:rsid w:val="002A2694"/>
    <w:rsid w:val="002A26CF"/>
    <w:rsid w:val="002A26E6"/>
    <w:rsid w:val="002A2721"/>
    <w:rsid w:val="002A27A6"/>
    <w:rsid w:val="002A27E9"/>
    <w:rsid w:val="002A280B"/>
    <w:rsid w:val="002A2862"/>
    <w:rsid w:val="002A2863"/>
    <w:rsid w:val="002A28CE"/>
    <w:rsid w:val="002A28F1"/>
    <w:rsid w:val="002A29C3"/>
    <w:rsid w:val="002A2AC5"/>
    <w:rsid w:val="002A2B4A"/>
    <w:rsid w:val="002A2B77"/>
    <w:rsid w:val="002A2CD8"/>
    <w:rsid w:val="002A2D38"/>
    <w:rsid w:val="002A2D3D"/>
    <w:rsid w:val="002A2D69"/>
    <w:rsid w:val="002A2DCF"/>
    <w:rsid w:val="002A2DF5"/>
    <w:rsid w:val="002A2E56"/>
    <w:rsid w:val="002A2E7B"/>
    <w:rsid w:val="002A2FD1"/>
    <w:rsid w:val="002A303A"/>
    <w:rsid w:val="002A304F"/>
    <w:rsid w:val="002A3060"/>
    <w:rsid w:val="002A3068"/>
    <w:rsid w:val="002A309B"/>
    <w:rsid w:val="002A30A9"/>
    <w:rsid w:val="002A30D1"/>
    <w:rsid w:val="002A315D"/>
    <w:rsid w:val="002A3250"/>
    <w:rsid w:val="002A32E8"/>
    <w:rsid w:val="002A33AD"/>
    <w:rsid w:val="002A3443"/>
    <w:rsid w:val="002A3489"/>
    <w:rsid w:val="002A34BF"/>
    <w:rsid w:val="002A3515"/>
    <w:rsid w:val="002A3551"/>
    <w:rsid w:val="002A3595"/>
    <w:rsid w:val="002A35A0"/>
    <w:rsid w:val="002A365A"/>
    <w:rsid w:val="002A36C3"/>
    <w:rsid w:val="002A36FE"/>
    <w:rsid w:val="002A37BC"/>
    <w:rsid w:val="002A3865"/>
    <w:rsid w:val="002A3940"/>
    <w:rsid w:val="002A3A71"/>
    <w:rsid w:val="002A3A86"/>
    <w:rsid w:val="002A3A88"/>
    <w:rsid w:val="002A3BDB"/>
    <w:rsid w:val="002A3C1F"/>
    <w:rsid w:val="002A3CA3"/>
    <w:rsid w:val="002A3CDA"/>
    <w:rsid w:val="002A3DB2"/>
    <w:rsid w:val="002A3DE1"/>
    <w:rsid w:val="002A3DF5"/>
    <w:rsid w:val="002A3F4E"/>
    <w:rsid w:val="002A3F69"/>
    <w:rsid w:val="002A3FF9"/>
    <w:rsid w:val="002A4015"/>
    <w:rsid w:val="002A4048"/>
    <w:rsid w:val="002A4089"/>
    <w:rsid w:val="002A413E"/>
    <w:rsid w:val="002A41F0"/>
    <w:rsid w:val="002A4225"/>
    <w:rsid w:val="002A427E"/>
    <w:rsid w:val="002A429E"/>
    <w:rsid w:val="002A42EF"/>
    <w:rsid w:val="002A4319"/>
    <w:rsid w:val="002A436C"/>
    <w:rsid w:val="002A441A"/>
    <w:rsid w:val="002A4420"/>
    <w:rsid w:val="002A4469"/>
    <w:rsid w:val="002A453D"/>
    <w:rsid w:val="002A45EF"/>
    <w:rsid w:val="002A460A"/>
    <w:rsid w:val="002A464D"/>
    <w:rsid w:val="002A46BC"/>
    <w:rsid w:val="002A46C1"/>
    <w:rsid w:val="002A46E6"/>
    <w:rsid w:val="002A470B"/>
    <w:rsid w:val="002A4717"/>
    <w:rsid w:val="002A4731"/>
    <w:rsid w:val="002A4746"/>
    <w:rsid w:val="002A4749"/>
    <w:rsid w:val="002A478B"/>
    <w:rsid w:val="002A479E"/>
    <w:rsid w:val="002A47C7"/>
    <w:rsid w:val="002A47DC"/>
    <w:rsid w:val="002A4872"/>
    <w:rsid w:val="002A48DA"/>
    <w:rsid w:val="002A497C"/>
    <w:rsid w:val="002A497D"/>
    <w:rsid w:val="002A49F0"/>
    <w:rsid w:val="002A4ACD"/>
    <w:rsid w:val="002A4B27"/>
    <w:rsid w:val="002A4B49"/>
    <w:rsid w:val="002A4C43"/>
    <w:rsid w:val="002A4C94"/>
    <w:rsid w:val="002A4CAE"/>
    <w:rsid w:val="002A4D73"/>
    <w:rsid w:val="002A4D8A"/>
    <w:rsid w:val="002A4E3D"/>
    <w:rsid w:val="002A4EA2"/>
    <w:rsid w:val="002A4EC2"/>
    <w:rsid w:val="002A4EC7"/>
    <w:rsid w:val="002A4F33"/>
    <w:rsid w:val="002A4FF0"/>
    <w:rsid w:val="002A50B1"/>
    <w:rsid w:val="002A50D6"/>
    <w:rsid w:val="002A50FE"/>
    <w:rsid w:val="002A51E6"/>
    <w:rsid w:val="002A51F8"/>
    <w:rsid w:val="002A52A6"/>
    <w:rsid w:val="002A52C7"/>
    <w:rsid w:val="002A52D8"/>
    <w:rsid w:val="002A52EF"/>
    <w:rsid w:val="002A5304"/>
    <w:rsid w:val="002A5336"/>
    <w:rsid w:val="002A5399"/>
    <w:rsid w:val="002A53AC"/>
    <w:rsid w:val="002A53D4"/>
    <w:rsid w:val="002A545B"/>
    <w:rsid w:val="002A5479"/>
    <w:rsid w:val="002A548C"/>
    <w:rsid w:val="002A5496"/>
    <w:rsid w:val="002A54D9"/>
    <w:rsid w:val="002A54E7"/>
    <w:rsid w:val="002A55D3"/>
    <w:rsid w:val="002A5674"/>
    <w:rsid w:val="002A5708"/>
    <w:rsid w:val="002A577A"/>
    <w:rsid w:val="002A57B5"/>
    <w:rsid w:val="002A5881"/>
    <w:rsid w:val="002A5A70"/>
    <w:rsid w:val="002A5A7C"/>
    <w:rsid w:val="002A5A86"/>
    <w:rsid w:val="002A5A9F"/>
    <w:rsid w:val="002A5AD6"/>
    <w:rsid w:val="002A5B1E"/>
    <w:rsid w:val="002A5BC3"/>
    <w:rsid w:val="002A5C1C"/>
    <w:rsid w:val="002A5C45"/>
    <w:rsid w:val="002A5D43"/>
    <w:rsid w:val="002A5E19"/>
    <w:rsid w:val="002A5E4E"/>
    <w:rsid w:val="002A5EA1"/>
    <w:rsid w:val="002A5EA6"/>
    <w:rsid w:val="002A5EC7"/>
    <w:rsid w:val="002A5EF8"/>
    <w:rsid w:val="002A5F29"/>
    <w:rsid w:val="002A5F43"/>
    <w:rsid w:val="002A5F9D"/>
    <w:rsid w:val="002A5FC7"/>
    <w:rsid w:val="002A6010"/>
    <w:rsid w:val="002A61C1"/>
    <w:rsid w:val="002A6204"/>
    <w:rsid w:val="002A6216"/>
    <w:rsid w:val="002A62DB"/>
    <w:rsid w:val="002A6351"/>
    <w:rsid w:val="002A636A"/>
    <w:rsid w:val="002A63CC"/>
    <w:rsid w:val="002A6413"/>
    <w:rsid w:val="002A644B"/>
    <w:rsid w:val="002A6493"/>
    <w:rsid w:val="002A6512"/>
    <w:rsid w:val="002A651C"/>
    <w:rsid w:val="002A65B9"/>
    <w:rsid w:val="002A661B"/>
    <w:rsid w:val="002A6634"/>
    <w:rsid w:val="002A669B"/>
    <w:rsid w:val="002A669F"/>
    <w:rsid w:val="002A67F7"/>
    <w:rsid w:val="002A683B"/>
    <w:rsid w:val="002A683C"/>
    <w:rsid w:val="002A68E5"/>
    <w:rsid w:val="002A6961"/>
    <w:rsid w:val="002A69D6"/>
    <w:rsid w:val="002A6A19"/>
    <w:rsid w:val="002A6A82"/>
    <w:rsid w:val="002A6B0D"/>
    <w:rsid w:val="002A6B29"/>
    <w:rsid w:val="002A6B79"/>
    <w:rsid w:val="002A6C06"/>
    <w:rsid w:val="002A6D57"/>
    <w:rsid w:val="002A6D9D"/>
    <w:rsid w:val="002A6DA9"/>
    <w:rsid w:val="002A6DB9"/>
    <w:rsid w:val="002A6DFD"/>
    <w:rsid w:val="002A6E06"/>
    <w:rsid w:val="002A6E8E"/>
    <w:rsid w:val="002A6F0E"/>
    <w:rsid w:val="002A6F23"/>
    <w:rsid w:val="002A6F30"/>
    <w:rsid w:val="002A6F3F"/>
    <w:rsid w:val="002A6F41"/>
    <w:rsid w:val="002A6F93"/>
    <w:rsid w:val="002A708F"/>
    <w:rsid w:val="002A70E0"/>
    <w:rsid w:val="002A7177"/>
    <w:rsid w:val="002A71C4"/>
    <w:rsid w:val="002A720D"/>
    <w:rsid w:val="002A723E"/>
    <w:rsid w:val="002A7272"/>
    <w:rsid w:val="002A7364"/>
    <w:rsid w:val="002A73BC"/>
    <w:rsid w:val="002A73F7"/>
    <w:rsid w:val="002A7450"/>
    <w:rsid w:val="002A7485"/>
    <w:rsid w:val="002A74A0"/>
    <w:rsid w:val="002A7586"/>
    <w:rsid w:val="002A75C6"/>
    <w:rsid w:val="002A75DE"/>
    <w:rsid w:val="002A76B7"/>
    <w:rsid w:val="002A779D"/>
    <w:rsid w:val="002A77B0"/>
    <w:rsid w:val="002A7831"/>
    <w:rsid w:val="002A784A"/>
    <w:rsid w:val="002A7887"/>
    <w:rsid w:val="002A7953"/>
    <w:rsid w:val="002A798F"/>
    <w:rsid w:val="002A7A1D"/>
    <w:rsid w:val="002A7A74"/>
    <w:rsid w:val="002A7A7E"/>
    <w:rsid w:val="002A7A86"/>
    <w:rsid w:val="002A7B4C"/>
    <w:rsid w:val="002A7BF3"/>
    <w:rsid w:val="002A7C52"/>
    <w:rsid w:val="002A7C99"/>
    <w:rsid w:val="002A7CA4"/>
    <w:rsid w:val="002A7CBE"/>
    <w:rsid w:val="002A7CDD"/>
    <w:rsid w:val="002A7D11"/>
    <w:rsid w:val="002A7D17"/>
    <w:rsid w:val="002A7D1C"/>
    <w:rsid w:val="002A7D8C"/>
    <w:rsid w:val="002A7DC3"/>
    <w:rsid w:val="002A7DC7"/>
    <w:rsid w:val="002A7E05"/>
    <w:rsid w:val="002A7E3A"/>
    <w:rsid w:val="002A7E48"/>
    <w:rsid w:val="002A7EBE"/>
    <w:rsid w:val="002A7EFF"/>
    <w:rsid w:val="002A7F3A"/>
    <w:rsid w:val="002A7FB9"/>
    <w:rsid w:val="002A7FE3"/>
    <w:rsid w:val="002A7FE9"/>
    <w:rsid w:val="002AE965"/>
    <w:rsid w:val="002B0063"/>
    <w:rsid w:val="002B01AA"/>
    <w:rsid w:val="002B01E2"/>
    <w:rsid w:val="002B02CB"/>
    <w:rsid w:val="002B02D8"/>
    <w:rsid w:val="002B02FF"/>
    <w:rsid w:val="002B0397"/>
    <w:rsid w:val="002B03C4"/>
    <w:rsid w:val="002B03ED"/>
    <w:rsid w:val="002B041E"/>
    <w:rsid w:val="002B047B"/>
    <w:rsid w:val="002B0496"/>
    <w:rsid w:val="002B04DD"/>
    <w:rsid w:val="002B05C0"/>
    <w:rsid w:val="002B05C1"/>
    <w:rsid w:val="002B05C4"/>
    <w:rsid w:val="002B05C8"/>
    <w:rsid w:val="002B05CC"/>
    <w:rsid w:val="002B0625"/>
    <w:rsid w:val="002B0628"/>
    <w:rsid w:val="002B0653"/>
    <w:rsid w:val="002B0682"/>
    <w:rsid w:val="002B082B"/>
    <w:rsid w:val="002B0833"/>
    <w:rsid w:val="002B086E"/>
    <w:rsid w:val="002B0877"/>
    <w:rsid w:val="002B08EB"/>
    <w:rsid w:val="002B0944"/>
    <w:rsid w:val="002B0A30"/>
    <w:rsid w:val="002B0A91"/>
    <w:rsid w:val="002B0BEB"/>
    <w:rsid w:val="002B0D19"/>
    <w:rsid w:val="002B0D2C"/>
    <w:rsid w:val="002B0E1A"/>
    <w:rsid w:val="002B0EA2"/>
    <w:rsid w:val="002B0EA3"/>
    <w:rsid w:val="002B0EB2"/>
    <w:rsid w:val="002B0EC2"/>
    <w:rsid w:val="002B1000"/>
    <w:rsid w:val="002B1075"/>
    <w:rsid w:val="002B10DB"/>
    <w:rsid w:val="002B1100"/>
    <w:rsid w:val="002B111A"/>
    <w:rsid w:val="002B11DC"/>
    <w:rsid w:val="002B1324"/>
    <w:rsid w:val="002B133C"/>
    <w:rsid w:val="002B136B"/>
    <w:rsid w:val="002B1372"/>
    <w:rsid w:val="002B1439"/>
    <w:rsid w:val="002B149B"/>
    <w:rsid w:val="002B1594"/>
    <w:rsid w:val="002B15B0"/>
    <w:rsid w:val="002B161D"/>
    <w:rsid w:val="002B167C"/>
    <w:rsid w:val="002B16B7"/>
    <w:rsid w:val="002B176F"/>
    <w:rsid w:val="002B17DF"/>
    <w:rsid w:val="002B1853"/>
    <w:rsid w:val="002B1860"/>
    <w:rsid w:val="002B188E"/>
    <w:rsid w:val="002B1921"/>
    <w:rsid w:val="002B1AD8"/>
    <w:rsid w:val="002B1B58"/>
    <w:rsid w:val="002B1B67"/>
    <w:rsid w:val="002B1B80"/>
    <w:rsid w:val="002B1C05"/>
    <w:rsid w:val="002B1C09"/>
    <w:rsid w:val="002B1CA6"/>
    <w:rsid w:val="002B1CEF"/>
    <w:rsid w:val="002B1D06"/>
    <w:rsid w:val="002B1D75"/>
    <w:rsid w:val="002B1D89"/>
    <w:rsid w:val="002B1DA4"/>
    <w:rsid w:val="002B1E25"/>
    <w:rsid w:val="002B1E3B"/>
    <w:rsid w:val="002B1EB5"/>
    <w:rsid w:val="002B1F73"/>
    <w:rsid w:val="002B1FA3"/>
    <w:rsid w:val="002B2036"/>
    <w:rsid w:val="002B20A3"/>
    <w:rsid w:val="002B20AD"/>
    <w:rsid w:val="002B2108"/>
    <w:rsid w:val="002B210E"/>
    <w:rsid w:val="002B2123"/>
    <w:rsid w:val="002B2126"/>
    <w:rsid w:val="002B21A2"/>
    <w:rsid w:val="002B2202"/>
    <w:rsid w:val="002B227D"/>
    <w:rsid w:val="002B22A1"/>
    <w:rsid w:val="002B22B4"/>
    <w:rsid w:val="002B22D1"/>
    <w:rsid w:val="002B2374"/>
    <w:rsid w:val="002B23F5"/>
    <w:rsid w:val="002B246C"/>
    <w:rsid w:val="002B24A9"/>
    <w:rsid w:val="002B24AA"/>
    <w:rsid w:val="002B24E9"/>
    <w:rsid w:val="002B253A"/>
    <w:rsid w:val="002B25DD"/>
    <w:rsid w:val="002B2603"/>
    <w:rsid w:val="002B2634"/>
    <w:rsid w:val="002B26CE"/>
    <w:rsid w:val="002B26FD"/>
    <w:rsid w:val="002B2706"/>
    <w:rsid w:val="002B27D2"/>
    <w:rsid w:val="002B27EF"/>
    <w:rsid w:val="002B2820"/>
    <w:rsid w:val="002B282B"/>
    <w:rsid w:val="002B285E"/>
    <w:rsid w:val="002B28B4"/>
    <w:rsid w:val="002B28C3"/>
    <w:rsid w:val="002B28CB"/>
    <w:rsid w:val="002B28F0"/>
    <w:rsid w:val="002B2914"/>
    <w:rsid w:val="002B296B"/>
    <w:rsid w:val="002B297B"/>
    <w:rsid w:val="002B29B8"/>
    <w:rsid w:val="002B29F7"/>
    <w:rsid w:val="002B2A12"/>
    <w:rsid w:val="002B2A36"/>
    <w:rsid w:val="002B2A48"/>
    <w:rsid w:val="002B2B0E"/>
    <w:rsid w:val="002B2BB4"/>
    <w:rsid w:val="002B2C09"/>
    <w:rsid w:val="002B2C50"/>
    <w:rsid w:val="002B2C9B"/>
    <w:rsid w:val="002B2D92"/>
    <w:rsid w:val="002B2D9D"/>
    <w:rsid w:val="002B2E3F"/>
    <w:rsid w:val="002B2ED6"/>
    <w:rsid w:val="002B2F60"/>
    <w:rsid w:val="002B3022"/>
    <w:rsid w:val="002B3119"/>
    <w:rsid w:val="002B311A"/>
    <w:rsid w:val="002B313E"/>
    <w:rsid w:val="002B3174"/>
    <w:rsid w:val="002B318B"/>
    <w:rsid w:val="002B31BD"/>
    <w:rsid w:val="002B31DB"/>
    <w:rsid w:val="002B322D"/>
    <w:rsid w:val="002B3273"/>
    <w:rsid w:val="002B3281"/>
    <w:rsid w:val="002B32F3"/>
    <w:rsid w:val="002B32FA"/>
    <w:rsid w:val="002B3302"/>
    <w:rsid w:val="002B3349"/>
    <w:rsid w:val="002B336B"/>
    <w:rsid w:val="002B33B1"/>
    <w:rsid w:val="002B3664"/>
    <w:rsid w:val="002B3668"/>
    <w:rsid w:val="002B3743"/>
    <w:rsid w:val="002B3797"/>
    <w:rsid w:val="002B386F"/>
    <w:rsid w:val="002B38D5"/>
    <w:rsid w:val="002B3920"/>
    <w:rsid w:val="002B396E"/>
    <w:rsid w:val="002B3976"/>
    <w:rsid w:val="002B3997"/>
    <w:rsid w:val="002B3A66"/>
    <w:rsid w:val="002B3ABD"/>
    <w:rsid w:val="002B3ACF"/>
    <w:rsid w:val="002B3B4D"/>
    <w:rsid w:val="002B3BA8"/>
    <w:rsid w:val="002B3C80"/>
    <w:rsid w:val="002B3C90"/>
    <w:rsid w:val="002B3D2C"/>
    <w:rsid w:val="002B3D6A"/>
    <w:rsid w:val="002B3DC0"/>
    <w:rsid w:val="002B3E02"/>
    <w:rsid w:val="002B3EC0"/>
    <w:rsid w:val="002B3F12"/>
    <w:rsid w:val="002B3F9D"/>
    <w:rsid w:val="002B3FA1"/>
    <w:rsid w:val="002B3FAE"/>
    <w:rsid w:val="002B3FC6"/>
    <w:rsid w:val="002B3FEA"/>
    <w:rsid w:val="002B3FEF"/>
    <w:rsid w:val="002B4013"/>
    <w:rsid w:val="002B402D"/>
    <w:rsid w:val="002B4091"/>
    <w:rsid w:val="002B40AE"/>
    <w:rsid w:val="002B40ED"/>
    <w:rsid w:val="002B4143"/>
    <w:rsid w:val="002B4167"/>
    <w:rsid w:val="002B4194"/>
    <w:rsid w:val="002B424E"/>
    <w:rsid w:val="002B4278"/>
    <w:rsid w:val="002B42D7"/>
    <w:rsid w:val="002B4351"/>
    <w:rsid w:val="002B440C"/>
    <w:rsid w:val="002B4412"/>
    <w:rsid w:val="002B445D"/>
    <w:rsid w:val="002B446C"/>
    <w:rsid w:val="002B44F9"/>
    <w:rsid w:val="002B4528"/>
    <w:rsid w:val="002B4545"/>
    <w:rsid w:val="002B456E"/>
    <w:rsid w:val="002B45A4"/>
    <w:rsid w:val="002B4676"/>
    <w:rsid w:val="002B479C"/>
    <w:rsid w:val="002B47B8"/>
    <w:rsid w:val="002B4854"/>
    <w:rsid w:val="002B4860"/>
    <w:rsid w:val="002B48A0"/>
    <w:rsid w:val="002B48A4"/>
    <w:rsid w:val="002B48B8"/>
    <w:rsid w:val="002B495A"/>
    <w:rsid w:val="002B4969"/>
    <w:rsid w:val="002B49ED"/>
    <w:rsid w:val="002B4A17"/>
    <w:rsid w:val="002B4A25"/>
    <w:rsid w:val="002B4A2F"/>
    <w:rsid w:val="002B4A76"/>
    <w:rsid w:val="002B4A7C"/>
    <w:rsid w:val="002B4CA1"/>
    <w:rsid w:val="002B4CB7"/>
    <w:rsid w:val="002B4CD4"/>
    <w:rsid w:val="002B4CDB"/>
    <w:rsid w:val="002B4D13"/>
    <w:rsid w:val="002B4D18"/>
    <w:rsid w:val="002B4D36"/>
    <w:rsid w:val="002B4D4D"/>
    <w:rsid w:val="002B4D65"/>
    <w:rsid w:val="002B4DA5"/>
    <w:rsid w:val="002B4F0B"/>
    <w:rsid w:val="002B5036"/>
    <w:rsid w:val="002B50CB"/>
    <w:rsid w:val="002B51AC"/>
    <w:rsid w:val="002B528A"/>
    <w:rsid w:val="002B529D"/>
    <w:rsid w:val="002B5320"/>
    <w:rsid w:val="002B537A"/>
    <w:rsid w:val="002B5414"/>
    <w:rsid w:val="002B544F"/>
    <w:rsid w:val="002B54B3"/>
    <w:rsid w:val="002B5500"/>
    <w:rsid w:val="002B5537"/>
    <w:rsid w:val="002B5584"/>
    <w:rsid w:val="002B55F3"/>
    <w:rsid w:val="002B5602"/>
    <w:rsid w:val="002B5604"/>
    <w:rsid w:val="002B5613"/>
    <w:rsid w:val="002B56BA"/>
    <w:rsid w:val="002B56FA"/>
    <w:rsid w:val="002B577C"/>
    <w:rsid w:val="002B57DD"/>
    <w:rsid w:val="002B5870"/>
    <w:rsid w:val="002B59D5"/>
    <w:rsid w:val="002B59EB"/>
    <w:rsid w:val="002B5B3B"/>
    <w:rsid w:val="002B5BA2"/>
    <w:rsid w:val="002B5C51"/>
    <w:rsid w:val="002B5C8F"/>
    <w:rsid w:val="002B5E0B"/>
    <w:rsid w:val="002B5E3E"/>
    <w:rsid w:val="002B5EAC"/>
    <w:rsid w:val="002B5EC2"/>
    <w:rsid w:val="002B5ECF"/>
    <w:rsid w:val="002B5F03"/>
    <w:rsid w:val="002B5FF2"/>
    <w:rsid w:val="002B6014"/>
    <w:rsid w:val="002B6016"/>
    <w:rsid w:val="002B602C"/>
    <w:rsid w:val="002B6046"/>
    <w:rsid w:val="002B6092"/>
    <w:rsid w:val="002B60D3"/>
    <w:rsid w:val="002B60D7"/>
    <w:rsid w:val="002B60DD"/>
    <w:rsid w:val="002B617E"/>
    <w:rsid w:val="002B619D"/>
    <w:rsid w:val="002B61CB"/>
    <w:rsid w:val="002B61DD"/>
    <w:rsid w:val="002B62D6"/>
    <w:rsid w:val="002B6301"/>
    <w:rsid w:val="002B6417"/>
    <w:rsid w:val="002B6447"/>
    <w:rsid w:val="002B647B"/>
    <w:rsid w:val="002B6499"/>
    <w:rsid w:val="002B64D6"/>
    <w:rsid w:val="002B64DB"/>
    <w:rsid w:val="002B64DD"/>
    <w:rsid w:val="002B65AB"/>
    <w:rsid w:val="002B65CC"/>
    <w:rsid w:val="002B6600"/>
    <w:rsid w:val="002B662D"/>
    <w:rsid w:val="002B66CB"/>
    <w:rsid w:val="002B67BA"/>
    <w:rsid w:val="002B67CE"/>
    <w:rsid w:val="002B68AC"/>
    <w:rsid w:val="002B68C2"/>
    <w:rsid w:val="002B6905"/>
    <w:rsid w:val="002B6964"/>
    <w:rsid w:val="002B6993"/>
    <w:rsid w:val="002B69AA"/>
    <w:rsid w:val="002B69B0"/>
    <w:rsid w:val="002B6A33"/>
    <w:rsid w:val="002B6ADC"/>
    <w:rsid w:val="002B6B38"/>
    <w:rsid w:val="002B6B79"/>
    <w:rsid w:val="002B6C26"/>
    <w:rsid w:val="002B6D76"/>
    <w:rsid w:val="002B6D99"/>
    <w:rsid w:val="002B6E61"/>
    <w:rsid w:val="002B6E91"/>
    <w:rsid w:val="002B6EB7"/>
    <w:rsid w:val="002B6EF2"/>
    <w:rsid w:val="002B6F1A"/>
    <w:rsid w:val="002B6F3F"/>
    <w:rsid w:val="002B6F45"/>
    <w:rsid w:val="002B6FB8"/>
    <w:rsid w:val="002B7035"/>
    <w:rsid w:val="002B7189"/>
    <w:rsid w:val="002B71B0"/>
    <w:rsid w:val="002B71E1"/>
    <w:rsid w:val="002B7246"/>
    <w:rsid w:val="002B7261"/>
    <w:rsid w:val="002B730B"/>
    <w:rsid w:val="002B73FD"/>
    <w:rsid w:val="002B7466"/>
    <w:rsid w:val="002B747B"/>
    <w:rsid w:val="002B7482"/>
    <w:rsid w:val="002B7483"/>
    <w:rsid w:val="002B7491"/>
    <w:rsid w:val="002B74B1"/>
    <w:rsid w:val="002B7545"/>
    <w:rsid w:val="002B7569"/>
    <w:rsid w:val="002B75F9"/>
    <w:rsid w:val="002B76AC"/>
    <w:rsid w:val="002B76CF"/>
    <w:rsid w:val="002B771A"/>
    <w:rsid w:val="002B7768"/>
    <w:rsid w:val="002B7810"/>
    <w:rsid w:val="002B782B"/>
    <w:rsid w:val="002B78AB"/>
    <w:rsid w:val="002B790B"/>
    <w:rsid w:val="002B79CB"/>
    <w:rsid w:val="002B79EC"/>
    <w:rsid w:val="002B7A01"/>
    <w:rsid w:val="002B7B10"/>
    <w:rsid w:val="002B7B1B"/>
    <w:rsid w:val="002B7B2E"/>
    <w:rsid w:val="002B7B43"/>
    <w:rsid w:val="002B7B72"/>
    <w:rsid w:val="002B7BBA"/>
    <w:rsid w:val="002B7BC6"/>
    <w:rsid w:val="002B7BE0"/>
    <w:rsid w:val="002B7C8C"/>
    <w:rsid w:val="002B7CF0"/>
    <w:rsid w:val="002B7DBA"/>
    <w:rsid w:val="002B7DDB"/>
    <w:rsid w:val="002B7E18"/>
    <w:rsid w:val="002B7EA5"/>
    <w:rsid w:val="002B7EDA"/>
    <w:rsid w:val="002B7F46"/>
    <w:rsid w:val="002B7F74"/>
    <w:rsid w:val="002B7F90"/>
    <w:rsid w:val="002B7FA5"/>
    <w:rsid w:val="002B7FE0"/>
    <w:rsid w:val="002C001E"/>
    <w:rsid w:val="002C00C2"/>
    <w:rsid w:val="002C00D6"/>
    <w:rsid w:val="002C01D0"/>
    <w:rsid w:val="002C02CE"/>
    <w:rsid w:val="002C0306"/>
    <w:rsid w:val="002C0308"/>
    <w:rsid w:val="002C036C"/>
    <w:rsid w:val="002C03E7"/>
    <w:rsid w:val="002C042B"/>
    <w:rsid w:val="002C0431"/>
    <w:rsid w:val="002C0535"/>
    <w:rsid w:val="002C0656"/>
    <w:rsid w:val="002C066C"/>
    <w:rsid w:val="002C0706"/>
    <w:rsid w:val="002C070D"/>
    <w:rsid w:val="002C0770"/>
    <w:rsid w:val="002C07AD"/>
    <w:rsid w:val="002C07B6"/>
    <w:rsid w:val="002C07B8"/>
    <w:rsid w:val="002C085C"/>
    <w:rsid w:val="002C087F"/>
    <w:rsid w:val="002C0906"/>
    <w:rsid w:val="002C091E"/>
    <w:rsid w:val="002C0938"/>
    <w:rsid w:val="002C0A43"/>
    <w:rsid w:val="002C0A58"/>
    <w:rsid w:val="002C0AA8"/>
    <w:rsid w:val="002C0AB0"/>
    <w:rsid w:val="002C0BAF"/>
    <w:rsid w:val="002C0BBA"/>
    <w:rsid w:val="002C0BC2"/>
    <w:rsid w:val="002C0C2C"/>
    <w:rsid w:val="002C0C8F"/>
    <w:rsid w:val="002C0CFC"/>
    <w:rsid w:val="002C0D28"/>
    <w:rsid w:val="002C0E2E"/>
    <w:rsid w:val="002C0F3C"/>
    <w:rsid w:val="002C106F"/>
    <w:rsid w:val="002C107B"/>
    <w:rsid w:val="002C10D6"/>
    <w:rsid w:val="002C10E1"/>
    <w:rsid w:val="002C1136"/>
    <w:rsid w:val="002C1166"/>
    <w:rsid w:val="002C1170"/>
    <w:rsid w:val="002C1205"/>
    <w:rsid w:val="002C1299"/>
    <w:rsid w:val="002C1301"/>
    <w:rsid w:val="002C132D"/>
    <w:rsid w:val="002C1330"/>
    <w:rsid w:val="002C1451"/>
    <w:rsid w:val="002C1494"/>
    <w:rsid w:val="002C14D0"/>
    <w:rsid w:val="002C14ED"/>
    <w:rsid w:val="002C1521"/>
    <w:rsid w:val="002C159C"/>
    <w:rsid w:val="002C15A4"/>
    <w:rsid w:val="002C15E8"/>
    <w:rsid w:val="002C1619"/>
    <w:rsid w:val="002C1623"/>
    <w:rsid w:val="002C1624"/>
    <w:rsid w:val="002C167B"/>
    <w:rsid w:val="002C16A5"/>
    <w:rsid w:val="002C16F9"/>
    <w:rsid w:val="002C17ED"/>
    <w:rsid w:val="002C17FA"/>
    <w:rsid w:val="002C1827"/>
    <w:rsid w:val="002C1831"/>
    <w:rsid w:val="002C1875"/>
    <w:rsid w:val="002C18B7"/>
    <w:rsid w:val="002C1910"/>
    <w:rsid w:val="002C1A1A"/>
    <w:rsid w:val="002C1BAB"/>
    <w:rsid w:val="002C1BF5"/>
    <w:rsid w:val="002C1DAA"/>
    <w:rsid w:val="002C1E2C"/>
    <w:rsid w:val="002C1F54"/>
    <w:rsid w:val="002C1F6B"/>
    <w:rsid w:val="002C1F9D"/>
    <w:rsid w:val="002C2012"/>
    <w:rsid w:val="002C2036"/>
    <w:rsid w:val="002C2062"/>
    <w:rsid w:val="002C20F6"/>
    <w:rsid w:val="002C20FC"/>
    <w:rsid w:val="002C2122"/>
    <w:rsid w:val="002C2127"/>
    <w:rsid w:val="002C2260"/>
    <w:rsid w:val="002C231F"/>
    <w:rsid w:val="002C2388"/>
    <w:rsid w:val="002C245B"/>
    <w:rsid w:val="002C2495"/>
    <w:rsid w:val="002C251E"/>
    <w:rsid w:val="002C2531"/>
    <w:rsid w:val="002C2564"/>
    <w:rsid w:val="002C257F"/>
    <w:rsid w:val="002C2582"/>
    <w:rsid w:val="002C25BD"/>
    <w:rsid w:val="002C260E"/>
    <w:rsid w:val="002C26DF"/>
    <w:rsid w:val="002C275E"/>
    <w:rsid w:val="002C2768"/>
    <w:rsid w:val="002C27CF"/>
    <w:rsid w:val="002C27F2"/>
    <w:rsid w:val="002C280D"/>
    <w:rsid w:val="002C28A3"/>
    <w:rsid w:val="002C291C"/>
    <w:rsid w:val="002C29AB"/>
    <w:rsid w:val="002C29CF"/>
    <w:rsid w:val="002C29D0"/>
    <w:rsid w:val="002C29FF"/>
    <w:rsid w:val="002C2A0C"/>
    <w:rsid w:val="002C2A52"/>
    <w:rsid w:val="002C2AEA"/>
    <w:rsid w:val="002C2B1A"/>
    <w:rsid w:val="002C2C5E"/>
    <w:rsid w:val="002C2D0A"/>
    <w:rsid w:val="002C2D0E"/>
    <w:rsid w:val="002C2D3C"/>
    <w:rsid w:val="002C2DE0"/>
    <w:rsid w:val="002C2E38"/>
    <w:rsid w:val="002C2EE0"/>
    <w:rsid w:val="002C2FB3"/>
    <w:rsid w:val="002C3064"/>
    <w:rsid w:val="002C307A"/>
    <w:rsid w:val="002C3171"/>
    <w:rsid w:val="002C3184"/>
    <w:rsid w:val="002C3185"/>
    <w:rsid w:val="002C3294"/>
    <w:rsid w:val="002C32C3"/>
    <w:rsid w:val="002C32CF"/>
    <w:rsid w:val="002C331B"/>
    <w:rsid w:val="002C3355"/>
    <w:rsid w:val="002C336F"/>
    <w:rsid w:val="002C33ED"/>
    <w:rsid w:val="002C3420"/>
    <w:rsid w:val="002C343C"/>
    <w:rsid w:val="002C350B"/>
    <w:rsid w:val="002C351B"/>
    <w:rsid w:val="002C3545"/>
    <w:rsid w:val="002C3554"/>
    <w:rsid w:val="002C3620"/>
    <w:rsid w:val="002C3665"/>
    <w:rsid w:val="002C3698"/>
    <w:rsid w:val="002C36CC"/>
    <w:rsid w:val="002C36D4"/>
    <w:rsid w:val="002C373E"/>
    <w:rsid w:val="002C37A5"/>
    <w:rsid w:val="002C37D3"/>
    <w:rsid w:val="002C37D7"/>
    <w:rsid w:val="002C37F8"/>
    <w:rsid w:val="002C3846"/>
    <w:rsid w:val="002C3917"/>
    <w:rsid w:val="002C3967"/>
    <w:rsid w:val="002C397A"/>
    <w:rsid w:val="002C3ACE"/>
    <w:rsid w:val="002C3B60"/>
    <w:rsid w:val="002C3B68"/>
    <w:rsid w:val="002C3BB8"/>
    <w:rsid w:val="002C3C8D"/>
    <w:rsid w:val="002C3C9A"/>
    <w:rsid w:val="002C3CB0"/>
    <w:rsid w:val="002C3DBC"/>
    <w:rsid w:val="002C3E06"/>
    <w:rsid w:val="002C3E5A"/>
    <w:rsid w:val="002C3EB7"/>
    <w:rsid w:val="002C3EBF"/>
    <w:rsid w:val="002C3F30"/>
    <w:rsid w:val="002C3F9A"/>
    <w:rsid w:val="002C4107"/>
    <w:rsid w:val="002C4174"/>
    <w:rsid w:val="002C418E"/>
    <w:rsid w:val="002C427F"/>
    <w:rsid w:val="002C42F5"/>
    <w:rsid w:val="002C431C"/>
    <w:rsid w:val="002C43D4"/>
    <w:rsid w:val="002C43D9"/>
    <w:rsid w:val="002C448E"/>
    <w:rsid w:val="002C44C8"/>
    <w:rsid w:val="002C4501"/>
    <w:rsid w:val="002C4518"/>
    <w:rsid w:val="002C46CD"/>
    <w:rsid w:val="002C46DF"/>
    <w:rsid w:val="002C4756"/>
    <w:rsid w:val="002C47BA"/>
    <w:rsid w:val="002C488D"/>
    <w:rsid w:val="002C48B4"/>
    <w:rsid w:val="002C48B6"/>
    <w:rsid w:val="002C4953"/>
    <w:rsid w:val="002C4A0C"/>
    <w:rsid w:val="002C4AE6"/>
    <w:rsid w:val="002C4AFA"/>
    <w:rsid w:val="002C4B24"/>
    <w:rsid w:val="002C4B36"/>
    <w:rsid w:val="002C4B60"/>
    <w:rsid w:val="002C4B7C"/>
    <w:rsid w:val="002C4BB1"/>
    <w:rsid w:val="002C4C06"/>
    <w:rsid w:val="002C4CA6"/>
    <w:rsid w:val="002C4CA9"/>
    <w:rsid w:val="002C4CE8"/>
    <w:rsid w:val="002C4D2A"/>
    <w:rsid w:val="002C4D8F"/>
    <w:rsid w:val="002C4DBF"/>
    <w:rsid w:val="002C4E0E"/>
    <w:rsid w:val="002C4E89"/>
    <w:rsid w:val="002C4EB8"/>
    <w:rsid w:val="002C4EEA"/>
    <w:rsid w:val="002C504D"/>
    <w:rsid w:val="002C506A"/>
    <w:rsid w:val="002C50BA"/>
    <w:rsid w:val="002C5164"/>
    <w:rsid w:val="002C5165"/>
    <w:rsid w:val="002C5176"/>
    <w:rsid w:val="002C51B5"/>
    <w:rsid w:val="002C51CB"/>
    <w:rsid w:val="002C5206"/>
    <w:rsid w:val="002C52D7"/>
    <w:rsid w:val="002C52DE"/>
    <w:rsid w:val="002C5345"/>
    <w:rsid w:val="002C539D"/>
    <w:rsid w:val="002C53B5"/>
    <w:rsid w:val="002C53BC"/>
    <w:rsid w:val="002C53E1"/>
    <w:rsid w:val="002C5476"/>
    <w:rsid w:val="002C54D4"/>
    <w:rsid w:val="002C5624"/>
    <w:rsid w:val="002C57A4"/>
    <w:rsid w:val="002C57A7"/>
    <w:rsid w:val="002C57C0"/>
    <w:rsid w:val="002C57F1"/>
    <w:rsid w:val="002C580A"/>
    <w:rsid w:val="002C5810"/>
    <w:rsid w:val="002C582E"/>
    <w:rsid w:val="002C593D"/>
    <w:rsid w:val="002C5A3E"/>
    <w:rsid w:val="002C5BA2"/>
    <w:rsid w:val="002C5C29"/>
    <w:rsid w:val="002C5C2E"/>
    <w:rsid w:val="002C5C55"/>
    <w:rsid w:val="002C5C56"/>
    <w:rsid w:val="002C5CC9"/>
    <w:rsid w:val="002C5CD2"/>
    <w:rsid w:val="002C5D2F"/>
    <w:rsid w:val="002C5D44"/>
    <w:rsid w:val="002C5D66"/>
    <w:rsid w:val="002C5D6A"/>
    <w:rsid w:val="002C5DB3"/>
    <w:rsid w:val="002C5DE6"/>
    <w:rsid w:val="002C5DEE"/>
    <w:rsid w:val="002C5E0D"/>
    <w:rsid w:val="002C5E31"/>
    <w:rsid w:val="002C5E52"/>
    <w:rsid w:val="002C5EAE"/>
    <w:rsid w:val="002C5EB2"/>
    <w:rsid w:val="002C5EC4"/>
    <w:rsid w:val="002C5EC8"/>
    <w:rsid w:val="002C5EEE"/>
    <w:rsid w:val="002C5F0F"/>
    <w:rsid w:val="002C5FD7"/>
    <w:rsid w:val="002C6036"/>
    <w:rsid w:val="002C606D"/>
    <w:rsid w:val="002C6070"/>
    <w:rsid w:val="002C6107"/>
    <w:rsid w:val="002C6130"/>
    <w:rsid w:val="002C61BB"/>
    <w:rsid w:val="002C61F9"/>
    <w:rsid w:val="002C625C"/>
    <w:rsid w:val="002C629F"/>
    <w:rsid w:val="002C62F7"/>
    <w:rsid w:val="002C6341"/>
    <w:rsid w:val="002C6367"/>
    <w:rsid w:val="002C638B"/>
    <w:rsid w:val="002C63A8"/>
    <w:rsid w:val="002C63E9"/>
    <w:rsid w:val="002C644A"/>
    <w:rsid w:val="002C646B"/>
    <w:rsid w:val="002C64B3"/>
    <w:rsid w:val="002C651F"/>
    <w:rsid w:val="002C6542"/>
    <w:rsid w:val="002C65AA"/>
    <w:rsid w:val="002C6607"/>
    <w:rsid w:val="002C673D"/>
    <w:rsid w:val="002C6762"/>
    <w:rsid w:val="002C67D3"/>
    <w:rsid w:val="002C6829"/>
    <w:rsid w:val="002C6859"/>
    <w:rsid w:val="002C6875"/>
    <w:rsid w:val="002C6919"/>
    <w:rsid w:val="002C6971"/>
    <w:rsid w:val="002C69A6"/>
    <w:rsid w:val="002C69F7"/>
    <w:rsid w:val="002C6A0E"/>
    <w:rsid w:val="002C6A71"/>
    <w:rsid w:val="002C6AF1"/>
    <w:rsid w:val="002C6BCE"/>
    <w:rsid w:val="002C6D42"/>
    <w:rsid w:val="002C6F25"/>
    <w:rsid w:val="002C6F34"/>
    <w:rsid w:val="002C6F5D"/>
    <w:rsid w:val="002C6FF0"/>
    <w:rsid w:val="002C7015"/>
    <w:rsid w:val="002C7016"/>
    <w:rsid w:val="002C7056"/>
    <w:rsid w:val="002C7057"/>
    <w:rsid w:val="002C717F"/>
    <w:rsid w:val="002C71C4"/>
    <w:rsid w:val="002C7238"/>
    <w:rsid w:val="002C72B8"/>
    <w:rsid w:val="002C7348"/>
    <w:rsid w:val="002C734C"/>
    <w:rsid w:val="002C73F9"/>
    <w:rsid w:val="002C745D"/>
    <w:rsid w:val="002C74C9"/>
    <w:rsid w:val="002C74FA"/>
    <w:rsid w:val="002C75DF"/>
    <w:rsid w:val="002C76AD"/>
    <w:rsid w:val="002C76FB"/>
    <w:rsid w:val="002C7701"/>
    <w:rsid w:val="002C773C"/>
    <w:rsid w:val="002C7771"/>
    <w:rsid w:val="002C7772"/>
    <w:rsid w:val="002C77B4"/>
    <w:rsid w:val="002C78AF"/>
    <w:rsid w:val="002C78BA"/>
    <w:rsid w:val="002C793A"/>
    <w:rsid w:val="002C798D"/>
    <w:rsid w:val="002C7996"/>
    <w:rsid w:val="002C799A"/>
    <w:rsid w:val="002C7ABB"/>
    <w:rsid w:val="002C7B23"/>
    <w:rsid w:val="002C7B7A"/>
    <w:rsid w:val="002C7B87"/>
    <w:rsid w:val="002C7BF1"/>
    <w:rsid w:val="002C7C0E"/>
    <w:rsid w:val="002C7D4F"/>
    <w:rsid w:val="002C7DA0"/>
    <w:rsid w:val="002C7E42"/>
    <w:rsid w:val="002C7E4B"/>
    <w:rsid w:val="002C7E53"/>
    <w:rsid w:val="002C7E64"/>
    <w:rsid w:val="002C7EA7"/>
    <w:rsid w:val="002C7ECA"/>
    <w:rsid w:val="002C7F14"/>
    <w:rsid w:val="002C7F3E"/>
    <w:rsid w:val="002C7F41"/>
    <w:rsid w:val="002C7F86"/>
    <w:rsid w:val="002D00DB"/>
    <w:rsid w:val="002D00DE"/>
    <w:rsid w:val="002D01BD"/>
    <w:rsid w:val="002D01CB"/>
    <w:rsid w:val="002D0240"/>
    <w:rsid w:val="002D0301"/>
    <w:rsid w:val="002D034B"/>
    <w:rsid w:val="002D041D"/>
    <w:rsid w:val="002D049D"/>
    <w:rsid w:val="002D04B1"/>
    <w:rsid w:val="002D04E5"/>
    <w:rsid w:val="002D050D"/>
    <w:rsid w:val="002D0590"/>
    <w:rsid w:val="002D0598"/>
    <w:rsid w:val="002D05C9"/>
    <w:rsid w:val="002D05E7"/>
    <w:rsid w:val="002D05EF"/>
    <w:rsid w:val="002D05F2"/>
    <w:rsid w:val="002D06FF"/>
    <w:rsid w:val="002D0732"/>
    <w:rsid w:val="002D0742"/>
    <w:rsid w:val="002D07F7"/>
    <w:rsid w:val="002D0842"/>
    <w:rsid w:val="002D0866"/>
    <w:rsid w:val="002D086B"/>
    <w:rsid w:val="002D0887"/>
    <w:rsid w:val="002D088C"/>
    <w:rsid w:val="002D08C5"/>
    <w:rsid w:val="002D09A6"/>
    <w:rsid w:val="002D0A3B"/>
    <w:rsid w:val="002D0A53"/>
    <w:rsid w:val="002D0A68"/>
    <w:rsid w:val="002D0A70"/>
    <w:rsid w:val="002D0AF6"/>
    <w:rsid w:val="002D0B08"/>
    <w:rsid w:val="002D0B6A"/>
    <w:rsid w:val="002D0B8E"/>
    <w:rsid w:val="002D0B9A"/>
    <w:rsid w:val="002D0BDA"/>
    <w:rsid w:val="002D0C87"/>
    <w:rsid w:val="002D0CC1"/>
    <w:rsid w:val="002D0D18"/>
    <w:rsid w:val="002D0D64"/>
    <w:rsid w:val="002D0D79"/>
    <w:rsid w:val="002D0D93"/>
    <w:rsid w:val="002D0DC8"/>
    <w:rsid w:val="002D0DD7"/>
    <w:rsid w:val="002D0E48"/>
    <w:rsid w:val="002D0EEA"/>
    <w:rsid w:val="002D0F65"/>
    <w:rsid w:val="002D0F87"/>
    <w:rsid w:val="002D0F8E"/>
    <w:rsid w:val="002D0F8F"/>
    <w:rsid w:val="002D0F90"/>
    <w:rsid w:val="002D0FE3"/>
    <w:rsid w:val="002D0FEC"/>
    <w:rsid w:val="002D1043"/>
    <w:rsid w:val="002D1094"/>
    <w:rsid w:val="002D10B5"/>
    <w:rsid w:val="002D1162"/>
    <w:rsid w:val="002D11FC"/>
    <w:rsid w:val="002D1272"/>
    <w:rsid w:val="002D127C"/>
    <w:rsid w:val="002D1287"/>
    <w:rsid w:val="002D12A3"/>
    <w:rsid w:val="002D1424"/>
    <w:rsid w:val="002D1466"/>
    <w:rsid w:val="002D149E"/>
    <w:rsid w:val="002D1573"/>
    <w:rsid w:val="002D1574"/>
    <w:rsid w:val="002D164F"/>
    <w:rsid w:val="002D16B8"/>
    <w:rsid w:val="002D16FD"/>
    <w:rsid w:val="002D1717"/>
    <w:rsid w:val="002D17CC"/>
    <w:rsid w:val="002D1860"/>
    <w:rsid w:val="002D1939"/>
    <w:rsid w:val="002D19F9"/>
    <w:rsid w:val="002D1B89"/>
    <w:rsid w:val="002D1BBE"/>
    <w:rsid w:val="002D1BE0"/>
    <w:rsid w:val="002D1CA4"/>
    <w:rsid w:val="002D1D6F"/>
    <w:rsid w:val="002D1EB3"/>
    <w:rsid w:val="002D1EF4"/>
    <w:rsid w:val="002D1F73"/>
    <w:rsid w:val="002D1FB8"/>
    <w:rsid w:val="002D1FCF"/>
    <w:rsid w:val="002D1FD9"/>
    <w:rsid w:val="002D1FE6"/>
    <w:rsid w:val="002D206F"/>
    <w:rsid w:val="002D2076"/>
    <w:rsid w:val="002D20E5"/>
    <w:rsid w:val="002D2137"/>
    <w:rsid w:val="002D2195"/>
    <w:rsid w:val="002D21E0"/>
    <w:rsid w:val="002D21F7"/>
    <w:rsid w:val="002D21FB"/>
    <w:rsid w:val="002D22BC"/>
    <w:rsid w:val="002D22C6"/>
    <w:rsid w:val="002D22EE"/>
    <w:rsid w:val="002D2321"/>
    <w:rsid w:val="002D238B"/>
    <w:rsid w:val="002D23CE"/>
    <w:rsid w:val="002D24F7"/>
    <w:rsid w:val="002D252E"/>
    <w:rsid w:val="002D2552"/>
    <w:rsid w:val="002D2572"/>
    <w:rsid w:val="002D25F8"/>
    <w:rsid w:val="002D260C"/>
    <w:rsid w:val="002D2654"/>
    <w:rsid w:val="002D282D"/>
    <w:rsid w:val="002D282E"/>
    <w:rsid w:val="002D2840"/>
    <w:rsid w:val="002D286D"/>
    <w:rsid w:val="002D288D"/>
    <w:rsid w:val="002D28B7"/>
    <w:rsid w:val="002D2932"/>
    <w:rsid w:val="002D2942"/>
    <w:rsid w:val="002D2959"/>
    <w:rsid w:val="002D297E"/>
    <w:rsid w:val="002D2A3D"/>
    <w:rsid w:val="002D2A88"/>
    <w:rsid w:val="002D2A9E"/>
    <w:rsid w:val="002D2AA9"/>
    <w:rsid w:val="002D2AE4"/>
    <w:rsid w:val="002D2AE9"/>
    <w:rsid w:val="002D2B40"/>
    <w:rsid w:val="002D2BB3"/>
    <w:rsid w:val="002D2C01"/>
    <w:rsid w:val="002D2C0B"/>
    <w:rsid w:val="002D2C26"/>
    <w:rsid w:val="002D2C6B"/>
    <w:rsid w:val="002D2CF6"/>
    <w:rsid w:val="002D2DA2"/>
    <w:rsid w:val="002D2E4D"/>
    <w:rsid w:val="002D2ED8"/>
    <w:rsid w:val="002D2F3F"/>
    <w:rsid w:val="002D2FAF"/>
    <w:rsid w:val="002D2FB8"/>
    <w:rsid w:val="002D3012"/>
    <w:rsid w:val="002D30F2"/>
    <w:rsid w:val="002D3135"/>
    <w:rsid w:val="002D316E"/>
    <w:rsid w:val="002D3187"/>
    <w:rsid w:val="002D31EE"/>
    <w:rsid w:val="002D31FF"/>
    <w:rsid w:val="002D3212"/>
    <w:rsid w:val="002D3215"/>
    <w:rsid w:val="002D3274"/>
    <w:rsid w:val="002D3334"/>
    <w:rsid w:val="002D333C"/>
    <w:rsid w:val="002D337D"/>
    <w:rsid w:val="002D3599"/>
    <w:rsid w:val="002D3617"/>
    <w:rsid w:val="002D37A8"/>
    <w:rsid w:val="002D390D"/>
    <w:rsid w:val="002D3919"/>
    <w:rsid w:val="002D391A"/>
    <w:rsid w:val="002D392C"/>
    <w:rsid w:val="002D395A"/>
    <w:rsid w:val="002D39FD"/>
    <w:rsid w:val="002D3A07"/>
    <w:rsid w:val="002D3A66"/>
    <w:rsid w:val="002D3A7E"/>
    <w:rsid w:val="002D3A94"/>
    <w:rsid w:val="002D3AF5"/>
    <w:rsid w:val="002D3B49"/>
    <w:rsid w:val="002D3B82"/>
    <w:rsid w:val="002D3C06"/>
    <w:rsid w:val="002D3C22"/>
    <w:rsid w:val="002D3EC4"/>
    <w:rsid w:val="002D3FA1"/>
    <w:rsid w:val="002D3FE8"/>
    <w:rsid w:val="002D408F"/>
    <w:rsid w:val="002D4109"/>
    <w:rsid w:val="002D416E"/>
    <w:rsid w:val="002D4195"/>
    <w:rsid w:val="002D421F"/>
    <w:rsid w:val="002D42EC"/>
    <w:rsid w:val="002D4434"/>
    <w:rsid w:val="002D444A"/>
    <w:rsid w:val="002D4497"/>
    <w:rsid w:val="002D4505"/>
    <w:rsid w:val="002D450F"/>
    <w:rsid w:val="002D4579"/>
    <w:rsid w:val="002D45A1"/>
    <w:rsid w:val="002D45B5"/>
    <w:rsid w:val="002D45CD"/>
    <w:rsid w:val="002D45D2"/>
    <w:rsid w:val="002D4627"/>
    <w:rsid w:val="002D463B"/>
    <w:rsid w:val="002D465A"/>
    <w:rsid w:val="002D467D"/>
    <w:rsid w:val="002D468B"/>
    <w:rsid w:val="002D46D7"/>
    <w:rsid w:val="002D46E2"/>
    <w:rsid w:val="002D46FD"/>
    <w:rsid w:val="002D471C"/>
    <w:rsid w:val="002D476C"/>
    <w:rsid w:val="002D477B"/>
    <w:rsid w:val="002D47F5"/>
    <w:rsid w:val="002D495D"/>
    <w:rsid w:val="002D4994"/>
    <w:rsid w:val="002D499B"/>
    <w:rsid w:val="002D499D"/>
    <w:rsid w:val="002D49E0"/>
    <w:rsid w:val="002D4A5E"/>
    <w:rsid w:val="002D4A88"/>
    <w:rsid w:val="002D4B55"/>
    <w:rsid w:val="002D4C04"/>
    <w:rsid w:val="002D4C07"/>
    <w:rsid w:val="002D4C15"/>
    <w:rsid w:val="002D4C1A"/>
    <w:rsid w:val="002D4E93"/>
    <w:rsid w:val="002D4EE8"/>
    <w:rsid w:val="002D4F05"/>
    <w:rsid w:val="002D4F21"/>
    <w:rsid w:val="002D4FDD"/>
    <w:rsid w:val="002D5050"/>
    <w:rsid w:val="002D5067"/>
    <w:rsid w:val="002D506C"/>
    <w:rsid w:val="002D50B0"/>
    <w:rsid w:val="002D50F1"/>
    <w:rsid w:val="002D5109"/>
    <w:rsid w:val="002D51C6"/>
    <w:rsid w:val="002D51D5"/>
    <w:rsid w:val="002D51ED"/>
    <w:rsid w:val="002D522E"/>
    <w:rsid w:val="002D527C"/>
    <w:rsid w:val="002D52FE"/>
    <w:rsid w:val="002D5376"/>
    <w:rsid w:val="002D542A"/>
    <w:rsid w:val="002D5509"/>
    <w:rsid w:val="002D5560"/>
    <w:rsid w:val="002D559A"/>
    <w:rsid w:val="002D55D8"/>
    <w:rsid w:val="002D5601"/>
    <w:rsid w:val="002D56B5"/>
    <w:rsid w:val="002D571D"/>
    <w:rsid w:val="002D575A"/>
    <w:rsid w:val="002D5774"/>
    <w:rsid w:val="002D58D1"/>
    <w:rsid w:val="002D58D6"/>
    <w:rsid w:val="002D591D"/>
    <w:rsid w:val="002D5937"/>
    <w:rsid w:val="002D5950"/>
    <w:rsid w:val="002D5980"/>
    <w:rsid w:val="002D59E7"/>
    <w:rsid w:val="002D5A14"/>
    <w:rsid w:val="002D5A36"/>
    <w:rsid w:val="002D5A50"/>
    <w:rsid w:val="002D5B2F"/>
    <w:rsid w:val="002D5B3F"/>
    <w:rsid w:val="002D5B8D"/>
    <w:rsid w:val="002D5B8F"/>
    <w:rsid w:val="002D5BDD"/>
    <w:rsid w:val="002D5C71"/>
    <w:rsid w:val="002D5D0B"/>
    <w:rsid w:val="002D5D34"/>
    <w:rsid w:val="002D5DC7"/>
    <w:rsid w:val="002D5E19"/>
    <w:rsid w:val="002D5E84"/>
    <w:rsid w:val="002D5F53"/>
    <w:rsid w:val="002D604D"/>
    <w:rsid w:val="002D60EF"/>
    <w:rsid w:val="002D6145"/>
    <w:rsid w:val="002D6151"/>
    <w:rsid w:val="002D619C"/>
    <w:rsid w:val="002D61F7"/>
    <w:rsid w:val="002D621F"/>
    <w:rsid w:val="002D62E9"/>
    <w:rsid w:val="002D6375"/>
    <w:rsid w:val="002D63DD"/>
    <w:rsid w:val="002D63EC"/>
    <w:rsid w:val="002D6417"/>
    <w:rsid w:val="002D6516"/>
    <w:rsid w:val="002D6519"/>
    <w:rsid w:val="002D6520"/>
    <w:rsid w:val="002D6577"/>
    <w:rsid w:val="002D65F2"/>
    <w:rsid w:val="002D66C5"/>
    <w:rsid w:val="002D673F"/>
    <w:rsid w:val="002D6754"/>
    <w:rsid w:val="002D684C"/>
    <w:rsid w:val="002D6971"/>
    <w:rsid w:val="002D69F2"/>
    <w:rsid w:val="002D6AAF"/>
    <w:rsid w:val="002D6AC4"/>
    <w:rsid w:val="002D6B60"/>
    <w:rsid w:val="002D6B6D"/>
    <w:rsid w:val="002D6B96"/>
    <w:rsid w:val="002D6C19"/>
    <w:rsid w:val="002D6C9D"/>
    <w:rsid w:val="002D6DC3"/>
    <w:rsid w:val="002D6E26"/>
    <w:rsid w:val="002D6F21"/>
    <w:rsid w:val="002D6F34"/>
    <w:rsid w:val="002D6FB0"/>
    <w:rsid w:val="002D7017"/>
    <w:rsid w:val="002D7025"/>
    <w:rsid w:val="002D70C9"/>
    <w:rsid w:val="002D7176"/>
    <w:rsid w:val="002D71C5"/>
    <w:rsid w:val="002D728F"/>
    <w:rsid w:val="002D73F1"/>
    <w:rsid w:val="002D74AE"/>
    <w:rsid w:val="002D74BF"/>
    <w:rsid w:val="002D74E3"/>
    <w:rsid w:val="002D761D"/>
    <w:rsid w:val="002D7663"/>
    <w:rsid w:val="002D76D0"/>
    <w:rsid w:val="002D76D1"/>
    <w:rsid w:val="002D773E"/>
    <w:rsid w:val="002D779D"/>
    <w:rsid w:val="002D77A0"/>
    <w:rsid w:val="002D77C1"/>
    <w:rsid w:val="002D7839"/>
    <w:rsid w:val="002D7873"/>
    <w:rsid w:val="002D787D"/>
    <w:rsid w:val="002D78DA"/>
    <w:rsid w:val="002D78F9"/>
    <w:rsid w:val="002D7A00"/>
    <w:rsid w:val="002D7A24"/>
    <w:rsid w:val="002D7A45"/>
    <w:rsid w:val="002D7AD4"/>
    <w:rsid w:val="002D7BF3"/>
    <w:rsid w:val="002D7CB1"/>
    <w:rsid w:val="002D7D58"/>
    <w:rsid w:val="002D7D67"/>
    <w:rsid w:val="002D7DB7"/>
    <w:rsid w:val="002D7DD8"/>
    <w:rsid w:val="002D7DF6"/>
    <w:rsid w:val="002D7E4C"/>
    <w:rsid w:val="002D7F3B"/>
    <w:rsid w:val="002E00A6"/>
    <w:rsid w:val="002E00D3"/>
    <w:rsid w:val="002E01B2"/>
    <w:rsid w:val="002E01F6"/>
    <w:rsid w:val="002E024F"/>
    <w:rsid w:val="002E0335"/>
    <w:rsid w:val="002E033A"/>
    <w:rsid w:val="002E03B5"/>
    <w:rsid w:val="002E03C4"/>
    <w:rsid w:val="002E03D5"/>
    <w:rsid w:val="002E03F4"/>
    <w:rsid w:val="002E040A"/>
    <w:rsid w:val="002E04BC"/>
    <w:rsid w:val="002E04D8"/>
    <w:rsid w:val="002E056C"/>
    <w:rsid w:val="002E05EF"/>
    <w:rsid w:val="002E061A"/>
    <w:rsid w:val="002E0658"/>
    <w:rsid w:val="002E06E3"/>
    <w:rsid w:val="002E06FB"/>
    <w:rsid w:val="002E070D"/>
    <w:rsid w:val="002E071B"/>
    <w:rsid w:val="002E0739"/>
    <w:rsid w:val="002E0754"/>
    <w:rsid w:val="002E0892"/>
    <w:rsid w:val="002E08E4"/>
    <w:rsid w:val="002E08FC"/>
    <w:rsid w:val="002E09B9"/>
    <w:rsid w:val="002E09D7"/>
    <w:rsid w:val="002E0A55"/>
    <w:rsid w:val="002E0C11"/>
    <w:rsid w:val="002E0C55"/>
    <w:rsid w:val="002E0C63"/>
    <w:rsid w:val="002E0D18"/>
    <w:rsid w:val="002E0D2D"/>
    <w:rsid w:val="002E0D4F"/>
    <w:rsid w:val="002E0D61"/>
    <w:rsid w:val="002E0E0F"/>
    <w:rsid w:val="002E0E6F"/>
    <w:rsid w:val="002E0E9C"/>
    <w:rsid w:val="002E0EDF"/>
    <w:rsid w:val="002E0F0E"/>
    <w:rsid w:val="002E0F91"/>
    <w:rsid w:val="002E0F97"/>
    <w:rsid w:val="002E0FB9"/>
    <w:rsid w:val="002E1173"/>
    <w:rsid w:val="002E1343"/>
    <w:rsid w:val="002E13A3"/>
    <w:rsid w:val="002E140F"/>
    <w:rsid w:val="002E1416"/>
    <w:rsid w:val="002E152B"/>
    <w:rsid w:val="002E154C"/>
    <w:rsid w:val="002E155C"/>
    <w:rsid w:val="002E157E"/>
    <w:rsid w:val="002E15A7"/>
    <w:rsid w:val="002E15BB"/>
    <w:rsid w:val="002E15F1"/>
    <w:rsid w:val="002E1619"/>
    <w:rsid w:val="002E1665"/>
    <w:rsid w:val="002E16D2"/>
    <w:rsid w:val="002E17AE"/>
    <w:rsid w:val="002E17F6"/>
    <w:rsid w:val="002E1822"/>
    <w:rsid w:val="002E18D2"/>
    <w:rsid w:val="002E18D4"/>
    <w:rsid w:val="002E19EA"/>
    <w:rsid w:val="002E19FF"/>
    <w:rsid w:val="002E1A37"/>
    <w:rsid w:val="002E1A3A"/>
    <w:rsid w:val="002E1A85"/>
    <w:rsid w:val="002E1AFD"/>
    <w:rsid w:val="002E1B43"/>
    <w:rsid w:val="002E1BAE"/>
    <w:rsid w:val="002E1CB2"/>
    <w:rsid w:val="002E1CD2"/>
    <w:rsid w:val="002E1CDB"/>
    <w:rsid w:val="002E1DBE"/>
    <w:rsid w:val="002E1DF1"/>
    <w:rsid w:val="002E1E13"/>
    <w:rsid w:val="002E1E22"/>
    <w:rsid w:val="002E1E4B"/>
    <w:rsid w:val="002E1E57"/>
    <w:rsid w:val="002E1E83"/>
    <w:rsid w:val="002E1E90"/>
    <w:rsid w:val="002E1EAE"/>
    <w:rsid w:val="002E1EC2"/>
    <w:rsid w:val="002E1EEC"/>
    <w:rsid w:val="002E1F58"/>
    <w:rsid w:val="002E1F67"/>
    <w:rsid w:val="002E1FEE"/>
    <w:rsid w:val="002E200D"/>
    <w:rsid w:val="002E2066"/>
    <w:rsid w:val="002E20EC"/>
    <w:rsid w:val="002E211C"/>
    <w:rsid w:val="002E214E"/>
    <w:rsid w:val="002E217B"/>
    <w:rsid w:val="002E21EF"/>
    <w:rsid w:val="002E21FF"/>
    <w:rsid w:val="002E22AB"/>
    <w:rsid w:val="002E22B7"/>
    <w:rsid w:val="002E22C8"/>
    <w:rsid w:val="002E2319"/>
    <w:rsid w:val="002E2341"/>
    <w:rsid w:val="002E234F"/>
    <w:rsid w:val="002E239D"/>
    <w:rsid w:val="002E23C7"/>
    <w:rsid w:val="002E23EC"/>
    <w:rsid w:val="002E240D"/>
    <w:rsid w:val="002E243B"/>
    <w:rsid w:val="002E24B4"/>
    <w:rsid w:val="002E24D6"/>
    <w:rsid w:val="002E2619"/>
    <w:rsid w:val="002E2694"/>
    <w:rsid w:val="002E27CD"/>
    <w:rsid w:val="002E27EC"/>
    <w:rsid w:val="002E28D5"/>
    <w:rsid w:val="002E2971"/>
    <w:rsid w:val="002E2A3D"/>
    <w:rsid w:val="002E2AAD"/>
    <w:rsid w:val="002E2BBF"/>
    <w:rsid w:val="002E2BE2"/>
    <w:rsid w:val="002E2C3F"/>
    <w:rsid w:val="002E2C43"/>
    <w:rsid w:val="002E2C5E"/>
    <w:rsid w:val="002E2C7B"/>
    <w:rsid w:val="002E2DE2"/>
    <w:rsid w:val="002E2E0B"/>
    <w:rsid w:val="002E2E16"/>
    <w:rsid w:val="002E2E86"/>
    <w:rsid w:val="002E2EB5"/>
    <w:rsid w:val="002E2EFB"/>
    <w:rsid w:val="002E2F40"/>
    <w:rsid w:val="002E2F5D"/>
    <w:rsid w:val="002E2F6D"/>
    <w:rsid w:val="002E2F91"/>
    <w:rsid w:val="002E2FA8"/>
    <w:rsid w:val="002E2FC3"/>
    <w:rsid w:val="002E300F"/>
    <w:rsid w:val="002E3121"/>
    <w:rsid w:val="002E313D"/>
    <w:rsid w:val="002E319E"/>
    <w:rsid w:val="002E31E7"/>
    <w:rsid w:val="002E3236"/>
    <w:rsid w:val="002E3288"/>
    <w:rsid w:val="002E32BF"/>
    <w:rsid w:val="002E32EF"/>
    <w:rsid w:val="002E32F0"/>
    <w:rsid w:val="002E32F5"/>
    <w:rsid w:val="002E3361"/>
    <w:rsid w:val="002E3634"/>
    <w:rsid w:val="002E365B"/>
    <w:rsid w:val="002E36B7"/>
    <w:rsid w:val="002E36F5"/>
    <w:rsid w:val="002E3701"/>
    <w:rsid w:val="002E3706"/>
    <w:rsid w:val="002E3709"/>
    <w:rsid w:val="002E372D"/>
    <w:rsid w:val="002E399C"/>
    <w:rsid w:val="002E3A2C"/>
    <w:rsid w:val="002E3AB8"/>
    <w:rsid w:val="002E3AE3"/>
    <w:rsid w:val="002E3AF5"/>
    <w:rsid w:val="002E3B38"/>
    <w:rsid w:val="002E3C75"/>
    <w:rsid w:val="002E3D30"/>
    <w:rsid w:val="002E3D63"/>
    <w:rsid w:val="002E3D75"/>
    <w:rsid w:val="002E3EDA"/>
    <w:rsid w:val="002E3F01"/>
    <w:rsid w:val="002E40BB"/>
    <w:rsid w:val="002E40CA"/>
    <w:rsid w:val="002E412D"/>
    <w:rsid w:val="002E4132"/>
    <w:rsid w:val="002E437C"/>
    <w:rsid w:val="002E4385"/>
    <w:rsid w:val="002E43F3"/>
    <w:rsid w:val="002E45B1"/>
    <w:rsid w:val="002E46A4"/>
    <w:rsid w:val="002E46EC"/>
    <w:rsid w:val="002E474E"/>
    <w:rsid w:val="002E4794"/>
    <w:rsid w:val="002E490A"/>
    <w:rsid w:val="002E4918"/>
    <w:rsid w:val="002E4927"/>
    <w:rsid w:val="002E4933"/>
    <w:rsid w:val="002E495A"/>
    <w:rsid w:val="002E4970"/>
    <w:rsid w:val="002E4A16"/>
    <w:rsid w:val="002E4A39"/>
    <w:rsid w:val="002E4AB4"/>
    <w:rsid w:val="002E4AE1"/>
    <w:rsid w:val="002E4C6E"/>
    <w:rsid w:val="002E4D17"/>
    <w:rsid w:val="002E4D1B"/>
    <w:rsid w:val="002E4D21"/>
    <w:rsid w:val="002E4D90"/>
    <w:rsid w:val="002E4DB5"/>
    <w:rsid w:val="002E4DDE"/>
    <w:rsid w:val="002E4EF2"/>
    <w:rsid w:val="002E50A9"/>
    <w:rsid w:val="002E50E3"/>
    <w:rsid w:val="002E50ED"/>
    <w:rsid w:val="002E5136"/>
    <w:rsid w:val="002E5137"/>
    <w:rsid w:val="002E5160"/>
    <w:rsid w:val="002E5267"/>
    <w:rsid w:val="002E531E"/>
    <w:rsid w:val="002E5324"/>
    <w:rsid w:val="002E5343"/>
    <w:rsid w:val="002E53AE"/>
    <w:rsid w:val="002E53D9"/>
    <w:rsid w:val="002E5557"/>
    <w:rsid w:val="002E5605"/>
    <w:rsid w:val="002E5613"/>
    <w:rsid w:val="002E56D3"/>
    <w:rsid w:val="002E57A0"/>
    <w:rsid w:val="002E57B3"/>
    <w:rsid w:val="002E582D"/>
    <w:rsid w:val="002E5873"/>
    <w:rsid w:val="002E58AC"/>
    <w:rsid w:val="002E58BB"/>
    <w:rsid w:val="002E596D"/>
    <w:rsid w:val="002E59DB"/>
    <w:rsid w:val="002E5A26"/>
    <w:rsid w:val="002E5A5B"/>
    <w:rsid w:val="002E5AB1"/>
    <w:rsid w:val="002E5CBF"/>
    <w:rsid w:val="002E5CE0"/>
    <w:rsid w:val="002E5CF9"/>
    <w:rsid w:val="002E5DD8"/>
    <w:rsid w:val="002E5E1D"/>
    <w:rsid w:val="002E5E4A"/>
    <w:rsid w:val="002E5F19"/>
    <w:rsid w:val="002E5F7F"/>
    <w:rsid w:val="002E6008"/>
    <w:rsid w:val="002E60DE"/>
    <w:rsid w:val="002E611C"/>
    <w:rsid w:val="002E614B"/>
    <w:rsid w:val="002E617C"/>
    <w:rsid w:val="002E62A8"/>
    <w:rsid w:val="002E62F8"/>
    <w:rsid w:val="002E6325"/>
    <w:rsid w:val="002E63D4"/>
    <w:rsid w:val="002E6486"/>
    <w:rsid w:val="002E64CC"/>
    <w:rsid w:val="002E64F9"/>
    <w:rsid w:val="002E6545"/>
    <w:rsid w:val="002E659D"/>
    <w:rsid w:val="002E65DE"/>
    <w:rsid w:val="002E6614"/>
    <w:rsid w:val="002E6625"/>
    <w:rsid w:val="002E6731"/>
    <w:rsid w:val="002E6768"/>
    <w:rsid w:val="002E676B"/>
    <w:rsid w:val="002E67F4"/>
    <w:rsid w:val="002E6818"/>
    <w:rsid w:val="002E682E"/>
    <w:rsid w:val="002E6884"/>
    <w:rsid w:val="002E6938"/>
    <w:rsid w:val="002E6A4A"/>
    <w:rsid w:val="002E6A55"/>
    <w:rsid w:val="002E6A7A"/>
    <w:rsid w:val="002E6B2F"/>
    <w:rsid w:val="002E6B72"/>
    <w:rsid w:val="002E6BAF"/>
    <w:rsid w:val="002E6C25"/>
    <w:rsid w:val="002E6C83"/>
    <w:rsid w:val="002E6DA1"/>
    <w:rsid w:val="002E6DA5"/>
    <w:rsid w:val="002E6DB2"/>
    <w:rsid w:val="002E6EBB"/>
    <w:rsid w:val="002E6ED7"/>
    <w:rsid w:val="002E6EDA"/>
    <w:rsid w:val="002E6F2F"/>
    <w:rsid w:val="002E6F8D"/>
    <w:rsid w:val="002E6F97"/>
    <w:rsid w:val="002E6FC1"/>
    <w:rsid w:val="002E6FDF"/>
    <w:rsid w:val="002E7029"/>
    <w:rsid w:val="002E706B"/>
    <w:rsid w:val="002E707B"/>
    <w:rsid w:val="002E70AC"/>
    <w:rsid w:val="002E717E"/>
    <w:rsid w:val="002E7194"/>
    <w:rsid w:val="002E7247"/>
    <w:rsid w:val="002E725F"/>
    <w:rsid w:val="002E728B"/>
    <w:rsid w:val="002E72C3"/>
    <w:rsid w:val="002E72E3"/>
    <w:rsid w:val="002E7398"/>
    <w:rsid w:val="002E741C"/>
    <w:rsid w:val="002E7424"/>
    <w:rsid w:val="002E7484"/>
    <w:rsid w:val="002E7486"/>
    <w:rsid w:val="002E74EE"/>
    <w:rsid w:val="002E7568"/>
    <w:rsid w:val="002E75F4"/>
    <w:rsid w:val="002E761B"/>
    <w:rsid w:val="002E763D"/>
    <w:rsid w:val="002E7658"/>
    <w:rsid w:val="002E7742"/>
    <w:rsid w:val="002E775D"/>
    <w:rsid w:val="002E778E"/>
    <w:rsid w:val="002E77B3"/>
    <w:rsid w:val="002E77EE"/>
    <w:rsid w:val="002E7816"/>
    <w:rsid w:val="002E783F"/>
    <w:rsid w:val="002E7844"/>
    <w:rsid w:val="002E78B4"/>
    <w:rsid w:val="002E78B6"/>
    <w:rsid w:val="002E7937"/>
    <w:rsid w:val="002E79DC"/>
    <w:rsid w:val="002E79EA"/>
    <w:rsid w:val="002E7A09"/>
    <w:rsid w:val="002E7A2A"/>
    <w:rsid w:val="002E7A39"/>
    <w:rsid w:val="002E7A7C"/>
    <w:rsid w:val="002E7A8B"/>
    <w:rsid w:val="002E7CEF"/>
    <w:rsid w:val="002E7CF9"/>
    <w:rsid w:val="002E7D1A"/>
    <w:rsid w:val="002E7D45"/>
    <w:rsid w:val="002E7D68"/>
    <w:rsid w:val="002E7DCD"/>
    <w:rsid w:val="002E7DE6"/>
    <w:rsid w:val="002E7E04"/>
    <w:rsid w:val="002E7E0C"/>
    <w:rsid w:val="002E7E62"/>
    <w:rsid w:val="002E7E71"/>
    <w:rsid w:val="002E7F14"/>
    <w:rsid w:val="002F0003"/>
    <w:rsid w:val="002F003D"/>
    <w:rsid w:val="002F00A6"/>
    <w:rsid w:val="002F00C7"/>
    <w:rsid w:val="002F011C"/>
    <w:rsid w:val="002F015A"/>
    <w:rsid w:val="002F018F"/>
    <w:rsid w:val="002F029D"/>
    <w:rsid w:val="002F0311"/>
    <w:rsid w:val="002F0454"/>
    <w:rsid w:val="002F0557"/>
    <w:rsid w:val="002F056E"/>
    <w:rsid w:val="002F057D"/>
    <w:rsid w:val="002F05E0"/>
    <w:rsid w:val="002F0858"/>
    <w:rsid w:val="002F08BD"/>
    <w:rsid w:val="002F0A7A"/>
    <w:rsid w:val="002F0A87"/>
    <w:rsid w:val="002F0AC9"/>
    <w:rsid w:val="002F0AD0"/>
    <w:rsid w:val="002F0B16"/>
    <w:rsid w:val="002F0B23"/>
    <w:rsid w:val="002F0B9F"/>
    <w:rsid w:val="002F0CA5"/>
    <w:rsid w:val="002F0CDD"/>
    <w:rsid w:val="002F0EEF"/>
    <w:rsid w:val="002F0F5B"/>
    <w:rsid w:val="002F100D"/>
    <w:rsid w:val="002F114E"/>
    <w:rsid w:val="002F11B2"/>
    <w:rsid w:val="002F11BA"/>
    <w:rsid w:val="002F11FB"/>
    <w:rsid w:val="002F12AF"/>
    <w:rsid w:val="002F12F1"/>
    <w:rsid w:val="002F1400"/>
    <w:rsid w:val="002F142F"/>
    <w:rsid w:val="002F146F"/>
    <w:rsid w:val="002F1482"/>
    <w:rsid w:val="002F14EB"/>
    <w:rsid w:val="002F1529"/>
    <w:rsid w:val="002F158A"/>
    <w:rsid w:val="002F15B0"/>
    <w:rsid w:val="002F15F3"/>
    <w:rsid w:val="002F169C"/>
    <w:rsid w:val="002F16B8"/>
    <w:rsid w:val="002F1757"/>
    <w:rsid w:val="002F1769"/>
    <w:rsid w:val="002F17E4"/>
    <w:rsid w:val="002F1856"/>
    <w:rsid w:val="002F1864"/>
    <w:rsid w:val="002F1875"/>
    <w:rsid w:val="002F1988"/>
    <w:rsid w:val="002F1A4D"/>
    <w:rsid w:val="002F1A90"/>
    <w:rsid w:val="002F1A98"/>
    <w:rsid w:val="002F1AF9"/>
    <w:rsid w:val="002F1B46"/>
    <w:rsid w:val="002F1C0D"/>
    <w:rsid w:val="002F1C9B"/>
    <w:rsid w:val="002F1CC5"/>
    <w:rsid w:val="002F1CEC"/>
    <w:rsid w:val="002F1DF3"/>
    <w:rsid w:val="002F1F0F"/>
    <w:rsid w:val="002F1F58"/>
    <w:rsid w:val="002F1FB0"/>
    <w:rsid w:val="002F1FC8"/>
    <w:rsid w:val="002F203F"/>
    <w:rsid w:val="002F20CA"/>
    <w:rsid w:val="002F20D0"/>
    <w:rsid w:val="002F20D7"/>
    <w:rsid w:val="002F20E0"/>
    <w:rsid w:val="002F20EF"/>
    <w:rsid w:val="002F21E2"/>
    <w:rsid w:val="002F22AD"/>
    <w:rsid w:val="002F2378"/>
    <w:rsid w:val="002F2421"/>
    <w:rsid w:val="002F2459"/>
    <w:rsid w:val="002F24A5"/>
    <w:rsid w:val="002F24B2"/>
    <w:rsid w:val="002F24E9"/>
    <w:rsid w:val="002F2536"/>
    <w:rsid w:val="002F263E"/>
    <w:rsid w:val="002F26D3"/>
    <w:rsid w:val="002F26E3"/>
    <w:rsid w:val="002F2732"/>
    <w:rsid w:val="002F2741"/>
    <w:rsid w:val="002F2772"/>
    <w:rsid w:val="002F27E6"/>
    <w:rsid w:val="002F2855"/>
    <w:rsid w:val="002F2929"/>
    <w:rsid w:val="002F293D"/>
    <w:rsid w:val="002F2A23"/>
    <w:rsid w:val="002F2A28"/>
    <w:rsid w:val="002F2A61"/>
    <w:rsid w:val="002F2AE8"/>
    <w:rsid w:val="002F2B60"/>
    <w:rsid w:val="002F2C24"/>
    <w:rsid w:val="002F2CAA"/>
    <w:rsid w:val="002F2D8E"/>
    <w:rsid w:val="002F2D9D"/>
    <w:rsid w:val="002F2F90"/>
    <w:rsid w:val="002F30F6"/>
    <w:rsid w:val="002F31DD"/>
    <w:rsid w:val="002F323B"/>
    <w:rsid w:val="002F324C"/>
    <w:rsid w:val="002F3268"/>
    <w:rsid w:val="002F3274"/>
    <w:rsid w:val="002F336C"/>
    <w:rsid w:val="002F338D"/>
    <w:rsid w:val="002F3399"/>
    <w:rsid w:val="002F3553"/>
    <w:rsid w:val="002F357A"/>
    <w:rsid w:val="002F357B"/>
    <w:rsid w:val="002F35D5"/>
    <w:rsid w:val="002F360B"/>
    <w:rsid w:val="002F3683"/>
    <w:rsid w:val="002F36C2"/>
    <w:rsid w:val="002F36D3"/>
    <w:rsid w:val="002F37BE"/>
    <w:rsid w:val="002F3829"/>
    <w:rsid w:val="002F386A"/>
    <w:rsid w:val="002F38FA"/>
    <w:rsid w:val="002F3924"/>
    <w:rsid w:val="002F3975"/>
    <w:rsid w:val="002F3989"/>
    <w:rsid w:val="002F39B5"/>
    <w:rsid w:val="002F39FF"/>
    <w:rsid w:val="002F3A56"/>
    <w:rsid w:val="002F3AF0"/>
    <w:rsid w:val="002F3AFF"/>
    <w:rsid w:val="002F3B08"/>
    <w:rsid w:val="002F3B9D"/>
    <w:rsid w:val="002F3BB5"/>
    <w:rsid w:val="002F3CBD"/>
    <w:rsid w:val="002F3D7C"/>
    <w:rsid w:val="002F3D8A"/>
    <w:rsid w:val="002F3D8D"/>
    <w:rsid w:val="002F3DA4"/>
    <w:rsid w:val="002F3E42"/>
    <w:rsid w:val="002F3E70"/>
    <w:rsid w:val="002F3E73"/>
    <w:rsid w:val="002F3EBE"/>
    <w:rsid w:val="002F3EEC"/>
    <w:rsid w:val="002F3EFC"/>
    <w:rsid w:val="002F3F05"/>
    <w:rsid w:val="002F3FAD"/>
    <w:rsid w:val="002F4036"/>
    <w:rsid w:val="002F40C4"/>
    <w:rsid w:val="002F412B"/>
    <w:rsid w:val="002F41B5"/>
    <w:rsid w:val="002F4235"/>
    <w:rsid w:val="002F428F"/>
    <w:rsid w:val="002F43AF"/>
    <w:rsid w:val="002F449D"/>
    <w:rsid w:val="002F44E8"/>
    <w:rsid w:val="002F4534"/>
    <w:rsid w:val="002F4645"/>
    <w:rsid w:val="002F4696"/>
    <w:rsid w:val="002F4720"/>
    <w:rsid w:val="002F472B"/>
    <w:rsid w:val="002F478D"/>
    <w:rsid w:val="002F47E8"/>
    <w:rsid w:val="002F4886"/>
    <w:rsid w:val="002F48D3"/>
    <w:rsid w:val="002F490A"/>
    <w:rsid w:val="002F49A5"/>
    <w:rsid w:val="002F4A40"/>
    <w:rsid w:val="002F4A47"/>
    <w:rsid w:val="002F4AB6"/>
    <w:rsid w:val="002F4B41"/>
    <w:rsid w:val="002F4BA1"/>
    <w:rsid w:val="002F4BFB"/>
    <w:rsid w:val="002F4C90"/>
    <w:rsid w:val="002F4CC4"/>
    <w:rsid w:val="002F4D22"/>
    <w:rsid w:val="002F4D51"/>
    <w:rsid w:val="002F4EAE"/>
    <w:rsid w:val="002F4F2D"/>
    <w:rsid w:val="002F4F82"/>
    <w:rsid w:val="002F5050"/>
    <w:rsid w:val="002F506F"/>
    <w:rsid w:val="002F508F"/>
    <w:rsid w:val="002F50CB"/>
    <w:rsid w:val="002F5169"/>
    <w:rsid w:val="002F51AA"/>
    <w:rsid w:val="002F51E5"/>
    <w:rsid w:val="002F5248"/>
    <w:rsid w:val="002F529A"/>
    <w:rsid w:val="002F52AA"/>
    <w:rsid w:val="002F53C9"/>
    <w:rsid w:val="002F5448"/>
    <w:rsid w:val="002F5467"/>
    <w:rsid w:val="002F54C5"/>
    <w:rsid w:val="002F54FB"/>
    <w:rsid w:val="002F558F"/>
    <w:rsid w:val="002F55F4"/>
    <w:rsid w:val="002F56C8"/>
    <w:rsid w:val="002F5711"/>
    <w:rsid w:val="002F5733"/>
    <w:rsid w:val="002F577F"/>
    <w:rsid w:val="002F580F"/>
    <w:rsid w:val="002F5998"/>
    <w:rsid w:val="002F5A3E"/>
    <w:rsid w:val="002F5B4D"/>
    <w:rsid w:val="002F5B6F"/>
    <w:rsid w:val="002F5BB1"/>
    <w:rsid w:val="002F5BB6"/>
    <w:rsid w:val="002F5C0D"/>
    <w:rsid w:val="002F5C62"/>
    <w:rsid w:val="002F5C6E"/>
    <w:rsid w:val="002F5C95"/>
    <w:rsid w:val="002F5CBB"/>
    <w:rsid w:val="002F5DA6"/>
    <w:rsid w:val="002F5DF8"/>
    <w:rsid w:val="002F5DFA"/>
    <w:rsid w:val="002F5E60"/>
    <w:rsid w:val="002F5EB5"/>
    <w:rsid w:val="002F5EBB"/>
    <w:rsid w:val="002F5EF5"/>
    <w:rsid w:val="002F5F37"/>
    <w:rsid w:val="002F5F5E"/>
    <w:rsid w:val="002F6028"/>
    <w:rsid w:val="002F613B"/>
    <w:rsid w:val="002F613D"/>
    <w:rsid w:val="002F6142"/>
    <w:rsid w:val="002F617A"/>
    <w:rsid w:val="002F61D5"/>
    <w:rsid w:val="002F6249"/>
    <w:rsid w:val="002F6279"/>
    <w:rsid w:val="002F637E"/>
    <w:rsid w:val="002F6391"/>
    <w:rsid w:val="002F63A1"/>
    <w:rsid w:val="002F63CF"/>
    <w:rsid w:val="002F6458"/>
    <w:rsid w:val="002F64F1"/>
    <w:rsid w:val="002F6585"/>
    <w:rsid w:val="002F66A3"/>
    <w:rsid w:val="002F6718"/>
    <w:rsid w:val="002F676A"/>
    <w:rsid w:val="002F67FD"/>
    <w:rsid w:val="002F68DB"/>
    <w:rsid w:val="002F6966"/>
    <w:rsid w:val="002F6AD2"/>
    <w:rsid w:val="002F6AF9"/>
    <w:rsid w:val="002F6B3D"/>
    <w:rsid w:val="002F6C26"/>
    <w:rsid w:val="002F6C52"/>
    <w:rsid w:val="002F6CC9"/>
    <w:rsid w:val="002F6D54"/>
    <w:rsid w:val="002F6D87"/>
    <w:rsid w:val="002F6DC2"/>
    <w:rsid w:val="002F6E37"/>
    <w:rsid w:val="002F6EA8"/>
    <w:rsid w:val="002F6F28"/>
    <w:rsid w:val="002F6F98"/>
    <w:rsid w:val="002F6FDD"/>
    <w:rsid w:val="002F708D"/>
    <w:rsid w:val="002F70DA"/>
    <w:rsid w:val="002F70E9"/>
    <w:rsid w:val="002F7532"/>
    <w:rsid w:val="002F75A1"/>
    <w:rsid w:val="002F75A5"/>
    <w:rsid w:val="002F75C7"/>
    <w:rsid w:val="002F75F9"/>
    <w:rsid w:val="002F7625"/>
    <w:rsid w:val="002F7700"/>
    <w:rsid w:val="002F7741"/>
    <w:rsid w:val="002F7753"/>
    <w:rsid w:val="002F7913"/>
    <w:rsid w:val="002F795C"/>
    <w:rsid w:val="002F797B"/>
    <w:rsid w:val="002F7A56"/>
    <w:rsid w:val="002F7ABE"/>
    <w:rsid w:val="002F7AC7"/>
    <w:rsid w:val="002F7AED"/>
    <w:rsid w:val="002F7AFE"/>
    <w:rsid w:val="002F7B42"/>
    <w:rsid w:val="002F7B95"/>
    <w:rsid w:val="002F7CC3"/>
    <w:rsid w:val="002F7D3B"/>
    <w:rsid w:val="002F7D3E"/>
    <w:rsid w:val="002F7D7C"/>
    <w:rsid w:val="002F7DAF"/>
    <w:rsid w:val="002F7DB7"/>
    <w:rsid w:val="002F7ECA"/>
    <w:rsid w:val="002F7ED9"/>
    <w:rsid w:val="002F7EFB"/>
    <w:rsid w:val="002F7F8D"/>
    <w:rsid w:val="002F7FCE"/>
    <w:rsid w:val="002F7FED"/>
    <w:rsid w:val="0030001E"/>
    <w:rsid w:val="00300024"/>
    <w:rsid w:val="003000DC"/>
    <w:rsid w:val="0030010E"/>
    <w:rsid w:val="00300125"/>
    <w:rsid w:val="0030016C"/>
    <w:rsid w:val="003001EE"/>
    <w:rsid w:val="0030038B"/>
    <w:rsid w:val="003004AF"/>
    <w:rsid w:val="0030055B"/>
    <w:rsid w:val="003005D0"/>
    <w:rsid w:val="0030062C"/>
    <w:rsid w:val="0030063E"/>
    <w:rsid w:val="00300701"/>
    <w:rsid w:val="00300889"/>
    <w:rsid w:val="003008F2"/>
    <w:rsid w:val="00300979"/>
    <w:rsid w:val="0030097C"/>
    <w:rsid w:val="003009B2"/>
    <w:rsid w:val="00300A04"/>
    <w:rsid w:val="00300A68"/>
    <w:rsid w:val="00300BF7"/>
    <w:rsid w:val="00300BFE"/>
    <w:rsid w:val="00300CE2"/>
    <w:rsid w:val="00300D3D"/>
    <w:rsid w:val="00300D52"/>
    <w:rsid w:val="00300DCD"/>
    <w:rsid w:val="00300E84"/>
    <w:rsid w:val="00300E91"/>
    <w:rsid w:val="00300F0B"/>
    <w:rsid w:val="00300FCF"/>
    <w:rsid w:val="00300FDF"/>
    <w:rsid w:val="00301083"/>
    <w:rsid w:val="00301125"/>
    <w:rsid w:val="0030118C"/>
    <w:rsid w:val="003011FC"/>
    <w:rsid w:val="0030120C"/>
    <w:rsid w:val="00301253"/>
    <w:rsid w:val="0030131D"/>
    <w:rsid w:val="00301380"/>
    <w:rsid w:val="003013CB"/>
    <w:rsid w:val="00301566"/>
    <w:rsid w:val="003015F1"/>
    <w:rsid w:val="00301624"/>
    <w:rsid w:val="003016BD"/>
    <w:rsid w:val="003016E4"/>
    <w:rsid w:val="00301766"/>
    <w:rsid w:val="003017F7"/>
    <w:rsid w:val="00301800"/>
    <w:rsid w:val="003018B3"/>
    <w:rsid w:val="003019D6"/>
    <w:rsid w:val="003019E5"/>
    <w:rsid w:val="003019EA"/>
    <w:rsid w:val="003019F9"/>
    <w:rsid w:val="003019FA"/>
    <w:rsid w:val="00301A02"/>
    <w:rsid w:val="00301A05"/>
    <w:rsid w:val="00301A2D"/>
    <w:rsid w:val="00301AAC"/>
    <w:rsid w:val="00301B53"/>
    <w:rsid w:val="00301BDF"/>
    <w:rsid w:val="00301CE6"/>
    <w:rsid w:val="00301D29"/>
    <w:rsid w:val="00301D53"/>
    <w:rsid w:val="00301E3C"/>
    <w:rsid w:val="00301E4D"/>
    <w:rsid w:val="00301E6E"/>
    <w:rsid w:val="00301ED0"/>
    <w:rsid w:val="00301EF8"/>
    <w:rsid w:val="00301FFE"/>
    <w:rsid w:val="003020A1"/>
    <w:rsid w:val="003020CA"/>
    <w:rsid w:val="003020D1"/>
    <w:rsid w:val="003020D6"/>
    <w:rsid w:val="00302101"/>
    <w:rsid w:val="00302103"/>
    <w:rsid w:val="00302161"/>
    <w:rsid w:val="003021EC"/>
    <w:rsid w:val="0030221A"/>
    <w:rsid w:val="0030224A"/>
    <w:rsid w:val="003022F0"/>
    <w:rsid w:val="0030234F"/>
    <w:rsid w:val="0030236B"/>
    <w:rsid w:val="003023C8"/>
    <w:rsid w:val="003023E8"/>
    <w:rsid w:val="0030240C"/>
    <w:rsid w:val="0030241F"/>
    <w:rsid w:val="0030242D"/>
    <w:rsid w:val="00302441"/>
    <w:rsid w:val="00302447"/>
    <w:rsid w:val="00302470"/>
    <w:rsid w:val="0030247C"/>
    <w:rsid w:val="003024DB"/>
    <w:rsid w:val="00302567"/>
    <w:rsid w:val="003025A1"/>
    <w:rsid w:val="003025A3"/>
    <w:rsid w:val="003026BD"/>
    <w:rsid w:val="0030271D"/>
    <w:rsid w:val="00302721"/>
    <w:rsid w:val="0030284B"/>
    <w:rsid w:val="0030284E"/>
    <w:rsid w:val="003028F2"/>
    <w:rsid w:val="00302947"/>
    <w:rsid w:val="003029A5"/>
    <w:rsid w:val="00302A1D"/>
    <w:rsid w:val="00302A9C"/>
    <w:rsid w:val="00302B00"/>
    <w:rsid w:val="00302B0B"/>
    <w:rsid w:val="00302BC3"/>
    <w:rsid w:val="00302C35"/>
    <w:rsid w:val="00302C89"/>
    <w:rsid w:val="00302C8B"/>
    <w:rsid w:val="00302CD0"/>
    <w:rsid w:val="00302D06"/>
    <w:rsid w:val="00302E26"/>
    <w:rsid w:val="00302E2F"/>
    <w:rsid w:val="00302E58"/>
    <w:rsid w:val="00302E60"/>
    <w:rsid w:val="0030306E"/>
    <w:rsid w:val="00303084"/>
    <w:rsid w:val="003030A3"/>
    <w:rsid w:val="003030C8"/>
    <w:rsid w:val="0030311B"/>
    <w:rsid w:val="0030317F"/>
    <w:rsid w:val="00303228"/>
    <w:rsid w:val="00303285"/>
    <w:rsid w:val="003032B8"/>
    <w:rsid w:val="003034C4"/>
    <w:rsid w:val="003034CD"/>
    <w:rsid w:val="003034FE"/>
    <w:rsid w:val="0030352F"/>
    <w:rsid w:val="003035A6"/>
    <w:rsid w:val="003035A7"/>
    <w:rsid w:val="00303775"/>
    <w:rsid w:val="00303833"/>
    <w:rsid w:val="0030392B"/>
    <w:rsid w:val="0030397A"/>
    <w:rsid w:val="003039EE"/>
    <w:rsid w:val="00303A19"/>
    <w:rsid w:val="00303A1B"/>
    <w:rsid w:val="00303A3A"/>
    <w:rsid w:val="00303A5F"/>
    <w:rsid w:val="00303AAA"/>
    <w:rsid w:val="00303AC7"/>
    <w:rsid w:val="00303BE8"/>
    <w:rsid w:val="00303C2A"/>
    <w:rsid w:val="00303C81"/>
    <w:rsid w:val="00303CD2"/>
    <w:rsid w:val="00303D66"/>
    <w:rsid w:val="00303E18"/>
    <w:rsid w:val="00303E4E"/>
    <w:rsid w:val="00303E87"/>
    <w:rsid w:val="00303E8A"/>
    <w:rsid w:val="00303F21"/>
    <w:rsid w:val="00303F32"/>
    <w:rsid w:val="00303F4F"/>
    <w:rsid w:val="00304092"/>
    <w:rsid w:val="003040D8"/>
    <w:rsid w:val="00304179"/>
    <w:rsid w:val="003041AF"/>
    <w:rsid w:val="003041D0"/>
    <w:rsid w:val="003041F3"/>
    <w:rsid w:val="003042E5"/>
    <w:rsid w:val="00304354"/>
    <w:rsid w:val="0030436F"/>
    <w:rsid w:val="00304389"/>
    <w:rsid w:val="003043B4"/>
    <w:rsid w:val="0030443D"/>
    <w:rsid w:val="00304487"/>
    <w:rsid w:val="0030448B"/>
    <w:rsid w:val="00304536"/>
    <w:rsid w:val="0030457E"/>
    <w:rsid w:val="0030460A"/>
    <w:rsid w:val="00304660"/>
    <w:rsid w:val="0030468F"/>
    <w:rsid w:val="00304704"/>
    <w:rsid w:val="00304787"/>
    <w:rsid w:val="003047A8"/>
    <w:rsid w:val="003047F7"/>
    <w:rsid w:val="003047FB"/>
    <w:rsid w:val="003048A8"/>
    <w:rsid w:val="00304A76"/>
    <w:rsid w:val="00304A8B"/>
    <w:rsid w:val="00304AA5"/>
    <w:rsid w:val="00304ABF"/>
    <w:rsid w:val="00304AD2"/>
    <w:rsid w:val="00304B9D"/>
    <w:rsid w:val="00304BBB"/>
    <w:rsid w:val="00304CDB"/>
    <w:rsid w:val="00304D3C"/>
    <w:rsid w:val="00304D79"/>
    <w:rsid w:val="00304DD4"/>
    <w:rsid w:val="00304DFF"/>
    <w:rsid w:val="00304E07"/>
    <w:rsid w:val="00304E1A"/>
    <w:rsid w:val="00304EE1"/>
    <w:rsid w:val="00304F11"/>
    <w:rsid w:val="00304F4C"/>
    <w:rsid w:val="00304F86"/>
    <w:rsid w:val="00304F8B"/>
    <w:rsid w:val="00305040"/>
    <w:rsid w:val="00305178"/>
    <w:rsid w:val="003051A0"/>
    <w:rsid w:val="003051AE"/>
    <w:rsid w:val="00305247"/>
    <w:rsid w:val="0030534C"/>
    <w:rsid w:val="00305362"/>
    <w:rsid w:val="00305394"/>
    <w:rsid w:val="00305599"/>
    <w:rsid w:val="00305625"/>
    <w:rsid w:val="0030568B"/>
    <w:rsid w:val="003056D4"/>
    <w:rsid w:val="00305719"/>
    <w:rsid w:val="0030572C"/>
    <w:rsid w:val="00305763"/>
    <w:rsid w:val="00305765"/>
    <w:rsid w:val="0030577D"/>
    <w:rsid w:val="0030578D"/>
    <w:rsid w:val="0030582D"/>
    <w:rsid w:val="003058D5"/>
    <w:rsid w:val="003058DD"/>
    <w:rsid w:val="003058F5"/>
    <w:rsid w:val="00305999"/>
    <w:rsid w:val="00305AC6"/>
    <w:rsid w:val="00305B33"/>
    <w:rsid w:val="00305B3F"/>
    <w:rsid w:val="00305B45"/>
    <w:rsid w:val="00305B51"/>
    <w:rsid w:val="00305CB5"/>
    <w:rsid w:val="00305CB8"/>
    <w:rsid w:val="00305CBC"/>
    <w:rsid w:val="00305D25"/>
    <w:rsid w:val="00305D3B"/>
    <w:rsid w:val="00305DD8"/>
    <w:rsid w:val="00305DFC"/>
    <w:rsid w:val="00305E4D"/>
    <w:rsid w:val="00305F1F"/>
    <w:rsid w:val="00305F3F"/>
    <w:rsid w:val="00305F50"/>
    <w:rsid w:val="00305F89"/>
    <w:rsid w:val="00305FB0"/>
    <w:rsid w:val="0030611C"/>
    <w:rsid w:val="00306136"/>
    <w:rsid w:val="003061C5"/>
    <w:rsid w:val="0030628C"/>
    <w:rsid w:val="003062D7"/>
    <w:rsid w:val="003062EC"/>
    <w:rsid w:val="00306317"/>
    <w:rsid w:val="0030638A"/>
    <w:rsid w:val="003063CC"/>
    <w:rsid w:val="003063DD"/>
    <w:rsid w:val="003063E0"/>
    <w:rsid w:val="0030642E"/>
    <w:rsid w:val="0030651D"/>
    <w:rsid w:val="0030654A"/>
    <w:rsid w:val="003065AA"/>
    <w:rsid w:val="003065AF"/>
    <w:rsid w:val="003065D2"/>
    <w:rsid w:val="00306679"/>
    <w:rsid w:val="00306687"/>
    <w:rsid w:val="003066A3"/>
    <w:rsid w:val="003066A8"/>
    <w:rsid w:val="003066D9"/>
    <w:rsid w:val="003067A5"/>
    <w:rsid w:val="00306832"/>
    <w:rsid w:val="00306833"/>
    <w:rsid w:val="0030686C"/>
    <w:rsid w:val="0030687A"/>
    <w:rsid w:val="003068BD"/>
    <w:rsid w:val="003068BE"/>
    <w:rsid w:val="00306A98"/>
    <w:rsid w:val="00306AD2"/>
    <w:rsid w:val="00306B25"/>
    <w:rsid w:val="00306BA8"/>
    <w:rsid w:val="00306C65"/>
    <w:rsid w:val="00306C81"/>
    <w:rsid w:val="00306CEA"/>
    <w:rsid w:val="00306D0A"/>
    <w:rsid w:val="00306DA1"/>
    <w:rsid w:val="00306DA7"/>
    <w:rsid w:val="00306DB6"/>
    <w:rsid w:val="00306F1D"/>
    <w:rsid w:val="00306F57"/>
    <w:rsid w:val="00306F68"/>
    <w:rsid w:val="00306FD5"/>
    <w:rsid w:val="00306FEE"/>
    <w:rsid w:val="00307049"/>
    <w:rsid w:val="003070D6"/>
    <w:rsid w:val="003070F5"/>
    <w:rsid w:val="00307145"/>
    <w:rsid w:val="0030714E"/>
    <w:rsid w:val="0030714F"/>
    <w:rsid w:val="003072FA"/>
    <w:rsid w:val="003073E3"/>
    <w:rsid w:val="003074EC"/>
    <w:rsid w:val="0030758F"/>
    <w:rsid w:val="003075A4"/>
    <w:rsid w:val="00307626"/>
    <w:rsid w:val="00307633"/>
    <w:rsid w:val="0030763D"/>
    <w:rsid w:val="00307667"/>
    <w:rsid w:val="00307698"/>
    <w:rsid w:val="003076E0"/>
    <w:rsid w:val="00307729"/>
    <w:rsid w:val="00307747"/>
    <w:rsid w:val="00307832"/>
    <w:rsid w:val="00307851"/>
    <w:rsid w:val="003078A6"/>
    <w:rsid w:val="00307901"/>
    <w:rsid w:val="00307950"/>
    <w:rsid w:val="003079D1"/>
    <w:rsid w:val="00307A37"/>
    <w:rsid w:val="00307A3A"/>
    <w:rsid w:val="00307A5B"/>
    <w:rsid w:val="00307B06"/>
    <w:rsid w:val="00307B0D"/>
    <w:rsid w:val="00307B14"/>
    <w:rsid w:val="00307BF3"/>
    <w:rsid w:val="00307C22"/>
    <w:rsid w:val="00307CE6"/>
    <w:rsid w:val="00307CF5"/>
    <w:rsid w:val="00307F73"/>
    <w:rsid w:val="00310089"/>
    <w:rsid w:val="0031008A"/>
    <w:rsid w:val="003100B9"/>
    <w:rsid w:val="003100D6"/>
    <w:rsid w:val="00310102"/>
    <w:rsid w:val="0031010F"/>
    <w:rsid w:val="0031011E"/>
    <w:rsid w:val="00310149"/>
    <w:rsid w:val="00310179"/>
    <w:rsid w:val="0031017F"/>
    <w:rsid w:val="003101B4"/>
    <w:rsid w:val="003101E7"/>
    <w:rsid w:val="00310271"/>
    <w:rsid w:val="003102A1"/>
    <w:rsid w:val="003102CF"/>
    <w:rsid w:val="00310341"/>
    <w:rsid w:val="0031039D"/>
    <w:rsid w:val="00310464"/>
    <w:rsid w:val="003104CB"/>
    <w:rsid w:val="003104CE"/>
    <w:rsid w:val="00310516"/>
    <w:rsid w:val="00310592"/>
    <w:rsid w:val="003105BB"/>
    <w:rsid w:val="003105BE"/>
    <w:rsid w:val="003106E7"/>
    <w:rsid w:val="003106F7"/>
    <w:rsid w:val="00310721"/>
    <w:rsid w:val="0031075D"/>
    <w:rsid w:val="0031075F"/>
    <w:rsid w:val="003107B3"/>
    <w:rsid w:val="0031088B"/>
    <w:rsid w:val="003108C4"/>
    <w:rsid w:val="003108D1"/>
    <w:rsid w:val="003108D6"/>
    <w:rsid w:val="0031094D"/>
    <w:rsid w:val="00310968"/>
    <w:rsid w:val="00310998"/>
    <w:rsid w:val="00310A1C"/>
    <w:rsid w:val="00310A31"/>
    <w:rsid w:val="00310B6D"/>
    <w:rsid w:val="00310B73"/>
    <w:rsid w:val="00310BAC"/>
    <w:rsid w:val="00310BE7"/>
    <w:rsid w:val="00310C8F"/>
    <w:rsid w:val="00310C99"/>
    <w:rsid w:val="00310D01"/>
    <w:rsid w:val="00310D2B"/>
    <w:rsid w:val="00310D3B"/>
    <w:rsid w:val="00310D3F"/>
    <w:rsid w:val="00310D8D"/>
    <w:rsid w:val="00310DC6"/>
    <w:rsid w:val="00310E23"/>
    <w:rsid w:val="00310E8A"/>
    <w:rsid w:val="00310E8F"/>
    <w:rsid w:val="00310F51"/>
    <w:rsid w:val="00310FC1"/>
    <w:rsid w:val="00311161"/>
    <w:rsid w:val="0031119A"/>
    <w:rsid w:val="003111A1"/>
    <w:rsid w:val="003111B7"/>
    <w:rsid w:val="00311276"/>
    <w:rsid w:val="003112E5"/>
    <w:rsid w:val="0031132C"/>
    <w:rsid w:val="0031134B"/>
    <w:rsid w:val="0031135A"/>
    <w:rsid w:val="003113A5"/>
    <w:rsid w:val="003114CC"/>
    <w:rsid w:val="003114F6"/>
    <w:rsid w:val="003114FD"/>
    <w:rsid w:val="00311558"/>
    <w:rsid w:val="003115F4"/>
    <w:rsid w:val="00311628"/>
    <w:rsid w:val="00311665"/>
    <w:rsid w:val="00311731"/>
    <w:rsid w:val="00311744"/>
    <w:rsid w:val="00311793"/>
    <w:rsid w:val="003117A4"/>
    <w:rsid w:val="00311812"/>
    <w:rsid w:val="0031184D"/>
    <w:rsid w:val="00311933"/>
    <w:rsid w:val="00311A02"/>
    <w:rsid w:val="00311A4B"/>
    <w:rsid w:val="00311A56"/>
    <w:rsid w:val="00311A67"/>
    <w:rsid w:val="00311AC9"/>
    <w:rsid w:val="00311B63"/>
    <w:rsid w:val="00311BD3"/>
    <w:rsid w:val="00311C06"/>
    <w:rsid w:val="00311C58"/>
    <w:rsid w:val="00311CF8"/>
    <w:rsid w:val="00311DAD"/>
    <w:rsid w:val="00311DF9"/>
    <w:rsid w:val="00311DFE"/>
    <w:rsid w:val="00312057"/>
    <w:rsid w:val="00312087"/>
    <w:rsid w:val="00312093"/>
    <w:rsid w:val="003120A2"/>
    <w:rsid w:val="003120B3"/>
    <w:rsid w:val="003120ED"/>
    <w:rsid w:val="00312113"/>
    <w:rsid w:val="00312119"/>
    <w:rsid w:val="00312173"/>
    <w:rsid w:val="003121CF"/>
    <w:rsid w:val="00312213"/>
    <w:rsid w:val="003122B1"/>
    <w:rsid w:val="00312341"/>
    <w:rsid w:val="0031236F"/>
    <w:rsid w:val="0031238B"/>
    <w:rsid w:val="00312453"/>
    <w:rsid w:val="003124F3"/>
    <w:rsid w:val="0031252B"/>
    <w:rsid w:val="0031252E"/>
    <w:rsid w:val="00312587"/>
    <w:rsid w:val="003125BD"/>
    <w:rsid w:val="003125CB"/>
    <w:rsid w:val="00312619"/>
    <w:rsid w:val="003126A9"/>
    <w:rsid w:val="003126D1"/>
    <w:rsid w:val="00312700"/>
    <w:rsid w:val="0031273B"/>
    <w:rsid w:val="0031274D"/>
    <w:rsid w:val="00312782"/>
    <w:rsid w:val="003127BB"/>
    <w:rsid w:val="00312803"/>
    <w:rsid w:val="003129CA"/>
    <w:rsid w:val="003129DD"/>
    <w:rsid w:val="00312A0E"/>
    <w:rsid w:val="00312B71"/>
    <w:rsid w:val="00312B7A"/>
    <w:rsid w:val="00312BC7"/>
    <w:rsid w:val="00312BCF"/>
    <w:rsid w:val="00312C49"/>
    <w:rsid w:val="00312CA1"/>
    <w:rsid w:val="00312CCB"/>
    <w:rsid w:val="00312D26"/>
    <w:rsid w:val="00312D2D"/>
    <w:rsid w:val="00312D85"/>
    <w:rsid w:val="00312DBE"/>
    <w:rsid w:val="00312E3D"/>
    <w:rsid w:val="00312E70"/>
    <w:rsid w:val="00312E94"/>
    <w:rsid w:val="00312EDE"/>
    <w:rsid w:val="00312EE9"/>
    <w:rsid w:val="00313006"/>
    <w:rsid w:val="00313089"/>
    <w:rsid w:val="0031311A"/>
    <w:rsid w:val="003131B9"/>
    <w:rsid w:val="003131EA"/>
    <w:rsid w:val="00313239"/>
    <w:rsid w:val="0031324A"/>
    <w:rsid w:val="00313263"/>
    <w:rsid w:val="00313264"/>
    <w:rsid w:val="003132E6"/>
    <w:rsid w:val="00313340"/>
    <w:rsid w:val="00313345"/>
    <w:rsid w:val="0031339F"/>
    <w:rsid w:val="003133C1"/>
    <w:rsid w:val="00313502"/>
    <w:rsid w:val="0031356B"/>
    <w:rsid w:val="0031357A"/>
    <w:rsid w:val="003135D1"/>
    <w:rsid w:val="003135F0"/>
    <w:rsid w:val="00313637"/>
    <w:rsid w:val="0031367C"/>
    <w:rsid w:val="003136D6"/>
    <w:rsid w:val="00313739"/>
    <w:rsid w:val="0031374B"/>
    <w:rsid w:val="003137A9"/>
    <w:rsid w:val="0031381E"/>
    <w:rsid w:val="003138C1"/>
    <w:rsid w:val="003138C7"/>
    <w:rsid w:val="0031392B"/>
    <w:rsid w:val="0031398B"/>
    <w:rsid w:val="00313A1D"/>
    <w:rsid w:val="00313A45"/>
    <w:rsid w:val="00313AAF"/>
    <w:rsid w:val="00313AB8"/>
    <w:rsid w:val="00313AFA"/>
    <w:rsid w:val="00313B64"/>
    <w:rsid w:val="00313BC7"/>
    <w:rsid w:val="00313C70"/>
    <w:rsid w:val="00313CA3"/>
    <w:rsid w:val="00313CE1"/>
    <w:rsid w:val="00313CF2"/>
    <w:rsid w:val="00313D07"/>
    <w:rsid w:val="00313DA8"/>
    <w:rsid w:val="00313DCC"/>
    <w:rsid w:val="00313E96"/>
    <w:rsid w:val="00313F45"/>
    <w:rsid w:val="00313F54"/>
    <w:rsid w:val="00313FAD"/>
    <w:rsid w:val="00313FE6"/>
    <w:rsid w:val="0031403C"/>
    <w:rsid w:val="00314043"/>
    <w:rsid w:val="00314079"/>
    <w:rsid w:val="003140A0"/>
    <w:rsid w:val="003140B2"/>
    <w:rsid w:val="003140CF"/>
    <w:rsid w:val="00314118"/>
    <w:rsid w:val="0031411C"/>
    <w:rsid w:val="00314185"/>
    <w:rsid w:val="00314248"/>
    <w:rsid w:val="003142F3"/>
    <w:rsid w:val="0031430A"/>
    <w:rsid w:val="00314349"/>
    <w:rsid w:val="0031437C"/>
    <w:rsid w:val="0031439E"/>
    <w:rsid w:val="003143EA"/>
    <w:rsid w:val="003143F5"/>
    <w:rsid w:val="00314429"/>
    <w:rsid w:val="003144EE"/>
    <w:rsid w:val="00314557"/>
    <w:rsid w:val="00314597"/>
    <w:rsid w:val="003145FC"/>
    <w:rsid w:val="00314608"/>
    <w:rsid w:val="0031463A"/>
    <w:rsid w:val="00314717"/>
    <w:rsid w:val="0031471A"/>
    <w:rsid w:val="00314754"/>
    <w:rsid w:val="00314779"/>
    <w:rsid w:val="003147B5"/>
    <w:rsid w:val="00314819"/>
    <w:rsid w:val="003148F4"/>
    <w:rsid w:val="0031498B"/>
    <w:rsid w:val="003149F8"/>
    <w:rsid w:val="00314AF8"/>
    <w:rsid w:val="00314AFA"/>
    <w:rsid w:val="00314AFE"/>
    <w:rsid w:val="00314BA7"/>
    <w:rsid w:val="00314BF5"/>
    <w:rsid w:val="00314BF8"/>
    <w:rsid w:val="00314CC4"/>
    <w:rsid w:val="00314E6C"/>
    <w:rsid w:val="00314E91"/>
    <w:rsid w:val="00314EDB"/>
    <w:rsid w:val="00314EF2"/>
    <w:rsid w:val="00314F6C"/>
    <w:rsid w:val="00314FB9"/>
    <w:rsid w:val="0031509C"/>
    <w:rsid w:val="0031519F"/>
    <w:rsid w:val="003151C2"/>
    <w:rsid w:val="00315247"/>
    <w:rsid w:val="003152AA"/>
    <w:rsid w:val="003152ED"/>
    <w:rsid w:val="00315334"/>
    <w:rsid w:val="00315340"/>
    <w:rsid w:val="00315350"/>
    <w:rsid w:val="0031539C"/>
    <w:rsid w:val="003153B0"/>
    <w:rsid w:val="003153CF"/>
    <w:rsid w:val="003153F7"/>
    <w:rsid w:val="003154E5"/>
    <w:rsid w:val="0031551F"/>
    <w:rsid w:val="003155C6"/>
    <w:rsid w:val="00315627"/>
    <w:rsid w:val="00315693"/>
    <w:rsid w:val="003156CD"/>
    <w:rsid w:val="00315711"/>
    <w:rsid w:val="003157A7"/>
    <w:rsid w:val="003157A9"/>
    <w:rsid w:val="003157D7"/>
    <w:rsid w:val="00315811"/>
    <w:rsid w:val="00315827"/>
    <w:rsid w:val="0031584D"/>
    <w:rsid w:val="00315964"/>
    <w:rsid w:val="00315B18"/>
    <w:rsid w:val="00315BB6"/>
    <w:rsid w:val="00315BE1"/>
    <w:rsid w:val="00315BE8"/>
    <w:rsid w:val="00315C4B"/>
    <w:rsid w:val="00315C8A"/>
    <w:rsid w:val="00315DD8"/>
    <w:rsid w:val="00315E7F"/>
    <w:rsid w:val="00315EA6"/>
    <w:rsid w:val="00315F0A"/>
    <w:rsid w:val="00315F10"/>
    <w:rsid w:val="00315F62"/>
    <w:rsid w:val="0031601E"/>
    <w:rsid w:val="00316063"/>
    <w:rsid w:val="00316095"/>
    <w:rsid w:val="003160DF"/>
    <w:rsid w:val="003160F4"/>
    <w:rsid w:val="00316149"/>
    <w:rsid w:val="0031619C"/>
    <w:rsid w:val="003161CF"/>
    <w:rsid w:val="00316237"/>
    <w:rsid w:val="00316245"/>
    <w:rsid w:val="0031625D"/>
    <w:rsid w:val="00316279"/>
    <w:rsid w:val="00316283"/>
    <w:rsid w:val="003162A3"/>
    <w:rsid w:val="003162DB"/>
    <w:rsid w:val="003162FB"/>
    <w:rsid w:val="0031632D"/>
    <w:rsid w:val="00316372"/>
    <w:rsid w:val="0031639A"/>
    <w:rsid w:val="003163CB"/>
    <w:rsid w:val="003163F5"/>
    <w:rsid w:val="0031642A"/>
    <w:rsid w:val="0031642D"/>
    <w:rsid w:val="0031644D"/>
    <w:rsid w:val="00316474"/>
    <w:rsid w:val="0031653E"/>
    <w:rsid w:val="00316625"/>
    <w:rsid w:val="003166C6"/>
    <w:rsid w:val="00316778"/>
    <w:rsid w:val="00316872"/>
    <w:rsid w:val="0031689A"/>
    <w:rsid w:val="003168C7"/>
    <w:rsid w:val="003168F8"/>
    <w:rsid w:val="00316916"/>
    <w:rsid w:val="0031692F"/>
    <w:rsid w:val="0031695A"/>
    <w:rsid w:val="00316971"/>
    <w:rsid w:val="00316988"/>
    <w:rsid w:val="0031698D"/>
    <w:rsid w:val="003169A0"/>
    <w:rsid w:val="003169D1"/>
    <w:rsid w:val="00316A4F"/>
    <w:rsid w:val="00316AA1"/>
    <w:rsid w:val="00316C31"/>
    <w:rsid w:val="00316C70"/>
    <w:rsid w:val="00316CAE"/>
    <w:rsid w:val="00316D16"/>
    <w:rsid w:val="00316D3F"/>
    <w:rsid w:val="00316D70"/>
    <w:rsid w:val="00316D9B"/>
    <w:rsid w:val="00316E3F"/>
    <w:rsid w:val="00316E90"/>
    <w:rsid w:val="00316F41"/>
    <w:rsid w:val="00316F87"/>
    <w:rsid w:val="003170F2"/>
    <w:rsid w:val="00317108"/>
    <w:rsid w:val="00317196"/>
    <w:rsid w:val="00317302"/>
    <w:rsid w:val="0031735F"/>
    <w:rsid w:val="0031739E"/>
    <w:rsid w:val="00317405"/>
    <w:rsid w:val="00317492"/>
    <w:rsid w:val="0031750B"/>
    <w:rsid w:val="00317556"/>
    <w:rsid w:val="00317597"/>
    <w:rsid w:val="003175D7"/>
    <w:rsid w:val="003175E0"/>
    <w:rsid w:val="003176F7"/>
    <w:rsid w:val="0031770C"/>
    <w:rsid w:val="00317790"/>
    <w:rsid w:val="00317842"/>
    <w:rsid w:val="0031787B"/>
    <w:rsid w:val="00317881"/>
    <w:rsid w:val="003178AA"/>
    <w:rsid w:val="003178AE"/>
    <w:rsid w:val="00317A0D"/>
    <w:rsid w:val="00317A28"/>
    <w:rsid w:val="00317A5A"/>
    <w:rsid w:val="00317B0B"/>
    <w:rsid w:val="00317B6A"/>
    <w:rsid w:val="00317BE7"/>
    <w:rsid w:val="00317C0E"/>
    <w:rsid w:val="00317CAA"/>
    <w:rsid w:val="00317CC4"/>
    <w:rsid w:val="00317D00"/>
    <w:rsid w:val="00317D84"/>
    <w:rsid w:val="00317DF0"/>
    <w:rsid w:val="00317E15"/>
    <w:rsid w:val="00317EFB"/>
    <w:rsid w:val="00317F14"/>
    <w:rsid w:val="00317F92"/>
    <w:rsid w:val="0032005B"/>
    <w:rsid w:val="003200E3"/>
    <w:rsid w:val="003200F3"/>
    <w:rsid w:val="00320121"/>
    <w:rsid w:val="003201EF"/>
    <w:rsid w:val="0032021D"/>
    <w:rsid w:val="003202AF"/>
    <w:rsid w:val="003202F6"/>
    <w:rsid w:val="00320312"/>
    <w:rsid w:val="00320318"/>
    <w:rsid w:val="00320345"/>
    <w:rsid w:val="00320373"/>
    <w:rsid w:val="003203E0"/>
    <w:rsid w:val="00320422"/>
    <w:rsid w:val="0032043A"/>
    <w:rsid w:val="00320463"/>
    <w:rsid w:val="0032051D"/>
    <w:rsid w:val="00320534"/>
    <w:rsid w:val="0032055D"/>
    <w:rsid w:val="003205A0"/>
    <w:rsid w:val="003205C0"/>
    <w:rsid w:val="003205FA"/>
    <w:rsid w:val="00320607"/>
    <w:rsid w:val="00320688"/>
    <w:rsid w:val="0032076E"/>
    <w:rsid w:val="003207B1"/>
    <w:rsid w:val="0032082E"/>
    <w:rsid w:val="0032085E"/>
    <w:rsid w:val="00320872"/>
    <w:rsid w:val="0032090C"/>
    <w:rsid w:val="0032091B"/>
    <w:rsid w:val="0032097F"/>
    <w:rsid w:val="003209AE"/>
    <w:rsid w:val="00320A58"/>
    <w:rsid w:val="00320AC0"/>
    <w:rsid w:val="00320AE1"/>
    <w:rsid w:val="00320B0B"/>
    <w:rsid w:val="00320B0D"/>
    <w:rsid w:val="00320B12"/>
    <w:rsid w:val="00320B4B"/>
    <w:rsid w:val="00320B6D"/>
    <w:rsid w:val="00320B75"/>
    <w:rsid w:val="00320B9C"/>
    <w:rsid w:val="00320B9D"/>
    <w:rsid w:val="00320BBC"/>
    <w:rsid w:val="00320C60"/>
    <w:rsid w:val="00320C6B"/>
    <w:rsid w:val="00320D1F"/>
    <w:rsid w:val="00320EB3"/>
    <w:rsid w:val="00320EC9"/>
    <w:rsid w:val="00320FEA"/>
    <w:rsid w:val="003210BA"/>
    <w:rsid w:val="003210D9"/>
    <w:rsid w:val="003210E9"/>
    <w:rsid w:val="003210F3"/>
    <w:rsid w:val="0032118D"/>
    <w:rsid w:val="00321191"/>
    <w:rsid w:val="0032124C"/>
    <w:rsid w:val="00321356"/>
    <w:rsid w:val="00321423"/>
    <w:rsid w:val="00321519"/>
    <w:rsid w:val="0032152F"/>
    <w:rsid w:val="00321544"/>
    <w:rsid w:val="00321616"/>
    <w:rsid w:val="00321632"/>
    <w:rsid w:val="00321680"/>
    <w:rsid w:val="00321707"/>
    <w:rsid w:val="0032170D"/>
    <w:rsid w:val="0032178A"/>
    <w:rsid w:val="003217B1"/>
    <w:rsid w:val="0032183E"/>
    <w:rsid w:val="0032184E"/>
    <w:rsid w:val="00321868"/>
    <w:rsid w:val="003218FC"/>
    <w:rsid w:val="003219DD"/>
    <w:rsid w:val="003219DE"/>
    <w:rsid w:val="00321A3E"/>
    <w:rsid w:val="00321A74"/>
    <w:rsid w:val="00321ABA"/>
    <w:rsid w:val="00321B13"/>
    <w:rsid w:val="00321C23"/>
    <w:rsid w:val="00321C25"/>
    <w:rsid w:val="00321CBA"/>
    <w:rsid w:val="00321D16"/>
    <w:rsid w:val="00321D31"/>
    <w:rsid w:val="00321D51"/>
    <w:rsid w:val="00321DCD"/>
    <w:rsid w:val="00321E14"/>
    <w:rsid w:val="00321E50"/>
    <w:rsid w:val="00321ECE"/>
    <w:rsid w:val="00321F04"/>
    <w:rsid w:val="00321FB3"/>
    <w:rsid w:val="00322064"/>
    <w:rsid w:val="0032209C"/>
    <w:rsid w:val="00322116"/>
    <w:rsid w:val="003221AE"/>
    <w:rsid w:val="003221CD"/>
    <w:rsid w:val="003221D3"/>
    <w:rsid w:val="00322264"/>
    <w:rsid w:val="00322292"/>
    <w:rsid w:val="00322303"/>
    <w:rsid w:val="0032231F"/>
    <w:rsid w:val="0032232A"/>
    <w:rsid w:val="003223F7"/>
    <w:rsid w:val="00322403"/>
    <w:rsid w:val="00322418"/>
    <w:rsid w:val="00322433"/>
    <w:rsid w:val="00322484"/>
    <w:rsid w:val="00322495"/>
    <w:rsid w:val="003224FE"/>
    <w:rsid w:val="003225E4"/>
    <w:rsid w:val="0032261B"/>
    <w:rsid w:val="00322669"/>
    <w:rsid w:val="00322688"/>
    <w:rsid w:val="003226F2"/>
    <w:rsid w:val="00322737"/>
    <w:rsid w:val="0032276C"/>
    <w:rsid w:val="003227B4"/>
    <w:rsid w:val="00322874"/>
    <w:rsid w:val="0032288C"/>
    <w:rsid w:val="003228F2"/>
    <w:rsid w:val="0032299F"/>
    <w:rsid w:val="003229B3"/>
    <w:rsid w:val="003229FE"/>
    <w:rsid w:val="00322A85"/>
    <w:rsid w:val="00322AC5"/>
    <w:rsid w:val="00322AD2"/>
    <w:rsid w:val="00322AD9"/>
    <w:rsid w:val="00322B44"/>
    <w:rsid w:val="00322C8B"/>
    <w:rsid w:val="00322CB5"/>
    <w:rsid w:val="00322CDD"/>
    <w:rsid w:val="00322D02"/>
    <w:rsid w:val="00322E30"/>
    <w:rsid w:val="00322EBB"/>
    <w:rsid w:val="00322ED1"/>
    <w:rsid w:val="00322F47"/>
    <w:rsid w:val="00322F6D"/>
    <w:rsid w:val="00322F89"/>
    <w:rsid w:val="00322FE6"/>
    <w:rsid w:val="0032301C"/>
    <w:rsid w:val="0032305C"/>
    <w:rsid w:val="003230B7"/>
    <w:rsid w:val="0032320B"/>
    <w:rsid w:val="00323250"/>
    <w:rsid w:val="003232C1"/>
    <w:rsid w:val="00323387"/>
    <w:rsid w:val="003233DF"/>
    <w:rsid w:val="00323437"/>
    <w:rsid w:val="0032356B"/>
    <w:rsid w:val="00323644"/>
    <w:rsid w:val="0032368B"/>
    <w:rsid w:val="003236BA"/>
    <w:rsid w:val="003236D5"/>
    <w:rsid w:val="0032371B"/>
    <w:rsid w:val="00323742"/>
    <w:rsid w:val="00323837"/>
    <w:rsid w:val="0032386A"/>
    <w:rsid w:val="00323870"/>
    <w:rsid w:val="00323958"/>
    <w:rsid w:val="003239C9"/>
    <w:rsid w:val="003239EF"/>
    <w:rsid w:val="00323AFB"/>
    <w:rsid w:val="00323B03"/>
    <w:rsid w:val="00323B36"/>
    <w:rsid w:val="00323B46"/>
    <w:rsid w:val="00323B52"/>
    <w:rsid w:val="00323BD2"/>
    <w:rsid w:val="00323C6B"/>
    <w:rsid w:val="00323C8A"/>
    <w:rsid w:val="00323D29"/>
    <w:rsid w:val="00323F0F"/>
    <w:rsid w:val="00324006"/>
    <w:rsid w:val="00324164"/>
    <w:rsid w:val="003241C0"/>
    <w:rsid w:val="0032425D"/>
    <w:rsid w:val="003242A7"/>
    <w:rsid w:val="003242E0"/>
    <w:rsid w:val="00324317"/>
    <w:rsid w:val="003243BE"/>
    <w:rsid w:val="00324400"/>
    <w:rsid w:val="003244AA"/>
    <w:rsid w:val="003244EA"/>
    <w:rsid w:val="003244F7"/>
    <w:rsid w:val="00324516"/>
    <w:rsid w:val="00324529"/>
    <w:rsid w:val="0032453C"/>
    <w:rsid w:val="0032459F"/>
    <w:rsid w:val="003245BB"/>
    <w:rsid w:val="003245DC"/>
    <w:rsid w:val="0032460C"/>
    <w:rsid w:val="00324627"/>
    <w:rsid w:val="00324664"/>
    <w:rsid w:val="0032474C"/>
    <w:rsid w:val="0032479E"/>
    <w:rsid w:val="003247B6"/>
    <w:rsid w:val="003248F8"/>
    <w:rsid w:val="0032490A"/>
    <w:rsid w:val="003249F3"/>
    <w:rsid w:val="00324ADB"/>
    <w:rsid w:val="00324AE1"/>
    <w:rsid w:val="00324B0E"/>
    <w:rsid w:val="00324B13"/>
    <w:rsid w:val="00324B96"/>
    <w:rsid w:val="00324C11"/>
    <w:rsid w:val="00324C14"/>
    <w:rsid w:val="00324C15"/>
    <w:rsid w:val="00324C41"/>
    <w:rsid w:val="00324E10"/>
    <w:rsid w:val="00324F0E"/>
    <w:rsid w:val="00324F69"/>
    <w:rsid w:val="00325039"/>
    <w:rsid w:val="003250D9"/>
    <w:rsid w:val="00325125"/>
    <w:rsid w:val="00325136"/>
    <w:rsid w:val="00325137"/>
    <w:rsid w:val="00325151"/>
    <w:rsid w:val="003251CC"/>
    <w:rsid w:val="003251E3"/>
    <w:rsid w:val="003251FA"/>
    <w:rsid w:val="00325205"/>
    <w:rsid w:val="00325228"/>
    <w:rsid w:val="0032524D"/>
    <w:rsid w:val="003252C8"/>
    <w:rsid w:val="0032538C"/>
    <w:rsid w:val="003253CE"/>
    <w:rsid w:val="003253DD"/>
    <w:rsid w:val="0032542A"/>
    <w:rsid w:val="00325483"/>
    <w:rsid w:val="00325594"/>
    <w:rsid w:val="003255AC"/>
    <w:rsid w:val="003255C2"/>
    <w:rsid w:val="00325607"/>
    <w:rsid w:val="00325625"/>
    <w:rsid w:val="00325643"/>
    <w:rsid w:val="003256AA"/>
    <w:rsid w:val="00325769"/>
    <w:rsid w:val="0032579A"/>
    <w:rsid w:val="003257AB"/>
    <w:rsid w:val="0032586C"/>
    <w:rsid w:val="003258D9"/>
    <w:rsid w:val="0032597D"/>
    <w:rsid w:val="003259AC"/>
    <w:rsid w:val="003259C9"/>
    <w:rsid w:val="003259FA"/>
    <w:rsid w:val="00325B9F"/>
    <w:rsid w:val="00325BB2"/>
    <w:rsid w:val="00325BDE"/>
    <w:rsid w:val="00325BFD"/>
    <w:rsid w:val="00325C7F"/>
    <w:rsid w:val="00325CD5"/>
    <w:rsid w:val="00325CDB"/>
    <w:rsid w:val="00325CFF"/>
    <w:rsid w:val="00325D7E"/>
    <w:rsid w:val="00325DE3"/>
    <w:rsid w:val="00325E82"/>
    <w:rsid w:val="00325F41"/>
    <w:rsid w:val="00325FC0"/>
    <w:rsid w:val="00325FE1"/>
    <w:rsid w:val="00325FFD"/>
    <w:rsid w:val="003260A4"/>
    <w:rsid w:val="003260BF"/>
    <w:rsid w:val="00326197"/>
    <w:rsid w:val="003261D9"/>
    <w:rsid w:val="003261F3"/>
    <w:rsid w:val="00326213"/>
    <w:rsid w:val="0032623E"/>
    <w:rsid w:val="0032626B"/>
    <w:rsid w:val="00326363"/>
    <w:rsid w:val="00326405"/>
    <w:rsid w:val="00326484"/>
    <w:rsid w:val="003264B4"/>
    <w:rsid w:val="00326525"/>
    <w:rsid w:val="00326545"/>
    <w:rsid w:val="0032655B"/>
    <w:rsid w:val="00326562"/>
    <w:rsid w:val="00326565"/>
    <w:rsid w:val="00326576"/>
    <w:rsid w:val="003265B1"/>
    <w:rsid w:val="003265BF"/>
    <w:rsid w:val="00326650"/>
    <w:rsid w:val="0032668A"/>
    <w:rsid w:val="003266F2"/>
    <w:rsid w:val="00326700"/>
    <w:rsid w:val="00326717"/>
    <w:rsid w:val="00326764"/>
    <w:rsid w:val="00326814"/>
    <w:rsid w:val="00326842"/>
    <w:rsid w:val="00326879"/>
    <w:rsid w:val="003268E4"/>
    <w:rsid w:val="00326957"/>
    <w:rsid w:val="0032697B"/>
    <w:rsid w:val="00326A25"/>
    <w:rsid w:val="00326A8A"/>
    <w:rsid w:val="00326A90"/>
    <w:rsid w:val="00326B5C"/>
    <w:rsid w:val="00326B96"/>
    <w:rsid w:val="00326B99"/>
    <w:rsid w:val="00326BCE"/>
    <w:rsid w:val="00326BD4"/>
    <w:rsid w:val="00326BD9"/>
    <w:rsid w:val="00326BF0"/>
    <w:rsid w:val="00326C50"/>
    <w:rsid w:val="00326CE5"/>
    <w:rsid w:val="00326D27"/>
    <w:rsid w:val="00326D39"/>
    <w:rsid w:val="00326D81"/>
    <w:rsid w:val="00326DCC"/>
    <w:rsid w:val="00326DDE"/>
    <w:rsid w:val="00326E55"/>
    <w:rsid w:val="00326F54"/>
    <w:rsid w:val="00326F5D"/>
    <w:rsid w:val="00326F93"/>
    <w:rsid w:val="00326FC9"/>
    <w:rsid w:val="00326FCB"/>
    <w:rsid w:val="00327072"/>
    <w:rsid w:val="00327080"/>
    <w:rsid w:val="003270E5"/>
    <w:rsid w:val="003270ED"/>
    <w:rsid w:val="003270F3"/>
    <w:rsid w:val="0032723C"/>
    <w:rsid w:val="00327250"/>
    <w:rsid w:val="003272C0"/>
    <w:rsid w:val="00327304"/>
    <w:rsid w:val="00327352"/>
    <w:rsid w:val="00327363"/>
    <w:rsid w:val="003273D2"/>
    <w:rsid w:val="003274AB"/>
    <w:rsid w:val="003274EE"/>
    <w:rsid w:val="00327513"/>
    <w:rsid w:val="00327527"/>
    <w:rsid w:val="00327537"/>
    <w:rsid w:val="0032754A"/>
    <w:rsid w:val="0032764E"/>
    <w:rsid w:val="0032766D"/>
    <w:rsid w:val="00327727"/>
    <w:rsid w:val="00327732"/>
    <w:rsid w:val="00327736"/>
    <w:rsid w:val="00327755"/>
    <w:rsid w:val="003277F6"/>
    <w:rsid w:val="00327872"/>
    <w:rsid w:val="0032787C"/>
    <w:rsid w:val="003278AA"/>
    <w:rsid w:val="003278BD"/>
    <w:rsid w:val="003278C1"/>
    <w:rsid w:val="0032793D"/>
    <w:rsid w:val="00327AB6"/>
    <w:rsid w:val="00327ABC"/>
    <w:rsid w:val="00327ACA"/>
    <w:rsid w:val="00327AFF"/>
    <w:rsid w:val="00327BBE"/>
    <w:rsid w:val="00327D57"/>
    <w:rsid w:val="00327E21"/>
    <w:rsid w:val="00327FCA"/>
    <w:rsid w:val="00330068"/>
    <w:rsid w:val="0033006B"/>
    <w:rsid w:val="003300D7"/>
    <w:rsid w:val="003300E8"/>
    <w:rsid w:val="00330119"/>
    <w:rsid w:val="00330206"/>
    <w:rsid w:val="0033021D"/>
    <w:rsid w:val="0033022B"/>
    <w:rsid w:val="00330284"/>
    <w:rsid w:val="00330290"/>
    <w:rsid w:val="0033039D"/>
    <w:rsid w:val="003303E6"/>
    <w:rsid w:val="0033042E"/>
    <w:rsid w:val="00330541"/>
    <w:rsid w:val="003305FB"/>
    <w:rsid w:val="00330628"/>
    <w:rsid w:val="00330641"/>
    <w:rsid w:val="00330668"/>
    <w:rsid w:val="0033067F"/>
    <w:rsid w:val="00330713"/>
    <w:rsid w:val="00330728"/>
    <w:rsid w:val="00330733"/>
    <w:rsid w:val="00330764"/>
    <w:rsid w:val="003308E6"/>
    <w:rsid w:val="003308EA"/>
    <w:rsid w:val="00330984"/>
    <w:rsid w:val="003309BF"/>
    <w:rsid w:val="003309D2"/>
    <w:rsid w:val="003309F7"/>
    <w:rsid w:val="00330AB5"/>
    <w:rsid w:val="00330B85"/>
    <w:rsid w:val="00330C15"/>
    <w:rsid w:val="00330C63"/>
    <w:rsid w:val="00330D1A"/>
    <w:rsid w:val="00330E5F"/>
    <w:rsid w:val="00330EE9"/>
    <w:rsid w:val="00330EF0"/>
    <w:rsid w:val="00330EF6"/>
    <w:rsid w:val="00330FA5"/>
    <w:rsid w:val="00331000"/>
    <w:rsid w:val="003310B7"/>
    <w:rsid w:val="003310BA"/>
    <w:rsid w:val="00331146"/>
    <w:rsid w:val="003311CB"/>
    <w:rsid w:val="00331222"/>
    <w:rsid w:val="0033126D"/>
    <w:rsid w:val="003312CD"/>
    <w:rsid w:val="0033130D"/>
    <w:rsid w:val="003313CA"/>
    <w:rsid w:val="0033147D"/>
    <w:rsid w:val="00331482"/>
    <w:rsid w:val="003314B3"/>
    <w:rsid w:val="003314F2"/>
    <w:rsid w:val="0033151A"/>
    <w:rsid w:val="0033158C"/>
    <w:rsid w:val="00331605"/>
    <w:rsid w:val="0033164F"/>
    <w:rsid w:val="003317C2"/>
    <w:rsid w:val="003317DA"/>
    <w:rsid w:val="0033182E"/>
    <w:rsid w:val="00331836"/>
    <w:rsid w:val="0033194A"/>
    <w:rsid w:val="00331968"/>
    <w:rsid w:val="003319EF"/>
    <w:rsid w:val="00331AFE"/>
    <w:rsid w:val="00331B27"/>
    <w:rsid w:val="00331B3D"/>
    <w:rsid w:val="00331B89"/>
    <w:rsid w:val="00331BCA"/>
    <w:rsid w:val="00331C65"/>
    <w:rsid w:val="00331C8F"/>
    <w:rsid w:val="00331C9C"/>
    <w:rsid w:val="00331CB5"/>
    <w:rsid w:val="00331D50"/>
    <w:rsid w:val="00331E00"/>
    <w:rsid w:val="00331E47"/>
    <w:rsid w:val="00331E4A"/>
    <w:rsid w:val="00331ECB"/>
    <w:rsid w:val="00331EE4"/>
    <w:rsid w:val="00331FAE"/>
    <w:rsid w:val="00332021"/>
    <w:rsid w:val="0033212B"/>
    <w:rsid w:val="00332167"/>
    <w:rsid w:val="003321F5"/>
    <w:rsid w:val="00332294"/>
    <w:rsid w:val="003322AC"/>
    <w:rsid w:val="003322B3"/>
    <w:rsid w:val="003323C3"/>
    <w:rsid w:val="0033250B"/>
    <w:rsid w:val="00332515"/>
    <w:rsid w:val="00332526"/>
    <w:rsid w:val="00332531"/>
    <w:rsid w:val="00332560"/>
    <w:rsid w:val="0033262F"/>
    <w:rsid w:val="00332694"/>
    <w:rsid w:val="003326C9"/>
    <w:rsid w:val="00332780"/>
    <w:rsid w:val="0033291A"/>
    <w:rsid w:val="003329AF"/>
    <w:rsid w:val="003329D3"/>
    <w:rsid w:val="003329E3"/>
    <w:rsid w:val="00332A38"/>
    <w:rsid w:val="00332A96"/>
    <w:rsid w:val="00332BBE"/>
    <w:rsid w:val="00332C4C"/>
    <w:rsid w:val="00332C98"/>
    <w:rsid w:val="00332CA2"/>
    <w:rsid w:val="00332CEF"/>
    <w:rsid w:val="00332D04"/>
    <w:rsid w:val="00332EA5"/>
    <w:rsid w:val="00332EC7"/>
    <w:rsid w:val="00332EE3"/>
    <w:rsid w:val="00332EEB"/>
    <w:rsid w:val="00332F39"/>
    <w:rsid w:val="003330DF"/>
    <w:rsid w:val="0033317A"/>
    <w:rsid w:val="003331B0"/>
    <w:rsid w:val="00333264"/>
    <w:rsid w:val="0033331B"/>
    <w:rsid w:val="0033332E"/>
    <w:rsid w:val="00333415"/>
    <w:rsid w:val="00333421"/>
    <w:rsid w:val="00333457"/>
    <w:rsid w:val="003334BC"/>
    <w:rsid w:val="003334CD"/>
    <w:rsid w:val="00333536"/>
    <w:rsid w:val="00333569"/>
    <w:rsid w:val="003335A3"/>
    <w:rsid w:val="00333630"/>
    <w:rsid w:val="0033367D"/>
    <w:rsid w:val="00333699"/>
    <w:rsid w:val="0033380F"/>
    <w:rsid w:val="00333835"/>
    <w:rsid w:val="0033386F"/>
    <w:rsid w:val="003338A0"/>
    <w:rsid w:val="003338DA"/>
    <w:rsid w:val="003339FB"/>
    <w:rsid w:val="00333A23"/>
    <w:rsid w:val="00333A56"/>
    <w:rsid w:val="00333A95"/>
    <w:rsid w:val="00333ABF"/>
    <w:rsid w:val="00333ADE"/>
    <w:rsid w:val="00333B96"/>
    <w:rsid w:val="00333BD4"/>
    <w:rsid w:val="00333BEE"/>
    <w:rsid w:val="00333C23"/>
    <w:rsid w:val="00333D34"/>
    <w:rsid w:val="00333DE3"/>
    <w:rsid w:val="00333EBA"/>
    <w:rsid w:val="00333F12"/>
    <w:rsid w:val="00333F81"/>
    <w:rsid w:val="00334143"/>
    <w:rsid w:val="0033415E"/>
    <w:rsid w:val="00334170"/>
    <w:rsid w:val="003341F9"/>
    <w:rsid w:val="00334207"/>
    <w:rsid w:val="003342B8"/>
    <w:rsid w:val="00334317"/>
    <w:rsid w:val="0033435E"/>
    <w:rsid w:val="00334377"/>
    <w:rsid w:val="003343A8"/>
    <w:rsid w:val="00334400"/>
    <w:rsid w:val="00334475"/>
    <w:rsid w:val="003344F7"/>
    <w:rsid w:val="0033451C"/>
    <w:rsid w:val="00334548"/>
    <w:rsid w:val="0033457B"/>
    <w:rsid w:val="003345A8"/>
    <w:rsid w:val="003345C6"/>
    <w:rsid w:val="003345CB"/>
    <w:rsid w:val="003345F4"/>
    <w:rsid w:val="003345F5"/>
    <w:rsid w:val="003346A0"/>
    <w:rsid w:val="003346B4"/>
    <w:rsid w:val="003346EB"/>
    <w:rsid w:val="00334738"/>
    <w:rsid w:val="00334772"/>
    <w:rsid w:val="0033484A"/>
    <w:rsid w:val="00334881"/>
    <w:rsid w:val="003348C0"/>
    <w:rsid w:val="003348ED"/>
    <w:rsid w:val="00334904"/>
    <w:rsid w:val="00334953"/>
    <w:rsid w:val="0033499F"/>
    <w:rsid w:val="003349B1"/>
    <w:rsid w:val="00334A0D"/>
    <w:rsid w:val="00334A83"/>
    <w:rsid w:val="00334A9E"/>
    <w:rsid w:val="00334AA1"/>
    <w:rsid w:val="00334AF2"/>
    <w:rsid w:val="00334B67"/>
    <w:rsid w:val="00334D61"/>
    <w:rsid w:val="00334D65"/>
    <w:rsid w:val="00334E09"/>
    <w:rsid w:val="00334E0E"/>
    <w:rsid w:val="00334E2D"/>
    <w:rsid w:val="00334F04"/>
    <w:rsid w:val="00334F5C"/>
    <w:rsid w:val="0033502C"/>
    <w:rsid w:val="0033506F"/>
    <w:rsid w:val="003350CE"/>
    <w:rsid w:val="003350E5"/>
    <w:rsid w:val="00335109"/>
    <w:rsid w:val="00335122"/>
    <w:rsid w:val="0033519A"/>
    <w:rsid w:val="003351CE"/>
    <w:rsid w:val="00335245"/>
    <w:rsid w:val="0033525E"/>
    <w:rsid w:val="00335295"/>
    <w:rsid w:val="003352D2"/>
    <w:rsid w:val="003352FC"/>
    <w:rsid w:val="00335308"/>
    <w:rsid w:val="00335334"/>
    <w:rsid w:val="0033538F"/>
    <w:rsid w:val="003353A3"/>
    <w:rsid w:val="00335401"/>
    <w:rsid w:val="00335405"/>
    <w:rsid w:val="00335624"/>
    <w:rsid w:val="00335667"/>
    <w:rsid w:val="00335720"/>
    <w:rsid w:val="0033574D"/>
    <w:rsid w:val="00335782"/>
    <w:rsid w:val="00335874"/>
    <w:rsid w:val="00335885"/>
    <w:rsid w:val="003358B2"/>
    <w:rsid w:val="00335903"/>
    <w:rsid w:val="00335AD5"/>
    <w:rsid w:val="00335B48"/>
    <w:rsid w:val="00335B53"/>
    <w:rsid w:val="00335BFA"/>
    <w:rsid w:val="00335C51"/>
    <w:rsid w:val="00335C55"/>
    <w:rsid w:val="00335C63"/>
    <w:rsid w:val="00335DB4"/>
    <w:rsid w:val="00335DDA"/>
    <w:rsid w:val="00335E3D"/>
    <w:rsid w:val="00335E58"/>
    <w:rsid w:val="00335E90"/>
    <w:rsid w:val="00335F10"/>
    <w:rsid w:val="00335F5F"/>
    <w:rsid w:val="00335FDD"/>
    <w:rsid w:val="00336099"/>
    <w:rsid w:val="003360B1"/>
    <w:rsid w:val="003360BF"/>
    <w:rsid w:val="00336116"/>
    <w:rsid w:val="00336171"/>
    <w:rsid w:val="003361ED"/>
    <w:rsid w:val="00336209"/>
    <w:rsid w:val="00336360"/>
    <w:rsid w:val="00336391"/>
    <w:rsid w:val="00336394"/>
    <w:rsid w:val="003363E5"/>
    <w:rsid w:val="003363FC"/>
    <w:rsid w:val="00336400"/>
    <w:rsid w:val="00336415"/>
    <w:rsid w:val="0033648F"/>
    <w:rsid w:val="003364B8"/>
    <w:rsid w:val="003364D6"/>
    <w:rsid w:val="0033656D"/>
    <w:rsid w:val="0033659C"/>
    <w:rsid w:val="003365A8"/>
    <w:rsid w:val="00336663"/>
    <w:rsid w:val="00336688"/>
    <w:rsid w:val="0033669D"/>
    <w:rsid w:val="0033669F"/>
    <w:rsid w:val="003366A7"/>
    <w:rsid w:val="003366BD"/>
    <w:rsid w:val="00336780"/>
    <w:rsid w:val="0033680D"/>
    <w:rsid w:val="0033682C"/>
    <w:rsid w:val="0033686B"/>
    <w:rsid w:val="003368F3"/>
    <w:rsid w:val="00336975"/>
    <w:rsid w:val="00336A0C"/>
    <w:rsid w:val="00336A50"/>
    <w:rsid w:val="00336A7F"/>
    <w:rsid w:val="00336AC3"/>
    <w:rsid w:val="00336B15"/>
    <w:rsid w:val="00336BA8"/>
    <w:rsid w:val="00336CB1"/>
    <w:rsid w:val="00336CBD"/>
    <w:rsid w:val="00336DA2"/>
    <w:rsid w:val="00336E74"/>
    <w:rsid w:val="00337059"/>
    <w:rsid w:val="003370B2"/>
    <w:rsid w:val="003370BB"/>
    <w:rsid w:val="00337179"/>
    <w:rsid w:val="003371B3"/>
    <w:rsid w:val="003371B6"/>
    <w:rsid w:val="003371B9"/>
    <w:rsid w:val="003371E4"/>
    <w:rsid w:val="00337204"/>
    <w:rsid w:val="0033720D"/>
    <w:rsid w:val="00337210"/>
    <w:rsid w:val="00337239"/>
    <w:rsid w:val="0033723C"/>
    <w:rsid w:val="00337278"/>
    <w:rsid w:val="003372E5"/>
    <w:rsid w:val="00337324"/>
    <w:rsid w:val="0033732F"/>
    <w:rsid w:val="003373AD"/>
    <w:rsid w:val="003373C6"/>
    <w:rsid w:val="003373E4"/>
    <w:rsid w:val="003373E6"/>
    <w:rsid w:val="003373FA"/>
    <w:rsid w:val="00337411"/>
    <w:rsid w:val="00337466"/>
    <w:rsid w:val="00337487"/>
    <w:rsid w:val="003374A9"/>
    <w:rsid w:val="00337520"/>
    <w:rsid w:val="00337530"/>
    <w:rsid w:val="0033756C"/>
    <w:rsid w:val="003375B3"/>
    <w:rsid w:val="0033762C"/>
    <w:rsid w:val="00337699"/>
    <w:rsid w:val="003376A7"/>
    <w:rsid w:val="0033782C"/>
    <w:rsid w:val="003378E5"/>
    <w:rsid w:val="0033790D"/>
    <w:rsid w:val="0033793D"/>
    <w:rsid w:val="00337988"/>
    <w:rsid w:val="00337A0D"/>
    <w:rsid w:val="00337A3C"/>
    <w:rsid w:val="00337A5A"/>
    <w:rsid w:val="00337A6A"/>
    <w:rsid w:val="00337A6C"/>
    <w:rsid w:val="00337ACD"/>
    <w:rsid w:val="00337B2E"/>
    <w:rsid w:val="00337BED"/>
    <w:rsid w:val="00337C4B"/>
    <w:rsid w:val="00337CF0"/>
    <w:rsid w:val="00337D62"/>
    <w:rsid w:val="00337D66"/>
    <w:rsid w:val="00337DAA"/>
    <w:rsid w:val="00337F00"/>
    <w:rsid w:val="00337F95"/>
    <w:rsid w:val="00337FB4"/>
    <w:rsid w:val="00337FC8"/>
    <w:rsid w:val="0034003D"/>
    <w:rsid w:val="003400EE"/>
    <w:rsid w:val="00340138"/>
    <w:rsid w:val="0034014B"/>
    <w:rsid w:val="003401D5"/>
    <w:rsid w:val="0034022C"/>
    <w:rsid w:val="00340266"/>
    <w:rsid w:val="003402E7"/>
    <w:rsid w:val="003403A9"/>
    <w:rsid w:val="003403CC"/>
    <w:rsid w:val="0034046A"/>
    <w:rsid w:val="0034047D"/>
    <w:rsid w:val="003404E7"/>
    <w:rsid w:val="00340592"/>
    <w:rsid w:val="003406BA"/>
    <w:rsid w:val="003406E7"/>
    <w:rsid w:val="003406FD"/>
    <w:rsid w:val="0034077E"/>
    <w:rsid w:val="0034081B"/>
    <w:rsid w:val="00340849"/>
    <w:rsid w:val="0034086D"/>
    <w:rsid w:val="0034089D"/>
    <w:rsid w:val="003408BB"/>
    <w:rsid w:val="00340919"/>
    <w:rsid w:val="003409B3"/>
    <w:rsid w:val="00340AD9"/>
    <w:rsid w:val="00340B3C"/>
    <w:rsid w:val="00340B81"/>
    <w:rsid w:val="00340B83"/>
    <w:rsid w:val="00340BA1"/>
    <w:rsid w:val="00340C01"/>
    <w:rsid w:val="00340C02"/>
    <w:rsid w:val="00340CE2"/>
    <w:rsid w:val="00340CE3"/>
    <w:rsid w:val="00340CF5"/>
    <w:rsid w:val="00340D03"/>
    <w:rsid w:val="00340E03"/>
    <w:rsid w:val="00340E07"/>
    <w:rsid w:val="00340EAD"/>
    <w:rsid w:val="00340F0C"/>
    <w:rsid w:val="00340F2C"/>
    <w:rsid w:val="00340F5F"/>
    <w:rsid w:val="00340F7E"/>
    <w:rsid w:val="00341028"/>
    <w:rsid w:val="003410A7"/>
    <w:rsid w:val="003410B5"/>
    <w:rsid w:val="0034115D"/>
    <w:rsid w:val="0034116E"/>
    <w:rsid w:val="0034120D"/>
    <w:rsid w:val="00341275"/>
    <w:rsid w:val="003412A8"/>
    <w:rsid w:val="003412AB"/>
    <w:rsid w:val="003412BC"/>
    <w:rsid w:val="003412DB"/>
    <w:rsid w:val="003412EC"/>
    <w:rsid w:val="00341304"/>
    <w:rsid w:val="0034135C"/>
    <w:rsid w:val="00341429"/>
    <w:rsid w:val="00341438"/>
    <w:rsid w:val="00341465"/>
    <w:rsid w:val="0034148A"/>
    <w:rsid w:val="00341536"/>
    <w:rsid w:val="00341537"/>
    <w:rsid w:val="00341619"/>
    <w:rsid w:val="0034162B"/>
    <w:rsid w:val="0034168D"/>
    <w:rsid w:val="003416F2"/>
    <w:rsid w:val="003416F9"/>
    <w:rsid w:val="0034176C"/>
    <w:rsid w:val="003417BB"/>
    <w:rsid w:val="003417F3"/>
    <w:rsid w:val="0034182C"/>
    <w:rsid w:val="0034193F"/>
    <w:rsid w:val="00341942"/>
    <w:rsid w:val="0034194E"/>
    <w:rsid w:val="00341A04"/>
    <w:rsid w:val="00341A2B"/>
    <w:rsid w:val="00341A34"/>
    <w:rsid w:val="00341B24"/>
    <w:rsid w:val="00341BC9"/>
    <w:rsid w:val="00341BE1"/>
    <w:rsid w:val="00341C16"/>
    <w:rsid w:val="00341D43"/>
    <w:rsid w:val="00341DB9"/>
    <w:rsid w:val="00341DC4"/>
    <w:rsid w:val="00341E40"/>
    <w:rsid w:val="00341EF1"/>
    <w:rsid w:val="00341F0C"/>
    <w:rsid w:val="00341FB3"/>
    <w:rsid w:val="00341FC7"/>
    <w:rsid w:val="00342023"/>
    <w:rsid w:val="0034206D"/>
    <w:rsid w:val="003420FD"/>
    <w:rsid w:val="00342135"/>
    <w:rsid w:val="0034213B"/>
    <w:rsid w:val="003421A4"/>
    <w:rsid w:val="003421BE"/>
    <w:rsid w:val="00342252"/>
    <w:rsid w:val="0034225E"/>
    <w:rsid w:val="0034225F"/>
    <w:rsid w:val="00342362"/>
    <w:rsid w:val="003423CC"/>
    <w:rsid w:val="003423FF"/>
    <w:rsid w:val="00342427"/>
    <w:rsid w:val="0034264E"/>
    <w:rsid w:val="00342697"/>
    <w:rsid w:val="003426D6"/>
    <w:rsid w:val="0034278E"/>
    <w:rsid w:val="003427B5"/>
    <w:rsid w:val="00342824"/>
    <w:rsid w:val="00342870"/>
    <w:rsid w:val="003428CF"/>
    <w:rsid w:val="00342955"/>
    <w:rsid w:val="003429E1"/>
    <w:rsid w:val="00342A05"/>
    <w:rsid w:val="00342A08"/>
    <w:rsid w:val="00342A65"/>
    <w:rsid w:val="00342ABF"/>
    <w:rsid w:val="00342AF6"/>
    <w:rsid w:val="00342B31"/>
    <w:rsid w:val="00342BCA"/>
    <w:rsid w:val="00342BFF"/>
    <w:rsid w:val="00342C37"/>
    <w:rsid w:val="00342CAC"/>
    <w:rsid w:val="00342D21"/>
    <w:rsid w:val="00342D38"/>
    <w:rsid w:val="00342D9F"/>
    <w:rsid w:val="00342DF7"/>
    <w:rsid w:val="00342E16"/>
    <w:rsid w:val="00342E1B"/>
    <w:rsid w:val="00342E80"/>
    <w:rsid w:val="00342E9D"/>
    <w:rsid w:val="00342EBC"/>
    <w:rsid w:val="00342EFB"/>
    <w:rsid w:val="00342F18"/>
    <w:rsid w:val="00342F66"/>
    <w:rsid w:val="00342F82"/>
    <w:rsid w:val="00342F91"/>
    <w:rsid w:val="00342FA1"/>
    <w:rsid w:val="00342FEA"/>
    <w:rsid w:val="00343022"/>
    <w:rsid w:val="003430AE"/>
    <w:rsid w:val="00343103"/>
    <w:rsid w:val="0034316D"/>
    <w:rsid w:val="003431A9"/>
    <w:rsid w:val="003431EC"/>
    <w:rsid w:val="003432AB"/>
    <w:rsid w:val="0034337D"/>
    <w:rsid w:val="003433A5"/>
    <w:rsid w:val="00343435"/>
    <w:rsid w:val="003434EC"/>
    <w:rsid w:val="003434F1"/>
    <w:rsid w:val="00343510"/>
    <w:rsid w:val="003435E7"/>
    <w:rsid w:val="0034364D"/>
    <w:rsid w:val="00343675"/>
    <w:rsid w:val="003436B8"/>
    <w:rsid w:val="0034374E"/>
    <w:rsid w:val="0034377E"/>
    <w:rsid w:val="003437C6"/>
    <w:rsid w:val="003437F3"/>
    <w:rsid w:val="003438A7"/>
    <w:rsid w:val="00343919"/>
    <w:rsid w:val="00343949"/>
    <w:rsid w:val="003439A4"/>
    <w:rsid w:val="003439B0"/>
    <w:rsid w:val="003439DE"/>
    <w:rsid w:val="00343B07"/>
    <w:rsid w:val="00343BE1"/>
    <w:rsid w:val="00343C1E"/>
    <w:rsid w:val="00343C55"/>
    <w:rsid w:val="00343C73"/>
    <w:rsid w:val="00343CA5"/>
    <w:rsid w:val="00343DDD"/>
    <w:rsid w:val="00343E1E"/>
    <w:rsid w:val="00343E3E"/>
    <w:rsid w:val="00343EA9"/>
    <w:rsid w:val="00343EB5"/>
    <w:rsid w:val="00344070"/>
    <w:rsid w:val="00344159"/>
    <w:rsid w:val="003441A8"/>
    <w:rsid w:val="003441E1"/>
    <w:rsid w:val="003441E9"/>
    <w:rsid w:val="00344246"/>
    <w:rsid w:val="00344259"/>
    <w:rsid w:val="00344282"/>
    <w:rsid w:val="0034430B"/>
    <w:rsid w:val="00344311"/>
    <w:rsid w:val="003443EF"/>
    <w:rsid w:val="0034441E"/>
    <w:rsid w:val="00344428"/>
    <w:rsid w:val="003444D0"/>
    <w:rsid w:val="003445AA"/>
    <w:rsid w:val="003445F2"/>
    <w:rsid w:val="00344634"/>
    <w:rsid w:val="0034466C"/>
    <w:rsid w:val="0034468A"/>
    <w:rsid w:val="003446D1"/>
    <w:rsid w:val="00344722"/>
    <w:rsid w:val="0034472A"/>
    <w:rsid w:val="00344755"/>
    <w:rsid w:val="00344787"/>
    <w:rsid w:val="003447F9"/>
    <w:rsid w:val="0034487A"/>
    <w:rsid w:val="003448A8"/>
    <w:rsid w:val="003448F6"/>
    <w:rsid w:val="00344918"/>
    <w:rsid w:val="003449B3"/>
    <w:rsid w:val="00344A95"/>
    <w:rsid w:val="00344B50"/>
    <w:rsid w:val="00344C1D"/>
    <w:rsid w:val="00344CC6"/>
    <w:rsid w:val="00344D90"/>
    <w:rsid w:val="00344E2F"/>
    <w:rsid w:val="00344EAB"/>
    <w:rsid w:val="00344F02"/>
    <w:rsid w:val="00344F65"/>
    <w:rsid w:val="00344FA0"/>
    <w:rsid w:val="00345198"/>
    <w:rsid w:val="0034526B"/>
    <w:rsid w:val="0034529A"/>
    <w:rsid w:val="003452C7"/>
    <w:rsid w:val="003452CA"/>
    <w:rsid w:val="0034530B"/>
    <w:rsid w:val="0034537F"/>
    <w:rsid w:val="00345455"/>
    <w:rsid w:val="003454AF"/>
    <w:rsid w:val="003454E0"/>
    <w:rsid w:val="0034557E"/>
    <w:rsid w:val="0034569C"/>
    <w:rsid w:val="003456BE"/>
    <w:rsid w:val="003456D4"/>
    <w:rsid w:val="00345771"/>
    <w:rsid w:val="0034578C"/>
    <w:rsid w:val="00345810"/>
    <w:rsid w:val="003458AC"/>
    <w:rsid w:val="00345937"/>
    <w:rsid w:val="00345955"/>
    <w:rsid w:val="00345972"/>
    <w:rsid w:val="00345A2B"/>
    <w:rsid w:val="00345A35"/>
    <w:rsid w:val="00345A45"/>
    <w:rsid w:val="00345A53"/>
    <w:rsid w:val="00345AE7"/>
    <w:rsid w:val="00345AEC"/>
    <w:rsid w:val="00345B0A"/>
    <w:rsid w:val="00345B4C"/>
    <w:rsid w:val="00345B64"/>
    <w:rsid w:val="00345BA1"/>
    <w:rsid w:val="00345BB9"/>
    <w:rsid w:val="00345BE8"/>
    <w:rsid w:val="00345BF6"/>
    <w:rsid w:val="00345C11"/>
    <w:rsid w:val="00345CC7"/>
    <w:rsid w:val="00345CD6"/>
    <w:rsid w:val="00345D46"/>
    <w:rsid w:val="00345D50"/>
    <w:rsid w:val="00345D5E"/>
    <w:rsid w:val="00345DA8"/>
    <w:rsid w:val="00345E4C"/>
    <w:rsid w:val="00345E5D"/>
    <w:rsid w:val="00345EDB"/>
    <w:rsid w:val="00345EE5"/>
    <w:rsid w:val="00345F5F"/>
    <w:rsid w:val="00345FB7"/>
    <w:rsid w:val="00345FB9"/>
    <w:rsid w:val="00345FFA"/>
    <w:rsid w:val="00346025"/>
    <w:rsid w:val="00346089"/>
    <w:rsid w:val="003460C9"/>
    <w:rsid w:val="0034614B"/>
    <w:rsid w:val="003461A2"/>
    <w:rsid w:val="00346220"/>
    <w:rsid w:val="003462DA"/>
    <w:rsid w:val="0034633F"/>
    <w:rsid w:val="00346340"/>
    <w:rsid w:val="003463EC"/>
    <w:rsid w:val="00346443"/>
    <w:rsid w:val="0034649D"/>
    <w:rsid w:val="003464E0"/>
    <w:rsid w:val="00346502"/>
    <w:rsid w:val="00346545"/>
    <w:rsid w:val="00346558"/>
    <w:rsid w:val="0034655C"/>
    <w:rsid w:val="003465AB"/>
    <w:rsid w:val="003465D2"/>
    <w:rsid w:val="0034663F"/>
    <w:rsid w:val="0034665E"/>
    <w:rsid w:val="0034665F"/>
    <w:rsid w:val="0034669E"/>
    <w:rsid w:val="0034672B"/>
    <w:rsid w:val="00346738"/>
    <w:rsid w:val="00346850"/>
    <w:rsid w:val="00346862"/>
    <w:rsid w:val="00346933"/>
    <w:rsid w:val="00346A44"/>
    <w:rsid w:val="00346A9D"/>
    <w:rsid w:val="00346C9A"/>
    <w:rsid w:val="00346CC0"/>
    <w:rsid w:val="00346E17"/>
    <w:rsid w:val="00346E8F"/>
    <w:rsid w:val="00346EB0"/>
    <w:rsid w:val="00346EE1"/>
    <w:rsid w:val="00346EE7"/>
    <w:rsid w:val="00346EF8"/>
    <w:rsid w:val="00346F1C"/>
    <w:rsid w:val="00346F71"/>
    <w:rsid w:val="00346FA2"/>
    <w:rsid w:val="00346FB2"/>
    <w:rsid w:val="00346FB3"/>
    <w:rsid w:val="00347011"/>
    <w:rsid w:val="0034709D"/>
    <w:rsid w:val="003471D2"/>
    <w:rsid w:val="0034721B"/>
    <w:rsid w:val="0034721F"/>
    <w:rsid w:val="00347234"/>
    <w:rsid w:val="00347246"/>
    <w:rsid w:val="0034725C"/>
    <w:rsid w:val="0034729E"/>
    <w:rsid w:val="003472BB"/>
    <w:rsid w:val="003472F0"/>
    <w:rsid w:val="003473E9"/>
    <w:rsid w:val="00347412"/>
    <w:rsid w:val="0034743D"/>
    <w:rsid w:val="00347443"/>
    <w:rsid w:val="00347497"/>
    <w:rsid w:val="0034749B"/>
    <w:rsid w:val="003474AB"/>
    <w:rsid w:val="0034751F"/>
    <w:rsid w:val="003475BB"/>
    <w:rsid w:val="003475D8"/>
    <w:rsid w:val="00347626"/>
    <w:rsid w:val="0034769C"/>
    <w:rsid w:val="0034774F"/>
    <w:rsid w:val="00347786"/>
    <w:rsid w:val="003478BD"/>
    <w:rsid w:val="003478DF"/>
    <w:rsid w:val="003478EA"/>
    <w:rsid w:val="0034794E"/>
    <w:rsid w:val="003479BE"/>
    <w:rsid w:val="003479F5"/>
    <w:rsid w:val="00347ABD"/>
    <w:rsid w:val="00347B87"/>
    <w:rsid w:val="00347BB0"/>
    <w:rsid w:val="00347C58"/>
    <w:rsid w:val="00347C73"/>
    <w:rsid w:val="00347D11"/>
    <w:rsid w:val="00347D6F"/>
    <w:rsid w:val="00347DDA"/>
    <w:rsid w:val="00347E8B"/>
    <w:rsid w:val="00347EF1"/>
    <w:rsid w:val="00350040"/>
    <w:rsid w:val="00350076"/>
    <w:rsid w:val="00350176"/>
    <w:rsid w:val="0035020A"/>
    <w:rsid w:val="003502FF"/>
    <w:rsid w:val="0035032D"/>
    <w:rsid w:val="0035036C"/>
    <w:rsid w:val="0035038E"/>
    <w:rsid w:val="00350393"/>
    <w:rsid w:val="003503D3"/>
    <w:rsid w:val="003503E5"/>
    <w:rsid w:val="00350419"/>
    <w:rsid w:val="00350485"/>
    <w:rsid w:val="003504EF"/>
    <w:rsid w:val="00350578"/>
    <w:rsid w:val="0035057B"/>
    <w:rsid w:val="003505A9"/>
    <w:rsid w:val="003505AE"/>
    <w:rsid w:val="003505CF"/>
    <w:rsid w:val="003506E3"/>
    <w:rsid w:val="00350766"/>
    <w:rsid w:val="003507CE"/>
    <w:rsid w:val="003507F8"/>
    <w:rsid w:val="003508A6"/>
    <w:rsid w:val="00350912"/>
    <w:rsid w:val="00350915"/>
    <w:rsid w:val="00350948"/>
    <w:rsid w:val="003509A9"/>
    <w:rsid w:val="003509B0"/>
    <w:rsid w:val="003509B7"/>
    <w:rsid w:val="003509D4"/>
    <w:rsid w:val="003509E4"/>
    <w:rsid w:val="00350A42"/>
    <w:rsid w:val="00350A4F"/>
    <w:rsid w:val="00350ACE"/>
    <w:rsid w:val="00350B4A"/>
    <w:rsid w:val="00350BDF"/>
    <w:rsid w:val="00350C3C"/>
    <w:rsid w:val="00350CD2"/>
    <w:rsid w:val="00350D05"/>
    <w:rsid w:val="00350D28"/>
    <w:rsid w:val="00350DCF"/>
    <w:rsid w:val="00350E9E"/>
    <w:rsid w:val="00350EF9"/>
    <w:rsid w:val="00350F1C"/>
    <w:rsid w:val="00350F74"/>
    <w:rsid w:val="00350FA6"/>
    <w:rsid w:val="003510D5"/>
    <w:rsid w:val="0035111F"/>
    <w:rsid w:val="00351176"/>
    <w:rsid w:val="00351245"/>
    <w:rsid w:val="003512B9"/>
    <w:rsid w:val="0035131D"/>
    <w:rsid w:val="00351375"/>
    <w:rsid w:val="00351391"/>
    <w:rsid w:val="00351397"/>
    <w:rsid w:val="003514C0"/>
    <w:rsid w:val="003514D8"/>
    <w:rsid w:val="003514FC"/>
    <w:rsid w:val="00351590"/>
    <w:rsid w:val="0035160F"/>
    <w:rsid w:val="0035164B"/>
    <w:rsid w:val="003516F2"/>
    <w:rsid w:val="00351737"/>
    <w:rsid w:val="0035176C"/>
    <w:rsid w:val="0035178A"/>
    <w:rsid w:val="003517F4"/>
    <w:rsid w:val="00351816"/>
    <w:rsid w:val="00351820"/>
    <w:rsid w:val="003518F5"/>
    <w:rsid w:val="003519F6"/>
    <w:rsid w:val="00351AA3"/>
    <w:rsid w:val="00351B4D"/>
    <w:rsid w:val="00351B89"/>
    <w:rsid w:val="00351BEC"/>
    <w:rsid w:val="00351C29"/>
    <w:rsid w:val="00351C8E"/>
    <w:rsid w:val="00351DEE"/>
    <w:rsid w:val="00351DFD"/>
    <w:rsid w:val="00351E6C"/>
    <w:rsid w:val="00351EAE"/>
    <w:rsid w:val="00351FC1"/>
    <w:rsid w:val="00352011"/>
    <w:rsid w:val="00352125"/>
    <w:rsid w:val="00352138"/>
    <w:rsid w:val="0035218C"/>
    <w:rsid w:val="0035218F"/>
    <w:rsid w:val="003521CF"/>
    <w:rsid w:val="0035220B"/>
    <w:rsid w:val="00352222"/>
    <w:rsid w:val="0035226D"/>
    <w:rsid w:val="003522CD"/>
    <w:rsid w:val="00352304"/>
    <w:rsid w:val="0035232A"/>
    <w:rsid w:val="0035237C"/>
    <w:rsid w:val="003523D1"/>
    <w:rsid w:val="00352400"/>
    <w:rsid w:val="0035240C"/>
    <w:rsid w:val="00352427"/>
    <w:rsid w:val="00352430"/>
    <w:rsid w:val="0035246E"/>
    <w:rsid w:val="00352496"/>
    <w:rsid w:val="003524D4"/>
    <w:rsid w:val="003524E3"/>
    <w:rsid w:val="0035251E"/>
    <w:rsid w:val="003525C5"/>
    <w:rsid w:val="003525F3"/>
    <w:rsid w:val="003526B7"/>
    <w:rsid w:val="003526D4"/>
    <w:rsid w:val="003526E7"/>
    <w:rsid w:val="003526EB"/>
    <w:rsid w:val="0035274A"/>
    <w:rsid w:val="0035279C"/>
    <w:rsid w:val="003527DD"/>
    <w:rsid w:val="00352812"/>
    <w:rsid w:val="0035289A"/>
    <w:rsid w:val="0035292C"/>
    <w:rsid w:val="00352937"/>
    <w:rsid w:val="0035295F"/>
    <w:rsid w:val="003529F4"/>
    <w:rsid w:val="00352A2D"/>
    <w:rsid w:val="00352B67"/>
    <w:rsid w:val="00352BE2"/>
    <w:rsid w:val="00352C0C"/>
    <w:rsid w:val="00352C91"/>
    <w:rsid w:val="00352CCF"/>
    <w:rsid w:val="00352CDA"/>
    <w:rsid w:val="00352D42"/>
    <w:rsid w:val="00352DBF"/>
    <w:rsid w:val="00352E27"/>
    <w:rsid w:val="00352E79"/>
    <w:rsid w:val="00352EBF"/>
    <w:rsid w:val="00352F0F"/>
    <w:rsid w:val="00352F62"/>
    <w:rsid w:val="00352F6B"/>
    <w:rsid w:val="0035301A"/>
    <w:rsid w:val="0035304C"/>
    <w:rsid w:val="0035322E"/>
    <w:rsid w:val="00353273"/>
    <w:rsid w:val="00353339"/>
    <w:rsid w:val="003533AB"/>
    <w:rsid w:val="003535C9"/>
    <w:rsid w:val="00353633"/>
    <w:rsid w:val="0035367C"/>
    <w:rsid w:val="0035369D"/>
    <w:rsid w:val="003536E5"/>
    <w:rsid w:val="003537D3"/>
    <w:rsid w:val="003537F9"/>
    <w:rsid w:val="00353882"/>
    <w:rsid w:val="00353891"/>
    <w:rsid w:val="00353903"/>
    <w:rsid w:val="00353905"/>
    <w:rsid w:val="00353910"/>
    <w:rsid w:val="00353917"/>
    <w:rsid w:val="00353987"/>
    <w:rsid w:val="003539E1"/>
    <w:rsid w:val="00353A12"/>
    <w:rsid w:val="00353A16"/>
    <w:rsid w:val="00353A95"/>
    <w:rsid w:val="00353AEC"/>
    <w:rsid w:val="00353B00"/>
    <w:rsid w:val="00353B0A"/>
    <w:rsid w:val="00353B0B"/>
    <w:rsid w:val="00353B60"/>
    <w:rsid w:val="00353B69"/>
    <w:rsid w:val="00353B7C"/>
    <w:rsid w:val="00353B87"/>
    <w:rsid w:val="00353BBC"/>
    <w:rsid w:val="00353C2A"/>
    <w:rsid w:val="00353C4F"/>
    <w:rsid w:val="00353C6A"/>
    <w:rsid w:val="00353CC0"/>
    <w:rsid w:val="00353D2B"/>
    <w:rsid w:val="00353DDE"/>
    <w:rsid w:val="00353E47"/>
    <w:rsid w:val="00353EE7"/>
    <w:rsid w:val="00353F59"/>
    <w:rsid w:val="00353FA2"/>
    <w:rsid w:val="003540A8"/>
    <w:rsid w:val="00354130"/>
    <w:rsid w:val="00354219"/>
    <w:rsid w:val="00354239"/>
    <w:rsid w:val="00354298"/>
    <w:rsid w:val="003542FF"/>
    <w:rsid w:val="00354355"/>
    <w:rsid w:val="0035439B"/>
    <w:rsid w:val="003543AE"/>
    <w:rsid w:val="003543F7"/>
    <w:rsid w:val="0035447F"/>
    <w:rsid w:val="00354488"/>
    <w:rsid w:val="00354491"/>
    <w:rsid w:val="003546B5"/>
    <w:rsid w:val="003546C9"/>
    <w:rsid w:val="003546E4"/>
    <w:rsid w:val="0035473A"/>
    <w:rsid w:val="00354781"/>
    <w:rsid w:val="003547C4"/>
    <w:rsid w:val="00354813"/>
    <w:rsid w:val="00354854"/>
    <w:rsid w:val="0035488D"/>
    <w:rsid w:val="0035488E"/>
    <w:rsid w:val="00354899"/>
    <w:rsid w:val="003548DB"/>
    <w:rsid w:val="003548FF"/>
    <w:rsid w:val="00354923"/>
    <w:rsid w:val="0035498C"/>
    <w:rsid w:val="00354A08"/>
    <w:rsid w:val="00354A30"/>
    <w:rsid w:val="00354A58"/>
    <w:rsid w:val="00354AEE"/>
    <w:rsid w:val="00354AFF"/>
    <w:rsid w:val="00354B03"/>
    <w:rsid w:val="00354B05"/>
    <w:rsid w:val="00354BC1"/>
    <w:rsid w:val="00354BD3"/>
    <w:rsid w:val="00354BEC"/>
    <w:rsid w:val="00354C63"/>
    <w:rsid w:val="00354CEB"/>
    <w:rsid w:val="00354D20"/>
    <w:rsid w:val="00354DD0"/>
    <w:rsid w:val="00354E05"/>
    <w:rsid w:val="00354E1D"/>
    <w:rsid w:val="00354E37"/>
    <w:rsid w:val="00354ED1"/>
    <w:rsid w:val="00354ED9"/>
    <w:rsid w:val="00354F03"/>
    <w:rsid w:val="00354F36"/>
    <w:rsid w:val="0035508B"/>
    <w:rsid w:val="0035517C"/>
    <w:rsid w:val="00355184"/>
    <w:rsid w:val="003551A2"/>
    <w:rsid w:val="003552FA"/>
    <w:rsid w:val="00355354"/>
    <w:rsid w:val="00355373"/>
    <w:rsid w:val="003553D3"/>
    <w:rsid w:val="00355451"/>
    <w:rsid w:val="00355459"/>
    <w:rsid w:val="0035551A"/>
    <w:rsid w:val="00355530"/>
    <w:rsid w:val="003555AC"/>
    <w:rsid w:val="003555BC"/>
    <w:rsid w:val="00355635"/>
    <w:rsid w:val="00355667"/>
    <w:rsid w:val="00355682"/>
    <w:rsid w:val="003557E9"/>
    <w:rsid w:val="003557F5"/>
    <w:rsid w:val="0035583D"/>
    <w:rsid w:val="0035590F"/>
    <w:rsid w:val="00355942"/>
    <w:rsid w:val="003559D5"/>
    <w:rsid w:val="003559F9"/>
    <w:rsid w:val="00355A2E"/>
    <w:rsid w:val="00355AA4"/>
    <w:rsid w:val="00355B5E"/>
    <w:rsid w:val="00355B94"/>
    <w:rsid w:val="00355BC8"/>
    <w:rsid w:val="00355C0E"/>
    <w:rsid w:val="00355C30"/>
    <w:rsid w:val="00355C94"/>
    <w:rsid w:val="00355C9A"/>
    <w:rsid w:val="00355D3A"/>
    <w:rsid w:val="00355D5A"/>
    <w:rsid w:val="00355D69"/>
    <w:rsid w:val="00355D78"/>
    <w:rsid w:val="00355DBD"/>
    <w:rsid w:val="00355DC3"/>
    <w:rsid w:val="00355DF8"/>
    <w:rsid w:val="00355E64"/>
    <w:rsid w:val="00355E9E"/>
    <w:rsid w:val="00355EFA"/>
    <w:rsid w:val="00355F4B"/>
    <w:rsid w:val="00355FF3"/>
    <w:rsid w:val="0035600A"/>
    <w:rsid w:val="00356160"/>
    <w:rsid w:val="00356163"/>
    <w:rsid w:val="003561B2"/>
    <w:rsid w:val="003561B4"/>
    <w:rsid w:val="0035627D"/>
    <w:rsid w:val="003562B8"/>
    <w:rsid w:val="003562E9"/>
    <w:rsid w:val="003562EE"/>
    <w:rsid w:val="0035634A"/>
    <w:rsid w:val="003563BB"/>
    <w:rsid w:val="00356403"/>
    <w:rsid w:val="00356450"/>
    <w:rsid w:val="00356458"/>
    <w:rsid w:val="003564AF"/>
    <w:rsid w:val="003564B1"/>
    <w:rsid w:val="003564B8"/>
    <w:rsid w:val="00356560"/>
    <w:rsid w:val="00356563"/>
    <w:rsid w:val="00356598"/>
    <w:rsid w:val="0035664A"/>
    <w:rsid w:val="00356748"/>
    <w:rsid w:val="00356750"/>
    <w:rsid w:val="00356764"/>
    <w:rsid w:val="00356776"/>
    <w:rsid w:val="0035677D"/>
    <w:rsid w:val="00356804"/>
    <w:rsid w:val="0035680A"/>
    <w:rsid w:val="003568E5"/>
    <w:rsid w:val="00356918"/>
    <w:rsid w:val="00356A23"/>
    <w:rsid w:val="00356A8B"/>
    <w:rsid w:val="00356AA8"/>
    <w:rsid w:val="00356BC5"/>
    <w:rsid w:val="00356BCE"/>
    <w:rsid w:val="00356C38"/>
    <w:rsid w:val="00356C86"/>
    <w:rsid w:val="00356DB1"/>
    <w:rsid w:val="00356E05"/>
    <w:rsid w:val="00356E2F"/>
    <w:rsid w:val="00356E50"/>
    <w:rsid w:val="00356E56"/>
    <w:rsid w:val="00356E74"/>
    <w:rsid w:val="00356F2D"/>
    <w:rsid w:val="00356FBD"/>
    <w:rsid w:val="00356FE4"/>
    <w:rsid w:val="00357092"/>
    <w:rsid w:val="003570BB"/>
    <w:rsid w:val="003570BD"/>
    <w:rsid w:val="00357153"/>
    <w:rsid w:val="0035718C"/>
    <w:rsid w:val="00357192"/>
    <w:rsid w:val="003571AA"/>
    <w:rsid w:val="003571F5"/>
    <w:rsid w:val="00357207"/>
    <w:rsid w:val="00357250"/>
    <w:rsid w:val="003572BB"/>
    <w:rsid w:val="0035736D"/>
    <w:rsid w:val="0035737B"/>
    <w:rsid w:val="00357393"/>
    <w:rsid w:val="003573D2"/>
    <w:rsid w:val="003573D4"/>
    <w:rsid w:val="00357423"/>
    <w:rsid w:val="0035746E"/>
    <w:rsid w:val="00357486"/>
    <w:rsid w:val="003574C4"/>
    <w:rsid w:val="003574CA"/>
    <w:rsid w:val="00357556"/>
    <w:rsid w:val="00357584"/>
    <w:rsid w:val="00357697"/>
    <w:rsid w:val="003576F1"/>
    <w:rsid w:val="0035782F"/>
    <w:rsid w:val="00357842"/>
    <w:rsid w:val="003579A3"/>
    <w:rsid w:val="003579C4"/>
    <w:rsid w:val="00357A40"/>
    <w:rsid w:val="00357A43"/>
    <w:rsid w:val="00357AB2"/>
    <w:rsid w:val="00357B31"/>
    <w:rsid w:val="00357BDD"/>
    <w:rsid w:val="00357BE3"/>
    <w:rsid w:val="00357BE5"/>
    <w:rsid w:val="00357C78"/>
    <w:rsid w:val="00357CA8"/>
    <w:rsid w:val="00357CC1"/>
    <w:rsid w:val="00357CE0"/>
    <w:rsid w:val="00357D0A"/>
    <w:rsid w:val="00357D88"/>
    <w:rsid w:val="00357F08"/>
    <w:rsid w:val="00357F2C"/>
    <w:rsid w:val="00357F61"/>
    <w:rsid w:val="00360083"/>
    <w:rsid w:val="0036011E"/>
    <w:rsid w:val="00360122"/>
    <w:rsid w:val="00360129"/>
    <w:rsid w:val="00360157"/>
    <w:rsid w:val="00360250"/>
    <w:rsid w:val="0036029C"/>
    <w:rsid w:val="003602AA"/>
    <w:rsid w:val="003602B4"/>
    <w:rsid w:val="003602D2"/>
    <w:rsid w:val="00360317"/>
    <w:rsid w:val="0036031E"/>
    <w:rsid w:val="00360384"/>
    <w:rsid w:val="003603B7"/>
    <w:rsid w:val="003603F5"/>
    <w:rsid w:val="0036045A"/>
    <w:rsid w:val="003604EA"/>
    <w:rsid w:val="00360550"/>
    <w:rsid w:val="00360597"/>
    <w:rsid w:val="00360598"/>
    <w:rsid w:val="003605D1"/>
    <w:rsid w:val="00360637"/>
    <w:rsid w:val="003606AB"/>
    <w:rsid w:val="003606E1"/>
    <w:rsid w:val="00360773"/>
    <w:rsid w:val="003607C6"/>
    <w:rsid w:val="0036081E"/>
    <w:rsid w:val="00360825"/>
    <w:rsid w:val="00360871"/>
    <w:rsid w:val="003608A4"/>
    <w:rsid w:val="003608DB"/>
    <w:rsid w:val="003608EB"/>
    <w:rsid w:val="0036091A"/>
    <w:rsid w:val="0036091B"/>
    <w:rsid w:val="00360988"/>
    <w:rsid w:val="003609B0"/>
    <w:rsid w:val="00360A41"/>
    <w:rsid w:val="00360A60"/>
    <w:rsid w:val="00360A9E"/>
    <w:rsid w:val="00360AA5"/>
    <w:rsid w:val="00360B4F"/>
    <w:rsid w:val="00360B81"/>
    <w:rsid w:val="00360BD8"/>
    <w:rsid w:val="00360C10"/>
    <w:rsid w:val="00360C45"/>
    <w:rsid w:val="00360C47"/>
    <w:rsid w:val="00360C70"/>
    <w:rsid w:val="00360CF8"/>
    <w:rsid w:val="00360D43"/>
    <w:rsid w:val="00360D4F"/>
    <w:rsid w:val="00360D74"/>
    <w:rsid w:val="00360D7D"/>
    <w:rsid w:val="00360E09"/>
    <w:rsid w:val="00360E9F"/>
    <w:rsid w:val="00360FA0"/>
    <w:rsid w:val="00360FF5"/>
    <w:rsid w:val="00360FFA"/>
    <w:rsid w:val="0036101A"/>
    <w:rsid w:val="00361032"/>
    <w:rsid w:val="003610FA"/>
    <w:rsid w:val="00361145"/>
    <w:rsid w:val="003611D4"/>
    <w:rsid w:val="00361208"/>
    <w:rsid w:val="00361276"/>
    <w:rsid w:val="003612EB"/>
    <w:rsid w:val="00361320"/>
    <w:rsid w:val="00361355"/>
    <w:rsid w:val="0036136B"/>
    <w:rsid w:val="00361409"/>
    <w:rsid w:val="0036149E"/>
    <w:rsid w:val="003614C9"/>
    <w:rsid w:val="003614D9"/>
    <w:rsid w:val="003614E0"/>
    <w:rsid w:val="003614F3"/>
    <w:rsid w:val="0036157C"/>
    <w:rsid w:val="003615FC"/>
    <w:rsid w:val="00361608"/>
    <w:rsid w:val="0036160F"/>
    <w:rsid w:val="0036162C"/>
    <w:rsid w:val="00361655"/>
    <w:rsid w:val="00361659"/>
    <w:rsid w:val="003616B7"/>
    <w:rsid w:val="00361717"/>
    <w:rsid w:val="003617B5"/>
    <w:rsid w:val="0036189F"/>
    <w:rsid w:val="003618AC"/>
    <w:rsid w:val="0036192C"/>
    <w:rsid w:val="00361961"/>
    <w:rsid w:val="00361A21"/>
    <w:rsid w:val="00361AB2"/>
    <w:rsid w:val="00361AE6"/>
    <w:rsid w:val="00361BA8"/>
    <w:rsid w:val="00361BCC"/>
    <w:rsid w:val="00361D03"/>
    <w:rsid w:val="00361D0C"/>
    <w:rsid w:val="00361D52"/>
    <w:rsid w:val="00361E14"/>
    <w:rsid w:val="00361F53"/>
    <w:rsid w:val="00361F62"/>
    <w:rsid w:val="00361F7A"/>
    <w:rsid w:val="00361F86"/>
    <w:rsid w:val="00361FC6"/>
    <w:rsid w:val="00361FEC"/>
    <w:rsid w:val="00361FEE"/>
    <w:rsid w:val="00362036"/>
    <w:rsid w:val="00362096"/>
    <w:rsid w:val="003620AC"/>
    <w:rsid w:val="0036213B"/>
    <w:rsid w:val="0036222F"/>
    <w:rsid w:val="00362235"/>
    <w:rsid w:val="003622CA"/>
    <w:rsid w:val="00362595"/>
    <w:rsid w:val="003625AD"/>
    <w:rsid w:val="003625BE"/>
    <w:rsid w:val="0036262A"/>
    <w:rsid w:val="0036264F"/>
    <w:rsid w:val="00362699"/>
    <w:rsid w:val="0036270A"/>
    <w:rsid w:val="00362960"/>
    <w:rsid w:val="00362963"/>
    <w:rsid w:val="00362966"/>
    <w:rsid w:val="003629BE"/>
    <w:rsid w:val="003629FA"/>
    <w:rsid w:val="003629FB"/>
    <w:rsid w:val="00362A08"/>
    <w:rsid w:val="00362A25"/>
    <w:rsid w:val="00362A3D"/>
    <w:rsid w:val="00362AF4"/>
    <w:rsid w:val="00362BCB"/>
    <w:rsid w:val="00362BD8"/>
    <w:rsid w:val="00362BDC"/>
    <w:rsid w:val="00362BE0"/>
    <w:rsid w:val="00362C1A"/>
    <w:rsid w:val="00362C4F"/>
    <w:rsid w:val="00362C57"/>
    <w:rsid w:val="00362C83"/>
    <w:rsid w:val="00362C93"/>
    <w:rsid w:val="00362D39"/>
    <w:rsid w:val="00362E21"/>
    <w:rsid w:val="00362E2D"/>
    <w:rsid w:val="00362E47"/>
    <w:rsid w:val="00362E81"/>
    <w:rsid w:val="00362EE3"/>
    <w:rsid w:val="00362F0B"/>
    <w:rsid w:val="00362FBB"/>
    <w:rsid w:val="00362FD1"/>
    <w:rsid w:val="003630F3"/>
    <w:rsid w:val="00363177"/>
    <w:rsid w:val="003631B4"/>
    <w:rsid w:val="003631CD"/>
    <w:rsid w:val="0036320F"/>
    <w:rsid w:val="0036322B"/>
    <w:rsid w:val="003632BD"/>
    <w:rsid w:val="003633E3"/>
    <w:rsid w:val="00363449"/>
    <w:rsid w:val="003635AF"/>
    <w:rsid w:val="003635CE"/>
    <w:rsid w:val="003635F0"/>
    <w:rsid w:val="00363695"/>
    <w:rsid w:val="003636BB"/>
    <w:rsid w:val="00363700"/>
    <w:rsid w:val="00363702"/>
    <w:rsid w:val="0036370C"/>
    <w:rsid w:val="00363811"/>
    <w:rsid w:val="0036385C"/>
    <w:rsid w:val="003638E9"/>
    <w:rsid w:val="003639F3"/>
    <w:rsid w:val="00363A1D"/>
    <w:rsid w:val="00363A36"/>
    <w:rsid w:val="00363A56"/>
    <w:rsid w:val="00363A7F"/>
    <w:rsid w:val="00363AEE"/>
    <w:rsid w:val="00363B6F"/>
    <w:rsid w:val="00363B99"/>
    <w:rsid w:val="00363BB2"/>
    <w:rsid w:val="00363C73"/>
    <w:rsid w:val="00363CF4"/>
    <w:rsid w:val="00363D7F"/>
    <w:rsid w:val="00363DA6"/>
    <w:rsid w:val="00363DB6"/>
    <w:rsid w:val="00363E90"/>
    <w:rsid w:val="00363E9E"/>
    <w:rsid w:val="003640D1"/>
    <w:rsid w:val="003640D4"/>
    <w:rsid w:val="0036419F"/>
    <w:rsid w:val="0036425F"/>
    <w:rsid w:val="00364291"/>
    <w:rsid w:val="003642B9"/>
    <w:rsid w:val="003642F5"/>
    <w:rsid w:val="00364337"/>
    <w:rsid w:val="00364384"/>
    <w:rsid w:val="00364390"/>
    <w:rsid w:val="003643F6"/>
    <w:rsid w:val="00364463"/>
    <w:rsid w:val="00364496"/>
    <w:rsid w:val="0036451C"/>
    <w:rsid w:val="00364539"/>
    <w:rsid w:val="00364575"/>
    <w:rsid w:val="0036459F"/>
    <w:rsid w:val="003645AB"/>
    <w:rsid w:val="00364604"/>
    <w:rsid w:val="00364630"/>
    <w:rsid w:val="00364679"/>
    <w:rsid w:val="003646BF"/>
    <w:rsid w:val="003646DF"/>
    <w:rsid w:val="00364725"/>
    <w:rsid w:val="00364744"/>
    <w:rsid w:val="00364899"/>
    <w:rsid w:val="003648B1"/>
    <w:rsid w:val="0036494E"/>
    <w:rsid w:val="0036495E"/>
    <w:rsid w:val="0036497E"/>
    <w:rsid w:val="003649C5"/>
    <w:rsid w:val="003649F1"/>
    <w:rsid w:val="00364A38"/>
    <w:rsid w:val="00364A75"/>
    <w:rsid w:val="00364A95"/>
    <w:rsid w:val="00364ADF"/>
    <w:rsid w:val="00364AEA"/>
    <w:rsid w:val="00364B7B"/>
    <w:rsid w:val="00364B99"/>
    <w:rsid w:val="00364BD1"/>
    <w:rsid w:val="00364BF3"/>
    <w:rsid w:val="00364C33"/>
    <w:rsid w:val="00364D3B"/>
    <w:rsid w:val="00364E91"/>
    <w:rsid w:val="00364F20"/>
    <w:rsid w:val="00364F57"/>
    <w:rsid w:val="00364FAD"/>
    <w:rsid w:val="00364FCC"/>
    <w:rsid w:val="00364FD6"/>
    <w:rsid w:val="00364FF5"/>
    <w:rsid w:val="0036504F"/>
    <w:rsid w:val="00365133"/>
    <w:rsid w:val="003651D8"/>
    <w:rsid w:val="00365217"/>
    <w:rsid w:val="00365242"/>
    <w:rsid w:val="00365279"/>
    <w:rsid w:val="0036530C"/>
    <w:rsid w:val="0036535D"/>
    <w:rsid w:val="003653D3"/>
    <w:rsid w:val="0036546B"/>
    <w:rsid w:val="00365472"/>
    <w:rsid w:val="003654A5"/>
    <w:rsid w:val="0036553E"/>
    <w:rsid w:val="00365580"/>
    <w:rsid w:val="003655B3"/>
    <w:rsid w:val="003655FC"/>
    <w:rsid w:val="00365614"/>
    <w:rsid w:val="003656AC"/>
    <w:rsid w:val="003656BA"/>
    <w:rsid w:val="00365742"/>
    <w:rsid w:val="00365897"/>
    <w:rsid w:val="003658B0"/>
    <w:rsid w:val="0036593D"/>
    <w:rsid w:val="00365993"/>
    <w:rsid w:val="00365AB5"/>
    <w:rsid w:val="00365ADF"/>
    <w:rsid w:val="00365AE9"/>
    <w:rsid w:val="00365AF3"/>
    <w:rsid w:val="00365B6E"/>
    <w:rsid w:val="00365B8F"/>
    <w:rsid w:val="00365C23"/>
    <w:rsid w:val="00365CA6"/>
    <w:rsid w:val="00365CAE"/>
    <w:rsid w:val="00365CE3"/>
    <w:rsid w:val="00365D26"/>
    <w:rsid w:val="00365D32"/>
    <w:rsid w:val="00365D60"/>
    <w:rsid w:val="00365DDD"/>
    <w:rsid w:val="00365E2A"/>
    <w:rsid w:val="00365E52"/>
    <w:rsid w:val="00365F20"/>
    <w:rsid w:val="00365FC1"/>
    <w:rsid w:val="00365FD7"/>
    <w:rsid w:val="00365FE9"/>
    <w:rsid w:val="0036601D"/>
    <w:rsid w:val="00366037"/>
    <w:rsid w:val="00366053"/>
    <w:rsid w:val="003660D8"/>
    <w:rsid w:val="00366177"/>
    <w:rsid w:val="00366276"/>
    <w:rsid w:val="003662F0"/>
    <w:rsid w:val="00366302"/>
    <w:rsid w:val="0036630C"/>
    <w:rsid w:val="003663DC"/>
    <w:rsid w:val="0036641E"/>
    <w:rsid w:val="00366439"/>
    <w:rsid w:val="00366456"/>
    <w:rsid w:val="0036648C"/>
    <w:rsid w:val="003664A3"/>
    <w:rsid w:val="003664DD"/>
    <w:rsid w:val="003664FB"/>
    <w:rsid w:val="00366509"/>
    <w:rsid w:val="0036651F"/>
    <w:rsid w:val="00366553"/>
    <w:rsid w:val="00366562"/>
    <w:rsid w:val="003665A7"/>
    <w:rsid w:val="003665EF"/>
    <w:rsid w:val="0036664E"/>
    <w:rsid w:val="00366727"/>
    <w:rsid w:val="00366748"/>
    <w:rsid w:val="0036677E"/>
    <w:rsid w:val="003667E9"/>
    <w:rsid w:val="00366868"/>
    <w:rsid w:val="003668B1"/>
    <w:rsid w:val="003668C2"/>
    <w:rsid w:val="003669E4"/>
    <w:rsid w:val="00366A03"/>
    <w:rsid w:val="00366AB0"/>
    <w:rsid w:val="00366AC2"/>
    <w:rsid w:val="00366AC4"/>
    <w:rsid w:val="00366AE2"/>
    <w:rsid w:val="00366AE8"/>
    <w:rsid w:val="00366B50"/>
    <w:rsid w:val="00366B86"/>
    <w:rsid w:val="00366C88"/>
    <w:rsid w:val="00366D11"/>
    <w:rsid w:val="00366D33"/>
    <w:rsid w:val="00366D42"/>
    <w:rsid w:val="00366D75"/>
    <w:rsid w:val="00366E05"/>
    <w:rsid w:val="00366EAF"/>
    <w:rsid w:val="00366EF4"/>
    <w:rsid w:val="00366F1C"/>
    <w:rsid w:val="00366F4B"/>
    <w:rsid w:val="00366F4D"/>
    <w:rsid w:val="00366F77"/>
    <w:rsid w:val="00367011"/>
    <w:rsid w:val="0036706C"/>
    <w:rsid w:val="003670BB"/>
    <w:rsid w:val="003670C3"/>
    <w:rsid w:val="0036715E"/>
    <w:rsid w:val="0036721A"/>
    <w:rsid w:val="0036729C"/>
    <w:rsid w:val="00367314"/>
    <w:rsid w:val="003673D4"/>
    <w:rsid w:val="003673E4"/>
    <w:rsid w:val="0036746B"/>
    <w:rsid w:val="00367540"/>
    <w:rsid w:val="00367553"/>
    <w:rsid w:val="003676D7"/>
    <w:rsid w:val="00367774"/>
    <w:rsid w:val="0036779F"/>
    <w:rsid w:val="003677FF"/>
    <w:rsid w:val="00367828"/>
    <w:rsid w:val="003678FF"/>
    <w:rsid w:val="003679D0"/>
    <w:rsid w:val="00367A17"/>
    <w:rsid w:val="00367A47"/>
    <w:rsid w:val="00367AD4"/>
    <w:rsid w:val="00367AE8"/>
    <w:rsid w:val="00367B59"/>
    <w:rsid w:val="00367B90"/>
    <w:rsid w:val="00367D8C"/>
    <w:rsid w:val="00367E33"/>
    <w:rsid w:val="00367E43"/>
    <w:rsid w:val="00367EDC"/>
    <w:rsid w:val="00367EE7"/>
    <w:rsid w:val="00367F49"/>
    <w:rsid w:val="00367FCA"/>
    <w:rsid w:val="00367FCE"/>
    <w:rsid w:val="00370030"/>
    <w:rsid w:val="003700B0"/>
    <w:rsid w:val="0037012C"/>
    <w:rsid w:val="00370141"/>
    <w:rsid w:val="003701B5"/>
    <w:rsid w:val="00370209"/>
    <w:rsid w:val="00370270"/>
    <w:rsid w:val="00370502"/>
    <w:rsid w:val="00370589"/>
    <w:rsid w:val="00370624"/>
    <w:rsid w:val="0037065C"/>
    <w:rsid w:val="00370661"/>
    <w:rsid w:val="003706E0"/>
    <w:rsid w:val="00370830"/>
    <w:rsid w:val="00370857"/>
    <w:rsid w:val="00370865"/>
    <w:rsid w:val="003708DC"/>
    <w:rsid w:val="00370953"/>
    <w:rsid w:val="00370977"/>
    <w:rsid w:val="0037097A"/>
    <w:rsid w:val="003709B2"/>
    <w:rsid w:val="00370B09"/>
    <w:rsid w:val="00370B21"/>
    <w:rsid w:val="00370CAF"/>
    <w:rsid w:val="00370D04"/>
    <w:rsid w:val="00370D2D"/>
    <w:rsid w:val="00370DA3"/>
    <w:rsid w:val="00370E3A"/>
    <w:rsid w:val="00370EBC"/>
    <w:rsid w:val="00370FF5"/>
    <w:rsid w:val="003710EF"/>
    <w:rsid w:val="003710F4"/>
    <w:rsid w:val="00371140"/>
    <w:rsid w:val="003711F0"/>
    <w:rsid w:val="003711FC"/>
    <w:rsid w:val="0037120F"/>
    <w:rsid w:val="00371236"/>
    <w:rsid w:val="00371294"/>
    <w:rsid w:val="0037129B"/>
    <w:rsid w:val="00371448"/>
    <w:rsid w:val="0037145B"/>
    <w:rsid w:val="0037145E"/>
    <w:rsid w:val="00371486"/>
    <w:rsid w:val="003714D2"/>
    <w:rsid w:val="0037158C"/>
    <w:rsid w:val="0037158D"/>
    <w:rsid w:val="003715BF"/>
    <w:rsid w:val="00371685"/>
    <w:rsid w:val="003716E1"/>
    <w:rsid w:val="00371705"/>
    <w:rsid w:val="0037176F"/>
    <w:rsid w:val="003717D5"/>
    <w:rsid w:val="0037180E"/>
    <w:rsid w:val="00371836"/>
    <w:rsid w:val="0037183D"/>
    <w:rsid w:val="0037184B"/>
    <w:rsid w:val="00371860"/>
    <w:rsid w:val="003718BF"/>
    <w:rsid w:val="003718CC"/>
    <w:rsid w:val="003718FD"/>
    <w:rsid w:val="00371954"/>
    <w:rsid w:val="00371977"/>
    <w:rsid w:val="00371978"/>
    <w:rsid w:val="0037198A"/>
    <w:rsid w:val="003719D4"/>
    <w:rsid w:val="00371A0E"/>
    <w:rsid w:val="00371A29"/>
    <w:rsid w:val="00371A4F"/>
    <w:rsid w:val="00371A65"/>
    <w:rsid w:val="00371AAE"/>
    <w:rsid w:val="00371B48"/>
    <w:rsid w:val="00371C12"/>
    <w:rsid w:val="00371CE6"/>
    <w:rsid w:val="00371D32"/>
    <w:rsid w:val="00371D44"/>
    <w:rsid w:val="00371DE3"/>
    <w:rsid w:val="00371E53"/>
    <w:rsid w:val="00371E62"/>
    <w:rsid w:val="00371F0F"/>
    <w:rsid w:val="00371F72"/>
    <w:rsid w:val="00371F7E"/>
    <w:rsid w:val="00371F86"/>
    <w:rsid w:val="00371FFD"/>
    <w:rsid w:val="00372204"/>
    <w:rsid w:val="003722AD"/>
    <w:rsid w:val="0037230D"/>
    <w:rsid w:val="0037233E"/>
    <w:rsid w:val="00372344"/>
    <w:rsid w:val="00372394"/>
    <w:rsid w:val="0037239F"/>
    <w:rsid w:val="003723A5"/>
    <w:rsid w:val="003723AC"/>
    <w:rsid w:val="003723F3"/>
    <w:rsid w:val="003724E3"/>
    <w:rsid w:val="003724EB"/>
    <w:rsid w:val="003724EE"/>
    <w:rsid w:val="00372529"/>
    <w:rsid w:val="003725DB"/>
    <w:rsid w:val="0037263A"/>
    <w:rsid w:val="003726FF"/>
    <w:rsid w:val="00372724"/>
    <w:rsid w:val="0037277C"/>
    <w:rsid w:val="003727C0"/>
    <w:rsid w:val="00372805"/>
    <w:rsid w:val="00372898"/>
    <w:rsid w:val="003728B9"/>
    <w:rsid w:val="00372913"/>
    <w:rsid w:val="0037292C"/>
    <w:rsid w:val="00372955"/>
    <w:rsid w:val="00372987"/>
    <w:rsid w:val="003729DD"/>
    <w:rsid w:val="003729F9"/>
    <w:rsid w:val="00372A6A"/>
    <w:rsid w:val="00372AD9"/>
    <w:rsid w:val="00372B90"/>
    <w:rsid w:val="00372C22"/>
    <w:rsid w:val="00372C41"/>
    <w:rsid w:val="00372C57"/>
    <w:rsid w:val="00372C7F"/>
    <w:rsid w:val="00372CED"/>
    <w:rsid w:val="00372DD1"/>
    <w:rsid w:val="00372E1C"/>
    <w:rsid w:val="00372E45"/>
    <w:rsid w:val="00372F36"/>
    <w:rsid w:val="00372F79"/>
    <w:rsid w:val="00372F88"/>
    <w:rsid w:val="00372FE3"/>
    <w:rsid w:val="00373084"/>
    <w:rsid w:val="003730D4"/>
    <w:rsid w:val="0037310F"/>
    <w:rsid w:val="00373132"/>
    <w:rsid w:val="003732C5"/>
    <w:rsid w:val="003733C3"/>
    <w:rsid w:val="003733E2"/>
    <w:rsid w:val="003733E7"/>
    <w:rsid w:val="00373436"/>
    <w:rsid w:val="0037346E"/>
    <w:rsid w:val="00373495"/>
    <w:rsid w:val="003734BE"/>
    <w:rsid w:val="00373522"/>
    <w:rsid w:val="0037353B"/>
    <w:rsid w:val="0037354F"/>
    <w:rsid w:val="00373564"/>
    <w:rsid w:val="0037356D"/>
    <w:rsid w:val="003735A7"/>
    <w:rsid w:val="00373606"/>
    <w:rsid w:val="00373655"/>
    <w:rsid w:val="0037369A"/>
    <w:rsid w:val="00373798"/>
    <w:rsid w:val="003739D9"/>
    <w:rsid w:val="003739F8"/>
    <w:rsid w:val="00373A2F"/>
    <w:rsid w:val="00373B7A"/>
    <w:rsid w:val="00373BD0"/>
    <w:rsid w:val="00373CC3"/>
    <w:rsid w:val="00373D09"/>
    <w:rsid w:val="00373D35"/>
    <w:rsid w:val="00373D59"/>
    <w:rsid w:val="00373D95"/>
    <w:rsid w:val="00373DC4"/>
    <w:rsid w:val="00373DE6"/>
    <w:rsid w:val="00373E0A"/>
    <w:rsid w:val="00373E5E"/>
    <w:rsid w:val="00373F92"/>
    <w:rsid w:val="00373F99"/>
    <w:rsid w:val="00374020"/>
    <w:rsid w:val="0037405B"/>
    <w:rsid w:val="003740D0"/>
    <w:rsid w:val="003740DB"/>
    <w:rsid w:val="003740E0"/>
    <w:rsid w:val="00374151"/>
    <w:rsid w:val="00374178"/>
    <w:rsid w:val="00374263"/>
    <w:rsid w:val="00374272"/>
    <w:rsid w:val="003742D8"/>
    <w:rsid w:val="003742F0"/>
    <w:rsid w:val="003742FF"/>
    <w:rsid w:val="00374398"/>
    <w:rsid w:val="003743BA"/>
    <w:rsid w:val="00374581"/>
    <w:rsid w:val="0037459F"/>
    <w:rsid w:val="003745B3"/>
    <w:rsid w:val="003745B8"/>
    <w:rsid w:val="0037467F"/>
    <w:rsid w:val="003746C0"/>
    <w:rsid w:val="003746CA"/>
    <w:rsid w:val="0037470B"/>
    <w:rsid w:val="0037470D"/>
    <w:rsid w:val="00374844"/>
    <w:rsid w:val="003748D0"/>
    <w:rsid w:val="003748F4"/>
    <w:rsid w:val="00374914"/>
    <w:rsid w:val="00374918"/>
    <w:rsid w:val="0037493C"/>
    <w:rsid w:val="0037496B"/>
    <w:rsid w:val="00374A23"/>
    <w:rsid w:val="00374B56"/>
    <w:rsid w:val="00374B7F"/>
    <w:rsid w:val="00374BC8"/>
    <w:rsid w:val="00374CAC"/>
    <w:rsid w:val="00374D77"/>
    <w:rsid w:val="00374DC4"/>
    <w:rsid w:val="00374DC6"/>
    <w:rsid w:val="00374E10"/>
    <w:rsid w:val="00374E50"/>
    <w:rsid w:val="00374EE2"/>
    <w:rsid w:val="00374F11"/>
    <w:rsid w:val="00374F5A"/>
    <w:rsid w:val="00375030"/>
    <w:rsid w:val="00375045"/>
    <w:rsid w:val="00375076"/>
    <w:rsid w:val="00375089"/>
    <w:rsid w:val="003750CB"/>
    <w:rsid w:val="00375243"/>
    <w:rsid w:val="00375317"/>
    <w:rsid w:val="0037535E"/>
    <w:rsid w:val="003753E8"/>
    <w:rsid w:val="00375403"/>
    <w:rsid w:val="00375408"/>
    <w:rsid w:val="00375421"/>
    <w:rsid w:val="00375503"/>
    <w:rsid w:val="0037551D"/>
    <w:rsid w:val="0037553C"/>
    <w:rsid w:val="00375565"/>
    <w:rsid w:val="0037563F"/>
    <w:rsid w:val="00375671"/>
    <w:rsid w:val="003756CB"/>
    <w:rsid w:val="003756E4"/>
    <w:rsid w:val="00375751"/>
    <w:rsid w:val="00375848"/>
    <w:rsid w:val="00375868"/>
    <w:rsid w:val="00375879"/>
    <w:rsid w:val="0037587E"/>
    <w:rsid w:val="00375888"/>
    <w:rsid w:val="003758B7"/>
    <w:rsid w:val="00375912"/>
    <w:rsid w:val="00375976"/>
    <w:rsid w:val="0037599D"/>
    <w:rsid w:val="003759E5"/>
    <w:rsid w:val="00375A34"/>
    <w:rsid w:val="00375B0B"/>
    <w:rsid w:val="00375B58"/>
    <w:rsid w:val="00375BE0"/>
    <w:rsid w:val="00375C2E"/>
    <w:rsid w:val="00375C35"/>
    <w:rsid w:val="00375C53"/>
    <w:rsid w:val="00375CB4"/>
    <w:rsid w:val="00375D90"/>
    <w:rsid w:val="00375ED5"/>
    <w:rsid w:val="00375EE7"/>
    <w:rsid w:val="00375EF7"/>
    <w:rsid w:val="00375F13"/>
    <w:rsid w:val="00375F36"/>
    <w:rsid w:val="00375F50"/>
    <w:rsid w:val="00375F59"/>
    <w:rsid w:val="00376012"/>
    <w:rsid w:val="0037606B"/>
    <w:rsid w:val="003760A2"/>
    <w:rsid w:val="003760DD"/>
    <w:rsid w:val="003760EB"/>
    <w:rsid w:val="003760FA"/>
    <w:rsid w:val="00376113"/>
    <w:rsid w:val="0037613C"/>
    <w:rsid w:val="00376172"/>
    <w:rsid w:val="003761AE"/>
    <w:rsid w:val="00376268"/>
    <w:rsid w:val="0037630B"/>
    <w:rsid w:val="00376368"/>
    <w:rsid w:val="003764B4"/>
    <w:rsid w:val="0037659F"/>
    <w:rsid w:val="0037662C"/>
    <w:rsid w:val="00376652"/>
    <w:rsid w:val="0037667C"/>
    <w:rsid w:val="00376712"/>
    <w:rsid w:val="00376751"/>
    <w:rsid w:val="00376783"/>
    <w:rsid w:val="003768DE"/>
    <w:rsid w:val="003768F6"/>
    <w:rsid w:val="003769AC"/>
    <w:rsid w:val="00376A1A"/>
    <w:rsid w:val="00376ABD"/>
    <w:rsid w:val="00376AC5"/>
    <w:rsid w:val="00376B43"/>
    <w:rsid w:val="00376BC6"/>
    <w:rsid w:val="00376BD3"/>
    <w:rsid w:val="00376BFD"/>
    <w:rsid w:val="00376C8A"/>
    <w:rsid w:val="00376D09"/>
    <w:rsid w:val="00376D1E"/>
    <w:rsid w:val="00376DA9"/>
    <w:rsid w:val="00376DE7"/>
    <w:rsid w:val="00376E92"/>
    <w:rsid w:val="00376FBF"/>
    <w:rsid w:val="00376FC8"/>
    <w:rsid w:val="0037705A"/>
    <w:rsid w:val="0037707C"/>
    <w:rsid w:val="003770F0"/>
    <w:rsid w:val="00377170"/>
    <w:rsid w:val="003771D7"/>
    <w:rsid w:val="0037721B"/>
    <w:rsid w:val="0037722B"/>
    <w:rsid w:val="0037725A"/>
    <w:rsid w:val="0037728F"/>
    <w:rsid w:val="00377388"/>
    <w:rsid w:val="00377389"/>
    <w:rsid w:val="0037739C"/>
    <w:rsid w:val="00377411"/>
    <w:rsid w:val="00377453"/>
    <w:rsid w:val="00377527"/>
    <w:rsid w:val="00377535"/>
    <w:rsid w:val="0037754F"/>
    <w:rsid w:val="003775F6"/>
    <w:rsid w:val="003776B2"/>
    <w:rsid w:val="003776E7"/>
    <w:rsid w:val="003777F8"/>
    <w:rsid w:val="00377808"/>
    <w:rsid w:val="00377812"/>
    <w:rsid w:val="00377843"/>
    <w:rsid w:val="0037788C"/>
    <w:rsid w:val="003778A3"/>
    <w:rsid w:val="0037794A"/>
    <w:rsid w:val="003779BB"/>
    <w:rsid w:val="00377AA1"/>
    <w:rsid w:val="00377AAA"/>
    <w:rsid w:val="00377C22"/>
    <w:rsid w:val="00377C2F"/>
    <w:rsid w:val="00377C8C"/>
    <w:rsid w:val="00377CD1"/>
    <w:rsid w:val="00377CF6"/>
    <w:rsid w:val="00377D4B"/>
    <w:rsid w:val="00377D50"/>
    <w:rsid w:val="00377D76"/>
    <w:rsid w:val="00377D91"/>
    <w:rsid w:val="00377E16"/>
    <w:rsid w:val="00377E76"/>
    <w:rsid w:val="00377FAA"/>
    <w:rsid w:val="00380048"/>
    <w:rsid w:val="0038010E"/>
    <w:rsid w:val="00380130"/>
    <w:rsid w:val="0038014E"/>
    <w:rsid w:val="00380189"/>
    <w:rsid w:val="00380284"/>
    <w:rsid w:val="00380397"/>
    <w:rsid w:val="00380422"/>
    <w:rsid w:val="003804B2"/>
    <w:rsid w:val="0038054E"/>
    <w:rsid w:val="00380587"/>
    <w:rsid w:val="003805A4"/>
    <w:rsid w:val="003805B6"/>
    <w:rsid w:val="003805CF"/>
    <w:rsid w:val="003805E5"/>
    <w:rsid w:val="00380635"/>
    <w:rsid w:val="00380641"/>
    <w:rsid w:val="0038064E"/>
    <w:rsid w:val="0038067E"/>
    <w:rsid w:val="003806AC"/>
    <w:rsid w:val="003806AF"/>
    <w:rsid w:val="0038076A"/>
    <w:rsid w:val="00380863"/>
    <w:rsid w:val="00380923"/>
    <w:rsid w:val="0038092C"/>
    <w:rsid w:val="003809A0"/>
    <w:rsid w:val="00380A60"/>
    <w:rsid w:val="00380A91"/>
    <w:rsid w:val="00380B4D"/>
    <w:rsid w:val="00380BDE"/>
    <w:rsid w:val="00380C39"/>
    <w:rsid w:val="00380C3D"/>
    <w:rsid w:val="00380C40"/>
    <w:rsid w:val="00380D03"/>
    <w:rsid w:val="00380EC1"/>
    <w:rsid w:val="00380F07"/>
    <w:rsid w:val="00380F81"/>
    <w:rsid w:val="0038103F"/>
    <w:rsid w:val="0038106E"/>
    <w:rsid w:val="00381142"/>
    <w:rsid w:val="00381150"/>
    <w:rsid w:val="003813AC"/>
    <w:rsid w:val="003813B5"/>
    <w:rsid w:val="003814E6"/>
    <w:rsid w:val="00381549"/>
    <w:rsid w:val="003815AA"/>
    <w:rsid w:val="0038161B"/>
    <w:rsid w:val="0038165E"/>
    <w:rsid w:val="00381712"/>
    <w:rsid w:val="00381782"/>
    <w:rsid w:val="00381787"/>
    <w:rsid w:val="00381820"/>
    <w:rsid w:val="0038182B"/>
    <w:rsid w:val="0038183C"/>
    <w:rsid w:val="00381930"/>
    <w:rsid w:val="003819A3"/>
    <w:rsid w:val="00381A36"/>
    <w:rsid w:val="00381A6E"/>
    <w:rsid w:val="00381A9C"/>
    <w:rsid w:val="00381BE2"/>
    <w:rsid w:val="00381C01"/>
    <w:rsid w:val="00381C23"/>
    <w:rsid w:val="00381CE0"/>
    <w:rsid w:val="00381E45"/>
    <w:rsid w:val="00381E73"/>
    <w:rsid w:val="00381EE6"/>
    <w:rsid w:val="00381F51"/>
    <w:rsid w:val="00381F89"/>
    <w:rsid w:val="00381FCE"/>
    <w:rsid w:val="00382051"/>
    <w:rsid w:val="00382104"/>
    <w:rsid w:val="0038212F"/>
    <w:rsid w:val="003822E8"/>
    <w:rsid w:val="00382337"/>
    <w:rsid w:val="00382406"/>
    <w:rsid w:val="003824EF"/>
    <w:rsid w:val="00382524"/>
    <w:rsid w:val="0038253D"/>
    <w:rsid w:val="003825CB"/>
    <w:rsid w:val="00382648"/>
    <w:rsid w:val="003826BD"/>
    <w:rsid w:val="0038279D"/>
    <w:rsid w:val="003827A2"/>
    <w:rsid w:val="00382822"/>
    <w:rsid w:val="00382831"/>
    <w:rsid w:val="00382899"/>
    <w:rsid w:val="003828C5"/>
    <w:rsid w:val="003828D5"/>
    <w:rsid w:val="003828DF"/>
    <w:rsid w:val="003829D9"/>
    <w:rsid w:val="00382ACC"/>
    <w:rsid w:val="00382DA6"/>
    <w:rsid w:val="00382DFA"/>
    <w:rsid w:val="00382E0C"/>
    <w:rsid w:val="00382E83"/>
    <w:rsid w:val="00382EBB"/>
    <w:rsid w:val="00382F0D"/>
    <w:rsid w:val="00382F51"/>
    <w:rsid w:val="00382F99"/>
    <w:rsid w:val="00382F9A"/>
    <w:rsid w:val="00382FDD"/>
    <w:rsid w:val="00383088"/>
    <w:rsid w:val="00383115"/>
    <w:rsid w:val="003831C1"/>
    <w:rsid w:val="0038321D"/>
    <w:rsid w:val="00383268"/>
    <w:rsid w:val="003833BC"/>
    <w:rsid w:val="003833E9"/>
    <w:rsid w:val="00383476"/>
    <w:rsid w:val="003834D7"/>
    <w:rsid w:val="00383586"/>
    <w:rsid w:val="003835A1"/>
    <w:rsid w:val="003835D5"/>
    <w:rsid w:val="00383657"/>
    <w:rsid w:val="003836A7"/>
    <w:rsid w:val="0038375A"/>
    <w:rsid w:val="0038378C"/>
    <w:rsid w:val="003837B1"/>
    <w:rsid w:val="00383826"/>
    <w:rsid w:val="0038384B"/>
    <w:rsid w:val="0038388E"/>
    <w:rsid w:val="00383956"/>
    <w:rsid w:val="00383A88"/>
    <w:rsid w:val="00383BA8"/>
    <w:rsid w:val="00383BE9"/>
    <w:rsid w:val="00383C21"/>
    <w:rsid w:val="00383C56"/>
    <w:rsid w:val="00383CC5"/>
    <w:rsid w:val="00383CF1"/>
    <w:rsid w:val="00383D87"/>
    <w:rsid w:val="00383DD0"/>
    <w:rsid w:val="00383E12"/>
    <w:rsid w:val="00383E6C"/>
    <w:rsid w:val="00384001"/>
    <w:rsid w:val="0038417D"/>
    <w:rsid w:val="003841AC"/>
    <w:rsid w:val="003841E3"/>
    <w:rsid w:val="00384249"/>
    <w:rsid w:val="0038424D"/>
    <w:rsid w:val="00384275"/>
    <w:rsid w:val="00384347"/>
    <w:rsid w:val="0038435A"/>
    <w:rsid w:val="003843F2"/>
    <w:rsid w:val="00384405"/>
    <w:rsid w:val="00384479"/>
    <w:rsid w:val="0038454E"/>
    <w:rsid w:val="0038466A"/>
    <w:rsid w:val="00384718"/>
    <w:rsid w:val="003847C2"/>
    <w:rsid w:val="00384894"/>
    <w:rsid w:val="00384898"/>
    <w:rsid w:val="003848C4"/>
    <w:rsid w:val="0038491A"/>
    <w:rsid w:val="00384A4B"/>
    <w:rsid w:val="00384AAF"/>
    <w:rsid w:val="00384B81"/>
    <w:rsid w:val="00384B85"/>
    <w:rsid w:val="00384C90"/>
    <w:rsid w:val="00384D5B"/>
    <w:rsid w:val="00384D76"/>
    <w:rsid w:val="00384D7F"/>
    <w:rsid w:val="00384D8C"/>
    <w:rsid w:val="00384E5D"/>
    <w:rsid w:val="00384F17"/>
    <w:rsid w:val="00384FEC"/>
    <w:rsid w:val="00385037"/>
    <w:rsid w:val="0038503E"/>
    <w:rsid w:val="003850B5"/>
    <w:rsid w:val="003850C0"/>
    <w:rsid w:val="00385139"/>
    <w:rsid w:val="0038513E"/>
    <w:rsid w:val="00385152"/>
    <w:rsid w:val="00385181"/>
    <w:rsid w:val="00385182"/>
    <w:rsid w:val="00385292"/>
    <w:rsid w:val="003852BC"/>
    <w:rsid w:val="003852D8"/>
    <w:rsid w:val="00385300"/>
    <w:rsid w:val="003853BC"/>
    <w:rsid w:val="003853C7"/>
    <w:rsid w:val="003853CF"/>
    <w:rsid w:val="00385432"/>
    <w:rsid w:val="00385470"/>
    <w:rsid w:val="0038549E"/>
    <w:rsid w:val="0038550B"/>
    <w:rsid w:val="003855E6"/>
    <w:rsid w:val="0038560C"/>
    <w:rsid w:val="003856E7"/>
    <w:rsid w:val="00385766"/>
    <w:rsid w:val="00385796"/>
    <w:rsid w:val="003857C3"/>
    <w:rsid w:val="00385859"/>
    <w:rsid w:val="0038587B"/>
    <w:rsid w:val="003858CA"/>
    <w:rsid w:val="0038594A"/>
    <w:rsid w:val="00385997"/>
    <w:rsid w:val="003859EF"/>
    <w:rsid w:val="00385A27"/>
    <w:rsid w:val="00385B37"/>
    <w:rsid w:val="00385BC1"/>
    <w:rsid w:val="00385CAC"/>
    <w:rsid w:val="00385CD9"/>
    <w:rsid w:val="00385CF0"/>
    <w:rsid w:val="00385D15"/>
    <w:rsid w:val="00385E04"/>
    <w:rsid w:val="00385EC4"/>
    <w:rsid w:val="00385EDA"/>
    <w:rsid w:val="00385EE5"/>
    <w:rsid w:val="00385F48"/>
    <w:rsid w:val="00385F9A"/>
    <w:rsid w:val="00385FA2"/>
    <w:rsid w:val="00385FD3"/>
    <w:rsid w:val="00385FE0"/>
    <w:rsid w:val="0038609F"/>
    <w:rsid w:val="003860CF"/>
    <w:rsid w:val="003860EE"/>
    <w:rsid w:val="00386157"/>
    <w:rsid w:val="0038615E"/>
    <w:rsid w:val="0038616A"/>
    <w:rsid w:val="0038616D"/>
    <w:rsid w:val="003861FD"/>
    <w:rsid w:val="00386206"/>
    <w:rsid w:val="00386215"/>
    <w:rsid w:val="00386287"/>
    <w:rsid w:val="003862EF"/>
    <w:rsid w:val="003862FD"/>
    <w:rsid w:val="00386330"/>
    <w:rsid w:val="0038636E"/>
    <w:rsid w:val="003863F6"/>
    <w:rsid w:val="0038644C"/>
    <w:rsid w:val="003864BC"/>
    <w:rsid w:val="00386518"/>
    <w:rsid w:val="0038652D"/>
    <w:rsid w:val="003865C0"/>
    <w:rsid w:val="003865EA"/>
    <w:rsid w:val="00386620"/>
    <w:rsid w:val="0038669A"/>
    <w:rsid w:val="003866D6"/>
    <w:rsid w:val="003866D8"/>
    <w:rsid w:val="003866EF"/>
    <w:rsid w:val="003866F6"/>
    <w:rsid w:val="0038672F"/>
    <w:rsid w:val="0038675E"/>
    <w:rsid w:val="003868DB"/>
    <w:rsid w:val="00386915"/>
    <w:rsid w:val="003869D9"/>
    <w:rsid w:val="003869DF"/>
    <w:rsid w:val="00386AE6"/>
    <w:rsid w:val="00386AF0"/>
    <w:rsid w:val="00386BA3"/>
    <w:rsid w:val="00386C75"/>
    <w:rsid w:val="00386C76"/>
    <w:rsid w:val="00386C95"/>
    <w:rsid w:val="00386CB5"/>
    <w:rsid w:val="00386D25"/>
    <w:rsid w:val="00386D51"/>
    <w:rsid w:val="00386DBE"/>
    <w:rsid w:val="00386E09"/>
    <w:rsid w:val="00386E10"/>
    <w:rsid w:val="00386E5B"/>
    <w:rsid w:val="00386FE8"/>
    <w:rsid w:val="00387047"/>
    <w:rsid w:val="0038708D"/>
    <w:rsid w:val="003870B9"/>
    <w:rsid w:val="003870DE"/>
    <w:rsid w:val="0038710C"/>
    <w:rsid w:val="00387138"/>
    <w:rsid w:val="00387151"/>
    <w:rsid w:val="00387163"/>
    <w:rsid w:val="003871A8"/>
    <w:rsid w:val="003871B2"/>
    <w:rsid w:val="003871D7"/>
    <w:rsid w:val="003872D6"/>
    <w:rsid w:val="00387332"/>
    <w:rsid w:val="00387382"/>
    <w:rsid w:val="0038739E"/>
    <w:rsid w:val="0038741A"/>
    <w:rsid w:val="0038744E"/>
    <w:rsid w:val="00387475"/>
    <w:rsid w:val="003874AA"/>
    <w:rsid w:val="003874B2"/>
    <w:rsid w:val="003874D8"/>
    <w:rsid w:val="003874F1"/>
    <w:rsid w:val="00387502"/>
    <w:rsid w:val="00387567"/>
    <w:rsid w:val="003876CA"/>
    <w:rsid w:val="003876EF"/>
    <w:rsid w:val="0038772B"/>
    <w:rsid w:val="00387743"/>
    <w:rsid w:val="003877AD"/>
    <w:rsid w:val="0038785D"/>
    <w:rsid w:val="0038789B"/>
    <w:rsid w:val="003878D9"/>
    <w:rsid w:val="0038799E"/>
    <w:rsid w:val="00387A8A"/>
    <w:rsid w:val="00387A95"/>
    <w:rsid w:val="00387AB9"/>
    <w:rsid w:val="00387B24"/>
    <w:rsid w:val="00387B45"/>
    <w:rsid w:val="00387B5B"/>
    <w:rsid w:val="00387BEC"/>
    <w:rsid w:val="00387CAF"/>
    <w:rsid w:val="00387CEB"/>
    <w:rsid w:val="00387D43"/>
    <w:rsid w:val="00387DB8"/>
    <w:rsid w:val="00387DD1"/>
    <w:rsid w:val="00387E40"/>
    <w:rsid w:val="00387E8B"/>
    <w:rsid w:val="00387E97"/>
    <w:rsid w:val="00387EB3"/>
    <w:rsid w:val="00387F34"/>
    <w:rsid w:val="00387F47"/>
    <w:rsid w:val="00387F5F"/>
    <w:rsid w:val="00387FB1"/>
    <w:rsid w:val="00387FDB"/>
    <w:rsid w:val="003900A6"/>
    <w:rsid w:val="003900F4"/>
    <w:rsid w:val="0039015F"/>
    <w:rsid w:val="00390164"/>
    <w:rsid w:val="00390219"/>
    <w:rsid w:val="00390278"/>
    <w:rsid w:val="00390288"/>
    <w:rsid w:val="003902B7"/>
    <w:rsid w:val="003902F4"/>
    <w:rsid w:val="00390300"/>
    <w:rsid w:val="00390306"/>
    <w:rsid w:val="00390374"/>
    <w:rsid w:val="003903AB"/>
    <w:rsid w:val="00390476"/>
    <w:rsid w:val="00390486"/>
    <w:rsid w:val="00390527"/>
    <w:rsid w:val="003905B8"/>
    <w:rsid w:val="00390645"/>
    <w:rsid w:val="00390648"/>
    <w:rsid w:val="0039065C"/>
    <w:rsid w:val="00390695"/>
    <w:rsid w:val="003906C1"/>
    <w:rsid w:val="00390707"/>
    <w:rsid w:val="00390708"/>
    <w:rsid w:val="00390743"/>
    <w:rsid w:val="003907CA"/>
    <w:rsid w:val="003907D7"/>
    <w:rsid w:val="003907F5"/>
    <w:rsid w:val="003907F8"/>
    <w:rsid w:val="00390810"/>
    <w:rsid w:val="0039081E"/>
    <w:rsid w:val="00390820"/>
    <w:rsid w:val="00390884"/>
    <w:rsid w:val="003908AA"/>
    <w:rsid w:val="003908CD"/>
    <w:rsid w:val="0039093F"/>
    <w:rsid w:val="00390A44"/>
    <w:rsid w:val="00390A60"/>
    <w:rsid w:val="00390AA8"/>
    <w:rsid w:val="00390ABF"/>
    <w:rsid w:val="00390AC7"/>
    <w:rsid w:val="00390B0F"/>
    <w:rsid w:val="00390B14"/>
    <w:rsid w:val="00390B2F"/>
    <w:rsid w:val="00390B9B"/>
    <w:rsid w:val="00390BBE"/>
    <w:rsid w:val="00390C1A"/>
    <w:rsid w:val="00390C56"/>
    <w:rsid w:val="00390CC7"/>
    <w:rsid w:val="00390CD0"/>
    <w:rsid w:val="00390D28"/>
    <w:rsid w:val="00390D5C"/>
    <w:rsid w:val="00390D6D"/>
    <w:rsid w:val="00390D93"/>
    <w:rsid w:val="00390DF5"/>
    <w:rsid w:val="00390FAE"/>
    <w:rsid w:val="00390FD3"/>
    <w:rsid w:val="00390FED"/>
    <w:rsid w:val="00391021"/>
    <w:rsid w:val="00391040"/>
    <w:rsid w:val="00391084"/>
    <w:rsid w:val="00391094"/>
    <w:rsid w:val="003910E0"/>
    <w:rsid w:val="003910F6"/>
    <w:rsid w:val="00391103"/>
    <w:rsid w:val="0039115A"/>
    <w:rsid w:val="0039117C"/>
    <w:rsid w:val="00391220"/>
    <w:rsid w:val="0039122A"/>
    <w:rsid w:val="00391272"/>
    <w:rsid w:val="003912EF"/>
    <w:rsid w:val="00391335"/>
    <w:rsid w:val="003913B4"/>
    <w:rsid w:val="00391471"/>
    <w:rsid w:val="003914AD"/>
    <w:rsid w:val="00391514"/>
    <w:rsid w:val="00391529"/>
    <w:rsid w:val="003915BB"/>
    <w:rsid w:val="003915C6"/>
    <w:rsid w:val="0039162E"/>
    <w:rsid w:val="003916C2"/>
    <w:rsid w:val="003916E7"/>
    <w:rsid w:val="003916F9"/>
    <w:rsid w:val="003917EE"/>
    <w:rsid w:val="00391834"/>
    <w:rsid w:val="0039193A"/>
    <w:rsid w:val="003919BF"/>
    <w:rsid w:val="003919C6"/>
    <w:rsid w:val="003919D4"/>
    <w:rsid w:val="00391A45"/>
    <w:rsid w:val="00391A4D"/>
    <w:rsid w:val="00391A4E"/>
    <w:rsid w:val="00391AE5"/>
    <w:rsid w:val="00391AEA"/>
    <w:rsid w:val="00391B32"/>
    <w:rsid w:val="00391B6E"/>
    <w:rsid w:val="00391BAE"/>
    <w:rsid w:val="00391C01"/>
    <w:rsid w:val="00391C23"/>
    <w:rsid w:val="00391C32"/>
    <w:rsid w:val="00391C3E"/>
    <w:rsid w:val="00391C74"/>
    <w:rsid w:val="00391C8C"/>
    <w:rsid w:val="00391CFB"/>
    <w:rsid w:val="00391D34"/>
    <w:rsid w:val="00391D63"/>
    <w:rsid w:val="00391DB3"/>
    <w:rsid w:val="00391DF8"/>
    <w:rsid w:val="00391E2C"/>
    <w:rsid w:val="00391E74"/>
    <w:rsid w:val="00391F3B"/>
    <w:rsid w:val="00391F55"/>
    <w:rsid w:val="00391F99"/>
    <w:rsid w:val="00391FA4"/>
    <w:rsid w:val="00392146"/>
    <w:rsid w:val="0039214A"/>
    <w:rsid w:val="003921A6"/>
    <w:rsid w:val="00392257"/>
    <w:rsid w:val="00392285"/>
    <w:rsid w:val="003922C4"/>
    <w:rsid w:val="003922DC"/>
    <w:rsid w:val="003922E7"/>
    <w:rsid w:val="003922ED"/>
    <w:rsid w:val="0039233B"/>
    <w:rsid w:val="003923E6"/>
    <w:rsid w:val="003923E8"/>
    <w:rsid w:val="003924AD"/>
    <w:rsid w:val="003924F6"/>
    <w:rsid w:val="003925BA"/>
    <w:rsid w:val="0039260A"/>
    <w:rsid w:val="00392668"/>
    <w:rsid w:val="003926D8"/>
    <w:rsid w:val="0039270B"/>
    <w:rsid w:val="00392778"/>
    <w:rsid w:val="003927E9"/>
    <w:rsid w:val="00392855"/>
    <w:rsid w:val="003928A5"/>
    <w:rsid w:val="003928BE"/>
    <w:rsid w:val="00392B36"/>
    <w:rsid w:val="00392B5C"/>
    <w:rsid w:val="00392B7E"/>
    <w:rsid w:val="00392BC9"/>
    <w:rsid w:val="00392BE1"/>
    <w:rsid w:val="00392C76"/>
    <w:rsid w:val="00392D2D"/>
    <w:rsid w:val="00392D53"/>
    <w:rsid w:val="00392ED1"/>
    <w:rsid w:val="00392EFB"/>
    <w:rsid w:val="00392F0B"/>
    <w:rsid w:val="00392F22"/>
    <w:rsid w:val="00392F6E"/>
    <w:rsid w:val="00392FA4"/>
    <w:rsid w:val="00392FA7"/>
    <w:rsid w:val="003930AA"/>
    <w:rsid w:val="00393131"/>
    <w:rsid w:val="00393133"/>
    <w:rsid w:val="0039317E"/>
    <w:rsid w:val="003931CD"/>
    <w:rsid w:val="0039336A"/>
    <w:rsid w:val="003933E2"/>
    <w:rsid w:val="00393418"/>
    <w:rsid w:val="0039347F"/>
    <w:rsid w:val="0039349D"/>
    <w:rsid w:val="003934B0"/>
    <w:rsid w:val="00393586"/>
    <w:rsid w:val="00393658"/>
    <w:rsid w:val="00393660"/>
    <w:rsid w:val="00393685"/>
    <w:rsid w:val="0039371E"/>
    <w:rsid w:val="003937DE"/>
    <w:rsid w:val="0039380B"/>
    <w:rsid w:val="0039383A"/>
    <w:rsid w:val="0039389B"/>
    <w:rsid w:val="00393978"/>
    <w:rsid w:val="003939AD"/>
    <w:rsid w:val="003939F7"/>
    <w:rsid w:val="00393AA8"/>
    <w:rsid w:val="00393B3D"/>
    <w:rsid w:val="00393B41"/>
    <w:rsid w:val="00393BC2"/>
    <w:rsid w:val="00393C5E"/>
    <w:rsid w:val="00393C93"/>
    <w:rsid w:val="00393DEC"/>
    <w:rsid w:val="00393E36"/>
    <w:rsid w:val="00393E46"/>
    <w:rsid w:val="00393E49"/>
    <w:rsid w:val="00393EBD"/>
    <w:rsid w:val="00393F1A"/>
    <w:rsid w:val="00393F36"/>
    <w:rsid w:val="00393F85"/>
    <w:rsid w:val="00393FBA"/>
    <w:rsid w:val="00394109"/>
    <w:rsid w:val="003941DE"/>
    <w:rsid w:val="00394236"/>
    <w:rsid w:val="00394309"/>
    <w:rsid w:val="003943AD"/>
    <w:rsid w:val="003943B7"/>
    <w:rsid w:val="003943DC"/>
    <w:rsid w:val="0039440E"/>
    <w:rsid w:val="0039442D"/>
    <w:rsid w:val="0039447E"/>
    <w:rsid w:val="00394494"/>
    <w:rsid w:val="003944D6"/>
    <w:rsid w:val="003944DD"/>
    <w:rsid w:val="00394513"/>
    <w:rsid w:val="00394567"/>
    <w:rsid w:val="00394604"/>
    <w:rsid w:val="0039465F"/>
    <w:rsid w:val="0039475C"/>
    <w:rsid w:val="003947FB"/>
    <w:rsid w:val="00394850"/>
    <w:rsid w:val="0039488D"/>
    <w:rsid w:val="003948B9"/>
    <w:rsid w:val="003948CB"/>
    <w:rsid w:val="003948FB"/>
    <w:rsid w:val="0039490E"/>
    <w:rsid w:val="00394A14"/>
    <w:rsid w:val="00394A30"/>
    <w:rsid w:val="00394A9E"/>
    <w:rsid w:val="00394AC7"/>
    <w:rsid w:val="00394AF3"/>
    <w:rsid w:val="00394D4F"/>
    <w:rsid w:val="00394D83"/>
    <w:rsid w:val="00394DA7"/>
    <w:rsid w:val="00394E63"/>
    <w:rsid w:val="00394E79"/>
    <w:rsid w:val="00394F01"/>
    <w:rsid w:val="00394F28"/>
    <w:rsid w:val="00394F49"/>
    <w:rsid w:val="00394F96"/>
    <w:rsid w:val="00394FBB"/>
    <w:rsid w:val="00394FFA"/>
    <w:rsid w:val="00395219"/>
    <w:rsid w:val="00395315"/>
    <w:rsid w:val="00395326"/>
    <w:rsid w:val="003953A4"/>
    <w:rsid w:val="00395427"/>
    <w:rsid w:val="003954AC"/>
    <w:rsid w:val="003954C6"/>
    <w:rsid w:val="0039551D"/>
    <w:rsid w:val="0039552F"/>
    <w:rsid w:val="003955B2"/>
    <w:rsid w:val="003955B9"/>
    <w:rsid w:val="003955DA"/>
    <w:rsid w:val="003956AA"/>
    <w:rsid w:val="003956BA"/>
    <w:rsid w:val="003956BD"/>
    <w:rsid w:val="003956CB"/>
    <w:rsid w:val="00395711"/>
    <w:rsid w:val="00395786"/>
    <w:rsid w:val="00395787"/>
    <w:rsid w:val="003957BB"/>
    <w:rsid w:val="003957F2"/>
    <w:rsid w:val="003958C4"/>
    <w:rsid w:val="00395941"/>
    <w:rsid w:val="00395A15"/>
    <w:rsid w:val="00395A60"/>
    <w:rsid w:val="00395A95"/>
    <w:rsid w:val="00395B1A"/>
    <w:rsid w:val="00395B27"/>
    <w:rsid w:val="00395BE3"/>
    <w:rsid w:val="00395CB5"/>
    <w:rsid w:val="00395CEC"/>
    <w:rsid w:val="00395D4A"/>
    <w:rsid w:val="00395D5E"/>
    <w:rsid w:val="00395D65"/>
    <w:rsid w:val="00395F0E"/>
    <w:rsid w:val="00395F5C"/>
    <w:rsid w:val="00395FB7"/>
    <w:rsid w:val="00396011"/>
    <w:rsid w:val="0039603E"/>
    <w:rsid w:val="00396087"/>
    <w:rsid w:val="003960A4"/>
    <w:rsid w:val="003960D8"/>
    <w:rsid w:val="003961B3"/>
    <w:rsid w:val="003961C6"/>
    <w:rsid w:val="003961DC"/>
    <w:rsid w:val="00396208"/>
    <w:rsid w:val="00396292"/>
    <w:rsid w:val="003962B6"/>
    <w:rsid w:val="0039640D"/>
    <w:rsid w:val="0039643B"/>
    <w:rsid w:val="003964CA"/>
    <w:rsid w:val="003964F1"/>
    <w:rsid w:val="00396519"/>
    <w:rsid w:val="0039656A"/>
    <w:rsid w:val="003965BC"/>
    <w:rsid w:val="00396657"/>
    <w:rsid w:val="00396712"/>
    <w:rsid w:val="00396715"/>
    <w:rsid w:val="00396772"/>
    <w:rsid w:val="003967DB"/>
    <w:rsid w:val="00396855"/>
    <w:rsid w:val="00396860"/>
    <w:rsid w:val="00396898"/>
    <w:rsid w:val="0039689F"/>
    <w:rsid w:val="00396958"/>
    <w:rsid w:val="00396985"/>
    <w:rsid w:val="0039698A"/>
    <w:rsid w:val="00396AE9"/>
    <w:rsid w:val="00396CFA"/>
    <w:rsid w:val="00396E02"/>
    <w:rsid w:val="00396E90"/>
    <w:rsid w:val="00396F55"/>
    <w:rsid w:val="00396FA7"/>
    <w:rsid w:val="0039702D"/>
    <w:rsid w:val="0039709F"/>
    <w:rsid w:val="0039710F"/>
    <w:rsid w:val="0039715B"/>
    <w:rsid w:val="003972C3"/>
    <w:rsid w:val="00397370"/>
    <w:rsid w:val="003973E4"/>
    <w:rsid w:val="00397412"/>
    <w:rsid w:val="00397435"/>
    <w:rsid w:val="00397527"/>
    <w:rsid w:val="0039755D"/>
    <w:rsid w:val="0039759A"/>
    <w:rsid w:val="003975B5"/>
    <w:rsid w:val="00397618"/>
    <w:rsid w:val="0039765F"/>
    <w:rsid w:val="0039769F"/>
    <w:rsid w:val="0039776D"/>
    <w:rsid w:val="00397783"/>
    <w:rsid w:val="00397825"/>
    <w:rsid w:val="0039789D"/>
    <w:rsid w:val="003978CB"/>
    <w:rsid w:val="003978DE"/>
    <w:rsid w:val="00397984"/>
    <w:rsid w:val="00397A03"/>
    <w:rsid w:val="00397B05"/>
    <w:rsid w:val="00397B13"/>
    <w:rsid w:val="00397BDA"/>
    <w:rsid w:val="00397C3F"/>
    <w:rsid w:val="00397D51"/>
    <w:rsid w:val="00397D93"/>
    <w:rsid w:val="00397E13"/>
    <w:rsid w:val="00397E5E"/>
    <w:rsid w:val="00397EAD"/>
    <w:rsid w:val="00397ED2"/>
    <w:rsid w:val="00397EF6"/>
    <w:rsid w:val="00397F19"/>
    <w:rsid w:val="00397F77"/>
    <w:rsid w:val="00397FB6"/>
    <w:rsid w:val="00397FF6"/>
    <w:rsid w:val="003A0053"/>
    <w:rsid w:val="003A005C"/>
    <w:rsid w:val="003A00AA"/>
    <w:rsid w:val="003A00B1"/>
    <w:rsid w:val="003A01B2"/>
    <w:rsid w:val="003A01C5"/>
    <w:rsid w:val="003A022A"/>
    <w:rsid w:val="003A02F9"/>
    <w:rsid w:val="003A0328"/>
    <w:rsid w:val="003A0366"/>
    <w:rsid w:val="003A0369"/>
    <w:rsid w:val="003A03A5"/>
    <w:rsid w:val="003A03D8"/>
    <w:rsid w:val="003A0442"/>
    <w:rsid w:val="003A0448"/>
    <w:rsid w:val="003A047C"/>
    <w:rsid w:val="003A0522"/>
    <w:rsid w:val="003A05AF"/>
    <w:rsid w:val="003A05F0"/>
    <w:rsid w:val="003A0635"/>
    <w:rsid w:val="003A0649"/>
    <w:rsid w:val="003A070F"/>
    <w:rsid w:val="003A07C8"/>
    <w:rsid w:val="003A07F2"/>
    <w:rsid w:val="003A0837"/>
    <w:rsid w:val="003A087F"/>
    <w:rsid w:val="003A0885"/>
    <w:rsid w:val="003A08B1"/>
    <w:rsid w:val="003A08B2"/>
    <w:rsid w:val="003A0913"/>
    <w:rsid w:val="003A09AB"/>
    <w:rsid w:val="003A09E2"/>
    <w:rsid w:val="003A0ACB"/>
    <w:rsid w:val="003A0AFD"/>
    <w:rsid w:val="003A0B9C"/>
    <w:rsid w:val="003A0BEA"/>
    <w:rsid w:val="003A0C82"/>
    <w:rsid w:val="003A0C84"/>
    <w:rsid w:val="003A0CEE"/>
    <w:rsid w:val="003A0D41"/>
    <w:rsid w:val="003A0D64"/>
    <w:rsid w:val="003A0D92"/>
    <w:rsid w:val="003A0DE1"/>
    <w:rsid w:val="003A0DF1"/>
    <w:rsid w:val="003A0E2F"/>
    <w:rsid w:val="003A0E58"/>
    <w:rsid w:val="003A0E60"/>
    <w:rsid w:val="003A0E77"/>
    <w:rsid w:val="003A0E95"/>
    <w:rsid w:val="003A0EB2"/>
    <w:rsid w:val="003A0FCB"/>
    <w:rsid w:val="003A1001"/>
    <w:rsid w:val="003A1162"/>
    <w:rsid w:val="003A1184"/>
    <w:rsid w:val="003A11E4"/>
    <w:rsid w:val="003A1293"/>
    <w:rsid w:val="003A132A"/>
    <w:rsid w:val="003A1459"/>
    <w:rsid w:val="003A1486"/>
    <w:rsid w:val="003A148B"/>
    <w:rsid w:val="003A14BC"/>
    <w:rsid w:val="003A14C7"/>
    <w:rsid w:val="003A14DE"/>
    <w:rsid w:val="003A151D"/>
    <w:rsid w:val="003A1582"/>
    <w:rsid w:val="003A15F7"/>
    <w:rsid w:val="003A16AC"/>
    <w:rsid w:val="003A16CA"/>
    <w:rsid w:val="003A16F6"/>
    <w:rsid w:val="003A1798"/>
    <w:rsid w:val="003A1815"/>
    <w:rsid w:val="003A18FC"/>
    <w:rsid w:val="003A190A"/>
    <w:rsid w:val="003A1A1A"/>
    <w:rsid w:val="003A1A72"/>
    <w:rsid w:val="003A1A96"/>
    <w:rsid w:val="003A1AAB"/>
    <w:rsid w:val="003A1ABD"/>
    <w:rsid w:val="003A1AE4"/>
    <w:rsid w:val="003A1BA4"/>
    <w:rsid w:val="003A1BCD"/>
    <w:rsid w:val="003A1C49"/>
    <w:rsid w:val="003A1C8C"/>
    <w:rsid w:val="003A1CDC"/>
    <w:rsid w:val="003A1D02"/>
    <w:rsid w:val="003A1D2F"/>
    <w:rsid w:val="003A1D79"/>
    <w:rsid w:val="003A1DC6"/>
    <w:rsid w:val="003A1E14"/>
    <w:rsid w:val="003A1E60"/>
    <w:rsid w:val="003A1F53"/>
    <w:rsid w:val="003A1FB6"/>
    <w:rsid w:val="003A1FE9"/>
    <w:rsid w:val="003A1FFE"/>
    <w:rsid w:val="003A2113"/>
    <w:rsid w:val="003A2131"/>
    <w:rsid w:val="003A21AB"/>
    <w:rsid w:val="003A2247"/>
    <w:rsid w:val="003A22A3"/>
    <w:rsid w:val="003A2303"/>
    <w:rsid w:val="003A2328"/>
    <w:rsid w:val="003A2350"/>
    <w:rsid w:val="003A2392"/>
    <w:rsid w:val="003A244C"/>
    <w:rsid w:val="003A2498"/>
    <w:rsid w:val="003A24FB"/>
    <w:rsid w:val="003A2515"/>
    <w:rsid w:val="003A2527"/>
    <w:rsid w:val="003A252F"/>
    <w:rsid w:val="003A2581"/>
    <w:rsid w:val="003A2589"/>
    <w:rsid w:val="003A269D"/>
    <w:rsid w:val="003A26EF"/>
    <w:rsid w:val="003A270B"/>
    <w:rsid w:val="003A270E"/>
    <w:rsid w:val="003A270F"/>
    <w:rsid w:val="003A2715"/>
    <w:rsid w:val="003A2788"/>
    <w:rsid w:val="003A2795"/>
    <w:rsid w:val="003A281F"/>
    <w:rsid w:val="003A2869"/>
    <w:rsid w:val="003A2878"/>
    <w:rsid w:val="003A28C0"/>
    <w:rsid w:val="003A2949"/>
    <w:rsid w:val="003A2989"/>
    <w:rsid w:val="003A2A09"/>
    <w:rsid w:val="003A2A89"/>
    <w:rsid w:val="003A2ACC"/>
    <w:rsid w:val="003A2B09"/>
    <w:rsid w:val="003A2B42"/>
    <w:rsid w:val="003A2B68"/>
    <w:rsid w:val="003A2B87"/>
    <w:rsid w:val="003A2C09"/>
    <w:rsid w:val="003A2C1A"/>
    <w:rsid w:val="003A2C3B"/>
    <w:rsid w:val="003A2C45"/>
    <w:rsid w:val="003A2C6E"/>
    <w:rsid w:val="003A2CDA"/>
    <w:rsid w:val="003A2CF9"/>
    <w:rsid w:val="003A2D38"/>
    <w:rsid w:val="003A2D8F"/>
    <w:rsid w:val="003A2DBD"/>
    <w:rsid w:val="003A2E7E"/>
    <w:rsid w:val="003A2EBD"/>
    <w:rsid w:val="003A2F05"/>
    <w:rsid w:val="003A2F26"/>
    <w:rsid w:val="003A2F28"/>
    <w:rsid w:val="003A2FB0"/>
    <w:rsid w:val="003A309E"/>
    <w:rsid w:val="003A314E"/>
    <w:rsid w:val="003A316F"/>
    <w:rsid w:val="003A31A2"/>
    <w:rsid w:val="003A31B2"/>
    <w:rsid w:val="003A32B5"/>
    <w:rsid w:val="003A32C8"/>
    <w:rsid w:val="003A32FD"/>
    <w:rsid w:val="003A3355"/>
    <w:rsid w:val="003A3357"/>
    <w:rsid w:val="003A336E"/>
    <w:rsid w:val="003A33D1"/>
    <w:rsid w:val="003A33DC"/>
    <w:rsid w:val="003A340D"/>
    <w:rsid w:val="003A34D7"/>
    <w:rsid w:val="003A3507"/>
    <w:rsid w:val="003A353D"/>
    <w:rsid w:val="003A3589"/>
    <w:rsid w:val="003A35C7"/>
    <w:rsid w:val="003A35C8"/>
    <w:rsid w:val="003A364D"/>
    <w:rsid w:val="003A364E"/>
    <w:rsid w:val="003A36B4"/>
    <w:rsid w:val="003A36BC"/>
    <w:rsid w:val="003A36EF"/>
    <w:rsid w:val="003A3772"/>
    <w:rsid w:val="003A37B3"/>
    <w:rsid w:val="003A37E5"/>
    <w:rsid w:val="003A3812"/>
    <w:rsid w:val="003A394E"/>
    <w:rsid w:val="003A3A03"/>
    <w:rsid w:val="003A3A18"/>
    <w:rsid w:val="003A3A34"/>
    <w:rsid w:val="003A3AE0"/>
    <w:rsid w:val="003A3BB1"/>
    <w:rsid w:val="003A3BE7"/>
    <w:rsid w:val="003A3D3C"/>
    <w:rsid w:val="003A3D77"/>
    <w:rsid w:val="003A3EC2"/>
    <w:rsid w:val="003A403E"/>
    <w:rsid w:val="003A40E5"/>
    <w:rsid w:val="003A426C"/>
    <w:rsid w:val="003A4287"/>
    <w:rsid w:val="003A4296"/>
    <w:rsid w:val="003A42CB"/>
    <w:rsid w:val="003A42E3"/>
    <w:rsid w:val="003A42F1"/>
    <w:rsid w:val="003A443B"/>
    <w:rsid w:val="003A4453"/>
    <w:rsid w:val="003A4459"/>
    <w:rsid w:val="003A4465"/>
    <w:rsid w:val="003A44D6"/>
    <w:rsid w:val="003A459A"/>
    <w:rsid w:val="003A45B9"/>
    <w:rsid w:val="003A45EC"/>
    <w:rsid w:val="003A4698"/>
    <w:rsid w:val="003A46C9"/>
    <w:rsid w:val="003A4766"/>
    <w:rsid w:val="003A477E"/>
    <w:rsid w:val="003A4791"/>
    <w:rsid w:val="003A479E"/>
    <w:rsid w:val="003A47F2"/>
    <w:rsid w:val="003A485B"/>
    <w:rsid w:val="003A4874"/>
    <w:rsid w:val="003A4983"/>
    <w:rsid w:val="003A4994"/>
    <w:rsid w:val="003A49AB"/>
    <w:rsid w:val="003A49F5"/>
    <w:rsid w:val="003A4A55"/>
    <w:rsid w:val="003A4A68"/>
    <w:rsid w:val="003A4A6D"/>
    <w:rsid w:val="003A4AD2"/>
    <w:rsid w:val="003A4AEE"/>
    <w:rsid w:val="003A4AFC"/>
    <w:rsid w:val="003A4BA1"/>
    <w:rsid w:val="003A4BAF"/>
    <w:rsid w:val="003A4BB3"/>
    <w:rsid w:val="003A4BE6"/>
    <w:rsid w:val="003A4C1A"/>
    <w:rsid w:val="003A4DC0"/>
    <w:rsid w:val="003A4E6E"/>
    <w:rsid w:val="003A4E9A"/>
    <w:rsid w:val="003A4EAC"/>
    <w:rsid w:val="003A4F2B"/>
    <w:rsid w:val="003A4F45"/>
    <w:rsid w:val="003A4F57"/>
    <w:rsid w:val="003A4F58"/>
    <w:rsid w:val="003A4F70"/>
    <w:rsid w:val="003A4F89"/>
    <w:rsid w:val="003A4FBD"/>
    <w:rsid w:val="003A5041"/>
    <w:rsid w:val="003A5050"/>
    <w:rsid w:val="003A50B9"/>
    <w:rsid w:val="003A50EB"/>
    <w:rsid w:val="003A510C"/>
    <w:rsid w:val="003A5195"/>
    <w:rsid w:val="003A5209"/>
    <w:rsid w:val="003A52A8"/>
    <w:rsid w:val="003A5312"/>
    <w:rsid w:val="003A5366"/>
    <w:rsid w:val="003A5373"/>
    <w:rsid w:val="003A5389"/>
    <w:rsid w:val="003A53F1"/>
    <w:rsid w:val="003A5442"/>
    <w:rsid w:val="003A5477"/>
    <w:rsid w:val="003A5483"/>
    <w:rsid w:val="003A54A3"/>
    <w:rsid w:val="003A54C8"/>
    <w:rsid w:val="003A54CB"/>
    <w:rsid w:val="003A5539"/>
    <w:rsid w:val="003A556B"/>
    <w:rsid w:val="003A55F3"/>
    <w:rsid w:val="003A5625"/>
    <w:rsid w:val="003A5656"/>
    <w:rsid w:val="003A5664"/>
    <w:rsid w:val="003A5730"/>
    <w:rsid w:val="003A5769"/>
    <w:rsid w:val="003A57F3"/>
    <w:rsid w:val="003A5864"/>
    <w:rsid w:val="003A58A3"/>
    <w:rsid w:val="003A58E0"/>
    <w:rsid w:val="003A58F3"/>
    <w:rsid w:val="003A5A0E"/>
    <w:rsid w:val="003A5A76"/>
    <w:rsid w:val="003A5AD8"/>
    <w:rsid w:val="003A5B8A"/>
    <w:rsid w:val="003A5BAB"/>
    <w:rsid w:val="003A5C30"/>
    <w:rsid w:val="003A5C33"/>
    <w:rsid w:val="003A5C3D"/>
    <w:rsid w:val="003A5C5C"/>
    <w:rsid w:val="003A5C64"/>
    <w:rsid w:val="003A5CDE"/>
    <w:rsid w:val="003A5D52"/>
    <w:rsid w:val="003A5D70"/>
    <w:rsid w:val="003A5E02"/>
    <w:rsid w:val="003A5E72"/>
    <w:rsid w:val="003A6057"/>
    <w:rsid w:val="003A60B1"/>
    <w:rsid w:val="003A60D1"/>
    <w:rsid w:val="003A60DA"/>
    <w:rsid w:val="003A617D"/>
    <w:rsid w:val="003A61B9"/>
    <w:rsid w:val="003A62DC"/>
    <w:rsid w:val="003A62E4"/>
    <w:rsid w:val="003A62F6"/>
    <w:rsid w:val="003A6313"/>
    <w:rsid w:val="003A6321"/>
    <w:rsid w:val="003A63D7"/>
    <w:rsid w:val="003A64A6"/>
    <w:rsid w:val="003A64B3"/>
    <w:rsid w:val="003A64E1"/>
    <w:rsid w:val="003A656C"/>
    <w:rsid w:val="003A6570"/>
    <w:rsid w:val="003A65A5"/>
    <w:rsid w:val="003A6659"/>
    <w:rsid w:val="003A668A"/>
    <w:rsid w:val="003A66B2"/>
    <w:rsid w:val="003A66B4"/>
    <w:rsid w:val="003A66E3"/>
    <w:rsid w:val="003A66EA"/>
    <w:rsid w:val="003A6790"/>
    <w:rsid w:val="003A67E6"/>
    <w:rsid w:val="003A67EB"/>
    <w:rsid w:val="003A6801"/>
    <w:rsid w:val="003A68CA"/>
    <w:rsid w:val="003A6907"/>
    <w:rsid w:val="003A6953"/>
    <w:rsid w:val="003A6986"/>
    <w:rsid w:val="003A69CD"/>
    <w:rsid w:val="003A6A19"/>
    <w:rsid w:val="003A6A7C"/>
    <w:rsid w:val="003A6AD1"/>
    <w:rsid w:val="003A6B0C"/>
    <w:rsid w:val="003A6B28"/>
    <w:rsid w:val="003A6B6D"/>
    <w:rsid w:val="003A6C11"/>
    <w:rsid w:val="003A6C75"/>
    <w:rsid w:val="003A6C8D"/>
    <w:rsid w:val="003A6CC3"/>
    <w:rsid w:val="003A6CD3"/>
    <w:rsid w:val="003A6D0A"/>
    <w:rsid w:val="003A6D10"/>
    <w:rsid w:val="003A6D86"/>
    <w:rsid w:val="003A6DC1"/>
    <w:rsid w:val="003A6DD8"/>
    <w:rsid w:val="003A6EA4"/>
    <w:rsid w:val="003A6F2D"/>
    <w:rsid w:val="003A6F61"/>
    <w:rsid w:val="003A6F7C"/>
    <w:rsid w:val="003A6FB3"/>
    <w:rsid w:val="003A6FBA"/>
    <w:rsid w:val="003A6FC0"/>
    <w:rsid w:val="003A71DE"/>
    <w:rsid w:val="003A7233"/>
    <w:rsid w:val="003A7299"/>
    <w:rsid w:val="003A7360"/>
    <w:rsid w:val="003A73B4"/>
    <w:rsid w:val="003A73DD"/>
    <w:rsid w:val="003A73F7"/>
    <w:rsid w:val="003A7439"/>
    <w:rsid w:val="003A747A"/>
    <w:rsid w:val="003A771A"/>
    <w:rsid w:val="003A783B"/>
    <w:rsid w:val="003A78A4"/>
    <w:rsid w:val="003A78FA"/>
    <w:rsid w:val="003A7924"/>
    <w:rsid w:val="003A79BB"/>
    <w:rsid w:val="003A7A62"/>
    <w:rsid w:val="003A7A88"/>
    <w:rsid w:val="003A7B0C"/>
    <w:rsid w:val="003A7C1F"/>
    <w:rsid w:val="003A7CAB"/>
    <w:rsid w:val="003A7D2E"/>
    <w:rsid w:val="003A7D48"/>
    <w:rsid w:val="003A7D5C"/>
    <w:rsid w:val="003A7D9E"/>
    <w:rsid w:val="003A7DB0"/>
    <w:rsid w:val="003A7DC7"/>
    <w:rsid w:val="003A7DD9"/>
    <w:rsid w:val="003A7E06"/>
    <w:rsid w:val="003A7E45"/>
    <w:rsid w:val="003A7EAF"/>
    <w:rsid w:val="003A7EB2"/>
    <w:rsid w:val="003A7ED5"/>
    <w:rsid w:val="003A7EE0"/>
    <w:rsid w:val="003A7F35"/>
    <w:rsid w:val="003A7F8E"/>
    <w:rsid w:val="003B0074"/>
    <w:rsid w:val="003B01FB"/>
    <w:rsid w:val="003B022B"/>
    <w:rsid w:val="003B02D8"/>
    <w:rsid w:val="003B0369"/>
    <w:rsid w:val="003B037F"/>
    <w:rsid w:val="003B03F8"/>
    <w:rsid w:val="003B03FA"/>
    <w:rsid w:val="003B03FF"/>
    <w:rsid w:val="003B0461"/>
    <w:rsid w:val="003B047E"/>
    <w:rsid w:val="003B0558"/>
    <w:rsid w:val="003B05C7"/>
    <w:rsid w:val="003B05C9"/>
    <w:rsid w:val="003B05E0"/>
    <w:rsid w:val="003B05FB"/>
    <w:rsid w:val="003B064D"/>
    <w:rsid w:val="003B0685"/>
    <w:rsid w:val="003B0699"/>
    <w:rsid w:val="003B06AA"/>
    <w:rsid w:val="003B06B3"/>
    <w:rsid w:val="003B06BA"/>
    <w:rsid w:val="003B06C0"/>
    <w:rsid w:val="003B06E6"/>
    <w:rsid w:val="003B0706"/>
    <w:rsid w:val="003B0810"/>
    <w:rsid w:val="003B084E"/>
    <w:rsid w:val="003B085B"/>
    <w:rsid w:val="003B092B"/>
    <w:rsid w:val="003B0C45"/>
    <w:rsid w:val="003B0C64"/>
    <w:rsid w:val="003B0C8B"/>
    <w:rsid w:val="003B0CA7"/>
    <w:rsid w:val="003B0CAB"/>
    <w:rsid w:val="003B0CE4"/>
    <w:rsid w:val="003B0CEA"/>
    <w:rsid w:val="003B0CF5"/>
    <w:rsid w:val="003B0D0F"/>
    <w:rsid w:val="003B0D5B"/>
    <w:rsid w:val="003B0D5F"/>
    <w:rsid w:val="003B0D9B"/>
    <w:rsid w:val="003B0E49"/>
    <w:rsid w:val="003B0E57"/>
    <w:rsid w:val="003B0F41"/>
    <w:rsid w:val="003B0F82"/>
    <w:rsid w:val="003B0F83"/>
    <w:rsid w:val="003B0F95"/>
    <w:rsid w:val="003B1015"/>
    <w:rsid w:val="003B1065"/>
    <w:rsid w:val="003B1086"/>
    <w:rsid w:val="003B10AF"/>
    <w:rsid w:val="003B10FD"/>
    <w:rsid w:val="003B111D"/>
    <w:rsid w:val="003B1126"/>
    <w:rsid w:val="003B1185"/>
    <w:rsid w:val="003B1196"/>
    <w:rsid w:val="003B129F"/>
    <w:rsid w:val="003B12AA"/>
    <w:rsid w:val="003B12F6"/>
    <w:rsid w:val="003B1302"/>
    <w:rsid w:val="003B134F"/>
    <w:rsid w:val="003B1352"/>
    <w:rsid w:val="003B135D"/>
    <w:rsid w:val="003B1413"/>
    <w:rsid w:val="003B1427"/>
    <w:rsid w:val="003B14CD"/>
    <w:rsid w:val="003B1507"/>
    <w:rsid w:val="003B1528"/>
    <w:rsid w:val="003B1546"/>
    <w:rsid w:val="003B1698"/>
    <w:rsid w:val="003B16B7"/>
    <w:rsid w:val="003B16B9"/>
    <w:rsid w:val="003B16BF"/>
    <w:rsid w:val="003B1711"/>
    <w:rsid w:val="003B1802"/>
    <w:rsid w:val="003B1809"/>
    <w:rsid w:val="003B1876"/>
    <w:rsid w:val="003B18B6"/>
    <w:rsid w:val="003B18FF"/>
    <w:rsid w:val="003B193F"/>
    <w:rsid w:val="003B19E4"/>
    <w:rsid w:val="003B1A05"/>
    <w:rsid w:val="003B1A4B"/>
    <w:rsid w:val="003B1A87"/>
    <w:rsid w:val="003B1AEE"/>
    <w:rsid w:val="003B1B05"/>
    <w:rsid w:val="003B1B7F"/>
    <w:rsid w:val="003B1B80"/>
    <w:rsid w:val="003B1B85"/>
    <w:rsid w:val="003B1D20"/>
    <w:rsid w:val="003B1D65"/>
    <w:rsid w:val="003B1E33"/>
    <w:rsid w:val="003B1EA6"/>
    <w:rsid w:val="003B1EEC"/>
    <w:rsid w:val="003B1FBD"/>
    <w:rsid w:val="003B1FF6"/>
    <w:rsid w:val="003B2010"/>
    <w:rsid w:val="003B2074"/>
    <w:rsid w:val="003B20A1"/>
    <w:rsid w:val="003B20E6"/>
    <w:rsid w:val="003B20F0"/>
    <w:rsid w:val="003B2167"/>
    <w:rsid w:val="003B2171"/>
    <w:rsid w:val="003B21EE"/>
    <w:rsid w:val="003B2200"/>
    <w:rsid w:val="003B227F"/>
    <w:rsid w:val="003B228F"/>
    <w:rsid w:val="003B236E"/>
    <w:rsid w:val="003B23A9"/>
    <w:rsid w:val="003B23BD"/>
    <w:rsid w:val="003B23DD"/>
    <w:rsid w:val="003B243B"/>
    <w:rsid w:val="003B244C"/>
    <w:rsid w:val="003B2555"/>
    <w:rsid w:val="003B2559"/>
    <w:rsid w:val="003B256E"/>
    <w:rsid w:val="003B25AB"/>
    <w:rsid w:val="003B271A"/>
    <w:rsid w:val="003B2734"/>
    <w:rsid w:val="003B2739"/>
    <w:rsid w:val="003B28F2"/>
    <w:rsid w:val="003B295A"/>
    <w:rsid w:val="003B29A1"/>
    <w:rsid w:val="003B2A9B"/>
    <w:rsid w:val="003B2AA4"/>
    <w:rsid w:val="003B2AE8"/>
    <w:rsid w:val="003B2B08"/>
    <w:rsid w:val="003B2B33"/>
    <w:rsid w:val="003B2B42"/>
    <w:rsid w:val="003B2B4F"/>
    <w:rsid w:val="003B2BCA"/>
    <w:rsid w:val="003B2C54"/>
    <w:rsid w:val="003B2C57"/>
    <w:rsid w:val="003B2C8B"/>
    <w:rsid w:val="003B2CC8"/>
    <w:rsid w:val="003B2D3A"/>
    <w:rsid w:val="003B2E04"/>
    <w:rsid w:val="003B2E2B"/>
    <w:rsid w:val="003B2E6D"/>
    <w:rsid w:val="003B2EAA"/>
    <w:rsid w:val="003B2EE2"/>
    <w:rsid w:val="003B2EE9"/>
    <w:rsid w:val="003B2EED"/>
    <w:rsid w:val="003B2F13"/>
    <w:rsid w:val="003B2FB5"/>
    <w:rsid w:val="003B2FE5"/>
    <w:rsid w:val="003B304F"/>
    <w:rsid w:val="003B30BF"/>
    <w:rsid w:val="003B311D"/>
    <w:rsid w:val="003B3244"/>
    <w:rsid w:val="003B32FE"/>
    <w:rsid w:val="003B337B"/>
    <w:rsid w:val="003B33B2"/>
    <w:rsid w:val="003B3415"/>
    <w:rsid w:val="003B3430"/>
    <w:rsid w:val="003B343D"/>
    <w:rsid w:val="003B3469"/>
    <w:rsid w:val="003B35FF"/>
    <w:rsid w:val="003B3678"/>
    <w:rsid w:val="003B367A"/>
    <w:rsid w:val="003B36FD"/>
    <w:rsid w:val="003B3808"/>
    <w:rsid w:val="003B38A5"/>
    <w:rsid w:val="003B38C7"/>
    <w:rsid w:val="003B38F0"/>
    <w:rsid w:val="003B391F"/>
    <w:rsid w:val="003B3975"/>
    <w:rsid w:val="003B3B1D"/>
    <w:rsid w:val="003B3B86"/>
    <w:rsid w:val="003B3BE6"/>
    <w:rsid w:val="003B3C11"/>
    <w:rsid w:val="003B3C69"/>
    <w:rsid w:val="003B3CB0"/>
    <w:rsid w:val="003B3CCB"/>
    <w:rsid w:val="003B3E32"/>
    <w:rsid w:val="003B3E90"/>
    <w:rsid w:val="003B3EED"/>
    <w:rsid w:val="003B3F2A"/>
    <w:rsid w:val="003B3F33"/>
    <w:rsid w:val="003B3F64"/>
    <w:rsid w:val="003B3F6B"/>
    <w:rsid w:val="003B4093"/>
    <w:rsid w:val="003B40A8"/>
    <w:rsid w:val="003B40B1"/>
    <w:rsid w:val="003B40C8"/>
    <w:rsid w:val="003B4110"/>
    <w:rsid w:val="003B41E1"/>
    <w:rsid w:val="003B41E9"/>
    <w:rsid w:val="003B4267"/>
    <w:rsid w:val="003B43A5"/>
    <w:rsid w:val="003B43F4"/>
    <w:rsid w:val="003B4477"/>
    <w:rsid w:val="003B447E"/>
    <w:rsid w:val="003B44C2"/>
    <w:rsid w:val="003B459D"/>
    <w:rsid w:val="003B45A6"/>
    <w:rsid w:val="003B470A"/>
    <w:rsid w:val="003B4710"/>
    <w:rsid w:val="003B4739"/>
    <w:rsid w:val="003B47B1"/>
    <w:rsid w:val="003B47D6"/>
    <w:rsid w:val="003B4836"/>
    <w:rsid w:val="003B4989"/>
    <w:rsid w:val="003B4A50"/>
    <w:rsid w:val="003B4A58"/>
    <w:rsid w:val="003B4B34"/>
    <w:rsid w:val="003B4B79"/>
    <w:rsid w:val="003B4C87"/>
    <w:rsid w:val="003B4CD1"/>
    <w:rsid w:val="003B4D09"/>
    <w:rsid w:val="003B4D4C"/>
    <w:rsid w:val="003B4D90"/>
    <w:rsid w:val="003B4DA2"/>
    <w:rsid w:val="003B4DAA"/>
    <w:rsid w:val="003B4DDD"/>
    <w:rsid w:val="003B4EC1"/>
    <w:rsid w:val="003B4EFC"/>
    <w:rsid w:val="003B4F56"/>
    <w:rsid w:val="003B4F69"/>
    <w:rsid w:val="003B4F6D"/>
    <w:rsid w:val="003B4FBB"/>
    <w:rsid w:val="003B4FDB"/>
    <w:rsid w:val="003B4FF9"/>
    <w:rsid w:val="003B50A1"/>
    <w:rsid w:val="003B5150"/>
    <w:rsid w:val="003B5152"/>
    <w:rsid w:val="003B51A5"/>
    <w:rsid w:val="003B51C7"/>
    <w:rsid w:val="003B51E9"/>
    <w:rsid w:val="003B522A"/>
    <w:rsid w:val="003B5246"/>
    <w:rsid w:val="003B52EC"/>
    <w:rsid w:val="003B52FD"/>
    <w:rsid w:val="003B5313"/>
    <w:rsid w:val="003B53D4"/>
    <w:rsid w:val="003B5411"/>
    <w:rsid w:val="003B55E8"/>
    <w:rsid w:val="003B55E9"/>
    <w:rsid w:val="003B5662"/>
    <w:rsid w:val="003B5676"/>
    <w:rsid w:val="003B56DB"/>
    <w:rsid w:val="003B56EA"/>
    <w:rsid w:val="003B575A"/>
    <w:rsid w:val="003B57B0"/>
    <w:rsid w:val="003B58A2"/>
    <w:rsid w:val="003B58A8"/>
    <w:rsid w:val="003B5917"/>
    <w:rsid w:val="003B598D"/>
    <w:rsid w:val="003B5990"/>
    <w:rsid w:val="003B5997"/>
    <w:rsid w:val="003B59C3"/>
    <w:rsid w:val="003B5A77"/>
    <w:rsid w:val="003B5BD1"/>
    <w:rsid w:val="003B5BE2"/>
    <w:rsid w:val="003B5C50"/>
    <w:rsid w:val="003B5C5E"/>
    <w:rsid w:val="003B5C7D"/>
    <w:rsid w:val="003B5C7F"/>
    <w:rsid w:val="003B5CB3"/>
    <w:rsid w:val="003B5CF2"/>
    <w:rsid w:val="003B5D5D"/>
    <w:rsid w:val="003B5D6D"/>
    <w:rsid w:val="003B5DA1"/>
    <w:rsid w:val="003B5DE1"/>
    <w:rsid w:val="003B5DE3"/>
    <w:rsid w:val="003B5EB0"/>
    <w:rsid w:val="003B5ECC"/>
    <w:rsid w:val="003B5F14"/>
    <w:rsid w:val="003B5F6E"/>
    <w:rsid w:val="003B5F7B"/>
    <w:rsid w:val="003B5F82"/>
    <w:rsid w:val="003B5FAC"/>
    <w:rsid w:val="003B5FED"/>
    <w:rsid w:val="003B600C"/>
    <w:rsid w:val="003B601C"/>
    <w:rsid w:val="003B6043"/>
    <w:rsid w:val="003B6047"/>
    <w:rsid w:val="003B604B"/>
    <w:rsid w:val="003B612F"/>
    <w:rsid w:val="003B6130"/>
    <w:rsid w:val="003B619D"/>
    <w:rsid w:val="003B619F"/>
    <w:rsid w:val="003B623A"/>
    <w:rsid w:val="003B63FF"/>
    <w:rsid w:val="003B64B8"/>
    <w:rsid w:val="003B64BB"/>
    <w:rsid w:val="003B6522"/>
    <w:rsid w:val="003B65BF"/>
    <w:rsid w:val="003B65DA"/>
    <w:rsid w:val="003B6628"/>
    <w:rsid w:val="003B674C"/>
    <w:rsid w:val="003B67C2"/>
    <w:rsid w:val="003B68A8"/>
    <w:rsid w:val="003B6A8E"/>
    <w:rsid w:val="003B6A95"/>
    <w:rsid w:val="003B6BAB"/>
    <w:rsid w:val="003B6BB6"/>
    <w:rsid w:val="003B6BD7"/>
    <w:rsid w:val="003B6BE9"/>
    <w:rsid w:val="003B6BF8"/>
    <w:rsid w:val="003B6C6B"/>
    <w:rsid w:val="003B6C9C"/>
    <w:rsid w:val="003B6D25"/>
    <w:rsid w:val="003B6DA9"/>
    <w:rsid w:val="003B6E62"/>
    <w:rsid w:val="003B6EEE"/>
    <w:rsid w:val="003B6F0E"/>
    <w:rsid w:val="003B6F3C"/>
    <w:rsid w:val="003B70DA"/>
    <w:rsid w:val="003B7111"/>
    <w:rsid w:val="003B7184"/>
    <w:rsid w:val="003B71D4"/>
    <w:rsid w:val="003B71FE"/>
    <w:rsid w:val="003B7252"/>
    <w:rsid w:val="003B727B"/>
    <w:rsid w:val="003B728A"/>
    <w:rsid w:val="003B72BD"/>
    <w:rsid w:val="003B7359"/>
    <w:rsid w:val="003B73DE"/>
    <w:rsid w:val="003B73F5"/>
    <w:rsid w:val="003B73F9"/>
    <w:rsid w:val="003B742D"/>
    <w:rsid w:val="003B7439"/>
    <w:rsid w:val="003B7475"/>
    <w:rsid w:val="003B7484"/>
    <w:rsid w:val="003B7499"/>
    <w:rsid w:val="003B74EE"/>
    <w:rsid w:val="003B75CB"/>
    <w:rsid w:val="003B77E2"/>
    <w:rsid w:val="003B7802"/>
    <w:rsid w:val="003B7830"/>
    <w:rsid w:val="003B7945"/>
    <w:rsid w:val="003B7960"/>
    <w:rsid w:val="003B79C2"/>
    <w:rsid w:val="003B79D7"/>
    <w:rsid w:val="003B79EF"/>
    <w:rsid w:val="003B7A4D"/>
    <w:rsid w:val="003B7A71"/>
    <w:rsid w:val="003B7AB0"/>
    <w:rsid w:val="003B7AD0"/>
    <w:rsid w:val="003B7B58"/>
    <w:rsid w:val="003B7B7C"/>
    <w:rsid w:val="003B7C16"/>
    <w:rsid w:val="003B7C4A"/>
    <w:rsid w:val="003B7D50"/>
    <w:rsid w:val="003B7D8C"/>
    <w:rsid w:val="003B7FB9"/>
    <w:rsid w:val="003B7FC5"/>
    <w:rsid w:val="003C0058"/>
    <w:rsid w:val="003C0059"/>
    <w:rsid w:val="003C005C"/>
    <w:rsid w:val="003C008E"/>
    <w:rsid w:val="003C017E"/>
    <w:rsid w:val="003C01B3"/>
    <w:rsid w:val="003C01E6"/>
    <w:rsid w:val="003C0216"/>
    <w:rsid w:val="003C024C"/>
    <w:rsid w:val="003C0283"/>
    <w:rsid w:val="003C02A5"/>
    <w:rsid w:val="003C02BD"/>
    <w:rsid w:val="003C02CF"/>
    <w:rsid w:val="003C040E"/>
    <w:rsid w:val="003C0518"/>
    <w:rsid w:val="003C05AD"/>
    <w:rsid w:val="003C066D"/>
    <w:rsid w:val="003C0689"/>
    <w:rsid w:val="003C06A4"/>
    <w:rsid w:val="003C06D7"/>
    <w:rsid w:val="003C0721"/>
    <w:rsid w:val="003C0847"/>
    <w:rsid w:val="003C088E"/>
    <w:rsid w:val="003C08D2"/>
    <w:rsid w:val="003C08E9"/>
    <w:rsid w:val="003C08F1"/>
    <w:rsid w:val="003C0918"/>
    <w:rsid w:val="003C098A"/>
    <w:rsid w:val="003C09E5"/>
    <w:rsid w:val="003C09E7"/>
    <w:rsid w:val="003C09F2"/>
    <w:rsid w:val="003C0A45"/>
    <w:rsid w:val="003C0A71"/>
    <w:rsid w:val="003C0A7D"/>
    <w:rsid w:val="003C0AE7"/>
    <w:rsid w:val="003C0B38"/>
    <w:rsid w:val="003C0BC1"/>
    <w:rsid w:val="003C0BED"/>
    <w:rsid w:val="003C0C6A"/>
    <w:rsid w:val="003C0D1B"/>
    <w:rsid w:val="003C0DA6"/>
    <w:rsid w:val="003C0E18"/>
    <w:rsid w:val="003C0E63"/>
    <w:rsid w:val="003C0F5F"/>
    <w:rsid w:val="003C0F6B"/>
    <w:rsid w:val="003C0FE1"/>
    <w:rsid w:val="003C1020"/>
    <w:rsid w:val="003C107E"/>
    <w:rsid w:val="003C10BB"/>
    <w:rsid w:val="003C10D8"/>
    <w:rsid w:val="003C1135"/>
    <w:rsid w:val="003C1148"/>
    <w:rsid w:val="003C11ED"/>
    <w:rsid w:val="003C137C"/>
    <w:rsid w:val="003C1426"/>
    <w:rsid w:val="003C1558"/>
    <w:rsid w:val="003C15A9"/>
    <w:rsid w:val="003C15F0"/>
    <w:rsid w:val="003C16C8"/>
    <w:rsid w:val="003C16CC"/>
    <w:rsid w:val="003C17A2"/>
    <w:rsid w:val="003C17C7"/>
    <w:rsid w:val="003C17CB"/>
    <w:rsid w:val="003C17EA"/>
    <w:rsid w:val="003C1831"/>
    <w:rsid w:val="003C183C"/>
    <w:rsid w:val="003C1878"/>
    <w:rsid w:val="003C1887"/>
    <w:rsid w:val="003C1897"/>
    <w:rsid w:val="003C1904"/>
    <w:rsid w:val="003C190C"/>
    <w:rsid w:val="003C1925"/>
    <w:rsid w:val="003C19AA"/>
    <w:rsid w:val="003C19F6"/>
    <w:rsid w:val="003C1A26"/>
    <w:rsid w:val="003C1A63"/>
    <w:rsid w:val="003C1B0B"/>
    <w:rsid w:val="003C1B5A"/>
    <w:rsid w:val="003C1C3B"/>
    <w:rsid w:val="003C1C7C"/>
    <w:rsid w:val="003C1CAB"/>
    <w:rsid w:val="003C1D21"/>
    <w:rsid w:val="003C1DD2"/>
    <w:rsid w:val="003C2010"/>
    <w:rsid w:val="003C2097"/>
    <w:rsid w:val="003C20C7"/>
    <w:rsid w:val="003C212D"/>
    <w:rsid w:val="003C21D6"/>
    <w:rsid w:val="003C2227"/>
    <w:rsid w:val="003C2248"/>
    <w:rsid w:val="003C2288"/>
    <w:rsid w:val="003C22DB"/>
    <w:rsid w:val="003C2322"/>
    <w:rsid w:val="003C23E9"/>
    <w:rsid w:val="003C246C"/>
    <w:rsid w:val="003C24C7"/>
    <w:rsid w:val="003C24D0"/>
    <w:rsid w:val="003C2617"/>
    <w:rsid w:val="003C2637"/>
    <w:rsid w:val="003C26D2"/>
    <w:rsid w:val="003C2724"/>
    <w:rsid w:val="003C2731"/>
    <w:rsid w:val="003C2758"/>
    <w:rsid w:val="003C2840"/>
    <w:rsid w:val="003C2868"/>
    <w:rsid w:val="003C28BE"/>
    <w:rsid w:val="003C2903"/>
    <w:rsid w:val="003C2922"/>
    <w:rsid w:val="003C2929"/>
    <w:rsid w:val="003C29B3"/>
    <w:rsid w:val="003C2A50"/>
    <w:rsid w:val="003C2A74"/>
    <w:rsid w:val="003C2ADF"/>
    <w:rsid w:val="003C2B88"/>
    <w:rsid w:val="003C2C94"/>
    <w:rsid w:val="003C2CB1"/>
    <w:rsid w:val="003C2D13"/>
    <w:rsid w:val="003C2D2A"/>
    <w:rsid w:val="003C2DA4"/>
    <w:rsid w:val="003C2E2F"/>
    <w:rsid w:val="003C2EE8"/>
    <w:rsid w:val="003C2F0B"/>
    <w:rsid w:val="003C2FFD"/>
    <w:rsid w:val="003C2FFE"/>
    <w:rsid w:val="003C3011"/>
    <w:rsid w:val="003C31C7"/>
    <w:rsid w:val="003C31D6"/>
    <w:rsid w:val="003C31F9"/>
    <w:rsid w:val="003C320D"/>
    <w:rsid w:val="003C32D6"/>
    <w:rsid w:val="003C32E0"/>
    <w:rsid w:val="003C3304"/>
    <w:rsid w:val="003C333C"/>
    <w:rsid w:val="003C337D"/>
    <w:rsid w:val="003C3429"/>
    <w:rsid w:val="003C361B"/>
    <w:rsid w:val="003C3633"/>
    <w:rsid w:val="003C3681"/>
    <w:rsid w:val="003C3683"/>
    <w:rsid w:val="003C36A2"/>
    <w:rsid w:val="003C3731"/>
    <w:rsid w:val="003C3737"/>
    <w:rsid w:val="003C38A8"/>
    <w:rsid w:val="003C38FE"/>
    <w:rsid w:val="003C3945"/>
    <w:rsid w:val="003C39BF"/>
    <w:rsid w:val="003C39D3"/>
    <w:rsid w:val="003C3AAB"/>
    <w:rsid w:val="003C3AC3"/>
    <w:rsid w:val="003C3AFF"/>
    <w:rsid w:val="003C3B1E"/>
    <w:rsid w:val="003C3B28"/>
    <w:rsid w:val="003C3B71"/>
    <w:rsid w:val="003C3BE3"/>
    <w:rsid w:val="003C3BEC"/>
    <w:rsid w:val="003C3BF1"/>
    <w:rsid w:val="003C3C19"/>
    <w:rsid w:val="003C3CBF"/>
    <w:rsid w:val="003C3CDF"/>
    <w:rsid w:val="003C3D33"/>
    <w:rsid w:val="003C3D93"/>
    <w:rsid w:val="003C3DA5"/>
    <w:rsid w:val="003C3DC2"/>
    <w:rsid w:val="003C3EFD"/>
    <w:rsid w:val="003C3F08"/>
    <w:rsid w:val="003C3F7C"/>
    <w:rsid w:val="003C3FDA"/>
    <w:rsid w:val="003C3FDD"/>
    <w:rsid w:val="003C3FF8"/>
    <w:rsid w:val="003C400D"/>
    <w:rsid w:val="003C4018"/>
    <w:rsid w:val="003C4045"/>
    <w:rsid w:val="003C4134"/>
    <w:rsid w:val="003C4155"/>
    <w:rsid w:val="003C4164"/>
    <w:rsid w:val="003C4190"/>
    <w:rsid w:val="003C419C"/>
    <w:rsid w:val="003C41D5"/>
    <w:rsid w:val="003C42CC"/>
    <w:rsid w:val="003C42DF"/>
    <w:rsid w:val="003C42F9"/>
    <w:rsid w:val="003C4302"/>
    <w:rsid w:val="003C43C7"/>
    <w:rsid w:val="003C44C6"/>
    <w:rsid w:val="003C44DD"/>
    <w:rsid w:val="003C4571"/>
    <w:rsid w:val="003C4630"/>
    <w:rsid w:val="003C47C5"/>
    <w:rsid w:val="003C47E0"/>
    <w:rsid w:val="003C4865"/>
    <w:rsid w:val="003C4878"/>
    <w:rsid w:val="003C4893"/>
    <w:rsid w:val="003C492B"/>
    <w:rsid w:val="003C4932"/>
    <w:rsid w:val="003C4A32"/>
    <w:rsid w:val="003C4A48"/>
    <w:rsid w:val="003C4AA6"/>
    <w:rsid w:val="003C4AB6"/>
    <w:rsid w:val="003C4AD2"/>
    <w:rsid w:val="003C4BDB"/>
    <w:rsid w:val="003C4D1D"/>
    <w:rsid w:val="003C4F37"/>
    <w:rsid w:val="003C50BD"/>
    <w:rsid w:val="003C50CE"/>
    <w:rsid w:val="003C50D0"/>
    <w:rsid w:val="003C513A"/>
    <w:rsid w:val="003C5195"/>
    <w:rsid w:val="003C521F"/>
    <w:rsid w:val="003C5221"/>
    <w:rsid w:val="003C5236"/>
    <w:rsid w:val="003C524C"/>
    <w:rsid w:val="003C538C"/>
    <w:rsid w:val="003C53A0"/>
    <w:rsid w:val="003C5402"/>
    <w:rsid w:val="003C5467"/>
    <w:rsid w:val="003C548A"/>
    <w:rsid w:val="003C548F"/>
    <w:rsid w:val="003C5508"/>
    <w:rsid w:val="003C550E"/>
    <w:rsid w:val="003C557C"/>
    <w:rsid w:val="003C5586"/>
    <w:rsid w:val="003C55D5"/>
    <w:rsid w:val="003C55EB"/>
    <w:rsid w:val="003C5601"/>
    <w:rsid w:val="003C5731"/>
    <w:rsid w:val="003C5773"/>
    <w:rsid w:val="003C57D6"/>
    <w:rsid w:val="003C57EC"/>
    <w:rsid w:val="003C5813"/>
    <w:rsid w:val="003C5834"/>
    <w:rsid w:val="003C5870"/>
    <w:rsid w:val="003C587F"/>
    <w:rsid w:val="003C5891"/>
    <w:rsid w:val="003C58E4"/>
    <w:rsid w:val="003C5949"/>
    <w:rsid w:val="003C5A47"/>
    <w:rsid w:val="003C5ACD"/>
    <w:rsid w:val="003C5AD0"/>
    <w:rsid w:val="003C5AF9"/>
    <w:rsid w:val="003C5B09"/>
    <w:rsid w:val="003C5B62"/>
    <w:rsid w:val="003C5BA0"/>
    <w:rsid w:val="003C5BD7"/>
    <w:rsid w:val="003C5BDF"/>
    <w:rsid w:val="003C5C14"/>
    <w:rsid w:val="003C5C1E"/>
    <w:rsid w:val="003C5C26"/>
    <w:rsid w:val="003C5C5D"/>
    <w:rsid w:val="003C5CCD"/>
    <w:rsid w:val="003C5CE3"/>
    <w:rsid w:val="003C5CE5"/>
    <w:rsid w:val="003C5D20"/>
    <w:rsid w:val="003C5DD4"/>
    <w:rsid w:val="003C5E2C"/>
    <w:rsid w:val="003C5E92"/>
    <w:rsid w:val="003C5EBD"/>
    <w:rsid w:val="003C5ED6"/>
    <w:rsid w:val="003C5EE0"/>
    <w:rsid w:val="003C5EE7"/>
    <w:rsid w:val="003C5EEB"/>
    <w:rsid w:val="003C5F07"/>
    <w:rsid w:val="003C5F1A"/>
    <w:rsid w:val="003C5F7C"/>
    <w:rsid w:val="003C5FB5"/>
    <w:rsid w:val="003C6014"/>
    <w:rsid w:val="003C6016"/>
    <w:rsid w:val="003C60FD"/>
    <w:rsid w:val="003C6157"/>
    <w:rsid w:val="003C618F"/>
    <w:rsid w:val="003C61B3"/>
    <w:rsid w:val="003C61ED"/>
    <w:rsid w:val="003C6244"/>
    <w:rsid w:val="003C6320"/>
    <w:rsid w:val="003C63B2"/>
    <w:rsid w:val="003C63BF"/>
    <w:rsid w:val="003C642A"/>
    <w:rsid w:val="003C64CD"/>
    <w:rsid w:val="003C6517"/>
    <w:rsid w:val="003C6556"/>
    <w:rsid w:val="003C656B"/>
    <w:rsid w:val="003C6589"/>
    <w:rsid w:val="003C6688"/>
    <w:rsid w:val="003C66B9"/>
    <w:rsid w:val="003C6709"/>
    <w:rsid w:val="003C670D"/>
    <w:rsid w:val="003C671A"/>
    <w:rsid w:val="003C67F1"/>
    <w:rsid w:val="003C68AA"/>
    <w:rsid w:val="003C68DE"/>
    <w:rsid w:val="003C691A"/>
    <w:rsid w:val="003C69BB"/>
    <w:rsid w:val="003C69F5"/>
    <w:rsid w:val="003C6A6E"/>
    <w:rsid w:val="003C6B21"/>
    <w:rsid w:val="003C6BFC"/>
    <w:rsid w:val="003C6C14"/>
    <w:rsid w:val="003C6C57"/>
    <w:rsid w:val="003C6C61"/>
    <w:rsid w:val="003C6CD0"/>
    <w:rsid w:val="003C6CE9"/>
    <w:rsid w:val="003C6D3D"/>
    <w:rsid w:val="003C6DB9"/>
    <w:rsid w:val="003C6E47"/>
    <w:rsid w:val="003C6F21"/>
    <w:rsid w:val="003C6F56"/>
    <w:rsid w:val="003C6F8A"/>
    <w:rsid w:val="003C6FA7"/>
    <w:rsid w:val="003C6FB1"/>
    <w:rsid w:val="003C7044"/>
    <w:rsid w:val="003C7062"/>
    <w:rsid w:val="003C7098"/>
    <w:rsid w:val="003C70F1"/>
    <w:rsid w:val="003C718F"/>
    <w:rsid w:val="003C719E"/>
    <w:rsid w:val="003C7203"/>
    <w:rsid w:val="003C7266"/>
    <w:rsid w:val="003C7317"/>
    <w:rsid w:val="003C733E"/>
    <w:rsid w:val="003C74EF"/>
    <w:rsid w:val="003C7525"/>
    <w:rsid w:val="003C75BA"/>
    <w:rsid w:val="003C75BF"/>
    <w:rsid w:val="003C7618"/>
    <w:rsid w:val="003C7650"/>
    <w:rsid w:val="003C7654"/>
    <w:rsid w:val="003C7799"/>
    <w:rsid w:val="003C779C"/>
    <w:rsid w:val="003C77A4"/>
    <w:rsid w:val="003C782E"/>
    <w:rsid w:val="003C792D"/>
    <w:rsid w:val="003C7944"/>
    <w:rsid w:val="003C7984"/>
    <w:rsid w:val="003C799C"/>
    <w:rsid w:val="003C799D"/>
    <w:rsid w:val="003C7B27"/>
    <w:rsid w:val="003C7B6A"/>
    <w:rsid w:val="003C7CAC"/>
    <w:rsid w:val="003C7CB9"/>
    <w:rsid w:val="003C7CDC"/>
    <w:rsid w:val="003C7CF6"/>
    <w:rsid w:val="003C7D2C"/>
    <w:rsid w:val="003C7D4F"/>
    <w:rsid w:val="003C7D67"/>
    <w:rsid w:val="003C7EA0"/>
    <w:rsid w:val="003C7EB1"/>
    <w:rsid w:val="003C7F45"/>
    <w:rsid w:val="003C7F57"/>
    <w:rsid w:val="003C7FDE"/>
    <w:rsid w:val="003D007B"/>
    <w:rsid w:val="003D00C7"/>
    <w:rsid w:val="003D0101"/>
    <w:rsid w:val="003D0150"/>
    <w:rsid w:val="003D0188"/>
    <w:rsid w:val="003D01B7"/>
    <w:rsid w:val="003D01ED"/>
    <w:rsid w:val="003D0353"/>
    <w:rsid w:val="003D0360"/>
    <w:rsid w:val="003D0406"/>
    <w:rsid w:val="003D0467"/>
    <w:rsid w:val="003D046D"/>
    <w:rsid w:val="003D05C4"/>
    <w:rsid w:val="003D05DE"/>
    <w:rsid w:val="003D068E"/>
    <w:rsid w:val="003D0692"/>
    <w:rsid w:val="003D06C1"/>
    <w:rsid w:val="003D06DA"/>
    <w:rsid w:val="003D074E"/>
    <w:rsid w:val="003D082E"/>
    <w:rsid w:val="003D08B7"/>
    <w:rsid w:val="003D0905"/>
    <w:rsid w:val="003D0930"/>
    <w:rsid w:val="003D0991"/>
    <w:rsid w:val="003D09C2"/>
    <w:rsid w:val="003D09E4"/>
    <w:rsid w:val="003D0A77"/>
    <w:rsid w:val="003D0AD9"/>
    <w:rsid w:val="003D0BB6"/>
    <w:rsid w:val="003D0C18"/>
    <w:rsid w:val="003D0C19"/>
    <w:rsid w:val="003D0C40"/>
    <w:rsid w:val="003D0C44"/>
    <w:rsid w:val="003D0D99"/>
    <w:rsid w:val="003D0DAB"/>
    <w:rsid w:val="003D0DD8"/>
    <w:rsid w:val="003D0E70"/>
    <w:rsid w:val="003D0EC9"/>
    <w:rsid w:val="003D0ED3"/>
    <w:rsid w:val="003D0F29"/>
    <w:rsid w:val="003D0F42"/>
    <w:rsid w:val="003D0F96"/>
    <w:rsid w:val="003D0FA3"/>
    <w:rsid w:val="003D0FC1"/>
    <w:rsid w:val="003D1127"/>
    <w:rsid w:val="003D1141"/>
    <w:rsid w:val="003D11B6"/>
    <w:rsid w:val="003D11C8"/>
    <w:rsid w:val="003D11FB"/>
    <w:rsid w:val="003D1299"/>
    <w:rsid w:val="003D12CB"/>
    <w:rsid w:val="003D1321"/>
    <w:rsid w:val="003D1349"/>
    <w:rsid w:val="003D1398"/>
    <w:rsid w:val="003D13A4"/>
    <w:rsid w:val="003D13E5"/>
    <w:rsid w:val="003D1422"/>
    <w:rsid w:val="003D15BF"/>
    <w:rsid w:val="003D15F1"/>
    <w:rsid w:val="003D1618"/>
    <w:rsid w:val="003D1638"/>
    <w:rsid w:val="003D1686"/>
    <w:rsid w:val="003D175D"/>
    <w:rsid w:val="003D1777"/>
    <w:rsid w:val="003D17A4"/>
    <w:rsid w:val="003D17D2"/>
    <w:rsid w:val="003D17E2"/>
    <w:rsid w:val="003D180C"/>
    <w:rsid w:val="003D1826"/>
    <w:rsid w:val="003D1911"/>
    <w:rsid w:val="003D192B"/>
    <w:rsid w:val="003D1970"/>
    <w:rsid w:val="003D19A4"/>
    <w:rsid w:val="003D1A6E"/>
    <w:rsid w:val="003D1A89"/>
    <w:rsid w:val="003D1ACA"/>
    <w:rsid w:val="003D1AFC"/>
    <w:rsid w:val="003D1BA5"/>
    <w:rsid w:val="003D1BCC"/>
    <w:rsid w:val="003D1DD0"/>
    <w:rsid w:val="003D1DEA"/>
    <w:rsid w:val="003D1EDC"/>
    <w:rsid w:val="003D1EDE"/>
    <w:rsid w:val="003D1F0A"/>
    <w:rsid w:val="003D1F62"/>
    <w:rsid w:val="003D1F67"/>
    <w:rsid w:val="003D2062"/>
    <w:rsid w:val="003D2069"/>
    <w:rsid w:val="003D207C"/>
    <w:rsid w:val="003D20D6"/>
    <w:rsid w:val="003D2111"/>
    <w:rsid w:val="003D2130"/>
    <w:rsid w:val="003D217C"/>
    <w:rsid w:val="003D21D1"/>
    <w:rsid w:val="003D21F4"/>
    <w:rsid w:val="003D221D"/>
    <w:rsid w:val="003D224C"/>
    <w:rsid w:val="003D22B9"/>
    <w:rsid w:val="003D22BF"/>
    <w:rsid w:val="003D2311"/>
    <w:rsid w:val="003D2364"/>
    <w:rsid w:val="003D23CD"/>
    <w:rsid w:val="003D23D7"/>
    <w:rsid w:val="003D241E"/>
    <w:rsid w:val="003D2454"/>
    <w:rsid w:val="003D246A"/>
    <w:rsid w:val="003D24C0"/>
    <w:rsid w:val="003D24D3"/>
    <w:rsid w:val="003D2654"/>
    <w:rsid w:val="003D266F"/>
    <w:rsid w:val="003D26DE"/>
    <w:rsid w:val="003D26F4"/>
    <w:rsid w:val="003D2716"/>
    <w:rsid w:val="003D2746"/>
    <w:rsid w:val="003D2778"/>
    <w:rsid w:val="003D277A"/>
    <w:rsid w:val="003D277C"/>
    <w:rsid w:val="003D2846"/>
    <w:rsid w:val="003D2853"/>
    <w:rsid w:val="003D28A3"/>
    <w:rsid w:val="003D28E9"/>
    <w:rsid w:val="003D29A5"/>
    <w:rsid w:val="003D29B3"/>
    <w:rsid w:val="003D2A81"/>
    <w:rsid w:val="003D2B34"/>
    <w:rsid w:val="003D2B92"/>
    <w:rsid w:val="003D2BB1"/>
    <w:rsid w:val="003D2BDF"/>
    <w:rsid w:val="003D2BE9"/>
    <w:rsid w:val="003D2C9E"/>
    <w:rsid w:val="003D2CAE"/>
    <w:rsid w:val="003D2D30"/>
    <w:rsid w:val="003D2D77"/>
    <w:rsid w:val="003D2E36"/>
    <w:rsid w:val="003D2E7D"/>
    <w:rsid w:val="003D2E89"/>
    <w:rsid w:val="003D2EFA"/>
    <w:rsid w:val="003D2F03"/>
    <w:rsid w:val="003D2FCD"/>
    <w:rsid w:val="003D2FE4"/>
    <w:rsid w:val="003D3193"/>
    <w:rsid w:val="003D31BB"/>
    <w:rsid w:val="003D3216"/>
    <w:rsid w:val="003D32AB"/>
    <w:rsid w:val="003D32BD"/>
    <w:rsid w:val="003D339C"/>
    <w:rsid w:val="003D33DB"/>
    <w:rsid w:val="003D33F4"/>
    <w:rsid w:val="003D3401"/>
    <w:rsid w:val="003D345E"/>
    <w:rsid w:val="003D34CF"/>
    <w:rsid w:val="003D34D0"/>
    <w:rsid w:val="003D34E3"/>
    <w:rsid w:val="003D34EB"/>
    <w:rsid w:val="003D34ED"/>
    <w:rsid w:val="003D34F5"/>
    <w:rsid w:val="003D3594"/>
    <w:rsid w:val="003D35B4"/>
    <w:rsid w:val="003D35EC"/>
    <w:rsid w:val="003D3642"/>
    <w:rsid w:val="003D369E"/>
    <w:rsid w:val="003D36DB"/>
    <w:rsid w:val="003D36E2"/>
    <w:rsid w:val="003D36E6"/>
    <w:rsid w:val="003D36F3"/>
    <w:rsid w:val="003D3720"/>
    <w:rsid w:val="003D372A"/>
    <w:rsid w:val="003D376B"/>
    <w:rsid w:val="003D37B7"/>
    <w:rsid w:val="003D380E"/>
    <w:rsid w:val="003D388D"/>
    <w:rsid w:val="003D3939"/>
    <w:rsid w:val="003D3959"/>
    <w:rsid w:val="003D395D"/>
    <w:rsid w:val="003D396E"/>
    <w:rsid w:val="003D39B6"/>
    <w:rsid w:val="003D39D3"/>
    <w:rsid w:val="003D3B63"/>
    <w:rsid w:val="003D3B94"/>
    <w:rsid w:val="003D3BCF"/>
    <w:rsid w:val="003D3C54"/>
    <w:rsid w:val="003D3D78"/>
    <w:rsid w:val="003D3E02"/>
    <w:rsid w:val="003D3ED9"/>
    <w:rsid w:val="003D3FDE"/>
    <w:rsid w:val="003D402A"/>
    <w:rsid w:val="003D4056"/>
    <w:rsid w:val="003D4079"/>
    <w:rsid w:val="003D4123"/>
    <w:rsid w:val="003D41DE"/>
    <w:rsid w:val="003D4226"/>
    <w:rsid w:val="003D4239"/>
    <w:rsid w:val="003D423A"/>
    <w:rsid w:val="003D4286"/>
    <w:rsid w:val="003D42E2"/>
    <w:rsid w:val="003D42F2"/>
    <w:rsid w:val="003D443A"/>
    <w:rsid w:val="003D44D2"/>
    <w:rsid w:val="003D44E9"/>
    <w:rsid w:val="003D458A"/>
    <w:rsid w:val="003D45C7"/>
    <w:rsid w:val="003D45E4"/>
    <w:rsid w:val="003D45ED"/>
    <w:rsid w:val="003D4637"/>
    <w:rsid w:val="003D46FA"/>
    <w:rsid w:val="003D46FD"/>
    <w:rsid w:val="003D4702"/>
    <w:rsid w:val="003D4768"/>
    <w:rsid w:val="003D4794"/>
    <w:rsid w:val="003D47CF"/>
    <w:rsid w:val="003D484A"/>
    <w:rsid w:val="003D4867"/>
    <w:rsid w:val="003D487E"/>
    <w:rsid w:val="003D48E2"/>
    <w:rsid w:val="003D48E8"/>
    <w:rsid w:val="003D4907"/>
    <w:rsid w:val="003D490F"/>
    <w:rsid w:val="003D491B"/>
    <w:rsid w:val="003D497D"/>
    <w:rsid w:val="003D498F"/>
    <w:rsid w:val="003D49A9"/>
    <w:rsid w:val="003D4A29"/>
    <w:rsid w:val="003D4A7E"/>
    <w:rsid w:val="003D4A95"/>
    <w:rsid w:val="003D4AF4"/>
    <w:rsid w:val="003D4B16"/>
    <w:rsid w:val="003D4B27"/>
    <w:rsid w:val="003D4B5B"/>
    <w:rsid w:val="003D4B99"/>
    <w:rsid w:val="003D4C4B"/>
    <w:rsid w:val="003D4C69"/>
    <w:rsid w:val="003D4CA4"/>
    <w:rsid w:val="003D4CC9"/>
    <w:rsid w:val="003D4CCC"/>
    <w:rsid w:val="003D4D11"/>
    <w:rsid w:val="003D4D51"/>
    <w:rsid w:val="003D4D5E"/>
    <w:rsid w:val="003D4DD2"/>
    <w:rsid w:val="003D4DEB"/>
    <w:rsid w:val="003D4E5B"/>
    <w:rsid w:val="003D4E7F"/>
    <w:rsid w:val="003D4F02"/>
    <w:rsid w:val="003D4F60"/>
    <w:rsid w:val="003D4FA1"/>
    <w:rsid w:val="003D5067"/>
    <w:rsid w:val="003D50AE"/>
    <w:rsid w:val="003D5145"/>
    <w:rsid w:val="003D51B8"/>
    <w:rsid w:val="003D5200"/>
    <w:rsid w:val="003D5315"/>
    <w:rsid w:val="003D5335"/>
    <w:rsid w:val="003D534A"/>
    <w:rsid w:val="003D5373"/>
    <w:rsid w:val="003D53AC"/>
    <w:rsid w:val="003D53E4"/>
    <w:rsid w:val="003D544C"/>
    <w:rsid w:val="003D54A6"/>
    <w:rsid w:val="003D54CC"/>
    <w:rsid w:val="003D55C0"/>
    <w:rsid w:val="003D5619"/>
    <w:rsid w:val="003D564F"/>
    <w:rsid w:val="003D56DB"/>
    <w:rsid w:val="003D56FD"/>
    <w:rsid w:val="003D5767"/>
    <w:rsid w:val="003D57F8"/>
    <w:rsid w:val="003D5828"/>
    <w:rsid w:val="003D582F"/>
    <w:rsid w:val="003D597F"/>
    <w:rsid w:val="003D59AE"/>
    <w:rsid w:val="003D59C5"/>
    <w:rsid w:val="003D5A44"/>
    <w:rsid w:val="003D5A87"/>
    <w:rsid w:val="003D5AAA"/>
    <w:rsid w:val="003D5ABE"/>
    <w:rsid w:val="003D5AFD"/>
    <w:rsid w:val="003D5B7C"/>
    <w:rsid w:val="003D5C20"/>
    <w:rsid w:val="003D5C3E"/>
    <w:rsid w:val="003D5C49"/>
    <w:rsid w:val="003D5CB8"/>
    <w:rsid w:val="003D5CBA"/>
    <w:rsid w:val="003D5CF4"/>
    <w:rsid w:val="003D5D0B"/>
    <w:rsid w:val="003D5D2B"/>
    <w:rsid w:val="003D5DA3"/>
    <w:rsid w:val="003D5E19"/>
    <w:rsid w:val="003D5F0F"/>
    <w:rsid w:val="003D5F4A"/>
    <w:rsid w:val="003D5F56"/>
    <w:rsid w:val="003D5FC8"/>
    <w:rsid w:val="003D5FD3"/>
    <w:rsid w:val="003D5FD7"/>
    <w:rsid w:val="003D5FDA"/>
    <w:rsid w:val="003D60CC"/>
    <w:rsid w:val="003D61ED"/>
    <w:rsid w:val="003D61FD"/>
    <w:rsid w:val="003D6242"/>
    <w:rsid w:val="003D629F"/>
    <w:rsid w:val="003D62CD"/>
    <w:rsid w:val="003D62D7"/>
    <w:rsid w:val="003D6384"/>
    <w:rsid w:val="003D63E0"/>
    <w:rsid w:val="003D6415"/>
    <w:rsid w:val="003D644A"/>
    <w:rsid w:val="003D64BA"/>
    <w:rsid w:val="003D663D"/>
    <w:rsid w:val="003D664C"/>
    <w:rsid w:val="003D6694"/>
    <w:rsid w:val="003D66D4"/>
    <w:rsid w:val="003D6764"/>
    <w:rsid w:val="003D67D5"/>
    <w:rsid w:val="003D688E"/>
    <w:rsid w:val="003D6891"/>
    <w:rsid w:val="003D690A"/>
    <w:rsid w:val="003D693B"/>
    <w:rsid w:val="003D6941"/>
    <w:rsid w:val="003D6957"/>
    <w:rsid w:val="003D6B37"/>
    <w:rsid w:val="003D6BF5"/>
    <w:rsid w:val="003D6C6C"/>
    <w:rsid w:val="003D6CB8"/>
    <w:rsid w:val="003D6D03"/>
    <w:rsid w:val="003D6D4D"/>
    <w:rsid w:val="003D6DD1"/>
    <w:rsid w:val="003D6EDF"/>
    <w:rsid w:val="003D6F08"/>
    <w:rsid w:val="003D6F14"/>
    <w:rsid w:val="003D6F16"/>
    <w:rsid w:val="003D6F62"/>
    <w:rsid w:val="003D7100"/>
    <w:rsid w:val="003D717F"/>
    <w:rsid w:val="003D718C"/>
    <w:rsid w:val="003D7198"/>
    <w:rsid w:val="003D71C6"/>
    <w:rsid w:val="003D7217"/>
    <w:rsid w:val="003D7239"/>
    <w:rsid w:val="003D724E"/>
    <w:rsid w:val="003D72CA"/>
    <w:rsid w:val="003D734A"/>
    <w:rsid w:val="003D73F6"/>
    <w:rsid w:val="003D7402"/>
    <w:rsid w:val="003D7405"/>
    <w:rsid w:val="003D7434"/>
    <w:rsid w:val="003D74EE"/>
    <w:rsid w:val="003D75D9"/>
    <w:rsid w:val="003D75EA"/>
    <w:rsid w:val="003D760A"/>
    <w:rsid w:val="003D7649"/>
    <w:rsid w:val="003D766C"/>
    <w:rsid w:val="003D76DA"/>
    <w:rsid w:val="003D773B"/>
    <w:rsid w:val="003D7745"/>
    <w:rsid w:val="003D7758"/>
    <w:rsid w:val="003D7779"/>
    <w:rsid w:val="003D77C3"/>
    <w:rsid w:val="003D77DA"/>
    <w:rsid w:val="003D782B"/>
    <w:rsid w:val="003D7842"/>
    <w:rsid w:val="003D784F"/>
    <w:rsid w:val="003D7898"/>
    <w:rsid w:val="003D78F3"/>
    <w:rsid w:val="003D790D"/>
    <w:rsid w:val="003D7920"/>
    <w:rsid w:val="003D7972"/>
    <w:rsid w:val="003D79AD"/>
    <w:rsid w:val="003D7A02"/>
    <w:rsid w:val="003D7A24"/>
    <w:rsid w:val="003D7A6D"/>
    <w:rsid w:val="003D7AB6"/>
    <w:rsid w:val="003D7B20"/>
    <w:rsid w:val="003D7BE8"/>
    <w:rsid w:val="003D7CAE"/>
    <w:rsid w:val="003D7CB0"/>
    <w:rsid w:val="003D7CF9"/>
    <w:rsid w:val="003D7D83"/>
    <w:rsid w:val="003D7ED6"/>
    <w:rsid w:val="003D7FA6"/>
    <w:rsid w:val="003D7FCA"/>
    <w:rsid w:val="003E0033"/>
    <w:rsid w:val="003E004E"/>
    <w:rsid w:val="003E00CE"/>
    <w:rsid w:val="003E00F8"/>
    <w:rsid w:val="003E0113"/>
    <w:rsid w:val="003E015A"/>
    <w:rsid w:val="003E01A1"/>
    <w:rsid w:val="003E01C5"/>
    <w:rsid w:val="003E025A"/>
    <w:rsid w:val="003E02F1"/>
    <w:rsid w:val="003E031D"/>
    <w:rsid w:val="003E0352"/>
    <w:rsid w:val="003E03DA"/>
    <w:rsid w:val="003E03E1"/>
    <w:rsid w:val="003E0449"/>
    <w:rsid w:val="003E04B4"/>
    <w:rsid w:val="003E0501"/>
    <w:rsid w:val="003E060B"/>
    <w:rsid w:val="003E0748"/>
    <w:rsid w:val="003E0752"/>
    <w:rsid w:val="003E077F"/>
    <w:rsid w:val="003E07C7"/>
    <w:rsid w:val="003E07CC"/>
    <w:rsid w:val="003E07E3"/>
    <w:rsid w:val="003E07EC"/>
    <w:rsid w:val="003E08E4"/>
    <w:rsid w:val="003E0903"/>
    <w:rsid w:val="003E096A"/>
    <w:rsid w:val="003E09FB"/>
    <w:rsid w:val="003E0AF1"/>
    <w:rsid w:val="003E0C02"/>
    <w:rsid w:val="003E0C3A"/>
    <w:rsid w:val="003E0C48"/>
    <w:rsid w:val="003E0C51"/>
    <w:rsid w:val="003E0DAA"/>
    <w:rsid w:val="003E0DFA"/>
    <w:rsid w:val="003E0E0B"/>
    <w:rsid w:val="003E0E1F"/>
    <w:rsid w:val="003E0EE2"/>
    <w:rsid w:val="003E0F1A"/>
    <w:rsid w:val="003E0F91"/>
    <w:rsid w:val="003E0FB7"/>
    <w:rsid w:val="003E0FFD"/>
    <w:rsid w:val="003E1001"/>
    <w:rsid w:val="003E100A"/>
    <w:rsid w:val="003E105A"/>
    <w:rsid w:val="003E1120"/>
    <w:rsid w:val="003E1142"/>
    <w:rsid w:val="003E1232"/>
    <w:rsid w:val="003E139B"/>
    <w:rsid w:val="003E13C5"/>
    <w:rsid w:val="003E13ED"/>
    <w:rsid w:val="003E147B"/>
    <w:rsid w:val="003E158E"/>
    <w:rsid w:val="003E15D0"/>
    <w:rsid w:val="003E15E4"/>
    <w:rsid w:val="003E1603"/>
    <w:rsid w:val="003E1608"/>
    <w:rsid w:val="003E1638"/>
    <w:rsid w:val="003E163A"/>
    <w:rsid w:val="003E1662"/>
    <w:rsid w:val="003E1674"/>
    <w:rsid w:val="003E16D1"/>
    <w:rsid w:val="003E16F7"/>
    <w:rsid w:val="003E171C"/>
    <w:rsid w:val="003E1732"/>
    <w:rsid w:val="003E179B"/>
    <w:rsid w:val="003E17EA"/>
    <w:rsid w:val="003E1804"/>
    <w:rsid w:val="003E18E1"/>
    <w:rsid w:val="003E194D"/>
    <w:rsid w:val="003E1959"/>
    <w:rsid w:val="003E1967"/>
    <w:rsid w:val="003E19F3"/>
    <w:rsid w:val="003E1A0D"/>
    <w:rsid w:val="003E1AC2"/>
    <w:rsid w:val="003E1B2B"/>
    <w:rsid w:val="003E1C4C"/>
    <w:rsid w:val="003E1C8C"/>
    <w:rsid w:val="003E1CB1"/>
    <w:rsid w:val="003E1CEA"/>
    <w:rsid w:val="003E1D27"/>
    <w:rsid w:val="003E1D39"/>
    <w:rsid w:val="003E1DAD"/>
    <w:rsid w:val="003E1DE0"/>
    <w:rsid w:val="003E1DF4"/>
    <w:rsid w:val="003E1E29"/>
    <w:rsid w:val="003E1E57"/>
    <w:rsid w:val="003E1E9A"/>
    <w:rsid w:val="003E1EA9"/>
    <w:rsid w:val="003E1EE6"/>
    <w:rsid w:val="003E1EE8"/>
    <w:rsid w:val="003E1FFA"/>
    <w:rsid w:val="003E21D1"/>
    <w:rsid w:val="003E2299"/>
    <w:rsid w:val="003E22EC"/>
    <w:rsid w:val="003E230B"/>
    <w:rsid w:val="003E2350"/>
    <w:rsid w:val="003E239F"/>
    <w:rsid w:val="003E23D2"/>
    <w:rsid w:val="003E23F4"/>
    <w:rsid w:val="003E2471"/>
    <w:rsid w:val="003E247F"/>
    <w:rsid w:val="003E24B4"/>
    <w:rsid w:val="003E24C6"/>
    <w:rsid w:val="003E251A"/>
    <w:rsid w:val="003E251B"/>
    <w:rsid w:val="003E2576"/>
    <w:rsid w:val="003E25DC"/>
    <w:rsid w:val="003E270C"/>
    <w:rsid w:val="003E2710"/>
    <w:rsid w:val="003E2738"/>
    <w:rsid w:val="003E27B5"/>
    <w:rsid w:val="003E2828"/>
    <w:rsid w:val="003E2A09"/>
    <w:rsid w:val="003E2A2B"/>
    <w:rsid w:val="003E2A79"/>
    <w:rsid w:val="003E2AA2"/>
    <w:rsid w:val="003E2AEE"/>
    <w:rsid w:val="003E2B32"/>
    <w:rsid w:val="003E2B63"/>
    <w:rsid w:val="003E2BE9"/>
    <w:rsid w:val="003E2C6D"/>
    <w:rsid w:val="003E2C85"/>
    <w:rsid w:val="003E2CF9"/>
    <w:rsid w:val="003E2E06"/>
    <w:rsid w:val="003E2E11"/>
    <w:rsid w:val="003E2E23"/>
    <w:rsid w:val="003E3035"/>
    <w:rsid w:val="003E3067"/>
    <w:rsid w:val="003E306C"/>
    <w:rsid w:val="003E30B7"/>
    <w:rsid w:val="003E3173"/>
    <w:rsid w:val="003E31A8"/>
    <w:rsid w:val="003E325E"/>
    <w:rsid w:val="003E325F"/>
    <w:rsid w:val="003E3299"/>
    <w:rsid w:val="003E33D9"/>
    <w:rsid w:val="003E33F2"/>
    <w:rsid w:val="003E3400"/>
    <w:rsid w:val="003E345B"/>
    <w:rsid w:val="003E3545"/>
    <w:rsid w:val="003E3592"/>
    <w:rsid w:val="003E3626"/>
    <w:rsid w:val="003E3641"/>
    <w:rsid w:val="003E3813"/>
    <w:rsid w:val="003E383C"/>
    <w:rsid w:val="003E3848"/>
    <w:rsid w:val="003E3860"/>
    <w:rsid w:val="003E3898"/>
    <w:rsid w:val="003E394A"/>
    <w:rsid w:val="003E3993"/>
    <w:rsid w:val="003E3AC7"/>
    <w:rsid w:val="003E3AD8"/>
    <w:rsid w:val="003E3AF4"/>
    <w:rsid w:val="003E3BA4"/>
    <w:rsid w:val="003E3C47"/>
    <w:rsid w:val="003E3E01"/>
    <w:rsid w:val="003E3E43"/>
    <w:rsid w:val="003E3E68"/>
    <w:rsid w:val="003E3E70"/>
    <w:rsid w:val="003E3E77"/>
    <w:rsid w:val="003E3E7A"/>
    <w:rsid w:val="003E3F22"/>
    <w:rsid w:val="003E3FF6"/>
    <w:rsid w:val="003E400B"/>
    <w:rsid w:val="003E4011"/>
    <w:rsid w:val="003E4013"/>
    <w:rsid w:val="003E4063"/>
    <w:rsid w:val="003E40C7"/>
    <w:rsid w:val="003E40FC"/>
    <w:rsid w:val="003E4184"/>
    <w:rsid w:val="003E418E"/>
    <w:rsid w:val="003E4240"/>
    <w:rsid w:val="003E424D"/>
    <w:rsid w:val="003E429C"/>
    <w:rsid w:val="003E4301"/>
    <w:rsid w:val="003E433D"/>
    <w:rsid w:val="003E4434"/>
    <w:rsid w:val="003E4449"/>
    <w:rsid w:val="003E449C"/>
    <w:rsid w:val="003E44C3"/>
    <w:rsid w:val="003E4524"/>
    <w:rsid w:val="003E45FF"/>
    <w:rsid w:val="003E460E"/>
    <w:rsid w:val="003E464E"/>
    <w:rsid w:val="003E46C9"/>
    <w:rsid w:val="003E46DB"/>
    <w:rsid w:val="003E4720"/>
    <w:rsid w:val="003E480D"/>
    <w:rsid w:val="003E486F"/>
    <w:rsid w:val="003E487A"/>
    <w:rsid w:val="003E49D0"/>
    <w:rsid w:val="003E4A23"/>
    <w:rsid w:val="003E4A40"/>
    <w:rsid w:val="003E4A59"/>
    <w:rsid w:val="003E4A87"/>
    <w:rsid w:val="003E4AF7"/>
    <w:rsid w:val="003E4B0D"/>
    <w:rsid w:val="003E4B1C"/>
    <w:rsid w:val="003E4B32"/>
    <w:rsid w:val="003E4BB2"/>
    <w:rsid w:val="003E4BC0"/>
    <w:rsid w:val="003E4BD8"/>
    <w:rsid w:val="003E4BDA"/>
    <w:rsid w:val="003E4C0A"/>
    <w:rsid w:val="003E4C2B"/>
    <w:rsid w:val="003E4CCC"/>
    <w:rsid w:val="003E4CEB"/>
    <w:rsid w:val="003E4D92"/>
    <w:rsid w:val="003E4E1B"/>
    <w:rsid w:val="003E4E20"/>
    <w:rsid w:val="003E4E3F"/>
    <w:rsid w:val="003E4E4A"/>
    <w:rsid w:val="003E4EA3"/>
    <w:rsid w:val="003E4EAE"/>
    <w:rsid w:val="003E4F28"/>
    <w:rsid w:val="003E4F73"/>
    <w:rsid w:val="003E4FB7"/>
    <w:rsid w:val="003E4FF7"/>
    <w:rsid w:val="003E5012"/>
    <w:rsid w:val="003E504A"/>
    <w:rsid w:val="003E507F"/>
    <w:rsid w:val="003E522D"/>
    <w:rsid w:val="003E52C3"/>
    <w:rsid w:val="003E532F"/>
    <w:rsid w:val="003E545B"/>
    <w:rsid w:val="003E549C"/>
    <w:rsid w:val="003E54F2"/>
    <w:rsid w:val="003E5534"/>
    <w:rsid w:val="003E5538"/>
    <w:rsid w:val="003E5568"/>
    <w:rsid w:val="003E5586"/>
    <w:rsid w:val="003E560A"/>
    <w:rsid w:val="003E5618"/>
    <w:rsid w:val="003E5658"/>
    <w:rsid w:val="003E58B8"/>
    <w:rsid w:val="003E5913"/>
    <w:rsid w:val="003E59D2"/>
    <w:rsid w:val="003E5A61"/>
    <w:rsid w:val="003E5A77"/>
    <w:rsid w:val="003E5AE7"/>
    <w:rsid w:val="003E5B8C"/>
    <w:rsid w:val="003E5BE8"/>
    <w:rsid w:val="003E5C21"/>
    <w:rsid w:val="003E5C32"/>
    <w:rsid w:val="003E5C3F"/>
    <w:rsid w:val="003E5CD2"/>
    <w:rsid w:val="003E5CDE"/>
    <w:rsid w:val="003E5D30"/>
    <w:rsid w:val="003E5DA8"/>
    <w:rsid w:val="003E5E6A"/>
    <w:rsid w:val="003E5EA2"/>
    <w:rsid w:val="003E5F14"/>
    <w:rsid w:val="003E602F"/>
    <w:rsid w:val="003E6160"/>
    <w:rsid w:val="003E61F3"/>
    <w:rsid w:val="003E61FF"/>
    <w:rsid w:val="003E626F"/>
    <w:rsid w:val="003E6284"/>
    <w:rsid w:val="003E62A7"/>
    <w:rsid w:val="003E6324"/>
    <w:rsid w:val="003E6326"/>
    <w:rsid w:val="003E6344"/>
    <w:rsid w:val="003E6367"/>
    <w:rsid w:val="003E6372"/>
    <w:rsid w:val="003E6379"/>
    <w:rsid w:val="003E6471"/>
    <w:rsid w:val="003E6497"/>
    <w:rsid w:val="003E64F4"/>
    <w:rsid w:val="003E6553"/>
    <w:rsid w:val="003E6564"/>
    <w:rsid w:val="003E658E"/>
    <w:rsid w:val="003E6602"/>
    <w:rsid w:val="003E6632"/>
    <w:rsid w:val="003E669B"/>
    <w:rsid w:val="003E66E3"/>
    <w:rsid w:val="003E66EE"/>
    <w:rsid w:val="003E6752"/>
    <w:rsid w:val="003E67A4"/>
    <w:rsid w:val="003E67F1"/>
    <w:rsid w:val="003E688D"/>
    <w:rsid w:val="003E69CB"/>
    <w:rsid w:val="003E6A42"/>
    <w:rsid w:val="003E6AC8"/>
    <w:rsid w:val="003E6BC4"/>
    <w:rsid w:val="003E6BDA"/>
    <w:rsid w:val="003E6BE5"/>
    <w:rsid w:val="003E6CA9"/>
    <w:rsid w:val="003E6CE7"/>
    <w:rsid w:val="003E6D78"/>
    <w:rsid w:val="003E6DD4"/>
    <w:rsid w:val="003E6E89"/>
    <w:rsid w:val="003E6EAA"/>
    <w:rsid w:val="003E6EC0"/>
    <w:rsid w:val="003E6F58"/>
    <w:rsid w:val="003E6FC4"/>
    <w:rsid w:val="003E7036"/>
    <w:rsid w:val="003E703A"/>
    <w:rsid w:val="003E7066"/>
    <w:rsid w:val="003E70EA"/>
    <w:rsid w:val="003E71A4"/>
    <w:rsid w:val="003E732B"/>
    <w:rsid w:val="003E7347"/>
    <w:rsid w:val="003E735A"/>
    <w:rsid w:val="003E739D"/>
    <w:rsid w:val="003E73EE"/>
    <w:rsid w:val="003E743E"/>
    <w:rsid w:val="003E74BA"/>
    <w:rsid w:val="003E7506"/>
    <w:rsid w:val="003E750E"/>
    <w:rsid w:val="003E75FA"/>
    <w:rsid w:val="003E7609"/>
    <w:rsid w:val="003E76E5"/>
    <w:rsid w:val="003E76FB"/>
    <w:rsid w:val="003E77E5"/>
    <w:rsid w:val="003E782A"/>
    <w:rsid w:val="003E786B"/>
    <w:rsid w:val="003E78FD"/>
    <w:rsid w:val="003E7925"/>
    <w:rsid w:val="003E794A"/>
    <w:rsid w:val="003E7963"/>
    <w:rsid w:val="003E7971"/>
    <w:rsid w:val="003E79B6"/>
    <w:rsid w:val="003E7AA3"/>
    <w:rsid w:val="003E7AB7"/>
    <w:rsid w:val="003E7B09"/>
    <w:rsid w:val="003E7B17"/>
    <w:rsid w:val="003E7B1E"/>
    <w:rsid w:val="003E7B38"/>
    <w:rsid w:val="003E7BD8"/>
    <w:rsid w:val="003E7BFB"/>
    <w:rsid w:val="003E7DCA"/>
    <w:rsid w:val="003E7DD5"/>
    <w:rsid w:val="003E7E40"/>
    <w:rsid w:val="003E7F4D"/>
    <w:rsid w:val="003E7F9E"/>
    <w:rsid w:val="003E7FC0"/>
    <w:rsid w:val="003E7FC6"/>
    <w:rsid w:val="003E7FE2"/>
    <w:rsid w:val="003F0033"/>
    <w:rsid w:val="003F0037"/>
    <w:rsid w:val="003F004A"/>
    <w:rsid w:val="003F0062"/>
    <w:rsid w:val="003F00A2"/>
    <w:rsid w:val="003F0221"/>
    <w:rsid w:val="003F02A6"/>
    <w:rsid w:val="003F0338"/>
    <w:rsid w:val="003F0353"/>
    <w:rsid w:val="003F0418"/>
    <w:rsid w:val="003F0425"/>
    <w:rsid w:val="003F0439"/>
    <w:rsid w:val="003F044D"/>
    <w:rsid w:val="003F0483"/>
    <w:rsid w:val="003F04CD"/>
    <w:rsid w:val="003F0553"/>
    <w:rsid w:val="003F056D"/>
    <w:rsid w:val="003F06A1"/>
    <w:rsid w:val="003F06A6"/>
    <w:rsid w:val="003F074B"/>
    <w:rsid w:val="003F076B"/>
    <w:rsid w:val="003F0774"/>
    <w:rsid w:val="003F07AB"/>
    <w:rsid w:val="003F07D8"/>
    <w:rsid w:val="003F07FF"/>
    <w:rsid w:val="003F0942"/>
    <w:rsid w:val="003F0998"/>
    <w:rsid w:val="003F09FD"/>
    <w:rsid w:val="003F0A0A"/>
    <w:rsid w:val="003F0A16"/>
    <w:rsid w:val="003F0AAA"/>
    <w:rsid w:val="003F0AB0"/>
    <w:rsid w:val="003F0B49"/>
    <w:rsid w:val="003F0B76"/>
    <w:rsid w:val="003F0C05"/>
    <w:rsid w:val="003F0C1C"/>
    <w:rsid w:val="003F0D5D"/>
    <w:rsid w:val="003F0D9F"/>
    <w:rsid w:val="003F0DEC"/>
    <w:rsid w:val="003F0E1C"/>
    <w:rsid w:val="003F0E1D"/>
    <w:rsid w:val="003F0E5B"/>
    <w:rsid w:val="003F0EF4"/>
    <w:rsid w:val="003F0FB5"/>
    <w:rsid w:val="003F0FD5"/>
    <w:rsid w:val="003F1074"/>
    <w:rsid w:val="003F1124"/>
    <w:rsid w:val="003F1194"/>
    <w:rsid w:val="003F11AE"/>
    <w:rsid w:val="003F11C8"/>
    <w:rsid w:val="003F1203"/>
    <w:rsid w:val="003F1222"/>
    <w:rsid w:val="003F126F"/>
    <w:rsid w:val="003F1293"/>
    <w:rsid w:val="003F12BF"/>
    <w:rsid w:val="003F135B"/>
    <w:rsid w:val="003F139D"/>
    <w:rsid w:val="003F13BE"/>
    <w:rsid w:val="003F1442"/>
    <w:rsid w:val="003F14B2"/>
    <w:rsid w:val="003F1571"/>
    <w:rsid w:val="003F159C"/>
    <w:rsid w:val="003F16B1"/>
    <w:rsid w:val="003F1705"/>
    <w:rsid w:val="003F1728"/>
    <w:rsid w:val="003F1753"/>
    <w:rsid w:val="003F17B6"/>
    <w:rsid w:val="003F17B8"/>
    <w:rsid w:val="003F1828"/>
    <w:rsid w:val="003F185F"/>
    <w:rsid w:val="003F18DC"/>
    <w:rsid w:val="003F1929"/>
    <w:rsid w:val="003F1965"/>
    <w:rsid w:val="003F1A6E"/>
    <w:rsid w:val="003F1AB1"/>
    <w:rsid w:val="003F1B13"/>
    <w:rsid w:val="003F1B43"/>
    <w:rsid w:val="003F1BC1"/>
    <w:rsid w:val="003F1BC2"/>
    <w:rsid w:val="003F1BD2"/>
    <w:rsid w:val="003F1C5F"/>
    <w:rsid w:val="003F1C77"/>
    <w:rsid w:val="003F1C96"/>
    <w:rsid w:val="003F1D38"/>
    <w:rsid w:val="003F1D3F"/>
    <w:rsid w:val="003F1EDF"/>
    <w:rsid w:val="003F1F7D"/>
    <w:rsid w:val="003F1FB0"/>
    <w:rsid w:val="003F1FDF"/>
    <w:rsid w:val="003F1FEE"/>
    <w:rsid w:val="003F20B2"/>
    <w:rsid w:val="003F20F2"/>
    <w:rsid w:val="003F212A"/>
    <w:rsid w:val="003F2206"/>
    <w:rsid w:val="003F220B"/>
    <w:rsid w:val="003F2226"/>
    <w:rsid w:val="003F22BA"/>
    <w:rsid w:val="003F230E"/>
    <w:rsid w:val="003F233C"/>
    <w:rsid w:val="003F2346"/>
    <w:rsid w:val="003F238A"/>
    <w:rsid w:val="003F2408"/>
    <w:rsid w:val="003F2418"/>
    <w:rsid w:val="003F24BB"/>
    <w:rsid w:val="003F252D"/>
    <w:rsid w:val="003F2546"/>
    <w:rsid w:val="003F258E"/>
    <w:rsid w:val="003F25F5"/>
    <w:rsid w:val="003F26C5"/>
    <w:rsid w:val="003F26FA"/>
    <w:rsid w:val="003F26FB"/>
    <w:rsid w:val="003F27CE"/>
    <w:rsid w:val="003F27DA"/>
    <w:rsid w:val="003F28A9"/>
    <w:rsid w:val="003F28B1"/>
    <w:rsid w:val="003F28D1"/>
    <w:rsid w:val="003F28F9"/>
    <w:rsid w:val="003F2978"/>
    <w:rsid w:val="003F29E5"/>
    <w:rsid w:val="003F2A55"/>
    <w:rsid w:val="003F2AFF"/>
    <w:rsid w:val="003F2BD6"/>
    <w:rsid w:val="003F2BF3"/>
    <w:rsid w:val="003F2C33"/>
    <w:rsid w:val="003F2C34"/>
    <w:rsid w:val="003F2C5C"/>
    <w:rsid w:val="003F2C7B"/>
    <w:rsid w:val="003F2CB0"/>
    <w:rsid w:val="003F2CE3"/>
    <w:rsid w:val="003F2D4D"/>
    <w:rsid w:val="003F2D4E"/>
    <w:rsid w:val="003F2D4F"/>
    <w:rsid w:val="003F2D61"/>
    <w:rsid w:val="003F2D63"/>
    <w:rsid w:val="003F2DBA"/>
    <w:rsid w:val="003F2E49"/>
    <w:rsid w:val="003F2EBF"/>
    <w:rsid w:val="003F2EF3"/>
    <w:rsid w:val="003F2F14"/>
    <w:rsid w:val="003F2F32"/>
    <w:rsid w:val="003F2F70"/>
    <w:rsid w:val="003F2F7C"/>
    <w:rsid w:val="003F30BD"/>
    <w:rsid w:val="003F310B"/>
    <w:rsid w:val="003F3130"/>
    <w:rsid w:val="003F31A2"/>
    <w:rsid w:val="003F31AC"/>
    <w:rsid w:val="003F31DC"/>
    <w:rsid w:val="003F31FD"/>
    <w:rsid w:val="003F3200"/>
    <w:rsid w:val="003F3279"/>
    <w:rsid w:val="003F32B2"/>
    <w:rsid w:val="003F32E2"/>
    <w:rsid w:val="003F330A"/>
    <w:rsid w:val="003F3318"/>
    <w:rsid w:val="003F349E"/>
    <w:rsid w:val="003F3515"/>
    <w:rsid w:val="003F3571"/>
    <w:rsid w:val="003F35D2"/>
    <w:rsid w:val="003F365C"/>
    <w:rsid w:val="003F3664"/>
    <w:rsid w:val="003F36D7"/>
    <w:rsid w:val="003F3768"/>
    <w:rsid w:val="003F37DD"/>
    <w:rsid w:val="003F37E5"/>
    <w:rsid w:val="003F3819"/>
    <w:rsid w:val="003F38A4"/>
    <w:rsid w:val="003F393D"/>
    <w:rsid w:val="003F3A13"/>
    <w:rsid w:val="003F3A43"/>
    <w:rsid w:val="003F3AA8"/>
    <w:rsid w:val="003F3ADF"/>
    <w:rsid w:val="003F3B17"/>
    <w:rsid w:val="003F3B2E"/>
    <w:rsid w:val="003F3B4A"/>
    <w:rsid w:val="003F3BEB"/>
    <w:rsid w:val="003F3C0C"/>
    <w:rsid w:val="003F3CB6"/>
    <w:rsid w:val="003F3D84"/>
    <w:rsid w:val="003F3D89"/>
    <w:rsid w:val="003F3EE7"/>
    <w:rsid w:val="003F3F6A"/>
    <w:rsid w:val="003F3F85"/>
    <w:rsid w:val="003F400E"/>
    <w:rsid w:val="003F408B"/>
    <w:rsid w:val="003F40C8"/>
    <w:rsid w:val="003F4100"/>
    <w:rsid w:val="003F410F"/>
    <w:rsid w:val="003F41D7"/>
    <w:rsid w:val="003F4352"/>
    <w:rsid w:val="003F43A9"/>
    <w:rsid w:val="003F44B4"/>
    <w:rsid w:val="003F45FA"/>
    <w:rsid w:val="003F4600"/>
    <w:rsid w:val="003F46E4"/>
    <w:rsid w:val="003F480E"/>
    <w:rsid w:val="003F4AAB"/>
    <w:rsid w:val="003F4AF0"/>
    <w:rsid w:val="003F4B76"/>
    <w:rsid w:val="003F4BF7"/>
    <w:rsid w:val="003F4C6F"/>
    <w:rsid w:val="003F4C96"/>
    <w:rsid w:val="003F4D02"/>
    <w:rsid w:val="003F4D55"/>
    <w:rsid w:val="003F4D80"/>
    <w:rsid w:val="003F4D82"/>
    <w:rsid w:val="003F4D9C"/>
    <w:rsid w:val="003F4DC0"/>
    <w:rsid w:val="003F4E08"/>
    <w:rsid w:val="003F4FA6"/>
    <w:rsid w:val="003F5001"/>
    <w:rsid w:val="003F5032"/>
    <w:rsid w:val="003F5051"/>
    <w:rsid w:val="003F50F1"/>
    <w:rsid w:val="003F521B"/>
    <w:rsid w:val="003F5261"/>
    <w:rsid w:val="003F5282"/>
    <w:rsid w:val="003F529D"/>
    <w:rsid w:val="003F5305"/>
    <w:rsid w:val="003F538D"/>
    <w:rsid w:val="003F5429"/>
    <w:rsid w:val="003F5478"/>
    <w:rsid w:val="003F54C1"/>
    <w:rsid w:val="003F5503"/>
    <w:rsid w:val="003F55A5"/>
    <w:rsid w:val="003F55D2"/>
    <w:rsid w:val="003F5691"/>
    <w:rsid w:val="003F5697"/>
    <w:rsid w:val="003F5715"/>
    <w:rsid w:val="003F5882"/>
    <w:rsid w:val="003F589A"/>
    <w:rsid w:val="003F58DC"/>
    <w:rsid w:val="003F593B"/>
    <w:rsid w:val="003F593D"/>
    <w:rsid w:val="003F5988"/>
    <w:rsid w:val="003F598B"/>
    <w:rsid w:val="003F5A6E"/>
    <w:rsid w:val="003F5AC5"/>
    <w:rsid w:val="003F5AF9"/>
    <w:rsid w:val="003F5B42"/>
    <w:rsid w:val="003F5C0F"/>
    <w:rsid w:val="003F5C1B"/>
    <w:rsid w:val="003F5C7D"/>
    <w:rsid w:val="003F5C82"/>
    <w:rsid w:val="003F5D29"/>
    <w:rsid w:val="003F5D42"/>
    <w:rsid w:val="003F5E64"/>
    <w:rsid w:val="003F5EEF"/>
    <w:rsid w:val="003F5EFA"/>
    <w:rsid w:val="003F5F22"/>
    <w:rsid w:val="003F5F4F"/>
    <w:rsid w:val="003F5FDB"/>
    <w:rsid w:val="003F5FE0"/>
    <w:rsid w:val="003F5FEA"/>
    <w:rsid w:val="003F6063"/>
    <w:rsid w:val="003F60D8"/>
    <w:rsid w:val="003F6116"/>
    <w:rsid w:val="003F6152"/>
    <w:rsid w:val="003F6170"/>
    <w:rsid w:val="003F6182"/>
    <w:rsid w:val="003F61D0"/>
    <w:rsid w:val="003F61EE"/>
    <w:rsid w:val="003F6202"/>
    <w:rsid w:val="003F621C"/>
    <w:rsid w:val="003F622D"/>
    <w:rsid w:val="003F63CC"/>
    <w:rsid w:val="003F652A"/>
    <w:rsid w:val="003F6602"/>
    <w:rsid w:val="003F6627"/>
    <w:rsid w:val="003F6641"/>
    <w:rsid w:val="003F666A"/>
    <w:rsid w:val="003F669F"/>
    <w:rsid w:val="003F66A2"/>
    <w:rsid w:val="003F679C"/>
    <w:rsid w:val="003F67BA"/>
    <w:rsid w:val="003F67E6"/>
    <w:rsid w:val="003F685B"/>
    <w:rsid w:val="003F6885"/>
    <w:rsid w:val="003F688B"/>
    <w:rsid w:val="003F693B"/>
    <w:rsid w:val="003F69EB"/>
    <w:rsid w:val="003F6A34"/>
    <w:rsid w:val="003F6A9F"/>
    <w:rsid w:val="003F6AF3"/>
    <w:rsid w:val="003F6B93"/>
    <w:rsid w:val="003F6C29"/>
    <w:rsid w:val="003F6C53"/>
    <w:rsid w:val="003F6C99"/>
    <w:rsid w:val="003F6D1C"/>
    <w:rsid w:val="003F6D49"/>
    <w:rsid w:val="003F6D73"/>
    <w:rsid w:val="003F6D82"/>
    <w:rsid w:val="003F6F01"/>
    <w:rsid w:val="003F6FD9"/>
    <w:rsid w:val="003F7004"/>
    <w:rsid w:val="003F70C4"/>
    <w:rsid w:val="003F7197"/>
    <w:rsid w:val="003F71D5"/>
    <w:rsid w:val="003F7245"/>
    <w:rsid w:val="003F724A"/>
    <w:rsid w:val="003F7279"/>
    <w:rsid w:val="003F727C"/>
    <w:rsid w:val="003F7286"/>
    <w:rsid w:val="003F72D1"/>
    <w:rsid w:val="003F731C"/>
    <w:rsid w:val="003F7346"/>
    <w:rsid w:val="003F7367"/>
    <w:rsid w:val="003F736B"/>
    <w:rsid w:val="003F73F1"/>
    <w:rsid w:val="003F74C1"/>
    <w:rsid w:val="003F758B"/>
    <w:rsid w:val="003F7631"/>
    <w:rsid w:val="003F7643"/>
    <w:rsid w:val="003F766E"/>
    <w:rsid w:val="003F76BC"/>
    <w:rsid w:val="003F770F"/>
    <w:rsid w:val="003F7768"/>
    <w:rsid w:val="003F779C"/>
    <w:rsid w:val="003F78A1"/>
    <w:rsid w:val="003F78AE"/>
    <w:rsid w:val="003F78EC"/>
    <w:rsid w:val="003F79A1"/>
    <w:rsid w:val="003F79D3"/>
    <w:rsid w:val="003F7ABA"/>
    <w:rsid w:val="003F7B6D"/>
    <w:rsid w:val="003F7B90"/>
    <w:rsid w:val="003F7B9D"/>
    <w:rsid w:val="003F7C3C"/>
    <w:rsid w:val="003F7C3D"/>
    <w:rsid w:val="003F7C94"/>
    <w:rsid w:val="003F7D51"/>
    <w:rsid w:val="003F7D74"/>
    <w:rsid w:val="003F7DC6"/>
    <w:rsid w:val="003F7DDF"/>
    <w:rsid w:val="003F7E7C"/>
    <w:rsid w:val="003F7EF4"/>
    <w:rsid w:val="003F7F89"/>
    <w:rsid w:val="003F7FA9"/>
    <w:rsid w:val="003FBAA9"/>
    <w:rsid w:val="003FEB1A"/>
    <w:rsid w:val="0040000E"/>
    <w:rsid w:val="0040005A"/>
    <w:rsid w:val="00400086"/>
    <w:rsid w:val="004000E5"/>
    <w:rsid w:val="0040012B"/>
    <w:rsid w:val="00400179"/>
    <w:rsid w:val="0040026E"/>
    <w:rsid w:val="00400298"/>
    <w:rsid w:val="004002B9"/>
    <w:rsid w:val="004002C4"/>
    <w:rsid w:val="004002C8"/>
    <w:rsid w:val="00400307"/>
    <w:rsid w:val="004003FC"/>
    <w:rsid w:val="00400406"/>
    <w:rsid w:val="00400418"/>
    <w:rsid w:val="0040044C"/>
    <w:rsid w:val="00400494"/>
    <w:rsid w:val="00400531"/>
    <w:rsid w:val="00400595"/>
    <w:rsid w:val="004005C7"/>
    <w:rsid w:val="004005E0"/>
    <w:rsid w:val="00400648"/>
    <w:rsid w:val="00400675"/>
    <w:rsid w:val="0040067B"/>
    <w:rsid w:val="0040067F"/>
    <w:rsid w:val="00400882"/>
    <w:rsid w:val="004008A9"/>
    <w:rsid w:val="0040090A"/>
    <w:rsid w:val="0040090C"/>
    <w:rsid w:val="0040094E"/>
    <w:rsid w:val="004009C8"/>
    <w:rsid w:val="00400AAA"/>
    <w:rsid w:val="00400ACC"/>
    <w:rsid w:val="00400B00"/>
    <w:rsid w:val="00400B3D"/>
    <w:rsid w:val="00400BCF"/>
    <w:rsid w:val="00400C71"/>
    <w:rsid w:val="00400CB7"/>
    <w:rsid w:val="00400D08"/>
    <w:rsid w:val="00400DAB"/>
    <w:rsid w:val="00400DEE"/>
    <w:rsid w:val="00400E8D"/>
    <w:rsid w:val="00400F3E"/>
    <w:rsid w:val="00400F52"/>
    <w:rsid w:val="00400F5C"/>
    <w:rsid w:val="00400F68"/>
    <w:rsid w:val="00400F89"/>
    <w:rsid w:val="0040104A"/>
    <w:rsid w:val="00401116"/>
    <w:rsid w:val="0040116B"/>
    <w:rsid w:val="004011C5"/>
    <w:rsid w:val="004011E9"/>
    <w:rsid w:val="00401242"/>
    <w:rsid w:val="0040126F"/>
    <w:rsid w:val="004012DC"/>
    <w:rsid w:val="0040132A"/>
    <w:rsid w:val="00401363"/>
    <w:rsid w:val="00401404"/>
    <w:rsid w:val="00401490"/>
    <w:rsid w:val="00401499"/>
    <w:rsid w:val="00401525"/>
    <w:rsid w:val="00401589"/>
    <w:rsid w:val="00401637"/>
    <w:rsid w:val="0040168F"/>
    <w:rsid w:val="00401757"/>
    <w:rsid w:val="0040179B"/>
    <w:rsid w:val="004017AB"/>
    <w:rsid w:val="004017B1"/>
    <w:rsid w:val="004017B7"/>
    <w:rsid w:val="004017E8"/>
    <w:rsid w:val="00401866"/>
    <w:rsid w:val="00401867"/>
    <w:rsid w:val="004018EB"/>
    <w:rsid w:val="004018FE"/>
    <w:rsid w:val="0040190F"/>
    <w:rsid w:val="0040196E"/>
    <w:rsid w:val="004019A0"/>
    <w:rsid w:val="004019CC"/>
    <w:rsid w:val="004019F5"/>
    <w:rsid w:val="00401ACA"/>
    <w:rsid w:val="00401AE8"/>
    <w:rsid w:val="00401C63"/>
    <w:rsid w:val="00401E01"/>
    <w:rsid w:val="00401F99"/>
    <w:rsid w:val="00401FCE"/>
    <w:rsid w:val="00401FFB"/>
    <w:rsid w:val="0040201A"/>
    <w:rsid w:val="0040204B"/>
    <w:rsid w:val="00402062"/>
    <w:rsid w:val="0040206B"/>
    <w:rsid w:val="004020D2"/>
    <w:rsid w:val="004020E2"/>
    <w:rsid w:val="004021F2"/>
    <w:rsid w:val="00402205"/>
    <w:rsid w:val="00402210"/>
    <w:rsid w:val="0040232A"/>
    <w:rsid w:val="004023D7"/>
    <w:rsid w:val="004023DE"/>
    <w:rsid w:val="00402446"/>
    <w:rsid w:val="0040246D"/>
    <w:rsid w:val="00402494"/>
    <w:rsid w:val="00402497"/>
    <w:rsid w:val="004024C7"/>
    <w:rsid w:val="00402544"/>
    <w:rsid w:val="00402614"/>
    <w:rsid w:val="0040263A"/>
    <w:rsid w:val="004026BD"/>
    <w:rsid w:val="00402718"/>
    <w:rsid w:val="004027E8"/>
    <w:rsid w:val="004027F5"/>
    <w:rsid w:val="00402889"/>
    <w:rsid w:val="0040289D"/>
    <w:rsid w:val="00402915"/>
    <w:rsid w:val="004029B3"/>
    <w:rsid w:val="004029E4"/>
    <w:rsid w:val="004029F2"/>
    <w:rsid w:val="00402A10"/>
    <w:rsid w:val="00402AEC"/>
    <w:rsid w:val="00402B19"/>
    <w:rsid w:val="00402B35"/>
    <w:rsid w:val="00402B3E"/>
    <w:rsid w:val="00402B9C"/>
    <w:rsid w:val="00402B9E"/>
    <w:rsid w:val="00402C1E"/>
    <w:rsid w:val="00402C38"/>
    <w:rsid w:val="00402CA1"/>
    <w:rsid w:val="00402CCF"/>
    <w:rsid w:val="00402D4C"/>
    <w:rsid w:val="00402EAE"/>
    <w:rsid w:val="00402F25"/>
    <w:rsid w:val="00403042"/>
    <w:rsid w:val="00403052"/>
    <w:rsid w:val="0040313E"/>
    <w:rsid w:val="0040314B"/>
    <w:rsid w:val="004031BC"/>
    <w:rsid w:val="004031C9"/>
    <w:rsid w:val="00403205"/>
    <w:rsid w:val="00403250"/>
    <w:rsid w:val="0040325F"/>
    <w:rsid w:val="00403269"/>
    <w:rsid w:val="00403336"/>
    <w:rsid w:val="0040336D"/>
    <w:rsid w:val="004033A8"/>
    <w:rsid w:val="00403401"/>
    <w:rsid w:val="004034B6"/>
    <w:rsid w:val="004034C8"/>
    <w:rsid w:val="004034D9"/>
    <w:rsid w:val="00403568"/>
    <w:rsid w:val="00403580"/>
    <w:rsid w:val="0040361B"/>
    <w:rsid w:val="0040371E"/>
    <w:rsid w:val="0040383B"/>
    <w:rsid w:val="0040385C"/>
    <w:rsid w:val="004038FD"/>
    <w:rsid w:val="0040399A"/>
    <w:rsid w:val="0040399D"/>
    <w:rsid w:val="00403A06"/>
    <w:rsid w:val="00403B19"/>
    <w:rsid w:val="00403BAA"/>
    <w:rsid w:val="00403BCB"/>
    <w:rsid w:val="00403D46"/>
    <w:rsid w:val="00403DA8"/>
    <w:rsid w:val="00403DE8"/>
    <w:rsid w:val="00403E7E"/>
    <w:rsid w:val="00403E98"/>
    <w:rsid w:val="00403EA6"/>
    <w:rsid w:val="00403EAF"/>
    <w:rsid w:val="00403FAD"/>
    <w:rsid w:val="00403FC4"/>
    <w:rsid w:val="0040400A"/>
    <w:rsid w:val="00404018"/>
    <w:rsid w:val="00404026"/>
    <w:rsid w:val="00404055"/>
    <w:rsid w:val="0040406B"/>
    <w:rsid w:val="004040CD"/>
    <w:rsid w:val="004040D9"/>
    <w:rsid w:val="004041D1"/>
    <w:rsid w:val="004042F0"/>
    <w:rsid w:val="00404383"/>
    <w:rsid w:val="004043BB"/>
    <w:rsid w:val="004043BC"/>
    <w:rsid w:val="004043DC"/>
    <w:rsid w:val="004043E0"/>
    <w:rsid w:val="004043FA"/>
    <w:rsid w:val="004044A8"/>
    <w:rsid w:val="004044E3"/>
    <w:rsid w:val="004044E5"/>
    <w:rsid w:val="00404506"/>
    <w:rsid w:val="00404512"/>
    <w:rsid w:val="0040455F"/>
    <w:rsid w:val="004045F5"/>
    <w:rsid w:val="0040461A"/>
    <w:rsid w:val="00404642"/>
    <w:rsid w:val="004046D5"/>
    <w:rsid w:val="00404733"/>
    <w:rsid w:val="00404735"/>
    <w:rsid w:val="00404747"/>
    <w:rsid w:val="0040477F"/>
    <w:rsid w:val="004047BD"/>
    <w:rsid w:val="004047D0"/>
    <w:rsid w:val="004047EA"/>
    <w:rsid w:val="0040489E"/>
    <w:rsid w:val="004048D5"/>
    <w:rsid w:val="004048EB"/>
    <w:rsid w:val="00404919"/>
    <w:rsid w:val="00404941"/>
    <w:rsid w:val="004049CD"/>
    <w:rsid w:val="00404A34"/>
    <w:rsid w:val="00404B02"/>
    <w:rsid w:val="00404BAA"/>
    <w:rsid w:val="00404BAB"/>
    <w:rsid w:val="00404BC6"/>
    <w:rsid w:val="00404BDB"/>
    <w:rsid w:val="00404C2E"/>
    <w:rsid w:val="00404D6E"/>
    <w:rsid w:val="00404DA5"/>
    <w:rsid w:val="00404DEE"/>
    <w:rsid w:val="00404E86"/>
    <w:rsid w:val="00404E9E"/>
    <w:rsid w:val="00404F4B"/>
    <w:rsid w:val="00404FC7"/>
    <w:rsid w:val="00404FE2"/>
    <w:rsid w:val="004050C9"/>
    <w:rsid w:val="0040512E"/>
    <w:rsid w:val="0040515D"/>
    <w:rsid w:val="004051A0"/>
    <w:rsid w:val="0040521B"/>
    <w:rsid w:val="0040527A"/>
    <w:rsid w:val="004052DC"/>
    <w:rsid w:val="00405319"/>
    <w:rsid w:val="00405390"/>
    <w:rsid w:val="00405391"/>
    <w:rsid w:val="004053C6"/>
    <w:rsid w:val="004053DB"/>
    <w:rsid w:val="004053E5"/>
    <w:rsid w:val="00405453"/>
    <w:rsid w:val="0040547B"/>
    <w:rsid w:val="00405519"/>
    <w:rsid w:val="00405533"/>
    <w:rsid w:val="00405559"/>
    <w:rsid w:val="0040558B"/>
    <w:rsid w:val="004055DA"/>
    <w:rsid w:val="004055F3"/>
    <w:rsid w:val="00405688"/>
    <w:rsid w:val="004056B7"/>
    <w:rsid w:val="004056F6"/>
    <w:rsid w:val="00405713"/>
    <w:rsid w:val="00405798"/>
    <w:rsid w:val="0040579B"/>
    <w:rsid w:val="004057C9"/>
    <w:rsid w:val="004057EE"/>
    <w:rsid w:val="004057F8"/>
    <w:rsid w:val="00405878"/>
    <w:rsid w:val="004058AA"/>
    <w:rsid w:val="004058C8"/>
    <w:rsid w:val="00405913"/>
    <w:rsid w:val="0040591E"/>
    <w:rsid w:val="004059A2"/>
    <w:rsid w:val="00405B37"/>
    <w:rsid w:val="00405B55"/>
    <w:rsid w:val="00405B81"/>
    <w:rsid w:val="00405BCC"/>
    <w:rsid w:val="00405BD5"/>
    <w:rsid w:val="00405C2B"/>
    <w:rsid w:val="00405C5C"/>
    <w:rsid w:val="00405C9C"/>
    <w:rsid w:val="00405CDF"/>
    <w:rsid w:val="00405CE9"/>
    <w:rsid w:val="00405E36"/>
    <w:rsid w:val="00405E5B"/>
    <w:rsid w:val="00405ED0"/>
    <w:rsid w:val="00405F65"/>
    <w:rsid w:val="00405F81"/>
    <w:rsid w:val="00405FC2"/>
    <w:rsid w:val="00405FF2"/>
    <w:rsid w:val="0040603D"/>
    <w:rsid w:val="004061B7"/>
    <w:rsid w:val="0040628D"/>
    <w:rsid w:val="0040628F"/>
    <w:rsid w:val="004063B4"/>
    <w:rsid w:val="004063CB"/>
    <w:rsid w:val="0040643A"/>
    <w:rsid w:val="0040643C"/>
    <w:rsid w:val="00406442"/>
    <w:rsid w:val="00406452"/>
    <w:rsid w:val="00406459"/>
    <w:rsid w:val="00406509"/>
    <w:rsid w:val="00406555"/>
    <w:rsid w:val="00406577"/>
    <w:rsid w:val="004065DE"/>
    <w:rsid w:val="00406701"/>
    <w:rsid w:val="00406772"/>
    <w:rsid w:val="00406793"/>
    <w:rsid w:val="00406797"/>
    <w:rsid w:val="0040682C"/>
    <w:rsid w:val="0040684C"/>
    <w:rsid w:val="004068BC"/>
    <w:rsid w:val="004069B9"/>
    <w:rsid w:val="00406A72"/>
    <w:rsid w:val="00406B24"/>
    <w:rsid w:val="00406B95"/>
    <w:rsid w:val="00406BAA"/>
    <w:rsid w:val="00406C92"/>
    <w:rsid w:val="00406CB7"/>
    <w:rsid w:val="00406CCA"/>
    <w:rsid w:val="00406D10"/>
    <w:rsid w:val="00406DEC"/>
    <w:rsid w:val="00406E80"/>
    <w:rsid w:val="00406E83"/>
    <w:rsid w:val="00406F5A"/>
    <w:rsid w:val="00407032"/>
    <w:rsid w:val="004070A8"/>
    <w:rsid w:val="004070D2"/>
    <w:rsid w:val="0040711B"/>
    <w:rsid w:val="004071B2"/>
    <w:rsid w:val="004072AF"/>
    <w:rsid w:val="004072B2"/>
    <w:rsid w:val="00407313"/>
    <w:rsid w:val="00407345"/>
    <w:rsid w:val="00407355"/>
    <w:rsid w:val="0040738F"/>
    <w:rsid w:val="004073E6"/>
    <w:rsid w:val="0040754C"/>
    <w:rsid w:val="00407561"/>
    <w:rsid w:val="0040756E"/>
    <w:rsid w:val="004075D1"/>
    <w:rsid w:val="00407625"/>
    <w:rsid w:val="00407665"/>
    <w:rsid w:val="004076BB"/>
    <w:rsid w:val="004076F9"/>
    <w:rsid w:val="00407702"/>
    <w:rsid w:val="00407725"/>
    <w:rsid w:val="00407791"/>
    <w:rsid w:val="004077E2"/>
    <w:rsid w:val="00407829"/>
    <w:rsid w:val="0040788A"/>
    <w:rsid w:val="004078D1"/>
    <w:rsid w:val="00407968"/>
    <w:rsid w:val="0040797F"/>
    <w:rsid w:val="0040798A"/>
    <w:rsid w:val="004079D9"/>
    <w:rsid w:val="004079E5"/>
    <w:rsid w:val="00407A1E"/>
    <w:rsid w:val="00407A42"/>
    <w:rsid w:val="00407A4C"/>
    <w:rsid w:val="00407AA5"/>
    <w:rsid w:val="00407C13"/>
    <w:rsid w:val="00407C8F"/>
    <w:rsid w:val="00407D02"/>
    <w:rsid w:val="00407D33"/>
    <w:rsid w:val="00407D7D"/>
    <w:rsid w:val="00407F1B"/>
    <w:rsid w:val="00407F5D"/>
    <w:rsid w:val="00407F7B"/>
    <w:rsid w:val="00407F9C"/>
    <w:rsid w:val="00407FB5"/>
    <w:rsid w:val="00407FB6"/>
    <w:rsid w:val="004100C3"/>
    <w:rsid w:val="004101B1"/>
    <w:rsid w:val="00410269"/>
    <w:rsid w:val="00410298"/>
    <w:rsid w:val="00410324"/>
    <w:rsid w:val="0041032E"/>
    <w:rsid w:val="00410345"/>
    <w:rsid w:val="00410394"/>
    <w:rsid w:val="0041045F"/>
    <w:rsid w:val="00410582"/>
    <w:rsid w:val="0041068C"/>
    <w:rsid w:val="004106BD"/>
    <w:rsid w:val="0041072A"/>
    <w:rsid w:val="004107D7"/>
    <w:rsid w:val="004108C0"/>
    <w:rsid w:val="004108FF"/>
    <w:rsid w:val="00410984"/>
    <w:rsid w:val="00410A31"/>
    <w:rsid w:val="00410AC4"/>
    <w:rsid w:val="00410B86"/>
    <w:rsid w:val="00410C41"/>
    <w:rsid w:val="00410C54"/>
    <w:rsid w:val="00410CD3"/>
    <w:rsid w:val="00410CFE"/>
    <w:rsid w:val="00410D08"/>
    <w:rsid w:val="00410D1F"/>
    <w:rsid w:val="00410DDF"/>
    <w:rsid w:val="00410E66"/>
    <w:rsid w:val="00410ECD"/>
    <w:rsid w:val="00410EE8"/>
    <w:rsid w:val="00410FCA"/>
    <w:rsid w:val="00411037"/>
    <w:rsid w:val="00411067"/>
    <w:rsid w:val="004110AF"/>
    <w:rsid w:val="00411174"/>
    <w:rsid w:val="0041127B"/>
    <w:rsid w:val="004112A2"/>
    <w:rsid w:val="004112DD"/>
    <w:rsid w:val="00411369"/>
    <w:rsid w:val="00411397"/>
    <w:rsid w:val="004113A9"/>
    <w:rsid w:val="00411401"/>
    <w:rsid w:val="00411433"/>
    <w:rsid w:val="0041144F"/>
    <w:rsid w:val="0041145D"/>
    <w:rsid w:val="0041147B"/>
    <w:rsid w:val="004114AE"/>
    <w:rsid w:val="00411507"/>
    <w:rsid w:val="004115CD"/>
    <w:rsid w:val="00411605"/>
    <w:rsid w:val="00411610"/>
    <w:rsid w:val="0041161F"/>
    <w:rsid w:val="00411676"/>
    <w:rsid w:val="004116DE"/>
    <w:rsid w:val="0041170E"/>
    <w:rsid w:val="00411759"/>
    <w:rsid w:val="0041175C"/>
    <w:rsid w:val="004117A5"/>
    <w:rsid w:val="0041186B"/>
    <w:rsid w:val="00411892"/>
    <w:rsid w:val="00411901"/>
    <w:rsid w:val="00411A37"/>
    <w:rsid w:val="00411BE2"/>
    <w:rsid w:val="00411C60"/>
    <w:rsid w:val="00411C81"/>
    <w:rsid w:val="00411DBF"/>
    <w:rsid w:val="00411DCD"/>
    <w:rsid w:val="00411DFB"/>
    <w:rsid w:val="00411E0A"/>
    <w:rsid w:val="00411E3A"/>
    <w:rsid w:val="00411E61"/>
    <w:rsid w:val="00411ED1"/>
    <w:rsid w:val="00411F9D"/>
    <w:rsid w:val="00411FB0"/>
    <w:rsid w:val="00412051"/>
    <w:rsid w:val="0041206E"/>
    <w:rsid w:val="00412071"/>
    <w:rsid w:val="00412099"/>
    <w:rsid w:val="004120AB"/>
    <w:rsid w:val="004120F1"/>
    <w:rsid w:val="00412103"/>
    <w:rsid w:val="00412124"/>
    <w:rsid w:val="00412142"/>
    <w:rsid w:val="00412193"/>
    <w:rsid w:val="004122C7"/>
    <w:rsid w:val="004122D4"/>
    <w:rsid w:val="004122FE"/>
    <w:rsid w:val="00412322"/>
    <w:rsid w:val="00412502"/>
    <w:rsid w:val="0041251F"/>
    <w:rsid w:val="0041258A"/>
    <w:rsid w:val="0041265E"/>
    <w:rsid w:val="0041270D"/>
    <w:rsid w:val="00412775"/>
    <w:rsid w:val="00412808"/>
    <w:rsid w:val="0041285D"/>
    <w:rsid w:val="004128FA"/>
    <w:rsid w:val="00412911"/>
    <w:rsid w:val="0041291B"/>
    <w:rsid w:val="0041295F"/>
    <w:rsid w:val="00412998"/>
    <w:rsid w:val="004129CD"/>
    <w:rsid w:val="00412A39"/>
    <w:rsid w:val="00412AF1"/>
    <w:rsid w:val="00412B61"/>
    <w:rsid w:val="00412BB8"/>
    <w:rsid w:val="00412C05"/>
    <w:rsid w:val="00412CB7"/>
    <w:rsid w:val="00412CD4"/>
    <w:rsid w:val="00412D05"/>
    <w:rsid w:val="00412D2F"/>
    <w:rsid w:val="00412D85"/>
    <w:rsid w:val="00412E2F"/>
    <w:rsid w:val="00412E49"/>
    <w:rsid w:val="00412E5B"/>
    <w:rsid w:val="00412E9B"/>
    <w:rsid w:val="00412F24"/>
    <w:rsid w:val="00412F62"/>
    <w:rsid w:val="00413030"/>
    <w:rsid w:val="004130B1"/>
    <w:rsid w:val="0041310C"/>
    <w:rsid w:val="00413113"/>
    <w:rsid w:val="0041311B"/>
    <w:rsid w:val="0041313A"/>
    <w:rsid w:val="0041313F"/>
    <w:rsid w:val="00413151"/>
    <w:rsid w:val="0041319D"/>
    <w:rsid w:val="004132C6"/>
    <w:rsid w:val="004132D4"/>
    <w:rsid w:val="00413390"/>
    <w:rsid w:val="004133AF"/>
    <w:rsid w:val="004133DA"/>
    <w:rsid w:val="0041346F"/>
    <w:rsid w:val="00413507"/>
    <w:rsid w:val="00413530"/>
    <w:rsid w:val="004135ED"/>
    <w:rsid w:val="00413645"/>
    <w:rsid w:val="0041372E"/>
    <w:rsid w:val="0041380C"/>
    <w:rsid w:val="00413855"/>
    <w:rsid w:val="004138A8"/>
    <w:rsid w:val="004138B8"/>
    <w:rsid w:val="004138D9"/>
    <w:rsid w:val="00413903"/>
    <w:rsid w:val="00413947"/>
    <w:rsid w:val="004139EA"/>
    <w:rsid w:val="004139EB"/>
    <w:rsid w:val="00413A52"/>
    <w:rsid w:val="00413AA6"/>
    <w:rsid w:val="00413AAC"/>
    <w:rsid w:val="00413B66"/>
    <w:rsid w:val="00413B9B"/>
    <w:rsid w:val="00413C30"/>
    <w:rsid w:val="00413CDF"/>
    <w:rsid w:val="00413D40"/>
    <w:rsid w:val="00413D7D"/>
    <w:rsid w:val="00413D81"/>
    <w:rsid w:val="00413DCB"/>
    <w:rsid w:val="00413DD5"/>
    <w:rsid w:val="00413F0A"/>
    <w:rsid w:val="00413F47"/>
    <w:rsid w:val="00413FB7"/>
    <w:rsid w:val="00414062"/>
    <w:rsid w:val="004140B6"/>
    <w:rsid w:val="0041418D"/>
    <w:rsid w:val="004141DA"/>
    <w:rsid w:val="004142B4"/>
    <w:rsid w:val="004143B8"/>
    <w:rsid w:val="004143BC"/>
    <w:rsid w:val="004143CB"/>
    <w:rsid w:val="00414464"/>
    <w:rsid w:val="004145B6"/>
    <w:rsid w:val="00414627"/>
    <w:rsid w:val="004147D4"/>
    <w:rsid w:val="00414866"/>
    <w:rsid w:val="004148D8"/>
    <w:rsid w:val="00414A16"/>
    <w:rsid w:val="00414A38"/>
    <w:rsid w:val="00414A4D"/>
    <w:rsid w:val="00414A58"/>
    <w:rsid w:val="00414AA9"/>
    <w:rsid w:val="00414AB4"/>
    <w:rsid w:val="00414AEA"/>
    <w:rsid w:val="00414B91"/>
    <w:rsid w:val="00414C5F"/>
    <w:rsid w:val="00414CAA"/>
    <w:rsid w:val="00414CBB"/>
    <w:rsid w:val="00414D1C"/>
    <w:rsid w:val="00414D46"/>
    <w:rsid w:val="00414D75"/>
    <w:rsid w:val="00414E16"/>
    <w:rsid w:val="00414E80"/>
    <w:rsid w:val="00414E93"/>
    <w:rsid w:val="00414EBB"/>
    <w:rsid w:val="00414ED0"/>
    <w:rsid w:val="00414F3F"/>
    <w:rsid w:val="00414FBD"/>
    <w:rsid w:val="00415051"/>
    <w:rsid w:val="004150C7"/>
    <w:rsid w:val="00415110"/>
    <w:rsid w:val="00415178"/>
    <w:rsid w:val="00415257"/>
    <w:rsid w:val="0041530A"/>
    <w:rsid w:val="00415374"/>
    <w:rsid w:val="004154BF"/>
    <w:rsid w:val="004154C7"/>
    <w:rsid w:val="0041556E"/>
    <w:rsid w:val="004155BC"/>
    <w:rsid w:val="0041562A"/>
    <w:rsid w:val="0041562B"/>
    <w:rsid w:val="00415670"/>
    <w:rsid w:val="004156B9"/>
    <w:rsid w:val="004156C9"/>
    <w:rsid w:val="004156E7"/>
    <w:rsid w:val="0041574D"/>
    <w:rsid w:val="0041577C"/>
    <w:rsid w:val="00415877"/>
    <w:rsid w:val="0041587D"/>
    <w:rsid w:val="0041589C"/>
    <w:rsid w:val="0041597D"/>
    <w:rsid w:val="004159AB"/>
    <w:rsid w:val="00415BDE"/>
    <w:rsid w:val="00415C35"/>
    <w:rsid w:val="00415C39"/>
    <w:rsid w:val="00415C54"/>
    <w:rsid w:val="00415C63"/>
    <w:rsid w:val="00415C6F"/>
    <w:rsid w:val="00415CBE"/>
    <w:rsid w:val="00415CDA"/>
    <w:rsid w:val="00415D7C"/>
    <w:rsid w:val="00415D88"/>
    <w:rsid w:val="00415F4B"/>
    <w:rsid w:val="00415FFC"/>
    <w:rsid w:val="00416004"/>
    <w:rsid w:val="004160C9"/>
    <w:rsid w:val="00416107"/>
    <w:rsid w:val="0041611B"/>
    <w:rsid w:val="00416241"/>
    <w:rsid w:val="0041631F"/>
    <w:rsid w:val="0041634A"/>
    <w:rsid w:val="00416370"/>
    <w:rsid w:val="004163E3"/>
    <w:rsid w:val="004163F6"/>
    <w:rsid w:val="00416457"/>
    <w:rsid w:val="004165A7"/>
    <w:rsid w:val="004165C5"/>
    <w:rsid w:val="004165D1"/>
    <w:rsid w:val="004167DB"/>
    <w:rsid w:val="004167F7"/>
    <w:rsid w:val="00416854"/>
    <w:rsid w:val="00416885"/>
    <w:rsid w:val="00416898"/>
    <w:rsid w:val="00416997"/>
    <w:rsid w:val="00416A23"/>
    <w:rsid w:val="00416A4F"/>
    <w:rsid w:val="00416AEE"/>
    <w:rsid w:val="00416B13"/>
    <w:rsid w:val="00416B44"/>
    <w:rsid w:val="00416BD0"/>
    <w:rsid w:val="00416BE4"/>
    <w:rsid w:val="00416C02"/>
    <w:rsid w:val="00416C1E"/>
    <w:rsid w:val="00416CA1"/>
    <w:rsid w:val="00416DFC"/>
    <w:rsid w:val="00416E0C"/>
    <w:rsid w:val="00416EAD"/>
    <w:rsid w:val="00416EC0"/>
    <w:rsid w:val="00416F88"/>
    <w:rsid w:val="00417022"/>
    <w:rsid w:val="004170BE"/>
    <w:rsid w:val="004170F3"/>
    <w:rsid w:val="00417116"/>
    <w:rsid w:val="00417139"/>
    <w:rsid w:val="004171D6"/>
    <w:rsid w:val="0041720D"/>
    <w:rsid w:val="00417289"/>
    <w:rsid w:val="004172DB"/>
    <w:rsid w:val="004172F3"/>
    <w:rsid w:val="00417388"/>
    <w:rsid w:val="0041743C"/>
    <w:rsid w:val="00417546"/>
    <w:rsid w:val="00417560"/>
    <w:rsid w:val="00417575"/>
    <w:rsid w:val="004176AD"/>
    <w:rsid w:val="004176B3"/>
    <w:rsid w:val="00417701"/>
    <w:rsid w:val="0041771C"/>
    <w:rsid w:val="0041779F"/>
    <w:rsid w:val="00417806"/>
    <w:rsid w:val="004178C6"/>
    <w:rsid w:val="00417953"/>
    <w:rsid w:val="0041797B"/>
    <w:rsid w:val="00417998"/>
    <w:rsid w:val="004179AC"/>
    <w:rsid w:val="00417A53"/>
    <w:rsid w:val="00417AAA"/>
    <w:rsid w:val="00417AB0"/>
    <w:rsid w:val="00417AFB"/>
    <w:rsid w:val="00417B41"/>
    <w:rsid w:val="00417BB4"/>
    <w:rsid w:val="00417BE7"/>
    <w:rsid w:val="00417C94"/>
    <w:rsid w:val="00417D78"/>
    <w:rsid w:val="00417DDB"/>
    <w:rsid w:val="00417E8B"/>
    <w:rsid w:val="00417E95"/>
    <w:rsid w:val="00417EC2"/>
    <w:rsid w:val="00417FF0"/>
    <w:rsid w:val="00420021"/>
    <w:rsid w:val="00420056"/>
    <w:rsid w:val="00420072"/>
    <w:rsid w:val="00420082"/>
    <w:rsid w:val="004200AD"/>
    <w:rsid w:val="004200E2"/>
    <w:rsid w:val="00420124"/>
    <w:rsid w:val="00420130"/>
    <w:rsid w:val="00420167"/>
    <w:rsid w:val="00420170"/>
    <w:rsid w:val="00420181"/>
    <w:rsid w:val="004201CE"/>
    <w:rsid w:val="004201DE"/>
    <w:rsid w:val="004201FE"/>
    <w:rsid w:val="00420226"/>
    <w:rsid w:val="00420230"/>
    <w:rsid w:val="00420336"/>
    <w:rsid w:val="004203B1"/>
    <w:rsid w:val="004203E3"/>
    <w:rsid w:val="004203FA"/>
    <w:rsid w:val="00420478"/>
    <w:rsid w:val="004204F5"/>
    <w:rsid w:val="004205E8"/>
    <w:rsid w:val="004205EA"/>
    <w:rsid w:val="00420614"/>
    <w:rsid w:val="00420759"/>
    <w:rsid w:val="0042078B"/>
    <w:rsid w:val="004207C0"/>
    <w:rsid w:val="004207F7"/>
    <w:rsid w:val="00420850"/>
    <w:rsid w:val="00420854"/>
    <w:rsid w:val="00420871"/>
    <w:rsid w:val="0042087A"/>
    <w:rsid w:val="0042087F"/>
    <w:rsid w:val="00420965"/>
    <w:rsid w:val="00420A13"/>
    <w:rsid w:val="00420A5B"/>
    <w:rsid w:val="00420A6F"/>
    <w:rsid w:val="00420B29"/>
    <w:rsid w:val="00420B3C"/>
    <w:rsid w:val="00420BF2"/>
    <w:rsid w:val="00420C0B"/>
    <w:rsid w:val="00420C61"/>
    <w:rsid w:val="00420C8A"/>
    <w:rsid w:val="00420CAE"/>
    <w:rsid w:val="00420D1E"/>
    <w:rsid w:val="00420D2F"/>
    <w:rsid w:val="00420DFC"/>
    <w:rsid w:val="00420E0D"/>
    <w:rsid w:val="00420E93"/>
    <w:rsid w:val="00420EB3"/>
    <w:rsid w:val="00420EEA"/>
    <w:rsid w:val="00420F01"/>
    <w:rsid w:val="00420F1A"/>
    <w:rsid w:val="00420F44"/>
    <w:rsid w:val="00420F4B"/>
    <w:rsid w:val="00420F97"/>
    <w:rsid w:val="00421002"/>
    <w:rsid w:val="0042101A"/>
    <w:rsid w:val="00421028"/>
    <w:rsid w:val="00421040"/>
    <w:rsid w:val="00421077"/>
    <w:rsid w:val="004210F8"/>
    <w:rsid w:val="00421137"/>
    <w:rsid w:val="0042119C"/>
    <w:rsid w:val="004212A1"/>
    <w:rsid w:val="0042132A"/>
    <w:rsid w:val="0042133A"/>
    <w:rsid w:val="00421350"/>
    <w:rsid w:val="0042138A"/>
    <w:rsid w:val="004213AF"/>
    <w:rsid w:val="004213B5"/>
    <w:rsid w:val="004213CF"/>
    <w:rsid w:val="004213E7"/>
    <w:rsid w:val="004213E8"/>
    <w:rsid w:val="004214CF"/>
    <w:rsid w:val="004214FD"/>
    <w:rsid w:val="0042151C"/>
    <w:rsid w:val="0042158B"/>
    <w:rsid w:val="004215AE"/>
    <w:rsid w:val="004215F6"/>
    <w:rsid w:val="00421643"/>
    <w:rsid w:val="00421664"/>
    <w:rsid w:val="00421729"/>
    <w:rsid w:val="0042175F"/>
    <w:rsid w:val="0042192F"/>
    <w:rsid w:val="00421979"/>
    <w:rsid w:val="004219BE"/>
    <w:rsid w:val="004219FC"/>
    <w:rsid w:val="00421A2C"/>
    <w:rsid w:val="00421A2D"/>
    <w:rsid w:val="00421A36"/>
    <w:rsid w:val="00421AD4"/>
    <w:rsid w:val="00421B9F"/>
    <w:rsid w:val="00421C8F"/>
    <w:rsid w:val="00421D2A"/>
    <w:rsid w:val="00421D2B"/>
    <w:rsid w:val="00421D3C"/>
    <w:rsid w:val="00421D50"/>
    <w:rsid w:val="00421E37"/>
    <w:rsid w:val="00421E62"/>
    <w:rsid w:val="00421E90"/>
    <w:rsid w:val="00421EC3"/>
    <w:rsid w:val="00421F00"/>
    <w:rsid w:val="00421F1A"/>
    <w:rsid w:val="00421FF5"/>
    <w:rsid w:val="00422039"/>
    <w:rsid w:val="004220C3"/>
    <w:rsid w:val="0042211E"/>
    <w:rsid w:val="0042213F"/>
    <w:rsid w:val="004221A6"/>
    <w:rsid w:val="004221B5"/>
    <w:rsid w:val="00422235"/>
    <w:rsid w:val="004222C7"/>
    <w:rsid w:val="00422390"/>
    <w:rsid w:val="0042241C"/>
    <w:rsid w:val="00422427"/>
    <w:rsid w:val="004225E6"/>
    <w:rsid w:val="00422618"/>
    <w:rsid w:val="004226D2"/>
    <w:rsid w:val="004226D3"/>
    <w:rsid w:val="004226D6"/>
    <w:rsid w:val="004226ED"/>
    <w:rsid w:val="0042274B"/>
    <w:rsid w:val="0042275A"/>
    <w:rsid w:val="004227AD"/>
    <w:rsid w:val="004227B3"/>
    <w:rsid w:val="004227D6"/>
    <w:rsid w:val="004227FD"/>
    <w:rsid w:val="0042281A"/>
    <w:rsid w:val="00422874"/>
    <w:rsid w:val="0042288A"/>
    <w:rsid w:val="004229D0"/>
    <w:rsid w:val="00422A1C"/>
    <w:rsid w:val="00422A23"/>
    <w:rsid w:val="00422B33"/>
    <w:rsid w:val="00422B45"/>
    <w:rsid w:val="00422B4D"/>
    <w:rsid w:val="00422B9A"/>
    <w:rsid w:val="00422BA6"/>
    <w:rsid w:val="00422BF5"/>
    <w:rsid w:val="00422D6F"/>
    <w:rsid w:val="00422D7F"/>
    <w:rsid w:val="00422E7B"/>
    <w:rsid w:val="00422E83"/>
    <w:rsid w:val="00422EF4"/>
    <w:rsid w:val="00422F32"/>
    <w:rsid w:val="00422F74"/>
    <w:rsid w:val="00422FCB"/>
    <w:rsid w:val="00423058"/>
    <w:rsid w:val="00423097"/>
    <w:rsid w:val="004230A9"/>
    <w:rsid w:val="0042321B"/>
    <w:rsid w:val="00423232"/>
    <w:rsid w:val="004233F6"/>
    <w:rsid w:val="00423434"/>
    <w:rsid w:val="0042343A"/>
    <w:rsid w:val="004234C8"/>
    <w:rsid w:val="004234D9"/>
    <w:rsid w:val="0042356C"/>
    <w:rsid w:val="00423591"/>
    <w:rsid w:val="00423616"/>
    <w:rsid w:val="0042361D"/>
    <w:rsid w:val="0042362B"/>
    <w:rsid w:val="00423642"/>
    <w:rsid w:val="0042366F"/>
    <w:rsid w:val="0042367C"/>
    <w:rsid w:val="004236B1"/>
    <w:rsid w:val="004236DB"/>
    <w:rsid w:val="004236EB"/>
    <w:rsid w:val="00423779"/>
    <w:rsid w:val="00423799"/>
    <w:rsid w:val="004237B9"/>
    <w:rsid w:val="00423801"/>
    <w:rsid w:val="0042382D"/>
    <w:rsid w:val="004238C6"/>
    <w:rsid w:val="004238F6"/>
    <w:rsid w:val="00423977"/>
    <w:rsid w:val="00423A18"/>
    <w:rsid w:val="00423A69"/>
    <w:rsid w:val="00423ABB"/>
    <w:rsid w:val="00423AC5"/>
    <w:rsid w:val="00423B2A"/>
    <w:rsid w:val="00423C02"/>
    <w:rsid w:val="00423C52"/>
    <w:rsid w:val="00423C67"/>
    <w:rsid w:val="00423CC2"/>
    <w:rsid w:val="00423CD1"/>
    <w:rsid w:val="00423CE3"/>
    <w:rsid w:val="00423E10"/>
    <w:rsid w:val="00423E14"/>
    <w:rsid w:val="00423E18"/>
    <w:rsid w:val="00423EBC"/>
    <w:rsid w:val="00423ED9"/>
    <w:rsid w:val="00423F81"/>
    <w:rsid w:val="00423FA9"/>
    <w:rsid w:val="00424021"/>
    <w:rsid w:val="00424067"/>
    <w:rsid w:val="00424125"/>
    <w:rsid w:val="00424175"/>
    <w:rsid w:val="004241C6"/>
    <w:rsid w:val="004241E9"/>
    <w:rsid w:val="004242A8"/>
    <w:rsid w:val="004242AC"/>
    <w:rsid w:val="004242D3"/>
    <w:rsid w:val="004242D6"/>
    <w:rsid w:val="0042436F"/>
    <w:rsid w:val="0042445E"/>
    <w:rsid w:val="004244B2"/>
    <w:rsid w:val="00424515"/>
    <w:rsid w:val="0042453C"/>
    <w:rsid w:val="00424558"/>
    <w:rsid w:val="0042459D"/>
    <w:rsid w:val="004246E4"/>
    <w:rsid w:val="0042477E"/>
    <w:rsid w:val="00424811"/>
    <w:rsid w:val="00424830"/>
    <w:rsid w:val="00424841"/>
    <w:rsid w:val="004248B0"/>
    <w:rsid w:val="00424901"/>
    <w:rsid w:val="0042496B"/>
    <w:rsid w:val="00424A54"/>
    <w:rsid w:val="00424A7B"/>
    <w:rsid w:val="00424AD6"/>
    <w:rsid w:val="00424BC3"/>
    <w:rsid w:val="00424C1F"/>
    <w:rsid w:val="00424C62"/>
    <w:rsid w:val="00424CA1"/>
    <w:rsid w:val="00424D1D"/>
    <w:rsid w:val="00424D41"/>
    <w:rsid w:val="00424DE1"/>
    <w:rsid w:val="00424E5A"/>
    <w:rsid w:val="00424EFA"/>
    <w:rsid w:val="00425004"/>
    <w:rsid w:val="00425124"/>
    <w:rsid w:val="00425187"/>
    <w:rsid w:val="00425206"/>
    <w:rsid w:val="0042522C"/>
    <w:rsid w:val="0042525F"/>
    <w:rsid w:val="004252F2"/>
    <w:rsid w:val="00425395"/>
    <w:rsid w:val="004253C7"/>
    <w:rsid w:val="0042543C"/>
    <w:rsid w:val="0042548F"/>
    <w:rsid w:val="00425513"/>
    <w:rsid w:val="0042552E"/>
    <w:rsid w:val="0042555D"/>
    <w:rsid w:val="00425586"/>
    <w:rsid w:val="004255DC"/>
    <w:rsid w:val="004255EA"/>
    <w:rsid w:val="004255EE"/>
    <w:rsid w:val="004255F3"/>
    <w:rsid w:val="0042563A"/>
    <w:rsid w:val="004256CD"/>
    <w:rsid w:val="00425809"/>
    <w:rsid w:val="00425823"/>
    <w:rsid w:val="004258ED"/>
    <w:rsid w:val="0042590A"/>
    <w:rsid w:val="0042594E"/>
    <w:rsid w:val="004259CD"/>
    <w:rsid w:val="00425ABF"/>
    <w:rsid w:val="00425BD4"/>
    <w:rsid w:val="00425C47"/>
    <w:rsid w:val="00425CA6"/>
    <w:rsid w:val="00425D27"/>
    <w:rsid w:val="00425D8D"/>
    <w:rsid w:val="00425E91"/>
    <w:rsid w:val="00425EC6"/>
    <w:rsid w:val="00425F93"/>
    <w:rsid w:val="00426027"/>
    <w:rsid w:val="00426042"/>
    <w:rsid w:val="00426069"/>
    <w:rsid w:val="0042613C"/>
    <w:rsid w:val="004261B4"/>
    <w:rsid w:val="00426292"/>
    <w:rsid w:val="00426296"/>
    <w:rsid w:val="00426303"/>
    <w:rsid w:val="004263C8"/>
    <w:rsid w:val="0042643D"/>
    <w:rsid w:val="00426476"/>
    <w:rsid w:val="00426479"/>
    <w:rsid w:val="004264EA"/>
    <w:rsid w:val="0042657B"/>
    <w:rsid w:val="0042658F"/>
    <w:rsid w:val="0042663A"/>
    <w:rsid w:val="00426708"/>
    <w:rsid w:val="00426734"/>
    <w:rsid w:val="00426735"/>
    <w:rsid w:val="0042676E"/>
    <w:rsid w:val="00426799"/>
    <w:rsid w:val="004267C5"/>
    <w:rsid w:val="0042682E"/>
    <w:rsid w:val="004268A4"/>
    <w:rsid w:val="004268A9"/>
    <w:rsid w:val="00426972"/>
    <w:rsid w:val="0042697A"/>
    <w:rsid w:val="0042697F"/>
    <w:rsid w:val="004269BB"/>
    <w:rsid w:val="004269BE"/>
    <w:rsid w:val="00426A15"/>
    <w:rsid w:val="00426ABA"/>
    <w:rsid w:val="00426AC6"/>
    <w:rsid w:val="00426B05"/>
    <w:rsid w:val="00426BA0"/>
    <w:rsid w:val="00426BB8"/>
    <w:rsid w:val="00426BFD"/>
    <w:rsid w:val="00426C86"/>
    <w:rsid w:val="00426D1B"/>
    <w:rsid w:val="00426D21"/>
    <w:rsid w:val="00426DFE"/>
    <w:rsid w:val="00426E78"/>
    <w:rsid w:val="00426E8B"/>
    <w:rsid w:val="00426E91"/>
    <w:rsid w:val="00426EAF"/>
    <w:rsid w:val="0042704C"/>
    <w:rsid w:val="004270F0"/>
    <w:rsid w:val="0042717E"/>
    <w:rsid w:val="0042730F"/>
    <w:rsid w:val="00427342"/>
    <w:rsid w:val="00427355"/>
    <w:rsid w:val="00427361"/>
    <w:rsid w:val="004273B7"/>
    <w:rsid w:val="0042741C"/>
    <w:rsid w:val="00427452"/>
    <w:rsid w:val="0042746A"/>
    <w:rsid w:val="0042749D"/>
    <w:rsid w:val="00427554"/>
    <w:rsid w:val="00427595"/>
    <w:rsid w:val="00427689"/>
    <w:rsid w:val="00427699"/>
    <w:rsid w:val="004277AA"/>
    <w:rsid w:val="00427850"/>
    <w:rsid w:val="0042789B"/>
    <w:rsid w:val="00427930"/>
    <w:rsid w:val="0042796B"/>
    <w:rsid w:val="004279B0"/>
    <w:rsid w:val="00427A04"/>
    <w:rsid w:val="00427A06"/>
    <w:rsid w:val="00427A12"/>
    <w:rsid w:val="00427B19"/>
    <w:rsid w:val="00427B61"/>
    <w:rsid w:val="00427B6B"/>
    <w:rsid w:val="00427BA7"/>
    <w:rsid w:val="00427BF8"/>
    <w:rsid w:val="00427C09"/>
    <w:rsid w:val="00427C51"/>
    <w:rsid w:val="00427C54"/>
    <w:rsid w:val="00427C90"/>
    <w:rsid w:val="00427DA1"/>
    <w:rsid w:val="00427E6F"/>
    <w:rsid w:val="00427EC5"/>
    <w:rsid w:val="00427EEE"/>
    <w:rsid w:val="00427F14"/>
    <w:rsid w:val="00427FB0"/>
    <w:rsid w:val="00427FC2"/>
    <w:rsid w:val="00427FCF"/>
    <w:rsid w:val="00427FE0"/>
    <w:rsid w:val="00427FEF"/>
    <w:rsid w:val="00430008"/>
    <w:rsid w:val="0043000D"/>
    <w:rsid w:val="00430017"/>
    <w:rsid w:val="004300F3"/>
    <w:rsid w:val="00430106"/>
    <w:rsid w:val="0043013D"/>
    <w:rsid w:val="0043020D"/>
    <w:rsid w:val="004302AD"/>
    <w:rsid w:val="004302BE"/>
    <w:rsid w:val="004302CE"/>
    <w:rsid w:val="00430362"/>
    <w:rsid w:val="004303A3"/>
    <w:rsid w:val="004303FC"/>
    <w:rsid w:val="00430489"/>
    <w:rsid w:val="00430498"/>
    <w:rsid w:val="004304C4"/>
    <w:rsid w:val="004304CE"/>
    <w:rsid w:val="00430509"/>
    <w:rsid w:val="0043052B"/>
    <w:rsid w:val="004305E3"/>
    <w:rsid w:val="004305E5"/>
    <w:rsid w:val="004305FE"/>
    <w:rsid w:val="00430616"/>
    <w:rsid w:val="00430676"/>
    <w:rsid w:val="004306BD"/>
    <w:rsid w:val="00430715"/>
    <w:rsid w:val="00430742"/>
    <w:rsid w:val="004307F1"/>
    <w:rsid w:val="00430858"/>
    <w:rsid w:val="0043090B"/>
    <w:rsid w:val="00430917"/>
    <w:rsid w:val="004309DD"/>
    <w:rsid w:val="00430A1E"/>
    <w:rsid w:val="00430A66"/>
    <w:rsid w:val="00430ADE"/>
    <w:rsid w:val="00430AE9"/>
    <w:rsid w:val="00430B5D"/>
    <w:rsid w:val="00430BA8"/>
    <w:rsid w:val="00430BAC"/>
    <w:rsid w:val="00430C32"/>
    <w:rsid w:val="00430DDD"/>
    <w:rsid w:val="00430E22"/>
    <w:rsid w:val="00430E5E"/>
    <w:rsid w:val="00430F65"/>
    <w:rsid w:val="00430F81"/>
    <w:rsid w:val="00430FA1"/>
    <w:rsid w:val="00430FDB"/>
    <w:rsid w:val="00430FF5"/>
    <w:rsid w:val="00431052"/>
    <w:rsid w:val="004310C4"/>
    <w:rsid w:val="00431193"/>
    <w:rsid w:val="004311F5"/>
    <w:rsid w:val="00431211"/>
    <w:rsid w:val="004312D2"/>
    <w:rsid w:val="00431328"/>
    <w:rsid w:val="00431350"/>
    <w:rsid w:val="0043135B"/>
    <w:rsid w:val="00431366"/>
    <w:rsid w:val="004313B5"/>
    <w:rsid w:val="004313F8"/>
    <w:rsid w:val="0043143A"/>
    <w:rsid w:val="004314A9"/>
    <w:rsid w:val="0043152E"/>
    <w:rsid w:val="004315D5"/>
    <w:rsid w:val="004315DF"/>
    <w:rsid w:val="0043160F"/>
    <w:rsid w:val="00431673"/>
    <w:rsid w:val="00431724"/>
    <w:rsid w:val="00431727"/>
    <w:rsid w:val="0043177A"/>
    <w:rsid w:val="00431785"/>
    <w:rsid w:val="004318E2"/>
    <w:rsid w:val="0043196F"/>
    <w:rsid w:val="00431975"/>
    <w:rsid w:val="004319AD"/>
    <w:rsid w:val="00431A2B"/>
    <w:rsid w:val="00431A97"/>
    <w:rsid w:val="00431C57"/>
    <w:rsid w:val="00431D23"/>
    <w:rsid w:val="00431D4F"/>
    <w:rsid w:val="00431D80"/>
    <w:rsid w:val="00431E25"/>
    <w:rsid w:val="00431E3E"/>
    <w:rsid w:val="00431E47"/>
    <w:rsid w:val="00431EC0"/>
    <w:rsid w:val="00431F17"/>
    <w:rsid w:val="00431F56"/>
    <w:rsid w:val="00431F91"/>
    <w:rsid w:val="00431FD4"/>
    <w:rsid w:val="0043204B"/>
    <w:rsid w:val="004320C7"/>
    <w:rsid w:val="00432152"/>
    <w:rsid w:val="00432160"/>
    <w:rsid w:val="00432161"/>
    <w:rsid w:val="004321D2"/>
    <w:rsid w:val="004322D7"/>
    <w:rsid w:val="004322F7"/>
    <w:rsid w:val="0043230A"/>
    <w:rsid w:val="0043246B"/>
    <w:rsid w:val="00432484"/>
    <w:rsid w:val="0043248D"/>
    <w:rsid w:val="004324C6"/>
    <w:rsid w:val="004324F8"/>
    <w:rsid w:val="004325A5"/>
    <w:rsid w:val="004325F9"/>
    <w:rsid w:val="00432683"/>
    <w:rsid w:val="004326B1"/>
    <w:rsid w:val="004326D8"/>
    <w:rsid w:val="004326ED"/>
    <w:rsid w:val="0043276D"/>
    <w:rsid w:val="00432776"/>
    <w:rsid w:val="00432778"/>
    <w:rsid w:val="00432788"/>
    <w:rsid w:val="004327CD"/>
    <w:rsid w:val="0043283C"/>
    <w:rsid w:val="00432848"/>
    <w:rsid w:val="00432858"/>
    <w:rsid w:val="004328AE"/>
    <w:rsid w:val="00432974"/>
    <w:rsid w:val="004329C0"/>
    <w:rsid w:val="00432A9A"/>
    <w:rsid w:val="00432AB4"/>
    <w:rsid w:val="00432AD6"/>
    <w:rsid w:val="00432AEC"/>
    <w:rsid w:val="00432B00"/>
    <w:rsid w:val="00432C20"/>
    <w:rsid w:val="00432C2C"/>
    <w:rsid w:val="00432CCD"/>
    <w:rsid w:val="00432D02"/>
    <w:rsid w:val="00432E00"/>
    <w:rsid w:val="00432E79"/>
    <w:rsid w:val="00433003"/>
    <w:rsid w:val="00433072"/>
    <w:rsid w:val="004330D3"/>
    <w:rsid w:val="004330E5"/>
    <w:rsid w:val="0043314B"/>
    <w:rsid w:val="00433152"/>
    <w:rsid w:val="00433246"/>
    <w:rsid w:val="004332A5"/>
    <w:rsid w:val="00433334"/>
    <w:rsid w:val="004333BB"/>
    <w:rsid w:val="00433443"/>
    <w:rsid w:val="0043344B"/>
    <w:rsid w:val="0043353E"/>
    <w:rsid w:val="0043357C"/>
    <w:rsid w:val="00433611"/>
    <w:rsid w:val="0043365D"/>
    <w:rsid w:val="004336A5"/>
    <w:rsid w:val="004336D8"/>
    <w:rsid w:val="004337D6"/>
    <w:rsid w:val="00433814"/>
    <w:rsid w:val="00433856"/>
    <w:rsid w:val="0043387A"/>
    <w:rsid w:val="00433883"/>
    <w:rsid w:val="00433886"/>
    <w:rsid w:val="0043389A"/>
    <w:rsid w:val="004338E8"/>
    <w:rsid w:val="0043394C"/>
    <w:rsid w:val="004339A6"/>
    <w:rsid w:val="004339D4"/>
    <w:rsid w:val="00433A2A"/>
    <w:rsid w:val="00433A64"/>
    <w:rsid w:val="00433A85"/>
    <w:rsid w:val="00433AB5"/>
    <w:rsid w:val="00433B30"/>
    <w:rsid w:val="00433B6A"/>
    <w:rsid w:val="00433BB6"/>
    <w:rsid w:val="00433BC6"/>
    <w:rsid w:val="00433BF3"/>
    <w:rsid w:val="00433C45"/>
    <w:rsid w:val="00433CD2"/>
    <w:rsid w:val="00433CDD"/>
    <w:rsid w:val="00433CEF"/>
    <w:rsid w:val="00433D8F"/>
    <w:rsid w:val="00433E61"/>
    <w:rsid w:val="00433EE0"/>
    <w:rsid w:val="00433F3B"/>
    <w:rsid w:val="00433F64"/>
    <w:rsid w:val="00433F76"/>
    <w:rsid w:val="00433FB2"/>
    <w:rsid w:val="0043401A"/>
    <w:rsid w:val="00434033"/>
    <w:rsid w:val="00434071"/>
    <w:rsid w:val="004340B5"/>
    <w:rsid w:val="004341D9"/>
    <w:rsid w:val="00434207"/>
    <w:rsid w:val="0043423F"/>
    <w:rsid w:val="00434265"/>
    <w:rsid w:val="004342B6"/>
    <w:rsid w:val="004342B8"/>
    <w:rsid w:val="004342DD"/>
    <w:rsid w:val="004342E1"/>
    <w:rsid w:val="00434336"/>
    <w:rsid w:val="0043434B"/>
    <w:rsid w:val="004343DA"/>
    <w:rsid w:val="00434432"/>
    <w:rsid w:val="0043445F"/>
    <w:rsid w:val="004344C0"/>
    <w:rsid w:val="0043450C"/>
    <w:rsid w:val="004345C4"/>
    <w:rsid w:val="00434669"/>
    <w:rsid w:val="004346E5"/>
    <w:rsid w:val="004348A7"/>
    <w:rsid w:val="004348F2"/>
    <w:rsid w:val="0043496F"/>
    <w:rsid w:val="00434977"/>
    <w:rsid w:val="0043497C"/>
    <w:rsid w:val="004349BA"/>
    <w:rsid w:val="00434A2A"/>
    <w:rsid w:val="00434B14"/>
    <w:rsid w:val="00434B9C"/>
    <w:rsid w:val="00434C06"/>
    <w:rsid w:val="00434C17"/>
    <w:rsid w:val="00434C96"/>
    <w:rsid w:val="00434CDD"/>
    <w:rsid w:val="00434D12"/>
    <w:rsid w:val="00434D15"/>
    <w:rsid w:val="00434D4A"/>
    <w:rsid w:val="00434D4C"/>
    <w:rsid w:val="00434D60"/>
    <w:rsid w:val="00434D78"/>
    <w:rsid w:val="00434DB1"/>
    <w:rsid w:val="00434DB2"/>
    <w:rsid w:val="00434DC6"/>
    <w:rsid w:val="00434E2F"/>
    <w:rsid w:val="00434E37"/>
    <w:rsid w:val="00434E3B"/>
    <w:rsid w:val="00434E47"/>
    <w:rsid w:val="00434EDA"/>
    <w:rsid w:val="00434EFC"/>
    <w:rsid w:val="00434FE2"/>
    <w:rsid w:val="00435070"/>
    <w:rsid w:val="004350B2"/>
    <w:rsid w:val="0043515D"/>
    <w:rsid w:val="0043518E"/>
    <w:rsid w:val="0043520C"/>
    <w:rsid w:val="00435242"/>
    <w:rsid w:val="00435243"/>
    <w:rsid w:val="004352F7"/>
    <w:rsid w:val="004352FB"/>
    <w:rsid w:val="00435379"/>
    <w:rsid w:val="0043546E"/>
    <w:rsid w:val="004354A6"/>
    <w:rsid w:val="004354D2"/>
    <w:rsid w:val="004354F3"/>
    <w:rsid w:val="00435507"/>
    <w:rsid w:val="00435515"/>
    <w:rsid w:val="004355BD"/>
    <w:rsid w:val="004355D7"/>
    <w:rsid w:val="004355ED"/>
    <w:rsid w:val="00435683"/>
    <w:rsid w:val="004356D5"/>
    <w:rsid w:val="0043571A"/>
    <w:rsid w:val="0043572E"/>
    <w:rsid w:val="0043573D"/>
    <w:rsid w:val="0043577E"/>
    <w:rsid w:val="004357A1"/>
    <w:rsid w:val="004357BD"/>
    <w:rsid w:val="004357C3"/>
    <w:rsid w:val="004358F3"/>
    <w:rsid w:val="00435902"/>
    <w:rsid w:val="00435962"/>
    <w:rsid w:val="00435994"/>
    <w:rsid w:val="00435A05"/>
    <w:rsid w:val="00435A0E"/>
    <w:rsid w:val="00435A2E"/>
    <w:rsid w:val="00435A81"/>
    <w:rsid w:val="00435B8D"/>
    <w:rsid w:val="00435BA2"/>
    <w:rsid w:val="00435BEF"/>
    <w:rsid w:val="00435C21"/>
    <w:rsid w:val="00435C36"/>
    <w:rsid w:val="00435C81"/>
    <w:rsid w:val="00435CCA"/>
    <w:rsid w:val="00435D0C"/>
    <w:rsid w:val="00435D6F"/>
    <w:rsid w:val="00435DC3"/>
    <w:rsid w:val="00435E72"/>
    <w:rsid w:val="00435F51"/>
    <w:rsid w:val="00436097"/>
    <w:rsid w:val="004360A2"/>
    <w:rsid w:val="004360B7"/>
    <w:rsid w:val="004361A2"/>
    <w:rsid w:val="004361AD"/>
    <w:rsid w:val="00436201"/>
    <w:rsid w:val="0043627C"/>
    <w:rsid w:val="0043633A"/>
    <w:rsid w:val="00436369"/>
    <w:rsid w:val="00436536"/>
    <w:rsid w:val="00436561"/>
    <w:rsid w:val="00436568"/>
    <w:rsid w:val="0043665F"/>
    <w:rsid w:val="004366E3"/>
    <w:rsid w:val="0043671B"/>
    <w:rsid w:val="00436736"/>
    <w:rsid w:val="0043676F"/>
    <w:rsid w:val="00436827"/>
    <w:rsid w:val="0043682B"/>
    <w:rsid w:val="0043687C"/>
    <w:rsid w:val="00436908"/>
    <w:rsid w:val="00436947"/>
    <w:rsid w:val="0043698F"/>
    <w:rsid w:val="004369AF"/>
    <w:rsid w:val="004369CC"/>
    <w:rsid w:val="004369F5"/>
    <w:rsid w:val="00436B3B"/>
    <w:rsid w:val="00436BFD"/>
    <w:rsid w:val="00436C66"/>
    <w:rsid w:val="00436C74"/>
    <w:rsid w:val="00436D18"/>
    <w:rsid w:val="00436D1B"/>
    <w:rsid w:val="00436D1C"/>
    <w:rsid w:val="00436D4C"/>
    <w:rsid w:val="00436D66"/>
    <w:rsid w:val="00436DAB"/>
    <w:rsid w:val="00436E64"/>
    <w:rsid w:val="00436EDB"/>
    <w:rsid w:val="00436F0E"/>
    <w:rsid w:val="00437054"/>
    <w:rsid w:val="0043714F"/>
    <w:rsid w:val="0043715C"/>
    <w:rsid w:val="00437178"/>
    <w:rsid w:val="0043727E"/>
    <w:rsid w:val="004372AC"/>
    <w:rsid w:val="004372BE"/>
    <w:rsid w:val="004372FF"/>
    <w:rsid w:val="00437358"/>
    <w:rsid w:val="00437421"/>
    <w:rsid w:val="00437434"/>
    <w:rsid w:val="00437539"/>
    <w:rsid w:val="0043755D"/>
    <w:rsid w:val="0043756E"/>
    <w:rsid w:val="004375E0"/>
    <w:rsid w:val="00437610"/>
    <w:rsid w:val="00437737"/>
    <w:rsid w:val="00437781"/>
    <w:rsid w:val="004378B3"/>
    <w:rsid w:val="004378EA"/>
    <w:rsid w:val="004378ED"/>
    <w:rsid w:val="0043791D"/>
    <w:rsid w:val="004379F4"/>
    <w:rsid w:val="00437A37"/>
    <w:rsid w:val="00437A79"/>
    <w:rsid w:val="00437AAF"/>
    <w:rsid w:val="00437AB6"/>
    <w:rsid w:val="00437AC9"/>
    <w:rsid w:val="00437AD4"/>
    <w:rsid w:val="00437ADE"/>
    <w:rsid w:val="00437B23"/>
    <w:rsid w:val="00437B45"/>
    <w:rsid w:val="00437B7B"/>
    <w:rsid w:val="00437BD4"/>
    <w:rsid w:val="00437BD9"/>
    <w:rsid w:val="00437C1A"/>
    <w:rsid w:val="00437C2A"/>
    <w:rsid w:val="00437CDD"/>
    <w:rsid w:val="00437CDF"/>
    <w:rsid w:val="00437CE6"/>
    <w:rsid w:val="00437CE8"/>
    <w:rsid w:val="00437CF8"/>
    <w:rsid w:val="00437D00"/>
    <w:rsid w:val="00437D32"/>
    <w:rsid w:val="00437D3D"/>
    <w:rsid w:val="00437D5D"/>
    <w:rsid w:val="00437DB7"/>
    <w:rsid w:val="00437E3A"/>
    <w:rsid w:val="00437EB1"/>
    <w:rsid w:val="00437F0D"/>
    <w:rsid w:val="00437F13"/>
    <w:rsid w:val="0043E41A"/>
    <w:rsid w:val="0044001B"/>
    <w:rsid w:val="004400A5"/>
    <w:rsid w:val="00440195"/>
    <w:rsid w:val="00440284"/>
    <w:rsid w:val="004402BC"/>
    <w:rsid w:val="004402BF"/>
    <w:rsid w:val="00440359"/>
    <w:rsid w:val="004403D0"/>
    <w:rsid w:val="00440421"/>
    <w:rsid w:val="0044054E"/>
    <w:rsid w:val="00440566"/>
    <w:rsid w:val="00440583"/>
    <w:rsid w:val="0044059A"/>
    <w:rsid w:val="0044064B"/>
    <w:rsid w:val="004406AF"/>
    <w:rsid w:val="004406BC"/>
    <w:rsid w:val="00440817"/>
    <w:rsid w:val="0044081B"/>
    <w:rsid w:val="0044089B"/>
    <w:rsid w:val="0044093E"/>
    <w:rsid w:val="0044094C"/>
    <w:rsid w:val="00440968"/>
    <w:rsid w:val="00440A3E"/>
    <w:rsid w:val="00440A65"/>
    <w:rsid w:val="00440A9C"/>
    <w:rsid w:val="00440ABF"/>
    <w:rsid w:val="00440ACD"/>
    <w:rsid w:val="00440B0C"/>
    <w:rsid w:val="00440BCC"/>
    <w:rsid w:val="00440C2D"/>
    <w:rsid w:val="00440C5D"/>
    <w:rsid w:val="00440CFC"/>
    <w:rsid w:val="00440D02"/>
    <w:rsid w:val="00440EB3"/>
    <w:rsid w:val="00440FE1"/>
    <w:rsid w:val="00441082"/>
    <w:rsid w:val="004410B6"/>
    <w:rsid w:val="00441125"/>
    <w:rsid w:val="0044112A"/>
    <w:rsid w:val="00441138"/>
    <w:rsid w:val="00441148"/>
    <w:rsid w:val="004411B3"/>
    <w:rsid w:val="004412DC"/>
    <w:rsid w:val="004412EB"/>
    <w:rsid w:val="00441350"/>
    <w:rsid w:val="00441362"/>
    <w:rsid w:val="00441387"/>
    <w:rsid w:val="004413C7"/>
    <w:rsid w:val="00441405"/>
    <w:rsid w:val="00441463"/>
    <w:rsid w:val="004414AF"/>
    <w:rsid w:val="00441506"/>
    <w:rsid w:val="00441540"/>
    <w:rsid w:val="00441591"/>
    <w:rsid w:val="004415D8"/>
    <w:rsid w:val="00441608"/>
    <w:rsid w:val="0044162E"/>
    <w:rsid w:val="00441652"/>
    <w:rsid w:val="0044173A"/>
    <w:rsid w:val="0044173E"/>
    <w:rsid w:val="004417A4"/>
    <w:rsid w:val="004417A7"/>
    <w:rsid w:val="0044184D"/>
    <w:rsid w:val="0044188C"/>
    <w:rsid w:val="00441897"/>
    <w:rsid w:val="004418D3"/>
    <w:rsid w:val="00441918"/>
    <w:rsid w:val="0044196E"/>
    <w:rsid w:val="00441A8F"/>
    <w:rsid w:val="00441B1E"/>
    <w:rsid w:val="00441B48"/>
    <w:rsid w:val="00441BBD"/>
    <w:rsid w:val="00441BD8"/>
    <w:rsid w:val="00441BDD"/>
    <w:rsid w:val="00441BF5"/>
    <w:rsid w:val="00441BFA"/>
    <w:rsid w:val="00441C22"/>
    <w:rsid w:val="00441C6E"/>
    <w:rsid w:val="00441D95"/>
    <w:rsid w:val="00441DD1"/>
    <w:rsid w:val="00441E33"/>
    <w:rsid w:val="00441F85"/>
    <w:rsid w:val="00442025"/>
    <w:rsid w:val="00442044"/>
    <w:rsid w:val="00442049"/>
    <w:rsid w:val="004420D8"/>
    <w:rsid w:val="0044211E"/>
    <w:rsid w:val="004421E0"/>
    <w:rsid w:val="0044226A"/>
    <w:rsid w:val="00442286"/>
    <w:rsid w:val="0044232F"/>
    <w:rsid w:val="0044239D"/>
    <w:rsid w:val="0044240B"/>
    <w:rsid w:val="004424B6"/>
    <w:rsid w:val="004424D3"/>
    <w:rsid w:val="004424E1"/>
    <w:rsid w:val="00442633"/>
    <w:rsid w:val="0044268E"/>
    <w:rsid w:val="004426E2"/>
    <w:rsid w:val="00442766"/>
    <w:rsid w:val="00442898"/>
    <w:rsid w:val="0044295F"/>
    <w:rsid w:val="00442970"/>
    <w:rsid w:val="004429E9"/>
    <w:rsid w:val="00442B3F"/>
    <w:rsid w:val="00442B7D"/>
    <w:rsid w:val="00442B80"/>
    <w:rsid w:val="00442BB7"/>
    <w:rsid w:val="00442BBB"/>
    <w:rsid w:val="00442D53"/>
    <w:rsid w:val="00442D94"/>
    <w:rsid w:val="00442DC1"/>
    <w:rsid w:val="00442E54"/>
    <w:rsid w:val="00442E57"/>
    <w:rsid w:val="00442E66"/>
    <w:rsid w:val="00442E6A"/>
    <w:rsid w:val="00442F50"/>
    <w:rsid w:val="00442F55"/>
    <w:rsid w:val="00442F5D"/>
    <w:rsid w:val="00443078"/>
    <w:rsid w:val="0044308E"/>
    <w:rsid w:val="004430E5"/>
    <w:rsid w:val="0044313C"/>
    <w:rsid w:val="00443204"/>
    <w:rsid w:val="00443205"/>
    <w:rsid w:val="00443242"/>
    <w:rsid w:val="0044329F"/>
    <w:rsid w:val="004432AB"/>
    <w:rsid w:val="00443486"/>
    <w:rsid w:val="00443495"/>
    <w:rsid w:val="004434A9"/>
    <w:rsid w:val="00443554"/>
    <w:rsid w:val="0044356D"/>
    <w:rsid w:val="00443589"/>
    <w:rsid w:val="004435AE"/>
    <w:rsid w:val="004435BA"/>
    <w:rsid w:val="004435EF"/>
    <w:rsid w:val="00443606"/>
    <w:rsid w:val="00443671"/>
    <w:rsid w:val="004436A4"/>
    <w:rsid w:val="00443882"/>
    <w:rsid w:val="0044388B"/>
    <w:rsid w:val="004439DE"/>
    <w:rsid w:val="00443AD9"/>
    <w:rsid w:val="00443AFC"/>
    <w:rsid w:val="00443B08"/>
    <w:rsid w:val="00443B35"/>
    <w:rsid w:val="00443B65"/>
    <w:rsid w:val="00443B8A"/>
    <w:rsid w:val="00443BB5"/>
    <w:rsid w:val="00443C21"/>
    <w:rsid w:val="00443C6A"/>
    <w:rsid w:val="00443C78"/>
    <w:rsid w:val="00443DAD"/>
    <w:rsid w:val="00443E3B"/>
    <w:rsid w:val="00443E64"/>
    <w:rsid w:val="00443ECF"/>
    <w:rsid w:val="00443ED2"/>
    <w:rsid w:val="00443F70"/>
    <w:rsid w:val="00443FDF"/>
    <w:rsid w:val="0044400D"/>
    <w:rsid w:val="00444033"/>
    <w:rsid w:val="0044404C"/>
    <w:rsid w:val="00444051"/>
    <w:rsid w:val="0044407B"/>
    <w:rsid w:val="004440BC"/>
    <w:rsid w:val="004440FC"/>
    <w:rsid w:val="0044411F"/>
    <w:rsid w:val="00444156"/>
    <w:rsid w:val="0044415A"/>
    <w:rsid w:val="0044419D"/>
    <w:rsid w:val="004441AC"/>
    <w:rsid w:val="004441BE"/>
    <w:rsid w:val="004442E9"/>
    <w:rsid w:val="00444305"/>
    <w:rsid w:val="00444330"/>
    <w:rsid w:val="004443BE"/>
    <w:rsid w:val="00444433"/>
    <w:rsid w:val="004444AA"/>
    <w:rsid w:val="004444E8"/>
    <w:rsid w:val="00444523"/>
    <w:rsid w:val="00444547"/>
    <w:rsid w:val="004445BC"/>
    <w:rsid w:val="004445E7"/>
    <w:rsid w:val="004445E8"/>
    <w:rsid w:val="004446B8"/>
    <w:rsid w:val="0044472C"/>
    <w:rsid w:val="00444739"/>
    <w:rsid w:val="00444871"/>
    <w:rsid w:val="00444936"/>
    <w:rsid w:val="00444999"/>
    <w:rsid w:val="004449D3"/>
    <w:rsid w:val="00444A00"/>
    <w:rsid w:val="00444AAA"/>
    <w:rsid w:val="00444B10"/>
    <w:rsid w:val="00444B1A"/>
    <w:rsid w:val="00444B1F"/>
    <w:rsid w:val="00444B4E"/>
    <w:rsid w:val="00444B8F"/>
    <w:rsid w:val="00444BBE"/>
    <w:rsid w:val="00444BFA"/>
    <w:rsid w:val="00444C04"/>
    <w:rsid w:val="00444C35"/>
    <w:rsid w:val="00444D61"/>
    <w:rsid w:val="00444D87"/>
    <w:rsid w:val="00444E05"/>
    <w:rsid w:val="00444E59"/>
    <w:rsid w:val="00444E94"/>
    <w:rsid w:val="00444EF7"/>
    <w:rsid w:val="00444FD5"/>
    <w:rsid w:val="00444FD9"/>
    <w:rsid w:val="00445000"/>
    <w:rsid w:val="0044507C"/>
    <w:rsid w:val="004450B8"/>
    <w:rsid w:val="004450D1"/>
    <w:rsid w:val="00445213"/>
    <w:rsid w:val="0044525C"/>
    <w:rsid w:val="00445275"/>
    <w:rsid w:val="00445295"/>
    <w:rsid w:val="004452F6"/>
    <w:rsid w:val="004453A9"/>
    <w:rsid w:val="004453D0"/>
    <w:rsid w:val="0044541B"/>
    <w:rsid w:val="00445463"/>
    <w:rsid w:val="00445492"/>
    <w:rsid w:val="004454C9"/>
    <w:rsid w:val="00445516"/>
    <w:rsid w:val="0044553F"/>
    <w:rsid w:val="00445581"/>
    <w:rsid w:val="00445631"/>
    <w:rsid w:val="00445660"/>
    <w:rsid w:val="00445676"/>
    <w:rsid w:val="004456CD"/>
    <w:rsid w:val="0044579D"/>
    <w:rsid w:val="004457CC"/>
    <w:rsid w:val="004457E7"/>
    <w:rsid w:val="004458BE"/>
    <w:rsid w:val="004458F7"/>
    <w:rsid w:val="00445997"/>
    <w:rsid w:val="004459C8"/>
    <w:rsid w:val="00445A79"/>
    <w:rsid w:val="00445B0F"/>
    <w:rsid w:val="00445B87"/>
    <w:rsid w:val="00445BFB"/>
    <w:rsid w:val="00445C6E"/>
    <w:rsid w:val="00445C82"/>
    <w:rsid w:val="00445CF1"/>
    <w:rsid w:val="00445D2E"/>
    <w:rsid w:val="00445D49"/>
    <w:rsid w:val="00445DBF"/>
    <w:rsid w:val="00445E01"/>
    <w:rsid w:val="00445E70"/>
    <w:rsid w:val="00445ECA"/>
    <w:rsid w:val="00445F96"/>
    <w:rsid w:val="00446018"/>
    <w:rsid w:val="004460D1"/>
    <w:rsid w:val="0044612C"/>
    <w:rsid w:val="00446145"/>
    <w:rsid w:val="0044614C"/>
    <w:rsid w:val="0044615A"/>
    <w:rsid w:val="0044615F"/>
    <w:rsid w:val="004461B8"/>
    <w:rsid w:val="00446246"/>
    <w:rsid w:val="004462C5"/>
    <w:rsid w:val="004462E2"/>
    <w:rsid w:val="00446382"/>
    <w:rsid w:val="00446429"/>
    <w:rsid w:val="004464C1"/>
    <w:rsid w:val="004464DE"/>
    <w:rsid w:val="004466F7"/>
    <w:rsid w:val="00446730"/>
    <w:rsid w:val="004467D6"/>
    <w:rsid w:val="004467DD"/>
    <w:rsid w:val="004468DC"/>
    <w:rsid w:val="00446947"/>
    <w:rsid w:val="0044696B"/>
    <w:rsid w:val="00446A4F"/>
    <w:rsid w:val="00446ABC"/>
    <w:rsid w:val="00446B23"/>
    <w:rsid w:val="00446B8B"/>
    <w:rsid w:val="00446B98"/>
    <w:rsid w:val="00446C12"/>
    <w:rsid w:val="00446C13"/>
    <w:rsid w:val="00446C27"/>
    <w:rsid w:val="00446E0D"/>
    <w:rsid w:val="00446E11"/>
    <w:rsid w:val="00446E51"/>
    <w:rsid w:val="00446EF2"/>
    <w:rsid w:val="00446F3B"/>
    <w:rsid w:val="00446F3E"/>
    <w:rsid w:val="00446F46"/>
    <w:rsid w:val="00446F58"/>
    <w:rsid w:val="00446FB1"/>
    <w:rsid w:val="00446FF4"/>
    <w:rsid w:val="00447038"/>
    <w:rsid w:val="0044708A"/>
    <w:rsid w:val="004470DC"/>
    <w:rsid w:val="004470F4"/>
    <w:rsid w:val="00447102"/>
    <w:rsid w:val="0044714E"/>
    <w:rsid w:val="004471BF"/>
    <w:rsid w:val="00447200"/>
    <w:rsid w:val="0044721A"/>
    <w:rsid w:val="00447221"/>
    <w:rsid w:val="00447249"/>
    <w:rsid w:val="004472B9"/>
    <w:rsid w:val="004472BB"/>
    <w:rsid w:val="00447325"/>
    <w:rsid w:val="00447380"/>
    <w:rsid w:val="0044739A"/>
    <w:rsid w:val="004474A3"/>
    <w:rsid w:val="004474F6"/>
    <w:rsid w:val="004474F7"/>
    <w:rsid w:val="00447619"/>
    <w:rsid w:val="00447821"/>
    <w:rsid w:val="004478B5"/>
    <w:rsid w:val="004478D2"/>
    <w:rsid w:val="0044790D"/>
    <w:rsid w:val="00447916"/>
    <w:rsid w:val="00447973"/>
    <w:rsid w:val="00447A11"/>
    <w:rsid w:val="00447A6D"/>
    <w:rsid w:val="00447A6E"/>
    <w:rsid w:val="00447B67"/>
    <w:rsid w:val="00447BBB"/>
    <w:rsid w:val="00447BCC"/>
    <w:rsid w:val="00447BCF"/>
    <w:rsid w:val="00447C27"/>
    <w:rsid w:val="00447C47"/>
    <w:rsid w:val="00447C8D"/>
    <w:rsid w:val="00447D38"/>
    <w:rsid w:val="00447E26"/>
    <w:rsid w:val="00447E27"/>
    <w:rsid w:val="00447ECA"/>
    <w:rsid w:val="00447F30"/>
    <w:rsid w:val="00447F61"/>
    <w:rsid w:val="00450002"/>
    <w:rsid w:val="0045017C"/>
    <w:rsid w:val="004501D9"/>
    <w:rsid w:val="0045027F"/>
    <w:rsid w:val="004502B1"/>
    <w:rsid w:val="004502B7"/>
    <w:rsid w:val="00450338"/>
    <w:rsid w:val="00450347"/>
    <w:rsid w:val="0045039C"/>
    <w:rsid w:val="004503A6"/>
    <w:rsid w:val="004503BE"/>
    <w:rsid w:val="004503EA"/>
    <w:rsid w:val="004504A9"/>
    <w:rsid w:val="004504D1"/>
    <w:rsid w:val="00450569"/>
    <w:rsid w:val="0045059C"/>
    <w:rsid w:val="004506F5"/>
    <w:rsid w:val="0045071B"/>
    <w:rsid w:val="00450742"/>
    <w:rsid w:val="0045083B"/>
    <w:rsid w:val="00450981"/>
    <w:rsid w:val="004509BF"/>
    <w:rsid w:val="00450A06"/>
    <w:rsid w:val="00450A3B"/>
    <w:rsid w:val="00450A65"/>
    <w:rsid w:val="00450AE9"/>
    <w:rsid w:val="00450BAD"/>
    <w:rsid w:val="00450BB3"/>
    <w:rsid w:val="00450C44"/>
    <w:rsid w:val="00450CCB"/>
    <w:rsid w:val="00450D20"/>
    <w:rsid w:val="00450D45"/>
    <w:rsid w:val="00450D84"/>
    <w:rsid w:val="00450E4B"/>
    <w:rsid w:val="00450E4C"/>
    <w:rsid w:val="00450E5D"/>
    <w:rsid w:val="00450F7C"/>
    <w:rsid w:val="00450FC6"/>
    <w:rsid w:val="00450FE4"/>
    <w:rsid w:val="004510FC"/>
    <w:rsid w:val="0045111E"/>
    <w:rsid w:val="0045118F"/>
    <w:rsid w:val="0045119F"/>
    <w:rsid w:val="0045120D"/>
    <w:rsid w:val="00451223"/>
    <w:rsid w:val="00451278"/>
    <w:rsid w:val="004512A2"/>
    <w:rsid w:val="00451335"/>
    <w:rsid w:val="004513FD"/>
    <w:rsid w:val="004513FF"/>
    <w:rsid w:val="00451432"/>
    <w:rsid w:val="00451545"/>
    <w:rsid w:val="0045155F"/>
    <w:rsid w:val="0045173A"/>
    <w:rsid w:val="0045177B"/>
    <w:rsid w:val="004517F2"/>
    <w:rsid w:val="0045188C"/>
    <w:rsid w:val="004518D1"/>
    <w:rsid w:val="004518E6"/>
    <w:rsid w:val="004518F5"/>
    <w:rsid w:val="00451903"/>
    <w:rsid w:val="00451933"/>
    <w:rsid w:val="0045194F"/>
    <w:rsid w:val="00451B77"/>
    <w:rsid w:val="00451BC9"/>
    <w:rsid w:val="00451BCF"/>
    <w:rsid w:val="00451C30"/>
    <w:rsid w:val="00451C59"/>
    <w:rsid w:val="00451C93"/>
    <w:rsid w:val="00451CA6"/>
    <w:rsid w:val="00451CD8"/>
    <w:rsid w:val="00451D2A"/>
    <w:rsid w:val="00451D67"/>
    <w:rsid w:val="00451DC2"/>
    <w:rsid w:val="00451DCC"/>
    <w:rsid w:val="00451E58"/>
    <w:rsid w:val="00451E73"/>
    <w:rsid w:val="00451F64"/>
    <w:rsid w:val="00451FA7"/>
    <w:rsid w:val="00451FD2"/>
    <w:rsid w:val="00452029"/>
    <w:rsid w:val="0045203C"/>
    <w:rsid w:val="004520D3"/>
    <w:rsid w:val="00452113"/>
    <w:rsid w:val="00452122"/>
    <w:rsid w:val="0045228A"/>
    <w:rsid w:val="004522CE"/>
    <w:rsid w:val="004523F6"/>
    <w:rsid w:val="00452442"/>
    <w:rsid w:val="0045246E"/>
    <w:rsid w:val="00452494"/>
    <w:rsid w:val="00452522"/>
    <w:rsid w:val="00452548"/>
    <w:rsid w:val="004525D4"/>
    <w:rsid w:val="004525E9"/>
    <w:rsid w:val="004525FD"/>
    <w:rsid w:val="004526C1"/>
    <w:rsid w:val="004527D2"/>
    <w:rsid w:val="0045282B"/>
    <w:rsid w:val="0045285B"/>
    <w:rsid w:val="0045287E"/>
    <w:rsid w:val="0045289C"/>
    <w:rsid w:val="004528A7"/>
    <w:rsid w:val="004528CD"/>
    <w:rsid w:val="0045291F"/>
    <w:rsid w:val="00452B03"/>
    <w:rsid w:val="00452B42"/>
    <w:rsid w:val="00452B71"/>
    <w:rsid w:val="00452B8D"/>
    <w:rsid w:val="00452BBC"/>
    <w:rsid w:val="00452C09"/>
    <w:rsid w:val="00452C2F"/>
    <w:rsid w:val="00452D18"/>
    <w:rsid w:val="00452D2A"/>
    <w:rsid w:val="00452D45"/>
    <w:rsid w:val="00452E19"/>
    <w:rsid w:val="00452ED9"/>
    <w:rsid w:val="00452EE3"/>
    <w:rsid w:val="00452F2F"/>
    <w:rsid w:val="00452F4D"/>
    <w:rsid w:val="00452F4F"/>
    <w:rsid w:val="00452FEF"/>
    <w:rsid w:val="0045305D"/>
    <w:rsid w:val="00453069"/>
    <w:rsid w:val="00453098"/>
    <w:rsid w:val="004530B9"/>
    <w:rsid w:val="0045312D"/>
    <w:rsid w:val="004532AC"/>
    <w:rsid w:val="0045334B"/>
    <w:rsid w:val="00453399"/>
    <w:rsid w:val="004533C9"/>
    <w:rsid w:val="004533EA"/>
    <w:rsid w:val="00453430"/>
    <w:rsid w:val="0045345D"/>
    <w:rsid w:val="00453469"/>
    <w:rsid w:val="004535A7"/>
    <w:rsid w:val="004535BD"/>
    <w:rsid w:val="004535DA"/>
    <w:rsid w:val="00453617"/>
    <w:rsid w:val="00453619"/>
    <w:rsid w:val="0045365F"/>
    <w:rsid w:val="004536C3"/>
    <w:rsid w:val="00453717"/>
    <w:rsid w:val="00453747"/>
    <w:rsid w:val="00453759"/>
    <w:rsid w:val="004537F4"/>
    <w:rsid w:val="0045389C"/>
    <w:rsid w:val="004538C3"/>
    <w:rsid w:val="00453907"/>
    <w:rsid w:val="0045395E"/>
    <w:rsid w:val="004539CD"/>
    <w:rsid w:val="004539E2"/>
    <w:rsid w:val="004539F1"/>
    <w:rsid w:val="00453A67"/>
    <w:rsid w:val="00453AC1"/>
    <w:rsid w:val="00453B29"/>
    <w:rsid w:val="00453B32"/>
    <w:rsid w:val="00453B4E"/>
    <w:rsid w:val="00453BEB"/>
    <w:rsid w:val="00453CAD"/>
    <w:rsid w:val="00453CBC"/>
    <w:rsid w:val="00453D5E"/>
    <w:rsid w:val="00453D9B"/>
    <w:rsid w:val="00453DF0"/>
    <w:rsid w:val="00453E27"/>
    <w:rsid w:val="00453E4F"/>
    <w:rsid w:val="00453E5A"/>
    <w:rsid w:val="00453E82"/>
    <w:rsid w:val="00453EB4"/>
    <w:rsid w:val="00453EC0"/>
    <w:rsid w:val="00453F3B"/>
    <w:rsid w:val="00454073"/>
    <w:rsid w:val="00454107"/>
    <w:rsid w:val="0045410A"/>
    <w:rsid w:val="00454185"/>
    <w:rsid w:val="0045424C"/>
    <w:rsid w:val="004542C3"/>
    <w:rsid w:val="004542C9"/>
    <w:rsid w:val="00454308"/>
    <w:rsid w:val="004543B6"/>
    <w:rsid w:val="004543D6"/>
    <w:rsid w:val="004543E4"/>
    <w:rsid w:val="004544EA"/>
    <w:rsid w:val="004544FC"/>
    <w:rsid w:val="004546CB"/>
    <w:rsid w:val="004547A4"/>
    <w:rsid w:val="00454845"/>
    <w:rsid w:val="00454903"/>
    <w:rsid w:val="004549A4"/>
    <w:rsid w:val="004549C1"/>
    <w:rsid w:val="00454AD7"/>
    <w:rsid w:val="00454B23"/>
    <w:rsid w:val="00454B84"/>
    <w:rsid w:val="00454C81"/>
    <w:rsid w:val="00454D57"/>
    <w:rsid w:val="00454D85"/>
    <w:rsid w:val="00454DB9"/>
    <w:rsid w:val="00454DC6"/>
    <w:rsid w:val="00454DE2"/>
    <w:rsid w:val="00454E50"/>
    <w:rsid w:val="00454E79"/>
    <w:rsid w:val="00454F12"/>
    <w:rsid w:val="00454F1D"/>
    <w:rsid w:val="00454F24"/>
    <w:rsid w:val="00454F6A"/>
    <w:rsid w:val="00455070"/>
    <w:rsid w:val="004550B6"/>
    <w:rsid w:val="004550B9"/>
    <w:rsid w:val="004550F9"/>
    <w:rsid w:val="0045512C"/>
    <w:rsid w:val="00455249"/>
    <w:rsid w:val="00455358"/>
    <w:rsid w:val="00455380"/>
    <w:rsid w:val="0045538F"/>
    <w:rsid w:val="004553AA"/>
    <w:rsid w:val="0045546D"/>
    <w:rsid w:val="004554C4"/>
    <w:rsid w:val="004554FB"/>
    <w:rsid w:val="00455534"/>
    <w:rsid w:val="004555DA"/>
    <w:rsid w:val="004555DD"/>
    <w:rsid w:val="004555F2"/>
    <w:rsid w:val="00455606"/>
    <w:rsid w:val="00455608"/>
    <w:rsid w:val="004556FF"/>
    <w:rsid w:val="00455760"/>
    <w:rsid w:val="0045578B"/>
    <w:rsid w:val="00455791"/>
    <w:rsid w:val="004557AA"/>
    <w:rsid w:val="0045580A"/>
    <w:rsid w:val="00455822"/>
    <w:rsid w:val="00455883"/>
    <w:rsid w:val="004558C5"/>
    <w:rsid w:val="004558C7"/>
    <w:rsid w:val="00455929"/>
    <w:rsid w:val="0045595B"/>
    <w:rsid w:val="00455960"/>
    <w:rsid w:val="00455985"/>
    <w:rsid w:val="0045598D"/>
    <w:rsid w:val="00455990"/>
    <w:rsid w:val="004559A5"/>
    <w:rsid w:val="00455A68"/>
    <w:rsid w:val="00455BDA"/>
    <w:rsid w:val="00455C4A"/>
    <w:rsid w:val="00455C7B"/>
    <w:rsid w:val="00455CA8"/>
    <w:rsid w:val="00455D0A"/>
    <w:rsid w:val="00455D49"/>
    <w:rsid w:val="00455D50"/>
    <w:rsid w:val="00455D7E"/>
    <w:rsid w:val="00455D99"/>
    <w:rsid w:val="00455DCE"/>
    <w:rsid w:val="00455DE8"/>
    <w:rsid w:val="00455DFF"/>
    <w:rsid w:val="00455E68"/>
    <w:rsid w:val="00455E96"/>
    <w:rsid w:val="00455EB3"/>
    <w:rsid w:val="00455EF8"/>
    <w:rsid w:val="00455FD8"/>
    <w:rsid w:val="0045601E"/>
    <w:rsid w:val="0045601F"/>
    <w:rsid w:val="004560B9"/>
    <w:rsid w:val="00456124"/>
    <w:rsid w:val="0045612A"/>
    <w:rsid w:val="00456198"/>
    <w:rsid w:val="004561B0"/>
    <w:rsid w:val="004561B1"/>
    <w:rsid w:val="004561E0"/>
    <w:rsid w:val="0045622B"/>
    <w:rsid w:val="00456261"/>
    <w:rsid w:val="0045628B"/>
    <w:rsid w:val="00456359"/>
    <w:rsid w:val="004563F4"/>
    <w:rsid w:val="0045645B"/>
    <w:rsid w:val="0045648D"/>
    <w:rsid w:val="00456562"/>
    <w:rsid w:val="004565D6"/>
    <w:rsid w:val="0045667F"/>
    <w:rsid w:val="00456694"/>
    <w:rsid w:val="0045671F"/>
    <w:rsid w:val="00456721"/>
    <w:rsid w:val="00456767"/>
    <w:rsid w:val="00456862"/>
    <w:rsid w:val="00456897"/>
    <w:rsid w:val="00456965"/>
    <w:rsid w:val="004569AC"/>
    <w:rsid w:val="00456A1E"/>
    <w:rsid w:val="00456A3A"/>
    <w:rsid w:val="00456A95"/>
    <w:rsid w:val="00456AC9"/>
    <w:rsid w:val="00456B64"/>
    <w:rsid w:val="00456B77"/>
    <w:rsid w:val="00456BDC"/>
    <w:rsid w:val="00456C66"/>
    <w:rsid w:val="00456CAE"/>
    <w:rsid w:val="00456CB0"/>
    <w:rsid w:val="00456CB6"/>
    <w:rsid w:val="00456CD5"/>
    <w:rsid w:val="00456CF2"/>
    <w:rsid w:val="00456D78"/>
    <w:rsid w:val="00456D80"/>
    <w:rsid w:val="00456DDB"/>
    <w:rsid w:val="00456E24"/>
    <w:rsid w:val="00456E45"/>
    <w:rsid w:val="00456EA0"/>
    <w:rsid w:val="00456F10"/>
    <w:rsid w:val="00456FC7"/>
    <w:rsid w:val="0045701B"/>
    <w:rsid w:val="004570C6"/>
    <w:rsid w:val="00457143"/>
    <w:rsid w:val="00457145"/>
    <w:rsid w:val="004571AF"/>
    <w:rsid w:val="00457288"/>
    <w:rsid w:val="004572C1"/>
    <w:rsid w:val="00457360"/>
    <w:rsid w:val="0045742F"/>
    <w:rsid w:val="00457442"/>
    <w:rsid w:val="00457488"/>
    <w:rsid w:val="00457539"/>
    <w:rsid w:val="00457606"/>
    <w:rsid w:val="00457627"/>
    <w:rsid w:val="00457689"/>
    <w:rsid w:val="004576E4"/>
    <w:rsid w:val="00457762"/>
    <w:rsid w:val="004577B3"/>
    <w:rsid w:val="004577D4"/>
    <w:rsid w:val="0045780B"/>
    <w:rsid w:val="00457834"/>
    <w:rsid w:val="00457895"/>
    <w:rsid w:val="004578BB"/>
    <w:rsid w:val="004578C7"/>
    <w:rsid w:val="0045795B"/>
    <w:rsid w:val="0045797A"/>
    <w:rsid w:val="004579CF"/>
    <w:rsid w:val="004579D8"/>
    <w:rsid w:val="004579E4"/>
    <w:rsid w:val="00457A70"/>
    <w:rsid w:val="00457AB9"/>
    <w:rsid w:val="00457B00"/>
    <w:rsid w:val="00457B12"/>
    <w:rsid w:val="00457B54"/>
    <w:rsid w:val="00457B96"/>
    <w:rsid w:val="00457C31"/>
    <w:rsid w:val="00457C93"/>
    <w:rsid w:val="00457CD5"/>
    <w:rsid w:val="00457CF1"/>
    <w:rsid w:val="00457CF5"/>
    <w:rsid w:val="00457DA0"/>
    <w:rsid w:val="00457DAF"/>
    <w:rsid w:val="00457E0D"/>
    <w:rsid w:val="00457E18"/>
    <w:rsid w:val="00457E7D"/>
    <w:rsid w:val="00457EB7"/>
    <w:rsid w:val="00457EEB"/>
    <w:rsid w:val="00457F55"/>
    <w:rsid w:val="00457F92"/>
    <w:rsid w:val="0045AAF2"/>
    <w:rsid w:val="00460070"/>
    <w:rsid w:val="00460211"/>
    <w:rsid w:val="0046022F"/>
    <w:rsid w:val="00460235"/>
    <w:rsid w:val="00460238"/>
    <w:rsid w:val="00460256"/>
    <w:rsid w:val="00460294"/>
    <w:rsid w:val="004602A3"/>
    <w:rsid w:val="00460316"/>
    <w:rsid w:val="0046037D"/>
    <w:rsid w:val="004603B3"/>
    <w:rsid w:val="00460402"/>
    <w:rsid w:val="00460449"/>
    <w:rsid w:val="004604CC"/>
    <w:rsid w:val="004605B8"/>
    <w:rsid w:val="004605D1"/>
    <w:rsid w:val="004605EB"/>
    <w:rsid w:val="00460626"/>
    <w:rsid w:val="0046065A"/>
    <w:rsid w:val="00460700"/>
    <w:rsid w:val="0046080F"/>
    <w:rsid w:val="00460872"/>
    <w:rsid w:val="004608EC"/>
    <w:rsid w:val="00460941"/>
    <w:rsid w:val="004609CA"/>
    <w:rsid w:val="00460A28"/>
    <w:rsid w:val="00460A3A"/>
    <w:rsid w:val="00460AB5"/>
    <w:rsid w:val="00460B27"/>
    <w:rsid w:val="00460B56"/>
    <w:rsid w:val="00460B85"/>
    <w:rsid w:val="00460BFD"/>
    <w:rsid w:val="00460C5B"/>
    <w:rsid w:val="00460CA1"/>
    <w:rsid w:val="00460CA4"/>
    <w:rsid w:val="00460D9B"/>
    <w:rsid w:val="00460DBD"/>
    <w:rsid w:val="00460ECF"/>
    <w:rsid w:val="00460F13"/>
    <w:rsid w:val="00460FA4"/>
    <w:rsid w:val="00460FB2"/>
    <w:rsid w:val="00460FF1"/>
    <w:rsid w:val="00461051"/>
    <w:rsid w:val="0046105A"/>
    <w:rsid w:val="0046108F"/>
    <w:rsid w:val="004610A1"/>
    <w:rsid w:val="004610B1"/>
    <w:rsid w:val="0046111E"/>
    <w:rsid w:val="0046114B"/>
    <w:rsid w:val="004611EF"/>
    <w:rsid w:val="00461288"/>
    <w:rsid w:val="004612D2"/>
    <w:rsid w:val="0046134F"/>
    <w:rsid w:val="00461363"/>
    <w:rsid w:val="004613E5"/>
    <w:rsid w:val="00461405"/>
    <w:rsid w:val="0046141D"/>
    <w:rsid w:val="00461434"/>
    <w:rsid w:val="0046144C"/>
    <w:rsid w:val="00461499"/>
    <w:rsid w:val="0046149B"/>
    <w:rsid w:val="004614F0"/>
    <w:rsid w:val="0046150C"/>
    <w:rsid w:val="00461546"/>
    <w:rsid w:val="00461615"/>
    <w:rsid w:val="00461633"/>
    <w:rsid w:val="00461720"/>
    <w:rsid w:val="00461749"/>
    <w:rsid w:val="00461761"/>
    <w:rsid w:val="004617B8"/>
    <w:rsid w:val="00461891"/>
    <w:rsid w:val="00461952"/>
    <w:rsid w:val="00461963"/>
    <w:rsid w:val="00461988"/>
    <w:rsid w:val="004619A0"/>
    <w:rsid w:val="004619E4"/>
    <w:rsid w:val="00461A4C"/>
    <w:rsid w:val="00461A89"/>
    <w:rsid w:val="00461AD3"/>
    <w:rsid w:val="00461B6B"/>
    <w:rsid w:val="00461B82"/>
    <w:rsid w:val="00461BE5"/>
    <w:rsid w:val="00461CBA"/>
    <w:rsid w:val="00461D62"/>
    <w:rsid w:val="00461E49"/>
    <w:rsid w:val="00461E85"/>
    <w:rsid w:val="00461E9B"/>
    <w:rsid w:val="00461F87"/>
    <w:rsid w:val="00461FA8"/>
    <w:rsid w:val="00461FFE"/>
    <w:rsid w:val="004620C1"/>
    <w:rsid w:val="004620E3"/>
    <w:rsid w:val="00462138"/>
    <w:rsid w:val="0046216A"/>
    <w:rsid w:val="004621B7"/>
    <w:rsid w:val="004621DC"/>
    <w:rsid w:val="0046232F"/>
    <w:rsid w:val="004623BB"/>
    <w:rsid w:val="004623CC"/>
    <w:rsid w:val="004623E1"/>
    <w:rsid w:val="004623F6"/>
    <w:rsid w:val="00462485"/>
    <w:rsid w:val="00462496"/>
    <w:rsid w:val="004624D3"/>
    <w:rsid w:val="00462503"/>
    <w:rsid w:val="00462529"/>
    <w:rsid w:val="004625A9"/>
    <w:rsid w:val="0046277A"/>
    <w:rsid w:val="004627D7"/>
    <w:rsid w:val="004627FF"/>
    <w:rsid w:val="00462807"/>
    <w:rsid w:val="0046286B"/>
    <w:rsid w:val="00462872"/>
    <w:rsid w:val="0046289F"/>
    <w:rsid w:val="004628CD"/>
    <w:rsid w:val="004628EB"/>
    <w:rsid w:val="00462966"/>
    <w:rsid w:val="004629A8"/>
    <w:rsid w:val="004629B0"/>
    <w:rsid w:val="00462ABA"/>
    <w:rsid w:val="00462AE6"/>
    <w:rsid w:val="00462C41"/>
    <w:rsid w:val="00462D26"/>
    <w:rsid w:val="00462D82"/>
    <w:rsid w:val="00462D85"/>
    <w:rsid w:val="00462E06"/>
    <w:rsid w:val="00462E42"/>
    <w:rsid w:val="00462E5E"/>
    <w:rsid w:val="00462EF9"/>
    <w:rsid w:val="00462F1B"/>
    <w:rsid w:val="00462FD8"/>
    <w:rsid w:val="0046309A"/>
    <w:rsid w:val="004630DD"/>
    <w:rsid w:val="0046314B"/>
    <w:rsid w:val="0046314E"/>
    <w:rsid w:val="00463187"/>
    <w:rsid w:val="0046318A"/>
    <w:rsid w:val="004631B6"/>
    <w:rsid w:val="00463229"/>
    <w:rsid w:val="00463292"/>
    <w:rsid w:val="004632FB"/>
    <w:rsid w:val="00463345"/>
    <w:rsid w:val="0046339E"/>
    <w:rsid w:val="004633AB"/>
    <w:rsid w:val="00463444"/>
    <w:rsid w:val="0046345C"/>
    <w:rsid w:val="00463461"/>
    <w:rsid w:val="00463479"/>
    <w:rsid w:val="004634C7"/>
    <w:rsid w:val="00463539"/>
    <w:rsid w:val="0046354D"/>
    <w:rsid w:val="00463595"/>
    <w:rsid w:val="0046364A"/>
    <w:rsid w:val="0046367C"/>
    <w:rsid w:val="004636E0"/>
    <w:rsid w:val="00463739"/>
    <w:rsid w:val="00463798"/>
    <w:rsid w:val="00463898"/>
    <w:rsid w:val="00463986"/>
    <w:rsid w:val="00463A34"/>
    <w:rsid w:val="00463AB1"/>
    <w:rsid w:val="00463AB7"/>
    <w:rsid w:val="00463AF9"/>
    <w:rsid w:val="00463B85"/>
    <w:rsid w:val="00463C31"/>
    <w:rsid w:val="00463C43"/>
    <w:rsid w:val="00463C71"/>
    <w:rsid w:val="00463DEC"/>
    <w:rsid w:val="00463E2E"/>
    <w:rsid w:val="00463ECA"/>
    <w:rsid w:val="00463F2E"/>
    <w:rsid w:val="00463FD6"/>
    <w:rsid w:val="00463FFE"/>
    <w:rsid w:val="00464023"/>
    <w:rsid w:val="00464071"/>
    <w:rsid w:val="0046408E"/>
    <w:rsid w:val="004640E5"/>
    <w:rsid w:val="00464118"/>
    <w:rsid w:val="00464119"/>
    <w:rsid w:val="00464133"/>
    <w:rsid w:val="00464290"/>
    <w:rsid w:val="004642D7"/>
    <w:rsid w:val="00464377"/>
    <w:rsid w:val="004643D0"/>
    <w:rsid w:val="004643F4"/>
    <w:rsid w:val="00464404"/>
    <w:rsid w:val="00464470"/>
    <w:rsid w:val="00464628"/>
    <w:rsid w:val="0046466E"/>
    <w:rsid w:val="00464792"/>
    <w:rsid w:val="004647A1"/>
    <w:rsid w:val="0046481B"/>
    <w:rsid w:val="00464838"/>
    <w:rsid w:val="00464875"/>
    <w:rsid w:val="0046493B"/>
    <w:rsid w:val="00464971"/>
    <w:rsid w:val="004649AA"/>
    <w:rsid w:val="004649F1"/>
    <w:rsid w:val="00464B2B"/>
    <w:rsid w:val="00464B44"/>
    <w:rsid w:val="00464B9D"/>
    <w:rsid w:val="00464BA4"/>
    <w:rsid w:val="00464CAE"/>
    <w:rsid w:val="00464D70"/>
    <w:rsid w:val="00464DD0"/>
    <w:rsid w:val="00464E0B"/>
    <w:rsid w:val="00464E54"/>
    <w:rsid w:val="00464EB6"/>
    <w:rsid w:val="00464F78"/>
    <w:rsid w:val="00464F7C"/>
    <w:rsid w:val="00464F8F"/>
    <w:rsid w:val="00464FB0"/>
    <w:rsid w:val="00464FCC"/>
    <w:rsid w:val="00465066"/>
    <w:rsid w:val="0046509B"/>
    <w:rsid w:val="004650F0"/>
    <w:rsid w:val="0046514E"/>
    <w:rsid w:val="004651CE"/>
    <w:rsid w:val="0046520C"/>
    <w:rsid w:val="00465240"/>
    <w:rsid w:val="0046532D"/>
    <w:rsid w:val="00465375"/>
    <w:rsid w:val="00465482"/>
    <w:rsid w:val="004655C9"/>
    <w:rsid w:val="004655E7"/>
    <w:rsid w:val="004656A3"/>
    <w:rsid w:val="004656C2"/>
    <w:rsid w:val="004656CA"/>
    <w:rsid w:val="004656E6"/>
    <w:rsid w:val="00465732"/>
    <w:rsid w:val="00465746"/>
    <w:rsid w:val="00465787"/>
    <w:rsid w:val="004657A9"/>
    <w:rsid w:val="004657F6"/>
    <w:rsid w:val="00465891"/>
    <w:rsid w:val="004658A1"/>
    <w:rsid w:val="004658E8"/>
    <w:rsid w:val="0046590F"/>
    <w:rsid w:val="00465917"/>
    <w:rsid w:val="0046592E"/>
    <w:rsid w:val="004659FE"/>
    <w:rsid w:val="00465A13"/>
    <w:rsid w:val="00465AE8"/>
    <w:rsid w:val="00465AFD"/>
    <w:rsid w:val="00465C00"/>
    <w:rsid w:val="00465C4A"/>
    <w:rsid w:val="00465C9E"/>
    <w:rsid w:val="00465CAF"/>
    <w:rsid w:val="00465D0B"/>
    <w:rsid w:val="00465D6E"/>
    <w:rsid w:val="00465D9A"/>
    <w:rsid w:val="00465E0F"/>
    <w:rsid w:val="00465E1C"/>
    <w:rsid w:val="00465E37"/>
    <w:rsid w:val="00465E87"/>
    <w:rsid w:val="00465EC7"/>
    <w:rsid w:val="00465FD8"/>
    <w:rsid w:val="0046600A"/>
    <w:rsid w:val="00466045"/>
    <w:rsid w:val="00466095"/>
    <w:rsid w:val="00466212"/>
    <w:rsid w:val="00466224"/>
    <w:rsid w:val="00466231"/>
    <w:rsid w:val="004663BF"/>
    <w:rsid w:val="004663D0"/>
    <w:rsid w:val="00466401"/>
    <w:rsid w:val="0046644C"/>
    <w:rsid w:val="00466490"/>
    <w:rsid w:val="004664BB"/>
    <w:rsid w:val="004664DA"/>
    <w:rsid w:val="0046652E"/>
    <w:rsid w:val="00466541"/>
    <w:rsid w:val="00466552"/>
    <w:rsid w:val="00466553"/>
    <w:rsid w:val="00466556"/>
    <w:rsid w:val="004665AA"/>
    <w:rsid w:val="004666FE"/>
    <w:rsid w:val="004667C0"/>
    <w:rsid w:val="0046683D"/>
    <w:rsid w:val="00466845"/>
    <w:rsid w:val="0046687D"/>
    <w:rsid w:val="004668D3"/>
    <w:rsid w:val="0046691F"/>
    <w:rsid w:val="00466993"/>
    <w:rsid w:val="004669D4"/>
    <w:rsid w:val="004669EC"/>
    <w:rsid w:val="00466A3F"/>
    <w:rsid w:val="00466A8F"/>
    <w:rsid w:val="00466BE5"/>
    <w:rsid w:val="00466C7A"/>
    <w:rsid w:val="00466CD1"/>
    <w:rsid w:val="00466D03"/>
    <w:rsid w:val="00466D33"/>
    <w:rsid w:val="00466D4F"/>
    <w:rsid w:val="00466D69"/>
    <w:rsid w:val="00466D7C"/>
    <w:rsid w:val="00466DC0"/>
    <w:rsid w:val="00466EB9"/>
    <w:rsid w:val="00466EFB"/>
    <w:rsid w:val="00466F2E"/>
    <w:rsid w:val="00466F3B"/>
    <w:rsid w:val="00466F4C"/>
    <w:rsid w:val="00466FBF"/>
    <w:rsid w:val="00467027"/>
    <w:rsid w:val="00467051"/>
    <w:rsid w:val="0046714A"/>
    <w:rsid w:val="004671C3"/>
    <w:rsid w:val="00467222"/>
    <w:rsid w:val="0046723E"/>
    <w:rsid w:val="00467297"/>
    <w:rsid w:val="004672C9"/>
    <w:rsid w:val="004673A2"/>
    <w:rsid w:val="00467491"/>
    <w:rsid w:val="004674C9"/>
    <w:rsid w:val="004674D5"/>
    <w:rsid w:val="004674E0"/>
    <w:rsid w:val="004674EF"/>
    <w:rsid w:val="00467593"/>
    <w:rsid w:val="004675BB"/>
    <w:rsid w:val="004675BD"/>
    <w:rsid w:val="0046763D"/>
    <w:rsid w:val="00467683"/>
    <w:rsid w:val="0046771F"/>
    <w:rsid w:val="004677C0"/>
    <w:rsid w:val="004677CD"/>
    <w:rsid w:val="0046782A"/>
    <w:rsid w:val="0046782E"/>
    <w:rsid w:val="0046784C"/>
    <w:rsid w:val="004678C0"/>
    <w:rsid w:val="004678ED"/>
    <w:rsid w:val="00467939"/>
    <w:rsid w:val="00467A55"/>
    <w:rsid w:val="00467A6D"/>
    <w:rsid w:val="00467A8E"/>
    <w:rsid w:val="00467BD3"/>
    <w:rsid w:val="00467D4B"/>
    <w:rsid w:val="00467D87"/>
    <w:rsid w:val="00467DA1"/>
    <w:rsid w:val="00467DCC"/>
    <w:rsid w:val="00467DFF"/>
    <w:rsid w:val="00467E60"/>
    <w:rsid w:val="00467ECA"/>
    <w:rsid w:val="00467F40"/>
    <w:rsid w:val="00467F8F"/>
    <w:rsid w:val="00467FEE"/>
    <w:rsid w:val="0047000D"/>
    <w:rsid w:val="00470018"/>
    <w:rsid w:val="00470081"/>
    <w:rsid w:val="00470184"/>
    <w:rsid w:val="00470294"/>
    <w:rsid w:val="00470379"/>
    <w:rsid w:val="0047038D"/>
    <w:rsid w:val="004703AA"/>
    <w:rsid w:val="004703B6"/>
    <w:rsid w:val="004703E6"/>
    <w:rsid w:val="00470451"/>
    <w:rsid w:val="00470487"/>
    <w:rsid w:val="004705FF"/>
    <w:rsid w:val="0047082C"/>
    <w:rsid w:val="00470831"/>
    <w:rsid w:val="004708CC"/>
    <w:rsid w:val="00470A0F"/>
    <w:rsid w:val="00470A84"/>
    <w:rsid w:val="00470AC6"/>
    <w:rsid w:val="00470AD5"/>
    <w:rsid w:val="00470B20"/>
    <w:rsid w:val="00470B4A"/>
    <w:rsid w:val="00470B65"/>
    <w:rsid w:val="00470BAF"/>
    <w:rsid w:val="00470BB9"/>
    <w:rsid w:val="00470BEA"/>
    <w:rsid w:val="00470C25"/>
    <w:rsid w:val="00470C3F"/>
    <w:rsid w:val="00470CC0"/>
    <w:rsid w:val="00470D03"/>
    <w:rsid w:val="00470D06"/>
    <w:rsid w:val="00470D24"/>
    <w:rsid w:val="00470EAF"/>
    <w:rsid w:val="00470F47"/>
    <w:rsid w:val="00470FDE"/>
    <w:rsid w:val="00470FFD"/>
    <w:rsid w:val="00471037"/>
    <w:rsid w:val="0047104E"/>
    <w:rsid w:val="0047107A"/>
    <w:rsid w:val="004710E3"/>
    <w:rsid w:val="0047114A"/>
    <w:rsid w:val="00471158"/>
    <w:rsid w:val="00471166"/>
    <w:rsid w:val="0047117F"/>
    <w:rsid w:val="00471215"/>
    <w:rsid w:val="00471223"/>
    <w:rsid w:val="004712AF"/>
    <w:rsid w:val="004712BC"/>
    <w:rsid w:val="0047130C"/>
    <w:rsid w:val="00471415"/>
    <w:rsid w:val="00471437"/>
    <w:rsid w:val="00471486"/>
    <w:rsid w:val="0047150F"/>
    <w:rsid w:val="00471569"/>
    <w:rsid w:val="004715DE"/>
    <w:rsid w:val="00471684"/>
    <w:rsid w:val="004716D1"/>
    <w:rsid w:val="00471726"/>
    <w:rsid w:val="00471743"/>
    <w:rsid w:val="00471750"/>
    <w:rsid w:val="00471760"/>
    <w:rsid w:val="00471774"/>
    <w:rsid w:val="0047177C"/>
    <w:rsid w:val="004717A1"/>
    <w:rsid w:val="00471844"/>
    <w:rsid w:val="004718BA"/>
    <w:rsid w:val="0047190B"/>
    <w:rsid w:val="00471916"/>
    <w:rsid w:val="004719B6"/>
    <w:rsid w:val="004719D4"/>
    <w:rsid w:val="00471AE3"/>
    <w:rsid w:val="00471AFB"/>
    <w:rsid w:val="00471B10"/>
    <w:rsid w:val="00471B24"/>
    <w:rsid w:val="00471BF4"/>
    <w:rsid w:val="00471C08"/>
    <w:rsid w:val="00471C65"/>
    <w:rsid w:val="00471C75"/>
    <w:rsid w:val="00471C7B"/>
    <w:rsid w:val="00471D03"/>
    <w:rsid w:val="00471D44"/>
    <w:rsid w:val="00471DD9"/>
    <w:rsid w:val="00471DF8"/>
    <w:rsid w:val="00471E38"/>
    <w:rsid w:val="00471EA5"/>
    <w:rsid w:val="00471F33"/>
    <w:rsid w:val="00471F89"/>
    <w:rsid w:val="00471FBE"/>
    <w:rsid w:val="00471FEC"/>
    <w:rsid w:val="00472153"/>
    <w:rsid w:val="00472203"/>
    <w:rsid w:val="0047222D"/>
    <w:rsid w:val="00472233"/>
    <w:rsid w:val="00472284"/>
    <w:rsid w:val="00472299"/>
    <w:rsid w:val="004722A7"/>
    <w:rsid w:val="00472328"/>
    <w:rsid w:val="0047232D"/>
    <w:rsid w:val="00472349"/>
    <w:rsid w:val="00472351"/>
    <w:rsid w:val="00472356"/>
    <w:rsid w:val="0047237B"/>
    <w:rsid w:val="00472448"/>
    <w:rsid w:val="00472454"/>
    <w:rsid w:val="00472476"/>
    <w:rsid w:val="004724D8"/>
    <w:rsid w:val="0047252D"/>
    <w:rsid w:val="00472608"/>
    <w:rsid w:val="0047267A"/>
    <w:rsid w:val="0047268C"/>
    <w:rsid w:val="004726AD"/>
    <w:rsid w:val="004726DA"/>
    <w:rsid w:val="004726F7"/>
    <w:rsid w:val="00472806"/>
    <w:rsid w:val="0047280C"/>
    <w:rsid w:val="0047281D"/>
    <w:rsid w:val="00472879"/>
    <w:rsid w:val="0047288C"/>
    <w:rsid w:val="004728F3"/>
    <w:rsid w:val="004729AB"/>
    <w:rsid w:val="00472A7C"/>
    <w:rsid w:val="00472AF9"/>
    <w:rsid w:val="00472B25"/>
    <w:rsid w:val="00472B79"/>
    <w:rsid w:val="00472BBD"/>
    <w:rsid w:val="00472C6D"/>
    <w:rsid w:val="00472CD3"/>
    <w:rsid w:val="00472D3A"/>
    <w:rsid w:val="00472DA7"/>
    <w:rsid w:val="00472FBB"/>
    <w:rsid w:val="00472FCE"/>
    <w:rsid w:val="00472FD4"/>
    <w:rsid w:val="00473030"/>
    <w:rsid w:val="00473056"/>
    <w:rsid w:val="004730E3"/>
    <w:rsid w:val="004730F4"/>
    <w:rsid w:val="0047316C"/>
    <w:rsid w:val="0047319D"/>
    <w:rsid w:val="004731A1"/>
    <w:rsid w:val="004735B0"/>
    <w:rsid w:val="00473696"/>
    <w:rsid w:val="004736D8"/>
    <w:rsid w:val="0047377C"/>
    <w:rsid w:val="004737B6"/>
    <w:rsid w:val="004737CE"/>
    <w:rsid w:val="00473812"/>
    <w:rsid w:val="0047381E"/>
    <w:rsid w:val="00473881"/>
    <w:rsid w:val="004738A1"/>
    <w:rsid w:val="004738D9"/>
    <w:rsid w:val="0047393A"/>
    <w:rsid w:val="00473982"/>
    <w:rsid w:val="004739B7"/>
    <w:rsid w:val="004739C8"/>
    <w:rsid w:val="00473A06"/>
    <w:rsid w:val="00473A3A"/>
    <w:rsid w:val="00473A56"/>
    <w:rsid w:val="00473A6D"/>
    <w:rsid w:val="00473AAA"/>
    <w:rsid w:val="00473ACC"/>
    <w:rsid w:val="00473B09"/>
    <w:rsid w:val="00473BA6"/>
    <w:rsid w:val="00473BD9"/>
    <w:rsid w:val="00473BDF"/>
    <w:rsid w:val="00473C19"/>
    <w:rsid w:val="00473CA9"/>
    <w:rsid w:val="00473CC4"/>
    <w:rsid w:val="00473D08"/>
    <w:rsid w:val="00473D35"/>
    <w:rsid w:val="00474047"/>
    <w:rsid w:val="0047408F"/>
    <w:rsid w:val="0047409B"/>
    <w:rsid w:val="00474102"/>
    <w:rsid w:val="00474136"/>
    <w:rsid w:val="0047416A"/>
    <w:rsid w:val="0047416B"/>
    <w:rsid w:val="00474198"/>
    <w:rsid w:val="004741FF"/>
    <w:rsid w:val="0047420D"/>
    <w:rsid w:val="004742C1"/>
    <w:rsid w:val="004742FE"/>
    <w:rsid w:val="00474331"/>
    <w:rsid w:val="0047438B"/>
    <w:rsid w:val="004743AD"/>
    <w:rsid w:val="004743BB"/>
    <w:rsid w:val="004743CA"/>
    <w:rsid w:val="00474460"/>
    <w:rsid w:val="004744C9"/>
    <w:rsid w:val="00474520"/>
    <w:rsid w:val="004745B5"/>
    <w:rsid w:val="004745CF"/>
    <w:rsid w:val="00474638"/>
    <w:rsid w:val="00474669"/>
    <w:rsid w:val="004746B8"/>
    <w:rsid w:val="004746EF"/>
    <w:rsid w:val="00474812"/>
    <w:rsid w:val="00474858"/>
    <w:rsid w:val="0047485D"/>
    <w:rsid w:val="004748AD"/>
    <w:rsid w:val="004748E9"/>
    <w:rsid w:val="004748F0"/>
    <w:rsid w:val="00474923"/>
    <w:rsid w:val="0047492C"/>
    <w:rsid w:val="00474A19"/>
    <w:rsid w:val="00474A1D"/>
    <w:rsid w:val="00474AE5"/>
    <w:rsid w:val="00474C8B"/>
    <w:rsid w:val="00474CC3"/>
    <w:rsid w:val="00474DB9"/>
    <w:rsid w:val="00474DDC"/>
    <w:rsid w:val="00474E8C"/>
    <w:rsid w:val="00474EA3"/>
    <w:rsid w:val="00474EC7"/>
    <w:rsid w:val="00474EED"/>
    <w:rsid w:val="00474F13"/>
    <w:rsid w:val="00474F93"/>
    <w:rsid w:val="00475032"/>
    <w:rsid w:val="00475070"/>
    <w:rsid w:val="004750A2"/>
    <w:rsid w:val="004750B3"/>
    <w:rsid w:val="004750CD"/>
    <w:rsid w:val="0047514B"/>
    <w:rsid w:val="0047524A"/>
    <w:rsid w:val="0047525F"/>
    <w:rsid w:val="00475264"/>
    <w:rsid w:val="004753AC"/>
    <w:rsid w:val="0047546B"/>
    <w:rsid w:val="00475509"/>
    <w:rsid w:val="00475669"/>
    <w:rsid w:val="004756DD"/>
    <w:rsid w:val="0047571B"/>
    <w:rsid w:val="0047572E"/>
    <w:rsid w:val="00475757"/>
    <w:rsid w:val="0047575D"/>
    <w:rsid w:val="004757DC"/>
    <w:rsid w:val="00475811"/>
    <w:rsid w:val="00475812"/>
    <w:rsid w:val="00475838"/>
    <w:rsid w:val="00475839"/>
    <w:rsid w:val="004758E1"/>
    <w:rsid w:val="00475935"/>
    <w:rsid w:val="00475962"/>
    <w:rsid w:val="00475984"/>
    <w:rsid w:val="004759C2"/>
    <w:rsid w:val="004759CC"/>
    <w:rsid w:val="004759F4"/>
    <w:rsid w:val="004759F7"/>
    <w:rsid w:val="00475AED"/>
    <w:rsid w:val="00475BAD"/>
    <w:rsid w:val="00475BDC"/>
    <w:rsid w:val="00475C5B"/>
    <w:rsid w:val="00475CEF"/>
    <w:rsid w:val="00475D5F"/>
    <w:rsid w:val="00475DE7"/>
    <w:rsid w:val="00475DEF"/>
    <w:rsid w:val="00475E1F"/>
    <w:rsid w:val="00475E75"/>
    <w:rsid w:val="00475EC0"/>
    <w:rsid w:val="00475EE8"/>
    <w:rsid w:val="00475FD6"/>
    <w:rsid w:val="00475FEF"/>
    <w:rsid w:val="004760AE"/>
    <w:rsid w:val="004760F5"/>
    <w:rsid w:val="0047612F"/>
    <w:rsid w:val="00476148"/>
    <w:rsid w:val="00476180"/>
    <w:rsid w:val="004761A5"/>
    <w:rsid w:val="0047624C"/>
    <w:rsid w:val="0047625C"/>
    <w:rsid w:val="0047625F"/>
    <w:rsid w:val="004762B1"/>
    <w:rsid w:val="004762DC"/>
    <w:rsid w:val="00476319"/>
    <w:rsid w:val="0047633A"/>
    <w:rsid w:val="004763DE"/>
    <w:rsid w:val="0047644E"/>
    <w:rsid w:val="00476457"/>
    <w:rsid w:val="00476481"/>
    <w:rsid w:val="004764FA"/>
    <w:rsid w:val="00476581"/>
    <w:rsid w:val="00476653"/>
    <w:rsid w:val="00476719"/>
    <w:rsid w:val="004767B3"/>
    <w:rsid w:val="00476837"/>
    <w:rsid w:val="00476852"/>
    <w:rsid w:val="00476962"/>
    <w:rsid w:val="00476977"/>
    <w:rsid w:val="00476ADB"/>
    <w:rsid w:val="00476AEA"/>
    <w:rsid w:val="00476AED"/>
    <w:rsid w:val="00476B29"/>
    <w:rsid w:val="00476BBE"/>
    <w:rsid w:val="00476BC4"/>
    <w:rsid w:val="00476BD4"/>
    <w:rsid w:val="00476BE0"/>
    <w:rsid w:val="00476BF9"/>
    <w:rsid w:val="00476C21"/>
    <w:rsid w:val="00476C43"/>
    <w:rsid w:val="00476C66"/>
    <w:rsid w:val="00476CC6"/>
    <w:rsid w:val="00476CDB"/>
    <w:rsid w:val="00476CE7"/>
    <w:rsid w:val="00476D33"/>
    <w:rsid w:val="00476DAC"/>
    <w:rsid w:val="00476DD3"/>
    <w:rsid w:val="00476DF6"/>
    <w:rsid w:val="00476E20"/>
    <w:rsid w:val="00476EA5"/>
    <w:rsid w:val="00476F0C"/>
    <w:rsid w:val="00476FAE"/>
    <w:rsid w:val="00477109"/>
    <w:rsid w:val="0047718D"/>
    <w:rsid w:val="004771BC"/>
    <w:rsid w:val="004771F4"/>
    <w:rsid w:val="00477200"/>
    <w:rsid w:val="0047728F"/>
    <w:rsid w:val="004772A3"/>
    <w:rsid w:val="00477305"/>
    <w:rsid w:val="0047736A"/>
    <w:rsid w:val="00477457"/>
    <w:rsid w:val="004775C1"/>
    <w:rsid w:val="004775E7"/>
    <w:rsid w:val="004776A5"/>
    <w:rsid w:val="004776B9"/>
    <w:rsid w:val="00477715"/>
    <w:rsid w:val="0047771B"/>
    <w:rsid w:val="0047776D"/>
    <w:rsid w:val="00477842"/>
    <w:rsid w:val="00477889"/>
    <w:rsid w:val="00477915"/>
    <w:rsid w:val="00477940"/>
    <w:rsid w:val="00477941"/>
    <w:rsid w:val="00477982"/>
    <w:rsid w:val="00477A66"/>
    <w:rsid w:val="00477A7C"/>
    <w:rsid w:val="00477B23"/>
    <w:rsid w:val="00477B47"/>
    <w:rsid w:val="00477B4C"/>
    <w:rsid w:val="00477BB4"/>
    <w:rsid w:val="00477BCA"/>
    <w:rsid w:val="00477C28"/>
    <w:rsid w:val="00477C9F"/>
    <w:rsid w:val="00477CD9"/>
    <w:rsid w:val="00477D07"/>
    <w:rsid w:val="00477D30"/>
    <w:rsid w:val="00477D3E"/>
    <w:rsid w:val="00477D40"/>
    <w:rsid w:val="00477D7C"/>
    <w:rsid w:val="00477DBF"/>
    <w:rsid w:val="00477DE6"/>
    <w:rsid w:val="00477E3C"/>
    <w:rsid w:val="00477E49"/>
    <w:rsid w:val="00477E5B"/>
    <w:rsid w:val="00477F24"/>
    <w:rsid w:val="00477F5E"/>
    <w:rsid w:val="00477FD1"/>
    <w:rsid w:val="0048009E"/>
    <w:rsid w:val="004800C2"/>
    <w:rsid w:val="004800C8"/>
    <w:rsid w:val="00480101"/>
    <w:rsid w:val="00480182"/>
    <w:rsid w:val="0048018F"/>
    <w:rsid w:val="004802CE"/>
    <w:rsid w:val="00480347"/>
    <w:rsid w:val="0048034A"/>
    <w:rsid w:val="0048037E"/>
    <w:rsid w:val="004803A2"/>
    <w:rsid w:val="0048041C"/>
    <w:rsid w:val="0048043F"/>
    <w:rsid w:val="00480501"/>
    <w:rsid w:val="00480555"/>
    <w:rsid w:val="00480590"/>
    <w:rsid w:val="004805FC"/>
    <w:rsid w:val="0048063D"/>
    <w:rsid w:val="00480664"/>
    <w:rsid w:val="0048067B"/>
    <w:rsid w:val="00480699"/>
    <w:rsid w:val="004806A6"/>
    <w:rsid w:val="004806AF"/>
    <w:rsid w:val="0048070C"/>
    <w:rsid w:val="00480712"/>
    <w:rsid w:val="004807A5"/>
    <w:rsid w:val="004807C3"/>
    <w:rsid w:val="00480926"/>
    <w:rsid w:val="00480932"/>
    <w:rsid w:val="0048097B"/>
    <w:rsid w:val="004809D8"/>
    <w:rsid w:val="00480A27"/>
    <w:rsid w:val="00480A7D"/>
    <w:rsid w:val="00480A92"/>
    <w:rsid w:val="00480A98"/>
    <w:rsid w:val="00480AE1"/>
    <w:rsid w:val="00480B43"/>
    <w:rsid w:val="00480B7B"/>
    <w:rsid w:val="00480BF9"/>
    <w:rsid w:val="00480C2F"/>
    <w:rsid w:val="00480C4E"/>
    <w:rsid w:val="00480CF0"/>
    <w:rsid w:val="00480D42"/>
    <w:rsid w:val="00480D6F"/>
    <w:rsid w:val="00480E34"/>
    <w:rsid w:val="00480EEB"/>
    <w:rsid w:val="00480F33"/>
    <w:rsid w:val="00480F7F"/>
    <w:rsid w:val="00480F91"/>
    <w:rsid w:val="00481039"/>
    <w:rsid w:val="0048108A"/>
    <w:rsid w:val="00481155"/>
    <w:rsid w:val="004811B4"/>
    <w:rsid w:val="00481251"/>
    <w:rsid w:val="0048129F"/>
    <w:rsid w:val="004812B6"/>
    <w:rsid w:val="004812DE"/>
    <w:rsid w:val="004812E9"/>
    <w:rsid w:val="00481338"/>
    <w:rsid w:val="00481396"/>
    <w:rsid w:val="0048140F"/>
    <w:rsid w:val="0048149D"/>
    <w:rsid w:val="004814A0"/>
    <w:rsid w:val="004814C2"/>
    <w:rsid w:val="004814CA"/>
    <w:rsid w:val="004814FF"/>
    <w:rsid w:val="004815B1"/>
    <w:rsid w:val="004815B4"/>
    <w:rsid w:val="004815EB"/>
    <w:rsid w:val="00481642"/>
    <w:rsid w:val="0048168C"/>
    <w:rsid w:val="004816A3"/>
    <w:rsid w:val="0048173D"/>
    <w:rsid w:val="004817A8"/>
    <w:rsid w:val="004817B1"/>
    <w:rsid w:val="0048186D"/>
    <w:rsid w:val="004818BE"/>
    <w:rsid w:val="00481927"/>
    <w:rsid w:val="0048196D"/>
    <w:rsid w:val="00481971"/>
    <w:rsid w:val="004819AE"/>
    <w:rsid w:val="004819BF"/>
    <w:rsid w:val="004819ED"/>
    <w:rsid w:val="00481ABF"/>
    <w:rsid w:val="00481AE9"/>
    <w:rsid w:val="00481B88"/>
    <w:rsid w:val="00481BFD"/>
    <w:rsid w:val="00481C35"/>
    <w:rsid w:val="00481C54"/>
    <w:rsid w:val="00481C85"/>
    <w:rsid w:val="00481D3F"/>
    <w:rsid w:val="00481E56"/>
    <w:rsid w:val="00481EFB"/>
    <w:rsid w:val="00481F13"/>
    <w:rsid w:val="00481F42"/>
    <w:rsid w:val="00481F57"/>
    <w:rsid w:val="00481F77"/>
    <w:rsid w:val="00482036"/>
    <w:rsid w:val="0048203D"/>
    <w:rsid w:val="004820C9"/>
    <w:rsid w:val="00482117"/>
    <w:rsid w:val="00482148"/>
    <w:rsid w:val="0048214A"/>
    <w:rsid w:val="004821D7"/>
    <w:rsid w:val="00482219"/>
    <w:rsid w:val="00482264"/>
    <w:rsid w:val="0048232B"/>
    <w:rsid w:val="00482377"/>
    <w:rsid w:val="00482389"/>
    <w:rsid w:val="004823F5"/>
    <w:rsid w:val="00482411"/>
    <w:rsid w:val="004824BD"/>
    <w:rsid w:val="004824FD"/>
    <w:rsid w:val="004825D3"/>
    <w:rsid w:val="004825E7"/>
    <w:rsid w:val="0048264D"/>
    <w:rsid w:val="00482683"/>
    <w:rsid w:val="00482695"/>
    <w:rsid w:val="0048269A"/>
    <w:rsid w:val="004826B4"/>
    <w:rsid w:val="0048270B"/>
    <w:rsid w:val="00482781"/>
    <w:rsid w:val="004827E9"/>
    <w:rsid w:val="004828FB"/>
    <w:rsid w:val="00482959"/>
    <w:rsid w:val="0048296C"/>
    <w:rsid w:val="004829B0"/>
    <w:rsid w:val="004829C7"/>
    <w:rsid w:val="004829CF"/>
    <w:rsid w:val="004829E8"/>
    <w:rsid w:val="00482A0D"/>
    <w:rsid w:val="00482B5C"/>
    <w:rsid w:val="00482C17"/>
    <w:rsid w:val="00482C3B"/>
    <w:rsid w:val="00482D11"/>
    <w:rsid w:val="00482D31"/>
    <w:rsid w:val="00482D87"/>
    <w:rsid w:val="00482DA9"/>
    <w:rsid w:val="00482E0C"/>
    <w:rsid w:val="00482E70"/>
    <w:rsid w:val="00482E94"/>
    <w:rsid w:val="00482EA7"/>
    <w:rsid w:val="00482EDB"/>
    <w:rsid w:val="00482EE8"/>
    <w:rsid w:val="00482F02"/>
    <w:rsid w:val="00482F0A"/>
    <w:rsid w:val="00482FA3"/>
    <w:rsid w:val="00482FE7"/>
    <w:rsid w:val="0048313A"/>
    <w:rsid w:val="00483160"/>
    <w:rsid w:val="004831B5"/>
    <w:rsid w:val="004831F9"/>
    <w:rsid w:val="00483286"/>
    <w:rsid w:val="00483291"/>
    <w:rsid w:val="004832B3"/>
    <w:rsid w:val="004832F2"/>
    <w:rsid w:val="0048338F"/>
    <w:rsid w:val="004833CD"/>
    <w:rsid w:val="004833F3"/>
    <w:rsid w:val="004833FF"/>
    <w:rsid w:val="004834B9"/>
    <w:rsid w:val="0048357D"/>
    <w:rsid w:val="00483606"/>
    <w:rsid w:val="004836B0"/>
    <w:rsid w:val="004836E8"/>
    <w:rsid w:val="0048370B"/>
    <w:rsid w:val="0048378F"/>
    <w:rsid w:val="004837CE"/>
    <w:rsid w:val="00483812"/>
    <w:rsid w:val="00483925"/>
    <w:rsid w:val="00483A1C"/>
    <w:rsid w:val="00483A5B"/>
    <w:rsid w:val="00483A5E"/>
    <w:rsid w:val="00483A79"/>
    <w:rsid w:val="00483BC6"/>
    <w:rsid w:val="00483BF9"/>
    <w:rsid w:val="00483CB9"/>
    <w:rsid w:val="00483D16"/>
    <w:rsid w:val="00483D63"/>
    <w:rsid w:val="00483DC7"/>
    <w:rsid w:val="00483DD6"/>
    <w:rsid w:val="00483E44"/>
    <w:rsid w:val="00483E50"/>
    <w:rsid w:val="00483F17"/>
    <w:rsid w:val="00484009"/>
    <w:rsid w:val="00484014"/>
    <w:rsid w:val="0048402C"/>
    <w:rsid w:val="0048405C"/>
    <w:rsid w:val="004840B3"/>
    <w:rsid w:val="00484159"/>
    <w:rsid w:val="0048415B"/>
    <w:rsid w:val="004842DA"/>
    <w:rsid w:val="004842F8"/>
    <w:rsid w:val="00484382"/>
    <w:rsid w:val="0048440A"/>
    <w:rsid w:val="00484423"/>
    <w:rsid w:val="00484435"/>
    <w:rsid w:val="00484457"/>
    <w:rsid w:val="004844E5"/>
    <w:rsid w:val="0048461B"/>
    <w:rsid w:val="0048468B"/>
    <w:rsid w:val="004846AB"/>
    <w:rsid w:val="004846CD"/>
    <w:rsid w:val="00484749"/>
    <w:rsid w:val="004847C1"/>
    <w:rsid w:val="004847FC"/>
    <w:rsid w:val="0048483E"/>
    <w:rsid w:val="004848CF"/>
    <w:rsid w:val="004849B1"/>
    <w:rsid w:val="00484A0E"/>
    <w:rsid w:val="00484A30"/>
    <w:rsid w:val="00484AD6"/>
    <w:rsid w:val="00484B2D"/>
    <w:rsid w:val="00484B5C"/>
    <w:rsid w:val="00484BA2"/>
    <w:rsid w:val="00484C85"/>
    <w:rsid w:val="00484CB9"/>
    <w:rsid w:val="00484D43"/>
    <w:rsid w:val="00484DA6"/>
    <w:rsid w:val="00484E21"/>
    <w:rsid w:val="00484E59"/>
    <w:rsid w:val="00484F53"/>
    <w:rsid w:val="00484FF5"/>
    <w:rsid w:val="00485020"/>
    <w:rsid w:val="00485098"/>
    <w:rsid w:val="004850FB"/>
    <w:rsid w:val="004851BC"/>
    <w:rsid w:val="004851D0"/>
    <w:rsid w:val="00485270"/>
    <w:rsid w:val="004852E1"/>
    <w:rsid w:val="004852EA"/>
    <w:rsid w:val="00485333"/>
    <w:rsid w:val="00485362"/>
    <w:rsid w:val="004853EE"/>
    <w:rsid w:val="00485411"/>
    <w:rsid w:val="00485415"/>
    <w:rsid w:val="00485464"/>
    <w:rsid w:val="00485569"/>
    <w:rsid w:val="004855CC"/>
    <w:rsid w:val="004855CD"/>
    <w:rsid w:val="004855DC"/>
    <w:rsid w:val="0048563A"/>
    <w:rsid w:val="00485669"/>
    <w:rsid w:val="00485671"/>
    <w:rsid w:val="0048569E"/>
    <w:rsid w:val="0048571C"/>
    <w:rsid w:val="0048578F"/>
    <w:rsid w:val="004857A1"/>
    <w:rsid w:val="004857B8"/>
    <w:rsid w:val="00485801"/>
    <w:rsid w:val="0048583F"/>
    <w:rsid w:val="00485856"/>
    <w:rsid w:val="004858CB"/>
    <w:rsid w:val="00485914"/>
    <w:rsid w:val="00485940"/>
    <w:rsid w:val="004859B2"/>
    <w:rsid w:val="004859F9"/>
    <w:rsid w:val="00485A0B"/>
    <w:rsid w:val="00485B1B"/>
    <w:rsid w:val="00485B2F"/>
    <w:rsid w:val="00485B87"/>
    <w:rsid w:val="00485BC8"/>
    <w:rsid w:val="00485BF9"/>
    <w:rsid w:val="00485C20"/>
    <w:rsid w:val="00485C56"/>
    <w:rsid w:val="00485CEE"/>
    <w:rsid w:val="00485D26"/>
    <w:rsid w:val="00485D7A"/>
    <w:rsid w:val="00485DB6"/>
    <w:rsid w:val="00485E68"/>
    <w:rsid w:val="00485E9F"/>
    <w:rsid w:val="00485EFA"/>
    <w:rsid w:val="00485F30"/>
    <w:rsid w:val="00485F3B"/>
    <w:rsid w:val="00485F89"/>
    <w:rsid w:val="00485FFF"/>
    <w:rsid w:val="00486053"/>
    <w:rsid w:val="0048609E"/>
    <w:rsid w:val="004860CF"/>
    <w:rsid w:val="004860FE"/>
    <w:rsid w:val="0048614B"/>
    <w:rsid w:val="004861AA"/>
    <w:rsid w:val="0048620D"/>
    <w:rsid w:val="00486220"/>
    <w:rsid w:val="00486223"/>
    <w:rsid w:val="004862FD"/>
    <w:rsid w:val="00486345"/>
    <w:rsid w:val="00486424"/>
    <w:rsid w:val="00486490"/>
    <w:rsid w:val="0048652A"/>
    <w:rsid w:val="00486670"/>
    <w:rsid w:val="004866B9"/>
    <w:rsid w:val="004866C4"/>
    <w:rsid w:val="00486719"/>
    <w:rsid w:val="00486722"/>
    <w:rsid w:val="004867E1"/>
    <w:rsid w:val="0048680D"/>
    <w:rsid w:val="00486814"/>
    <w:rsid w:val="0048688D"/>
    <w:rsid w:val="004868C6"/>
    <w:rsid w:val="00486940"/>
    <w:rsid w:val="004869E6"/>
    <w:rsid w:val="00486A2C"/>
    <w:rsid w:val="00486A62"/>
    <w:rsid w:val="00486A8A"/>
    <w:rsid w:val="00486AF6"/>
    <w:rsid w:val="00486AF9"/>
    <w:rsid w:val="00486B20"/>
    <w:rsid w:val="00486B79"/>
    <w:rsid w:val="00486BBE"/>
    <w:rsid w:val="00486BF6"/>
    <w:rsid w:val="00486D9F"/>
    <w:rsid w:val="00486DB8"/>
    <w:rsid w:val="00486E54"/>
    <w:rsid w:val="00486E59"/>
    <w:rsid w:val="00486E73"/>
    <w:rsid w:val="00486E95"/>
    <w:rsid w:val="00486EC4"/>
    <w:rsid w:val="00486EE3"/>
    <w:rsid w:val="00486EFC"/>
    <w:rsid w:val="00486EFE"/>
    <w:rsid w:val="00486F73"/>
    <w:rsid w:val="00487026"/>
    <w:rsid w:val="00487034"/>
    <w:rsid w:val="0048704C"/>
    <w:rsid w:val="0048709B"/>
    <w:rsid w:val="004870BB"/>
    <w:rsid w:val="004870C3"/>
    <w:rsid w:val="004870F4"/>
    <w:rsid w:val="00487172"/>
    <w:rsid w:val="004871C5"/>
    <w:rsid w:val="004871D4"/>
    <w:rsid w:val="00487220"/>
    <w:rsid w:val="0048725E"/>
    <w:rsid w:val="0048729E"/>
    <w:rsid w:val="00487301"/>
    <w:rsid w:val="00487372"/>
    <w:rsid w:val="004873C3"/>
    <w:rsid w:val="004873D8"/>
    <w:rsid w:val="004873F4"/>
    <w:rsid w:val="00487409"/>
    <w:rsid w:val="00487492"/>
    <w:rsid w:val="0048757B"/>
    <w:rsid w:val="00487589"/>
    <w:rsid w:val="00487617"/>
    <w:rsid w:val="0048767C"/>
    <w:rsid w:val="0048770C"/>
    <w:rsid w:val="0048772C"/>
    <w:rsid w:val="00487758"/>
    <w:rsid w:val="00487915"/>
    <w:rsid w:val="00487AC1"/>
    <w:rsid w:val="00487ACE"/>
    <w:rsid w:val="00487AE4"/>
    <w:rsid w:val="00487B0D"/>
    <w:rsid w:val="00487D0B"/>
    <w:rsid w:val="00487D0C"/>
    <w:rsid w:val="00487D23"/>
    <w:rsid w:val="00487D39"/>
    <w:rsid w:val="00487D7F"/>
    <w:rsid w:val="00487DF9"/>
    <w:rsid w:val="00487E08"/>
    <w:rsid w:val="00487ED6"/>
    <w:rsid w:val="00487F80"/>
    <w:rsid w:val="00487F91"/>
    <w:rsid w:val="00487FE9"/>
    <w:rsid w:val="00487FF4"/>
    <w:rsid w:val="00490021"/>
    <w:rsid w:val="004900DF"/>
    <w:rsid w:val="0049019F"/>
    <w:rsid w:val="00490205"/>
    <w:rsid w:val="004902CA"/>
    <w:rsid w:val="00490337"/>
    <w:rsid w:val="0049037E"/>
    <w:rsid w:val="00490393"/>
    <w:rsid w:val="004903D5"/>
    <w:rsid w:val="00490435"/>
    <w:rsid w:val="004904A2"/>
    <w:rsid w:val="004904E0"/>
    <w:rsid w:val="004904E8"/>
    <w:rsid w:val="004905C4"/>
    <w:rsid w:val="00490622"/>
    <w:rsid w:val="00490634"/>
    <w:rsid w:val="00490638"/>
    <w:rsid w:val="00490655"/>
    <w:rsid w:val="00490699"/>
    <w:rsid w:val="00490775"/>
    <w:rsid w:val="00490862"/>
    <w:rsid w:val="004908E4"/>
    <w:rsid w:val="00490949"/>
    <w:rsid w:val="00490A26"/>
    <w:rsid w:val="00490A74"/>
    <w:rsid w:val="00490AC7"/>
    <w:rsid w:val="00490B10"/>
    <w:rsid w:val="00490B78"/>
    <w:rsid w:val="00490B89"/>
    <w:rsid w:val="00490BF9"/>
    <w:rsid w:val="00490C15"/>
    <w:rsid w:val="00490D0D"/>
    <w:rsid w:val="00490D28"/>
    <w:rsid w:val="00490D2D"/>
    <w:rsid w:val="00490D47"/>
    <w:rsid w:val="00490D52"/>
    <w:rsid w:val="00490D71"/>
    <w:rsid w:val="00490DB5"/>
    <w:rsid w:val="00490DCE"/>
    <w:rsid w:val="00490DF3"/>
    <w:rsid w:val="00490E65"/>
    <w:rsid w:val="00490E9B"/>
    <w:rsid w:val="00490EBC"/>
    <w:rsid w:val="00490F77"/>
    <w:rsid w:val="00491089"/>
    <w:rsid w:val="0049117E"/>
    <w:rsid w:val="0049119E"/>
    <w:rsid w:val="004911F1"/>
    <w:rsid w:val="00491204"/>
    <w:rsid w:val="00491223"/>
    <w:rsid w:val="00491255"/>
    <w:rsid w:val="00491358"/>
    <w:rsid w:val="00491404"/>
    <w:rsid w:val="00491420"/>
    <w:rsid w:val="0049145B"/>
    <w:rsid w:val="00491509"/>
    <w:rsid w:val="00491576"/>
    <w:rsid w:val="00491592"/>
    <w:rsid w:val="004915B3"/>
    <w:rsid w:val="00491612"/>
    <w:rsid w:val="00491630"/>
    <w:rsid w:val="00491645"/>
    <w:rsid w:val="004916FA"/>
    <w:rsid w:val="00491750"/>
    <w:rsid w:val="00491865"/>
    <w:rsid w:val="0049197B"/>
    <w:rsid w:val="00491997"/>
    <w:rsid w:val="00491A02"/>
    <w:rsid w:val="00491A19"/>
    <w:rsid w:val="00491B26"/>
    <w:rsid w:val="00491B49"/>
    <w:rsid w:val="00491B9B"/>
    <w:rsid w:val="00491BA1"/>
    <w:rsid w:val="00491BAE"/>
    <w:rsid w:val="00491C72"/>
    <w:rsid w:val="00491CC7"/>
    <w:rsid w:val="00491D27"/>
    <w:rsid w:val="00491D79"/>
    <w:rsid w:val="00491DB1"/>
    <w:rsid w:val="00491DB2"/>
    <w:rsid w:val="00491F40"/>
    <w:rsid w:val="00491FE2"/>
    <w:rsid w:val="0049201D"/>
    <w:rsid w:val="0049204A"/>
    <w:rsid w:val="00492091"/>
    <w:rsid w:val="00492094"/>
    <w:rsid w:val="0049216D"/>
    <w:rsid w:val="004921E2"/>
    <w:rsid w:val="004922CB"/>
    <w:rsid w:val="00492322"/>
    <w:rsid w:val="004923F5"/>
    <w:rsid w:val="00492437"/>
    <w:rsid w:val="0049246F"/>
    <w:rsid w:val="0049247B"/>
    <w:rsid w:val="00492498"/>
    <w:rsid w:val="004925AB"/>
    <w:rsid w:val="004926D5"/>
    <w:rsid w:val="00492703"/>
    <w:rsid w:val="00492719"/>
    <w:rsid w:val="0049275C"/>
    <w:rsid w:val="004927B0"/>
    <w:rsid w:val="00492818"/>
    <w:rsid w:val="00492842"/>
    <w:rsid w:val="0049289D"/>
    <w:rsid w:val="004928B7"/>
    <w:rsid w:val="004928D1"/>
    <w:rsid w:val="0049294C"/>
    <w:rsid w:val="00492954"/>
    <w:rsid w:val="00492985"/>
    <w:rsid w:val="004929DA"/>
    <w:rsid w:val="00492ABA"/>
    <w:rsid w:val="00492B6D"/>
    <w:rsid w:val="00492BBD"/>
    <w:rsid w:val="00492BBF"/>
    <w:rsid w:val="00492C12"/>
    <w:rsid w:val="00492C69"/>
    <w:rsid w:val="00492E1A"/>
    <w:rsid w:val="00492E5E"/>
    <w:rsid w:val="00492E61"/>
    <w:rsid w:val="00492F21"/>
    <w:rsid w:val="00492F6A"/>
    <w:rsid w:val="00492F91"/>
    <w:rsid w:val="0049308A"/>
    <w:rsid w:val="004930E6"/>
    <w:rsid w:val="00493162"/>
    <w:rsid w:val="004931DA"/>
    <w:rsid w:val="004932D4"/>
    <w:rsid w:val="00493309"/>
    <w:rsid w:val="0049330D"/>
    <w:rsid w:val="004933A5"/>
    <w:rsid w:val="004933CC"/>
    <w:rsid w:val="00493485"/>
    <w:rsid w:val="004934E3"/>
    <w:rsid w:val="0049350F"/>
    <w:rsid w:val="004935A3"/>
    <w:rsid w:val="004935A8"/>
    <w:rsid w:val="004935AE"/>
    <w:rsid w:val="00493645"/>
    <w:rsid w:val="00493690"/>
    <w:rsid w:val="004936BB"/>
    <w:rsid w:val="00493706"/>
    <w:rsid w:val="00493721"/>
    <w:rsid w:val="00493769"/>
    <w:rsid w:val="004937CA"/>
    <w:rsid w:val="004937EB"/>
    <w:rsid w:val="004937F8"/>
    <w:rsid w:val="00493839"/>
    <w:rsid w:val="00493856"/>
    <w:rsid w:val="00493875"/>
    <w:rsid w:val="0049392C"/>
    <w:rsid w:val="00493995"/>
    <w:rsid w:val="004939F3"/>
    <w:rsid w:val="00493A04"/>
    <w:rsid w:val="00493A63"/>
    <w:rsid w:val="00493B15"/>
    <w:rsid w:val="00493BA3"/>
    <w:rsid w:val="00493C3E"/>
    <w:rsid w:val="00493D64"/>
    <w:rsid w:val="00493DFF"/>
    <w:rsid w:val="00493E33"/>
    <w:rsid w:val="00493F0F"/>
    <w:rsid w:val="00493F51"/>
    <w:rsid w:val="00493FA8"/>
    <w:rsid w:val="00494022"/>
    <w:rsid w:val="00494047"/>
    <w:rsid w:val="004940FC"/>
    <w:rsid w:val="004941B9"/>
    <w:rsid w:val="004941E6"/>
    <w:rsid w:val="0049421A"/>
    <w:rsid w:val="004942FD"/>
    <w:rsid w:val="0049431D"/>
    <w:rsid w:val="0049440A"/>
    <w:rsid w:val="00494434"/>
    <w:rsid w:val="0049448D"/>
    <w:rsid w:val="00494496"/>
    <w:rsid w:val="0049450B"/>
    <w:rsid w:val="0049451E"/>
    <w:rsid w:val="00494523"/>
    <w:rsid w:val="00494533"/>
    <w:rsid w:val="00494580"/>
    <w:rsid w:val="00494585"/>
    <w:rsid w:val="004945E6"/>
    <w:rsid w:val="00494645"/>
    <w:rsid w:val="004946BE"/>
    <w:rsid w:val="004946C9"/>
    <w:rsid w:val="00494726"/>
    <w:rsid w:val="00494732"/>
    <w:rsid w:val="00494753"/>
    <w:rsid w:val="004947EB"/>
    <w:rsid w:val="00494815"/>
    <w:rsid w:val="00494877"/>
    <w:rsid w:val="004948BA"/>
    <w:rsid w:val="00494943"/>
    <w:rsid w:val="004949A9"/>
    <w:rsid w:val="00494A4D"/>
    <w:rsid w:val="00494A7E"/>
    <w:rsid w:val="00494B0D"/>
    <w:rsid w:val="00494B25"/>
    <w:rsid w:val="00494C28"/>
    <w:rsid w:val="00494D17"/>
    <w:rsid w:val="00494D9E"/>
    <w:rsid w:val="00494DC3"/>
    <w:rsid w:val="00494E16"/>
    <w:rsid w:val="00494E37"/>
    <w:rsid w:val="00494E46"/>
    <w:rsid w:val="00494E4A"/>
    <w:rsid w:val="00494E5F"/>
    <w:rsid w:val="00494E65"/>
    <w:rsid w:val="00494E74"/>
    <w:rsid w:val="00494EC5"/>
    <w:rsid w:val="00494EEA"/>
    <w:rsid w:val="00494F43"/>
    <w:rsid w:val="00494F75"/>
    <w:rsid w:val="00494F96"/>
    <w:rsid w:val="00494FC1"/>
    <w:rsid w:val="0049504E"/>
    <w:rsid w:val="00495123"/>
    <w:rsid w:val="00495156"/>
    <w:rsid w:val="0049517C"/>
    <w:rsid w:val="004951D6"/>
    <w:rsid w:val="00495346"/>
    <w:rsid w:val="00495364"/>
    <w:rsid w:val="00495367"/>
    <w:rsid w:val="00495399"/>
    <w:rsid w:val="004953BC"/>
    <w:rsid w:val="0049543B"/>
    <w:rsid w:val="0049545A"/>
    <w:rsid w:val="0049549B"/>
    <w:rsid w:val="004955AF"/>
    <w:rsid w:val="00495747"/>
    <w:rsid w:val="0049577E"/>
    <w:rsid w:val="004957C7"/>
    <w:rsid w:val="004957CA"/>
    <w:rsid w:val="004957CF"/>
    <w:rsid w:val="0049581F"/>
    <w:rsid w:val="0049585C"/>
    <w:rsid w:val="00495901"/>
    <w:rsid w:val="0049594A"/>
    <w:rsid w:val="00495B8A"/>
    <w:rsid w:val="00495BA6"/>
    <w:rsid w:val="00495BE7"/>
    <w:rsid w:val="00495CA2"/>
    <w:rsid w:val="00495CEA"/>
    <w:rsid w:val="00495D6E"/>
    <w:rsid w:val="00495E2B"/>
    <w:rsid w:val="00495E8D"/>
    <w:rsid w:val="00495F0B"/>
    <w:rsid w:val="00495F70"/>
    <w:rsid w:val="00496003"/>
    <w:rsid w:val="004960AB"/>
    <w:rsid w:val="004960D1"/>
    <w:rsid w:val="004960E4"/>
    <w:rsid w:val="004960E8"/>
    <w:rsid w:val="0049612D"/>
    <w:rsid w:val="00496181"/>
    <w:rsid w:val="004961F1"/>
    <w:rsid w:val="00496220"/>
    <w:rsid w:val="004962B7"/>
    <w:rsid w:val="004963CD"/>
    <w:rsid w:val="0049650D"/>
    <w:rsid w:val="00496517"/>
    <w:rsid w:val="00496669"/>
    <w:rsid w:val="0049669F"/>
    <w:rsid w:val="004966CF"/>
    <w:rsid w:val="00496712"/>
    <w:rsid w:val="0049677B"/>
    <w:rsid w:val="00496783"/>
    <w:rsid w:val="0049685E"/>
    <w:rsid w:val="00496893"/>
    <w:rsid w:val="00496910"/>
    <w:rsid w:val="00496939"/>
    <w:rsid w:val="004969C4"/>
    <w:rsid w:val="00496A01"/>
    <w:rsid w:val="00496A0F"/>
    <w:rsid w:val="00496A11"/>
    <w:rsid w:val="00496A9C"/>
    <w:rsid w:val="00496BB3"/>
    <w:rsid w:val="00496D02"/>
    <w:rsid w:val="00496DAA"/>
    <w:rsid w:val="00496E3E"/>
    <w:rsid w:val="00496F1C"/>
    <w:rsid w:val="00496F8C"/>
    <w:rsid w:val="00496FE9"/>
    <w:rsid w:val="00497087"/>
    <w:rsid w:val="00497185"/>
    <w:rsid w:val="004971F8"/>
    <w:rsid w:val="00497215"/>
    <w:rsid w:val="004972A7"/>
    <w:rsid w:val="004972BA"/>
    <w:rsid w:val="004972DB"/>
    <w:rsid w:val="00497363"/>
    <w:rsid w:val="00497368"/>
    <w:rsid w:val="004973AD"/>
    <w:rsid w:val="0049746B"/>
    <w:rsid w:val="0049755C"/>
    <w:rsid w:val="00497604"/>
    <w:rsid w:val="0049779D"/>
    <w:rsid w:val="0049780D"/>
    <w:rsid w:val="00497833"/>
    <w:rsid w:val="00497869"/>
    <w:rsid w:val="004978CD"/>
    <w:rsid w:val="004978F6"/>
    <w:rsid w:val="004979A0"/>
    <w:rsid w:val="004979AB"/>
    <w:rsid w:val="004979B0"/>
    <w:rsid w:val="00497A80"/>
    <w:rsid w:val="00497A8F"/>
    <w:rsid w:val="00497AA8"/>
    <w:rsid w:val="00497AD2"/>
    <w:rsid w:val="00497ADE"/>
    <w:rsid w:val="00497B0E"/>
    <w:rsid w:val="00497B29"/>
    <w:rsid w:val="00497B44"/>
    <w:rsid w:val="00497BE9"/>
    <w:rsid w:val="00497C13"/>
    <w:rsid w:val="00497C21"/>
    <w:rsid w:val="00497C46"/>
    <w:rsid w:val="00497D54"/>
    <w:rsid w:val="00497D7E"/>
    <w:rsid w:val="00497E22"/>
    <w:rsid w:val="00497E48"/>
    <w:rsid w:val="00497EBE"/>
    <w:rsid w:val="00497F60"/>
    <w:rsid w:val="00497F9B"/>
    <w:rsid w:val="00497FF7"/>
    <w:rsid w:val="004A0030"/>
    <w:rsid w:val="004A0080"/>
    <w:rsid w:val="004A0091"/>
    <w:rsid w:val="004A00BB"/>
    <w:rsid w:val="004A00F5"/>
    <w:rsid w:val="004A016A"/>
    <w:rsid w:val="004A01CE"/>
    <w:rsid w:val="004A01ED"/>
    <w:rsid w:val="004A021E"/>
    <w:rsid w:val="004A027D"/>
    <w:rsid w:val="004A02C2"/>
    <w:rsid w:val="004A0391"/>
    <w:rsid w:val="004A0400"/>
    <w:rsid w:val="004A04AF"/>
    <w:rsid w:val="004A050A"/>
    <w:rsid w:val="004A0579"/>
    <w:rsid w:val="004A057A"/>
    <w:rsid w:val="004A057E"/>
    <w:rsid w:val="004A05B0"/>
    <w:rsid w:val="004A05B1"/>
    <w:rsid w:val="004A0623"/>
    <w:rsid w:val="004A06B8"/>
    <w:rsid w:val="004A06CA"/>
    <w:rsid w:val="004A06E5"/>
    <w:rsid w:val="004A06E9"/>
    <w:rsid w:val="004A0717"/>
    <w:rsid w:val="004A071B"/>
    <w:rsid w:val="004A0724"/>
    <w:rsid w:val="004A073E"/>
    <w:rsid w:val="004A075A"/>
    <w:rsid w:val="004A0764"/>
    <w:rsid w:val="004A07CD"/>
    <w:rsid w:val="004A07D6"/>
    <w:rsid w:val="004A07DD"/>
    <w:rsid w:val="004A0828"/>
    <w:rsid w:val="004A0837"/>
    <w:rsid w:val="004A0931"/>
    <w:rsid w:val="004A0956"/>
    <w:rsid w:val="004A09E0"/>
    <w:rsid w:val="004A09E5"/>
    <w:rsid w:val="004A0A7F"/>
    <w:rsid w:val="004A0B84"/>
    <w:rsid w:val="004A0B8A"/>
    <w:rsid w:val="004A0BAA"/>
    <w:rsid w:val="004A0CA8"/>
    <w:rsid w:val="004A0CB0"/>
    <w:rsid w:val="004A0CC9"/>
    <w:rsid w:val="004A0CD0"/>
    <w:rsid w:val="004A0D67"/>
    <w:rsid w:val="004A0DC3"/>
    <w:rsid w:val="004A0E75"/>
    <w:rsid w:val="004A0F24"/>
    <w:rsid w:val="004A0F26"/>
    <w:rsid w:val="004A0F67"/>
    <w:rsid w:val="004A0FE3"/>
    <w:rsid w:val="004A105B"/>
    <w:rsid w:val="004A10A0"/>
    <w:rsid w:val="004A124E"/>
    <w:rsid w:val="004A1321"/>
    <w:rsid w:val="004A138C"/>
    <w:rsid w:val="004A13E2"/>
    <w:rsid w:val="004A13E8"/>
    <w:rsid w:val="004A1430"/>
    <w:rsid w:val="004A152A"/>
    <w:rsid w:val="004A1591"/>
    <w:rsid w:val="004A15C8"/>
    <w:rsid w:val="004A15E5"/>
    <w:rsid w:val="004A15F7"/>
    <w:rsid w:val="004A15F9"/>
    <w:rsid w:val="004A15FA"/>
    <w:rsid w:val="004A1654"/>
    <w:rsid w:val="004A16BD"/>
    <w:rsid w:val="004A1720"/>
    <w:rsid w:val="004A17F5"/>
    <w:rsid w:val="004A18A7"/>
    <w:rsid w:val="004A18C1"/>
    <w:rsid w:val="004A18E6"/>
    <w:rsid w:val="004A196E"/>
    <w:rsid w:val="004A1A03"/>
    <w:rsid w:val="004A1A06"/>
    <w:rsid w:val="004A1A53"/>
    <w:rsid w:val="004A1A7C"/>
    <w:rsid w:val="004A1AAE"/>
    <w:rsid w:val="004A1B1C"/>
    <w:rsid w:val="004A1B76"/>
    <w:rsid w:val="004A1C22"/>
    <w:rsid w:val="004A1C5F"/>
    <w:rsid w:val="004A1C6E"/>
    <w:rsid w:val="004A1CB3"/>
    <w:rsid w:val="004A1CEB"/>
    <w:rsid w:val="004A1DCA"/>
    <w:rsid w:val="004A1E5D"/>
    <w:rsid w:val="004A1E6A"/>
    <w:rsid w:val="004A1E78"/>
    <w:rsid w:val="004A1E93"/>
    <w:rsid w:val="004A1EBD"/>
    <w:rsid w:val="004A1F45"/>
    <w:rsid w:val="004A1FB7"/>
    <w:rsid w:val="004A1FE4"/>
    <w:rsid w:val="004A203A"/>
    <w:rsid w:val="004A2041"/>
    <w:rsid w:val="004A20D5"/>
    <w:rsid w:val="004A217B"/>
    <w:rsid w:val="004A21F3"/>
    <w:rsid w:val="004A226D"/>
    <w:rsid w:val="004A22A9"/>
    <w:rsid w:val="004A2368"/>
    <w:rsid w:val="004A23EF"/>
    <w:rsid w:val="004A243B"/>
    <w:rsid w:val="004A2463"/>
    <w:rsid w:val="004A256E"/>
    <w:rsid w:val="004A25FF"/>
    <w:rsid w:val="004A266F"/>
    <w:rsid w:val="004A26DB"/>
    <w:rsid w:val="004A2711"/>
    <w:rsid w:val="004A2760"/>
    <w:rsid w:val="004A276F"/>
    <w:rsid w:val="004A27F6"/>
    <w:rsid w:val="004A2811"/>
    <w:rsid w:val="004A282E"/>
    <w:rsid w:val="004A289A"/>
    <w:rsid w:val="004A28E0"/>
    <w:rsid w:val="004A2917"/>
    <w:rsid w:val="004A2938"/>
    <w:rsid w:val="004A2965"/>
    <w:rsid w:val="004A29AD"/>
    <w:rsid w:val="004A2A5F"/>
    <w:rsid w:val="004A2B88"/>
    <w:rsid w:val="004A2B97"/>
    <w:rsid w:val="004A2C3A"/>
    <w:rsid w:val="004A2CC6"/>
    <w:rsid w:val="004A2DB3"/>
    <w:rsid w:val="004A2F18"/>
    <w:rsid w:val="004A2F2A"/>
    <w:rsid w:val="004A2F8C"/>
    <w:rsid w:val="004A2FA5"/>
    <w:rsid w:val="004A2FB7"/>
    <w:rsid w:val="004A2FCF"/>
    <w:rsid w:val="004A3095"/>
    <w:rsid w:val="004A313F"/>
    <w:rsid w:val="004A31D3"/>
    <w:rsid w:val="004A3227"/>
    <w:rsid w:val="004A323C"/>
    <w:rsid w:val="004A324E"/>
    <w:rsid w:val="004A33AB"/>
    <w:rsid w:val="004A3436"/>
    <w:rsid w:val="004A3448"/>
    <w:rsid w:val="004A34DD"/>
    <w:rsid w:val="004A34F4"/>
    <w:rsid w:val="004A3501"/>
    <w:rsid w:val="004A350B"/>
    <w:rsid w:val="004A3549"/>
    <w:rsid w:val="004A3550"/>
    <w:rsid w:val="004A3590"/>
    <w:rsid w:val="004A35E3"/>
    <w:rsid w:val="004A36B6"/>
    <w:rsid w:val="004A36C4"/>
    <w:rsid w:val="004A3761"/>
    <w:rsid w:val="004A3815"/>
    <w:rsid w:val="004A3837"/>
    <w:rsid w:val="004A38CC"/>
    <w:rsid w:val="004A38D2"/>
    <w:rsid w:val="004A395F"/>
    <w:rsid w:val="004A3A0F"/>
    <w:rsid w:val="004A3A99"/>
    <w:rsid w:val="004A3ACB"/>
    <w:rsid w:val="004A3BA7"/>
    <w:rsid w:val="004A3BA9"/>
    <w:rsid w:val="004A3BE6"/>
    <w:rsid w:val="004A3BF1"/>
    <w:rsid w:val="004A3C14"/>
    <w:rsid w:val="004A3C93"/>
    <w:rsid w:val="004A3CF3"/>
    <w:rsid w:val="004A3D30"/>
    <w:rsid w:val="004A3D3C"/>
    <w:rsid w:val="004A3D6D"/>
    <w:rsid w:val="004A3E01"/>
    <w:rsid w:val="004A3E05"/>
    <w:rsid w:val="004A3E16"/>
    <w:rsid w:val="004A3E1F"/>
    <w:rsid w:val="004A3E45"/>
    <w:rsid w:val="004A3F12"/>
    <w:rsid w:val="004A3F2B"/>
    <w:rsid w:val="004A3F45"/>
    <w:rsid w:val="004A408D"/>
    <w:rsid w:val="004A40DC"/>
    <w:rsid w:val="004A411F"/>
    <w:rsid w:val="004A42BB"/>
    <w:rsid w:val="004A42BD"/>
    <w:rsid w:val="004A42BE"/>
    <w:rsid w:val="004A42E0"/>
    <w:rsid w:val="004A4307"/>
    <w:rsid w:val="004A4322"/>
    <w:rsid w:val="004A441B"/>
    <w:rsid w:val="004A4499"/>
    <w:rsid w:val="004A452B"/>
    <w:rsid w:val="004A4541"/>
    <w:rsid w:val="004A4558"/>
    <w:rsid w:val="004A456B"/>
    <w:rsid w:val="004A4585"/>
    <w:rsid w:val="004A45E5"/>
    <w:rsid w:val="004A4717"/>
    <w:rsid w:val="004A4728"/>
    <w:rsid w:val="004A4756"/>
    <w:rsid w:val="004A4762"/>
    <w:rsid w:val="004A4849"/>
    <w:rsid w:val="004A48AE"/>
    <w:rsid w:val="004A48EB"/>
    <w:rsid w:val="004A494F"/>
    <w:rsid w:val="004A49A0"/>
    <w:rsid w:val="004A49FE"/>
    <w:rsid w:val="004A4AA1"/>
    <w:rsid w:val="004A4AF3"/>
    <w:rsid w:val="004A4B58"/>
    <w:rsid w:val="004A4B60"/>
    <w:rsid w:val="004A4BC8"/>
    <w:rsid w:val="004A4C40"/>
    <w:rsid w:val="004A4D85"/>
    <w:rsid w:val="004A4D90"/>
    <w:rsid w:val="004A4D95"/>
    <w:rsid w:val="004A4E0E"/>
    <w:rsid w:val="004A4EEF"/>
    <w:rsid w:val="004A4F01"/>
    <w:rsid w:val="004A4F7B"/>
    <w:rsid w:val="004A5036"/>
    <w:rsid w:val="004A507D"/>
    <w:rsid w:val="004A50D9"/>
    <w:rsid w:val="004A5117"/>
    <w:rsid w:val="004A513E"/>
    <w:rsid w:val="004A51A1"/>
    <w:rsid w:val="004A51CF"/>
    <w:rsid w:val="004A522C"/>
    <w:rsid w:val="004A5287"/>
    <w:rsid w:val="004A52BB"/>
    <w:rsid w:val="004A52CD"/>
    <w:rsid w:val="004A53CE"/>
    <w:rsid w:val="004A544E"/>
    <w:rsid w:val="004A5457"/>
    <w:rsid w:val="004A5476"/>
    <w:rsid w:val="004A54BB"/>
    <w:rsid w:val="004A54D6"/>
    <w:rsid w:val="004A54E1"/>
    <w:rsid w:val="004A56BA"/>
    <w:rsid w:val="004A56BF"/>
    <w:rsid w:val="004A56F5"/>
    <w:rsid w:val="004A572D"/>
    <w:rsid w:val="004A5816"/>
    <w:rsid w:val="004A5872"/>
    <w:rsid w:val="004A593A"/>
    <w:rsid w:val="004A5989"/>
    <w:rsid w:val="004A5A51"/>
    <w:rsid w:val="004A5AB3"/>
    <w:rsid w:val="004A5B0B"/>
    <w:rsid w:val="004A5B78"/>
    <w:rsid w:val="004A5B8F"/>
    <w:rsid w:val="004A5BE8"/>
    <w:rsid w:val="004A5BEE"/>
    <w:rsid w:val="004A5BF6"/>
    <w:rsid w:val="004A5C0A"/>
    <w:rsid w:val="004A5C96"/>
    <w:rsid w:val="004A5D53"/>
    <w:rsid w:val="004A5D8C"/>
    <w:rsid w:val="004A5D94"/>
    <w:rsid w:val="004A5DEC"/>
    <w:rsid w:val="004A5DEE"/>
    <w:rsid w:val="004A5E41"/>
    <w:rsid w:val="004A5E43"/>
    <w:rsid w:val="004A5E6F"/>
    <w:rsid w:val="004A5EAA"/>
    <w:rsid w:val="004A5EC4"/>
    <w:rsid w:val="004A5EF8"/>
    <w:rsid w:val="004A5F4C"/>
    <w:rsid w:val="004A5F72"/>
    <w:rsid w:val="004A5FB3"/>
    <w:rsid w:val="004A5FDC"/>
    <w:rsid w:val="004A600C"/>
    <w:rsid w:val="004A6037"/>
    <w:rsid w:val="004A60B5"/>
    <w:rsid w:val="004A60D1"/>
    <w:rsid w:val="004A60F6"/>
    <w:rsid w:val="004A6127"/>
    <w:rsid w:val="004A615D"/>
    <w:rsid w:val="004A61E2"/>
    <w:rsid w:val="004A6207"/>
    <w:rsid w:val="004A62C6"/>
    <w:rsid w:val="004A6340"/>
    <w:rsid w:val="004A6482"/>
    <w:rsid w:val="004A6486"/>
    <w:rsid w:val="004A651E"/>
    <w:rsid w:val="004A65EF"/>
    <w:rsid w:val="004A661E"/>
    <w:rsid w:val="004A6648"/>
    <w:rsid w:val="004A66B2"/>
    <w:rsid w:val="004A6753"/>
    <w:rsid w:val="004A6831"/>
    <w:rsid w:val="004A6874"/>
    <w:rsid w:val="004A68A1"/>
    <w:rsid w:val="004A6A52"/>
    <w:rsid w:val="004A6ABB"/>
    <w:rsid w:val="004A6AD0"/>
    <w:rsid w:val="004A6AD4"/>
    <w:rsid w:val="004A6B07"/>
    <w:rsid w:val="004A6B9F"/>
    <w:rsid w:val="004A6C13"/>
    <w:rsid w:val="004A6CDE"/>
    <w:rsid w:val="004A6D20"/>
    <w:rsid w:val="004A6DAF"/>
    <w:rsid w:val="004A6E01"/>
    <w:rsid w:val="004A6E02"/>
    <w:rsid w:val="004A6F15"/>
    <w:rsid w:val="004A6F57"/>
    <w:rsid w:val="004A6F8A"/>
    <w:rsid w:val="004A6FC9"/>
    <w:rsid w:val="004A7006"/>
    <w:rsid w:val="004A7007"/>
    <w:rsid w:val="004A7043"/>
    <w:rsid w:val="004A70EE"/>
    <w:rsid w:val="004A7126"/>
    <w:rsid w:val="004A7144"/>
    <w:rsid w:val="004A71BF"/>
    <w:rsid w:val="004A71E7"/>
    <w:rsid w:val="004A721D"/>
    <w:rsid w:val="004A7280"/>
    <w:rsid w:val="004A72BB"/>
    <w:rsid w:val="004A72EE"/>
    <w:rsid w:val="004A7372"/>
    <w:rsid w:val="004A7383"/>
    <w:rsid w:val="004A7398"/>
    <w:rsid w:val="004A7410"/>
    <w:rsid w:val="004A749C"/>
    <w:rsid w:val="004A7532"/>
    <w:rsid w:val="004A754F"/>
    <w:rsid w:val="004A75FE"/>
    <w:rsid w:val="004A763B"/>
    <w:rsid w:val="004A76E2"/>
    <w:rsid w:val="004A76E6"/>
    <w:rsid w:val="004A7730"/>
    <w:rsid w:val="004A77F1"/>
    <w:rsid w:val="004A782B"/>
    <w:rsid w:val="004A789F"/>
    <w:rsid w:val="004A78EC"/>
    <w:rsid w:val="004A7914"/>
    <w:rsid w:val="004A791E"/>
    <w:rsid w:val="004A798B"/>
    <w:rsid w:val="004A7A2B"/>
    <w:rsid w:val="004A7A6C"/>
    <w:rsid w:val="004A7A7A"/>
    <w:rsid w:val="004A7B46"/>
    <w:rsid w:val="004A7BED"/>
    <w:rsid w:val="004A7C38"/>
    <w:rsid w:val="004A7CCC"/>
    <w:rsid w:val="004A7D65"/>
    <w:rsid w:val="004A7DD1"/>
    <w:rsid w:val="004A7E84"/>
    <w:rsid w:val="004A7EF8"/>
    <w:rsid w:val="004A7FA2"/>
    <w:rsid w:val="004A93AA"/>
    <w:rsid w:val="004B008E"/>
    <w:rsid w:val="004B0207"/>
    <w:rsid w:val="004B0253"/>
    <w:rsid w:val="004B025B"/>
    <w:rsid w:val="004B0278"/>
    <w:rsid w:val="004B035C"/>
    <w:rsid w:val="004B0398"/>
    <w:rsid w:val="004B0464"/>
    <w:rsid w:val="004B04AE"/>
    <w:rsid w:val="004B0523"/>
    <w:rsid w:val="004B0557"/>
    <w:rsid w:val="004B056A"/>
    <w:rsid w:val="004B062E"/>
    <w:rsid w:val="004B0633"/>
    <w:rsid w:val="004B0656"/>
    <w:rsid w:val="004B06BD"/>
    <w:rsid w:val="004B072D"/>
    <w:rsid w:val="004B07B7"/>
    <w:rsid w:val="004B07C2"/>
    <w:rsid w:val="004B07E4"/>
    <w:rsid w:val="004B0864"/>
    <w:rsid w:val="004B08A2"/>
    <w:rsid w:val="004B08FD"/>
    <w:rsid w:val="004B0920"/>
    <w:rsid w:val="004B0991"/>
    <w:rsid w:val="004B0A11"/>
    <w:rsid w:val="004B0A71"/>
    <w:rsid w:val="004B0AB8"/>
    <w:rsid w:val="004B0C02"/>
    <w:rsid w:val="004B0C21"/>
    <w:rsid w:val="004B0D48"/>
    <w:rsid w:val="004B0D6F"/>
    <w:rsid w:val="004B0D7F"/>
    <w:rsid w:val="004B0D90"/>
    <w:rsid w:val="004B0E18"/>
    <w:rsid w:val="004B0E1A"/>
    <w:rsid w:val="004B0F03"/>
    <w:rsid w:val="004B0F14"/>
    <w:rsid w:val="004B0F23"/>
    <w:rsid w:val="004B0FA6"/>
    <w:rsid w:val="004B1127"/>
    <w:rsid w:val="004B11B7"/>
    <w:rsid w:val="004B122D"/>
    <w:rsid w:val="004B127B"/>
    <w:rsid w:val="004B12D3"/>
    <w:rsid w:val="004B136D"/>
    <w:rsid w:val="004B13AE"/>
    <w:rsid w:val="004B13CE"/>
    <w:rsid w:val="004B13FF"/>
    <w:rsid w:val="004B144E"/>
    <w:rsid w:val="004B1479"/>
    <w:rsid w:val="004B147F"/>
    <w:rsid w:val="004B15A6"/>
    <w:rsid w:val="004B15F3"/>
    <w:rsid w:val="004B15FF"/>
    <w:rsid w:val="004B16B5"/>
    <w:rsid w:val="004B1717"/>
    <w:rsid w:val="004B1744"/>
    <w:rsid w:val="004B17BE"/>
    <w:rsid w:val="004B1878"/>
    <w:rsid w:val="004B18C9"/>
    <w:rsid w:val="004B18DE"/>
    <w:rsid w:val="004B18E6"/>
    <w:rsid w:val="004B18F9"/>
    <w:rsid w:val="004B18FC"/>
    <w:rsid w:val="004B196D"/>
    <w:rsid w:val="004B1B1F"/>
    <w:rsid w:val="004B1B7D"/>
    <w:rsid w:val="004B1BB8"/>
    <w:rsid w:val="004B1BE9"/>
    <w:rsid w:val="004B1C84"/>
    <w:rsid w:val="004B1CAE"/>
    <w:rsid w:val="004B1CAF"/>
    <w:rsid w:val="004B1D61"/>
    <w:rsid w:val="004B1D7A"/>
    <w:rsid w:val="004B1E5C"/>
    <w:rsid w:val="004B1E9B"/>
    <w:rsid w:val="004B1ED9"/>
    <w:rsid w:val="004B1F68"/>
    <w:rsid w:val="004B1F6C"/>
    <w:rsid w:val="004B1F8C"/>
    <w:rsid w:val="004B1FDE"/>
    <w:rsid w:val="004B1FEC"/>
    <w:rsid w:val="004B2029"/>
    <w:rsid w:val="004B202B"/>
    <w:rsid w:val="004B2040"/>
    <w:rsid w:val="004B2061"/>
    <w:rsid w:val="004B2085"/>
    <w:rsid w:val="004B211B"/>
    <w:rsid w:val="004B2137"/>
    <w:rsid w:val="004B215F"/>
    <w:rsid w:val="004B2173"/>
    <w:rsid w:val="004B21B6"/>
    <w:rsid w:val="004B21C3"/>
    <w:rsid w:val="004B21DA"/>
    <w:rsid w:val="004B22CA"/>
    <w:rsid w:val="004B22D8"/>
    <w:rsid w:val="004B2397"/>
    <w:rsid w:val="004B23A2"/>
    <w:rsid w:val="004B2423"/>
    <w:rsid w:val="004B24F9"/>
    <w:rsid w:val="004B2511"/>
    <w:rsid w:val="004B2569"/>
    <w:rsid w:val="004B2585"/>
    <w:rsid w:val="004B267C"/>
    <w:rsid w:val="004B26BC"/>
    <w:rsid w:val="004B2732"/>
    <w:rsid w:val="004B273D"/>
    <w:rsid w:val="004B2743"/>
    <w:rsid w:val="004B27BC"/>
    <w:rsid w:val="004B2801"/>
    <w:rsid w:val="004B2854"/>
    <w:rsid w:val="004B2887"/>
    <w:rsid w:val="004B28D2"/>
    <w:rsid w:val="004B28EF"/>
    <w:rsid w:val="004B2918"/>
    <w:rsid w:val="004B2964"/>
    <w:rsid w:val="004B29A5"/>
    <w:rsid w:val="004B29C2"/>
    <w:rsid w:val="004B2AED"/>
    <w:rsid w:val="004B2B53"/>
    <w:rsid w:val="004B2B71"/>
    <w:rsid w:val="004B2C26"/>
    <w:rsid w:val="004B2D1B"/>
    <w:rsid w:val="004B2D2F"/>
    <w:rsid w:val="004B2D45"/>
    <w:rsid w:val="004B2D48"/>
    <w:rsid w:val="004B2D9B"/>
    <w:rsid w:val="004B2DAC"/>
    <w:rsid w:val="004B2E1F"/>
    <w:rsid w:val="004B2EA9"/>
    <w:rsid w:val="004B2EF3"/>
    <w:rsid w:val="004B2F26"/>
    <w:rsid w:val="004B2F3F"/>
    <w:rsid w:val="004B2F59"/>
    <w:rsid w:val="004B2F8C"/>
    <w:rsid w:val="004B2FAF"/>
    <w:rsid w:val="004B2FD5"/>
    <w:rsid w:val="004B303A"/>
    <w:rsid w:val="004B3046"/>
    <w:rsid w:val="004B3067"/>
    <w:rsid w:val="004B307C"/>
    <w:rsid w:val="004B312B"/>
    <w:rsid w:val="004B317D"/>
    <w:rsid w:val="004B3258"/>
    <w:rsid w:val="004B3263"/>
    <w:rsid w:val="004B326C"/>
    <w:rsid w:val="004B3273"/>
    <w:rsid w:val="004B328B"/>
    <w:rsid w:val="004B328F"/>
    <w:rsid w:val="004B33BF"/>
    <w:rsid w:val="004B35EE"/>
    <w:rsid w:val="004B36A7"/>
    <w:rsid w:val="004B36BE"/>
    <w:rsid w:val="004B37D4"/>
    <w:rsid w:val="004B37F5"/>
    <w:rsid w:val="004B3821"/>
    <w:rsid w:val="004B385E"/>
    <w:rsid w:val="004B386C"/>
    <w:rsid w:val="004B38DC"/>
    <w:rsid w:val="004B399B"/>
    <w:rsid w:val="004B39B5"/>
    <w:rsid w:val="004B39CA"/>
    <w:rsid w:val="004B39D6"/>
    <w:rsid w:val="004B3A97"/>
    <w:rsid w:val="004B3A9B"/>
    <w:rsid w:val="004B3AA1"/>
    <w:rsid w:val="004B3AAB"/>
    <w:rsid w:val="004B3B75"/>
    <w:rsid w:val="004B3C11"/>
    <w:rsid w:val="004B3C45"/>
    <w:rsid w:val="004B3C46"/>
    <w:rsid w:val="004B3CA7"/>
    <w:rsid w:val="004B3D2A"/>
    <w:rsid w:val="004B3DC8"/>
    <w:rsid w:val="004B3DF9"/>
    <w:rsid w:val="004B3E37"/>
    <w:rsid w:val="004B3E52"/>
    <w:rsid w:val="004B3EAF"/>
    <w:rsid w:val="004B3EB8"/>
    <w:rsid w:val="004B3EDC"/>
    <w:rsid w:val="004B3F74"/>
    <w:rsid w:val="004B4067"/>
    <w:rsid w:val="004B40CE"/>
    <w:rsid w:val="004B40DA"/>
    <w:rsid w:val="004B416C"/>
    <w:rsid w:val="004B416D"/>
    <w:rsid w:val="004B418F"/>
    <w:rsid w:val="004B4194"/>
    <w:rsid w:val="004B41CC"/>
    <w:rsid w:val="004B41EA"/>
    <w:rsid w:val="004B422A"/>
    <w:rsid w:val="004B42A6"/>
    <w:rsid w:val="004B42BA"/>
    <w:rsid w:val="004B4334"/>
    <w:rsid w:val="004B4382"/>
    <w:rsid w:val="004B4461"/>
    <w:rsid w:val="004B44B3"/>
    <w:rsid w:val="004B44D7"/>
    <w:rsid w:val="004B44DB"/>
    <w:rsid w:val="004B4504"/>
    <w:rsid w:val="004B4559"/>
    <w:rsid w:val="004B45A5"/>
    <w:rsid w:val="004B45F4"/>
    <w:rsid w:val="004B462B"/>
    <w:rsid w:val="004B46E6"/>
    <w:rsid w:val="004B470C"/>
    <w:rsid w:val="004B47AB"/>
    <w:rsid w:val="004B47E8"/>
    <w:rsid w:val="004B4836"/>
    <w:rsid w:val="004B485E"/>
    <w:rsid w:val="004B4891"/>
    <w:rsid w:val="004B48B9"/>
    <w:rsid w:val="004B48DE"/>
    <w:rsid w:val="004B4952"/>
    <w:rsid w:val="004B4994"/>
    <w:rsid w:val="004B49C1"/>
    <w:rsid w:val="004B49E9"/>
    <w:rsid w:val="004B4A88"/>
    <w:rsid w:val="004B4A8B"/>
    <w:rsid w:val="004B4AB5"/>
    <w:rsid w:val="004B4ABF"/>
    <w:rsid w:val="004B4B18"/>
    <w:rsid w:val="004B4B29"/>
    <w:rsid w:val="004B4B48"/>
    <w:rsid w:val="004B4B78"/>
    <w:rsid w:val="004B4B96"/>
    <w:rsid w:val="004B4C5A"/>
    <w:rsid w:val="004B4C97"/>
    <w:rsid w:val="004B4CA9"/>
    <w:rsid w:val="004B4D0D"/>
    <w:rsid w:val="004B4D56"/>
    <w:rsid w:val="004B4D8E"/>
    <w:rsid w:val="004B4DFB"/>
    <w:rsid w:val="004B4E97"/>
    <w:rsid w:val="004B4EBD"/>
    <w:rsid w:val="004B4F5C"/>
    <w:rsid w:val="004B507F"/>
    <w:rsid w:val="004B50C4"/>
    <w:rsid w:val="004B50FA"/>
    <w:rsid w:val="004B5116"/>
    <w:rsid w:val="004B513E"/>
    <w:rsid w:val="004B5152"/>
    <w:rsid w:val="004B516D"/>
    <w:rsid w:val="004B5186"/>
    <w:rsid w:val="004B51FA"/>
    <w:rsid w:val="004B521E"/>
    <w:rsid w:val="004B529B"/>
    <w:rsid w:val="004B5311"/>
    <w:rsid w:val="004B5340"/>
    <w:rsid w:val="004B539E"/>
    <w:rsid w:val="004B5418"/>
    <w:rsid w:val="004B543C"/>
    <w:rsid w:val="004B54D2"/>
    <w:rsid w:val="004B5590"/>
    <w:rsid w:val="004B5615"/>
    <w:rsid w:val="004B56B3"/>
    <w:rsid w:val="004B5747"/>
    <w:rsid w:val="004B574B"/>
    <w:rsid w:val="004B5792"/>
    <w:rsid w:val="004B5805"/>
    <w:rsid w:val="004B5833"/>
    <w:rsid w:val="004B58CC"/>
    <w:rsid w:val="004B58DA"/>
    <w:rsid w:val="004B5939"/>
    <w:rsid w:val="004B59DD"/>
    <w:rsid w:val="004B59E6"/>
    <w:rsid w:val="004B59F2"/>
    <w:rsid w:val="004B5A04"/>
    <w:rsid w:val="004B5A13"/>
    <w:rsid w:val="004B5A96"/>
    <w:rsid w:val="004B5B17"/>
    <w:rsid w:val="004B5BE7"/>
    <w:rsid w:val="004B5C1F"/>
    <w:rsid w:val="004B5D33"/>
    <w:rsid w:val="004B5D8B"/>
    <w:rsid w:val="004B5D96"/>
    <w:rsid w:val="004B5DC7"/>
    <w:rsid w:val="004B5E96"/>
    <w:rsid w:val="004B5FE6"/>
    <w:rsid w:val="004B607D"/>
    <w:rsid w:val="004B60EF"/>
    <w:rsid w:val="004B6112"/>
    <w:rsid w:val="004B6115"/>
    <w:rsid w:val="004B617D"/>
    <w:rsid w:val="004B629A"/>
    <w:rsid w:val="004B62AE"/>
    <w:rsid w:val="004B62CC"/>
    <w:rsid w:val="004B630C"/>
    <w:rsid w:val="004B6348"/>
    <w:rsid w:val="004B6518"/>
    <w:rsid w:val="004B6687"/>
    <w:rsid w:val="004B6844"/>
    <w:rsid w:val="004B6857"/>
    <w:rsid w:val="004B68DE"/>
    <w:rsid w:val="004B6A9A"/>
    <w:rsid w:val="004B6C02"/>
    <w:rsid w:val="004B6C45"/>
    <w:rsid w:val="004B6C57"/>
    <w:rsid w:val="004B6C69"/>
    <w:rsid w:val="004B6C85"/>
    <w:rsid w:val="004B6CF5"/>
    <w:rsid w:val="004B6DB0"/>
    <w:rsid w:val="004B6DEE"/>
    <w:rsid w:val="004B6E50"/>
    <w:rsid w:val="004B6E62"/>
    <w:rsid w:val="004B6E80"/>
    <w:rsid w:val="004B6EDB"/>
    <w:rsid w:val="004B6EF7"/>
    <w:rsid w:val="004B6F4C"/>
    <w:rsid w:val="004B705E"/>
    <w:rsid w:val="004B709F"/>
    <w:rsid w:val="004B7100"/>
    <w:rsid w:val="004B7127"/>
    <w:rsid w:val="004B729B"/>
    <w:rsid w:val="004B7480"/>
    <w:rsid w:val="004B7485"/>
    <w:rsid w:val="004B74F4"/>
    <w:rsid w:val="004B7504"/>
    <w:rsid w:val="004B7544"/>
    <w:rsid w:val="004B7572"/>
    <w:rsid w:val="004B76DD"/>
    <w:rsid w:val="004B7784"/>
    <w:rsid w:val="004B7788"/>
    <w:rsid w:val="004B779F"/>
    <w:rsid w:val="004B77C4"/>
    <w:rsid w:val="004B7805"/>
    <w:rsid w:val="004B785C"/>
    <w:rsid w:val="004B797C"/>
    <w:rsid w:val="004B7A68"/>
    <w:rsid w:val="004B7A98"/>
    <w:rsid w:val="004B7B1E"/>
    <w:rsid w:val="004B7B2D"/>
    <w:rsid w:val="004B7B54"/>
    <w:rsid w:val="004B7BDF"/>
    <w:rsid w:val="004B7C84"/>
    <w:rsid w:val="004B7C85"/>
    <w:rsid w:val="004B7C9F"/>
    <w:rsid w:val="004B7CA6"/>
    <w:rsid w:val="004B7D4E"/>
    <w:rsid w:val="004B7D6D"/>
    <w:rsid w:val="004B7DE1"/>
    <w:rsid w:val="004B7DF2"/>
    <w:rsid w:val="004B7E29"/>
    <w:rsid w:val="004B7F27"/>
    <w:rsid w:val="004B7F2B"/>
    <w:rsid w:val="004B7F54"/>
    <w:rsid w:val="004B7FE2"/>
    <w:rsid w:val="004C0020"/>
    <w:rsid w:val="004C007A"/>
    <w:rsid w:val="004C014E"/>
    <w:rsid w:val="004C01EC"/>
    <w:rsid w:val="004C02C7"/>
    <w:rsid w:val="004C03B0"/>
    <w:rsid w:val="004C045E"/>
    <w:rsid w:val="004C04A8"/>
    <w:rsid w:val="004C04B6"/>
    <w:rsid w:val="004C059A"/>
    <w:rsid w:val="004C0703"/>
    <w:rsid w:val="004C072A"/>
    <w:rsid w:val="004C078D"/>
    <w:rsid w:val="004C0795"/>
    <w:rsid w:val="004C0822"/>
    <w:rsid w:val="004C0866"/>
    <w:rsid w:val="004C0948"/>
    <w:rsid w:val="004C09EA"/>
    <w:rsid w:val="004C0A59"/>
    <w:rsid w:val="004C0BDD"/>
    <w:rsid w:val="004C0BF9"/>
    <w:rsid w:val="004C0C03"/>
    <w:rsid w:val="004C0C21"/>
    <w:rsid w:val="004C0D29"/>
    <w:rsid w:val="004C0D67"/>
    <w:rsid w:val="004C0DB5"/>
    <w:rsid w:val="004C0DBC"/>
    <w:rsid w:val="004C0E28"/>
    <w:rsid w:val="004C0E7F"/>
    <w:rsid w:val="004C0EBE"/>
    <w:rsid w:val="004C0F07"/>
    <w:rsid w:val="004C0F42"/>
    <w:rsid w:val="004C0F46"/>
    <w:rsid w:val="004C1043"/>
    <w:rsid w:val="004C107E"/>
    <w:rsid w:val="004C107F"/>
    <w:rsid w:val="004C10A5"/>
    <w:rsid w:val="004C10BD"/>
    <w:rsid w:val="004C1147"/>
    <w:rsid w:val="004C120E"/>
    <w:rsid w:val="004C126C"/>
    <w:rsid w:val="004C12D5"/>
    <w:rsid w:val="004C12E3"/>
    <w:rsid w:val="004C12F3"/>
    <w:rsid w:val="004C135C"/>
    <w:rsid w:val="004C137A"/>
    <w:rsid w:val="004C149C"/>
    <w:rsid w:val="004C14DC"/>
    <w:rsid w:val="004C1550"/>
    <w:rsid w:val="004C1654"/>
    <w:rsid w:val="004C171A"/>
    <w:rsid w:val="004C1748"/>
    <w:rsid w:val="004C1777"/>
    <w:rsid w:val="004C17D4"/>
    <w:rsid w:val="004C1800"/>
    <w:rsid w:val="004C1826"/>
    <w:rsid w:val="004C1868"/>
    <w:rsid w:val="004C18A7"/>
    <w:rsid w:val="004C1963"/>
    <w:rsid w:val="004C1993"/>
    <w:rsid w:val="004C19B7"/>
    <w:rsid w:val="004C1A0C"/>
    <w:rsid w:val="004C1AFB"/>
    <w:rsid w:val="004C1B12"/>
    <w:rsid w:val="004C1B8A"/>
    <w:rsid w:val="004C1D0A"/>
    <w:rsid w:val="004C1D9A"/>
    <w:rsid w:val="004C1E6E"/>
    <w:rsid w:val="004C1EEB"/>
    <w:rsid w:val="004C1F3F"/>
    <w:rsid w:val="004C1F4C"/>
    <w:rsid w:val="004C1F5F"/>
    <w:rsid w:val="004C1FB7"/>
    <w:rsid w:val="004C201A"/>
    <w:rsid w:val="004C205B"/>
    <w:rsid w:val="004C2077"/>
    <w:rsid w:val="004C2138"/>
    <w:rsid w:val="004C2215"/>
    <w:rsid w:val="004C2258"/>
    <w:rsid w:val="004C22A6"/>
    <w:rsid w:val="004C2333"/>
    <w:rsid w:val="004C233A"/>
    <w:rsid w:val="004C234D"/>
    <w:rsid w:val="004C241F"/>
    <w:rsid w:val="004C2482"/>
    <w:rsid w:val="004C2489"/>
    <w:rsid w:val="004C24FA"/>
    <w:rsid w:val="004C2503"/>
    <w:rsid w:val="004C2507"/>
    <w:rsid w:val="004C257C"/>
    <w:rsid w:val="004C25D7"/>
    <w:rsid w:val="004C25DC"/>
    <w:rsid w:val="004C2667"/>
    <w:rsid w:val="004C2670"/>
    <w:rsid w:val="004C268E"/>
    <w:rsid w:val="004C2736"/>
    <w:rsid w:val="004C28A2"/>
    <w:rsid w:val="004C28B4"/>
    <w:rsid w:val="004C2975"/>
    <w:rsid w:val="004C29D9"/>
    <w:rsid w:val="004C2A2E"/>
    <w:rsid w:val="004C2B02"/>
    <w:rsid w:val="004C2B7B"/>
    <w:rsid w:val="004C2BFE"/>
    <w:rsid w:val="004C2C62"/>
    <w:rsid w:val="004C2CC2"/>
    <w:rsid w:val="004C2D5D"/>
    <w:rsid w:val="004C2DB0"/>
    <w:rsid w:val="004C2E4C"/>
    <w:rsid w:val="004C2E4F"/>
    <w:rsid w:val="004C2E5D"/>
    <w:rsid w:val="004C2E6B"/>
    <w:rsid w:val="004C2E78"/>
    <w:rsid w:val="004C2EA2"/>
    <w:rsid w:val="004C2EA5"/>
    <w:rsid w:val="004C2ECE"/>
    <w:rsid w:val="004C2F4C"/>
    <w:rsid w:val="004C2FF5"/>
    <w:rsid w:val="004C3017"/>
    <w:rsid w:val="004C30D6"/>
    <w:rsid w:val="004C3101"/>
    <w:rsid w:val="004C313F"/>
    <w:rsid w:val="004C3190"/>
    <w:rsid w:val="004C31AB"/>
    <w:rsid w:val="004C3221"/>
    <w:rsid w:val="004C3257"/>
    <w:rsid w:val="004C32BC"/>
    <w:rsid w:val="004C3338"/>
    <w:rsid w:val="004C3348"/>
    <w:rsid w:val="004C3369"/>
    <w:rsid w:val="004C336F"/>
    <w:rsid w:val="004C3405"/>
    <w:rsid w:val="004C3409"/>
    <w:rsid w:val="004C341F"/>
    <w:rsid w:val="004C3440"/>
    <w:rsid w:val="004C3480"/>
    <w:rsid w:val="004C34EF"/>
    <w:rsid w:val="004C352F"/>
    <w:rsid w:val="004C357F"/>
    <w:rsid w:val="004C3717"/>
    <w:rsid w:val="004C3719"/>
    <w:rsid w:val="004C3744"/>
    <w:rsid w:val="004C37A0"/>
    <w:rsid w:val="004C37E8"/>
    <w:rsid w:val="004C382B"/>
    <w:rsid w:val="004C38C1"/>
    <w:rsid w:val="004C38F0"/>
    <w:rsid w:val="004C395B"/>
    <w:rsid w:val="004C39A4"/>
    <w:rsid w:val="004C39CD"/>
    <w:rsid w:val="004C3AFC"/>
    <w:rsid w:val="004C3B20"/>
    <w:rsid w:val="004C3B5D"/>
    <w:rsid w:val="004C3CB2"/>
    <w:rsid w:val="004C3D4D"/>
    <w:rsid w:val="004C3D59"/>
    <w:rsid w:val="004C3D79"/>
    <w:rsid w:val="004C3E19"/>
    <w:rsid w:val="004C3E43"/>
    <w:rsid w:val="004C3E5E"/>
    <w:rsid w:val="004C3E82"/>
    <w:rsid w:val="004C3ED6"/>
    <w:rsid w:val="004C406E"/>
    <w:rsid w:val="004C4070"/>
    <w:rsid w:val="004C4086"/>
    <w:rsid w:val="004C4176"/>
    <w:rsid w:val="004C4257"/>
    <w:rsid w:val="004C4284"/>
    <w:rsid w:val="004C429A"/>
    <w:rsid w:val="004C42BC"/>
    <w:rsid w:val="004C42C3"/>
    <w:rsid w:val="004C42EF"/>
    <w:rsid w:val="004C431A"/>
    <w:rsid w:val="004C4346"/>
    <w:rsid w:val="004C436B"/>
    <w:rsid w:val="004C444D"/>
    <w:rsid w:val="004C44B4"/>
    <w:rsid w:val="004C44E4"/>
    <w:rsid w:val="004C44F6"/>
    <w:rsid w:val="004C45E0"/>
    <w:rsid w:val="004C4708"/>
    <w:rsid w:val="004C470C"/>
    <w:rsid w:val="004C472D"/>
    <w:rsid w:val="004C4738"/>
    <w:rsid w:val="004C4782"/>
    <w:rsid w:val="004C47FC"/>
    <w:rsid w:val="004C4817"/>
    <w:rsid w:val="004C4822"/>
    <w:rsid w:val="004C4863"/>
    <w:rsid w:val="004C488A"/>
    <w:rsid w:val="004C488C"/>
    <w:rsid w:val="004C489F"/>
    <w:rsid w:val="004C48C9"/>
    <w:rsid w:val="004C4930"/>
    <w:rsid w:val="004C4955"/>
    <w:rsid w:val="004C49C1"/>
    <w:rsid w:val="004C4A3B"/>
    <w:rsid w:val="004C4AB5"/>
    <w:rsid w:val="004C4B08"/>
    <w:rsid w:val="004C4B2F"/>
    <w:rsid w:val="004C4B33"/>
    <w:rsid w:val="004C4BD1"/>
    <w:rsid w:val="004C4BEC"/>
    <w:rsid w:val="004C4C13"/>
    <w:rsid w:val="004C4C9A"/>
    <w:rsid w:val="004C4DF3"/>
    <w:rsid w:val="004C4E72"/>
    <w:rsid w:val="004C4F6D"/>
    <w:rsid w:val="004C5000"/>
    <w:rsid w:val="004C506E"/>
    <w:rsid w:val="004C5084"/>
    <w:rsid w:val="004C51C5"/>
    <w:rsid w:val="004C51EF"/>
    <w:rsid w:val="004C52C5"/>
    <w:rsid w:val="004C533E"/>
    <w:rsid w:val="004C535E"/>
    <w:rsid w:val="004C5387"/>
    <w:rsid w:val="004C558D"/>
    <w:rsid w:val="004C5664"/>
    <w:rsid w:val="004C5706"/>
    <w:rsid w:val="004C5738"/>
    <w:rsid w:val="004C5751"/>
    <w:rsid w:val="004C575E"/>
    <w:rsid w:val="004C57A6"/>
    <w:rsid w:val="004C58A2"/>
    <w:rsid w:val="004C58AC"/>
    <w:rsid w:val="004C58EA"/>
    <w:rsid w:val="004C59E8"/>
    <w:rsid w:val="004C5A66"/>
    <w:rsid w:val="004C5AC2"/>
    <w:rsid w:val="004C5AD5"/>
    <w:rsid w:val="004C5B8F"/>
    <w:rsid w:val="004C5BB1"/>
    <w:rsid w:val="004C5C24"/>
    <w:rsid w:val="004C5C4B"/>
    <w:rsid w:val="004C5CB5"/>
    <w:rsid w:val="004C5D13"/>
    <w:rsid w:val="004C5D78"/>
    <w:rsid w:val="004C5DB1"/>
    <w:rsid w:val="004C5DC1"/>
    <w:rsid w:val="004C5E60"/>
    <w:rsid w:val="004C5ED7"/>
    <w:rsid w:val="004C5EE7"/>
    <w:rsid w:val="004C5F4E"/>
    <w:rsid w:val="004C5F6C"/>
    <w:rsid w:val="004C5F72"/>
    <w:rsid w:val="004C5FA9"/>
    <w:rsid w:val="004C5FD1"/>
    <w:rsid w:val="004C6025"/>
    <w:rsid w:val="004C615E"/>
    <w:rsid w:val="004C622E"/>
    <w:rsid w:val="004C6254"/>
    <w:rsid w:val="004C6326"/>
    <w:rsid w:val="004C6343"/>
    <w:rsid w:val="004C6367"/>
    <w:rsid w:val="004C636D"/>
    <w:rsid w:val="004C639C"/>
    <w:rsid w:val="004C63A6"/>
    <w:rsid w:val="004C63C6"/>
    <w:rsid w:val="004C6414"/>
    <w:rsid w:val="004C642D"/>
    <w:rsid w:val="004C645E"/>
    <w:rsid w:val="004C64AC"/>
    <w:rsid w:val="004C64B2"/>
    <w:rsid w:val="004C6556"/>
    <w:rsid w:val="004C6576"/>
    <w:rsid w:val="004C6577"/>
    <w:rsid w:val="004C66D7"/>
    <w:rsid w:val="004C6744"/>
    <w:rsid w:val="004C685D"/>
    <w:rsid w:val="004C6868"/>
    <w:rsid w:val="004C689E"/>
    <w:rsid w:val="004C6906"/>
    <w:rsid w:val="004C694D"/>
    <w:rsid w:val="004C6962"/>
    <w:rsid w:val="004C698A"/>
    <w:rsid w:val="004C698D"/>
    <w:rsid w:val="004C69B8"/>
    <w:rsid w:val="004C69B9"/>
    <w:rsid w:val="004C6A9A"/>
    <w:rsid w:val="004C6AA2"/>
    <w:rsid w:val="004C6AB2"/>
    <w:rsid w:val="004C6AE6"/>
    <w:rsid w:val="004C6B7D"/>
    <w:rsid w:val="004C6D5B"/>
    <w:rsid w:val="004C6DB4"/>
    <w:rsid w:val="004C6DD0"/>
    <w:rsid w:val="004C6E32"/>
    <w:rsid w:val="004C6EFC"/>
    <w:rsid w:val="004C6F0F"/>
    <w:rsid w:val="004C6F64"/>
    <w:rsid w:val="004C6F70"/>
    <w:rsid w:val="004C6F96"/>
    <w:rsid w:val="004C6FAB"/>
    <w:rsid w:val="004C6FD4"/>
    <w:rsid w:val="004C70BE"/>
    <w:rsid w:val="004C70D7"/>
    <w:rsid w:val="004C7151"/>
    <w:rsid w:val="004C716D"/>
    <w:rsid w:val="004C7179"/>
    <w:rsid w:val="004C71FE"/>
    <w:rsid w:val="004C7226"/>
    <w:rsid w:val="004C726E"/>
    <w:rsid w:val="004C72DA"/>
    <w:rsid w:val="004C7353"/>
    <w:rsid w:val="004C73C8"/>
    <w:rsid w:val="004C73F7"/>
    <w:rsid w:val="004C7405"/>
    <w:rsid w:val="004C7463"/>
    <w:rsid w:val="004C74A1"/>
    <w:rsid w:val="004C74E8"/>
    <w:rsid w:val="004C7539"/>
    <w:rsid w:val="004C7606"/>
    <w:rsid w:val="004C772B"/>
    <w:rsid w:val="004C7734"/>
    <w:rsid w:val="004C7762"/>
    <w:rsid w:val="004C77A1"/>
    <w:rsid w:val="004C77AF"/>
    <w:rsid w:val="004C77F0"/>
    <w:rsid w:val="004C78A3"/>
    <w:rsid w:val="004C78E6"/>
    <w:rsid w:val="004C7903"/>
    <w:rsid w:val="004C7927"/>
    <w:rsid w:val="004C7A7E"/>
    <w:rsid w:val="004C7AE3"/>
    <w:rsid w:val="004C7B29"/>
    <w:rsid w:val="004C7B40"/>
    <w:rsid w:val="004C7BD4"/>
    <w:rsid w:val="004C7BDE"/>
    <w:rsid w:val="004C7BFC"/>
    <w:rsid w:val="004C7C12"/>
    <w:rsid w:val="004C7C60"/>
    <w:rsid w:val="004C7C6F"/>
    <w:rsid w:val="004C7CC5"/>
    <w:rsid w:val="004C7D6A"/>
    <w:rsid w:val="004C7DC1"/>
    <w:rsid w:val="004C7E1B"/>
    <w:rsid w:val="004C7E3C"/>
    <w:rsid w:val="004C7EAF"/>
    <w:rsid w:val="004C7EB8"/>
    <w:rsid w:val="004C7F3D"/>
    <w:rsid w:val="004C7F95"/>
    <w:rsid w:val="004D003E"/>
    <w:rsid w:val="004D0043"/>
    <w:rsid w:val="004D0156"/>
    <w:rsid w:val="004D0166"/>
    <w:rsid w:val="004D018E"/>
    <w:rsid w:val="004D021A"/>
    <w:rsid w:val="004D034A"/>
    <w:rsid w:val="004D03D3"/>
    <w:rsid w:val="004D03D6"/>
    <w:rsid w:val="004D0410"/>
    <w:rsid w:val="004D0416"/>
    <w:rsid w:val="004D04AD"/>
    <w:rsid w:val="004D05B9"/>
    <w:rsid w:val="004D05FC"/>
    <w:rsid w:val="004D069B"/>
    <w:rsid w:val="004D06AC"/>
    <w:rsid w:val="004D06CC"/>
    <w:rsid w:val="004D0727"/>
    <w:rsid w:val="004D07DF"/>
    <w:rsid w:val="004D084A"/>
    <w:rsid w:val="004D0872"/>
    <w:rsid w:val="004D08AB"/>
    <w:rsid w:val="004D08F6"/>
    <w:rsid w:val="004D09A8"/>
    <w:rsid w:val="004D09D0"/>
    <w:rsid w:val="004D0A2D"/>
    <w:rsid w:val="004D0ACB"/>
    <w:rsid w:val="004D0B0F"/>
    <w:rsid w:val="004D0B8E"/>
    <w:rsid w:val="004D0BC9"/>
    <w:rsid w:val="004D0C1F"/>
    <w:rsid w:val="004D0C4B"/>
    <w:rsid w:val="004D0D22"/>
    <w:rsid w:val="004D0D8B"/>
    <w:rsid w:val="004D0DE6"/>
    <w:rsid w:val="004D0E9B"/>
    <w:rsid w:val="004D0EC4"/>
    <w:rsid w:val="004D0F9B"/>
    <w:rsid w:val="004D0FE1"/>
    <w:rsid w:val="004D101B"/>
    <w:rsid w:val="004D1060"/>
    <w:rsid w:val="004D10A2"/>
    <w:rsid w:val="004D10ED"/>
    <w:rsid w:val="004D10FC"/>
    <w:rsid w:val="004D114C"/>
    <w:rsid w:val="004D1249"/>
    <w:rsid w:val="004D1278"/>
    <w:rsid w:val="004D129F"/>
    <w:rsid w:val="004D12BD"/>
    <w:rsid w:val="004D1313"/>
    <w:rsid w:val="004D139A"/>
    <w:rsid w:val="004D13C0"/>
    <w:rsid w:val="004D14E3"/>
    <w:rsid w:val="004D15F1"/>
    <w:rsid w:val="004D164C"/>
    <w:rsid w:val="004D16FE"/>
    <w:rsid w:val="004D1724"/>
    <w:rsid w:val="004D173F"/>
    <w:rsid w:val="004D17D4"/>
    <w:rsid w:val="004D187B"/>
    <w:rsid w:val="004D18D0"/>
    <w:rsid w:val="004D1907"/>
    <w:rsid w:val="004D191D"/>
    <w:rsid w:val="004D19D0"/>
    <w:rsid w:val="004D1A39"/>
    <w:rsid w:val="004D1A9B"/>
    <w:rsid w:val="004D1AF5"/>
    <w:rsid w:val="004D1AFB"/>
    <w:rsid w:val="004D1BFA"/>
    <w:rsid w:val="004D1C85"/>
    <w:rsid w:val="004D1D7A"/>
    <w:rsid w:val="004D1D84"/>
    <w:rsid w:val="004D1EAB"/>
    <w:rsid w:val="004D1F05"/>
    <w:rsid w:val="004D1F20"/>
    <w:rsid w:val="004D1F48"/>
    <w:rsid w:val="004D20FD"/>
    <w:rsid w:val="004D211E"/>
    <w:rsid w:val="004D2179"/>
    <w:rsid w:val="004D2230"/>
    <w:rsid w:val="004D2260"/>
    <w:rsid w:val="004D2261"/>
    <w:rsid w:val="004D2266"/>
    <w:rsid w:val="004D2277"/>
    <w:rsid w:val="004D22E7"/>
    <w:rsid w:val="004D234F"/>
    <w:rsid w:val="004D2372"/>
    <w:rsid w:val="004D2397"/>
    <w:rsid w:val="004D23CB"/>
    <w:rsid w:val="004D2420"/>
    <w:rsid w:val="004D24EA"/>
    <w:rsid w:val="004D252B"/>
    <w:rsid w:val="004D260F"/>
    <w:rsid w:val="004D2655"/>
    <w:rsid w:val="004D267A"/>
    <w:rsid w:val="004D269A"/>
    <w:rsid w:val="004D26DD"/>
    <w:rsid w:val="004D276B"/>
    <w:rsid w:val="004D2858"/>
    <w:rsid w:val="004D2865"/>
    <w:rsid w:val="004D28B9"/>
    <w:rsid w:val="004D2954"/>
    <w:rsid w:val="004D299B"/>
    <w:rsid w:val="004D29CE"/>
    <w:rsid w:val="004D29E6"/>
    <w:rsid w:val="004D2A25"/>
    <w:rsid w:val="004D2A38"/>
    <w:rsid w:val="004D2A55"/>
    <w:rsid w:val="004D2A6E"/>
    <w:rsid w:val="004D2A7D"/>
    <w:rsid w:val="004D2AC3"/>
    <w:rsid w:val="004D2B40"/>
    <w:rsid w:val="004D2CB3"/>
    <w:rsid w:val="004D2CE1"/>
    <w:rsid w:val="004D2CEC"/>
    <w:rsid w:val="004D2E8E"/>
    <w:rsid w:val="004D2EC2"/>
    <w:rsid w:val="004D2F01"/>
    <w:rsid w:val="004D2F2C"/>
    <w:rsid w:val="004D2F5E"/>
    <w:rsid w:val="004D3027"/>
    <w:rsid w:val="004D3071"/>
    <w:rsid w:val="004D30FA"/>
    <w:rsid w:val="004D316E"/>
    <w:rsid w:val="004D3182"/>
    <w:rsid w:val="004D31C5"/>
    <w:rsid w:val="004D31C6"/>
    <w:rsid w:val="004D31FE"/>
    <w:rsid w:val="004D3200"/>
    <w:rsid w:val="004D320D"/>
    <w:rsid w:val="004D344B"/>
    <w:rsid w:val="004D34D6"/>
    <w:rsid w:val="004D34DB"/>
    <w:rsid w:val="004D3544"/>
    <w:rsid w:val="004D358E"/>
    <w:rsid w:val="004D35A8"/>
    <w:rsid w:val="004D35AD"/>
    <w:rsid w:val="004D35D1"/>
    <w:rsid w:val="004D3651"/>
    <w:rsid w:val="004D365E"/>
    <w:rsid w:val="004D36AD"/>
    <w:rsid w:val="004D36FA"/>
    <w:rsid w:val="004D3792"/>
    <w:rsid w:val="004D37B6"/>
    <w:rsid w:val="004D3863"/>
    <w:rsid w:val="004D38B0"/>
    <w:rsid w:val="004D3906"/>
    <w:rsid w:val="004D390F"/>
    <w:rsid w:val="004D39FC"/>
    <w:rsid w:val="004D3A1E"/>
    <w:rsid w:val="004D3A83"/>
    <w:rsid w:val="004D3AA3"/>
    <w:rsid w:val="004D3BBD"/>
    <w:rsid w:val="004D3BDC"/>
    <w:rsid w:val="004D3C59"/>
    <w:rsid w:val="004D3CD7"/>
    <w:rsid w:val="004D3CD9"/>
    <w:rsid w:val="004D3D6B"/>
    <w:rsid w:val="004D3D8D"/>
    <w:rsid w:val="004D3DB4"/>
    <w:rsid w:val="004D3DF8"/>
    <w:rsid w:val="004D3DFA"/>
    <w:rsid w:val="004D3EC9"/>
    <w:rsid w:val="004D3ECC"/>
    <w:rsid w:val="004D3EE0"/>
    <w:rsid w:val="004D3F1B"/>
    <w:rsid w:val="004D40C9"/>
    <w:rsid w:val="004D416E"/>
    <w:rsid w:val="004D4322"/>
    <w:rsid w:val="004D438F"/>
    <w:rsid w:val="004D43C2"/>
    <w:rsid w:val="004D4470"/>
    <w:rsid w:val="004D4474"/>
    <w:rsid w:val="004D455A"/>
    <w:rsid w:val="004D4589"/>
    <w:rsid w:val="004D4687"/>
    <w:rsid w:val="004D479A"/>
    <w:rsid w:val="004D479E"/>
    <w:rsid w:val="004D47C1"/>
    <w:rsid w:val="004D4814"/>
    <w:rsid w:val="004D4868"/>
    <w:rsid w:val="004D4937"/>
    <w:rsid w:val="004D4941"/>
    <w:rsid w:val="004D4952"/>
    <w:rsid w:val="004D496C"/>
    <w:rsid w:val="004D4981"/>
    <w:rsid w:val="004D4AAC"/>
    <w:rsid w:val="004D4B0E"/>
    <w:rsid w:val="004D4C3F"/>
    <w:rsid w:val="004D4CAC"/>
    <w:rsid w:val="004D4D1E"/>
    <w:rsid w:val="004D4DB3"/>
    <w:rsid w:val="004D4F3E"/>
    <w:rsid w:val="004D4F46"/>
    <w:rsid w:val="004D4F49"/>
    <w:rsid w:val="004D4F92"/>
    <w:rsid w:val="004D4FEC"/>
    <w:rsid w:val="004D4FF7"/>
    <w:rsid w:val="004D50DF"/>
    <w:rsid w:val="004D5245"/>
    <w:rsid w:val="004D530C"/>
    <w:rsid w:val="004D5342"/>
    <w:rsid w:val="004D5352"/>
    <w:rsid w:val="004D53D8"/>
    <w:rsid w:val="004D541D"/>
    <w:rsid w:val="004D5441"/>
    <w:rsid w:val="004D54A7"/>
    <w:rsid w:val="004D5526"/>
    <w:rsid w:val="004D555C"/>
    <w:rsid w:val="004D55B4"/>
    <w:rsid w:val="004D55F0"/>
    <w:rsid w:val="004D5613"/>
    <w:rsid w:val="004D56A7"/>
    <w:rsid w:val="004D56E9"/>
    <w:rsid w:val="004D573C"/>
    <w:rsid w:val="004D59A7"/>
    <w:rsid w:val="004D5A1C"/>
    <w:rsid w:val="004D5A56"/>
    <w:rsid w:val="004D5A64"/>
    <w:rsid w:val="004D5A96"/>
    <w:rsid w:val="004D5A99"/>
    <w:rsid w:val="004D5AC3"/>
    <w:rsid w:val="004D5AD7"/>
    <w:rsid w:val="004D5AEB"/>
    <w:rsid w:val="004D5BA6"/>
    <w:rsid w:val="004D5BAA"/>
    <w:rsid w:val="004D5C16"/>
    <w:rsid w:val="004D5C4E"/>
    <w:rsid w:val="004D5C59"/>
    <w:rsid w:val="004D5D1B"/>
    <w:rsid w:val="004D5D29"/>
    <w:rsid w:val="004D5D69"/>
    <w:rsid w:val="004D5D92"/>
    <w:rsid w:val="004D5DA6"/>
    <w:rsid w:val="004D5E52"/>
    <w:rsid w:val="004D5E76"/>
    <w:rsid w:val="004D5EA0"/>
    <w:rsid w:val="004D5EE5"/>
    <w:rsid w:val="004D5F08"/>
    <w:rsid w:val="004D5F2A"/>
    <w:rsid w:val="004D602A"/>
    <w:rsid w:val="004D603F"/>
    <w:rsid w:val="004D6080"/>
    <w:rsid w:val="004D60B8"/>
    <w:rsid w:val="004D610B"/>
    <w:rsid w:val="004D611E"/>
    <w:rsid w:val="004D6150"/>
    <w:rsid w:val="004D61B2"/>
    <w:rsid w:val="004D6274"/>
    <w:rsid w:val="004D63B6"/>
    <w:rsid w:val="004D63F7"/>
    <w:rsid w:val="004D648D"/>
    <w:rsid w:val="004D64AC"/>
    <w:rsid w:val="004D64C7"/>
    <w:rsid w:val="004D6527"/>
    <w:rsid w:val="004D65AC"/>
    <w:rsid w:val="004D65C4"/>
    <w:rsid w:val="004D65C5"/>
    <w:rsid w:val="004D66BA"/>
    <w:rsid w:val="004D66D4"/>
    <w:rsid w:val="004D66E3"/>
    <w:rsid w:val="004D6711"/>
    <w:rsid w:val="004D6765"/>
    <w:rsid w:val="004D67C2"/>
    <w:rsid w:val="004D681A"/>
    <w:rsid w:val="004D6861"/>
    <w:rsid w:val="004D6957"/>
    <w:rsid w:val="004D6A65"/>
    <w:rsid w:val="004D6B4C"/>
    <w:rsid w:val="004D6B95"/>
    <w:rsid w:val="004D6BA3"/>
    <w:rsid w:val="004D6BAF"/>
    <w:rsid w:val="004D6C57"/>
    <w:rsid w:val="004D6D30"/>
    <w:rsid w:val="004D6E01"/>
    <w:rsid w:val="004D6E10"/>
    <w:rsid w:val="004D6E1E"/>
    <w:rsid w:val="004D6E20"/>
    <w:rsid w:val="004D6E51"/>
    <w:rsid w:val="004D6E84"/>
    <w:rsid w:val="004D6F3C"/>
    <w:rsid w:val="004D6FAB"/>
    <w:rsid w:val="004D6FB0"/>
    <w:rsid w:val="004D7053"/>
    <w:rsid w:val="004D709A"/>
    <w:rsid w:val="004D7167"/>
    <w:rsid w:val="004D7201"/>
    <w:rsid w:val="004D722A"/>
    <w:rsid w:val="004D734D"/>
    <w:rsid w:val="004D735A"/>
    <w:rsid w:val="004D742E"/>
    <w:rsid w:val="004D76CC"/>
    <w:rsid w:val="004D77EA"/>
    <w:rsid w:val="004D7830"/>
    <w:rsid w:val="004D7844"/>
    <w:rsid w:val="004D7849"/>
    <w:rsid w:val="004D7868"/>
    <w:rsid w:val="004D78DD"/>
    <w:rsid w:val="004D7A47"/>
    <w:rsid w:val="004D7A4F"/>
    <w:rsid w:val="004D7A88"/>
    <w:rsid w:val="004D7AEA"/>
    <w:rsid w:val="004D7B9C"/>
    <w:rsid w:val="004D7BA3"/>
    <w:rsid w:val="004D7C6C"/>
    <w:rsid w:val="004D7C90"/>
    <w:rsid w:val="004D7CF0"/>
    <w:rsid w:val="004D7D59"/>
    <w:rsid w:val="004D7D5C"/>
    <w:rsid w:val="004D7DC0"/>
    <w:rsid w:val="004D7EEE"/>
    <w:rsid w:val="004D7EFC"/>
    <w:rsid w:val="004D7F3F"/>
    <w:rsid w:val="004D7F80"/>
    <w:rsid w:val="004D7FD3"/>
    <w:rsid w:val="004D7FDC"/>
    <w:rsid w:val="004D7FF9"/>
    <w:rsid w:val="004E0076"/>
    <w:rsid w:val="004E00AC"/>
    <w:rsid w:val="004E00BE"/>
    <w:rsid w:val="004E012C"/>
    <w:rsid w:val="004E0217"/>
    <w:rsid w:val="004E028F"/>
    <w:rsid w:val="004E02D5"/>
    <w:rsid w:val="004E0310"/>
    <w:rsid w:val="004E0358"/>
    <w:rsid w:val="004E035B"/>
    <w:rsid w:val="004E03AF"/>
    <w:rsid w:val="004E041C"/>
    <w:rsid w:val="004E0435"/>
    <w:rsid w:val="004E05E3"/>
    <w:rsid w:val="004E05EE"/>
    <w:rsid w:val="004E062C"/>
    <w:rsid w:val="004E0677"/>
    <w:rsid w:val="004E0797"/>
    <w:rsid w:val="004E0822"/>
    <w:rsid w:val="004E089F"/>
    <w:rsid w:val="004E0932"/>
    <w:rsid w:val="004E0939"/>
    <w:rsid w:val="004E0960"/>
    <w:rsid w:val="004E0972"/>
    <w:rsid w:val="004E09F8"/>
    <w:rsid w:val="004E0AF2"/>
    <w:rsid w:val="004E0AF4"/>
    <w:rsid w:val="004E0B34"/>
    <w:rsid w:val="004E0BAB"/>
    <w:rsid w:val="004E0BCE"/>
    <w:rsid w:val="004E0C4D"/>
    <w:rsid w:val="004E0CD0"/>
    <w:rsid w:val="004E0CF3"/>
    <w:rsid w:val="004E0CFD"/>
    <w:rsid w:val="004E0D0E"/>
    <w:rsid w:val="004E0E1E"/>
    <w:rsid w:val="004E0EDD"/>
    <w:rsid w:val="004E0F50"/>
    <w:rsid w:val="004E0F52"/>
    <w:rsid w:val="004E0FC9"/>
    <w:rsid w:val="004E105A"/>
    <w:rsid w:val="004E10D6"/>
    <w:rsid w:val="004E115B"/>
    <w:rsid w:val="004E124F"/>
    <w:rsid w:val="004E1252"/>
    <w:rsid w:val="004E1323"/>
    <w:rsid w:val="004E13DA"/>
    <w:rsid w:val="004E13EF"/>
    <w:rsid w:val="004E13F8"/>
    <w:rsid w:val="004E1494"/>
    <w:rsid w:val="004E1566"/>
    <w:rsid w:val="004E156E"/>
    <w:rsid w:val="004E15A3"/>
    <w:rsid w:val="004E1667"/>
    <w:rsid w:val="004E169F"/>
    <w:rsid w:val="004E16DE"/>
    <w:rsid w:val="004E1745"/>
    <w:rsid w:val="004E1785"/>
    <w:rsid w:val="004E17D3"/>
    <w:rsid w:val="004E17D9"/>
    <w:rsid w:val="004E1888"/>
    <w:rsid w:val="004E188C"/>
    <w:rsid w:val="004E19FC"/>
    <w:rsid w:val="004E1A00"/>
    <w:rsid w:val="004E1A1A"/>
    <w:rsid w:val="004E1A34"/>
    <w:rsid w:val="004E1A81"/>
    <w:rsid w:val="004E1A83"/>
    <w:rsid w:val="004E1B32"/>
    <w:rsid w:val="004E1B63"/>
    <w:rsid w:val="004E1B76"/>
    <w:rsid w:val="004E1B9A"/>
    <w:rsid w:val="004E1BFD"/>
    <w:rsid w:val="004E1C0F"/>
    <w:rsid w:val="004E1C58"/>
    <w:rsid w:val="004E1CC9"/>
    <w:rsid w:val="004E1CD8"/>
    <w:rsid w:val="004E1D2B"/>
    <w:rsid w:val="004E1DBF"/>
    <w:rsid w:val="004E1DDD"/>
    <w:rsid w:val="004E1E27"/>
    <w:rsid w:val="004E1E50"/>
    <w:rsid w:val="004E1E69"/>
    <w:rsid w:val="004E1EFA"/>
    <w:rsid w:val="004E1F1D"/>
    <w:rsid w:val="004E1FA8"/>
    <w:rsid w:val="004E1FE2"/>
    <w:rsid w:val="004E2013"/>
    <w:rsid w:val="004E203A"/>
    <w:rsid w:val="004E2059"/>
    <w:rsid w:val="004E20C8"/>
    <w:rsid w:val="004E221A"/>
    <w:rsid w:val="004E2265"/>
    <w:rsid w:val="004E229C"/>
    <w:rsid w:val="004E2338"/>
    <w:rsid w:val="004E2377"/>
    <w:rsid w:val="004E2477"/>
    <w:rsid w:val="004E24B1"/>
    <w:rsid w:val="004E24B4"/>
    <w:rsid w:val="004E24B8"/>
    <w:rsid w:val="004E24D3"/>
    <w:rsid w:val="004E2513"/>
    <w:rsid w:val="004E2555"/>
    <w:rsid w:val="004E2558"/>
    <w:rsid w:val="004E258D"/>
    <w:rsid w:val="004E2611"/>
    <w:rsid w:val="004E2642"/>
    <w:rsid w:val="004E27B7"/>
    <w:rsid w:val="004E280B"/>
    <w:rsid w:val="004E2870"/>
    <w:rsid w:val="004E2874"/>
    <w:rsid w:val="004E2875"/>
    <w:rsid w:val="004E2896"/>
    <w:rsid w:val="004E28DB"/>
    <w:rsid w:val="004E28F0"/>
    <w:rsid w:val="004E2914"/>
    <w:rsid w:val="004E29E5"/>
    <w:rsid w:val="004E2AFF"/>
    <w:rsid w:val="004E2B2A"/>
    <w:rsid w:val="004E2B33"/>
    <w:rsid w:val="004E2D4B"/>
    <w:rsid w:val="004E2D8C"/>
    <w:rsid w:val="004E2D9D"/>
    <w:rsid w:val="004E2DA3"/>
    <w:rsid w:val="004E2E35"/>
    <w:rsid w:val="004E2EC1"/>
    <w:rsid w:val="004E2EC8"/>
    <w:rsid w:val="004E2F38"/>
    <w:rsid w:val="004E2FBA"/>
    <w:rsid w:val="004E3044"/>
    <w:rsid w:val="004E306E"/>
    <w:rsid w:val="004E30AF"/>
    <w:rsid w:val="004E30C3"/>
    <w:rsid w:val="004E3104"/>
    <w:rsid w:val="004E311E"/>
    <w:rsid w:val="004E312A"/>
    <w:rsid w:val="004E317B"/>
    <w:rsid w:val="004E31A5"/>
    <w:rsid w:val="004E31AC"/>
    <w:rsid w:val="004E31E9"/>
    <w:rsid w:val="004E31ED"/>
    <w:rsid w:val="004E327D"/>
    <w:rsid w:val="004E32E5"/>
    <w:rsid w:val="004E32FE"/>
    <w:rsid w:val="004E3362"/>
    <w:rsid w:val="004E33A3"/>
    <w:rsid w:val="004E3437"/>
    <w:rsid w:val="004E3478"/>
    <w:rsid w:val="004E34BD"/>
    <w:rsid w:val="004E34C7"/>
    <w:rsid w:val="004E34D9"/>
    <w:rsid w:val="004E3505"/>
    <w:rsid w:val="004E35A8"/>
    <w:rsid w:val="004E35B9"/>
    <w:rsid w:val="004E361F"/>
    <w:rsid w:val="004E373A"/>
    <w:rsid w:val="004E3781"/>
    <w:rsid w:val="004E37A5"/>
    <w:rsid w:val="004E38AA"/>
    <w:rsid w:val="004E38C8"/>
    <w:rsid w:val="004E3980"/>
    <w:rsid w:val="004E39C6"/>
    <w:rsid w:val="004E39D6"/>
    <w:rsid w:val="004E3B52"/>
    <w:rsid w:val="004E3C22"/>
    <w:rsid w:val="004E3CD2"/>
    <w:rsid w:val="004E3E02"/>
    <w:rsid w:val="004E3E23"/>
    <w:rsid w:val="004E3EA2"/>
    <w:rsid w:val="004E419F"/>
    <w:rsid w:val="004E426D"/>
    <w:rsid w:val="004E42A3"/>
    <w:rsid w:val="004E42C2"/>
    <w:rsid w:val="004E42EF"/>
    <w:rsid w:val="004E42F4"/>
    <w:rsid w:val="004E437C"/>
    <w:rsid w:val="004E4421"/>
    <w:rsid w:val="004E443A"/>
    <w:rsid w:val="004E4570"/>
    <w:rsid w:val="004E4589"/>
    <w:rsid w:val="004E4596"/>
    <w:rsid w:val="004E45F9"/>
    <w:rsid w:val="004E4709"/>
    <w:rsid w:val="004E471E"/>
    <w:rsid w:val="004E4756"/>
    <w:rsid w:val="004E4801"/>
    <w:rsid w:val="004E4803"/>
    <w:rsid w:val="004E4808"/>
    <w:rsid w:val="004E4825"/>
    <w:rsid w:val="004E48E5"/>
    <w:rsid w:val="004E48EC"/>
    <w:rsid w:val="004E4A44"/>
    <w:rsid w:val="004E4B48"/>
    <w:rsid w:val="004E4C15"/>
    <w:rsid w:val="004E4C17"/>
    <w:rsid w:val="004E4C4C"/>
    <w:rsid w:val="004E4CB0"/>
    <w:rsid w:val="004E4CC5"/>
    <w:rsid w:val="004E4D04"/>
    <w:rsid w:val="004E4D2E"/>
    <w:rsid w:val="004E4D38"/>
    <w:rsid w:val="004E4D49"/>
    <w:rsid w:val="004E4E3B"/>
    <w:rsid w:val="004E4E45"/>
    <w:rsid w:val="004E4E68"/>
    <w:rsid w:val="004E4EA3"/>
    <w:rsid w:val="004E4F0E"/>
    <w:rsid w:val="004E4F64"/>
    <w:rsid w:val="004E4FB5"/>
    <w:rsid w:val="004E4FE2"/>
    <w:rsid w:val="004E4FF6"/>
    <w:rsid w:val="004E501F"/>
    <w:rsid w:val="004E5030"/>
    <w:rsid w:val="004E503A"/>
    <w:rsid w:val="004E503E"/>
    <w:rsid w:val="004E5054"/>
    <w:rsid w:val="004E50D7"/>
    <w:rsid w:val="004E520F"/>
    <w:rsid w:val="004E522E"/>
    <w:rsid w:val="004E52ED"/>
    <w:rsid w:val="004E5316"/>
    <w:rsid w:val="004E5355"/>
    <w:rsid w:val="004E5390"/>
    <w:rsid w:val="004E547B"/>
    <w:rsid w:val="004E5489"/>
    <w:rsid w:val="004E552F"/>
    <w:rsid w:val="004E553F"/>
    <w:rsid w:val="004E562E"/>
    <w:rsid w:val="004E5644"/>
    <w:rsid w:val="004E570A"/>
    <w:rsid w:val="004E57ED"/>
    <w:rsid w:val="004E5832"/>
    <w:rsid w:val="004E5892"/>
    <w:rsid w:val="004E5904"/>
    <w:rsid w:val="004E5953"/>
    <w:rsid w:val="004E5AA2"/>
    <w:rsid w:val="004E5ACD"/>
    <w:rsid w:val="004E5AFB"/>
    <w:rsid w:val="004E5B5B"/>
    <w:rsid w:val="004E5BA6"/>
    <w:rsid w:val="004E5BA8"/>
    <w:rsid w:val="004E5BCA"/>
    <w:rsid w:val="004E5C0C"/>
    <w:rsid w:val="004E5C74"/>
    <w:rsid w:val="004E5CBA"/>
    <w:rsid w:val="004E5D2B"/>
    <w:rsid w:val="004E5DAF"/>
    <w:rsid w:val="004E5DBA"/>
    <w:rsid w:val="004E5DCC"/>
    <w:rsid w:val="004E5DD6"/>
    <w:rsid w:val="004E5E07"/>
    <w:rsid w:val="004E5E66"/>
    <w:rsid w:val="004E5ED3"/>
    <w:rsid w:val="004E6108"/>
    <w:rsid w:val="004E616D"/>
    <w:rsid w:val="004E6182"/>
    <w:rsid w:val="004E61C3"/>
    <w:rsid w:val="004E61C7"/>
    <w:rsid w:val="004E6207"/>
    <w:rsid w:val="004E6299"/>
    <w:rsid w:val="004E62C7"/>
    <w:rsid w:val="004E6366"/>
    <w:rsid w:val="004E636C"/>
    <w:rsid w:val="004E6399"/>
    <w:rsid w:val="004E63A0"/>
    <w:rsid w:val="004E63F7"/>
    <w:rsid w:val="004E645B"/>
    <w:rsid w:val="004E64B4"/>
    <w:rsid w:val="004E6502"/>
    <w:rsid w:val="004E6607"/>
    <w:rsid w:val="004E6657"/>
    <w:rsid w:val="004E66D1"/>
    <w:rsid w:val="004E66E8"/>
    <w:rsid w:val="004E6715"/>
    <w:rsid w:val="004E671B"/>
    <w:rsid w:val="004E672B"/>
    <w:rsid w:val="004E6741"/>
    <w:rsid w:val="004E67C0"/>
    <w:rsid w:val="004E67DB"/>
    <w:rsid w:val="004E67F6"/>
    <w:rsid w:val="004E6809"/>
    <w:rsid w:val="004E682C"/>
    <w:rsid w:val="004E684A"/>
    <w:rsid w:val="004E687F"/>
    <w:rsid w:val="004E6881"/>
    <w:rsid w:val="004E68B3"/>
    <w:rsid w:val="004E68FC"/>
    <w:rsid w:val="004E6918"/>
    <w:rsid w:val="004E6A19"/>
    <w:rsid w:val="004E6A1C"/>
    <w:rsid w:val="004E6A1E"/>
    <w:rsid w:val="004E6A92"/>
    <w:rsid w:val="004E6B03"/>
    <w:rsid w:val="004E6B6E"/>
    <w:rsid w:val="004E6BE0"/>
    <w:rsid w:val="004E6CD2"/>
    <w:rsid w:val="004E6D6D"/>
    <w:rsid w:val="004E6D97"/>
    <w:rsid w:val="004E6E0C"/>
    <w:rsid w:val="004E6E9E"/>
    <w:rsid w:val="004E6FC6"/>
    <w:rsid w:val="004E703C"/>
    <w:rsid w:val="004E7080"/>
    <w:rsid w:val="004E70A3"/>
    <w:rsid w:val="004E70AF"/>
    <w:rsid w:val="004E70D2"/>
    <w:rsid w:val="004E713A"/>
    <w:rsid w:val="004E7142"/>
    <w:rsid w:val="004E7181"/>
    <w:rsid w:val="004E7254"/>
    <w:rsid w:val="004E7271"/>
    <w:rsid w:val="004E72D5"/>
    <w:rsid w:val="004E7362"/>
    <w:rsid w:val="004E740A"/>
    <w:rsid w:val="004E742E"/>
    <w:rsid w:val="004E7658"/>
    <w:rsid w:val="004E765F"/>
    <w:rsid w:val="004E76E5"/>
    <w:rsid w:val="004E7766"/>
    <w:rsid w:val="004E783B"/>
    <w:rsid w:val="004E7855"/>
    <w:rsid w:val="004E78B5"/>
    <w:rsid w:val="004E793B"/>
    <w:rsid w:val="004E79F3"/>
    <w:rsid w:val="004E7A0A"/>
    <w:rsid w:val="004E7A2F"/>
    <w:rsid w:val="004E7B18"/>
    <w:rsid w:val="004E7B43"/>
    <w:rsid w:val="004E7B71"/>
    <w:rsid w:val="004E7C11"/>
    <w:rsid w:val="004E7C6D"/>
    <w:rsid w:val="004E7C75"/>
    <w:rsid w:val="004E7C89"/>
    <w:rsid w:val="004E7D01"/>
    <w:rsid w:val="004E7D4B"/>
    <w:rsid w:val="004E7F30"/>
    <w:rsid w:val="004E7F35"/>
    <w:rsid w:val="004E7F42"/>
    <w:rsid w:val="004E7F7A"/>
    <w:rsid w:val="004E7F88"/>
    <w:rsid w:val="004F000C"/>
    <w:rsid w:val="004F00A1"/>
    <w:rsid w:val="004F0169"/>
    <w:rsid w:val="004F01A8"/>
    <w:rsid w:val="004F025C"/>
    <w:rsid w:val="004F0330"/>
    <w:rsid w:val="004F0371"/>
    <w:rsid w:val="004F0375"/>
    <w:rsid w:val="004F037C"/>
    <w:rsid w:val="004F038D"/>
    <w:rsid w:val="004F0393"/>
    <w:rsid w:val="004F03C5"/>
    <w:rsid w:val="004F040E"/>
    <w:rsid w:val="004F0581"/>
    <w:rsid w:val="004F0626"/>
    <w:rsid w:val="004F0661"/>
    <w:rsid w:val="004F06C9"/>
    <w:rsid w:val="004F06CE"/>
    <w:rsid w:val="004F074F"/>
    <w:rsid w:val="004F0785"/>
    <w:rsid w:val="004F07F1"/>
    <w:rsid w:val="004F083E"/>
    <w:rsid w:val="004F08B3"/>
    <w:rsid w:val="004F08BD"/>
    <w:rsid w:val="004F08E6"/>
    <w:rsid w:val="004F08E8"/>
    <w:rsid w:val="004F09BE"/>
    <w:rsid w:val="004F0AC6"/>
    <w:rsid w:val="004F0B2A"/>
    <w:rsid w:val="004F0B4F"/>
    <w:rsid w:val="004F0BB6"/>
    <w:rsid w:val="004F0C36"/>
    <w:rsid w:val="004F0D26"/>
    <w:rsid w:val="004F0D4C"/>
    <w:rsid w:val="004F0D4D"/>
    <w:rsid w:val="004F0DB5"/>
    <w:rsid w:val="004F0F31"/>
    <w:rsid w:val="004F0F5E"/>
    <w:rsid w:val="004F0FB3"/>
    <w:rsid w:val="004F102B"/>
    <w:rsid w:val="004F1087"/>
    <w:rsid w:val="004F110D"/>
    <w:rsid w:val="004F1127"/>
    <w:rsid w:val="004F11F6"/>
    <w:rsid w:val="004F1219"/>
    <w:rsid w:val="004F12B9"/>
    <w:rsid w:val="004F12E9"/>
    <w:rsid w:val="004F138B"/>
    <w:rsid w:val="004F142F"/>
    <w:rsid w:val="004F1458"/>
    <w:rsid w:val="004F14CD"/>
    <w:rsid w:val="004F14D4"/>
    <w:rsid w:val="004F1550"/>
    <w:rsid w:val="004F16A1"/>
    <w:rsid w:val="004F16CB"/>
    <w:rsid w:val="004F16D6"/>
    <w:rsid w:val="004F18E8"/>
    <w:rsid w:val="004F1919"/>
    <w:rsid w:val="004F1990"/>
    <w:rsid w:val="004F1A2D"/>
    <w:rsid w:val="004F1A2E"/>
    <w:rsid w:val="004F1A40"/>
    <w:rsid w:val="004F1A5C"/>
    <w:rsid w:val="004F1A6C"/>
    <w:rsid w:val="004F1A80"/>
    <w:rsid w:val="004F1A83"/>
    <w:rsid w:val="004F1BB9"/>
    <w:rsid w:val="004F1BCF"/>
    <w:rsid w:val="004F1C76"/>
    <w:rsid w:val="004F1C7F"/>
    <w:rsid w:val="004F1D0D"/>
    <w:rsid w:val="004F1DA8"/>
    <w:rsid w:val="004F1DB0"/>
    <w:rsid w:val="004F1E2A"/>
    <w:rsid w:val="004F1E4E"/>
    <w:rsid w:val="004F1E9D"/>
    <w:rsid w:val="004F1FB3"/>
    <w:rsid w:val="004F1FC4"/>
    <w:rsid w:val="004F2033"/>
    <w:rsid w:val="004F20F8"/>
    <w:rsid w:val="004F2113"/>
    <w:rsid w:val="004F2182"/>
    <w:rsid w:val="004F23F5"/>
    <w:rsid w:val="004F241F"/>
    <w:rsid w:val="004F2450"/>
    <w:rsid w:val="004F2457"/>
    <w:rsid w:val="004F24B9"/>
    <w:rsid w:val="004F25D2"/>
    <w:rsid w:val="004F2677"/>
    <w:rsid w:val="004F2688"/>
    <w:rsid w:val="004F268E"/>
    <w:rsid w:val="004F278B"/>
    <w:rsid w:val="004F292C"/>
    <w:rsid w:val="004F2A4E"/>
    <w:rsid w:val="004F2AC1"/>
    <w:rsid w:val="004F2AEB"/>
    <w:rsid w:val="004F2B3B"/>
    <w:rsid w:val="004F2BA0"/>
    <w:rsid w:val="004F2C5D"/>
    <w:rsid w:val="004F2C77"/>
    <w:rsid w:val="004F2CC4"/>
    <w:rsid w:val="004F2CF5"/>
    <w:rsid w:val="004F2D8F"/>
    <w:rsid w:val="004F2D92"/>
    <w:rsid w:val="004F2E66"/>
    <w:rsid w:val="004F2EE4"/>
    <w:rsid w:val="004F2F6D"/>
    <w:rsid w:val="004F2FC4"/>
    <w:rsid w:val="004F2FCB"/>
    <w:rsid w:val="004F2FCF"/>
    <w:rsid w:val="004F2FE3"/>
    <w:rsid w:val="004F3030"/>
    <w:rsid w:val="004F303E"/>
    <w:rsid w:val="004F3054"/>
    <w:rsid w:val="004F3072"/>
    <w:rsid w:val="004F30B3"/>
    <w:rsid w:val="004F30CB"/>
    <w:rsid w:val="004F30DF"/>
    <w:rsid w:val="004F3130"/>
    <w:rsid w:val="004F3137"/>
    <w:rsid w:val="004F319D"/>
    <w:rsid w:val="004F31A7"/>
    <w:rsid w:val="004F31C2"/>
    <w:rsid w:val="004F31D9"/>
    <w:rsid w:val="004F321B"/>
    <w:rsid w:val="004F3276"/>
    <w:rsid w:val="004F327F"/>
    <w:rsid w:val="004F334D"/>
    <w:rsid w:val="004F3377"/>
    <w:rsid w:val="004F338E"/>
    <w:rsid w:val="004F33C1"/>
    <w:rsid w:val="004F340A"/>
    <w:rsid w:val="004F344B"/>
    <w:rsid w:val="004F3455"/>
    <w:rsid w:val="004F349A"/>
    <w:rsid w:val="004F35C7"/>
    <w:rsid w:val="004F35E0"/>
    <w:rsid w:val="004F363D"/>
    <w:rsid w:val="004F3642"/>
    <w:rsid w:val="004F3712"/>
    <w:rsid w:val="004F379A"/>
    <w:rsid w:val="004F383F"/>
    <w:rsid w:val="004F3857"/>
    <w:rsid w:val="004F385D"/>
    <w:rsid w:val="004F390E"/>
    <w:rsid w:val="004F3958"/>
    <w:rsid w:val="004F3A1C"/>
    <w:rsid w:val="004F3A80"/>
    <w:rsid w:val="004F3AD5"/>
    <w:rsid w:val="004F3B18"/>
    <w:rsid w:val="004F3B46"/>
    <w:rsid w:val="004F3B66"/>
    <w:rsid w:val="004F3CDD"/>
    <w:rsid w:val="004F3CDF"/>
    <w:rsid w:val="004F3D3C"/>
    <w:rsid w:val="004F3D71"/>
    <w:rsid w:val="004F3DB8"/>
    <w:rsid w:val="004F3DC3"/>
    <w:rsid w:val="004F3E00"/>
    <w:rsid w:val="004F3E8B"/>
    <w:rsid w:val="004F3EF0"/>
    <w:rsid w:val="004F3FD3"/>
    <w:rsid w:val="004F4007"/>
    <w:rsid w:val="004F405C"/>
    <w:rsid w:val="004F40C9"/>
    <w:rsid w:val="004F4119"/>
    <w:rsid w:val="004F420C"/>
    <w:rsid w:val="004F4264"/>
    <w:rsid w:val="004F4273"/>
    <w:rsid w:val="004F4275"/>
    <w:rsid w:val="004F4299"/>
    <w:rsid w:val="004F42A0"/>
    <w:rsid w:val="004F42AB"/>
    <w:rsid w:val="004F42E1"/>
    <w:rsid w:val="004F42F6"/>
    <w:rsid w:val="004F4309"/>
    <w:rsid w:val="004F445A"/>
    <w:rsid w:val="004F4472"/>
    <w:rsid w:val="004F4483"/>
    <w:rsid w:val="004F459D"/>
    <w:rsid w:val="004F45C7"/>
    <w:rsid w:val="004F45E8"/>
    <w:rsid w:val="004F464A"/>
    <w:rsid w:val="004F4662"/>
    <w:rsid w:val="004F46CC"/>
    <w:rsid w:val="004F46E5"/>
    <w:rsid w:val="004F47BB"/>
    <w:rsid w:val="004F47F1"/>
    <w:rsid w:val="004F486E"/>
    <w:rsid w:val="004F4882"/>
    <w:rsid w:val="004F4884"/>
    <w:rsid w:val="004F492A"/>
    <w:rsid w:val="004F4968"/>
    <w:rsid w:val="004F49BE"/>
    <w:rsid w:val="004F49F8"/>
    <w:rsid w:val="004F4A66"/>
    <w:rsid w:val="004F4AB2"/>
    <w:rsid w:val="004F4BCF"/>
    <w:rsid w:val="004F4C43"/>
    <w:rsid w:val="004F4D17"/>
    <w:rsid w:val="004F4D26"/>
    <w:rsid w:val="004F4DAA"/>
    <w:rsid w:val="004F4DD7"/>
    <w:rsid w:val="004F4F61"/>
    <w:rsid w:val="004F4FF2"/>
    <w:rsid w:val="004F4FF8"/>
    <w:rsid w:val="004F5016"/>
    <w:rsid w:val="004F5047"/>
    <w:rsid w:val="004F5079"/>
    <w:rsid w:val="004F51AC"/>
    <w:rsid w:val="004F51B9"/>
    <w:rsid w:val="004F524B"/>
    <w:rsid w:val="004F52E3"/>
    <w:rsid w:val="004F5346"/>
    <w:rsid w:val="004F5356"/>
    <w:rsid w:val="004F539D"/>
    <w:rsid w:val="004F53C8"/>
    <w:rsid w:val="004F5403"/>
    <w:rsid w:val="004F540D"/>
    <w:rsid w:val="004F5473"/>
    <w:rsid w:val="004F54EB"/>
    <w:rsid w:val="004F54F4"/>
    <w:rsid w:val="004F5579"/>
    <w:rsid w:val="004F559D"/>
    <w:rsid w:val="004F55E6"/>
    <w:rsid w:val="004F5652"/>
    <w:rsid w:val="004F5666"/>
    <w:rsid w:val="004F56FA"/>
    <w:rsid w:val="004F579C"/>
    <w:rsid w:val="004F579E"/>
    <w:rsid w:val="004F57DD"/>
    <w:rsid w:val="004F592A"/>
    <w:rsid w:val="004F5937"/>
    <w:rsid w:val="004F595C"/>
    <w:rsid w:val="004F595E"/>
    <w:rsid w:val="004F59E0"/>
    <w:rsid w:val="004F59F7"/>
    <w:rsid w:val="004F5A08"/>
    <w:rsid w:val="004F5A1C"/>
    <w:rsid w:val="004F5A3A"/>
    <w:rsid w:val="004F5A5C"/>
    <w:rsid w:val="004F5AD0"/>
    <w:rsid w:val="004F5ADB"/>
    <w:rsid w:val="004F5B1F"/>
    <w:rsid w:val="004F5B73"/>
    <w:rsid w:val="004F5BB3"/>
    <w:rsid w:val="004F5CB3"/>
    <w:rsid w:val="004F5D5E"/>
    <w:rsid w:val="004F5D9B"/>
    <w:rsid w:val="004F5DFE"/>
    <w:rsid w:val="004F5E32"/>
    <w:rsid w:val="004F5E64"/>
    <w:rsid w:val="004F5EDE"/>
    <w:rsid w:val="004F5F04"/>
    <w:rsid w:val="004F5F66"/>
    <w:rsid w:val="004F5F81"/>
    <w:rsid w:val="004F5F8D"/>
    <w:rsid w:val="004F5FED"/>
    <w:rsid w:val="004F6027"/>
    <w:rsid w:val="004F6030"/>
    <w:rsid w:val="004F610A"/>
    <w:rsid w:val="004F610E"/>
    <w:rsid w:val="004F6118"/>
    <w:rsid w:val="004F616F"/>
    <w:rsid w:val="004F61EA"/>
    <w:rsid w:val="004F6233"/>
    <w:rsid w:val="004F6299"/>
    <w:rsid w:val="004F62F4"/>
    <w:rsid w:val="004F639C"/>
    <w:rsid w:val="004F6484"/>
    <w:rsid w:val="004F64AF"/>
    <w:rsid w:val="004F6539"/>
    <w:rsid w:val="004F65AB"/>
    <w:rsid w:val="004F65B1"/>
    <w:rsid w:val="004F6613"/>
    <w:rsid w:val="004F661F"/>
    <w:rsid w:val="004F6750"/>
    <w:rsid w:val="004F67FB"/>
    <w:rsid w:val="004F69A2"/>
    <w:rsid w:val="004F69C6"/>
    <w:rsid w:val="004F6A43"/>
    <w:rsid w:val="004F6AA9"/>
    <w:rsid w:val="004F6ADE"/>
    <w:rsid w:val="004F6AED"/>
    <w:rsid w:val="004F6AF1"/>
    <w:rsid w:val="004F6AFC"/>
    <w:rsid w:val="004F6B31"/>
    <w:rsid w:val="004F6BA7"/>
    <w:rsid w:val="004F6CE2"/>
    <w:rsid w:val="004F6CEA"/>
    <w:rsid w:val="004F6CF3"/>
    <w:rsid w:val="004F6CF9"/>
    <w:rsid w:val="004F6D48"/>
    <w:rsid w:val="004F6EA7"/>
    <w:rsid w:val="004F6EFB"/>
    <w:rsid w:val="004F6F39"/>
    <w:rsid w:val="004F6F6D"/>
    <w:rsid w:val="004F7075"/>
    <w:rsid w:val="004F7087"/>
    <w:rsid w:val="004F7112"/>
    <w:rsid w:val="004F7120"/>
    <w:rsid w:val="004F71B9"/>
    <w:rsid w:val="004F7250"/>
    <w:rsid w:val="004F72EC"/>
    <w:rsid w:val="004F72FA"/>
    <w:rsid w:val="004F7321"/>
    <w:rsid w:val="004F732B"/>
    <w:rsid w:val="004F7336"/>
    <w:rsid w:val="004F7348"/>
    <w:rsid w:val="004F7358"/>
    <w:rsid w:val="004F741A"/>
    <w:rsid w:val="004F7460"/>
    <w:rsid w:val="004F7467"/>
    <w:rsid w:val="004F750A"/>
    <w:rsid w:val="004F750F"/>
    <w:rsid w:val="004F753C"/>
    <w:rsid w:val="004F764B"/>
    <w:rsid w:val="004F767B"/>
    <w:rsid w:val="004F7688"/>
    <w:rsid w:val="004F76DA"/>
    <w:rsid w:val="004F772E"/>
    <w:rsid w:val="004F77B0"/>
    <w:rsid w:val="004F77B8"/>
    <w:rsid w:val="004F78D9"/>
    <w:rsid w:val="004F78E0"/>
    <w:rsid w:val="004F7946"/>
    <w:rsid w:val="004F79D8"/>
    <w:rsid w:val="004F79DA"/>
    <w:rsid w:val="004F79EA"/>
    <w:rsid w:val="004F7A6B"/>
    <w:rsid w:val="004F7B17"/>
    <w:rsid w:val="004F7BE7"/>
    <w:rsid w:val="004F7C12"/>
    <w:rsid w:val="004F7C13"/>
    <w:rsid w:val="004F7C17"/>
    <w:rsid w:val="004F7CAF"/>
    <w:rsid w:val="004F7D0F"/>
    <w:rsid w:val="004F7D1E"/>
    <w:rsid w:val="004F7D23"/>
    <w:rsid w:val="004F7DE1"/>
    <w:rsid w:val="004F7DF3"/>
    <w:rsid w:val="004F7F2C"/>
    <w:rsid w:val="004F7F30"/>
    <w:rsid w:val="004F7FD1"/>
    <w:rsid w:val="004F7FE2"/>
    <w:rsid w:val="004F7FFC"/>
    <w:rsid w:val="0050000B"/>
    <w:rsid w:val="005000C2"/>
    <w:rsid w:val="005000EA"/>
    <w:rsid w:val="005000F3"/>
    <w:rsid w:val="00500105"/>
    <w:rsid w:val="00500119"/>
    <w:rsid w:val="00500145"/>
    <w:rsid w:val="005001FB"/>
    <w:rsid w:val="005002AF"/>
    <w:rsid w:val="00500325"/>
    <w:rsid w:val="00500337"/>
    <w:rsid w:val="00500385"/>
    <w:rsid w:val="005003D0"/>
    <w:rsid w:val="005003EE"/>
    <w:rsid w:val="0050043E"/>
    <w:rsid w:val="00500458"/>
    <w:rsid w:val="00500470"/>
    <w:rsid w:val="00500494"/>
    <w:rsid w:val="005004CC"/>
    <w:rsid w:val="00500508"/>
    <w:rsid w:val="00500516"/>
    <w:rsid w:val="0050051A"/>
    <w:rsid w:val="00500601"/>
    <w:rsid w:val="00500609"/>
    <w:rsid w:val="0050067B"/>
    <w:rsid w:val="005006BC"/>
    <w:rsid w:val="0050071E"/>
    <w:rsid w:val="005007A2"/>
    <w:rsid w:val="005007B1"/>
    <w:rsid w:val="005007D2"/>
    <w:rsid w:val="00500803"/>
    <w:rsid w:val="00500826"/>
    <w:rsid w:val="00500899"/>
    <w:rsid w:val="005008DD"/>
    <w:rsid w:val="005008E1"/>
    <w:rsid w:val="005009A1"/>
    <w:rsid w:val="00500A00"/>
    <w:rsid w:val="00500ACF"/>
    <w:rsid w:val="00500B7A"/>
    <w:rsid w:val="00500C3A"/>
    <w:rsid w:val="00500C90"/>
    <w:rsid w:val="00500CC6"/>
    <w:rsid w:val="00500D1A"/>
    <w:rsid w:val="00500E29"/>
    <w:rsid w:val="00500E5D"/>
    <w:rsid w:val="00500E5F"/>
    <w:rsid w:val="00500E80"/>
    <w:rsid w:val="00500E9A"/>
    <w:rsid w:val="00500EBA"/>
    <w:rsid w:val="00500F17"/>
    <w:rsid w:val="00500F19"/>
    <w:rsid w:val="005010A7"/>
    <w:rsid w:val="00501116"/>
    <w:rsid w:val="0050119A"/>
    <w:rsid w:val="005011A0"/>
    <w:rsid w:val="00501240"/>
    <w:rsid w:val="00501389"/>
    <w:rsid w:val="005013E6"/>
    <w:rsid w:val="005013F0"/>
    <w:rsid w:val="005013FD"/>
    <w:rsid w:val="00501471"/>
    <w:rsid w:val="005014F5"/>
    <w:rsid w:val="00501565"/>
    <w:rsid w:val="0050158A"/>
    <w:rsid w:val="00501597"/>
    <w:rsid w:val="005016E1"/>
    <w:rsid w:val="0050172C"/>
    <w:rsid w:val="00501753"/>
    <w:rsid w:val="005017A1"/>
    <w:rsid w:val="005017C4"/>
    <w:rsid w:val="005017C7"/>
    <w:rsid w:val="00501813"/>
    <w:rsid w:val="0050187C"/>
    <w:rsid w:val="0050188F"/>
    <w:rsid w:val="00501918"/>
    <w:rsid w:val="0050192D"/>
    <w:rsid w:val="0050193C"/>
    <w:rsid w:val="00501A03"/>
    <w:rsid w:val="00501AA4"/>
    <w:rsid w:val="00501AD5"/>
    <w:rsid w:val="00501B0E"/>
    <w:rsid w:val="00501B69"/>
    <w:rsid w:val="00501BCC"/>
    <w:rsid w:val="00501BEE"/>
    <w:rsid w:val="00501C07"/>
    <w:rsid w:val="00501C5B"/>
    <w:rsid w:val="00501CA3"/>
    <w:rsid w:val="00501CCF"/>
    <w:rsid w:val="00501CEB"/>
    <w:rsid w:val="00501D0E"/>
    <w:rsid w:val="00501D3A"/>
    <w:rsid w:val="00501DEE"/>
    <w:rsid w:val="00501E54"/>
    <w:rsid w:val="00501E65"/>
    <w:rsid w:val="00501EEF"/>
    <w:rsid w:val="00501F36"/>
    <w:rsid w:val="00502031"/>
    <w:rsid w:val="00502056"/>
    <w:rsid w:val="005020A1"/>
    <w:rsid w:val="005020C0"/>
    <w:rsid w:val="00502130"/>
    <w:rsid w:val="0050215B"/>
    <w:rsid w:val="00502173"/>
    <w:rsid w:val="00502191"/>
    <w:rsid w:val="005021A5"/>
    <w:rsid w:val="00502214"/>
    <w:rsid w:val="00502239"/>
    <w:rsid w:val="0050223C"/>
    <w:rsid w:val="0050223F"/>
    <w:rsid w:val="005022E7"/>
    <w:rsid w:val="0050238A"/>
    <w:rsid w:val="00502416"/>
    <w:rsid w:val="0050258C"/>
    <w:rsid w:val="00502729"/>
    <w:rsid w:val="0050274F"/>
    <w:rsid w:val="005027C7"/>
    <w:rsid w:val="005028EF"/>
    <w:rsid w:val="005028FB"/>
    <w:rsid w:val="00502974"/>
    <w:rsid w:val="00502994"/>
    <w:rsid w:val="00502B17"/>
    <w:rsid w:val="00502B60"/>
    <w:rsid w:val="00502B9F"/>
    <w:rsid w:val="00502BB5"/>
    <w:rsid w:val="00502C8C"/>
    <w:rsid w:val="00502D66"/>
    <w:rsid w:val="00502D97"/>
    <w:rsid w:val="00502D98"/>
    <w:rsid w:val="00502DA6"/>
    <w:rsid w:val="00502E1C"/>
    <w:rsid w:val="00502F0D"/>
    <w:rsid w:val="00502F18"/>
    <w:rsid w:val="00502F2C"/>
    <w:rsid w:val="00502F2D"/>
    <w:rsid w:val="0050305F"/>
    <w:rsid w:val="005030AA"/>
    <w:rsid w:val="00503128"/>
    <w:rsid w:val="005031F3"/>
    <w:rsid w:val="005031F5"/>
    <w:rsid w:val="00503208"/>
    <w:rsid w:val="00503232"/>
    <w:rsid w:val="005032CE"/>
    <w:rsid w:val="005032FB"/>
    <w:rsid w:val="00503306"/>
    <w:rsid w:val="0050332D"/>
    <w:rsid w:val="00503369"/>
    <w:rsid w:val="0050341C"/>
    <w:rsid w:val="0050342C"/>
    <w:rsid w:val="0050358C"/>
    <w:rsid w:val="0050358D"/>
    <w:rsid w:val="005035B2"/>
    <w:rsid w:val="00503604"/>
    <w:rsid w:val="00503606"/>
    <w:rsid w:val="0050361C"/>
    <w:rsid w:val="005036D0"/>
    <w:rsid w:val="005036E7"/>
    <w:rsid w:val="005036F3"/>
    <w:rsid w:val="00503713"/>
    <w:rsid w:val="00503715"/>
    <w:rsid w:val="0050371C"/>
    <w:rsid w:val="0050373C"/>
    <w:rsid w:val="00503740"/>
    <w:rsid w:val="00503744"/>
    <w:rsid w:val="00503787"/>
    <w:rsid w:val="005037E2"/>
    <w:rsid w:val="005037E3"/>
    <w:rsid w:val="005037EB"/>
    <w:rsid w:val="00503844"/>
    <w:rsid w:val="0050387C"/>
    <w:rsid w:val="00503944"/>
    <w:rsid w:val="005039CC"/>
    <w:rsid w:val="005039D5"/>
    <w:rsid w:val="005039F0"/>
    <w:rsid w:val="00503A0A"/>
    <w:rsid w:val="00503A0C"/>
    <w:rsid w:val="00503A1D"/>
    <w:rsid w:val="00503A26"/>
    <w:rsid w:val="00503A7D"/>
    <w:rsid w:val="00503AE8"/>
    <w:rsid w:val="00503AEB"/>
    <w:rsid w:val="00503B3F"/>
    <w:rsid w:val="00503C7D"/>
    <w:rsid w:val="00503C93"/>
    <w:rsid w:val="00503D00"/>
    <w:rsid w:val="00503DDE"/>
    <w:rsid w:val="00503E0A"/>
    <w:rsid w:val="00503E12"/>
    <w:rsid w:val="00503E90"/>
    <w:rsid w:val="00503E92"/>
    <w:rsid w:val="00503EB1"/>
    <w:rsid w:val="00503F1E"/>
    <w:rsid w:val="00503F6C"/>
    <w:rsid w:val="00503FB5"/>
    <w:rsid w:val="00503FBE"/>
    <w:rsid w:val="00504065"/>
    <w:rsid w:val="0050416E"/>
    <w:rsid w:val="005041AD"/>
    <w:rsid w:val="005041DD"/>
    <w:rsid w:val="005042EE"/>
    <w:rsid w:val="00504367"/>
    <w:rsid w:val="005043E5"/>
    <w:rsid w:val="00504433"/>
    <w:rsid w:val="00504434"/>
    <w:rsid w:val="005044A7"/>
    <w:rsid w:val="005044D4"/>
    <w:rsid w:val="0050451A"/>
    <w:rsid w:val="00504593"/>
    <w:rsid w:val="00504609"/>
    <w:rsid w:val="00504625"/>
    <w:rsid w:val="005046D2"/>
    <w:rsid w:val="005046DB"/>
    <w:rsid w:val="005046E4"/>
    <w:rsid w:val="00504752"/>
    <w:rsid w:val="00504820"/>
    <w:rsid w:val="00504846"/>
    <w:rsid w:val="0050489E"/>
    <w:rsid w:val="005048EE"/>
    <w:rsid w:val="00504913"/>
    <w:rsid w:val="0050496E"/>
    <w:rsid w:val="00504995"/>
    <w:rsid w:val="005049E3"/>
    <w:rsid w:val="00504A30"/>
    <w:rsid w:val="00504AC9"/>
    <w:rsid w:val="00504AE1"/>
    <w:rsid w:val="00504B33"/>
    <w:rsid w:val="00504B46"/>
    <w:rsid w:val="00504BE1"/>
    <w:rsid w:val="00504BF1"/>
    <w:rsid w:val="00504C4F"/>
    <w:rsid w:val="00504C50"/>
    <w:rsid w:val="00504C85"/>
    <w:rsid w:val="00504D4E"/>
    <w:rsid w:val="00504D5D"/>
    <w:rsid w:val="00504D7C"/>
    <w:rsid w:val="00504DC4"/>
    <w:rsid w:val="00504DE2"/>
    <w:rsid w:val="00504E36"/>
    <w:rsid w:val="00504F75"/>
    <w:rsid w:val="00504F80"/>
    <w:rsid w:val="005050B3"/>
    <w:rsid w:val="005050E9"/>
    <w:rsid w:val="00505134"/>
    <w:rsid w:val="00505150"/>
    <w:rsid w:val="00505167"/>
    <w:rsid w:val="005051C7"/>
    <w:rsid w:val="00505319"/>
    <w:rsid w:val="00505366"/>
    <w:rsid w:val="005053C6"/>
    <w:rsid w:val="00505440"/>
    <w:rsid w:val="00505459"/>
    <w:rsid w:val="005054A4"/>
    <w:rsid w:val="005054F1"/>
    <w:rsid w:val="005054FC"/>
    <w:rsid w:val="00505590"/>
    <w:rsid w:val="00505592"/>
    <w:rsid w:val="005055EA"/>
    <w:rsid w:val="0050560D"/>
    <w:rsid w:val="0050560F"/>
    <w:rsid w:val="0050564C"/>
    <w:rsid w:val="00505684"/>
    <w:rsid w:val="005056BA"/>
    <w:rsid w:val="0050571B"/>
    <w:rsid w:val="005057DE"/>
    <w:rsid w:val="005057E6"/>
    <w:rsid w:val="0050580B"/>
    <w:rsid w:val="0050594F"/>
    <w:rsid w:val="0050599D"/>
    <w:rsid w:val="00505A9B"/>
    <w:rsid w:val="00505B34"/>
    <w:rsid w:val="00505B45"/>
    <w:rsid w:val="00505B84"/>
    <w:rsid w:val="00505BDF"/>
    <w:rsid w:val="00505C47"/>
    <w:rsid w:val="00505C73"/>
    <w:rsid w:val="00505CCF"/>
    <w:rsid w:val="00505D11"/>
    <w:rsid w:val="00505D2A"/>
    <w:rsid w:val="00505D68"/>
    <w:rsid w:val="00505D98"/>
    <w:rsid w:val="00505DAC"/>
    <w:rsid w:val="00505DE6"/>
    <w:rsid w:val="00505EA0"/>
    <w:rsid w:val="00505ECA"/>
    <w:rsid w:val="00505EEE"/>
    <w:rsid w:val="00505FC4"/>
    <w:rsid w:val="00505FFC"/>
    <w:rsid w:val="0050601C"/>
    <w:rsid w:val="00506063"/>
    <w:rsid w:val="00506091"/>
    <w:rsid w:val="005060A7"/>
    <w:rsid w:val="005060FC"/>
    <w:rsid w:val="00506103"/>
    <w:rsid w:val="0050613F"/>
    <w:rsid w:val="005061D7"/>
    <w:rsid w:val="0050620E"/>
    <w:rsid w:val="00506216"/>
    <w:rsid w:val="00506224"/>
    <w:rsid w:val="00506259"/>
    <w:rsid w:val="005062CB"/>
    <w:rsid w:val="005062CD"/>
    <w:rsid w:val="00506385"/>
    <w:rsid w:val="00506443"/>
    <w:rsid w:val="005064C1"/>
    <w:rsid w:val="005064E8"/>
    <w:rsid w:val="0050657C"/>
    <w:rsid w:val="005065AA"/>
    <w:rsid w:val="005065F4"/>
    <w:rsid w:val="005065FF"/>
    <w:rsid w:val="00506611"/>
    <w:rsid w:val="00506628"/>
    <w:rsid w:val="00506685"/>
    <w:rsid w:val="00506696"/>
    <w:rsid w:val="005066BD"/>
    <w:rsid w:val="005066E7"/>
    <w:rsid w:val="00506718"/>
    <w:rsid w:val="005067B2"/>
    <w:rsid w:val="005067CA"/>
    <w:rsid w:val="005067CB"/>
    <w:rsid w:val="00506804"/>
    <w:rsid w:val="00506880"/>
    <w:rsid w:val="005068A8"/>
    <w:rsid w:val="005068B9"/>
    <w:rsid w:val="005068DB"/>
    <w:rsid w:val="005068EF"/>
    <w:rsid w:val="00506998"/>
    <w:rsid w:val="00506A35"/>
    <w:rsid w:val="00506AB6"/>
    <w:rsid w:val="00506B89"/>
    <w:rsid w:val="00506B9D"/>
    <w:rsid w:val="00506BA1"/>
    <w:rsid w:val="00506CB2"/>
    <w:rsid w:val="00506D76"/>
    <w:rsid w:val="00506D88"/>
    <w:rsid w:val="00506DD7"/>
    <w:rsid w:val="00506DD8"/>
    <w:rsid w:val="00506E94"/>
    <w:rsid w:val="00506E9A"/>
    <w:rsid w:val="00506F43"/>
    <w:rsid w:val="00506FA0"/>
    <w:rsid w:val="00506FEB"/>
    <w:rsid w:val="00506FFF"/>
    <w:rsid w:val="00507026"/>
    <w:rsid w:val="00507085"/>
    <w:rsid w:val="005071A0"/>
    <w:rsid w:val="0050724A"/>
    <w:rsid w:val="00507257"/>
    <w:rsid w:val="0050730E"/>
    <w:rsid w:val="00507339"/>
    <w:rsid w:val="0050733D"/>
    <w:rsid w:val="0050735A"/>
    <w:rsid w:val="005074E8"/>
    <w:rsid w:val="00507596"/>
    <w:rsid w:val="0050760B"/>
    <w:rsid w:val="00507613"/>
    <w:rsid w:val="00507654"/>
    <w:rsid w:val="005076B3"/>
    <w:rsid w:val="005076F2"/>
    <w:rsid w:val="0050771C"/>
    <w:rsid w:val="00507732"/>
    <w:rsid w:val="00507747"/>
    <w:rsid w:val="005077A1"/>
    <w:rsid w:val="005078CA"/>
    <w:rsid w:val="005078D4"/>
    <w:rsid w:val="00507946"/>
    <w:rsid w:val="00507A46"/>
    <w:rsid w:val="00507BFF"/>
    <w:rsid w:val="00507EC5"/>
    <w:rsid w:val="00507F4F"/>
    <w:rsid w:val="00507FDC"/>
    <w:rsid w:val="00510001"/>
    <w:rsid w:val="0051005E"/>
    <w:rsid w:val="00510121"/>
    <w:rsid w:val="00510256"/>
    <w:rsid w:val="00510288"/>
    <w:rsid w:val="0051028A"/>
    <w:rsid w:val="005103D3"/>
    <w:rsid w:val="00510403"/>
    <w:rsid w:val="00510414"/>
    <w:rsid w:val="00510446"/>
    <w:rsid w:val="00510489"/>
    <w:rsid w:val="005104BA"/>
    <w:rsid w:val="005104E3"/>
    <w:rsid w:val="0051056F"/>
    <w:rsid w:val="0051061E"/>
    <w:rsid w:val="0051065A"/>
    <w:rsid w:val="00510691"/>
    <w:rsid w:val="00510712"/>
    <w:rsid w:val="00510783"/>
    <w:rsid w:val="0051083A"/>
    <w:rsid w:val="00510881"/>
    <w:rsid w:val="00510884"/>
    <w:rsid w:val="005108A2"/>
    <w:rsid w:val="005108A5"/>
    <w:rsid w:val="005108BB"/>
    <w:rsid w:val="005108BF"/>
    <w:rsid w:val="005108EB"/>
    <w:rsid w:val="00510906"/>
    <w:rsid w:val="00510948"/>
    <w:rsid w:val="00510960"/>
    <w:rsid w:val="005109D3"/>
    <w:rsid w:val="00510B55"/>
    <w:rsid w:val="00510BB2"/>
    <w:rsid w:val="00510C0F"/>
    <w:rsid w:val="00510C12"/>
    <w:rsid w:val="00510C57"/>
    <w:rsid w:val="00510C7C"/>
    <w:rsid w:val="00510D75"/>
    <w:rsid w:val="00510D90"/>
    <w:rsid w:val="00510D92"/>
    <w:rsid w:val="00510D95"/>
    <w:rsid w:val="00510DB8"/>
    <w:rsid w:val="00510E7D"/>
    <w:rsid w:val="00510E88"/>
    <w:rsid w:val="00510E89"/>
    <w:rsid w:val="00510E98"/>
    <w:rsid w:val="00510ECC"/>
    <w:rsid w:val="00510ED1"/>
    <w:rsid w:val="00510EDC"/>
    <w:rsid w:val="00510EE9"/>
    <w:rsid w:val="00510F1F"/>
    <w:rsid w:val="00510F76"/>
    <w:rsid w:val="00510F7B"/>
    <w:rsid w:val="00510FE4"/>
    <w:rsid w:val="00510FF1"/>
    <w:rsid w:val="0051100D"/>
    <w:rsid w:val="00511067"/>
    <w:rsid w:val="00511076"/>
    <w:rsid w:val="00511087"/>
    <w:rsid w:val="005110C9"/>
    <w:rsid w:val="005110FA"/>
    <w:rsid w:val="00511110"/>
    <w:rsid w:val="0051122D"/>
    <w:rsid w:val="00511269"/>
    <w:rsid w:val="00511291"/>
    <w:rsid w:val="005112AC"/>
    <w:rsid w:val="005112B5"/>
    <w:rsid w:val="005112F4"/>
    <w:rsid w:val="00511311"/>
    <w:rsid w:val="005114B4"/>
    <w:rsid w:val="005114D6"/>
    <w:rsid w:val="005115E8"/>
    <w:rsid w:val="00511633"/>
    <w:rsid w:val="0051163E"/>
    <w:rsid w:val="005116A4"/>
    <w:rsid w:val="0051175D"/>
    <w:rsid w:val="00511768"/>
    <w:rsid w:val="00511774"/>
    <w:rsid w:val="00511819"/>
    <w:rsid w:val="00511894"/>
    <w:rsid w:val="005118D6"/>
    <w:rsid w:val="00511958"/>
    <w:rsid w:val="005119EC"/>
    <w:rsid w:val="005119EF"/>
    <w:rsid w:val="00511A77"/>
    <w:rsid w:val="00511A83"/>
    <w:rsid w:val="00511A8A"/>
    <w:rsid w:val="00511AAC"/>
    <w:rsid w:val="00511B43"/>
    <w:rsid w:val="00511BFA"/>
    <w:rsid w:val="00511C0F"/>
    <w:rsid w:val="00511C2E"/>
    <w:rsid w:val="00511C6C"/>
    <w:rsid w:val="00511CDA"/>
    <w:rsid w:val="00511D12"/>
    <w:rsid w:val="00511D6A"/>
    <w:rsid w:val="00511DDD"/>
    <w:rsid w:val="00511F16"/>
    <w:rsid w:val="00511F36"/>
    <w:rsid w:val="00511F9D"/>
    <w:rsid w:val="00512008"/>
    <w:rsid w:val="0051201B"/>
    <w:rsid w:val="0051202B"/>
    <w:rsid w:val="0051212F"/>
    <w:rsid w:val="00512134"/>
    <w:rsid w:val="00512145"/>
    <w:rsid w:val="00512176"/>
    <w:rsid w:val="005121AD"/>
    <w:rsid w:val="005121EA"/>
    <w:rsid w:val="00512258"/>
    <w:rsid w:val="0051230B"/>
    <w:rsid w:val="0051231A"/>
    <w:rsid w:val="0051233F"/>
    <w:rsid w:val="0051237D"/>
    <w:rsid w:val="005123FB"/>
    <w:rsid w:val="005124BC"/>
    <w:rsid w:val="00512532"/>
    <w:rsid w:val="005125B2"/>
    <w:rsid w:val="005125C4"/>
    <w:rsid w:val="0051261A"/>
    <w:rsid w:val="0051268E"/>
    <w:rsid w:val="0051269B"/>
    <w:rsid w:val="00512825"/>
    <w:rsid w:val="00512927"/>
    <w:rsid w:val="005129B1"/>
    <w:rsid w:val="00512AAE"/>
    <w:rsid w:val="00512B9C"/>
    <w:rsid w:val="00512BF3"/>
    <w:rsid w:val="00512C2E"/>
    <w:rsid w:val="00512D55"/>
    <w:rsid w:val="00512DFF"/>
    <w:rsid w:val="00512E36"/>
    <w:rsid w:val="00512E73"/>
    <w:rsid w:val="00512E98"/>
    <w:rsid w:val="00512EA9"/>
    <w:rsid w:val="00512ECA"/>
    <w:rsid w:val="00512FA7"/>
    <w:rsid w:val="00512FD9"/>
    <w:rsid w:val="00512FDC"/>
    <w:rsid w:val="00512FFE"/>
    <w:rsid w:val="00513076"/>
    <w:rsid w:val="005131D1"/>
    <w:rsid w:val="005132C6"/>
    <w:rsid w:val="005132DD"/>
    <w:rsid w:val="005132DF"/>
    <w:rsid w:val="0051334A"/>
    <w:rsid w:val="0051335D"/>
    <w:rsid w:val="00513363"/>
    <w:rsid w:val="005134AC"/>
    <w:rsid w:val="005135E9"/>
    <w:rsid w:val="005136AD"/>
    <w:rsid w:val="00513853"/>
    <w:rsid w:val="00513929"/>
    <w:rsid w:val="00513944"/>
    <w:rsid w:val="0051397E"/>
    <w:rsid w:val="00513A18"/>
    <w:rsid w:val="00513A1A"/>
    <w:rsid w:val="00513A4A"/>
    <w:rsid w:val="00513A8D"/>
    <w:rsid w:val="00513A99"/>
    <w:rsid w:val="00513A9A"/>
    <w:rsid w:val="00513A9B"/>
    <w:rsid w:val="00513ABA"/>
    <w:rsid w:val="00513AC6"/>
    <w:rsid w:val="00513BA3"/>
    <w:rsid w:val="00513BDF"/>
    <w:rsid w:val="00513C52"/>
    <w:rsid w:val="00513D41"/>
    <w:rsid w:val="00513D75"/>
    <w:rsid w:val="00513D8F"/>
    <w:rsid w:val="00513DDC"/>
    <w:rsid w:val="00513E22"/>
    <w:rsid w:val="00513E9A"/>
    <w:rsid w:val="00513EBF"/>
    <w:rsid w:val="00513EF6"/>
    <w:rsid w:val="00513F4F"/>
    <w:rsid w:val="00513F6E"/>
    <w:rsid w:val="00513F8D"/>
    <w:rsid w:val="00514000"/>
    <w:rsid w:val="0051403A"/>
    <w:rsid w:val="0051408E"/>
    <w:rsid w:val="005140B5"/>
    <w:rsid w:val="005140CA"/>
    <w:rsid w:val="005140DA"/>
    <w:rsid w:val="00514149"/>
    <w:rsid w:val="0051415A"/>
    <w:rsid w:val="00514225"/>
    <w:rsid w:val="00514230"/>
    <w:rsid w:val="00514236"/>
    <w:rsid w:val="005142B2"/>
    <w:rsid w:val="005142BE"/>
    <w:rsid w:val="005142F6"/>
    <w:rsid w:val="005142FA"/>
    <w:rsid w:val="00514322"/>
    <w:rsid w:val="00514331"/>
    <w:rsid w:val="005143AC"/>
    <w:rsid w:val="00514563"/>
    <w:rsid w:val="0051457D"/>
    <w:rsid w:val="0051458D"/>
    <w:rsid w:val="005145CF"/>
    <w:rsid w:val="005145D0"/>
    <w:rsid w:val="00514641"/>
    <w:rsid w:val="00514667"/>
    <w:rsid w:val="005146EF"/>
    <w:rsid w:val="0051475E"/>
    <w:rsid w:val="005147B0"/>
    <w:rsid w:val="00514807"/>
    <w:rsid w:val="00514845"/>
    <w:rsid w:val="00514853"/>
    <w:rsid w:val="005148A0"/>
    <w:rsid w:val="00514911"/>
    <w:rsid w:val="00514A89"/>
    <w:rsid w:val="00514ADD"/>
    <w:rsid w:val="00514B76"/>
    <w:rsid w:val="00514BA9"/>
    <w:rsid w:val="00514BE8"/>
    <w:rsid w:val="00514C1B"/>
    <w:rsid w:val="00514C79"/>
    <w:rsid w:val="00514C82"/>
    <w:rsid w:val="00514CEC"/>
    <w:rsid w:val="00514D20"/>
    <w:rsid w:val="00514DD3"/>
    <w:rsid w:val="00514DDF"/>
    <w:rsid w:val="00514F36"/>
    <w:rsid w:val="00514F59"/>
    <w:rsid w:val="00514FD6"/>
    <w:rsid w:val="00514FD7"/>
    <w:rsid w:val="0051505D"/>
    <w:rsid w:val="0051513B"/>
    <w:rsid w:val="0051515F"/>
    <w:rsid w:val="005151B6"/>
    <w:rsid w:val="005151C8"/>
    <w:rsid w:val="005151D8"/>
    <w:rsid w:val="00515214"/>
    <w:rsid w:val="00515241"/>
    <w:rsid w:val="005152D3"/>
    <w:rsid w:val="00515334"/>
    <w:rsid w:val="005153A1"/>
    <w:rsid w:val="0051542D"/>
    <w:rsid w:val="0051565F"/>
    <w:rsid w:val="0051569C"/>
    <w:rsid w:val="00515727"/>
    <w:rsid w:val="005157D6"/>
    <w:rsid w:val="0051580F"/>
    <w:rsid w:val="0051587B"/>
    <w:rsid w:val="005158D2"/>
    <w:rsid w:val="00515947"/>
    <w:rsid w:val="005159F9"/>
    <w:rsid w:val="00515A4E"/>
    <w:rsid w:val="00515A6A"/>
    <w:rsid w:val="00515A73"/>
    <w:rsid w:val="00515A7B"/>
    <w:rsid w:val="00515A8D"/>
    <w:rsid w:val="00515ACE"/>
    <w:rsid w:val="00515AD7"/>
    <w:rsid w:val="00515AF9"/>
    <w:rsid w:val="00515B20"/>
    <w:rsid w:val="00515B3F"/>
    <w:rsid w:val="00515C42"/>
    <w:rsid w:val="00515D8E"/>
    <w:rsid w:val="00515DF0"/>
    <w:rsid w:val="00515E47"/>
    <w:rsid w:val="00515F82"/>
    <w:rsid w:val="00515FB6"/>
    <w:rsid w:val="005160AF"/>
    <w:rsid w:val="005161CF"/>
    <w:rsid w:val="005161D1"/>
    <w:rsid w:val="00516200"/>
    <w:rsid w:val="00516202"/>
    <w:rsid w:val="00516213"/>
    <w:rsid w:val="00516288"/>
    <w:rsid w:val="0051628F"/>
    <w:rsid w:val="005162C6"/>
    <w:rsid w:val="005162EE"/>
    <w:rsid w:val="00516323"/>
    <w:rsid w:val="00516365"/>
    <w:rsid w:val="005164CC"/>
    <w:rsid w:val="00516500"/>
    <w:rsid w:val="0051659A"/>
    <w:rsid w:val="00516603"/>
    <w:rsid w:val="00516635"/>
    <w:rsid w:val="005166E5"/>
    <w:rsid w:val="005166F5"/>
    <w:rsid w:val="00516774"/>
    <w:rsid w:val="00516788"/>
    <w:rsid w:val="0051680F"/>
    <w:rsid w:val="00516817"/>
    <w:rsid w:val="005168C1"/>
    <w:rsid w:val="00516951"/>
    <w:rsid w:val="00516966"/>
    <w:rsid w:val="005169A9"/>
    <w:rsid w:val="005169D2"/>
    <w:rsid w:val="005169E4"/>
    <w:rsid w:val="005169E6"/>
    <w:rsid w:val="005169FE"/>
    <w:rsid w:val="00516A87"/>
    <w:rsid w:val="00516AB9"/>
    <w:rsid w:val="00516ABB"/>
    <w:rsid w:val="00516B4A"/>
    <w:rsid w:val="00516B57"/>
    <w:rsid w:val="00516CEE"/>
    <w:rsid w:val="00516DA1"/>
    <w:rsid w:val="00516DF2"/>
    <w:rsid w:val="00516E0B"/>
    <w:rsid w:val="00516E5B"/>
    <w:rsid w:val="00516E6E"/>
    <w:rsid w:val="00516E75"/>
    <w:rsid w:val="00516F1D"/>
    <w:rsid w:val="00516F29"/>
    <w:rsid w:val="00516F41"/>
    <w:rsid w:val="00516FAD"/>
    <w:rsid w:val="00516FDF"/>
    <w:rsid w:val="00516FFE"/>
    <w:rsid w:val="005170B4"/>
    <w:rsid w:val="00517113"/>
    <w:rsid w:val="00517129"/>
    <w:rsid w:val="0051714F"/>
    <w:rsid w:val="0051718F"/>
    <w:rsid w:val="005171D8"/>
    <w:rsid w:val="005172CB"/>
    <w:rsid w:val="005172FA"/>
    <w:rsid w:val="0051737A"/>
    <w:rsid w:val="0051739E"/>
    <w:rsid w:val="005173B0"/>
    <w:rsid w:val="005173F3"/>
    <w:rsid w:val="0051746A"/>
    <w:rsid w:val="005174C4"/>
    <w:rsid w:val="005174E7"/>
    <w:rsid w:val="00517511"/>
    <w:rsid w:val="00517518"/>
    <w:rsid w:val="00517550"/>
    <w:rsid w:val="0051758C"/>
    <w:rsid w:val="005175DD"/>
    <w:rsid w:val="005176DA"/>
    <w:rsid w:val="0051789F"/>
    <w:rsid w:val="005178B9"/>
    <w:rsid w:val="005178DA"/>
    <w:rsid w:val="00517911"/>
    <w:rsid w:val="00517948"/>
    <w:rsid w:val="00517966"/>
    <w:rsid w:val="00517A16"/>
    <w:rsid w:val="00517A27"/>
    <w:rsid w:val="00517A5D"/>
    <w:rsid w:val="00517A73"/>
    <w:rsid w:val="00517AA5"/>
    <w:rsid w:val="00517AD0"/>
    <w:rsid w:val="00517C93"/>
    <w:rsid w:val="00517D43"/>
    <w:rsid w:val="00517D5B"/>
    <w:rsid w:val="00517DDB"/>
    <w:rsid w:val="00517EBA"/>
    <w:rsid w:val="00517EF3"/>
    <w:rsid w:val="00520128"/>
    <w:rsid w:val="00520165"/>
    <w:rsid w:val="00520250"/>
    <w:rsid w:val="005202D2"/>
    <w:rsid w:val="00520404"/>
    <w:rsid w:val="00520430"/>
    <w:rsid w:val="00520473"/>
    <w:rsid w:val="0052049D"/>
    <w:rsid w:val="005204B0"/>
    <w:rsid w:val="00520523"/>
    <w:rsid w:val="00520544"/>
    <w:rsid w:val="00520549"/>
    <w:rsid w:val="0052054F"/>
    <w:rsid w:val="00520592"/>
    <w:rsid w:val="0052059B"/>
    <w:rsid w:val="005205CE"/>
    <w:rsid w:val="005205F3"/>
    <w:rsid w:val="00520636"/>
    <w:rsid w:val="0052066A"/>
    <w:rsid w:val="005206DC"/>
    <w:rsid w:val="00520723"/>
    <w:rsid w:val="005207A5"/>
    <w:rsid w:val="005207AC"/>
    <w:rsid w:val="005207CC"/>
    <w:rsid w:val="005208BF"/>
    <w:rsid w:val="005209A3"/>
    <w:rsid w:val="00520A6C"/>
    <w:rsid w:val="00520AD6"/>
    <w:rsid w:val="00520B52"/>
    <w:rsid w:val="00520C02"/>
    <w:rsid w:val="00520DD5"/>
    <w:rsid w:val="00520DF0"/>
    <w:rsid w:val="00520E38"/>
    <w:rsid w:val="00520E8D"/>
    <w:rsid w:val="00520EF9"/>
    <w:rsid w:val="00520F3E"/>
    <w:rsid w:val="0052115D"/>
    <w:rsid w:val="00521162"/>
    <w:rsid w:val="0052117E"/>
    <w:rsid w:val="00521213"/>
    <w:rsid w:val="0052128C"/>
    <w:rsid w:val="005212A6"/>
    <w:rsid w:val="005212A9"/>
    <w:rsid w:val="00521422"/>
    <w:rsid w:val="00521492"/>
    <w:rsid w:val="005214AA"/>
    <w:rsid w:val="005214B9"/>
    <w:rsid w:val="00521508"/>
    <w:rsid w:val="00521511"/>
    <w:rsid w:val="00521590"/>
    <w:rsid w:val="005215D0"/>
    <w:rsid w:val="00521698"/>
    <w:rsid w:val="005216A6"/>
    <w:rsid w:val="005216F0"/>
    <w:rsid w:val="00521734"/>
    <w:rsid w:val="00521756"/>
    <w:rsid w:val="005217EF"/>
    <w:rsid w:val="00521815"/>
    <w:rsid w:val="00521863"/>
    <w:rsid w:val="00521978"/>
    <w:rsid w:val="005219A3"/>
    <w:rsid w:val="005219CC"/>
    <w:rsid w:val="00521ABC"/>
    <w:rsid w:val="00521AC0"/>
    <w:rsid w:val="00521AC1"/>
    <w:rsid w:val="00521B5D"/>
    <w:rsid w:val="00521B61"/>
    <w:rsid w:val="00521BAF"/>
    <w:rsid w:val="00521BBA"/>
    <w:rsid w:val="00521BE5"/>
    <w:rsid w:val="00521C76"/>
    <w:rsid w:val="00521C87"/>
    <w:rsid w:val="00521D2D"/>
    <w:rsid w:val="00521F84"/>
    <w:rsid w:val="00521F8B"/>
    <w:rsid w:val="00521FA2"/>
    <w:rsid w:val="00521FE0"/>
    <w:rsid w:val="00522020"/>
    <w:rsid w:val="0052212A"/>
    <w:rsid w:val="00522179"/>
    <w:rsid w:val="005221CA"/>
    <w:rsid w:val="00522207"/>
    <w:rsid w:val="0052224A"/>
    <w:rsid w:val="005222CD"/>
    <w:rsid w:val="0052230D"/>
    <w:rsid w:val="00522354"/>
    <w:rsid w:val="005223A1"/>
    <w:rsid w:val="005223A5"/>
    <w:rsid w:val="005223CB"/>
    <w:rsid w:val="00522410"/>
    <w:rsid w:val="00522493"/>
    <w:rsid w:val="005224E1"/>
    <w:rsid w:val="00522575"/>
    <w:rsid w:val="005225AD"/>
    <w:rsid w:val="005225D6"/>
    <w:rsid w:val="00522622"/>
    <w:rsid w:val="005226C0"/>
    <w:rsid w:val="00522742"/>
    <w:rsid w:val="005227C7"/>
    <w:rsid w:val="0052281E"/>
    <w:rsid w:val="00522843"/>
    <w:rsid w:val="005228BC"/>
    <w:rsid w:val="005228EB"/>
    <w:rsid w:val="00522924"/>
    <w:rsid w:val="00522AA5"/>
    <w:rsid w:val="00522AAE"/>
    <w:rsid w:val="00522AE0"/>
    <w:rsid w:val="00522BC1"/>
    <w:rsid w:val="00522BCE"/>
    <w:rsid w:val="00522C14"/>
    <w:rsid w:val="00522D2E"/>
    <w:rsid w:val="00522E18"/>
    <w:rsid w:val="00522E4F"/>
    <w:rsid w:val="00522ECF"/>
    <w:rsid w:val="00522F3F"/>
    <w:rsid w:val="00522F47"/>
    <w:rsid w:val="00522F77"/>
    <w:rsid w:val="00522F9B"/>
    <w:rsid w:val="00522FEA"/>
    <w:rsid w:val="00523069"/>
    <w:rsid w:val="005230C8"/>
    <w:rsid w:val="0052310C"/>
    <w:rsid w:val="00523131"/>
    <w:rsid w:val="00523181"/>
    <w:rsid w:val="005231B8"/>
    <w:rsid w:val="005231BD"/>
    <w:rsid w:val="005231ED"/>
    <w:rsid w:val="00523226"/>
    <w:rsid w:val="00523312"/>
    <w:rsid w:val="00523318"/>
    <w:rsid w:val="00523342"/>
    <w:rsid w:val="00523408"/>
    <w:rsid w:val="00523464"/>
    <w:rsid w:val="00523497"/>
    <w:rsid w:val="005234D4"/>
    <w:rsid w:val="005234F8"/>
    <w:rsid w:val="00523519"/>
    <w:rsid w:val="0052355B"/>
    <w:rsid w:val="00523645"/>
    <w:rsid w:val="0052364A"/>
    <w:rsid w:val="00523724"/>
    <w:rsid w:val="0052377F"/>
    <w:rsid w:val="00523880"/>
    <w:rsid w:val="00523893"/>
    <w:rsid w:val="0052389C"/>
    <w:rsid w:val="005238A1"/>
    <w:rsid w:val="005238EB"/>
    <w:rsid w:val="005238F7"/>
    <w:rsid w:val="0052392B"/>
    <w:rsid w:val="0052396A"/>
    <w:rsid w:val="00523A11"/>
    <w:rsid w:val="00523A68"/>
    <w:rsid w:val="00523B07"/>
    <w:rsid w:val="00523B31"/>
    <w:rsid w:val="00523C47"/>
    <w:rsid w:val="00523C52"/>
    <w:rsid w:val="00523C98"/>
    <w:rsid w:val="00523CA0"/>
    <w:rsid w:val="00523CC4"/>
    <w:rsid w:val="00523CDE"/>
    <w:rsid w:val="00523D33"/>
    <w:rsid w:val="00523DD5"/>
    <w:rsid w:val="00523E75"/>
    <w:rsid w:val="00523E8E"/>
    <w:rsid w:val="00523EEA"/>
    <w:rsid w:val="00523EF5"/>
    <w:rsid w:val="00524144"/>
    <w:rsid w:val="0052416F"/>
    <w:rsid w:val="00524229"/>
    <w:rsid w:val="005242B4"/>
    <w:rsid w:val="005242CD"/>
    <w:rsid w:val="00524316"/>
    <w:rsid w:val="0052436C"/>
    <w:rsid w:val="00524447"/>
    <w:rsid w:val="00524478"/>
    <w:rsid w:val="005244C0"/>
    <w:rsid w:val="00524521"/>
    <w:rsid w:val="005245E0"/>
    <w:rsid w:val="0052463F"/>
    <w:rsid w:val="00524690"/>
    <w:rsid w:val="0052469E"/>
    <w:rsid w:val="005246A9"/>
    <w:rsid w:val="005246B4"/>
    <w:rsid w:val="00524710"/>
    <w:rsid w:val="0052474C"/>
    <w:rsid w:val="005247A5"/>
    <w:rsid w:val="00524857"/>
    <w:rsid w:val="00524874"/>
    <w:rsid w:val="0052497E"/>
    <w:rsid w:val="00524983"/>
    <w:rsid w:val="00524AA0"/>
    <w:rsid w:val="00524AC6"/>
    <w:rsid w:val="00524B01"/>
    <w:rsid w:val="00524C15"/>
    <w:rsid w:val="00524C34"/>
    <w:rsid w:val="00524C3D"/>
    <w:rsid w:val="00524C68"/>
    <w:rsid w:val="00524CB6"/>
    <w:rsid w:val="00524CFB"/>
    <w:rsid w:val="00524D34"/>
    <w:rsid w:val="00524D95"/>
    <w:rsid w:val="00524F7B"/>
    <w:rsid w:val="00525039"/>
    <w:rsid w:val="00525092"/>
    <w:rsid w:val="005250CC"/>
    <w:rsid w:val="005250D0"/>
    <w:rsid w:val="005250F8"/>
    <w:rsid w:val="00525100"/>
    <w:rsid w:val="00525289"/>
    <w:rsid w:val="005252FD"/>
    <w:rsid w:val="0052532D"/>
    <w:rsid w:val="00525438"/>
    <w:rsid w:val="0052543B"/>
    <w:rsid w:val="0052555B"/>
    <w:rsid w:val="0052555D"/>
    <w:rsid w:val="0052564D"/>
    <w:rsid w:val="0052565B"/>
    <w:rsid w:val="0052566F"/>
    <w:rsid w:val="00525729"/>
    <w:rsid w:val="005257AE"/>
    <w:rsid w:val="005257F9"/>
    <w:rsid w:val="00525801"/>
    <w:rsid w:val="00525887"/>
    <w:rsid w:val="0052588A"/>
    <w:rsid w:val="005258C1"/>
    <w:rsid w:val="0052593C"/>
    <w:rsid w:val="00525986"/>
    <w:rsid w:val="005259B6"/>
    <w:rsid w:val="005259E7"/>
    <w:rsid w:val="00525B45"/>
    <w:rsid w:val="00525B47"/>
    <w:rsid w:val="00525B8B"/>
    <w:rsid w:val="00525BAF"/>
    <w:rsid w:val="00525BBF"/>
    <w:rsid w:val="00525BC8"/>
    <w:rsid w:val="00525CA9"/>
    <w:rsid w:val="00525D11"/>
    <w:rsid w:val="00525DB2"/>
    <w:rsid w:val="00525DC6"/>
    <w:rsid w:val="00525E1D"/>
    <w:rsid w:val="00525ED7"/>
    <w:rsid w:val="00525EF9"/>
    <w:rsid w:val="00525EFC"/>
    <w:rsid w:val="00525FFD"/>
    <w:rsid w:val="0052612C"/>
    <w:rsid w:val="005261BA"/>
    <w:rsid w:val="00526233"/>
    <w:rsid w:val="005262B3"/>
    <w:rsid w:val="005262CA"/>
    <w:rsid w:val="005262D8"/>
    <w:rsid w:val="00526332"/>
    <w:rsid w:val="0052633F"/>
    <w:rsid w:val="00526395"/>
    <w:rsid w:val="005263F0"/>
    <w:rsid w:val="005263F4"/>
    <w:rsid w:val="00526415"/>
    <w:rsid w:val="00526450"/>
    <w:rsid w:val="00526459"/>
    <w:rsid w:val="0052647F"/>
    <w:rsid w:val="005264C1"/>
    <w:rsid w:val="00526567"/>
    <w:rsid w:val="005265DA"/>
    <w:rsid w:val="005265F7"/>
    <w:rsid w:val="005265FC"/>
    <w:rsid w:val="00526706"/>
    <w:rsid w:val="00526766"/>
    <w:rsid w:val="0052676B"/>
    <w:rsid w:val="00526780"/>
    <w:rsid w:val="005267B9"/>
    <w:rsid w:val="005267CA"/>
    <w:rsid w:val="0052681D"/>
    <w:rsid w:val="00526838"/>
    <w:rsid w:val="00526846"/>
    <w:rsid w:val="00526859"/>
    <w:rsid w:val="005268D5"/>
    <w:rsid w:val="005269AB"/>
    <w:rsid w:val="00526A28"/>
    <w:rsid w:val="00526A37"/>
    <w:rsid w:val="00526B28"/>
    <w:rsid w:val="00526BA3"/>
    <w:rsid w:val="00526BA5"/>
    <w:rsid w:val="00526BFB"/>
    <w:rsid w:val="00526C5E"/>
    <w:rsid w:val="00526C78"/>
    <w:rsid w:val="00526C80"/>
    <w:rsid w:val="00526CA5"/>
    <w:rsid w:val="00526D3E"/>
    <w:rsid w:val="00526DAE"/>
    <w:rsid w:val="00526DB4"/>
    <w:rsid w:val="00526E03"/>
    <w:rsid w:val="00526F00"/>
    <w:rsid w:val="00526FBF"/>
    <w:rsid w:val="00527009"/>
    <w:rsid w:val="005270F1"/>
    <w:rsid w:val="005271E1"/>
    <w:rsid w:val="005271F6"/>
    <w:rsid w:val="0052720E"/>
    <w:rsid w:val="0052722B"/>
    <w:rsid w:val="00527263"/>
    <w:rsid w:val="0052727E"/>
    <w:rsid w:val="00527298"/>
    <w:rsid w:val="0052736F"/>
    <w:rsid w:val="005273E3"/>
    <w:rsid w:val="00527428"/>
    <w:rsid w:val="0052745F"/>
    <w:rsid w:val="0052750F"/>
    <w:rsid w:val="00527590"/>
    <w:rsid w:val="00527667"/>
    <w:rsid w:val="005276D6"/>
    <w:rsid w:val="00527744"/>
    <w:rsid w:val="00527757"/>
    <w:rsid w:val="0052777B"/>
    <w:rsid w:val="0052785F"/>
    <w:rsid w:val="00527868"/>
    <w:rsid w:val="005278BB"/>
    <w:rsid w:val="005278EA"/>
    <w:rsid w:val="005278FD"/>
    <w:rsid w:val="0052790C"/>
    <w:rsid w:val="0052794C"/>
    <w:rsid w:val="00527961"/>
    <w:rsid w:val="00527972"/>
    <w:rsid w:val="00527979"/>
    <w:rsid w:val="005279E0"/>
    <w:rsid w:val="00527A55"/>
    <w:rsid w:val="00527A67"/>
    <w:rsid w:val="00527A76"/>
    <w:rsid w:val="00527A78"/>
    <w:rsid w:val="00527A91"/>
    <w:rsid w:val="00527AF0"/>
    <w:rsid w:val="00527B07"/>
    <w:rsid w:val="00527B40"/>
    <w:rsid w:val="00527B4B"/>
    <w:rsid w:val="00527B54"/>
    <w:rsid w:val="00527C1D"/>
    <w:rsid w:val="00527CD3"/>
    <w:rsid w:val="00527CF9"/>
    <w:rsid w:val="00527D20"/>
    <w:rsid w:val="00527D6B"/>
    <w:rsid w:val="00527DA7"/>
    <w:rsid w:val="00527DB0"/>
    <w:rsid w:val="00527E27"/>
    <w:rsid w:val="00527EBD"/>
    <w:rsid w:val="00527EE6"/>
    <w:rsid w:val="00527EF9"/>
    <w:rsid w:val="00527F20"/>
    <w:rsid w:val="00527F3E"/>
    <w:rsid w:val="00527FD2"/>
    <w:rsid w:val="00527FD5"/>
    <w:rsid w:val="00530185"/>
    <w:rsid w:val="005301B5"/>
    <w:rsid w:val="005301DE"/>
    <w:rsid w:val="005302BD"/>
    <w:rsid w:val="005302CD"/>
    <w:rsid w:val="005302F4"/>
    <w:rsid w:val="0053031F"/>
    <w:rsid w:val="00530344"/>
    <w:rsid w:val="0053038D"/>
    <w:rsid w:val="005303AD"/>
    <w:rsid w:val="005304B8"/>
    <w:rsid w:val="00530541"/>
    <w:rsid w:val="00530554"/>
    <w:rsid w:val="00530621"/>
    <w:rsid w:val="00530677"/>
    <w:rsid w:val="00530758"/>
    <w:rsid w:val="005307AE"/>
    <w:rsid w:val="005307CB"/>
    <w:rsid w:val="00530805"/>
    <w:rsid w:val="005309F2"/>
    <w:rsid w:val="00530A9D"/>
    <w:rsid w:val="00530AED"/>
    <w:rsid w:val="00530B61"/>
    <w:rsid w:val="00530C63"/>
    <w:rsid w:val="00530C70"/>
    <w:rsid w:val="00530C9D"/>
    <w:rsid w:val="00530CDF"/>
    <w:rsid w:val="00530DEE"/>
    <w:rsid w:val="00530E63"/>
    <w:rsid w:val="00530EBB"/>
    <w:rsid w:val="00530F0A"/>
    <w:rsid w:val="00530FB9"/>
    <w:rsid w:val="0053100D"/>
    <w:rsid w:val="0053102E"/>
    <w:rsid w:val="00531100"/>
    <w:rsid w:val="00531108"/>
    <w:rsid w:val="00531188"/>
    <w:rsid w:val="005311E3"/>
    <w:rsid w:val="005312E2"/>
    <w:rsid w:val="005312F0"/>
    <w:rsid w:val="00531349"/>
    <w:rsid w:val="00531380"/>
    <w:rsid w:val="005313B0"/>
    <w:rsid w:val="005313DB"/>
    <w:rsid w:val="005313EB"/>
    <w:rsid w:val="0053142F"/>
    <w:rsid w:val="00531463"/>
    <w:rsid w:val="0053149E"/>
    <w:rsid w:val="005314E2"/>
    <w:rsid w:val="0053150A"/>
    <w:rsid w:val="0053150B"/>
    <w:rsid w:val="0053155D"/>
    <w:rsid w:val="005315F9"/>
    <w:rsid w:val="00531651"/>
    <w:rsid w:val="005316D8"/>
    <w:rsid w:val="0053178E"/>
    <w:rsid w:val="00531800"/>
    <w:rsid w:val="00531834"/>
    <w:rsid w:val="00531875"/>
    <w:rsid w:val="00531926"/>
    <w:rsid w:val="00531930"/>
    <w:rsid w:val="0053199E"/>
    <w:rsid w:val="00531A01"/>
    <w:rsid w:val="00531A70"/>
    <w:rsid w:val="00531B49"/>
    <w:rsid w:val="00531B5E"/>
    <w:rsid w:val="00531B6D"/>
    <w:rsid w:val="00531B78"/>
    <w:rsid w:val="00531CF9"/>
    <w:rsid w:val="00531D2C"/>
    <w:rsid w:val="00531E27"/>
    <w:rsid w:val="00531E33"/>
    <w:rsid w:val="00531EC2"/>
    <w:rsid w:val="00531ECF"/>
    <w:rsid w:val="00531F45"/>
    <w:rsid w:val="00531F94"/>
    <w:rsid w:val="00531FEC"/>
    <w:rsid w:val="00532058"/>
    <w:rsid w:val="00532060"/>
    <w:rsid w:val="00532100"/>
    <w:rsid w:val="00532102"/>
    <w:rsid w:val="0053213E"/>
    <w:rsid w:val="005321C4"/>
    <w:rsid w:val="00532206"/>
    <w:rsid w:val="00532231"/>
    <w:rsid w:val="00532276"/>
    <w:rsid w:val="0053231E"/>
    <w:rsid w:val="0053233B"/>
    <w:rsid w:val="0053235C"/>
    <w:rsid w:val="00532380"/>
    <w:rsid w:val="005323AC"/>
    <w:rsid w:val="005323B3"/>
    <w:rsid w:val="0053244B"/>
    <w:rsid w:val="005324D0"/>
    <w:rsid w:val="005324D7"/>
    <w:rsid w:val="0053257A"/>
    <w:rsid w:val="0053266B"/>
    <w:rsid w:val="005326E1"/>
    <w:rsid w:val="00532715"/>
    <w:rsid w:val="005327DB"/>
    <w:rsid w:val="0053284B"/>
    <w:rsid w:val="00532887"/>
    <w:rsid w:val="005328C3"/>
    <w:rsid w:val="005328C5"/>
    <w:rsid w:val="005328EB"/>
    <w:rsid w:val="00532917"/>
    <w:rsid w:val="0053294E"/>
    <w:rsid w:val="0053295C"/>
    <w:rsid w:val="0053298E"/>
    <w:rsid w:val="00532998"/>
    <w:rsid w:val="00532B07"/>
    <w:rsid w:val="00532B21"/>
    <w:rsid w:val="00532B3F"/>
    <w:rsid w:val="00532B7E"/>
    <w:rsid w:val="00532B95"/>
    <w:rsid w:val="00532BC6"/>
    <w:rsid w:val="00532BD7"/>
    <w:rsid w:val="00532CD2"/>
    <w:rsid w:val="00532D6E"/>
    <w:rsid w:val="00532DB9"/>
    <w:rsid w:val="00532E30"/>
    <w:rsid w:val="00532E70"/>
    <w:rsid w:val="00532F15"/>
    <w:rsid w:val="00532F3C"/>
    <w:rsid w:val="00532F5C"/>
    <w:rsid w:val="00532F9D"/>
    <w:rsid w:val="00533178"/>
    <w:rsid w:val="0053327A"/>
    <w:rsid w:val="00533359"/>
    <w:rsid w:val="005333B5"/>
    <w:rsid w:val="005333CB"/>
    <w:rsid w:val="0053340C"/>
    <w:rsid w:val="005334D5"/>
    <w:rsid w:val="0053358B"/>
    <w:rsid w:val="005335E7"/>
    <w:rsid w:val="0053361B"/>
    <w:rsid w:val="00533652"/>
    <w:rsid w:val="0053366C"/>
    <w:rsid w:val="005336D4"/>
    <w:rsid w:val="005336DD"/>
    <w:rsid w:val="00533713"/>
    <w:rsid w:val="00533757"/>
    <w:rsid w:val="00533816"/>
    <w:rsid w:val="005339F0"/>
    <w:rsid w:val="00533A41"/>
    <w:rsid w:val="00533B85"/>
    <w:rsid w:val="00533BD9"/>
    <w:rsid w:val="00533CD7"/>
    <w:rsid w:val="00533D2F"/>
    <w:rsid w:val="00533D77"/>
    <w:rsid w:val="00533D7E"/>
    <w:rsid w:val="00533DE7"/>
    <w:rsid w:val="00533E2A"/>
    <w:rsid w:val="00533E51"/>
    <w:rsid w:val="00533E5D"/>
    <w:rsid w:val="00533F46"/>
    <w:rsid w:val="00534146"/>
    <w:rsid w:val="0053415B"/>
    <w:rsid w:val="0053419B"/>
    <w:rsid w:val="005341AC"/>
    <w:rsid w:val="005341FA"/>
    <w:rsid w:val="00534262"/>
    <w:rsid w:val="00534271"/>
    <w:rsid w:val="005343D1"/>
    <w:rsid w:val="005343FD"/>
    <w:rsid w:val="00534462"/>
    <w:rsid w:val="005344AA"/>
    <w:rsid w:val="00534512"/>
    <w:rsid w:val="0053451F"/>
    <w:rsid w:val="0053467F"/>
    <w:rsid w:val="00534693"/>
    <w:rsid w:val="0053483C"/>
    <w:rsid w:val="005348C8"/>
    <w:rsid w:val="00534906"/>
    <w:rsid w:val="00534931"/>
    <w:rsid w:val="0053493A"/>
    <w:rsid w:val="0053493E"/>
    <w:rsid w:val="00534976"/>
    <w:rsid w:val="005349BF"/>
    <w:rsid w:val="00534AC2"/>
    <w:rsid w:val="00534AFA"/>
    <w:rsid w:val="00534B81"/>
    <w:rsid w:val="00534C13"/>
    <w:rsid w:val="00534C5B"/>
    <w:rsid w:val="00534C80"/>
    <w:rsid w:val="00534CC2"/>
    <w:rsid w:val="00534CF6"/>
    <w:rsid w:val="00534D90"/>
    <w:rsid w:val="00534DA0"/>
    <w:rsid w:val="00534DA2"/>
    <w:rsid w:val="00534DA9"/>
    <w:rsid w:val="00534DB4"/>
    <w:rsid w:val="00534E95"/>
    <w:rsid w:val="00534ED1"/>
    <w:rsid w:val="00534F77"/>
    <w:rsid w:val="00534F9A"/>
    <w:rsid w:val="00534FA0"/>
    <w:rsid w:val="00534FA4"/>
    <w:rsid w:val="00534FC0"/>
    <w:rsid w:val="00535228"/>
    <w:rsid w:val="00535283"/>
    <w:rsid w:val="00535304"/>
    <w:rsid w:val="00535317"/>
    <w:rsid w:val="00535322"/>
    <w:rsid w:val="00535338"/>
    <w:rsid w:val="00535364"/>
    <w:rsid w:val="005355A9"/>
    <w:rsid w:val="005355CF"/>
    <w:rsid w:val="00535646"/>
    <w:rsid w:val="0053565C"/>
    <w:rsid w:val="005356DB"/>
    <w:rsid w:val="005356E1"/>
    <w:rsid w:val="0053572E"/>
    <w:rsid w:val="00535794"/>
    <w:rsid w:val="005357DE"/>
    <w:rsid w:val="0053584C"/>
    <w:rsid w:val="00535877"/>
    <w:rsid w:val="005358BB"/>
    <w:rsid w:val="005358CC"/>
    <w:rsid w:val="005358D5"/>
    <w:rsid w:val="00535950"/>
    <w:rsid w:val="005359BA"/>
    <w:rsid w:val="00535A20"/>
    <w:rsid w:val="00535A37"/>
    <w:rsid w:val="00535A3E"/>
    <w:rsid w:val="00535A51"/>
    <w:rsid w:val="00535AAC"/>
    <w:rsid w:val="00535AC1"/>
    <w:rsid w:val="00535AF3"/>
    <w:rsid w:val="00535B8B"/>
    <w:rsid w:val="00535BC7"/>
    <w:rsid w:val="00535BD6"/>
    <w:rsid w:val="00535BD7"/>
    <w:rsid w:val="00535C08"/>
    <w:rsid w:val="00535C13"/>
    <w:rsid w:val="00535C53"/>
    <w:rsid w:val="00535C59"/>
    <w:rsid w:val="00535C77"/>
    <w:rsid w:val="00535C83"/>
    <w:rsid w:val="00535D79"/>
    <w:rsid w:val="00535D88"/>
    <w:rsid w:val="00535E84"/>
    <w:rsid w:val="00535E90"/>
    <w:rsid w:val="00535E97"/>
    <w:rsid w:val="00535E9A"/>
    <w:rsid w:val="00535F75"/>
    <w:rsid w:val="00535FD0"/>
    <w:rsid w:val="00536010"/>
    <w:rsid w:val="00536030"/>
    <w:rsid w:val="0053605B"/>
    <w:rsid w:val="005360E7"/>
    <w:rsid w:val="00536235"/>
    <w:rsid w:val="0053628E"/>
    <w:rsid w:val="00536304"/>
    <w:rsid w:val="00536305"/>
    <w:rsid w:val="005363B1"/>
    <w:rsid w:val="005363BA"/>
    <w:rsid w:val="005363CD"/>
    <w:rsid w:val="0053642C"/>
    <w:rsid w:val="00536458"/>
    <w:rsid w:val="0053647F"/>
    <w:rsid w:val="00536498"/>
    <w:rsid w:val="005364AC"/>
    <w:rsid w:val="005364E8"/>
    <w:rsid w:val="005364F1"/>
    <w:rsid w:val="005365D2"/>
    <w:rsid w:val="005365EE"/>
    <w:rsid w:val="005365F8"/>
    <w:rsid w:val="00536686"/>
    <w:rsid w:val="00536690"/>
    <w:rsid w:val="005366A4"/>
    <w:rsid w:val="005366F5"/>
    <w:rsid w:val="00536726"/>
    <w:rsid w:val="0053677B"/>
    <w:rsid w:val="005367A2"/>
    <w:rsid w:val="005367C3"/>
    <w:rsid w:val="0053680A"/>
    <w:rsid w:val="00536926"/>
    <w:rsid w:val="00536951"/>
    <w:rsid w:val="005369E4"/>
    <w:rsid w:val="00536BA0"/>
    <w:rsid w:val="00536BED"/>
    <w:rsid w:val="00536CA5"/>
    <w:rsid w:val="00536CAD"/>
    <w:rsid w:val="00536CB7"/>
    <w:rsid w:val="00536D20"/>
    <w:rsid w:val="00536DAE"/>
    <w:rsid w:val="00536DB1"/>
    <w:rsid w:val="00536E57"/>
    <w:rsid w:val="00536E63"/>
    <w:rsid w:val="00536E95"/>
    <w:rsid w:val="00536ED1"/>
    <w:rsid w:val="00536F1C"/>
    <w:rsid w:val="00536F5E"/>
    <w:rsid w:val="00537018"/>
    <w:rsid w:val="00537029"/>
    <w:rsid w:val="00537197"/>
    <w:rsid w:val="005371DA"/>
    <w:rsid w:val="005371FE"/>
    <w:rsid w:val="005372A7"/>
    <w:rsid w:val="005372C8"/>
    <w:rsid w:val="005372EE"/>
    <w:rsid w:val="005372F7"/>
    <w:rsid w:val="00537445"/>
    <w:rsid w:val="0053748B"/>
    <w:rsid w:val="0053777D"/>
    <w:rsid w:val="005377EC"/>
    <w:rsid w:val="005378DD"/>
    <w:rsid w:val="005378E7"/>
    <w:rsid w:val="00537943"/>
    <w:rsid w:val="005379BB"/>
    <w:rsid w:val="005379D8"/>
    <w:rsid w:val="00537A6A"/>
    <w:rsid w:val="00537B93"/>
    <w:rsid w:val="00537C5C"/>
    <w:rsid w:val="00537C90"/>
    <w:rsid w:val="00537CF6"/>
    <w:rsid w:val="00537D2D"/>
    <w:rsid w:val="00537D4B"/>
    <w:rsid w:val="00537DA8"/>
    <w:rsid w:val="00537E3B"/>
    <w:rsid w:val="00537E4C"/>
    <w:rsid w:val="00537EF3"/>
    <w:rsid w:val="00537F45"/>
    <w:rsid w:val="00537FC7"/>
    <w:rsid w:val="00537FDC"/>
    <w:rsid w:val="00540013"/>
    <w:rsid w:val="00540031"/>
    <w:rsid w:val="0054009E"/>
    <w:rsid w:val="005400D1"/>
    <w:rsid w:val="00540164"/>
    <w:rsid w:val="00540296"/>
    <w:rsid w:val="005402F0"/>
    <w:rsid w:val="00540339"/>
    <w:rsid w:val="0054034D"/>
    <w:rsid w:val="0054045E"/>
    <w:rsid w:val="0054049D"/>
    <w:rsid w:val="005404D7"/>
    <w:rsid w:val="00540501"/>
    <w:rsid w:val="00540538"/>
    <w:rsid w:val="00540545"/>
    <w:rsid w:val="005405F9"/>
    <w:rsid w:val="00540612"/>
    <w:rsid w:val="005406CA"/>
    <w:rsid w:val="005406DC"/>
    <w:rsid w:val="005407CD"/>
    <w:rsid w:val="0054084C"/>
    <w:rsid w:val="00540958"/>
    <w:rsid w:val="00540992"/>
    <w:rsid w:val="005409C4"/>
    <w:rsid w:val="005409DE"/>
    <w:rsid w:val="005409EB"/>
    <w:rsid w:val="00540A22"/>
    <w:rsid w:val="00540AEE"/>
    <w:rsid w:val="00540B18"/>
    <w:rsid w:val="00540BA8"/>
    <w:rsid w:val="00540BCB"/>
    <w:rsid w:val="00540C78"/>
    <w:rsid w:val="00540CC2"/>
    <w:rsid w:val="00540D0D"/>
    <w:rsid w:val="00540D4B"/>
    <w:rsid w:val="00540E91"/>
    <w:rsid w:val="00540ECB"/>
    <w:rsid w:val="00540F2C"/>
    <w:rsid w:val="00540F3E"/>
    <w:rsid w:val="00540F59"/>
    <w:rsid w:val="00540FBE"/>
    <w:rsid w:val="00540FDF"/>
    <w:rsid w:val="00540FF1"/>
    <w:rsid w:val="00541024"/>
    <w:rsid w:val="00541098"/>
    <w:rsid w:val="005410A5"/>
    <w:rsid w:val="00541123"/>
    <w:rsid w:val="0054117B"/>
    <w:rsid w:val="005411CC"/>
    <w:rsid w:val="0054120E"/>
    <w:rsid w:val="00541313"/>
    <w:rsid w:val="0054132C"/>
    <w:rsid w:val="0054132F"/>
    <w:rsid w:val="00541347"/>
    <w:rsid w:val="00541350"/>
    <w:rsid w:val="00541369"/>
    <w:rsid w:val="005413A9"/>
    <w:rsid w:val="005414F2"/>
    <w:rsid w:val="00541506"/>
    <w:rsid w:val="00541588"/>
    <w:rsid w:val="005415CA"/>
    <w:rsid w:val="00541608"/>
    <w:rsid w:val="00541683"/>
    <w:rsid w:val="005416BD"/>
    <w:rsid w:val="005417CD"/>
    <w:rsid w:val="0054186E"/>
    <w:rsid w:val="005418DE"/>
    <w:rsid w:val="00541999"/>
    <w:rsid w:val="00541AC3"/>
    <w:rsid w:val="00541B13"/>
    <w:rsid w:val="00541B8D"/>
    <w:rsid w:val="00541BF4"/>
    <w:rsid w:val="00541C09"/>
    <w:rsid w:val="00541C51"/>
    <w:rsid w:val="00541CF2"/>
    <w:rsid w:val="00541D7B"/>
    <w:rsid w:val="00541DCF"/>
    <w:rsid w:val="00541E1C"/>
    <w:rsid w:val="00541F20"/>
    <w:rsid w:val="00541FB3"/>
    <w:rsid w:val="0054200D"/>
    <w:rsid w:val="0054205B"/>
    <w:rsid w:val="00542075"/>
    <w:rsid w:val="00542105"/>
    <w:rsid w:val="0054214C"/>
    <w:rsid w:val="00542171"/>
    <w:rsid w:val="0054217C"/>
    <w:rsid w:val="005421B5"/>
    <w:rsid w:val="005422F8"/>
    <w:rsid w:val="00542317"/>
    <w:rsid w:val="00542342"/>
    <w:rsid w:val="005423D3"/>
    <w:rsid w:val="005423DD"/>
    <w:rsid w:val="00542403"/>
    <w:rsid w:val="00542411"/>
    <w:rsid w:val="00542436"/>
    <w:rsid w:val="005424B2"/>
    <w:rsid w:val="005425EC"/>
    <w:rsid w:val="00542635"/>
    <w:rsid w:val="005426F1"/>
    <w:rsid w:val="0054279A"/>
    <w:rsid w:val="005427B5"/>
    <w:rsid w:val="005427D9"/>
    <w:rsid w:val="005428BA"/>
    <w:rsid w:val="005428D3"/>
    <w:rsid w:val="0054296A"/>
    <w:rsid w:val="0054297C"/>
    <w:rsid w:val="00542A6A"/>
    <w:rsid w:val="00542A97"/>
    <w:rsid w:val="00542AB3"/>
    <w:rsid w:val="00542B01"/>
    <w:rsid w:val="00542B39"/>
    <w:rsid w:val="00542B92"/>
    <w:rsid w:val="00542BBF"/>
    <w:rsid w:val="00542C9F"/>
    <w:rsid w:val="00542CEB"/>
    <w:rsid w:val="00542D15"/>
    <w:rsid w:val="00542D85"/>
    <w:rsid w:val="00542E46"/>
    <w:rsid w:val="00542F1F"/>
    <w:rsid w:val="00542F2D"/>
    <w:rsid w:val="00542FCD"/>
    <w:rsid w:val="00542FF8"/>
    <w:rsid w:val="00543020"/>
    <w:rsid w:val="005430D4"/>
    <w:rsid w:val="00543110"/>
    <w:rsid w:val="00543137"/>
    <w:rsid w:val="005431E7"/>
    <w:rsid w:val="00543339"/>
    <w:rsid w:val="005433DF"/>
    <w:rsid w:val="0054341B"/>
    <w:rsid w:val="00543499"/>
    <w:rsid w:val="005434A6"/>
    <w:rsid w:val="005434B6"/>
    <w:rsid w:val="005434C7"/>
    <w:rsid w:val="005434ED"/>
    <w:rsid w:val="005435F4"/>
    <w:rsid w:val="005435F9"/>
    <w:rsid w:val="005435FE"/>
    <w:rsid w:val="0054362B"/>
    <w:rsid w:val="005436CE"/>
    <w:rsid w:val="005436E4"/>
    <w:rsid w:val="005437A3"/>
    <w:rsid w:val="00543814"/>
    <w:rsid w:val="0054381B"/>
    <w:rsid w:val="0054384C"/>
    <w:rsid w:val="005438B7"/>
    <w:rsid w:val="005438D3"/>
    <w:rsid w:val="00543949"/>
    <w:rsid w:val="00543965"/>
    <w:rsid w:val="005439E4"/>
    <w:rsid w:val="00543A0A"/>
    <w:rsid w:val="00543B2F"/>
    <w:rsid w:val="00543B9F"/>
    <w:rsid w:val="00543BDB"/>
    <w:rsid w:val="00543C94"/>
    <w:rsid w:val="00543CE5"/>
    <w:rsid w:val="00543D30"/>
    <w:rsid w:val="00543DD6"/>
    <w:rsid w:val="00543E58"/>
    <w:rsid w:val="00543E59"/>
    <w:rsid w:val="00543F0C"/>
    <w:rsid w:val="00543F85"/>
    <w:rsid w:val="00543FBD"/>
    <w:rsid w:val="00543FED"/>
    <w:rsid w:val="00544025"/>
    <w:rsid w:val="00544079"/>
    <w:rsid w:val="00544186"/>
    <w:rsid w:val="005441AE"/>
    <w:rsid w:val="005441DF"/>
    <w:rsid w:val="005441FF"/>
    <w:rsid w:val="00544248"/>
    <w:rsid w:val="00544291"/>
    <w:rsid w:val="005442E4"/>
    <w:rsid w:val="005443AA"/>
    <w:rsid w:val="0054441E"/>
    <w:rsid w:val="00544428"/>
    <w:rsid w:val="005445AE"/>
    <w:rsid w:val="005445D6"/>
    <w:rsid w:val="00544642"/>
    <w:rsid w:val="0054469A"/>
    <w:rsid w:val="00544803"/>
    <w:rsid w:val="005448C2"/>
    <w:rsid w:val="00544910"/>
    <w:rsid w:val="00544954"/>
    <w:rsid w:val="00544A95"/>
    <w:rsid w:val="00544ACE"/>
    <w:rsid w:val="00544B01"/>
    <w:rsid w:val="00544B8E"/>
    <w:rsid w:val="00544C63"/>
    <w:rsid w:val="00544D07"/>
    <w:rsid w:val="00544D0B"/>
    <w:rsid w:val="00544D5F"/>
    <w:rsid w:val="00544EB9"/>
    <w:rsid w:val="00544F55"/>
    <w:rsid w:val="00544F72"/>
    <w:rsid w:val="00545034"/>
    <w:rsid w:val="00545063"/>
    <w:rsid w:val="005450E8"/>
    <w:rsid w:val="0054510E"/>
    <w:rsid w:val="0054519A"/>
    <w:rsid w:val="005451A4"/>
    <w:rsid w:val="005451AF"/>
    <w:rsid w:val="005451D4"/>
    <w:rsid w:val="005451E1"/>
    <w:rsid w:val="00545247"/>
    <w:rsid w:val="0054528D"/>
    <w:rsid w:val="00545298"/>
    <w:rsid w:val="00545319"/>
    <w:rsid w:val="005454D6"/>
    <w:rsid w:val="00545564"/>
    <w:rsid w:val="005455CF"/>
    <w:rsid w:val="00545697"/>
    <w:rsid w:val="005456A2"/>
    <w:rsid w:val="005456CD"/>
    <w:rsid w:val="00545731"/>
    <w:rsid w:val="005458A5"/>
    <w:rsid w:val="005458BB"/>
    <w:rsid w:val="005458E4"/>
    <w:rsid w:val="00545943"/>
    <w:rsid w:val="00545B3B"/>
    <w:rsid w:val="00545B70"/>
    <w:rsid w:val="00545B8E"/>
    <w:rsid w:val="00545BDF"/>
    <w:rsid w:val="00545C13"/>
    <w:rsid w:val="00545C58"/>
    <w:rsid w:val="00545C9B"/>
    <w:rsid w:val="00545C9F"/>
    <w:rsid w:val="00545CC0"/>
    <w:rsid w:val="00545CC8"/>
    <w:rsid w:val="00545D01"/>
    <w:rsid w:val="00545D9A"/>
    <w:rsid w:val="00545DEC"/>
    <w:rsid w:val="00545E05"/>
    <w:rsid w:val="00545E96"/>
    <w:rsid w:val="00545EC1"/>
    <w:rsid w:val="00545EF7"/>
    <w:rsid w:val="005460DA"/>
    <w:rsid w:val="00546115"/>
    <w:rsid w:val="0054611F"/>
    <w:rsid w:val="0054617A"/>
    <w:rsid w:val="005461C9"/>
    <w:rsid w:val="0054625B"/>
    <w:rsid w:val="00546331"/>
    <w:rsid w:val="005463FA"/>
    <w:rsid w:val="00546425"/>
    <w:rsid w:val="00546496"/>
    <w:rsid w:val="005464A8"/>
    <w:rsid w:val="005464DD"/>
    <w:rsid w:val="0054659F"/>
    <w:rsid w:val="0054665A"/>
    <w:rsid w:val="00546682"/>
    <w:rsid w:val="005466C7"/>
    <w:rsid w:val="005466D4"/>
    <w:rsid w:val="0054675C"/>
    <w:rsid w:val="00546778"/>
    <w:rsid w:val="00546868"/>
    <w:rsid w:val="00546943"/>
    <w:rsid w:val="005469B3"/>
    <w:rsid w:val="005469C4"/>
    <w:rsid w:val="005469CC"/>
    <w:rsid w:val="00546A08"/>
    <w:rsid w:val="00546A38"/>
    <w:rsid w:val="00546A67"/>
    <w:rsid w:val="00546B0C"/>
    <w:rsid w:val="00546B25"/>
    <w:rsid w:val="00546B55"/>
    <w:rsid w:val="00546B6A"/>
    <w:rsid w:val="00546B6D"/>
    <w:rsid w:val="00546B91"/>
    <w:rsid w:val="00546C53"/>
    <w:rsid w:val="00546D07"/>
    <w:rsid w:val="00546E12"/>
    <w:rsid w:val="00546E22"/>
    <w:rsid w:val="00546F08"/>
    <w:rsid w:val="00546F0E"/>
    <w:rsid w:val="00546F11"/>
    <w:rsid w:val="00546F33"/>
    <w:rsid w:val="00546F5E"/>
    <w:rsid w:val="00546F70"/>
    <w:rsid w:val="00547095"/>
    <w:rsid w:val="0054711D"/>
    <w:rsid w:val="00547159"/>
    <w:rsid w:val="0054715C"/>
    <w:rsid w:val="0054715E"/>
    <w:rsid w:val="00547215"/>
    <w:rsid w:val="00547286"/>
    <w:rsid w:val="005472C3"/>
    <w:rsid w:val="005472E1"/>
    <w:rsid w:val="0054736B"/>
    <w:rsid w:val="005473AD"/>
    <w:rsid w:val="005473CC"/>
    <w:rsid w:val="00547450"/>
    <w:rsid w:val="0054746D"/>
    <w:rsid w:val="0054746E"/>
    <w:rsid w:val="0054748C"/>
    <w:rsid w:val="00547499"/>
    <w:rsid w:val="005474D8"/>
    <w:rsid w:val="00547534"/>
    <w:rsid w:val="0054760F"/>
    <w:rsid w:val="00547623"/>
    <w:rsid w:val="00547687"/>
    <w:rsid w:val="00547784"/>
    <w:rsid w:val="0054790A"/>
    <w:rsid w:val="00547991"/>
    <w:rsid w:val="00547ABA"/>
    <w:rsid w:val="00547AD4"/>
    <w:rsid w:val="00547AF0"/>
    <w:rsid w:val="00547B18"/>
    <w:rsid w:val="00547C1A"/>
    <w:rsid w:val="00547C52"/>
    <w:rsid w:val="00547D60"/>
    <w:rsid w:val="00547D64"/>
    <w:rsid w:val="00547D77"/>
    <w:rsid w:val="00547E64"/>
    <w:rsid w:val="00547E7C"/>
    <w:rsid w:val="00547F14"/>
    <w:rsid w:val="00547FE6"/>
    <w:rsid w:val="00550128"/>
    <w:rsid w:val="00550207"/>
    <w:rsid w:val="00550211"/>
    <w:rsid w:val="00550266"/>
    <w:rsid w:val="0055035D"/>
    <w:rsid w:val="0055038A"/>
    <w:rsid w:val="005503A7"/>
    <w:rsid w:val="005503F7"/>
    <w:rsid w:val="00550400"/>
    <w:rsid w:val="0055046D"/>
    <w:rsid w:val="005504C3"/>
    <w:rsid w:val="005504D8"/>
    <w:rsid w:val="005504F2"/>
    <w:rsid w:val="00550547"/>
    <w:rsid w:val="005505CD"/>
    <w:rsid w:val="00550611"/>
    <w:rsid w:val="0055066D"/>
    <w:rsid w:val="00550671"/>
    <w:rsid w:val="00550691"/>
    <w:rsid w:val="0055069A"/>
    <w:rsid w:val="0055078F"/>
    <w:rsid w:val="00550792"/>
    <w:rsid w:val="005507AF"/>
    <w:rsid w:val="005507ED"/>
    <w:rsid w:val="005508B4"/>
    <w:rsid w:val="005508BA"/>
    <w:rsid w:val="00550931"/>
    <w:rsid w:val="0055098F"/>
    <w:rsid w:val="00550A09"/>
    <w:rsid w:val="00550A65"/>
    <w:rsid w:val="00550AA6"/>
    <w:rsid w:val="00550B4F"/>
    <w:rsid w:val="00550C20"/>
    <w:rsid w:val="00550C6B"/>
    <w:rsid w:val="00550D31"/>
    <w:rsid w:val="00550D94"/>
    <w:rsid w:val="00550E19"/>
    <w:rsid w:val="00550E28"/>
    <w:rsid w:val="00550F07"/>
    <w:rsid w:val="00550F25"/>
    <w:rsid w:val="00550F5A"/>
    <w:rsid w:val="00550F6E"/>
    <w:rsid w:val="00550FA7"/>
    <w:rsid w:val="00550FA9"/>
    <w:rsid w:val="00550FDA"/>
    <w:rsid w:val="0055109E"/>
    <w:rsid w:val="00551116"/>
    <w:rsid w:val="00551184"/>
    <w:rsid w:val="005511C7"/>
    <w:rsid w:val="005511E0"/>
    <w:rsid w:val="005511EC"/>
    <w:rsid w:val="00551223"/>
    <w:rsid w:val="00551268"/>
    <w:rsid w:val="005512A5"/>
    <w:rsid w:val="005513A9"/>
    <w:rsid w:val="0055148B"/>
    <w:rsid w:val="005514D0"/>
    <w:rsid w:val="005514F1"/>
    <w:rsid w:val="005514F5"/>
    <w:rsid w:val="00551511"/>
    <w:rsid w:val="0055155C"/>
    <w:rsid w:val="00551569"/>
    <w:rsid w:val="005515AF"/>
    <w:rsid w:val="005515BF"/>
    <w:rsid w:val="00551654"/>
    <w:rsid w:val="00551683"/>
    <w:rsid w:val="005516C9"/>
    <w:rsid w:val="0055172E"/>
    <w:rsid w:val="005517D3"/>
    <w:rsid w:val="0055183E"/>
    <w:rsid w:val="00551924"/>
    <w:rsid w:val="00551AFC"/>
    <w:rsid w:val="00551B89"/>
    <w:rsid w:val="00551BF9"/>
    <w:rsid w:val="00551D6E"/>
    <w:rsid w:val="00551D6F"/>
    <w:rsid w:val="00551D90"/>
    <w:rsid w:val="00551DA5"/>
    <w:rsid w:val="00551E23"/>
    <w:rsid w:val="00551E45"/>
    <w:rsid w:val="00551E46"/>
    <w:rsid w:val="00551E64"/>
    <w:rsid w:val="00551F10"/>
    <w:rsid w:val="00551F20"/>
    <w:rsid w:val="00551F29"/>
    <w:rsid w:val="00551F4E"/>
    <w:rsid w:val="00551FC9"/>
    <w:rsid w:val="00552065"/>
    <w:rsid w:val="005520C7"/>
    <w:rsid w:val="005520E2"/>
    <w:rsid w:val="00552110"/>
    <w:rsid w:val="005521F2"/>
    <w:rsid w:val="005521F9"/>
    <w:rsid w:val="0055232C"/>
    <w:rsid w:val="0055240E"/>
    <w:rsid w:val="0055242F"/>
    <w:rsid w:val="0055257B"/>
    <w:rsid w:val="0055259A"/>
    <w:rsid w:val="0055259F"/>
    <w:rsid w:val="00552684"/>
    <w:rsid w:val="0055269F"/>
    <w:rsid w:val="00552737"/>
    <w:rsid w:val="005527DF"/>
    <w:rsid w:val="005527E9"/>
    <w:rsid w:val="005528CC"/>
    <w:rsid w:val="005528F0"/>
    <w:rsid w:val="005529C9"/>
    <w:rsid w:val="00552A4F"/>
    <w:rsid w:val="00552A98"/>
    <w:rsid w:val="00552AA4"/>
    <w:rsid w:val="00552AB8"/>
    <w:rsid w:val="00552B3B"/>
    <w:rsid w:val="00552C1D"/>
    <w:rsid w:val="00552CEC"/>
    <w:rsid w:val="00552D5D"/>
    <w:rsid w:val="00552D6F"/>
    <w:rsid w:val="00552E85"/>
    <w:rsid w:val="00552F36"/>
    <w:rsid w:val="00552F46"/>
    <w:rsid w:val="00552F89"/>
    <w:rsid w:val="00552F8B"/>
    <w:rsid w:val="00552FE7"/>
    <w:rsid w:val="0055300C"/>
    <w:rsid w:val="00553037"/>
    <w:rsid w:val="00553191"/>
    <w:rsid w:val="00553215"/>
    <w:rsid w:val="0055323F"/>
    <w:rsid w:val="005532A3"/>
    <w:rsid w:val="0055330D"/>
    <w:rsid w:val="00553337"/>
    <w:rsid w:val="00553405"/>
    <w:rsid w:val="00553411"/>
    <w:rsid w:val="00553482"/>
    <w:rsid w:val="005534BB"/>
    <w:rsid w:val="00553548"/>
    <w:rsid w:val="00553591"/>
    <w:rsid w:val="005535CA"/>
    <w:rsid w:val="00553679"/>
    <w:rsid w:val="00553685"/>
    <w:rsid w:val="00553691"/>
    <w:rsid w:val="00553730"/>
    <w:rsid w:val="005537EC"/>
    <w:rsid w:val="005537F9"/>
    <w:rsid w:val="00553884"/>
    <w:rsid w:val="005538BD"/>
    <w:rsid w:val="00553A5B"/>
    <w:rsid w:val="00553B49"/>
    <w:rsid w:val="00553BBA"/>
    <w:rsid w:val="00553BF3"/>
    <w:rsid w:val="00553C36"/>
    <w:rsid w:val="00553C41"/>
    <w:rsid w:val="00553C6A"/>
    <w:rsid w:val="00553C99"/>
    <w:rsid w:val="00553CEA"/>
    <w:rsid w:val="00553D75"/>
    <w:rsid w:val="00553D7C"/>
    <w:rsid w:val="00553DD6"/>
    <w:rsid w:val="00553EFA"/>
    <w:rsid w:val="00553F3C"/>
    <w:rsid w:val="00553FA9"/>
    <w:rsid w:val="00553FBE"/>
    <w:rsid w:val="00553FEA"/>
    <w:rsid w:val="00554045"/>
    <w:rsid w:val="0055406C"/>
    <w:rsid w:val="005540B8"/>
    <w:rsid w:val="005540B9"/>
    <w:rsid w:val="005540CE"/>
    <w:rsid w:val="00554121"/>
    <w:rsid w:val="00554130"/>
    <w:rsid w:val="00554170"/>
    <w:rsid w:val="00554183"/>
    <w:rsid w:val="005541BD"/>
    <w:rsid w:val="00554266"/>
    <w:rsid w:val="005542C8"/>
    <w:rsid w:val="005542F6"/>
    <w:rsid w:val="0055436A"/>
    <w:rsid w:val="00554469"/>
    <w:rsid w:val="005544B6"/>
    <w:rsid w:val="005544FF"/>
    <w:rsid w:val="0055457C"/>
    <w:rsid w:val="00554590"/>
    <w:rsid w:val="005545C3"/>
    <w:rsid w:val="0055471A"/>
    <w:rsid w:val="00554730"/>
    <w:rsid w:val="00554755"/>
    <w:rsid w:val="00554759"/>
    <w:rsid w:val="00554773"/>
    <w:rsid w:val="005547C8"/>
    <w:rsid w:val="00554891"/>
    <w:rsid w:val="00554908"/>
    <w:rsid w:val="00554A75"/>
    <w:rsid w:val="00554B3B"/>
    <w:rsid w:val="00554BC0"/>
    <w:rsid w:val="00554C31"/>
    <w:rsid w:val="00554D12"/>
    <w:rsid w:val="00554D26"/>
    <w:rsid w:val="00554D8E"/>
    <w:rsid w:val="00554E41"/>
    <w:rsid w:val="00554EB3"/>
    <w:rsid w:val="00554FDC"/>
    <w:rsid w:val="00555000"/>
    <w:rsid w:val="0055503D"/>
    <w:rsid w:val="00555044"/>
    <w:rsid w:val="00555066"/>
    <w:rsid w:val="005550BB"/>
    <w:rsid w:val="00555103"/>
    <w:rsid w:val="00555108"/>
    <w:rsid w:val="00555128"/>
    <w:rsid w:val="00555218"/>
    <w:rsid w:val="005552D7"/>
    <w:rsid w:val="005553B2"/>
    <w:rsid w:val="005553CC"/>
    <w:rsid w:val="005553D3"/>
    <w:rsid w:val="00555402"/>
    <w:rsid w:val="0055542D"/>
    <w:rsid w:val="0055549C"/>
    <w:rsid w:val="005554EB"/>
    <w:rsid w:val="0055555C"/>
    <w:rsid w:val="005555D3"/>
    <w:rsid w:val="005555EA"/>
    <w:rsid w:val="00555601"/>
    <w:rsid w:val="00555625"/>
    <w:rsid w:val="00555711"/>
    <w:rsid w:val="00555745"/>
    <w:rsid w:val="005558A9"/>
    <w:rsid w:val="005558F0"/>
    <w:rsid w:val="00555A15"/>
    <w:rsid w:val="00555A9E"/>
    <w:rsid w:val="00555ABF"/>
    <w:rsid w:val="00555AC9"/>
    <w:rsid w:val="00555B46"/>
    <w:rsid w:val="00555B62"/>
    <w:rsid w:val="00555BE9"/>
    <w:rsid w:val="00555BF0"/>
    <w:rsid w:val="00555BF6"/>
    <w:rsid w:val="00555C18"/>
    <w:rsid w:val="00555CB9"/>
    <w:rsid w:val="00555D85"/>
    <w:rsid w:val="00555DCB"/>
    <w:rsid w:val="00555E06"/>
    <w:rsid w:val="00555E0C"/>
    <w:rsid w:val="00555E8A"/>
    <w:rsid w:val="00555F1E"/>
    <w:rsid w:val="00555F5F"/>
    <w:rsid w:val="00555F7C"/>
    <w:rsid w:val="00555F9F"/>
    <w:rsid w:val="00555FA0"/>
    <w:rsid w:val="00555FCA"/>
    <w:rsid w:val="0055601E"/>
    <w:rsid w:val="00556029"/>
    <w:rsid w:val="00556079"/>
    <w:rsid w:val="005560E3"/>
    <w:rsid w:val="0055615F"/>
    <w:rsid w:val="00556212"/>
    <w:rsid w:val="005562E1"/>
    <w:rsid w:val="005562E4"/>
    <w:rsid w:val="00556357"/>
    <w:rsid w:val="0055638E"/>
    <w:rsid w:val="005563FD"/>
    <w:rsid w:val="00556402"/>
    <w:rsid w:val="00556480"/>
    <w:rsid w:val="005564CC"/>
    <w:rsid w:val="00556614"/>
    <w:rsid w:val="005566F2"/>
    <w:rsid w:val="00556736"/>
    <w:rsid w:val="00556756"/>
    <w:rsid w:val="00556780"/>
    <w:rsid w:val="005567CE"/>
    <w:rsid w:val="005568DA"/>
    <w:rsid w:val="00556913"/>
    <w:rsid w:val="00556977"/>
    <w:rsid w:val="00556A04"/>
    <w:rsid w:val="00556A58"/>
    <w:rsid w:val="00556B7C"/>
    <w:rsid w:val="00556BAB"/>
    <w:rsid w:val="00556BE1"/>
    <w:rsid w:val="00556BEA"/>
    <w:rsid w:val="00556BF4"/>
    <w:rsid w:val="00556C14"/>
    <w:rsid w:val="00556CD6"/>
    <w:rsid w:val="00556D5D"/>
    <w:rsid w:val="00556D72"/>
    <w:rsid w:val="00556E28"/>
    <w:rsid w:val="00556E74"/>
    <w:rsid w:val="00556EC9"/>
    <w:rsid w:val="00556F21"/>
    <w:rsid w:val="00556F5E"/>
    <w:rsid w:val="00556F81"/>
    <w:rsid w:val="0055709A"/>
    <w:rsid w:val="0055718B"/>
    <w:rsid w:val="005571AD"/>
    <w:rsid w:val="005571F0"/>
    <w:rsid w:val="00557206"/>
    <w:rsid w:val="00557222"/>
    <w:rsid w:val="00557284"/>
    <w:rsid w:val="00557295"/>
    <w:rsid w:val="005572A7"/>
    <w:rsid w:val="00557345"/>
    <w:rsid w:val="005573E9"/>
    <w:rsid w:val="005574DC"/>
    <w:rsid w:val="005574E7"/>
    <w:rsid w:val="00557513"/>
    <w:rsid w:val="0055765C"/>
    <w:rsid w:val="005576CA"/>
    <w:rsid w:val="005576E5"/>
    <w:rsid w:val="00557706"/>
    <w:rsid w:val="00557714"/>
    <w:rsid w:val="005577B5"/>
    <w:rsid w:val="0055784C"/>
    <w:rsid w:val="00557929"/>
    <w:rsid w:val="005579E9"/>
    <w:rsid w:val="005579FC"/>
    <w:rsid w:val="00557A80"/>
    <w:rsid w:val="00557A86"/>
    <w:rsid w:val="00557B0E"/>
    <w:rsid w:val="00557B25"/>
    <w:rsid w:val="00557B52"/>
    <w:rsid w:val="00557BB3"/>
    <w:rsid w:val="00557BF3"/>
    <w:rsid w:val="00557CB0"/>
    <w:rsid w:val="00557CE3"/>
    <w:rsid w:val="00557D4F"/>
    <w:rsid w:val="00557D78"/>
    <w:rsid w:val="00557D87"/>
    <w:rsid w:val="00557DA7"/>
    <w:rsid w:val="00557EAA"/>
    <w:rsid w:val="00557EE7"/>
    <w:rsid w:val="00560092"/>
    <w:rsid w:val="005600C1"/>
    <w:rsid w:val="00560134"/>
    <w:rsid w:val="005601CF"/>
    <w:rsid w:val="005601EB"/>
    <w:rsid w:val="0056020E"/>
    <w:rsid w:val="00560216"/>
    <w:rsid w:val="00560255"/>
    <w:rsid w:val="00560307"/>
    <w:rsid w:val="0056030B"/>
    <w:rsid w:val="00560312"/>
    <w:rsid w:val="00560397"/>
    <w:rsid w:val="005603A1"/>
    <w:rsid w:val="005603C3"/>
    <w:rsid w:val="00560446"/>
    <w:rsid w:val="005604B4"/>
    <w:rsid w:val="0056052C"/>
    <w:rsid w:val="0056053D"/>
    <w:rsid w:val="00560560"/>
    <w:rsid w:val="005605ED"/>
    <w:rsid w:val="0056062B"/>
    <w:rsid w:val="005606AA"/>
    <w:rsid w:val="005606CA"/>
    <w:rsid w:val="00560779"/>
    <w:rsid w:val="005607DF"/>
    <w:rsid w:val="00560819"/>
    <w:rsid w:val="005608CF"/>
    <w:rsid w:val="005608F3"/>
    <w:rsid w:val="0056097E"/>
    <w:rsid w:val="005609AB"/>
    <w:rsid w:val="005609B9"/>
    <w:rsid w:val="005609DD"/>
    <w:rsid w:val="00560A6E"/>
    <w:rsid w:val="00560B62"/>
    <w:rsid w:val="00560C00"/>
    <w:rsid w:val="00560C44"/>
    <w:rsid w:val="00560C49"/>
    <w:rsid w:val="00560C60"/>
    <w:rsid w:val="00560CDA"/>
    <w:rsid w:val="00560D82"/>
    <w:rsid w:val="00560D87"/>
    <w:rsid w:val="00560DB1"/>
    <w:rsid w:val="00560F35"/>
    <w:rsid w:val="00560F3F"/>
    <w:rsid w:val="00560F49"/>
    <w:rsid w:val="00560F9C"/>
    <w:rsid w:val="00560FA6"/>
    <w:rsid w:val="00560FB0"/>
    <w:rsid w:val="00561027"/>
    <w:rsid w:val="0056109E"/>
    <w:rsid w:val="005610D6"/>
    <w:rsid w:val="0056111E"/>
    <w:rsid w:val="005611BA"/>
    <w:rsid w:val="00561267"/>
    <w:rsid w:val="0056129D"/>
    <w:rsid w:val="005612A0"/>
    <w:rsid w:val="005612D6"/>
    <w:rsid w:val="00561308"/>
    <w:rsid w:val="0056130D"/>
    <w:rsid w:val="0056138B"/>
    <w:rsid w:val="005613E2"/>
    <w:rsid w:val="00561408"/>
    <w:rsid w:val="005614A5"/>
    <w:rsid w:val="005614E2"/>
    <w:rsid w:val="005614ED"/>
    <w:rsid w:val="00561578"/>
    <w:rsid w:val="005615BC"/>
    <w:rsid w:val="005615BD"/>
    <w:rsid w:val="005615D0"/>
    <w:rsid w:val="0056161C"/>
    <w:rsid w:val="00561718"/>
    <w:rsid w:val="00561786"/>
    <w:rsid w:val="005617CE"/>
    <w:rsid w:val="005617EE"/>
    <w:rsid w:val="00561875"/>
    <w:rsid w:val="005618A8"/>
    <w:rsid w:val="005618C0"/>
    <w:rsid w:val="005618E7"/>
    <w:rsid w:val="00561944"/>
    <w:rsid w:val="005619CE"/>
    <w:rsid w:val="00561A6D"/>
    <w:rsid w:val="00561AA6"/>
    <w:rsid w:val="00561BA2"/>
    <w:rsid w:val="00561BBA"/>
    <w:rsid w:val="00561BF3"/>
    <w:rsid w:val="00561BFF"/>
    <w:rsid w:val="00561C21"/>
    <w:rsid w:val="00561C4D"/>
    <w:rsid w:val="00561C94"/>
    <w:rsid w:val="00561D00"/>
    <w:rsid w:val="00561D1B"/>
    <w:rsid w:val="00561D5A"/>
    <w:rsid w:val="00561D85"/>
    <w:rsid w:val="00561D89"/>
    <w:rsid w:val="00561DEA"/>
    <w:rsid w:val="00561E04"/>
    <w:rsid w:val="00561E36"/>
    <w:rsid w:val="00561ECA"/>
    <w:rsid w:val="00561EFC"/>
    <w:rsid w:val="00561F10"/>
    <w:rsid w:val="00561F38"/>
    <w:rsid w:val="00561F7E"/>
    <w:rsid w:val="00561F81"/>
    <w:rsid w:val="00561FE1"/>
    <w:rsid w:val="00562004"/>
    <w:rsid w:val="00562041"/>
    <w:rsid w:val="00562079"/>
    <w:rsid w:val="005620A4"/>
    <w:rsid w:val="00562344"/>
    <w:rsid w:val="00562423"/>
    <w:rsid w:val="00562451"/>
    <w:rsid w:val="0056251D"/>
    <w:rsid w:val="0056256E"/>
    <w:rsid w:val="00562626"/>
    <w:rsid w:val="00562680"/>
    <w:rsid w:val="005626FC"/>
    <w:rsid w:val="00562732"/>
    <w:rsid w:val="00562746"/>
    <w:rsid w:val="00562789"/>
    <w:rsid w:val="005627D6"/>
    <w:rsid w:val="00562853"/>
    <w:rsid w:val="00562874"/>
    <w:rsid w:val="00562938"/>
    <w:rsid w:val="005629C4"/>
    <w:rsid w:val="005629E7"/>
    <w:rsid w:val="00562A1A"/>
    <w:rsid w:val="00562ADF"/>
    <w:rsid w:val="00562C8B"/>
    <w:rsid w:val="00562D53"/>
    <w:rsid w:val="00562D92"/>
    <w:rsid w:val="00562DA4"/>
    <w:rsid w:val="00562DB9"/>
    <w:rsid w:val="00562DED"/>
    <w:rsid w:val="00562E3B"/>
    <w:rsid w:val="00562E57"/>
    <w:rsid w:val="00562ED3"/>
    <w:rsid w:val="00562F4D"/>
    <w:rsid w:val="00562F6B"/>
    <w:rsid w:val="00562FA4"/>
    <w:rsid w:val="0056308F"/>
    <w:rsid w:val="005630A2"/>
    <w:rsid w:val="005630CA"/>
    <w:rsid w:val="0056313F"/>
    <w:rsid w:val="0056326A"/>
    <w:rsid w:val="0056342E"/>
    <w:rsid w:val="005634B2"/>
    <w:rsid w:val="00563508"/>
    <w:rsid w:val="00563544"/>
    <w:rsid w:val="00563577"/>
    <w:rsid w:val="00563594"/>
    <w:rsid w:val="0056359A"/>
    <w:rsid w:val="0056360E"/>
    <w:rsid w:val="005636B1"/>
    <w:rsid w:val="005636CC"/>
    <w:rsid w:val="00563765"/>
    <w:rsid w:val="005637B7"/>
    <w:rsid w:val="005637F2"/>
    <w:rsid w:val="0056383D"/>
    <w:rsid w:val="00563999"/>
    <w:rsid w:val="00563A11"/>
    <w:rsid w:val="00563AB4"/>
    <w:rsid w:val="00563AD8"/>
    <w:rsid w:val="00563C13"/>
    <w:rsid w:val="00563C4D"/>
    <w:rsid w:val="00563C8F"/>
    <w:rsid w:val="00563CD6"/>
    <w:rsid w:val="00563CE3"/>
    <w:rsid w:val="00563CED"/>
    <w:rsid w:val="00563D99"/>
    <w:rsid w:val="00563DDB"/>
    <w:rsid w:val="00563DE9"/>
    <w:rsid w:val="00563ED4"/>
    <w:rsid w:val="00563EE7"/>
    <w:rsid w:val="00563EF0"/>
    <w:rsid w:val="00563F0E"/>
    <w:rsid w:val="00563F15"/>
    <w:rsid w:val="00563F5B"/>
    <w:rsid w:val="00564012"/>
    <w:rsid w:val="00564034"/>
    <w:rsid w:val="005640F6"/>
    <w:rsid w:val="00564253"/>
    <w:rsid w:val="005642B8"/>
    <w:rsid w:val="00564303"/>
    <w:rsid w:val="005643CF"/>
    <w:rsid w:val="005643F6"/>
    <w:rsid w:val="00564401"/>
    <w:rsid w:val="00564541"/>
    <w:rsid w:val="0056455D"/>
    <w:rsid w:val="0056458D"/>
    <w:rsid w:val="005645CF"/>
    <w:rsid w:val="005646A9"/>
    <w:rsid w:val="00564731"/>
    <w:rsid w:val="0056478A"/>
    <w:rsid w:val="00564792"/>
    <w:rsid w:val="005647C4"/>
    <w:rsid w:val="0056483C"/>
    <w:rsid w:val="0056484E"/>
    <w:rsid w:val="00564890"/>
    <w:rsid w:val="0056493C"/>
    <w:rsid w:val="005649A8"/>
    <w:rsid w:val="005649AB"/>
    <w:rsid w:val="00564A58"/>
    <w:rsid w:val="00564B04"/>
    <w:rsid w:val="00564BA3"/>
    <w:rsid w:val="00564BE7"/>
    <w:rsid w:val="00564BFB"/>
    <w:rsid w:val="00564C01"/>
    <w:rsid w:val="00564CEA"/>
    <w:rsid w:val="00564D09"/>
    <w:rsid w:val="00564D17"/>
    <w:rsid w:val="00564D6E"/>
    <w:rsid w:val="00564D88"/>
    <w:rsid w:val="00564D95"/>
    <w:rsid w:val="00564DA5"/>
    <w:rsid w:val="00564E1E"/>
    <w:rsid w:val="00564E4E"/>
    <w:rsid w:val="00564EEF"/>
    <w:rsid w:val="00564F4D"/>
    <w:rsid w:val="00564FAF"/>
    <w:rsid w:val="0056500A"/>
    <w:rsid w:val="005650AB"/>
    <w:rsid w:val="005650D2"/>
    <w:rsid w:val="0056510F"/>
    <w:rsid w:val="005651F4"/>
    <w:rsid w:val="00565216"/>
    <w:rsid w:val="005652E4"/>
    <w:rsid w:val="00565316"/>
    <w:rsid w:val="005653D7"/>
    <w:rsid w:val="0056542B"/>
    <w:rsid w:val="00565433"/>
    <w:rsid w:val="00565459"/>
    <w:rsid w:val="005654AE"/>
    <w:rsid w:val="005654BC"/>
    <w:rsid w:val="005654D5"/>
    <w:rsid w:val="0056551F"/>
    <w:rsid w:val="005655CF"/>
    <w:rsid w:val="00565675"/>
    <w:rsid w:val="005656D9"/>
    <w:rsid w:val="005658B0"/>
    <w:rsid w:val="005658E2"/>
    <w:rsid w:val="005658E9"/>
    <w:rsid w:val="005658ED"/>
    <w:rsid w:val="00565A0A"/>
    <w:rsid w:val="00565A5B"/>
    <w:rsid w:val="00565A71"/>
    <w:rsid w:val="00565ADC"/>
    <w:rsid w:val="00565B61"/>
    <w:rsid w:val="00565B85"/>
    <w:rsid w:val="00565BF5"/>
    <w:rsid w:val="00565C68"/>
    <w:rsid w:val="00565CF7"/>
    <w:rsid w:val="00565D1F"/>
    <w:rsid w:val="00565D24"/>
    <w:rsid w:val="00565D48"/>
    <w:rsid w:val="00565E24"/>
    <w:rsid w:val="00565E28"/>
    <w:rsid w:val="00565E32"/>
    <w:rsid w:val="00565F3D"/>
    <w:rsid w:val="00565FC3"/>
    <w:rsid w:val="00566012"/>
    <w:rsid w:val="005660A5"/>
    <w:rsid w:val="005660A8"/>
    <w:rsid w:val="0056610D"/>
    <w:rsid w:val="0056613E"/>
    <w:rsid w:val="0056616D"/>
    <w:rsid w:val="005661A5"/>
    <w:rsid w:val="005661C3"/>
    <w:rsid w:val="0056625D"/>
    <w:rsid w:val="005662C3"/>
    <w:rsid w:val="005662E1"/>
    <w:rsid w:val="0056630E"/>
    <w:rsid w:val="00566374"/>
    <w:rsid w:val="005663B5"/>
    <w:rsid w:val="0056642A"/>
    <w:rsid w:val="00566505"/>
    <w:rsid w:val="005665B5"/>
    <w:rsid w:val="005665C4"/>
    <w:rsid w:val="00566682"/>
    <w:rsid w:val="00566683"/>
    <w:rsid w:val="0056675A"/>
    <w:rsid w:val="00566782"/>
    <w:rsid w:val="0056678D"/>
    <w:rsid w:val="00566A5F"/>
    <w:rsid w:val="00566A97"/>
    <w:rsid w:val="00566B22"/>
    <w:rsid w:val="00566B55"/>
    <w:rsid w:val="00566B67"/>
    <w:rsid w:val="00566BD8"/>
    <w:rsid w:val="00566BE8"/>
    <w:rsid w:val="00566C5F"/>
    <w:rsid w:val="00566C6A"/>
    <w:rsid w:val="00566CB9"/>
    <w:rsid w:val="00566D1B"/>
    <w:rsid w:val="00566E66"/>
    <w:rsid w:val="00566ED4"/>
    <w:rsid w:val="00566EF2"/>
    <w:rsid w:val="00566F2F"/>
    <w:rsid w:val="00566F9E"/>
    <w:rsid w:val="00566FD4"/>
    <w:rsid w:val="00567008"/>
    <w:rsid w:val="00567056"/>
    <w:rsid w:val="00567061"/>
    <w:rsid w:val="00567096"/>
    <w:rsid w:val="00567152"/>
    <w:rsid w:val="00567207"/>
    <w:rsid w:val="00567242"/>
    <w:rsid w:val="00567254"/>
    <w:rsid w:val="0056736E"/>
    <w:rsid w:val="005673AD"/>
    <w:rsid w:val="00567403"/>
    <w:rsid w:val="00567406"/>
    <w:rsid w:val="00567462"/>
    <w:rsid w:val="00567475"/>
    <w:rsid w:val="0056747C"/>
    <w:rsid w:val="005674BD"/>
    <w:rsid w:val="005674CE"/>
    <w:rsid w:val="00567568"/>
    <w:rsid w:val="005675E0"/>
    <w:rsid w:val="00567607"/>
    <w:rsid w:val="00567622"/>
    <w:rsid w:val="0056766A"/>
    <w:rsid w:val="00567723"/>
    <w:rsid w:val="00567745"/>
    <w:rsid w:val="00567757"/>
    <w:rsid w:val="00567760"/>
    <w:rsid w:val="00567772"/>
    <w:rsid w:val="005677D5"/>
    <w:rsid w:val="00567823"/>
    <w:rsid w:val="00567870"/>
    <w:rsid w:val="005678A2"/>
    <w:rsid w:val="005678FA"/>
    <w:rsid w:val="00567921"/>
    <w:rsid w:val="00567965"/>
    <w:rsid w:val="005679B2"/>
    <w:rsid w:val="005679FD"/>
    <w:rsid w:val="00567A45"/>
    <w:rsid w:val="00567B08"/>
    <w:rsid w:val="00567B3D"/>
    <w:rsid w:val="00567B49"/>
    <w:rsid w:val="00567BFE"/>
    <w:rsid w:val="00567CBF"/>
    <w:rsid w:val="00567CDD"/>
    <w:rsid w:val="00567DF0"/>
    <w:rsid w:val="00567E7A"/>
    <w:rsid w:val="00567F6D"/>
    <w:rsid w:val="00567F96"/>
    <w:rsid w:val="00570051"/>
    <w:rsid w:val="0057009B"/>
    <w:rsid w:val="0057009D"/>
    <w:rsid w:val="00570113"/>
    <w:rsid w:val="0057015A"/>
    <w:rsid w:val="00570163"/>
    <w:rsid w:val="0057016A"/>
    <w:rsid w:val="00570186"/>
    <w:rsid w:val="005702DD"/>
    <w:rsid w:val="00570334"/>
    <w:rsid w:val="005703AC"/>
    <w:rsid w:val="0057040E"/>
    <w:rsid w:val="00570474"/>
    <w:rsid w:val="0057047B"/>
    <w:rsid w:val="0057054C"/>
    <w:rsid w:val="00570597"/>
    <w:rsid w:val="005705E1"/>
    <w:rsid w:val="005706A8"/>
    <w:rsid w:val="005706F2"/>
    <w:rsid w:val="0057078C"/>
    <w:rsid w:val="005707C5"/>
    <w:rsid w:val="0057088D"/>
    <w:rsid w:val="00570893"/>
    <w:rsid w:val="005708E4"/>
    <w:rsid w:val="005708EA"/>
    <w:rsid w:val="00570913"/>
    <w:rsid w:val="00570954"/>
    <w:rsid w:val="0057099C"/>
    <w:rsid w:val="00570A52"/>
    <w:rsid w:val="00570AEF"/>
    <w:rsid w:val="00570B1A"/>
    <w:rsid w:val="00570B7E"/>
    <w:rsid w:val="00570B93"/>
    <w:rsid w:val="00570BC2"/>
    <w:rsid w:val="00570C21"/>
    <w:rsid w:val="00570C24"/>
    <w:rsid w:val="00570C3F"/>
    <w:rsid w:val="00570CC3"/>
    <w:rsid w:val="00570CF4"/>
    <w:rsid w:val="00570D71"/>
    <w:rsid w:val="00570DCA"/>
    <w:rsid w:val="00570E72"/>
    <w:rsid w:val="00570EF9"/>
    <w:rsid w:val="0057112E"/>
    <w:rsid w:val="0057113F"/>
    <w:rsid w:val="00571160"/>
    <w:rsid w:val="0057119E"/>
    <w:rsid w:val="005711AE"/>
    <w:rsid w:val="005711F9"/>
    <w:rsid w:val="0057129F"/>
    <w:rsid w:val="005714E1"/>
    <w:rsid w:val="00571537"/>
    <w:rsid w:val="00571552"/>
    <w:rsid w:val="00571561"/>
    <w:rsid w:val="00571603"/>
    <w:rsid w:val="00571605"/>
    <w:rsid w:val="00571665"/>
    <w:rsid w:val="005716A7"/>
    <w:rsid w:val="00571720"/>
    <w:rsid w:val="005717DC"/>
    <w:rsid w:val="00571810"/>
    <w:rsid w:val="00571819"/>
    <w:rsid w:val="00571830"/>
    <w:rsid w:val="0057185F"/>
    <w:rsid w:val="0057194E"/>
    <w:rsid w:val="005719C6"/>
    <w:rsid w:val="00571A0C"/>
    <w:rsid w:val="00571B15"/>
    <w:rsid w:val="00571B94"/>
    <w:rsid w:val="00571BAF"/>
    <w:rsid w:val="00571BEC"/>
    <w:rsid w:val="00571C49"/>
    <w:rsid w:val="00571CBE"/>
    <w:rsid w:val="00571E27"/>
    <w:rsid w:val="00571E9E"/>
    <w:rsid w:val="00571F10"/>
    <w:rsid w:val="00571F15"/>
    <w:rsid w:val="00571F24"/>
    <w:rsid w:val="00571F6B"/>
    <w:rsid w:val="00571F79"/>
    <w:rsid w:val="00571F95"/>
    <w:rsid w:val="00571FE5"/>
    <w:rsid w:val="00571FE7"/>
    <w:rsid w:val="00572015"/>
    <w:rsid w:val="005720E6"/>
    <w:rsid w:val="0057216E"/>
    <w:rsid w:val="00572342"/>
    <w:rsid w:val="0057240D"/>
    <w:rsid w:val="00572524"/>
    <w:rsid w:val="0057258D"/>
    <w:rsid w:val="005725D5"/>
    <w:rsid w:val="00572684"/>
    <w:rsid w:val="005726CF"/>
    <w:rsid w:val="00572754"/>
    <w:rsid w:val="005727B4"/>
    <w:rsid w:val="00572828"/>
    <w:rsid w:val="00572851"/>
    <w:rsid w:val="00572856"/>
    <w:rsid w:val="005729C0"/>
    <w:rsid w:val="005729C1"/>
    <w:rsid w:val="00572A23"/>
    <w:rsid w:val="00572A5D"/>
    <w:rsid w:val="00572A97"/>
    <w:rsid w:val="00572ABA"/>
    <w:rsid w:val="00572ADC"/>
    <w:rsid w:val="00572B05"/>
    <w:rsid w:val="00572B19"/>
    <w:rsid w:val="00572BB5"/>
    <w:rsid w:val="00572BC5"/>
    <w:rsid w:val="00572BDD"/>
    <w:rsid w:val="00572BE6"/>
    <w:rsid w:val="00572C3B"/>
    <w:rsid w:val="00572C42"/>
    <w:rsid w:val="00572C70"/>
    <w:rsid w:val="00572C81"/>
    <w:rsid w:val="00572C86"/>
    <w:rsid w:val="00572CD7"/>
    <w:rsid w:val="00572D50"/>
    <w:rsid w:val="00572D55"/>
    <w:rsid w:val="00572D83"/>
    <w:rsid w:val="00572DDD"/>
    <w:rsid w:val="00572E01"/>
    <w:rsid w:val="00572E06"/>
    <w:rsid w:val="00572E0A"/>
    <w:rsid w:val="00572E50"/>
    <w:rsid w:val="00572E52"/>
    <w:rsid w:val="00572E5D"/>
    <w:rsid w:val="00572EF3"/>
    <w:rsid w:val="00572EFB"/>
    <w:rsid w:val="00572F3C"/>
    <w:rsid w:val="00573017"/>
    <w:rsid w:val="0057301D"/>
    <w:rsid w:val="00573054"/>
    <w:rsid w:val="00573075"/>
    <w:rsid w:val="0057308F"/>
    <w:rsid w:val="005730CF"/>
    <w:rsid w:val="005730D8"/>
    <w:rsid w:val="0057311C"/>
    <w:rsid w:val="00573170"/>
    <w:rsid w:val="00573235"/>
    <w:rsid w:val="0057323B"/>
    <w:rsid w:val="005732B6"/>
    <w:rsid w:val="0057334B"/>
    <w:rsid w:val="0057337E"/>
    <w:rsid w:val="0057338A"/>
    <w:rsid w:val="00573495"/>
    <w:rsid w:val="005734FA"/>
    <w:rsid w:val="00573505"/>
    <w:rsid w:val="00573511"/>
    <w:rsid w:val="0057359D"/>
    <w:rsid w:val="005735A6"/>
    <w:rsid w:val="0057370D"/>
    <w:rsid w:val="0057371F"/>
    <w:rsid w:val="00573780"/>
    <w:rsid w:val="005737DF"/>
    <w:rsid w:val="005737E6"/>
    <w:rsid w:val="00573905"/>
    <w:rsid w:val="00573A33"/>
    <w:rsid w:val="00573A70"/>
    <w:rsid w:val="00573B5F"/>
    <w:rsid w:val="00573B9C"/>
    <w:rsid w:val="00573BBA"/>
    <w:rsid w:val="00573C0F"/>
    <w:rsid w:val="00573C5D"/>
    <w:rsid w:val="00573CA0"/>
    <w:rsid w:val="00573CA1"/>
    <w:rsid w:val="00573CF7"/>
    <w:rsid w:val="00573DE4"/>
    <w:rsid w:val="00573E84"/>
    <w:rsid w:val="00573EB4"/>
    <w:rsid w:val="00573EE5"/>
    <w:rsid w:val="00573F63"/>
    <w:rsid w:val="00573FF0"/>
    <w:rsid w:val="00574063"/>
    <w:rsid w:val="0057408D"/>
    <w:rsid w:val="005740CB"/>
    <w:rsid w:val="00574120"/>
    <w:rsid w:val="0057412C"/>
    <w:rsid w:val="005741A9"/>
    <w:rsid w:val="005741B2"/>
    <w:rsid w:val="005742BF"/>
    <w:rsid w:val="00574329"/>
    <w:rsid w:val="0057432C"/>
    <w:rsid w:val="00574355"/>
    <w:rsid w:val="005743B8"/>
    <w:rsid w:val="0057442B"/>
    <w:rsid w:val="00574449"/>
    <w:rsid w:val="005744EB"/>
    <w:rsid w:val="00574502"/>
    <w:rsid w:val="00574567"/>
    <w:rsid w:val="00574599"/>
    <w:rsid w:val="005745A8"/>
    <w:rsid w:val="005745B8"/>
    <w:rsid w:val="0057460B"/>
    <w:rsid w:val="00574642"/>
    <w:rsid w:val="005746B0"/>
    <w:rsid w:val="005746DE"/>
    <w:rsid w:val="005747C9"/>
    <w:rsid w:val="0057484F"/>
    <w:rsid w:val="0057492C"/>
    <w:rsid w:val="00574984"/>
    <w:rsid w:val="00574A25"/>
    <w:rsid w:val="00574A62"/>
    <w:rsid w:val="00574A6B"/>
    <w:rsid w:val="00574B7D"/>
    <w:rsid w:val="00574C54"/>
    <w:rsid w:val="00574C68"/>
    <w:rsid w:val="00574CA1"/>
    <w:rsid w:val="00574CCD"/>
    <w:rsid w:val="00574D4B"/>
    <w:rsid w:val="00574D76"/>
    <w:rsid w:val="00574DAD"/>
    <w:rsid w:val="00574E05"/>
    <w:rsid w:val="00574E4B"/>
    <w:rsid w:val="00574E65"/>
    <w:rsid w:val="00574E7E"/>
    <w:rsid w:val="00574EFE"/>
    <w:rsid w:val="00574FBD"/>
    <w:rsid w:val="0057507B"/>
    <w:rsid w:val="005750BD"/>
    <w:rsid w:val="005750C8"/>
    <w:rsid w:val="005750CB"/>
    <w:rsid w:val="005750D9"/>
    <w:rsid w:val="00575100"/>
    <w:rsid w:val="0057519A"/>
    <w:rsid w:val="005751F1"/>
    <w:rsid w:val="005751F6"/>
    <w:rsid w:val="0057527A"/>
    <w:rsid w:val="005752BE"/>
    <w:rsid w:val="005752CD"/>
    <w:rsid w:val="00575341"/>
    <w:rsid w:val="0057539E"/>
    <w:rsid w:val="005753DC"/>
    <w:rsid w:val="00575451"/>
    <w:rsid w:val="00575489"/>
    <w:rsid w:val="005754C9"/>
    <w:rsid w:val="005754CD"/>
    <w:rsid w:val="00575546"/>
    <w:rsid w:val="00575571"/>
    <w:rsid w:val="00575589"/>
    <w:rsid w:val="005755B6"/>
    <w:rsid w:val="00575693"/>
    <w:rsid w:val="00575725"/>
    <w:rsid w:val="00575784"/>
    <w:rsid w:val="005757D3"/>
    <w:rsid w:val="005757D4"/>
    <w:rsid w:val="00575877"/>
    <w:rsid w:val="0057591C"/>
    <w:rsid w:val="0057596C"/>
    <w:rsid w:val="00575A29"/>
    <w:rsid w:val="00575AAD"/>
    <w:rsid w:val="00575ABE"/>
    <w:rsid w:val="00575B3F"/>
    <w:rsid w:val="00575B62"/>
    <w:rsid w:val="00575B7D"/>
    <w:rsid w:val="00575BFF"/>
    <w:rsid w:val="00575C59"/>
    <w:rsid w:val="00575D88"/>
    <w:rsid w:val="00575DD3"/>
    <w:rsid w:val="00575E45"/>
    <w:rsid w:val="00575E58"/>
    <w:rsid w:val="00575E61"/>
    <w:rsid w:val="00575E68"/>
    <w:rsid w:val="00575E7A"/>
    <w:rsid w:val="00575F5E"/>
    <w:rsid w:val="00575F6C"/>
    <w:rsid w:val="00575FC8"/>
    <w:rsid w:val="00576016"/>
    <w:rsid w:val="005760CE"/>
    <w:rsid w:val="0057611D"/>
    <w:rsid w:val="00576255"/>
    <w:rsid w:val="0057628E"/>
    <w:rsid w:val="00576389"/>
    <w:rsid w:val="0057644E"/>
    <w:rsid w:val="00576492"/>
    <w:rsid w:val="00576509"/>
    <w:rsid w:val="00576558"/>
    <w:rsid w:val="0057655D"/>
    <w:rsid w:val="005765E9"/>
    <w:rsid w:val="0057665D"/>
    <w:rsid w:val="00576675"/>
    <w:rsid w:val="00576750"/>
    <w:rsid w:val="005767CF"/>
    <w:rsid w:val="005767EB"/>
    <w:rsid w:val="0057698A"/>
    <w:rsid w:val="005769E6"/>
    <w:rsid w:val="00576A44"/>
    <w:rsid w:val="00576A6C"/>
    <w:rsid w:val="00576AAB"/>
    <w:rsid w:val="00576B66"/>
    <w:rsid w:val="00576C0F"/>
    <w:rsid w:val="00576C4A"/>
    <w:rsid w:val="00576CAA"/>
    <w:rsid w:val="00576CD7"/>
    <w:rsid w:val="00576CE9"/>
    <w:rsid w:val="00576CF8"/>
    <w:rsid w:val="00576D05"/>
    <w:rsid w:val="00576D31"/>
    <w:rsid w:val="00576D4C"/>
    <w:rsid w:val="00576D6C"/>
    <w:rsid w:val="00576D97"/>
    <w:rsid w:val="00576E4D"/>
    <w:rsid w:val="00576EA1"/>
    <w:rsid w:val="00576EDC"/>
    <w:rsid w:val="00576F16"/>
    <w:rsid w:val="00577039"/>
    <w:rsid w:val="0057703F"/>
    <w:rsid w:val="005770A6"/>
    <w:rsid w:val="00577162"/>
    <w:rsid w:val="005771F6"/>
    <w:rsid w:val="00577244"/>
    <w:rsid w:val="00577265"/>
    <w:rsid w:val="0057729F"/>
    <w:rsid w:val="005772E9"/>
    <w:rsid w:val="005772FC"/>
    <w:rsid w:val="0057731E"/>
    <w:rsid w:val="005773C6"/>
    <w:rsid w:val="005773EC"/>
    <w:rsid w:val="005774FC"/>
    <w:rsid w:val="0057755E"/>
    <w:rsid w:val="00577608"/>
    <w:rsid w:val="00577641"/>
    <w:rsid w:val="00577744"/>
    <w:rsid w:val="005777D5"/>
    <w:rsid w:val="005778C8"/>
    <w:rsid w:val="005778D4"/>
    <w:rsid w:val="0057792D"/>
    <w:rsid w:val="00577977"/>
    <w:rsid w:val="00577A53"/>
    <w:rsid w:val="00577A94"/>
    <w:rsid w:val="00577AA6"/>
    <w:rsid w:val="00577AB2"/>
    <w:rsid w:val="00577B1A"/>
    <w:rsid w:val="00577C14"/>
    <w:rsid w:val="00577C86"/>
    <w:rsid w:val="00577C98"/>
    <w:rsid w:val="00577CF8"/>
    <w:rsid w:val="00577D5B"/>
    <w:rsid w:val="00577D5F"/>
    <w:rsid w:val="00577E24"/>
    <w:rsid w:val="00577E6D"/>
    <w:rsid w:val="00577E6F"/>
    <w:rsid w:val="00577F7E"/>
    <w:rsid w:val="00580049"/>
    <w:rsid w:val="0058004A"/>
    <w:rsid w:val="005800C3"/>
    <w:rsid w:val="00580120"/>
    <w:rsid w:val="00580294"/>
    <w:rsid w:val="005802B1"/>
    <w:rsid w:val="00580322"/>
    <w:rsid w:val="00580338"/>
    <w:rsid w:val="0058038B"/>
    <w:rsid w:val="0058047A"/>
    <w:rsid w:val="005804BF"/>
    <w:rsid w:val="005804D4"/>
    <w:rsid w:val="00580507"/>
    <w:rsid w:val="0058052D"/>
    <w:rsid w:val="00580578"/>
    <w:rsid w:val="005805D9"/>
    <w:rsid w:val="00580600"/>
    <w:rsid w:val="0058074E"/>
    <w:rsid w:val="0058075D"/>
    <w:rsid w:val="00580791"/>
    <w:rsid w:val="0058079B"/>
    <w:rsid w:val="00580837"/>
    <w:rsid w:val="00580855"/>
    <w:rsid w:val="0058088F"/>
    <w:rsid w:val="005808B8"/>
    <w:rsid w:val="00580977"/>
    <w:rsid w:val="005809BA"/>
    <w:rsid w:val="005809BE"/>
    <w:rsid w:val="00580A5A"/>
    <w:rsid w:val="00580A66"/>
    <w:rsid w:val="00580AD8"/>
    <w:rsid w:val="00580B22"/>
    <w:rsid w:val="00580B24"/>
    <w:rsid w:val="00580BF4"/>
    <w:rsid w:val="00580C01"/>
    <w:rsid w:val="00580C3F"/>
    <w:rsid w:val="00580C87"/>
    <w:rsid w:val="00580C8E"/>
    <w:rsid w:val="00580C98"/>
    <w:rsid w:val="00580D1D"/>
    <w:rsid w:val="00580D73"/>
    <w:rsid w:val="00580E79"/>
    <w:rsid w:val="00580EDE"/>
    <w:rsid w:val="00580F4F"/>
    <w:rsid w:val="00580FE0"/>
    <w:rsid w:val="00581037"/>
    <w:rsid w:val="00581060"/>
    <w:rsid w:val="00581065"/>
    <w:rsid w:val="00581084"/>
    <w:rsid w:val="00581123"/>
    <w:rsid w:val="0058119C"/>
    <w:rsid w:val="005811A7"/>
    <w:rsid w:val="005812B7"/>
    <w:rsid w:val="0058132E"/>
    <w:rsid w:val="005813A8"/>
    <w:rsid w:val="0058143C"/>
    <w:rsid w:val="00581541"/>
    <w:rsid w:val="0058159D"/>
    <w:rsid w:val="005815BB"/>
    <w:rsid w:val="005815CE"/>
    <w:rsid w:val="00581603"/>
    <w:rsid w:val="0058164B"/>
    <w:rsid w:val="0058166E"/>
    <w:rsid w:val="005816E4"/>
    <w:rsid w:val="0058172B"/>
    <w:rsid w:val="005817CB"/>
    <w:rsid w:val="005817E0"/>
    <w:rsid w:val="005817F7"/>
    <w:rsid w:val="00581849"/>
    <w:rsid w:val="00581972"/>
    <w:rsid w:val="0058198D"/>
    <w:rsid w:val="00581AC3"/>
    <w:rsid w:val="00581AED"/>
    <w:rsid w:val="00581B10"/>
    <w:rsid w:val="00581D58"/>
    <w:rsid w:val="00581DA8"/>
    <w:rsid w:val="00581DBD"/>
    <w:rsid w:val="00581DFB"/>
    <w:rsid w:val="00581EF2"/>
    <w:rsid w:val="00581F92"/>
    <w:rsid w:val="00582024"/>
    <w:rsid w:val="00582044"/>
    <w:rsid w:val="0058212C"/>
    <w:rsid w:val="0058213E"/>
    <w:rsid w:val="00582154"/>
    <w:rsid w:val="00582201"/>
    <w:rsid w:val="00582276"/>
    <w:rsid w:val="0058236A"/>
    <w:rsid w:val="0058238F"/>
    <w:rsid w:val="005823A3"/>
    <w:rsid w:val="005823B1"/>
    <w:rsid w:val="005823DD"/>
    <w:rsid w:val="005824E3"/>
    <w:rsid w:val="00582542"/>
    <w:rsid w:val="0058257E"/>
    <w:rsid w:val="005826AF"/>
    <w:rsid w:val="005826C7"/>
    <w:rsid w:val="005826E9"/>
    <w:rsid w:val="0058272E"/>
    <w:rsid w:val="0058274F"/>
    <w:rsid w:val="005827C4"/>
    <w:rsid w:val="005827D5"/>
    <w:rsid w:val="005827F4"/>
    <w:rsid w:val="005827FC"/>
    <w:rsid w:val="0058280E"/>
    <w:rsid w:val="00582901"/>
    <w:rsid w:val="0058296F"/>
    <w:rsid w:val="005829A5"/>
    <w:rsid w:val="005829F0"/>
    <w:rsid w:val="00582A17"/>
    <w:rsid w:val="00582B40"/>
    <w:rsid w:val="00582BEC"/>
    <w:rsid w:val="00582C0A"/>
    <w:rsid w:val="00582C45"/>
    <w:rsid w:val="00582CA8"/>
    <w:rsid w:val="00582D36"/>
    <w:rsid w:val="00582D7E"/>
    <w:rsid w:val="00582E17"/>
    <w:rsid w:val="00582E3F"/>
    <w:rsid w:val="00582E9B"/>
    <w:rsid w:val="00583043"/>
    <w:rsid w:val="0058304D"/>
    <w:rsid w:val="0058305C"/>
    <w:rsid w:val="005830ED"/>
    <w:rsid w:val="005830F4"/>
    <w:rsid w:val="00583165"/>
    <w:rsid w:val="00583182"/>
    <w:rsid w:val="005831F4"/>
    <w:rsid w:val="0058326B"/>
    <w:rsid w:val="005832CC"/>
    <w:rsid w:val="00583317"/>
    <w:rsid w:val="00583381"/>
    <w:rsid w:val="005834B4"/>
    <w:rsid w:val="005834DD"/>
    <w:rsid w:val="0058350E"/>
    <w:rsid w:val="00583588"/>
    <w:rsid w:val="005835B6"/>
    <w:rsid w:val="005835BA"/>
    <w:rsid w:val="0058361F"/>
    <w:rsid w:val="00583627"/>
    <w:rsid w:val="0058362B"/>
    <w:rsid w:val="00583696"/>
    <w:rsid w:val="005836ED"/>
    <w:rsid w:val="0058370A"/>
    <w:rsid w:val="00583735"/>
    <w:rsid w:val="00583762"/>
    <w:rsid w:val="0058376C"/>
    <w:rsid w:val="0058377D"/>
    <w:rsid w:val="005837D5"/>
    <w:rsid w:val="0058383C"/>
    <w:rsid w:val="00583866"/>
    <w:rsid w:val="005838EB"/>
    <w:rsid w:val="005838FA"/>
    <w:rsid w:val="0058392B"/>
    <w:rsid w:val="005839C8"/>
    <w:rsid w:val="00583B76"/>
    <w:rsid w:val="00583C15"/>
    <w:rsid w:val="00583C1B"/>
    <w:rsid w:val="00583C61"/>
    <w:rsid w:val="00583CE6"/>
    <w:rsid w:val="00583D31"/>
    <w:rsid w:val="00583D48"/>
    <w:rsid w:val="00583D72"/>
    <w:rsid w:val="00583E95"/>
    <w:rsid w:val="00583F4A"/>
    <w:rsid w:val="00583F7D"/>
    <w:rsid w:val="00583FB2"/>
    <w:rsid w:val="00583FF9"/>
    <w:rsid w:val="00583FFC"/>
    <w:rsid w:val="00584009"/>
    <w:rsid w:val="0058404D"/>
    <w:rsid w:val="005840CC"/>
    <w:rsid w:val="0058427C"/>
    <w:rsid w:val="005842BA"/>
    <w:rsid w:val="005842DB"/>
    <w:rsid w:val="00584361"/>
    <w:rsid w:val="005843A4"/>
    <w:rsid w:val="005843BB"/>
    <w:rsid w:val="00584422"/>
    <w:rsid w:val="0058446A"/>
    <w:rsid w:val="00584528"/>
    <w:rsid w:val="005846DA"/>
    <w:rsid w:val="00584708"/>
    <w:rsid w:val="00584714"/>
    <w:rsid w:val="005848AD"/>
    <w:rsid w:val="00584906"/>
    <w:rsid w:val="00584922"/>
    <w:rsid w:val="00584930"/>
    <w:rsid w:val="00584939"/>
    <w:rsid w:val="00584947"/>
    <w:rsid w:val="005849B5"/>
    <w:rsid w:val="005849BF"/>
    <w:rsid w:val="00584A83"/>
    <w:rsid w:val="00584A91"/>
    <w:rsid w:val="00584AD8"/>
    <w:rsid w:val="00584B32"/>
    <w:rsid w:val="00584B3F"/>
    <w:rsid w:val="00584BDD"/>
    <w:rsid w:val="00584C79"/>
    <w:rsid w:val="00584CEB"/>
    <w:rsid w:val="00584D01"/>
    <w:rsid w:val="00584D18"/>
    <w:rsid w:val="00584D19"/>
    <w:rsid w:val="00584D60"/>
    <w:rsid w:val="00584DB3"/>
    <w:rsid w:val="00584EB4"/>
    <w:rsid w:val="00584EB5"/>
    <w:rsid w:val="00585020"/>
    <w:rsid w:val="00585066"/>
    <w:rsid w:val="00585118"/>
    <w:rsid w:val="0058519F"/>
    <w:rsid w:val="005851C0"/>
    <w:rsid w:val="005851EE"/>
    <w:rsid w:val="00585268"/>
    <w:rsid w:val="00585403"/>
    <w:rsid w:val="0058550D"/>
    <w:rsid w:val="00585516"/>
    <w:rsid w:val="0058552F"/>
    <w:rsid w:val="00585609"/>
    <w:rsid w:val="0058563B"/>
    <w:rsid w:val="00585652"/>
    <w:rsid w:val="0058566D"/>
    <w:rsid w:val="00585677"/>
    <w:rsid w:val="005856A2"/>
    <w:rsid w:val="005856D1"/>
    <w:rsid w:val="005856E9"/>
    <w:rsid w:val="00585761"/>
    <w:rsid w:val="005857F3"/>
    <w:rsid w:val="005857F6"/>
    <w:rsid w:val="005857FB"/>
    <w:rsid w:val="00585852"/>
    <w:rsid w:val="005858D8"/>
    <w:rsid w:val="0058590C"/>
    <w:rsid w:val="00585927"/>
    <w:rsid w:val="00585979"/>
    <w:rsid w:val="00585A1F"/>
    <w:rsid w:val="00585A39"/>
    <w:rsid w:val="00585A3C"/>
    <w:rsid w:val="00585B5E"/>
    <w:rsid w:val="00585BB3"/>
    <w:rsid w:val="00585BE1"/>
    <w:rsid w:val="00585C07"/>
    <w:rsid w:val="00585CA3"/>
    <w:rsid w:val="00585D1A"/>
    <w:rsid w:val="00585D92"/>
    <w:rsid w:val="00585DE0"/>
    <w:rsid w:val="00585DFF"/>
    <w:rsid w:val="00585E66"/>
    <w:rsid w:val="00585EBF"/>
    <w:rsid w:val="00585EF7"/>
    <w:rsid w:val="00585F81"/>
    <w:rsid w:val="00586029"/>
    <w:rsid w:val="00586092"/>
    <w:rsid w:val="005860A3"/>
    <w:rsid w:val="005860D8"/>
    <w:rsid w:val="00586111"/>
    <w:rsid w:val="005861EB"/>
    <w:rsid w:val="005861FC"/>
    <w:rsid w:val="00586233"/>
    <w:rsid w:val="00586299"/>
    <w:rsid w:val="005862A9"/>
    <w:rsid w:val="00586304"/>
    <w:rsid w:val="0058631B"/>
    <w:rsid w:val="00586363"/>
    <w:rsid w:val="00586376"/>
    <w:rsid w:val="005863D2"/>
    <w:rsid w:val="00586483"/>
    <w:rsid w:val="005864C4"/>
    <w:rsid w:val="00586508"/>
    <w:rsid w:val="00586584"/>
    <w:rsid w:val="005866A8"/>
    <w:rsid w:val="005866BC"/>
    <w:rsid w:val="005866BD"/>
    <w:rsid w:val="0058671F"/>
    <w:rsid w:val="005867B9"/>
    <w:rsid w:val="005867EF"/>
    <w:rsid w:val="00586921"/>
    <w:rsid w:val="00586958"/>
    <w:rsid w:val="0058698B"/>
    <w:rsid w:val="005869AD"/>
    <w:rsid w:val="005869BC"/>
    <w:rsid w:val="00586B28"/>
    <w:rsid w:val="00586B6E"/>
    <w:rsid w:val="00586C2A"/>
    <w:rsid w:val="00586C2D"/>
    <w:rsid w:val="00586C32"/>
    <w:rsid w:val="00586C5B"/>
    <w:rsid w:val="00586D2A"/>
    <w:rsid w:val="00586D45"/>
    <w:rsid w:val="00586D49"/>
    <w:rsid w:val="00586DAD"/>
    <w:rsid w:val="00586DEF"/>
    <w:rsid w:val="00586E49"/>
    <w:rsid w:val="00586EA5"/>
    <w:rsid w:val="00586EC7"/>
    <w:rsid w:val="00586EEE"/>
    <w:rsid w:val="00586F27"/>
    <w:rsid w:val="00587059"/>
    <w:rsid w:val="005870B8"/>
    <w:rsid w:val="005870CD"/>
    <w:rsid w:val="005871BC"/>
    <w:rsid w:val="0058724B"/>
    <w:rsid w:val="00587269"/>
    <w:rsid w:val="00587283"/>
    <w:rsid w:val="0058747E"/>
    <w:rsid w:val="00587544"/>
    <w:rsid w:val="0058755A"/>
    <w:rsid w:val="0058755F"/>
    <w:rsid w:val="0058761C"/>
    <w:rsid w:val="005876C7"/>
    <w:rsid w:val="005877A5"/>
    <w:rsid w:val="005877B6"/>
    <w:rsid w:val="005878FA"/>
    <w:rsid w:val="005879A8"/>
    <w:rsid w:val="00587A68"/>
    <w:rsid w:val="00587A8E"/>
    <w:rsid w:val="00587B2E"/>
    <w:rsid w:val="00587B4B"/>
    <w:rsid w:val="00587B6E"/>
    <w:rsid w:val="00587C4B"/>
    <w:rsid w:val="00587C50"/>
    <w:rsid w:val="00587D86"/>
    <w:rsid w:val="00587DAC"/>
    <w:rsid w:val="00587E01"/>
    <w:rsid w:val="00587E77"/>
    <w:rsid w:val="00587EA6"/>
    <w:rsid w:val="00587F59"/>
    <w:rsid w:val="00587FCC"/>
    <w:rsid w:val="00590060"/>
    <w:rsid w:val="00590082"/>
    <w:rsid w:val="00590094"/>
    <w:rsid w:val="005900F8"/>
    <w:rsid w:val="005901FC"/>
    <w:rsid w:val="0059025C"/>
    <w:rsid w:val="0059026E"/>
    <w:rsid w:val="00590334"/>
    <w:rsid w:val="00590338"/>
    <w:rsid w:val="0059034A"/>
    <w:rsid w:val="0059034B"/>
    <w:rsid w:val="0059036A"/>
    <w:rsid w:val="00590378"/>
    <w:rsid w:val="00590490"/>
    <w:rsid w:val="00590514"/>
    <w:rsid w:val="00590564"/>
    <w:rsid w:val="005905CA"/>
    <w:rsid w:val="0059066B"/>
    <w:rsid w:val="00590725"/>
    <w:rsid w:val="0059072E"/>
    <w:rsid w:val="00590738"/>
    <w:rsid w:val="005907E9"/>
    <w:rsid w:val="00590801"/>
    <w:rsid w:val="00590815"/>
    <w:rsid w:val="0059082D"/>
    <w:rsid w:val="00590913"/>
    <w:rsid w:val="00590A32"/>
    <w:rsid w:val="00590A91"/>
    <w:rsid w:val="00590A9B"/>
    <w:rsid w:val="00590AC7"/>
    <w:rsid w:val="00590C13"/>
    <w:rsid w:val="00590D12"/>
    <w:rsid w:val="00590D9B"/>
    <w:rsid w:val="00590E0F"/>
    <w:rsid w:val="00590E50"/>
    <w:rsid w:val="00590F55"/>
    <w:rsid w:val="00590F59"/>
    <w:rsid w:val="00590F7C"/>
    <w:rsid w:val="00590FF2"/>
    <w:rsid w:val="00591060"/>
    <w:rsid w:val="00591072"/>
    <w:rsid w:val="00591075"/>
    <w:rsid w:val="005910B7"/>
    <w:rsid w:val="005910E5"/>
    <w:rsid w:val="00591216"/>
    <w:rsid w:val="00591256"/>
    <w:rsid w:val="00591333"/>
    <w:rsid w:val="00591338"/>
    <w:rsid w:val="005913BD"/>
    <w:rsid w:val="005913E3"/>
    <w:rsid w:val="005913E4"/>
    <w:rsid w:val="005913FE"/>
    <w:rsid w:val="00591413"/>
    <w:rsid w:val="005914F3"/>
    <w:rsid w:val="00591537"/>
    <w:rsid w:val="005915C6"/>
    <w:rsid w:val="005915FE"/>
    <w:rsid w:val="00591608"/>
    <w:rsid w:val="005916B3"/>
    <w:rsid w:val="005916C4"/>
    <w:rsid w:val="005916D9"/>
    <w:rsid w:val="00591703"/>
    <w:rsid w:val="005919AB"/>
    <w:rsid w:val="005919BA"/>
    <w:rsid w:val="00591A1E"/>
    <w:rsid w:val="00591A26"/>
    <w:rsid w:val="00591A35"/>
    <w:rsid w:val="00591B12"/>
    <w:rsid w:val="00591B3F"/>
    <w:rsid w:val="00591C3A"/>
    <w:rsid w:val="00591C52"/>
    <w:rsid w:val="00591CD4"/>
    <w:rsid w:val="00591E09"/>
    <w:rsid w:val="00591E94"/>
    <w:rsid w:val="00591F4D"/>
    <w:rsid w:val="00591F73"/>
    <w:rsid w:val="005920AD"/>
    <w:rsid w:val="005920CF"/>
    <w:rsid w:val="00592168"/>
    <w:rsid w:val="00592193"/>
    <w:rsid w:val="00592279"/>
    <w:rsid w:val="005922D5"/>
    <w:rsid w:val="005923E1"/>
    <w:rsid w:val="0059243D"/>
    <w:rsid w:val="0059246C"/>
    <w:rsid w:val="0059249A"/>
    <w:rsid w:val="005924BE"/>
    <w:rsid w:val="0059250D"/>
    <w:rsid w:val="0059253A"/>
    <w:rsid w:val="00592541"/>
    <w:rsid w:val="00592579"/>
    <w:rsid w:val="005925D5"/>
    <w:rsid w:val="005925E8"/>
    <w:rsid w:val="0059266D"/>
    <w:rsid w:val="005926C8"/>
    <w:rsid w:val="0059270D"/>
    <w:rsid w:val="005927C4"/>
    <w:rsid w:val="00592926"/>
    <w:rsid w:val="0059298B"/>
    <w:rsid w:val="00592AB6"/>
    <w:rsid w:val="00592B67"/>
    <w:rsid w:val="00592B8E"/>
    <w:rsid w:val="00592B94"/>
    <w:rsid w:val="00592BAF"/>
    <w:rsid w:val="00592BC3"/>
    <w:rsid w:val="00592BFB"/>
    <w:rsid w:val="00592C54"/>
    <w:rsid w:val="00592CCD"/>
    <w:rsid w:val="00592D4A"/>
    <w:rsid w:val="00592DDF"/>
    <w:rsid w:val="00592DE5"/>
    <w:rsid w:val="00592E9D"/>
    <w:rsid w:val="00592F2A"/>
    <w:rsid w:val="00592F40"/>
    <w:rsid w:val="00593047"/>
    <w:rsid w:val="005930D3"/>
    <w:rsid w:val="00593134"/>
    <w:rsid w:val="0059314D"/>
    <w:rsid w:val="005931CF"/>
    <w:rsid w:val="00593267"/>
    <w:rsid w:val="005932BE"/>
    <w:rsid w:val="005932C5"/>
    <w:rsid w:val="0059349C"/>
    <w:rsid w:val="005934D9"/>
    <w:rsid w:val="00593543"/>
    <w:rsid w:val="00593594"/>
    <w:rsid w:val="005935BF"/>
    <w:rsid w:val="005935E2"/>
    <w:rsid w:val="00593609"/>
    <w:rsid w:val="0059363B"/>
    <w:rsid w:val="0059373F"/>
    <w:rsid w:val="0059374F"/>
    <w:rsid w:val="00593777"/>
    <w:rsid w:val="00593797"/>
    <w:rsid w:val="0059380B"/>
    <w:rsid w:val="005938BD"/>
    <w:rsid w:val="00593951"/>
    <w:rsid w:val="005939AE"/>
    <w:rsid w:val="00593A37"/>
    <w:rsid w:val="00593A3A"/>
    <w:rsid w:val="00593A5D"/>
    <w:rsid w:val="00593A61"/>
    <w:rsid w:val="00593AAD"/>
    <w:rsid w:val="00593ADA"/>
    <w:rsid w:val="00593B33"/>
    <w:rsid w:val="00593B7C"/>
    <w:rsid w:val="00593BF1"/>
    <w:rsid w:val="00593C97"/>
    <w:rsid w:val="00593CC7"/>
    <w:rsid w:val="00593CC9"/>
    <w:rsid w:val="00593DB8"/>
    <w:rsid w:val="00593E1F"/>
    <w:rsid w:val="00593F22"/>
    <w:rsid w:val="00593F76"/>
    <w:rsid w:val="00593FC1"/>
    <w:rsid w:val="00594084"/>
    <w:rsid w:val="005940E1"/>
    <w:rsid w:val="0059411B"/>
    <w:rsid w:val="0059414A"/>
    <w:rsid w:val="00594152"/>
    <w:rsid w:val="005941D8"/>
    <w:rsid w:val="0059422E"/>
    <w:rsid w:val="005942D8"/>
    <w:rsid w:val="00594361"/>
    <w:rsid w:val="00594391"/>
    <w:rsid w:val="0059439E"/>
    <w:rsid w:val="005943DC"/>
    <w:rsid w:val="00594466"/>
    <w:rsid w:val="00594504"/>
    <w:rsid w:val="00594530"/>
    <w:rsid w:val="00594550"/>
    <w:rsid w:val="00594559"/>
    <w:rsid w:val="00594570"/>
    <w:rsid w:val="0059458C"/>
    <w:rsid w:val="00594603"/>
    <w:rsid w:val="00594640"/>
    <w:rsid w:val="0059466B"/>
    <w:rsid w:val="00594735"/>
    <w:rsid w:val="0059481B"/>
    <w:rsid w:val="005948A0"/>
    <w:rsid w:val="005948BE"/>
    <w:rsid w:val="005948C6"/>
    <w:rsid w:val="00594994"/>
    <w:rsid w:val="005949B4"/>
    <w:rsid w:val="005949F4"/>
    <w:rsid w:val="00594A4C"/>
    <w:rsid w:val="00594AC2"/>
    <w:rsid w:val="00594B35"/>
    <w:rsid w:val="00594BC4"/>
    <w:rsid w:val="00594CAD"/>
    <w:rsid w:val="00594D07"/>
    <w:rsid w:val="00594D18"/>
    <w:rsid w:val="00594D60"/>
    <w:rsid w:val="00594D79"/>
    <w:rsid w:val="00594E08"/>
    <w:rsid w:val="00594FD1"/>
    <w:rsid w:val="00595032"/>
    <w:rsid w:val="00595120"/>
    <w:rsid w:val="00595246"/>
    <w:rsid w:val="00595289"/>
    <w:rsid w:val="00595292"/>
    <w:rsid w:val="005952A3"/>
    <w:rsid w:val="00595348"/>
    <w:rsid w:val="0059538E"/>
    <w:rsid w:val="005953C4"/>
    <w:rsid w:val="0059543C"/>
    <w:rsid w:val="00595460"/>
    <w:rsid w:val="00595495"/>
    <w:rsid w:val="0059549B"/>
    <w:rsid w:val="0059555A"/>
    <w:rsid w:val="005955EF"/>
    <w:rsid w:val="0059569E"/>
    <w:rsid w:val="005956CB"/>
    <w:rsid w:val="005956CD"/>
    <w:rsid w:val="00595752"/>
    <w:rsid w:val="005957BA"/>
    <w:rsid w:val="00595859"/>
    <w:rsid w:val="00595885"/>
    <w:rsid w:val="005958FE"/>
    <w:rsid w:val="00595915"/>
    <w:rsid w:val="00595978"/>
    <w:rsid w:val="005959DD"/>
    <w:rsid w:val="00595B34"/>
    <w:rsid w:val="00595B45"/>
    <w:rsid w:val="00595B87"/>
    <w:rsid w:val="00595C22"/>
    <w:rsid w:val="00595C47"/>
    <w:rsid w:val="00595C51"/>
    <w:rsid w:val="00595C5C"/>
    <w:rsid w:val="00595C8F"/>
    <w:rsid w:val="00595DA7"/>
    <w:rsid w:val="00595E7B"/>
    <w:rsid w:val="00595F73"/>
    <w:rsid w:val="00596018"/>
    <w:rsid w:val="005960C1"/>
    <w:rsid w:val="005960D2"/>
    <w:rsid w:val="00596114"/>
    <w:rsid w:val="00596129"/>
    <w:rsid w:val="0059614A"/>
    <w:rsid w:val="0059633B"/>
    <w:rsid w:val="00596353"/>
    <w:rsid w:val="00596400"/>
    <w:rsid w:val="00596474"/>
    <w:rsid w:val="005964C4"/>
    <w:rsid w:val="0059652A"/>
    <w:rsid w:val="0059656C"/>
    <w:rsid w:val="005965E2"/>
    <w:rsid w:val="00596676"/>
    <w:rsid w:val="005966BC"/>
    <w:rsid w:val="00596704"/>
    <w:rsid w:val="00596712"/>
    <w:rsid w:val="0059671A"/>
    <w:rsid w:val="00596780"/>
    <w:rsid w:val="005967F1"/>
    <w:rsid w:val="00596812"/>
    <w:rsid w:val="00596862"/>
    <w:rsid w:val="00596990"/>
    <w:rsid w:val="00596A25"/>
    <w:rsid w:val="00596A50"/>
    <w:rsid w:val="00596AC0"/>
    <w:rsid w:val="00596B77"/>
    <w:rsid w:val="00596BFF"/>
    <w:rsid w:val="00596C41"/>
    <w:rsid w:val="00596C96"/>
    <w:rsid w:val="00596D90"/>
    <w:rsid w:val="00596DC1"/>
    <w:rsid w:val="00596E80"/>
    <w:rsid w:val="00596ED8"/>
    <w:rsid w:val="00596F08"/>
    <w:rsid w:val="00596F26"/>
    <w:rsid w:val="00596F6A"/>
    <w:rsid w:val="00596FD3"/>
    <w:rsid w:val="00596FF0"/>
    <w:rsid w:val="0059703A"/>
    <w:rsid w:val="005970DF"/>
    <w:rsid w:val="0059711A"/>
    <w:rsid w:val="00597191"/>
    <w:rsid w:val="00597378"/>
    <w:rsid w:val="0059745E"/>
    <w:rsid w:val="0059746C"/>
    <w:rsid w:val="00597527"/>
    <w:rsid w:val="00597563"/>
    <w:rsid w:val="00597583"/>
    <w:rsid w:val="005975C0"/>
    <w:rsid w:val="00597675"/>
    <w:rsid w:val="00597770"/>
    <w:rsid w:val="00597866"/>
    <w:rsid w:val="005978D5"/>
    <w:rsid w:val="00597907"/>
    <w:rsid w:val="00597958"/>
    <w:rsid w:val="00597983"/>
    <w:rsid w:val="005979D0"/>
    <w:rsid w:val="005979D5"/>
    <w:rsid w:val="00597A1A"/>
    <w:rsid w:val="00597A59"/>
    <w:rsid w:val="00597A95"/>
    <w:rsid w:val="00597AA1"/>
    <w:rsid w:val="00597AAE"/>
    <w:rsid w:val="00597B10"/>
    <w:rsid w:val="00597B50"/>
    <w:rsid w:val="00597BCE"/>
    <w:rsid w:val="00597BED"/>
    <w:rsid w:val="00597C7C"/>
    <w:rsid w:val="00597E10"/>
    <w:rsid w:val="00597E5D"/>
    <w:rsid w:val="00597E7A"/>
    <w:rsid w:val="00597E92"/>
    <w:rsid w:val="00597ECE"/>
    <w:rsid w:val="00597F6C"/>
    <w:rsid w:val="005A0017"/>
    <w:rsid w:val="005A0051"/>
    <w:rsid w:val="005A00C9"/>
    <w:rsid w:val="005A00F4"/>
    <w:rsid w:val="005A0108"/>
    <w:rsid w:val="005A01D3"/>
    <w:rsid w:val="005A021E"/>
    <w:rsid w:val="005A028A"/>
    <w:rsid w:val="005A0322"/>
    <w:rsid w:val="005A0333"/>
    <w:rsid w:val="005A0351"/>
    <w:rsid w:val="005A037E"/>
    <w:rsid w:val="005A0487"/>
    <w:rsid w:val="005A052F"/>
    <w:rsid w:val="005A053C"/>
    <w:rsid w:val="005A0568"/>
    <w:rsid w:val="005A05DA"/>
    <w:rsid w:val="005A0603"/>
    <w:rsid w:val="005A0620"/>
    <w:rsid w:val="005A0668"/>
    <w:rsid w:val="005A06AB"/>
    <w:rsid w:val="005A06F8"/>
    <w:rsid w:val="005A06F9"/>
    <w:rsid w:val="005A077E"/>
    <w:rsid w:val="005A0847"/>
    <w:rsid w:val="005A08DC"/>
    <w:rsid w:val="005A09A8"/>
    <w:rsid w:val="005A09C9"/>
    <w:rsid w:val="005A0C79"/>
    <w:rsid w:val="005A0C7B"/>
    <w:rsid w:val="005A0CEF"/>
    <w:rsid w:val="005A0D48"/>
    <w:rsid w:val="005A0D5D"/>
    <w:rsid w:val="005A0D72"/>
    <w:rsid w:val="005A0D9D"/>
    <w:rsid w:val="005A0E0C"/>
    <w:rsid w:val="005A0E7E"/>
    <w:rsid w:val="005A0ECA"/>
    <w:rsid w:val="005A0ED5"/>
    <w:rsid w:val="005A0EF6"/>
    <w:rsid w:val="005A0F17"/>
    <w:rsid w:val="005A0F28"/>
    <w:rsid w:val="005A0F38"/>
    <w:rsid w:val="005A0F4C"/>
    <w:rsid w:val="005A0F6C"/>
    <w:rsid w:val="005A0F74"/>
    <w:rsid w:val="005A0FD4"/>
    <w:rsid w:val="005A0FE4"/>
    <w:rsid w:val="005A1030"/>
    <w:rsid w:val="005A106C"/>
    <w:rsid w:val="005A10FA"/>
    <w:rsid w:val="005A1190"/>
    <w:rsid w:val="005A11AF"/>
    <w:rsid w:val="005A11D6"/>
    <w:rsid w:val="005A128C"/>
    <w:rsid w:val="005A12AC"/>
    <w:rsid w:val="005A12CD"/>
    <w:rsid w:val="005A12E9"/>
    <w:rsid w:val="005A131A"/>
    <w:rsid w:val="005A1353"/>
    <w:rsid w:val="005A147C"/>
    <w:rsid w:val="005A1496"/>
    <w:rsid w:val="005A14DB"/>
    <w:rsid w:val="005A14FA"/>
    <w:rsid w:val="005A1507"/>
    <w:rsid w:val="005A152D"/>
    <w:rsid w:val="005A1587"/>
    <w:rsid w:val="005A158D"/>
    <w:rsid w:val="005A15BE"/>
    <w:rsid w:val="005A1625"/>
    <w:rsid w:val="005A165B"/>
    <w:rsid w:val="005A1774"/>
    <w:rsid w:val="005A17D1"/>
    <w:rsid w:val="005A17EE"/>
    <w:rsid w:val="005A1844"/>
    <w:rsid w:val="005A1916"/>
    <w:rsid w:val="005A1A2E"/>
    <w:rsid w:val="005A1A8D"/>
    <w:rsid w:val="005A1B29"/>
    <w:rsid w:val="005A1BC6"/>
    <w:rsid w:val="005A1CB2"/>
    <w:rsid w:val="005A1CB4"/>
    <w:rsid w:val="005A1CCE"/>
    <w:rsid w:val="005A1CD2"/>
    <w:rsid w:val="005A1CD3"/>
    <w:rsid w:val="005A1D07"/>
    <w:rsid w:val="005A1DD1"/>
    <w:rsid w:val="005A1E17"/>
    <w:rsid w:val="005A1E58"/>
    <w:rsid w:val="005A1E74"/>
    <w:rsid w:val="005A1E90"/>
    <w:rsid w:val="005A1EA7"/>
    <w:rsid w:val="005A1EF4"/>
    <w:rsid w:val="005A1EFC"/>
    <w:rsid w:val="005A1F3D"/>
    <w:rsid w:val="005A1F3F"/>
    <w:rsid w:val="005A1F52"/>
    <w:rsid w:val="005A1FA2"/>
    <w:rsid w:val="005A203E"/>
    <w:rsid w:val="005A2132"/>
    <w:rsid w:val="005A2154"/>
    <w:rsid w:val="005A2196"/>
    <w:rsid w:val="005A22F5"/>
    <w:rsid w:val="005A230C"/>
    <w:rsid w:val="005A23BB"/>
    <w:rsid w:val="005A23ED"/>
    <w:rsid w:val="005A2452"/>
    <w:rsid w:val="005A2472"/>
    <w:rsid w:val="005A24B0"/>
    <w:rsid w:val="005A24DA"/>
    <w:rsid w:val="005A250F"/>
    <w:rsid w:val="005A2570"/>
    <w:rsid w:val="005A2614"/>
    <w:rsid w:val="005A2660"/>
    <w:rsid w:val="005A2670"/>
    <w:rsid w:val="005A2714"/>
    <w:rsid w:val="005A2795"/>
    <w:rsid w:val="005A27C2"/>
    <w:rsid w:val="005A28C7"/>
    <w:rsid w:val="005A28D7"/>
    <w:rsid w:val="005A28E0"/>
    <w:rsid w:val="005A29E7"/>
    <w:rsid w:val="005A29F2"/>
    <w:rsid w:val="005A2A22"/>
    <w:rsid w:val="005A2A78"/>
    <w:rsid w:val="005A2A82"/>
    <w:rsid w:val="005A2A90"/>
    <w:rsid w:val="005A2AB3"/>
    <w:rsid w:val="005A2B54"/>
    <w:rsid w:val="005A2B83"/>
    <w:rsid w:val="005A2BB9"/>
    <w:rsid w:val="005A2BE0"/>
    <w:rsid w:val="005A2C02"/>
    <w:rsid w:val="005A2C9B"/>
    <w:rsid w:val="005A2E59"/>
    <w:rsid w:val="005A2EDF"/>
    <w:rsid w:val="005A2EE4"/>
    <w:rsid w:val="005A2F4D"/>
    <w:rsid w:val="005A2FA3"/>
    <w:rsid w:val="005A2FC4"/>
    <w:rsid w:val="005A2FD0"/>
    <w:rsid w:val="005A301C"/>
    <w:rsid w:val="005A3053"/>
    <w:rsid w:val="005A307D"/>
    <w:rsid w:val="005A316B"/>
    <w:rsid w:val="005A31F8"/>
    <w:rsid w:val="005A32FB"/>
    <w:rsid w:val="005A330A"/>
    <w:rsid w:val="005A3318"/>
    <w:rsid w:val="005A33B2"/>
    <w:rsid w:val="005A33CD"/>
    <w:rsid w:val="005A33F4"/>
    <w:rsid w:val="005A3432"/>
    <w:rsid w:val="005A3587"/>
    <w:rsid w:val="005A3646"/>
    <w:rsid w:val="005A3689"/>
    <w:rsid w:val="005A36B4"/>
    <w:rsid w:val="005A370A"/>
    <w:rsid w:val="005A3723"/>
    <w:rsid w:val="005A3755"/>
    <w:rsid w:val="005A379D"/>
    <w:rsid w:val="005A37C4"/>
    <w:rsid w:val="005A3833"/>
    <w:rsid w:val="005A38B9"/>
    <w:rsid w:val="005A38C8"/>
    <w:rsid w:val="005A38F2"/>
    <w:rsid w:val="005A3986"/>
    <w:rsid w:val="005A399D"/>
    <w:rsid w:val="005A399F"/>
    <w:rsid w:val="005A39AD"/>
    <w:rsid w:val="005A3A64"/>
    <w:rsid w:val="005A3AB8"/>
    <w:rsid w:val="005A3AE2"/>
    <w:rsid w:val="005A3B34"/>
    <w:rsid w:val="005A3B98"/>
    <w:rsid w:val="005A3BCB"/>
    <w:rsid w:val="005A3BF5"/>
    <w:rsid w:val="005A3C44"/>
    <w:rsid w:val="005A3C67"/>
    <w:rsid w:val="005A3CA0"/>
    <w:rsid w:val="005A3CB7"/>
    <w:rsid w:val="005A3CCC"/>
    <w:rsid w:val="005A3D21"/>
    <w:rsid w:val="005A3D45"/>
    <w:rsid w:val="005A3E77"/>
    <w:rsid w:val="005A3E99"/>
    <w:rsid w:val="005A3EB1"/>
    <w:rsid w:val="005A3ED1"/>
    <w:rsid w:val="005A3F30"/>
    <w:rsid w:val="005A3F3C"/>
    <w:rsid w:val="005A3FC4"/>
    <w:rsid w:val="005A3FDB"/>
    <w:rsid w:val="005A410A"/>
    <w:rsid w:val="005A4127"/>
    <w:rsid w:val="005A41ED"/>
    <w:rsid w:val="005A4205"/>
    <w:rsid w:val="005A422D"/>
    <w:rsid w:val="005A4233"/>
    <w:rsid w:val="005A4292"/>
    <w:rsid w:val="005A43B7"/>
    <w:rsid w:val="005A442E"/>
    <w:rsid w:val="005A445C"/>
    <w:rsid w:val="005A44FF"/>
    <w:rsid w:val="005A453F"/>
    <w:rsid w:val="005A469E"/>
    <w:rsid w:val="005A46AF"/>
    <w:rsid w:val="005A4701"/>
    <w:rsid w:val="005A4792"/>
    <w:rsid w:val="005A47A0"/>
    <w:rsid w:val="005A47FF"/>
    <w:rsid w:val="005A4881"/>
    <w:rsid w:val="005A48D7"/>
    <w:rsid w:val="005A48E0"/>
    <w:rsid w:val="005A4930"/>
    <w:rsid w:val="005A4932"/>
    <w:rsid w:val="005A4963"/>
    <w:rsid w:val="005A498B"/>
    <w:rsid w:val="005A49DC"/>
    <w:rsid w:val="005A4A64"/>
    <w:rsid w:val="005A4AE0"/>
    <w:rsid w:val="005A4B10"/>
    <w:rsid w:val="005A4B43"/>
    <w:rsid w:val="005A4CC5"/>
    <w:rsid w:val="005A4DB8"/>
    <w:rsid w:val="005A4E4A"/>
    <w:rsid w:val="005A4E6D"/>
    <w:rsid w:val="005A4EC5"/>
    <w:rsid w:val="005A4EF8"/>
    <w:rsid w:val="005A5019"/>
    <w:rsid w:val="005A5055"/>
    <w:rsid w:val="005A50AE"/>
    <w:rsid w:val="005A50DB"/>
    <w:rsid w:val="005A513E"/>
    <w:rsid w:val="005A5206"/>
    <w:rsid w:val="005A5215"/>
    <w:rsid w:val="005A5444"/>
    <w:rsid w:val="005A546C"/>
    <w:rsid w:val="005A549A"/>
    <w:rsid w:val="005A5596"/>
    <w:rsid w:val="005A5666"/>
    <w:rsid w:val="005A56F2"/>
    <w:rsid w:val="005A5734"/>
    <w:rsid w:val="005A5782"/>
    <w:rsid w:val="005A57EA"/>
    <w:rsid w:val="005A5802"/>
    <w:rsid w:val="005A5805"/>
    <w:rsid w:val="005A5892"/>
    <w:rsid w:val="005A5A31"/>
    <w:rsid w:val="005A5B7F"/>
    <w:rsid w:val="005A5C80"/>
    <w:rsid w:val="005A5CE4"/>
    <w:rsid w:val="005A5CE9"/>
    <w:rsid w:val="005A5E51"/>
    <w:rsid w:val="005A5F45"/>
    <w:rsid w:val="005A5FEF"/>
    <w:rsid w:val="005A60E1"/>
    <w:rsid w:val="005A6170"/>
    <w:rsid w:val="005A6178"/>
    <w:rsid w:val="005A6202"/>
    <w:rsid w:val="005A62E2"/>
    <w:rsid w:val="005A6308"/>
    <w:rsid w:val="005A6343"/>
    <w:rsid w:val="005A63D2"/>
    <w:rsid w:val="005A63E5"/>
    <w:rsid w:val="005A64E0"/>
    <w:rsid w:val="005A650B"/>
    <w:rsid w:val="005A651D"/>
    <w:rsid w:val="005A6550"/>
    <w:rsid w:val="005A65BA"/>
    <w:rsid w:val="005A665C"/>
    <w:rsid w:val="005A6694"/>
    <w:rsid w:val="005A670C"/>
    <w:rsid w:val="005A671B"/>
    <w:rsid w:val="005A6735"/>
    <w:rsid w:val="005A6751"/>
    <w:rsid w:val="005A6756"/>
    <w:rsid w:val="005A67AA"/>
    <w:rsid w:val="005A67B0"/>
    <w:rsid w:val="005A683C"/>
    <w:rsid w:val="005A686A"/>
    <w:rsid w:val="005A6876"/>
    <w:rsid w:val="005A696F"/>
    <w:rsid w:val="005A6A01"/>
    <w:rsid w:val="005A6A4D"/>
    <w:rsid w:val="005A6A6B"/>
    <w:rsid w:val="005A6A91"/>
    <w:rsid w:val="005A6B06"/>
    <w:rsid w:val="005A6B0C"/>
    <w:rsid w:val="005A6B2E"/>
    <w:rsid w:val="005A6B34"/>
    <w:rsid w:val="005A6B4D"/>
    <w:rsid w:val="005A6BC5"/>
    <w:rsid w:val="005A6BD0"/>
    <w:rsid w:val="005A6C90"/>
    <w:rsid w:val="005A6D18"/>
    <w:rsid w:val="005A6D41"/>
    <w:rsid w:val="005A6DC1"/>
    <w:rsid w:val="005A6DE8"/>
    <w:rsid w:val="005A6E08"/>
    <w:rsid w:val="005A6EC2"/>
    <w:rsid w:val="005A6F2B"/>
    <w:rsid w:val="005A6F33"/>
    <w:rsid w:val="005A6FEF"/>
    <w:rsid w:val="005A7069"/>
    <w:rsid w:val="005A708D"/>
    <w:rsid w:val="005A7107"/>
    <w:rsid w:val="005A7137"/>
    <w:rsid w:val="005A7144"/>
    <w:rsid w:val="005A7162"/>
    <w:rsid w:val="005A71F1"/>
    <w:rsid w:val="005A71FD"/>
    <w:rsid w:val="005A7272"/>
    <w:rsid w:val="005A7292"/>
    <w:rsid w:val="005A72CA"/>
    <w:rsid w:val="005A7343"/>
    <w:rsid w:val="005A73CC"/>
    <w:rsid w:val="005A7406"/>
    <w:rsid w:val="005A7456"/>
    <w:rsid w:val="005A74DA"/>
    <w:rsid w:val="005A753D"/>
    <w:rsid w:val="005A7545"/>
    <w:rsid w:val="005A754C"/>
    <w:rsid w:val="005A75B4"/>
    <w:rsid w:val="005A75C0"/>
    <w:rsid w:val="005A7629"/>
    <w:rsid w:val="005A7643"/>
    <w:rsid w:val="005A7769"/>
    <w:rsid w:val="005A779F"/>
    <w:rsid w:val="005A77A5"/>
    <w:rsid w:val="005A77CF"/>
    <w:rsid w:val="005A7803"/>
    <w:rsid w:val="005A7823"/>
    <w:rsid w:val="005A78B2"/>
    <w:rsid w:val="005A7975"/>
    <w:rsid w:val="005A799D"/>
    <w:rsid w:val="005A79C2"/>
    <w:rsid w:val="005A79EA"/>
    <w:rsid w:val="005A79FA"/>
    <w:rsid w:val="005A7A61"/>
    <w:rsid w:val="005A7AA0"/>
    <w:rsid w:val="005A7AA5"/>
    <w:rsid w:val="005A7AE7"/>
    <w:rsid w:val="005A7B5C"/>
    <w:rsid w:val="005A7C0B"/>
    <w:rsid w:val="005A7C3C"/>
    <w:rsid w:val="005A7C73"/>
    <w:rsid w:val="005A7CEA"/>
    <w:rsid w:val="005A7D67"/>
    <w:rsid w:val="005A7DCD"/>
    <w:rsid w:val="005A7E48"/>
    <w:rsid w:val="005A7E4D"/>
    <w:rsid w:val="005A7ED4"/>
    <w:rsid w:val="005A7EE6"/>
    <w:rsid w:val="005A7F7B"/>
    <w:rsid w:val="005A7FB6"/>
    <w:rsid w:val="005A7FBC"/>
    <w:rsid w:val="005B0042"/>
    <w:rsid w:val="005B0043"/>
    <w:rsid w:val="005B0067"/>
    <w:rsid w:val="005B00C5"/>
    <w:rsid w:val="005B0103"/>
    <w:rsid w:val="005B01C4"/>
    <w:rsid w:val="005B021F"/>
    <w:rsid w:val="005B0253"/>
    <w:rsid w:val="005B0255"/>
    <w:rsid w:val="005B0319"/>
    <w:rsid w:val="005B0371"/>
    <w:rsid w:val="005B0479"/>
    <w:rsid w:val="005B04E3"/>
    <w:rsid w:val="005B0533"/>
    <w:rsid w:val="005B06BF"/>
    <w:rsid w:val="005B06C4"/>
    <w:rsid w:val="005B0707"/>
    <w:rsid w:val="005B0716"/>
    <w:rsid w:val="005B0779"/>
    <w:rsid w:val="005B08AF"/>
    <w:rsid w:val="005B0956"/>
    <w:rsid w:val="005B096A"/>
    <w:rsid w:val="005B099A"/>
    <w:rsid w:val="005B0A0A"/>
    <w:rsid w:val="005B0A52"/>
    <w:rsid w:val="005B0A89"/>
    <w:rsid w:val="005B0C0F"/>
    <w:rsid w:val="005B0C5E"/>
    <w:rsid w:val="005B0DAD"/>
    <w:rsid w:val="005B0DF5"/>
    <w:rsid w:val="005B0E3B"/>
    <w:rsid w:val="005B0E51"/>
    <w:rsid w:val="005B0EB8"/>
    <w:rsid w:val="005B0F01"/>
    <w:rsid w:val="005B0F5D"/>
    <w:rsid w:val="005B0F87"/>
    <w:rsid w:val="005B0F8B"/>
    <w:rsid w:val="005B0FFD"/>
    <w:rsid w:val="005B1052"/>
    <w:rsid w:val="005B1081"/>
    <w:rsid w:val="005B11D2"/>
    <w:rsid w:val="005B13B0"/>
    <w:rsid w:val="005B1400"/>
    <w:rsid w:val="005B1424"/>
    <w:rsid w:val="005B144A"/>
    <w:rsid w:val="005B1458"/>
    <w:rsid w:val="005B1462"/>
    <w:rsid w:val="005B14FE"/>
    <w:rsid w:val="005B157F"/>
    <w:rsid w:val="005B160F"/>
    <w:rsid w:val="005B16D3"/>
    <w:rsid w:val="005B175D"/>
    <w:rsid w:val="005B1769"/>
    <w:rsid w:val="005B17F6"/>
    <w:rsid w:val="005B182B"/>
    <w:rsid w:val="005B186D"/>
    <w:rsid w:val="005B18C5"/>
    <w:rsid w:val="005B1907"/>
    <w:rsid w:val="005B19D5"/>
    <w:rsid w:val="005B1A90"/>
    <w:rsid w:val="005B1A9E"/>
    <w:rsid w:val="005B1AEB"/>
    <w:rsid w:val="005B1BB8"/>
    <w:rsid w:val="005B1BEB"/>
    <w:rsid w:val="005B1D67"/>
    <w:rsid w:val="005B1DC3"/>
    <w:rsid w:val="005B1E31"/>
    <w:rsid w:val="005B1E76"/>
    <w:rsid w:val="005B1E90"/>
    <w:rsid w:val="005B1ECB"/>
    <w:rsid w:val="005B1ED3"/>
    <w:rsid w:val="005B1FA9"/>
    <w:rsid w:val="005B1FC1"/>
    <w:rsid w:val="005B2070"/>
    <w:rsid w:val="005B207B"/>
    <w:rsid w:val="005B2130"/>
    <w:rsid w:val="005B2245"/>
    <w:rsid w:val="005B22A8"/>
    <w:rsid w:val="005B22BC"/>
    <w:rsid w:val="005B22CF"/>
    <w:rsid w:val="005B235D"/>
    <w:rsid w:val="005B23E0"/>
    <w:rsid w:val="005B241C"/>
    <w:rsid w:val="005B245A"/>
    <w:rsid w:val="005B24A9"/>
    <w:rsid w:val="005B2525"/>
    <w:rsid w:val="005B252E"/>
    <w:rsid w:val="005B2531"/>
    <w:rsid w:val="005B25DC"/>
    <w:rsid w:val="005B25E1"/>
    <w:rsid w:val="005B26CE"/>
    <w:rsid w:val="005B2747"/>
    <w:rsid w:val="005B2773"/>
    <w:rsid w:val="005B27DB"/>
    <w:rsid w:val="005B27F5"/>
    <w:rsid w:val="005B2881"/>
    <w:rsid w:val="005B28D0"/>
    <w:rsid w:val="005B2988"/>
    <w:rsid w:val="005B2A01"/>
    <w:rsid w:val="005B2A18"/>
    <w:rsid w:val="005B2AB8"/>
    <w:rsid w:val="005B2AD5"/>
    <w:rsid w:val="005B2AFB"/>
    <w:rsid w:val="005B2BB0"/>
    <w:rsid w:val="005B2BEB"/>
    <w:rsid w:val="005B2C1F"/>
    <w:rsid w:val="005B2C2C"/>
    <w:rsid w:val="005B2D6C"/>
    <w:rsid w:val="005B2D88"/>
    <w:rsid w:val="005B2DAB"/>
    <w:rsid w:val="005B2DE0"/>
    <w:rsid w:val="005B2E20"/>
    <w:rsid w:val="005B2E74"/>
    <w:rsid w:val="005B2EAE"/>
    <w:rsid w:val="005B2FB4"/>
    <w:rsid w:val="005B2FDA"/>
    <w:rsid w:val="005B301D"/>
    <w:rsid w:val="005B302C"/>
    <w:rsid w:val="005B3130"/>
    <w:rsid w:val="005B3172"/>
    <w:rsid w:val="005B31E1"/>
    <w:rsid w:val="005B320F"/>
    <w:rsid w:val="005B3233"/>
    <w:rsid w:val="005B323E"/>
    <w:rsid w:val="005B3259"/>
    <w:rsid w:val="005B3296"/>
    <w:rsid w:val="005B3308"/>
    <w:rsid w:val="005B330F"/>
    <w:rsid w:val="005B332C"/>
    <w:rsid w:val="005B33B9"/>
    <w:rsid w:val="005B33C1"/>
    <w:rsid w:val="005B33EF"/>
    <w:rsid w:val="005B3534"/>
    <w:rsid w:val="005B354A"/>
    <w:rsid w:val="005B35BC"/>
    <w:rsid w:val="005B35C0"/>
    <w:rsid w:val="005B3688"/>
    <w:rsid w:val="005B36D9"/>
    <w:rsid w:val="005B36E8"/>
    <w:rsid w:val="005B3757"/>
    <w:rsid w:val="005B3766"/>
    <w:rsid w:val="005B380A"/>
    <w:rsid w:val="005B3810"/>
    <w:rsid w:val="005B3827"/>
    <w:rsid w:val="005B38CB"/>
    <w:rsid w:val="005B3901"/>
    <w:rsid w:val="005B3926"/>
    <w:rsid w:val="005B3964"/>
    <w:rsid w:val="005B3965"/>
    <w:rsid w:val="005B39A1"/>
    <w:rsid w:val="005B39B2"/>
    <w:rsid w:val="005B3A3F"/>
    <w:rsid w:val="005B3ACE"/>
    <w:rsid w:val="005B3CE6"/>
    <w:rsid w:val="005B3CF3"/>
    <w:rsid w:val="005B3D1C"/>
    <w:rsid w:val="005B3D54"/>
    <w:rsid w:val="005B3D6A"/>
    <w:rsid w:val="005B3E96"/>
    <w:rsid w:val="005B3ED2"/>
    <w:rsid w:val="005B3FF4"/>
    <w:rsid w:val="005B400A"/>
    <w:rsid w:val="005B402A"/>
    <w:rsid w:val="005B4042"/>
    <w:rsid w:val="005B4055"/>
    <w:rsid w:val="005B4058"/>
    <w:rsid w:val="005B408F"/>
    <w:rsid w:val="005B40FA"/>
    <w:rsid w:val="005B4125"/>
    <w:rsid w:val="005B416C"/>
    <w:rsid w:val="005B41B5"/>
    <w:rsid w:val="005B41C4"/>
    <w:rsid w:val="005B4248"/>
    <w:rsid w:val="005B4344"/>
    <w:rsid w:val="005B435A"/>
    <w:rsid w:val="005B438F"/>
    <w:rsid w:val="005B446E"/>
    <w:rsid w:val="005B44EA"/>
    <w:rsid w:val="005B459B"/>
    <w:rsid w:val="005B45BA"/>
    <w:rsid w:val="005B4608"/>
    <w:rsid w:val="005B46A7"/>
    <w:rsid w:val="005B4769"/>
    <w:rsid w:val="005B47A3"/>
    <w:rsid w:val="005B47CD"/>
    <w:rsid w:val="005B47E8"/>
    <w:rsid w:val="005B48C3"/>
    <w:rsid w:val="005B48C4"/>
    <w:rsid w:val="005B49D4"/>
    <w:rsid w:val="005B49F0"/>
    <w:rsid w:val="005B4A0C"/>
    <w:rsid w:val="005B4AB9"/>
    <w:rsid w:val="005B4C09"/>
    <w:rsid w:val="005B4D1A"/>
    <w:rsid w:val="005B4D4E"/>
    <w:rsid w:val="005B4D5B"/>
    <w:rsid w:val="005B4D81"/>
    <w:rsid w:val="005B4DCE"/>
    <w:rsid w:val="005B4E1F"/>
    <w:rsid w:val="005B4E75"/>
    <w:rsid w:val="005B4E87"/>
    <w:rsid w:val="005B4E8C"/>
    <w:rsid w:val="005B4F20"/>
    <w:rsid w:val="005B4F93"/>
    <w:rsid w:val="005B4FDD"/>
    <w:rsid w:val="005B50AB"/>
    <w:rsid w:val="005B50AF"/>
    <w:rsid w:val="005B5118"/>
    <w:rsid w:val="005B5195"/>
    <w:rsid w:val="005B51D0"/>
    <w:rsid w:val="005B5233"/>
    <w:rsid w:val="005B52E0"/>
    <w:rsid w:val="005B5309"/>
    <w:rsid w:val="005B5386"/>
    <w:rsid w:val="005B53F9"/>
    <w:rsid w:val="005B54E4"/>
    <w:rsid w:val="005B557C"/>
    <w:rsid w:val="005B5640"/>
    <w:rsid w:val="005B56A9"/>
    <w:rsid w:val="005B5742"/>
    <w:rsid w:val="005B5875"/>
    <w:rsid w:val="005B587F"/>
    <w:rsid w:val="005B5953"/>
    <w:rsid w:val="005B59D1"/>
    <w:rsid w:val="005B59DA"/>
    <w:rsid w:val="005B5A24"/>
    <w:rsid w:val="005B5A33"/>
    <w:rsid w:val="005B5AD5"/>
    <w:rsid w:val="005B5B6B"/>
    <w:rsid w:val="005B5B7E"/>
    <w:rsid w:val="005B5B7F"/>
    <w:rsid w:val="005B5BCD"/>
    <w:rsid w:val="005B5BFD"/>
    <w:rsid w:val="005B5C40"/>
    <w:rsid w:val="005B5CD1"/>
    <w:rsid w:val="005B5D9D"/>
    <w:rsid w:val="005B5DE8"/>
    <w:rsid w:val="005B5E06"/>
    <w:rsid w:val="005B5E50"/>
    <w:rsid w:val="005B5E91"/>
    <w:rsid w:val="005B5F15"/>
    <w:rsid w:val="005B5F25"/>
    <w:rsid w:val="005B5F2D"/>
    <w:rsid w:val="005B5F3A"/>
    <w:rsid w:val="005B5FA6"/>
    <w:rsid w:val="005B6005"/>
    <w:rsid w:val="005B6040"/>
    <w:rsid w:val="005B6050"/>
    <w:rsid w:val="005B606E"/>
    <w:rsid w:val="005B6081"/>
    <w:rsid w:val="005B60B7"/>
    <w:rsid w:val="005B60F1"/>
    <w:rsid w:val="005B60F3"/>
    <w:rsid w:val="005B6113"/>
    <w:rsid w:val="005B6135"/>
    <w:rsid w:val="005B6156"/>
    <w:rsid w:val="005B6164"/>
    <w:rsid w:val="005B618B"/>
    <w:rsid w:val="005B6192"/>
    <w:rsid w:val="005B61D1"/>
    <w:rsid w:val="005B621A"/>
    <w:rsid w:val="005B625D"/>
    <w:rsid w:val="005B6348"/>
    <w:rsid w:val="005B6428"/>
    <w:rsid w:val="005B6433"/>
    <w:rsid w:val="005B6467"/>
    <w:rsid w:val="005B648F"/>
    <w:rsid w:val="005B64CF"/>
    <w:rsid w:val="005B64DF"/>
    <w:rsid w:val="005B6516"/>
    <w:rsid w:val="005B65FE"/>
    <w:rsid w:val="005B660A"/>
    <w:rsid w:val="005B6636"/>
    <w:rsid w:val="005B6682"/>
    <w:rsid w:val="005B66F8"/>
    <w:rsid w:val="005B67AB"/>
    <w:rsid w:val="005B685C"/>
    <w:rsid w:val="005B68D3"/>
    <w:rsid w:val="005B6935"/>
    <w:rsid w:val="005B6AA4"/>
    <w:rsid w:val="005B6AC4"/>
    <w:rsid w:val="005B6AD2"/>
    <w:rsid w:val="005B6BBC"/>
    <w:rsid w:val="005B6C87"/>
    <w:rsid w:val="005B6CFF"/>
    <w:rsid w:val="005B6D37"/>
    <w:rsid w:val="005B6D52"/>
    <w:rsid w:val="005B6DFE"/>
    <w:rsid w:val="005B6E1B"/>
    <w:rsid w:val="005B6E25"/>
    <w:rsid w:val="005B6E74"/>
    <w:rsid w:val="005B6E8C"/>
    <w:rsid w:val="005B6EA1"/>
    <w:rsid w:val="005B6EAC"/>
    <w:rsid w:val="005B6F4D"/>
    <w:rsid w:val="005B7025"/>
    <w:rsid w:val="005B703A"/>
    <w:rsid w:val="005B705F"/>
    <w:rsid w:val="005B7063"/>
    <w:rsid w:val="005B71C1"/>
    <w:rsid w:val="005B71F9"/>
    <w:rsid w:val="005B726A"/>
    <w:rsid w:val="005B739D"/>
    <w:rsid w:val="005B73ED"/>
    <w:rsid w:val="005B73F5"/>
    <w:rsid w:val="005B749B"/>
    <w:rsid w:val="005B749D"/>
    <w:rsid w:val="005B74CB"/>
    <w:rsid w:val="005B74DA"/>
    <w:rsid w:val="005B74EF"/>
    <w:rsid w:val="005B76D9"/>
    <w:rsid w:val="005B76EE"/>
    <w:rsid w:val="005B771A"/>
    <w:rsid w:val="005B772C"/>
    <w:rsid w:val="005B7762"/>
    <w:rsid w:val="005B777C"/>
    <w:rsid w:val="005B779E"/>
    <w:rsid w:val="005B7863"/>
    <w:rsid w:val="005B78D3"/>
    <w:rsid w:val="005B794A"/>
    <w:rsid w:val="005B7976"/>
    <w:rsid w:val="005B7A3F"/>
    <w:rsid w:val="005B7B1F"/>
    <w:rsid w:val="005B7B24"/>
    <w:rsid w:val="005B7B47"/>
    <w:rsid w:val="005B7B94"/>
    <w:rsid w:val="005B7B99"/>
    <w:rsid w:val="005B7BDE"/>
    <w:rsid w:val="005B7C1E"/>
    <w:rsid w:val="005B7C7D"/>
    <w:rsid w:val="005B7CA6"/>
    <w:rsid w:val="005B7CC4"/>
    <w:rsid w:val="005B7D07"/>
    <w:rsid w:val="005B7D0A"/>
    <w:rsid w:val="005B7D15"/>
    <w:rsid w:val="005B7D7D"/>
    <w:rsid w:val="005B7DC0"/>
    <w:rsid w:val="005B7DDA"/>
    <w:rsid w:val="005B7E2C"/>
    <w:rsid w:val="005B7F06"/>
    <w:rsid w:val="005B7F09"/>
    <w:rsid w:val="005B7F20"/>
    <w:rsid w:val="005B7F50"/>
    <w:rsid w:val="005B7FAA"/>
    <w:rsid w:val="005B7FF2"/>
    <w:rsid w:val="005C008D"/>
    <w:rsid w:val="005C0126"/>
    <w:rsid w:val="005C014F"/>
    <w:rsid w:val="005C033E"/>
    <w:rsid w:val="005C0570"/>
    <w:rsid w:val="005C05A5"/>
    <w:rsid w:val="005C064B"/>
    <w:rsid w:val="005C069D"/>
    <w:rsid w:val="005C06FB"/>
    <w:rsid w:val="005C0717"/>
    <w:rsid w:val="005C07F7"/>
    <w:rsid w:val="005C0827"/>
    <w:rsid w:val="005C08DA"/>
    <w:rsid w:val="005C090A"/>
    <w:rsid w:val="005C0925"/>
    <w:rsid w:val="005C0931"/>
    <w:rsid w:val="005C097B"/>
    <w:rsid w:val="005C09A3"/>
    <w:rsid w:val="005C09BE"/>
    <w:rsid w:val="005C0A21"/>
    <w:rsid w:val="005C0A22"/>
    <w:rsid w:val="005C0AB7"/>
    <w:rsid w:val="005C0AC5"/>
    <w:rsid w:val="005C0AD7"/>
    <w:rsid w:val="005C0B58"/>
    <w:rsid w:val="005C0B79"/>
    <w:rsid w:val="005C0BCD"/>
    <w:rsid w:val="005C0C51"/>
    <w:rsid w:val="005C0CC1"/>
    <w:rsid w:val="005C0D01"/>
    <w:rsid w:val="005C0D40"/>
    <w:rsid w:val="005C0D77"/>
    <w:rsid w:val="005C0E2C"/>
    <w:rsid w:val="005C0F8A"/>
    <w:rsid w:val="005C0F99"/>
    <w:rsid w:val="005C102C"/>
    <w:rsid w:val="005C1088"/>
    <w:rsid w:val="005C1104"/>
    <w:rsid w:val="005C116B"/>
    <w:rsid w:val="005C117E"/>
    <w:rsid w:val="005C11E7"/>
    <w:rsid w:val="005C122A"/>
    <w:rsid w:val="005C125B"/>
    <w:rsid w:val="005C1344"/>
    <w:rsid w:val="005C13A4"/>
    <w:rsid w:val="005C1455"/>
    <w:rsid w:val="005C156B"/>
    <w:rsid w:val="005C1589"/>
    <w:rsid w:val="005C15E1"/>
    <w:rsid w:val="005C167E"/>
    <w:rsid w:val="005C1683"/>
    <w:rsid w:val="005C172A"/>
    <w:rsid w:val="005C1758"/>
    <w:rsid w:val="005C177B"/>
    <w:rsid w:val="005C17B5"/>
    <w:rsid w:val="005C182F"/>
    <w:rsid w:val="005C183A"/>
    <w:rsid w:val="005C1860"/>
    <w:rsid w:val="005C18FF"/>
    <w:rsid w:val="005C19BD"/>
    <w:rsid w:val="005C1A6A"/>
    <w:rsid w:val="005C1B10"/>
    <w:rsid w:val="005C1BFA"/>
    <w:rsid w:val="005C1C09"/>
    <w:rsid w:val="005C1CB0"/>
    <w:rsid w:val="005C1CCF"/>
    <w:rsid w:val="005C1E15"/>
    <w:rsid w:val="005C1EB9"/>
    <w:rsid w:val="005C1F20"/>
    <w:rsid w:val="005C200D"/>
    <w:rsid w:val="005C216B"/>
    <w:rsid w:val="005C21DE"/>
    <w:rsid w:val="005C225F"/>
    <w:rsid w:val="005C227E"/>
    <w:rsid w:val="005C22B8"/>
    <w:rsid w:val="005C2336"/>
    <w:rsid w:val="005C235E"/>
    <w:rsid w:val="005C238C"/>
    <w:rsid w:val="005C23B1"/>
    <w:rsid w:val="005C23B7"/>
    <w:rsid w:val="005C23C6"/>
    <w:rsid w:val="005C25ED"/>
    <w:rsid w:val="005C25EF"/>
    <w:rsid w:val="005C25F1"/>
    <w:rsid w:val="005C26A1"/>
    <w:rsid w:val="005C26D3"/>
    <w:rsid w:val="005C26FB"/>
    <w:rsid w:val="005C2712"/>
    <w:rsid w:val="005C278B"/>
    <w:rsid w:val="005C2896"/>
    <w:rsid w:val="005C28C2"/>
    <w:rsid w:val="005C2944"/>
    <w:rsid w:val="005C295B"/>
    <w:rsid w:val="005C298F"/>
    <w:rsid w:val="005C29BC"/>
    <w:rsid w:val="005C29EB"/>
    <w:rsid w:val="005C2A18"/>
    <w:rsid w:val="005C2A1C"/>
    <w:rsid w:val="005C2ACD"/>
    <w:rsid w:val="005C2B01"/>
    <w:rsid w:val="005C2B12"/>
    <w:rsid w:val="005C2B25"/>
    <w:rsid w:val="005C2BE4"/>
    <w:rsid w:val="005C2C40"/>
    <w:rsid w:val="005C2C57"/>
    <w:rsid w:val="005C2CC4"/>
    <w:rsid w:val="005C2CE0"/>
    <w:rsid w:val="005C2D00"/>
    <w:rsid w:val="005C2D21"/>
    <w:rsid w:val="005C2D45"/>
    <w:rsid w:val="005C2DBC"/>
    <w:rsid w:val="005C2DDC"/>
    <w:rsid w:val="005C2DF0"/>
    <w:rsid w:val="005C2E69"/>
    <w:rsid w:val="005C2F26"/>
    <w:rsid w:val="005C2F57"/>
    <w:rsid w:val="005C2F7F"/>
    <w:rsid w:val="005C2FDB"/>
    <w:rsid w:val="005C3024"/>
    <w:rsid w:val="005C30B3"/>
    <w:rsid w:val="005C30E5"/>
    <w:rsid w:val="005C3110"/>
    <w:rsid w:val="005C31FE"/>
    <w:rsid w:val="005C3213"/>
    <w:rsid w:val="005C3223"/>
    <w:rsid w:val="005C3260"/>
    <w:rsid w:val="005C327B"/>
    <w:rsid w:val="005C3342"/>
    <w:rsid w:val="005C3345"/>
    <w:rsid w:val="005C3347"/>
    <w:rsid w:val="005C335A"/>
    <w:rsid w:val="005C3473"/>
    <w:rsid w:val="005C3478"/>
    <w:rsid w:val="005C34ED"/>
    <w:rsid w:val="005C3589"/>
    <w:rsid w:val="005C363E"/>
    <w:rsid w:val="005C36C3"/>
    <w:rsid w:val="005C36E5"/>
    <w:rsid w:val="005C372C"/>
    <w:rsid w:val="005C374B"/>
    <w:rsid w:val="005C375C"/>
    <w:rsid w:val="005C37A3"/>
    <w:rsid w:val="005C381C"/>
    <w:rsid w:val="005C3885"/>
    <w:rsid w:val="005C38E8"/>
    <w:rsid w:val="005C3932"/>
    <w:rsid w:val="005C397E"/>
    <w:rsid w:val="005C3A43"/>
    <w:rsid w:val="005C3A7A"/>
    <w:rsid w:val="005C3A83"/>
    <w:rsid w:val="005C3A8F"/>
    <w:rsid w:val="005C3B39"/>
    <w:rsid w:val="005C3B80"/>
    <w:rsid w:val="005C3C2F"/>
    <w:rsid w:val="005C3C77"/>
    <w:rsid w:val="005C3C95"/>
    <w:rsid w:val="005C3CC6"/>
    <w:rsid w:val="005C3CD1"/>
    <w:rsid w:val="005C3D4F"/>
    <w:rsid w:val="005C3D8E"/>
    <w:rsid w:val="005C3DC4"/>
    <w:rsid w:val="005C3DD2"/>
    <w:rsid w:val="005C3E0D"/>
    <w:rsid w:val="005C3E94"/>
    <w:rsid w:val="005C3EE1"/>
    <w:rsid w:val="005C3F00"/>
    <w:rsid w:val="005C3F60"/>
    <w:rsid w:val="005C3FD9"/>
    <w:rsid w:val="005C3FE3"/>
    <w:rsid w:val="005C40CA"/>
    <w:rsid w:val="005C40CF"/>
    <w:rsid w:val="005C4135"/>
    <w:rsid w:val="005C42D0"/>
    <w:rsid w:val="005C4321"/>
    <w:rsid w:val="005C438C"/>
    <w:rsid w:val="005C44E9"/>
    <w:rsid w:val="005C451E"/>
    <w:rsid w:val="005C4523"/>
    <w:rsid w:val="005C4555"/>
    <w:rsid w:val="005C45A8"/>
    <w:rsid w:val="005C45F6"/>
    <w:rsid w:val="005C4661"/>
    <w:rsid w:val="005C4710"/>
    <w:rsid w:val="005C47F1"/>
    <w:rsid w:val="005C4803"/>
    <w:rsid w:val="005C4894"/>
    <w:rsid w:val="005C48F7"/>
    <w:rsid w:val="005C4950"/>
    <w:rsid w:val="005C49C4"/>
    <w:rsid w:val="005C4A44"/>
    <w:rsid w:val="005C4A5F"/>
    <w:rsid w:val="005C4B46"/>
    <w:rsid w:val="005C4BB2"/>
    <w:rsid w:val="005C4BCD"/>
    <w:rsid w:val="005C4C6A"/>
    <w:rsid w:val="005C4CD4"/>
    <w:rsid w:val="005C4D6C"/>
    <w:rsid w:val="005C4DD8"/>
    <w:rsid w:val="005C4E9B"/>
    <w:rsid w:val="005C4EBE"/>
    <w:rsid w:val="005C4EE3"/>
    <w:rsid w:val="005C4F12"/>
    <w:rsid w:val="005C4FC3"/>
    <w:rsid w:val="005C4FCD"/>
    <w:rsid w:val="005C5001"/>
    <w:rsid w:val="005C5034"/>
    <w:rsid w:val="005C5073"/>
    <w:rsid w:val="005C50DE"/>
    <w:rsid w:val="005C5182"/>
    <w:rsid w:val="005C51B0"/>
    <w:rsid w:val="005C51B4"/>
    <w:rsid w:val="005C51BD"/>
    <w:rsid w:val="005C51EE"/>
    <w:rsid w:val="005C520C"/>
    <w:rsid w:val="005C526D"/>
    <w:rsid w:val="005C529B"/>
    <w:rsid w:val="005C52F3"/>
    <w:rsid w:val="005C52F5"/>
    <w:rsid w:val="005C5308"/>
    <w:rsid w:val="005C530D"/>
    <w:rsid w:val="005C538E"/>
    <w:rsid w:val="005C53AC"/>
    <w:rsid w:val="005C53B7"/>
    <w:rsid w:val="005C53D6"/>
    <w:rsid w:val="005C5402"/>
    <w:rsid w:val="005C5472"/>
    <w:rsid w:val="005C5475"/>
    <w:rsid w:val="005C5519"/>
    <w:rsid w:val="005C55C6"/>
    <w:rsid w:val="005C55F6"/>
    <w:rsid w:val="005C565C"/>
    <w:rsid w:val="005C571F"/>
    <w:rsid w:val="005C5726"/>
    <w:rsid w:val="005C57B6"/>
    <w:rsid w:val="005C57D3"/>
    <w:rsid w:val="005C580B"/>
    <w:rsid w:val="005C5865"/>
    <w:rsid w:val="005C5881"/>
    <w:rsid w:val="005C5940"/>
    <w:rsid w:val="005C5964"/>
    <w:rsid w:val="005C599B"/>
    <w:rsid w:val="005C59B7"/>
    <w:rsid w:val="005C5A17"/>
    <w:rsid w:val="005C5A1E"/>
    <w:rsid w:val="005C5BC9"/>
    <w:rsid w:val="005C5BF5"/>
    <w:rsid w:val="005C5C11"/>
    <w:rsid w:val="005C5C82"/>
    <w:rsid w:val="005C5C91"/>
    <w:rsid w:val="005C5CC6"/>
    <w:rsid w:val="005C5CC8"/>
    <w:rsid w:val="005C5D1E"/>
    <w:rsid w:val="005C5D53"/>
    <w:rsid w:val="005C5E11"/>
    <w:rsid w:val="005C5E31"/>
    <w:rsid w:val="005C5EAB"/>
    <w:rsid w:val="005C5F8F"/>
    <w:rsid w:val="005C5FF4"/>
    <w:rsid w:val="005C603D"/>
    <w:rsid w:val="005C604F"/>
    <w:rsid w:val="005C60DA"/>
    <w:rsid w:val="005C60F3"/>
    <w:rsid w:val="005C6146"/>
    <w:rsid w:val="005C6162"/>
    <w:rsid w:val="005C6188"/>
    <w:rsid w:val="005C61B9"/>
    <w:rsid w:val="005C6211"/>
    <w:rsid w:val="005C6224"/>
    <w:rsid w:val="005C623B"/>
    <w:rsid w:val="005C6275"/>
    <w:rsid w:val="005C62A2"/>
    <w:rsid w:val="005C6324"/>
    <w:rsid w:val="005C6365"/>
    <w:rsid w:val="005C647D"/>
    <w:rsid w:val="005C64A1"/>
    <w:rsid w:val="005C64F7"/>
    <w:rsid w:val="005C650D"/>
    <w:rsid w:val="005C6578"/>
    <w:rsid w:val="005C65BB"/>
    <w:rsid w:val="005C65F1"/>
    <w:rsid w:val="005C664C"/>
    <w:rsid w:val="005C6694"/>
    <w:rsid w:val="005C6724"/>
    <w:rsid w:val="005C6742"/>
    <w:rsid w:val="005C6809"/>
    <w:rsid w:val="005C6922"/>
    <w:rsid w:val="005C692D"/>
    <w:rsid w:val="005C6930"/>
    <w:rsid w:val="005C6977"/>
    <w:rsid w:val="005C69AF"/>
    <w:rsid w:val="005C6A8C"/>
    <w:rsid w:val="005C6ADC"/>
    <w:rsid w:val="005C6AE2"/>
    <w:rsid w:val="005C6B32"/>
    <w:rsid w:val="005C6B50"/>
    <w:rsid w:val="005C6B6B"/>
    <w:rsid w:val="005C6C47"/>
    <w:rsid w:val="005C6D9E"/>
    <w:rsid w:val="005C6DA5"/>
    <w:rsid w:val="005C6DAE"/>
    <w:rsid w:val="005C6DEA"/>
    <w:rsid w:val="005C6DF7"/>
    <w:rsid w:val="005C6E53"/>
    <w:rsid w:val="005C6F6F"/>
    <w:rsid w:val="005C6FC4"/>
    <w:rsid w:val="005C6FEC"/>
    <w:rsid w:val="005C704F"/>
    <w:rsid w:val="005C705D"/>
    <w:rsid w:val="005C70E0"/>
    <w:rsid w:val="005C722B"/>
    <w:rsid w:val="005C726D"/>
    <w:rsid w:val="005C72A1"/>
    <w:rsid w:val="005C72F9"/>
    <w:rsid w:val="005C731E"/>
    <w:rsid w:val="005C732A"/>
    <w:rsid w:val="005C7454"/>
    <w:rsid w:val="005C7562"/>
    <w:rsid w:val="005C75DB"/>
    <w:rsid w:val="005C75E2"/>
    <w:rsid w:val="005C75F9"/>
    <w:rsid w:val="005C75FA"/>
    <w:rsid w:val="005C760C"/>
    <w:rsid w:val="005C760D"/>
    <w:rsid w:val="005C765F"/>
    <w:rsid w:val="005C76A2"/>
    <w:rsid w:val="005C7712"/>
    <w:rsid w:val="005C771A"/>
    <w:rsid w:val="005C776D"/>
    <w:rsid w:val="005C77BE"/>
    <w:rsid w:val="005C782D"/>
    <w:rsid w:val="005C7854"/>
    <w:rsid w:val="005C7A09"/>
    <w:rsid w:val="005C7A46"/>
    <w:rsid w:val="005C7A8C"/>
    <w:rsid w:val="005C7B2A"/>
    <w:rsid w:val="005C7B3B"/>
    <w:rsid w:val="005C7C3F"/>
    <w:rsid w:val="005C7C7A"/>
    <w:rsid w:val="005C7D46"/>
    <w:rsid w:val="005C7E4E"/>
    <w:rsid w:val="005C7E78"/>
    <w:rsid w:val="005C7F33"/>
    <w:rsid w:val="005C7F52"/>
    <w:rsid w:val="005D002F"/>
    <w:rsid w:val="005D00AF"/>
    <w:rsid w:val="005D00B2"/>
    <w:rsid w:val="005D0126"/>
    <w:rsid w:val="005D01AD"/>
    <w:rsid w:val="005D01C6"/>
    <w:rsid w:val="005D01C8"/>
    <w:rsid w:val="005D021A"/>
    <w:rsid w:val="005D027A"/>
    <w:rsid w:val="005D0307"/>
    <w:rsid w:val="005D0350"/>
    <w:rsid w:val="005D039C"/>
    <w:rsid w:val="005D041D"/>
    <w:rsid w:val="005D0449"/>
    <w:rsid w:val="005D0477"/>
    <w:rsid w:val="005D05A8"/>
    <w:rsid w:val="005D05D6"/>
    <w:rsid w:val="005D05E8"/>
    <w:rsid w:val="005D063A"/>
    <w:rsid w:val="005D0659"/>
    <w:rsid w:val="005D06B5"/>
    <w:rsid w:val="005D06D9"/>
    <w:rsid w:val="005D082B"/>
    <w:rsid w:val="005D0840"/>
    <w:rsid w:val="005D094B"/>
    <w:rsid w:val="005D0954"/>
    <w:rsid w:val="005D0A1E"/>
    <w:rsid w:val="005D0AB0"/>
    <w:rsid w:val="005D0AF0"/>
    <w:rsid w:val="005D0C39"/>
    <w:rsid w:val="005D0CB1"/>
    <w:rsid w:val="005D0CE5"/>
    <w:rsid w:val="005D0D11"/>
    <w:rsid w:val="005D0D33"/>
    <w:rsid w:val="005D0D3F"/>
    <w:rsid w:val="005D0D5C"/>
    <w:rsid w:val="005D0D6A"/>
    <w:rsid w:val="005D0DC9"/>
    <w:rsid w:val="005D0DDA"/>
    <w:rsid w:val="005D0DE2"/>
    <w:rsid w:val="005D0E31"/>
    <w:rsid w:val="005D0E48"/>
    <w:rsid w:val="005D0EE5"/>
    <w:rsid w:val="005D0F0B"/>
    <w:rsid w:val="005D0FA9"/>
    <w:rsid w:val="005D0FDA"/>
    <w:rsid w:val="005D1054"/>
    <w:rsid w:val="005D1060"/>
    <w:rsid w:val="005D1141"/>
    <w:rsid w:val="005D1159"/>
    <w:rsid w:val="005D11D0"/>
    <w:rsid w:val="005D12F5"/>
    <w:rsid w:val="005D1311"/>
    <w:rsid w:val="005D133F"/>
    <w:rsid w:val="005D1354"/>
    <w:rsid w:val="005D13F2"/>
    <w:rsid w:val="005D146D"/>
    <w:rsid w:val="005D1491"/>
    <w:rsid w:val="005D152B"/>
    <w:rsid w:val="005D15BE"/>
    <w:rsid w:val="005D1692"/>
    <w:rsid w:val="005D1700"/>
    <w:rsid w:val="005D1808"/>
    <w:rsid w:val="005D1847"/>
    <w:rsid w:val="005D189F"/>
    <w:rsid w:val="005D1A2F"/>
    <w:rsid w:val="005D1AB7"/>
    <w:rsid w:val="005D1AF6"/>
    <w:rsid w:val="005D1B03"/>
    <w:rsid w:val="005D1B4A"/>
    <w:rsid w:val="005D1B70"/>
    <w:rsid w:val="005D1CEB"/>
    <w:rsid w:val="005D1D7F"/>
    <w:rsid w:val="005D1DDD"/>
    <w:rsid w:val="005D1E17"/>
    <w:rsid w:val="005D1E26"/>
    <w:rsid w:val="005D1EAD"/>
    <w:rsid w:val="005D1EC7"/>
    <w:rsid w:val="005D1F17"/>
    <w:rsid w:val="005D1FA0"/>
    <w:rsid w:val="005D20B3"/>
    <w:rsid w:val="005D20F0"/>
    <w:rsid w:val="005D21C7"/>
    <w:rsid w:val="005D21CA"/>
    <w:rsid w:val="005D21DE"/>
    <w:rsid w:val="005D2294"/>
    <w:rsid w:val="005D22F8"/>
    <w:rsid w:val="005D230B"/>
    <w:rsid w:val="005D2339"/>
    <w:rsid w:val="005D236A"/>
    <w:rsid w:val="005D23A9"/>
    <w:rsid w:val="005D240B"/>
    <w:rsid w:val="005D246E"/>
    <w:rsid w:val="005D24D5"/>
    <w:rsid w:val="005D24EE"/>
    <w:rsid w:val="005D26B6"/>
    <w:rsid w:val="005D26C2"/>
    <w:rsid w:val="005D26CF"/>
    <w:rsid w:val="005D2707"/>
    <w:rsid w:val="005D272E"/>
    <w:rsid w:val="005D2741"/>
    <w:rsid w:val="005D2778"/>
    <w:rsid w:val="005D27E2"/>
    <w:rsid w:val="005D2824"/>
    <w:rsid w:val="005D288B"/>
    <w:rsid w:val="005D295D"/>
    <w:rsid w:val="005D29C1"/>
    <w:rsid w:val="005D29D5"/>
    <w:rsid w:val="005D2A2B"/>
    <w:rsid w:val="005D2A3F"/>
    <w:rsid w:val="005D2A53"/>
    <w:rsid w:val="005D2A58"/>
    <w:rsid w:val="005D2A5B"/>
    <w:rsid w:val="005D2A5D"/>
    <w:rsid w:val="005D2A72"/>
    <w:rsid w:val="005D2A9B"/>
    <w:rsid w:val="005D2AD5"/>
    <w:rsid w:val="005D2AEF"/>
    <w:rsid w:val="005D2B22"/>
    <w:rsid w:val="005D2B58"/>
    <w:rsid w:val="005D2B83"/>
    <w:rsid w:val="005D2B9D"/>
    <w:rsid w:val="005D2C50"/>
    <w:rsid w:val="005D2C67"/>
    <w:rsid w:val="005D2D37"/>
    <w:rsid w:val="005D2D59"/>
    <w:rsid w:val="005D2DD6"/>
    <w:rsid w:val="005D2E64"/>
    <w:rsid w:val="005D2EB3"/>
    <w:rsid w:val="005D2F08"/>
    <w:rsid w:val="005D3062"/>
    <w:rsid w:val="005D30D2"/>
    <w:rsid w:val="005D3133"/>
    <w:rsid w:val="005D316F"/>
    <w:rsid w:val="005D31C2"/>
    <w:rsid w:val="005D32B2"/>
    <w:rsid w:val="005D336C"/>
    <w:rsid w:val="005D338F"/>
    <w:rsid w:val="005D3431"/>
    <w:rsid w:val="005D3468"/>
    <w:rsid w:val="005D34A4"/>
    <w:rsid w:val="005D34E0"/>
    <w:rsid w:val="005D3510"/>
    <w:rsid w:val="005D35BA"/>
    <w:rsid w:val="005D368F"/>
    <w:rsid w:val="005D36A0"/>
    <w:rsid w:val="005D36F4"/>
    <w:rsid w:val="005D371A"/>
    <w:rsid w:val="005D37C2"/>
    <w:rsid w:val="005D3859"/>
    <w:rsid w:val="005D3884"/>
    <w:rsid w:val="005D38AD"/>
    <w:rsid w:val="005D38C2"/>
    <w:rsid w:val="005D396B"/>
    <w:rsid w:val="005D396C"/>
    <w:rsid w:val="005D3A16"/>
    <w:rsid w:val="005D3A52"/>
    <w:rsid w:val="005D3A59"/>
    <w:rsid w:val="005D3A79"/>
    <w:rsid w:val="005D3B0C"/>
    <w:rsid w:val="005D3B72"/>
    <w:rsid w:val="005D3BBD"/>
    <w:rsid w:val="005D3BCF"/>
    <w:rsid w:val="005D3C5A"/>
    <w:rsid w:val="005D3C6D"/>
    <w:rsid w:val="005D3CD5"/>
    <w:rsid w:val="005D3D5B"/>
    <w:rsid w:val="005D3E4B"/>
    <w:rsid w:val="005D3E81"/>
    <w:rsid w:val="005D3EF6"/>
    <w:rsid w:val="005D3F19"/>
    <w:rsid w:val="005D3F58"/>
    <w:rsid w:val="005D4066"/>
    <w:rsid w:val="005D40BE"/>
    <w:rsid w:val="005D412D"/>
    <w:rsid w:val="005D4159"/>
    <w:rsid w:val="005D4277"/>
    <w:rsid w:val="005D4344"/>
    <w:rsid w:val="005D4345"/>
    <w:rsid w:val="005D4346"/>
    <w:rsid w:val="005D4353"/>
    <w:rsid w:val="005D439E"/>
    <w:rsid w:val="005D43CD"/>
    <w:rsid w:val="005D43EC"/>
    <w:rsid w:val="005D4481"/>
    <w:rsid w:val="005D44F3"/>
    <w:rsid w:val="005D4504"/>
    <w:rsid w:val="005D4535"/>
    <w:rsid w:val="005D453D"/>
    <w:rsid w:val="005D455D"/>
    <w:rsid w:val="005D4593"/>
    <w:rsid w:val="005D45E2"/>
    <w:rsid w:val="005D463E"/>
    <w:rsid w:val="005D469E"/>
    <w:rsid w:val="005D4735"/>
    <w:rsid w:val="005D473C"/>
    <w:rsid w:val="005D487C"/>
    <w:rsid w:val="005D488F"/>
    <w:rsid w:val="005D48A4"/>
    <w:rsid w:val="005D4A25"/>
    <w:rsid w:val="005D4A5A"/>
    <w:rsid w:val="005D4B0E"/>
    <w:rsid w:val="005D4C19"/>
    <w:rsid w:val="005D4C37"/>
    <w:rsid w:val="005D4C9C"/>
    <w:rsid w:val="005D4CFF"/>
    <w:rsid w:val="005D4DB2"/>
    <w:rsid w:val="005D4DC6"/>
    <w:rsid w:val="005D4F35"/>
    <w:rsid w:val="005D4F5C"/>
    <w:rsid w:val="005D5067"/>
    <w:rsid w:val="005D507A"/>
    <w:rsid w:val="005D5094"/>
    <w:rsid w:val="005D50D9"/>
    <w:rsid w:val="005D518B"/>
    <w:rsid w:val="005D51E7"/>
    <w:rsid w:val="005D520A"/>
    <w:rsid w:val="005D525B"/>
    <w:rsid w:val="005D52B5"/>
    <w:rsid w:val="005D52E0"/>
    <w:rsid w:val="005D52F4"/>
    <w:rsid w:val="005D530F"/>
    <w:rsid w:val="005D5366"/>
    <w:rsid w:val="005D53A3"/>
    <w:rsid w:val="005D53D3"/>
    <w:rsid w:val="005D5495"/>
    <w:rsid w:val="005D54A1"/>
    <w:rsid w:val="005D55D2"/>
    <w:rsid w:val="005D55FC"/>
    <w:rsid w:val="005D564B"/>
    <w:rsid w:val="005D564C"/>
    <w:rsid w:val="005D56DD"/>
    <w:rsid w:val="005D5701"/>
    <w:rsid w:val="005D5714"/>
    <w:rsid w:val="005D573C"/>
    <w:rsid w:val="005D57F9"/>
    <w:rsid w:val="005D58C5"/>
    <w:rsid w:val="005D58E3"/>
    <w:rsid w:val="005D590A"/>
    <w:rsid w:val="005D5A38"/>
    <w:rsid w:val="005D5A98"/>
    <w:rsid w:val="005D5ACD"/>
    <w:rsid w:val="005D5CD8"/>
    <w:rsid w:val="005D5D0C"/>
    <w:rsid w:val="005D5DB5"/>
    <w:rsid w:val="005D5E27"/>
    <w:rsid w:val="005D5E30"/>
    <w:rsid w:val="005D5E5D"/>
    <w:rsid w:val="005D5E6A"/>
    <w:rsid w:val="005D5E9F"/>
    <w:rsid w:val="005D5ED1"/>
    <w:rsid w:val="005D5EDD"/>
    <w:rsid w:val="005D5F04"/>
    <w:rsid w:val="005D5FBE"/>
    <w:rsid w:val="005D6078"/>
    <w:rsid w:val="005D61B1"/>
    <w:rsid w:val="005D6275"/>
    <w:rsid w:val="005D63CC"/>
    <w:rsid w:val="005D63DD"/>
    <w:rsid w:val="005D6487"/>
    <w:rsid w:val="005D64E3"/>
    <w:rsid w:val="005D6541"/>
    <w:rsid w:val="005D6588"/>
    <w:rsid w:val="005D65A7"/>
    <w:rsid w:val="005D65F9"/>
    <w:rsid w:val="005D66C5"/>
    <w:rsid w:val="005D6776"/>
    <w:rsid w:val="005D6807"/>
    <w:rsid w:val="005D6837"/>
    <w:rsid w:val="005D689E"/>
    <w:rsid w:val="005D68BA"/>
    <w:rsid w:val="005D6A2F"/>
    <w:rsid w:val="005D6A5A"/>
    <w:rsid w:val="005D6A66"/>
    <w:rsid w:val="005D6AC0"/>
    <w:rsid w:val="005D6B57"/>
    <w:rsid w:val="005D6BCD"/>
    <w:rsid w:val="005D6CFF"/>
    <w:rsid w:val="005D6E0A"/>
    <w:rsid w:val="005D6EC7"/>
    <w:rsid w:val="005D6F05"/>
    <w:rsid w:val="005D6F0B"/>
    <w:rsid w:val="005D6FC7"/>
    <w:rsid w:val="005D6FF3"/>
    <w:rsid w:val="005D7104"/>
    <w:rsid w:val="005D7146"/>
    <w:rsid w:val="005D71C8"/>
    <w:rsid w:val="005D726B"/>
    <w:rsid w:val="005D72C2"/>
    <w:rsid w:val="005D72CA"/>
    <w:rsid w:val="005D734E"/>
    <w:rsid w:val="005D74A6"/>
    <w:rsid w:val="005D74BF"/>
    <w:rsid w:val="005D7518"/>
    <w:rsid w:val="005D7544"/>
    <w:rsid w:val="005D7557"/>
    <w:rsid w:val="005D7561"/>
    <w:rsid w:val="005D75E2"/>
    <w:rsid w:val="005D7647"/>
    <w:rsid w:val="005D76CA"/>
    <w:rsid w:val="005D76CB"/>
    <w:rsid w:val="005D76CE"/>
    <w:rsid w:val="005D7713"/>
    <w:rsid w:val="005D77B0"/>
    <w:rsid w:val="005D790E"/>
    <w:rsid w:val="005D791B"/>
    <w:rsid w:val="005D7936"/>
    <w:rsid w:val="005D79EA"/>
    <w:rsid w:val="005D79ED"/>
    <w:rsid w:val="005D7A10"/>
    <w:rsid w:val="005D7A2B"/>
    <w:rsid w:val="005D7A93"/>
    <w:rsid w:val="005D7BCC"/>
    <w:rsid w:val="005D7BD6"/>
    <w:rsid w:val="005D7C4D"/>
    <w:rsid w:val="005D7C9B"/>
    <w:rsid w:val="005D7CA0"/>
    <w:rsid w:val="005D7D80"/>
    <w:rsid w:val="005D7DB5"/>
    <w:rsid w:val="005D7DCF"/>
    <w:rsid w:val="005D7E58"/>
    <w:rsid w:val="005D7E6F"/>
    <w:rsid w:val="005D7E82"/>
    <w:rsid w:val="005D7E88"/>
    <w:rsid w:val="005D7EAB"/>
    <w:rsid w:val="005D7EE1"/>
    <w:rsid w:val="005D7F05"/>
    <w:rsid w:val="005D7F55"/>
    <w:rsid w:val="005D7F73"/>
    <w:rsid w:val="005E0032"/>
    <w:rsid w:val="005E0035"/>
    <w:rsid w:val="005E0039"/>
    <w:rsid w:val="005E004D"/>
    <w:rsid w:val="005E0050"/>
    <w:rsid w:val="005E0084"/>
    <w:rsid w:val="005E0145"/>
    <w:rsid w:val="005E01C6"/>
    <w:rsid w:val="005E02E4"/>
    <w:rsid w:val="005E0319"/>
    <w:rsid w:val="005E0386"/>
    <w:rsid w:val="005E03A4"/>
    <w:rsid w:val="005E0429"/>
    <w:rsid w:val="005E045C"/>
    <w:rsid w:val="005E0466"/>
    <w:rsid w:val="005E04B4"/>
    <w:rsid w:val="005E04D7"/>
    <w:rsid w:val="005E051A"/>
    <w:rsid w:val="005E0540"/>
    <w:rsid w:val="005E0569"/>
    <w:rsid w:val="005E0582"/>
    <w:rsid w:val="005E05F3"/>
    <w:rsid w:val="005E061C"/>
    <w:rsid w:val="005E0682"/>
    <w:rsid w:val="005E0720"/>
    <w:rsid w:val="005E0746"/>
    <w:rsid w:val="005E0799"/>
    <w:rsid w:val="005E08A6"/>
    <w:rsid w:val="005E08D3"/>
    <w:rsid w:val="005E08DE"/>
    <w:rsid w:val="005E0913"/>
    <w:rsid w:val="005E0972"/>
    <w:rsid w:val="005E0A54"/>
    <w:rsid w:val="005E0A5D"/>
    <w:rsid w:val="005E0B9C"/>
    <w:rsid w:val="005E0C75"/>
    <w:rsid w:val="005E0C99"/>
    <w:rsid w:val="005E0D57"/>
    <w:rsid w:val="005E0D66"/>
    <w:rsid w:val="005E0E0E"/>
    <w:rsid w:val="005E0E42"/>
    <w:rsid w:val="005E0E46"/>
    <w:rsid w:val="005E0F70"/>
    <w:rsid w:val="005E0FD9"/>
    <w:rsid w:val="005E0FE2"/>
    <w:rsid w:val="005E0FF4"/>
    <w:rsid w:val="005E1184"/>
    <w:rsid w:val="005E1188"/>
    <w:rsid w:val="005E118A"/>
    <w:rsid w:val="005E11A0"/>
    <w:rsid w:val="005E1265"/>
    <w:rsid w:val="005E1267"/>
    <w:rsid w:val="005E12DE"/>
    <w:rsid w:val="005E1312"/>
    <w:rsid w:val="005E13BC"/>
    <w:rsid w:val="005E13EB"/>
    <w:rsid w:val="005E1480"/>
    <w:rsid w:val="005E1486"/>
    <w:rsid w:val="005E1502"/>
    <w:rsid w:val="005E1520"/>
    <w:rsid w:val="005E1597"/>
    <w:rsid w:val="005E1679"/>
    <w:rsid w:val="005E169D"/>
    <w:rsid w:val="005E16C6"/>
    <w:rsid w:val="005E16CA"/>
    <w:rsid w:val="005E1799"/>
    <w:rsid w:val="005E179A"/>
    <w:rsid w:val="005E1824"/>
    <w:rsid w:val="005E18C8"/>
    <w:rsid w:val="005E1A2D"/>
    <w:rsid w:val="005E1B65"/>
    <w:rsid w:val="005E1BDF"/>
    <w:rsid w:val="005E1BFB"/>
    <w:rsid w:val="005E1CA7"/>
    <w:rsid w:val="005E1D1D"/>
    <w:rsid w:val="005E1D3A"/>
    <w:rsid w:val="005E1DF8"/>
    <w:rsid w:val="005E1E36"/>
    <w:rsid w:val="005E1E5A"/>
    <w:rsid w:val="005E1EBC"/>
    <w:rsid w:val="005E1EE0"/>
    <w:rsid w:val="005E1F4B"/>
    <w:rsid w:val="005E1F65"/>
    <w:rsid w:val="005E1FAF"/>
    <w:rsid w:val="005E1FC0"/>
    <w:rsid w:val="005E207E"/>
    <w:rsid w:val="005E2082"/>
    <w:rsid w:val="005E208E"/>
    <w:rsid w:val="005E209C"/>
    <w:rsid w:val="005E20B1"/>
    <w:rsid w:val="005E20FB"/>
    <w:rsid w:val="005E215E"/>
    <w:rsid w:val="005E21DC"/>
    <w:rsid w:val="005E2351"/>
    <w:rsid w:val="005E2391"/>
    <w:rsid w:val="005E23B7"/>
    <w:rsid w:val="005E24CD"/>
    <w:rsid w:val="005E270C"/>
    <w:rsid w:val="005E2724"/>
    <w:rsid w:val="005E275C"/>
    <w:rsid w:val="005E275E"/>
    <w:rsid w:val="005E2792"/>
    <w:rsid w:val="005E27E0"/>
    <w:rsid w:val="005E2831"/>
    <w:rsid w:val="005E297F"/>
    <w:rsid w:val="005E29C3"/>
    <w:rsid w:val="005E29D2"/>
    <w:rsid w:val="005E29EB"/>
    <w:rsid w:val="005E2A2B"/>
    <w:rsid w:val="005E2A4A"/>
    <w:rsid w:val="005E2A50"/>
    <w:rsid w:val="005E2A57"/>
    <w:rsid w:val="005E2A89"/>
    <w:rsid w:val="005E2AF9"/>
    <w:rsid w:val="005E2B78"/>
    <w:rsid w:val="005E2C0F"/>
    <w:rsid w:val="005E2CD6"/>
    <w:rsid w:val="005E2D5A"/>
    <w:rsid w:val="005E2E20"/>
    <w:rsid w:val="005E2EAA"/>
    <w:rsid w:val="005E2FF9"/>
    <w:rsid w:val="005E306A"/>
    <w:rsid w:val="005E307B"/>
    <w:rsid w:val="005E310D"/>
    <w:rsid w:val="005E3177"/>
    <w:rsid w:val="005E3231"/>
    <w:rsid w:val="005E3283"/>
    <w:rsid w:val="005E335A"/>
    <w:rsid w:val="005E3400"/>
    <w:rsid w:val="005E340E"/>
    <w:rsid w:val="005E3413"/>
    <w:rsid w:val="005E3444"/>
    <w:rsid w:val="005E34EB"/>
    <w:rsid w:val="005E3518"/>
    <w:rsid w:val="005E3545"/>
    <w:rsid w:val="005E3548"/>
    <w:rsid w:val="005E35FC"/>
    <w:rsid w:val="005E360D"/>
    <w:rsid w:val="005E361F"/>
    <w:rsid w:val="005E365E"/>
    <w:rsid w:val="005E36A2"/>
    <w:rsid w:val="005E372F"/>
    <w:rsid w:val="005E373C"/>
    <w:rsid w:val="005E3755"/>
    <w:rsid w:val="005E3792"/>
    <w:rsid w:val="005E3804"/>
    <w:rsid w:val="005E3812"/>
    <w:rsid w:val="005E38B8"/>
    <w:rsid w:val="005E392B"/>
    <w:rsid w:val="005E3981"/>
    <w:rsid w:val="005E39F9"/>
    <w:rsid w:val="005E3B1F"/>
    <w:rsid w:val="005E3B9E"/>
    <w:rsid w:val="005E3BA0"/>
    <w:rsid w:val="005E3CD1"/>
    <w:rsid w:val="005E3D51"/>
    <w:rsid w:val="005E3D8B"/>
    <w:rsid w:val="005E3DC8"/>
    <w:rsid w:val="005E3E10"/>
    <w:rsid w:val="005E3EEB"/>
    <w:rsid w:val="005E4047"/>
    <w:rsid w:val="005E411C"/>
    <w:rsid w:val="005E4146"/>
    <w:rsid w:val="005E418E"/>
    <w:rsid w:val="005E425D"/>
    <w:rsid w:val="005E42CC"/>
    <w:rsid w:val="005E42DA"/>
    <w:rsid w:val="005E439A"/>
    <w:rsid w:val="005E43C4"/>
    <w:rsid w:val="005E43DF"/>
    <w:rsid w:val="005E43F8"/>
    <w:rsid w:val="005E4417"/>
    <w:rsid w:val="005E44A8"/>
    <w:rsid w:val="005E44C0"/>
    <w:rsid w:val="005E44EA"/>
    <w:rsid w:val="005E4525"/>
    <w:rsid w:val="005E458E"/>
    <w:rsid w:val="005E46AC"/>
    <w:rsid w:val="005E46CE"/>
    <w:rsid w:val="005E4744"/>
    <w:rsid w:val="005E4759"/>
    <w:rsid w:val="005E483C"/>
    <w:rsid w:val="005E4850"/>
    <w:rsid w:val="005E4959"/>
    <w:rsid w:val="005E49E3"/>
    <w:rsid w:val="005E49ED"/>
    <w:rsid w:val="005E4A0F"/>
    <w:rsid w:val="005E4A3C"/>
    <w:rsid w:val="005E4A3D"/>
    <w:rsid w:val="005E4A43"/>
    <w:rsid w:val="005E4AD5"/>
    <w:rsid w:val="005E4AE0"/>
    <w:rsid w:val="005E4B6D"/>
    <w:rsid w:val="005E4B7C"/>
    <w:rsid w:val="005E4B95"/>
    <w:rsid w:val="005E4BB1"/>
    <w:rsid w:val="005E4BDB"/>
    <w:rsid w:val="005E4BE3"/>
    <w:rsid w:val="005E4C5E"/>
    <w:rsid w:val="005E4C85"/>
    <w:rsid w:val="005E4CD5"/>
    <w:rsid w:val="005E4D4D"/>
    <w:rsid w:val="005E4D94"/>
    <w:rsid w:val="005E4D9C"/>
    <w:rsid w:val="005E4E45"/>
    <w:rsid w:val="005E4E51"/>
    <w:rsid w:val="005E4ECA"/>
    <w:rsid w:val="005E4F11"/>
    <w:rsid w:val="005E4F46"/>
    <w:rsid w:val="005E4F70"/>
    <w:rsid w:val="005E4F71"/>
    <w:rsid w:val="005E4F95"/>
    <w:rsid w:val="005E4FBF"/>
    <w:rsid w:val="005E4FCA"/>
    <w:rsid w:val="005E5046"/>
    <w:rsid w:val="005E506F"/>
    <w:rsid w:val="005E5122"/>
    <w:rsid w:val="005E512A"/>
    <w:rsid w:val="005E5133"/>
    <w:rsid w:val="005E51E8"/>
    <w:rsid w:val="005E51EC"/>
    <w:rsid w:val="005E530F"/>
    <w:rsid w:val="005E531E"/>
    <w:rsid w:val="005E5331"/>
    <w:rsid w:val="005E5350"/>
    <w:rsid w:val="005E55FD"/>
    <w:rsid w:val="005E566C"/>
    <w:rsid w:val="005E5678"/>
    <w:rsid w:val="005E576B"/>
    <w:rsid w:val="005E5778"/>
    <w:rsid w:val="005E589C"/>
    <w:rsid w:val="005E58A9"/>
    <w:rsid w:val="005E5948"/>
    <w:rsid w:val="005E594F"/>
    <w:rsid w:val="005E595C"/>
    <w:rsid w:val="005E5960"/>
    <w:rsid w:val="005E5995"/>
    <w:rsid w:val="005E5996"/>
    <w:rsid w:val="005E59FD"/>
    <w:rsid w:val="005E5A09"/>
    <w:rsid w:val="005E5A4F"/>
    <w:rsid w:val="005E5A6F"/>
    <w:rsid w:val="005E5A7E"/>
    <w:rsid w:val="005E5B45"/>
    <w:rsid w:val="005E5B60"/>
    <w:rsid w:val="005E5BD9"/>
    <w:rsid w:val="005E5C01"/>
    <w:rsid w:val="005E5C43"/>
    <w:rsid w:val="005E5C54"/>
    <w:rsid w:val="005E5D5C"/>
    <w:rsid w:val="005E5D72"/>
    <w:rsid w:val="005E5F02"/>
    <w:rsid w:val="005E603B"/>
    <w:rsid w:val="005E6052"/>
    <w:rsid w:val="005E6073"/>
    <w:rsid w:val="005E60B5"/>
    <w:rsid w:val="005E6101"/>
    <w:rsid w:val="005E6106"/>
    <w:rsid w:val="005E6119"/>
    <w:rsid w:val="005E61BE"/>
    <w:rsid w:val="005E6208"/>
    <w:rsid w:val="005E623C"/>
    <w:rsid w:val="005E62A2"/>
    <w:rsid w:val="005E62BD"/>
    <w:rsid w:val="005E641C"/>
    <w:rsid w:val="005E6526"/>
    <w:rsid w:val="005E65DE"/>
    <w:rsid w:val="005E65EE"/>
    <w:rsid w:val="005E65FF"/>
    <w:rsid w:val="005E6665"/>
    <w:rsid w:val="005E6669"/>
    <w:rsid w:val="005E66F7"/>
    <w:rsid w:val="005E670A"/>
    <w:rsid w:val="005E6713"/>
    <w:rsid w:val="005E673F"/>
    <w:rsid w:val="005E6829"/>
    <w:rsid w:val="005E68A3"/>
    <w:rsid w:val="005E69EE"/>
    <w:rsid w:val="005E69FA"/>
    <w:rsid w:val="005E6A65"/>
    <w:rsid w:val="005E6A67"/>
    <w:rsid w:val="005E6AEF"/>
    <w:rsid w:val="005E6B3B"/>
    <w:rsid w:val="005E6B3C"/>
    <w:rsid w:val="005E6B40"/>
    <w:rsid w:val="005E6B6C"/>
    <w:rsid w:val="005E6BA4"/>
    <w:rsid w:val="005E6C01"/>
    <w:rsid w:val="005E6C2F"/>
    <w:rsid w:val="005E6C74"/>
    <w:rsid w:val="005E6CE0"/>
    <w:rsid w:val="005E6D93"/>
    <w:rsid w:val="005E6E5C"/>
    <w:rsid w:val="005E6EB4"/>
    <w:rsid w:val="005E6EC9"/>
    <w:rsid w:val="005E6EDF"/>
    <w:rsid w:val="005E6F1F"/>
    <w:rsid w:val="005E6F5B"/>
    <w:rsid w:val="005E6F76"/>
    <w:rsid w:val="005E7000"/>
    <w:rsid w:val="005E7091"/>
    <w:rsid w:val="005E70A1"/>
    <w:rsid w:val="005E70AB"/>
    <w:rsid w:val="005E70FC"/>
    <w:rsid w:val="005E712F"/>
    <w:rsid w:val="005E7135"/>
    <w:rsid w:val="005E7159"/>
    <w:rsid w:val="005E716D"/>
    <w:rsid w:val="005E72C7"/>
    <w:rsid w:val="005E7353"/>
    <w:rsid w:val="005E73AB"/>
    <w:rsid w:val="005E740E"/>
    <w:rsid w:val="005E7450"/>
    <w:rsid w:val="005E74CA"/>
    <w:rsid w:val="005E7583"/>
    <w:rsid w:val="005E759B"/>
    <w:rsid w:val="005E7642"/>
    <w:rsid w:val="005E7648"/>
    <w:rsid w:val="005E768A"/>
    <w:rsid w:val="005E76C6"/>
    <w:rsid w:val="005E7788"/>
    <w:rsid w:val="005E77E5"/>
    <w:rsid w:val="005E77EC"/>
    <w:rsid w:val="005E77F9"/>
    <w:rsid w:val="005E7855"/>
    <w:rsid w:val="005E78C9"/>
    <w:rsid w:val="005E78D5"/>
    <w:rsid w:val="005E7911"/>
    <w:rsid w:val="005E7936"/>
    <w:rsid w:val="005E79E5"/>
    <w:rsid w:val="005E7A59"/>
    <w:rsid w:val="005E7A91"/>
    <w:rsid w:val="005E7AD9"/>
    <w:rsid w:val="005E7B4B"/>
    <w:rsid w:val="005E7BF4"/>
    <w:rsid w:val="005E7C4F"/>
    <w:rsid w:val="005E7C9B"/>
    <w:rsid w:val="005E7D1F"/>
    <w:rsid w:val="005E7D93"/>
    <w:rsid w:val="005E7E49"/>
    <w:rsid w:val="005E7EB2"/>
    <w:rsid w:val="005E7EDB"/>
    <w:rsid w:val="005E7F0F"/>
    <w:rsid w:val="005E7F39"/>
    <w:rsid w:val="005F00C6"/>
    <w:rsid w:val="005F00CC"/>
    <w:rsid w:val="005F00F7"/>
    <w:rsid w:val="005F01CA"/>
    <w:rsid w:val="005F01D8"/>
    <w:rsid w:val="005F027B"/>
    <w:rsid w:val="005F0299"/>
    <w:rsid w:val="005F030F"/>
    <w:rsid w:val="005F03AD"/>
    <w:rsid w:val="005F03C7"/>
    <w:rsid w:val="005F0417"/>
    <w:rsid w:val="005F0419"/>
    <w:rsid w:val="005F0446"/>
    <w:rsid w:val="005F0574"/>
    <w:rsid w:val="005F07E1"/>
    <w:rsid w:val="005F080E"/>
    <w:rsid w:val="005F082B"/>
    <w:rsid w:val="005F08F8"/>
    <w:rsid w:val="005F08FF"/>
    <w:rsid w:val="005F0923"/>
    <w:rsid w:val="005F093E"/>
    <w:rsid w:val="005F0992"/>
    <w:rsid w:val="005F09FB"/>
    <w:rsid w:val="005F0A74"/>
    <w:rsid w:val="005F0AD3"/>
    <w:rsid w:val="005F0BE4"/>
    <w:rsid w:val="005F0CAD"/>
    <w:rsid w:val="005F0CBC"/>
    <w:rsid w:val="005F0CF6"/>
    <w:rsid w:val="005F0E41"/>
    <w:rsid w:val="005F0EBC"/>
    <w:rsid w:val="005F0F0B"/>
    <w:rsid w:val="005F0FD5"/>
    <w:rsid w:val="005F0FDA"/>
    <w:rsid w:val="005F0FE6"/>
    <w:rsid w:val="005F0FF0"/>
    <w:rsid w:val="005F0FF2"/>
    <w:rsid w:val="005F10D8"/>
    <w:rsid w:val="005F10FC"/>
    <w:rsid w:val="005F1125"/>
    <w:rsid w:val="005F117A"/>
    <w:rsid w:val="005F11BE"/>
    <w:rsid w:val="005F11CE"/>
    <w:rsid w:val="005F122D"/>
    <w:rsid w:val="005F12E2"/>
    <w:rsid w:val="005F12F4"/>
    <w:rsid w:val="005F1333"/>
    <w:rsid w:val="005F13C4"/>
    <w:rsid w:val="005F13E7"/>
    <w:rsid w:val="005F1457"/>
    <w:rsid w:val="005F1462"/>
    <w:rsid w:val="005F157D"/>
    <w:rsid w:val="005F1644"/>
    <w:rsid w:val="005F165A"/>
    <w:rsid w:val="005F1693"/>
    <w:rsid w:val="005F1746"/>
    <w:rsid w:val="005F17D2"/>
    <w:rsid w:val="005F17D4"/>
    <w:rsid w:val="005F17E2"/>
    <w:rsid w:val="005F1870"/>
    <w:rsid w:val="005F18A5"/>
    <w:rsid w:val="005F18BA"/>
    <w:rsid w:val="005F1929"/>
    <w:rsid w:val="005F193E"/>
    <w:rsid w:val="005F1A4B"/>
    <w:rsid w:val="005F1A59"/>
    <w:rsid w:val="005F1A8F"/>
    <w:rsid w:val="005F1A9B"/>
    <w:rsid w:val="005F1AE0"/>
    <w:rsid w:val="005F1B5F"/>
    <w:rsid w:val="005F1BD4"/>
    <w:rsid w:val="005F1BE1"/>
    <w:rsid w:val="005F1CAB"/>
    <w:rsid w:val="005F1D04"/>
    <w:rsid w:val="005F1D4D"/>
    <w:rsid w:val="005F1E2A"/>
    <w:rsid w:val="005F1E7D"/>
    <w:rsid w:val="005F1E8A"/>
    <w:rsid w:val="005F1FF4"/>
    <w:rsid w:val="005F2013"/>
    <w:rsid w:val="005F201C"/>
    <w:rsid w:val="005F2078"/>
    <w:rsid w:val="005F208B"/>
    <w:rsid w:val="005F20E0"/>
    <w:rsid w:val="005F2102"/>
    <w:rsid w:val="005F2145"/>
    <w:rsid w:val="005F231A"/>
    <w:rsid w:val="005F2361"/>
    <w:rsid w:val="005F23E6"/>
    <w:rsid w:val="005F2437"/>
    <w:rsid w:val="005F2480"/>
    <w:rsid w:val="005F24AB"/>
    <w:rsid w:val="005F25D1"/>
    <w:rsid w:val="005F25EA"/>
    <w:rsid w:val="005F26AF"/>
    <w:rsid w:val="005F2715"/>
    <w:rsid w:val="005F2874"/>
    <w:rsid w:val="005F299D"/>
    <w:rsid w:val="005F2AA4"/>
    <w:rsid w:val="005F2AB0"/>
    <w:rsid w:val="005F2B0E"/>
    <w:rsid w:val="005F2C53"/>
    <w:rsid w:val="005F2CA3"/>
    <w:rsid w:val="005F2CCD"/>
    <w:rsid w:val="005F2CF5"/>
    <w:rsid w:val="005F2D4C"/>
    <w:rsid w:val="005F2DCF"/>
    <w:rsid w:val="005F2EAA"/>
    <w:rsid w:val="005F2EFA"/>
    <w:rsid w:val="005F2F86"/>
    <w:rsid w:val="005F2FC8"/>
    <w:rsid w:val="005F2FDA"/>
    <w:rsid w:val="005F2FF7"/>
    <w:rsid w:val="005F307D"/>
    <w:rsid w:val="005F30AF"/>
    <w:rsid w:val="005F310C"/>
    <w:rsid w:val="005F312A"/>
    <w:rsid w:val="005F32C7"/>
    <w:rsid w:val="005F32E8"/>
    <w:rsid w:val="005F3310"/>
    <w:rsid w:val="005F3347"/>
    <w:rsid w:val="005F33D7"/>
    <w:rsid w:val="005F352D"/>
    <w:rsid w:val="005F3550"/>
    <w:rsid w:val="005F36BB"/>
    <w:rsid w:val="005F376D"/>
    <w:rsid w:val="005F3778"/>
    <w:rsid w:val="005F3811"/>
    <w:rsid w:val="005F388C"/>
    <w:rsid w:val="005F38A5"/>
    <w:rsid w:val="005F38F3"/>
    <w:rsid w:val="005F3939"/>
    <w:rsid w:val="005F397F"/>
    <w:rsid w:val="005F3A19"/>
    <w:rsid w:val="005F3A99"/>
    <w:rsid w:val="005F3C7C"/>
    <w:rsid w:val="005F3D85"/>
    <w:rsid w:val="005F3DEE"/>
    <w:rsid w:val="005F3E2C"/>
    <w:rsid w:val="005F3E39"/>
    <w:rsid w:val="005F3E9B"/>
    <w:rsid w:val="005F3ECD"/>
    <w:rsid w:val="005F3EF9"/>
    <w:rsid w:val="005F3F72"/>
    <w:rsid w:val="005F3FF5"/>
    <w:rsid w:val="005F4035"/>
    <w:rsid w:val="005F40CB"/>
    <w:rsid w:val="005F4138"/>
    <w:rsid w:val="005F4160"/>
    <w:rsid w:val="005F4166"/>
    <w:rsid w:val="005F4213"/>
    <w:rsid w:val="005F426A"/>
    <w:rsid w:val="005F42AC"/>
    <w:rsid w:val="005F4319"/>
    <w:rsid w:val="005F43F2"/>
    <w:rsid w:val="005F43FB"/>
    <w:rsid w:val="005F446B"/>
    <w:rsid w:val="005F453D"/>
    <w:rsid w:val="005F461D"/>
    <w:rsid w:val="005F46CA"/>
    <w:rsid w:val="005F4743"/>
    <w:rsid w:val="005F47A6"/>
    <w:rsid w:val="005F47DB"/>
    <w:rsid w:val="005F4841"/>
    <w:rsid w:val="005F497E"/>
    <w:rsid w:val="005F4A30"/>
    <w:rsid w:val="005F4A5D"/>
    <w:rsid w:val="005F4AD5"/>
    <w:rsid w:val="005F4B1C"/>
    <w:rsid w:val="005F4B41"/>
    <w:rsid w:val="005F4C5A"/>
    <w:rsid w:val="005F4D92"/>
    <w:rsid w:val="005F4DDD"/>
    <w:rsid w:val="005F4DE7"/>
    <w:rsid w:val="005F4E6D"/>
    <w:rsid w:val="005F4EC2"/>
    <w:rsid w:val="005F4ED0"/>
    <w:rsid w:val="005F4F02"/>
    <w:rsid w:val="005F4F46"/>
    <w:rsid w:val="005F50BF"/>
    <w:rsid w:val="005F50CC"/>
    <w:rsid w:val="005F50F9"/>
    <w:rsid w:val="005F516D"/>
    <w:rsid w:val="005F51E5"/>
    <w:rsid w:val="005F521B"/>
    <w:rsid w:val="005F5323"/>
    <w:rsid w:val="005F533B"/>
    <w:rsid w:val="005F53B2"/>
    <w:rsid w:val="005F547B"/>
    <w:rsid w:val="005F54A1"/>
    <w:rsid w:val="005F5582"/>
    <w:rsid w:val="005F56FB"/>
    <w:rsid w:val="005F5722"/>
    <w:rsid w:val="005F57C1"/>
    <w:rsid w:val="005F581E"/>
    <w:rsid w:val="005F584F"/>
    <w:rsid w:val="005F58B4"/>
    <w:rsid w:val="005F58C8"/>
    <w:rsid w:val="005F590D"/>
    <w:rsid w:val="005F5931"/>
    <w:rsid w:val="005F5A4B"/>
    <w:rsid w:val="005F5ABD"/>
    <w:rsid w:val="005F5B66"/>
    <w:rsid w:val="005F5B96"/>
    <w:rsid w:val="005F5CB4"/>
    <w:rsid w:val="005F5D03"/>
    <w:rsid w:val="005F5D4F"/>
    <w:rsid w:val="005F5D93"/>
    <w:rsid w:val="005F5E4F"/>
    <w:rsid w:val="005F5EE4"/>
    <w:rsid w:val="005F5EF2"/>
    <w:rsid w:val="005F5EF6"/>
    <w:rsid w:val="005F5F01"/>
    <w:rsid w:val="005F5F6D"/>
    <w:rsid w:val="005F5F90"/>
    <w:rsid w:val="005F5FD6"/>
    <w:rsid w:val="005F5FFD"/>
    <w:rsid w:val="005F600F"/>
    <w:rsid w:val="005F603B"/>
    <w:rsid w:val="005F60BF"/>
    <w:rsid w:val="005F6113"/>
    <w:rsid w:val="005F6311"/>
    <w:rsid w:val="005F6336"/>
    <w:rsid w:val="005F6390"/>
    <w:rsid w:val="005F6405"/>
    <w:rsid w:val="005F6581"/>
    <w:rsid w:val="005F65A8"/>
    <w:rsid w:val="005F65FE"/>
    <w:rsid w:val="005F668F"/>
    <w:rsid w:val="005F66B2"/>
    <w:rsid w:val="005F66FA"/>
    <w:rsid w:val="005F6700"/>
    <w:rsid w:val="005F6745"/>
    <w:rsid w:val="005F6751"/>
    <w:rsid w:val="005F67BB"/>
    <w:rsid w:val="005F6820"/>
    <w:rsid w:val="005F6891"/>
    <w:rsid w:val="005F68AC"/>
    <w:rsid w:val="005F68BF"/>
    <w:rsid w:val="005F68CB"/>
    <w:rsid w:val="005F69C8"/>
    <w:rsid w:val="005F6A23"/>
    <w:rsid w:val="005F6A4F"/>
    <w:rsid w:val="005F6A5B"/>
    <w:rsid w:val="005F6AA9"/>
    <w:rsid w:val="005F6AF7"/>
    <w:rsid w:val="005F6AFF"/>
    <w:rsid w:val="005F6B1A"/>
    <w:rsid w:val="005F6B30"/>
    <w:rsid w:val="005F6B7B"/>
    <w:rsid w:val="005F6C3F"/>
    <w:rsid w:val="005F6C69"/>
    <w:rsid w:val="005F6CA0"/>
    <w:rsid w:val="005F6D19"/>
    <w:rsid w:val="005F6DCA"/>
    <w:rsid w:val="005F6E57"/>
    <w:rsid w:val="005F6E8D"/>
    <w:rsid w:val="005F6F7F"/>
    <w:rsid w:val="005F6FCC"/>
    <w:rsid w:val="005F7014"/>
    <w:rsid w:val="005F7034"/>
    <w:rsid w:val="005F7084"/>
    <w:rsid w:val="005F709C"/>
    <w:rsid w:val="005F70B6"/>
    <w:rsid w:val="005F70FC"/>
    <w:rsid w:val="005F712C"/>
    <w:rsid w:val="005F724B"/>
    <w:rsid w:val="005F7270"/>
    <w:rsid w:val="005F7287"/>
    <w:rsid w:val="005F7340"/>
    <w:rsid w:val="005F7408"/>
    <w:rsid w:val="005F748E"/>
    <w:rsid w:val="005F7511"/>
    <w:rsid w:val="005F7535"/>
    <w:rsid w:val="005F7575"/>
    <w:rsid w:val="005F7577"/>
    <w:rsid w:val="005F7590"/>
    <w:rsid w:val="005F75FF"/>
    <w:rsid w:val="005F7669"/>
    <w:rsid w:val="005F76CC"/>
    <w:rsid w:val="005F7788"/>
    <w:rsid w:val="005F77BF"/>
    <w:rsid w:val="005F7A4D"/>
    <w:rsid w:val="005F7AE6"/>
    <w:rsid w:val="005F7BF4"/>
    <w:rsid w:val="005F7C4B"/>
    <w:rsid w:val="005F7C68"/>
    <w:rsid w:val="005F7C83"/>
    <w:rsid w:val="005F7C8A"/>
    <w:rsid w:val="005F7CA1"/>
    <w:rsid w:val="005F7CB0"/>
    <w:rsid w:val="005F7CCF"/>
    <w:rsid w:val="005F7CEF"/>
    <w:rsid w:val="005F7D40"/>
    <w:rsid w:val="005F7DC3"/>
    <w:rsid w:val="005F7E56"/>
    <w:rsid w:val="005F7ECE"/>
    <w:rsid w:val="005F7F03"/>
    <w:rsid w:val="005F7F78"/>
    <w:rsid w:val="005F7F87"/>
    <w:rsid w:val="005F7FC7"/>
    <w:rsid w:val="005F7FCD"/>
    <w:rsid w:val="005F7FE2"/>
    <w:rsid w:val="00600002"/>
    <w:rsid w:val="00600005"/>
    <w:rsid w:val="006000BE"/>
    <w:rsid w:val="00600136"/>
    <w:rsid w:val="00600158"/>
    <w:rsid w:val="0060016B"/>
    <w:rsid w:val="006001A1"/>
    <w:rsid w:val="00600296"/>
    <w:rsid w:val="006002F1"/>
    <w:rsid w:val="00600492"/>
    <w:rsid w:val="0060058C"/>
    <w:rsid w:val="0060066A"/>
    <w:rsid w:val="0060078B"/>
    <w:rsid w:val="006007D6"/>
    <w:rsid w:val="00600827"/>
    <w:rsid w:val="006008D8"/>
    <w:rsid w:val="00600924"/>
    <w:rsid w:val="0060098D"/>
    <w:rsid w:val="006009AF"/>
    <w:rsid w:val="00600A81"/>
    <w:rsid w:val="00600AB3"/>
    <w:rsid w:val="00600B6B"/>
    <w:rsid w:val="00600BF8"/>
    <w:rsid w:val="00600C3D"/>
    <w:rsid w:val="00600D59"/>
    <w:rsid w:val="00600D85"/>
    <w:rsid w:val="00600DB8"/>
    <w:rsid w:val="00600DFB"/>
    <w:rsid w:val="00600EF9"/>
    <w:rsid w:val="00600F04"/>
    <w:rsid w:val="00600F3E"/>
    <w:rsid w:val="00601032"/>
    <w:rsid w:val="0060110F"/>
    <w:rsid w:val="006011CD"/>
    <w:rsid w:val="00601217"/>
    <w:rsid w:val="00601250"/>
    <w:rsid w:val="0060129B"/>
    <w:rsid w:val="006012A9"/>
    <w:rsid w:val="006012F9"/>
    <w:rsid w:val="0060133E"/>
    <w:rsid w:val="00601358"/>
    <w:rsid w:val="006013CB"/>
    <w:rsid w:val="006013D7"/>
    <w:rsid w:val="006013F5"/>
    <w:rsid w:val="00601477"/>
    <w:rsid w:val="0060147A"/>
    <w:rsid w:val="0060147C"/>
    <w:rsid w:val="00601576"/>
    <w:rsid w:val="00601622"/>
    <w:rsid w:val="0060162F"/>
    <w:rsid w:val="0060166F"/>
    <w:rsid w:val="00601681"/>
    <w:rsid w:val="00601726"/>
    <w:rsid w:val="00601939"/>
    <w:rsid w:val="00601A38"/>
    <w:rsid w:val="00601A56"/>
    <w:rsid w:val="00601B18"/>
    <w:rsid w:val="00601B1C"/>
    <w:rsid w:val="00601BA2"/>
    <w:rsid w:val="00601BA4"/>
    <w:rsid w:val="00601C5E"/>
    <w:rsid w:val="00601DF8"/>
    <w:rsid w:val="00601E96"/>
    <w:rsid w:val="00601ED3"/>
    <w:rsid w:val="00601EEA"/>
    <w:rsid w:val="00601F2A"/>
    <w:rsid w:val="00601F32"/>
    <w:rsid w:val="00601F7D"/>
    <w:rsid w:val="00601FBD"/>
    <w:rsid w:val="0060200A"/>
    <w:rsid w:val="0060208F"/>
    <w:rsid w:val="006020B3"/>
    <w:rsid w:val="006020D0"/>
    <w:rsid w:val="006021F1"/>
    <w:rsid w:val="00602246"/>
    <w:rsid w:val="006022CC"/>
    <w:rsid w:val="0060236C"/>
    <w:rsid w:val="00602410"/>
    <w:rsid w:val="00602438"/>
    <w:rsid w:val="006024A0"/>
    <w:rsid w:val="006024FF"/>
    <w:rsid w:val="00602591"/>
    <w:rsid w:val="006025BA"/>
    <w:rsid w:val="006025D8"/>
    <w:rsid w:val="0060266C"/>
    <w:rsid w:val="006026CE"/>
    <w:rsid w:val="0060276C"/>
    <w:rsid w:val="00602803"/>
    <w:rsid w:val="00602816"/>
    <w:rsid w:val="006028C5"/>
    <w:rsid w:val="0060292E"/>
    <w:rsid w:val="0060297C"/>
    <w:rsid w:val="00602A29"/>
    <w:rsid w:val="00602A87"/>
    <w:rsid w:val="00602B20"/>
    <w:rsid w:val="00602C14"/>
    <w:rsid w:val="00602CBB"/>
    <w:rsid w:val="00602D0C"/>
    <w:rsid w:val="00602D3F"/>
    <w:rsid w:val="00602D47"/>
    <w:rsid w:val="00602E1F"/>
    <w:rsid w:val="00602E22"/>
    <w:rsid w:val="00602EAC"/>
    <w:rsid w:val="00602EB5"/>
    <w:rsid w:val="00602F5F"/>
    <w:rsid w:val="00602F93"/>
    <w:rsid w:val="00603042"/>
    <w:rsid w:val="00603075"/>
    <w:rsid w:val="006030E9"/>
    <w:rsid w:val="0060317F"/>
    <w:rsid w:val="00603198"/>
    <w:rsid w:val="006031C0"/>
    <w:rsid w:val="0060320D"/>
    <w:rsid w:val="0060323E"/>
    <w:rsid w:val="00603246"/>
    <w:rsid w:val="0060329C"/>
    <w:rsid w:val="006032B7"/>
    <w:rsid w:val="006032B8"/>
    <w:rsid w:val="0060333B"/>
    <w:rsid w:val="00603364"/>
    <w:rsid w:val="00603375"/>
    <w:rsid w:val="006033A7"/>
    <w:rsid w:val="006033DB"/>
    <w:rsid w:val="0060340C"/>
    <w:rsid w:val="00603479"/>
    <w:rsid w:val="00603581"/>
    <w:rsid w:val="006035A7"/>
    <w:rsid w:val="00603652"/>
    <w:rsid w:val="006036BE"/>
    <w:rsid w:val="006038F6"/>
    <w:rsid w:val="006038F9"/>
    <w:rsid w:val="0060395F"/>
    <w:rsid w:val="0060399B"/>
    <w:rsid w:val="006039A2"/>
    <w:rsid w:val="00603A74"/>
    <w:rsid w:val="00603A7F"/>
    <w:rsid w:val="00603AD2"/>
    <w:rsid w:val="00603B4B"/>
    <w:rsid w:val="00603B83"/>
    <w:rsid w:val="00603BC2"/>
    <w:rsid w:val="00603BEF"/>
    <w:rsid w:val="00603C3D"/>
    <w:rsid w:val="00603C7B"/>
    <w:rsid w:val="00603C8C"/>
    <w:rsid w:val="00603CA1"/>
    <w:rsid w:val="00603CCD"/>
    <w:rsid w:val="00603D89"/>
    <w:rsid w:val="00603DA8"/>
    <w:rsid w:val="00603ED4"/>
    <w:rsid w:val="00603EEC"/>
    <w:rsid w:val="00603F32"/>
    <w:rsid w:val="00603FF4"/>
    <w:rsid w:val="0060404F"/>
    <w:rsid w:val="006040C5"/>
    <w:rsid w:val="006040DA"/>
    <w:rsid w:val="006040EA"/>
    <w:rsid w:val="00604109"/>
    <w:rsid w:val="006042D0"/>
    <w:rsid w:val="00604330"/>
    <w:rsid w:val="00604332"/>
    <w:rsid w:val="0060434E"/>
    <w:rsid w:val="00604384"/>
    <w:rsid w:val="006043C3"/>
    <w:rsid w:val="006043E2"/>
    <w:rsid w:val="006044A7"/>
    <w:rsid w:val="00604518"/>
    <w:rsid w:val="00604525"/>
    <w:rsid w:val="0060453C"/>
    <w:rsid w:val="00604567"/>
    <w:rsid w:val="0060457C"/>
    <w:rsid w:val="006045A6"/>
    <w:rsid w:val="006045EA"/>
    <w:rsid w:val="00604605"/>
    <w:rsid w:val="0060465F"/>
    <w:rsid w:val="00604706"/>
    <w:rsid w:val="006047BA"/>
    <w:rsid w:val="006047F3"/>
    <w:rsid w:val="006048DE"/>
    <w:rsid w:val="006049AD"/>
    <w:rsid w:val="00604A4F"/>
    <w:rsid w:val="00604ACF"/>
    <w:rsid w:val="00604B3C"/>
    <w:rsid w:val="00604BCD"/>
    <w:rsid w:val="00604C16"/>
    <w:rsid w:val="00604CC3"/>
    <w:rsid w:val="00604CDC"/>
    <w:rsid w:val="00604D64"/>
    <w:rsid w:val="00604DD4"/>
    <w:rsid w:val="00604E08"/>
    <w:rsid w:val="00604ECC"/>
    <w:rsid w:val="00604EE1"/>
    <w:rsid w:val="00604F00"/>
    <w:rsid w:val="00604FA7"/>
    <w:rsid w:val="0060502E"/>
    <w:rsid w:val="00605031"/>
    <w:rsid w:val="0060507E"/>
    <w:rsid w:val="0060509B"/>
    <w:rsid w:val="0060509C"/>
    <w:rsid w:val="006050EC"/>
    <w:rsid w:val="0060514C"/>
    <w:rsid w:val="00605153"/>
    <w:rsid w:val="006051A1"/>
    <w:rsid w:val="006051E2"/>
    <w:rsid w:val="006051F7"/>
    <w:rsid w:val="00605202"/>
    <w:rsid w:val="00605203"/>
    <w:rsid w:val="0060522B"/>
    <w:rsid w:val="0060522F"/>
    <w:rsid w:val="00605279"/>
    <w:rsid w:val="006052BE"/>
    <w:rsid w:val="006053BC"/>
    <w:rsid w:val="00605419"/>
    <w:rsid w:val="00605485"/>
    <w:rsid w:val="00605566"/>
    <w:rsid w:val="00605583"/>
    <w:rsid w:val="0060566F"/>
    <w:rsid w:val="00605721"/>
    <w:rsid w:val="00605824"/>
    <w:rsid w:val="0060597D"/>
    <w:rsid w:val="00605984"/>
    <w:rsid w:val="006059B7"/>
    <w:rsid w:val="00605A0D"/>
    <w:rsid w:val="00605AB7"/>
    <w:rsid w:val="00605AD7"/>
    <w:rsid w:val="00605B1C"/>
    <w:rsid w:val="00605C36"/>
    <w:rsid w:val="00605CF1"/>
    <w:rsid w:val="00605DA3"/>
    <w:rsid w:val="00605DC8"/>
    <w:rsid w:val="00605DDC"/>
    <w:rsid w:val="00605E7B"/>
    <w:rsid w:val="00605F4E"/>
    <w:rsid w:val="00605F5C"/>
    <w:rsid w:val="0060608A"/>
    <w:rsid w:val="006060B1"/>
    <w:rsid w:val="00606122"/>
    <w:rsid w:val="00606132"/>
    <w:rsid w:val="006061BB"/>
    <w:rsid w:val="0060622A"/>
    <w:rsid w:val="00606283"/>
    <w:rsid w:val="0060628E"/>
    <w:rsid w:val="0060629D"/>
    <w:rsid w:val="0060633F"/>
    <w:rsid w:val="00606365"/>
    <w:rsid w:val="006063A7"/>
    <w:rsid w:val="006063EB"/>
    <w:rsid w:val="00606440"/>
    <w:rsid w:val="0060646B"/>
    <w:rsid w:val="00606572"/>
    <w:rsid w:val="006065BC"/>
    <w:rsid w:val="006065D4"/>
    <w:rsid w:val="00606608"/>
    <w:rsid w:val="0060669B"/>
    <w:rsid w:val="006066BD"/>
    <w:rsid w:val="00606812"/>
    <w:rsid w:val="00606821"/>
    <w:rsid w:val="006068B8"/>
    <w:rsid w:val="006068CD"/>
    <w:rsid w:val="0060691A"/>
    <w:rsid w:val="00606959"/>
    <w:rsid w:val="006069A7"/>
    <w:rsid w:val="006069C6"/>
    <w:rsid w:val="00606A2A"/>
    <w:rsid w:val="00606A9C"/>
    <w:rsid w:val="00606AA2"/>
    <w:rsid w:val="00606AF5"/>
    <w:rsid w:val="00606B8C"/>
    <w:rsid w:val="00606BE3"/>
    <w:rsid w:val="00606C09"/>
    <w:rsid w:val="00606C1D"/>
    <w:rsid w:val="00606C60"/>
    <w:rsid w:val="00606D44"/>
    <w:rsid w:val="00606E44"/>
    <w:rsid w:val="00606E80"/>
    <w:rsid w:val="00606ED7"/>
    <w:rsid w:val="00606FA9"/>
    <w:rsid w:val="00606FC1"/>
    <w:rsid w:val="00606FFB"/>
    <w:rsid w:val="00607019"/>
    <w:rsid w:val="0060705B"/>
    <w:rsid w:val="0060709C"/>
    <w:rsid w:val="0060711B"/>
    <w:rsid w:val="00607137"/>
    <w:rsid w:val="0060713D"/>
    <w:rsid w:val="0060716D"/>
    <w:rsid w:val="0060721E"/>
    <w:rsid w:val="00607232"/>
    <w:rsid w:val="00607244"/>
    <w:rsid w:val="00607395"/>
    <w:rsid w:val="006073DC"/>
    <w:rsid w:val="006073DD"/>
    <w:rsid w:val="006073E2"/>
    <w:rsid w:val="006074B6"/>
    <w:rsid w:val="00607521"/>
    <w:rsid w:val="00607530"/>
    <w:rsid w:val="006075F5"/>
    <w:rsid w:val="006076D4"/>
    <w:rsid w:val="00607712"/>
    <w:rsid w:val="0060771A"/>
    <w:rsid w:val="0060774A"/>
    <w:rsid w:val="00607754"/>
    <w:rsid w:val="0060782E"/>
    <w:rsid w:val="00607852"/>
    <w:rsid w:val="006078FE"/>
    <w:rsid w:val="006079C9"/>
    <w:rsid w:val="00607A02"/>
    <w:rsid w:val="00607A7D"/>
    <w:rsid w:val="00607B07"/>
    <w:rsid w:val="00607B29"/>
    <w:rsid w:val="00607BC0"/>
    <w:rsid w:val="00607BD0"/>
    <w:rsid w:val="00607CD8"/>
    <w:rsid w:val="00607D1E"/>
    <w:rsid w:val="00607D23"/>
    <w:rsid w:val="00607D56"/>
    <w:rsid w:val="00607DAD"/>
    <w:rsid w:val="00607E00"/>
    <w:rsid w:val="00607E12"/>
    <w:rsid w:val="00607E68"/>
    <w:rsid w:val="00607EBC"/>
    <w:rsid w:val="00607EC7"/>
    <w:rsid w:val="00607F59"/>
    <w:rsid w:val="00607F93"/>
    <w:rsid w:val="00607FC4"/>
    <w:rsid w:val="00610173"/>
    <w:rsid w:val="006101F5"/>
    <w:rsid w:val="0061021E"/>
    <w:rsid w:val="00610232"/>
    <w:rsid w:val="00610340"/>
    <w:rsid w:val="006103ED"/>
    <w:rsid w:val="0061044E"/>
    <w:rsid w:val="00610459"/>
    <w:rsid w:val="0061045E"/>
    <w:rsid w:val="00610477"/>
    <w:rsid w:val="0061051B"/>
    <w:rsid w:val="00610523"/>
    <w:rsid w:val="00610541"/>
    <w:rsid w:val="0061055F"/>
    <w:rsid w:val="00610581"/>
    <w:rsid w:val="0061064F"/>
    <w:rsid w:val="00610665"/>
    <w:rsid w:val="00610724"/>
    <w:rsid w:val="00610765"/>
    <w:rsid w:val="0061081B"/>
    <w:rsid w:val="006108EF"/>
    <w:rsid w:val="00610930"/>
    <w:rsid w:val="00610A2F"/>
    <w:rsid w:val="00610A43"/>
    <w:rsid w:val="00610A76"/>
    <w:rsid w:val="00610A97"/>
    <w:rsid w:val="00610AD0"/>
    <w:rsid w:val="00610AD7"/>
    <w:rsid w:val="00610B5D"/>
    <w:rsid w:val="00610C11"/>
    <w:rsid w:val="00610C3B"/>
    <w:rsid w:val="00610CDC"/>
    <w:rsid w:val="00610DAA"/>
    <w:rsid w:val="00610E37"/>
    <w:rsid w:val="00610F1A"/>
    <w:rsid w:val="00610F31"/>
    <w:rsid w:val="00610F9E"/>
    <w:rsid w:val="00610FE0"/>
    <w:rsid w:val="0061114B"/>
    <w:rsid w:val="00611171"/>
    <w:rsid w:val="0061124D"/>
    <w:rsid w:val="006112A8"/>
    <w:rsid w:val="006112B1"/>
    <w:rsid w:val="006112F1"/>
    <w:rsid w:val="00611311"/>
    <w:rsid w:val="00611340"/>
    <w:rsid w:val="006113FE"/>
    <w:rsid w:val="00611407"/>
    <w:rsid w:val="006114A5"/>
    <w:rsid w:val="006114F4"/>
    <w:rsid w:val="00611656"/>
    <w:rsid w:val="0061168C"/>
    <w:rsid w:val="006116FB"/>
    <w:rsid w:val="0061170D"/>
    <w:rsid w:val="00611797"/>
    <w:rsid w:val="006117DE"/>
    <w:rsid w:val="006117E4"/>
    <w:rsid w:val="00611836"/>
    <w:rsid w:val="006118D1"/>
    <w:rsid w:val="006118F9"/>
    <w:rsid w:val="006119D0"/>
    <w:rsid w:val="00611A3C"/>
    <w:rsid w:val="00611A5C"/>
    <w:rsid w:val="00611A7E"/>
    <w:rsid w:val="00611AFC"/>
    <w:rsid w:val="00611B42"/>
    <w:rsid w:val="00611C55"/>
    <w:rsid w:val="00611C58"/>
    <w:rsid w:val="00611CE7"/>
    <w:rsid w:val="00611DA6"/>
    <w:rsid w:val="00611DD5"/>
    <w:rsid w:val="00611E70"/>
    <w:rsid w:val="00611EDE"/>
    <w:rsid w:val="00611EF3"/>
    <w:rsid w:val="00611F1A"/>
    <w:rsid w:val="00611F5C"/>
    <w:rsid w:val="00611F8E"/>
    <w:rsid w:val="00612089"/>
    <w:rsid w:val="006121B7"/>
    <w:rsid w:val="006121EA"/>
    <w:rsid w:val="006122DE"/>
    <w:rsid w:val="00612314"/>
    <w:rsid w:val="00612322"/>
    <w:rsid w:val="0061247D"/>
    <w:rsid w:val="006124E3"/>
    <w:rsid w:val="006125D7"/>
    <w:rsid w:val="006125DC"/>
    <w:rsid w:val="00612614"/>
    <w:rsid w:val="00612646"/>
    <w:rsid w:val="006126F2"/>
    <w:rsid w:val="00612763"/>
    <w:rsid w:val="0061277B"/>
    <w:rsid w:val="006128F0"/>
    <w:rsid w:val="00612900"/>
    <w:rsid w:val="00612910"/>
    <w:rsid w:val="00612952"/>
    <w:rsid w:val="006129AC"/>
    <w:rsid w:val="006129B9"/>
    <w:rsid w:val="00612A4F"/>
    <w:rsid w:val="00612A7C"/>
    <w:rsid w:val="00612AFA"/>
    <w:rsid w:val="00612B24"/>
    <w:rsid w:val="00612B84"/>
    <w:rsid w:val="00612C5A"/>
    <w:rsid w:val="00612CCF"/>
    <w:rsid w:val="00612D3D"/>
    <w:rsid w:val="00612D53"/>
    <w:rsid w:val="00612D71"/>
    <w:rsid w:val="00612D88"/>
    <w:rsid w:val="00612D94"/>
    <w:rsid w:val="00612DEF"/>
    <w:rsid w:val="00612DFB"/>
    <w:rsid w:val="00612E0E"/>
    <w:rsid w:val="00612E2C"/>
    <w:rsid w:val="00612E5E"/>
    <w:rsid w:val="00612E68"/>
    <w:rsid w:val="00612EB3"/>
    <w:rsid w:val="00612EED"/>
    <w:rsid w:val="00612F26"/>
    <w:rsid w:val="00612F65"/>
    <w:rsid w:val="00612FD8"/>
    <w:rsid w:val="00612FF9"/>
    <w:rsid w:val="00613019"/>
    <w:rsid w:val="00613088"/>
    <w:rsid w:val="006130B7"/>
    <w:rsid w:val="006130E8"/>
    <w:rsid w:val="0061310C"/>
    <w:rsid w:val="00613117"/>
    <w:rsid w:val="00613179"/>
    <w:rsid w:val="00613188"/>
    <w:rsid w:val="00613189"/>
    <w:rsid w:val="0061328E"/>
    <w:rsid w:val="0061330C"/>
    <w:rsid w:val="00613333"/>
    <w:rsid w:val="006133A1"/>
    <w:rsid w:val="006133CE"/>
    <w:rsid w:val="00613451"/>
    <w:rsid w:val="00613482"/>
    <w:rsid w:val="006134B3"/>
    <w:rsid w:val="006134DD"/>
    <w:rsid w:val="00613508"/>
    <w:rsid w:val="0061351D"/>
    <w:rsid w:val="00613524"/>
    <w:rsid w:val="00613597"/>
    <w:rsid w:val="0061368A"/>
    <w:rsid w:val="0061369C"/>
    <w:rsid w:val="006136A1"/>
    <w:rsid w:val="00613727"/>
    <w:rsid w:val="00613787"/>
    <w:rsid w:val="0061394F"/>
    <w:rsid w:val="006139AD"/>
    <w:rsid w:val="006139BC"/>
    <w:rsid w:val="006139E1"/>
    <w:rsid w:val="00613A3B"/>
    <w:rsid w:val="00613A3D"/>
    <w:rsid w:val="00613A4F"/>
    <w:rsid w:val="00613A92"/>
    <w:rsid w:val="00613AFF"/>
    <w:rsid w:val="00613B18"/>
    <w:rsid w:val="00613B61"/>
    <w:rsid w:val="00613BBB"/>
    <w:rsid w:val="00613BF0"/>
    <w:rsid w:val="00613C6F"/>
    <w:rsid w:val="00613C8F"/>
    <w:rsid w:val="00613CE6"/>
    <w:rsid w:val="00613D87"/>
    <w:rsid w:val="00613E58"/>
    <w:rsid w:val="00613E98"/>
    <w:rsid w:val="00613EA9"/>
    <w:rsid w:val="00613F20"/>
    <w:rsid w:val="00613F7F"/>
    <w:rsid w:val="00613F80"/>
    <w:rsid w:val="00613F9B"/>
    <w:rsid w:val="006140BE"/>
    <w:rsid w:val="0061410C"/>
    <w:rsid w:val="00614164"/>
    <w:rsid w:val="0061422E"/>
    <w:rsid w:val="00614287"/>
    <w:rsid w:val="006142AA"/>
    <w:rsid w:val="0061431A"/>
    <w:rsid w:val="006143B1"/>
    <w:rsid w:val="006143C9"/>
    <w:rsid w:val="006143D0"/>
    <w:rsid w:val="0061442E"/>
    <w:rsid w:val="006144E4"/>
    <w:rsid w:val="0061450A"/>
    <w:rsid w:val="006145A9"/>
    <w:rsid w:val="00614606"/>
    <w:rsid w:val="0061462F"/>
    <w:rsid w:val="00614655"/>
    <w:rsid w:val="0061465E"/>
    <w:rsid w:val="00614660"/>
    <w:rsid w:val="00614670"/>
    <w:rsid w:val="00614686"/>
    <w:rsid w:val="006146CB"/>
    <w:rsid w:val="006146DC"/>
    <w:rsid w:val="006149C3"/>
    <w:rsid w:val="006149ED"/>
    <w:rsid w:val="006149F1"/>
    <w:rsid w:val="00614A20"/>
    <w:rsid w:val="00614A30"/>
    <w:rsid w:val="00614A5A"/>
    <w:rsid w:val="00614A99"/>
    <w:rsid w:val="00614B29"/>
    <w:rsid w:val="00614BC2"/>
    <w:rsid w:val="00614C2E"/>
    <w:rsid w:val="00614C96"/>
    <w:rsid w:val="00614D58"/>
    <w:rsid w:val="00614D74"/>
    <w:rsid w:val="00614DB5"/>
    <w:rsid w:val="00614E3F"/>
    <w:rsid w:val="00614E5A"/>
    <w:rsid w:val="00614E9B"/>
    <w:rsid w:val="00614EAB"/>
    <w:rsid w:val="00614EE9"/>
    <w:rsid w:val="00614F12"/>
    <w:rsid w:val="00614F3D"/>
    <w:rsid w:val="00614F61"/>
    <w:rsid w:val="00614F97"/>
    <w:rsid w:val="006150B2"/>
    <w:rsid w:val="00615127"/>
    <w:rsid w:val="0061518C"/>
    <w:rsid w:val="00615195"/>
    <w:rsid w:val="0061519F"/>
    <w:rsid w:val="006151A7"/>
    <w:rsid w:val="006151C8"/>
    <w:rsid w:val="00615250"/>
    <w:rsid w:val="0061532B"/>
    <w:rsid w:val="006153A8"/>
    <w:rsid w:val="006153B8"/>
    <w:rsid w:val="00615429"/>
    <w:rsid w:val="0061542B"/>
    <w:rsid w:val="0061543C"/>
    <w:rsid w:val="00615475"/>
    <w:rsid w:val="006154CE"/>
    <w:rsid w:val="006154FC"/>
    <w:rsid w:val="00615540"/>
    <w:rsid w:val="00615564"/>
    <w:rsid w:val="00615587"/>
    <w:rsid w:val="006155F7"/>
    <w:rsid w:val="00615603"/>
    <w:rsid w:val="006156C6"/>
    <w:rsid w:val="006156D9"/>
    <w:rsid w:val="0061579F"/>
    <w:rsid w:val="006157D2"/>
    <w:rsid w:val="006157EA"/>
    <w:rsid w:val="006158AC"/>
    <w:rsid w:val="0061590F"/>
    <w:rsid w:val="00615941"/>
    <w:rsid w:val="00615954"/>
    <w:rsid w:val="00615A4D"/>
    <w:rsid w:val="00615BF6"/>
    <w:rsid w:val="00615C96"/>
    <w:rsid w:val="00615D0B"/>
    <w:rsid w:val="00615D51"/>
    <w:rsid w:val="00615D71"/>
    <w:rsid w:val="00615E0B"/>
    <w:rsid w:val="00615E0C"/>
    <w:rsid w:val="00615E4B"/>
    <w:rsid w:val="00615F18"/>
    <w:rsid w:val="00615F2A"/>
    <w:rsid w:val="00615F3A"/>
    <w:rsid w:val="00615F54"/>
    <w:rsid w:val="00615F74"/>
    <w:rsid w:val="006160F8"/>
    <w:rsid w:val="006161A0"/>
    <w:rsid w:val="006161FB"/>
    <w:rsid w:val="00616215"/>
    <w:rsid w:val="0061622C"/>
    <w:rsid w:val="0061626C"/>
    <w:rsid w:val="00616291"/>
    <w:rsid w:val="00616292"/>
    <w:rsid w:val="006162DE"/>
    <w:rsid w:val="00616384"/>
    <w:rsid w:val="00616418"/>
    <w:rsid w:val="00616429"/>
    <w:rsid w:val="006164BF"/>
    <w:rsid w:val="00616518"/>
    <w:rsid w:val="00616615"/>
    <w:rsid w:val="00616634"/>
    <w:rsid w:val="0061671A"/>
    <w:rsid w:val="006167B0"/>
    <w:rsid w:val="006167C9"/>
    <w:rsid w:val="006167FD"/>
    <w:rsid w:val="006167FE"/>
    <w:rsid w:val="0061690C"/>
    <w:rsid w:val="00616940"/>
    <w:rsid w:val="00616943"/>
    <w:rsid w:val="006169C4"/>
    <w:rsid w:val="00616A43"/>
    <w:rsid w:val="00616A78"/>
    <w:rsid w:val="00616AC2"/>
    <w:rsid w:val="00616B2C"/>
    <w:rsid w:val="00616B89"/>
    <w:rsid w:val="00616BA9"/>
    <w:rsid w:val="00616BDC"/>
    <w:rsid w:val="00616C13"/>
    <w:rsid w:val="00616C52"/>
    <w:rsid w:val="00616D02"/>
    <w:rsid w:val="00616D16"/>
    <w:rsid w:val="00616D18"/>
    <w:rsid w:val="00616D2B"/>
    <w:rsid w:val="00616D70"/>
    <w:rsid w:val="00616DAE"/>
    <w:rsid w:val="00616E58"/>
    <w:rsid w:val="00616EC8"/>
    <w:rsid w:val="00616F26"/>
    <w:rsid w:val="00616F97"/>
    <w:rsid w:val="00616FDE"/>
    <w:rsid w:val="00617002"/>
    <w:rsid w:val="0061701C"/>
    <w:rsid w:val="00617041"/>
    <w:rsid w:val="0061707E"/>
    <w:rsid w:val="006170FE"/>
    <w:rsid w:val="00617155"/>
    <w:rsid w:val="0061717E"/>
    <w:rsid w:val="006171E6"/>
    <w:rsid w:val="0061723C"/>
    <w:rsid w:val="00617273"/>
    <w:rsid w:val="006172CB"/>
    <w:rsid w:val="006173AA"/>
    <w:rsid w:val="006173B3"/>
    <w:rsid w:val="00617489"/>
    <w:rsid w:val="00617499"/>
    <w:rsid w:val="006174B2"/>
    <w:rsid w:val="006174CF"/>
    <w:rsid w:val="006174E3"/>
    <w:rsid w:val="0061763D"/>
    <w:rsid w:val="0061765A"/>
    <w:rsid w:val="006177E8"/>
    <w:rsid w:val="006178AA"/>
    <w:rsid w:val="0061797A"/>
    <w:rsid w:val="006179AA"/>
    <w:rsid w:val="00617A14"/>
    <w:rsid w:val="00617A56"/>
    <w:rsid w:val="00617B37"/>
    <w:rsid w:val="00617C9C"/>
    <w:rsid w:val="00617D38"/>
    <w:rsid w:val="00617D41"/>
    <w:rsid w:val="00617DF9"/>
    <w:rsid w:val="00617E42"/>
    <w:rsid w:val="00617E4A"/>
    <w:rsid w:val="00617E72"/>
    <w:rsid w:val="00617E9A"/>
    <w:rsid w:val="00617EB3"/>
    <w:rsid w:val="00617F1A"/>
    <w:rsid w:val="00617F71"/>
    <w:rsid w:val="00617FAB"/>
    <w:rsid w:val="00620083"/>
    <w:rsid w:val="006200C1"/>
    <w:rsid w:val="00620128"/>
    <w:rsid w:val="0062016A"/>
    <w:rsid w:val="006201E3"/>
    <w:rsid w:val="0062026E"/>
    <w:rsid w:val="006202A2"/>
    <w:rsid w:val="006202A8"/>
    <w:rsid w:val="006202B4"/>
    <w:rsid w:val="0062033F"/>
    <w:rsid w:val="00620401"/>
    <w:rsid w:val="00620436"/>
    <w:rsid w:val="00620473"/>
    <w:rsid w:val="006204BC"/>
    <w:rsid w:val="006204C8"/>
    <w:rsid w:val="006204DD"/>
    <w:rsid w:val="006204F6"/>
    <w:rsid w:val="0062053F"/>
    <w:rsid w:val="00620589"/>
    <w:rsid w:val="00620676"/>
    <w:rsid w:val="006206F6"/>
    <w:rsid w:val="00620723"/>
    <w:rsid w:val="00620740"/>
    <w:rsid w:val="006208B7"/>
    <w:rsid w:val="0062094C"/>
    <w:rsid w:val="006209A5"/>
    <w:rsid w:val="006209BD"/>
    <w:rsid w:val="006209BF"/>
    <w:rsid w:val="00620AA6"/>
    <w:rsid w:val="00620B31"/>
    <w:rsid w:val="00620B86"/>
    <w:rsid w:val="00620BD8"/>
    <w:rsid w:val="00620BEB"/>
    <w:rsid w:val="00620BF0"/>
    <w:rsid w:val="00620BF5"/>
    <w:rsid w:val="00620C0F"/>
    <w:rsid w:val="00620C23"/>
    <w:rsid w:val="00620C3E"/>
    <w:rsid w:val="00620C87"/>
    <w:rsid w:val="00620CA1"/>
    <w:rsid w:val="00620CB7"/>
    <w:rsid w:val="00620CBA"/>
    <w:rsid w:val="00620CC0"/>
    <w:rsid w:val="00620D56"/>
    <w:rsid w:val="00620D57"/>
    <w:rsid w:val="00620D94"/>
    <w:rsid w:val="00620D9C"/>
    <w:rsid w:val="00620DCE"/>
    <w:rsid w:val="00620E59"/>
    <w:rsid w:val="00620E6E"/>
    <w:rsid w:val="00620E8A"/>
    <w:rsid w:val="00620EED"/>
    <w:rsid w:val="00620EFD"/>
    <w:rsid w:val="00621038"/>
    <w:rsid w:val="00621053"/>
    <w:rsid w:val="006210A0"/>
    <w:rsid w:val="0062110B"/>
    <w:rsid w:val="00621131"/>
    <w:rsid w:val="00621153"/>
    <w:rsid w:val="00621177"/>
    <w:rsid w:val="006211F6"/>
    <w:rsid w:val="00621281"/>
    <w:rsid w:val="006212F1"/>
    <w:rsid w:val="00621318"/>
    <w:rsid w:val="00621337"/>
    <w:rsid w:val="0062135E"/>
    <w:rsid w:val="006213E7"/>
    <w:rsid w:val="006213F9"/>
    <w:rsid w:val="00621405"/>
    <w:rsid w:val="0062142F"/>
    <w:rsid w:val="00621474"/>
    <w:rsid w:val="006214EC"/>
    <w:rsid w:val="00621672"/>
    <w:rsid w:val="006216BE"/>
    <w:rsid w:val="006216EE"/>
    <w:rsid w:val="00621769"/>
    <w:rsid w:val="00621777"/>
    <w:rsid w:val="0062178B"/>
    <w:rsid w:val="00621817"/>
    <w:rsid w:val="0062186B"/>
    <w:rsid w:val="00621968"/>
    <w:rsid w:val="006219A2"/>
    <w:rsid w:val="00621A34"/>
    <w:rsid w:val="00621AA7"/>
    <w:rsid w:val="00621C15"/>
    <w:rsid w:val="00621C7A"/>
    <w:rsid w:val="00621D33"/>
    <w:rsid w:val="00621D54"/>
    <w:rsid w:val="00621DA6"/>
    <w:rsid w:val="00621DDA"/>
    <w:rsid w:val="00621DE2"/>
    <w:rsid w:val="00621E89"/>
    <w:rsid w:val="00621ED6"/>
    <w:rsid w:val="00621F2E"/>
    <w:rsid w:val="00621F49"/>
    <w:rsid w:val="00621F5F"/>
    <w:rsid w:val="00621F62"/>
    <w:rsid w:val="00621FCC"/>
    <w:rsid w:val="00621FE8"/>
    <w:rsid w:val="006220C4"/>
    <w:rsid w:val="006220E7"/>
    <w:rsid w:val="00622120"/>
    <w:rsid w:val="00622175"/>
    <w:rsid w:val="00622202"/>
    <w:rsid w:val="00622214"/>
    <w:rsid w:val="00622327"/>
    <w:rsid w:val="006223E1"/>
    <w:rsid w:val="006224FC"/>
    <w:rsid w:val="00622520"/>
    <w:rsid w:val="0062255A"/>
    <w:rsid w:val="006225DD"/>
    <w:rsid w:val="00622643"/>
    <w:rsid w:val="00622648"/>
    <w:rsid w:val="0062268B"/>
    <w:rsid w:val="00622794"/>
    <w:rsid w:val="00622857"/>
    <w:rsid w:val="0062290E"/>
    <w:rsid w:val="00622926"/>
    <w:rsid w:val="0062293C"/>
    <w:rsid w:val="006229BB"/>
    <w:rsid w:val="00622A62"/>
    <w:rsid w:val="00622AB1"/>
    <w:rsid w:val="00622AC6"/>
    <w:rsid w:val="00622C01"/>
    <w:rsid w:val="00622D38"/>
    <w:rsid w:val="00622D59"/>
    <w:rsid w:val="00622DC7"/>
    <w:rsid w:val="00622E04"/>
    <w:rsid w:val="00622E46"/>
    <w:rsid w:val="00622E74"/>
    <w:rsid w:val="00622E9D"/>
    <w:rsid w:val="00622ECE"/>
    <w:rsid w:val="00622FBB"/>
    <w:rsid w:val="00623020"/>
    <w:rsid w:val="00623068"/>
    <w:rsid w:val="006230B4"/>
    <w:rsid w:val="006230C4"/>
    <w:rsid w:val="0062310D"/>
    <w:rsid w:val="0062312B"/>
    <w:rsid w:val="0062313C"/>
    <w:rsid w:val="00623189"/>
    <w:rsid w:val="006231A9"/>
    <w:rsid w:val="00623248"/>
    <w:rsid w:val="0062339D"/>
    <w:rsid w:val="00623412"/>
    <w:rsid w:val="00623511"/>
    <w:rsid w:val="00623549"/>
    <w:rsid w:val="006235CF"/>
    <w:rsid w:val="00623609"/>
    <w:rsid w:val="00623654"/>
    <w:rsid w:val="006236CC"/>
    <w:rsid w:val="00623733"/>
    <w:rsid w:val="00623739"/>
    <w:rsid w:val="00623742"/>
    <w:rsid w:val="006237AA"/>
    <w:rsid w:val="006237E0"/>
    <w:rsid w:val="0062380E"/>
    <w:rsid w:val="00623812"/>
    <w:rsid w:val="0062381F"/>
    <w:rsid w:val="00623912"/>
    <w:rsid w:val="0062395C"/>
    <w:rsid w:val="006239BB"/>
    <w:rsid w:val="006239F6"/>
    <w:rsid w:val="00623A32"/>
    <w:rsid w:val="00623ABA"/>
    <w:rsid w:val="00623B25"/>
    <w:rsid w:val="00623B72"/>
    <w:rsid w:val="00623B7A"/>
    <w:rsid w:val="00623C6F"/>
    <w:rsid w:val="00623D07"/>
    <w:rsid w:val="00623D33"/>
    <w:rsid w:val="00623D4C"/>
    <w:rsid w:val="00623D7B"/>
    <w:rsid w:val="00623D8B"/>
    <w:rsid w:val="00623D9B"/>
    <w:rsid w:val="00623D9D"/>
    <w:rsid w:val="00623DA2"/>
    <w:rsid w:val="00623DBB"/>
    <w:rsid w:val="00623E5B"/>
    <w:rsid w:val="00623EC8"/>
    <w:rsid w:val="00623EE2"/>
    <w:rsid w:val="00623F1C"/>
    <w:rsid w:val="00623F27"/>
    <w:rsid w:val="00623F8F"/>
    <w:rsid w:val="00623FB2"/>
    <w:rsid w:val="00623FD2"/>
    <w:rsid w:val="00624093"/>
    <w:rsid w:val="00624149"/>
    <w:rsid w:val="006241AD"/>
    <w:rsid w:val="006241BE"/>
    <w:rsid w:val="0062426B"/>
    <w:rsid w:val="006242EC"/>
    <w:rsid w:val="00624314"/>
    <w:rsid w:val="00624321"/>
    <w:rsid w:val="0062449F"/>
    <w:rsid w:val="006244B0"/>
    <w:rsid w:val="006244B2"/>
    <w:rsid w:val="00624540"/>
    <w:rsid w:val="006245C4"/>
    <w:rsid w:val="006246E5"/>
    <w:rsid w:val="00624755"/>
    <w:rsid w:val="006247B4"/>
    <w:rsid w:val="00624883"/>
    <w:rsid w:val="00624884"/>
    <w:rsid w:val="006248BE"/>
    <w:rsid w:val="006248F9"/>
    <w:rsid w:val="00624925"/>
    <w:rsid w:val="00624994"/>
    <w:rsid w:val="006249B2"/>
    <w:rsid w:val="00624AF2"/>
    <w:rsid w:val="00624B47"/>
    <w:rsid w:val="00624B74"/>
    <w:rsid w:val="00624BF7"/>
    <w:rsid w:val="00624CD8"/>
    <w:rsid w:val="00624E19"/>
    <w:rsid w:val="00624EDE"/>
    <w:rsid w:val="00624F16"/>
    <w:rsid w:val="00624FE8"/>
    <w:rsid w:val="00624FFB"/>
    <w:rsid w:val="0062508B"/>
    <w:rsid w:val="006250FD"/>
    <w:rsid w:val="00625195"/>
    <w:rsid w:val="00625277"/>
    <w:rsid w:val="00625346"/>
    <w:rsid w:val="0062554B"/>
    <w:rsid w:val="00625591"/>
    <w:rsid w:val="0062569C"/>
    <w:rsid w:val="006256F1"/>
    <w:rsid w:val="00625821"/>
    <w:rsid w:val="00625838"/>
    <w:rsid w:val="00625903"/>
    <w:rsid w:val="00625960"/>
    <w:rsid w:val="00625992"/>
    <w:rsid w:val="00625ABB"/>
    <w:rsid w:val="00625AEF"/>
    <w:rsid w:val="00625AF0"/>
    <w:rsid w:val="00625B80"/>
    <w:rsid w:val="00625BB5"/>
    <w:rsid w:val="00625BCB"/>
    <w:rsid w:val="00625BCD"/>
    <w:rsid w:val="00625BE6"/>
    <w:rsid w:val="00625C6E"/>
    <w:rsid w:val="00625C92"/>
    <w:rsid w:val="00625D0A"/>
    <w:rsid w:val="00625D3F"/>
    <w:rsid w:val="00625DEE"/>
    <w:rsid w:val="00625E16"/>
    <w:rsid w:val="00625EEA"/>
    <w:rsid w:val="00625FA5"/>
    <w:rsid w:val="00625FE8"/>
    <w:rsid w:val="0062603A"/>
    <w:rsid w:val="0062608C"/>
    <w:rsid w:val="006260B9"/>
    <w:rsid w:val="00626141"/>
    <w:rsid w:val="0062614A"/>
    <w:rsid w:val="00626157"/>
    <w:rsid w:val="0062615D"/>
    <w:rsid w:val="00626184"/>
    <w:rsid w:val="0062625F"/>
    <w:rsid w:val="00626294"/>
    <w:rsid w:val="0062629F"/>
    <w:rsid w:val="006262A1"/>
    <w:rsid w:val="006262AE"/>
    <w:rsid w:val="006262D3"/>
    <w:rsid w:val="0062631F"/>
    <w:rsid w:val="00626376"/>
    <w:rsid w:val="00626383"/>
    <w:rsid w:val="00626397"/>
    <w:rsid w:val="00626479"/>
    <w:rsid w:val="006264B3"/>
    <w:rsid w:val="006264E2"/>
    <w:rsid w:val="006264EE"/>
    <w:rsid w:val="006266A8"/>
    <w:rsid w:val="006266D1"/>
    <w:rsid w:val="006266D9"/>
    <w:rsid w:val="00626714"/>
    <w:rsid w:val="0062678B"/>
    <w:rsid w:val="006267E7"/>
    <w:rsid w:val="0062683D"/>
    <w:rsid w:val="0062685B"/>
    <w:rsid w:val="00626888"/>
    <w:rsid w:val="00626890"/>
    <w:rsid w:val="00626945"/>
    <w:rsid w:val="0062696C"/>
    <w:rsid w:val="006269A9"/>
    <w:rsid w:val="006269B0"/>
    <w:rsid w:val="00626A09"/>
    <w:rsid w:val="00626AD0"/>
    <w:rsid w:val="00626AD1"/>
    <w:rsid w:val="00626AE6"/>
    <w:rsid w:val="00626B3D"/>
    <w:rsid w:val="00626C02"/>
    <w:rsid w:val="00626C2E"/>
    <w:rsid w:val="00626C32"/>
    <w:rsid w:val="00626C48"/>
    <w:rsid w:val="00626C74"/>
    <w:rsid w:val="00626CDA"/>
    <w:rsid w:val="00626D04"/>
    <w:rsid w:val="00626D77"/>
    <w:rsid w:val="00626D98"/>
    <w:rsid w:val="00626E5B"/>
    <w:rsid w:val="00626F31"/>
    <w:rsid w:val="00626FA1"/>
    <w:rsid w:val="0062701B"/>
    <w:rsid w:val="00627097"/>
    <w:rsid w:val="006270FF"/>
    <w:rsid w:val="00627178"/>
    <w:rsid w:val="00627327"/>
    <w:rsid w:val="006273DB"/>
    <w:rsid w:val="006273E0"/>
    <w:rsid w:val="006273E3"/>
    <w:rsid w:val="0062742F"/>
    <w:rsid w:val="00627475"/>
    <w:rsid w:val="00627537"/>
    <w:rsid w:val="00627542"/>
    <w:rsid w:val="006275CF"/>
    <w:rsid w:val="00627619"/>
    <w:rsid w:val="0062762D"/>
    <w:rsid w:val="0062767D"/>
    <w:rsid w:val="0062770A"/>
    <w:rsid w:val="006277AD"/>
    <w:rsid w:val="006277DC"/>
    <w:rsid w:val="00627808"/>
    <w:rsid w:val="0062790F"/>
    <w:rsid w:val="00627920"/>
    <w:rsid w:val="00627960"/>
    <w:rsid w:val="00627967"/>
    <w:rsid w:val="00627978"/>
    <w:rsid w:val="00627992"/>
    <w:rsid w:val="006279A3"/>
    <w:rsid w:val="006279AB"/>
    <w:rsid w:val="006279AD"/>
    <w:rsid w:val="00627A00"/>
    <w:rsid w:val="00627A09"/>
    <w:rsid w:val="00627A1B"/>
    <w:rsid w:val="00627A89"/>
    <w:rsid w:val="00627B01"/>
    <w:rsid w:val="00627B5A"/>
    <w:rsid w:val="00627BA3"/>
    <w:rsid w:val="00627C35"/>
    <w:rsid w:val="00627C84"/>
    <w:rsid w:val="00627C95"/>
    <w:rsid w:val="00627CBE"/>
    <w:rsid w:val="00627CCE"/>
    <w:rsid w:val="00627D50"/>
    <w:rsid w:val="00627E99"/>
    <w:rsid w:val="00627EF4"/>
    <w:rsid w:val="00627F81"/>
    <w:rsid w:val="00627F8F"/>
    <w:rsid w:val="00630029"/>
    <w:rsid w:val="0063007E"/>
    <w:rsid w:val="00630129"/>
    <w:rsid w:val="006301C1"/>
    <w:rsid w:val="006301C4"/>
    <w:rsid w:val="00630227"/>
    <w:rsid w:val="006302A0"/>
    <w:rsid w:val="006302B6"/>
    <w:rsid w:val="0063031B"/>
    <w:rsid w:val="006303A0"/>
    <w:rsid w:val="006303D3"/>
    <w:rsid w:val="006304EC"/>
    <w:rsid w:val="0063053D"/>
    <w:rsid w:val="00630576"/>
    <w:rsid w:val="006305FD"/>
    <w:rsid w:val="00630625"/>
    <w:rsid w:val="00630671"/>
    <w:rsid w:val="006306B6"/>
    <w:rsid w:val="006306E4"/>
    <w:rsid w:val="006306F3"/>
    <w:rsid w:val="00630713"/>
    <w:rsid w:val="00630764"/>
    <w:rsid w:val="006307F4"/>
    <w:rsid w:val="006307F9"/>
    <w:rsid w:val="00630865"/>
    <w:rsid w:val="006308C2"/>
    <w:rsid w:val="00630935"/>
    <w:rsid w:val="00630937"/>
    <w:rsid w:val="00630976"/>
    <w:rsid w:val="00630991"/>
    <w:rsid w:val="00630996"/>
    <w:rsid w:val="006309BE"/>
    <w:rsid w:val="006309E7"/>
    <w:rsid w:val="006309FB"/>
    <w:rsid w:val="00630A7E"/>
    <w:rsid w:val="00630B48"/>
    <w:rsid w:val="00630B61"/>
    <w:rsid w:val="00630BB4"/>
    <w:rsid w:val="00630C0D"/>
    <w:rsid w:val="00630C5E"/>
    <w:rsid w:val="00630C94"/>
    <w:rsid w:val="00630CEE"/>
    <w:rsid w:val="00630E9C"/>
    <w:rsid w:val="00630F4D"/>
    <w:rsid w:val="00630F9B"/>
    <w:rsid w:val="00630FE7"/>
    <w:rsid w:val="006310F9"/>
    <w:rsid w:val="006312F0"/>
    <w:rsid w:val="006314B0"/>
    <w:rsid w:val="00631518"/>
    <w:rsid w:val="006315A4"/>
    <w:rsid w:val="00631692"/>
    <w:rsid w:val="006316B1"/>
    <w:rsid w:val="0063175E"/>
    <w:rsid w:val="0063178D"/>
    <w:rsid w:val="00631790"/>
    <w:rsid w:val="006317E4"/>
    <w:rsid w:val="0063181D"/>
    <w:rsid w:val="00631867"/>
    <w:rsid w:val="00631887"/>
    <w:rsid w:val="00631899"/>
    <w:rsid w:val="006318B0"/>
    <w:rsid w:val="006318D7"/>
    <w:rsid w:val="006318E5"/>
    <w:rsid w:val="0063198F"/>
    <w:rsid w:val="00631A3F"/>
    <w:rsid w:val="00631AA7"/>
    <w:rsid w:val="00631B5B"/>
    <w:rsid w:val="00631C4F"/>
    <w:rsid w:val="00631CD4"/>
    <w:rsid w:val="00631D0F"/>
    <w:rsid w:val="00631D84"/>
    <w:rsid w:val="00631D86"/>
    <w:rsid w:val="00631D9F"/>
    <w:rsid w:val="00631DC3"/>
    <w:rsid w:val="00631DD3"/>
    <w:rsid w:val="00631E36"/>
    <w:rsid w:val="00631E8D"/>
    <w:rsid w:val="00631F5B"/>
    <w:rsid w:val="00631F76"/>
    <w:rsid w:val="00631FB8"/>
    <w:rsid w:val="006320F3"/>
    <w:rsid w:val="00632153"/>
    <w:rsid w:val="0063215B"/>
    <w:rsid w:val="006321B7"/>
    <w:rsid w:val="0063233C"/>
    <w:rsid w:val="006323FA"/>
    <w:rsid w:val="00632439"/>
    <w:rsid w:val="00632484"/>
    <w:rsid w:val="0063251F"/>
    <w:rsid w:val="0063254C"/>
    <w:rsid w:val="006325F2"/>
    <w:rsid w:val="00632631"/>
    <w:rsid w:val="00632697"/>
    <w:rsid w:val="0063269F"/>
    <w:rsid w:val="006326A2"/>
    <w:rsid w:val="006326A7"/>
    <w:rsid w:val="006326B1"/>
    <w:rsid w:val="006326BB"/>
    <w:rsid w:val="00632706"/>
    <w:rsid w:val="0063272D"/>
    <w:rsid w:val="00632747"/>
    <w:rsid w:val="006327BD"/>
    <w:rsid w:val="006327C9"/>
    <w:rsid w:val="0063281B"/>
    <w:rsid w:val="0063281F"/>
    <w:rsid w:val="0063284A"/>
    <w:rsid w:val="0063287C"/>
    <w:rsid w:val="00632A73"/>
    <w:rsid w:val="00632AE3"/>
    <w:rsid w:val="00632B60"/>
    <w:rsid w:val="00632B63"/>
    <w:rsid w:val="00632BCE"/>
    <w:rsid w:val="00632BF3"/>
    <w:rsid w:val="00632BF8"/>
    <w:rsid w:val="00632C3B"/>
    <w:rsid w:val="00632C8C"/>
    <w:rsid w:val="00632CFC"/>
    <w:rsid w:val="00632D9F"/>
    <w:rsid w:val="00632DF3"/>
    <w:rsid w:val="00632EA9"/>
    <w:rsid w:val="00632F17"/>
    <w:rsid w:val="00632FB6"/>
    <w:rsid w:val="00633011"/>
    <w:rsid w:val="00633021"/>
    <w:rsid w:val="0063307E"/>
    <w:rsid w:val="0063312F"/>
    <w:rsid w:val="00633226"/>
    <w:rsid w:val="00633270"/>
    <w:rsid w:val="006332E6"/>
    <w:rsid w:val="00633371"/>
    <w:rsid w:val="006333B3"/>
    <w:rsid w:val="006333C0"/>
    <w:rsid w:val="006333FD"/>
    <w:rsid w:val="0063347C"/>
    <w:rsid w:val="00633500"/>
    <w:rsid w:val="00633507"/>
    <w:rsid w:val="00633661"/>
    <w:rsid w:val="00633672"/>
    <w:rsid w:val="006336C9"/>
    <w:rsid w:val="0063374D"/>
    <w:rsid w:val="0063384E"/>
    <w:rsid w:val="006338B9"/>
    <w:rsid w:val="00633921"/>
    <w:rsid w:val="00633945"/>
    <w:rsid w:val="00633957"/>
    <w:rsid w:val="0063399A"/>
    <w:rsid w:val="006339BC"/>
    <w:rsid w:val="006339F1"/>
    <w:rsid w:val="00633B2A"/>
    <w:rsid w:val="00633B67"/>
    <w:rsid w:val="00633C21"/>
    <w:rsid w:val="00633C8A"/>
    <w:rsid w:val="00633C98"/>
    <w:rsid w:val="00633CED"/>
    <w:rsid w:val="00633DC4"/>
    <w:rsid w:val="00633DE3"/>
    <w:rsid w:val="00633E20"/>
    <w:rsid w:val="00633E32"/>
    <w:rsid w:val="00633E72"/>
    <w:rsid w:val="00633F10"/>
    <w:rsid w:val="00633F17"/>
    <w:rsid w:val="00633F79"/>
    <w:rsid w:val="00633FB8"/>
    <w:rsid w:val="0063403A"/>
    <w:rsid w:val="00634067"/>
    <w:rsid w:val="00634072"/>
    <w:rsid w:val="006340B3"/>
    <w:rsid w:val="0063414E"/>
    <w:rsid w:val="00634230"/>
    <w:rsid w:val="006342E5"/>
    <w:rsid w:val="0063432F"/>
    <w:rsid w:val="00634359"/>
    <w:rsid w:val="0063438A"/>
    <w:rsid w:val="0063440D"/>
    <w:rsid w:val="00634438"/>
    <w:rsid w:val="006344A4"/>
    <w:rsid w:val="006344BF"/>
    <w:rsid w:val="006344CA"/>
    <w:rsid w:val="00634520"/>
    <w:rsid w:val="0063459C"/>
    <w:rsid w:val="0063465B"/>
    <w:rsid w:val="006346DE"/>
    <w:rsid w:val="006347D2"/>
    <w:rsid w:val="0063483D"/>
    <w:rsid w:val="00634880"/>
    <w:rsid w:val="00634890"/>
    <w:rsid w:val="00634B60"/>
    <w:rsid w:val="00634BC3"/>
    <w:rsid w:val="00634C37"/>
    <w:rsid w:val="00634C45"/>
    <w:rsid w:val="00634C7E"/>
    <w:rsid w:val="00634C94"/>
    <w:rsid w:val="00634D71"/>
    <w:rsid w:val="00634D98"/>
    <w:rsid w:val="00634DB7"/>
    <w:rsid w:val="00634E27"/>
    <w:rsid w:val="00634EBC"/>
    <w:rsid w:val="00634EC7"/>
    <w:rsid w:val="00634F48"/>
    <w:rsid w:val="00634F70"/>
    <w:rsid w:val="00635070"/>
    <w:rsid w:val="00635072"/>
    <w:rsid w:val="0063510A"/>
    <w:rsid w:val="00635145"/>
    <w:rsid w:val="00635173"/>
    <w:rsid w:val="0063527A"/>
    <w:rsid w:val="00635348"/>
    <w:rsid w:val="00635352"/>
    <w:rsid w:val="0063535F"/>
    <w:rsid w:val="006353A2"/>
    <w:rsid w:val="006354A2"/>
    <w:rsid w:val="006354AE"/>
    <w:rsid w:val="006354DE"/>
    <w:rsid w:val="00635504"/>
    <w:rsid w:val="0063561A"/>
    <w:rsid w:val="00635649"/>
    <w:rsid w:val="0063575B"/>
    <w:rsid w:val="006358D2"/>
    <w:rsid w:val="006358DE"/>
    <w:rsid w:val="00635998"/>
    <w:rsid w:val="006359C8"/>
    <w:rsid w:val="006359DD"/>
    <w:rsid w:val="006359E7"/>
    <w:rsid w:val="00635A56"/>
    <w:rsid w:val="00635A85"/>
    <w:rsid w:val="00635AE1"/>
    <w:rsid w:val="00635B4B"/>
    <w:rsid w:val="00635B8E"/>
    <w:rsid w:val="00635BF0"/>
    <w:rsid w:val="00635C0C"/>
    <w:rsid w:val="00635DAC"/>
    <w:rsid w:val="00635DD4"/>
    <w:rsid w:val="00635DF8"/>
    <w:rsid w:val="00635E98"/>
    <w:rsid w:val="00635F08"/>
    <w:rsid w:val="00635F76"/>
    <w:rsid w:val="00635F8E"/>
    <w:rsid w:val="00636017"/>
    <w:rsid w:val="00636020"/>
    <w:rsid w:val="00636051"/>
    <w:rsid w:val="0063605D"/>
    <w:rsid w:val="00636060"/>
    <w:rsid w:val="006360A9"/>
    <w:rsid w:val="006360AD"/>
    <w:rsid w:val="006360B5"/>
    <w:rsid w:val="006360C2"/>
    <w:rsid w:val="0063624B"/>
    <w:rsid w:val="00636318"/>
    <w:rsid w:val="0063631A"/>
    <w:rsid w:val="0063638A"/>
    <w:rsid w:val="0063638C"/>
    <w:rsid w:val="006363C2"/>
    <w:rsid w:val="006363FD"/>
    <w:rsid w:val="0063644D"/>
    <w:rsid w:val="00636520"/>
    <w:rsid w:val="00636570"/>
    <w:rsid w:val="006365C6"/>
    <w:rsid w:val="00636742"/>
    <w:rsid w:val="0063683B"/>
    <w:rsid w:val="006368A3"/>
    <w:rsid w:val="006368F5"/>
    <w:rsid w:val="006368F6"/>
    <w:rsid w:val="006369CE"/>
    <w:rsid w:val="006369CF"/>
    <w:rsid w:val="00636A2F"/>
    <w:rsid w:val="00636A59"/>
    <w:rsid w:val="00636A7E"/>
    <w:rsid w:val="00636A87"/>
    <w:rsid w:val="00636AD3"/>
    <w:rsid w:val="00636B94"/>
    <w:rsid w:val="00636C2E"/>
    <w:rsid w:val="00636C5F"/>
    <w:rsid w:val="00636D13"/>
    <w:rsid w:val="00636D32"/>
    <w:rsid w:val="00636D35"/>
    <w:rsid w:val="00636D8F"/>
    <w:rsid w:val="00636E37"/>
    <w:rsid w:val="00636E51"/>
    <w:rsid w:val="00636E93"/>
    <w:rsid w:val="00636EA4"/>
    <w:rsid w:val="00636EE5"/>
    <w:rsid w:val="00636FE5"/>
    <w:rsid w:val="00637047"/>
    <w:rsid w:val="00637063"/>
    <w:rsid w:val="0063706A"/>
    <w:rsid w:val="0063710D"/>
    <w:rsid w:val="0063715E"/>
    <w:rsid w:val="00637188"/>
    <w:rsid w:val="00637211"/>
    <w:rsid w:val="00637213"/>
    <w:rsid w:val="0063723F"/>
    <w:rsid w:val="006372A1"/>
    <w:rsid w:val="006372C6"/>
    <w:rsid w:val="006372CB"/>
    <w:rsid w:val="006372D0"/>
    <w:rsid w:val="006372D2"/>
    <w:rsid w:val="00637357"/>
    <w:rsid w:val="006374BE"/>
    <w:rsid w:val="006374CF"/>
    <w:rsid w:val="00637501"/>
    <w:rsid w:val="00637508"/>
    <w:rsid w:val="00637595"/>
    <w:rsid w:val="006375B5"/>
    <w:rsid w:val="006375D3"/>
    <w:rsid w:val="006375E8"/>
    <w:rsid w:val="0063763B"/>
    <w:rsid w:val="00637645"/>
    <w:rsid w:val="00637689"/>
    <w:rsid w:val="0063768B"/>
    <w:rsid w:val="006376C6"/>
    <w:rsid w:val="006376CC"/>
    <w:rsid w:val="006376DD"/>
    <w:rsid w:val="0063773E"/>
    <w:rsid w:val="00637822"/>
    <w:rsid w:val="00637894"/>
    <w:rsid w:val="00637943"/>
    <w:rsid w:val="0063796D"/>
    <w:rsid w:val="00637994"/>
    <w:rsid w:val="00637A6B"/>
    <w:rsid w:val="00637A83"/>
    <w:rsid w:val="00637A9F"/>
    <w:rsid w:val="00637AF9"/>
    <w:rsid w:val="00637AFE"/>
    <w:rsid w:val="00637B14"/>
    <w:rsid w:val="00637B1E"/>
    <w:rsid w:val="00637B32"/>
    <w:rsid w:val="00637B7E"/>
    <w:rsid w:val="00637BFB"/>
    <w:rsid w:val="00637C3C"/>
    <w:rsid w:val="00637C6E"/>
    <w:rsid w:val="00637C7F"/>
    <w:rsid w:val="00637D70"/>
    <w:rsid w:val="00637E55"/>
    <w:rsid w:val="00637E7D"/>
    <w:rsid w:val="00637F03"/>
    <w:rsid w:val="00637FC9"/>
    <w:rsid w:val="00640071"/>
    <w:rsid w:val="00640138"/>
    <w:rsid w:val="00640143"/>
    <w:rsid w:val="00640153"/>
    <w:rsid w:val="006401BD"/>
    <w:rsid w:val="00640255"/>
    <w:rsid w:val="00640351"/>
    <w:rsid w:val="006403C9"/>
    <w:rsid w:val="006403F9"/>
    <w:rsid w:val="00640440"/>
    <w:rsid w:val="0064051E"/>
    <w:rsid w:val="00640589"/>
    <w:rsid w:val="006405B7"/>
    <w:rsid w:val="00640621"/>
    <w:rsid w:val="00640639"/>
    <w:rsid w:val="006406E1"/>
    <w:rsid w:val="0064075B"/>
    <w:rsid w:val="006407B3"/>
    <w:rsid w:val="00640846"/>
    <w:rsid w:val="0064086E"/>
    <w:rsid w:val="00640876"/>
    <w:rsid w:val="006408EB"/>
    <w:rsid w:val="0064092E"/>
    <w:rsid w:val="006409A6"/>
    <w:rsid w:val="006409AA"/>
    <w:rsid w:val="00640A3E"/>
    <w:rsid w:val="00640A83"/>
    <w:rsid w:val="00640ACD"/>
    <w:rsid w:val="00640B35"/>
    <w:rsid w:val="00640BAD"/>
    <w:rsid w:val="00640C15"/>
    <w:rsid w:val="00640C88"/>
    <w:rsid w:val="00640CB6"/>
    <w:rsid w:val="00640CB9"/>
    <w:rsid w:val="00640CCE"/>
    <w:rsid w:val="00640CF3"/>
    <w:rsid w:val="00640D9C"/>
    <w:rsid w:val="00640E49"/>
    <w:rsid w:val="00640E5F"/>
    <w:rsid w:val="00640E7F"/>
    <w:rsid w:val="00640E8A"/>
    <w:rsid w:val="00641012"/>
    <w:rsid w:val="00641077"/>
    <w:rsid w:val="006410BD"/>
    <w:rsid w:val="006410DD"/>
    <w:rsid w:val="00641134"/>
    <w:rsid w:val="006411C7"/>
    <w:rsid w:val="0064125A"/>
    <w:rsid w:val="00641271"/>
    <w:rsid w:val="006412A6"/>
    <w:rsid w:val="006412D3"/>
    <w:rsid w:val="006412E9"/>
    <w:rsid w:val="0064131F"/>
    <w:rsid w:val="00641321"/>
    <w:rsid w:val="00641359"/>
    <w:rsid w:val="006415D3"/>
    <w:rsid w:val="006415E6"/>
    <w:rsid w:val="00641608"/>
    <w:rsid w:val="00641611"/>
    <w:rsid w:val="006416B9"/>
    <w:rsid w:val="00641740"/>
    <w:rsid w:val="0064174C"/>
    <w:rsid w:val="006417D8"/>
    <w:rsid w:val="0064180E"/>
    <w:rsid w:val="00641816"/>
    <w:rsid w:val="00641859"/>
    <w:rsid w:val="006418E5"/>
    <w:rsid w:val="00641900"/>
    <w:rsid w:val="006419A5"/>
    <w:rsid w:val="006419F2"/>
    <w:rsid w:val="00641A47"/>
    <w:rsid w:val="00641A55"/>
    <w:rsid w:val="00641A75"/>
    <w:rsid w:val="00641A8D"/>
    <w:rsid w:val="00641BE8"/>
    <w:rsid w:val="00641C2F"/>
    <w:rsid w:val="00641C56"/>
    <w:rsid w:val="00641CC7"/>
    <w:rsid w:val="00641D84"/>
    <w:rsid w:val="00641DA3"/>
    <w:rsid w:val="00641DD4"/>
    <w:rsid w:val="00641E11"/>
    <w:rsid w:val="00641E22"/>
    <w:rsid w:val="00641EA2"/>
    <w:rsid w:val="00641EA9"/>
    <w:rsid w:val="00641EB8"/>
    <w:rsid w:val="00641F51"/>
    <w:rsid w:val="00642015"/>
    <w:rsid w:val="0064205C"/>
    <w:rsid w:val="006420C6"/>
    <w:rsid w:val="006420E9"/>
    <w:rsid w:val="006420FE"/>
    <w:rsid w:val="00642153"/>
    <w:rsid w:val="00642283"/>
    <w:rsid w:val="006422B4"/>
    <w:rsid w:val="006422CB"/>
    <w:rsid w:val="006422F1"/>
    <w:rsid w:val="0064234A"/>
    <w:rsid w:val="0064247F"/>
    <w:rsid w:val="00642484"/>
    <w:rsid w:val="00642595"/>
    <w:rsid w:val="0064261A"/>
    <w:rsid w:val="00642660"/>
    <w:rsid w:val="006426A0"/>
    <w:rsid w:val="00642842"/>
    <w:rsid w:val="0064284A"/>
    <w:rsid w:val="006428A1"/>
    <w:rsid w:val="006428C8"/>
    <w:rsid w:val="006428E0"/>
    <w:rsid w:val="006429AA"/>
    <w:rsid w:val="006429B8"/>
    <w:rsid w:val="006429F5"/>
    <w:rsid w:val="00642A33"/>
    <w:rsid w:val="00642B07"/>
    <w:rsid w:val="00642B6A"/>
    <w:rsid w:val="00642BA4"/>
    <w:rsid w:val="00642BFE"/>
    <w:rsid w:val="00642C2E"/>
    <w:rsid w:val="00642CA5"/>
    <w:rsid w:val="00642D95"/>
    <w:rsid w:val="00642DC0"/>
    <w:rsid w:val="00642DD4"/>
    <w:rsid w:val="00642E00"/>
    <w:rsid w:val="00642E4A"/>
    <w:rsid w:val="00642F5C"/>
    <w:rsid w:val="00643060"/>
    <w:rsid w:val="006430AD"/>
    <w:rsid w:val="0064311E"/>
    <w:rsid w:val="00643183"/>
    <w:rsid w:val="0064320D"/>
    <w:rsid w:val="0064321C"/>
    <w:rsid w:val="0064322C"/>
    <w:rsid w:val="006432FE"/>
    <w:rsid w:val="0064341C"/>
    <w:rsid w:val="0064344D"/>
    <w:rsid w:val="00643559"/>
    <w:rsid w:val="006435F3"/>
    <w:rsid w:val="006436AA"/>
    <w:rsid w:val="00643700"/>
    <w:rsid w:val="006437A4"/>
    <w:rsid w:val="006437AF"/>
    <w:rsid w:val="0064381B"/>
    <w:rsid w:val="00643872"/>
    <w:rsid w:val="006438AD"/>
    <w:rsid w:val="006438E6"/>
    <w:rsid w:val="00643908"/>
    <w:rsid w:val="00643978"/>
    <w:rsid w:val="00643A71"/>
    <w:rsid w:val="00643AE2"/>
    <w:rsid w:val="00643AF5"/>
    <w:rsid w:val="00643B19"/>
    <w:rsid w:val="00643B43"/>
    <w:rsid w:val="00643B5C"/>
    <w:rsid w:val="00643B6A"/>
    <w:rsid w:val="00643C13"/>
    <w:rsid w:val="00643C15"/>
    <w:rsid w:val="00643C60"/>
    <w:rsid w:val="00643CAC"/>
    <w:rsid w:val="00643D28"/>
    <w:rsid w:val="00643D69"/>
    <w:rsid w:val="00643DC7"/>
    <w:rsid w:val="00643E44"/>
    <w:rsid w:val="00643E68"/>
    <w:rsid w:val="00643E71"/>
    <w:rsid w:val="00643E80"/>
    <w:rsid w:val="00643E83"/>
    <w:rsid w:val="00643EFD"/>
    <w:rsid w:val="00643F7A"/>
    <w:rsid w:val="00643FA0"/>
    <w:rsid w:val="00643FFF"/>
    <w:rsid w:val="0064400D"/>
    <w:rsid w:val="00644084"/>
    <w:rsid w:val="006440C6"/>
    <w:rsid w:val="006440CB"/>
    <w:rsid w:val="006440D2"/>
    <w:rsid w:val="006441AE"/>
    <w:rsid w:val="00644211"/>
    <w:rsid w:val="00644239"/>
    <w:rsid w:val="00644246"/>
    <w:rsid w:val="00644275"/>
    <w:rsid w:val="006442BC"/>
    <w:rsid w:val="006442D9"/>
    <w:rsid w:val="006442EA"/>
    <w:rsid w:val="006442F2"/>
    <w:rsid w:val="00644372"/>
    <w:rsid w:val="00644408"/>
    <w:rsid w:val="00644434"/>
    <w:rsid w:val="00644458"/>
    <w:rsid w:val="006444B2"/>
    <w:rsid w:val="006444BA"/>
    <w:rsid w:val="006444C4"/>
    <w:rsid w:val="00644538"/>
    <w:rsid w:val="00644577"/>
    <w:rsid w:val="006445A3"/>
    <w:rsid w:val="006445C0"/>
    <w:rsid w:val="006445C9"/>
    <w:rsid w:val="006446BF"/>
    <w:rsid w:val="006446D6"/>
    <w:rsid w:val="0064470F"/>
    <w:rsid w:val="006447B5"/>
    <w:rsid w:val="00644911"/>
    <w:rsid w:val="0064499E"/>
    <w:rsid w:val="006449F4"/>
    <w:rsid w:val="00644B04"/>
    <w:rsid w:val="00644B70"/>
    <w:rsid w:val="00644B9F"/>
    <w:rsid w:val="00644BBB"/>
    <w:rsid w:val="00644BC8"/>
    <w:rsid w:val="00644BCC"/>
    <w:rsid w:val="00644C3F"/>
    <w:rsid w:val="00644C64"/>
    <w:rsid w:val="00644C70"/>
    <w:rsid w:val="00644CA9"/>
    <w:rsid w:val="00644D30"/>
    <w:rsid w:val="00644DEA"/>
    <w:rsid w:val="00644E29"/>
    <w:rsid w:val="00644E6B"/>
    <w:rsid w:val="00644E70"/>
    <w:rsid w:val="00644EC7"/>
    <w:rsid w:val="00644F9D"/>
    <w:rsid w:val="00644FA2"/>
    <w:rsid w:val="00644FA5"/>
    <w:rsid w:val="00644FF0"/>
    <w:rsid w:val="006450C1"/>
    <w:rsid w:val="00645123"/>
    <w:rsid w:val="0064513A"/>
    <w:rsid w:val="006451F6"/>
    <w:rsid w:val="006452B1"/>
    <w:rsid w:val="006452DA"/>
    <w:rsid w:val="006452FF"/>
    <w:rsid w:val="00645337"/>
    <w:rsid w:val="00645394"/>
    <w:rsid w:val="00645409"/>
    <w:rsid w:val="0064548A"/>
    <w:rsid w:val="006454AF"/>
    <w:rsid w:val="006454FD"/>
    <w:rsid w:val="0064554C"/>
    <w:rsid w:val="0064557F"/>
    <w:rsid w:val="006455F9"/>
    <w:rsid w:val="00645600"/>
    <w:rsid w:val="006456A5"/>
    <w:rsid w:val="00645710"/>
    <w:rsid w:val="006457D2"/>
    <w:rsid w:val="00645827"/>
    <w:rsid w:val="00645866"/>
    <w:rsid w:val="006458D6"/>
    <w:rsid w:val="00645901"/>
    <w:rsid w:val="0064592B"/>
    <w:rsid w:val="006459B7"/>
    <w:rsid w:val="00645A5D"/>
    <w:rsid w:val="00645A76"/>
    <w:rsid w:val="00645ABD"/>
    <w:rsid w:val="00645AC1"/>
    <w:rsid w:val="00645BFB"/>
    <w:rsid w:val="00645C09"/>
    <w:rsid w:val="00645C21"/>
    <w:rsid w:val="00645CAF"/>
    <w:rsid w:val="00645D22"/>
    <w:rsid w:val="00645D36"/>
    <w:rsid w:val="00645D37"/>
    <w:rsid w:val="00645D5B"/>
    <w:rsid w:val="00645DB6"/>
    <w:rsid w:val="00645DCA"/>
    <w:rsid w:val="00645DD7"/>
    <w:rsid w:val="00645DF7"/>
    <w:rsid w:val="00645E27"/>
    <w:rsid w:val="00645E83"/>
    <w:rsid w:val="00645E9D"/>
    <w:rsid w:val="00645F23"/>
    <w:rsid w:val="00645F3E"/>
    <w:rsid w:val="00645F5D"/>
    <w:rsid w:val="0064600A"/>
    <w:rsid w:val="00646104"/>
    <w:rsid w:val="0064610B"/>
    <w:rsid w:val="006461B6"/>
    <w:rsid w:val="006462AB"/>
    <w:rsid w:val="0064631B"/>
    <w:rsid w:val="00646341"/>
    <w:rsid w:val="0064638D"/>
    <w:rsid w:val="006463E8"/>
    <w:rsid w:val="006463F2"/>
    <w:rsid w:val="00646435"/>
    <w:rsid w:val="00646479"/>
    <w:rsid w:val="006464FC"/>
    <w:rsid w:val="00646616"/>
    <w:rsid w:val="006466C0"/>
    <w:rsid w:val="006466C8"/>
    <w:rsid w:val="00646749"/>
    <w:rsid w:val="006467B7"/>
    <w:rsid w:val="006467CF"/>
    <w:rsid w:val="006467E4"/>
    <w:rsid w:val="0064685E"/>
    <w:rsid w:val="006468C2"/>
    <w:rsid w:val="006468C6"/>
    <w:rsid w:val="006468D3"/>
    <w:rsid w:val="00646913"/>
    <w:rsid w:val="0064691E"/>
    <w:rsid w:val="00646946"/>
    <w:rsid w:val="00646A8E"/>
    <w:rsid w:val="00646AC4"/>
    <w:rsid w:val="00646AEF"/>
    <w:rsid w:val="00646AFF"/>
    <w:rsid w:val="00646BA1"/>
    <w:rsid w:val="00646CD6"/>
    <w:rsid w:val="00646CF5"/>
    <w:rsid w:val="00646D52"/>
    <w:rsid w:val="0064701B"/>
    <w:rsid w:val="0064711C"/>
    <w:rsid w:val="0064717A"/>
    <w:rsid w:val="006471BD"/>
    <w:rsid w:val="00647224"/>
    <w:rsid w:val="006472AC"/>
    <w:rsid w:val="006472C2"/>
    <w:rsid w:val="00647360"/>
    <w:rsid w:val="006473AA"/>
    <w:rsid w:val="006473AD"/>
    <w:rsid w:val="006473B9"/>
    <w:rsid w:val="006473BD"/>
    <w:rsid w:val="00647424"/>
    <w:rsid w:val="0064742C"/>
    <w:rsid w:val="0064742D"/>
    <w:rsid w:val="0064748C"/>
    <w:rsid w:val="006474C4"/>
    <w:rsid w:val="006474DE"/>
    <w:rsid w:val="00647525"/>
    <w:rsid w:val="00647578"/>
    <w:rsid w:val="00647675"/>
    <w:rsid w:val="006476E3"/>
    <w:rsid w:val="00647714"/>
    <w:rsid w:val="0064778B"/>
    <w:rsid w:val="0064787C"/>
    <w:rsid w:val="00647953"/>
    <w:rsid w:val="006479B7"/>
    <w:rsid w:val="006479D2"/>
    <w:rsid w:val="00647A2E"/>
    <w:rsid w:val="00647A7B"/>
    <w:rsid w:val="00647AF7"/>
    <w:rsid w:val="00647B38"/>
    <w:rsid w:val="00647BB2"/>
    <w:rsid w:val="00647BE8"/>
    <w:rsid w:val="00647BF2"/>
    <w:rsid w:val="00647C93"/>
    <w:rsid w:val="00647C9C"/>
    <w:rsid w:val="00647D10"/>
    <w:rsid w:val="00647D14"/>
    <w:rsid w:val="00647D4F"/>
    <w:rsid w:val="00647D7A"/>
    <w:rsid w:val="00647DD9"/>
    <w:rsid w:val="00647E21"/>
    <w:rsid w:val="00647E64"/>
    <w:rsid w:val="00647E95"/>
    <w:rsid w:val="00647ED0"/>
    <w:rsid w:val="00647F6E"/>
    <w:rsid w:val="00647F77"/>
    <w:rsid w:val="00647F95"/>
    <w:rsid w:val="00647FC0"/>
    <w:rsid w:val="00650014"/>
    <w:rsid w:val="0065007A"/>
    <w:rsid w:val="006501C0"/>
    <w:rsid w:val="006501CC"/>
    <w:rsid w:val="006501DD"/>
    <w:rsid w:val="00650248"/>
    <w:rsid w:val="0065025C"/>
    <w:rsid w:val="00650277"/>
    <w:rsid w:val="00650327"/>
    <w:rsid w:val="00650355"/>
    <w:rsid w:val="0065038B"/>
    <w:rsid w:val="00650424"/>
    <w:rsid w:val="006504D7"/>
    <w:rsid w:val="0065056D"/>
    <w:rsid w:val="006505DD"/>
    <w:rsid w:val="006505FA"/>
    <w:rsid w:val="00650692"/>
    <w:rsid w:val="006506C6"/>
    <w:rsid w:val="006506D1"/>
    <w:rsid w:val="00650727"/>
    <w:rsid w:val="00650793"/>
    <w:rsid w:val="006507E2"/>
    <w:rsid w:val="00650840"/>
    <w:rsid w:val="00650847"/>
    <w:rsid w:val="0065085B"/>
    <w:rsid w:val="00650893"/>
    <w:rsid w:val="006508C6"/>
    <w:rsid w:val="00650920"/>
    <w:rsid w:val="00650928"/>
    <w:rsid w:val="00650934"/>
    <w:rsid w:val="00650991"/>
    <w:rsid w:val="006509A0"/>
    <w:rsid w:val="006509A6"/>
    <w:rsid w:val="006509BB"/>
    <w:rsid w:val="00650A6D"/>
    <w:rsid w:val="00650B20"/>
    <w:rsid w:val="00650B6A"/>
    <w:rsid w:val="00650B85"/>
    <w:rsid w:val="00650C75"/>
    <w:rsid w:val="00650C8A"/>
    <w:rsid w:val="00650C9E"/>
    <w:rsid w:val="00650CAC"/>
    <w:rsid w:val="00650D43"/>
    <w:rsid w:val="00650D9D"/>
    <w:rsid w:val="00650E31"/>
    <w:rsid w:val="00650E34"/>
    <w:rsid w:val="00650E5C"/>
    <w:rsid w:val="00650E7E"/>
    <w:rsid w:val="00650E88"/>
    <w:rsid w:val="00650EDB"/>
    <w:rsid w:val="00650EE7"/>
    <w:rsid w:val="00650F19"/>
    <w:rsid w:val="00650F5B"/>
    <w:rsid w:val="00650F84"/>
    <w:rsid w:val="00650FBF"/>
    <w:rsid w:val="0065100C"/>
    <w:rsid w:val="00651025"/>
    <w:rsid w:val="006510DB"/>
    <w:rsid w:val="00651158"/>
    <w:rsid w:val="00651185"/>
    <w:rsid w:val="006511E4"/>
    <w:rsid w:val="006512D2"/>
    <w:rsid w:val="0065148F"/>
    <w:rsid w:val="006514B5"/>
    <w:rsid w:val="00651508"/>
    <w:rsid w:val="006515A6"/>
    <w:rsid w:val="006515C8"/>
    <w:rsid w:val="006515CA"/>
    <w:rsid w:val="006515EF"/>
    <w:rsid w:val="00651646"/>
    <w:rsid w:val="00651647"/>
    <w:rsid w:val="0065168F"/>
    <w:rsid w:val="006516B0"/>
    <w:rsid w:val="006516D3"/>
    <w:rsid w:val="00651724"/>
    <w:rsid w:val="00651799"/>
    <w:rsid w:val="00651832"/>
    <w:rsid w:val="0065186D"/>
    <w:rsid w:val="00651874"/>
    <w:rsid w:val="00651884"/>
    <w:rsid w:val="006518A2"/>
    <w:rsid w:val="006518FA"/>
    <w:rsid w:val="00651922"/>
    <w:rsid w:val="00651976"/>
    <w:rsid w:val="0065198A"/>
    <w:rsid w:val="00651A0C"/>
    <w:rsid w:val="00651A12"/>
    <w:rsid w:val="00651A55"/>
    <w:rsid w:val="00651A9D"/>
    <w:rsid w:val="00651AF3"/>
    <w:rsid w:val="00651B7A"/>
    <w:rsid w:val="00651B93"/>
    <w:rsid w:val="00651BCD"/>
    <w:rsid w:val="00651C7C"/>
    <w:rsid w:val="00651CAB"/>
    <w:rsid w:val="00651DDB"/>
    <w:rsid w:val="00651E87"/>
    <w:rsid w:val="00651E8F"/>
    <w:rsid w:val="00651F0C"/>
    <w:rsid w:val="00651FA4"/>
    <w:rsid w:val="0065207B"/>
    <w:rsid w:val="00652092"/>
    <w:rsid w:val="006520E3"/>
    <w:rsid w:val="00652106"/>
    <w:rsid w:val="0065216E"/>
    <w:rsid w:val="00652187"/>
    <w:rsid w:val="006521CB"/>
    <w:rsid w:val="00652225"/>
    <w:rsid w:val="00652314"/>
    <w:rsid w:val="00652384"/>
    <w:rsid w:val="0065238F"/>
    <w:rsid w:val="00652398"/>
    <w:rsid w:val="006523A9"/>
    <w:rsid w:val="00652484"/>
    <w:rsid w:val="006524D5"/>
    <w:rsid w:val="00652555"/>
    <w:rsid w:val="006525DA"/>
    <w:rsid w:val="00652602"/>
    <w:rsid w:val="00652654"/>
    <w:rsid w:val="00652739"/>
    <w:rsid w:val="0065279C"/>
    <w:rsid w:val="006527A3"/>
    <w:rsid w:val="006527C1"/>
    <w:rsid w:val="006527C6"/>
    <w:rsid w:val="00652815"/>
    <w:rsid w:val="0065283E"/>
    <w:rsid w:val="0065288B"/>
    <w:rsid w:val="0065289A"/>
    <w:rsid w:val="006528DD"/>
    <w:rsid w:val="006528E7"/>
    <w:rsid w:val="00652900"/>
    <w:rsid w:val="0065292E"/>
    <w:rsid w:val="0065295E"/>
    <w:rsid w:val="006529AB"/>
    <w:rsid w:val="006529FE"/>
    <w:rsid w:val="00652A80"/>
    <w:rsid w:val="00652A96"/>
    <w:rsid w:val="00652ADA"/>
    <w:rsid w:val="00652B8F"/>
    <w:rsid w:val="00652B97"/>
    <w:rsid w:val="00652BA3"/>
    <w:rsid w:val="00652C61"/>
    <w:rsid w:val="00652C6A"/>
    <w:rsid w:val="00652CA5"/>
    <w:rsid w:val="00652CDB"/>
    <w:rsid w:val="00652D13"/>
    <w:rsid w:val="00652D5D"/>
    <w:rsid w:val="00652D77"/>
    <w:rsid w:val="00652DC2"/>
    <w:rsid w:val="00652DEE"/>
    <w:rsid w:val="00652E01"/>
    <w:rsid w:val="00652E2C"/>
    <w:rsid w:val="00652E3F"/>
    <w:rsid w:val="00652EDE"/>
    <w:rsid w:val="00652F54"/>
    <w:rsid w:val="00652F79"/>
    <w:rsid w:val="00652FDB"/>
    <w:rsid w:val="0065307C"/>
    <w:rsid w:val="006530FC"/>
    <w:rsid w:val="0065312E"/>
    <w:rsid w:val="006531C1"/>
    <w:rsid w:val="006531F7"/>
    <w:rsid w:val="006532D5"/>
    <w:rsid w:val="00653315"/>
    <w:rsid w:val="00653346"/>
    <w:rsid w:val="00653375"/>
    <w:rsid w:val="0065338A"/>
    <w:rsid w:val="00653396"/>
    <w:rsid w:val="006533BA"/>
    <w:rsid w:val="006533E9"/>
    <w:rsid w:val="006535B2"/>
    <w:rsid w:val="006535CB"/>
    <w:rsid w:val="006535E0"/>
    <w:rsid w:val="00653687"/>
    <w:rsid w:val="006536D3"/>
    <w:rsid w:val="006536DD"/>
    <w:rsid w:val="00653752"/>
    <w:rsid w:val="0065377A"/>
    <w:rsid w:val="006537A5"/>
    <w:rsid w:val="0065381B"/>
    <w:rsid w:val="0065384B"/>
    <w:rsid w:val="006538F9"/>
    <w:rsid w:val="00653928"/>
    <w:rsid w:val="00653A4A"/>
    <w:rsid w:val="00653AB6"/>
    <w:rsid w:val="00653B16"/>
    <w:rsid w:val="00653B3A"/>
    <w:rsid w:val="00653B54"/>
    <w:rsid w:val="00653B9E"/>
    <w:rsid w:val="00653C1F"/>
    <w:rsid w:val="00653C30"/>
    <w:rsid w:val="00653CE2"/>
    <w:rsid w:val="00653D5A"/>
    <w:rsid w:val="00653DD0"/>
    <w:rsid w:val="00653E15"/>
    <w:rsid w:val="00653E4D"/>
    <w:rsid w:val="00653E56"/>
    <w:rsid w:val="00653E6F"/>
    <w:rsid w:val="00653E84"/>
    <w:rsid w:val="00653EB3"/>
    <w:rsid w:val="00653EC7"/>
    <w:rsid w:val="00653F2C"/>
    <w:rsid w:val="00653FAC"/>
    <w:rsid w:val="00653FFB"/>
    <w:rsid w:val="00654045"/>
    <w:rsid w:val="0065409A"/>
    <w:rsid w:val="00654162"/>
    <w:rsid w:val="00654171"/>
    <w:rsid w:val="00654273"/>
    <w:rsid w:val="006542C0"/>
    <w:rsid w:val="006542EB"/>
    <w:rsid w:val="0065444B"/>
    <w:rsid w:val="0065445F"/>
    <w:rsid w:val="00654496"/>
    <w:rsid w:val="006544A9"/>
    <w:rsid w:val="006544B2"/>
    <w:rsid w:val="00654529"/>
    <w:rsid w:val="0065453D"/>
    <w:rsid w:val="006545A3"/>
    <w:rsid w:val="006545EC"/>
    <w:rsid w:val="0065461F"/>
    <w:rsid w:val="00654748"/>
    <w:rsid w:val="00654786"/>
    <w:rsid w:val="006547CC"/>
    <w:rsid w:val="006547E6"/>
    <w:rsid w:val="0065486B"/>
    <w:rsid w:val="00654891"/>
    <w:rsid w:val="0065491E"/>
    <w:rsid w:val="0065498D"/>
    <w:rsid w:val="00654AF8"/>
    <w:rsid w:val="00654BC0"/>
    <w:rsid w:val="00654C42"/>
    <w:rsid w:val="00654CA7"/>
    <w:rsid w:val="00654CA8"/>
    <w:rsid w:val="00654CD3"/>
    <w:rsid w:val="00654CF4"/>
    <w:rsid w:val="00654D05"/>
    <w:rsid w:val="00654DB2"/>
    <w:rsid w:val="00654DD3"/>
    <w:rsid w:val="00654E03"/>
    <w:rsid w:val="00654E4F"/>
    <w:rsid w:val="00654E5F"/>
    <w:rsid w:val="00654E79"/>
    <w:rsid w:val="00654E91"/>
    <w:rsid w:val="00654F40"/>
    <w:rsid w:val="00654F7B"/>
    <w:rsid w:val="00654FA2"/>
    <w:rsid w:val="00654FA3"/>
    <w:rsid w:val="00654FBD"/>
    <w:rsid w:val="00655078"/>
    <w:rsid w:val="006550B9"/>
    <w:rsid w:val="006550D0"/>
    <w:rsid w:val="006551C8"/>
    <w:rsid w:val="006551FB"/>
    <w:rsid w:val="0065529A"/>
    <w:rsid w:val="006552EE"/>
    <w:rsid w:val="0065532F"/>
    <w:rsid w:val="00655444"/>
    <w:rsid w:val="00655489"/>
    <w:rsid w:val="0065548F"/>
    <w:rsid w:val="00655523"/>
    <w:rsid w:val="006555BB"/>
    <w:rsid w:val="006555E2"/>
    <w:rsid w:val="006557EF"/>
    <w:rsid w:val="00655819"/>
    <w:rsid w:val="0065589F"/>
    <w:rsid w:val="006558EB"/>
    <w:rsid w:val="00655908"/>
    <w:rsid w:val="00655912"/>
    <w:rsid w:val="006559C6"/>
    <w:rsid w:val="006559FA"/>
    <w:rsid w:val="00655A4E"/>
    <w:rsid w:val="00655A66"/>
    <w:rsid w:val="00655AC4"/>
    <w:rsid w:val="00655B1F"/>
    <w:rsid w:val="00655B38"/>
    <w:rsid w:val="00655B5A"/>
    <w:rsid w:val="00655BDB"/>
    <w:rsid w:val="00655C3F"/>
    <w:rsid w:val="00655C92"/>
    <w:rsid w:val="00655C94"/>
    <w:rsid w:val="00655D4B"/>
    <w:rsid w:val="00655E08"/>
    <w:rsid w:val="00655E36"/>
    <w:rsid w:val="00655ED4"/>
    <w:rsid w:val="00655EE0"/>
    <w:rsid w:val="00655F46"/>
    <w:rsid w:val="00656037"/>
    <w:rsid w:val="006560AE"/>
    <w:rsid w:val="006560CB"/>
    <w:rsid w:val="006560E9"/>
    <w:rsid w:val="006561B4"/>
    <w:rsid w:val="00656287"/>
    <w:rsid w:val="00656336"/>
    <w:rsid w:val="0065634B"/>
    <w:rsid w:val="0065635F"/>
    <w:rsid w:val="0065642A"/>
    <w:rsid w:val="0065642C"/>
    <w:rsid w:val="0065647D"/>
    <w:rsid w:val="006564C5"/>
    <w:rsid w:val="006564DD"/>
    <w:rsid w:val="006564EB"/>
    <w:rsid w:val="0065663D"/>
    <w:rsid w:val="00656660"/>
    <w:rsid w:val="00656698"/>
    <w:rsid w:val="006566EC"/>
    <w:rsid w:val="0065673B"/>
    <w:rsid w:val="0065674B"/>
    <w:rsid w:val="0065679E"/>
    <w:rsid w:val="006567C9"/>
    <w:rsid w:val="0065683F"/>
    <w:rsid w:val="00656845"/>
    <w:rsid w:val="00656852"/>
    <w:rsid w:val="00656901"/>
    <w:rsid w:val="00656927"/>
    <w:rsid w:val="006569CB"/>
    <w:rsid w:val="006569CD"/>
    <w:rsid w:val="006569E2"/>
    <w:rsid w:val="006569ED"/>
    <w:rsid w:val="006569FF"/>
    <w:rsid w:val="00656A03"/>
    <w:rsid w:val="00656ACB"/>
    <w:rsid w:val="00656B1F"/>
    <w:rsid w:val="00656B39"/>
    <w:rsid w:val="00656CBB"/>
    <w:rsid w:val="00656CE4"/>
    <w:rsid w:val="00656DE4"/>
    <w:rsid w:val="00656EEF"/>
    <w:rsid w:val="00656EFA"/>
    <w:rsid w:val="00656F75"/>
    <w:rsid w:val="00656F9E"/>
    <w:rsid w:val="00656FE6"/>
    <w:rsid w:val="00656FF4"/>
    <w:rsid w:val="00657050"/>
    <w:rsid w:val="0065705E"/>
    <w:rsid w:val="00657101"/>
    <w:rsid w:val="0065714E"/>
    <w:rsid w:val="00657184"/>
    <w:rsid w:val="00657220"/>
    <w:rsid w:val="0065729E"/>
    <w:rsid w:val="006573AB"/>
    <w:rsid w:val="006574AD"/>
    <w:rsid w:val="006574B1"/>
    <w:rsid w:val="006574B2"/>
    <w:rsid w:val="006574BB"/>
    <w:rsid w:val="006574C1"/>
    <w:rsid w:val="006574C8"/>
    <w:rsid w:val="0065750B"/>
    <w:rsid w:val="00657529"/>
    <w:rsid w:val="0065756D"/>
    <w:rsid w:val="006576A6"/>
    <w:rsid w:val="0065774E"/>
    <w:rsid w:val="00657758"/>
    <w:rsid w:val="006577BB"/>
    <w:rsid w:val="00657876"/>
    <w:rsid w:val="006578C7"/>
    <w:rsid w:val="00657944"/>
    <w:rsid w:val="00657950"/>
    <w:rsid w:val="00657955"/>
    <w:rsid w:val="006579C9"/>
    <w:rsid w:val="006579F8"/>
    <w:rsid w:val="00657A30"/>
    <w:rsid w:val="00657A58"/>
    <w:rsid w:val="00657A97"/>
    <w:rsid w:val="00657AB2"/>
    <w:rsid w:val="00657AC8"/>
    <w:rsid w:val="00657B22"/>
    <w:rsid w:val="00657BD9"/>
    <w:rsid w:val="00657C06"/>
    <w:rsid w:val="00657C3A"/>
    <w:rsid w:val="00657C65"/>
    <w:rsid w:val="00657C9B"/>
    <w:rsid w:val="00657D8A"/>
    <w:rsid w:val="00657DDD"/>
    <w:rsid w:val="00657E18"/>
    <w:rsid w:val="00657E36"/>
    <w:rsid w:val="00657E82"/>
    <w:rsid w:val="00657E83"/>
    <w:rsid w:val="00657ECE"/>
    <w:rsid w:val="00657EF5"/>
    <w:rsid w:val="00657F4B"/>
    <w:rsid w:val="0066003A"/>
    <w:rsid w:val="006600CF"/>
    <w:rsid w:val="00660134"/>
    <w:rsid w:val="0066015A"/>
    <w:rsid w:val="006601AD"/>
    <w:rsid w:val="006601B5"/>
    <w:rsid w:val="006601BA"/>
    <w:rsid w:val="006601E7"/>
    <w:rsid w:val="00660203"/>
    <w:rsid w:val="00660250"/>
    <w:rsid w:val="006602EA"/>
    <w:rsid w:val="0066031A"/>
    <w:rsid w:val="00660341"/>
    <w:rsid w:val="00660345"/>
    <w:rsid w:val="0066034F"/>
    <w:rsid w:val="006603EA"/>
    <w:rsid w:val="00660478"/>
    <w:rsid w:val="006604A1"/>
    <w:rsid w:val="00660551"/>
    <w:rsid w:val="0066055E"/>
    <w:rsid w:val="00660598"/>
    <w:rsid w:val="0066064F"/>
    <w:rsid w:val="0066065E"/>
    <w:rsid w:val="00660673"/>
    <w:rsid w:val="006606A4"/>
    <w:rsid w:val="006606AE"/>
    <w:rsid w:val="00660832"/>
    <w:rsid w:val="00660866"/>
    <w:rsid w:val="00660883"/>
    <w:rsid w:val="006608FA"/>
    <w:rsid w:val="0066090C"/>
    <w:rsid w:val="00660953"/>
    <w:rsid w:val="00660994"/>
    <w:rsid w:val="006609F4"/>
    <w:rsid w:val="00660AE3"/>
    <w:rsid w:val="00660B45"/>
    <w:rsid w:val="00660C27"/>
    <w:rsid w:val="00660C58"/>
    <w:rsid w:val="00660C5D"/>
    <w:rsid w:val="00660C77"/>
    <w:rsid w:val="00660DD9"/>
    <w:rsid w:val="00660DE7"/>
    <w:rsid w:val="00660E87"/>
    <w:rsid w:val="00660ED0"/>
    <w:rsid w:val="00660F03"/>
    <w:rsid w:val="00660F9D"/>
    <w:rsid w:val="00660FB9"/>
    <w:rsid w:val="00660FE1"/>
    <w:rsid w:val="00661020"/>
    <w:rsid w:val="006610B0"/>
    <w:rsid w:val="00661138"/>
    <w:rsid w:val="0066117C"/>
    <w:rsid w:val="0066121E"/>
    <w:rsid w:val="00661240"/>
    <w:rsid w:val="006612B4"/>
    <w:rsid w:val="006612D4"/>
    <w:rsid w:val="00661368"/>
    <w:rsid w:val="006613C1"/>
    <w:rsid w:val="00661464"/>
    <w:rsid w:val="00661470"/>
    <w:rsid w:val="006614BE"/>
    <w:rsid w:val="006614C1"/>
    <w:rsid w:val="006614D0"/>
    <w:rsid w:val="00661534"/>
    <w:rsid w:val="006615B4"/>
    <w:rsid w:val="00661603"/>
    <w:rsid w:val="00661646"/>
    <w:rsid w:val="00661A11"/>
    <w:rsid w:val="00661B02"/>
    <w:rsid w:val="00661B0F"/>
    <w:rsid w:val="00661B1E"/>
    <w:rsid w:val="00661C26"/>
    <w:rsid w:val="00661C80"/>
    <w:rsid w:val="00661CE9"/>
    <w:rsid w:val="00661DB4"/>
    <w:rsid w:val="00661DC2"/>
    <w:rsid w:val="00661DFB"/>
    <w:rsid w:val="00661E53"/>
    <w:rsid w:val="00661E89"/>
    <w:rsid w:val="00661EBB"/>
    <w:rsid w:val="00661F01"/>
    <w:rsid w:val="00661F04"/>
    <w:rsid w:val="00661F3F"/>
    <w:rsid w:val="00661FA8"/>
    <w:rsid w:val="00661FCD"/>
    <w:rsid w:val="00661FEF"/>
    <w:rsid w:val="00661FF0"/>
    <w:rsid w:val="0066205B"/>
    <w:rsid w:val="0066206D"/>
    <w:rsid w:val="006620D2"/>
    <w:rsid w:val="006620D9"/>
    <w:rsid w:val="006621B8"/>
    <w:rsid w:val="0066220C"/>
    <w:rsid w:val="00662289"/>
    <w:rsid w:val="00662296"/>
    <w:rsid w:val="006622A1"/>
    <w:rsid w:val="006622ED"/>
    <w:rsid w:val="00662343"/>
    <w:rsid w:val="00662354"/>
    <w:rsid w:val="006623A2"/>
    <w:rsid w:val="006623DE"/>
    <w:rsid w:val="0066240C"/>
    <w:rsid w:val="00662462"/>
    <w:rsid w:val="006625C1"/>
    <w:rsid w:val="006625DC"/>
    <w:rsid w:val="006625FC"/>
    <w:rsid w:val="00662609"/>
    <w:rsid w:val="0066261B"/>
    <w:rsid w:val="0066262D"/>
    <w:rsid w:val="00662712"/>
    <w:rsid w:val="00662724"/>
    <w:rsid w:val="00662755"/>
    <w:rsid w:val="006627D4"/>
    <w:rsid w:val="0066287B"/>
    <w:rsid w:val="006628B5"/>
    <w:rsid w:val="00662975"/>
    <w:rsid w:val="006629C3"/>
    <w:rsid w:val="006629FF"/>
    <w:rsid w:val="00662A0E"/>
    <w:rsid w:val="00662A5E"/>
    <w:rsid w:val="00662AAF"/>
    <w:rsid w:val="00662AB9"/>
    <w:rsid w:val="00662B06"/>
    <w:rsid w:val="00662B57"/>
    <w:rsid w:val="00662BC0"/>
    <w:rsid w:val="00662C2E"/>
    <w:rsid w:val="00662C68"/>
    <w:rsid w:val="00662CCD"/>
    <w:rsid w:val="00662D47"/>
    <w:rsid w:val="00662D52"/>
    <w:rsid w:val="00662D7C"/>
    <w:rsid w:val="00662DA6"/>
    <w:rsid w:val="00662DE9"/>
    <w:rsid w:val="00662DFB"/>
    <w:rsid w:val="00662F54"/>
    <w:rsid w:val="00662FCB"/>
    <w:rsid w:val="0066303F"/>
    <w:rsid w:val="0066304D"/>
    <w:rsid w:val="00663085"/>
    <w:rsid w:val="0066309A"/>
    <w:rsid w:val="006630DD"/>
    <w:rsid w:val="006631C5"/>
    <w:rsid w:val="0066324C"/>
    <w:rsid w:val="00663254"/>
    <w:rsid w:val="00663265"/>
    <w:rsid w:val="0066328C"/>
    <w:rsid w:val="006632B5"/>
    <w:rsid w:val="006632F8"/>
    <w:rsid w:val="0066333E"/>
    <w:rsid w:val="00663351"/>
    <w:rsid w:val="006633A9"/>
    <w:rsid w:val="006633E7"/>
    <w:rsid w:val="006633F1"/>
    <w:rsid w:val="0066346C"/>
    <w:rsid w:val="006634C0"/>
    <w:rsid w:val="006635DD"/>
    <w:rsid w:val="006635FC"/>
    <w:rsid w:val="00663600"/>
    <w:rsid w:val="006636BF"/>
    <w:rsid w:val="0066373D"/>
    <w:rsid w:val="006637D3"/>
    <w:rsid w:val="0066380A"/>
    <w:rsid w:val="0066389D"/>
    <w:rsid w:val="006638CF"/>
    <w:rsid w:val="006638E1"/>
    <w:rsid w:val="0066392C"/>
    <w:rsid w:val="0066397D"/>
    <w:rsid w:val="006639CA"/>
    <w:rsid w:val="00663ABE"/>
    <w:rsid w:val="00663AC2"/>
    <w:rsid w:val="00663AEA"/>
    <w:rsid w:val="00663B86"/>
    <w:rsid w:val="00663BE9"/>
    <w:rsid w:val="00663C65"/>
    <w:rsid w:val="00663C67"/>
    <w:rsid w:val="00663CF2"/>
    <w:rsid w:val="00663D75"/>
    <w:rsid w:val="00663E7C"/>
    <w:rsid w:val="00663EC9"/>
    <w:rsid w:val="00663F72"/>
    <w:rsid w:val="00663F88"/>
    <w:rsid w:val="00663F95"/>
    <w:rsid w:val="00663FF8"/>
    <w:rsid w:val="00664003"/>
    <w:rsid w:val="006640EC"/>
    <w:rsid w:val="00664159"/>
    <w:rsid w:val="00664164"/>
    <w:rsid w:val="006641AD"/>
    <w:rsid w:val="00664258"/>
    <w:rsid w:val="006642CB"/>
    <w:rsid w:val="0066437A"/>
    <w:rsid w:val="0066437B"/>
    <w:rsid w:val="006643BE"/>
    <w:rsid w:val="006644CC"/>
    <w:rsid w:val="006644D1"/>
    <w:rsid w:val="00664587"/>
    <w:rsid w:val="00664683"/>
    <w:rsid w:val="006646CA"/>
    <w:rsid w:val="006646F2"/>
    <w:rsid w:val="00664729"/>
    <w:rsid w:val="00664753"/>
    <w:rsid w:val="00664792"/>
    <w:rsid w:val="0066484E"/>
    <w:rsid w:val="00664877"/>
    <w:rsid w:val="00664903"/>
    <w:rsid w:val="006649C4"/>
    <w:rsid w:val="006649D8"/>
    <w:rsid w:val="006649DC"/>
    <w:rsid w:val="00664A3F"/>
    <w:rsid w:val="00664A52"/>
    <w:rsid w:val="00664A55"/>
    <w:rsid w:val="00664A65"/>
    <w:rsid w:val="00664A6D"/>
    <w:rsid w:val="00664AB1"/>
    <w:rsid w:val="00664BB9"/>
    <w:rsid w:val="00664C3A"/>
    <w:rsid w:val="00664C99"/>
    <w:rsid w:val="00664CAA"/>
    <w:rsid w:val="00664CD6"/>
    <w:rsid w:val="00664D17"/>
    <w:rsid w:val="00664D3F"/>
    <w:rsid w:val="00664DAE"/>
    <w:rsid w:val="00664F97"/>
    <w:rsid w:val="00664FFD"/>
    <w:rsid w:val="00665019"/>
    <w:rsid w:val="00665045"/>
    <w:rsid w:val="00665068"/>
    <w:rsid w:val="006650FD"/>
    <w:rsid w:val="00665148"/>
    <w:rsid w:val="0066517A"/>
    <w:rsid w:val="006651F3"/>
    <w:rsid w:val="0066520A"/>
    <w:rsid w:val="0066525E"/>
    <w:rsid w:val="0066529D"/>
    <w:rsid w:val="0066533D"/>
    <w:rsid w:val="0066535A"/>
    <w:rsid w:val="00665363"/>
    <w:rsid w:val="006653C0"/>
    <w:rsid w:val="00665455"/>
    <w:rsid w:val="006654DF"/>
    <w:rsid w:val="00665525"/>
    <w:rsid w:val="006655B0"/>
    <w:rsid w:val="00665607"/>
    <w:rsid w:val="00665618"/>
    <w:rsid w:val="0066567A"/>
    <w:rsid w:val="00665688"/>
    <w:rsid w:val="0066568D"/>
    <w:rsid w:val="00665725"/>
    <w:rsid w:val="00665737"/>
    <w:rsid w:val="00665766"/>
    <w:rsid w:val="0066576C"/>
    <w:rsid w:val="00665773"/>
    <w:rsid w:val="00665898"/>
    <w:rsid w:val="00665904"/>
    <w:rsid w:val="00665974"/>
    <w:rsid w:val="00665996"/>
    <w:rsid w:val="006659C2"/>
    <w:rsid w:val="006659D7"/>
    <w:rsid w:val="006659DC"/>
    <w:rsid w:val="00665A1A"/>
    <w:rsid w:val="00665AD3"/>
    <w:rsid w:val="00665B25"/>
    <w:rsid w:val="00665B4D"/>
    <w:rsid w:val="00665B87"/>
    <w:rsid w:val="00665B92"/>
    <w:rsid w:val="00665C9D"/>
    <w:rsid w:val="00665CA4"/>
    <w:rsid w:val="00665D22"/>
    <w:rsid w:val="00666057"/>
    <w:rsid w:val="0066611C"/>
    <w:rsid w:val="00666145"/>
    <w:rsid w:val="00666277"/>
    <w:rsid w:val="0066628F"/>
    <w:rsid w:val="0066630B"/>
    <w:rsid w:val="00666368"/>
    <w:rsid w:val="006663FF"/>
    <w:rsid w:val="006664CC"/>
    <w:rsid w:val="006664FD"/>
    <w:rsid w:val="00666509"/>
    <w:rsid w:val="00666556"/>
    <w:rsid w:val="00666594"/>
    <w:rsid w:val="00666621"/>
    <w:rsid w:val="00666667"/>
    <w:rsid w:val="00666683"/>
    <w:rsid w:val="006666BB"/>
    <w:rsid w:val="006666D3"/>
    <w:rsid w:val="00666732"/>
    <w:rsid w:val="006667B9"/>
    <w:rsid w:val="00666964"/>
    <w:rsid w:val="00666975"/>
    <w:rsid w:val="006669C3"/>
    <w:rsid w:val="00666A4A"/>
    <w:rsid w:val="00666C6B"/>
    <w:rsid w:val="00666C6C"/>
    <w:rsid w:val="00666C6E"/>
    <w:rsid w:val="00666CC6"/>
    <w:rsid w:val="00666CCC"/>
    <w:rsid w:val="00666CEB"/>
    <w:rsid w:val="00666DF8"/>
    <w:rsid w:val="00666E77"/>
    <w:rsid w:val="00666EA4"/>
    <w:rsid w:val="00666EED"/>
    <w:rsid w:val="00666F13"/>
    <w:rsid w:val="00666F2A"/>
    <w:rsid w:val="00666F9D"/>
    <w:rsid w:val="0066700F"/>
    <w:rsid w:val="00667059"/>
    <w:rsid w:val="006670EC"/>
    <w:rsid w:val="006670F8"/>
    <w:rsid w:val="0066714E"/>
    <w:rsid w:val="006671B4"/>
    <w:rsid w:val="006671DF"/>
    <w:rsid w:val="00667280"/>
    <w:rsid w:val="00667315"/>
    <w:rsid w:val="00667479"/>
    <w:rsid w:val="00667526"/>
    <w:rsid w:val="0066752F"/>
    <w:rsid w:val="006675A7"/>
    <w:rsid w:val="006675E9"/>
    <w:rsid w:val="00667626"/>
    <w:rsid w:val="00667725"/>
    <w:rsid w:val="0066777E"/>
    <w:rsid w:val="006677E5"/>
    <w:rsid w:val="0066781E"/>
    <w:rsid w:val="006678D4"/>
    <w:rsid w:val="00667961"/>
    <w:rsid w:val="00667973"/>
    <w:rsid w:val="006679FE"/>
    <w:rsid w:val="00667AF3"/>
    <w:rsid w:val="00667AF9"/>
    <w:rsid w:val="00667C33"/>
    <w:rsid w:val="00667CC6"/>
    <w:rsid w:val="00667D2F"/>
    <w:rsid w:val="00667EA7"/>
    <w:rsid w:val="00667EC8"/>
    <w:rsid w:val="00667F0F"/>
    <w:rsid w:val="00667F72"/>
    <w:rsid w:val="00667FC3"/>
    <w:rsid w:val="00670075"/>
    <w:rsid w:val="006700A3"/>
    <w:rsid w:val="006700E9"/>
    <w:rsid w:val="0067016D"/>
    <w:rsid w:val="00670196"/>
    <w:rsid w:val="006701A4"/>
    <w:rsid w:val="0067025E"/>
    <w:rsid w:val="0067028B"/>
    <w:rsid w:val="0067029C"/>
    <w:rsid w:val="006703BA"/>
    <w:rsid w:val="006703FF"/>
    <w:rsid w:val="00670410"/>
    <w:rsid w:val="0067041D"/>
    <w:rsid w:val="006704A9"/>
    <w:rsid w:val="006704CD"/>
    <w:rsid w:val="00670513"/>
    <w:rsid w:val="00670553"/>
    <w:rsid w:val="006705E2"/>
    <w:rsid w:val="006705E7"/>
    <w:rsid w:val="00670615"/>
    <w:rsid w:val="006706BC"/>
    <w:rsid w:val="006706D0"/>
    <w:rsid w:val="006707A1"/>
    <w:rsid w:val="006709C2"/>
    <w:rsid w:val="00670A84"/>
    <w:rsid w:val="00670B3C"/>
    <w:rsid w:val="00670B50"/>
    <w:rsid w:val="00670B6A"/>
    <w:rsid w:val="00670C76"/>
    <w:rsid w:val="00670CAE"/>
    <w:rsid w:val="00670CB8"/>
    <w:rsid w:val="00670D25"/>
    <w:rsid w:val="00670DA2"/>
    <w:rsid w:val="00670DB6"/>
    <w:rsid w:val="00670DCE"/>
    <w:rsid w:val="00670E47"/>
    <w:rsid w:val="00670E4E"/>
    <w:rsid w:val="00670E6D"/>
    <w:rsid w:val="00670EE6"/>
    <w:rsid w:val="00670F46"/>
    <w:rsid w:val="00670F70"/>
    <w:rsid w:val="00670FAF"/>
    <w:rsid w:val="00671061"/>
    <w:rsid w:val="00671072"/>
    <w:rsid w:val="006710EE"/>
    <w:rsid w:val="0067110B"/>
    <w:rsid w:val="00671121"/>
    <w:rsid w:val="0067115E"/>
    <w:rsid w:val="00671161"/>
    <w:rsid w:val="006711A6"/>
    <w:rsid w:val="0067139F"/>
    <w:rsid w:val="00671428"/>
    <w:rsid w:val="00671485"/>
    <w:rsid w:val="006714A9"/>
    <w:rsid w:val="006714EA"/>
    <w:rsid w:val="0067151B"/>
    <w:rsid w:val="00671545"/>
    <w:rsid w:val="00671694"/>
    <w:rsid w:val="006717C9"/>
    <w:rsid w:val="006718D9"/>
    <w:rsid w:val="00671A12"/>
    <w:rsid w:val="00671A2A"/>
    <w:rsid w:val="00671A63"/>
    <w:rsid w:val="00671B49"/>
    <w:rsid w:val="00671BDC"/>
    <w:rsid w:val="00671C4A"/>
    <w:rsid w:val="00671CC7"/>
    <w:rsid w:val="00671D0A"/>
    <w:rsid w:val="00671DF4"/>
    <w:rsid w:val="00671EAF"/>
    <w:rsid w:val="00671EBA"/>
    <w:rsid w:val="00671EDD"/>
    <w:rsid w:val="00671FBB"/>
    <w:rsid w:val="00672049"/>
    <w:rsid w:val="00672071"/>
    <w:rsid w:val="00672081"/>
    <w:rsid w:val="0067208B"/>
    <w:rsid w:val="006720A1"/>
    <w:rsid w:val="006720BA"/>
    <w:rsid w:val="006720E6"/>
    <w:rsid w:val="00672184"/>
    <w:rsid w:val="006724EB"/>
    <w:rsid w:val="0067255C"/>
    <w:rsid w:val="00672621"/>
    <w:rsid w:val="00672684"/>
    <w:rsid w:val="006726A9"/>
    <w:rsid w:val="006726B9"/>
    <w:rsid w:val="00672760"/>
    <w:rsid w:val="00672776"/>
    <w:rsid w:val="006727B3"/>
    <w:rsid w:val="006728A0"/>
    <w:rsid w:val="006728A4"/>
    <w:rsid w:val="006728F1"/>
    <w:rsid w:val="0067292A"/>
    <w:rsid w:val="006729C7"/>
    <w:rsid w:val="006729F3"/>
    <w:rsid w:val="00672A08"/>
    <w:rsid w:val="00672A0C"/>
    <w:rsid w:val="00672A58"/>
    <w:rsid w:val="00672ACB"/>
    <w:rsid w:val="00672AD3"/>
    <w:rsid w:val="00672B07"/>
    <w:rsid w:val="00672B2D"/>
    <w:rsid w:val="00672BEA"/>
    <w:rsid w:val="00672C76"/>
    <w:rsid w:val="00672CA3"/>
    <w:rsid w:val="00672CA5"/>
    <w:rsid w:val="00672CB6"/>
    <w:rsid w:val="00672CD6"/>
    <w:rsid w:val="00672CFF"/>
    <w:rsid w:val="00672D61"/>
    <w:rsid w:val="00672D84"/>
    <w:rsid w:val="00672D98"/>
    <w:rsid w:val="00672DF0"/>
    <w:rsid w:val="00672E4A"/>
    <w:rsid w:val="00672ED1"/>
    <w:rsid w:val="00672F1B"/>
    <w:rsid w:val="0067302A"/>
    <w:rsid w:val="0067303A"/>
    <w:rsid w:val="00673072"/>
    <w:rsid w:val="006730E3"/>
    <w:rsid w:val="00673113"/>
    <w:rsid w:val="00673138"/>
    <w:rsid w:val="00673175"/>
    <w:rsid w:val="006731B6"/>
    <w:rsid w:val="006731FB"/>
    <w:rsid w:val="0067324D"/>
    <w:rsid w:val="00673286"/>
    <w:rsid w:val="00673297"/>
    <w:rsid w:val="00673367"/>
    <w:rsid w:val="00673406"/>
    <w:rsid w:val="006734F8"/>
    <w:rsid w:val="0067351F"/>
    <w:rsid w:val="00673556"/>
    <w:rsid w:val="006735AA"/>
    <w:rsid w:val="00673624"/>
    <w:rsid w:val="0067363A"/>
    <w:rsid w:val="00673676"/>
    <w:rsid w:val="006736C7"/>
    <w:rsid w:val="00673818"/>
    <w:rsid w:val="0067385D"/>
    <w:rsid w:val="006738A2"/>
    <w:rsid w:val="006738B1"/>
    <w:rsid w:val="0067391D"/>
    <w:rsid w:val="00673943"/>
    <w:rsid w:val="00673A05"/>
    <w:rsid w:val="00673A11"/>
    <w:rsid w:val="00673A30"/>
    <w:rsid w:val="00673A4E"/>
    <w:rsid w:val="00673A53"/>
    <w:rsid w:val="00673A55"/>
    <w:rsid w:val="00673B42"/>
    <w:rsid w:val="00673B6C"/>
    <w:rsid w:val="00673D9A"/>
    <w:rsid w:val="00673DA8"/>
    <w:rsid w:val="00673DCC"/>
    <w:rsid w:val="00673DF8"/>
    <w:rsid w:val="00673F2C"/>
    <w:rsid w:val="00673FAD"/>
    <w:rsid w:val="00673FE1"/>
    <w:rsid w:val="006740D4"/>
    <w:rsid w:val="006740FD"/>
    <w:rsid w:val="00674140"/>
    <w:rsid w:val="0067415C"/>
    <w:rsid w:val="006741F0"/>
    <w:rsid w:val="0067420D"/>
    <w:rsid w:val="00674215"/>
    <w:rsid w:val="00674239"/>
    <w:rsid w:val="00674256"/>
    <w:rsid w:val="00674282"/>
    <w:rsid w:val="0067430B"/>
    <w:rsid w:val="006743B6"/>
    <w:rsid w:val="00674425"/>
    <w:rsid w:val="0067448C"/>
    <w:rsid w:val="006744F5"/>
    <w:rsid w:val="0067451A"/>
    <w:rsid w:val="00674520"/>
    <w:rsid w:val="006745C3"/>
    <w:rsid w:val="006745FF"/>
    <w:rsid w:val="00674671"/>
    <w:rsid w:val="0067469D"/>
    <w:rsid w:val="0067474F"/>
    <w:rsid w:val="00674754"/>
    <w:rsid w:val="00674763"/>
    <w:rsid w:val="00674829"/>
    <w:rsid w:val="006748DE"/>
    <w:rsid w:val="00674905"/>
    <w:rsid w:val="006749C9"/>
    <w:rsid w:val="00674A3E"/>
    <w:rsid w:val="00674A52"/>
    <w:rsid w:val="00674B39"/>
    <w:rsid w:val="00674C6A"/>
    <w:rsid w:val="00674C85"/>
    <w:rsid w:val="00674CDA"/>
    <w:rsid w:val="00674D0C"/>
    <w:rsid w:val="00674D13"/>
    <w:rsid w:val="00674D23"/>
    <w:rsid w:val="00674D5E"/>
    <w:rsid w:val="00674DF2"/>
    <w:rsid w:val="00674DFE"/>
    <w:rsid w:val="00674E13"/>
    <w:rsid w:val="00674EA0"/>
    <w:rsid w:val="00674EA9"/>
    <w:rsid w:val="00674EB1"/>
    <w:rsid w:val="00674EB3"/>
    <w:rsid w:val="00674EF5"/>
    <w:rsid w:val="00674FD0"/>
    <w:rsid w:val="00675027"/>
    <w:rsid w:val="00675084"/>
    <w:rsid w:val="006750BA"/>
    <w:rsid w:val="0067510F"/>
    <w:rsid w:val="00675256"/>
    <w:rsid w:val="0067534A"/>
    <w:rsid w:val="006753DF"/>
    <w:rsid w:val="006753EB"/>
    <w:rsid w:val="0067541B"/>
    <w:rsid w:val="006754A0"/>
    <w:rsid w:val="006754C7"/>
    <w:rsid w:val="00675788"/>
    <w:rsid w:val="006757A7"/>
    <w:rsid w:val="006757D6"/>
    <w:rsid w:val="006757D9"/>
    <w:rsid w:val="00675815"/>
    <w:rsid w:val="0067588E"/>
    <w:rsid w:val="006758F9"/>
    <w:rsid w:val="0067594E"/>
    <w:rsid w:val="00675953"/>
    <w:rsid w:val="00675AB1"/>
    <w:rsid w:val="00675AC4"/>
    <w:rsid w:val="00675C37"/>
    <w:rsid w:val="00675CB1"/>
    <w:rsid w:val="00675CC6"/>
    <w:rsid w:val="00675CF8"/>
    <w:rsid w:val="00675D38"/>
    <w:rsid w:val="00675DDD"/>
    <w:rsid w:val="00675DEE"/>
    <w:rsid w:val="00675E1D"/>
    <w:rsid w:val="00675E2B"/>
    <w:rsid w:val="00675F0F"/>
    <w:rsid w:val="00675F38"/>
    <w:rsid w:val="00675F9D"/>
    <w:rsid w:val="0067602A"/>
    <w:rsid w:val="0067603E"/>
    <w:rsid w:val="00676053"/>
    <w:rsid w:val="006760AD"/>
    <w:rsid w:val="006761AA"/>
    <w:rsid w:val="00676224"/>
    <w:rsid w:val="006762C8"/>
    <w:rsid w:val="006762D0"/>
    <w:rsid w:val="006762F6"/>
    <w:rsid w:val="00676375"/>
    <w:rsid w:val="006763CA"/>
    <w:rsid w:val="0067642C"/>
    <w:rsid w:val="0067644C"/>
    <w:rsid w:val="00676494"/>
    <w:rsid w:val="00676628"/>
    <w:rsid w:val="00676696"/>
    <w:rsid w:val="0067677C"/>
    <w:rsid w:val="00676791"/>
    <w:rsid w:val="006767FE"/>
    <w:rsid w:val="0067680F"/>
    <w:rsid w:val="00676839"/>
    <w:rsid w:val="00676897"/>
    <w:rsid w:val="006768D3"/>
    <w:rsid w:val="0067698E"/>
    <w:rsid w:val="0067698F"/>
    <w:rsid w:val="006769E4"/>
    <w:rsid w:val="00676A1A"/>
    <w:rsid w:val="00676A84"/>
    <w:rsid w:val="00676AB4"/>
    <w:rsid w:val="00676B8C"/>
    <w:rsid w:val="00676B93"/>
    <w:rsid w:val="00676E1D"/>
    <w:rsid w:val="0067710A"/>
    <w:rsid w:val="0067713B"/>
    <w:rsid w:val="0067715B"/>
    <w:rsid w:val="0067716B"/>
    <w:rsid w:val="0067718F"/>
    <w:rsid w:val="0067723D"/>
    <w:rsid w:val="006772F2"/>
    <w:rsid w:val="00677329"/>
    <w:rsid w:val="00677382"/>
    <w:rsid w:val="0067738B"/>
    <w:rsid w:val="006773DA"/>
    <w:rsid w:val="0067743E"/>
    <w:rsid w:val="00677467"/>
    <w:rsid w:val="0067746B"/>
    <w:rsid w:val="0067755F"/>
    <w:rsid w:val="006775DD"/>
    <w:rsid w:val="0067766B"/>
    <w:rsid w:val="00677674"/>
    <w:rsid w:val="00677683"/>
    <w:rsid w:val="0067768B"/>
    <w:rsid w:val="006776B5"/>
    <w:rsid w:val="0067780A"/>
    <w:rsid w:val="00677848"/>
    <w:rsid w:val="0067798C"/>
    <w:rsid w:val="006779D5"/>
    <w:rsid w:val="00677A06"/>
    <w:rsid w:val="00677AF6"/>
    <w:rsid w:val="00677AF7"/>
    <w:rsid w:val="00677B60"/>
    <w:rsid w:val="00677C67"/>
    <w:rsid w:val="00677C6D"/>
    <w:rsid w:val="00677D2D"/>
    <w:rsid w:val="00677D4E"/>
    <w:rsid w:val="00677D58"/>
    <w:rsid w:val="00677D8A"/>
    <w:rsid w:val="00677DAA"/>
    <w:rsid w:val="00677E41"/>
    <w:rsid w:val="00677E99"/>
    <w:rsid w:val="00677F18"/>
    <w:rsid w:val="00677FE6"/>
    <w:rsid w:val="00677FF7"/>
    <w:rsid w:val="0068008A"/>
    <w:rsid w:val="00680133"/>
    <w:rsid w:val="00680139"/>
    <w:rsid w:val="00680161"/>
    <w:rsid w:val="00680262"/>
    <w:rsid w:val="006802F7"/>
    <w:rsid w:val="00680361"/>
    <w:rsid w:val="006803CF"/>
    <w:rsid w:val="00680418"/>
    <w:rsid w:val="006804D0"/>
    <w:rsid w:val="00680523"/>
    <w:rsid w:val="006805B1"/>
    <w:rsid w:val="006805BA"/>
    <w:rsid w:val="00680632"/>
    <w:rsid w:val="006806FB"/>
    <w:rsid w:val="00680756"/>
    <w:rsid w:val="006807AD"/>
    <w:rsid w:val="006807D7"/>
    <w:rsid w:val="0068080E"/>
    <w:rsid w:val="00680918"/>
    <w:rsid w:val="0068091A"/>
    <w:rsid w:val="0068097B"/>
    <w:rsid w:val="006809EC"/>
    <w:rsid w:val="00680A8F"/>
    <w:rsid w:val="00680BD1"/>
    <w:rsid w:val="00680C64"/>
    <w:rsid w:val="00680C6F"/>
    <w:rsid w:val="00680CA6"/>
    <w:rsid w:val="00680D0E"/>
    <w:rsid w:val="00680DFC"/>
    <w:rsid w:val="00680E4A"/>
    <w:rsid w:val="00680F13"/>
    <w:rsid w:val="00680F39"/>
    <w:rsid w:val="006810AB"/>
    <w:rsid w:val="006810CB"/>
    <w:rsid w:val="0068116F"/>
    <w:rsid w:val="006811B0"/>
    <w:rsid w:val="006811D4"/>
    <w:rsid w:val="006811F1"/>
    <w:rsid w:val="006811F8"/>
    <w:rsid w:val="00681228"/>
    <w:rsid w:val="006813B9"/>
    <w:rsid w:val="006813BC"/>
    <w:rsid w:val="0068141C"/>
    <w:rsid w:val="006814B1"/>
    <w:rsid w:val="006814C4"/>
    <w:rsid w:val="006814D2"/>
    <w:rsid w:val="006814F0"/>
    <w:rsid w:val="0068154B"/>
    <w:rsid w:val="00681612"/>
    <w:rsid w:val="006816A5"/>
    <w:rsid w:val="006816E8"/>
    <w:rsid w:val="00681714"/>
    <w:rsid w:val="0068174C"/>
    <w:rsid w:val="0068182E"/>
    <w:rsid w:val="00681840"/>
    <w:rsid w:val="006818DA"/>
    <w:rsid w:val="006818F7"/>
    <w:rsid w:val="00681932"/>
    <w:rsid w:val="00681935"/>
    <w:rsid w:val="00681938"/>
    <w:rsid w:val="00681947"/>
    <w:rsid w:val="0068197E"/>
    <w:rsid w:val="006819AE"/>
    <w:rsid w:val="006819D2"/>
    <w:rsid w:val="006819F1"/>
    <w:rsid w:val="00681AD6"/>
    <w:rsid w:val="00681B19"/>
    <w:rsid w:val="00681B2E"/>
    <w:rsid w:val="00681B71"/>
    <w:rsid w:val="00681B7E"/>
    <w:rsid w:val="00681B9D"/>
    <w:rsid w:val="00681BB2"/>
    <w:rsid w:val="00681C27"/>
    <w:rsid w:val="00681CB7"/>
    <w:rsid w:val="00681D61"/>
    <w:rsid w:val="00681DCD"/>
    <w:rsid w:val="00681DD9"/>
    <w:rsid w:val="00681DE2"/>
    <w:rsid w:val="00681E1B"/>
    <w:rsid w:val="00681E63"/>
    <w:rsid w:val="00681E74"/>
    <w:rsid w:val="00681F18"/>
    <w:rsid w:val="00681FCC"/>
    <w:rsid w:val="00681FDB"/>
    <w:rsid w:val="00682009"/>
    <w:rsid w:val="006820F7"/>
    <w:rsid w:val="00682112"/>
    <w:rsid w:val="00682127"/>
    <w:rsid w:val="00682164"/>
    <w:rsid w:val="006821B1"/>
    <w:rsid w:val="00682413"/>
    <w:rsid w:val="00682426"/>
    <w:rsid w:val="00682492"/>
    <w:rsid w:val="0068249F"/>
    <w:rsid w:val="006825AB"/>
    <w:rsid w:val="00682630"/>
    <w:rsid w:val="00682648"/>
    <w:rsid w:val="00682761"/>
    <w:rsid w:val="0068278D"/>
    <w:rsid w:val="006827B1"/>
    <w:rsid w:val="0068289C"/>
    <w:rsid w:val="006828AB"/>
    <w:rsid w:val="006828B5"/>
    <w:rsid w:val="00682A13"/>
    <w:rsid w:val="00682B64"/>
    <w:rsid w:val="00682C5A"/>
    <w:rsid w:val="00682D2D"/>
    <w:rsid w:val="00682D31"/>
    <w:rsid w:val="00682D56"/>
    <w:rsid w:val="00682DA5"/>
    <w:rsid w:val="00682DD1"/>
    <w:rsid w:val="00682E31"/>
    <w:rsid w:val="00682E42"/>
    <w:rsid w:val="00682E4B"/>
    <w:rsid w:val="00682E87"/>
    <w:rsid w:val="00682EBC"/>
    <w:rsid w:val="00682F0C"/>
    <w:rsid w:val="00682F1F"/>
    <w:rsid w:val="00682F44"/>
    <w:rsid w:val="00683005"/>
    <w:rsid w:val="0068317A"/>
    <w:rsid w:val="006831A5"/>
    <w:rsid w:val="00683218"/>
    <w:rsid w:val="00683248"/>
    <w:rsid w:val="0068328F"/>
    <w:rsid w:val="0068329E"/>
    <w:rsid w:val="006832B1"/>
    <w:rsid w:val="00683300"/>
    <w:rsid w:val="0068336C"/>
    <w:rsid w:val="006833B6"/>
    <w:rsid w:val="00683451"/>
    <w:rsid w:val="00683456"/>
    <w:rsid w:val="00683489"/>
    <w:rsid w:val="00683535"/>
    <w:rsid w:val="00683543"/>
    <w:rsid w:val="00683649"/>
    <w:rsid w:val="00683717"/>
    <w:rsid w:val="00683827"/>
    <w:rsid w:val="00683899"/>
    <w:rsid w:val="00683904"/>
    <w:rsid w:val="0068391D"/>
    <w:rsid w:val="00683931"/>
    <w:rsid w:val="00683939"/>
    <w:rsid w:val="00683994"/>
    <w:rsid w:val="006839FC"/>
    <w:rsid w:val="00683A7B"/>
    <w:rsid w:val="00683AB7"/>
    <w:rsid w:val="00683B38"/>
    <w:rsid w:val="00683C79"/>
    <w:rsid w:val="00683CDF"/>
    <w:rsid w:val="00683D1F"/>
    <w:rsid w:val="00683D45"/>
    <w:rsid w:val="00683D7A"/>
    <w:rsid w:val="00683DE5"/>
    <w:rsid w:val="00683E5C"/>
    <w:rsid w:val="00683EBF"/>
    <w:rsid w:val="00683F86"/>
    <w:rsid w:val="00683F9C"/>
    <w:rsid w:val="0068400C"/>
    <w:rsid w:val="00684020"/>
    <w:rsid w:val="00684082"/>
    <w:rsid w:val="006840C1"/>
    <w:rsid w:val="0068416A"/>
    <w:rsid w:val="006841C9"/>
    <w:rsid w:val="006841DD"/>
    <w:rsid w:val="00684247"/>
    <w:rsid w:val="00684281"/>
    <w:rsid w:val="006842E5"/>
    <w:rsid w:val="006844E3"/>
    <w:rsid w:val="006845EA"/>
    <w:rsid w:val="0068466D"/>
    <w:rsid w:val="006846B3"/>
    <w:rsid w:val="00684799"/>
    <w:rsid w:val="00684894"/>
    <w:rsid w:val="006849F3"/>
    <w:rsid w:val="00684A42"/>
    <w:rsid w:val="00684A5D"/>
    <w:rsid w:val="00684A72"/>
    <w:rsid w:val="00684A91"/>
    <w:rsid w:val="00684AD8"/>
    <w:rsid w:val="00684AEC"/>
    <w:rsid w:val="00684B41"/>
    <w:rsid w:val="00684B6F"/>
    <w:rsid w:val="00684BBC"/>
    <w:rsid w:val="00684C1A"/>
    <w:rsid w:val="00684C44"/>
    <w:rsid w:val="00684C90"/>
    <w:rsid w:val="00684CE5"/>
    <w:rsid w:val="00684CF9"/>
    <w:rsid w:val="00684D45"/>
    <w:rsid w:val="00684D9B"/>
    <w:rsid w:val="00684DDD"/>
    <w:rsid w:val="00684DE9"/>
    <w:rsid w:val="00684DF9"/>
    <w:rsid w:val="00684E3A"/>
    <w:rsid w:val="00684E67"/>
    <w:rsid w:val="00684EF6"/>
    <w:rsid w:val="0068500D"/>
    <w:rsid w:val="00685093"/>
    <w:rsid w:val="00685123"/>
    <w:rsid w:val="00685190"/>
    <w:rsid w:val="006851AA"/>
    <w:rsid w:val="006851F7"/>
    <w:rsid w:val="00685254"/>
    <w:rsid w:val="00685266"/>
    <w:rsid w:val="00685279"/>
    <w:rsid w:val="006852C0"/>
    <w:rsid w:val="006852D8"/>
    <w:rsid w:val="006852FD"/>
    <w:rsid w:val="006853E0"/>
    <w:rsid w:val="00685407"/>
    <w:rsid w:val="006855AC"/>
    <w:rsid w:val="006855F6"/>
    <w:rsid w:val="00685612"/>
    <w:rsid w:val="00685655"/>
    <w:rsid w:val="00685699"/>
    <w:rsid w:val="006856DF"/>
    <w:rsid w:val="0068571B"/>
    <w:rsid w:val="00685733"/>
    <w:rsid w:val="00685744"/>
    <w:rsid w:val="006857BB"/>
    <w:rsid w:val="006857C2"/>
    <w:rsid w:val="006857EE"/>
    <w:rsid w:val="0068582B"/>
    <w:rsid w:val="006858BB"/>
    <w:rsid w:val="006858ED"/>
    <w:rsid w:val="00685917"/>
    <w:rsid w:val="00685948"/>
    <w:rsid w:val="00685953"/>
    <w:rsid w:val="0068596A"/>
    <w:rsid w:val="00685A6D"/>
    <w:rsid w:val="00685AF1"/>
    <w:rsid w:val="00685B03"/>
    <w:rsid w:val="00685B64"/>
    <w:rsid w:val="00685BD8"/>
    <w:rsid w:val="00685D42"/>
    <w:rsid w:val="00685D55"/>
    <w:rsid w:val="00685D6B"/>
    <w:rsid w:val="00685DAC"/>
    <w:rsid w:val="00685E1B"/>
    <w:rsid w:val="00685E60"/>
    <w:rsid w:val="00685EB2"/>
    <w:rsid w:val="00685F1E"/>
    <w:rsid w:val="00686046"/>
    <w:rsid w:val="0068609C"/>
    <w:rsid w:val="006860DD"/>
    <w:rsid w:val="00686159"/>
    <w:rsid w:val="00686213"/>
    <w:rsid w:val="0068621C"/>
    <w:rsid w:val="006862C2"/>
    <w:rsid w:val="006862E5"/>
    <w:rsid w:val="00686355"/>
    <w:rsid w:val="006863A9"/>
    <w:rsid w:val="006863E7"/>
    <w:rsid w:val="00686465"/>
    <w:rsid w:val="006864BA"/>
    <w:rsid w:val="006864BB"/>
    <w:rsid w:val="006864DB"/>
    <w:rsid w:val="006864DE"/>
    <w:rsid w:val="006864F1"/>
    <w:rsid w:val="006864F7"/>
    <w:rsid w:val="00686522"/>
    <w:rsid w:val="00686593"/>
    <w:rsid w:val="0068659B"/>
    <w:rsid w:val="006865A0"/>
    <w:rsid w:val="006866E5"/>
    <w:rsid w:val="0068674D"/>
    <w:rsid w:val="0068679E"/>
    <w:rsid w:val="006868CA"/>
    <w:rsid w:val="00686912"/>
    <w:rsid w:val="00686959"/>
    <w:rsid w:val="0068698C"/>
    <w:rsid w:val="006869B7"/>
    <w:rsid w:val="006869B9"/>
    <w:rsid w:val="00686A34"/>
    <w:rsid w:val="00686A80"/>
    <w:rsid w:val="00686AA8"/>
    <w:rsid w:val="00686AB3"/>
    <w:rsid w:val="00686ADB"/>
    <w:rsid w:val="00686AE6"/>
    <w:rsid w:val="00686BFC"/>
    <w:rsid w:val="00686D9A"/>
    <w:rsid w:val="00686DEE"/>
    <w:rsid w:val="00686E10"/>
    <w:rsid w:val="00686EC4"/>
    <w:rsid w:val="00686F3A"/>
    <w:rsid w:val="00686F62"/>
    <w:rsid w:val="00686F6C"/>
    <w:rsid w:val="00686FDB"/>
    <w:rsid w:val="00687090"/>
    <w:rsid w:val="006870EC"/>
    <w:rsid w:val="006870F3"/>
    <w:rsid w:val="0068712D"/>
    <w:rsid w:val="00687154"/>
    <w:rsid w:val="00687156"/>
    <w:rsid w:val="0068715D"/>
    <w:rsid w:val="006871A6"/>
    <w:rsid w:val="006871B9"/>
    <w:rsid w:val="006871DA"/>
    <w:rsid w:val="006871EB"/>
    <w:rsid w:val="00687265"/>
    <w:rsid w:val="00687279"/>
    <w:rsid w:val="0068729E"/>
    <w:rsid w:val="0068730C"/>
    <w:rsid w:val="0068737F"/>
    <w:rsid w:val="006873FB"/>
    <w:rsid w:val="00687437"/>
    <w:rsid w:val="0068744B"/>
    <w:rsid w:val="00687463"/>
    <w:rsid w:val="00687578"/>
    <w:rsid w:val="00687759"/>
    <w:rsid w:val="00687879"/>
    <w:rsid w:val="00687988"/>
    <w:rsid w:val="006879AC"/>
    <w:rsid w:val="006879D5"/>
    <w:rsid w:val="00687AB3"/>
    <w:rsid w:val="00687AC3"/>
    <w:rsid w:val="00687B21"/>
    <w:rsid w:val="00687BBC"/>
    <w:rsid w:val="00687BCD"/>
    <w:rsid w:val="00687C0F"/>
    <w:rsid w:val="00687C39"/>
    <w:rsid w:val="00687C60"/>
    <w:rsid w:val="00687D3A"/>
    <w:rsid w:val="00687DB5"/>
    <w:rsid w:val="00687DEC"/>
    <w:rsid w:val="00687DF9"/>
    <w:rsid w:val="00687E1B"/>
    <w:rsid w:val="00687E69"/>
    <w:rsid w:val="00687E76"/>
    <w:rsid w:val="00687EF9"/>
    <w:rsid w:val="00687F0E"/>
    <w:rsid w:val="00687F23"/>
    <w:rsid w:val="00687F5B"/>
    <w:rsid w:val="00687F65"/>
    <w:rsid w:val="00687F7A"/>
    <w:rsid w:val="006900AA"/>
    <w:rsid w:val="006900F5"/>
    <w:rsid w:val="00690270"/>
    <w:rsid w:val="006902D3"/>
    <w:rsid w:val="00690330"/>
    <w:rsid w:val="00690387"/>
    <w:rsid w:val="006903A3"/>
    <w:rsid w:val="00690489"/>
    <w:rsid w:val="006904D9"/>
    <w:rsid w:val="006905A1"/>
    <w:rsid w:val="006905E9"/>
    <w:rsid w:val="00690604"/>
    <w:rsid w:val="0069060F"/>
    <w:rsid w:val="00690677"/>
    <w:rsid w:val="006906C3"/>
    <w:rsid w:val="006907D7"/>
    <w:rsid w:val="00690836"/>
    <w:rsid w:val="00690863"/>
    <w:rsid w:val="00690891"/>
    <w:rsid w:val="006908CA"/>
    <w:rsid w:val="0069099C"/>
    <w:rsid w:val="006909FC"/>
    <w:rsid w:val="00690A24"/>
    <w:rsid w:val="00690A5E"/>
    <w:rsid w:val="00690B00"/>
    <w:rsid w:val="00690B0D"/>
    <w:rsid w:val="00690C63"/>
    <w:rsid w:val="00690CDD"/>
    <w:rsid w:val="00690CE6"/>
    <w:rsid w:val="00690DC1"/>
    <w:rsid w:val="00690DCE"/>
    <w:rsid w:val="00690DE7"/>
    <w:rsid w:val="00690E41"/>
    <w:rsid w:val="00690E7A"/>
    <w:rsid w:val="00690E91"/>
    <w:rsid w:val="00690EA9"/>
    <w:rsid w:val="00690F5C"/>
    <w:rsid w:val="006911E1"/>
    <w:rsid w:val="00691217"/>
    <w:rsid w:val="00691228"/>
    <w:rsid w:val="00691235"/>
    <w:rsid w:val="0069123E"/>
    <w:rsid w:val="00691294"/>
    <w:rsid w:val="006912A0"/>
    <w:rsid w:val="0069135B"/>
    <w:rsid w:val="006913E5"/>
    <w:rsid w:val="00691499"/>
    <w:rsid w:val="006914AB"/>
    <w:rsid w:val="006914C6"/>
    <w:rsid w:val="00691522"/>
    <w:rsid w:val="00691552"/>
    <w:rsid w:val="006915C9"/>
    <w:rsid w:val="006915FF"/>
    <w:rsid w:val="006916CF"/>
    <w:rsid w:val="006916E9"/>
    <w:rsid w:val="0069173B"/>
    <w:rsid w:val="0069178E"/>
    <w:rsid w:val="006917BD"/>
    <w:rsid w:val="0069185B"/>
    <w:rsid w:val="0069194F"/>
    <w:rsid w:val="006919A5"/>
    <w:rsid w:val="006919D4"/>
    <w:rsid w:val="00691A53"/>
    <w:rsid w:val="00691ABE"/>
    <w:rsid w:val="00691AD9"/>
    <w:rsid w:val="00691B16"/>
    <w:rsid w:val="00691B52"/>
    <w:rsid w:val="00691BF2"/>
    <w:rsid w:val="00691C5A"/>
    <w:rsid w:val="00691C5B"/>
    <w:rsid w:val="00691DE4"/>
    <w:rsid w:val="00691E03"/>
    <w:rsid w:val="00691E2B"/>
    <w:rsid w:val="00691E70"/>
    <w:rsid w:val="00691EF6"/>
    <w:rsid w:val="0069201A"/>
    <w:rsid w:val="00692046"/>
    <w:rsid w:val="0069206B"/>
    <w:rsid w:val="00692096"/>
    <w:rsid w:val="00692140"/>
    <w:rsid w:val="0069219D"/>
    <w:rsid w:val="006921A2"/>
    <w:rsid w:val="00692298"/>
    <w:rsid w:val="00692320"/>
    <w:rsid w:val="0069236E"/>
    <w:rsid w:val="0069239F"/>
    <w:rsid w:val="006923B6"/>
    <w:rsid w:val="00692425"/>
    <w:rsid w:val="00692433"/>
    <w:rsid w:val="006924E5"/>
    <w:rsid w:val="006926FF"/>
    <w:rsid w:val="00692742"/>
    <w:rsid w:val="00692767"/>
    <w:rsid w:val="00692772"/>
    <w:rsid w:val="0069282C"/>
    <w:rsid w:val="0069290B"/>
    <w:rsid w:val="00692939"/>
    <w:rsid w:val="0069296B"/>
    <w:rsid w:val="00692986"/>
    <w:rsid w:val="0069298F"/>
    <w:rsid w:val="006929AB"/>
    <w:rsid w:val="006929C4"/>
    <w:rsid w:val="00692A13"/>
    <w:rsid w:val="00692A76"/>
    <w:rsid w:val="00692B37"/>
    <w:rsid w:val="00692B5F"/>
    <w:rsid w:val="00692CBE"/>
    <w:rsid w:val="00692CED"/>
    <w:rsid w:val="00692D4E"/>
    <w:rsid w:val="00692DB3"/>
    <w:rsid w:val="00692EDF"/>
    <w:rsid w:val="00692EFB"/>
    <w:rsid w:val="00692F5B"/>
    <w:rsid w:val="00692F71"/>
    <w:rsid w:val="00692F76"/>
    <w:rsid w:val="00692FC0"/>
    <w:rsid w:val="0069304E"/>
    <w:rsid w:val="00693234"/>
    <w:rsid w:val="00693264"/>
    <w:rsid w:val="00693284"/>
    <w:rsid w:val="006932E1"/>
    <w:rsid w:val="006933E2"/>
    <w:rsid w:val="0069341E"/>
    <w:rsid w:val="0069342D"/>
    <w:rsid w:val="0069345A"/>
    <w:rsid w:val="006934DC"/>
    <w:rsid w:val="006934FB"/>
    <w:rsid w:val="006935FB"/>
    <w:rsid w:val="0069361C"/>
    <w:rsid w:val="00693653"/>
    <w:rsid w:val="0069365A"/>
    <w:rsid w:val="00693689"/>
    <w:rsid w:val="006936EA"/>
    <w:rsid w:val="00693715"/>
    <w:rsid w:val="0069378D"/>
    <w:rsid w:val="006937D4"/>
    <w:rsid w:val="00693839"/>
    <w:rsid w:val="006938B3"/>
    <w:rsid w:val="006938DA"/>
    <w:rsid w:val="00693923"/>
    <w:rsid w:val="00693976"/>
    <w:rsid w:val="00693996"/>
    <w:rsid w:val="006939C4"/>
    <w:rsid w:val="006939D8"/>
    <w:rsid w:val="00693A06"/>
    <w:rsid w:val="00693A41"/>
    <w:rsid w:val="00693AAE"/>
    <w:rsid w:val="00693AB6"/>
    <w:rsid w:val="00693AF3"/>
    <w:rsid w:val="00693B08"/>
    <w:rsid w:val="00693C2A"/>
    <w:rsid w:val="00693C2F"/>
    <w:rsid w:val="00693C56"/>
    <w:rsid w:val="00693C72"/>
    <w:rsid w:val="00693CA1"/>
    <w:rsid w:val="00693CE4"/>
    <w:rsid w:val="00693D1A"/>
    <w:rsid w:val="00693DA6"/>
    <w:rsid w:val="00693E37"/>
    <w:rsid w:val="00693E95"/>
    <w:rsid w:val="00693EB3"/>
    <w:rsid w:val="00693EE3"/>
    <w:rsid w:val="00693EEC"/>
    <w:rsid w:val="00693F32"/>
    <w:rsid w:val="00693F6C"/>
    <w:rsid w:val="00693FD0"/>
    <w:rsid w:val="0069400E"/>
    <w:rsid w:val="00694098"/>
    <w:rsid w:val="006940D2"/>
    <w:rsid w:val="00694172"/>
    <w:rsid w:val="006941AC"/>
    <w:rsid w:val="006941D3"/>
    <w:rsid w:val="0069420C"/>
    <w:rsid w:val="00694258"/>
    <w:rsid w:val="006942A0"/>
    <w:rsid w:val="006942B5"/>
    <w:rsid w:val="0069446E"/>
    <w:rsid w:val="00694490"/>
    <w:rsid w:val="00694497"/>
    <w:rsid w:val="006944D3"/>
    <w:rsid w:val="0069454E"/>
    <w:rsid w:val="00694555"/>
    <w:rsid w:val="00694580"/>
    <w:rsid w:val="006945A1"/>
    <w:rsid w:val="006946A5"/>
    <w:rsid w:val="006946F9"/>
    <w:rsid w:val="00694732"/>
    <w:rsid w:val="006947A5"/>
    <w:rsid w:val="006947FB"/>
    <w:rsid w:val="006948CD"/>
    <w:rsid w:val="0069496A"/>
    <w:rsid w:val="0069499D"/>
    <w:rsid w:val="00694A2D"/>
    <w:rsid w:val="00694AB8"/>
    <w:rsid w:val="00694ACD"/>
    <w:rsid w:val="00694B94"/>
    <w:rsid w:val="00694CAC"/>
    <w:rsid w:val="00694D75"/>
    <w:rsid w:val="00694DD0"/>
    <w:rsid w:val="00694DED"/>
    <w:rsid w:val="00694E6B"/>
    <w:rsid w:val="00694EA4"/>
    <w:rsid w:val="00694F25"/>
    <w:rsid w:val="00694F59"/>
    <w:rsid w:val="00694F99"/>
    <w:rsid w:val="00695015"/>
    <w:rsid w:val="0069508D"/>
    <w:rsid w:val="00695102"/>
    <w:rsid w:val="00695144"/>
    <w:rsid w:val="00695147"/>
    <w:rsid w:val="0069514B"/>
    <w:rsid w:val="00695160"/>
    <w:rsid w:val="00695172"/>
    <w:rsid w:val="00695177"/>
    <w:rsid w:val="00695183"/>
    <w:rsid w:val="006951C2"/>
    <w:rsid w:val="006951E2"/>
    <w:rsid w:val="0069523A"/>
    <w:rsid w:val="0069525D"/>
    <w:rsid w:val="00695269"/>
    <w:rsid w:val="0069527F"/>
    <w:rsid w:val="006952CB"/>
    <w:rsid w:val="006952E8"/>
    <w:rsid w:val="006953EC"/>
    <w:rsid w:val="006954A0"/>
    <w:rsid w:val="00695567"/>
    <w:rsid w:val="00695635"/>
    <w:rsid w:val="0069573D"/>
    <w:rsid w:val="00695788"/>
    <w:rsid w:val="006958DF"/>
    <w:rsid w:val="00695A64"/>
    <w:rsid w:val="00695B68"/>
    <w:rsid w:val="00695B9A"/>
    <w:rsid w:val="00695BB0"/>
    <w:rsid w:val="00695BE6"/>
    <w:rsid w:val="00695CAD"/>
    <w:rsid w:val="00695CDE"/>
    <w:rsid w:val="00695DB0"/>
    <w:rsid w:val="00695DBB"/>
    <w:rsid w:val="00695E80"/>
    <w:rsid w:val="00695F12"/>
    <w:rsid w:val="00695F38"/>
    <w:rsid w:val="00695F44"/>
    <w:rsid w:val="00695F9D"/>
    <w:rsid w:val="00695FAB"/>
    <w:rsid w:val="00695FE5"/>
    <w:rsid w:val="00695FF0"/>
    <w:rsid w:val="00695FFF"/>
    <w:rsid w:val="0069605E"/>
    <w:rsid w:val="00696083"/>
    <w:rsid w:val="006960A7"/>
    <w:rsid w:val="006961B0"/>
    <w:rsid w:val="00696207"/>
    <w:rsid w:val="006962E8"/>
    <w:rsid w:val="00696363"/>
    <w:rsid w:val="00696392"/>
    <w:rsid w:val="00696407"/>
    <w:rsid w:val="0069644C"/>
    <w:rsid w:val="00696450"/>
    <w:rsid w:val="0069646B"/>
    <w:rsid w:val="006965A1"/>
    <w:rsid w:val="006965EA"/>
    <w:rsid w:val="006965FB"/>
    <w:rsid w:val="00696600"/>
    <w:rsid w:val="00696641"/>
    <w:rsid w:val="00696716"/>
    <w:rsid w:val="00696718"/>
    <w:rsid w:val="0069671E"/>
    <w:rsid w:val="0069674F"/>
    <w:rsid w:val="0069679B"/>
    <w:rsid w:val="006967E9"/>
    <w:rsid w:val="00696805"/>
    <w:rsid w:val="0069683E"/>
    <w:rsid w:val="00696860"/>
    <w:rsid w:val="0069688B"/>
    <w:rsid w:val="0069693E"/>
    <w:rsid w:val="00696943"/>
    <w:rsid w:val="00696A12"/>
    <w:rsid w:val="00696A74"/>
    <w:rsid w:val="00696C73"/>
    <w:rsid w:val="00696C9D"/>
    <w:rsid w:val="00696CC3"/>
    <w:rsid w:val="00696DB0"/>
    <w:rsid w:val="00696DBC"/>
    <w:rsid w:val="00696E58"/>
    <w:rsid w:val="00696E6A"/>
    <w:rsid w:val="00696F27"/>
    <w:rsid w:val="00696FCD"/>
    <w:rsid w:val="00696FF4"/>
    <w:rsid w:val="006970D1"/>
    <w:rsid w:val="006970DF"/>
    <w:rsid w:val="0069711E"/>
    <w:rsid w:val="0069712D"/>
    <w:rsid w:val="006971B8"/>
    <w:rsid w:val="006971CF"/>
    <w:rsid w:val="006971D0"/>
    <w:rsid w:val="00697216"/>
    <w:rsid w:val="0069724E"/>
    <w:rsid w:val="00697304"/>
    <w:rsid w:val="00697362"/>
    <w:rsid w:val="00697378"/>
    <w:rsid w:val="0069738D"/>
    <w:rsid w:val="0069740C"/>
    <w:rsid w:val="00697423"/>
    <w:rsid w:val="0069742B"/>
    <w:rsid w:val="0069746A"/>
    <w:rsid w:val="0069748F"/>
    <w:rsid w:val="006974D8"/>
    <w:rsid w:val="00697540"/>
    <w:rsid w:val="0069764E"/>
    <w:rsid w:val="006976AF"/>
    <w:rsid w:val="006976BA"/>
    <w:rsid w:val="00697702"/>
    <w:rsid w:val="006977A6"/>
    <w:rsid w:val="006977C6"/>
    <w:rsid w:val="00697829"/>
    <w:rsid w:val="00697863"/>
    <w:rsid w:val="00697870"/>
    <w:rsid w:val="006978A3"/>
    <w:rsid w:val="0069791B"/>
    <w:rsid w:val="00697937"/>
    <w:rsid w:val="00697944"/>
    <w:rsid w:val="00697996"/>
    <w:rsid w:val="00697A3B"/>
    <w:rsid w:val="00697A5E"/>
    <w:rsid w:val="00697AC5"/>
    <w:rsid w:val="00697B58"/>
    <w:rsid w:val="00697BEA"/>
    <w:rsid w:val="00697BEB"/>
    <w:rsid w:val="00697D23"/>
    <w:rsid w:val="00697D8E"/>
    <w:rsid w:val="00697DB6"/>
    <w:rsid w:val="00697DFA"/>
    <w:rsid w:val="00697E3D"/>
    <w:rsid w:val="00697F99"/>
    <w:rsid w:val="006A0035"/>
    <w:rsid w:val="006A00B9"/>
    <w:rsid w:val="006A013B"/>
    <w:rsid w:val="006A018E"/>
    <w:rsid w:val="006A019C"/>
    <w:rsid w:val="006A0202"/>
    <w:rsid w:val="006A0234"/>
    <w:rsid w:val="006A0264"/>
    <w:rsid w:val="006A02A0"/>
    <w:rsid w:val="006A02B9"/>
    <w:rsid w:val="006A0355"/>
    <w:rsid w:val="006A03F2"/>
    <w:rsid w:val="006A0423"/>
    <w:rsid w:val="006A0515"/>
    <w:rsid w:val="006A0543"/>
    <w:rsid w:val="006A055D"/>
    <w:rsid w:val="006A0570"/>
    <w:rsid w:val="006A06A1"/>
    <w:rsid w:val="006A06D7"/>
    <w:rsid w:val="006A0755"/>
    <w:rsid w:val="006A0796"/>
    <w:rsid w:val="006A07B8"/>
    <w:rsid w:val="006A0848"/>
    <w:rsid w:val="006A09AC"/>
    <w:rsid w:val="006A0AB9"/>
    <w:rsid w:val="006A0AF8"/>
    <w:rsid w:val="006A0B25"/>
    <w:rsid w:val="006A0B82"/>
    <w:rsid w:val="006A0BE7"/>
    <w:rsid w:val="006A0BFD"/>
    <w:rsid w:val="006A0C40"/>
    <w:rsid w:val="006A0DCA"/>
    <w:rsid w:val="006A0DF7"/>
    <w:rsid w:val="006A0E65"/>
    <w:rsid w:val="006A0EA8"/>
    <w:rsid w:val="006A0F66"/>
    <w:rsid w:val="006A0FA4"/>
    <w:rsid w:val="006A1036"/>
    <w:rsid w:val="006A1191"/>
    <w:rsid w:val="006A11DD"/>
    <w:rsid w:val="006A11F3"/>
    <w:rsid w:val="006A123B"/>
    <w:rsid w:val="006A1274"/>
    <w:rsid w:val="006A1321"/>
    <w:rsid w:val="006A134E"/>
    <w:rsid w:val="006A136B"/>
    <w:rsid w:val="006A138B"/>
    <w:rsid w:val="006A13B5"/>
    <w:rsid w:val="006A13D7"/>
    <w:rsid w:val="006A13F3"/>
    <w:rsid w:val="006A1421"/>
    <w:rsid w:val="006A1485"/>
    <w:rsid w:val="006A1538"/>
    <w:rsid w:val="006A1563"/>
    <w:rsid w:val="006A1567"/>
    <w:rsid w:val="006A15B7"/>
    <w:rsid w:val="006A160B"/>
    <w:rsid w:val="006A164F"/>
    <w:rsid w:val="006A16B9"/>
    <w:rsid w:val="006A177D"/>
    <w:rsid w:val="006A17B6"/>
    <w:rsid w:val="006A182C"/>
    <w:rsid w:val="006A18E0"/>
    <w:rsid w:val="006A1A8D"/>
    <w:rsid w:val="006A1A9B"/>
    <w:rsid w:val="006A1BF1"/>
    <w:rsid w:val="006A1C54"/>
    <w:rsid w:val="006A1C81"/>
    <w:rsid w:val="006A1C8B"/>
    <w:rsid w:val="006A1D76"/>
    <w:rsid w:val="006A1DA0"/>
    <w:rsid w:val="006A1DAF"/>
    <w:rsid w:val="006A1DC4"/>
    <w:rsid w:val="006A1E86"/>
    <w:rsid w:val="006A1E8A"/>
    <w:rsid w:val="006A1ED1"/>
    <w:rsid w:val="006A1F75"/>
    <w:rsid w:val="006A2000"/>
    <w:rsid w:val="006A217B"/>
    <w:rsid w:val="006A21FD"/>
    <w:rsid w:val="006A22B8"/>
    <w:rsid w:val="006A23C8"/>
    <w:rsid w:val="006A2401"/>
    <w:rsid w:val="006A2415"/>
    <w:rsid w:val="006A244A"/>
    <w:rsid w:val="006A24D8"/>
    <w:rsid w:val="006A2556"/>
    <w:rsid w:val="006A261A"/>
    <w:rsid w:val="006A2683"/>
    <w:rsid w:val="006A26F1"/>
    <w:rsid w:val="006A26FB"/>
    <w:rsid w:val="006A273E"/>
    <w:rsid w:val="006A28EB"/>
    <w:rsid w:val="006A2908"/>
    <w:rsid w:val="006A2926"/>
    <w:rsid w:val="006A294C"/>
    <w:rsid w:val="006A29CA"/>
    <w:rsid w:val="006A2A02"/>
    <w:rsid w:val="006A2A03"/>
    <w:rsid w:val="006A2A87"/>
    <w:rsid w:val="006A2A95"/>
    <w:rsid w:val="006A2AB8"/>
    <w:rsid w:val="006A2B20"/>
    <w:rsid w:val="006A2B2C"/>
    <w:rsid w:val="006A2BF3"/>
    <w:rsid w:val="006A2CE0"/>
    <w:rsid w:val="006A2CEE"/>
    <w:rsid w:val="006A2D6E"/>
    <w:rsid w:val="006A2DE6"/>
    <w:rsid w:val="006A2DEF"/>
    <w:rsid w:val="006A2DFE"/>
    <w:rsid w:val="006A2E3E"/>
    <w:rsid w:val="006A2E66"/>
    <w:rsid w:val="006A2E73"/>
    <w:rsid w:val="006A2F05"/>
    <w:rsid w:val="006A2F34"/>
    <w:rsid w:val="006A2FA3"/>
    <w:rsid w:val="006A305D"/>
    <w:rsid w:val="006A310C"/>
    <w:rsid w:val="006A3122"/>
    <w:rsid w:val="006A314F"/>
    <w:rsid w:val="006A3162"/>
    <w:rsid w:val="006A31E9"/>
    <w:rsid w:val="006A31EB"/>
    <w:rsid w:val="006A325B"/>
    <w:rsid w:val="006A32BB"/>
    <w:rsid w:val="006A334D"/>
    <w:rsid w:val="006A3379"/>
    <w:rsid w:val="006A33B9"/>
    <w:rsid w:val="006A346D"/>
    <w:rsid w:val="006A34C0"/>
    <w:rsid w:val="006A34C5"/>
    <w:rsid w:val="006A352D"/>
    <w:rsid w:val="006A3556"/>
    <w:rsid w:val="006A35FA"/>
    <w:rsid w:val="006A3766"/>
    <w:rsid w:val="006A3793"/>
    <w:rsid w:val="006A380E"/>
    <w:rsid w:val="006A396E"/>
    <w:rsid w:val="006A397B"/>
    <w:rsid w:val="006A39AB"/>
    <w:rsid w:val="006A39E4"/>
    <w:rsid w:val="006A3A6E"/>
    <w:rsid w:val="006A3ADB"/>
    <w:rsid w:val="006A3B8E"/>
    <w:rsid w:val="006A3BAD"/>
    <w:rsid w:val="006A3C8D"/>
    <w:rsid w:val="006A3CB9"/>
    <w:rsid w:val="006A3D66"/>
    <w:rsid w:val="006A3D69"/>
    <w:rsid w:val="006A3D78"/>
    <w:rsid w:val="006A3D85"/>
    <w:rsid w:val="006A3DE2"/>
    <w:rsid w:val="006A3DFD"/>
    <w:rsid w:val="006A3ECD"/>
    <w:rsid w:val="006A3EF1"/>
    <w:rsid w:val="006A3FBD"/>
    <w:rsid w:val="006A4059"/>
    <w:rsid w:val="006A40BB"/>
    <w:rsid w:val="006A40CF"/>
    <w:rsid w:val="006A4126"/>
    <w:rsid w:val="006A414F"/>
    <w:rsid w:val="006A417A"/>
    <w:rsid w:val="006A41E1"/>
    <w:rsid w:val="006A41F3"/>
    <w:rsid w:val="006A4376"/>
    <w:rsid w:val="006A4477"/>
    <w:rsid w:val="006A44BD"/>
    <w:rsid w:val="006A44ED"/>
    <w:rsid w:val="006A44FF"/>
    <w:rsid w:val="006A456B"/>
    <w:rsid w:val="006A45C3"/>
    <w:rsid w:val="006A45C6"/>
    <w:rsid w:val="006A463B"/>
    <w:rsid w:val="006A4666"/>
    <w:rsid w:val="006A466E"/>
    <w:rsid w:val="006A4872"/>
    <w:rsid w:val="006A489F"/>
    <w:rsid w:val="006A490B"/>
    <w:rsid w:val="006A499C"/>
    <w:rsid w:val="006A49A4"/>
    <w:rsid w:val="006A4B24"/>
    <w:rsid w:val="006A4B45"/>
    <w:rsid w:val="006A4B77"/>
    <w:rsid w:val="006A4B8C"/>
    <w:rsid w:val="006A4C30"/>
    <w:rsid w:val="006A4D01"/>
    <w:rsid w:val="006A4D4F"/>
    <w:rsid w:val="006A4DC1"/>
    <w:rsid w:val="006A4F0C"/>
    <w:rsid w:val="006A4FD1"/>
    <w:rsid w:val="006A4FD5"/>
    <w:rsid w:val="006A4FD7"/>
    <w:rsid w:val="006A4FDD"/>
    <w:rsid w:val="006A5092"/>
    <w:rsid w:val="006A5171"/>
    <w:rsid w:val="006A52D4"/>
    <w:rsid w:val="006A52F8"/>
    <w:rsid w:val="006A544B"/>
    <w:rsid w:val="006A551D"/>
    <w:rsid w:val="006A55DC"/>
    <w:rsid w:val="006A5747"/>
    <w:rsid w:val="006A574F"/>
    <w:rsid w:val="006A577F"/>
    <w:rsid w:val="006A5786"/>
    <w:rsid w:val="006A57F2"/>
    <w:rsid w:val="006A5826"/>
    <w:rsid w:val="006A587A"/>
    <w:rsid w:val="006A5886"/>
    <w:rsid w:val="006A588D"/>
    <w:rsid w:val="006A58D2"/>
    <w:rsid w:val="006A596C"/>
    <w:rsid w:val="006A59A2"/>
    <w:rsid w:val="006A5A04"/>
    <w:rsid w:val="006A5A41"/>
    <w:rsid w:val="006A5A54"/>
    <w:rsid w:val="006A5A6A"/>
    <w:rsid w:val="006A5A6E"/>
    <w:rsid w:val="006A5A7A"/>
    <w:rsid w:val="006A5B3B"/>
    <w:rsid w:val="006A5B94"/>
    <w:rsid w:val="006A5C48"/>
    <w:rsid w:val="006A5C83"/>
    <w:rsid w:val="006A5D0A"/>
    <w:rsid w:val="006A5D12"/>
    <w:rsid w:val="006A5D43"/>
    <w:rsid w:val="006A5D4A"/>
    <w:rsid w:val="006A5DCE"/>
    <w:rsid w:val="006A5E27"/>
    <w:rsid w:val="006A5E9E"/>
    <w:rsid w:val="006A5EB3"/>
    <w:rsid w:val="006A5F38"/>
    <w:rsid w:val="006A5F4F"/>
    <w:rsid w:val="006A5F82"/>
    <w:rsid w:val="006A5F97"/>
    <w:rsid w:val="006A5FA3"/>
    <w:rsid w:val="006A6011"/>
    <w:rsid w:val="006A603A"/>
    <w:rsid w:val="006A60BF"/>
    <w:rsid w:val="006A611A"/>
    <w:rsid w:val="006A611E"/>
    <w:rsid w:val="006A622B"/>
    <w:rsid w:val="006A62A1"/>
    <w:rsid w:val="006A633F"/>
    <w:rsid w:val="006A637D"/>
    <w:rsid w:val="006A637F"/>
    <w:rsid w:val="006A6418"/>
    <w:rsid w:val="006A6476"/>
    <w:rsid w:val="006A64E9"/>
    <w:rsid w:val="006A6673"/>
    <w:rsid w:val="006A669B"/>
    <w:rsid w:val="006A6768"/>
    <w:rsid w:val="006A6772"/>
    <w:rsid w:val="006A678D"/>
    <w:rsid w:val="006A67D1"/>
    <w:rsid w:val="006A67E0"/>
    <w:rsid w:val="006A67E4"/>
    <w:rsid w:val="006A67EF"/>
    <w:rsid w:val="006A68A9"/>
    <w:rsid w:val="006A6977"/>
    <w:rsid w:val="006A69F9"/>
    <w:rsid w:val="006A6A9D"/>
    <w:rsid w:val="006A6ABB"/>
    <w:rsid w:val="006A6B09"/>
    <w:rsid w:val="006A6B49"/>
    <w:rsid w:val="006A6B84"/>
    <w:rsid w:val="006A6B8E"/>
    <w:rsid w:val="006A6BCF"/>
    <w:rsid w:val="006A6BD9"/>
    <w:rsid w:val="006A6C4C"/>
    <w:rsid w:val="006A6E26"/>
    <w:rsid w:val="006A6E99"/>
    <w:rsid w:val="006A6EB3"/>
    <w:rsid w:val="006A6EC2"/>
    <w:rsid w:val="006A6EE8"/>
    <w:rsid w:val="006A6F2A"/>
    <w:rsid w:val="006A6F99"/>
    <w:rsid w:val="006A6FBA"/>
    <w:rsid w:val="006A7042"/>
    <w:rsid w:val="006A705C"/>
    <w:rsid w:val="006A70EF"/>
    <w:rsid w:val="006A7167"/>
    <w:rsid w:val="006A7201"/>
    <w:rsid w:val="006A7203"/>
    <w:rsid w:val="006A7220"/>
    <w:rsid w:val="006A727A"/>
    <w:rsid w:val="006A7312"/>
    <w:rsid w:val="006A7349"/>
    <w:rsid w:val="006A737F"/>
    <w:rsid w:val="006A73F1"/>
    <w:rsid w:val="006A752E"/>
    <w:rsid w:val="006A75F9"/>
    <w:rsid w:val="006A760C"/>
    <w:rsid w:val="006A7620"/>
    <w:rsid w:val="006A77F7"/>
    <w:rsid w:val="006A77FD"/>
    <w:rsid w:val="006A7865"/>
    <w:rsid w:val="006A7869"/>
    <w:rsid w:val="006A7AFF"/>
    <w:rsid w:val="006A7B06"/>
    <w:rsid w:val="006A7C5B"/>
    <w:rsid w:val="006A7C9D"/>
    <w:rsid w:val="006A7CB5"/>
    <w:rsid w:val="006A7CB6"/>
    <w:rsid w:val="006A7CBE"/>
    <w:rsid w:val="006A7D8C"/>
    <w:rsid w:val="006A7DE0"/>
    <w:rsid w:val="006A7E0B"/>
    <w:rsid w:val="006A7E60"/>
    <w:rsid w:val="006A7FB3"/>
    <w:rsid w:val="006A7FCC"/>
    <w:rsid w:val="006B0035"/>
    <w:rsid w:val="006B0040"/>
    <w:rsid w:val="006B006E"/>
    <w:rsid w:val="006B00DD"/>
    <w:rsid w:val="006B0111"/>
    <w:rsid w:val="006B0188"/>
    <w:rsid w:val="006B02A2"/>
    <w:rsid w:val="006B02AB"/>
    <w:rsid w:val="006B0318"/>
    <w:rsid w:val="006B039F"/>
    <w:rsid w:val="006B0407"/>
    <w:rsid w:val="006B049E"/>
    <w:rsid w:val="006B04D3"/>
    <w:rsid w:val="006B0560"/>
    <w:rsid w:val="006B058B"/>
    <w:rsid w:val="006B0590"/>
    <w:rsid w:val="006B05C8"/>
    <w:rsid w:val="006B05F8"/>
    <w:rsid w:val="006B061D"/>
    <w:rsid w:val="006B06DA"/>
    <w:rsid w:val="006B06FE"/>
    <w:rsid w:val="006B07A7"/>
    <w:rsid w:val="006B084D"/>
    <w:rsid w:val="006B087C"/>
    <w:rsid w:val="006B08B1"/>
    <w:rsid w:val="006B08E2"/>
    <w:rsid w:val="006B09F9"/>
    <w:rsid w:val="006B09FF"/>
    <w:rsid w:val="006B0A02"/>
    <w:rsid w:val="006B0A52"/>
    <w:rsid w:val="006B0A66"/>
    <w:rsid w:val="006B0A75"/>
    <w:rsid w:val="006B0B26"/>
    <w:rsid w:val="006B0B3D"/>
    <w:rsid w:val="006B0BA0"/>
    <w:rsid w:val="006B0C54"/>
    <w:rsid w:val="006B0C5A"/>
    <w:rsid w:val="006B0C94"/>
    <w:rsid w:val="006B0C9D"/>
    <w:rsid w:val="006B0CC3"/>
    <w:rsid w:val="006B0D19"/>
    <w:rsid w:val="006B0D31"/>
    <w:rsid w:val="006B0D95"/>
    <w:rsid w:val="006B0E74"/>
    <w:rsid w:val="006B0E93"/>
    <w:rsid w:val="006B0F01"/>
    <w:rsid w:val="006B0F65"/>
    <w:rsid w:val="006B0FE4"/>
    <w:rsid w:val="006B100E"/>
    <w:rsid w:val="006B105F"/>
    <w:rsid w:val="006B1093"/>
    <w:rsid w:val="006B10DC"/>
    <w:rsid w:val="006B10F7"/>
    <w:rsid w:val="006B10FD"/>
    <w:rsid w:val="006B113B"/>
    <w:rsid w:val="006B1155"/>
    <w:rsid w:val="006B1167"/>
    <w:rsid w:val="006B117F"/>
    <w:rsid w:val="006B11CA"/>
    <w:rsid w:val="006B11D6"/>
    <w:rsid w:val="006B130B"/>
    <w:rsid w:val="006B1367"/>
    <w:rsid w:val="006B136D"/>
    <w:rsid w:val="006B13C5"/>
    <w:rsid w:val="006B13EA"/>
    <w:rsid w:val="006B13FB"/>
    <w:rsid w:val="006B1468"/>
    <w:rsid w:val="006B147A"/>
    <w:rsid w:val="006B14AF"/>
    <w:rsid w:val="006B14E2"/>
    <w:rsid w:val="006B1512"/>
    <w:rsid w:val="006B1535"/>
    <w:rsid w:val="006B1556"/>
    <w:rsid w:val="006B15A6"/>
    <w:rsid w:val="006B15CE"/>
    <w:rsid w:val="006B15D7"/>
    <w:rsid w:val="006B16C2"/>
    <w:rsid w:val="006B170B"/>
    <w:rsid w:val="006B1740"/>
    <w:rsid w:val="006B177B"/>
    <w:rsid w:val="006B17A1"/>
    <w:rsid w:val="006B1881"/>
    <w:rsid w:val="006B18A7"/>
    <w:rsid w:val="006B18AD"/>
    <w:rsid w:val="006B18FD"/>
    <w:rsid w:val="006B198B"/>
    <w:rsid w:val="006B1A19"/>
    <w:rsid w:val="006B1AAF"/>
    <w:rsid w:val="006B1AE0"/>
    <w:rsid w:val="006B1B2B"/>
    <w:rsid w:val="006B1B86"/>
    <w:rsid w:val="006B1BBB"/>
    <w:rsid w:val="006B1C26"/>
    <w:rsid w:val="006B1CEB"/>
    <w:rsid w:val="006B1D5F"/>
    <w:rsid w:val="006B1D6B"/>
    <w:rsid w:val="006B1F14"/>
    <w:rsid w:val="006B1FB7"/>
    <w:rsid w:val="006B2000"/>
    <w:rsid w:val="006B218D"/>
    <w:rsid w:val="006B21BA"/>
    <w:rsid w:val="006B2284"/>
    <w:rsid w:val="006B23AE"/>
    <w:rsid w:val="006B23C0"/>
    <w:rsid w:val="006B24B9"/>
    <w:rsid w:val="006B252D"/>
    <w:rsid w:val="006B2624"/>
    <w:rsid w:val="006B262D"/>
    <w:rsid w:val="006B2674"/>
    <w:rsid w:val="006B274C"/>
    <w:rsid w:val="006B2833"/>
    <w:rsid w:val="006B28CE"/>
    <w:rsid w:val="006B295E"/>
    <w:rsid w:val="006B2ADC"/>
    <w:rsid w:val="006B2AEC"/>
    <w:rsid w:val="006B2B93"/>
    <w:rsid w:val="006B2B9E"/>
    <w:rsid w:val="006B2C1F"/>
    <w:rsid w:val="006B2C64"/>
    <w:rsid w:val="006B2D76"/>
    <w:rsid w:val="006B2DBF"/>
    <w:rsid w:val="006B2DCF"/>
    <w:rsid w:val="006B2FB4"/>
    <w:rsid w:val="006B2FC2"/>
    <w:rsid w:val="006B2FC5"/>
    <w:rsid w:val="006B2FD3"/>
    <w:rsid w:val="006B2FEF"/>
    <w:rsid w:val="006B2FF3"/>
    <w:rsid w:val="006B305B"/>
    <w:rsid w:val="006B309B"/>
    <w:rsid w:val="006B30CF"/>
    <w:rsid w:val="006B3113"/>
    <w:rsid w:val="006B3209"/>
    <w:rsid w:val="006B323F"/>
    <w:rsid w:val="006B3241"/>
    <w:rsid w:val="006B328B"/>
    <w:rsid w:val="006B3296"/>
    <w:rsid w:val="006B332F"/>
    <w:rsid w:val="006B334E"/>
    <w:rsid w:val="006B3372"/>
    <w:rsid w:val="006B3378"/>
    <w:rsid w:val="006B33EA"/>
    <w:rsid w:val="006B340F"/>
    <w:rsid w:val="006B3442"/>
    <w:rsid w:val="006B34E4"/>
    <w:rsid w:val="006B34F5"/>
    <w:rsid w:val="006B356B"/>
    <w:rsid w:val="006B3587"/>
    <w:rsid w:val="006B35A3"/>
    <w:rsid w:val="006B3647"/>
    <w:rsid w:val="006B36B0"/>
    <w:rsid w:val="006B36BC"/>
    <w:rsid w:val="006B3737"/>
    <w:rsid w:val="006B3786"/>
    <w:rsid w:val="006B37AF"/>
    <w:rsid w:val="006B37FA"/>
    <w:rsid w:val="006B387C"/>
    <w:rsid w:val="006B3880"/>
    <w:rsid w:val="006B38B5"/>
    <w:rsid w:val="006B38DE"/>
    <w:rsid w:val="006B38FD"/>
    <w:rsid w:val="006B398C"/>
    <w:rsid w:val="006B3A03"/>
    <w:rsid w:val="006B3A2D"/>
    <w:rsid w:val="006B3A85"/>
    <w:rsid w:val="006B3A86"/>
    <w:rsid w:val="006B3B42"/>
    <w:rsid w:val="006B3BD9"/>
    <w:rsid w:val="006B3C57"/>
    <w:rsid w:val="006B3C60"/>
    <w:rsid w:val="006B3C93"/>
    <w:rsid w:val="006B3CE7"/>
    <w:rsid w:val="006B3D27"/>
    <w:rsid w:val="006B3E78"/>
    <w:rsid w:val="006B3F64"/>
    <w:rsid w:val="006B3F7E"/>
    <w:rsid w:val="006B3FA9"/>
    <w:rsid w:val="006B402A"/>
    <w:rsid w:val="006B405E"/>
    <w:rsid w:val="006B40C7"/>
    <w:rsid w:val="006B4146"/>
    <w:rsid w:val="006B4148"/>
    <w:rsid w:val="006B417D"/>
    <w:rsid w:val="006B4260"/>
    <w:rsid w:val="006B42E7"/>
    <w:rsid w:val="006B42F2"/>
    <w:rsid w:val="006B43F7"/>
    <w:rsid w:val="006B4416"/>
    <w:rsid w:val="006B442D"/>
    <w:rsid w:val="006B4433"/>
    <w:rsid w:val="006B4545"/>
    <w:rsid w:val="006B4581"/>
    <w:rsid w:val="006B47A4"/>
    <w:rsid w:val="006B4872"/>
    <w:rsid w:val="006B4873"/>
    <w:rsid w:val="006B4884"/>
    <w:rsid w:val="006B48E7"/>
    <w:rsid w:val="006B48F2"/>
    <w:rsid w:val="006B49B7"/>
    <w:rsid w:val="006B4A0D"/>
    <w:rsid w:val="006B4A1F"/>
    <w:rsid w:val="006B4B23"/>
    <w:rsid w:val="006B4B32"/>
    <w:rsid w:val="006B4B35"/>
    <w:rsid w:val="006B4B5C"/>
    <w:rsid w:val="006B4BCA"/>
    <w:rsid w:val="006B4C6E"/>
    <w:rsid w:val="006B4CA3"/>
    <w:rsid w:val="006B4DB8"/>
    <w:rsid w:val="006B4E3E"/>
    <w:rsid w:val="006B4E9E"/>
    <w:rsid w:val="006B50BB"/>
    <w:rsid w:val="006B513B"/>
    <w:rsid w:val="006B518A"/>
    <w:rsid w:val="006B5326"/>
    <w:rsid w:val="006B53AB"/>
    <w:rsid w:val="006B53BF"/>
    <w:rsid w:val="006B5440"/>
    <w:rsid w:val="006B54B1"/>
    <w:rsid w:val="006B54C5"/>
    <w:rsid w:val="006B5536"/>
    <w:rsid w:val="006B5552"/>
    <w:rsid w:val="006B5558"/>
    <w:rsid w:val="006B5572"/>
    <w:rsid w:val="006B55A1"/>
    <w:rsid w:val="006B55EE"/>
    <w:rsid w:val="006B5672"/>
    <w:rsid w:val="006B56EA"/>
    <w:rsid w:val="006B5718"/>
    <w:rsid w:val="006B5759"/>
    <w:rsid w:val="006B5784"/>
    <w:rsid w:val="006B5792"/>
    <w:rsid w:val="006B57D1"/>
    <w:rsid w:val="006B57E7"/>
    <w:rsid w:val="006B5803"/>
    <w:rsid w:val="006B5891"/>
    <w:rsid w:val="006B5895"/>
    <w:rsid w:val="006B58E7"/>
    <w:rsid w:val="006B5945"/>
    <w:rsid w:val="006B5962"/>
    <w:rsid w:val="006B596A"/>
    <w:rsid w:val="006B59EB"/>
    <w:rsid w:val="006B5A41"/>
    <w:rsid w:val="006B5A53"/>
    <w:rsid w:val="006B5B61"/>
    <w:rsid w:val="006B5BE9"/>
    <w:rsid w:val="006B5D31"/>
    <w:rsid w:val="006B5D4D"/>
    <w:rsid w:val="006B5D80"/>
    <w:rsid w:val="006B5E0A"/>
    <w:rsid w:val="006B5EC3"/>
    <w:rsid w:val="006B5ED7"/>
    <w:rsid w:val="006B5FC4"/>
    <w:rsid w:val="006B6002"/>
    <w:rsid w:val="006B6009"/>
    <w:rsid w:val="006B6056"/>
    <w:rsid w:val="006B6284"/>
    <w:rsid w:val="006B62B7"/>
    <w:rsid w:val="006B62D0"/>
    <w:rsid w:val="006B62D6"/>
    <w:rsid w:val="006B62F2"/>
    <w:rsid w:val="006B6336"/>
    <w:rsid w:val="006B637A"/>
    <w:rsid w:val="006B63CD"/>
    <w:rsid w:val="006B63EA"/>
    <w:rsid w:val="006B642A"/>
    <w:rsid w:val="006B64DB"/>
    <w:rsid w:val="006B665C"/>
    <w:rsid w:val="006B66B0"/>
    <w:rsid w:val="006B6742"/>
    <w:rsid w:val="006B6766"/>
    <w:rsid w:val="006B6793"/>
    <w:rsid w:val="006B68C7"/>
    <w:rsid w:val="006B6917"/>
    <w:rsid w:val="006B69CA"/>
    <w:rsid w:val="006B6A25"/>
    <w:rsid w:val="006B6A78"/>
    <w:rsid w:val="006B6B09"/>
    <w:rsid w:val="006B6B10"/>
    <w:rsid w:val="006B6BA7"/>
    <w:rsid w:val="006B6BF3"/>
    <w:rsid w:val="006B6C14"/>
    <w:rsid w:val="006B6C5D"/>
    <w:rsid w:val="006B6C5F"/>
    <w:rsid w:val="006B6C65"/>
    <w:rsid w:val="006B6D8F"/>
    <w:rsid w:val="006B6D9F"/>
    <w:rsid w:val="006B6E07"/>
    <w:rsid w:val="006B6E0B"/>
    <w:rsid w:val="006B6EFD"/>
    <w:rsid w:val="006B6F36"/>
    <w:rsid w:val="006B6F52"/>
    <w:rsid w:val="006B6F62"/>
    <w:rsid w:val="006B6FAE"/>
    <w:rsid w:val="006B6FBD"/>
    <w:rsid w:val="006B6FBE"/>
    <w:rsid w:val="006B7021"/>
    <w:rsid w:val="006B70DA"/>
    <w:rsid w:val="006B70E0"/>
    <w:rsid w:val="006B70E9"/>
    <w:rsid w:val="006B70F1"/>
    <w:rsid w:val="006B713B"/>
    <w:rsid w:val="006B7183"/>
    <w:rsid w:val="006B7186"/>
    <w:rsid w:val="006B7187"/>
    <w:rsid w:val="006B71E0"/>
    <w:rsid w:val="006B71F4"/>
    <w:rsid w:val="006B71F7"/>
    <w:rsid w:val="006B72E6"/>
    <w:rsid w:val="006B72EA"/>
    <w:rsid w:val="006B72F5"/>
    <w:rsid w:val="006B7319"/>
    <w:rsid w:val="006B7329"/>
    <w:rsid w:val="006B7330"/>
    <w:rsid w:val="006B7390"/>
    <w:rsid w:val="006B73AD"/>
    <w:rsid w:val="006B7427"/>
    <w:rsid w:val="006B7439"/>
    <w:rsid w:val="006B748C"/>
    <w:rsid w:val="006B749B"/>
    <w:rsid w:val="006B7507"/>
    <w:rsid w:val="006B7582"/>
    <w:rsid w:val="006B7593"/>
    <w:rsid w:val="006B75BF"/>
    <w:rsid w:val="006B75E9"/>
    <w:rsid w:val="006B763B"/>
    <w:rsid w:val="006B7645"/>
    <w:rsid w:val="006B7655"/>
    <w:rsid w:val="006B768F"/>
    <w:rsid w:val="006B769A"/>
    <w:rsid w:val="006B774D"/>
    <w:rsid w:val="006B7817"/>
    <w:rsid w:val="006B78BF"/>
    <w:rsid w:val="006B79D1"/>
    <w:rsid w:val="006B79FC"/>
    <w:rsid w:val="006B7ACE"/>
    <w:rsid w:val="006B7B0C"/>
    <w:rsid w:val="006B7B5A"/>
    <w:rsid w:val="006B7B63"/>
    <w:rsid w:val="006B7BF2"/>
    <w:rsid w:val="006B7C16"/>
    <w:rsid w:val="006B7C6D"/>
    <w:rsid w:val="006B7CC6"/>
    <w:rsid w:val="006B7D1E"/>
    <w:rsid w:val="006B7D20"/>
    <w:rsid w:val="006B7D6E"/>
    <w:rsid w:val="006B7D96"/>
    <w:rsid w:val="006B7E7D"/>
    <w:rsid w:val="006B7F80"/>
    <w:rsid w:val="006B7FAA"/>
    <w:rsid w:val="006B7FAC"/>
    <w:rsid w:val="006B7FBB"/>
    <w:rsid w:val="006C001C"/>
    <w:rsid w:val="006C0084"/>
    <w:rsid w:val="006C00E1"/>
    <w:rsid w:val="006C014E"/>
    <w:rsid w:val="006C01C1"/>
    <w:rsid w:val="006C0201"/>
    <w:rsid w:val="006C0228"/>
    <w:rsid w:val="006C0276"/>
    <w:rsid w:val="006C0297"/>
    <w:rsid w:val="006C0361"/>
    <w:rsid w:val="006C0488"/>
    <w:rsid w:val="006C04B6"/>
    <w:rsid w:val="006C04D2"/>
    <w:rsid w:val="006C0562"/>
    <w:rsid w:val="006C0610"/>
    <w:rsid w:val="006C0666"/>
    <w:rsid w:val="006C06F2"/>
    <w:rsid w:val="006C06F8"/>
    <w:rsid w:val="006C0846"/>
    <w:rsid w:val="006C0850"/>
    <w:rsid w:val="006C08B3"/>
    <w:rsid w:val="006C08D2"/>
    <w:rsid w:val="006C08DD"/>
    <w:rsid w:val="006C098B"/>
    <w:rsid w:val="006C0A17"/>
    <w:rsid w:val="006C0B5A"/>
    <w:rsid w:val="006C0B64"/>
    <w:rsid w:val="006C0BE5"/>
    <w:rsid w:val="006C0BF0"/>
    <w:rsid w:val="006C0CF1"/>
    <w:rsid w:val="006C0DA4"/>
    <w:rsid w:val="006C0E52"/>
    <w:rsid w:val="006C0E67"/>
    <w:rsid w:val="006C0E71"/>
    <w:rsid w:val="006C0EC6"/>
    <w:rsid w:val="006C0FDC"/>
    <w:rsid w:val="006C102C"/>
    <w:rsid w:val="006C108D"/>
    <w:rsid w:val="006C108F"/>
    <w:rsid w:val="006C10B5"/>
    <w:rsid w:val="006C10F4"/>
    <w:rsid w:val="006C1169"/>
    <w:rsid w:val="006C11A8"/>
    <w:rsid w:val="006C128E"/>
    <w:rsid w:val="006C1297"/>
    <w:rsid w:val="006C12B3"/>
    <w:rsid w:val="006C12B5"/>
    <w:rsid w:val="006C12B6"/>
    <w:rsid w:val="006C1339"/>
    <w:rsid w:val="006C1384"/>
    <w:rsid w:val="006C13DE"/>
    <w:rsid w:val="006C141E"/>
    <w:rsid w:val="006C147C"/>
    <w:rsid w:val="006C14CA"/>
    <w:rsid w:val="006C15CA"/>
    <w:rsid w:val="006C15FD"/>
    <w:rsid w:val="006C1600"/>
    <w:rsid w:val="006C1654"/>
    <w:rsid w:val="006C16A4"/>
    <w:rsid w:val="006C16C5"/>
    <w:rsid w:val="006C16FE"/>
    <w:rsid w:val="006C1734"/>
    <w:rsid w:val="006C1757"/>
    <w:rsid w:val="006C1796"/>
    <w:rsid w:val="006C17E8"/>
    <w:rsid w:val="006C181F"/>
    <w:rsid w:val="006C1830"/>
    <w:rsid w:val="006C19AD"/>
    <w:rsid w:val="006C19C0"/>
    <w:rsid w:val="006C19CE"/>
    <w:rsid w:val="006C1A8D"/>
    <w:rsid w:val="006C1AFF"/>
    <w:rsid w:val="006C1B4F"/>
    <w:rsid w:val="006C1B77"/>
    <w:rsid w:val="006C1BE9"/>
    <w:rsid w:val="006C1BEE"/>
    <w:rsid w:val="006C1C11"/>
    <w:rsid w:val="006C1C40"/>
    <w:rsid w:val="006C1CD3"/>
    <w:rsid w:val="006C1D31"/>
    <w:rsid w:val="006C1DDD"/>
    <w:rsid w:val="006C1E88"/>
    <w:rsid w:val="006C1ED4"/>
    <w:rsid w:val="006C1EE9"/>
    <w:rsid w:val="006C1F2D"/>
    <w:rsid w:val="006C1F59"/>
    <w:rsid w:val="006C1F92"/>
    <w:rsid w:val="006C202D"/>
    <w:rsid w:val="006C203E"/>
    <w:rsid w:val="006C2051"/>
    <w:rsid w:val="006C205F"/>
    <w:rsid w:val="006C2065"/>
    <w:rsid w:val="006C21A4"/>
    <w:rsid w:val="006C2205"/>
    <w:rsid w:val="006C22E9"/>
    <w:rsid w:val="006C22F1"/>
    <w:rsid w:val="006C2386"/>
    <w:rsid w:val="006C2470"/>
    <w:rsid w:val="006C24BF"/>
    <w:rsid w:val="006C25D7"/>
    <w:rsid w:val="006C25FA"/>
    <w:rsid w:val="006C2666"/>
    <w:rsid w:val="006C26C7"/>
    <w:rsid w:val="006C26CB"/>
    <w:rsid w:val="006C26CD"/>
    <w:rsid w:val="006C26DF"/>
    <w:rsid w:val="006C2760"/>
    <w:rsid w:val="006C2785"/>
    <w:rsid w:val="006C27AE"/>
    <w:rsid w:val="006C27F9"/>
    <w:rsid w:val="006C2860"/>
    <w:rsid w:val="006C2877"/>
    <w:rsid w:val="006C288D"/>
    <w:rsid w:val="006C2A61"/>
    <w:rsid w:val="006C2AB3"/>
    <w:rsid w:val="006C2AE9"/>
    <w:rsid w:val="006C2B53"/>
    <w:rsid w:val="006C2BB2"/>
    <w:rsid w:val="006C2C9B"/>
    <w:rsid w:val="006C2CD2"/>
    <w:rsid w:val="006C2D86"/>
    <w:rsid w:val="006C2D93"/>
    <w:rsid w:val="006C2DEF"/>
    <w:rsid w:val="006C2E50"/>
    <w:rsid w:val="006C2E8C"/>
    <w:rsid w:val="006C2ECE"/>
    <w:rsid w:val="006C2F6F"/>
    <w:rsid w:val="006C2F92"/>
    <w:rsid w:val="006C2FC8"/>
    <w:rsid w:val="006C30BD"/>
    <w:rsid w:val="006C30D5"/>
    <w:rsid w:val="006C3117"/>
    <w:rsid w:val="006C3143"/>
    <w:rsid w:val="006C3146"/>
    <w:rsid w:val="006C31E7"/>
    <w:rsid w:val="006C3258"/>
    <w:rsid w:val="006C32A4"/>
    <w:rsid w:val="006C32E7"/>
    <w:rsid w:val="006C3372"/>
    <w:rsid w:val="006C33A3"/>
    <w:rsid w:val="006C33A4"/>
    <w:rsid w:val="006C33C2"/>
    <w:rsid w:val="006C33F9"/>
    <w:rsid w:val="006C3400"/>
    <w:rsid w:val="006C341A"/>
    <w:rsid w:val="006C3431"/>
    <w:rsid w:val="006C3533"/>
    <w:rsid w:val="006C354C"/>
    <w:rsid w:val="006C3563"/>
    <w:rsid w:val="006C35B6"/>
    <w:rsid w:val="006C35EA"/>
    <w:rsid w:val="006C36B0"/>
    <w:rsid w:val="006C37C9"/>
    <w:rsid w:val="006C37FC"/>
    <w:rsid w:val="006C3814"/>
    <w:rsid w:val="006C3820"/>
    <w:rsid w:val="006C38C0"/>
    <w:rsid w:val="006C38EC"/>
    <w:rsid w:val="006C3936"/>
    <w:rsid w:val="006C39A8"/>
    <w:rsid w:val="006C3A45"/>
    <w:rsid w:val="006C3A92"/>
    <w:rsid w:val="006C3ACE"/>
    <w:rsid w:val="006C3B1E"/>
    <w:rsid w:val="006C3BC2"/>
    <w:rsid w:val="006C3C7B"/>
    <w:rsid w:val="006C3C82"/>
    <w:rsid w:val="006C3C93"/>
    <w:rsid w:val="006C3CFD"/>
    <w:rsid w:val="006C3F0E"/>
    <w:rsid w:val="006C3F3A"/>
    <w:rsid w:val="006C3FA0"/>
    <w:rsid w:val="006C3FB6"/>
    <w:rsid w:val="006C3FEC"/>
    <w:rsid w:val="006C4029"/>
    <w:rsid w:val="006C403D"/>
    <w:rsid w:val="006C40A1"/>
    <w:rsid w:val="006C40CB"/>
    <w:rsid w:val="006C40DB"/>
    <w:rsid w:val="006C40F2"/>
    <w:rsid w:val="006C4182"/>
    <w:rsid w:val="006C41C2"/>
    <w:rsid w:val="006C41F8"/>
    <w:rsid w:val="006C4223"/>
    <w:rsid w:val="006C4275"/>
    <w:rsid w:val="006C429A"/>
    <w:rsid w:val="006C439F"/>
    <w:rsid w:val="006C43C3"/>
    <w:rsid w:val="006C43F5"/>
    <w:rsid w:val="006C43FC"/>
    <w:rsid w:val="006C4447"/>
    <w:rsid w:val="006C447B"/>
    <w:rsid w:val="006C44EA"/>
    <w:rsid w:val="006C4565"/>
    <w:rsid w:val="006C4614"/>
    <w:rsid w:val="006C461B"/>
    <w:rsid w:val="006C46D5"/>
    <w:rsid w:val="006C46F2"/>
    <w:rsid w:val="006C478A"/>
    <w:rsid w:val="006C47A1"/>
    <w:rsid w:val="006C47A4"/>
    <w:rsid w:val="006C489D"/>
    <w:rsid w:val="006C48AF"/>
    <w:rsid w:val="006C4975"/>
    <w:rsid w:val="006C4A1A"/>
    <w:rsid w:val="006C4A6B"/>
    <w:rsid w:val="006C4A88"/>
    <w:rsid w:val="006C4ACF"/>
    <w:rsid w:val="006C4B70"/>
    <w:rsid w:val="006C4BF8"/>
    <w:rsid w:val="006C4C23"/>
    <w:rsid w:val="006C4C67"/>
    <w:rsid w:val="006C4CC1"/>
    <w:rsid w:val="006C4CD3"/>
    <w:rsid w:val="006C4D2D"/>
    <w:rsid w:val="006C4D40"/>
    <w:rsid w:val="006C4DA5"/>
    <w:rsid w:val="006C4DBD"/>
    <w:rsid w:val="006C4F8B"/>
    <w:rsid w:val="006C4FA3"/>
    <w:rsid w:val="006C4FAA"/>
    <w:rsid w:val="006C4FAB"/>
    <w:rsid w:val="006C4FAD"/>
    <w:rsid w:val="006C5038"/>
    <w:rsid w:val="006C5087"/>
    <w:rsid w:val="006C508B"/>
    <w:rsid w:val="006C50EB"/>
    <w:rsid w:val="006C50FD"/>
    <w:rsid w:val="006C5108"/>
    <w:rsid w:val="006C51D3"/>
    <w:rsid w:val="006C51FB"/>
    <w:rsid w:val="006C525A"/>
    <w:rsid w:val="006C529D"/>
    <w:rsid w:val="006C52A5"/>
    <w:rsid w:val="006C5341"/>
    <w:rsid w:val="006C5433"/>
    <w:rsid w:val="006C54E9"/>
    <w:rsid w:val="006C54F3"/>
    <w:rsid w:val="006C5538"/>
    <w:rsid w:val="006C55A5"/>
    <w:rsid w:val="006C55BB"/>
    <w:rsid w:val="006C55C8"/>
    <w:rsid w:val="006C5612"/>
    <w:rsid w:val="006C5615"/>
    <w:rsid w:val="006C5664"/>
    <w:rsid w:val="006C56F1"/>
    <w:rsid w:val="006C572D"/>
    <w:rsid w:val="006C5786"/>
    <w:rsid w:val="006C57CD"/>
    <w:rsid w:val="006C5839"/>
    <w:rsid w:val="006C5A06"/>
    <w:rsid w:val="006C5A32"/>
    <w:rsid w:val="006C5A7F"/>
    <w:rsid w:val="006C5B5D"/>
    <w:rsid w:val="006C5B84"/>
    <w:rsid w:val="006C5BA3"/>
    <w:rsid w:val="006C5BBB"/>
    <w:rsid w:val="006C5BF8"/>
    <w:rsid w:val="006C5C8A"/>
    <w:rsid w:val="006C5CBF"/>
    <w:rsid w:val="006C5D0F"/>
    <w:rsid w:val="006C5D11"/>
    <w:rsid w:val="006C5D21"/>
    <w:rsid w:val="006C5E0F"/>
    <w:rsid w:val="006C5F24"/>
    <w:rsid w:val="006C5F8D"/>
    <w:rsid w:val="006C5FDA"/>
    <w:rsid w:val="006C5FE5"/>
    <w:rsid w:val="006C5FF9"/>
    <w:rsid w:val="006C6117"/>
    <w:rsid w:val="006C6125"/>
    <w:rsid w:val="006C6130"/>
    <w:rsid w:val="006C613E"/>
    <w:rsid w:val="006C615B"/>
    <w:rsid w:val="006C6298"/>
    <w:rsid w:val="006C62CF"/>
    <w:rsid w:val="006C63D2"/>
    <w:rsid w:val="006C6422"/>
    <w:rsid w:val="006C649C"/>
    <w:rsid w:val="006C64CD"/>
    <w:rsid w:val="006C65C4"/>
    <w:rsid w:val="006C661D"/>
    <w:rsid w:val="006C66A2"/>
    <w:rsid w:val="006C6766"/>
    <w:rsid w:val="006C6845"/>
    <w:rsid w:val="006C684F"/>
    <w:rsid w:val="006C691A"/>
    <w:rsid w:val="006C69C0"/>
    <w:rsid w:val="006C69DC"/>
    <w:rsid w:val="006C6B63"/>
    <w:rsid w:val="006C6BB1"/>
    <w:rsid w:val="006C6BE1"/>
    <w:rsid w:val="006C6BEE"/>
    <w:rsid w:val="006C6BFF"/>
    <w:rsid w:val="006C6CA4"/>
    <w:rsid w:val="006C6D0A"/>
    <w:rsid w:val="006C6D5A"/>
    <w:rsid w:val="006C6D73"/>
    <w:rsid w:val="006C6DAF"/>
    <w:rsid w:val="006C6DD6"/>
    <w:rsid w:val="006C6DE7"/>
    <w:rsid w:val="006C6DFC"/>
    <w:rsid w:val="006C6EB4"/>
    <w:rsid w:val="006C6EFB"/>
    <w:rsid w:val="006C6F8D"/>
    <w:rsid w:val="006C6FE5"/>
    <w:rsid w:val="006C6FF8"/>
    <w:rsid w:val="006C7132"/>
    <w:rsid w:val="006C7147"/>
    <w:rsid w:val="006C71A8"/>
    <w:rsid w:val="006C71ED"/>
    <w:rsid w:val="006C726D"/>
    <w:rsid w:val="006C72B1"/>
    <w:rsid w:val="006C72C7"/>
    <w:rsid w:val="006C739B"/>
    <w:rsid w:val="006C73E4"/>
    <w:rsid w:val="006C7526"/>
    <w:rsid w:val="006C757E"/>
    <w:rsid w:val="006C7589"/>
    <w:rsid w:val="006C7614"/>
    <w:rsid w:val="006C7688"/>
    <w:rsid w:val="006C7846"/>
    <w:rsid w:val="006C786C"/>
    <w:rsid w:val="006C787A"/>
    <w:rsid w:val="006C78AA"/>
    <w:rsid w:val="006C793D"/>
    <w:rsid w:val="006C7A1D"/>
    <w:rsid w:val="006C7A8E"/>
    <w:rsid w:val="006C7AE4"/>
    <w:rsid w:val="006C7B19"/>
    <w:rsid w:val="006C7B1D"/>
    <w:rsid w:val="006C7C07"/>
    <w:rsid w:val="006C7C11"/>
    <w:rsid w:val="006C7C77"/>
    <w:rsid w:val="006C7D0E"/>
    <w:rsid w:val="006C7D12"/>
    <w:rsid w:val="006C7E92"/>
    <w:rsid w:val="006C7ECC"/>
    <w:rsid w:val="006C7EE6"/>
    <w:rsid w:val="006C7F2B"/>
    <w:rsid w:val="006C7F3F"/>
    <w:rsid w:val="006C7FB2"/>
    <w:rsid w:val="006C7FEB"/>
    <w:rsid w:val="006D0091"/>
    <w:rsid w:val="006D00F4"/>
    <w:rsid w:val="006D015C"/>
    <w:rsid w:val="006D0228"/>
    <w:rsid w:val="006D0392"/>
    <w:rsid w:val="006D045C"/>
    <w:rsid w:val="006D0486"/>
    <w:rsid w:val="006D04BB"/>
    <w:rsid w:val="006D0539"/>
    <w:rsid w:val="006D067A"/>
    <w:rsid w:val="006D06CF"/>
    <w:rsid w:val="006D0782"/>
    <w:rsid w:val="006D07E1"/>
    <w:rsid w:val="006D0804"/>
    <w:rsid w:val="006D081F"/>
    <w:rsid w:val="006D0849"/>
    <w:rsid w:val="006D086C"/>
    <w:rsid w:val="006D0A8C"/>
    <w:rsid w:val="006D0B08"/>
    <w:rsid w:val="006D0BCB"/>
    <w:rsid w:val="006D0BEF"/>
    <w:rsid w:val="006D0C01"/>
    <w:rsid w:val="006D0C08"/>
    <w:rsid w:val="006D0C47"/>
    <w:rsid w:val="006D0C9B"/>
    <w:rsid w:val="006D0CA0"/>
    <w:rsid w:val="006D0CAD"/>
    <w:rsid w:val="006D0DA0"/>
    <w:rsid w:val="006D0DCC"/>
    <w:rsid w:val="006D0DD0"/>
    <w:rsid w:val="006D0DE9"/>
    <w:rsid w:val="006D0E48"/>
    <w:rsid w:val="006D0E9C"/>
    <w:rsid w:val="006D0F42"/>
    <w:rsid w:val="006D0FDB"/>
    <w:rsid w:val="006D109E"/>
    <w:rsid w:val="006D10D5"/>
    <w:rsid w:val="006D1140"/>
    <w:rsid w:val="006D1153"/>
    <w:rsid w:val="006D11C5"/>
    <w:rsid w:val="006D128A"/>
    <w:rsid w:val="006D12ED"/>
    <w:rsid w:val="006D1300"/>
    <w:rsid w:val="006D1302"/>
    <w:rsid w:val="006D130C"/>
    <w:rsid w:val="006D1368"/>
    <w:rsid w:val="006D13F0"/>
    <w:rsid w:val="006D140F"/>
    <w:rsid w:val="006D1501"/>
    <w:rsid w:val="006D15FA"/>
    <w:rsid w:val="006D168F"/>
    <w:rsid w:val="006D16F5"/>
    <w:rsid w:val="006D16FC"/>
    <w:rsid w:val="006D1756"/>
    <w:rsid w:val="006D17A6"/>
    <w:rsid w:val="006D17AF"/>
    <w:rsid w:val="006D17F6"/>
    <w:rsid w:val="006D1821"/>
    <w:rsid w:val="006D18F9"/>
    <w:rsid w:val="006D1A3A"/>
    <w:rsid w:val="006D1A90"/>
    <w:rsid w:val="006D1AEE"/>
    <w:rsid w:val="006D1B4E"/>
    <w:rsid w:val="006D1C0C"/>
    <w:rsid w:val="006D1D8F"/>
    <w:rsid w:val="006D1E31"/>
    <w:rsid w:val="006D1E3C"/>
    <w:rsid w:val="006D1E7B"/>
    <w:rsid w:val="006D1EC0"/>
    <w:rsid w:val="006D1ED5"/>
    <w:rsid w:val="006D1F75"/>
    <w:rsid w:val="006D1FA8"/>
    <w:rsid w:val="006D1FC1"/>
    <w:rsid w:val="006D1FED"/>
    <w:rsid w:val="006D2011"/>
    <w:rsid w:val="006D2039"/>
    <w:rsid w:val="006D2084"/>
    <w:rsid w:val="006D20BF"/>
    <w:rsid w:val="006D216B"/>
    <w:rsid w:val="006D21A7"/>
    <w:rsid w:val="006D2230"/>
    <w:rsid w:val="006D225E"/>
    <w:rsid w:val="006D22A5"/>
    <w:rsid w:val="006D2308"/>
    <w:rsid w:val="006D2365"/>
    <w:rsid w:val="006D23A6"/>
    <w:rsid w:val="006D24DA"/>
    <w:rsid w:val="006D256F"/>
    <w:rsid w:val="006D2616"/>
    <w:rsid w:val="006D26FF"/>
    <w:rsid w:val="006D276A"/>
    <w:rsid w:val="006D27C7"/>
    <w:rsid w:val="006D27FC"/>
    <w:rsid w:val="006D2866"/>
    <w:rsid w:val="006D2872"/>
    <w:rsid w:val="006D2986"/>
    <w:rsid w:val="006D2A1A"/>
    <w:rsid w:val="006D2B8F"/>
    <w:rsid w:val="006D2B9F"/>
    <w:rsid w:val="006D2C3E"/>
    <w:rsid w:val="006D2C4B"/>
    <w:rsid w:val="006D2D10"/>
    <w:rsid w:val="006D2DB1"/>
    <w:rsid w:val="006D2DC6"/>
    <w:rsid w:val="006D2E15"/>
    <w:rsid w:val="006D2E25"/>
    <w:rsid w:val="006D2E56"/>
    <w:rsid w:val="006D2E7E"/>
    <w:rsid w:val="006D2EB3"/>
    <w:rsid w:val="006D2F03"/>
    <w:rsid w:val="006D2FB6"/>
    <w:rsid w:val="006D2FDC"/>
    <w:rsid w:val="006D318F"/>
    <w:rsid w:val="006D3196"/>
    <w:rsid w:val="006D31F3"/>
    <w:rsid w:val="006D3316"/>
    <w:rsid w:val="006D334B"/>
    <w:rsid w:val="006D334D"/>
    <w:rsid w:val="006D338B"/>
    <w:rsid w:val="006D33A5"/>
    <w:rsid w:val="006D353F"/>
    <w:rsid w:val="006D354E"/>
    <w:rsid w:val="006D35B2"/>
    <w:rsid w:val="006D35E4"/>
    <w:rsid w:val="006D364A"/>
    <w:rsid w:val="006D37E9"/>
    <w:rsid w:val="006D384B"/>
    <w:rsid w:val="006D38C7"/>
    <w:rsid w:val="006D38CB"/>
    <w:rsid w:val="006D392D"/>
    <w:rsid w:val="006D3956"/>
    <w:rsid w:val="006D395A"/>
    <w:rsid w:val="006D398C"/>
    <w:rsid w:val="006D39CA"/>
    <w:rsid w:val="006D3A31"/>
    <w:rsid w:val="006D3AB7"/>
    <w:rsid w:val="006D3AC5"/>
    <w:rsid w:val="006D3C10"/>
    <w:rsid w:val="006D3C5D"/>
    <w:rsid w:val="006D3C87"/>
    <w:rsid w:val="006D3D2D"/>
    <w:rsid w:val="006D3D31"/>
    <w:rsid w:val="006D3DA9"/>
    <w:rsid w:val="006D3E35"/>
    <w:rsid w:val="006D3E76"/>
    <w:rsid w:val="006D3E7A"/>
    <w:rsid w:val="006D3ED0"/>
    <w:rsid w:val="006D3F45"/>
    <w:rsid w:val="006D3F4A"/>
    <w:rsid w:val="006D3F68"/>
    <w:rsid w:val="006D3F8E"/>
    <w:rsid w:val="006D3FF0"/>
    <w:rsid w:val="006D4065"/>
    <w:rsid w:val="006D40B4"/>
    <w:rsid w:val="006D4161"/>
    <w:rsid w:val="006D4238"/>
    <w:rsid w:val="006D4286"/>
    <w:rsid w:val="006D4330"/>
    <w:rsid w:val="006D4340"/>
    <w:rsid w:val="006D436E"/>
    <w:rsid w:val="006D43A7"/>
    <w:rsid w:val="006D43F4"/>
    <w:rsid w:val="006D44A5"/>
    <w:rsid w:val="006D4529"/>
    <w:rsid w:val="006D45B1"/>
    <w:rsid w:val="006D45D2"/>
    <w:rsid w:val="006D46C0"/>
    <w:rsid w:val="006D4760"/>
    <w:rsid w:val="006D47DB"/>
    <w:rsid w:val="006D47F8"/>
    <w:rsid w:val="006D487C"/>
    <w:rsid w:val="006D48BE"/>
    <w:rsid w:val="006D4918"/>
    <w:rsid w:val="006D49C6"/>
    <w:rsid w:val="006D4A3F"/>
    <w:rsid w:val="006D4A51"/>
    <w:rsid w:val="006D4AC9"/>
    <w:rsid w:val="006D4B0D"/>
    <w:rsid w:val="006D4B20"/>
    <w:rsid w:val="006D4B38"/>
    <w:rsid w:val="006D4B80"/>
    <w:rsid w:val="006D4BAF"/>
    <w:rsid w:val="006D4C6B"/>
    <w:rsid w:val="006D4C73"/>
    <w:rsid w:val="006D4C82"/>
    <w:rsid w:val="006D4D5E"/>
    <w:rsid w:val="006D4D89"/>
    <w:rsid w:val="006D4E1C"/>
    <w:rsid w:val="006D4E4F"/>
    <w:rsid w:val="006D4E9C"/>
    <w:rsid w:val="006D4EC9"/>
    <w:rsid w:val="006D4EE0"/>
    <w:rsid w:val="006D4F7B"/>
    <w:rsid w:val="006D4F93"/>
    <w:rsid w:val="006D507E"/>
    <w:rsid w:val="006D5155"/>
    <w:rsid w:val="006D5233"/>
    <w:rsid w:val="006D52FC"/>
    <w:rsid w:val="006D5300"/>
    <w:rsid w:val="006D536B"/>
    <w:rsid w:val="006D53B8"/>
    <w:rsid w:val="006D54A1"/>
    <w:rsid w:val="006D5512"/>
    <w:rsid w:val="006D5517"/>
    <w:rsid w:val="006D554A"/>
    <w:rsid w:val="006D55A5"/>
    <w:rsid w:val="006D5606"/>
    <w:rsid w:val="006D5620"/>
    <w:rsid w:val="006D5623"/>
    <w:rsid w:val="006D5634"/>
    <w:rsid w:val="006D56DD"/>
    <w:rsid w:val="006D575F"/>
    <w:rsid w:val="006D5763"/>
    <w:rsid w:val="006D5811"/>
    <w:rsid w:val="006D585E"/>
    <w:rsid w:val="006D58EA"/>
    <w:rsid w:val="006D5912"/>
    <w:rsid w:val="006D59A9"/>
    <w:rsid w:val="006D59AB"/>
    <w:rsid w:val="006D59DF"/>
    <w:rsid w:val="006D5A16"/>
    <w:rsid w:val="006D5A42"/>
    <w:rsid w:val="006D5A6C"/>
    <w:rsid w:val="006D5A92"/>
    <w:rsid w:val="006D5B9D"/>
    <w:rsid w:val="006D5CA8"/>
    <w:rsid w:val="006D5E48"/>
    <w:rsid w:val="006D5E94"/>
    <w:rsid w:val="006D5EBA"/>
    <w:rsid w:val="006D5EE8"/>
    <w:rsid w:val="006D6013"/>
    <w:rsid w:val="006D60BA"/>
    <w:rsid w:val="006D610B"/>
    <w:rsid w:val="006D61AF"/>
    <w:rsid w:val="006D61C4"/>
    <w:rsid w:val="006D629C"/>
    <w:rsid w:val="006D62F3"/>
    <w:rsid w:val="006D6310"/>
    <w:rsid w:val="006D63EE"/>
    <w:rsid w:val="006D6402"/>
    <w:rsid w:val="006D648A"/>
    <w:rsid w:val="006D649A"/>
    <w:rsid w:val="006D6534"/>
    <w:rsid w:val="006D656D"/>
    <w:rsid w:val="006D660C"/>
    <w:rsid w:val="006D6744"/>
    <w:rsid w:val="006D6764"/>
    <w:rsid w:val="006D67A8"/>
    <w:rsid w:val="006D67DE"/>
    <w:rsid w:val="006D682C"/>
    <w:rsid w:val="006D6843"/>
    <w:rsid w:val="006D689B"/>
    <w:rsid w:val="006D6961"/>
    <w:rsid w:val="006D69C8"/>
    <w:rsid w:val="006D6AC3"/>
    <w:rsid w:val="006D6ADE"/>
    <w:rsid w:val="006D6B31"/>
    <w:rsid w:val="006D6C48"/>
    <w:rsid w:val="006D6C5C"/>
    <w:rsid w:val="006D6DCB"/>
    <w:rsid w:val="006D6DFD"/>
    <w:rsid w:val="006D6E5F"/>
    <w:rsid w:val="006D6E74"/>
    <w:rsid w:val="006D6EF8"/>
    <w:rsid w:val="006D6F59"/>
    <w:rsid w:val="006D6FB9"/>
    <w:rsid w:val="006D6FFA"/>
    <w:rsid w:val="006D700D"/>
    <w:rsid w:val="006D7057"/>
    <w:rsid w:val="006D7123"/>
    <w:rsid w:val="006D7187"/>
    <w:rsid w:val="006D719E"/>
    <w:rsid w:val="006D71A4"/>
    <w:rsid w:val="006D71A8"/>
    <w:rsid w:val="006D71CF"/>
    <w:rsid w:val="006D7268"/>
    <w:rsid w:val="006D72E9"/>
    <w:rsid w:val="006D7364"/>
    <w:rsid w:val="006D738E"/>
    <w:rsid w:val="006D7397"/>
    <w:rsid w:val="006D73C7"/>
    <w:rsid w:val="006D7457"/>
    <w:rsid w:val="006D748D"/>
    <w:rsid w:val="006D7589"/>
    <w:rsid w:val="006D75F4"/>
    <w:rsid w:val="006D7644"/>
    <w:rsid w:val="006D765C"/>
    <w:rsid w:val="006D76D5"/>
    <w:rsid w:val="006D7709"/>
    <w:rsid w:val="006D77CF"/>
    <w:rsid w:val="006D7844"/>
    <w:rsid w:val="006D78B9"/>
    <w:rsid w:val="006D78ED"/>
    <w:rsid w:val="006D7910"/>
    <w:rsid w:val="006D7964"/>
    <w:rsid w:val="006D7A26"/>
    <w:rsid w:val="006D7A56"/>
    <w:rsid w:val="006D7AF1"/>
    <w:rsid w:val="006D7B06"/>
    <w:rsid w:val="006D7B61"/>
    <w:rsid w:val="006D7BF6"/>
    <w:rsid w:val="006D7C2B"/>
    <w:rsid w:val="006D7E1A"/>
    <w:rsid w:val="006D7E90"/>
    <w:rsid w:val="006D7EC2"/>
    <w:rsid w:val="006D7EDA"/>
    <w:rsid w:val="006D7FA5"/>
    <w:rsid w:val="006D7FC6"/>
    <w:rsid w:val="006E002D"/>
    <w:rsid w:val="006E0085"/>
    <w:rsid w:val="006E00B2"/>
    <w:rsid w:val="006E00E9"/>
    <w:rsid w:val="006E0110"/>
    <w:rsid w:val="006E0218"/>
    <w:rsid w:val="006E02BC"/>
    <w:rsid w:val="006E02C0"/>
    <w:rsid w:val="006E037B"/>
    <w:rsid w:val="006E03C1"/>
    <w:rsid w:val="006E040C"/>
    <w:rsid w:val="006E0480"/>
    <w:rsid w:val="006E04AF"/>
    <w:rsid w:val="006E04C5"/>
    <w:rsid w:val="006E04D4"/>
    <w:rsid w:val="006E04DA"/>
    <w:rsid w:val="006E0516"/>
    <w:rsid w:val="006E054F"/>
    <w:rsid w:val="006E056C"/>
    <w:rsid w:val="006E059A"/>
    <w:rsid w:val="006E061A"/>
    <w:rsid w:val="006E0649"/>
    <w:rsid w:val="006E06B1"/>
    <w:rsid w:val="006E06DE"/>
    <w:rsid w:val="006E0796"/>
    <w:rsid w:val="006E07B2"/>
    <w:rsid w:val="006E08BA"/>
    <w:rsid w:val="006E08CE"/>
    <w:rsid w:val="006E090E"/>
    <w:rsid w:val="006E093C"/>
    <w:rsid w:val="006E09AA"/>
    <w:rsid w:val="006E09FE"/>
    <w:rsid w:val="006E0A29"/>
    <w:rsid w:val="006E0A87"/>
    <w:rsid w:val="006E0AA8"/>
    <w:rsid w:val="006E0AAC"/>
    <w:rsid w:val="006E0AD1"/>
    <w:rsid w:val="006E0AEC"/>
    <w:rsid w:val="006E0B2A"/>
    <w:rsid w:val="006E0BA0"/>
    <w:rsid w:val="006E0BAE"/>
    <w:rsid w:val="006E0C25"/>
    <w:rsid w:val="006E0C8F"/>
    <w:rsid w:val="006E0CB2"/>
    <w:rsid w:val="006E0D2F"/>
    <w:rsid w:val="006E0D45"/>
    <w:rsid w:val="006E0D46"/>
    <w:rsid w:val="006E0EA0"/>
    <w:rsid w:val="006E0ECF"/>
    <w:rsid w:val="006E0EE3"/>
    <w:rsid w:val="006E0EF7"/>
    <w:rsid w:val="006E0FD3"/>
    <w:rsid w:val="006E0FF6"/>
    <w:rsid w:val="006E0FFD"/>
    <w:rsid w:val="006E1079"/>
    <w:rsid w:val="006E1148"/>
    <w:rsid w:val="006E11E7"/>
    <w:rsid w:val="006E123C"/>
    <w:rsid w:val="006E127B"/>
    <w:rsid w:val="006E1293"/>
    <w:rsid w:val="006E132F"/>
    <w:rsid w:val="006E1379"/>
    <w:rsid w:val="006E13BC"/>
    <w:rsid w:val="006E1407"/>
    <w:rsid w:val="006E148F"/>
    <w:rsid w:val="006E14D9"/>
    <w:rsid w:val="006E156A"/>
    <w:rsid w:val="006E15B0"/>
    <w:rsid w:val="006E15D1"/>
    <w:rsid w:val="006E1636"/>
    <w:rsid w:val="006E165E"/>
    <w:rsid w:val="006E165F"/>
    <w:rsid w:val="006E1684"/>
    <w:rsid w:val="006E16FA"/>
    <w:rsid w:val="006E1718"/>
    <w:rsid w:val="006E1879"/>
    <w:rsid w:val="006E18B1"/>
    <w:rsid w:val="006E18C4"/>
    <w:rsid w:val="006E19A2"/>
    <w:rsid w:val="006E1A05"/>
    <w:rsid w:val="006E1A1A"/>
    <w:rsid w:val="006E1B55"/>
    <w:rsid w:val="006E1B7B"/>
    <w:rsid w:val="006E1B7F"/>
    <w:rsid w:val="006E1C20"/>
    <w:rsid w:val="006E1C3B"/>
    <w:rsid w:val="006E1C9A"/>
    <w:rsid w:val="006E1CFF"/>
    <w:rsid w:val="006E1D41"/>
    <w:rsid w:val="006E1D61"/>
    <w:rsid w:val="006E1D7E"/>
    <w:rsid w:val="006E1DE0"/>
    <w:rsid w:val="006E1DE3"/>
    <w:rsid w:val="006E1E60"/>
    <w:rsid w:val="006E1E8E"/>
    <w:rsid w:val="006E1EC7"/>
    <w:rsid w:val="006E1EE4"/>
    <w:rsid w:val="006E1F01"/>
    <w:rsid w:val="006E1F8F"/>
    <w:rsid w:val="006E1F94"/>
    <w:rsid w:val="006E1FD7"/>
    <w:rsid w:val="006E1FFE"/>
    <w:rsid w:val="006E2000"/>
    <w:rsid w:val="006E207B"/>
    <w:rsid w:val="006E21DB"/>
    <w:rsid w:val="006E21FF"/>
    <w:rsid w:val="006E2247"/>
    <w:rsid w:val="006E22D6"/>
    <w:rsid w:val="006E22E5"/>
    <w:rsid w:val="006E2329"/>
    <w:rsid w:val="006E233E"/>
    <w:rsid w:val="006E2373"/>
    <w:rsid w:val="006E2377"/>
    <w:rsid w:val="006E23B8"/>
    <w:rsid w:val="006E23C7"/>
    <w:rsid w:val="006E24B5"/>
    <w:rsid w:val="006E24C1"/>
    <w:rsid w:val="006E24C5"/>
    <w:rsid w:val="006E24E1"/>
    <w:rsid w:val="006E260D"/>
    <w:rsid w:val="006E266B"/>
    <w:rsid w:val="006E26B7"/>
    <w:rsid w:val="006E26EE"/>
    <w:rsid w:val="006E2769"/>
    <w:rsid w:val="006E2853"/>
    <w:rsid w:val="006E2940"/>
    <w:rsid w:val="006E2961"/>
    <w:rsid w:val="006E2969"/>
    <w:rsid w:val="006E298D"/>
    <w:rsid w:val="006E2A12"/>
    <w:rsid w:val="006E2ABC"/>
    <w:rsid w:val="006E2AC6"/>
    <w:rsid w:val="006E2B69"/>
    <w:rsid w:val="006E2B77"/>
    <w:rsid w:val="006E2C31"/>
    <w:rsid w:val="006E2D00"/>
    <w:rsid w:val="006E2D45"/>
    <w:rsid w:val="006E2D75"/>
    <w:rsid w:val="006E2E16"/>
    <w:rsid w:val="006E2E65"/>
    <w:rsid w:val="006E2E9D"/>
    <w:rsid w:val="006E2F3E"/>
    <w:rsid w:val="006E2F66"/>
    <w:rsid w:val="006E2F85"/>
    <w:rsid w:val="006E2F9A"/>
    <w:rsid w:val="006E2FFB"/>
    <w:rsid w:val="006E304C"/>
    <w:rsid w:val="006E3057"/>
    <w:rsid w:val="006E305A"/>
    <w:rsid w:val="006E3064"/>
    <w:rsid w:val="006E3087"/>
    <w:rsid w:val="006E30AE"/>
    <w:rsid w:val="006E30C5"/>
    <w:rsid w:val="006E30D7"/>
    <w:rsid w:val="006E3123"/>
    <w:rsid w:val="006E3129"/>
    <w:rsid w:val="006E3181"/>
    <w:rsid w:val="006E3183"/>
    <w:rsid w:val="006E3201"/>
    <w:rsid w:val="006E3269"/>
    <w:rsid w:val="006E3348"/>
    <w:rsid w:val="006E334A"/>
    <w:rsid w:val="006E33E6"/>
    <w:rsid w:val="006E3428"/>
    <w:rsid w:val="006E352E"/>
    <w:rsid w:val="006E3540"/>
    <w:rsid w:val="006E35E2"/>
    <w:rsid w:val="006E3637"/>
    <w:rsid w:val="006E379F"/>
    <w:rsid w:val="006E37A6"/>
    <w:rsid w:val="006E37A8"/>
    <w:rsid w:val="006E37AF"/>
    <w:rsid w:val="006E37FE"/>
    <w:rsid w:val="006E3801"/>
    <w:rsid w:val="006E3868"/>
    <w:rsid w:val="006E3899"/>
    <w:rsid w:val="006E389A"/>
    <w:rsid w:val="006E390D"/>
    <w:rsid w:val="006E392E"/>
    <w:rsid w:val="006E3935"/>
    <w:rsid w:val="006E3AA5"/>
    <w:rsid w:val="006E3AEE"/>
    <w:rsid w:val="006E3B8F"/>
    <w:rsid w:val="006E3BB9"/>
    <w:rsid w:val="006E3C3F"/>
    <w:rsid w:val="006E3D04"/>
    <w:rsid w:val="006E3D1B"/>
    <w:rsid w:val="006E3D2C"/>
    <w:rsid w:val="006E3D56"/>
    <w:rsid w:val="006E3DFD"/>
    <w:rsid w:val="006E3EB9"/>
    <w:rsid w:val="006E3F69"/>
    <w:rsid w:val="006E3FF3"/>
    <w:rsid w:val="006E3FFE"/>
    <w:rsid w:val="006E4184"/>
    <w:rsid w:val="006E4198"/>
    <w:rsid w:val="006E4221"/>
    <w:rsid w:val="006E42ED"/>
    <w:rsid w:val="006E42EE"/>
    <w:rsid w:val="006E4315"/>
    <w:rsid w:val="006E43E8"/>
    <w:rsid w:val="006E440B"/>
    <w:rsid w:val="006E441F"/>
    <w:rsid w:val="006E443A"/>
    <w:rsid w:val="006E44AC"/>
    <w:rsid w:val="006E450E"/>
    <w:rsid w:val="006E4553"/>
    <w:rsid w:val="006E45CA"/>
    <w:rsid w:val="006E45CE"/>
    <w:rsid w:val="006E465C"/>
    <w:rsid w:val="006E476B"/>
    <w:rsid w:val="006E48BC"/>
    <w:rsid w:val="006E495E"/>
    <w:rsid w:val="006E4988"/>
    <w:rsid w:val="006E49F9"/>
    <w:rsid w:val="006E49FC"/>
    <w:rsid w:val="006E4A4A"/>
    <w:rsid w:val="006E4B00"/>
    <w:rsid w:val="006E4B3C"/>
    <w:rsid w:val="006E4BF9"/>
    <w:rsid w:val="006E4C2E"/>
    <w:rsid w:val="006E4DC0"/>
    <w:rsid w:val="006E4F04"/>
    <w:rsid w:val="006E4F83"/>
    <w:rsid w:val="006E4FB5"/>
    <w:rsid w:val="006E5028"/>
    <w:rsid w:val="006E5035"/>
    <w:rsid w:val="006E511D"/>
    <w:rsid w:val="006E51D3"/>
    <w:rsid w:val="006E5214"/>
    <w:rsid w:val="006E5228"/>
    <w:rsid w:val="006E52FA"/>
    <w:rsid w:val="006E539C"/>
    <w:rsid w:val="006E541A"/>
    <w:rsid w:val="006E54FF"/>
    <w:rsid w:val="006E551B"/>
    <w:rsid w:val="006E5523"/>
    <w:rsid w:val="006E5559"/>
    <w:rsid w:val="006E5579"/>
    <w:rsid w:val="006E55D5"/>
    <w:rsid w:val="006E5607"/>
    <w:rsid w:val="006E561D"/>
    <w:rsid w:val="006E567D"/>
    <w:rsid w:val="006E57AA"/>
    <w:rsid w:val="006E57C3"/>
    <w:rsid w:val="006E57DB"/>
    <w:rsid w:val="006E57DC"/>
    <w:rsid w:val="006E5809"/>
    <w:rsid w:val="006E587E"/>
    <w:rsid w:val="006E58B7"/>
    <w:rsid w:val="006E58F7"/>
    <w:rsid w:val="006E5A08"/>
    <w:rsid w:val="006E5A2F"/>
    <w:rsid w:val="006E5A39"/>
    <w:rsid w:val="006E5A9E"/>
    <w:rsid w:val="006E5AD1"/>
    <w:rsid w:val="006E5AF6"/>
    <w:rsid w:val="006E5B7D"/>
    <w:rsid w:val="006E5BCF"/>
    <w:rsid w:val="006E5D22"/>
    <w:rsid w:val="006E5D25"/>
    <w:rsid w:val="006E5D45"/>
    <w:rsid w:val="006E5D8A"/>
    <w:rsid w:val="006E5E2A"/>
    <w:rsid w:val="006E5E54"/>
    <w:rsid w:val="006E5E57"/>
    <w:rsid w:val="006E5E58"/>
    <w:rsid w:val="006E5E9B"/>
    <w:rsid w:val="006E5EA8"/>
    <w:rsid w:val="006E5EC0"/>
    <w:rsid w:val="006E5F5F"/>
    <w:rsid w:val="006E5F64"/>
    <w:rsid w:val="006E5FB5"/>
    <w:rsid w:val="006E5FD8"/>
    <w:rsid w:val="006E5FF2"/>
    <w:rsid w:val="006E606C"/>
    <w:rsid w:val="006E61A1"/>
    <w:rsid w:val="006E6224"/>
    <w:rsid w:val="006E62D0"/>
    <w:rsid w:val="006E62D1"/>
    <w:rsid w:val="006E62E3"/>
    <w:rsid w:val="006E62FA"/>
    <w:rsid w:val="006E6319"/>
    <w:rsid w:val="006E6328"/>
    <w:rsid w:val="006E640F"/>
    <w:rsid w:val="006E645C"/>
    <w:rsid w:val="006E647F"/>
    <w:rsid w:val="006E6518"/>
    <w:rsid w:val="006E6553"/>
    <w:rsid w:val="006E656D"/>
    <w:rsid w:val="006E658C"/>
    <w:rsid w:val="006E670A"/>
    <w:rsid w:val="006E67B0"/>
    <w:rsid w:val="006E67FB"/>
    <w:rsid w:val="006E681D"/>
    <w:rsid w:val="006E68FE"/>
    <w:rsid w:val="006E69C6"/>
    <w:rsid w:val="006E6AD4"/>
    <w:rsid w:val="006E6B16"/>
    <w:rsid w:val="006E6B30"/>
    <w:rsid w:val="006E6B79"/>
    <w:rsid w:val="006E6B85"/>
    <w:rsid w:val="006E6C59"/>
    <w:rsid w:val="006E6CCE"/>
    <w:rsid w:val="006E6D37"/>
    <w:rsid w:val="006E6D72"/>
    <w:rsid w:val="006E6DBB"/>
    <w:rsid w:val="006E6DD6"/>
    <w:rsid w:val="006E6DE7"/>
    <w:rsid w:val="006E6E76"/>
    <w:rsid w:val="006E6F26"/>
    <w:rsid w:val="006E6F9C"/>
    <w:rsid w:val="006E6FD9"/>
    <w:rsid w:val="006E7121"/>
    <w:rsid w:val="006E71DB"/>
    <w:rsid w:val="006E72AB"/>
    <w:rsid w:val="006E7322"/>
    <w:rsid w:val="006E7383"/>
    <w:rsid w:val="006E73D3"/>
    <w:rsid w:val="006E73E0"/>
    <w:rsid w:val="006E7424"/>
    <w:rsid w:val="006E7473"/>
    <w:rsid w:val="006E7477"/>
    <w:rsid w:val="006E74C5"/>
    <w:rsid w:val="006E74E2"/>
    <w:rsid w:val="006E74F0"/>
    <w:rsid w:val="006E7552"/>
    <w:rsid w:val="006E7618"/>
    <w:rsid w:val="006E7633"/>
    <w:rsid w:val="006E76A0"/>
    <w:rsid w:val="006E76C0"/>
    <w:rsid w:val="006E771B"/>
    <w:rsid w:val="006E7788"/>
    <w:rsid w:val="006E778C"/>
    <w:rsid w:val="006E789F"/>
    <w:rsid w:val="006E78B8"/>
    <w:rsid w:val="006E78CC"/>
    <w:rsid w:val="006E78F6"/>
    <w:rsid w:val="006E793A"/>
    <w:rsid w:val="006E79AB"/>
    <w:rsid w:val="006E79C6"/>
    <w:rsid w:val="006E7A01"/>
    <w:rsid w:val="006E7A34"/>
    <w:rsid w:val="006E7A38"/>
    <w:rsid w:val="006E7A58"/>
    <w:rsid w:val="006E7BFF"/>
    <w:rsid w:val="006E7C5C"/>
    <w:rsid w:val="006E7CB2"/>
    <w:rsid w:val="006E7CB7"/>
    <w:rsid w:val="006E7CCD"/>
    <w:rsid w:val="006E7D80"/>
    <w:rsid w:val="006E7E4F"/>
    <w:rsid w:val="006E7EB5"/>
    <w:rsid w:val="006E7EC4"/>
    <w:rsid w:val="006E7F6C"/>
    <w:rsid w:val="006F0045"/>
    <w:rsid w:val="006F0057"/>
    <w:rsid w:val="006F00BA"/>
    <w:rsid w:val="006F00BF"/>
    <w:rsid w:val="006F0168"/>
    <w:rsid w:val="006F01F5"/>
    <w:rsid w:val="006F0284"/>
    <w:rsid w:val="006F02FE"/>
    <w:rsid w:val="006F038B"/>
    <w:rsid w:val="006F0398"/>
    <w:rsid w:val="006F03B4"/>
    <w:rsid w:val="006F0462"/>
    <w:rsid w:val="006F0509"/>
    <w:rsid w:val="006F0515"/>
    <w:rsid w:val="006F0530"/>
    <w:rsid w:val="006F0633"/>
    <w:rsid w:val="006F0788"/>
    <w:rsid w:val="006F07E4"/>
    <w:rsid w:val="006F07F1"/>
    <w:rsid w:val="006F07FD"/>
    <w:rsid w:val="006F0829"/>
    <w:rsid w:val="006F08AD"/>
    <w:rsid w:val="006F08F5"/>
    <w:rsid w:val="006F090A"/>
    <w:rsid w:val="006F0936"/>
    <w:rsid w:val="006F096E"/>
    <w:rsid w:val="006F0A7F"/>
    <w:rsid w:val="006F0AF2"/>
    <w:rsid w:val="006F0AF9"/>
    <w:rsid w:val="006F0B48"/>
    <w:rsid w:val="006F0B57"/>
    <w:rsid w:val="006F0C22"/>
    <w:rsid w:val="006F0C84"/>
    <w:rsid w:val="006F0C8F"/>
    <w:rsid w:val="006F0CD0"/>
    <w:rsid w:val="006F0D48"/>
    <w:rsid w:val="006F0E0C"/>
    <w:rsid w:val="006F0E38"/>
    <w:rsid w:val="006F0E56"/>
    <w:rsid w:val="006F0E66"/>
    <w:rsid w:val="006F0E73"/>
    <w:rsid w:val="006F0E8E"/>
    <w:rsid w:val="006F0E96"/>
    <w:rsid w:val="006F0F10"/>
    <w:rsid w:val="006F102C"/>
    <w:rsid w:val="006F115B"/>
    <w:rsid w:val="006F1195"/>
    <w:rsid w:val="006F11D7"/>
    <w:rsid w:val="006F122C"/>
    <w:rsid w:val="006F124B"/>
    <w:rsid w:val="006F1274"/>
    <w:rsid w:val="006F1295"/>
    <w:rsid w:val="006F12F1"/>
    <w:rsid w:val="006F1367"/>
    <w:rsid w:val="006F13BD"/>
    <w:rsid w:val="006F1425"/>
    <w:rsid w:val="006F16D2"/>
    <w:rsid w:val="006F176B"/>
    <w:rsid w:val="006F1778"/>
    <w:rsid w:val="006F1788"/>
    <w:rsid w:val="006F17B9"/>
    <w:rsid w:val="006F17CA"/>
    <w:rsid w:val="006F1802"/>
    <w:rsid w:val="006F1988"/>
    <w:rsid w:val="006F19B5"/>
    <w:rsid w:val="006F19BC"/>
    <w:rsid w:val="006F19FE"/>
    <w:rsid w:val="006F1A35"/>
    <w:rsid w:val="006F1A3F"/>
    <w:rsid w:val="006F1A59"/>
    <w:rsid w:val="006F1A91"/>
    <w:rsid w:val="006F1BC4"/>
    <w:rsid w:val="006F1BCB"/>
    <w:rsid w:val="006F1C06"/>
    <w:rsid w:val="006F1C34"/>
    <w:rsid w:val="006F1C3C"/>
    <w:rsid w:val="006F1C48"/>
    <w:rsid w:val="006F1D77"/>
    <w:rsid w:val="006F1D9F"/>
    <w:rsid w:val="006F1DE8"/>
    <w:rsid w:val="006F1FD2"/>
    <w:rsid w:val="006F2002"/>
    <w:rsid w:val="006F2014"/>
    <w:rsid w:val="006F2103"/>
    <w:rsid w:val="006F2139"/>
    <w:rsid w:val="006F21A5"/>
    <w:rsid w:val="006F21C2"/>
    <w:rsid w:val="006F21D3"/>
    <w:rsid w:val="006F221B"/>
    <w:rsid w:val="006F2269"/>
    <w:rsid w:val="006F22F6"/>
    <w:rsid w:val="006F22F9"/>
    <w:rsid w:val="006F23C0"/>
    <w:rsid w:val="006F2569"/>
    <w:rsid w:val="006F25D5"/>
    <w:rsid w:val="006F260F"/>
    <w:rsid w:val="006F2619"/>
    <w:rsid w:val="006F2621"/>
    <w:rsid w:val="006F2625"/>
    <w:rsid w:val="006F2661"/>
    <w:rsid w:val="006F26EF"/>
    <w:rsid w:val="006F2711"/>
    <w:rsid w:val="006F2779"/>
    <w:rsid w:val="006F27D2"/>
    <w:rsid w:val="006F285B"/>
    <w:rsid w:val="006F291F"/>
    <w:rsid w:val="006F2984"/>
    <w:rsid w:val="006F29AA"/>
    <w:rsid w:val="006F29C0"/>
    <w:rsid w:val="006F29C9"/>
    <w:rsid w:val="006F29EB"/>
    <w:rsid w:val="006F2A24"/>
    <w:rsid w:val="006F2A62"/>
    <w:rsid w:val="006F2A6A"/>
    <w:rsid w:val="006F2A7C"/>
    <w:rsid w:val="006F2B1A"/>
    <w:rsid w:val="006F2B50"/>
    <w:rsid w:val="006F2B57"/>
    <w:rsid w:val="006F2C39"/>
    <w:rsid w:val="006F2C6E"/>
    <w:rsid w:val="006F2D6F"/>
    <w:rsid w:val="006F2EA3"/>
    <w:rsid w:val="006F2ED6"/>
    <w:rsid w:val="006F2EEA"/>
    <w:rsid w:val="006F2F10"/>
    <w:rsid w:val="006F2F15"/>
    <w:rsid w:val="006F2F96"/>
    <w:rsid w:val="006F2FDB"/>
    <w:rsid w:val="006F3080"/>
    <w:rsid w:val="006F3103"/>
    <w:rsid w:val="006F3141"/>
    <w:rsid w:val="006F322E"/>
    <w:rsid w:val="006F323A"/>
    <w:rsid w:val="006F32A6"/>
    <w:rsid w:val="006F3312"/>
    <w:rsid w:val="006F336C"/>
    <w:rsid w:val="006F3372"/>
    <w:rsid w:val="006F3382"/>
    <w:rsid w:val="006F33D6"/>
    <w:rsid w:val="006F34D3"/>
    <w:rsid w:val="006F3532"/>
    <w:rsid w:val="006F36DA"/>
    <w:rsid w:val="006F37D3"/>
    <w:rsid w:val="006F3852"/>
    <w:rsid w:val="006F38DF"/>
    <w:rsid w:val="006F38E0"/>
    <w:rsid w:val="006F38FD"/>
    <w:rsid w:val="006F3922"/>
    <w:rsid w:val="006F3989"/>
    <w:rsid w:val="006F39A3"/>
    <w:rsid w:val="006F39B3"/>
    <w:rsid w:val="006F39FA"/>
    <w:rsid w:val="006F3A16"/>
    <w:rsid w:val="006F3A54"/>
    <w:rsid w:val="006F3A73"/>
    <w:rsid w:val="006F3B00"/>
    <w:rsid w:val="006F3B3E"/>
    <w:rsid w:val="006F3B45"/>
    <w:rsid w:val="006F3C35"/>
    <w:rsid w:val="006F3DAE"/>
    <w:rsid w:val="006F3DBB"/>
    <w:rsid w:val="006F3DBD"/>
    <w:rsid w:val="006F3DED"/>
    <w:rsid w:val="006F3E3C"/>
    <w:rsid w:val="006F3E5E"/>
    <w:rsid w:val="006F3EC2"/>
    <w:rsid w:val="006F3F07"/>
    <w:rsid w:val="006F3F3B"/>
    <w:rsid w:val="006F3F58"/>
    <w:rsid w:val="006F3F93"/>
    <w:rsid w:val="006F401D"/>
    <w:rsid w:val="006F4050"/>
    <w:rsid w:val="006F415D"/>
    <w:rsid w:val="006F42E6"/>
    <w:rsid w:val="006F431A"/>
    <w:rsid w:val="006F434A"/>
    <w:rsid w:val="006F4373"/>
    <w:rsid w:val="006F4387"/>
    <w:rsid w:val="006F45D8"/>
    <w:rsid w:val="006F45D9"/>
    <w:rsid w:val="006F4696"/>
    <w:rsid w:val="006F46FE"/>
    <w:rsid w:val="006F47BD"/>
    <w:rsid w:val="006F47BF"/>
    <w:rsid w:val="006F48D4"/>
    <w:rsid w:val="006F49DE"/>
    <w:rsid w:val="006F4A3A"/>
    <w:rsid w:val="006F4A86"/>
    <w:rsid w:val="006F4B3C"/>
    <w:rsid w:val="006F4B47"/>
    <w:rsid w:val="006F4B4A"/>
    <w:rsid w:val="006F4BE2"/>
    <w:rsid w:val="006F4C20"/>
    <w:rsid w:val="006F4C9E"/>
    <w:rsid w:val="006F4D51"/>
    <w:rsid w:val="006F4DD8"/>
    <w:rsid w:val="006F4E20"/>
    <w:rsid w:val="006F4E3F"/>
    <w:rsid w:val="006F4E7D"/>
    <w:rsid w:val="006F4F38"/>
    <w:rsid w:val="006F4FFF"/>
    <w:rsid w:val="006F50BF"/>
    <w:rsid w:val="006F50F8"/>
    <w:rsid w:val="006F5224"/>
    <w:rsid w:val="006F5240"/>
    <w:rsid w:val="006F5255"/>
    <w:rsid w:val="006F525B"/>
    <w:rsid w:val="006F52E4"/>
    <w:rsid w:val="006F5337"/>
    <w:rsid w:val="006F533A"/>
    <w:rsid w:val="006F53E8"/>
    <w:rsid w:val="006F541A"/>
    <w:rsid w:val="006F544F"/>
    <w:rsid w:val="006F5487"/>
    <w:rsid w:val="006F54A4"/>
    <w:rsid w:val="006F54DB"/>
    <w:rsid w:val="006F5506"/>
    <w:rsid w:val="006F5529"/>
    <w:rsid w:val="006F55A5"/>
    <w:rsid w:val="006F562A"/>
    <w:rsid w:val="006F5662"/>
    <w:rsid w:val="006F5683"/>
    <w:rsid w:val="006F56C8"/>
    <w:rsid w:val="006F56DF"/>
    <w:rsid w:val="006F57F0"/>
    <w:rsid w:val="006F59B4"/>
    <w:rsid w:val="006F5A7E"/>
    <w:rsid w:val="006F5AE5"/>
    <w:rsid w:val="006F5B46"/>
    <w:rsid w:val="006F5B8C"/>
    <w:rsid w:val="006F5BED"/>
    <w:rsid w:val="006F5CEA"/>
    <w:rsid w:val="006F5D0E"/>
    <w:rsid w:val="006F5DA1"/>
    <w:rsid w:val="006F5E4E"/>
    <w:rsid w:val="006F5ED7"/>
    <w:rsid w:val="006F5F5B"/>
    <w:rsid w:val="006F5F6B"/>
    <w:rsid w:val="006F600F"/>
    <w:rsid w:val="006F605A"/>
    <w:rsid w:val="006F6092"/>
    <w:rsid w:val="006F60C2"/>
    <w:rsid w:val="006F6176"/>
    <w:rsid w:val="006F6218"/>
    <w:rsid w:val="006F62C1"/>
    <w:rsid w:val="006F6367"/>
    <w:rsid w:val="006F6447"/>
    <w:rsid w:val="006F645B"/>
    <w:rsid w:val="006F64B6"/>
    <w:rsid w:val="006F65AA"/>
    <w:rsid w:val="006F6676"/>
    <w:rsid w:val="006F6690"/>
    <w:rsid w:val="006F670C"/>
    <w:rsid w:val="006F676F"/>
    <w:rsid w:val="006F6896"/>
    <w:rsid w:val="006F69DD"/>
    <w:rsid w:val="006F6A2E"/>
    <w:rsid w:val="006F6A3C"/>
    <w:rsid w:val="006F6ADA"/>
    <w:rsid w:val="006F6BD9"/>
    <w:rsid w:val="006F6BF9"/>
    <w:rsid w:val="006F6BFD"/>
    <w:rsid w:val="006F6C9C"/>
    <w:rsid w:val="006F6CC3"/>
    <w:rsid w:val="006F6CEC"/>
    <w:rsid w:val="006F6D17"/>
    <w:rsid w:val="006F6D1B"/>
    <w:rsid w:val="006F6D7F"/>
    <w:rsid w:val="006F6D9E"/>
    <w:rsid w:val="006F6E43"/>
    <w:rsid w:val="006F6E58"/>
    <w:rsid w:val="006F6EAB"/>
    <w:rsid w:val="006F6EB0"/>
    <w:rsid w:val="006F6ED3"/>
    <w:rsid w:val="006F6F29"/>
    <w:rsid w:val="006F703E"/>
    <w:rsid w:val="006F7115"/>
    <w:rsid w:val="006F725C"/>
    <w:rsid w:val="006F7267"/>
    <w:rsid w:val="006F728E"/>
    <w:rsid w:val="006F7355"/>
    <w:rsid w:val="006F73E3"/>
    <w:rsid w:val="006F74A0"/>
    <w:rsid w:val="006F7585"/>
    <w:rsid w:val="006F75ED"/>
    <w:rsid w:val="006F75EF"/>
    <w:rsid w:val="006F7610"/>
    <w:rsid w:val="006F7619"/>
    <w:rsid w:val="006F763E"/>
    <w:rsid w:val="006F76F5"/>
    <w:rsid w:val="006F7707"/>
    <w:rsid w:val="006F776E"/>
    <w:rsid w:val="006F77B3"/>
    <w:rsid w:val="006F780C"/>
    <w:rsid w:val="006F780D"/>
    <w:rsid w:val="006F789B"/>
    <w:rsid w:val="006F78EC"/>
    <w:rsid w:val="006F78FA"/>
    <w:rsid w:val="006F78FC"/>
    <w:rsid w:val="006F7916"/>
    <w:rsid w:val="006F7985"/>
    <w:rsid w:val="006F7A2D"/>
    <w:rsid w:val="006F7AF2"/>
    <w:rsid w:val="006F7C17"/>
    <w:rsid w:val="006F7D2D"/>
    <w:rsid w:val="006F7DB1"/>
    <w:rsid w:val="006F7DBB"/>
    <w:rsid w:val="006F7E3C"/>
    <w:rsid w:val="006F7EB9"/>
    <w:rsid w:val="006F7EE5"/>
    <w:rsid w:val="006F7F14"/>
    <w:rsid w:val="006F7FC8"/>
    <w:rsid w:val="0070000E"/>
    <w:rsid w:val="00700084"/>
    <w:rsid w:val="00700120"/>
    <w:rsid w:val="00700206"/>
    <w:rsid w:val="00700239"/>
    <w:rsid w:val="007002C7"/>
    <w:rsid w:val="007002F7"/>
    <w:rsid w:val="0070035D"/>
    <w:rsid w:val="00700438"/>
    <w:rsid w:val="0070044A"/>
    <w:rsid w:val="0070049F"/>
    <w:rsid w:val="007004DC"/>
    <w:rsid w:val="0070067C"/>
    <w:rsid w:val="0070069F"/>
    <w:rsid w:val="007006F1"/>
    <w:rsid w:val="007007A8"/>
    <w:rsid w:val="00700849"/>
    <w:rsid w:val="0070089D"/>
    <w:rsid w:val="00700935"/>
    <w:rsid w:val="00700960"/>
    <w:rsid w:val="00700966"/>
    <w:rsid w:val="00700998"/>
    <w:rsid w:val="00700A98"/>
    <w:rsid w:val="00700AAE"/>
    <w:rsid w:val="00700B79"/>
    <w:rsid w:val="00700B7C"/>
    <w:rsid w:val="00700B8A"/>
    <w:rsid w:val="00700BB9"/>
    <w:rsid w:val="00700DCB"/>
    <w:rsid w:val="00700DDF"/>
    <w:rsid w:val="00700E2A"/>
    <w:rsid w:val="00700E9D"/>
    <w:rsid w:val="00700F1B"/>
    <w:rsid w:val="00700F1D"/>
    <w:rsid w:val="00700F75"/>
    <w:rsid w:val="00700F7F"/>
    <w:rsid w:val="00700F88"/>
    <w:rsid w:val="00700FE3"/>
    <w:rsid w:val="007010D1"/>
    <w:rsid w:val="00701127"/>
    <w:rsid w:val="00701180"/>
    <w:rsid w:val="007011B7"/>
    <w:rsid w:val="007011F4"/>
    <w:rsid w:val="007012B3"/>
    <w:rsid w:val="007012E2"/>
    <w:rsid w:val="00701305"/>
    <w:rsid w:val="00701382"/>
    <w:rsid w:val="007013B1"/>
    <w:rsid w:val="0070147A"/>
    <w:rsid w:val="0070147E"/>
    <w:rsid w:val="00701493"/>
    <w:rsid w:val="007014A2"/>
    <w:rsid w:val="00701576"/>
    <w:rsid w:val="00701615"/>
    <w:rsid w:val="00701678"/>
    <w:rsid w:val="00701698"/>
    <w:rsid w:val="007016D3"/>
    <w:rsid w:val="007016D9"/>
    <w:rsid w:val="007016FD"/>
    <w:rsid w:val="0070173E"/>
    <w:rsid w:val="0070174E"/>
    <w:rsid w:val="0070178C"/>
    <w:rsid w:val="007017B7"/>
    <w:rsid w:val="007017F8"/>
    <w:rsid w:val="00701821"/>
    <w:rsid w:val="0070186B"/>
    <w:rsid w:val="00701885"/>
    <w:rsid w:val="007018FF"/>
    <w:rsid w:val="00701917"/>
    <w:rsid w:val="0070192F"/>
    <w:rsid w:val="00701969"/>
    <w:rsid w:val="007019C5"/>
    <w:rsid w:val="00701A0A"/>
    <w:rsid w:val="00701A17"/>
    <w:rsid w:val="00701A4A"/>
    <w:rsid w:val="00701A8D"/>
    <w:rsid w:val="00701A97"/>
    <w:rsid w:val="00701AF0"/>
    <w:rsid w:val="00701B1F"/>
    <w:rsid w:val="00701C44"/>
    <w:rsid w:val="00701C5B"/>
    <w:rsid w:val="00701CD6"/>
    <w:rsid w:val="00701D46"/>
    <w:rsid w:val="00701DC4"/>
    <w:rsid w:val="00701E04"/>
    <w:rsid w:val="00701E08"/>
    <w:rsid w:val="00701E7A"/>
    <w:rsid w:val="00701E8E"/>
    <w:rsid w:val="00701EB7"/>
    <w:rsid w:val="00701EFF"/>
    <w:rsid w:val="00701F27"/>
    <w:rsid w:val="00701F34"/>
    <w:rsid w:val="00701FE1"/>
    <w:rsid w:val="00701FF3"/>
    <w:rsid w:val="00702048"/>
    <w:rsid w:val="00702076"/>
    <w:rsid w:val="00702108"/>
    <w:rsid w:val="0070214B"/>
    <w:rsid w:val="007021B3"/>
    <w:rsid w:val="00702204"/>
    <w:rsid w:val="00702250"/>
    <w:rsid w:val="00702266"/>
    <w:rsid w:val="007022A1"/>
    <w:rsid w:val="007022F7"/>
    <w:rsid w:val="007024D4"/>
    <w:rsid w:val="007024E0"/>
    <w:rsid w:val="0070251E"/>
    <w:rsid w:val="00702524"/>
    <w:rsid w:val="0070253D"/>
    <w:rsid w:val="007025A3"/>
    <w:rsid w:val="007026AF"/>
    <w:rsid w:val="007026CD"/>
    <w:rsid w:val="007027DB"/>
    <w:rsid w:val="00702823"/>
    <w:rsid w:val="0070285D"/>
    <w:rsid w:val="00702867"/>
    <w:rsid w:val="0070286C"/>
    <w:rsid w:val="00702887"/>
    <w:rsid w:val="00702897"/>
    <w:rsid w:val="00702908"/>
    <w:rsid w:val="0070292A"/>
    <w:rsid w:val="00702A5B"/>
    <w:rsid w:val="00702A74"/>
    <w:rsid w:val="00702A8A"/>
    <w:rsid w:val="00702B54"/>
    <w:rsid w:val="00702C85"/>
    <w:rsid w:val="00702CA3"/>
    <w:rsid w:val="00702CAE"/>
    <w:rsid w:val="00702D40"/>
    <w:rsid w:val="00702D63"/>
    <w:rsid w:val="00702D65"/>
    <w:rsid w:val="00702DC0"/>
    <w:rsid w:val="00702DF2"/>
    <w:rsid w:val="00702EAF"/>
    <w:rsid w:val="00702F8C"/>
    <w:rsid w:val="0070301E"/>
    <w:rsid w:val="00703089"/>
    <w:rsid w:val="007030EB"/>
    <w:rsid w:val="0070312F"/>
    <w:rsid w:val="0070317B"/>
    <w:rsid w:val="007031DA"/>
    <w:rsid w:val="007032B7"/>
    <w:rsid w:val="007033DD"/>
    <w:rsid w:val="00703406"/>
    <w:rsid w:val="00703409"/>
    <w:rsid w:val="00703412"/>
    <w:rsid w:val="00703439"/>
    <w:rsid w:val="007034EC"/>
    <w:rsid w:val="007034FB"/>
    <w:rsid w:val="007035B8"/>
    <w:rsid w:val="007035CE"/>
    <w:rsid w:val="00703664"/>
    <w:rsid w:val="00703680"/>
    <w:rsid w:val="007036CF"/>
    <w:rsid w:val="0070370B"/>
    <w:rsid w:val="00703737"/>
    <w:rsid w:val="007037B2"/>
    <w:rsid w:val="0070381A"/>
    <w:rsid w:val="0070396E"/>
    <w:rsid w:val="007039C3"/>
    <w:rsid w:val="007039D7"/>
    <w:rsid w:val="00703A10"/>
    <w:rsid w:val="00703A14"/>
    <w:rsid w:val="00703A63"/>
    <w:rsid w:val="00703A89"/>
    <w:rsid w:val="00703AD2"/>
    <w:rsid w:val="00703B01"/>
    <w:rsid w:val="00703B8A"/>
    <w:rsid w:val="00703C05"/>
    <w:rsid w:val="00703CA9"/>
    <w:rsid w:val="00703D50"/>
    <w:rsid w:val="00703D59"/>
    <w:rsid w:val="00703D9F"/>
    <w:rsid w:val="00703DC2"/>
    <w:rsid w:val="00703E21"/>
    <w:rsid w:val="00703EB3"/>
    <w:rsid w:val="00703F36"/>
    <w:rsid w:val="00703F3D"/>
    <w:rsid w:val="00703F7B"/>
    <w:rsid w:val="00703F88"/>
    <w:rsid w:val="00704017"/>
    <w:rsid w:val="0070401B"/>
    <w:rsid w:val="0070404B"/>
    <w:rsid w:val="0070409D"/>
    <w:rsid w:val="00704170"/>
    <w:rsid w:val="00704187"/>
    <w:rsid w:val="007041E1"/>
    <w:rsid w:val="00704281"/>
    <w:rsid w:val="007042B4"/>
    <w:rsid w:val="00704300"/>
    <w:rsid w:val="00704331"/>
    <w:rsid w:val="00704394"/>
    <w:rsid w:val="00704396"/>
    <w:rsid w:val="007043A2"/>
    <w:rsid w:val="007043AC"/>
    <w:rsid w:val="007043B8"/>
    <w:rsid w:val="007043F9"/>
    <w:rsid w:val="0070440A"/>
    <w:rsid w:val="0070445F"/>
    <w:rsid w:val="00704471"/>
    <w:rsid w:val="00704513"/>
    <w:rsid w:val="0070453E"/>
    <w:rsid w:val="00704601"/>
    <w:rsid w:val="00704640"/>
    <w:rsid w:val="0070465F"/>
    <w:rsid w:val="0070469D"/>
    <w:rsid w:val="0070484F"/>
    <w:rsid w:val="007048D6"/>
    <w:rsid w:val="0070490A"/>
    <w:rsid w:val="00704964"/>
    <w:rsid w:val="00704978"/>
    <w:rsid w:val="00704989"/>
    <w:rsid w:val="00704993"/>
    <w:rsid w:val="007049FC"/>
    <w:rsid w:val="00704A06"/>
    <w:rsid w:val="00704A72"/>
    <w:rsid w:val="00704A9F"/>
    <w:rsid w:val="00704B4F"/>
    <w:rsid w:val="00704B80"/>
    <w:rsid w:val="00704BAA"/>
    <w:rsid w:val="00704BB1"/>
    <w:rsid w:val="00704BFA"/>
    <w:rsid w:val="00704C10"/>
    <w:rsid w:val="00704C86"/>
    <w:rsid w:val="00704D1C"/>
    <w:rsid w:val="00704DB2"/>
    <w:rsid w:val="00704F61"/>
    <w:rsid w:val="00704F69"/>
    <w:rsid w:val="00704FDB"/>
    <w:rsid w:val="00704FF8"/>
    <w:rsid w:val="0070501B"/>
    <w:rsid w:val="00705083"/>
    <w:rsid w:val="007050DD"/>
    <w:rsid w:val="00705146"/>
    <w:rsid w:val="0070517E"/>
    <w:rsid w:val="0070520D"/>
    <w:rsid w:val="007052BE"/>
    <w:rsid w:val="007052D8"/>
    <w:rsid w:val="0070530E"/>
    <w:rsid w:val="0070536E"/>
    <w:rsid w:val="007053D1"/>
    <w:rsid w:val="007053E9"/>
    <w:rsid w:val="00705413"/>
    <w:rsid w:val="007054D8"/>
    <w:rsid w:val="00705556"/>
    <w:rsid w:val="007055B5"/>
    <w:rsid w:val="00705601"/>
    <w:rsid w:val="00705641"/>
    <w:rsid w:val="0070566A"/>
    <w:rsid w:val="007056BD"/>
    <w:rsid w:val="007056D4"/>
    <w:rsid w:val="0070573A"/>
    <w:rsid w:val="0070573F"/>
    <w:rsid w:val="007057BD"/>
    <w:rsid w:val="007057FF"/>
    <w:rsid w:val="0070581A"/>
    <w:rsid w:val="007058B7"/>
    <w:rsid w:val="007058C2"/>
    <w:rsid w:val="0070592D"/>
    <w:rsid w:val="00705945"/>
    <w:rsid w:val="007059C7"/>
    <w:rsid w:val="00705A28"/>
    <w:rsid w:val="00705A38"/>
    <w:rsid w:val="00705A65"/>
    <w:rsid w:val="00705A9E"/>
    <w:rsid w:val="00705AAF"/>
    <w:rsid w:val="00705BA6"/>
    <w:rsid w:val="00705BB1"/>
    <w:rsid w:val="00705BF0"/>
    <w:rsid w:val="00705CCB"/>
    <w:rsid w:val="00705D03"/>
    <w:rsid w:val="00705DA5"/>
    <w:rsid w:val="00705DE7"/>
    <w:rsid w:val="00705E0B"/>
    <w:rsid w:val="00705E2D"/>
    <w:rsid w:val="00705E3C"/>
    <w:rsid w:val="00705EDA"/>
    <w:rsid w:val="00705F30"/>
    <w:rsid w:val="00705F48"/>
    <w:rsid w:val="00706024"/>
    <w:rsid w:val="00706073"/>
    <w:rsid w:val="007060B5"/>
    <w:rsid w:val="007060C6"/>
    <w:rsid w:val="007060CE"/>
    <w:rsid w:val="0070612A"/>
    <w:rsid w:val="00706178"/>
    <w:rsid w:val="00706200"/>
    <w:rsid w:val="00706223"/>
    <w:rsid w:val="0070626A"/>
    <w:rsid w:val="0070632D"/>
    <w:rsid w:val="007063BE"/>
    <w:rsid w:val="00706433"/>
    <w:rsid w:val="00706492"/>
    <w:rsid w:val="007064A5"/>
    <w:rsid w:val="0070653E"/>
    <w:rsid w:val="00706616"/>
    <w:rsid w:val="00706629"/>
    <w:rsid w:val="007066DC"/>
    <w:rsid w:val="0070672F"/>
    <w:rsid w:val="0070675F"/>
    <w:rsid w:val="0070676C"/>
    <w:rsid w:val="0070678E"/>
    <w:rsid w:val="00706833"/>
    <w:rsid w:val="0070685B"/>
    <w:rsid w:val="00706889"/>
    <w:rsid w:val="007069D0"/>
    <w:rsid w:val="00706A09"/>
    <w:rsid w:val="00706A0D"/>
    <w:rsid w:val="00706A27"/>
    <w:rsid w:val="00706AC1"/>
    <w:rsid w:val="00706AC6"/>
    <w:rsid w:val="00706AE8"/>
    <w:rsid w:val="00706C2E"/>
    <w:rsid w:val="00706C63"/>
    <w:rsid w:val="00706CA8"/>
    <w:rsid w:val="00706CCF"/>
    <w:rsid w:val="00706CF2"/>
    <w:rsid w:val="00706D14"/>
    <w:rsid w:val="00706D86"/>
    <w:rsid w:val="00706DB2"/>
    <w:rsid w:val="00706DD6"/>
    <w:rsid w:val="00706E5F"/>
    <w:rsid w:val="00706E68"/>
    <w:rsid w:val="00706EA5"/>
    <w:rsid w:val="007070F2"/>
    <w:rsid w:val="0070713A"/>
    <w:rsid w:val="007071D0"/>
    <w:rsid w:val="007071DC"/>
    <w:rsid w:val="00707202"/>
    <w:rsid w:val="007072B0"/>
    <w:rsid w:val="00707451"/>
    <w:rsid w:val="0070769E"/>
    <w:rsid w:val="007077A0"/>
    <w:rsid w:val="00707961"/>
    <w:rsid w:val="00707A1D"/>
    <w:rsid w:val="00707A36"/>
    <w:rsid w:val="00707A58"/>
    <w:rsid w:val="00707B1C"/>
    <w:rsid w:val="00707B21"/>
    <w:rsid w:val="00707BBE"/>
    <w:rsid w:val="00707C42"/>
    <w:rsid w:val="00707DAB"/>
    <w:rsid w:val="00707E83"/>
    <w:rsid w:val="00707EF5"/>
    <w:rsid w:val="00707F5A"/>
    <w:rsid w:val="00707F83"/>
    <w:rsid w:val="00710074"/>
    <w:rsid w:val="0071007F"/>
    <w:rsid w:val="00710086"/>
    <w:rsid w:val="007100AD"/>
    <w:rsid w:val="007100EE"/>
    <w:rsid w:val="00710102"/>
    <w:rsid w:val="00710119"/>
    <w:rsid w:val="00710150"/>
    <w:rsid w:val="0071016A"/>
    <w:rsid w:val="00710182"/>
    <w:rsid w:val="00710183"/>
    <w:rsid w:val="007101D6"/>
    <w:rsid w:val="00710206"/>
    <w:rsid w:val="0071026C"/>
    <w:rsid w:val="007102A1"/>
    <w:rsid w:val="007102F5"/>
    <w:rsid w:val="00710331"/>
    <w:rsid w:val="0071037A"/>
    <w:rsid w:val="007104A3"/>
    <w:rsid w:val="007104C4"/>
    <w:rsid w:val="007104D2"/>
    <w:rsid w:val="007104F2"/>
    <w:rsid w:val="00710534"/>
    <w:rsid w:val="00710551"/>
    <w:rsid w:val="0071056D"/>
    <w:rsid w:val="007105A1"/>
    <w:rsid w:val="007106A4"/>
    <w:rsid w:val="00710744"/>
    <w:rsid w:val="00710749"/>
    <w:rsid w:val="0071077F"/>
    <w:rsid w:val="007107C6"/>
    <w:rsid w:val="007108A7"/>
    <w:rsid w:val="007108BD"/>
    <w:rsid w:val="00710976"/>
    <w:rsid w:val="007109EA"/>
    <w:rsid w:val="00710A11"/>
    <w:rsid w:val="00710A9F"/>
    <w:rsid w:val="00710AF1"/>
    <w:rsid w:val="00710B31"/>
    <w:rsid w:val="00710B57"/>
    <w:rsid w:val="00710BDF"/>
    <w:rsid w:val="00710BE9"/>
    <w:rsid w:val="00710C60"/>
    <w:rsid w:val="00710CFA"/>
    <w:rsid w:val="00710D3C"/>
    <w:rsid w:val="00710DE6"/>
    <w:rsid w:val="00710E3D"/>
    <w:rsid w:val="00710E90"/>
    <w:rsid w:val="00710FFC"/>
    <w:rsid w:val="0071106A"/>
    <w:rsid w:val="0071106C"/>
    <w:rsid w:val="00711107"/>
    <w:rsid w:val="007111B7"/>
    <w:rsid w:val="007111BD"/>
    <w:rsid w:val="00711230"/>
    <w:rsid w:val="007112BA"/>
    <w:rsid w:val="00711309"/>
    <w:rsid w:val="00711336"/>
    <w:rsid w:val="00711367"/>
    <w:rsid w:val="007113AE"/>
    <w:rsid w:val="007113ED"/>
    <w:rsid w:val="0071146B"/>
    <w:rsid w:val="00711472"/>
    <w:rsid w:val="007114A4"/>
    <w:rsid w:val="00711541"/>
    <w:rsid w:val="00711624"/>
    <w:rsid w:val="007116D6"/>
    <w:rsid w:val="007116F2"/>
    <w:rsid w:val="007116FC"/>
    <w:rsid w:val="007116FD"/>
    <w:rsid w:val="00711732"/>
    <w:rsid w:val="00711746"/>
    <w:rsid w:val="00711749"/>
    <w:rsid w:val="00711751"/>
    <w:rsid w:val="007117CE"/>
    <w:rsid w:val="007117FD"/>
    <w:rsid w:val="00711802"/>
    <w:rsid w:val="00711806"/>
    <w:rsid w:val="007118E8"/>
    <w:rsid w:val="00711927"/>
    <w:rsid w:val="0071194D"/>
    <w:rsid w:val="0071196B"/>
    <w:rsid w:val="00711A2A"/>
    <w:rsid w:val="00711A61"/>
    <w:rsid w:val="00711AA7"/>
    <w:rsid w:val="00711AEC"/>
    <w:rsid w:val="00711B78"/>
    <w:rsid w:val="00711B9D"/>
    <w:rsid w:val="00711BDE"/>
    <w:rsid w:val="00711C1B"/>
    <w:rsid w:val="00711C96"/>
    <w:rsid w:val="00711CCF"/>
    <w:rsid w:val="00711CE8"/>
    <w:rsid w:val="00711D08"/>
    <w:rsid w:val="00711DA1"/>
    <w:rsid w:val="00711E3C"/>
    <w:rsid w:val="00711E73"/>
    <w:rsid w:val="00711E74"/>
    <w:rsid w:val="00711E82"/>
    <w:rsid w:val="00711EF2"/>
    <w:rsid w:val="00711F12"/>
    <w:rsid w:val="00711F87"/>
    <w:rsid w:val="00711FA6"/>
    <w:rsid w:val="00712061"/>
    <w:rsid w:val="0071206E"/>
    <w:rsid w:val="007120AA"/>
    <w:rsid w:val="00712189"/>
    <w:rsid w:val="00712329"/>
    <w:rsid w:val="00712357"/>
    <w:rsid w:val="0071239D"/>
    <w:rsid w:val="007123F7"/>
    <w:rsid w:val="007124A8"/>
    <w:rsid w:val="00712507"/>
    <w:rsid w:val="0071266C"/>
    <w:rsid w:val="007126FC"/>
    <w:rsid w:val="00712709"/>
    <w:rsid w:val="0071278B"/>
    <w:rsid w:val="007127AC"/>
    <w:rsid w:val="0071283E"/>
    <w:rsid w:val="007128C5"/>
    <w:rsid w:val="00712965"/>
    <w:rsid w:val="007129DC"/>
    <w:rsid w:val="00712A43"/>
    <w:rsid w:val="00712A89"/>
    <w:rsid w:val="00712AB7"/>
    <w:rsid w:val="00712B57"/>
    <w:rsid w:val="00712B96"/>
    <w:rsid w:val="00712BBA"/>
    <w:rsid w:val="00712C85"/>
    <w:rsid w:val="00712D57"/>
    <w:rsid w:val="00712D8A"/>
    <w:rsid w:val="00712E24"/>
    <w:rsid w:val="00712EA9"/>
    <w:rsid w:val="00712F2B"/>
    <w:rsid w:val="00712F49"/>
    <w:rsid w:val="00712FC2"/>
    <w:rsid w:val="00712FC3"/>
    <w:rsid w:val="00712FCB"/>
    <w:rsid w:val="00712FF1"/>
    <w:rsid w:val="00713089"/>
    <w:rsid w:val="00713103"/>
    <w:rsid w:val="00713223"/>
    <w:rsid w:val="00713288"/>
    <w:rsid w:val="007133CA"/>
    <w:rsid w:val="007133E8"/>
    <w:rsid w:val="00713430"/>
    <w:rsid w:val="0071357C"/>
    <w:rsid w:val="00713593"/>
    <w:rsid w:val="007135AB"/>
    <w:rsid w:val="007135D4"/>
    <w:rsid w:val="007135E8"/>
    <w:rsid w:val="00713613"/>
    <w:rsid w:val="0071362E"/>
    <w:rsid w:val="00713742"/>
    <w:rsid w:val="007138B0"/>
    <w:rsid w:val="007138B6"/>
    <w:rsid w:val="0071390D"/>
    <w:rsid w:val="00713A66"/>
    <w:rsid w:val="00713A7A"/>
    <w:rsid w:val="00713B40"/>
    <w:rsid w:val="00713B9C"/>
    <w:rsid w:val="00713BB3"/>
    <w:rsid w:val="00713BCA"/>
    <w:rsid w:val="00713C4F"/>
    <w:rsid w:val="00713D79"/>
    <w:rsid w:val="00713DB9"/>
    <w:rsid w:val="00713DDD"/>
    <w:rsid w:val="00713E59"/>
    <w:rsid w:val="00713E64"/>
    <w:rsid w:val="00713EF6"/>
    <w:rsid w:val="00713F46"/>
    <w:rsid w:val="00713FF3"/>
    <w:rsid w:val="00714011"/>
    <w:rsid w:val="00714020"/>
    <w:rsid w:val="0071419A"/>
    <w:rsid w:val="007141AA"/>
    <w:rsid w:val="0071420A"/>
    <w:rsid w:val="007143D3"/>
    <w:rsid w:val="0071440B"/>
    <w:rsid w:val="00714417"/>
    <w:rsid w:val="00714500"/>
    <w:rsid w:val="007145DF"/>
    <w:rsid w:val="00714611"/>
    <w:rsid w:val="007146FA"/>
    <w:rsid w:val="0071471B"/>
    <w:rsid w:val="00714771"/>
    <w:rsid w:val="00714846"/>
    <w:rsid w:val="0071487E"/>
    <w:rsid w:val="0071487F"/>
    <w:rsid w:val="00714881"/>
    <w:rsid w:val="00714885"/>
    <w:rsid w:val="0071493C"/>
    <w:rsid w:val="0071498B"/>
    <w:rsid w:val="007149D9"/>
    <w:rsid w:val="00714A39"/>
    <w:rsid w:val="00714A8C"/>
    <w:rsid w:val="00714AF2"/>
    <w:rsid w:val="00714B39"/>
    <w:rsid w:val="00714C3B"/>
    <w:rsid w:val="00714C44"/>
    <w:rsid w:val="00714CFF"/>
    <w:rsid w:val="00714D6C"/>
    <w:rsid w:val="00714DA0"/>
    <w:rsid w:val="00714DEF"/>
    <w:rsid w:val="00714DF1"/>
    <w:rsid w:val="00714E6C"/>
    <w:rsid w:val="00714E86"/>
    <w:rsid w:val="00714EB6"/>
    <w:rsid w:val="00714F35"/>
    <w:rsid w:val="00714F41"/>
    <w:rsid w:val="00714F6A"/>
    <w:rsid w:val="00715076"/>
    <w:rsid w:val="00715077"/>
    <w:rsid w:val="007150FA"/>
    <w:rsid w:val="00715165"/>
    <w:rsid w:val="00715168"/>
    <w:rsid w:val="0071519F"/>
    <w:rsid w:val="007151D6"/>
    <w:rsid w:val="00715240"/>
    <w:rsid w:val="0071534F"/>
    <w:rsid w:val="00715352"/>
    <w:rsid w:val="00715387"/>
    <w:rsid w:val="007153BF"/>
    <w:rsid w:val="007153C8"/>
    <w:rsid w:val="007154C0"/>
    <w:rsid w:val="007154E6"/>
    <w:rsid w:val="00715560"/>
    <w:rsid w:val="0071556D"/>
    <w:rsid w:val="00715587"/>
    <w:rsid w:val="007155D7"/>
    <w:rsid w:val="007155FA"/>
    <w:rsid w:val="00715604"/>
    <w:rsid w:val="00715652"/>
    <w:rsid w:val="00715715"/>
    <w:rsid w:val="0071571E"/>
    <w:rsid w:val="00715756"/>
    <w:rsid w:val="007157AB"/>
    <w:rsid w:val="007157D1"/>
    <w:rsid w:val="007157EA"/>
    <w:rsid w:val="00715837"/>
    <w:rsid w:val="007158A7"/>
    <w:rsid w:val="00715909"/>
    <w:rsid w:val="00715912"/>
    <w:rsid w:val="007159B7"/>
    <w:rsid w:val="00715A1F"/>
    <w:rsid w:val="00715A4E"/>
    <w:rsid w:val="00715A5E"/>
    <w:rsid w:val="00715D04"/>
    <w:rsid w:val="00715D1D"/>
    <w:rsid w:val="00715D32"/>
    <w:rsid w:val="00715D56"/>
    <w:rsid w:val="00715D90"/>
    <w:rsid w:val="00715D9F"/>
    <w:rsid w:val="00715DAB"/>
    <w:rsid w:val="00715DB0"/>
    <w:rsid w:val="00715DD3"/>
    <w:rsid w:val="00715DD5"/>
    <w:rsid w:val="00715DD7"/>
    <w:rsid w:val="00715E56"/>
    <w:rsid w:val="00715E8B"/>
    <w:rsid w:val="00715F14"/>
    <w:rsid w:val="00715F1A"/>
    <w:rsid w:val="00715F6C"/>
    <w:rsid w:val="00715FEE"/>
    <w:rsid w:val="00716013"/>
    <w:rsid w:val="00716029"/>
    <w:rsid w:val="00716054"/>
    <w:rsid w:val="007161D2"/>
    <w:rsid w:val="0071625D"/>
    <w:rsid w:val="007162D3"/>
    <w:rsid w:val="007162D5"/>
    <w:rsid w:val="0071637A"/>
    <w:rsid w:val="007163E0"/>
    <w:rsid w:val="007163EA"/>
    <w:rsid w:val="007165EC"/>
    <w:rsid w:val="007165FF"/>
    <w:rsid w:val="00716603"/>
    <w:rsid w:val="007166A4"/>
    <w:rsid w:val="0071675E"/>
    <w:rsid w:val="00716777"/>
    <w:rsid w:val="0071679B"/>
    <w:rsid w:val="007167D3"/>
    <w:rsid w:val="00716822"/>
    <w:rsid w:val="00716864"/>
    <w:rsid w:val="007168D4"/>
    <w:rsid w:val="007169BB"/>
    <w:rsid w:val="00716A0D"/>
    <w:rsid w:val="00716A2F"/>
    <w:rsid w:val="00716A88"/>
    <w:rsid w:val="00716A90"/>
    <w:rsid w:val="00716AEC"/>
    <w:rsid w:val="00716B00"/>
    <w:rsid w:val="00716B0C"/>
    <w:rsid w:val="00716B4D"/>
    <w:rsid w:val="00716BB5"/>
    <w:rsid w:val="00716C7D"/>
    <w:rsid w:val="00716D13"/>
    <w:rsid w:val="00716D4C"/>
    <w:rsid w:val="00716D57"/>
    <w:rsid w:val="00716D67"/>
    <w:rsid w:val="00716D95"/>
    <w:rsid w:val="00716E14"/>
    <w:rsid w:val="00716E67"/>
    <w:rsid w:val="00716E92"/>
    <w:rsid w:val="00716EF9"/>
    <w:rsid w:val="00716F08"/>
    <w:rsid w:val="00716F5F"/>
    <w:rsid w:val="00716FE7"/>
    <w:rsid w:val="00717006"/>
    <w:rsid w:val="00717027"/>
    <w:rsid w:val="0071702E"/>
    <w:rsid w:val="0071710A"/>
    <w:rsid w:val="00717240"/>
    <w:rsid w:val="007172AF"/>
    <w:rsid w:val="007172B8"/>
    <w:rsid w:val="0071736A"/>
    <w:rsid w:val="0071736E"/>
    <w:rsid w:val="00717375"/>
    <w:rsid w:val="0071743A"/>
    <w:rsid w:val="00717505"/>
    <w:rsid w:val="007175D0"/>
    <w:rsid w:val="0071764A"/>
    <w:rsid w:val="00717666"/>
    <w:rsid w:val="00717685"/>
    <w:rsid w:val="0071776B"/>
    <w:rsid w:val="007177A0"/>
    <w:rsid w:val="007177EC"/>
    <w:rsid w:val="007178A0"/>
    <w:rsid w:val="007178A1"/>
    <w:rsid w:val="007178D1"/>
    <w:rsid w:val="007178D4"/>
    <w:rsid w:val="007178F1"/>
    <w:rsid w:val="00717913"/>
    <w:rsid w:val="00717931"/>
    <w:rsid w:val="007179B2"/>
    <w:rsid w:val="007179C3"/>
    <w:rsid w:val="007179F4"/>
    <w:rsid w:val="00717A13"/>
    <w:rsid w:val="00717AE1"/>
    <w:rsid w:val="00717B98"/>
    <w:rsid w:val="00717CD3"/>
    <w:rsid w:val="00717D52"/>
    <w:rsid w:val="00717D6D"/>
    <w:rsid w:val="00717D6E"/>
    <w:rsid w:val="00717D77"/>
    <w:rsid w:val="00717D8D"/>
    <w:rsid w:val="00717E49"/>
    <w:rsid w:val="00717EAC"/>
    <w:rsid w:val="00717EC7"/>
    <w:rsid w:val="00717F19"/>
    <w:rsid w:val="00717FAC"/>
    <w:rsid w:val="00717FC4"/>
    <w:rsid w:val="00717FE7"/>
    <w:rsid w:val="0072003A"/>
    <w:rsid w:val="00720056"/>
    <w:rsid w:val="007200A8"/>
    <w:rsid w:val="007200A9"/>
    <w:rsid w:val="00720151"/>
    <w:rsid w:val="00720191"/>
    <w:rsid w:val="007201E0"/>
    <w:rsid w:val="00720230"/>
    <w:rsid w:val="0072025F"/>
    <w:rsid w:val="007202D8"/>
    <w:rsid w:val="0072038A"/>
    <w:rsid w:val="007203FC"/>
    <w:rsid w:val="00720573"/>
    <w:rsid w:val="0072057B"/>
    <w:rsid w:val="00720602"/>
    <w:rsid w:val="0072061A"/>
    <w:rsid w:val="0072063E"/>
    <w:rsid w:val="0072064F"/>
    <w:rsid w:val="00720664"/>
    <w:rsid w:val="00720729"/>
    <w:rsid w:val="0072072A"/>
    <w:rsid w:val="00720904"/>
    <w:rsid w:val="00720946"/>
    <w:rsid w:val="00720AA6"/>
    <w:rsid w:val="00720B26"/>
    <w:rsid w:val="00720B9B"/>
    <w:rsid w:val="00720BD4"/>
    <w:rsid w:val="00720CE6"/>
    <w:rsid w:val="00720D5A"/>
    <w:rsid w:val="00720D99"/>
    <w:rsid w:val="00720DB0"/>
    <w:rsid w:val="00720EB9"/>
    <w:rsid w:val="00720EE0"/>
    <w:rsid w:val="0072106F"/>
    <w:rsid w:val="007210AD"/>
    <w:rsid w:val="007210BD"/>
    <w:rsid w:val="007210CB"/>
    <w:rsid w:val="00721134"/>
    <w:rsid w:val="007211A7"/>
    <w:rsid w:val="007211EF"/>
    <w:rsid w:val="00721244"/>
    <w:rsid w:val="0072125A"/>
    <w:rsid w:val="00721262"/>
    <w:rsid w:val="007212A2"/>
    <w:rsid w:val="007212B6"/>
    <w:rsid w:val="00721390"/>
    <w:rsid w:val="007213F5"/>
    <w:rsid w:val="00721412"/>
    <w:rsid w:val="00721462"/>
    <w:rsid w:val="00721568"/>
    <w:rsid w:val="00721622"/>
    <w:rsid w:val="00721662"/>
    <w:rsid w:val="00721663"/>
    <w:rsid w:val="0072183B"/>
    <w:rsid w:val="007218C0"/>
    <w:rsid w:val="007219C1"/>
    <w:rsid w:val="007219CD"/>
    <w:rsid w:val="00721AD1"/>
    <w:rsid w:val="00721B43"/>
    <w:rsid w:val="00721BA3"/>
    <w:rsid w:val="00721C33"/>
    <w:rsid w:val="00721CBA"/>
    <w:rsid w:val="00721CF1"/>
    <w:rsid w:val="00721D25"/>
    <w:rsid w:val="00721D95"/>
    <w:rsid w:val="00721E0C"/>
    <w:rsid w:val="00721E44"/>
    <w:rsid w:val="00721E85"/>
    <w:rsid w:val="00721EC8"/>
    <w:rsid w:val="00721EC9"/>
    <w:rsid w:val="00721EE0"/>
    <w:rsid w:val="00721F05"/>
    <w:rsid w:val="00722052"/>
    <w:rsid w:val="00722057"/>
    <w:rsid w:val="007220AF"/>
    <w:rsid w:val="007220F2"/>
    <w:rsid w:val="007220F7"/>
    <w:rsid w:val="00722161"/>
    <w:rsid w:val="00722214"/>
    <w:rsid w:val="0072223B"/>
    <w:rsid w:val="00722290"/>
    <w:rsid w:val="007222BF"/>
    <w:rsid w:val="00722300"/>
    <w:rsid w:val="00722358"/>
    <w:rsid w:val="00722381"/>
    <w:rsid w:val="0072239E"/>
    <w:rsid w:val="007223AC"/>
    <w:rsid w:val="007223E0"/>
    <w:rsid w:val="00722412"/>
    <w:rsid w:val="007224CF"/>
    <w:rsid w:val="00722534"/>
    <w:rsid w:val="0072253C"/>
    <w:rsid w:val="00722549"/>
    <w:rsid w:val="007225AA"/>
    <w:rsid w:val="0072266A"/>
    <w:rsid w:val="007226C9"/>
    <w:rsid w:val="00722718"/>
    <w:rsid w:val="0072272D"/>
    <w:rsid w:val="007227E4"/>
    <w:rsid w:val="007227E5"/>
    <w:rsid w:val="007227F6"/>
    <w:rsid w:val="0072282F"/>
    <w:rsid w:val="00722874"/>
    <w:rsid w:val="00722892"/>
    <w:rsid w:val="007228B4"/>
    <w:rsid w:val="0072292A"/>
    <w:rsid w:val="007229BA"/>
    <w:rsid w:val="00722A0F"/>
    <w:rsid w:val="00722AA4"/>
    <w:rsid w:val="00722ABA"/>
    <w:rsid w:val="00722B22"/>
    <w:rsid w:val="00722B38"/>
    <w:rsid w:val="00722B7F"/>
    <w:rsid w:val="00722BD0"/>
    <w:rsid w:val="00722BFA"/>
    <w:rsid w:val="00722C00"/>
    <w:rsid w:val="00722C69"/>
    <w:rsid w:val="00722CFD"/>
    <w:rsid w:val="00722E71"/>
    <w:rsid w:val="00722EBE"/>
    <w:rsid w:val="00722F47"/>
    <w:rsid w:val="00722F9C"/>
    <w:rsid w:val="00723022"/>
    <w:rsid w:val="00723109"/>
    <w:rsid w:val="00723124"/>
    <w:rsid w:val="00723164"/>
    <w:rsid w:val="0072318F"/>
    <w:rsid w:val="007231DE"/>
    <w:rsid w:val="007231E2"/>
    <w:rsid w:val="00723200"/>
    <w:rsid w:val="00723224"/>
    <w:rsid w:val="0072326A"/>
    <w:rsid w:val="007232B3"/>
    <w:rsid w:val="007232DF"/>
    <w:rsid w:val="00723319"/>
    <w:rsid w:val="00723396"/>
    <w:rsid w:val="007234DA"/>
    <w:rsid w:val="007234E8"/>
    <w:rsid w:val="00723622"/>
    <w:rsid w:val="00723664"/>
    <w:rsid w:val="0072376E"/>
    <w:rsid w:val="0072378D"/>
    <w:rsid w:val="007237CA"/>
    <w:rsid w:val="0072384F"/>
    <w:rsid w:val="0072387D"/>
    <w:rsid w:val="007238DA"/>
    <w:rsid w:val="00723B36"/>
    <w:rsid w:val="00723B4B"/>
    <w:rsid w:val="00723B87"/>
    <w:rsid w:val="00723C9C"/>
    <w:rsid w:val="00723CEB"/>
    <w:rsid w:val="00723D1B"/>
    <w:rsid w:val="00723D91"/>
    <w:rsid w:val="00723DEE"/>
    <w:rsid w:val="00723E06"/>
    <w:rsid w:val="00723E0B"/>
    <w:rsid w:val="00723E30"/>
    <w:rsid w:val="00723E93"/>
    <w:rsid w:val="00723E9E"/>
    <w:rsid w:val="00723FA8"/>
    <w:rsid w:val="0072401B"/>
    <w:rsid w:val="00724172"/>
    <w:rsid w:val="00724195"/>
    <w:rsid w:val="00724280"/>
    <w:rsid w:val="007242DA"/>
    <w:rsid w:val="007242F1"/>
    <w:rsid w:val="0072436D"/>
    <w:rsid w:val="00724392"/>
    <w:rsid w:val="00724397"/>
    <w:rsid w:val="007243C6"/>
    <w:rsid w:val="007243D8"/>
    <w:rsid w:val="0072441B"/>
    <w:rsid w:val="00724440"/>
    <w:rsid w:val="0072445F"/>
    <w:rsid w:val="0072447A"/>
    <w:rsid w:val="00724483"/>
    <w:rsid w:val="007244D9"/>
    <w:rsid w:val="00724535"/>
    <w:rsid w:val="0072456B"/>
    <w:rsid w:val="0072468B"/>
    <w:rsid w:val="007246D6"/>
    <w:rsid w:val="00724713"/>
    <w:rsid w:val="0072471A"/>
    <w:rsid w:val="00724775"/>
    <w:rsid w:val="00724799"/>
    <w:rsid w:val="007247FA"/>
    <w:rsid w:val="00724883"/>
    <w:rsid w:val="007248B4"/>
    <w:rsid w:val="007248EA"/>
    <w:rsid w:val="00724942"/>
    <w:rsid w:val="0072496F"/>
    <w:rsid w:val="007249A2"/>
    <w:rsid w:val="00724ACD"/>
    <w:rsid w:val="00724B40"/>
    <w:rsid w:val="00724B5C"/>
    <w:rsid w:val="00724BA5"/>
    <w:rsid w:val="00724BB3"/>
    <w:rsid w:val="00724CC2"/>
    <w:rsid w:val="00724D5C"/>
    <w:rsid w:val="00724D88"/>
    <w:rsid w:val="00724DCA"/>
    <w:rsid w:val="00724F24"/>
    <w:rsid w:val="00724FAA"/>
    <w:rsid w:val="00725058"/>
    <w:rsid w:val="00725078"/>
    <w:rsid w:val="007250FB"/>
    <w:rsid w:val="00725195"/>
    <w:rsid w:val="00725298"/>
    <w:rsid w:val="00725386"/>
    <w:rsid w:val="0072538D"/>
    <w:rsid w:val="007253C9"/>
    <w:rsid w:val="0072542F"/>
    <w:rsid w:val="00725436"/>
    <w:rsid w:val="0072549C"/>
    <w:rsid w:val="007254B3"/>
    <w:rsid w:val="007255A3"/>
    <w:rsid w:val="007255D3"/>
    <w:rsid w:val="00725605"/>
    <w:rsid w:val="0072562A"/>
    <w:rsid w:val="0072565B"/>
    <w:rsid w:val="00725708"/>
    <w:rsid w:val="00725828"/>
    <w:rsid w:val="0072583E"/>
    <w:rsid w:val="00725917"/>
    <w:rsid w:val="00725928"/>
    <w:rsid w:val="0072592B"/>
    <w:rsid w:val="00725972"/>
    <w:rsid w:val="0072598A"/>
    <w:rsid w:val="007259D7"/>
    <w:rsid w:val="00725A01"/>
    <w:rsid w:val="00725A59"/>
    <w:rsid w:val="00725AD7"/>
    <w:rsid w:val="00725B18"/>
    <w:rsid w:val="00725BC3"/>
    <w:rsid w:val="00725C96"/>
    <w:rsid w:val="00725CC8"/>
    <w:rsid w:val="00725CE9"/>
    <w:rsid w:val="00725D33"/>
    <w:rsid w:val="00725D5C"/>
    <w:rsid w:val="00725DD8"/>
    <w:rsid w:val="00725DDE"/>
    <w:rsid w:val="00725E0A"/>
    <w:rsid w:val="00725E9B"/>
    <w:rsid w:val="00725EEE"/>
    <w:rsid w:val="00725F25"/>
    <w:rsid w:val="00725F3A"/>
    <w:rsid w:val="00726064"/>
    <w:rsid w:val="00726082"/>
    <w:rsid w:val="0072608D"/>
    <w:rsid w:val="007260AE"/>
    <w:rsid w:val="007261AD"/>
    <w:rsid w:val="007261AE"/>
    <w:rsid w:val="00726299"/>
    <w:rsid w:val="007262F2"/>
    <w:rsid w:val="00726452"/>
    <w:rsid w:val="007264A2"/>
    <w:rsid w:val="0072655C"/>
    <w:rsid w:val="0072658D"/>
    <w:rsid w:val="007265F7"/>
    <w:rsid w:val="0072660C"/>
    <w:rsid w:val="00726658"/>
    <w:rsid w:val="007266BC"/>
    <w:rsid w:val="007267E9"/>
    <w:rsid w:val="00726867"/>
    <w:rsid w:val="0072687C"/>
    <w:rsid w:val="007268BE"/>
    <w:rsid w:val="00726920"/>
    <w:rsid w:val="00726939"/>
    <w:rsid w:val="00726975"/>
    <w:rsid w:val="007269D7"/>
    <w:rsid w:val="00726A18"/>
    <w:rsid w:val="00726A89"/>
    <w:rsid w:val="00726B19"/>
    <w:rsid w:val="00726B6D"/>
    <w:rsid w:val="00726B82"/>
    <w:rsid w:val="00726BB0"/>
    <w:rsid w:val="00726C1A"/>
    <w:rsid w:val="00726C53"/>
    <w:rsid w:val="00726CBC"/>
    <w:rsid w:val="00726CDB"/>
    <w:rsid w:val="00726CF0"/>
    <w:rsid w:val="00726D7E"/>
    <w:rsid w:val="00726DB4"/>
    <w:rsid w:val="00726DBA"/>
    <w:rsid w:val="00726EB4"/>
    <w:rsid w:val="00726EE7"/>
    <w:rsid w:val="00727027"/>
    <w:rsid w:val="0072704C"/>
    <w:rsid w:val="0072704F"/>
    <w:rsid w:val="0072708F"/>
    <w:rsid w:val="007270A0"/>
    <w:rsid w:val="007270A2"/>
    <w:rsid w:val="007270C2"/>
    <w:rsid w:val="0072717E"/>
    <w:rsid w:val="00727202"/>
    <w:rsid w:val="00727283"/>
    <w:rsid w:val="00727295"/>
    <w:rsid w:val="007272C6"/>
    <w:rsid w:val="007272C7"/>
    <w:rsid w:val="00727310"/>
    <w:rsid w:val="00727314"/>
    <w:rsid w:val="0072734D"/>
    <w:rsid w:val="00727408"/>
    <w:rsid w:val="00727449"/>
    <w:rsid w:val="00727496"/>
    <w:rsid w:val="007274D6"/>
    <w:rsid w:val="007274E9"/>
    <w:rsid w:val="007274EE"/>
    <w:rsid w:val="00727657"/>
    <w:rsid w:val="0072769B"/>
    <w:rsid w:val="00727789"/>
    <w:rsid w:val="0072779B"/>
    <w:rsid w:val="0072786D"/>
    <w:rsid w:val="0072786F"/>
    <w:rsid w:val="0072787D"/>
    <w:rsid w:val="007278EA"/>
    <w:rsid w:val="00727939"/>
    <w:rsid w:val="007279A8"/>
    <w:rsid w:val="00727ACC"/>
    <w:rsid w:val="00727B28"/>
    <w:rsid w:val="00727B3F"/>
    <w:rsid w:val="00727CCE"/>
    <w:rsid w:val="00727D32"/>
    <w:rsid w:val="00727D4F"/>
    <w:rsid w:val="00727D68"/>
    <w:rsid w:val="00727E1F"/>
    <w:rsid w:val="00727E3A"/>
    <w:rsid w:val="00730124"/>
    <w:rsid w:val="0073012A"/>
    <w:rsid w:val="0073013F"/>
    <w:rsid w:val="00730178"/>
    <w:rsid w:val="00730251"/>
    <w:rsid w:val="007302DD"/>
    <w:rsid w:val="007302E8"/>
    <w:rsid w:val="0073036F"/>
    <w:rsid w:val="00730379"/>
    <w:rsid w:val="00730470"/>
    <w:rsid w:val="007304D7"/>
    <w:rsid w:val="007304FC"/>
    <w:rsid w:val="00730513"/>
    <w:rsid w:val="007305A1"/>
    <w:rsid w:val="007305CA"/>
    <w:rsid w:val="0073063B"/>
    <w:rsid w:val="007306A6"/>
    <w:rsid w:val="007306CF"/>
    <w:rsid w:val="00730722"/>
    <w:rsid w:val="007307BE"/>
    <w:rsid w:val="0073091E"/>
    <w:rsid w:val="00730A23"/>
    <w:rsid w:val="00730A45"/>
    <w:rsid w:val="00730A64"/>
    <w:rsid w:val="00730A84"/>
    <w:rsid w:val="00730ABB"/>
    <w:rsid w:val="00730B02"/>
    <w:rsid w:val="00730B09"/>
    <w:rsid w:val="00730B1C"/>
    <w:rsid w:val="00730B29"/>
    <w:rsid w:val="00730B50"/>
    <w:rsid w:val="00730B54"/>
    <w:rsid w:val="00730C4D"/>
    <w:rsid w:val="00730C95"/>
    <w:rsid w:val="00730CC4"/>
    <w:rsid w:val="00730CDF"/>
    <w:rsid w:val="00730CEB"/>
    <w:rsid w:val="00730D58"/>
    <w:rsid w:val="00730D62"/>
    <w:rsid w:val="00730DCD"/>
    <w:rsid w:val="00730ED8"/>
    <w:rsid w:val="00730EF3"/>
    <w:rsid w:val="00730EF8"/>
    <w:rsid w:val="00730F09"/>
    <w:rsid w:val="00730F3A"/>
    <w:rsid w:val="00730FCB"/>
    <w:rsid w:val="0073106C"/>
    <w:rsid w:val="00731080"/>
    <w:rsid w:val="007310BB"/>
    <w:rsid w:val="00731237"/>
    <w:rsid w:val="0073126E"/>
    <w:rsid w:val="00731291"/>
    <w:rsid w:val="00731306"/>
    <w:rsid w:val="007313DD"/>
    <w:rsid w:val="00731426"/>
    <w:rsid w:val="0073142A"/>
    <w:rsid w:val="00731529"/>
    <w:rsid w:val="0073156D"/>
    <w:rsid w:val="007315C7"/>
    <w:rsid w:val="007316B2"/>
    <w:rsid w:val="007316B6"/>
    <w:rsid w:val="00731861"/>
    <w:rsid w:val="00731952"/>
    <w:rsid w:val="0073197F"/>
    <w:rsid w:val="007319E5"/>
    <w:rsid w:val="00731A42"/>
    <w:rsid w:val="00731AAF"/>
    <w:rsid w:val="00731B02"/>
    <w:rsid w:val="00731BC5"/>
    <w:rsid w:val="00731C29"/>
    <w:rsid w:val="00731C7A"/>
    <w:rsid w:val="00731D23"/>
    <w:rsid w:val="00731D8A"/>
    <w:rsid w:val="00731E25"/>
    <w:rsid w:val="00731E28"/>
    <w:rsid w:val="00731F61"/>
    <w:rsid w:val="00731F79"/>
    <w:rsid w:val="00731FA9"/>
    <w:rsid w:val="00732020"/>
    <w:rsid w:val="00732033"/>
    <w:rsid w:val="00732035"/>
    <w:rsid w:val="00732099"/>
    <w:rsid w:val="007320A1"/>
    <w:rsid w:val="007320A3"/>
    <w:rsid w:val="007320CE"/>
    <w:rsid w:val="00732133"/>
    <w:rsid w:val="00732224"/>
    <w:rsid w:val="00732264"/>
    <w:rsid w:val="007322A8"/>
    <w:rsid w:val="007322CE"/>
    <w:rsid w:val="007322F4"/>
    <w:rsid w:val="00732320"/>
    <w:rsid w:val="00732329"/>
    <w:rsid w:val="0073233E"/>
    <w:rsid w:val="0073237F"/>
    <w:rsid w:val="007323B7"/>
    <w:rsid w:val="0073242A"/>
    <w:rsid w:val="0073242C"/>
    <w:rsid w:val="00732450"/>
    <w:rsid w:val="007324CF"/>
    <w:rsid w:val="00732535"/>
    <w:rsid w:val="00732554"/>
    <w:rsid w:val="00732603"/>
    <w:rsid w:val="0073263B"/>
    <w:rsid w:val="00732678"/>
    <w:rsid w:val="00732686"/>
    <w:rsid w:val="007326D9"/>
    <w:rsid w:val="00732713"/>
    <w:rsid w:val="0073272B"/>
    <w:rsid w:val="00732765"/>
    <w:rsid w:val="00732783"/>
    <w:rsid w:val="007327AB"/>
    <w:rsid w:val="007327FD"/>
    <w:rsid w:val="00732824"/>
    <w:rsid w:val="00732837"/>
    <w:rsid w:val="00732871"/>
    <w:rsid w:val="007328AA"/>
    <w:rsid w:val="0073294E"/>
    <w:rsid w:val="007329B7"/>
    <w:rsid w:val="007329BA"/>
    <w:rsid w:val="00732A46"/>
    <w:rsid w:val="00732A4A"/>
    <w:rsid w:val="00732A8A"/>
    <w:rsid w:val="00732AA8"/>
    <w:rsid w:val="00732AE2"/>
    <w:rsid w:val="00732B82"/>
    <w:rsid w:val="00732BD5"/>
    <w:rsid w:val="00732C10"/>
    <w:rsid w:val="00732C3A"/>
    <w:rsid w:val="00732D01"/>
    <w:rsid w:val="00732D3D"/>
    <w:rsid w:val="00732D4E"/>
    <w:rsid w:val="00732D54"/>
    <w:rsid w:val="00732D62"/>
    <w:rsid w:val="00732D75"/>
    <w:rsid w:val="00732DD8"/>
    <w:rsid w:val="00732EBA"/>
    <w:rsid w:val="00732EBC"/>
    <w:rsid w:val="00732EC9"/>
    <w:rsid w:val="00732ED4"/>
    <w:rsid w:val="00732F2E"/>
    <w:rsid w:val="00732FBB"/>
    <w:rsid w:val="00732FCE"/>
    <w:rsid w:val="0073306F"/>
    <w:rsid w:val="007330F3"/>
    <w:rsid w:val="0073317D"/>
    <w:rsid w:val="00733180"/>
    <w:rsid w:val="007331F9"/>
    <w:rsid w:val="0073320D"/>
    <w:rsid w:val="0073326F"/>
    <w:rsid w:val="00733276"/>
    <w:rsid w:val="00733354"/>
    <w:rsid w:val="007333EB"/>
    <w:rsid w:val="00733406"/>
    <w:rsid w:val="0073340B"/>
    <w:rsid w:val="00733452"/>
    <w:rsid w:val="0073347A"/>
    <w:rsid w:val="007334D0"/>
    <w:rsid w:val="00733508"/>
    <w:rsid w:val="00733511"/>
    <w:rsid w:val="0073354B"/>
    <w:rsid w:val="0073355C"/>
    <w:rsid w:val="00733585"/>
    <w:rsid w:val="0073358D"/>
    <w:rsid w:val="00733620"/>
    <w:rsid w:val="007336D4"/>
    <w:rsid w:val="007336D8"/>
    <w:rsid w:val="007336E0"/>
    <w:rsid w:val="007336EB"/>
    <w:rsid w:val="00733763"/>
    <w:rsid w:val="0073377F"/>
    <w:rsid w:val="0073391A"/>
    <w:rsid w:val="00733965"/>
    <w:rsid w:val="00733999"/>
    <w:rsid w:val="007339CF"/>
    <w:rsid w:val="007339E9"/>
    <w:rsid w:val="00733A0C"/>
    <w:rsid w:val="00733A33"/>
    <w:rsid w:val="00733A96"/>
    <w:rsid w:val="00733AD1"/>
    <w:rsid w:val="00733B7D"/>
    <w:rsid w:val="00733BA7"/>
    <w:rsid w:val="00733CA8"/>
    <w:rsid w:val="00733D50"/>
    <w:rsid w:val="00733E58"/>
    <w:rsid w:val="00733EDB"/>
    <w:rsid w:val="00733F3C"/>
    <w:rsid w:val="00733FCC"/>
    <w:rsid w:val="00734068"/>
    <w:rsid w:val="00734145"/>
    <w:rsid w:val="0073423A"/>
    <w:rsid w:val="00734294"/>
    <w:rsid w:val="00734315"/>
    <w:rsid w:val="00734321"/>
    <w:rsid w:val="0073433A"/>
    <w:rsid w:val="00734356"/>
    <w:rsid w:val="0073435A"/>
    <w:rsid w:val="007343FA"/>
    <w:rsid w:val="0073448C"/>
    <w:rsid w:val="007344E3"/>
    <w:rsid w:val="00734512"/>
    <w:rsid w:val="00734570"/>
    <w:rsid w:val="007345D2"/>
    <w:rsid w:val="007345FD"/>
    <w:rsid w:val="00734601"/>
    <w:rsid w:val="00734620"/>
    <w:rsid w:val="0073462D"/>
    <w:rsid w:val="0073465B"/>
    <w:rsid w:val="0073467E"/>
    <w:rsid w:val="0073468C"/>
    <w:rsid w:val="0073475D"/>
    <w:rsid w:val="00734778"/>
    <w:rsid w:val="007347A1"/>
    <w:rsid w:val="0073481E"/>
    <w:rsid w:val="00734937"/>
    <w:rsid w:val="007349C9"/>
    <w:rsid w:val="00734B29"/>
    <w:rsid w:val="00734BE0"/>
    <w:rsid w:val="00734C28"/>
    <w:rsid w:val="00734C43"/>
    <w:rsid w:val="00734C53"/>
    <w:rsid w:val="00734C62"/>
    <w:rsid w:val="00734CB6"/>
    <w:rsid w:val="00734D31"/>
    <w:rsid w:val="00734DC8"/>
    <w:rsid w:val="00734E2A"/>
    <w:rsid w:val="00734E73"/>
    <w:rsid w:val="00734ED6"/>
    <w:rsid w:val="00734EDE"/>
    <w:rsid w:val="00734EFD"/>
    <w:rsid w:val="00734F11"/>
    <w:rsid w:val="00734F7F"/>
    <w:rsid w:val="00734FDA"/>
    <w:rsid w:val="00735016"/>
    <w:rsid w:val="00735021"/>
    <w:rsid w:val="0073512F"/>
    <w:rsid w:val="00735175"/>
    <w:rsid w:val="00735197"/>
    <w:rsid w:val="007351C9"/>
    <w:rsid w:val="00735242"/>
    <w:rsid w:val="007352A7"/>
    <w:rsid w:val="00735315"/>
    <w:rsid w:val="0073531C"/>
    <w:rsid w:val="0073532F"/>
    <w:rsid w:val="00735393"/>
    <w:rsid w:val="00735417"/>
    <w:rsid w:val="0073548B"/>
    <w:rsid w:val="007354AB"/>
    <w:rsid w:val="007354C3"/>
    <w:rsid w:val="007354D4"/>
    <w:rsid w:val="00735592"/>
    <w:rsid w:val="00735642"/>
    <w:rsid w:val="00735647"/>
    <w:rsid w:val="00735765"/>
    <w:rsid w:val="0073578F"/>
    <w:rsid w:val="007357F4"/>
    <w:rsid w:val="0073586C"/>
    <w:rsid w:val="007358A7"/>
    <w:rsid w:val="0073591B"/>
    <w:rsid w:val="00735935"/>
    <w:rsid w:val="00735937"/>
    <w:rsid w:val="0073597A"/>
    <w:rsid w:val="00735ADD"/>
    <w:rsid w:val="00735B04"/>
    <w:rsid w:val="00735BEB"/>
    <w:rsid w:val="00735BFA"/>
    <w:rsid w:val="00735C3E"/>
    <w:rsid w:val="00735C75"/>
    <w:rsid w:val="00735C88"/>
    <w:rsid w:val="00735CDD"/>
    <w:rsid w:val="00735D7F"/>
    <w:rsid w:val="00735DEB"/>
    <w:rsid w:val="00735ED7"/>
    <w:rsid w:val="00736036"/>
    <w:rsid w:val="00736086"/>
    <w:rsid w:val="007360BC"/>
    <w:rsid w:val="00736140"/>
    <w:rsid w:val="0073616A"/>
    <w:rsid w:val="00736195"/>
    <w:rsid w:val="00736223"/>
    <w:rsid w:val="00736230"/>
    <w:rsid w:val="007362B9"/>
    <w:rsid w:val="0073630B"/>
    <w:rsid w:val="0073631A"/>
    <w:rsid w:val="0073636B"/>
    <w:rsid w:val="007363B0"/>
    <w:rsid w:val="00736415"/>
    <w:rsid w:val="00736527"/>
    <w:rsid w:val="007365F9"/>
    <w:rsid w:val="00736612"/>
    <w:rsid w:val="0073661B"/>
    <w:rsid w:val="00736661"/>
    <w:rsid w:val="007366A0"/>
    <w:rsid w:val="007367D4"/>
    <w:rsid w:val="007368B0"/>
    <w:rsid w:val="00736A33"/>
    <w:rsid w:val="00736B49"/>
    <w:rsid w:val="00736B7D"/>
    <w:rsid w:val="00736BB4"/>
    <w:rsid w:val="00736BF9"/>
    <w:rsid w:val="00736CE9"/>
    <w:rsid w:val="00736D23"/>
    <w:rsid w:val="00736D94"/>
    <w:rsid w:val="00736DA8"/>
    <w:rsid w:val="00736DBD"/>
    <w:rsid w:val="00736E3F"/>
    <w:rsid w:val="00736E77"/>
    <w:rsid w:val="00736EC2"/>
    <w:rsid w:val="00736F31"/>
    <w:rsid w:val="00736F59"/>
    <w:rsid w:val="0073704C"/>
    <w:rsid w:val="007370DD"/>
    <w:rsid w:val="0073712B"/>
    <w:rsid w:val="0073713E"/>
    <w:rsid w:val="00737164"/>
    <w:rsid w:val="0073718A"/>
    <w:rsid w:val="007371DB"/>
    <w:rsid w:val="00737265"/>
    <w:rsid w:val="007372BF"/>
    <w:rsid w:val="00737376"/>
    <w:rsid w:val="007373A2"/>
    <w:rsid w:val="007373D6"/>
    <w:rsid w:val="007374CE"/>
    <w:rsid w:val="007374CF"/>
    <w:rsid w:val="00737620"/>
    <w:rsid w:val="00737666"/>
    <w:rsid w:val="00737669"/>
    <w:rsid w:val="007376AE"/>
    <w:rsid w:val="007376F4"/>
    <w:rsid w:val="0073773C"/>
    <w:rsid w:val="00737754"/>
    <w:rsid w:val="00737787"/>
    <w:rsid w:val="007377EA"/>
    <w:rsid w:val="00737844"/>
    <w:rsid w:val="0073785C"/>
    <w:rsid w:val="007378C8"/>
    <w:rsid w:val="0073797A"/>
    <w:rsid w:val="00737A1D"/>
    <w:rsid w:val="00737A21"/>
    <w:rsid w:val="00737A65"/>
    <w:rsid w:val="00737ABB"/>
    <w:rsid w:val="00737B3E"/>
    <w:rsid w:val="00737B82"/>
    <w:rsid w:val="00737BAF"/>
    <w:rsid w:val="00737C06"/>
    <w:rsid w:val="00737C67"/>
    <w:rsid w:val="00737CFB"/>
    <w:rsid w:val="00737D3D"/>
    <w:rsid w:val="00737DB1"/>
    <w:rsid w:val="00737E63"/>
    <w:rsid w:val="00737E82"/>
    <w:rsid w:val="00737E9C"/>
    <w:rsid w:val="00737F19"/>
    <w:rsid w:val="00737F9D"/>
    <w:rsid w:val="00740081"/>
    <w:rsid w:val="007400BE"/>
    <w:rsid w:val="007400F9"/>
    <w:rsid w:val="00740133"/>
    <w:rsid w:val="00740255"/>
    <w:rsid w:val="00740282"/>
    <w:rsid w:val="00740333"/>
    <w:rsid w:val="00740349"/>
    <w:rsid w:val="0074036C"/>
    <w:rsid w:val="0074037C"/>
    <w:rsid w:val="007403DE"/>
    <w:rsid w:val="0074040F"/>
    <w:rsid w:val="0074044F"/>
    <w:rsid w:val="0074045A"/>
    <w:rsid w:val="00740474"/>
    <w:rsid w:val="00740579"/>
    <w:rsid w:val="00740593"/>
    <w:rsid w:val="007405F1"/>
    <w:rsid w:val="0074069B"/>
    <w:rsid w:val="0074070B"/>
    <w:rsid w:val="0074072B"/>
    <w:rsid w:val="0074072F"/>
    <w:rsid w:val="0074073F"/>
    <w:rsid w:val="007407A9"/>
    <w:rsid w:val="007407D2"/>
    <w:rsid w:val="007407ED"/>
    <w:rsid w:val="007407F5"/>
    <w:rsid w:val="0074081C"/>
    <w:rsid w:val="007408DA"/>
    <w:rsid w:val="007408ED"/>
    <w:rsid w:val="007408F7"/>
    <w:rsid w:val="00740955"/>
    <w:rsid w:val="007409C5"/>
    <w:rsid w:val="007409D5"/>
    <w:rsid w:val="00740A58"/>
    <w:rsid w:val="00740AF8"/>
    <w:rsid w:val="00740B08"/>
    <w:rsid w:val="00740B21"/>
    <w:rsid w:val="00740B46"/>
    <w:rsid w:val="00740B85"/>
    <w:rsid w:val="00740B9A"/>
    <w:rsid w:val="00740D91"/>
    <w:rsid w:val="00740D9F"/>
    <w:rsid w:val="00740DEE"/>
    <w:rsid w:val="00740E02"/>
    <w:rsid w:val="00740E0E"/>
    <w:rsid w:val="00740E13"/>
    <w:rsid w:val="00740FD3"/>
    <w:rsid w:val="00740FF7"/>
    <w:rsid w:val="00741060"/>
    <w:rsid w:val="007410DE"/>
    <w:rsid w:val="0074110C"/>
    <w:rsid w:val="0074113A"/>
    <w:rsid w:val="00741170"/>
    <w:rsid w:val="007411AE"/>
    <w:rsid w:val="00741267"/>
    <w:rsid w:val="007412E0"/>
    <w:rsid w:val="00741333"/>
    <w:rsid w:val="00741358"/>
    <w:rsid w:val="0074136A"/>
    <w:rsid w:val="00741411"/>
    <w:rsid w:val="00741461"/>
    <w:rsid w:val="00741477"/>
    <w:rsid w:val="007414A6"/>
    <w:rsid w:val="0074150D"/>
    <w:rsid w:val="00741575"/>
    <w:rsid w:val="00741627"/>
    <w:rsid w:val="00741696"/>
    <w:rsid w:val="007416A3"/>
    <w:rsid w:val="007416D9"/>
    <w:rsid w:val="007416E3"/>
    <w:rsid w:val="0074174E"/>
    <w:rsid w:val="007417C8"/>
    <w:rsid w:val="0074180F"/>
    <w:rsid w:val="007418B2"/>
    <w:rsid w:val="007418E1"/>
    <w:rsid w:val="007418E6"/>
    <w:rsid w:val="0074196C"/>
    <w:rsid w:val="0074198C"/>
    <w:rsid w:val="00741AA1"/>
    <w:rsid w:val="00741ABE"/>
    <w:rsid w:val="00741ACE"/>
    <w:rsid w:val="00741AD4"/>
    <w:rsid w:val="00741B13"/>
    <w:rsid w:val="00741B33"/>
    <w:rsid w:val="00741B47"/>
    <w:rsid w:val="00741B89"/>
    <w:rsid w:val="00741C58"/>
    <w:rsid w:val="00741C5D"/>
    <w:rsid w:val="00741C85"/>
    <w:rsid w:val="00741D1E"/>
    <w:rsid w:val="00741D4C"/>
    <w:rsid w:val="00741D76"/>
    <w:rsid w:val="00741DDA"/>
    <w:rsid w:val="00741F26"/>
    <w:rsid w:val="00741F41"/>
    <w:rsid w:val="00741F6A"/>
    <w:rsid w:val="00741F94"/>
    <w:rsid w:val="00741F9F"/>
    <w:rsid w:val="007420D4"/>
    <w:rsid w:val="0074225F"/>
    <w:rsid w:val="007422EB"/>
    <w:rsid w:val="0074239B"/>
    <w:rsid w:val="007423B2"/>
    <w:rsid w:val="00742465"/>
    <w:rsid w:val="007424B3"/>
    <w:rsid w:val="007424E5"/>
    <w:rsid w:val="00742580"/>
    <w:rsid w:val="00742590"/>
    <w:rsid w:val="007425BB"/>
    <w:rsid w:val="007425F1"/>
    <w:rsid w:val="007426D0"/>
    <w:rsid w:val="0074274E"/>
    <w:rsid w:val="00742757"/>
    <w:rsid w:val="00742862"/>
    <w:rsid w:val="007428E6"/>
    <w:rsid w:val="0074293B"/>
    <w:rsid w:val="007429F0"/>
    <w:rsid w:val="00742A86"/>
    <w:rsid w:val="00742AFA"/>
    <w:rsid w:val="00742B65"/>
    <w:rsid w:val="00742B66"/>
    <w:rsid w:val="00742C15"/>
    <w:rsid w:val="00742E7C"/>
    <w:rsid w:val="00742E88"/>
    <w:rsid w:val="00742F6A"/>
    <w:rsid w:val="00742FD4"/>
    <w:rsid w:val="0074301E"/>
    <w:rsid w:val="00743121"/>
    <w:rsid w:val="007431E6"/>
    <w:rsid w:val="00743250"/>
    <w:rsid w:val="0074333A"/>
    <w:rsid w:val="00743385"/>
    <w:rsid w:val="007433A3"/>
    <w:rsid w:val="007434C5"/>
    <w:rsid w:val="00743540"/>
    <w:rsid w:val="007435C8"/>
    <w:rsid w:val="007435EA"/>
    <w:rsid w:val="00743630"/>
    <w:rsid w:val="007436BB"/>
    <w:rsid w:val="0074388E"/>
    <w:rsid w:val="007438D7"/>
    <w:rsid w:val="007438D9"/>
    <w:rsid w:val="0074392C"/>
    <w:rsid w:val="007439A1"/>
    <w:rsid w:val="007439A6"/>
    <w:rsid w:val="007439FE"/>
    <w:rsid w:val="00743A27"/>
    <w:rsid w:val="00743AE0"/>
    <w:rsid w:val="00743AEA"/>
    <w:rsid w:val="00743BD9"/>
    <w:rsid w:val="00743C09"/>
    <w:rsid w:val="00743CEB"/>
    <w:rsid w:val="00743CEC"/>
    <w:rsid w:val="00743CF6"/>
    <w:rsid w:val="00743CF8"/>
    <w:rsid w:val="00743D4D"/>
    <w:rsid w:val="00743D91"/>
    <w:rsid w:val="00743E02"/>
    <w:rsid w:val="00743EA8"/>
    <w:rsid w:val="0074400E"/>
    <w:rsid w:val="0074402D"/>
    <w:rsid w:val="007440A5"/>
    <w:rsid w:val="007440AE"/>
    <w:rsid w:val="007440B8"/>
    <w:rsid w:val="007440F2"/>
    <w:rsid w:val="00744106"/>
    <w:rsid w:val="00744167"/>
    <w:rsid w:val="0074416F"/>
    <w:rsid w:val="00744216"/>
    <w:rsid w:val="0074446A"/>
    <w:rsid w:val="00744502"/>
    <w:rsid w:val="00744548"/>
    <w:rsid w:val="00744553"/>
    <w:rsid w:val="0074457E"/>
    <w:rsid w:val="00744639"/>
    <w:rsid w:val="00744664"/>
    <w:rsid w:val="00744682"/>
    <w:rsid w:val="007446F1"/>
    <w:rsid w:val="0074473B"/>
    <w:rsid w:val="0074477F"/>
    <w:rsid w:val="007447C9"/>
    <w:rsid w:val="007447CB"/>
    <w:rsid w:val="0074483F"/>
    <w:rsid w:val="0074487C"/>
    <w:rsid w:val="007448C7"/>
    <w:rsid w:val="007448DC"/>
    <w:rsid w:val="007448E2"/>
    <w:rsid w:val="0074496A"/>
    <w:rsid w:val="0074496D"/>
    <w:rsid w:val="00744988"/>
    <w:rsid w:val="007449AA"/>
    <w:rsid w:val="007449B3"/>
    <w:rsid w:val="00744A42"/>
    <w:rsid w:val="00744B1B"/>
    <w:rsid w:val="00744B8A"/>
    <w:rsid w:val="00744B8C"/>
    <w:rsid w:val="00744BF6"/>
    <w:rsid w:val="00744C4C"/>
    <w:rsid w:val="00744C56"/>
    <w:rsid w:val="00744CA9"/>
    <w:rsid w:val="00744D23"/>
    <w:rsid w:val="00744D94"/>
    <w:rsid w:val="00744DB5"/>
    <w:rsid w:val="00744DC1"/>
    <w:rsid w:val="00744DEB"/>
    <w:rsid w:val="00744E57"/>
    <w:rsid w:val="00744ED4"/>
    <w:rsid w:val="00744EEC"/>
    <w:rsid w:val="00744F83"/>
    <w:rsid w:val="00744F9E"/>
    <w:rsid w:val="00744FAC"/>
    <w:rsid w:val="00744FBB"/>
    <w:rsid w:val="00744FCA"/>
    <w:rsid w:val="00744FD9"/>
    <w:rsid w:val="00745096"/>
    <w:rsid w:val="007450B4"/>
    <w:rsid w:val="007450DD"/>
    <w:rsid w:val="00745132"/>
    <w:rsid w:val="0074517F"/>
    <w:rsid w:val="007451A8"/>
    <w:rsid w:val="00745285"/>
    <w:rsid w:val="0074530D"/>
    <w:rsid w:val="00745389"/>
    <w:rsid w:val="007453FE"/>
    <w:rsid w:val="0074541E"/>
    <w:rsid w:val="00745441"/>
    <w:rsid w:val="0074548A"/>
    <w:rsid w:val="0074549F"/>
    <w:rsid w:val="00745554"/>
    <w:rsid w:val="007455C7"/>
    <w:rsid w:val="007455DD"/>
    <w:rsid w:val="007455DE"/>
    <w:rsid w:val="00745637"/>
    <w:rsid w:val="0074565F"/>
    <w:rsid w:val="00745670"/>
    <w:rsid w:val="00745780"/>
    <w:rsid w:val="0074579F"/>
    <w:rsid w:val="007457E7"/>
    <w:rsid w:val="00745839"/>
    <w:rsid w:val="007458A7"/>
    <w:rsid w:val="00745944"/>
    <w:rsid w:val="00745A24"/>
    <w:rsid w:val="00745B97"/>
    <w:rsid w:val="00745BFF"/>
    <w:rsid w:val="00745C4E"/>
    <w:rsid w:val="00745C56"/>
    <w:rsid w:val="00745CC5"/>
    <w:rsid w:val="00745D1B"/>
    <w:rsid w:val="00745F02"/>
    <w:rsid w:val="00745F3C"/>
    <w:rsid w:val="00745F5B"/>
    <w:rsid w:val="00745FCF"/>
    <w:rsid w:val="00745FFD"/>
    <w:rsid w:val="0074608D"/>
    <w:rsid w:val="007460AE"/>
    <w:rsid w:val="00746131"/>
    <w:rsid w:val="00746179"/>
    <w:rsid w:val="00746246"/>
    <w:rsid w:val="00746331"/>
    <w:rsid w:val="0074647B"/>
    <w:rsid w:val="007464E7"/>
    <w:rsid w:val="007465A2"/>
    <w:rsid w:val="007465A6"/>
    <w:rsid w:val="0074667C"/>
    <w:rsid w:val="007466EC"/>
    <w:rsid w:val="00746758"/>
    <w:rsid w:val="00746785"/>
    <w:rsid w:val="00746888"/>
    <w:rsid w:val="007468B4"/>
    <w:rsid w:val="007468DC"/>
    <w:rsid w:val="00746909"/>
    <w:rsid w:val="00746945"/>
    <w:rsid w:val="0074694B"/>
    <w:rsid w:val="00746980"/>
    <w:rsid w:val="007469B9"/>
    <w:rsid w:val="00746A0C"/>
    <w:rsid w:val="00746A0E"/>
    <w:rsid w:val="00746A4B"/>
    <w:rsid w:val="00746A83"/>
    <w:rsid w:val="00746ABD"/>
    <w:rsid w:val="00746BA1"/>
    <w:rsid w:val="00746C6C"/>
    <w:rsid w:val="00746CA9"/>
    <w:rsid w:val="00746CB8"/>
    <w:rsid w:val="00746D17"/>
    <w:rsid w:val="00746E0C"/>
    <w:rsid w:val="00746E39"/>
    <w:rsid w:val="00746E3D"/>
    <w:rsid w:val="00746EDB"/>
    <w:rsid w:val="00747043"/>
    <w:rsid w:val="0074709D"/>
    <w:rsid w:val="0074716A"/>
    <w:rsid w:val="007471E3"/>
    <w:rsid w:val="00747243"/>
    <w:rsid w:val="00747258"/>
    <w:rsid w:val="00747259"/>
    <w:rsid w:val="0074725C"/>
    <w:rsid w:val="0074727C"/>
    <w:rsid w:val="00747299"/>
    <w:rsid w:val="007472C7"/>
    <w:rsid w:val="007473A6"/>
    <w:rsid w:val="00747422"/>
    <w:rsid w:val="0074758C"/>
    <w:rsid w:val="007475F7"/>
    <w:rsid w:val="00747651"/>
    <w:rsid w:val="00747661"/>
    <w:rsid w:val="00747700"/>
    <w:rsid w:val="007478B3"/>
    <w:rsid w:val="007478E4"/>
    <w:rsid w:val="00747963"/>
    <w:rsid w:val="007479BA"/>
    <w:rsid w:val="00747A84"/>
    <w:rsid w:val="00747AAD"/>
    <w:rsid w:val="00747B65"/>
    <w:rsid w:val="00747BC6"/>
    <w:rsid w:val="00747C06"/>
    <w:rsid w:val="00747C3E"/>
    <w:rsid w:val="00747C4A"/>
    <w:rsid w:val="00747CAE"/>
    <w:rsid w:val="00747CBE"/>
    <w:rsid w:val="00747CCB"/>
    <w:rsid w:val="00747CD9"/>
    <w:rsid w:val="00747D23"/>
    <w:rsid w:val="00747E17"/>
    <w:rsid w:val="00747E3D"/>
    <w:rsid w:val="00747E54"/>
    <w:rsid w:val="00747F55"/>
    <w:rsid w:val="00750031"/>
    <w:rsid w:val="007500A3"/>
    <w:rsid w:val="0075010F"/>
    <w:rsid w:val="0075014F"/>
    <w:rsid w:val="0075016E"/>
    <w:rsid w:val="007501B1"/>
    <w:rsid w:val="0075024D"/>
    <w:rsid w:val="0075027E"/>
    <w:rsid w:val="0075039B"/>
    <w:rsid w:val="007503A9"/>
    <w:rsid w:val="0075048D"/>
    <w:rsid w:val="0075057A"/>
    <w:rsid w:val="007505BF"/>
    <w:rsid w:val="007505C3"/>
    <w:rsid w:val="0075066F"/>
    <w:rsid w:val="007506B0"/>
    <w:rsid w:val="007506BE"/>
    <w:rsid w:val="0075078B"/>
    <w:rsid w:val="00750796"/>
    <w:rsid w:val="007507CC"/>
    <w:rsid w:val="007507EC"/>
    <w:rsid w:val="007507FB"/>
    <w:rsid w:val="00750812"/>
    <w:rsid w:val="0075084D"/>
    <w:rsid w:val="007508AB"/>
    <w:rsid w:val="007508BF"/>
    <w:rsid w:val="00750987"/>
    <w:rsid w:val="007509C1"/>
    <w:rsid w:val="00750A9D"/>
    <w:rsid w:val="00750B09"/>
    <w:rsid w:val="00750B12"/>
    <w:rsid w:val="00750C15"/>
    <w:rsid w:val="00750CB8"/>
    <w:rsid w:val="00750CD0"/>
    <w:rsid w:val="00750D3F"/>
    <w:rsid w:val="00750DC5"/>
    <w:rsid w:val="00750DC8"/>
    <w:rsid w:val="00750EC0"/>
    <w:rsid w:val="00750ED8"/>
    <w:rsid w:val="00750EEC"/>
    <w:rsid w:val="00750F1C"/>
    <w:rsid w:val="00750F78"/>
    <w:rsid w:val="00750F83"/>
    <w:rsid w:val="00750FD5"/>
    <w:rsid w:val="00750FDC"/>
    <w:rsid w:val="00750FF0"/>
    <w:rsid w:val="00750FFD"/>
    <w:rsid w:val="0075103D"/>
    <w:rsid w:val="0075103F"/>
    <w:rsid w:val="007510D5"/>
    <w:rsid w:val="0075112E"/>
    <w:rsid w:val="00751184"/>
    <w:rsid w:val="0075137A"/>
    <w:rsid w:val="00751439"/>
    <w:rsid w:val="00751462"/>
    <w:rsid w:val="007514BB"/>
    <w:rsid w:val="00751508"/>
    <w:rsid w:val="0075154E"/>
    <w:rsid w:val="00751576"/>
    <w:rsid w:val="007515E9"/>
    <w:rsid w:val="007515EE"/>
    <w:rsid w:val="00751603"/>
    <w:rsid w:val="0075163E"/>
    <w:rsid w:val="0075165E"/>
    <w:rsid w:val="007516C9"/>
    <w:rsid w:val="00751744"/>
    <w:rsid w:val="0075174A"/>
    <w:rsid w:val="0075179B"/>
    <w:rsid w:val="007517CE"/>
    <w:rsid w:val="00751880"/>
    <w:rsid w:val="00751966"/>
    <w:rsid w:val="007519A7"/>
    <w:rsid w:val="007519E7"/>
    <w:rsid w:val="00751A7F"/>
    <w:rsid w:val="00751A92"/>
    <w:rsid w:val="00751B47"/>
    <w:rsid w:val="00751B8B"/>
    <w:rsid w:val="00751BC9"/>
    <w:rsid w:val="00751C23"/>
    <w:rsid w:val="00751C39"/>
    <w:rsid w:val="00751C47"/>
    <w:rsid w:val="00751D8A"/>
    <w:rsid w:val="00751DCA"/>
    <w:rsid w:val="00751E21"/>
    <w:rsid w:val="00751E2C"/>
    <w:rsid w:val="00751E4F"/>
    <w:rsid w:val="00751FAD"/>
    <w:rsid w:val="00751FF2"/>
    <w:rsid w:val="0075206A"/>
    <w:rsid w:val="007520AC"/>
    <w:rsid w:val="0075211A"/>
    <w:rsid w:val="00752155"/>
    <w:rsid w:val="00752177"/>
    <w:rsid w:val="007521E9"/>
    <w:rsid w:val="007521F2"/>
    <w:rsid w:val="00752213"/>
    <w:rsid w:val="00752229"/>
    <w:rsid w:val="00752288"/>
    <w:rsid w:val="007522AE"/>
    <w:rsid w:val="007522F4"/>
    <w:rsid w:val="0075235E"/>
    <w:rsid w:val="007523CE"/>
    <w:rsid w:val="007523F6"/>
    <w:rsid w:val="00752429"/>
    <w:rsid w:val="00752443"/>
    <w:rsid w:val="00752473"/>
    <w:rsid w:val="00752589"/>
    <w:rsid w:val="007525C3"/>
    <w:rsid w:val="007525F1"/>
    <w:rsid w:val="00752636"/>
    <w:rsid w:val="007526F1"/>
    <w:rsid w:val="007528A9"/>
    <w:rsid w:val="007528DE"/>
    <w:rsid w:val="00752993"/>
    <w:rsid w:val="007529B4"/>
    <w:rsid w:val="007529C5"/>
    <w:rsid w:val="00752A00"/>
    <w:rsid w:val="00752A18"/>
    <w:rsid w:val="00752A35"/>
    <w:rsid w:val="00752A5B"/>
    <w:rsid w:val="00752A66"/>
    <w:rsid w:val="00752A9B"/>
    <w:rsid w:val="00752B4D"/>
    <w:rsid w:val="00752C2F"/>
    <w:rsid w:val="00752C44"/>
    <w:rsid w:val="00752D09"/>
    <w:rsid w:val="00752D21"/>
    <w:rsid w:val="00752D6C"/>
    <w:rsid w:val="00752DE7"/>
    <w:rsid w:val="00752E88"/>
    <w:rsid w:val="00752EA7"/>
    <w:rsid w:val="00752EDD"/>
    <w:rsid w:val="00752F13"/>
    <w:rsid w:val="00752F2F"/>
    <w:rsid w:val="00752FC1"/>
    <w:rsid w:val="00753105"/>
    <w:rsid w:val="007531ED"/>
    <w:rsid w:val="0075320E"/>
    <w:rsid w:val="00753216"/>
    <w:rsid w:val="0075327C"/>
    <w:rsid w:val="00753286"/>
    <w:rsid w:val="007532B5"/>
    <w:rsid w:val="00753302"/>
    <w:rsid w:val="00753348"/>
    <w:rsid w:val="00753361"/>
    <w:rsid w:val="007533E2"/>
    <w:rsid w:val="00753407"/>
    <w:rsid w:val="0075340E"/>
    <w:rsid w:val="00753457"/>
    <w:rsid w:val="0075345E"/>
    <w:rsid w:val="00753586"/>
    <w:rsid w:val="007535AC"/>
    <w:rsid w:val="007535F2"/>
    <w:rsid w:val="007536FB"/>
    <w:rsid w:val="00753731"/>
    <w:rsid w:val="0075375E"/>
    <w:rsid w:val="00753765"/>
    <w:rsid w:val="007537A7"/>
    <w:rsid w:val="007537FE"/>
    <w:rsid w:val="00753809"/>
    <w:rsid w:val="0075387B"/>
    <w:rsid w:val="0075387D"/>
    <w:rsid w:val="0075388B"/>
    <w:rsid w:val="00753954"/>
    <w:rsid w:val="007539D0"/>
    <w:rsid w:val="007539ED"/>
    <w:rsid w:val="00753A19"/>
    <w:rsid w:val="00753A3E"/>
    <w:rsid w:val="00753A80"/>
    <w:rsid w:val="00753B05"/>
    <w:rsid w:val="00753B30"/>
    <w:rsid w:val="00753B7A"/>
    <w:rsid w:val="00753BFC"/>
    <w:rsid w:val="00753C12"/>
    <w:rsid w:val="00753C21"/>
    <w:rsid w:val="00753D53"/>
    <w:rsid w:val="00753DA0"/>
    <w:rsid w:val="00753DB2"/>
    <w:rsid w:val="00753DD7"/>
    <w:rsid w:val="00753EF2"/>
    <w:rsid w:val="00753EFC"/>
    <w:rsid w:val="00753F09"/>
    <w:rsid w:val="00753F1F"/>
    <w:rsid w:val="00753F73"/>
    <w:rsid w:val="00753FF9"/>
    <w:rsid w:val="007540C7"/>
    <w:rsid w:val="0075411B"/>
    <w:rsid w:val="00754157"/>
    <w:rsid w:val="0075416D"/>
    <w:rsid w:val="0075416E"/>
    <w:rsid w:val="00754180"/>
    <w:rsid w:val="007541D1"/>
    <w:rsid w:val="007541D4"/>
    <w:rsid w:val="0075427C"/>
    <w:rsid w:val="0075427D"/>
    <w:rsid w:val="00754297"/>
    <w:rsid w:val="007542F1"/>
    <w:rsid w:val="007542FD"/>
    <w:rsid w:val="0075435B"/>
    <w:rsid w:val="007543C6"/>
    <w:rsid w:val="0075447E"/>
    <w:rsid w:val="00754536"/>
    <w:rsid w:val="0075456B"/>
    <w:rsid w:val="0075456F"/>
    <w:rsid w:val="007545BA"/>
    <w:rsid w:val="0075460A"/>
    <w:rsid w:val="00754667"/>
    <w:rsid w:val="00754775"/>
    <w:rsid w:val="007547D0"/>
    <w:rsid w:val="007547DD"/>
    <w:rsid w:val="007547E6"/>
    <w:rsid w:val="00754838"/>
    <w:rsid w:val="00754914"/>
    <w:rsid w:val="007549D6"/>
    <w:rsid w:val="007549E4"/>
    <w:rsid w:val="00754AB7"/>
    <w:rsid w:val="00754B0B"/>
    <w:rsid w:val="00754B2E"/>
    <w:rsid w:val="00754B31"/>
    <w:rsid w:val="00754B70"/>
    <w:rsid w:val="00754C8C"/>
    <w:rsid w:val="00754CC0"/>
    <w:rsid w:val="00754CE7"/>
    <w:rsid w:val="00754D74"/>
    <w:rsid w:val="00754D90"/>
    <w:rsid w:val="00754DDC"/>
    <w:rsid w:val="00755067"/>
    <w:rsid w:val="00755088"/>
    <w:rsid w:val="00755107"/>
    <w:rsid w:val="00755191"/>
    <w:rsid w:val="00755219"/>
    <w:rsid w:val="0075524E"/>
    <w:rsid w:val="00755273"/>
    <w:rsid w:val="00755283"/>
    <w:rsid w:val="00755316"/>
    <w:rsid w:val="00755372"/>
    <w:rsid w:val="00755399"/>
    <w:rsid w:val="007553AF"/>
    <w:rsid w:val="00755414"/>
    <w:rsid w:val="0075545B"/>
    <w:rsid w:val="00755570"/>
    <w:rsid w:val="00755586"/>
    <w:rsid w:val="007555FA"/>
    <w:rsid w:val="007556F0"/>
    <w:rsid w:val="00755865"/>
    <w:rsid w:val="00755892"/>
    <w:rsid w:val="00755895"/>
    <w:rsid w:val="00755896"/>
    <w:rsid w:val="007558BD"/>
    <w:rsid w:val="007558C8"/>
    <w:rsid w:val="007558D2"/>
    <w:rsid w:val="0075594B"/>
    <w:rsid w:val="00755A31"/>
    <w:rsid w:val="00755A8B"/>
    <w:rsid w:val="00755AD9"/>
    <w:rsid w:val="00755BE4"/>
    <w:rsid w:val="00755C0F"/>
    <w:rsid w:val="00755C10"/>
    <w:rsid w:val="00755C66"/>
    <w:rsid w:val="00755D22"/>
    <w:rsid w:val="00755D9B"/>
    <w:rsid w:val="00755DEF"/>
    <w:rsid w:val="00755E05"/>
    <w:rsid w:val="00755E38"/>
    <w:rsid w:val="00755E8F"/>
    <w:rsid w:val="00755EA8"/>
    <w:rsid w:val="00755F31"/>
    <w:rsid w:val="00756102"/>
    <w:rsid w:val="0075614E"/>
    <w:rsid w:val="00756182"/>
    <w:rsid w:val="007561FC"/>
    <w:rsid w:val="007561FD"/>
    <w:rsid w:val="00756216"/>
    <w:rsid w:val="0075628C"/>
    <w:rsid w:val="007562AA"/>
    <w:rsid w:val="007562B3"/>
    <w:rsid w:val="0075632D"/>
    <w:rsid w:val="007563F1"/>
    <w:rsid w:val="00756472"/>
    <w:rsid w:val="0075649E"/>
    <w:rsid w:val="007564B5"/>
    <w:rsid w:val="0075651D"/>
    <w:rsid w:val="00756584"/>
    <w:rsid w:val="00756602"/>
    <w:rsid w:val="00756632"/>
    <w:rsid w:val="00756657"/>
    <w:rsid w:val="0075665C"/>
    <w:rsid w:val="007566C3"/>
    <w:rsid w:val="007567A8"/>
    <w:rsid w:val="00756830"/>
    <w:rsid w:val="00756842"/>
    <w:rsid w:val="00756846"/>
    <w:rsid w:val="0075686D"/>
    <w:rsid w:val="00756871"/>
    <w:rsid w:val="0075688B"/>
    <w:rsid w:val="00756894"/>
    <w:rsid w:val="007568A6"/>
    <w:rsid w:val="007568F2"/>
    <w:rsid w:val="00756A1B"/>
    <w:rsid w:val="00756ABF"/>
    <w:rsid w:val="00756B0A"/>
    <w:rsid w:val="00756B63"/>
    <w:rsid w:val="00756BAC"/>
    <w:rsid w:val="00756BF4"/>
    <w:rsid w:val="00756BFA"/>
    <w:rsid w:val="00756C23"/>
    <w:rsid w:val="00756C47"/>
    <w:rsid w:val="00756C91"/>
    <w:rsid w:val="00756D4A"/>
    <w:rsid w:val="00756D5B"/>
    <w:rsid w:val="00756DFF"/>
    <w:rsid w:val="00756E1F"/>
    <w:rsid w:val="00756E21"/>
    <w:rsid w:val="00756E2D"/>
    <w:rsid w:val="00756E38"/>
    <w:rsid w:val="00756E3C"/>
    <w:rsid w:val="00756EA1"/>
    <w:rsid w:val="00756EC2"/>
    <w:rsid w:val="00756F09"/>
    <w:rsid w:val="00756FB7"/>
    <w:rsid w:val="00756FEC"/>
    <w:rsid w:val="00757011"/>
    <w:rsid w:val="007570CA"/>
    <w:rsid w:val="007570EB"/>
    <w:rsid w:val="00757170"/>
    <w:rsid w:val="007571BB"/>
    <w:rsid w:val="0075722D"/>
    <w:rsid w:val="00757256"/>
    <w:rsid w:val="0075725A"/>
    <w:rsid w:val="00757292"/>
    <w:rsid w:val="007572C7"/>
    <w:rsid w:val="00757301"/>
    <w:rsid w:val="00757345"/>
    <w:rsid w:val="00757374"/>
    <w:rsid w:val="0075737C"/>
    <w:rsid w:val="007573E2"/>
    <w:rsid w:val="0075749C"/>
    <w:rsid w:val="007574B3"/>
    <w:rsid w:val="0075751E"/>
    <w:rsid w:val="0075753A"/>
    <w:rsid w:val="0075755A"/>
    <w:rsid w:val="0075761E"/>
    <w:rsid w:val="0075765E"/>
    <w:rsid w:val="00757765"/>
    <w:rsid w:val="0075777D"/>
    <w:rsid w:val="00757795"/>
    <w:rsid w:val="007577CA"/>
    <w:rsid w:val="00757819"/>
    <w:rsid w:val="00757841"/>
    <w:rsid w:val="00757863"/>
    <w:rsid w:val="0075797E"/>
    <w:rsid w:val="007579EF"/>
    <w:rsid w:val="00757A39"/>
    <w:rsid w:val="00757A5F"/>
    <w:rsid w:val="00757B1E"/>
    <w:rsid w:val="00757B22"/>
    <w:rsid w:val="00757BB7"/>
    <w:rsid w:val="00757BE9"/>
    <w:rsid w:val="00757C61"/>
    <w:rsid w:val="00757CEE"/>
    <w:rsid w:val="00757D71"/>
    <w:rsid w:val="00757DBB"/>
    <w:rsid w:val="00757E11"/>
    <w:rsid w:val="00757E17"/>
    <w:rsid w:val="00757F20"/>
    <w:rsid w:val="00757F72"/>
    <w:rsid w:val="00757F8A"/>
    <w:rsid w:val="00757F8C"/>
    <w:rsid w:val="00757FAE"/>
    <w:rsid w:val="00760113"/>
    <w:rsid w:val="00760141"/>
    <w:rsid w:val="00760143"/>
    <w:rsid w:val="00760212"/>
    <w:rsid w:val="00760224"/>
    <w:rsid w:val="00760230"/>
    <w:rsid w:val="00760260"/>
    <w:rsid w:val="0076035E"/>
    <w:rsid w:val="00760545"/>
    <w:rsid w:val="00760550"/>
    <w:rsid w:val="0076070C"/>
    <w:rsid w:val="00760713"/>
    <w:rsid w:val="007607DA"/>
    <w:rsid w:val="0076081A"/>
    <w:rsid w:val="007609B2"/>
    <w:rsid w:val="007609C2"/>
    <w:rsid w:val="00760A00"/>
    <w:rsid w:val="00760ACD"/>
    <w:rsid w:val="00760AEE"/>
    <w:rsid w:val="00760AFC"/>
    <w:rsid w:val="00760B45"/>
    <w:rsid w:val="00760B4F"/>
    <w:rsid w:val="00760B81"/>
    <w:rsid w:val="00760B97"/>
    <w:rsid w:val="00760C19"/>
    <w:rsid w:val="00760C4C"/>
    <w:rsid w:val="00760E14"/>
    <w:rsid w:val="00760E48"/>
    <w:rsid w:val="00760E68"/>
    <w:rsid w:val="00760FDE"/>
    <w:rsid w:val="00761013"/>
    <w:rsid w:val="00761089"/>
    <w:rsid w:val="00761239"/>
    <w:rsid w:val="0076124D"/>
    <w:rsid w:val="00761277"/>
    <w:rsid w:val="007612CC"/>
    <w:rsid w:val="007612E6"/>
    <w:rsid w:val="00761410"/>
    <w:rsid w:val="00761416"/>
    <w:rsid w:val="0076145B"/>
    <w:rsid w:val="00761471"/>
    <w:rsid w:val="00761558"/>
    <w:rsid w:val="00761586"/>
    <w:rsid w:val="00761662"/>
    <w:rsid w:val="0076170E"/>
    <w:rsid w:val="00761718"/>
    <w:rsid w:val="00761778"/>
    <w:rsid w:val="007617D3"/>
    <w:rsid w:val="00761826"/>
    <w:rsid w:val="0076182D"/>
    <w:rsid w:val="00761835"/>
    <w:rsid w:val="00761865"/>
    <w:rsid w:val="007618BE"/>
    <w:rsid w:val="00761949"/>
    <w:rsid w:val="007619BC"/>
    <w:rsid w:val="007619C5"/>
    <w:rsid w:val="00761A1B"/>
    <w:rsid w:val="00761A2F"/>
    <w:rsid w:val="00761A49"/>
    <w:rsid w:val="00761AB2"/>
    <w:rsid w:val="00761B24"/>
    <w:rsid w:val="00761B2D"/>
    <w:rsid w:val="00761BEE"/>
    <w:rsid w:val="00761C57"/>
    <w:rsid w:val="00761C89"/>
    <w:rsid w:val="00761D15"/>
    <w:rsid w:val="00761D1C"/>
    <w:rsid w:val="00761D23"/>
    <w:rsid w:val="00761D42"/>
    <w:rsid w:val="00761D83"/>
    <w:rsid w:val="00761D88"/>
    <w:rsid w:val="00761DCF"/>
    <w:rsid w:val="00761DE6"/>
    <w:rsid w:val="00761EA7"/>
    <w:rsid w:val="00761EB1"/>
    <w:rsid w:val="00761ECC"/>
    <w:rsid w:val="00761ED5"/>
    <w:rsid w:val="00761EF8"/>
    <w:rsid w:val="00761F8B"/>
    <w:rsid w:val="00762001"/>
    <w:rsid w:val="0076215F"/>
    <w:rsid w:val="0076219C"/>
    <w:rsid w:val="00762210"/>
    <w:rsid w:val="0076222C"/>
    <w:rsid w:val="00762236"/>
    <w:rsid w:val="007622C6"/>
    <w:rsid w:val="0076231D"/>
    <w:rsid w:val="0076239E"/>
    <w:rsid w:val="007623AA"/>
    <w:rsid w:val="0076241B"/>
    <w:rsid w:val="0076243B"/>
    <w:rsid w:val="00762497"/>
    <w:rsid w:val="00762527"/>
    <w:rsid w:val="00762672"/>
    <w:rsid w:val="00762694"/>
    <w:rsid w:val="0076269E"/>
    <w:rsid w:val="00762765"/>
    <w:rsid w:val="007627A0"/>
    <w:rsid w:val="007627BE"/>
    <w:rsid w:val="00762840"/>
    <w:rsid w:val="0076289E"/>
    <w:rsid w:val="007628C9"/>
    <w:rsid w:val="007628F9"/>
    <w:rsid w:val="0076298F"/>
    <w:rsid w:val="007629E6"/>
    <w:rsid w:val="007629F9"/>
    <w:rsid w:val="00762A57"/>
    <w:rsid w:val="00762AA5"/>
    <w:rsid w:val="00762B96"/>
    <w:rsid w:val="00762BCD"/>
    <w:rsid w:val="00762C58"/>
    <w:rsid w:val="00762C64"/>
    <w:rsid w:val="00762C6E"/>
    <w:rsid w:val="00762CEC"/>
    <w:rsid w:val="00762D55"/>
    <w:rsid w:val="00762D59"/>
    <w:rsid w:val="00762DB0"/>
    <w:rsid w:val="00762DF3"/>
    <w:rsid w:val="00762E32"/>
    <w:rsid w:val="00762E46"/>
    <w:rsid w:val="00762E9D"/>
    <w:rsid w:val="00762F5E"/>
    <w:rsid w:val="00762FE4"/>
    <w:rsid w:val="00762FF1"/>
    <w:rsid w:val="00763025"/>
    <w:rsid w:val="007631E0"/>
    <w:rsid w:val="007631F3"/>
    <w:rsid w:val="007631FE"/>
    <w:rsid w:val="0076329F"/>
    <w:rsid w:val="007632BE"/>
    <w:rsid w:val="007632E3"/>
    <w:rsid w:val="007632EC"/>
    <w:rsid w:val="007633A4"/>
    <w:rsid w:val="007633AD"/>
    <w:rsid w:val="00763423"/>
    <w:rsid w:val="00763458"/>
    <w:rsid w:val="0076347B"/>
    <w:rsid w:val="007634D1"/>
    <w:rsid w:val="007634FB"/>
    <w:rsid w:val="00763520"/>
    <w:rsid w:val="00763538"/>
    <w:rsid w:val="00763574"/>
    <w:rsid w:val="00763610"/>
    <w:rsid w:val="0076362A"/>
    <w:rsid w:val="00763633"/>
    <w:rsid w:val="0076375F"/>
    <w:rsid w:val="00763887"/>
    <w:rsid w:val="007638EE"/>
    <w:rsid w:val="00763A44"/>
    <w:rsid w:val="00763A53"/>
    <w:rsid w:val="00763AB3"/>
    <w:rsid w:val="00763ADE"/>
    <w:rsid w:val="00763AF3"/>
    <w:rsid w:val="00763B86"/>
    <w:rsid w:val="00763B97"/>
    <w:rsid w:val="00763B9C"/>
    <w:rsid w:val="00763BED"/>
    <w:rsid w:val="00763D20"/>
    <w:rsid w:val="00763D46"/>
    <w:rsid w:val="00763D9A"/>
    <w:rsid w:val="00763E09"/>
    <w:rsid w:val="00763ED6"/>
    <w:rsid w:val="00763F36"/>
    <w:rsid w:val="00763F50"/>
    <w:rsid w:val="00763F62"/>
    <w:rsid w:val="00763FE7"/>
    <w:rsid w:val="00763FE8"/>
    <w:rsid w:val="007640CF"/>
    <w:rsid w:val="00764139"/>
    <w:rsid w:val="00764195"/>
    <w:rsid w:val="0076420B"/>
    <w:rsid w:val="0076421F"/>
    <w:rsid w:val="00764234"/>
    <w:rsid w:val="0076424F"/>
    <w:rsid w:val="007642A6"/>
    <w:rsid w:val="007642D6"/>
    <w:rsid w:val="0076430D"/>
    <w:rsid w:val="0076434A"/>
    <w:rsid w:val="0076437A"/>
    <w:rsid w:val="00764444"/>
    <w:rsid w:val="0076446C"/>
    <w:rsid w:val="007644BC"/>
    <w:rsid w:val="00764503"/>
    <w:rsid w:val="00764550"/>
    <w:rsid w:val="007645B5"/>
    <w:rsid w:val="00764627"/>
    <w:rsid w:val="00764842"/>
    <w:rsid w:val="0076488A"/>
    <w:rsid w:val="007648C1"/>
    <w:rsid w:val="0076493D"/>
    <w:rsid w:val="007649E3"/>
    <w:rsid w:val="00764AC5"/>
    <w:rsid w:val="00764B22"/>
    <w:rsid w:val="00764B98"/>
    <w:rsid w:val="00764BD2"/>
    <w:rsid w:val="00764C5B"/>
    <w:rsid w:val="00764CB5"/>
    <w:rsid w:val="00764CBB"/>
    <w:rsid w:val="00764D39"/>
    <w:rsid w:val="00764D89"/>
    <w:rsid w:val="00764E54"/>
    <w:rsid w:val="00764FAF"/>
    <w:rsid w:val="00764FC6"/>
    <w:rsid w:val="00764FCB"/>
    <w:rsid w:val="00764FE7"/>
    <w:rsid w:val="00764FEB"/>
    <w:rsid w:val="0076504D"/>
    <w:rsid w:val="007650D4"/>
    <w:rsid w:val="0076516F"/>
    <w:rsid w:val="0076517F"/>
    <w:rsid w:val="007651FE"/>
    <w:rsid w:val="00765311"/>
    <w:rsid w:val="00765351"/>
    <w:rsid w:val="007653E3"/>
    <w:rsid w:val="00765400"/>
    <w:rsid w:val="00765446"/>
    <w:rsid w:val="007654D2"/>
    <w:rsid w:val="007654D5"/>
    <w:rsid w:val="0076555D"/>
    <w:rsid w:val="00765563"/>
    <w:rsid w:val="007655FD"/>
    <w:rsid w:val="007656CB"/>
    <w:rsid w:val="00765744"/>
    <w:rsid w:val="00765764"/>
    <w:rsid w:val="007657F6"/>
    <w:rsid w:val="007657FD"/>
    <w:rsid w:val="00765809"/>
    <w:rsid w:val="007658B2"/>
    <w:rsid w:val="0076590A"/>
    <w:rsid w:val="00765927"/>
    <w:rsid w:val="007659E5"/>
    <w:rsid w:val="00765A27"/>
    <w:rsid w:val="00765A42"/>
    <w:rsid w:val="00765B91"/>
    <w:rsid w:val="00765BBC"/>
    <w:rsid w:val="00765BFA"/>
    <w:rsid w:val="00765C2A"/>
    <w:rsid w:val="00765C7B"/>
    <w:rsid w:val="00765C7C"/>
    <w:rsid w:val="00765C84"/>
    <w:rsid w:val="00765CE8"/>
    <w:rsid w:val="00765DE1"/>
    <w:rsid w:val="00765E3E"/>
    <w:rsid w:val="00765E53"/>
    <w:rsid w:val="00765E79"/>
    <w:rsid w:val="00765EC7"/>
    <w:rsid w:val="00765F64"/>
    <w:rsid w:val="00765F74"/>
    <w:rsid w:val="00765FEA"/>
    <w:rsid w:val="00766052"/>
    <w:rsid w:val="0076616F"/>
    <w:rsid w:val="00766172"/>
    <w:rsid w:val="007661BB"/>
    <w:rsid w:val="007661FB"/>
    <w:rsid w:val="00766207"/>
    <w:rsid w:val="00766231"/>
    <w:rsid w:val="00766255"/>
    <w:rsid w:val="007662D1"/>
    <w:rsid w:val="00766318"/>
    <w:rsid w:val="00766348"/>
    <w:rsid w:val="007663D1"/>
    <w:rsid w:val="007663D5"/>
    <w:rsid w:val="007663E4"/>
    <w:rsid w:val="007663FE"/>
    <w:rsid w:val="00766411"/>
    <w:rsid w:val="007664C0"/>
    <w:rsid w:val="00766603"/>
    <w:rsid w:val="007666D7"/>
    <w:rsid w:val="0076673B"/>
    <w:rsid w:val="007667DC"/>
    <w:rsid w:val="007667F4"/>
    <w:rsid w:val="00766813"/>
    <w:rsid w:val="00766876"/>
    <w:rsid w:val="00766905"/>
    <w:rsid w:val="00766927"/>
    <w:rsid w:val="00766970"/>
    <w:rsid w:val="007669AB"/>
    <w:rsid w:val="007669D1"/>
    <w:rsid w:val="007669D6"/>
    <w:rsid w:val="00766A1E"/>
    <w:rsid w:val="00766AF4"/>
    <w:rsid w:val="00766B1E"/>
    <w:rsid w:val="00766B62"/>
    <w:rsid w:val="00766B66"/>
    <w:rsid w:val="00766C3C"/>
    <w:rsid w:val="00766CD4"/>
    <w:rsid w:val="00766CE8"/>
    <w:rsid w:val="00766D28"/>
    <w:rsid w:val="00766DCD"/>
    <w:rsid w:val="00766E15"/>
    <w:rsid w:val="00766F17"/>
    <w:rsid w:val="007670B4"/>
    <w:rsid w:val="00767230"/>
    <w:rsid w:val="00767263"/>
    <w:rsid w:val="0076733A"/>
    <w:rsid w:val="0076737E"/>
    <w:rsid w:val="0076746B"/>
    <w:rsid w:val="007674D6"/>
    <w:rsid w:val="00767584"/>
    <w:rsid w:val="007675C8"/>
    <w:rsid w:val="0076767D"/>
    <w:rsid w:val="00767699"/>
    <w:rsid w:val="007677B8"/>
    <w:rsid w:val="00767847"/>
    <w:rsid w:val="00767880"/>
    <w:rsid w:val="00767894"/>
    <w:rsid w:val="007678E3"/>
    <w:rsid w:val="00767975"/>
    <w:rsid w:val="007679F0"/>
    <w:rsid w:val="00767A18"/>
    <w:rsid w:val="00767A1B"/>
    <w:rsid w:val="00767A24"/>
    <w:rsid w:val="00767A99"/>
    <w:rsid w:val="00767AAE"/>
    <w:rsid w:val="00767AB7"/>
    <w:rsid w:val="00767AE5"/>
    <w:rsid w:val="00767AE6"/>
    <w:rsid w:val="00767B37"/>
    <w:rsid w:val="00767C03"/>
    <w:rsid w:val="00767C3F"/>
    <w:rsid w:val="00767CDB"/>
    <w:rsid w:val="00767D86"/>
    <w:rsid w:val="00767D8F"/>
    <w:rsid w:val="00767E01"/>
    <w:rsid w:val="00767E3B"/>
    <w:rsid w:val="00767EC0"/>
    <w:rsid w:val="00767EE6"/>
    <w:rsid w:val="00767F8A"/>
    <w:rsid w:val="00767FAA"/>
    <w:rsid w:val="00767FFD"/>
    <w:rsid w:val="00770016"/>
    <w:rsid w:val="0077004D"/>
    <w:rsid w:val="007700AF"/>
    <w:rsid w:val="007700F0"/>
    <w:rsid w:val="00770132"/>
    <w:rsid w:val="0077014C"/>
    <w:rsid w:val="007701AD"/>
    <w:rsid w:val="007701CE"/>
    <w:rsid w:val="007701D9"/>
    <w:rsid w:val="007701F4"/>
    <w:rsid w:val="00770241"/>
    <w:rsid w:val="00770267"/>
    <w:rsid w:val="00770284"/>
    <w:rsid w:val="007703A2"/>
    <w:rsid w:val="00770417"/>
    <w:rsid w:val="0077051C"/>
    <w:rsid w:val="00770567"/>
    <w:rsid w:val="00770608"/>
    <w:rsid w:val="00770657"/>
    <w:rsid w:val="007706BD"/>
    <w:rsid w:val="007706F8"/>
    <w:rsid w:val="0077076D"/>
    <w:rsid w:val="007707A4"/>
    <w:rsid w:val="00770805"/>
    <w:rsid w:val="0077081B"/>
    <w:rsid w:val="0077083A"/>
    <w:rsid w:val="0077087E"/>
    <w:rsid w:val="007709E3"/>
    <w:rsid w:val="00770A58"/>
    <w:rsid w:val="00770A6F"/>
    <w:rsid w:val="00770B2E"/>
    <w:rsid w:val="00770B53"/>
    <w:rsid w:val="00770C36"/>
    <w:rsid w:val="00770CE4"/>
    <w:rsid w:val="00770D43"/>
    <w:rsid w:val="00770DB8"/>
    <w:rsid w:val="00770EAC"/>
    <w:rsid w:val="00770EB4"/>
    <w:rsid w:val="00770F97"/>
    <w:rsid w:val="00770FCE"/>
    <w:rsid w:val="00771033"/>
    <w:rsid w:val="00771043"/>
    <w:rsid w:val="0077105E"/>
    <w:rsid w:val="007710AE"/>
    <w:rsid w:val="00771130"/>
    <w:rsid w:val="00771134"/>
    <w:rsid w:val="00771138"/>
    <w:rsid w:val="0077120C"/>
    <w:rsid w:val="00771221"/>
    <w:rsid w:val="00771234"/>
    <w:rsid w:val="007712A7"/>
    <w:rsid w:val="007712B5"/>
    <w:rsid w:val="007712E7"/>
    <w:rsid w:val="00771324"/>
    <w:rsid w:val="0077134B"/>
    <w:rsid w:val="0077136C"/>
    <w:rsid w:val="007713D5"/>
    <w:rsid w:val="00771400"/>
    <w:rsid w:val="00771436"/>
    <w:rsid w:val="00771448"/>
    <w:rsid w:val="007714B7"/>
    <w:rsid w:val="00771665"/>
    <w:rsid w:val="0077166F"/>
    <w:rsid w:val="00771694"/>
    <w:rsid w:val="00771695"/>
    <w:rsid w:val="00771715"/>
    <w:rsid w:val="00771885"/>
    <w:rsid w:val="0077197A"/>
    <w:rsid w:val="00771B13"/>
    <w:rsid w:val="00771B17"/>
    <w:rsid w:val="00771B69"/>
    <w:rsid w:val="00771B8A"/>
    <w:rsid w:val="00771BC5"/>
    <w:rsid w:val="00771BCE"/>
    <w:rsid w:val="00771C43"/>
    <w:rsid w:val="00771C51"/>
    <w:rsid w:val="00771C67"/>
    <w:rsid w:val="00771D3C"/>
    <w:rsid w:val="00771FB5"/>
    <w:rsid w:val="00772002"/>
    <w:rsid w:val="007720CE"/>
    <w:rsid w:val="007720D4"/>
    <w:rsid w:val="00772103"/>
    <w:rsid w:val="0077212F"/>
    <w:rsid w:val="00772146"/>
    <w:rsid w:val="00772147"/>
    <w:rsid w:val="007721DA"/>
    <w:rsid w:val="0077225E"/>
    <w:rsid w:val="00772271"/>
    <w:rsid w:val="007722B4"/>
    <w:rsid w:val="007722B7"/>
    <w:rsid w:val="00772361"/>
    <w:rsid w:val="0077237F"/>
    <w:rsid w:val="007723A4"/>
    <w:rsid w:val="00772432"/>
    <w:rsid w:val="00772448"/>
    <w:rsid w:val="0077245B"/>
    <w:rsid w:val="00772517"/>
    <w:rsid w:val="007725F6"/>
    <w:rsid w:val="0077260B"/>
    <w:rsid w:val="00772636"/>
    <w:rsid w:val="00772676"/>
    <w:rsid w:val="007726D5"/>
    <w:rsid w:val="00772716"/>
    <w:rsid w:val="00772805"/>
    <w:rsid w:val="00772836"/>
    <w:rsid w:val="007728DC"/>
    <w:rsid w:val="00772997"/>
    <w:rsid w:val="007729A7"/>
    <w:rsid w:val="00772A1E"/>
    <w:rsid w:val="00772A66"/>
    <w:rsid w:val="00772B11"/>
    <w:rsid w:val="00772B73"/>
    <w:rsid w:val="00772BC4"/>
    <w:rsid w:val="00772C00"/>
    <w:rsid w:val="00772C35"/>
    <w:rsid w:val="00772CB1"/>
    <w:rsid w:val="00772D46"/>
    <w:rsid w:val="00772DD2"/>
    <w:rsid w:val="00772EF1"/>
    <w:rsid w:val="00772F4D"/>
    <w:rsid w:val="00772F62"/>
    <w:rsid w:val="00772FE7"/>
    <w:rsid w:val="00773016"/>
    <w:rsid w:val="00773033"/>
    <w:rsid w:val="00773087"/>
    <w:rsid w:val="007730CD"/>
    <w:rsid w:val="007730E6"/>
    <w:rsid w:val="0077315B"/>
    <w:rsid w:val="007731C1"/>
    <w:rsid w:val="0077328E"/>
    <w:rsid w:val="007735AF"/>
    <w:rsid w:val="007735FC"/>
    <w:rsid w:val="00773640"/>
    <w:rsid w:val="007736F9"/>
    <w:rsid w:val="0077377D"/>
    <w:rsid w:val="00773855"/>
    <w:rsid w:val="00773888"/>
    <w:rsid w:val="0077388E"/>
    <w:rsid w:val="00773936"/>
    <w:rsid w:val="007739B3"/>
    <w:rsid w:val="007739B8"/>
    <w:rsid w:val="00773A72"/>
    <w:rsid w:val="00773ADB"/>
    <w:rsid w:val="00773B5A"/>
    <w:rsid w:val="00773B6A"/>
    <w:rsid w:val="00773BD9"/>
    <w:rsid w:val="00773BE3"/>
    <w:rsid w:val="00773BE5"/>
    <w:rsid w:val="00773C60"/>
    <w:rsid w:val="00773C9C"/>
    <w:rsid w:val="00773D1E"/>
    <w:rsid w:val="00773D41"/>
    <w:rsid w:val="00773DCF"/>
    <w:rsid w:val="00773E06"/>
    <w:rsid w:val="00773E50"/>
    <w:rsid w:val="00773EFD"/>
    <w:rsid w:val="00773F63"/>
    <w:rsid w:val="00773FAA"/>
    <w:rsid w:val="00774034"/>
    <w:rsid w:val="0077406F"/>
    <w:rsid w:val="007740DA"/>
    <w:rsid w:val="007740F6"/>
    <w:rsid w:val="007741D4"/>
    <w:rsid w:val="007741D9"/>
    <w:rsid w:val="0077422A"/>
    <w:rsid w:val="00774273"/>
    <w:rsid w:val="00774282"/>
    <w:rsid w:val="0077430C"/>
    <w:rsid w:val="007743FA"/>
    <w:rsid w:val="007744A6"/>
    <w:rsid w:val="0077451D"/>
    <w:rsid w:val="00774557"/>
    <w:rsid w:val="00774575"/>
    <w:rsid w:val="007745D9"/>
    <w:rsid w:val="00774649"/>
    <w:rsid w:val="0077467A"/>
    <w:rsid w:val="0077468A"/>
    <w:rsid w:val="007746A3"/>
    <w:rsid w:val="007746F4"/>
    <w:rsid w:val="00774822"/>
    <w:rsid w:val="0077482D"/>
    <w:rsid w:val="007748A5"/>
    <w:rsid w:val="007748AC"/>
    <w:rsid w:val="007748DB"/>
    <w:rsid w:val="007748EA"/>
    <w:rsid w:val="00774922"/>
    <w:rsid w:val="00774945"/>
    <w:rsid w:val="00774A2C"/>
    <w:rsid w:val="00774A8B"/>
    <w:rsid w:val="00774AF1"/>
    <w:rsid w:val="00774B05"/>
    <w:rsid w:val="00774B0C"/>
    <w:rsid w:val="00774B11"/>
    <w:rsid w:val="00774B2A"/>
    <w:rsid w:val="00774B80"/>
    <w:rsid w:val="00774B9A"/>
    <w:rsid w:val="00774BD5"/>
    <w:rsid w:val="00774BDC"/>
    <w:rsid w:val="00774BEA"/>
    <w:rsid w:val="00774C57"/>
    <w:rsid w:val="00774C93"/>
    <w:rsid w:val="00774CA1"/>
    <w:rsid w:val="00774CB0"/>
    <w:rsid w:val="00774CDA"/>
    <w:rsid w:val="00774D57"/>
    <w:rsid w:val="00774F40"/>
    <w:rsid w:val="00774F77"/>
    <w:rsid w:val="00774FCF"/>
    <w:rsid w:val="00775020"/>
    <w:rsid w:val="00775028"/>
    <w:rsid w:val="0077506A"/>
    <w:rsid w:val="007750D4"/>
    <w:rsid w:val="00775181"/>
    <w:rsid w:val="007751A7"/>
    <w:rsid w:val="007751FB"/>
    <w:rsid w:val="00775216"/>
    <w:rsid w:val="007752EE"/>
    <w:rsid w:val="00775358"/>
    <w:rsid w:val="007753D9"/>
    <w:rsid w:val="00775414"/>
    <w:rsid w:val="0077541F"/>
    <w:rsid w:val="0077544F"/>
    <w:rsid w:val="00775496"/>
    <w:rsid w:val="007754C3"/>
    <w:rsid w:val="007754C4"/>
    <w:rsid w:val="007754E1"/>
    <w:rsid w:val="0077556D"/>
    <w:rsid w:val="007755EB"/>
    <w:rsid w:val="00775610"/>
    <w:rsid w:val="0077570E"/>
    <w:rsid w:val="007757E3"/>
    <w:rsid w:val="00775960"/>
    <w:rsid w:val="00775974"/>
    <w:rsid w:val="00775985"/>
    <w:rsid w:val="007759F2"/>
    <w:rsid w:val="00775A88"/>
    <w:rsid w:val="00775AD7"/>
    <w:rsid w:val="00775ADA"/>
    <w:rsid w:val="00775AF2"/>
    <w:rsid w:val="00775B09"/>
    <w:rsid w:val="00775B68"/>
    <w:rsid w:val="00775BB8"/>
    <w:rsid w:val="00775BD6"/>
    <w:rsid w:val="00775C67"/>
    <w:rsid w:val="00775CEF"/>
    <w:rsid w:val="00775D65"/>
    <w:rsid w:val="00775DFA"/>
    <w:rsid w:val="00775EC2"/>
    <w:rsid w:val="00775EC5"/>
    <w:rsid w:val="00775F49"/>
    <w:rsid w:val="00775F5A"/>
    <w:rsid w:val="00775F7F"/>
    <w:rsid w:val="00775FC3"/>
    <w:rsid w:val="00775FCE"/>
    <w:rsid w:val="00775FDB"/>
    <w:rsid w:val="00776005"/>
    <w:rsid w:val="00776087"/>
    <w:rsid w:val="00776098"/>
    <w:rsid w:val="0077616D"/>
    <w:rsid w:val="0077619F"/>
    <w:rsid w:val="00776217"/>
    <w:rsid w:val="007762EC"/>
    <w:rsid w:val="00776340"/>
    <w:rsid w:val="0077637C"/>
    <w:rsid w:val="007763E5"/>
    <w:rsid w:val="00776444"/>
    <w:rsid w:val="007764C1"/>
    <w:rsid w:val="00776611"/>
    <w:rsid w:val="00776653"/>
    <w:rsid w:val="00776656"/>
    <w:rsid w:val="00776683"/>
    <w:rsid w:val="007766ED"/>
    <w:rsid w:val="00776758"/>
    <w:rsid w:val="007767AA"/>
    <w:rsid w:val="007767D7"/>
    <w:rsid w:val="0077681F"/>
    <w:rsid w:val="00776840"/>
    <w:rsid w:val="007768DC"/>
    <w:rsid w:val="0077697E"/>
    <w:rsid w:val="007769BE"/>
    <w:rsid w:val="007769CD"/>
    <w:rsid w:val="00776AFF"/>
    <w:rsid w:val="00776B0A"/>
    <w:rsid w:val="00776B2C"/>
    <w:rsid w:val="00776C03"/>
    <w:rsid w:val="00776C63"/>
    <w:rsid w:val="00776C73"/>
    <w:rsid w:val="00776C89"/>
    <w:rsid w:val="00776D06"/>
    <w:rsid w:val="00776D39"/>
    <w:rsid w:val="00776E07"/>
    <w:rsid w:val="00776EC1"/>
    <w:rsid w:val="00776EE4"/>
    <w:rsid w:val="00776EE9"/>
    <w:rsid w:val="00776EF3"/>
    <w:rsid w:val="00776F2B"/>
    <w:rsid w:val="00776F48"/>
    <w:rsid w:val="00776FE7"/>
    <w:rsid w:val="00776FEE"/>
    <w:rsid w:val="0077707A"/>
    <w:rsid w:val="007771A8"/>
    <w:rsid w:val="007771F1"/>
    <w:rsid w:val="00777207"/>
    <w:rsid w:val="00777212"/>
    <w:rsid w:val="00777248"/>
    <w:rsid w:val="0077724E"/>
    <w:rsid w:val="00777319"/>
    <w:rsid w:val="007773C0"/>
    <w:rsid w:val="00777408"/>
    <w:rsid w:val="007774E7"/>
    <w:rsid w:val="007774F0"/>
    <w:rsid w:val="007774F5"/>
    <w:rsid w:val="00777565"/>
    <w:rsid w:val="007775FD"/>
    <w:rsid w:val="00777651"/>
    <w:rsid w:val="0077768D"/>
    <w:rsid w:val="007776C4"/>
    <w:rsid w:val="00777721"/>
    <w:rsid w:val="0077777E"/>
    <w:rsid w:val="007778CF"/>
    <w:rsid w:val="00777951"/>
    <w:rsid w:val="0077798B"/>
    <w:rsid w:val="007779F6"/>
    <w:rsid w:val="00777A55"/>
    <w:rsid w:val="00777ADD"/>
    <w:rsid w:val="00777B09"/>
    <w:rsid w:val="00777B1A"/>
    <w:rsid w:val="00777B3F"/>
    <w:rsid w:val="00777B46"/>
    <w:rsid w:val="00777B86"/>
    <w:rsid w:val="00777B99"/>
    <w:rsid w:val="00777C5F"/>
    <w:rsid w:val="00777C66"/>
    <w:rsid w:val="00777CB6"/>
    <w:rsid w:val="00777CDA"/>
    <w:rsid w:val="00777D4A"/>
    <w:rsid w:val="00777DC9"/>
    <w:rsid w:val="00777E1A"/>
    <w:rsid w:val="00777E93"/>
    <w:rsid w:val="00777EBC"/>
    <w:rsid w:val="00780031"/>
    <w:rsid w:val="00780039"/>
    <w:rsid w:val="00780222"/>
    <w:rsid w:val="007802EA"/>
    <w:rsid w:val="00780345"/>
    <w:rsid w:val="0078034A"/>
    <w:rsid w:val="0078039B"/>
    <w:rsid w:val="007803E9"/>
    <w:rsid w:val="007803EF"/>
    <w:rsid w:val="007803F5"/>
    <w:rsid w:val="00780428"/>
    <w:rsid w:val="007804A5"/>
    <w:rsid w:val="00780510"/>
    <w:rsid w:val="00780535"/>
    <w:rsid w:val="007806B1"/>
    <w:rsid w:val="007806CC"/>
    <w:rsid w:val="007806F5"/>
    <w:rsid w:val="007806FA"/>
    <w:rsid w:val="00780704"/>
    <w:rsid w:val="00780764"/>
    <w:rsid w:val="0078077E"/>
    <w:rsid w:val="007807CC"/>
    <w:rsid w:val="00780809"/>
    <w:rsid w:val="0078081F"/>
    <w:rsid w:val="00780852"/>
    <w:rsid w:val="00780879"/>
    <w:rsid w:val="00780922"/>
    <w:rsid w:val="00780940"/>
    <w:rsid w:val="00780962"/>
    <w:rsid w:val="007809C9"/>
    <w:rsid w:val="007809D7"/>
    <w:rsid w:val="00780A05"/>
    <w:rsid w:val="00780AA1"/>
    <w:rsid w:val="00780AA2"/>
    <w:rsid w:val="00780AD6"/>
    <w:rsid w:val="00780B04"/>
    <w:rsid w:val="00780B20"/>
    <w:rsid w:val="00780BBD"/>
    <w:rsid w:val="00780BC0"/>
    <w:rsid w:val="00780C33"/>
    <w:rsid w:val="00780C4B"/>
    <w:rsid w:val="00780C58"/>
    <w:rsid w:val="00780C72"/>
    <w:rsid w:val="00780C74"/>
    <w:rsid w:val="00780CA3"/>
    <w:rsid w:val="00780CAB"/>
    <w:rsid w:val="00780CB9"/>
    <w:rsid w:val="00780D44"/>
    <w:rsid w:val="00780D73"/>
    <w:rsid w:val="00780E49"/>
    <w:rsid w:val="00780E5E"/>
    <w:rsid w:val="00780F3E"/>
    <w:rsid w:val="00780F71"/>
    <w:rsid w:val="00780F83"/>
    <w:rsid w:val="00780F84"/>
    <w:rsid w:val="007810B2"/>
    <w:rsid w:val="007810C8"/>
    <w:rsid w:val="00781137"/>
    <w:rsid w:val="0078113A"/>
    <w:rsid w:val="0078115C"/>
    <w:rsid w:val="007811A3"/>
    <w:rsid w:val="007811D0"/>
    <w:rsid w:val="007811ED"/>
    <w:rsid w:val="0078124B"/>
    <w:rsid w:val="007812B8"/>
    <w:rsid w:val="00781329"/>
    <w:rsid w:val="0078147D"/>
    <w:rsid w:val="0078148C"/>
    <w:rsid w:val="00781563"/>
    <w:rsid w:val="007815A1"/>
    <w:rsid w:val="007815E7"/>
    <w:rsid w:val="007815E9"/>
    <w:rsid w:val="0078178F"/>
    <w:rsid w:val="00781834"/>
    <w:rsid w:val="00781842"/>
    <w:rsid w:val="007818A0"/>
    <w:rsid w:val="007818A8"/>
    <w:rsid w:val="007818F3"/>
    <w:rsid w:val="007818FD"/>
    <w:rsid w:val="0078190B"/>
    <w:rsid w:val="007819EC"/>
    <w:rsid w:val="00781A14"/>
    <w:rsid w:val="00781A34"/>
    <w:rsid w:val="00781AAE"/>
    <w:rsid w:val="00781ACE"/>
    <w:rsid w:val="00781B7B"/>
    <w:rsid w:val="00781BFB"/>
    <w:rsid w:val="00781BFE"/>
    <w:rsid w:val="00781C9A"/>
    <w:rsid w:val="00781D3C"/>
    <w:rsid w:val="00781DC6"/>
    <w:rsid w:val="00781EFA"/>
    <w:rsid w:val="00781F0E"/>
    <w:rsid w:val="00782002"/>
    <w:rsid w:val="00782126"/>
    <w:rsid w:val="0078216A"/>
    <w:rsid w:val="007821D7"/>
    <w:rsid w:val="00782217"/>
    <w:rsid w:val="0078222A"/>
    <w:rsid w:val="00782233"/>
    <w:rsid w:val="00782259"/>
    <w:rsid w:val="00782280"/>
    <w:rsid w:val="0078229B"/>
    <w:rsid w:val="00782329"/>
    <w:rsid w:val="0078238A"/>
    <w:rsid w:val="007823D6"/>
    <w:rsid w:val="00782445"/>
    <w:rsid w:val="00782472"/>
    <w:rsid w:val="0078252A"/>
    <w:rsid w:val="007825C4"/>
    <w:rsid w:val="007825CB"/>
    <w:rsid w:val="00782791"/>
    <w:rsid w:val="007827EB"/>
    <w:rsid w:val="00782823"/>
    <w:rsid w:val="00782827"/>
    <w:rsid w:val="00782886"/>
    <w:rsid w:val="007828B1"/>
    <w:rsid w:val="0078295E"/>
    <w:rsid w:val="007829C9"/>
    <w:rsid w:val="00782A33"/>
    <w:rsid w:val="00782A44"/>
    <w:rsid w:val="00782B39"/>
    <w:rsid w:val="00782BB3"/>
    <w:rsid w:val="00782BB9"/>
    <w:rsid w:val="00782BC7"/>
    <w:rsid w:val="00782CA0"/>
    <w:rsid w:val="00782CB3"/>
    <w:rsid w:val="00782CCC"/>
    <w:rsid w:val="00782D34"/>
    <w:rsid w:val="00782D6A"/>
    <w:rsid w:val="00782DE6"/>
    <w:rsid w:val="00782E20"/>
    <w:rsid w:val="00782E8C"/>
    <w:rsid w:val="00782EBD"/>
    <w:rsid w:val="00782EEB"/>
    <w:rsid w:val="00782F17"/>
    <w:rsid w:val="00782F1F"/>
    <w:rsid w:val="00782F45"/>
    <w:rsid w:val="00783002"/>
    <w:rsid w:val="00783017"/>
    <w:rsid w:val="00783044"/>
    <w:rsid w:val="0078308C"/>
    <w:rsid w:val="007830BD"/>
    <w:rsid w:val="00783319"/>
    <w:rsid w:val="00783340"/>
    <w:rsid w:val="00783349"/>
    <w:rsid w:val="00783365"/>
    <w:rsid w:val="007833B0"/>
    <w:rsid w:val="007833BB"/>
    <w:rsid w:val="007833E1"/>
    <w:rsid w:val="00783441"/>
    <w:rsid w:val="0078346B"/>
    <w:rsid w:val="00783487"/>
    <w:rsid w:val="007834AF"/>
    <w:rsid w:val="007834C2"/>
    <w:rsid w:val="0078359D"/>
    <w:rsid w:val="007835B0"/>
    <w:rsid w:val="007835F7"/>
    <w:rsid w:val="00783663"/>
    <w:rsid w:val="007836E2"/>
    <w:rsid w:val="00783780"/>
    <w:rsid w:val="0078379A"/>
    <w:rsid w:val="00783804"/>
    <w:rsid w:val="007838E6"/>
    <w:rsid w:val="0078394B"/>
    <w:rsid w:val="007839A2"/>
    <w:rsid w:val="007839A8"/>
    <w:rsid w:val="007839C3"/>
    <w:rsid w:val="007839CC"/>
    <w:rsid w:val="007839DA"/>
    <w:rsid w:val="00783AB8"/>
    <w:rsid w:val="00783B67"/>
    <w:rsid w:val="00783BAC"/>
    <w:rsid w:val="00783BB1"/>
    <w:rsid w:val="00783BE1"/>
    <w:rsid w:val="00783BED"/>
    <w:rsid w:val="00783BF8"/>
    <w:rsid w:val="00783C55"/>
    <w:rsid w:val="00783C63"/>
    <w:rsid w:val="00783C8F"/>
    <w:rsid w:val="00783CE1"/>
    <w:rsid w:val="00783DCA"/>
    <w:rsid w:val="00783E6E"/>
    <w:rsid w:val="00783EF7"/>
    <w:rsid w:val="00783EFD"/>
    <w:rsid w:val="00783F22"/>
    <w:rsid w:val="00783FEE"/>
    <w:rsid w:val="0078401D"/>
    <w:rsid w:val="0078407F"/>
    <w:rsid w:val="00784142"/>
    <w:rsid w:val="00784372"/>
    <w:rsid w:val="007843F5"/>
    <w:rsid w:val="007844F2"/>
    <w:rsid w:val="007845E5"/>
    <w:rsid w:val="007845FF"/>
    <w:rsid w:val="00784621"/>
    <w:rsid w:val="00784625"/>
    <w:rsid w:val="007846F4"/>
    <w:rsid w:val="00784756"/>
    <w:rsid w:val="00784920"/>
    <w:rsid w:val="00784947"/>
    <w:rsid w:val="00784970"/>
    <w:rsid w:val="007849CB"/>
    <w:rsid w:val="007849D3"/>
    <w:rsid w:val="00784A45"/>
    <w:rsid w:val="00784A54"/>
    <w:rsid w:val="00784B01"/>
    <w:rsid w:val="00784B0B"/>
    <w:rsid w:val="00784BBF"/>
    <w:rsid w:val="00784BE5"/>
    <w:rsid w:val="00784CC8"/>
    <w:rsid w:val="00784D6B"/>
    <w:rsid w:val="00784D73"/>
    <w:rsid w:val="00784E3C"/>
    <w:rsid w:val="00784EC6"/>
    <w:rsid w:val="0078502A"/>
    <w:rsid w:val="00785060"/>
    <w:rsid w:val="00785081"/>
    <w:rsid w:val="007850D1"/>
    <w:rsid w:val="007850EC"/>
    <w:rsid w:val="007850FE"/>
    <w:rsid w:val="00785293"/>
    <w:rsid w:val="007852C4"/>
    <w:rsid w:val="007852EF"/>
    <w:rsid w:val="0078542C"/>
    <w:rsid w:val="00785457"/>
    <w:rsid w:val="00785499"/>
    <w:rsid w:val="007854CC"/>
    <w:rsid w:val="007854E1"/>
    <w:rsid w:val="00785510"/>
    <w:rsid w:val="00785558"/>
    <w:rsid w:val="0078557B"/>
    <w:rsid w:val="0078559E"/>
    <w:rsid w:val="0078562A"/>
    <w:rsid w:val="0078576E"/>
    <w:rsid w:val="0078579C"/>
    <w:rsid w:val="007857D1"/>
    <w:rsid w:val="007857DB"/>
    <w:rsid w:val="00785885"/>
    <w:rsid w:val="007858F6"/>
    <w:rsid w:val="00785920"/>
    <w:rsid w:val="00785975"/>
    <w:rsid w:val="007859D8"/>
    <w:rsid w:val="00785ACD"/>
    <w:rsid w:val="00785B26"/>
    <w:rsid w:val="00785B61"/>
    <w:rsid w:val="00785C12"/>
    <w:rsid w:val="00785D79"/>
    <w:rsid w:val="00785E8D"/>
    <w:rsid w:val="00785EA6"/>
    <w:rsid w:val="00785EE5"/>
    <w:rsid w:val="00785F07"/>
    <w:rsid w:val="00785F3C"/>
    <w:rsid w:val="00785F4A"/>
    <w:rsid w:val="00785FA0"/>
    <w:rsid w:val="00785FD7"/>
    <w:rsid w:val="00785FEC"/>
    <w:rsid w:val="007860C7"/>
    <w:rsid w:val="007860ED"/>
    <w:rsid w:val="0078613D"/>
    <w:rsid w:val="00786178"/>
    <w:rsid w:val="0078619B"/>
    <w:rsid w:val="007861D3"/>
    <w:rsid w:val="0078624D"/>
    <w:rsid w:val="00786360"/>
    <w:rsid w:val="007863AA"/>
    <w:rsid w:val="007863BE"/>
    <w:rsid w:val="007863DB"/>
    <w:rsid w:val="007863F7"/>
    <w:rsid w:val="00786422"/>
    <w:rsid w:val="007864F4"/>
    <w:rsid w:val="00786504"/>
    <w:rsid w:val="0078650D"/>
    <w:rsid w:val="0078651D"/>
    <w:rsid w:val="00786567"/>
    <w:rsid w:val="0078656B"/>
    <w:rsid w:val="0078658F"/>
    <w:rsid w:val="007865CC"/>
    <w:rsid w:val="0078662D"/>
    <w:rsid w:val="00786676"/>
    <w:rsid w:val="007866F0"/>
    <w:rsid w:val="00786725"/>
    <w:rsid w:val="007867F7"/>
    <w:rsid w:val="00786801"/>
    <w:rsid w:val="00786804"/>
    <w:rsid w:val="0078680F"/>
    <w:rsid w:val="00786822"/>
    <w:rsid w:val="0078684A"/>
    <w:rsid w:val="007868D9"/>
    <w:rsid w:val="00786909"/>
    <w:rsid w:val="0078691D"/>
    <w:rsid w:val="0078694F"/>
    <w:rsid w:val="00786B2E"/>
    <w:rsid w:val="00786BEA"/>
    <w:rsid w:val="00786C0C"/>
    <w:rsid w:val="00786CFC"/>
    <w:rsid w:val="00786D0B"/>
    <w:rsid w:val="00786D89"/>
    <w:rsid w:val="00786DC2"/>
    <w:rsid w:val="00786DC6"/>
    <w:rsid w:val="00786E75"/>
    <w:rsid w:val="00786EF3"/>
    <w:rsid w:val="00786F2A"/>
    <w:rsid w:val="00786F41"/>
    <w:rsid w:val="0078700F"/>
    <w:rsid w:val="00787089"/>
    <w:rsid w:val="00787152"/>
    <w:rsid w:val="00787199"/>
    <w:rsid w:val="007871EC"/>
    <w:rsid w:val="007872CB"/>
    <w:rsid w:val="007872E3"/>
    <w:rsid w:val="00787354"/>
    <w:rsid w:val="00787355"/>
    <w:rsid w:val="00787366"/>
    <w:rsid w:val="00787518"/>
    <w:rsid w:val="007875B4"/>
    <w:rsid w:val="007875FC"/>
    <w:rsid w:val="00787632"/>
    <w:rsid w:val="007876DF"/>
    <w:rsid w:val="00787701"/>
    <w:rsid w:val="0078774D"/>
    <w:rsid w:val="0078785A"/>
    <w:rsid w:val="00787979"/>
    <w:rsid w:val="00787A0D"/>
    <w:rsid w:val="00787A1F"/>
    <w:rsid w:val="00787B5C"/>
    <w:rsid w:val="00787BEB"/>
    <w:rsid w:val="00787C7F"/>
    <w:rsid w:val="00787C8A"/>
    <w:rsid w:val="00787D06"/>
    <w:rsid w:val="00787D1E"/>
    <w:rsid w:val="00787D83"/>
    <w:rsid w:val="00787F96"/>
    <w:rsid w:val="00787FC2"/>
    <w:rsid w:val="00790008"/>
    <w:rsid w:val="0079005D"/>
    <w:rsid w:val="00790078"/>
    <w:rsid w:val="00790094"/>
    <w:rsid w:val="007900CD"/>
    <w:rsid w:val="00790149"/>
    <w:rsid w:val="00790186"/>
    <w:rsid w:val="0079018E"/>
    <w:rsid w:val="00790199"/>
    <w:rsid w:val="007901CB"/>
    <w:rsid w:val="0079021C"/>
    <w:rsid w:val="0079025F"/>
    <w:rsid w:val="0079032E"/>
    <w:rsid w:val="007903EB"/>
    <w:rsid w:val="0079040C"/>
    <w:rsid w:val="0079042C"/>
    <w:rsid w:val="00790495"/>
    <w:rsid w:val="007904A3"/>
    <w:rsid w:val="00790547"/>
    <w:rsid w:val="0079054E"/>
    <w:rsid w:val="007905F7"/>
    <w:rsid w:val="0079072F"/>
    <w:rsid w:val="0079082B"/>
    <w:rsid w:val="00790836"/>
    <w:rsid w:val="0079084D"/>
    <w:rsid w:val="00790865"/>
    <w:rsid w:val="0079089E"/>
    <w:rsid w:val="00790A1C"/>
    <w:rsid w:val="00790A55"/>
    <w:rsid w:val="00790ADB"/>
    <w:rsid w:val="00790B41"/>
    <w:rsid w:val="00790B92"/>
    <w:rsid w:val="00790C04"/>
    <w:rsid w:val="00790C98"/>
    <w:rsid w:val="00790CAA"/>
    <w:rsid w:val="00790CAF"/>
    <w:rsid w:val="00790CE2"/>
    <w:rsid w:val="00790D06"/>
    <w:rsid w:val="00790D37"/>
    <w:rsid w:val="00790D74"/>
    <w:rsid w:val="00790E95"/>
    <w:rsid w:val="00790F90"/>
    <w:rsid w:val="0079106B"/>
    <w:rsid w:val="0079111F"/>
    <w:rsid w:val="00791134"/>
    <w:rsid w:val="007911EA"/>
    <w:rsid w:val="007911FC"/>
    <w:rsid w:val="00791220"/>
    <w:rsid w:val="007912C4"/>
    <w:rsid w:val="007913CC"/>
    <w:rsid w:val="0079140D"/>
    <w:rsid w:val="0079141A"/>
    <w:rsid w:val="00791427"/>
    <w:rsid w:val="00791537"/>
    <w:rsid w:val="00791543"/>
    <w:rsid w:val="007915A6"/>
    <w:rsid w:val="007916CF"/>
    <w:rsid w:val="00791743"/>
    <w:rsid w:val="0079181C"/>
    <w:rsid w:val="007918D3"/>
    <w:rsid w:val="0079196B"/>
    <w:rsid w:val="00791977"/>
    <w:rsid w:val="00791AC2"/>
    <w:rsid w:val="00791B57"/>
    <w:rsid w:val="00791B85"/>
    <w:rsid w:val="00791C50"/>
    <w:rsid w:val="00791CE0"/>
    <w:rsid w:val="00791CE5"/>
    <w:rsid w:val="00791DD5"/>
    <w:rsid w:val="00791E12"/>
    <w:rsid w:val="00791ED7"/>
    <w:rsid w:val="00791F14"/>
    <w:rsid w:val="00792038"/>
    <w:rsid w:val="0079207E"/>
    <w:rsid w:val="007920E1"/>
    <w:rsid w:val="0079212A"/>
    <w:rsid w:val="0079213E"/>
    <w:rsid w:val="0079216A"/>
    <w:rsid w:val="00792278"/>
    <w:rsid w:val="007922F4"/>
    <w:rsid w:val="00792319"/>
    <w:rsid w:val="0079231F"/>
    <w:rsid w:val="00792357"/>
    <w:rsid w:val="007923BA"/>
    <w:rsid w:val="0079242D"/>
    <w:rsid w:val="007924BA"/>
    <w:rsid w:val="0079256A"/>
    <w:rsid w:val="00792665"/>
    <w:rsid w:val="0079266C"/>
    <w:rsid w:val="00792803"/>
    <w:rsid w:val="0079281F"/>
    <w:rsid w:val="00792820"/>
    <w:rsid w:val="00792894"/>
    <w:rsid w:val="007928A9"/>
    <w:rsid w:val="00792933"/>
    <w:rsid w:val="00792964"/>
    <w:rsid w:val="007929F7"/>
    <w:rsid w:val="00792A38"/>
    <w:rsid w:val="00792AF0"/>
    <w:rsid w:val="00792B6C"/>
    <w:rsid w:val="00792BBC"/>
    <w:rsid w:val="00792BFE"/>
    <w:rsid w:val="00792C8E"/>
    <w:rsid w:val="00792E42"/>
    <w:rsid w:val="00792E6D"/>
    <w:rsid w:val="00792EFF"/>
    <w:rsid w:val="00792F24"/>
    <w:rsid w:val="00792FD3"/>
    <w:rsid w:val="0079302A"/>
    <w:rsid w:val="00793044"/>
    <w:rsid w:val="00793186"/>
    <w:rsid w:val="00793195"/>
    <w:rsid w:val="00793200"/>
    <w:rsid w:val="00793209"/>
    <w:rsid w:val="00793260"/>
    <w:rsid w:val="00793294"/>
    <w:rsid w:val="00793295"/>
    <w:rsid w:val="0079331A"/>
    <w:rsid w:val="007933A5"/>
    <w:rsid w:val="00793479"/>
    <w:rsid w:val="00793494"/>
    <w:rsid w:val="007934C4"/>
    <w:rsid w:val="00793511"/>
    <w:rsid w:val="00793575"/>
    <w:rsid w:val="0079357C"/>
    <w:rsid w:val="0079357F"/>
    <w:rsid w:val="007935CE"/>
    <w:rsid w:val="007935D7"/>
    <w:rsid w:val="00793675"/>
    <w:rsid w:val="007936EE"/>
    <w:rsid w:val="00793763"/>
    <w:rsid w:val="00793788"/>
    <w:rsid w:val="007937F3"/>
    <w:rsid w:val="0079382A"/>
    <w:rsid w:val="00793838"/>
    <w:rsid w:val="0079388F"/>
    <w:rsid w:val="007938A4"/>
    <w:rsid w:val="00793910"/>
    <w:rsid w:val="00793A1E"/>
    <w:rsid w:val="00793A41"/>
    <w:rsid w:val="00793A71"/>
    <w:rsid w:val="00793BAA"/>
    <w:rsid w:val="00793C02"/>
    <w:rsid w:val="00793C43"/>
    <w:rsid w:val="00793C4F"/>
    <w:rsid w:val="00793C58"/>
    <w:rsid w:val="00793CED"/>
    <w:rsid w:val="00793D34"/>
    <w:rsid w:val="00793D6C"/>
    <w:rsid w:val="00793DB9"/>
    <w:rsid w:val="00793DF2"/>
    <w:rsid w:val="00793E01"/>
    <w:rsid w:val="00793E06"/>
    <w:rsid w:val="00793E19"/>
    <w:rsid w:val="00793ED0"/>
    <w:rsid w:val="00793F58"/>
    <w:rsid w:val="00793FAC"/>
    <w:rsid w:val="00794050"/>
    <w:rsid w:val="007940B8"/>
    <w:rsid w:val="00794151"/>
    <w:rsid w:val="007941B6"/>
    <w:rsid w:val="007941DD"/>
    <w:rsid w:val="00794218"/>
    <w:rsid w:val="00794255"/>
    <w:rsid w:val="007942C3"/>
    <w:rsid w:val="00794301"/>
    <w:rsid w:val="0079440D"/>
    <w:rsid w:val="00794448"/>
    <w:rsid w:val="007944B5"/>
    <w:rsid w:val="007944ED"/>
    <w:rsid w:val="007944EE"/>
    <w:rsid w:val="00794567"/>
    <w:rsid w:val="00794578"/>
    <w:rsid w:val="0079461A"/>
    <w:rsid w:val="007946A6"/>
    <w:rsid w:val="0079477B"/>
    <w:rsid w:val="007947B2"/>
    <w:rsid w:val="007947DF"/>
    <w:rsid w:val="00794862"/>
    <w:rsid w:val="00794908"/>
    <w:rsid w:val="00794971"/>
    <w:rsid w:val="007949BE"/>
    <w:rsid w:val="00794AB9"/>
    <w:rsid w:val="00794ABA"/>
    <w:rsid w:val="00794AF9"/>
    <w:rsid w:val="00794AFB"/>
    <w:rsid w:val="00794B09"/>
    <w:rsid w:val="00794B88"/>
    <w:rsid w:val="00794BFF"/>
    <w:rsid w:val="00794E06"/>
    <w:rsid w:val="00794EA8"/>
    <w:rsid w:val="00794EFD"/>
    <w:rsid w:val="00794FC9"/>
    <w:rsid w:val="00794FE5"/>
    <w:rsid w:val="00795024"/>
    <w:rsid w:val="00795123"/>
    <w:rsid w:val="00795135"/>
    <w:rsid w:val="00795205"/>
    <w:rsid w:val="00795217"/>
    <w:rsid w:val="007952CB"/>
    <w:rsid w:val="007953AF"/>
    <w:rsid w:val="0079548D"/>
    <w:rsid w:val="00795558"/>
    <w:rsid w:val="0079556F"/>
    <w:rsid w:val="0079561E"/>
    <w:rsid w:val="0079562E"/>
    <w:rsid w:val="00795636"/>
    <w:rsid w:val="007956AB"/>
    <w:rsid w:val="00795710"/>
    <w:rsid w:val="00795758"/>
    <w:rsid w:val="00795763"/>
    <w:rsid w:val="007957B1"/>
    <w:rsid w:val="007957FA"/>
    <w:rsid w:val="00795833"/>
    <w:rsid w:val="007958D4"/>
    <w:rsid w:val="0079590E"/>
    <w:rsid w:val="00795970"/>
    <w:rsid w:val="00795999"/>
    <w:rsid w:val="007959D7"/>
    <w:rsid w:val="00795A13"/>
    <w:rsid w:val="00795A3E"/>
    <w:rsid w:val="00795A54"/>
    <w:rsid w:val="00795A8A"/>
    <w:rsid w:val="00795AAD"/>
    <w:rsid w:val="00795AC6"/>
    <w:rsid w:val="00795B14"/>
    <w:rsid w:val="00795B67"/>
    <w:rsid w:val="00795BB0"/>
    <w:rsid w:val="00795C7D"/>
    <w:rsid w:val="00795CED"/>
    <w:rsid w:val="00795CEE"/>
    <w:rsid w:val="00795D93"/>
    <w:rsid w:val="00795E87"/>
    <w:rsid w:val="00795EC8"/>
    <w:rsid w:val="00795F58"/>
    <w:rsid w:val="00795FE5"/>
    <w:rsid w:val="007960A9"/>
    <w:rsid w:val="0079614A"/>
    <w:rsid w:val="007961E8"/>
    <w:rsid w:val="00796245"/>
    <w:rsid w:val="0079626F"/>
    <w:rsid w:val="00796320"/>
    <w:rsid w:val="00796333"/>
    <w:rsid w:val="0079635A"/>
    <w:rsid w:val="0079637F"/>
    <w:rsid w:val="007963EA"/>
    <w:rsid w:val="0079647F"/>
    <w:rsid w:val="0079653A"/>
    <w:rsid w:val="0079658E"/>
    <w:rsid w:val="007965B7"/>
    <w:rsid w:val="00796625"/>
    <w:rsid w:val="0079665B"/>
    <w:rsid w:val="007966E8"/>
    <w:rsid w:val="0079678A"/>
    <w:rsid w:val="00796812"/>
    <w:rsid w:val="00796837"/>
    <w:rsid w:val="007968DD"/>
    <w:rsid w:val="007968F1"/>
    <w:rsid w:val="0079694E"/>
    <w:rsid w:val="00796957"/>
    <w:rsid w:val="00796989"/>
    <w:rsid w:val="007969E9"/>
    <w:rsid w:val="007969FF"/>
    <w:rsid w:val="00796A15"/>
    <w:rsid w:val="00796A18"/>
    <w:rsid w:val="00796ADB"/>
    <w:rsid w:val="00796B10"/>
    <w:rsid w:val="00796C3A"/>
    <w:rsid w:val="00796C47"/>
    <w:rsid w:val="00796CAD"/>
    <w:rsid w:val="00796D77"/>
    <w:rsid w:val="00796DA7"/>
    <w:rsid w:val="00796DEF"/>
    <w:rsid w:val="00796E32"/>
    <w:rsid w:val="00796E4F"/>
    <w:rsid w:val="00796ECA"/>
    <w:rsid w:val="00796F02"/>
    <w:rsid w:val="00797030"/>
    <w:rsid w:val="007970FE"/>
    <w:rsid w:val="0079720E"/>
    <w:rsid w:val="007972A0"/>
    <w:rsid w:val="007972D5"/>
    <w:rsid w:val="00797316"/>
    <w:rsid w:val="007973B7"/>
    <w:rsid w:val="007974C9"/>
    <w:rsid w:val="007974E0"/>
    <w:rsid w:val="0079752A"/>
    <w:rsid w:val="0079758E"/>
    <w:rsid w:val="00797596"/>
    <w:rsid w:val="00797663"/>
    <w:rsid w:val="0079766D"/>
    <w:rsid w:val="007976F4"/>
    <w:rsid w:val="00797702"/>
    <w:rsid w:val="00797718"/>
    <w:rsid w:val="00797737"/>
    <w:rsid w:val="0079775D"/>
    <w:rsid w:val="007977BE"/>
    <w:rsid w:val="007977E1"/>
    <w:rsid w:val="00797840"/>
    <w:rsid w:val="0079786A"/>
    <w:rsid w:val="00797887"/>
    <w:rsid w:val="007978E0"/>
    <w:rsid w:val="00797924"/>
    <w:rsid w:val="0079797D"/>
    <w:rsid w:val="007979D4"/>
    <w:rsid w:val="007979F4"/>
    <w:rsid w:val="00797A0B"/>
    <w:rsid w:val="00797A22"/>
    <w:rsid w:val="00797A49"/>
    <w:rsid w:val="00797B70"/>
    <w:rsid w:val="00797B8B"/>
    <w:rsid w:val="00797BCC"/>
    <w:rsid w:val="00797CA2"/>
    <w:rsid w:val="00797CB4"/>
    <w:rsid w:val="00797D2C"/>
    <w:rsid w:val="00797DDB"/>
    <w:rsid w:val="00797E34"/>
    <w:rsid w:val="00797F60"/>
    <w:rsid w:val="007A0000"/>
    <w:rsid w:val="007A0026"/>
    <w:rsid w:val="007A007E"/>
    <w:rsid w:val="007A010A"/>
    <w:rsid w:val="007A014C"/>
    <w:rsid w:val="007A0193"/>
    <w:rsid w:val="007A01BD"/>
    <w:rsid w:val="007A022E"/>
    <w:rsid w:val="007A024E"/>
    <w:rsid w:val="007A02CF"/>
    <w:rsid w:val="007A0365"/>
    <w:rsid w:val="007A03BF"/>
    <w:rsid w:val="007A04B8"/>
    <w:rsid w:val="007A04CA"/>
    <w:rsid w:val="007A04E1"/>
    <w:rsid w:val="007A0635"/>
    <w:rsid w:val="007A06E7"/>
    <w:rsid w:val="007A0724"/>
    <w:rsid w:val="007A0779"/>
    <w:rsid w:val="007A0799"/>
    <w:rsid w:val="007A07B8"/>
    <w:rsid w:val="007A0813"/>
    <w:rsid w:val="007A09A4"/>
    <w:rsid w:val="007A09F5"/>
    <w:rsid w:val="007A09FA"/>
    <w:rsid w:val="007A09FC"/>
    <w:rsid w:val="007A0AD0"/>
    <w:rsid w:val="007A0AE5"/>
    <w:rsid w:val="007A0C06"/>
    <w:rsid w:val="007A0C40"/>
    <w:rsid w:val="007A0DF4"/>
    <w:rsid w:val="007A0E24"/>
    <w:rsid w:val="007A0E3A"/>
    <w:rsid w:val="007A0E45"/>
    <w:rsid w:val="007A0E5A"/>
    <w:rsid w:val="007A0F18"/>
    <w:rsid w:val="007A0F55"/>
    <w:rsid w:val="007A0FB5"/>
    <w:rsid w:val="007A0FCD"/>
    <w:rsid w:val="007A0FFD"/>
    <w:rsid w:val="007A107C"/>
    <w:rsid w:val="007A10E1"/>
    <w:rsid w:val="007A114C"/>
    <w:rsid w:val="007A1159"/>
    <w:rsid w:val="007A1186"/>
    <w:rsid w:val="007A1198"/>
    <w:rsid w:val="007A120B"/>
    <w:rsid w:val="007A1224"/>
    <w:rsid w:val="007A1275"/>
    <w:rsid w:val="007A127E"/>
    <w:rsid w:val="007A133B"/>
    <w:rsid w:val="007A1400"/>
    <w:rsid w:val="007A1449"/>
    <w:rsid w:val="007A1481"/>
    <w:rsid w:val="007A14CA"/>
    <w:rsid w:val="007A14DA"/>
    <w:rsid w:val="007A14F8"/>
    <w:rsid w:val="007A150D"/>
    <w:rsid w:val="007A155E"/>
    <w:rsid w:val="007A15A3"/>
    <w:rsid w:val="007A1637"/>
    <w:rsid w:val="007A1660"/>
    <w:rsid w:val="007A171C"/>
    <w:rsid w:val="007A1795"/>
    <w:rsid w:val="007A17E7"/>
    <w:rsid w:val="007A1849"/>
    <w:rsid w:val="007A185B"/>
    <w:rsid w:val="007A187F"/>
    <w:rsid w:val="007A189D"/>
    <w:rsid w:val="007A191C"/>
    <w:rsid w:val="007A193B"/>
    <w:rsid w:val="007A1973"/>
    <w:rsid w:val="007A198E"/>
    <w:rsid w:val="007A19D8"/>
    <w:rsid w:val="007A1A29"/>
    <w:rsid w:val="007A1AA1"/>
    <w:rsid w:val="007A1ABC"/>
    <w:rsid w:val="007A1AF1"/>
    <w:rsid w:val="007A1C98"/>
    <w:rsid w:val="007A1CA2"/>
    <w:rsid w:val="007A1D25"/>
    <w:rsid w:val="007A1DAD"/>
    <w:rsid w:val="007A1E26"/>
    <w:rsid w:val="007A1EE7"/>
    <w:rsid w:val="007A1F13"/>
    <w:rsid w:val="007A1F95"/>
    <w:rsid w:val="007A1FB8"/>
    <w:rsid w:val="007A201D"/>
    <w:rsid w:val="007A205F"/>
    <w:rsid w:val="007A2170"/>
    <w:rsid w:val="007A21DA"/>
    <w:rsid w:val="007A2240"/>
    <w:rsid w:val="007A22BF"/>
    <w:rsid w:val="007A22FE"/>
    <w:rsid w:val="007A2313"/>
    <w:rsid w:val="007A2320"/>
    <w:rsid w:val="007A235F"/>
    <w:rsid w:val="007A236A"/>
    <w:rsid w:val="007A238A"/>
    <w:rsid w:val="007A23EF"/>
    <w:rsid w:val="007A242C"/>
    <w:rsid w:val="007A24B1"/>
    <w:rsid w:val="007A254B"/>
    <w:rsid w:val="007A255C"/>
    <w:rsid w:val="007A2586"/>
    <w:rsid w:val="007A25FA"/>
    <w:rsid w:val="007A2613"/>
    <w:rsid w:val="007A269C"/>
    <w:rsid w:val="007A26CA"/>
    <w:rsid w:val="007A26F0"/>
    <w:rsid w:val="007A2730"/>
    <w:rsid w:val="007A2787"/>
    <w:rsid w:val="007A278D"/>
    <w:rsid w:val="007A2897"/>
    <w:rsid w:val="007A2905"/>
    <w:rsid w:val="007A299C"/>
    <w:rsid w:val="007A29A8"/>
    <w:rsid w:val="007A2A21"/>
    <w:rsid w:val="007A2BA4"/>
    <w:rsid w:val="007A2BB9"/>
    <w:rsid w:val="007A2C3C"/>
    <w:rsid w:val="007A2DDF"/>
    <w:rsid w:val="007A2DFD"/>
    <w:rsid w:val="007A2E2F"/>
    <w:rsid w:val="007A2E6C"/>
    <w:rsid w:val="007A2EA3"/>
    <w:rsid w:val="007A2EB1"/>
    <w:rsid w:val="007A2EE3"/>
    <w:rsid w:val="007A2F3B"/>
    <w:rsid w:val="007A3091"/>
    <w:rsid w:val="007A30DE"/>
    <w:rsid w:val="007A30EF"/>
    <w:rsid w:val="007A315A"/>
    <w:rsid w:val="007A315F"/>
    <w:rsid w:val="007A317D"/>
    <w:rsid w:val="007A3184"/>
    <w:rsid w:val="007A31E7"/>
    <w:rsid w:val="007A327F"/>
    <w:rsid w:val="007A32E4"/>
    <w:rsid w:val="007A32E8"/>
    <w:rsid w:val="007A33F8"/>
    <w:rsid w:val="007A3430"/>
    <w:rsid w:val="007A3499"/>
    <w:rsid w:val="007A35CA"/>
    <w:rsid w:val="007A36DC"/>
    <w:rsid w:val="007A372E"/>
    <w:rsid w:val="007A37B4"/>
    <w:rsid w:val="007A388D"/>
    <w:rsid w:val="007A38E1"/>
    <w:rsid w:val="007A38FC"/>
    <w:rsid w:val="007A3936"/>
    <w:rsid w:val="007A3940"/>
    <w:rsid w:val="007A3966"/>
    <w:rsid w:val="007A3A1E"/>
    <w:rsid w:val="007A3A36"/>
    <w:rsid w:val="007A3AF0"/>
    <w:rsid w:val="007A3B5D"/>
    <w:rsid w:val="007A3C00"/>
    <w:rsid w:val="007A3C02"/>
    <w:rsid w:val="007A3C82"/>
    <w:rsid w:val="007A3CCB"/>
    <w:rsid w:val="007A3CCE"/>
    <w:rsid w:val="007A3CEF"/>
    <w:rsid w:val="007A3D0D"/>
    <w:rsid w:val="007A3D6C"/>
    <w:rsid w:val="007A3DB8"/>
    <w:rsid w:val="007A3E0B"/>
    <w:rsid w:val="007A3E4E"/>
    <w:rsid w:val="007A3E73"/>
    <w:rsid w:val="007A3EA3"/>
    <w:rsid w:val="007A3F8A"/>
    <w:rsid w:val="007A405C"/>
    <w:rsid w:val="007A4081"/>
    <w:rsid w:val="007A40C7"/>
    <w:rsid w:val="007A40E3"/>
    <w:rsid w:val="007A412F"/>
    <w:rsid w:val="007A416F"/>
    <w:rsid w:val="007A41E0"/>
    <w:rsid w:val="007A420A"/>
    <w:rsid w:val="007A431C"/>
    <w:rsid w:val="007A431E"/>
    <w:rsid w:val="007A4350"/>
    <w:rsid w:val="007A439D"/>
    <w:rsid w:val="007A43EA"/>
    <w:rsid w:val="007A4408"/>
    <w:rsid w:val="007A4429"/>
    <w:rsid w:val="007A4492"/>
    <w:rsid w:val="007A44B2"/>
    <w:rsid w:val="007A44BB"/>
    <w:rsid w:val="007A44E8"/>
    <w:rsid w:val="007A456A"/>
    <w:rsid w:val="007A466B"/>
    <w:rsid w:val="007A46F9"/>
    <w:rsid w:val="007A473A"/>
    <w:rsid w:val="007A483A"/>
    <w:rsid w:val="007A489C"/>
    <w:rsid w:val="007A48AB"/>
    <w:rsid w:val="007A4950"/>
    <w:rsid w:val="007A4A48"/>
    <w:rsid w:val="007A4B5C"/>
    <w:rsid w:val="007A4C77"/>
    <w:rsid w:val="007A4CBC"/>
    <w:rsid w:val="007A4D00"/>
    <w:rsid w:val="007A4D2F"/>
    <w:rsid w:val="007A4D7E"/>
    <w:rsid w:val="007A4DD2"/>
    <w:rsid w:val="007A4EE3"/>
    <w:rsid w:val="007A4F42"/>
    <w:rsid w:val="007A4F84"/>
    <w:rsid w:val="007A501D"/>
    <w:rsid w:val="007A507D"/>
    <w:rsid w:val="007A50F7"/>
    <w:rsid w:val="007A5113"/>
    <w:rsid w:val="007A5143"/>
    <w:rsid w:val="007A5156"/>
    <w:rsid w:val="007A5214"/>
    <w:rsid w:val="007A5247"/>
    <w:rsid w:val="007A5255"/>
    <w:rsid w:val="007A526D"/>
    <w:rsid w:val="007A52FB"/>
    <w:rsid w:val="007A53AB"/>
    <w:rsid w:val="007A5454"/>
    <w:rsid w:val="007A54D1"/>
    <w:rsid w:val="007A5568"/>
    <w:rsid w:val="007A571B"/>
    <w:rsid w:val="007A5744"/>
    <w:rsid w:val="007A5817"/>
    <w:rsid w:val="007A5833"/>
    <w:rsid w:val="007A58AF"/>
    <w:rsid w:val="007A58B4"/>
    <w:rsid w:val="007A5919"/>
    <w:rsid w:val="007A592B"/>
    <w:rsid w:val="007A5961"/>
    <w:rsid w:val="007A5990"/>
    <w:rsid w:val="007A5998"/>
    <w:rsid w:val="007A5A2F"/>
    <w:rsid w:val="007A5A66"/>
    <w:rsid w:val="007A5ABB"/>
    <w:rsid w:val="007A5ABD"/>
    <w:rsid w:val="007A5B0C"/>
    <w:rsid w:val="007A5B2D"/>
    <w:rsid w:val="007A5B6B"/>
    <w:rsid w:val="007A5C09"/>
    <w:rsid w:val="007A5CDA"/>
    <w:rsid w:val="007A5E3D"/>
    <w:rsid w:val="007A5F21"/>
    <w:rsid w:val="007A5F32"/>
    <w:rsid w:val="007A5F46"/>
    <w:rsid w:val="007A5FF4"/>
    <w:rsid w:val="007A6076"/>
    <w:rsid w:val="007A6100"/>
    <w:rsid w:val="007A6118"/>
    <w:rsid w:val="007A61AC"/>
    <w:rsid w:val="007A61F2"/>
    <w:rsid w:val="007A61F8"/>
    <w:rsid w:val="007A62AB"/>
    <w:rsid w:val="007A62EF"/>
    <w:rsid w:val="007A633E"/>
    <w:rsid w:val="007A63D9"/>
    <w:rsid w:val="007A645E"/>
    <w:rsid w:val="007A6460"/>
    <w:rsid w:val="007A6496"/>
    <w:rsid w:val="007A64C5"/>
    <w:rsid w:val="007A64D3"/>
    <w:rsid w:val="007A6544"/>
    <w:rsid w:val="007A657D"/>
    <w:rsid w:val="007A66B9"/>
    <w:rsid w:val="007A6743"/>
    <w:rsid w:val="007A6885"/>
    <w:rsid w:val="007A6929"/>
    <w:rsid w:val="007A6974"/>
    <w:rsid w:val="007A6A0C"/>
    <w:rsid w:val="007A6A13"/>
    <w:rsid w:val="007A6A9E"/>
    <w:rsid w:val="007A6AD6"/>
    <w:rsid w:val="007A6B66"/>
    <w:rsid w:val="007A6CA9"/>
    <w:rsid w:val="007A6D54"/>
    <w:rsid w:val="007A6D7F"/>
    <w:rsid w:val="007A6E1B"/>
    <w:rsid w:val="007A6EB4"/>
    <w:rsid w:val="007A6F19"/>
    <w:rsid w:val="007A6F31"/>
    <w:rsid w:val="007A703C"/>
    <w:rsid w:val="007A7074"/>
    <w:rsid w:val="007A70F5"/>
    <w:rsid w:val="007A711E"/>
    <w:rsid w:val="007A7184"/>
    <w:rsid w:val="007A71CB"/>
    <w:rsid w:val="007A71F0"/>
    <w:rsid w:val="007A7229"/>
    <w:rsid w:val="007A724B"/>
    <w:rsid w:val="007A72F2"/>
    <w:rsid w:val="007A7368"/>
    <w:rsid w:val="007A7370"/>
    <w:rsid w:val="007A73AF"/>
    <w:rsid w:val="007A73CF"/>
    <w:rsid w:val="007A7436"/>
    <w:rsid w:val="007A7443"/>
    <w:rsid w:val="007A747B"/>
    <w:rsid w:val="007A75AA"/>
    <w:rsid w:val="007A75AF"/>
    <w:rsid w:val="007A762A"/>
    <w:rsid w:val="007A7648"/>
    <w:rsid w:val="007A7679"/>
    <w:rsid w:val="007A769A"/>
    <w:rsid w:val="007A7716"/>
    <w:rsid w:val="007A772F"/>
    <w:rsid w:val="007A7735"/>
    <w:rsid w:val="007A7750"/>
    <w:rsid w:val="007A776A"/>
    <w:rsid w:val="007A7792"/>
    <w:rsid w:val="007A77EE"/>
    <w:rsid w:val="007A77F0"/>
    <w:rsid w:val="007A78B2"/>
    <w:rsid w:val="007A78C7"/>
    <w:rsid w:val="007A7936"/>
    <w:rsid w:val="007A7948"/>
    <w:rsid w:val="007A79AE"/>
    <w:rsid w:val="007A79CC"/>
    <w:rsid w:val="007A79DA"/>
    <w:rsid w:val="007A7A31"/>
    <w:rsid w:val="007A7A48"/>
    <w:rsid w:val="007A7B92"/>
    <w:rsid w:val="007A7BA9"/>
    <w:rsid w:val="007A7BCD"/>
    <w:rsid w:val="007A7BF0"/>
    <w:rsid w:val="007A7C6D"/>
    <w:rsid w:val="007A7CB4"/>
    <w:rsid w:val="007A7CC3"/>
    <w:rsid w:val="007A7D46"/>
    <w:rsid w:val="007A7D59"/>
    <w:rsid w:val="007A7E84"/>
    <w:rsid w:val="007A7EE6"/>
    <w:rsid w:val="007A7F6C"/>
    <w:rsid w:val="007A7FCE"/>
    <w:rsid w:val="007B00AA"/>
    <w:rsid w:val="007B0138"/>
    <w:rsid w:val="007B018D"/>
    <w:rsid w:val="007B01D9"/>
    <w:rsid w:val="007B0220"/>
    <w:rsid w:val="007B025E"/>
    <w:rsid w:val="007B02A0"/>
    <w:rsid w:val="007B0382"/>
    <w:rsid w:val="007B0392"/>
    <w:rsid w:val="007B03F0"/>
    <w:rsid w:val="007B03FD"/>
    <w:rsid w:val="007B0457"/>
    <w:rsid w:val="007B046C"/>
    <w:rsid w:val="007B047A"/>
    <w:rsid w:val="007B0503"/>
    <w:rsid w:val="007B0521"/>
    <w:rsid w:val="007B052C"/>
    <w:rsid w:val="007B053C"/>
    <w:rsid w:val="007B058A"/>
    <w:rsid w:val="007B0648"/>
    <w:rsid w:val="007B065D"/>
    <w:rsid w:val="007B066E"/>
    <w:rsid w:val="007B06CA"/>
    <w:rsid w:val="007B0793"/>
    <w:rsid w:val="007B079F"/>
    <w:rsid w:val="007B07B3"/>
    <w:rsid w:val="007B07FA"/>
    <w:rsid w:val="007B082A"/>
    <w:rsid w:val="007B0866"/>
    <w:rsid w:val="007B086B"/>
    <w:rsid w:val="007B0890"/>
    <w:rsid w:val="007B089A"/>
    <w:rsid w:val="007B0935"/>
    <w:rsid w:val="007B09A4"/>
    <w:rsid w:val="007B09D0"/>
    <w:rsid w:val="007B0A11"/>
    <w:rsid w:val="007B0A3F"/>
    <w:rsid w:val="007B0A9C"/>
    <w:rsid w:val="007B0BA9"/>
    <w:rsid w:val="007B0BB3"/>
    <w:rsid w:val="007B0BF9"/>
    <w:rsid w:val="007B0CC4"/>
    <w:rsid w:val="007B0CD0"/>
    <w:rsid w:val="007B0D67"/>
    <w:rsid w:val="007B0E33"/>
    <w:rsid w:val="007B0EF2"/>
    <w:rsid w:val="007B0F06"/>
    <w:rsid w:val="007B0F31"/>
    <w:rsid w:val="007B1005"/>
    <w:rsid w:val="007B1068"/>
    <w:rsid w:val="007B1074"/>
    <w:rsid w:val="007B10A1"/>
    <w:rsid w:val="007B10AA"/>
    <w:rsid w:val="007B1147"/>
    <w:rsid w:val="007B11A1"/>
    <w:rsid w:val="007B11C9"/>
    <w:rsid w:val="007B11E2"/>
    <w:rsid w:val="007B1203"/>
    <w:rsid w:val="007B127A"/>
    <w:rsid w:val="007B1293"/>
    <w:rsid w:val="007B12E2"/>
    <w:rsid w:val="007B130A"/>
    <w:rsid w:val="007B1347"/>
    <w:rsid w:val="007B1415"/>
    <w:rsid w:val="007B141F"/>
    <w:rsid w:val="007B156A"/>
    <w:rsid w:val="007B168B"/>
    <w:rsid w:val="007B16A5"/>
    <w:rsid w:val="007B16A7"/>
    <w:rsid w:val="007B16B6"/>
    <w:rsid w:val="007B16C4"/>
    <w:rsid w:val="007B1787"/>
    <w:rsid w:val="007B178B"/>
    <w:rsid w:val="007B17C4"/>
    <w:rsid w:val="007B17EA"/>
    <w:rsid w:val="007B1864"/>
    <w:rsid w:val="007B1871"/>
    <w:rsid w:val="007B18FE"/>
    <w:rsid w:val="007B1984"/>
    <w:rsid w:val="007B1995"/>
    <w:rsid w:val="007B1A36"/>
    <w:rsid w:val="007B1A44"/>
    <w:rsid w:val="007B1AFF"/>
    <w:rsid w:val="007B1B01"/>
    <w:rsid w:val="007B1B8E"/>
    <w:rsid w:val="007B1BFF"/>
    <w:rsid w:val="007B1C0A"/>
    <w:rsid w:val="007B1C43"/>
    <w:rsid w:val="007B1CB3"/>
    <w:rsid w:val="007B1E64"/>
    <w:rsid w:val="007B1F21"/>
    <w:rsid w:val="007B1F87"/>
    <w:rsid w:val="007B1FFF"/>
    <w:rsid w:val="007B201A"/>
    <w:rsid w:val="007B2087"/>
    <w:rsid w:val="007B2099"/>
    <w:rsid w:val="007B2199"/>
    <w:rsid w:val="007B219A"/>
    <w:rsid w:val="007B2255"/>
    <w:rsid w:val="007B23B7"/>
    <w:rsid w:val="007B2441"/>
    <w:rsid w:val="007B2492"/>
    <w:rsid w:val="007B24C9"/>
    <w:rsid w:val="007B250B"/>
    <w:rsid w:val="007B2515"/>
    <w:rsid w:val="007B253B"/>
    <w:rsid w:val="007B255E"/>
    <w:rsid w:val="007B25EE"/>
    <w:rsid w:val="007B2612"/>
    <w:rsid w:val="007B2645"/>
    <w:rsid w:val="007B2662"/>
    <w:rsid w:val="007B2666"/>
    <w:rsid w:val="007B269D"/>
    <w:rsid w:val="007B26B4"/>
    <w:rsid w:val="007B276C"/>
    <w:rsid w:val="007B277D"/>
    <w:rsid w:val="007B2781"/>
    <w:rsid w:val="007B27E0"/>
    <w:rsid w:val="007B2824"/>
    <w:rsid w:val="007B285B"/>
    <w:rsid w:val="007B2913"/>
    <w:rsid w:val="007B29CB"/>
    <w:rsid w:val="007B2A03"/>
    <w:rsid w:val="007B2A36"/>
    <w:rsid w:val="007B2B2C"/>
    <w:rsid w:val="007B2C4E"/>
    <w:rsid w:val="007B2D6C"/>
    <w:rsid w:val="007B2DB0"/>
    <w:rsid w:val="007B2F75"/>
    <w:rsid w:val="007B2FA7"/>
    <w:rsid w:val="007B2FC4"/>
    <w:rsid w:val="007B3085"/>
    <w:rsid w:val="007B30A4"/>
    <w:rsid w:val="007B30D1"/>
    <w:rsid w:val="007B31F8"/>
    <w:rsid w:val="007B3226"/>
    <w:rsid w:val="007B324B"/>
    <w:rsid w:val="007B3285"/>
    <w:rsid w:val="007B32AB"/>
    <w:rsid w:val="007B32F5"/>
    <w:rsid w:val="007B3324"/>
    <w:rsid w:val="007B3337"/>
    <w:rsid w:val="007B350B"/>
    <w:rsid w:val="007B352F"/>
    <w:rsid w:val="007B3569"/>
    <w:rsid w:val="007B3586"/>
    <w:rsid w:val="007B35A5"/>
    <w:rsid w:val="007B360D"/>
    <w:rsid w:val="007B3647"/>
    <w:rsid w:val="007B379E"/>
    <w:rsid w:val="007B37B0"/>
    <w:rsid w:val="007B3844"/>
    <w:rsid w:val="007B3897"/>
    <w:rsid w:val="007B38FC"/>
    <w:rsid w:val="007B3953"/>
    <w:rsid w:val="007B3A4D"/>
    <w:rsid w:val="007B3A71"/>
    <w:rsid w:val="007B3AC5"/>
    <w:rsid w:val="007B3B68"/>
    <w:rsid w:val="007B3B69"/>
    <w:rsid w:val="007B3BC4"/>
    <w:rsid w:val="007B3BF7"/>
    <w:rsid w:val="007B3C5F"/>
    <w:rsid w:val="007B3C99"/>
    <w:rsid w:val="007B3C9B"/>
    <w:rsid w:val="007B3C9E"/>
    <w:rsid w:val="007B3CD9"/>
    <w:rsid w:val="007B3D00"/>
    <w:rsid w:val="007B3D13"/>
    <w:rsid w:val="007B3D41"/>
    <w:rsid w:val="007B3D98"/>
    <w:rsid w:val="007B3DEE"/>
    <w:rsid w:val="007B3E12"/>
    <w:rsid w:val="007B3E9C"/>
    <w:rsid w:val="007B3EB3"/>
    <w:rsid w:val="007B3ED9"/>
    <w:rsid w:val="007B3F21"/>
    <w:rsid w:val="007B4079"/>
    <w:rsid w:val="007B4114"/>
    <w:rsid w:val="007B41A2"/>
    <w:rsid w:val="007B4258"/>
    <w:rsid w:val="007B42A9"/>
    <w:rsid w:val="007B4370"/>
    <w:rsid w:val="007B43C3"/>
    <w:rsid w:val="007B45A2"/>
    <w:rsid w:val="007B461D"/>
    <w:rsid w:val="007B46DF"/>
    <w:rsid w:val="007B474A"/>
    <w:rsid w:val="007B474C"/>
    <w:rsid w:val="007B4769"/>
    <w:rsid w:val="007B4807"/>
    <w:rsid w:val="007B482B"/>
    <w:rsid w:val="007B4830"/>
    <w:rsid w:val="007B48D7"/>
    <w:rsid w:val="007B48DC"/>
    <w:rsid w:val="007B48E7"/>
    <w:rsid w:val="007B4B08"/>
    <w:rsid w:val="007B4B3F"/>
    <w:rsid w:val="007B4B4D"/>
    <w:rsid w:val="007B4B5C"/>
    <w:rsid w:val="007B4B8F"/>
    <w:rsid w:val="007B4C30"/>
    <w:rsid w:val="007B4C34"/>
    <w:rsid w:val="007B4C45"/>
    <w:rsid w:val="007B4C9E"/>
    <w:rsid w:val="007B4F1B"/>
    <w:rsid w:val="007B4F3A"/>
    <w:rsid w:val="007B4F58"/>
    <w:rsid w:val="007B4F7B"/>
    <w:rsid w:val="007B5053"/>
    <w:rsid w:val="007B50AB"/>
    <w:rsid w:val="007B517C"/>
    <w:rsid w:val="007B51D6"/>
    <w:rsid w:val="007B51ED"/>
    <w:rsid w:val="007B54A1"/>
    <w:rsid w:val="007B54F9"/>
    <w:rsid w:val="007B552F"/>
    <w:rsid w:val="007B55AD"/>
    <w:rsid w:val="007B55C3"/>
    <w:rsid w:val="007B55D2"/>
    <w:rsid w:val="007B55DD"/>
    <w:rsid w:val="007B571B"/>
    <w:rsid w:val="007B571E"/>
    <w:rsid w:val="007B5753"/>
    <w:rsid w:val="007B5766"/>
    <w:rsid w:val="007B57A3"/>
    <w:rsid w:val="007B5825"/>
    <w:rsid w:val="007B5898"/>
    <w:rsid w:val="007B58B9"/>
    <w:rsid w:val="007B58C2"/>
    <w:rsid w:val="007B59F1"/>
    <w:rsid w:val="007B59FB"/>
    <w:rsid w:val="007B5A1A"/>
    <w:rsid w:val="007B5A45"/>
    <w:rsid w:val="007B5A6E"/>
    <w:rsid w:val="007B5B02"/>
    <w:rsid w:val="007B5B63"/>
    <w:rsid w:val="007B5B86"/>
    <w:rsid w:val="007B5BC7"/>
    <w:rsid w:val="007B5BFB"/>
    <w:rsid w:val="007B5C95"/>
    <w:rsid w:val="007B5CB7"/>
    <w:rsid w:val="007B5CBB"/>
    <w:rsid w:val="007B5DF1"/>
    <w:rsid w:val="007B5E16"/>
    <w:rsid w:val="007B5E40"/>
    <w:rsid w:val="007B5E8A"/>
    <w:rsid w:val="007B5E9B"/>
    <w:rsid w:val="007B5ECD"/>
    <w:rsid w:val="007B5ED4"/>
    <w:rsid w:val="007B5F40"/>
    <w:rsid w:val="007B5F44"/>
    <w:rsid w:val="007B5F57"/>
    <w:rsid w:val="007B5FB0"/>
    <w:rsid w:val="007B603E"/>
    <w:rsid w:val="007B60CA"/>
    <w:rsid w:val="007B6159"/>
    <w:rsid w:val="007B6182"/>
    <w:rsid w:val="007B61B7"/>
    <w:rsid w:val="007B63D5"/>
    <w:rsid w:val="007B640E"/>
    <w:rsid w:val="007B64B9"/>
    <w:rsid w:val="007B64F8"/>
    <w:rsid w:val="007B6519"/>
    <w:rsid w:val="007B652E"/>
    <w:rsid w:val="007B6555"/>
    <w:rsid w:val="007B658E"/>
    <w:rsid w:val="007B66AA"/>
    <w:rsid w:val="007B66CE"/>
    <w:rsid w:val="007B66D0"/>
    <w:rsid w:val="007B66F9"/>
    <w:rsid w:val="007B670C"/>
    <w:rsid w:val="007B6723"/>
    <w:rsid w:val="007B67E0"/>
    <w:rsid w:val="007B6886"/>
    <w:rsid w:val="007B69B0"/>
    <w:rsid w:val="007B6B38"/>
    <w:rsid w:val="007B6B39"/>
    <w:rsid w:val="007B6B7B"/>
    <w:rsid w:val="007B6BD0"/>
    <w:rsid w:val="007B6BD5"/>
    <w:rsid w:val="007B6CAA"/>
    <w:rsid w:val="007B6D23"/>
    <w:rsid w:val="007B6D29"/>
    <w:rsid w:val="007B6DE6"/>
    <w:rsid w:val="007B6EA5"/>
    <w:rsid w:val="007B6EA6"/>
    <w:rsid w:val="007B6EB8"/>
    <w:rsid w:val="007B6EBE"/>
    <w:rsid w:val="007B6F7C"/>
    <w:rsid w:val="007B6FA1"/>
    <w:rsid w:val="007B6FEF"/>
    <w:rsid w:val="007B7008"/>
    <w:rsid w:val="007B70C9"/>
    <w:rsid w:val="007B710B"/>
    <w:rsid w:val="007B713B"/>
    <w:rsid w:val="007B71EB"/>
    <w:rsid w:val="007B71FB"/>
    <w:rsid w:val="007B7215"/>
    <w:rsid w:val="007B7292"/>
    <w:rsid w:val="007B72AA"/>
    <w:rsid w:val="007B7366"/>
    <w:rsid w:val="007B737F"/>
    <w:rsid w:val="007B73CD"/>
    <w:rsid w:val="007B7408"/>
    <w:rsid w:val="007B7491"/>
    <w:rsid w:val="007B74F6"/>
    <w:rsid w:val="007B75DA"/>
    <w:rsid w:val="007B7689"/>
    <w:rsid w:val="007B76DB"/>
    <w:rsid w:val="007B770E"/>
    <w:rsid w:val="007B7730"/>
    <w:rsid w:val="007B7878"/>
    <w:rsid w:val="007B78E7"/>
    <w:rsid w:val="007B78F0"/>
    <w:rsid w:val="007B791E"/>
    <w:rsid w:val="007B7939"/>
    <w:rsid w:val="007B7952"/>
    <w:rsid w:val="007B799A"/>
    <w:rsid w:val="007B7AF9"/>
    <w:rsid w:val="007B7BBE"/>
    <w:rsid w:val="007B7CBF"/>
    <w:rsid w:val="007B7D75"/>
    <w:rsid w:val="007B7DAD"/>
    <w:rsid w:val="007B7DD1"/>
    <w:rsid w:val="007B7DD8"/>
    <w:rsid w:val="007B7DDB"/>
    <w:rsid w:val="007B7DDF"/>
    <w:rsid w:val="007B7F05"/>
    <w:rsid w:val="007B7FDE"/>
    <w:rsid w:val="007C00AD"/>
    <w:rsid w:val="007C0114"/>
    <w:rsid w:val="007C014D"/>
    <w:rsid w:val="007C018F"/>
    <w:rsid w:val="007C020D"/>
    <w:rsid w:val="007C0212"/>
    <w:rsid w:val="007C0237"/>
    <w:rsid w:val="007C0260"/>
    <w:rsid w:val="007C0278"/>
    <w:rsid w:val="007C02AC"/>
    <w:rsid w:val="007C02BD"/>
    <w:rsid w:val="007C02CC"/>
    <w:rsid w:val="007C02D2"/>
    <w:rsid w:val="007C02DA"/>
    <w:rsid w:val="007C038E"/>
    <w:rsid w:val="007C0397"/>
    <w:rsid w:val="007C041E"/>
    <w:rsid w:val="007C0449"/>
    <w:rsid w:val="007C048D"/>
    <w:rsid w:val="007C061B"/>
    <w:rsid w:val="007C068F"/>
    <w:rsid w:val="007C06B3"/>
    <w:rsid w:val="007C06B6"/>
    <w:rsid w:val="007C06F4"/>
    <w:rsid w:val="007C0724"/>
    <w:rsid w:val="007C07A3"/>
    <w:rsid w:val="007C07EE"/>
    <w:rsid w:val="007C083A"/>
    <w:rsid w:val="007C0864"/>
    <w:rsid w:val="007C0897"/>
    <w:rsid w:val="007C08C7"/>
    <w:rsid w:val="007C08CE"/>
    <w:rsid w:val="007C08E1"/>
    <w:rsid w:val="007C08EA"/>
    <w:rsid w:val="007C09EF"/>
    <w:rsid w:val="007C0A1B"/>
    <w:rsid w:val="007C0A1C"/>
    <w:rsid w:val="007C0A47"/>
    <w:rsid w:val="007C0AB6"/>
    <w:rsid w:val="007C0B06"/>
    <w:rsid w:val="007C0BA1"/>
    <w:rsid w:val="007C0CF7"/>
    <w:rsid w:val="007C0D11"/>
    <w:rsid w:val="007C0D43"/>
    <w:rsid w:val="007C0E01"/>
    <w:rsid w:val="007C0E88"/>
    <w:rsid w:val="007C0ED9"/>
    <w:rsid w:val="007C0F1C"/>
    <w:rsid w:val="007C0F30"/>
    <w:rsid w:val="007C0F57"/>
    <w:rsid w:val="007C0FA4"/>
    <w:rsid w:val="007C0FD1"/>
    <w:rsid w:val="007C1007"/>
    <w:rsid w:val="007C101B"/>
    <w:rsid w:val="007C10B6"/>
    <w:rsid w:val="007C1100"/>
    <w:rsid w:val="007C1106"/>
    <w:rsid w:val="007C114E"/>
    <w:rsid w:val="007C11B6"/>
    <w:rsid w:val="007C11BC"/>
    <w:rsid w:val="007C1368"/>
    <w:rsid w:val="007C138D"/>
    <w:rsid w:val="007C13BC"/>
    <w:rsid w:val="007C13E4"/>
    <w:rsid w:val="007C143D"/>
    <w:rsid w:val="007C1462"/>
    <w:rsid w:val="007C146A"/>
    <w:rsid w:val="007C1481"/>
    <w:rsid w:val="007C14EC"/>
    <w:rsid w:val="007C1511"/>
    <w:rsid w:val="007C1539"/>
    <w:rsid w:val="007C156B"/>
    <w:rsid w:val="007C1656"/>
    <w:rsid w:val="007C1720"/>
    <w:rsid w:val="007C1734"/>
    <w:rsid w:val="007C1755"/>
    <w:rsid w:val="007C17CC"/>
    <w:rsid w:val="007C181A"/>
    <w:rsid w:val="007C1918"/>
    <w:rsid w:val="007C194A"/>
    <w:rsid w:val="007C19B2"/>
    <w:rsid w:val="007C1A34"/>
    <w:rsid w:val="007C1A3B"/>
    <w:rsid w:val="007C1AD8"/>
    <w:rsid w:val="007C1BB6"/>
    <w:rsid w:val="007C1C39"/>
    <w:rsid w:val="007C1C55"/>
    <w:rsid w:val="007C1CA1"/>
    <w:rsid w:val="007C1CA6"/>
    <w:rsid w:val="007C1CAF"/>
    <w:rsid w:val="007C1CC2"/>
    <w:rsid w:val="007C1CF1"/>
    <w:rsid w:val="007C1D15"/>
    <w:rsid w:val="007C1DB9"/>
    <w:rsid w:val="007C1E49"/>
    <w:rsid w:val="007C1E72"/>
    <w:rsid w:val="007C1E97"/>
    <w:rsid w:val="007C1F47"/>
    <w:rsid w:val="007C2018"/>
    <w:rsid w:val="007C2019"/>
    <w:rsid w:val="007C2026"/>
    <w:rsid w:val="007C214F"/>
    <w:rsid w:val="007C2195"/>
    <w:rsid w:val="007C2216"/>
    <w:rsid w:val="007C2289"/>
    <w:rsid w:val="007C22BD"/>
    <w:rsid w:val="007C22DB"/>
    <w:rsid w:val="007C2316"/>
    <w:rsid w:val="007C235E"/>
    <w:rsid w:val="007C23B1"/>
    <w:rsid w:val="007C2406"/>
    <w:rsid w:val="007C2548"/>
    <w:rsid w:val="007C25EA"/>
    <w:rsid w:val="007C2732"/>
    <w:rsid w:val="007C27CD"/>
    <w:rsid w:val="007C2833"/>
    <w:rsid w:val="007C289D"/>
    <w:rsid w:val="007C28B0"/>
    <w:rsid w:val="007C28E8"/>
    <w:rsid w:val="007C2979"/>
    <w:rsid w:val="007C29A4"/>
    <w:rsid w:val="007C2A30"/>
    <w:rsid w:val="007C2A7B"/>
    <w:rsid w:val="007C2AA3"/>
    <w:rsid w:val="007C2AB0"/>
    <w:rsid w:val="007C2B9E"/>
    <w:rsid w:val="007C2D8C"/>
    <w:rsid w:val="007C2DD1"/>
    <w:rsid w:val="007C2DD6"/>
    <w:rsid w:val="007C2E21"/>
    <w:rsid w:val="007C2E67"/>
    <w:rsid w:val="007C2EB1"/>
    <w:rsid w:val="007C3108"/>
    <w:rsid w:val="007C3138"/>
    <w:rsid w:val="007C31CD"/>
    <w:rsid w:val="007C31DE"/>
    <w:rsid w:val="007C3286"/>
    <w:rsid w:val="007C3302"/>
    <w:rsid w:val="007C331B"/>
    <w:rsid w:val="007C333A"/>
    <w:rsid w:val="007C33CC"/>
    <w:rsid w:val="007C33F0"/>
    <w:rsid w:val="007C3505"/>
    <w:rsid w:val="007C356C"/>
    <w:rsid w:val="007C3574"/>
    <w:rsid w:val="007C359E"/>
    <w:rsid w:val="007C35FC"/>
    <w:rsid w:val="007C3601"/>
    <w:rsid w:val="007C3646"/>
    <w:rsid w:val="007C3661"/>
    <w:rsid w:val="007C36D3"/>
    <w:rsid w:val="007C37A2"/>
    <w:rsid w:val="007C37AB"/>
    <w:rsid w:val="007C37EF"/>
    <w:rsid w:val="007C384D"/>
    <w:rsid w:val="007C386B"/>
    <w:rsid w:val="007C3885"/>
    <w:rsid w:val="007C3891"/>
    <w:rsid w:val="007C38DA"/>
    <w:rsid w:val="007C38E0"/>
    <w:rsid w:val="007C39BB"/>
    <w:rsid w:val="007C3ABD"/>
    <w:rsid w:val="007C3AEF"/>
    <w:rsid w:val="007C3B5E"/>
    <w:rsid w:val="007C3B83"/>
    <w:rsid w:val="007C3BC8"/>
    <w:rsid w:val="007C3C5D"/>
    <w:rsid w:val="007C3D1E"/>
    <w:rsid w:val="007C3D41"/>
    <w:rsid w:val="007C3D89"/>
    <w:rsid w:val="007C3E7A"/>
    <w:rsid w:val="007C3EC5"/>
    <w:rsid w:val="007C3F1E"/>
    <w:rsid w:val="007C3F2B"/>
    <w:rsid w:val="007C3F46"/>
    <w:rsid w:val="007C3F4C"/>
    <w:rsid w:val="007C3FE6"/>
    <w:rsid w:val="007C401B"/>
    <w:rsid w:val="007C4023"/>
    <w:rsid w:val="007C4081"/>
    <w:rsid w:val="007C4086"/>
    <w:rsid w:val="007C40F8"/>
    <w:rsid w:val="007C4147"/>
    <w:rsid w:val="007C4158"/>
    <w:rsid w:val="007C41A3"/>
    <w:rsid w:val="007C41D6"/>
    <w:rsid w:val="007C423B"/>
    <w:rsid w:val="007C425F"/>
    <w:rsid w:val="007C42A7"/>
    <w:rsid w:val="007C42C2"/>
    <w:rsid w:val="007C4323"/>
    <w:rsid w:val="007C4348"/>
    <w:rsid w:val="007C4363"/>
    <w:rsid w:val="007C437A"/>
    <w:rsid w:val="007C43B1"/>
    <w:rsid w:val="007C43B5"/>
    <w:rsid w:val="007C4521"/>
    <w:rsid w:val="007C4531"/>
    <w:rsid w:val="007C4568"/>
    <w:rsid w:val="007C45A0"/>
    <w:rsid w:val="007C45E7"/>
    <w:rsid w:val="007C4671"/>
    <w:rsid w:val="007C472C"/>
    <w:rsid w:val="007C483C"/>
    <w:rsid w:val="007C4893"/>
    <w:rsid w:val="007C489E"/>
    <w:rsid w:val="007C48A4"/>
    <w:rsid w:val="007C48A9"/>
    <w:rsid w:val="007C491A"/>
    <w:rsid w:val="007C4948"/>
    <w:rsid w:val="007C49A6"/>
    <w:rsid w:val="007C49AA"/>
    <w:rsid w:val="007C49B6"/>
    <w:rsid w:val="007C49F1"/>
    <w:rsid w:val="007C4A5D"/>
    <w:rsid w:val="007C4ACB"/>
    <w:rsid w:val="007C4B21"/>
    <w:rsid w:val="007C4B38"/>
    <w:rsid w:val="007C4B98"/>
    <w:rsid w:val="007C4BD2"/>
    <w:rsid w:val="007C4C00"/>
    <w:rsid w:val="007C4C3F"/>
    <w:rsid w:val="007C4D09"/>
    <w:rsid w:val="007C4D39"/>
    <w:rsid w:val="007C4F04"/>
    <w:rsid w:val="007C4F3C"/>
    <w:rsid w:val="007C4FC6"/>
    <w:rsid w:val="007C5032"/>
    <w:rsid w:val="007C507F"/>
    <w:rsid w:val="007C5127"/>
    <w:rsid w:val="007C5156"/>
    <w:rsid w:val="007C517E"/>
    <w:rsid w:val="007C51B2"/>
    <w:rsid w:val="007C51E0"/>
    <w:rsid w:val="007C52FD"/>
    <w:rsid w:val="007C530C"/>
    <w:rsid w:val="007C533B"/>
    <w:rsid w:val="007C538C"/>
    <w:rsid w:val="007C53EB"/>
    <w:rsid w:val="007C541D"/>
    <w:rsid w:val="007C5447"/>
    <w:rsid w:val="007C54FD"/>
    <w:rsid w:val="007C5553"/>
    <w:rsid w:val="007C5619"/>
    <w:rsid w:val="007C5691"/>
    <w:rsid w:val="007C56A2"/>
    <w:rsid w:val="007C56C6"/>
    <w:rsid w:val="007C56F0"/>
    <w:rsid w:val="007C5741"/>
    <w:rsid w:val="007C5767"/>
    <w:rsid w:val="007C5785"/>
    <w:rsid w:val="007C57A6"/>
    <w:rsid w:val="007C57C4"/>
    <w:rsid w:val="007C580D"/>
    <w:rsid w:val="007C58A4"/>
    <w:rsid w:val="007C5906"/>
    <w:rsid w:val="007C5A53"/>
    <w:rsid w:val="007C5BF0"/>
    <w:rsid w:val="007C5C03"/>
    <w:rsid w:val="007C5C4A"/>
    <w:rsid w:val="007C5C71"/>
    <w:rsid w:val="007C5E29"/>
    <w:rsid w:val="007C5E97"/>
    <w:rsid w:val="007C5EA7"/>
    <w:rsid w:val="007C5F1B"/>
    <w:rsid w:val="007C5F6A"/>
    <w:rsid w:val="007C5F77"/>
    <w:rsid w:val="007C5F7B"/>
    <w:rsid w:val="007C5F9F"/>
    <w:rsid w:val="007C5FDE"/>
    <w:rsid w:val="007C6005"/>
    <w:rsid w:val="007C6024"/>
    <w:rsid w:val="007C608C"/>
    <w:rsid w:val="007C60EA"/>
    <w:rsid w:val="007C6146"/>
    <w:rsid w:val="007C616D"/>
    <w:rsid w:val="007C619E"/>
    <w:rsid w:val="007C61B5"/>
    <w:rsid w:val="007C61B9"/>
    <w:rsid w:val="007C62C0"/>
    <w:rsid w:val="007C62E2"/>
    <w:rsid w:val="007C6350"/>
    <w:rsid w:val="007C6375"/>
    <w:rsid w:val="007C63D8"/>
    <w:rsid w:val="007C640A"/>
    <w:rsid w:val="007C64F8"/>
    <w:rsid w:val="007C6537"/>
    <w:rsid w:val="007C661B"/>
    <w:rsid w:val="007C6627"/>
    <w:rsid w:val="007C6699"/>
    <w:rsid w:val="007C66EE"/>
    <w:rsid w:val="007C6704"/>
    <w:rsid w:val="007C672A"/>
    <w:rsid w:val="007C67A8"/>
    <w:rsid w:val="007C67B9"/>
    <w:rsid w:val="007C6800"/>
    <w:rsid w:val="007C6821"/>
    <w:rsid w:val="007C683B"/>
    <w:rsid w:val="007C68D2"/>
    <w:rsid w:val="007C68FF"/>
    <w:rsid w:val="007C6978"/>
    <w:rsid w:val="007C69F0"/>
    <w:rsid w:val="007C6A82"/>
    <w:rsid w:val="007C6AB2"/>
    <w:rsid w:val="007C6B3D"/>
    <w:rsid w:val="007C6C8D"/>
    <w:rsid w:val="007C6C8E"/>
    <w:rsid w:val="007C6CAE"/>
    <w:rsid w:val="007C6D09"/>
    <w:rsid w:val="007C6D25"/>
    <w:rsid w:val="007C6D63"/>
    <w:rsid w:val="007C6DAF"/>
    <w:rsid w:val="007C6DB6"/>
    <w:rsid w:val="007C6DDD"/>
    <w:rsid w:val="007C6E33"/>
    <w:rsid w:val="007C6E8D"/>
    <w:rsid w:val="007C6ED5"/>
    <w:rsid w:val="007C6F8E"/>
    <w:rsid w:val="007C702E"/>
    <w:rsid w:val="007C7064"/>
    <w:rsid w:val="007C706D"/>
    <w:rsid w:val="007C71F0"/>
    <w:rsid w:val="007C72F0"/>
    <w:rsid w:val="007C736D"/>
    <w:rsid w:val="007C7488"/>
    <w:rsid w:val="007C7494"/>
    <w:rsid w:val="007C74DC"/>
    <w:rsid w:val="007C74E2"/>
    <w:rsid w:val="007C750D"/>
    <w:rsid w:val="007C7597"/>
    <w:rsid w:val="007C75FB"/>
    <w:rsid w:val="007C760F"/>
    <w:rsid w:val="007C76CD"/>
    <w:rsid w:val="007C76D2"/>
    <w:rsid w:val="007C76DA"/>
    <w:rsid w:val="007C76E4"/>
    <w:rsid w:val="007C7749"/>
    <w:rsid w:val="007C77C2"/>
    <w:rsid w:val="007C782B"/>
    <w:rsid w:val="007C7857"/>
    <w:rsid w:val="007C7875"/>
    <w:rsid w:val="007C78F9"/>
    <w:rsid w:val="007C79E7"/>
    <w:rsid w:val="007C7A13"/>
    <w:rsid w:val="007C7AC3"/>
    <w:rsid w:val="007C7AD7"/>
    <w:rsid w:val="007C7B5D"/>
    <w:rsid w:val="007C7BD4"/>
    <w:rsid w:val="007C7BE9"/>
    <w:rsid w:val="007C7C39"/>
    <w:rsid w:val="007C7D2E"/>
    <w:rsid w:val="007C7DB5"/>
    <w:rsid w:val="007C7E1A"/>
    <w:rsid w:val="007C7E2A"/>
    <w:rsid w:val="007C7E95"/>
    <w:rsid w:val="007C7EA3"/>
    <w:rsid w:val="007C7EC5"/>
    <w:rsid w:val="007C7FE6"/>
    <w:rsid w:val="007D0000"/>
    <w:rsid w:val="007D0034"/>
    <w:rsid w:val="007D0043"/>
    <w:rsid w:val="007D0046"/>
    <w:rsid w:val="007D00A9"/>
    <w:rsid w:val="007D00E1"/>
    <w:rsid w:val="007D00EA"/>
    <w:rsid w:val="007D0201"/>
    <w:rsid w:val="007D0243"/>
    <w:rsid w:val="007D032A"/>
    <w:rsid w:val="007D0372"/>
    <w:rsid w:val="007D046B"/>
    <w:rsid w:val="007D04FB"/>
    <w:rsid w:val="007D0567"/>
    <w:rsid w:val="007D06B7"/>
    <w:rsid w:val="007D06DD"/>
    <w:rsid w:val="007D07E9"/>
    <w:rsid w:val="007D0810"/>
    <w:rsid w:val="007D083A"/>
    <w:rsid w:val="007D0882"/>
    <w:rsid w:val="007D08FA"/>
    <w:rsid w:val="007D08FE"/>
    <w:rsid w:val="007D0915"/>
    <w:rsid w:val="007D0928"/>
    <w:rsid w:val="007D0953"/>
    <w:rsid w:val="007D0A0A"/>
    <w:rsid w:val="007D0A52"/>
    <w:rsid w:val="007D0A83"/>
    <w:rsid w:val="007D0A8A"/>
    <w:rsid w:val="007D0AAB"/>
    <w:rsid w:val="007D0C9F"/>
    <w:rsid w:val="007D0CF4"/>
    <w:rsid w:val="007D0D4A"/>
    <w:rsid w:val="007D0D5F"/>
    <w:rsid w:val="007D0DD1"/>
    <w:rsid w:val="007D0DF7"/>
    <w:rsid w:val="007D0E6B"/>
    <w:rsid w:val="007D0EA4"/>
    <w:rsid w:val="007D0EDF"/>
    <w:rsid w:val="007D0FA6"/>
    <w:rsid w:val="007D0FC5"/>
    <w:rsid w:val="007D0FEF"/>
    <w:rsid w:val="007D0FF3"/>
    <w:rsid w:val="007D1047"/>
    <w:rsid w:val="007D10A8"/>
    <w:rsid w:val="007D118D"/>
    <w:rsid w:val="007D1198"/>
    <w:rsid w:val="007D132B"/>
    <w:rsid w:val="007D13C0"/>
    <w:rsid w:val="007D1557"/>
    <w:rsid w:val="007D159E"/>
    <w:rsid w:val="007D15A6"/>
    <w:rsid w:val="007D15B9"/>
    <w:rsid w:val="007D1650"/>
    <w:rsid w:val="007D16D1"/>
    <w:rsid w:val="007D1712"/>
    <w:rsid w:val="007D17C0"/>
    <w:rsid w:val="007D17DB"/>
    <w:rsid w:val="007D1800"/>
    <w:rsid w:val="007D18AC"/>
    <w:rsid w:val="007D18D5"/>
    <w:rsid w:val="007D1903"/>
    <w:rsid w:val="007D194B"/>
    <w:rsid w:val="007D1A83"/>
    <w:rsid w:val="007D1BDB"/>
    <w:rsid w:val="007D1BDD"/>
    <w:rsid w:val="007D1C0A"/>
    <w:rsid w:val="007D1C15"/>
    <w:rsid w:val="007D1C9C"/>
    <w:rsid w:val="007D1D3F"/>
    <w:rsid w:val="007D1D4C"/>
    <w:rsid w:val="007D1D71"/>
    <w:rsid w:val="007D1DD0"/>
    <w:rsid w:val="007D1E05"/>
    <w:rsid w:val="007D1E74"/>
    <w:rsid w:val="007D1FCD"/>
    <w:rsid w:val="007D1FF8"/>
    <w:rsid w:val="007D2005"/>
    <w:rsid w:val="007D2034"/>
    <w:rsid w:val="007D204D"/>
    <w:rsid w:val="007D208F"/>
    <w:rsid w:val="007D20A3"/>
    <w:rsid w:val="007D2103"/>
    <w:rsid w:val="007D210C"/>
    <w:rsid w:val="007D2139"/>
    <w:rsid w:val="007D2166"/>
    <w:rsid w:val="007D222F"/>
    <w:rsid w:val="007D2248"/>
    <w:rsid w:val="007D2256"/>
    <w:rsid w:val="007D2285"/>
    <w:rsid w:val="007D22E4"/>
    <w:rsid w:val="007D22E5"/>
    <w:rsid w:val="007D2348"/>
    <w:rsid w:val="007D23CF"/>
    <w:rsid w:val="007D2514"/>
    <w:rsid w:val="007D2524"/>
    <w:rsid w:val="007D2567"/>
    <w:rsid w:val="007D2591"/>
    <w:rsid w:val="007D26D1"/>
    <w:rsid w:val="007D26FF"/>
    <w:rsid w:val="007D2714"/>
    <w:rsid w:val="007D287E"/>
    <w:rsid w:val="007D2892"/>
    <w:rsid w:val="007D289B"/>
    <w:rsid w:val="007D28C2"/>
    <w:rsid w:val="007D28E1"/>
    <w:rsid w:val="007D296B"/>
    <w:rsid w:val="007D29A7"/>
    <w:rsid w:val="007D29C4"/>
    <w:rsid w:val="007D29DE"/>
    <w:rsid w:val="007D2A73"/>
    <w:rsid w:val="007D2A80"/>
    <w:rsid w:val="007D2B9C"/>
    <w:rsid w:val="007D2BA9"/>
    <w:rsid w:val="007D2BAB"/>
    <w:rsid w:val="007D2D94"/>
    <w:rsid w:val="007D2E6C"/>
    <w:rsid w:val="007D2E72"/>
    <w:rsid w:val="007D2EC0"/>
    <w:rsid w:val="007D2EC1"/>
    <w:rsid w:val="007D2EDB"/>
    <w:rsid w:val="007D2F76"/>
    <w:rsid w:val="007D2FD0"/>
    <w:rsid w:val="007D3074"/>
    <w:rsid w:val="007D308D"/>
    <w:rsid w:val="007D30BE"/>
    <w:rsid w:val="007D310F"/>
    <w:rsid w:val="007D31D3"/>
    <w:rsid w:val="007D31D5"/>
    <w:rsid w:val="007D3257"/>
    <w:rsid w:val="007D327F"/>
    <w:rsid w:val="007D32FD"/>
    <w:rsid w:val="007D32FF"/>
    <w:rsid w:val="007D3414"/>
    <w:rsid w:val="007D3463"/>
    <w:rsid w:val="007D3573"/>
    <w:rsid w:val="007D3575"/>
    <w:rsid w:val="007D357A"/>
    <w:rsid w:val="007D35DC"/>
    <w:rsid w:val="007D35DE"/>
    <w:rsid w:val="007D36DC"/>
    <w:rsid w:val="007D3823"/>
    <w:rsid w:val="007D3861"/>
    <w:rsid w:val="007D38A9"/>
    <w:rsid w:val="007D38B6"/>
    <w:rsid w:val="007D3996"/>
    <w:rsid w:val="007D3AC5"/>
    <w:rsid w:val="007D3B4C"/>
    <w:rsid w:val="007D3C2B"/>
    <w:rsid w:val="007D3C54"/>
    <w:rsid w:val="007D3C5C"/>
    <w:rsid w:val="007D3C5E"/>
    <w:rsid w:val="007D3C95"/>
    <w:rsid w:val="007D3CDA"/>
    <w:rsid w:val="007D3CFB"/>
    <w:rsid w:val="007D3D7D"/>
    <w:rsid w:val="007D3D86"/>
    <w:rsid w:val="007D3D97"/>
    <w:rsid w:val="007D3DD8"/>
    <w:rsid w:val="007D3DDF"/>
    <w:rsid w:val="007D3DE3"/>
    <w:rsid w:val="007D3E61"/>
    <w:rsid w:val="007D3EC9"/>
    <w:rsid w:val="007D3F15"/>
    <w:rsid w:val="007D3F88"/>
    <w:rsid w:val="007D3FBD"/>
    <w:rsid w:val="007D404C"/>
    <w:rsid w:val="007D4082"/>
    <w:rsid w:val="007D4096"/>
    <w:rsid w:val="007D40CF"/>
    <w:rsid w:val="007D40DE"/>
    <w:rsid w:val="007D4226"/>
    <w:rsid w:val="007D4231"/>
    <w:rsid w:val="007D42EB"/>
    <w:rsid w:val="007D4326"/>
    <w:rsid w:val="007D4347"/>
    <w:rsid w:val="007D436B"/>
    <w:rsid w:val="007D43B6"/>
    <w:rsid w:val="007D441A"/>
    <w:rsid w:val="007D442C"/>
    <w:rsid w:val="007D4492"/>
    <w:rsid w:val="007D44ED"/>
    <w:rsid w:val="007D45A1"/>
    <w:rsid w:val="007D462F"/>
    <w:rsid w:val="007D4649"/>
    <w:rsid w:val="007D46B9"/>
    <w:rsid w:val="007D46BB"/>
    <w:rsid w:val="007D46BF"/>
    <w:rsid w:val="007D474F"/>
    <w:rsid w:val="007D4751"/>
    <w:rsid w:val="007D4767"/>
    <w:rsid w:val="007D47AE"/>
    <w:rsid w:val="007D483C"/>
    <w:rsid w:val="007D4856"/>
    <w:rsid w:val="007D488C"/>
    <w:rsid w:val="007D48FF"/>
    <w:rsid w:val="007D4993"/>
    <w:rsid w:val="007D49CF"/>
    <w:rsid w:val="007D49DF"/>
    <w:rsid w:val="007D4A39"/>
    <w:rsid w:val="007D4A81"/>
    <w:rsid w:val="007D4B08"/>
    <w:rsid w:val="007D4B1C"/>
    <w:rsid w:val="007D4B94"/>
    <w:rsid w:val="007D4C21"/>
    <w:rsid w:val="007D4C39"/>
    <w:rsid w:val="007D4C3D"/>
    <w:rsid w:val="007D4C5E"/>
    <w:rsid w:val="007D4C98"/>
    <w:rsid w:val="007D4C9F"/>
    <w:rsid w:val="007D4D2E"/>
    <w:rsid w:val="007D4D4D"/>
    <w:rsid w:val="007D4DCA"/>
    <w:rsid w:val="007D4DDB"/>
    <w:rsid w:val="007D4DDD"/>
    <w:rsid w:val="007D4E47"/>
    <w:rsid w:val="007D4EEA"/>
    <w:rsid w:val="007D4F21"/>
    <w:rsid w:val="007D4F4A"/>
    <w:rsid w:val="007D4F86"/>
    <w:rsid w:val="007D5026"/>
    <w:rsid w:val="007D510C"/>
    <w:rsid w:val="007D51A3"/>
    <w:rsid w:val="007D51FA"/>
    <w:rsid w:val="007D5202"/>
    <w:rsid w:val="007D5217"/>
    <w:rsid w:val="007D521F"/>
    <w:rsid w:val="007D5254"/>
    <w:rsid w:val="007D5261"/>
    <w:rsid w:val="007D52FD"/>
    <w:rsid w:val="007D5354"/>
    <w:rsid w:val="007D5395"/>
    <w:rsid w:val="007D53D9"/>
    <w:rsid w:val="007D53E9"/>
    <w:rsid w:val="007D5491"/>
    <w:rsid w:val="007D5540"/>
    <w:rsid w:val="007D556D"/>
    <w:rsid w:val="007D55EB"/>
    <w:rsid w:val="007D56E3"/>
    <w:rsid w:val="007D570F"/>
    <w:rsid w:val="007D5717"/>
    <w:rsid w:val="007D5722"/>
    <w:rsid w:val="007D5738"/>
    <w:rsid w:val="007D5799"/>
    <w:rsid w:val="007D57E4"/>
    <w:rsid w:val="007D583C"/>
    <w:rsid w:val="007D5847"/>
    <w:rsid w:val="007D5863"/>
    <w:rsid w:val="007D589C"/>
    <w:rsid w:val="007D5964"/>
    <w:rsid w:val="007D5A49"/>
    <w:rsid w:val="007D5A8A"/>
    <w:rsid w:val="007D5AD5"/>
    <w:rsid w:val="007D5B33"/>
    <w:rsid w:val="007D5B6A"/>
    <w:rsid w:val="007D5B89"/>
    <w:rsid w:val="007D5C4B"/>
    <w:rsid w:val="007D5CD5"/>
    <w:rsid w:val="007D5D24"/>
    <w:rsid w:val="007D5DDE"/>
    <w:rsid w:val="007D5EB2"/>
    <w:rsid w:val="007D5EB6"/>
    <w:rsid w:val="007D5ECB"/>
    <w:rsid w:val="007D5F06"/>
    <w:rsid w:val="007D5F25"/>
    <w:rsid w:val="007D5F36"/>
    <w:rsid w:val="007D5FB6"/>
    <w:rsid w:val="007D6047"/>
    <w:rsid w:val="007D61B1"/>
    <w:rsid w:val="007D61BD"/>
    <w:rsid w:val="007D6220"/>
    <w:rsid w:val="007D622B"/>
    <w:rsid w:val="007D624D"/>
    <w:rsid w:val="007D6280"/>
    <w:rsid w:val="007D628C"/>
    <w:rsid w:val="007D62C8"/>
    <w:rsid w:val="007D6324"/>
    <w:rsid w:val="007D6363"/>
    <w:rsid w:val="007D6368"/>
    <w:rsid w:val="007D63C8"/>
    <w:rsid w:val="007D6468"/>
    <w:rsid w:val="007D64E0"/>
    <w:rsid w:val="007D64F4"/>
    <w:rsid w:val="007D6580"/>
    <w:rsid w:val="007D65A3"/>
    <w:rsid w:val="007D6606"/>
    <w:rsid w:val="007D660A"/>
    <w:rsid w:val="007D66F4"/>
    <w:rsid w:val="007D67CF"/>
    <w:rsid w:val="007D6825"/>
    <w:rsid w:val="007D6896"/>
    <w:rsid w:val="007D693E"/>
    <w:rsid w:val="007D6A0B"/>
    <w:rsid w:val="007D6A22"/>
    <w:rsid w:val="007D6A4D"/>
    <w:rsid w:val="007D6A8B"/>
    <w:rsid w:val="007D6B35"/>
    <w:rsid w:val="007D6BCE"/>
    <w:rsid w:val="007D6C50"/>
    <w:rsid w:val="007D6C5A"/>
    <w:rsid w:val="007D6CC0"/>
    <w:rsid w:val="007D6CD2"/>
    <w:rsid w:val="007D6DAB"/>
    <w:rsid w:val="007D6E9E"/>
    <w:rsid w:val="007D6F00"/>
    <w:rsid w:val="007D6F71"/>
    <w:rsid w:val="007D6FF5"/>
    <w:rsid w:val="007D7061"/>
    <w:rsid w:val="007D7097"/>
    <w:rsid w:val="007D718B"/>
    <w:rsid w:val="007D71A7"/>
    <w:rsid w:val="007D71B1"/>
    <w:rsid w:val="007D7266"/>
    <w:rsid w:val="007D7269"/>
    <w:rsid w:val="007D72A6"/>
    <w:rsid w:val="007D72B0"/>
    <w:rsid w:val="007D72F9"/>
    <w:rsid w:val="007D7319"/>
    <w:rsid w:val="007D7330"/>
    <w:rsid w:val="007D7492"/>
    <w:rsid w:val="007D74CD"/>
    <w:rsid w:val="007D7501"/>
    <w:rsid w:val="007D767A"/>
    <w:rsid w:val="007D76C3"/>
    <w:rsid w:val="007D76CC"/>
    <w:rsid w:val="007D76EF"/>
    <w:rsid w:val="007D770B"/>
    <w:rsid w:val="007D773F"/>
    <w:rsid w:val="007D7780"/>
    <w:rsid w:val="007D77B3"/>
    <w:rsid w:val="007D7861"/>
    <w:rsid w:val="007D794E"/>
    <w:rsid w:val="007D7952"/>
    <w:rsid w:val="007D79B9"/>
    <w:rsid w:val="007D7A0F"/>
    <w:rsid w:val="007D7A6E"/>
    <w:rsid w:val="007D7AA4"/>
    <w:rsid w:val="007D7AD8"/>
    <w:rsid w:val="007D7AE6"/>
    <w:rsid w:val="007D7B90"/>
    <w:rsid w:val="007D7BFA"/>
    <w:rsid w:val="007D7BFF"/>
    <w:rsid w:val="007D7C19"/>
    <w:rsid w:val="007D7C3E"/>
    <w:rsid w:val="007D7D0D"/>
    <w:rsid w:val="007D7D45"/>
    <w:rsid w:val="007D7D57"/>
    <w:rsid w:val="007D7E44"/>
    <w:rsid w:val="007D7E77"/>
    <w:rsid w:val="007D7EC5"/>
    <w:rsid w:val="007D7F72"/>
    <w:rsid w:val="007D7F7C"/>
    <w:rsid w:val="007D7FD4"/>
    <w:rsid w:val="007E002A"/>
    <w:rsid w:val="007E0054"/>
    <w:rsid w:val="007E00C0"/>
    <w:rsid w:val="007E00D4"/>
    <w:rsid w:val="007E00F2"/>
    <w:rsid w:val="007E0193"/>
    <w:rsid w:val="007E0200"/>
    <w:rsid w:val="007E0245"/>
    <w:rsid w:val="007E0269"/>
    <w:rsid w:val="007E02BD"/>
    <w:rsid w:val="007E030E"/>
    <w:rsid w:val="007E0337"/>
    <w:rsid w:val="007E0378"/>
    <w:rsid w:val="007E0388"/>
    <w:rsid w:val="007E03BB"/>
    <w:rsid w:val="007E041F"/>
    <w:rsid w:val="007E0428"/>
    <w:rsid w:val="007E0456"/>
    <w:rsid w:val="007E045D"/>
    <w:rsid w:val="007E04E2"/>
    <w:rsid w:val="007E0509"/>
    <w:rsid w:val="007E05B3"/>
    <w:rsid w:val="007E06DD"/>
    <w:rsid w:val="007E0715"/>
    <w:rsid w:val="007E074E"/>
    <w:rsid w:val="007E0754"/>
    <w:rsid w:val="007E0789"/>
    <w:rsid w:val="007E0800"/>
    <w:rsid w:val="007E0814"/>
    <w:rsid w:val="007E0848"/>
    <w:rsid w:val="007E0855"/>
    <w:rsid w:val="007E096A"/>
    <w:rsid w:val="007E09B7"/>
    <w:rsid w:val="007E09D9"/>
    <w:rsid w:val="007E0A21"/>
    <w:rsid w:val="007E0ADB"/>
    <w:rsid w:val="007E0AF5"/>
    <w:rsid w:val="007E0BC5"/>
    <w:rsid w:val="007E0BF8"/>
    <w:rsid w:val="007E0D37"/>
    <w:rsid w:val="007E0D6D"/>
    <w:rsid w:val="007E0E01"/>
    <w:rsid w:val="007E0E30"/>
    <w:rsid w:val="007E0ED0"/>
    <w:rsid w:val="007E0ED1"/>
    <w:rsid w:val="007E0EE1"/>
    <w:rsid w:val="007E0F53"/>
    <w:rsid w:val="007E0F65"/>
    <w:rsid w:val="007E102D"/>
    <w:rsid w:val="007E109B"/>
    <w:rsid w:val="007E10B6"/>
    <w:rsid w:val="007E10E3"/>
    <w:rsid w:val="007E1171"/>
    <w:rsid w:val="007E11BF"/>
    <w:rsid w:val="007E12B9"/>
    <w:rsid w:val="007E12C5"/>
    <w:rsid w:val="007E1333"/>
    <w:rsid w:val="007E1344"/>
    <w:rsid w:val="007E1358"/>
    <w:rsid w:val="007E1377"/>
    <w:rsid w:val="007E13C9"/>
    <w:rsid w:val="007E141A"/>
    <w:rsid w:val="007E1424"/>
    <w:rsid w:val="007E1455"/>
    <w:rsid w:val="007E14A3"/>
    <w:rsid w:val="007E1532"/>
    <w:rsid w:val="007E15E0"/>
    <w:rsid w:val="007E1656"/>
    <w:rsid w:val="007E1680"/>
    <w:rsid w:val="007E16C4"/>
    <w:rsid w:val="007E16D3"/>
    <w:rsid w:val="007E1715"/>
    <w:rsid w:val="007E17A2"/>
    <w:rsid w:val="007E18C8"/>
    <w:rsid w:val="007E18F4"/>
    <w:rsid w:val="007E1AF9"/>
    <w:rsid w:val="007E1C26"/>
    <w:rsid w:val="007E1C4F"/>
    <w:rsid w:val="007E1CA8"/>
    <w:rsid w:val="007E1CEF"/>
    <w:rsid w:val="007E1D4F"/>
    <w:rsid w:val="007E1E01"/>
    <w:rsid w:val="007E1E08"/>
    <w:rsid w:val="007E1F36"/>
    <w:rsid w:val="007E1F42"/>
    <w:rsid w:val="007E1FA4"/>
    <w:rsid w:val="007E1FDC"/>
    <w:rsid w:val="007E2024"/>
    <w:rsid w:val="007E2047"/>
    <w:rsid w:val="007E20A0"/>
    <w:rsid w:val="007E20BA"/>
    <w:rsid w:val="007E213F"/>
    <w:rsid w:val="007E21A6"/>
    <w:rsid w:val="007E2256"/>
    <w:rsid w:val="007E2290"/>
    <w:rsid w:val="007E22A6"/>
    <w:rsid w:val="007E2338"/>
    <w:rsid w:val="007E23C2"/>
    <w:rsid w:val="007E23C6"/>
    <w:rsid w:val="007E23D8"/>
    <w:rsid w:val="007E2473"/>
    <w:rsid w:val="007E2481"/>
    <w:rsid w:val="007E24B3"/>
    <w:rsid w:val="007E2612"/>
    <w:rsid w:val="007E268B"/>
    <w:rsid w:val="007E2697"/>
    <w:rsid w:val="007E271E"/>
    <w:rsid w:val="007E27A5"/>
    <w:rsid w:val="007E27AA"/>
    <w:rsid w:val="007E2855"/>
    <w:rsid w:val="007E285B"/>
    <w:rsid w:val="007E2894"/>
    <w:rsid w:val="007E2896"/>
    <w:rsid w:val="007E28B9"/>
    <w:rsid w:val="007E28C7"/>
    <w:rsid w:val="007E2945"/>
    <w:rsid w:val="007E29FF"/>
    <w:rsid w:val="007E2A05"/>
    <w:rsid w:val="007E2A67"/>
    <w:rsid w:val="007E2A8E"/>
    <w:rsid w:val="007E2AE9"/>
    <w:rsid w:val="007E2B3D"/>
    <w:rsid w:val="007E2B67"/>
    <w:rsid w:val="007E2BC3"/>
    <w:rsid w:val="007E2BD8"/>
    <w:rsid w:val="007E2BFE"/>
    <w:rsid w:val="007E2C1B"/>
    <w:rsid w:val="007E2C44"/>
    <w:rsid w:val="007E2D4B"/>
    <w:rsid w:val="007E2E06"/>
    <w:rsid w:val="007E2EDE"/>
    <w:rsid w:val="007E2F11"/>
    <w:rsid w:val="007E2F84"/>
    <w:rsid w:val="007E306F"/>
    <w:rsid w:val="007E30B2"/>
    <w:rsid w:val="007E30E1"/>
    <w:rsid w:val="007E3145"/>
    <w:rsid w:val="007E3156"/>
    <w:rsid w:val="007E31A3"/>
    <w:rsid w:val="007E3222"/>
    <w:rsid w:val="007E3242"/>
    <w:rsid w:val="007E3256"/>
    <w:rsid w:val="007E3279"/>
    <w:rsid w:val="007E328A"/>
    <w:rsid w:val="007E32A2"/>
    <w:rsid w:val="007E32B9"/>
    <w:rsid w:val="007E32CD"/>
    <w:rsid w:val="007E332C"/>
    <w:rsid w:val="007E334B"/>
    <w:rsid w:val="007E33B3"/>
    <w:rsid w:val="007E33DF"/>
    <w:rsid w:val="007E3413"/>
    <w:rsid w:val="007E3448"/>
    <w:rsid w:val="007E345F"/>
    <w:rsid w:val="007E34A0"/>
    <w:rsid w:val="007E34D6"/>
    <w:rsid w:val="007E3714"/>
    <w:rsid w:val="007E37DA"/>
    <w:rsid w:val="007E3894"/>
    <w:rsid w:val="007E3900"/>
    <w:rsid w:val="007E3981"/>
    <w:rsid w:val="007E39B5"/>
    <w:rsid w:val="007E39E8"/>
    <w:rsid w:val="007E3A16"/>
    <w:rsid w:val="007E3A19"/>
    <w:rsid w:val="007E3A54"/>
    <w:rsid w:val="007E3A6A"/>
    <w:rsid w:val="007E3AF4"/>
    <w:rsid w:val="007E3B46"/>
    <w:rsid w:val="007E3B6B"/>
    <w:rsid w:val="007E3C5B"/>
    <w:rsid w:val="007E3D86"/>
    <w:rsid w:val="007E3D9B"/>
    <w:rsid w:val="007E3DB7"/>
    <w:rsid w:val="007E3DBA"/>
    <w:rsid w:val="007E3E2D"/>
    <w:rsid w:val="007E3EDA"/>
    <w:rsid w:val="007E3F47"/>
    <w:rsid w:val="007E4008"/>
    <w:rsid w:val="007E400B"/>
    <w:rsid w:val="007E4011"/>
    <w:rsid w:val="007E4018"/>
    <w:rsid w:val="007E4053"/>
    <w:rsid w:val="007E4122"/>
    <w:rsid w:val="007E413A"/>
    <w:rsid w:val="007E416B"/>
    <w:rsid w:val="007E41EF"/>
    <w:rsid w:val="007E422E"/>
    <w:rsid w:val="007E4265"/>
    <w:rsid w:val="007E42D1"/>
    <w:rsid w:val="007E42E5"/>
    <w:rsid w:val="007E43D9"/>
    <w:rsid w:val="007E4477"/>
    <w:rsid w:val="007E44D8"/>
    <w:rsid w:val="007E4529"/>
    <w:rsid w:val="007E4551"/>
    <w:rsid w:val="007E462A"/>
    <w:rsid w:val="007E4703"/>
    <w:rsid w:val="007E4781"/>
    <w:rsid w:val="007E479C"/>
    <w:rsid w:val="007E47B0"/>
    <w:rsid w:val="007E47F6"/>
    <w:rsid w:val="007E4871"/>
    <w:rsid w:val="007E48A6"/>
    <w:rsid w:val="007E4907"/>
    <w:rsid w:val="007E4909"/>
    <w:rsid w:val="007E4973"/>
    <w:rsid w:val="007E49C3"/>
    <w:rsid w:val="007E4AAC"/>
    <w:rsid w:val="007E4B28"/>
    <w:rsid w:val="007E4B4A"/>
    <w:rsid w:val="007E4B57"/>
    <w:rsid w:val="007E4B5C"/>
    <w:rsid w:val="007E4B69"/>
    <w:rsid w:val="007E4B95"/>
    <w:rsid w:val="007E4C14"/>
    <w:rsid w:val="007E4C6C"/>
    <w:rsid w:val="007E4CA9"/>
    <w:rsid w:val="007E4CE7"/>
    <w:rsid w:val="007E4CF4"/>
    <w:rsid w:val="007E4DEE"/>
    <w:rsid w:val="007E4E02"/>
    <w:rsid w:val="007E4EA8"/>
    <w:rsid w:val="007E4EDA"/>
    <w:rsid w:val="007E4EEF"/>
    <w:rsid w:val="007E5067"/>
    <w:rsid w:val="007E5073"/>
    <w:rsid w:val="007E50B9"/>
    <w:rsid w:val="007E50F7"/>
    <w:rsid w:val="007E5131"/>
    <w:rsid w:val="007E515B"/>
    <w:rsid w:val="007E5174"/>
    <w:rsid w:val="007E51E1"/>
    <w:rsid w:val="007E5271"/>
    <w:rsid w:val="007E52B2"/>
    <w:rsid w:val="007E548B"/>
    <w:rsid w:val="007E5545"/>
    <w:rsid w:val="007E554C"/>
    <w:rsid w:val="007E55FE"/>
    <w:rsid w:val="007E56FF"/>
    <w:rsid w:val="007E576D"/>
    <w:rsid w:val="007E5798"/>
    <w:rsid w:val="007E57D5"/>
    <w:rsid w:val="007E580F"/>
    <w:rsid w:val="007E58A5"/>
    <w:rsid w:val="007E58BF"/>
    <w:rsid w:val="007E594E"/>
    <w:rsid w:val="007E5978"/>
    <w:rsid w:val="007E5A4D"/>
    <w:rsid w:val="007E5ADD"/>
    <w:rsid w:val="007E5B02"/>
    <w:rsid w:val="007E5B29"/>
    <w:rsid w:val="007E5C32"/>
    <w:rsid w:val="007E5C64"/>
    <w:rsid w:val="007E5C8D"/>
    <w:rsid w:val="007E5CE4"/>
    <w:rsid w:val="007E5D73"/>
    <w:rsid w:val="007E5D78"/>
    <w:rsid w:val="007E5D9E"/>
    <w:rsid w:val="007E5DEE"/>
    <w:rsid w:val="007E5E0D"/>
    <w:rsid w:val="007E5E38"/>
    <w:rsid w:val="007E5EC5"/>
    <w:rsid w:val="007E5EED"/>
    <w:rsid w:val="007E5FDD"/>
    <w:rsid w:val="007E605A"/>
    <w:rsid w:val="007E60C4"/>
    <w:rsid w:val="007E6115"/>
    <w:rsid w:val="007E6167"/>
    <w:rsid w:val="007E61AF"/>
    <w:rsid w:val="007E61BE"/>
    <w:rsid w:val="007E61E9"/>
    <w:rsid w:val="007E62D0"/>
    <w:rsid w:val="007E63A1"/>
    <w:rsid w:val="007E64B7"/>
    <w:rsid w:val="007E64D1"/>
    <w:rsid w:val="007E64EB"/>
    <w:rsid w:val="007E64FB"/>
    <w:rsid w:val="007E6536"/>
    <w:rsid w:val="007E653E"/>
    <w:rsid w:val="007E6580"/>
    <w:rsid w:val="007E6638"/>
    <w:rsid w:val="007E66B2"/>
    <w:rsid w:val="007E6732"/>
    <w:rsid w:val="007E67D2"/>
    <w:rsid w:val="007E6807"/>
    <w:rsid w:val="007E6864"/>
    <w:rsid w:val="007E68AE"/>
    <w:rsid w:val="007E68FB"/>
    <w:rsid w:val="007E6BB5"/>
    <w:rsid w:val="007E6CC7"/>
    <w:rsid w:val="007E6CF1"/>
    <w:rsid w:val="007E6D2C"/>
    <w:rsid w:val="007E6D48"/>
    <w:rsid w:val="007E6D56"/>
    <w:rsid w:val="007E6D70"/>
    <w:rsid w:val="007E6D8C"/>
    <w:rsid w:val="007E6DA2"/>
    <w:rsid w:val="007E6EFD"/>
    <w:rsid w:val="007E6F5C"/>
    <w:rsid w:val="007E6FCD"/>
    <w:rsid w:val="007E7010"/>
    <w:rsid w:val="007E70D3"/>
    <w:rsid w:val="007E70DC"/>
    <w:rsid w:val="007E7108"/>
    <w:rsid w:val="007E71CC"/>
    <w:rsid w:val="007E7214"/>
    <w:rsid w:val="007E7319"/>
    <w:rsid w:val="007E7338"/>
    <w:rsid w:val="007E74C8"/>
    <w:rsid w:val="007E74F6"/>
    <w:rsid w:val="007E7681"/>
    <w:rsid w:val="007E76E5"/>
    <w:rsid w:val="007E77E3"/>
    <w:rsid w:val="007E7841"/>
    <w:rsid w:val="007E787C"/>
    <w:rsid w:val="007E78D7"/>
    <w:rsid w:val="007E7918"/>
    <w:rsid w:val="007E792D"/>
    <w:rsid w:val="007E7939"/>
    <w:rsid w:val="007E7954"/>
    <w:rsid w:val="007E7968"/>
    <w:rsid w:val="007E7980"/>
    <w:rsid w:val="007E79DE"/>
    <w:rsid w:val="007E7A64"/>
    <w:rsid w:val="007E7AF5"/>
    <w:rsid w:val="007E7B5E"/>
    <w:rsid w:val="007E7B7B"/>
    <w:rsid w:val="007E7BDF"/>
    <w:rsid w:val="007E7C37"/>
    <w:rsid w:val="007E7CB7"/>
    <w:rsid w:val="007E7CC3"/>
    <w:rsid w:val="007E7CE6"/>
    <w:rsid w:val="007E7D17"/>
    <w:rsid w:val="007E7D1B"/>
    <w:rsid w:val="007E7DC2"/>
    <w:rsid w:val="007E7F0B"/>
    <w:rsid w:val="007E7FAE"/>
    <w:rsid w:val="007E7FE5"/>
    <w:rsid w:val="007F0006"/>
    <w:rsid w:val="007F0087"/>
    <w:rsid w:val="007F00ED"/>
    <w:rsid w:val="007F0112"/>
    <w:rsid w:val="007F0239"/>
    <w:rsid w:val="007F0248"/>
    <w:rsid w:val="007F02E5"/>
    <w:rsid w:val="007F0335"/>
    <w:rsid w:val="007F0393"/>
    <w:rsid w:val="007F0486"/>
    <w:rsid w:val="007F04B9"/>
    <w:rsid w:val="007F052D"/>
    <w:rsid w:val="007F070C"/>
    <w:rsid w:val="007F0735"/>
    <w:rsid w:val="007F07E4"/>
    <w:rsid w:val="007F0837"/>
    <w:rsid w:val="007F0881"/>
    <w:rsid w:val="007F0898"/>
    <w:rsid w:val="007F08AA"/>
    <w:rsid w:val="007F0988"/>
    <w:rsid w:val="007F098F"/>
    <w:rsid w:val="007F099B"/>
    <w:rsid w:val="007F0A62"/>
    <w:rsid w:val="007F0A70"/>
    <w:rsid w:val="007F0AAB"/>
    <w:rsid w:val="007F0B30"/>
    <w:rsid w:val="007F0C4E"/>
    <w:rsid w:val="007F0CC0"/>
    <w:rsid w:val="007F0D4C"/>
    <w:rsid w:val="007F0D62"/>
    <w:rsid w:val="007F0D8A"/>
    <w:rsid w:val="007F0D93"/>
    <w:rsid w:val="007F0DB6"/>
    <w:rsid w:val="007F0DE5"/>
    <w:rsid w:val="007F0DFA"/>
    <w:rsid w:val="007F0E67"/>
    <w:rsid w:val="007F0FB1"/>
    <w:rsid w:val="007F1027"/>
    <w:rsid w:val="007F115D"/>
    <w:rsid w:val="007F1183"/>
    <w:rsid w:val="007F1193"/>
    <w:rsid w:val="007F11A7"/>
    <w:rsid w:val="007F11D4"/>
    <w:rsid w:val="007F12C5"/>
    <w:rsid w:val="007F1312"/>
    <w:rsid w:val="007F1315"/>
    <w:rsid w:val="007F140D"/>
    <w:rsid w:val="007F1489"/>
    <w:rsid w:val="007F149F"/>
    <w:rsid w:val="007F15AE"/>
    <w:rsid w:val="007F17B9"/>
    <w:rsid w:val="007F18C0"/>
    <w:rsid w:val="007F18D6"/>
    <w:rsid w:val="007F18F2"/>
    <w:rsid w:val="007F1901"/>
    <w:rsid w:val="007F1946"/>
    <w:rsid w:val="007F19B4"/>
    <w:rsid w:val="007F19FC"/>
    <w:rsid w:val="007F1A72"/>
    <w:rsid w:val="007F1BA9"/>
    <w:rsid w:val="007F1BD1"/>
    <w:rsid w:val="007F1C65"/>
    <w:rsid w:val="007F1CBF"/>
    <w:rsid w:val="007F1D28"/>
    <w:rsid w:val="007F1D79"/>
    <w:rsid w:val="007F1DB0"/>
    <w:rsid w:val="007F1DE5"/>
    <w:rsid w:val="007F1E2B"/>
    <w:rsid w:val="007F1FA1"/>
    <w:rsid w:val="007F1FE8"/>
    <w:rsid w:val="007F2005"/>
    <w:rsid w:val="007F2035"/>
    <w:rsid w:val="007F20DA"/>
    <w:rsid w:val="007F20EB"/>
    <w:rsid w:val="007F2130"/>
    <w:rsid w:val="007F2191"/>
    <w:rsid w:val="007F2485"/>
    <w:rsid w:val="007F24D2"/>
    <w:rsid w:val="007F2504"/>
    <w:rsid w:val="007F2647"/>
    <w:rsid w:val="007F26EA"/>
    <w:rsid w:val="007F27D1"/>
    <w:rsid w:val="007F27EA"/>
    <w:rsid w:val="007F284E"/>
    <w:rsid w:val="007F2870"/>
    <w:rsid w:val="007F28B5"/>
    <w:rsid w:val="007F2A10"/>
    <w:rsid w:val="007F2A2B"/>
    <w:rsid w:val="007F2AB9"/>
    <w:rsid w:val="007F2ABC"/>
    <w:rsid w:val="007F2B0D"/>
    <w:rsid w:val="007F2B31"/>
    <w:rsid w:val="007F2BB0"/>
    <w:rsid w:val="007F2C07"/>
    <w:rsid w:val="007F2C0F"/>
    <w:rsid w:val="007F2CBC"/>
    <w:rsid w:val="007F2DE5"/>
    <w:rsid w:val="007F2E6A"/>
    <w:rsid w:val="007F2F00"/>
    <w:rsid w:val="007F2F79"/>
    <w:rsid w:val="007F2F89"/>
    <w:rsid w:val="007F307C"/>
    <w:rsid w:val="007F30F7"/>
    <w:rsid w:val="007F313E"/>
    <w:rsid w:val="007F318F"/>
    <w:rsid w:val="007F3194"/>
    <w:rsid w:val="007F31CB"/>
    <w:rsid w:val="007F31F8"/>
    <w:rsid w:val="007F328F"/>
    <w:rsid w:val="007F32AA"/>
    <w:rsid w:val="007F32EC"/>
    <w:rsid w:val="007F330C"/>
    <w:rsid w:val="007F33C0"/>
    <w:rsid w:val="007F34DC"/>
    <w:rsid w:val="007F3502"/>
    <w:rsid w:val="007F3592"/>
    <w:rsid w:val="007F35CA"/>
    <w:rsid w:val="007F3619"/>
    <w:rsid w:val="007F372B"/>
    <w:rsid w:val="007F375A"/>
    <w:rsid w:val="007F3766"/>
    <w:rsid w:val="007F377E"/>
    <w:rsid w:val="007F3788"/>
    <w:rsid w:val="007F3797"/>
    <w:rsid w:val="007F37A9"/>
    <w:rsid w:val="007F37D9"/>
    <w:rsid w:val="007F38CA"/>
    <w:rsid w:val="007F38E8"/>
    <w:rsid w:val="007F3996"/>
    <w:rsid w:val="007F39CA"/>
    <w:rsid w:val="007F39CD"/>
    <w:rsid w:val="007F3A42"/>
    <w:rsid w:val="007F3AAB"/>
    <w:rsid w:val="007F3AC9"/>
    <w:rsid w:val="007F3BD2"/>
    <w:rsid w:val="007F3BD9"/>
    <w:rsid w:val="007F3BE2"/>
    <w:rsid w:val="007F3BF9"/>
    <w:rsid w:val="007F3C55"/>
    <w:rsid w:val="007F3D31"/>
    <w:rsid w:val="007F3D32"/>
    <w:rsid w:val="007F3D4C"/>
    <w:rsid w:val="007F3D67"/>
    <w:rsid w:val="007F3E41"/>
    <w:rsid w:val="007F3E58"/>
    <w:rsid w:val="007F3EA9"/>
    <w:rsid w:val="007F3F38"/>
    <w:rsid w:val="007F3F3D"/>
    <w:rsid w:val="007F4085"/>
    <w:rsid w:val="007F40D4"/>
    <w:rsid w:val="007F4135"/>
    <w:rsid w:val="007F414D"/>
    <w:rsid w:val="007F41F5"/>
    <w:rsid w:val="007F4221"/>
    <w:rsid w:val="007F42D1"/>
    <w:rsid w:val="007F42F3"/>
    <w:rsid w:val="007F4346"/>
    <w:rsid w:val="007F4347"/>
    <w:rsid w:val="007F4350"/>
    <w:rsid w:val="007F4387"/>
    <w:rsid w:val="007F440F"/>
    <w:rsid w:val="007F44B7"/>
    <w:rsid w:val="007F4560"/>
    <w:rsid w:val="007F45F8"/>
    <w:rsid w:val="007F464E"/>
    <w:rsid w:val="007F4716"/>
    <w:rsid w:val="007F4737"/>
    <w:rsid w:val="007F47FE"/>
    <w:rsid w:val="007F48C9"/>
    <w:rsid w:val="007F4920"/>
    <w:rsid w:val="007F4943"/>
    <w:rsid w:val="007F49D0"/>
    <w:rsid w:val="007F49F8"/>
    <w:rsid w:val="007F4A05"/>
    <w:rsid w:val="007F4A10"/>
    <w:rsid w:val="007F4A29"/>
    <w:rsid w:val="007F4A8C"/>
    <w:rsid w:val="007F4A96"/>
    <w:rsid w:val="007F4AAC"/>
    <w:rsid w:val="007F4AB6"/>
    <w:rsid w:val="007F4AC1"/>
    <w:rsid w:val="007F4B0C"/>
    <w:rsid w:val="007F4C23"/>
    <w:rsid w:val="007F4C54"/>
    <w:rsid w:val="007F4E15"/>
    <w:rsid w:val="007F4E9D"/>
    <w:rsid w:val="007F4EE0"/>
    <w:rsid w:val="007F4F76"/>
    <w:rsid w:val="007F4F91"/>
    <w:rsid w:val="007F4FD8"/>
    <w:rsid w:val="007F5058"/>
    <w:rsid w:val="007F50DE"/>
    <w:rsid w:val="007F50F5"/>
    <w:rsid w:val="007F5110"/>
    <w:rsid w:val="007F5311"/>
    <w:rsid w:val="007F5324"/>
    <w:rsid w:val="007F5333"/>
    <w:rsid w:val="007F537C"/>
    <w:rsid w:val="007F53DD"/>
    <w:rsid w:val="007F544F"/>
    <w:rsid w:val="007F5480"/>
    <w:rsid w:val="007F54DA"/>
    <w:rsid w:val="007F550D"/>
    <w:rsid w:val="007F558C"/>
    <w:rsid w:val="007F5598"/>
    <w:rsid w:val="007F55A5"/>
    <w:rsid w:val="007F5659"/>
    <w:rsid w:val="007F5689"/>
    <w:rsid w:val="007F56FF"/>
    <w:rsid w:val="007F571E"/>
    <w:rsid w:val="007F577A"/>
    <w:rsid w:val="007F5794"/>
    <w:rsid w:val="007F57E5"/>
    <w:rsid w:val="007F5839"/>
    <w:rsid w:val="007F583D"/>
    <w:rsid w:val="007F5918"/>
    <w:rsid w:val="007F5962"/>
    <w:rsid w:val="007F59B8"/>
    <w:rsid w:val="007F5A4A"/>
    <w:rsid w:val="007F5A82"/>
    <w:rsid w:val="007F5B11"/>
    <w:rsid w:val="007F5B20"/>
    <w:rsid w:val="007F5B35"/>
    <w:rsid w:val="007F5BB3"/>
    <w:rsid w:val="007F5BBC"/>
    <w:rsid w:val="007F5BBE"/>
    <w:rsid w:val="007F5BC3"/>
    <w:rsid w:val="007F5BDA"/>
    <w:rsid w:val="007F5C14"/>
    <w:rsid w:val="007F5C8B"/>
    <w:rsid w:val="007F5CF9"/>
    <w:rsid w:val="007F5DAF"/>
    <w:rsid w:val="007F5DB7"/>
    <w:rsid w:val="007F5E27"/>
    <w:rsid w:val="007F5E59"/>
    <w:rsid w:val="007F5EA4"/>
    <w:rsid w:val="007F5F05"/>
    <w:rsid w:val="007F5F3C"/>
    <w:rsid w:val="007F5F6A"/>
    <w:rsid w:val="007F5F79"/>
    <w:rsid w:val="007F5F7F"/>
    <w:rsid w:val="007F61AB"/>
    <w:rsid w:val="007F621C"/>
    <w:rsid w:val="007F6223"/>
    <w:rsid w:val="007F6224"/>
    <w:rsid w:val="007F634D"/>
    <w:rsid w:val="007F637D"/>
    <w:rsid w:val="007F6392"/>
    <w:rsid w:val="007F63B6"/>
    <w:rsid w:val="007F63DE"/>
    <w:rsid w:val="007F642B"/>
    <w:rsid w:val="007F646C"/>
    <w:rsid w:val="007F64A6"/>
    <w:rsid w:val="007F654B"/>
    <w:rsid w:val="007F6560"/>
    <w:rsid w:val="007F6573"/>
    <w:rsid w:val="007F65CC"/>
    <w:rsid w:val="007F65D3"/>
    <w:rsid w:val="007F6675"/>
    <w:rsid w:val="007F66B2"/>
    <w:rsid w:val="007F66C9"/>
    <w:rsid w:val="007F6745"/>
    <w:rsid w:val="007F67BE"/>
    <w:rsid w:val="007F67C2"/>
    <w:rsid w:val="007F689B"/>
    <w:rsid w:val="007F68CB"/>
    <w:rsid w:val="007F6916"/>
    <w:rsid w:val="007F6969"/>
    <w:rsid w:val="007F696A"/>
    <w:rsid w:val="007F69C2"/>
    <w:rsid w:val="007F69CA"/>
    <w:rsid w:val="007F69DA"/>
    <w:rsid w:val="007F6A0E"/>
    <w:rsid w:val="007F6A9E"/>
    <w:rsid w:val="007F6AA2"/>
    <w:rsid w:val="007F6ACF"/>
    <w:rsid w:val="007F6AE8"/>
    <w:rsid w:val="007F6AF0"/>
    <w:rsid w:val="007F6AFB"/>
    <w:rsid w:val="007F6BFB"/>
    <w:rsid w:val="007F6C4F"/>
    <w:rsid w:val="007F6C85"/>
    <w:rsid w:val="007F6CAC"/>
    <w:rsid w:val="007F6E96"/>
    <w:rsid w:val="007F6ED8"/>
    <w:rsid w:val="007F6EE2"/>
    <w:rsid w:val="007F6F34"/>
    <w:rsid w:val="007F6F82"/>
    <w:rsid w:val="007F6F9F"/>
    <w:rsid w:val="007F701E"/>
    <w:rsid w:val="007F705E"/>
    <w:rsid w:val="007F7070"/>
    <w:rsid w:val="007F7073"/>
    <w:rsid w:val="007F708E"/>
    <w:rsid w:val="007F70EE"/>
    <w:rsid w:val="007F712A"/>
    <w:rsid w:val="007F717E"/>
    <w:rsid w:val="007F720A"/>
    <w:rsid w:val="007F7313"/>
    <w:rsid w:val="007F731F"/>
    <w:rsid w:val="007F741C"/>
    <w:rsid w:val="007F7587"/>
    <w:rsid w:val="007F7658"/>
    <w:rsid w:val="007F7685"/>
    <w:rsid w:val="007F76B0"/>
    <w:rsid w:val="007F76F2"/>
    <w:rsid w:val="007F7735"/>
    <w:rsid w:val="007F7748"/>
    <w:rsid w:val="007F776F"/>
    <w:rsid w:val="007F77B1"/>
    <w:rsid w:val="007F77BC"/>
    <w:rsid w:val="007F77E9"/>
    <w:rsid w:val="007F789A"/>
    <w:rsid w:val="007F78B0"/>
    <w:rsid w:val="007F78D0"/>
    <w:rsid w:val="007F7904"/>
    <w:rsid w:val="007F7929"/>
    <w:rsid w:val="007F792D"/>
    <w:rsid w:val="007F7A0E"/>
    <w:rsid w:val="007F7A0F"/>
    <w:rsid w:val="007F7A97"/>
    <w:rsid w:val="007F7B07"/>
    <w:rsid w:val="007F7B5E"/>
    <w:rsid w:val="007F7C1C"/>
    <w:rsid w:val="007F7CA2"/>
    <w:rsid w:val="007F7CAC"/>
    <w:rsid w:val="007F7D3C"/>
    <w:rsid w:val="007F7D82"/>
    <w:rsid w:val="007F7DCC"/>
    <w:rsid w:val="007F7DFC"/>
    <w:rsid w:val="007F7E09"/>
    <w:rsid w:val="007F7E34"/>
    <w:rsid w:val="007F7E6F"/>
    <w:rsid w:val="007F7E71"/>
    <w:rsid w:val="007F7FF7"/>
    <w:rsid w:val="00800001"/>
    <w:rsid w:val="0080010C"/>
    <w:rsid w:val="008001F4"/>
    <w:rsid w:val="008002AF"/>
    <w:rsid w:val="008002FA"/>
    <w:rsid w:val="00800464"/>
    <w:rsid w:val="0080046E"/>
    <w:rsid w:val="0080048D"/>
    <w:rsid w:val="00800503"/>
    <w:rsid w:val="00800546"/>
    <w:rsid w:val="008005F6"/>
    <w:rsid w:val="00800696"/>
    <w:rsid w:val="00800740"/>
    <w:rsid w:val="0080074D"/>
    <w:rsid w:val="00800783"/>
    <w:rsid w:val="008007B4"/>
    <w:rsid w:val="00800925"/>
    <w:rsid w:val="00800952"/>
    <w:rsid w:val="0080098F"/>
    <w:rsid w:val="008009D6"/>
    <w:rsid w:val="00800C3C"/>
    <w:rsid w:val="00800C98"/>
    <w:rsid w:val="00800CD2"/>
    <w:rsid w:val="00800CE6"/>
    <w:rsid w:val="00800CEB"/>
    <w:rsid w:val="00800D1E"/>
    <w:rsid w:val="00800D9B"/>
    <w:rsid w:val="00800DDB"/>
    <w:rsid w:val="00800DF1"/>
    <w:rsid w:val="00800E04"/>
    <w:rsid w:val="00800E2F"/>
    <w:rsid w:val="00800E34"/>
    <w:rsid w:val="00800E4C"/>
    <w:rsid w:val="00800E5E"/>
    <w:rsid w:val="00800EE7"/>
    <w:rsid w:val="00800F66"/>
    <w:rsid w:val="00800F7F"/>
    <w:rsid w:val="00800FFF"/>
    <w:rsid w:val="0080100D"/>
    <w:rsid w:val="0080105D"/>
    <w:rsid w:val="0080107B"/>
    <w:rsid w:val="0080109B"/>
    <w:rsid w:val="00801195"/>
    <w:rsid w:val="008011AE"/>
    <w:rsid w:val="008011BC"/>
    <w:rsid w:val="008011EE"/>
    <w:rsid w:val="0080120D"/>
    <w:rsid w:val="008012CC"/>
    <w:rsid w:val="0080130B"/>
    <w:rsid w:val="00801482"/>
    <w:rsid w:val="00801487"/>
    <w:rsid w:val="008014B9"/>
    <w:rsid w:val="0080150C"/>
    <w:rsid w:val="008015B7"/>
    <w:rsid w:val="00801612"/>
    <w:rsid w:val="00801634"/>
    <w:rsid w:val="00801659"/>
    <w:rsid w:val="00801795"/>
    <w:rsid w:val="0080179E"/>
    <w:rsid w:val="00801891"/>
    <w:rsid w:val="00801A33"/>
    <w:rsid w:val="00801A3F"/>
    <w:rsid w:val="00801A41"/>
    <w:rsid w:val="00801BBD"/>
    <w:rsid w:val="00801BCF"/>
    <w:rsid w:val="00801BF6"/>
    <w:rsid w:val="00801C59"/>
    <w:rsid w:val="00801C9B"/>
    <w:rsid w:val="00801D19"/>
    <w:rsid w:val="00801D2B"/>
    <w:rsid w:val="00801DF8"/>
    <w:rsid w:val="00801EE5"/>
    <w:rsid w:val="00801EE8"/>
    <w:rsid w:val="00801FAC"/>
    <w:rsid w:val="00802023"/>
    <w:rsid w:val="00802052"/>
    <w:rsid w:val="0080210F"/>
    <w:rsid w:val="00802142"/>
    <w:rsid w:val="00802178"/>
    <w:rsid w:val="00802222"/>
    <w:rsid w:val="00802315"/>
    <w:rsid w:val="00802392"/>
    <w:rsid w:val="008023A1"/>
    <w:rsid w:val="008023B8"/>
    <w:rsid w:val="0080249D"/>
    <w:rsid w:val="008024C6"/>
    <w:rsid w:val="008024D9"/>
    <w:rsid w:val="00802530"/>
    <w:rsid w:val="00802542"/>
    <w:rsid w:val="0080254D"/>
    <w:rsid w:val="0080254F"/>
    <w:rsid w:val="00802586"/>
    <w:rsid w:val="0080258F"/>
    <w:rsid w:val="008025CC"/>
    <w:rsid w:val="008025E5"/>
    <w:rsid w:val="00802619"/>
    <w:rsid w:val="0080263B"/>
    <w:rsid w:val="0080267F"/>
    <w:rsid w:val="00802683"/>
    <w:rsid w:val="0080274A"/>
    <w:rsid w:val="00802854"/>
    <w:rsid w:val="00802861"/>
    <w:rsid w:val="00802868"/>
    <w:rsid w:val="00802887"/>
    <w:rsid w:val="008028CE"/>
    <w:rsid w:val="008028D5"/>
    <w:rsid w:val="008028D8"/>
    <w:rsid w:val="00802920"/>
    <w:rsid w:val="0080295C"/>
    <w:rsid w:val="00802ADF"/>
    <w:rsid w:val="00802B12"/>
    <w:rsid w:val="00802BA2"/>
    <w:rsid w:val="00802BCD"/>
    <w:rsid w:val="00802C01"/>
    <w:rsid w:val="00802C95"/>
    <w:rsid w:val="00802CC4"/>
    <w:rsid w:val="00802D0E"/>
    <w:rsid w:val="00802D24"/>
    <w:rsid w:val="00802D86"/>
    <w:rsid w:val="00802DA9"/>
    <w:rsid w:val="00802E96"/>
    <w:rsid w:val="00802EE3"/>
    <w:rsid w:val="00802F3E"/>
    <w:rsid w:val="00802F8A"/>
    <w:rsid w:val="008030A9"/>
    <w:rsid w:val="008030F1"/>
    <w:rsid w:val="00803116"/>
    <w:rsid w:val="00803156"/>
    <w:rsid w:val="00803186"/>
    <w:rsid w:val="008031C3"/>
    <w:rsid w:val="008031CA"/>
    <w:rsid w:val="0080322E"/>
    <w:rsid w:val="00803252"/>
    <w:rsid w:val="0080328F"/>
    <w:rsid w:val="008032E0"/>
    <w:rsid w:val="008032F4"/>
    <w:rsid w:val="008033F4"/>
    <w:rsid w:val="008033F9"/>
    <w:rsid w:val="0080340B"/>
    <w:rsid w:val="00803468"/>
    <w:rsid w:val="008034C2"/>
    <w:rsid w:val="00803536"/>
    <w:rsid w:val="0080369F"/>
    <w:rsid w:val="008036DD"/>
    <w:rsid w:val="0080372B"/>
    <w:rsid w:val="00803860"/>
    <w:rsid w:val="00803861"/>
    <w:rsid w:val="0080386C"/>
    <w:rsid w:val="008038A9"/>
    <w:rsid w:val="0080395B"/>
    <w:rsid w:val="00803961"/>
    <w:rsid w:val="008039B6"/>
    <w:rsid w:val="00803A24"/>
    <w:rsid w:val="00803A3F"/>
    <w:rsid w:val="00803A41"/>
    <w:rsid w:val="00803AA0"/>
    <w:rsid w:val="00803B21"/>
    <w:rsid w:val="00803B87"/>
    <w:rsid w:val="00803BC2"/>
    <w:rsid w:val="00803C57"/>
    <w:rsid w:val="00803D97"/>
    <w:rsid w:val="00803E34"/>
    <w:rsid w:val="00803E7D"/>
    <w:rsid w:val="00803E99"/>
    <w:rsid w:val="00803EAF"/>
    <w:rsid w:val="00803FAC"/>
    <w:rsid w:val="00803FD4"/>
    <w:rsid w:val="00804076"/>
    <w:rsid w:val="00804109"/>
    <w:rsid w:val="0080412D"/>
    <w:rsid w:val="00804229"/>
    <w:rsid w:val="00804281"/>
    <w:rsid w:val="00804483"/>
    <w:rsid w:val="00804558"/>
    <w:rsid w:val="0080456B"/>
    <w:rsid w:val="008046CF"/>
    <w:rsid w:val="008047D4"/>
    <w:rsid w:val="00804822"/>
    <w:rsid w:val="008048CE"/>
    <w:rsid w:val="008048D3"/>
    <w:rsid w:val="00804975"/>
    <w:rsid w:val="008049AD"/>
    <w:rsid w:val="00804A09"/>
    <w:rsid w:val="00804A17"/>
    <w:rsid w:val="00804A6A"/>
    <w:rsid w:val="00804A80"/>
    <w:rsid w:val="00804A86"/>
    <w:rsid w:val="00804AF2"/>
    <w:rsid w:val="00804B69"/>
    <w:rsid w:val="00804B87"/>
    <w:rsid w:val="00804C08"/>
    <w:rsid w:val="00804CC6"/>
    <w:rsid w:val="00804D9C"/>
    <w:rsid w:val="00804DEF"/>
    <w:rsid w:val="00804E00"/>
    <w:rsid w:val="00804E4B"/>
    <w:rsid w:val="00804E91"/>
    <w:rsid w:val="00804EDA"/>
    <w:rsid w:val="00804EF2"/>
    <w:rsid w:val="00804F0E"/>
    <w:rsid w:val="00804F3E"/>
    <w:rsid w:val="00804F73"/>
    <w:rsid w:val="00805022"/>
    <w:rsid w:val="00805036"/>
    <w:rsid w:val="008050A0"/>
    <w:rsid w:val="008051B0"/>
    <w:rsid w:val="00805205"/>
    <w:rsid w:val="008054BA"/>
    <w:rsid w:val="00805546"/>
    <w:rsid w:val="0080556C"/>
    <w:rsid w:val="008055B2"/>
    <w:rsid w:val="008055F3"/>
    <w:rsid w:val="00805628"/>
    <w:rsid w:val="008057B6"/>
    <w:rsid w:val="008057D4"/>
    <w:rsid w:val="00805826"/>
    <w:rsid w:val="00805871"/>
    <w:rsid w:val="00805879"/>
    <w:rsid w:val="0080587C"/>
    <w:rsid w:val="008058A0"/>
    <w:rsid w:val="008058ED"/>
    <w:rsid w:val="00805956"/>
    <w:rsid w:val="008059B2"/>
    <w:rsid w:val="008059FF"/>
    <w:rsid w:val="00805A6F"/>
    <w:rsid w:val="00805B45"/>
    <w:rsid w:val="00805B87"/>
    <w:rsid w:val="00805BBF"/>
    <w:rsid w:val="00805C46"/>
    <w:rsid w:val="00805C7F"/>
    <w:rsid w:val="00805D20"/>
    <w:rsid w:val="00805D61"/>
    <w:rsid w:val="00805E09"/>
    <w:rsid w:val="00805E5E"/>
    <w:rsid w:val="00805E79"/>
    <w:rsid w:val="00805E7B"/>
    <w:rsid w:val="00805F82"/>
    <w:rsid w:val="008060C1"/>
    <w:rsid w:val="008060CD"/>
    <w:rsid w:val="00806163"/>
    <w:rsid w:val="0080616A"/>
    <w:rsid w:val="008063A9"/>
    <w:rsid w:val="008063C5"/>
    <w:rsid w:val="008064A7"/>
    <w:rsid w:val="00806503"/>
    <w:rsid w:val="0080658A"/>
    <w:rsid w:val="008065B3"/>
    <w:rsid w:val="00806622"/>
    <w:rsid w:val="00806696"/>
    <w:rsid w:val="008066D1"/>
    <w:rsid w:val="00806709"/>
    <w:rsid w:val="00806717"/>
    <w:rsid w:val="00806732"/>
    <w:rsid w:val="0080678D"/>
    <w:rsid w:val="0080682E"/>
    <w:rsid w:val="008068C8"/>
    <w:rsid w:val="00806970"/>
    <w:rsid w:val="008069B6"/>
    <w:rsid w:val="00806B8B"/>
    <w:rsid w:val="00806BCC"/>
    <w:rsid w:val="00806C44"/>
    <w:rsid w:val="00806D05"/>
    <w:rsid w:val="00806D32"/>
    <w:rsid w:val="00806D55"/>
    <w:rsid w:val="00806DA7"/>
    <w:rsid w:val="00806E0D"/>
    <w:rsid w:val="00806E1C"/>
    <w:rsid w:val="00806E30"/>
    <w:rsid w:val="00806E82"/>
    <w:rsid w:val="00806E95"/>
    <w:rsid w:val="00806F74"/>
    <w:rsid w:val="008070A5"/>
    <w:rsid w:val="008070BB"/>
    <w:rsid w:val="0080712A"/>
    <w:rsid w:val="00807182"/>
    <w:rsid w:val="008071C3"/>
    <w:rsid w:val="00807250"/>
    <w:rsid w:val="0080727C"/>
    <w:rsid w:val="008072C1"/>
    <w:rsid w:val="00807492"/>
    <w:rsid w:val="008074B5"/>
    <w:rsid w:val="00807568"/>
    <w:rsid w:val="00807583"/>
    <w:rsid w:val="008075F3"/>
    <w:rsid w:val="0080760B"/>
    <w:rsid w:val="00807654"/>
    <w:rsid w:val="00807696"/>
    <w:rsid w:val="008076CF"/>
    <w:rsid w:val="008076DC"/>
    <w:rsid w:val="00807706"/>
    <w:rsid w:val="00807717"/>
    <w:rsid w:val="008077AC"/>
    <w:rsid w:val="00807826"/>
    <w:rsid w:val="00807855"/>
    <w:rsid w:val="00807859"/>
    <w:rsid w:val="008078B8"/>
    <w:rsid w:val="008078DA"/>
    <w:rsid w:val="0080790B"/>
    <w:rsid w:val="0080790C"/>
    <w:rsid w:val="00807910"/>
    <w:rsid w:val="008079ED"/>
    <w:rsid w:val="00807A37"/>
    <w:rsid w:val="00807AD0"/>
    <w:rsid w:val="00807B10"/>
    <w:rsid w:val="00807B17"/>
    <w:rsid w:val="00807B97"/>
    <w:rsid w:val="00807C35"/>
    <w:rsid w:val="00807CA2"/>
    <w:rsid w:val="00807CF1"/>
    <w:rsid w:val="00807D8B"/>
    <w:rsid w:val="00807D9E"/>
    <w:rsid w:val="00807E48"/>
    <w:rsid w:val="00807E88"/>
    <w:rsid w:val="00807EA6"/>
    <w:rsid w:val="00807EA7"/>
    <w:rsid w:val="00807ECB"/>
    <w:rsid w:val="00807F37"/>
    <w:rsid w:val="00807F56"/>
    <w:rsid w:val="00807FCE"/>
    <w:rsid w:val="0081010B"/>
    <w:rsid w:val="00810135"/>
    <w:rsid w:val="0081014F"/>
    <w:rsid w:val="0081017E"/>
    <w:rsid w:val="008101B9"/>
    <w:rsid w:val="00810240"/>
    <w:rsid w:val="00810244"/>
    <w:rsid w:val="008102E2"/>
    <w:rsid w:val="00810333"/>
    <w:rsid w:val="0081038F"/>
    <w:rsid w:val="008103C4"/>
    <w:rsid w:val="008103F5"/>
    <w:rsid w:val="008104FB"/>
    <w:rsid w:val="00810534"/>
    <w:rsid w:val="00810551"/>
    <w:rsid w:val="0081058F"/>
    <w:rsid w:val="00810591"/>
    <w:rsid w:val="00810646"/>
    <w:rsid w:val="0081067A"/>
    <w:rsid w:val="008107C5"/>
    <w:rsid w:val="00810804"/>
    <w:rsid w:val="00810894"/>
    <w:rsid w:val="00810951"/>
    <w:rsid w:val="00810978"/>
    <w:rsid w:val="00810A4A"/>
    <w:rsid w:val="00810ABF"/>
    <w:rsid w:val="00810AE0"/>
    <w:rsid w:val="00810AE5"/>
    <w:rsid w:val="00810B12"/>
    <w:rsid w:val="00810B7A"/>
    <w:rsid w:val="00810C60"/>
    <w:rsid w:val="00810C6A"/>
    <w:rsid w:val="00810C84"/>
    <w:rsid w:val="00810CBB"/>
    <w:rsid w:val="00810CCC"/>
    <w:rsid w:val="00810CE7"/>
    <w:rsid w:val="00810CFE"/>
    <w:rsid w:val="00810D40"/>
    <w:rsid w:val="00810DC3"/>
    <w:rsid w:val="00810DD1"/>
    <w:rsid w:val="00810E61"/>
    <w:rsid w:val="00810E6D"/>
    <w:rsid w:val="00810E87"/>
    <w:rsid w:val="00810E92"/>
    <w:rsid w:val="00810EA7"/>
    <w:rsid w:val="00810EAC"/>
    <w:rsid w:val="00810F2D"/>
    <w:rsid w:val="00810FC5"/>
    <w:rsid w:val="00810FE5"/>
    <w:rsid w:val="0081105F"/>
    <w:rsid w:val="008110E9"/>
    <w:rsid w:val="008110ED"/>
    <w:rsid w:val="00811102"/>
    <w:rsid w:val="00811121"/>
    <w:rsid w:val="00811178"/>
    <w:rsid w:val="008111FB"/>
    <w:rsid w:val="00811344"/>
    <w:rsid w:val="00811347"/>
    <w:rsid w:val="008114D9"/>
    <w:rsid w:val="008114E7"/>
    <w:rsid w:val="008114EE"/>
    <w:rsid w:val="008114FB"/>
    <w:rsid w:val="00811535"/>
    <w:rsid w:val="0081156C"/>
    <w:rsid w:val="008115FF"/>
    <w:rsid w:val="0081161A"/>
    <w:rsid w:val="00811641"/>
    <w:rsid w:val="00811688"/>
    <w:rsid w:val="00811747"/>
    <w:rsid w:val="008117D0"/>
    <w:rsid w:val="00811878"/>
    <w:rsid w:val="0081192C"/>
    <w:rsid w:val="00811950"/>
    <w:rsid w:val="008119DF"/>
    <w:rsid w:val="008119E4"/>
    <w:rsid w:val="00811ADA"/>
    <w:rsid w:val="00811AE0"/>
    <w:rsid w:val="00811B93"/>
    <w:rsid w:val="00811C09"/>
    <w:rsid w:val="00811C3B"/>
    <w:rsid w:val="00811C60"/>
    <w:rsid w:val="00811C89"/>
    <w:rsid w:val="00811D60"/>
    <w:rsid w:val="00811E09"/>
    <w:rsid w:val="00811E64"/>
    <w:rsid w:val="00811F2F"/>
    <w:rsid w:val="0081209E"/>
    <w:rsid w:val="008120E0"/>
    <w:rsid w:val="008121C2"/>
    <w:rsid w:val="0081228B"/>
    <w:rsid w:val="00812375"/>
    <w:rsid w:val="008123A5"/>
    <w:rsid w:val="0081241C"/>
    <w:rsid w:val="00812492"/>
    <w:rsid w:val="008124E5"/>
    <w:rsid w:val="00812644"/>
    <w:rsid w:val="008126AC"/>
    <w:rsid w:val="008127F4"/>
    <w:rsid w:val="00812825"/>
    <w:rsid w:val="00812836"/>
    <w:rsid w:val="00812902"/>
    <w:rsid w:val="00812906"/>
    <w:rsid w:val="0081297D"/>
    <w:rsid w:val="008129D9"/>
    <w:rsid w:val="00812A55"/>
    <w:rsid w:val="00812A69"/>
    <w:rsid w:val="00812A7D"/>
    <w:rsid w:val="00812A84"/>
    <w:rsid w:val="00812B75"/>
    <w:rsid w:val="00812B97"/>
    <w:rsid w:val="00812BB7"/>
    <w:rsid w:val="00812BF5"/>
    <w:rsid w:val="00812C65"/>
    <w:rsid w:val="00812C71"/>
    <w:rsid w:val="00812CF5"/>
    <w:rsid w:val="00812D8F"/>
    <w:rsid w:val="00812E00"/>
    <w:rsid w:val="00812EC4"/>
    <w:rsid w:val="00812ED4"/>
    <w:rsid w:val="00812FB0"/>
    <w:rsid w:val="0081304F"/>
    <w:rsid w:val="0081305A"/>
    <w:rsid w:val="008130B4"/>
    <w:rsid w:val="008130B6"/>
    <w:rsid w:val="008131E4"/>
    <w:rsid w:val="0081325F"/>
    <w:rsid w:val="00813302"/>
    <w:rsid w:val="0081330E"/>
    <w:rsid w:val="00813382"/>
    <w:rsid w:val="00813385"/>
    <w:rsid w:val="0081340B"/>
    <w:rsid w:val="0081342C"/>
    <w:rsid w:val="00813436"/>
    <w:rsid w:val="00813592"/>
    <w:rsid w:val="008135C4"/>
    <w:rsid w:val="00813614"/>
    <w:rsid w:val="0081361C"/>
    <w:rsid w:val="00813661"/>
    <w:rsid w:val="0081372A"/>
    <w:rsid w:val="00813774"/>
    <w:rsid w:val="0081380F"/>
    <w:rsid w:val="00813887"/>
    <w:rsid w:val="008138F2"/>
    <w:rsid w:val="0081397C"/>
    <w:rsid w:val="008139E2"/>
    <w:rsid w:val="008139E8"/>
    <w:rsid w:val="008139FB"/>
    <w:rsid w:val="00813AB2"/>
    <w:rsid w:val="00813ACA"/>
    <w:rsid w:val="00813B67"/>
    <w:rsid w:val="00813C09"/>
    <w:rsid w:val="00813CF9"/>
    <w:rsid w:val="00813D60"/>
    <w:rsid w:val="00813F09"/>
    <w:rsid w:val="00813F6F"/>
    <w:rsid w:val="00813F7B"/>
    <w:rsid w:val="00813FA0"/>
    <w:rsid w:val="00813FF7"/>
    <w:rsid w:val="00814003"/>
    <w:rsid w:val="0081401B"/>
    <w:rsid w:val="008140A5"/>
    <w:rsid w:val="0081416C"/>
    <w:rsid w:val="008141D6"/>
    <w:rsid w:val="00814226"/>
    <w:rsid w:val="008142EE"/>
    <w:rsid w:val="00814308"/>
    <w:rsid w:val="00814419"/>
    <w:rsid w:val="0081442A"/>
    <w:rsid w:val="00814431"/>
    <w:rsid w:val="008144A3"/>
    <w:rsid w:val="00814529"/>
    <w:rsid w:val="00814588"/>
    <w:rsid w:val="008145D7"/>
    <w:rsid w:val="0081460B"/>
    <w:rsid w:val="00814665"/>
    <w:rsid w:val="00814686"/>
    <w:rsid w:val="00814772"/>
    <w:rsid w:val="0081482F"/>
    <w:rsid w:val="0081486C"/>
    <w:rsid w:val="00814A2D"/>
    <w:rsid w:val="00814A5B"/>
    <w:rsid w:val="00814B9A"/>
    <w:rsid w:val="00814C34"/>
    <w:rsid w:val="00814D4D"/>
    <w:rsid w:val="00814D99"/>
    <w:rsid w:val="00814DA0"/>
    <w:rsid w:val="00814DDD"/>
    <w:rsid w:val="00814E12"/>
    <w:rsid w:val="00814ED0"/>
    <w:rsid w:val="00814F96"/>
    <w:rsid w:val="00814FA0"/>
    <w:rsid w:val="00814FDA"/>
    <w:rsid w:val="00815033"/>
    <w:rsid w:val="0081505F"/>
    <w:rsid w:val="008150A2"/>
    <w:rsid w:val="008150B6"/>
    <w:rsid w:val="008150DE"/>
    <w:rsid w:val="00815125"/>
    <w:rsid w:val="0081517E"/>
    <w:rsid w:val="008151D6"/>
    <w:rsid w:val="0081520C"/>
    <w:rsid w:val="00815303"/>
    <w:rsid w:val="0081540D"/>
    <w:rsid w:val="00815534"/>
    <w:rsid w:val="00815548"/>
    <w:rsid w:val="0081554E"/>
    <w:rsid w:val="00815557"/>
    <w:rsid w:val="0081558D"/>
    <w:rsid w:val="00815596"/>
    <w:rsid w:val="008156B9"/>
    <w:rsid w:val="008156F2"/>
    <w:rsid w:val="0081572A"/>
    <w:rsid w:val="0081579A"/>
    <w:rsid w:val="008157A9"/>
    <w:rsid w:val="00815828"/>
    <w:rsid w:val="00815837"/>
    <w:rsid w:val="0081587B"/>
    <w:rsid w:val="008158C9"/>
    <w:rsid w:val="00815962"/>
    <w:rsid w:val="00815999"/>
    <w:rsid w:val="008159EA"/>
    <w:rsid w:val="008159FC"/>
    <w:rsid w:val="00815AEA"/>
    <w:rsid w:val="00815BF7"/>
    <w:rsid w:val="00815C5D"/>
    <w:rsid w:val="00815C64"/>
    <w:rsid w:val="00815C8E"/>
    <w:rsid w:val="00815CC3"/>
    <w:rsid w:val="00815CE9"/>
    <w:rsid w:val="00815D10"/>
    <w:rsid w:val="00815DC1"/>
    <w:rsid w:val="00815DDA"/>
    <w:rsid w:val="00815DEE"/>
    <w:rsid w:val="00815DF6"/>
    <w:rsid w:val="00815F3F"/>
    <w:rsid w:val="00815F5E"/>
    <w:rsid w:val="00815F87"/>
    <w:rsid w:val="00815FBD"/>
    <w:rsid w:val="0081603B"/>
    <w:rsid w:val="008160C5"/>
    <w:rsid w:val="0081617C"/>
    <w:rsid w:val="00816212"/>
    <w:rsid w:val="00816312"/>
    <w:rsid w:val="0081638A"/>
    <w:rsid w:val="00816422"/>
    <w:rsid w:val="00816432"/>
    <w:rsid w:val="008164C7"/>
    <w:rsid w:val="008164F1"/>
    <w:rsid w:val="00816559"/>
    <w:rsid w:val="0081657C"/>
    <w:rsid w:val="00816582"/>
    <w:rsid w:val="0081663C"/>
    <w:rsid w:val="0081663D"/>
    <w:rsid w:val="008166C3"/>
    <w:rsid w:val="008166CE"/>
    <w:rsid w:val="00816704"/>
    <w:rsid w:val="00816742"/>
    <w:rsid w:val="00816779"/>
    <w:rsid w:val="008168D0"/>
    <w:rsid w:val="00816919"/>
    <w:rsid w:val="0081692F"/>
    <w:rsid w:val="00816973"/>
    <w:rsid w:val="0081697D"/>
    <w:rsid w:val="00816B9A"/>
    <w:rsid w:val="00816C8B"/>
    <w:rsid w:val="00816CA2"/>
    <w:rsid w:val="00816CDC"/>
    <w:rsid w:val="00816CE4"/>
    <w:rsid w:val="00816CF7"/>
    <w:rsid w:val="00816D5C"/>
    <w:rsid w:val="00816D9E"/>
    <w:rsid w:val="00816DA8"/>
    <w:rsid w:val="00816E09"/>
    <w:rsid w:val="00816E97"/>
    <w:rsid w:val="00816EE7"/>
    <w:rsid w:val="00816F0B"/>
    <w:rsid w:val="00816FA4"/>
    <w:rsid w:val="00816FBE"/>
    <w:rsid w:val="00817021"/>
    <w:rsid w:val="00817085"/>
    <w:rsid w:val="008170E8"/>
    <w:rsid w:val="00817199"/>
    <w:rsid w:val="008171A0"/>
    <w:rsid w:val="008171A5"/>
    <w:rsid w:val="0081722C"/>
    <w:rsid w:val="0081725F"/>
    <w:rsid w:val="00817310"/>
    <w:rsid w:val="008173B0"/>
    <w:rsid w:val="008173DD"/>
    <w:rsid w:val="00817455"/>
    <w:rsid w:val="008174B5"/>
    <w:rsid w:val="00817506"/>
    <w:rsid w:val="0081750E"/>
    <w:rsid w:val="00817511"/>
    <w:rsid w:val="00817513"/>
    <w:rsid w:val="00817519"/>
    <w:rsid w:val="0081751B"/>
    <w:rsid w:val="008175CC"/>
    <w:rsid w:val="00817602"/>
    <w:rsid w:val="0081772B"/>
    <w:rsid w:val="00817797"/>
    <w:rsid w:val="008177BC"/>
    <w:rsid w:val="008177C4"/>
    <w:rsid w:val="008177CD"/>
    <w:rsid w:val="008178AD"/>
    <w:rsid w:val="00817971"/>
    <w:rsid w:val="00817984"/>
    <w:rsid w:val="008179AB"/>
    <w:rsid w:val="00817A82"/>
    <w:rsid w:val="00817A9A"/>
    <w:rsid w:val="00817AFE"/>
    <w:rsid w:val="00817BF5"/>
    <w:rsid w:val="00817C97"/>
    <w:rsid w:val="00817C99"/>
    <w:rsid w:val="00817CB2"/>
    <w:rsid w:val="00817D25"/>
    <w:rsid w:val="00817D3E"/>
    <w:rsid w:val="00817D59"/>
    <w:rsid w:val="00817D62"/>
    <w:rsid w:val="00817DB3"/>
    <w:rsid w:val="00817DE8"/>
    <w:rsid w:val="00817ECF"/>
    <w:rsid w:val="00817ED5"/>
    <w:rsid w:val="00817F69"/>
    <w:rsid w:val="00817F96"/>
    <w:rsid w:val="00817F98"/>
    <w:rsid w:val="00817FE9"/>
    <w:rsid w:val="00820038"/>
    <w:rsid w:val="0082003A"/>
    <w:rsid w:val="00820118"/>
    <w:rsid w:val="00820126"/>
    <w:rsid w:val="00820134"/>
    <w:rsid w:val="00820136"/>
    <w:rsid w:val="00820166"/>
    <w:rsid w:val="008201A5"/>
    <w:rsid w:val="00820208"/>
    <w:rsid w:val="008202AF"/>
    <w:rsid w:val="0082038A"/>
    <w:rsid w:val="00820391"/>
    <w:rsid w:val="008203C9"/>
    <w:rsid w:val="008203ED"/>
    <w:rsid w:val="00820402"/>
    <w:rsid w:val="0082043D"/>
    <w:rsid w:val="0082048A"/>
    <w:rsid w:val="00820580"/>
    <w:rsid w:val="008206C3"/>
    <w:rsid w:val="008206ED"/>
    <w:rsid w:val="008206F5"/>
    <w:rsid w:val="00820766"/>
    <w:rsid w:val="0082076D"/>
    <w:rsid w:val="008208BA"/>
    <w:rsid w:val="00820916"/>
    <w:rsid w:val="00820953"/>
    <w:rsid w:val="00820973"/>
    <w:rsid w:val="0082097D"/>
    <w:rsid w:val="008209D1"/>
    <w:rsid w:val="008209DD"/>
    <w:rsid w:val="00820AB2"/>
    <w:rsid w:val="00820AB6"/>
    <w:rsid w:val="00820AC2"/>
    <w:rsid w:val="00820BE8"/>
    <w:rsid w:val="00820C58"/>
    <w:rsid w:val="00820C8A"/>
    <w:rsid w:val="00820C96"/>
    <w:rsid w:val="00820D3E"/>
    <w:rsid w:val="00820D8C"/>
    <w:rsid w:val="00820DAA"/>
    <w:rsid w:val="00820DD2"/>
    <w:rsid w:val="00820EB6"/>
    <w:rsid w:val="00820F36"/>
    <w:rsid w:val="008210B6"/>
    <w:rsid w:val="008210C7"/>
    <w:rsid w:val="00821112"/>
    <w:rsid w:val="00821193"/>
    <w:rsid w:val="00821220"/>
    <w:rsid w:val="00821371"/>
    <w:rsid w:val="008213E2"/>
    <w:rsid w:val="0082144C"/>
    <w:rsid w:val="00821475"/>
    <w:rsid w:val="008214BD"/>
    <w:rsid w:val="00821508"/>
    <w:rsid w:val="00821567"/>
    <w:rsid w:val="0082159B"/>
    <w:rsid w:val="008215DC"/>
    <w:rsid w:val="008215E2"/>
    <w:rsid w:val="00821675"/>
    <w:rsid w:val="008216FE"/>
    <w:rsid w:val="0082177D"/>
    <w:rsid w:val="00821801"/>
    <w:rsid w:val="00821822"/>
    <w:rsid w:val="008218C4"/>
    <w:rsid w:val="008219A8"/>
    <w:rsid w:val="008219BE"/>
    <w:rsid w:val="00821A4B"/>
    <w:rsid w:val="00821AC3"/>
    <w:rsid w:val="00821B2C"/>
    <w:rsid w:val="00821B2E"/>
    <w:rsid w:val="00821B71"/>
    <w:rsid w:val="00821B9C"/>
    <w:rsid w:val="00821BE2"/>
    <w:rsid w:val="00821CD5"/>
    <w:rsid w:val="00821D3E"/>
    <w:rsid w:val="00821D92"/>
    <w:rsid w:val="00821EA6"/>
    <w:rsid w:val="00821F13"/>
    <w:rsid w:val="00821F51"/>
    <w:rsid w:val="00821F59"/>
    <w:rsid w:val="00821F71"/>
    <w:rsid w:val="00821FBD"/>
    <w:rsid w:val="00821FCC"/>
    <w:rsid w:val="00821FE3"/>
    <w:rsid w:val="00822069"/>
    <w:rsid w:val="00822077"/>
    <w:rsid w:val="008220B5"/>
    <w:rsid w:val="0082210B"/>
    <w:rsid w:val="0082211C"/>
    <w:rsid w:val="00822197"/>
    <w:rsid w:val="008222EA"/>
    <w:rsid w:val="0082237B"/>
    <w:rsid w:val="008223E9"/>
    <w:rsid w:val="00822469"/>
    <w:rsid w:val="0082249F"/>
    <w:rsid w:val="008224C1"/>
    <w:rsid w:val="00822516"/>
    <w:rsid w:val="0082253D"/>
    <w:rsid w:val="0082258C"/>
    <w:rsid w:val="008225CF"/>
    <w:rsid w:val="008225F3"/>
    <w:rsid w:val="00822621"/>
    <w:rsid w:val="00822664"/>
    <w:rsid w:val="00822667"/>
    <w:rsid w:val="0082266C"/>
    <w:rsid w:val="0082278F"/>
    <w:rsid w:val="008227D0"/>
    <w:rsid w:val="00822869"/>
    <w:rsid w:val="00822886"/>
    <w:rsid w:val="008228F0"/>
    <w:rsid w:val="00822910"/>
    <w:rsid w:val="0082292B"/>
    <w:rsid w:val="00822967"/>
    <w:rsid w:val="00822978"/>
    <w:rsid w:val="00822A7C"/>
    <w:rsid w:val="00822A80"/>
    <w:rsid w:val="00822AFA"/>
    <w:rsid w:val="00822BD4"/>
    <w:rsid w:val="00822CE8"/>
    <w:rsid w:val="00822D1C"/>
    <w:rsid w:val="00822D98"/>
    <w:rsid w:val="00822DDE"/>
    <w:rsid w:val="00822E50"/>
    <w:rsid w:val="00822E5A"/>
    <w:rsid w:val="00822EB8"/>
    <w:rsid w:val="00822F07"/>
    <w:rsid w:val="00822F24"/>
    <w:rsid w:val="00822F3A"/>
    <w:rsid w:val="00822F49"/>
    <w:rsid w:val="00822F82"/>
    <w:rsid w:val="00822FAE"/>
    <w:rsid w:val="00822FC7"/>
    <w:rsid w:val="00823013"/>
    <w:rsid w:val="0082303F"/>
    <w:rsid w:val="00823046"/>
    <w:rsid w:val="00823049"/>
    <w:rsid w:val="00823085"/>
    <w:rsid w:val="008230AA"/>
    <w:rsid w:val="008230FD"/>
    <w:rsid w:val="00823120"/>
    <w:rsid w:val="008231F6"/>
    <w:rsid w:val="00823345"/>
    <w:rsid w:val="00823367"/>
    <w:rsid w:val="00823377"/>
    <w:rsid w:val="008234AC"/>
    <w:rsid w:val="00823583"/>
    <w:rsid w:val="008235D9"/>
    <w:rsid w:val="0082365F"/>
    <w:rsid w:val="0082366C"/>
    <w:rsid w:val="0082369C"/>
    <w:rsid w:val="0082369D"/>
    <w:rsid w:val="0082371A"/>
    <w:rsid w:val="008237B0"/>
    <w:rsid w:val="008237B9"/>
    <w:rsid w:val="008237C3"/>
    <w:rsid w:val="00823848"/>
    <w:rsid w:val="0082389F"/>
    <w:rsid w:val="008238C7"/>
    <w:rsid w:val="008238E2"/>
    <w:rsid w:val="0082391A"/>
    <w:rsid w:val="00823AED"/>
    <w:rsid w:val="00823BBC"/>
    <w:rsid w:val="00823BF2"/>
    <w:rsid w:val="00823BFB"/>
    <w:rsid w:val="00823C8B"/>
    <w:rsid w:val="00823D41"/>
    <w:rsid w:val="00823DA0"/>
    <w:rsid w:val="00823DE4"/>
    <w:rsid w:val="00823DF9"/>
    <w:rsid w:val="00823E1E"/>
    <w:rsid w:val="00823E23"/>
    <w:rsid w:val="00823EC4"/>
    <w:rsid w:val="00823F8C"/>
    <w:rsid w:val="00823F9A"/>
    <w:rsid w:val="00823FC3"/>
    <w:rsid w:val="008240CF"/>
    <w:rsid w:val="00824144"/>
    <w:rsid w:val="0082416D"/>
    <w:rsid w:val="00824172"/>
    <w:rsid w:val="00824190"/>
    <w:rsid w:val="008242A9"/>
    <w:rsid w:val="008242B8"/>
    <w:rsid w:val="008242E5"/>
    <w:rsid w:val="0082432B"/>
    <w:rsid w:val="00824339"/>
    <w:rsid w:val="00824392"/>
    <w:rsid w:val="00824587"/>
    <w:rsid w:val="00824733"/>
    <w:rsid w:val="00824743"/>
    <w:rsid w:val="008247F4"/>
    <w:rsid w:val="0082480A"/>
    <w:rsid w:val="0082488C"/>
    <w:rsid w:val="00824899"/>
    <w:rsid w:val="008248CB"/>
    <w:rsid w:val="008248E0"/>
    <w:rsid w:val="008249B8"/>
    <w:rsid w:val="008249DC"/>
    <w:rsid w:val="00824A61"/>
    <w:rsid w:val="00824BE8"/>
    <w:rsid w:val="00824BF6"/>
    <w:rsid w:val="00824C38"/>
    <w:rsid w:val="00824C40"/>
    <w:rsid w:val="00824CA4"/>
    <w:rsid w:val="00824CAF"/>
    <w:rsid w:val="00824D49"/>
    <w:rsid w:val="00824DC1"/>
    <w:rsid w:val="00824E41"/>
    <w:rsid w:val="00824E51"/>
    <w:rsid w:val="00824E60"/>
    <w:rsid w:val="00824E8E"/>
    <w:rsid w:val="00825009"/>
    <w:rsid w:val="0082506A"/>
    <w:rsid w:val="008250CB"/>
    <w:rsid w:val="00825129"/>
    <w:rsid w:val="00825162"/>
    <w:rsid w:val="0082517C"/>
    <w:rsid w:val="0082523B"/>
    <w:rsid w:val="00825250"/>
    <w:rsid w:val="008252A7"/>
    <w:rsid w:val="0082531D"/>
    <w:rsid w:val="00825437"/>
    <w:rsid w:val="00825515"/>
    <w:rsid w:val="008255D8"/>
    <w:rsid w:val="008255F5"/>
    <w:rsid w:val="00825633"/>
    <w:rsid w:val="00825685"/>
    <w:rsid w:val="008256BB"/>
    <w:rsid w:val="008257D2"/>
    <w:rsid w:val="008258EC"/>
    <w:rsid w:val="008259A9"/>
    <w:rsid w:val="008259E5"/>
    <w:rsid w:val="00825A9C"/>
    <w:rsid w:val="00825AA6"/>
    <w:rsid w:val="00825B87"/>
    <w:rsid w:val="00825BB0"/>
    <w:rsid w:val="00825C0A"/>
    <w:rsid w:val="00825C97"/>
    <w:rsid w:val="00825CB1"/>
    <w:rsid w:val="00825DF5"/>
    <w:rsid w:val="00825E83"/>
    <w:rsid w:val="00825F47"/>
    <w:rsid w:val="00825F53"/>
    <w:rsid w:val="00825F5D"/>
    <w:rsid w:val="00825F68"/>
    <w:rsid w:val="00825F78"/>
    <w:rsid w:val="00826010"/>
    <w:rsid w:val="0082603E"/>
    <w:rsid w:val="0082604C"/>
    <w:rsid w:val="008261A7"/>
    <w:rsid w:val="008261CE"/>
    <w:rsid w:val="00826220"/>
    <w:rsid w:val="008262F2"/>
    <w:rsid w:val="00826307"/>
    <w:rsid w:val="008263B7"/>
    <w:rsid w:val="008263B8"/>
    <w:rsid w:val="008263DC"/>
    <w:rsid w:val="0082640D"/>
    <w:rsid w:val="00826445"/>
    <w:rsid w:val="008264B1"/>
    <w:rsid w:val="008264CE"/>
    <w:rsid w:val="008264E3"/>
    <w:rsid w:val="0082655B"/>
    <w:rsid w:val="00826609"/>
    <w:rsid w:val="00826632"/>
    <w:rsid w:val="00826689"/>
    <w:rsid w:val="00826695"/>
    <w:rsid w:val="008266E5"/>
    <w:rsid w:val="00826716"/>
    <w:rsid w:val="00826750"/>
    <w:rsid w:val="00826833"/>
    <w:rsid w:val="0082685F"/>
    <w:rsid w:val="00826904"/>
    <w:rsid w:val="00826959"/>
    <w:rsid w:val="0082698C"/>
    <w:rsid w:val="0082699F"/>
    <w:rsid w:val="008269C1"/>
    <w:rsid w:val="00826A24"/>
    <w:rsid w:val="00826A3C"/>
    <w:rsid w:val="00826A69"/>
    <w:rsid w:val="00826AAC"/>
    <w:rsid w:val="00826AB1"/>
    <w:rsid w:val="00826B94"/>
    <w:rsid w:val="00826BA3"/>
    <w:rsid w:val="00826D23"/>
    <w:rsid w:val="00826E96"/>
    <w:rsid w:val="00826EE6"/>
    <w:rsid w:val="00826F0D"/>
    <w:rsid w:val="00826F15"/>
    <w:rsid w:val="00826F7B"/>
    <w:rsid w:val="00826F89"/>
    <w:rsid w:val="00827009"/>
    <w:rsid w:val="00827017"/>
    <w:rsid w:val="008270AE"/>
    <w:rsid w:val="00827103"/>
    <w:rsid w:val="00827106"/>
    <w:rsid w:val="008271A2"/>
    <w:rsid w:val="008271CD"/>
    <w:rsid w:val="00827243"/>
    <w:rsid w:val="00827289"/>
    <w:rsid w:val="008273EF"/>
    <w:rsid w:val="00827487"/>
    <w:rsid w:val="008274E4"/>
    <w:rsid w:val="0082754E"/>
    <w:rsid w:val="00827564"/>
    <w:rsid w:val="008275BE"/>
    <w:rsid w:val="0082761E"/>
    <w:rsid w:val="00827737"/>
    <w:rsid w:val="0082785F"/>
    <w:rsid w:val="00827888"/>
    <w:rsid w:val="008278DF"/>
    <w:rsid w:val="008278FF"/>
    <w:rsid w:val="00827988"/>
    <w:rsid w:val="0082798D"/>
    <w:rsid w:val="008279A0"/>
    <w:rsid w:val="008279CF"/>
    <w:rsid w:val="00827B81"/>
    <w:rsid w:val="00827B99"/>
    <w:rsid w:val="00827BA0"/>
    <w:rsid w:val="00827C05"/>
    <w:rsid w:val="00827D3C"/>
    <w:rsid w:val="00827E00"/>
    <w:rsid w:val="00827E0F"/>
    <w:rsid w:val="00827E30"/>
    <w:rsid w:val="00827E45"/>
    <w:rsid w:val="00827EC1"/>
    <w:rsid w:val="00827FE6"/>
    <w:rsid w:val="00830084"/>
    <w:rsid w:val="008300ED"/>
    <w:rsid w:val="008300FF"/>
    <w:rsid w:val="00830136"/>
    <w:rsid w:val="00830187"/>
    <w:rsid w:val="008301DD"/>
    <w:rsid w:val="008301F6"/>
    <w:rsid w:val="00830224"/>
    <w:rsid w:val="00830231"/>
    <w:rsid w:val="0083024B"/>
    <w:rsid w:val="008302F6"/>
    <w:rsid w:val="008302F7"/>
    <w:rsid w:val="00830324"/>
    <w:rsid w:val="008303CC"/>
    <w:rsid w:val="008303E1"/>
    <w:rsid w:val="00830497"/>
    <w:rsid w:val="0083049D"/>
    <w:rsid w:val="008304A4"/>
    <w:rsid w:val="008304A5"/>
    <w:rsid w:val="008304D3"/>
    <w:rsid w:val="0083050B"/>
    <w:rsid w:val="00830541"/>
    <w:rsid w:val="00830566"/>
    <w:rsid w:val="00830573"/>
    <w:rsid w:val="00830614"/>
    <w:rsid w:val="00830622"/>
    <w:rsid w:val="0083068F"/>
    <w:rsid w:val="008306B2"/>
    <w:rsid w:val="008306EB"/>
    <w:rsid w:val="0083073E"/>
    <w:rsid w:val="008307B3"/>
    <w:rsid w:val="008307E5"/>
    <w:rsid w:val="00830814"/>
    <w:rsid w:val="00830869"/>
    <w:rsid w:val="00830958"/>
    <w:rsid w:val="00830972"/>
    <w:rsid w:val="008309BF"/>
    <w:rsid w:val="008309C4"/>
    <w:rsid w:val="008309E5"/>
    <w:rsid w:val="008309ED"/>
    <w:rsid w:val="00830A59"/>
    <w:rsid w:val="00830ACC"/>
    <w:rsid w:val="00830B22"/>
    <w:rsid w:val="00830B45"/>
    <w:rsid w:val="00830B65"/>
    <w:rsid w:val="00830D13"/>
    <w:rsid w:val="00830D38"/>
    <w:rsid w:val="00830D3B"/>
    <w:rsid w:val="00830D5F"/>
    <w:rsid w:val="00830E3D"/>
    <w:rsid w:val="00830E43"/>
    <w:rsid w:val="00830E80"/>
    <w:rsid w:val="00830ED9"/>
    <w:rsid w:val="00830F25"/>
    <w:rsid w:val="00830F83"/>
    <w:rsid w:val="0083108F"/>
    <w:rsid w:val="008310D3"/>
    <w:rsid w:val="0083114C"/>
    <w:rsid w:val="00831178"/>
    <w:rsid w:val="008311AC"/>
    <w:rsid w:val="008311C9"/>
    <w:rsid w:val="008311DF"/>
    <w:rsid w:val="0083122E"/>
    <w:rsid w:val="00831243"/>
    <w:rsid w:val="0083125C"/>
    <w:rsid w:val="008312E8"/>
    <w:rsid w:val="0083130D"/>
    <w:rsid w:val="008313BD"/>
    <w:rsid w:val="008314FC"/>
    <w:rsid w:val="00831582"/>
    <w:rsid w:val="00831584"/>
    <w:rsid w:val="008315A3"/>
    <w:rsid w:val="008315A6"/>
    <w:rsid w:val="0083163D"/>
    <w:rsid w:val="00831654"/>
    <w:rsid w:val="00831677"/>
    <w:rsid w:val="00831753"/>
    <w:rsid w:val="0083185F"/>
    <w:rsid w:val="008318EE"/>
    <w:rsid w:val="008318EF"/>
    <w:rsid w:val="0083198F"/>
    <w:rsid w:val="00831ABF"/>
    <w:rsid w:val="00831B18"/>
    <w:rsid w:val="00831B2D"/>
    <w:rsid w:val="00831B4C"/>
    <w:rsid w:val="00831B4F"/>
    <w:rsid w:val="00831B52"/>
    <w:rsid w:val="00831B88"/>
    <w:rsid w:val="00831C61"/>
    <w:rsid w:val="00831CE8"/>
    <w:rsid w:val="00831CEA"/>
    <w:rsid w:val="00831CFC"/>
    <w:rsid w:val="00831D11"/>
    <w:rsid w:val="00831D60"/>
    <w:rsid w:val="00831DB9"/>
    <w:rsid w:val="00831DBD"/>
    <w:rsid w:val="00831E2B"/>
    <w:rsid w:val="00831E73"/>
    <w:rsid w:val="00831F0F"/>
    <w:rsid w:val="00831F5D"/>
    <w:rsid w:val="00831F71"/>
    <w:rsid w:val="00831F7D"/>
    <w:rsid w:val="0083205E"/>
    <w:rsid w:val="008320B6"/>
    <w:rsid w:val="00832159"/>
    <w:rsid w:val="008321B3"/>
    <w:rsid w:val="00832261"/>
    <w:rsid w:val="00832272"/>
    <w:rsid w:val="00832279"/>
    <w:rsid w:val="00832292"/>
    <w:rsid w:val="008322DD"/>
    <w:rsid w:val="0083236C"/>
    <w:rsid w:val="00832388"/>
    <w:rsid w:val="008323E3"/>
    <w:rsid w:val="00832495"/>
    <w:rsid w:val="008324B5"/>
    <w:rsid w:val="008324D1"/>
    <w:rsid w:val="00832539"/>
    <w:rsid w:val="0083253C"/>
    <w:rsid w:val="0083253F"/>
    <w:rsid w:val="00832571"/>
    <w:rsid w:val="0083258D"/>
    <w:rsid w:val="00832590"/>
    <w:rsid w:val="0083264D"/>
    <w:rsid w:val="00832667"/>
    <w:rsid w:val="008326A3"/>
    <w:rsid w:val="008326AD"/>
    <w:rsid w:val="008326B0"/>
    <w:rsid w:val="00832741"/>
    <w:rsid w:val="008328A2"/>
    <w:rsid w:val="00832993"/>
    <w:rsid w:val="008329D2"/>
    <w:rsid w:val="00832A9F"/>
    <w:rsid w:val="00832AD3"/>
    <w:rsid w:val="00832B1D"/>
    <w:rsid w:val="00832B22"/>
    <w:rsid w:val="00832B57"/>
    <w:rsid w:val="00832B6E"/>
    <w:rsid w:val="00832B99"/>
    <w:rsid w:val="00832BE5"/>
    <w:rsid w:val="00832CA3"/>
    <w:rsid w:val="00832CC7"/>
    <w:rsid w:val="00832CD0"/>
    <w:rsid w:val="00832CEE"/>
    <w:rsid w:val="00832EEB"/>
    <w:rsid w:val="00832F01"/>
    <w:rsid w:val="00832F21"/>
    <w:rsid w:val="00832F4C"/>
    <w:rsid w:val="00832F7A"/>
    <w:rsid w:val="00832F9D"/>
    <w:rsid w:val="00832FC5"/>
    <w:rsid w:val="00833065"/>
    <w:rsid w:val="008330B3"/>
    <w:rsid w:val="008330E7"/>
    <w:rsid w:val="0083311C"/>
    <w:rsid w:val="00833158"/>
    <w:rsid w:val="0083320C"/>
    <w:rsid w:val="00833218"/>
    <w:rsid w:val="00833242"/>
    <w:rsid w:val="00833253"/>
    <w:rsid w:val="0083326B"/>
    <w:rsid w:val="008332E2"/>
    <w:rsid w:val="008332E7"/>
    <w:rsid w:val="008332F6"/>
    <w:rsid w:val="00833365"/>
    <w:rsid w:val="008333E7"/>
    <w:rsid w:val="00833414"/>
    <w:rsid w:val="00833421"/>
    <w:rsid w:val="008334A2"/>
    <w:rsid w:val="00833533"/>
    <w:rsid w:val="00833585"/>
    <w:rsid w:val="008335B6"/>
    <w:rsid w:val="008335B9"/>
    <w:rsid w:val="008335FE"/>
    <w:rsid w:val="00833613"/>
    <w:rsid w:val="00833647"/>
    <w:rsid w:val="008337C0"/>
    <w:rsid w:val="00833AC7"/>
    <w:rsid w:val="00833B19"/>
    <w:rsid w:val="00833B1F"/>
    <w:rsid w:val="00833B47"/>
    <w:rsid w:val="00833B7A"/>
    <w:rsid w:val="00833BD4"/>
    <w:rsid w:val="00833BE9"/>
    <w:rsid w:val="00833C82"/>
    <w:rsid w:val="00833CCE"/>
    <w:rsid w:val="00833D06"/>
    <w:rsid w:val="00833D95"/>
    <w:rsid w:val="00833DA7"/>
    <w:rsid w:val="00833DAB"/>
    <w:rsid w:val="00833DBD"/>
    <w:rsid w:val="00833E3B"/>
    <w:rsid w:val="00833E40"/>
    <w:rsid w:val="00833E5F"/>
    <w:rsid w:val="00833E80"/>
    <w:rsid w:val="00833EA5"/>
    <w:rsid w:val="00833EF4"/>
    <w:rsid w:val="00833EFF"/>
    <w:rsid w:val="00833F0E"/>
    <w:rsid w:val="00833F27"/>
    <w:rsid w:val="00833FBC"/>
    <w:rsid w:val="00834034"/>
    <w:rsid w:val="008340D0"/>
    <w:rsid w:val="008340F3"/>
    <w:rsid w:val="0083412E"/>
    <w:rsid w:val="0083419D"/>
    <w:rsid w:val="0083423B"/>
    <w:rsid w:val="00834294"/>
    <w:rsid w:val="00834407"/>
    <w:rsid w:val="008344CD"/>
    <w:rsid w:val="008344DB"/>
    <w:rsid w:val="008344EF"/>
    <w:rsid w:val="00834546"/>
    <w:rsid w:val="0083464D"/>
    <w:rsid w:val="0083465F"/>
    <w:rsid w:val="00834718"/>
    <w:rsid w:val="0083477D"/>
    <w:rsid w:val="008347D6"/>
    <w:rsid w:val="008347F3"/>
    <w:rsid w:val="00834836"/>
    <w:rsid w:val="0083487E"/>
    <w:rsid w:val="008348FC"/>
    <w:rsid w:val="00834945"/>
    <w:rsid w:val="00834A5D"/>
    <w:rsid w:val="00834A6F"/>
    <w:rsid w:val="00834AFA"/>
    <w:rsid w:val="00834B0B"/>
    <w:rsid w:val="00834B0F"/>
    <w:rsid w:val="00834CC2"/>
    <w:rsid w:val="00834CDB"/>
    <w:rsid w:val="00834D48"/>
    <w:rsid w:val="00834DB0"/>
    <w:rsid w:val="00834E2A"/>
    <w:rsid w:val="00834F49"/>
    <w:rsid w:val="00834FAA"/>
    <w:rsid w:val="00834FAF"/>
    <w:rsid w:val="00835032"/>
    <w:rsid w:val="008350FD"/>
    <w:rsid w:val="0083515A"/>
    <w:rsid w:val="00835195"/>
    <w:rsid w:val="00835234"/>
    <w:rsid w:val="00835247"/>
    <w:rsid w:val="008352A8"/>
    <w:rsid w:val="008352AE"/>
    <w:rsid w:val="008352FA"/>
    <w:rsid w:val="00835332"/>
    <w:rsid w:val="00835361"/>
    <w:rsid w:val="008353FB"/>
    <w:rsid w:val="00835430"/>
    <w:rsid w:val="00835451"/>
    <w:rsid w:val="0083549F"/>
    <w:rsid w:val="008354A4"/>
    <w:rsid w:val="008354B4"/>
    <w:rsid w:val="008354C8"/>
    <w:rsid w:val="00835507"/>
    <w:rsid w:val="0083559E"/>
    <w:rsid w:val="0083559F"/>
    <w:rsid w:val="00835606"/>
    <w:rsid w:val="00835608"/>
    <w:rsid w:val="00835693"/>
    <w:rsid w:val="0083570B"/>
    <w:rsid w:val="0083577D"/>
    <w:rsid w:val="008357DB"/>
    <w:rsid w:val="00835821"/>
    <w:rsid w:val="0083586A"/>
    <w:rsid w:val="008358D7"/>
    <w:rsid w:val="008358E2"/>
    <w:rsid w:val="0083593B"/>
    <w:rsid w:val="00835A59"/>
    <w:rsid w:val="00835AA0"/>
    <w:rsid w:val="00835AC7"/>
    <w:rsid w:val="00835B07"/>
    <w:rsid w:val="00835B21"/>
    <w:rsid w:val="00835B55"/>
    <w:rsid w:val="00835BFD"/>
    <w:rsid w:val="00835C75"/>
    <w:rsid w:val="00835D0F"/>
    <w:rsid w:val="00835D88"/>
    <w:rsid w:val="00835DFF"/>
    <w:rsid w:val="00835E07"/>
    <w:rsid w:val="00835F20"/>
    <w:rsid w:val="00835FEA"/>
    <w:rsid w:val="0083600C"/>
    <w:rsid w:val="00836091"/>
    <w:rsid w:val="008360BC"/>
    <w:rsid w:val="008360C8"/>
    <w:rsid w:val="008360D0"/>
    <w:rsid w:val="00836136"/>
    <w:rsid w:val="0083613E"/>
    <w:rsid w:val="00836145"/>
    <w:rsid w:val="0083618B"/>
    <w:rsid w:val="008361B2"/>
    <w:rsid w:val="00836216"/>
    <w:rsid w:val="00836264"/>
    <w:rsid w:val="008362DE"/>
    <w:rsid w:val="00836339"/>
    <w:rsid w:val="008364B3"/>
    <w:rsid w:val="008364C7"/>
    <w:rsid w:val="008364F5"/>
    <w:rsid w:val="00836648"/>
    <w:rsid w:val="00836664"/>
    <w:rsid w:val="00836672"/>
    <w:rsid w:val="0083668E"/>
    <w:rsid w:val="008366C9"/>
    <w:rsid w:val="00836716"/>
    <w:rsid w:val="00836717"/>
    <w:rsid w:val="00836729"/>
    <w:rsid w:val="00836738"/>
    <w:rsid w:val="0083678A"/>
    <w:rsid w:val="0083687B"/>
    <w:rsid w:val="00836884"/>
    <w:rsid w:val="0083695D"/>
    <w:rsid w:val="00836ADF"/>
    <w:rsid w:val="00836B0A"/>
    <w:rsid w:val="00836B9A"/>
    <w:rsid w:val="00836BFD"/>
    <w:rsid w:val="00836C22"/>
    <w:rsid w:val="00836C35"/>
    <w:rsid w:val="00836C58"/>
    <w:rsid w:val="00836D35"/>
    <w:rsid w:val="00836D77"/>
    <w:rsid w:val="00836E20"/>
    <w:rsid w:val="00836EC4"/>
    <w:rsid w:val="00836EE8"/>
    <w:rsid w:val="00836F78"/>
    <w:rsid w:val="00837078"/>
    <w:rsid w:val="008370B6"/>
    <w:rsid w:val="008370C1"/>
    <w:rsid w:val="00837139"/>
    <w:rsid w:val="008371BD"/>
    <w:rsid w:val="0083724A"/>
    <w:rsid w:val="008372A3"/>
    <w:rsid w:val="008372AE"/>
    <w:rsid w:val="008373B9"/>
    <w:rsid w:val="0083750C"/>
    <w:rsid w:val="00837513"/>
    <w:rsid w:val="008375E3"/>
    <w:rsid w:val="008376BE"/>
    <w:rsid w:val="00837733"/>
    <w:rsid w:val="008377B1"/>
    <w:rsid w:val="008377B7"/>
    <w:rsid w:val="008378BD"/>
    <w:rsid w:val="00837923"/>
    <w:rsid w:val="00837981"/>
    <w:rsid w:val="00837996"/>
    <w:rsid w:val="008379FB"/>
    <w:rsid w:val="00837A24"/>
    <w:rsid w:val="00837B3B"/>
    <w:rsid w:val="00837B49"/>
    <w:rsid w:val="00837BD4"/>
    <w:rsid w:val="00837C38"/>
    <w:rsid w:val="00837CCA"/>
    <w:rsid w:val="00837CD4"/>
    <w:rsid w:val="00837CD8"/>
    <w:rsid w:val="00837D3D"/>
    <w:rsid w:val="00837E02"/>
    <w:rsid w:val="00837E58"/>
    <w:rsid w:val="00837E5D"/>
    <w:rsid w:val="00837F29"/>
    <w:rsid w:val="00837F5B"/>
    <w:rsid w:val="00837F6F"/>
    <w:rsid w:val="00837F95"/>
    <w:rsid w:val="00840004"/>
    <w:rsid w:val="00840098"/>
    <w:rsid w:val="00840102"/>
    <w:rsid w:val="0084011F"/>
    <w:rsid w:val="0084018B"/>
    <w:rsid w:val="008401F1"/>
    <w:rsid w:val="008402ED"/>
    <w:rsid w:val="008402F5"/>
    <w:rsid w:val="00840313"/>
    <w:rsid w:val="00840359"/>
    <w:rsid w:val="0084039A"/>
    <w:rsid w:val="008403B7"/>
    <w:rsid w:val="008403E0"/>
    <w:rsid w:val="00840402"/>
    <w:rsid w:val="00840441"/>
    <w:rsid w:val="00840590"/>
    <w:rsid w:val="008405CB"/>
    <w:rsid w:val="008406E8"/>
    <w:rsid w:val="00840728"/>
    <w:rsid w:val="008407BF"/>
    <w:rsid w:val="008408A4"/>
    <w:rsid w:val="00840929"/>
    <w:rsid w:val="00840958"/>
    <w:rsid w:val="00840978"/>
    <w:rsid w:val="00840996"/>
    <w:rsid w:val="00840A31"/>
    <w:rsid w:val="00840A38"/>
    <w:rsid w:val="00840AB7"/>
    <w:rsid w:val="00840B15"/>
    <w:rsid w:val="00840B33"/>
    <w:rsid w:val="00840B4A"/>
    <w:rsid w:val="00840B9D"/>
    <w:rsid w:val="00840BA4"/>
    <w:rsid w:val="00840CD9"/>
    <w:rsid w:val="00840CDD"/>
    <w:rsid w:val="00840D05"/>
    <w:rsid w:val="00840D3E"/>
    <w:rsid w:val="00840E20"/>
    <w:rsid w:val="00840E4F"/>
    <w:rsid w:val="00840EE8"/>
    <w:rsid w:val="00840F0C"/>
    <w:rsid w:val="00840FFC"/>
    <w:rsid w:val="0084105D"/>
    <w:rsid w:val="00841080"/>
    <w:rsid w:val="00841126"/>
    <w:rsid w:val="008411CC"/>
    <w:rsid w:val="00841251"/>
    <w:rsid w:val="008412AB"/>
    <w:rsid w:val="00841358"/>
    <w:rsid w:val="0084140B"/>
    <w:rsid w:val="008414A8"/>
    <w:rsid w:val="008414AC"/>
    <w:rsid w:val="0084151E"/>
    <w:rsid w:val="00841558"/>
    <w:rsid w:val="00841565"/>
    <w:rsid w:val="0084158A"/>
    <w:rsid w:val="008415B0"/>
    <w:rsid w:val="008415CC"/>
    <w:rsid w:val="00841604"/>
    <w:rsid w:val="0084162C"/>
    <w:rsid w:val="0084163C"/>
    <w:rsid w:val="0084164D"/>
    <w:rsid w:val="00841810"/>
    <w:rsid w:val="008418B3"/>
    <w:rsid w:val="00841904"/>
    <w:rsid w:val="00841A3F"/>
    <w:rsid w:val="00841A9C"/>
    <w:rsid w:val="00841B77"/>
    <w:rsid w:val="00841BD1"/>
    <w:rsid w:val="00841C31"/>
    <w:rsid w:val="00841C47"/>
    <w:rsid w:val="00841EC5"/>
    <w:rsid w:val="00841FD6"/>
    <w:rsid w:val="00842067"/>
    <w:rsid w:val="008420B9"/>
    <w:rsid w:val="008420DC"/>
    <w:rsid w:val="00842161"/>
    <w:rsid w:val="0084221A"/>
    <w:rsid w:val="0084224C"/>
    <w:rsid w:val="00842254"/>
    <w:rsid w:val="008422B1"/>
    <w:rsid w:val="00842372"/>
    <w:rsid w:val="00842381"/>
    <w:rsid w:val="00842553"/>
    <w:rsid w:val="00842697"/>
    <w:rsid w:val="008427C3"/>
    <w:rsid w:val="00842809"/>
    <w:rsid w:val="0084288A"/>
    <w:rsid w:val="008428AB"/>
    <w:rsid w:val="008428B7"/>
    <w:rsid w:val="008429B3"/>
    <w:rsid w:val="00842A0C"/>
    <w:rsid w:val="00842A40"/>
    <w:rsid w:val="00842A62"/>
    <w:rsid w:val="00842A67"/>
    <w:rsid w:val="00842AE5"/>
    <w:rsid w:val="00842AF6"/>
    <w:rsid w:val="00842B66"/>
    <w:rsid w:val="00842C35"/>
    <w:rsid w:val="00842C64"/>
    <w:rsid w:val="00842C8F"/>
    <w:rsid w:val="00842CFC"/>
    <w:rsid w:val="00842D51"/>
    <w:rsid w:val="00842E19"/>
    <w:rsid w:val="00842E36"/>
    <w:rsid w:val="00842EB4"/>
    <w:rsid w:val="00842ECA"/>
    <w:rsid w:val="00842EFB"/>
    <w:rsid w:val="00842F31"/>
    <w:rsid w:val="00842FB5"/>
    <w:rsid w:val="00842FD8"/>
    <w:rsid w:val="00842FEA"/>
    <w:rsid w:val="0084313C"/>
    <w:rsid w:val="00843159"/>
    <w:rsid w:val="00843217"/>
    <w:rsid w:val="0084329C"/>
    <w:rsid w:val="008432B7"/>
    <w:rsid w:val="008432BA"/>
    <w:rsid w:val="00843304"/>
    <w:rsid w:val="00843440"/>
    <w:rsid w:val="0084349F"/>
    <w:rsid w:val="008434A2"/>
    <w:rsid w:val="00843515"/>
    <w:rsid w:val="00843549"/>
    <w:rsid w:val="0084358D"/>
    <w:rsid w:val="008435A4"/>
    <w:rsid w:val="0084362F"/>
    <w:rsid w:val="00843672"/>
    <w:rsid w:val="00843766"/>
    <w:rsid w:val="008437C0"/>
    <w:rsid w:val="0084380D"/>
    <w:rsid w:val="00843826"/>
    <w:rsid w:val="0084392D"/>
    <w:rsid w:val="00843944"/>
    <w:rsid w:val="0084397A"/>
    <w:rsid w:val="008439CE"/>
    <w:rsid w:val="00843A11"/>
    <w:rsid w:val="00843AB7"/>
    <w:rsid w:val="00843B03"/>
    <w:rsid w:val="00843B54"/>
    <w:rsid w:val="00843BAE"/>
    <w:rsid w:val="00843C7A"/>
    <w:rsid w:val="00843CBC"/>
    <w:rsid w:val="00843CFC"/>
    <w:rsid w:val="00843D28"/>
    <w:rsid w:val="00843D57"/>
    <w:rsid w:val="00843DA6"/>
    <w:rsid w:val="00843DB7"/>
    <w:rsid w:val="00843E1E"/>
    <w:rsid w:val="00843EB2"/>
    <w:rsid w:val="00843EEE"/>
    <w:rsid w:val="00843F7B"/>
    <w:rsid w:val="00844058"/>
    <w:rsid w:val="008440B8"/>
    <w:rsid w:val="008440FC"/>
    <w:rsid w:val="00844163"/>
    <w:rsid w:val="00844164"/>
    <w:rsid w:val="008441BD"/>
    <w:rsid w:val="008441FC"/>
    <w:rsid w:val="0084426D"/>
    <w:rsid w:val="008442CF"/>
    <w:rsid w:val="008442DB"/>
    <w:rsid w:val="00844314"/>
    <w:rsid w:val="0084433B"/>
    <w:rsid w:val="0084433F"/>
    <w:rsid w:val="0084436B"/>
    <w:rsid w:val="0084440E"/>
    <w:rsid w:val="00844459"/>
    <w:rsid w:val="00844481"/>
    <w:rsid w:val="00844587"/>
    <w:rsid w:val="00844616"/>
    <w:rsid w:val="00844645"/>
    <w:rsid w:val="0084470B"/>
    <w:rsid w:val="00844770"/>
    <w:rsid w:val="00844787"/>
    <w:rsid w:val="00844794"/>
    <w:rsid w:val="008448B6"/>
    <w:rsid w:val="008448E3"/>
    <w:rsid w:val="008448E6"/>
    <w:rsid w:val="00844925"/>
    <w:rsid w:val="00844ADD"/>
    <w:rsid w:val="00844B62"/>
    <w:rsid w:val="00844B7B"/>
    <w:rsid w:val="00844BB9"/>
    <w:rsid w:val="00844BD9"/>
    <w:rsid w:val="00844BDA"/>
    <w:rsid w:val="00844C9F"/>
    <w:rsid w:val="00844CB6"/>
    <w:rsid w:val="00844D54"/>
    <w:rsid w:val="00844D83"/>
    <w:rsid w:val="00844E05"/>
    <w:rsid w:val="00844E08"/>
    <w:rsid w:val="00844F3E"/>
    <w:rsid w:val="00844F9F"/>
    <w:rsid w:val="0084504E"/>
    <w:rsid w:val="0084505F"/>
    <w:rsid w:val="008450D7"/>
    <w:rsid w:val="008450D9"/>
    <w:rsid w:val="0084510A"/>
    <w:rsid w:val="0084510C"/>
    <w:rsid w:val="008451B9"/>
    <w:rsid w:val="0084521E"/>
    <w:rsid w:val="00845332"/>
    <w:rsid w:val="0084539C"/>
    <w:rsid w:val="008454AB"/>
    <w:rsid w:val="00845551"/>
    <w:rsid w:val="00845562"/>
    <w:rsid w:val="00845563"/>
    <w:rsid w:val="008455B5"/>
    <w:rsid w:val="008455E7"/>
    <w:rsid w:val="008456E0"/>
    <w:rsid w:val="0084573F"/>
    <w:rsid w:val="00845822"/>
    <w:rsid w:val="0084585C"/>
    <w:rsid w:val="00845867"/>
    <w:rsid w:val="0084597D"/>
    <w:rsid w:val="00845A6E"/>
    <w:rsid w:val="00845AC1"/>
    <w:rsid w:val="00845B95"/>
    <w:rsid w:val="00845BDC"/>
    <w:rsid w:val="00845CD4"/>
    <w:rsid w:val="00845D7F"/>
    <w:rsid w:val="00845DA7"/>
    <w:rsid w:val="00845DCF"/>
    <w:rsid w:val="00845E6C"/>
    <w:rsid w:val="00845F0F"/>
    <w:rsid w:val="00845F81"/>
    <w:rsid w:val="00845F89"/>
    <w:rsid w:val="00845FAE"/>
    <w:rsid w:val="00845FC6"/>
    <w:rsid w:val="00846001"/>
    <w:rsid w:val="0084601D"/>
    <w:rsid w:val="0084608A"/>
    <w:rsid w:val="008460F4"/>
    <w:rsid w:val="0084610E"/>
    <w:rsid w:val="00846153"/>
    <w:rsid w:val="00846197"/>
    <w:rsid w:val="008461BF"/>
    <w:rsid w:val="00846201"/>
    <w:rsid w:val="00846207"/>
    <w:rsid w:val="00846266"/>
    <w:rsid w:val="00846352"/>
    <w:rsid w:val="00846366"/>
    <w:rsid w:val="008463B3"/>
    <w:rsid w:val="00846414"/>
    <w:rsid w:val="00846426"/>
    <w:rsid w:val="0084645C"/>
    <w:rsid w:val="0084648A"/>
    <w:rsid w:val="008464FA"/>
    <w:rsid w:val="00846516"/>
    <w:rsid w:val="0084653B"/>
    <w:rsid w:val="00846544"/>
    <w:rsid w:val="00846548"/>
    <w:rsid w:val="00846594"/>
    <w:rsid w:val="008465C7"/>
    <w:rsid w:val="00846613"/>
    <w:rsid w:val="0084666A"/>
    <w:rsid w:val="00846687"/>
    <w:rsid w:val="00846692"/>
    <w:rsid w:val="00846708"/>
    <w:rsid w:val="0084672B"/>
    <w:rsid w:val="008467B9"/>
    <w:rsid w:val="00846811"/>
    <w:rsid w:val="0084681D"/>
    <w:rsid w:val="00846845"/>
    <w:rsid w:val="008468DB"/>
    <w:rsid w:val="00846910"/>
    <w:rsid w:val="0084692D"/>
    <w:rsid w:val="0084697D"/>
    <w:rsid w:val="00846A13"/>
    <w:rsid w:val="00846A3A"/>
    <w:rsid w:val="00846B5F"/>
    <w:rsid w:val="00846B67"/>
    <w:rsid w:val="00846BDF"/>
    <w:rsid w:val="00846C3F"/>
    <w:rsid w:val="00846C7D"/>
    <w:rsid w:val="00846C80"/>
    <w:rsid w:val="00846CFF"/>
    <w:rsid w:val="00846DED"/>
    <w:rsid w:val="00846E11"/>
    <w:rsid w:val="00846E29"/>
    <w:rsid w:val="00846EB1"/>
    <w:rsid w:val="00846EC6"/>
    <w:rsid w:val="00846EF6"/>
    <w:rsid w:val="00846FB9"/>
    <w:rsid w:val="0084700C"/>
    <w:rsid w:val="00847033"/>
    <w:rsid w:val="00847047"/>
    <w:rsid w:val="008470BD"/>
    <w:rsid w:val="00847113"/>
    <w:rsid w:val="008471D6"/>
    <w:rsid w:val="00847227"/>
    <w:rsid w:val="00847267"/>
    <w:rsid w:val="0084728E"/>
    <w:rsid w:val="00847330"/>
    <w:rsid w:val="00847343"/>
    <w:rsid w:val="0084735B"/>
    <w:rsid w:val="008473BA"/>
    <w:rsid w:val="008473C7"/>
    <w:rsid w:val="00847444"/>
    <w:rsid w:val="00847486"/>
    <w:rsid w:val="008474F0"/>
    <w:rsid w:val="00847568"/>
    <w:rsid w:val="00847587"/>
    <w:rsid w:val="0084758B"/>
    <w:rsid w:val="008475AF"/>
    <w:rsid w:val="00847627"/>
    <w:rsid w:val="0084769E"/>
    <w:rsid w:val="008476B6"/>
    <w:rsid w:val="008477F7"/>
    <w:rsid w:val="00847868"/>
    <w:rsid w:val="0084789F"/>
    <w:rsid w:val="00847991"/>
    <w:rsid w:val="00847A43"/>
    <w:rsid w:val="00847A56"/>
    <w:rsid w:val="00847A5E"/>
    <w:rsid w:val="00847ABB"/>
    <w:rsid w:val="00847AC7"/>
    <w:rsid w:val="00847BE7"/>
    <w:rsid w:val="00847C1E"/>
    <w:rsid w:val="00847C66"/>
    <w:rsid w:val="00847D49"/>
    <w:rsid w:val="00847DCF"/>
    <w:rsid w:val="00847E4F"/>
    <w:rsid w:val="00847ED7"/>
    <w:rsid w:val="00847F1C"/>
    <w:rsid w:val="00847FE6"/>
    <w:rsid w:val="00850059"/>
    <w:rsid w:val="008500FD"/>
    <w:rsid w:val="00850105"/>
    <w:rsid w:val="0085011B"/>
    <w:rsid w:val="0085014C"/>
    <w:rsid w:val="00850158"/>
    <w:rsid w:val="008501B0"/>
    <w:rsid w:val="008502D9"/>
    <w:rsid w:val="008502F9"/>
    <w:rsid w:val="0085044F"/>
    <w:rsid w:val="00850498"/>
    <w:rsid w:val="008504E3"/>
    <w:rsid w:val="00850591"/>
    <w:rsid w:val="00850633"/>
    <w:rsid w:val="00850649"/>
    <w:rsid w:val="00850789"/>
    <w:rsid w:val="008507F9"/>
    <w:rsid w:val="00850818"/>
    <w:rsid w:val="0085081B"/>
    <w:rsid w:val="0085086C"/>
    <w:rsid w:val="0085088C"/>
    <w:rsid w:val="008508C1"/>
    <w:rsid w:val="008508C9"/>
    <w:rsid w:val="008508DA"/>
    <w:rsid w:val="00850920"/>
    <w:rsid w:val="0085094F"/>
    <w:rsid w:val="0085099E"/>
    <w:rsid w:val="00850A2D"/>
    <w:rsid w:val="00850B0F"/>
    <w:rsid w:val="00850BD5"/>
    <w:rsid w:val="00850CA1"/>
    <w:rsid w:val="00850D13"/>
    <w:rsid w:val="00850D2F"/>
    <w:rsid w:val="00850D53"/>
    <w:rsid w:val="00850DDC"/>
    <w:rsid w:val="00850DED"/>
    <w:rsid w:val="00850E29"/>
    <w:rsid w:val="00850E43"/>
    <w:rsid w:val="00850E48"/>
    <w:rsid w:val="00850EAF"/>
    <w:rsid w:val="00850EF6"/>
    <w:rsid w:val="00850F25"/>
    <w:rsid w:val="008510CB"/>
    <w:rsid w:val="008510EA"/>
    <w:rsid w:val="00851130"/>
    <w:rsid w:val="008511D6"/>
    <w:rsid w:val="00851311"/>
    <w:rsid w:val="008513A5"/>
    <w:rsid w:val="008513C1"/>
    <w:rsid w:val="00851480"/>
    <w:rsid w:val="0085154C"/>
    <w:rsid w:val="0085157E"/>
    <w:rsid w:val="00851660"/>
    <w:rsid w:val="008516A0"/>
    <w:rsid w:val="008516A7"/>
    <w:rsid w:val="0085174A"/>
    <w:rsid w:val="00851765"/>
    <w:rsid w:val="00851783"/>
    <w:rsid w:val="0085182D"/>
    <w:rsid w:val="00851833"/>
    <w:rsid w:val="008518D5"/>
    <w:rsid w:val="0085191A"/>
    <w:rsid w:val="0085199E"/>
    <w:rsid w:val="008519F4"/>
    <w:rsid w:val="00851A2A"/>
    <w:rsid w:val="00851AD8"/>
    <w:rsid w:val="00851BA7"/>
    <w:rsid w:val="00851C1A"/>
    <w:rsid w:val="00851C28"/>
    <w:rsid w:val="00851C45"/>
    <w:rsid w:val="00851CAB"/>
    <w:rsid w:val="00851CD8"/>
    <w:rsid w:val="00851DAA"/>
    <w:rsid w:val="00851DCB"/>
    <w:rsid w:val="00851DEA"/>
    <w:rsid w:val="00851DFD"/>
    <w:rsid w:val="00851E0E"/>
    <w:rsid w:val="00851E0F"/>
    <w:rsid w:val="00851E86"/>
    <w:rsid w:val="00851EBD"/>
    <w:rsid w:val="00851F3C"/>
    <w:rsid w:val="00851F78"/>
    <w:rsid w:val="00852054"/>
    <w:rsid w:val="008520BC"/>
    <w:rsid w:val="008520C1"/>
    <w:rsid w:val="00852121"/>
    <w:rsid w:val="00852128"/>
    <w:rsid w:val="0085214E"/>
    <w:rsid w:val="00852174"/>
    <w:rsid w:val="008521B3"/>
    <w:rsid w:val="008522CB"/>
    <w:rsid w:val="00852379"/>
    <w:rsid w:val="0085244A"/>
    <w:rsid w:val="008524D9"/>
    <w:rsid w:val="008524EB"/>
    <w:rsid w:val="00852506"/>
    <w:rsid w:val="0085252C"/>
    <w:rsid w:val="00852552"/>
    <w:rsid w:val="0085258F"/>
    <w:rsid w:val="00852599"/>
    <w:rsid w:val="0085259C"/>
    <w:rsid w:val="008525BA"/>
    <w:rsid w:val="0085267B"/>
    <w:rsid w:val="008526C0"/>
    <w:rsid w:val="008526D4"/>
    <w:rsid w:val="008526D8"/>
    <w:rsid w:val="0085273D"/>
    <w:rsid w:val="00852771"/>
    <w:rsid w:val="008527DE"/>
    <w:rsid w:val="008527E0"/>
    <w:rsid w:val="008528DC"/>
    <w:rsid w:val="008529D3"/>
    <w:rsid w:val="00852AE0"/>
    <w:rsid w:val="00852C48"/>
    <w:rsid w:val="00852C5F"/>
    <w:rsid w:val="00852D17"/>
    <w:rsid w:val="00852D86"/>
    <w:rsid w:val="00852DCC"/>
    <w:rsid w:val="00852E2F"/>
    <w:rsid w:val="00852E82"/>
    <w:rsid w:val="00852EDA"/>
    <w:rsid w:val="00852EDB"/>
    <w:rsid w:val="00852EF9"/>
    <w:rsid w:val="00853018"/>
    <w:rsid w:val="008530D6"/>
    <w:rsid w:val="00853103"/>
    <w:rsid w:val="0085322A"/>
    <w:rsid w:val="00853240"/>
    <w:rsid w:val="00853257"/>
    <w:rsid w:val="008532A2"/>
    <w:rsid w:val="008532DA"/>
    <w:rsid w:val="0085333F"/>
    <w:rsid w:val="00853349"/>
    <w:rsid w:val="00853394"/>
    <w:rsid w:val="00853397"/>
    <w:rsid w:val="008533D4"/>
    <w:rsid w:val="00853440"/>
    <w:rsid w:val="0085345E"/>
    <w:rsid w:val="008534A6"/>
    <w:rsid w:val="0085352E"/>
    <w:rsid w:val="00853568"/>
    <w:rsid w:val="00853597"/>
    <w:rsid w:val="00853628"/>
    <w:rsid w:val="008536A2"/>
    <w:rsid w:val="00853786"/>
    <w:rsid w:val="00853892"/>
    <w:rsid w:val="008538AD"/>
    <w:rsid w:val="0085394C"/>
    <w:rsid w:val="00853B3C"/>
    <w:rsid w:val="00853B44"/>
    <w:rsid w:val="00853B64"/>
    <w:rsid w:val="00853C42"/>
    <w:rsid w:val="00853CB4"/>
    <w:rsid w:val="00853D77"/>
    <w:rsid w:val="00853FB7"/>
    <w:rsid w:val="0085410D"/>
    <w:rsid w:val="0085438D"/>
    <w:rsid w:val="0085454B"/>
    <w:rsid w:val="0085455B"/>
    <w:rsid w:val="00854560"/>
    <w:rsid w:val="00854598"/>
    <w:rsid w:val="008545D4"/>
    <w:rsid w:val="008545E3"/>
    <w:rsid w:val="008545F0"/>
    <w:rsid w:val="0085466C"/>
    <w:rsid w:val="00854685"/>
    <w:rsid w:val="0085469F"/>
    <w:rsid w:val="008546AE"/>
    <w:rsid w:val="0085479A"/>
    <w:rsid w:val="0085479E"/>
    <w:rsid w:val="008547E8"/>
    <w:rsid w:val="008549D6"/>
    <w:rsid w:val="00854A6F"/>
    <w:rsid w:val="00854B2A"/>
    <w:rsid w:val="00854B8F"/>
    <w:rsid w:val="00854C40"/>
    <w:rsid w:val="00854D2E"/>
    <w:rsid w:val="00854D7B"/>
    <w:rsid w:val="00854DC5"/>
    <w:rsid w:val="00854E20"/>
    <w:rsid w:val="00854E2F"/>
    <w:rsid w:val="00854E5F"/>
    <w:rsid w:val="00854E8E"/>
    <w:rsid w:val="00854EBA"/>
    <w:rsid w:val="00854EC2"/>
    <w:rsid w:val="00854F45"/>
    <w:rsid w:val="00854F8A"/>
    <w:rsid w:val="0085500E"/>
    <w:rsid w:val="00855022"/>
    <w:rsid w:val="00855089"/>
    <w:rsid w:val="008550BB"/>
    <w:rsid w:val="00855119"/>
    <w:rsid w:val="00855160"/>
    <w:rsid w:val="008551F9"/>
    <w:rsid w:val="0085529C"/>
    <w:rsid w:val="008552CF"/>
    <w:rsid w:val="00855321"/>
    <w:rsid w:val="0085533C"/>
    <w:rsid w:val="00855383"/>
    <w:rsid w:val="008553DA"/>
    <w:rsid w:val="00855446"/>
    <w:rsid w:val="0085548F"/>
    <w:rsid w:val="008554C6"/>
    <w:rsid w:val="008554DB"/>
    <w:rsid w:val="008555A0"/>
    <w:rsid w:val="0085560C"/>
    <w:rsid w:val="008556C2"/>
    <w:rsid w:val="00855728"/>
    <w:rsid w:val="00855742"/>
    <w:rsid w:val="00855747"/>
    <w:rsid w:val="008557A9"/>
    <w:rsid w:val="0085581D"/>
    <w:rsid w:val="0085581E"/>
    <w:rsid w:val="00855994"/>
    <w:rsid w:val="008559A2"/>
    <w:rsid w:val="00855A68"/>
    <w:rsid w:val="00855C6A"/>
    <w:rsid w:val="00855C9B"/>
    <w:rsid w:val="00855D5D"/>
    <w:rsid w:val="00855DA7"/>
    <w:rsid w:val="00855E56"/>
    <w:rsid w:val="00855E5C"/>
    <w:rsid w:val="00855EC5"/>
    <w:rsid w:val="0085619B"/>
    <w:rsid w:val="008561AD"/>
    <w:rsid w:val="008561B2"/>
    <w:rsid w:val="0085621A"/>
    <w:rsid w:val="00856229"/>
    <w:rsid w:val="00856278"/>
    <w:rsid w:val="0085634A"/>
    <w:rsid w:val="00856386"/>
    <w:rsid w:val="008563A3"/>
    <w:rsid w:val="00856472"/>
    <w:rsid w:val="008564A1"/>
    <w:rsid w:val="008564A6"/>
    <w:rsid w:val="00856504"/>
    <w:rsid w:val="008565DA"/>
    <w:rsid w:val="00856664"/>
    <w:rsid w:val="008566CD"/>
    <w:rsid w:val="00856722"/>
    <w:rsid w:val="008567F1"/>
    <w:rsid w:val="008567FC"/>
    <w:rsid w:val="00856826"/>
    <w:rsid w:val="00856854"/>
    <w:rsid w:val="00856858"/>
    <w:rsid w:val="0085686C"/>
    <w:rsid w:val="00856870"/>
    <w:rsid w:val="0085687F"/>
    <w:rsid w:val="0085688C"/>
    <w:rsid w:val="008568A4"/>
    <w:rsid w:val="008568CD"/>
    <w:rsid w:val="008568E0"/>
    <w:rsid w:val="008568FC"/>
    <w:rsid w:val="0085695A"/>
    <w:rsid w:val="008569B6"/>
    <w:rsid w:val="008569EC"/>
    <w:rsid w:val="00856A00"/>
    <w:rsid w:val="00856A3B"/>
    <w:rsid w:val="00856AD5"/>
    <w:rsid w:val="00856B0C"/>
    <w:rsid w:val="00856B2D"/>
    <w:rsid w:val="00856B36"/>
    <w:rsid w:val="00856B3D"/>
    <w:rsid w:val="00856B4D"/>
    <w:rsid w:val="00856BC1"/>
    <w:rsid w:val="00856C32"/>
    <w:rsid w:val="00856CAC"/>
    <w:rsid w:val="00856D1D"/>
    <w:rsid w:val="00856D5D"/>
    <w:rsid w:val="00856D97"/>
    <w:rsid w:val="00856EB4"/>
    <w:rsid w:val="00856EDA"/>
    <w:rsid w:val="00856EEF"/>
    <w:rsid w:val="00856F4A"/>
    <w:rsid w:val="00856FD9"/>
    <w:rsid w:val="00856FE4"/>
    <w:rsid w:val="00857042"/>
    <w:rsid w:val="008570C9"/>
    <w:rsid w:val="008570D1"/>
    <w:rsid w:val="008570E3"/>
    <w:rsid w:val="00857138"/>
    <w:rsid w:val="00857210"/>
    <w:rsid w:val="00857214"/>
    <w:rsid w:val="0085724C"/>
    <w:rsid w:val="008572D2"/>
    <w:rsid w:val="00857361"/>
    <w:rsid w:val="008573C9"/>
    <w:rsid w:val="008573CB"/>
    <w:rsid w:val="00857484"/>
    <w:rsid w:val="008574D7"/>
    <w:rsid w:val="00857512"/>
    <w:rsid w:val="00857550"/>
    <w:rsid w:val="0085758F"/>
    <w:rsid w:val="00857590"/>
    <w:rsid w:val="0085769B"/>
    <w:rsid w:val="008576B5"/>
    <w:rsid w:val="0085773C"/>
    <w:rsid w:val="008577B6"/>
    <w:rsid w:val="00857822"/>
    <w:rsid w:val="00857855"/>
    <w:rsid w:val="00857918"/>
    <w:rsid w:val="00857920"/>
    <w:rsid w:val="008579E6"/>
    <w:rsid w:val="00857AA1"/>
    <w:rsid w:val="00857AED"/>
    <w:rsid w:val="00857B05"/>
    <w:rsid w:val="00857B7D"/>
    <w:rsid w:val="00857BF2"/>
    <w:rsid w:val="00857C2D"/>
    <w:rsid w:val="00857C37"/>
    <w:rsid w:val="00857D3D"/>
    <w:rsid w:val="00857D41"/>
    <w:rsid w:val="00857DC6"/>
    <w:rsid w:val="00857F01"/>
    <w:rsid w:val="00857F43"/>
    <w:rsid w:val="00857F44"/>
    <w:rsid w:val="00857FDF"/>
    <w:rsid w:val="00860048"/>
    <w:rsid w:val="0086005E"/>
    <w:rsid w:val="008600E8"/>
    <w:rsid w:val="0086015F"/>
    <w:rsid w:val="00860183"/>
    <w:rsid w:val="00860249"/>
    <w:rsid w:val="0086033B"/>
    <w:rsid w:val="00860365"/>
    <w:rsid w:val="00860376"/>
    <w:rsid w:val="008603A6"/>
    <w:rsid w:val="008603BF"/>
    <w:rsid w:val="00860437"/>
    <w:rsid w:val="00860452"/>
    <w:rsid w:val="00860464"/>
    <w:rsid w:val="00860491"/>
    <w:rsid w:val="008604A6"/>
    <w:rsid w:val="008604FC"/>
    <w:rsid w:val="0086051C"/>
    <w:rsid w:val="008605AE"/>
    <w:rsid w:val="008605B4"/>
    <w:rsid w:val="008605EC"/>
    <w:rsid w:val="00860614"/>
    <w:rsid w:val="008606F3"/>
    <w:rsid w:val="00860739"/>
    <w:rsid w:val="0086074D"/>
    <w:rsid w:val="0086088E"/>
    <w:rsid w:val="008608D9"/>
    <w:rsid w:val="008608FF"/>
    <w:rsid w:val="0086093B"/>
    <w:rsid w:val="0086095E"/>
    <w:rsid w:val="008609EA"/>
    <w:rsid w:val="00860A02"/>
    <w:rsid w:val="00860A15"/>
    <w:rsid w:val="00860AF2"/>
    <w:rsid w:val="00860BDF"/>
    <w:rsid w:val="00860C96"/>
    <w:rsid w:val="00860CD2"/>
    <w:rsid w:val="00860E32"/>
    <w:rsid w:val="00860F50"/>
    <w:rsid w:val="00860FDC"/>
    <w:rsid w:val="00861006"/>
    <w:rsid w:val="00861070"/>
    <w:rsid w:val="008610A9"/>
    <w:rsid w:val="008610BE"/>
    <w:rsid w:val="008610D4"/>
    <w:rsid w:val="008610EA"/>
    <w:rsid w:val="008611E0"/>
    <w:rsid w:val="0086125C"/>
    <w:rsid w:val="008612A1"/>
    <w:rsid w:val="008612C9"/>
    <w:rsid w:val="00861312"/>
    <w:rsid w:val="00861411"/>
    <w:rsid w:val="00861419"/>
    <w:rsid w:val="00861484"/>
    <w:rsid w:val="0086148B"/>
    <w:rsid w:val="00861490"/>
    <w:rsid w:val="00861533"/>
    <w:rsid w:val="008615AE"/>
    <w:rsid w:val="008615B8"/>
    <w:rsid w:val="0086165E"/>
    <w:rsid w:val="00861669"/>
    <w:rsid w:val="00861711"/>
    <w:rsid w:val="00861767"/>
    <w:rsid w:val="008618DC"/>
    <w:rsid w:val="008618E7"/>
    <w:rsid w:val="008619EA"/>
    <w:rsid w:val="00861A05"/>
    <w:rsid w:val="00861A8E"/>
    <w:rsid w:val="00861A99"/>
    <w:rsid w:val="00861AB4"/>
    <w:rsid w:val="00861AB9"/>
    <w:rsid w:val="00861AF3"/>
    <w:rsid w:val="00861AFB"/>
    <w:rsid w:val="00861B01"/>
    <w:rsid w:val="00861B69"/>
    <w:rsid w:val="00861BF0"/>
    <w:rsid w:val="00861C9B"/>
    <w:rsid w:val="00861DAA"/>
    <w:rsid w:val="00861DEF"/>
    <w:rsid w:val="00861E4B"/>
    <w:rsid w:val="00861E99"/>
    <w:rsid w:val="00861EF7"/>
    <w:rsid w:val="00861F11"/>
    <w:rsid w:val="00861F1C"/>
    <w:rsid w:val="00861FB9"/>
    <w:rsid w:val="00861FC8"/>
    <w:rsid w:val="00862004"/>
    <w:rsid w:val="00862019"/>
    <w:rsid w:val="00862071"/>
    <w:rsid w:val="00862123"/>
    <w:rsid w:val="00862187"/>
    <w:rsid w:val="00862207"/>
    <w:rsid w:val="008622A2"/>
    <w:rsid w:val="008622C0"/>
    <w:rsid w:val="0086230C"/>
    <w:rsid w:val="00862389"/>
    <w:rsid w:val="008623BD"/>
    <w:rsid w:val="00862501"/>
    <w:rsid w:val="0086254C"/>
    <w:rsid w:val="0086255A"/>
    <w:rsid w:val="00862593"/>
    <w:rsid w:val="0086260D"/>
    <w:rsid w:val="0086269F"/>
    <w:rsid w:val="00862711"/>
    <w:rsid w:val="00862736"/>
    <w:rsid w:val="00862791"/>
    <w:rsid w:val="008627EE"/>
    <w:rsid w:val="008628E9"/>
    <w:rsid w:val="00862918"/>
    <w:rsid w:val="00862919"/>
    <w:rsid w:val="00862A72"/>
    <w:rsid w:val="00862B4F"/>
    <w:rsid w:val="00862BEE"/>
    <w:rsid w:val="00862CB1"/>
    <w:rsid w:val="00862D3D"/>
    <w:rsid w:val="00862D78"/>
    <w:rsid w:val="00862D85"/>
    <w:rsid w:val="00862DB4"/>
    <w:rsid w:val="00862E15"/>
    <w:rsid w:val="00862E85"/>
    <w:rsid w:val="00862E9A"/>
    <w:rsid w:val="00862EC3"/>
    <w:rsid w:val="00862F13"/>
    <w:rsid w:val="00862F1F"/>
    <w:rsid w:val="00862F75"/>
    <w:rsid w:val="00862F7B"/>
    <w:rsid w:val="008630CC"/>
    <w:rsid w:val="00863177"/>
    <w:rsid w:val="008631A5"/>
    <w:rsid w:val="00863351"/>
    <w:rsid w:val="008633AD"/>
    <w:rsid w:val="008633C4"/>
    <w:rsid w:val="00863434"/>
    <w:rsid w:val="008635C3"/>
    <w:rsid w:val="0086370B"/>
    <w:rsid w:val="008637EC"/>
    <w:rsid w:val="0086396E"/>
    <w:rsid w:val="00863996"/>
    <w:rsid w:val="008639C9"/>
    <w:rsid w:val="008639CB"/>
    <w:rsid w:val="008639D2"/>
    <w:rsid w:val="008639D7"/>
    <w:rsid w:val="00863A1A"/>
    <w:rsid w:val="00863A90"/>
    <w:rsid w:val="00863AA9"/>
    <w:rsid w:val="00863B55"/>
    <w:rsid w:val="00863BCC"/>
    <w:rsid w:val="00863C15"/>
    <w:rsid w:val="00863C44"/>
    <w:rsid w:val="00863CB2"/>
    <w:rsid w:val="00863D69"/>
    <w:rsid w:val="00863DC4"/>
    <w:rsid w:val="00863DC9"/>
    <w:rsid w:val="00863E75"/>
    <w:rsid w:val="00863FFC"/>
    <w:rsid w:val="008640F3"/>
    <w:rsid w:val="008640F7"/>
    <w:rsid w:val="00864147"/>
    <w:rsid w:val="0086415D"/>
    <w:rsid w:val="00864171"/>
    <w:rsid w:val="0086417B"/>
    <w:rsid w:val="0086424C"/>
    <w:rsid w:val="00864259"/>
    <w:rsid w:val="008642AA"/>
    <w:rsid w:val="0086435F"/>
    <w:rsid w:val="008643B5"/>
    <w:rsid w:val="008643C6"/>
    <w:rsid w:val="008643ED"/>
    <w:rsid w:val="008643F7"/>
    <w:rsid w:val="00864492"/>
    <w:rsid w:val="0086449E"/>
    <w:rsid w:val="00864594"/>
    <w:rsid w:val="00864610"/>
    <w:rsid w:val="00864653"/>
    <w:rsid w:val="0086468A"/>
    <w:rsid w:val="0086471D"/>
    <w:rsid w:val="00864834"/>
    <w:rsid w:val="0086483C"/>
    <w:rsid w:val="0086493C"/>
    <w:rsid w:val="00864954"/>
    <w:rsid w:val="00864964"/>
    <w:rsid w:val="0086497C"/>
    <w:rsid w:val="008649E4"/>
    <w:rsid w:val="00864A3F"/>
    <w:rsid w:val="00864A5D"/>
    <w:rsid w:val="00864AC5"/>
    <w:rsid w:val="00864B1B"/>
    <w:rsid w:val="00864B79"/>
    <w:rsid w:val="00864B7D"/>
    <w:rsid w:val="00864BA8"/>
    <w:rsid w:val="00864BBB"/>
    <w:rsid w:val="00864C38"/>
    <w:rsid w:val="00864CFB"/>
    <w:rsid w:val="00864D06"/>
    <w:rsid w:val="00864E77"/>
    <w:rsid w:val="00864EE2"/>
    <w:rsid w:val="00864EF2"/>
    <w:rsid w:val="00864FF9"/>
    <w:rsid w:val="00864FFD"/>
    <w:rsid w:val="00865031"/>
    <w:rsid w:val="008650A9"/>
    <w:rsid w:val="008650B2"/>
    <w:rsid w:val="008650BE"/>
    <w:rsid w:val="00865102"/>
    <w:rsid w:val="0086511B"/>
    <w:rsid w:val="0086514E"/>
    <w:rsid w:val="00865164"/>
    <w:rsid w:val="008651CA"/>
    <w:rsid w:val="008651CC"/>
    <w:rsid w:val="008651FC"/>
    <w:rsid w:val="00865203"/>
    <w:rsid w:val="00865232"/>
    <w:rsid w:val="00865256"/>
    <w:rsid w:val="00865274"/>
    <w:rsid w:val="00865288"/>
    <w:rsid w:val="008652BD"/>
    <w:rsid w:val="008652E8"/>
    <w:rsid w:val="0086530D"/>
    <w:rsid w:val="00865311"/>
    <w:rsid w:val="00865339"/>
    <w:rsid w:val="0086540C"/>
    <w:rsid w:val="00865446"/>
    <w:rsid w:val="008654A9"/>
    <w:rsid w:val="008654C1"/>
    <w:rsid w:val="00865564"/>
    <w:rsid w:val="008655DC"/>
    <w:rsid w:val="008655DE"/>
    <w:rsid w:val="00865613"/>
    <w:rsid w:val="00865659"/>
    <w:rsid w:val="008656A7"/>
    <w:rsid w:val="0086570D"/>
    <w:rsid w:val="00865715"/>
    <w:rsid w:val="00865750"/>
    <w:rsid w:val="00865798"/>
    <w:rsid w:val="008657C7"/>
    <w:rsid w:val="008657EA"/>
    <w:rsid w:val="00865820"/>
    <w:rsid w:val="008659CD"/>
    <w:rsid w:val="00865A04"/>
    <w:rsid w:val="00865A36"/>
    <w:rsid w:val="00865A7A"/>
    <w:rsid w:val="00865A92"/>
    <w:rsid w:val="00865AA2"/>
    <w:rsid w:val="00865AE0"/>
    <w:rsid w:val="00865AF3"/>
    <w:rsid w:val="00865B2C"/>
    <w:rsid w:val="00865B35"/>
    <w:rsid w:val="00865BCD"/>
    <w:rsid w:val="00865BEF"/>
    <w:rsid w:val="00865C54"/>
    <w:rsid w:val="00865CA3"/>
    <w:rsid w:val="00865CEA"/>
    <w:rsid w:val="00865D3A"/>
    <w:rsid w:val="00865D96"/>
    <w:rsid w:val="00865E10"/>
    <w:rsid w:val="00865E2F"/>
    <w:rsid w:val="00865E7A"/>
    <w:rsid w:val="00865EF9"/>
    <w:rsid w:val="00865F2B"/>
    <w:rsid w:val="00865F88"/>
    <w:rsid w:val="00865FCD"/>
    <w:rsid w:val="00866025"/>
    <w:rsid w:val="008660DB"/>
    <w:rsid w:val="008660FA"/>
    <w:rsid w:val="00866114"/>
    <w:rsid w:val="00866138"/>
    <w:rsid w:val="0086621C"/>
    <w:rsid w:val="008662C0"/>
    <w:rsid w:val="0086634D"/>
    <w:rsid w:val="00866368"/>
    <w:rsid w:val="00866470"/>
    <w:rsid w:val="00866475"/>
    <w:rsid w:val="00866502"/>
    <w:rsid w:val="00866529"/>
    <w:rsid w:val="00866572"/>
    <w:rsid w:val="008665DF"/>
    <w:rsid w:val="008666ED"/>
    <w:rsid w:val="00866709"/>
    <w:rsid w:val="0086680C"/>
    <w:rsid w:val="0086683F"/>
    <w:rsid w:val="0086687D"/>
    <w:rsid w:val="008668BF"/>
    <w:rsid w:val="008668C7"/>
    <w:rsid w:val="008668F6"/>
    <w:rsid w:val="00866AA9"/>
    <w:rsid w:val="00866AEB"/>
    <w:rsid w:val="00866B01"/>
    <w:rsid w:val="00866B68"/>
    <w:rsid w:val="00866BC7"/>
    <w:rsid w:val="00866C70"/>
    <w:rsid w:val="00866D22"/>
    <w:rsid w:val="00866D71"/>
    <w:rsid w:val="00866DEE"/>
    <w:rsid w:val="00866E14"/>
    <w:rsid w:val="00866E1D"/>
    <w:rsid w:val="00866E6D"/>
    <w:rsid w:val="00866E95"/>
    <w:rsid w:val="00866FBC"/>
    <w:rsid w:val="00867046"/>
    <w:rsid w:val="0086710D"/>
    <w:rsid w:val="0086713B"/>
    <w:rsid w:val="0086717A"/>
    <w:rsid w:val="00867294"/>
    <w:rsid w:val="00867381"/>
    <w:rsid w:val="00867382"/>
    <w:rsid w:val="00867464"/>
    <w:rsid w:val="00867475"/>
    <w:rsid w:val="008674BB"/>
    <w:rsid w:val="00867521"/>
    <w:rsid w:val="008675BD"/>
    <w:rsid w:val="008675ED"/>
    <w:rsid w:val="00867624"/>
    <w:rsid w:val="008676FF"/>
    <w:rsid w:val="0086772C"/>
    <w:rsid w:val="008677D8"/>
    <w:rsid w:val="0086780E"/>
    <w:rsid w:val="00867A4E"/>
    <w:rsid w:val="00867AA6"/>
    <w:rsid w:val="00867ACC"/>
    <w:rsid w:val="00867AE4"/>
    <w:rsid w:val="00867B45"/>
    <w:rsid w:val="00867B5D"/>
    <w:rsid w:val="00867BBA"/>
    <w:rsid w:val="00867CBD"/>
    <w:rsid w:val="00867CDD"/>
    <w:rsid w:val="00867CEE"/>
    <w:rsid w:val="00867DF9"/>
    <w:rsid w:val="00867E66"/>
    <w:rsid w:val="00867E9B"/>
    <w:rsid w:val="00867EAF"/>
    <w:rsid w:val="00867ECF"/>
    <w:rsid w:val="00867ED2"/>
    <w:rsid w:val="00867F6E"/>
    <w:rsid w:val="00867F78"/>
    <w:rsid w:val="00867FE6"/>
    <w:rsid w:val="00867FFE"/>
    <w:rsid w:val="00870039"/>
    <w:rsid w:val="0087005C"/>
    <w:rsid w:val="008700E9"/>
    <w:rsid w:val="00870106"/>
    <w:rsid w:val="008701B4"/>
    <w:rsid w:val="0087020C"/>
    <w:rsid w:val="00870225"/>
    <w:rsid w:val="00870280"/>
    <w:rsid w:val="008702D1"/>
    <w:rsid w:val="00870333"/>
    <w:rsid w:val="00870376"/>
    <w:rsid w:val="00870413"/>
    <w:rsid w:val="0087046F"/>
    <w:rsid w:val="008704CB"/>
    <w:rsid w:val="008704D1"/>
    <w:rsid w:val="00870584"/>
    <w:rsid w:val="00870698"/>
    <w:rsid w:val="008706B0"/>
    <w:rsid w:val="0087070A"/>
    <w:rsid w:val="00870727"/>
    <w:rsid w:val="00870774"/>
    <w:rsid w:val="008707CB"/>
    <w:rsid w:val="0087081D"/>
    <w:rsid w:val="0087087D"/>
    <w:rsid w:val="00870964"/>
    <w:rsid w:val="008709BD"/>
    <w:rsid w:val="00870A5C"/>
    <w:rsid w:val="00870A7B"/>
    <w:rsid w:val="00870AC6"/>
    <w:rsid w:val="00870AE0"/>
    <w:rsid w:val="00870B74"/>
    <w:rsid w:val="00870B95"/>
    <w:rsid w:val="00870BC5"/>
    <w:rsid w:val="00870BC9"/>
    <w:rsid w:val="00870BDE"/>
    <w:rsid w:val="00870C25"/>
    <w:rsid w:val="00870D09"/>
    <w:rsid w:val="00870D21"/>
    <w:rsid w:val="00870E1C"/>
    <w:rsid w:val="00870F14"/>
    <w:rsid w:val="00870F7D"/>
    <w:rsid w:val="00870F9B"/>
    <w:rsid w:val="0087104A"/>
    <w:rsid w:val="0087104B"/>
    <w:rsid w:val="0087104E"/>
    <w:rsid w:val="0087108C"/>
    <w:rsid w:val="008710F1"/>
    <w:rsid w:val="0087111A"/>
    <w:rsid w:val="00871159"/>
    <w:rsid w:val="0087119C"/>
    <w:rsid w:val="008712E4"/>
    <w:rsid w:val="00871310"/>
    <w:rsid w:val="00871325"/>
    <w:rsid w:val="00871462"/>
    <w:rsid w:val="008714A1"/>
    <w:rsid w:val="00871516"/>
    <w:rsid w:val="0087154E"/>
    <w:rsid w:val="00871594"/>
    <w:rsid w:val="008715F4"/>
    <w:rsid w:val="0087163C"/>
    <w:rsid w:val="00871642"/>
    <w:rsid w:val="0087167F"/>
    <w:rsid w:val="008716C0"/>
    <w:rsid w:val="008716CA"/>
    <w:rsid w:val="0087172B"/>
    <w:rsid w:val="0087172F"/>
    <w:rsid w:val="008717B3"/>
    <w:rsid w:val="0087184C"/>
    <w:rsid w:val="00871854"/>
    <w:rsid w:val="0087185E"/>
    <w:rsid w:val="00871A19"/>
    <w:rsid w:val="00871A6E"/>
    <w:rsid w:val="00871A76"/>
    <w:rsid w:val="00871B5B"/>
    <w:rsid w:val="00871B7B"/>
    <w:rsid w:val="00871BB5"/>
    <w:rsid w:val="00871C62"/>
    <w:rsid w:val="00871D07"/>
    <w:rsid w:val="00871DFC"/>
    <w:rsid w:val="00871E22"/>
    <w:rsid w:val="00871E74"/>
    <w:rsid w:val="00871F34"/>
    <w:rsid w:val="00871F82"/>
    <w:rsid w:val="00871FAF"/>
    <w:rsid w:val="00871FBA"/>
    <w:rsid w:val="00872097"/>
    <w:rsid w:val="008720F9"/>
    <w:rsid w:val="00872202"/>
    <w:rsid w:val="00872316"/>
    <w:rsid w:val="00872329"/>
    <w:rsid w:val="0087237B"/>
    <w:rsid w:val="008723DE"/>
    <w:rsid w:val="00872428"/>
    <w:rsid w:val="00872481"/>
    <w:rsid w:val="008724D0"/>
    <w:rsid w:val="00872606"/>
    <w:rsid w:val="0087262E"/>
    <w:rsid w:val="008726E4"/>
    <w:rsid w:val="0087271B"/>
    <w:rsid w:val="0087279B"/>
    <w:rsid w:val="008727FA"/>
    <w:rsid w:val="0087290A"/>
    <w:rsid w:val="008729AA"/>
    <w:rsid w:val="008729CB"/>
    <w:rsid w:val="008729CF"/>
    <w:rsid w:val="008729D1"/>
    <w:rsid w:val="00872A0A"/>
    <w:rsid w:val="00872A53"/>
    <w:rsid w:val="00872ADB"/>
    <w:rsid w:val="00872B6B"/>
    <w:rsid w:val="00872BF3"/>
    <w:rsid w:val="00872C1F"/>
    <w:rsid w:val="00872C90"/>
    <w:rsid w:val="00872CC5"/>
    <w:rsid w:val="00872D66"/>
    <w:rsid w:val="00872DF1"/>
    <w:rsid w:val="00872E64"/>
    <w:rsid w:val="00872EC0"/>
    <w:rsid w:val="00872EEE"/>
    <w:rsid w:val="00872F79"/>
    <w:rsid w:val="00872F99"/>
    <w:rsid w:val="00872FDA"/>
    <w:rsid w:val="00873082"/>
    <w:rsid w:val="0087308A"/>
    <w:rsid w:val="008730B6"/>
    <w:rsid w:val="00873122"/>
    <w:rsid w:val="00873137"/>
    <w:rsid w:val="008731D4"/>
    <w:rsid w:val="0087321F"/>
    <w:rsid w:val="0087323F"/>
    <w:rsid w:val="008732AA"/>
    <w:rsid w:val="008732FE"/>
    <w:rsid w:val="00873312"/>
    <w:rsid w:val="0087339D"/>
    <w:rsid w:val="008733BF"/>
    <w:rsid w:val="008733CE"/>
    <w:rsid w:val="00873488"/>
    <w:rsid w:val="008734C6"/>
    <w:rsid w:val="008734E6"/>
    <w:rsid w:val="008734E9"/>
    <w:rsid w:val="008734ED"/>
    <w:rsid w:val="00873502"/>
    <w:rsid w:val="0087356F"/>
    <w:rsid w:val="008735AD"/>
    <w:rsid w:val="008735AF"/>
    <w:rsid w:val="008735CB"/>
    <w:rsid w:val="00873628"/>
    <w:rsid w:val="00873658"/>
    <w:rsid w:val="008736C0"/>
    <w:rsid w:val="008738EE"/>
    <w:rsid w:val="008738F3"/>
    <w:rsid w:val="008739C8"/>
    <w:rsid w:val="008739E7"/>
    <w:rsid w:val="00873A11"/>
    <w:rsid w:val="00873A79"/>
    <w:rsid w:val="00873A8C"/>
    <w:rsid w:val="00873AD6"/>
    <w:rsid w:val="00873AFB"/>
    <w:rsid w:val="00873B6B"/>
    <w:rsid w:val="00873B7B"/>
    <w:rsid w:val="00873B91"/>
    <w:rsid w:val="00873BA5"/>
    <w:rsid w:val="00873BCD"/>
    <w:rsid w:val="00873BD7"/>
    <w:rsid w:val="00873C0B"/>
    <w:rsid w:val="00873C21"/>
    <w:rsid w:val="00873C3F"/>
    <w:rsid w:val="00873C79"/>
    <w:rsid w:val="00873CED"/>
    <w:rsid w:val="00873D40"/>
    <w:rsid w:val="00873DCD"/>
    <w:rsid w:val="00873E0E"/>
    <w:rsid w:val="00873E59"/>
    <w:rsid w:val="00873E81"/>
    <w:rsid w:val="00873E85"/>
    <w:rsid w:val="00873E86"/>
    <w:rsid w:val="00873EF3"/>
    <w:rsid w:val="00873F42"/>
    <w:rsid w:val="00874045"/>
    <w:rsid w:val="00874087"/>
    <w:rsid w:val="00874102"/>
    <w:rsid w:val="0087410A"/>
    <w:rsid w:val="0087412D"/>
    <w:rsid w:val="00874150"/>
    <w:rsid w:val="00874179"/>
    <w:rsid w:val="00874243"/>
    <w:rsid w:val="00874278"/>
    <w:rsid w:val="00874293"/>
    <w:rsid w:val="0087429F"/>
    <w:rsid w:val="008742C1"/>
    <w:rsid w:val="008742E0"/>
    <w:rsid w:val="00874371"/>
    <w:rsid w:val="008743D2"/>
    <w:rsid w:val="008743D6"/>
    <w:rsid w:val="0087448E"/>
    <w:rsid w:val="00874497"/>
    <w:rsid w:val="0087449B"/>
    <w:rsid w:val="0087450E"/>
    <w:rsid w:val="00874656"/>
    <w:rsid w:val="0087468D"/>
    <w:rsid w:val="008746F4"/>
    <w:rsid w:val="0087473D"/>
    <w:rsid w:val="008747A2"/>
    <w:rsid w:val="008747E5"/>
    <w:rsid w:val="00874802"/>
    <w:rsid w:val="00874811"/>
    <w:rsid w:val="00874866"/>
    <w:rsid w:val="008748A1"/>
    <w:rsid w:val="008748AE"/>
    <w:rsid w:val="008749BC"/>
    <w:rsid w:val="008749F7"/>
    <w:rsid w:val="00874A10"/>
    <w:rsid w:val="00874A21"/>
    <w:rsid w:val="00874A52"/>
    <w:rsid w:val="00874A71"/>
    <w:rsid w:val="00874A7E"/>
    <w:rsid w:val="00874AD1"/>
    <w:rsid w:val="00874B0D"/>
    <w:rsid w:val="00874B1B"/>
    <w:rsid w:val="00874B78"/>
    <w:rsid w:val="00874B9A"/>
    <w:rsid w:val="00874BD6"/>
    <w:rsid w:val="00874C77"/>
    <w:rsid w:val="00874C97"/>
    <w:rsid w:val="00874CAC"/>
    <w:rsid w:val="00874CE1"/>
    <w:rsid w:val="00874D2E"/>
    <w:rsid w:val="00874D7F"/>
    <w:rsid w:val="00874DCC"/>
    <w:rsid w:val="00874DF8"/>
    <w:rsid w:val="00874DF9"/>
    <w:rsid w:val="00874E4E"/>
    <w:rsid w:val="00874E6F"/>
    <w:rsid w:val="00874EF3"/>
    <w:rsid w:val="00874F12"/>
    <w:rsid w:val="00874F37"/>
    <w:rsid w:val="00874F3A"/>
    <w:rsid w:val="0087501C"/>
    <w:rsid w:val="00875147"/>
    <w:rsid w:val="008751B8"/>
    <w:rsid w:val="008751EF"/>
    <w:rsid w:val="008752E5"/>
    <w:rsid w:val="0087531C"/>
    <w:rsid w:val="00875465"/>
    <w:rsid w:val="00875582"/>
    <w:rsid w:val="0087559C"/>
    <w:rsid w:val="008755A1"/>
    <w:rsid w:val="008756DB"/>
    <w:rsid w:val="008757BC"/>
    <w:rsid w:val="008757CE"/>
    <w:rsid w:val="00875808"/>
    <w:rsid w:val="00875870"/>
    <w:rsid w:val="008758D5"/>
    <w:rsid w:val="00875914"/>
    <w:rsid w:val="00875968"/>
    <w:rsid w:val="008759D1"/>
    <w:rsid w:val="00875A58"/>
    <w:rsid w:val="00875ACC"/>
    <w:rsid w:val="00875BF4"/>
    <w:rsid w:val="00875C0C"/>
    <w:rsid w:val="00875CB5"/>
    <w:rsid w:val="00875CDC"/>
    <w:rsid w:val="00875DE4"/>
    <w:rsid w:val="00875E61"/>
    <w:rsid w:val="00875E85"/>
    <w:rsid w:val="00875E9A"/>
    <w:rsid w:val="00875EEE"/>
    <w:rsid w:val="00875F72"/>
    <w:rsid w:val="00875FE4"/>
    <w:rsid w:val="00875FEA"/>
    <w:rsid w:val="008760AF"/>
    <w:rsid w:val="008760C7"/>
    <w:rsid w:val="0087611A"/>
    <w:rsid w:val="00876150"/>
    <w:rsid w:val="008761A9"/>
    <w:rsid w:val="008761B9"/>
    <w:rsid w:val="00876246"/>
    <w:rsid w:val="00876256"/>
    <w:rsid w:val="008762DE"/>
    <w:rsid w:val="0087630A"/>
    <w:rsid w:val="00876311"/>
    <w:rsid w:val="0087632F"/>
    <w:rsid w:val="00876450"/>
    <w:rsid w:val="00876456"/>
    <w:rsid w:val="00876573"/>
    <w:rsid w:val="008765FB"/>
    <w:rsid w:val="00876609"/>
    <w:rsid w:val="0087664C"/>
    <w:rsid w:val="008767EC"/>
    <w:rsid w:val="00876805"/>
    <w:rsid w:val="0087680A"/>
    <w:rsid w:val="00876826"/>
    <w:rsid w:val="00876839"/>
    <w:rsid w:val="008768D1"/>
    <w:rsid w:val="008768E0"/>
    <w:rsid w:val="008769D0"/>
    <w:rsid w:val="008769F9"/>
    <w:rsid w:val="00876A2A"/>
    <w:rsid w:val="00876B4C"/>
    <w:rsid w:val="00876B79"/>
    <w:rsid w:val="00876BA0"/>
    <w:rsid w:val="00876C25"/>
    <w:rsid w:val="00876C2E"/>
    <w:rsid w:val="00876C41"/>
    <w:rsid w:val="00876C74"/>
    <w:rsid w:val="00876CED"/>
    <w:rsid w:val="00876D44"/>
    <w:rsid w:val="00876DB2"/>
    <w:rsid w:val="00876E48"/>
    <w:rsid w:val="00876E4B"/>
    <w:rsid w:val="00876EFE"/>
    <w:rsid w:val="00876FBD"/>
    <w:rsid w:val="00877015"/>
    <w:rsid w:val="00877049"/>
    <w:rsid w:val="0087708E"/>
    <w:rsid w:val="008770C1"/>
    <w:rsid w:val="0087713A"/>
    <w:rsid w:val="00877271"/>
    <w:rsid w:val="0087728B"/>
    <w:rsid w:val="00877313"/>
    <w:rsid w:val="008773D7"/>
    <w:rsid w:val="00877416"/>
    <w:rsid w:val="00877425"/>
    <w:rsid w:val="0087745A"/>
    <w:rsid w:val="00877466"/>
    <w:rsid w:val="008775D0"/>
    <w:rsid w:val="008775F3"/>
    <w:rsid w:val="008776B7"/>
    <w:rsid w:val="008776DD"/>
    <w:rsid w:val="008777D6"/>
    <w:rsid w:val="00877857"/>
    <w:rsid w:val="008778F8"/>
    <w:rsid w:val="0087790C"/>
    <w:rsid w:val="00877A21"/>
    <w:rsid w:val="00877A26"/>
    <w:rsid w:val="00877A3E"/>
    <w:rsid w:val="00877A95"/>
    <w:rsid w:val="00877B9E"/>
    <w:rsid w:val="00877BBF"/>
    <w:rsid w:val="00877BEA"/>
    <w:rsid w:val="00877C13"/>
    <w:rsid w:val="00877C5E"/>
    <w:rsid w:val="00877E8F"/>
    <w:rsid w:val="00877EDA"/>
    <w:rsid w:val="00877FFB"/>
    <w:rsid w:val="0088000D"/>
    <w:rsid w:val="008800D9"/>
    <w:rsid w:val="008801C2"/>
    <w:rsid w:val="008801E0"/>
    <w:rsid w:val="00880269"/>
    <w:rsid w:val="008802C9"/>
    <w:rsid w:val="008802FE"/>
    <w:rsid w:val="00880347"/>
    <w:rsid w:val="008803B4"/>
    <w:rsid w:val="008803EF"/>
    <w:rsid w:val="0088044D"/>
    <w:rsid w:val="008804CE"/>
    <w:rsid w:val="008804FC"/>
    <w:rsid w:val="00880566"/>
    <w:rsid w:val="008805FC"/>
    <w:rsid w:val="00880614"/>
    <w:rsid w:val="0088065A"/>
    <w:rsid w:val="008806EB"/>
    <w:rsid w:val="00880756"/>
    <w:rsid w:val="0088083D"/>
    <w:rsid w:val="008808DC"/>
    <w:rsid w:val="0088091E"/>
    <w:rsid w:val="0088092C"/>
    <w:rsid w:val="00880983"/>
    <w:rsid w:val="008809D7"/>
    <w:rsid w:val="008809DD"/>
    <w:rsid w:val="00880A73"/>
    <w:rsid w:val="00880A98"/>
    <w:rsid w:val="00880ADD"/>
    <w:rsid w:val="00880AF6"/>
    <w:rsid w:val="00880B38"/>
    <w:rsid w:val="00880B76"/>
    <w:rsid w:val="00880B81"/>
    <w:rsid w:val="00880BFA"/>
    <w:rsid w:val="00880BFD"/>
    <w:rsid w:val="00880C8D"/>
    <w:rsid w:val="00880CE9"/>
    <w:rsid w:val="00880D18"/>
    <w:rsid w:val="00880DA4"/>
    <w:rsid w:val="00880DED"/>
    <w:rsid w:val="00880E72"/>
    <w:rsid w:val="00880EE3"/>
    <w:rsid w:val="00880EE9"/>
    <w:rsid w:val="00880FCE"/>
    <w:rsid w:val="00880FDD"/>
    <w:rsid w:val="00881002"/>
    <w:rsid w:val="00881085"/>
    <w:rsid w:val="008810AC"/>
    <w:rsid w:val="008810EE"/>
    <w:rsid w:val="00881118"/>
    <w:rsid w:val="00881180"/>
    <w:rsid w:val="008811A5"/>
    <w:rsid w:val="008811BC"/>
    <w:rsid w:val="008812A3"/>
    <w:rsid w:val="008812D4"/>
    <w:rsid w:val="0088131C"/>
    <w:rsid w:val="00881339"/>
    <w:rsid w:val="00881357"/>
    <w:rsid w:val="0088137D"/>
    <w:rsid w:val="00881395"/>
    <w:rsid w:val="008814DC"/>
    <w:rsid w:val="00881510"/>
    <w:rsid w:val="0088153C"/>
    <w:rsid w:val="00881545"/>
    <w:rsid w:val="00881646"/>
    <w:rsid w:val="0088166A"/>
    <w:rsid w:val="008816B1"/>
    <w:rsid w:val="008816C1"/>
    <w:rsid w:val="008816DD"/>
    <w:rsid w:val="008816E8"/>
    <w:rsid w:val="00881709"/>
    <w:rsid w:val="0088172D"/>
    <w:rsid w:val="0088172E"/>
    <w:rsid w:val="00881788"/>
    <w:rsid w:val="008817EC"/>
    <w:rsid w:val="008817FE"/>
    <w:rsid w:val="00881851"/>
    <w:rsid w:val="00881855"/>
    <w:rsid w:val="00881866"/>
    <w:rsid w:val="008819D3"/>
    <w:rsid w:val="00881A20"/>
    <w:rsid w:val="00881A70"/>
    <w:rsid w:val="00881A98"/>
    <w:rsid w:val="00881AF7"/>
    <w:rsid w:val="00881B66"/>
    <w:rsid w:val="00881B6C"/>
    <w:rsid w:val="00881BEB"/>
    <w:rsid w:val="00881C00"/>
    <w:rsid w:val="00881CC2"/>
    <w:rsid w:val="00881D43"/>
    <w:rsid w:val="00881D83"/>
    <w:rsid w:val="00881DDC"/>
    <w:rsid w:val="00881E31"/>
    <w:rsid w:val="00881E86"/>
    <w:rsid w:val="00881EEB"/>
    <w:rsid w:val="00881F42"/>
    <w:rsid w:val="00881FB6"/>
    <w:rsid w:val="00882002"/>
    <w:rsid w:val="00882040"/>
    <w:rsid w:val="00882179"/>
    <w:rsid w:val="008821C4"/>
    <w:rsid w:val="008821D3"/>
    <w:rsid w:val="0088221C"/>
    <w:rsid w:val="008822B9"/>
    <w:rsid w:val="008822E2"/>
    <w:rsid w:val="008822E3"/>
    <w:rsid w:val="0088238A"/>
    <w:rsid w:val="008823A1"/>
    <w:rsid w:val="008823F8"/>
    <w:rsid w:val="00882400"/>
    <w:rsid w:val="00882403"/>
    <w:rsid w:val="0088243B"/>
    <w:rsid w:val="00882523"/>
    <w:rsid w:val="008825A2"/>
    <w:rsid w:val="0088266B"/>
    <w:rsid w:val="00882689"/>
    <w:rsid w:val="00882713"/>
    <w:rsid w:val="0088271B"/>
    <w:rsid w:val="0088275A"/>
    <w:rsid w:val="0088275C"/>
    <w:rsid w:val="008827EB"/>
    <w:rsid w:val="0088280E"/>
    <w:rsid w:val="0088285C"/>
    <w:rsid w:val="00882887"/>
    <w:rsid w:val="00882931"/>
    <w:rsid w:val="0088298F"/>
    <w:rsid w:val="008829A9"/>
    <w:rsid w:val="00882A2F"/>
    <w:rsid w:val="00882A75"/>
    <w:rsid w:val="00882A9D"/>
    <w:rsid w:val="00882B6D"/>
    <w:rsid w:val="00882B7B"/>
    <w:rsid w:val="00882BA6"/>
    <w:rsid w:val="00882C0E"/>
    <w:rsid w:val="00882CDB"/>
    <w:rsid w:val="00882CF9"/>
    <w:rsid w:val="00882D51"/>
    <w:rsid w:val="00882D6D"/>
    <w:rsid w:val="00882DF0"/>
    <w:rsid w:val="00882E6D"/>
    <w:rsid w:val="00882E88"/>
    <w:rsid w:val="00882EC9"/>
    <w:rsid w:val="00882F11"/>
    <w:rsid w:val="00882F69"/>
    <w:rsid w:val="00882FD3"/>
    <w:rsid w:val="00883026"/>
    <w:rsid w:val="0088302A"/>
    <w:rsid w:val="00883035"/>
    <w:rsid w:val="00883063"/>
    <w:rsid w:val="00883099"/>
    <w:rsid w:val="0088309E"/>
    <w:rsid w:val="008831E5"/>
    <w:rsid w:val="0088320A"/>
    <w:rsid w:val="00883324"/>
    <w:rsid w:val="0088338E"/>
    <w:rsid w:val="0088339F"/>
    <w:rsid w:val="008833AC"/>
    <w:rsid w:val="008833B6"/>
    <w:rsid w:val="00883417"/>
    <w:rsid w:val="00883437"/>
    <w:rsid w:val="00883499"/>
    <w:rsid w:val="00883592"/>
    <w:rsid w:val="008835ED"/>
    <w:rsid w:val="00883611"/>
    <w:rsid w:val="00883624"/>
    <w:rsid w:val="00883634"/>
    <w:rsid w:val="00883658"/>
    <w:rsid w:val="0088369E"/>
    <w:rsid w:val="008836AC"/>
    <w:rsid w:val="00883713"/>
    <w:rsid w:val="00883760"/>
    <w:rsid w:val="00883847"/>
    <w:rsid w:val="0088384E"/>
    <w:rsid w:val="008838EE"/>
    <w:rsid w:val="00883A68"/>
    <w:rsid w:val="00883B09"/>
    <w:rsid w:val="00883B55"/>
    <w:rsid w:val="00883BB3"/>
    <w:rsid w:val="00883BCC"/>
    <w:rsid w:val="00883BD0"/>
    <w:rsid w:val="00883C28"/>
    <w:rsid w:val="00883C2A"/>
    <w:rsid w:val="00883C71"/>
    <w:rsid w:val="00883D1C"/>
    <w:rsid w:val="00883D96"/>
    <w:rsid w:val="00883DCA"/>
    <w:rsid w:val="00883DDA"/>
    <w:rsid w:val="00883DDD"/>
    <w:rsid w:val="00883E75"/>
    <w:rsid w:val="00883E90"/>
    <w:rsid w:val="0088401C"/>
    <w:rsid w:val="008840D7"/>
    <w:rsid w:val="00884143"/>
    <w:rsid w:val="0088415D"/>
    <w:rsid w:val="008841D0"/>
    <w:rsid w:val="008842EF"/>
    <w:rsid w:val="008842F0"/>
    <w:rsid w:val="00884308"/>
    <w:rsid w:val="008843C1"/>
    <w:rsid w:val="008843D8"/>
    <w:rsid w:val="008843F8"/>
    <w:rsid w:val="008844EE"/>
    <w:rsid w:val="0088453E"/>
    <w:rsid w:val="00884578"/>
    <w:rsid w:val="00884643"/>
    <w:rsid w:val="00884672"/>
    <w:rsid w:val="00884719"/>
    <w:rsid w:val="00884778"/>
    <w:rsid w:val="008847A2"/>
    <w:rsid w:val="008847D4"/>
    <w:rsid w:val="008847D7"/>
    <w:rsid w:val="008847F8"/>
    <w:rsid w:val="008847F9"/>
    <w:rsid w:val="0088480F"/>
    <w:rsid w:val="0088481C"/>
    <w:rsid w:val="008848EA"/>
    <w:rsid w:val="00884A84"/>
    <w:rsid w:val="00884AA2"/>
    <w:rsid w:val="00884C1F"/>
    <w:rsid w:val="00884C2E"/>
    <w:rsid w:val="00884C39"/>
    <w:rsid w:val="00884C42"/>
    <w:rsid w:val="00884C56"/>
    <w:rsid w:val="00884C5B"/>
    <w:rsid w:val="00884CA4"/>
    <w:rsid w:val="00884CE6"/>
    <w:rsid w:val="00884D58"/>
    <w:rsid w:val="00884D7C"/>
    <w:rsid w:val="00884DA7"/>
    <w:rsid w:val="00884E52"/>
    <w:rsid w:val="00884F66"/>
    <w:rsid w:val="00884FB7"/>
    <w:rsid w:val="00884FD6"/>
    <w:rsid w:val="00884FD8"/>
    <w:rsid w:val="0088514E"/>
    <w:rsid w:val="008851C2"/>
    <w:rsid w:val="00885212"/>
    <w:rsid w:val="00885317"/>
    <w:rsid w:val="00885364"/>
    <w:rsid w:val="00885381"/>
    <w:rsid w:val="008853B8"/>
    <w:rsid w:val="00885412"/>
    <w:rsid w:val="00885455"/>
    <w:rsid w:val="008854E6"/>
    <w:rsid w:val="0088552B"/>
    <w:rsid w:val="008855DF"/>
    <w:rsid w:val="008855FE"/>
    <w:rsid w:val="00885617"/>
    <w:rsid w:val="00885641"/>
    <w:rsid w:val="00885707"/>
    <w:rsid w:val="00885756"/>
    <w:rsid w:val="00885782"/>
    <w:rsid w:val="00885808"/>
    <w:rsid w:val="00885899"/>
    <w:rsid w:val="00885902"/>
    <w:rsid w:val="0088591B"/>
    <w:rsid w:val="00885987"/>
    <w:rsid w:val="008859F9"/>
    <w:rsid w:val="00885A42"/>
    <w:rsid w:val="00885ACF"/>
    <w:rsid w:val="00885AEA"/>
    <w:rsid w:val="00885B60"/>
    <w:rsid w:val="00885BE1"/>
    <w:rsid w:val="00885BEB"/>
    <w:rsid w:val="00885C34"/>
    <w:rsid w:val="00885CBB"/>
    <w:rsid w:val="00885D5A"/>
    <w:rsid w:val="00885D9B"/>
    <w:rsid w:val="00885E1F"/>
    <w:rsid w:val="00885E5A"/>
    <w:rsid w:val="00885E72"/>
    <w:rsid w:val="00885E92"/>
    <w:rsid w:val="0088612A"/>
    <w:rsid w:val="00886130"/>
    <w:rsid w:val="0088614B"/>
    <w:rsid w:val="0088615C"/>
    <w:rsid w:val="0088615F"/>
    <w:rsid w:val="00886167"/>
    <w:rsid w:val="0088617C"/>
    <w:rsid w:val="00886215"/>
    <w:rsid w:val="008862D0"/>
    <w:rsid w:val="008862EC"/>
    <w:rsid w:val="00886312"/>
    <w:rsid w:val="0088635F"/>
    <w:rsid w:val="008863D1"/>
    <w:rsid w:val="00886420"/>
    <w:rsid w:val="00886497"/>
    <w:rsid w:val="0088649B"/>
    <w:rsid w:val="008864D3"/>
    <w:rsid w:val="00886535"/>
    <w:rsid w:val="008865D5"/>
    <w:rsid w:val="00886602"/>
    <w:rsid w:val="00886623"/>
    <w:rsid w:val="0088665F"/>
    <w:rsid w:val="00886716"/>
    <w:rsid w:val="008868E7"/>
    <w:rsid w:val="008868EA"/>
    <w:rsid w:val="008869A0"/>
    <w:rsid w:val="008869E4"/>
    <w:rsid w:val="008869EC"/>
    <w:rsid w:val="00886A0D"/>
    <w:rsid w:val="00886B19"/>
    <w:rsid w:val="00886B44"/>
    <w:rsid w:val="00886BAC"/>
    <w:rsid w:val="00886C38"/>
    <w:rsid w:val="00886C65"/>
    <w:rsid w:val="00886C71"/>
    <w:rsid w:val="00886C9D"/>
    <w:rsid w:val="00886C9E"/>
    <w:rsid w:val="00886CB3"/>
    <w:rsid w:val="00886D13"/>
    <w:rsid w:val="00886F02"/>
    <w:rsid w:val="00886F93"/>
    <w:rsid w:val="00887057"/>
    <w:rsid w:val="00887075"/>
    <w:rsid w:val="008870A0"/>
    <w:rsid w:val="008870A7"/>
    <w:rsid w:val="0088713C"/>
    <w:rsid w:val="00887140"/>
    <w:rsid w:val="0088719E"/>
    <w:rsid w:val="008871A4"/>
    <w:rsid w:val="008871F7"/>
    <w:rsid w:val="00887250"/>
    <w:rsid w:val="00887272"/>
    <w:rsid w:val="0088728F"/>
    <w:rsid w:val="00887363"/>
    <w:rsid w:val="008873AD"/>
    <w:rsid w:val="008873CA"/>
    <w:rsid w:val="0088740A"/>
    <w:rsid w:val="00887421"/>
    <w:rsid w:val="00887455"/>
    <w:rsid w:val="008874B2"/>
    <w:rsid w:val="00887525"/>
    <w:rsid w:val="00887547"/>
    <w:rsid w:val="008875AB"/>
    <w:rsid w:val="008875EA"/>
    <w:rsid w:val="00887615"/>
    <w:rsid w:val="00887681"/>
    <w:rsid w:val="008876F9"/>
    <w:rsid w:val="00887756"/>
    <w:rsid w:val="00887789"/>
    <w:rsid w:val="008877DF"/>
    <w:rsid w:val="0088787F"/>
    <w:rsid w:val="008878FC"/>
    <w:rsid w:val="008879B6"/>
    <w:rsid w:val="00887A0F"/>
    <w:rsid w:val="00887A55"/>
    <w:rsid w:val="00887A6C"/>
    <w:rsid w:val="00887AAB"/>
    <w:rsid w:val="00887ABB"/>
    <w:rsid w:val="00887AE8"/>
    <w:rsid w:val="00887AFD"/>
    <w:rsid w:val="00887B0E"/>
    <w:rsid w:val="00887B76"/>
    <w:rsid w:val="00887BB8"/>
    <w:rsid w:val="00887C98"/>
    <w:rsid w:val="00887D01"/>
    <w:rsid w:val="00887E15"/>
    <w:rsid w:val="00887F42"/>
    <w:rsid w:val="00887FA8"/>
    <w:rsid w:val="00887FD4"/>
    <w:rsid w:val="0089007C"/>
    <w:rsid w:val="008900CC"/>
    <w:rsid w:val="008900D1"/>
    <w:rsid w:val="00890181"/>
    <w:rsid w:val="008901AF"/>
    <w:rsid w:val="008901B4"/>
    <w:rsid w:val="008901DB"/>
    <w:rsid w:val="008901ED"/>
    <w:rsid w:val="0089022C"/>
    <w:rsid w:val="00890257"/>
    <w:rsid w:val="0089025F"/>
    <w:rsid w:val="0089030F"/>
    <w:rsid w:val="00890341"/>
    <w:rsid w:val="0089034B"/>
    <w:rsid w:val="00890373"/>
    <w:rsid w:val="008903BF"/>
    <w:rsid w:val="008903DB"/>
    <w:rsid w:val="00890428"/>
    <w:rsid w:val="0089042B"/>
    <w:rsid w:val="008904A7"/>
    <w:rsid w:val="008904FB"/>
    <w:rsid w:val="0089051F"/>
    <w:rsid w:val="00890558"/>
    <w:rsid w:val="008905B1"/>
    <w:rsid w:val="008905E4"/>
    <w:rsid w:val="00890658"/>
    <w:rsid w:val="0089066B"/>
    <w:rsid w:val="008906FA"/>
    <w:rsid w:val="008907BE"/>
    <w:rsid w:val="00890845"/>
    <w:rsid w:val="0089085B"/>
    <w:rsid w:val="008908A9"/>
    <w:rsid w:val="008908F1"/>
    <w:rsid w:val="0089091A"/>
    <w:rsid w:val="0089091C"/>
    <w:rsid w:val="00890944"/>
    <w:rsid w:val="00890981"/>
    <w:rsid w:val="00890A1D"/>
    <w:rsid w:val="00890A3E"/>
    <w:rsid w:val="00890A9E"/>
    <w:rsid w:val="00890ABE"/>
    <w:rsid w:val="00890C65"/>
    <w:rsid w:val="00890C91"/>
    <w:rsid w:val="00890CC7"/>
    <w:rsid w:val="00890CF7"/>
    <w:rsid w:val="00890D91"/>
    <w:rsid w:val="00890E49"/>
    <w:rsid w:val="00890E8A"/>
    <w:rsid w:val="00890E95"/>
    <w:rsid w:val="00890EDB"/>
    <w:rsid w:val="00890F5A"/>
    <w:rsid w:val="00890FA6"/>
    <w:rsid w:val="00891026"/>
    <w:rsid w:val="00891067"/>
    <w:rsid w:val="008910FC"/>
    <w:rsid w:val="0089111A"/>
    <w:rsid w:val="0089118A"/>
    <w:rsid w:val="00891194"/>
    <w:rsid w:val="008911A6"/>
    <w:rsid w:val="008911C4"/>
    <w:rsid w:val="00891223"/>
    <w:rsid w:val="008912BE"/>
    <w:rsid w:val="008912D1"/>
    <w:rsid w:val="0089130D"/>
    <w:rsid w:val="0089139C"/>
    <w:rsid w:val="008913B2"/>
    <w:rsid w:val="00891439"/>
    <w:rsid w:val="0089144B"/>
    <w:rsid w:val="008914BD"/>
    <w:rsid w:val="008915C9"/>
    <w:rsid w:val="0089166A"/>
    <w:rsid w:val="008916D3"/>
    <w:rsid w:val="008916D7"/>
    <w:rsid w:val="008916F2"/>
    <w:rsid w:val="0089173F"/>
    <w:rsid w:val="008917B1"/>
    <w:rsid w:val="008917C5"/>
    <w:rsid w:val="00891836"/>
    <w:rsid w:val="008918CB"/>
    <w:rsid w:val="008918E8"/>
    <w:rsid w:val="00891956"/>
    <w:rsid w:val="008919AB"/>
    <w:rsid w:val="008919BE"/>
    <w:rsid w:val="008919CC"/>
    <w:rsid w:val="00891A85"/>
    <w:rsid w:val="00891A9D"/>
    <w:rsid w:val="00891AAE"/>
    <w:rsid w:val="00891B4B"/>
    <w:rsid w:val="00891B83"/>
    <w:rsid w:val="00891BAD"/>
    <w:rsid w:val="00891BBD"/>
    <w:rsid w:val="00891C51"/>
    <w:rsid w:val="00891C98"/>
    <w:rsid w:val="00891CA3"/>
    <w:rsid w:val="00891CBF"/>
    <w:rsid w:val="00891D37"/>
    <w:rsid w:val="00891D5B"/>
    <w:rsid w:val="00891DC0"/>
    <w:rsid w:val="00891DD4"/>
    <w:rsid w:val="00891E43"/>
    <w:rsid w:val="00891EA3"/>
    <w:rsid w:val="00891ECE"/>
    <w:rsid w:val="00891EE5"/>
    <w:rsid w:val="00891F29"/>
    <w:rsid w:val="00891F57"/>
    <w:rsid w:val="00891F6F"/>
    <w:rsid w:val="00892032"/>
    <w:rsid w:val="00892063"/>
    <w:rsid w:val="00892103"/>
    <w:rsid w:val="0089229E"/>
    <w:rsid w:val="008922BB"/>
    <w:rsid w:val="00892329"/>
    <w:rsid w:val="008923EE"/>
    <w:rsid w:val="008923F1"/>
    <w:rsid w:val="00892451"/>
    <w:rsid w:val="008924F5"/>
    <w:rsid w:val="00892503"/>
    <w:rsid w:val="00892509"/>
    <w:rsid w:val="008927A7"/>
    <w:rsid w:val="008927DB"/>
    <w:rsid w:val="008927E2"/>
    <w:rsid w:val="00892800"/>
    <w:rsid w:val="008928BB"/>
    <w:rsid w:val="008929E6"/>
    <w:rsid w:val="00892B59"/>
    <w:rsid w:val="00892BB6"/>
    <w:rsid w:val="00892C13"/>
    <w:rsid w:val="00892CAD"/>
    <w:rsid w:val="00892D2B"/>
    <w:rsid w:val="00892D3A"/>
    <w:rsid w:val="00892D4F"/>
    <w:rsid w:val="00892D56"/>
    <w:rsid w:val="00892DAC"/>
    <w:rsid w:val="00892E12"/>
    <w:rsid w:val="00892E9A"/>
    <w:rsid w:val="00892EFA"/>
    <w:rsid w:val="00892F18"/>
    <w:rsid w:val="00892FA9"/>
    <w:rsid w:val="008930E6"/>
    <w:rsid w:val="008930FF"/>
    <w:rsid w:val="0089315C"/>
    <w:rsid w:val="00893200"/>
    <w:rsid w:val="00893216"/>
    <w:rsid w:val="00893217"/>
    <w:rsid w:val="00893284"/>
    <w:rsid w:val="008932A7"/>
    <w:rsid w:val="0089331E"/>
    <w:rsid w:val="008933AC"/>
    <w:rsid w:val="0089342B"/>
    <w:rsid w:val="008934B0"/>
    <w:rsid w:val="008935D5"/>
    <w:rsid w:val="00893682"/>
    <w:rsid w:val="008936C4"/>
    <w:rsid w:val="00893716"/>
    <w:rsid w:val="00893733"/>
    <w:rsid w:val="00893746"/>
    <w:rsid w:val="0089375E"/>
    <w:rsid w:val="0089376A"/>
    <w:rsid w:val="00893775"/>
    <w:rsid w:val="008937ED"/>
    <w:rsid w:val="0089381A"/>
    <w:rsid w:val="0089383E"/>
    <w:rsid w:val="00893855"/>
    <w:rsid w:val="00893864"/>
    <w:rsid w:val="0089386E"/>
    <w:rsid w:val="00893966"/>
    <w:rsid w:val="00893B18"/>
    <w:rsid w:val="00893B32"/>
    <w:rsid w:val="00893B45"/>
    <w:rsid w:val="00893B4B"/>
    <w:rsid w:val="00893B6A"/>
    <w:rsid w:val="00893BAE"/>
    <w:rsid w:val="00893BBE"/>
    <w:rsid w:val="00893BEB"/>
    <w:rsid w:val="00893C0F"/>
    <w:rsid w:val="00893CD8"/>
    <w:rsid w:val="00893D52"/>
    <w:rsid w:val="00893D81"/>
    <w:rsid w:val="00893E3A"/>
    <w:rsid w:val="00893F5A"/>
    <w:rsid w:val="00893FDB"/>
    <w:rsid w:val="0089407D"/>
    <w:rsid w:val="0089407E"/>
    <w:rsid w:val="008940C6"/>
    <w:rsid w:val="00894197"/>
    <w:rsid w:val="008941C6"/>
    <w:rsid w:val="0089423E"/>
    <w:rsid w:val="008943B2"/>
    <w:rsid w:val="008943BC"/>
    <w:rsid w:val="008943DE"/>
    <w:rsid w:val="008944AB"/>
    <w:rsid w:val="008944FB"/>
    <w:rsid w:val="0089456F"/>
    <w:rsid w:val="008945BE"/>
    <w:rsid w:val="008945C5"/>
    <w:rsid w:val="008945CD"/>
    <w:rsid w:val="008945D9"/>
    <w:rsid w:val="00894604"/>
    <w:rsid w:val="00894673"/>
    <w:rsid w:val="008946AD"/>
    <w:rsid w:val="00894731"/>
    <w:rsid w:val="00894784"/>
    <w:rsid w:val="0089478C"/>
    <w:rsid w:val="008947D0"/>
    <w:rsid w:val="0089480E"/>
    <w:rsid w:val="00894842"/>
    <w:rsid w:val="00894890"/>
    <w:rsid w:val="00894896"/>
    <w:rsid w:val="008948CF"/>
    <w:rsid w:val="008949FE"/>
    <w:rsid w:val="00894A18"/>
    <w:rsid w:val="00894B2A"/>
    <w:rsid w:val="00894BD3"/>
    <w:rsid w:val="00894C12"/>
    <w:rsid w:val="00894CB6"/>
    <w:rsid w:val="00894CBB"/>
    <w:rsid w:val="00894D73"/>
    <w:rsid w:val="00894E0D"/>
    <w:rsid w:val="00894E69"/>
    <w:rsid w:val="00894E7A"/>
    <w:rsid w:val="00894EA3"/>
    <w:rsid w:val="00894EA4"/>
    <w:rsid w:val="00894EBB"/>
    <w:rsid w:val="00894EC9"/>
    <w:rsid w:val="00894F36"/>
    <w:rsid w:val="00894F3D"/>
    <w:rsid w:val="00894FF9"/>
    <w:rsid w:val="0089506F"/>
    <w:rsid w:val="00895290"/>
    <w:rsid w:val="008952CE"/>
    <w:rsid w:val="008952EE"/>
    <w:rsid w:val="0089533A"/>
    <w:rsid w:val="00895340"/>
    <w:rsid w:val="0089534D"/>
    <w:rsid w:val="00895383"/>
    <w:rsid w:val="008953F5"/>
    <w:rsid w:val="00895460"/>
    <w:rsid w:val="008954D0"/>
    <w:rsid w:val="008954E3"/>
    <w:rsid w:val="008954F1"/>
    <w:rsid w:val="00895500"/>
    <w:rsid w:val="0089555B"/>
    <w:rsid w:val="008955BC"/>
    <w:rsid w:val="00895616"/>
    <w:rsid w:val="0089563D"/>
    <w:rsid w:val="0089572F"/>
    <w:rsid w:val="00895739"/>
    <w:rsid w:val="008957E4"/>
    <w:rsid w:val="00895889"/>
    <w:rsid w:val="00895966"/>
    <w:rsid w:val="00895989"/>
    <w:rsid w:val="0089599B"/>
    <w:rsid w:val="008959B6"/>
    <w:rsid w:val="008959BD"/>
    <w:rsid w:val="00895AAF"/>
    <w:rsid w:val="00895AB8"/>
    <w:rsid w:val="00895AFC"/>
    <w:rsid w:val="00895BA6"/>
    <w:rsid w:val="00895BD2"/>
    <w:rsid w:val="00895BE9"/>
    <w:rsid w:val="00895C4B"/>
    <w:rsid w:val="00895C5D"/>
    <w:rsid w:val="00895CA6"/>
    <w:rsid w:val="00895CC9"/>
    <w:rsid w:val="00895CF7"/>
    <w:rsid w:val="00895D4B"/>
    <w:rsid w:val="00895D51"/>
    <w:rsid w:val="00895E7C"/>
    <w:rsid w:val="00895F62"/>
    <w:rsid w:val="00895FD7"/>
    <w:rsid w:val="00895FDD"/>
    <w:rsid w:val="00895FF7"/>
    <w:rsid w:val="00896024"/>
    <w:rsid w:val="0089602A"/>
    <w:rsid w:val="00896035"/>
    <w:rsid w:val="00896049"/>
    <w:rsid w:val="008960FD"/>
    <w:rsid w:val="0089623B"/>
    <w:rsid w:val="0089627D"/>
    <w:rsid w:val="00896294"/>
    <w:rsid w:val="00896296"/>
    <w:rsid w:val="008962C0"/>
    <w:rsid w:val="00896300"/>
    <w:rsid w:val="00896329"/>
    <w:rsid w:val="008963A6"/>
    <w:rsid w:val="008963DB"/>
    <w:rsid w:val="008963E0"/>
    <w:rsid w:val="00896432"/>
    <w:rsid w:val="0089655E"/>
    <w:rsid w:val="008965C8"/>
    <w:rsid w:val="008965FB"/>
    <w:rsid w:val="0089666C"/>
    <w:rsid w:val="00896686"/>
    <w:rsid w:val="008966A3"/>
    <w:rsid w:val="00896758"/>
    <w:rsid w:val="008967D7"/>
    <w:rsid w:val="00896813"/>
    <w:rsid w:val="00896821"/>
    <w:rsid w:val="00896846"/>
    <w:rsid w:val="00896862"/>
    <w:rsid w:val="008968D8"/>
    <w:rsid w:val="00896952"/>
    <w:rsid w:val="00896A48"/>
    <w:rsid w:val="00896A57"/>
    <w:rsid w:val="00896A99"/>
    <w:rsid w:val="00896AE9"/>
    <w:rsid w:val="00896AFB"/>
    <w:rsid w:val="00896B0F"/>
    <w:rsid w:val="00896B83"/>
    <w:rsid w:val="00896B8C"/>
    <w:rsid w:val="00896C17"/>
    <w:rsid w:val="00896C34"/>
    <w:rsid w:val="00896C71"/>
    <w:rsid w:val="00896C7D"/>
    <w:rsid w:val="00896DFE"/>
    <w:rsid w:val="00896E2E"/>
    <w:rsid w:val="00896E46"/>
    <w:rsid w:val="00896EC3"/>
    <w:rsid w:val="00896EEC"/>
    <w:rsid w:val="00896F1E"/>
    <w:rsid w:val="00896F3E"/>
    <w:rsid w:val="00896F74"/>
    <w:rsid w:val="00896F87"/>
    <w:rsid w:val="00896FA5"/>
    <w:rsid w:val="00896FBD"/>
    <w:rsid w:val="00897193"/>
    <w:rsid w:val="00897198"/>
    <w:rsid w:val="008971C6"/>
    <w:rsid w:val="0089723A"/>
    <w:rsid w:val="0089736C"/>
    <w:rsid w:val="008973BE"/>
    <w:rsid w:val="008973E1"/>
    <w:rsid w:val="00897431"/>
    <w:rsid w:val="00897477"/>
    <w:rsid w:val="00897486"/>
    <w:rsid w:val="008974E0"/>
    <w:rsid w:val="008974F8"/>
    <w:rsid w:val="00897518"/>
    <w:rsid w:val="008975B0"/>
    <w:rsid w:val="008975C8"/>
    <w:rsid w:val="008975F8"/>
    <w:rsid w:val="0089761E"/>
    <w:rsid w:val="008976A7"/>
    <w:rsid w:val="008976F1"/>
    <w:rsid w:val="008976FA"/>
    <w:rsid w:val="008976FF"/>
    <w:rsid w:val="008977B8"/>
    <w:rsid w:val="00897808"/>
    <w:rsid w:val="00897874"/>
    <w:rsid w:val="00897886"/>
    <w:rsid w:val="008978D1"/>
    <w:rsid w:val="00897953"/>
    <w:rsid w:val="0089796D"/>
    <w:rsid w:val="008979E5"/>
    <w:rsid w:val="008979FF"/>
    <w:rsid w:val="00897A50"/>
    <w:rsid w:val="00897A5F"/>
    <w:rsid w:val="00897AA3"/>
    <w:rsid w:val="00897ADF"/>
    <w:rsid w:val="00897B0A"/>
    <w:rsid w:val="00897B6D"/>
    <w:rsid w:val="00897C40"/>
    <w:rsid w:val="00897C63"/>
    <w:rsid w:val="00897C7F"/>
    <w:rsid w:val="00897CDD"/>
    <w:rsid w:val="00897D63"/>
    <w:rsid w:val="00897D96"/>
    <w:rsid w:val="00897DA0"/>
    <w:rsid w:val="00897DA8"/>
    <w:rsid w:val="00897EB6"/>
    <w:rsid w:val="00897EC5"/>
    <w:rsid w:val="00897F7F"/>
    <w:rsid w:val="00897F8D"/>
    <w:rsid w:val="00897FBB"/>
    <w:rsid w:val="008A008A"/>
    <w:rsid w:val="008A00B9"/>
    <w:rsid w:val="008A00C1"/>
    <w:rsid w:val="008A01AB"/>
    <w:rsid w:val="008A01BF"/>
    <w:rsid w:val="008A025D"/>
    <w:rsid w:val="008A0261"/>
    <w:rsid w:val="008A0286"/>
    <w:rsid w:val="008A0291"/>
    <w:rsid w:val="008A02B2"/>
    <w:rsid w:val="008A02F5"/>
    <w:rsid w:val="008A030B"/>
    <w:rsid w:val="008A0324"/>
    <w:rsid w:val="008A0332"/>
    <w:rsid w:val="008A03EF"/>
    <w:rsid w:val="008A042D"/>
    <w:rsid w:val="008A0468"/>
    <w:rsid w:val="008A047E"/>
    <w:rsid w:val="008A04BC"/>
    <w:rsid w:val="008A0511"/>
    <w:rsid w:val="008A0569"/>
    <w:rsid w:val="008A062D"/>
    <w:rsid w:val="008A066B"/>
    <w:rsid w:val="008A0682"/>
    <w:rsid w:val="008A068F"/>
    <w:rsid w:val="008A06B0"/>
    <w:rsid w:val="008A0791"/>
    <w:rsid w:val="008A0816"/>
    <w:rsid w:val="008A0836"/>
    <w:rsid w:val="008A085B"/>
    <w:rsid w:val="008A0959"/>
    <w:rsid w:val="008A098B"/>
    <w:rsid w:val="008A09DB"/>
    <w:rsid w:val="008A09EE"/>
    <w:rsid w:val="008A0A41"/>
    <w:rsid w:val="008A0AC0"/>
    <w:rsid w:val="008A0ADF"/>
    <w:rsid w:val="008A0B81"/>
    <w:rsid w:val="008A0BAE"/>
    <w:rsid w:val="008A0CAA"/>
    <w:rsid w:val="008A0CB5"/>
    <w:rsid w:val="008A0CCC"/>
    <w:rsid w:val="008A0CE9"/>
    <w:rsid w:val="008A0D36"/>
    <w:rsid w:val="008A0D6C"/>
    <w:rsid w:val="008A0D8B"/>
    <w:rsid w:val="008A0DB1"/>
    <w:rsid w:val="008A0E15"/>
    <w:rsid w:val="008A0E49"/>
    <w:rsid w:val="008A0EE7"/>
    <w:rsid w:val="008A0F79"/>
    <w:rsid w:val="008A0FA0"/>
    <w:rsid w:val="008A0FF1"/>
    <w:rsid w:val="008A1044"/>
    <w:rsid w:val="008A10DE"/>
    <w:rsid w:val="008A114D"/>
    <w:rsid w:val="008A11BD"/>
    <w:rsid w:val="008A11C1"/>
    <w:rsid w:val="008A1296"/>
    <w:rsid w:val="008A12D8"/>
    <w:rsid w:val="008A12F2"/>
    <w:rsid w:val="008A1339"/>
    <w:rsid w:val="008A1496"/>
    <w:rsid w:val="008A1509"/>
    <w:rsid w:val="008A157E"/>
    <w:rsid w:val="008A1652"/>
    <w:rsid w:val="008A1742"/>
    <w:rsid w:val="008A176A"/>
    <w:rsid w:val="008A1775"/>
    <w:rsid w:val="008A1849"/>
    <w:rsid w:val="008A1859"/>
    <w:rsid w:val="008A18AD"/>
    <w:rsid w:val="008A18CB"/>
    <w:rsid w:val="008A18E5"/>
    <w:rsid w:val="008A1918"/>
    <w:rsid w:val="008A197B"/>
    <w:rsid w:val="008A19B4"/>
    <w:rsid w:val="008A1A4B"/>
    <w:rsid w:val="008A1AC3"/>
    <w:rsid w:val="008A1ADD"/>
    <w:rsid w:val="008A1AF6"/>
    <w:rsid w:val="008A1B33"/>
    <w:rsid w:val="008A1BA3"/>
    <w:rsid w:val="008A1C3D"/>
    <w:rsid w:val="008A1D1F"/>
    <w:rsid w:val="008A1D32"/>
    <w:rsid w:val="008A1DC5"/>
    <w:rsid w:val="008A1E04"/>
    <w:rsid w:val="008A1E84"/>
    <w:rsid w:val="008A1EFC"/>
    <w:rsid w:val="008A1F9B"/>
    <w:rsid w:val="008A2027"/>
    <w:rsid w:val="008A2068"/>
    <w:rsid w:val="008A2098"/>
    <w:rsid w:val="008A20BA"/>
    <w:rsid w:val="008A2133"/>
    <w:rsid w:val="008A22F2"/>
    <w:rsid w:val="008A23FC"/>
    <w:rsid w:val="008A2433"/>
    <w:rsid w:val="008A2488"/>
    <w:rsid w:val="008A24A8"/>
    <w:rsid w:val="008A24F1"/>
    <w:rsid w:val="008A26A7"/>
    <w:rsid w:val="008A27A8"/>
    <w:rsid w:val="008A280C"/>
    <w:rsid w:val="008A2876"/>
    <w:rsid w:val="008A292D"/>
    <w:rsid w:val="008A294C"/>
    <w:rsid w:val="008A29A8"/>
    <w:rsid w:val="008A2ACC"/>
    <w:rsid w:val="008A2AF2"/>
    <w:rsid w:val="008A2B21"/>
    <w:rsid w:val="008A2C3E"/>
    <w:rsid w:val="008A2C9A"/>
    <w:rsid w:val="008A2CE3"/>
    <w:rsid w:val="008A2DD6"/>
    <w:rsid w:val="008A2DDC"/>
    <w:rsid w:val="008A2E8C"/>
    <w:rsid w:val="008A2EBB"/>
    <w:rsid w:val="008A2EBE"/>
    <w:rsid w:val="008A2EFB"/>
    <w:rsid w:val="008A2F10"/>
    <w:rsid w:val="008A2FCE"/>
    <w:rsid w:val="008A3005"/>
    <w:rsid w:val="008A30D4"/>
    <w:rsid w:val="008A310E"/>
    <w:rsid w:val="008A311B"/>
    <w:rsid w:val="008A313B"/>
    <w:rsid w:val="008A31A9"/>
    <w:rsid w:val="008A3206"/>
    <w:rsid w:val="008A3269"/>
    <w:rsid w:val="008A3290"/>
    <w:rsid w:val="008A3384"/>
    <w:rsid w:val="008A33A7"/>
    <w:rsid w:val="008A33E2"/>
    <w:rsid w:val="008A3500"/>
    <w:rsid w:val="008A350B"/>
    <w:rsid w:val="008A35E3"/>
    <w:rsid w:val="008A3617"/>
    <w:rsid w:val="008A36BA"/>
    <w:rsid w:val="008A3739"/>
    <w:rsid w:val="008A379F"/>
    <w:rsid w:val="008A3837"/>
    <w:rsid w:val="008A3842"/>
    <w:rsid w:val="008A3846"/>
    <w:rsid w:val="008A3849"/>
    <w:rsid w:val="008A3A3A"/>
    <w:rsid w:val="008A3AD5"/>
    <w:rsid w:val="008A3AE2"/>
    <w:rsid w:val="008A3B69"/>
    <w:rsid w:val="008A3B6F"/>
    <w:rsid w:val="008A3B82"/>
    <w:rsid w:val="008A3BA1"/>
    <w:rsid w:val="008A3C27"/>
    <w:rsid w:val="008A3C7A"/>
    <w:rsid w:val="008A3D19"/>
    <w:rsid w:val="008A3D40"/>
    <w:rsid w:val="008A3E3F"/>
    <w:rsid w:val="008A3E4B"/>
    <w:rsid w:val="008A3F17"/>
    <w:rsid w:val="008A3FB1"/>
    <w:rsid w:val="008A3FBD"/>
    <w:rsid w:val="008A403D"/>
    <w:rsid w:val="008A40A2"/>
    <w:rsid w:val="008A41B4"/>
    <w:rsid w:val="008A41B5"/>
    <w:rsid w:val="008A4249"/>
    <w:rsid w:val="008A42A2"/>
    <w:rsid w:val="008A42AA"/>
    <w:rsid w:val="008A4367"/>
    <w:rsid w:val="008A4369"/>
    <w:rsid w:val="008A4372"/>
    <w:rsid w:val="008A4442"/>
    <w:rsid w:val="008A4449"/>
    <w:rsid w:val="008A450E"/>
    <w:rsid w:val="008A4550"/>
    <w:rsid w:val="008A4569"/>
    <w:rsid w:val="008A45C1"/>
    <w:rsid w:val="008A45DE"/>
    <w:rsid w:val="008A45FB"/>
    <w:rsid w:val="008A4737"/>
    <w:rsid w:val="008A473D"/>
    <w:rsid w:val="008A4783"/>
    <w:rsid w:val="008A4789"/>
    <w:rsid w:val="008A47CB"/>
    <w:rsid w:val="008A47D1"/>
    <w:rsid w:val="008A47F3"/>
    <w:rsid w:val="008A4815"/>
    <w:rsid w:val="008A4848"/>
    <w:rsid w:val="008A4854"/>
    <w:rsid w:val="008A487D"/>
    <w:rsid w:val="008A489A"/>
    <w:rsid w:val="008A48CA"/>
    <w:rsid w:val="008A48F8"/>
    <w:rsid w:val="008A4925"/>
    <w:rsid w:val="008A496B"/>
    <w:rsid w:val="008A49C8"/>
    <w:rsid w:val="008A4A07"/>
    <w:rsid w:val="008A4AA5"/>
    <w:rsid w:val="008A4ADD"/>
    <w:rsid w:val="008A4AEC"/>
    <w:rsid w:val="008A4B2F"/>
    <w:rsid w:val="008A4B9F"/>
    <w:rsid w:val="008A4C5C"/>
    <w:rsid w:val="008A4CBF"/>
    <w:rsid w:val="008A4CD2"/>
    <w:rsid w:val="008A4D32"/>
    <w:rsid w:val="008A4D61"/>
    <w:rsid w:val="008A4DD6"/>
    <w:rsid w:val="008A4E40"/>
    <w:rsid w:val="008A4E6D"/>
    <w:rsid w:val="008A4E78"/>
    <w:rsid w:val="008A4E7A"/>
    <w:rsid w:val="008A4F09"/>
    <w:rsid w:val="008A4F42"/>
    <w:rsid w:val="008A4F56"/>
    <w:rsid w:val="008A4FDD"/>
    <w:rsid w:val="008A503A"/>
    <w:rsid w:val="008A509B"/>
    <w:rsid w:val="008A514A"/>
    <w:rsid w:val="008A5172"/>
    <w:rsid w:val="008A5196"/>
    <w:rsid w:val="008A51EE"/>
    <w:rsid w:val="008A526E"/>
    <w:rsid w:val="008A537E"/>
    <w:rsid w:val="008A5489"/>
    <w:rsid w:val="008A54B8"/>
    <w:rsid w:val="008A54C3"/>
    <w:rsid w:val="008A553D"/>
    <w:rsid w:val="008A5542"/>
    <w:rsid w:val="008A554A"/>
    <w:rsid w:val="008A554C"/>
    <w:rsid w:val="008A555C"/>
    <w:rsid w:val="008A55CA"/>
    <w:rsid w:val="008A55D4"/>
    <w:rsid w:val="008A560D"/>
    <w:rsid w:val="008A5649"/>
    <w:rsid w:val="008A5672"/>
    <w:rsid w:val="008A56F3"/>
    <w:rsid w:val="008A578F"/>
    <w:rsid w:val="008A5794"/>
    <w:rsid w:val="008A5853"/>
    <w:rsid w:val="008A5A10"/>
    <w:rsid w:val="008A5ADE"/>
    <w:rsid w:val="008A5B3E"/>
    <w:rsid w:val="008A5B60"/>
    <w:rsid w:val="008A5B89"/>
    <w:rsid w:val="008A5BD9"/>
    <w:rsid w:val="008A5C0C"/>
    <w:rsid w:val="008A5CBD"/>
    <w:rsid w:val="008A5CC6"/>
    <w:rsid w:val="008A5D4F"/>
    <w:rsid w:val="008A5D86"/>
    <w:rsid w:val="008A5D88"/>
    <w:rsid w:val="008A5E27"/>
    <w:rsid w:val="008A5EDD"/>
    <w:rsid w:val="008A5EDF"/>
    <w:rsid w:val="008A5F48"/>
    <w:rsid w:val="008A5F5E"/>
    <w:rsid w:val="008A5F86"/>
    <w:rsid w:val="008A5FBE"/>
    <w:rsid w:val="008A600C"/>
    <w:rsid w:val="008A601E"/>
    <w:rsid w:val="008A615D"/>
    <w:rsid w:val="008A6169"/>
    <w:rsid w:val="008A618A"/>
    <w:rsid w:val="008A61A5"/>
    <w:rsid w:val="008A61B6"/>
    <w:rsid w:val="008A61EC"/>
    <w:rsid w:val="008A61F2"/>
    <w:rsid w:val="008A6202"/>
    <w:rsid w:val="008A6240"/>
    <w:rsid w:val="008A6265"/>
    <w:rsid w:val="008A62FC"/>
    <w:rsid w:val="008A634A"/>
    <w:rsid w:val="008A63CE"/>
    <w:rsid w:val="008A63DB"/>
    <w:rsid w:val="008A640C"/>
    <w:rsid w:val="008A64B6"/>
    <w:rsid w:val="008A6552"/>
    <w:rsid w:val="008A656C"/>
    <w:rsid w:val="008A6588"/>
    <w:rsid w:val="008A65CF"/>
    <w:rsid w:val="008A65D0"/>
    <w:rsid w:val="008A65EA"/>
    <w:rsid w:val="008A670E"/>
    <w:rsid w:val="008A676E"/>
    <w:rsid w:val="008A67E4"/>
    <w:rsid w:val="008A6992"/>
    <w:rsid w:val="008A6995"/>
    <w:rsid w:val="008A69DA"/>
    <w:rsid w:val="008A6A01"/>
    <w:rsid w:val="008A6A2D"/>
    <w:rsid w:val="008A6B6F"/>
    <w:rsid w:val="008A6D09"/>
    <w:rsid w:val="008A6D48"/>
    <w:rsid w:val="008A6DE7"/>
    <w:rsid w:val="008A6E54"/>
    <w:rsid w:val="008A6E88"/>
    <w:rsid w:val="008A6F1B"/>
    <w:rsid w:val="008A6F2D"/>
    <w:rsid w:val="008A6F6C"/>
    <w:rsid w:val="008A6FEC"/>
    <w:rsid w:val="008A7087"/>
    <w:rsid w:val="008A708B"/>
    <w:rsid w:val="008A70D5"/>
    <w:rsid w:val="008A71C5"/>
    <w:rsid w:val="008A71D6"/>
    <w:rsid w:val="008A726B"/>
    <w:rsid w:val="008A7368"/>
    <w:rsid w:val="008A73BC"/>
    <w:rsid w:val="008A73C2"/>
    <w:rsid w:val="008A74EB"/>
    <w:rsid w:val="008A7565"/>
    <w:rsid w:val="008A75A4"/>
    <w:rsid w:val="008A7714"/>
    <w:rsid w:val="008A777E"/>
    <w:rsid w:val="008A790B"/>
    <w:rsid w:val="008A7944"/>
    <w:rsid w:val="008A7AFB"/>
    <w:rsid w:val="008A7BE7"/>
    <w:rsid w:val="008A7D16"/>
    <w:rsid w:val="008A7D2B"/>
    <w:rsid w:val="008A7D69"/>
    <w:rsid w:val="008A7DFC"/>
    <w:rsid w:val="008A7E2C"/>
    <w:rsid w:val="008A7E37"/>
    <w:rsid w:val="008A7F39"/>
    <w:rsid w:val="008A7FD7"/>
    <w:rsid w:val="008B0007"/>
    <w:rsid w:val="008B002B"/>
    <w:rsid w:val="008B00CF"/>
    <w:rsid w:val="008B0134"/>
    <w:rsid w:val="008B016C"/>
    <w:rsid w:val="008B01C8"/>
    <w:rsid w:val="008B0248"/>
    <w:rsid w:val="008B02A8"/>
    <w:rsid w:val="008B0363"/>
    <w:rsid w:val="008B038E"/>
    <w:rsid w:val="008B03B0"/>
    <w:rsid w:val="008B0467"/>
    <w:rsid w:val="008B0522"/>
    <w:rsid w:val="008B05AE"/>
    <w:rsid w:val="008B0639"/>
    <w:rsid w:val="008B06B8"/>
    <w:rsid w:val="008B072A"/>
    <w:rsid w:val="008B072F"/>
    <w:rsid w:val="008B0797"/>
    <w:rsid w:val="008B07E6"/>
    <w:rsid w:val="008B08AE"/>
    <w:rsid w:val="008B08E9"/>
    <w:rsid w:val="008B090C"/>
    <w:rsid w:val="008B0916"/>
    <w:rsid w:val="008B0A46"/>
    <w:rsid w:val="008B0ABE"/>
    <w:rsid w:val="008B0B41"/>
    <w:rsid w:val="008B0B49"/>
    <w:rsid w:val="008B0D19"/>
    <w:rsid w:val="008B0D3E"/>
    <w:rsid w:val="008B0D47"/>
    <w:rsid w:val="008B0E63"/>
    <w:rsid w:val="008B0F04"/>
    <w:rsid w:val="008B101E"/>
    <w:rsid w:val="008B109E"/>
    <w:rsid w:val="008B10EF"/>
    <w:rsid w:val="008B1118"/>
    <w:rsid w:val="008B1123"/>
    <w:rsid w:val="008B1176"/>
    <w:rsid w:val="008B11A0"/>
    <w:rsid w:val="008B11F7"/>
    <w:rsid w:val="008B1212"/>
    <w:rsid w:val="008B128E"/>
    <w:rsid w:val="008B131B"/>
    <w:rsid w:val="008B1348"/>
    <w:rsid w:val="008B1407"/>
    <w:rsid w:val="008B140A"/>
    <w:rsid w:val="008B1410"/>
    <w:rsid w:val="008B1412"/>
    <w:rsid w:val="008B142F"/>
    <w:rsid w:val="008B1517"/>
    <w:rsid w:val="008B1525"/>
    <w:rsid w:val="008B15A7"/>
    <w:rsid w:val="008B15D5"/>
    <w:rsid w:val="008B15FB"/>
    <w:rsid w:val="008B1632"/>
    <w:rsid w:val="008B1676"/>
    <w:rsid w:val="008B16FE"/>
    <w:rsid w:val="008B17A6"/>
    <w:rsid w:val="008B1824"/>
    <w:rsid w:val="008B188D"/>
    <w:rsid w:val="008B192C"/>
    <w:rsid w:val="008B1A97"/>
    <w:rsid w:val="008B1AA2"/>
    <w:rsid w:val="008B1AED"/>
    <w:rsid w:val="008B1AF2"/>
    <w:rsid w:val="008B1B0B"/>
    <w:rsid w:val="008B1B10"/>
    <w:rsid w:val="008B1BBE"/>
    <w:rsid w:val="008B1BE1"/>
    <w:rsid w:val="008B1C0A"/>
    <w:rsid w:val="008B1CD3"/>
    <w:rsid w:val="008B1D39"/>
    <w:rsid w:val="008B1D3D"/>
    <w:rsid w:val="008B1DDF"/>
    <w:rsid w:val="008B1DE6"/>
    <w:rsid w:val="008B1E53"/>
    <w:rsid w:val="008B1E59"/>
    <w:rsid w:val="008B1EC9"/>
    <w:rsid w:val="008B1EDA"/>
    <w:rsid w:val="008B2022"/>
    <w:rsid w:val="008B2033"/>
    <w:rsid w:val="008B224D"/>
    <w:rsid w:val="008B22F7"/>
    <w:rsid w:val="008B236A"/>
    <w:rsid w:val="008B2371"/>
    <w:rsid w:val="008B239B"/>
    <w:rsid w:val="008B23AB"/>
    <w:rsid w:val="008B23E8"/>
    <w:rsid w:val="008B2429"/>
    <w:rsid w:val="008B2449"/>
    <w:rsid w:val="008B2470"/>
    <w:rsid w:val="008B24B0"/>
    <w:rsid w:val="008B24EB"/>
    <w:rsid w:val="008B24FD"/>
    <w:rsid w:val="008B25AA"/>
    <w:rsid w:val="008B2637"/>
    <w:rsid w:val="008B2704"/>
    <w:rsid w:val="008B2797"/>
    <w:rsid w:val="008B27E5"/>
    <w:rsid w:val="008B27F2"/>
    <w:rsid w:val="008B28A8"/>
    <w:rsid w:val="008B28DC"/>
    <w:rsid w:val="008B28F8"/>
    <w:rsid w:val="008B290C"/>
    <w:rsid w:val="008B29B1"/>
    <w:rsid w:val="008B29B9"/>
    <w:rsid w:val="008B2A57"/>
    <w:rsid w:val="008B2A7F"/>
    <w:rsid w:val="008B2ABD"/>
    <w:rsid w:val="008B2AC7"/>
    <w:rsid w:val="008B2AEA"/>
    <w:rsid w:val="008B2B74"/>
    <w:rsid w:val="008B2B95"/>
    <w:rsid w:val="008B2BBC"/>
    <w:rsid w:val="008B2BE3"/>
    <w:rsid w:val="008B2C26"/>
    <w:rsid w:val="008B2C38"/>
    <w:rsid w:val="008B2C75"/>
    <w:rsid w:val="008B2CA1"/>
    <w:rsid w:val="008B2D2A"/>
    <w:rsid w:val="008B2D62"/>
    <w:rsid w:val="008B2D7B"/>
    <w:rsid w:val="008B2D8D"/>
    <w:rsid w:val="008B2DFD"/>
    <w:rsid w:val="008B2E08"/>
    <w:rsid w:val="008B2EA1"/>
    <w:rsid w:val="008B2EA3"/>
    <w:rsid w:val="008B2EC8"/>
    <w:rsid w:val="008B2EF2"/>
    <w:rsid w:val="008B2F1C"/>
    <w:rsid w:val="008B2F45"/>
    <w:rsid w:val="008B2F79"/>
    <w:rsid w:val="008B2FBA"/>
    <w:rsid w:val="008B2FBC"/>
    <w:rsid w:val="008B30B8"/>
    <w:rsid w:val="008B30BC"/>
    <w:rsid w:val="008B30EC"/>
    <w:rsid w:val="008B30F1"/>
    <w:rsid w:val="008B3148"/>
    <w:rsid w:val="008B3166"/>
    <w:rsid w:val="008B31AB"/>
    <w:rsid w:val="008B3246"/>
    <w:rsid w:val="008B3270"/>
    <w:rsid w:val="008B32F2"/>
    <w:rsid w:val="008B3477"/>
    <w:rsid w:val="008B34AF"/>
    <w:rsid w:val="008B351B"/>
    <w:rsid w:val="008B3540"/>
    <w:rsid w:val="008B3558"/>
    <w:rsid w:val="008B362A"/>
    <w:rsid w:val="008B36DF"/>
    <w:rsid w:val="008B3726"/>
    <w:rsid w:val="008B372D"/>
    <w:rsid w:val="008B37D9"/>
    <w:rsid w:val="008B387D"/>
    <w:rsid w:val="008B388C"/>
    <w:rsid w:val="008B38CF"/>
    <w:rsid w:val="008B38F5"/>
    <w:rsid w:val="008B3926"/>
    <w:rsid w:val="008B3956"/>
    <w:rsid w:val="008B396D"/>
    <w:rsid w:val="008B3993"/>
    <w:rsid w:val="008B39A1"/>
    <w:rsid w:val="008B39F1"/>
    <w:rsid w:val="008B3A10"/>
    <w:rsid w:val="008B3A57"/>
    <w:rsid w:val="008B3A9D"/>
    <w:rsid w:val="008B3B13"/>
    <w:rsid w:val="008B3B2F"/>
    <w:rsid w:val="008B3B90"/>
    <w:rsid w:val="008B3C26"/>
    <w:rsid w:val="008B3C59"/>
    <w:rsid w:val="008B3D29"/>
    <w:rsid w:val="008B3DDE"/>
    <w:rsid w:val="008B3E6D"/>
    <w:rsid w:val="008B3E90"/>
    <w:rsid w:val="008B3E94"/>
    <w:rsid w:val="008B3ECF"/>
    <w:rsid w:val="008B3EF6"/>
    <w:rsid w:val="008B3F18"/>
    <w:rsid w:val="008B3F87"/>
    <w:rsid w:val="008B3FE6"/>
    <w:rsid w:val="008B405C"/>
    <w:rsid w:val="008B40D8"/>
    <w:rsid w:val="008B40DA"/>
    <w:rsid w:val="008B41E6"/>
    <w:rsid w:val="008B41FD"/>
    <w:rsid w:val="008B4217"/>
    <w:rsid w:val="008B4269"/>
    <w:rsid w:val="008B42B6"/>
    <w:rsid w:val="008B431D"/>
    <w:rsid w:val="008B464B"/>
    <w:rsid w:val="008B4671"/>
    <w:rsid w:val="008B4683"/>
    <w:rsid w:val="008B46B0"/>
    <w:rsid w:val="008B46E7"/>
    <w:rsid w:val="008B47B5"/>
    <w:rsid w:val="008B47F6"/>
    <w:rsid w:val="008B4815"/>
    <w:rsid w:val="008B486C"/>
    <w:rsid w:val="008B491E"/>
    <w:rsid w:val="008B498F"/>
    <w:rsid w:val="008B4A46"/>
    <w:rsid w:val="008B4AC1"/>
    <w:rsid w:val="008B4B50"/>
    <w:rsid w:val="008B4B88"/>
    <w:rsid w:val="008B4BBF"/>
    <w:rsid w:val="008B4BDF"/>
    <w:rsid w:val="008B4BF1"/>
    <w:rsid w:val="008B4D0E"/>
    <w:rsid w:val="008B4D2B"/>
    <w:rsid w:val="008B4D7E"/>
    <w:rsid w:val="008B4DB7"/>
    <w:rsid w:val="008B4E16"/>
    <w:rsid w:val="008B4E98"/>
    <w:rsid w:val="008B4E9C"/>
    <w:rsid w:val="008B4FBB"/>
    <w:rsid w:val="008B4FC4"/>
    <w:rsid w:val="008B501A"/>
    <w:rsid w:val="008B502B"/>
    <w:rsid w:val="008B50C7"/>
    <w:rsid w:val="008B50FF"/>
    <w:rsid w:val="008B5124"/>
    <w:rsid w:val="008B512F"/>
    <w:rsid w:val="008B515E"/>
    <w:rsid w:val="008B51CD"/>
    <w:rsid w:val="008B51D4"/>
    <w:rsid w:val="008B523D"/>
    <w:rsid w:val="008B52A6"/>
    <w:rsid w:val="008B52D7"/>
    <w:rsid w:val="008B5340"/>
    <w:rsid w:val="008B538C"/>
    <w:rsid w:val="008B53A0"/>
    <w:rsid w:val="008B53AB"/>
    <w:rsid w:val="008B5494"/>
    <w:rsid w:val="008B5505"/>
    <w:rsid w:val="008B557F"/>
    <w:rsid w:val="008B5587"/>
    <w:rsid w:val="008B55B1"/>
    <w:rsid w:val="008B5650"/>
    <w:rsid w:val="008B56AD"/>
    <w:rsid w:val="008B56D0"/>
    <w:rsid w:val="008B5735"/>
    <w:rsid w:val="008B57C9"/>
    <w:rsid w:val="008B5803"/>
    <w:rsid w:val="008B5811"/>
    <w:rsid w:val="008B5824"/>
    <w:rsid w:val="008B5887"/>
    <w:rsid w:val="008B58A8"/>
    <w:rsid w:val="008B58CC"/>
    <w:rsid w:val="008B5A1D"/>
    <w:rsid w:val="008B5A34"/>
    <w:rsid w:val="008B5AC7"/>
    <w:rsid w:val="008B5AC8"/>
    <w:rsid w:val="008B5B18"/>
    <w:rsid w:val="008B5B64"/>
    <w:rsid w:val="008B5BCA"/>
    <w:rsid w:val="008B5BE2"/>
    <w:rsid w:val="008B5C57"/>
    <w:rsid w:val="008B5C97"/>
    <w:rsid w:val="008B5D1D"/>
    <w:rsid w:val="008B5D59"/>
    <w:rsid w:val="008B5DF4"/>
    <w:rsid w:val="008B5E02"/>
    <w:rsid w:val="008B5E61"/>
    <w:rsid w:val="008B5EC0"/>
    <w:rsid w:val="008B5ED5"/>
    <w:rsid w:val="008B5F2D"/>
    <w:rsid w:val="008B5F3D"/>
    <w:rsid w:val="008B5FB8"/>
    <w:rsid w:val="008B607B"/>
    <w:rsid w:val="008B60C5"/>
    <w:rsid w:val="008B6124"/>
    <w:rsid w:val="008B61AD"/>
    <w:rsid w:val="008B61BA"/>
    <w:rsid w:val="008B61E3"/>
    <w:rsid w:val="008B625A"/>
    <w:rsid w:val="008B6267"/>
    <w:rsid w:val="008B626E"/>
    <w:rsid w:val="008B626F"/>
    <w:rsid w:val="008B6290"/>
    <w:rsid w:val="008B62C4"/>
    <w:rsid w:val="008B62DB"/>
    <w:rsid w:val="008B632A"/>
    <w:rsid w:val="008B6342"/>
    <w:rsid w:val="008B6363"/>
    <w:rsid w:val="008B63B1"/>
    <w:rsid w:val="008B6435"/>
    <w:rsid w:val="008B6444"/>
    <w:rsid w:val="008B645F"/>
    <w:rsid w:val="008B64B1"/>
    <w:rsid w:val="008B6501"/>
    <w:rsid w:val="008B650B"/>
    <w:rsid w:val="008B656E"/>
    <w:rsid w:val="008B6579"/>
    <w:rsid w:val="008B657F"/>
    <w:rsid w:val="008B65C8"/>
    <w:rsid w:val="008B65EA"/>
    <w:rsid w:val="008B66E6"/>
    <w:rsid w:val="008B673B"/>
    <w:rsid w:val="008B678E"/>
    <w:rsid w:val="008B6843"/>
    <w:rsid w:val="008B6927"/>
    <w:rsid w:val="008B697B"/>
    <w:rsid w:val="008B69BC"/>
    <w:rsid w:val="008B6A16"/>
    <w:rsid w:val="008B6A92"/>
    <w:rsid w:val="008B6ACE"/>
    <w:rsid w:val="008B6B75"/>
    <w:rsid w:val="008B6C09"/>
    <w:rsid w:val="008B6CB5"/>
    <w:rsid w:val="008B6CC0"/>
    <w:rsid w:val="008B6CDC"/>
    <w:rsid w:val="008B6D00"/>
    <w:rsid w:val="008B6DBD"/>
    <w:rsid w:val="008B6E11"/>
    <w:rsid w:val="008B6EBD"/>
    <w:rsid w:val="008B6EC7"/>
    <w:rsid w:val="008B6EF7"/>
    <w:rsid w:val="008B6F3C"/>
    <w:rsid w:val="008B7022"/>
    <w:rsid w:val="008B7071"/>
    <w:rsid w:val="008B70AB"/>
    <w:rsid w:val="008B71A4"/>
    <w:rsid w:val="008B71AF"/>
    <w:rsid w:val="008B71C4"/>
    <w:rsid w:val="008B71DC"/>
    <w:rsid w:val="008B71E7"/>
    <w:rsid w:val="008B722D"/>
    <w:rsid w:val="008B7372"/>
    <w:rsid w:val="008B7378"/>
    <w:rsid w:val="008B739D"/>
    <w:rsid w:val="008B742D"/>
    <w:rsid w:val="008B7473"/>
    <w:rsid w:val="008B7552"/>
    <w:rsid w:val="008B75C3"/>
    <w:rsid w:val="008B75CB"/>
    <w:rsid w:val="008B75DC"/>
    <w:rsid w:val="008B7605"/>
    <w:rsid w:val="008B7746"/>
    <w:rsid w:val="008B7757"/>
    <w:rsid w:val="008B7760"/>
    <w:rsid w:val="008B7763"/>
    <w:rsid w:val="008B776E"/>
    <w:rsid w:val="008B7780"/>
    <w:rsid w:val="008B77E7"/>
    <w:rsid w:val="008B7838"/>
    <w:rsid w:val="008B7847"/>
    <w:rsid w:val="008B7861"/>
    <w:rsid w:val="008B787D"/>
    <w:rsid w:val="008B78E1"/>
    <w:rsid w:val="008B78E5"/>
    <w:rsid w:val="008B791E"/>
    <w:rsid w:val="008B7934"/>
    <w:rsid w:val="008B7992"/>
    <w:rsid w:val="008B79EF"/>
    <w:rsid w:val="008B7A2A"/>
    <w:rsid w:val="008B7A46"/>
    <w:rsid w:val="008B7A8E"/>
    <w:rsid w:val="008B7B6B"/>
    <w:rsid w:val="008B7BDC"/>
    <w:rsid w:val="008B7C51"/>
    <w:rsid w:val="008B7C6A"/>
    <w:rsid w:val="008B7C86"/>
    <w:rsid w:val="008B7D30"/>
    <w:rsid w:val="008B7D8F"/>
    <w:rsid w:val="008B7DBD"/>
    <w:rsid w:val="008B7DEB"/>
    <w:rsid w:val="008B7EA3"/>
    <w:rsid w:val="008B7F25"/>
    <w:rsid w:val="008B7F79"/>
    <w:rsid w:val="008B7FA6"/>
    <w:rsid w:val="008B7FED"/>
    <w:rsid w:val="008C0021"/>
    <w:rsid w:val="008C00CD"/>
    <w:rsid w:val="008C013A"/>
    <w:rsid w:val="008C01DE"/>
    <w:rsid w:val="008C0230"/>
    <w:rsid w:val="008C026F"/>
    <w:rsid w:val="008C027B"/>
    <w:rsid w:val="008C02EB"/>
    <w:rsid w:val="008C0357"/>
    <w:rsid w:val="008C03E1"/>
    <w:rsid w:val="008C0412"/>
    <w:rsid w:val="008C0430"/>
    <w:rsid w:val="008C050E"/>
    <w:rsid w:val="008C054F"/>
    <w:rsid w:val="008C0601"/>
    <w:rsid w:val="008C0634"/>
    <w:rsid w:val="008C0695"/>
    <w:rsid w:val="008C0696"/>
    <w:rsid w:val="008C06ED"/>
    <w:rsid w:val="008C0709"/>
    <w:rsid w:val="008C074D"/>
    <w:rsid w:val="008C0758"/>
    <w:rsid w:val="008C07B5"/>
    <w:rsid w:val="008C07FF"/>
    <w:rsid w:val="008C0909"/>
    <w:rsid w:val="008C091B"/>
    <w:rsid w:val="008C0922"/>
    <w:rsid w:val="008C09A1"/>
    <w:rsid w:val="008C09AE"/>
    <w:rsid w:val="008C0A37"/>
    <w:rsid w:val="008C0AE2"/>
    <w:rsid w:val="008C0B47"/>
    <w:rsid w:val="008C0C46"/>
    <w:rsid w:val="008C0CE3"/>
    <w:rsid w:val="008C0D96"/>
    <w:rsid w:val="008C0DC6"/>
    <w:rsid w:val="008C0DCF"/>
    <w:rsid w:val="008C0DEE"/>
    <w:rsid w:val="008C0E1A"/>
    <w:rsid w:val="008C0E25"/>
    <w:rsid w:val="008C0E29"/>
    <w:rsid w:val="008C0E9B"/>
    <w:rsid w:val="008C0ED0"/>
    <w:rsid w:val="008C0F11"/>
    <w:rsid w:val="008C0F3B"/>
    <w:rsid w:val="008C0F7F"/>
    <w:rsid w:val="008C0F95"/>
    <w:rsid w:val="008C103E"/>
    <w:rsid w:val="008C10C5"/>
    <w:rsid w:val="008C1170"/>
    <w:rsid w:val="008C11E6"/>
    <w:rsid w:val="008C1231"/>
    <w:rsid w:val="008C1233"/>
    <w:rsid w:val="008C1254"/>
    <w:rsid w:val="008C12CF"/>
    <w:rsid w:val="008C1483"/>
    <w:rsid w:val="008C14B5"/>
    <w:rsid w:val="008C157B"/>
    <w:rsid w:val="008C15B6"/>
    <w:rsid w:val="008C15CD"/>
    <w:rsid w:val="008C160F"/>
    <w:rsid w:val="008C166D"/>
    <w:rsid w:val="008C16D1"/>
    <w:rsid w:val="008C16F6"/>
    <w:rsid w:val="008C1728"/>
    <w:rsid w:val="008C172E"/>
    <w:rsid w:val="008C1768"/>
    <w:rsid w:val="008C180A"/>
    <w:rsid w:val="008C1869"/>
    <w:rsid w:val="008C1888"/>
    <w:rsid w:val="008C18B3"/>
    <w:rsid w:val="008C1AD3"/>
    <w:rsid w:val="008C1B39"/>
    <w:rsid w:val="008C1B7E"/>
    <w:rsid w:val="008C1BAE"/>
    <w:rsid w:val="008C1BC4"/>
    <w:rsid w:val="008C1BC5"/>
    <w:rsid w:val="008C1BDA"/>
    <w:rsid w:val="008C1BF2"/>
    <w:rsid w:val="008C1C53"/>
    <w:rsid w:val="008C1C78"/>
    <w:rsid w:val="008C1C8E"/>
    <w:rsid w:val="008C1CDC"/>
    <w:rsid w:val="008C1D00"/>
    <w:rsid w:val="008C1D04"/>
    <w:rsid w:val="008C1D08"/>
    <w:rsid w:val="008C1D1E"/>
    <w:rsid w:val="008C1D3E"/>
    <w:rsid w:val="008C1D76"/>
    <w:rsid w:val="008C1DC5"/>
    <w:rsid w:val="008C1DF2"/>
    <w:rsid w:val="008C1E45"/>
    <w:rsid w:val="008C1E59"/>
    <w:rsid w:val="008C1E5E"/>
    <w:rsid w:val="008C1EF9"/>
    <w:rsid w:val="008C1F52"/>
    <w:rsid w:val="008C1FF5"/>
    <w:rsid w:val="008C2033"/>
    <w:rsid w:val="008C20D5"/>
    <w:rsid w:val="008C2113"/>
    <w:rsid w:val="008C21B6"/>
    <w:rsid w:val="008C21D4"/>
    <w:rsid w:val="008C21DB"/>
    <w:rsid w:val="008C21DC"/>
    <w:rsid w:val="008C21F4"/>
    <w:rsid w:val="008C221F"/>
    <w:rsid w:val="008C2228"/>
    <w:rsid w:val="008C233F"/>
    <w:rsid w:val="008C236E"/>
    <w:rsid w:val="008C23CF"/>
    <w:rsid w:val="008C23EB"/>
    <w:rsid w:val="008C2403"/>
    <w:rsid w:val="008C2445"/>
    <w:rsid w:val="008C2452"/>
    <w:rsid w:val="008C2455"/>
    <w:rsid w:val="008C2494"/>
    <w:rsid w:val="008C2542"/>
    <w:rsid w:val="008C2558"/>
    <w:rsid w:val="008C25B7"/>
    <w:rsid w:val="008C268B"/>
    <w:rsid w:val="008C26A6"/>
    <w:rsid w:val="008C26AD"/>
    <w:rsid w:val="008C26B0"/>
    <w:rsid w:val="008C2785"/>
    <w:rsid w:val="008C27A6"/>
    <w:rsid w:val="008C27BB"/>
    <w:rsid w:val="008C2847"/>
    <w:rsid w:val="008C285B"/>
    <w:rsid w:val="008C2A80"/>
    <w:rsid w:val="008C2AB0"/>
    <w:rsid w:val="008C2AB8"/>
    <w:rsid w:val="008C2AEA"/>
    <w:rsid w:val="008C2B00"/>
    <w:rsid w:val="008C2B3E"/>
    <w:rsid w:val="008C2C2C"/>
    <w:rsid w:val="008C2CE5"/>
    <w:rsid w:val="008C2D20"/>
    <w:rsid w:val="008C2D45"/>
    <w:rsid w:val="008C2D51"/>
    <w:rsid w:val="008C2DC2"/>
    <w:rsid w:val="008C2E02"/>
    <w:rsid w:val="008C2E0F"/>
    <w:rsid w:val="008C2E3C"/>
    <w:rsid w:val="008C2E43"/>
    <w:rsid w:val="008C2E6D"/>
    <w:rsid w:val="008C2E90"/>
    <w:rsid w:val="008C2EA4"/>
    <w:rsid w:val="008C2ED0"/>
    <w:rsid w:val="008C2F05"/>
    <w:rsid w:val="008C2F11"/>
    <w:rsid w:val="008C2F20"/>
    <w:rsid w:val="008C2F3E"/>
    <w:rsid w:val="008C30DD"/>
    <w:rsid w:val="008C30E3"/>
    <w:rsid w:val="008C30F5"/>
    <w:rsid w:val="008C3144"/>
    <w:rsid w:val="008C31C0"/>
    <w:rsid w:val="008C31CF"/>
    <w:rsid w:val="008C31EC"/>
    <w:rsid w:val="008C31F1"/>
    <w:rsid w:val="008C320D"/>
    <w:rsid w:val="008C3238"/>
    <w:rsid w:val="008C32AC"/>
    <w:rsid w:val="008C3322"/>
    <w:rsid w:val="008C3392"/>
    <w:rsid w:val="008C3418"/>
    <w:rsid w:val="008C345B"/>
    <w:rsid w:val="008C349D"/>
    <w:rsid w:val="008C356A"/>
    <w:rsid w:val="008C356E"/>
    <w:rsid w:val="008C3575"/>
    <w:rsid w:val="008C3657"/>
    <w:rsid w:val="008C36AD"/>
    <w:rsid w:val="008C3733"/>
    <w:rsid w:val="008C375E"/>
    <w:rsid w:val="008C37B9"/>
    <w:rsid w:val="008C37BA"/>
    <w:rsid w:val="008C37C9"/>
    <w:rsid w:val="008C387F"/>
    <w:rsid w:val="008C38EB"/>
    <w:rsid w:val="008C38F5"/>
    <w:rsid w:val="008C3913"/>
    <w:rsid w:val="008C393C"/>
    <w:rsid w:val="008C396A"/>
    <w:rsid w:val="008C3A0E"/>
    <w:rsid w:val="008C3AC9"/>
    <w:rsid w:val="008C3B05"/>
    <w:rsid w:val="008C3B21"/>
    <w:rsid w:val="008C3B27"/>
    <w:rsid w:val="008C3B86"/>
    <w:rsid w:val="008C3BB2"/>
    <w:rsid w:val="008C3BC7"/>
    <w:rsid w:val="008C3C09"/>
    <w:rsid w:val="008C3C1D"/>
    <w:rsid w:val="008C3D0C"/>
    <w:rsid w:val="008C3D5E"/>
    <w:rsid w:val="008C3E7E"/>
    <w:rsid w:val="008C3EFA"/>
    <w:rsid w:val="008C3F93"/>
    <w:rsid w:val="008C40EC"/>
    <w:rsid w:val="008C4127"/>
    <w:rsid w:val="008C4129"/>
    <w:rsid w:val="008C4168"/>
    <w:rsid w:val="008C4179"/>
    <w:rsid w:val="008C41E0"/>
    <w:rsid w:val="008C420F"/>
    <w:rsid w:val="008C422A"/>
    <w:rsid w:val="008C42ED"/>
    <w:rsid w:val="008C4319"/>
    <w:rsid w:val="008C43C0"/>
    <w:rsid w:val="008C43CA"/>
    <w:rsid w:val="008C43D9"/>
    <w:rsid w:val="008C43F4"/>
    <w:rsid w:val="008C4408"/>
    <w:rsid w:val="008C44A6"/>
    <w:rsid w:val="008C44A9"/>
    <w:rsid w:val="008C44DB"/>
    <w:rsid w:val="008C44EE"/>
    <w:rsid w:val="008C4585"/>
    <w:rsid w:val="008C45A5"/>
    <w:rsid w:val="008C45B4"/>
    <w:rsid w:val="008C4717"/>
    <w:rsid w:val="008C4723"/>
    <w:rsid w:val="008C476E"/>
    <w:rsid w:val="008C477B"/>
    <w:rsid w:val="008C4783"/>
    <w:rsid w:val="008C479E"/>
    <w:rsid w:val="008C47CC"/>
    <w:rsid w:val="008C47CE"/>
    <w:rsid w:val="008C48A1"/>
    <w:rsid w:val="008C48F8"/>
    <w:rsid w:val="008C4901"/>
    <w:rsid w:val="008C4995"/>
    <w:rsid w:val="008C49EE"/>
    <w:rsid w:val="008C4AB7"/>
    <w:rsid w:val="008C4B29"/>
    <w:rsid w:val="008C4B9F"/>
    <w:rsid w:val="008C4C35"/>
    <w:rsid w:val="008C4D32"/>
    <w:rsid w:val="008C4D58"/>
    <w:rsid w:val="008C4DC2"/>
    <w:rsid w:val="008C4DE5"/>
    <w:rsid w:val="008C4E24"/>
    <w:rsid w:val="008C4E44"/>
    <w:rsid w:val="008C4E46"/>
    <w:rsid w:val="008C4EDC"/>
    <w:rsid w:val="008C4EE4"/>
    <w:rsid w:val="008C4F1B"/>
    <w:rsid w:val="008C4F3A"/>
    <w:rsid w:val="008C4F7A"/>
    <w:rsid w:val="008C4FFB"/>
    <w:rsid w:val="008C5015"/>
    <w:rsid w:val="008C5023"/>
    <w:rsid w:val="008C502E"/>
    <w:rsid w:val="008C50DB"/>
    <w:rsid w:val="008C51FB"/>
    <w:rsid w:val="008C5279"/>
    <w:rsid w:val="008C52C2"/>
    <w:rsid w:val="008C536C"/>
    <w:rsid w:val="008C5380"/>
    <w:rsid w:val="008C539A"/>
    <w:rsid w:val="008C5435"/>
    <w:rsid w:val="008C5466"/>
    <w:rsid w:val="008C548C"/>
    <w:rsid w:val="008C54E2"/>
    <w:rsid w:val="008C550E"/>
    <w:rsid w:val="008C550F"/>
    <w:rsid w:val="008C5519"/>
    <w:rsid w:val="008C5559"/>
    <w:rsid w:val="008C5574"/>
    <w:rsid w:val="008C56C1"/>
    <w:rsid w:val="008C56E7"/>
    <w:rsid w:val="008C5719"/>
    <w:rsid w:val="008C57BD"/>
    <w:rsid w:val="008C58A4"/>
    <w:rsid w:val="008C58B4"/>
    <w:rsid w:val="008C5A03"/>
    <w:rsid w:val="008C5A71"/>
    <w:rsid w:val="008C5B34"/>
    <w:rsid w:val="008C5B36"/>
    <w:rsid w:val="008C5B3A"/>
    <w:rsid w:val="008C5B7E"/>
    <w:rsid w:val="008C5B8E"/>
    <w:rsid w:val="008C5BAE"/>
    <w:rsid w:val="008C5BC3"/>
    <w:rsid w:val="008C5C05"/>
    <w:rsid w:val="008C5C3A"/>
    <w:rsid w:val="008C5CE9"/>
    <w:rsid w:val="008C5D1E"/>
    <w:rsid w:val="008C5D3A"/>
    <w:rsid w:val="008C5D54"/>
    <w:rsid w:val="008C5D93"/>
    <w:rsid w:val="008C5E0B"/>
    <w:rsid w:val="008C5EBA"/>
    <w:rsid w:val="008C5EDD"/>
    <w:rsid w:val="008C5F11"/>
    <w:rsid w:val="008C5F2C"/>
    <w:rsid w:val="008C5F6C"/>
    <w:rsid w:val="008C6043"/>
    <w:rsid w:val="008C60C2"/>
    <w:rsid w:val="008C60F1"/>
    <w:rsid w:val="008C6106"/>
    <w:rsid w:val="008C61E0"/>
    <w:rsid w:val="008C6266"/>
    <w:rsid w:val="008C62AA"/>
    <w:rsid w:val="008C639F"/>
    <w:rsid w:val="008C63FA"/>
    <w:rsid w:val="008C6455"/>
    <w:rsid w:val="008C646D"/>
    <w:rsid w:val="008C6552"/>
    <w:rsid w:val="008C65B6"/>
    <w:rsid w:val="008C65DA"/>
    <w:rsid w:val="008C65EE"/>
    <w:rsid w:val="008C6631"/>
    <w:rsid w:val="008C666B"/>
    <w:rsid w:val="008C66B0"/>
    <w:rsid w:val="008C6702"/>
    <w:rsid w:val="008C6722"/>
    <w:rsid w:val="008C676C"/>
    <w:rsid w:val="008C679B"/>
    <w:rsid w:val="008C67BB"/>
    <w:rsid w:val="008C67CF"/>
    <w:rsid w:val="008C67D5"/>
    <w:rsid w:val="008C682E"/>
    <w:rsid w:val="008C6854"/>
    <w:rsid w:val="008C68BA"/>
    <w:rsid w:val="008C69D9"/>
    <w:rsid w:val="008C6A78"/>
    <w:rsid w:val="008C6B1C"/>
    <w:rsid w:val="008C6C16"/>
    <w:rsid w:val="008C6CE5"/>
    <w:rsid w:val="008C6CF2"/>
    <w:rsid w:val="008C6D52"/>
    <w:rsid w:val="008C6D5F"/>
    <w:rsid w:val="008C6DEB"/>
    <w:rsid w:val="008C6EE5"/>
    <w:rsid w:val="008C6F05"/>
    <w:rsid w:val="008C6FBD"/>
    <w:rsid w:val="008C6FC4"/>
    <w:rsid w:val="008C7040"/>
    <w:rsid w:val="008C70FC"/>
    <w:rsid w:val="008C711A"/>
    <w:rsid w:val="008C713E"/>
    <w:rsid w:val="008C7185"/>
    <w:rsid w:val="008C722F"/>
    <w:rsid w:val="008C7286"/>
    <w:rsid w:val="008C730D"/>
    <w:rsid w:val="008C730F"/>
    <w:rsid w:val="008C7354"/>
    <w:rsid w:val="008C73A3"/>
    <w:rsid w:val="008C73B2"/>
    <w:rsid w:val="008C73C2"/>
    <w:rsid w:val="008C7417"/>
    <w:rsid w:val="008C748A"/>
    <w:rsid w:val="008C7586"/>
    <w:rsid w:val="008C75A7"/>
    <w:rsid w:val="008C75DA"/>
    <w:rsid w:val="008C769B"/>
    <w:rsid w:val="008C76BF"/>
    <w:rsid w:val="008C7776"/>
    <w:rsid w:val="008C77C3"/>
    <w:rsid w:val="008C784B"/>
    <w:rsid w:val="008C78A4"/>
    <w:rsid w:val="008C78C9"/>
    <w:rsid w:val="008C79F7"/>
    <w:rsid w:val="008C7A81"/>
    <w:rsid w:val="008C7A96"/>
    <w:rsid w:val="008C7AD9"/>
    <w:rsid w:val="008C7BCA"/>
    <w:rsid w:val="008C7CD0"/>
    <w:rsid w:val="008C7CF6"/>
    <w:rsid w:val="008C7E1B"/>
    <w:rsid w:val="008C7E62"/>
    <w:rsid w:val="008C7E6B"/>
    <w:rsid w:val="008C7EEA"/>
    <w:rsid w:val="008C7F36"/>
    <w:rsid w:val="008C7F3D"/>
    <w:rsid w:val="008C7FF5"/>
    <w:rsid w:val="008D0084"/>
    <w:rsid w:val="008D00EE"/>
    <w:rsid w:val="008D0166"/>
    <w:rsid w:val="008D018E"/>
    <w:rsid w:val="008D01A6"/>
    <w:rsid w:val="008D01AE"/>
    <w:rsid w:val="008D027A"/>
    <w:rsid w:val="008D027E"/>
    <w:rsid w:val="008D02A6"/>
    <w:rsid w:val="008D02D0"/>
    <w:rsid w:val="008D03B4"/>
    <w:rsid w:val="008D03E8"/>
    <w:rsid w:val="008D040A"/>
    <w:rsid w:val="008D040F"/>
    <w:rsid w:val="008D04C7"/>
    <w:rsid w:val="008D04E2"/>
    <w:rsid w:val="008D04F1"/>
    <w:rsid w:val="008D059A"/>
    <w:rsid w:val="008D05FE"/>
    <w:rsid w:val="008D060F"/>
    <w:rsid w:val="008D06A2"/>
    <w:rsid w:val="008D06DC"/>
    <w:rsid w:val="008D0729"/>
    <w:rsid w:val="008D0746"/>
    <w:rsid w:val="008D07C9"/>
    <w:rsid w:val="008D0900"/>
    <w:rsid w:val="008D0902"/>
    <w:rsid w:val="008D0909"/>
    <w:rsid w:val="008D097C"/>
    <w:rsid w:val="008D0B2A"/>
    <w:rsid w:val="008D0B6D"/>
    <w:rsid w:val="008D0BBC"/>
    <w:rsid w:val="008D0BD5"/>
    <w:rsid w:val="008D0BF9"/>
    <w:rsid w:val="008D0C3E"/>
    <w:rsid w:val="008D0C42"/>
    <w:rsid w:val="008D0C47"/>
    <w:rsid w:val="008D0D6A"/>
    <w:rsid w:val="008D0D7D"/>
    <w:rsid w:val="008D0DC2"/>
    <w:rsid w:val="008D0E22"/>
    <w:rsid w:val="008D0E77"/>
    <w:rsid w:val="008D0ED8"/>
    <w:rsid w:val="008D0EF9"/>
    <w:rsid w:val="008D0EFA"/>
    <w:rsid w:val="008D0F00"/>
    <w:rsid w:val="008D0F34"/>
    <w:rsid w:val="008D0FF3"/>
    <w:rsid w:val="008D1077"/>
    <w:rsid w:val="008D1131"/>
    <w:rsid w:val="008D1149"/>
    <w:rsid w:val="008D11B0"/>
    <w:rsid w:val="008D120B"/>
    <w:rsid w:val="008D1295"/>
    <w:rsid w:val="008D12B4"/>
    <w:rsid w:val="008D12E9"/>
    <w:rsid w:val="008D135B"/>
    <w:rsid w:val="008D13B1"/>
    <w:rsid w:val="008D1408"/>
    <w:rsid w:val="008D141F"/>
    <w:rsid w:val="008D143F"/>
    <w:rsid w:val="008D1461"/>
    <w:rsid w:val="008D1463"/>
    <w:rsid w:val="008D1470"/>
    <w:rsid w:val="008D14A9"/>
    <w:rsid w:val="008D153D"/>
    <w:rsid w:val="008D159A"/>
    <w:rsid w:val="008D159E"/>
    <w:rsid w:val="008D15C7"/>
    <w:rsid w:val="008D160B"/>
    <w:rsid w:val="008D16C9"/>
    <w:rsid w:val="008D16F5"/>
    <w:rsid w:val="008D1722"/>
    <w:rsid w:val="008D1764"/>
    <w:rsid w:val="008D176C"/>
    <w:rsid w:val="008D17A3"/>
    <w:rsid w:val="008D1928"/>
    <w:rsid w:val="008D194F"/>
    <w:rsid w:val="008D199C"/>
    <w:rsid w:val="008D1A45"/>
    <w:rsid w:val="008D1AD6"/>
    <w:rsid w:val="008D1AE8"/>
    <w:rsid w:val="008D1B14"/>
    <w:rsid w:val="008D1B2D"/>
    <w:rsid w:val="008D1B67"/>
    <w:rsid w:val="008D1BC6"/>
    <w:rsid w:val="008D1BD1"/>
    <w:rsid w:val="008D1DF6"/>
    <w:rsid w:val="008D1DFB"/>
    <w:rsid w:val="008D1EA2"/>
    <w:rsid w:val="008D1F10"/>
    <w:rsid w:val="008D1F28"/>
    <w:rsid w:val="008D1FD7"/>
    <w:rsid w:val="008D2034"/>
    <w:rsid w:val="008D204C"/>
    <w:rsid w:val="008D2079"/>
    <w:rsid w:val="008D2081"/>
    <w:rsid w:val="008D2106"/>
    <w:rsid w:val="008D2180"/>
    <w:rsid w:val="008D21A4"/>
    <w:rsid w:val="008D21F7"/>
    <w:rsid w:val="008D2227"/>
    <w:rsid w:val="008D226E"/>
    <w:rsid w:val="008D22B8"/>
    <w:rsid w:val="008D2317"/>
    <w:rsid w:val="008D239E"/>
    <w:rsid w:val="008D23F1"/>
    <w:rsid w:val="008D245C"/>
    <w:rsid w:val="008D247D"/>
    <w:rsid w:val="008D24BA"/>
    <w:rsid w:val="008D24DB"/>
    <w:rsid w:val="008D2639"/>
    <w:rsid w:val="008D2647"/>
    <w:rsid w:val="008D2650"/>
    <w:rsid w:val="008D2683"/>
    <w:rsid w:val="008D26A6"/>
    <w:rsid w:val="008D26B8"/>
    <w:rsid w:val="008D2764"/>
    <w:rsid w:val="008D27E0"/>
    <w:rsid w:val="008D2845"/>
    <w:rsid w:val="008D28B6"/>
    <w:rsid w:val="008D28D2"/>
    <w:rsid w:val="008D2A1D"/>
    <w:rsid w:val="008D2B31"/>
    <w:rsid w:val="008D2B43"/>
    <w:rsid w:val="008D2BEE"/>
    <w:rsid w:val="008D2BF6"/>
    <w:rsid w:val="008D2C1E"/>
    <w:rsid w:val="008D2C3B"/>
    <w:rsid w:val="008D2C45"/>
    <w:rsid w:val="008D2D20"/>
    <w:rsid w:val="008D2D34"/>
    <w:rsid w:val="008D2D53"/>
    <w:rsid w:val="008D2DB7"/>
    <w:rsid w:val="008D2F4B"/>
    <w:rsid w:val="008D2FC2"/>
    <w:rsid w:val="008D3017"/>
    <w:rsid w:val="008D301F"/>
    <w:rsid w:val="008D303A"/>
    <w:rsid w:val="008D3062"/>
    <w:rsid w:val="008D3111"/>
    <w:rsid w:val="008D3118"/>
    <w:rsid w:val="008D3152"/>
    <w:rsid w:val="008D3206"/>
    <w:rsid w:val="008D3341"/>
    <w:rsid w:val="008D3434"/>
    <w:rsid w:val="008D350B"/>
    <w:rsid w:val="008D355F"/>
    <w:rsid w:val="008D35AE"/>
    <w:rsid w:val="008D3639"/>
    <w:rsid w:val="008D36DE"/>
    <w:rsid w:val="008D36F0"/>
    <w:rsid w:val="008D37D1"/>
    <w:rsid w:val="008D37D6"/>
    <w:rsid w:val="008D3817"/>
    <w:rsid w:val="008D3832"/>
    <w:rsid w:val="008D385E"/>
    <w:rsid w:val="008D3864"/>
    <w:rsid w:val="008D38FD"/>
    <w:rsid w:val="008D3923"/>
    <w:rsid w:val="008D3937"/>
    <w:rsid w:val="008D3956"/>
    <w:rsid w:val="008D39AF"/>
    <w:rsid w:val="008D39EE"/>
    <w:rsid w:val="008D3A5A"/>
    <w:rsid w:val="008D3AB1"/>
    <w:rsid w:val="008D3ADF"/>
    <w:rsid w:val="008D3B7E"/>
    <w:rsid w:val="008D3BB8"/>
    <w:rsid w:val="008D3C42"/>
    <w:rsid w:val="008D3C6A"/>
    <w:rsid w:val="008D3C72"/>
    <w:rsid w:val="008D3D7E"/>
    <w:rsid w:val="008D3DA5"/>
    <w:rsid w:val="008D3DE9"/>
    <w:rsid w:val="008D3E4A"/>
    <w:rsid w:val="008D3E88"/>
    <w:rsid w:val="008D3EBD"/>
    <w:rsid w:val="008D3EF1"/>
    <w:rsid w:val="008D3FDA"/>
    <w:rsid w:val="008D3FDD"/>
    <w:rsid w:val="008D40FC"/>
    <w:rsid w:val="008D4185"/>
    <w:rsid w:val="008D41C4"/>
    <w:rsid w:val="008D41C9"/>
    <w:rsid w:val="008D42CB"/>
    <w:rsid w:val="008D43C1"/>
    <w:rsid w:val="008D43E9"/>
    <w:rsid w:val="008D43EF"/>
    <w:rsid w:val="008D449C"/>
    <w:rsid w:val="008D44C6"/>
    <w:rsid w:val="008D44CC"/>
    <w:rsid w:val="008D46E2"/>
    <w:rsid w:val="008D470F"/>
    <w:rsid w:val="008D477E"/>
    <w:rsid w:val="008D47CE"/>
    <w:rsid w:val="008D48F9"/>
    <w:rsid w:val="008D4907"/>
    <w:rsid w:val="008D492C"/>
    <w:rsid w:val="008D4963"/>
    <w:rsid w:val="008D4976"/>
    <w:rsid w:val="008D49D5"/>
    <w:rsid w:val="008D4AB9"/>
    <w:rsid w:val="008D4B6A"/>
    <w:rsid w:val="008D4C27"/>
    <w:rsid w:val="008D4C9B"/>
    <w:rsid w:val="008D4CDF"/>
    <w:rsid w:val="008D4D1C"/>
    <w:rsid w:val="008D4D42"/>
    <w:rsid w:val="008D4D71"/>
    <w:rsid w:val="008D4E3F"/>
    <w:rsid w:val="008D4E69"/>
    <w:rsid w:val="008D4E8B"/>
    <w:rsid w:val="008D4F0C"/>
    <w:rsid w:val="008D4F20"/>
    <w:rsid w:val="008D4F44"/>
    <w:rsid w:val="008D4FA7"/>
    <w:rsid w:val="008D4FD0"/>
    <w:rsid w:val="008D5086"/>
    <w:rsid w:val="008D50C5"/>
    <w:rsid w:val="008D5230"/>
    <w:rsid w:val="008D527E"/>
    <w:rsid w:val="008D52DA"/>
    <w:rsid w:val="008D534B"/>
    <w:rsid w:val="008D5369"/>
    <w:rsid w:val="008D5399"/>
    <w:rsid w:val="008D53E1"/>
    <w:rsid w:val="008D5420"/>
    <w:rsid w:val="008D553E"/>
    <w:rsid w:val="008D560D"/>
    <w:rsid w:val="008D5667"/>
    <w:rsid w:val="008D56FE"/>
    <w:rsid w:val="008D5753"/>
    <w:rsid w:val="008D57D0"/>
    <w:rsid w:val="008D5806"/>
    <w:rsid w:val="008D58CC"/>
    <w:rsid w:val="008D598D"/>
    <w:rsid w:val="008D59D3"/>
    <w:rsid w:val="008D59DB"/>
    <w:rsid w:val="008D59DD"/>
    <w:rsid w:val="008D5A32"/>
    <w:rsid w:val="008D5A47"/>
    <w:rsid w:val="008D5AA8"/>
    <w:rsid w:val="008D5AC3"/>
    <w:rsid w:val="008D5ADE"/>
    <w:rsid w:val="008D5BB7"/>
    <w:rsid w:val="008D5BCE"/>
    <w:rsid w:val="008D5C31"/>
    <w:rsid w:val="008D5C4B"/>
    <w:rsid w:val="008D5CDA"/>
    <w:rsid w:val="008D5CDD"/>
    <w:rsid w:val="008D5CE7"/>
    <w:rsid w:val="008D5D57"/>
    <w:rsid w:val="008D5D9E"/>
    <w:rsid w:val="008D5DED"/>
    <w:rsid w:val="008D5E4B"/>
    <w:rsid w:val="008D5EB6"/>
    <w:rsid w:val="008D5FA2"/>
    <w:rsid w:val="008D6053"/>
    <w:rsid w:val="008D6190"/>
    <w:rsid w:val="008D6204"/>
    <w:rsid w:val="008D624A"/>
    <w:rsid w:val="008D627E"/>
    <w:rsid w:val="008D633B"/>
    <w:rsid w:val="008D6377"/>
    <w:rsid w:val="008D63F5"/>
    <w:rsid w:val="008D647D"/>
    <w:rsid w:val="008D651B"/>
    <w:rsid w:val="008D653C"/>
    <w:rsid w:val="008D65FC"/>
    <w:rsid w:val="008D66D4"/>
    <w:rsid w:val="008D6805"/>
    <w:rsid w:val="008D6812"/>
    <w:rsid w:val="008D681C"/>
    <w:rsid w:val="008D6916"/>
    <w:rsid w:val="008D698D"/>
    <w:rsid w:val="008D69E2"/>
    <w:rsid w:val="008D6A76"/>
    <w:rsid w:val="008D6AA7"/>
    <w:rsid w:val="008D6AAC"/>
    <w:rsid w:val="008D6AD4"/>
    <w:rsid w:val="008D6AFE"/>
    <w:rsid w:val="008D6B0F"/>
    <w:rsid w:val="008D6B39"/>
    <w:rsid w:val="008D6C3D"/>
    <w:rsid w:val="008D6CC2"/>
    <w:rsid w:val="008D6D26"/>
    <w:rsid w:val="008D6D34"/>
    <w:rsid w:val="008D6DCE"/>
    <w:rsid w:val="008D6E25"/>
    <w:rsid w:val="008D6EDB"/>
    <w:rsid w:val="008D6F09"/>
    <w:rsid w:val="008D6F72"/>
    <w:rsid w:val="008D6FE7"/>
    <w:rsid w:val="008D700C"/>
    <w:rsid w:val="008D7046"/>
    <w:rsid w:val="008D704C"/>
    <w:rsid w:val="008D70A2"/>
    <w:rsid w:val="008D70ED"/>
    <w:rsid w:val="008D71B9"/>
    <w:rsid w:val="008D71F6"/>
    <w:rsid w:val="008D724F"/>
    <w:rsid w:val="008D726C"/>
    <w:rsid w:val="008D728E"/>
    <w:rsid w:val="008D733C"/>
    <w:rsid w:val="008D7340"/>
    <w:rsid w:val="008D7378"/>
    <w:rsid w:val="008D73BA"/>
    <w:rsid w:val="008D7482"/>
    <w:rsid w:val="008D758E"/>
    <w:rsid w:val="008D7604"/>
    <w:rsid w:val="008D7622"/>
    <w:rsid w:val="008D76EF"/>
    <w:rsid w:val="008D7788"/>
    <w:rsid w:val="008D7804"/>
    <w:rsid w:val="008D785F"/>
    <w:rsid w:val="008D78AD"/>
    <w:rsid w:val="008D78D0"/>
    <w:rsid w:val="008D794C"/>
    <w:rsid w:val="008D7A12"/>
    <w:rsid w:val="008D7AA1"/>
    <w:rsid w:val="008D7B5B"/>
    <w:rsid w:val="008D7B85"/>
    <w:rsid w:val="008D7BBE"/>
    <w:rsid w:val="008D7C32"/>
    <w:rsid w:val="008D7E34"/>
    <w:rsid w:val="008D7E78"/>
    <w:rsid w:val="008D7EAC"/>
    <w:rsid w:val="008D7EEA"/>
    <w:rsid w:val="008D7F22"/>
    <w:rsid w:val="008D7F27"/>
    <w:rsid w:val="008D7FCC"/>
    <w:rsid w:val="008D7FCF"/>
    <w:rsid w:val="008E009B"/>
    <w:rsid w:val="008E00D3"/>
    <w:rsid w:val="008E00E1"/>
    <w:rsid w:val="008E013C"/>
    <w:rsid w:val="008E01DB"/>
    <w:rsid w:val="008E0261"/>
    <w:rsid w:val="008E02DA"/>
    <w:rsid w:val="008E02DB"/>
    <w:rsid w:val="008E02EA"/>
    <w:rsid w:val="008E02FA"/>
    <w:rsid w:val="008E0381"/>
    <w:rsid w:val="008E03A0"/>
    <w:rsid w:val="008E03EB"/>
    <w:rsid w:val="008E03F8"/>
    <w:rsid w:val="008E04DD"/>
    <w:rsid w:val="008E050B"/>
    <w:rsid w:val="008E0568"/>
    <w:rsid w:val="008E0590"/>
    <w:rsid w:val="008E05C5"/>
    <w:rsid w:val="008E0600"/>
    <w:rsid w:val="008E064C"/>
    <w:rsid w:val="008E066C"/>
    <w:rsid w:val="008E0684"/>
    <w:rsid w:val="008E06C9"/>
    <w:rsid w:val="008E0729"/>
    <w:rsid w:val="008E0775"/>
    <w:rsid w:val="008E0896"/>
    <w:rsid w:val="008E08E5"/>
    <w:rsid w:val="008E08EF"/>
    <w:rsid w:val="008E098F"/>
    <w:rsid w:val="008E0992"/>
    <w:rsid w:val="008E0994"/>
    <w:rsid w:val="008E09B1"/>
    <w:rsid w:val="008E09CC"/>
    <w:rsid w:val="008E0A23"/>
    <w:rsid w:val="008E0A70"/>
    <w:rsid w:val="008E0AEA"/>
    <w:rsid w:val="008E0C37"/>
    <w:rsid w:val="008E0C90"/>
    <w:rsid w:val="008E0D0A"/>
    <w:rsid w:val="008E0D15"/>
    <w:rsid w:val="008E0D22"/>
    <w:rsid w:val="008E0D65"/>
    <w:rsid w:val="008E0EBC"/>
    <w:rsid w:val="008E0F02"/>
    <w:rsid w:val="008E1017"/>
    <w:rsid w:val="008E1025"/>
    <w:rsid w:val="008E102E"/>
    <w:rsid w:val="008E1061"/>
    <w:rsid w:val="008E1070"/>
    <w:rsid w:val="008E1081"/>
    <w:rsid w:val="008E10AB"/>
    <w:rsid w:val="008E10FC"/>
    <w:rsid w:val="008E111F"/>
    <w:rsid w:val="008E11BD"/>
    <w:rsid w:val="008E1333"/>
    <w:rsid w:val="008E1343"/>
    <w:rsid w:val="008E1350"/>
    <w:rsid w:val="008E135D"/>
    <w:rsid w:val="008E1553"/>
    <w:rsid w:val="008E15C4"/>
    <w:rsid w:val="008E15CC"/>
    <w:rsid w:val="008E15FD"/>
    <w:rsid w:val="008E16C0"/>
    <w:rsid w:val="008E171E"/>
    <w:rsid w:val="008E1736"/>
    <w:rsid w:val="008E1763"/>
    <w:rsid w:val="008E1796"/>
    <w:rsid w:val="008E17F9"/>
    <w:rsid w:val="008E18D1"/>
    <w:rsid w:val="008E193B"/>
    <w:rsid w:val="008E1971"/>
    <w:rsid w:val="008E19E4"/>
    <w:rsid w:val="008E1A0F"/>
    <w:rsid w:val="008E1C1E"/>
    <w:rsid w:val="008E1C49"/>
    <w:rsid w:val="008E1C58"/>
    <w:rsid w:val="008E1C72"/>
    <w:rsid w:val="008E1C74"/>
    <w:rsid w:val="008E1E54"/>
    <w:rsid w:val="008E1E5B"/>
    <w:rsid w:val="008E1EE6"/>
    <w:rsid w:val="008E1F4A"/>
    <w:rsid w:val="008E1FC1"/>
    <w:rsid w:val="008E1FD1"/>
    <w:rsid w:val="008E20BD"/>
    <w:rsid w:val="008E219B"/>
    <w:rsid w:val="008E21B1"/>
    <w:rsid w:val="008E21FE"/>
    <w:rsid w:val="008E22A1"/>
    <w:rsid w:val="008E2330"/>
    <w:rsid w:val="008E233A"/>
    <w:rsid w:val="008E2393"/>
    <w:rsid w:val="008E23A5"/>
    <w:rsid w:val="008E23B3"/>
    <w:rsid w:val="008E23E8"/>
    <w:rsid w:val="008E2416"/>
    <w:rsid w:val="008E24FA"/>
    <w:rsid w:val="008E250E"/>
    <w:rsid w:val="008E251D"/>
    <w:rsid w:val="008E2574"/>
    <w:rsid w:val="008E25A7"/>
    <w:rsid w:val="008E25BB"/>
    <w:rsid w:val="008E261C"/>
    <w:rsid w:val="008E262D"/>
    <w:rsid w:val="008E263A"/>
    <w:rsid w:val="008E2657"/>
    <w:rsid w:val="008E2677"/>
    <w:rsid w:val="008E27D4"/>
    <w:rsid w:val="008E27FA"/>
    <w:rsid w:val="008E2884"/>
    <w:rsid w:val="008E28C4"/>
    <w:rsid w:val="008E2908"/>
    <w:rsid w:val="008E2934"/>
    <w:rsid w:val="008E29DB"/>
    <w:rsid w:val="008E2A1A"/>
    <w:rsid w:val="008E2A2C"/>
    <w:rsid w:val="008E2A31"/>
    <w:rsid w:val="008E2A3F"/>
    <w:rsid w:val="008E2AED"/>
    <w:rsid w:val="008E2AF0"/>
    <w:rsid w:val="008E2B0B"/>
    <w:rsid w:val="008E2B5B"/>
    <w:rsid w:val="008E2BF2"/>
    <w:rsid w:val="008E2C9F"/>
    <w:rsid w:val="008E2CA1"/>
    <w:rsid w:val="008E2CAE"/>
    <w:rsid w:val="008E2D4D"/>
    <w:rsid w:val="008E2DB5"/>
    <w:rsid w:val="008E2E8E"/>
    <w:rsid w:val="008E2F36"/>
    <w:rsid w:val="008E2F6D"/>
    <w:rsid w:val="008E2F6E"/>
    <w:rsid w:val="008E2FB1"/>
    <w:rsid w:val="008E2FE8"/>
    <w:rsid w:val="008E3008"/>
    <w:rsid w:val="008E3039"/>
    <w:rsid w:val="008E30C2"/>
    <w:rsid w:val="008E30D4"/>
    <w:rsid w:val="008E3156"/>
    <w:rsid w:val="008E315A"/>
    <w:rsid w:val="008E31B2"/>
    <w:rsid w:val="008E31E2"/>
    <w:rsid w:val="008E3228"/>
    <w:rsid w:val="008E328F"/>
    <w:rsid w:val="008E32ED"/>
    <w:rsid w:val="008E3426"/>
    <w:rsid w:val="008E349B"/>
    <w:rsid w:val="008E34A4"/>
    <w:rsid w:val="008E3501"/>
    <w:rsid w:val="008E3521"/>
    <w:rsid w:val="008E3589"/>
    <w:rsid w:val="008E35E8"/>
    <w:rsid w:val="008E360F"/>
    <w:rsid w:val="008E36CD"/>
    <w:rsid w:val="008E36D8"/>
    <w:rsid w:val="008E3766"/>
    <w:rsid w:val="008E37F5"/>
    <w:rsid w:val="008E3818"/>
    <w:rsid w:val="008E38D4"/>
    <w:rsid w:val="008E38DC"/>
    <w:rsid w:val="008E39A2"/>
    <w:rsid w:val="008E3A17"/>
    <w:rsid w:val="008E3A58"/>
    <w:rsid w:val="008E3AFA"/>
    <w:rsid w:val="008E3B8B"/>
    <w:rsid w:val="008E3BBC"/>
    <w:rsid w:val="008E3BC2"/>
    <w:rsid w:val="008E3BFB"/>
    <w:rsid w:val="008E3C62"/>
    <w:rsid w:val="008E3C80"/>
    <w:rsid w:val="008E3CE9"/>
    <w:rsid w:val="008E3CF0"/>
    <w:rsid w:val="008E3D78"/>
    <w:rsid w:val="008E3DA7"/>
    <w:rsid w:val="008E3DFE"/>
    <w:rsid w:val="008E3E3E"/>
    <w:rsid w:val="008E3F3F"/>
    <w:rsid w:val="008E3F44"/>
    <w:rsid w:val="008E3F70"/>
    <w:rsid w:val="008E3F92"/>
    <w:rsid w:val="008E409F"/>
    <w:rsid w:val="008E40FE"/>
    <w:rsid w:val="008E413E"/>
    <w:rsid w:val="008E419F"/>
    <w:rsid w:val="008E41B2"/>
    <w:rsid w:val="008E425A"/>
    <w:rsid w:val="008E4269"/>
    <w:rsid w:val="008E430A"/>
    <w:rsid w:val="008E448D"/>
    <w:rsid w:val="008E44F3"/>
    <w:rsid w:val="008E45C7"/>
    <w:rsid w:val="008E45DC"/>
    <w:rsid w:val="008E462A"/>
    <w:rsid w:val="008E4668"/>
    <w:rsid w:val="008E47D2"/>
    <w:rsid w:val="008E4850"/>
    <w:rsid w:val="008E4856"/>
    <w:rsid w:val="008E48DE"/>
    <w:rsid w:val="008E49D0"/>
    <w:rsid w:val="008E49D4"/>
    <w:rsid w:val="008E4ADA"/>
    <w:rsid w:val="008E4AF0"/>
    <w:rsid w:val="008E4B53"/>
    <w:rsid w:val="008E4C10"/>
    <w:rsid w:val="008E4C25"/>
    <w:rsid w:val="008E4C50"/>
    <w:rsid w:val="008E4C51"/>
    <w:rsid w:val="008E4C5E"/>
    <w:rsid w:val="008E4C9F"/>
    <w:rsid w:val="008E4DB4"/>
    <w:rsid w:val="008E4F0F"/>
    <w:rsid w:val="008E50B6"/>
    <w:rsid w:val="008E5154"/>
    <w:rsid w:val="008E516C"/>
    <w:rsid w:val="008E52AE"/>
    <w:rsid w:val="008E52F9"/>
    <w:rsid w:val="008E5316"/>
    <w:rsid w:val="008E554C"/>
    <w:rsid w:val="008E5559"/>
    <w:rsid w:val="008E556E"/>
    <w:rsid w:val="008E55C9"/>
    <w:rsid w:val="008E564F"/>
    <w:rsid w:val="008E567E"/>
    <w:rsid w:val="008E56C2"/>
    <w:rsid w:val="008E56FA"/>
    <w:rsid w:val="008E57D5"/>
    <w:rsid w:val="008E57E0"/>
    <w:rsid w:val="008E57E6"/>
    <w:rsid w:val="008E57EA"/>
    <w:rsid w:val="008E57EF"/>
    <w:rsid w:val="008E58BE"/>
    <w:rsid w:val="008E58E0"/>
    <w:rsid w:val="008E58FE"/>
    <w:rsid w:val="008E5909"/>
    <w:rsid w:val="008E5925"/>
    <w:rsid w:val="008E595A"/>
    <w:rsid w:val="008E5A23"/>
    <w:rsid w:val="008E5A24"/>
    <w:rsid w:val="008E5A61"/>
    <w:rsid w:val="008E5A6F"/>
    <w:rsid w:val="008E5A99"/>
    <w:rsid w:val="008E5AF9"/>
    <w:rsid w:val="008E5B0C"/>
    <w:rsid w:val="008E5B5E"/>
    <w:rsid w:val="008E5B81"/>
    <w:rsid w:val="008E5BD7"/>
    <w:rsid w:val="008E5CFE"/>
    <w:rsid w:val="008E5DB1"/>
    <w:rsid w:val="008E5DFB"/>
    <w:rsid w:val="008E5EE8"/>
    <w:rsid w:val="008E5F11"/>
    <w:rsid w:val="008E5F4A"/>
    <w:rsid w:val="008E5FD3"/>
    <w:rsid w:val="008E604B"/>
    <w:rsid w:val="008E60AB"/>
    <w:rsid w:val="008E60B3"/>
    <w:rsid w:val="008E60BF"/>
    <w:rsid w:val="008E6140"/>
    <w:rsid w:val="008E6155"/>
    <w:rsid w:val="008E6170"/>
    <w:rsid w:val="008E61C3"/>
    <w:rsid w:val="008E6226"/>
    <w:rsid w:val="008E62BB"/>
    <w:rsid w:val="008E62E1"/>
    <w:rsid w:val="008E62EC"/>
    <w:rsid w:val="008E63BB"/>
    <w:rsid w:val="008E6428"/>
    <w:rsid w:val="008E645D"/>
    <w:rsid w:val="008E6467"/>
    <w:rsid w:val="008E65C3"/>
    <w:rsid w:val="008E65D7"/>
    <w:rsid w:val="008E65E8"/>
    <w:rsid w:val="008E6625"/>
    <w:rsid w:val="008E6636"/>
    <w:rsid w:val="008E6695"/>
    <w:rsid w:val="008E6760"/>
    <w:rsid w:val="008E6793"/>
    <w:rsid w:val="008E67FC"/>
    <w:rsid w:val="008E6886"/>
    <w:rsid w:val="008E6A28"/>
    <w:rsid w:val="008E6A5C"/>
    <w:rsid w:val="008E6AE1"/>
    <w:rsid w:val="008E6B2C"/>
    <w:rsid w:val="008E6B77"/>
    <w:rsid w:val="008E6B9C"/>
    <w:rsid w:val="008E6BCF"/>
    <w:rsid w:val="008E6BEB"/>
    <w:rsid w:val="008E6C36"/>
    <w:rsid w:val="008E6C70"/>
    <w:rsid w:val="008E6C9A"/>
    <w:rsid w:val="008E6CC0"/>
    <w:rsid w:val="008E6CE8"/>
    <w:rsid w:val="008E6D77"/>
    <w:rsid w:val="008E6E1F"/>
    <w:rsid w:val="008E6EA2"/>
    <w:rsid w:val="008E6EB4"/>
    <w:rsid w:val="008E6F18"/>
    <w:rsid w:val="008E6F1D"/>
    <w:rsid w:val="008E70B0"/>
    <w:rsid w:val="008E70FF"/>
    <w:rsid w:val="008E7151"/>
    <w:rsid w:val="008E7164"/>
    <w:rsid w:val="008E717E"/>
    <w:rsid w:val="008E7198"/>
    <w:rsid w:val="008E7206"/>
    <w:rsid w:val="008E722D"/>
    <w:rsid w:val="008E72C6"/>
    <w:rsid w:val="008E72E3"/>
    <w:rsid w:val="008E7396"/>
    <w:rsid w:val="008E7425"/>
    <w:rsid w:val="008E7470"/>
    <w:rsid w:val="008E74C9"/>
    <w:rsid w:val="008E74F4"/>
    <w:rsid w:val="008E7548"/>
    <w:rsid w:val="008E75DF"/>
    <w:rsid w:val="008E7691"/>
    <w:rsid w:val="008E76C6"/>
    <w:rsid w:val="008E772B"/>
    <w:rsid w:val="008E778F"/>
    <w:rsid w:val="008E77B4"/>
    <w:rsid w:val="008E77BB"/>
    <w:rsid w:val="008E77E0"/>
    <w:rsid w:val="008E77F6"/>
    <w:rsid w:val="008E7825"/>
    <w:rsid w:val="008E785C"/>
    <w:rsid w:val="008E78CB"/>
    <w:rsid w:val="008E7905"/>
    <w:rsid w:val="008E795B"/>
    <w:rsid w:val="008E7A16"/>
    <w:rsid w:val="008E7A4A"/>
    <w:rsid w:val="008E7A4D"/>
    <w:rsid w:val="008E7A84"/>
    <w:rsid w:val="008E7AC8"/>
    <w:rsid w:val="008E7B16"/>
    <w:rsid w:val="008E7B64"/>
    <w:rsid w:val="008E7B6B"/>
    <w:rsid w:val="008E7BB9"/>
    <w:rsid w:val="008E7C57"/>
    <w:rsid w:val="008E7CA5"/>
    <w:rsid w:val="008E7D1E"/>
    <w:rsid w:val="008E7D4C"/>
    <w:rsid w:val="008E7D8B"/>
    <w:rsid w:val="008E7D8D"/>
    <w:rsid w:val="008E7D99"/>
    <w:rsid w:val="008E7DEB"/>
    <w:rsid w:val="008E7EB3"/>
    <w:rsid w:val="008E7EDB"/>
    <w:rsid w:val="008E7F3B"/>
    <w:rsid w:val="008F001C"/>
    <w:rsid w:val="008F00EF"/>
    <w:rsid w:val="008F014D"/>
    <w:rsid w:val="008F01F8"/>
    <w:rsid w:val="008F01FA"/>
    <w:rsid w:val="008F0281"/>
    <w:rsid w:val="008F028D"/>
    <w:rsid w:val="008F02AC"/>
    <w:rsid w:val="008F02CE"/>
    <w:rsid w:val="008F032E"/>
    <w:rsid w:val="008F035F"/>
    <w:rsid w:val="008F03C0"/>
    <w:rsid w:val="008F03C6"/>
    <w:rsid w:val="008F04C0"/>
    <w:rsid w:val="008F0573"/>
    <w:rsid w:val="008F0574"/>
    <w:rsid w:val="008F05C6"/>
    <w:rsid w:val="008F0626"/>
    <w:rsid w:val="008F0663"/>
    <w:rsid w:val="008F0664"/>
    <w:rsid w:val="008F067C"/>
    <w:rsid w:val="008F0706"/>
    <w:rsid w:val="008F0717"/>
    <w:rsid w:val="008F071F"/>
    <w:rsid w:val="008F0720"/>
    <w:rsid w:val="008F072F"/>
    <w:rsid w:val="008F075E"/>
    <w:rsid w:val="008F0813"/>
    <w:rsid w:val="008F0814"/>
    <w:rsid w:val="008F081E"/>
    <w:rsid w:val="008F089F"/>
    <w:rsid w:val="008F0987"/>
    <w:rsid w:val="008F0A31"/>
    <w:rsid w:val="008F0A75"/>
    <w:rsid w:val="008F0B0A"/>
    <w:rsid w:val="008F0B41"/>
    <w:rsid w:val="008F0B59"/>
    <w:rsid w:val="008F0B5A"/>
    <w:rsid w:val="008F0B88"/>
    <w:rsid w:val="008F0B9C"/>
    <w:rsid w:val="008F0BBC"/>
    <w:rsid w:val="008F0BF7"/>
    <w:rsid w:val="008F0C47"/>
    <w:rsid w:val="008F0D9D"/>
    <w:rsid w:val="008F0E11"/>
    <w:rsid w:val="008F0E8B"/>
    <w:rsid w:val="008F0ECE"/>
    <w:rsid w:val="008F1070"/>
    <w:rsid w:val="008F10C8"/>
    <w:rsid w:val="008F10CB"/>
    <w:rsid w:val="008F1170"/>
    <w:rsid w:val="008F12CC"/>
    <w:rsid w:val="008F13D5"/>
    <w:rsid w:val="008F1433"/>
    <w:rsid w:val="008F14BB"/>
    <w:rsid w:val="008F14D0"/>
    <w:rsid w:val="008F14EA"/>
    <w:rsid w:val="008F158F"/>
    <w:rsid w:val="008F15B3"/>
    <w:rsid w:val="008F15E8"/>
    <w:rsid w:val="008F166C"/>
    <w:rsid w:val="008F167A"/>
    <w:rsid w:val="008F1700"/>
    <w:rsid w:val="008F1784"/>
    <w:rsid w:val="008F1789"/>
    <w:rsid w:val="008F1A1F"/>
    <w:rsid w:val="008F1A3B"/>
    <w:rsid w:val="008F1B29"/>
    <w:rsid w:val="008F1B40"/>
    <w:rsid w:val="008F1BAA"/>
    <w:rsid w:val="008F1C13"/>
    <w:rsid w:val="008F1C9E"/>
    <w:rsid w:val="008F1CA8"/>
    <w:rsid w:val="008F1CB4"/>
    <w:rsid w:val="008F1CE2"/>
    <w:rsid w:val="008F1D26"/>
    <w:rsid w:val="008F1D4E"/>
    <w:rsid w:val="008F1D7D"/>
    <w:rsid w:val="008F1E1B"/>
    <w:rsid w:val="008F1E3B"/>
    <w:rsid w:val="008F1EC7"/>
    <w:rsid w:val="008F1EED"/>
    <w:rsid w:val="008F1F28"/>
    <w:rsid w:val="008F1F2C"/>
    <w:rsid w:val="008F1FC7"/>
    <w:rsid w:val="008F2001"/>
    <w:rsid w:val="008F2055"/>
    <w:rsid w:val="008F20C7"/>
    <w:rsid w:val="008F20F5"/>
    <w:rsid w:val="008F2178"/>
    <w:rsid w:val="008F221D"/>
    <w:rsid w:val="008F2267"/>
    <w:rsid w:val="008F22D9"/>
    <w:rsid w:val="008F22E2"/>
    <w:rsid w:val="008F232A"/>
    <w:rsid w:val="008F2360"/>
    <w:rsid w:val="008F2372"/>
    <w:rsid w:val="008F2421"/>
    <w:rsid w:val="008F24AA"/>
    <w:rsid w:val="008F24C2"/>
    <w:rsid w:val="008F24C9"/>
    <w:rsid w:val="008F24E7"/>
    <w:rsid w:val="008F252F"/>
    <w:rsid w:val="008F25E9"/>
    <w:rsid w:val="008F27EB"/>
    <w:rsid w:val="008F2840"/>
    <w:rsid w:val="008F2873"/>
    <w:rsid w:val="008F28F5"/>
    <w:rsid w:val="008F2946"/>
    <w:rsid w:val="008F29B8"/>
    <w:rsid w:val="008F2A1A"/>
    <w:rsid w:val="008F2A25"/>
    <w:rsid w:val="008F2BD9"/>
    <w:rsid w:val="008F2C1E"/>
    <w:rsid w:val="008F2C55"/>
    <w:rsid w:val="008F2CBA"/>
    <w:rsid w:val="008F2CD3"/>
    <w:rsid w:val="008F2D56"/>
    <w:rsid w:val="008F2E52"/>
    <w:rsid w:val="008F2E66"/>
    <w:rsid w:val="008F2E6D"/>
    <w:rsid w:val="008F2E94"/>
    <w:rsid w:val="008F2EBF"/>
    <w:rsid w:val="008F2F3F"/>
    <w:rsid w:val="008F2FB8"/>
    <w:rsid w:val="008F2FC2"/>
    <w:rsid w:val="008F30B0"/>
    <w:rsid w:val="008F3151"/>
    <w:rsid w:val="008F3267"/>
    <w:rsid w:val="008F3268"/>
    <w:rsid w:val="008F32A3"/>
    <w:rsid w:val="008F3309"/>
    <w:rsid w:val="008F33DC"/>
    <w:rsid w:val="008F33F4"/>
    <w:rsid w:val="008F34D4"/>
    <w:rsid w:val="008F350A"/>
    <w:rsid w:val="008F3531"/>
    <w:rsid w:val="008F362D"/>
    <w:rsid w:val="008F3759"/>
    <w:rsid w:val="008F3772"/>
    <w:rsid w:val="008F3787"/>
    <w:rsid w:val="008F3B19"/>
    <w:rsid w:val="008F3B84"/>
    <w:rsid w:val="008F3BBB"/>
    <w:rsid w:val="008F3BCD"/>
    <w:rsid w:val="008F3BE2"/>
    <w:rsid w:val="008F3CAC"/>
    <w:rsid w:val="008F3D80"/>
    <w:rsid w:val="008F3D9E"/>
    <w:rsid w:val="008F3E09"/>
    <w:rsid w:val="008F3E28"/>
    <w:rsid w:val="008F3EE6"/>
    <w:rsid w:val="008F3F37"/>
    <w:rsid w:val="008F3FDD"/>
    <w:rsid w:val="008F3FFC"/>
    <w:rsid w:val="008F4041"/>
    <w:rsid w:val="008F4048"/>
    <w:rsid w:val="008F404C"/>
    <w:rsid w:val="008F405A"/>
    <w:rsid w:val="008F405E"/>
    <w:rsid w:val="008F4096"/>
    <w:rsid w:val="008F40C3"/>
    <w:rsid w:val="008F40D1"/>
    <w:rsid w:val="008F40E9"/>
    <w:rsid w:val="008F40F2"/>
    <w:rsid w:val="008F41F9"/>
    <w:rsid w:val="008F4278"/>
    <w:rsid w:val="008F427C"/>
    <w:rsid w:val="008F4295"/>
    <w:rsid w:val="008F42A0"/>
    <w:rsid w:val="008F42A6"/>
    <w:rsid w:val="008F4348"/>
    <w:rsid w:val="008F435B"/>
    <w:rsid w:val="008F4363"/>
    <w:rsid w:val="008F43A5"/>
    <w:rsid w:val="008F43C7"/>
    <w:rsid w:val="008F4467"/>
    <w:rsid w:val="008F44EA"/>
    <w:rsid w:val="008F4505"/>
    <w:rsid w:val="008F450F"/>
    <w:rsid w:val="008F4542"/>
    <w:rsid w:val="008F45FF"/>
    <w:rsid w:val="008F464A"/>
    <w:rsid w:val="008F488E"/>
    <w:rsid w:val="008F4896"/>
    <w:rsid w:val="008F48E7"/>
    <w:rsid w:val="008F4965"/>
    <w:rsid w:val="008F49EC"/>
    <w:rsid w:val="008F4A67"/>
    <w:rsid w:val="008F4B07"/>
    <w:rsid w:val="008F4B52"/>
    <w:rsid w:val="008F4C17"/>
    <w:rsid w:val="008F4C3F"/>
    <w:rsid w:val="008F4C5D"/>
    <w:rsid w:val="008F4CE9"/>
    <w:rsid w:val="008F4D33"/>
    <w:rsid w:val="008F4D6A"/>
    <w:rsid w:val="008F4DA7"/>
    <w:rsid w:val="008F4DBD"/>
    <w:rsid w:val="008F4DCB"/>
    <w:rsid w:val="008F4E51"/>
    <w:rsid w:val="008F4EEA"/>
    <w:rsid w:val="008F4F5E"/>
    <w:rsid w:val="008F4FEE"/>
    <w:rsid w:val="008F5109"/>
    <w:rsid w:val="008F51CB"/>
    <w:rsid w:val="008F5285"/>
    <w:rsid w:val="008F52F0"/>
    <w:rsid w:val="008F52FA"/>
    <w:rsid w:val="008F530C"/>
    <w:rsid w:val="008F5337"/>
    <w:rsid w:val="008F5355"/>
    <w:rsid w:val="008F5375"/>
    <w:rsid w:val="008F53A5"/>
    <w:rsid w:val="008F5486"/>
    <w:rsid w:val="008F54A8"/>
    <w:rsid w:val="008F54BA"/>
    <w:rsid w:val="008F54CA"/>
    <w:rsid w:val="008F5518"/>
    <w:rsid w:val="008F559A"/>
    <w:rsid w:val="008F55BC"/>
    <w:rsid w:val="008F563D"/>
    <w:rsid w:val="008F5680"/>
    <w:rsid w:val="008F56AE"/>
    <w:rsid w:val="008F5736"/>
    <w:rsid w:val="008F575E"/>
    <w:rsid w:val="008F5769"/>
    <w:rsid w:val="008F57A4"/>
    <w:rsid w:val="008F57A7"/>
    <w:rsid w:val="008F57B7"/>
    <w:rsid w:val="008F57DE"/>
    <w:rsid w:val="008F5822"/>
    <w:rsid w:val="008F5830"/>
    <w:rsid w:val="008F5895"/>
    <w:rsid w:val="008F5905"/>
    <w:rsid w:val="008F5953"/>
    <w:rsid w:val="008F59E3"/>
    <w:rsid w:val="008F59F2"/>
    <w:rsid w:val="008F5A69"/>
    <w:rsid w:val="008F5A76"/>
    <w:rsid w:val="008F5AD7"/>
    <w:rsid w:val="008F5B54"/>
    <w:rsid w:val="008F5B8A"/>
    <w:rsid w:val="008F5B8B"/>
    <w:rsid w:val="008F5BD8"/>
    <w:rsid w:val="008F5C30"/>
    <w:rsid w:val="008F5D5B"/>
    <w:rsid w:val="008F5D5D"/>
    <w:rsid w:val="008F5DA9"/>
    <w:rsid w:val="008F5DB9"/>
    <w:rsid w:val="008F5E3C"/>
    <w:rsid w:val="008F5E4B"/>
    <w:rsid w:val="008F5E57"/>
    <w:rsid w:val="008F5E9D"/>
    <w:rsid w:val="008F5EB7"/>
    <w:rsid w:val="008F5F21"/>
    <w:rsid w:val="008F5F9E"/>
    <w:rsid w:val="008F5FC0"/>
    <w:rsid w:val="008F5FC6"/>
    <w:rsid w:val="008F5FEF"/>
    <w:rsid w:val="008F6006"/>
    <w:rsid w:val="008F6048"/>
    <w:rsid w:val="008F615D"/>
    <w:rsid w:val="008F61AF"/>
    <w:rsid w:val="008F61B6"/>
    <w:rsid w:val="008F61DF"/>
    <w:rsid w:val="008F624E"/>
    <w:rsid w:val="008F62C5"/>
    <w:rsid w:val="008F6317"/>
    <w:rsid w:val="008F6404"/>
    <w:rsid w:val="008F6425"/>
    <w:rsid w:val="008F6427"/>
    <w:rsid w:val="008F6516"/>
    <w:rsid w:val="008F6581"/>
    <w:rsid w:val="008F65D7"/>
    <w:rsid w:val="008F661D"/>
    <w:rsid w:val="008F6650"/>
    <w:rsid w:val="008F66D0"/>
    <w:rsid w:val="008F671D"/>
    <w:rsid w:val="008F681C"/>
    <w:rsid w:val="008F6898"/>
    <w:rsid w:val="008F68D0"/>
    <w:rsid w:val="008F693E"/>
    <w:rsid w:val="008F6977"/>
    <w:rsid w:val="008F69D9"/>
    <w:rsid w:val="008F6A91"/>
    <w:rsid w:val="008F6AD3"/>
    <w:rsid w:val="008F6B48"/>
    <w:rsid w:val="008F6C07"/>
    <w:rsid w:val="008F6C38"/>
    <w:rsid w:val="008F6C88"/>
    <w:rsid w:val="008F6CDD"/>
    <w:rsid w:val="008F6CFC"/>
    <w:rsid w:val="008F6D15"/>
    <w:rsid w:val="008F6D3A"/>
    <w:rsid w:val="008F6D72"/>
    <w:rsid w:val="008F6DB0"/>
    <w:rsid w:val="008F6E86"/>
    <w:rsid w:val="008F6ECC"/>
    <w:rsid w:val="008F700C"/>
    <w:rsid w:val="008F7060"/>
    <w:rsid w:val="008F70B5"/>
    <w:rsid w:val="008F70EB"/>
    <w:rsid w:val="008F71DB"/>
    <w:rsid w:val="008F729F"/>
    <w:rsid w:val="008F72A0"/>
    <w:rsid w:val="008F72BB"/>
    <w:rsid w:val="008F7304"/>
    <w:rsid w:val="008F73CF"/>
    <w:rsid w:val="008F7423"/>
    <w:rsid w:val="008F745E"/>
    <w:rsid w:val="008F7636"/>
    <w:rsid w:val="008F7654"/>
    <w:rsid w:val="008F767B"/>
    <w:rsid w:val="008F76C7"/>
    <w:rsid w:val="008F7713"/>
    <w:rsid w:val="008F7828"/>
    <w:rsid w:val="008F78AB"/>
    <w:rsid w:val="008F79A6"/>
    <w:rsid w:val="008F79D0"/>
    <w:rsid w:val="008F7A0B"/>
    <w:rsid w:val="008F7AFC"/>
    <w:rsid w:val="008F7BE0"/>
    <w:rsid w:val="008F7C25"/>
    <w:rsid w:val="008F7C27"/>
    <w:rsid w:val="008F7CB1"/>
    <w:rsid w:val="008F7CDD"/>
    <w:rsid w:val="008F7D59"/>
    <w:rsid w:val="008F7DBB"/>
    <w:rsid w:val="008F7E05"/>
    <w:rsid w:val="008F7E0D"/>
    <w:rsid w:val="008F7EB3"/>
    <w:rsid w:val="008F7F18"/>
    <w:rsid w:val="008F7F1F"/>
    <w:rsid w:val="008F7F9B"/>
    <w:rsid w:val="008F7FC7"/>
    <w:rsid w:val="00900004"/>
    <w:rsid w:val="00900054"/>
    <w:rsid w:val="009001BB"/>
    <w:rsid w:val="009001D0"/>
    <w:rsid w:val="009001EF"/>
    <w:rsid w:val="00900243"/>
    <w:rsid w:val="0090025C"/>
    <w:rsid w:val="00900262"/>
    <w:rsid w:val="009002E7"/>
    <w:rsid w:val="009002EA"/>
    <w:rsid w:val="0090032F"/>
    <w:rsid w:val="00900363"/>
    <w:rsid w:val="00900469"/>
    <w:rsid w:val="009004B2"/>
    <w:rsid w:val="009004FC"/>
    <w:rsid w:val="00900515"/>
    <w:rsid w:val="009005D7"/>
    <w:rsid w:val="00900654"/>
    <w:rsid w:val="0090067F"/>
    <w:rsid w:val="009006AE"/>
    <w:rsid w:val="00900730"/>
    <w:rsid w:val="0090076F"/>
    <w:rsid w:val="009007D6"/>
    <w:rsid w:val="009007E5"/>
    <w:rsid w:val="009007F1"/>
    <w:rsid w:val="00900864"/>
    <w:rsid w:val="009008AB"/>
    <w:rsid w:val="00900972"/>
    <w:rsid w:val="00900A16"/>
    <w:rsid w:val="00900A4D"/>
    <w:rsid w:val="00900AB3"/>
    <w:rsid w:val="00900AC9"/>
    <w:rsid w:val="00900B5B"/>
    <w:rsid w:val="00900BA5"/>
    <w:rsid w:val="00900BA7"/>
    <w:rsid w:val="00900BBB"/>
    <w:rsid w:val="00900BC1"/>
    <w:rsid w:val="00900BD7"/>
    <w:rsid w:val="00900C12"/>
    <w:rsid w:val="00900C24"/>
    <w:rsid w:val="00900C27"/>
    <w:rsid w:val="00900CFB"/>
    <w:rsid w:val="00900D48"/>
    <w:rsid w:val="00900D5E"/>
    <w:rsid w:val="00900E1F"/>
    <w:rsid w:val="00900E29"/>
    <w:rsid w:val="00900E78"/>
    <w:rsid w:val="00900E88"/>
    <w:rsid w:val="00900E93"/>
    <w:rsid w:val="00900EA1"/>
    <w:rsid w:val="00900EEB"/>
    <w:rsid w:val="00900EF0"/>
    <w:rsid w:val="00900F44"/>
    <w:rsid w:val="00900FA2"/>
    <w:rsid w:val="00900FB4"/>
    <w:rsid w:val="00901054"/>
    <w:rsid w:val="009010BF"/>
    <w:rsid w:val="009010FF"/>
    <w:rsid w:val="0090111C"/>
    <w:rsid w:val="00901171"/>
    <w:rsid w:val="009011E7"/>
    <w:rsid w:val="00901266"/>
    <w:rsid w:val="009012F0"/>
    <w:rsid w:val="00901334"/>
    <w:rsid w:val="00901356"/>
    <w:rsid w:val="0090136D"/>
    <w:rsid w:val="00901383"/>
    <w:rsid w:val="0090139C"/>
    <w:rsid w:val="009013C2"/>
    <w:rsid w:val="009013E8"/>
    <w:rsid w:val="009013EA"/>
    <w:rsid w:val="00901473"/>
    <w:rsid w:val="00901577"/>
    <w:rsid w:val="009015CD"/>
    <w:rsid w:val="009015F6"/>
    <w:rsid w:val="00901611"/>
    <w:rsid w:val="00901661"/>
    <w:rsid w:val="0090167F"/>
    <w:rsid w:val="009017D1"/>
    <w:rsid w:val="0090180D"/>
    <w:rsid w:val="0090180F"/>
    <w:rsid w:val="009018DC"/>
    <w:rsid w:val="00901967"/>
    <w:rsid w:val="00901981"/>
    <w:rsid w:val="00901A62"/>
    <w:rsid w:val="00901B1B"/>
    <w:rsid w:val="00901B30"/>
    <w:rsid w:val="00901B31"/>
    <w:rsid w:val="00901B6B"/>
    <w:rsid w:val="00901B82"/>
    <w:rsid w:val="00901D1C"/>
    <w:rsid w:val="00901DD7"/>
    <w:rsid w:val="00901E1C"/>
    <w:rsid w:val="00901E47"/>
    <w:rsid w:val="00901E93"/>
    <w:rsid w:val="00901F0A"/>
    <w:rsid w:val="00901F9A"/>
    <w:rsid w:val="00901FBC"/>
    <w:rsid w:val="00901FD4"/>
    <w:rsid w:val="00901FDF"/>
    <w:rsid w:val="00902059"/>
    <w:rsid w:val="00902108"/>
    <w:rsid w:val="00902123"/>
    <w:rsid w:val="009021A8"/>
    <w:rsid w:val="00902210"/>
    <w:rsid w:val="00902238"/>
    <w:rsid w:val="00902241"/>
    <w:rsid w:val="0090224A"/>
    <w:rsid w:val="0090235D"/>
    <w:rsid w:val="009023A8"/>
    <w:rsid w:val="009023C9"/>
    <w:rsid w:val="009023E7"/>
    <w:rsid w:val="00902419"/>
    <w:rsid w:val="00902430"/>
    <w:rsid w:val="00902449"/>
    <w:rsid w:val="00902485"/>
    <w:rsid w:val="009024FC"/>
    <w:rsid w:val="00902519"/>
    <w:rsid w:val="00902554"/>
    <w:rsid w:val="0090256A"/>
    <w:rsid w:val="009025CF"/>
    <w:rsid w:val="009026F2"/>
    <w:rsid w:val="009026F3"/>
    <w:rsid w:val="00902725"/>
    <w:rsid w:val="009027BF"/>
    <w:rsid w:val="009027CC"/>
    <w:rsid w:val="009027CD"/>
    <w:rsid w:val="009028D4"/>
    <w:rsid w:val="0090292F"/>
    <w:rsid w:val="00902940"/>
    <w:rsid w:val="00902944"/>
    <w:rsid w:val="00902960"/>
    <w:rsid w:val="00902A9F"/>
    <w:rsid w:val="00902B00"/>
    <w:rsid w:val="00902B9D"/>
    <w:rsid w:val="00902BE8"/>
    <w:rsid w:val="00902C6D"/>
    <w:rsid w:val="00902D56"/>
    <w:rsid w:val="00902DA0"/>
    <w:rsid w:val="00902DB1"/>
    <w:rsid w:val="00902E2D"/>
    <w:rsid w:val="00902E38"/>
    <w:rsid w:val="00902E74"/>
    <w:rsid w:val="00902E78"/>
    <w:rsid w:val="00902EDF"/>
    <w:rsid w:val="00902EF4"/>
    <w:rsid w:val="00902F4F"/>
    <w:rsid w:val="00902F64"/>
    <w:rsid w:val="00902FBB"/>
    <w:rsid w:val="009030FB"/>
    <w:rsid w:val="0090312A"/>
    <w:rsid w:val="0090314B"/>
    <w:rsid w:val="00903178"/>
    <w:rsid w:val="00903184"/>
    <w:rsid w:val="00903185"/>
    <w:rsid w:val="00903190"/>
    <w:rsid w:val="00903194"/>
    <w:rsid w:val="009031E4"/>
    <w:rsid w:val="00903212"/>
    <w:rsid w:val="0090325D"/>
    <w:rsid w:val="0090326C"/>
    <w:rsid w:val="00903288"/>
    <w:rsid w:val="00903315"/>
    <w:rsid w:val="00903408"/>
    <w:rsid w:val="009034A8"/>
    <w:rsid w:val="00903523"/>
    <w:rsid w:val="0090352D"/>
    <w:rsid w:val="0090356C"/>
    <w:rsid w:val="0090360D"/>
    <w:rsid w:val="00903658"/>
    <w:rsid w:val="00903660"/>
    <w:rsid w:val="0090373E"/>
    <w:rsid w:val="0090375E"/>
    <w:rsid w:val="00903785"/>
    <w:rsid w:val="00903787"/>
    <w:rsid w:val="009038C4"/>
    <w:rsid w:val="00903943"/>
    <w:rsid w:val="00903971"/>
    <w:rsid w:val="00903980"/>
    <w:rsid w:val="0090399B"/>
    <w:rsid w:val="00903A17"/>
    <w:rsid w:val="00903A87"/>
    <w:rsid w:val="00903B56"/>
    <w:rsid w:val="00903B58"/>
    <w:rsid w:val="00903C11"/>
    <w:rsid w:val="00903C31"/>
    <w:rsid w:val="00903CEB"/>
    <w:rsid w:val="00903D5C"/>
    <w:rsid w:val="00903D82"/>
    <w:rsid w:val="00903D8A"/>
    <w:rsid w:val="00903DB8"/>
    <w:rsid w:val="00903EAE"/>
    <w:rsid w:val="00903EFF"/>
    <w:rsid w:val="00903F15"/>
    <w:rsid w:val="00903F87"/>
    <w:rsid w:val="00903FB5"/>
    <w:rsid w:val="00903FC6"/>
    <w:rsid w:val="0090408C"/>
    <w:rsid w:val="00904106"/>
    <w:rsid w:val="00904167"/>
    <w:rsid w:val="009041AA"/>
    <w:rsid w:val="009041B7"/>
    <w:rsid w:val="00904230"/>
    <w:rsid w:val="00904289"/>
    <w:rsid w:val="009042DC"/>
    <w:rsid w:val="00904406"/>
    <w:rsid w:val="00904521"/>
    <w:rsid w:val="00904745"/>
    <w:rsid w:val="00904765"/>
    <w:rsid w:val="00904769"/>
    <w:rsid w:val="0090478A"/>
    <w:rsid w:val="009048CD"/>
    <w:rsid w:val="009049B0"/>
    <w:rsid w:val="009049BD"/>
    <w:rsid w:val="009049CE"/>
    <w:rsid w:val="00904AD4"/>
    <w:rsid w:val="00904B21"/>
    <w:rsid w:val="00904B3C"/>
    <w:rsid w:val="00904BF2"/>
    <w:rsid w:val="00904C07"/>
    <w:rsid w:val="00904C76"/>
    <w:rsid w:val="00904CE1"/>
    <w:rsid w:val="00904CF4"/>
    <w:rsid w:val="00904CFE"/>
    <w:rsid w:val="00904D10"/>
    <w:rsid w:val="00904DBD"/>
    <w:rsid w:val="00904DD4"/>
    <w:rsid w:val="00904E91"/>
    <w:rsid w:val="00904EF3"/>
    <w:rsid w:val="00904FB8"/>
    <w:rsid w:val="00904FFF"/>
    <w:rsid w:val="00905045"/>
    <w:rsid w:val="009050B5"/>
    <w:rsid w:val="009050C2"/>
    <w:rsid w:val="009050F1"/>
    <w:rsid w:val="00905148"/>
    <w:rsid w:val="0090514B"/>
    <w:rsid w:val="0090523A"/>
    <w:rsid w:val="009052D4"/>
    <w:rsid w:val="00905326"/>
    <w:rsid w:val="00905329"/>
    <w:rsid w:val="00905366"/>
    <w:rsid w:val="0090540D"/>
    <w:rsid w:val="0090553E"/>
    <w:rsid w:val="0090558A"/>
    <w:rsid w:val="009055E4"/>
    <w:rsid w:val="00905623"/>
    <w:rsid w:val="0090562F"/>
    <w:rsid w:val="009058EB"/>
    <w:rsid w:val="00905983"/>
    <w:rsid w:val="0090599A"/>
    <w:rsid w:val="00905A2E"/>
    <w:rsid w:val="00905A49"/>
    <w:rsid w:val="00905A75"/>
    <w:rsid w:val="00905A94"/>
    <w:rsid w:val="00905AF4"/>
    <w:rsid w:val="00905C73"/>
    <w:rsid w:val="00905D75"/>
    <w:rsid w:val="00905DD3"/>
    <w:rsid w:val="00905E36"/>
    <w:rsid w:val="00905E6A"/>
    <w:rsid w:val="00905EEC"/>
    <w:rsid w:val="00905F21"/>
    <w:rsid w:val="00905F3D"/>
    <w:rsid w:val="00905F47"/>
    <w:rsid w:val="00905F66"/>
    <w:rsid w:val="00905FC9"/>
    <w:rsid w:val="00906035"/>
    <w:rsid w:val="00906053"/>
    <w:rsid w:val="00906059"/>
    <w:rsid w:val="00906080"/>
    <w:rsid w:val="00906102"/>
    <w:rsid w:val="009061CE"/>
    <w:rsid w:val="009061CF"/>
    <w:rsid w:val="009061FE"/>
    <w:rsid w:val="0090620C"/>
    <w:rsid w:val="00906254"/>
    <w:rsid w:val="00906259"/>
    <w:rsid w:val="00906268"/>
    <w:rsid w:val="0090633A"/>
    <w:rsid w:val="00906352"/>
    <w:rsid w:val="00906379"/>
    <w:rsid w:val="009063F8"/>
    <w:rsid w:val="00906411"/>
    <w:rsid w:val="00906485"/>
    <w:rsid w:val="009064DE"/>
    <w:rsid w:val="009064E4"/>
    <w:rsid w:val="0090659A"/>
    <w:rsid w:val="009065A9"/>
    <w:rsid w:val="009066BD"/>
    <w:rsid w:val="0090672C"/>
    <w:rsid w:val="0090674D"/>
    <w:rsid w:val="009067D9"/>
    <w:rsid w:val="0090684B"/>
    <w:rsid w:val="009068A6"/>
    <w:rsid w:val="009068A7"/>
    <w:rsid w:val="009068AB"/>
    <w:rsid w:val="00906904"/>
    <w:rsid w:val="00906938"/>
    <w:rsid w:val="00906A4D"/>
    <w:rsid w:val="00906A75"/>
    <w:rsid w:val="00906A76"/>
    <w:rsid w:val="00906A7A"/>
    <w:rsid w:val="00906A83"/>
    <w:rsid w:val="00906A97"/>
    <w:rsid w:val="00906AFC"/>
    <w:rsid w:val="00906B04"/>
    <w:rsid w:val="00906B30"/>
    <w:rsid w:val="00906B92"/>
    <w:rsid w:val="00906C6F"/>
    <w:rsid w:val="00906CD3"/>
    <w:rsid w:val="00906D7B"/>
    <w:rsid w:val="00906DA3"/>
    <w:rsid w:val="00906DD6"/>
    <w:rsid w:val="00906E03"/>
    <w:rsid w:val="00906EE5"/>
    <w:rsid w:val="00906F70"/>
    <w:rsid w:val="0090711E"/>
    <w:rsid w:val="00907157"/>
    <w:rsid w:val="009071E5"/>
    <w:rsid w:val="009071ED"/>
    <w:rsid w:val="00907214"/>
    <w:rsid w:val="00907244"/>
    <w:rsid w:val="0090734F"/>
    <w:rsid w:val="0090737C"/>
    <w:rsid w:val="009074A7"/>
    <w:rsid w:val="0090754E"/>
    <w:rsid w:val="00907554"/>
    <w:rsid w:val="00907579"/>
    <w:rsid w:val="00907618"/>
    <w:rsid w:val="0090767D"/>
    <w:rsid w:val="0090773E"/>
    <w:rsid w:val="009077BC"/>
    <w:rsid w:val="0090786F"/>
    <w:rsid w:val="0090787A"/>
    <w:rsid w:val="009078FF"/>
    <w:rsid w:val="0090794C"/>
    <w:rsid w:val="009079F6"/>
    <w:rsid w:val="00907A75"/>
    <w:rsid w:val="00907A9D"/>
    <w:rsid w:val="00907AA3"/>
    <w:rsid w:val="00907B2F"/>
    <w:rsid w:val="00907B5B"/>
    <w:rsid w:val="00907B63"/>
    <w:rsid w:val="00907B6C"/>
    <w:rsid w:val="00907BE0"/>
    <w:rsid w:val="00907C0A"/>
    <w:rsid w:val="00907C28"/>
    <w:rsid w:val="00907C3E"/>
    <w:rsid w:val="00907C4F"/>
    <w:rsid w:val="00907C51"/>
    <w:rsid w:val="00907E84"/>
    <w:rsid w:val="00907EED"/>
    <w:rsid w:val="00907F2E"/>
    <w:rsid w:val="00907F3A"/>
    <w:rsid w:val="00907F66"/>
    <w:rsid w:val="00907F71"/>
    <w:rsid w:val="00910004"/>
    <w:rsid w:val="0091001B"/>
    <w:rsid w:val="0091007A"/>
    <w:rsid w:val="00910136"/>
    <w:rsid w:val="00910163"/>
    <w:rsid w:val="0091021E"/>
    <w:rsid w:val="0091022A"/>
    <w:rsid w:val="00910285"/>
    <w:rsid w:val="009102F6"/>
    <w:rsid w:val="00910383"/>
    <w:rsid w:val="009103A2"/>
    <w:rsid w:val="009103A9"/>
    <w:rsid w:val="009103CB"/>
    <w:rsid w:val="009103ED"/>
    <w:rsid w:val="009104CD"/>
    <w:rsid w:val="00910552"/>
    <w:rsid w:val="009105CD"/>
    <w:rsid w:val="009106C0"/>
    <w:rsid w:val="009106C4"/>
    <w:rsid w:val="00910715"/>
    <w:rsid w:val="0091076B"/>
    <w:rsid w:val="009107E8"/>
    <w:rsid w:val="009107E9"/>
    <w:rsid w:val="009107FB"/>
    <w:rsid w:val="0091086F"/>
    <w:rsid w:val="009108F6"/>
    <w:rsid w:val="0091093A"/>
    <w:rsid w:val="00910999"/>
    <w:rsid w:val="009109D7"/>
    <w:rsid w:val="009109E9"/>
    <w:rsid w:val="00910A42"/>
    <w:rsid w:val="00910B0A"/>
    <w:rsid w:val="00910B21"/>
    <w:rsid w:val="00910B25"/>
    <w:rsid w:val="00910B7B"/>
    <w:rsid w:val="00910BDA"/>
    <w:rsid w:val="00910D83"/>
    <w:rsid w:val="00910E42"/>
    <w:rsid w:val="00910E4A"/>
    <w:rsid w:val="00910E99"/>
    <w:rsid w:val="00910ECF"/>
    <w:rsid w:val="00910FA3"/>
    <w:rsid w:val="00910FA6"/>
    <w:rsid w:val="0091100A"/>
    <w:rsid w:val="009111F4"/>
    <w:rsid w:val="00911235"/>
    <w:rsid w:val="009112D8"/>
    <w:rsid w:val="009112E5"/>
    <w:rsid w:val="00911451"/>
    <w:rsid w:val="009114BC"/>
    <w:rsid w:val="0091150A"/>
    <w:rsid w:val="009115EC"/>
    <w:rsid w:val="00911602"/>
    <w:rsid w:val="00911672"/>
    <w:rsid w:val="00911688"/>
    <w:rsid w:val="009116A1"/>
    <w:rsid w:val="009116AE"/>
    <w:rsid w:val="009116EE"/>
    <w:rsid w:val="009117B4"/>
    <w:rsid w:val="009117C8"/>
    <w:rsid w:val="009117D1"/>
    <w:rsid w:val="009117F9"/>
    <w:rsid w:val="009118EC"/>
    <w:rsid w:val="00911916"/>
    <w:rsid w:val="0091194D"/>
    <w:rsid w:val="0091196D"/>
    <w:rsid w:val="009119A3"/>
    <w:rsid w:val="00911A35"/>
    <w:rsid w:val="00911A6D"/>
    <w:rsid w:val="00911B9D"/>
    <w:rsid w:val="00911BB3"/>
    <w:rsid w:val="00911C19"/>
    <w:rsid w:val="00911C1D"/>
    <w:rsid w:val="00911C34"/>
    <w:rsid w:val="00911C59"/>
    <w:rsid w:val="00911C7B"/>
    <w:rsid w:val="00911E86"/>
    <w:rsid w:val="00911EE1"/>
    <w:rsid w:val="00911EF9"/>
    <w:rsid w:val="00911F7D"/>
    <w:rsid w:val="00912049"/>
    <w:rsid w:val="00912055"/>
    <w:rsid w:val="00912146"/>
    <w:rsid w:val="0091215C"/>
    <w:rsid w:val="009121F4"/>
    <w:rsid w:val="0091225F"/>
    <w:rsid w:val="0091228D"/>
    <w:rsid w:val="00912295"/>
    <w:rsid w:val="0091232C"/>
    <w:rsid w:val="00912344"/>
    <w:rsid w:val="00912369"/>
    <w:rsid w:val="00912370"/>
    <w:rsid w:val="00912378"/>
    <w:rsid w:val="009123F0"/>
    <w:rsid w:val="009124C0"/>
    <w:rsid w:val="009124D7"/>
    <w:rsid w:val="0091250F"/>
    <w:rsid w:val="0091254E"/>
    <w:rsid w:val="0091257A"/>
    <w:rsid w:val="009125B6"/>
    <w:rsid w:val="0091260B"/>
    <w:rsid w:val="0091261B"/>
    <w:rsid w:val="0091263F"/>
    <w:rsid w:val="00912653"/>
    <w:rsid w:val="009126E2"/>
    <w:rsid w:val="0091276A"/>
    <w:rsid w:val="009127AB"/>
    <w:rsid w:val="009128D3"/>
    <w:rsid w:val="0091290B"/>
    <w:rsid w:val="00912943"/>
    <w:rsid w:val="00912A4C"/>
    <w:rsid w:val="00912ADD"/>
    <w:rsid w:val="00912B66"/>
    <w:rsid w:val="00912B82"/>
    <w:rsid w:val="00912BD4"/>
    <w:rsid w:val="00912C3F"/>
    <w:rsid w:val="00912C63"/>
    <w:rsid w:val="00912C6F"/>
    <w:rsid w:val="00912CAA"/>
    <w:rsid w:val="00912CEB"/>
    <w:rsid w:val="00912D0F"/>
    <w:rsid w:val="00912D10"/>
    <w:rsid w:val="00912D30"/>
    <w:rsid w:val="00912D31"/>
    <w:rsid w:val="00912E51"/>
    <w:rsid w:val="00912E5A"/>
    <w:rsid w:val="00912E8C"/>
    <w:rsid w:val="00912F41"/>
    <w:rsid w:val="00912F54"/>
    <w:rsid w:val="0091305C"/>
    <w:rsid w:val="009130BA"/>
    <w:rsid w:val="0091316A"/>
    <w:rsid w:val="009131E7"/>
    <w:rsid w:val="0091328D"/>
    <w:rsid w:val="009132B0"/>
    <w:rsid w:val="00913320"/>
    <w:rsid w:val="0091333B"/>
    <w:rsid w:val="009133FD"/>
    <w:rsid w:val="0091347C"/>
    <w:rsid w:val="009134A2"/>
    <w:rsid w:val="009134C7"/>
    <w:rsid w:val="009134D3"/>
    <w:rsid w:val="00913514"/>
    <w:rsid w:val="0091351C"/>
    <w:rsid w:val="0091358F"/>
    <w:rsid w:val="0091362D"/>
    <w:rsid w:val="009136ED"/>
    <w:rsid w:val="009136FF"/>
    <w:rsid w:val="00913757"/>
    <w:rsid w:val="009137A5"/>
    <w:rsid w:val="009138B0"/>
    <w:rsid w:val="009138DC"/>
    <w:rsid w:val="0091391B"/>
    <w:rsid w:val="00913978"/>
    <w:rsid w:val="00913A1D"/>
    <w:rsid w:val="00913A44"/>
    <w:rsid w:val="00913A91"/>
    <w:rsid w:val="00913B23"/>
    <w:rsid w:val="00913B81"/>
    <w:rsid w:val="00913B8F"/>
    <w:rsid w:val="00913C97"/>
    <w:rsid w:val="00913CF0"/>
    <w:rsid w:val="00913D14"/>
    <w:rsid w:val="00913D20"/>
    <w:rsid w:val="00913D2F"/>
    <w:rsid w:val="00913D47"/>
    <w:rsid w:val="00913E09"/>
    <w:rsid w:val="00913E0F"/>
    <w:rsid w:val="00913E23"/>
    <w:rsid w:val="00913E5E"/>
    <w:rsid w:val="00913EB4"/>
    <w:rsid w:val="00913ECF"/>
    <w:rsid w:val="00913F22"/>
    <w:rsid w:val="00913F27"/>
    <w:rsid w:val="00913F32"/>
    <w:rsid w:val="00913F8A"/>
    <w:rsid w:val="0091403E"/>
    <w:rsid w:val="00914070"/>
    <w:rsid w:val="009141E4"/>
    <w:rsid w:val="009142BB"/>
    <w:rsid w:val="0091436A"/>
    <w:rsid w:val="009143BE"/>
    <w:rsid w:val="0091446A"/>
    <w:rsid w:val="009144F3"/>
    <w:rsid w:val="009145F7"/>
    <w:rsid w:val="00914600"/>
    <w:rsid w:val="0091463F"/>
    <w:rsid w:val="009146D5"/>
    <w:rsid w:val="00914701"/>
    <w:rsid w:val="0091470B"/>
    <w:rsid w:val="0091489B"/>
    <w:rsid w:val="00914989"/>
    <w:rsid w:val="0091499E"/>
    <w:rsid w:val="009149EF"/>
    <w:rsid w:val="00914A16"/>
    <w:rsid w:val="00914AA2"/>
    <w:rsid w:val="00914ABB"/>
    <w:rsid w:val="00914AF1"/>
    <w:rsid w:val="00914B12"/>
    <w:rsid w:val="00914B39"/>
    <w:rsid w:val="00914B93"/>
    <w:rsid w:val="00914B9E"/>
    <w:rsid w:val="00914BC7"/>
    <w:rsid w:val="00914BE5"/>
    <w:rsid w:val="00914CED"/>
    <w:rsid w:val="00914E13"/>
    <w:rsid w:val="00914E1B"/>
    <w:rsid w:val="00914E70"/>
    <w:rsid w:val="00914EE5"/>
    <w:rsid w:val="00914EF5"/>
    <w:rsid w:val="00914F0E"/>
    <w:rsid w:val="00914F6A"/>
    <w:rsid w:val="00914F73"/>
    <w:rsid w:val="00914F86"/>
    <w:rsid w:val="0091509B"/>
    <w:rsid w:val="009150F5"/>
    <w:rsid w:val="0091512B"/>
    <w:rsid w:val="009151E9"/>
    <w:rsid w:val="00915247"/>
    <w:rsid w:val="00915301"/>
    <w:rsid w:val="009153A8"/>
    <w:rsid w:val="009153BB"/>
    <w:rsid w:val="009153CB"/>
    <w:rsid w:val="009153CC"/>
    <w:rsid w:val="00915431"/>
    <w:rsid w:val="00915453"/>
    <w:rsid w:val="0091552A"/>
    <w:rsid w:val="0091556B"/>
    <w:rsid w:val="00915624"/>
    <w:rsid w:val="0091564E"/>
    <w:rsid w:val="00915680"/>
    <w:rsid w:val="00915695"/>
    <w:rsid w:val="009156EA"/>
    <w:rsid w:val="009156FD"/>
    <w:rsid w:val="0091573C"/>
    <w:rsid w:val="00915762"/>
    <w:rsid w:val="0091577E"/>
    <w:rsid w:val="0091579E"/>
    <w:rsid w:val="009157C9"/>
    <w:rsid w:val="00915815"/>
    <w:rsid w:val="009158B7"/>
    <w:rsid w:val="009158E0"/>
    <w:rsid w:val="00915975"/>
    <w:rsid w:val="009159CE"/>
    <w:rsid w:val="009159D7"/>
    <w:rsid w:val="00915A95"/>
    <w:rsid w:val="00915ABB"/>
    <w:rsid w:val="00915AFA"/>
    <w:rsid w:val="00915B0F"/>
    <w:rsid w:val="00915B21"/>
    <w:rsid w:val="00915B8D"/>
    <w:rsid w:val="00915C27"/>
    <w:rsid w:val="00915C41"/>
    <w:rsid w:val="00915C91"/>
    <w:rsid w:val="00915D55"/>
    <w:rsid w:val="00915DEE"/>
    <w:rsid w:val="00915E16"/>
    <w:rsid w:val="00915EBB"/>
    <w:rsid w:val="00915F09"/>
    <w:rsid w:val="00916071"/>
    <w:rsid w:val="009160A2"/>
    <w:rsid w:val="009160F3"/>
    <w:rsid w:val="00916141"/>
    <w:rsid w:val="00916160"/>
    <w:rsid w:val="009161E2"/>
    <w:rsid w:val="00916208"/>
    <w:rsid w:val="00916231"/>
    <w:rsid w:val="00916257"/>
    <w:rsid w:val="00916350"/>
    <w:rsid w:val="009163F4"/>
    <w:rsid w:val="009163FA"/>
    <w:rsid w:val="0091644C"/>
    <w:rsid w:val="00916485"/>
    <w:rsid w:val="009164E8"/>
    <w:rsid w:val="0091654A"/>
    <w:rsid w:val="0091657D"/>
    <w:rsid w:val="009165B7"/>
    <w:rsid w:val="009165E1"/>
    <w:rsid w:val="00916628"/>
    <w:rsid w:val="00916642"/>
    <w:rsid w:val="009166D6"/>
    <w:rsid w:val="0091674B"/>
    <w:rsid w:val="00916759"/>
    <w:rsid w:val="00916959"/>
    <w:rsid w:val="00916966"/>
    <w:rsid w:val="009169A1"/>
    <w:rsid w:val="00916AA2"/>
    <w:rsid w:val="00916B51"/>
    <w:rsid w:val="00916BBC"/>
    <w:rsid w:val="00916C7A"/>
    <w:rsid w:val="00916C92"/>
    <w:rsid w:val="00916CF9"/>
    <w:rsid w:val="00916D1E"/>
    <w:rsid w:val="00916D68"/>
    <w:rsid w:val="00916E7F"/>
    <w:rsid w:val="00916F44"/>
    <w:rsid w:val="00916FA3"/>
    <w:rsid w:val="00916FA8"/>
    <w:rsid w:val="0091703B"/>
    <w:rsid w:val="00917058"/>
    <w:rsid w:val="00917069"/>
    <w:rsid w:val="009170DB"/>
    <w:rsid w:val="0091712A"/>
    <w:rsid w:val="00917157"/>
    <w:rsid w:val="0091715C"/>
    <w:rsid w:val="009171E2"/>
    <w:rsid w:val="0091726C"/>
    <w:rsid w:val="00917274"/>
    <w:rsid w:val="009172EA"/>
    <w:rsid w:val="009172F5"/>
    <w:rsid w:val="00917310"/>
    <w:rsid w:val="0091733F"/>
    <w:rsid w:val="0091734F"/>
    <w:rsid w:val="0091737E"/>
    <w:rsid w:val="0091745A"/>
    <w:rsid w:val="009175CD"/>
    <w:rsid w:val="00917692"/>
    <w:rsid w:val="0091773D"/>
    <w:rsid w:val="00917745"/>
    <w:rsid w:val="0091781F"/>
    <w:rsid w:val="0091788A"/>
    <w:rsid w:val="009178C5"/>
    <w:rsid w:val="009178E9"/>
    <w:rsid w:val="009178F9"/>
    <w:rsid w:val="00917968"/>
    <w:rsid w:val="009179F9"/>
    <w:rsid w:val="00917A1E"/>
    <w:rsid w:val="00917A6A"/>
    <w:rsid w:val="00917A7A"/>
    <w:rsid w:val="00917AE4"/>
    <w:rsid w:val="00917B0D"/>
    <w:rsid w:val="00917B3D"/>
    <w:rsid w:val="00917B68"/>
    <w:rsid w:val="00917BB0"/>
    <w:rsid w:val="00917BE9"/>
    <w:rsid w:val="00917BF6"/>
    <w:rsid w:val="00917C67"/>
    <w:rsid w:val="00917C90"/>
    <w:rsid w:val="00917C9E"/>
    <w:rsid w:val="00917CB5"/>
    <w:rsid w:val="00917CB8"/>
    <w:rsid w:val="00917D79"/>
    <w:rsid w:val="00917D7F"/>
    <w:rsid w:val="00917E9E"/>
    <w:rsid w:val="00917F64"/>
    <w:rsid w:val="00917F72"/>
    <w:rsid w:val="00917F89"/>
    <w:rsid w:val="00917FED"/>
    <w:rsid w:val="00920005"/>
    <w:rsid w:val="0092007B"/>
    <w:rsid w:val="00920109"/>
    <w:rsid w:val="00920141"/>
    <w:rsid w:val="0092017B"/>
    <w:rsid w:val="00920193"/>
    <w:rsid w:val="009201CC"/>
    <w:rsid w:val="009201DD"/>
    <w:rsid w:val="0092020F"/>
    <w:rsid w:val="00920257"/>
    <w:rsid w:val="00920295"/>
    <w:rsid w:val="00920326"/>
    <w:rsid w:val="0092036E"/>
    <w:rsid w:val="0092039A"/>
    <w:rsid w:val="009203B8"/>
    <w:rsid w:val="00920516"/>
    <w:rsid w:val="00920526"/>
    <w:rsid w:val="00920561"/>
    <w:rsid w:val="00920564"/>
    <w:rsid w:val="009205F9"/>
    <w:rsid w:val="009206AA"/>
    <w:rsid w:val="009206E6"/>
    <w:rsid w:val="00920746"/>
    <w:rsid w:val="009207C3"/>
    <w:rsid w:val="009207D5"/>
    <w:rsid w:val="009207E2"/>
    <w:rsid w:val="009207FC"/>
    <w:rsid w:val="00920810"/>
    <w:rsid w:val="0092085C"/>
    <w:rsid w:val="00920921"/>
    <w:rsid w:val="009209BC"/>
    <w:rsid w:val="00920A24"/>
    <w:rsid w:val="00920A44"/>
    <w:rsid w:val="00920AB5"/>
    <w:rsid w:val="00920B74"/>
    <w:rsid w:val="00920B79"/>
    <w:rsid w:val="00920C0C"/>
    <w:rsid w:val="00920C87"/>
    <w:rsid w:val="00920D44"/>
    <w:rsid w:val="00920DB7"/>
    <w:rsid w:val="00920DE9"/>
    <w:rsid w:val="00920E8F"/>
    <w:rsid w:val="00920EF5"/>
    <w:rsid w:val="00920F7D"/>
    <w:rsid w:val="0092101F"/>
    <w:rsid w:val="00921024"/>
    <w:rsid w:val="009210C1"/>
    <w:rsid w:val="00921116"/>
    <w:rsid w:val="00921196"/>
    <w:rsid w:val="0092123D"/>
    <w:rsid w:val="0092125D"/>
    <w:rsid w:val="009212C0"/>
    <w:rsid w:val="009212DB"/>
    <w:rsid w:val="00921334"/>
    <w:rsid w:val="00921344"/>
    <w:rsid w:val="00921405"/>
    <w:rsid w:val="00921494"/>
    <w:rsid w:val="009214BE"/>
    <w:rsid w:val="00921528"/>
    <w:rsid w:val="00921555"/>
    <w:rsid w:val="0092158B"/>
    <w:rsid w:val="009215A6"/>
    <w:rsid w:val="009215BA"/>
    <w:rsid w:val="0092168D"/>
    <w:rsid w:val="0092171F"/>
    <w:rsid w:val="00921772"/>
    <w:rsid w:val="00921799"/>
    <w:rsid w:val="009217C5"/>
    <w:rsid w:val="009217E2"/>
    <w:rsid w:val="0092182A"/>
    <w:rsid w:val="00921860"/>
    <w:rsid w:val="00921864"/>
    <w:rsid w:val="00921869"/>
    <w:rsid w:val="009219FE"/>
    <w:rsid w:val="00921A09"/>
    <w:rsid w:val="00921A20"/>
    <w:rsid w:val="00921A53"/>
    <w:rsid w:val="00921AAA"/>
    <w:rsid w:val="00921B4C"/>
    <w:rsid w:val="00921B59"/>
    <w:rsid w:val="00921B62"/>
    <w:rsid w:val="00921B81"/>
    <w:rsid w:val="00921C3A"/>
    <w:rsid w:val="00921C61"/>
    <w:rsid w:val="00921CF7"/>
    <w:rsid w:val="00921D20"/>
    <w:rsid w:val="00921D9C"/>
    <w:rsid w:val="00921DA3"/>
    <w:rsid w:val="00921DFD"/>
    <w:rsid w:val="00921E19"/>
    <w:rsid w:val="00921E59"/>
    <w:rsid w:val="00921ECA"/>
    <w:rsid w:val="00921EDF"/>
    <w:rsid w:val="00921EED"/>
    <w:rsid w:val="00921F7B"/>
    <w:rsid w:val="0092200B"/>
    <w:rsid w:val="00922090"/>
    <w:rsid w:val="009220B0"/>
    <w:rsid w:val="009220B2"/>
    <w:rsid w:val="0092212B"/>
    <w:rsid w:val="00922133"/>
    <w:rsid w:val="00922141"/>
    <w:rsid w:val="0092215F"/>
    <w:rsid w:val="00922170"/>
    <w:rsid w:val="009221D1"/>
    <w:rsid w:val="009221FB"/>
    <w:rsid w:val="00922275"/>
    <w:rsid w:val="009222C2"/>
    <w:rsid w:val="00922308"/>
    <w:rsid w:val="00922389"/>
    <w:rsid w:val="009223AB"/>
    <w:rsid w:val="009223C3"/>
    <w:rsid w:val="009223FB"/>
    <w:rsid w:val="00922578"/>
    <w:rsid w:val="00922610"/>
    <w:rsid w:val="009226A5"/>
    <w:rsid w:val="009226FD"/>
    <w:rsid w:val="0092273C"/>
    <w:rsid w:val="0092274C"/>
    <w:rsid w:val="0092274E"/>
    <w:rsid w:val="00922750"/>
    <w:rsid w:val="009227B6"/>
    <w:rsid w:val="009227DA"/>
    <w:rsid w:val="009227E2"/>
    <w:rsid w:val="00922827"/>
    <w:rsid w:val="009228B6"/>
    <w:rsid w:val="0092292D"/>
    <w:rsid w:val="00922991"/>
    <w:rsid w:val="00922AE7"/>
    <w:rsid w:val="00922B12"/>
    <w:rsid w:val="00922C16"/>
    <w:rsid w:val="00922C3E"/>
    <w:rsid w:val="00922C86"/>
    <w:rsid w:val="00922D77"/>
    <w:rsid w:val="00922DB4"/>
    <w:rsid w:val="00922E99"/>
    <w:rsid w:val="00922F6C"/>
    <w:rsid w:val="00922F72"/>
    <w:rsid w:val="00923035"/>
    <w:rsid w:val="00923049"/>
    <w:rsid w:val="0092304E"/>
    <w:rsid w:val="0092309D"/>
    <w:rsid w:val="009230BE"/>
    <w:rsid w:val="0092312D"/>
    <w:rsid w:val="00923164"/>
    <w:rsid w:val="00923172"/>
    <w:rsid w:val="0092319E"/>
    <w:rsid w:val="009231E0"/>
    <w:rsid w:val="0092331A"/>
    <w:rsid w:val="0092338B"/>
    <w:rsid w:val="009233C4"/>
    <w:rsid w:val="0092340E"/>
    <w:rsid w:val="009234DB"/>
    <w:rsid w:val="009234EF"/>
    <w:rsid w:val="0092352C"/>
    <w:rsid w:val="009235BB"/>
    <w:rsid w:val="009235F5"/>
    <w:rsid w:val="00923627"/>
    <w:rsid w:val="00923631"/>
    <w:rsid w:val="00923664"/>
    <w:rsid w:val="0092368D"/>
    <w:rsid w:val="009236E2"/>
    <w:rsid w:val="009236E9"/>
    <w:rsid w:val="0092372A"/>
    <w:rsid w:val="00923748"/>
    <w:rsid w:val="00923750"/>
    <w:rsid w:val="0092377C"/>
    <w:rsid w:val="00923795"/>
    <w:rsid w:val="009237D0"/>
    <w:rsid w:val="0092383C"/>
    <w:rsid w:val="0092385A"/>
    <w:rsid w:val="009238C5"/>
    <w:rsid w:val="00923912"/>
    <w:rsid w:val="0092398E"/>
    <w:rsid w:val="009239D0"/>
    <w:rsid w:val="00923A0E"/>
    <w:rsid w:val="00923A3A"/>
    <w:rsid w:val="00923A54"/>
    <w:rsid w:val="00923A8C"/>
    <w:rsid w:val="00923AF0"/>
    <w:rsid w:val="00923B68"/>
    <w:rsid w:val="00923BCF"/>
    <w:rsid w:val="00923BE8"/>
    <w:rsid w:val="00923C4B"/>
    <w:rsid w:val="00923C75"/>
    <w:rsid w:val="00923CD8"/>
    <w:rsid w:val="00923CF0"/>
    <w:rsid w:val="00923D36"/>
    <w:rsid w:val="00923D8E"/>
    <w:rsid w:val="00923DC5"/>
    <w:rsid w:val="00923E06"/>
    <w:rsid w:val="00923EB3"/>
    <w:rsid w:val="00923FC9"/>
    <w:rsid w:val="00923FED"/>
    <w:rsid w:val="00924002"/>
    <w:rsid w:val="00924015"/>
    <w:rsid w:val="0092405D"/>
    <w:rsid w:val="009240E5"/>
    <w:rsid w:val="00924117"/>
    <w:rsid w:val="009241A4"/>
    <w:rsid w:val="009241B7"/>
    <w:rsid w:val="00924277"/>
    <w:rsid w:val="009242A4"/>
    <w:rsid w:val="009242DE"/>
    <w:rsid w:val="0092431C"/>
    <w:rsid w:val="00924359"/>
    <w:rsid w:val="00924369"/>
    <w:rsid w:val="00924385"/>
    <w:rsid w:val="009243AC"/>
    <w:rsid w:val="009243B3"/>
    <w:rsid w:val="00924418"/>
    <w:rsid w:val="00924431"/>
    <w:rsid w:val="0092446A"/>
    <w:rsid w:val="00924488"/>
    <w:rsid w:val="009244B8"/>
    <w:rsid w:val="009245F6"/>
    <w:rsid w:val="009246A2"/>
    <w:rsid w:val="009246C4"/>
    <w:rsid w:val="0092478F"/>
    <w:rsid w:val="009247A5"/>
    <w:rsid w:val="009247BA"/>
    <w:rsid w:val="00924819"/>
    <w:rsid w:val="009248EE"/>
    <w:rsid w:val="0092494F"/>
    <w:rsid w:val="009249FF"/>
    <w:rsid w:val="00924A26"/>
    <w:rsid w:val="00924A48"/>
    <w:rsid w:val="00924AB2"/>
    <w:rsid w:val="00924B2B"/>
    <w:rsid w:val="00924B60"/>
    <w:rsid w:val="00924C43"/>
    <w:rsid w:val="00924C6F"/>
    <w:rsid w:val="00924C75"/>
    <w:rsid w:val="00924D43"/>
    <w:rsid w:val="00924D8B"/>
    <w:rsid w:val="00924DE0"/>
    <w:rsid w:val="00924E1B"/>
    <w:rsid w:val="00924E85"/>
    <w:rsid w:val="00924ECB"/>
    <w:rsid w:val="00924F66"/>
    <w:rsid w:val="00924F68"/>
    <w:rsid w:val="00924FF5"/>
    <w:rsid w:val="009250A0"/>
    <w:rsid w:val="009251C1"/>
    <w:rsid w:val="009251F9"/>
    <w:rsid w:val="0092521D"/>
    <w:rsid w:val="0092523D"/>
    <w:rsid w:val="0092524E"/>
    <w:rsid w:val="00925287"/>
    <w:rsid w:val="009252F1"/>
    <w:rsid w:val="00925309"/>
    <w:rsid w:val="00925483"/>
    <w:rsid w:val="009254FA"/>
    <w:rsid w:val="00925507"/>
    <w:rsid w:val="00925525"/>
    <w:rsid w:val="00925589"/>
    <w:rsid w:val="00925628"/>
    <w:rsid w:val="00925636"/>
    <w:rsid w:val="0092566B"/>
    <w:rsid w:val="00925713"/>
    <w:rsid w:val="00925733"/>
    <w:rsid w:val="00925736"/>
    <w:rsid w:val="0092575B"/>
    <w:rsid w:val="009257EF"/>
    <w:rsid w:val="00925829"/>
    <w:rsid w:val="009258C7"/>
    <w:rsid w:val="0092591B"/>
    <w:rsid w:val="00925990"/>
    <w:rsid w:val="00925A23"/>
    <w:rsid w:val="00925A3B"/>
    <w:rsid w:val="00925A55"/>
    <w:rsid w:val="00925AFC"/>
    <w:rsid w:val="00925B1F"/>
    <w:rsid w:val="00925B3D"/>
    <w:rsid w:val="00925B9F"/>
    <w:rsid w:val="00925BA7"/>
    <w:rsid w:val="00925C53"/>
    <w:rsid w:val="00925C68"/>
    <w:rsid w:val="00925C84"/>
    <w:rsid w:val="00925CA5"/>
    <w:rsid w:val="00925CC4"/>
    <w:rsid w:val="00925CDD"/>
    <w:rsid w:val="00925D50"/>
    <w:rsid w:val="00925D52"/>
    <w:rsid w:val="00925D9C"/>
    <w:rsid w:val="00925E39"/>
    <w:rsid w:val="00926022"/>
    <w:rsid w:val="00926026"/>
    <w:rsid w:val="0092606F"/>
    <w:rsid w:val="009260C1"/>
    <w:rsid w:val="009260CB"/>
    <w:rsid w:val="00926139"/>
    <w:rsid w:val="00926148"/>
    <w:rsid w:val="00926169"/>
    <w:rsid w:val="00926348"/>
    <w:rsid w:val="009263B9"/>
    <w:rsid w:val="009263C1"/>
    <w:rsid w:val="0092642D"/>
    <w:rsid w:val="00926498"/>
    <w:rsid w:val="0092650C"/>
    <w:rsid w:val="00926545"/>
    <w:rsid w:val="0092662C"/>
    <w:rsid w:val="0092665A"/>
    <w:rsid w:val="00926685"/>
    <w:rsid w:val="0092676F"/>
    <w:rsid w:val="00926794"/>
    <w:rsid w:val="0092679D"/>
    <w:rsid w:val="00926838"/>
    <w:rsid w:val="0092686D"/>
    <w:rsid w:val="009269F5"/>
    <w:rsid w:val="00926A16"/>
    <w:rsid w:val="00926A37"/>
    <w:rsid w:val="00926A5D"/>
    <w:rsid w:val="00926AC4"/>
    <w:rsid w:val="00926B28"/>
    <w:rsid w:val="00926BA6"/>
    <w:rsid w:val="00926BC8"/>
    <w:rsid w:val="00926C3F"/>
    <w:rsid w:val="00926C4E"/>
    <w:rsid w:val="00926C95"/>
    <w:rsid w:val="00926CAE"/>
    <w:rsid w:val="00926CBC"/>
    <w:rsid w:val="00926CFA"/>
    <w:rsid w:val="00926D3C"/>
    <w:rsid w:val="00926DBC"/>
    <w:rsid w:val="00926E10"/>
    <w:rsid w:val="00926F1B"/>
    <w:rsid w:val="00926F2A"/>
    <w:rsid w:val="00926FB7"/>
    <w:rsid w:val="00926FF7"/>
    <w:rsid w:val="00927051"/>
    <w:rsid w:val="0092711C"/>
    <w:rsid w:val="009271E1"/>
    <w:rsid w:val="0092720D"/>
    <w:rsid w:val="009272A4"/>
    <w:rsid w:val="009272A8"/>
    <w:rsid w:val="0092739C"/>
    <w:rsid w:val="0092748F"/>
    <w:rsid w:val="009275B0"/>
    <w:rsid w:val="009277D9"/>
    <w:rsid w:val="0092782C"/>
    <w:rsid w:val="0092787D"/>
    <w:rsid w:val="009278A5"/>
    <w:rsid w:val="009278D6"/>
    <w:rsid w:val="009278EF"/>
    <w:rsid w:val="0092795C"/>
    <w:rsid w:val="009279BA"/>
    <w:rsid w:val="009279C3"/>
    <w:rsid w:val="009279E2"/>
    <w:rsid w:val="009279FA"/>
    <w:rsid w:val="00927A02"/>
    <w:rsid w:val="00927A37"/>
    <w:rsid w:val="00927B0F"/>
    <w:rsid w:val="00927B4D"/>
    <w:rsid w:val="00927B73"/>
    <w:rsid w:val="00927BF1"/>
    <w:rsid w:val="00927C04"/>
    <w:rsid w:val="00927C0C"/>
    <w:rsid w:val="00927C21"/>
    <w:rsid w:val="00927C92"/>
    <w:rsid w:val="00927C97"/>
    <w:rsid w:val="00927CA9"/>
    <w:rsid w:val="00927CAD"/>
    <w:rsid w:val="00927CE5"/>
    <w:rsid w:val="00927D44"/>
    <w:rsid w:val="00927D81"/>
    <w:rsid w:val="00927DA6"/>
    <w:rsid w:val="00927E73"/>
    <w:rsid w:val="00927E90"/>
    <w:rsid w:val="00927FB6"/>
    <w:rsid w:val="0092906B"/>
    <w:rsid w:val="00930012"/>
    <w:rsid w:val="00930013"/>
    <w:rsid w:val="0093009B"/>
    <w:rsid w:val="009300FB"/>
    <w:rsid w:val="00930151"/>
    <w:rsid w:val="00930191"/>
    <w:rsid w:val="009301A2"/>
    <w:rsid w:val="009301E1"/>
    <w:rsid w:val="00930263"/>
    <w:rsid w:val="00930291"/>
    <w:rsid w:val="0093032C"/>
    <w:rsid w:val="00930374"/>
    <w:rsid w:val="00930392"/>
    <w:rsid w:val="00930480"/>
    <w:rsid w:val="009304CB"/>
    <w:rsid w:val="0093053D"/>
    <w:rsid w:val="009306BD"/>
    <w:rsid w:val="009306C5"/>
    <w:rsid w:val="00930815"/>
    <w:rsid w:val="00930821"/>
    <w:rsid w:val="00930832"/>
    <w:rsid w:val="009308BE"/>
    <w:rsid w:val="009308F6"/>
    <w:rsid w:val="0093090C"/>
    <w:rsid w:val="00930913"/>
    <w:rsid w:val="00930955"/>
    <w:rsid w:val="0093098F"/>
    <w:rsid w:val="009309C4"/>
    <w:rsid w:val="009309C9"/>
    <w:rsid w:val="00930A27"/>
    <w:rsid w:val="00930A52"/>
    <w:rsid w:val="00930A5F"/>
    <w:rsid w:val="00930BD2"/>
    <w:rsid w:val="00930BEF"/>
    <w:rsid w:val="00930C7F"/>
    <w:rsid w:val="00930D08"/>
    <w:rsid w:val="00930D9F"/>
    <w:rsid w:val="00930E24"/>
    <w:rsid w:val="00930F1F"/>
    <w:rsid w:val="00930F7D"/>
    <w:rsid w:val="00931051"/>
    <w:rsid w:val="009311B0"/>
    <w:rsid w:val="0093120E"/>
    <w:rsid w:val="0093122D"/>
    <w:rsid w:val="0093125E"/>
    <w:rsid w:val="0093126C"/>
    <w:rsid w:val="009313B1"/>
    <w:rsid w:val="0093141A"/>
    <w:rsid w:val="00931429"/>
    <w:rsid w:val="0093152D"/>
    <w:rsid w:val="0093158C"/>
    <w:rsid w:val="009315C7"/>
    <w:rsid w:val="00931629"/>
    <w:rsid w:val="00931718"/>
    <w:rsid w:val="0093172A"/>
    <w:rsid w:val="00931766"/>
    <w:rsid w:val="00931777"/>
    <w:rsid w:val="009317B9"/>
    <w:rsid w:val="009317FF"/>
    <w:rsid w:val="0093181F"/>
    <w:rsid w:val="00931879"/>
    <w:rsid w:val="0093187F"/>
    <w:rsid w:val="009318D1"/>
    <w:rsid w:val="00931906"/>
    <w:rsid w:val="0093191A"/>
    <w:rsid w:val="00931936"/>
    <w:rsid w:val="00931942"/>
    <w:rsid w:val="00931992"/>
    <w:rsid w:val="009319B0"/>
    <w:rsid w:val="009319C7"/>
    <w:rsid w:val="00931A09"/>
    <w:rsid w:val="00931A23"/>
    <w:rsid w:val="00931A72"/>
    <w:rsid w:val="00931AC0"/>
    <w:rsid w:val="00931B21"/>
    <w:rsid w:val="00931BE8"/>
    <w:rsid w:val="00931C71"/>
    <w:rsid w:val="00931C91"/>
    <w:rsid w:val="00931D0A"/>
    <w:rsid w:val="00931D53"/>
    <w:rsid w:val="00931D6C"/>
    <w:rsid w:val="00931D74"/>
    <w:rsid w:val="00931DD1"/>
    <w:rsid w:val="00931E7E"/>
    <w:rsid w:val="00931F2E"/>
    <w:rsid w:val="00931FDF"/>
    <w:rsid w:val="0093205E"/>
    <w:rsid w:val="009320F8"/>
    <w:rsid w:val="009321B5"/>
    <w:rsid w:val="00932241"/>
    <w:rsid w:val="00932317"/>
    <w:rsid w:val="00932324"/>
    <w:rsid w:val="00932376"/>
    <w:rsid w:val="009323B9"/>
    <w:rsid w:val="0093241C"/>
    <w:rsid w:val="0093241F"/>
    <w:rsid w:val="00932523"/>
    <w:rsid w:val="009325AF"/>
    <w:rsid w:val="00932604"/>
    <w:rsid w:val="0093262E"/>
    <w:rsid w:val="009326B1"/>
    <w:rsid w:val="009326ED"/>
    <w:rsid w:val="009326EF"/>
    <w:rsid w:val="009327B3"/>
    <w:rsid w:val="009328C3"/>
    <w:rsid w:val="0093292B"/>
    <w:rsid w:val="00932971"/>
    <w:rsid w:val="009329DF"/>
    <w:rsid w:val="00932A35"/>
    <w:rsid w:val="00932A69"/>
    <w:rsid w:val="00932A82"/>
    <w:rsid w:val="00932B1E"/>
    <w:rsid w:val="00932C16"/>
    <w:rsid w:val="00932C75"/>
    <w:rsid w:val="00932CDC"/>
    <w:rsid w:val="00932D3A"/>
    <w:rsid w:val="00932D42"/>
    <w:rsid w:val="00932D93"/>
    <w:rsid w:val="00932E11"/>
    <w:rsid w:val="00932E2E"/>
    <w:rsid w:val="00932E70"/>
    <w:rsid w:val="00932EEA"/>
    <w:rsid w:val="00932F52"/>
    <w:rsid w:val="00932F59"/>
    <w:rsid w:val="00933027"/>
    <w:rsid w:val="0093304A"/>
    <w:rsid w:val="0093305C"/>
    <w:rsid w:val="0093308B"/>
    <w:rsid w:val="009330BE"/>
    <w:rsid w:val="009330CE"/>
    <w:rsid w:val="0093319C"/>
    <w:rsid w:val="009331D9"/>
    <w:rsid w:val="00933239"/>
    <w:rsid w:val="00933246"/>
    <w:rsid w:val="009332B0"/>
    <w:rsid w:val="009332C1"/>
    <w:rsid w:val="009332C7"/>
    <w:rsid w:val="009332E3"/>
    <w:rsid w:val="00933356"/>
    <w:rsid w:val="009333D9"/>
    <w:rsid w:val="00933416"/>
    <w:rsid w:val="00933429"/>
    <w:rsid w:val="0093344E"/>
    <w:rsid w:val="0093347B"/>
    <w:rsid w:val="009334B3"/>
    <w:rsid w:val="009334D3"/>
    <w:rsid w:val="0093358B"/>
    <w:rsid w:val="009335A8"/>
    <w:rsid w:val="009335DA"/>
    <w:rsid w:val="00933612"/>
    <w:rsid w:val="00933624"/>
    <w:rsid w:val="00933630"/>
    <w:rsid w:val="00933676"/>
    <w:rsid w:val="009336F7"/>
    <w:rsid w:val="00933739"/>
    <w:rsid w:val="0093373A"/>
    <w:rsid w:val="00933776"/>
    <w:rsid w:val="009337B3"/>
    <w:rsid w:val="009337E0"/>
    <w:rsid w:val="0093386C"/>
    <w:rsid w:val="00933A03"/>
    <w:rsid w:val="00933A20"/>
    <w:rsid w:val="00933A41"/>
    <w:rsid w:val="00933AA8"/>
    <w:rsid w:val="00933CDE"/>
    <w:rsid w:val="00933D70"/>
    <w:rsid w:val="00933DD6"/>
    <w:rsid w:val="00933E43"/>
    <w:rsid w:val="00933EDB"/>
    <w:rsid w:val="00933F26"/>
    <w:rsid w:val="00933F41"/>
    <w:rsid w:val="00933F5B"/>
    <w:rsid w:val="00933F83"/>
    <w:rsid w:val="00933FF1"/>
    <w:rsid w:val="0093404C"/>
    <w:rsid w:val="00934093"/>
    <w:rsid w:val="009340B3"/>
    <w:rsid w:val="009340C8"/>
    <w:rsid w:val="00934103"/>
    <w:rsid w:val="00934119"/>
    <w:rsid w:val="0093412C"/>
    <w:rsid w:val="009341A9"/>
    <w:rsid w:val="009341FB"/>
    <w:rsid w:val="00934250"/>
    <w:rsid w:val="00934253"/>
    <w:rsid w:val="0093425A"/>
    <w:rsid w:val="00934277"/>
    <w:rsid w:val="00934295"/>
    <w:rsid w:val="00934296"/>
    <w:rsid w:val="009342A8"/>
    <w:rsid w:val="009342EE"/>
    <w:rsid w:val="0093433A"/>
    <w:rsid w:val="009343A6"/>
    <w:rsid w:val="009343FA"/>
    <w:rsid w:val="00934445"/>
    <w:rsid w:val="00934472"/>
    <w:rsid w:val="00934491"/>
    <w:rsid w:val="00934492"/>
    <w:rsid w:val="009344AE"/>
    <w:rsid w:val="009344EB"/>
    <w:rsid w:val="0093458C"/>
    <w:rsid w:val="0093469F"/>
    <w:rsid w:val="009346E2"/>
    <w:rsid w:val="009347AD"/>
    <w:rsid w:val="009347F8"/>
    <w:rsid w:val="00934846"/>
    <w:rsid w:val="00934867"/>
    <w:rsid w:val="0093486D"/>
    <w:rsid w:val="00934884"/>
    <w:rsid w:val="00934886"/>
    <w:rsid w:val="009348D1"/>
    <w:rsid w:val="009348E9"/>
    <w:rsid w:val="0093491A"/>
    <w:rsid w:val="00934A82"/>
    <w:rsid w:val="00934B3A"/>
    <w:rsid w:val="00934B8D"/>
    <w:rsid w:val="00934CC3"/>
    <w:rsid w:val="00934D25"/>
    <w:rsid w:val="00934D84"/>
    <w:rsid w:val="00934DCC"/>
    <w:rsid w:val="00934E6C"/>
    <w:rsid w:val="00934EA1"/>
    <w:rsid w:val="00934F6C"/>
    <w:rsid w:val="00934F6F"/>
    <w:rsid w:val="0093501F"/>
    <w:rsid w:val="009350A5"/>
    <w:rsid w:val="009350C6"/>
    <w:rsid w:val="009350C7"/>
    <w:rsid w:val="009350D2"/>
    <w:rsid w:val="009351C5"/>
    <w:rsid w:val="00935216"/>
    <w:rsid w:val="009352D2"/>
    <w:rsid w:val="0093538F"/>
    <w:rsid w:val="00935420"/>
    <w:rsid w:val="00935429"/>
    <w:rsid w:val="009354BD"/>
    <w:rsid w:val="009354EE"/>
    <w:rsid w:val="009354F7"/>
    <w:rsid w:val="00935572"/>
    <w:rsid w:val="009355C9"/>
    <w:rsid w:val="00935779"/>
    <w:rsid w:val="00935811"/>
    <w:rsid w:val="00935820"/>
    <w:rsid w:val="009358D7"/>
    <w:rsid w:val="00935968"/>
    <w:rsid w:val="00935A11"/>
    <w:rsid w:val="00935AD7"/>
    <w:rsid w:val="00935AEC"/>
    <w:rsid w:val="00935B7C"/>
    <w:rsid w:val="00935C59"/>
    <w:rsid w:val="00935C94"/>
    <w:rsid w:val="00935D3E"/>
    <w:rsid w:val="00935DBD"/>
    <w:rsid w:val="00935E1E"/>
    <w:rsid w:val="00935EE9"/>
    <w:rsid w:val="00935F59"/>
    <w:rsid w:val="00935FB0"/>
    <w:rsid w:val="00935FBA"/>
    <w:rsid w:val="00936041"/>
    <w:rsid w:val="0093604E"/>
    <w:rsid w:val="009360EE"/>
    <w:rsid w:val="00936116"/>
    <w:rsid w:val="00936167"/>
    <w:rsid w:val="0093616F"/>
    <w:rsid w:val="009361B1"/>
    <w:rsid w:val="009361B5"/>
    <w:rsid w:val="00936263"/>
    <w:rsid w:val="009362F0"/>
    <w:rsid w:val="0093632C"/>
    <w:rsid w:val="00936348"/>
    <w:rsid w:val="009363CC"/>
    <w:rsid w:val="00936474"/>
    <w:rsid w:val="00936490"/>
    <w:rsid w:val="00936540"/>
    <w:rsid w:val="009365DD"/>
    <w:rsid w:val="00936693"/>
    <w:rsid w:val="0093670C"/>
    <w:rsid w:val="00936848"/>
    <w:rsid w:val="00936858"/>
    <w:rsid w:val="00936871"/>
    <w:rsid w:val="009368FC"/>
    <w:rsid w:val="00936961"/>
    <w:rsid w:val="009369C6"/>
    <w:rsid w:val="009369CA"/>
    <w:rsid w:val="00936A53"/>
    <w:rsid w:val="00936AFC"/>
    <w:rsid w:val="00936B38"/>
    <w:rsid w:val="00936BB2"/>
    <w:rsid w:val="00936BB6"/>
    <w:rsid w:val="00936BD9"/>
    <w:rsid w:val="00936CD4"/>
    <w:rsid w:val="00936D8B"/>
    <w:rsid w:val="00936E4E"/>
    <w:rsid w:val="00936E86"/>
    <w:rsid w:val="00936F1F"/>
    <w:rsid w:val="00937096"/>
    <w:rsid w:val="009370A0"/>
    <w:rsid w:val="009370B0"/>
    <w:rsid w:val="00937244"/>
    <w:rsid w:val="0093725D"/>
    <w:rsid w:val="00937288"/>
    <w:rsid w:val="00937360"/>
    <w:rsid w:val="00937410"/>
    <w:rsid w:val="009374E4"/>
    <w:rsid w:val="00937615"/>
    <w:rsid w:val="0093767C"/>
    <w:rsid w:val="009376EE"/>
    <w:rsid w:val="00937767"/>
    <w:rsid w:val="009377C9"/>
    <w:rsid w:val="00937847"/>
    <w:rsid w:val="00937897"/>
    <w:rsid w:val="009378DB"/>
    <w:rsid w:val="009378E5"/>
    <w:rsid w:val="009378F2"/>
    <w:rsid w:val="009378FB"/>
    <w:rsid w:val="00937901"/>
    <w:rsid w:val="009379CD"/>
    <w:rsid w:val="00937A26"/>
    <w:rsid w:val="00937A53"/>
    <w:rsid w:val="00937AD9"/>
    <w:rsid w:val="00937B3D"/>
    <w:rsid w:val="00937B88"/>
    <w:rsid w:val="00937B9C"/>
    <w:rsid w:val="00937BC1"/>
    <w:rsid w:val="00937C36"/>
    <w:rsid w:val="00937C9D"/>
    <w:rsid w:val="00937CED"/>
    <w:rsid w:val="00937CF0"/>
    <w:rsid w:val="00937D2F"/>
    <w:rsid w:val="00937D59"/>
    <w:rsid w:val="00937D5B"/>
    <w:rsid w:val="00937D60"/>
    <w:rsid w:val="00937D77"/>
    <w:rsid w:val="00937E2C"/>
    <w:rsid w:val="00937EE2"/>
    <w:rsid w:val="00937F21"/>
    <w:rsid w:val="00937F5C"/>
    <w:rsid w:val="00937F68"/>
    <w:rsid w:val="00937F7A"/>
    <w:rsid w:val="00937FFB"/>
    <w:rsid w:val="0094001A"/>
    <w:rsid w:val="009400FE"/>
    <w:rsid w:val="00940104"/>
    <w:rsid w:val="0094011A"/>
    <w:rsid w:val="00940158"/>
    <w:rsid w:val="00940166"/>
    <w:rsid w:val="00940179"/>
    <w:rsid w:val="0094021F"/>
    <w:rsid w:val="00940233"/>
    <w:rsid w:val="0094032D"/>
    <w:rsid w:val="00940356"/>
    <w:rsid w:val="00940370"/>
    <w:rsid w:val="009403CA"/>
    <w:rsid w:val="00940490"/>
    <w:rsid w:val="009404D0"/>
    <w:rsid w:val="009404D7"/>
    <w:rsid w:val="009404D9"/>
    <w:rsid w:val="0094051D"/>
    <w:rsid w:val="00940530"/>
    <w:rsid w:val="009405A8"/>
    <w:rsid w:val="009405D9"/>
    <w:rsid w:val="00940688"/>
    <w:rsid w:val="00940743"/>
    <w:rsid w:val="009407D1"/>
    <w:rsid w:val="009408A8"/>
    <w:rsid w:val="009408C2"/>
    <w:rsid w:val="009409F0"/>
    <w:rsid w:val="00940AAC"/>
    <w:rsid w:val="00940AE7"/>
    <w:rsid w:val="00940B67"/>
    <w:rsid w:val="00940B70"/>
    <w:rsid w:val="00940B7C"/>
    <w:rsid w:val="00940BC9"/>
    <w:rsid w:val="00940BCB"/>
    <w:rsid w:val="00940BDC"/>
    <w:rsid w:val="00940C40"/>
    <w:rsid w:val="00940CAE"/>
    <w:rsid w:val="00940D36"/>
    <w:rsid w:val="00940D5E"/>
    <w:rsid w:val="00940DAC"/>
    <w:rsid w:val="00940E03"/>
    <w:rsid w:val="00940E0A"/>
    <w:rsid w:val="00940E2E"/>
    <w:rsid w:val="00940E4B"/>
    <w:rsid w:val="00940E58"/>
    <w:rsid w:val="00940E60"/>
    <w:rsid w:val="00941016"/>
    <w:rsid w:val="00941027"/>
    <w:rsid w:val="00941097"/>
    <w:rsid w:val="0094114A"/>
    <w:rsid w:val="0094118A"/>
    <w:rsid w:val="009411E8"/>
    <w:rsid w:val="009411ED"/>
    <w:rsid w:val="00941285"/>
    <w:rsid w:val="009412CA"/>
    <w:rsid w:val="009412D4"/>
    <w:rsid w:val="009412D7"/>
    <w:rsid w:val="009413D7"/>
    <w:rsid w:val="00941424"/>
    <w:rsid w:val="009414A7"/>
    <w:rsid w:val="0094153F"/>
    <w:rsid w:val="0094156D"/>
    <w:rsid w:val="00941708"/>
    <w:rsid w:val="0094176F"/>
    <w:rsid w:val="009417D8"/>
    <w:rsid w:val="009417F7"/>
    <w:rsid w:val="0094184E"/>
    <w:rsid w:val="0094186C"/>
    <w:rsid w:val="00941919"/>
    <w:rsid w:val="0094197B"/>
    <w:rsid w:val="009419D3"/>
    <w:rsid w:val="00941A01"/>
    <w:rsid w:val="00941A05"/>
    <w:rsid w:val="00941A3C"/>
    <w:rsid w:val="00941BB4"/>
    <w:rsid w:val="00941BC9"/>
    <w:rsid w:val="00941BFB"/>
    <w:rsid w:val="00941C25"/>
    <w:rsid w:val="00941CD5"/>
    <w:rsid w:val="00941CF6"/>
    <w:rsid w:val="00941DA9"/>
    <w:rsid w:val="00941E0E"/>
    <w:rsid w:val="00941EC7"/>
    <w:rsid w:val="00941ECA"/>
    <w:rsid w:val="00941F0C"/>
    <w:rsid w:val="00941F72"/>
    <w:rsid w:val="00942049"/>
    <w:rsid w:val="009420A6"/>
    <w:rsid w:val="009420D2"/>
    <w:rsid w:val="009420F7"/>
    <w:rsid w:val="0094215F"/>
    <w:rsid w:val="009421DF"/>
    <w:rsid w:val="00942281"/>
    <w:rsid w:val="009422CD"/>
    <w:rsid w:val="00942357"/>
    <w:rsid w:val="00942407"/>
    <w:rsid w:val="00942416"/>
    <w:rsid w:val="009424BF"/>
    <w:rsid w:val="0094251F"/>
    <w:rsid w:val="0094257A"/>
    <w:rsid w:val="0094257C"/>
    <w:rsid w:val="00942671"/>
    <w:rsid w:val="00942676"/>
    <w:rsid w:val="0094267B"/>
    <w:rsid w:val="00942688"/>
    <w:rsid w:val="0094275A"/>
    <w:rsid w:val="00942761"/>
    <w:rsid w:val="009428E4"/>
    <w:rsid w:val="00942B20"/>
    <w:rsid w:val="00942BC9"/>
    <w:rsid w:val="00942C10"/>
    <w:rsid w:val="00942C49"/>
    <w:rsid w:val="00942C60"/>
    <w:rsid w:val="00942CB8"/>
    <w:rsid w:val="00942D43"/>
    <w:rsid w:val="00942D86"/>
    <w:rsid w:val="00942E72"/>
    <w:rsid w:val="00942E8A"/>
    <w:rsid w:val="00942EA8"/>
    <w:rsid w:val="00942F45"/>
    <w:rsid w:val="00942FF0"/>
    <w:rsid w:val="009430AE"/>
    <w:rsid w:val="009430C7"/>
    <w:rsid w:val="009430DC"/>
    <w:rsid w:val="0094317A"/>
    <w:rsid w:val="009431EB"/>
    <w:rsid w:val="009431F8"/>
    <w:rsid w:val="009431FA"/>
    <w:rsid w:val="0094324E"/>
    <w:rsid w:val="00943293"/>
    <w:rsid w:val="00943312"/>
    <w:rsid w:val="00943336"/>
    <w:rsid w:val="0094339B"/>
    <w:rsid w:val="009433CB"/>
    <w:rsid w:val="00943567"/>
    <w:rsid w:val="009435F7"/>
    <w:rsid w:val="009436A7"/>
    <w:rsid w:val="0094370A"/>
    <w:rsid w:val="00943801"/>
    <w:rsid w:val="0094381B"/>
    <w:rsid w:val="00943821"/>
    <w:rsid w:val="00943865"/>
    <w:rsid w:val="00943884"/>
    <w:rsid w:val="009438AD"/>
    <w:rsid w:val="009438E2"/>
    <w:rsid w:val="009439AB"/>
    <w:rsid w:val="00943A55"/>
    <w:rsid w:val="00943AA1"/>
    <w:rsid w:val="00943AE4"/>
    <w:rsid w:val="00943AF7"/>
    <w:rsid w:val="00943B18"/>
    <w:rsid w:val="00943B56"/>
    <w:rsid w:val="00943BD0"/>
    <w:rsid w:val="00943D1C"/>
    <w:rsid w:val="00943DE2"/>
    <w:rsid w:val="00943EA1"/>
    <w:rsid w:val="00943EA6"/>
    <w:rsid w:val="00943F22"/>
    <w:rsid w:val="00943F9A"/>
    <w:rsid w:val="00943FAA"/>
    <w:rsid w:val="00943FFB"/>
    <w:rsid w:val="009440A7"/>
    <w:rsid w:val="0094422B"/>
    <w:rsid w:val="00944239"/>
    <w:rsid w:val="0094425D"/>
    <w:rsid w:val="00944353"/>
    <w:rsid w:val="0094439D"/>
    <w:rsid w:val="009443CA"/>
    <w:rsid w:val="009443D6"/>
    <w:rsid w:val="00944468"/>
    <w:rsid w:val="00944470"/>
    <w:rsid w:val="00944490"/>
    <w:rsid w:val="0094449E"/>
    <w:rsid w:val="009444F2"/>
    <w:rsid w:val="009444FF"/>
    <w:rsid w:val="009445D4"/>
    <w:rsid w:val="009445D9"/>
    <w:rsid w:val="0094462E"/>
    <w:rsid w:val="00944643"/>
    <w:rsid w:val="0094468E"/>
    <w:rsid w:val="0094469D"/>
    <w:rsid w:val="009446F5"/>
    <w:rsid w:val="009447A6"/>
    <w:rsid w:val="009447B2"/>
    <w:rsid w:val="00944839"/>
    <w:rsid w:val="00944845"/>
    <w:rsid w:val="0094488F"/>
    <w:rsid w:val="00944894"/>
    <w:rsid w:val="009448D9"/>
    <w:rsid w:val="0094498E"/>
    <w:rsid w:val="00944993"/>
    <w:rsid w:val="009449D5"/>
    <w:rsid w:val="00944A3D"/>
    <w:rsid w:val="00944B51"/>
    <w:rsid w:val="00944B92"/>
    <w:rsid w:val="00944BC0"/>
    <w:rsid w:val="00944BDE"/>
    <w:rsid w:val="00944DB4"/>
    <w:rsid w:val="00944DC3"/>
    <w:rsid w:val="00944F29"/>
    <w:rsid w:val="00944F52"/>
    <w:rsid w:val="00945060"/>
    <w:rsid w:val="009450D0"/>
    <w:rsid w:val="0094513B"/>
    <w:rsid w:val="00945143"/>
    <w:rsid w:val="009451E3"/>
    <w:rsid w:val="00945211"/>
    <w:rsid w:val="00945292"/>
    <w:rsid w:val="009452BC"/>
    <w:rsid w:val="009452C1"/>
    <w:rsid w:val="00945358"/>
    <w:rsid w:val="00945380"/>
    <w:rsid w:val="00945385"/>
    <w:rsid w:val="009453C7"/>
    <w:rsid w:val="0094541F"/>
    <w:rsid w:val="009455A5"/>
    <w:rsid w:val="00945671"/>
    <w:rsid w:val="00945697"/>
    <w:rsid w:val="009456B0"/>
    <w:rsid w:val="0094577C"/>
    <w:rsid w:val="00945838"/>
    <w:rsid w:val="00945942"/>
    <w:rsid w:val="00945990"/>
    <w:rsid w:val="009459C8"/>
    <w:rsid w:val="00945BC4"/>
    <w:rsid w:val="00945BD4"/>
    <w:rsid w:val="00945C75"/>
    <w:rsid w:val="00945C98"/>
    <w:rsid w:val="00945D38"/>
    <w:rsid w:val="00945DB2"/>
    <w:rsid w:val="00945E56"/>
    <w:rsid w:val="0094600C"/>
    <w:rsid w:val="0094601C"/>
    <w:rsid w:val="00946024"/>
    <w:rsid w:val="00946086"/>
    <w:rsid w:val="009460AF"/>
    <w:rsid w:val="00946117"/>
    <w:rsid w:val="009461A4"/>
    <w:rsid w:val="009461A8"/>
    <w:rsid w:val="009461D3"/>
    <w:rsid w:val="0094627F"/>
    <w:rsid w:val="009462E6"/>
    <w:rsid w:val="00946354"/>
    <w:rsid w:val="0094641B"/>
    <w:rsid w:val="00946420"/>
    <w:rsid w:val="0094650F"/>
    <w:rsid w:val="00946592"/>
    <w:rsid w:val="009465CC"/>
    <w:rsid w:val="00946613"/>
    <w:rsid w:val="009466A7"/>
    <w:rsid w:val="009466CA"/>
    <w:rsid w:val="0094673D"/>
    <w:rsid w:val="009467B1"/>
    <w:rsid w:val="009467BC"/>
    <w:rsid w:val="00946805"/>
    <w:rsid w:val="0094681E"/>
    <w:rsid w:val="00946877"/>
    <w:rsid w:val="00946910"/>
    <w:rsid w:val="00946912"/>
    <w:rsid w:val="00946A4F"/>
    <w:rsid w:val="00946AF0"/>
    <w:rsid w:val="00946B05"/>
    <w:rsid w:val="00946B24"/>
    <w:rsid w:val="00946B6C"/>
    <w:rsid w:val="00946B9D"/>
    <w:rsid w:val="00946BA4"/>
    <w:rsid w:val="00946BCA"/>
    <w:rsid w:val="00946BCC"/>
    <w:rsid w:val="00946D48"/>
    <w:rsid w:val="00946DD1"/>
    <w:rsid w:val="00946E2C"/>
    <w:rsid w:val="00946EA1"/>
    <w:rsid w:val="00946EA7"/>
    <w:rsid w:val="00946F6E"/>
    <w:rsid w:val="00946F84"/>
    <w:rsid w:val="00946F9A"/>
    <w:rsid w:val="00946FE8"/>
    <w:rsid w:val="0094712E"/>
    <w:rsid w:val="009471AD"/>
    <w:rsid w:val="009471BE"/>
    <w:rsid w:val="009471CD"/>
    <w:rsid w:val="0094724F"/>
    <w:rsid w:val="009472B6"/>
    <w:rsid w:val="009473A1"/>
    <w:rsid w:val="009473A5"/>
    <w:rsid w:val="009473C6"/>
    <w:rsid w:val="009473D4"/>
    <w:rsid w:val="009473D6"/>
    <w:rsid w:val="009473D9"/>
    <w:rsid w:val="009473E1"/>
    <w:rsid w:val="0094748A"/>
    <w:rsid w:val="00947521"/>
    <w:rsid w:val="009475E8"/>
    <w:rsid w:val="00947649"/>
    <w:rsid w:val="00947704"/>
    <w:rsid w:val="0094774C"/>
    <w:rsid w:val="009477CC"/>
    <w:rsid w:val="009477F7"/>
    <w:rsid w:val="00947846"/>
    <w:rsid w:val="00947899"/>
    <w:rsid w:val="009478B6"/>
    <w:rsid w:val="009478D6"/>
    <w:rsid w:val="00947902"/>
    <w:rsid w:val="00947963"/>
    <w:rsid w:val="00947AC0"/>
    <w:rsid w:val="00947AFA"/>
    <w:rsid w:val="00947BF5"/>
    <w:rsid w:val="00947C96"/>
    <w:rsid w:val="00947D13"/>
    <w:rsid w:val="00947D1A"/>
    <w:rsid w:val="00947DBD"/>
    <w:rsid w:val="00947DFC"/>
    <w:rsid w:val="00947E6A"/>
    <w:rsid w:val="00947EED"/>
    <w:rsid w:val="00947F0A"/>
    <w:rsid w:val="00947F45"/>
    <w:rsid w:val="00947F4F"/>
    <w:rsid w:val="00947FA2"/>
    <w:rsid w:val="00947FD2"/>
    <w:rsid w:val="0095002D"/>
    <w:rsid w:val="00950038"/>
    <w:rsid w:val="00950064"/>
    <w:rsid w:val="009500B0"/>
    <w:rsid w:val="0095010F"/>
    <w:rsid w:val="00950161"/>
    <w:rsid w:val="0095018E"/>
    <w:rsid w:val="009501A1"/>
    <w:rsid w:val="0095020E"/>
    <w:rsid w:val="0095023A"/>
    <w:rsid w:val="0095029B"/>
    <w:rsid w:val="009502E7"/>
    <w:rsid w:val="009502F9"/>
    <w:rsid w:val="0095032F"/>
    <w:rsid w:val="009503D1"/>
    <w:rsid w:val="0095044D"/>
    <w:rsid w:val="0095045D"/>
    <w:rsid w:val="00950471"/>
    <w:rsid w:val="009505A9"/>
    <w:rsid w:val="009505B1"/>
    <w:rsid w:val="009506AC"/>
    <w:rsid w:val="009506CA"/>
    <w:rsid w:val="00950787"/>
    <w:rsid w:val="0095078F"/>
    <w:rsid w:val="00950922"/>
    <w:rsid w:val="009509B1"/>
    <w:rsid w:val="00950B40"/>
    <w:rsid w:val="00950BA8"/>
    <w:rsid w:val="00950C18"/>
    <w:rsid w:val="00950C50"/>
    <w:rsid w:val="00950D32"/>
    <w:rsid w:val="00950DC4"/>
    <w:rsid w:val="00950E60"/>
    <w:rsid w:val="00950EC4"/>
    <w:rsid w:val="00950EF1"/>
    <w:rsid w:val="009510AB"/>
    <w:rsid w:val="009510F0"/>
    <w:rsid w:val="0095113B"/>
    <w:rsid w:val="0095114D"/>
    <w:rsid w:val="00951183"/>
    <w:rsid w:val="00951187"/>
    <w:rsid w:val="009511B1"/>
    <w:rsid w:val="00951210"/>
    <w:rsid w:val="0095126D"/>
    <w:rsid w:val="009512C7"/>
    <w:rsid w:val="009512DE"/>
    <w:rsid w:val="0095137C"/>
    <w:rsid w:val="00951425"/>
    <w:rsid w:val="0095145B"/>
    <w:rsid w:val="00951530"/>
    <w:rsid w:val="009515A1"/>
    <w:rsid w:val="00951622"/>
    <w:rsid w:val="0095162C"/>
    <w:rsid w:val="00951663"/>
    <w:rsid w:val="009516AB"/>
    <w:rsid w:val="009516B7"/>
    <w:rsid w:val="009516C2"/>
    <w:rsid w:val="009516CE"/>
    <w:rsid w:val="009516FF"/>
    <w:rsid w:val="0095170D"/>
    <w:rsid w:val="0095179D"/>
    <w:rsid w:val="009517C8"/>
    <w:rsid w:val="009517FC"/>
    <w:rsid w:val="0095186A"/>
    <w:rsid w:val="00951905"/>
    <w:rsid w:val="00951955"/>
    <w:rsid w:val="00951AB8"/>
    <w:rsid w:val="00951BA3"/>
    <w:rsid w:val="00951BED"/>
    <w:rsid w:val="00951D98"/>
    <w:rsid w:val="00951DFB"/>
    <w:rsid w:val="00951E44"/>
    <w:rsid w:val="00951E77"/>
    <w:rsid w:val="00951EBB"/>
    <w:rsid w:val="00951ECD"/>
    <w:rsid w:val="00951EF4"/>
    <w:rsid w:val="00951F10"/>
    <w:rsid w:val="00951F40"/>
    <w:rsid w:val="00951FCA"/>
    <w:rsid w:val="00952006"/>
    <w:rsid w:val="00952130"/>
    <w:rsid w:val="00952175"/>
    <w:rsid w:val="00952198"/>
    <w:rsid w:val="009521BF"/>
    <w:rsid w:val="0095224B"/>
    <w:rsid w:val="00952256"/>
    <w:rsid w:val="00952307"/>
    <w:rsid w:val="00952318"/>
    <w:rsid w:val="00952459"/>
    <w:rsid w:val="0095246D"/>
    <w:rsid w:val="009524DF"/>
    <w:rsid w:val="00952531"/>
    <w:rsid w:val="009525A2"/>
    <w:rsid w:val="009526AC"/>
    <w:rsid w:val="00952706"/>
    <w:rsid w:val="009527DB"/>
    <w:rsid w:val="009527DD"/>
    <w:rsid w:val="00952822"/>
    <w:rsid w:val="00952872"/>
    <w:rsid w:val="00952969"/>
    <w:rsid w:val="009529D2"/>
    <w:rsid w:val="00952A0D"/>
    <w:rsid w:val="00952A81"/>
    <w:rsid w:val="00952B7C"/>
    <w:rsid w:val="00952B7F"/>
    <w:rsid w:val="00952BBC"/>
    <w:rsid w:val="00952C6B"/>
    <w:rsid w:val="00952D04"/>
    <w:rsid w:val="00952D75"/>
    <w:rsid w:val="00952DF0"/>
    <w:rsid w:val="00952E0C"/>
    <w:rsid w:val="00952E4D"/>
    <w:rsid w:val="00952E77"/>
    <w:rsid w:val="00952F16"/>
    <w:rsid w:val="00952F2F"/>
    <w:rsid w:val="00953014"/>
    <w:rsid w:val="0095309E"/>
    <w:rsid w:val="00953103"/>
    <w:rsid w:val="00953115"/>
    <w:rsid w:val="0095320F"/>
    <w:rsid w:val="00953243"/>
    <w:rsid w:val="0095330C"/>
    <w:rsid w:val="00953360"/>
    <w:rsid w:val="009533CB"/>
    <w:rsid w:val="00953473"/>
    <w:rsid w:val="0095348B"/>
    <w:rsid w:val="009534D4"/>
    <w:rsid w:val="00953506"/>
    <w:rsid w:val="0095355B"/>
    <w:rsid w:val="009536A4"/>
    <w:rsid w:val="009536B8"/>
    <w:rsid w:val="00953767"/>
    <w:rsid w:val="009537B1"/>
    <w:rsid w:val="0095388C"/>
    <w:rsid w:val="009538C3"/>
    <w:rsid w:val="00953A25"/>
    <w:rsid w:val="00953A37"/>
    <w:rsid w:val="00953B96"/>
    <w:rsid w:val="00953B9F"/>
    <w:rsid w:val="00953BA7"/>
    <w:rsid w:val="00953BF5"/>
    <w:rsid w:val="00953C09"/>
    <w:rsid w:val="00953C83"/>
    <w:rsid w:val="00953CFD"/>
    <w:rsid w:val="00953D16"/>
    <w:rsid w:val="00953D30"/>
    <w:rsid w:val="00953D52"/>
    <w:rsid w:val="00953DA4"/>
    <w:rsid w:val="00953E67"/>
    <w:rsid w:val="00953E9A"/>
    <w:rsid w:val="00953EA6"/>
    <w:rsid w:val="00953EC7"/>
    <w:rsid w:val="00953F20"/>
    <w:rsid w:val="00953F33"/>
    <w:rsid w:val="00953F4F"/>
    <w:rsid w:val="00953FA5"/>
    <w:rsid w:val="009541FB"/>
    <w:rsid w:val="00954217"/>
    <w:rsid w:val="00954236"/>
    <w:rsid w:val="00954245"/>
    <w:rsid w:val="00954343"/>
    <w:rsid w:val="00954361"/>
    <w:rsid w:val="00954393"/>
    <w:rsid w:val="0095450E"/>
    <w:rsid w:val="0095452E"/>
    <w:rsid w:val="0095456A"/>
    <w:rsid w:val="009545EC"/>
    <w:rsid w:val="00954693"/>
    <w:rsid w:val="009546CC"/>
    <w:rsid w:val="009546F8"/>
    <w:rsid w:val="00954719"/>
    <w:rsid w:val="0095475B"/>
    <w:rsid w:val="0095475E"/>
    <w:rsid w:val="00954761"/>
    <w:rsid w:val="009547CC"/>
    <w:rsid w:val="00954866"/>
    <w:rsid w:val="009548AE"/>
    <w:rsid w:val="009548B0"/>
    <w:rsid w:val="0095490C"/>
    <w:rsid w:val="00954949"/>
    <w:rsid w:val="00954961"/>
    <w:rsid w:val="00954963"/>
    <w:rsid w:val="009549BD"/>
    <w:rsid w:val="009549C9"/>
    <w:rsid w:val="00954A12"/>
    <w:rsid w:val="00954B37"/>
    <w:rsid w:val="00954C26"/>
    <w:rsid w:val="00954C39"/>
    <w:rsid w:val="00954C5B"/>
    <w:rsid w:val="00954C6A"/>
    <w:rsid w:val="00954C9C"/>
    <w:rsid w:val="00954D56"/>
    <w:rsid w:val="00954D61"/>
    <w:rsid w:val="00954DA1"/>
    <w:rsid w:val="00954DCA"/>
    <w:rsid w:val="00954DD3"/>
    <w:rsid w:val="00954DEE"/>
    <w:rsid w:val="00954E2A"/>
    <w:rsid w:val="00954E7D"/>
    <w:rsid w:val="00954EA3"/>
    <w:rsid w:val="00954F00"/>
    <w:rsid w:val="00954F14"/>
    <w:rsid w:val="00954F54"/>
    <w:rsid w:val="009550BC"/>
    <w:rsid w:val="009550E6"/>
    <w:rsid w:val="00955185"/>
    <w:rsid w:val="009551DE"/>
    <w:rsid w:val="00955205"/>
    <w:rsid w:val="0095522E"/>
    <w:rsid w:val="009552B8"/>
    <w:rsid w:val="00955385"/>
    <w:rsid w:val="009553D2"/>
    <w:rsid w:val="009553E6"/>
    <w:rsid w:val="00955452"/>
    <w:rsid w:val="00955497"/>
    <w:rsid w:val="009554C2"/>
    <w:rsid w:val="009554E9"/>
    <w:rsid w:val="00955605"/>
    <w:rsid w:val="00955618"/>
    <w:rsid w:val="00955642"/>
    <w:rsid w:val="009556A2"/>
    <w:rsid w:val="009556BF"/>
    <w:rsid w:val="00955729"/>
    <w:rsid w:val="00955744"/>
    <w:rsid w:val="00955788"/>
    <w:rsid w:val="00955975"/>
    <w:rsid w:val="00955A68"/>
    <w:rsid w:val="00955A84"/>
    <w:rsid w:val="00955A8E"/>
    <w:rsid w:val="00955A91"/>
    <w:rsid w:val="00955ABD"/>
    <w:rsid w:val="00955AD8"/>
    <w:rsid w:val="00955B29"/>
    <w:rsid w:val="00955BF7"/>
    <w:rsid w:val="00955C24"/>
    <w:rsid w:val="00955C33"/>
    <w:rsid w:val="00955C68"/>
    <w:rsid w:val="00955CDB"/>
    <w:rsid w:val="00955D19"/>
    <w:rsid w:val="00955DD9"/>
    <w:rsid w:val="00955DFF"/>
    <w:rsid w:val="00955E06"/>
    <w:rsid w:val="00955E4C"/>
    <w:rsid w:val="00955EC2"/>
    <w:rsid w:val="00955EFA"/>
    <w:rsid w:val="00955F27"/>
    <w:rsid w:val="00955FC5"/>
    <w:rsid w:val="0095600F"/>
    <w:rsid w:val="00956026"/>
    <w:rsid w:val="0095603B"/>
    <w:rsid w:val="00956060"/>
    <w:rsid w:val="009560FE"/>
    <w:rsid w:val="0095614F"/>
    <w:rsid w:val="009561EA"/>
    <w:rsid w:val="009562A5"/>
    <w:rsid w:val="009562DB"/>
    <w:rsid w:val="00956300"/>
    <w:rsid w:val="0095634B"/>
    <w:rsid w:val="0095643A"/>
    <w:rsid w:val="00956509"/>
    <w:rsid w:val="009565C7"/>
    <w:rsid w:val="009565ED"/>
    <w:rsid w:val="009565F5"/>
    <w:rsid w:val="00956603"/>
    <w:rsid w:val="0095664C"/>
    <w:rsid w:val="009566A0"/>
    <w:rsid w:val="009566B6"/>
    <w:rsid w:val="009566BD"/>
    <w:rsid w:val="009566EA"/>
    <w:rsid w:val="0095679E"/>
    <w:rsid w:val="0095687A"/>
    <w:rsid w:val="009568B4"/>
    <w:rsid w:val="009568BC"/>
    <w:rsid w:val="0095699B"/>
    <w:rsid w:val="00956A1D"/>
    <w:rsid w:val="00956A4F"/>
    <w:rsid w:val="00956A6D"/>
    <w:rsid w:val="00956A76"/>
    <w:rsid w:val="00956AD3"/>
    <w:rsid w:val="00956B24"/>
    <w:rsid w:val="00956B6D"/>
    <w:rsid w:val="00956B9A"/>
    <w:rsid w:val="00956BA8"/>
    <w:rsid w:val="00956BCA"/>
    <w:rsid w:val="00956DC0"/>
    <w:rsid w:val="00956DED"/>
    <w:rsid w:val="00956E83"/>
    <w:rsid w:val="00956EE1"/>
    <w:rsid w:val="00956F41"/>
    <w:rsid w:val="0095705E"/>
    <w:rsid w:val="009570C6"/>
    <w:rsid w:val="0095714F"/>
    <w:rsid w:val="009571B0"/>
    <w:rsid w:val="0095726D"/>
    <w:rsid w:val="0095728E"/>
    <w:rsid w:val="009572DB"/>
    <w:rsid w:val="00957407"/>
    <w:rsid w:val="0095741C"/>
    <w:rsid w:val="0095749D"/>
    <w:rsid w:val="00957529"/>
    <w:rsid w:val="00957563"/>
    <w:rsid w:val="009575DF"/>
    <w:rsid w:val="009577A7"/>
    <w:rsid w:val="009577C9"/>
    <w:rsid w:val="009578E2"/>
    <w:rsid w:val="009578EB"/>
    <w:rsid w:val="00957918"/>
    <w:rsid w:val="009579A6"/>
    <w:rsid w:val="009579AD"/>
    <w:rsid w:val="009579BC"/>
    <w:rsid w:val="009579DB"/>
    <w:rsid w:val="00957A29"/>
    <w:rsid w:val="00957A2D"/>
    <w:rsid w:val="00957A42"/>
    <w:rsid w:val="00957AE1"/>
    <w:rsid w:val="00957AE6"/>
    <w:rsid w:val="00957B04"/>
    <w:rsid w:val="00957B0F"/>
    <w:rsid w:val="00957B98"/>
    <w:rsid w:val="00957BA8"/>
    <w:rsid w:val="00957BFF"/>
    <w:rsid w:val="00957C08"/>
    <w:rsid w:val="00957C8D"/>
    <w:rsid w:val="00957D88"/>
    <w:rsid w:val="00957D96"/>
    <w:rsid w:val="00957E46"/>
    <w:rsid w:val="00957EBD"/>
    <w:rsid w:val="00957EDC"/>
    <w:rsid w:val="00957F29"/>
    <w:rsid w:val="00957F2C"/>
    <w:rsid w:val="00957F52"/>
    <w:rsid w:val="00957F63"/>
    <w:rsid w:val="00960031"/>
    <w:rsid w:val="00960034"/>
    <w:rsid w:val="009600B2"/>
    <w:rsid w:val="009600B3"/>
    <w:rsid w:val="0096012C"/>
    <w:rsid w:val="009601F1"/>
    <w:rsid w:val="009601F4"/>
    <w:rsid w:val="00960204"/>
    <w:rsid w:val="00960313"/>
    <w:rsid w:val="00960335"/>
    <w:rsid w:val="00960387"/>
    <w:rsid w:val="009603CC"/>
    <w:rsid w:val="009603D3"/>
    <w:rsid w:val="00960405"/>
    <w:rsid w:val="00960438"/>
    <w:rsid w:val="00960586"/>
    <w:rsid w:val="0096061D"/>
    <w:rsid w:val="00960669"/>
    <w:rsid w:val="009606A0"/>
    <w:rsid w:val="0096075F"/>
    <w:rsid w:val="00960786"/>
    <w:rsid w:val="009607DF"/>
    <w:rsid w:val="00960800"/>
    <w:rsid w:val="009608DE"/>
    <w:rsid w:val="009608E4"/>
    <w:rsid w:val="0096097C"/>
    <w:rsid w:val="0096099E"/>
    <w:rsid w:val="00960A83"/>
    <w:rsid w:val="00960B8D"/>
    <w:rsid w:val="00960CA0"/>
    <w:rsid w:val="00960CB6"/>
    <w:rsid w:val="00960CCE"/>
    <w:rsid w:val="00960CE4"/>
    <w:rsid w:val="00960DCB"/>
    <w:rsid w:val="00960DCD"/>
    <w:rsid w:val="00960DF4"/>
    <w:rsid w:val="00960E42"/>
    <w:rsid w:val="00960E5D"/>
    <w:rsid w:val="00960E81"/>
    <w:rsid w:val="00961034"/>
    <w:rsid w:val="00961088"/>
    <w:rsid w:val="009610A0"/>
    <w:rsid w:val="00961209"/>
    <w:rsid w:val="00961281"/>
    <w:rsid w:val="00961309"/>
    <w:rsid w:val="0096131B"/>
    <w:rsid w:val="009613E0"/>
    <w:rsid w:val="009613F2"/>
    <w:rsid w:val="0096140E"/>
    <w:rsid w:val="00961430"/>
    <w:rsid w:val="00961465"/>
    <w:rsid w:val="00961512"/>
    <w:rsid w:val="0096156F"/>
    <w:rsid w:val="00961586"/>
    <w:rsid w:val="0096165B"/>
    <w:rsid w:val="00961734"/>
    <w:rsid w:val="009617C7"/>
    <w:rsid w:val="009617FB"/>
    <w:rsid w:val="00961852"/>
    <w:rsid w:val="009618CA"/>
    <w:rsid w:val="009618D0"/>
    <w:rsid w:val="009618FE"/>
    <w:rsid w:val="0096197C"/>
    <w:rsid w:val="00961CAB"/>
    <w:rsid w:val="00961CD1"/>
    <w:rsid w:val="00961CEB"/>
    <w:rsid w:val="00961D53"/>
    <w:rsid w:val="00961DF4"/>
    <w:rsid w:val="00961E50"/>
    <w:rsid w:val="00961E73"/>
    <w:rsid w:val="00961EA1"/>
    <w:rsid w:val="00961ED1"/>
    <w:rsid w:val="00961F29"/>
    <w:rsid w:val="00962019"/>
    <w:rsid w:val="00962083"/>
    <w:rsid w:val="009620E0"/>
    <w:rsid w:val="00962167"/>
    <w:rsid w:val="00962195"/>
    <w:rsid w:val="0096219E"/>
    <w:rsid w:val="009621CB"/>
    <w:rsid w:val="009621FB"/>
    <w:rsid w:val="009621FE"/>
    <w:rsid w:val="00962200"/>
    <w:rsid w:val="00962284"/>
    <w:rsid w:val="009622AC"/>
    <w:rsid w:val="00962378"/>
    <w:rsid w:val="009623F4"/>
    <w:rsid w:val="00962437"/>
    <w:rsid w:val="009624A5"/>
    <w:rsid w:val="009624C6"/>
    <w:rsid w:val="00962583"/>
    <w:rsid w:val="009626D0"/>
    <w:rsid w:val="009626E7"/>
    <w:rsid w:val="009627AC"/>
    <w:rsid w:val="00962815"/>
    <w:rsid w:val="00962894"/>
    <w:rsid w:val="0096293E"/>
    <w:rsid w:val="0096297E"/>
    <w:rsid w:val="009629A1"/>
    <w:rsid w:val="00962A21"/>
    <w:rsid w:val="00962A22"/>
    <w:rsid w:val="00962ADA"/>
    <w:rsid w:val="00962B09"/>
    <w:rsid w:val="00962BDC"/>
    <w:rsid w:val="00962C3A"/>
    <w:rsid w:val="00962CB3"/>
    <w:rsid w:val="00962DAA"/>
    <w:rsid w:val="00962E3C"/>
    <w:rsid w:val="00962EA7"/>
    <w:rsid w:val="00962EB3"/>
    <w:rsid w:val="00962F7B"/>
    <w:rsid w:val="00963030"/>
    <w:rsid w:val="00963089"/>
    <w:rsid w:val="0096310A"/>
    <w:rsid w:val="00963119"/>
    <w:rsid w:val="00963124"/>
    <w:rsid w:val="00963166"/>
    <w:rsid w:val="0096318E"/>
    <w:rsid w:val="009631AA"/>
    <w:rsid w:val="009632C3"/>
    <w:rsid w:val="009632FF"/>
    <w:rsid w:val="0096344D"/>
    <w:rsid w:val="00963492"/>
    <w:rsid w:val="009634BA"/>
    <w:rsid w:val="009634D2"/>
    <w:rsid w:val="0096351F"/>
    <w:rsid w:val="009635E0"/>
    <w:rsid w:val="00963687"/>
    <w:rsid w:val="009636E4"/>
    <w:rsid w:val="009636E9"/>
    <w:rsid w:val="00963734"/>
    <w:rsid w:val="009637CA"/>
    <w:rsid w:val="00963816"/>
    <w:rsid w:val="0096390F"/>
    <w:rsid w:val="00963974"/>
    <w:rsid w:val="009639C5"/>
    <w:rsid w:val="00963A75"/>
    <w:rsid w:val="00963C39"/>
    <w:rsid w:val="00963C68"/>
    <w:rsid w:val="00963C9B"/>
    <w:rsid w:val="00963D8C"/>
    <w:rsid w:val="00963DA9"/>
    <w:rsid w:val="00963DB1"/>
    <w:rsid w:val="00963E03"/>
    <w:rsid w:val="00963E77"/>
    <w:rsid w:val="00963E8C"/>
    <w:rsid w:val="00963ED0"/>
    <w:rsid w:val="00963FAC"/>
    <w:rsid w:val="00963FBD"/>
    <w:rsid w:val="00963FCE"/>
    <w:rsid w:val="0096403A"/>
    <w:rsid w:val="0096403D"/>
    <w:rsid w:val="00964042"/>
    <w:rsid w:val="009640C8"/>
    <w:rsid w:val="0096412E"/>
    <w:rsid w:val="00964227"/>
    <w:rsid w:val="009642CF"/>
    <w:rsid w:val="00964317"/>
    <w:rsid w:val="0096434B"/>
    <w:rsid w:val="0096439B"/>
    <w:rsid w:val="0096439D"/>
    <w:rsid w:val="009643ED"/>
    <w:rsid w:val="0096442F"/>
    <w:rsid w:val="00964440"/>
    <w:rsid w:val="00964472"/>
    <w:rsid w:val="009644BF"/>
    <w:rsid w:val="0096451A"/>
    <w:rsid w:val="00964607"/>
    <w:rsid w:val="00964655"/>
    <w:rsid w:val="00964681"/>
    <w:rsid w:val="009646D7"/>
    <w:rsid w:val="00964706"/>
    <w:rsid w:val="0096486E"/>
    <w:rsid w:val="009648ED"/>
    <w:rsid w:val="009649B7"/>
    <w:rsid w:val="00964B13"/>
    <w:rsid w:val="00964BFF"/>
    <w:rsid w:val="00964CA4"/>
    <w:rsid w:val="00964CE3"/>
    <w:rsid w:val="00964D58"/>
    <w:rsid w:val="00964D79"/>
    <w:rsid w:val="00964DA2"/>
    <w:rsid w:val="00964E25"/>
    <w:rsid w:val="00964E2A"/>
    <w:rsid w:val="00964E53"/>
    <w:rsid w:val="00964E84"/>
    <w:rsid w:val="00964EA5"/>
    <w:rsid w:val="00964F27"/>
    <w:rsid w:val="00964FE7"/>
    <w:rsid w:val="0096501F"/>
    <w:rsid w:val="0096504C"/>
    <w:rsid w:val="009650AE"/>
    <w:rsid w:val="009650B6"/>
    <w:rsid w:val="0096513B"/>
    <w:rsid w:val="00965177"/>
    <w:rsid w:val="009651BA"/>
    <w:rsid w:val="00965264"/>
    <w:rsid w:val="009652CB"/>
    <w:rsid w:val="00965300"/>
    <w:rsid w:val="0096538D"/>
    <w:rsid w:val="009653FC"/>
    <w:rsid w:val="0096541D"/>
    <w:rsid w:val="009654A3"/>
    <w:rsid w:val="009654D4"/>
    <w:rsid w:val="009654DD"/>
    <w:rsid w:val="009655C5"/>
    <w:rsid w:val="009655C7"/>
    <w:rsid w:val="00965642"/>
    <w:rsid w:val="009656A2"/>
    <w:rsid w:val="009656C0"/>
    <w:rsid w:val="009656F2"/>
    <w:rsid w:val="00965747"/>
    <w:rsid w:val="00965777"/>
    <w:rsid w:val="00965794"/>
    <w:rsid w:val="009657CC"/>
    <w:rsid w:val="00965833"/>
    <w:rsid w:val="00965844"/>
    <w:rsid w:val="00965845"/>
    <w:rsid w:val="0096589C"/>
    <w:rsid w:val="009658B7"/>
    <w:rsid w:val="0096592D"/>
    <w:rsid w:val="009659E6"/>
    <w:rsid w:val="00965A17"/>
    <w:rsid w:val="00965A77"/>
    <w:rsid w:val="00965B43"/>
    <w:rsid w:val="00965B48"/>
    <w:rsid w:val="00965B75"/>
    <w:rsid w:val="00965BE5"/>
    <w:rsid w:val="00965C2A"/>
    <w:rsid w:val="00965D29"/>
    <w:rsid w:val="00965DD9"/>
    <w:rsid w:val="00965E6D"/>
    <w:rsid w:val="00965F3F"/>
    <w:rsid w:val="00965F49"/>
    <w:rsid w:val="00965F8D"/>
    <w:rsid w:val="00965FD7"/>
    <w:rsid w:val="00966002"/>
    <w:rsid w:val="009660F8"/>
    <w:rsid w:val="00966102"/>
    <w:rsid w:val="00966114"/>
    <w:rsid w:val="00966140"/>
    <w:rsid w:val="00966174"/>
    <w:rsid w:val="0096631D"/>
    <w:rsid w:val="0096638F"/>
    <w:rsid w:val="009663AF"/>
    <w:rsid w:val="009663D3"/>
    <w:rsid w:val="00966401"/>
    <w:rsid w:val="00966484"/>
    <w:rsid w:val="00966507"/>
    <w:rsid w:val="009665AF"/>
    <w:rsid w:val="0096661C"/>
    <w:rsid w:val="0096665E"/>
    <w:rsid w:val="00966666"/>
    <w:rsid w:val="00966684"/>
    <w:rsid w:val="009666DE"/>
    <w:rsid w:val="0096677A"/>
    <w:rsid w:val="0096677E"/>
    <w:rsid w:val="009667C4"/>
    <w:rsid w:val="009667E5"/>
    <w:rsid w:val="00966898"/>
    <w:rsid w:val="009668CF"/>
    <w:rsid w:val="00966959"/>
    <w:rsid w:val="0096696A"/>
    <w:rsid w:val="009669CA"/>
    <w:rsid w:val="00966A4D"/>
    <w:rsid w:val="00966AB8"/>
    <w:rsid w:val="00966AEA"/>
    <w:rsid w:val="00966B6A"/>
    <w:rsid w:val="00966B92"/>
    <w:rsid w:val="00966C1F"/>
    <w:rsid w:val="00966C53"/>
    <w:rsid w:val="00966C66"/>
    <w:rsid w:val="00966D0E"/>
    <w:rsid w:val="00966D1D"/>
    <w:rsid w:val="00966D4B"/>
    <w:rsid w:val="00966DD9"/>
    <w:rsid w:val="00966E53"/>
    <w:rsid w:val="00966E90"/>
    <w:rsid w:val="00966ED1"/>
    <w:rsid w:val="00966ED2"/>
    <w:rsid w:val="00966EE1"/>
    <w:rsid w:val="00966EE4"/>
    <w:rsid w:val="00966F1B"/>
    <w:rsid w:val="00966F63"/>
    <w:rsid w:val="00966F76"/>
    <w:rsid w:val="00966F7E"/>
    <w:rsid w:val="00966F9F"/>
    <w:rsid w:val="00967003"/>
    <w:rsid w:val="0096705B"/>
    <w:rsid w:val="00967095"/>
    <w:rsid w:val="009670A8"/>
    <w:rsid w:val="00967146"/>
    <w:rsid w:val="0096718D"/>
    <w:rsid w:val="00967201"/>
    <w:rsid w:val="0096723F"/>
    <w:rsid w:val="00967243"/>
    <w:rsid w:val="009672DB"/>
    <w:rsid w:val="00967303"/>
    <w:rsid w:val="0096737D"/>
    <w:rsid w:val="0096739C"/>
    <w:rsid w:val="009673D6"/>
    <w:rsid w:val="009673E0"/>
    <w:rsid w:val="00967457"/>
    <w:rsid w:val="0096747F"/>
    <w:rsid w:val="009674D9"/>
    <w:rsid w:val="009674E2"/>
    <w:rsid w:val="00967500"/>
    <w:rsid w:val="009675CD"/>
    <w:rsid w:val="0096769A"/>
    <w:rsid w:val="009677AB"/>
    <w:rsid w:val="009677FA"/>
    <w:rsid w:val="00967873"/>
    <w:rsid w:val="0096790F"/>
    <w:rsid w:val="009679A1"/>
    <w:rsid w:val="00967A1C"/>
    <w:rsid w:val="00967A60"/>
    <w:rsid w:val="00967A6F"/>
    <w:rsid w:val="00967B6D"/>
    <w:rsid w:val="00967C04"/>
    <w:rsid w:val="00967C15"/>
    <w:rsid w:val="00967C5E"/>
    <w:rsid w:val="00967CFD"/>
    <w:rsid w:val="00967D06"/>
    <w:rsid w:val="00967D51"/>
    <w:rsid w:val="00967DA7"/>
    <w:rsid w:val="00967DB5"/>
    <w:rsid w:val="00967DE3"/>
    <w:rsid w:val="00967E7C"/>
    <w:rsid w:val="00967E8D"/>
    <w:rsid w:val="00967EAC"/>
    <w:rsid w:val="00967F5C"/>
    <w:rsid w:val="0097001B"/>
    <w:rsid w:val="00970033"/>
    <w:rsid w:val="00970045"/>
    <w:rsid w:val="00970091"/>
    <w:rsid w:val="009700E0"/>
    <w:rsid w:val="00970132"/>
    <w:rsid w:val="00970161"/>
    <w:rsid w:val="009701A5"/>
    <w:rsid w:val="009701B6"/>
    <w:rsid w:val="00970262"/>
    <w:rsid w:val="00970266"/>
    <w:rsid w:val="0097029A"/>
    <w:rsid w:val="009702A5"/>
    <w:rsid w:val="00970302"/>
    <w:rsid w:val="00970304"/>
    <w:rsid w:val="0097031B"/>
    <w:rsid w:val="0097035D"/>
    <w:rsid w:val="0097037B"/>
    <w:rsid w:val="0097038D"/>
    <w:rsid w:val="00970390"/>
    <w:rsid w:val="009703D6"/>
    <w:rsid w:val="0097049D"/>
    <w:rsid w:val="00970574"/>
    <w:rsid w:val="009705CE"/>
    <w:rsid w:val="00970626"/>
    <w:rsid w:val="009706DA"/>
    <w:rsid w:val="00970727"/>
    <w:rsid w:val="0097072D"/>
    <w:rsid w:val="0097075C"/>
    <w:rsid w:val="009707DA"/>
    <w:rsid w:val="0097086E"/>
    <w:rsid w:val="00970876"/>
    <w:rsid w:val="009709D7"/>
    <w:rsid w:val="00970A7B"/>
    <w:rsid w:val="00970ADD"/>
    <w:rsid w:val="00970B0A"/>
    <w:rsid w:val="00970B69"/>
    <w:rsid w:val="00970BE2"/>
    <w:rsid w:val="00970C06"/>
    <w:rsid w:val="00970C07"/>
    <w:rsid w:val="00970C94"/>
    <w:rsid w:val="00970D9F"/>
    <w:rsid w:val="00970DC1"/>
    <w:rsid w:val="00970DD6"/>
    <w:rsid w:val="00970E0B"/>
    <w:rsid w:val="00970ECE"/>
    <w:rsid w:val="00970EE9"/>
    <w:rsid w:val="00970F54"/>
    <w:rsid w:val="00970F5E"/>
    <w:rsid w:val="00970F8D"/>
    <w:rsid w:val="00971024"/>
    <w:rsid w:val="0097103F"/>
    <w:rsid w:val="00971046"/>
    <w:rsid w:val="0097105D"/>
    <w:rsid w:val="0097109C"/>
    <w:rsid w:val="00971135"/>
    <w:rsid w:val="00971164"/>
    <w:rsid w:val="00971278"/>
    <w:rsid w:val="00971485"/>
    <w:rsid w:val="009714A1"/>
    <w:rsid w:val="009714DD"/>
    <w:rsid w:val="009714FD"/>
    <w:rsid w:val="00971519"/>
    <w:rsid w:val="0097153C"/>
    <w:rsid w:val="0097155A"/>
    <w:rsid w:val="00971574"/>
    <w:rsid w:val="009715A7"/>
    <w:rsid w:val="00971649"/>
    <w:rsid w:val="009716A8"/>
    <w:rsid w:val="009716FB"/>
    <w:rsid w:val="0097177A"/>
    <w:rsid w:val="00971787"/>
    <w:rsid w:val="009717A1"/>
    <w:rsid w:val="009717B6"/>
    <w:rsid w:val="009717CD"/>
    <w:rsid w:val="00971832"/>
    <w:rsid w:val="0097185E"/>
    <w:rsid w:val="0097186F"/>
    <w:rsid w:val="009718F6"/>
    <w:rsid w:val="00971906"/>
    <w:rsid w:val="0097190E"/>
    <w:rsid w:val="00971912"/>
    <w:rsid w:val="00971941"/>
    <w:rsid w:val="009719AC"/>
    <w:rsid w:val="009719CA"/>
    <w:rsid w:val="00971AD7"/>
    <w:rsid w:val="00971ADC"/>
    <w:rsid w:val="00971B22"/>
    <w:rsid w:val="00971B83"/>
    <w:rsid w:val="00971B96"/>
    <w:rsid w:val="00971BCA"/>
    <w:rsid w:val="00971C08"/>
    <w:rsid w:val="00971C17"/>
    <w:rsid w:val="00971C53"/>
    <w:rsid w:val="00971CFA"/>
    <w:rsid w:val="00971DFB"/>
    <w:rsid w:val="00971E7C"/>
    <w:rsid w:val="00971EE1"/>
    <w:rsid w:val="00971F1C"/>
    <w:rsid w:val="00971F58"/>
    <w:rsid w:val="00971F66"/>
    <w:rsid w:val="00971F70"/>
    <w:rsid w:val="00971FD1"/>
    <w:rsid w:val="00972001"/>
    <w:rsid w:val="00972041"/>
    <w:rsid w:val="00972057"/>
    <w:rsid w:val="00972076"/>
    <w:rsid w:val="009720E2"/>
    <w:rsid w:val="00972163"/>
    <w:rsid w:val="0097220B"/>
    <w:rsid w:val="00972331"/>
    <w:rsid w:val="00972359"/>
    <w:rsid w:val="009723DF"/>
    <w:rsid w:val="0097244F"/>
    <w:rsid w:val="0097247C"/>
    <w:rsid w:val="00972484"/>
    <w:rsid w:val="0097250A"/>
    <w:rsid w:val="0097250F"/>
    <w:rsid w:val="00972577"/>
    <w:rsid w:val="009725AF"/>
    <w:rsid w:val="009725B2"/>
    <w:rsid w:val="009725CC"/>
    <w:rsid w:val="009725EA"/>
    <w:rsid w:val="009726A6"/>
    <w:rsid w:val="009726B7"/>
    <w:rsid w:val="0097271C"/>
    <w:rsid w:val="00972730"/>
    <w:rsid w:val="009727AB"/>
    <w:rsid w:val="009727FD"/>
    <w:rsid w:val="00972814"/>
    <w:rsid w:val="00972849"/>
    <w:rsid w:val="009728A7"/>
    <w:rsid w:val="009728FB"/>
    <w:rsid w:val="00972A91"/>
    <w:rsid w:val="00972A9E"/>
    <w:rsid w:val="00972AD8"/>
    <w:rsid w:val="00972ADA"/>
    <w:rsid w:val="00972B6A"/>
    <w:rsid w:val="00972BA7"/>
    <w:rsid w:val="00972D23"/>
    <w:rsid w:val="00972D26"/>
    <w:rsid w:val="00972D83"/>
    <w:rsid w:val="00972D94"/>
    <w:rsid w:val="00972E5E"/>
    <w:rsid w:val="00972E71"/>
    <w:rsid w:val="00972EA8"/>
    <w:rsid w:val="00972F45"/>
    <w:rsid w:val="00973017"/>
    <w:rsid w:val="00973063"/>
    <w:rsid w:val="009731D0"/>
    <w:rsid w:val="00973207"/>
    <w:rsid w:val="00973214"/>
    <w:rsid w:val="00973224"/>
    <w:rsid w:val="0097322C"/>
    <w:rsid w:val="00973234"/>
    <w:rsid w:val="00973241"/>
    <w:rsid w:val="00973242"/>
    <w:rsid w:val="00973280"/>
    <w:rsid w:val="009732A5"/>
    <w:rsid w:val="009732FA"/>
    <w:rsid w:val="00973300"/>
    <w:rsid w:val="0097331E"/>
    <w:rsid w:val="009733AA"/>
    <w:rsid w:val="009733B1"/>
    <w:rsid w:val="009733B5"/>
    <w:rsid w:val="009733D9"/>
    <w:rsid w:val="00973420"/>
    <w:rsid w:val="00973431"/>
    <w:rsid w:val="0097347D"/>
    <w:rsid w:val="0097348C"/>
    <w:rsid w:val="009734A9"/>
    <w:rsid w:val="00973557"/>
    <w:rsid w:val="00973615"/>
    <w:rsid w:val="00973634"/>
    <w:rsid w:val="009736B8"/>
    <w:rsid w:val="009736C6"/>
    <w:rsid w:val="009736D5"/>
    <w:rsid w:val="009736F2"/>
    <w:rsid w:val="00973743"/>
    <w:rsid w:val="009737EF"/>
    <w:rsid w:val="00973834"/>
    <w:rsid w:val="00973848"/>
    <w:rsid w:val="009738DC"/>
    <w:rsid w:val="00973926"/>
    <w:rsid w:val="0097392D"/>
    <w:rsid w:val="00973979"/>
    <w:rsid w:val="00973B44"/>
    <w:rsid w:val="00973BAD"/>
    <w:rsid w:val="00973BD9"/>
    <w:rsid w:val="00973C09"/>
    <w:rsid w:val="00973C3C"/>
    <w:rsid w:val="00973D22"/>
    <w:rsid w:val="00973D48"/>
    <w:rsid w:val="00973E48"/>
    <w:rsid w:val="00973E53"/>
    <w:rsid w:val="00973EA5"/>
    <w:rsid w:val="00973ED5"/>
    <w:rsid w:val="00973EDE"/>
    <w:rsid w:val="00973EE4"/>
    <w:rsid w:val="00973F1A"/>
    <w:rsid w:val="00973F3E"/>
    <w:rsid w:val="00973F81"/>
    <w:rsid w:val="00973FA1"/>
    <w:rsid w:val="00973FB2"/>
    <w:rsid w:val="00973FF8"/>
    <w:rsid w:val="00974011"/>
    <w:rsid w:val="0097401A"/>
    <w:rsid w:val="00974046"/>
    <w:rsid w:val="009740A0"/>
    <w:rsid w:val="009740B5"/>
    <w:rsid w:val="009740CA"/>
    <w:rsid w:val="009741D4"/>
    <w:rsid w:val="009741F1"/>
    <w:rsid w:val="00974272"/>
    <w:rsid w:val="009742BB"/>
    <w:rsid w:val="00974311"/>
    <w:rsid w:val="0097436F"/>
    <w:rsid w:val="0097440A"/>
    <w:rsid w:val="00974462"/>
    <w:rsid w:val="009744C2"/>
    <w:rsid w:val="009744D3"/>
    <w:rsid w:val="00974514"/>
    <w:rsid w:val="00974536"/>
    <w:rsid w:val="0097453C"/>
    <w:rsid w:val="0097454F"/>
    <w:rsid w:val="009745CA"/>
    <w:rsid w:val="0097463F"/>
    <w:rsid w:val="0097465F"/>
    <w:rsid w:val="009746AE"/>
    <w:rsid w:val="009746C0"/>
    <w:rsid w:val="0097477B"/>
    <w:rsid w:val="0097477D"/>
    <w:rsid w:val="0097487E"/>
    <w:rsid w:val="0097491F"/>
    <w:rsid w:val="0097496D"/>
    <w:rsid w:val="00974A4F"/>
    <w:rsid w:val="00974AFA"/>
    <w:rsid w:val="00974B63"/>
    <w:rsid w:val="00974B78"/>
    <w:rsid w:val="00974BE9"/>
    <w:rsid w:val="00974C1C"/>
    <w:rsid w:val="00974C3B"/>
    <w:rsid w:val="00974C6D"/>
    <w:rsid w:val="00974CB2"/>
    <w:rsid w:val="00974D12"/>
    <w:rsid w:val="00974E64"/>
    <w:rsid w:val="00974E93"/>
    <w:rsid w:val="00974EA1"/>
    <w:rsid w:val="00974F14"/>
    <w:rsid w:val="00974F5C"/>
    <w:rsid w:val="00974F5E"/>
    <w:rsid w:val="00974FBD"/>
    <w:rsid w:val="00974FCC"/>
    <w:rsid w:val="00974FFB"/>
    <w:rsid w:val="00975009"/>
    <w:rsid w:val="0097502F"/>
    <w:rsid w:val="00975082"/>
    <w:rsid w:val="009750C6"/>
    <w:rsid w:val="00975156"/>
    <w:rsid w:val="009751C4"/>
    <w:rsid w:val="00975216"/>
    <w:rsid w:val="00975244"/>
    <w:rsid w:val="009752AA"/>
    <w:rsid w:val="009752B2"/>
    <w:rsid w:val="00975315"/>
    <w:rsid w:val="009753D2"/>
    <w:rsid w:val="00975483"/>
    <w:rsid w:val="0097550A"/>
    <w:rsid w:val="0097551F"/>
    <w:rsid w:val="00975539"/>
    <w:rsid w:val="00975550"/>
    <w:rsid w:val="00975552"/>
    <w:rsid w:val="009755D6"/>
    <w:rsid w:val="009756F4"/>
    <w:rsid w:val="00975712"/>
    <w:rsid w:val="0097572D"/>
    <w:rsid w:val="0097579E"/>
    <w:rsid w:val="009757A5"/>
    <w:rsid w:val="0097585B"/>
    <w:rsid w:val="00975866"/>
    <w:rsid w:val="009758C5"/>
    <w:rsid w:val="00975A0A"/>
    <w:rsid w:val="00975A83"/>
    <w:rsid w:val="00975B0E"/>
    <w:rsid w:val="00975B70"/>
    <w:rsid w:val="00975BA1"/>
    <w:rsid w:val="00975BFA"/>
    <w:rsid w:val="00975D31"/>
    <w:rsid w:val="00975DB0"/>
    <w:rsid w:val="00975DCE"/>
    <w:rsid w:val="00975E0F"/>
    <w:rsid w:val="00975E4E"/>
    <w:rsid w:val="00975F9C"/>
    <w:rsid w:val="00975FEB"/>
    <w:rsid w:val="0097601A"/>
    <w:rsid w:val="009760C2"/>
    <w:rsid w:val="009760E6"/>
    <w:rsid w:val="0097610C"/>
    <w:rsid w:val="00976171"/>
    <w:rsid w:val="0097623D"/>
    <w:rsid w:val="0097625E"/>
    <w:rsid w:val="009762FF"/>
    <w:rsid w:val="0097634C"/>
    <w:rsid w:val="00976373"/>
    <w:rsid w:val="0097638B"/>
    <w:rsid w:val="009763A3"/>
    <w:rsid w:val="009764B3"/>
    <w:rsid w:val="00976537"/>
    <w:rsid w:val="00976553"/>
    <w:rsid w:val="0097659F"/>
    <w:rsid w:val="009765B3"/>
    <w:rsid w:val="009765F9"/>
    <w:rsid w:val="00976674"/>
    <w:rsid w:val="0097683D"/>
    <w:rsid w:val="009768B7"/>
    <w:rsid w:val="00976A33"/>
    <w:rsid w:val="00976A76"/>
    <w:rsid w:val="00976A8C"/>
    <w:rsid w:val="00976AD9"/>
    <w:rsid w:val="00976BA7"/>
    <w:rsid w:val="00976D9A"/>
    <w:rsid w:val="00976E11"/>
    <w:rsid w:val="00976E28"/>
    <w:rsid w:val="00976E88"/>
    <w:rsid w:val="00976FC0"/>
    <w:rsid w:val="0097701F"/>
    <w:rsid w:val="0097709D"/>
    <w:rsid w:val="009770ED"/>
    <w:rsid w:val="00977110"/>
    <w:rsid w:val="00977159"/>
    <w:rsid w:val="009771E0"/>
    <w:rsid w:val="009772BF"/>
    <w:rsid w:val="00977354"/>
    <w:rsid w:val="00977393"/>
    <w:rsid w:val="009773AF"/>
    <w:rsid w:val="00977484"/>
    <w:rsid w:val="009774E0"/>
    <w:rsid w:val="009774E9"/>
    <w:rsid w:val="009775D2"/>
    <w:rsid w:val="00977625"/>
    <w:rsid w:val="0097763C"/>
    <w:rsid w:val="00977672"/>
    <w:rsid w:val="0097769A"/>
    <w:rsid w:val="009776CB"/>
    <w:rsid w:val="0097775B"/>
    <w:rsid w:val="0097781D"/>
    <w:rsid w:val="0097789D"/>
    <w:rsid w:val="009778E0"/>
    <w:rsid w:val="009778E4"/>
    <w:rsid w:val="009778EF"/>
    <w:rsid w:val="0097798B"/>
    <w:rsid w:val="0097798E"/>
    <w:rsid w:val="00977ADA"/>
    <w:rsid w:val="00977AF1"/>
    <w:rsid w:val="00977B10"/>
    <w:rsid w:val="00977B23"/>
    <w:rsid w:val="00977B60"/>
    <w:rsid w:val="00977BCE"/>
    <w:rsid w:val="00977C35"/>
    <w:rsid w:val="00977C86"/>
    <w:rsid w:val="00977C91"/>
    <w:rsid w:val="00977C9F"/>
    <w:rsid w:val="00977D03"/>
    <w:rsid w:val="00977DD9"/>
    <w:rsid w:val="00977E71"/>
    <w:rsid w:val="00977EBE"/>
    <w:rsid w:val="00977F6B"/>
    <w:rsid w:val="00977FC4"/>
    <w:rsid w:val="00980055"/>
    <w:rsid w:val="009800B0"/>
    <w:rsid w:val="009800EE"/>
    <w:rsid w:val="0098016A"/>
    <w:rsid w:val="0098019E"/>
    <w:rsid w:val="00980220"/>
    <w:rsid w:val="00980260"/>
    <w:rsid w:val="009802B1"/>
    <w:rsid w:val="0098035A"/>
    <w:rsid w:val="00980388"/>
    <w:rsid w:val="00980401"/>
    <w:rsid w:val="0098041B"/>
    <w:rsid w:val="00980435"/>
    <w:rsid w:val="0098047C"/>
    <w:rsid w:val="00980503"/>
    <w:rsid w:val="0098050A"/>
    <w:rsid w:val="009805AF"/>
    <w:rsid w:val="009805D9"/>
    <w:rsid w:val="00980671"/>
    <w:rsid w:val="009806B3"/>
    <w:rsid w:val="009806ED"/>
    <w:rsid w:val="0098073F"/>
    <w:rsid w:val="00980780"/>
    <w:rsid w:val="009807F1"/>
    <w:rsid w:val="009808E2"/>
    <w:rsid w:val="009808ED"/>
    <w:rsid w:val="0098091B"/>
    <w:rsid w:val="0098098A"/>
    <w:rsid w:val="00980A78"/>
    <w:rsid w:val="00980B10"/>
    <w:rsid w:val="00980C02"/>
    <w:rsid w:val="00980CE6"/>
    <w:rsid w:val="00980D03"/>
    <w:rsid w:val="00980D05"/>
    <w:rsid w:val="00980D10"/>
    <w:rsid w:val="00980DA8"/>
    <w:rsid w:val="00980E67"/>
    <w:rsid w:val="00980E8A"/>
    <w:rsid w:val="00980F67"/>
    <w:rsid w:val="00980F87"/>
    <w:rsid w:val="00981024"/>
    <w:rsid w:val="00981177"/>
    <w:rsid w:val="00981184"/>
    <w:rsid w:val="009811C8"/>
    <w:rsid w:val="0098120B"/>
    <w:rsid w:val="0098123F"/>
    <w:rsid w:val="009812A9"/>
    <w:rsid w:val="009812AA"/>
    <w:rsid w:val="009813C8"/>
    <w:rsid w:val="009813D0"/>
    <w:rsid w:val="009813DC"/>
    <w:rsid w:val="00981469"/>
    <w:rsid w:val="0098148B"/>
    <w:rsid w:val="0098149A"/>
    <w:rsid w:val="009814EA"/>
    <w:rsid w:val="00981537"/>
    <w:rsid w:val="009815CA"/>
    <w:rsid w:val="009815D1"/>
    <w:rsid w:val="009815F9"/>
    <w:rsid w:val="009816EA"/>
    <w:rsid w:val="009816FB"/>
    <w:rsid w:val="00981715"/>
    <w:rsid w:val="00981749"/>
    <w:rsid w:val="00981755"/>
    <w:rsid w:val="009817B5"/>
    <w:rsid w:val="009817C9"/>
    <w:rsid w:val="00981824"/>
    <w:rsid w:val="00981845"/>
    <w:rsid w:val="00981924"/>
    <w:rsid w:val="0098195F"/>
    <w:rsid w:val="00981A98"/>
    <w:rsid w:val="00981AF5"/>
    <w:rsid w:val="00981B19"/>
    <w:rsid w:val="00981B29"/>
    <w:rsid w:val="00981B36"/>
    <w:rsid w:val="00981B48"/>
    <w:rsid w:val="00981BB8"/>
    <w:rsid w:val="00981BE6"/>
    <w:rsid w:val="00981C14"/>
    <w:rsid w:val="00981C4C"/>
    <w:rsid w:val="00981C6D"/>
    <w:rsid w:val="00981CC6"/>
    <w:rsid w:val="00981CC9"/>
    <w:rsid w:val="00981D04"/>
    <w:rsid w:val="00981D8B"/>
    <w:rsid w:val="00981DB6"/>
    <w:rsid w:val="00981DC0"/>
    <w:rsid w:val="00981E24"/>
    <w:rsid w:val="00981F08"/>
    <w:rsid w:val="00981F29"/>
    <w:rsid w:val="0098205E"/>
    <w:rsid w:val="00982081"/>
    <w:rsid w:val="009820A0"/>
    <w:rsid w:val="0098211E"/>
    <w:rsid w:val="0098211F"/>
    <w:rsid w:val="009822F7"/>
    <w:rsid w:val="0098234D"/>
    <w:rsid w:val="009823F7"/>
    <w:rsid w:val="00982441"/>
    <w:rsid w:val="0098245F"/>
    <w:rsid w:val="0098249A"/>
    <w:rsid w:val="009824BF"/>
    <w:rsid w:val="0098252D"/>
    <w:rsid w:val="009825D2"/>
    <w:rsid w:val="00982653"/>
    <w:rsid w:val="00982674"/>
    <w:rsid w:val="009826DB"/>
    <w:rsid w:val="00982701"/>
    <w:rsid w:val="00982741"/>
    <w:rsid w:val="009827BD"/>
    <w:rsid w:val="009827E3"/>
    <w:rsid w:val="009827E5"/>
    <w:rsid w:val="00982837"/>
    <w:rsid w:val="009829AA"/>
    <w:rsid w:val="009829C5"/>
    <w:rsid w:val="00982A1A"/>
    <w:rsid w:val="00982A29"/>
    <w:rsid w:val="00982ABC"/>
    <w:rsid w:val="00982AED"/>
    <w:rsid w:val="00982C75"/>
    <w:rsid w:val="00982CF1"/>
    <w:rsid w:val="00982CFC"/>
    <w:rsid w:val="00982D11"/>
    <w:rsid w:val="00982D26"/>
    <w:rsid w:val="00982D31"/>
    <w:rsid w:val="00982D3D"/>
    <w:rsid w:val="00982DEE"/>
    <w:rsid w:val="00982E98"/>
    <w:rsid w:val="00982F58"/>
    <w:rsid w:val="00982F9F"/>
    <w:rsid w:val="00983114"/>
    <w:rsid w:val="009831AD"/>
    <w:rsid w:val="009831C2"/>
    <w:rsid w:val="00983211"/>
    <w:rsid w:val="00983229"/>
    <w:rsid w:val="00983247"/>
    <w:rsid w:val="009832F8"/>
    <w:rsid w:val="009833D4"/>
    <w:rsid w:val="00983455"/>
    <w:rsid w:val="0098345E"/>
    <w:rsid w:val="00983482"/>
    <w:rsid w:val="009834A6"/>
    <w:rsid w:val="00983510"/>
    <w:rsid w:val="009836FB"/>
    <w:rsid w:val="00983741"/>
    <w:rsid w:val="009837AA"/>
    <w:rsid w:val="009837FA"/>
    <w:rsid w:val="0098383D"/>
    <w:rsid w:val="0098388E"/>
    <w:rsid w:val="009838B8"/>
    <w:rsid w:val="0098398C"/>
    <w:rsid w:val="009839BF"/>
    <w:rsid w:val="009839C5"/>
    <w:rsid w:val="009839EB"/>
    <w:rsid w:val="009839F2"/>
    <w:rsid w:val="00983AE2"/>
    <w:rsid w:val="00983AE6"/>
    <w:rsid w:val="00983AF5"/>
    <w:rsid w:val="00983B35"/>
    <w:rsid w:val="00983C1F"/>
    <w:rsid w:val="00983C49"/>
    <w:rsid w:val="00983C62"/>
    <w:rsid w:val="00983C6E"/>
    <w:rsid w:val="00983C73"/>
    <w:rsid w:val="00983C82"/>
    <w:rsid w:val="00983CCA"/>
    <w:rsid w:val="00983CE8"/>
    <w:rsid w:val="00983D41"/>
    <w:rsid w:val="00983D6D"/>
    <w:rsid w:val="00983D89"/>
    <w:rsid w:val="00983DEC"/>
    <w:rsid w:val="00983E3D"/>
    <w:rsid w:val="00983F39"/>
    <w:rsid w:val="00983F6B"/>
    <w:rsid w:val="00983F6C"/>
    <w:rsid w:val="00984035"/>
    <w:rsid w:val="00984175"/>
    <w:rsid w:val="009841D8"/>
    <w:rsid w:val="009841E1"/>
    <w:rsid w:val="0098421B"/>
    <w:rsid w:val="0098422C"/>
    <w:rsid w:val="00984235"/>
    <w:rsid w:val="00984291"/>
    <w:rsid w:val="009842CB"/>
    <w:rsid w:val="00984305"/>
    <w:rsid w:val="0098431B"/>
    <w:rsid w:val="00984361"/>
    <w:rsid w:val="00984371"/>
    <w:rsid w:val="009843FE"/>
    <w:rsid w:val="0098440A"/>
    <w:rsid w:val="0098448E"/>
    <w:rsid w:val="00984518"/>
    <w:rsid w:val="00984610"/>
    <w:rsid w:val="00984619"/>
    <w:rsid w:val="009846B0"/>
    <w:rsid w:val="009846CD"/>
    <w:rsid w:val="009846D2"/>
    <w:rsid w:val="0098474A"/>
    <w:rsid w:val="0098475C"/>
    <w:rsid w:val="0098479D"/>
    <w:rsid w:val="009847EB"/>
    <w:rsid w:val="00984814"/>
    <w:rsid w:val="00984827"/>
    <w:rsid w:val="00984837"/>
    <w:rsid w:val="00984889"/>
    <w:rsid w:val="009848C5"/>
    <w:rsid w:val="0098495C"/>
    <w:rsid w:val="009849EA"/>
    <w:rsid w:val="00984AD2"/>
    <w:rsid w:val="00984B4C"/>
    <w:rsid w:val="00984B5A"/>
    <w:rsid w:val="00984BCB"/>
    <w:rsid w:val="00984C93"/>
    <w:rsid w:val="00984CC7"/>
    <w:rsid w:val="00984D07"/>
    <w:rsid w:val="00984D53"/>
    <w:rsid w:val="00984D5B"/>
    <w:rsid w:val="00984EAC"/>
    <w:rsid w:val="00984ED5"/>
    <w:rsid w:val="00984EF7"/>
    <w:rsid w:val="00984EFC"/>
    <w:rsid w:val="00984F42"/>
    <w:rsid w:val="00984F43"/>
    <w:rsid w:val="00984F90"/>
    <w:rsid w:val="00984FBA"/>
    <w:rsid w:val="00985039"/>
    <w:rsid w:val="00985080"/>
    <w:rsid w:val="0098509E"/>
    <w:rsid w:val="00985138"/>
    <w:rsid w:val="0098514A"/>
    <w:rsid w:val="009851B9"/>
    <w:rsid w:val="009851C7"/>
    <w:rsid w:val="009851D2"/>
    <w:rsid w:val="009851E5"/>
    <w:rsid w:val="0098522A"/>
    <w:rsid w:val="009852AD"/>
    <w:rsid w:val="009852E3"/>
    <w:rsid w:val="009852E9"/>
    <w:rsid w:val="00985306"/>
    <w:rsid w:val="00985318"/>
    <w:rsid w:val="009853AE"/>
    <w:rsid w:val="0098542D"/>
    <w:rsid w:val="0098547D"/>
    <w:rsid w:val="009854F4"/>
    <w:rsid w:val="0098560D"/>
    <w:rsid w:val="0098562B"/>
    <w:rsid w:val="00985679"/>
    <w:rsid w:val="009856EE"/>
    <w:rsid w:val="009856F4"/>
    <w:rsid w:val="00985743"/>
    <w:rsid w:val="009857A5"/>
    <w:rsid w:val="0098580F"/>
    <w:rsid w:val="0098583D"/>
    <w:rsid w:val="009858A4"/>
    <w:rsid w:val="00985986"/>
    <w:rsid w:val="00985992"/>
    <w:rsid w:val="009859A6"/>
    <w:rsid w:val="00985A77"/>
    <w:rsid w:val="00985A79"/>
    <w:rsid w:val="00985AB1"/>
    <w:rsid w:val="00985B12"/>
    <w:rsid w:val="00985B5B"/>
    <w:rsid w:val="00985C0B"/>
    <w:rsid w:val="00985C22"/>
    <w:rsid w:val="00985C36"/>
    <w:rsid w:val="00985C4C"/>
    <w:rsid w:val="00985CA3"/>
    <w:rsid w:val="00985D1A"/>
    <w:rsid w:val="00985D48"/>
    <w:rsid w:val="00985EB0"/>
    <w:rsid w:val="00985EF9"/>
    <w:rsid w:val="00985F62"/>
    <w:rsid w:val="00985FD8"/>
    <w:rsid w:val="00986009"/>
    <w:rsid w:val="00986031"/>
    <w:rsid w:val="009860B3"/>
    <w:rsid w:val="009860EE"/>
    <w:rsid w:val="0098615F"/>
    <w:rsid w:val="00986212"/>
    <w:rsid w:val="00986255"/>
    <w:rsid w:val="00986331"/>
    <w:rsid w:val="00986352"/>
    <w:rsid w:val="0098635B"/>
    <w:rsid w:val="0098637C"/>
    <w:rsid w:val="00986407"/>
    <w:rsid w:val="009864B5"/>
    <w:rsid w:val="0098661B"/>
    <w:rsid w:val="00986652"/>
    <w:rsid w:val="00986662"/>
    <w:rsid w:val="0098669B"/>
    <w:rsid w:val="009866CB"/>
    <w:rsid w:val="00986732"/>
    <w:rsid w:val="009867B9"/>
    <w:rsid w:val="009867E8"/>
    <w:rsid w:val="00986814"/>
    <w:rsid w:val="009868B1"/>
    <w:rsid w:val="0098691C"/>
    <w:rsid w:val="009869A6"/>
    <w:rsid w:val="009869A9"/>
    <w:rsid w:val="00986A15"/>
    <w:rsid w:val="00986A19"/>
    <w:rsid w:val="00986A52"/>
    <w:rsid w:val="00986ADB"/>
    <w:rsid w:val="00986B2F"/>
    <w:rsid w:val="00986C3B"/>
    <w:rsid w:val="00986D71"/>
    <w:rsid w:val="00986D9E"/>
    <w:rsid w:val="00986DA8"/>
    <w:rsid w:val="00986DAF"/>
    <w:rsid w:val="00986E98"/>
    <w:rsid w:val="00986EC2"/>
    <w:rsid w:val="00986EDB"/>
    <w:rsid w:val="00986F39"/>
    <w:rsid w:val="00986F61"/>
    <w:rsid w:val="00986F83"/>
    <w:rsid w:val="00987030"/>
    <w:rsid w:val="00987048"/>
    <w:rsid w:val="00987067"/>
    <w:rsid w:val="009870E2"/>
    <w:rsid w:val="00987135"/>
    <w:rsid w:val="009871DC"/>
    <w:rsid w:val="0098721D"/>
    <w:rsid w:val="00987248"/>
    <w:rsid w:val="00987251"/>
    <w:rsid w:val="00987253"/>
    <w:rsid w:val="0098726D"/>
    <w:rsid w:val="0098730C"/>
    <w:rsid w:val="00987354"/>
    <w:rsid w:val="00987376"/>
    <w:rsid w:val="009873DD"/>
    <w:rsid w:val="00987422"/>
    <w:rsid w:val="00987453"/>
    <w:rsid w:val="009874F1"/>
    <w:rsid w:val="009874FF"/>
    <w:rsid w:val="0098753F"/>
    <w:rsid w:val="00987550"/>
    <w:rsid w:val="009875A6"/>
    <w:rsid w:val="009875F6"/>
    <w:rsid w:val="00987684"/>
    <w:rsid w:val="0098776B"/>
    <w:rsid w:val="0098777F"/>
    <w:rsid w:val="0098786A"/>
    <w:rsid w:val="0098789B"/>
    <w:rsid w:val="009878FC"/>
    <w:rsid w:val="009878FE"/>
    <w:rsid w:val="00987925"/>
    <w:rsid w:val="0098793E"/>
    <w:rsid w:val="0098795C"/>
    <w:rsid w:val="00987A42"/>
    <w:rsid w:val="00987A7E"/>
    <w:rsid w:val="00987AE1"/>
    <w:rsid w:val="00987B0C"/>
    <w:rsid w:val="00987BD3"/>
    <w:rsid w:val="00987C38"/>
    <w:rsid w:val="00987C44"/>
    <w:rsid w:val="00987C59"/>
    <w:rsid w:val="00987C67"/>
    <w:rsid w:val="00987C68"/>
    <w:rsid w:val="00987CA1"/>
    <w:rsid w:val="00987CD2"/>
    <w:rsid w:val="00987CF8"/>
    <w:rsid w:val="00987D76"/>
    <w:rsid w:val="00987E43"/>
    <w:rsid w:val="00987EA0"/>
    <w:rsid w:val="00987F03"/>
    <w:rsid w:val="00987F45"/>
    <w:rsid w:val="00987F4F"/>
    <w:rsid w:val="00990001"/>
    <w:rsid w:val="00990024"/>
    <w:rsid w:val="00990059"/>
    <w:rsid w:val="00990082"/>
    <w:rsid w:val="009900D1"/>
    <w:rsid w:val="00990102"/>
    <w:rsid w:val="0099018D"/>
    <w:rsid w:val="00990297"/>
    <w:rsid w:val="009902E3"/>
    <w:rsid w:val="00990383"/>
    <w:rsid w:val="009903BC"/>
    <w:rsid w:val="009903EE"/>
    <w:rsid w:val="009903F4"/>
    <w:rsid w:val="0099040B"/>
    <w:rsid w:val="00990428"/>
    <w:rsid w:val="0099042A"/>
    <w:rsid w:val="00990489"/>
    <w:rsid w:val="009904E8"/>
    <w:rsid w:val="0099055C"/>
    <w:rsid w:val="00990563"/>
    <w:rsid w:val="00990570"/>
    <w:rsid w:val="00990589"/>
    <w:rsid w:val="0099067C"/>
    <w:rsid w:val="0099070A"/>
    <w:rsid w:val="0099077D"/>
    <w:rsid w:val="009907C2"/>
    <w:rsid w:val="00990845"/>
    <w:rsid w:val="009908E3"/>
    <w:rsid w:val="00990920"/>
    <w:rsid w:val="00990976"/>
    <w:rsid w:val="00990B29"/>
    <w:rsid w:val="00990B7A"/>
    <w:rsid w:val="00990D39"/>
    <w:rsid w:val="00990D4B"/>
    <w:rsid w:val="00990DDE"/>
    <w:rsid w:val="00990E40"/>
    <w:rsid w:val="00990E52"/>
    <w:rsid w:val="00990E55"/>
    <w:rsid w:val="00990E73"/>
    <w:rsid w:val="00990F4E"/>
    <w:rsid w:val="00990F8B"/>
    <w:rsid w:val="0099104B"/>
    <w:rsid w:val="009910B7"/>
    <w:rsid w:val="009910C8"/>
    <w:rsid w:val="00991135"/>
    <w:rsid w:val="0099117B"/>
    <w:rsid w:val="0099118C"/>
    <w:rsid w:val="009911DA"/>
    <w:rsid w:val="009912C5"/>
    <w:rsid w:val="00991318"/>
    <w:rsid w:val="00991346"/>
    <w:rsid w:val="00991352"/>
    <w:rsid w:val="00991408"/>
    <w:rsid w:val="00991429"/>
    <w:rsid w:val="009914DE"/>
    <w:rsid w:val="009914E8"/>
    <w:rsid w:val="00991501"/>
    <w:rsid w:val="009915DD"/>
    <w:rsid w:val="00991613"/>
    <w:rsid w:val="00991649"/>
    <w:rsid w:val="0099168D"/>
    <w:rsid w:val="009917AE"/>
    <w:rsid w:val="009917C0"/>
    <w:rsid w:val="009917EF"/>
    <w:rsid w:val="009917FC"/>
    <w:rsid w:val="00991812"/>
    <w:rsid w:val="00991977"/>
    <w:rsid w:val="009919AC"/>
    <w:rsid w:val="00991A0F"/>
    <w:rsid w:val="00991B26"/>
    <w:rsid w:val="00991B2C"/>
    <w:rsid w:val="00991BBA"/>
    <w:rsid w:val="00991BE7"/>
    <w:rsid w:val="00991C5B"/>
    <w:rsid w:val="00991C8D"/>
    <w:rsid w:val="00991CBE"/>
    <w:rsid w:val="00991D75"/>
    <w:rsid w:val="00991DBB"/>
    <w:rsid w:val="00991DC6"/>
    <w:rsid w:val="00991E00"/>
    <w:rsid w:val="00991E02"/>
    <w:rsid w:val="00991E37"/>
    <w:rsid w:val="00991E41"/>
    <w:rsid w:val="00991E44"/>
    <w:rsid w:val="00991EA6"/>
    <w:rsid w:val="00991F35"/>
    <w:rsid w:val="00991F4E"/>
    <w:rsid w:val="00991FC0"/>
    <w:rsid w:val="00991FF4"/>
    <w:rsid w:val="00992065"/>
    <w:rsid w:val="009920C4"/>
    <w:rsid w:val="0099217D"/>
    <w:rsid w:val="0099219D"/>
    <w:rsid w:val="009921EE"/>
    <w:rsid w:val="00992299"/>
    <w:rsid w:val="009922CA"/>
    <w:rsid w:val="00992321"/>
    <w:rsid w:val="00992378"/>
    <w:rsid w:val="009923C1"/>
    <w:rsid w:val="00992433"/>
    <w:rsid w:val="00992473"/>
    <w:rsid w:val="00992483"/>
    <w:rsid w:val="0099249E"/>
    <w:rsid w:val="0099253E"/>
    <w:rsid w:val="0099255F"/>
    <w:rsid w:val="009925C0"/>
    <w:rsid w:val="009925E6"/>
    <w:rsid w:val="00992600"/>
    <w:rsid w:val="009926E2"/>
    <w:rsid w:val="00992710"/>
    <w:rsid w:val="0099272C"/>
    <w:rsid w:val="0099273F"/>
    <w:rsid w:val="00992748"/>
    <w:rsid w:val="00992787"/>
    <w:rsid w:val="009927BC"/>
    <w:rsid w:val="00992801"/>
    <w:rsid w:val="00992856"/>
    <w:rsid w:val="009928CA"/>
    <w:rsid w:val="0099292A"/>
    <w:rsid w:val="00992A89"/>
    <w:rsid w:val="00992A91"/>
    <w:rsid w:val="00992ACE"/>
    <w:rsid w:val="00992B39"/>
    <w:rsid w:val="00992BB4"/>
    <w:rsid w:val="00992BC2"/>
    <w:rsid w:val="00992C1E"/>
    <w:rsid w:val="00992C39"/>
    <w:rsid w:val="00992CE7"/>
    <w:rsid w:val="00992D09"/>
    <w:rsid w:val="00992DEC"/>
    <w:rsid w:val="00992E2F"/>
    <w:rsid w:val="00992EC4"/>
    <w:rsid w:val="00992F77"/>
    <w:rsid w:val="00992F9F"/>
    <w:rsid w:val="00992FB6"/>
    <w:rsid w:val="00993080"/>
    <w:rsid w:val="009930CC"/>
    <w:rsid w:val="0099312D"/>
    <w:rsid w:val="009931AE"/>
    <w:rsid w:val="009931CA"/>
    <w:rsid w:val="009931ED"/>
    <w:rsid w:val="0099323C"/>
    <w:rsid w:val="0099328E"/>
    <w:rsid w:val="00993445"/>
    <w:rsid w:val="00993451"/>
    <w:rsid w:val="0099345A"/>
    <w:rsid w:val="00993469"/>
    <w:rsid w:val="0099346C"/>
    <w:rsid w:val="009934C2"/>
    <w:rsid w:val="009934F8"/>
    <w:rsid w:val="0099354B"/>
    <w:rsid w:val="0099361D"/>
    <w:rsid w:val="00993628"/>
    <w:rsid w:val="0099376F"/>
    <w:rsid w:val="00993808"/>
    <w:rsid w:val="00993861"/>
    <w:rsid w:val="0099395C"/>
    <w:rsid w:val="009939AE"/>
    <w:rsid w:val="00993A47"/>
    <w:rsid w:val="00993A5E"/>
    <w:rsid w:val="00993A84"/>
    <w:rsid w:val="00993AC7"/>
    <w:rsid w:val="00993B26"/>
    <w:rsid w:val="00993B69"/>
    <w:rsid w:val="00993BAB"/>
    <w:rsid w:val="00993BB6"/>
    <w:rsid w:val="00993BEF"/>
    <w:rsid w:val="00993C0F"/>
    <w:rsid w:val="00993C10"/>
    <w:rsid w:val="00993C30"/>
    <w:rsid w:val="00993C46"/>
    <w:rsid w:val="00993C55"/>
    <w:rsid w:val="00993CE4"/>
    <w:rsid w:val="00993CFE"/>
    <w:rsid w:val="00993CFF"/>
    <w:rsid w:val="00993D7F"/>
    <w:rsid w:val="00993E39"/>
    <w:rsid w:val="00993EAC"/>
    <w:rsid w:val="00993FB5"/>
    <w:rsid w:val="0099405F"/>
    <w:rsid w:val="0099407E"/>
    <w:rsid w:val="00994146"/>
    <w:rsid w:val="00994152"/>
    <w:rsid w:val="009941C7"/>
    <w:rsid w:val="00994206"/>
    <w:rsid w:val="00994234"/>
    <w:rsid w:val="0099424E"/>
    <w:rsid w:val="009942AA"/>
    <w:rsid w:val="009942D0"/>
    <w:rsid w:val="0099431D"/>
    <w:rsid w:val="0099437D"/>
    <w:rsid w:val="00994386"/>
    <w:rsid w:val="009943E3"/>
    <w:rsid w:val="00994464"/>
    <w:rsid w:val="009944C0"/>
    <w:rsid w:val="009944CE"/>
    <w:rsid w:val="0099451B"/>
    <w:rsid w:val="00994598"/>
    <w:rsid w:val="00994697"/>
    <w:rsid w:val="00994731"/>
    <w:rsid w:val="00994732"/>
    <w:rsid w:val="00994762"/>
    <w:rsid w:val="009947CF"/>
    <w:rsid w:val="009947E0"/>
    <w:rsid w:val="009948EA"/>
    <w:rsid w:val="00994907"/>
    <w:rsid w:val="0099496E"/>
    <w:rsid w:val="00994A22"/>
    <w:rsid w:val="00994A8D"/>
    <w:rsid w:val="00994ABA"/>
    <w:rsid w:val="00994B3A"/>
    <w:rsid w:val="00994B5B"/>
    <w:rsid w:val="00994BD7"/>
    <w:rsid w:val="00994C68"/>
    <w:rsid w:val="00994D46"/>
    <w:rsid w:val="00994E59"/>
    <w:rsid w:val="00994E89"/>
    <w:rsid w:val="00994E98"/>
    <w:rsid w:val="00994EF1"/>
    <w:rsid w:val="00994F45"/>
    <w:rsid w:val="0099505E"/>
    <w:rsid w:val="0099514A"/>
    <w:rsid w:val="00995199"/>
    <w:rsid w:val="0099519B"/>
    <w:rsid w:val="00995242"/>
    <w:rsid w:val="0099533A"/>
    <w:rsid w:val="00995552"/>
    <w:rsid w:val="009955B2"/>
    <w:rsid w:val="009955E8"/>
    <w:rsid w:val="0099560C"/>
    <w:rsid w:val="00995624"/>
    <w:rsid w:val="00995657"/>
    <w:rsid w:val="0099568A"/>
    <w:rsid w:val="009956D8"/>
    <w:rsid w:val="00995724"/>
    <w:rsid w:val="00995735"/>
    <w:rsid w:val="00995768"/>
    <w:rsid w:val="0099576E"/>
    <w:rsid w:val="00995792"/>
    <w:rsid w:val="0099584C"/>
    <w:rsid w:val="0099587A"/>
    <w:rsid w:val="00995884"/>
    <w:rsid w:val="009958B1"/>
    <w:rsid w:val="00995A1D"/>
    <w:rsid w:val="00995A94"/>
    <w:rsid w:val="00995AE6"/>
    <w:rsid w:val="00995B31"/>
    <w:rsid w:val="00995BA3"/>
    <w:rsid w:val="00995CF7"/>
    <w:rsid w:val="00995D0B"/>
    <w:rsid w:val="00995D21"/>
    <w:rsid w:val="00995D23"/>
    <w:rsid w:val="00995D4D"/>
    <w:rsid w:val="00995DA8"/>
    <w:rsid w:val="00995E85"/>
    <w:rsid w:val="00995F68"/>
    <w:rsid w:val="00996058"/>
    <w:rsid w:val="009960A0"/>
    <w:rsid w:val="009960D7"/>
    <w:rsid w:val="0099614E"/>
    <w:rsid w:val="009961E2"/>
    <w:rsid w:val="009961F0"/>
    <w:rsid w:val="00996205"/>
    <w:rsid w:val="009962C9"/>
    <w:rsid w:val="0099633A"/>
    <w:rsid w:val="009963D2"/>
    <w:rsid w:val="00996550"/>
    <w:rsid w:val="009965B5"/>
    <w:rsid w:val="009965C6"/>
    <w:rsid w:val="0099663B"/>
    <w:rsid w:val="0099665C"/>
    <w:rsid w:val="0099675B"/>
    <w:rsid w:val="009967D7"/>
    <w:rsid w:val="009967F8"/>
    <w:rsid w:val="00996804"/>
    <w:rsid w:val="00996874"/>
    <w:rsid w:val="0099689B"/>
    <w:rsid w:val="009968FB"/>
    <w:rsid w:val="00996920"/>
    <w:rsid w:val="00996990"/>
    <w:rsid w:val="00996998"/>
    <w:rsid w:val="009969D3"/>
    <w:rsid w:val="00996A02"/>
    <w:rsid w:val="00996A94"/>
    <w:rsid w:val="00996AC5"/>
    <w:rsid w:val="00996ACC"/>
    <w:rsid w:val="00996B14"/>
    <w:rsid w:val="00996B63"/>
    <w:rsid w:val="00996B84"/>
    <w:rsid w:val="00996B8F"/>
    <w:rsid w:val="00996BAC"/>
    <w:rsid w:val="00996C16"/>
    <w:rsid w:val="00996C1D"/>
    <w:rsid w:val="00996CC0"/>
    <w:rsid w:val="00996D77"/>
    <w:rsid w:val="00996DE9"/>
    <w:rsid w:val="00996E5B"/>
    <w:rsid w:val="00996E68"/>
    <w:rsid w:val="00996F1E"/>
    <w:rsid w:val="00996F5E"/>
    <w:rsid w:val="00996FA5"/>
    <w:rsid w:val="00997024"/>
    <w:rsid w:val="00997089"/>
    <w:rsid w:val="009970A2"/>
    <w:rsid w:val="009970A5"/>
    <w:rsid w:val="009970C0"/>
    <w:rsid w:val="009970D4"/>
    <w:rsid w:val="0099710E"/>
    <w:rsid w:val="00997144"/>
    <w:rsid w:val="00997163"/>
    <w:rsid w:val="009971BE"/>
    <w:rsid w:val="00997272"/>
    <w:rsid w:val="009972C4"/>
    <w:rsid w:val="0099736D"/>
    <w:rsid w:val="00997404"/>
    <w:rsid w:val="009974B1"/>
    <w:rsid w:val="0099755A"/>
    <w:rsid w:val="00997583"/>
    <w:rsid w:val="009975D1"/>
    <w:rsid w:val="0099766B"/>
    <w:rsid w:val="00997709"/>
    <w:rsid w:val="00997856"/>
    <w:rsid w:val="00997875"/>
    <w:rsid w:val="00997951"/>
    <w:rsid w:val="009979FB"/>
    <w:rsid w:val="00997B75"/>
    <w:rsid w:val="00997C27"/>
    <w:rsid w:val="00997CCF"/>
    <w:rsid w:val="00997D08"/>
    <w:rsid w:val="00997D3C"/>
    <w:rsid w:val="00997F1A"/>
    <w:rsid w:val="009A00D6"/>
    <w:rsid w:val="009A01E6"/>
    <w:rsid w:val="009A0339"/>
    <w:rsid w:val="009A0458"/>
    <w:rsid w:val="009A0497"/>
    <w:rsid w:val="009A0501"/>
    <w:rsid w:val="009A053B"/>
    <w:rsid w:val="009A05F5"/>
    <w:rsid w:val="009A064A"/>
    <w:rsid w:val="009A064F"/>
    <w:rsid w:val="009A0810"/>
    <w:rsid w:val="009A0819"/>
    <w:rsid w:val="009A081D"/>
    <w:rsid w:val="009A0828"/>
    <w:rsid w:val="009A085F"/>
    <w:rsid w:val="009A087F"/>
    <w:rsid w:val="009A0941"/>
    <w:rsid w:val="009A0945"/>
    <w:rsid w:val="009A09BC"/>
    <w:rsid w:val="009A09BF"/>
    <w:rsid w:val="009A0A7F"/>
    <w:rsid w:val="009A0AA0"/>
    <w:rsid w:val="009A0AC6"/>
    <w:rsid w:val="009A0B69"/>
    <w:rsid w:val="009A0B6E"/>
    <w:rsid w:val="009A0B77"/>
    <w:rsid w:val="009A0BDE"/>
    <w:rsid w:val="009A0C9F"/>
    <w:rsid w:val="009A0D3F"/>
    <w:rsid w:val="009A0D98"/>
    <w:rsid w:val="009A0E05"/>
    <w:rsid w:val="009A0E31"/>
    <w:rsid w:val="009A0E47"/>
    <w:rsid w:val="009A0EBA"/>
    <w:rsid w:val="009A0F47"/>
    <w:rsid w:val="009A0FDD"/>
    <w:rsid w:val="009A0FEF"/>
    <w:rsid w:val="009A10D4"/>
    <w:rsid w:val="009A11ED"/>
    <w:rsid w:val="009A1267"/>
    <w:rsid w:val="009A127B"/>
    <w:rsid w:val="009A1298"/>
    <w:rsid w:val="009A1334"/>
    <w:rsid w:val="009A13E5"/>
    <w:rsid w:val="009A14DD"/>
    <w:rsid w:val="009A150C"/>
    <w:rsid w:val="009A1573"/>
    <w:rsid w:val="009A15B5"/>
    <w:rsid w:val="009A1637"/>
    <w:rsid w:val="009A1683"/>
    <w:rsid w:val="009A16A8"/>
    <w:rsid w:val="009A16FA"/>
    <w:rsid w:val="009A170C"/>
    <w:rsid w:val="009A170D"/>
    <w:rsid w:val="009A1773"/>
    <w:rsid w:val="009A17A0"/>
    <w:rsid w:val="009A17A9"/>
    <w:rsid w:val="009A17B6"/>
    <w:rsid w:val="009A17DC"/>
    <w:rsid w:val="009A1863"/>
    <w:rsid w:val="009A1874"/>
    <w:rsid w:val="009A18EA"/>
    <w:rsid w:val="009A1918"/>
    <w:rsid w:val="009A1950"/>
    <w:rsid w:val="009A1988"/>
    <w:rsid w:val="009A19C9"/>
    <w:rsid w:val="009A19F4"/>
    <w:rsid w:val="009A1A70"/>
    <w:rsid w:val="009A1AF1"/>
    <w:rsid w:val="009A1B00"/>
    <w:rsid w:val="009A1C2C"/>
    <w:rsid w:val="009A1C52"/>
    <w:rsid w:val="009A1C66"/>
    <w:rsid w:val="009A1C73"/>
    <w:rsid w:val="009A1C93"/>
    <w:rsid w:val="009A1CDF"/>
    <w:rsid w:val="009A1D08"/>
    <w:rsid w:val="009A1F70"/>
    <w:rsid w:val="009A1FD2"/>
    <w:rsid w:val="009A1FDD"/>
    <w:rsid w:val="009A217F"/>
    <w:rsid w:val="009A223A"/>
    <w:rsid w:val="009A2244"/>
    <w:rsid w:val="009A2247"/>
    <w:rsid w:val="009A226A"/>
    <w:rsid w:val="009A227E"/>
    <w:rsid w:val="009A22B2"/>
    <w:rsid w:val="009A22CB"/>
    <w:rsid w:val="009A23A9"/>
    <w:rsid w:val="009A246B"/>
    <w:rsid w:val="009A2510"/>
    <w:rsid w:val="009A253E"/>
    <w:rsid w:val="009A2582"/>
    <w:rsid w:val="009A2600"/>
    <w:rsid w:val="009A2626"/>
    <w:rsid w:val="009A2629"/>
    <w:rsid w:val="009A2636"/>
    <w:rsid w:val="009A2785"/>
    <w:rsid w:val="009A2812"/>
    <w:rsid w:val="009A287F"/>
    <w:rsid w:val="009A2891"/>
    <w:rsid w:val="009A2898"/>
    <w:rsid w:val="009A28EA"/>
    <w:rsid w:val="009A28FC"/>
    <w:rsid w:val="009A292D"/>
    <w:rsid w:val="009A2A9C"/>
    <w:rsid w:val="009A2B12"/>
    <w:rsid w:val="009A2B98"/>
    <w:rsid w:val="009A2B9C"/>
    <w:rsid w:val="009A2BAC"/>
    <w:rsid w:val="009A2C66"/>
    <w:rsid w:val="009A2CB1"/>
    <w:rsid w:val="009A2D05"/>
    <w:rsid w:val="009A2DB5"/>
    <w:rsid w:val="009A2DE6"/>
    <w:rsid w:val="009A2DE7"/>
    <w:rsid w:val="009A2DF0"/>
    <w:rsid w:val="009A2E79"/>
    <w:rsid w:val="009A2EC9"/>
    <w:rsid w:val="009A2FDA"/>
    <w:rsid w:val="009A3032"/>
    <w:rsid w:val="009A30D7"/>
    <w:rsid w:val="009A3130"/>
    <w:rsid w:val="009A31FC"/>
    <w:rsid w:val="009A320A"/>
    <w:rsid w:val="009A324A"/>
    <w:rsid w:val="009A3360"/>
    <w:rsid w:val="009A33D9"/>
    <w:rsid w:val="009A33ED"/>
    <w:rsid w:val="009A3424"/>
    <w:rsid w:val="009A3446"/>
    <w:rsid w:val="009A3448"/>
    <w:rsid w:val="009A347D"/>
    <w:rsid w:val="009A349E"/>
    <w:rsid w:val="009A34BB"/>
    <w:rsid w:val="009A34ED"/>
    <w:rsid w:val="009A351A"/>
    <w:rsid w:val="009A3524"/>
    <w:rsid w:val="009A3541"/>
    <w:rsid w:val="009A3561"/>
    <w:rsid w:val="009A3576"/>
    <w:rsid w:val="009A35B7"/>
    <w:rsid w:val="009A35D1"/>
    <w:rsid w:val="009A3681"/>
    <w:rsid w:val="009A36A9"/>
    <w:rsid w:val="009A36CA"/>
    <w:rsid w:val="009A37BA"/>
    <w:rsid w:val="009A37EC"/>
    <w:rsid w:val="009A3806"/>
    <w:rsid w:val="009A3843"/>
    <w:rsid w:val="009A388C"/>
    <w:rsid w:val="009A390F"/>
    <w:rsid w:val="009A3A0B"/>
    <w:rsid w:val="009A3A58"/>
    <w:rsid w:val="009A3AA0"/>
    <w:rsid w:val="009A3AC1"/>
    <w:rsid w:val="009A3AC2"/>
    <w:rsid w:val="009A3B8B"/>
    <w:rsid w:val="009A3BDD"/>
    <w:rsid w:val="009A3C20"/>
    <w:rsid w:val="009A3C90"/>
    <w:rsid w:val="009A3CA1"/>
    <w:rsid w:val="009A3CC5"/>
    <w:rsid w:val="009A3CC6"/>
    <w:rsid w:val="009A3CE9"/>
    <w:rsid w:val="009A3D93"/>
    <w:rsid w:val="009A3DFE"/>
    <w:rsid w:val="009A3E27"/>
    <w:rsid w:val="009A3EF7"/>
    <w:rsid w:val="009A403E"/>
    <w:rsid w:val="009A4070"/>
    <w:rsid w:val="009A409F"/>
    <w:rsid w:val="009A40C2"/>
    <w:rsid w:val="009A40C6"/>
    <w:rsid w:val="009A40F5"/>
    <w:rsid w:val="009A40FB"/>
    <w:rsid w:val="009A4165"/>
    <w:rsid w:val="009A4174"/>
    <w:rsid w:val="009A422E"/>
    <w:rsid w:val="009A4266"/>
    <w:rsid w:val="009A42F6"/>
    <w:rsid w:val="009A43B5"/>
    <w:rsid w:val="009A4415"/>
    <w:rsid w:val="009A45A5"/>
    <w:rsid w:val="009A46C3"/>
    <w:rsid w:val="009A47B4"/>
    <w:rsid w:val="009A47FE"/>
    <w:rsid w:val="009A481B"/>
    <w:rsid w:val="009A48CE"/>
    <w:rsid w:val="009A4AB5"/>
    <w:rsid w:val="009A4BA0"/>
    <w:rsid w:val="009A4BDC"/>
    <w:rsid w:val="009A4C06"/>
    <w:rsid w:val="009A4C21"/>
    <w:rsid w:val="009A4C3D"/>
    <w:rsid w:val="009A4C40"/>
    <w:rsid w:val="009A4C41"/>
    <w:rsid w:val="009A4C4D"/>
    <w:rsid w:val="009A4C8C"/>
    <w:rsid w:val="009A4CB9"/>
    <w:rsid w:val="009A4CCC"/>
    <w:rsid w:val="009A4D82"/>
    <w:rsid w:val="009A4DD0"/>
    <w:rsid w:val="009A4EBB"/>
    <w:rsid w:val="009A5169"/>
    <w:rsid w:val="009A523D"/>
    <w:rsid w:val="009A52DF"/>
    <w:rsid w:val="009A5376"/>
    <w:rsid w:val="009A53A3"/>
    <w:rsid w:val="009A53EE"/>
    <w:rsid w:val="009A53F7"/>
    <w:rsid w:val="009A5452"/>
    <w:rsid w:val="009A561E"/>
    <w:rsid w:val="009A5663"/>
    <w:rsid w:val="009A577B"/>
    <w:rsid w:val="009A57AF"/>
    <w:rsid w:val="009A57B0"/>
    <w:rsid w:val="009A57C1"/>
    <w:rsid w:val="009A586E"/>
    <w:rsid w:val="009A5872"/>
    <w:rsid w:val="009A5977"/>
    <w:rsid w:val="009A5A07"/>
    <w:rsid w:val="009A5B1C"/>
    <w:rsid w:val="009A5B1E"/>
    <w:rsid w:val="009A5B23"/>
    <w:rsid w:val="009A5B88"/>
    <w:rsid w:val="009A5CB6"/>
    <w:rsid w:val="009A5D2C"/>
    <w:rsid w:val="009A5D78"/>
    <w:rsid w:val="009A5E2F"/>
    <w:rsid w:val="009A5E3C"/>
    <w:rsid w:val="009A5E63"/>
    <w:rsid w:val="009A5EA1"/>
    <w:rsid w:val="009A5EB0"/>
    <w:rsid w:val="009A5EE3"/>
    <w:rsid w:val="009A5F16"/>
    <w:rsid w:val="009A5F65"/>
    <w:rsid w:val="009A5FF2"/>
    <w:rsid w:val="009A604C"/>
    <w:rsid w:val="009A60E0"/>
    <w:rsid w:val="009A6147"/>
    <w:rsid w:val="009A6191"/>
    <w:rsid w:val="009A624C"/>
    <w:rsid w:val="009A629E"/>
    <w:rsid w:val="009A631A"/>
    <w:rsid w:val="009A6457"/>
    <w:rsid w:val="009A649D"/>
    <w:rsid w:val="009A6547"/>
    <w:rsid w:val="009A6586"/>
    <w:rsid w:val="009A6587"/>
    <w:rsid w:val="009A65A2"/>
    <w:rsid w:val="009A65B5"/>
    <w:rsid w:val="009A6665"/>
    <w:rsid w:val="009A680F"/>
    <w:rsid w:val="009A6849"/>
    <w:rsid w:val="009A6851"/>
    <w:rsid w:val="009A6861"/>
    <w:rsid w:val="009A6877"/>
    <w:rsid w:val="009A68C9"/>
    <w:rsid w:val="009A68D3"/>
    <w:rsid w:val="009A690D"/>
    <w:rsid w:val="009A6949"/>
    <w:rsid w:val="009A69A3"/>
    <w:rsid w:val="009A69FD"/>
    <w:rsid w:val="009A6A0F"/>
    <w:rsid w:val="009A6AD6"/>
    <w:rsid w:val="009A6B24"/>
    <w:rsid w:val="009A6B97"/>
    <w:rsid w:val="009A6C00"/>
    <w:rsid w:val="009A6CA1"/>
    <w:rsid w:val="009A6CDE"/>
    <w:rsid w:val="009A6D7D"/>
    <w:rsid w:val="009A6D9E"/>
    <w:rsid w:val="009A6DE3"/>
    <w:rsid w:val="009A6E4F"/>
    <w:rsid w:val="009A6E83"/>
    <w:rsid w:val="009A6E8A"/>
    <w:rsid w:val="009A6F48"/>
    <w:rsid w:val="009A6F7B"/>
    <w:rsid w:val="009A6FE9"/>
    <w:rsid w:val="009A70A3"/>
    <w:rsid w:val="009A7113"/>
    <w:rsid w:val="009A711B"/>
    <w:rsid w:val="009A71E8"/>
    <w:rsid w:val="009A724B"/>
    <w:rsid w:val="009A72AC"/>
    <w:rsid w:val="009A7387"/>
    <w:rsid w:val="009A758A"/>
    <w:rsid w:val="009A760D"/>
    <w:rsid w:val="009A771D"/>
    <w:rsid w:val="009A77B5"/>
    <w:rsid w:val="009A7852"/>
    <w:rsid w:val="009A7882"/>
    <w:rsid w:val="009A7977"/>
    <w:rsid w:val="009A79DE"/>
    <w:rsid w:val="009A79DF"/>
    <w:rsid w:val="009A7B10"/>
    <w:rsid w:val="009A7B1C"/>
    <w:rsid w:val="009A7BA8"/>
    <w:rsid w:val="009A7C13"/>
    <w:rsid w:val="009A7C55"/>
    <w:rsid w:val="009A7CB2"/>
    <w:rsid w:val="009A7CD1"/>
    <w:rsid w:val="009A7CE3"/>
    <w:rsid w:val="009A7D17"/>
    <w:rsid w:val="009A7D8F"/>
    <w:rsid w:val="009A7D9C"/>
    <w:rsid w:val="009A7E6F"/>
    <w:rsid w:val="009A7F72"/>
    <w:rsid w:val="009A7FC5"/>
    <w:rsid w:val="009AA28E"/>
    <w:rsid w:val="009B002E"/>
    <w:rsid w:val="009B0075"/>
    <w:rsid w:val="009B00AC"/>
    <w:rsid w:val="009B00B4"/>
    <w:rsid w:val="009B00DD"/>
    <w:rsid w:val="009B014C"/>
    <w:rsid w:val="009B015B"/>
    <w:rsid w:val="009B019F"/>
    <w:rsid w:val="009B0242"/>
    <w:rsid w:val="009B02AA"/>
    <w:rsid w:val="009B03D5"/>
    <w:rsid w:val="009B03E0"/>
    <w:rsid w:val="009B042B"/>
    <w:rsid w:val="009B0476"/>
    <w:rsid w:val="009B048A"/>
    <w:rsid w:val="009B0501"/>
    <w:rsid w:val="009B0533"/>
    <w:rsid w:val="009B0813"/>
    <w:rsid w:val="009B089A"/>
    <w:rsid w:val="009B08D5"/>
    <w:rsid w:val="009B0954"/>
    <w:rsid w:val="009B0967"/>
    <w:rsid w:val="009B0977"/>
    <w:rsid w:val="009B097B"/>
    <w:rsid w:val="009B097D"/>
    <w:rsid w:val="009B0A41"/>
    <w:rsid w:val="009B0A84"/>
    <w:rsid w:val="009B0AA6"/>
    <w:rsid w:val="009B0AAE"/>
    <w:rsid w:val="009B0AD3"/>
    <w:rsid w:val="009B0B20"/>
    <w:rsid w:val="009B0B7C"/>
    <w:rsid w:val="009B0B80"/>
    <w:rsid w:val="009B0B83"/>
    <w:rsid w:val="009B0C1B"/>
    <w:rsid w:val="009B0C84"/>
    <w:rsid w:val="009B0D30"/>
    <w:rsid w:val="009B0D32"/>
    <w:rsid w:val="009B0D77"/>
    <w:rsid w:val="009B0D83"/>
    <w:rsid w:val="009B0DF5"/>
    <w:rsid w:val="009B0E40"/>
    <w:rsid w:val="009B0E70"/>
    <w:rsid w:val="009B0EF0"/>
    <w:rsid w:val="009B0F65"/>
    <w:rsid w:val="009B1021"/>
    <w:rsid w:val="009B108A"/>
    <w:rsid w:val="009B1097"/>
    <w:rsid w:val="009B10E8"/>
    <w:rsid w:val="009B110F"/>
    <w:rsid w:val="009B116D"/>
    <w:rsid w:val="009B117E"/>
    <w:rsid w:val="009B1228"/>
    <w:rsid w:val="009B135B"/>
    <w:rsid w:val="009B136E"/>
    <w:rsid w:val="009B139C"/>
    <w:rsid w:val="009B13D9"/>
    <w:rsid w:val="009B1527"/>
    <w:rsid w:val="009B1585"/>
    <w:rsid w:val="009B1596"/>
    <w:rsid w:val="009B15A0"/>
    <w:rsid w:val="009B15F2"/>
    <w:rsid w:val="009B161E"/>
    <w:rsid w:val="009B1651"/>
    <w:rsid w:val="009B16BD"/>
    <w:rsid w:val="009B1806"/>
    <w:rsid w:val="009B1808"/>
    <w:rsid w:val="009B1870"/>
    <w:rsid w:val="009B191A"/>
    <w:rsid w:val="009B1B09"/>
    <w:rsid w:val="009B1B14"/>
    <w:rsid w:val="009B1B2D"/>
    <w:rsid w:val="009B1B7E"/>
    <w:rsid w:val="009B1BD1"/>
    <w:rsid w:val="009B1BDE"/>
    <w:rsid w:val="009B1C12"/>
    <w:rsid w:val="009B1C3B"/>
    <w:rsid w:val="009B1C67"/>
    <w:rsid w:val="009B1C73"/>
    <w:rsid w:val="009B1CDC"/>
    <w:rsid w:val="009B1E5B"/>
    <w:rsid w:val="009B1EED"/>
    <w:rsid w:val="009B1F3B"/>
    <w:rsid w:val="009B1F8D"/>
    <w:rsid w:val="009B1FAD"/>
    <w:rsid w:val="009B1FE2"/>
    <w:rsid w:val="009B2080"/>
    <w:rsid w:val="009B208D"/>
    <w:rsid w:val="009B20EF"/>
    <w:rsid w:val="009B2139"/>
    <w:rsid w:val="009B2179"/>
    <w:rsid w:val="009B21AB"/>
    <w:rsid w:val="009B21B3"/>
    <w:rsid w:val="009B21E7"/>
    <w:rsid w:val="009B2202"/>
    <w:rsid w:val="009B22BC"/>
    <w:rsid w:val="009B22F5"/>
    <w:rsid w:val="009B2379"/>
    <w:rsid w:val="009B2398"/>
    <w:rsid w:val="009B23AC"/>
    <w:rsid w:val="009B23C7"/>
    <w:rsid w:val="009B23D2"/>
    <w:rsid w:val="009B245B"/>
    <w:rsid w:val="009B24AB"/>
    <w:rsid w:val="009B24B2"/>
    <w:rsid w:val="009B24CE"/>
    <w:rsid w:val="009B24E8"/>
    <w:rsid w:val="009B24EC"/>
    <w:rsid w:val="009B25E2"/>
    <w:rsid w:val="009B265C"/>
    <w:rsid w:val="009B2699"/>
    <w:rsid w:val="009B26D6"/>
    <w:rsid w:val="009B26DD"/>
    <w:rsid w:val="009B270F"/>
    <w:rsid w:val="009B2778"/>
    <w:rsid w:val="009B27FE"/>
    <w:rsid w:val="009B28B8"/>
    <w:rsid w:val="009B28E9"/>
    <w:rsid w:val="009B290B"/>
    <w:rsid w:val="009B2924"/>
    <w:rsid w:val="009B29DF"/>
    <w:rsid w:val="009B29F7"/>
    <w:rsid w:val="009B2A1A"/>
    <w:rsid w:val="009B2A22"/>
    <w:rsid w:val="009B2A59"/>
    <w:rsid w:val="009B2A5E"/>
    <w:rsid w:val="009B2A7A"/>
    <w:rsid w:val="009B2A97"/>
    <w:rsid w:val="009B2AA8"/>
    <w:rsid w:val="009B2ABA"/>
    <w:rsid w:val="009B2B70"/>
    <w:rsid w:val="009B2B7D"/>
    <w:rsid w:val="009B2B80"/>
    <w:rsid w:val="009B2C69"/>
    <w:rsid w:val="009B2C6D"/>
    <w:rsid w:val="009B2C77"/>
    <w:rsid w:val="009B2CDC"/>
    <w:rsid w:val="009B2D69"/>
    <w:rsid w:val="009B2D6E"/>
    <w:rsid w:val="009B2D97"/>
    <w:rsid w:val="009B2DE4"/>
    <w:rsid w:val="009B2E63"/>
    <w:rsid w:val="009B2E8B"/>
    <w:rsid w:val="009B2ED9"/>
    <w:rsid w:val="009B2EDD"/>
    <w:rsid w:val="009B2EED"/>
    <w:rsid w:val="009B2EF9"/>
    <w:rsid w:val="009B2F5A"/>
    <w:rsid w:val="009B2F71"/>
    <w:rsid w:val="009B2FE4"/>
    <w:rsid w:val="009B2FF0"/>
    <w:rsid w:val="009B300F"/>
    <w:rsid w:val="009B3039"/>
    <w:rsid w:val="009B304C"/>
    <w:rsid w:val="009B3063"/>
    <w:rsid w:val="009B318C"/>
    <w:rsid w:val="009B3214"/>
    <w:rsid w:val="009B322F"/>
    <w:rsid w:val="009B323D"/>
    <w:rsid w:val="009B326E"/>
    <w:rsid w:val="009B329E"/>
    <w:rsid w:val="009B32A2"/>
    <w:rsid w:val="009B32AA"/>
    <w:rsid w:val="009B32EF"/>
    <w:rsid w:val="009B3320"/>
    <w:rsid w:val="009B3381"/>
    <w:rsid w:val="009B338D"/>
    <w:rsid w:val="009B33C2"/>
    <w:rsid w:val="009B3506"/>
    <w:rsid w:val="009B3568"/>
    <w:rsid w:val="009B3572"/>
    <w:rsid w:val="009B3593"/>
    <w:rsid w:val="009B359E"/>
    <w:rsid w:val="009B35A6"/>
    <w:rsid w:val="009B35B9"/>
    <w:rsid w:val="009B3637"/>
    <w:rsid w:val="009B368C"/>
    <w:rsid w:val="009B3720"/>
    <w:rsid w:val="009B374E"/>
    <w:rsid w:val="009B379C"/>
    <w:rsid w:val="009B37BC"/>
    <w:rsid w:val="009B37CC"/>
    <w:rsid w:val="009B37E8"/>
    <w:rsid w:val="009B37ED"/>
    <w:rsid w:val="009B37EE"/>
    <w:rsid w:val="009B37FC"/>
    <w:rsid w:val="009B3864"/>
    <w:rsid w:val="009B3891"/>
    <w:rsid w:val="009B397E"/>
    <w:rsid w:val="009B3AA3"/>
    <w:rsid w:val="009B3AB8"/>
    <w:rsid w:val="009B3B01"/>
    <w:rsid w:val="009B3BD9"/>
    <w:rsid w:val="009B3C16"/>
    <w:rsid w:val="009B3C29"/>
    <w:rsid w:val="009B3C57"/>
    <w:rsid w:val="009B3C6D"/>
    <w:rsid w:val="009B3C7E"/>
    <w:rsid w:val="009B3CC0"/>
    <w:rsid w:val="009B3CFB"/>
    <w:rsid w:val="009B3CFF"/>
    <w:rsid w:val="009B3D2D"/>
    <w:rsid w:val="009B3D4B"/>
    <w:rsid w:val="009B3D6F"/>
    <w:rsid w:val="009B3D8F"/>
    <w:rsid w:val="009B3D9C"/>
    <w:rsid w:val="009B3DA3"/>
    <w:rsid w:val="009B3DC1"/>
    <w:rsid w:val="009B3DE2"/>
    <w:rsid w:val="009B3DFD"/>
    <w:rsid w:val="009B3E08"/>
    <w:rsid w:val="009B3E52"/>
    <w:rsid w:val="009B3E78"/>
    <w:rsid w:val="009B401C"/>
    <w:rsid w:val="009B402D"/>
    <w:rsid w:val="009B4052"/>
    <w:rsid w:val="009B40FF"/>
    <w:rsid w:val="009B4159"/>
    <w:rsid w:val="009B4163"/>
    <w:rsid w:val="009B41B8"/>
    <w:rsid w:val="009B41F6"/>
    <w:rsid w:val="009B426D"/>
    <w:rsid w:val="009B431A"/>
    <w:rsid w:val="009B437A"/>
    <w:rsid w:val="009B4380"/>
    <w:rsid w:val="009B4383"/>
    <w:rsid w:val="009B438A"/>
    <w:rsid w:val="009B4584"/>
    <w:rsid w:val="009B4593"/>
    <w:rsid w:val="009B466A"/>
    <w:rsid w:val="009B4678"/>
    <w:rsid w:val="009B46CF"/>
    <w:rsid w:val="009B46DD"/>
    <w:rsid w:val="009B4779"/>
    <w:rsid w:val="009B4801"/>
    <w:rsid w:val="009B48AE"/>
    <w:rsid w:val="009B48E8"/>
    <w:rsid w:val="009B494F"/>
    <w:rsid w:val="009B49B6"/>
    <w:rsid w:val="009B4A76"/>
    <w:rsid w:val="009B4ABA"/>
    <w:rsid w:val="009B4B11"/>
    <w:rsid w:val="009B4B37"/>
    <w:rsid w:val="009B4B61"/>
    <w:rsid w:val="009B4C07"/>
    <w:rsid w:val="009B4C1D"/>
    <w:rsid w:val="009B4CD3"/>
    <w:rsid w:val="009B4CDF"/>
    <w:rsid w:val="009B4DCA"/>
    <w:rsid w:val="009B4E2D"/>
    <w:rsid w:val="009B4ED1"/>
    <w:rsid w:val="009B4F24"/>
    <w:rsid w:val="009B4F65"/>
    <w:rsid w:val="009B4F7D"/>
    <w:rsid w:val="009B4F81"/>
    <w:rsid w:val="009B4FB4"/>
    <w:rsid w:val="009B502D"/>
    <w:rsid w:val="009B503C"/>
    <w:rsid w:val="009B509D"/>
    <w:rsid w:val="009B50BD"/>
    <w:rsid w:val="009B5108"/>
    <w:rsid w:val="009B514B"/>
    <w:rsid w:val="009B514E"/>
    <w:rsid w:val="009B521F"/>
    <w:rsid w:val="009B524A"/>
    <w:rsid w:val="009B5251"/>
    <w:rsid w:val="009B525D"/>
    <w:rsid w:val="009B52A9"/>
    <w:rsid w:val="009B52C6"/>
    <w:rsid w:val="009B52FC"/>
    <w:rsid w:val="009B5309"/>
    <w:rsid w:val="009B53A4"/>
    <w:rsid w:val="009B5420"/>
    <w:rsid w:val="009B5489"/>
    <w:rsid w:val="009B54A3"/>
    <w:rsid w:val="009B54BD"/>
    <w:rsid w:val="009B54D6"/>
    <w:rsid w:val="009B5516"/>
    <w:rsid w:val="009B555E"/>
    <w:rsid w:val="009B55CF"/>
    <w:rsid w:val="009B55E1"/>
    <w:rsid w:val="009B5608"/>
    <w:rsid w:val="009B56C7"/>
    <w:rsid w:val="009B56F4"/>
    <w:rsid w:val="009B572D"/>
    <w:rsid w:val="009B5730"/>
    <w:rsid w:val="009B574E"/>
    <w:rsid w:val="009B5773"/>
    <w:rsid w:val="009B5780"/>
    <w:rsid w:val="009B57E5"/>
    <w:rsid w:val="009B57EC"/>
    <w:rsid w:val="009B5822"/>
    <w:rsid w:val="009B5892"/>
    <w:rsid w:val="009B58E1"/>
    <w:rsid w:val="009B596E"/>
    <w:rsid w:val="009B5AB4"/>
    <w:rsid w:val="009B5B85"/>
    <w:rsid w:val="009B5BFC"/>
    <w:rsid w:val="009B5C5C"/>
    <w:rsid w:val="009B5C9D"/>
    <w:rsid w:val="009B5CDF"/>
    <w:rsid w:val="009B5D55"/>
    <w:rsid w:val="009B5D5F"/>
    <w:rsid w:val="009B5DB9"/>
    <w:rsid w:val="009B5E22"/>
    <w:rsid w:val="009B5EE3"/>
    <w:rsid w:val="009B5F3F"/>
    <w:rsid w:val="009B5F49"/>
    <w:rsid w:val="009B5FA9"/>
    <w:rsid w:val="009B5FEF"/>
    <w:rsid w:val="009B61AC"/>
    <w:rsid w:val="009B61CC"/>
    <w:rsid w:val="009B61D3"/>
    <w:rsid w:val="009B6210"/>
    <w:rsid w:val="009B622F"/>
    <w:rsid w:val="009B625B"/>
    <w:rsid w:val="009B62BB"/>
    <w:rsid w:val="009B62DF"/>
    <w:rsid w:val="009B62E0"/>
    <w:rsid w:val="009B6323"/>
    <w:rsid w:val="009B634A"/>
    <w:rsid w:val="009B63E3"/>
    <w:rsid w:val="009B6483"/>
    <w:rsid w:val="009B6543"/>
    <w:rsid w:val="009B65A6"/>
    <w:rsid w:val="009B65D0"/>
    <w:rsid w:val="009B668F"/>
    <w:rsid w:val="009B66F6"/>
    <w:rsid w:val="009B671C"/>
    <w:rsid w:val="009B67C1"/>
    <w:rsid w:val="009B6886"/>
    <w:rsid w:val="009B68C3"/>
    <w:rsid w:val="009B69D7"/>
    <w:rsid w:val="009B6A5B"/>
    <w:rsid w:val="009B6AF5"/>
    <w:rsid w:val="009B6B48"/>
    <w:rsid w:val="009B6B4C"/>
    <w:rsid w:val="009B6BB9"/>
    <w:rsid w:val="009B6BBD"/>
    <w:rsid w:val="009B6C53"/>
    <w:rsid w:val="009B6C60"/>
    <w:rsid w:val="009B6CD6"/>
    <w:rsid w:val="009B6D0B"/>
    <w:rsid w:val="009B6D34"/>
    <w:rsid w:val="009B6D39"/>
    <w:rsid w:val="009B6DF9"/>
    <w:rsid w:val="009B6E14"/>
    <w:rsid w:val="009B6E41"/>
    <w:rsid w:val="009B6EF1"/>
    <w:rsid w:val="009B6F56"/>
    <w:rsid w:val="009B6F78"/>
    <w:rsid w:val="009B6F7C"/>
    <w:rsid w:val="009B6FB0"/>
    <w:rsid w:val="009B7009"/>
    <w:rsid w:val="009B7066"/>
    <w:rsid w:val="009B7110"/>
    <w:rsid w:val="009B711A"/>
    <w:rsid w:val="009B7133"/>
    <w:rsid w:val="009B71BE"/>
    <w:rsid w:val="009B71E1"/>
    <w:rsid w:val="009B71FA"/>
    <w:rsid w:val="009B72C4"/>
    <w:rsid w:val="009B738D"/>
    <w:rsid w:val="009B73A1"/>
    <w:rsid w:val="009B73E3"/>
    <w:rsid w:val="009B73E7"/>
    <w:rsid w:val="009B743D"/>
    <w:rsid w:val="009B7480"/>
    <w:rsid w:val="009B7483"/>
    <w:rsid w:val="009B74E8"/>
    <w:rsid w:val="009B7525"/>
    <w:rsid w:val="009B7568"/>
    <w:rsid w:val="009B7575"/>
    <w:rsid w:val="009B75D6"/>
    <w:rsid w:val="009B7731"/>
    <w:rsid w:val="009B7767"/>
    <w:rsid w:val="009B7821"/>
    <w:rsid w:val="009B785F"/>
    <w:rsid w:val="009B7937"/>
    <w:rsid w:val="009B797C"/>
    <w:rsid w:val="009B7A77"/>
    <w:rsid w:val="009B7AA0"/>
    <w:rsid w:val="009B7AB2"/>
    <w:rsid w:val="009B7AFE"/>
    <w:rsid w:val="009B7B01"/>
    <w:rsid w:val="009B7B1E"/>
    <w:rsid w:val="009B7B5A"/>
    <w:rsid w:val="009B7BAE"/>
    <w:rsid w:val="009B7C40"/>
    <w:rsid w:val="009B7C7C"/>
    <w:rsid w:val="009B7CCC"/>
    <w:rsid w:val="009B7D01"/>
    <w:rsid w:val="009B7D4D"/>
    <w:rsid w:val="009B7D65"/>
    <w:rsid w:val="009B7DF0"/>
    <w:rsid w:val="009B7DFC"/>
    <w:rsid w:val="009B7E53"/>
    <w:rsid w:val="009B7EFF"/>
    <w:rsid w:val="009B7F40"/>
    <w:rsid w:val="009B7F74"/>
    <w:rsid w:val="009B7FA5"/>
    <w:rsid w:val="009C0046"/>
    <w:rsid w:val="009C0075"/>
    <w:rsid w:val="009C0076"/>
    <w:rsid w:val="009C0156"/>
    <w:rsid w:val="009C01FC"/>
    <w:rsid w:val="009C0207"/>
    <w:rsid w:val="009C024E"/>
    <w:rsid w:val="009C02CA"/>
    <w:rsid w:val="009C0365"/>
    <w:rsid w:val="009C03EA"/>
    <w:rsid w:val="009C048E"/>
    <w:rsid w:val="009C04BD"/>
    <w:rsid w:val="009C04CB"/>
    <w:rsid w:val="009C04DA"/>
    <w:rsid w:val="009C05E0"/>
    <w:rsid w:val="009C0615"/>
    <w:rsid w:val="009C0752"/>
    <w:rsid w:val="009C07A3"/>
    <w:rsid w:val="009C0863"/>
    <w:rsid w:val="009C0882"/>
    <w:rsid w:val="009C0888"/>
    <w:rsid w:val="009C08BC"/>
    <w:rsid w:val="009C0915"/>
    <w:rsid w:val="009C0926"/>
    <w:rsid w:val="009C0927"/>
    <w:rsid w:val="009C0963"/>
    <w:rsid w:val="009C0977"/>
    <w:rsid w:val="009C0992"/>
    <w:rsid w:val="009C09B8"/>
    <w:rsid w:val="009C09DC"/>
    <w:rsid w:val="009C0A4B"/>
    <w:rsid w:val="009C0A7C"/>
    <w:rsid w:val="009C0A8A"/>
    <w:rsid w:val="009C0B9A"/>
    <w:rsid w:val="009C0BB0"/>
    <w:rsid w:val="009C0C4F"/>
    <w:rsid w:val="009C0C5F"/>
    <w:rsid w:val="009C0C93"/>
    <w:rsid w:val="009C0DCF"/>
    <w:rsid w:val="009C0DED"/>
    <w:rsid w:val="009C0ED4"/>
    <w:rsid w:val="009C0EE7"/>
    <w:rsid w:val="009C0F4C"/>
    <w:rsid w:val="009C0F57"/>
    <w:rsid w:val="009C0F69"/>
    <w:rsid w:val="009C1061"/>
    <w:rsid w:val="009C1097"/>
    <w:rsid w:val="009C1111"/>
    <w:rsid w:val="009C112E"/>
    <w:rsid w:val="009C1168"/>
    <w:rsid w:val="009C116E"/>
    <w:rsid w:val="009C1197"/>
    <w:rsid w:val="009C11D4"/>
    <w:rsid w:val="009C11F5"/>
    <w:rsid w:val="009C125A"/>
    <w:rsid w:val="009C128D"/>
    <w:rsid w:val="009C134B"/>
    <w:rsid w:val="009C141A"/>
    <w:rsid w:val="009C147F"/>
    <w:rsid w:val="009C14EE"/>
    <w:rsid w:val="009C14F5"/>
    <w:rsid w:val="009C153E"/>
    <w:rsid w:val="009C1561"/>
    <w:rsid w:val="009C15DD"/>
    <w:rsid w:val="009C1611"/>
    <w:rsid w:val="009C167B"/>
    <w:rsid w:val="009C16AB"/>
    <w:rsid w:val="009C1804"/>
    <w:rsid w:val="009C182E"/>
    <w:rsid w:val="009C191A"/>
    <w:rsid w:val="009C192B"/>
    <w:rsid w:val="009C195D"/>
    <w:rsid w:val="009C19D8"/>
    <w:rsid w:val="009C1A4D"/>
    <w:rsid w:val="009C1A82"/>
    <w:rsid w:val="009C1B1F"/>
    <w:rsid w:val="009C1B40"/>
    <w:rsid w:val="009C1B94"/>
    <w:rsid w:val="009C1BD4"/>
    <w:rsid w:val="009C1BF4"/>
    <w:rsid w:val="009C1C13"/>
    <w:rsid w:val="009C1D38"/>
    <w:rsid w:val="009C1D69"/>
    <w:rsid w:val="009C1D9F"/>
    <w:rsid w:val="009C1E94"/>
    <w:rsid w:val="009C1F52"/>
    <w:rsid w:val="009C1FF3"/>
    <w:rsid w:val="009C1FF7"/>
    <w:rsid w:val="009C2034"/>
    <w:rsid w:val="009C2092"/>
    <w:rsid w:val="009C2096"/>
    <w:rsid w:val="009C20A6"/>
    <w:rsid w:val="009C20C2"/>
    <w:rsid w:val="009C20CF"/>
    <w:rsid w:val="009C2147"/>
    <w:rsid w:val="009C21A2"/>
    <w:rsid w:val="009C21CA"/>
    <w:rsid w:val="009C224B"/>
    <w:rsid w:val="009C22C1"/>
    <w:rsid w:val="009C232C"/>
    <w:rsid w:val="009C233C"/>
    <w:rsid w:val="009C234A"/>
    <w:rsid w:val="009C2360"/>
    <w:rsid w:val="009C2370"/>
    <w:rsid w:val="009C2399"/>
    <w:rsid w:val="009C239B"/>
    <w:rsid w:val="009C245F"/>
    <w:rsid w:val="009C24C8"/>
    <w:rsid w:val="009C24EF"/>
    <w:rsid w:val="009C259B"/>
    <w:rsid w:val="009C2686"/>
    <w:rsid w:val="009C27E1"/>
    <w:rsid w:val="009C28F3"/>
    <w:rsid w:val="009C292E"/>
    <w:rsid w:val="009C2930"/>
    <w:rsid w:val="009C2940"/>
    <w:rsid w:val="009C2946"/>
    <w:rsid w:val="009C2948"/>
    <w:rsid w:val="009C29C6"/>
    <w:rsid w:val="009C2ACC"/>
    <w:rsid w:val="009C2B54"/>
    <w:rsid w:val="009C2C64"/>
    <w:rsid w:val="009C2CED"/>
    <w:rsid w:val="009C2D08"/>
    <w:rsid w:val="009C2D10"/>
    <w:rsid w:val="009C2D3B"/>
    <w:rsid w:val="009C2DA4"/>
    <w:rsid w:val="009C2DB1"/>
    <w:rsid w:val="009C2DE5"/>
    <w:rsid w:val="009C2E16"/>
    <w:rsid w:val="009C2E23"/>
    <w:rsid w:val="009C2E3C"/>
    <w:rsid w:val="009C2E69"/>
    <w:rsid w:val="009C2E93"/>
    <w:rsid w:val="009C2F2E"/>
    <w:rsid w:val="009C2FB6"/>
    <w:rsid w:val="009C2FE9"/>
    <w:rsid w:val="009C3025"/>
    <w:rsid w:val="009C3079"/>
    <w:rsid w:val="009C30C3"/>
    <w:rsid w:val="009C30D3"/>
    <w:rsid w:val="009C30D6"/>
    <w:rsid w:val="009C3178"/>
    <w:rsid w:val="009C31A4"/>
    <w:rsid w:val="009C31CC"/>
    <w:rsid w:val="009C3226"/>
    <w:rsid w:val="009C3246"/>
    <w:rsid w:val="009C3265"/>
    <w:rsid w:val="009C3280"/>
    <w:rsid w:val="009C32BA"/>
    <w:rsid w:val="009C32F0"/>
    <w:rsid w:val="009C3340"/>
    <w:rsid w:val="009C335E"/>
    <w:rsid w:val="009C3406"/>
    <w:rsid w:val="009C3429"/>
    <w:rsid w:val="009C342D"/>
    <w:rsid w:val="009C346E"/>
    <w:rsid w:val="009C34C0"/>
    <w:rsid w:val="009C3573"/>
    <w:rsid w:val="009C35A2"/>
    <w:rsid w:val="009C35CB"/>
    <w:rsid w:val="009C365A"/>
    <w:rsid w:val="009C368A"/>
    <w:rsid w:val="009C36ED"/>
    <w:rsid w:val="009C3772"/>
    <w:rsid w:val="009C37AA"/>
    <w:rsid w:val="009C38AC"/>
    <w:rsid w:val="009C397E"/>
    <w:rsid w:val="009C3993"/>
    <w:rsid w:val="009C39B2"/>
    <w:rsid w:val="009C39DB"/>
    <w:rsid w:val="009C3A81"/>
    <w:rsid w:val="009C3AA5"/>
    <w:rsid w:val="009C3B1A"/>
    <w:rsid w:val="009C3B34"/>
    <w:rsid w:val="009C3C3B"/>
    <w:rsid w:val="009C3C49"/>
    <w:rsid w:val="009C3CE4"/>
    <w:rsid w:val="009C3D3D"/>
    <w:rsid w:val="009C3D5D"/>
    <w:rsid w:val="009C3D73"/>
    <w:rsid w:val="009C3E5B"/>
    <w:rsid w:val="009C3E95"/>
    <w:rsid w:val="009C3F2A"/>
    <w:rsid w:val="009C3FA4"/>
    <w:rsid w:val="009C3FCB"/>
    <w:rsid w:val="009C4067"/>
    <w:rsid w:val="009C40B9"/>
    <w:rsid w:val="009C412A"/>
    <w:rsid w:val="009C416D"/>
    <w:rsid w:val="009C41B1"/>
    <w:rsid w:val="009C41F8"/>
    <w:rsid w:val="009C4203"/>
    <w:rsid w:val="009C4236"/>
    <w:rsid w:val="009C424C"/>
    <w:rsid w:val="009C4276"/>
    <w:rsid w:val="009C4332"/>
    <w:rsid w:val="009C4397"/>
    <w:rsid w:val="009C439E"/>
    <w:rsid w:val="009C4433"/>
    <w:rsid w:val="009C445D"/>
    <w:rsid w:val="009C453D"/>
    <w:rsid w:val="009C4561"/>
    <w:rsid w:val="009C4591"/>
    <w:rsid w:val="009C45D7"/>
    <w:rsid w:val="009C45F6"/>
    <w:rsid w:val="009C4611"/>
    <w:rsid w:val="009C467E"/>
    <w:rsid w:val="009C4696"/>
    <w:rsid w:val="009C46C8"/>
    <w:rsid w:val="009C47D6"/>
    <w:rsid w:val="009C47E8"/>
    <w:rsid w:val="009C482B"/>
    <w:rsid w:val="009C4830"/>
    <w:rsid w:val="009C4834"/>
    <w:rsid w:val="009C4947"/>
    <w:rsid w:val="009C498E"/>
    <w:rsid w:val="009C4A08"/>
    <w:rsid w:val="009C4A3C"/>
    <w:rsid w:val="009C4AB1"/>
    <w:rsid w:val="009C4AB9"/>
    <w:rsid w:val="009C4BDB"/>
    <w:rsid w:val="009C4C42"/>
    <w:rsid w:val="009C4C46"/>
    <w:rsid w:val="009C4C9C"/>
    <w:rsid w:val="009C4D28"/>
    <w:rsid w:val="009C4D2B"/>
    <w:rsid w:val="009C4FF2"/>
    <w:rsid w:val="009C5032"/>
    <w:rsid w:val="009C50A4"/>
    <w:rsid w:val="009C50F1"/>
    <w:rsid w:val="009C5256"/>
    <w:rsid w:val="009C529A"/>
    <w:rsid w:val="009C5322"/>
    <w:rsid w:val="009C5328"/>
    <w:rsid w:val="009C5333"/>
    <w:rsid w:val="009C5371"/>
    <w:rsid w:val="009C5433"/>
    <w:rsid w:val="009C5437"/>
    <w:rsid w:val="009C54AE"/>
    <w:rsid w:val="009C5574"/>
    <w:rsid w:val="009C558B"/>
    <w:rsid w:val="009C55FA"/>
    <w:rsid w:val="009C5623"/>
    <w:rsid w:val="009C56B0"/>
    <w:rsid w:val="009C570D"/>
    <w:rsid w:val="009C571B"/>
    <w:rsid w:val="009C5732"/>
    <w:rsid w:val="009C5752"/>
    <w:rsid w:val="009C5771"/>
    <w:rsid w:val="009C5780"/>
    <w:rsid w:val="009C57E1"/>
    <w:rsid w:val="009C5865"/>
    <w:rsid w:val="009C5896"/>
    <w:rsid w:val="009C591A"/>
    <w:rsid w:val="009C592D"/>
    <w:rsid w:val="009C597E"/>
    <w:rsid w:val="009C599E"/>
    <w:rsid w:val="009C59E1"/>
    <w:rsid w:val="009C5A91"/>
    <w:rsid w:val="009C5A93"/>
    <w:rsid w:val="009C5AFE"/>
    <w:rsid w:val="009C5B45"/>
    <w:rsid w:val="009C5BC1"/>
    <w:rsid w:val="009C5BC7"/>
    <w:rsid w:val="009C5DCB"/>
    <w:rsid w:val="009C5E6B"/>
    <w:rsid w:val="009C5E7F"/>
    <w:rsid w:val="009C5E86"/>
    <w:rsid w:val="009C5ED6"/>
    <w:rsid w:val="009C5EEA"/>
    <w:rsid w:val="009C5F1F"/>
    <w:rsid w:val="009C5FDC"/>
    <w:rsid w:val="009C600D"/>
    <w:rsid w:val="009C6018"/>
    <w:rsid w:val="009C6035"/>
    <w:rsid w:val="009C6064"/>
    <w:rsid w:val="009C6130"/>
    <w:rsid w:val="009C614A"/>
    <w:rsid w:val="009C6190"/>
    <w:rsid w:val="009C619C"/>
    <w:rsid w:val="009C61DF"/>
    <w:rsid w:val="009C61FC"/>
    <w:rsid w:val="009C623A"/>
    <w:rsid w:val="009C6317"/>
    <w:rsid w:val="009C632F"/>
    <w:rsid w:val="009C634A"/>
    <w:rsid w:val="009C634B"/>
    <w:rsid w:val="009C63F2"/>
    <w:rsid w:val="009C63F3"/>
    <w:rsid w:val="009C645E"/>
    <w:rsid w:val="009C655E"/>
    <w:rsid w:val="009C6560"/>
    <w:rsid w:val="009C666A"/>
    <w:rsid w:val="009C66FC"/>
    <w:rsid w:val="009C6712"/>
    <w:rsid w:val="009C672A"/>
    <w:rsid w:val="009C6767"/>
    <w:rsid w:val="009C6787"/>
    <w:rsid w:val="009C6813"/>
    <w:rsid w:val="009C6854"/>
    <w:rsid w:val="009C68B7"/>
    <w:rsid w:val="009C68BF"/>
    <w:rsid w:val="009C68D6"/>
    <w:rsid w:val="009C691A"/>
    <w:rsid w:val="009C6932"/>
    <w:rsid w:val="009C6956"/>
    <w:rsid w:val="009C6958"/>
    <w:rsid w:val="009C6978"/>
    <w:rsid w:val="009C6A0A"/>
    <w:rsid w:val="009C6A83"/>
    <w:rsid w:val="009C6AE9"/>
    <w:rsid w:val="009C6AED"/>
    <w:rsid w:val="009C6BB4"/>
    <w:rsid w:val="009C6C2D"/>
    <w:rsid w:val="009C6C7E"/>
    <w:rsid w:val="009C6CD3"/>
    <w:rsid w:val="009C6D37"/>
    <w:rsid w:val="009C6D9D"/>
    <w:rsid w:val="009C6DAC"/>
    <w:rsid w:val="009C6DB4"/>
    <w:rsid w:val="009C6E1D"/>
    <w:rsid w:val="009C6E71"/>
    <w:rsid w:val="009C6EDE"/>
    <w:rsid w:val="009C6F15"/>
    <w:rsid w:val="009C6F17"/>
    <w:rsid w:val="009C6F63"/>
    <w:rsid w:val="009C6FD9"/>
    <w:rsid w:val="009C6FE3"/>
    <w:rsid w:val="009C6FE8"/>
    <w:rsid w:val="009C701F"/>
    <w:rsid w:val="009C70D5"/>
    <w:rsid w:val="009C70E2"/>
    <w:rsid w:val="009C7178"/>
    <w:rsid w:val="009C71A4"/>
    <w:rsid w:val="009C71C7"/>
    <w:rsid w:val="009C7228"/>
    <w:rsid w:val="009C7235"/>
    <w:rsid w:val="009C728D"/>
    <w:rsid w:val="009C72E0"/>
    <w:rsid w:val="009C7350"/>
    <w:rsid w:val="009C7365"/>
    <w:rsid w:val="009C73C5"/>
    <w:rsid w:val="009C7494"/>
    <w:rsid w:val="009C7497"/>
    <w:rsid w:val="009C75A7"/>
    <w:rsid w:val="009C75F3"/>
    <w:rsid w:val="009C7742"/>
    <w:rsid w:val="009C7810"/>
    <w:rsid w:val="009C7831"/>
    <w:rsid w:val="009C78C0"/>
    <w:rsid w:val="009C793F"/>
    <w:rsid w:val="009C7941"/>
    <w:rsid w:val="009C795C"/>
    <w:rsid w:val="009C79DD"/>
    <w:rsid w:val="009C79FC"/>
    <w:rsid w:val="009C7A10"/>
    <w:rsid w:val="009C7A7F"/>
    <w:rsid w:val="009C7AA3"/>
    <w:rsid w:val="009C7AE5"/>
    <w:rsid w:val="009C7BA1"/>
    <w:rsid w:val="009C7BFD"/>
    <w:rsid w:val="009C7C54"/>
    <w:rsid w:val="009C7C89"/>
    <w:rsid w:val="009C7DB5"/>
    <w:rsid w:val="009C7DC3"/>
    <w:rsid w:val="009C7E00"/>
    <w:rsid w:val="009C7E76"/>
    <w:rsid w:val="009C7F5A"/>
    <w:rsid w:val="009C7F78"/>
    <w:rsid w:val="009C7F7D"/>
    <w:rsid w:val="009C7FCB"/>
    <w:rsid w:val="009C7FEF"/>
    <w:rsid w:val="009D0082"/>
    <w:rsid w:val="009D00AF"/>
    <w:rsid w:val="009D019C"/>
    <w:rsid w:val="009D025E"/>
    <w:rsid w:val="009D0269"/>
    <w:rsid w:val="009D027E"/>
    <w:rsid w:val="009D0284"/>
    <w:rsid w:val="009D028C"/>
    <w:rsid w:val="009D02B2"/>
    <w:rsid w:val="009D02B7"/>
    <w:rsid w:val="009D02CD"/>
    <w:rsid w:val="009D033E"/>
    <w:rsid w:val="009D0351"/>
    <w:rsid w:val="009D036F"/>
    <w:rsid w:val="009D03C2"/>
    <w:rsid w:val="009D03F1"/>
    <w:rsid w:val="009D03F8"/>
    <w:rsid w:val="009D041C"/>
    <w:rsid w:val="009D04B9"/>
    <w:rsid w:val="009D04DA"/>
    <w:rsid w:val="009D04E8"/>
    <w:rsid w:val="009D04F7"/>
    <w:rsid w:val="009D0556"/>
    <w:rsid w:val="009D055D"/>
    <w:rsid w:val="009D058F"/>
    <w:rsid w:val="009D05FE"/>
    <w:rsid w:val="009D067D"/>
    <w:rsid w:val="009D06F4"/>
    <w:rsid w:val="009D0720"/>
    <w:rsid w:val="009D0809"/>
    <w:rsid w:val="009D0859"/>
    <w:rsid w:val="009D0888"/>
    <w:rsid w:val="009D08E4"/>
    <w:rsid w:val="009D0935"/>
    <w:rsid w:val="009D099B"/>
    <w:rsid w:val="009D09BE"/>
    <w:rsid w:val="009D09CE"/>
    <w:rsid w:val="009D09FC"/>
    <w:rsid w:val="009D0A42"/>
    <w:rsid w:val="009D0B3A"/>
    <w:rsid w:val="009D0D04"/>
    <w:rsid w:val="009D0D2D"/>
    <w:rsid w:val="009D0D50"/>
    <w:rsid w:val="009D0D78"/>
    <w:rsid w:val="009D0D81"/>
    <w:rsid w:val="009D0DE7"/>
    <w:rsid w:val="009D0E7F"/>
    <w:rsid w:val="009D0EF8"/>
    <w:rsid w:val="009D0F5D"/>
    <w:rsid w:val="009D0FCC"/>
    <w:rsid w:val="009D0FF4"/>
    <w:rsid w:val="009D0FF5"/>
    <w:rsid w:val="009D105C"/>
    <w:rsid w:val="009D10CE"/>
    <w:rsid w:val="009D112D"/>
    <w:rsid w:val="009D1175"/>
    <w:rsid w:val="009D1295"/>
    <w:rsid w:val="009D1300"/>
    <w:rsid w:val="009D13D2"/>
    <w:rsid w:val="009D147E"/>
    <w:rsid w:val="009D14C2"/>
    <w:rsid w:val="009D151C"/>
    <w:rsid w:val="009D154A"/>
    <w:rsid w:val="009D1559"/>
    <w:rsid w:val="009D156D"/>
    <w:rsid w:val="009D1578"/>
    <w:rsid w:val="009D1589"/>
    <w:rsid w:val="009D15DE"/>
    <w:rsid w:val="009D15F8"/>
    <w:rsid w:val="009D1734"/>
    <w:rsid w:val="009D17B2"/>
    <w:rsid w:val="009D17F4"/>
    <w:rsid w:val="009D17F5"/>
    <w:rsid w:val="009D182B"/>
    <w:rsid w:val="009D1834"/>
    <w:rsid w:val="009D186C"/>
    <w:rsid w:val="009D1883"/>
    <w:rsid w:val="009D1A3F"/>
    <w:rsid w:val="009D1A78"/>
    <w:rsid w:val="009D1A9B"/>
    <w:rsid w:val="009D1BA2"/>
    <w:rsid w:val="009D1C12"/>
    <w:rsid w:val="009D1C19"/>
    <w:rsid w:val="009D1C9A"/>
    <w:rsid w:val="009D1CA3"/>
    <w:rsid w:val="009D1D29"/>
    <w:rsid w:val="009D1DA8"/>
    <w:rsid w:val="009D1ECF"/>
    <w:rsid w:val="009D1EDD"/>
    <w:rsid w:val="009D1F2E"/>
    <w:rsid w:val="009D1F36"/>
    <w:rsid w:val="009D1F7C"/>
    <w:rsid w:val="009D1FF9"/>
    <w:rsid w:val="009D201C"/>
    <w:rsid w:val="009D204B"/>
    <w:rsid w:val="009D20A4"/>
    <w:rsid w:val="009D20C4"/>
    <w:rsid w:val="009D2164"/>
    <w:rsid w:val="009D21EA"/>
    <w:rsid w:val="009D2231"/>
    <w:rsid w:val="009D2294"/>
    <w:rsid w:val="009D2300"/>
    <w:rsid w:val="009D2319"/>
    <w:rsid w:val="009D23E9"/>
    <w:rsid w:val="009D243D"/>
    <w:rsid w:val="009D245D"/>
    <w:rsid w:val="009D246C"/>
    <w:rsid w:val="009D2510"/>
    <w:rsid w:val="009D2522"/>
    <w:rsid w:val="009D253D"/>
    <w:rsid w:val="009D2556"/>
    <w:rsid w:val="009D2583"/>
    <w:rsid w:val="009D2661"/>
    <w:rsid w:val="009D26EB"/>
    <w:rsid w:val="009D274A"/>
    <w:rsid w:val="009D27A2"/>
    <w:rsid w:val="009D27A9"/>
    <w:rsid w:val="009D27D9"/>
    <w:rsid w:val="009D27E5"/>
    <w:rsid w:val="009D283D"/>
    <w:rsid w:val="009D28C4"/>
    <w:rsid w:val="009D2923"/>
    <w:rsid w:val="009D29D6"/>
    <w:rsid w:val="009D2A0D"/>
    <w:rsid w:val="009D2A83"/>
    <w:rsid w:val="009D2AA1"/>
    <w:rsid w:val="009D2AD3"/>
    <w:rsid w:val="009D2B7B"/>
    <w:rsid w:val="009D2BC4"/>
    <w:rsid w:val="009D2C2D"/>
    <w:rsid w:val="009D2C97"/>
    <w:rsid w:val="009D2CAB"/>
    <w:rsid w:val="009D2E42"/>
    <w:rsid w:val="009D2E5C"/>
    <w:rsid w:val="009D2E9F"/>
    <w:rsid w:val="009D2F2E"/>
    <w:rsid w:val="009D2F4E"/>
    <w:rsid w:val="009D2FC0"/>
    <w:rsid w:val="009D2FFA"/>
    <w:rsid w:val="009D3020"/>
    <w:rsid w:val="009D3029"/>
    <w:rsid w:val="009D30BF"/>
    <w:rsid w:val="009D30E0"/>
    <w:rsid w:val="009D31B1"/>
    <w:rsid w:val="009D31CD"/>
    <w:rsid w:val="009D32BD"/>
    <w:rsid w:val="009D3392"/>
    <w:rsid w:val="009D33E4"/>
    <w:rsid w:val="009D3446"/>
    <w:rsid w:val="009D347F"/>
    <w:rsid w:val="009D3480"/>
    <w:rsid w:val="009D34EF"/>
    <w:rsid w:val="009D3524"/>
    <w:rsid w:val="009D35D5"/>
    <w:rsid w:val="009D35E1"/>
    <w:rsid w:val="009D3636"/>
    <w:rsid w:val="009D364E"/>
    <w:rsid w:val="009D367E"/>
    <w:rsid w:val="009D3694"/>
    <w:rsid w:val="009D36B6"/>
    <w:rsid w:val="009D36E8"/>
    <w:rsid w:val="009D3714"/>
    <w:rsid w:val="009D3744"/>
    <w:rsid w:val="009D3767"/>
    <w:rsid w:val="009D3896"/>
    <w:rsid w:val="009D389C"/>
    <w:rsid w:val="009D38A7"/>
    <w:rsid w:val="009D3947"/>
    <w:rsid w:val="009D3A19"/>
    <w:rsid w:val="009D3A91"/>
    <w:rsid w:val="009D3B0F"/>
    <w:rsid w:val="009D3B90"/>
    <w:rsid w:val="009D3BBA"/>
    <w:rsid w:val="009D3C44"/>
    <w:rsid w:val="009D3CC5"/>
    <w:rsid w:val="009D3D4D"/>
    <w:rsid w:val="009D3DC5"/>
    <w:rsid w:val="009D3E52"/>
    <w:rsid w:val="009D3E6C"/>
    <w:rsid w:val="009D3E7E"/>
    <w:rsid w:val="009D3EC0"/>
    <w:rsid w:val="009D3F57"/>
    <w:rsid w:val="009D3FF5"/>
    <w:rsid w:val="009D4004"/>
    <w:rsid w:val="009D4053"/>
    <w:rsid w:val="009D408B"/>
    <w:rsid w:val="009D40AA"/>
    <w:rsid w:val="009D40B1"/>
    <w:rsid w:val="009D40BA"/>
    <w:rsid w:val="009D40CD"/>
    <w:rsid w:val="009D41E8"/>
    <w:rsid w:val="009D428C"/>
    <w:rsid w:val="009D42AD"/>
    <w:rsid w:val="009D42B3"/>
    <w:rsid w:val="009D42C6"/>
    <w:rsid w:val="009D4308"/>
    <w:rsid w:val="009D438B"/>
    <w:rsid w:val="009D440A"/>
    <w:rsid w:val="009D4447"/>
    <w:rsid w:val="009D446D"/>
    <w:rsid w:val="009D4476"/>
    <w:rsid w:val="009D4570"/>
    <w:rsid w:val="009D4600"/>
    <w:rsid w:val="009D4638"/>
    <w:rsid w:val="009D4673"/>
    <w:rsid w:val="009D468E"/>
    <w:rsid w:val="009D478A"/>
    <w:rsid w:val="009D478B"/>
    <w:rsid w:val="009D47BC"/>
    <w:rsid w:val="009D47C0"/>
    <w:rsid w:val="009D47ED"/>
    <w:rsid w:val="009D481D"/>
    <w:rsid w:val="009D48D2"/>
    <w:rsid w:val="009D4931"/>
    <w:rsid w:val="009D494E"/>
    <w:rsid w:val="009D49AC"/>
    <w:rsid w:val="009D49FF"/>
    <w:rsid w:val="009D4A27"/>
    <w:rsid w:val="009D4A6F"/>
    <w:rsid w:val="009D4A72"/>
    <w:rsid w:val="009D4A89"/>
    <w:rsid w:val="009D4AFA"/>
    <w:rsid w:val="009D4B79"/>
    <w:rsid w:val="009D4BD1"/>
    <w:rsid w:val="009D4C04"/>
    <w:rsid w:val="009D4C3A"/>
    <w:rsid w:val="009D4C90"/>
    <w:rsid w:val="009D4CA1"/>
    <w:rsid w:val="009D4CE1"/>
    <w:rsid w:val="009D4E16"/>
    <w:rsid w:val="009D4E25"/>
    <w:rsid w:val="009D4EA1"/>
    <w:rsid w:val="009D4EA2"/>
    <w:rsid w:val="009D4F64"/>
    <w:rsid w:val="009D5021"/>
    <w:rsid w:val="009D5025"/>
    <w:rsid w:val="009D5073"/>
    <w:rsid w:val="009D5093"/>
    <w:rsid w:val="009D5117"/>
    <w:rsid w:val="009D513A"/>
    <w:rsid w:val="009D5148"/>
    <w:rsid w:val="009D516C"/>
    <w:rsid w:val="009D52F8"/>
    <w:rsid w:val="009D5313"/>
    <w:rsid w:val="009D5329"/>
    <w:rsid w:val="009D532F"/>
    <w:rsid w:val="009D5338"/>
    <w:rsid w:val="009D533F"/>
    <w:rsid w:val="009D53C6"/>
    <w:rsid w:val="009D5444"/>
    <w:rsid w:val="009D549C"/>
    <w:rsid w:val="009D5536"/>
    <w:rsid w:val="009D55C1"/>
    <w:rsid w:val="009D55E7"/>
    <w:rsid w:val="009D563D"/>
    <w:rsid w:val="009D5668"/>
    <w:rsid w:val="009D5694"/>
    <w:rsid w:val="009D570B"/>
    <w:rsid w:val="009D5795"/>
    <w:rsid w:val="009D57F2"/>
    <w:rsid w:val="009D592C"/>
    <w:rsid w:val="009D59AB"/>
    <w:rsid w:val="009D5A22"/>
    <w:rsid w:val="009D5A79"/>
    <w:rsid w:val="009D5AEF"/>
    <w:rsid w:val="009D5B72"/>
    <w:rsid w:val="009D5B8D"/>
    <w:rsid w:val="009D5BCF"/>
    <w:rsid w:val="009D5D40"/>
    <w:rsid w:val="009D5D65"/>
    <w:rsid w:val="009D5DCA"/>
    <w:rsid w:val="009D5E0C"/>
    <w:rsid w:val="009D5E1F"/>
    <w:rsid w:val="009D5E5C"/>
    <w:rsid w:val="009D5F15"/>
    <w:rsid w:val="009D5F19"/>
    <w:rsid w:val="009D5FF4"/>
    <w:rsid w:val="009D6075"/>
    <w:rsid w:val="009D6083"/>
    <w:rsid w:val="009D6094"/>
    <w:rsid w:val="009D60C6"/>
    <w:rsid w:val="009D612A"/>
    <w:rsid w:val="009D616D"/>
    <w:rsid w:val="009D634B"/>
    <w:rsid w:val="009D6408"/>
    <w:rsid w:val="009D642E"/>
    <w:rsid w:val="009D6476"/>
    <w:rsid w:val="009D6499"/>
    <w:rsid w:val="009D657F"/>
    <w:rsid w:val="009D659F"/>
    <w:rsid w:val="009D65A7"/>
    <w:rsid w:val="009D65B4"/>
    <w:rsid w:val="009D65F6"/>
    <w:rsid w:val="009D674A"/>
    <w:rsid w:val="009D67FF"/>
    <w:rsid w:val="009D68AC"/>
    <w:rsid w:val="009D698D"/>
    <w:rsid w:val="009D69A0"/>
    <w:rsid w:val="009D69A1"/>
    <w:rsid w:val="009D69A5"/>
    <w:rsid w:val="009D69FB"/>
    <w:rsid w:val="009D6A19"/>
    <w:rsid w:val="009D6A73"/>
    <w:rsid w:val="009D6C07"/>
    <w:rsid w:val="009D6C9D"/>
    <w:rsid w:val="009D6D14"/>
    <w:rsid w:val="009D6D96"/>
    <w:rsid w:val="009D6E30"/>
    <w:rsid w:val="009D6E59"/>
    <w:rsid w:val="009D6F3A"/>
    <w:rsid w:val="009D6F74"/>
    <w:rsid w:val="009D6FA0"/>
    <w:rsid w:val="009D6FEC"/>
    <w:rsid w:val="009D7068"/>
    <w:rsid w:val="009D70D0"/>
    <w:rsid w:val="009D7200"/>
    <w:rsid w:val="009D721E"/>
    <w:rsid w:val="009D73BF"/>
    <w:rsid w:val="009D73EE"/>
    <w:rsid w:val="009D7424"/>
    <w:rsid w:val="009D747F"/>
    <w:rsid w:val="009D74C5"/>
    <w:rsid w:val="009D752B"/>
    <w:rsid w:val="009D7569"/>
    <w:rsid w:val="009D76D0"/>
    <w:rsid w:val="009D7727"/>
    <w:rsid w:val="009D78F1"/>
    <w:rsid w:val="009D7966"/>
    <w:rsid w:val="009D7980"/>
    <w:rsid w:val="009D79BD"/>
    <w:rsid w:val="009D79DE"/>
    <w:rsid w:val="009D7A57"/>
    <w:rsid w:val="009D7A60"/>
    <w:rsid w:val="009D7A8C"/>
    <w:rsid w:val="009D7A9A"/>
    <w:rsid w:val="009D7B05"/>
    <w:rsid w:val="009D7BF4"/>
    <w:rsid w:val="009D7C26"/>
    <w:rsid w:val="009D7CD5"/>
    <w:rsid w:val="009D7D04"/>
    <w:rsid w:val="009D7D7F"/>
    <w:rsid w:val="009D7DB4"/>
    <w:rsid w:val="009D7E64"/>
    <w:rsid w:val="009D7E70"/>
    <w:rsid w:val="009D7EAD"/>
    <w:rsid w:val="009D7F1C"/>
    <w:rsid w:val="009D7F2A"/>
    <w:rsid w:val="009D7F85"/>
    <w:rsid w:val="009E0003"/>
    <w:rsid w:val="009E001B"/>
    <w:rsid w:val="009E001E"/>
    <w:rsid w:val="009E0084"/>
    <w:rsid w:val="009E0088"/>
    <w:rsid w:val="009E00A4"/>
    <w:rsid w:val="009E00B1"/>
    <w:rsid w:val="009E0178"/>
    <w:rsid w:val="009E019C"/>
    <w:rsid w:val="009E0275"/>
    <w:rsid w:val="009E02B0"/>
    <w:rsid w:val="009E02FF"/>
    <w:rsid w:val="009E0403"/>
    <w:rsid w:val="009E0410"/>
    <w:rsid w:val="009E0487"/>
    <w:rsid w:val="009E0496"/>
    <w:rsid w:val="009E0518"/>
    <w:rsid w:val="009E05DF"/>
    <w:rsid w:val="009E05E7"/>
    <w:rsid w:val="009E05FD"/>
    <w:rsid w:val="009E060B"/>
    <w:rsid w:val="009E061A"/>
    <w:rsid w:val="009E06A0"/>
    <w:rsid w:val="009E0710"/>
    <w:rsid w:val="009E074D"/>
    <w:rsid w:val="009E075A"/>
    <w:rsid w:val="009E07CB"/>
    <w:rsid w:val="009E07EA"/>
    <w:rsid w:val="009E0849"/>
    <w:rsid w:val="009E0871"/>
    <w:rsid w:val="009E087E"/>
    <w:rsid w:val="009E08DC"/>
    <w:rsid w:val="009E0981"/>
    <w:rsid w:val="009E09AC"/>
    <w:rsid w:val="009E0A0C"/>
    <w:rsid w:val="009E0AD3"/>
    <w:rsid w:val="009E0B23"/>
    <w:rsid w:val="009E0B28"/>
    <w:rsid w:val="009E0B35"/>
    <w:rsid w:val="009E0C19"/>
    <w:rsid w:val="009E0C2E"/>
    <w:rsid w:val="009E0C6B"/>
    <w:rsid w:val="009E0D2F"/>
    <w:rsid w:val="009E0D7A"/>
    <w:rsid w:val="009E0DCB"/>
    <w:rsid w:val="009E0DFD"/>
    <w:rsid w:val="009E0E00"/>
    <w:rsid w:val="009E0EA3"/>
    <w:rsid w:val="009E0EAC"/>
    <w:rsid w:val="009E0F24"/>
    <w:rsid w:val="009E0F5F"/>
    <w:rsid w:val="009E0F80"/>
    <w:rsid w:val="009E1011"/>
    <w:rsid w:val="009E102B"/>
    <w:rsid w:val="009E10A3"/>
    <w:rsid w:val="009E1102"/>
    <w:rsid w:val="009E1123"/>
    <w:rsid w:val="009E1125"/>
    <w:rsid w:val="009E1174"/>
    <w:rsid w:val="009E11C8"/>
    <w:rsid w:val="009E12D1"/>
    <w:rsid w:val="009E12EC"/>
    <w:rsid w:val="009E1337"/>
    <w:rsid w:val="009E135C"/>
    <w:rsid w:val="009E13A3"/>
    <w:rsid w:val="009E1457"/>
    <w:rsid w:val="009E14B3"/>
    <w:rsid w:val="009E14F4"/>
    <w:rsid w:val="009E1556"/>
    <w:rsid w:val="009E15DC"/>
    <w:rsid w:val="009E1630"/>
    <w:rsid w:val="009E1675"/>
    <w:rsid w:val="009E16CB"/>
    <w:rsid w:val="009E1857"/>
    <w:rsid w:val="009E1860"/>
    <w:rsid w:val="009E1879"/>
    <w:rsid w:val="009E190A"/>
    <w:rsid w:val="009E19B8"/>
    <w:rsid w:val="009E1A03"/>
    <w:rsid w:val="009E1A51"/>
    <w:rsid w:val="009E1A7E"/>
    <w:rsid w:val="009E1AA7"/>
    <w:rsid w:val="009E1B47"/>
    <w:rsid w:val="009E1BB9"/>
    <w:rsid w:val="009E1C8E"/>
    <w:rsid w:val="009E1D59"/>
    <w:rsid w:val="009E1DEF"/>
    <w:rsid w:val="009E1EA6"/>
    <w:rsid w:val="009E1F02"/>
    <w:rsid w:val="009E1F3A"/>
    <w:rsid w:val="009E1F49"/>
    <w:rsid w:val="009E1FCA"/>
    <w:rsid w:val="009E2079"/>
    <w:rsid w:val="009E20D7"/>
    <w:rsid w:val="009E20DB"/>
    <w:rsid w:val="009E20E2"/>
    <w:rsid w:val="009E2130"/>
    <w:rsid w:val="009E21D1"/>
    <w:rsid w:val="009E21E2"/>
    <w:rsid w:val="009E2276"/>
    <w:rsid w:val="009E2281"/>
    <w:rsid w:val="009E2299"/>
    <w:rsid w:val="009E22AC"/>
    <w:rsid w:val="009E2323"/>
    <w:rsid w:val="009E2327"/>
    <w:rsid w:val="009E245B"/>
    <w:rsid w:val="009E245D"/>
    <w:rsid w:val="009E24B7"/>
    <w:rsid w:val="009E24D4"/>
    <w:rsid w:val="009E2567"/>
    <w:rsid w:val="009E25A3"/>
    <w:rsid w:val="009E25E0"/>
    <w:rsid w:val="009E2633"/>
    <w:rsid w:val="009E2645"/>
    <w:rsid w:val="009E26D6"/>
    <w:rsid w:val="009E26FB"/>
    <w:rsid w:val="009E270B"/>
    <w:rsid w:val="009E2745"/>
    <w:rsid w:val="009E2754"/>
    <w:rsid w:val="009E279B"/>
    <w:rsid w:val="009E27A5"/>
    <w:rsid w:val="009E27C5"/>
    <w:rsid w:val="009E27D3"/>
    <w:rsid w:val="009E27FE"/>
    <w:rsid w:val="009E2815"/>
    <w:rsid w:val="009E2817"/>
    <w:rsid w:val="009E2836"/>
    <w:rsid w:val="009E2869"/>
    <w:rsid w:val="009E28A4"/>
    <w:rsid w:val="009E28EA"/>
    <w:rsid w:val="009E29D5"/>
    <w:rsid w:val="009E29F6"/>
    <w:rsid w:val="009E2A0C"/>
    <w:rsid w:val="009E2A6D"/>
    <w:rsid w:val="009E2ABA"/>
    <w:rsid w:val="009E2B30"/>
    <w:rsid w:val="009E2BA9"/>
    <w:rsid w:val="009E2BEC"/>
    <w:rsid w:val="009E2C45"/>
    <w:rsid w:val="009E2D25"/>
    <w:rsid w:val="009E2D5D"/>
    <w:rsid w:val="009E2DFA"/>
    <w:rsid w:val="009E2E14"/>
    <w:rsid w:val="009E2E1D"/>
    <w:rsid w:val="009E2E34"/>
    <w:rsid w:val="009E2E48"/>
    <w:rsid w:val="009E2EB3"/>
    <w:rsid w:val="009E2EC2"/>
    <w:rsid w:val="009E2F5B"/>
    <w:rsid w:val="009E2F7A"/>
    <w:rsid w:val="009E2FE1"/>
    <w:rsid w:val="009E3015"/>
    <w:rsid w:val="009E3040"/>
    <w:rsid w:val="009E3085"/>
    <w:rsid w:val="009E30DD"/>
    <w:rsid w:val="009E30F1"/>
    <w:rsid w:val="009E3155"/>
    <w:rsid w:val="009E31D9"/>
    <w:rsid w:val="009E31FB"/>
    <w:rsid w:val="009E324E"/>
    <w:rsid w:val="009E32BB"/>
    <w:rsid w:val="009E32EA"/>
    <w:rsid w:val="009E3359"/>
    <w:rsid w:val="009E3381"/>
    <w:rsid w:val="009E3403"/>
    <w:rsid w:val="009E347C"/>
    <w:rsid w:val="009E358F"/>
    <w:rsid w:val="009E366B"/>
    <w:rsid w:val="009E3716"/>
    <w:rsid w:val="009E376A"/>
    <w:rsid w:val="009E3776"/>
    <w:rsid w:val="009E3808"/>
    <w:rsid w:val="009E3834"/>
    <w:rsid w:val="009E3988"/>
    <w:rsid w:val="009E39A1"/>
    <w:rsid w:val="009E3AE7"/>
    <w:rsid w:val="009E3B7A"/>
    <w:rsid w:val="009E3C1A"/>
    <w:rsid w:val="009E3C7F"/>
    <w:rsid w:val="009E3C85"/>
    <w:rsid w:val="009E3CDC"/>
    <w:rsid w:val="009E3D86"/>
    <w:rsid w:val="009E3F00"/>
    <w:rsid w:val="009E3F23"/>
    <w:rsid w:val="009E3F32"/>
    <w:rsid w:val="009E3F47"/>
    <w:rsid w:val="009E3F5F"/>
    <w:rsid w:val="009E3F6E"/>
    <w:rsid w:val="009E3FDB"/>
    <w:rsid w:val="009E415B"/>
    <w:rsid w:val="009E415E"/>
    <w:rsid w:val="009E418B"/>
    <w:rsid w:val="009E41DC"/>
    <w:rsid w:val="009E423B"/>
    <w:rsid w:val="009E4278"/>
    <w:rsid w:val="009E430C"/>
    <w:rsid w:val="009E4361"/>
    <w:rsid w:val="009E4367"/>
    <w:rsid w:val="009E438A"/>
    <w:rsid w:val="009E43BB"/>
    <w:rsid w:val="009E442F"/>
    <w:rsid w:val="009E4454"/>
    <w:rsid w:val="009E44F7"/>
    <w:rsid w:val="009E4516"/>
    <w:rsid w:val="009E4528"/>
    <w:rsid w:val="009E454A"/>
    <w:rsid w:val="009E45C9"/>
    <w:rsid w:val="009E45E4"/>
    <w:rsid w:val="009E45F2"/>
    <w:rsid w:val="009E4656"/>
    <w:rsid w:val="009E4670"/>
    <w:rsid w:val="009E46A1"/>
    <w:rsid w:val="009E47AA"/>
    <w:rsid w:val="009E4883"/>
    <w:rsid w:val="009E48EE"/>
    <w:rsid w:val="009E49A7"/>
    <w:rsid w:val="009E49F4"/>
    <w:rsid w:val="009E4A05"/>
    <w:rsid w:val="009E4A39"/>
    <w:rsid w:val="009E4A40"/>
    <w:rsid w:val="009E4AF0"/>
    <w:rsid w:val="009E4B9B"/>
    <w:rsid w:val="009E4BAA"/>
    <w:rsid w:val="009E4BB7"/>
    <w:rsid w:val="009E4BF8"/>
    <w:rsid w:val="009E4C26"/>
    <w:rsid w:val="009E4CBB"/>
    <w:rsid w:val="009E4D64"/>
    <w:rsid w:val="009E4DF2"/>
    <w:rsid w:val="009E4E0B"/>
    <w:rsid w:val="009E4E7A"/>
    <w:rsid w:val="009E4F85"/>
    <w:rsid w:val="009E4F94"/>
    <w:rsid w:val="009E4FAC"/>
    <w:rsid w:val="009E4FD3"/>
    <w:rsid w:val="009E50B0"/>
    <w:rsid w:val="009E528C"/>
    <w:rsid w:val="009E5357"/>
    <w:rsid w:val="009E5396"/>
    <w:rsid w:val="009E540B"/>
    <w:rsid w:val="009E5430"/>
    <w:rsid w:val="009E547A"/>
    <w:rsid w:val="009E548C"/>
    <w:rsid w:val="009E54A4"/>
    <w:rsid w:val="009E5519"/>
    <w:rsid w:val="009E5644"/>
    <w:rsid w:val="009E5710"/>
    <w:rsid w:val="009E572F"/>
    <w:rsid w:val="009E5735"/>
    <w:rsid w:val="009E57C1"/>
    <w:rsid w:val="009E57F0"/>
    <w:rsid w:val="009E5859"/>
    <w:rsid w:val="009E587C"/>
    <w:rsid w:val="009E588E"/>
    <w:rsid w:val="009E58A7"/>
    <w:rsid w:val="009E59A6"/>
    <w:rsid w:val="009E59F2"/>
    <w:rsid w:val="009E5A68"/>
    <w:rsid w:val="009E5A87"/>
    <w:rsid w:val="009E5B3B"/>
    <w:rsid w:val="009E5B5C"/>
    <w:rsid w:val="009E5B94"/>
    <w:rsid w:val="009E5BCE"/>
    <w:rsid w:val="009E5C15"/>
    <w:rsid w:val="009E5C72"/>
    <w:rsid w:val="009E5CAF"/>
    <w:rsid w:val="009E5CBE"/>
    <w:rsid w:val="009E5CC7"/>
    <w:rsid w:val="009E5CD5"/>
    <w:rsid w:val="009E5D83"/>
    <w:rsid w:val="009E5D9B"/>
    <w:rsid w:val="009E5DBA"/>
    <w:rsid w:val="009E5DF5"/>
    <w:rsid w:val="009E5F0F"/>
    <w:rsid w:val="009E5F30"/>
    <w:rsid w:val="009E5F78"/>
    <w:rsid w:val="009E5F9D"/>
    <w:rsid w:val="009E5FBE"/>
    <w:rsid w:val="009E600B"/>
    <w:rsid w:val="009E6021"/>
    <w:rsid w:val="009E607C"/>
    <w:rsid w:val="009E60B2"/>
    <w:rsid w:val="009E60D5"/>
    <w:rsid w:val="009E61C7"/>
    <w:rsid w:val="009E631B"/>
    <w:rsid w:val="009E631C"/>
    <w:rsid w:val="009E6331"/>
    <w:rsid w:val="009E6376"/>
    <w:rsid w:val="009E63BA"/>
    <w:rsid w:val="009E63E7"/>
    <w:rsid w:val="009E6420"/>
    <w:rsid w:val="009E64A3"/>
    <w:rsid w:val="009E64BF"/>
    <w:rsid w:val="009E64D0"/>
    <w:rsid w:val="009E64E6"/>
    <w:rsid w:val="009E64F6"/>
    <w:rsid w:val="009E6521"/>
    <w:rsid w:val="009E658B"/>
    <w:rsid w:val="009E668A"/>
    <w:rsid w:val="009E6723"/>
    <w:rsid w:val="009E68D7"/>
    <w:rsid w:val="009E68E3"/>
    <w:rsid w:val="009E68E7"/>
    <w:rsid w:val="009E698B"/>
    <w:rsid w:val="009E69CF"/>
    <w:rsid w:val="009E6B92"/>
    <w:rsid w:val="009E6BA5"/>
    <w:rsid w:val="009E6BC5"/>
    <w:rsid w:val="009E6BD8"/>
    <w:rsid w:val="009E6BE4"/>
    <w:rsid w:val="009E6D0F"/>
    <w:rsid w:val="009E6D28"/>
    <w:rsid w:val="009E6DA0"/>
    <w:rsid w:val="009E6DD4"/>
    <w:rsid w:val="009E6E23"/>
    <w:rsid w:val="009E6ECE"/>
    <w:rsid w:val="009E6EE4"/>
    <w:rsid w:val="009E6F85"/>
    <w:rsid w:val="009E6FD2"/>
    <w:rsid w:val="009E7009"/>
    <w:rsid w:val="009E7023"/>
    <w:rsid w:val="009E705E"/>
    <w:rsid w:val="009E70AB"/>
    <w:rsid w:val="009E7175"/>
    <w:rsid w:val="009E71A4"/>
    <w:rsid w:val="009E71D9"/>
    <w:rsid w:val="009E722C"/>
    <w:rsid w:val="009E7330"/>
    <w:rsid w:val="009E7397"/>
    <w:rsid w:val="009E73C5"/>
    <w:rsid w:val="009E74AB"/>
    <w:rsid w:val="009E756B"/>
    <w:rsid w:val="009E75CF"/>
    <w:rsid w:val="009E75D7"/>
    <w:rsid w:val="009E75EE"/>
    <w:rsid w:val="009E769A"/>
    <w:rsid w:val="009E76F2"/>
    <w:rsid w:val="009E7777"/>
    <w:rsid w:val="009E7876"/>
    <w:rsid w:val="009E78B5"/>
    <w:rsid w:val="009E7981"/>
    <w:rsid w:val="009E79A0"/>
    <w:rsid w:val="009E79E4"/>
    <w:rsid w:val="009E7A73"/>
    <w:rsid w:val="009E7ABF"/>
    <w:rsid w:val="009E7B08"/>
    <w:rsid w:val="009E7B55"/>
    <w:rsid w:val="009E7BB0"/>
    <w:rsid w:val="009E7C7C"/>
    <w:rsid w:val="009E7C88"/>
    <w:rsid w:val="009E7D15"/>
    <w:rsid w:val="009E7D4C"/>
    <w:rsid w:val="009E7E1C"/>
    <w:rsid w:val="009E7E4A"/>
    <w:rsid w:val="009E7E58"/>
    <w:rsid w:val="009E7E96"/>
    <w:rsid w:val="009E7F40"/>
    <w:rsid w:val="009E7FCD"/>
    <w:rsid w:val="009E7FF7"/>
    <w:rsid w:val="009F0008"/>
    <w:rsid w:val="009F011B"/>
    <w:rsid w:val="009F01A8"/>
    <w:rsid w:val="009F02E4"/>
    <w:rsid w:val="009F040B"/>
    <w:rsid w:val="009F040F"/>
    <w:rsid w:val="009F0425"/>
    <w:rsid w:val="009F04A7"/>
    <w:rsid w:val="009F056D"/>
    <w:rsid w:val="009F057A"/>
    <w:rsid w:val="009F0607"/>
    <w:rsid w:val="009F0620"/>
    <w:rsid w:val="009F064E"/>
    <w:rsid w:val="009F06B6"/>
    <w:rsid w:val="009F06FC"/>
    <w:rsid w:val="009F078F"/>
    <w:rsid w:val="009F07BF"/>
    <w:rsid w:val="009F07F7"/>
    <w:rsid w:val="009F0800"/>
    <w:rsid w:val="009F0836"/>
    <w:rsid w:val="009F0842"/>
    <w:rsid w:val="009F08A9"/>
    <w:rsid w:val="009F08AF"/>
    <w:rsid w:val="009F08C1"/>
    <w:rsid w:val="009F08DD"/>
    <w:rsid w:val="009F091A"/>
    <w:rsid w:val="009F0936"/>
    <w:rsid w:val="009F0990"/>
    <w:rsid w:val="009F09C2"/>
    <w:rsid w:val="009F0A89"/>
    <w:rsid w:val="009F0B29"/>
    <w:rsid w:val="009F0BA6"/>
    <w:rsid w:val="009F0BEA"/>
    <w:rsid w:val="009F0CCC"/>
    <w:rsid w:val="009F0CF6"/>
    <w:rsid w:val="009F0DCE"/>
    <w:rsid w:val="009F0DDA"/>
    <w:rsid w:val="009F0DF5"/>
    <w:rsid w:val="009F0E2A"/>
    <w:rsid w:val="009F0E61"/>
    <w:rsid w:val="009F0F55"/>
    <w:rsid w:val="009F0FD6"/>
    <w:rsid w:val="009F10D0"/>
    <w:rsid w:val="009F10E6"/>
    <w:rsid w:val="009F10F1"/>
    <w:rsid w:val="009F111C"/>
    <w:rsid w:val="009F1153"/>
    <w:rsid w:val="009F1174"/>
    <w:rsid w:val="009F11FF"/>
    <w:rsid w:val="009F126D"/>
    <w:rsid w:val="009F1275"/>
    <w:rsid w:val="009F12B5"/>
    <w:rsid w:val="009F133A"/>
    <w:rsid w:val="009F13EC"/>
    <w:rsid w:val="009F14CB"/>
    <w:rsid w:val="009F1537"/>
    <w:rsid w:val="009F1579"/>
    <w:rsid w:val="009F15AA"/>
    <w:rsid w:val="009F15AE"/>
    <w:rsid w:val="009F169E"/>
    <w:rsid w:val="009F1721"/>
    <w:rsid w:val="009F172B"/>
    <w:rsid w:val="009F174A"/>
    <w:rsid w:val="009F17F7"/>
    <w:rsid w:val="009F17FC"/>
    <w:rsid w:val="009F18E0"/>
    <w:rsid w:val="009F18E8"/>
    <w:rsid w:val="009F1C32"/>
    <w:rsid w:val="009F1C6F"/>
    <w:rsid w:val="009F1CF8"/>
    <w:rsid w:val="009F1D66"/>
    <w:rsid w:val="009F1D6F"/>
    <w:rsid w:val="009F1D76"/>
    <w:rsid w:val="009F1DF8"/>
    <w:rsid w:val="009F1E7C"/>
    <w:rsid w:val="009F1E9F"/>
    <w:rsid w:val="009F1FBC"/>
    <w:rsid w:val="009F1FE0"/>
    <w:rsid w:val="009F2032"/>
    <w:rsid w:val="009F2037"/>
    <w:rsid w:val="009F2077"/>
    <w:rsid w:val="009F20D5"/>
    <w:rsid w:val="009F2137"/>
    <w:rsid w:val="009F2172"/>
    <w:rsid w:val="009F2258"/>
    <w:rsid w:val="009F2277"/>
    <w:rsid w:val="009F232D"/>
    <w:rsid w:val="009F2383"/>
    <w:rsid w:val="009F25B3"/>
    <w:rsid w:val="009F25CA"/>
    <w:rsid w:val="009F25DB"/>
    <w:rsid w:val="009F2612"/>
    <w:rsid w:val="009F266B"/>
    <w:rsid w:val="009F26A1"/>
    <w:rsid w:val="009F26A9"/>
    <w:rsid w:val="009F26D2"/>
    <w:rsid w:val="009F2774"/>
    <w:rsid w:val="009F27BD"/>
    <w:rsid w:val="009F27CE"/>
    <w:rsid w:val="009F282D"/>
    <w:rsid w:val="009F2873"/>
    <w:rsid w:val="009F290C"/>
    <w:rsid w:val="009F29A3"/>
    <w:rsid w:val="009F2A24"/>
    <w:rsid w:val="009F2A74"/>
    <w:rsid w:val="009F2A77"/>
    <w:rsid w:val="009F2AA0"/>
    <w:rsid w:val="009F2B72"/>
    <w:rsid w:val="009F2C07"/>
    <w:rsid w:val="009F2C48"/>
    <w:rsid w:val="009F2C72"/>
    <w:rsid w:val="009F2CCE"/>
    <w:rsid w:val="009F2CE4"/>
    <w:rsid w:val="009F2CED"/>
    <w:rsid w:val="009F2D17"/>
    <w:rsid w:val="009F2D1E"/>
    <w:rsid w:val="009F2D6D"/>
    <w:rsid w:val="009F2DB4"/>
    <w:rsid w:val="009F2DCE"/>
    <w:rsid w:val="009F2E0C"/>
    <w:rsid w:val="009F2E89"/>
    <w:rsid w:val="009F2F18"/>
    <w:rsid w:val="009F2F5C"/>
    <w:rsid w:val="009F2F6F"/>
    <w:rsid w:val="009F2FB9"/>
    <w:rsid w:val="009F306E"/>
    <w:rsid w:val="009F3071"/>
    <w:rsid w:val="009F3080"/>
    <w:rsid w:val="009F310B"/>
    <w:rsid w:val="009F319A"/>
    <w:rsid w:val="009F31B1"/>
    <w:rsid w:val="009F31EB"/>
    <w:rsid w:val="009F32AD"/>
    <w:rsid w:val="009F32C6"/>
    <w:rsid w:val="009F3356"/>
    <w:rsid w:val="009F33B0"/>
    <w:rsid w:val="009F33EF"/>
    <w:rsid w:val="009F3411"/>
    <w:rsid w:val="009F355B"/>
    <w:rsid w:val="009F3569"/>
    <w:rsid w:val="009F3620"/>
    <w:rsid w:val="009F3645"/>
    <w:rsid w:val="009F366F"/>
    <w:rsid w:val="009F3690"/>
    <w:rsid w:val="009F36F1"/>
    <w:rsid w:val="009F3938"/>
    <w:rsid w:val="009F3997"/>
    <w:rsid w:val="009F39F2"/>
    <w:rsid w:val="009F3A69"/>
    <w:rsid w:val="009F3A6F"/>
    <w:rsid w:val="009F3AD9"/>
    <w:rsid w:val="009F3BA1"/>
    <w:rsid w:val="009F3BE6"/>
    <w:rsid w:val="009F3C09"/>
    <w:rsid w:val="009F3C8D"/>
    <w:rsid w:val="009F3CE1"/>
    <w:rsid w:val="009F3D0D"/>
    <w:rsid w:val="009F3D31"/>
    <w:rsid w:val="009F3D9C"/>
    <w:rsid w:val="009F3DCB"/>
    <w:rsid w:val="009F3E4F"/>
    <w:rsid w:val="009F3E72"/>
    <w:rsid w:val="009F3F30"/>
    <w:rsid w:val="009F3F3F"/>
    <w:rsid w:val="009F3FB9"/>
    <w:rsid w:val="009F3FCD"/>
    <w:rsid w:val="009F40AC"/>
    <w:rsid w:val="009F40CD"/>
    <w:rsid w:val="009F40EC"/>
    <w:rsid w:val="009F414E"/>
    <w:rsid w:val="009F418B"/>
    <w:rsid w:val="009F423D"/>
    <w:rsid w:val="009F4256"/>
    <w:rsid w:val="009F42BF"/>
    <w:rsid w:val="009F434F"/>
    <w:rsid w:val="009F438E"/>
    <w:rsid w:val="009F43E8"/>
    <w:rsid w:val="009F440F"/>
    <w:rsid w:val="009F4429"/>
    <w:rsid w:val="009F44AC"/>
    <w:rsid w:val="009F44C0"/>
    <w:rsid w:val="009F44EB"/>
    <w:rsid w:val="009F45AB"/>
    <w:rsid w:val="009F45B9"/>
    <w:rsid w:val="009F45BC"/>
    <w:rsid w:val="009F4608"/>
    <w:rsid w:val="009F4614"/>
    <w:rsid w:val="009F4686"/>
    <w:rsid w:val="009F46DE"/>
    <w:rsid w:val="009F46F5"/>
    <w:rsid w:val="009F4745"/>
    <w:rsid w:val="009F483A"/>
    <w:rsid w:val="009F4889"/>
    <w:rsid w:val="009F489B"/>
    <w:rsid w:val="009F48C8"/>
    <w:rsid w:val="009F48CD"/>
    <w:rsid w:val="009F497B"/>
    <w:rsid w:val="009F4A9E"/>
    <w:rsid w:val="009F4AEB"/>
    <w:rsid w:val="009F4B2D"/>
    <w:rsid w:val="009F4B5A"/>
    <w:rsid w:val="009F4BB0"/>
    <w:rsid w:val="009F4C35"/>
    <w:rsid w:val="009F4C7B"/>
    <w:rsid w:val="009F4D05"/>
    <w:rsid w:val="009F4D44"/>
    <w:rsid w:val="009F4D79"/>
    <w:rsid w:val="009F4DC9"/>
    <w:rsid w:val="009F4DD2"/>
    <w:rsid w:val="009F4DEA"/>
    <w:rsid w:val="009F4DF0"/>
    <w:rsid w:val="009F4E5F"/>
    <w:rsid w:val="009F4F39"/>
    <w:rsid w:val="009F4F5F"/>
    <w:rsid w:val="009F500C"/>
    <w:rsid w:val="009F50B1"/>
    <w:rsid w:val="009F50CF"/>
    <w:rsid w:val="009F510F"/>
    <w:rsid w:val="009F51CD"/>
    <w:rsid w:val="009F523E"/>
    <w:rsid w:val="009F52A0"/>
    <w:rsid w:val="009F52AC"/>
    <w:rsid w:val="009F52BB"/>
    <w:rsid w:val="009F52D7"/>
    <w:rsid w:val="009F5364"/>
    <w:rsid w:val="009F538A"/>
    <w:rsid w:val="009F53AB"/>
    <w:rsid w:val="009F5452"/>
    <w:rsid w:val="009F5470"/>
    <w:rsid w:val="009F549D"/>
    <w:rsid w:val="009F54B4"/>
    <w:rsid w:val="009F54BD"/>
    <w:rsid w:val="009F551D"/>
    <w:rsid w:val="009F55DC"/>
    <w:rsid w:val="009F56B3"/>
    <w:rsid w:val="009F56D4"/>
    <w:rsid w:val="009F56D6"/>
    <w:rsid w:val="009F56F4"/>
    <w:rsid w:val="009F572E"/>
    <w:rsid w:val="009F576C"/>
    <w:rsid w:val="009F57CA"/>
    <w:rsid w:val="009F5864"/>
    <w:rsid w:val="009F5956"/>
    <w:rsid w:val="009F5957"/>
    <w:rsid w:val="009F5986"/>
    <w:rsid w:val="009F59EA"/>
    <w:rsid w:val="009F5A10"/>
    <w:rsid w:val="009F5A84"/>
    <w:rsid w:val="009F5AC4"/>
    <w:rsid w:val="009F5AC9"/>
    <w:rsid w:val="009F5ACE"/>
    <w:rsid w:val="009F5B6C"/>
    <w:rsid w:val="009F5BA4"/>
    <w:rsid w:val="009F5BAB"/>
    <w:rsid w:val="009F5C42"/>
    <w:rsid w:val="009F5CB3"/>
    <w:rsid w:val="009F5CC8"/>
    <w:rsid w:val="009F5D3C"/>
    <w:rsid w:val="009F5D79"/>
    <w:rsid w:val="009F5EFA"/>
    <w:rsid w:val="009F5F28"/>
    <w:rsid w:val="009F5F2A"/>
    <w:rsid w:val="009F5F31"/>
    <w:rsid w:val="009F5F99"/>
    <w:rsid w:val="009F5FA6"/>
    <w:rsid w:val="009F5FE1"/>
    <w:rsid w:val="009F5FE4"/>
    <w:rsid w:val="009F6022"/>
    <w:rsid w:val="009F6027"/>
    <w:rsid w:val="009F605A"/>
    <w:rsid w:val="009F60F7"/>
    <w:rsid w:val="009F6150"/>
    <w:rsid w:val="009F6209"/>
    <w:rsid w:val="009F6283"/>
    <w:rsid w:val="009F629E"/>
    <w:rsid w:val="009F62DE"/>
    <w:rsid w:val="009F630E"/>
    <w:rsid w:val="009F63FB"/>
    <w:rsid w:val="009F6436"/>
    <w:rsid w:val="009F648A"/>
    <w:rsid w:val="009F64F1"/>
    <w:rsid w:val="009F652A"/>
    <w:rsid w:val="009F652D"/>
    <w:rsid w:val="009F6566"/>
    <w:rsid w:val="009F6580"/>
    <w:rsid w:val="009F6589"/>
    <w:rsid w:val="009F659B"/>
    <w:rsid w:val="009F65B6"/>
    <w:rsid w:val="009F6737"/>
    <w:rsid w:val="009F674B"/>
    <w:rsid w:val="009F6774"/>
    <w:rsid w:val="009F67A0"/>
    <w:rsid w:val="009F67D5"/>
    <w:rsid w:val="009F6839"/>
    <w:rsid w:val="009F68C4"/>
    <w:rsid w:val="009F68E7"/>
    <w:rsid w:val="009F692E"/>
    <w:rsid w:val="009F6939"/>
    <w:rsid w:val="009F699A"/>
    <w:rsid w:val="009F69A5"/>
    <w:rsid w:val="009F6A4B"/>
    <w:rsid w:val="009F6B99"/>
    <w:rsid w:val="009F6BA1"/>
    <w:rsid w:val="009F6CD0"/>
    <w:rsid w:val="009F6CED"/>
    <w:rsid w:val="009F6D19"/>
    <w:rsid w:val="009F6DBF"/>
    <w:rsid w:val="009F6DF0"/>
    <w:rsid w:val="009F6DFB"/>
    <w:rsid w:val="009F6E20"/>
    <w:rsid w:val="009F6E96"/>
    <w:rsid w:val="009F6EEE"/>
    <w:rsid w:val="009F7010"/>
    <w:rsid w:val="009F702D"/>
    <w:rsid w:val="009F70EB"/>
    <w:rsid w:val="009F7111"/>
    <w:rsid w:val="009F7161"/>
    <w:rsid w:val="009F7183"/>
    <w:rsid w:val="009F7201"/>
    <w:rsid w:val="009F72F9"/>
    <w:rsid w:val="009F7378"/>
    <w:rsid w:val="009F73A7"/>
    <w:rsid w:val="009F73B2"/>
    <w:rsid w:val="009F745C"/>
    <w:rsid w:val="009F7498"/>
    <w:rsid w:val="009F74FE"/>
    <w:rsid w:val="009F75B1"/>
    <w:rsid w:val="009F76B9"/>
    <w:rsid w:val="009F76D6"/>
    <w:rsid w:val="009F774F"/>
    <w:rsid w:val="009F77A0"/>
    <w:rsid w:val="009F77D9"/>
    <w:rsid w:val="009F780F"/>
    <w:rsid w:val="009F7812"/>
    <w:rsid w:val="009F7921"/>
    <w:rsid w:val="009F7934"/>
    <w:rsid w:val="009F7941"/>
    <w:rsid w:val="009F79A2"/>
    <w:rsid w:val="009F79CE"/>
    <w:rsid w:val="009F79E5"/>
    <w:rsid w:val="009F7A45"/>
    <w:rsid w:val="009F7A99"/>
    <w:rsid w:val="009F7ADE"/>
    <w:rsid w:val="009F7C64"/>
    <w:rsid w:val="009F7C8D"/>
    <w:rsid w:val="009F7D52"/>
    <w:rsid w:val="009F7D6A"/>
    <w:rsid w:val="009F7E8A"/>
    <w:rsid w:val="009F7EFF"/>
    <w:rsid w:val="009F7F1E"/>
    <w:rsid w:val="00A00024"/>
    <w:rsid w:val="00A000B6"/>
    <w:rsid w:val="00A000CF"/>
    <w:rsid w:val="00A0015C"/>
    <w:rsid w:val="00A00173"/>
    <w:rsid w:val="00A002BD"/>
    <w:rsid w:val="00A002E9"/>
    <w:rsid w:val="00A00309"/>
    <w:rsid w:val="00A00316"/>
    <w:rsid w:val="00A0031E"/>
    <w:rsid w:val="00A00470"/>
    <w:rsid w:val="00A00479"/>
    <w:rsid w:val="00A004C7"/>
    <w:rsid w:val="00A004F7"/>
    <w:rsid w:val="00A0050B"/>
    <w:rsid w:val="00A0057A"/>
    <w:rsid w:val="00A00656"/>
    <w:rsid w:val="00A00659"/>
    <w:rsid w:val="00A0069A"/>
    <w:rsid w:val="00A00733"/>
    <w:rsid w:val="00A0074F"/>
    <w:rsid w:val="00A00761"/>
    <w:rsid w:val="00A00765"/>
    <w:rsid w:val="00A0077E"/>
    <w:rsid w:val="00A007D6"/>
    <w:rsid w:val="00A007FE"/>
    <w:rsid w:val="00A00833"/>
    <w:rsid w:val="00A0084C"/>
    <w:rsid w:val="00A00911"/>
    <w:rsid w:val="00A0095F"/>
    <w:rsid w:val="00A009E5"/>
    <w:rsid w:val="00A009E7"/>
    <w:rsid w:val="00A009F3"/>
    <w:rsid w:val="00A00A72"/>
    <w:rsid w:val="00A00AA8"/>
    <w:rsid w:val="00A00B11"/>
    <w:rsid w:val="00A00BFD"/>
    <w:rsid w:val="00A00C7F"/>
    <w:rsid w:val="00A00D95"/>
    <w:rsid w:val="00A00DB4"/>
    <w:rsid w:val="00A00E1E"/>
    <w:rsid w:val="00A00E68"/>
    <w:rsid w:val="00A00FC2"/>
    <w:rsid w:val="00A01017"/>
    <w:rsid w:val="00A0101B"/>
    <w:rsid w:val="00A01022"/>
    <w:rsid w:val="00A01045"/>
    <w:rsid w:val="00A01067"/>
    <w:rsid w:val="00A01082"/>
    <w:rsid w:val="00A01111"/>
    <w:rsid w:val="00A01132"/>
    <w:rsid w:val="00A01191"/>
    <w:rsid w:val="00A0121B"/>
    <w:rsid w:val="00A012B1"/>
    <w:rsid w:val="00A012E8"/>
    <w:rsid w:val="00A013A8"/>
    <w:rsid w:val="00A01503"/>
    <w:rsid w:val="00A0151E"/>
    <w:rsid w:val="00A0154A"/>
    <w:rsid w:val="00A01605"/>
    <w:rsid w:val="00A01616"/>
    <w:rsid w:val="00A01624"/>
    <w:rsid w:val="00A01640"/>
    <w:rsid w:val="00A0175B"/>
    <w:rsid w:val="00A01766"/>
    <w:rsid w:val="00A01778"/>
    <w:rsid w:val="00A017AE"/>
    <w:rsid w:val="00A017B7"/>
    <w:rsid w:val="00A017CA"/>
    <w:rsid w:val="00A0182F"/>
    <w:rsid w:val="00A0183B"/>
    <w:rsid w:val="00A01841"/>
    <w:rsid w:val="00A0186F"/>
    <w:rsid w:val="00A018D2"/>
    <w:rsid w:val="00A019B1"/>
    <w:rsid w:val="00A019F8"/>
    <w:rsid w:val="00A01A11"/>
    <w:rsid w:val="00A01A39"/>
    <w:rsid w:val="00A01AD7"/>
    <w:rsid w:val="00A01B20"/>
    <w:rsid w:val="00A01BF4"/>
    <w:rsid w:val="00A01C2C"/>
    <w:rsid w:val="00A01C40"/>
    <w:rsid w:val="00A01C96"/>
    <w:rsid w:val="00A01CB9"/>
    <w:rsid w:val="00A01CCC"/>
    <w:rsid w:val="00A01CF5"/>
    <w:rsid w:val="00A01D00"/>
    <w:rsid w:val="00A01E34"/>
    <w:rsid w:val="00A01F36"/>
    <w:rsid w:val="00A01FBF"/>
    <w:rsid w:val="00A02099"/>
    <w:rsid w:val="00A021D9"/>
    <w:rsid w:val="00A021DF"/>
    <w:rsid w:val="00A021E7"/>
    <w:rsid w:val="00A021F2"/>
    <w:rsid w:val="00A021F7"/>
    <w:rsid w:val="00A02232"/>
    <w:rsid w:val="00A022DA"/>
    <w:rsid w:val="00A02329"/>
    <w:rsid w:val="00A02355"/>
    <w:rsid w:val="00A02360"/>
    <w:rsid w:val="00A023A1"/>
    <w:rsid w:val="00A02418"/>
    <w:rsid w:val="00A02458"/>
    <w:rsid w:val="00A024C9"/>
    <w:rsid w:val="00A0254C"/>
    <w:rsid w:val="00A02585"/>
    <w:rsid w:val="00A02612"/>
    <w:rsid w:val="00A026D4"/>
    <w:rsid w:val="00A02778"/>
    <w:rsid w:val="00A02787"/>
    <w:rsid w:val="00A0278B"/>
    <w:rsid w:val="00A027A2"/>
    <w:rsid w:val="00A027F7"/>
    <w:rsid w:val="00A02806"/>
    <w:rsid w:val="00A02904"/>
    <w:rsid w:val="00A0292C"/>
    <w:rsid w:val="00A02986"/>
    <w:rsid w:val="00A029F5"/>
    <w:rsid w:val="00A02A48"/>
    <w:rsid w:val="00A02A56"/>
    <w:rsid w:val="00A02A92"/>
    <w:rsid w:val="00A02AC2"/>
    <w:rsid w:val="00A02AD4"/>
    <w:rsid w:val="00A02B87"/>
    <w:rsid w:val="00A02C3F"/>
    <w:rsid w:val="00A02C7D"/>
    <w:rsid w:val="00A02CA7"/>
    <w:rsid w:val="00A02CD4"/>
    <w:rsid w:val="00A02CD5"/>
    <w:rsid w:val="00A02D78"/>
    <w:rsid w:val="00A02D87"/>
    <w:rsid w:val="00A02D8A"/>
    <w:rsid w:val="00A02D8D"/>
    <w:rsid w:val="00A02DD8"/>
    <w:rsid w:val="00A02DEF"/>
    <w:rsid w:val="00A02E19"/>
    <w:rsid w:val="00A02E5A"/>
    <w:rsid w:val="00A02EC3"/>
    <w:rsid w:val="00A02EFE"/>
    <w:rsid w:val="00A02F22"/>
    <w:rsid w:val="00A02F48"/>
    <w:rsid w:val="00A02F4E"/>
    <w:rsid w:val="00A02F7E"/>
    <w:rsid w:val="00A02F83"/>
    <w:rsid w:val="00A02F94"/>
    <w:rsid w:val="00A02FAC"/>
    <w:rsid w:val="00A0300C"/>
    <w:rsid w:val="00A03028"/>
    <w:rsid w:val="00A0302D"/>
    <w:rsid w:val="00A030FD"/>
    <w:rsid w:val="00A0318F"/>
    <w:rsid w:val="00A031BA"/>
    <w:rsid w:val="00A031D3"/>
    <w:rsid w:val="00A032F6"/>
    <w:rsid w:val="00A03302"/>
    <w:rsid w:val="00A03304"/>
    <w:rsid w:val="00A03341"/>
    <w:rsid w:val="00A0334F"/>
    <w:rsid w:val="00A033B4"/>
    <w:rsid w:val="00A0340D"/>
    <w:rsid w:val="00A0342A"/>
    <w:rsid w:val="00A0348D"/>
    <w:rsid w:val="00A03496"/>
    <w:rsid w:val="00A034A5"/>
    <w:rsid w:val="00A035E7"/>
    <w:rsid w:val="00A03618"/>
    <w:rsid w:val="00A03668"/>
    <w:rsid w:val="00A03698"/>
    <w:rsid w:val="00A0375F"/>
    <w:rsid w:val="00A03765"/>
    <w:rsid w:val="00A0379D"/>
    <w:rsid w:val="00A037C1"/>
    <w:rsid w:val="00A03833"/>
    <w:rsid w:val="00A03837"/>
    <w:rsid w:val="00A038C6"/>
    <w:rsid w:val="00A03926"/>
    <w:rsid w:val="00A0396F"/>
    <w:rsid w:val="00A039B2"/>
    <w:rsid w:val="00A03A31"/>
    <w:rsid w:val="00A03A4A"/>
    <w:rsid w:val="00A03A7C"/>
    <w:rsid w:val="00A03AFD"/>
    <w:rsid w:val="00A03B20"/>
    <w:rsid w:val="00A03B34"/>
    <w:rsid w:val="00A03B55"/>
    <w:rsid w:val="00A03B81"/>
    <w:rsid w:val="00A03BD4"/>
    <w:rsid w:val="00A03BED"/>
    <w:rsid w:val="00A03C2D"/>
    <w:rsid w:val="00A03C3C"/>
    <w:rsid w:val="00A03CCD"/>
    <w:rsid w:val="00A03CE3"/>
    <w:rsid w:val="00A03CE8"/>
    <w:rsid w:val="00A03D98"/>
    <w:rsid w:val="00A03DD8"/>
    <w:rsid w:val="00A03E10"/>
    <w:rsid w:val="00A03E32"/>
    <w:rsid w:val="00A03E34"/>
    <w:rsid w:val="00A03E49"/>
    <w:rsid w:val="00A03E5B"/>
    <w:rsid w:val="00A03ECB"/>
    <w:rsid w:val="00A03EF0"/>
    <w:rsid w:val="00A03FB7"/>
    <w:rsid w:val="00A03FEC"/>
    <w:rsid w:val="00A0402F"/>
    <w:rsid w:val="00A04039"/>
    <w:rsid w:val="00A040BC"/>
    <w:rsid w:val="00A040E3"/>
    <w:rsid w:val="00A0415A"/>
    <w:rsid w:val="00A041A1"/>
    <w:rsid w:val="00A0420B"/>
    <w:rsid w:val="00A0422C"/>
    <w:rsid w:val="00A04276"/>
    <w:rsid w:val="00A04292"/>
    <w:rsid w:val="00A042CF"/>
    <w:rsid w:val="00A044BA"/>
    <w:rsid w:val="00A04512"/>
    <w:rsid w:val="00A0454D"/>
    <w:rsid w:val="00A04604"/>
    <w:rsid w:val="00A04605"/>
    <w:rsid w:val="00A04610"/>
    <w:rsid w:val="00A0467F"/>
    <w:rsid w:val="00A046E1"/>
    <w:rsid w:val="00A046FB"/>
    <w:rsid w:val="00A04890"/>
    <w:rsid w:val="00A04906"/>
    <w:rsid w:val="00A04991"/>
    <w:rsid w:val="00A04A73"/>
    <w:rsid w:val="00A04AC4"/>
    <w:rsid w:val="00A04BA9"/>
    <w:rsid w:val="00A04BEE"/>
    <w:rsid w:val="00A04CE7"/>
    <w:rsid w:val="00A04DF1"/>
    <w:rsid w:val="00A04E47"/>
    <w:rsid w:val="00A04EAE"/>
    <w:rsid w:val="00A04EBB"/>
    <w:rsid w:val="00A04EBE"/>
    <w:rsid w:val="00A04F73"/>
    <w:rsid w:val="00A05043"/>
    <w:rsid w:val="00A050DF"/>
    <w:rsid w:val="00A051A6"/>
    <w:rsid w:val="00A0520E"/>
    <w:rsid w:val="00A05229"/>
    <w:rsid w:val="00A0528D"/>
    <w:rsid w:val="00A052FA"/>
    <w:rsid w:val="00A05318"/>
    <w:rsid w:val="00A0531E"/>
    <w:rsid w:val="00A05335"/>
    <w:rsid w:val="00A053AE"/>
    <w:rsid w:val="00A054E0"/>
    <w:rsid w:val="00A05513"/>
    <w:rsid w:val="00A0553E"/>
    <w:rsid w:val="00A05594"/>
    <w:rsid w:val="00A055AD"/>
    <w:rsid w:val="00A05645"/>
    <w:rsid w:val="00A056C1"/>
    <w:rsid w:val="00A056CA"/>
    <w:rsid w:val="00A056EA"/>
    <w:rsid w:val="00A0573D"/>
    <w:rsid w:val="00A058BC"/>
    <w:rsid w:val="00A058D1"/>
    <w:rsid w:val="00A059CB"/>
    <w:rsid w:val="00A05A52"/>
    <w:rsid w:val="00A05AE0"/>
    <w:rsid w:val="00A05C00"/>
    <w:rsid w:val="00A05C52"/>
    <w:rsid w:val="00A05C66"/>
    <w:rsid w:val="00A05D9F"/>
    <w:rsid w:val="00A05DE3"/>
    <w:rsid w:val="00A05E9D"/>
    <w:rsid w:val="00A05FA8"/>
    <w:rsid w:val="00A05FFA"/>
    <w:rsid w:val="00A06006"/>
    <w:rsid w:val="00A06055"/>
    <w:rsid w:val="00A06084"/>
    <w:rsid w:val="00A060B9"/>
    <w:rsid w:val="00A060E1"/>
    <w:rsid w:val="00A06139"/>
    <w:rsid w:val="00A061DB"/>
    <w:rsid w:val="00A0631B"/>
    <w:rsid w:val="00A06355"/>
    <w:rsid w:val="00A0638E"/>
    <w:rsid w:val="00A063EA"/>
    <w:rsid w:val="00A064A6"/>
    <w:rsid w:val="00A064A7"/>
    <w:rsid w:val="00A065C7"/>
    <w:rsid w:val="00A0664A"/>
    <w:rsid w:val="00A06729"/>
    <w:rsid w:val="00A06745"/>
    <w:rsid w:val="00A06756"/>
    <w:rsid w:val="00A06770"/>
    <w:rsid w:val="00A0677B"/>
    <w:rsid w:val="00A067E4"/>
    <w:rsid w:val="00A06828"/>
    <w:rsid w:val="00A0682C"/>
    <w:rsid w:val="00A06870"/>
    <w:rsid w:val="00A06913"/>
    <w:rsid w:val="00A06A13"/>
    <w:rsid w:val="00A06A61"/>
    <w:rsid w:val="00A06A6C"/>
    <w:rsid w:val="00A06ACC"/>
    <w:rsid w:val="00A06AF6"/>
    <w:rsid w:val="00A06AFC"/>
    <w:rsid w:val="00A06B72"/>
    <w:rsid w:val="00A06C4B"/>
    <w:rsid w:val="00A06CB6"/>
    <w:rsid w:val="00A06D68"/>
    <w:rsid w:val="00A06DF6"/>
    <w:rsid w:val="00A06E12"/>
    <w:rsid w:val="00A06EFD"/>
    <w:rsid w:val="00A06FA9"/>
    <w:rsid w:val="00A07041"/>
    <w:rsid w:val="00A0710A"/>
    <w:rsid w:val="00A0710C"/>
    <w:rsid w:val="00A07114"/>
    <w:rsid w:val="00A07166"/>
    <w:rsid w:val="00A07168"/>
    <w:rsid w:val="00A071F9"/>
    <w:rsid w:val="00A07206"/>
    <w:rsid w:val="00A07258"/>
    <w:rsid w:val="00A0737C"/>
    <w:rsid w:val="00A073D4"/>
    <w:rsid w:val="00A07453"/>
    <w:rsid w:val="00A07492"/>
    <w:rsid w:val="00A074CC"/>
    <w:rsid w:val="00A074E2"/>
    <w:rsid w:val="00A07564"/>
    <w:rsid w:val="00A0760C"/>
    <w:rsid w:val="00A0765D"/>
    <w:rsid w:val="00A07663"/>
    <w:rsid w:val="00A0767B"/>
    <w:rsid w:val="00A0779E"/>
    <w:rsid w:val="00A077E8"/>
    <w:rsid w:val="00A077F4"/>
    <w:rsid w:val="00A07800"/>
    <w:rsid w:val="00A07854"/>
    <w:rsid w:val="00A07869"/>
    <w:rsid w:val="00A07877"/>
    <w:rsid w:val="00A07887"/>
    <w:rsid w:val="00A078B4"/>
    <w:rsid w:val="00A078B5"/>
    <w:rsid w:val="00A078ED"/>
    <w:rsid w:val="00A07970"/>
    <w:rsid w:val="00A07A48"/>
    <w:rsid w:val="00A07A59"/>
    <w:rsid w:val="00A07ABB"/>
    <w:rsid w:val="00A07AC6"/>
    <w:rsid w:val="00A07B4F"/>
    <w:rsid w:val="00A07BC7"/>
    <w:rsid w:val="00A07BC9"/>
    <w:rsid w:val="00A07C0B"/>
    <w:rsid w:val="00A07C65"/>
    <w:rsid w:val="00A07C75"/>
    <w:rsid w:val="00A07CD9"/>
    <w:rsid w:val="00A07D12"/>
    <w:rsid w:val="00A07E91"/>
    <w:rsid w:val="00A07EA7"/>
    <w:rsid w:val="00A07FBD"/>
    <w:rsid w:val="00A07FE5"/>
    <w:rsid w:val="00A1004D"/>
    <w:rsid w:val="00A1007C"/>
    <w:rsid w:val="00A10140"/>
    <w:rsid w:val="00A101D1"/>
    <w:rsid w:val="00A101F2"/>
    <w:rsid w:val="00A1029D"/>
    <w:rsid w:val="00A1036D"/>
    <w:rsid w:val="00A1042A"/>
    <w:rsid w:val="00A10475"/>
    <w:rsid w:val="00A104E5"/>
    <w:rsid w:val="00A10535"/>
    <w:rsid w:val="00A1059D"/>
    <w:rsid w:val="00A105B3"/>
    <w:rsid w:val="00A10603"/>
    <w:rsid w:val="00A1060C"/>
    <w:rsid w:val="00A10715"/>
    <w:rsid w:val="00A107E3"/>
    <w:rsid w:val="00A107EC"/>
    <w:rsid w:val="00A10887"/>
    <w:rsid w:val="00A108B7"/>
    <w:rsid w:val="00A108DF"/>
    <w:rsid w:val="00A10956"/>
    <w:rsid w:val="00A109D1"/>
    <w:rsid w:val="00A10A0F"/>
    <w:rsid w:val="00A10A28"/>
    <w:rsid w:val="00A10A84"/>
    <w:rsid w:val="00A10A93"/>
    <w:rsid w:val="00A10B0D"/>
    <w:rsid w:val="00A10B12"/>
    <w:rsid w:val="00A10B37"/>
    <w:rsid w:val="00A10BBF"/>
    <w:rsid w:val="00A10C25"/>
    <w:rsid w:val="00A10C4D"/>
    <w:rsid w:val="00A10C4E"/>
    <w:rsid w:val="00A10C9F"/>
    <w:rsid w:val="00A10CCF"/>
    <w:rsid w:val="00A10D5C"/>
    <w:rsid w:val="00A10D6E"/>
    <w:rsid w:val="00A10E19"/>
    <w:rsid w:val="00A10E39"/>
    <w:rsid w:val="00A10E4A"/>
    <w:rsid w:val="00A10E60"/>
    <w:rsid w:val="00A10EB4"/>
    <w:rsid w:val="00A10F48"/>
    <w:rsid w:val="00A10FCC"/>
    <w:rsid w:val="00A10FF0"/>
    <w:rsid w:val="00A11054"/>
    <w:rsid w:val="00A11060"/>
    <w:rsid w:val="00A110B5"/>
    <w:rsid w:val="00A111A8"/>
    <w:rsid w:val="00A111F1"/>
    <w:rsid w:val="00A11226"/>
    <w:rsid w:val="00A11279"/>
    <w:rsid w:val="00A11337"/>
    <w:rsid w:val="00A113A2"/>
    <w:rsid w:val="00A113A3"/>
    <w:rsid w:val="00A113E3"/>
    <w:rsid w:val="00A11403"/>
    <w:rsid w:val="00A1141F"/>
    <w:rsid w:val="00A11451"/>
    <w:rsid w:val="00A1145A"/>
    <w:rsid w:val="00A114F7"/>
    <w:rsid w:val="00A115BA"/>
    <w:rsid w:val="00A11624"/>
    <w:rsid w:val="00A11628"/>
    <w:rsid w:val="00A11648"/>
    <w:rsid w:val="00A1164D"/>
    <w:rsid w:val="00A116A5"/>
    <w:rsid w:val="00A116B7"/>
    <w:rsid w:val="00A117D2"/>
    <w:rsid w:val="00A117D3"/>
    <w:rsid w:val="00A11834"/>
    <w:rsid w:val="00A11848"/>
    <w:rsid w:val="00A11857"/>
    <w:rsid w:val="00A11862"/>
    <w:rsid w:val="00A118EB"/>
    <w:rsid w:val="00A11903"/>
    <w:rsid w:val="00A1190C"/>
    <w:rsid w:val="00A11947"/>
    <w:rsid w:val="00A11956"/>
    <w:rsid w:val="00A11A14"/>
    <w:rsid w:val="00A11A3C"/>
    <w:rsid w:val="00A11A42"/>
    <w:rsid w:val="00A11A92"/>
    <w:rsid w:val="00A11B57"/>
    <w:rsid w:val="00A11BF0"/>
    <w:rsid w:val="00A11C68"/>
    <w:rsid w:val="00A11CA3"/>
    <w:rsid w:val="00A11D1D"/>
    <w:rsid w:val="00A11EBD"/>
    <w:rsid w:val="00A11F66"/>
    <w:rsid w:val="00A11F6D"/>
    <w:rsid w:val="00A11FA8"/>
    <w:rsid w:val="00A11FEF"/>
    <w:rsid w:val="00A12072"/>
    <w:rsid w:val="00A1211E"/>
    <w:rsid w:val="00A121F8"/>
    <w:rsid w:val="00A122A3"/>
    <w:rsid w:val="00A1233C"/>
    <w:rsid w:val="00A124AF"/>
    <w:rsid w:val="00A1263D"/>
    <w:rsid w:val="00A1267F"/>
    <w:rsid w:val="00A126F3"/>
    <w:rsid w:val="00A12747"/>
    <w:rsid w:val="00A12799"/>
    <w:rsid w:val="00A127F5"/>
    <w:rsid w:val="00A1287A"/>
    <w:rsid w:val="00A1289D"/>
    <w:rsid w:val="00A128CA"/>
    <w:rsid w:val="00A128FF"/>
    <w:rsid w:val="00A1297A"/>
    <w:rsid w:val="00A129EB"/>
    <w:rsid w:val="00A12A0B"/>
    <w:rsid w:val="00A12A0C"/>
    <w:rsid w:val="00A12A3B"/>
    <w:rsid w:val="00A12A53"/>
    <w:rsid w:val="00A12A9C"/>
    <w:rsid w:val="00A12AB6"/>
    <w:rsid w:val="00A12B42"/>
    <w:rsid w:val="00A12B46"/>
    <w:rsid w:val="00A12B5C"/>
    <w:rsid w:val="00A12BBF"/>
    <w:rsid w:val="00A12C87"/>
    <w:rsid w:val="00A12C91"/>
    <w:rsid w:val="00A12D11"/>
    <w:rsid w:val="00A12D55"/>
    <w:rsid w:val="00A12D97"/>
    <w:rsid w:val="00A12DC6"/>
    <w:rsid w:val="00A12E13"/>
    <w:rsid w:val="00A12EF2"/>
    <w:rsid w:val="00A12F40"/>
    <w:rsid w:val="00A13076"/>
    <w:rsid w:val="00A13082"/>
    <w:rsid w:val="00A130BD"/>
    <w:rsid w:val="00A130D2"/>
    <w:rsid w:val="00A13164"/>
    <w:rsid w:val="00A13183"/>
    <w:rsid w:val="00A131E8"/>
    <w:rsid w:val="00A13253"/>
    <w:rsid w:val="00A13289"/>
    <w:rsid w:val="00A13316"/>
    <w:rsid w:val="00A1335D"/>
    <w:rsid w:val="00A1337C"/>
    <w:rsid w:val="00A13406"/>
    <w:rsid w:val="00A13479"/>
    <w:rsid w:val="00A1350A"/>
    <w:rsid w:val="00A13520"/>
    <w:rsid w:val="00A1355F"/>
    <w:rsid w:val="00A135CD"/>
    <w:rsid w:val="00A13649"/>
    <w:rsid w:val="00A136C0"/>
    <w:rsid w:val="00A136D9"/>
    <w:rsid w:val="00A1373F"/>
    <w:rsid w:val="00A13788"/>
    <w:rsid w:val="00A137B5"/>
    <w:rsid w:val="00A137DE"/>
    <w:rsid w:val="00A138AA"/>
    <w:rsid w:val="00A138DF"/>
    <w:rsid w:val="00A138F1"/>
    <w:rsid w:val="00A13922"/>
    <w:rsid w:val="00A1394C"/>
    <w:rsid w:val="00A139E8"/>
    <w:rsid w:val="00A13A89"/>
    <w:rsid w:val="00A13ACB"/>
    <w:rsid w:val="00A13AD7"/>
    <w:rsid w:val="00A13B16"/>
    <w:rsid w:val="00A13B83"/>
    <w:rsid w:val="00A13C3F"/>
    <w:rsid w:val="00A13C5C"/>
    <w:rsid w:val="00A13C8F"/>
    <w:rsid w:val="00A13D11"/>
    <w:rsid w:val="00A13D88"/>
    <w:rsid w:val="00A13D89"/>
    <w:rsid w:val="00A13E30"/>
    <w:rsid w:val="00A13E90"/>
    <w:rsid w:val="00A13EFA"/>
    <w:rsid w:val="00A13FF7"/>
    <w:rsid w:val="00A14062"/>
    <w:rsid w:val="00A14088"/>
    <w:rsid w:val="00A14097"/>
    <w:rsid w:val="00A140C2"/>
    <w:rsid w:val="00A140D4"/>
    <w:rsid w:val="00A141BD"/>
    <w:rsid w:val="00A141C3"/>
    <w:rsid w:val="00A1423A"/>
    <w:rsid w:val="00A142BC"/>
    <w:rsid w:val="00A1432A"/>
    <w:rsid w:val="00A143DF"/>
    <w:rsid w:val="00A1440E"/>
    <w:rsid w:val="00A1445C"/>
    <w:rsid w:val="00A144AA"/>
    <w:rsid w:val="00A145A0"/>
    <w:rsid w:val="00A145CA"/>
    <w:rsid w:val="00A1463E"/>
    <w:rsid w:val="00A146CE"/>
    <w:rsid w:val="00A1476E"/>
    <w:rsid w:val="00A147BB"/>
    <w:rsid w:val="00A147BD"/>
    <w:rsid w:val="00A147FF"/>
    <w:rsid w:val="00A1480E"/>
    <w:rsid w:val="00A1485B"/>
    <w:rsid w:val="00A1490D"/>
    <w:rsid w:val="00A149C3"/>
    <w:rsid w:val="00A149D6"/>
    <w:rsid w:val="00A149E3"/>
    <w:rsid w:val="00A14A1C"/>
    <w:rsid w:val="00A14A3C"/>
    <w:rsid w:val="00A14A41"/>
    <w:rsid w:val="00A14A59"/>
    <w:rsid w:val="00A14A63"/>
    <w:rsid w:val="00A14A72"/>
    <w:rsid w:val="00A14B2C"/>
    <w:rsid w:val="00A14B54"/>
    <w:rsid w:val="00A14BFD"/>
    <w:rsid w:val="00A14C63"/>
    <w:rsid w:val="00A14CD0"/>
    <w:rsid w:val="00A14CDE"/>
    <w:rsid w:val="00A14D1F"/>
    <w:rsid w:val="00A14D98"/>
    <w:rsid w:val="00A14DF0"/>
    <w:rsid w:val="00A14E3A"/>
    <w:rsid w:val="00A14EA8"/>
    <w:rsid w:val="00A14F03"/>
    <w:rsid w:val="00A14FC7"/>
    <w:rsid w:val="00A15008"/>
    <w:rsid w:val="00A1502D"/>
    <w:rsid w:val="00A1503D"/>
    <w:rsid w:val="00A1505A"/>
    <w:rsid w:val="00A15123"/>
    <w:rsid w:val="00A15160"/>
    <w:rsid w:val="00A151C5"/>
    <w:rsid w:val="00A151FB"/>
    <w:rsid w:val="00A1525F"/>
    <w:rsid w:val="00A152D2"/>
    <w:rsid w:val="00A1531F"/>
    <w:rsid w:val="00A15340"/>
    <w:rsid w:val="00A1537F"/>
    <w:rsid w:val="00A1538F"/>
    <w:rsid w:val="00A1543B"/>
    <w:rsid w:val="00A15468"/>
    <w:rsid w:val="00A154F3"/>
    <w:rsid w:val="00A155E3"/>
    <w:rsid w:val="00A15605"/>
    <w:rsid w:val="00A15611"/>
    <w:rsid w:val="00A15668"/>
    <w:rsid w:val="00A156DF"/>
    <w:rsid w:val="00A157E2"/>
    <w:rsid w:val="00A15817"/>
    <w:rsid w:val="00A1584B"/>
    <w:rsid w:val="00A15896"/>
    <w:rsid w:val="00A15898"/>
    <w:rsid w:val="00A1589D"/>
    <w:rsid w:val="00A1589E"/>
    <w:rsid w:val="00A158AE"/>
    <w:rsid w:val="00A15929"/>
    <w:rsid w:val="00A1592D"/>
    <w:rsid w:val="00A1592E"/>
    <w:rsid w:val="00A15A01"/>
    <w:rsid w:val="00A15A63"/>
    <w:rsid w:val="00A15B0B"/>
    <w:rsid w:val="00A15B82"/>
    <w:rsid w:val="00A15B86"/>
    <w:rsid w:val="00A15C56"/>
    <w:rsid w:val="00A15CBC"/>
    <w:rsid w:val="00A15D2F"/>
    <w:rsid w:val="00A15D73"/>
    <w:rsid w:val="00A15DEB"/>
    <w:rsid w:val="00A15DFB"/>
    <w:rsid w:val="00A15E71"/>
    <w:rsid w:val="00A15EF0"/>
    <w:rsid w:val="00A15F70"/>
    <w:rsid w:val="00A15FF0"/>
    <w:rsid w:val="00A1603A"/>
    <w:rsid w:val="00A16083"/>
    <w:rsid w:val="00A160CD"/>
    <w:rsid w:val="00A16126"/>
    <w:rsid w:val="00A1612E"/>
    <w:rsid w:val="00A16175"/>
    <w:rsid w:val="00A161EC"/>
    <w:rsid w:val="00A16285"/>
    <w:rsid w:val="00A16287"/>
    <w:rsid w:val="00A16291"/>
    <w:rsid w:val="00A162A9"/>
    <w:rsid w:val="00A162F1"/>
    <w:rsid w:val="00A162F4"/>
    <w:rsid w:val="00A16307"/>
    <w:rsid w:val="00A16361"/>
    <w:rsid w:val="00A16384"/>
    <w:rsid w:val="00A1640C"/>
    <w:rsid w:val="00A16439"/>
    <w:rsid w:val="00A164AC"/>
    <w:rsid w:val="00A164D8"/>
    <w:rsid w:val="00A164FF"/>
    <w:rsid w:val="00A165C7"/>
    <w:rsid w:val="00A165D7"/>
    <w:rsid w:val="00A1665C"/>
    <w:rsid w:val="00A166A4"/>
    <w:rsid w:val="00A16725"/>
    <w:rsid w:val="00A16751"/>
    <w:rsid w:val="00A167F0"/>
    <w:rsid w:val="00A16847"/>
    <w:rsid w:val="00A16965"/>
    <w:rsid w:val="00A16AC1"/>
    <w:rsid w:val="00A16B42"/>
    <w:rsid w:val="00A16B5F"/>
    <w:rsid w:val="00A16B9E"/>
    <w:rsid w:val="00A16BCD"/>
    <w:rsid w:val="00A16BDB"/>
    <w:rsid w:val="00A16BE1"/>
    <w:rsid w:val="00A16BEC"/>
    <w:rsid w:val="00A16BF0"/>
    <w:rsid w:val="00A16C18"/>
    <w:rsid w:val="00A16CF0"/>
    <w:rsid w:val="00A16D1A"/>
    <w:rsid w:val="00A16D3C"/>
    <w:rsid w:val="00A16EAB"/>
    <w:rsid w:val="00A16EEB"/>
    <w:rsid w:val="00A16EFF"/>
    <w:rsid w:val="00A16F24"/>
    <w:rsid w:val="00A16F79"/>
    <w:rsid w:val="00A16FD8"/>
    <w:rsid w:val="00A17024"/>
    <w:rsid w:val="00A17029"/>
    <w:rsid w:val="00A17089"/>
    <w:rsid w:val="00A170E7"/>
    <w:rsid w:val="00A17105"/>
    <w:rsid w:val="00A17137"/>
    <w:rsid w:val="00A1724D"/>
    <w:rsid w:val="00A17258"/>
    <w:rsid w:val="00A17261"/>
    <w:rsid w:val="00A1728A"/>
    <w:rsid w:val="00A172D9"/>
    <w:rsid w:val="00A17311"/>
    <w:rsid w:val="00A17318"/>
    <w:rsid w:val="00A17326"/>
    <w:rsid w:val="00A173AC"/>
    <w:rsid w:val="00A174A4"/>
    <w:rsid w:val="00A174F8"/>
    <w:rsid w:val="00A175B4"/>
    <w:rsid w:val="00A175E0"/>
    <w:rsid w:val="00A175EC"/>
    <w:rsid w:val="00A17734"/>
    <w:rsid w:val="00A178B0"/>
    <w:rsid w:val="00A178D8"/>
    <w:rsid w:val="00A1794D"/>
    <w:rsid w:val="00A17979"/>
    <w:rsid w:val="00A17A5B"/>
    <w:rsid w:val="00A17AB0"/>
    <w:rsid w:val="00A17B23"/>
    <w:rsid w:val="00A17CBA"/>
    <w:rsid w:val="00A17CC6"/>
    <w:rsid w:val="00A17D1D"/>
    <w:rsid w:val="00A17D3D"/>
    <w:rsid w:val="00A17D54"/>
    <w:rsid w:val="00A17D59"/>
    <w:rsid w:val="00A17DD4"/>
    <w:rsid w:val="00A17DDD"/>
    <w:rsid w:val="00A17E5C"/>
    <w:rsid w:val="00A17E91"/>
    <w:rsid w:val="00A2000B"/>
    <w:rsid w:val="00A200B3"/>
    <w:rsid w:val="00A201A5"/>
    <w:rsid w:val="00A20233"/>
    <w:rsid w:val="00A202B8"/>
    <w:rsid w:val="00A20302"/>
    <w:rsid w:val="00A2038F"/>
    <w:rsid w:val="00A203D1"/>
    <w:rsid w:val="00A203E4"/>
    <w:rsid w:val="00A20402"/>
    <w:rsid w:val="00A2045C"/>
    <w:rsid w:val="00A204A9"/>
    <w:rsid w:val="00A20505"/>
    <w:rsid w:val="00A20554"/>
    <w:rsid w:val="00A20588"/>
    <w:rsid w:val="00A2059C"/>
    <w:rsid w:val="00A205B7"/>
    <w:rsid w:val="00A205C8"/>
    <w:rsid w:val="00A205ED"/>
    <w:rsid w:val="00A206A6"/>
    <w:rsid w:val="00A20764"/>
    <w:rsid w:val="00A207D3"/>
    <w:rsid w:val="00A20819"/>
    <w:rsid w:val="00A20827"/>
    <w:rsid w:val="00A2082C"/>
    <w:rsid w:val="00A20866"/>
    <w:rsid w:val="00A208A0"/>
    <w:rsid w:val="00A20928"/>
    <w:rsid w:val="00A20A33"/>
    <w:rsid w:val="00A20A9C"/>
    <w:rsid w:val="00A20B57"/>
    <w:rsid w:val="00A20BA0"/>
    <w:rsid w:val="00A20C0F"/>
    <w:rsid w:val="00A20C4C"/>
    <w:rsid w:val="00A20C8B"/>
    <w:rsid w:val="00A20D22"/>
    <w:rsid w:val="00A20D4B"/>
    <w:rsid w:val="00A20D96"/>
    <w:rsid w:val="00A20FFD"/>
    <w:rsid w:val="00A21047"/>
    <w:rsid w:val="00A210A1"/>
    <w:rsid w:val="00A2113F"/>
    <w:rsid w:val="00A211E4"/>
    <w:rsid w:val="00A21256"/>
    <w:rsid w:val="00A212C3"/>
    <w:rsid w:val="00A212F3"/>
    <w:rsid w:val="00A212FF"/>
    <w:rsid w:val="00A21307"/>
    <w:rsid w:val="00A21309"/>
    <w:rsid w:val="00A21398"/>
    <w:rsid w:val="00A21486"/>
    <w:rsid w:val="00A214B9"/>
    <w:rsid w:val="00A214E2"/>
    <w:rsid w:val="00A21500"/>
    <w:rsid w:val="00A2151E"/>
    <w:rsid w:val="00A2155D"/>
    <w:rsid w:val="00A21722"/>
    <w:rsid w:val="00A21743"/>
    <w:rsid w:val="00A21760"/>
    <w:rsid w:val="00A217D4"/>
    <w:rsid w:val="00A21859"/>
    <w:rsid w:val="00A21873"/>
    <w:rsid w:val="00A218D9"/>
    <w:rsid w:val="00A2195A"/>
    <w:rsid w:val="00A21982"/>
    <w:rsid w:val="00A219AC"/>
    <w:rsid w:val="00A21A38"/>
    <w:rsid w:val="00A21A68"/>
    <w:rsid w:val="00A21B57"/>
    <w:rsid w:val="00A21BC8"/>
    <w:rsid w:val="00A21C10"/>
    <w:rsid w:val="00A21C1A"/>
    <w:rsid w:val="00A21CBF"/>
    <w:rsid w:val="00A21CE6"/>
    <w:rsid w:val="00A21D76"/>
    <w:rsid w:val="00A21DCE"/>
    <w:rsid w:val="00A21E3D"/>
    <w:rsid w:val="00A21ED5"/>
    <w:rsid w:val="00A22006"/>
    <w:rsid w:val="00A22041"/>
    <w:rsid w:val="00A22359"/>
    <w:rsid w:val="00A2235B"/>
    <w:rsid w:val="00A22474"/>
    <w:rsid w:val="00A22482"/>
    <w:rsid w:val="00A2256A"/>
    <w:rsid w:val="00A22571"/>
    <w:rsid w:val="00A225E2"/>
    <w:rsid w:val="00A2262F"/>
    <w:rsid w:val="00A2265A"/>
    <w:rsid w:val="00A22746"/>
    <w:rsid w:val="00A2274A"/>
    <w:rsid w:val="00A228E5"/>
    <w:rsid w:val="00A2299B"/>
    <w:rsid w:val="00A229D6"/>
    <w:rsid w:val="00A22A4D"/>
    <w:rsid w:val="00A22A5A"/>
    <w:rsid w:val="00A22A62"/>
    <w:rsid w:val="00A22A7A"/>
    <w:rsid w:val="00A22ACD"/>
    <w:rsid w:val="00A22AD0"/>
    <w:rsid w:val="00A22B17"/>
    <w:rsid w:val="00A22B25"/>
    <w:rsid w:val="00A22BA9"/>
    <w:rsid w:val="00A22BB7"/>
    <w:rsid w:val="00A22C0B"/>
    <w:rsid w:val="00A22C77"/>
    <w:rsid w:val="00A22D79"/>
    <w:rsid w:val="00A22E37"/>
    <w:rsid w:val="00A22E99"/>
    <w:rsid w:val="00A22EAE"/>
    <w:rsid w:val="00A22F59"/>
    <w:rsid w:val="00A23068"/>
    <w:rsid w:val="00A23167"/>
    <w:rsid w:val="00A231A5"/>
    <w:rsid w:val="00A23246"/>
    <w:rsid w:val="00A232C6"/>
    <w:rsid w:val="00A23300"/>
    <w:rsid w:val="00A2335C"/>
    <w:rsid w:val="00A2336F"/>
    <w:rsid w:val="00A233C2"/>
    <w:rsid w:val="00A23423"/>
    <w:rsid w:val="00A23506"/>
    <w:rsid w:val="00A23548"/>
    <w:rsid w:val="00A23591"/>
    <w:rsid w:val="00A2359F"/>
    <w:rsid w:val="00A235CA"/>
    <w:rsid w:val="00A23617"/>
    <w:rsid w:val="00A23709"/>
    <w:rsid w:val="00A2373C"/>
    <w:rsid w:val="00A23783"/>
    <w:rsid w:val="00A237CB"/>
    <w:rsid w:val="00A237ED"/>
    <w:rsid w:val="00A2383B"/>
    <w:rsid w:val="00A23858"/>
    <w:rsid w:val="00A23888"/>
    <w:rsid w:val="00A2394C"/>
    <w:rsid w:val="00A2399C"/>
    <w:rsid w:val="00A239A6"/>
    <w:rsid w:val="00A23A4B"/>
    <w:rsid w:val="00A23AB8"/>
    <w:rsid w:val="00A23B2C"/>
    <w:rsid w:val="00A23B33"/>
    <w:rsid w:val="00A23B6B"/>
    <w:rsid w:val="00A23B93"/>
    <w:rsid w:val="00A23BB3"/>
    <w:rsid w:val="00A23BDA"/>
    <w:rsid w:val="00A23CAE"/>
    <w:rsid w:val="00A23CDA"/>
    <w:rsid w:val="00A23D1C"/>
    <w:rsid w:val="00A23D3A"/>
    <w:rsid w:val="00A23D3E"/>
    <w:rsid w:val="00A23D66"/>
    <w:rsid w:val="00A23DE0"/>
    <w:rsid w:val="00A23E89"/>
    <w:rsid w:val="00A23EAA"/>
    <w:rsid w:val="00A23EC6"/>
    <w:rsid w:val="00A23EEE"/>
    <w:rsid w:val="00A23F35"/>
    <w:rsid w:val="00A23F63"/>
    <w:rsid w:val="00A23F7E"/>
    <w:rsid w:val="00A23FD0"/>
    <w:rsid w:val="00A240FF"/>
    <w:rsid w:val="00A24183"/>
    <w:rsid w:val="00A24197"/>
    <w:rsid w:val="00A2419C"/>
    <w:rsid w:val="00A241EA"/>
    <w:rsid w:val="00A24248"/>
    <w:rsid w:val="00A24265"/>
    <w:rsid w:val="00A2427D"/>
    <w:rsid w:val="00A242A4"/>
    <w:rsid w:val="00A242C8"/>
    <w:rsid w:val="00A2435D"/>
    <w:rsid w:val="00A243F4"/>
    <w:rsid w:val="00A24491"/>
    <w:rsid w:val="00A244C9"/>
    <w:rsid w:val="00A24628"/>
    <w:rsid w:val="00A246F0"/>
    <w:rsid w:val="00A24724"/>
    <w:rsid w:val="00A24730"/>
    <w:rsid w:val="00A2474F"/>
    <w:rsid w:val="00A248B3"/>
    <w:rsid w:val="00A24932"/>
    <w:rsid w:val="00A249B1"/>
    <w:rsid w:val="00A249B2"/>
    <w:rsid w:val="00A24ABF"/>
    <w:rsid w:val="00A24AE1"/>
    <w:rsid w:val="00A24B17"/>
    <w:rsid w:val="00A24B27"/>
    <w:rsid w:val="00A24C9A"/>
    <w:rsid w:val="00A24CB7"/>
    <w:rsid w:val="00A24CD7"/>
    <w:rsid w:val="00A24CFD"/>
    <w:rsid w:val="00A24D09"/>
    <w:rsid w:val="00A24D4F"/>
    <w:rsid w:val="00A24D83"/>
    <w:rsid w:val="00A24DA1"/>
    <w:rsid w:val="00A24EE9"/>
    <w:rsid w:val="00A24EFA"/>
    <w:rsid w:val="00A24F6F"/>
    <w:rsid w:val="00A24F74"/>
    <w:rsid w:val="00A24FB6"/>
    <w:rsid w:val="00A25011"/>
    <w:rsid w:val="00A25050"/>
    <w:rsid w:val="00A25068"/>
    <w:rsid w:val="00A25097"/>
    <w:rsid w:val="00A250F7"/>
    <w:rsid w:val="00A2513B"/>
    <w:rsid w:val="00A25178"/>
    <w:rsid w:val="00A2533C"/>
    <w:rsid w:val="00A25351"/>
    <w:rsid w:val="00A25496"/>
    <w:rsid w:val="00A254DC"/>
    <w:rsid w:val="00A254E4"/>
    <w:rsid w:val="00A2552D"/>
    <w:rsid w:val="00A25536"/>
    <w:rsid w:val="00A25541"/>
    <w:rsid w:val="00A2557F"/>
    <w:rsid w:val="00A25815"/>
    <w:rsid w:val="00A258B7"/>
    <w:rsid w:val="00A258BA"/>
    <w:rsid w:val="00A258E2"/>
    <w:rsid w:val="00A25957"/>
    <w:rsid w:val="00A2599D"/>
    <w:rsid w:val="00A25A54"/>
    <w:rsid w:val="00A25A66"/>
    <w:rsid w:val="00A25A84"/>
    <w:rsid w:val="00A25A8C"/>
    <w:rsid w:val="00A25AD8"/>
    <w:rsid w:val="00A25B23"/>
    <w:rsid w:val="00A25BA6"/>
    <w:rsid w:val="00A25C0D"/>
    <w:rsid w:val="00A25C34"/>
    <w:rsid w:val="00A25C4C"/>
    <w:rsid w:val="00A25C93"/>
    <w:rsid w:val="00A25D29"/>
    <w:rsid w:val="00A25D39"/>
    <w:rsid w:val="00A25F46"/>
    <w:rsid w:val="00A25F63"/>
    <w:rsid w:val="00A26012"/>
    <w:rsid w:val="00A26076"/>
    <w:rsid w:val="00A260B8"/>
    <w:rsid w:val="00A2612C"/>
    <w:rsid w:val="00A2619C"/>
    <w:rsid w:val="00A26253"/>
    <w:rsid w:val="00A26282"/>
    <w:rsid w:val="00A263B2"/>
    <w:rsid w:val="00A263EC"/>
    <w:rsid w:val="00A263F5"/>
    <w:rsid w:val="00A263FC"/>
    <w:rsid w:val="00A26420"/>
    <w:rsid w:val="00A2656A"/>
    <w:rsid w:val="00A26591"/>
    <w:rsid w:val="00A266B8"/>
    <w:rsid w:val="00A2678E"/>
    <w:rsid w:val="00A26797"/>
    <w:rsid w:val="00A26819"/>
    <w:rsid w:val="00A26821"/>
    <w:rsid w:val="00A26883"/>
    <w:rsid w:val="00A2689F"/>
    <w:rsid w:val="00A268C0"/>
    <w:rsid w:val="00A268C2"/>
    <w:rsid w:val="00A26924"/>
    <w:rsid w:val="00A26934"/>
    <w:rsid w:val="00A26967"/>
    <w:rsid w:val="00A2696B"/>
    <w:rsid w:val="00A26A75"/>
    <w:rsid w:val="00A26A99"/>
    <w:rsid w:val="00A26AF4"/>
    <w:rsid w:val="00A26AFF"/>
    <w:rsid w:val="00A26B0A"/>
    <w:rsid w:val="00A26B2A"/>
    <w:rsid w:val="00A26BAF"/>
    <w:rsid w:val="00A26BC9"/>
    <w:rsid w:val="00A26C59"/>
    <w:rsid w:val="00A26C78"/>
    <w:rsid w:val="00A26CAF"/>
    <w:rsid w:val="00A26DE5"/>
    <w:rsid w:val="00A26DF3"/>
    <w:rsid w:val="00A26E10"/>
    <w:rsid w:val="00A26EBC"/>
    <w:rsid w:val="00A27056"/>
    <w:rsid w:val="00A2707B"/>
    <w:rsid w:val="00A27095"/>
    <w:rsid w:val="00A27121"/>
    <w:rsid w:val="00A2717A"/>
    <w:rsid w:val="00A27184"/>
    <w:rsid w:val="00A2718E"/>
    <w:rsid w:val="00A271A4"/>
    <w:rsid w:val="00A271B5"/>
    <w:rsid w:val="00A271B9"/>
    <w:rsid w:val="00A271BF"/>
    <w:rsid w:val="00A271EE"/>
    <w:rsid w:val="00A27240"/>
    <w:rsid w:val="00A27282"/>
    <w:rsid w:val="00A272BE"/>
    <w:rsid w:val="00A27371"/>
    <w:rsid w:val="00A273A5"/>
    <w:rsid w:val="00A27497"/>
    <w:rsid w:val="00A2758A"/>
    <w:rsid w:val="00A2759C"/>
    <w:rsid w:val="00A2762E"/>
    <w:rsid w:val="00A27635"/>
    <w:rsid w:val="00A276A4"/>
    <w:rsid w:val="00A276F5"/>
    <w:rsid w:val="00A277F7"/>
    <w:rsid w:val="00A27870"/>
    <w:rsid w:val="00A27885"/>
    <w:rsid w:val="00A278B8"/>
    <w:rsid w:val="00A27948"/>
    <w:rsid w:val="00A2794A"/>
    <w:rsid w:val="00A27A82"/>
    <w:rsid w:val="00A27A89"/>
    <w:rsid w:val="00A27AED"/>
    <w:rsid w:val="00A27B00"/>
    <w:rsid w:val="00A27B24"/>
    <w:rsid w:val="00A27BF4"/>
    <w:rsid w:val="00A27C4C"/>
    <w:rsid w:val="00A27C70"/>
    <w:rsid w:val="00A27D82"/>
    <w:rsid w:val="00A27DBE"/>
    <w:rsid w:val="00A27E23"/>
    <w:rsid w:val="00A27EE0"/>
    <w:rsid w:val="00A27F22"/>
    <w:rsid w:val="00A27F5C"/>
    <w:rsid w:val="00A27F6B"/>
    <w:rsid w:val="00A27FFD"/>
    <w:rsid w:val="00A30080"/>
    <w:rsid w:val="00A300CF"/>
    <w:rsid w:val="00A300DD"/>
    <w:rsid w:val="00A300EA"/>
    <w:rsid w:val="00A303A9"/>
    <w:rsid w:val="00A304BC"/>
    <w:rsid w:val="00A304FF"/>
    <w:rsid w:val="00A305D7"/>
    <w:rsid w:val="00A305DF"/>
    <w:rsid w:val="00A307AF"/>
    <w:rsid w:val="00A307F1"/>
    <w:rsid w:val="00A3086B"/>
    <w:rsid w:val="00A3088A"/>
    <w:rsid w:val="00A3090E"/>
    <w:rsid w:val="00A3091E"/>
    <w:rsid w:val="00A30923"/>
    <w:rsid w:val="00A30954"/>
    <w:rsid w:val="00A3097C"/>
    <w:rsid w:val="00A309AA"/>
    <w:rsid w:val="00A30A46"/>
    <w:rsid w:val="00A30A4F"/>
    <w:rsid w:val="00A30A9C"/>
    <w:rsid w:val="00A30AAC"/>
    <w:rsid w:val="00A30AC4"/>
    <w:rsid w:val="00A30BB0"/>
    <w:rsid w:val="00A30BCE"/>
    <w:rsid w:val="00A30C5B"/>
    <w:rsid w:val="00A30CC0"/>
    <w:rsid w:val="00A30D24"/>
    <w:rsid w:val="00A30DB9"/>
    <w:rsid w:val="00A30F3A"/>
    <w:rsid w:val="00A31007"/>
    <w:rsid w:val="00A31049"/>
    <w:rsid w:val="00A3107B"/>
    <w:rsid w:val="00A31126"/>
    <w:rsid w:val="00A311D3"/>
    <w:rsid w:val="00A31201"/>
    <w:rsid w:val="00A31211"/>
    <w:rsid w:val="00A31268"/>
    <w:rsid w:val="00A31292"/>
    <w:rsid w:val="00A3134B"/>
    <w:rsid w:val="00A3134F"/>
    <w:rsid w:val="00A31388"/>
    <w:rsid w:val="00A31398"/>
    <w:rsid w:val="00A3139F"/>
    <w:rsid w:val="00A313EB"/>
    <w:rsid w:val="00A31410"/>
    <w:rsid w:val="00A31411"/>
    <w:rsid w:val="00A3142C"/>
    <w:rsid w:val="00A31465"/>
    <w:rsid w:val="00A314B3"/>
    <w:rsid w:val="00A314C9"/>
    <w:rsid w:val="00A314EB"/>
    <w:rsid w:val="00A31566"/>
    <w:rsid w:val="00A315A5"/>
    <w:rsid w:val="00A31601"/>
    <w:rsid w:val="00A3164D"/>
    <w:rsid w:val="00A31691"/>
    <w:rsid w:val="00A316AA"/>
    <w:rsid w:val="00A316C4"/>
    <w:rsid w:val="00A316E4"/>
    <w:rsid w:val="00A31767"/>
    <w:rsid w:val="00A31768"/>
    <w:rsid w:val="00A3183D"/>
    <w:rsid w:val="00A31930"/>
    <w:rsid w:val="00A31959"/>
    <w:rsid w:val="00A319BC"/>
    <w:rsid w:val="00A319E8"/>
    <w:rsid w:val="00A31A6E"/>
    <w:rsid w:val="00A31B34"/>
    <w:rsid w:val="00A31B73"/>
    <w:rsid w:val="00A31B87"/>
    <w:rsid w:val="00A31CC3"/>
    <w:rsid w:val="00A31CE5"/>
    <w:rsid w:val="00A31D26"/>
    <w:rsid w:val="00A31D60"/>
    <w:rsid w:val="00A31D75"/>
    <w:rsid w:val="00A31DAC"/>
    <w:rsid w:val="00A31EAE"/>
    <w:rsid w:val="00A31F26"/>
    <w:rsid w:val="00A31F27"/>
    <w:rsid w:val="00A31F72"/>
    <w:rsid w:val="00A31FAD"/>
    <w:rsid w:val="00A31FB6"/>
    <w:rsid w:val="00A31FF6"/>
    <w:rsid w:val="00A32006"/>
    <w:rsid w:val="00A3206E"/>
    <w:rsid w:val="00A32091"/>
    <w:rsid w:val="00A3213B"/>
    <w:rsid w:val="00A32163"/>
    <w:rsid w:val="00A32178"/>
    <w:rsid w:val="00A321E8"/>
    <w:rsid w:val="00A3222C"/>
    <w:rsid w:val="00A32315"/>
    <w:rsid w:val="00A32326"/>
    <w:rsid w:val="00A323EF"/>
    <w:rsid w:val="00A3243B"/>
    <w:rsid w:val="00A324CE"/>
    <w:rsid w:val="00A324F0"/>
    <w:rsid w:val="00A32571"/>
    <w:rsid w:val="00A32659"/>
    <w:rsid w:val="00A32702"/>
    <w:rsid w:val="00A32713"/>
    <w:rsid w:val="00A32757"/>
    <w:rsid w:val="00A327D6"/>
    <w:rsid w:val="00A327FC"/>
    <w:rsid w:val="00A327FF"/>
    <w:rsid w:val="00A3280B"/>
    <w:rsid w:val="00A3285E"/>
    <w:rsid w:val="00A32867"/>
    <w:rsid w:val="00A32AFC"/>
    <w:rsid w:val="00A32B05"/>
    <w:rsid w:val="00A32B14"/>
    <w:rsid w:val="00A32B76"/>
    <w:rsid w:val="00A32BE6"/>
    <w:rsid w:val="00A32C0F"/>
    <w:rsid w:val="00A32C43"/>
    <w:rsid w:val="00A32C82"/>
    <w:rsid w:val="00A32CA5"/>
    <w:rsid w:val="00A32CD5"/>
    <w:rsid w:val="00A32D2B"/>
    <w:rsid w:val="00A32D4E"/>
    <w:rsid w:val="00A32D6A"/>
    <w:rsid w:val="00A32D8F"/>
    <w:rsid w:val="00A32E4F"/>
    <w:rsid w:val="00A32EA4"/>
    <w:rsid w:val="00A32EEC"/>
    <w:rsid w:val="00A32EEE"/>
    <w:rsid w:val="00A32F73"/>
    <w:rsid w:val="00A3303B"/>
    <w:rsid w:val="00A3306C"/>
    <w:rsid w:val="00A33106"/>
    <w:rsid w:val="00A3324B"/>
    <w:rsid w:val="00A33293"/>
    <w:rsid w:val="00A333C3"/>
    <w:rsid w:val="00A333D5"/>
    <w:rsid w:val="00A333D7"/>
    <w:rsid w:val="00A33449"/>
    <w:rsid w:val="00A334E4"/>
    <w:rsid w:val="00A335A3"/>
    <w:rsid w:val="00A335F7"/>
    <w:rsid w:val="00A33659"/>
    <w:rsid w:val="00A33714"/>
    <w:rsid w:val="00A33717"/>
    <w:rsid w:val="00A33733"/>
    <w:rsid w:val="00A33754"/>
    <w:rsid w:val="00A3383F"/>
    <w:rsid w:val="00A338BB"/>
    <w:rsid w:val="00A33AC2"/>
    <w:rsid w:val="00A33AD8"/>
    <w:rsid w:val="00A33B90"/>
    <w:rsid w:val="00A33BC3"/>
    <w:rsid w:val="00A33C4C"/>
    <w:rsid w:val="00A33C57"/>
    <w:rsid w:val="00A33C79"/>
    <w:rsid w:val="00A33CB2"/>
    <w:rsid w:val="00A33CC6"/>
    <w:rsid w:val="00A33D08"/>
    <w:rsid w:val="00A33E5F"/>
    <w:rsid w:val="00A33EC4"/>
    <w:rsid w:val="00A33F95"/>
    <w:rsid w:val="00A33FC9"/>
    <w:rsid w:val="00A3404A"/>
    <w:rsid w:val="00A340FC"/>
    <w:rsid w:val="00A341D8"/>
    <w:rsid w:val="00A34365"/>
    <w:rsid w:val="00A3438D"/>
    <w:rsid w:val="00A343B1"/>
    <w:rsid w:val="00A344B5"/>
    <w:rsid w:val="00A344C0"/>
    <w:rsid w:val="00A344C3"/>
    <w:rsid w:val="00A344CA"/>
    <w:rsid w:val="00A34533"/>
    <w:rsid w:val="00A34556"/>
    <w:rsid w:val="00A345C0"/>
    <w:rsid w:val="00A345D8"/>
    <w:rsid w:val="00A345F8"/>
    <w:rsid w:val="00A34612"/>
    <w:rsid w:val="00A34630"/>
    <w:rsid w:val="00A347D2"/>
    <w:rsid w:val="00A347D6"/>
    <w:rsid w:val="00A34821"/>
    <w:rsid w:val="00A348CF"/>
    <w:rsid w:val="00A34959"/>
    <w:rsid w:val="00A3496D"/>
    <w:rsid w:val="00A34A07"/>
    <w:rsid w:val="00A34A6B"/>
    <w:rsid w:val="00A34B01"/>
    <w:rsid w:val="00A34B63"/>
    <w:rsid w:val="00A34B83"/>
    <w:rsid w:val="00A34BD6"/>
    <w:rsid w:val="00A34C1D"/>
    <w:rsid w:val="00A34C20"/>
    <w:rsid w:val="00A34C77"/>
    <w:rsid w:val="00A34CD4"/>
    <w:rsid w:val="00A34D1C"/>
    <w:rsid w:val="00A34D99"/>
    <w:rsid w:val="00A34DE0"/>
    <w:rsid w:val="00A34E09"/>
    <w:rsid w:val="00A34F98"/>
    <w:rsid w:val="00A34FC0"/>
    <w:rsid w:val="00A35056"/>
    <w:rsid w:val="00A35086"/>
    <w:rsid w:val="00A35091"/>
    <w:rsid w:val="00A350ED"/>
    <w:rsid w:val="00A35101"/>
    <w:rsid w:val="00A35153"/>
    <w:rsid w:val="00A35195"/>
    <w:rsid w:val="00A351D6"/>
    <w:rsid w:val="00A3521C"/>
    <w:rsid w:val="00A3527E"/>
    <w:rsid w:val="00A352B4"/>
    <w:rsid w:val="00A35343"/>
    <w:rsid w:val="00A35378"/>
    <w:rsid w:val="00A353F8"/>
    <w:rsid w:val="00A35504"/>
    <w:rsid w:val="00A35509"/>
    <w:rsid w:val="00A3559F"/>
    <w:rsid w:val="00A356A6"/>
    <w:rsid w:val="00A357DE"/>
    <w:rsid w:val="00A35850"/>
    <w:rsid w:val="00A35922"/>
    <w:rsid w:val="00A35A7B"/>
    <w:rsid w:val="00A35AB1"/>
    <w:rsid w:val="00A35AB9"/>
    <w:rsid w:val="00A35B1E"/>
    <w:rsid w:val="00A35B8A"/>
    <w:rsid w:val="00A35C92"/>
    <w:rsid w:val="00A35CA7"/>
    <w:rsid w:val="00A35D23"/>
    <w:rsid w:val="00A35D7A"/>
    <w:rsid w:val="00A35DD8"/>
    <w:rsid w:val="00A35DF5"/>
    <w:rsid w:val="00A35E98"/>
    <w:rsid w:val="00A35EE4"/>
    <w:rsid w:val="00A35EFF"/>
    <w:rsid w:val="00A35F31"/>
    <w:rsid w:val="00A35F45"/>
    <w:rsid w:val="00A35FD0"/>
    <w:rsid w:val="00A36031"/>
    <w:rsid w:val="00A3603E"/>
    <w:rsid w:val="00A3606E"/>
    <w:rsid w:val="00A360C5"/>
    <w:rsid w:val="00A360D8"/>
    <w:rsid w:val="00A360FF"/>
    <w:rsid w:val="00A3612D"/>
    <w:rsid w:val="00A3615F"/>
    <w:rsid w:val="00A36189"/>
    <w:rsid w:val="00A36199"/>
    <w:rsid w:val="00A361CC"/>
    <w:rsid w:val="00A3621E"/>
    <w:rsid w:val="00A36260"/>
    <w:rsid w:val="00A36355"/>
    <w:rsid w:val="00A36380"/>
    <w:rsid w:val="00A36439"/>
    <w:rsid w:val="00A36442"/>
    <w:rsid w:val="00A364C6"/>
    <w:rsid w:val="00A364F0"/>
    <w:rsid w:val="00A36534"/>
    <w:rsid w:val="00A3653B"/>
    <w:rsid w:val="00A365DD"/>
    <w:rsid w:val="00A36640"/>
    <w:rsid w:val="00A366C3"/>
    <w:rsid w:val="00A366F0"/>
    <w:rsid w:val="00A367C5"/>
    <w:rsid w:val="00A36848"/>
    <w:rsid w:val="00A36895"/>
    <w:rsid w:val="00A368D4"/>
    <w:rsid w:val="00A369A0"/>
    <w:rsid w:val="00A36A08"/>
    <w:rsid w:val="00A36A90"/>
    <w:rsid w:val="00A36AB2"/>
    <w:rsid w:val="00A36C76"/>
    <w:rsid w:val="00A36CD9"/>
    <w:rsid w:val="00A36CF1"/>
    <w:rsid w:val="00A36D15"/>
    <w:rsid w:val="00A36D1E"/>
    <w:rsid w:val="00A36E27"/>
    <w:rsid w:val="00A36E7D"/>
    <w:rsid w:val="00A36ED6"/>
    <w:rsid w:val="00A36F2C"/>
    <w:rsid w:val="00A36F38"/>
    <w:rsid w:val="00A36FD7"/>
    <w:rsid w:val="00A36FE5"/>
    <w:rsid w:val="00A36FF6"/>
    <w:rsid w:val="00A37039"/>
    <w:rsid w:val="00A37062"/>
    <w:rsid w:val="00A37072"/>
    <w:rsid w:val="00A37074"/>
    <w:rsid w:val="00A3711B"/>
    <w:rsid w:val="00A37126"/>
    <w:rsid w:val="00A371D2"/>
    <w:rsid w:val="00A37309"/>
    <w:rsid w:val="00A37316"/>
    <w:rsid w:val="00A3735D"/>
    <w:rsid w:val="00A3739D"/>
    <w:rsid w:val="00A373BA"/>
    <w:rsid w:val="00A373E1"/>
    <w:rsid w:val="00A373E6"/>
    <w:rsid w:val="00A3744D"/>
    <w:rsid w:val="00A3748C"/>
    <w:rsid w:val="00A37494"/>
    <w:rsid w:val="00A37533"/>
    <w:rsid w:val="00A375D0"/>
    <w:rsid w:val="00A3764C"/>
    <w:rsid w:val="00A3766D"/>
    <w:rsid w:val="00A376B6"/>
    <w:rsid w:val="00A37709"/>
    <w:rsid w:val="00A3772C"/>
    <w:rsid w:val="00A378BC"/>
    <w:rsid w:val="00A3797D"/>
    <w:rsid w:val="00A37A2A"/>
    <w:rsid w:val="00A37A42"/>
    <w:rsid w:val="00A37AD4"/>
    <w:rsid w:val="00A37AD6"/>
    <w:rsid w:val="00A37AE5"/>
    <w:rsid w:val="00A37B52"/>
    <w:rsid w:val="00A37B8F"/>
    <w:rsid w:val="00A37C49"/>
    <w:rsid w:val="00A37CA3"/>
    <w:rsid w:val="00A37CB9"/>
    <w:rsid w:val="00A37CCE"/>
    <w:rsid w:val="00A37CEB"/>
    <w:rsid w:val="00A37D02"/>
    <w:rsid w:val="00A37DAD"/>
    <w:rsid w:val="00A37E01"/>
    <w:rsid w:val="00A37E54"/>
    <w:rsid w:val="00A37EC6"/>
    <w:rsid w:val="00A37ED7"/>
    <w:rsid w:val="00A37EEA"/>
    <w:rsid w:val="00A37F90"/>
    <w:rsid w:val="00A37F98"/>
    <w:rsid w:val="00A37FAC"/>
    <w:rsid w:val="00A40058"/>
    <w:rsid w:val="00A40102"/>
    <w:rsid w:val="00A40194"/>
    <w:rsid w:val="00A401CE"/>
    <w:rsid w:val="00A402F6"/>
    <w:rsid w:val="00A4031D"/>
    <w:rsid w:val="00A40372"/>
    <w:rsid w:val="00A403BB"/>
    <w:rsid w:val="00A403D2"/>
    <w:rsid w:val="00A40449"/>
    <w:rsid w:val="00A40585"/>
    <w:rsid w:val="00A4058E"/>
    <w:rsid w:val="00A405B0"/>
    <w:rsid w:val="00A405E3"/>
    <w:rsid w:val="00A40605"/>
    <w:rsid w:val="00A40626"/>
    <w:rsid w:val="00A40657"/>
    <w:rsid w:val="00A40719"/>
    <w:rsid w:val="00A40786"/>
    <w:rsid w:val="00A40823"/>
    <w:rsid w:val="00A40AA0"/>
    <w:rsid w:val="00A40AA5"/>
    <w:rsid w:val="00A40B26"/>
    <w:rsid w:val="00A40BB9"/>
    <w:rsid w:val="00A40BEC"/>
    <w:rsid w:val="00A40C61"/>
    <w:rsid w:val="00A40CD2"/>
    <w:rsid w:val="00A40CFD"/>
    <w:rsid w:val="00A40D08"/>
    <w:rsid w:val="00A40D24"/>
    <w:rsid w:val="00A40DA2"/>
    <w:rsid w:val="00A40E32"/>
    <w:rsid w:val="00A4100B"/>
    <w:rsid w:val="00A41018"/>
    <w:rsid w:val="00A4102D"/>
    <w:rsid w:val="00A41037"/>
    <w:rsid w:val="00A41052"/>
    <w:rsid w:val="00A4105B"/>
    <w:rsid w:val="00A4105F"/>
    <w:rsid w:val="00A410E7"/>
    <w:rsid w:val="00A4129A"/>
    <w:rsid w:val="00A412AA"/>
    <w:rsid w:val="00A412DC"/>
    <w:rsid w:val="00A413D4"/>
    <w:rsid w:val="00A41441"/>
    <w:rsid w:val="00A41460"/>
    <w:rsid w:val="00A4147B"/>
    <w:rsid w:val="00A414A7"/>
    <w:rsid w:val="00A414AE"/>
    <w:rsid w:val="00A414C3"/>
    <w:rsid w:val="00A41528"/>
    <w:rsid w:val="00A41564"/>
    <w:rsid w:val="00A41654"/>
    <w:rsid w:val="00A416B7"/>
    <w:rsid w:val="00A416DD"/>
    <w:rsid w:val="00A41708"/>
    <w:rsid w:val="00A4172F"/>
    <w:rsid w:val="00A41735"/>
    <w:rsid w:val="00A418BB"/>
    <w:rsid w:val="00A418BF"/>
    <w:rsid w:val="00A418F5"/>
    <w:rsid w:val="00A41939"/>
    <w:rsid w:val="00A4193B"/>
    <w:rsid w:val="00A41AB7"/>
    <w:rsid w:val="00A41B99"/>
    <w:rsid w:val="00A41D76"/>
    <w:rsid w:val="00A41D80"/>
    <w:rsid w:val="00A41E07"/>
    <w:rsid w:val="00A41E11"/>
    <w:rsid w:val="00A41E18"/>
    <w:rsid w:val="00A41E95"/>
    <w:rsid w:val="00A41F3D"/>
    <w:rsid w:val="00A41F8B"/>
    <w:rsid w:val="00A4204E"/>
    <w:rsid w:val="00A42051"/>
    <w:rsid w:val="00A42131"/>
    <w:rsid w:val="00A4218B"/>
    <w:rsid w:val="00A42289"/>
    <w:rsid w:val="00A422A6"/>
    <w:rsid w:val="00A422C0"/>
    <w:rsid w:val="00A423FF"/>
    <w:rsid w:val="00A42403"/>
    <w:rsid w:val="00A4241E"/>
    <w:rsid w:val="00A42443"/>
    <w:rsid w:val="00A424A7"/>
    <w:rsid w:val="00A424C8"/>
    <w:rsid w:val="00A42537"/>
    <w:rsid w:val="00A4262F"/>
    <w:rsid w:val="00A4266A"/>
    <w:rsid w:val="00A42685"/>
    <w:rsid w:val="00A426B5"/>
    <w:rsid w:val="00A426C7"/>
    <w:rsid w:val="00A426E5"/>
    <w:rsid w:val="00A4274D"/>
    <w:rsid w:val="00A42937"/>
    <w:rsid w:val="00A42974"/>
    <w:rsid w:val="00A4299D"/>
    <w:rsid w:val="00A4299E"/>
    <w:rsid w:val="00A429B1"/>
    <w:rsid w:val="00A42A3A"/>
    <w:rsid w:val="00A42A8F"/>
    <w:rsid w:val="00A42AB6"/>
    <w:rsid w:val="00A42AC1"/>
    <w:rsid w:val="00A42B35"/>
    <w:rsid w:val="00A42B3F"/>
    <w:rsid w:val="00A42B4E"/>
    <w:rsid w:val="00A42B9D"/>
    <w:rsid w:val="00A42BD9"/>
    <w:rsid w:val="00A42C06"/>
    <w:rsid w:val="00A42C83"/>
    <w:rsid w:val="00A42D55"/>
    <w:rsid w:val="00A42D63"/>
    <w:rsid w:val="00A42D98"/>
    <w:rsid w:val="00A42E4C"/>
    <w:rsid w:val="00A42E6E"/>
    <w:rsid w:val="00A42E7E"/>
    <w:rsid w:val="00A42EF9"/>
    <w:rsid w:val="00A42F81"/>
    <w:rsid w:val="00A43035"/>
    <w:rsid w:val="00A43055"/>
    <w:rsid w:val="00A4308C"/>
    <w:rsid w:val="00A4311B"/>
    <w:rsid w:val="00A43125"/>
    <w:rsid w:val="00A4313E"/>
    <w:rsid w:val="00A43154"/>
    <w:rsid w:val="00A4315C"/>
    <w:rsid w:val="00A43186"/>
    <w:rsid w:val="00A431E6"/>
    <w:rsid w:val="00A4328F"/>
    <w:rsid w:val="00A432DD"/>
    <w:rsid w:val="00A432FD"/>
    <w:rsid w:val="00A4331D"/>
    <w:rsid w:val="00A433D6"/>
    <w:rsid w:val="00A433D7"/>
    <w:rsid w:val="00A4346C"/>
    <w:rsid w:val="00A434F0"/>
    <w:rsid w:val="00A43645"/>
    <w:rsid w:val="00A43673"/>
    <w:rsid w:val="00A436D6"/>
    <w:rsid w:val="00A43736"/>
    <w:rsid w:val="00A43737"/>
    <w:rsid w:val="00A4373E"/>
    <w:rsid w:val="00A437BC"/>
    <w:rsid w:val="00A437CD"/>
    <w:rsid w:val="00A437EB"/>
    <w:rsid w:val="00A437F8"/>
    <w:rsid w:val="00A43865"/>
    <w:rsid w:val="00A4387D"/>
    <w:rsid w:val="00A438CD"/>
    <w:rsid w:val="00A438E4"/>
    <w:rsid w:val="00A4396B"/>
    <w:rsid w:val="00A43973"/>
    <w:rsid w:val="00A4399E"/>
    <w:rsid w:val="00A43A28"/>
    <w:rsid w:val="00A43A6A"/>
    <w:rsid w:val="00A43AD6"/>
    <w:rsid w:val="00A43BA0"/>
    <w:rsid w:val="00A43C88"/>
    <w:rsid w:val="00A43C9D"/>
    <w:rsid w:val="00A43CD1"/>
    <w:rsid w:val="00A43D12"/>
    <w:rsid w:val="00A43D3A"/>
    <w:rsid w:val="00A43E71"/>
    <w:rsid w:val="00A43EE1"/>
    <w:rsid w:val="00A43EF5"/>
    <w:rsid w:val="00A43F69"/>
    <w:rsid w:val="00A43FD5"/>
    <w:rsid w:val="00A43FF9"/>
    <w:rsid w:val="00A44023"/>
    <w:rsid w:val="00A44099"/>
    <w:rsid w:val="00A440DA"/>
    <w:rsid w:val="00A4411D"/>
    <w:rsid w:val="00A4425F"/>
    <w:rsid w:val="00A442A8"/>
    <w:rsid w:val="00A442D7"/>
    <w:rsid w:val="00A44326"/>
    <w:rsid w:val="00A4437D"/>
    <w:rsid w:val="00A4439B"/>
    <w:rsid w:val="00A44494"/>
    <w:rsid w:val="00A4453E"/>
    <w:rsid w:val="00A445FA"/>
    <w:rsid w:val="00A445FF"/>
    <w:rsid w:val="00A44607"/>
    <w:rsid w:val="00A44608"/>
    <w:rsid w:val="00A44693"/>
    <w:rsid w:val="00A446A3"/>
    <w:rsid w:val="00A4471A"/>
    <w:rsid w:val="00A44722"/>
    <w:rsid w:val="00A447C2"/>
    <w:rsid w:val="00A44809"/>
    <w:rsid w:val="00A44904"/>
    <w:rsid w:val="00A4493B"/>
    <w:rsid w:val="00A4497C"/>
    <w:rsid w:val="00A44984"/>
    <w:rsid w:val="00A449FC"/>
    <w:rsid w:val="00A44A30"/>
    <w:rsid w:val="00A44A5C"/>
    <w:rsid w:val="00A44B5A"/>
    <w:rsid w:val="00A44B9E"/>
    <w:rsid w:val="00A44BA2"/>
    <w:rsid w:val="00A44BAC"/>
    <w:rsid w:val="00A44C11"/>
    <w:rsid w:val="00A44C75"/>
    <w:rsid w:val="00A44C77"/>
    <w:rsid w:val="00A44CDB"/>
    <w:rsid w:val="00A44CE6"/>
    <w:rsid w:val="00A44DA7"/>
    <w:rsid w:val="00A44DA8"/>
    <w:rsid w:val="00A44DB0"/>
    <w:rsid w:val="00A44E16"/>
    <w:rsid w:val="00A44E82"/>
    <w:rsid w:val="00A44F29"/>
    <w:rsid w:val="00A44F8E"/>
    <w:rsid w:val="00A44FC2"/>
    <w:rsid w:val="00A44FCA"/>
    <w:rsid w:val="00A44FF6"/>
    <w:rsid w:val="00A450B2"/>
    <w:rsid w:val="00A45150"/>
    <w:rsid w:val="00A4519E"/>
    <w:rsid w:val="00A451E3"/>
    <w:rsid w:val="00A45219"/>
    <w:rsid w:val="00A4522B"/>
    <w:rsid w:val="00A45230"/>
    <w:rsid w:val="00A45237"/>
    <w:rsid w:val="00A4529E"/>
    <w:rsid w:val="00A452ED"/>
    <w:rsid w:val="00A45357"/>
    <w:rsid w:val="00A453F7"/>
    <w:rsid w:val="00A4543C"/>
    <w:rsid w:val="00A4544C"/>
    <w:rsid w:val="00A45471"/>
    <w:rsid w:val="00A45476"/>
    <w:rsid w:val="00A454AB"/>
    <w:rsid w:val="00A454DA"/>
    <w:rsid w:val="00A455C0"/>
    <w:rsid w:val="00A45602"/>
    <w:rsid w:val="00A45620"/>
    <w:rsid w:val="00A4563A"/>
    <w:rsid w:val="00A456B8"/>
    <w:rsid w:val="00A456D4"/>
    <w:rsid w:val="00A45726"/>
    <w:rsid w:val="00A4579A"/>
    <w:rsid w:val="00A457DB"/>
    <w:rsid w:val="00A4584E"/>
    <w:rsid w:val="00A45870"/>
    <w:rsid w:val="00A45876"/>
    <w:rsid w:val="00A45970"/>
    <w:rsid w:val="00A45977"/>
    <w:rsid w:val="00A45992"/>
    <w:rsid w:val="00A459EB"/>
    <w:rsid w:val="00A45A04"/>
    <w:rsid w:val="00A45B30"/>
    <w:rsid w:val="00A45B3A"/>
    <w:rsid w:val="00A45B68"/>
    <w:rsid w:val="00A45C50"/>
    <w:rsid w:val="00A45CDA"/>
    <w:rsid w:val="00A45E00"/>
    <w:rsid w:val="00A45F82"/>
    <w:rsid w:val="00A45F85"/>
    <w:rsid w:val="00A45FEA"/>
    <w:rsid w:val="00A46075"/>
    <w:rsid w:val="00A46087"/>
    <w:rsid w:val="00A460A7"/>
    <w:rsid w:val="00A460F6"/>
    <w:rsid w:val="00A461CF"/>
    <w:rsid w:val="00A4627C"/>
    <w:rsid w:val="00A46313"/>
    <w:rsid w:val="00A4636C"/>
    <w:rsid w:val="00A463D7"/>
    <w:rsid w:val="00A463F2"/>
    <w:rsid w:val="00A4641A"/>
    <w:rsid w:val="00A464B7"/>
    <w:rsid w:val="00A46510"/>
    <w:rsid w:val="00A46541"/>
    <w:rsid w:val="00A46678"/>
    <w:rsid w:val="00A46684"/>
    <w:rsid w:val="00A46688"/>
    <w:rsid w:val="00A466D8"/>
    <w:rsid w:val="00A467BE"/>
    <w:rsid w:val="00A46800"/>
    <w:rsid w:val="00A46803"/>
    <w:rsid w:val="00A46804"/>
    <w:rsid w:val="00A46809"/>
    <w:rsid w:val="00A46870"/>
    <w:rsid w:val="00A4690D"/>
    <w:rsid w:val="00A4694F"/>
    <w:rsid w:val="00A46988"/>
    <w:rsid w:val="00A4698F"/>
    <w:rsid w:val="00A46A0A"/>
    <w:rsid w:val="00A46B6D"/>
    <w:rsid w:val="00A46B7F"/>
    <w:rsid w:val="00A46C3B"/>
    <w:rsid w:val="00A46CC1"/>
    <w:rsid w:val="00A46CCC"/>
    <w:rsid w:val="00A46D2B"/>
    <w:rsid w:val="00A46D5B"/>
    <w:rsid w:val="00A46DFD"/>
    <w:rsid w:val="00A46E56"/>
    <w:rsid w:val="00A46ECD"/>
    <w:rsid w:val="00A46EF9"/>
    <w:rsid w:val="00A46F69"/>
    <w:rsid w:val="00A46F84"/>
    <w:rsid w:val="00A4703E"/>
    <w:rsid w:val="00A4707B"/>
    <w:rsid w:val="00A4708B"/>
    <w:rsid w:val="00A47127"/>
    <w:rsid w:val="00A472AA"/>
    <w:rsid w:val="00A472BB"/>
    <w:rsid w:val="00A472CB"/>
    <w:rsid w:val="00A4743F"/>
    <w:rsid w:val="00A474A0"/>
    <w:rsid w:val="00A474F9"/>
    <w:rsid w:val="00A4756E"/>
    <w:rsid w:val="00A4759A"/>
    <w:rsid w:val="00A47764"/>
    <w:rsid w:val="00A47811"/>
    <w:rsid w:val="00A47891"/>
    <w:rsid w:val="00A47948"/>
    <w:rsid w:val="00A4796A"/>
    <w:rsid w:val="00A479D2"/>
    <w:rsid w:val="00A47A0D"/>
    <w:rsid w:val="00A47A19"/>
    <w:rsid w:val="00A47A3C"/>
    <w:rsid w:val="00A47A9A"/>
    <w:rsid w:val="00A47AE2"/>
    <w:rsid w:val="00A47C1B"/>
    <w:rsid w:val="00A47C22"/>
    <w:rsid w:val="00A47D25"/>
    <w:rsid w:val="00A47D85"/>
    <w:rsid w:val="00A47E1C"/>
    <w:rsid w:val="00A47E82"/>
    <w:rsid w:val="00A47EF2"/>
    <w:rsid w:val="00A47F53"/>
    <w:rsid w:val="00A47F63"/>
    <w:rsid w:val="00A47F7A"/>
    <w:rsid w:val="00A5005E"/>
    <w:rsid w:val="00A50278"/>
    <w:rsid w:val="00A502CC"/>
    <w:rsid w:val="00A5033A"/>
    <w:rsid w:val="00A50383"/>
    <w:rsid w:val="00A5038B"/>
    <w:rsid w:val="00A503A4"/>
    <w:rsid w:val="00A50516"/>
    <w:rsid w:val="00A5051B"/>
    <w:rsid w:val="00A50522"/>
    <w:rsid w:val="00A505CF"/>
    <w:rsid w:val="00A50656"/>
    <w:rsid w:val="00A507B9"/>
    <w:rsid w:val="00A507DF"/>
    <w:rsid w:val="00A508EF"/>
    <w:rsid w:val="00A50942"/>
    <w:rsid w:val="00A509EF"/>
    <w:rsid w:val="00A50A1B"/>
    <w:rsid w:val="00A50AE9"/>
    <w:rsid w:val="00A50AF8"/>
    <w:rsid w:val="00A50B0F"/>
    <w:rsid w:val="00A50B6D"/>
    <w:rsid w:val="00A50BBE"/>
    <w:rsid w:val="00A50BCE"/>
    <w:rsid w:val="00A50BED"/>
    <w:rsid w:val="00A50C15"/>
    <w:rsid w:val="00A50C71"/>
    <w:rsid w:val="00A50C7C"/>
    <w:rsid w:val="00A50CAB"/>
    <w:rsid w:val="00A50CEB"/>
    <w:rsid w:val="00A50D04"/>
    <w:rsid w:val="00A50D43"/>
    <w:rsid w:val="00A50E0C"/>
    <w:rsid w:val="00A50EC4"/>
    <w:rsid w:val="00A50F22"/>
    <w:rsid w:val="00A50F38"/>
    <w:rsid w:val="00A50F6A"/>
    <w:rsid w:val="00A50F8D"/>
    <w:rsid w:val="00A51018"/>
    <w:rsid w:val="00A51061"/>
    <w:rsid w:val="00A5106F"/>
    <w:rsid w:val="00A510C3"/>
    <w:rsid w:val="00A510C6"/>
    <w:rsid w:val="00A51139"/>
    <w:rsid w:val="00A51172"/>
    <w:rsid w:val="00A5119B"/>
    <w:rsid w:val="00A51206"/>
    <w:rsid w:val="00A51253"/>
    <w:rsid w:val="00A51259"/>
    <w:rsid w:val="00A51365"/>
    <w:rsid w:val="00A513B4"/>
    <w:rsid w:val="00A513EB"/>
    <w:rsid w:val="00A514B5"/>
    <w:rsid w:val="00A514C4"/>
    <w:rsid w:val="00A51554"/>
    <w:rsid w:val="00A51557"/>
    <w:rsid w:val="00A515B7"/>
    <w:rsid w:val="00A515EC"/>
    <w:rsid w:val="00A51660"/>
    <w:rsid w:val="00A516E8"/>
    <w:rsid w:val="00A51892"/>
    <w:rsid w:val="00A518A4"/>
    <w:rsid w:val="00A518DF"/>
    <w:rsid w:val="00A51A0E"/>
    <w:rsid w:val="00A51A1A"/>
    <w:rsid w:val="00A51A60"/>
    <w:rsid w:val="00A51A71"/>
    <w:rsid w:val="00A51A8C"/>
    <w:rsid w:val="00A51A91"/>
    <w:rsid w:val="00A51AC4"/>
    <w:rsid w:val="00A51B06"/>
    <w:rsid w:val="00A51B90"/>
    <w:rsid w:val="00A51BEE"/>
    <w:rsid w:val="00A51C3A"/>
    <w:rsid w:val="00A51C6D"/>
    <w:rsid w:val="00A51C90"/>
    <w:rsid w:val="00A51DB9"/>
    <w:rsid w:val="00A51DF7"/>
    <w:rsid w:val="00A51E16"/>
    <w:rsid w:val="00A51E1F"/>
    <w:rsid w:val="00A51E25"/>
    <w:rsid w:val="00A51E28"/>
    <w:rsid w:val="00A51E5E"/>
    <w:rsid w:val="00A51E64"/>
    <w:rsid w:val="00A51F41"/>
    <w:rsid w:val="00A51FC6"/>
    <w:rsid w:val="00A52086"/>
    <w:rsid w:val="00A520B8"/>
    <w:rsid w:val="00A5212D"/>
    <w:rsid w:val="00A521D9"/>
    <w:rsid w:val="00A5221C"/>
    <w:rsid w:val="00A52252"/>
    <w:rsid w:val="00A522A6"/>
    <w:rsid w:val="00A522B3"/>
    <w:rsid w:val="00A522FC"/>
    <w:rsid w:val="00A52356"/>
    <w:rsid w:val="00A52367"/>
    <w:rsid w:val="00A524AE"/>
    <w:rsid w:val="00A524AF"/>
    <w:rsid w:val="00A524C2"/>
    <w:rsid w:val="00A524C3"/>
    <w:rsid w:val="00A52512"/>
    <w:rsid w:val="00A52528"/>
    <w:rsid w:val="00A5264F"/>
    <w:rsid w:val="00A5265A"/>
    <w:rsid w:val="00A52676"/>
    <w:rsid w:val="00A5270B"/>
    <w:rsid w:val="00A5271B"/>
    <w:rsid w:val="00A527DC"/>
    <w:rsid w:val="00A52842"/>
    <w:rsid w:val="00A52848"/>
    <w:rsid w:val="00A5284F"/>
    <w:rsid w:val="00A528A1"/>
    <w:rsid w:val="00A528DA"/>
    <w:rsid w:val="00A528EA"/>
    <w:rsid w:val="00A52936"/>
    <w:rsid w:val="00A529C5"/>
    <w:rsid w:val="00A52B17"/>
    <w:rsid w:val="00A52B5C"/>
    <w:rsid w:val="00A52BC4"/>
    <w:rsid w:val="00A52C09"/>
    <w:rsid w:val="00A52C4A"/>
    <w:rsid w:val="00A52C67"/>
    <w:rsid w:val="00A52CDC"/>
    <w:rsid w:val="00A52D1A"/>
    <w:rsid w:val="00A52DCD"/>
    <w:rsid w:val="00A52DEE"/>
    <w:rsid w:val="00A52E57"/>
    <w:rsid w:val="00A52EDC"/>
    <w:rsid w:val="00A52EDD"/>
    <w:rsid w:val="00A52EE1"/>
    <w:rsid w:val="00A53062"/>
    <w:rsid w:val="00A53073"/>
    <w:rsid w:val="00A53078"/>
    <w:rsid w:val="00A5315F"/>
    <w:rsid w:val="00A531F6"/>
    <w:rsid w:val="00A5320F"/>
    <w:rsid w:val="00A5323B"/>
    <w:rsid w:val="00A53256"/>
    <w:rsid w:val="00A5329D"/>
    <w:rsid w:val="00A5335F"/>
    <w:rsid w:val="00A5336D"/>
    <w:rsid w:val="00A53418"/>
    <w:rsid w:val="00A53566"/>
    <w:rsid w:val="00A535B6"/>
    <w:rsid w:val="00A53645"/>
    <w:rsid w:val="00A536B2"/>
    <w:rsid w:val="00A536C6"/>
    <w:rsid w:val="00A536C9"/>
    <w:rsid w:val="00A536CF"/>
    <w:rsid w:val="00A53715"/>
    <w:rsid w:val="00A53767"/>
    <w:rsid w:val="00A538F3"/>
    <w:rsid w:val="00A53926"/>
    <w:rsid w:val="00A53A4F"/>
    <w:rsid w:val="00A53A82"/>
    <w:rsid w:val="00A53BD7"/>
    <w:rsid w:val="00A53BDD"/>
    <w:rsid w:val="00A53BF1"/>
    <w:rsid w:val="00A53D25"/>
    <w:rsid w:val="00A53E69"/>
    <w:rsid w:val="00A53E6F"/>
    <w:rsid w:val="00A53E70"/>
    <w:rsid w:val="00A53E99"/>
    <w:rsid w:val="00A53EB6"/>
    <w:rsid w:val="00A53ED0"/>
    <w:rsid w:val="00A53F3F"/>
    <w:rsid w:val="00A53FA4"/>
    <w:rsid w:val="00A53FC3"/>
    <w:rsid w:val="00A53FFE"/>
    <w:rsid w:val="00A54011"/>
    <w:rsid w:val="00A54022"/>
    <w:rsid w:val="00A54028"/>
    <w:rsid w:val="00A54035"/>
    <w:rsid w:val="00A5404F"/>
    <w:rsid w:val="00A54071"/>
    <w:rsid w:val="00A540D9"/>
    <w:rsid w:val="00A5412A"/>
    <w:rsid w:val="00A541A9"/>
    <w:rsid w:val="00A541AA"/>
    <w:rsid w:val="00A541B3"/>
    <w:rsid w:val="00A541EA"/>
    <w:rsid w:val="00A5421F"/>
    <w:rsid w:val="00A5423C"/>
    <w:rsid w:val="00A54296"/>
    <w:rsid w:val="00A542E6"/>
    <w:rsid w:val="00A54359"/>
    <w:rsid w:val="00A543FF"/>
    <w:rsid w:val="00A5442D"/>
    <w:rsid w:val="00A544BE"/>
    <w:rsid w:val="00A54659"/>
    <w:rsid w:val="00A54728"/>
    <w:rsid w:val="00A5476E"/>
    <w:rsid w:val="00A54794"/>
    <w:rsid w:val="00A547B1"/>
    <w:rsid w:val="00A5483F"/>
    <w:rsid w:val="00A5488E"/>
    <w:rsid w:val="00A548C4"/>
    <w:rsid w:val="00A548C6"/>
    <w:rsid w:val="00A548E2"/>
    <w:rsid w:val="00A54924"/>
    <w:rsid w:val="00A5493C"/>
    <w:rsid w:val="00A54959"/>
    <w:rsid w:val="00A5495B"/>
    <w:rsid w:val="00A54960"/>
    <w:rsid w:val="00A549D8"/>
    <w:rsid w:val="00A54AC7"/>
    <w:rsid w:val="00A54B2E"/>
    <w:rsid w:val="00A54B6E"/>
    <w:rsid w:val="00A54B84"/>
    <w:rsid w:val="00A54BA7"/>
    <w:rsid w:val="00A54C41"/>
    <w:rsid w:val="00A54CB6"/>
    <w:rsid w:val="00A54D17"/>
    <w:rsid w:val="00A54DA6"/>
    <w:rsid w:val="00A54DCA"/>
    <w:rsid w:val="00A54DE3"/>
    <w:rsid w:val="00A54E34"/>
    <w:rsid w:val="00A54E44"/>
    <w:rsid w:val="00A54E5F"/>
    <w:rsid w:val="00A54F63"/>
    <w:rsid w:val="00A54F83"/>
    <w:rsid w:val="00A54F9A"/>
    <w:rsid w:val="00A55060"/>
    <w:rsid w:val="00A5516E"/>
    <w:rsid w:val="00A551DD"/>
    <w:rsid w:val="00A551F3"/>
    <w:rsid w:val="00A5521E"/>
    <w:rsid w:val="00A55230"/>
    <w:rsid w:val="00A5526B"/>
    <w:rsid w:val="00A552F2"/>
    <w:rsid w:val="00A5532C"/>
    <w:rsid w:val="00A55393"/>
    <w:rsid w:val="00A553D4"/>
    <w:rsid w:val="00A55421"/>
    <w:rsid w:val="00A5548D"/>
    <w:rsid w:val="00A554C1"/>
    <w:rsid w:val="00A5551C"/>
    <w:rsid w:val="00A5551E"/>
    <w:rsid w:val="00A55520"/>
    <w:rsid w:val="00A5554D"/>
    <w:rsid w:val="00A55557"/>
    <w:rsid w:val="00A55613"/>
    <w:rsid w:val="00A55615"/>
    <w:rsid w:val="00A556B4"/>
    <w:rsid w:val="00A5574B"/>
    <w:rsid w:val="00A557AB"/>
    <w:rsid w:val="00A557AD"/>
    <w:rsid w:val="00A557D8"/>
    <w:rsid w:val="00A55833"/>
    <w:rsid w:val="00A55878"/>
    <w:rsid w:val="00A5588C"/>
    <w:rsid w:val="00A5598C"/>
    <w:rsid w:val="00A5599D"/>
    <w:rsid w:val="00A559FF"/>
    <w:rsid w:val="00A55A02"/>
    <w:rsid w:val="00A55A2A"/>
    <w:rsid w:val="00A55AD2"/>
    <w:rsid w:val="00A55B22"/>
    <w:rsid w:val="00A55B4F"/>
    <w:rsid w:val="00A55B5E"/>
    <w:rsid w:val="00A55C56"/>
    <w:rsid w:val="00A55CAF"/>
    <w:rsid w:val="00A55E04"/>
    <w:rsid w:val="00A55E61"/>
    <w:rsid w:val="00A55E9D"/>
    <w:rsid w:val="00A55EBF"/>
    <w:rsid w:val="00A55FBA"/>
    <w:rsid w:val="00A560B6"/>
    <w:rsid w:val="00A560E2"/>
    <w:rsid w:val="00A560FE"/>
    <w:rsid w:val="00A56163"/>
    <w:rsid w:val="00A56199"/>
    <w:rsid w:val="00A561DF"/>
    <w:rsid w:val="00A561E0"/>
    <w:rsid w:val="00A56398"/>
    <w:rsid w:val="00A56493"/>
    <w:rsid w:val="00A564B2"/>
    <w:rsid w:val="00A564B4"/>
    <w:rsid w:val="00A564E8"/>
    <w:rsid w:val="00A565B8"/>
    <w:rsid w:val="00A56676"/>
    <w:rsid w:val="00A5667E"/>
    <w:rsid w:val="00A56691"/>
    <w:rsid w:val="00A566AF"/>
    <w:rsid w:val="00A566D5"/>
    <w:rsid w:val="00A566E4"/>
    <w:rsid w:val="00A566E9"/>
    <w:rsid w:val="00A5673E"/>
    <w:rsid w:val="00A56763"/>
    <w:rsid w:val="00A5676C"/>
    <w:rsid w:val="00A5677F"/>
    <w:rsid w:val="00A567B5"/>
    <w:rsid w:val="00A5683A"/>
    <w:rsid w:val="00A56849"/>
    <w:rsid w:val="00A5684A"/>
    <w:rsid w:val="00A5691E"/>
    <w:rsid w:val="00A5695E"/>
    <w:rsid w:val="00A56983"/>
    <w:rsid w:val="00A569AA"/>
    <w:rsid w:val="00A569DA"/>
    <w:rsid w:val="00A56A48"/>
    <w:rsid w:val="00A56A8D"/>
    <w:rsid w:val="00A56A8E"/>
    <w:rsid w:val="00A56B61"/>
    <w:rsid w:val="00A56BD2"/>
    <w:rsid w:val="00A56C48"/>
    <w:rsid w:val="00A56C5E"/>
    <w:rsid w:val="00A56C6A"/>
    <w:rsid w:val="00A56CE0"/>
    <w:rsid w:val="00A56CE2"/>
    <w:rsid w:val="00A56CF7"/>
    <w:rsid w:val="00A56D2C"/>
    <w:rsid w:val="00A56D37"/>
    <w:rsid w:val="00A56E05"/>
    <w:rsid w:val="00A56E1E"/>
    <w:rsid w:val="00A56E3A"/>
    <w:rsid w:val="00A56EB3"/>
    <w:rsid w:val="00A56ED7"/>
    <w:rsid w:val="00A56F16"/>
    <w:rsid w:val="00A56F1E"/>
    <w:rsid w:val="00A56F6F"/>
    <w:rsid w:val="00A57011"/>
    <w:rsid w:val="00A57059"/>
    <w:rsid w:val="00A57096"/>
    <w:rsid w:val="00A570B1"/>
    <w:rsid w:val="00A571D7"/>
    <w:rsid w:val="00A57262"/>
    <w:rsid w:val="00A573AD"/>
    <w:rsid w:val="00A5749E"/>
    <w:rsid w:val="00A574E1"/>
    <w:rsid w:val="00A574F6"/>
    <w:rsid w:val="00A57598"/>
    <w:rsid w:val="00A575CC"/>
    <w:rsid w:val="00A57663"/>
    <w:rsid w:val="00A576EC"/>
    <w:rsid w:val="00A577A2"/>
    <w:rsid w:val="00A578EC"/>
    <w:rsid w:val="00A57918"/>
    <w:rsid w:val="00A57A60"/>
    <w:rsid w:val="00A57A8C"/>
    <w:rsid w:val="00A57C15"/>
    <w:rsid w:val="00A57C19"/>
    <w:rsid w:val="00A57CB9"/>
    <w:rsid w:val="00A57D10"/>
    <w:rsid w:val="00A57D2F"/>
    <w:rsid w:val="00A57D41"/>
    <w:rsid w:val="00A57DDF"/>
    <w:rsid w:val="00A57E08"/>
    <w:rsid w:val="00A57E4C"/>
    <w:rsid w:val="00A57EC0"/>
    <w:rsid w:val="00A57F1F"/>
    <w:rsid w:val="00A57F6E"/>
    <w:rsid w:val="00A6005F"/>
    <w:rsid w:val="00A60086"/>
    <w:rsid w:val="00A600A3"/>
    <w:rsid w:val="00A600D7"/>
    <w:rsid w:val="00A6027C"/>
    <w:rsid w:val="00A602C6"/>
    <w:rsid w:val="00A60398"/>
    <w:rsid w:val="00A603F7"/>
    <w:rsid w:val="00A60482"/>
    <w:rsid w:val="00A6055B"/>
    <w:rsid w:val="00A605AC"/>
    <w:rsid w:val="00A605B9"/>
    <w:rsid w:val="00A605CD"/>
    <w:rsid w:val="00A60613"/>
    <w:rsid w:val="00A606B9"/>
    <w:rsid w:val="00A60729"/>
    <w:rsid w:val="00A60733"/>
    <w:rsid w:val="00A60743"/>
    <w:rsid w:val="00A607B0"/>
    <w:rsid w:val="00A607E5"/>
    <w:rsid w:val="00A60913"/>
    <w:rsid w:val="00A60951"/>
    <w:rsid w:val="00A609B1"/>
    <w:rsid w:val="00A60A0A"/>
    <w:rsid w:val="00A60A58"/>
    <w:rsid w:val="00A60A6F"/>
    <w:rsid w:val="00A60A82"/>
    <w:rsid w:val="00A60A95"/>
    <w:rsid w:val="00A60AB7"/>
    <w:rsid w:val="00A60AF3"/>
    <w:rsid w:val="00A60B3B"/>
    <w:rsid w:val="00A60B56"/>
    <w:rsid w:val="00A60BCB"/>
    <w:rsid w:val="00A60C4E"/>
    <w:rsid w:val="00A60C58"/>
    <w:rsid w:val="00A60C5D"/>
    <w:rsid w:val="00A60C68"/>
    <w:rsid w:val="00A60CD3"/>
    <w:rsid w:val="00A60D79"/>
    <w:rsid w:val="00A60D97"/>
    <w:rsid w:val="00A60E75"/>
    <w:rsid w:val="00A60F3E"/>
    <w:rsid w:val="00A60F85"/>
    <w:rsid w:val="00A60FC8"/>
    <w:rsid w:val="00A60FDF"/>
    <w:rsid w:val="00A6101B"/>
    <w:rsid w:val="00A6113B"/>
    <w:rsid w:val="00A61153"/>
    <w:rsid w:val="00A611B1"/>
    <w:rsid w:val="00A61245"/>
    <w:rsid w:val="00A6126B"/>
    <w:rsid w:val="00A61273"/>
    <w:rsid w:val="00A61298"/>
    <w:rsid w:val="00A612AA"/>
    <w:rsid w:val="00A612AF"/>
    <w:rsid w:val="00A612E5"/>
    <w:rsid w:val="00A6139A"/>
    <w:rsid w:val="00A613A1"/>
    <w:rsid w:val="00A613A8"/>
    <w:rsid w:val="00A613C9"/>
    <w:rsid w:val="00A61504"/>
    <w:rsid w:val="00A6158E"/>
    <w:rsid w:val="00A615A4"/>
    <w:rsid w:val="00A615A5"/>
    <w:rsid w:val="00A615C2"/>
    <w:rsid w:val="00A61617"/>
    <w:rsid w:val="00A61642"/>
    <w:rsid w:val="00A61703"/>
    <w:rsid w:val="00A6175A"/>
    <w:rsid w:val="00A618CB"/>
    <w:rsid w:val="00A618FB"/>
    <w:rsid w:val="00A61908"/>
    <w:rsid w:val="00A61A82"/>
    <w:rsid w:val="00A61BAD"/>
    <w:rsid w:val="00A61C30"/>
    <w:rsid w:val="00A61C45"/>
    <w:rsid w:val="00A61C8D"/>
    <w:rsid w:val="00A61CC6"/>
    <w:rsid w:val="00A61D43"/>
    <w:rsid w:val="00A61DA0"/>
    <w:rsid w:val="00A61E7A"/>
    <w:rsid w:val="00A61EB7"/>
    <w:rsid w:val="00A61F27"/>
    <w:rsid w:val="00A61F43"/>
    <w:rsid w:val="00A61F8D"/>
    <w:rsid w:val="00A6200A"/>
    <w:rsid w:val="00A62030"/>
    <w:rsid w:val="00A6204D"/>
    <w:rsid w:val="00A6205F"/>
    <w:rsid w:val="00A620CC"/>
    <w:rsid w:val="00A6215A"/>
    <w:rsid w:val="00A621D6"/>
    <w:rsid w:val="00A62200"/>
    <w:rsid w:val="00A62216"/>
    <w:rsid w:val="00A62240"/>
    <w:rsid w:val="00A62241"/>
    <w:rsid w:val="00A62305"/>
    <w:rsid w:val="00A623A9"/>
    <w:rsid w:val="00A623E9"/>
    <w:rsid w:val="00A623F1"/>
    <w:rsid w:val="00A62462"/>
    <w:rsid w:val="00A624BD"/>
    <w:rsid w:val="00A62508"/>
    <w:rsid w:val="00A6252F"/>
    <w:rsid w:val="00A6255B"/>
    <w:rsid w:val="00A626BD"/>
    <w:rsid w:val="00A626C7"/>
    <w:rsid w:val="00A627B6"/>
    <w:rsid w:val="00A628A5"/>
    <w:rsid w:val="00A628DA"/>
    <w:rsid w:val="00A62961"/>
    <w:rsid w:val="00A62962"/>
    <w:rsid w:val="00A62990"/>
    <w:rsid w:val="00A629E3"/>
    <w:rsid w:val="00A629EE"/>
    <w:rsid w:val="00A62A26"/>
    <w:rsid w:val="00A62A29"/>
    <w:rsid w:val="00A62A37"/>
    <w:rsid w:val="00A62A62"/>
    <w:rsid w:val="00A62A66"/>
    <w:rsid w:val="00A62A9C"/>
    <w:rsid w:val="00A62B3A"/>
    <w:rsid w:val="00A62B5B"/>
    <w:rsid w:val="00A62B99"/>
    <w:rsid w:val="00A62BFF"/>
    <w:rsid w:val="00A62C2F"/>
    <w:rsid w:val="00A62C31"/>
    <w:rsid w:val="00A62C90"/>
    <w:rsid w:val="00A62CE0"/>
    <w:rsid w:val="00A62CF5"/>
    <w:rsid w:val="00A62D24"/>
    <w:rsid w:val="00A62E45"/>
    <w:rsid w:val="00A62EA2"/>
    <w:rsid w:val="00A62EB5"/>
    <w:rsid w:val="00A62EF6"/>
    <w:rsid w:val="00A62F25"/>
    <w:rsid w:val="00A62F3B"/>
    <w:rsid w:val="00A62FF4"/>
    <w:rsid w:val="00A6307C"/>
    <w:rsid w:val="00A63084"/>
    <w:rsid w:val="00A63096"/>
    <w:rsid w:val="00A6309B"/>
    <w:rsid w:val="00A63202"/>
    <w:rsid w:val="00A63230"/>
    <w:rsid w:val="00A6329C"/>
    <w:rsid w:val="00A632CE"/>
    <w:rsid w:val="00A63300"/>
    <w:rsid w:val="00A63308"/>
    <w:rsid w:val="00A633D9"/>
    <w:rsid w:val="00A63547"/>
    <w:rsid w:val="00A6355C"/>
    <w:rsid w:val="00A635E2"/>
    <w:rsid w:val="00A635EC"/>
    <w:rsid w:val="00A6364D"/>
    <w:rsid w:val="00A636A8"/>
    <w:rsid w:val="00A63712"/>
    <w:rsid w:val="00A6371C"/>
    <w:rsid w:val="00A63740"/>
    <w:rsid w:val="00A6374B"/>
    <w:rsid w:val="00A63755"/>
    <w:rsid w:val="00A63766"/>
    <w:rsid w:val="00A637C4"/>
    <w:rsid w:val="00A63825"/>
    <w:rsid w:val="00A63852"/>
    <w:rsid w:val="00A63884"/>
    <w:rsid w:val="00A639ED"/>
    <w:rsid w:val="00A63A78"/>
    <w:rsid w:val="00A63B3E"/>
    <w:rsid w:val="00A63C86"/>
    <w:rsid w:val="00A63CD0"/>
    <w:rsid w:val="00A63D5C"/>
    <w:rsid w:val="00A63D7C"/>
    <w:rsid w:val="00A63DD5"/>
    <w:rsid w:val="00A63E0F"/>
    <w:rsid w:val="00A63EA0"/>
    <w:rsid w:val="00A63EA6"/>
    <w:rsid w:val="00A63EC7"/>
    <w:rsid w:val="00A63ECD"/>
    <w:rsid w:val="00A63ED8"/>
    <w:rsid w:val="00A63F01"/>
    <w:rsid w:val="00A6402F"/>
    <w:rsid w:val="00A6409A"/>
    <w:rsid w:val="00A640E4"/>
    <w:rsid w:val="00A640EF"/>
    <w:rsid w:val="00A64106"/>
    <w:rsid w:val="00A6419A"/>
    <w:rsid w:val="00A641D1"/>
    <w:rsid w:val="00A641DE"/>
    <w:rsid w:val="00A641E6"/>
    <w:rsid w:val="00A642E9"/>
    <w:rsid w:val="00A64306"/>
    <w:rsid w:val="00A64392"/>
    <w:rsid w:val="00A643B1"/>
    <w:rsid w:val="00A64428"/>
    <w:rsid w:val="00A644CC"/>
    <w:rsid w:val="00A64559"/>
    <w:rsid w:val="00A645E1"/>
    <w:rsid w:val="00A64616"/>
    <w:rsid w:val="00A6462F"/>
    <w:rsid w:val="00A64696"/>
    <w:rsid w:val="00A64755"/>
    <w:rsid w:val="00A64787"/>
    <w:rsid w:val="00A6481E"/>
    <w:rsid w:val="00A64840"/>
    <w:rsid w:val="00A648BB"/>
    <w:rsid w:val="00A648CF"/>
    <w:rsid w:val="00A6495E"/>
    <w:rsid w:val="00A649A2"/>
    <w:rsid w:val="00A64A2D"/>
    <w:rsid w:val="00A64A41"/>
    <w:rsid w:val="00A64A65"/>
    <w:rsid w:val="00A64A8C"/>
    <w:rsid w:val="00A64A8D"/>
    <w:rsid w:val="00A64A92"/>
    <w:rsid w:val="00A64AB6"/>
    <w:rsid w:val="00A64AF8"/>
    <w:rsid w:val="00A64B79"/>
    <w:rsid w:val="00A64C1B"/>
    <w:rsid w:val="00A64C41"/>
    <w:rsid w:val="00A64C96"/>
    <w:rsid w:val="00A64CCD"/>
    <w:rsid w:val="00A64CD6"/>
    <w:rsid w:val="00A64D0C"/>
    <w:rsid w:val="00A64D13"/>
    <w:rsid w:val="00A64D22"/>
    <w:rsid w:val="00A64D43"/>
    <w:rsid w:val="00A64D71"/>
    <w:rsid w:val="00A64F3D"/>
    <w:rsid w:val="00A64FCE"/>
    <w:rsid w:val="00A64FDC"/>
    <w:rsid w:val="00A64FE1"/>
    <w:rsid w:val="00A6503E"/>
    <w:rsid w:val="00A65097"/>
    <w:rsid w:val="00A650AD"/>
    <w:rsid w:val="00A650C4"/>
    <w:rsid w:val="00A651EA"/>
    <w:rsid w:val="00A65231"/>
    <w:rsid w:val="00A652D7"/>
    <w:rsid w:val="00A652DE"/>
    <w:rsid w:val="00A65303"/>
    <w:rsid w:val="00A65334"/>
    <w:rsid w:val="00A6533D"/>
    <w:rsid w:val="00A653E7"/>
    <w:rsid w:val="00A6547C"/>
    <w:rsid w:val="00A65538"/>
    <w:rsid w:val="00A6556C"/>
    <w:rsid w:val="00A6559F"/>
    <w:rsid w:val="00A655A7"/>
    <w:rsid w:val="00A655CE"/>
    <w:rsid w:val="00A65643"/>
    <w:rsid w:val="00A65692"/>
    <w:rsid w:val="00A65704"/>
    <w:rsid w:val="00A6570D"/>
    <w:rsid w:val="00A6578C"/>
    <w:rsid w:val="00A657B2"/>
    <w:rsid w:val="00A657DF"/>
    <w:rsid w:val="00A65845"/>
    <w:rsid w:val="00A65931"/>
    <w:rsid w:val="00A65997"/>
    <w:rsid w:val="00A659DB"/>
    <w:rsid w:val="00A65A2C"/>
    <w:rsid w:val="00A65A68"/>
    <w:rsid w:val="00A65A8A"/>
    <w:rsid w:val="00A65A94"/>
    <w:rsid w:val="00A65B07"/>
    <w:rsid w:val="00A65CD0"/>
    <w:rsid w:val="00A65D98"/>
    <w:rsid w:val="00A65DC6"/>
    <w:rsid w:val="00A65DDC"/>
    <w:rsid w:val="00A65E46"/>
    <w:rsid w:val="00A65E56"/>
    <w:rsid w:val="00A65ED8"/>
    <w:rsid w:val="00A65EF5"/>
    <w:rsid w:val="00A65F1F"/>
    <w:rsid w:val="00A65FF3"/>
    <w:rsid w:val="00A66010"/>
    <w:rsid w:val="00A66071"/>
    <w:rsid w:val="00A660E2"/>
    <w:rsid w:val="00A66164"/>
    <w:rsid w:val="00A661AF"/>
    <w:rsid w:val="00A661D0"/>
    <w:rsid w:val="00A661EE"/>
    <w:rsid w:val="00A6624A"/>
    <w:rsid w:val="00A6632B"/>
    <w:rsid w:val="00A66356"/>
    <w:rsid w:val="00A6635F"/>
    <w:rsid w:val="00A6637B"/>
    <w:rsid w:val="00A66381"/>
    <w:rsid w:val="00A6639D"/>
    <w:rsid w:val="00A663B3"/>
    <w:rsid w:val="00A663B6"/>
    <w:rsid w:val="00A66523"/>
    <w:rsid w:val="00A66555"/>
    <w:rsid w:val="00A6661F"/>
    <w:rsid w:val="00A66626"/>
    <w:rsid w:val="00A6678F"/>
    <w:rsid w:val="00A66794"/>
    <w:rsid w:val="00A667AF"/>
    <w:rsid w:val="00A66846"/>
    <w:rsid w:val="00A66871"/>
    <w:rsid w:val="00A6687C"/>
    <w:rsid w:val="00A668CA"/>
    <w:rsid w:val="00A66998"/>
    <w:rsid w:val="00A66A28"/>
    <w:rsid w:val="00A66A2B"/>
    <w:rsid w:val="00A66A4E"/>
    <w:rsid w:val="00A66AAD"/>
    <w:rsid w:val="00A66AC6"/>
    <w:rsid w:val="00A66AE3"/>
    <w:rsid w:val="00A66AF5"/>
    <w:rsid w:val="00A66AF9"/>
    <w:rsid w:val="00A66C35"/>
    <w:rsid w:val="00A66C85"/>
    <w:rsid w:val="00A66C88"/>
    <w:rsid w:val="00A66C91"/>
    <w:rsid w:val="00A66C95"/>
    <w:rsid w:val="00A66CB3"/>
    <w:rsid w:val="00A66D20"/>
    <w:rsid w:val="00A66D32"/>
    <w:rsid w:val="00A66D56"/>
    <w:rsid w:val="00A66E27"/>
    <w:rsid w:val="00A66E56"/>
    <w:rsid w:val="00A66E9A"/>
    <w:rsid w:val="00A66EA6"/>
    <w:rsid w:val="00A66F0A"/>
    <w:rsid w:val="00A66FE9"/>
    <w:rsid w:val="00A6703A"/>
    <w:rsid w:val="00A670C5"/>
    <w:rsid w:val="00A670EA"/>
    <w:rsid w:val="00A67119"/>
    <w:rsid w:val="00A6719D"/>
    <w:rsid w:val="00A671CA"/>
    <w:rsid w:val="00A671EA"/>
    <w:rsid w:val="00A6729D"/>
    <w:rsid w:val="00A67342"/>
    <w:rsid w:val="00A67393"/>
    <w:rsid w:val="00A67400"/>
    <w:rsid w:val="00A6746D"/>
    <w:rsid w:val="00A67497"/>
    <w:rsid w:val="00A67502"/>
    <w:rsid w:val="00A6760D"/>
    <w:rsid w:val="00A67634"/>
    <w:rsid w:val="00A67641"/>
    <w:rsid w:val="00A67648"/>
    <w:rsid w:val="00A676B7"/>
    <w:rsid w:val="00A676F1"/>
    <w:rsid w:val="00A6774F"/>
    <w:rsid w:val="00A677D5"/>
    <w:rsid w:val="00A6782A"/>
    <w:rsid w:val="00A67850"/>
    <w:rsid w:val="00A678CD"/>
    <w:rsid w:val="00A678E7"/>
    <w:rsid w:val="00A679C9"/>
    <w:rsid w:val="00A67AD0"/>
    <w:rsid w:val="00A67B58"/>
    <w:rsid w:val="00A67B8F"/>
    <w:rsid w:val="00A67BC0"/>
    <w:rsid w:val="00A67C68"/>
    <w:rsid w:val="00A67C89"/>
    <w:rsid w:val="00A67CC3"/>
    <w:rsid w:val="00A67CEA"/>
    <w:rsid w:val="00A67E09"/>
    <w:rsid w:val="00A67E25"/>
    <w:rsid w:val="00A67E5B"/>
    <w:rsid w:val="00A67E78"/>
    <w:rsid w:val="00A67EA6"/>
    <w:rsid w:val="00A67EEB"/>
    <w:rsid w:val="00A67EF8"/>
    <w:rsid w:val="00A67F72"/>
    <w:rsid w:val="00A67FCE"/>
    <w:rsid w:val="00A70007"/>
    <w:rsid w:val="00A70181"/>
    <w:rsid w:val="00A7019C"/>
    <w:rsid w:val="00A701AC"/>
    <w:rsid w:val="00A701B2"/>
    <w:rsid w:val="00A701D2"/>
    <w:rsid w:val="00A70254"/>
    <w:rsid w:val="00A70299"/>
    <w:rsid w:val="00A702CF"/>
    <w:rsid w:val="00A702EF"/>
    <w:rsid w:val="00A702F5"/>
    <w:rsid w:val="00A7031D"/>
    <w:rsid w:val="00A70368"/>
    <w:rsid w:val="00A703B3"/>
    <w:rsid w:val="00A70418"/>
    <w:rsid w:val="00A7054C"/>
    <w:rsid w:val="00A705AB"/>
    <w:rsid w:val="00A70676"/>
    <w:rsid w:val="00A7067B"/>
    <w:rsid w:val="00A7088B"/>
    <w:rsid w:val="00A7088D"/>
    <w:rsid w:val="00A708BA"/>
    <w:rsid w:val="00A708D0"/>
    <w:rsid w:val="00A7090F"/>
    <w:rsid w:val="00A7091D"/>
    <w:rsid w:val="00A70964"/>
    <w:rsid w:val="00A70969"/>
    <w:rsid w:val="00A709E8"/>
    <w:rsid w:val="00A709FA"/>
    <w:rsid w:val="00A70A90"/>
    <w:rsid w:val="00A70B74"/>
    <w:rsid w:val="00A70BE7"/>
    <w:rsid w:val="00A70D7F"/>
    <w:rsid w:val="00A70D94"/>
    <w:rsid w:val="00A70DCC"/>
    <w:rsid w:val="00A70E22"/>
    <w:rsid w:val="00A70E45"/>
    <w:rsid w:val="00A70E9C"/>
    <w:rsid w:val="00A70FE6"/>
    <w:rsid w:val="00A7101F"/>
    <w:rsid w:val="00A7104F"/>
    <w:rsid w:val="00A710A3"/>
    <w:rsid w:val="00A7115B"/>
    <w:rsid w:val="00A71169"/>
    <w:rsid w:val="00A711B2"/>
    <w:rsid w:val="00A711DE"/>
    <w:rsid w:val="00A711FE"/>
    <w:rsid w:val="00A71244"/>
    <w:rsid w:val="00A7125D"/>
    <w:rsid w:val="00A712B9"/>
    <w:rsid w:val="00A7134E"/>
    <w:rsid w:val="00A7138E"/>
    <w:rsid w:val="00A713E3"/>
    <w:rsid w:val="00A713E8"/>
    <w:rsid w:val="00A71415"/>
    <w:rsid w:val="00A7141E"/>
    <w:rsid w:val="00A71468"/>
    <w:rsid w:val="00A714B8"/>
    <w:rsid w:val="00A714E8"/>
    <w:rsid w:val="00A71517"/>
    <w:rsid w:val="00A7153B"/>
    <w:rsid w:val="00A71540"/>
    <w:rsid w:val="00A71565"/>
    <w:rsid w:val="00A715A5"/>
    <w:rsid w:val="00A715B9"/>
    <w:rsid w:val="00A715C5"/>
    <w:rsid w:val="00A715E6"/>
    <w:rsid w:val="00A7162F"/>
    <w:rsid w:val="00A71638"/>
    <w:rsid w:val="00A7169A"/>
    <w:rsid w:val="00A716BC"/>
    <w:rsid w:val="00A71702"/>
    <w:rsid w:val="00A71787"/>
    <w:rsid w:val="00A71835"/>
    <w:rsid w:val="00A718B7"/>
    <w:rsid w:val="00A718D6"/>
    <w:rsid w:val="00A7190A"/>
    <w:rsid w:val="00A7190D"/>
    <w:rsid w:val="00A71925"/>
    <w:rsid w:val="00A71945"/>
    <w:rsid w:val="00A7198C"/>
    <w:rsid w:val="00A71A03"/>
    <w:rsid w:val="00A71A46"/>
    <w:rsid w:val="00A71A64"/>
    <w:rsid w:val="00A71A7D"/>
    <w:rsid w:val="00A71AB4"/>
    <w:rsid w:val="00A71AC6"/>
    <w:rsid w:val="00A71B73"/>
    <w:rsid w:val="00A71B97"/>
    <w:rsid w:val="00A71BA2"/>
    <w:rsid w:val="00A71BBD"/>
    <w:rsid w:val="00A71BEB"/>
    <w:rsid w:val="00A71BF2"/>
    <w:rsid w:val="00A71C3C"/>
    <w:rsid w:val="00A71CD0"/>
    <w:rsid w:val="00A71D6A"/>
    <w:rsid w:val="00A71E23"/>
    <w:rsid w:val="00A71E33"/>
    <w:rsid w:val="00A71E64"/>
    <w:rsid w:val="00A71E70"/>
    <w:rsid w:val="00A71E72"/>
    <w:rsid w:val="00A71E88"/>
    <w:rsid w:val="00A71E9F"/>
    <w:rsid w:val="00A71EA0"/>
    <w:rsid w:val="00A71EAF"/>
    <w:rsid w:val="00A71ED5"/>
    <w:rsid w:val="00A71F7F"/>
    <w:rsid w:val="00A71FD0"/>
    <w:rsid w:val="00A72017"/>
    <w:rsid w:val="00A720CA"/>
    <w:rsid w:val="00A720EF"/>
    <w:rsid w:val="00A7216F"/>
    <w:rsid w:val="00A72183"/>
    <w:rsid w:val="00A72193"/>
    <w:rsid w:val="00A721EF"/>
    <w:rsid w:val="00A72204"/>
    <w:rsid w:val="00A72303"/>
    <w:rsid w:val="00A72318"/>
    <w:rsid w:val="00A72370"/>
    <w:rsid w:val="00A723A6"/>
    <w:rsid w:val="00A7245E"/>
    <w:rsid w:val="00A7247C"/>
    <w:rsid w:val="00A724B0"/>
    <w:rsid w:val="00A72555"/>
    <w:rsid w:val="00A72578"/>
    <w:rsid w:val="00A7266B"/>
    <w:rsid w:val="00A726A9"/>
    <w:rsid w:val="00A726AE"/>
    <w:rsid w:val="00A726EF"/>
    <w:rsid w:val="00A7270B"/>
    <w:rsid w:val="00A7275D"/>
    <w:rsid w:val="00A72784"/>
    <w:rsid w:val="00A727EC"/>
    <w:rsid w:val="00A7284A"/>
    <w:rsid w:val="00A7287E"/>
    <w:rsid w:val="00A728F7"/>
    <w:rsid w:val="00A72904"/>
    <w:rsid w:val="00A7294D"/>
    <w:rsid w:val="00A72A50"/>
    <w:rsid w:val="00A72A99"/>
    <w:rsid w:val="00A72AA3"/>
    <w:rsid w:val="00A72AF9"/>
    <w:rsid w:val="00A72B9B"/>
    <w:rsid w:val="00A72CB6"/>
    <w:rsid w:val="00A72CF8"/>
    <w:rsid w:val="00A72D0E"/>
    <w:rsid w:val="00A72D49"/>
    <w:rsid w:val="00A72D5F"/>
    <w:rsid w:val="00A72DF4"/>
    <w:rsid w:val="00A72DF7"/>
    <w:rsid w:val="00A72E51"/>
    <w:rsid w:val="00A72EAD"/>
    <w:rsid w:val="00A72F36"/>
    <w:rsid w:val="00A73094"/>
    <w:rsid w:val="00A730F7"/>
    <w:rsid w:val="00A73127"/>
    <w:rsid w:val="00A731E8"/>
    <w:rsid w:val="00A7324C"/>
    <w:rsid w:val="00A73267"/>
    <w:rsid w:val="00A7328B"/>
    <w:rsid w:val="00A732AF"/>
    <w:rsid w:val="00A73309"/>
    <w:rsid w:val="00A73376"/>
    <w:rsid w:val="00A733AF"/>
    <w:rsid w:val="00A733B4"/>
    <w:rsid w:val="00A733F2"/>
    <w:rsid w:val="00A73437"/>
    <w:rsid w:val="00A7347F"/>
    <w:rsid w:val="00A734A1"/>
    <w:rsid w:val="00A734BB"/>
    <w:rsid w:val="00A734F4"/>
    <w:rsid w:val="00A7352A"/>
    <w:rsid w:val="00A7353D"/>
    <w:rsid w:val="00A735D7"/>
    <w:rsid w:val="00A73616"/>
    <w:rsid w:val="00A737E8"/>
    <w:rsid w:val="00A738F5"/>
    <w:rsid w:val="00A7393E"/>
    <w:rsid w:val="00A73973"/>
    <w:rsid w:val="00A7398C"/>
    <w:rsid w:val="00A739AA"/>
    <w:rsid w:val="00A73AE4"/>
    <w:rsid w:val="00A73AEA"/>
    <w:rsid w:val="00A73C13"/>
    <w:rsid w:val="00A73C25"/>
    <w:rsid w:val="00A73CF4"/>
    <w:rsid w:val="00A73D76"/>
    <w:rsid w:val="00A73D7B"/>
    <w:rsid w:val="00A73ED1"/>
    <w:rsid w:val="00A73F0B"/>
    <w:rsid w:val="00A73F71"/>
    <w:rsid w:val="00A73FD3"/>
    <w:rsid w:val="00A73FE0"/>
    <w:rsid w:val="00A740EE"/>
    <w:rsid w:val="00A74130"/>
    <w:rsid w:val="00A74162"/>
    <w:rsid w:val="00A741F8"/>
    <w:rsid w:val="00A74219"/>
    <w:rsid w:val="00A742AD"/>
    <w:rsid w:val="00A742B8"/>
    <w:rsid w:val="00A74440"/>
    <w:rsid w:val="00A7445F"/>
    <w:rsid w:val="00A74478"/>
    <w:rsid w:val="00A7447C"/>
    <w:rsid w:val="00A744DF"/>
    <w:rsid w:val="00A7455D"/>
    <w:rsid w:val="00A745F4"/>
    <w:rsid w:val="00A746C1"/>
    <w:rsid w:val="00A747B7"/>
    <w:rsid w:val="00A747BC"/>
    <w:rsid w:val="00A74946"/>
    <w:rsid w:val="00A74968"/>
    <w:rsid w:val="00A7496B"/>
    <w:rsid w:val="00A74997"/>
    <w:rsid w:val="00A749D0"/>
    <w:rsid w:val="00A74A69"/>
    <w:rsid w:val="00A74AF9"/>
    <w:rsid w:val="00A74B32"/>
    <w:rsid w:val="00A74B73"/>
    <w:rsid w:val="00A74B98"/>
    <w:rsid w:val="00A74B9A"/>
    <w:rsid w:val="00A74C81"/>
    <w:rsid w:val="00A74C8E"/>
    <w:rsid w:val="00A74CC4"/>
    <w:rsid w:val="00A74CFA"/>
    <w:rsid w:val="00A74D01"/>
    <w:rsid w:val="00A74D10"/>
    <w:rsid w:val="00A74D16"/>
    <w:rsid w:val="00A74D94"/>
    <w:rsid w:val="00A74DC3"/>
    <w:rsid w:val="00A74E10"/>
    <w:rsid w:val="00A74E80"/>
    <w:rsid w:val="00A74EB6"/>
    <w:rsid w:val="00A74F48"/>
    <w:rsid w:val="00A74F9F"/>
    <w:rsid w:val="00A7500F"/>
    <w:rsid w:val="00A7512F"/>
    <w:rsid w:val="00A75153"/>
    <w:rsid w:val="00A751D3"/>
    <w:rsid w:val="00A75239"/>
    <w:rsid w:val="00A75243"/>
    <w:rsid w:val="00A75281"/>
    <w:rsid w:val="00A752D1"/>
    <w:rsid w:val="00A752E7"/>
    <w:rsid w:val="00A753B8"/>
    <w:rsid w:val="00A75430"/>
    <w:rsid w:val="00A75449"/>
    <w:rsid w:val="00A75467"/>
    <w:rsid w:val="00A75485"/>
    <w:rsid w:val="00A754A7"/>
    <w:rsid w:val="00A7550E"/>
    <w:rsid w:val="00A755A9"/>
    <w:rsid w:val="00A755CC"/>
    <w:rsid w:val="00A755EA"/>
    <w:rsid w:val="00A755F6"/>
    <w:rsid w:val="00A756B0"/>
    <w:rsid w:val="00A7570A"/>
    <w:rsid w:val="00A75732"/>
    <w:rsid w:val="00A7576B"/>
    <w:rsid w:val="00A757E9"/>
    <w:rsid w:val="00A75839"/>
    <w:rsid w:val="00A7584E"/>
    <w:rsid w:val="00A75925"/>
    <w:rsid w:val="00A7595F"/>
    <w:rsid w:val="00A759F4"/>
    <w:rsid w:val="00A75A10"/>
    <w:rsid w:val="00A75AA7"/>
    <w:rsid w:val="00A75ABD"/>
    <w:rsid w:val="00A75B5B"/>
    <w:rsid w:val="00A75B94"/>
    <w:rsid w:val="00A75BD0"/>
    <w:rsid w:val="00A75C7D"/>
    <w:rsid w:val="00A75CAC"/>
    <w:rsid w:val="00A75CB2"/>
    <w:rsid w:val="00A75CC2"/>
    <w:rsid w:val="00A75CF3"/>
    <w:rsid w:val="00A75DB8"/>
    <w:rsid w:val="00A75DC4"/>
    <w:rsid w:val="00A75E16"/>
    <w:rsid w:val="00A75E85"/>
    <w:rsid w:val="00A75EEF"/>
    <w:rsid w:val="00A75EF5"/>
    <w:rsid w:val="00A75F49"/>
    <w:rsid w:val="00A75F5C"/>
    <w:rsid w:val="00A75FAA"/>
    <w:rsid w:val="00A76002"/>
    <w:rsid w:val="00A76044"/>
    <w:rsid w:val="00A760E0"/>
    <w:rsid w:val="00A76117"/>
    <w:rsid w:val="00A761CD"/>
    <w:rsid w:val="00A7621E"/>
    <w:rsid w:val="00A76227"/>
    <w:rsid w:val="00A762AE"/>
    <w:rsid w:val="00A762BC"/>
    <w:rsid w:val="00A762C5"/>
    <w:rsid w:val="00A762D6"/>
    <w:rsid w:val="00A7630D"/>
    <w:rsid w:val="00A76337"/>
    <w:rsid w:val="00A76347"/>
    <w:rsid w:val="00A76365"/>
    <w:rsid w:val="00A7638E"/>
    <w:rsid w:val="00A763D6"/>
    <w:rsid w:val="00A763F7"/>
    <w:rsid w:val="00A76427"/>
    <w:rsid w:val="00A7642A"/>
    <w:rsid w:val="00A7646F"/>
    <w:rsid w:val="00A7649A"/>
    <w:rsid w:val="00A764DE"/>
    <w:rsid w:val="00A76503"/>
    <w:rsid w:val="00A7656A"/>
    <w:rsid w:val="00A765D2"/>
    <w:rsid w:val="00A765F9"/>
    <w:rsid w:val="00A76780"/>
    <w:rsid w:val="00A7678E"/>
    <w:rsid w:val="00A767BC"/>
    <w:rsid w:val="00A767C3"/>
    <w:rsid w:val="00A767FB"/>
    <w:rsid w:val="00A76839"/>
    <w:rsid w:val="00A768AC"/>
    <w:rsid w:val="00A7695A"/>
    <w:rsid w:val="00A769F8"/>
    <w:rsid w:val="00A76AA3"/>
    <w:rsid w:val="00A76ACE"/>
    <w:rsid w:val="00A76AE8"/>
    <w:rsid w:val="00A76B7E"/>
    <w:rsid w:val="00A76DA3"/>
    <w:rsid w:val="00A76DF4"/>
    <w:rsid w:val="00A76E1F"/>
    <w:rsid w:val="00A76E64"/>
    <w:rsid w:val="00A76E6B"/>
    <w:rsid w:val="00A76EF1"/>
    <w:rsid w:val="00A76F5B"/>
    <w:rsid w:val="00A76FE5"/>
    <w:rsid w:val="00A76FF8"/>
    <w:rsid w:val="00A7700D"/>
    <w:rsid w:val="00A7701A"/>
    <w:rsid w:val="00A77187"/>
    <w:rsid w:val="00A77192"/>
    <w:rsid w:val="00A771C4"/>
    <w:rsid w:val="00A771E4"/>
    <w:rsid w:val="00A77219"/>
    <w:rsid w:val="00A772BF"/>
    <w:rsid w:val="00A772E4"/>
    <w:rsid w:val="00A77377"/>
    <w:rsid w:val="00A7737D"/>
    <w:rsid w:val="00A773B0"/>
    <w:rsid w:val="00A773F2"/>
    <w:rsid w:val="00A773FF"/>
    <w:rsid w:val="00A7741B"/>
    <w:rsid w:val="00A77436"/>
    <w:rsid w:val="00A77456"/>
    <w:rsid w:val="00A775D0"/>
    <w:rsid w:val="00A77629"/>
    <w:rsid w:val="00A776B1"/>
    <w:rsid w:val="00A776EF"/>
    <w:rsid w:val="00A776F8"/>
    <w:rsid w:val="00A77778"/>
    <w:rsid w:val="00A777A4"/>
    <w:rsid w:val="00A77899"/>
    <w:rsid w:val="00A778DE"/>
    <w:rsid w:val="00A77991"/>
    <w:rsid w:val="00A779B9"/>
    <w:rsid w:val="00A77A29"/>
    <w:rsid w:val="00A77A63"/>
    <w:rsid w:val="00A77B09"/>
    <w:rsid w:val="00A77B30"/>
    <w:rsid w:val="00A77CA0"/>
    <w:rsid w:val="00A77CB8"/>
    <w:rsid w:val="00A77CDA"/>
    <w:rsid w:val="00A77D0D"/>
    <w:rsid w:val="00A77D1D"/>
    <w:rsid w:val="00A77DE0"/>
    <w:rsid w:val="00A77E12"/>
    <w:rsid w:val="00A77E53"/>
    <w:rsid w:val="00A77F56"/>
    <w:rsid w:val="00A77FBC"/>
    <w:rsid w:val="00A80010"/>
    <w:rsid w:val="00A80031"/>
    <w:rsid w:val="00A8008D"/>
    <w:rsid w:val="00A800E0"/>
    <w:rsid w:val="00A801DF"/>
    <w:rsid w:val="00A80245"/>
    <w:rsid w:val="00A80267"/>
    <w:rsid w:val="00A802B2"/>
    <w:rsid w:val="00A802D0"/>
    <w:rsid w:val="00A802ED"/>
    <w:rsid w:val="00A80380"/>
    <w:rsid w:val="00A80384"/>
    <w:rsid w:val="00A80468"/>
    <w:rsid w:val="00A804C0"/>
    <w:rsid w:val="00A804F8"/>
    <w:rsid w:val="00A80529"/>
    <w:rsid w:val="00A805B2"/>
    <w:rsid w:val="00A80667"/>
    <w:rsid w:val="00A80692"/>
    <w:rsid w:val="00A80705"/>
    <w:rsid w:val="00A80715"/>
    <w:rsid w:val="00A8077E"/>
    <w:rsid w:val="00A807AF"/>
    <w:rsid w:val="00A807CB"/>
    <w:rsid w:val="00A80811"/>
    <w:rsid w:val="00A8083F"/>
    <w:rsid w:val="00A80862"/>
    <w:rsid w:val="00A8087E"/>
    <w:rsid w:val="00A80889"/>
    <w:rsid w:val="00A80979"/>
    <w:rsid w:val="00A80989"/>
    <w:rsid w:val="00A80A4B"/>
    <w:rsid w:val="00A80ACA"/>
    <w:rsid w:val="00A80AD2"/>
    <w:rsid w:val="00A80B91"/>
    <w:rsid w:val="00A80BA8"/>
    <w:rsid w:val="00A80BE2"/>
    <w:rsid w:val="00A80C07"/>
    <w:rsid w:val="00A80C66"/>
    <w:rsid w:val="00A80DFA"/>
    <w:rsid w:val="00A80E7C"/>
    <w:rsid w:val="00A80F0F"/>
    <w:rsid w:val="00A80F58"/>
    <w:rsid w:val="00A80F6D"/>
    <w:rsid w:val="00A80FFE"/>
    <w:rsid w:val="00A810B3"/>
    <w:rsid w:val="00A81104"/>
    <w:rsid w:val="00A811AE"/>
    <w:rsid w:val="00A811ED"/>
    <w:rsid w:val="00A812E9"/>
    <w:rsid w:val="00A81300"/>
    <w:rsid w:val="00A81349"/>
    <w:rsid w:val="00A81408"/>
    <w:rsid w:val="00A814B0"/>
    <w:rsid w:val="00A814FE"/>
    <w:rsid w:val="00A815BD"/>
    <w:rsid w:val="00A815EF"/>
    <w:rsid w:val="00A8186D"/>
    <w:rsid w:val="00A818EC"/>
    <w:rsid w:val="00A81928"/>
    <w:rsid w:val="00A81969"/>
    <w:rsid w:val="00A81A40"/>
    <w:rsid w:val="00A81A54"/>
    <w:rsid w:val="00A81A75"/>
    <w:rsid w:val="00A81AC5"/>
    <w:rsid w:val="00A81ACE"/>
    <w:rsid w:val="00A81BE2"/>
    <w:rsid w:val="00A81BE4"/>
    <w:rsid w:val="00A81C2D"/>
    <w:rsid w:val="00A81DC9"/>
    <w:rsid w:val="00A81E2D"/>
    <w:rsid w:val="00A81F0D"/>
    <w:rsid w:val="00A81F1A"/>
    <w:rsid w:val="00A81F92"/>
    <w:rsid w:val="00A81FAB"/>
    <w:rsid w:val="00A82009"/>
    <w:rsid w:val="00A8201F"/>
    <w:rsid w:val="00A82126"/>
    <w:rsid w:val="00A82188"/>
    <w:rsid w:val="00A8223B"/>
    <w:rsid w:val="00A822B4"/>
    <w:rsid w:val="00A822D8"/>
    <w:rsid w:val="00A8234B"/>
    <w:rsid w:val="00A8240C"/>
    <w:rsid w:val="00A82453"/>
    <w:rsid w:val="00A824FB"/>
    <w:rsid w:val="00A8251E"/>
    <w:rsid w:val="00A82533"/>
    <w:rsid w:val="00A82568"/>
    <w:rsid w:val="00A82606"/>
    <w:rsid w:val="00A82641"/>
    <w:rsid w:val="00A8264C"/>
    <w:rsid w:val="00A8266E"/>
    <w:rsid w:val="00A8267E"/>
    <w:rsid w:val="00A826E8"/>
    <w:rsid w:val="00A82749"/>
    <w:rsid w:val="00A8288E"/>
    <w:rsid w:val="00A828C5"/>
    <w:rsid w:val="00A82912"/>
    <w:rsid w:val="00A82926"/>
    <w:rsid w:val="00A829E0"/>
    <w:rsid w:val="00A82A50"/>
    <w:rsid w:val="00A82A87"/>
    <w:rsid w:val="00A82A98"/>
    <w:rsid w:val="00A82B42"/>
    <w:rsid w:val="00A82BEB"/>
    <w:rsid w:val="00A82BFC"/>
    <w:rsid w:val="00A82C07"/>
    <w:rsid w:val="00A82CA6"/>
    <w:rsid w:val="00A82CCE"/>
    <w:rsid w:val="00A82CE0"/>
    <w:rsid w:val="00A82D28"/>
    <w:rsid w:val="00A82E06"/>
    <w:rsid w:val="00A82E18"/>
    <w:rsid w:val="00A82EA1"/>
    <w:rsid w:val="00A82F63"/>
    <w:rsid w:val="00A82F99"/>
    <w:rsid w:val="00A82FD5"/>
    <w:rsid w:val="00A830AE"/>
    <w:rsid w:val="00A83106"/>
    <w:rsid w:val="00A83122"/>
    <w:rsid w:val="00A83136"/>
    <w:rsid w:val="00A83140"/>
    <w:rsid w:val="00A831C0"/>
    <w:rsid w:val="00A831E0"/>
    <w:rsid w:val="00A831E2"/>
    <w:rsid w:val="00A8322E"/>
    <w:rsid w:val="00A83237"/>
    <w:rsid w:val="00A832DF"/>
    <w:rsid w:val="00A83303"/>
    <w:rsid w:val="00A83448"/>
    <w:rsid w:val="00A834E5"/>
    <w:rsid w:val="00A83543"/>
    <w:rsid w:val="00A835BB"/>
    <w:rsid w:val="00A8371B"/>
    <w:rsid w:val="00A83722"/>
    <w:rsid w:val="00A83750"/>
    <w:rsid w:val="00A837FB"/>
    <w:rsid w:val="00A8387A"/>
    <w:rsid w:val="00A839C1"/>
    <w:rsid w:val="00A839EF"/>
    <w:rsid w:val="00A83AC3"/>
    <w:rsid w:val="00A83AE0"/>
    <w:rsid w:val="00A83AFD"/>
    <w:rsid w:val="00A83B1E"/>
    <w:rsid w:val="00A83C80"/>
    <w:rsid w:val="00A83CFD"/>
    <w:rsid w:val="00A83D87"/>
    <w:rsid w:val="00A83DBB"/>
    <w:rsid w:val="00A83F47"/>
    <w:rsid w:val="00A83F89"/>
    <w:rsid w:val="00A84128"/>
    <w:rsid w:val="00A841E8"/>
    <w:rsid w:val="00A8422B"/>
    <w:rsid w:val="00A842C4"/>
    <w:rsid w:val="00A842CD"/>
    <w:rsid w:val="00A842D7"/>
    <w:rsid w:val="00A842E6"/>
    <w:rsid w:val="00A843E3"/>
    <w:rsid w:val="00A843E4"/>
    <w:rsid w:val="00A84417"/>
    <w:rsid w:val="00A8443D"/>
    <w:rsid w:val="00A844A1"/>
    <w:rsid w:val="00A84552"/>
    <w:rsid w:val="00A84594"/>
    <w:rsid w:val="00A8463C"/>
    <w:rsid w:val="00A84691"/>
    <w:rsid w:val="00A8469A"/>
    <w:rsid w:val="00A8469D"/>
    <w:rsid w:val="00A846B8"/>
    <w:rsid w:val="00A8476A"/>
    <w:rsid w:val="00A84830"/>
    <w:rsid w:val="00A84869"/>
    <w:rsid w:val="00A848B1"/>
    <w:rsid w:val="00A848DE"/>
    <w:rsid w:val="00A84906"/>
    <w:rsid w:val="00A849F5"/>
    <w:rsid w:val="00A84B21"/>
    <w:rsid w:val="00A84BD6"/>
    <w:rsid w:val="00A84C62"/>
    <w:rsid w:val="00A84C6A"/>
    <w:rsid w:val="00A84CFE"/>
    <w:rsid w:val="00A84D0E"/>
    <w:rsid w:val="00A84D2E"/>
    <w:rsid w:val="00A84D3D"/>
    <w:rsid w:val="00A84D64"/>
    <w:rsid w:val="00A84D83"/>
    <w:rsid w:val="00A84DF2"/>
    <w:rsid w:val="00A84E0C"/>
    <w:rsid w:val="00A84EA4"/>
    <w:rsid w:val="00A84ED8"/>
    <w:rsid w:val="00A84F26"/>
    <w:rsid w:val="00A84F7D"/>
    <w:rsid w:val="00A84FD7"/>
    <w:rsid w:val="00A85080"/>
    <w:rsid w:val="00A85163"/>
    <w:rsid w:val="00A8518D"/>
    <w:rsid w:val="00A85204"/>
    <w:rsid w:val="00A8530C"/>
    <w:rsid w:val="00A85365"/>
    <w:rsid w:val="00A85367"/>
    <w:rsid w:val="00A8537D"/>
    <w:rsid w:val="00A853DA"/>
    <w:rsid w:val="00A8542B"/>
    <w:rsid w:val="00A854B7"/>
    <w:rsid w:val="00A854BE"/>
    <w:rsid w:val="00A85514"/>
    <w:rsid w:val="00A85543"/>
    <w:rsid w:val="00A855C1"/>
    <w:rsid w:val="00A855E2"/>
    <w:rsid w:val="00A855F2"/>
    <w:rsid w:val="00A85683"/>
    <w:rsid w:val="00A856C6"/>
    <w:rsid w:val="00A85764"/>
    <w:rsid w:val="00A85882"/>
    <w:rsid w:val="00A85891"/>
    <w:rsid w:val="00A858D1"/>
    <w:rsid w:val="00A859FD"/>
    <w:rsid w:val="00A85A06"/>
    <w:rsid w:val="00A85ABB"/>
    <w:rsid w:val="00A85B0D"/>
    <w:rsid w:val="00A85B13"/>
    <w:rsid w:val="00A85BE0"/>
    <w:rsid w:val="00A85CAF"/>
    <w:rsid w:val="00A85CD3"/>
    <w:rsid w:val="00A85CF4"/>
    <w:rsid w:val="00A85D09"/>
    <w:rsid w:val="00A85D17"/>
    <w:rsid w:val="00A85D2E"/>
    <w:rsid w:val="00A85D3E"/>
    <w:rsid w:val="00A85E52"/>
    <w:rsid w:val="00A85EDB"/>
    <w:rsid w:val="00A85EFC"/>
    <w:rsid w:val="00A85F15"/>
    <w:rsid w:val="00A85F64"/>
    <w:rsid w:val="00A85F79"/>
    <w:rsid w:val="00A85FC7"/>
    <w:rsid w:val="00A85FCC"/>
    <w:rsid w:val="00A86090"/>
    <w:rsid w:val="00A860C6"/>
    <w:rsid w:val="00A860DC"/>
    <w:rsid w:val="00A860E6"/>
    <w:rsid w:val="00A8616D"/>
    <w:rsid w:val="00A86176"/>
    <w:rsid w:val="00A86185"/>
    <w:rsid w:val="00A861A2"/>
    <w:rsid w:val="00A8625C"/>
    <w:rsid w:val="00A8626E"/>
    <w:rsid w:val="00A8632A"/>
    <w:rsid w:val="00A86387"/>
    <w:rsid w:val="00A8640F"/>
    <w:rsid w:val="00A86427"/>
    <w:rsid w:val="00A86472"/>
    <w:rsid w:val="00A864EE"/>
    <w:rsid w:val="00A86512"/>
    <w:rsid w:val="00A86527"/>
    <w:rsid w:val="00A865B3"/>
    <w:rsid w:val="00A8666E"/>
    <w:rsid w:val="00A8668A"/>
    <w:rsid w:val="00A866AC"/>
    <w:rsid w:val="00A866C2"/>
    <w:rsid w:val="00A8671A"/>
    <w:rsid w:val="00A8675F"/>
    <w:rsid w:val="00A8688A"/>
    <w:rsid w:val="00A868A3"/>
    <w:rsid w:val="00A86900"/>
    <w:rsid w:val="00A8699E"/>
    <w:rsid w:val="00A86A28"/>
    <w:rsid w:val="00A86A4E"/>
    <w:rsid w:val="00A86B35"/>
    <w:rsid w:val="00A86B6D"/>
    <w:rsid w:val="00A86B9C"/>
    <w:rsid w:val="00A86BB4"/>
    <w:rsid w:val="00A86BEA"/>
    <w:rsid w:val="00A86C12"/>
    <w:rsid w:val="00A86C2D"/>
    <w:rsid w:val="00A86D39"/>
    <w:rsid w:val="00A86D8A"/>
    <w:rsid w:val="00A86DC2"/>
    <w:rsid w:val="00A86E66"/>
    <w:rsid w:val="00A86E8C"/>
    <w:rsid w:val="00A86ED0"/>
    <w:rsid w:val="00A86F6E"/>
    <w:rsid w:val="00A87006"/>
    <w:rsid w:val="00A8700D"/>
    <w:rsid w:val="00A87055"/>
    <w:rsid w:val="00A8711D"/>
    <w:rsid w:val="00A8712A"/>
    <w:rsid w:val="00A87177"/>
    <w:rsid w:val="00A8727B"/>
    <w:rsid w:val="00A872E2"/>
    <w:rsid w:val="00A87318"/>
    <w:rsid w:val="00A87329"/>
    <w:rsid w:val="00A873E9"/>
    <w:rsid w:val="00A87400"/>
    <w:rsid w:val="00A8743C"/>
    <w:rsid w:val="00A87499"/>
    <w:rsid w:val="00A874EE"/>
    <w:rsid w:val="00A87553"/>
    <w:rsid w:val="00A875AB"/>
    <w:rsid w:val="00A875E1"/>
    <w:rsid w:val="00A87608"/>
    <w:rsid w:val="00A8763A"/>
    <w:rsid w:val="00A876CD"/>
    <w:rsid w:val="00A876DF"/>
    <w:rsid w:val="00A877C3"/>
    <w:rsid w:val="00A877D6"/>
    <w:rsid w:val="00A8781D"/>
    <w:rsid w:val="00A8788A"/>
    <w:rsid w:val="00A878C9"/>
    <w:rsid w:val="00A8790F"/>
    <w:rsid w:val="00A8797D"/>
    <w:rsid w:val="00A879A7"/>
    <w:rsid w:val="00A87A32"/>
    <w:rsid w:val="00A87A55"/>
    <w:rsid w:val="00A87AE1"/>
    <w:rsid w:val="00A87B10"/>
    <w:rsid w:val="00A87BE7"/>
    <w:rsid w:val="00A87C77"/>
    <w:rsid w:val="00A87C8F"/>
    <w:rsid w:val="00A87D9F"/>
    <w:rsid w:val="00A87DD7"/>
    <w:rsid w:val="00A87E01"/>
    <w:rsid w:val="00A87E82"/>
    <w:rsid w:val="00A87ECB"/>
    <w:rsid w:val="00A87F8C"/>
    <w:rsid w:val="00A90037"/>
    <w:rsid w:val="00A90051"/>
    <w:rsid w:val="00A90069"/>
    <w:rsid w:val="00A9009E"/>
    <w:rsid w:val="00A901DB"/>
    <w:rsid w:val="00A90252"/>
    <w:rsid w:val="00A90297"/>
    <w:rsid w:val="00A902CB"/>
    <w:rsid w:val="00A902D5"/>
    <w:rsid w:val="00A902F2"/>
    <w:rsid w:val="00A9035D"/>
    <w:rsid w:val="00A9039E"/>
    <w:rsid w:val="00A903DA"/>
    <w:rsid w:val="00A90405"/>
    <w:rsid w:val="00A90454"/>
    <w:rsid w:val="00A90486"/>
    <w:rsid w:val="00A904CB"/>
    <w:rsid w:val="00A905A7"/>
    <w:rsid w:val="00A905D2"/>
    <w:rsid w:val="00A905E0"/>
    <w:rsid w:val="00A90648"/>
    <w:rsid w:val="00A9068E"/>
    <w:rsid w:val="00A9078C"/>
    <w:rsid w:val="00A9079C"/>
    <w:rsid w:val="00A907A2"/>
    <w:rsid w:val="00A907FA"/>
    <w:rsid w:val="00A90836"/>
    <w:rsid w:val="00A9083D"/>
    <w:rsid w:val="00A90852"/>
    <w:rsid w:val="00A90855"/>
    <w:rsid w:val="00A908A9"/>
    <w:rsid w:val="00A90972"/>
    <w:rsid w:val="00A90A7D"/>
    <w:rsid w:val="00A90ACD"/>
    <w:rsid w:val="00A90B07"/>
    <w:rsid w:val="00A90B28"/>
    <w:rsid w:val="00A90B8C"/>
    <w:rsid w:val="00A90B96"/>
    <w:rsid w:val="00A90C1E"/>
    <w:rsid w:val="00A90C84"/>
    <w:rsid w:val="00A90D19"/>
    <w:rsid w:val="00A90D42"/>
    <w:rsid w:val="00A90D49"/>
    <w:rsid w:val="00A90D56"/>
    <w:rsid w:val="00A90F22"/>
    <w:rsid w:val="00A90FC0"/>
    <w:rsid w:val="00A91042"/>
    <w:rsid w:val="00A910DA"/>
    <w:rsid w:val="00A910EE"/>
    <w:rsid w:val="00A9111F"/>
    <w:rsid w:val="00A91178"/>
    <w:rsid w:val="00A911C9"/>
    <w:rsid w:val="00A911D4"/>
    <w:rsid w:val="00A911D6"/>
    <w:rsid w:val="00A91290"/>
    <w:rsid w:val="00A912E1"/>
    <w:rsid w:val="00A912F0"/>
    <w:rsid w:val="00A912FA"/>
    <w:rsid w:val="00A9134B"/>
    <w:rsid w:val="00A91352"/>
    <w:rsid w:val="00A91382"/>
    <w:rsid w:val="00A91433"/>
    <w:rsid w:val="00A91446"/>
    <w:rsid w:val="00A9145D"/>
    <w:rsid w:val="00A9165A"/>
    <w:rsid w:val="00A916DF"/>
    <w:rsid w:val="00A91789"/>
    <w:rsid w:val="00A91814"/>
    <w:rsid w:val="00A918FB"/>
    <w:rsid w:val="00A91907"/>
    <w:rsid w:val="00A919DE"/>
    <w:rsid w:val="00A919FC"/>
    <w:rsid w:val="00A91A3E"/>
    <w:rsid w:val="00A91AC1"/>
    <w:rsid w:val="00A91AC9"/>
    <w:rsid w:val="00A91B59"/>
    <w:rsid w:val="00A91B79"/>
    <w:rsid w:val="00A91B9C"/>
    <w:rsid w:val="00A91BA5"/>
    <w:rsid w:val="00A91C31"/>
    <w:rsid w:val="00A91C56"/>
    <w:rsid w:val="00A91C90"/>
    <w:rsid w:val="00A91CD2"/>
    <w:rsid w:val="00A91D4C"/>
    <w:rsid w:val="00A91DCF"/>
    <w:rsid w:val="00A91E89"/>
    <w:rsid w:val="00A91EC6"/>
    <w:rsid w:val="00A91EF9"/>
    <w:rsid w:val="00A91F27"/>
    <w:rsid w:val="00A91F9E"/>
    <w:rsid w:val="00A92070"/>
    <w:rsid w:val="00A9212E"/>
    <w:rsid w:val="00A92133"/>
    <w:rsid w:val="00A9214E"/>
    <w:rsid w:val="00A9215B"/>
    <w:rsid w:val="00A921F5"/>
    <w:rsid w:val="00A92231"/>
    <w:rsid w:val="00A922BB"/>
    <w:rsid w:val="00A922DA"/>
    <w:rsid w:val="00A922DF"/>
    <w:rsid w:val="00A922EF"/>
    <w:rsid w:val="00A9238A"/>
    <w:rsid w:val="00A92439"/>
    <w:rsid w:val="00A92482"/>
    <w:rsid w:val="00A9250E"/>
    <w:rsid w:val="00A92525"/>
    <w:rsid w:val="00A92593"/>
    <w:rsid w:val="00A92602"/>
    <w:rsid w:val="00A926BE"/>
    <w:rsid w:val="00A926CC"/>
    <w:rsid w:val="00A92763"/>
    <w:rsid w:val="00A92789"/>
    <w:rsid w:val="00A92981"/>
    <w:rsid w:val="00A9298F"/>
    <w:rsid w:val="00A92AD6"/>
    <w:rsid w:val="00A92C42"/>
    <w:rsid w:val="00A92C88"/>
    <w:rsid w:val="00A92CA5"/>
    <w:rsid w:val="00A92CC3"/>
    <w:rsid w:val="00A92D4B"/>
    <w:rsid w:val="00A92D62"/>
    <w:rsid w:val="00A92D71"/>
    <w:rsid w:val="00A92D92"/>
    <w:rsid w:val="00A92D96"/>
    <w:rsid w:val="00A92DC4"/>
    <w:rsid w:val="00A92DDC"/>
    <w:rsid w:val="00A92E48"/>
    <w:rsid w:val="00A92E83"/>
    <w:rsid w:val="00A92E88"/>
    <w:rsid w:val="00A92E99"/>
    <w:rsid w:val="00A92EE8"/>
    <w:rsid w:val="00A92FC3"/>
    <w:rsid w:val="00A93060"/>
    <w:rsid w:val="00A9307F"/>
    <w:rsid w:val="00A930AF"/>
    <w:rsid w:val="00A930B2"/>
    <w:rsid w:val="00A930DA"/>
    <w:rsid w:val="00A93114"/>
    <w:rsid w:val="00A9334C"/>
    <w:rsid w:val="00A93377"/>
    <w:rsid w:val="00A9348E"/>
    <w:rsid w:val="00A9357D"/>
    <w:rsid w:val="00A9365F"/>
    <w:rsid w:val="00A93674"/>
    <w:rsid w:val="00A9367E"/>
    <w:rsid w:val="00A936CA"/>
    <w:rsid w:val="00A93704"/>
    <w:rsid w:val="00A9376E"/>
    <w:rsid w:val="00A93779"/>
    <w:rsid w:val="00A93786"/>
    <w:rsid w:val="00A9380E"/>
    <w:rsid w:val="00A938E9"/>
    <w:rsid w:val="00A938EB"/>
    <w:rsid w:val="00A939C2"/>
    <w:rsid w:val="00A939EB"/>
    <w:rsid w:val="00A939EF"/>
    <w:rsid w:val="00A93A38"/>
    <w:rsid w:val="00A93A43"/>
    <w:rsid w:val="00A93A81"/>
    <w:rsid w:val="00A93A8E"/>
    <w:rsid w:val="00A93B14"/>
    <w:rsid w:val="00A93BC1"/>
    <w:rsid w:val="00A93EE0"/>
    <w:rsid w:val="00A93F73"/>
    <w:rsid w:val="00A93F83"/>
    <w:rsid w:val="00A94038"/>
    <w:rsid w:val="00A9403F"/>
    <w:rsid w:val="00A9404F"/>
    <w:rsid w:val="00A9409D"/>
    <w:rsid w:val="00A941A2"/>
    <w:rsid w:val="00A94204"/>
    <w:rsid w:val="00A942C6"/>
    <w:rsid w:val="00A942E6"/>
    <w:rsid w:val="00A94306"/>
    <w:rsid w:val="00A94356"/>
    <w:rsid w:val="00A9436B"/>
    <w:rsid w:val="00A94381"/>
    <w:rsid w:val="00A943B7"/>
    <w:rsid w:val="00A94429"/>
    <w:rsid w:val="00A94517"/>
    <w:rsid w:val="00A9456F"/>
    <w:rsid w:val="00A94590"/>
    <w:rsid w:val="00A94608"/>
    <w:rsid w:val="00A9461F"/>
    <w:rsid w:val="00A94789"/>
    <w:rsid w:val="00A947F7"/>
    <w:rsid w:val="00A9482A"/>
    <w:rsid w:val="00A94869"/>
    <w:rsid w:val="00A9492E"/>
    <w:rsid w:val="00A9497E"/>
    <w:rsid w:val="00A94A2A"/>
    <w:rsid w:val="00A94A5F"/>
    <w:rsid w:val="00A94A94"/>
    <w:rsid w:val="00A94AF1"/>
    <w:rsid w:val="00A94BCF"/>
    <w:rsid w:val="00A94BD5"/>
    <w:rsid w:val="00A94C25"/>
    <w:rsid w:val="00A94D13"/>
    <w:rsid w:val="00A94D2D"/>
    <w:rsid w:val="00A94D55"/>
    <w:rsid w:val="00A94DEF"/>
    <w:rsid w:val="00A94E7F"/>
    <w:rsid w:val="00A94EB9"/>
    <w:rsid w:val="00A94EE2"/>
    <w:rsid w:val="00A94EFD"/>
    <w:rsid w:val="00A94F12"/>
    <w:rsid w:val="00A94F26"/>
    <w:rsid w:val="00A94F61"/>
    <w:rsid w:val="00A94F9D"/>
    <w:rsid w:val="00A950E2"/>
    <w:rsid w:val="00A95186"/>
    <w:rsid w:val="00A951D3"/>
    <w:rsid w:val="00A9527D"/>
    <w:rsid w:val="00A952B4"/>
    <w:rsid w:val="00A952E8"/>
    <w:rsid w:val="00A952EA"/>
    <w:rsid w:val="00A9535C"/>
    <w:rsid w:val="00A95380"/>
    <w:rsid w:val="00A953E7"/>
    <w:rsid w:val="00A95578"/>
    <w:rsid w:val="00A955BA"/>
    <w:rsid w:val="00A9560D"/>
    <w:rsid w:val="00A9562C"/>
    <w:rsid w:val="00A957B8"/>
    <w:rsid w:val="00A95809"/>
    <w:rsid w:val="00A95859"/>
    <w:rsid w:val="00A95863"/>
    <w:rsid w:val="00A95871"/>
    <w:rsid w:val="00A9587C"/>
    <w:rsid w:val="00A958A1"/>
    <w:rsid w:val="00A95923"/>
    <w:rsid w:val="00A9592A"/>
    <w:rsid w:val="00A95952"/>
    <w:rsid w:val="00A95988"/>
    <w:rsid w:val="00A959DF"/>
    <w:rsid w:val="00A959E4"/>
    <w:rsid w:val="00A95B2F"/>
    <w:rsid w:val="00A95B77"/>
    <w:rsid w:val="00A95B78"/>
    <w:rsid w:val="00A95B90"/>
    <w:rsid w:val="00A95C0D"/>
    <w:rsid w:val="00A95C42"/>
    <w:rsid w:val="00A95C97"/>
    <w:rsid w:val="00A95CC8"/>
    <w:rsid w:val="00A95CD1"/>
    <w:rsid w:val="00A95D5D"/>
    <w:rsid w:val="00A95D96"/>
    <w:rsid w:val="00A95DEE"/>
    <w:rsid w:val="00A95E69"/>
    <w:rsid w:val="00A95ED6"/>
    <w:rsid w:val="00A95F1E"/>
    <w:rsid w:val="00A95F22"/>
    <w:rsid w:val="00A95F41"/>
    <w:rsid w:val="00A9602A"/>
    <w:rsid w:val="00A96103"/>
    <w:rsid w:val="00A96111"/>
    <w:rsid w:val="00A96121"/>
    <w:rsid w:val="00A96164"/>
    <w:rsid w:val="00A96179"/>
    <w:rsid w:val="00A96221"/>
    <w:rsid w:val="00A96293"/>
    <w:rsid w:val="00A96353"/>
    <w:rsid w:val="00A96364"/>
    <w:rsid w:val="00A96396"/>
    <w:rsid w:val="00A963AD"/>
    <w:rsid w:val="00A963DA"/>
    <w:rsid w:val="00A96472"/>
    <w:rsid w:val="00A96525"/>
    <w:rsid w:val="00A965A6"/>
    <w:rsid w:val="00A96639"/>
    <w:rsid w:val="00A96682"/>
    <w:rsid w:val="00A966A2"/>
    <w:rsid w:val="00A9674C"/>
    <w:rsid w:val="00A96785"/>
    <w:rsid w:val="00A967D8"/>
    <w:rsid w:val="00A96820"/>
    <w:rsid w:val="00A96827"/>
    <w:rsid w:val="00A96845"/>
    <w:rsid w:val="00A96869"/>
    <w:rsid w:val="00A9694D"/>
    <w:rsid w:val="00A96987"/>
    <w:rsid w:val="00A969A8"/>
    <w:rsid w:val="00A969F9"/>
    <w:rsid w:val="00A96A5A"/>
    <w:rsid w:val="00A96AAA"/>
    <w:rsid w:val="00A96C43"/>
    <w:rsid w:val="00A96C64"/>
    <w:rsid w:val="00A96CB6"/>
    <w:rsid w:val="00A96D56"/>
    <w:rsid w:val="00A96D6D"/>
    <w:rsid w:val="00A96DA6"/>
    <w:rsid w:val="00A96E3B"/>
    <w:rsid w:val="00A96EA9"/>
    <w:rsid w:val="00A96F95"/>
    <w:rsid w:val="00A96F98"/>
    <w:rsid w:val="00A96F99"/>
    <w:rsid w:val="00A96FE5"/>
    <w:rsid w:val="00A96FF9"/>
    <w:rsid w:val="00A97011"/>
    <w:rsid w:val="00A9702D"/>
    <w:rsid w:val="00A9706B"/>
    <w:rsid w:val="00A970A2"/>
    <w:rsid w:val="00A97166"/>
    <w:rsid w:val="00A971D7"/>
    <w:rsid w:val="00A971E3"/>
    <w:rsid w:val="00A97265"/>
    <w:rsid w:val="00A972EC"/>
    <w:rsid w:val="00A9731F"/>
    <w:rsid w:val="00A97329"/>
    <w:rsid w:val="00A97357"/>
    <w:rsid w:val="00A97373"/>
    <w:rsid w:val="00A973D8"/>
    <w:rsid w:val="00A973EA"/>
    <w:rsid w:val="00A97492"/>
    <w:rsid w:val="00A974B9"/>
    <w:rsid w:val="00A97516"/>
    <w:rsid w:val="00A9757A"/>
    <w:rsid w:val="00A9766E"/>
    <w:rsid w:val="00A97799"/>
    <w:rsid w:val="00A9782B"/>
    <w:rsid w:val="00A9785F"/>
    <w:rsid w:val="00A9788B"/>
    <w:rsid w:val="00A9789E"/>
    <w:rsid w:val="00A978F6"/>
    <w:rsid w:val="00A97902"/>
    <w:rsid w:val="00A9794B"/>
    <w:rsid w:val="00A97963"/>
    <w:rsid w:val="00A979E6"/>
    <w:rsid w:val="00A979ED"/>
    <w:rsid w:val="00A979F6"/>
    <w:rsid w:val="00A979FC"/>
    <w:rsid w:val="00A97A11"/>
    <w:rsid w:val="00A97B1D"/>
    <w:rsid w:val="00A97BD7"/>
    <w:rsid w:val="00A97CFF"/>
    <w:rsid w:val="00A97D92"/>
    <w:rsid w:val="00A97E26"/>
    <w:rsid w:val="00A97ECB"/>
    <w:rsid w:val="00A97EF9"/>
    <w:rsid w:val="00A97F8B"/>
    <w:rsid w:val="00A97FFA"/>
    <w:rsid w:val="00AA0029"/>
    <w:rsid w:val="00AA00B5"/>
    <w:rsid w:val="00AA00DB"/>
    <w:rsid w:val="00AA01B3"/>
    <w:rsid w:val="00AA01D6"/>
    <w:rsid w:val="00AA01DB"/>
    <w:rsid w:val="00AA0210"/>
    <w:rsid w:val="00AA0392"/>
    <w:rsid w:val="00AA044A"/>
    <w:rsid w:val="00AA049B"/>
    <w:rsid w:val="00AA04DB"/>
    <w:rsid w:val="00AA04FC"/>
    <w:rsid w:val="00AA0510"/>
    <w:rsid w:val="00AA0513"/>
    <w:rsid w:val="00AA0570"/>
    <w:rsid w:val="00AA05A1"/>
    <w:rsid w:val="00AA05F9"/>
    <w:rsid w:val="00AA0751"/>
    <w:rsid w:val="00AA07BE"/>
    <w:rsid w:val="00AA09B0"/>
    <w:rsid w:val="00AA09DA"/>
    <w:rsid w:val="00AA09F6"/>
    <w:rsid w:val="00AA0AAB"/>
    <w:rsid w:val="00AA0B9B"/>
    <w:rsid w:val="00AA0BF6"/>
    <w:rsid w:val="00AA0C23"/>
    <w:rsid w:val="00AA0CED"/>
    <w:rsid w:val="00AA0D65"/>
    <w:rsid w:val="00AA0DDA"/>
    <w:rsid w:val="00AA0E08"/>
    <w:rsid w:val="00AA0E24"/>
    <w:rsid w:val="00AA0E42"/>
    <w:rsid w:val="00AA0E9B"/>
    <w:rsid w:val="00AA0EA2"/>
    <w:rsid w:val="00AA0EC9"/>
    <w:rsid w:val="00AA0F46"/>
    <w:rsid w:val="00AA0FCA"/>
    <w:rsid w:val="00AA0FE3"/>
    <w:rsid w:val="00AA1083"/>
    <w:rsid w:val="00AA1169"/>
    <w:rsid w:val="00AA1203"/>
    <w:rsid w:val="00AA1222"/>
    <w:rsid w:val="00AA124D"/>
    <w:rsid w:val="00AA1274"/>
    <w:rsid w:val="00AA1297"/>
    <w:rsid w:val="00AA12D2"/>
    <w:rsid w:val="00AA1305"/>
    <w:rsid w:val="00AA1336"/>
    <w:rsid w:val="00AA1448"/>
    <w:rsid w:val="00AA14B7"/>
    <w:rsid w:val="00AA14C3"/>
    <w:rsid w:val="00AA156F"/>
    <w:rsid w:val="00AA16BB"/>
    <w:rsid w:val="00AA16D0"/>
    <w:rsid w:val="00AA171F"/>
    <w:rsid w:val="00AA1738"/>
    <w:rsid w:val="00AA1794"/>
    <w:rsid w:val="00AA17F0"/>
    <w:rsid w:val="00AA182F"/>
    <w:rsid w:val="00AA186F"/>
    <w:rsid w:val="00AA196B"/>
    <w:rsid w:val="00AA198F"/>
    <w:rsid w:val="00AA199D"/>
    <w:rsid w:val="00AA19FA"/>
    <w:rsid w:val="00AA1ADC"/>
    <w:rsid w:val="00AA1B41"/>
    <w:rsid w:val="00AA1B6B"/>
    <w:rsid w:val="00AA1BA8"/>
    <w:rsid w:val="00AA1BD7"/>
    <w:rsid w:val="00AA1C98"/>
    <w:rsid w:val="00AA1CB3"/>
    <w:rsid w:val="00AA1CC3"/>
    <w:rsid w:val="00AA1D5D"/>
    <w:rsid w:val="00AA1D66"/>
    <w:rsid w:val="00AA1D6A"/>
    <w:rsid w:val="00AA1E16"/>
    <w:rsid w:val="00AA1E20"/>
    <w:rsid w:val="00AA1E67"/>
    <w:rsid w:val="00AA1F22"/>
    <w:rsid w:val="00AA1F3E"/>
    <w:rsid w:val="00AA1F4C"/>
    <w:rsid w:val="00AA1F50"/>
    <w:rsid w:val="00AA1F58"/>
    <w:rsid w:val="00AA1FD1"/>
    <w:rsid w:val="00AA1FEE"/>
    <w:rsid w:val="00AA2022"/>
    <w:rsid w:val="00AA2071"/>
    <w:rsid w:val="00AA20ED"/>
    <w:rsid w:val="00AA20F1"/>
    <w:rsid w:val="00AA222C"/>
    <w:rsid w:val="00AA222E"/>
    <w:rsid w:val="00AA2259"/>
    <w:rsid w:val="00AA22FE"/>
    <w:rsid w:val="00AA2340"/>
    <w:rsid w:val="00AA2381"/>
    <w:rsid w:val="00AA2384"/>
    <w:rsid w:val="00AA2400"/>
    <w:rsid w:val="00AA242E"/>
    <w:rsid w:val="00AA244C"/>
    <w:rsid w:val="00AA24D9"/>
    <w:rsid w:val="00AA2523"/>
    <w:rsid w:val="00AA259C"/>
    <w:rsid w:val="00AA2611"/>
    <w:rsid w:val="00AA274E"/>
    <w:rsid w:val="00AA2894"/>
    <w:rsid w:val="00AA291E"/>
    <w:rsid w:val="00AA2927"/>
    <w:rsid w:val="00AA295F"/>
    <w:rsid w:val="00AA297E"/>
    <w:rsid w:val="00AA29E1"/>
    <w:rsid w:val="00AA2A1D"/>
    <w:rsid w:val="00AA2A5D"/>
    <w:rsid w:val="00AA2A9D"/>
    <w:rsid w:val="00AA2AD5"/>
    <w:rsid w:val="00AA2AE1"/>
    <w:rsid w:val="00AA2AFC"/>
    <w:rsid w:val="00AA2B51"/>
    <w:rsid w:val="00AA2B57"/>
    <w:rsid w:val="00AA2B59"/>
    <w:rsid w:val="00AA2B90"/>
    <w:rsid w:val="00AA2BA1"/>
    <w:rsid w:val="00AA2C09"/>
    <w:rsid w:val="00AA2C51"/>
    <w:rsid w:val="00AA2C89"/>
    <w:rsid w:val="00AA2CB2"/>
    <w:rsid w:val="00AA2D37"/>
    <w:rsid w:val="00AA2D64"/>
    <w:rsid w:val="00AA2E16"/>
    <w:rsid w:val="00AA2E50"/>
    <w:rsid w:val="00AA2ED4"/>
    <w:rsid w:val="00AA2F1C"/>
    <w:rsid w:val="00AA2F44"/>
    <w:rsid w:val="00AA2F93"/>
    <w:rsid w:val="00AA308E"/>
    <w:rsid w:val="00AA3099"/>
    <w:rsid w:val="00AA31AC"/>
    <w:rsid w:val="00AA3247"/>
    <w:rsid w:val="00AA3257"/>
    <w:rsid w:val="00AA325B"/>
    <w:rsid w:val="00AA3294"/>
    <w:rsid w:val="00AA32A5"/>
    <w:rsid w:val="00AA330D"/>
    <w:rsid w:val="00AA33DC"/>
    <w:rsid w:val="00AA33DF"/>
    <w:rsid w:val="00AA347B"/>
    <w:rsid w:val="00AA354F"/>
    <w:rsid w:val="00AA3574"/>
    <w:rsid w:val="00AA35B9"/>
    <w:rsid w:val="00AA364E"/>
    <w:rsid w:val="00AA3660"/>
    <w:rsid w:val="00AA36ED"/>
    <w:rsid w:val="00AA3763"/>
    <w:rsid w:val="00AA3787"/>
    <w:rsid w:val="00AA3847"/>
    <w:rsid w:val="00AA390E"/>
    <w:rsid w:val="00AA393D"/>
    <w:rsid w:val="00AA394D"/>
    <w:rsid w:val="00AA39C7"/>
    <w:rsid w:val="00AA3A8D"/>
    <w:rsid w:val="00AA3AA9"/>
    <w:rsid w:val="00AA3AE6"/>
    <w:rsid w:val="00AA3AFE"/>
    <w:rsid w:val="00AA3BE1"/>
    <w:rsid w:val="00AA3BF0"/>
    <w:rsid w:val="00AA3BF7"/>
    <w:rsid w:val="00AA3C3F"/>
    <w:rsid w:val="00AA3C83"/>
    <w:rsid w:val="00AA3CC9"/>
    <w:rsid w:val="00AA3D42"/>
    <w:rsid w:val="00AA3E48"/>
    <w:rsid w:val="00AA3E99"/>
    <w:rsid w:val="00AA3F49"/>
    <w:rsid w:val="00AA401F"/>
    <w:rsid w:val="00AA419D"/>
    <w:rsid w:val="00AA4249"/>
    <w:rsid w:val="00AA4265"/>
    <w:rsid w:val="00AA4267"/>
    <w:rsid w:val="00AA4275"/>
    <w:rsid w:val="00AA427A"/>
    <w:rsid w:val="00AA4314"/>
    <w:rsid w:val="00AA43AF"/>
    <w:rsid w:val="00AA43BB"/>
    <w:rsid w:val="00AA4411"/>
    <w:rsid w:val="00AA4489"/>
    <w:rsid w:val="00AA44AF"/>
    <w:rsid w:val="00AA4513"/>
    <w:rsid w:val="00AA45B4"/>
    <w:rsid w:val="00AA45B8"/>
    <w:rsid w:val="00AA4602"/>
    <w:rsid w:val="00AA4687"/>
    <w:rsid w:val="00AA46A0"/>
    <w:rsid w:val="00AA479F"/>
    <w:rsid w:val="00AA47F5"/>
    <w:rsid w:val="00AA47FD"/>
    <w:rsid w:val="00AA4827"/>
    <w:rsid w:val="00AA485F"/>
    <w:rsid w:val="00AA4908"/>
    <w:rsid w:val="00AA495E"/>
    <w:rsid w:val="00AA499C"/>
    <w:rsid w:val="00AA4A10"/>
    <w:rsid w:val="00AA4A67"/>
    <w:rsid w:val="00AA4A87"/>
    <w:rsid w:val="00AA4BB3"/>
    <w:rsid w:val="00AA4BD4"/>
    <w:rsid w:val="00AA4BF4"/>
    <w:rsid w:val="00AA4CA5"/>
    <w:rsid w:val="00AA4CC9"/>
    <w:rsid w:val="00AA4D24"/>
    <w:rsid w:val="00AA4E30"/>
    <w:rsid w:val="00AA4EC3"/>
    <w:rsid w:val="00AA4EDF"/>
    <w:rsid w:val="00AA4F0E"/>
    <w:rsid w:val="00AA4F6B"/>
    <w:rsid w:val="00AA4F86"/>
    <w:rsid w:val="00AA4F8E"/>
    <w:rsid w:val="00AA4F90"/>
    <w:rsid w:val="00AA4FC0"/>
    <w:rsid w:val="00AA5119"/>
    <w:rsid w:val="00AA51E6"/>
    <w:rsid w:val="00AA5210"/>
    <w:rsid w:val="00AA5237"/>
    <w:rsid w:val="00AA5251"/>
    <w:rsid w:val="00AA52A9"/>
    <w:rsid w:val="00AA52B1"/>
    <w:rsid w:val="00AA52D1"/>
    <w:rsid w:val="00AA539D"/>
    <w:rsid w:val="00AA53DB"/>
    <w:rsid w:val="00AA53F9"/>
    <w:rsid w:val="00AA5533"/>
    <w:rsid w:val="00AA5571"/>
    <w:rsid w:val="00AA55A5"/>
    <w:rsid w:val="00AA5608"/>
    <w:rsid w:val="00AA56E4"/>
    <w:rsid w:val="00AA58E6"/>
    <w:rsid w:val="00AA58EB"/>
    <w:rsid w:val="00AA5956"/>
    <w:rsid w:val="00AA5990"/>
    <w:rsid w:val="00AA59AD"/>
    <w:rsid w:val="00AA59C5"/>
    <w:rsid w:val="00AA5B9F"/>
    <w:rsid w:val="00AA5C1E"/>
    <w:rsid w:val="00AA5CFC"/>
    <w:rsid w:val="00AA5D07"/>
    <w:rsid w:val="00AA5D3F"/>
    <w:rsid w:val="00AA5D44"/>
    <w:rsid w:val="00AA5D6D"/>
    <w:rsid w:val="00AA5DAD"/>
    <w:rsid w:val="00AA5E04"/>
    <w:rsid w:val="00AA5E39"/>
    <w:rsid w:val="00AA5F51"/>
    <w:rsid w:val="00AA60B0"/>
    <w:rsid w:val="00AA6164"/>
    <w:rsid w:val="00AA61CC"/>
    <w:rsid w:val="00AA61DD"/>
    <w:rsid w:val="00AA6224"/>
    <w:rsid w:val="00AA62B0"/>
    <w:rsid w:val="00AA63AB"/>
    <w:rsid w:val="00AA63B7"/>
    <w:rsid w:val="00AA63D7"/>
    <w:rsid w:val="00AA63E0"/>
    <w:rsid w:val="00AA6403"/>
    <w:rsid w:val="00AA640E"/>
    <w:rsid w:val="00AA6425"/>
    <w:rsid w:val="00AA6445"/>
    <w:rsid w:val="00AA64E8"/>
    <w:rsid w:val="00AA650C"/>
    <w:rsid w:val="00AA6511"/>
    <w:rsid w:val="00AA65F7"/>
    <w:rsid w:val="00AA6657"/>
    <w:rsid w:val="00AA66A6"/>
    <w:rsid w:val="00AA6705"/>
    <w:rsid w:val="00AA67D8"/>
    <w:rsid w:val="00AA67FF"/>
    <w:rsid w:val="00AA6857"/>
    <w:rsid w:val="00AA694B"/>
    <w:rsid w:val="00AA6980"/>
    <w:rsid w:val="00AA698E"/>
    <w:rsid w:val="00AA6A23"/>
    <w:rsid w:val="00AA6A88"/>
    <w:rsid w:val="00AA6BB4"/>
    <w:rsid w:val="00AA6BFE"/>
    <w:rsid w:val="00AA6C49"/>
    <w:rsid w:val="00AA6D44"/>
    <w:rsid w:val="00AA6D94"/>
    <w:rsid w:val="00AA6DCE"/>
    <w:rsid w:val="00AA6DEF"/>
    <w:rsid w:val="00AA6F21"/>
    <w:rsid w:val="00AA6F56"/>
    <w:rsid w:val="00AA6FA7"/>
    <w:rsid w:val="00AA6FBB"/>
    <w:rsid w:val="00AA6FDD"/>
    <w:rsid w:val="00AA702F"/>
    <w:rsid w:val="00AA708E"/>
    <w:rsid w:val="00AA70DC"/>
    <w:rsid w:val="00AA7191"/>
    <w:rsid w:val="00AA71B4"/>
    <w:rsid w:val="00AA7239"/>
    <w:rsid w:val="00AA7246"/>
    <w:rsid w:val="00AA72AE"/>
    <w:rsid w:val="00AA738F"/>
    <w:rsid w:val="00AA73A4"/>
    <w:rsid w:val="00AA73BD"/>
    <w:rsid w:val="00AA748C"/>
    <w:rsid w:val="00AA74C6"/>
    <w:rsid w:val="00AA7541"/>
    <w:rsid w:val="00AA7569"/>
    <w:rsid w:val="00AA756C"/>
    <w:rsid w:val="00AA7571"/>
    <w:rsid w:val="00AA7589"/>
    <w:rsid w:val="00AA75E0"/>
    <w:rsid w:val="00AA75E7"/>
    <w:rsid w:val="00AA75E9"/>
    <w:rsid w:val="00AA76CA"/>
    <w:rsid w:val="00AA776B"/>
    <w:rsid w:val="00AA77F8"/>
    <w:rsid w:val="00AA785B"/>
    <w:rsid w:val="00AA78A3"/>
    <w:rsid w:val="00AA78AF"/>
    <w:rsid w:val="00AA7908"/>
    <w:rsid w:val="00AA790D"/>
    <w:rsid w:val="00AA7939"/>
    <w:rsid w:val="00AA7945"/>
    <w:rsid w:val="00AA7959"/>
    <w:rsid w:val="00AA79AB"/>
    <w:rsid w:val="00AA79BB"/>
    <w:rsid w:val="00AA79E7"/>
    <w:rsid w:val="00AA79EA"/>
    <w:rsid w:val="00AA7B37"/>
    <w:rsid w:val="00AA7B70"/>
    <w:rsid w:val="00AA7BB1"/>
    <w:rsid w:val="00AA7C97"/>
    <w:rsid w:val="00AA7CCD"/>
    <w:rsid w:val="00AA7CEE"/>
    <w:rsid w:val="00AA7DA4"/>
    <w:rsid w:val="00AA7E6C"/>
    <w:rsid w:val="00AA7F68"/>
    <w:rsid w:val="00AB0015"/>
    <w:rsid w:val="00AB00D0"/>
    <w:rsid w:val="00AB00D7"/>
    <w:rsid w:val="00AB00FF"/>
    <w:rsid w:val="00AB0134"/>
    <w:rsid w:val="00AB013B"/>
    <w:rsid w:val="00AB01C4"/>
    <w:rsid w:val="00AB01C6"/>
    <w:rsid w:val="00AB0220"/>
    <w:rsid w:val="00AB0284"/>
    <w:rsid w:val="00AB02CE"/>
    <w:rsid w:val="00AB0357"/>
    <w:rsid w:val="00AB03EE"/>
    <w:rsid w:val="00AB0465"/>
    <w:rsid w:val="00AB048A"/>
    <w:rsid w:val="00AB04BF"/>
    <w:rsid w:val="00AB0522"/>
    <w:rsid w:val="00AB052F"/>
    <w:rsid w:val="00AB05DE"/>
    <w:rsid w:val="00AB0605"/>
    <w:rsid w:val="00AB0688"/>
    <w:rsid w:val="00AB06DD"/>
    <w:rsid w:val="00AB0743"/>
    <w:rsid w:val="00AB076F"/>
    <w:rsid w:val="00AB080F"/>
    <w:rsid w:val="00AB0841"/>
    <w:rsid w:val="00AB085C"/>
    <w:rsid w:val="00AB0918"/>
    <w:rsid w:val="00AB0964"/>
    <w:rsid w:val="00AB0996"/>
    <w:rsid w:val="00AB0A13"/>
    <w:rsid w:val="00AB0A5A"/>
    <w:rsid w:val="00AB0A7A"/>
    <w:rsid w:val="00AB0B0B"/>
    <w:rsid w:val="00AB0C4B"/>
    <w:rsid w:val="00AB0CA4"/>
    <w:rsid w:val="00AB0CA8"/>
    <w:rsid w:val="00AB0E01"/>
    <w:rsid w:val="00AB0E1D"/>
    <w:rsid w:val="00AB0E41"/>
    <w:rsid w:val="00AB0EE4"/>
    <w:rsid w:val="00AB0F27"/>
    <w:rsid w:val="00AB0F49"/>
    <w:rsid w:val="00AB0FA9"/>
    <w:rsid w:val="00AB0FB4"/>
    <w:rsid w:val="00AB0FD2"/>
    <w:rsid w:val="00AB1011"/>
    <w:rsid w:val="00AB1099"/>
    <w:rsid w:val="00AB10B9"/>
    <w:rsid w:val="00AB10C1"/>
    <w:rsid w:val="00AB10DB"/>
    <w:rsid w:val="00AB1195"/>
    <w:rsid w:val="00AB119E"/>
    <w:rsid w:val="00AB11E5"/>
    <w:rsid w:val="00AB1274"/>
    <w:rsid w:val="00AB1295"/>
    <w:rsid w:val="00AB12C8"/>
    <w:rsid w:val="00AB1336"/>
    <w:rsid w:val="00AB143E"/>
    <w:rsid w:val="00AB1468"/>
    <w:rsid w:val="00AB1490"/>
    <w:rsid w:val="00AB14BD"/>
    <w:rsid w:val="00AB14C6"/>
    <w:rsid w:val="00AB150C"/>
    <w:rsid w:val="00AB1536"/>
    <w:rsid w:val="00AB156B"/>
    <w:rsid w:val="00AB15B2"/>
    <w:rsid w:val="00AB1653"/>
    <w:rsid w:val="00AB16A3"/>
    <w:rsid w:val="00AB17AB"/>
    <w:rsid w:val="00AB17CA"/>
    <w:rsid w:val="00AB17CC"/>
    <w:rsid w:val="00AB17E4"/>
    <w:rsid w:val="00AB185D"/>
    <w:rsid w:val="00AB1893"/>
    <w:rsid w:val="00AB18C6"/>
    <w:rsid w:val="00AB18EE"/>
    <w:rsid w:val="00AB18F1"/>
    <w:rsid w:val="00AB1906"/>
    <w:rsid w:val="00AB1937"/>
    <w:rsid w:val="00AB193D"/>
    <w:rsid w:val="00AB1966"/>
    <w:rsid w:val="00AB1986"/>
    <w:rsid w:val="00AB1994"/>
    <w:rsid w:val="00AB1A7F"/>
    <w:rsid w:val="00AB1AAD"/>
    <w:rsid w:val="00AB1B85"/>
    <w:rsid w:val="00AB1BED"/>
    <w:rsid w:val="00AB1C08"/>
    <w:rsid w:val="00AB1C22"/>
    <w:rsid w:val="00AB1CC7"/>
    <w:rsid w:val="00AB1D2B"/>
    <w:rsid w:val="00AB1D72"/>
    <w:rsid w:val="00AB1DA3"/>
    <w:rsid w:val="00AB1DAA"/>
    <w:rsid w:val="00AB1DD0"/>
    <w:rsid w:val="00AB1E16"/>
    <w:rsid w:val="00AB1E88"/>
    <w:rsid w:val="00AB1EE2"/>
    <w:rsid w:val="00AB1F6B"/>
    <w:rsid w:val="00AB1FAB"/>
    <w:rsid w:val="00AB2061"/>
    <w:rsid w:val="00AB211C"/>
    <w:rsid w:val="00AB2228"/>
    <w:rsid w:val="00AB2260"/>
    <w:rsid w:val="00AB226C"/>
    <w:rsid w:val="00AB22A7"/>
    <w:rsid w:val="00AB22AD"/>
    <w:rsid w:val="00AB2379"/>
    <w:rsid w:val="00AB23DB"/>
    <w:rsid w:val="00AB2503"/>
    <w:rsid w:val="00AB2526"/>
    <w:rsid w:val="00AB2568"/>
    <w:rsid w:val="00AB261E"/>
    <w:rsid w:val="00AB263A"/>
    <w:rsid w:val="00AB263F"/>
    <w:rsid w:val="00AB26A1"/>
    <w:rsid w:val="00AB26C7"/>
    <w:rsid w:val="00AB2783"/>
    <w:rsid w:val="00AB27A2"/>
    <w:rsid w:val="00AB27F2"/>
    <w:rsid w:val="00AB2839"/>
    <w:rsid w:val="00AB285A"/>
    <w:rsid w:val="00AB28C5"/>
    <w:rsid w:val="00AB28DC"/>
    <w:rsid w:val="00AB28F9"/>
    <w:rsid w:val="00AB2916"/>
    <w:rsid w:val="00AB2956"/>
    <w:rsid w:val="00AB29B4"/>
    <w:rsid w:val="00AB29ED"/>
    <w:rsid w:val="00AB29F6"/>
    <w:rsid w:val="00AB2AA7"/>
    <w:rsid w:val="00AB2AB1"/>
    <w:rsid w:val="00AB2B25"/>
    <w:rsid w:val="00AB2BA8"/>
    <w:rsid w:val="00AB2C06"/>
    <w:rsid w:val="00AB2CB3"/>
    <w:rsid w:val="00AB2D2D"/>
    <w:rsid w:val="00AB2D77"/>
    <w:rsid w:val="00AB2D8B"/>
    <w:rsid w:val="00AB2D8C"/>
    <w:rsid w:val="00AB2DD7"/>
    <w:rsid w:val="00AB2E72"/>
    <w:rsid w:val="00AB2E7A"/>
    <w:rsid w:val="00AB2EE2"/>
    <w:rsid w:val="00AB2EE3"/>
    <w:rsid w:val="00AB2F7C"/>
    <w:rsid w:val="00AB2F9A"/>
    <w:rsid w:val="00AB2FEF"/>
    <w:rsid w:val="00AB2FF6"/>
    <w:rsid w:val="00AB3002"/>
    <w:rsid w:val="00AB306E"/>
    <w:rsid w:val="00AB32F7"/>
    <w:rsid w:val="00AB34D7"/>
    <w:rsid w:val="00AB3605"/>
    <w:rsid w:val="00AB3705"/>
    <w:rsid w:val="00AB37AC"/>
    <w:rsid w:val="00AB380E"/>
    <w:rsid w:val="00AB38D2"/>
    <w:rsid w:val="00AB3990"/>
    <w:rsid w:val="00AB39ED"/>
    <w:rsid w:val="00AB3A00"/>
    <w:rsid w:val="00AB3A0F"/>
    <w:rsid w:val="00AB3A22"/>
    <w:rsid w:val="00AB3A98"/>
    <w:rsid w:val="00AB3A9A"/>
    <w:rsid w:val="00AB3BA3"/>
    <w:rsid w:val="00AB3C15"/>
    <w:rsid w:val="00AB3C3C"/>
    <w:rsid w:val="00AB3CBA"/>
    <w:rsid w:val="00AB3CCD"/>
    <w:rsid w:val="00AB3D80"/>
    <w:rsid w:val="00AB3E0D"/>
    <w:rsid w:val="00AB3E55"/>
    <w:rsid w:val="00AB3E56"/>
    <w:rsid w:val="00AB3E5E"/>
    <w:rsid w:val="00AB3E8F"/>
    <w:rsid w:val="00AB3EA9"/>
    <w:rsid w:val="00AB3EDC"/>
    <w:rsid w:val="00AB3EF3"/>
    <w:rsid w:val="00AB3F2A"/>
    <w:rsid w:val="00AB4003"/>
    <w:rsid w:val="00AB4062"/>
    <w:rsid w:val="00AB406C"/>
    <w:rsid w:val="00AB4242"/>
    <w:rsid w:val="00AB4252"/>
    <w:rsid w:val="00AB429A"/>
    <w:rsid w:val="00AB4301"/>
    <w:rsid w:val="00AB4328"/>
    <w:rsid w:val="00AB433B"/>
    <w:rsid w:val="00AB438C"/>
    <w:rsid w:val="00AB4416"/>
    <w:rsid w:val="00AB447A"/>
    <w:rsid w:val="00AB4492"/>
    <w:rsid w:val="00AB4521"/>
    <w:rsid w:val="00AB452C"/>
    <w:rsid w:val="00AB456F"/>
    <w:rsid w:val="00AB45A7"/>
    <w:rsid w:val="00AB45AD"/>
    <w:rsid w:val="00AB45F9"/>
    <w:rsid w:val="00AB4646"/>
    <w:rsid w:val="00AB4673"/>
    <w:rsid w:val="00AB46A3"/>
    <w:rsid w:val="00AB4749"/>
    <w:rsid w:val="00AB4773"/>
    <w:rsid w:val="00AB4791"/>
    <w:rsid w:val="00AB47AF"/>
    <w:rsid w:val="00AB47DF"/>
    <w:rsid w:val="00AB4846"/>
    <w:rsid w:val="00AB48BD"/>
    <w:rsid w:val="00AB493C"/>
    <w:rsid w:val="00AB4945"/>
    <w:rsid w:val="00AB499D"/>
    <w:rsid w:val="00AB4A0B"/>
    <w:rsid w:val="00AB4A3B"/>
    <w:rsid w:val="00AB4A84"/>
    <w:rsid w:val="00AB4AAD"/>
    <w:rsid w:val="00AB4ACA"/>
    <w:rsid w:val="00AB4B44"/>
    <w:rsid w:val="00AB4C22"/>
    <w:rsid w:val="00AB4C6D"/>
    <w:rsid w:val="00AB4DFD"/>
    <w:rsid w:val="00AB4E9E"/>
    <w:rsid w:val="00AB4E9F"/>
    <w:rsid w:val="00AB4EA7"/>
    <w:rsid w:val="00AB4EAF"/>
    <w:rsid w:val="00AB4EC7"/>
    <w:rsid w:val="00AB4ECD"/>
    <w:rsid w:val="00AB4EDC"/>
    <w:rsid w:val="00AB4EDF"/>
    <w:rsid w:val="00AB4EE9"/>
    <w:rsid w:val="00AB4F1E"/>
    <w:rsid w:val="00AB4F4C"/>
    <w:rsid w:val="00AB4F55"/>
    <w:rsid w:val="00AB4FFC"/>
    <w:rsid w:val="00AB501F"/>
    <w:rsid w:val="00AB5040"/>
    <w:rsid w:val="00AB5101"/>
    <w:rsid w:val="00AB5182"/>
    <w:rsid w:val="00AB51B0"/>
    <w:rsid w:val="00AB521C"/>
    <w:rsid w:val="00AB5262"/>
    <w:rsid w:val="00AB52AA"/>
    <w:rsid w:val="00AB52F5"/>
    <w:rsid w:val="00AB53C8"/>
    <w:rsid w:val="00AB54FC"/>
    <w:rsid w:val="00AB555A"/>
    <w:rsid w:val="00AB55D3"/>
    <w:rsid w:val="00AB55E8"/>
    <w:rsid w:val="00AB5743"/>
    <w:rsid w:val="00AB5766"/>
    <w:rsid w:val="00AB57DB"/>
    <w:rsid w:val="00AB57DD"/>
    <w:rsid w:val="00AB58BE"/>
    <w:rsid w:val="00AB590E"/>
    <w:rsid w:val="00AB59AD"/>
    <w:rsid w:val="00AB59B5"/>
    <w:rsid w:val="00AB5A40"/>
    <w:rsid w:val="00AB5A5E"/>
    <w:rsid w:val="00AB5A8D"/>
    <w:rsid w:val="00AB5AD6"/>
    <w:rsid w:val="00AB5B04"/>
    <w:rsid w:val="00AB5B14"/>
    <w:rsid w:val="00AB5B49"/>
    <w:rsid w:val="00AB5C1D"/>
    <w:rsid w:val="00AB5C3A"/>
    <w:rsid w:val="00AB5C59"/>
    <w:rsid w:val="00AB5C66"/>
    <w:rsid w:val="00AB5C89"/>
    <w:rsid w:val="00AB5D6E"/>
    <w:rsid w:val="00AB5DA2"/>
    <w:rsid w:val="00AB5EC7"/>
    <w:rsid w:val="00AB604F"/>
    <w:rsid w:val="00AB60FC"/>
    <w:rsid w:val="00AB6131"/>
    <w:rsid w:val="00AB613C"/>
    <w:rsid w:val="00AB619B"/>
    <w:rsid w:val="00AB623A"/>
    <w:rsid w:val="00AB627B"/>
    <w:rsid w:val="00AB637E"/>
    <w:rsid w:val="00AB6388"/>
    <w:rsid w:val="00AB640D"/>
    <w:rsid w:val="00AB6498"/>
    <w:rsid w:val="00AB65A6"/>
    <w:rsid w:val="00AB65DD"/>
    <w:rsid w:val="00AB6608"/>
    <w:rsid w:val="00AB661F"/>
    <w:rsid w:val="00AB6637"/>
    <w:rsid w:val="00AB676F"/>
    <w:rsid w:val="00AB6821"/>
    <w:rsid w:val="00AB682A"/>
    <w:rsid w:val="00AB685E"/>
    <w:rsid w:val="00AB6865"/>
    <w:rsid w:val="00AB68BC"/>
    <w:rsid w:val="00AB68F1"/>
    <w:rsid w:val="00AB6972"/>
    <w:rsid w:val="00AB69A9"/>
    <w:rsid w:val="00AB69C0"/>
    <w:rsid w:val="00AB6A0A"/>
    <w:rsid w:val="00AB6A3B"/>
    <w:rsid w:val="00AB6A43"/>
    <w:rsid w:val="00AB6A75"/>
    <w:rsid w:val="00AB6ACA"/>
    <w:rsid w:val="00AB6AF2"/>
    <w:rsid w:val="00AB6B1C"/>
    <w:rsid w:val="00AB6B2D"/>
    <w:rsid w:val="00AB6BC0"/>
    <w:rsid w:val="00AB6C00"/>
    <w:rsid w:val="00AB6CB5"/>
    <w:rsid w:val="00AB6CF5"/>
    <w:rsid w:val="00AB6D08"/>
    <w:rsid w:val="00AB6D20"/>
    <w:rsid w:val="00AB6DD9"/>
    <w:rsid w:val="00AB6DEE"/>
    <w:rsid w:val="00AB6DF1"/>
    <w:rsid w:val="00AB6E6D"/>
    <w:rsid w:val="00AB6EB9"/>
    <w:rsid w:val="00AB6FF4"/>
    <w:rsid w:val="00AB702A"/>
    <w:rsid w:val="00AB707E"/>
    <w:rsid w:val="00AB709D"/>
    <w:rsid w:val="00AB709F"/>
    <w:rsid w:val="00AB70C0"/>
    <w:rsid w:val="00AB7131"/>
    <w:rsid w:val="00AB713B"/>
    <w:rsid w:val="00AB7162"/>
    <w:rsid w:val="00AB716D"/>
    <w:rsid w:val="00AB7312"/>
    <w:rsid w:val="00AB734A"/>
    <w:rsid w:val="00AB7368"/>
    <w:rsid w:val="00AB73F9"/>
    <w:rsid w:val="00AB741B"/>
    <w:rsid w:val="00AB7458"/>
    <w:rsid w:val="00AB74C2"/>
    <w:rsid w:val="00AB7508"/>
    <w:rsid w:val="00AB757E"/>
    <w:rsid w:val="00AB757F"/>
    <w:rsid w:val="00AB758B"/>
    <w:rsid w:val="00AB761D"/>
    <w:rsid w:val="00AB7691"/>
    <w:rsid w:val="00AB7744"/>
    <w:rsid w:val="00AB7778"/>
    <w:rsid w:val="00AB7780"/>
    <w:rsid w:val="00AB77B5"/>
    <w:rsid w:val="00AB782D"/>
    <w:rsid w:val="00AB7846"/>
    <w:rsid w:val="00AB7851"/>
    <w:rsid w:val="00AB785F"/>
    <w:rsid w:val="00AB78BE"/>
    <w:rsid w:val="00AB7934"/>
    <w:rsid w:val="00AB7987"/>
    <w:rsid w:val="00AB79D3"/>
    <w:rsid w:val="00AB79E0"/>
    <w:rsid w:val="00AB7A89"/>
    <w:rsid w:val="00AB7AAE"/>
    <w:rsid w:val="00AB7AB3"/>
    <w:rsid w:val="00AB7B00"/>
    <w:rsid w:val="00AB7B6D"/>
    <w:rsid w:val="00AB7BB1"/>
    <w:rsid w:val="00AB7BF6"/>
    <w:rsid w:val="00AB7C44"/>
    <w:rsid w:val="00AB7C46"/>
    <w:rsid w:val="00AB7C78"/>
    <w:rsid w:val="00AB7CD4"/>
    <w:rsid w:val="00AB7CE5"/>
    <w:rsid w:val="00AB7D05"/>
    <w:rsid w:val="00AB7D32"/>
    <w:rsid w:val="00AB7D62"/>
    <w:rsid w:val="00AB7DD2"/>
    <w:rsid w:val="00AB7E14"/>
    <w:rsid w:val="00AB7EFF"/>
    <w:rsid w:val="00AB7F09"/>
    <w:rsid w:val="00AB7F0F"/>
    <w:rsid w:val="00AB7F9E"/>
    <w:rsid w:val="00AB7FDD"/>
    <w:rsid w:val="00AC003B"/>
    <w:rsid w:val="00AC0156"/>
    <w:rsid w:val="00AC0257"/>
    <w:rsid w:val="00AC02BB"/>
    <w:rsid w:val="00AC02E4"/>
    <w:rsid w:val="00AC0356"/>
    <w:rsid w:val="00AC046D"/>
    <w:rsid w:val="00AC04FC"/>
    <w:rsid w:val="00AC0532"/>
    <w:rsid w:val="00AC0557"/>
    <w:rsid w:val="00AC05D7"/>
    <w:rsid w:val="00AC0714"/>
    <w:rsid w:val="00AC078D"/>
    <w:rsid w:val="00AC0946"/>
    <w:rsid w:val="00AC0A01"/>
    <w:rsid w:val="00AC0A1B"/>
    <w:rsid w:val="00AC0A21"/>
    <w:rsid w:val="00AC0A9E"/>
    <w:rsid w:val="00AC0B33"/>
    <w:rsid w:val="00AC0B42"/>
    <w:rsid w:val="00AC0B90"/>
    <w:rsid w:val="00AC0BF3"/>
    <w:rsid w:val="00AC0C0F"/>
    <w:rsid w:val="00AC0D76"/>
    <w:rsid w:val="00AC0E9C"/>
    <w:rsid w:val="00AC0E9F"/>
    <w:rsid w:val="00AC0EBF"/>
    <w:rsid w:val="00AC0FA1"/>
    <w:rsid w:val="00AC0FD5"/>
    <w:rsid w:val="00AC0FDF"/>
    <w:rsid w:val="00AC1076"/>
    <w:rsid w:val="00AC1098"/>
    <w:rsid w:val="00AC114D"/>
    <w:rsid w:val="00AC1189"/>
    <w:rsid w:val="00AC130C"/>
    <w:rsid w:val="00AC1392"/>
    <w:rsid w:val="00AC143C"/>
    <w:rsid w:val="00AC147D"/>
    <w:rsid w:val="00AC1481"/>
    <w:rsid w:val="00AC1534"/>
    <w:rsid w:val="00AC155F"/>
    <w:rsid w:val="00AC15C6"/>
    <w:rsid w:val="00AC15DA"/>
    <w:rsid w:val="00AC15E2"/>
    <w:rsid w:val="00AC1684"/>
    <w:rsid w:val="00AC16B7"/>
    <w:rsid w:val="00AC179B"/>
    <w:rsid w:val="00AC1888"/>
    <w:rsid w:val="00AC1899"/>
    <w:rsid w:val="00AC18FF"/>
    <w:rsid w:val="00AC193F"/>
    <w:rsid w:val="00AC198B"/>
    <w:rsid w:val="00AC19E3"/>
    <w:rsid w:val="00AC1A21"/>
    <w:rsid w:val="00AC1A83"/>
    <w:rsid w:val="00AC1AA7"/>
    <w:rsid w:val="00AC1AFA"/>
    <w:rsid w:val="00AC1B82"/>
    <w:rsid w:val="00AC1B86"/>
    <w:rsid w:val="00AC1BB9"/>
    <w:rsid w:val="00AC1C08"/>
    <w:rsid w:val="00AC1CBC"/>
    <w:rsid w:val="00AC1CD3"/>
    <w:rsid w:val="00AC1D65"/>
    <w:rsid w:val="00AC1D68"/>
    <w:rsid w:val="00AC1D6D"/>
    <w:rsid w:val="00AC1D8D"/>
    <w:rsid w:val="00AC1E0C"/>
    <w:rsid w:val="00AC1E97"/>
    <w:rsid w:val="00AC1EEB"/>
    <w:rsid w:val="00AC1F17"/>
    <w:rsid w:val="00AC1FBC"/>
    <w:rsid w:val="00AC20C9"/>
    <w:rsid w:val="00AC2119"/>
    <w:rsid w:val="00AC21A0"/>
    <w:rsid w:val="00AC21EC"/>
    <w:rsid w:val="00AC2208"/>
    <w:rsid w:val="00AC2218"/>
    <w:rsid w:val="00AC22B2"/>
    <w:rsid w:val="00AC22D6"/>
    <w:rsid w:val="00AC22DF"/>
    <w:rsid w:val="00AC22FF"/>
    <w:rsid w:val="00AC240A"/>
    <w:rsid w:val="00AC242E"/>
    <w:rsid w:val="00AC24FE"/>
    <w:rsid w:val="00AC255D"/>
    <w:rsid w:val="00AC259A"/>
    <w:rsid w:val="00AC259E"/>
    <w:rsid w:val="00AC25C1"/>
    <w:rsid w:val="00AC27BF"/>
    <w:rsid w:val="00AC2853"/>
    <w:rsid w:val="00AC28AB"/>
    <w:rsid w:val="00AC28AC"/>
    <w:rsid w:val="00AC28DA"/>
    <w:rsid w:val="00AC28F2"/>
    <w:rsid w:val="00AC28FF"/>
    <w:rsid w:val="00AC2948"/>
    <w:rsid w:val="00AC2A54"/>
    <w:rsid w:val="00AC2A57"/>
    <w:rsid w:val="00AC2AA3"/>
    <w:rsid w:val="00AC2B13"/>
    <w:rsid w:val="00AC2B1F"/>
    <w:rsid w:val="00AC2BAE"/>
    <w:rsid w:val="00AC2C92"/>
    <w:rsid w:val="00AC2DD0"/>
    <w:rsid w:val="00AC2E17"/>
    <w:rsid w:val="00AC2E3F"/>
    <w:rsid w:val="00AC2FCB"/>
    <w:rsid w:val="00AC30B6"/>
    <w:rsid w:val="00AC30CE"/>
    <w:rsid w:val="00AC314D"/>
    <w:rsid w:val="00AC31A5"/>
    <w:rsid w:val="00AC3237"/>
    <w:rsid w:val="00AC3245"/>
    <w:rsid w:val="00AC32BD"/>
    <w:rsid w:val="00AC32F1"/>
    <w:rsid w:val="00AC33C9"/>
    <w:rsid w:val="00AC341F"/>
    <w:rsid w:val="00AC3424"/>
    <w:rsid w:val="00AC3460"/>
    <w:rsid w:val="00AC348B"/>
    <w:rsid w:val="00AC34FA"/>
    <w:rsid w:val="00AC3508"/>
    <w:rsid w:val="00AC3561"/>
    <w:rsid w:val="00AC35BF"/>
    <w:rsid w:val="00AC3649"/>
    <w:rsid w:val="00AC364A"/>
    <w:rsid w:val="00AC365D"/>
    <w:rsid w:val="00AC36F3"/>
    <w:rsid w:val="00AC3795"/>
    <w:rsid w:val="00AC380C"/>
    <w:rsid w:val="00AC3831"/>
    <w:rsid w:val="00AC38D5"/>
    <w:rsid w:val="00AC393F"/>
    <w:rsid w:val="00AC39DD"/>
    <w:rsid w:val="00AC3A1E"/>
    <w:rsid w:val="00AC3A86"/>
    <w:rsid w:val="00AC3B00"/>
    <w:rsid w:val="00AC3BB0"/>
    <w:rsid w:val="00AC3BDA"/>
    <w:rsid w:val="00AC3C62"/>
    <w:rsid w:val="00AC3CA8"/>
    <w:rsid w:val="00AC3D2F"/>
    <w:rsid w:val="00AC3D35"/>
    <w:rsid w:val="00AC3D60"/>
    <w:rsid w:val="00AC3D6A"/>
    <w:rsid w:val="00AC3D92"/>
    <w:rsid w:val="00AC3DA2"/>
    <w:rsid w:val="00AC3E06"/>
    <w:rsid w:val="00AC3E97"/>
    <w:rsid w:val="00AC3E9B"/>
    <w:rsid w:val="00AC3EEB"/>
    <w:rsid w:val="00AC3F0C"/>
    <w:rsid w:val="00AC3F31"/>
    <w:rsid w:val="00AC40EC"/>
    <w:rsid w:val="00AC419A"/>
    <w:rsid w:val="00AC41A3"/>
    <w:rsid w:val="00AC4204"/>
    <w:rsid w:val="00AC4213"/>
    <w:rsid w:val="00AC4230"/>
    <w:rsid w:val="00AC42E6"/>
    <w:rsid w:val="00AC42EB"/>
    <w:rsid w:val="00AC435C"/>
    <w:rsid w:val="00AC43A4"/>
    <w:rsid w:val="00AC443A"/>
    <w:rsid w:val="00AC444E"/>
    <w:rsid w:val="00AC44BB"/>
    <w:rsid w:val="00AC44E3"/>
    <w:rsid w:val="00AC44F1"/>
    <w:rsid w:val="00AC45DF"/>
    <w:rsid w:val="00AC4668"/>
    <w:rsid w:val="00AC46E2"/>
    <w:rsid w:val="00AC47E6"/>
    <w:rsid w:val="00AC4815"/>
    <w:rsid w:val="00AC484A"/>
    <w:rsid w:val="00AC48FC"/>
    <w:rsid w:val="00AC4991"/>
    <w:rsid w:val="00AC4A89"/>
    <w:rsid w:val="00AC4A93"/>
    <w:rsid w:val="00AC4B55"/>
    <w:rsid w:val="00AC4B86"/>
    <w:rsid w:val="00AC4B88"/>
    <w:rsid w:val="00AC4B99"/>
    <w:rsid w:val="00AC4BAB"/>
    <w:rsid w:val="00AC4C00"/>
    <w:rsid w:val="00AC4C05"/>
    <w:rsid w:val="00AC4CE3"/>
    <w:rsid w:val="00AC4CF8"/>
    <w:rsid w:val="00AC4D0B"/>
    <w:rsid w:val="00AC4D13"/>
    <w:rsid w:val="00AC4D44"/>
    <w:rsid w:val="00AC4E61"/>
    <w:rsid w:val="00AC4EA0"/>
    <w:rsid w:val="00AC4F11"/>
    <w:rsid w:val="00AC4F68"/>
    <w:rsid w:val="00AC4F7E"/>
    <w:rsid w:val="00AC4FBE"/>
    <w:rsid w:val="00AC4FC4"/>
    <w:rsid w:val="00AC501A"/>
    <w:rsid w:val="00AC513C"/>
    <w:rsid w:val="00AC5147"/>
    <w:rsid w:val="00AC516F"/>
    <w:rsid w:val="00AC517B"/>
    <w:rsid w:val="00AC51C3"/>
    <w:rsid w:val="00AC51D1"/>
    <w:rsid w:val="00AC51E9"/>
    <w:rsid w:val="00AC51F5"/>
    <w:rsid w:val="00AC5307"/>
    <w:rsid w:val="00AC531A"/>
    <w:rsid w:val="00AC5354"/>
    <w:rsid w:val="00AC536F"/>
    <w:rsid w:val="00AC53DE"/>
    <w:rsid w:val="00AC542D"/>
    <w:rsid w:val="00AC549A"/>
    <w:rsid w:val="00AC5539"/>
    <w:rsid w:val="00AC5569"/>
    <w:rsid w:val="00AC5599"/>
    <w:rsid w:val="00AC55F2"/>
    <w:rsid w:val="00AC5633"/>
    <w:rsid w:val="00AC5663"/>
    <w:rsid w:val="00AC5724"/>
    <w:rsid w:val="00AC5744"/>
    <w:rsid w:val="00AC576A"/>
    <w:rsid w:val="00AC585E"/>
    <w:rsid w:val="00AC5895"/>
    <w:rsid w:val="00AC58A8"/>
    <w:rsid w:val="00AC590A"/>
    <w:rsid w:val="00AC59E5"/>
    <w:rsid w:val="00AC59EE"/>
    <w:rsid w:val="00AC59FA"/>
    <w:rsid w:val="00AC5A5A"/>
    <w:rsid w:val="00AC5AAF"/>
    <w:rsid w:val="00AC5B8A"/>
    <w:rsid w:val="00AC5B9F"/>
    <w:rsid w:val="00AC5BF5"/>
    <w:rsid w:val="00AC5C97"/>
    <w:rsid w:val="00AC5D1B"/>
    <w:rsid w:val="00AC5D24"/>
    <w:rsid w:val="00AC5DDE"/>
    <w:rsid w:val="00AC5DF6"/>
    <w:rsid w:val="00AC5E12"/>
    <w:rsid w:val="00AC5E1B"/>
    <w:rsid w:val="00AC5E2B"/>
    <w:rsid w:val="00AC5E7F"/>
    <w:rsid w:val="00AC5EB7"/>
    <w:rsid w:val="00AC5F25"/>
    <w:rsid w:val="00AC5F37"/>
    <w:rsid w:val="00AC5F81"/>
    <w:rsid w:val="00AC5F8E"/>
    <w:rsid w:val="00AC5F90"/>
    <w:rsid w:val="00AC5FC7"/>
    <w:rsid w:val="00AC6044"/>
    <w:rsid w:val="00AC6061"/>
    <w:rsid w:val="00AC607D"/>
    <w:rsid w:val="00AC6081"/>
    <w:rsid w:val="00AC6135"/>
    <w:rsid w:val="00AC6141"/>
    <w:rsid w:val="00AC619B"/>
    <w:rsid w:val="00AC61C1"/>
    <w:rsid w:val="00AC6296"/>
    <w:rsid w:val="00AC62E0"/>
    <w:rsid w:val="00AC6320"/>
    <w:rsid w:val="00AC6323"/>
    <w:rsid w:val="00AC635A"/>
    <w:rsid w:val="00AC635B"/>
    <w:rsid w:val="00AC6370"/>
    <w:rsid w:val="00AC63E8"/>
    <w:rsid w:val="00AC63E9"/>
    <w:rsid w:val="00AC63F8"/>
    <w:rsid w:val="00AC6414"/>
    <w:rsid w:val="00AC6440"/>
    <w:rsid w:val="00AC645A"/>
    <w:rsid w:val="00AC650C"/>
    <w:rsid w:val="00AC6511"/>
    <w:rsid w:val="00AC6524"/>
    <w:rsid w:val="00AC6578"/>
    <w:rsid w:val="00AC65F7"/>
    <w:rsid w:val="00AC6736"/>
    <w:rsid w:val="00AC6772"/>
    <w:rsid w:val="00AC685D"/>
    <w:rsid w:val="00AC6880"/>
    <w:rsid w:val="00AC68A5"/>
    <w:rsid w:val="00AC690B"/>
    <w:rsid w:val="00AC6917"/>
    <w:rsid w:val="00AC6958"/>
    <w:rsid w:val="00AC696E"/>
    <w:rsid w:val="00AC69CF"/>
    <w:rsid w:val="00AC6AA1"/>
    <w:rsid w:val="00AC6AEC"/>
    <w:rsid w:val="00AC6B88"/>
    <w:rsid w:val="00AC6B9B"/>
    <w:rsid w:val="00AC6BC4"/>
    <w:rsid w:val="00AC6BF2"/>
    <w:rsid w:val="00AC6C07"/>
    <w:rsid w:val="00AC6CAD"/>
    <w:rsid w:val="00AC6D5E"/>
    <w:rsid w:val="00AC6DCC"/>
    <w:rsid w:val="00AC6E8B"/>
    <w:rsid w:val="00AC6EB2"/>
    <w:rsid w:val="00AC6F00"/>
    <w:rsid w:val="00AC7041"/>
    <w:rsid w:val="00AC704F"/>
    <w:rsid w:val="00AC70A7"/>
    <w:rsid w:val="00AC70F3"/>
    <w:rsid w:val="00AC71C2"/>
    <w:rsid w:val="00AC71D7"/>
    <w:rsid w:val="00AC72BF"/>
    <w:rsid w:val="00AC730A"/>
    <w:rsid w:val="00AC731C"/>
    <w:rsid w:val="00AC732F"/>
    <w:rsid w:val="00AC7353"/>
    <w:rsid w:val="00AC7361"/>
    <w:rsid w:val="00AC7586"/>
    <w:rsid w:val="00AC758A"/>
    <w:rsid w:val="00AC7619"/>
    <w:rsid w:val="00AC76BE"/>
    <w:rsid w:val="00AC770B"/>
    <w:rsid w:val="00AC77C5"/>
    <w:rsid w:val="00AC78A4"/>
    <w:rsid w:val="00AC7934"/>
    <w:rsid w:val="00AC7942"/>
    <w:rsid w:val="00AC7A19"/>
    <w:rsid w:val="00AC7A25"/>
    <w:rsid w:val="00AC7AF2"/>
    <w:rsid w:val="00AC7BC9"/>
    <w:rsid w:val="00AC7C2B"/>
    <w:rsid w:val="00AC7C62"/>
    <w:rsid w:val="00AC7C6B"/>
    <w:rsid w:val="00AC7CA6"/>
    <w:rsid w:val="00AC7CD2"/>
    <w:rsid w:val="00AC7CE1"/>
    <w:rsid w:val="00AC7E7B"/>
    <w:rsid w:val="00AC7E7C"/>
    <w:rsid w:val="00AC7E82"/>
    <w:rsid w:val="00AC7EB1"/>
    <w:rsid w:val="00AC7F36"/>
    <w:rsid w:val="00AC7F87"/>
    <w:rsid w:val="00AC7FAC"/>
    <w:rsid w:val="00AC7FDB"/>
    <w:rsid w:val="00AC7FE1"/>
    <w:rsid w:val="00AC7FE6"/>
    <w:rsid w:val="00AC7FF0"/>
    <w:rsid w:val="00AD000E"/>
    <w:rsid w:val="00AD0092"/>
    <w:rsid w:val="00AD00F4"/>
    <w:rsid w:val="00AD01C8"/>
    <w:rsid w:val="00AD032A"/>
    <w:rsid w:val="00AD032F"/>
    <w:rsid w:val="00AD0332"/>
    <w:rsid w:val="00AD03CB"/>
    <w:rsid w:val="00AD0501"/>
    <w:rsid w:val="00AD052E"/>
    <w:rsid w:val="00AD0585"/>
    <w:rsid w:val="00AD0592"/>
    <w:rsid w:val="00AD063E"/>
    <w:rsid w:val="00AD06BC"/>
    <w:rsid w:val="00AD0760"/>
    <w:rsid w:val="00AD077D"/>
    <w:rsid w:val="00AD07A8"/>
    <w:rsid w:val="00AD0829"/>
    <w:rsid w:val="00AD098C"/>
    <w:rsid w:val="00AD098F"/>
    <w:rsid w:val="00AD09A0"/>
    <w:rsid w:val="00AD0AD4"/>
    <w:rsid w:val="00AD0AE6"/>
    <w:rsid w:val="00AD0B11"/>
    <w:rsid w:val="00AD0B22"/>
    <w:rsid w:val="00AD0CB0"/>
    <w:rsid w:val="00AD0CD0"/>
    <w:rsid w:val="00AD0D57"/>
    <w:rsid w:val="00AD0DBE"/>
    <w:rsid w:val="00AD0E52"/>
    <w:rsid w:val="00AD0E56"/>
    <w:rsid w:val="00AD0E9E"/>
    <w:rsid w:val="00AD0EB8"/>
    <w:rsid w:val="00AD0F04"/>
    <w:rsid w:val="00AD0F06"/>
    <w:rsid w:val="00AD0FA6"/>
    <w:rsid w:val="00AD0FC3"/>
    <w:rsid w:val="00AD1030"/>
    <w:rsid w:val="00AD1152"/>
    <w:rsid w:val="00AD11F2"/>
    <w:rsid w:val="00AD120C"/>
    <w:rsid w:val="00AD1211"/>
    <w:rsid w:val="00AD1261"/>
    <w:rsid w:val="00AD12DB"/>
    <w:rsid w:val="00AD1356"/>
    <w:rsid w:val="00AD14C5"/>
    <w:rsid w:val="00AD14EE"/>
    <w:rsid w:val="00AD1530"/>
    <w:rsid w:val="00AD163C"/>
    <w:rsid w:val="00AD163F"/>
    <w:rsid w:val="00AD1662"/>
    <w:rsid w:val="00AD1675"/>
    <w:rsid w:val="00AD1776"/>
    <w:rsid w:val="00AD17DB"/>
    <w:rsid w:val="00AD1806"/>
    <w:rsid w:val="00AD184B"/>
    <w:rsid w:val="00AD1858"/>
    <w:rsid w:val="00AD1895"/>
    <w:rsid w:val="00AD18E5"/>
    <w:rsid w:val="00AD1972"/>
    <w:rsid w:val="00AD1A08"/>
    <w:rsid w:val="00AD1A26"/>
    <w:rsid w:val="00AD1A75"/>
    <w:rsid w:val="00AD1AAE"/>
    <w:rsid w:val="00AD1AB4"/>
    <w:rsid w:val="00AD1AF9"/>
    <w:rsid w:val="00AD1BC1"/>
    <w:rsid w:val="00AD1C22"/>
    <w:rsid w:val="00AD1C23"/>
    <w:rsid w:val="00AD1C60"/>
    <w:rsid w:val="00AD1CE1"/>
    <w:rsid w:val="00AD1CF4"/>
    <w:rsid w:val="00AD1D03"/>
    <w:rsid w:val="00AD1D16"/>
    <w:rsid w:val="00AD1D42"/>
    <w:rsid w:val="00AD1D80"/>
    <w:rsid w:val="00AD1D90"/>
    <w:rsid w:val="00AD1D91"/>
    <w:rsid w:val="00AD1E19"/>
    <w:rsid w:val="00AD1E75"/>
    <w:rsid w:val="00AD1E85"/>
    <w:rsid w:val="00AD1EBA"/>
    <w:rsid w:val="00AD1FD5"/>
    <w:rsid w:val="00AD1FE8"/>
    <w:rsid w:val="00AD20D8"/>
    <w:rsid w:val="00AD2143"/>
    <w:rsid w:val="00AD2191"/>
    <w:rsid w:val="00AD21C5"/>
    <w:rsid w:val="00AD2212"/>
    <w:rsid w:val="00AD226F"/>
    <w:rsid w:val="00AD233C"/>
    <w:rsid w:val="00AD23AD"/>
    <w:rsid w:val="00AD23C8"/>
    <w:rsid w:val="00AD243B"/>
    <w:rsid w:val="00AD24DF"/>
    <w:rsid w:val="00AD2505"/>
    <w:rsid w:val="00AD2552"/>
    <w:rsid w:val="00AD25F5"/>
    <w:rsid w:val="00AD2638"/>
    <w:rsid w:val="00AD2712"/>
    <w:rsid w:val="00AD274E"/>
    <w:rsid w:val="00AD2973"/>
    <w:rsid w:val="00AD29DD"/>
    <w:rsid w:val="00AD2A70"/>
    <w:rsid w:val="00AD2ACF"/>
    <w:rsid w:val="00AD2AE7"/>
    <w:rsid w:val="00AD2B08"/>
    <w:rsid w:val="00AD2B4C"/>
    <w:rsid w:val="00AD2BD6"/>
    <w:rsid w:val="00AD2C93"/>
    <w:rsid w:val="00AD2CA3"/>
    <w:rsid w:val="00AD2CBA"/>
    <w:rsid w:val="00AD2E1C"/>
    <w:rsid w:val="00AD2EEC"/>
    <w:rsid w:val="00AD2EF0"/>
    <w:rsid w:val="00AD2F34"/>
    <w:rsid w:val="00AD2F69"/>
    <w:rsid w:val="00AD2F7E"/>
    <w:rsid w:val="00AD2FDF"/>
    <w:rsid w:val="00AD2FE3"/>
    <w:rsid w:val="00AD302A"/>
    <w:rsid w:val="00AD307B"/>
    <w:rsid w:val="00AD30B6"/>
    <w:rsid w:val="00AD30DF"/>
    <w:rsid w:val="00AD3122"/>
    <w:rsid w:val="00AD3235"/>
    <w:rsid w:val="00AD323C"/>
    <w:rsid w:val="00AD327A"/>
    <w:rsid w:val="00AD32E7"/>
    <w:rsid w:val="00AD32F9"/>
    <w:rsid w:val="00AD32FE"/>
    <w:rsid w:val="00AD330F"/>
    <w:rsid w:val="00AD331E"/>
    <w:rsid w:val="00AD338C"/>
    <w:rsid w:val="00AD3398"/>
    <w:rsid w:val="00AD33AE"/>
    <w:rsid w:val="00AD3443"/>
    <w:rsid w:val="00AD34BA"/>
    <w:rsid w:val="00AD350E"/>
    <w:rsid w:val="00AD3651"/>
    <w:rsid w:val="00AD366B"/>
    <w:rsid w:val="00AD3680"/>
    <w:rsid w:val="00AD37A0"/>
    <w:rsid w:val="00AD3820"/>
    <w:rsid w:val="00AD38A8"/>
    <w:rsid w:val="00AD3927"/>
    <w:rsid w:val="00AD3984"/>
    <w:rsid w:val="00AD39A6"/>
    <w:rsid w:val="00AD39A7"/>
    <w:rsid w:val="00AD3A26"/>
    <w:rsid w:val="00AD3A68"/>
    <w:rsid w:val="00AD3A73"/>
    <w:rsid w:val="00AD3B35"/>
    <w:rsid w:val="00AD3B4F"/>
    <w:rsid w:val="00AD3B61"/>
    <w:rsid w:val="00AD3B9B"/>
    <w:rsid w:val="00AD3BBC"/>
    <w:rsid w:val="00AD3BCC"/>
    <w:rsid w:val="00AD3C81"/>
    <w:rsid w:val="00AD3D39"/>
    <w:rsid w:val="00AD3EB1"/>
    <w:rsid w:val="00AD405C"/>
    <w:rsid w:val="00AD4076"/>
    <w:rsid w:val="00AD407E"/>
    <w:rsid w:val="00AD40D3"/>
    <w:rsid w:val="00AD4112"/>
    <w:rsid w:val="00AD4167"/>
    <w:rsid w:val="00AD41C5"/>
    <w:rsid w:val="00AD421E"/>
    <w:rsid w:val="00AD4233"/>
    <w:rsid w:val="00AD4253"/>
    <w:rsid w:val="00AD42DD"/>
    <w:rsid w:val="00AD431A"/>
    <w:rsid w:val="00AD4324"/>
    <w:rsid w:val="00AD43B5"/>
    <w:rsid w:val="00AD4497"/>
    <w:rsid w:val="00AD450A"/>
    <w:rsid w:val="00AD456F"/>
    <w:rsid w:val="00AD4592"/>
    <w:rsid w:val="00AD4596"/>
    <w:rsid w:val="00AD467F"/>
    <w:rsid w:val="00AD46A9"/>
    <w:rsid w:val="00AD4763"/>
    <w:rsid w:val="00AD47BF"/>
    <w:rsid w:val="00AD489F"/>
    <w:rsid w:val="00AD4975"/>
    <w:rsid w:val="00AD4A1E"/>
    <w:rsid w:val="00AD4A4B"/>
    <w:rsid w:val="00AD4A93"/>
    <w:rsid w:val="00AD4AA9"/>
    <w:rsid w:val="00AD4AAC"/>
    <w:rsid w:val="00AD4ADA"/>
    <w:rsid w:val="00AD4B82"/>
    <w:rsid w:val="00AD4C1B"/>
    <w:rsid w:val="00AD4C44"/>
    <w:rsid w:val="00AD4CC6"/>
    <w:rsid w:val="00AD4CE7"/>
    <w:rsid w:val="00AD4CF6"/>
    <w:rsid w:val="00AD4D25"/>
    <w:rsid w:val="00AD4D35"/>
    <w:rsid w:val="00AD4D60"/>
    <w:rsid w:val="00AD4DA7"/>
    <w:rsid w:val="00AD4DA8"/>
    <w:rsid w:val="00AD4DBF"/>
    <w:rsid w:val="00AD4E02"/>
    <w:rsid w:val="00AD4E7A"/>
    <w:rsid w:val="00AD4EB9"/>
    <w:rsid w:val="00AD4F32"/>
    <w:rsid w:val="00AD4F6C"/>
    <w:rsid w:val="00AD5046"/>
    <w:rsid w:val="00AD5115"/>
    <w:rsid w:val="00AD5166"/>
    <w:rsid w:val="00AD517B"/>
    <w:rsid w:val="00AD519B"/>
    <w:rsid w:val="00AD5233"/>
    <w:rsid w:val="00AD524B"/>
    <w:rsid w:val="00AD5260"/>
    <w:rsid w:val="00AD54B7"/>
    <w:rsid w:val="00AD54FE"/>
    <w:rsid w:val="00AD55A3"/>
    <w:rsid w:val="00AD56B9"/>
    <w:rsid w:val="00AD56BE"/>
    <w:rsid w:val="00AD56C8"/>
    <w:rsid w:val="00AD573D"/>
    <w:rsid w:val="00AD574D"/>
    <w:rsid w:val="00AD5796"/>
    <w:rsid w:val="00AD57E2"/>
    <w:rsid w:val="00AD57F9"/>
    <w:rsid w:val="00AD58FB"/>
    <w:rsid w:val="00AD58FC"/>
    <w:rsid w:val="00AD59B9"/>
    <w:rsid w:val="00AD59F1"/>
    <w:rsid w:val="00AD5A4D"/>
    <w:rsid w:val="00AD5A52"/>
    <w:rsid w:val="00AD5A56"/>
    <w:rsid w:val="00AD5A7D"/>
    <w:rsid w:val="00AD5AA3"/>
    <w:rsid w:val="00AD5AF1"/>
    <w:rsid w:val="00AD5B00"/>
    <w:rsid w:val="00AD5B2C"/>
    <w:rsid w:val="00AD5B45"/>
    <w:rsid w:val="00AD5B55"/>
    <w:rsid w:val="00AD5BD3"/>
    <w:rsid w:val="00AD5CA7"/>
    <w:rsid w:val="00AD5CFD"/>
    <w:rsid w:val="00AD5D51"/>
    <w:rsid w:val="00AD5DFA"/>
    <w:rsid w:val="00AD5E1F"/>
    <w:rsid w:val="00AD5EB5"/>
    <w:rsid w:val="00AD5EC3"/>
    <w:rsid w:val="00AD5EE8"/>
    <w:rsid w:val="00AD6000"/>
    <w:rsid w:val="00AD6058"/>
    <w:rsid w:val="00AD6072"/>
    <w:rsid w:val="00AD61BC"/>
    <w:rsid w:val="00AD61C1"/>
    <w:rsid w:val="00AD632C"/>
    <w:rsid w:val="00AD6401"/>
    <w:rsid w:val="00AD64B3"/>
    <w:rsid w:val="00AD6508"/>
    <w:rsid w:val="00AD6579"/>
    <w:rsid w:val="00AD65FC"/>
    <w:rsid w:val="00AD6736"/>
    <w:rsid w:val="00AD679A"/>
    <w:rsid w:val="00AD67A8"/>
    <w:rsid w:val="00AD67B6"/>
    <w:rsid w:val="00AD67D4"/>
    <w:rsid w:val="00AD67E3"/>
    <w:rsid w:val="00AD6817"/>
    <w:rsid w:val="00AD698D"/>
    <w:rsid w:val="00AD699E"/>
    <w:rsid w:val="00AD6AE3"/>
    <w:rsid w:val="00AD6B97"/>
    <w:rsid w:val="00AD6BB1"/>
    <w:rsid w:val="00AD6BF0"/>
    <w:rsid w:val="00AD6C19"/>
    <w:rsid w:val="00AD6C4C"/>
    <w:rsid w:val="00AD6E6E"/>
    <w:rsid w:val="00AD6E98"/>
    <w:rsid w:val="00AD6EF1"/>
    <w:rsid w:val="00AD6F02"/>
    <w:rsid w:val="00AD6F07"/>
    <w:rsid w:val="00AD6F31"/>
    <w:rsid w:val="00AD6F7C"/>
    <w:rsid w:val="00AD7030"/>
    <w:rsid w:val="00AD714A"/>
    <w:rsid w:val="00AD71BC"/>
    <w:rsid w:val="00AD721A"/>
    <w:rsid w:val="00AD7349"/>
    <w:rsid w:val="00AD737B"/>
    <w:rsid w:val="00AD739C"/>
    <w:rsid w:val="00AD7499"/>
    <w:rsid w:val="00AD74B2"/>
    <w:rsid w:val="00AD7554"/>
    <w:rsid w:val="00AD7564"/>
    <w:rsid w:val="00AD7582"/>
    <w:rsid w:val="00AD7586"/>
    <w:rsid w:val="00AD759D"/>
    <w:rsid w:val="00AD75F3"/>
    <w:rsid w:val="00AD7617"/>
    <w:rsid w:val="00AD7687"/>
    <w:rsid w:val="00AD7688"/>
    <w:rsid w:val="00AD76D2"/>
    <w:rsid w:val="00AD76E0"/>
    <w:rsid w:val="00AD771A"/>
    <w:rsid w:val="00AD774C"/>
    <w:rsid w:val="00AD77B3"/>
    <w:rsid w:val="00AD782A"/>
    <w:rsid w:val="00AD784F"/>
    <w:rsid w:val="00AD789E"/>
    <w:rsid w:val="00AD78B3"/>
    <w:rsid w:val="00AD7969"/>
    <w:rsid w:val="00AD7978"/>
    <w:rsid w:val="00AD7988"/>
    <w:rsid w:val="00AD798E"/>
    <w:rsid w:val="00AD79B7"/>
    <w:rsid w:val="00AD7AC9"/>
    <w:rsid w:val="00AD7B63"/>
    <w:rsid w:val="00AD7B90"/>
    <w:rsid w:val="00AD7BC3"/>
    <w:rsid w:val="00AD7C7E"/>
    <w:rsid w:val="00AD7CB2"/>
    <w:rsid w:val="00AD7CD6"/>
    <w:rsid w:val="00AD7CFB"/>
    <w:rsid w:val="00AD7D09"/>
    <w:rsid w:val="00AD7D2C"/>
    <w:rsid w:val="00AD7D3D"/>
    <w:rsid w:val="00AD7D46"/>
    <w:rsid w:val="00AD7D7C"/>
    <w:rsid w:val="00AD7F05"/>
    <w:rsid w:val="00AD7F23"/>
    <w:rsid w:val="00AD7FA8"/>
    <w:rsid w:val="00AD7FF8"/>
    <w:rsid w:val="00AE0042"/>
    <w:rsid w:val="00AE0059"/>
    <w:rsid w:val="00AE0070"/>
    <w:rsid w:val="00AE00A2"/>
    <w:rsid w:val="00AE00E3"/>
    <w:rsid w:val="00AE0159"/>
    <w:rsid w:val="00AE015C"/>
    <w:rsid w:val="00AE016A"/>
    <w:rsid w:val="00AE01CD"/>
    <w:rsid w:val="00AE01E5"/>
    <w:rsid w:val="00AE0231"/>
    <w:rsid w:val="00AE0251"/>
    <w:rsid w:val="00AE02E5"/>
    <w:rsid w:val="00AE034E"/>
    <w:rsid w:val="00AE0359"/>
    <w:rsid w:val="00AE03B8"/>
    <w:rsid w:val="00AE03CE"/>
    <w:rsid w:val="00AE03CF"/>
    <w:rsid w:val="00AE0438"/>
    <w:rsid w:val="00AE043D"/>
    <w:rsid w:val="00AE0448"/>
    <w:rsid w:val="00AE0462"/>
    <w:rsid w:val="00AE04CD"/>
    <w:rsid w:val="00AE0539"/>
    <w:rsid w:val="00AE0540"/>
    <w:rsid w:val="00AE0623"/>
    <w:rsid w:val="00AE062C"/>
    <w:rsid w:val="00AE06E3"/>
    <w:rsid w:val="00AE0721"/>
    <w:rsid w:val="00AE077D"/>
    <w:rsid w:val="00AE07C3"/>
    <w:rsid w:val="00AE098C"/>
    <w:rsid w:val="00AE09E7"/>
    <w:rsid w:val="00AE0A4F"/>
    <w:rsid w:val="00AE0A74"/>
    <w:rsid w:val="00AE0A81"/>
    <w:rsid w:val="00AE0ABD"/>
    <w:rsid w:val="00AE0B5A"/>
    <w:rsid w:val="00AE0B93"/>
    <w:rsid w:val="00AE0C07"/>
    <w:rsid w:val="00AE0C19"/>
    <w:rsid w:val="00AE0C97"/>
    <w:rsid w:val="00AE0CC5"/>
    <w:rsid w:val="00AE0CC7"/>
    <w:rsid w:val="00AE0D0D"/>
    <w:rsid w:val="00AE0DBE"/>
    <w:rsid w:val="00AE0E67"/>
    <w:rsid w:val="00AE0F25"/>
    <w:rsid w:val="00AE0F76"/>
    <w:rsid w:val="00AE109A"/>
    <w:rsid w:val="00AE10C7"/>
    <w:rsid w:val="00AE1105"/>
    <w:rsid w:val="00AE113E"/>
    <w:rsid w:val="00AE1231"/>
    <w:rsid w:val="00AE1298"/>
    <w:rsid w:val="00AE12FA"/>
    <w:rsid w:val="00AE1469"/>
    <w:rsid w:val="00AE1578"/>
    <w:rsid w:val="00AE1590"/>
    <w:rsid w:val="00AE15A3"/>
    <w:rsid w:val="00AE1602"/>
    <w:rsid w:val="00AE160F"/>
    <w:rsid w:val="00AE177F"/>
    <w:rsid w:val="00AE180A"/>
    <w:rsid w:val="00AE181F"/>
    <w:rsid w:val="00AE18B5"/>
    <w:rsid w:val="00AE18CA"/>
    <w:rsid w:val="00AE196E"/>
    <w:rsid w:val="00AE19D3"/>
    <w:rsid w:val="00AE1A37"/>
    <w:rsid w:val="00AE1A70"/>
    <w:rsid w:val="00AE1A7B"/>
    <w:rsid w:val="00AE1A80"/>
    <w:rsid w:val="00AE1B6A"/>
    <w:rsid w:val="00AE1B9B"/>
    <w:rsid w:val="00AE1BC3"/>
    <w:rsid w:val="00AE1BEF"/>
    <w:rsid w:val="00AE1C43"/>
    <w:rsid w:val="00AE1CC2"/>
    <w:rsid w:val="00AE1D28"/>
    <w:rsid w:val="00AE1D38"/>
    <w:rsid w:val="00AE1D3B"/>
    <w:rsid w:val="00AE1D54"/>
    <w:rsid w:val="00AE1DAE"/>
    <w:rsid w:val="00AE1DB9"/>
    <w:rsid w:val="00AE1E46"/>
    <w:rsid w:val="00AE1E69"/>
    <w:rsid w:val="00AE1EAD"/>
    <w:rsid w:val="00AE1F01"/>
    <w:rsid w:val="00AE1F63"/>
    <w:rsid w:val="00AE1F89"/>
    <w:rsid w:val="00AE219E"/>
    <w:rsid w:val="00AE21E0"/>
    <w:rsid w:val="00AE21F4"/>
    <w:rsid w:val="00AE2247"/>
    <w:rsid w:val="00AE2254"/>
    <w:rsid w:val="00AE2289"/>
    <w:rsid w:val="00AE22F3"/>
    <w:rsid w:val="00AE232E"/>
    <w:rsid w:val="00AE234F"/>
    <w:rsid w:val="00AE23EA"/>
    <w:rsid w:val="00AE244B"/>
    <w:rsid w:val="00AE246A"/>
    <w:rsid w:val="00AE24A5"/>
    <w:rsid w:val="00AE24CE"/>
    <w:rsid w:val="00AE2561"/>
    <w:rsid w:val="00AE256B"/>
    <w:rsid w:val="00AE25E4"/>
    <w:rsid w:val="00AE25F2"/>
    <w:rsid w:val="00AE2619"/>
    <w:rsid w:val="00AE2634"/>
    <w:rsid w:val="00AE26ED"/>
    <w:rsid w:val="00AE2778"/>
    <w:rsid w:val="00AE2810"/>
    <w:rsid w:val="00AE2863"/>
    <w:rsid w:val="00AE286A"/>
    <w:rsid w:val="00AE29DF"/>
    <w:rsid w:val="00AE2A54"/>
    <w:rsid w:val="00AE2A8B"/>
    <w:rsid w:val="00AE2B26"/>
    <w:rsid w:val="00AE2B9C"/>
    <w:rsid w:val="00AE2B9D"/>
    <w:rsid w:val="00AE2C58"/>
    <w:rsid w:val="00AE2D08"/>
    <w:rsid w:val="00AE2D43"/>
    <w:rsid w:val="00AE2DD3"/>
    <w:rsid w:val="00AE2E17"/>
    <w:rsid w:val="00AE2E59"/>
    <w:rsid w:val="00AE2E8D"/>
    <w:rsid w:val="00AE2EEC"/>
    <w:rsid w:val="00AE2F1D"/>
    <w:rsid w:val="00AE2F64"/>
    <w:rsid w:val="00AE3003"/>
    <w:rsid w:val="00AE3061"/>
    <w:rsid w:val="00AE30BA"/>
    <w:rsid w:val="00AE30F5"/>
    <w:rsid w:val="00AE316D"/>
    <w:rsid w:val="00AE319B"/>
    <w:rsid w:val="00AE31BB"/>
    <w:rsid w:val="00AE3305"/>
    <w:rsid w:val="00AE334F"/>
    <w:rsid w:val="00AE3352"/>
    <w:rsid w:val="00AE3358"/>
    <w:rsid w:val="00AE33BF"/>
    <w:rsid w:val="00AE3409"/>
    <w:rsid w:val="00AE3471"/>
    <w:rsid w:val="00AE34A6"/>
    <w:rsid w:val="00AE35B9"/>
    <w:rsid w:val="00AE361D"/>
    <w:rsid w:val="00AE362C"/>
    <w:rsid w:val="00AE36E6"/>
    <w:rsid w:val="00AE3704"/>
    <w:rsid w:val="00AE37C4"/>
    <w:rsid w:val="00AE3809"/>
    <w:rsid w:val="00AE3821"/>
    <w:rsid w:val="00AE383E"/>
    <w:rsid w:val="00AE3905"/>
    <w:rsid w:val="00AE393C"/>
    <w:rsid w:val="00AE3AED"/>
    <w:rsid w:val="00AE3B4E"/>
    <w:rsid w:val="00AE3B9C"/>
    <w:rsid w:val="00AE3BCD"/>
    <w:rsid w:val="00AE3BEF"/>
    <w:rsid w:val="00AE3BF4"/>
    <w:rsid w:val="00AE3C4C"/>
    <w:rsid w:val="00AE3C76"/>
    <w:rsid w:val="00AE3D1A"/>
    <w:rsid w:val="00AE3D67"/>
    <w:rsid w:val="00AE3DBA"/>
    <w:rsid w:val="00AE3DCE"/>
    <w:rsid w:val="00AE3E40"/>
    <w:rsid w:val="00AE3EE4"/>
    <w:rsid w:val="00AE3F37"/>
    <w:rsid w:val="00AE4007"/>
    <w:rsid w:val="00AE4041"/>
    <w:rsid w:val="00AE4087"/>
    <w:rsid w:val="00AE40C1"/>
    <w:rsid w:val="00AE40E1"/>
    <w:rsid w:val="00AE40F7"/>
    <w:rsid w:val="00AE4104"/>
    <w:rsid w:val="00AE417A"/>
    <w:rsid w:val="00AE4197"/>
    <w:rsid w:val="00AE4228"/>
    <w:rsid w:val="00AE424B"/>
    <w:rsid w:val="00AE424D"/>
    <w:rsid w:val="00AE429A"/>
    <w:rsid w:val="00AE436E"/>
    <w:rsid w:val="00AE443E"/>
    <w:rsid w:val="00AE4445"/>
    <w:rsid w:val="00AE4452"/>
    <w:rsid w:val="00AE4478"/>
    <w:rsid w:val="00AE44BD"/>
    <w:rsid w:val="00AE44BF"/>
    <w:rsid w:val="00AE44E7"/>
    <w:rsid w:val="00AE4651"/>
    <w:rsid w:val="00AE4695"/>
    <w:rsid w:val="00AE46AB"/>
    <w:rsid w:val="00AE4756"/>
    <w:rsid w:val="00AE4786"/>
    <w:rsid w:val="00AE480F"/>
    <w:rsid w:val="00AE482C"/>
    <w:rsid w:val="00AE483E"/>
    <w:rsid w:val="00AE4881"/>
    <w:rsid w:val="00AE49D9"/>
    <w:rsid w:val="00AE4A4A"/>
    <w:rsid w:val="00AE4AC7"/>
    <w:rsid w:val="00AE4B8A"/>
    <w:rsid w:val="00AE4BB2"/>
    <w:rsid w:val="00AE4CC4"/>
    <w:rsid w:val="00AE4D5D"/>
    <w:rsid w:val="00AE4DBE"/>
    <w:rsid w:val="00AE4DFD"/>
    <w:rsid w:val="00AE4E09"/>
    <w:rsid w:val="00AE4E0C"/>
    <w:rsid w:val="00AE4E2F"/>
    <w:rsid w:val="00AE4E9C"/>
    <w:rsid w:val="00AE4EA1"/>
    <w:rsid w:val="00AE4EF0"/>
    <w:rsid w:val="00AE4F28"/>
    <w:rsid w:val="00AE4F2B"/>
    <w:rsid w:val="00AE4F4A"/>
    <w:rsid w:val="00AE4F79"/>
    <w:rsid w:val="00AE4FE5"/>
    <w:rsid w:val="00AE4FF1"/>
    <w:rsid w:val="00AE5076"/>
    <w:rsid w:val="00AE508C"/>
    <w:rsid w:val="00AE5113"/>
    <w:rsid w:val="00AE5175"/>
    <w:rsid w:val="00AE5197"/>
    <w:rsid w:val="00AE51BC"/>
    <w:rsid w:val="00AE51CC"/>
    <w:rsid w:val="00AE5235"/>
    <w:rsid w:val="00AE52F7"/>
    <w:rsid w:val="00AE5331"/>
    <w:rsid w:val="00AE53E0"/>
    <w:rsid w:val="00AE5444"/>
    <w:rsid w:val="00AE5485"/>
    <w:rsid w:val="00AE54A3"/>
    <w:rsid w:val="00AE54FF"/>
    <w:rsid w:val="00AE558A"/>
    <w:rsid w:val="00AE55B0"/>
    <w:rsid w:val="00AE5606"/>
    <w:rsid w:val="00AE5676"/>
    <w:rsid w:val="00AE56B9"/>
    <w:rsid w:val="00AE56E4"/>
    <w:rsid w:val="00AE570B"/>
    <w:rsid w:val="00AE572C"/>
    <w:rsid w:val="00AE57CD"/>
    <w:rsid w:val="00AE58A2"/>
    <w:rsid w:val="00AE599D"/>
    <w:rsid w:val="00AE59D5"/>
    <w:rsid w:val="00AE5A05"/>
    <w:rsid w:val="00AE5AAB"/>
    <w:rsid w:val="00AE5AB6"/>
    <w:rsid w:val="00AE5AF8"/>
    <w:rsid w:val="00AE5B43"/>
    <w:rsid w:val="00AE5B49"/>
    <w:rsid w:val="00AE5B7C"/>
    <w:rsid w:val="00AE5BF8"/>
    <w:rsid w:val="00AE5C46"/>
    <w:rsid w:val="00AE5CC9"/>
    <w:rsid w:val="00AE5D0E"/>
    <w:rsid w:val="00AE5D1C"/>
    <w:rsid w:val="00AE5D9B"/>
    <w:rsid w:val="00AE5D9D"/>
    <w:rsid w:val="00AE5DAF"/>
    <w:rsid w:val="00AE5E36"/>
    <w:rsid w:val="00AE5E3D"/>
    <w:rsid w:val="00AE5F2C"/>
    <w:rsid w:val="00AE5F76"/>
    <w:rsid w:val="00AE606E"/>
    <w:rsid w:val="00AE60E7"/>
    <w:rsid w:val="00AE6222"/>
    <w:rsid w:val="00AE6325"/>
    <w:rsid w:val="00AE6391"/>
    <w:rsid w:val="00AE6395"/>
    <w:rsid w:val="00AE63C5"/>
    <w:rsid w:val="00AE64C2"/>
    <w:rsid w:val="00AE64FD"/>
    <w:rsid w:val="00AE651F"/>
    <w:rsid w:val="00AE65E9"/>
    <w:rsid w:val="00AE66E8"/>
    <w:rsid w:val="00AE6767"/>
    <w:rsid w:val="00AE67FB"/>
    <w:rsid w:val="00AE6819"/>
    <w:rsid w:val="00AE6855"/>
    <w:rsid w:val="00AE686E"/>
    <w:rsid w:val="00AE68D8"/>
    <w:rsid w:val="00AE6900"/>
    <w:rsid w:val="00AE69C9"/>
    <w:rsid w:val="00AE69E4"/>
    <w:rsid w:val="00AE6AAD"/>
    <w:rsid w:val="00AE6B50"/>
    <w:rsid w:val="00AE6BE2"/>
    <w:rsid w:val="00AE6C50"/>
    <w:rsid w:val="00AE6C65"/>
    <w:rsid w:val="00AE6CB9"/>
    <w:rsid w:val="00AE6DA8"/>
    <w:rsid w:val="00AE6E77"/>
    <w:rsid w:val="00AE6E7E"/>
    <w:rsid w:val="00AE6EAA"/>
    <w:rsid w:val="00AE6FE7"/>
    <w:rsid w:val="00AE7041"/>
    <w:rsid w:val="00AE70BD"/>
    <w:rsid w:val="00AE71A4"/>
    <w:rsid w:val="00AE71CE"/>
    <w:rsid w:val="00AE71DB"/>
    <w:rsid w:val="00AE7258"/>
    <w:rsid w:val="00AE7266"/>
    <w:rsid w:val="00AE734B"/>
    <w:rsid w:val="00AE741A"/>
    <w:rsid w:val="00AE74B8"/>
    <w:rsid w:val="00AE752A"/>
    <w:rsid w:val="00AE7534"/>
    <w:rsid w:val="00AE756E"/>
    <w:rsid w:val="00AE7689"/>
    <w:rsid w:val="00AE77A5"/>
    <w:rsid w:val="00AE790C"/>
    <w:rsid w:val="00AE79AD"/>
    <w:rsid w:val="00AE79B9"/>
    <w:rsid w:val="00AE7AE5"/>
    <w:rsid w:val="00AE7AF3"/>
    <w:rsid w:val="00AE7B3A"/>
    <w:rsid w:val="00AE7BC6"/>
    <w:rsid w:val="00AE7C38"/>
    <w:rsid w:val="00AE7D5B"/>
    <w:rsid w:val="00AE7D60"/>
    <w:rsid w:val="00AE7DF2"/>
    <w:rsid w:val="00AE7DFE"/>
    <w:rsid w:val="00AE7E35"/>
    <w:rsid w:val="00AE7EC4"/>
    <w:rsid w:val="00AE7EDE"/>
    <w:rsid w:val="00AE7F0D"/>
    <w:rsid w:val="00AE7F21"/>
    <w:rsid w:val="00AE7F6D"/>
    <w:rsid w:val="00AE7FB1"/>
    <w:rsid w:val="00AE7FF0"/>
    <w:rsid w:val="00AF007D"/>
    <w:rsid w:val="00AF0108"/>
    <w:rsid w:val="00AF0110"/>
    <w:rsid w:val="00AF01E1"/>
    <w:rsid w:val="00AF0287"/>
    <w:rsid w:val="00AF04FE"/>
    <w:rsid w:val="00AF0693"/>
    <w:rsid w:val="00AF06E7"/>
    <w:rsid w:val="00AF077C"/>
    <w:rsid w:val="00AF07CE"/>
    <w:rsid w:val="00AF07F8"/>
    <w:rsid w:val="00AF0891"/>
    <w:rsid w:val="00AF089C"/>
    <w:rsid w:val="00AF08E7"/>
    <w:rsid w:val="00AF092A"/>
    <w:rsid w:val="00AF0943"/>
    <w:rsid w:val="00AF0A5B"/>
    <w:rsid w:val="00AF0B82"/>
    <w:rsid w:val="00AF0C65"/>
    <w:rsid w:val="00AF0D2D"/>
    <w:rsid w:val="00AF0D6E"/>
    <w:rsid w:val="00AF0D99"/>
    <w:rsid w:val="00AF0D9A"/>
    <w:rsid w:val="00AF0DC3"/>
    <w:rsid w:val="00AF0DCE"/>
    <w:rsid w:val="00AF0E5F"/>
    <w:rsid w:val="00AF0E6B"/>
    <w:rsid w:val="00AF0EB1"/>
    <w:rsid w:val="00AF0EBF"/>
    <w:rsid w:val="00AF0EC3"/>
    <w:rsid w:val="00AF0F60"/>
    <w:rsid w:val="00AF0F7C"/>
    <w:rsid w:val="00AF0FAC"/>
    <w:rsid w:val="00AF106E"/>
    <w:rsid w:val="00AF114F"/>
    <w:rsid w:val="00AF11C3"/>
    <w:rsid w:val="00AF11D4"/>
    <w:rsid w:val="00AF11FD"/>
    <w:rsid w:val="00AF12D3"/>
    <w:rsid w:val="00AF12F1"/>
    <w:rsid w:val="00AF12FB"/>
    <w:rsid w:val="00AF1361"/>
    <w:rsid w:val="00AF1362"/>
    <w:rsid w:val="00AF138F"/>
    <w:rsid w:val="00AF13E1"/>
    <w:rsid w:val="00AF140F"/>
    <w:rsid w:val="00AF1412"/>
    <w:rsid w:val="00AF1456"/>
    <w:rsid w:val="00AF145B"/>
    <w:rsid w:val="00AF14BB"/>
    <w:rsid w:val="00AF14E5"/>
    <w:rsid w:val="00AF155B"/>
    <w:rsid w:val="00AF160C"/>
    <w:rsid w:val="00AF160D"/>
    <w:rsid w:val="00AF164B"/>
    <w:rsid w:val="00AF16AE"/>
    <w:rsid w:val="00AF16DC"/>
    <w:rsid w:val="00AF172F"/>
    <w:rsid w:val="00AF17D7"/>
    <w:rsid w:val="00AF19A2"/>
    <w:rsid w:val="00AF1A39"/>
    <w:rsid w:val="00AF1AA8"/>
    <w:rsid w:val="00AF1ACA"/>
    <w:rsid w:val="00AF1ACF"/>
    <w:rsid w:val="00AF1C3B"/>
    <w:rsid w:val="00AF1C75"/>
    <w:rsid w:val="00AF1D2E"/>
    <w:rsid w:val="00AF1DEB"/>
    <w:rsid w:val="00AF1E54"/>
    <w:rsid w:val="00AF1E8D"/>
    <w:rsid w:val="00AF1EE1"/>
    <w:rsid w:val="00AF1F9A"/>
    <w:rsid w:val="00AF20C9"/>
    <w:rsid w:val="00AF213E"/>
    <w:rsid w:val="00AF2167"/>
    <w:rsid w:val="00AF2174"/>
    <w:rsid w:val="00AF21AE"/>
    <w:rsid w:val="00AF21B2"/>
    <w:rsid w:val="00AF21D8"/>
    <w:rsid w:val="00AF2239"/>
    <w:rsid w:val="00AF2252"/>
    <w:rsid w:val="00AF22FD"/>
    <w:rsid w:val="00AF2371"/>
    <w:rsid w:val="00AF2426"/>
    <w:rsid w:val="00AF2495"/>
    <w:rsid w:val="00AF252E"/>
    <w:rsid w:val="00AF253F"/>
    <w:rsid w:val="00AF25BE"/>
    <w:rsid w:val="00AF25CC"/>
    <w:rsid w:val="00AF2641"/>
    <w:rsid w:val="00AF26B0"/>
    <w:rsid w:val="00AF27A2"/>
    <w:rsid w:val="00AF2874"/>
    <w:rsid w:val="00AF28D4"/>
    <w:rsid w:val="00AF291F"/>
    <w:rsid w:val="00AF2934"/>
    <w:rsid w:val="00AF29A0"/>
    <w:rsid w:val="00AF29CD"/>
    <w:rsid w:val="00AF29FE"/>
    <w:rsid w:val="00AF2A1B"/>
    <w:rsid w:val="00AF2A27"/>
    <w:rsid w:val="00AF2AA9"/>
    <w:rsid w:val="00AF2AAB"/>
    <w:rsid w:val="00AF2AD3"/>
    <w:rsid w:val="00AF2AEE"/>
    <w:rsid w:val="00AF2AFD"/>
    <w:rsid w:val="00AF2B01"/>
    <w:rsid w:val="00AF2B42"/>
    <w:rsid w:val="00AF2B5E"/>
    <w:rsid w:val="00AF2C04"/>
    <w:rsid w:val="00AF2C73"/>
    <w:rsid w:val="00AF2CEB"/>
    <w:rsid w:val="00AF2D73"/>
    <w:rsid w:val="00AF2DA9"/>
    <w:rsid w:val="00AF2DB2"/>
    <w:rsid w:val="00AF2E51"/>
    <w:rsid w:val="00AF2E5C"/>
    <w:rsid w:val="00AF2E61"/>
    <w:rsid w:val="00AF2E6C"/>
    <w:rsid w:val="00AF2F30"/>
    <w:rsid w:val="00AF2F58"/>
    <w:rsid w:val="00AF2FEB"/>
    <w:rsid w:val="00AF3002"/>
    <w:rsid w:val="00AF305B"/>
    <w:rsid w:val="00AF30AF"/>
    <w:rsid w:val="00AF3111"/>
    <w:rsid w:val="00AF31FF"/>
    <w:rsid w:val="00AF3258"/>
    <w:rsid w:val="00AF3274"/>
    <w:rsid w:val="00AF32EC"/>
    <w:rsid w:val="00AF330F"/>
    <w:rsid w:val="00AF3376"/>
    <w:rsid w:val="00AF33CF"/>
    <w:rsid w:val="00AF33FB"/>
    <w:rsid w:val="00AF342F"/>
    <w:rsid w:val="00AF344E"/>
    <w:rsid w:val="00AF353E"/>
    <w:rsid w:val="00AF3586"/>
    <w:rsid w:val="00AF364E"/>
    <w:rsid w:val="00AF3714"/>
    <w:rsid w:val="00AF382B"/>
    <w:rsid w:val="00AF38A1"/>
    <w:rsid w:val="00AF38B8"/>
    <w:rsid w:val="00AF38CE"/>
    <w:rsid w:val="00AF38E1"/>
    <w:rsid w:val="00AF391E"/>
    <w:rsid w:val="00AF3960"/>
    <w:rsid w:val="00AF397C"/>
    <w:rsid w:val="00AF39AB"/>
    <w:rsid w:val="00AF3A09"/>
    <w:rsid w:val="00AF3A7C"/>
    <w:rsid w:val="00AF3B64"/>
    <w:rsid w:val="00AF3BAC"/>
    <w:rsid w:val="00AF3BCF"/>
    <w:rsid w:val="00AF3C0D"/>
    <w:rsid w:val="00AF3C13"/>
    <w:rsid w:val="00AF3C92"/>
    <w:rsid w:val="00AF3CE7"/>
    <w:rsid w:val="00AF3D0D"/>
    <w:rsid w:val="00AF3DE2"/>
    <w:rsid w:val="00AF3E2A"/>
    <w:rsid w:val="00AF3E35"/>
    <w:rsid w:val="00AF3E9A"/>
    <w:rsid w:val="00AF3FE6"/>
    <w:rsid w:val="00AF4032"/>
    <w:rsid w:val="00AF40CB"/>
    <w:rsid w:val="00AF40E6"/>
    <w:rsid w:val="00AF40FE"/>
    <w:rsid w:val="00AF415B"/>
    <w:rsid w:val="00AF4169"/>
    <w:rsid w:val="00AF41FD"/>
    <w:rsid w:val="00AF430B"/>
    <w:rsid w:val="00AF4352"/>
    <w:rsid w:val="00AF436B"/>
    <w:rsid w:val="00AF43E2"/>
    <w:rsid w:val="00AF43F5"/>
    <w:rsid w:val="00AF4597"/>
    <w:rsid w:val="00AF459E"/>
    <w:rsid w:val="00AF45BC"/>
    <w:rsid w:val="00AF45BF"/>
    <w:rsid w:val="00AF45D9"/>
    <w:rsid w:val="00AF45E9"/>
    <w:rsid w:val="00AF4669"/>
    <w:rsid w:val="00AF468C"/>
    <w:rsid w:val="00AF468F"/>
    <w:rsid w:val="00AF4857"/>
    <w:rsid w:val="00AF487D"/>
    <w:rsid w:val="00AF4914"/>
    <w:rsid w:val="00AF4A01"/>
    <w:rsid w:val="00AF4B40"/>
    <w:rsid w:val="00AF4BA3"/>
    <w:rsid w:val="00AF4CBA"/>
    <w:rsid w:val="00AF4CFC"/>
    <w:rsid w:val="00AF4D3F"/>
    <w:rsid w:val="00AF4D57"/>
    <w:rsid w:val="00AF4D7F"/>
    <w:rsid w:val="00AF4DD7"/>
    <w:rsid w:val="00AF4E24"/>
    <w:rsid w:val="00AF4E7B"/>
    <w:rsid w:val="00AF4F24"/>
    <w:rsid w:val="00AF4F50"/>
    <w:rsid w:val="00AF4FA3"/>
    <w:rsid w:val="00AF500E"/>
    <w:rsid w:val="00AF502C"/>
    <w:rsid w:val="00AF506B"/>
    <w:rsid w:val="00AF5081"/>
    <w:rsid w:val="00AF50E9"/>
    <w:rsid w:val="00AF50EE"/>
    <w:rsid w:val="00AF5181"/>
    <w:rsid w:val="00AF518A"/>
    <w:rsid w:val="00AF51D4"/>
    <w:rsid w:val="00AF5215"/>
    <w:rsid w:val="00AF524C"/>
    <w:rsid w:val="00AF533A"/>
    <w:rsid w:val="00AF5353"/>
    <w:rsid w:val="00AF5426"/>
    <w:rsid w:val="00AF5453"/>
    <w:rsid w:val="00AF54EC"/>
    <w:rsid w:val="00AF5522"/>
    <w:rsid w:val="00AF553D"/>
    <w:rsid w:val="00AF55D6"/>
    <w:rsid w:val="00AF55F3"/>
    <w:rsid w:val="00AF5636"/>
    <w:rsid w:val="00AF5697"/>
    <w:rsid w:val="00AF56DD"/>
    <w:rsid w:val="00AF56E0"/>
    <w:rsid w:val="00AF5734"/>
    <w:rsid w:val="00AF575C"/>
    <w:rsid w:val="00AF576E"/>
    <w:rsid w:val="00AF5836"/>
    <w:rsid w:val="00AF587B"/>
    <w:rsid w:val="00AF58C2"/>
    <w:rsid w:val="00AF58FC"/>
    <w:rsid w:val="00AF5943"/>
    <w:rsid w:val="00AF5945"/>
    <w:rsid w:val="00AF59D7"/>
    <w:rsid w:val="00AF5A39"/>
    <w:rsid w:val="00AF5A9D"/>
    <w:rsid w:val="00AF5B02"/>
    <w:rsid w:val="00AF5BC0"/>
    <w:rsid w:val="00AF5C99"/>
    <w:rsid w:val="00AF5CB0"/>
    <w:rsid w:val="00AF5CD4"/>
    <w:rsid w:val="00AF5D00"/>
    <w:rsid w:val="00AF5D92"/>
    <w:rsid w:val="00AF5E37"/>
    <w:rsid w:val="00AF5EB3"/>
    <w:rsid w:val="00AF5ECC"/>
    <w:rsid w:val="00AF5F03"/>
    <w:rsid w:val="00AF5F49"/>
    <w:rsid w:val="00AF5F50"/>
    <w:rsid w:val="00AF5F5E"/>
    <w:rsid w:val="00AF5FD0"/>
    <w:rsid w:val="00AF601E"/>
    <w:rsid w:val="00AF607C"/>
    <w:rsid w:val="00AF6118"/>
    <w:rsid w:val="00AF61A4"/>
    <w:rsid w:val="00AF61FA"/>
    <w:rsid w:val="00AF62DB"/>
    <w:rsid w:val="00AF6462"/>
    <w:rsid w:val="00AF6481"/>
    <w:rsid w:val="00AF6490"/>
    <w:rsid w:val="00AF64B6"/>
    <w:rsid w:val="00AF64F0"/>
    <w:rsid w:val="00AF652E"/>
    <w:rsid w:val="00AF6530"/>
    <w:rsid w:val="00AF65FA"/>
    <w:rsid w:val="00AF6606"/>
    <w:rsid w:val="00AF66AC"/>
    <w:rsid w:val="00AF66B8"/>
    <w:rsid w:val="00AF66DE"/>
    <w:rsid w:val="00AF6727"/>
    <w:rsid w:val="00AF67A2"/>
    <w:rsid w:val="00AF6802"/>
    <w:rsid w:val="00AF68E8"/>
    <w:rsid w:val="00AF6919"/>
    <w:rsid w:val="00AF694B"/>
    <w:rsid w:val="00AF6966"/>
    <w:rsid w:val="00AF696C"/>
    <w:rsid w:val="00AF69CF"/>
    <w:rsid w:val="00AF6A6A"/>
    <w:rsid w:val="00AF6A6D"/>
    <w:rsid w:val="00AF6AB6"/>
    <w:rsid w:val="00AF6AC3"/>
    <w:rsid w:val="00AF6B53"/>
    <w:rsid w:val="00AF6B92"/>
    <w:rsid w:val="00AF6CAC"/>
    <w:rsid w:val="00AF6DEE"/>
    <w:rsid w:val="00AF6E07"/>
    <w:rsid w:val="00AF6E08"/>
    <w:rsid w:val="00AF6E2E"/>
    <w:rsid w:val="00AF6E4A"/>
    <w:rsid w:val="00AF6E6E"/>
    <w:rsid w:val="00AF6EE7"/>
    <w:rsid w:val="00AF6F19"/>
    <w:rsid w:val="00AF6F1C"/>
    <w:rsid w:val="00AF6F40"/>
    <w:rsid w:val="00AF6F80"/>
    <w:rsid w:val="00AF6F8B"/>
    <w:rsid w:val="00AF6FC0"/>
    <w:rsid w:val="00AF7010"/>
    <w:rsid w:val="00AF70ED"/>
    <w:rsid w:val="00AF71C7"/>
    <w:rsid w:val="00AF7200"/>
    <w:rsid w:val="00AF725F"/>
    <w:rsid w:val="00AF72C1"/>
    <w:rsid w:val="00AF7340"/>
    <w:rsid w:val="00AF7365"/>
    <w:rsid w:val="00AF741A"/>
    <w:rsid w:val="00AF7459"/>
    <w:rsid w:val="00AF748A"/>
    <w:rsid w:val="00AF74FE"/>
    <w:rsid w:val="00AF751B"/>
    <w:rsid w:val="00AF7578"/>
    <w:rsid w:val="00AF758B"/>
    <w:rsid w:val="00AF75D4"/>
    <w:rsid w:val="00AF75FB"/>
    <w:rsid w:val="00AF76F1"/>
    <w:rsid w:val="00AF7778"/>
    <w:rsid w:val="00AF77E3"/>
    <w:rsid w:val="00AF7837"/>
    <w:rsid w:val="00AF796E"/>
    <w:rsid w:val="00AF79A4"/>
    <w:rsid w:val="00AF79D9"/>
    <w:rsid w:val="00AF7A35"/>
    <w:rsid w:val="00AF7A76"/>
    <w:rsid w:val="00AF7B5E"/>
    <w:rsid w:val="00AF7B7F"/>
    <w:rsid w:val="00AF7B83"/>
    <w:rsid w:val="00AF7BAE"/>
    <w:rsid w:val="00AF7BFA"/>
    <w:rsid w:val="00AF7C4C"/>
    <w:rsid w:val="00AF7C8C"/>
    <w:rsid w:val="00AF7CF6"/>
    <w:rsid w:val="00AF7D24"/>
    <w:rsid w:val="00AF7D78"/>
    <w:rsid w:val="00AF7D7F"/>
    <w:rsid w:val="00AF7D84"/>
    <w:rsid w:val="00AF7D86"/>
    <w:rsid w:val="00AF7E23"/>
    <w:rsid w:val="00AF7ED5"/>
    <w:rsid w:val="00AF7F77"/>
    <w:rsid w:val="00AF7F89"/>
    <w:rsid w:val="00AF7FC6"/>
    <w:rsid w:val="00B0016D"/>
    <w:rsid w:val="00B0017D"/>
    <w:rsid w:val="00B00225"/>
    <w:rsid w:val="00B0027D"/>
    <w:rsid w:val="00B002FF"/>
    <w:rsid w:val="00B00367"/>
    <w:rsid w:val="00B00468"/>
    <w:rsid w:val="00B00495"/>
    <w:rsid w:val="00B004BC"/>
    <w:rsid w:val="00B004CC"/>
    <w:rsid w:val="00B004F3"/>
    <w:rsid w:val="00B00525"/>
    <w:rsid w:val="00B00568"/>
    <w:rsid w:val="00B005EB"/>
    <w:rsid w:val="00B00636"/>
    <w:rsid w:val="00B0064A"/>
    <w:rsid w:val="00B00697"/>
    <w:rsid w:val="00B00769"/>
    <w:rsid w:val="00B0077E"/>
    <w:rsid w:val="00B007EC"/>
    <w:rsid w:val="00B007FC"/>
    <w:rsid w:val="00B00842"/>
    <w:rsid w:val="00B0084B"/>
    <w:rsid w:val="00B00860"/>
    <w:rsid w:val="00B00949"/>
    <w:rsid w:val="00B00AFF"/>
    <w:rsid w:val="00B00B07"/>
    <w:rsid w:val="00B00B50"/>
    <w:rsid w:val="00B00B7A"/>
    <w:rsid w:val="00B00BAE"/>
    <w:rsid w:val="00B00BD8"/>
    <w:rsid w:val="00B00C4A"/>
    <w:rsid w:val="00B00C6E"/>
    <w:rsid w:val="00B00C97"/>
    <w:rsid w:val="00B00D12"/>
    <w:rsid w:val="00B00D6E"/>
    <w:rsid w:val="00B00D89"/>
    <w:rsid w:val="00B00D9B"/>
    <w:rsid w:val="00B00DCC"/>
    <w:rsid w:val="00B00E88"/>
    <w:rsid w:val="00B00EBE"/>
    <w:rsid w:val="00B00F9C"/>
    <w:rsid w:val="00B00FF9"/>
    <w:rsid w:val="00B01012"/>
    <w:rsid w:val="00B0102B"/>
    <w:rsid w:val="00B010B9"/>
    <w:rsid w:val="00B010CA"/>
    <w:rsid w:val="00B01105"/>
    <w:rsid w:val="00B01132"/>
    <w:rsid w:val="00B011AC"/>
    <w:rsid w:val="00B01204"/>
    <w:rsid w:val="00B012B7"/>
    <w:rsid w:val="00B01357"/>
    <w:rsid w:val="00B0138E"/>
    <w:rsid w:val="00B0138F"/>
    <w:rsid w:val="00B013FA"/>
    <w:rsid w:val="00B01420"/>
    <w:rsid w:val="00B0142E"/>
    <w:rsid w:val="00B014C1"/>
    <w:rsid w:val="00B014CA"/>
    <w:rsid w:val="00B01532"/>
    <w:rsid w:val="00B0154D"/>
    <w:rsid w:val="00B01639"/>
    <w:rsid w:val="00B017BE"/>
    <w:rsid w:val="00B017E5"/>
    <w:rsid w:val="00B017FC"/>
    <w:rsid w:val="00B0182E"/>
    <w:rsid w:val="00B01896"/>
    <w:rsid w:val="00B018C0"/>
    <w:rsid w:val="00B01905"/>
    <w:rsid w:val="00B0195E"/>
    <w:rsid w:val="00B01985"/>
    <w:rsid w:val="00B01A9F"/>
    <w:rsid w:val="00B01B8D"/>
    <w:rsid w:val="00B01BEE"/>
    <w:rsid w:val="00B01CDF"/>
    <w:rsid w:val="00B01CE3"/>
    <w:rsid w:val="00B01D0E"/>
    <w:rsid w:val="00B01D19"/>
    <w:rsid w:val="00B01D5A"/>
    <w:rsid w:val="00B01EA3"/>
    <w:rsid w:val="00B01EAE"/>
    <w:rsid w:val="00B01ED3"/>
    <w:rsid w:val="00B01F4E"/>
    <w:rsid w:val="00B0206C"/>
    <w:rsid w:val="00B0214B"/>
    <w:rsid w:val="00B02255"/>
    <w:rsid w:val="00B022BF"/>
    <w:rsid w:val="00B022F2"/>
    <w:rsid w:val="00B022F9"/>
    <w:rsid w:val="00B02334"/>
    <w:rsid w:val="00B0233B"/>
    <w:rsid w:val="00B023A9"/>
    <w:rsid w:val="00B02444"/>
    <w:rsid w:val="00B0248B"/>
    <w:rsid w:val="00B02551"/>
    <w:rsid w:val="00B02577"/>
    <w:rsid w:val="00B02590"/>
    <w:rsid w:val="00B025D0"/>
    <w:rsid w:val="00B025D1"/>
    <w:rsid w:val="00B0261E"/>
    <w:rsid w:val="00B02636"/>
    <w:rsid w:val="00B026FE"/>
    <w:rsid w:val="00B027A8"/>
    <w:rsid w:val="00B027C9"/>
    <w:rsid w:val="00B027CE"/>
    <w:rsid w:val="00B02815"/>
    <w:rsid w:val="00B02841"/>
    <w:rsid w:val="00B02843"/>
    <w:rsid w:val="00B0286B"/>
    <w:rsid w:val="00B0289C"/>
    <w:rsid w:val="00B02979"/>
    <w:rsid w:val="00B02995"/>
    <w:rsid w:val="00B029C0"/>
    <w:rsid w:val="00B02AA2"/>
    <w:rsid w:val="00B02AAB"/>
    <w:rsid w:val="00B02B04"/>
    <w:rsid w:val="00B02B52"/>
    <w:rsid w:val="00B02B90"/>
    <w:rsid w:val="00B02C0B"/>
    <w:rsid w:val="00B02C41"/>
    <w:rsid w:val="00B02CB6"/>
    <w:rsid w:val="00B02CF7"/>
    <w:rsid w:val="00B02CFE"/>
    <w:rsid w:val="00B02D0D"/>
    <w:rsid w:val="00B02D30"/>
    <w:rsid w:val="00B02D41"/>
    <w:rsid w:val="00B02DA6"/>
    <w:rsid w:val="00B02E05"/>
    <w:rsid w:val="00B02E60"/>
    <w:rsid w:val="00B02EC7"/>
    <w:rsid w:val="00B02ED3"/>
    <w:rsid w:val="00B02ED7"/>
    <w:rsid w:val="00B02F4C"/>
    <w:rsid w:val="00B02FDF"/>
    <w:rsid w:val="00B03048"/>
    <w:rsid w:val="00B0305B"/>
    <w:rsid w:val="00B0306B"/>
    <w:rsid w:val="00B030C5"/>
    <w:rsid w:val="00B0311B"/>
    <w:rsid w:val="00B03141"/>
    <w:rsid w:val="00B03170"/>
    <w:rsid w:val="00B03179"/>
    <w:rsid w:val="00B031D0"/>
    <w:rsid w:val="00B031EE"/>
    <w:rsid w:val="00B03215"/>
    <w:rsid w:val="00B0323D"/>
    <w:rsid w:val="00B0331A"/>
    <w:rsid w:val="00B03338"/>
    <w:rsid w:val="00B034F2"/>
    <w:rsid w:val="00B03579"/>
    <w:rsid w:val="00B0364F"/>
    <w:rsid w:val="00B036E3"/>
    <w:rsid w:val="00B037FB"/>
    <w:rsid w:val="00B03876"/>
    <w:rsid w:val="00B03889"/>
    <w:rsid w:val="00B03907"/>
    <w:rsid w:val="00B03995"/>
    <w:rsid w:val="00B039DA"/>
    <w:rsid w:val="00B03AD8"/>
    <w:rsid w:val="00B03B28"/>
    <w:rsid w:val="00B03B3A"/>
    <w:rsid w:val="00B03B5A"/>
    <w:rsid w:val="00B03B5F"/>
    <w:rsid w:val="00B03B68"/>
    <w:rsid w:val="00B03B77"/>
    <w:rsid w:val="00B03C91"/>
    <w:rsid w:val="00B03C9E"/>
    <w:rsid w:val="00B03E12"/>
    <w:rsid w:val="00B03E55"/>
    <w:rsid w:val="00B03EDF"/>
    <w:rsid w:val="00B03F1B"/>
    <w:rsid w:val="00B04054"/>
    <w:rsid w:val="00B0413B"/>
    <w:rsid w:val="00B041A9"/>
    <w:rsid w:val="00B041FF"/>
    <w:rsid w:val="00B0426F"/>
    <w:rsid w:val="00B042C7"/>
    <w:rsid w:val="00B0433A"/>
    <w:rsid w:val="00B043BB"/>
    <w:rsid w:val="00B043C4"/>
    <w:rsid w:val="00B043DC"/>
    <w:rsid w:val="00B043E3"/>
    <w:rsid w:val="00B0446E"/>
    <w:rsid w:val="00B044C9"/>
    <w:rsid w:val="00B0451A"/>
    <w:rsid w:val="00B04550"/>
    <w:rsid w:val="00B045A3"/>
    <w:rsid w:val="00B045D8"/>
    <w:rsid w:val="00B04657"/>
    <w:rsid w:val="00B0468A"/>
    <w:rsid w:val="00B046A3"/>
    <w:rsid w:val="00B0471C"/>
    <w:rsid w:val="00B0476E"/>
    <w:rsid w:val="00B04787"/>
    <w:rsid w:val="00B0480E"/>
    <w:rsid w:val="00B04891"/>
    <w:rsid w:val="00B04917"/>
    <w:rsid w:val="00B04931"/>
    <w:rsid w:val="00B0495C"/>
    <w:rsid w:val="00B04995"/>
    <w:rsid w:val="00B049B4"/>
    <w:rsid w:val="00B04A1F"/>
    <w:rsid w:val="00B04A89"/>
    <w:rsid w:val="00B04BB1"/>
    <w:rsid w:val="00B04D8D"/>
    <w:rsid w:val="00B04DB9"/>
    <w:rsid w:val="00B04DD5"/>
    <w:rsid w:val="00B04DDE"/>
    <w:rsid w:val="00B04DF5"/>
    <w:rsid w:val="00B04E2A"/>
    <w:rsid w:val="00B04E83"/>
    <w:rsid w:val="00B04F36"/>
    <w:rsid w:val="00B04F51"/>
    <w:rsid w:val="00B04F70"/>
    <w:rsid w:val="00B04FDE"/>
    <w:rsid w:val="00B05015"/>
    <w:rsid w:val="00B0501E"/>
    <w:rsid w:val="00B0510F"/>
    <w:rsid w:val="00B051FC"/>
    <w:rsid w:val="00B0522A"/>
    <w:rsid w:val="00B0526B"/>
    <w:rsid w:val="00B0527D"/>
    <w:rsid w:val="00B052B7"/>
    <w:rsid w:val="00B052D8"/>
    <w:rsid w:val="00B0531F"/>
    <w:rsid w:val="00B053BC"/>
    <w:rsid w:val="00B053BF"/>
    <w:rsid w:val="00B053E1"/>
    <w:rsid w:val="00B05482"/>
    <w:rsid w:val="00B055FE"/>
    <w:rsid w:val="00B05642"/>
    <w:rsid w:val="00B0565D"/>
    <w:rsid w:val="00B056D5"/>
    <w:rsid w:val="00B05743"/>
    <w:rsid w:val="00B057A8"/>
    <w:rsid w:val="00B057AC"/>
    <w:rsid w:val="00B057CF"/>
    <w:rsid w:val="00B05812"/>
    <w:rsid w:val="00B05838"/>
    <w:rsid w:val="00B058A1"/>
    <w:rsid w:val="00B058B7"/>
    <w:rsid w:val="00B05947"/>
    <w:rsid w:val="00B05A16"/>
    <w:rsid w:val="00B05A1D"/>
    <w:rsid w:val="00B05A5F"/>
    <w:rsid w:val="00B05A8F"/>
    <w:rsid w:val="00B05AF3"/>
    <w:rsid w:val="00B05BBF"/>
    <w:rsid w:val="00B05C05"/>
    <w:rsid w:val="00B05CE6"/>
    <w:rsid w:val="00B05D6A"/>
    <w:rsid w:val="00B05DE3"/>
    <w:rsid w:val="00B05EFC"/>
    <w:rsid w:val="00B05F58"/>
    <w:rsid w:val="00B05FE3"/>
    <w:rsid w:val="00B060A5"/>
    <w:rsid w:val="00B060CE"/>
    <w:rsid w:val="00B0612D"/>
    <w:rsid w:val="00B0616F"/>
    <w:rsid w:val="00B061B9"/>
    <w:rsid w:val="00B061CD"/>
    <w:rsid w:val="00B0631F"/>
    <w:rsid w:val="00B0641E"/>
    <w:rsid w:val="00B06447"/>
    <w:rsid w:val="00B0645A"/>
    <w:rsid w:val="00B06468"/>
    <w:rsid w:val="00B064E1"/>
    <w:rsid w:val="00B06526"/>
    <w:rsid w:val="00B0653A"/>
    <w:rsid w:val="00B06576"/>
    <w:rsid w:val="00B065DC"/>
    <w:rsid w:val="00B065EC"/>
    <w:rsid w:val="00B0661C"/>
    <w:rsid w:val="00B06641"/>
    <w:rsid w:val="00B066EC"/>
    <w:rsid w:val="00B06845"/>
    <w:rsid w:val="00B06888"/>
    <w:rsid w:val="00B0689C"/>
    <w:rsid w:val="00B0690B"/>
    <w:rsid w:val="00B06947"/>
    <w:rsid w:val="00B06962"/>
    <w:rsid w:val="00B069B7"/>
    <w:rsid w:val="00B069CB"/>
    <w:rsid w:val="00B06A3D"/>
    <w:rsid w:val="00B06A64"/>
    <w:rsid w:val="00B06AB9"/>
    <w:rsid w:val="00B06B02"/>
    <w:rsid w:val="00B06B21"/>
    <w:rsid w:val="00B06B57"/>
    <w:rsid w:val="00B06C0C"/>
    <w:rsid w:val="00B06C5A"/>
    <w:rsid w:val="00B06D44"/>
    <w:rsid w:val="00B06D51"/>
    <w:rsid w:val="00B06D56"/>
    <w:rsid w:val="00B06DE4"/>
    <w:rsid w:val="00B06E0B"/>
    <w:rsid w:val="00B06E7E"/>
    <w:rsid w:val="00B06EF7"/>
    <w:rsid w:val="00B06F1A"/>
    <w:rsid w:val="00B06F32"/>
    <w:rsid w:val="00B06F61"/>
    <w:rsid w:val="00B06FB3"/>
    <w:rsid w:val="00B06FCB"/>
    <w:rsid w:val="00B0700C"/>
    <w:rsid w:val="00B07094"/>
    <w:rsid w:val="00B0709C"/>
    <w:rsid w:val="00B070B2"/>
    <w:rsid w:val="00B070BA"/>
    <w:rsid w:val="00B070E6"/>
    <w:rsid w:val="00B070FB"/>
    <w:rsid w:val="00B0711B"/>
    <w:rsid w:val="00B0713C"/>
    <w:rsid w:val="00B07143"/>
    <w:rsid w:val="00B07158"/>
    <w:rsid w:val="00B07161"/>
    <w:rsid w:val="00B071C1"/>
    <w:rsid w:val="00B07253"/>
    <w:rsid w:val="00B072A9"/>
    <w:rsid w:val="00B072AE"/>
    <w:rsid w:val="00B07331"/>
    <w:rsid w:val="00B07397"/>
    <w:rsid w:val="00B073A2"/>
    <w:rsid w:val="00B073B1"/>
    <w:rsid w:val="00B073CD"/>
    <w:rsid w:val="00B07448"/>
    <w:rsid w:val="00B07454"/>
    <w:rsid w:val="00B0745E"/>
    <w:rsid w:val="00B074E1"/>
    <w:rsid w:val="00B07556"/>
    <w:rsid w:val="00B07578"/>
    <w:rsid w:val="00B07641"/>
    <w:rsid w:val="00B07644"/>
    <w:rsid w:val="00B07702"/>
    <w:rsid w:val="00B07792"/>
    <w:rsid w:val="00B07828"/>
    <w:rsid w:val="00B0782F"/>
    <w:rsid w:val="00B0787B"/>
    <w:rsid w:val="00B07916"/>
    <w:rsid w:val="00B07963"/>
    <w:rsid w:val="00B079BF"/>
    <w:rsid w:val="00B079E5"/>
    <w:rsid w:val="00B07A4D"/>
    <w:rsid w:val="00B07A79"/>
    <w:rsid w:val="00B07A9B"/>
    <w:rsid w:val="00B07B2B"/>
    <w:rsid w:val="00B07BA8"/>
    <w:rsid w:val="00B07CAB"/>
    <w:rsid w:val="00B07D97"/>
    <w:rsid w:val="00B07E28"/>
    <w:rsid w:val="00B07E7B"/>
    <w:rsid w:val="00B07EF0"/>
    <w:rsid w:val="00B07F4C"/>
    <w:rsid w:val="00B07F59"/>
    <w:rsid w:val="00B07F96"/>
    <w:rsid w:val="00B07FA8"/>
    <w:rsid w:val="00B07FC6"/>
    <w:rsid w:val="00B07FD7"/>
    <w:rsid w:val="00B07FF0"/>
    <w:rsid w:val="00B10027"/>
    <w:rsid w:val="00B10039"/>
    <w:rsid w:val="00B1005E"/>
    <w:rsid w:val="00B1008B"/>
    <w:rsid w:val="00B10139"/>
    <w:rsid w:val="00B10174"/>
    <w:rsid w:val="00B10175"/>
    <w:rsid w:val="00B101B5"/>
    <w:rsid w:val="00B1033A"/>
    <w:rsid w:val="00B1037E"/>
    <w:rsid w:val="00B103B0"/>
    <w:rsid w:val="00B1052D"/>
    <w:rsid w:val="00B10535"/>
    <w:rsid w:val="00B10541"/>
    <w:rsid w:val="00B1055B"/>
    <w:rsid w:val="00B105C8"/>
    <w:rsid w:val="00B106B8"/>
    <w:rsid w:val="00B1074A"/>
    <w:rsid w:val="00B10784"/>
    <w:rsid w:val="00B107D8"/>
    <w:rsid w:val="00B108B4"/>
    <w:rsid w:val="00B108E9"/>
    <w:rsid w:val="00B10955"/>
    <w:rsid w:val="00B1097A"/>
    <w:rsid w:val="00B109BB"/>
    <w:rsid w:val="00B10A02"/>
    <w:rsid w:val="00B10A77"/>
    <w:rsid w:val="00B10A7F"/>
    <w:rsid w:val="00B10AE5"/>
    <w:rsid w:val="00B10B17"/>
    <w:rsid w:val="00B10BF5"/>
    <w:rsid w:val="00B10BF6"/>
    <w:rsid w:val="00B10C55"/>
    <w:rsid w:val="00B10C59"/>
    <w:rsid w:val="00B10C6B"/>
    <w:rsid w:val="00B10D5D"/>
    <w:rsid w:val="00B10D8C"/>
    <w:rsid w:val="00B10DB7"/>
    <w:rsid w:val="00B10E32"/>
    <w:rsid w:val="00B10E45"/>
    <w:rsid w:val="00B10F55"/>
    <w:rsid w:val="00B10F7F"/>
    <w:rsid w:val="00B1100A"/>
    <w:rsid w:val="00B1109D"/>
    <w:rsid w:val="00B110F4"/>
    <w:rsid w:val="00B11120"/>
    <w:rsid w:val="00B11139"/>
    <w:rsid w:val="00B111D4"/>
    <w:rsid w:val="00B111D6"/>
    <w:rsid w:val="00B111F6"/>
    <w:rsid w:val="00B11214"/>
    <w:rsid w:val="00B1123F"/>
    <w:rsid w:val="00B1126B"/>
    <w:rsid w:val="00B11290"/>
    <w:rsid w:val="00B112A3"/>
    <w:rsid w:val="00B11327"/>
    <w:rsid w:val="00B11335"/>
    <w:rsid w:val="00B113B8"/>
    <w:rsid w:val="00B11438"/>
    <w:rsid w:val="00B11481"/>
    <w:rsid w:val="00B11628"/>
    <w:rsid w:val="00B11631"/>
    <w:rsid w:val="00B11645"/>
    <w:rsid w:val="00B11664"/>
    <w:rsid w:val="00B11666"/>
    <w:rsid w:val="00B1166A"/>
    <w:rsid w:val="00B116C4"/>
    <w:rsid w:val="00B116D0"/>
    <w:rsid w:val="00B116D2"/>
    <w:rsid w:val="00B116E5"/>
    <w:rsid w:val="00B1171B"/>
    <w:rsid w:val="00B11735"/>
    <w:rsid w:val="00B1178A"/>
    <w:rsid w:val="00B117ED"/>
    <w:rsid w:val="00B1187A"/>
    <w:rsid w:val="00B11885"/>
    <w:rsid w:val="00B118B7"/>
    <w:rsid w:val="00B118EC"/>
    <w:rsid w:val="00B118EE"/>
    <w:rsid w:val="00B11913"/>
    <w:rsid w:val="00B11917"/>
    <w:rsid w:val="00B1192C"/>
    <w:rsid w:val="00B11936"/>
    <w:rsid w:val="00B1194C"/>
    <w:rsid w:val="00B1199D"/>
    <w:rsid w:val="00B11ABA"/>
    <w:rsid w:val="00B11AEA"/>
    <w:rsid w:val="00B11AED"/>
    <w:rsid w:val="00B11B17"/>
    <w:rsid w:val="00B11B2B"/>
    <w:rsid w:val="00B11B96"/>
    <w:rsid w:val="00B11BB1"/>
    <w:rsid w:val="00B11C0E"/>
    <w:rsid w:val="00B11C10"/>
    <w:rsid w:val="00B11C29"/>
    <w:rsid w:val="00B11C45"/>
    <w:rsid w:val="00B11CE7"/>
    <w:rsid w:val="00B11D84"/>
    <w:rsid w:val="00B11DAE"/>
    <w:rsid w:val="00B11DC5"/>
    <w:rsid w:val="00B11DEE"/>
    <w:rsid w:val="00B11E8F"/>
    <w:rsid w:val="00B11EA2"/>
    <w:rsid w:val="00B11FA8"/>
    <w:rsid w:val="00B11FF7"/>
    <w:rsid w:val="00B11FFD"/>
    <w:rsid w:val="00B1204C"/>
    <w:rsid w:val="00B12054"/>
    <w:rsid w:val="00B120E4"/>
    <w:rsid w:val="00B1211F"/>
    <w:rsid w:val="00B12140"/>
    <w:rsid w:val="00B121FC"/>
    <w:rsid w:val="00B1222E"/>
    <w:rsid w:val="00B12240"/>
    <w:rsid w:val="00B12259"/>
    <w:rsid w:val="00B122A2"/>
    <w:rsid w:val="00B122C7"/>
    <w:rsid w:val="00B1241C"/>
    <w:rsid w:val="00B124B8"/>
    <w:rsid w:val="00B12501"/>
    <w:rsid w:val="00B12585"/>
    <w:rsid w:val="00B12591"/>
    <w:rsid w:val="00B12611"/>
    <w:rsid w:val="00B12706"/>
    <w:rsid w:val="00B1278A"/>
    <w:rsid w:val="00B1279B"/>
    <w:rsid w:val="00B127D0"/>
    <w:rsid w:val="00B12830"/>
    <w:rsid w:val="00B12850"/>
    <w:rsid w:val="00B12867"/>
    <w:rsid w:val="00B1286F"/>
    <w:rsid w:val="00B128D8"/>
    <w:rsid w:val="00B128F2"/>
    <w:rsid w:val="00B12929"/>
    <w:rsid w:val="00B129F8"/>
    <w:rsid w:val="00B12A87"/>
    <w:rsid w:val="00B12B57"/>
    <w:rsid w:val="00B12BA1"/>
    <w:rsid w:val="00B12BAB"/>
    <w:rsid w:val="00B12C33"/>
    <w:rsid w:val="00B12C7C"/>
    <w:rsid w:val="00B12CAB"/>
    <w:rsid w:val="00B12DA8"/>
    <w:rsid w:val="00B12DFA"/>
    <w:rsid w:val="00B12E2E"/>
    <w:rsid w:val="00B12EF5"/>
    <w:rsid w:val="00B12F16"/>
    <w:rsid w:val="00B12F43"/>
    <w:rsid w:val="00B12F76"/>
    <w:rsid w:val="00B12FA9"/>
    <w:rsid w:val="00B12FD9"/>
    <w:rsid w:val="00B12FFC"/>
    <w:rsid w:val="00B12FFD"/>
    <w:rsid w:val="00B1301B"/>
    <w:rsid w:val="00B132B1"/>
    <w:rsid w:val="00B13312"/>
    <w:rsid w:val="00B1334B"/>
    <w:rsid w:val="00B13389"/>
    <w:rsid w:val="00B13395"/>
    <w:rsid w:val="00B133B1"/>
    <w:rsid w:val="00B133B5"/>
    <w:rsid w:val="00B1349D"/>
    <w:rsid w:val="00B134C8"/>
    <w:rsid w:val="00B134D5"/>
    <w:rsid w:val="00B13516"/>
    <w:rsid w:val="00B1355B"/>
    <w:rsid w:val="00B1358F"/>
    <w:rsid w:val="00B13598"/>
    <w:rsid w:val="00B1359F"/>
    <w:rsid w:val="00B13615"/>
    <w:rsid w:val="00B13633"/>
    <w:rsid w:val="00B136B3"/>
    <w:rsid w:val="00B13713"/>
    <w:rsid w:val="00B13838"/>
    <w:rsid w:val="00B138C1"/>
    <w:rsid w:val="00B138F1"/>
    <w:rsid w:val="00B13928"/>
    <w:rsid w:val="00B139EE"/>
    <w:rsid w:val="00B13A91"/>
    <w:rsid w:val="00B13ABB"/>
    <w:rsid w:val="00B13AE0"/>
    <w:rsid w:val="00B13B42"/>
    <w:rsid w:val="00B13C28"/>
    <w:rsid w:val="00B13C2C"/>
    <w:rsid w:val="00B13C4B"/>
    <w:rsid w:val="00B13C72"/>
    <w:rsid w:val="00B13CE4"/>
    <w:rsid w:val="00B13D17"/>
    <w:rsid w:val="00B13D57"/>
    <w:rsid w:val="00B13DB2"/>
    <w:rsid w:val="00B13DF9"/>
    <w:rsid w:val="00B13E5B"/>
    <w:rsid w:val="00B13E72"/>
    <w:rsid w:val="00B13EA5"/>
    <w:rsid w:val="00B13F15"/>
    <w:rsid w:val="00B13F61"/>
    <w:rsid w:val="00B13F63"/>
    <w:rsid w:val="00B13F68"/>
    <w:rsid w:val="00B13F9D"/>
    <w:rsid w:val="00B13FB8"/>
    <w:rsid w:val="00B1420F"/>
    <w:rsid w:val="00B14256"/>
    <w:rsid w:val="00B14302"/>
    <w:rsid w:val="00B14325"/>
    <w:rsid w:val="00B143A7"/>
    <w:rsid w:val="00B143B3"/>
    <w:rsid w:val="00B144A8"/>
    <w:rsid w:val="00B1456E"/>
    <w:rsid w:val="00B145AB"/>
    <w:rsid w:val="00B145CB"/>
    <w:rsid w:val="00B146F1"/>
    <w:rsid w:val="00B1471E"/>
    <w:rsid w:val="00B1477A"/>
    <w:rsid w:val="00B14880"/>
    <w:rsid w:val="00B1488A"/>
    <w:rsid w:val="00B148B9"/>
    <w:rsid w:val="00B1491D"/>
    <w:rsid w:val="00B14967"/>
    <w:rsid w:val="00B149DC"/>
    <w:rsid w:val="00B14A7F"/>
    <w:rsid w:val="00B14ABB"/>
    <w:rsid w:val="00B14B6F"/>
    <w:rsid w:val="00B14B93"/>
    <w:rsid w:val="00B14BDF"/>
    <w:rsid w:val="00B14BE6"/>
    <w:rsid w:val="00B14C42"/>
    <w:rsid w:val="00B14C7D"/>
    <w:rsid w:val="00B14CAC"/>
    <w:rsid w:val="00B14D12"/>
    <w:rsid w:val="00B14D1C"/>
    <w:rsid w:val="00B14DB2"/>
    <w:rsid w:val="00B14DC4"/>
    <w:rsid w:val="00B14E29"/>
    <w:rsid w:val="00B14E6D"/>
    <w:rsid w:val="00B14EA4"/>
    <w:rsid w:val="00B14EC0"/>
    <w:rsid w:val="00B14EF4"/>
    <w:rsid w:val="00B14F01"/>
    <w:rsid w:val="00B14F34"/>
    <w:rsid w:val="00B14F69"/>
    <w:rsid w:val="00B14FB4"/>
    <w:rsid w:val="00B15014"/>
    <w:rsid w:val="00B1501A"/>
    <w:rsid w:val="00B15065"/>
    <w:rsid w:val="00B150C5"/>
    <w:rsid w:val="00B15128"/>
    <w:rsid w:val="00B151E1"/>
    <w:rsid w:val="00B151F4"/>
    <w:rsid w:val="00B15229"/>
    <w:rsid w:val="00B152AE"/>
    <w:rsid w:val="00B1532F"/>
    <w:rsid w:val="00B15341"/>
    <w:rsid w:val="00B1538D"/>
    <w:rsid w:val="00B1541D"/>
    <w:rsid w:val="00B15479"/>
    <w:rsid w:val="00B1567F"/>
    <w:rsid w:val="00B156CF"/>
    <w:rsid w:val="00B156D1"/>
    <w:rsid w:val="00B15712"/>
    <w:rsid w:val="00B1579E"/>
    <w:rsid w:val="00B157F3"/>
    <w:rsid w:val="00B15827"/>
    <w:rsid w:val="00B1589E"/>
    <w:rsid w:val="00B158D0"/>
    <w:rsid w:val="00B15925"/>
    <w:rsid w:val="00B15A11"/>
    <w:rsid w:val="00B15AD5"/>
    <w:rsid w:val="00B15AEB"/>
    <w:rsid w:val="00B15BD1"/>
    <w:rsid w:val="00B15BE4"/>
    <w:rsid w:val="00B15BE5"/>
    <w:rsid w:val="00B15D74"/>
    <w:rsid w:val="00B15DEE"/>
    <w:rsid w:val="00B15E21"/>
    <w:rsid w:val="00B15E3C"/>
    <w:rsid w:val="00B15E5A"/>
    <w:rsid w:val="00B15EB6"/>
    <w:rsid w:val="00B15EE2"/>
    <w:rsid w:val="00B15F61"/>
    <w:rsid w:val="00B15F99"/>
    <w:rsid w:val="00B15FD8"/>
    <w:rsid w:val="00B16054"/>
    <w:rsid w:val="00B1606B"/>
    <w:rsid w:val="00B16089"/>
    <w:rsid w:val="00B160A4"/>
    <w:rsid w:val="00B160D9"/>
    <w:rsid w:val="00B16133"/>
    <w:rsid w:val="00B161DD"/>
    <w:rsid w:val="00B162F2"/>
    <w:rsid w:val="00B16339"/>
    <w:rsid w:val="00B16378"/>
    <w:rsid w:val="00B163E0"/>
    <w:rsid w:val="00B1641B"/>
    <w:rsid w:val="00B164CC"/>
    <w:rsid w:val="00B164D1"/>
    <w:rsid w:val="00B165B0"/>
    <w:rsid w:val="00B16601"/>
    <w:rsid w:val="00B16608"/>
    <w:rsid w:val="00B1675B"/>
    <w:rsid w:val="00B169A7"/>
    <w:rsid w:val="00B169B5"/>
    <w:rsid w:val="00B169DB"/>
    <w:rsid w:val="00B16A13"/>
    <w:rsid w:val="00B16A1E"/>
    <w:rsid w:val="00B16A9B"/>
    <w:rsid w:val="00B16AEE"/>
    <w:rsid w:val="00B16B1E"/>
    <w:rsid w:val="00B16B68"/>
    <w:rsid w:val="00B16BDC"/>
    <w:rsid w:val="00B16BF8"/>
    <w:rsid w:val="00B16C19"/>
    <w:rsid w:val="00B16C5B"/>
    <w:rsid w:val="00B16D2F"/>
    <w:rsid w:val="00B16D4A"/>
    <w:rsid w:val="00B16DFC"/>
    <w:rsid w:val="00B16E26"/>
    <w:rsid w:val="00B16E79"/>
    <w:rsid w:val="00B16E82"/>
    <w:rsid w:val="00B16EAD"/>
    <w:rsid w:val="00B16ECC"/>
    <w:rsid w:val="00B16ECF"/>
    <w:rsid w:val="00B16F44"/>
    <w:rsid w:val="00B16F7F"/>
    <w:rsid w:val="00B16FB6"/>
    <w:rsid w:val="00B16FCD"/>
    <w:rsid w:val="00B17021"/>
    <w:rsid w:val="00B1704C"/>
    <w:rsid w:val="00B1706E"/>
    <w:rsid w:val="00B1707B"/>
    <w:rsid w:val="00B17082"/>
    <w:rsid w:val="00B170A8"/>
    <w:rsid w:val="00B171AE"/>
    <w:rsid w:val="00B1721F"/>
    <w:rsid w:val="00B172EF"/>
    <w:rsid w:val="00B1732C"/>
    <w:rsid w:val="00B17331"/>
    <w:rsid w:val="00B173AF"/>
    <w:rsid w:val="00B173BB"/>
    <w:rsid w:val="00B173EB"/>
    <w:rsid w:val="00B173EE"/>
    <w:rsid w:val="00B174BE"/>
    <w:rsid w:val="00B174CB"/>
    <w:rsid w:val="00B174CF"/>
    <w:rsid w:val="00B174D5"/>
    <w:rsid w:val="00B174EB"/>
    <w:rsid w:val="00B17504"/>
    <w:rsid w:val="00B17577"/>
    <w:rsid w:val="00B1757E"/>
    <w:rsid w:val="00B175A3"/>
    <w:rsid w:val="00B175CE"/>
    <w:rsid w:val="00B1763A"/>
    <w:rsid w:val="00B176B9"/>
    <w:rsid w:val="00B17730"/>
    <w:rsid w:val="00B1781F"/>
    <w:rsid w:val="00B17832"/>
    <w:rsid w:val="00B17853"/>
    <w:rsid w:val="00B17880"/>
    <w:rsid w:val="00B1789F"/>
    <w:rsid w:val="00B178A7"/>
    <w:rsid w:val="00B178DB"/>
    <w:rsid w:val="00B1795C"/>
    <w:rsid w:val="00B179C5"/>
    <w:rsid w:val="00B179F7"/>
    <w:rsid w:val="00B17AB7"/>
    <w:rsid w:val="00B17B4D"/>
    <w:rsid w:val="00B17B8F"/>
    <w:rsid w:val="00B17D11"/>
    <w:rsid w:val="00B17D31"/>
    <w:rsid w:val="00B17D68"/>
    <w:rsid w:val="00B17DB6"/>
    <w:rsid w:val="00B17DF6"/>
    <w:rsid w:val="00B17F4F"/>
    <w:rsid w:val="00B17F92"/>
    <w:rsid w:val="00B17FA8"/>
    <w:rsid w:val="00B17FBD"/>
    <w:rsid w:val="00B20023"/>
    <w:rsid w:val="00B20046"/>
    <w:rsid w:val="00B2006E"/>
    <w:rsid w:val="00B2008B"/>
    <w:rsid w:val="00B200B1"/>
    <w:rsid w:val="00B2010A"/>
    <w:rsid w:val="00B201E1"/>
    <w:rsid w:val="00B201F5"/>
    <w:rsid w:val="00B2021B"/>
    <w:rsid w:val="00B2027A"/>
    <w:rsid w:val="00B202D7"/>
    <w:rsid w:val="00B203D7"/>
    <w:rsid w:val="00B2048D"/>
    <w:rsid w:val="00B204D9"/>
    <w:rsid w:val="00B20588"/>
    <w:rsid w:val="00B2059B"/>
    <w:rsid w:val="00B205F0"/>
    <w:rsid w:val="00B20610"/>
    <w:rsid w:val="00B206F3"/>
    <w:rsid w:val="00B2076B"/>
    <w:rsid w:val="00B208CC"/>
    <w:rsid w:val="00B208EA"/>
    <w:rsid w:val="00B209A9"/>
    <w:rsid w:val="00B209DB"/>
    <w:rsid w:val="00B209EF"/>
    <w:rsid w:val="00B20A58"/>
    <w:rsid w:val="00B20B1C"/>
    <w:rsid w:val="00B20BE7"/>
    <w:rsid w:val="00B20CEC"/>
    <w:rsid w:val="00B20E52"/>
    <w:rsid w:val="00B20E62"/>
    <w:rsid w:val="00B20EC3"/>
    <w:rsid w:val="00B20ED5"/>
    <w:rsid w:val="00B20F0D"/>
    <w:rsid w:val="00B20F1D"/>
    <w:rsid w:val="00B20F95"/>
    <w:rsid w:val="00B21039"/>
    <w:rsid w:val="00B2105D"/>
    <w:rsid w:val="00B211BE"/>
    <w:rsid w:val="00B211E6"/>
    <w:rsid w:val="00B21272"/>
    <w:rsid w:val="00B21284"/>
    <w:rsid w:val="00B212A7"/>
    <w:rsid w:val="00B212B2"/>
    <w:rsid w:val="00B21394"/>
    <w:rsid w:val="00B213EF"/>
    <w:rsid w:val="00B2146E"/>
    <w:rsid w:val="00B2147D"/>
    <w:rsid w:val="00B21485"/>
    <w:rsid w:val="00B21493"/>
    <w:rsid w:val="00B21593"/>
    <w:rsid w:val="00B215A1"/>
    <w:rsid w:val="00B215ED"/>
    <w:rsid w:val="00B21601"/>
    <w:rsid w:val="00B21608"/>
    <w:rsid w:val="00B2166E"/>
    <w:rsid w:val="00B21711"/>
    <w:rsid w:val="00B2173D"/>
    <w:rsid w:val="00B2177B"/>
    <w:rsid w:val="00B21839"/>
    <w:rsid w:val="00B21866"/>
    <w:rsid w:val="00B2189C"/>
    <w:rsid w:val="00B218DB"/>
    <w:rsid w:val="00B2192C"/>
    <w:rsid w:val="00B2197B"/>
    <w:rsid w:val="00B21A31"/>
    <w:rsid w:val="00B21B4A"/>
    <w:rsid w:val="00B21B69"/>
    <w:rsid w:val="00B21C43"/>
    <w:rsid w:val="00B21D97"/>
    <w:rsid w:val="00B21DE1"/>
    <w:rsid w:val="00B21E84"/>
    <w:rsid w:val="00B21ECF"/>
    <w:rsid w:val="00B21F05"/>
    <w:rsid w:val="00B21F36"/>
    <w:rsid w:val="00B21F8A"/>
    <w:rsid w:val="00B22012"/>
    <w:rsid w:val="00B22064"/>
    <w:rsid w:val="00B220A3"/>
    <w:rsid w:val="00B22160"/>
    <w:rsid w:val="00B22168"/>
    <w:rsid w:val="00B22170"/>
    <w:rsid w:val="00B2217A"/>
    <w:rsid w:val="00B22180"/>
    <w:rsid w:val="00B2219A"/>
    <w:rsid w:val="00B22213"/>
    <w:rsid w:val="00B22222"/>
    <w:rsid w:val="00B22242"/>
    <w:rsid w:val="00B2232C"/>
    <w:rsid w:val="00B22464"/>
    <w:rsid w:val="00B22468"/>
    <w:rsid w:val="00B22472"/>
    <w:rsid w:val="00B224F9"/>
    <w:rsid w:val="00B22505"/>
    <w:rsid w:val="00B22517"/>
    <w:rsid w:val="00B22565"/>
    <w:rsid w:val="00B22593"/>
    <w:rsid w:val="00B2261D"/>
    <w:rsid w:val="00B22634"/>
    <w:rsid w:val="00B22635"/>
    <w:rsid w:val="00B226C5"/>
    <w:rsid w:val="00B226F1"/>
    <w:rsid w:val="00B22744"/>
    <w:rsid w:val="00B2274C"/>
    <w:rsid w:val="00B227A3"/>
    <w:rsid w:val="00B227D2"/>
    <w:rsid w:val="00B22805"/>
    <w:rsid w:val="00B2283F"/>
    <w:rsid w:val="00B228DD"/>
    <w:rsid w:val="00B228F8"/>
    <w:rsid w:val="00B22916"/>
    <w:rsid w:val="00B22933"/>
    <w:rsid w:val="00B229F1"/>
    <w:rsid w:val="00B22A38"/>
    <w:rsid w:val="00B22AA4"/>
    <w:rsid w:val="00B22ADA"/>
    <w:rsid w:val="00B22B74"/>
    <w:rsid w:val="00B22C69"/>
    <w:rsid w:val="00B22C8C"/>
    <w:rsid w:val="00B22D05"/>
    <w:rsid w:val="00B22D71"/>
    <w:rsid w:val="00B22DA3"/>
    <w:rsid w:val="00B22E59"/>
    <w:rsid w:val="00B22E8A"/>
    <w:rsid w:val="00B22F27"/>
    <w:rsid w:val="00B22F75"/>
    <w:rsid w:val="00B22F8B"/>
    <w:rsid w:val="00B22FB0"/>
    <w:rsid w:val="00B22FCF"/>
    <w:rsid w:val="00B23018"/>
    <w:rsid w:val="00B2303C"/>
    <w:rsid w:val="00B230B6"/>
    <w:rsid w:val="00B230E1"/>
    <w:rsid w:val="00B23142"/>
    <w:rsid w:val="00B231B9"/>
    <w:rsid w:val="00B231FB"/>
    <w:rsid w:val="00B23251"/>
    <w:rsid w:val="00B23273"/>
    <w:rsid w:val="00B2329A"/>
    <w:rsid w:val="00B23359"/>
    <w:rsid w:val="00B23393"/>
    <w:rsid w:val="00B233FB"/>
    <w:rsid w:val="00B23429"/>
    <w:rsid w:val="00B2343B"/>
    <w:rsid w:val="00B2349A"/>
    <w:rsid w:val="00B234B1"/>
    <w:rsid w:val="00B234E4"/>
    <w:rsid w:val="00B234F6"/>
    <w:rsid w:val="00B2350F"/>
    <w:rsid w:val="00B235BE"/>
    <w:rsid w:val="00B235EF"/>
    <w:rsid w:val="00B235F3"/>
    <w:rsid w:val="00B236A0"/>
    <w:rsid w:val="00B236B6"/>
    <w:rsid w:val="00B236CB"/>
    <w:rsid w:val="00B2372F"/>
    <w:rsid w:val="00B23767"/>
    <w:rsid w:val="00B2380D"/>
    <w:rsid w:val="00B23817"/>
    <w:rsid w:val="00B23828"/>
    <w:rsid w:val="00B2393D"/>
    <w:rsid w:val="00B239B4"/>
    <w:rsid w:val="00B23A17"/>
    <w:rsid w:val="00B23A55"/>
    <w:rsid w:val="00B23A93"/>
    <w:rsid w:val="00B23BD1"/>
    <w:rsid w:val="00B23BFA"/>
    <w:rsid w:val="00B23D1F"/>
    <w:rsid w:val="00B23D35"/>
    <w:rsid w:val="00B23D5A"/>
    <w:rsid w:val="00B23D99"/>
    <w:rsid w:val="00B23E5D"/>
    <w:rsid w:val="00B23ECC"/>
    <w:rsid w:val="00B23ECF"/>
    <w:rsid w:val="00B23ED7"/>
    <w:rsid w:val="00B23EDC"/>
    <w:rsid w:val="00B23EED"/>
    <w:rsid w:val="00B23F01"/>
    <w:rsid w:val="00B23FBE"/>
    <w:rsid w:val="00B2407B"/>
    <w:rsid w:val="00B2412E"/>
    <w:rsid w:val="00B241CF"/>
    <w:rsid w:val="00B24316"/>
    <w:rsid w:val="00B24399"/>
    <w:rsid w:val="00B24492"/>
    <w:rsid w:val="00B2449E"/>
    <w:rsid w:val="00B24526"/>
    <w:rsid w:val="00B24582"/>
    <w:rsid w:val="00B245EE"/>
    <w:rsid w:val="00B246A7"/>
    <w:rsid w:val="00B246BA"/>
    <w:rsid w:val="00B246DE"/>
    <w:rsid w:val="00B24737"/>
    <w:rsid w:val="00B2478F"/>
    <w:rsid w:val="00B24893"/>
    <w:rsid w:val="00B248F8"/>
    <w:rsid w:val="00B24908"/>
    <w:rsid w:val="00B24909"/>
    <w:rsid w:val="00B249B6"/>
    <w:rsid w:val="00B24A56"/>
    <w:rsid w:val="00B24AA4"/>
    <w:rsid w:val="00B24AD6"/>
    <w:rsid w:val="00B24AE2"/>
    <w:rsid w:val="00B24AF8"/>
    <w:rsid w:val="00B24B13"/>
    <w:rsid w:val="00B24B59"/>
    <w:rsid w:val="00B24C68"/>
    <w:rsid w:val="00B24C9A"/>
    <w:rsid w:val="00B24D4E"/>
    <w:rsid w:val="00B24D4F"/>
    <w:rsid w:val="00B24D7C"/>
    <w:rsid w:val="00B24DB4"/>
    <w:rsid w:val="00B24E47"/>
    <w:rsid w:val="00B24E95"/>
    <w:rsid w:val="00B24EAE"/>
    <w:rsid w:val="00B24F12"/>
    <w:rsid w:val="00B24F48"/>
    <w:rsid w:val="00B24F70"/>
    <w:rsid w:val="00B2501D"/>
    <w:rsid w:val="00B2509E"/>
    <w:rsid w:val="00B250BD"/>
    <w:rsid w:val="00B25149"/>
    <w:rsid w:val="00B25164"/>
    <w:rsid w:val="00B251DD"/>
    <w:rsid w:val="00B25267"/>
    <w:rsid w:val="00B252A5"/>
    <w:rsid w:val="00B252D2"/>
    <w:rsid w:val="00B25307"/>
    <w:rsid w:val="00B25352"/>
    <w:rsid w:val="00B2556E"/>
    <w:rsid w:val="00B2563D"/>
    <w:rsid w:val="00B2564F"/>
    <w:rsid w:val="00B25667"/>
    <w:rsid w:val="00B25699"/>
    <w:rsid w:val="00B257B6"/>
    <w:rsid w:val="00B25800"/>
    <w:rsid w:val="00B25807"/>
    <w:rsid w:val="00B25826"/>
    <w:rsid w:val="00B2593B"/>
    <w:rsid w:val="00B25976"/>
    <w:rsid w:val="00B2598F"/>
    <w:rsid w:val="00B25A89"/>
    <w:rsid w:val="00B25AB0"/>
    <w:rsid w:val="00B25C26"/>
    <w:rsid w:val="00B25C54"/>
    <w:rsid w:val="00B25C6D"/>
    <w:rsid w:val="00B25C86"/>
    <w:rsid w:val="00B25CAB"/>
    <w:rsid w:val="00B25D0F"/>
    <w:rsid w:val="00B25DA2"/>
    <w:rsid w:val="00B25ECA"/>
    <w:rsid w:val="00B25EEE"/>
    <w:rsid w:val="00B25F0F"/>
    <w:rsid w:val="00B25F98"/>
    <w:rsid w:val="00B25FFA"/>
    <w:rsid w:val="00B26027"/>
    <w:rsid w:val="00B26140"/>
    <w:rsid w:val="00B2615E"/>
    <w:rsid w:val="00B26174"/>
    <w:rsid w:val="00B261DA"/>
    <w:rsid w:val="00B26249"/>
    <w:rsid w:val="00B26250"/>
    <w:rsid w:val="00B262F6"/>
    <w:rsid w:val="00B263A3"/>
    <w:rsid w:val="00B263F8"/>
    <w:rsid w:val="00B26458"/>
    <w:rsid w:val="00B26482"/>
    <w:rsid w:val="00B264E9"/>
    <w:rsid w:val="00B26587"/>
    <w:rsid w:val="00B265C3"/>
    <w:rsid w:val="00B26675"/>
    <w:rsid w:val="00B26800"/>
    <w:rsid w:val="00B2684D"/>
    <w:rsid w:val="00B268AF"/>
    <w:rsid w:val="00B268C2"/>
    <w:rsid w:val="00B268FF"/>
    <w:rsid w:val="00B26905"/>
    <w:rsid w:val="00B26948"/>
    <w:rsid w:val="00B2698F"/>
    <w:rsid w:val="00B26991"/>
    <w:rsid w:val="00B269ED"/>
    <w:rsid w:val="00B26A05"/>
    <w:rsid w:val="00B26A83"/>
    <w:rsid w:val="00B26AC5"/>
    <w:rsid w:val="00B26B6E"/>
    <w:rsid w:val="00B26BF6"/>
    <w:rsid w:val="00B26BFA"/>
    <w:rsid w:val="00B26C10"/>
    <w:rsid w:val="00B26CA5"/>
    <w:rsid w:val="00B26CDC"/>
    <w:rsid w:val="00B26D24"/>
    <w:rsid w:val="00B26E3A"/>
    <w:rsid w:val="00B26E4F"/>
    <w:rsid w:val="00B26E67"/>
    <w:rsid w:val="00B26E8B"/>
    <w:rsid w:val="00B26F0C"/>
    <w:rsid w:val="00B26F4D"/>
    <w:rsid w:val="00B26F4E"/>
    <w:rsid w:val="00B26FA3"/>
    <w:rsid w:val="00B26FC1"/>
    <w:rsid w:val="00B270B4"/>
    <w:rsid w:val="00B270BD"/>
    <w:rsid w:val="00B270D8"/>
    <w:rsid w:val="00B2711E"/>
    <w:rsid w:val="00B2714C"/>
    <w:rsid w:val="00B2716E"/>
    <w:rsid w:val="00B271FC"/>
    <w:rsid w:val="00B27206"/>
    <w:rsid w:val="00B2727B"/>
    <w:rsid w:val="00B272DC"/>
    <w:rsid w:val="00B272F4"/>
    <w:rsid w:val="00B273A1"/>
    <w:rsid w:val="00B273D2"/>
    <w:rsid w:val="00B27410"/>
    <w:rsid w:val="00B27426"/>
    <w:rsid w:val="00B2754C"/>
    <w:rsid w:val="00B2754D"/>
    <w:rsid w:val="00B27562"/>
    <w:rsid w:val="00B275CA"/>
    <w:rsid w:val="00B275DA"/>
    <w:rsid w:val="00B27627"/>
    <w:rsid w:val="00B2768A"/>
    <w:rsid w:val="00B276B1"/>
    <w:rsid w:val="00B27767"/>
    <w:rsid w:val="00B277ED"/>
    <w:rsid w:val="00B2784D"/>
    <w:rsid w:val="00B27973"/>
    <w:rsid w:val="00B27A5B"/>
    <w:rsid w:val="00B27AA2"/>
    <w:rsid w:val="00B27AA5"/>
    <w:rsid w:val="00B27AC9"/>
    <w:rsid w:val="00B27B10"/>
    <w:rsid w:val="00B27B2F"/>
    <w:rsid w:val="00B27C7C"/>
    <w:rsid w:val="00B27C9E"/>
    <w:rsid w:val="00B27CC8"/>
    <w:rsid w:val="00B27D45"/>
    <w:rsid w:val="00B27D82"/>
    <w:rsid w:val="00B27DDA"/>
    <w:rsid w:val="00B27DF8"/>
    <w:rsid w:val="00B27E23"/>
    <w:rsid w:val="00B27E4C"/>
    <w:rsid w:val="00B27E51"/>
    <w:rsid w:val="00B27E9D"/>
    <w:rsid w:val="00B27EEE"/>
    <w:rsid w:val="00B27F77"/>
    <w:rsid w:val="00B27FEE"/>
    <w:rsid w:val="00B3000E"/>
    <w:rsid w:val="00B30154"/>
    <w:rsid w:val="00B30238"/>
    <w:rsid w:val="00B30290"/>
    <w:rsid w:val="00B302D8"/>
    <w:rsid w:val="00B30318"/>
    <w:rsid w:val="00B3039F"/>
    <w:rsid w:val="00B303BF"/>
    <w:rsid w:val="00B30408"/>
    <w:rsid w:val="00B30437"/>
    <w:rsid w:val="00B30618"/>
    <w:rsid w:val="00B3076A"/>
    <w:rsid w:val="00B3079B"/>
    <w:rsid w:val="00B30899"/>
    <w:rsid w:val="00B308C7"/>
    <w:rsid w:val="00B30933"/>
    <w:rsid w:val="00B30975"/>
    <w:rsid w:val="00B309DC"/>
    <w:rsid w:val="00B30A36"/>
    <w:rsid w:val="00B30A8F"/>
    <w:rsid w:val="00B30B04"/>
    <w:rsid w:val="00B30B36"/>
    <w:rsid w:val="00B30B59"/>
    <w:rsid w:val="00B30C60"/>
    <w:rsid w:val="00B30C78"/>
    <w:rsid w:val="00B30CFD"/>
    <w:rsid w:val="00B30D4A"/>
    <w:rsid w:val="00B30D94"/>
    <w:rsid w:val="00B30E1E"/>
    <w:rsid w:val="00B30F0A"/>
    <w:rsid w:val="00B30F6C"/>
    <w:rsid w:val="00B30FC6"/>
    <w:rsid w:val="00B30FEA"/>
    <w:rsid w:val="00B31042"/>
    <w:rsid w:val="00B31055"/>
    <w:rsid w:val="00B3106E"/>
    <w:rsid w:val="00B310CF"/>
    <w:rsid w:val="00B3117A"/>
    <w:rsid w:val="00B311A5"/>
    <w:rsid w:val="00B311D6"/>
    <w:rsid w:val="00B31227"/>
    <w:rsid w:val="00B31309"/>
    <w:rsid w:val="00B3130C"/>
    <w:rsid w:val="00B3138C"/>
    <w:rsid w:val="00B31442"/>
    <w:rsid w:val="00B31492"/>
    <w:rsid w:val="00B314C2"/>
    <w:rsid w:val="00B3150D"/>
    <w:rsid w:val="00B31546"/>
    <w:rsid w:val="00B315B1"/>
    <w:rsid w:val="00B315F9"/>
    <w:rsid w:val="00B3162E"/>
    <w:rsid w:val="00B3164B"/>
    <w:rsid w:val="00B31682"/>
    <w:rsid w:val="00B316F3"/>
    <w:rsid w:val="00B31714"/>
    <w:rsid w:val="00B31747"/>
    <w:rsid w:val="00B317C2"/>
    <w:rsid w:val="00B31808"/>
    <w:rsid w:val="00B31940"/>
    <w:rsid w:val="00B31980"/>
    <w:rsid w:val="00B31A18"/>
    <w:rsid w:val="00B31A43"/>
    <w:rsid w:val="00B31A94"/>
    <w:rsid w:val="00B31B09"/>
    <w:rsid w:val="00B31B87"/>
    <w:rsid w:val="00B31BF1"/>
    <w:rsid w:val="00B31CA7"/>
    <w:rsid w:val="00B31D31"/>
    <w:rsid w:val="00B31DC7"/>
    <w:rsid w:val="00B31E04"/>
    <w:rsid w:val="00B31E5C"/>
    <w:rsid w:val="00B31F28"/>
    <w:rsid w:val="00B31F71"/>
    <w:rsid w:val="00B31FE3"/>
    <w:rsid w:val="00B31FED"/>
    <w:rsid w:val="00B3200D"/>
    <w:rsid w:val="00B32047"/>
    <w:rsid w:val="00B3207A"/>
    <w:rsid w:val="00B320A4"/>
    <w:rsid w:val="00B320CF"/>
    <w:rsid w:val="00B320DB"/>
    <w:rsid w:val="00B321E5"/>
    <w:rsid w:val="00B32281"/>
    <w:rsid w:val="00B3229F"/>
    <w:rsid w:val="00B322F4"/>
    <w:rsid w:val="00B3230C"/>
    <w:rsid w:val="00B32323"/>
    <w:rsid w:val="00B32348"/>
    <w:rsid w:val="00B3234C"/>
    <w:rsid w:val="00B3236E"/>
    <w:rsid w:val="00B324ED"/>
    <w:rsid w:val="00B32581"/>
    <w:rsid w:val="00B32606"/>
    <w:rsid w:val="00B32671"/>
    <w:rsid w:val="00B326A2"/>
    <w:rsid w:val="00B3270F"/>
    <w:rsid w:val="00B32741"/>
    <w:rsid w:val="00B32841"/>
    <w:rsid w:val="00B32880"/>
    <w:rsid w:val="00B328BB"/>
    <w:rsid w:val="00B328E6"/>
    <w:rsid w:val="00B32963"/>
    <w:rsid w:val="00B329AF"/>
    <w:rsid w:val="00B32A21"/>
    <w:rsid w:val="00B32A66"/>
    <w:rsid w:val="00B32B3A"/>
    <w:rsid w:val="00B32BC5"/>
    <w:rsid w:val="00B32BD8"/>
    <w:rsid w:val="00B32C8E"/>
    <w:rsid w:val="00B32CFB"/>
    <w:rsid w:val="00B32D29"/>
    <w:rsid w:val="00B32D3F"/>
    <w:rsid w:val="00B32D4C"/>
    <w:rsid w:val="00B32D4E"/>
    <w:rsid w:val="00B32D6D"/>
    <w:rsid w:val="00B32D71"/>
    <w:rsid w:val="00B32E82"/>
    <w:rsid w:val="00B32ED7"/>
    <w:rsid w:val="00B32EFE"/>
    <w:rsid w:val="00B32F23"/>
    <w:rsid w:val="00B32F3D"/>
    <w:rsid w:val="00B32F42"/>
    <w:rsid w:val="00B32F5B"/>
    <w:rsid w:val="00B32FA2"/>
    <w:rsid w:val="00B32FA6"/>
    <w:rsid w:val="00B32FFB"/>
    <w:rsid w:val="00B33083"/>
    <w:rsid w:val="00B33101"/>
    <w:rsid w:val="00B33112"/>
    <w:rsid w:val="00B3312F"/>
    <w:rsid w:val="00B33172"/>
    <w:rsid w:val="00B331AC"/>
    <w:rsid w:val="00B332E7"/>
    <w:rsid w:val="00B33319"/>
    <w:rsid w:val="00B333AD"/>
    <w:rsid w:val="00B333EE"/>
    <w:rsid w:val="00B334DB"/>
    <w:rsid w:val="00B334EF"/>
    <w:rsid w:val="00B33574"/>
    <w:rsid w:val="00B33581"/>
    <w:rsid w:val="00B335BA"/>
    <w:rsid w:val="00B335DB"/>
    <w:rsid w:val="00B33603"/>
    <w:rsid w:val="00B33604"/>
    <w:rsid w:val="00B3362A"/>
    <w:rsid w:val="00B33667"/>
    <w:rsid w:val="00B33684"/>
    <w:rsid w:val="00B336B4"/>
    <w:rsid w:val="00B33773"/>
    <w:rsid w:val="00B33815"/>
    <w:rsid w:val="00B33834"/>
    <w:rsid w:val="00B3384E"/>
    <w:rsid w:val="00B3388E"/>
    <w:rsid w:val="00B3389E"/>
    <w:rsid w:val="00B338B1"/>
    <w:rsid w:val="00B338FB"/>
    <w:rsid w:val="00B339D7"/>
    <w:rsid w:val="00B33A80"/>
    <w:rsid w:val="00B33A9E"/>
    <w:rsid w:val="00B33AAA"/>
    <w:rsid w:val="00B33ABE"/>
    <w:rsid w:val="00B33B30"/>
    <w:rsid w:val="00B33B41"/>
    <w:rsid w:val="00B33BBF"/>
    <w:rsid w:val="00B33BCB"/>
    <w:rsid w:val="00B33C0E"/>
    <w:rsid w:val="00B33C3C"/>
    <w:rsid w:val="00B33D14"/>
    <w:rsid w:val="00B33DBC"/>
    <w:rsid w:val="00B33DD8"/>
    <w:rsid w:val="00B33DE6"/>
    <w:rsid w:val="00B33E12"/>
    <w:rsid w:val="00B33E23"/>
    <w:rsid w:val="00B33EA9"/>
    <w:rsid w:val="00B33FEE"/>
    <w:rsid w:val="00B33FF6"/>
    <w:rsid w:val="00B3402E"/>
    <w:rsid w:val="00B34099"/>
    <w:rsid w:val="00B340FB"/>
    <w:rsid w:val="00B34146"/>
    <w:rsid w:val="00B34147"/>
    <w:rsid w:val="00B34201"/>
    <w:rsid w:val="00B342A9"/>
    <w:rsid w:val="00B342C1"/>
    <w:rsid w:val="00B343B0"/>
    <w:rsid w:val="00B34406"/>
    <w:rsid w:val="00B3440D"/>
    <w:rsid w:val="00B3441C"/>
    <w:rsid w:val="00B3446E"/>
    <w:rsid w:val="00B344C3"/>
    <w:rsid w:val="00B344E2"/>
    <w:rsid w:val="00B34533"/>
    <w:rsid w:val="00B34644"/>
    <w:rsid w:val="00B346B4"/>
    <w:rsid w:val="00B3474A"/>
    <w:rsid w:val="00B347F9"/>
    <w:rsid w:val="00B34813"/>
    <w:rsid w:val="00B34860"/>
    <w:rsid w:val="00B348A4"/>
    <w:rsid w:val="00B348D0"/>
    <w:rsid w:val="00B348F3"/>
    <w:rsid w:val="00B34AAE"/>
    <w:rsid w:val="00B34AE7"/>
    <w:rsid w:val="00B34AEB"/>
    <w:rsid w:val="00B34BA5"/>
    <w:rsid w:val="00B34BCC"/>
    <w:rsid w:val="00B34DF6"/>
    <w:rsid w:val="00B34E07"/>
    <w:rsid w:val="00B34E0F"/>
    <w:rsid w:val="00B34E1E"/>
    <w:rsid w:val="00B34F17"/>
    <w:rsid w:val="00B34FA1"/>
    <w:rsid w:val="00B34FFA"/>
    <w:rsid w:val="00B35016"/>
    <w:rsid w:val="00B3501A"/>
    <w:rsid w:val="00B35057"/>
    <w:rsid w:val="00B35163"/>
    <w:rsid w:val="00B351B2"/>
    <w:rsid w:val="00B351CF"/>
    <w:rsid w:val="00B351E8"/>
    <w:rsid w:val="00B35248"/>
    <w:rsid w:val="00B3525D"/>
    <w:rsid w:val="00B35335"/>
    <w:rsid w:val="00B3534A"/>
    <w:rsid w:val="00B353CB"/>
    <w:rsid w:val="00B35406"/>
    <w:rsid w:val="00B35441"/>
    <w:rsid w:val="00B3545E"/>
    <w:rsid w:val="00B354BB"/>
    <w:rsid w:val="00B355DD"/>
    <w:rsid w:val="00B3566D"/>
    <w:rsid w:val="00B356C5"/>
    <w:rsid w:val="00B356F0"/>
    <w:rsid w:val="00B35757"/>
    <w:rsid w:val="00B3584A"/>
    <w:rsid w:val="00B3589E"/>
    <w:rsid w:val="00B358B0"/>
    <w:rsid w:val="00B358EE"/>
    <w:rsid w:val="00B35927"/>
    <w:rsid w:val="00B35998"/>
    <w:rsid w:val="00B359EA"/>
    <w:rsid w:val="00B35A1B"/>
    <w:rsid w:val="00B35B38"/>
    <w:rsid w:val="00B35B42"/>
    <w:rsid w:val="00B35BEC"/>
    <w:rsid w:val="00B35C90"/>
    <w:rsid w:val="00B35CBB"/>
    <w:rsid w:val="00B35CE9"/>
    <w:rsid w:val="00B35D9D"/>
    <w:rsid w:val="00B35DA4"/>
    <w:rsid w:val="00B35E22"/>
    <w:rsid w:val="00B35E58"/>
    <w:rsid w:val="00B35E6F"/>
    <w:rsid w:val="00B35F53"/>
    <w:rsid w:val="00B35F9F"/>
    <w:rsid w:val="00B35FC0"/>
    <w:rsid w:val="00B36147"/>
    <w:rsid w:val="00B3616C"/>
    <w:rsid w:val="00B361F7"/>
    <w:rsid w:val="00B3620D"/>
    <w:rsid w:val="00B36248"/>
    <w:rsid w:val="00B36297"/>
    <w:rsid w:val="00B362A9"/>
    <w:rsid w:val="00B362AC"/>
    <w:rsid w:val="00B36386"/>
    <w:rsid w:val="00B3643A"/>
    <w:rsid w:val="00B36520"/>
    <w:rsid w:val="00B365A0"/>
    <w:rsid w:val="00B365D6"/>
    <w:rsid w:val="00B365EF"/>
    <w:rsid w:val="00B36645"/>
    <w:rsid w:val="00B36654"/>
    <w:rsid w:val="00B36678"/>
    <w:rsid w:val="00B3667A"/>
    <w:rsid w:val="00B36688"/>
    <w:rsid w:val="00B3668E"/>
    <w:rsid w:val="00B3676B"/>
    <w:rsid w:val="00B367EA"/>
    <w:rsid w:val="00B36840"/>
    <w:rsid w:val="00B3685B"/>
    <w:rsid w:val="00B368FB"/>
    <w:rsid w:val="00B36A6B"/>
    <w:rsid w:val="00B36B0E"/>
    <w:rsid w:val="00B36B1F"/>
    <w:rsid w:val="00B36B5F"/>
    <w:rsid w:val="00B36BD5"/>
    <w:rsid w:val="00B36BFC"/>
    <w:rsid w:val="00B36C29"/>
    <w:rsid w:val="00B36C4A"/>
    <w:rsid w:val="00B36C8A"/>
    <w:rsid w:val="00B36CAB"/>
    <w:rsid w:val="00B36CE4"/>
    <w:rsid w:val="00B36D02"/>
    <w:rsid w:val="00B36D72"/>
    <w:rsid w:val="00B36E39"/>
    <w:rsid w:val="00B36E52"/>
    <w:rsid w:val="00B36F62"/>
    <w:rsid w:val="00B36F77"/>
    <w:rsid w:val="00B36FAB"/>
    <w:rsid w:val="00B36FB0"/>
    <w:rsid w:val="00B36FF6"/>
    <w:rsid w:val="00B37002"/>
    <w:rsid w:val="00B370BA"/>
    <w:rsid w:val="00B370C3"/>
    <w:rsid w:val="00B37191"/>
    <w:rsid w:val="00B371A7"/>
    <w:rsid w:val="00B37215"/>
    <w:rsid w:val="00B372F1"/>
    <w:rsid w:val="00B37316"/>
    <w:rsid w:val="00B37369"/>
    <w:rsid w:val="00B37429"/>
    <w:rsid w:val="00B37486"/>
    <w:rsid w:val="00B37495"/>
    <w:rsid w:val="00B374B1"/>
    <w:rsid w:val="00B3757F"/>
    <w:rsid w:val="00B37580"/>
    <w:rsid w:val="00B375A9"/>
    <w:rsid w:val="00B375CF"/>
    <w:rsid w:val="00B37624"/>
    <w:rsid w:val="00B37644"/>
    <w:rsid w:val="00B3765B"/>
    <w:rsid w:val="00B376FC"/>
    <w:rsid w:val="00B377AA"/>
    <w:rsid w:val="00B37830"/>
    <w:rsid w:val="00B3794F"/>
    <w:rsid w:val="00B379A6"/>
    <w:rsid w:val="00B379DB"/>
    <w:rsid w:val="00B379FB"/>
    <w:rsid w:val="00B37A08"/>
    <w:rsid w:val="00B37A63"/>
    <w:rsid w:val="00B37B1C"/>
    <w:rsid w:val="00B37B53"/>
    <w:rsid w:val="00B37B55"/>
    <w:rsid w:val="00B37B82"/>
    <w:rsid w:val="00B37C87"/>
    <w:rsid w:val="00B37CA9"/>
    <w:rsid w:val="00B37CD4"/>
    <w:rsid w:val="00B37D20"/>
    <w:rsid w:val="00B37D3F"/>
    <w:rsid w:val="00B37D4C"/>
    <w:rsid w:val="00B37DDE"/>
    <w:rsid w:val="00B37E62"/>
    <w:rsid w:val="00B37F36"/>
    <w:rsid w:val="00B37FED"/>
    <w:rsid w:val="00B40016"/>
    <w:rsid w:val="00B4003A"/>
    <w:rsid w:val="00B400BD"/>
    <w:rsid w:val="00B400CA"/>
    <w:rsid w:val="00B4011C"/>
    <w:rsid w:val="00B4023D"/>
    <w:rsid w:val="00B40254"/>
    <w:rsid w:val="00B4030A"/>
    <w:rsid w:val="00B40331"/>
    <w:rsid w:val="00B40381"/>
    <w:rsid w:val="00B4044C"/>
    <w:rsid w:val="00B404E5"/>
    <w:rsid w:val="00B40517"/>
    <w:rsid w:val="00B40535"/>
    <w:rsid w:val="00B40622"/>
    <w:rsid w:val="00B40646"/>
    <w:rsid w:val="00B406F1"/>
    <w:rsid w:val="00B40718"/>
    <w:rsid w:val="00B4072D"/>
    <w:rsid w:val="00B40792"/>
    <w:rsid w:val="00B407D8"/>
    <w:rsid w:val="00B4095E"/>
    <w:rsid w:val="00B409A0"/>
    <w:rsid w:val="00B409A3"/>
    <w:rsid w:val="00B409C1"/>
    <w:rsid w:val="00B40A7D"/>
    <w:rsid w:val="00B40B42"/>
    <w:rsid w:val="00B40C3B"/>
    <w:rsid w:val="00B40C45"/>
    <w:rsid w:val="00B40CDA"/>
    <w:rsid w:val="00B40D93"/>
    <w:rsid w:val="00B40DCF"/>
    <w:rsid w:val="00B40F2D"/>
    <w:rsid w:val="00B40FAA"/>
    <w:rsid w:val="00B41017"/>
    <w:rsid w:val="00B41051"/>
    <w:rsid w:val="00B410B0"/>
    <w:rsid w:val="00B410C3"/>
    <w:rsid w:val="00B410FB"/>
    <w:rsid w:val="00B41113"/>
    <w:rsid w:val="00B41139"/>
    <w:rsid w:val="00B41165"/>
    <w:rsid w:val="00B4117E"/>
    <w:rsid w:val="00B4118D"/>
    <w:rsid w:val="00B41221"/>
    <w:rsid w:val="00B4126B"/>
    <w:rsid w:val="00B4126D"/>
    <w:rsid w:val="00B412D9"/>
    <w:rsid w:val="00B41306"/>
    <w:rsid w:val="00B41333"/>
    <w:rsid w:val="00B41340"/>
    <w:rsid w:val="00B41360"/>
    <w:rsid w:val="00B41364"/>
    <w:rsid w:val="00B4136F"/>
    <w:rsid w:val="00B413CA"/>
    <w:rsid w:val="00B414A4"/>
    <w:rsid w:val="00B4150D"/>
    <w:rsid w:val="00B41522"/>
    <w:rsid w:val="00B4152E"/>
    <w:rsid w:val="00B41548"/>
    <w:rsid w:val="00B41561"/>
    <w:rsid w:val="00B41596"/>
    <w:rsid w:val="00B415A7"/>
    <w:rsid w:val="00B41625"/>
    <w:rsid w:val="00B41683"/>
    <w:rsid w:val="00B41724"/>
    <w:rsid w:val="00B41746"/>
    <w:rsid w:val="00B418CD"/>
    <w:rsid w:val="00B418D8"/>
    <w:rsid w:val="00B41908"/>
    <w:rsid w:val="00B41A7A"/>
    <w:rsid w:val="00B41ACF"/>
    <w:rsid w:val="00B41B1A"/>
    <w:rsid w:val="00B41B9D"/>
    <w:rsid w:val="00B41BDE"/>
    <w:rsid w:val="00B41C10"/>
    <w:rsid w:val="00B41C9E"/>
    <w:rsid w:val="00B41CBF"/>
    <w:rsid w:val="00B41DF4"/>
    <w:rsid w:val="00B41DFB"/>
    <w:rsid w:val="00B41E42"/>
    <w:rsid w:val="00B41E49"/>
    <w:rsid w:val="00B41E5A"/>
    <w:rsid w:val="00B41E8C"/>
    <w:rsid w:val="00B41EC2"/>
    <w:rsid w:val="00B41EE4"/>
    <w:rsid w:val="00B41F35"/>
    <w:rsid w:val="00B41FD9"/>
    <w:rsid w:val="00B4206A"/>
    <w:rsid w:val="00B42109"/>
    <w:rsid w:val="00B4212A"/>
    <w:rsid w:val="00B42184"/>
    <w:rsid w:val="00B421CC"/>
    <w:rsid w:val="00B421F6"/>
    <w:rsid w:val="00B42327"/>
    <w:rsid w:val="00B42436"/>
    <w:rsid w:val="00B4244D"/>
    <w:rsid w:val="00B4245E"/>
    <w:rsid w:val="00B4246D"/>
    <w:rsid w:val="00B42502"/>
    <w:rsid w:val="00B425E6"/>
    <w:rsid w:val="00B425F9"/>
    <w:rsid w:val="00B42640"/>
    <w:rsid w:val="00B42644"/>
    <w:rsid w:val="00B426D5"/>
    <w:rsid w:val="00B426D9"/>
    <w:rsid w:val="00B426F5"/>
    <w:rsid w:val="00B426FE"/>
    <w:rsid w:val="00B4271A"/>
    <w:rsid w:val="00B428A4"/>
    <w:rsid w:val="00B42975"/>
    <w:rsid w:val="00B429BC"/>
    <w:rsid w:val="00B42AC1"/>
    <w:rsid w:val="00B42AC2"/>
    <w:rsid w:val="00B42ADE"/>
    <w:rsid w:val="00B42B10"/>
    <w:rsid w:val="00B42C4F"/>
    <w:rsid w:val="00B42D05"/>
    <w:rsid w:val="00B42D5D"/>
    <w:rsid w:val="00B42DAA"/>
    <w:rsid w:val="00B42DB8"/>
    <w:rsid w:val="00B42E46"/>
    <w:rsid w:val="00B42F06"/>
    <w:rsid w:val="00B42F0F"/>
    <w:rsid w:val="00B42F21"/>
    <w:rsid w:val="00B42F3F"/>
    <w:rsid w:val="00B42F6E"/>
    <w:rsid w:val="00B43038"/>
    <w:rsid w:val="00B4308E"/>
    <w:rsid w:val="00B430B8"/>
    <w:rsid w:val="00B430DD"/>
    <w:rsid w:val="00B4311D"/>
    <w:rsid w:val="00B43150"/>
    <w:rsid w:val="00B43155"/>
    <w:rsid w:val="00B431DF"/>
    <w:rsid w:val="00B4336F"/>
    <w:rsid w:val="00B433F5"/>
    <w:rsid w:val="00B4340C"/>
    <w:rsid w:val="00B4345A"/>
    <w:rsid w:val="00B4348B"/>
    <w:rsid w:val="00B43553"/>
    <w:rsid w:val="00B4378E"/>
    <w:rsid w:val="00B43793"/>
    <w:rsid w:val="00B437F2"/>
    <w:rsid w:val="00B438E0"/>
    <w:rsid w:val="00B438EE"/>
    <w:rsid w:val="00B438EF"/>
    <w:rsid w:val="00B438FE"/>
    <w:rsid w:val="00B43922"/>
    <w:rsid w:val="00B43942"/>
    <w:rsid w:val="00B4399D"/>
    <w:rsid w:val="00B4399E"/>
    <w:rsid w:val="00B439DB"/>
    <w:rsid w:val="00B439DD"/>
    <w:rsid w:val="00B43A9B"/>
    <w:rsid w:val="00B43AB3"/>
    <w:rsid w:val="00B43ABA"/>
    <w:rsid w:val="00B43B36"/>
    <w:rsid w:val="00B43C7C"/>
    <w:rsid w:val="00B43CC1"/>
    <w:rsid w:val="00B43D2E"/>
    <w:rsid w:val="00B43E50"/>
    <w:rsid w:val="00B43F04"/>
    <w:rsid w:val="00B43F22"/>
    <w:rsid w:val="00B43F5F"/>
    <w:rsid w:val="00B44022"/>
    <w:rsid w:val="00B4402C"/>
    <w:rsid w:val="00B440AD"/>
    <w:rsid w:val="00B440DB"/>
    <w:rsid w:val="00B440E5"/>
    <w:rsid w:val="00B440EA"/>
    <w:rsid w:val="00B44126"/>
    <w:rsid w:val="00B4420C"/>
    <w:rsid w:val="00B44274"/>
    <w:rsid w:val="00B442B6"/>
    <w:rsid w:val="00B442C3"/>
    <w:rsid w:val="00B442C8"/>
    <w:rsid w:val="00B443B0"/>
    <w:rsid w:val="00B443DF"/>
    <w:rsid w:val="00B44435"/>
    <w:rsid w:val="00B4443E"/>
    <w:rsid w:val="00B444A0"/>
    <w:rsid w:val="00B44576"/>
    <w:rsid w:val="00B44582"/>
    <w:rsid w:val="00B445C4"/>
    <w:rsid w:val="00B4460D"/>
    <w:rsid w:val="00B4467A"/>
    <w:rsid w:val="00B447A1"/>
    <w:rsid w:val="00B44801"/>
    <w:rsid w:val="00B44816"/>
    <w:rsid w:val="00B44845"/>
    <w:rsid w:val="00B44969"/>
    <w:rsid w:val="00B44976"/>
    <w:rsid w:val="00B44992"/>
    <w:rsid w:val="00B449E4"/>
    <w:rsid w:val="00B449ED"/>
    <w:rsid w:val="00B44B02"/>
    <w:rsid w:val="00B44BBC"/>
    <w:rsid w:val="00B44BE4"/>
    <w:rsid w:val="00B44BEF"/>
    <w:rsid w:val="00B44D1A"/>
    <w:rsid w:val="00B44D67"/>
    <w:rsid w:val="00B44DBE"/>
    <w:rsid w:val="00B44DC9"/>
    <w:rsid w:val="00B44DFE"/>
    <w:rsid w:val="00B44E23"/>
    <w:rsid w:val="00B44E4A"/>
    <w:rsid w:val="00B44E79"/>
    <w:rsid w:val="00B44E93"/>
    <w:rsid w:val="00B44ED1"/>
    <w:rsid w:val="00B44F47"/>
    <w:rsid w:val="00B44FE6"/>
    <w:rsid w:val="00B4505F"/>
    <w:rsid w:val="00B45185"/>
    <w:rsid w:val="00B451BB"/>
    <w:rsid w:val="00B452AA"/>
    <w:rsid w:val="00B452E7"/>
    <w:rsid w:val="00B453BC"/>
    <w:rsid w:val="00B4549E"/>
    <w:rsid w:val="00B45574"/>
    <w:rsid w:val="00B45583"/>
    <w:rsid w:val="00B45584"/>
    <w:rsid w:val="00B4566A"/>
    <w:rsid w:val="00B45729"/>
    <w:rsid w:val="00B45768"/>
    <w:rsid w:val="00B457C9"/>
    <w:rsid w:val="00B45846"/>
    <w:rsid w:val="00B458CC"/>
    <w:rsid w:val="00B45911"/>
    <w:rsid w:val="00B459CA"/>
    <w:rsid w:val="00B45A3C"/>
    <w:rsid w:val="00B45A62"/>
    <w:rsid w:val="00B45A83"/>
    <w:rsid w:val="00B45A90"/>
    <w:rsid w:val="00B45AE2"/>
    <w:rsid w:val="00B45B19"/>
    <w:rsid w:val="00B45B49"/>
    <w:rsid w:val="00B45B6D"/>
    <w:rsid w:val="00B45B7B"/>
    <w:rsid w:val="00B45B93"/>
    <w:rsid w:val="00B45BAC"/>
    <w:rsid w:val="00B45C95"/>
    <w:rsid w:val="00B45D66"/>
    <w:rsid w:val="00B45D6A"/>
    <w:rsid w:val="00B45E69"/>
    <w:rsid w:val="00B45ECE"/>
    <w:rsid w:val="00B45ED5"/>
    <w:rsid w:val="00B45FA3"/>
    <w:rsid w:val="00B45FA7"/>
    <w:rsid w:val="00B45FDC"/>
    <w:rsid w:val="00B45FF3"/>
    <w:rsid w:val="00B460E6"/>
    <w:rsid w:val="00B4614C"/>
    <w:rsid w:val="00B461D0"/>
    <w:rsid w:val="00B46217"/>
    <w:rsid w:val="00B4625E"/>
    <w:rsid w:val="00B46270"/>
    <w:rsid w:val="00B46327"/>
    <w:rsid w:val="00B46330"/>
    <w:rsid w:val="00B463E2"/>
    <w:rsid w:val="00B46418"/>
    <w:rsid w:val="00B46450"/>
    <w:rsid w:val="00B46491"/>
    <w:rsid w:val="00B464CE"/>
    <w:rsid w:val="00B465A8"/>
    <w:rsid w:val="00B465B1"/>
    <w:rsid w:val="00B465FC"/>
    <w:rsid w:val="00B46604"/>
    <w:rsid w:val="00B466C6"/>
    <w:rsid w:val="00B46736"/>
    <w:rsid w:val="00B46752"/>
    <w:rsid w:val="00B4693E"/>
    <w:rsid w:val="00B46A11"/>
    <w:rsid w:val="00B46A4D"/>
    <w:rsid w:val="00B46A76"/>
    <w:rsid w:val="00B46A83"/>
    <w:rsid w:val="00B46B01"/>
    <w:rsid w:val="00B46BCD"/>
    <w:rsid w:val="00B46BF7"/>
    <w:rsid w:val="00B46C2A"/>
    <w:rsid w:val="00B46CDC"/>
    <w:rsid w:val="00B46D9F"/>
    <w:rsid w:val="00B46DC7"/>
    <w:rsid w:val="00B46DEA"/>
    <w:rsid w:val="00B46E56"/>
    <w:rsid w:val="00B46E77"/>
    <w:rsid w:val="00B46F7D"/>
    <w:rsid w:val="00B46FDA"/>
    <w:rsid w:val="00B4703F"/>
    <w:rsid w:val="00B470CB"/>
    <w:rsid w:val="00B470F8"/>
    <w:rsid w:val="00B47108"/>
    <w:rsid w:val="00B47132"/>
    <w:rsid w:val="00B47192"/>
    <w:rsid w:val="00B471A0"/>
    <w:rsid w:val="00B472C9"/>
    <w:rsid w:val="00B47346"/>
    <w:rsid w:val="00B473B5"/>
    <w:rsid w:val="00B473E6"/>
    <w:rsid w:val="00B47494"/>
    <w:rsid w:val="00B47504"/>
    <w:rsid w:val="00B47511"/>
    <w:rsid w:val="00B47546"/>
    <w:rsid w:val="00B475C9"/>
    <w:rsid w:val="00B47641"/>
    <w:rsid w:val="00B47678"/>
    <w:rsid w:val="00B476CC"/>
    <w:rsid w:val="00B476FB"/>
    <w:rsid w:val="00B47709"/>
    <w:rsid w:val="00B4776B"/>
    <w:rsid w:val="00B477E2"/>
    <w:rsid w:val="00B477E5"/>
    <w:rsid w:val="00B47808"/>
    <w:rsid w:val="00B4782D"/>
    <w:rsid w:val="00B4785E"/>
    <w:rsid w:val="00B47872"/>
    <w:rsid w:val="00B4790B"/>
    <w:rsid w:val="00B47916"/>
    <w:rsid w:val="00B47927"/>
    <w:rsid w:val="00B4794A"/>
    <w:rsid w:val="00B479BE"/>
    <w:rsid w:val="00B479C6"/>
    <w:rsid w:val="00B479D0"/>
    <w:rsid w:val="00B479DB"/>
    <w:rsid w:val="00B47A4E"/>
    <w:rsid w:val="00B47B36"/>
    <w:rsid w:val="00B47B99"/>
    <w:rsid w:val="00B47C2E"/>
    <w:rsid w:val="00B47C58"/>
    <w:rsid w:val="00B47CB3"/>
    <w:rsid w:val="00B47DD1"/>
    <w:rsid w:val="00B47E55"/>
    <w:rsid w:val="00B47E73"/>
    <w:rsid w:val="00B47EE0"/>
    <w:rsid w:val="00B47EE8"/>
    <w:rsid w:val="00B47FB3"/>
    <w:rsid w:val="00B47FB4"/>
    <w:rsid w:val="00B47FDA"/>
    <w:rsid w:val="00B47FDF"/>
    <w:rsid w:val="00B5000F"/>
    <w:rsid w:val="00B500A7"/>
    <w:rsid w:val="00B5013D"/>
    <w:rsid w:val="00B50170"/>
    <w:rsid w:val="00B50185"/>
    <w:rsid w:val="00B501A6"/>
    <w:rsid w:val="00B501D8"/>
    <w:rsid w:val="00B5022F"/>
    <w:rsid w:val="00B50343"/>
    <w:rsid w:val="00B50352"/>
    <w:rsid w:val="00B50391"/>
    <w:rsid w:val="00B503BF"/>
    <w:rsid w:val="00B503E7"/>
    <w:rsid w:val="00B5043A"/>
    <w:rsid w:val="00B504C3"/>
    <w:rsid w:val="00B504D0"/>
    <w:rsid w:val="00B504E6"/>
    <w:rsid w:val="00B5051C"/>
    <w:rsid w:val="00B50536"/>
    <w:rsid w:val="00B50546"/>
    <w:rsid w:val="00B50643"/>
    <w:rsid w:val="00B5068A"/>
    <w:rsid w:val="00B506B1"/>
    <w:rsid w:val="00B50751"/>
    <w:rsid w:val="00B50797"/>
    <w:rsid w:val="00B507FA"/>
    <w:rsid w:val="00B508D9"/>
    <w:rsid w:val="00B508EE"/>
    <w:rsid w:val="00B509BA"/>
    <w:rsid w:val="00B50AEB"/>
    <w:rsid w:val="00B50B4A"/>
    <w:rsid w:val="00B50B4B"/>
    <w:rsid w:val="00B50B72"/>
    <w:rsid w:val="00B50CE9"/>
    <w:rsid w:val="00B50CFC"/>
    <w:rsid w:val="00B50DA1"/>
    <w:rsid w:val="00B50DB2"/>
    <w:rsid w:val="00B50DDC"/>
    <w:rsid w:val="00B50DED"/>
    <w:rsid w:val="00B50E4F"/>
    <w:rsid w:val="00B50EA4"/>
    <w:rsid w:val="00B50F2C"/>
    <w:rsid w:val="00B51045"/>
    <w:rsid w:val="00B510C7"/>
    <w:rsid w:val="00B510E5"/>
    <w:rsid w:val="00B51106"/>
    <w:rsid w:val="00B51147"/>
    <w:rsid w:val="00B51343"/>
    <w:rsid w:val="00B51360"/>
    <w:rsid w:val="00B51364"/>
    <w:rsid w:val="00B513B5"/>
    <w:rsid w:val="00B513FC"/>
    <w:rsid w:val="00B513FF"/>
    <w:rsid w:val="00B51430"/>
    <w:rsid w:val="00B51550"/>
    <w:rsid w:val="00B51685"/>
    <w:rsid w:val="00B516D7"/>
    <w:rsid w:val="00B51836"/>
    <w:rsid w:val="00B51845"/>
    <w:rsid w:val="00B5184E"/>
    <w:rsid w:val="00B518AF"/>
    <w:rsid w:val="00B51930"/>
    <w:rsid w:val="00B519B3"/>
    <w:rsid w:val="00B51A56"/>
    <w:rsid w:val="00B51A9A"/>
    <w:rsid w:val="00B51AC4"/>
    <w:rsid w:val="00B51AD5"/>
    <w:rsid w:val="00B51BC3"/>
    <w:rsid w:val="00B51C0E"/>
    <w:rsid w:val="00B51C81"/>
    <w:rsid w:val="00B51CCF"/>
    <w:rsid w:val="00B51D34"/>
    <w:rsid w:val="00B51EE3"/>
    <w:rsid w:val="00B51F89"/>
    <w:rsid w:val="00B51FCE"/>
    <w:rsid w:val="00B52029"/>
    <w:rsid w:val="00B52092"/>
    <w:rsid w:val="00B5228F"/>
    <w:rsid w:val="00B522AC"/>
    <w:rsid w:val="00B52308"/>
    <w:rsid w:val="00B5230C"/>
    <w:rsid w:val="00B52407"/>
    <w:rsid w:val="00B5247A"/>
    <w:rsid w:val="00B524AC"/>
    <w:rsid w:val="00B5250E"/>
    <w:rsid w:val="00B52568"/>
    <w:rsid w:val="00B525AA"/>
    <w:rsid w:val="00B525CC"/>
    <w:rsid w:val="00B527A6"/>
    <w:rsid w:val="00B527B9"/>
    <w:rsid w:val="00B5282A"/>
    <w:rsid w:val="00B528B6"/>
    <w:rsid w:val="00B52A65"/>
    <w:rsid w:val="00B52AB4"/>
    <w:rsid w:val="00B52ABD"/>
    <w:rsid w:val="00B52B16"/>
    <w:rsid w:val="00B52B45"/>
    <w:rsid w:val="00B52BF5"/>
    <w:rsid w:val="00B52BFD"/>
    <w:rsid w:val="00B52C01"/>
    <w:rsid w:val="00B52C3B"/>
    <w:rsid w:val="00B52C88"/>
    <w:rsid w:val="00B52D35"/>
    <w:rsid w:val="00B52D97"/>
    <w:rsid w:val="00B52DD8"/>
    <w:rsid w:val="00B52E39"/>
    <w:rsid w:val="00B52EA6"/>
    <w:rsid w:val="00B52ED4"/>
    <w:rsid w:val="00B52F33"/>
    <w:rsid w:val="00B52F3F"/>
    <w:rsid w:val="00B52F94"/>
    <w:rsid w:val="00B52FCB"/>
    <w:rsid w:val="00B52FF7"/>
    <w:rsid w:val="00B5300F"/>
    <w:rsid w:val="00B53041"/>
    <w:rsid w:val="00B53071"/>
    <w:rsid w:val="00B530E1"/>
    <w:rsid w:val="00B5311D"/>
    <w:rsid w:val="00B531A0"/>
    <w:rsid w:val="00B531AE"/>
    <w:rsid w:val="00B5320B"/>
    <w:rsid w:val="00B53281"/>
    <w:rsid w:val="00B532D5"/>
    <w:rsid w:val="00B5333D"/>
    <w:rsid w:val="00B5338E"/>
    <w:rsid w:val="00B53511"/>
    <w:rsid w:val="00B53580"/>
    <w:rsid w:val="00B536C8"/>
    <w:rsid w:val="00B537B3"/>
    <w:rsid w:val="00B537EF"/>
    <w:rsid w:val="00B53801"/>
    <w:rsid w:val="00B538AE"/>
    <w:rsid w:val="00B538DB"/>
    <w:rsid w:val="00B538FA"/>
    <w:rsid w:val="00B53AA5"/>
    <w:rsid w:val="00B53AAB"/>
    <w:rsid w:val="00B53AC8"/>
    <w:rsid w:val="00B53AEF"/>
    <w:rsid w:val="00B53B17"/>
    <w:rsid w:val="00B53B97"/>
    <w:rsid w:val="00B53BA9"/>
    <w:rsid w:val="00B53BD1"/>
    <w:rsid w:val="00B53C5F"/>
    <w:rsid w:val="00B53CA4"/>
    <w:rsid w:val="00B53CB3"/>
    <w:rsid w:val="00B53D2F"/>
    <w:rsid w:val="00B53DD1"/>
    <w:rsid w:val="00B53DE2"/>
    <w:rsid w:val="00B53E0E"/>
    <w:rsid w:val="00B53E97"/>
    <w:rsid w:val="00B53EC1"/>
    <w:rsid w:val="00B53EC5"/>
    <w:rsid w:val="00B53EEA"/>
    <w:rsid w:val="00B53FBD"/>
    <w:rsid w:val="00B53FEC"/>
    <w:rsid w:val="00B53FF7"/>
    <w:rsid w:val="00B54073"/>
    <w:rsid w:val="00B540B1"/>
    <w:rsid w:val="00B540B9"/>
    <w:rsid w:val="00B5412F"/>
    <w:rsid w:val="00B54143"/>
    <w:rsid w:val="00B54161"/>
    <w:rsid w:val="00B5421A"/>
    <w:rsid w:val="00B5421C"/>
    <w:rsid w:val="00B5421D"/>
    <w:rsid w:val="00B5422C"/>
    <w:rsid w:val="00B54274"/>
    <w:rsid w:val="00B542D1"/>
    <w:rsid w:val="00B543AF"/>
    <w:rsid w:val="00B543CE"/>
    <w:rsid w:val="00B543D2"/>
    <w:rsid w:val="00B543D6"/>
    <w:rsid w:val="00B5443B"/>
    <w:rsid w:val="00B54635"/>
    <w:rsid w:val="00B5468B"/>
    <w:rsid w:val="00B54799"/>
    <w:rsid w:val="00B547C1"/>
    <w:rsid w:val="00B547C4"/>
    <w:rsid w:val="00B547C7"/>
    <w:rsid w:val="00B547ED"/>
    <w:rsid w:val="00B54829"/>
    <w:rsid w:val="00B5484B"/>
    <w:rsid w:val="00B5486A"/>
    <w:rsid w:val="00B54881"/>
    <w:rsid w:val="00B548CA"/>
    <w:rsid w:val="00B54949"/>
    <w:rsid w:val="00B5498A"/>
    <w:rsid w:val="00B549D3"/>
    <w:rsid w:val="00B549E0"/>
    <w:rsid w:val="00B549EA"/>
    <w:rsid w:val="00B549FC"/>
    <w:rsid w:val="00B54A06"/>
    <w:rsid w:val="00B54A14"/>
    <w:rsid w:val="00B54A62"/>
    <w:rsid w:val="00B54B08"/>
    <w:rsid w:val="00B54B3E"/>
    <w:rsid w:val="00B54B7E"/>
    <w:rsid w:val="00B54BFA"/>
    <w:rsid w:val="00B54CA7"/>
    <w:rsid w:val="00B54CE7"/>
    <w:rsid w:val="00B54D1B"/>
    <w:rsid w:val="00B54DBA"/>
    <w:rsid w:val="00B54E3C"/>
    <w:rsid w:val="00B54E83"/>
    <w:rsid w:val="00B54E9F"/>
    <w:rsid w:val="00B54F58"/>
    <w:rsid w:val="00B54F62"/>
    <w:rsid w:val="00B54F6A"/>
    <w:rsid w:val="00B54FDF"/>
    <w:rsid w:val="00B5500B"/>
    <w:rsid w:val="00B5503A"/>
    <w:rsid w:val="00B55081"/>
    <w:rsid w:val="00B55082"/>
    <w:rsid w:val="00B55087"/>
    <w:rsid w:val="00B5509A"/>
    <w:rsid w:val="00B550FB"/>
    <w:rsid w:val="00B551BB"/>
    <w:rsid w:val="00B55229"/>
    <w:rsid w:val="00B5526F"/>
    <w:rsid w:val="00B5528C"/>
    <w:rsid w:val="00B55387"/>
    <w:rsid w:val="00B553CA"/>
    <w:rsid w:val="00B55419"/>
    <w:rsid w:val="00B55440"/>
    <w:rsid w:val="00B554B1"/>
    <w:rsid w:val="00B555DF"/>
    <w:rsid w:val="00B556C1"/>
    <w:rsid w:val="00B556F6"/>
    <w:rsid w:val="00B55709"/>
    <w:rsid w:val="00B5577D"/>
    <w:rsid w:val="00B55799"/>
    <w:rsid w:val="00B557EF"/>
    <w:rsid w:val="00B5580D"/>
    <w:rsid w:val="00B5586D"/>
    <w:rsid w:val="00B55872"/>
    <w:rsid w:val="00B55899"/>
    <w:rsid w:val="00B5592C"/>
    <w:rsid w:val="00B55992"/>
    <w:rsid w:val="00B5599A"/>
    <w:rsid w:val="00B55A12"/>
    <w:rsid w:val="00B55AFD"/>
    <w:rsid w:val="00B55BC9"/>
    <w:rsid w:val="00B55C28"/>
    <w:rsid w:val="00B55CB7"/>
    <w:rsid w:val="00B55CD4"/>
    <w:rsid w:val="00B55CD9"/>
    <w:rsid w:val="00B55CE1"/>
    <w:rsid w:val="00B55D08"/>
    <w:rsid w:val="00B55D7C"/>
    <w:rsid w:val="00B55D92"/>
    <w:rsid w:val="00B55DE1"/>
    <w:rsid w:val="00B55F12"/>
    <w:rsid w:val="00B55F8D"/>
    <w:rsid w:val="00B55FB4"/>
    <w:rsid w:val="00B56049"/>
    <w:rsid w:val="00B5604F"/>
    <w:rsid w:val="00B560FB"/>
    <w:rsid w:val="00B56120"/>
    <w:rsid w:val="00B56156"/>
    <w:rsid w:val="00B5616B"/>
    <w:rsid w:val="00B561BE"/>
    <w:rsid w:val="00B56272"/>
    <w:rsid w:val="00B562AC"/>
    <w:rsid w:val="00B562B4"/>
    <w:rsid w:val="00B56367"/>
    <w:rsid w:val="00B563A8"/>
    <w:rsid w:val="00B56436"/>
    <w:rsid w:val="00B5645B"/>
    <w:rsid w:val="00B564D3"/>
    <w:rsid w:val="00B5654B"/>
    <w:rsid w:val="00B565B1"/>
    <w:rsid w:val="00B56605"/>
    <w:rsid w:val="00B566AC"/>
    <w:rsid w:val="00B566B3"/>
    <w:rsid w:val="00B566B9"/>
    <w:rsid w:val="00B566D9"/>
    <w:rsid w:val="00B566DC"/>
    <w:rsid w:val="00B567B1"/>
    <w:rsid w:val="00B567DF"/>
    <w:rsid w:val="00B568C2"/>
    <w:rsid w:val="00B56962"/>
    <w:rsid w:val="00B5697B"/>
    <w:rsid w:val="00B5698D"/>
    <w:rsid w:val="00B569AA"/>
    <w:rsid w:val="00B56A33"/>
    <w:rsid w:val="00B56C47"/>
    <w:rsid w:val="00B56CC8"/>
    <w:rsid w:val="00B56CC9"/>
    <w:rsid w:val="00B56D00"/>
    <w:rsid w:val="00B56D1C"/>
    <w:rsid w:val="00B56D6C"/>
    <w:rsid w:val="00B56DAE"/>
    <w:rsid w:val="00B56DC4"/>
    <w:rsid w:val="00B56DF1"/>
    <w:rsid w:val="00B56E4D"/>
    <w:rsid w:val="00B56E7A"/>
    <w:rsid w:val="00B56E89"/>
    <w:rsid w:val="00B56F84"/>
    <w:rsid w:val="00B56FCE"/>
    <w:rsid w:val="00B57012"/>
    <w:rsid w:val="00B57044"/>
    <w:rsid w:val="00B5708F"/>
    <w:rsid w:val="00B570AD"/>
    <w:rsid w:val="00B57159"/>
    <w:rsid w:val="00B57164"/>
    <w:rsid w:val="00B571B9"/>
    <w:rsid w:val="00B5720E"/>
    <w:rsid w:val="00B57212"/>
    <w:rsid w:val="00B57247"/>
    <w:rsid w:val="00B5729B"/>
    <w:rsid w:val="00B572B1"/>
    <w:rsid w:val="00B572F1"/>
    <w:rsid w:val="00B574FC"/>
    <w:rsid w:val="00B575B5"/>
    <w:rsid w:val="00B57708"/>
    <w:rsid w:val="00B5795E"/>
    <w:rsid w:val="00B579A3"/>
    <w:rsid w:val="00B57A1F"/>
    <w:rsid w:val="00B57B21"/>
    <w:rsid w:val="00B57B42"/>
    <w:rsid w:val="00B57B43"/>
    <w:rsid w:val="00B57B80"/>
    <w:rsid w:val="00B57BF8"/>
    <w:rsid w:val="00B57CBE"/>
    <w:rsid w:val="00B57D37"/>
    <w:rsid w:val="00B57E1C"/>
    <w:rsid w:val="00B57EE9"/>
    <w:rsid w:val="00B57FAC"/>
    <w:rsid w:val="00B60074"/>
    <w:rsid w:val="00B6007A"/>
    <w:rsid w:val="00B600F2"/>
    <w:rsid w:val="00B60110"/>
    <w:rsid w:val="00B6011A"/>
    <w:rsid w:val="00B6011F"/>
    <w:rsid w:val="00B6014F"/>
    <w:rsid w:val="00B60161"/>
    <w:rsid w:val="00B60168"/>
    <w:rsid w:val="00B601AB"/>
    <w:rsid w:val="00B6035C"/>
    <w:rsid w:val="00B6035F"/>
    <w:rsid w:val="00B6038A"/>
    <w:rsid w:val="00B60478"/>
    <w:rsid w:val="00B604F5"/>
    <w:rsid w:val="00B60577"/>
    <w:rsid w:val="00B60677"/>
    <w:rsid w:val="00B606DF"/>
    <w:rsid w:val="00B6077D"/>
    <w:rsid w:val="00B60803"/>
    <w:rsid w:val="00B60842"/>
    <w:rsid w:val="00B608FA"/>
    <w:rsid w:val="00B60907"/>
    <w:rsid w:val="00B609EC"/>
    <w:rsid w:val="00B60A3D"/>
    <w:rsid w:val="00B60A66"/>
    <w:rsid w:val="00B60A8C"/>
    <w:rsid w:val="00B60ACB"/>
    <w:rsid w:val="00B60BD9"/>
    <w:rsid w:val="00B60C1F"/>
    <w:rsid w:val="00B60C71"/>
    <w:rsid w:val="00B60D2F"/>
    <w:rsid w:val="00B60D5E"/>
    <w:rsid w:val="00B60E7E"/>
    <w:rsid w:val="00B60EAA"/>
    <w:rsid w:val="00B60ECC"/>
    <w:rsid w:val="00B6107C"/>
    <w:rsid w:val="00B61086"/>
    <w:rsid w:val="00B61099"/>
    <w:rsid w:val="00B610F8"/>
    <w:rsid w:val="00B61112"/>
    <w:rsid w:val="00B611D7"/>
    <w:rsid w:val="00B611E2"/>
    <w:rsid w:val="00B61250"/>
    <w:rsid w:val="00B612B7"/>
    <w:rsid w:val="00B6136C"/>
    <w:rsid w:val="00B6138D"/>
    <w:rsid w:val="00B613AD"/>
    <w:rsid w:val="00B613E4"/>
    <w:rsid w:val="00B6140D"/>
    <w:rsid w:val="00B614E2"/>
    <w:rsid w:val="00B6150A"/>
    <w:rsid w:val="00B6156F"/>
    <w:rsid w:val="00B61571"/>
    <w:rsid w:val="00B615E3"/>
    <w:rsid w:val="00B615FA"/>
    <w:rsid w:val="00B61623"/>
    <w:rsid w:val="00B6162D"/>
    <w:rsid w:val="00B6164E"/>
    <w:rsid w:val="00B616B6"/>
    <w:rsid w:val="00B616EA"/>
    <w:rsid w:val="00B6182A"/>
    <w:rsid w:val="00B6186D"/>
    <w:rsid w:val="00B618A8"/>
    <w:rsid w:val="00B61957"/>
    <w:rsid w:val="00B61983"/>
    <w:rsid w:val="00B61992"/>
    <w:rsid w:val="00B61A29"/>
    <w:rsid w:val="00B61A2F"/>
    <w:rsid w:val="00B61A36"/>
    <w:rsid w:val="00B61B3E"/>
    <w:rsid w:val="00B61B61"/>
    <w:rsid w:val="00B61B7D"/>
    <w:rsid w:val="00B61D14"/>
    <w:rsid w:val="00B61D56"/>
    <w:rsid w:val="00B61D59"/>
    <w:rsid w:val="00B61D84"/>
    <w:rsid w:val="00B61DA3"/>
    <w:rsid w:val="00B61DB3"/>
    <w:rsid w:val="00B61E07"/>
    <w:rsid w:val="00B61E7B"/>
    <w:rsid w:val="00B61EC5"/>
    <w:rsid w:val="00B61FF1"/>
    <w:rsid w:val="00B62032"/>
    <w:rsid w:val="00B620E0"/>
    <w:rsid w:val="00B6211B"/>
    <w:rsid w:val="00B62139"/>
    <w:rsid w:val="00B62272"/>
    <w:rsid w:val="00B6227F"/>
    <w:rsid w:val="00B622A4"/>
    <w:rsid w:val="00B622F1"/>
    <w:rsid w:val="00B62317"/>
    <w:rsid w:val="00B62325"/>
    <w:rsid w:val="00B62401"/>
    <w:rsid w:val="00B62465"/>
    <w:rsid w:val="00B6249E"/>
    <w:rsid w:val="00B624BB"/>
    <w:rsid w:val="00B62677"/>
    <w:rsid w:val="00B626CD"/>
    <w:rsid w:val="00B627B6"/>
    <w:rsid w:val="00B62839"/>
    <w:rsid w:val="00B62866"/>
    <w:rsid w:val="00B62891"/>
    <w:rsid w:val="00B628A8"/>
    <w:rsid w:val="00B628C1"/>
    <w:rsid w:val="00B628F7"/>
    <w:rsid w:val="00B62A69"/>
    <w:rsid w:val="00B62A93"/>
    <w:rsid w:val="00B62AFF"/>
    <w:rsid w:val="00B62B9D"/>
    <w:rsid w:val="00B62C66"/>
    <w:rsid w:val="00B62C6E"/>
    <w:rsid w:val="00B62CA3"/>
    <w:rsid w:val="00B62D48"/>
    <w:rsid w:val="00B62E17"/>
    <w:rsid w:val="00B62E1F"/>
    <w:rsid w:val="00B62E4F"/>
    <w:rsid w:val="00B62F1F"/>
    <w:rsid w:val="00B62F47"/>
    <w:rsid w:val="00B62F5A"/>
    <w:rsid w:val="00B62F5E"/>
    <w:rsid w:val="00B62F66"/>
    <w:rsid w:val="00B62FC9"/>
    <w:rsid w:val="00B62FE9"/>
    <w:rsid w:val="00B62FF9"/>
    <w:rsid w:val="00B6302B"/>
    <w:rsid w:val="00B63032"/>
    <w:rsid w:val="00B6303D"/>
    <w:rsid w:val="00B630D5"/>
    <w:rsid w:val="00B63160"/>
    <w:rsid w:val="00B6321B"/>
    <w:rsid w:val="00B6323F"/>
    <w:rsid w:val="00B6328A"/>
    <w:rsid w:val="00B63336"/>
    <w:rsid w:val="00B6333D"/>
    <w:rsid w:val="00B6336C"/>
    <w:rsid w:val="00B63373"/>
    <w:rsid w:val="00B633B3"/>
    <w:rsid w:val="00B633C1"/>
    <w:rsid w:val="00B63428"/>
    <w:rsid w:val="00B63446"/>
    <w:rsid w:val="00B63448"/>
    <w:rsid w:val="00B6352D"/>
    <w:rsid w:val="00B635A5"/>
    <w:rsid w:val="00B63615"/>
    <w:rsid w:val="00B63656"/>
    <w:rsid w:val="00B63673"/>
    <w:rsid w:val="00B63730"/>
    <w:rsid w:val="00B6377A"/>
    <w:rsid w:val="00B637E5"/>
    <w:rsid w:val="00B6380A"/>
    <w:rsid w:val="00B63895"/>
    <w:rsid w:val="00B638D9"/>
    <w:rsid w:val="00B63901"/>
    <w:rsid w:val="00B6390E"/>
    <w:rsid w:val="00B639C3"/>
    <w:rsid w:val="00B639E9"/>
    <w:rsid w:val="00B63ABC"/>
    <w:rsid w:val="00B63ACD"/>
    <w:rsid w:val="00B63B8D"/>
    <w:rsid w:val="00B63BB2"/>
    <w:rsid w:val="00B63BD4"/>
    <w:rsid w:val="00B63C41"/>
    <w:rsid w:val="00B63CD1"/>
    <w:rsid w:val="00B63CE5"/>
    <w:rsid w:val="00B63D31"/>
    <w:rsid w:val="00B63D7F"/>
    <w:rsid w:val="00B63DCE"/>
    <w:rsid w:val="00B63DDC"/>
    <w:rsid w:val="00B64044"/>
    <w:rsid w:val="00B6408C"/>
    <w:rsid w:val="00B640D3"/>
    <w:rsid w:val="00B640E1"/>
    <w:rsid w:val="00B64259"/>
    <w:rsid w:val="00B64273"/>
    <w:rsid w:val="00B64495"/>
    <w:rsid w:val="00B6449E"/>
    <w:rsid w:val="00B644CC"/>
    <w:rsid w:val="00B64514"/>
    <w:rsid w:val="00B6457E"/>
    <w:rsid w:val="00B645A0"/>
    <w:rsid w:val="00B646BB"/>
    <w:rsid w:val="00B64753"/>
    <w:rsid w:val="00B64792"/>
    <w:rsid w:val="00B647B8"/>
    <w:rsid w:val="00B6485E"/>
    <w:rsid w:val="00B648AD"/>
    <w:rsid w:val="00B64931"/>
    <w:rsid w:val="00B64A71"/>
    <w:rsid w:val="00B64C3F"/>
    <w:rsid w:val="00B64CCA"/>
    <w:rsid w:val="00B64CFC"/>
    <w:rsid w:val="00B64D3D"/>
    <w:rsid w:val="00B64DA0"/>
    <w:rsid w:val="00B64DB2"/>
    <w:rsid w:val="00B64E0C"/>
    <w:rsid w:val="00B64E0F"/>
    <w:rsid w:val="00B64E1E"/>
    <w:rsid w:val="00B64E39"/>
    <w:rsid w:val="00B64E4C"/>
    <w:rsid w:val="00B64EAA"/>
    <w:rsid w:val="00B64F06"/>
    <w:rsid w:val="00B64FA2"/>
    <w:rsid w:val="00B65001"/>
    <w:rsid w:val="00B65039"/>
    <w:rsid w:val="00B6506B"/>
    <w:rsid w:val="00B650A3"/>
    <w:rsid w:val="00B650CC"/>
    <w:rsid w:val="00B650ED"/>
    <w:rsid w:val="00B650F2"/>
    <w:rsid w:val="00B650FB"/>
    <w:rsid w:val="00B65140"/>
    <w:rsid w:val="00B651B5"/>
    <w:rsid w:val="00B651DB"/>
    <w:rsid w:val="00B651DE"/>
    <w:rsid w:val="00B6520F"/>
    <w:rsid w:val="00B65214"/>
    <w:rsid w:val="00B6528F"/>
    <w:rsid w:val="00B653EC"/>
    <w:rsid w:val="00B653F7"/>
    <w:rsid w:val="00B654E5"/>
    <w:rsid w:val="00B6556B"/>
    <w:rsid w:val="00B65574"/>
    <w:rsid w:val="00B655EB"/>
    <w:rsid w:val="00B657E5"/>
    <w:rsid w:val="00B65849"/>
    <w:rsid w:val="00B658B7"/>
    <w:rsid w:val="00B658D2"/>
    <w:rsid w:val="00B658DE"/>
    <w:rsid w:val="00B65909"/>
    <w:rsid w:val="00B6590A"/>
    <w:rsid w:val="00B65936"/>
    <w:rsid w:val="00B6593A"/>
    <w:rsid w:val="00B65972"/>
    <w:rsid w:val="00B65A1D"/>
    <w:rsid w:val="00B65A60"/>
    <w:rsid w:val="00B65B9E"/>
    <w:rsid w:val="00B65C58"/>
    <w:rsid w:val="00B65C70"/>
    <w:rsid w:val="00B65C71"/>
    <w:rsid w:val="00B65C7B"/>
    <w:rsid w:val="00B65CD8"/>
    <w:rsid w:val="00B65D6E"/>
    <w:rsid w:val="00B65DA3"/>
    <w:rsid w:val="00B65E06"/>
    <w:rsid w:val="00B65E0C"/>
    <w:rsid w:val="00B65E2E"/>
    <w:rsid w:val="00B65E68"/>
    <w:rsid w:val="00B65E8A"/>
    <w:rsid w:val="00B65E8D"/>
    <w:rsid w:val="00B65E9E"/>
    <w:rsid w:val="00B65EDC"/>
    <w:rsid w:val="00B65FC9"/>
    <w:rsid w:val="00B65FEE"/>
    <w:rsid w:val="00B66086"/>
    <w:rsid w:val="00B66087"/>
    <w:rsid w:val="00B660DD"/>
    <w:rsid w:val="00B660EF"/>
    <w:rsid w:val="00B66100"/>
    <w:rsid w:val="00B6612D"/>
    <w:rsid w:val="00B66133"/>
    <w:rsid w:val="00B66212"/>
    <w:rsid w:val="00B6621F"/>
    <w:rsid w:val="00B66276"/>
    <w:rsid w:val="00B6628A"/>
    <w:rsid w:val="00B662B9"/>
    <w:rsid w:val="00B662E9"/>
    <w:rsid w:val="00B66371"/>
    <w:rsid w:val="00B663A6"/>
    <w:rsid w:val="00B66434"/>
    <w:rsid w:val="00B66441"/>
    <w:rsid w:val="00B66444"/>
    <w:rsid w:val="00B6647D"/>
    <w:rsid w:val="00B66488"/>
    <w:rsid w:val="00B66494"/>
    <w:rsid w:val="00B664F8"/>
    <w:rsid w:val="00B66589"/>
    <w:rsid w:val="00B66691"/>
    <w:rsid w:val="00B667E5"/>
    <w:rsid w:val="00B66943"/>
    <w:rsid w:val="00B669FD"/>
    <w:rsid w:val="00B66AB2"/>
    <w:rsid w:val="00B66AFD"/>
    <w:rsid w:val="00B66B07"/>
    <w:rsid w:val="00B66B9A"/>
    <w:rsid w:val="00B66BBD"/>
    <w:rsid w:val="00B66C4E"/>
    <w:rsid w:val="00B66CB8"/>
    <w:rsid w:val="00B66D18"/>
    <w:rsid w:val="00B66D2E"/>
    <w:rsid w:val="00B66DB2"/>
    <w:rsid w:val="00B66E5E"/>
    <w:rsid w:val="00B66EAC"/>
    <w:rsid w:val="00B66EC8"/>
    <w:rsid w:val="00B66F7F"/>
    <w:rsid w:val="00B6701F"/>
    <w:rsid w:val="00B670F0"/>
    <w:rsid w:val="00B670F7"/>
    <w:rsid w:val="00B6712B"/>
    <w:rsid w:val="00B67167"/>
    <w:rsid w:val="00B67178"/>
    <w:rsid w:val="00B67319"/>
    <w:rsid w:val="00B67341"/>
    <w:rsid w:val="00B67354"/>
    <w:rsid w:val="00B67396"/>
    <w:rsid w:val="00B6740B"/>
    <w:rsid w:val="00B67430"/>
    <w:rsid w:val="00B67463"/>
    <w:rsid w:val="00B674D3"/>
    <w:rsid w:val="00B67532"/>
    <w:rsid w:val="00B67657"/>
    <w:rsid w:val="00B6769B"/>
    <w:rsid w:val="00B6770A"/>
    <w:rsid w:val="00B67732"/>
    <w:rsid w:val="00B67742"/>
    <w:rsid w:val="00B67882"/>
    <w:rsid w:val="00B679AA"/>
    <w:rsid w:val="00B67A0C"/>
    <w:rsid w:val="00B67A0D"/>
    <w:rsid w:val="00B67A80"/>
    <w:rsid w:val="00B67A8B"/>
    <w:rsid w:val="00B67B72"/>
    <w:rsid w:val="00B67BAE"/>
    <w:rsid w:val="00B67C24"/>
    <w:rsid w:val="00B67C43"/>
    <w:rsid w:val="00B67C4C"/>
    <w:rsid w:val="00B67C5D"/>
    <w:rsid w:val="00B67CCC"/>
    <w:rsid w:val="00B67D33"/>
    <w:rsid w:val="00B67EB5"/>
    <w:rsid w:val="00B67F59"/>
    <w:rsid w:val="00B67F82"/>
    <w:rsid w:val="00B67FEB"/>
    <w:rsid w:val="00B70089"/>
    <w:rsid w:val="00B700A7"/>
    <w:rsid w:val="00B700BE"/>
    <w:rsid w:val="00B700F3"/>
    <w:rsid w:val="00B7011C"/>
    <w:rsid w:val="00B70153"/>
    <w:rsid w:val="00B70160"/>
    <w:rsid w:val="00B701A2"/>
    <w:rsid w:val="00B701BD"/>
    <w:rsid w:val="00B7022C"/>
    <w:rsid w:val="00B702E7"/>
    <w:rsid w:val="00B7038A"/>
    <w:rsid w:val="00B703EC"/>
    <w:rsid w:val="00B703F4"/>
    <w:rsid w:val="00B70477"/>
    <w:rsid w:val="00B704A6"/>
    <w:rsid w:val="00B7051E"/>
    <w:rsid w:val="00B70681"/>
    <w:rsid w:val="00B706AD"/>
    <w:rsid w:val="00B7074D"/>
    <w:rsid w:val="00B70771"/>
    <w:rsid w:val="00B70797"/>
    <w:rsid w:val="00B70802"/>
    <w:rsid w:val="00B7096D"/>
    <w:rsid w:val="00B7099B"/>
    <w:rsid w:val="00B709C6"/>
    <w:rsid w:val="00B709E0"/>
    <w:rsid w:val="00B70A49"/>
    <w:rsid w:val="00B70A85"/>
    <w:rsid w:val="00B70A86"/>
    <w:rsid w:val="00B70B13"/>
    <w:rsid w:val="00B70B1E"/>
    <w:rsid w:val="00B70B59"/>
    <w:rsid w:val="00B70BCF"/>
    <w:rsid w:val="00B70C46"/>
    <w:rsid w:val="00B70C4F"/>
    <w:rsid w:val="00B70CF3"/>
    <w:rsid w:val="00B70D6B"/>
    <w:rsid w:val="00B70DB3"/>
    <w:rsid w:val="00B70DC4"/>
    <w:rsid w:val="00B70DE5"/>
    <w:rsid w:val="00B70E23"/>
    <w:rsid w:val="00B70E25"/>
    <w:rsid w:val="00B70E3A"/>
    <w:rsid w:val="00B70EBA"/>
    <w:rsid w:val="00B70F1E"/>
    <w:rsid w:val="00B70F81"/>
    <w:rsid w:val="00B70FDF"/>
    <w:rsid w:val="00B710CA"/>
    <w:rsid w:val="00B710D5"/>
    <w:rsid w:val="00B71183"/>
    <w:rsid w:val="00B711C4"/>
    <w:rsid w:val="00B7120D"/>
    <w:rsid w:val="00B7121D"/>
    <w:rsid w:val="00B7121E"/>
    <w:rsid w:val="00B71247"/>
    <w:rsid w:val="00B71248"/>
    <w:rsid w:val="00B71285"/>
    <w:rsid w:val="00B71342"/>
    <w:rsid w:val="00B71382"/>
    <w:rsid w:val="00B71383"/>
    <w:rsid w:val="00B7154B"/>
    <w:rsid w:val="00B7154E"/>
    <w:rsid w:val="00B7156B"/>
    <w:rsid w:val="00B715B3"/>
    <w:rsid w:val="00B715D7"/>
    <w:rsid w:val="00B715DE"/>
    <w:rsid w:val="00B7161E"/>
    <w:rsid w:val="00B71622"/>
    <w:rsid w:val="00B71697"/>
    <w:rsid w:val="00B71759"/>
    <w:rsid w:val="00B717E9"/>
    <w:rsid w:val="00B71834"/>
    <w:rsid w:val="00B71837"/>
    <w:rsid w:val="00B7184E"/>
    <w:rsid w:val="00B71858"/>
    <w:rsid w:val="00B71876"/>
    <w:rsid w:val="00B71897"/>
    <w:rsid w:val="00B71911"/>
    <w:rsid w:val="00B7194D"/>
    <w:rsid w:val="00B71987"/>
    <w:rsid w:val="00B719FA"/>
    <w:rsid w:val="00B71A75"/>
    <w:rsid w:val="00B71A97"/>
    <w:rsid w:val="00B71B23"/>
    <w:rsid w:val="00B71B83"/>
    <w:rsid w:val="00B71C00"/>
    <w:rsid w:val="00B71C0E"/>
    <w:rsid w:val="00B71C17"/>
    <w:rsid w:val="00B71C1C"/>
    <w:rsid w:val="00B71C25"/>
    <w:rsid w:val="00B71CB0"/>
    <w:rsid w:val="00B71CC7"/>
    <w:rsid w:val="00B71CEA"/>
    <w:rsid w:val="00B71CED"/>
    <w:rsid w:val="00B71D8D"/>
    <w:rsid w:val="00B71DEE"/>
    <w:rsid w:val="00B71E06"/>
    <w:rsid w:val="00B71E08"/>
    <w:rsid w:val="00B71E26"/>
    <w:rsid w:val="00B71EE1"/>
    <w:rsid w:val="00B71F3D"/>
    <w:rsid w:val="00B7202D"/>
    <w:rsid w:val="00B720A4"/>
    <w:rsid w:val="00B720C4"/>
    <w:rsid w:val="00B720D9"/>
    <w:rsid w:val="00B720F0"/>
    <w:rsid w:val="00B722A8"/>
    <w:rsid w:val="00B722F6"/>
    <w:rsid w:val="00B72341"/>
    <w:rsid w:val="00B72346"/>
    <w:rsid w:val="00B7238D"/>
    <w:rsid w:val="00B72462"/>
    <w:rsid w:val="00B7248C"/>
    <w:rsid w:val="00B724C8"/>
    <w:rsid w:val="00B725A1"/>
    <w:rsid w:val="00B725D6"/>
    <w:rsid w:val="00B72600"/>
    <w:rsid w:val="00B72730"/>
    <w:rsid w:val="00B7283F"/>
    <w:rsid w:val="00B72856"/>
    <w:rsid w:val="00B7290A"/>
    <w:rsid w:val="00B72968"/>
    <w:rsid w:val="00B7298B"/>
    <w:rsid w:val="00B72A70"/>
    <w:rsid w:val="00B72A72"/>
    <w:rsid w:val="00B72A8A"/>
    <w:rsid w:val="00B72A9C"/>
    <w:rsid w:val="00B72AB7"/>
    <w:rsid w:val="00B72B22"/>
    <w:rsid w:val="00B72B57"/>
    <w:rsid w:val="00B72B93"/>
    <w:rsid w:val="00B72BA2"/>
    <w:rsid w:val="00B72BD5"/>
    <w:rsid w:val="00B72CC4"/>
    <w:rsid w:val="00B72CE4"/>
    <w:rsid w:val="00B72CE9"/>
    <w:rsid w:val="00B72D2D"/>
    <w:rsid w:val="00B72D2F"/>
    <w:rsid w:val="00B72E1B"/>
    <w:rsid w:val="00B72E62"/>
    <w:rsid w:val="00B72F5E"/>
    <w:rsid w:val="00B72F66"/>
    <w:rsid w:val="00B73170"/>
    <w:rsid w:val="00B73200"/>
    <w:rsid w:val="00B732A0"/>
    <w:rsid w:val="00B732F6"/>
    <w:rsid w:val="00B73369"/>
    <w:rsid w:val="00B7346C"/>
    <w:rsid w:val="00B73481"/>
    <w:rsid w:val="00B7351F"/>
    <w:rsid w:val="00B73552"/>
    <w:rsid w:val="00B7366A"/>
    <w:rsid w:val="00B7367B"/>
    <w:rsid w:val="00B7367D"/>
    <w:rsid w:val="00B736A3"/>
    <w:rsid w:val="00B736B9"/>
    <w:rsid w:val="00B736D2"/>
    <w:rsid w:val="00B736E7"/>
    <w:rsid w:val="00B736FA"/>
    <w:rsid w:val="00B73747"/>
    <w:rsid w:val="00B7374F"/>
    <w:rsid w:val="00B73797"/>
    <w:rsid w:val="00B737B2"/>
    <w:rsid w:val="00B738C4"/>
    <w:rsid w:val="00B7390E"/>
    <w:rsid w:val="00B73916"/>
    <w:rsid w:val="00B7391A"/>
    <w:rsid w:val="00B73984"/>
    <w:rsid w:val="00B7398F"/>
    <w:rsid w:val="00B739C3"/>
    <w:rsid w:val="00B739F8"/>
    <w:rsid w:val="00B73BC5"/>
    <w:rsid w:val="00B73BE6"/>
    <w:rsid w:val="00B73C6C"/>
    <w:rsid w:val="00B73CA1"/>
    <w:rsid w:val="00B73CAF"/>
    <w:rsid w:val="00B73CFD"/>
    <w:rsid w:val="00B73D3C"/>
    <w:rsid w:val="00B73D3D"/>
    <w:rsid w:val="00B73D90"/>
    <w:rsid w:val="00B73DD9"/>
    <w:rsid w:val="00B73E11"/>
    <w:rsid w:val="00B73E1F"/>
    <w:rsid w:val="00B73E83"/>
    <w:rsid w:val="00B73E87"/>
    <w:rsid w:val="00B73F5E"/>
    <w:rsid w:val="00B73F9C"/>
    <w:rsid w:val="00B73FD6"/>
    <w:rsid w:val="00B73FDB"/>
    <w:rsid w:val="00B7418B"/>
    <w:rsid w:val="00B74356"/>
    <w:rsid w:val="00B74374"/>
    <w:rsid w:val="00B74390"/>
    <w:rsid w:val="00B7439D"/>
    <w:rsid w:val="00B7439F"/>
    <w:rsid w:val="00B743F8"/>
    <w:rsid w:val="00B74429"/>
    <w:rsid w:val="00B74438"/>
    <w:rsid w:val="00B7448F"/>
    <w:rsid w:val="00B744A7"/>
    <w:rsid w:val="00B744DA"/>
    <w:rsid w:val="00B74651"/>
    <w:rsid w:val="00B74670"/>
    <w:rsid w:val="00B746A7"/>
    <w:rsid w:val="00B746B4"/>
    <w:rsid w:val="00B746C6"/>
    <w:rsid w:val="00B74712"/>
    <w:rsid w:val="00B7478B"/>
    <w:rsid w:val="00B74887"/>
    <w:rsid w:val="00B74983"/>
    <w:rsid w:val="00B749B7"/>
    <w:rsid w:val="00B74A29"/>
    <w:rsid w:val="00B74A52"/>
    <w:rsid w:val="00B74A55"/>
    <w:rsid w:val="00B74AA4"/>
    <w:rsid w:val="00B74ACE"/>
    <w:rsid w:val="00B74B06"/>
    <w:rsid w:val="00B74B07"/>
    <w:rsid w:val="00B74BF3"/>
    <w:rsid w:val="00B74BFA"/>
    <w:rsid w:val="00B74C33"/>
    <w:rsid w:val="00B74C86"/>
    <w:rsid w:val="00B74CA6"/>
    <w:rsid w:val="00B74D80"/>
    <w:rsid w:val="00B74DE4"/>
    <w:rsid w:val="00B74E81"/>
    <w:rsid w:val="00B74E85"/>
    <w:rsid w:val="00B74EC5"/>
    <w:rsid w:val="00B74EE6"/>
    <w:rsid w:val="00B74F7C"/>
    <w:rsid w:val="00B75033"/>
    <w:rsid w:val="00B75082"/>
    <w:rsid w:val="00B75087"/>
    <w:rsid w:val="00B7509E"/>
    <w:rsid w:val="00B750D7"/>
    <w:rsid w:val="00B750DC"/>
    <w:rsid w:val="00B751FE"/>
    <w:rsid w:val="00B75219"/>
    <w:rsid w:val="00B75270"/>
    <w:rsid w:val="00B75291"/>
    <w:rsid w:val="00B7534F"/>
    <w:rsid w:val="00B75356"/>
    <w:rsid w:val="00B75377"/>
    <w:rsid w:val="00B753C3"/>
    <w:rsid w:val="00B753CF"/>
    <w:rsid w:val="00B75490"/>
    <w:rsid w:val="00B75570"/>
    <w:rsid w:val="00B7558F"/>
    <w:rsid w:val="00B755CC"/>
    <w:rsid w:val="00B756C0"/>
    <w:rsid w:val="00B757D8"/>
    <w:rsid w:val="00B757DD"/>
    <w:rsid w:val="00B75859"/>
    <w:rsid w:val="00B758A8"/>
    <w:rsid w:val="00B758D2"/>
    <w:rsid w:val="00B75924"/>
    <w:rsid w:val="00B75941"/>
    <w:rsid w:val="00B7596A"/>
    <w:rsid w:val="00B759FA"/>
    <w:rsid w:val="00B75A52"/>
    <w:rsid w:val="00B75A8E"/>
    <w:rsid w:val="00B75AC5"/>
    <w:rsid w:val="00B75B2B"/>
    <w:rsid w:val="00B75B6F"/>
    <w:rsid w:val="00B75BD0"/>
    <w:rsid w:val="00B75C70"/>
    <w:rsid w:val="00B75C75"/>
    <w:rsid w:val="00B75C79"/>
    <w:rsid w:val="00B75D07"/>
    <w:rsid w:val="00B75DAE"/>
    <w:rsid w:val="00B75DE0"/>
    <w:rsid w:val="00B75E50"/>
    <w:rsid w:val="00B75E6A"/>
    <w:rsid w:val="00B75E73"/>
    <w:rsid w:val="00B75E7F"/>
    <w:rsid w:val="00B75E96"/>
    <w:rsid w:val="00B75F09"/>
    <w:rsid w:val="00B75F21"/>
    <w:rsid w:val="00B75F83"/>
    <w:rsid w:val="00B75F89"/>
    <w:rsid w:val="00B76068"/>
    <w:rsid w:val="00B760DF"/>
    <w:rsid w:val="00B760E2"/>
    <w:rsid w:val="00B76115"/>
    <w:rsid w:val="00B761C5"/>
    <w:rsid w:val="00B761F4"/>
    <w:rsid w:val="00B76223"/>
    <w:rsid w:val="00B762D2"/>
    <w:rsid w:val="00B762D6"/>
    <w:rsid w:val="00B76343"/>
    <w:rsid w:val="00B76358"/>
    <w:rsid w:val="00B76380"/>
    <w:rsid w:val="00B76434"/>
    <w:rsid w:val="00B76447"/>
    <w:rsid w:val="00B7648C"/>
    <w:rsid w:val="00B764D7"/>
    <w:rsid w:val="00B76532"/>
    <w:rsid w:val="00B76553"/>
    <w:rsid w:val="00B765BE"/>
    <w:rsid w:val="00B765CE"/>
    <w:rsid w:val="00B765D9"/>
    <w:rsid w:val="00B7667D"/>
    <w:rsid w:val="00B76685"/>
    <w:rsid w:val="00B7669C"/>
    <w:rsid w:val="00B766B8"/>
    <w:rsid w:val="00B767CC"/>
    <w:rsid w:val="00B7684E"/>
    <w:rsid w:val="00B76864"/>
    <w:rsid w:val="00B7688B"/>
    <w:rsid w:val="00B768C7"/>
    <w:rsid w:val="00B76935"/>
    <w:rsid w:val="00B769BA"/>
    <w:rsid w:val="00B76AA1"/>
    <w:rsid w:val="00B76AA5"/>
    <w:rsid w:val="00B76B48"/>
    <w:rsid w:val="00B76B57"/>
    <w:rsid w:val="00B76B5B"/>
    <w:rsid w:val="00B76B86"/>
    <w:rsid w:val="00B76BB1"/>
    <w:rsid w:val="00B76BB8"/>
    <w:rsid w:val="00B76D4B"/>
    <w:rsid w:val="00B76DF4"/>
    <w:rsid w:val="00B76E0D"/>
    <w:rsid w:val="00B76E28"/>
    <w:rsid w:val="00B76E40"/>
    <w:rsid w:val="00B76E5E"/>
    <w:rsid w:val="00B76E62"/>
    <w:rsid w:val="00B76EBA"/>
    <w:rsid w:val="00B76EDC"/>
    <w:rsid w:val="00B76FDA"/>
    <w:rsid w:val="00B77015"/>
    <w:rsid w:val="00B7707B"/>
    <w:rsid w:val="00B77095"/>
    <w:rsid w:val="00B7715C"/>
    <w:rsid w:val="00B771EA"/>
    <w:rsid w:val="00B772D7"/>
    <w:rsid w:val="00B772FD"/>
    <w:rsid w:val="00B77327"/>
    <w:rsid w:val="00B77376"/>
    <w:rsid w:val="00B773A5"/>
    <w:rsid w:val="00B773FE"/>
    <w:rsid w:val="00B77491"/>
    <w:rsid w:val="00B77497"/>
    <w:rsid w:val="00B774C8"/>
    <w:rsid w:val="00B77564"/>
    <w:rsid w:val="00B77592"/>
    <w:rsid w:val="00B775B6"/>
    <w:rsid w:val="00B775D5"/>
    <w:rsid w:val="00B776A5"/>
    <w:rsid w:val="00B776E9"/>
    <w:rsid w:val="00B77753"/>
    <w:rsid w:val="00B77794"/>
    <w:rsid w:val="00B77824"/>
    <w:rsid w:val="00B7783D"/>
    <w:rsid w:val="00B778E8"/>
    <w:rsid w:val="00B779C6"/>
    <w:rsid w:val="00B77B7D"/>
    <w:rsid w:val="00B77C3F"/>
    <w:rsid w:val="00B77C4D"/>
    <w:rsid w:val="00B77C8E"/>
    <w:rsid w:val="00B77D7F"/>
    <w:rsid w:val="00B77DDC"/>
    <w:rsid w:val="00B77E6D"/>
    <w:rsid w:val="00B77EFA"/>
    <w:rsid w:val="00B77F2E"/>
    <w:rsid w:val="00B80004"/>
    <w:rsid w:val="00B80088"/>
    <w:rsid w:val="00B80164"/>
    <w:rsid w:val="00B80199"/>
    <w:rsid w:val="00B801CC"/>
    <w:rsid w:val="00B801EA"/>
    <w:rsid w:val="00B8022A"/>
    <w:rsid w:val="00B80278"/>
    <w:rsid w:val="00B80283"/>
    <w:rsid w:val="00B80292"/>
    <w:rsid w:val="00B802AD"/>
    <w:rsid w:val="00B803BD"/>
    <w:rsid w:val="00B803D7"/>
    <w:rsid w:val="00B803F1"/>
    <w:rsid w:val="00B80487"/>
    <w:rsid w:val="00B804B6"/>
    <w:rsid w:val="00B80527"/>
    <w:rsid w:val="00B8055B"/>
    <w:rsid w:val="00B80691"/>
    <w:rsid w:val="00B806D0"/>
    <w:rsid w:val="00B80760"/>
    <w:rsid w:val="00B8085B"/>
    <w:rsid w:val="00B808A1"/>
    <w:rsid w:val="00B80936"/>
    <w:rsid w:val="00B80961"/>
    <w:rsid w:val="00B80A8B"/>
    <w:rsid w:val="00B80B12"/>
    <w:rsid w:val="00B80B44"/>
    <w:rsid w:val="00B80B71"/>
    <w:rsid w:val="00B80B7C"/>
    <w:rsid w:val="00B80C1E"/>
    <w:rsid w:val="00B80CE5"/>
    <w:rsid w:val="00B80E5A"/>
    <w:rsid w:val="00B80EB2"/>
    <w:rsid w:val="00B80EB4"/>
    <w:rsid w:val="00B80F1B"/>
    <w:rsid w:val="00B80FC0"/>
    <w:rsid w:val="00B8104C"/>
    <w:rsid w:val="00B8105E"/>
    <w:rsid w:val="00B8110D"/>
    <w:rsid w:val="00B81141"/>
    <w:rsid w:val="00B8116C"/>
    <w:rsid w:val="00B81177"/>
    <w:rsid w:val="00B81181"/>
    <w:rsid w:val="00B811EC"/>
    <w:rsid w:val="00B81237"/>
    <w:rsid w:val="00B8126A"/>
    <w:rsid w:val="00B8130E"/>
    <w:rsid w:val="00B8137A"/>
    <w:rsid w:val="00B813E9"/>
    <w:rsid w:val="00B81409"/>
    <w:rsid w:val="00B81484"/>
    <w:rsid w:val="00B814E3"/>
    <w:rsid w:val="00B81561"/>
    <w:rsid w:val="00B815A1"/>
    <w:rsid w:val="00B815B7"/>
    <w:rsid w:val="00B815C3"/>
    <w:rsid w:val="00B81624"/>
    <w:rsid w:val="00B8162E"/>
    <w:rsid w:val="00B8163B"/>
    <w:rsid w:val="00B81652"/>
    <w:rsid w:val="00B81693"/>
    <w:rsid w:val="00B816A6"/>
    <w:rsid w:val="00B816CE"/>
    <w:rsid w:val="00B816DF"/>
    <w:rsid w:val="00B816F0"/>
    <w:rsid w:val="00B817C6"/>
    <w:rsid w:val="00B8181C"/>
    <w:rsid w:val="00B81826"/>
    <w:rsid w:val="00B81838"/>
    <w:rsid w:val="00B81850"/>
    <w:rsid w:val="00B81852"/>
    <w:rsid w:val="00B81938"/>
    <w:rsid w:val="00B8194C"/>
    <w:rsid w:val="00B81999"/>
    <w:rsid w:val="00B819A7"/>
    <w:rsid w:val="00B819B4"/>
    <w:rsid w:val="00B819F2"/>
    <w:rsid w:val="00B81A03"/>
    <w:rsid w:val="00B81A18"/>
    <w:rsid w:val="00B81A41"/>
    <w:rsid w:val="00B81A5F"/>
    <w:rsid w:val="00B81A60"/>
    <w:rsid w:val="00B81A88"/>
    <w:rsid w:val="00B81AE4"/>
    <w:rsid w:val="00B81B4D"/>
    <w:rsid w:val="00B81B56"/>
    <w:rsid w:val="00B81B7F"/>
    <w:rsid w:val="00B81BC3"/>
    <w:rsid w:val="00B81C5F"/>
    <w:rsid w:val="00B81CDA"/>
    <w:rsid w:val="00B81D1D"/>
    <w:rsid w:val="00B81DFA"/>
    <w:rsid w:val="00B81E26"/>
    <w:rsid w:val="00B81E4C"/>
    <w:rsid w:val="00B81F5E"/>
    <w:rsid w:val="00B82083"/>
    <w:rsid w:val="00B82095"/>
    <w:rsid w:val="00B8212F"/>
    <w:rsid w:val="00B82152"/>
    <w:rsid w:val="00B8216C"/>
    <w:rsid w:val="00B8226E"/>
    <w:rsid w:val="00B822E0"/>
    <w:rsid w:val="00B823B1"/>
    <w:rsid w:val="00B823F8"/>
    <w:rsid w:val="00B82450"/>
    <w:rsid w:val="00B8246C"/>
    <w:rsid w:val="00B824DC"/>
    <w:rsid w:val="00B8268D"/>
    <w:rsid w:val="00B826BC"/>
    <w:rsid w:val="00B82786"/>
    <w:rsid w:val="00B827A6"/>
    <w:rsid w:val="00B82810"/>
    <w:rsid w:val="00B828C8"/>
    <w:rsid w:val="00B828FD"/>
    <w:rsid w:val="00B8296D"/>
    <w:rsid w:val="00B8299E"/>
    <w:rsid w:val="00B829EA"/>
    <w:rsid w:val="00B82A2F"/>
    <w:rsid w:val="00B82A97"/>
    <w:rsid w:val="00B82B27"/>
    <w:rsid w:val="00B82BF1"/>
    <w:rsid w:val="00B82C07"/>
    <w:rsid w:val="00B82CD8"/>
    <w:rsid w:val="00B82D26"/>
    <w:rsid w:val="00B82D48"/>
    <w:rsid w:val="00B82D9B"/>
    <w:rsid w:val="00B82DA9"/>
    <w:rsid w:val="00B82DC7"/>
    <w:rsid w:val="00B82DF9"/>
    <w:rsid w:val="00B82E31"/>
    <w:rsid w:val="00B82F5B"/>
    <w:rsid w:val="00B8304E"/>
    <w:rsid w:val="00B8309B"/>
    <w:rsid w:val="00B83121"/>
    <w:rsid w:val="00B831FF"/>
    <w:rsid w:val="00B8328F"/>
    <w:rsid w:val="00B832CA"/>
    <w:rsid w:val="00B833BB"/>
    <w:rsid w:val="00B833DE"/>
    <w:rsid w:val="00B833F6"/>
    <w:rsid w:val="00B83470"/>
    <w:rsid w:val="00B83655"/>
    <w:rsid w:val="00B836A0"/>
    <w:rsid w:val="00B83802"/>
    <w:rsid w:val="00B83829"/>
    <w:rsid w:val="00B83851"/>
    <w:rsid w:val="00B838A4"/>
    <w:rsid w:val="00B83961"/>
    <w:rsid w:val="00B8396B"/>
    <w:rsid w:val="00B839B1"/>
    <w:rsid w:val="00B839B8"/>
    <w:rsid w:val="00B83A19"/>
    <w:rsid w:val="00B83A37"/>
    <w:rsid w:val="00B83AE2"/>
    <w:rsid w:val="00B83AF4"/>
    <w:rsid w:val="00B83B0A"/>
    <w:rsid w:val="00B83B44"/>
    <w:rsid w:val="00B83CB3"/>
    <w:rsid w:val="00B83CD6"/>
    <w:rsid w:val="00B83D1E"/>
    <w:rsid w:val="00B83D27"/>
    <w:rsid w:val="00B83D64"/>
    <w:rsid w:val="00B83DAF"/>
    <w:rsid w:val="00B83DCB"/>
    <w:rsid w:val="00B83DD6"/>
    <w:rsid w:val="00B83E09"/>
    <w:rsid w:val="00B83E26"/>
    <w:rsid w:val="00B83F2E"/>
    <w:rsid w:val="00B83FE2"/>
    <w:rsid w:val="00B8401C"/>
    <w:rsid w:val="00B8406D"/>
    <w:rsid w:val="00B841FC"/>
    <w:rsid w:val="00B84310"/>
    <w:rsid w:val="00B844A3"/>
    <w:rsid w:val="00B84630"/>
    <w:rsid w:val="00B8463B"/>
    <w:rsid w:val="00B8463D"/>
    <w:rsid w:val="00B84651"/>
    <w:rsid w:val="00B84683"/>
    <w:rsid w:val="00B84696"/>
    <w:rsid w:val="00B846C3"/>
    <w:rsid w:val="00B84705"/>
    <w:rsid w:val="00B8474F"/>
    <w:rsid w:val="00B8477A"/>
    <w:rsid w:val="00B84791"/>
    <w:rsid w:val="00B84795"/>
    <w:rsid w:val="00B847BB"/>
    <w:rsid w:val="00B84805"/>
    <w:rsid w:val="00B8480F"/>
    <w:rsid w:val="00B8483F"/>
    <w:rsid w:val="00B848CF"/>
    <w:rsid w:val="00B8490E"/>
    <w:rsid w:val="00B849B9"/>
    <w:rsid w:val="00B84A03"/>
    <w:rsid w:val="00B84A46"/>
    <w:rsid w:val="00B84B19"/>
    <w:rsid w:val="00B84B1C"/>
    <w:rsid w:val="00B84B5D"/>
    <w:rsid w:val="00B84B60"/>
    <w:rsid w:val="00B84B6B"/>
    <w:rsid w:val="00B84BEE"/>
    <w:rsid w:val="00B84C09"/>
    <w:rsid w:val="00B84CA8"/>
    <w:rsid w:val="00B84CFE"/>
    <w:rsid w:val="00B84D3A"/>
    <w:rsid w:val="00B84D73"/>
    <w:rsid w:val="00B84D7E"/>
    <w:rsid w:val="00B84DDC"/>
    <w:rsid w:val="00B84E03"/>
    <w:rsid w:val="00B84E34"/>
    <w:rsid w:val="00B84ECC"/>
    <w:rsid w:val="00B84ECF"/>
    <w:rsid w:val="00B84F25"/>
    <w:rsid w:val="00B84F40"/>
    <w:rsid w:val="00B84F51"/>
    <w:rsid w:val="00B84F75"/>
    <w:rsid w:val="00B84FB9"/>
    <w:rsid w:val="00B84FCC"/>
    <w:rsid w:val="00B84FE5"/>
    <w:rsid w:val="00B84FE7"/>
    <w:rsid w:val="00B85030"/>
    <w:rsid w:val="00B8509F"/>
    <w:rsid w:val="00B85153"/>
    <w:rsid w:val="00B851DE"/>
    <w:rsid w:val="00B851F6"/>
    <w:rsid w:val="00B85245"/>
    <w:rsid w:val="00B85267"/>
    <w:rsid w:val="00B85358"/>
    <w:rsid w:val="00B8535E"/>
    <w:rsid w:val="00B853CF"/>
    <w:rsid w:val="00B853F3"/>
    <w:rsid w:val="00B8540C"/>
    <w:rsid w:val="00B85413"/>
    <w:rsid w:val="00B8541D"/>
    <w:rsid w:val="00B85474"/>
    <w:rsid w:val="00B85599"/>
    <w:rsid w:val="00B855E9"/>
    <w:rsid w:val="00B85610"/>
    <w:rsid w:val="00B8573B"/>
    <w:rsid w:val="00B8575B"/>
    <w:rsid w:val="00B85761"/>
    <w:rsid w:val="00B857E3"/>
    <w:rsid w:val="00B8587C"/>
    <w:rsid w:val="00B858C0"/>
    <w:rsid w:val="00B85905"/>
    <w:rsid w:val="00B859A7"/>
    <w:rsid w:val="00B85A03"/>
    <w:rsid w:val="00B85A25"/>
    <w:rsid w:val="00B85AA9"/>
    <w:rsid w:val="00B85B76"/>
    <w:rsid w:val="00B85C17"/>
    <w:rsid w:val="00B85C27"/>
    <w:rsid w:val="00B85C2C"/>
    <w:rsid w:val="00B85D21"/>
    <w:rsid w:val="00B85D36"/>
    <w:rsid w:val="00B85D6D"/>
    <w:rsid w:val="00B85D75"/>
    <w:rsid w:val="00B85D9A"/>
    <w:rsid w:val="00B85E86"/>
    <w:rsid w:val="00B85F16"/>
    <w:rsid w:val="00B85F2C"/>
    <w:rsid w:val="00B860E5"/>
    <w:rsid w:val="00B860EA"/>
    <w:rsid w:val="00B8610E"/>
    <w:rsid w:val="00B86156"/>
    <w:rsid w:val="00B86170"/>
    <w:rsid w:val="00B86262"/>
    <w:rsid w:val="00B862C5"/>
    <w:rsid w:val="00B862DB"/>
    <w:rsid w:val="00B8635C"/>
    <w:rsid w:val="00B8647C"/>
    <w:rsid w:val="00B86492"/>
    <w:rsid w:val="00B8649A"/>
    <w:rsid w:val="00B864D4"/>
    <w:rsid w:val="00B864D7"/>
    <w:rsid w:val="00B864DC"/>
    <w:rsid w:val="00B864EA"/>
    <w:rsid w:val="00B86646"/>
    <w:rsid w:val="00B86681"/>
    <w:rsid w:val="00B866BF"/>
    <w:rsid w:val="00B86721"/>
    <w:rsid w:val="00B8674A"/>
    <w:rsid w:val="00B86766"/>
    <w:rsid w:val="00B8677D"/>
    <w:rsid w:val="00B867C0"/>
    <w:rsid w:val="00B8681E"/>
    <w:rsid w:val="00B8684C"/>
    <w:rsid w:val="00B8687A"/>
    <w:rsid w:val="00B86B3D"/>
    <w:rsid w:val="00B86B55"/>
    <w:rsid w:val="00B86B95"/>
    <w:rsid w:val="00B86BE6"/>
    <w:rsid w:val="00B86CCE"/>
    <w:rsid w:val="00B86DC3"/>
    <w:rsid w:val="00B86DD8"/>
    <w:rsid w:val="00B86DDF"/>
    <w:rsid w:val="00B86EAD"/>
    <w:rsid w:val="00B86F5F"/>
    <w:rsid w:val="00B86FF3"/>
    <w:rsid w:val="00B87006"/>
    <w:rsid w:val="00B87048"/>
    <w:rsid w:val="00B8705E"/>
    <w:rsid w:val="00B87149"/>
    <w:rsid w:val="00B87227"/>
    <w:rsid w:val="00B872F7"/>
    <w:rsid w:val="00B873F0"/>
    <w:rsid w:val="00B87509"/>
    <w:rsid w:val="00B8756B"/>
    <w:rsid w:val="00B87631"/>
    <w:rsid w:val="00B87665"/>
    <w:rsid w:val="00B87673"/>
    <w:rsid w:val="00B8771E"/>
    <w:rsid w:val="00B877D3"/>
    <w:rsid w:val="00B87818"/>
    <w:rsid w:val="00B87832"/>
    <w:rsid w:val="00B8788F"/>
    <w:rsid w:val="00B878DE"/>
    <w:rsid w:val="00B878F2"/>
    <w:rsid w:val="00B8792C"/>
    <w:rsid w:val="00B879E7"/>
    <w:rsid w:val="00B879F9"/>
    <w:rsid w:val="00B87A08"/>
    <w:rsid w:val="00B87A1E"/>
    <w:rsid w:val="00B87A48"/>
    <w:rsid w:val="00B87AA0"/>
    <w:rsid w:val="00B87B83"/>
    <w:rsid w:val="00B87BBB"/>
    <w:rsid w:val="00B87CA8"/>
    <w:rsid w:val="00B87CBB"/>
    <w:rsid w:val="00B87D00"/>
    <w:rsid w:val="00B87D49"/>
    <w:rsid w:val="00B87E09"/>
    <w:rsid w:val="00B87E30"/>
    <w:rsid w:val="00B87E54"/>
    <w:rsid w:val="00B87F49"/>
    <w:rsid w:val="00B87F73"/>
    <w:rsid w:val="00B87F99"/>
    <w:rsid w:val="00B87FAA"/>
    <w:rsid w:val="00B90048"/>
    <w:rsid w:val="00B90116"/>
    <w:rsid w:val="00B90127"/>
    <w:rsid w:val="00B90192"/>
    <w:rsid w:val="00B902B0"/>
    <w:rsid w:val="00B902F7"/>
    <w:rsid w:val="00B903D2"/>
    <w:rsid w:val="00B903E3"/>
    <w:rsid w:val="00B903E9"/>
    <w:rsid w:val="00B9041A"/>
    <w:rsid w:val="00B9042E"/>
    <w:rsid w:val="00B90568"/>
    <w:rsid w:val="00B90588"/>
    <w:rsid w:val="00B905A6"/>
    <w:rsid w:val="00B905A9"/>
    <w:rsid w:val="00B9064B"/>
    <w:rsid w:val="00B9064F"/>
    <w:rsid w:val="00B9066B"/>
    <w:rsid w:val="00B9080F"/>
    <w:rsid w:val="00B90867"/>
    <w:rsid w:val="00B90A10"/>
    <w:rsid w:val="00B90A41"/>
    <w:rsid w:val="00B90AAB"/>
    <w:rsid w:val="00B90AF7"/>
    <w:rsid w:val="00B90B09"/>
    <w:rsid w:val="00B90B20"/>
    <w:rsid w:val="00B90B27"/>
    <w:rsid w:val="00B90B55"/>
    <w:rsid w:val="00B90B63"/>
    <w:rsid w:val="00B90B84"/>
    <w:rsid w:val="00B90B8D"/>
    <w:rsid w:val="00B90BB8"/>
    <w:rsid w:val="00B90BC3"/>
    <w:rsid w:val="00B90C2F"/>
    <w:rsid w:val="00B90C87"/>
    <w:rsid w:val="00B90C9E"/>
    <w:rsid w:val="00B90CD3"/>
    <w:rsid w:val="00B90E0A"/>
    <w:rsid w:val="00B90E5E"/>
    <w:rsid w:val="00B90F0E"/>
    <w:rsid w:val="00B90F73"/>
    <w:rsid w:val="00B90FD6"/>
    <w:rsid w:val="00B91062"/>
    <w:rsid w:val="00B9107A"/>
    <w:rsid w:val="00B910D7"/>
    <w:rsid w:val="00B91142"/>
    <w:rsid w:val="00B91145"/>
    <w:rsid w:val="00B911C5"/>
    <w:rsid w:val="00B9124F"/>
    <w:rsid w:val="00B91294"/>
    <w:rsid w:val="00B912F8"/>
    <w:rsid w:val="00B91368"/>
    <w:rsid w:val="00B91519"/>
    <w:rsid w:val="00B91559"/>
    <w:rsid w:val="00B9159D"/>
    <w:rsid w:val="00B915F9"/>
    <w:rsid w:val="00B91678"/>
    <w:rsid w:val="00B9170E"/>
    <w:rsid w:val="00B91721"/>
    <w:rsid w:val="00B91800"/>
    <w:rsid w:val="00B918BF"/>
    <w:rsid w:val="00B918C3"/>
    <w:rsid w:val="00B91938"/>
    <w:rsid w:val="00B91B4F"/>
    <w:rsid w:val="00B91BAB"/>
    <w:rsid w:val="00B91C35"/>
    <w:rsid w:val="00B91C68"/>
    <w:rsid w:val="00B91CA0"/>
    <w:rsid w:val="00B91D19"/>
    <w:rsid w:val="00B91D33"/>
    <w:rsid w:val="00B91D52"/>
    <w:rsid w:val="00B91DD5"/>
    <w:rsid w:val="00B91DDB"/>
    <w:rsid w:val="00B91EC5"/>
    <w:rsid w:val="00B91EDF"/>
    <w:rsid w:val="00B91FC0"/>
    <w:rsid w:val="00B9200D"/>
    <w:rsid w:val="00B92070"/>
    <w:rsid w:val="00B92095"/>
    <w:rsid w:val="00B920D2"/>
    <w:rsid w:val="00B92124"/>
    <w:rsid w:val="00B92228"/>
    <w:rsid w:val="00B9222C"/>
    <w:rsid w:val="00B92263"/>
    <w:rsid w:val="00B92306"/>
    <w:rsid w:val="00B9232E"/>
    <w:rsid w:val="00B923BB"/>
    <w:rsid w:val="00B9248C"/>
    <w:rsid w:val="00B92527"/>
    <w:rsid w:val="00B9256A"/>
    <w:rsid w:val="00B92575"/>
    <w:rsid w:val="00B92581"/>
    <w:rsid w:val="00B92585"/>
    <w:rsid w:val="00B925AE"/>
    <w:rsid w:val="00B925B1"/>
    <w:rsid w:val="00B9260A"/>
    <w:rsid w:val="00B92650"/>
    <w:rsid w:val="00B92683"/>
    <w:rsid w:val="00B92756"/>
    <w:rsid w:val="00B9278C"/>
    <w:rsid w:val="00B9278F"/>
    <w:rsid w:val="00B927E2"/>
    <w:rsid w:val="00B92873"/>
    <w:rsid w:val="00B92899"/>
    <w:rsid w:val="00B92952"/>
    <w:rsid w:val="00B9297B"/>
    <w:rsid w:val="00B929BA"/>
    <w:rsid w:val="00B92A21"/>
    <w:rsid w:val="00B92AB3"/>
    <w:rsid w:val="00B92BB5"/>
    <w:rsid w:val="00B92BEF"/>
    <w:rsid w:val="00B92C30"/>
    <w:rsid w:val="00B92D50"/>
    <w:rsid w:val="00B92E03"/>
    <w:rsid w:val="00B92E5B"/>
    <w:rsid w:val="00B92E74"/>
    <w:rsid w:val="00B92F40"/>
    <w:rsid w:val="00B92FB3"/>
    <w:rsid w:val="00B92FB4"/>
    <w:rsid w:val="00B92FBA"/>
    <w:rsid w:val="00B930EF"/>
    <w:rsid w:val="00B931AC"/>
    <w:rsid w:val="00B9320E"/>
    <w:rsid w:val="00B932C4"/>
    <w:rsid w:val="00B9332D"/>
    <w:rsid w:val="00B9339E"/>
    <w:rsid w:val="00B933A8"/>
    <w:rsid w:val="00B933E4"/>
    <w:rsid w:val="00B9343C"/>
    <w:rsid w:val="00B93450"/>
    <w:rsid w:val="00B93477"/>
    <w:rsid w:val="00B934AE"/>
    <w:rsid w:val="00B934B6"/>
    <w:rsid w:val="00B934CA"/>
    <w:rsid w:val="00B93521"/>
    <w:rsid w:val="00B9353C"/>
    <w:rsid w:val="00B935D4"/>
    <w:rsid w:val="00B93600"/>
    <w:rsid w:val="00B9361F"/>
    <w:rsid w:val="00B936A3"/>
    <w:rsid w:val="00B936C4"/>
    <w:rsid w:val="00B9372F"/>
    <w:rsid w:val="00B93734"/>
    <w:rsid w:val="00B9388B"/>
    <w:rsid w:val="00B938F8"/>
    <w:rsid w:val="00B93928"/>
    <w:rsid w:val="00B93A1C"/>
    <w:rsid w:val="00B93B19"/>
    <w:rsid w:val="00B93B90"/>
    <w:rsid w:val="00B93BCA"/>
    <w:rsid w:val="00B93BD9"/>
    <w:rsid w:val="00B93BDD"/>
    <w:rsid w:val="00B93C1B"/>
    <w:rsid w:val="00B93C22"/>
    <w:rsid w:val="00B93C44"/>
    <w:rsid w:val="00B93C48"/>
    <w:rsid w:val="00B93CCE"/>
    <w:rsid w:val="00B93CD6"/>
    <w:rsid w:val="00B93DEC"/>
    <w:rsid w:val="00B93E4A"/>
    <w:rsid w:val="00B93F26"/>
    <w:rsid w:val="00B93F44"/>
    <w:rsid w:val="00B93F82"/>
    <w:rsid w:val="00B93F93"/>
    <w:rsid w:val="00B93FB5"/>
    <w:rsid w:val="00B93FF1"/>
    <w:rsid w:val="00B94001"/>
    <w:rsid w:val="00B94200"/>
    <w:rsid w:val="00B9437B"/>
    <w:rsid w:val="00B943F4"/>
    <w:rsid w:val="00B9444D"/>
    <w:rsid w:val="00B9455D"/>
    <w:rsid w:val="00B9457B"/>
    <w:rsid w:val="00B94585"/>
    <w:rsid w:val="00B945D0"/>
    <w:rsid w:val="00B94684"/>
    <w:rsid w:val="00B947C6"/>
    <w:rsid w:val="00B947C9"/>
    <w:rsid w:val="00B947F3"/>
    <w:rsid w:val="00B948C4"/>
    <w:rsid w:val="00B94904"/>
    <w:rsid w:val="00B9490F"/>
    <w:rsid w:val="00B94A49"/>
    <w:rsid w:val="00B94A95"/>
    <w:rsid w:val="00B94A9E"/>
    <w:rsid w:val="00B94AAC"/>
    <w:rsid w:val="00B94AC7"/>
    <w:rsid w:val="00B94ADF"/>
    <w:rsid w:val="00B94B75"/>
    <w:rsid w:val="00B94B94"/>
    <w:rsid w:val="00B94BFA"/>
    <w:rsid w:val="00B94C57"/>
    <w:rsid w:val="00B94C86"/>
    <w:rsid w:val="00B94CFB"/>
    <w:rsid w:val="00B94DAD"/>
    <w:rsid w:val="00B94E70"/>
    <w:rsid w:val="00B94F32"/>
    <w:rsid w:val="00B9517E"/>
    <w:rsid w:val="00B951B7"/>
    <w:rsid w:val="00B95257"/>
    <w:rsid w:val="00B95260"/>
    <w:rsid w:val="00B952BB"/>
    <w:rsid w:val="00B9532D"/>
    <w:rsid w:val="00B953CB"/>
    <w:rsid w:val="00B95409"/>
    <w:rsid w:val="00B954AC"/>
    <w:rsid w:val="00B954DD"/>
    <w:rsid w:val="00B95525"/>
    <w:rsid w:val="00B95552"/>
    <w:rsid w:val="00B955B1"/>
    <w:rsid w:val="00B95629"/>
    <w:rsid w:val="00B95756"/>
    <w:rsid w:val="00B957E9"/>
    <w:rsid w:val="00B957ED"/>
    <w:rsid w:val="00B958E1"/>
    <w:rsid w:val="00B95914"/>
    <w:rsid w:val="00B95979"/>
    <w:rsid w:val="00B959AC"/>
    <w:rsid w:val="00B95B22"/>
    <w:rsid w:val="00B95B8A"/>
    <w:rsid w:val="00B95C69"/>
    <w:rsid w:val="00B95D0F"/>
    <w:rsid w:val="00B95D86"/>
    <w:rsid w:val="00B95DC0"/>
    <w:rsid w:val="00B95DEE"/>
    <w:rsid w:val="00B95E51"/>
    <w:rsid w:val="00B95EAB"/>
    <w:rsid w:val="00B95EAF"/>
    <w:rsid w:val="00B95EDF"/>
    <w:rsid w:val="00B95F28"/>
    <w:rsid w:val="00B95F85"/>
    <w:rsid w:val="00B95FB6"/>
    <w:rsid w:val="00B96037"/>
    <w:rsid w:val="00B960C1"/>
    <w:rsid w:val="00B961E6"/>
    <w:rsid w:val="00B961F6"/>
    <w:rsid w:val="00B96250"/>
    <w:rsid w:val="00B9629E"/>
    <w:rsid w:val="00B96371"/>
    <w:rsid w:val="00B963FA"/>
    <w:rsid w:val="00B964E3"/>
    <w:rsid w:val="00B96511"/>
    <w:rsid w:val="00B9653D"/>
    <w:rsid w:val="00B96550"/>
    <w:rsid w:val="00B96554"/>
    <w:rsid w:val="00B96567"/>
    <w:rsid w:val="00B966F8"/>
    <w:rsid w:val="00B96721"/>
    <w:rsid w:val="00B9673F"/>
    <w:rsid w:val="00B96747"/>
    <w:rsid w:val="00B967A2"/>
    <w:rsid w:val="00B967B1"/>
    <w:rsid w:val="00B9683F"/>
    <w:rsid w:val="00B9688F"/>
    <w:rsid w:val="00B968A3"/>
    <w:rsid w:val="00B968AA"/>
    <w:rsid w:val="00B968B2"/>
    <w:rsid w:val="00B96976"/>
    <w:rsid w:val="00B96AC9"/>
    <w:rsid w:val="00B96AEF"/>
    <w:rsid w:val="00B96B3D"/>
    <w:rsid w:val="00B96B48"/>
    <w:rsid w:val="00B96D1F"/>
    <w:rsid w:val="00B96D21"/>
    <w:rsid w:val="00B96D63"/>
    <w:rsid w:val="00B96DAC"/>
    <w:rsid w:val="00B96DE6"/>
    <w:rsid w:val="00B96DE8"/>
    <w:rsid w:val="00B96E69"/>
    <w:rsid w:val="00B96E6D"/>
    <w:rsid w:val="00B96E75"/>
    <w:rsid w:val="00B96EBC"/>
    <w:rsid w:val="00B96F63"/>
    <w:rsid w:val="00B97005"/>
    <w:rsid w:val="00B970C5"/>
    <w:rsid w:val="00B97118"/>
    <w:rsid w:val="00B97290"/>
    <w:rsid w:val="00B972AC"/>
    <w:rsid w:val="00B972B1"/>
    <w:rsid w:val="00B973F5"/>
    <w:rsid w:val="00B9744A"/>
    <w:rsid w:val="00B97459"/>
    <w:rsid w:val="00B974AA"/>
    <w:rsid w:val="00B974C5"/>
    <w:rsid w:val="00B97530"/>
    <w:rsid w:val="00B97543"/>
    <w:rsid w:val="00B975BC"/>
    <w:rsid w:val="00B975C5"/>
    <w:rsid w:val="00B97683"/>
    <w:rsid w:val="00B976B4"/>
    <w:rsid w:val="00B976C5"/>
    <w:rsid w:val="00B977D1"/>
    <w:rsid w:val="00B977D6"/>
    <w:rsid w:val="00B9786F"/>
    <w:rsid w:val="00B97872"/>
    <w:rsid w:val="00B978FB"/>
    <w:rsid w:val="00B97914"/>
    <w:rsid w:val="00B97945"/>
    <w:rsid w:val="00B979F3"/>
    <w:rsid w:val="00B97A18"/>
    <w:rsid w:val="00B97A1E"/>
    <w:rsid w:val="00B97A84"/>
    <w:rsid w:val="00B97A88"/>
    <w:rsid w:val="00B97A90"/>
    <w:rsid w:val="00B97A9D"/>
    <w:rsid w:val="00B97CB4"/>
    <w:rsid w:val="00B97CC8"/>
    <w:rsid w:val="00B97CD3"/>
    <w:rsid w:val="00B97D2D"/>
    <w:rsid w:val="00B97D6F"/>
    <w:rsid w:val="00B97DA5"/>
    <w:rsid w:val="00B97DBD"/>
    <w:rsid w:val="00B97F0B"/>
    <w:rsid w:val="00B97F31"/>
    <w:rsid w:val="00B97F3D"/>
    <w:rsid w:val="00B97FC2"/>
    <w:rsid w:val="00B97FF2"/>
    <w:rsid w:val="00B97FF6"/>
    <w:rsid w:val="00BA00A5"/>
    <w:rsid w:val="00BA00B8"/>
    <w:rsid w:val="00BA0108"/>
    <w:rsid w:val="00BA0174"/>
    <w:rsid w:val="00BA018B"/>
    <w:rsid w:val="00BA022A"/>
    <w:rsid w:val="00BA027B"/>
    <w:rsid w:val="00BA02B1"/>
    <w:rsid w:val="00BA02CA"/>
    <w:rsid w:val="00BA02D3"/>
    <w:rsid w:val="00BA037D"/>
    <w:rsid w:val="00BA0388"/>
    <w:rsid w:val="00BA0394"/>
    <w:rsid w:val="00BA040C"/>
    <w:rsid w:val="00BA040E"/>
    <w:rsid w:val="00BA0479"/>
    <w:rsid w:val="00BA049C"/>
    <w:rsid w:val="00BA04AA"/>
    <w:rsid w:val="00BA0530"/>
    <w:rsid w:val="00BA0542"/>
    <w:rsid w:val="00BA055E"/>
    <w:rsid w:val="00BA05D3"/>
    <w:rsid w:val="00BA0693"/>
    <w:rsid w:val="00BA06C8"/>
    <w:rsid w:val="00BA073A"/>
    <w:rsid w:val="00BA075F"/>
    <w:rsid w:val="00BA07FE"/>
    <w:rsid w:val="00BA08D6"/>
    <w:rsid w:val="00BA0920"/>
    <w:rsid w:val="00BA09A6"/>
    <w:rsid w:val="00BA0A14"/>
    <w:rsid w:val="00BA0A57"/>
    <w:rsid w:val="00BA0A94"/>
    <w:rsid w:val="00BA0B57"/>
    <w:rsid w:val="00BA0B80"/>
    <w:rsid w:val="00BA0C2F"/>
    <w:rsid w:val="00BA0C74"/>
    <w:rsid w:val="00BA0C8F"/>
    <w:rsid w:val="00BA0CAE"/>
    <w:rsid w:val="00BA0CC4"/>
    <w:rsid w:val="00BA0D10"/>
    <w:rsid w:val="00BA0D4B"/>
    <w:rsid w:val="00BA0D63"/>
    <w:rsid w:val="00BA0DD0"/>
    <w:rsid w:val="00BA0E22"/>
    <w:rsid w:val="00BA0E45"/>
    <w:rsid w:val="00BA0F06"/>
    <w:rsid w:val="00BA0F1B"/>
    <w:rsid w:val="00BA0F37"/>
    <w:rsid w:val="00BA0FB0"/>
    <w:rsid w:val="00BA1055"/>
    <w:rsid w:val="00BA10C6"/>
    <w:rsid w:val="00BA10E4"/>
    <w:rsid w:val="00BA1196"/>
    <w:rsid w:val="00BA11F2"/>
    <w:rsid w:val="00BA11F8"/>
    <w:rsid w:val="00BA12BE"/>
    <w:rsid w:val="00BA1322"/>
    <w:rsid w:val="00BA1366"/>
    <w:rsid w:val="00BA13F2"/>
    <w:rsid w:val="00BA1473"/>
    <w:rsid w:val="00BA1487"/>
    <w:rsid w:val="00BA14B5"/>
    <w:rsid w:val="00BA14C4"/>
    <w:rsid w:val="00BA14DE"/>
    <w:rsid w:val="00BA155D"/>
    <w:rsid w:val="00BA15C0"/>
    <w:rsid w:val="00BA16CD"/>
    <w:rsid w:val="00BA16F7"/>
    <w:rsid w:val="00BA171E"/>
    <w:rsid w:val="00BA179F"/>
    <w:rsid w:val="00BA1954"/>
    <w:rsid w:val="00BA19AD"/>
    <w:rsid w:val="00BA1A63"/>
    <w:rsid w:val="00BA1A8C"/>
    <w:rsid w:val="00BA1AE5"/>
    <w:rsid w:val="00BA1B75"/>
    <w:rsid w:val="00BA1B86"/>
    <w:rsid w:val="00BA1CD6"/>
    <w:rsid w:val="00BA1DCD"/>
    <w:rsid w:val="00BA1E17"/>
    <w:rsid w:val="00BA1E7F"/>
    <w:rsid w:val="00BA1E88"/>
    <w:rsid w:val="00BA1EC6"/>
    <w:rsid w:val="00BA1EE3"/>
    <w:rsid w:val="00BA1F5B"/>
    <w:rsid w:val="00BA1F74"/>
    <w:rsid w:val="00BA1F83"/>
    <w:rsid w:val="00BA200C"/>
    <w:rsid w:val="00BA20B1"/>
    <w:rsid w:val="00BA20B3"/>
    <w:rsid w:val="00BA2186"/>
    <w:rsid w:val="00BA2190"/>
    <w:rsid w:val="00BA225F"/>
    <w:rsid w:val="00BA22AC"/>
    <w:rsid w:val="00BA22C2"/>
    <w:rsid w:val="00BA231F"/>
    <w:rsid w:val="00BA2416"/>
    <w:rsid w:val="00BA2459"/>
    <w:rsid w:val="00BA245D"/>
    <w:rsid w:val="00BA247D"/>
    <w:rsid w:val="00BA24A8"/>
    <w:rsid w:val="00BA24D1"/>
    <w:rsid w:val="00BA2523"/>
    <w:rsid w:val="00BA2606"/>
    <w:rsid w:val="00BA2685"/>
    <w:rsid w:val="00BA26B4"/>
    <w:rsid w:val="00BA26EE"/>
    <w:rsid w:val="00BA2704"/>
    <w:rsid w:val="00BA2752"/>
    <w:rsid w:val="00BA2757"/>
    <w:rsid w:val="00BA2792"/>
    <w:rsid w:val="00BA27EB"/>
    <w:rsid w:val="00BA281E"/>
    <w:rsid w:val="00BA2828"/>
    <w:rsid w:val="00BA282E"/>
    <w:rsid w:val="00BA28E1"/>
    <w:rsid w:val="00BA2914"/>
    <w:rsid w:val="00BA29A5"/>
    <w:rsid w:val="00BA29C6"/>
    <w:rsid w:val="00BA2A24"/>
    <w:rsid w:val="00BA2A30"/>
    <w:rsid w:val="00BA2A8E"/>
    <w:rsid w:val="00BA2ABD"/>
    <w:rsid w:val="00BA2BBB"/>
    <w:rsid w:val="00BA2BED"/>
    <w:rsid w:val="00BA2C3E"/>
    <w:rsid w:val="00BA2C50"/>
    <w:rsid w:val="00BA2C62"/>
    <w:rsid w:val="00BA2C80"/>
    <w:rsid w:val="00BA2CA0"/>
    <w:rsid w:val="00BA2D3E"/>
    <w:rsid w:val="00BA2E0C"/>
    <w:rsid w:val="00BA2E38"/>
    <w:rsid w:val="00BA2F15"/>
    <w:rsid w:val="00BA2F32"/>
    <w:rsid w:val="00BA2F7F"/>
    <w:rsid w:val="00BA2FB9"/>
    <w:rsid w:val="00BA2FF9"/>
    <w:rsid w:val="00BA3032"/>
    <w:rsid w:val="00BA307B"/>
    <w:rsid w:val="00BA313D"/>
    <w:rsid w:val="00BA31A7"/>
    <w:rsid w:val="00BA31D0"/>
    <w:rsid w:val="00BA322A"/>
    <w:rsid w:val="00BA3258"/>
    <w:rsid w:val="00BA3293"/>
    <w:rsid w:val="00BA32D8"/>
    <w:rsid w:val="00BA3360"/>
    <w:rsid w:val="00BA33A1"/>
    <w:rsid w:val="00BA347E"/>
    <w:rsid w:val="00BA34BD"/>
    <w:rsid w:val="00BA34F0"/>
    <w:rsid w:val="00BA3521"/>
    <w:rsid w:val="00BA356E"/>
    <w:rsid w:val="00BA35A8"/>
    <w:rsid w:val="00BA360A"/>
    <w:rsid w:val="00BA3611"/>
    <w:rsid w:val="00BA366F"/>
    <w:rsid w:val="00BA369D"/>
    <w:rsid w:val="00BA3701"/>
    <w:rsid w:val="00BA3705"/>
    <w:rsid w:val="00BA3729"/>
    <w:rsid w:val="00BA3749"/>
    <w:rsid w:val="00BA37B7"/>
    <w:rsid w:val="00BA37CA"/>
    <w:rsid w:val="00BA37D0"/>
    <w:rsid w:val="00BA3902"/>
    <w:rsid w:val="00BA3921"/>
    <w:rsid w:val="00BA396C"/>
    <w:rsid w:val="00BA39CD"/>
    <w:rsid w:val="00BA3A5E"/>
    <w:rsid w:val="00BA3B63"/>
    <w:rsid w:val="00BA3BF9"/>
    <w:rsid w:val="00BA3C61"/>
    <w:rsid w:val="00BA3CD0"/>
    <w:rsid w:val="00BA3D99"/>
    <w:rsid w:val="00BA3E02"/>
    <w:rsid w:val="00BA3E71"/>
    <w:rsid w:val="00BA3E8A"/>
    <w:rsid w:val="00BA3E91"/>
    <w:rsid w:val="00BA3E9E"/>
    <w:rsid w:val="00BA3EC5"/>
    <w:rsid w:val="00BA3F73"/>
    <w:rsid w:val="00BA3FCC"/>
    <w:rsid w:val="00BA403E"/>
    <w:rsid w:val="00BA40A7"/>
    <w:rsid w:val="00BA40CF"/>
    <w:rsid w:val="00BA418D"/>
    <w:rsid w:val="00BA41EF"/>
    <w:rsid w:val="00BA42E7"/>
    <w:rsid w:val="00BA42FC"/>
    <w:rsid w:val="00BA430B"/>
    <w:rsid w:val="00BA4365"/>
    <w:rsid w:val="00BA4379"/>
    <w:rsid w:val="00BA43AF"/>
    <w:rsid w:val="00BA4408"/>
    <w:rsid w:val="00BA450E"/>
    <w:rsid w:val="00BA458E"/>
    <w:rsid w:val="00BA47D0"/>
    <w:rsid w:val="00BA48F4"/>
    <w:rsid w:val="00BA4927"/>
    <w:rsid w:val="00BA497B"/>
    <w:rsid w:val="00BA4981"/>
    <w:rsid w:val="00BA498C"/>
    <w:rsid w:val="00BA4A00"/>
    <w:rsid w:val="00BA4A01"/>
    <w:rsid w:val="00BA4A79"/>
    <w:rsid w:val="00BA4A8C"/>
    <w:rsid w:val="00BA4AB9"/>
    <w:rsid w:val="00BA4B08"/>
    <w:rsid w:val="00BA4B63"/>
    <w:rsid w:val="00BA4B84"/>
    <w:rsid w:val="00BA4BBB"/>
    <w:rsid w:val="00BA4BDC"/>
    <w:rsid w:val="00BA4CF3"/>
    <w:rsid w:val="00BA4DCD"/>
    <w:rsid w:val="00BA4DE7"/>
    <w:rsid w:val="00BA4E54"/>
    <w:rsid w:val="00BA4E7F"/>
    <w:rsid w:val="00BA4E98"/>
    <w:rsid w:val="00BA4F2F"/>
    <w:rsid w:val="00BA50FA"/>
    <w:rsid w:val="00BA519A"/>
    <w:rsid w:val="00BA51AE"/>
    <w:rsid w:val="00BA51B6"/>
    <w:rsid w:val="00BA523F"/>
    <w:rsid w:val="00BA5289"/>
    <w:rsid w:val="00BA52DE"/>
    <w:rsid w:val="00BA536E"/>
    <w:rsid w:val="00BA53F7"/>
    <w:rsid w:val="00BA5417"/>
    <w:rsid w:val="00BA54AF"/>
    <w:rsid w:val="00BA5500"/>
    <w:rsid w:val="00BA5541"/>
    <w:rsid w:val="00BA5608"/>
    <w:rsid w:val="00BA56AD"/>
    <w:rsid w:val="00BA56BA"/>
    <w:rsid w:val="00BA572E"/>
    <w:rsid w:val="00BA5735"/>
    <w:rsid w:val="00BA5764"/>
    <w:rsid w:val="00BA5887"/>
    <w:rsid w:val="00BA5909"/>
    <w:rsid w:val="00BA59B1"/>
    <w:rsid w:val="00BA5A50"/>
    <w:rsid w:val="00BA5A53"/>
    <w:rsid w:val="00BA5A76"/>
    <w:rsid w:val="00BA5AA5"/>
    <w:rsid w:val="00BA5B27"/>
    <w:rsid w:val="00BA5C73"/>
    <w:rsid w:val="00BA5D0B"/>
    <w:rsid w:val="00BA5D32"/>
    <w:rsid w:val="00BA5D34"/>
    <w:rsid w:val="00BA5DA1"/>
    <w:rsid w:val="00BA5E06"/>
    <w:rsid w:val="00BA5EF7"/>
    <w:rsid w:val="00BA5F7F"/>
    <w:rsid w:val="00BA5FB9"/>
    <w:rsid w:val="00BA6028"/>
    <w:rsid w:val="00BA609C"/>
    <w:rsid w:val="00BA60F9"/>
    <w:rsid w:val="00BA617E"/>
    <w:rsid w:val="00BA6191"/>
    <w:rsid w:val="00BA61A8"/>
    <w:rsid w:val="00BA61D4"/>
    <w:rsid w:val="00BA6220"/>
    <w:rsid w:val="00BA62D9"/>
    <w:rsid w:val="00BA62E0"/>
    <w:rsid w:val="00BA6336"/>
    <w:rsid w:val="00BA6361"/>
    <w:rsid w:val="00BA63A2"/>
    <w:rsid w:val="00BA63F7"/>
    <w:rsid w:val="00BA643C"/>
    <w:rsid w:val="00BA6477"/>
    <w:rsid w:val="00BA652B"/>
    <w:rsid w:val="00BA6563"/>
    <w:rsid w:val="00BA6580"/>
    <w:rsid w:val="00BA658E"/>
    <w:rsid w:val="00BA6596"/>
    <w:rsid w:val="00BA6680"/>
    <w:rsid w:val="00BA66C7"/>
    <w:rsid w:val="00BA6701"/>
    <w:rsid w:val="00BA68A9"/>
    <w:rsid w:val="00BA68B0"/>
    <w:rsid w:val="00BA68B3"/>
    <w:rsid w:val="00BA6985"/>
    <w:rsid w:val="00BA6A3C"/>
    <w:rsid w:val="00BA6AB3"/>
    <w:rsid w:val="00BA6B18"/>
    <w:rsid w:val="00BA6B40"/>
    <w:rsid w:val="00BA6B5C"/>
    <w:rsid w:val="00BA6B5D"/>
    <w:rsid w:val="00BA6B99"/>
    <w:rsid w:val="00BA6BBE"/>
    <w:rsid w:val="00BA6BCD"/>
    <w:rsid w:val="00BA6BEF"/>
    <w:rsid w:val="00BA6C43"/>
    <w:rsid w:val="00BA6C99"/>
    <w:rsid w:val="00BA6CC3"/>
    <w:rsid w:val="00BA6D24"/>
    <w:rsid w:val="00BA6D32"/>
    <w:rsid w:val="00BA6DD6"/>
    <w:rsid w:val="00BA6DE8"/>
    <w:rsid w:val="00BA6F58"/>
    <w:rsid w:val="00BA6F70"/>
    <w:rsid w:val="00BA7098"/>
    <w:rsid w:val="00BA70BB"/>
    <w:rsid w:val="00BA7100"/>
    <w:rsid w:val="00BA7167"/>
    <w:rsid w:val="00BA71D1"/>
    <w:rsid w:val="00BA72F1"/>
    <w:rsid w:val="00BA7306"/>
    <w:rsid w:val="00BA7406"/>
    <w:rsid w:val="00BA7425"/>
    <w:rsid w:val="00BA749D"/>
    <w:rsid w:val="00BA751A"/>
    <w:rsid w:val="00BA7556"/>
    <w:rsid w:val="00BA7893"/>
    <w:rsid w:val="00BA791E"/>
    <w:rsid w:val="00BA794E"/>
    <w:rsid w:val="00BA7960"/>
    <w:rsid w:val="00BA7A34"/>
    <w:rsid w:val="00BA7A4B"/>
    <w:rsid w:val="00BA7A60"/>
    <w:rsid w:val="00BA7A99"/>
    <w:rsid w:val="00BA7AC3"/>
    <w:rsid w:val="00BA7AE1"/>
    <w:rsid w:val="00BA7B0F"/>
    <w:rsid w:val="00BA7BA0"/>
    <w:rsid w:val="00BA7BAD"/>
    <w:rsid w:val="00BA7BC5"/>
    <w:rsid w:val="00BA7C62"/>
    <w:rsid w:val="00BA7C74"/>
    <w:rsid w:val="00BA7D3F"/>
    <w:rsid w:val="00BA7D90"/>
    <w:rsid w:val="00BA7DAD"/>
    <w:rsid w:val="00BA7E03"/>
    <w:rsid w:val="00BA7E2F"/>
    <w:rsid w:val="00BA7EBE"/>
    <w:rsid w:val="00BA7EE4"/>
    <w:rsid w:val="00BA7F86"/>
    <w:rsid w:val="00BA7F93"/>
    <w:rsid w:val="00BA7FB2"/>
    <w:rsid w:val="00BA7FD1"/>
    <w:rsid w:val="00BB000F"/>
    <w:rsid w:val="00BB0029"/>
    <w:rsid w:val="00BB0079"/>
    <w:rsid w:val="00BB0098"/>
    <w:rsid w:val="00BB0111"/>
    <w:rsid w:val="00BB0170"/>
    <w:rsid w:val="00BB01F7"/>
    <w:rsid w:val="00BB02A7"/>
    <w:rsid w:val="00BB02BB"/>
    <w:rsid w:val="00BB0415"/>
    <w:rsid w:val="00BB04EC"/>
    <w:rsid w:val="00BB0553"/>
    <w:rsid w:val="00BB05BE"/>
    <w:rsid w:val="00BB064B"/>
    <w:rsid w:val="00BB0672"/>
    <w:rsid w:val="00BB072D"/>
    <w:rsid w:val="00BB0767"/>
    <w:rsid w:val="00BB07B8"/>
    <w:rsid w:val="00BB07CA"/>
    <w:rsid w:val="00BB0815"/>
    <w:rsid w:val="00BB0856"/>
    <w:rsid w:val="00BB0944"/>
    <w:rsid w:val="00BB0978"/>
    <w:rsid w:val="00BB0A56"/>
    <w:rsid w:val="00BB0ABF"/>
    <w:rsid w:val="00BB0AF8"/>
    <w:rsid w:val="00BB0BD7"/>
    <w:rsid w:val="00BB0BF6"/>
    <w:rsid w:val="00BB0D2F"/>
    <w:rsid w:val="00BB0D5A"/>
    <w:rsid w:val="00BB0D69"/>
    <w:rsid w:val="00BB0DD1"/>
    <w:rsid w:val="00BB0F03"/>
    <w:rsid w:val="00BB0F21"/>
    <w:rsid w:val="00BB0FAA"/>
    <w:rsid w:val="00BB1079"/>
    <w:rsid w:val="00BB10E3"/>
    <w:rsid w:val="00BB111F"/>
    <w:rsid w:val="00BB1179"/>
    <w:rsid w:val="00BB11AE"/>
    <w:rsid w:val="00BB11E8"/>
    <w:rsid w:val="00BB11ED"/>
    <w:rsid w:val="00BB12DE"/>
    <w:rsid w:val="00BB12F2"/>
    <w:rsid w:val="00BB138F"/>
    <w:rsid w:val="00BB1411"/>
    <w:rsid w:val="00BB15C5"/>
    <w:rsid w:val="00BB15E0"/>
    <w:rsid w:val="00BB16E1"/>
    <w:rsid w:val="00BB1741"/>
    <w:rsid w:val="00BB1765"/>
    <w:rsid w:val="00BB1783"/>
    <w:rsid w:val="00BB1799"/>
    <w:rsid w:val="00BB183B"/>
    <w:rsid w:val="00BB1968"/>
    <w:rsid w:val="00BB1972"/>
    <w:rsid w:val="00BB19D5"/>
    <w:rsid w:val="00BB1A03"/>
    <w:rsid w:val="00BB1A38"/>
    <w:rsid w:val="00BB1A4E"/>
    <w:rsid w:val="00BB1A53"/>
    <w:rsid w:val="00BB1AC4"/>
    <w:rsid w:val="00BB1AE7"/>
    <w:rsid w:val="00BB1B0E"/>
    <w:rsid w:val="00BB1B19"/>
    <w:rsid w:val="00BB1B68"/>
    <w:rsid w:val="00BB1BE2"/>
    <w:rsid w:val="00BB1C31"/>
    <w:rsid w:val="00BB1CF8"/>
    <w:rsid w:val="00BB1DBE"/>
    <w:rsid w:val="00BB1F17"/>
    <w:rsid w:val="00BB1F89"/>
    <w:rsid w:val="00BB1FA1"/>
    <w:rsid w:val="00BB1FBB"/>
    <w:rsid w:val="00BB1FF9"/>
    <w:rsid w:val="00BB207F"/>
    <w:rsid w:val="00BB20A6"/>
    <w:rsid w:val="00BB20AC"/>
    <w:rsid w:val="00BB20DE"/>
    <w:rsid w:val="00BB2149"/>
    <w:rsid w:val="00BB2186"/>
    <w:rsid w:val="00BB2230"/>
    <w:rsid w:val="00BB2241"/>
    <w:rsid w:val="00BB227D"/>
    <w:rsid w:val="00BB231D"/>
    <w:rsid w:val="00BB232D"/>
    <w:rsid w:val="00BB2362"/>
    <w:rsid w:val="00BB24DA"/>
    <w:rsid w:val="00BB24F4"/>
    <w:rsid w:val="00BB2503"/>
    <w:rsid w:val="00BB253F"/>
    <w:rsid w:val="00BB2576"/>
    <w:rsid w:val="00BB2684"/>
    <w:rsid w:val="00BB2686"/>
    <w:rsid w:val="00BB2702"/>
    <w:rsid w:val="00BB2709"/>
    <w:rsid w:val="00BB2724"/>
    <w:rsid w:val="00BB2777"/>
    <w:rsid w:val="00BB2848"/>
    <w:rsid w:val="00BB2892"/>
    <w:rsid w:val="00BB28AD"/>
    <w:rsid w:val="00BB28DF"/>
    <w:rsid w:val="00BB290C"/>
    <w:rsid w:val="00BB2A28"/>
    <w:rsid w:val="00BB2A90"/>
    <w:rsid w:val="00BB2ABD"/>
    <w:rsid w:val="00BB2B00"/>
    <w:rsid w:val="00BB2BC1"/>
    <w:rsid w:val="00BB2D24"/>
    <w:rsid w:val="00BB2D2C"/>
    <w:rsid w:val="00BB2D74"/>
    <w:rsid w:val="00BB2DAF"/>
    <w:rsid w:val="00BB2DDD"/>
    <w:rsid w:val="00BB2E15"/>
    <w:rsid w:val="00BB2E1C"/>
    <w:rsid w:val="00BB2E3C"/>
    <w:rsid w:val="00BB2E85"/>
    <w:rsid w:val="00BB2E9A"/>
    <w:rsid w:val="00BB2F3F"/>
    <w:rsid w:val="00BB2F5E"/>
    <w:rsid w:val="00BB2FA2"/>
    <w:rsid w:val="00BB2FB2"/>
    <w:rsid w:val="00BB3050"/>
    <w:rsid w:val="00BB3092"/>
    <w:rsid w:val="00BB30CC"/>
    <w:rsid w:val="00BB3108"/>
    <w:rsid w:val="00BB31A0"/>
    <w:rsid w:val="00BB31B8"/>
    <w:rsid w:val="00BB32B1"/>
    <w:rsid w:val="00BB333A"/>
    <w:rsid w:val="00BB3376"/>
    <w:rsid w:val="00BB33A0"/>
    <w:rsid w:val="00BB340C"/>
    <w:rsid w:val="00BB3426"/>
    <w:rsid w:val="00BB342E"/>
    <w:rsid w:val="00BB3466"/>
    <w:rsid w:val="00BB346F"/>
    <w:rsid w:val="00BB3490"/>
    <w:rsid w:val="00BB3502"/>
    <w:rsid w:val="00BB3543"/>
    <w:rsid w:val="00BB3548"/>
    <w:rsid w:val="00BB366C"/>
    <w:rsid w:val="00BB36C8"/>
    <w:rsid w:val="00BB36D5"/>
    <w:rsid w:val="00BB36DA"/>
    <w:rsid w:val="00BB3700"/>
    <w:rsid w:val="00BB3752"/>
    <w:rsid w:val="00BB37E5"/>
    <w:rsid w:val="00BB37F7"/>
    <w:rsid w:val="00BB3873"/>
    <w:rsid w:val="00BB38ED"/>
    <w:rsid w:val="00BB3980"/>
    <w:rsid w:val="00BB39B3"/>
    <w:rsid w:val="00BB39C3"/>
    <w:rsid w:val="00BB3A52"/>
    <w:rsid w:val="00BB3B6C"/>
    <w:rsid w:val="00BB3BBB"/>
    <w:rsid w:val="00BB3BC4"/>
    <w:rsid w:val="00BB3C33"/>
    <w:rsid w:val="00BB3C7F"/>
    <w:rsid w:val="00BB3CC2"/>
    <w:rsid w:val="00BB3CD1"/>
    <w:rsid w:val="00BB3CFE"/>
    <w:rsid w:val="00BB3D6C"/>
    <w:rsid w:val="00BB3DEB"/>
    <w:rsid w:val="00BB3E6F"/>
    <w:rsid w:val="00BB3EC6"/>
    <w:rsid w:val="00BB3F3A"/>
    <w:rsid w:val="00BB4021"/>
    <w:rsid w:val="00BB4066"/>
    <w:rsid w:val="00BB40FB"/>
    <w:rsid w:val="00BB4169"/>
    <w:rsid w:val="00BB4367"/>
    <w:rsid w:val="00BB445A"/>
    <w:rsid w:val="00BB4468"/>
    <w:rsid w:val="00BB4485"/>
    <w:rsid w:val="00BB44D0"/>
    <w:rsid w:val="00BB4575"/>
    <w:rsid w:val="00BB45A3"/>
    <w:rsid w:val="00BB45DA"/>
    <w:rsid w:val="00BB45EF"/>
    <w:rsid w:val="00BB4613"/>
    <w:rsid w:val="00BB4650"/>
    <w:rsid w:val="00BB4656"/>
    <w:rsid w:val="00BB46AC"/>
    <w:rsid w:val="00BB46BD"/>
    <w:rsid w:val="00BB477E"/>
    <w:rsid w:val="00BB495E"/>
    <w:rsid w:val="00BB4970"/>
    <w:rsid w:val="00BB49C1"/>
    <w:rsid w:val="00BB4A01"/>
    <w:rsid w:val="00BB4A0F"/>
    <w:rsid w:val="00BB4A2D"/>
    <w:rsid w:val="00BB4A8F"/>
    <w:rsid w:val="00BB4AA1"/>
    <w:rsid w:val="00BB4AAD"/>
    <w:rsid w:val="00BB4AF0"/>
    <w:rsid w:val="00BB4B11"/>
    <w:rsid w:val="00BB4B39"/>
    <w:rsid w:val="00BB4B63"/>
    <w:rsid w:val="00BB4B74"/>
    <w:rsid w:val="00BB4B81"/>
    <w:rsid w:val="00BB4BA4"/>
    <w:rsid w:val="00BB4BB4"/>
    <w:rsid w:val="00BB4BEC"/>
    <w:rsid w:val="00BB4C23"/>
    <w:rsid w:val="00BB4D2F"/>
    <w:rsid w:val="00BB4D61"/>
    <w:rsid w:val="00BB4D65"/>
    <w:rsid w:val="00BB4DD2"/>
    <w:rsid w:val="00BB4DE0"/>
    <w:rsid w:val="00BB4DF5"/>
    <w:rsid w:val="00BB4E5B"/>
    <w:rsid w:val="00BB4E60"/>
    <w:rsid w:val="00BB4EA2"/>
    <w:rsid w:val="00BB4EBB"/>
    <w:rsid w:val="00BB4F5F"/>
    <w:rsid w:val="00BB509C"/>
    <w:rsid w:val="00BB51B2"/>
    <w:rsid w:val="00BB51C6"/>
    <w:rsid w:val="00BB5205"/>
    <w:rsid w:val="00BB5292"/>
    <w:rsid w:val="00BB52E9"/>
    <w:rsid w:val="00BB533D"/>
    <w:rsid w:val="00BB5347"/>
    <w:rsid w:val="00BB53B9"/>
    <w:rsid w:val="00BB541E"/>
    <w:rsid w:val="00BB5457"/>
    <w:rsid w:val="00BB546A"/>
    <w:rsid w:val="00BB5481"/>
    <w:rsid w:val="00BB54D2"/>
    <w:rsid w:val="00BB5544"/>
    <w:rsid w:val="00BB5571"/>
    <w:rsid w:val="00BB5577"/>
    <w:rsid w:val="00BB5602"/>
    <w:rsid w:val="00BB56D1"/>
    <w:rsid w:val="00BB56DB"/>
    <w:rsid w:val="00BB56F8"/>
    <w:rsid w:val="00BB5745"/>
    <w:rsid w:val="00BB5766"/>
    <w:rsid w:val="00BB5831"/>
    <w:rsid w:val="00BB587E"/>
    <w:rsid w:val="00BB5885"/>
    <w:rsid w:val="00BB58C0"/>
    <w:rsid w:val="00BB5918"/>
    <w:rsid w:val="00BB5958"/>
    <w:rsid w:val="00BB59C6"/>
    <w:rsid w:val="00BB5A8E"/>
    <w:rsid w:val="00BB5AF6"/>
    <w:rsid w:val="00BB5B8B"/>
    <w:rsid w:val="00BB5C20"/>
    <w:rsid w:val="00BB5C2D"/>
    <w:rsid w:val="00BB5C67"/>
    <w:rsid w:val="00BB5CA6"/>
    <w:rsid w:val="00BB5D1D"/>
    <w:rsid w:val="00BB5D3B"/>
    <w:rsid w:val="00BB5D9D"/>
    <w:rsid w:val="00BB5DAF"/>
    <w:rsid w:val="00BB5DD8"/>
    <w:rsid w:val="00BB5ECD"/>
    <w:rsid w:val="00BB5F2B"/>
    <w:rsid w:val="00BB5F2F"/>
    <w:rsid w:val="00BB5F4E"/>
    <w:rsid w:val="00BB5FC3"/>
    <w:rsid w:val="00BB6080"/>
    <w:rsid w:val="00BB608C"/>
    <w:rsid w:val="00BB6094"/>
    <w:rsid w:val="00BB60A1"/>
    <w:rsid w:val="00BB60B8"/>
    <w:rsid w:val="00BB6100"/>
    <w:rsid w:val="00BB6178"/>
    <w:rsid w:val="00BB6195"/>
    <w:rsid w:val="00BB61D6"/>
    <w:rsid w:val="00BB61FA"/>
    <w:rsid w:val="00BB620C"/>
    <w:rsid w:val="00BB6232"/>
    <w:rsid w:val="00BB624F"/>
    <w:rsid w:val="00BB6269"/>
    <w:rsid w:val="00BB6277"/>
    <w:rsid w:val="00BB6289"/>
    <w:rsid w:val="00BB62D9"/>
    <w:rsid w:val="00BB62F5"/>
    <w:rsid w:val="00BB6301"/>
    <w:rsid w:val="00BB6352"/>
    <w:rsid w:val="00BB63EE"/>
    <w:rsid w:val="00BB6577"/>
    <w:rsid w:val="00BB6592"/>
    <w:rsid w:val="00BB6604"/>
    <w:rsid w:val="00BB6616"/>
    <w:rsid w:val="00BB6617"/>
    <w:rsid w:val="00BB6622"/>
    <w:rsid w:val="00BB67A7"/>
    <w:rsid w:val="00BB67FB"/>
    <w:rsid w:val="00BB6806"/>
    <w:rsid w:val="00BB6A5A"/>
    <w:rsid w:val="00BB6A91"/>
    <w:rsid w:val="00BB6A96"/>
    <w:rsid w:val="00BB6AA3"/>
    <w:rsid w:val="00BB6B50"/>
    <w:rsid w:val="00BB6B73"/>
    <w:rsid w:val="00BB6CA1"/>
    <w:rsid w:val="00BB6CC0"/>
    <w:rsid w:val="00BB6D38"/>
    <w:rsid w:val="00BB6D6B"/>
    <w:rsid w:val="00BB6D71"/>
    <w:rsid w:val="00BB6D90"/>
    <w:rsid w:val="00BB6DB3"/>
    <w:rsid w:val="00BB6DE8"/>
    <w:rsid w:val="00BB6DED"/>
    <w:rsid w:val="00BB6E2E"/>
    <w:rsid w:val="00BB6F27"/>
    <w:rsid w:val="00BB6F98"/>
    <w:rsid w:val="00BB6FCE"/>
    <w:rsid w:val="00BB6FDB"/>
    <w:rsid w:val="00BB7117"/>
    <w:rsid w:val="00BB71D9"/>
    <w:rsid w:val="00BB7207"/>
    <w:rsid w:val="00BB721A"/>
    <w:rsid w:val="00BB739D"/>
    <w:rsid w:val="00BB7442"/>
    <w:rsid w:val="00BB7464"/>
    <w:rsid w:val="00BB746C"/>
    <w:rsid w:val="00BB74C0"/>
    <w:rsid w:val="00BB74D7"/>
    <w:rsid w:val="00BB7509"/>
    <w:rsid w:val="00BB750C"/>
    <w:rsid w:val="00BB7510"/>
    <w:rsid w:val="00BB754D"/>
    <w:rsid w:val="00BB75AF"/>
    <w:rsid w:val="00BB75B7"/>
    <w:rsid w:val="00BB75C3"/>
    <w:rsid w:val="00BB7615"/>
    <w:rsid w:val="00BB7647"/>
    <w:rsid w:val="00BB7783"/>
    <w:rsid w:val="00BB77A8"/>
    <w:rsid w:val="00BB77C9"/>
    <w:rsid w:val="00BB7815"/>
    <w:rsid w:val="00BB7864"/>
    <w:rsid w:val="00BB795C"/>
    <w:rsid w:val="00BB79EC"/>
    <w:rsid w:val="00BB7A5A"/>
    <w:rsid w:val="00BB7A90"/>
    <w:rsid w:val="00BB7ABC"/>
    <w:rsid w:val="00BB7AD0"/>
    <w:rsid w:val="00BB7BE1"/>
    <w:rsid w:val="00BB7C40"/>
    <w:rsid w:val="00BB7CA1"/>
    <w:rsid w:val="00BB7CA8"/>
    <w:rsid w:val="00BB7CD9"/>
    <w:rsid w:val="00BB7D16"/>
    <w:rsid w:val="00BB7E2E"/>
    <w:rsid w:val="00BB7EA7"/>
    <w:rsid w:val="00BB7F20"/>
    <w:rsid w:val="00BB7F64"/>
    <w:rsid w:val="00BB7FA2"/>
    <w:rsid w:val="00BC002B"/>
    <w:rsid w:val="00BC002C"/>
    <w:rsid w:val="00BC0065"/>
    <w:rsid w:val="00BC00C8"/>
    <w:rsid w:val="00BC01AD"/>
    <w:rsid w:val="00BC02B7"/>
    <w:rsid w:val="00BC0312"/>
    <w:rsid w:val="00BC0354"/>
    <w:rsid w:val="00BC03C1"/>
    <w:rsid w:val="00BC03FF"/>
    <w:rsid w:val="00BC0421"/>
    <w:rsid w:val="00BC04AA"/>
    <w:rsid w:val="00BC0507"/>
    <w:rsid w:val="00BC0525"/>
    <w:rsid w:val="00BC0581"/>
    <w:rsid w:val="00BC06B3"/>
    <w:rsid w:val="00BC06EB"/>
    <w:rsid w:val="00BC070E"/>
    <w:rsid w:val="00BC0774"/>
    <w:rsid w:val="00BC077E"/>
    <w:rsid w:val="00BC0784"/>
    <w:rsid w:val="00BC078C"/>
    <w:rsid w:val="00BC0810"/>
    <w:rsid w:val="00BC081D"/>
    <w:rsid w:val="00BC082F"/>
    <w:rsid w:val="00BC08B5"/>
    <w:rsid w:val="00BC08E4"/>
    <w:rsid w:val="00BC0906"/>
    <w:rsid w:val="00BC096A"/>
    <w:rsid w:val="00BC0972"/>
    <w:rsid w:val="00BC09EB"/>
    <w:rsid w:val="00BC0A21"/>
    <w:rsid w:val="00BC0ACA"/>
    <w:rsid w:val="00BC0B3E"/>
    <w:rsid w:val="00BC0CD0"/>
    <w:rsid w:val="00BC0CD7"/>
    <w:rsid w:val="00BC0D4D"/>
    <w:rsid w:val="00BC0D68"/>
    <w:rsid w:val="00BC0D7F"/>
    <w:rsid w:val="00BC0DA8"/>
    <w:rsid w:val="00BC0DDE"/>
    <w:rsid w:val="00BC0DF3"/>
    <w:rsid w:val="00BC0F76"/>
    <w:rsid w:val="00BC103A"/>
    <w:rsid w:val="00BC1098"/>
    <w:rsid w:val="00BC10EA"/>
    <w:rsid w:val="00BC110D"/>
    <w:rsid w:val="00BC1178"/>
    <w:rsid w:val="00BC1185"/>
    <w:rsid w:val="00BC1191"/>
    <w:rsid w:val="00BC11DA"/>
    <w:rsid w:val="00BC1223"/>
    <w:rsid w:val="00BC1326"/>
    <w:rsid w:val="00BC1344"/>
    <w:rsid w:val="00BC135B"/>
    <w:rsid w:val="00BC14DA"/>
    <w:rsid w:val="00BC14EE"/>
    <w:rsid w:val="00BC155F"/>
    <w:rsid w:val="00BC15BF"/>
    <w:rsid w:val="00BC15D1"/>
    <w:rsid w:val="00BC165A"/>
    <w:rsid w:val="00BC1685"/>
    <w:rsid w:val="00BC16AE"/>
    <w:rsid w:val="00BC170F"/>
    <w:rsid w:val="00BC1728"/>
    <w:rsid w:val="00BC1771"/>
    <w:rsid w:val="00BC17A1"/>
    <w:rsid w:val="00BC18EE"/>
    <w:rsid w:val="00BC1982"/>
    <w:rsid w:val="00BC1998"/>
    <w:rsid w:val="00BC19D1"/>
    <w:rsid w:val="00BC1A1D"/>
    <w:rsid w:val="00BC1A63"/>
    <w:rsid w:val="00BC1A88"/>
    <w:rsid w:val="00BC1AC6"/>
    <w:rsid w:val="00BC1AE1"/>
    <w:rsid w:val="00BC1B04"/>
    <w:rsid w:val="00BC1C5D"/>
    <w:rsid w:val="00BC1D0E"/>
    <w:rsid w:val="00BC1D37"/>
    <w:rsid w:val="00BC1DCC"/>
    <w:rsid w:val="00BC1E1A"/>
    <w:rsid w:val="00BC1E25"/>
    <w:rsid w:val="00BC1E70"/>
    <w:rsid w:val="00BC1EDA"/>
    <w:rsid w:val="00BC1F16"/>
    <w:rsid w:val="00BC1F44"/>
    <w:rsid w:val="00BC1F61"/>
    <w:rsid w:val="00BC1F64"/>
    <w:rsid w:val="00BC1FB9"/>
    <w:rsid w:val="00BC206C"/>
    <w:rsid w:val="00BC213D"/>
    <w:rsid w:val="00BC21AE"/>
    <w:rsid w:val="00BC21E7"/>
    <w:rsid w:val="00BC2260"/>
    <w:rsid w:val="00BC2305"/>
    <w:rsid w:val="00BC2349"/>
    <w:rsid w:val="00BC2355"/>
    <w:rsid w:val="00BC25D3"/>
    <w:rsid w:val="00BC25F7"/>
    <w:rsid w:val="00BC2614"/>
    <w:rsid w:val="00BC2752"/>
    <w:rsid w:val="00BC2795"/>
    <w:rsid w:val="00BC293A"/>
    <w:rsid w:val="00BC29B0"/>
    <w:rsid w:val="00BC2A22"/>
    <w:rsid w:val="00BC2A66"/>
    <w:rsid w:val="00BC2A69"/>
    <w:rsid w:val="00BC2A83"/>
    <w:rsid w:val="00BC2B3F"/>
    <w:rsid w:val="00BC2B84"/>
    <w:rsid w:val="00BC2B89"/>
    <w:rsid w:val="00BC2C90"/>
    <w:rsid w:val="00BC2CC7"/>
    <w:rsid w:val="00BC2D78"/>
    <w:rsid w:val="00BC2DCC"/>
    <w:rsid w:val="00BC2DFA"/>
    <w:rsid w:val="00BC2E1E"/>
    <w:rsid w:val="00BC2E1F"/>
    <w:rsid w:val="00BC2EDD"/>
    <w:rsid w:val="00BC2F31"/>
    <w:rsid w:val="00BC2F41"/>
    <w:rsid w:val="00BC2F5C"/>
    <w:rsid w:val="00BC2FB6"/>
    <w:rsid w:val="00BC2FE7"/>
    <w:rsid w:val="00BC3017"/>
    <w:rsid w:val="00BC305C"/>
    <w:rsid w:val="00BC30BD"/>
    <w:rsid w:val="00BC30F1"/>
    <w:rsid w:val="00BC3117"/>
    <w:rsid w:val="00BC31B4"/>
    <w:rsid w:val="00BC31C6"/>
    <w:rsid w:val="00BC3246"/>
    <w:rsid w:val="00BC3291"/>
    <w:rsid w:val="00BC32EB"/>
    <w:rsid w:val="00BC3329"/>
    <w:rsid w:val="00BC336A"/>
    <w:rsid w:val="00BC3383"/>
    <w:rsid w:val="00BC33BA"/>
    <w:rsid w:val="00BC3418"/>
    <w:rsid w:val="00BC347F"/>
    <w:rsid w:val="00BC348D"/>
    <w:rsid w:val="00BC34D6"/>
    <w:rsid w:val="00BC34DA"/>
    <w:rsid w:val="00BC34FD"/>
    <w:rsid w:val="00BC3557"/>
    <w:rsid w:val="00BC355B"/>
    <w:rsid w:val="00BC356C"/>
    <w:rsid w:val="00BC3574"/>
    <w:rsid w:val="00BC3698"/>
    <w:rsid w:val="00BC36A9"/>
    <w:rsid w:val="00BC36DA"/>
    <w:rsid w:val="00BC376A"/>
    <w:rsid w:val="00BC3777"/>
    <w:rsid w:val="00BC37B1"/>
    <w:rsid w:val="00BC3801"/>
    <w:rsid w:val="00BC3809"/>
    <w:rsid w:val="00BC381F"/>
    <w:rsid w:val="00BC382B"/>
    <w:rsid w:val="00BC3878"/>
    <w:rsid w:val="00BC38BF"/>
    <w:rsid w:val="00BC3941"/>
    <w:rsid w:val="00BC39E7"/>
    <w:rsid w:val="00BC3A40"/>
    <w:rsid w:val="00BC3AA9"/>
    <w:rsid w:val="00BC3AF2"/>
    <w:rsid w:val="00BC3AF7"/>
    <w:rsid w:val="00BC3B76"/>
    <w:rsid w:val="00BC3C83"/>
    <w:rsid w:val="00BC3CE9"/>
    <w:rsid w:val="00BC3CF2"/>
    <w:rsid w:val="00BC3CF8"/>
    <w:rsid w:val="00BC3D15"/>
    <w:rsid w:val="00BC3D46"/>
    <w:rsid w:val="00BC3D73"/>
    <w:rsid w:val="00BC3DBE"/>
    <w:rsid w:val="00BC3DD6"/>
    <w:rsid w:val="00BC3E3E"/>
    <w:rsid w:val="00BC3E8A"/>
    <w:rsid w:val="00BC3EDA"/>
    <w:rsid w:val="00BC3F35"/>
    <w:rsid w:val="00BC3F69"/>
    <w:rsid w:val="00BC3F96"/>
    <w:rsid w:val="00BC3FD0"/>
    <w:rsid w:val="00BC3FFB"/>
    <w:rsid w:val="00BC4097"/>
    <w:rsid w:val="00BC4158"/>
    <w:rsid w:val="00BC4173"/>
    <w:rsid w:val="00BC41E7"/>
    <w:rsid w:val="00BC420B"/>
    <w:rsid w:val="00BC43C4"/>
    <w:rsid w:val="00BC43D0"/>
    <w:rsid w:val="00BC43F5"/>
    <w:rsid w:val="00BC44B9"/>
    <w:rsid w:val="00BC44C0"/>
    <w:rsid w:val="00BC4629"/>
    <w:rsid w:val="00BC46A5"/>
    <w:rsid w:val="00BC46F6"/>
    <w:rsid w:val="00BC4780"/>
    <w:rsid w:val="00BC47C3"/>
    <w:rsid w:val="00BC4815"/>
    <w:rsid w:val="00BC485F"/>
    <w:rsid w:val="00BC494F"/>
    <w:rsid w:val="00BC496A"/>
    <w:rsid w:val="00BC49F6"/>
    <w:rsid w:val="00BC4A82"/>
    <w:rsid w:val="00BC4AF5"/>
    <w:rsid w:val="00BC4B2B"/>
    <w:rsid w:val="00BC4B67"/>
    <w:rsid w:val="00BC4C0F"/>
    <w:rsid w:val="00BC4C82"/>
    <w:rsid w:val="00BC4CAB"/>
    <w:rsid w:val="00BC4CFE"/>
    <w:rsid w:val="00BC4D5B"/>
    <w:rsid w:val="00BC4E1D"/>
    <w:rsid w:val="00BC4E5A"/>
    <w:rsid w:val="00BC4ECE"/>
    <w:rsid w:val="00BC4EDC"/>
    <w:rsid w:val="00BC4EE3"/>
    <w:rsid w:val="00BC4F26"/>
    <w:rsid w:val="00BC4F43"/>
    <w:rsid w:val="00BC4FA5"/>
    <w:rsid w:val="00BC4FF0"/>
    <w:rsid w:val="00BC50A6"/>
    <w:rsid w:val="00BC5185"/>
    <w:rsid w:val="00BC523C"/>
    <w:rsid w:val="00BC531B"/>
    <w:rsid w:val="00BC53CB"/>
    <w:rsid w:val="00BC53E3"/>
    <w:rsid w:val="00BC5414"/>
    <w:rsid w:val="00BC54CD"/>
    <w:rsid w:val="00BC5500"/>
    <w:rsid w:val="00BC552C"/>
    <w:rsid w:val="00BC55F5"/>
    <w:rsid w:val="00BC562F"/>
    <w:rsid w:val="00BC5670"/>
    <w:rsid w:val="00BC56A1"/>
    <w:rsid w:val="00BC56E6"/>
    <w:rsid w:val="00BC5753"/>
    <w:rsid w:val="00BC58A9"/>
    <w:rsid w:val="00BC58AC"/>
    <w:rsid w:val="00BC5964"/>
    <w:rsid w:val="00BC59C7"/>
    <w:rsid w:val="00BC5A8F"/>
    <w:rsid w:val="00BC5A94"/>
    <w:rsid w:val="00BC5AFC"/>
    <w:rsid w:val="00BC5B7C"/>
    <w:rsid w:val="00BC5B8F"/>
    <w:rsid w:val="00BC5BE0"/>
    <w:rsid w:val="00BC5CED"/>
    <w:rsid w:val="00BC5D4F"/>
    <w:rsid w:val="00BC5DCC"/>
    <w:rsid w:val="00BC5E52"/>
    <w:rsid w:val="00BC5E7B"/>
    <w:rsid w:val="00BC5EBC"/>
    <w:rsid w:val="00BC5F4A"/>
    <w:rsid w:val="00BC602D"/>
    <w:rsid w:val="00BC606F"/>
    <w:rsid w:val="00BC609D"/>
    <w:rsid w:val="00BC60AD"/>
    <w:rsid w:val="00BC60E4"/>
    <w:rsid w:val="00BC614E"/>
    <w:rsid w:val="00BC6191"/>
    <w:rsid w:val="00BC6237"/>
    <w:rsid w:val="00BC6245"/>
    <w:rsid w:val="00BC62C4"/>
    <w:rsid w:val="00BC62EA"/>
    <w:rsid w:val="00BC6326"/>
    <w:rsid w:val="00BC63A2"/>
    <w:rsid w:val="00BC63EA"/>
    <w:rsid w:val="00BC650F"/>
    <w:rsid w:val="00BC6599"/>
    <w:rsid w:val="00BC65AD"/>
    <w:rsid w:val="00BC65DC"/>
    <w:rsid w:val="00BC65E0"/>
    <w:rsid w:val="00BC65F3"/>
    <w:rsid w:val="00BC6640"/>
    <w:rsid w:val="00BC6653"/>
    <w:rsid w:val="00BC66F0"/>
    <w:rsid w:val="00BC679B"/>
    <w:rsid w:val="00BC67A4"/>
    <w:rsid w:val="00BC684E"/>
    <w:rsid w:val="00BC6870"/>
    <w:rsid w:val="00BC687E"/>
    <w:rsid w:val="00BC68B4"/>
    <w:rsid w:val="00BC68B9"/>
    <w:rsid w:val="00BC6953"/>
    <w:rsid w:val="00BC69AC"/>
    <w:rsid w:val="00BC69FF"/>
    <w:rsid w:val="00BC6A3C"/>
    <w:rsid w:val="00BC6A6B"/>
    <w:rsid w:val="00BC6A7C"/>
    <w:rsid w:val="00BC6AC3"/>
    <w:rsid w:val="00BC6B7C"/>
    <w:rsid w:val="00BC6C0C"/>
    <w:rsid w:val="00BC6C22"/>
    <w:rsid w:val="00BC6C47"/>
    <w:rsid w:val="00BC6C8E"/>
    <w:rsid w:val="00BC6D06"/>
    <w:rsid w:val="00BC6D07"/>
    <w:rsid w:val="00BC6E70"/>
    <w:rsid w:val="00BC6F04"/>
    <w:rsid w:val="00BC6FA6"/>
    <w:rsid w:val="00BC7068"/>
    <w:rsid w:val="00BC7097"/>
    <w:rsid w:val="00BC70AC"/>
    <w:rsid w:val="00BC728F"/>
    <w:rsid w:val="00BC73EF"/>
    <w:rsid w:val="00BC7412"/>
    <w:rsid w:val="00BC744C"/>
    <w:rsid w:val="00BC74DD"/>
    <w:rsid w:val="00BC75C3"/>
    <w:rsid w:val="00BC75D2"/>
    <w:rsid w:val="00BC7614"/>
    <w:rsid w:val="00BC76E2"/>
    <w:rsid w:val="00BC7708"/>
    <w:rsid w:val="00BC7710"/>
    <w:rsid w:val="00BC7734"/>
    <w:rsid w:val="00BC7798"/>
    <w:rsid w:val="00BC77E1"/>
    <w:rsid w:val="00BC7814"/>
    <w:rsid w:val="00BC781E"/>
    <w:rsid w:val="00BC7832"/>
    <w:rsid w:val="00BC7834"/>
    <w:rsid w:val="00BC7896"/>
    <w:rsid w:val="00BC7949"/>
    <w:rsid w:val="00BC7962"/>
    <w:rsid w:val="00BC79B7"/>
    <w:rsid w:val="00BC7A73"/>
    <w:rsid w:val="00BC7AB8"/>
    <w:rsid w:val="00BC7B4C"/>
    <w:rsid w:val="00BC7C12"/>
    <w:rsid w:val="00BC7C58"/>
    <w:rsid w:val="00BC7C66"/>
    <w:rsid w:val="00BC7CFE"/>
    <w:rsid w:val="00BC7D5B"/>
    <w:rsid w:val="00BC7E12"/>
    <w:rsid w:val="00BC7F41"/>
    <w:rsid w:val="00BC7F9D"/>
    <w:rsid w:val="00BD0004"/>
    <w:rsid w:val="00BD0034"/>
    <w:rsid w:val="00BD00AF"/>
    <w:rsid w:val="00BD00D3"/>
    <w:rsid w:val="00BD00E6"/>
    <w:rsid w:val="00BD0118"/>
    <w:rsid w:val="00BD0157"/>
    <w:rsid w:val="00BD0182"/>
    <w:rsid w:val="00BD01A9"/>
    <w:rsid w:val="00BD01CF"/>
    <w:rsid w:val="00BD0266"/>
    <w:rsid w:val="00BD0293"/>
    <w:rsid w:val="00BD02A3"/>
    <w:rsid w:val="00BD02C8"/>
    <w:rsid w:val="00BD0317"/>
    <w:rsid w:val="00BD032E"/>
    <w:rsid w:val="00BD035A"/>
    <w:rsid w:val="00BD038D"/>
    <w:rsid w:val="00BD03A0"/>
    <w:rsid w:val="00BD041A"/>
    <w:rsid w:val="00BD0422"/>
    <w:rsid w:val="00BD042D"/>
    <w:rsid w:val="00BD0476"/>
    <w:rsid w:val="00BD0501"/>
    <w:rsid w:val="00BD0570"/>
    <w:rsid w:val="00BD063A"/>
    <w:rsid w:val="00BD066C"/>
    <w:rsid w:val="00BD06A5"/>
    <w:rsid w:val="00BD0701"/>
    <w:rsid w:val="00BD076A"/>
    <w:rsid w:val="00BD07EA"/>
    <w:rsid w:val="00BD0803"/>
    <w:rsid w:val="00BD081A"/>
    <w:rsid w:val="00BD0971"/>
    <w:rsid w:val="00BD09AF"/>
    <w:rsid w:val="00BD0A89"/>
    <w:rsid w:val="00BD0AB7"/>
    <w:rsid w:val="00BD0B67"/>
    <w:rsid w:val="00BD0BAC"/>
    <w:rsid w:val="00BD0BAE"/>
    <w:rsid w:val="00BD0BD2"/>
    <w:rsid w:val="00BD0BE8"/>
    <w:rsid w:val="00BD0C0D"/>
    <w:rsid w:val="00BD0C59"/>
    <w:rsid w:val="00BD0C6F"/>
    <w:rsid w:val="00BD0C73"/>
    <w:rsid w:val="00BD0CB4"/>
    <w:rsid w:val="00BD0CDD"/>
    <w:rsid w:val="00BD0D12"/>
    <w:rsid w:val="00BD0E46"/>
    <w:rsid w:val="00BD0E5F"/>
    <w:rsid w:val="00BD0E61"/>
    <w:rsid w:val="00BD0EA2"/>
    <w:rsid w:val="00BD0ECB"/>
    <w:rsid w:val="00BD0ED7"/>
    <w:rsid w:val="00BD0EFD"/>
    <w:rsid w:val="00BD0F04"/>
    <w:rsid w:val="00BD0F63"/>
    <w:rsid w:val="00BD0FA4"/>
    <w:rsid w:val="00BD0FB7"/>
    <w:rsid w:val="00BD0FBB"/>
    <w:rsid w:val="00BD1005"/>
    <w:rsid w:val="00BD104C"/>
    <w:rsid w:val="00BD106F"/>
    <w:rsid w:val="00BD10D2"/>
    <w:rsid w:val="00BD11C5"/>
    <w:rsid w:val="00BD11E9"/>
    <w:rsid w:val="00BD126C"/>
    <w:rsid w:val="00BD12C2"/>
    <w:rsid w:val="00BD12D1"/>
    <w:rsid w:val="00BD12D3"/>
    <w:rsid w:val="00BD13B4"/>
    <w:rsid w:val="00BD1500"/>
    <w:rsid w:val="00BD1517"/>
    <w:rsid w:val="00BD156F"/>
    <w:rsid w:val="00BD157A"/>
    <w:rsid w:val="00BD15B3"/>
    <w:rsid w:val="00BD16B5"/>
    <w:rsid w:val="00BD1799"/>
    <w:rsid w:val="00BD17B2"/>
    <w:rsid w:val="00BD17D0"/>
    <w:rsid w:val="00BD183F"/>
    <w:rsid w:val="00BD193B"/>
    <w:rsid w:val="00BD19DA"/>
    <w:rsid w:val="00BD19FF"/>
    <w:rsid w:val="00BD1A41"/>
    <w:rsid w:val="00BD1A9F"/>
    <w:rsid w:val="00BD1B80"/>
    <w:rsid w:val="00BD1BF1"/>
    <w:rsid w:val="00BD1C42"/>
    <w:rsid w:val="00BD1C8F"/>
    <w:rsid w:val="00BD1CA7"/>
    <w:rsid w:val="00BD1D1A"/>
    <w:rsid w:val="00BD1DAD"/>
    <w:rsid w:val="00BD1DB9"/>
    <w:rsid w:val="00BD1E07"/>
    <w:rsid w:val="00BD1EC7"/>
    <w:rsid w:val="00BD1EF4"/>
    <w:rsid w:val="00BD1F5B"/>
    <w:rsid w:val="00BD1F5C"/>
    <w:rsid w:val="00BD1F95"/>
    <w:rsid w:val="00BD1FB6"/>
    <w:rsid w:val="00BD2050"/>
    <w:rsid w:val="00BD2072"/>
    <w:rsid w:val="00BD20CC"/>
    <w:rsid w:val="00BD22A5"/>
    <w:rsid w:val="00BD23D0"/>
    <w:rsid w:val="00BD2430"/>
    <w:rsid w:val="00BD24DA"/>
    <w:rsid w:val="00BD2516"/>
    <w:rsid w:val="00BD2520"/>
    <w:rsid w:val="00BD2587"/>
    <w:rsid w:val="00BD25A2"/>
    <w:rsid w:val="00BD25F1"/>
    <w:rsid w:val="00BD26DE"/>
    <w:rsid w:val="00BD2730"/>
    <w:rsid w:val="00BD27A0"/>
    <w:rsid w:val="00BD27A7"/>
    <w:rsid w:val="00BD27E3"/>
    <w:rsid w:val="00BD27EC"/>
    <w:rsid w:val="00BD2851"/>
    <w:rsid w:val="00BD2855"/>
    <w:rsid w:val="00BD2879"/>
    <w:rsid w:val="00BD2898"/>
    <w:rsid w:val="00BD28E0"/>
    <w:rsid w:val="00BD293C"/>
    <w:rsid w:val="00BD2951"/>
    <w:rsid w:val="00BD299A"/>
    <w:rsid w:val="00BD29BB"/>
    <w:rsid w:val="00BD29DF"/>
    <w:rsid w:val="00BD29E7"/>
    <w:rsid w:val="00BD29F0"/>
    <w:rsid w:val="00BD29FF"/>
    <w:rsid w:val="00BD2B85"/>
    <w:rsid w:val="00BD2BE1"/>
    <w:rsid w:val="00BD2C01"/>
    <w:rsid w:val="00BD2C6A"/>
    <w:rsid w:val="00BD2D2F"/>
    <w:rsid w:val="00BD2D6D"/>
    <w:rsid w:val="00BD2E95"/>
    <w:rsid w:val="00BD2EC9"/>
    <w:rsid w:val="00BD2EF2"/>
    <w:rsid w:val="00BD2F43"/>
    <w:rsid w:val="00BD2F59"/>
    <w:rsid w:val="00BD2FD6"/>
    <w:rsid w:val="00BD306C"/>
    <w:rsid w:val="00BD30B6"/>
    <w:rsid w:val="00BD314E"/>
    <w:rsid w:val="00BD3162"/>
    <w:rsid w:val="00BD32DE"/>
    <w:rsid w:val="00BD32FE"/>
    <w:rsid w:val="00BD336C"/>
    <w:rsid w:val="00BD3372"/>
    <w:rsid w:val="00BD33F4"/>
    <w:rsid w:val="00BD3417"/>
    <w:rsid w:val="00BD3436"/>
    <w:rsid w:val="00BD3467"/>
    <w:rsid w:val="00BD34D8"/>
    <w:rsid w:val="00BD3538"/>
    <w:rsid w:val="00BD356E"/>
    <w:rsid w:val="00BD3605"/>
    <w:rsid w:val="00BD3702"/>
    <w:rsid w:val="00BD371F"/>
    <w:rsid w:val="00BD3744"/>
    <w:rsid w:val="00BD3747"/>
    <w:rsid w:val="00BD375A"/>
    <w:rsid w:val="00BD3785"/>
    <w:rsid w:val="00BD37D4"/>
    <w:rsid w:val="00BD38F1"/>
    <w:rsid w:val="00BD39CB"/>
    <w:rsid w:val="00BD3A51"/>
    <w:rsid w:val="00BD3AA7"/>
    <w:rsid w:val="00BD3B00"/>
    <w:rsid w:val="00BD3B5A"/>
    <w:rsid w:val="00BD3B63"/>
    <w:rsid w:val="00BD3BC4"/>
    <w:rsid w:val="00BD3C2C"/>
    <w:rsid w:val="00BD3C73"/>
    <w:rsid w:val="00BD3CE3"/>
    <w:rsid w:val="00BD3D0C"/>
    <w:rsid w:val="00BD3D1B"/>
    <w:rsid w:val="00BD3D4D"/>
    <w:rsid w:val="00BD3D4E"/>
    <w:rsid w:val="00BD3DAC"/>
    <w:rsid w:val="00BD3DD8"/>
    <w:rsid w:val="00BD3E33"/>
    <w:rsid w:val="00BD3E48"/>
    <w:rsid w:val="00BD3EC8"/>
    <w:rsid w:val="00BD3F4A"/>
    <w:rsid w:val="00BD3F68"/>
    <w:rsid w:val="00BD3F8A"/>
    <w:rsid w:val="00BD3FA9"/>
    <w:rsid w:val="00BD3FDA"/>
    <w:rsid w:val="00BD3FF2"/>
    <w:rsid w:val="00BD4016"/>
    <w:rsid w:val="00BD406B"/>
    <w:rsid w:val="00BD40AF"/>
    <w:rsid w:val="00BD40F9"/>
    <w:rsid w:val="00BD4115"/>
    <w:rsid w:val="00BD4116"/>
    <w:rsid w:val="00BD4159"/>
    <w:rsid w:val="00BD426F"/>
    <w:rsid w:val="00BD4286"/>
    <w:rsid w:val="00BD43CD"/>
    <w:rsid w:val="00BD43F3"/>
    <w:rsid w:val="00BD44D6"/>
    <w:rsid w:val="00BD4500"/>
    <w:rsid w:val="00BD4555"/>
    <w:rsid w:val="00BD45B7"/>
    <w:rsid w:val="00BD4687"/>
    <w:rsid w:val="00BD4738"/>
    <w:rsid w:val="00BD47CA"/>
    <w:rsid w:val="00BD4825"/>
    <w:rsid w:val="00BD484C"/>
    <w:rsid w:val="00BD4861"/>
    <w:rsid w:val="00BD491D"/>
    <w:rsid w:val="00BD4925"/>
    <w:rsid w:val="00BD49A4"/>
    <w:rsid w:val="00BD4A48"/>
    <w:rsid w:val="00BD4AA0"/>
    <w:rsid w:val="00BD4B4F"/>
    <w:rsid w:val="00BD4BF6"/>
    <w:rsid w:val="00BD4C8B"/>
    <w:rsid w:val="00BD4CCD"/>
    <w:rsid w:val="00BD4D3E"/>
    <w:rsid w:val="00BD4DB6"/>
    <w:rsid w:val="00BD4DC0"/>
    <w:rsid w:val="00BD4DDA"/>
    <w:rsid w:val="00BD4DDF"/>
    <w:rsid w:val="00BD4E25"/>
    <w:rsid w:val="00BD4E6A"/>
    <w:rsid w:val="00BD4E7E"/>
    <w:rsid w:val="00BD4E9D"/>
    <w:rsid w:val="00BD4EEB"/>
    <w:rsid w:val="00BD4EFA"/>
    <w:rsid w:val="00BD4F54"/>
    <w:rsid w:val="00BD4F8A"/>
    <w:rsid w:val="00BD4FCF"/>
    <w:rsid w:val="00BD5095"/>
    <w:rsid w:val="00BD50B0"/>
    <w:rsid w:val="00BD50E5"/>
    <w:rsid w:val="00BD5139"/>
    <w:rsid w:val="00BD5193"/>
    <w:rsid w:val="00BD5221"/>
    <w:rsid w:val="00BD52CF"/>
    <w:rsid w:val="00BD52DD"/>
    <w:rsid w:val="00BD52F1"/>
    <w:rsid w:val="00BD534E"/>
    <w:rsid w:val="00BD5398"/>
    <w:rsid w:val="00BD5402"/>
    <w:rsid w:val="00BD544F"/>
    <w:rsid w:val="00BD5459"/>
    <w:rsid w:val="00BD54F7"/>
    <w:rsid w:val="00BD551D"/>
    <w:rsid w:val="00BD551E"/>
    <w:rsid w:val="00BD5522"/>
    <w:rsid w:val="00BD559E"/>
    <w:rsid w:val="00BD55D8"/>
    <w:rsid w:val="00BD560D"/>
    <w:rsid w:val="00BD5620"/>
    <w:rsid w:val="00BD569B"/>
    <w:rsid w:val="00BD570A"/>
    <w:rsid w:val="00BD5742"/>
    <w:rsid w:val="00BD5788"/>
    <w:rsid w:val="00BD57AA"/>
    <w:rsid w:val="00BD57D5"/>
    <w:rsid w:val="00BD57DF"/>
    <w:rsid w:val="00BD582B"/>
    <w:rsid w:val="00BD582C"/>
    <w:rsid w:val="00BD58E9"/>
    <w:rsid w:val="00BD59A0"/>
    <w:rsid w:val="00BD5A2F"/>
    <w:rsid w:val="00BD5A31"/>
    <w:rsid w:val="00BD5A3C"/>
    <w:rsid w:val="00BD5B8E"/>
    <w:rsid w:val="00BD5C88"/>
    <w:rsid w:val="00BD5CA4"/>
    <w:rsid w:val="00BD5CC7"/>
    <w:rsid w:val="00BD5DF4"/>
    <w:rsid w:val="00BD5DFC"/>
    <w:rsid w:val="00BD6011"/>
    <w:rsid w:val="00BD605C"/>
    <w:rsid w:val="00BD60B4"/>
    <w:rsid w:val="00BD60CC"/>
    <w:rsid w:val="00BD60CE"/>
    <w:rsid w:val="00BD60E8"/>
    <w:rsid w:val="00BD61EE"/>
    <w:rsid w:val="00BD6246"/>
    <w:rsid w:val="00BD62F0"/>
    <w:rsid w:val="00BD6395"/>
    <w:rsid w:val="00BD63C4"/>
    <w:rsid w:val="00BD64E2"/>
    <w:rsid w:val="00BD64E9"/>
    <w:rsid w:val="00BD657A"/>
    <w:rsid w:val="00BD65A1"/>
    <w:rsid w:val="00BD65C1"/>
    <w:rsid w:val="00BD6613"/>
    <w:rsid w:val="00BD6643"/>
    <w:rsid w:val="00BD6798"/>
    <w:rsid w:val="00BD681D"/>
    <w:rsid w:val="00BD6953"/>
    <w:rsid w:val="00BD696C"/>
    <w:rsid w:val="00BD69B2"/>
    <w:rsid w:val="00BD69B4"/>
    <w:rsid w:val="00BD69C9"/>
    <w:rsid w:val="00BD6A60"/>
    <w:rsid w:val="00BD6A73"/>
    <w:rsid w:val="00BD6A91"/>
    <w:rsid w:val="00BD6A97"/>
    <w:rsid w:val="00BD6ACF"/>
    <w:rsid w:val="00BD6B2A"/>
    <w:rsid w:val="00BD6B61"/>
    <w:rsid w:val="00BD6BF7"/>
    <w:rsid w:val="00BD6C1F"/>
    <w:rsid w:val="00BD6C41"/>
    <w:rsid w:val="00BD6C63"/>
    <w:rsid w:val="00BD6C9A"/>
    <w:rsid w:val="00BD6D47"/>
    <w:rsid w:val="00BD6D5D"/>
    <w:rsid w:val="00BD6D70"/>
    <w:rsid w:val="00BD6EC7"/>
    <w:rsid w:val="00BD6F02"/>
    <w:rsid w:val="00BD6F13"/>
    <w:rsid w:val="00BD6F59"/>
    <w:rsid w:val="00BD6F98"/>
    <w:rsid w:val="00BD7062"/>
    <w:rsid w:val="00BD7073"/>
    <w:rsid w:val="00BD7127"/>
    <w:rsid w:val="00BD71C8"/>
    <w:rsid w:val="00BD724E"/>
    <w:rsid w:val="00BD7262"/>
    <w:rsid w:val="00BD7286"/>
    <w:rsid w:val="00BD7512"/>
    <w:rsid w:val="00BD7527"/>
    <w:rsid w:val="00BD7646"/>
    <w:rsid w:val="00BD7677"/>
    <w:rsid w:val="00BD768E"/>
    <w:rsid w:val="00BD76F0"/>
    <w:rsid w:val="00BD7723"/>
    <w:rsid w:val="00BD7739"/>
    <w:rsid w:val="00BD78A6"/>
    <w:rsid w:val="00BD78B8"/>
    <w:rsid w:val="00BD78BB"/>
    <w:rsid w:val="00BD7905"/>
    <w:rsid w:val="00BD79B9"/>
    <w:rsid w:val="00BD79BE"/>
    <w:rsid w:val="00BD7A30"/>
    <w:rsid w:val="00BD7A97"/>
    <w:rsid w:val="00BD7B5B"/>
    <w:rsid w:val="00BD7B84"/>
    <w:rsid w:val="00BD7C38"/>
    <w:rsid w:val="00BD7C39"/>
    <w:rsid w:val="00BD7C55"/>
    <w:rsid w:val="00BD7C67"/>
    <w:rsid w:val="00BD7C91"/>
    <w:rsid w:val="00BD7CDB"/>
    <w:rsid w:val="00BD7D87"/>
    <w:rsid w:val="00BD7DB4"/>
    <w:rsid w:val="00BD7DC0"/>
    <w:rsid w:val="00BD7DFF"/>
    <w:rsid w:val="00BD7E4A"/>
    <w:rsid w:val="00BD7E6F"/>
    <w:rsid w:val="00BD7E9A"/>
    <w:rsid w:val="00BD7F18"/>
    <w:rsid w:val="00BD7F40"/>
    <w:rsid w:val="00BE00B9"/>
    <w:rsid w:val="00BE0136"/>
    <w:rsid w:val="00BE0218"/>
    <w:rsid w:val="00BE0244"/>
    <w:rsid w:val="00BE0311"/>
    <w:rsid w:val="00BE034E"/>
    <w:rsid w:val="00BE0385"/>
    <w:rsid w:val="00BE03F3"/>
    <w:rsid w:val="00BE0590"/>
    <w:rsid w:val="00BE05CE"/>
    <w:rsid w:val="00BE0649"/>
    <w:rsid w:val="00BE06E5"/>
    <w:rsid w:val="00BE0707"/>
    <w:rsid w:val="00BE070D"/>
    <w:rsid w:val="00BE07FC"/>
    <w:rsid w:val="00BE082D"/>
    <w:rsid w:val="00BE0886"/>
    <w:rsid w:val="00BE08BF"/>
    <w:rsid w:val="00BE08CA"/>
    <w:rsid w:val="00BE0911"/>
    <w:rsid w:val="00BE0980"/>
    <w:rsid w:val="00BE0A40"/>
    <w:rsid w:val="00BE0A6D"/>
    <w:rsid w:val="00BE0A7D"/>
    <w:rsid w:val="00BE0ACE"/>
    <w:rsid w:val="00BE0C7D"/>
    <w:rsid w:val="00BE0D73"/>
    <w:rsid w:val="00BE0D97"/>
    <w:rsid w:val="00BE0DC3"/>
    <w:rsid w:val="00BE0EAB"/>
    <w:rsid w:val="00BE0F03"/>
    <w:rsid w:val="00BE0FA1"/>
    <w:rsid w:val="00BE1007"/>
    <w:rsid w:val="00BE1034"/>
    <w:rsid w:val="00BE1045"/>
    <w:rsid w:val="00BE1061"/>
    <w:rsid w:val="00BE11E4"/>
    <w:rsid w:val="00BE124A"/>
    <w:rsid w:val="00BE12A9"/>
    <w:rsid w:val="00BE1360"/>
    <w:rsid w:val="00BE13D8"/>
    <w:rsid w:val="00BE143C"/>
    <w:rsid w:val="00BE14BD"/>
    <w:rsid w:val="00BE14D2"/>
    <w:rsid w:val="00BE14F4"/>
    <w:rsid w:val="00BE15B0"/>
    <w:rsid w:val="00BE15DB"/>
    <w:rsid w:val="00BE1624"/>
    <w:rsid w:val="00BE1640"/>
    <w:rsid w:val="00BE164C"/>
    <w:rsid w:val="00BE16BF"/>
    <w:rsid w:val="00BE16F8"/>
    <w:rsid w:val="00BE178E"/>
    <w:rsid w:val="00BE1795"/>
    <w:rsid w:val="00BE17B3"/>
    <w:rsid w:val="00BE18C8"/>
    <w:rsid w:val="00BE18D0"/>
    <w:rsid w:val="00BE18D4"/>
    <w:rsid w:val="00BE1907"/>
    <w:rsid w:val="00BE1971"/>
    <w:rsid w:val="00BE1977"/>
    <w:rsid w:val="00BE199A"/>
    <w:rsid w:val="00BE19B7"/>
    <w:rsid w:val="00BE19D0"/>
    <w:rsid w:val="00BE19F0"/>
    <w:rsid w:val="00BE19FD"/>
    <w:rsid w:val="00BE1A5A"/>
    <w:rsid w:val="00BE1B56"/>
    <w:rsid w:val="00BE1B6B"/>
    <w:rsid w:val="00BE1BF0"/>
    <w:rsid w:val="00BE1C09"/>
    <w:rsid w:val="00BE1C5F"/>
    <w:rsid w:val="00BE1C93"/>
    <w:rsid w:val="00BE1CA9"/>
    <w:rsid w:val="00BE1E0F"/>
    <w:rsid w:val="00BE1ED5"/>
    <w:rsid w:val="00BE1F66"/>
    <w:rsid w:val="00BE1F77"/>
    <w:rsid w:val="00BE1F83"/>
    <w:rsid w:val="00BE20B1"/>
    <w:rsid w:val="00BE20B7"/>
    <w:rsid w:val="00BE20CB"/>
    <w:rsid w:val="00BE2172"/>
    <w:rsid w:val="00BE21D8"/>
    <w:rsid w:val="00BE233E"/>
    <w:rsid w:val="00BE239B"/>
    <w:rsid w:val="00BE23CA"/>
    <w:rsid w:val="00BE23FE"/>
    <w:rsid w:val="00BE243B"/>
    <w:rsid w:val="00BE25B3"/>
    <w:rsid w:val="00BE2645"/>
    <w:rsid w:val="00BE267A"/>
    <w:rsid w:val="00BE26B6"/>
    <w:rsid w:val="00BE2745"/>
    <w:rsid w:val="00BE2809"/>
    <w:rsid w:val="00BE2856"/>
    <w:rsid w:val="00BE285E"/>
    <w:rsid w:val="00BE28E5"/>
    <w:rsid w:val="00BE29A5"/>
    <w:rsid w:val="00BE29B6"/>
    <w:rsid w:val="00BE29EC"/>
    <w:rsid w:val="00BE2A28"/>
    <w:rsid w:val="00BE2A3D"/>
    <w:rsid w:val="00BE2A9D"/>
    <w:rsid w:val="00BE2AEA"/>
    <w:rsid w:val="00BE2B3D"/>
    <w:rsid w:val="00BE2B68"/>
    <w:rsid w:val="00BE2BC3"/>
    <w:rsid w:val="00BE2BD2"/>
    <w:rsid w:val="00BE2BDD"/>
    <w:rsid w:val="00BE2CB3"/>
    <w:rsid w:val="00BE2CE5"/>
    <w:rsid w:val="00BE2D19"/>
    <w:rsid w:val="00BE2D3A"/>
    <w:rsid w:val="00BE2D73"/>
    <w:rsid w:val="00BE2D95"/>
    <w:rsid w:val="00BE2DF8"/>
    <w:rsid w:val="00BE2F34"/>
    <w:rsid w:val="00BE2F65"/>
    <w:rsid w:val="00BE2F92"/>
    <w:rsid w:val="00BE2FD7"/>
    <w:rsid w:val="00BE3054"/>
    <w:rsid w:val="00BE3200"/>
    <w:rsid w:val="00BE321E"/>
    <w:rsid w:val="00BE3313"/>
    <w:rsid w:val="00BE334E"/>
    <w:rsid w:val="00BE3356"/>
    <w:rsid w:val="00BE3406"/>
    <w:rsid w:val="00BE3447"/>
    <w:rsid w:val="00BE35E2"/>
    <w:rsid w:val="00BE35E5"/>
    <w:rsid w:val="00BE364F"/>
    <w:rsid w:val="00BE36B5"/>
    <w:rsid w:val="00BE36BD"/>
    <w:rsid w:val="00BE384D"/>
    <w:rsid w:val="00BE3897"/>
    <w:rsid w:val="00BE3A9C"/>
    <w:rsid w:val="00BE3AA1"/>
    <w:rsid w:val="00BE3AA7"/>
    <w:rsid w:val="00BE3AE0"/>
    <w:rsid w:val="00BE3B78"/>
    <w:rsid w:val="00BE3BC1"/>
    <w:rsid w:val="00BE3C2F"/>
    <w:rsid w:val="00BE3C69"/>
    <w:rsid w:val="00BE3C6C"/>
    <w:rsid w:val="00BE3C71"/>
    <w:rsid w:val="00BE3D8E"/>
    <w:rsid w:val="00BE3E56"/>
    <w:rsid w:val="00BE3E85"/>
    <w:rsid w:val="00BE3E9E"/>
    <w:rsid w:val="00BE3F3F"/>
    <w:rsid w:val="00BE3F6A"/>
    <w:rsid w:val="00BE3FB9"/>
    <w:rsid w:val="00BE3FEC"/>
    <w:rsid w:val="00BE4017"/>
    <w:rsid w:val="00BE4037"/>
    <w:rsid w:val="00BE4089"/>
    <w:rsid w:val="00BE40D0"/>
    <w:rsid w:val="00BE40D2"/>
    <w:rsid w:val="00BE40EE"/>
    <w:rsid w:val="00BE4138"/>
    <w:rsid w:val="00BE4139"/>
    <w:rsid w:val="00BE414D"/>
    <w:rsid w:val="00BE419B"/>
    <w:rsid w:val="00BE41B2"/>
    <w:rsid w:val="00BE41EC"/>
    <w:rsid w:val="00BE42A5"/>
    <w:rsid w:val="00BE432D"/>
    <w:rsid w:val="00BE4355"/>
    <w:rsid w:val="00BE43A9"/>
    <w:rsid w:val="00BE4480"/>
    <w:rsid w:val="00BE44F7"/>
    <w:rsid w:val="00BE4570"/>
    <w:rsid w:val="00BE45A3"/>
    <w:rsid w:val="00BE45B0"/>
    <w:rsid w:val="00BE4662"/>
    <w:rsid w:val="00BE472E"/>
    <w:rsid w:val="00BE472F"/>
    <w:rsid w:val="00BE47B1"/>
    <w:rsid w:val="00BE48AF"/>
    <w:rsid w:val="00BE48BC"/>
    <w:rsid w:val="00BE48E8"/>
    <w:rsid w:val="00BE495A"/>
    <w:rsid w:val="00BE4970"/>
    <w:rsid w:val="00BE49BA"/>
    <w:rsid w:val="00BE49D8"/>
    <w:rsid w:val="00BE49ED"/>
    <w:rsid w:val="00BE49F3"/>
    <w:rsid w:val="00BE4A41"/>
    <w:rsid w:val="00BE4A55"/>
    <w:rsid w:val="00BE4A63"/>
    <w:rsid w:val="00BE4AFA"/>
    <w:rsid w:val="00BE4B33"/>
    <w:rsid w:val="00BE4B54"/>
    <w:rsid w:val="00BE4BC8"/>
    <w:rsid w:val="00BE4BD3"/>
    <w:rsid w:val="00BE4C7A"/>
    <w:rsid w:val="00BE4C9A"/>
    <w:rsid w:val="00BE4DB9"/>
    <w:rsid w:val="00BE4DCE"/>
    <w:rsid w:val="00BE4DF2"/>
    <w:rsid w:val="00BE4E04"/>
    <w:rsid w:val="00BE4E16"/>
    <w:rsid w:val="00BE4E99"/>
    <w:rsid w:val="00BE4EF7"/>
    <w:rsid w:val="00BE4EF8"/>
    <w:rsid w:val="00BE4F01"/>
    <w:rsid w:val="00BE4F54"/>
    <w:rsid w:val="00BE4F65"/>
    <w:rsid w:val="00BE4F6D"/>
    <w:rsid w:val="00BE4F84"/>
    <w:rsid w:val="00BE4FDD"/>
    <w:rsid w:val="00BE5017"/>
    <w:rsid w:val="00BE502A"/>
    <w:rsid w:val="00BE504C"/>
    <w:rsid w:val="00BE50D1"/>
    <w:rsid w:val="00BE5268"/>
    <w:rsid w:val="00BE52AD"/>
    <w:rsid w:val="00BE531F"/>
    <w:rsid w:val="00BE53A2"/>
    <w:rsid w:val="00BE53C0"/>
    <w:rsid w:val="00BE53F5"/>
    <w:rsid w:val="00BE543D"/>
    <w:rsid w:val="00BE5466"/>
    <w:rsid w:val="00BE5523"/>
    <w:rsid w:val="00BE563E"/>
    <w:rsid w:val="00BE56D5"/>
    <w:rsid w:val="00BE577C"/>
    <w:rsid w:val="00BE5833"/>
    <w:rsid w:val="00BE5895"/>
    <w:rsid w:val="00BE59CB"/>
    <w:rsid w:val="00BE5A85"/>
    <w:rsid w:val="00BE5B8C"/>
    <w:rsid w:val="00BE5BE0"/>
    <w:rsid w:val="00BE5C1D"/>
    <w:rsid w:val="00BE5C5E"/>
    <w:rsid w:val="00BE5C63"/>
    <w:rsid w:val="00BE5CDC"/>
    <w:rsid w:val="00BE5CFF"/>
    <w:rsid w:val="00BE5D5B"/>
    <w:rsid w:val="00BE5D88"/>
    <w:rsid w:val="00BE5DC5"/>
    <w:rsid w:val="00BE5DDD"/>
    <w:rsid w:val="00BE5E01"/>
    <w:rsid w:val="00BE5E06"/>
    <w:rsid w:val="00BE5E09"/>
    <w:rsid w:val="00BE5E8A"/>
    <w:rsid w:val="00BE5F43"/>
    <w:rsid w:val="00BE5F44"/>
    <w:rsid w:val="00BE5F45"/>
    <w:rsid w:val="00BE5F8D"/>
    <w:rsid w:val="00BE5FC0"/>
    <w:rsid w:val="00BE5FE3"/>
    <w:rsid w:val="00BE60BE"/>
    <w:rsid w:val="00BE625E"/>
    <w:rsid w:val="00BE631C"/>
    <w:rsid w:val="00BE6379"/>
    <w:rsid w:val="00BE63DE"/>
    <w:rsid w:val="00BE6488"/>
    <w:rsid w:val="00BE656C"/>
    <w:rsid w:val="00BE65A9"/>
    <w:rsid w:val="00BE6634"/>
    <w:rsid w:val="00BE66C6"/>
    <w:rsid w:val="00BE671F"/>
    <w:rsid w:val="00BE67EB"/>
    <w:rsid w:val="00BE67F2"/>
    <w:rsid w:val="00BE6856"/>
    <w:rsid w:val="00BE6988"/>
    <w:rsid w:val="00BE69EB"/>
    <w:rsid w:val="00BE6A02"/>
    <w:rsid w:val="00BE6A3F"/>
    <w:rsid w:val="00BE6B35"/>
    <w:rsid w:val="00BE6B3C"/>
    <w:rsid w:val="00BE6BB1"/>
    <w:rsid w:val="00BE6C3D"/>
    <w:rsid w:val="00BE6C4A"/>
    <w:rsid w:val="00BE6CC0"/>
    <w:rsid w:val="00BE6CFF"/>
    <w:rsid w:val="00BE6E09"/>
    <w:rsid w:val="00BE6EAF"/>
    <w:rsid w:val="00BE6EDC"/>
    <w:rsid w:val="00BE6F71"/>
    <w:rsid w:val="00BE6FB6"/>
    <w:rsid w:val="00BE7176"/>
    <w:rsid w:val="00BE71AA"/>
    <w:rsid w:val="00BE7206"/>
    <w:rsid w:val="00BE7243"/>
    <w:rsid w:val="00BE73A7"/>
    <w:rsid w:val="00BE73C8"/>
    <w:rsid w:val="00BE73FC"/>
    <w:rsid w:val="00BE740B"/>
    <w:rsid w:val="00BE746C"/>
    <w:rsid w:val="00BE748F"/>
    <w:rsid w:val="00BE74AE"/>
    <w:rsid w:val="00BE74BE"/>
    <w:rsid w:val="00BE74EC"/>
    <w:rsid w:val="00BE7575"/>
    <w:rsid w:val="00BE75DB"/>
    <w:rsid w:val="00BE7689"/>
    <w:rsid w:val="00BE7733"/>
    <w:rsid w:val="00BE777E"/>
    <w:rsid w:val="00BE77E4"/>
    <w:rsid w:val="00BE7807"/>
    <w:rsid w:val="00BE78AE"/>
    <w:rsid w:val="00BE78F3"/>
    <w:rsid w:val="00BE7992"/>
    <w:rsid w:val="00BE7A89"/>
    <w:rsid w:val="00BE7AA0"/>
    <w:rsid w:val="00BE7AB7"/>
    <w:rsid w:val="00BE7AF4"/>
    <w:rsid w:val="00BE7B08"/>
    <w:rsid w:val="00BE7B6A"/>
    <w:rsid w:val="00BE7C0A"/>
    <w:rsid w:val="00BE7C9E"/>
    <w:rsid w:val="00BE7EC2"/>
    <w:rsid w:val="00BE7FE3"/>
    <w:rsid w:val="00BE7FF0"/>
    <w:rsid w:val="00BF0050"/>
    <w:rsid w:val="00BF0055"/>
    <w:rsid w:val="00BF0056"/>
    <w:rsid w:val="00BF00A3"/>
    <w:rsid w:val="00BF0117"/>
    <w:rsid w:val="00BF020D"/>
    <w:rsid w:val="00BF02A8"/>
    <w:rsid w:val="00BF031D"/>
    <w:rsid w:val="00BF0338"/>
    <w:rsid w:val="00BF0342"/>
    <w:rsid w:val="00BF0375"/>
    <w:rsid w:val="00BF037A"/>
    <w:rsid w:val="00BF0395"/>
    <w:rsid w:val="00BF04FC"/>
    <w:rsid w:val="00BF0522"/>
    <w:rsid w:val="00BF0555"/>
    <w:rsid w:val="00BF05EC"/>
    <w:rsid w:val="00BF0712"/>
    <w:rsid w:val="00BF0729"/>
    <w:rsid w:val="00BF073F"/>
    <w:rsid w:val="00BF076E"/>
    <w:rsid w:val="00BF0789"/>
    <w:rsid w:val="00BF07CF"/>
    <w:rsid w:val="00BF0801"/>
    <w:rsid w:val="00BF0843"/>
    <w:rsid w:val="00BF0879"/>
    <w:rsid w:val="00BF0882"/>
    <w:rsid w:val="00BF088B"/>
    <w:rsid w:val="00BF08B1"/>
    <w:rsid w:val="00BF08C7"/>
    <w:rsid w:val="00BF092C"/>
    <w:rsid w:val="00BF0993"/>
    <w:rsid w:val="00BF09C7"/>
    <w:rsid w:val="00BF0A47"/>
    <w:rsid w:val="00BF0B06"/>
    <w:rsid w:val="00BF0B54"/>
    <w:rsid w:val="00BF0B90"/>
    <w:rsid w:val="00BF0BD5"/>
    <w:rsid w:val="00BF0BF7"/>
    <w:rsid w:val="00BF0C26"/>
    <w:rsid w:val="00BF0D18"/>
    <w:rsid w:val="00BF0D79"/>
    <w:rsid w:val="00BF0DD6"/>
    <w:rsid w:val="00BF0DFC"/>
    <w:rsid w:val="00BF0EB5"/>
    <w:rsid w:val="00BF0EF1"/>
    <w:rsid w:val="00BF0F31"/>
    <w:rsid w:val="00BF0FAF"/>
    <w:rsid w:val="00BF107E"/>
    <w:rsid w:val="00BF1093"/>
    <w:rsid w:val="00BF10CE"/>
    <w:rsid w:val="00BF1127"/>
    <w:rsid w:val="00BF118D"/>
    <w:rsid w:val="00BF1210"/>
    <w:rsid w:val="00BF1214"/>
    <w:rsid w:val="00BF1251"/>
    <w:rsid w:val="00BF126C"/>
    <w:rsid w:val="00BF12B2"/>
    <w:rsid w:val="00BF12D7"/>
    <w:rsid w:val="00BF12DF"/>
    <w:rsid w:val="00BF1306"/>
    <w:rsid w:val="00BF1339"/>
    <w:rsid w:val="00BF135D"/>
    <w:rsid w:val="00BF13CD"/>
    <w:rsid w:val="00BF13ED"/>
    <w:rsid w:val="00BF1445"/>
    <w:rsid w:val="00BF148A"/>
    <w:rsid w:val="00BF1498"/>
    <w:rsid w:val="00BF14D7"/>
    <w:rsid w:val="00BF167F"/>
    <w:rsid w:val="00BF16EA"/>
    <w:rsid w:val="00BF1724"/>
    <w:rsid w:val="00BF1757"/>
    <w:rsid w:val="00BF17AE"/>
    <w:rsid w:val="00BF187E"/>
    <w:rsid w:val="00BF18FA"/>
    <w:rsid w:val="00BF1963"/>
    <w:rsid w:val="00BF1995"/>
    <w:rsid w:val="00BF19D7"/>
    <w:rsid w:val="00BF19F3"/>
    <w:rsid w:val="00BF1A4C"/>
    <w:rsid w:val="00BF1A53"/>
    <w:rsid w:val="00BF1A92"/>
    <w:rsid w:val="00BF1A9B"/>
    <w:rsid w:val="00BF1B8D"/>
    <w:rsid w:val="00BF1C4F"/>
    <w:rsid w:val="00BF1CB2"/>
    <w:rsid w:val="00BF1CC7"/>
    <w:rsid w:val="00BF1D18"/>
    <w:rsid w:val="00BF1D59"/>
    <w:rsid w:val="00BF1DCB"/>
    <w:rsid w:val="00BF1DD7"/>
    <w:rsid w:val="00BF1DDD"/>
    <w:rsid w:val="00BF1E82"/>
    <w:rsid w:val="00BF1EFB"/>
    <w:rsid w:val="00BF201D"/>
    <w:rsid w:val="00BF2046"/>
    <w:rsid w:val="00BF2062"/>
    <w:rsid w:val="00BF209C"/>
    <w:rsid w:val="00BF2253"/>
    <w:rsid w:val="00BF229D"/>
    <w:rsid w:val="00BF230B"/>
    <w:rsid w:val="00BF234B"/>
    <w:rsid w:val="00BF235C"/>
    <w:rsid w:val="00BF23A1"/>
    <w:rsid w:val="00BF23BC"/>
    <w:rsid w:val="00BF2419"/>
    <w:rsid w:val="00BF2468"/>
    <w:rsid w:val="00BF24B7"/>
    <w:rsid w:val="00BF2543"/>
    <w:rsid w:val="00BF25C4"/>
    <w:rsid w:val="00BF25F7"/>
    <w:rsid w:val="00BF2617"/>
    <w:rsid w:val="00BF2648"/>
    <w:rsid w:val="00BF2681"/>
    <w:rsid w:val="00BF26CD"/>
    <w:rsid w:val="00BF2724"/>
    <w:rsid w:val="00BF2794"/>
    <w:rsid w:val="00BF27AE"/>
    <w:rsid w:val="00BF27EB"/>
    <w:rsid w:val="00BF2846"/>
    <w:rsid w:val="00BF2854"/>
    <w:rsid w:val="00BF288A"/>
    <w:rsid w:val="00BF28CA"/>
    <w:rsid w:val="00BF28FE"/>
    <w:rsid w:val="00BF2948"/>
    <w:rsid w:val="00BF29E0"/>
    <w:rsid w:val="00BF2A21"/>
    <w:rsid w:val="00BF2B6F"/>
    <w:rsid w:val="00BF2BA3"/>
    <w:rsid w:val="00BF2C30"/>
    <w:rsid w:val="00BF2CB1"/>
    <w:rsid w:val="00BF2CBB"/>
    <w:rsid w:val="00BF2D05"/>
    <w:rsid w:val="00BF2D1F"/>
    <w:rsid w:val="00BF2DAE"/>
    <w:rsid w:val="00BF2DCD"/>
    <w:rsid w:val="00BF2DF1"/>
    <w:rsid w:val="00BF2EF5"/>
    <w:rsid w:val="00BF2F68"/>
    <w:rsid w:val="00BF3097"/>
    <w:rsid w:val="00BF31D8"/>
    <w:rsid w:val="00BF336A"/>
    <w:rsid w:val="00BF34A1"/>
    <w:rsid w:val="00BF3672"/>
    <w:rsid w:val="00BF370F"/>
    <w:rsid w:val="00BF3793"/>
    <w:rsid w:val="00BF3807"/>
    <w:rsid w:val="00BF3831"/>
    <w:rsid w:val="00BF387D"/>
    <w:rsid w:val="00BF3893"/>
    <w:rsid w:val="00BF3981"/>
    <w:rsid w:val="00BF39AE"/>
    <w:rsid w:val="00BF3A29"/>
    <w:rsid w:val="00BF3A4C"/>
    <w:rsid w:val="00BF3AD9"/>
    <w:rsid w:val="00BF3AE0"/>
    <w:rsid w:val="00BF3B31"/>
    <w:rsid w:val="00BF3B49"/>
    <w:rsid w:val="00BF3B77"/>
    <w:rsid w:val="00BF3B8D"/>
    <w:rsid w:val="00BF3B9E"/>
    <w:rsid w:val="00BF3BD6"/>
    <w:rsid w:val="00BF3D1F"/>
    <w:rsid w:val="00BF3E09"/>
    <w:rsid w:val="00BF3E2F"/>
    <w:rsid w:val="00BF3E3B"/>
    <w:rsid w:val="00BF3E7E"/>
    <w:rsid w:val="00BF3EA6"/>
    <w:rsid w:val="00BF3ED5"/>
    <w:rsid w:val="00BF3FCB"/>
    <w:rsid w:val="00BF4023"/>
    <w:rsid w:val="00BF4050"/>
    <w:rsid w:val="00BF40AE"/>
    <w:rsid w:val="00BF40C9"/>
    <w:rsid w:val="00BF4162"/>
    <w:rsid w:val="00BF41A6"/>
    <w:rsid w:val="00BF4205"/>
    <w:rsid w:val="00BF431E"/>
    <w:rsid w:val="00BF4335"/>
    <w:rsid w:val="00BF43AB"/>
    <w:rsid w:val="00BF43BE"/>
    <w:rsid w:val="00BF445A"/>
    <w:rsid w:val="00BF446C"/>
    <w:rsid w:val="00BF4482"/>
    <w:rsid w:val="00BF45B4"/>
    <w:rsid w:val="00BF45CB"/>
    <w:rsid w:val="00BF4626"/>
    <w:rsid w:val="00BF468D"/>
    <w:rsid w:val="00BF46D5"/>
    <w:rsid w:val="00BF470F"/>
    <w:rsid w:val="00BF4720"/>
    <w:rsid w:val="00BF4735"/>
    <w:rsid w:val="00BF475F"/>
    <w:rsid w:val="00BF483D"/>
    <w:rsid w:val="00BF48CA"/>
    <w:rsid w:val="00BF48E6"/>
    <w:rsid w:val="00BF48F1"/>
    <w:rsid w:val="00BF4A47"/>
    <w:rsid w:val="00BF4A59"/>
    <w:rsid w:val="00BF4AA3"/>
    <w:rsid w:val="00BF4AE9"/>
    <w:rsid w:val="00BF4B05"/>
    <w:rsid w:val="00BF4B0A"/>
    <w:rsid w:val="00BF4B1C"/>
    <w:rsid w:val="00BF4B1D"/>
    <w:rsid w:val="00BF4B38"/>
    <w:rsid w:val="00BF4BE7"/>
    <w:rsid w:val="00BF4C76"/>
    <w:rsid w:val="00BF4C84"/>
    <w:rsid w:val="00BF4DA3"/>
    <w:rsid w:val="00BF4DFB"/>
    <w:rsid w:val="00BF4E70"/>
    <w:rsid w:val="00BF4ECB"/>
    <w:rsid w:val="00BF4ED4"/>
    <w:rsid w:val="00BF4F8A"/>
    <w:rsid w:val="00BF4FDD"/>
    <w:rsid w:val="00BF5046"/>
    <w:rsid w:val="00BF50EF"/>
    <w:rsid w:val="00BF518B"/>
    <w:rsid w:val="00BF51B8"/>
    <w:rsid w:val="00BF520A"/>
    <w:rsid w:val="00BF521C"/>
    <w:rsid w:val="00BF522A"/>
    <w:rsid w:val="00BF5248"/>
    <w:rsid w:val="00BF529A"/>
    <w:rsid w:val="00BF52C7"/>
    <w:rsid w:val="00BF52C8"/>
    <w:rsid w:val="00BF52E1"/>
    <w:rsid w:val="00BF5331"/>
    <w:rsid w:val="00BF53BB"/>
    <w:rsid w:val="00BF5414"/>
    <w:rsid w:val="00BF5474"/>
    <w:rsid w:val="00BF5590"/>
    <w:rsid w:val="00BF55E9"/>
    <w:rsid w:val="00BF564D"/>
    <w:rsid w:val="00BF5698"/>
    <w:rsid w:val="00BF56F7"/>
    <w:rsid w:val="00BF5784"/>
    <w:rsid w:val="00BF57C0"/>
    <w:rsid w:val="00BF5803"/>
    <w:rsid w:val="00BF5910"/>
    <w:rsid w:val="00BF5955"/>
    <w:rsid w:val="00BF5AE8"/>
    <w:rsid w:val="00BF5AF0"/>
    <w:rsid w:val="00BF5BBC"/>
    <w:rsid w:val="00BF5BF7"/>
    <w:rsid w:val="00BF5C70"/>
    <w:rsid w:val="00BF5C93"/>
    <w:rsid w:val="00BF5E4F"/>
    <w:rsid w:val="00BF5E8D"/>
    <w:rsid w:val="00BF5E8F"/>
    <w:rsid w:val="00BF5F51"/>
    <w:rsid w:val="00BF5F58"/>
    <w:rsid w:val="00BF5F5A"/>
    <w:rsid w:val="00BF6009"/>
    <w:rsid w:val="00BF6222"/>
    <w:rsid w:val="00BF6269"/>
    <w:rsid w:val="00BF6441"/>
    <w:rsid w:val="00BF6459"/>
    <w:rsid w:val="00BF656F"/>
    <w:rsid w:val="00BF660E"/>
    <w:rsid w:val="00BF6698"/>
    <w:rsid w:val="00BF66A2"/>
    <w:rsid w:val="00BF6840"/>
    <w:rsid w:val="00BF686F"/>
    <w:rsid w:val="00BF68A0"/>
    <w:rsid w:val="00BF68B2"/>
    <w:rsid w:val="00BF6932"/>
    <w:rsid w:val="00BF6948"/>
    <w:rsid w:val="00BF6A7D"/>
    <w:rsid w:val="00BF6A83"/>
    <w:rsid w:val="00BF6AC3"/>
    <w:rsid w:val="00BF6AD1"/>
    <w:rsid w:val="00BF6B16"/>
    <w:rsid w:val="00BF6B85"/>
    <w:rsid w:val="00BF6BD9"/>
    <w:rsid w:val="00BF6BE6"/>
    <w:rsid w:val="00BF6C41"/>
    <w:rsid w:val="00BF6C4D"/>
    <w:rsid w:val="00BF6C84"/>
    <w:rsid w:val="00BF6D28"/>
    <w:rsid w:val="00BF6E99"/>
    <w:rsid w:val="00BF6EA6"/>
    <w:rsid w:val="00BF6FEC"/>
    <w:rsid w:val="00BF7047"/>
    <w:rsid w:val="00BF7133"/>
    <w:rsid w:val="00BF7195"/>
    <w:rsid w:val="00BF71C3"/>
    <w:rsid w:val="00BF7206"/>
    <w:rsid w:val="00BF7247"/>
    <w:rsid w:val="00BF7281"/>
    <w:rsid w:val="00BF72A0"/>
    <w:rsid w:val="00BF72CA"/>
    <w:rsid w:val="00BF7307"/>
    <w:rsid w:val="00BF73BA"/>
    <w:rsid w:val="00BF74CE"/>
    <w:rsid w:val="00BF7572"/>
    <w:rsid w:val="00BF75E2"/>
    <w:rsid w:val="00BF75F5"/>
    <w:rsid w:val="00BF762E"/>
    <w:rsid w:val="00BF767A"/>
    <w:rsid w:val="00BF7712"/>
    <w:rsid w:val="00BF7778"/>
    <w:rsid w:val="00BF7837"/>
    <w:rsid w:val="00BF788D"/>
    <w:rsid w:val="00BF789B"/>
    <w:rsid w:val="00BF794E"/>
    <w:rsid w:val="00BF7967"/>
    <w:rsid w:val="00BF7970"/>
    <w:rsid w:val="00BF79C7"/>
    <w:rsid w:val="00BF7A36"/>
    <w:rsid w:val="00BF7A82"/>
    <w:rsid w:val="00BF7AC8"/>
    <w:rsid w:val="00BF7AF3"/>
    <w:rsid w:val="00BF7B28"/>
    <w:rsid w:val="00BF7BC9"/>
    <w:rsid w:val="00BF7C1C"/>
    <w:rsid w:val="00BF7C43"/>
    <w:rsid w:val="00BF7D6A"/>
    <w:rsid w:val="00BF7E43"/>
    <w:rsid w:val="00BF7E91"/>
    <w:rsid w:val="00BF7E97"/>
    <w:rsid w:val="00BF7FD0"/>
    <w:rsid w:val="00BF7FE5"/>
    <w:rsid w:val="00C00073"/>
    <w:rsid w:val="00C000A1"/>
    <w:rsid w:val="00C000B5"/>
    <w:rsid w:val="00C000D6"/>
    <w:rsid w:val="00C00174"/>
    <w:rsid w:val="00C00198"/>
    <w:rsid w:val="00C001C2"/>
    <w:rsid w:val="00C001E5"/>
    <w:rsid w:val="00C00275"/>
    <w:rsid w:val="00C002D4"/>
    <w:rsid w:val="00C002E5"/>
    <w:rsid w:val="00C00352"/>
    <w:rsid w:val="00C00387"/>
    <w:rsid w:val="00C0047B"/>
    <w:rsid w:val="00C004B6"/>
    <w:rsid w:val="00C004E0"/>
    <w:rsid w:val="00C0051A"/>
    <w:rsid w:val="00C0062A"/>
    <w:rsid w:val="00C0077B"/>
    <w:rsid w:val="00C008C2"/>
    <w:rsid w:val="00C008FC"/>
    <w:rsid w:val="00C00922"/>
    <w:rsid w:val="00C009DD"/>
    <w:rsid w:val="00C00A10"/>
    <w:rsid w:val="00C00A3B"/>
    <w:rsid w:val="00C00B11"/>
    <w:rsid w:val="00C00B1A"/>
    <w:rsid w:val="00C00BEC"/>
    <w:rsid w:val="00C00BEE"/>
    <w:rsid w:val="00C00CBE"/>
    <w:rsid w:val="00C00CE7"/>
    <w:rsid w:val="00C00DCE"/>
    <w:rsid w:val="00C00E1E"/>
    <w:rsid w:val="00C00E5D"/>
    <w:rsid w:val="00C00EB1"/>
    <w:rsid w:val="00C00ED9"/>
    <w:rsid w:val="00C00F19"/>
    <w:rsid w:val="00C00F92"/>
    <w:rsid w:val="00C0101B"/>
    <w:rsid w:val="00C01026"/>
    <w:rsid w:val="00C0103F"/>
    <w:rsid w:val="00C010D9"/>
    <w:rsid w:val="00C010DE"/>
    <w:rsid w:val="00C010EC"/>
    <w:rsid w:val="00C010F2"/>
    <w:rsid w:val="00C01141"/>
    <w:rsid w:val="00C01144"/>
    <w:rsid w:val="00C0119C"/>
    <w:rsid w:val="00C011F2"/>
    <w:rsid w:val="00C0126F"/>
    <w:rsid w:val="00C01340"/>
    <w:rsid w:val="00C0135B"/>
    <w:rsid w:val="00C0139C"/>
    <w:rsid w:val="00C01420"/>
    <w:rsid w:val="00C01430"/>
    <w:rsid w:val="00C0145A"/>
    <w:rsid w:val="00C0147B"/>
    <w:rsid w:val="00C01509"/>
    <w:rsid w:val="00C01510"/>
    <w:rsid w:val="00C01642"/>
    <w:rsid w:val="00C0167D"/>
    <w:rsid w:val="00C0179D"/>
    <w:rsid w:val="00C017AE"/>
    <w:rsid w:val="00C017C7"/>
    <w:rsid w:val="00C017D5"/>
    <w:rsid w:val="00C017E0"/>
    <w:rsid w:val="00C0181B"/>
    <w:rsid w:val="00C01871"/>
    <w:rsid w:val="00C018AC"/>
    <w:rsid w:val="00C0190F"/>
    <w:rsid w:val="00C0193D"/>
    <w:rsid w:val="00C01969"/>
    <w:rsid w:val="00C0196B"/>
    <w:rsid w:val="00C01995"/>
    <w:rsid w:val="00C01A66"/>
    <w:rsid w:val="00C01B0B"/>
    <w:rsid w:val="00C01B2A"/>
    <w:rsid w:val="00C01B46"/>
    <w:rsid w:val="00C01BC4"/>
    <w:rsid w:val="00C01C0D"/>
    <w:rsid w:val="00C01C72"/>
    <w:rsid w:val="00C01D74"/>
    <w:rsid w:val="00C01D77"/>
    <w:rsid w:val="00C01DBA"/>
    <w:rsid w:val="00C01ECF"/>
    <w:rsid w:val="00C01FF5"/>
    <w:rsid w:val="00C02095"/>
    <w:rsid w:val="00C02117"/>
    <w:rsid w:val="00C02187"/>
    <w:rsid w:val="00C0223F"/>
    <w:rsid w:val="00C02267"/>
    <w:rsid w:val="00C0226E"/>
    <w:rsid w:val="00C023C0"/>
    <w:rsid w:val="00C023DE"/>
    <w:rsid w:val="00C023F9"/>
    <w:rsid w:val="00C02430"/>
    <w:rsid w:val="00C02463"/>
    <w:rsid w:val="00C0246A"/>
    <w:rsid w:val="00C0246E"/>
    <w:rsid w:val="00C024D2"/>
    <w:rsid w:val="00C02509"/>
    <w:rsid w:val="00C02519"/>
    <w:rsid w:val="00C02545"/>
    <w:rsid w:val="00C0257A"/>
    <w:rsid w:val="00C0258A"/>
    <w:rsid w:val="00C02590"/>
    <w:rsid w:val="00C02648"/>
    <w:rsid w:val="00C02656"/>
    <w:rsid w:val="00C026C0"/>
    <w:rsid w:val="00C02725"/>
    <w:rsid w:val="00C0275F"/>
    <w:rsid w:val="00C0277D"/>
    <w:rsid w:val="00C027D3"/>
    <w:rsid w:val="00C027D4"/>
    <w:rsid w:val="00C02808"/>
    <w:rsid w:val="00C02818"/>
    <w:rsid w:val="00C0281B"/>
    <w:rsid w:val="00C0281F"/>
    <w:rsid w:val="00C02829"/>
    <w:rsid w:val="00C02879"/>
    <w:rsid w:val="00C0288C"/>
    <w:rsid w:val="00C028DD"/>
    <w:rsid w:val="00C0290C"/>
    <w:rsid w:val="00C029BB"/>
    <w:rsid w:val="00C029BF"/>
    <w:rsid w:val="00C029D9"/>
    <w:rsid w:val="00C02B67"/>
    <w:rsid w:val="00C02B6B"/>
    <w:rsid w:val="00C02BB5"/>
    <w:rsid w:val="00C02C03"/>
    <w:rsid w:val="00C02C17"/>
    <w:rsid w:val="00C02C59"/>
    <w:rsid w:val="00C02CA3"/>
    <w:rsid w:val="00C02CA6"/>
    <w:rsid w:val="00C02CE7"/>
    <w:rsid w:val="00C02D18"/>
    <w:rsid w:val="00C02D53"/>
    <w:rsid w:val="00C02D5B"/>
    <w:rsid w:val="00C02E9C"/>
    <w:rsid w:val="00C02EF5"/>
    <w:rsid w:val="00C02F09"/>
    <w:rsid w:val="00C02F23"/>
    <w:rsid w:val="00C02F68"/>
    <w:rsid w:val="00C02F75"/>
    <w:rsid w:val="00C03142"/>
    <w:rsid w:val="00C03152"/>
    <w:rsid w:val="00C03159"/>
    <w:rsid w:val="00C0319A"/>
    <w:rsid w:val="00C031E1"/>
    <w:rsid w:val="00C03238"/>
    <w:rsid w:val="00C03250"/>
    <w:rsid w:val="00C03251"/>
    <w:rsid w:val="00C032BF"/>
    <w:rsid w:val="00C032FB"/>
    <w:rsid w:val="00C03350"/>
    <w:rsid w:val="00C033BC"/>
    <w:rsid w:val="00C03432"/>
    <w:rsid w:val="00C03445"/>
    <w:rsid w:val="00C03474"/>
    <w:rsid w:val="00C03589"/>
    <w:rsid w:val="00C03662"/>
    <w:rsid w:val="00C03685"/>
    <w:rsid w:val="00C0368F"/>
    <w:rsid w:val="00C0369D"/>
    <w:rsid w:val="00C036EE"/>
    <w:rsid w:val="00C0370A"/>
    <w:rsid w:val="00C0375B"/>
    <w:rsid w:val="00C0376A"/>
    <w:rsid w:val="00C03846"/>
    <w:rsid w:val="00C038DD"/>
    <w:rsid w:val="00C038E7"/>
    <w:rsid w:val="00C03979"/>
    <w:rsid w:val="00C039DA"/>
    <w:rsid w:val="00C039E9"/>
    <w:rsid w:val="00C03A22"/>
    <w:rsid w:val="00C03A59"/>
    <w:rsid w:val="00C03A75"/>
    <w:rsid w:val="00C03A7E"/>
    <w:rsid w:val="00C03AF7"/>
    <w:rsid w:val="00C03C2F"/>
    <w:rsid w:val="00C03C60"/>
    <w:rsid w:val="00C03C66"/>
    <w:rsid w:val="00C03CAC"/>
    <w:rsid w:val="00C03E9F"/>
    <w:rsid w:val="00C03F03"/>
    <w:rsid w:val="00C03F2F"/>
    <w:rsid w:val="00C03F32"/>
    <w:rsid w:val="00C03F5A"/>
    <w:rsid w:val="00C03F8D"/>
    <w:rsid w:val="00C03FE3"/>
    <w:rsid w:val="00C03FF9"/>
    <w:rsid w:val="00C04023"/>
    <w:rsid w:val="00C0405A"/>
    <w:rsid w:val="00C04146"/>
    <w:rsid w:val="00C04232"/>
    <w:rsid w:val="00C0428A"/>
    <w:rsid w:val="00C04297"/>
    <w:rsid w:val="00C042CB"/>
    <w:rsid w:val="00C042F2"/>
    <w:rsid w:val="00C04302"/>
    <w:rsid w:val="00C0440E"/>
    <w:rsid w:val="00C04464"/>
    <w:rsid w:val="00C04478"/>
    <w:rsid w:val="00C04540"/>
    <w:rsid w:val="00C04548"/>
    <w:rsid w:val="00C0454B"/>
    <w:rsid w:val="00C04774"/>
    <w:rsid w:val="00C047C1"/>
    <w:rsid w:val="00C047CF"/>
    <w:rsid w:val="00C0487C"/>
    <w:rsid w:val="00C048B9"/>
    <w:rsid w:val="00C048C3"/>
    <w:rsid w:val="00C048EB"/>
    <w:rsid w:val="00C0491F"/>
    <w:rsid w:val="00C04960"/>
    <w:rsid w:val="00C049A4"/>
    <w:rsid w:val="00C049DF"/>
    <w:rsid w:val="00C04A23"/>
    <w:rsid w:val="00C04B5F"/>
    <w:rsid w:val="00C04BE7"/>
    <w:rsid w:val="00C04C4D"/>
    <w:rsid w:val="00C04CE1"/>
    <w:rsid w:val="00C04CF0"/>
    <w:rsid w:val="00C04D58"/>
    <w:rsid w:val="00C04DF9"/>
    <w:rsid w:val="00C04E06"/>
    <w:rsid w:val="00C04E35"/>
    <w:rsid w:val="00C04EA7"/>
    <w:rsid w:val="00C04F21"/>
    <w:rsid w:val="00C04F9A"/>
    <w:rsid w:val="00C04FAF"/>
    <w:rsid w:val="00C0503B"/>
    <w:rsid w:val="00C0504C"/>
    <w:rsid w:val="00C050FC"/>
    <w:rsid w:val="00C05126"/>
    <w:rsid w:val="00C0520C"/>
    <w:rsid w:val="00C0523F"/>
    <w:rsid w:val="00C052D0"/>
    <w:rsid w:val="00C052EA"/>
    <w:rsid w:val="00C0532C"/>
    <w:rsid w:val="00C0532D"/>
    <w:rsid w:val="00C053BD"/>
    <w:rsid w:val="00C053D9"/>
    <w:rsid w:val="00C053E2"/>
    <w:rsid w:val="00C05402"/>
    <w:rsid w:val="00C05411"/>
    <w:rsid w:val="00C05414"/>
    <w:rsid w:val="00C05482"/>
    <w:rsid w:val="00C05539"/>
    <w:rsid w:val="00C055B1"/>
    <w:rsid w:val="00C055E4"/>
    <w:rsid w:val="00C0563A"/>
    <w:rsid w:val="00C05721"/>
    <w:rsid w:val="00C0576E"/>
    <w:rsid w:val="00C05787"/>
    <w:rsid w:val="00C057E8"/>
    <w:rsid w:val="00C0585E"/>
    <w:rsid w:val="00C0588C"/>
    <w:rsid w:val="00C058AA"/>
    <w:rsid w:val="00C058B5"/>
    <w:rsid w:val="00C0595E"/>
    <w:rsid w:val="00C0595F"/>
    <w:rsid w:val="00C05993"/>
    <w:rsid w:val="00C05A36"/>
    <w:rsid w:val="00C05A40"/>
    <w:rsid w:val="00C05A85"/>
    <w:rsid w:val="00C05C46"/>
    <w:rsid w:val="00C05D7B"/>
    <w:rsid w:val="00C05D88"/>
    <w:rsid w:val="00C05D8D"/>
    <w:rsid w:val="00C05DF5"/>
    <w:rsid w:val="00C05E34"/>
    <w:rsid w:val="00C05E6C"/>
    <w:rsid w:val="00C05E7E"/>
    <w:rsid w:val="00C05EFC"/>
    <w:rsid w:val="00C05F26"/>
    <w:rsid w:val="00C05F63"/>
    <w:rsid w:val="00C05F7C"/>
    <w:rsid w:val="00C05F8B"/>
    <w:rsid w:val="00C06003"/>
    <w:rsid w:val="00C0603D"/>
    <w:rsid w:val="00C06064"/>
    <w:rsid w:val="00C06106"/>
    <w:rsid w:val="00C06161"/>
    <w:rsid w:val="00C061FC"/>
    <w:rsid w:val="00C0622B"/>
    <w:rsid w:val="00C0626C"/>
    <w:rsid w:val="00C062E2"/>
    <w:rsid w:val="00C06312"/>
    <w:rsid w:val="00C063D1"/>
    <w:rsid w:val="00C063E0"/>
    <w:rsid w:val="00C0641B"/>
    <w:rsid w:val="00C06575"/>
    <w:rsid w:val="00C06576"/>
    <w:rsid w:val="00C065A3"/>
    <w:rsid w:val="00C065CA"/>
    <w:rsid w:val="00C0665F"/>
    <w:rsid w:val="00C066F7"/>
    <w:rsid w:val="00C067BA"/>
    <w:rsid w:val="00C06871"/>
    <w:rsid w:val="00C068B0"/>
    <w:rsid w:val="00C068E0"/>
    <w:rsid w:val="00C06901"/>
    <w:rsid w:val="00C06945"/>
    <w:rsid w:val="00C069AE"/>
    <w:rsid w:val="00C06A41"/>
    <w:rsid w:val="00C06A4C"/>
    <w:rsid w:val="00C06AC0"/>
    <w:rsid w:val="00C06AEF"/>
    <w:rsid w:val="00C06B1C"/>
    <w:rsid w:val="00C06B47"/>
    <w:rsid w:val="00C06BAE"/>
    <w:rsid w:val="00C06C24"/>
    <w:rsid w:val="00C06C27"/>
    <w:rsid w:val="00C06C4A"/>
    <w:rsid w:val="00C06CDD"/>
    <w:rsid w:val="00C06E09"/>
    <w:rsid w:val="00C06E39"/>
    <w:rsid w:val="00C06ECA"/>
    <w:rsid w:val="00C06EFB"/>
    <w:rsid w:val="00C06F46"/>
    <w:rsid w:val="00C06FAD"/>
    <w:rsid w:val="00C06FD7"/>
    <w:rsid w:val="00C07055"/>
    <w:rsid w:val="00C0706B"/>
    <w:rsid w:val="00C070C4"/>
    <w:rsid w:val="00C07102"/>
    <w:rsid w:val="00C071BA"/>
    <w:rsid w:val="00C071C7"/>
    <w:rsid w:val="00C071EA"/>
    <w:rsid w:val="00C0720B"/>
    <w:rsid w:val="00C07220"/>
    <w:rsid w:val="00C07248"/>
    <w:rsid w:val="00C072A6"/>
    <w:rsid w:val="00C07347"/>
    <w:rsid w:val="00C07389"/>
    <w:rsid w:val="00C0746F"/>
    <w:rsid w:val="00C0747B"/>
    <w:rsid w:val="00C0749B"/>
    <w:rsid w:val="00C074BC"/>
    <w:rsid w:val="00C074DC"/>
    <w:rsid w:val="00C074F2"/>
    <w:rsid w:val="00C07565"/>
    <w:rsid w:val="00C07572"/>
    <w:rsid w:val="00C0766D"/>
    <w:rsid w:val="00C076CD"/>
    <w:rsid w:val="00C07755"/>
    <w:rsid w:val="00C07840"/>
    <w:rsid w:val="00C07895"/>
    <w:rsid w:val="00C07966"/>
    <w:rsid w:val="00C07A9D"/>
    <w:rsid w:val="00C07B62"/>
    <w:rsid w:val="00C07BB1"/>
    <w:rsid w:val="00C07BF5"/>
    <w:rsid w:val="00C07C0A"/>
    <w:rsid w:val="00C07C2C"/>
    <w:rsid w:val="00C07C6E"/>
    <w:rsid w:val="00C07C78"/>
    <w:rsid w:val="00C07C9A"/>
    <w:rsid w:val="00C07CB2"/>
    <w:rsid w:val="00C07D56"/>
    <w:rsid w:val="00C07D64"/>
    <w:rsid w:val="00C07DB9"/>
    <w:rsid w:val="00C07E20"/>
    <w:rsid w:val="00C07E6B"/>
    <w:rsid w:val="00C07ED5"/>
    <w:rsid w:val="00C07EEB"/>
    <w:rsid w:val="00C07F3E"/>
    <w:rsid w:val="00C10008"/>
    <w:rsid w:val="00C10035"/>
    <w:rsid w:val="00C100E7"/>
    <w:rsid w:val="00C10121"/>
    <w:rsid w:val="00C1012D"/>
    <w:rsid w:val="00C101A4"/>
    <w:rsid w:val="00C10247"/>
    <w:rsid w:val="00C102F1"/>
    <w:rsid w:val="00C10303"/>
    <w:rsid w:val="00C1030A"/>
    <w:rsid w:val="00C10326"/>
    <w:rsid w:val="00C10355"/>
    <w:rsid w:val="00C10375"/>
    <w:rsid w:val="00C10423"/>
    <w:rsid w:val="00C10484"/>
    <w:rsid w:val="00C104D1"/>
    <w:rsid w:val="00C1051A"/>
    <w:rsid w:val="00C10541"/>
    <w:rsid w:val="00C10567"/>
    <w:rsid w:val="00C105C2"/>
    <w:rsid w:val="00C1061D"/>
    <w:rsid w:val="00C10669"/>
    <w:rsid w:val="00C1066D"/>
    <w:rsid w:val="00C106A6"/>
    <w:rsid w:val="00C106CF"/>
    <w:rsid w:val="00C106ED"/>
    <w:rsid w:val="00C1087D"/>
    <w:rsid w:val="00C10AAA"/>
    <w:rsid w:val="00C10B0E"/>
    <w:rsid w:val="00C10BC6"/>
    <w:rsid w:val="00C10CF8"/>
    <w:rsid w:val="00C10D18"/>
    <w:rsid w:val="00C10D1B"/>
    <w:rsid w:val="00C10D41"/>
    <w:rsid w:val="00C10D55"/>
    <w:rsid w:val="00C10D97"/>
    <w:rsid w:val="00C10D9D"/>
    <w:rsid w:val="00C10DA7"/>
    <w:rsid w:val="00C10DE0"/>
    <w:rsid w:val="00C10E74"/>
    <w:rsid w:val="00C10E9E"/>
    <w:rsid w:val="00C10ED8"/>
    <w:rsid w:val="00C10F17"/>
    <w:rsid w:val="00C10FDA"/>
    <w:rsid w:val="00C11025"/>
    <w:rsid w:val="00C11094"/>
    <w:rsid w:val="00C110C8"/>
    <w:rsid w:val="00C110FF"/>
    <w:rsid w:val="00C1121F"/>
    <w:rsid w:val="00C1124D"/>
    <w:rsid w:val="00C1137A"/>
    <w:rsid w:val="00C11396"/>
    <w:rsid w:val="00C113CB"/>
    <w:rsid w:val="00C113DE"/>
    <w:rsid w:val="00C11503"/>
    <w:rsid w:val="00C1151A"/>
    <w:rsid w:val="00C11520"/>
    <w:rsid w:val="00C1157A"/>
    <w:rsid w:val="00C11607"/>
    <w:rsid w:val="00C11657"/>
    <w:rsid w:val="00C11674"/>
    <w:rsid w:val="00C1188A"/>
    <w:rsid w:val="00C1196D"/>
    <w:rsid w:val="00C119CE"/>
    <w:rsid w:val="00C11A43"/>
    <w:rsid w:val="00C11AF4"/>
    <w:rsid w:val="00C11AFE"/>
    <w:rsid w:val="00C11B21"/>
    <w:rsid w:val="00C11B31"/>
    <w:rsid w:val="00C11B72"/>
    <w:rsid w:val="00C11B8F"/>
    <w:rsid w:val="00C11BD8"/>
    <w:rsid w:val="00C11BE0"/>
    <w:rsid w:val="00C11C45"/>
    <w:rsid w:val="00C11C53"/>
    <w:rsid w:val="00C11C80"/>
    <w:rsid w:val="00C11CC9"/>
    <w:rsid w:val="00C11D00"/>
    <w:rsid w:val="00C11D09"/>
    <w:rsid w:val="00C11D50"/>
    <w:rsid w:val="00C11D8C"/>
    <w:rsid w:val="00C11DA2"/>
    <w:rsid w:val="00C11DD9"/>
    <w:rsid w:val="00C11DE3"/>
    <w:rsid w:val="00C11E0B"/>
    <w:rsid w:val="00C11E5A"/>
    <w:rsid w:val="00C11E60"/>
    <w:rsid w:val="00C11EBE"/>
    <w:rsid w:val="00C11F49"/>
    <w:rsid w:val="00C1200C"/>
    <w:rsid w:val="00C12026"/>
    <w:rsid w:val="00C12153"/>
    <w:rsid w:val="00C1218F"/>
    <w:rsid w:val="00C1220D"/>
    <w:rsid w:val="00C1224E"/>
    <w:rsid w:val="00C12276"/>
    <w:rsid w:val="00C12306"/>
    <w:rsid w:val="00C12325"/>
    <w:rsid w:val="00C12326"/>
    <w:rsid w:val="00C12332"/>
    <w:rsid w:val="00C123C0"/>
    <w:rsid w:val="00C1247B"/>
    <w:rsid w:val="00C124A1"/>
    <w:rsid w:val="00C124DE"/>
    <w:rsid w:val="00C125EF"/>
    <w:rsid w:val="00C12630"/>
    <w:rsid w:val="00C126B6"/>
    <w:rsid w:val="00C12723"/>
    <w:rsid w:val="00C127D6"/>
    <w:rsid w:val="00C12882"/>
    <w:rsid w:val="00C12888"/>
    <w:rsid w:val="00C128B5"/>
    <w:rsid w:val="00C128FF"/>
    <w:rsid w:val="00C12942"/>
    <w:rsid w:val="00C12A7D"/>
    <w:rsid w:val="00C12A87"/>
    <w:rsid w:val="00C12AA9"/>
    <w:rsid w:val="00C12B81"/>
    <w:rsid w:val="00C12B8D"/>
    <w:rsid w:val="00C12BBF"/>
    <w:rsid w:val="00C12BC0"/>
    <w:rsid w:val="00C12C0D"/>
    <w:rsid w:val="00C12CF5"/>
    <w:rsid w:val="00C12DE9"/>
    <w:rsid w:val="00C12F5F"/>
    <w:rsid w:val="00C12F99"/>
    <w:rsid w:val="00C12FD6"/>
    <w:rsid w:val="00C13064"/>
    <w:rsid w:val="00C1308C"/>
    <w:rsid w:val="00C13097"/>
    <w:rsid w:val="00C130D0"/>
    <w:rsid w:val="00C130E6"/>
    <w:rsid w:val="00C130FB"/>
    <w:rsid w:val="00C13135"/>
    <w:rsid w:val="00C13290"/>
    <w:rsid w:val="00C132AC"/>
    <w:rsid w:val="00C132BC"/>
    <w:rsid w:val="00C132D2"/>
    <w:rsid w:val="00C13412"/>
    <w:rsid w:val="00C13486"/>
    <w:rsid w:val="00C1348A"/>
    <w:rsid w:val="00C1356D"/>
    <w:rsid w:val="00C135C1"/>
    <w:rsid w:val="00C1360C"/>
    <w:rsid w:val="00C13610"/>
    <w:rsid w:val="00C13653"/>
    <w:rsid w:val="00C13731"/>
    <w:rsid w:val="00C13762"/>
    <w:rsid w:val="00C137DB"/>
    <w:rsid w:val="00C1380B"/>
    <w:rsid w:val="00C1389F"/>
    <w:rsid w:val="00C138D4"/>
    <w:rsid w:val="00C1396B"/>
    <w:rsid w:val="00C13A7E"/>
    <w:rsid w:val="00C13AA7"/>
    <w:rsid w:val="00C13AA9"/>
    <w:rsid w:val="00C13B3F"/>
    <w:rsid w:val="00C13BA5"/>
    <w:rsid w:val="00C13BD4"/>
    <w:rsid w:val="00C13BE2"/>
    <w:rsid w:val="00C13BE7"/>
    <w:rsid w:val="00C13C72"/>
    <w:rsid w:val="00C13D04"/>
    <w:rsid w:val="00C13DAB"/>
    <w:rsid w:val="00C13E24"/>
    <w:rsid w:val="00C13E28"/>
    <w:rsid w:val="00C13E2E"/>
    <w:rsid w:val="00C13E6E"/>
    <w:rsid w:val="00C13E94"/>
    <w:rsid w:val="00C13EB5"/>
    <w:rsid w:val="00C13EE6"/>
    <w:rsid w:val="00C13EFA"/>
    <w:rsid w:val="00C13F21"/>
    <w:rsid w:val="00C13F8F"/>
    <w:rsid w:val="00C13FD9"/>
    <w:rsid w:val="00C14026"/>
    <w:rsid w:val="00C140BB"/>
    <w:rsid w:val="00C14133"/>
    <w:rsid w:val="00C14186"/>
    <w:rsid w:val="00C141C8"/>
    <w:rsid w:val="00C141E0"/>
    <w:rsid w:val="00C14217"/>
    <w:rsid w:val="00C14219"/>
    <w:rsid w:val="00C14280"/>
    <w:rsid w:val="00C142B4"/>
    <w:rsid w:val="00C14344"/>
    <w:rsid w:val="00C1437C"/>
    <w:rsid w:val="00C143ED"/>
    <w:rsid w:val="00C14453"/>
    <w:rsid w:val="00C1447B"/>
    <w:rsid w:val="00C144B9"/>
    <w:rsid w:val="00C144D7"/>
    <w:rsid w:val="00C1450B"/>
    <w:rsid w:val="00C14625"/>
    <w:rsid w:val="00C14630"/>
    <w:rsid w:val="00C14682"/>
    <w:rsid w:val="00C146B5"/>
    <w:rsid w:val="00C14721"/>
    <w:rsid w:val="00C1476C"/>
    <w:rsid w:val="00C1478B"/>
    <w:rsid w:val="00C14798"/>
    <w:rsid w:val="00C14860"/>
    <w:rsid w:val="00C14935"/>
    <w:rsid w:val="00C14A29"/>
    <w:rsid w:val="00C14A52"/>
    <w:rsid w:val="00C14AAD"/>
    <w:rsid w:val="00C14AC0"/>
    <w:rsid w:val="00C14ADF"/>
    <w:rsid w:val="00C14AFA"/>
    <w:rsid w:val="00C14B5E"/>
    <w:rsid w:val="00C14BB6"/>
    <w:rsid w:val="00C14C64"/>
    <w:rsid w:val="00C14D63"/>
    <w:rsid w:val="00C14DAA"/>
    <w:rsid w:val="00C14DE8"/>
    <w:rsid w:val="00C1504E"/>
    <w:rsid w:val="00C15060"/>
    <w:rsid w:val="00C1511C"/>
    <w:rsid w:val="00C15181"/>
    <w:rsid w:val="00C15186"/>
    <w:rsid w:val="00C1518E"/>
    <w:rsid w:val="00C15361"/>
    <w:rsid w:val="00C1539F"/>
    <w:rsid w:val="00C153DD"/>
    <w:rsid w:val="00C153E3"/>
    <w:rsid w:val="00C153F1"/>
    <w:rsid w:val="00C15451"/>
    <w:rsid w:val="00C15619"/>
    <w:rsid w:val="00C15742"/>
    <w:rsid w:val="00C1589E"/>
    <w:rsid w:val="00C158AC"/>
    <w:rsid w:val="00C158DC"/>
    <w:rsid w:val="00C15902"/>
    <w:rsid w:val="00C1595C"/>
    <w:rsid w:val="00C15A50"/>
    <w:rsid w:val="00C15AAD"/>
    <w:rsid w:val="00C15C68"/>
    <w:rsid w:val="00C15D4C"/>
    <w:rsid w:val="00C15D60"/>
    <w:rsid w:val="00C15DB3"/>
    <w:rsid w:val="00C15E54"/>
    <w:rsid w:val="00C15E5F"/>
    <w:rsid w:val="00C15EB5"/>
    <w:rsid w:val="00C15F34"/>
    <w:rsid w:val="00C15FB6"/>
    <w:rsid w:val="00C16016"/>
    <w:rsid w:val="00C160C1"/>
    <w:rsid w:val="00C160CE"/>
    <w:rsid w:val="00C16185"/>
    <w:rsid w:val="00C1625F"/>
    <w:rsid w:val="00C163EC"/>
    <w:rsid w:val="00C163F3"/>
    <w:rsid w:val="00C164EC"/>
    <w:rsid w:val="00C1652B"/>
    <w:rsid w:val="00C16637"/>
    <w:rsid w:val="00C16661"/>
    <w:rsid w:val="00C1671F"/>
    <w:rsid w:val="00C16767"/>
    <w:rsid w:val="00C167BA"/>
    <w:rsid w:val="00C1680B"/>
    <w:rsid w:val="00C16813"/>
    <w:rsid w:val="00C168FC"/>
    <w:rsid w:val="00C16973"/>
    <w:rsid w:val="00C16AFA"/>
    <w:rsid w:val="00C16B1C"/>
    <w:rsid w:val="00C16BFF"/>
    <w:rsid w:val="00C16C02"/>
    <w:rsid w:val="00C16C47"/>
    <w:rsid w:val="00C16CD8"/>
    <w:rsid w:val="00C16D2C"/>
    <w:rsid w:val="00C16E19"/>
    <w:rsid w:val="00C16E2A"/>
    <w:rsid w:val="00C16EC8"/>
    <w:rsid w:val="00C16EF3"/>
    <w:rsid w:val="00C16F41"/>
    <w:rsid w:val="00C16FB9"/>
    <w:rsid w:val="00C16FF7"/>
    <w:rsid w:val="00C170A6"/>
    <w:rsid w:val="00C17119"/>
    <w:rsid w:val="00C171AA"/>
    <w:rsid w:val="00C171E1"/>
    <w:rsid w:val="00C1723E"/>
    <w:rsid w:val="00C172E8"/>
    <w:rsid w:val="00C1737E"/>
    <w:rsid w:val="00C173A8"/>
    <w:rsid w:val="00C1742C"/>
    <w:rsid w:val="00C1745E"/>
    <w:rsid w:val="00C174E4"/>
    <w:rsid w:val="00C17530"/>
    <w:rsid w:val="00C175A0"/>
    <w:rsid w:val="00C175FA"/>
    <w:rsid w:val="00C17686"/>
    <w:rsid w:val="00C17724"/>
    <w:rsid w:val="00C1783E"/>
    <w:rsid w:val="00C17869"/>
    <w:rsid w:val="00C1787C"/>
    <w:rsid w:val="00C1790F"/>
    <w:rsid w:val="00C17939"/>
    <w:rsid w:val="00C17940"/>
    <w:rsid w:val="00C17953"/>
    <w:rsid w:val="00C17955"/>
    <w:rsid w:val="00C17969"/>
    <w:rsid w:val="00C17A22"/>
    <w:rsid w:val="00C17AD7"/>
    <w:rsid w:val="00C17AD8"/>
    <w:rsid w:val="00C17B23"/>
    <w:rsid w:val="00C17B8F"/>
    <w:rsid w:val="00C17BC9"/>
    <w:rsid w:val="00C17CBE"/>
    <w:rsid w:val="00C17CEC"/>
    <w:rsid w:val="00C17D3B"/>
    <w:rsid w:val="00C17E97"/>
    <w:rsid w:val="00C20006"/>
    <w:rsid w:val="00C2004F"/>
    <w:rsid w:val="00C20081"/>
    <w:rsid w:val="00C20114"/>
    <w:rsid w:val="00C20148"/>
    <w:rsid w:val="00C20186"/>
    <w:rsid w:val="00C201A7"/>
    <w:rsid w:val="00C20283"/>
    <w:rsid w:val="00C20298"/>
    <w:rsid w:val="00C202A3"/>
    <w:rsid w:val="00C202CE"/>
    <w:rsid w:val="00C20307"/>
    <w:rsid w:val="00C20376"/>
    <w:rsid w:val="00C203D0"/>
    <w:rsid w:val="00C203EB"/>
    <w:rsid w:val="00C2047B"/>
    <w:rsid w:val="00C2047D"/>
    <w:rsid w:val="00C2053A"/>
    <w:rsid w:val="00C20562"/>
    <w:rsid w:val="00C205B1"/>
    <w:rsid w:val="00C205E3"/>
    <w:rsid w:val="00C206C0"/>
    <w:rsid w:val="00C206EC"/>
    <w:rsid w:val="00C206F8"/>
    <w:rsid w:val="00C2074F"/>
    <w:rsid w:val="00C207D8"/>
    <w:rsid w:val="00C207F7"/>
    <w:rsid w:val="00C20877"/>
    <w:rsid w:val="00C208E6"/>
    <w:rsid w:val="00C2090B"/>
    <w:rsid w:val="00C20914"/>
    <w:rsid w:val="00C20920"/>
    <w:rsid w:val="00C20936"/>
    <w:rsid w:val="00C20949"/>
    <w:rsid w:val="00C20983"/>
    <w:rsid w:val="00C209BF"/>
    <w:rsid w:val="00C20A5D"/>
    <w:rsid w:val="00C20A96"/>
    <w:rsid w:val="00C20AC6"/>
    <w:rsid w:val="00C20C6C"/>
    <w:rsid w:val="00C20C70"/>
    <w:rsid w:val="00C20CC2"/>
    <w:rsid w:val="00C20DE4"/>
    <w:rsid w:val="00C20EBF"/>
    <w:rsid w:val="00C20F35"/>
    <w:rsid w:val="00C21025"/>
    <w:rsid w:val="00C2103A"/>
    <w:rsid w:val="00C21064"/>
    <w:rsid w:val="00C2113F"/>
    <w:rsid w:val="00C21206"/>
    <w:rsid w:val="00C21217"/>
    <w:rsid w:val="00C213FD"/>
    <w:rsid w:val="00C214D3"/>
    <w:rsid w:val="00C214DC"/>
    <w:rsid w:val="00C214F8"/>
    <w:rsid w:val="00C21534"/>
    <w:rsid w:val="00C21535"/>
    <w:rsid w:val="00C21572"/>
    <w:rsid w:val="00C215AE"/>
    <w:rsid w:val="00C215B2"/>
    <w:rsid w:val="00C21602"/>
    <w:rsid w:val="00C2161B"/>
    <w:rsid w:val="00C216DB"/>
    <w:rsid w:val="00C217C5"/>
    <w:rsid w:val="00C21844"/>
    <w:rsid w:val="00C21937"/>
    <w:rsid w:val="00C219C1"/>
    <w:rsid w:val="00C21A2B"/>
    <w:rsid w:val="00C21A2C"/>
    <w:rsid w:val="00C21A55"/>
    <w:rsid w:val="00C21A59"/>
    <w:rsid w:val="00C21A8D"/>
    <w:rsid w:val="00C21ABA"/>
    <w:rsid w:val="00C21AE3"/>
    <w:rsid w:val="00C21B42"/>
    <w:rsid w:val="00C21BAD"/>
    <w:rsid w:val="00C21BCC"/>
    <w:rsid w:val="00C21BDC"/>
    <w:rsid w:val="00C21BE1"/>
    <w:rsid w:val="00C21CE9"/>
    <w:rsid w:val="00C21D4B"/>
    <w:rsid w:val="00C21E2E"/>
    <w:rsid w:val="00C21FBD"/>
    <w:rsid w:val="00C22070"/>
    <w:rsid w:val="00C22123"/>
    <w:rsid w:val="00C22134"/>
    <w:rsid w:val="00C22164"/>
    <w:rsid w:val="00C22217"/>
    <w:rsid w:val="00C22230"/>
    <w:rsid w:val="00C22252"/>
    <w:rsid w:val="00C222AC"/>
    <w:rsid w:val="00C222B6"/>
    <w:rsid w:val="00C222DB"/>
    <w:rsid w:val="00C2230F"/>
    <w:rsid w:val="00C2235A"/>
    <w:rsid w:val="00C2236C"/>
    <w:rsid w:val="00C2236F"/>
    <w:rsid w:val="00C223D2"/>
    <w:rsid w:val="00C2243D"/>
    <w:rsid w:val="00C22482"/>
    <w:rsid w:val="00C22492"/>
    <w:rsid w:val="00C224A3"/>
    <w:rsid w:val="00C224E2"/>
    <w:rsid w:val="00C224E4"/>
    <w:rsid w:val="00C22522"/>
    <w:rsid w:val="00C2260E"/>
    <w:rsid w:val="00C22615"/>
    <w:rsid w:val="00C2264D"/>
    <w:rsid w:val="00C226AC"/>
    <w:rsid w:val="00C226AF"/>
    <w:rsid w:val="00C22718"/>
    <w:rsid w:val="00C22785"/>
    <w:rsid w:val="00C2281A"/>
    <w:rsid w:val="00C22826"/>
    <w:rsid w:val="00C22831"/>
    <w:rsid w:val="00C22881"/>
    <w:rsid w:val="00C22931"/>
    <w:rsid w:val="00C22998"/>
    <w:rsid w:val="00C22A17"/>
    <w:rsid w:val="00C22A61"/>
    <w:rsid w:val="00C22A93"/>
    <w:rsid w:val="00C22B3D"/>
    <w:rsid w:val="00C22BA5"/>
    <w:rsid w:val="00C22C6A"/>
    <w:rsid w:val="00C22CAA"/>
    <w:rsid w:val="00C22CF3"/>
    <w:rsid w:val="00C22D1E"/>
    <w:rsid w:val="00C22D54"/>
    <w:rsid w:val="00C22E7D"/>
    <w:rsid w:val="00C22E86"/>
    <w:rsid w:val="00C22EA5"/>
    <w:rsid w:val="00C2303F"/>
    <w:rsid w:val="00C23067"/>
    <w:rsid w:val="00C23074"/>
    <w:rsid w:val="00C230F9"/>
    <w:rsid w:val="00C23122"/>
    <w:rsid w:val="00C23157"/>
    <w:rsid w:val="00C23217"/>
    <w:rsid w:val="00C23220"/>
    <w:rsid w:val="00C23287"/>
    <w:rsid w:val="00C23398"/>
    <w:rsid w:val="00C233D8"/>
    <w:rsid w:val="00C234BD"/>
    <w:rsid w:val="00C234CC"/>
    <w:rsid w:val="00C23512"/>
    <w:rsid w:val="00C23553"/>
    <w:rsid w:val="00C235A2"/>
    <w:rsid w:val="00C235AC"/>
    <w:rsid w:val="00C235C6"/>
    <w:rsid w:val="00C235D2"/>
    <w:rsid w:val="00C235F6"/>
    <w:rsid w:val="00C23650"/>
    <w:rsid w:val="00C23652"/>
    <w:rsid w:val="00C236B5"/>
    <w:rsid w:val="00C2371D"/>
    <w:rsid w:val="00C23774"/>
    <w:rsid w:val="00C2379C"/>
    <w:rsid w:val="00C237C3"/>
    <w:rsid w:val="00C2384D"/>
    <w:rsid w:val="00C23872"/>
    <w:rsid w:val="00C2391F"/>
    <w:rsid w:val="00C2394F"/>
    <w:rsid w:val="00C2396B"/>
    <w:rsid w:val="00C23996"/>
    <w:rsid w:val="00C239FB"/>
    <w:rsid w:val="00C23A09"/>
    <w:rsid w:val="00C23AB0"/>
    <w:rsid w:val="00C23AB5"/>
    <w:rsid w:val="00C23B51"/>
    <w:rsid w:val="00C23BE6"/>
    <w:rsid w:val="00C23C08"/>
    <w:rsid w:val="00C23C85"/>
    <w:rsid w:val="00C23CF1"/>
    <w:rsid w:val="00C23D4F"/>
    <w:rsid w:val="00C23DA3"/>
    <w:rsid w:val="00C23E19"/>
    <w:rsid w:val="00C23E35"/>
    <w:rsid w:val="00C23E36"/>
    <w:rsid w:val="00C23E4D"/>
    <w:rsid w:val="00C23EBA"/>
    <w:rsid w:val="00C23F36"/>
    <w:rsid w:val="00C23F5D"/>
    <w:rsid w:val="00C23F9E"/>
    <w:rsid w:val="00C23FCB"/>
    <w:rsid w:val="00C23FF6"/>
    <w:rsid w:val="00C24023"/>
    <w:rsid w:val="00C240A1"/>
    <w:rsid w:val="00C240A3"/>
    <w:rsid w:val="00C241D1"/>
    <w:rsid w:val="00C24215"/>
    <w:rsid w:val="00C24285"/>
    <w:rsid w:val="00C2430F"/>
    <w:rsid w:val="00C243EA"/>
    <w:rsid w:val="00C24444"/>
    <w:rsid w:val="00C244BE"/>
    <w:rsid w:val="00C24504"/>
    <w:rsid w:val="00C2456F"/>
    <w:rsid w:val="00C245C9"/>
    <w:rsid w:val="00C245D5"/>
    <w:rsid w:val="00C24616"/>
    <w:rsid w:val="00C24622"/>
    <w:rsid w:val="00C24694"/>
    <w:rsid w:val="00C24846"/>
    <w:rsid w:val="00C24866"/>
    <w:rsid w:val="00C248BF"/>
    <w:rsid w:val="00C249D6"/>
    <w:rsid w:val="00C24A47"/>
    <w:rsid w:val="00C24B03"/>
    <w:rsid w:val="00C24B8C"/>
    <w:rsid w:val="00C24B9A"/>
    <w:rsid w:val="00C24CAD"/>
    <w:rsid w:val="00C24DA0"/>
    <w:rsid w:val="00C24DA2"/>
    <w:rsid w:val="00C24DD8"/>
    <w:rsid w:val="00C24E3F"/>
    <w:rsid w:val="00C24F78"/>
    <w:rsid w:val="00C24FB1"/>
    <w:rsid w:val="00C24FDA"/>
    <w:rsid w:val="00C250DA"/>
    <w:rsid w:val="00C251F4"/>
    <w:rsid w:val="00C251F8"/>
    <w:rsid w:val="00C251FD"/>
    <w:rsid w:val="00C252CB"/>
    <w:rsid w:val="00C252E5"/>
    <w:rsid w:val="00C25399"/>
    <w:rsid w:val="00C253FE"/>
    <w:rsid w:val="00C2545D"/>
    <w:rsid w:val="00C25463"/>
    <w:rsid w:val="00C254D4"/>
    <w:rsid w:val="00C254EC"/>
    <w:rsid w:val="00C25582"/>
    <w:rsid w:val="00C25618"/>
    <w:rsid w:val="00C2561E"/>
    <w:rsid w:val="00C25685"/>
    <w:rsid w:val="00C25687"/>
    <w:rsid w:val="00C256B4"/>
    <w:rsid w:val="00C256DA"/>
    <w:rsid w:val="00C2575A"/>
    <w:rsid w:val="00C25776"/>
    <w:rsid w:val="00C25777"/>
    <w:rsid w:val="00C257C4"/>
    <w:rsid w:val="00C257C6"/>
    <w:rsid w:val="00C257FC"/>
    <w:rsid w:val="00C258B1"/>
    <w:rsid w:val="00C258B9"/>
    <w:rsid w:val="00C258C7"/>
    <w:rsid w:val="00C258C8"/>
    <w:rsid w:val="00C25904"/>
    <w:rsid w:val="00C259BA"/>
    <w:rsid w:val="00C259F0"/>
    <w:rsid w:val="00C25A23"/>
    <w:rsid w:val="00C25AA6"/>
    <w:rsid w:val="00C25AB4"/>
    <w:rsid w:val="00C25B6B"/>
    <w:rsid w:val="00C25B8F"/>
    <w:rsid w:val="00C25BC0"/>
    <w:rsid w:val="00C25BDA"/>
    <w:rsid w:val="00C25C2F"/>
    <w:rsid w:val="00C25C3A"/>
    <w:rsid w:val="00C25C5C"/>
    <w:rsid w:val="00C25CA6"/>
    <w:rsid w:val="00C25CD9"/>
    <w:rsid w:val="00C25CE1"/>
    <w:rsid w:val="00C25CF0"/>
    <w:rsid w:val="00C25D2D"/>
    <w:rsid w:val="00C25D2E"/>
    <w:rsid w:val="00C25DF7"/>
    <w:rsid w:val="00C25E01"/>
    <w:rsid w:val="00C25E0C"/>
    <w:rsid w:val="00C25E48"/>
    <w:rsid w:val="00C25EBB"/>
    <w:rsid w:val="00C2603E"/>
    <w:rsid w:val="00C260AC"/>
    <w:rsid w:val="00C260E6"/>
    <w:rsid w:val="00C2613A"/>
    <w:rsid w:val="00C26194"/>
    <w:rsid w:val="00C2619B"/>
    <w:rsid w:val="00C261A0"/>
    <w:rsid w:val="00C261C2"/>
    <w:rsid w:val="00C26229"/>
    <w:rsid w:val="00C2625F"/>
    <w:rsid w:val="00C262EB"/>
    <w:rsid w:val="00C262EF"/>
    <w:rsid w:val="00C26327"/>
    <w:rsid w:val="00C263AB"/>
    <w:rsid w:val="00C2644A"/>
    <w:rsid w:val="00C26452"/>
    <w:rsid w:val="00C265B9"/>
    <w:rsid w:val="00C26652"/>
    <w:rsid w:val="00C2665C"/>
    <w:rsid w:val="00C266B2"/>
    <w:rsid w:val="00C266FA"/>
    <w:rsid w:val="00C26730"/>
    <w:rsid w:val="00C26776"/>
    <w:rsid w:val="00C267D8"/>
    <w:rsid w:val="00C267DA"/>
    <w:rsid w:val="00C267EE"/>
    <w:rsid w:val="00C267FD"/>
    <w:rsid w:val="00C26869"/>
    <w:rsid w:val="00C269B9"/>
    <w:rsid w:val="00C26BC1"/>
    <w:rsid w:val="00C26BF9"/>
    <w:rsid w:val="00C26C26"/>
    <w:rsid w:val="00C26D0D"/>
    <w:rsid w:val="00C26DB2"/>
    <w:rsid w:val="00C26DB3"/>
    <w:rsid w:val="00C26DDF"/>
    <w:rsid w:val="00C26E5B"/>
    <w:rsid w:val="00C26F03"/>
    <w:rsid w:val="00C26F12"/>
    <w:rsid w:val="00C26F6B"/>
    <w:rsid w:val="00C2701F"/>
    <w:rsid w:val="00C2703F"/>
    <w:rsid w:val="00C270CC"/>
    <w:rsid w:val="00C2718A"/>
    <w:rsid w:val="00C271DD"/>
    <w:rsid w:val="00C271E9"/>
    <w:rsid w:val="00C2724A"/>
    <w:rsid w:val="00C272A9"/>
    <w:rsid w:val="00C272F2"/>
    <w:rsid w:val="00C27323"/>
    <w:rsid w:val="00C273B0"/>
    <w:rsid w:val="00C273F1"/>
    <w:rsid w:val="00C2746D"/>
    <w:rsid w:val="00C27484"/>
    <w:rsid w:val="00C274A3"/>
    <w:rsid w:val="00C27506"/>
    <w:rsid w:val="00C275AD"/>
    <w:rsid w:val="00C275EC"/>
    <w:rsid w:val="00C27630"/>
    <w:rsid w:val="00C2769E"/>
    <w:rsid w:val="00C27730"/>
    <w:rsid w:val="00C2774A"/>
    <w:rsid w:val="00C2775B"/>
    <w:rsid w:val="00C2778D"/>
    <w:rsid w:val="00C277BA"/>
    <w:rsid w:val="00C277F9"/>
    <w:rsid w:val="00C27893"/>
    <w:rsid w:val="00C278BC"/>
    <w:rsid w:val="00C278F9"/>
    <w:rsid w:val="00C279DF"/>
    <w:rsid w:val="00C279F5"/>
    <w:rsid w:val="00C27A45"/>
    <w:rsid w:val="00C27B76"/>
    <w:rsid w:val="00C27B79"/>
    <w:rsid w:val="00C27B90"/>
    <w:rsid w:val="00C27BDF"/>
    <w:rsid w:val="00C27D3C"/>
    <w:rsid w:val="00C27D78"/>
    <w:rsid w:val="00C27D94"/>
    <w:rsid w:val="00C27D9F"/>
    <w:rsid w:val="00C27DC6"/>
    <w:rsid w:val="00C27DFD"/>
    <w:rsid w:val="00C27E8B"/>
    <w:rsid w:val="00C27F02"/>
    <w:rsid w:val="00C3001D"/>
    <w:rsid w:val="00C30048"/>
    <w:rsid w:val="00C30051"/>
    <w:rsid w:val="00C30097"/>
    <w:rsid w:val="00C300A7"/>
    <w:rsid w:val="00C300ED"/>
    <w:rsid w:val="00C30160"/>
    <w:rsid w:val="00C30196"/>
    <w:rsid w:val="00C301CA"/>
    <w:rsid w:val="00C301F7"/>
    <w:rsid w:val="00C30281"/>
    <w:rsid w:val="00C302CC"/>
    <w:rsid w:val="00C3043B"/>
    <w:rsid w:val="00C3048E"/>
    <w:rsid w:val="00C305DF"/>
    <w:rsid w:val="00C3068E"/>
    <w:rsid w:val="00C306F5"/>
    <w:rsid w:val="00C307D2"/>
    <w:rsid w:val="00C308D6"/>
    <w:rsid w:val="00C3093F"/>
    <w:rsid w:val="00C3096E"/>
    <w:rsid w:val="00C3099D"/>
    <w:rsid w:val="00C30A67"/>
    <w:rsid w:val="00C30B79"/>
    <w:rsid w:val="00C30B85"/>
    <w:rsid w:val="00C30B90"/>
    <w:rsid w:val="00C30C14"/>
    <w:rsid w:val="00C30C5B"/>
    <w:rsid w:val="00C30D6E"/>
    <w:rsid w:val="00C30D9E"/>
    <w:rsid w:val="00C30DAC"/>
    <w:rsid w:val="00C30DFF"/>
    <w:rsid w:val="00C30E4B"/>
    <w:rsid w:val="00C30F15"/>
    <w:rsid w:val="00C30F6B"/>
    <w:rsid w:val="00C30FF1"/>
    <w:rsid w:val="00C31026"/>
    <w:rsid w:val="00C3106B"/>
    <w:rsid w:val="00C310CB"/>
    <w:rsid w:val="00C31344"/>
    <w:rsid w:val="00C31351"/>
    <w:rsid w:val="00C31388"/>
    <w:rsid w:val="00C313FB"/>
    <w:rsid w:val="00C31478"/>
    <w:rsid w:val="00C314DB"/>
    <w:rsid w:val="00C31582"/>
    <w:rsid w:val="00C315E3"/>
    <w:rsid w:val="00C315E4"/>
    <w:rsid w:val="00C3162B"/>
    <w:rsid w:val="00C3167C"/>
    <w:rsid w:val="00C3168D"/>
    <w:rsid w:val="00C316B8"/>
    <w:rsid w:val="00C316FD"/>
    <w:rsid w:val="00C31828"/>
    <w:rsid w:val="00C3189A"/>
    <w:rsid w:val="00C318F3"/>
    <w:rsid w:val="00C31903"/>
    <w:rsid w:val="00C31911"/>
    <w:rsid w:val="00C31975"/>
    <w:rsid w:val="00C3199F"/>
    <w:rsid w:val="00C319B8"/>
    <w:rsid w:val="00C319BA"/>
    <w:rsid w:val="00C319F5"/>
    <w:rsid w:val="00C31A8E"/>
    <w:rsid w:val="00C31AB8"/>
    <w:rsid w:val="00C31B1D"/>
    <w:rsid w:val="00C31B2E"/>
    <w:rsid w:val="00C31B80"/>
    <w:rsid w:val="00C31BF6"/>
    <w:rsid w:val="00C31BFF"/>
    <w:rsid w:val="00C31C50"/>
    <w:rsid w:val="00C31C52"/>
    <w:rsid w:val="00C31C73"/>
    <w:rsid w:val="00C31D0F"/>
    <w:rsid w:val="00C31D3D"/>
    <w:rsid w:val="00C31D8E"/>
    <w:rsid w:val="00C31DD5"/>
    <w:rsid w:val="00C31E4D"/>
    <w:rsid w:val="00C31E77"/>
    <w:rsid w:val="00C31F21"/>
    <w:rsid w:val="00C31F41"/>
    <w:rsid w:val="00C31F57"/>
    <w:rsid w:val="00C31FC0"/>
    <w:rsid w:val="00C31FDA"/>
    <w:rsid w:val="00C32074"/>
    <w:rsid w:val="00C321CB"/>
    <w:rsid w:val="00C3220C"/>
    <w:rsid w:val="00C32232"/>
    <w:rsid w:val="00C3223E"/>
    <w:rsid w:val="00C32321"/>
    <w:rsid w:val="00C32393"/>
    <w:rsid w:val="00C323A5"/>
    <w:rsid w:val="00C323A7"/>
    <w:rsid w:val="00C323BA"/>
    <w:rsid w:val="00C323BE"/>
    <w:rsid w:val="00C323D8"/>
    <w:rsid w:val="00C323E7"/>
    <w:rsid w:val="00C32418"/>
    <w:rsid w:val="00C3244C"/>
    <w:rsid w:val="00C32457"/>
    <w:rsid w:val="00C32479"/>
    <w:rsid w:val="00C324E3"/>
    <w:rsid w:val="00C324F1"/>
    <w:rsid w:val="00C3269F"/>
    <w:rsid w:val="00C326F7"/>
    <w:rsid w:val="00C32743"/>
    <w:rsid w:val="00C32745"/>
    <w:rsid w:val="00C327D5"/>
    <w:rsid w:val="00C3281B"/>
    <w:rsid w:val="00C32832"/>
    <w:rsid w:val="00C3283B"/>
    <w:rsid w:val="00C3289B"/>
    <w:rsid w:val="00C32982"/>
    <w:rsid w:val="00C32985"/>
    <w:rsid w:val="00C329F0"/>
    <w:rsid w:val="00C329FB"/>
    <w:rsid w:val="00C32A0E"/>
    <w:rsid w:val="00C32A2B"/>
    <w:rsid w:val="00C32A35"/>
    <w:rsid w:val="00C32A62"/>
    <w:rsid w:val="00C32A99"/>
    <w:rsid w:val="00C32ADE"/>
    <w:rsid w:val="00C32AF0"/>
    <w:rsid w:val="00C32AF7"/>
    <w:rsid w:val="00C32C11"/>
    <w:rsid w:val="00C32D16"/>
    <w:rsid w:val="00C32D2B"/>
    <w:rsid w:val="00C32D3D"/>
    <w:rsid w:val="00C32D76"/>
    <w:rsid w:val="00C32D8D"/>
    <w:rsid w:val="00C32E1A"/>
    <w:rsid w:val="00C32E1D"/>
    <w:rsid w:val="00C32E64"/>
    <w:rsid w:val="00C32E9E"/>
    <w:rsid w:val="00C32EB0"/>
    <w:rsid w:val="00C32EC6"/>
    <w:rsid w:val="00C32EE8"/>
    <w:rsid w:val="00C32F55"/>
    <w:rsid w:val="00C32F7F"/>
    <w:rsid w:val="00C32F90"/>
    <w:rsid w:val="00C32F9B"/>
    <w:rsid w:val="00C3302C"/>
    <w:rsid w:val="00C330E3"/>
    <w:rsid w:val="00C330EA"/>
    <w:rsid w:val="00C330F8"/>
    <w:rsid w:val="00C3317F"/>
    <w:rsid w:val="00C331A7"/>
    <w:rsid w:val="00C331AF"/>
    <w:rsid w:val="00C331B6"/>
    <w:rsid w:val="00C3321D"/>
    <w:rsid w:val="00C33260"/>
    <w:rsid w:val="00C332C9"/>
    <w:rsid w:val="00C33300"/>
    <w:rsid w:val="00C33302"/>
    <w:rsid w:val="00C33329"/>
    <w:rsid w:val="00C333AF"/>
    <w:rsid w:val="00C333F8"/>
    <w:rsid w:val="00C3356B"/>
    <w:rsid w:val="00C33591"/>
    <w:rsid w:val="00C33619"/>
    <w:rsid w:val="00C33683"/>
    <w:rsid w:val="00C3373A"/>
    <w:rsid w:val="00C337B3"/>
    <w:rsid w:val="00C337C0"/>
    <w:rsid w:val="00C33883"/>
    <w:rsid w:val="00C3388D"/>
    <w:rsid w:val="00C3388E"/>
    <w:rsid w:val="00C3394B"/>
    <w:rsid w:val="00C3394D"/>
    <w:rsid w:val="00C33974"/>
    <w:rsid w:val="00C33985"/>
    <w:rsid w:val="00C33ABF"/>
    <w:rsid w:val="00C33AEA"/>
    <w:rsid w:val="00C33B77"/>
    <w:rsid w:val="00C33CB9"/>
    <w:rsid w:val="00C33CD6"/>
    <w:rsid w:val="00C33D3D"/>
    <w:rsid w:val="00C33D61"/>
    <w:rsid w:val="00C33D9A"/>
    <w:rsid w:val="00C33DFB"/>
    <w:rsid w:val="00C33E08"/>
    <w:rsid w:val="00C33E14"/>
    <w:rsid w:val="00C33E1A"/>
    <w:rsid w:val="00C33E2C"/>
    <w:rsid w:val="00C33EDB"/>
    <w:rsid w:val="00C33EF1"/>
    <w:rsid w:val="00C33F3F"/>
    <w:rsid w:val="00C33F98"/>
    <w:rsid w:val="00C33FE6"/>
    <w:rsid w:val="00C34079"/>
    <w:rsid w:val="00C34113"/>
    <w:rsid w:val="00C341C2"/>
    <w:rsid w:val="00C34230"/>
    <w:rsid w:val="00C34243"/>
    <w:rsid w:val="00C34276"/>
    <w:rsid w:val="00C34304"/>
    <w:rsid w:val="00C343CB"/>
    <w:rsid w:val="00C343F7"/>
    <w:rsid w:val="00C3445D"/>
    <w:rsid w:val="00C34509"/>
    <w:rsid w:val="00C345B3"/>
    <w:rsid w:val="00C34673"/>
    <w:rsid w:val="00C346BB"/>
    <w:rsid w:val="00C34737"/>
    <w:rsid w:val="00C34747"/>
    <w:rsid w:val="00C347D3"/>
    <w:rsid w:val="00C3481C"/>
    <w:rsid w:val="00C34854"/>
    <w:rsid w:val="00C3496F"/>
    <w:rsid w:val="00C3498A"/>
    <w:rsid w:val="00C34998"/>
    <w:rsid w:val="00C349AE"/>
    <w:rsid w:val="00C349C9"/>
    <w:rsid w:val="00C34C6E"/>
    <w:rsid w:val="00C34CB2"/>
    <w:rsid w:val="00C34CD4"/>
    <w:rsid w:val="00C34D20"/>
    <w:rsid w:val="00C34D35"/>
    <w:rsid w:val="00C34D91"/>
    <w:rsid w:val="00C34DD8"/>
    <w:rsid w:val="00C34DE2"/>
    <w:rsid w:val="00C34E2F"/>
    <w:rsid w:val="00C34E6C"/>
    <w:rsid w:val="00C34E70"/>
    <w:rsid w:val="00C34E78"/>
    <w:rsid w:val="00C34E87"/>
    <w:rsid w:val="00C34EBE"/>
    <w:rsid w:val="00C34EFE"/>
    <w:rsid w:val="00C34F0B"/>
    <w:rsid w:val="00C34F16"/>
    <w:rsid w:val="00C34FC6"/>
    <w:rsid w:val="00C35030"/>
    <w:rsid w:val="00C3509C"/>
    <w:rsid w:val="00C350BE"/>
    <w:rsid w:val="00C350D6"/>
    <w:rsid w:val="00C350E8"/>
    <w:rsid w:val="00C3510A"/>
    <w:rsid w:val="00C3517F"/>
    <w:rsid w:val="00C35289"/>
    <w:rsid w:val="00C352A8"/>
    <w:rsid w:val="00C353DC"/>
    <w:rsid w:val="00C35457"/>
    <w:rsid w:val="00C35466"/>
    <w:rsid w:val="00C35467"/>
    <w:rsid w:val="00C356A0"/>
    <w:rsid w:val="00C356AA"/>
    <w:rsid w:val="00C356BB"/>
    <w:rsid w:val="00C356CF"/>
    <w:rsid w:val="00C35790"/>
    <w:rsid w:val="00C357B2"/>
    <w:rsid w:val="00C357B4"/>
    <w:rsid w:val="00C358F0"/>
    <w:rsid w:val="00C35916"/>
    <w:rsid w:val="00C35949"/>
    <w:rsid w:val="00C3595E"/>
    <w:rsid w:val="00C359A8"/>
    <w:rsid w:val="00C35A10"/>
    <w:rsid w:val="00C35A80"/>
    <w:rsid w:val="00C35AE9"/>
    <w:rsid w:val="00C35D4E"/>
    <w:rsid w:val="00C35D90"/>
    <w:rsid w:val="00C35E46"/>
    <w:rsid w:val="00C35E4A"/>
    <w:rsid w:val="00C35ECB"/>
    <w:rsid w:val="00C35EEC"/>
    <w:rsid w:val="00C35FD0"/>
    <w:rsid w:val="00C360DE"/>
    <w:rsid w:val="00C361CB"/>
    <w:rsid w:val="00C36212"/>
    <w:rsid w:val="00C3622A"/>
    <w:rsid w:val="00C3625E"/>
    <w:rsid w:val="00C3626C"/>
    <w:rsid w:val="00C3629C"/>
    <w:rsid w:val="00C36314"/>
    <w:rsid w:val="00C36338"/>
    <w:rsid w:val="00C363D3"/>
    <w:rsid w:val="00C363DB"/>
    <w:rsid w:val="00C3642C"/>
    <w:rsid w:val="00C364A3"/>
    <w:rsid w:val="00C36516"/>
    <w:rsid w:val="00C36541"/>
    <w:rsid w:val="00C36599"/>
    <w:rsid w:val="00C3659D"/>
    <w:rsid w:val="00C36674"/>
    <w:rsid w:val="00C36745"/>
    <w:rsid w:val="00C3675E"/>
    <w:rsid w:val="00C3676D"/>
    <w:rsid w:val="00C36771"/>
    <w:rsid w:val="00C367B0"/>
    <w:rsid w:val="00C367C2"/>
    <w:rsid w:val="00C367F7"/>
    <w:rsid w:val="00C367FE"/>
    <w:rsid w:val="00C36856"/>
    <w:rsid w:val="00C368B5"/>
    <w:rsid w:val="00C368D1"/>
    <w:rsid w:val="00C3695D"/>
    <w:rsid w:val="00C3699E"/>
    <w:rsid w:val="00C36A21"/>
    <w:rsid w:val="00C36A3D"/>
    <w:rsid w:val="00C36A4C"/>
    <w:rsid w:val="00C36A6A"/>
    <w:rsid w:val="00C36A78"/>
    <w:rsid w:val="00C36A8E"/>
    <w:rsid w:val="00C36A94"/>
    <w:rsid w:val="00C36A98"/>
    <w:rsid w:val="00C36ACF"/>
    <w:rsid w:val="00C36AF7"/>
    <w:rsid w:val="00C36B04"/>
    <w:rsid w:val="00C36BDD"/>
    <w:rsid w:val="00C36BEB"/>
    <w:rsid w:val="00C36C84"/>
    <w:rsid w:val="00C36CFF"/>
    <w:rsid w:val="00C36DA5"/>
    <w:rsid w:val="00C36E94"/>
    <w:rsid w:val="00C36EFC"/>
    <w:rsid w:val="00C36F0E"/>
    <w:rsid w:val="00C36FB3"/>
    <w:rsid w:val="00C37106"/>
    <w:rsid w:val="00C37322"/>
    <w:rsid w:val="00C3742E"/>
    <w:rsid w:val="00C37455"/>
    <w:rsid w:val="00C374E7"/>
    <w:rsid w:val="00C375A5"/>
    <w:rsid w:val="00C375AD"/>
    <w:rsid w:val="00C375D8"/>
    <w:rsid w:val="00C375EC"/>
    <w:rsid w:val="00C3761A"/>
    <w:rsid w:val="00C37670"/>
    <w:rsid w:val="00C376A1"/>
    <w:rsid w:val="00C376D2"/>
    <w:rsid w:val="00C37741"/>
    <w:rsid w:val="00C37771"/>
    <w:rsid w:val="00C377E8"/>
    <w:rsid w:val="00C377EF"/>
    <w:rsid w:val="00C3783C"/>
    <w:rsid w:val="00C37849"/>
    <w:rsid w:val="00C378A2"/>
    <w:rsid w:val="00C378CB"/>
    <w:rsid w:val="00C378CC"/>
    <w:rsid w:val="00C3793E"/>
    <w:rsid w:val="00C3797F"/>
    <w:rsid w:val="00C37AF9"/>
    <w:rsid w:val="00C37B49"/>
    <w:rsid w:val="00C37B87"/>
    <w:rsid w:val="00C37C6D"/>
    <w:rsid w:val="00C37D3B"/>
    <w:rsid w:val="00C37D47"/>
    <w:rsid w:val="00C37DED"/>
    <w:rsid w:val="00C37E25"/>
    <w:rsid w:val="00C37E5F"/>
    <w:rsid w:val="00C37E6B"/>
    <w:rsid w:val="00C37E89"/>
    <w:rsid w:val="00C37EB1"/>
    <w:rsid w:val="00C37F0D"/>
    <w:rsid w:val="00C37F4B"/>
    <w:rsid w:val="00C400B8"/>
    <w:rsid w:val="00C4015B"/>
    <w:rsid w:val="00C40167"/>
    <w:rsid w:val="00C4016E"/>
    <w:rsid w:val="00C401A3"/>
    <w:rsid w:val="00C401D8"/>
    <w:rsid w:val="00C401E1"/>
    <w:rsid w:val="00C4021E"/>
    <w:rsid w:val="00C4024A"/>
    <w:rsid w:val="00C402A4"/>
    <w:rsid w:val="00C403CE"/>
    <w:rsid w:val="00C403EF"/>
    <w:rsid w:val="00C40461"/>
    <w:rsid w:val="00C40464"/>
    <w:rsid w:val="00C4048E"/>
    <w:rsid w:val="00C404A3"/>
    <w:rsid w:val="00C404EF"/>
    <w:rsid w:val="00C40502"/>
    <w:rsid w:val="00C4052B"/>
    <w:rsid w:val="00C40539"/>
    <w:rsid w:val="00C4054D"/>
    <w:rsid w:val="00C40589"/>
    <w:rsid w:val="00C405E3"/>
    <w:rsid w:val="00C405FE"/>
    <w:rsid w:val="00C40610"/>
    <w:rsid w:val="00C4061F"/>
    <w:rsid w:val="00C4064C"/>
    <w:rsid w:val="00C4064D"/>
    <w:rsid w:val="00C40695"/>
    <w:rsid w:val="00C406D2"/>
    <w:rsid w:val="00C406E0"/>
    <w:rsid w:val="00C40769"/>
    <w:rsid w:val="00C407F4"/>
    <w:rsid w:val="00C40804"/>
    <w:rsid w:val="00C408C7"/>
    <w:rsid w:val="00C40905"/>
    <w:rsid w:val="00C4093A"/>
    <w:rsid w:val="00C40943"/>
    <w:rsid w:val="00C4098F"/>
    <w:rsid w:val="00C40A31"/>
    <w:rsid w:val="00C40ACA"/>
    <w:rsid w:val="00C40AD9"/>
    <w:rsid w:val="00C40AEA"/>
    <w:rsid w:val="00C40B06"/>
    <w:rsid w:val="00C40B38"/>
    <w:rsid w:val="00C40C8F"/>
    <w:rsid w:val="00C40CCD"/>
    <w:rsid w:val="00C40D3C"/>
    <w:rsid w:val="00C40DF9"/>
    <w:rsid w:val="00C40EA9"/>
    <w:rsid w:val="00C40EDD"/>
    <w:rsid w:val="00C40F27"/>
    <w:rsid w:val="00C40FD4"/>
    <w:rsid w:val="00C4106C"/>
    <w:rsid w:val="00C41081"/>
    <w:rsid w:val="00C41090"/>
    <w:rsid w:val="00C41122"/>
    <w:rsid w:val="00C411EC"/>
    <w:rsid w:val="00C411F0"/>
    <w:rsid w:val="00C41267"/>
    <w:rsid w:val="00C41286"/>
    <w:rsid w:val="00C41296"/>
    <w:rsid w:val="00C41326"/>
    <w:rsid w:val="00C4132F"/>
    <w:rsid w:val="00C413DE"/>
    <w:rsid w:val="00C41573"/>
    <w:rsid w:val="00C415BD"/>
    <w:rsid w:val="00C41662"/>
    <w:rsid w:val="00C416E5"/>
    <w:rsid w:val="00C41777"/>
    <w:rsid w:val="00C41781"/>
    <w:rsid w:val="00C41798"/>
    <w:rsid w:val="00C4184A"/>
    <w:rsid w:val="00C41852"/>
    <w:rsid w:val="00C4186B"/>
    <w:rsid w:val="00C41872"/>
    <w:rsid w:val="00C4188B"/>
    <w:rsid w:val="00C418B6"/>
    <w:rsid w:val="00C4191D"/>
    <w:rsid w:val="00C41937"/>
    <w:rsid w:val="00C41938"/>
    <w:rsid w:val="00C419C3"/>
    <w:rsid w:val="00C419E3"/>
    <w:rsid w:val="00C41A06"/>
    <w:rsid w:val="00C41A97"/>
    <w:rsid w:val="00C41AFC"/>
    <w:rsid w:val="00C41B2F"/>
    <w:rsid w:val="00C41B7E"/>
    <w:rsid w:val="00C41B93"/>
    <w:rsid w:val="00C41BA6"/>
    <w:rsid w:val="00C41BB4"/>
    <w:rsid w:val="00C41C0B"/>
    <w:rsid w:val="00C41C65"/>
    <w:rsid w:val="00C41D72"/>
    <w:rsid w:val="00C41D9D"/>
    <w:rsid w:val="00C41DCB"/>
    <w:rsid w:val="00C41DD6"/>
    <w:rsid w:val="00C41DF8"/>
    <w:rsid w:val="00C41E3E"/>
    <w:rsid w:val="00C41EC4"/>
    <w:rsid w:val="00C41F4E"/>
    <w:rsid w:val="00C41F78"/>
    <w:rsid w:val="00C41FBA"/>
    <w:rsid w:val="00C4207F"/>
    <w:rsid w:val="00C421DB"/>
    <w:rsid w:val="00C421EF"/>
    <w:rsid w:val="00C4220E"/>
    <w:rsid w:val="00C4223F"/>
    <w:rsid w:val="00C42244"/>
    <w:rsid w:val="00C422FD"/>
    <w:rsid w:val="00C42377"/>
    <w:rsid w:val="00C42400"/>
    <w:rsid w:val="00C42405"/>
    <w:rsid w:val="00C4241E"/>
    <w:rsid w:val="00C4256A"/>
    <w:rsid w:val="00C4262E"/>
    <w:rsid w:val="00C42645"/>
    <w:rsid w:val="00C426C1"/>
    <w:rsid w:val="00C426E7"/>
    <w:rsid w:val="00C42702"/>
    <w:rsid w:val="00C42713"/>
    <w:rsid w:val="00C4273D"/>
    <w:rsid w:val="00C42746"/>
    <w:rsid w:val="00C427C8"/>
    <w:rsid w:val="00C4281A"/>
    <w:rsid w:val="00C42879"/>
    <w:rsid w:val="00C428ED"/>
    <w:rsid w:val="00C4297D"/>
    <w:rsid w:val="00C42A08"/>
    <w:rsid w:val="00C42A12"/>
    <w:rsid w:val="00C42ACD"/>
    <w:rsid w:val="00C42B00"/>
    <w:rsid w:val="00C42C38"/>
    <w:rsid w:val="00C42C67"/>
    <w:rsid w:val="00C42C8B"/>
    <w:rsid w:val="00C42CA7"/>
    <w:rsid w:val="00C42CCE"/>
    <w:rsid w:val="00C42CDE"/>
    <w:rsid w:val="00C42D4D"/>
    <w:rsid w:val="00C42DA0"/>
    <w:rsid w:val="00C42DC7"/>
    <w:rsid w:val="00C42E06"/>
    <w:rsid w:val="00C42EFC"/>
    <w:rsid w:val="00C42F30"/>
    <w:rsid w:val="00C42F75"/>
    <w:rsid w:val="00C42FB2"/>
    <w:rsid w:val="00C4309C"/>
    <w:rsid w:val="00C430A0"/>
    <w:rsid w:val="00C430F9"/>
    <w:rsid w:val="00C43144"/>
    <w:rsid w:val="00C4327D"/>
    <w:rsid w:val="00C4338F"/>
    <w:rsid w:val="00C433AE"/>
    <w:rsid w:val="00C433F1"/>
    <w:rsid w:val="00C434F2"/>
    <w:rsid w:val="00C43519"/>
    <w:rsid w:val="00C435C5"/>
    <w:rsid w:val="00C4364E"/>
    <w:rsid w:val="00C436D2"/>
    <w:rsid w:val="00C436DC"/>
    <w:rsid w:val="00C43736"/>
    <w:rsid w:val="00C437FF"/>
    <w:rsid w:val="00C438E9"/>
    <w:rsid w:val="00C438F3"/>
    <w:rsid w:val="00C43988"/>
    <w:rsid w:val="00C43A39"/>
    <w:rsid w:val="00C43B03"/>
    <w:rsid w:val="00C43BDD"/>
    <w:rsid w:val="00C43C07"/>
    <w:rsid w:val="00C43C47"/>
    <w:rsid w:val="00C43C92"/>
    <w:rsid w:val="00C43CA8"/>
    <w:rsid w:val="00C43D5E"/>
    <w:rsid w:val="00C43DC5"/>
    <w:rsid w:val="00C43EE2"/>
    <w:rsid w:val="00C43F09"/>
    <w:rsid w:val="00C43F28"/>
    <w:rsid w:val="00C43F42"/>
    <w:rsid w:val="00C43F47"/>
    <w:rsid w:val="00C4404F"/>
    <w:rsid w:val="00C44137"/>
    <w:rsid w:val="00C4416B"/>
    <w:rsid w:val="00C441A7"/>
    <w:rsid w:val="00C441D7"/>
    <w:rsid w:val="00C441F1"/>
    <w:rsid w:val="00C442D1"/>
    <w:rsid w:val="00C44308"/>
    <w:rsid w:val="00C4438C"/>
    <w:rsid w:val="00C443F7"/>
    <w:rsid w:val="00C4442F"/>
    <w:rsid w:val="00C4449F"/>
    <w:rsid w:val="00C445C0"/>
    <w:rsid w:val="00C445E5"/>
    <w:rsid w:val="00C44799"/>
    <w:rsid w:val="00C447B5"/>
    <w:rsid w:val="00C44813"/>
    <w:rsid w:val="00C44839"/>
    <w:rsid w:val="00C44860"/>
    <w:rsid w:val="00C448BA"/>
    <w:rsid w:val="00C448FA"/>
    <w:rsid w:val="00C448FB"/>
    <w:rsid w:val="00C448FC"/>
    <w:rsid w:val="00C4492D"/>
    <w:rsid w:val="00C4492E"/>
    <w:rsid w:val="00C4493D"/>
    <w:rsid w:val="00C44944"/>
    <w:rsid w:val="00C44A19"/>
    <w:rsid w:val="00C44A23"/>
    <w:rsid w:val="00C44A43"/>
    <w:rsid w:val="00C44ACB"/>
    <w:rsid w:val="00C44B73"/>
    <w:rsid w:val="00C44B93"/>
    <w:rsid w:val="00C44D35"/>
    <w:rsid w:val="00C44D73"/>
    <w:rsid w:val="00C44D95"/>
    <w:rsid w:val="00C44DD6"/>
    <w:rsid w:val="00C44E0D"/>
    <w:rsid w:val="00C44F95"/>
    <w:rsid w:val="00C44FA8"/>
    <w:rsid w:val="00C44FD2"/>
    <w:rsid w:val="00C44FD7"/>
    <w:rsid w:val="00C44FF6"/>
    <w:rsid w:val="00C45021"/>
    <w:rsid w:val="00C45027"/>
    <w:rsid w:val="00C45049"/>
    <w:rsid w:val="00C4505B"/>
    <w:rsid w:val="00C45170"/>
    <w:rsid w:val="00C451A6"/>
    <w:rsid w:val="00C451C2"/>
    <w:rsid w:val="00C451CE"/>
    <w:rsid w:val="00C451ED"/>
    <w:rsid w:val="00C45220"/>
    <w:rsid w:val="00C452AB"/>
    <w:rsid w:val="00C452DE"/>
    <w:rsid w:val="00C4539E"/>
    <w:rsid w:val="00C453F4"/>
    <w:rsid w:val="00C453F7"/>
    <w:rsid w:val="00C454D0"/>
    <w:rsid w:val="00C454E2"/>
    <w:rsid w:val="00C4562C"/>
    <w:rsid w:val="00C45635"/>
    <w:rsid w:val="00C45654"/>
    <w:rsid w:val="00C45765"/>
    <w:rsid w:val="00C45798"/>
    <w:rsid w:val="00C458B9"/>
    <w:rsid w:val="00C458CC"/>
    <w:rsid w:val="00C458FE"/>
    <w:rsid w:val="00C45A2D"/>
    <w:rsid w:val="00C45AAA"/>
    <w:rsid w:val="00C45AD5"/>
    <w:rsid w:val="00C45B40"/>
    <w:rsid w:val="00C45B42"/>
    <w:rsid w:val="00C45C01"/>
    <w:rsid w:val="00C45D47"/>
    <w:rsid w:val="00C45DCF"/>
    <w:rsid w:val="00C45DF7"/>
    <w:rsid w:val="00C45E70"/>
    <w:rsid w:val="00C45F17"/>
    <w:rsid w:val="00C45F3B"/>
    <w:rsid w:val="00C45F86"/>
    <w:rsid w:val="00C45FED"/>
    <w:rsid w:val="00C45FFC"/>
    <w:rsid w:val="00C46125"/>
    <w:rsid w:val="00C46172"/>
    <w:rsid w:val="00C461D6"/>
    <w:rsid w:val="00C4629A"/>
    <w:rsid w:val="00C462CA"/>
    <w:rsid w:val="00C462F0"/>
    <w:rsid w:val="00C4631C"/>
    <w:rsid w:val="00C46365"/>
    <w:rsid w:val="00C46420"/>
    <w:rsid w:val="00C46566"/>
    <w:rsid w:val="00C4659C"/>
    <w:rsid w:val="00C465A7"/>
    <w:rsid w:val="00C465C2"/>
    <w:rsid w:val="00C465E6"/>
    <w:rsid w:val="00C465ED"/>
    <w:rsid w:val="00C4666F"/>
    <w:rsid w:val="00C466BC"/>
    <w:rsid w:val="00C466C8"/>
    <w:rsid w:val="00C46752"/>
    <w:rsid w:val="00C46806"/>
    <w:rsid w:val="00C46818"/>
    <w:rsid w:val="00C46836"/>
    <w:rsid w:val="00C46844"/>
    <w:rsid w:val="00C468CD"/>
    <w:rsid w:val="00C4698A"/>
    <w:rsid w:val="00C46A3E"/>
    <w:rsid w:val="00C46A5E"/>
    <w:rsid w:val="00C46AD7"/>
    <w:rsid w:val="00C46AE1"/>
    <w:rsid w:val="00C46B48"/>
    <w:rsid w:val="00C46B97"/>
    <w:rsid w:val="00C46C2A"/>
    <w:rsid w:val="00C46C96"/>
    <w:rsid w:val="00C46CA1"/>
    <w:rsid w:val="00C46CCC"/>
    <w:rsid w:val="00C46D55"/>
    <w:rsid w:val="00C46D8B"/>
    <w:rsid w:val="00C46D9E"/>
    <w:rsid w:val="00C46DC3"/>
    <w:rsid w:val="00C46E75"/>
    <w:rsid w:val="00C46EC4"/>
    <w:rsid w:val="00C46ED9"/>
    <w:rsid w:val="00C46F35"/>
    <w:rsid w:val="00C46F78"/>
    <w:rsid w:val="00C46F8B"/>
    <w:rsid w:val="00C470C5"/>
    <w:rsid w:val="00C47123"/>
    <w:rsid w:val="00C47139"/>
    <w:rsid w:val="00C47218"/>
    <w:rsid w:val="00C47254"/>
    <w:rsid w:val="00C47276"/>
    <w:rsid w:val="00C472FB"/>
    <w:rsid w:val="00C47381"/>
    <w:rsid w:val="00C47443"/>
    <w:rsid w:val="00C4745F"/>
    <w:rsid w:val="00C47462"/>
    <w:rsid w:val="00C4747F"/>
    <w:rsid w:val="00C47498"/>
    <w:rsid w:val="00C474DF"/>
    <w:rsid w:val="00C47584"/>
    <w:rsid w:val="00C475D7"/>
    <w:rsid w:val="00C4763F"/>
    <w:rsid w:val="00C47707"/>
    <w:rsid w:val="00C47756"/>
    <w:rsid w:val="00C477AB"/>
    <w:rsid w:val="00C477DA"/>
    <w:rsid w:val="00C47878"/>
    <w:rsid w:val="00C47886"/>
    <w:rsid w:val="00C478CA"/>
    <w:rsid w:val="00C478FA"/>
    <w:rsid w:val="00C47915"/>
    <w:rsid w:val="00C479DB"/>
    <w:rsid w:val="00C47A5F"/>
    <w:rsid w:val="00C47B51"/>
    <w:rsid w:val="00C47C7F"/>
    <w:rsid w:val="00C47C91"/>
    <w:rsid w:val="00C47CD0"/>
    <w:rsid w:val="00C47D01"/>
    <w:rsid w:val="00C47D47"/>
    <w:rsid w:val="00C47E32"/>
    <w:rsid w:val="00C47EC8"/>
    <w:rsid w:val="00C47ED7"/>
    <w:rsid w:val="00C47F67"/>
    <w:rsid w:val="00C47F8F"/>
    <w:rsid w:val="00C47FD6"/>
    <w:rsid w:val="00C5000D"/>
    <w:rsid w:val="00C50020"/>
    <w:rsid w:val="00C5002C"/>
    <w:rsid w:val="00C500DC"/>
    <w:rsid w:val="00C5011C"/>
    <w:rsid w:val="00C50121"/>
    <w:rsid w:val="00C5016E"/>
    <w:rsid w:val="00C502C4"/>
    <w:rsid w:val="00C5036C"/>
    <w:rsid w:val="00C50495"/>
    <w:rsid w:val="00C504D4"/>
    <w:rsid w:val="00C504E1"/>
    <w:rsid w:val="00C50516"/>
    <w:rsid w:val="00C50534"/>
    <w:rsid w:val="00C505CB"/>
    <w:rsid w:val="00C5068A"/>
    <w:rsid w:val="00C5068E"/>
    <w:rsid w:val="00C50696"/>
    <w:rsid w:val="00C506B8"/>
    <w:rsid w:val="00C507F8"/>
    <w:rsid w:val="00C508A0"/>
    <w:rsid w:val="00C50925"/>
    <w:rsid w:val="00C5095B"/>
    <w:rsid w:val="00C509C7"/>
    <w:rsid w:val="00C50A4E"/>
    <w:rsid w:val="00C50A8A"/>
    <w:rsid w:val="00C50A93"/>
    <w:rsid w:val="00C50AC1"/>
    <w:rsid w:val="00C50ADA"/>
    <w:rsid w:val="00C50BD9"/>
    <w:rsid w:val="00C50C32"/>
    <w:rsid w:val="00C50D97"/>
    <w:rsid w:val="00C50D9C"/>
    <w:rsid w:val="00C50DD4"/>
    <w:rsid w:val="00C50E3E"/>
    <w:rsid w:val="00C50E6A"/>
    <w:rsid w:val="00C50E7F"/>
    <w:rsid w:val="00C50EB9"/>
    <w:rsid w:val="00C50ECE"/>
    <w:rsid w:val="00C50EDC"/>
    <w:rsid w:val="00C50F6B"/>
    <w:rsid w:val="00C50F9E"/>
    <w:rsid w:val="00C51042"/>
    <w:rsid w:val="00C5105A"/>
    <w:rsid w:val="00C510D6"/>
    <w:rsid w:val="00C5112E"/>
    <w:rsid w:val="00C51137"/>
    <w:rsid w:val="00C5117E"/>
    <w:rsid w:val="00C51195"/>
    <w:rsid w:val="00C511D8"/>
    <w:rsid w:val="00C511EA"/>
    <w:rsid w:val="00C51247"/>
    <w:rsid w:val="00C51260"/>
    <w:rsid w:val="00C5127A"/>
    <w:rsid w:val="00C51300"/>
    <w:rsid w:val="00C51359"/>
    <w:rsid w:val="00C51387"/>
    <w:rsid w:val="00C513E2"/>
    <w:rsid w:val="00C5143D"/>
    <w:rsid w:val="00C5145E"/>
    <w:rsid w:val="00C514B8"/>
    <w:rsid w:val="00C5152D"/>
    <w:rsid w:val="00C51558"/>
    <w:rsid w:val="00C5159C"/>
    <w:rsid w:val="00C515C8"/>
    <w:rsid w:val="00C515F2"/>
    <w:rsid w:val="00C51613"/>
    <w:rsid w:val="00C51643"/>
    <w:rsid w:val="00C51687"/>
    <w:rsid w:val="00C5169E"/>
    <w:rsid w:val="00C516D9"/>
    <w:rsid w:val="00C51713"/>
    <w:rsid w:val="00C51762"/>
    <w:rsid w:val="00C51779"/>
    <w:rsid w:val="00C51796"/>
    <w:rsid w:val="00C517B2"/>
    <w:rsid w:val="00C51814"/>
    <w:rsid w:val="00C51915"/>
    <w:rsid w:val="00C5192C"/>
    <w:rsid w:val="00C5197D"/>
    <w:rsid w:val="00C51980"/>
    <w:rsid w:val="00C519C4"/>
    <w:rsid w:val="00C519F8"/>
    <w:rsid w:val="00C51A82"/>
    <w:rsid w:val="00C51A91"/>
    <w:rsid w:val="00C51B11"/>
    <w:rsid w:val="00C51B7B"/>
    <w:rsid w:val="00C51B92"/>
    <w:rsid w:val="00C51C6D"/>
    <w:rsid w:val="00C51CD8"/>
    <w:rsid w:val="00C51E20"/>
    <w:rsid w:val="00C51E50"/>
    <w:rsid w:val="00C51F06"/>
    <w:rsid w:val="00C51F43"/>
    <w:rsid w:val="00C51F5B"/>
    <w:rsid w:val="00C520D6"/>
    <w:rsid w:val="00C52150"/>
    <w:rsid w:val="00C52169"/>
    <w:rsid w:val="00C521B7"/>
    <w:rsid w:val="00C521F8"/>
    <w:rsid w:val="00C5221C"/>
    <w:rsid w:val="00C522B9"/>
    <w:rsid w:val="00C522E0"/>
    <w:rsid w:val="00C522F7"/>
    <w:rsid w:val="00C52304"/>
    <w:rsid w:val="00C523A5"/>
    <w:rsid w:val="00C523A9"/>
    <w:rsid w:val="00C52409"/>
    <w:rsid w:val="00C52422"/>
    <w:rsid w:val="00C525CC"/>
    <w:rsid w:val="00C52651"/>
    <w:rsid w:val="00C52669"/>
    <w:rsid w:val="00C526A2"/>
    <w:rsid w:val="00C527C4"/>
    <w:rsid w:val="00C52812"/>
    <w:rsid w:val="00C52880"/>
    <w:rsid w:val="00C5291A"/>
    <w:rsid w:val="00C5292E"/>
    <w:rsid w:val="00C529FC"/>
    <w:rsid w:val="00C52B2F"/>
    <w:rsid w:val="00C52BB3"/>
    <w:rsid w:val="00C52BF6"/>
    <w:rsid w:val="00C52C51"/>
    <w:rsid w:val="00C52CE9"/>
    <w:rsid w:val="00C52DB8"/>
    <w:rsid w:val="00C52E28"/>
    <w:rsid w:val="00C52E6D"/>
    <w:rsid w:val="00C52E80"/>
    <w:rsid w:val="00C52ED5"/>
    <w:rsid w:val="00C52F02"/>
    <w:rsid w:val="00C52F19"/>
    <w:rsid w:val="00C5302C"/>
    <w:rsid w:val="00C530B4"/>
    <w:rsid w:val="00C530CB"/>
    <w:rsid w:val="00C5316A"/>
    <w:rsid w:val="00C531C3"/>
    <w:rsid w:val="00C53253"/>
    <w:rsid w:val="00C53272"/>
    <w:rsid w:val="00C5328A"/>
    <w:rsid w:val="00C532AF"/>
    <w:rsid w:val="00C532D3"/>
    <w:rsid w:val="00C532DC"/>
    <w:rsid w:val="00C5333F"/>
    <w:rsid w:val="00C533EA"/>
    <w:rsid w:val="00C53432"/>
    <w:rsid w:val="00C534FB"/>
    <w:rsid w:val="00C53555"/>
    <w:rsid w:val="00C5358B"/>
    <w:rsid w:val="00C5359D"/>
    <w:rsid w:val="00C535C6"/>
    <w:rsid w:val="00C53607"/>
    <w:rsid w:val="00C53655"/>
    <w:rsid w:val="00C536CA"/>
    <w:rsid w:val="00C53738"/>
    <w:rsid w:val="00C537F7"/>
    <w:rsid w:val="00C53864"/>
    <w:rsid w:val="00C5386A"/>
    <w:rsid w:val="00C53951"/>
    <w:rsid w:val="00C539A6"/>
    <w:rsid w:val="00C539E8"/>
    <w:rsid w:val="00C53A15"/>
    <w:rsid w:val="00C53A16"/>
    <w:rsid w:val="00C53A4A"/>
    <w:rsid w:val="00C53A83"/>
    <w:rsid w:val="00C53ABB"/>
    <w:rsid w:val="00C53B05"/>
    <w:rsid w:val="00C53C36"/>
    <w:rsid w:val="00C53C8E"/>
    <w:rsid w:val="00C53D1C"/>
    <w:rsid w:val="00C53D5D"/>
    <w:rsid w:val="00C53D71"/>
    <w:rsid w:val="00C53D80"/>
    <w:rsid w:val="00C53E52"/>
    <w:rsid w:val="00C53E57"/>
    <w:rsid w:val="00C53E98"/>
    <w:rsid w:val="00C53EB2"/>
    <w:rsid w:val="00C53EB6"/>
    <w:rsid w:val="00C53EC3"/>
    <w:rsid w:val="00C53ED3"/>
    <w:rsid w:val="00C53F42"/>
    <w:rsid w:val="00C53F85"/>
    <w:rsid w:val="00C53FC4"/>
    <w:rsid w:val="00C54049"/>
    <w:rsid w:val="00C54099"/>
    <w:rsid w:val="00C54184"/>
    <w:rsid w:val="00C541A6"/>
    <w:rsid w:val="00C541DA"/>
    <w:rsid w:val="00C541F6"/>
    <w:rsid w:val="00C54261"/>
    <w:rsid w:val="00C542A0"/>
    <w:rsid w:val="00C542BF"/>
    <w:rsid w:val="00C5436F"/>
    <w:rsid w:val="00C543AF"/>
    <w:rsid w:val="00C543F6"/>
    <w:rsid w:val="00C54404"/>
    <w:rsid w:val="00C5442B"/>
    <w:rsid w:val="00C544A1"/>
    <w:rsid w:val="00C54553"/>
    <w:rsid w:val="00C54569"/>
    <w:rsid w:val="00C54635"/>
    <w:rsid w:val="00C54636"/>
    <w:rsid w:val="00C54667"/>
    <w:rsid w:val="00C546B7"/>
    <w:rsid w:val="00C54732"/>
    <w:rsid w:val="00C54738"/>
    <w:rsid w:val="00C547EA"/>
    <w:rsid w:val="00C5483E"/>
    <w:rsid w:val="00C54858"/>
    <w:rsid w:val="00C5485F"/>
    <w:rsid w:val="00C54931"/>
    <w:rsid w:val="00C54A59"/>
    <w:rsid w:val="00C54AEC"/>
    <w:rsid w:val="00C54BE1"/>
    <w:rsid w:val="00C54CE1"/>
    <w:rsid w:val="00C54D57"/>
    <w:rsid w:val="00C54E7A"/>
    <w:rsid w:val="00C54EB8"/>
    <w:rsid w:val="00C54F16"/>
    <w:rsid w:val="00C54F96"/>
    <w:rsid w:val="00C550DC"/>
    <w:rsid w:val="00C550EF"/>
    <w:rsid w:val="00C55120"/>
    <w:rsid w:val="00C551F9"/>
    <w:rsid w:val="00C55247"/>
    <w:rsid w:val="00C55306"/>
    <w:rsid w:val="00C55343"/>
    <w:rsid w:val="00C55350"/>
    <w:rsid w:val="00C55422"/>
    <w:rsid w:val="00C5545B"/>
    <w:rsid w:val="00C55526"/>
    <w:rsid w:val="00C55529"/>
    <w:rsid w:val="00C55546"/>
    <w:rsid w:val="00C55551"/>
    <w:rsid w:val="00C5556A"/>
    <w:rsid w:val="00C555BF"/>
    <w:rsid w:val="00C555C6"/>
    <w:rsid w:val="00C55602"/>
    <w:rsid w:val="00C55634"/>
    <w:rsid w:val="00C55655"/>
    <w:rsid w:val="00C5570B"/>
    <w:rsid w:val="00C55775"/>
    <w:rsid w:val="00C557D8"/>
    <w:rsid w:val="00C557E9"/>
    <w:rsid w:val="00C55825"/>
    <w:rsid w:val="00C5584B"/>
    <w:rsid w:val="00C5585A"/>
    <w:rsid w:val="00C55896"/>
    <w:rsid w:val="00C55965"/>
    <w:rsid w:val="00C55996"/>
    <w:rsid w:val="00C55AF9"/>
    <w:rsid w:val="00C55AFA"/>
    <w:rsid w:val="00C55B86"/>
    <w:rsid w:val="00C55B8D"/>
    <w:rsid w:val="00C55C61"/>
    <w:rsid w:val="00C55C67"/>
    <w:rsid w:val="00C55C83"/>
    <w:rsid w:val="00C55CE4"/>
    <w:rsid w:val="00C55D4E"/>
    <w:rsid w:val="00C55D52"/>
    <w:rsid w:val="00C55D6F"/>
    <w:rsid w:val="00C55EC1"/>
    <w:rsid w:val="00C55F02"/>
    <w:rsid w:val="00C55F60"/>
    <w:rsid w:val="00C55FE4"/>
    <w:rsid w:val="00C56122"/>
    <w:rsid w:val="00C56139"/>
    <w:rsid w:val="00C561B6"/>
    <w:rsid w:val="00C56254"/>
    <w:rsid w:val="00C562F7"/>
    <w:rsid w:val="00C56592"/>
    <w:rsid w:val="00C565D2"/>
    <w:rsid w:val="00C565D3"/>
    <w:rsid w:val="00C565EC"/>
    <w:rsid w:val="00C56642"/>
    <w:rsid w:val="00C566C4"/>
    <w:rsid w:val="00C566DE"/>
    <w:rsid w:val="00C56728"/>
    <w:rsid w:val="00C56790"/>
    <w:rsid w:val="00C567B8"/>
    <w:rsid w:val="00C56822"/>
    <w:rsid w:val="00C568A8"/>
    <w:rsid w:val="00C568DC"/>
    <w:rsid w:val="00C5698C"/>
    <w:rsid w:val="00C569BE"/>
    <w:rsid w:val="00C569D7"/>
    <w:rsid w:val="00C56A23"/>
    <w:rsid w:val="00C56A95"/>
    <w:rsid w:val="00C56AFB"/>
    <w:rsid w:val="00C56AFD"/>
    <w:rsid w:val="00C56B12"/>
    <w:rsid w:val="00C56B86"/>
    <w:rsid w:val="00C56BCD"/>
    <w:rsid w:val="00C56BE0"/>
    <w:rsid w:val="00C56BF8"/>
    <w:rsid w:val="00C56CC6"/>
    <w:rsid w:val="00C56CDF"/>
    <w:rsid w:val="00C56CF9"/>
    <w:rsid w:val="00C56DBE"/>
    <w:rsid w:val="00C56E03"/>
    <w:rsid w:val="00C56E0A"/>
    <w:rsid w:val="00C56EAC"/>
    <w:rsid w:val="00C56EEB"/>
    <w:rsid w:val="00C57028"/>
    <w:rsid w:val="00C57076"/>
    <w:rsid w:val="00C57089"/>
    <w:rsid w:val="00C570C5"/>
    <w:rsid w:val="00C570FF"/>
    <w:rsid w:val="00C5719D"/>
    <w:rsid w:val="00C571B4"/>
    <w:rsid w:val="00C571D4"/>
    <w:rsid w:val="00C571F5"/>
    <w:rsid w:val="00C5721F"/>
    <w:rsid w:val="00C57220"/>
    <w:rsid w:val="00C57248"/>
    <w:rsid w:val="00C5724B"/>
    <w:rsid w:val="00C5728D"/>
    <w:rsid w:val="00C57382"/>
    <w:rsid w:val="00C573B2"/>
    <w:rsid w:val="00C573E3"/>
    <w:rsid w:val="00C57412"/>
    <w:rsid w:val="00C5747B"/>
    <w:rsid w:val="00C574C4"/>
    <w:rsid w:val="00C574D4"/>
    <w:rsid w:val="00C57529"/>
    <w:rsid w:val="00C5758B"/>
    <w:rsid w:val="00C5765B"/>
    <w:rsid w:val="00C576B6"/>
    <w:rsid w:val="00C576BF"/>
    <w:rsid w:val="00C576E0"/>
    <w:rsid w:val="00C576EF"/>
    <w:rsid w:val="00C57717"/>
    <w:rsid w:val="00C57751"/>
    <w:rsid w:val="00C57866"/>
    <w:rsid w:val="00C57975"/>
    <w:rsid w:val="00C57999"/>
    <w:rsid w:val="00C579C0"/>
    <w:rsid w:val="00C57A4F"/>
    <w:rsid w:val="00C57A56"/>
    <w:rsid w:val="00C57A58"/>
    <w:rsid w:val="00C57AF9"/>
    <w:rsid w:val="00C57B10"/>
    <w:rsid w:val="00C57B11"/>
    <w:rsid w:val="00C57B2B"/>
    <w:rsid w:val="00C57B63"/>
    <w:rsid w:val="00C57B69"/>
    <w:rsid w:val="00C57C12"/>
    <w:rsid w:val="00C57C62"/>
    <w:rsid w:val="00C57C90"/>
    <w:rsid w:val="00C57D27"/>
    <w:rsid w:val="00C57D74"/>
    <w:rsid w:val="00C57DDF"/>
    <w:rsid w:val="00C57E80"/>
    <w:rsid w:val="00C57EFF"/>
    <w:rsid w:val="00C57FB3"/>
    <w:rsid w:val="00C57FC6"/>
    <w:rsid w:val="00C60105"/>
    <w:rsid w:val="00C6013E"/>
    <w:rsid w:val="00C60172"/>
    <w:rsid w:val="00C60184"/>
    <w:rsid w:val="00C60191"/>
    <w:rsid w:val="00C60210"/>
    <w:rsid w:val="00C602EF"/>
    <w:rsid w:val="00C60303"/>
    <w:rsid w:val="00C603D9"/>
    <w:rsid w:val="00C60410"/>
    <w:rsid w:val="00C60487"/>
    <w:rsid w:val="00C604FC"/>
    <w:rsid w:val="00C60571"/>
    <w:rsid w:val="00C605DB"/>
    <w:rsid w:val="00C60606"/>
    <w:rsid w:val="00C60625"/>
    <w:rsid w:val="00C60626"/>
    <w:rsid w:val="00C60628"/>
    <w:rsid w:val="00C60744"/>
    <w:rsid w:val="00C6075E"/>
    <w:rsid w:val="00C607CD"/>
    <w:rsid w:val="00C608CF"/>
    <w:rsid w:val="00C609E6"/>
    <w:rsid w:val="00C60A7C"/>
    <w:rsid w:val="00C60AF4"/>
    <w:rsid w:val="00C60B61"/>
    <w:rsid w:val="00C60B75"/>
    <w:rsid w:val="00C60B78"/>
    <w:rsid w:val="00C60BD1"/>
    <w:rsid w:val="00C60C67"/>
    <w:rsid w:val="00C60CC7"/>
    <w:rsid w:val="00C60CCD"/>
    <w:rsid w:val="00C60CE1"/>
    <w:rsid w:val="00C60CE4"/>
    <w:rsid w:val="00C60D12"/>
    <w:rsid w:val="00C60D37"/>
    <w:rsid w:val="00C60E20"/>
    <w:rsid w:val="00C60E79"/>
    <w:rsid w:val="00C60F57"/>
    <w:rsid w:val="00C60F6E"/>
    <w:rsid w:val="00C60FC6"/>
    <w:rsid w:val="00C61002"/>
    <w:rsid w:val="00C61037"/>
    <w:rsid w:val="00C61052"/>
    <w:rsid w:val="00C610A9"/>
    <w:rsid w:val="00C61263"/>
    <w:rsid w:val="00C612E4"/>
    <w:rsid w:val="00C61386"/>
    <w:rsid w:val="00C613D8"/>
    <w:rsid w:val="00C613DD"/>
    <w:rsid w:val="00C61423"/>
    <w:rsid w:val="00C61433"/>
    <w:rsid w:val="00C6146D"/>
    <w:rsid w:val="00C61482"/>
    <w:rsid w:val="00C614A4"/>
    <w:rsid w:val="00C61574"/>
    <w:rsid w:val="00C615F7"/>
    <w:rsid w:val="00C616E0"/>
    <w:rsid w:val="00C616EE"/>
    <w:rsid w:val="00C616F3"/>
    <w:rsid w:val="00C61738"/>
    <w:rsid w:val="00C617D6"/>
    <w:rsid w:val="00C61829"/>
    <w:rsid w:val="00C61830"/>
    <w:rsid w:val="00C61858"/>
    <w:rsid w:val="00C61880"/>
    <w:rsid w:val="00C61888"/>
    <w:rsid w:val="00C618C5"/>
    <w:rsid w:val="00C618F2"/>
    <w:rsid w:val="00C61919"/>
    <w:rsid w:val="00C6196C"/>
    <w:rsid w:val="00C6198A"/>
    <w:rsid w:val="00C61A09"/>
    <w:rsid w:val="00C61A95"/>
    <w:rsid w:val="00C61B2A"/>
    <w:rsid w:val="00C61C26"/>
    <w:rsid w:val="00C61C68"/>
    <w:rsid w:val="00C61D7A"/>
    <w:rsid w:val="00C61D81"/>
    <w:rsid w:val="00C61D9E"/>
    <w:rsid w:val="00C61DB3"/>
    <w:rsid w:val="00C61E5C"/>
    <w:rsid w:val="00C61ED2"/>
    <w:rsid w:val="00C61EE7"/>
    <w:rsid w:val="00C61F68"/>
    <w:rsid w:val="00C61F94"/>
    <w:rsid w:val="00C61FFD"/>
    <w:rsid w:val="00C62039"/>
    <w:rsid w:val="00C6210F"/>
    <w:rsid w:val="00C621FA"/>
    <w:rsid w:val="00C62293"/>
    <w:rsid w:val="00C62341"/>
    <w:rsid w:val="00C623B2"/>
    <w:rsid w:val="00C623DF"/>
    <w:rsid w:val="00C623FD"/>
    <w:rsid w:val="00C6245F"/>
    <w:rsid w:val="00C6247E"/>
    <w:rsid w:val="00C624B9"/>
    <w:rsid w:val="00C624E1"/>
    <w:rsid w:val="00C62507"/>
    <w:rsid w:val="00C62583"/>
    <w:rsid w:val="00C62586"/>
    <w:rsid w:val="00C625BA"/>
    <w:rsid w:val="00C6260F"/>
    <w:rsid w:val="00C6261A"/>
    <w:rsid w:val="00C6262E"/>
    <w:rsid w:val="00C62659"/>
    <w:rsid w:val="00C6269A"/>
    <w:rsid w:val="00C626BD"/>
    <w:rsid w:val="00C626CA"/>
    <w:rsid w:val="00C626E7"/>
    <w:rsid w:val="00C62769"/>
    <w:rsid w:val="00C62818"/>
    <w:rsid w:val="00C628A0"/>
    <w:rsid w:val="00C628C0"/>
    <w:rsid w:val="00C628ED"/>
    <w:rsid w:val="00C628F0"/>
    <w:rsid w:val="00C628FB"/>
    <w:rsid w:val="00C6295A"/>
    <w:rsid w:val="00C629EE"/>
    <w:rsid w:val="00C629F4"/>
    <w:rsid w:val="00C62A99"/>
    <w:rsid w:val="00C62AAD"/>
    <w:rsid w:val="00C62ACD"/>
    <w:rsid w:val="00C62B0B"/>
    <w:rsid w:val="00C62B7E"/>
    <w:rsid w:val="00C62BF7"/>
    <w:rsid w:val="00C62C03"/>
    <w:rsid w:val="00C62C30"/>
    <w:rsid w:val="00C62CF9"/>
    <w:rsid w:val="00C62D14"/>
    <w:rsid w:val="00C62D46"/>
    <w:rsid w:val="00C62D5C"/>
    <w:rsid w:val="00C62D7A"/>
    <w:rsid w:val="00C62DA6"/>
    <w:rsid w:val="00C62E58"/>
    <w:rsid w:val="00C62E5A"/>
    <w:rsid w:val="00C62EA9"/>
    <w:rsid w:val="00C62F2C"/>
    <w:rsid w:val="00C62F4B"/>
    <w:rsid w:val="00C62FAB"/>
    <w:rsid w:val="00C63063"/>
    <w:rsid w:val="00C6306E"/>
    <w:rsid w:val="00C6312D"/>
    <w:rsid w:val="00C6316A"/>
    <w:rsid w:val="00C632ED"/>
    <w:rsid w:val="00C63336"/>
    <w:rsid w:val="00C633ED"/>
    <w:rsid w:val="00C63461"/>
    <w:rsid w:val="00C63485"/>
    <w:rsid w:val="00C6353E"/>
    <w:rsid w:val="00C6358E"/>
    <w:rsid w:val="00C635C4"/>
    <w:rsid w:val="00C635ED"/>
    <w:rsid w:val="00C635F9"/>
    <w:rsid w:val="00C63690"/>
    <w:rsid w:val="00C63711"/>
    <w:rsid w:val="00C637DB"/>
    <w:rsid w:val="00C63814"/>
    <w:rsid w:val="00C63852"/>
    <w:rsid w:val="00C63868"/>
    <w:rsid w:val="00C6386E"/>
    <w:rsid w:val="00C63883"/>
    <w:rsid w:val="00C638AF"/>
    <w:rsid w:val="00C638DE"/>
    <w:rsid w:val="00C63985"/>
    <w:rsid w:val="00C63986"/>
    <w:rsid w:val="00C63987"/>
    <w:rsid w:val="00C639B4"/>
    <w:rsid w:val="00C63B13"/>
    <w:rsid w:val="00C63B1F"/>
    <w:rsid w:val="00C63B31"/>
    <w:rsid w:val="00C63B4F"/>
    <w:rsid w:val="00C63B9A"/>
    <w:rsid w:val="00C63BD3"/>
    <w:rsid w:val="00C63BF7"/>
    <w:rsid w:val="00C63C0D"/>
    <w:rsid w:val="00C63C4E"/>
    <w:rsid w:val="00C63C62"/>
    <w:rsid w:val="00C63C65"/>
    <w:rsid w:val="00C63DAB"/>
    <w:rsid w:val="00C63E0D"/>
    <w:rsid w:val="00C63E31"/>
    <w:rsid w:val="00C63E6A"/>
    <w:rsid w:val="00C63F44"/>
    <w:rsid w:val="00C63FD8"/>
    <w:rsid w:val="00C6406F"/>
    <w:rsid w:val="00C6408B"/>
    <w:rsid w:val="00C6408D"/>
    <w:rsid w:val="00C640CD"/>
    <w:rsid w:val="00C640CF"/>
    <w:rsid w:val="00C6415C"/>
    <w:rsid w:val="00C64183"/>
    <w:rsid w:val="00C642F6"/>
    <w:rsid w:val="00C64308"/>
    <w:rsid w:val="00C64327"/>
    <w:rsid w:val="00C6432A"/>
    <w:rsid w:val="00C64382"/>
    <w:rsid w:val="00C64406"/>
    <w:rsid w:val="00C644BC"/>
    <w:rsid w:val="00C6456C"/>
    <w:rsid w:val="00C64629"/>
    <w:rsid w:val="00C64685"/>
    <w:rsid w:val="00C64702"/>
    <w:rsid w:val="00C647E5"/>
    <w:rsid w:val="00C64867"/>
    <w:rsid w:val="00C64898"/>
    <w:rsid w:val="00C64978"/>
    <w:rsid w:val="00C64A4A"/>
    <w:rsid w:val="00C64A62"/>
    <w:rsid w:val="00C64B0C"/>
    <w:rsid w:val="00C64B27"/>
    <w:rsid w:val="00C64BAC"/>
    <w:rsid w:val="00C64BBF"/>
    <w:rsid w:val="00C64BCC"/>
    <w:rsid w:val="00C64CD1"/>
    <w:rsid w:val="00C64D06"/>
    <w:rsid w:val="00C64D89"/>
    <w:rsid w:val="00C64DCA"/>
    <w:rsid w:val="00C64E38"/>
    <w:rsid w:val="00C64E39"/>
    <w:rsid w:val="00C64E4E"/>
    <w:rsid w:val="00C64F80"/>
    <w:rsid w:val="00C64FA5"/>
    <w:rsid w:val="00C64FE6"/>
    <w:rsid w:val="00C64FF2"/>
    <w:rsid w:val="00C64FF7"/>
    <w:rsid w:val="00C6503B"/>
    <w:rsid w:val="00C6507F"/>
    <w:rsid w:val="00C650B7"/>
    <w:rsid w:val="00C65118"/>
    <w:rsid w:val="00C65191"/>
    <w:rsid w:val="00C65198"/>
    <w:rsid w:val="00C651DF"/>
    <w:rsid w:val="00C651E1"/>
    <w:rsid w:val="00C651FC"/>
    <w:rsid w:val="00C65200"/>
    <w:rsid w:val="00C65273"/>
    <w:rsid w:val="00C65284"/>
    <w:rsid w:val="00C652BB"/>
    <w:rsid w:val="00C6530C"/>
    <w:rsid w:val="00C6539C"/>
    <w:rsid w:val="00C653E2"/>
    <w:rsid w:val="00C6546A"/>
    <w:rsid w:val="00C65474"/>
    <w:rsid w:val="00C65508"/>
    <w:rsid w:val="00C65514"/>
    <w:rsid w:val="00C655CA"/>
    <w:rsid w:val="00C655EC"/>
    <w:rsid w:val="00C6560A"/>
    <w:rsid w:val="00C6565B"/>
    <w:rsid w:val="00C656B8"/>
    <w:rsid w:val="00C656BD"/>
    <w:rsid w:val="00C657E5"/>
    <w:rsid w:val="00C657EE"/>
    <w:rsid w:val="00C6583A"/>
    <w:rsid w:val="00C65859"/>
    <w:rsid w:val="00C6587F"/>
    <w:rsid w:val="00C6588E"/>
    <w:rsid w:val="00C65899"/>
    <w:rsid w:val="00C658B3"/>
    <w:rsid w:val="00C65991"/>
    <w:rsid w:val="00C659D7"/>
    <w:rsid w:val="00C659DF"/>
    <w:rsid w:val="00C65A12"/>
    <w:rsid w:val="00C65A63"/>
    <w:rsid w:val="00C65B21"/>
    <w:rsid w:val="00C65B47"/>
    <w:rsid w:val="00C65C99"/>
    <w:rsid w:val="00C65D60"/>
    <w:rsid w:val="00C65D8B"/>
    <w:rsid w:val="00C65D91"/>
    <w:rsid w:val="00C65E43"/>
    <w:rsid w:val="00C65E92"/>
    <w:rsid w:val="00C65E95"/>
    <w:rsid w:val="00C65EDF"/>
    <w:rsid w:val="00C65F15"/>
    <w:rsid w:val="00C65F94"/>
    <w:rsid w:val="00C66077"/>
    <w:rsid w:val="00C66164"/>
    <w:rsid w:val="00C661B2"/>
    <w:rsid w:val="00C66279"/>
    <w:rsid w:val="00C662A9"/>
    <w:rsid w:val="00C662BC"/>
    <w:rsid w:val="00C6635C"/>
    <w:rsid w:val="00C663AA"/>
    <w:rsid w:val="00C66420"/>
    <w:rsid w:val="00C66480"/>
    <w:rsid w:val="00C66495"/>
    <w:rsid w:val="00C665B6"/>
    <w:rsid w:val="00C665E8"/>
    <w:rsid w:val="00C66627"/>
    <w:rsid w:val="00C66628"/>
    <w:rsid w:val="00C6663F"/>
    <w:rsid w:val="00C66667"/>
    <w:rsid w:val="00C666CB"/>
    <w:rsid w:val="00C6672C"/>
    <w:rsid w:val="00C66739"/>
    <w:rsid w:val="00C667D0"/>
    <w:rsid w:val="00C66867"/>
    <w:rsid w:val="00C6687A"/>
    <w:rsid w:val="00C668AB"/>
    <w:rsid w:val="00C668C5"/>
    <w:rsid w:val="00C668D2"/>
    <w:rsid w:val="00C668DC"/>
    <w:rsid w:val="00C6690E"/>
    <w:rsid w:val="00C66930"/>
    <w:rsid w:val="00C66953"/>
    <w:rsid w:val="00C66974"/>
    <w:rsid w:val="00C6699C"/>
    <w:rsid w:val="00C669EB"/>
    <w:rsid w:val="00C66A7D"/>
    <w:rsid w:val="00C66A85"/>
    <w:rsid w:val="00C66BCB"/>
    <w:rsid w:val="00C66BE5"/>
    <w:rsid w:val="00C66C1A"/>
    <w:rsid w:val="00C66C2A"/>
    <w:rsid w:val="00C66C61"/>
    <w:rsid w:val="00C66CFF"/>
    <w:rsid w:val="00C66D22"/>
    <w:rsid w:val="00C66E21"/>
    <w:rsid w:val="00C66E80"/>
    <w:rsid w:val="00C66F23"/>
    <w:rsid w:val="00C66F75"/>
    <w:rsid w:val="00C66FC5"/>
    <w:rsid w:val="00C67015"/>
    <w:rsid w:val="00C67038"/>
    <w:rsid w:val="00C670C6"/>
    <w:rsid w:val="00C670F9"/>
    <w:rsid w:val="00C67156"/>
    <w:rsid w:val="00C67165"/>
    <w:rsid w:val="00C67248"/>
    <w:rsid w:val="00C6732F"/>
    <w:rsid w:val="00C673BF"/>
    <w:rsid w:val="00C673CD"/>
    <w:rsid w:val="00C67411"/>
    <w:rsid w:val="00C6743E"/>
    <w:rsid w:val="00C6745B"/>
    <w:rsid w:val="00C67464"/>
    <w:rsid w:val="00C6747A"/>
    <w:rsid w:val="00C67489"/>
    <w:rsid w:val="00C6749D"/>
    <w:rsid w:val="00C674AD"/>
    <w:rsid w:val="00C6753F"/>
    <w:rsid w:val="00C675DD"/>
    <w:rsid w:val="00C6764A"/>
    <w:rsid w:val="00C676FC"/>
    <w:rsid w:val="00C6781B"/>
    <w:rsid w:val="00C6781F"/>
    <w:rsid w:val="00C678B8"/>
    <w:rsid w:val="00C67980"/>
    <w:rsid w:val="00C67988"/>
    <w:rsid w:val="00C67991"/>
    <w:rsid w:val="00C679F3"/>
    <w:rsid w:val="00C67A0C"/>
    <w:rsid w:val="00C67A5E"/>
    <w:rsid w:val="00C67A89"/>
    <w:rsid w:val="00C67ABD"/>
    <w:rsid w:val="00C67AD7"/>
    <w:rsid w:val="00C67B05"/>
    <w:rsid w:val="00C67B10"/>
    <w:rsid w:val="00C67B52"/>
    <w:rsid w:val="00C67B89"/>
    <w:rsid w:val="00C67B9F"/>
    <w:rsid w:val="00C67C16"/>
    <w:rsid w:val="00C67C46"/>
    <w:rsid w:val="00C67C5E"/>
    <w:rsid w:val="00C67C62"/>
    <w:rsid w:val="00C67D38"/>
    <w:rsid w:val="00C67DC8"/>
    <w:rsid w:val="00C67DDE"/>
    <w:rsid w:val="00C67DE5"/>
    <w:rsid w:val="00C67E51"/>
    <w:rsid w:val="00C67EE2"/>
    <w:rsid w:val="00C67F06"/>
    <w:rsid w:val="00C67F90"/>
    <w:rsid w:val="00C67FAB"/>
    <w:rsid w:val="00C67FC2"/>
    <w:rsid w:val="00C67FF9"/>
    <w:rsid w:val="00C7005B"/>
    <w:rsid w:val="00C70060"/>
    <w:rsid w:val="00C7008B"/>
    <w:rsid w:val="00C700CA"/>
    <w:rsid w:val="00C7017F"/>
    <w:rsid w:val="00C701D3"/>
    <w:rsid w:val="00C70226"/>
    <w:rsid w:val="00C70344"/>
    <w:rsid w:val="00C70396"/>
    <w:rsid w:val="00C70444"/>
    <w:rsid w:val="00C70485"/>
    <w:rsid w:val="00C7055F"/>
    <w:rsid w:val="00C705B4"/>
    <w:rsid w:val="00C705C9"/>
    <w:rsid w:val="00C70614"/>
    <w:rsid w:val="00C7062C"/>
    <w:rsid w:val="00C706A7"/>
    <w:rsid w:val="00C70910"/>
    <w:rsid w:val="00C70937"/>
    <w:rsid w:val="00C70980"/>
    <w:rsid w:val="00C70A96"/>
    <w:rsid w:val="00C70B1D"/>
    <w:rsid w:val="00C70B47"/>
    <w:rsid w:val="00C70B66"/>
    <w:rsid w:val="00C70BB9"/>
    <w:rsid w:val="00C70BC1"/>
    <w:rsid w:val="00C70BF6"/>
    <w:rsid w:val="00C70C81"/>
    <w:rsid w:val="00C70E1C"/>
    <w:rsid w:val="00C70F28"/>
    <w:rsid w:val="00C70F30"/>
    <w:rsid w:val="00C70F4E"/>
    <w:rsid w:val="00C70F78"/>
    <w:rsid w:val="00C70F86"/>
    <w:rsid w:val="00C71010"/>
    <w:rsid w:val="00C71042"/>
    <w:rsid w:val="00C7105F"/>
    <w:rsid w:val="00C71108"/>
    <w:rsid w:val="00C7119D"/>
    <w:rsid w:val="00C711D6"/>
    <w:rsid w:val="00C71203"/>
    <w:rsid w:val="00C712BD"/>
    <w:rsid w:val="00C712EF"/>
    <w:rsid w:val="00C71363"/>
    <w:rsid w:val="00C71389"/>
    <w:rsid w:val="00C71445"/>
    <w:rsid w:val="00C714C1"/>
    <w:rsid w:val="00C7153B"/>
    <w:rsid w:val="00C71586"/>
    <w:rsid w:val="00C715BD"/>
    <w:rsid w:val="00C7169A"/>
    <w:rsid w:val="00C716C8"/>
    <w:rsid w:val="00C716D5"/>
    <w:rsid w:val="00C71716"/>
    <w:rsid w:val="00C7175E"/>
    <w:rsid w:val="00C71766"/>
    <w:rsid w:val="00C7177F"/>
    <w:rsid w:val="00C717B7"/>
    <w:rsid w:val="00C71852"/>
    <w:rsid w:val="00C71948"/>
    <w:rsid w:val="00C7194A"/>
    <w:rsid w:val="00C71959"/>
    <w:rsid w:val="00C719E0"/>
    <w:rsid w:val="00C719F6"/>
    <w:rsid w:val="00C71B20"/>
    <w:rsid w:val="00C71BA7"/>
    <w:rsid w:val="00C71BEA"/>
    <w:rsid w:val="00C71BEC"/>
    <w:rsid w:val="00C71CC5"/>
    <w:rsid w:val="00C71D0D"/>
    <w:rsid w:val="00C71D20"/>
    <w:rsid w:val="00C71D28"/>
    <w:rsid w:val="00C71D3A"/>
    <w:rsid w:val="00C71D59"/>
    <w:rsid w:val="00C71DDD"/>
    <w:rsid w:val="00C71DE5"/>
    <w:rsid w:val="00C71E4B"/>
    <w:rsid w:val="00C71E5C"/>
    <w:rsid w:val="00C71EB8"/>
    <w:rsid w:val="00C71EE3"/>
    <w:rsid w:val="00C71F69"/>
    <w:rsid w:val="00C71FB4"/>
    <w:rsid w:val="00C71FC7"/>
    <w:rsid w:val="00C71FEB"/>
    <w:rsid w:val="00C72028"/>
    <w:rsid w:val="00C7206E"/>
    <w:rsid w:val="00C7212A"/>
    <w:rsid w:val="00C721EB"/>
    <w:rsid w:val="00C721F9"/>
    <w:rsid w:val="00C72202"/>
    <w:rsid w:val="00C72240"/>
    <w:rsid w:val="00C72281"/>
    <w:rsid w:val="00C7229C"/>
    <w:rsid w:val="00C722C6"/>
    <w:rsid w:val="00C7231C"/>
    <w:rsid w:val="00C72388"/>
    <w:rsid w:val="00C723A3"/>
    <w:rsid w:val="00C723E6"/>
    <w:rsid w:val="00C7242E"/>
    <w:rsid w:val="00C72588"/>
    <w:rsid w:val="00C7258A"/>
    <w:rsid w:val="00C7262D"/>
    <w:rsid w:val="00C726FC"/>
    <w:rsid w:val="00C72702"/>
    <w:rsid w:val="00C7272D"/>
    <w:rsid w:val="00C72799"/>
    <w:rsid w:val="00C727AC"/>
    <w:rsid w:val="00C727FF"/>
    <w:rsid w:val="00C72800"/>
    <w:rsid w:val="00C72814"/>
    <w:rsid w:val="00C72836"/>
    <w:rsid w:val="00C7284D"/>
    <w:rsid w:val="00C728D4"/>
    <w:rsid w:val="00C728EC"/>
    <w:rsid w:val="00C72910"/>
    <w:rsid w:val="00C729D1"/>
    <w:rsid w:val="00C72A1C"/>
    <w:rsid w:val="00C72A30"/>
    <w:rsid w:val="00C72A3E"/>
    <w:rsid w:val="00C72A53"/>
    <w:rsid w:val="00C72A8C"/>
    <w:rsid w:val="00C72AE0"/>
    <w:rsid w:val="00C72B9B"/>
    <w:rsid w:val="00C72BDA"/>
    <w:rsid w:val="00C72BF5"/>
    <w:rsid w:val="00C72C0B"/>
    <w:rsid w:val="00C72C14"/>
    <w:rsid w:val="00C72C77"/>
    <w:rsid w:val="00C72C86"/>
    <w:rsid w:val="00C72CA3"/>
    <w:rsid w:val="00C72CCF"/>
    <w:rsid w:val="00C72CE3"/>
    <w:rsid w:val="00C72DA0"/>
    <w:rsid w:val="00C72E02"/>
    <w:rsid w:val="00C72E24"/>
    <w:rsid w:val="00C72E29"/>
    <w:rsid w:val="00C72E2D"/>
    <w:rsid w:val="00C72E48"/>
    <w:rsid w:val="00C72E61"/>
    <w:rsid w:val="00C73014"/>
    <w:rsid w:val="00C7305E"/>
    <w:rsid w:val="00C730C3"/>
    <w:rsid w:val="00C730C9"/>
    <w:rsid w:val="00C730D1"/>
    <w:rsid w:val="00C730F0"/>
    <w:rsid w:val="00C7312D"/>
    <w:rsid w:val="00C73170"/>
    <w:rsid w:val="00C731AD"/>
    <w:rsid w:val="00C7321D"/>
    <w:rsid w:val="00C732AB"/>
    <w:rsid w:val="00C732DE"/>
    <w:rsid w:val="00C732ED"/>
    <w:rsid w:val="00C73352"/>
    <w:rsid w:val="00C73388"/>
    <w:rsid w:val="00C733E3"/>
    <w:rsid w:val="00C734A9"/>
    <w:rsid w:val="00C73510"/>
    <w:rsid w:val="00C735D1"/>
    <w:rsid w:val="00C73658"/>
    <w:rsid w:val="00C736E2"/>
    <w:rsid w:val="00C73719"/>
    <w:rsid w:val="00C73765"/>
    <w:rsid w:val="00C737A1"/>
    <w:rsid w:val="00C73811"/>
    <w:rsid w:val="00C7382E"/>
    <w:rsid w:val="00C73886"/>
    <w:rsid w:val="00C738FC"/>
    <w:rsid w:val="00C7394A"/>
    <w:rsid w:val="00C73A47"/>
    <w:rsid w:val="00C73A50"/>
    <w:rsid w:val="00C73A65"/>
    <w:rsid w:val="00C73AD4"/>
    <w:rsid w:val="00C73AEE"/>
    <w:rsid w:val="00C73AFB"/>
    <w:rsid w:val="00C73D28"/>
    <w:rsid w:val="00C73D63"/>
    <w:rsid w:val="00C73D7B"/>
    <w:rsid w:val="00C73D84"/>
    <w:rsid w:val="00C73E40"/>
    <w:rsid w:val="00C73EAA"/>
    <w:rsid w:val="00C73EEC"/>
    <w:rsid w:val="00C73F17"/>
    <w:rsid w:val="00C73F2E"/>
    <w:rsid w:val="00C73FE4"/>
    <w:rsid w:val="00C7408B"/>
    <w:rsid w:val="00C74151"/>
    <w:rsid w:val="00C7419C"/>
    <w:rsid w:val="00C741B7"/>
    <w:rsid w:val="00C74239"/>
    <w:rsid w:val="00C742CC"/>
    <w:rsid w:val="00C743B3"/>
    <w:rsid w:val="00C743EB"/>
    <w:rsid w:val="00C74472"/>
    <w:rsid w:val="00C74481"/>
    <w:rsid w:val="00C744B3"/>
    <w:rsid w:val="00C744DD"/>
    <w:rsid w:val="00C7452C"/>
    <w:rsid w:val="00C74543"/>
    <w:rsid w:val="00C745F6"/>
    <w:rsid w:val="00C746C7"/>
    <w:rsid w:val="00C747A4"/>
    <w:rsid w:val="00C748C3"/>
    <w:rsid w:val="00C748E0"/>
    <w:rsid w:val="00C74964"/>
    <w:rsid w:val="00C7497A"/>
    <w:rsid w:val="00C749E3"/>
    <w:rsid w:val="00C74A1C"/>
    <w:rsid w:val="00C74A64"/>
    <w:rsid w:val="00C74B55"/>
    <w:rsid w:val="00C74BB7"/>
    <w:rsid w:val="00C74CA0"/>
    <w:rsid w:val="00C74D1B"/>
    <w:rsid w:val="00C74E45"/>
    <w:rsid w:val="00C74E61"/>
    <w:rsid w:val="00C74E9A"/>
    <w:rsid w:val="00C74E9B"/>
    <w:rsid w:val="00C74EAA"/>
    <w:rsid w:val="00C74EED"/>
    <w:rsid w:val="00C74EF3"/>
    <w:rsid w:val="00C74EF9"/>
    <w:rsid w:val="00C74F8F"/>
    <w:rsid w:val="00C74FDB"/>
    <w:rsid w:val="00C74FE2"/>
    <w:rsid w:val="00C750A3"/>
    <w:rsid w:val="00C750EA"/>
    <w:rsid w:val="00C75105"/>
    <w:rsid w:val="00C75109"/>
    <w:rsid w:val="00C75166"/>
    <w:rsid w:val="00C7519A"/>
    <w:rsid w:val="00C752D8"/>
    <w:rsid w:val="00C75303"/>
    <w:rsid w:val="00C75312"/>
    <w:rsid w:val="00C75505"/>
    <w:rsid w:val="00C75565"/>
    <w:rsid w:val="00C7556C"/>
    <w:rsid w:val="00C75587"/>
    <w:rsid w:val="00C755F7"/>
    <w:rsid w:val="00C75646"/>
    <w:rsid w:val="00C7567C"/>
    <w:rsid w:val="00C756B9"/>
    <w:rsid w:val="00C756CA"/>
    <w:rsid w:val="00C756F0"/>
    <w:rsid w:val="00C7571E"/>
    <w:rsid w:val="00C7575A"/>
    <w:rsid w:val="00C75829"/>
    <w:rsid w:val="00C75833"/>
    <w:rsid w:val="00C7584F"/>
    <w:rsid w:val="00C75862"/>
    <w:rsid w:val="00C758C7"/>
    <w:rsid w:val="00C758FE"/>
    <w:rsid w:val="00C75987"/>
    <w:rsid w:val="00C759E7"/>
    <w:rsid w:val="00C759F7"/>
    <w:rsid w:val="00C75A69"/>
    <w:rsid w:val="00C75A98"/>
    <w:rsid w:val="00C75ABB"/>
    <w:rsid w:val="00C75AEC"/>
    <w:rsid w:val="00C75B2A"/>
    <w:rsid w:val="00C75BB3"/>
    <w:rsid w:val="00C75BBB"/>
    <w:rsid w:val="00C75C16"/>
    <w:rsid w:val="00C75C1C"/>
    <w:rsid w:val="00C75C79"/>
    <w:rsid w:val="00C75C8D"/>
    <w:rsid w:val="00C75CCF"/>
    <w:rsid w:val="00C75CDC"/>
    <w:rsid w:val="00C75CDE"/>
    <w:rsid w:val="00C75D40"/>
    <w:rsid w:val="00C75D81"/>
    <w:rsid w:val="00C75DE9"/>
    <w:rsid w:val="00C75DF7"/>
    <w:rsid w:val="00C75E38"/>
    <w:rsid w:val="00C75E87"/>
    <w:rsid w:val="00C75ECB"/>
    <w:rsid w:val="00C75F15"/>
    <w:rsid w:val="00C75F33"/>
    <w:rsid w:val="00C75F52"/>
    <w:rsid w:val="00C75F91"/>
    <w:rsid w:val="00C75FCD"/>
    <w:rsid w:val="00C76029"/>
    <w:rsid w:val="00C76106"/>
    <w:rsid w:val="00C7614E"/>
    <w:rsid w:val="00C7618A"/>
    <w:rsid w:val="00C761F3"/>
    <w:rsid w:val="00C76233"/>
    <w:rsid w:val="00C762E4"/>
    <w:rsid w:val="00C76344"/>
    <w:rsid w:val="00C76355"/>
    <w:rsid w:val="00C763B2"/>
    <w:rsid w:val="00C763F1"/>
    <w:rsid w:val="00C763FA"/>
    <w:rsid w:val="00C76418"/>
    <w:rsid w:val="00C76460"/>
    <w:rsid w:val="00C76568"/>
    <w:rsid w:val="00C7656C"/>
    <w:rsid w:val="00C765FF"/>
    <w:rsid w:val="00C76634"/>
    <w:rsid w:val="00C76649"/>
    <w:rsid w:val="00C76665"/>
    <w:rsid w:val="00C76716"/>
    <w:rsid w:val="00C7688F"/>
    <w:rsid w:val="00C768BF"/>
    <w:rsid w:val="00C768F4"/>
    <w:rsid w:val="00C768FB"/>
    <w:rsid w:val="00C76905"/>
    <w:rsid w:val="00C769E6"/>
    <w:rsid w:val="00C76A37"/>
    <w:rsid w:val="00C76A82"/>
    <w:rsid w:val="00C76B26"/>
    <w:rsid w:val="00C76B7F"/>
    <w:rsid w:val="00C76BAC"/>
    <w:rsid w:val="00C76BC4"/>
    <w:rsid w:val="00C76C8F"/>
    <w:rsid w:val="00C76CB1"/>
    <w:rsid w:val="00C76D95"/>
    <w:rsid w:val="00C76E11"/>
    <w:rsid w:val="00C76E1E"/>
    <w:rsid w:val="00C76E21"/>
    <w:rsid w:val="00C76E8F"/>
    <w:rsid w:val="00C76F3D"/>
    <w:rsid w:val="00C76F92"/>
    <w:rsid w:val="00C76F9C"/>
    <w:rsid w:val="00C76FC0"/>
    <w:rsid w:val="00C76FFC"/>
    <w:rsid w:val="00C77017"/>
    <w:rsid w:val="00C7708D"/>
    <w:rsid w:val="00C7712E"/>
    <w:rsid w:val="00C77189"/>
    <w:rsid w:val="00C77194"/>
    <w:rsid w:val="00C772A0"/>
    <w:rsid w:val="00C772AA"/>
    <w:rsid w:val="00C772D1"/>
    <w:rsid w:val="00C77332"/>
    <w:rsid w:val="00C77357"/>
    <w:rsid w:val="00C7743D"/>
    <w:rsid w:val="00C7746F"/>
    <w:rsid w:val="00C774AD"/>
    <w:rsid w:val="00C7756E"/>
    <w:rsid w:val="00C77577"/>
    <w:rsid w:val="00C77615"/>
    <w:rsid w:val="00C776A0"/>
    <w:rsid w:val="00C776DD"/>
    <w:rsid w:val="00C7778C"/>
    <w:rsid w:val="00C77846"/>
    <w:rsid w:val="00C7799D"/>
    <w:rsid w:val="00C779D1"/>
    <w:rsid w:val="00C77A40"/>
    <w:rsid w:val="00C77A46"/>
    <w:rsid w:val="00C77C7C"/>
    <w:rsid w:val="00C77CCA"/>
    <w:rsid w:val="00C77D16"/>
    <w:rsid w:val="00C77D32"/>
    <w:rsid w:val="00C77D3B"/>
    <w:rsid w:val="00C77DE4"/>
    <w:rsid w:val="00C77DF8"/>
    <w:rsid w:val="00C77E08"/>
    <w:rsid w:val="00C77E13"/>
    <w:rsid w:val="00C77E6A"/>
    <w:rsid w:val="00C77E6E"/>
    <w:rsid w:val="00C77EA2"/>
    <w:rsid w:val="00C77F7C"/>
    <w:rsid w:val="00C77FD7"/>
    <w:rsid w:val="00C77FE5"/>
    <w:rsid w:val="00C8000B"/>
    <w:rsid w:val="00C80046"/>
    <w:rsid w:val="00C80068"/>
    <w:rsid w:val="00C800B5"/>
    <w:rsid w:val="00C801B6"/>
    <w:rsid w:val="00C8024E"/>
    <w:rsid w:val="00C8027C"/>
    <w:rsid w:val="00C803E9"/>
    <w:rsid w:val="00C80402"/>
    <w:rsid w:val="00C80447"/>
    <w:rsid w:val="00C80450"/>
    <w:rsid w:val="00C80457"/>
    <w:rsid w:val="00C80488"/>
    <w:rsid w:val="00C80499"/>
    <w:rsid w:val="00C8057F"/>
    <w:rsid w:val="00C80595"/>
    <w:rsid w:val="00C805C8"/>
    <w:rsid w:val="00C805E4"/>
    <w:rsid w:val="00C805EA"/>
    <w:rsid w:val="00C8063E"/>
    <w:rsid w:val="00C8067B"/>
    <w:rsid w:val="00C807BE"/>
    <w:rsid w:val="00C808A7"/>
    <w:rsid w:val="00C808E3"/>
    <w:rsid w:val="00C8092D"/>
    <w:rsid w:val="00C80962"/>
    <w:rsid w:val="00C809A3"/>
    <w:rsid w:val="00C809CC"/>
    <w:rsid w:val="00C80A4D"/>
    <w:rsid w:val="00C80B34"/>
    <w:rsid w:val="00C80B37"/>
    <w:rsid w:val="00C80BCD"/>
    <w:rsid w:val="00C80BF7"/>
    <w:rsid w:val="00C80C14"/>
    <w:rsid w:val="00C80C3E"/>
    <w:rsid w:val="00C80D99"/>
    <w:rsid w:val="00C80E34"/>
    <w:rsid w:val="00C80E45"/>
    <w:rsid w:val="00C80E87"/>
    <w:rsid w:val="00C80E94"/>
    <w:rsid w:val="00C80F05"/>
    <w:rsid w:val="00C80F37"/>
    <w:rsid w:val="00C80F7F"/>
    <w:rsid w:val="00C80FC4"/>
    <w:rsid w:val="00C80FC9"/>
    <w:rsid w:val="00C80FFE"/>
    <w:rsid w:val="00C81020"/>
    <w:rsid w:val="00C81077"/>
    <w:rsid w:val="00C810B9"/>
    <w:rsid w:val="00C81196"/>
    <w:rsid w:val="00C81213"/>
    <w:rsid w:val="00C814B7"/>
    <w:rsid w:val="00C8150D"/>
    <w:rsid w:val="00C81523"/>
    <w:rsid w:val="00C81525"/>
    <w:rsid w:val="00C8157D"/>
    <w:rsid w:val="00C815BD"/>
    <w:rsid w:val="00C815E0"/>
    <w:rsid w:val="00C815E7"/>
    <w:rsid w:val="00C815E8"/>
    <w:rsid w:val="00C81633"/>
    <w:rsid w:val="00C816B0"/>
    <w:rsid w:val="00C816B4"/>
    <w:rsid w:val="00C81726"/>
    <w:rsid w:val="00C817CC"/>
    <w:rsid w:val="00C81817"/>
    <w:rsid w:val="00C81880"/>
    <w:rsid w:val="00C81950"/>
    <w:rsid w:val="00C81978"/>
    <w:rsid w:val="00C819C7"/>
    <w:rsid w:val="00C819D4"/>
    <w:rsid w:val="00C81AC2"/>
    <w:rsid w:val="00C81B3A"/>
    <w:rsid w:val="00C81B42"/>
    <w:rsid w:val="00C81BC8"/>
    <w:rsid w:val="00C81BCA"/>
    <w:rsid w:val="00C81CFD"/>
    <w:rsid w:val="00C81D68"/>
    <w:rsid w:val="00C81D75"/>
    <w:rsid w:val="00C81D89"/>
    <w:rsid w:val="00C81DBB"/>
    <w:rsid w:val="00C81E5E"/>
    <w:rsid w:val="00C81E9A"/>
    <w:rsid w:val="00C81EEC"/>
    <w:rsid w:val="00C81F51"/>
    <w:rsid w:val="00C81F6F"/>
    <w:rsid w:val="00C81F80"/>
    <w:rsid w:val="00C81FB8"/>
    <w:rsid w:val="00C8202B"/>
    <w:rsid w:val="00C8203D"/>
    <w:rsid w:val="00C82045"/>
    <w:rsid w:val="00C8208F"/>
    <w:rsid w:val="00C82099"/>
    <w:rsid w:val="00C820AA"/>
    <w:rsid w:val="00C820B7"/>
    <w:rsid w:val="00C82193"/>
    <w:rsid w:val="00C821BF"/>
    <w:rsid w:val="00C821C2"/>
    <w:rsid w:val="00C8225D"/>
    <w:rsid w:val="00C8226B"/>
    <w:rsid w:val="00C8227D"/>
    <w:rsid w:val="00C822B4"/>
    <w:rsid w:val="00C822EF"/>
    <w:rsid w:val="00C82384"/>
    <w:rsid w:val="00C82397"/>
    <w:rsid w:val="00C8243A"/>
    <w:rsid w:val="00C82478"/>
    <w:rsid w:val="00C82493"/>
    <w:rsid w:val="00C824EC"/>
    <w:rsid w:val="00C82536"/>
    <w:rsid w:val="00C825F0"/>
    <w:rsid w:val="00C82649"/>
    <w:rsid w:val="00C826CF"/>
    <w:rsid w:val="00C827D8"/>
    <w:rsid w:val="00C827F3"/>
    <w:rsid w:val="00C8287E"/>
    <w:rsid w:val="00C828DD"/>
    <w:rsid w:val="00C82906"/>
    <w:rsid w:val="00C82917"/>
    <w:rsid w:val="00C82A5C"/>
    <w:rsid w:val="00C82A7E"/>
    <w:rsid w:val="00C82B9C"/>
    <w:rsid w:val="00C82BD8"/>
    <w:rsid w:val="00C82C0A"/>
    <w:rsid w:val="00C82C2D"/>
    <w:rsid w:val="00C82C31"/>
    <w:rsid w:val="00C82C37"/>
    <w:rsid w:val="00C82C53"/>
    <w:rsid w:val="00C82CAB"/>
    <w:rsid w:val="00C82CC4"/>
    <w:rsid w:val="00C82CE2"/>
    <w:rsid w:val="00C82D11"/>
    <w:rsid w:val="00C82D4C"/>
    <w:rsid w:val="00C82DD3"/>
    <w:rsid w:val="00C82E24"/>
    <w:rsid w:val="00C82E55"/>
    <w:rsid w:val="00C82E73"/>
    <w:rsid w:val="00C82E9E"/>
    <w:rsid w:val="00C82EEF"/>
    <w:rsid w:val="00C82EFE"/>
    <w:rsid w:val="00C82F92"/>
    <w:rsid w:val="00C82FE0"/>
    <w:rsid w:val="00C83056"/>
    <w:rsid w:val="00C8307E"/>
    <w:rsid w:val="00C83230"/>
    <w:rsid w:val="00C83251"/>
    <w:rsid w:val="00C83292"/>
    <w:rsid w:val="00C83307"/>
    <w:rsid w:val="00C83340"/>
    <w:rsid w:val="00C83369"/>
    <w:rsid w:val="00C83392"/>
    <w:rsid w:val="00C834CD"/>
    <w:rsid w:val="00C83532"/>
    <w:rsid w:val="00C835AA"/>
    <w:rsid w:val="00C835B3"/>
    <w:rsid w:val="00C835C3"/>
    <w:rsid w:val="00C83837"/>
    <w:rsid w:val="00C8393A"/>
    <w:rsid w:val="00C839B8"/>
    <w:rsid w:val="00C839E6"/>
    <w:rsid w:val="00C83A07"/>
    <w:rsid w:val="00C83C8D"/>
    <w:rsid w:val="00C83DD0"/>
    <w:rsid w:val="00C83E29"/>
    <w:rsid w:val="00C83E43"/>
    <w:rsid w:val="00C83E65"/>
    <w:rsid w:val="00C83EA4"/>
    <w:rsid w:val="00C83F0E"/>
    <w:rsid w:val="00C83F4A"/>
    <w:rsid w:val="00C8402D"/>
    <w:rsid w:val="00C8409B"/>
    <w:rsid w:val="00C840A0"/>
    <w:rsid w:val="00C840BE"/>
    <w:rsid w:val="00C840D0"/>
    <w:rsid w:val="00C84115"/>
    <w:rsid w:val="00C841CD"/>
    <w:rsid w:val="00C8425E"/>
    <w:rsid w:val="00C84320"/>
    <w:rsid w:val="00C84325"/>
    <w:rsid w:val="00C84328"/>
    <w:rsid w:val="00C84355"/>
    <w:rsid w:val="00C843A6"/>
    <w:rsid w:val="00C843B1"/>
    <w:rsid w:val="00C843CA"/>
    <w:rsid w:val="00C84400"/>
    <w:rsid w:val="00C844A3"/>
    <w:rsid w:val="00C84524"/>
    <w:rsid w:val="00C84542"/>
    <w:rsid w:val="00C84548"/>
    <w:rsid w:val="00C84655"/>
    <w:rsid w:val="00C84677"/>
    <w:rsid w:val="00C84678"/>
    <w:rsid w:val="00C846C2"/>
    <w:rsid w:val="00C846E5"/>
    <w:rsid w:val="00C846F1"/>
    <w:rsid w:val="00C8471C"/>
    <w:rsid w:val="00C847F5"/>
    <w:rsid w:val="00C84802"/>
    <w:rsid w:val="00C84804"/>
    <w:rsid w:val="00C84853"/>
    <w:rsid w:val="00C84976"/>
    <w:rsid w:val="00C849D5"/>
    <w:rsid w:val="00C84A55"/>
    <w:rsid w:val="00C84A9A"/>
    <w:rsid w:val="00C84C2F"/>
    <w:rsid w:val="00C84C4F"/>
    <w:rsid w:val="00C84CDD"/>
    <w:rsid w:val="00C84D0E"/>
    <w:rsid w:val="00C84D27"/>
    <w:rsid w:val="00C84D2E"/>
    <w:rsid w:val="00C84D33"/>
    <w:rsid w:val="00C84D60"/>
    <w:rsid w:val="00C84D6E"/>
    <w:rsid w:val="00C84D7B"/>
    <w:rsid w:val="00C84EFE"/>
    <w:rsid w:val="00C84F00"/>
    <w:rsid w:val="00C84F40"/>
    <w:rsid w:val="00C84FB9"/>
    <w:rsid w:val="00C85020"/>
    <w:rsid w:val="00C851B6"/>
    <w:rsid w:val="00C851BA"/>
    <w:rsid w:val="00C85231"/>
    <w:rsid w:val="00C8531D"/>
    <w:rsid w:val="00C85339"/>
    <w:rsid w:val="00C85350"/>
    <w:rsid w:val="00C853D8"/>
    <w:rsid w:val="00C85430"/>
    <w:rsid w:val="00C85460"/>
    <w:rsid w:val="00C8547C"/>
    <w:rsid w:val="00C854C8"/>
    <w:rsid w:val="00C854C9"/>
    <w:rsid w:val="00C855FC"/>
    <w:rsid w:val="00C85602"/>
    <w:rsid w:val="00C85692"/>
    <w:rsid w:val="00C856FF"/>
    <w:rsid w:val="00C85708"/>
    <w:rsid w:val="00C85772"/>
    <w:rsid w:val="00C8583D"/>
    <w:rsid w:val="00C858E8"/>
    <w:rsid w:val="00C85907"/>
    <w:rsid w:val="00C85939"/>
    <w:rsid w:val="00C8595F"/>
    <w:rsid w:val="00C859D2"/>
    <w:rsid w:val="00C85A47"/>
    <w:rsid w:val="00C85A9A"/>
    <w:rsid w:val="00C85AE4"/>
    <w:rsid w:val="00C85B66"/>
    <w:rsid w:val="00C85B73"/>
    <w:rsid w:val="00C85B76"/>
    <w:rsid w:val="00C85C31"/>
    <w:rsid w:val="00C85C67"/>
    <w:rsid w:val="00C85CA1"/>
    <w:rsid w:val="00C85CBB"/>
    <w:rsid w:val="00C85CC3"/>
    <w:rsid w:val="00C85CE9"/>
    <w:rsid w:val="00C85E46"/>
    <w:rsid w:val="00C85E6B"/>
    <w:rsid w:val="00C85EC9"/>
    <w:rsid w:val="00C85EFF"/>
    <w:rsid w:val="00C85F00"/>
    <w:rsid w:val="00C85F37"/>
    <w:rsid w:val="00C85F5E"/>
    <w:rsid w:val="00C85FBD"/>
    <w:rsid w:val="00C8604D"/>
    <w:rsid w:val="00C860B6"/>
    <w:rsid w:val="00C860D7"/>
    <w:rsid w:val="00C86239"/>
    <w:rsid w:val="00C8636F"/>
    <w:rsid w:val="00C863CE"/>
    <w:rsid w:val="00C8640C"/>
    <w:rsid w:val="00C865C7"/>
    <w:rsid w:val="00C865D2"/>
    <w:rsid w:val="00C86633"/>
    <w:rsid w:val="00C86648"/>
    <w:rsid w:val="00C86711"/>
    <w:rsid w:val="00C86733"/>
    <w:rsid w:val="00C868CC"/>
    <w:rsid w:val="00C86AAF"/>
    <w:rsid w:val="00C86AC9"/>
    <w:rsid w:val="00C86B11"/>
    <w:rsid w:val="00C86CE2"/>
    <w:rsid w:val="00C86D8B"/>
    <w:rsid w:val="00C86F8B"/>
    <w:rsid w:val="00C86F8D"/>
    <w:rsid w:val="00C86FE9"/>
    <w:rsid w:val="00C86FF5"/>
    <w:rsid w:val="00C8709D"/>
    <w:rsid w:val="00C870B7"/>
    <w:rsid w:val="00C870DF"/>
    <w:rsid w:val="00C87108"/>
    <w:rsid w:val="00C87139"/>
    <w:rsid w:val="00C8722A"/>
    <w:rsid w:val="00C872B1"/>
    <w:rsid w:val="00C8738F"/>
    <w:rsid w:val="00C87404"/>
    <w:rsid w:val="00C87441"/>
    <w:rsid w:val="00C87446"/>
    <w:rsid w:val="00C874D1"/>
    <w:rsid w:val="00C8753B"/>
    <w:rsid w:val="00C87543"/>
    <w:rsid w:val="00C875DF"/>
    <w:rsid w:val="00C8782C"/>
    <w:rsid w:val="00C87895"/>
    <w:rsid w:val="00C878AB"/>
    <w:rsid w:val="00C878EA"/>
    <w:rsid w:val="00C87990"/>
    <w:rsid w:val="00C8799F"/>
    <w:rsid w:val="00C879A5"/>
    <w:rsid w:val="00C879C4"/>
    <w:rsid w:val="00C87A9D"/>
    <w:rsid w:val="00C87A9F"/>
    <w:rsid w:val="00C87B0A"/>
    <w:rsid w:val="00C87B0B"/>
    <w:rsid w:val="00C87BE2"/>
    <w:rsid w:val="00C87BE5"/>
    <w:rsid w:val="00C87BF3"/>
    <w:rsid w:val="00C87C73"/>
    <w:rsid w:val="00C87CB8"/>
    <w:rsid w:val="00C87CBB"/>
    <w:rsid w:val="00C87CCE"/>
    <w:rsid w:val="00C87D06"/>
    <w:rsid w:val="00C87D21"/>
    <w:rsid w:val="00C87ED7"/>
    <w:rsid w:val="00C87F24"/>
    <w:rsid w:val="00C87F57"/>
    <w:rsid w:val="00C87FDD"/>
    <w:rsid w:val="00C87FFD"/>
    <w:rsid w:val="00C900AB"/>
    <w:rsid w:val="00C900B8"/>
    <w:rsid w:val="00C900C3"/>
    <w:rsid w:val="00C9017D"/>
    <w:rsid w:val="00C901C5"/>
    <w:rsid w:val="00C9020B"/>
    <w:rsid w:val="00C902FC"/>
    <w:rsid w:val="00C9033B"/>
    <w:rsid w:val="00C90378"/>
    <w:rsid w:val="00C9038A"/>
    <w:rsid w:val="00C9046D"/>
    <w:rsid w:val="00C9054B"/>
    <w:rsid w:val="00C90551"/>
    <w:rsid w:val="00C90616"/>
    <w:rsid w:val="00C90617"/>
    <w:rsid w:val="00C90652"/>
    <w:rsid w:val="00C906CC"/>
    <w:rsid w:val="00C906CF"/>
    <w:rsid w:val="00C90797"/>
    <w:rsid w:val="00C907A1"/>
    <w:rsid w:val="00C90848"/>
    <w:rsid w:val="00C9085D"/>
    <w:rsid w:val="00C908FA"/>
    <w:rsid w:val="00C909AC"/>
    <w:rsid w:val="00C909B2"/>
    <w:rsid w:val="00C90A14"/>
    <w:rsid w:val="00C90BAD"/>
    <w:rsid w:val="00C90BE9"/>
    <w:rsid w:val="00C90C70"/>
    <w:rsid w:val="00C90CC5"/>
    <w:rsid w:val="00C90CF9"/>
    <w:rsid w:val="00C90D02"/>
    <w:rsid w:val="00C90DA2"/>
    <w:rsid w:val="00C90DE7"/>
    <w:rsid w:val="00C90DF6"/>
    <w:rsid w:val="00C90E73"/>
    <w:rsid w:val="00C90E9B"/>
    <w:rsid w:val="00C90EC3"/>
    <w:rsid w:val="00C90FEA"/>
    <w:rsid w:val="00C910E4"/>
    <w:rsid w:val="00C9111F"/>
    <w:rsid w:val="00C9116F"/>
    <w:rsid w:val="00C9121A"/>
    <w:rsid w:val="00C91230"/>
    <w:rsid w:val="00C912E4"/>
    <w:rsid w:val="00C91307"/>
    <w:rsid w:val="00C913C8"/>
    <w:rsid w:val="00C9141E"/>
    <w:rsid w:val="00C91454"/>
    <w:rsid w:val="00C9145B"/>
    <w:rsid w:val="00C914A2"/>
    <w:rsid w:val="00C91573"/>
    <w:rsid w:val="00C91575"/>
    <w:rsid w:val="00C915CB"/>
    <w:rsid w:val="00C91663"/>
    <w:rsid w:val="00C9179B"/>
    <w:rsid w:val="00C91877"/>
    <w:rsid w:val="00C918A0"/>
    <w:rsid w:val="00C918DD"/>
    <w:rsid w:val="00C91A9C"/>
    <w:rsid w:val="00C91BBE"/>
    <w:rsid w:val="00C91C65"/>
    <w:rsid w:val="00C91CFA"/>
    <w:rsid w:val="00C91D0E"/>
    <w:rsid w:val="00C91D28"/>
    <w:rsid w:val="00C91D6C"/>
    <w:rsid w:val="00C91E41"/>
    <w:rsid w:val="00C91E45"/>
    <w:rsid w:val="00C91E50"/>
    <w:rsid w:val="00C91E9D"/>
    <w:rsid w:val="00C91EA4"/>
    <w:rsid w:val="00C91EB0"/>
    <w:rsid w:val="00C91F0F"/>
    <w:rsid w:val="00C91F66"/>
    <w:rsid w:val="00C91FD4"/>
    <w:rsid w:val="00C92005"/>
    <w:rsid w:val="00C920BE"/>
    <w:rsid w:val="00C920C7"/>
    <w:rsid w:val="00C920E2"/>
    <w:rsid w:val="00C92101"/>
    <w:rsid w:val="00C92171"/>
    <w:rsid w:val="00C921AA"/>
    <w:rsid w:val="00C921B2"/>
    <w:rsid w:val="00C922E0"/>
    <w:rsid w:val="00C92337"/>
    <w:rsid w:val="00C92435"/>
    <w:rsid w:val="00C924F1"/>
    <w:rsid w:val="00C9253E"/>
    <w:rsid w:val="00C92540"/>
    <w:rsid w:val="00C925EA"/>
    <w:rsid w:val="00C92602"/>
    <w:rsid w:val="00C92665"/>
    <w:rsid w:val="00C92693"/>
    <w:rsid w:val="00C92777"/>
    <w:rsid w:val="00C927EA"/>
    <w:rsid w:val="00C928EA"/>
    <w:rsid w:val="00C929D2"/>
    <w:rsid w:val="00C92B01"/>
    <w:rsid w:val="00C92B65"/>
    <w:rsid w:val="00C92BF0"/>
    <w:rsid w:val="00C92C24"/>
    <w:rsid w:val="00C92CD3"/>
    <w:rsid w:val="00C92DF5"/>
    <w:rsid w:val="00C92EEE"/>
    <w:rsid w:val="00C92F2D"/>
    <w:rsid w:val="00C92FD6"/>
    <w:rsid w:val="00C93075"/>
    <w:rsid w:val="00C930CC"/>
    <w:rsid w:val="00C930CF"/>
    <w:rsid w:val="00C930D6"/>
    <w:rsid w:val="00C930DE"/>
    <w:rsid w:val="00C932B9"/>
    <w:rsid w:val="00C932BC"/>
    <w:rsid w:val="00C93329"/>
    <w:rsid w:val="00C9339D"/>
    <w:rsid w:val="00C9349D"/>
    <w:rsid w:val="00C9375A"/>
    <w:rsid w:val="00C9383A"/>
    <w:rsid w:val="00C93890"/>
    <w:rsid w:val="00C93902"/>
    <w:rsid w:val="00C9391F"/>
    <w:rsid w:val="00C93920"/>
    <w:rsid w:val="00C93965"/>
    <w:rsid w:val="00C93A10"/>
    <w:rsid w:val="00C93A8A"/>
    <w:rsid w:val="00C93B0D"/>
    <w:rsid w:val="00C93B7F"/>
    <w:rsid w:val="00C93BE9"/>
    <w:rsid w:val="00C93C78"/>
    <w:rsid w:val="00C93D6B"/>
    <w:rsid w:val="00C93D93"/>
    <w:rsid w:val="00C93F13"/>
    <w:rsid w:val="00C93F20"/>
    <w:rsid w:val="00C93F67"/>
    <w:rsid w:val="00C93FD5"/>
    <w:rsid w:val="00C94093"/>
    <w:rsid w:val="00C940F1"/>
    <w:rsid w:val="00C9415E"/>
    <w:rsid w:val="00C9417A"/>
    <w:rsid w:val="00C941A2"/>
    <w:rsid w:val="00C941C0"/>
    <w:rsid w:val="00C941E3"/>
    <w:rsid w:val="00C9425F"/>
    <w:rsid w:val="00C943E3"/>
    <w:rsid w:val="00C94440"/>
    <w:rsid w:val="00C9449B"/>
    <w:rsid w:val="00C94522"/>
    <w:rsid w:val="00C94536"/>
    <w:rsid w:val="00C94556"/>
    <w:rsid w:val="00C9457F"/>
    <w:rsid w:val="00C945C8"/>
    <w:rsid w:val="00C945F9"/>
    <w:rsid w:val="00C94652"/>
    <w:rsid w:val="00C946F8"/>
    <w:rsid w:val="00C94749"/>
    <w:rsid w:val="00C94789"/>
    <w:rsid w:val="00C947D1"/>
    <w:rsid w:val="00C94862"/>
    <w:rsid w:val="00C94864"/>
    <w:rsid w:val="00C948AA"/>
    <w:rsid w:val="00C94907"/>
    <w:rsid w:val="00C949AE"/>
    <w:rsid w:val="00C94A8E"/>
    <w:rsid w:val="00C94ACC"/>
    <w:rsid w:val="00C94AE9"/>
    <w:rsid w:val="00C94B49"/>
    <w:rsid w:val="00C94B69"/>
    <w:rsid w:val="00C94BF8"/>
    <w:rsid w:val="00C94C2C"/>
    <w:rsid w:val="00C94C39"/>
    <w:rsid w:val="00C94C3B"/>
    <w:rsid w:val="00C94C8C"/>
    <w:rsid w:val="00C94CF0"/>
    <w:rsid w:val="00C94D18"/>
    <w:rsid w:val="00C94DDB"/>
    <w:rsid w:val="00C94E9B"/>
    <w:rsid w:val="00C94F2F"/>
    <w:rsid w:val="00C94F41"/>
    <w:rsid w:val="00C94FA0"/>
    <w:rsid w:val="00C94FA7"/>
    <w:rsid w:val="00C9506D"/>
    <w:rsid w:val="00C95096"/>
    <w:rsid w:val="00C950FF"/>
    <w:rsid w:val="00C95166"/>
    <w:rsid w:val="00C951AD"/>
    <w:rsid w:val="00C951DB"/>
    <w:rsid w:val="00C9538C"/>
    <w:rsid w:val="00C953C5"/>
    <w:rsid w:val="00C953C8"/>
    <w:rsid w:val="00C9540A"/>
    <w:rsid w:val="00C95417"/>
    <w:rsid w:val="00C9544C"/>
    <w:rsid w:val="00C9549E"/>
    <w:rsid w:val="00C95562"/>
    <w:rsid w:val="00C95610"/>
    <w:rsid w:val="00C956B4"/>
    <w:rsid w:val="00C95759"/>
    <w:rsid w:val="00C9577D"/>
    <w:rsid w:val="00C95803"/>
    <w:rsid w:val="00C95863"/>
    <w:rsid w:val="00C958BF"/>
    <w:rsid w:val="00C958DE"/>
    <w:rsid w:val="00C95A38"/>
    <w:rsid w:val="00C95B95"/>
    <w:rsid w:val="00C95BA6"/>
    <w:rsid w:val="00C95BBA"/>
    <w:rsid w:val="00C95C2A"/>
    <w:rsid w:val="00C95C3B"/>
    <w:rsid w:val="00C95C5C"/>
    <w:rsid w:val="00C95DA3"/>
    <w:rsid w:val="00C95DA8"/>
    <w:rsid w:val="00C95DAE"/>
    <w:rsid w:val="00C95DCF"/>
    <w:rsid w:val="00C95E75"/>
    <w:rsid w:val="00C95EF6"/>
    <w:rsid w:val="00C95F4E"/>
    <w:rsid w:val="00C95F68"/>
    <w:rsid w:val="00C960FE"/>
    <w:rsid w:val="00C961F3"/>
    <w:rsid w:val="00C96257"/>
    <w:rsid w:val="00C9641A"/>
    <w:rsid w:val="00C9642C"/>
    <w:rsid w:val="00C96525"/>
    <w:rsid w:val="00C965D2"/>
    <w:rsid w:val="00C96602"/>
    <w:rsid w:val="00C96623"/>
    <w:rsid w:val="00C96684"/>
    <w:rsid w:val="00C9675D"/>
    <w:rsid w:val="00C967CF"/>
    <w:rsid w:val="00C967E8"/>
    <w:rsid w:val="00C967F9"/>
    <w:rsid w:val="00C968A7"/>
    <w:rsid w:val="00C96A19"/>
    <w:rsid w:val="00C96ADE"/>
    <w:rsid w:val="00C96B1E"/>
    <w:rsid w:val="00C96B2F"/>
    <w:rsid w:val="00C96B34"/>
    <w:rsid w:val="00C96BB0"/>
    <w:rsid w:val="00C96CB0"/>
    <w:rsid w:val="00C96D05"/>
    <w:rsid w:val="00C96D0F"/>
    <w:rsid w:val="00C96D25"/>
    <w:rsid w:val="00C96D61"/>
    <w:rsid w:val="00C96D8C"/>
    <w:rsid w:val="00C96D93"/>
    <w:rsid w:val="00C96DBA"/>
    <w:rsid w:val="00C96DC2"/>
    <w:rsid w:val="00C96DD5"/>
    <w:rsid w:val="00C96E47"/>
    <w:rsid w:val="00C96E56"/>
    <w:rsid w:val="00C96E8E"/>
    <w:rsid w:val="00C96EA0"/>
    <w:rsid w:val="00C96EB5"/>
    <w:rsid w:val="00C96ECA"/>
    <w:rsid w:val="00C96F17"/>
    <w:rsid w:val="00C96F22"/>
    <w:rsid w:val="00C96F5A"/>
    <w:rsid w:val="00C96F9D"/>
    <w:rsid w:val="00C96FA6"/>
    <w:rsid w:val="00C96FEE"/>
    <w:rsid w:val="00C970B5"/>
    <w:rsid w:val="00C9718A"/>
    <w:rsid w:val="00C971DD"/>
    <w:rsid w:val="00C971EE"/>
    <w:rsid w:val="00C97213"/>
    <w:rsid w:val="00C9727B"/>
    <w:rsid w:val="00C973B8"/>
    <w:rsid w:val="00C97412"/>
    <w:rsid w:val="00C9745A"/>
    <w:rsid w:val="00C97462"/>
    <w:rsid w:val="00C97482"/>
    <w:rsid w:val="00C97505"/>
    <w:rsid w:val="00C9756B"/>
    <w:rsid w:val="00C9761C"/>
    <w:rsid w:val="00C97622"/>
    <w:rsid w:val="00C97625"/>
    <w:rsid w:val="00C9767E"/>
    <w:rsid w:val="00C976FD"/>
    <w:rsid w:val="00C9775A"/>
    <w:rsid w:val="00C97766"/>
    <w:rsid w:val="00C97897"/>
    <w:rsid w:val="00C978F8"/>
    <w:rsid w:val="00C979EF"/>
    <w:rsid w:val="00C97A8F"/>
    <w:rsid w:val="00C97B5C"/>
    <w:rsid w:val="00C97B6B"/>
    <w:rsid w:val="00C97BA2"/>
    <w:rsid w:val="00C97BE5"/>
    <w:rsid w:val="00C97BED"/>
    <w:rsid w:val="00C97C1E"/>
    <w:rsid w:val="00C97C2F"/>
    <w:rsid w:val="00C97C48"/>
    <w:rsid w:val="00C97C4A"/>
    <w:rsid w:val="00C97C55"/>
    <w:rsid w:val="00C97D9D"/>
    <w:rsid w:val="00C97DAF"/>
    <w:rsid w:val="00C97DE0"/>
    <w:rsid w:val="00C97E4F"/>
    <w:rsid w:val="00C97E7D"/>
    <w:rsid w:val="00C97ED3"/>
    <w:rsid w:val="00C97F57"/>
    <w:rsid w:val="00C97F64"/>
    <w:rsid w:val="00C97FB1"/>
    <w:rsid w:val="00C97FDF"/>
    <w:rsid w:val="00C9A388"/>
    <w:rsid w:val="00CA0034"/>
    <w:rsid w:val="00CA0049"/>
    <w:rsid w:val="00CA0054"/>
    <w:rsid w:val="00CA0057"/>
    <w:rsid w:val="00CA00B8"/>
    <w:rsid w:val="00CA0132"/>
    <w:rsid w:val="00CA0162"/>
    <w:rsid w:val="00CA0210"/>
    <w:rsid w:val="00CA032C"/>
    <w:rsid w:val="00CA0357"/>
    <w:rsid w:val="00CA0361"/>
    <w:rsid w:val="00CA0482"/>
    <w:rsid w:val="00CA04C4"/>
    <w:rsid w:val="00CA04DE"/>
    <w:rsid w:val="00CA04F4"/>
    <w:rsid w:val="00CA0549"/>
    <w:rsid w:val="00CA0575"/>
    <w:rsid w:val="00CA0595"/>
    <w:rsid w:val="00CA05B8"/>
    <w:rsid w:val="00CA05F4"/>
    <w:rsid w:val="00CA0633"/>
    <w:rsid w:val="00CA0638"/>
    <w:rsid w:val="00CA06C3"/>
    <w:rsid w:val="00CA06EB"/>
    <w:rsid w:val="00CA06EE"/>
    <w:rsid w:val="00CA0707"/>
    <w:rsid w:val="00CA0721"/>
    <w:rsid w:val="00CA0723"/>
    <w:rsid w:val="00CA0725"/>
    <w:rsid w:val="00CA0757"/>
    <w:rsid w:val="00CA0795"/>
    <w:rsid w:val="00CA0799"/>
    <w:rsid w:val="00CA07B1"/>
    <w:rsid w:val="00CA07B4"/>
    <w:rsid w:val="00CA07F6"/>
    <w:rsid w:val="00CA0960"/>
    <w:rsid w:val="00CA09ED"/>
    <w:rsid w:val="00CA0AB9"/>
    <w:rsid w:val="00CA0AC0"/>
    <w:rsid w:val="00CA0B37"/>
    <w:rsid w:val="00CA0CFB"/>
    <w:rsid w:val="00CA0D1F"/>
    <w:rsid w:val="00CA0D6C"/>
    <w:rsid w:val="00CA0DC8"/>
    <w:rsid w:val="00CA0F7D"/>
    <w:rsid w:val="00CA0FD4"/>
    <w:rsid w:val="00CA0FEB"/>
    <w:rsid w:val="00CA100E"/>
    <w:rsid w:val="00CA1070"/>
    <w:rsid w:val="00CA108A"/>
    <w:rsid w:val="00CA1132"/>
    <w:rsid w:val="00CA11DA"/>
    <w:rsid w:val="00CA121D"/>
    <w:rsid w:val="00CA140B"/>
    <w:rsid w:val="00CA143E"/>
    <w:rsid w:val="00CA1444"/>
    <w:rsid w:val="00CA1464"/>
    <w:rsid w:val="00CA14CB"/>
    <w:rsid w:val="00CA14FE"/>
    <w:rsid w:val="00CA1505"/>
    <w:rsid w:val="00CA1525"/>
    <w:rsid w:val="00CA1595"/>
    <w:rsid w:val="00CA1672"/>
    <w:rsid w:val="00CA170F"/>
    <w:rsid w:val="00CA1816"/>
    <w:rsid w:val="00CA18AB"/>
    <w:rsid w:val="00CA18D6"/>
    <w:rsid w:val="00CA1904"/>
    <w:rsid w:val="00CA190C"/>
    <w:rsid w:val="00CA190D"/>
    <w:rsid w:val="00CA1933"/>
    <w:rsid w:val="00CA194D"/>
    <w:rsid w:val="00CA19CC"/>
    <w:rsid w:val="00CA1A58"/>
    <w:rsid w:val="00CA1A59"/>
    <w:rsid w:val="00CA1B1E"/>
    <w:rsid w:val="00CA1B47"/>
    <w:rsid w:val="00CA1B91"/>
    <w:rsid w:val="00CA1BC6"/>
    <w:rsid w:val="00CA1D6E"/>
    <w:rsid w:val="00CA1E3B"/>
    <w:rsid w:val="00CA1EA3"/>
    <w:rsid w:val="00CA1EB0"/>
    <w:rsid w:val="00CA1ED4"/>
    <w:rsid w:val="00CA2054"/>
    <w:rsid w:val="00CA205A"/>
    <w:rsid w:val="00CA20BE"/>
    <w:rsid w:val="00CA212F"/>
    <w:rsid w:val="00CA22D8"/>
    <w:rsid w:val="00CA235D"/>
    <w:rsid w:val="00CA23DD"/>
    <w:rsid w:val="00CA23EB"/>
    <w:rsid w:val="00CA24D3"/>
    <w:rsid w:val="00CA250A"/>
    <w:rsid w:val="00CA25B9"/>
    <w:rsid w:val="00CA2622"/>
    <w:rsid w:val="00CA26B5"/>
    <w:rsid w:val="00CA26CC"/>
    <w:rsid w:val="00CA2740"/>
    <w:rsid w:val="00CA27C5"/>
    <w:rsid w:val="00CA2823"/>
    <w:rsid w:val="00CA2836"/>
    <w:rsid w:val="00CA289F"/>
    <w:rsid w:val="00CA28C0"/>
    <w:rsid w:val="00CA28C7"/>
    <w:rsid w:val="00CA293D"/>
    <w:rsid w:val="00CA2947"/>
    <w:rsid w:val="00CA294E"/>
    <w:rsid w:val="00CA2970"/>
    <w:rsid w:val="00CA29BE"/>
    <w:rsid w:val="00CA2A51"/>
    <w:rsid w:val="00CA2A66"/>
    <w:rsid w:val="00CA2AF2"/>
    <w:rsid w:val="00CA2B96"/>
    <w:rsid w:val="00CA2BAA"/>
    <w:rsid w:val="00CA2BF6"/>
    <w:rsid w:val="00CA2C5C"/>
    <w:rsid w:val="00CA2C6F"/>
    <w:rsid w:val="00CA2C8B"/>
    <w:rsid w:val="00CA2C8C"/>
    <w:rsid w:val="00CA2CA5"/>
    <w:rsid w:val="00CA2CA6"/>
    <w:rsid w:val="00CA2CC4"/>
    <w:rsid w:val="00CA2CD7"/>
    <w:rsid w:val="00CA2D57"/>
    <w:rsid w:val="00CA2F1D"/>
    <w:rsid w:val="00CA2FAE"/>
    <w:rsid w:val="00CA3008"/>
    <w:rsid w:val="00CA3054"/>
    <w:rsid w:val="00CA30B1"/>
    <w:rsid w:val="00CA3161"/>
    <w:rsid w:val="00CA319F"/>
    <w:rsid w:val="00CA31B9"/>
    <w:rsid w:val="00CA31D3"/>
    <w:rsid w:val="00CA32B6"/>
    <w:rsid w:val="00CA3357"/>
    <w:rsid w:val="00CA3388"/>
    <w:rsid w:val="00CA3396"/>
    <w:rsid w:val="00CA3401"/>
    <w:rsid w:val="00CA341E"/>
    <w:rsid w:val="00CA351B"/>
    <w:rsid w:val="00CA3520"/>
    <w:rsid w:val="00CA3561"/>
    <w:rsid w:val="00CA3569"/>
    <w:rsid w:val="00CA372F"/>
    <w:rsid w:val="00CA3740"/>
    <w:rsid w:val="00CA3792"/>
    <w:rsid w:val="00CA3803"/>
    <w:rsid w:val="00CA380F"/>
    <w:rsid w:val="00CA382E"/>
    <w:rsid w:val="00CA3933"/>
    <w:rsid w:val="00CA3976"/>
    <w:rsid w:val="00CA3A51"/>
    <w:rsid w:val="00CA3A99"/>
    <w:rsid w:val="00CA3B74"/>
    <w:rsid w:val="00CA3BB9"/>
    <w:rsid w:val="00CA3BEB"/>
    <w:rsid w:val="00CA3C9B"/>
    <w:rsid w:val="00CA3CC6"/>
    <w:rsid w:val="00CA3D17"/>
    <w:rsid w:val="00CA3D2B"/>
    <w:rsid w:val="00CA3D32"/>
    <w:rsid w:val="00CA3D3A"/>
    <w:rsid w:val="00CA3D44"/>
    <w:rsid w:val="00CA3DA1"/>
    <w:rsid w:val="00CA3DB8"/>
    <w:rsid w:val="00CA3DEB"/>
    <w:rsid w:val="00CA3E00"/>
    <w:rsid w:val="00CA3E21"/>
    <w:rsid w:val="00CA3EDE"/>
    <w:rsid w:val="00CA3EEA"/>
    <w:rsid w:val="00CA3FD5"/>
    <w:rsid w:val="00CA3FDB"/>
    <w:rsid w:val="00CA4001"/>
    <w:rsid w:val="00CA400C"/>
    <w:rsid w:val="00CA410B"/>
    <w:rsid w:val="00CA414B"/>
    <w:rsid w:val="00CA4185"/>
    <w:rsid w:val="00CA4211"/>
    <w:rsid w:val="00CA4237"/>
    <w:rsid w:val="00CA43A4"/>
    <w:rsid w:val="00CA4456"/>
    <w:rsid w:val="00CA45AF"/>
    <w:rsid w:val="00CA45B7"/>
    <w:rsid w:val="00CA460D"/>
    <w:rsid w:val="00CA46B2"/>
    <w:rsid w:val="00CA46F7"/>
    <w:rsid w:val="00CA4808"/>
    <w:rsid w:val="00CA48C4"/>
    <w:rsid w:val="00CA49C1"/>
    <w:rsid w:val="00CA4A59"/>
    <w:rsid w:val="00CA4A6B"/>
    <w:rsid w:val="00CA4AD1"/>
    <w:rsid w:val="00CA4AE0"/>
    <w:rsid w:val="00CA4AE5"/>
    <w:rsid w:val="00CA4B05"/>
    <w:rsid w:val="00CA4B13"/>
    <w:rsid w:val="00CA4B21"/>
    <w:rsid w:val="00CA4B22"/>
    <w:rsid w:val="00CA4B37"/>
    <w:rsid w:val="00CA4B97"/>
    <w:rsid w:val="00CA4BD4"/>
    <w:rsid w:val="00CA4C58"/>
    <w:rsid w:val="00CA4C5D"/>
    <w:rsid w:val="00CA4C6E"/>
    <w:rsid w:val="00CA4CBB"/>
    <w:rsid w:val="00CA4CD5"/>
    <w:rsid w:val="00CA4D08"/>
    <w:rsid w:val="00CA4D57"/>
    <w:rsid w:val="00CA4D98"/>
    <w:rsid w:val="00CA4E2D"/>
    <w:rsid w:val="00CA4E57"/>
    <w:rsid w:val="00CA4E5E"/>
    <w:rsid w:val="00CA4E7C"/>
    <w:rsid w:val="00CA4E98"/>
    <w:rsid w:val="00CA4F32"/>
    <w:rsid w:val="00CA4F3B"/>
    <w:rsid w:val="00CA4F86"/>
    <w:rsid w:val="00CA5044"/>
    <w:rsid w:val="00CA50EF"/>
    <w:rsid w:val="00CA50F3"/>
    <w:rsid w:val="00CA5131"/>
    <w:rsid w:val="00CA51F8"/>
    <w:rsid w:val="00CA5232"/>
    <w:rsid w:val="00CA52DC"/>
    <w:rsid w:val="00CA53B6"/>
    <w:rsid w:val="00CA53CF"/>
    <w:rsid w:val="00CA5426"/>
    <w:rsid w:val="00CA5427"/>
    <w:rsid w:val="00CA554C"/>
    <w:rsid w:val="00CA5578"/>
    <w:rsid w:val="00CA567C"/>
    <w:rsid w:val="00CA56CD"/>
    <w:rsid w:val="00CA5798"/>
    <w:rsid w:val="00CA57FB"/>
    <w:rsid w:val="00CA58A6"/>
    <w:rsid w:val="00CA58BA"/>
    <w:rsid w:val="00CA592B"/>
    <w:rsid w:val="00CA5941"/>
    <w:rsid w:val="00CA59BF"/>
    <w:rsid w:val="00CA59C6"/>
    <w:rsid w:val="00CA5AAA"/>
    <w:rsid w:val="00CA5AC6"/>
    <w:rsid w:val="00CA5BFE"/>
    <w:rsid w:val="00CA5C05"/>
    <w:rsid w:val="00CA5C33"/>
    <w:rsid w:val="00CA5E2D"/>
    <w:rsid w:val="00CA5EA4"/>
    <w:rsid w:val="00CA5EC2"/>
    <w:rsid w:val="00CA5EF7"/>
    <w:rsid w:val="00CA5EF9"/>
    <w:rsid w:val="00CA5F81"/>
    <w:rsid w:val="00CA5F9C"/>
    <w:rsid w:val="00CA5FF0"/>
    <w:rsid w:val="00CA6030"/>
    <w:rsid w:val="00CA61F8"/>
    <w:rsid w:val="00CA625E"/>
    <w:rsid w:val="00CA62ED"/>
    <w:rsid w:val="00CA6324"/>
    <w:rsid w:val="00CA638D"/>
    <w:rsid w:val="00CA63C6"/>
    <w:rsid w:val="00CA6406"/>
    <w:rsid w:val="00CA6460"/>
    <w:rsid w:val="00CA64A7"/>
    <w:rsid w:val="00CA6572"/>
    <w:rsid w:val="00CA65DA"/>
    <w:rsid w:val="00CA6658"/>
    <w:rsid w:val="00CA6710"/>
    <w:rsid w:val="00CA671C"/>
    <w:rsid w:val="00CA673C"/>
    <w:rsid w:val="00CA6771"/>
    <w:rsid w:val="00CA67DD"/>
    <w:rsid w:val="00CA6815"/>
    <w:rsid w:val="00CA6831"/>
    <w:rsid w:val="00CA68B9"/>
    <w:rsid w:val="00CA69B9"/>
    <w:rsid w:val="00CA69DE"/>
    <w:rsid w:val="00CA6A3A"/>
    <w:rsid w:val="00CA6A6D"/>
    <w:rsid w:val="00CA6A7B"/>
    <w:rsid w:val="00CA6A94"/>
    <w:rsid w:val="00CA6AC4"/>
    <w:rsid w:val="00CA6ADF"/>
    <w:rsid w:val="00CA6BFA"/>
    <w:rsid w:val="00CA6C70"/>
    <w:rsid w:val="00CA6CBF"/>
    <w:rsid w:val="00CA6CCD"/>
    <w:rsid w:val="00CA6D13"/>
    <w:rsid w:val="00CA6D41"/>
    <w:rsid w:val="00CA6D7E"/>
    <w:rsid w:val="00CA6DC1"/>
    <w:rsid w:val="00CA6DCA"/>
    <w:rsid w:val="00CA6DE7"/>
    <w:rsid w:val="00CA6DEF"/>
    <w:rsid w:val="00CA6E77"/>
    <w:rsid w:val="00CA6ED2"/>
    <w:rsid w:val="00CA6F32"/>
    <w:rsid w:val="00CA6F7D"/>
    <w:rsid w:val="00CA6F87"/>
    <w:rsid w:val="00CA6FEA"/>
    <w:rsid w:val="00CA701A"/>
    <w:rsid w:val="00CA702F"/>
    <w:rsid w:val="00CA705E"/>
    <w:rsid w:val="00CA70B2"/>
    <w:rsid w:val="00CA713E"/>
    <w:rsid w:val="00CA717E"/>
    <w:rsid w:val="00CA71C3"/>
    <w:rsid w:val="00CA71E5"/>
    <w:rsid w:val="00CA7272"/>
    <w:rsid w:val="00CA72D2"/>
    <w:rsid w:val="00CA72DB"/>
    <w:rsid w:val="00CA731D"/>
    <w:rsid w:val="00CA731E"/>
    <w:rsid w:val="00CA7336"/>
    <w:rsid w:val="00CA73E2"/>
    <w:rsid w:val="00CA7532"/>
    <w:rsid w:val="00CA7614"/>
    <w:rsid w:val="00CA7644"/>
    <w:rsid w:val="00CA7770"/>
    <w:rsid w:val="00CA77EC"/>
    <w:rsid w:val="00CA7861"/>
    <w:rsid w:val="00CA78FA"/>
    <w:rsid w:val="00CA7937"/>
    <w:rsid w:val="00CA794E"/>
    <w:rsid w:val="00CA7951"/>
    <w:rsid w:val="00CA7971"/>
    <w:rsid w:val="00CA7A2F"/>
    <w:rsid w:val="00CA7AF6"/>
    <w:rsid w:val="00CA7AF7"/>
    <w:rsid w:val="00CA7C2B"/>
    <w:rsid w:val="00CA7C60"/>
    <w:rsid w:val="00CA7CD0"/>
    <w:rsid w:val="00CA7D4B"/>
    <w:rsid w:val="00CA7D74"/>
    <w:rsid w:val="00CA7E01"/>
    <w:rsid w:val="00CA7E14"/>
    <w:rsid w:val="00CA7E3E"/>
    <w:rsid w:val="00CA7EB3"/>
    <w:rsid w:val="00CA7FAF"/>
    <w:rsid w:val="00CA7FFD"/>
    <w:rsid w:val="00CB0098"/>
    <w:rsid w:val="00CB012B"/>
    <w:rsid w:val="00CB0204"/>
    <w:rsid w:val="00CB0223"/>
    <w:rsid w:val="00CB0403"/>
    <w:rsid w:val="00CB0461"/>
    <w:rsid w:val="00CB04BF"/>
    <w:rsid w:val="00CB04D9"/>
    <w:rsid w:val="00CB04E1"/>
    <w:rsid w:val="00CB0553"/>
    <w:rsid w:val="00CB056D"/>
    <w:rsid w:val="00CB0597"/>
    <w:rsid w:val="00CB05F0"/>
    <w:rsid w:val="00CB0624"/>
    <w:rsid w:val="00CB063F"/>
    <w:rsid w:val="00CB0677"/>
    <w:rsid w:val="00CB06CD"/>
    <w:rsid w:val="00CB0753"/>
    <w:rsid w:val="00CB076D"/>
    <w:rsid w:val="00CB0792"/>
    <w:rsid w:val="00CB07C5"/>
    <w:rsid w:val="00CB07E7"/>
    <w:rsid w:val="00CB0811"/>
    <w:rsid w:val="00CB08EF"/>
    <w:rsid w:val="00CB0908"/>
    <w:rsid w:val="00CB0916"/>
    <w:rsid w:val="00CB09B8"/>
    <w:rsid w:val="00CB0A3A"/>
    <w:rsid w:val="00CB0A94"/>
    <w:rsid w:val="00CB0AAD"/>
    <w:rsid w:val="00CB0C07"/>
    <w:rsid w:val="00CB0C59"/>
    <w:rsid w:val="00CB0C69"/>
    <w:rsid w:val="00CB0C90"/>
    <w:rsid w:val="00CB0D1B"/>
    <w:rsid w:val="00CB0D1E"/>
    <w:rsid w:val="00CB0D3B"/>
    <w:rsid w:val="00CB0DBF"/>
    <w:rsid w:val="00CB0DC2"/>
    <w:rsid w:val="00CB0E04"/>
    <w:rsid w:val="00CB0E14"/>
    <w:rsid w:val="00CB0F09"/>
    <w:rsid w:val="00CB0F26"/>
    <w:rsid w:val="00CB0F77"/>
    <w:rsid w:val="00CB0FAD"/>
    <w:rsid w:val="00CB1104"/>
    <w:rsid w:val="00CB113B"/>
    <w:rsid w:val="00CB11BA"/>
    <w:rsid w:val="00CB11EC"/>
    <w:rsid w:val="00CB130A"/>
    <w:rsid w:val="00CB1471"/>
    <w:rsid w:val="00CB1492"/>
    <w:rsid w:val="00CB149C"/>
    <w:rsid w:val="00CB14AA"/>
    <w:rsid w:val="00CB153C"/>
    <w:rsid w:val="00CB1544"/>
    <w:rsid w:val="00CB1581"/>
    <w:rsid w:val="00CB15D1"/>
    <w:rsid w:val="00CB15DB"/>
    <w:rsid w:val="00CB15E6"/>
    <w:rsid w:val="00CB15FD"/>
    <w:rsid w:val="00CB16CC"/>
    <w:rsid w:val="00CB1731"/>
    <w:rsid w:val="00CB17A9"/>
    <w:rsid w:val="00CB1809"/>
    <w:rsid w:val="00CB1836"/>
    <w:rsid w:val="00CB198C"/>
    <w:rsid w:val="00CB19C3"/>
    <w:rsid w:val="00CB19D0"/>
    <w:rsid w:val="00CB19F7"/>
    <w:rsid w:val="00CB1A6D"/>
    <w:rsid w:val="00CB1A6E"/>
    <w:rsid w:val="00CB1B5F"/>
    <w:rsid w:val="00CB1C9A"/>
    <w:rsid w:val="00CB1D05"/>
    <w:rsid w:val="00CB1D3D"/>
    <w:rsid w:val="00CB1D51"/>
    <w:rsid w:val="00CB1D72"/>
    <w:rsid w:val="00CB1DD3"/>
    <w:rsid w:val="00CB1E40"/>
    <w:rsid w:val="00CB1E53"/>
    <w:rsid w:val="00CB1E85"/>
    <w:rsid w:val="00CB1EAA"/>
    <w:rsid w:val="00CB1F08"/>
    <w:rsid w:val="00CB1F17"/>
    <w:rsid w:val="00CB1F51"/>
    <w:rsid w:val="00CB1F60"/>
    <w:rsid w:val="00CB1F6B"/>
    <w:rsid w:val="00CB2040"/>
    <w:rsid w:val="00CB20C8"/>
    <w:rsid w:val="00CB20D4"/>
    <w:rsid w:val="00CB20EE"/>
    <w:rsid w:val="00CB216A"/>
    <w:rsid w:val="00CB217B"/>
    <w:rsid w:val="00CB2199"/>
    <w:rsid w:val="00CB21C4"/>
    <w:rsid w:val="00CB227A"/>
    <w:rsid w:val="00CB22F6"/>
    <w:rsid w:val="00CB231B"/>
    <w:rsid w:val="00CB2368"/>
    <w:rsid w:val="00CB23BC"/>
    <w:rsid w:val="00CB23C8"/>
    <w:rsid w:val="00CB23DD"/>
    <w:rsid w:val="00CB243E"/>
    <w:rsid w:val="00CB245F"/>
    <w:rsid w:val="00CB2488"/>
    <w:rsid w:val="00CB24ED"/>
    <w:rsid w:val="00CB2518"/>
    <w:rsid w:val="00CB2566"/>
    <w:rsid w:val="00CB2599"/>
    <w:rsid w:val="00CB259F"/>
    <w:rsid w:val="00CB25E5"/>
    <w:rsid w:val="00CB2603"/>
    <w:rsid w:val="00CB2643"/>
    <w:rsid w:val="00CB268B"/>
    <w:rsid w:val="00CB270E"/>
    <w:rsid w:val="00CB2731"/>
    <w:rsid w:val="00CB2781"/>
    <w:rsid w:val="00CB2869"/>
    <w:rsid w:val="00CB28A9"/>
    <w:rsid w:val="00CB29AC"/>
    <w:rsid w:val="00CB2B5A"/>
    <w:rsid w:val="00CB2C35"/>
    <w:rsid w:val="00CB2C7E"/>
    <w:rsid w:val="00CB2CA1"/>
    <w:rsid w:val="00CB2D69"/>
    <w:rsid w:val="00CB2D96"/>
    <w:rsid w:val="00CB2DC5"/>
    <w:rsid w:val="00CB2E21"/>
    <w:rsid w:val="00CB2E2E"/>
    <w:rsid w:val="00CB2E9A"/>
    <w:rsid w:val="00CB2F36"/>
    <w:rsid w:val="00CB2FAC"/>
    <w:rsid w:val="00CB2FC3"/>
    <w:rsid w:val="00CB3264"/>
    <w:rsid w:val="00CB33A3"/>
    <w:rsid w:val="00CB3457"/>
    <w:rsid w:val="00CB3487"/>
    <w:rsid w:val="00CB34AB"/>
    <w:rsid w:val="00CB34C5"/>
    <w:rsid w:val="00CB356A"/>
    <w:rsid w:val="00CB35C9"/>
    <w:rsid w:val="00CB3630"/>
    <w:rsid w:val="00CB36A9"/>
    <w:rsid w:val="00CB36C2"/>
    <w:rsid w:val="00CB36EC"/>
    <w:rsid w:val="00CB36FB"/>
    <w:rsid w:val="00CB372A"/>
    <w:rsid w:val="00CB375D"/>
    <w:rsid w:val="00CB380B"/>
    <w:rsid w:val="00CB3841"/>
    <w:rsid w:val="00CB385F"/>
    <w:rsid w:val="00CB38D3"/>
    <w:rsid w:val="00CB38DE"/>
    <w:rsid w:val="00CB394A"/>
    <w:rsid w:val="00CB399F"/>
    <w:rsid w:val="00CB39FD"/>
    <w:rsid w:val="00CB3B97"/>
    <w:rsid w:val="00CB3C0B"/>
    <w:rsid w:val="00CB3C16"/>
    <w:rsid w:val="00CB3C6D"/>
    <w:rsid w:val="00CB3CB6"/>
    <w:rsid w:val="00CB3CED"/>
    <w:rsid w:val="00CB3D24"/>
    <w:rsid w:val="00CB3D39"/>
    <w:rsid w:val="00CB3DF3"/>
    <w:rsid w:val="00CB3E1F"/>
    <w:rsid w:val="00CB3E32"/>
    <w:rsid w:val="00CB3E46"/>
    <w:rsid w:val="00CB3EA5"/>
    <w:rsid w:val="00CB3EC2"/>
    <w:rsid w:val="00CB3F44"/>
    <w:rsid w:val="00CB3F77"/>
    <w:rsid w:val="00CB3FA8"/>
    <w:rsid w:val="00CB4060"/>
    <w:rsid w:val="00CB4078"/>
    <w:rsid w:val="00CB408F"/>
    <w:rsid w:val="00CB410C"/>
    <w:rsid w:val="00CB410E"/>
    <w:rsid w:val="00CB411F"/>
    <w:rsid w:val="00CB4135"/>
    <w:rsid w:val="00CB415A"/>
    <w:rsid w:val="00CB41D8"/>
    <w:rsid w:val="00CB4228"/>
    <w:rsid w:val="00CB4269"/>
    <w:rsid w:val="00CB42A3"/>
    <w:rsid w:val="00CB4301"/>
    <w:rsid w:val="00CB4332"/>
    <w:rsid w:val="00CB434A"/>
    <w:rsid w:val="00CB43E8"/>
    <w:rsid w:val="00CB43EE"/>
    <w:rsid w:val="00CB43FF"/>
    <w:rsid w:val="00CB4417"/>
    <w:rsid w:val="00CB447F"/>
    <w:rsid w:val="00CB44C3"/>
    <w:rsid w:val="00CB44EE"/>
    <w:rsid w:val="00CB4511"/>
    <w:rsid w:val="00CB45AD"/>
    <w:rsid w:val="00CB45C5"/>
    <w:rsid w:val="00CB4772"/>
    <w:rsid w:val="00CB47C4"/>
    <w:rsid w:val="00CB47DE"/>
    <w:rsid w:val="00CB47F4"/>
    <w:rsid w:val="00CB4839"/>
    <w:rsid w:val="00CB48F2"/>
    <w:rsid w:val="00CB496D"/>
    <w:rsid w:val="00CB49BC"/>
    <w:rsid w:val="00CB4A5D"/>
    <w:rsid w:val="00CB4A74"/>
    <w:rsid w:val="00CB4AF9"/>
    <w:rsid w:val="00CB4BC7"/>
    <w:rsid w:val="00CB4BDD"/>
    <w:rsid w:val="00CB4C51"/>
    <w:rsid w:val="00CB4DFE"/>
    <w:rsid w:val="00CB4E3A"/>
    <w:rsid w:val="00CB4F6A"/>
    <w:rsid w:val="00CB4F6C"/>
    <w:rsid w:val="00CB5071"/>
    <w:rsid w:val="00CB50E0"/>
    <w:rsid w:val="00CB5112"/>
    <w:rsid w:val="00CB5166"/>
    <w:rsid w:val="00CB51B2"/>
    <w:rsid w:val="00CB51D9"/>
    <w:rsid w:val="00CB523B"/>
    <w:rsid w:val="00CB524E"/>
    <w:rsid w:val="00CB5408"/>
    <w:rsid w:val="00CB5491"/>
    <w:rsid w:val="00CB549E"/>
    <w:rsid w:val="00CB557F"/>
    <w:rsid w:val="00CB5648"/>
    <w:rsid w:val="00CB56E3"/>
    <w:rsid w:val="00CB56FB"/>
    <w:rsid w:val="00CB5752"/>
    <w:rsid w:val="00CB579E"/>
    <w:rsid w:val="00CB57E5"/>
    <w:rsid w:val="00CB5828"/>
    <w:rsid w:val="00CB58B7"/>
    <w:rsid w:val="00CB58FF"/>
    <w:rsid w:val="00CB590D"/>
    <w:rsid w:val="00CB591A"/>
    <w:rsid w:val="00CB591D"/>
    <w:rsid w:val="00CB593B"/>
    <w:rsid w:val="00CB5959"/>
    <w:rsid w:val="00CB5975"/>
    <w:rsid w:val="00CB59C9"/>
    <w:rsid w:val="00CB59E4"/>
    <w:rsid w:val="00CB59F0"/>
    <w:rsid w:val="00CB5A0B"/>
    <w:rsid w:val="00CB5A55"/>
    <w:rsid w:val="00CB5A5C"/>
    <w:rsid w:val="00CB5B71"/>
    <w:rsid w:val="00CB5C15"/>
    <w:rsid w:val="00CB5C17"/>
    <w:rsid w:val="00CB5D0C"/>
    <w:rsid w:val="00CB5D61"/>
    <w:rsid w:val="00CB5D97"/>
    <w:rsid w:val="00CB5DC9"/>
    <w:rsid w:val="00CB5EE9"/>
    <w:rsid w:val="00CB5F43"/>
    <w:rsid w:val="00CB5F44"/>
    <w:rsid w:val="00CB5F6D"/>
    <w:rsid w:val="00CB5FED"/>
    <w:rsid w:val="00CB603D"/>
    <w:rsid w:val="00CB608D"/>
    <w:rsid w:val="00CB6096"/>
    <w:rsid w:val="00CB61D0"/>
    <w:rsid w:val="00CB61E0"/>
    <w:rsid w:val="00CB625D"/>
    <w:rsid w:val="00CB6295"/>
    <w:rsid w:val="00CB62CA"/>
    <w:rsid w:val="00CB639A"/>
    <w:rsid w:val="00CB63AB"/>
    <w:rsid w:val="00CB63B6"/>
    <w:rsid w:val="00CB63E9"/>
    <w:rsid w:val="00CB640E"/>
    <w:rsid w:val="00CB642C"/>
    <w:rsid w:val="00CB6450"/>
    <w:rsid w:val="00CB647F"/>
    <w:rsid w:val="00CB6497"/>
    <w:rsid w:val="00CB650A"/>
    <w:rsid w:val="00CB6539"/>
    <w:rsid w:val="00CB656C"/>
    <w:rsid w:val="00CB661C"/>
    <w:rsid w:val="00CB6728"/>
    <w:rsid w:val="00CB6744"/>
    <w:rsid w:val="00CB6754"/>
    <w:rsid w:val="00CB6826"/>
    <w:rsid w:val="00CB693D"/>
    <w:rsid w:val="00CB699F"/>
    <w:rsid w:val="00CB69D0"/>
    <w:rsid w:val="00CB6A33"/>
    <w:rsid w:val="00CB6A96"/>
    <w:rsid w:val="00CB6BC8"/>
    <w:rsid w:val="00CB6BCB"/>
    <w:rsid w:val="00CB6C0D"/>
    <w:rsid w:val="00CB6C53"/>
    <w:rsid w:val="00CB6C84"/>
    <w:rsid w:val="00CB6D1A"/>
    <w:rsid w:val="00CB6D4B"/>
    <w:rsid w:val="00CB6D8C"/>
    <w:rsid w:val="00CB6E49"/>
    <w:rsid w:val="00CB6EC2"/>
    <w:rsid w:val="00CB6EEA"/>
    <w:rsid w:val="00CB6F56"/>
    <w:rsid w:val="00CB6F73"/>
    <w:rsid w:val="00CB6F88"/>
    <w:rsid w:val="00CB7007"/>
    <w:rsid w:val="00CB710D"/>
    <w:rsid w:val="00CB715C"/>
    <w:rsid w:val="00CB7195"/>
    <w:rsid w:val="00CB7256"/>
    <w:rsid w:val="00CB73A9"/>
    <w:rsid w:val="00CB73EF"/>
    <w:rsid w:val="00CB73F6"/>
    <w:rsid w:val="00CB7438"/>
    <w:rsid w:val="00CB7461"/>
    <w:rsid w:val="00CB74E2"/>
    <w:rsid w:val="00CB75B3"/>
    <w:rsid w:val="00CB75FA"/>
    <w:rsid w:val="00CB75FB"/>
    <w:rsid w:val="00CB7671"/>
    <w:rsid w:val="00CB767C"/>
    <w:rsid w:val="00CB7680"/>
    <w:rsid w:val="00CB76DB"/>
    <w:rsid w:val="00CB76FA"/>
    <w:rsid w:val="00CB777B"/>
    <w:rsid w:val="00CB7804"/>
    <w:rsid w:val="00CB7891"/>
    <w:rsid w:val="00CB78AB"/>
    <w:rsid w:val="00CB79EA"/>
    <w:rsid w:val="00CB7A23"/>
    <w:rsid w:val="00CB7A27"/>
    <w:rsid w:val="00CB7A30"/>
    <w:rsid w:val="00CB7A5F"/>
    <w:rsid w:val="00CB7A8C"/>
    <w:rsid w:val="00CB7AAA"/>
    <w:rsid w:val="00CB7B9E"/>
    <w:rsid w:val="00CB7BB4"/>
    <w:rsid w:val="00CB7BD5"/>
    <w:rsid w:val="00CB7D3A"/>
    <w:rsid w:val="00CB7D59"/>
    <w:rsid w:val="00CB7D74"/>
    <w:rsid w:val="00CB7D8C"/>
    <w:rsid w:val="00CB7DB1"/>
    <w:rsid w:val="00CB7E0A"/>
    <w:rsid w:val="00CB7ED2"/>
    <w:rsid w:val="00CB7EEA"/>
    <w:rsid w:val="00CB7F0F"/>
    <w:rsid w:val="00CB7FAA"/>
    <w:rsid w:val="00CB7FAB"/>
    <w:rsid w:val="00CB7FC7"/>
    <w:rsid w:val="00CC0024"/>
    <w:rsid w:val="00CC0076"/>
    <w:rsid w:val="00CC01BA"/>
    <w:rsid w:val="00CC0217"/>
    <w:rsid w:val="00CC025E"/>
    <w:rsid w:val="00CC0265"/>
    <w:rsid w:val="00CC026B"/>
    <w:rsid w:val="00CC0288"/>
    <w:rsid w:val="00CC02EF"/>
    <w:rsid w:val="00CC03A2"/>
    <w:rsid w:val="00CC045A"/>
    <w:rsid w:val="00CC0524"/>
    <w:rsid w:val="00CC0549"/>
    <w:rsid w:val="00CC0571"/>
    <w:rsid w:val="00CC058E"/>
    <w:rsid w:val="00CC05B5"/>
    <w:rsid w:val="00CC05FD"/>
    <w:rsid w:val="00CC0634"/>
    <w:rsid w:val="00CC0635"/>
    <w:rsid w:val="00CC0663"/>
    <w:rsid w:val="00CC067F"/>
    <w:rsid w:val="00CC06CD"/>
    <w:rsid w:val="00CC07B4"/>
    <w:rsid w:val="00CC07EA"/>
    <w:rsid w:val="00CC081E"/>
    <w:rsid w:val="00CC081F"/>
    <w:rsid w:val="00CC0856"/>
    <w:rsid w:val="00CC086A"/>
    <w:rsid w:val="00CC089C"/>
    <w:rsid w:val="00CC0965"/>
    <w:rsid w:val="00CC09BB"/>
    <w:rsid w:val="00CC09F5"/>
    <w:rsid w:val="00CC0B1B"/>
    <w:rsid w:val="00CC0BAE"/>
    <w:rsid w:val="00CC0BB9"/>
    <w:rsid w:val="00CC0C07"/>
    <w:rsid w:val="00CC0C4A"/>
    <w:rsid w:val="00CC0C96"/>
    <w:rsid w:val="00CC0CC3"/>
    <w:rsid w:val="00CC0D49"/>
    <w:rsid w:val="00CC0DE6"/>
    <w:rsid w:val="00CC0E4A"/>
    <w:rsid w:val="00CC0E89"/>
    <w:rsid w:val="00CC0F1A"/>
    <w:rsid w:val="00CC0F8C"/>
    <w:rsid w:val="00CC0FE3"/>
    <w:rsid w:val="00CC1087"/>
    <w:rsid w:val="00CC10B4"/>
    <w:rsid w:val="00CC10DF"/>
    <w:rsid w:val="00CC1119"/>
    <w:rsid w:val="00CC1139"/>
    <w:rsid w:val="00CC116C"/>
    <w:rsid w:val="00CC1182"/>
    <w:rsid w:val="00CC11C6"/>
    <w:rsid w:val="00CC11D8"/>
    <w:rsid w:val="00CC11E1"/>
    <w:rsid w:val="00CC11E5"/>
    <w:rsid w:val="00CC1228"/>
    <w:rsid w:val="00CC1359"/>
    <w:rsid w:val="00CC1370"/>
    <w:rsid w:val="00CC13B1"/>
    <w:rsid w:val="00CC13B5"/>
    <w:rsid w:val="00CC1470"/>
    <w:rsid w:val="00CC14E4"/>
    <w:rsid w:val="00CC14ED"/>
    <w:rsid w:val="00CC1559"/>
    <w:rsid w:val="00CC1587"/>
    <w:rsid w:val="00CC15BB"/>
    <w:rsid w:val="00CC15CC"/>
    <w:rsid w:val="00CC15D9"/>
    <w:rsid w:val="00CC15F7"/>
    <w:rsid w:val="00CC173C"/>
    <w:rsid w:val="00CC1768"/>
    <w:rsid w:val="00CC1797"/>
    <w:rsid w:val="00CC17B5"/>
    <w:rsid w:val="00CC17F5"/>
    <w:rsid w:val="00CC1823"/>
    <w:rsid w:val="00CC185E"/>
    <w:rsid w:val="00CC19CB"/>
    <w:rsid w:val="00CC19E0"/>
    <w:rsid w:val="00CC1A54"/>
    <w:rsid w:val="00CC1AB0"/>
    <w:rsid w:val="00CC1AB2"/>
    <w:rsid w:val="00CC1AD8"/>
    <w:rsid w:val="00CC1BAC"/>
    <w:rsid w:val="00CC1BAD"/>
    <w:rsid w:val="00CC1BE1"/>
    <w:rsid w:val="00CC1BE5"/>
    <w:rsid w:val="00CC1C34"/>
    <w:rsid w:val="00CC1C4F"/>
    <w:rsid w:val="00CC1C71"/>
    <w:rsid w:val="00CC1D7F"/>
    <w:rsid w:val="00CC1D89"/>
    <w:rsid w:val="00CC1F6A"/>
    <w:rsid w:val="00CC1FA4"/>
    <w:rsid w:val="00CC2027"/>
    <w:rsid w:val="00CC218B"/>
    <w:rsid w:val="00CC21A2"/>
    <w:rsid w:val="00CC21F0"/>
    <w:rsid w:val="00CC221D"/>
    <w:rsid w:val="00CC2244"/>
    <w:rsid w:val="00CC224A"/>
    <w:rsid w:val="00CC227B"/>
    <w:rsid w:val="00CC22E1"/>
    <w:rsid w:val="00CC2469"/>
    <w:rsid w:val="00CC250E"/>
    <w:rsid w:val="00CC254C"/>
    <w:rsid w:val="00CC254F"/>
    <w:rsid w:val="00CC256E"/>
    <w:rsid w:val="00CC257C"/>
    <w:rsid w:val="00CC2605"/>
    <w:rsid w:val="00CC263E"/>
    <w:rsid w:val="00CC2676"/>
    <w:rsid w:val="00CC2681"/>
    <w:rsid w:val="00CC268E"/>
    <w:rsid w:val="00CC26CF"/>
    <w:rsid w:val="00CC2704"/>
    <w:rsid w:val="00CC271A"/>
    <w:rsid w:val="00CC27C7"/>
    <w:rsid w:val="00CC280E"/>
    <w:rsid w:val="00CC2827"/>
    <w:rsid w:val="00CC2888"/>
    <w:rsid w:val="00CC28E7"/>
    <w:rsid w:val="00CC29AE"/>
    <w:rsid w:val="00CC2A1E"/>
    <w:rsid w:val="00CC2A4B"/>
    <w:rsid w:val="00CC2AEB"/>
    <w:rsid w:val="00CC2B36"/>
    <w:rsid w:val="00CC2B56"/>
    <w:rsid w:val="00CC2B7E"/>
    <w:rsid w:val="00CC2BEB"/>
    <w:rsid w:val="00CC2C13"/>
    <w:rsid w:val="00CC2C5D"/>
    <w:rsid w:val="00CC2D02"/>
    <w:rsid w:val="00CC2D4E"/>
    <w:rsid w:val="00CC2D95"/>
    <w:rsid w:val="00CC2E00"/>
    <w:rsid w:val="00CC2E0A"/>
    <w:rsid w:val="00CC2E0C"/>
    <w:rsid w:val="00CC2E9A"/>
    <w:rsid w:val="00CC2F28"/>
    <w:rsid w:val="00CC2F72"/>
    <w:rsid w:val="00CC2FBF"/>
    <w:rsid w:val="00CC3045"/>
    <w:rsid w:val="00CC30AF"/>
    <w:rsid w:val="00CC30C8"/>
    <w:rsid w:val="00CC3126"/>
    <w:rsid w:val="00CC3164"/>
    <w:rsid w:val="00CC316B"/>
    <w:rsid w:val="00CC3343"/>
    <w:rsid w:val="00CC3356"/>
    <w:rsid w:val="00CC33F0"/>
    <w:rsid w:val="00CC3418"/>
    <w:rsid w:val="00CC3422"/>
    <w:rsid w:val="00CC34B9"/>
    <w:rsid w:val="00CC34CD"/>
    <w:rsid w:val="00CC34DE"/>
    <w:rsid w:val="00CC3508"/>
    <w:rsid w:val="00CC3536"/>
    <w:rsid w:val="00CC3569"/>
    <w:rsid w:val="00CC3584"/>
    <w:rsid w:val="00CC35FB"/>
    <w:rsid w:val="00CC36FF"/>
    <w:rsid w:val="00CC37A0"/>
    <w:rsid w:val="00CC37ED"/>
    <w:rsid w:val="00CC38B7"/>
    <w:rsid w:val="00CC38C3"/>
    <w:rsid w:val="00CC3902"/>
    <w:rsid w:val="00CC3903"/>
    <w:rsid w:val="00CC3994"/>
    <w:rsid w:val="00CC39A9"/>
    <w:rsid w:val="00CC39C2"/>
    <w:rsid w:val="00CC3A6B"/>
    <w:rsid w:val="00CC3B5F"/>
    <w:rsid w:val="00CC3B64"/>
    <w:rsid w:val="00CC3B8F"/>
    <w:rsid w:val="00CC3BBE"/>
    <w:rsid w:val="00CC3BC2"/>
    <w:rsid w:val="00CC3BE0"/>
    <w:rsid w:val="00CC3C32"/>
    <w:rsid w:val="00CC3D68"/>
    <w:rsid w:val="00CC3D94"/>
    <w:rsid w:val="00CC3DA2"/>
    <w:rsid w:val="00CC3DBE"/>
    <w:rsid w:val="00CC3EAA"/>
    <w:rsid w:val="00CC3EED"/>
    <w:rsid w:val="00CC3EF8"/>
    <w:rsid w:val="00CC402C"/>
    <w:rsid w:val="00CC4046"/>
    <w:rsid w:val="00CC4071"/>
    <w:rsid w:val="00CC409D"/>
    <w:rsid w:val="00CC40FB"/>
    <w:rsid w:val="00CC411A"/>
    <w:rsid w:val="00CC4326"/>
    <w:rsid w:val="00CC434C"/>
    <w:rsid w:val="00CC43FC"/>
    <w:rsid w:val="00CC4423"/>
    <w:rsid w:val="00CC4471"/>
    <w:rsid w:val="00CC44A8"/>
    <w:rsid w:val="00CC44B4"/>
    <w:rsid w:val="00CC44BF"/>
    <w:rsid w:val="00CC451F"/>
    <w:rsid w:val="00CC4567"/>
    <w:rsid w:val="00CC457D"/>
    <w:rsid w:val="00CC45B0"/>
    <w:rsid w:val="00CC45BB"/>
    <w:rsid w:val="00CC4666"/>
    <w:rsid w:val="00CC4690"/>
    <w:rsid w:val="00CC46F2"/>
    <w:rsid w:val="00CC4748"/>
    <w:rsid w:val="00CC4786"/>
    <w:rsid w:val="00CC4825"/>
    <w:rsid w:val="00CC483E"/>
    <w:rsid w:val="00CC487B"/>
    <w:rsid w:val="00CC48AD"/>
    <w:rsid w:val="00CC48D4"/>
    <w:rsid w:val="00CC48EC"/>
    <w:rsid w:val="00CC48F1"/>
    <w:rsid w:val="00CC48FA"/>
    <w:rsid w:val="00CC4979"/>
    <w:rsid w:val="00CC49A3"/>
    <w:rsid w:val="00CC49B0"/>
    <w:rsid w:val="00CC4A0C"/>
    <w:rsid w:val="00CC4A1A"/>
    <w:rsid w:val="00CC4A1F"/>
    <w:rsid w:val="00CC4A77"/>
    <w:rsid w:val="00CC4A7C"/>
    <w:rsid w:val="00CC4B66"/>
    <w:rsid w:val="00CC4BD8"/>
    <w:rsid w:val="00CC4BD9"/>
    <w:rsid w:val="00CC4C51"/>
    <w:rsid w:val="00CC4CCD"/>
    <w:rsid w:val="00CC4CF6"/>
    <w:rsid w:val="00CC4CFC"/>
    <w:rsid w:val="00CC4D8B"/>
    <w:rsid w:val="00CC4D9B"/>
    <w:rsid w:val="00CC4DE3"/>
    <w:rsid w:val="00CC4E92"/>
    <w:rsid w:val="00CC4EDA"/>
    <w:rsid w:val="00CC4EF0"/>
    <w:rsid w:val="00CC4EFF"/>
    <w:rsid w:val="00CC4F80"/>
    <w:rsid w:val="00CC50A3"/>
    <w:rsid w:val="00CC50C9"/>
    <w:rsid w:val="00CC5175"/>
    <w:rsid w:val="00CC518D"/>
    <w:rsid w:val="00CC51F5"/>
    <w:rsid w:val="00CC5246"/>
    <w:rsid w:val="00CC524E"/>
    <w:rsid w:val="00CC5286"/>
    <w:rsid w:val="00CC5292"/>
    <w:rsid w:val="00CC52CB"/>
    <w:rsid w:val="00CC52D6"/>
    <w:rsid w:val="00CC5351"/>
    <w:rsid w:val="00CC5381"/>
    <w:rsid w:val="00CC53E3"/>
    <w:rsid w:val="00CC5505"/>
    <w:rsid w:val="00CC5589"/>
    <w:rsid w:val="00CC5790"/>
    <w:rsid w:val="00CC57E9"/>
    <w:rsid w:val="00CC5875"/>
    <w:rsid w:val="00CC58A8"/>
    <w:rsid w:val="00CC58F5"/>
    <w:rsid w:val="00CC59C4"/>
    <w:rsid w:val="00CC5AA7"/>
    <w:rsid w:val="00CC5AB2"/>
    <w:rsid w:val="00CC5B23"/>
    <w:rsid w:val="00CC5B71"/>
    <w:rsid w:val="00CC5BB1"/>
    <w:rsid w:val="00CC5BB5"/>
    <w:rsid w:val="00CC5BE2"/>
    <w:rsid w:val="00CC5BF0"/>
    <w:rsid w:val="00CC5C74"/>
    <w:rsid w:val="00CC5C98"/>
    <w:rsid w:val="00CC5CF2"/>
    <w:rsid w:val="00CC5D1D"/>
    <w:rsid w:val="00CC5D77"/>
    <w:rsid w:val="00CC5E08"/>
    <w:rsid w:val="00CC5E21"/>
    <w:rsid w:val="00CC5E36"/>
    <w:rsid w:val="00CC5E79"/>
    <w:rsid w:val="00CC5F51"/>
    <w:rsid w:val="00CC5F77"/>
    <w:rsid w:val="00CC5FB1"/>
    <w:rsid w:val="00CC60DB"/>
    <w:rsid w:val="00CC61A8"/>
    <w:rsid w:val="00CC6292"/>
    <w:rsid w:val="00CC6394"/>
    <w:rsid w:val="00CC64A8"/>
    <w:rsid w:val="00CC64B0"/>
    <w:rsid w:val="00CC654D"/>
    <w:rsid w:val="00CC6566"/>
    <w:rsid w:val="00CC65AC"/>
    <w:rsid w:val="00CC6628"/>
    <w:rsid w:val="00CC6694"/>
    <w:rsid w:val="00CC669B"/>
    <w:rsid w:val="00CC673F"/>
    <w:rsid w:val="00CC674A"/>
    <w:rsid w:val="00CC6760"/>
    <w:rsid w:val="00CC6763"/>
    <w:rsid w:val="00CC68BA"/>
    <w:rsid w:val="00CC694A"/>
    <w:rsid w:val="00CC6997"/>
    <w:rsid w:val="00CC69AD"/>
    <w:rsid w:val="00CC69B4"/>
    <w:rsid w:val="00CC69BE"/>
    <w:rsid w:val="00CC6A23"/>
    <w:rsid w:val="00CC6A31"/>
    <w:rsid w:val="00CC6AE8"/>
    <w:rsid w:val="00CC6BD9"/>
    <w:rsid w:val="00CC6C1C"/>
    <w:rsid w:val="00CC6C40"/>
    <w:rsid w:val="00CC6C87"/>
    <w:rsid w:val="00CC6CF8"/>
    <w:rsid w:val="00CC6CFF"/>
    <w:rsid w:val="00CC6D09"/>
    <w:rsid w:val="00CC6D2D"/>
    <w:rsid w:val="00CC6D97"/>
    <w:rsid w:val="00CC6DA8"/>
    <w:rsid w:val="00CC6E4D"/>
    <w:rsid w:val="00CC6E8D"/>
    <w:rsid w:val="00CC6EA3"/>
    <w:rsid w:val="00CC6ED9"/>
    <w:rsid w:val="00CC6FF5"/>
    <w:rsid w:val="00CC6FF9"/>
    <w:rsid w:val="00CC7002"/>
    <w:rsid w:val="00CC703A"/>
    <w:rsid w:val="00CC7046"/>
    <w:rsid w:val="00CC70B3"/>
    <w:rsid w:val="00CC71EF"/>
    <w:rsid w:val="00CC7226"/>
    <w:rsid w:val="00CC7271"/>
    <w:rsid w:val="00CC733D"/>
    <w:rsid w:val="00CC7341"/>
    <w:rsid w:val="00CC7348"/>
    <w:rsid w:val="00CC73CC"/>
    <w:rsid w:val="00CC73DC"/>
    <w:rsid w:val="00CC7419"/>
    <w:rsid w:val="00CC7425"/>
    <w:rsid w:val="00CC7458"/>
    <w:rsid w:val="00CC74A0"/>
    <w:rsid w:val="00CC75D9"/>
    <w:rsid w:val="00CC762A"/>
    <w:rsid w:val="00CC763D"/>
    <w:rsid w:val="00CC773A"/>
    <w:rsid w:val="00CC7773"/>
    <w:rsid w:val="00CC779E"/>
    <w:rsid w:val="00CC7826"/>
    <w:rsid w:val="00CC7840"/>
    <w:rsid w:val="00CC78CE"/>
    <w:rsid w:val="00CC7908"/>
    <w:rsid w:val="00CC79D7"/>
    <w:rsid w:val="00CC79DF"/>
    <w:rsid w:val="00CC7A36"/>
    <w:rsid w:val="00CC7A80"/>
    <w:rsid w:val="00CC7B37"/>
    <w:rsid w:val="00CC7B3B"/>
    <w:rsid w:val="00CC7B93"/>
    <w:rsid w:val="00CC7CDF"/>
    <w:rsid w:val="00CC7D76"/>
    <w:rsid w:val="00CC7D7D"/>
    <w:rsid w:val="00CC7DB3"/>
    <w:rsid w:val="00CC7E74"/>
    <w:rsid w:val="00CC7E98"/>
    <w:rsid w:val="00CC7E9C"/>
    <w:rsid w:val="00CC7F18"/>
    <w:rsid w:val="00CC7F32"/>
    <w:rsid w:val="00CC7F7E"/>
    <w:rsid w:val="00CC7FA6"/>
    <w:rsid w:val="00CC7FB4"/>
    <w:rsid w:val="00CD0035"/>
    <w:rsid w:val="00CD004F"/>
    <w:rsid w:val="00CD008B"/>
    <w:rsid w:val="00CD0093"/>
    <w:rsid w:val="00CD00B4"/>
    <w:rsid w:val="00CD00E5"/>
    <w:rsid w:val="00CD013D"/>
    <w:rsid w:val="00CD01E3"/>
    <w:rsid w:val="00CD0223"/>
    <w:rsid w:val="00CD024C"/>
    <w:rsid w:val="00CD027E"/>
    <w:rsid w:val="00CD030B"/>
    <w:rsid w:val="00CD030E"/>
    <w:rsid w:val="00CD0335"/>
    <w:rsid w:val="00CD0411"/>
    <w:rsid w:val="00CD055A"/>
    <w:rsid w:val="00CD061A"/>
    <w:rsid w:val="00CD06AA"/>
    <w:rsid w:val="00CD06DC"/>
    <w:rsid w:val="00CD0702"/>
    <w:rsid w:val="00CD075A"/>
    <w:rsid w:val="00CD0792"/>
    <w:rsid w:val="00CD07DC"/>
    <w:rsid w:val="00CD07E0"/>
    <w:rsid w:val="00CD07F6"/>
    <w:rsid w:val="00CD080F"/>
    <w:rsid w:val="00CD0820"/>
    <w:rsid w:val="00CD0821"/>
    <w:rsid w:val="00CD0866"/>
    <w:rsid w:val="00CD08F8"/>
    <w:rsid w:val="00CD0986"/>
    <w:rsid w:val="00CD0991"/>
    <w:rsid w:val="00CD0A16"/>
    <w:rsid w:val="00CD0AA6"/>
    <w:rsid w:val="00CD0AED"/>
    <w:rsid w:val="00CD0B3D"/>
    <w:rsid w:val="00CD0BAD"/>
    <w:rsid w:val="00CD0C2A"/>
    <w:rsid w:val="00CD0C32"/>
    <w:rsid w:val="00CD0C62"/>
    <w:rsid w:val="00CD0C8C"/>
    <w:rsid w:val="00CD0CFD"/>
    <w:rsid w:val="00CD0D07"/>
    <w:rsid w:val="00CD0D35"/>
    <w:rsid w:val="00CD0DEC"/>
    <w:rsid w:val="00CD0E15"/>
    <w:rsid w:val="00CD0E93"/>
    <w:rsid w:val="00CD0F4A"/>
    <w:rsid w:val="00CD0F5E"/>
    <w:rsid w:val="00CD0F95"/>
    <w:rsid w:val="00CD105E"/>
    <w:rsid w:val="00CD10DF"/>
    <w:rsid w:val="00CD1100"/>
    <w:rsid w:val="00CD1130"/>
    <w:rsid w:val="00CD1174"/>
    <w:rsid w:val="00CD11DA"/>
    <w:rsid w:val="00CD11E2"/>
    <w:rsid w:val="00CD1226"/>
    <w:rsid w:val="00CD1235"/>
    <w:rsid w:val="00CD12E3"/>
    <w:rsid w:val="00CD130F"/>
    <w:rsid w:val="00CD13EF"/>
    <w:rsid w:val="00CD140A"/>
    <w:rsid w:val="00CD1417"/>
    <w:rsid w:val="00CD14B9"/>
    <w:rsid w:val="00CD14E8"/>
    <w:rsid w:val="00CD152A"/>
    <w:rsid w:val="00CD156F"/>
    <w:rsid w:val="00CD159C"/>
    <w:rsid w:val="00CD15DD"/>
    <w:rsid w:val="00CD1646"/>
    <w:rsid w:val="00CD1692"/>
    <w:rsid w:val="00CD16F6"/>
    <w:rsid w:val="00CD1745"/>
    <w:rsid w:val="00CD1781"/>
    <w:rsid w:val="00CD181B"/>
    <w:rsid w:val="00CD18FC"/>
    <w:rsid w:val="00CD1943"/>
    <w:rsid w:val="00CD1A1C"/>
    <w:rsid w:val="00CD1B5D"/>
    <w:rsid w:val="00CD1B62"/>
    <w:rsid w:val="00CD1B9F"/>
    <w:rsid w:val="00CD1CA4"/>
    <w:rsid w:val="00CD1CDF"/>
    <w:rsid w:val="00CD1D0C"/>
    <w:rsid w:val="00CD1DF2"/>
    <w:rsid w:val="00CD1ECD"/>
    <w:rsid w:val="00CD1ECE"/>
    <w:rsid w:val="00CD1EE9"/>
    <w:rsid w:val="00CD1F0F"/>
    <w:rsid w:val="00CD1FD9"/>
    <w:rsid w:val="00CD1FEB"/>
    <w:rsid w:val="00CD211E"/>
    <w:rsid w:val="00CD213A"/>
    <w:rsid w:val="00CD21C6"/>
    <w:rsid w:val="00CD21F3"/>
    <w:rsid w:val="00CD222A"/>
    <w:rsid w:val="00CD225D"/>
    <w:rsid w:val="00CD227F"/>
    <w:rsid w:val="00CD2322"/>
    <w:rsid w:val="00CD2326"/>
    <w:rsid w:val="00CD2348"/>
    <w:rsid w:val="00CD23A9"/>
    <w:rsid w:val="00CD23B3"/>
    <w:rsid w:val="00CD23D6"/>
    <w:rsid w:val="00CD2423"/>
    <w:rsid w:val="00CD243A"/>
    <w:rsid w:val="00CD2441"/>
    <w:rsid w:val="00CD2520"/>
    <w:rsid w:val="00CD2565"/>
    <w:rsid w:val="00CD2661"/>
    <w:rsid w:val="00CD26BA"/>
    <w:rsid w:val="00CD27E1"/>
    <w:rsid w:val="00CD28A1"/>
    <w:rsid w:val="00CD2954"/>
    <w:rsid w:val="00CD2A00"/>
    <w:rsid w:val="00CD2A8F"/>
    <w:rsid w:val="00CD2C22"/>
    <w:rsid w:val="00CD2C54"/>
    <w:rsid w:val="00CD2C6A"/>
    <w:rsid w:val="00CD2CB4"/>
    <w:rsid w:val="00CD2D2D"/>
    <w:rsid w:val="00CD2D30"/>
    <w:rsid w:val="00CD2D4A"/>
    <w:rsid w:val="00CD2D7B"/>
    <w:rsid w:val="00CD2DC8"/>
    <w:rsid w:val="00CD2EA1"/>
    <w:rsid w:val="00CD2EE7"/>
    <w:rsid w:val="00CD2EFA"/>
    <w:rsid w:val="00CD3042"/>
    <w:rsid w:val="00CD307F"/>
    <w:rsid w:val="00CD30EF"/>
    <w:rsid w:val="00CD314D"/>
    <w:rsid w:val="00CD3152"/>
    <w:rsid w:val="00CD316A"/>
    <w:rsid w:val="00CD3195"/>
    <w:rsid w:val="00CD31ED"/>
    <w:rsid w:val="00CD31EE"/>
    <w:rsid w:val="00CD323D"/>
    <w:rsid w:val="00CD324B"/>
    <w:rsid w:val="00CD32DE"/>
    <w:rsid w:val="00CD330C"/>
    <w:rsid w:val="00CD33BC"/>
    <w:rsid w:val="00CD3443"/>
    <w:rsid w:val="00CD3455"/>
    <w:rsid w:val="00CD345A"/>
    <w:rsid w:val="00CD346D"/>
    <w:rsid w:val="00CD34A0"/>
    <w:rsid w:val="00CD35C6"/>
    <w:rsid w:val="00CD35C9"/>
    <w:rsid w:val="00CD360B"/>
    <w:rsid w:val="00CD368C"/>
    <w:rsid w:val="00CD3756"/>
    <w:rsid w:val="00CD37C7"/>
    <w:rsid w:val="00CD3823"/>
    <w:rsid w:val="00CD389F"/>
    <w:rsid w:val="00CD3945"/>
    <w:rsid w:val="00CD399A"/>
    <w:rsid w:val="00CD39A5"/>
    <w:rsid w:val="00CD39EF"/>
    <w:rsid w:val="00CD39F9"/>
    <w:rsid w:val="00CD3A3A"/>
    <w:rsid w:val="00CD3AC6"/>
    <w:rsid w:val="00CD3AE9"/>
    <w:rsid w:val="00CD3B85"/>
    <w:rsid w:val="00CD3BBA"/>
    <w:rsid w:val="00CD3BCE"/>
    <w:rsid w:val="00CD3C4C"/>
    <w:rsid w:val="00CD3CFB"/>
    <w:rsid w:val="00CD3D59"/>
    <w:rsid w:val="00CD3D67"/>
    <w:rsid w:val="00CD3D6C"/>
    <w:rsid w:val="00CD3DD0"/>
    <w:rsid w:val="00CD3DD4"/>
    <w:rsid w:val="00CD3DF4"/>
    <w:rsid w:val="00CD3E19"/>
    <w:rsid w:val="00CD3F95"/>
    <w:rsid w:val="00CD3FF5"/>
    <w:rsid w:val="00CD3FF9"/>
    <w:rsid w:val="00CD4078"/>
    <w:rsid w:val="00CD40FF"/>
    <w:rsid w:val="00CD4118"/>
    <w:rsid w:val="00CD412C"/>
    <w:rsid w:val="00CD42A0"/>
    <w:rsid w:val="00CD42A9"/>
    <w:rsid w:val="00CD42E7"/>
    <w:rsid w:val="00CD4366"/>
    <w:rsid w:val="00CD4401"/>
    <w:rsid w:val="00CD4479"/>
    <w:rsid w:val="00CD4482"/>
    <w:rsid w:val="00CD44D8"/>
    <w:rsid w:val="00CD4501"/>
    <w:rsid w:val="00CD4578"/>
    <w:rsid w:val="00CD45D3"/>
    <w:rsid w:val="00CD4634"/>
    <w:rsid w:val="00CD4732"/>
    <w:rsid w:val="00CD4738"/>
    <w:rsid w:val="00CD474D"/>
    <w:rsid w:val="00CD4783"/>
    <w:rsid w:val="00CD47CA"/>
    <w:rsid w:val="00CD47FC"/>
    <w:rsid w:val="00CD4891"/>
    <w:rsid w:val="00CD48E3"/>
    <w:rsid w:val="00CD48E7"/>
    <w:rsid w:val="00CD495C"/>
    <w:rsid w:val="00CD498B"/>
    <w:rsid w:val="00CD49B3"/>
    <w:rsid w:val="00CD4A00"/>
    <w:rsid w:val="00CD4A2F"/>
    <w:rsid w:val="00CD4AA0"/>
    <w:rsid w:val="00CD4B10"/>
    <w:rsid w:val="00CD4B50"/>
    <w:rsid w:val="00CD4BD9"/>
    <w:rsid w:val="00CD4D72"/>
    <w:rsid w:val="00CD4D93"/>
    <w:rsid w:val="00CD4DA6"/>
    <w:rsid w:val="00CD4DE5"/>
    <w:rsid w:val="00CD4E11"/>
    <w:rsid w:val="00CD4E32"/>
    <w:rsid w:val="00CD4EE8"/>
    <w:rsid w:val="00CD4FC5"/>
    <w:rsid w:val="00CD4FCC"/>
    <w:rsid w:val="00CD5090"/>
    <w:rsid w:val="00CD510F"/>
    <w:rsid w:val="00CD514D"/>
    <w:rsid w:val="00CD51A8"/>
    <w:rsid w:val="00CD51E3"/>
    <w:rsid w:val="00CD51F0"/>
    <w:rsid w:val="00CD520E"/>
    <w:rsid w:val="00CD5249"/>
    <w:rsid w:val="00CD5288"/>
    <w:rsid w:val="00CD529A"/>
    <w:rsid w:val="00CD5330"/>
    <w:rsid w:val="00CD5334"/>
    <w:rsid w:val="00CD5350"/>
    <w:rsid w:val="00CD53D5"/>
    <w:rsid w:val="00CD53F4"/>
    <w:rsid w:val="00CD5432"/>
    <w:rsid w:val="00CD5459"/>
    <w:rsid w:val="00CD54E3"/>
    <w:rsid w:val="00CD54EB"/>
    <w:rsid w:val="00CD5506"/>
    <w:rsid w:val="00CD5526"/>
    <w:rsid w:val="00CD5539"/>
    <w:rsid w:val="00CD5642"/>
    <w:rsid w:val="00CD5648"/>
    <w:rsid w:val="00CD5668"/>
    <w:rsid w:val="00CD5684"/>
    <w:rsid w:val="00CD568D"/>
    <w:rsid w:val="00CD56A0"/>
    <w:rsid w:val="00CD56B4"/>
    <w:rsid w:val="00CD5717"/>
    <w:rsid w:val="00CD57CD"/>
    <w:rsid w:val="00CD57E5"/>
    <w:rsid w:val="00CD5847"/>
    <w:rsid w:val="00CD584F"/>
    <w:rsid w:val="00CD5875"/>
    <w:rsid w:val="00CD58CB"/>
    <w:rsid w:val="00CD5901"/>
    <w:rsid w:val="00CD5916"/>
    <w:rsid w:val="00CD5937"/>
    <w:rsid w:val="00CD5950"/>
    <w:rsid w:val="00CD596B"/>
    <w:rsid w:val="00CD597A"/>
    <w:rsid w:val="00CD59DA"/>
    <w:rsid w:val="00CD5A35"/>
    <w:rsid w:val="00CD5ABF"/>
    <w:rsid w:val="00CD5AD4"/>
    <w:rsid w:val="00CD5B39"/>
    <w:rsid w:val="00CD5BD5"/>
    <w:rsid w:val="00CD5C25"/>
    <w:rsid w:val="00CD5C8A"/>
    <w:rsid w:val="00CD5D22"/>
    <w:rsid w:val="00CD5DB3"/>
    <w:rsid w:val="00CD5DDF"/>
    <w:rsid w:val="00CD5E89"/>
    <w:rsid w:val="00CD5EC6"/>
    <w:rsid w:val="00CD5EFA"/>
    <w:rsid w:val="00CD5F15"/>
    <w:rsid w:val="00CD5F76"/>
    <w:rsid w:val="00CD60BC"/>
    <w:rsid w:val="00CD60EA"/>
    <w:rsid w:val="00CD615B"/>
    <w:rsid w:val="00CD6213"/>
    <w:rsid w:val="00CD62B3"/>
    <w:rsid w:val="00CD62C6"/>
    <w:rsid w:val="00CD62E6"/>
    <w:rsid w:val="00CD62F5"/>
    <w:rsid w:val="00CD6392"/>
    <w:rsid w:val="00CD639E"/>
    <w:rsid w:val="00CD63C0"/>
    <w:rsid w:val="00CD6437"/>
    <w:rsid w:val="00CD64AC"/>
    <w:rsid w:val="00CD64D6"/>
    <w:rsid w:val="00CD64FF"/>
    <w:rsid w:val="00CD652E"/>
    <w:rsid w:val="00CD65B7"/>
    <w:rsid w:val="00CD660D"/>
    <w:rsid w:val="00CD6655"/>
    <w:rsid w:val="00CD6681"/>
    <w:rsid w:val="00CD66C0"/>
    <w:rsid w:val="00CD6799"/>
    <w:rsid w:val="00CD67D2"/>
    <w:rsid w:val="00CD67D5"/>
    <w:rsid w:val="00CD68A0"/>
    <w:rsid w:val="00CD696F"/>
    <w:rsid w:val="00CD6973"/>
    <w:rsid w:val="00CD6A3B"/>
    <w:rsid w:val="00CD6A3C"/>
    <w:rsid w:val="00CD6AA9"/>
    <w:rsid w:val="00CD6AF7"/>
    <w:rsid w:val="00CD6B19"/>
    <w:rsid w:val="00CD6B42"/>
    <w:rsid w:val="00CD6B74"/>
    <w:rsid w:val="00CD6B9B"/>
    <w:rsid w:val="00CD6C38"/>
    <w:rsid w:val="00CD6D31"/>
    <w:rsid w:val="00CD6D37"/>
    <w:rsid w:val="00CD6DFB"/>
    <w:rsid w:val="00CD6DFC"/>
    <w:rsid w:val="00CD6E51"/>
    <w:rsid w:val="00CD6EFD"/>
    <w:rsid w:val="00CD6F3F"/>
    <w:rsid w:val="00CD6F7B"/>
    <w:rsid w:val="00CD6FA2"/>
    <w:rsid w:val="00CD6FE1"/>
    <w:rsid w:val="00CD7008"/>
    <w:rsid w:val="00CD703D"/>
    <w:rsid w:val="00CD70A9"/>
    <w:rsid w:val="00CD716D"/>
    <w:rsid w:val="00CD7179"/>
    <w:rsid w:val="00CD718C"/>
    <w:rsid w:val="00CD727A"/>
    <w:rsid w:val="00CD72A4"/>
    <w:rsid w:val="00CD72FA"/>
    <w:rsid w:val="00CD7337"/>
    <w:rsid w:val="00CD73CA"/>
    <w:rsid w:val="00CD7400"/>
    <w:rsid w:val="00CD743A"/>
    <w:rsid w:val="00CD745B"/>
    <w:rsid w:val="00CD74CC"/>
    <w:rsid w:val="00CD74F0"/>
    <w:rsid w:val="00CD752D"/>
    <w:rsid w:val="00CD7553"/>
    <w:rsid w:val="00CD7577"/>
    <w:rsid w:val="00CD7611"/>
    <w:rsid w:val="00CD7708"/>
    <w:rsid w:val="00CD7728"/>
    <w:rsid w:val="00CD776A"/>
    <w:rsid w:val="00CD7782"/>
    <w:rsid w:val="00CD779C"/>
    <w:rsid w:val="00CD77F1"/>
    <w:rsid w:val="00CD7815"/>
    <w:rsid w:val="00CD787D"/>
    <w:rsid w:val="00CD7880"/>
    <w:rsid w:val="00CD7882"/>
    <w:rsid w:val="00CD7883"/>
    <w:rsid w:val="00CD78DA"/>
    <w:rsid w:val="00CD7918"/>
    <w:rsid w:val="00CD79C2"/>
    <w:rsid w:val="00CD79E5"/>
    <w:rsid w:val="00CD7A1E"/>
    <w:rsid w:val="00CD7A36"/>
    <w:rsid w:val="00CD7A61"/>
    <w:rsid w:val="00CD7A7F"/>
    <w:rsid w:val="00CD7A8C"/>
    <w:rsid w:val="00CD7AB1"/>
    <w:rsid w:val="00CD7ABD"/>
    <w:rsid w:val="00CD7AFD"/>
    <w:rsid w:val="00CD7B71"/>
    <w:rsid w:val="00CD7BB8"/>
    <w:rsid w:val="00CD7BE3"/>
    <w:rsid w:val="00CD7C03"/>
    <w:rsid w:val="00CD7D09"/>
    <w:rsid w:val="00CD7D27"/>
    <w:rsid w:val="00CD7D4E"/>
    <w:rsid w:val="00CD7D53"/>
    <w:rsid w:val="00CD7D85"/>
    <w:rsid w:val="00CD7D8E"/>
    <w:rsid w:val="00CD7E10"/>
    <w:rsid w:val="00CD7E39"/>
    <w:rsid w:val="00CD7E9A"/>
    <w:rsid w:val="00CD7ED6"/>
    <w:rsid w:val="00CD7F19"/>
    <w:rsid w:val="00CD7F25"/>
    <w:rsid w:val="00CE0023"/>
    <w:rsid w:val="00CE005C"/>
    <w:rsid w:val="00CE011E"/>
    <w:rsid w:val="00CE013D"/>
    <w:rsid w:val="00CE017C"/>
    <w:rsid w:val="00CE018A"/>
    <w:rsid w:val="00CE026C"/>
    <w:rsid w:val="00CE0273"/>
    <w:rsid w:val="00CE02CF"/>
    <w:rsid w:val="00CE02DC"/>
    <w:rsid w:val="00CE042E"/>
    <w:rsid w:val="00CE0462"/>
    <w:rsid w:val="00CE04D7"/>
    <w:rsid w:val="00CE04EB"/>
    <w:rsid w:val="00CE0500"/>
    <w:rsid w:val="00CE05F8"/>
    <w:rsid w:val="00CE0661"/>
    <w:rsid w:val="00CE06A2"/>
    <w:rsid w:val="00CE06F6"/>
    <w:rsid w:val="00CE0776"/>
    <w:rsid w:val="00CE086C"/>
    <w:rsid w:val="00CE0898"/>
    <w:rsid w:val="00CE08E9"/>
    <w:rsid w:val="00CE092F"/>
    <w:rsid w:val="00CE0978"/>
    <w:rsid w:val="00CE0988"/>
    <w:rsid w:val="00CE0AA9"/>
    <w:rsid w:val="00CE0AFB"/>
    <w:rsid w:val="00CE0BA7"/>
    <w:rsid w:val="00CE0C48"/>
    <w:rsid w:val="00CE0C52"/>
    <w:rsid w:val="00CE0D20"/>
    <w:rsid w:val="00CE0D5D"/>
    <w:rsid w:val="00CE0D99"/>
    <w:rsid w:val="00CE0DCF"/>
    <w:rsid w:val="00CE0EC3"/>
    <w:rsid w:val="00CE0F49"/>
    <w:rsid w:val="00CE0F91"/>
    <w:rsid w:val="00CE1007"/>
    <w:rsid w:val="00CE1028"/>
    <w:rsid w:val="00CE1032"/>
    <w:rsid w:val="00CE1034"/>
    <w:rsid w:val="00CE1038"/>
    <w:rsid w:val="00CE1060"/>
    <w:rsid w:val="00CE122A"/>
    <w:rsid w:val="00CE12CC"/>
    <w:rsid w:val="00CE131C"/>
    <w:rsid w:val="00CE1396"/>
    <w:rsid w:val="00CE14D4"/>
    <w:rsid w:val="00CE14E0"/>
    <w:rsid w:val="00CE1533"/>
    <w:rsid w:val="00CE154E"/>
    <w:rsid w:val="00CE1563"/>
    <w:rsid w:val="00CE15BE"/>
    <w:rsid w:val="00CE15DE"/>
    <w:rsid w:val="00CE15E3"/>
    <w:rsid w:val="00CE1651"/>
    <w:rsid w:val="00CE1659"/>
    <w:rsid w:val="00CE16B3"/>
    <w:rsid w:val="00CE170E"/>
    <w:rsid w:val="00CE177B"/>
    <w:rsid w:val="00CE189B"/>
    <w:rsid w:val="00CE18BC"/>
    <w:rsid w:val="00CE18BD"/>
    <w:rsid w:val="00CE19A1"/>
    <w:rsid w:val="00CE19EF"/>
    <w:rsid w:val="00CE1A0F"/>
    <w:rsid w:val="00CE1A4F"/>
    <w:rsid w:val="00CE1B2B"/>
    <w:rsid w:val="00CE1C38"/>
    <w:rsid w:val="00CE1CBF"/>
    <w:rsid w:val="00CE1CDE"/>
    <w:rsid w:val="00CE1D13"/>
    <w:rsid w:val="00CE1D4E"/>
    <w:rsid w:val="00CE1DFD"/>
    <w:rsid w:val="00CE1E4A"/>
    <w:rsid w:val="00CE1F5A"/>
    <w:rsid w:val="00CE1F6B"/>
    <w:rsid w:val="00CE2015"/>
    <w:rsid w:val="00CE2052"/>
    <w:rsid w:val="00CE2093"/>
    <w:rsid w:val="00CE2098"/>
    <w:rsid w:val="00CE20F8"/>
    <w:rsid w:val="00CE2144"/>
    <w:rsid w:val="00CE22DE"/>
    <w:rsid w:val="00CE22E7"/>
    <w:rsid w:val="00CE2331"/>
    <w:rsid w:val="00CE233A"/>
    <w:rsid w:val="00CE2386"/>
    <w:rsid w:val="00CE2423"/>
    <w:rsid w:val="00CE249F"/>
    <w:rsid w:val="00CE24E1"/>
    <w:rsid w:val="00CE2599"/>
    <w:rsid w:val="00CE25C3"/>
    <w:rsid w:val="00CE25CA"/>
    <w:rsid w:val="00CE25D3"/>
    <w:rsid w:val="00CE2663"/>
    <w:rsid w:val="00CE2682"/>
    <w:rsid w:val="00CE26E9"/>
    <w:rsid w:val="00CE2734"/>
    <w:rsid w:val="00CE2868"/>
    <w:rsid w:val="00CE28B5"/>
    <w:rsid w:val="00CE2928"/>
    <w:rsid w:val="00CE297D"/>
    <w:rsid w:val="00CE2A0B"/>
    <w:rsid w:val="00CE2A6F"/>
    <w:rsid w:val="00CE2A74"/>
    <w:rsid w:val="00CE2AE4"/>
    <w:rsid w:val="00CE2BBD"/>
    <w:rsid w:val="00CE2BE8"/>
    <w:rsid w:val="00CE2BFD"/>
    <w:rsid w:val="00CE2C6E"/>
    <w:rsid w:val="00CE2CE7"/>
    <w:rsid w:val="00CE2D80"/>
    <w:rsid w:val="00CE2DC3"/>
    <w:rsid w:val="00CE2E38"/>
    <w:rsid w:val="00CE2E61"/>
    <w:rsid w:val="00CE2F37"/>
    <w:rsid w:val="00CE2F3F"/>
    <w:rsid w:val="00CE2FA4"/>
    <w:rsid w:val="00CE304E"/>
    <w:rsid w:val="00CE3072"/>
    <w:rsid w:val="00CE30C7"/>
    <w:rsid w:val="00CE310B"/>
    <w:rsid w:val="00CE317A"/>
    <w:rsid w:val="00CE31B8"/>
    <w:rsid w:val="00CE31EF"/>
    <w:rsid w:val="00CE3200"/>
    <w:rsid w:val="00CE32F8"/>
    <w:rsid w:val="00CE331C"/>
    <w:rsid w:val="00CE335C"/>
    <w:rsid w:val="00CE33A3"/>
    <w:rsid w:val="00CE33E0"/>
    <w:rsid w:val="00CE34C3"/>
    <w:rsid w:val="00CE3505"/>
    <w:rsid w:val="00CE3548"/>
    <w:rsid w:val="00CE3595"/>
    <w:rsid w:val="00CE35AA"/>
    <w:rsid w:val="00CE3692"/>
    <w:rsid w:val="00CE369C"/>
    <w:rsid w:val="00CE3788"/>
    <w:rsid w:val="00CE37AA"/>
    <w:rsid w:val="00CE3834"/>
    <w:rsid w:val="00CE38B1"/>
    <w:rsid w:val="00CE38D0"/>
    <w:rsid w:val="00CE38EF"/>
    <w:rsid w:val="00CE38F2"/>
    <w:rsid w:val="00CE390F"/>
    <w:rsid w:val="00CE3930"/>
    <w:rsid w:val="00CE3966"/>
    <w:rsid w:val="00CE3A94"/>
    <w:rsid w:val="00CE3B3F"/>
    <w:rsid w:val="00CE3B43"/>
    <w:rsid w:val="00CE3B7E"/>
    <w:rsid w:val="00CE3B7F"/>
    <w:rsid w:val="00CE3C19"/>
    <w:rsid w:val="00CE3CA5"/>
    <w:rsid w:val="00CE3D36"/>
    <w:rsid w:val="00CE3D46"/>
    <w:rsid w:val="00CE3D71"/>
    <w:rsid w:val="00CE3D77"/>
    <w:rsid w:val="00CE3D87"/>
    <w:rsid w:val="00CE3DFB"/>
    <w:rsid w:val="00CE3E62"/>
    <w:rsid w:val="00CE3ECB"/>
    <w:rsid w:val="00CE3F2C"/>
    <w:rsid w:val="00CE3FF7"/>
    <w:rsid w:val="00CE400A"/>
    <w:rsid w:val="00CE404F"/>
    <w:rsid w:val="00CE408A"/>
    <w:rsid w:val="00CE411A"/>
    <w:rsid w:val="00CE41BC"/>
    <w:rsid w:val="00CE41EB"/>
    <w:rsid w:val="00CE42BB"/>
    <w:rsid w:val="00CE42BF"/>
    <w:rsid w:val="00CE42FE"/>
    <w:rsid w:val="00CE4357"/>
    <w:rsid w:val="00CE4373"/>
    <w:rsid w:val="00CE437F"/>
    <w:rsid w:val="00CE43B2"/>
    <w:rsid w:val="00CE43D7"/>
    <w:rsid w:val="00CE43EC"/>
    <w:rsid w:val="00CE446D"/>
    <w:rsid w:val="00CE446F"/>
    <w:rsid w:val="00CE4539"/>
    <w:rsid w:val="00CE454D"/>
    <w:rsid w:val="00CE458D"/>
    <w:rsid w:val="00CE45A9"/>
    <w:rsid w:val="00CE46E3"/>
    <w:rsid w:val="00CE4752"/>
    <w:rsid w:val="00CE4869"/>
    <w:rsid w:val="00CE49F0"/>
    <w:rsid w:val="00CE4A4B"/>
    <w:rsid w:val="00CE4AE0"/>
    <w:rsid w:val="00CE4AF4"/>
    <w:rsid w:val="00CE4AFC"/>
    <w:rsid w:val="00CE4B31"/>
    <w:rsid w:val="00CE4BD7"/>
    <w:rsid w:val="00CE4C24"/>
    <w:rsid w:val="00CE4D9E"/>
    <w:rsid w:val="00CE4EFA"/>
    <w:rsid w:val="00CE4EFB"/>
    <w:rsid w:val="00CE4F02"/>
    <w:rsid w:val="00CE4F69"/>
    <w:rsid w:val="00CE4FF0"/>
    <w:rsid w:val="00CE5001"/>
    <w:rsid w:val="00CE50F0"/>
    <w:rsid w:val="00CE51A7"/>
    <w:rsid w:val="00CE5313"/>
    <w:rsid w:val="00CE5319"/>
    <w:rsid w:val="00CE536B"/>
    <w:rsid w:val="00CE53B9"/>
    <w:rsid w:val="00CE540B"/>
    <w:rsid w:val="00CE5457"/>
    <w:rsid w:val="00CE54BE"/>
    <w:rsid w:val="00CE5536"/>
    <w:rsid w:val="00CE5592"/>
    <w:rsid w:val="00CE55E7"/>
    <w:rsid w:val="00CE55F8"/>
    <w:rsid w:val="00CE5648"/>
    <w:rsid w:val="00CE56D8"/>
    <w:rsid w:val="00CE570A"/>
    <w:rsid w:val="00CE5777"/>
    <w:rsid w:val="00CE581A"/>
    <w:rsid w:val="00CE5886"/>
    <w:rsid w:val="00CE58D3"/>
    <w:rsid w:val="00CE591C"/>
    <w:rsid w:val="00CE5953"/>
    <w:rsid w:val="00CE5956"/>
    <w:rsid w:val="00CE59B8"/>
    <w:rsid w:val="00CE59F3"/>
    <w:rsid w:val="00CE5A6F"/>
    <w:rsid w:val="00CE5B1C"/>
    <w:rsid w:val="00CE5D28"/>
    <w:rsid w:val="00CE5DB2"/>
    <w:rsid w:val="00CE5E42"/>
    <w:rsid w:val="00CE5E6C"/>
    <w:rsid w:val="00CE5ED2"/>
    <w:rsid w:val="00CE5F29"/>
    <w:rsid w:val="00CE6003"/>
    <w:rsid w:val="00CE60EE"/>
    <w:rsid w:val="00CE6108"/>
    <w:rsid w:val="00CE61DF"/>
    <w:rsid w:val="00CE625F"/>
    <w:rsid w:val="00CE6287"/>
    <w:rsid w:val="00CE62D2"/>
    <w:rsid w:val="00CE6392"/>
    <w:rsid w:val="00CE63C2"/>
    <w:rsid w:val="00CE63C4"/>
    <w:rsid w:val="00CE63F7"/>
    <w:rsid w:val="00CE6454"/>
    <w:rsid w:val="00CE6495"/>
    <w:rsid w:val="00CE64DA"/>
    <w:rsid w:val="00CE664A"/>
    <w:rsid w:val="00CE66E4"/>
    <w:rsid w:val="00CE67D9"/>
    <w:rsid w:val="00CE67E1"/>
    <w:rsid w:val="00CE6831"/>
    <w:rsid w:val="00CE689B"/>
    <w:rsid w:val="00CE6985"/>
    <w:rsid w:val="00CE6A62"/>
    <w:rsid w:val="00CE6A66"/>
    <w:rsid w:val="00CE6BBF"/>
    <w:rsid w:val="00CE6C07"/>
    <w:rsid w:val="00CE6C39"/>
    <w:rsid w:val="00CE6C55"/>
    <w:rsid w:val="00CE6CD2"/>
    <w:rsid w:val="00CE6D77"/>
    <w:rsid w:val="00CE6DA9"/>
    <w:rsid w:val="00CE6DCC"/>
    <w:rsid w:val="00CE6E0E"/>
    <w:rsid w:val="00CE6E2D"/>
    <w:rsid w:val="00CE6EB8"/>
    <w:rsid w:val="00CE6EFB"/>
    <w:rsid w:val="00CE6F09"/>
    <w:rsid w:val="00CE6F17"/>
    <w:rsid w:val="00CE6F4C"/>
    <w:rsid w:val="00CE6F52"/>
    <w:rsid w:val="00CE6F8A"/>
    <w:rsid w:val="00CE7074"/>
    <w:rsid w:val="00CE71FB"/>
    <w:rsid w:val="00CE724B"/>
    <w:rsid w:val="00CE7288"/>
    <w:rsid w:val="00CE7297"/>
    <w:rsid w:val="00CE72B9"/>
    <w:rsid w:val="00CE7301"/>
    <w:rsid w:val="00CE7375"/>
    <w:rsid w:val="00CE73B1"/>
    <w:rsid w:val="00CE74B4"/>
    <w:rsid w:val="00CE7554"/>
    <w:rsid w:val="00CE766C"/>
    <w:rsid w:val="00CE766D"/>
    <w:rsid w:val="00CE768A"/>
    <w:rsid w:val="00CE76F7"/>
    <w:rsid w:val="00CE782B"/>
    <w:rsid w:val="00CE788F"/>
    <w:rsid w:val="00CE78F7"/>
    <w:rsid w:val="00CE7A63"/>
    <w:rsid w:val="00CE7CA1"/>
    <w:rsid w:val="00CE7CAE"/>
    <w:rsid w:val="00CE7D7D"/>
    <w:rsid w:val="00CE7D8D"/>
    <w:rsid w:val="00CE7DC1"/>
    <w:rsid w:val="00CE7E27"/>
    <w:rsid w:val="00CE7E56"/>
    <w:rsid w:val="00CE7E74"/>
    <w:rsid w:val="00CE7E98"/>
    <w:rsid w:val="00CE7EE0"/>
    <w:rsid w:val="00CE7F66"/>
    <w:rsid w:val="00CE7FA9"/>
    <w:rsid w:val="00CE7FEB"/>
    <w:rsid w:val="00CF001D"/>
    <w:rsid w:val="00CF007A"/>
    <w:rsid w:val="00CF00BE"/>
    <w:rsid w:val="00CF0105"/>
    <w:rsid w:val="00CF01BE"/>
    <w:rsid w:val="00CF01D7"/>
    <w:rsid w:val="00CF0243"/>
    <w:rsid w:val="00CF02A5"/>
    <w:rsid w:val="00CF03D6"/>
    <w:rsid w:val="00CF044B"/>
    <w:rsid w:val="00CF04C6"/>
    <w:rsid w:val="00CF04F4"/>
    <w:rsid w:val="00CF05DA"/>
    <w:rsid w:val="00CF064C"/>
    <w:rsid w:val="00CF06D3"/>
    <w:rsid w:val="00CF0745"/>
    <w:rsid w:val="00CF0774"/>
    <w:rsid w:val="00CF077C"/>
    <w:rsid w:val="00CF083F"/>
    <w:rsid w:val="00CF0889"/>
    <w:rsid w:val="00CF08DC"/>
    <w:rsid w:val="00CF091D"/>
    <w:rsid w:val="00CF0928"/>
    <w:rsid w:val="00CF09CD"/>
    <w:rsid w:val="00CF09D0"/>
    <w:rsid w:val="00CF0AF1"/>
    <w:rsid w:val="00CF0B55"/>
    <w:rsid w:val="00CF0B6C"/>
    <w:rsid w:val="00CF0C03"/>
    <w:rsid w:val="00CF0C10"/>
    <w:rsid w:val="00CF0CB2"/>
    <w:rsid w:val="00CF0D15"/>
    <w:rsid w:val="00CF0D1C"/>
    <w:rsid w:val="00CF0D79"/>
    <w:rsid w:val="00CF0E6B"/>
    <w:rsid w:val="00CF0F46"/>
    <w:rsid w:val="00CF0F57"/>
    <w:rsid w:val="00CF0F91"/>
    <w:rsid w:val="00CF0FA7"/>
    <w:rsid w:val="00CF104A"/>
    <w:rsid w:val="00CF1197"/>
    <w:rsid w:val="00CF123D"/>
    <w:rsid w:val="00CF123F"/>
    <w:rsid w:val="00CF124E"/>
    <w:rsid w:val="00CF1298"/>
    <w:rsid w:val="00CF12D6"/>
    <w:rsid w:val="00CF12EC"/>
    <w:rsid w:val="00CF1364"/>
    <w:rsid w:val="00CF13B6"/>
    <w:rsid w:val="00CF13F7"/>
    <w:rsid w:val="00CF14EC"/>
    <w:rsid w:val="00CF150C"/>
    <w:rsid w:val="00CF1543"/>
    <w:rsid w:val="00CF15C8"/>
    <w:rsid w:val="00CF15C9"/>
    <w:rsid w:val="00CF15D0"/>
    <w:rsid w:val="00CF16A9"/>
    <w:rsid w:val="00CF1748"/>
    <w:rsid w:val="00CF18B3"/>
    <w:rsid w:val="00CF194A"/>
    <w:rsid w:val="00CF198F"/>
    <w:rsid w:val="00CF1A75"/>
    <w:rsid w:val="00CF1A79"/>
    <w:rsid w:val="00CF1AFB"/>
    <w:rsid w:val="00CF1B11"/>
    <w:rsid w:val="00CF1B23"/>
    <w:rsid w:val="00CF1C6C"/>
    <w:rsid w:val="00CF1CA0"/>
    <w:rsid w:val="00CF1CA4"/>
    <w:rsid w:val="00CF1CD5"/>
    <w:rsid w:val="00CF1D19"/>
    <w:rsid w:val="00CF1E76"/>
    <w:rsid w:val="00CF1E77"/>
    <w:rsid w:val="00CF1E90"/>
    <w:rsid w:val="00CF1ED6"/>
    <w:rsid w:val="00CF1F5A"/>
    <w:rsid w:val="00CF1FC7"/>
    <w:rsid w:val="00CF1FF8"/>
    <w:rsid w:val="00CF2085"/>
    <w:rsid w:val="00CF2123"/>
    <w:rsid w:val="00CF224A"/>
    <w:rsid w:val="00CF2345"/>
    <w:rsid w:val="00CF2357"/>
    <w:rsid w:val="00CF2455"/>
    <w:rsid w:val="00CF24E8"/>
    <w:rsid w:val="00CF2700"/>
    <w:rsid w:val="00CF2748"/>
    <w:rsid w:val="00CF27A0"/>
    <w:rsid w:val="00CF283B"/>
    <w:rsid w:val="00CF2870"/>
    <w:rsid w:val="00CF287A"/>
    <w:rsid w:val="00CF2887"/>
    <w:rsid w:val="00CF28BC"/>
    <w:rsid w:val="00CF28F3"/>
    <w:rsid w:val="00CF292C"/>
    <w:rsid w:val="00CF293C"/>
    <w:rsid w:val="00CF296C"/>
    <w:rsid w:val="00CF297A"/>
    <w:rsid w:val="00CF2A36"/>
    <w:rsid w:val="00CF2A6B"/>
    <w:rsid w:val="00CF2B23"/>
    <w:rsid w:val="00CF2D09"/>
    <w:rsid w:val="00CF2D60"/>
    <w:rsid w:val="00CF2D9E"/>
    <w:rsid w:val="00CF2E20"/>
    <w:rsid w:val="00CF2E29"/>
    <w:rsid w:val="00CF2E46"/>
    <w:rsid w:val="00CF2F38"/>
    <w:rsid w:val="00CF301D"/>
    <w:rsid w:val="00CF3091"/>
    <w:rsid w:val="00CF30A2"/>
    <w:rsid w:val="00CF310B"/>
    <w:rsid w:val="00CF310C"/>
    <w:rsid w:val="00CF3112"/>
    <w:rsid w:val="00CF311D"/>
    <w:rsid w:val="00CF316C"/>
    <w:rsid w:val="00CF321C"/>
    <w:rsid w:val="00CF3247"/>
    <w:rsid w:val="00CF326B"/>
    <w:rsid w:val="00CF32CC"/>
    <w:rsid w:val="00CF3382"/>
    <w:rsid w:val="00CF344F"/>
    <w:rsid w:val="00CF346F"/>
    <w:rsid w:val="00CF34EB"/>
    <w:rsid w:val="00CF360A"/>
    <w:rsid w:val="00CF3610"/>
    <w:rsid w:val="00CF3619"/>
    <w:rsid w:val="00CF368B"/>
    <w:rsid w:val="00CF36A0"/>
    <w:rsid w:val="00CF36B6"/>
    <w:rsid w:val="00CF3797"/>
    <w:rsid w:val="00CF37A1"/>
    <w:rsid w:val="00CF37DD"/>
    <w:rsid w:val="00CF37F3"/>
    <w:rsid w:val="00CF387C"/>
    <w:rsid w:val="00CF3882"/>
    <w:rsid w:val="00CF38E2"/>
    <w:rsid w:val="00CF3905"/>
    <w:rsid w:val="00CF397F"/>
    <w:rsid w:val="00CF3993"/>
    <w:rsid w:val="00CF39B8"/>
    <w:rsid w:val="00CF39C5"/>
    <w:rsid w:val="00CF3A10"/>
    <w:rsid w:val="00CF3A79"/>
    <w:rsid w:val="00CF3AAE"/>
    <w:rsid w:val="00CF3AB6"/>
    <w:rsid w:val="00CF3B46"/>
    <w:rsid w:val="00CF3BE3"/>
    <w:rsid w:val="00CF3C64"/>
    <w:rsid w:val="00CF3D02"/>
    <w:rsid w:val="00CF3D10"/>
    <w:rsid w:val="00CF3D71"/>
    <w:rsid w:val="00CF3D8A"/>
    <w:rsid w:val="00CF3DA4"/>
    <w:rsid w:val="00CF3E1A"/>
    <w:rsid w:val="00CF3E35"/>
    <w:rsid w:val="00CF3E49"/>
    <w:rsid w:val="00CF3ECE"/>
    <w:rsid w:val="00CF3F21"/>
    <w:rsid w:val="00CF406E"/>
    <w:rsid w:val="00CF40B2"/>
    <w:rsid w:val="00CF40CE"/>
    <w:rsid w:val="00CF40E9"/>
    <w:rsid w:val="00CF4121"/>
    <w:rsid w:val="00CF416B"/>
    <w:rsid w:val="00CF4173"/>
    <w:rsid w:val="00CF418B"/>
    <w:rsid w:val="00CF4203"/>
    <w:rsid w:val="00CF4207"/>
    <w:rsid w:val="00CF429A"/>
    <w:rsid w:val="00CF4338"/>
    <w:rsid w:val="00CF436A"/>
    <w:rsid w:val="00CF43BD"/>
    <w:rsid w:val="00CF440C"/>
    <w:rsid w:val="00CF4494"/>
    <w:rsid w:val="00CF4546"/>
    <w:rsid w:val="00CF4753"/>
    <w:rsid w:val="00CF477C"/>
    <w:rsid w:val="00CF47CB"/>
    <w:rsid w:val="00CF47F5"/>
    <w:rsid w:val="00CF48B5"/>
    <w:rsid w:val="00CF497C"/>
    <w:rsid w:val="00CF49BF"/>
    <w:rsid w:val="00CF4A45"/>
    <w:rsid w:val="00CF4AAD"/>
    <w:rsid w:val="00CF4ADF"/>
    <w:rsid w:val="00CF4AF3"/>
    <w:rsid w:val="00CF4B11"/>
    <w:rsid w:val="00CF4C29"/>
    <w:rsid w:val="00CF4C79"/>
    <w:rsid w:val="00CF4C8E"/>
    <w:rsid w:val="00CF4CAA"/>
    <w:rsid w:val="00CF4CD6"/>
    <w:rsid w:val="00CF4D2E"/>
    <w:rsid w:val="00CF4D33"/>
    <w:rsid w:val="00CF4E43"/>
    <w:rsid w:val="00CF4F11"/>
    <w:rsid w:val="00CF4F56"/>
    <w:rsid w:val="00CF4F7E"/>
    <w:rsid w:val="00CF4FB9"/>
    <w:rsid w:val="00CF5036"/>
    <w:rsid w:val="00CF5056"/>
    <w:rsid w:val="00CF508A"/>
    <w:rsid w:val="00CF5187"/>
    <w:rsid w:val="00CF52D9"/>
    <w:rsid w:val="00CF52E1"/>
    <w:rsid w:val="00CF52EB"/>
    <w:rsid w:val="00CF534F"/>
    <w:rsid w:val="00CF5576"/>
    <w:rsid w:val="00CF559D"/>
    <w:rsid w:val="00CF5797"/>
    <w:rsid w:val="00CF57B4"/>
    <w:rsid w:val="00CF57DE"/>
    <w:rsid w:val="00CF57E3"/>
    <w:rsid w:val="00CF5803"/>
    <w:rsid w:val="00CF583B"/>
    <w:rsid w:val="00CF58B6"/>
    <w:rsid w:val="00CF58C5"/>
    <w:rsid w:val="00CF5996"/>
    <w:rsid w:val="00CF59CB"/>
    <w:rsid w:val="00CF5A20"/>
    <w:rsid w:val="00CF5A34"/>
    <w:rsid w:val="00CF5A74"/>
    <w:rsid w:val="00CF5A87"/>
    <w:rsid w:val="00CF5AF3"/>
    <w:rsid w:val="00CF5AF7"/>
    <w:rsid w:val="00CF5B01"/>
    <w:rsid w:val="00CF5B51"/>
    <w:rsid w:val="00CF5B93"/>
    <w:rsid w:val="00CF5C52"/>
    <w:rsid w:val="00CF5CC6"/>
    <w:rsid w:val="00CF5CDE"/>
    <w:rsid w:val="00CF5CEB"/>
    <w:rsid w:val="00CF5D7C"/>
    <w:rsid w:val="00CF5DA7"/>
    <w:rsid w:val="00CF5DD0"/>
    <w:rsid w:val="00CF5DF0"/>
    <w:rsid w:val="00CF5E5E"/>
    <w:rsid w:val="00CF5EDB"/>
    <w:rsid w:val="00CF6004"/>
    <w:rsid w:val="00CF600A"/>
    <w:rsid w:val="00CF600C"/>
    <w:rsid w:val="00CF6097"/>
    <w:rsid w:val="00CF6133"/>
    <w:rsid w:val="00CF616C"/>
    <w:rsid w:val="00CF61AE"/>
    <w:rsid w:val="00CF625B"/>
    <w:rsid w:val="00CF6383"/>
    <w:rsid w:val="00CF642A"/>
    <w:rsid w:val="00CF646B"/>
    <w:rsid w:val="00CF6508"/>
    <w:rsid w:val="00CF653C"/>
    <w:rsid w:val="00CF65B5"/>
    <w:rsid w:val="00CF6668"/>
    <w:rsid w:val="00CF6669"/>
    <w:rsid w:val="00CF66C2"/>
    <w:rsid w:val="00CF66E7"/>
    <w:rsid w:val="00CF6783"/>
    <w:rsid w:val="00CF6870"/>
    <w:rsid w:val="00CF6983"/>
    <w:rsid w:val="00CF69B2"/>
    <w:rsid w:val="00CF69DC"/>
    <w:rsid w:val="00CF6A8C"/>
    <w:rsid w:val="00CF6B1E"/>
    <w:rsid w:val="00CF6B91"/>
    <w:rsid w:val="00CF6C4E"/>
    <w:rsid w:val="00CF6C7E"/>
    <w:rsid w:val="00CF6C90"/>
    <w:rsid w:val="00CF6CF3"/>
    <w:rsid w:val="00CF6D03"/>
    <w:rsid w:val="00CF6D8D"/>
    <w:rsid w:val="00CF6E11"/>
    <w:rsid w:val="00CF6E7D"/>
    <w:rsid w:val="00CF6ECC"/>
    <w:rsid w:val="00CF6ECD"/>
    <w:rsid w:val="00CF6FA1"/>
    <w:rsid w:val="00CF7041"/>
    <w:rsid w:val="00CF70DC"/>
    <w:rsid w:val="00CF70EA"/>
    <w:rsid w:val="00CF70FD"/>
    <w:rsid w:val="00CF7119"/>
    <w:rsid w:val="00CF7133"/>
    <w:rsid w:val="00CF71D1"/>
    <w:rsid w:val="00CF71DD"/>
    <w:rsid w:val="00CF720C"/>
    <w:rsid w:val="00CF7248"/>
    <w:rsid w:val="00CF72DD"/>
    <w:rsid w:val="00CF7323"/>
    <w:rsid w:val="00CF73B5"/>
    <w:rsid w:val="00CF73C3"/>
    <w:rsid w:val="00CF73EC"/>
    <w:rsid w:val="00CF7498"/>
    <w:rsid w:val="00CF74B9"/>
    <w:rsid w:val="00CF753E"/>
    <w:rsid w:val="00CF754D"/>
    <w:rsid w:val="00CF7564"/>
    <w:rsid w:val="00CF7589"/>
    <w:rsid w:val="00CF76BB"/>
    <w:rsid w:val="00CF7729"/>
    <w:rsid w:val="00CF7761"/>
    <w:rsid w:val="00CF77C8"/>
    <w:rsid w:val="00CF7853"/>
    <w:rsid w:val="00CF7862"/>
    <w:rsid w:val="00CF787C"/>
    <w:rsid w:val="00CF7AF6"/>
    <w:rsid w:val="00CF7B0D"/>
    <w:rsid w:val="00CF7B46"/>
    <w:rsid w:val="00CF7BAE"/>
    <w:rsid w:val="00CF7BEB"/>
    <w:rsid w:val="00CF7C87"/>
    <w:rsid w:val="00CF7CCF"/>
    <w:rsid w:val="00CF7DE8"/>
    <w:rsid w:val="00CF7DF6"/>
    <w:rsid w:val="00CF7E7C"/>
    <w:rsid w:val="00CF7F68"/>
    <w:rsid w:val="00CF7F9E"/>
    <w:rsid w:val="00CF7FFC"/>
    <w:rsid w:val="00D00008"/>
    <w:rsid w:val="00D00020"/>
    <w:rsid w:val="00D00029"/>
    <w:rsid w:val="00D00069"/>
    <w:rsid w:val="00D000DB"/>
    <w:rsid w:val="00D00114"/>
    <w:rsid w:val="00D0011F"/>
    <w:rsid w:val="00D00165"/>
    <w:rsid w:val="00D0016A"/>
    <w:rsid w:val="00D0018C"/>
    <w:rsid w:val="00D00227"/>
    <w:rsid w:val="00D0030F"/>
    <w:rsid w:val="00D00386"/>
    <w:rsid w:val="00D0038C"/>
    <w:rsid w:val="00D003CB"/>
    <w:rsid w:val="00D003E7"/>
    <w:rsid w:val="00D00455"/>
    <w:rsid w:val="00D0053F"/>
    <w:rsid w:val="00D00543"/>
    <w:rsid w:val="00D0058A"/>
    <w:rsid w:val="00D005B9"/>
    <w:rsid w:val="00D005C1"/>
    <w:rsid w:val="00D00612"/>
    <w:rsid w:val="00D0061D"/>
    <w:rsid w:val="00D00681"/>
    <w:rsid w:val="00D0071E"/>
    <w:rsid w:val="00D00811"/>
    <w:rsid w:val="00D0081C"/>
    <w:rsid w:val="00D0085D"/>
    <w:rsid w:val="00D008FC"/>
    <w:rsid w:val="00D00949"/>
    <w:rsid w:val="00D0098B"/>
    <w:rsid w:val="00D009DD"/>
    <w:rsid w:val="00D00A16"/>
    <w:rsid w:val="00D00A8C"/>
    <w:rsid w:val="00D00B02"/>
    <w:rsid w:val="00D00B1A"/>
    <w:rsid w:val="00D00BAA"/>
    <w:rsid w:val="00D00BF5"/>
    <w:rsid w:val="00D00C54"/>
    <w:rsid w:val="00D00CEE"/>
    <w:rsid w:val="00D00D5F"/>
    <w:rsid w:val="00D00D7F"/>
    <w:rsid w:val="00D00E6B"/>
    <w:rsid w:val="00D00EB0"/>
    <w:rsid w:val="00D00EB3"/>
    <w:rsid w:val="00D00FA0"/>
    <w:rsid w:val="00D00FE5"/>
    <w:rsid w:val="00D0102D"/>
    <w:rsid w:val="00D0103D"/>
    <w:rsid w:val="00D010D7"/>
    <w:rsid w:val="00D0110A"/>
    <w:rsid w:val="00D01194"/>
    <w:rsid w:val="00D011C0"/>
    <w:rsid w:val="00D01276"/>
    <w:rsid w:val="00D01296"/>
    <w:rsid w:val="00D012E0"/>
    <w:rsid w:val="00D01336"/>
    <w:rsid w:val="00D01375"/>
    <w:rsid w:val="00D013AA"/>
    <w:rsid w:val="00D013DC"/>
    <w:rsid w:val="00D013EC"/>
    <w:rsid w:val="00D013EE"/>
    <w:rsid w:val="00D0145F"/>
    <w:rsid w:val="00D01463"/>
    <w:rsid w:val="00D014B4"/>
    <w:rsid w:val="00D014D6"/>
    <w:rsid w:val="00D01516"/>
    <w:rsid w:val="00D015B1"/>
    <w:rsid w:val="00D015E0"/>
    <w:rsid w:val="00D01760"/>
    <w:rsid w:val="00D01833"/>
    <w:rsid w:val="00D018C3"/>
    <w:rsid w:val="00D018C6"/>
    <w:rsid w:val="00D018E9"/>
    <w:rsid w:val="00D01907"/>
    <w:rsid w:val="00D0199B"/>
    <w:rsid w:val="00D019A3"/>
    <w:rsid w:val="00D01AB8"/>
    <w:rsid w:val="00D01ADB"/>
    <w:rsid w:val="00D01AE6"/>
    <w:rsid w:val="00D01AEC"/>
    <w:rsid w:val="00D01B2C"/>
    <w:rsid w:val="00D01B33"/>
    <w:rsid w:val="00D01B77"/>
    <w:rsid w:val="00D01C19"/>
    <w:rsid w:val="00D01C5B"/>
    <w:rsid w:val="00D01D63"/>
    <w:rsid w:val="00D01D66"/>
    <w:rsid w:val="00D01D95"/>
    <w:rsid w:val="00D01E61"/>
    <w:rsid w:val="00D01EF8"/>
    <w:rsid w:val="00D01F27"/>
    <w:rsid w:val="00D01F8F"/>
    <w:rsid w:val="00D020A6"/>
    <w:rsid w:val="00D020C1"/>
    <w:rsid w:val="00D020ED"/>
    <w:rsid w:val="00D02109"/>
    <w:rsid w:val="00D0210D"/>
    <w:rsid w:val="00D0217C"/>
    <w:rsid w:val="00D02182"/>
    <w:rsid w:val="00D021C9"/>
    <w:rsid w:val="00D0222C"/>
    <w:rsid w:val="00D02263"/>
    <w:rsid w:val="00D022A4"/>
    <w:rsid w:val="00D023A7"/>
    <w:rsid w:val="00D023AB"/>
    <w:rsid w:val="00D023EB"/>
    <w:rsid w:val="00D023EC"/>
    <w:rsid w:val="00D0240E"/>
    <w:rsid w:val="00D02443"/>
    <w:rsid w:val="00D02451"/>
    <w:rsid w:val="00D02475"/>
    <w:rsid w:val="00D024A8"/>
    <w:rsid w:val="00D024EA"/>
    <w:rsid w:val="00D024F6"/>
    <w:rsid w:val="00D02543"/>
    <w:rsid w:val="00D0254D"/>
    <w:rsid w:val="00D02645"/>
    <w:rsid w:val="00D02672"/>
    <w:rsid w:val="00D02686"/>
    <w:rsid w:val="00D02696"/>
    <w:rsid w:val="00D026EF"/>
    <w:rsid w:val="00D02779"/>
    <w:rsid w:val="00D028CF"/>
    <w:rsid w:val="00D028E2"/>
    <w:rsid w:val="00D028E6"/>
    <w:rsid w:val="00D02904"/>
    <w:rsid w:val="00D0294C"/>
    <w:rsid w:val="00D02A69"/>
    <w:rsid w:val="00D02A75"/>
    <w:rsid w:val="00D02A99"/>
    <w:rsid w:val="00D02AC3"/>
    <w:rsid w:val="00D02B6C"/>
    <w:rsid w:val="00D02B83"/>
    <w:rsid w:val="00D02D07"/>
    <w:rsid w:val="00D02DE6"/>
    <w:rsid w:val="00D02E19"/>
    <w:rsid w:val="00D02E30"/>
    <w:rsid w:val="00D02E86"/>
    <w:rsid w:val="00D02FA0"/>
    <w:rsid w:val="00D030E7"/>
    <w:rsid w:val="00D030EC"/>
    <w:rsid w:val="00D0314D"/>
    <w:rsid w:val="00D03156"/>
    <w:rsid w:val="00D03182"/>
    <w:rsid w:val="00D0320F"/>
    <w:rsid w:val="00D03237"/>
    <w:rsid w:val="00D03293"/>
    <w:rsid w:val="00D032C7"/>
    <w:rsid w:val="00D032FE"/>
    <w:rsid w:val="00D0332C"/>
    <w:rsid w:val="00D03353"/>
    <w:rsid w:val="00D033B6"/>
    <w:rsid w:val="00D033E4"/>
    <w:rsid w:val="00D0341B"/>
    <w:rsid w:val="00D03431"/>
    <w:rsid w:val="00D03459"/>
    <w:rsid w:val="00D03466"/>
    <w:rsid w:val="00D03478"/>
    <w:rsid w:val="00D034CE"/>
    <w:rsid w:val="00D03529"/>
    <w:rsid w:val="00D03592"/>
    <w:rsid w:val="00D03625"/>
    <w:rsid w:val="00D036A5"/>
    <w:rsid w:val="00D03715"/>
    <w:rsid w:val="00D0372E"/>
    <w:rsid w:val="00D03745"/>
    <w:rsid w:val="00D037B0"/>
    <w:rsid w:val="00D037C9"/>
    <w:rsid w:val="00D03861"/>
    <w:rsid w:val="00D0388F"/>
    <w:rsid w:val="00D038DD"/>
    <w:rsid w:val="00D03994"/>
    <w:rsid w:val="00D03A15"/>
    <w:rsid w:val="00D03A80"/>
    <w:rsid w:val="00D03A88"/>
    <w:rsid w:val="00D03B24"/>
    <w:rsid w:val="00D03B61"/>
    <w:rsid w:val="00D03B85"/>
    <w:rsid w:val="00D03BAC"/>
    <w:rsid w:val="00D03C43"/>
    <w:rsid w:val="00D03D06"/>
    <w:rsid w:val="00D03D2B"/>
    <w:rsid w:val="00D03D3F"/>
    <w:rsid w:val="00D03D88"/>
    <w:rsid w:val="00D03DDE"/>
    <w:rsid w:val="00D03E29"/>
    <w:rsid w:val="00D03E3B"/>
    <w:rsid w:val="00D03E4C"/>
    <w:rsid w:val="00D03E7C"/>
    <w:rsid w:val="00D03EE8"/>
    <w:rsid w:val="00D03F1C"/>
    <w:rsid w:val="00D03F22"/>
    <w:rsid w:val="00D03FB6"/>
    <w:rsid w:val="00D03FE3"/>
    <w:rsid w:val="00D0400F"/>
    <w:rsid w:val="00D04013"/>
    <w:rsid w:val="00D0404C"/>
    <w:rsid w:val="00D040CC"/>
    <w:rsid w:val="00D04107"/>
    <w:rsid w:val="00D04134"/>
    <w:rsid w:val="00D0413F"/>
    <w:rsid w:val="00D04165"/>
    <w:rsid w:val="00D041F9"/>
    <w:rsid w:val="00D04300"/>
    <w:rsid w:val="00D04359"/>
    <w:rsid w:val="00D043A1"/>
    <w:rsid w:val="00D044F1"/>
    <w:rsid w:val="00D0453A"/>
    <w:rsid w:val="00D045CA"/>
    <w:rsid w:val="00D045FF"/>
    <w:rsid w:val="00D0468A"/>
    <w:rsid w:val="00D046F8"/>
    <w:rsid w:val="00D04821"/>
    <w:rsid w:val="00D04875"/>
    <w:rsid w:val="00D04938"/>
    <w:rsid w:val="00D0495B"/>
    <w:rsid w:val="00D04A62"/>
    <w:rsid w:val="00D04A80"/>
    <w:rsid w:val="00D04B47"/>
    <w:rsid w:val="00D04B4E"/>
    <w:rsid w:val="00D04B69"/>
    <w:rsid w:val="00D04B6D"/>
    <w:rsid w:val="00D04BD1"/>
    <w:rsid w:val="00D04C14"/>
    <w:rsid w:val="00D04C50"/>
    <w:rsid w:val="00D04CD2"/>
    <w:rsid w:val="00D04D1A"/>
    <w:rsid w:val="00D04D31"/>
    <w:rsid w:val="00D04D4A"/>
    <w:rsid w:val="00D04D79"/>
    <w:rsid w:val="00D04DFD"/>
    <w:rsid w:val="00D04E41"/>
    <w:rsid w:val="00D04EB7"/>
    <w:rsid w:val="00D04F4B"/>
    <w:rsid w:val="00D04F79"/>
    <w:rsid w:val="00D04FD8"/>
    <w:rsid w:val="00D04FE0"/>
    <w:rsid w:val="00D05039"/>
    <w:rsid w:val="00D05094"/>
    <w:rsid w:val="00D0511E"/>
    <w:rsid w:val="00D05142"/>
    <w:rsid w:val="00D051BC"/>
    <w:rsid w:val="00D051DE"/>
    <w:rsid w:val="00D051F3"/>
    <w:rsid w:val="00D05279"/>
    <w:rsid w:val="00D052D1"/>
    <w:rsid w:val="00D0530C"/>
    <w:rsid w:val="00D0538A"/>
    <w:rsid w:val="00D053CC"/>
    <w:rsid w:val="00D05406"/>
    <w:rsid w:val="00D054DA"/>
    <w:rsid w:val="00D054EB"/>
    <w:rsid w:val="00D0553D"/>
    <w:rsid w:val="00D055C6"/>
    <w:rsid w:val="00D055E3"/>
    <w:rsid w:val="00D056AD"/>
    <w:rsid w:val="00D056E3"/>
    <w:rsid w:val="00D05826"/>
    <w:rsid w:val="00D0584E"/>
    <w:rsid w:val="00D05852"/>
    <w:rsid w:val="00D05860"/>
    <w:rsid w:val="00D0586E"/>
    <w:rsid w:val="00D05880"/>
    <w:rsid w:val="00D05899"/>
    <w:rsid w:val="00D058CC"/>
    <w:rsid w:val="00D0599A"/>
    <w:rsid w:val="00D059C8"/>
    <w:rsid w:val="00D059F1"/>
    <w:rsid w:val="00D05A2D"/>
    <w:rsid w:val="00D05AEA"/>
    <w:rsid w:val="00D05B03"/>
    <w:rsid w:val="00D05BB1"/>
    <w:rsid w:val="00D05BC0"/>
    <w:rsid w:val="00D05BF9"/>
    <w:rsid w:val="00D05C13"/>
    <w:rsid w:val="00D05C36"/>
    <w:rsid w:val="00D05C44"/>
    <w:rsid w:val="00D05D22"/>
    <w:rsid w:val="00D05D7A"/>
    <w:rsid w:val="00D05DA6"/>
    <w:rsid w:val="00D05DF6"/>
    <w:rsid w:val="00D05E0D"/>
    <w:rsid w:val="00D05E4F"/>
    <w:rsid w:val="00D05ECE"/>
    <w:rsid w:val="00D0600C"/>
    <w:rsid w:val="00D0608F"/>
    <w:rsid w:val="00D06098"/>
    <w:rsid w:val="00D060F9"/>
    <w:rsid w:val="00D0612C"/>
    <w:rsid w:val="00D06288"/>
    <w:rsid w:val="00D06339"/>
    <w:rsid w:val="00D06343"/>
    <w:rsid w:val="00D063B7"/>
    <w:rsid w:val="00D0648B"/>
    <w:rsid w:val="00D064CF"/>
    <w:rsid w:val="00D064F9"/>
    <w:rsid w:val="00D06554"/>
    <w:rsid w:val="00D06588"/>
    <w:rsid w:val="00D06725"/>
    <w:rsid w:val="00D06737"/>
    <w:rsid w:val="00D06752"/>
    <w:rsid w:val="00D06760"/>
    <w:rsid w:val="00D0678C"/>
    <w:rsid w:val="00D067B2"/>
    <w:rsid w:val="00D067D4"/>
    <w:rsid w:val="00D0682F"/>
    <w:rsid w:val="00D06839"/>
    <w:rsid w:val="00D06849"/>
    <w:rsid w:val="00D0687B"/>
    <w:rsid w:val="00D068CC"/>
    <w:rsid w:val="00D068E6"/>
    <w:rsid w:val="00D069AE"/>
    <w:rsid w:val="00D069CF"/>
    <w:rsid w:val="00D06A16"/>
    <w:rsid w:val="00D06B1C"/>
    <w:rsid w:val="00D06C03"/>
    <w:rsid w:val="00D06C1C"/>
    <w:rsid w:val="00D06CDB"/>
    <w:rsid w:val="00D06D14"/>
    <w:rsid w:val="00D06D1D"/>
    <w:rsid w:val="00D06D23"/>
    <w:rsid w:val="00D06D4B"/>
    <w:rsid w:val="00D06D97"/>
    <w:rsid w:val="00D06D9F"/>
    <w:rsid w:val="00D06DA6"/>
    <w:rsid w:val="00D06DD4"/>
    <w:rsid w:val="00D06E4D"/>
    <w:rsid w:val="00D06E8E"/>
    <w:rsid w:val="00D06EF0"/>
    <w:rsid w:val="00D06F2B"/>
    <w:rsid w:val="00D06F49"/>
    <w:rsid w:val="00D06F62"/>
    <w:rsid w:val="00D07093"/>
    <w:rsid w:val="00D070AF"/>
    <w:rsid w:val="00D07146"/>
    <w:rsid w:val="00D07161"/>
    <w:rsid w:val="00D071B3"/>
    <w:rsid w:val="00D071DD"/>
    <w:rsid w:val="00D071EA"/>
    <w:rsid w:val="00D0729B"/>
    <w:rsid w:val="00D072C6"/>
    <w:rsid w:val="00D07340"/>
    <w:rsid w:val="00D0734B"/>
    <w:rsid w:val="00D073FF"/>
    <w:rsid w:val="00D0746B"/>
    <w:rsid w:val="00D074F9"/>
    <w:rsid w:val="00D075B8"/>
    <w:rsid w:val="00D07613"/>
    <w:rsid w:val="00D076D1"/>
    <w:rsid w:val="00D07700"/>
    <w:rsid w:val="00D07758"/>
    <w:rsid w:val="00D07769"/>
    <w:rsid w:val="00D077E9"/>
    <w:rsid w:val="00D07868"/>
    <w:rsid w:val="00D07906"/>
    <w:rsid w:val="00D07929"/>
    <w:rsid w:val="00D07952"/>
    <w:rsid w:val="00D079C8"/>
    <w:rsid w:val="00D079FE"/>
    <w:rsid w:val="00D07AB7"/>
    <w:rsid w:val="00D07ACE"/>
    <w:rsid w:val="00D07AEE"/>
    <w:rsid w:val="00D07B33"/>
    <w:rsid w:val="00D07B42"/>
    <w:rsid w:val="00D07B6F"/>
    <w:rsid w:val="00D07BC7"/>
    <w:rsid w:val="00D07DB5"/>
    <w:rsid w:val="00D07E2B"/>
    <w:rsid w:val="00D07E3D"/>
    <w:rsid w:val="00D07E4D"/>
    <w:rsid w:val="00D07EAF"/>
    <w:rsid w:val="00D07ECF"/>
    <w:rsid w:val="00D07F7C"/>
    <w:rsid w:val="00D07FDA"/>
    <w:rsid w:val="00D07FE7"/>
    <w:rsid w:val="00D10040"/>
    <w:rsid w:val="00D1013D"/>
    <w:rsid w:val="00D10148"/>
    <w:rsid w:val="00D101DD"/>
    <w:rsid w:val="00D1021B"/>
    <w:rsid w:val="00D10294"/>
    <w:rsid w:val="00D10349"/>
    <w:rsid w:val="00D103EB"/>
    <w:rsid w:val="00D103FE"/>
    <w:rsid w:val="00D10491"/>
    <w:rsid w:val="00D104A1"/>
    <w:rsid w:val="00D104E8"/>
    <w:rsid w:val="00D104F6"/>
    <w:rsid w:val="00D104FC"/>
    <w:rsid w:val="00D1052F"/>
    <w:rsid w:val="00D105E1"/>
    <w:rsid w:val="00D106C3"/>
    <w:rsid w:val="00D107B8"/>
    <w:rsid w:val="00D10867"/>
    <w:rsid w:val="00D10918"/>
    <w:rsid w:val="00D1096A"/>
    <w:rsid w:val="00D10983"/>
    <w:rsid w:val="00D109F1"/>
    <w:rsid w:val="00D10A52"/>
    <w:rsid w:val="00D10B91"/>
    <w:rsid w:val="00D10BB4"/>
    <w:rsid w:val="00D10BE6"/>
    <w:rsid w:val="00D10BEA"/>
    <w:rsid w:val="00D10C0B"/>
    <w:rsid w:val="00D10C61"/>
    <w:rsid w:val="00D10D01"/>
    <w:rsid w:val="00D10D25"/>
    <w:rsid w:val="00D10D35"/>
    <w:rsid w:val="00D10DA6"/>
    <w:rsid w:val="00D10E00"/>
    <w:rsid w:val="00D10FA0"/>
    <w:rsid w:val="00D1101B"/>
    <w:rsid w:val="00D110D7"/>
    <w:rsid w:val="00D1111B"/>
    <w:rsid w:val="00D11145"/>
    <w:rsid w:val="00D1118B"/>
    <w:rsid w:val="00D11210"/>
    <w:rsid w:val="00D11325"/>
    <w:rsid w:val="00D11370"/>
    <w:rsid w:val="00D113A1"/>
    <w:rsid w:val="00D1144C"/>
    <w:rsid w:val="00D11534"/>
    <w:rsid w:val="00D11668"/>
    <w:rsid w:val="00D1171E"/>
    <w:rsid w:val="00D11756"/>
    <w:rsid w:val="00D11768"/>
    <w:rsid w:val="00D1179F"/>
    <w:rsid w:val="00D117C5"/>
    <w:rsid w:val="00D11869"/>
    <w:rsid w:val="00D11917"/>
    <w:rsid w:val="00D1192D"/>
    <w:rsid w:val="00D11966"/>
    <w:rsid w:val="00D1199C"/>
    <w:rsid w:val="00D11A02"/>
    <w:rsid w:val="00D11A4D"/>
    <w:rsid w:val="00D11A6F"/>
    <w:rsid w:val="00D11ABD"/>
    <w:rsid w:val="00D11AC7"/>
    <w:rsid w:val="00D11B3D"/>
    <w:rsid w:val="00D11BA2"/>
    <w:rsid w:val="00D11C31"/>
    <w:rsid w:val="00D11C4A"/>
    <w:rsid w:val="00D11C76"/>
    <w:rsid w:val="00D11C85"/>
    <w:rsid w:val="00D11D34"/>
    <w:rsid w:val="00D11D4D"/>
    <w:rsid w:val="00D11D99"/>
    <w:rsid w:val="00D11DCD"/>
    <w:rsid w:val="00D11DD1"/>
    <w:rsid w:val="00D11DEE"/>
    <w:rsid w:val="00D11E25"/>
    <w:rsid w:val="00D11E38"/>
    <w:rsid w:val="00D11E7C"/>
    <w:rsid w:val="00D11EBE"/>
    <w:rsid w:val="00D11F2B"/>
    <w:rsid w:val="00D11FB0"/>
    <w:rsid w:val="00D11FC5"/>
    <w:rsid w:val="00D120A9"/>
    <w:rsid w:val="00D120D0"/>
    <w:rsid w:val="00D120D5"/>
    <w:rsid w:val="00D121B2"/>
    <w:rsid w:val="00D121B9"/>
    <w:rsid w:val="00D1229B"/>
    <w:rsid w:val="00D12315"/>
    <w:rsid w:val="00D1235F"/>
    <w:rsid w:val="00D123CB"/>
    <w:rsid w:val="00D123FF"/>
    <w:rsid w:val="00D12434"/>
    <w:rsid w:val="00D12552"/>
    <w:rsid w:val="00D1255D"/>
    <w:rsid w:val="00D126C5"/>
    <w:rsid w:val="00D126E3"/>
    <w:rsid w:val="00D126FD"/>
    <w:rsid w:val="00D1272A"/>
    <w:rsid w:val="00D12877"/>
    <w:rsid w:val="00D128E0"/>
    <w:rsid w:val="00D128E5"/>
    <w:rsid w:val="00D1291D"/>
    <w:rsid w:val="00D1298A"/>
    <w:rsid w:val="00D129FE"/>
    <w:rsid w:val="00D12A65"/>
    <w:rsid w:val="00D12A9D"/>
    <w:rsid w:val="00D12AB5"/>
    <w:rsid w:val="00D12AC9"/>
    <w:rsid w:val="00D12AD1"/>
    <w:rsid w:val="00D12BCD"/>
    <w:rsid w:val="00D12C7A"/>
    <w:rsid w:val="00D12CED"/>
    <w:rsid w:val="00D12D23"/>
    <w:rsid w:val="00D12E2E"/>
    <w:rsid w:val="00D12E99"/>
    <w:rsid w:val="00D12EE1"/>
    <w:rsid w:val="00D12EF7"/>
    <w:rsid w:val="00D1304E"/>
    <w:rsid w:val="00D13067"/>
    <w:rsid w:val="00D13082"/>
    <w:rsid w:val="00D130F0"/>
    <w:rsid w:val="00D13117"/>
    <w:rsid w:val="00D1315A"/>
    <w:rsid w:val="00D13182"/>
    <w:rsid w:val="00D131A0"/>
    <w:rsid w:val="00D131EC"/>
    <w:rsid w:val="00D1322E"/>
    <w:rsid w:val="00D132FB"/>
    <w:rsid w:val="00D133C3"/>
    <w:rsid w:val="00D13433"/>
    <w:rsid w:val="00D1344E"/>
    <w:rsid w:val="00D13495"/>
    <w:rsid w:val="00D1355D"/>
    <w:rsid w:val="00D135E9"/>
    <w:rsid w:val="00D13847"/>
    <w:rsid w:val="00D13884"/>
    <w:rsid w:val="00D138AB"/>
    <w:rsid w:val="00D138E0"/>
    <w:rsid w:val="00D13935"/>
    <w:rsid w:val="00D13989"/>
    <w:rsid w:val="00D13A2D"/>
    <w:rsid w:val="00D13A95"/>
    <w:rsid w:val="00D13A96"/>
    <w:rsid w:val="00D13AD8"/>
    <w:rsid w:val="00D13B36"/>
    <w:rsid w:val="00D13B58"/>
    <w:rsid w:val="00D13BD5"/>
    <w:rsid w:val="00D13C33"/>
    <w:rsid w:val="00D13C64"/>
    <w:rsid w:val="00D13CA8"/>
    <w:rsid w:val="00D13CB7"/>
    <w:rsid w:val="00D13CC9"/>
    <w:rsid w:val="00D13CE5"/>
    <w:rsid w:val="00D13CF8"/>
    <w:rsid w:val="00D13D1F"/>
    <w:rsid w:val="00D13D73"/>
    <w:rsid w:val="00D13DD9"/>
    <w:rsid w:val="00D13DFE"/>
    <w:rsid w:val="00D13E36"/>
    <w:rsid w:val="00D13E98"/>
    <w:rsid w:val="00D13F93"/>
    <w:rsid w:val="00D13FF3"/>
    <w:rsid w:val="00D1404C"/>
    <w:rsid w:val="00D14059"/>
    <w:rsid w:val="00D140A9"/>
    <w:rsid w:val="00D140D3"/>
    <w:rsid w:val="00D140DE"/>
    <w:rsid w:val="00D141B3"/>
    <w:rsid w:val="00D14214"/>
    <w:rsid w:val="00D14277"/>
    <w:rsid w:val="00D142E1"/>
    <w:rsid w:val="00D14309"/>
    <w:rsid w:val="00D143D8"/>
    <w:rsid w:val="00D14498"/>
    <w:rsid w:val="00D144C6"/>
    <w:rsid w:val="00D14531"/>
    <w:rsid w:val="00D145AE"/>
    <w:rsid w:val="00D145E3"/>
    <w:rsid w:val="00D1467D"/>
    <w:rsid w:val="00D1469A"/>
    <w:rsid w:val="00D1469D"/>
    <w:rsid w:val="00D1472A"/>
    <w:rsid w:val="00D147EB"/>
    <w:rsid w:val="00D1480F"/>
    <w:rsid w:val="00D14872"/>
    <w:rsid w:val="00D148EE"/>
    <w:rsid w:val="00D14906"/>
    <w:rsid w:val="00D14A38"/>
    <w:rsid w:val="00D14A3A"/>
    <w:rsid w:val="00D14ACD"/>
    <w:rsid w:val="00D14AE8"/>
    <w:rsid w:val="00D14B21"/>
    <w:rsid w:val="00D14B2B"/>
    <w:rsid w:val="00D14B45"/>
    <w:rsid w:val="00D14B77"/>
    <w:rsid w:val="00D14C42"/>
    <w:rsid w:val="00D14C50"/>
    <w:rsid w:val="00D14C7B"/>
    <w:rsid w:val="00D14CCE"/>
    <w:rsid w:val="00D14D2C"/>
    <w:rsid w:val="00D14DA4"/>
    <w:rsid w:val="00D14DBC"/>
    <w:rsid w:val="00D14E2F"/>
    <w:rsid w:val="00D14E35"/>
    <w:rsid w:val="00D14E4E"/>
    <w:rsid w:val="00D14EAF"/>
    <w:rsid w:val="00D14F6E"/>
    <w:rsid w:val="00D14F8F"/>
    <w:rsid w:val="00D15068"/>
    <w:rsid w:val="00D150BC"/>
    <w:rsid w:val="00D150EC"/>
    <w:rsid w:val="00D15131"/>
    <w:rsid w:val="00D15283"/>
    <w:rsid w:val="00D152C9"/>
    <w:rsid w:val="00D15318"/>
    <w:rsid w:val="00D15352"/>
    <w:rsid w:val="00D153CE"/>
    <w:rsid w:val="00D153F3"/>
    <w:rsid w:val="00D15444"/>
    <w:rsid w:val="00D154BF"/>
    <w:rsid w:val="00D154E3"/>
    <w:rsid w:val="00D1551D"/>
    <w:rsid w:val="00D155F1"/>
    <w:rsid w:val="00D15631"/>
    <w:rsid w:val="00D1573A"/>
    <w:rsid w:val="00D157D1"/>
    <w:rsid w:val="00D1595F"/>
    <w:rsid w:val="00D1598D"/>
    <w:rsid w:val="00D159E3"/>
    <w:rsid w:val="00D15A0F"/>
    <w:rsid w:val="00D15AD2"/>
    <w:rsid w:val="00D15B3E"/>
    <w:rsid w:val="00D15B46"/>
    <w:rsid w:val="00D15B7F"/>
    <w:rsid w:val="00D15C02"/>
    <w:rsid w:val="00D15C16"/>
    <w:rsid w:val="00D15CF3"/>
    <w:rsid w:val="00D15E0A"/>
    <w:rsid w:val="00D15E18"/>
    <w:rsid w:val="00D15EA5"/>
    <w:rsid w:val="00D15EB0"/>
    <w:rsid w:val="00D15EC1"/>
    <w:rsid w:val="00D15F2F"/>
    <w:rsid w:val="00D15FD8"/>
    <w:rsid w:val="00D16053"/>
    <w:rsid w:val="00D160C4"/>
    <w:rsid w:val="00D160FD"/>
    <w:rsid w:val="00D16150"/>
    <w:rsid w:val="00D1617A"/>
    <w:rsid w:val="00D161E6"/>
    <w:rsid w:val="00D1621F"/>
    <w:rsid w:val="00D16224"/>
    <w:rsid w:val="00D16235"/>
    <w:rsid w:val="00D16306"/>
    <w:rsid w:val="00D16325"/>
    <w:rsid w:val="00D16327"/>
    <w:rsid w:val="00D16351"/>
    <w:rsid w:val="00D16415"/>
    <w:rsid w:val="00D16440"/>
    <w:rsid w:val="00D164A3"/>
    <w:rsid w:val="00D164AF"/>
    <w:rsid w:val="00D164C9"/>
    <w:rsid w:val="00D1651A"/>
    <w:rsid w:val="00D165DD"/>
    <w:rsid w:val="00D166F3"/>
    <w:rsid w:val="00D16713"/>
    <w:rsid w:val="00D16727"/>
    <w:rsid w:val="00D1672F"/>
    <w:rsid w:val="00D16748"/>
    <w:rsid w:val="00D1675B"/>
    <w:rsid w:val="00D1678E"/>
    <w:rsid w:val="00D167BD"/>
    <w:rsid w:val="00D16815"/>
    <w:rsid w:val="00D1684B"/>
    <w:rsid w:val="00D1685B"/>
    <w:rsid w:val="00D16891"/>
    <w:rsid w:val="00D1689B"/>
    <w:rsid w:val="00D168B0"/>
    <w:rsid w:val="00D16937"/>
    <w:rsid w:val="00D1694D"/>
    <w:rsid w:val="00D16959"/>
    <w:rsid w:val="00D169AD"/>
    <w:rsid w:val="00D169E4"/>
    <w:rsid w:val="00D16A29"/>
    <w:rsid w:val="00D16A2C"/>
    <w:rsid w:val="00D16A3F"/>
    <w:rsid w:val="00D16ACD"/>
    <w:rsid w:val="00D16AE6"/>
    <w:rsid w:val="00D16B2E"/>
    <w:rsid w:val="00D16B67"/>
    <w:rsid w:val="00D16BDC"/>
    <w:rsid w:val="00D16CA8"/>
    <w:rsid w:val="00D16D1C"/>
    <w:rsid w:val="00D16D1F"/>
    <w:rsid w:val="00D16D29"/>
    <w:rsid w:val="00D16D52"/>
    <w:rsid w:val="00D16D57"/>
    <w:rsid w:val="00D16D99"/>
    <w:rsid w:val="00D16DC5"/>
    <w:rsid w:val="00D16DF7"/>
    <w:rsid w:val="00D16E26"/>
    <w:rsid w:val="00D16E4F"/>
    <w:rsid w:val="00D16E75"/>
    <w:rsid w:val="00D16E94"/>
    <w:rsid w:val="00D16F16"/>
    <w:rsid w:val="00D16F38"/>
    <w:rsid w:val="00D16F46"/>
    <w:rsid w:val="00D17007"/>
    <w:rsid w:val="00D170C8"/>
    <w:rsid w:val="00D17180"/>
    <w:rsid w:val="00D17204"/>
    <w:rsid w:val="00D17280"/>
    <w:rsid w:val="00D172A1"/>
    <w:rsid w:val="00D172F5"/>
    <w:rsid w:val="00D173AD"/>
    <w:rsid w:val="00D173F0"/>
    <w:rsid w:val="00D17409"/>
    <w:rsid w:val="00D17496"/>
    <w:rsid w:val="00D174C2"/>
    <w:rsid w:val="00D17565"/>
    <w:rsid w:val="00D17571"/>
    <w:rsid w:val="00D17607"/>
    <w:rsid w:val="00D1760C"/>
    <w:rsid w:val="00D17623"/>
    <w:rsid w:val="00D17662"/>
    <w:rsid w:val="00D176A9"/>
    <w:rsid w:val="00D176B4"/>
    <w:rsid w:val="00D176FB"/>
    <w:rsid w:val="00D17711"/>
    <w:rsid w:val="00D17855"/>
    <w:rsid w:val="00D178A4"/>
    <w:rsid w:val="00D17923"/>
    <w:rsid w:val="00D17A49"/>
    <w:rsid w:val="00D17A4D"/>
    <w:rsid w:val="00D17A6D"/>
    <w:rsid w:val="00D17B30"/>
    <w:rsid w:val="00D17C7A"/>
    <w:rsid w:val="00D17C9A"/>
    <w:rsid w:val="00D17D07"/>
    <w:rsid w:val="00D17D44"/>
    <w:rsid w:val="00D17E87"/>
    <w:rsid w:val="00D17EAC"/>
    <w:rsid w:val="00D17F50"/>
    <w:rsid w:val="00D17F8C"/>
    <w:rsid w:val="00D17FA3"/>
    <w:rsid w:val="00D2001F"/>
    <w:rsid w:val="00D20191"/>
    <w:rsid w:val="00D201D0"/>
    <w:rsid w:val="00D20205"/>
    <w:rsid w:val="00D2022A"/>
    <w:rsid w:val="00D2031F"/>
    <w:rsid w:val="00D20443"/>
    <w:rsid w:val="00D20466"/>
    <w:rsid w:val="00D2048B"/>
    <w:rsid w:val="00D204AC"/>
    <w:rsid w:val="00D204AD"/>
    <w:rsid w:val="00D204FD"/>
    <w:rsid w:val="00D2050E"/>
    <w:rsid w:val="00D20512"/>
    <w:rsid w:val="00D20518"/>
    <w:rsid w:val="00D2058E"/>
    <w:rsid w:val="00D205AB"/>
    <w:rsid w:val="00D205C3"/>
    <w:rsid w:val="00D205F5"/>
    <w:rsid w:val="00D20620"/>
    <w:rsid w:val="00D206BF"/>
    <w:rsid w:val="00D2071A"/>
    <w:rsid w:val="00D2071C"/>
    <w:rsid w:val="00D2074A"/>
    <w:rsid w:val="00D207CB"/>
    <w:rsid w:val="00D207EB"/>
    <w:rsid w:val="00D2080F"/>
    <w:rsid w:val="00D2081B"/>
    <w:rsid w:val="00D20831"/>
    <w:rsid w:val="00D208E3"/>
    <w:rsid w:val="00D208ED"/>
    <w:rsid w:val="00D20901"/>
    <w:rsid w:val="00D209C3"/>
    <w:rsid w:val="00D209FA"/>
    <w:rsid w:val="00D20A42"/>
    <w:rsid w:val="00D20B06"/>
    <w:rsid w:val="00D20B3C"/>
    <w:rsid w:val="00D20D50"/>
    <w:rsid w:val="00D20D90"/>
    <w:rsid w:val="00D20DBD"/>
    <w:rsid w:val="00D20DF7"/>
    <w:rsid w:val="00D20E5C"/>
    <w:rsid w:val="00D20E75"/>
    <w:rsid w:val="00D20EB1"/>
    <w:rsid w:val="00D20EFF"/>
    <w:rsid w:val="00D20F65"/>
    <w:rsid w:val="00D20F9A"/>
    <w:rsid w:val="00D20FAA"/>
    <w:rsid w:val="00D2103E"/>
    <w:rsid w:val="00D21040"/>
    <w:rsid w:val="00D2104E"/>
    <w:rsid w:val="00D21050"/>
    <w:rsid w:val="00D21095"/>
    <w:rsid w:val="00D210B4"/>
    <w:rsid w:val="00D210BD"/>
    <w:rsid w:val="00D210F2"/>
    <w:rsid w:val="00D210F7"/>
    <w:rsid w:val="00D210FB"/>
    <w:rsid w:val="00D21105"/>
    <w:rsid w:val="00D21111"/>
    <w:rsid w:val="00D21139"/>
    <w:rsid w:val="00D2117C"/>
    <w:rsid w:val="00D21219"/>
    <w:rsid w:val="00D2122E"/>
    <w:rsid w:val="00D21261"/>
    <w:rsid w:val="00D213AC"/>
    <w:rsid w:val="00D21407"/>
    <w:rsid w:val="00D2142A"/>
    <w:rsid w:val="00D21435"/>
    <w:rsid w:val="00D214DD"/>
    <w:rsid w:val="00D214E4"/>
    <w:rsid w:val="00D214F9"/>
    <w:rsid w:val="00D2150E"/>
    <w:rsid w:val="00D2160D"/>
    <w:rsid w:val="00D21655"/>
    <w:rsid w:val="00D21670"/>
    <w:rsid w:val="00D21674"/>
    <w:rsid w:val="00D2171C"/>
    <w:rsid w:val="00D217E5"/>
    <w:rsid w:val="00D2182F"/>
    <w:rsid w:val="00D21912"/>
    <w:rsid w:val="00D21A33"/>
    <w:rsid w:val="00D21AD8"/>
    <w:rsid w:val="00D21BB5"/>
    <w:rsid w:val="00D21BB8"/>
    <w:rsid w:val="00D21CA7"/>
    <w:rsid w:val="00D21CD9"/>
    <w:rsid w:val="00D21CDA"/>
    <w:rsid w:val="00D21D00"/>
    <w:rsid w:val="00D21D30"/>
    <w:rsid w:val="00D21DA5"/>
    <w:rsid w:val="00D21DC0"/>
    <w:rsid w:val="00D21DCC"/>
    <w:rsid w:val="00D21E68"/>
    <w:rsid w:val="00D21E7D"/>
    <w:rsid w:val="00D21F0D"/>
    <w:rsid w:val="00D21F53"/>
    <w:rsid w:val="00D21FD7"/>
    <w:rsid w:val="00D22018"/>
    <w:rsid w:val="00D2201A"/>
    <w:rsid w:val="00D2202E"/>
    <w:rsid w:val="00D22122"/>
    <w:rsid w:val="00D221DB"/>
    <w:rsid w:val="00D221E6"/>
    <w:rsid w:val="00D22246"/>
    <w:rsid w:val="00D22281"/>
    <w:rsid w:val="00D22304"/>
    <w:rsid w:val="00D223D0"/>
    <w:rsid w:val="00D2241C"/>
    <w:rsid w:val="00D22480"/>
    <w:rsid w:val="00D224E0"/>
    <w:rsid w:val="00D224E5"/>
    <w:rsid w:val="00D2260C"/>
    <w:rsid w:val="00D22614"/>
    <w:rsid w:val="00D2262A"/>
    <w:rsid w:val="00D226BF"/>
    <w:rsid w:val="00D226E5"/>
    <w:rsid w:val="00D227C9"/>
    <w:rsid w:val="00D228AE"/>
    <w:rsid w:val="00D228BA"/>
    <w:rsid w:val="00D228CE"/>
    <w:rsid w:val="00D228FF"/>
    <w:rsid w:val="00D22953"/>
    <w:rsid w:val="00D229B4"/>
    <w:rsid w:val="00D229E0"/>
    <w:rsid w:val="00D22A20"/>
    <w:rsid w:val="00D22AC7"/>
    <w:rsid w:val="00D22B33"/>
    <w:rsid w:val="00D22BB1"/>
    <w:rsid w:val="00D22DAA"/>
    <w:rsid w:val="00D22DDB"/>
    <w:rsid w:val="00D22DDF"/>
    <w:rsid w:val="00D22E03"/>
    <w:rsid w:val="00D22F24"/>
    <w:rsid w:val="00D22FE0"/>
    <w:rsid w:val="00D22FF0"/>
    <w:rsid w:val="00D23046"/>
    <w:rsid w:val="00D23075"/>
    <w:rsid w:val="00D230F0"/>
    <w:rsid w:val="00D2311C"/>
    <w:rsid w:val="00D23122"/>
    <w:rsid w:val="00D23167"/>
    <w:rsid w:val="00D23170"/>
    <w:rsid w:val="00D23260"/>
    <w:rsid w:val="00D232D2"/>
    <w:rsid w:val="00D232FE"/>
    <w:rsid w:val="00D23329"/>
    <w:rsid w:val="00D2334A"/>
    <w:rsid w:val="00D2338D"/>
    <w:rsid w:val="00D2342E"/>
    <w:rsid w:val="00D2344F"/>
    <w:rsid w:val="00D23469"/>
    <w:rsid w:val="00D23472"/>
    <w:rsid w:val="00D234A2"/>
    <w:rsid w:val="00D234FB"/>
    <w:rsid w:val="00D2367F"/>
    <w:rsid w:val="00D236B0"/>
    <w:rsid w:val="00D23799"/>
    <w:rsid w:val="00D237F6"/>
    <w:rsid w:val="00D23825"/>
    <w:rsid w:val="00D238B0"/>
    <w:rsid w:val="00D2392F"/>
    <w:rsid w:val="00D23A52"/>
    <w:rsid w:val="00D23A5C"/>
    <w:rsid w:val="00D23AD0"/>
    <w:rsid w:val="00D23B2C"/>
    <w:rsid w:val="00D23B48"/>
    <w:rsid w:val="00D23BA4"/>
    <w:rsid w:val="00D23BAA"/>
    <w:rsid w:val="00D23BB0"/>
    <w:rsid w:val="00D23BD6"/>
    <w:rsid w:val="00D23C0D"/>
    <w:rsid w:val="00D23C7D"/>
    <w:rsid w:val="00D23CAF"/>
    <w:rsid w:val="00D23E91"/>
    <w:rsid w:val="00D23EA6"/>
    <w:rsid w:val="00D23EEB"/>
    <w:rsid w:val="00D23FAD"/>
    <w:rsid w:val="00D2401F"/>
    <w:rsid w:val="00D2403F"/>
    <w:rsid w:val="00D240BE"/>
    <w:rsid w:val="00D240C7"/>
    <w:rsid w:val="00D2410E"/>
    <w:rsid w:val="00D24205"/>
    <w:rsid w:val="00D2430F"/>
    <w:rsid w:val="00D2431E"/>
    <w:rsid w:val="00D24370"/>
    <w:rsid w:val="00D24394"/>
    <w:rsid w:val="00D2439E"/>
    <w:rsid w:val="00D243EC"/>
    <w:rsid w:val="00D24426"/>
    <w:rsid w:val="00D245B0"/>
    <w:rsid w:val="00D2470E"/>
    <w:rsid w:val="00D2472C"/>
    <w:rsid w:val="00D2472D"/>
    <w:rsid w:val="00D24830"/>
    <w:rsid w:val="00D24927"/>
    <w:rsid w:val="00D2496D"/>
    <w:rsid w:val="00D24989"/>
    <w:rsid w:val="00D2498F"/>
    <w:rsid w:val="00D24A7B"/>
    <w:rsid w:val="00D24A87"/>
    <w:rsid w:val="00D24A98"/>
    <w:rsid w:val="00D24A9D"/>
    <w:rsid w:val="00D24AB6"/>
    <w:rsid w:val="00D24B03"/>
    <w:rsid w:val="00D24CA1"/>
    <w:rsid w:val="00D24CC1"/>
    <w:rsid w:val="00D24CED"/>
    <w:rsid w:val="00D24D9A"/>
    <w:rsid w:val="00D24DB0"/>
    <w:rsid w:val="00D24E50"/>
    <w:rsid w:val="00D24E56"/>
    <w:rsid w:val="00D24EAC"/>
    <w:rsid w:val="00D24EF6"/>
    <w:rsid w:val="00D24F2F"/>
    <w:rsid w:val="00D24F39"/>
    <w:rsid w:val="00D2518D"/>
    <w:rsid w:val="00D2518E"/>
    <w:rsid w:val="00D251C9"/>
    <w:rsid w:val="00D25209"/>
    <w:rsid w:val="00D25219"/>
    <w:rsid w:val="00D25267"/>
    <w:rsid w:val="00D252B0"/>
    <w:rsid w:val="00D25317"/>
    <w:rsid w:val="00D2532A"/>
    <w:rsid w:val="00D2536D"/>
    <w:rsid w:val="00D25396"/>
    <w:rsid w:val="00D2540A"/>
    <w:rsid w:val="00D25426"/>
    <w:rsid w:val="00D254CA"/>
    <w:rsid w:val="00D25501"/>
    <w:rsid w:val="00D2551E"/>
    <w:rsid w:val="00D25570"/>
    <w:rsid w:val="00D255F6"/>
    <w:rsid w:val="00D25635"/>
    <w:rsid w:val="00D25655"/>
    <w:rsid w:val="00D25681"/>
    <w:rsid w:val="00D256B9"/>
    <w:rsid w:val="00D256C3"/>
    <w:rsid w:val="00D256C4"/>
    <w:rsid w:val="00D25713"/>
    <w:rsid w:val="00D2581B"/>
    <w:rsid w:val="00D2585F"/>
    <w:rsid w:val="00D258CF"/>
    <w:rsid w:val="00D258DD"/>
    <w:rsid w:val="00D258FE"/>
    <w:rsid w:val="00D25988"/>
    <w:rsid w:val="00D2598A"/>
    <w:rsid w:val="00D2599D"/>
    <w:rsid w:val="00D25B31"/>
    <w:rsid w:val="00D25B6E"/>
    <w:rsid w:val="00D25B6F"/>
    <w:rsid w:val="00D25CEB"/>
    <w:rsid w:val="00D25D62"/>
    <w:rsid w:val="00D25DA8"/>
    <w:rsid w:val="00D25FE8"/>
    <w:rsid w:val="00D260E6"/>
    <w:rsid w:val="00D26137"/>
    <w:rsid w:val="00D26150"/>
    <w:rsid w:val="00D26237"/>
    <w:rsid w:val="00D26334"/>
    <w:rsid w:val="00D26363"/>
    <w:rsid w:val="00D26376"/>
    <w:rsid w:val="00D2638E"/>
    <w:rsid w:val="00D263B2"/>
    <w:rsid w:val="00D263B8"/>
    <w:rsid w:val="00D26407"/>
    <w:rsid w:val="00D264A5"/>
    <w:rsid w:val="00D2655A"/>
    <w:rsid w:val="00D2668C"/>
    <w:rsid w:val="00D266A5"/>
    <w:rsid w:val="00D267BE"/>
    <w:rsid w:val="00D26865"/>
    <w:rsid w:val="00D268A9"/>
    <w:rsid w:val="00D26A38"/>
    <w:rsid w:val="00D26A83"/>
    <w:rsid w:val="00D26AE2"/>
    <w:rsid w:val="00D26B7E"/>
    <w:rsid w:val="00D26BE0"/>
    <w:rsid w:val="00D26C7C"/>
    <w:rsid w:val="00D26CAF"/>
    <w:rsid w:val="00D26CB7"/>
    <w:rsid w:val="00D26CBA"/>
    <w:rsid w:val="00D26CFA"/>
    <w:rsid w:val="00D26DB3"/>
    <w:rsid w:val="00D26DB8"/>
    <w:rsid w:val="00D26DC1"/>
    <w:rsid w:val="00D26DC8"/>
    <w:rsid w:val="00D26E74"/>
    <w:rsid w:val="00D26E8A"/>
    <w:rsid w:val="00D26EA7"/>
    <w:rsid w:val="00D26F31"/>
    <w:rsid w:val="00D26F3F"/>
    <w:rsid w:val="00D26F4E"/>
    <w:rsid w:val="00D26F56"/>
    <w:rsid w:val="00D26FCB"/>
    <w:rsid w:val="00D26FF0"/>
    <w:rsid w:val="00D27072"/>
    <w:rsid w:val="00D2707B"/>
    <w:rsid w:val="00D270D8"/>
    <w:rsid w:val="00D27105"/>
    <w:rsid w:val="00D27147"/>
    <w:rsid w:val="00D2717F"/>
    <w:rsid w:val="00D271AC"/>
    <w:rsid w:val="00D271B6"/>
    <w:rsid w:val="00D27238"/>
    <w:rsid w:val="00D2728F"/>
    <w:rsid w:val="00D272AD"/>
    <w:rsid w:val="00D2731B"/>
    <w:rsid w:val="00D2735F"/>
    <w:rsid w:val="00D2738A"/>
    <w:rsid w:val="00D273BB"/>
    <w:rsid w:val="00D273C0"/>
    <w:rsid w:val="00D273DA"/>
    <w:rsid w:val="00D27401"/>
    <w:rsid w:val="00D2745A"/>
    <w:rsid w:val="00D27468"/>
    <w:rsid w:val="00D27490"/>
    <w:rsid w:val="00D274AC"/>
    <w:rsid w:val="00D274F5"/>
    <w:rsid w:val="00D2757E"/>
    <w:rsid w:val="00D2759B"/>
    <w:rsid w:val="00D276FA"/>
    <w:rsid w:val="00D277FC"/>
    <w:rsid w:val="00D27845"/>
    <w:rsid w:val="00D278BC"/>
    <w:rsid w:val="00D279C2"/>
    <w:rsid w:val="00D27A6D"/>
    <w:rsid w:val="00D27A9F"/>
    <w:rsid w:val="00D27B1D"/>
    <w:rsid w:val="00D27B52"/>
    <w:rsid w:val="00D27BBC"/>
    <w:rsid w:val="00D27C10"/>
    <w:rsid w:val="00D27C34"/>
    <w:rsid w:val="00D27C60"/>
    <w:rsid w:val="00D27CE6"/>
    <w:rsid w:val="00D27D4D"/>
    <w:rsid w:val="00D27D90"/>
    <w:rsid w:val="00D27D91"/>
    <w:rsid w:val="00D27ED7"/>
    <w:rsid w:val="00D27F13"/>
    <w:rsid w:val="00D27F4B"/>
    <w:rsid w:val="00D27F7F"/>
    <w:rsid w:val="00D30067"/>
    <w:rsid w:val="00D3008E"/>
    <w:rsid w:val="00D300EC"/>
    <w:rsid w:val="00D30157"/>
    <w:rsid w:val="00D3027E"/>
    <w:rsid w:val="00D302E9"/>
    <w:rsid w:val="00D3034A"/>
    <w:rsid w:val="00D3034C"/>
    <w:rsid w:val="00D303AB"/>
    <w:rsid w:val="00D303F7"/>
    <w:rsid w:val="00D30445"/>
    <w:rsid w:val="00D3045B"/>
    <w:rsid w:val="00D304AB"/>
    <w:rsid w:val="00D304E8"/>
    <w:rsid w:val="00D30507"/>
    <w:rsid w:val="00D3053D"/>
    <w:rsid w:val="00D30552"/>
    <w:rsid w:val="00D3058B"/>
    <w:rsid w:val="00D3059A"/>
    <w:rsid w:val="00D30602"/>
    <w:rsid w:val="00D30633"/>
    <w:rsid w:val="00D3067D"/>
    <w:rsid w:val="00D3071D"/>
    <w:rsid w:val="00D30784"/>
    <w:rsid w:val="00D3080B"/>
    <w:rsid w:val="00D30868"/>
    <w:rsid w:val="00D30917"/>
    <w:rsid w:val="00D30951"/>
    <w:rsid w:val="00D30969"/>
    <w:rsid w:val="00D3098F"/>
    <w:rsid w:val="00D309E9"/>
    <w:rsid w:val="00D30A80"/>
    <w:rsid w:val="00D30ACE"/>
    <w:rsid w:val="00D30ADE"/>
    <w:rsid w:val="00D30B62"/>
    <w:rsid w:val="00D30C25"/>
    <w:rsid w:val="00D30C76"/>
    <w:rsid w:val="00D30C82"/>
    <w:rsid w:val="00D30CC1"/>
    <w:rsid w:val="00D30D59"/>
    <w:rsid w:val="00D30D60"/>
    <w:rsid w:val="00D30DB7"/>
    <w:rsid w:val="00D30E05"/>
    <w:rsid w:val="00D30E4B"/>
    <w:rsid w:val="00D30E54"/>
    <w:rsid w:val="00D30E73"/>
    <w:rsid w:val="00D30E7A"/>
    <w:rsid w:val="00D30E8B"/>
    <w:rsid w:val="00D30F4B"/>
    <w:rsid w:val="00D30F6F"/>
    <w:rsid w:val="00D30F84"/>
    <w:rsid w:val="00D30FAF"/>
    <w:rsid w:val="00D30FF3"/>
    <w:rsid w:val="00D3103D"/>
    <w:rsid w:val="00D31072"/>
    <w:rsid w:val="00D310BD"/>
    <w:rsid w:val="00D31158"/>
    <w:rsid w:val="00D31183"/>
    <w:rsid w:val="00D311E4"/>
    <w:rsid w:val="00D31212"/>
    <w:rsid w:val="00D31215"/>
    <w:rsid w:val="00D3122B"/>
    <w:rsid w:val="00D31241"/>
    <w:rsid w:val="00D312E6"/>
    <w:rsid w:val="00D3130A"/>
    <w:rsid w:val="00D31312"/>
    <w:rsid w:val="00D313A8"/>
    <w:rsid w:val="00D313B9"/>
    <w:rsid w:val="00D313CD"/>
    <w:rsid w:val="00D31420"/>
    <w:rsid w:val="00D31477"/>
    <w:rsid w:val="00D3147B"/>
    <w:rsid w:val="00D3159F"/>
    <w:rsid w:val="00D315B3"/>
    <w:rsid w:val="00D31696"/>
    <w:rsid w:val="00D31697"/>
    <w:rsid w:val="00D316C2"/>
    <w:rsid w:val="00D316EE"/>
    <w:rsid w:val="00D31795"/>
    <w:rsid w:val="00D318A6"/>
    <w:rsid w:val="00D3191A"/>
    <w:rsid w:val="00D3193F"/>
    <w:rsid w:val="00D31A09"/>
    <w:rsid w:val="00D31A34"/>
    <w:rsid w:val="00D31A86"/>
    <w:rsid w:val="00D31A8A"/>
    <w:rsid w:val="00D31A8D"/>
    <w:rsid w:val="00D31AE1"/>
    <w:rsid w:val="00D31B56"/>
    <w:rsid w:val="00D31B5B"/>
    <w:rsid w:val="00D31BB1"/>
    <w:rsid w:val="00D31BD2"/>
    <w:rsid w:val="00D31C24"/>
    <w:rsid w:val="00D31C99"/>
    <w:rsid w:val="00D31CDD"/>
    <w:rsid w:val="00D31DDD"/>
    <w:rsid w:val="00D31E2F"/>
    <w:rsid w:val="00D31E7E"/>
    <w:rsid w:val="00D31EC3"/>
    <w:rsid w:val="00D31F70"/>
    <w:rsid w:val="00D31FEC"/>
    <w:rsid w:val="00D32032"/>
    <w:rsid w:val="00D3205C"/>
    <w:rsid w:val="00D32126"/>
    <w:rsid w:val="00D32161"/>
    <w:rsid w:val="00D321A0"/>
    <w:rsid w:val="00D321E5"/>
    <w:rsid w:val="00D3224E"/>
    <w:rsid w:val="00D3227D"/>
    <w:rsid w:val="00D322A3"/>
    <w:rsid w:val="00D322E4"/>
    <w:rsid w:val="00D322ED"/>
    <w:rsid w:val="00D324AA"/>
    <w:rsid w:val="00D3251B"/>
    <w:rsid w:val="00D3255F"/>
    <w:rsid w:val="00D32572"/>
    <w:rsid w:val="00D325FE"/>
    <w:rsid w:val="00D326C1"/>
    <w:rsid w:val="00D326D7"/>
    <w:rsid w:val="00D326E2"/>
    <w:rsid w:val="00D327CD"/>
    <w:rsid w:val="00D3286C"/>
    <w:rsid w:val="00D328E4"/>
    <w:rsid w:val="00D32931"/>
    <w:rsid w:val="00D3299E"/>
    <w:rsid w:val="00D329BF"/>
    <w:rsid w:val="00D32A0C"/>
    <w:rsid w:val="00D32ACD"/>
    <w:rsid w:val="00D32B5C"/>
    <w:rsid w:val="00D32B65"/>
    <w:rsid w:val="00D32BBA"/>
    <w:rsid w:val="00D32C37"/>
    <w:rsid w:val="00D32C9D"/>
    <w:rsid w:val="00D32CD1"/>
    <w:rsid w:val="00D32CDD"/>
    <w:rsid w:val="00D32DE7"/>
    <w:rsid w:val="00D32DEF"/>
    <w:rsid w:val="00D32E6D"/>
    <w:rsid w:val="00D32EDD"/>
    <w:rsid w:val="00D32EEC"/>
    <w:rsid w:val="00D32EF3"/>
    <w:rsid w:val="00D32EFF"/>
    <w:rsid w:val="00D32F42"/>
    <w:rsid w:val="00D32F70"/>
    <w:rsid w:val="00D32FA3"/>
    <w:rsid w:val="00D32FB5"/>
    <w:rsid w:val="00D32FED"/>
    <w:rsid w:val="00D33054"/>
    <w:rsid w:val="00D3307A"/>
    <w:rsid w:val="00D3319D"/>
    <w:rsid w:val="00D33309"/>
    <w:rsid w:val="00D33372"/>
    <w:rsid w:val="00D333BB"/>
    <w:rsid w:val="00D333FE"/>
    <w:rsid w:val="00D33443"/>
    <w:rsid w:val="00D3348B"/>
    <w:rsid w:val="00D3352F"/>
    <w:rsid w:val="00D33542"/>
    <w:rsid w:val="00D3355B"/>
    <w:rsid w:val="00D33573"/>
    <w:rsid w:val="00D33577"/>
    <w:rsid w:val="00D33591"/>
    <w:rsid w:val="00D33659"/>
    <w:rsid w:val="00D3370C"/>
    <w:rsid w:val="00D337C1"/>
    <w:rsid w:val="00D337FF"/>
    <w:rsid w:val="00D3389F"/>
    <w:rsid w:val="00D338E4"/>
    <w:rsid w:val="00D33943"/>
    <w:rsid w:val="00D33A09"/>
    <w:rsid w:val="00D33A67"/>
    <w:rsid w:val="00D33A94"/>
    <w:rsid w:val="00D33AE1"/>
    <w:rsid w:val="00D33AED"/>
    <w:rsid w:val="00D33B97"/>
    <w:rsid w:val="00D33BE9"/>
    <w:rsid w:val="00D33C26"/>
    <w:rsid w:val="00D33CA6"/>
    <w:rsid w:val="00D33CEB"/>
    <w:rsid w:val="00D33D1D"/>
    <w:rsid w:val="00D33DBB"/>
    <w:rsid w:val="00D33E29"/>
    <w:rsid w:val="00D33E88"/>
    <w:rsid w:val="00D33EBB"/>
    <w:rsid w:val="00D33F3D"/>
    <w:rsid w:val="00D33F9F"/>
    <w:rsid w:val="00D33FB3"/>
    <w:rsid w:val="00D34010"/>
    <w:rsid w:val="00D34016"/>
    <w:rsid w:val="00D34032"/>
    <w:rsid w:val="00D34047"/>
    <w:rsid w:val="00D3405C"/>
    <w:rsid w:val="00D34068"/>
    <w:rsid w:val="00D34074"/>
    <w:rsid w:val="00D3407E"/>
    <w:rsid w:val="00D34105"/>
    <w:rsid w:val="00D34149"/>
    <w:rsid w:val="00D341B4"/>
    <w:rsid w:val="00D34233"/>
    <w:rsid w:val="00D342BE"/>
    <w:rsid w:val="00D342F9"/>
    <w:rsid w:val="00D342FD"/>
    <w:rsid w:val="00D3431B"/>
    <w:rsid w:val="00D34323"/>
    <w:rsid w:val="00D3434B"/>
    <w:rsid w:val="00D3435A"/>
    <w:rsid w:val="00D3438E"/>
    <w:rsid w:val="00D344D2"/>
    <w:rsid w:val="00D344DC"/>
    <w:rsid w:val="00D344EA"/>
    <w:rsid w:val="00D344F4"/>
    <w:rsid w:val="00D34563"/>
    <w:rsid w:val="00D34569"/>
    <w:rsid w:val="00D345E9"/>
    <w:rsid w:val="00D345F2"/>
    <w:rsid w:val="00D34639"/>
    <w:rsid w:val="00D346EE"/>
    <w:rsid w:val="00D34752"/>
    <w:rsid w:val="00D347C8"/>
    <w:rsid w:val="00D3489C"/>
    <w:rsid w:val="00D34A41"/>
    <w:rsid w:val="00D34A9C"/>
    <w:rsid w:val="00D34B1D"/>
    <w:rsid w:val="00D34B35"/>
    <w:rsid w:val="00D34BE4"/>
    <w:rsid w:val="00D34C5A"/>
    <w:rsid w:val="00D34CAD"/>
    <w:rsid w:val="00D34CE8"/>
    <w:rsid w:val="00D34D68"/>
    <w:rsid w:val="00D34DD7"/>
    <w:rsid w:val="00D34DEE"/>
    <w:rsid w:val="00D34DFC"/>
    <w:rsid w:val="00D34E5B"/>
    <w:rsid w:val="00D34E75"/>
    <w:rsid w:val="00D34EDF"/>
    <w:rsid w:val="00D34F5C"/>
    <w:rsid w:val="00D34FAC"/>
    <w:rsid w:val="00D34FB6"/>
    <w:rsid w:val="00D35028"/>
    <w:rsid w:val="00D350B9"/>
    <w:rsid w:val="00D350BC"/>
    <w:rsid w:val="00D350CB"/>
    <w:rsid w:val="00D350D6"/>
    <w:rsid w:val="00D350FE"/>
    <w:rsid w:val="00D35102"/>
    <w:rsid w:val="00D35139"/>
    <w:rsid w:val="00D351B4"/>
    <w:rsid w:val="00D351BF"/>
    <w:rsid w:val="00D3520F"/>
    <w:rsid w:val="00D35253"/>
    <w:rsid w:val="00D352B6"/>
    <w:rsid w:val="00D352D7"/>
    <w:rsid w:val="00D352E4"/>
    <w:rsid w:val="00D3538F"/>
    <w:rsid w:val="00D353BE"/>
    <w:rsid w:val="00D353CB"/>
    <w:rsid w:val="00D353E7"/>
    <w:rsid w:val="00D35414"/>
    <w:rsid w:val="00D35423"/>
    <w:rsid w:val="00D354B9"/>
    <w:rsid w:val="00D35527"/>
    <w:rsid w:val="00D35538"/>
    <w:rsid w:val="00D35546"/>
    <w:rsid w:val="00D3558E"/>
    <w:rsid w:val="00D3561A"/>
    <w:rsid w:val="00D35698"/>
    <w:rsid w:val="00D35739"/>
    <w:rsid w:val="00D357D0"/>
    <w:rsid w:val="00D358B5"/>
    <w:rsid w:val="00D35927"/>
    <w:rsid w:val="00D35985"/>
    <w:rsid w:val="00D35BDC"/>
    <w:rsid w:val="00D35BF0"/>
    <w:rsid w:val="00D35C7C"/>
    <w:rsid w:val="00D35DD7"/>
    <w:rsid w:val="00D35EB2"/>
    <w:rsid w:val="00D35ECD"/>
    <w:rsid w:val="00D35F19"/>
    <w:rsid w:val="00D35FC6"/>
    <w:rsid w:val="00D36006"/>
    <w:rsid w:val="00D360B2"/>
    <w:rsid w:val="00D361AD"/>
    <w:rsid w:val="00D362F5"/>
    <w:rsid w:val="00D3634F"/>
    <w:rsid w:val="00D3641B"/>
    <w:rsid w:val="00D364C0"/>
    <w:rsid w:val="00D36512"/>
    <w:rsid w:val="00D36540"/>
    <w:rsid w:val="00D36566"/>
    <w:rsid w:val="00D366B1"/>
    <w:rsid w:val="00D367A9"/>
    <w:rsid w:val="00D367E0"/>
    <w:rsid w:val="00D36852"/>
    <w:rsid w:val="00D36937"/>
    <w:rsid w:val="00D36A84"/>
    <w:rsid w:val="00D36B70"/>
    <w:rsid w:val="00D36BAE"/>
    <w:rsid w:val="00D36C9C"/>
    <w:rsid w:val="00D36CE4"/>
    <w:rsid w:val="00D36DA8"/>
    <w:rsid w:val="00D36DC4"/>
    <w:rsid w:val="00D36EEF"/>
    <w:rsid w:val="00D36F16"/>
    <w:rsid w:val="00D36F40"/>
    <w:rsid w:val="00D36FFB"/>
    <w:rsid w:val="00D3700D"/>
    <w:rsid w:val="00D37152"/>
    <w:rsid w:val="00D37259"/>
    <w:rsid w:val="00D3726D"/>
    <w:rsid w:val="00D3727C"/>
    <w:rsid w:val="00D372DB"/>
    <w:rsid w:val="00D3737E"/>
    <w:rsid w:val="00D373D9"/>
    <w:rsid w:val="00D373DE"/>
    <w:rsid w:val="00D3742C"/>
    <w:rsid w:val="00D3744D"/>
    <w:rsid w:val="00D37491"/>
    <w:rsid w:val="00D37499"/>
    <w:rsid w:val="00D374AE"/>
    <w:rsid w:val="00D374E1"/>
    <w:rsid w:val="00D37582"/>
    <w:rsid w:val="00D375EC"/>
    <w:rsid w:val="00D37644"/>
    <w:rsid w:val="00D376D3"/>
    <w:rsid w:val="00D376DD"/>
    <w:rsid w:val="00D37729"/>
    <w:rsid w:val="00D377A3"/>
    <w:rsid w:val="00D377AE"/>
    <w:rsid w:val="00D377D4"/>
    <w:rsid w:val="00D3781F"/>
    <w:rsid w:val="00D37925"/>
    <w:rsid w:val="00D3792E"/>
    <w:rsid w:val="00D37953"/>
    <w:rsid w:val="00D379C5"/>
    <w:rsid w:val="00D379C9"/>
    <w:rsid w:val="00D379EB"/>
    <w:rsid w:val="00D37A11"/>
    <w:rsid w:val="00D37A14"/>
    <w:rsid w:val="00D37AD4"/>
    <w:rsid w:val="00D37B1D"/>
    <w:rsid w:val="00D37B4E"/>
    <w:rsid w:val="00D37BBE"/>
    <w:rsid w:val="00D37C0B"/>
    <w:rsid w:val="00D37C16"/>
    <w:rsid w:val="00D37C40"/>
    <w:rsid w:val="00D37C7B"/>
    <w:rsid w:val="00D37D56"/>
    <w:rsid w:val="00D37E4F"/>
    <w:rsid w:val="00D37ECE"/>
    <w:rsid w:val="00D37F30"/>
    <w:rsid w:val="00D40046"/>
    <w:rsid w:val="00D4006E"/>
    <w:rsid w:val="00D400A0"/>
    <w:rsid w:val="00D400E4"/>
    <w:rsid w:val="00D40179"/>
    <w:rsid w:val="00D401C3"/>
    <w:rsid w:val="00D401F2"/>
    <w:rsid w:val="00D403DD"/>
    <w:rsid w:val="00D4042D"/>
    <w:rsid w:val="00D4044E"/>
    <w:rsid w:val="00D404B2"/>
    <w:rsid w:val="00D404CD"/>
    <w:rsid w:val="00D40577"/>
    <w:rsid w:val="00D405C9"/>
    <w:rsid w:val="00D40603"/>
    <w:rsid w:val="00D40611"/>
    <w:rsid w:val="00D4064F"/>
    <w:rsid w:val="00D406EC"/>
    <w:rsid w:val="00D4074B"/>
    <w:rsid w:val="00D40852"/>
    <w:rsid w:val="00D4085E"/>
    <w:rsid w:val="00D4091F"/>
    <w:rsid w:val="00D40928"/>
    <w:rsid w:val="00D409D2"/>
    <w:rsid w:val="00D40AC8"/>
    <w:rsid w:val="00D40B7A"/>
    <w:rsid w:val="00D40C3E"/>
    <w:rsid w:val="00D40C42"/>
    <w:rsid w:val="00D40C56"/>
    <w:rsid w:val="00D40C79"/>
    <w:rsid w:val="00D40C90"/>
    <w:rsid w:val="00D40CC4"/>
    <w:rsid w:val="00D40D3C"/>
    <w:rsid w:val="00D40D5C"/>
    <w:rsid w:val="00D40E52"/>
    <w:rsid w:val="00D40E92"/>
    <w:rsid w:val="00D40ECE"/>
    <w:rsid w:val="00D40F6B"/>
    <w:rsid w:val="00D40FCD"/>
    <w:rsid w:val="00D41032"/>
    <w:rsid w:val="00D4106E"/>
    <w:rsid w:val="00D410A7"/>
    <w:rsid w:val="00D410F6"/>
    <w:rsid w:val="00D41107"/>
    <w:rsid w:val="00D41130"/>
    <w:rsid w:val="00D41162"/>
    <w:rsid w:val="00D41167"/>
    <w:rsid w:val="00D4118D"/>
    <w:rsid w:val="00D41275"/>
    <w:rsid w:val="00D412CD"/>
    <w:rsid w:val="00D412F0"/>
    <w:rsid w:val="00D41317"/>
    <w:rsid w:val="00D41344"/>
    <w:rsid w:val="00D41387"/>
    <w:rsid w:val="00D41422"/>
    <w:rsid w:val="00D414A5"/>
    <w:rsid w:val="00D414E3"/>
    <w:rsid w:val="00D41527"/>
    <w:rsid w:val="00D41533"/>
    <w:rsid w:val="00D41567"/>
    <w:rsid w:val="00D415FB"/>
    <w:rsid w:val="00D41639"/>
    <w:rsid w:val="00D41682"/>
    <w:rsid w:val="00D416F9"/>
    <w:rsid w:val="00D4174C"/>
    <w:rsid w:val="00D41768"/>
    <w:rsid w:val="00D41817"/>
    <w:rsid w:val="00D41B12"/>
    <w:rsid w:val="00D41B13"/>
    <w:rsid w:val="00D41BB2"/>
    <w:rsid w:val="00D41BF4"/>
    <w:rsid w:val="00D41C53"/>
    <w:rsid w:val="00D41CF0"/>
    <w:rsid w:val="00D41D1E"/>
    <w:rsid w:val="00D41D49"/>
    <w:rsid w:val="00D41DEB"/>
    <w:rsid w:val="00D41EF2"/>
    <w:rsid w:val="00D41F38"/>
    <w:rsid w:val="00D41F4F"/>
    <w:rsid w:val="00D41F57"/>
    <w:rsid w:val="00D41FCE"/>
    <w:rsid w:val="00D41FE7"/>
    <w:rsid w:val="00D41FFD"/>
    <w:rsid w:val="00D4205E"/>
    <w:rsid w:val="00D420CB"/>
    <w:rsid w:val="00D420E3"/>
    <w:rsid w:val="00D4211B"/>
    <w:rsid w:val="00D42144"/>
    <w:rsid w:val="00D42188"/>
    <w:rsid w:val="00D421B5"/>
    <w:rsid w:val="00D421B9"/>
    <w:rsid w:val="00D421BA"/>
    <w:rsid w:val="00D42251"/>
    <w:rsid w:val="00D42293"/>
    <w:rsid w:val="00D422BA"/>
    <w:rsid w:val="00D422D9"/>
    <w:rsid w:val="00D422DA"/>
    <w:rsid w:val="00D4234A"/>
    <w:rsid w:val="00D4241A"/>
    <w:rsid w:val="00D42544"/>
    <w:rsid w:val="00D42642"/>
    <w:rsid w:val="00D426B1"/>
    <w:rsid w:val="00D426D2"/>
    <w:rsid w:val="00D426F1"/>
    <w:rsid w:val="00D42732"/>
    <w:rsid w:val="00D42797"/>
    <w:rsid w:val="00D4279D"/>
    <w:rsid w:val="00D427AD"/>
    <w:rsid w:val="00D427DA"/>
    <w:rsid w:val="00D427E4"/>
    <w:rsid w:val="00D42820"/>
    <w:rsid w:val="00D42892"/>
    <w:rsid w:val="00D429A4"/>
    <w:rsid w:val="00D429EB"/>
    <w:rsid w:val="00D429F2"/>
    <w:rsid w:val="00D42A03"/>
    <w:rsid w:val="00D42A33"/>
    <w:rsid w:val="00D42ADF"/>
    <w:rsid w:val="00D42AE5"/>
    <w:rsid w:val="00D42AEC"/>
    <w:rsid w:val="00D42B39"/>
    <w:rsid w:val="00D42B59"/>
    <w:rsid w:val="00D42B79"/>
    <w:rsid w:val="00D42BAB"/>
    <w:rsid w:val="00D42C06"/>
    <w:rsid w:val="00D42CF9"/>
    <w:rsid w:val="00D42CFB"/>
    <w:rsid w:val="00D42D1D"/>
    <w:rsid w:val="00D42D20"/>
    <w:rsid w:val="00D42DF2"/>
    <w:rsid w:val="00D42DFE"/>
    <w:rsid w:val="00D42E08"/>
    <w:rsid w:val="00D42E16"/>
    <w:rsid w:val="00D42F07"/>
    <w:rsid w:val="00D42F17"/>
    <w:rsid w:val="00D42F2E"/>
    <w:rsid w:val="00D42F57"/>
    <w:rsid w:val="00D42F72"/>
    <w:rsid w:val="00D42F82"/>
    <w:rsid w:val="00D42FC1"/>
    <w:rsid w:val="00D42FEC"/>
    <w:rsid w:val="00D430B9"/>
    <w:rsid w:val="00D430C0"/>
    <w:rsid w:val="00D430C9"/>
    <w:rsid w:val="00D4313B"/>
    <w:rsid w:val="00D4313F"/>
    <w:rsid w:val="00D4318E"/>
    <w:rsid w:val="00D43272"/>
    <w:rsid w:val="00D43277"/>
    <w:rsid w:val="00D4342C"/>
    <w:rsid w:val="00D4344D"/>
    <w:rsid w:val="00D434BB"/>
    <w:rsid w:val="00D434D9"/>
    <w:rsid w:val="00D43566"/>
    <w:rsid w:val="00D435EE"/>
    <w:rsid w:val="00D43614"/>
    <w:rsid w:val="00D43839"/>
    <w:rsid w:val="00D438EF"/>
    <w:rsid w:val="00D43950"/>
    <w:rsid w:val="00D43987"/>
    <w:rsid w:val="00D43993"/>
    <w:rsid w:val="00D4399B"/>
    <w:rsid w:val="00D439E5"/>
    <w:rsid w:val="00D43A36"/>
    <w:rsid w:val="00D43A67"/>
    <w:rsid w:val="00D43ABB"/>
    <w:rsid w:val="00D43BFF"/>
    <w:rsid w:val="00D43C14"/>
    <w:rsid w:val="00D43CA3"/>
    <w:rsid w:val="00D43CB3"/>
    <w:rsid w:val="00D43CD2"/>
    <w:rsid w:val="00D43CDD"/>
    <w:rsid w:val="00D43D2A"/>
    <w:rsid w:val="00D43D4E"/>
    <w:rsid w:val="00D43E87"/>
    <w:rsid w:val="00D43E91"/>
    <w:rsid w:val="00D43E9B"/>
    <w:rsid w:val="00D43EF4"/>
    <w:rsid w:val="00D43F27"/>
    <w:rsid w:val="00D43F29"/>
    <w:rsid w:val="00D43F49"/>
    <w:rsid w:val="00D43F6B"/>
    <w:rsid w:val="00D43F73"/>
    <w:rsid w:val="00D44040"/>
    <w:rsid w:val="00D44053"/>
    <w:rsid w:val="00D44056"/>
    <w:rsid w:val="00D440C1"/>
    <w:rsid w:val="00D440CD"/>
    <w:rsid w:val="00D441B2"/>
    <w:rsid w:val="00D441BD"/>
    <w:rsid w:val="00D441F5"/>
    <w:rsid w:val="00D4421D"/>
    <w:rsid w:val="00D442B0"/>
    <w:rsid w:val="00D44305"/>
    <w:rsid w:val="00D4436F"/>
    <w:rsid w:val="00D44417"/>
    <w:rsid w:val="00D444CA"/>
    <w:rsid w:val="00D444CE"/>
    <w:rsid w:val="00D44508"/>
    <w:rsid w:val="00D44554"/>
    <w:rsid w:val="00D44574"/>
    <w:rsid w:val="00D445D0"/>
    <w:rsid w:val="00D445E8"/>
    <w:rsid w:val="00D44626"/>
    <w:rsid w:val="00D446D4"/>
    <w:rsid w:val="00D44777"/>
    <w:rsid w:val="00D4479F"/>
    <w:rsid w:val="00D447BB"/>
    <w:rsid w:val="00D447D6"/>
    <w:rsid w:val="00D447E8"/>
    <w:rsid w:val="00D4482C"/>
    <w:rsid w:val="00D448BF"/>
    <w:rsid w:val="00D448E2"/>
    <w:rsid w:val="00D44915"/>
    <w:rsid w:val="00D44947"/>
    <w:rsid w:val="00D449A4"/>
    <w:rsid w:val="00D449B1"/>
    <w:rsid w:val="00D449E2"/>
    <w:rsid w:val="00D44A08"/>
    <w:rsid w:val="00D44A78"/>
    <w:rsid w:val="00D44AAB"/>
    <w:rsid w:val="00D44AFD"/>
    <w:rsid w:val="00D44B39"/>
    <w:rsid w:val="00D44B70"/>
    <w:rsid w:val="00D44BB2"/>
    <w:rsid w:val="00D44BE9"/>
    <w:rsid w:val="00D44C4C"/>
    <w:rsid w:val="00D44CEE"/>
    <w:rsid w:val="00D44D99"/>
    <w:rsid w:val="00D44E13"/>
    <w:rsid w:val="00D44E1A"/>
    <w:rsid w:val="00D44E5C"/>
    <w:rsid w:val="00D44EEF"/>
    <w:rsid w:val="00D44F2C"/>
    <w:rsid w:val="00D44F88"/>
    <w:rsid w:val="00D4501A"/>
    <w:rsid w:val="00D45021"/>
    <w:rsid w:val="00D45032"/>
    <w:rsid w:val="00D450CF"/>
    <w:rsid w:val="00D450FD"/>
    <w:rsid w:val="00D4514A"/>
    <w:rsid w:val="00D451FE"/>
    <w:rsid w:val="00D452EC"/>
    <w:rsid w:val="00D45332"/>
    <w:rsid w:val="00D453A1"/>
    <w:rsid w:val="00D453E0"/>
    <w:rsid w:val="00D4543D"/>
    <w:rsid w:val="00D4545E"/>
    <w:rsid w:val="00D45484"/>
    <w:rsid w:val="00D45497"/>
    <w:rsid w:val="00D454CC"/>
    <w:rsid w:val="00D45675"/>
    <w:rsid w:val="00D456CE"/>
    <w:rsid w:val="00D45729"/>
    <w:rsid w:val="00D4572A"/>
    <w:rsid w:val="00D4575F"/>
    <w:rsid w:val="00D457BA"/>
    <w:rsid w:val="00D457D0"/>
    <w:rsid w:val="00D457F4"/>
    <w:rsid w:val="00D45807"/>
    <w:rsid w:val="00D45830"/>
    <w:rsid w:val="00D45841"/>
    <w:rsid w:val="00D458BC"/>
    <w:rsid w:val="00D45901"/>
    <w:rsid w:val="00D45962"/>
    <w:rsid w:val="00D45994"/>
    <w:rsid w:val="00D459A1"/>
    <w:rsid w:val="00D459EC"/>
    <w:rsid w:val="00D45AF0"/>
    <w:rsid w:val="00D45B30"/>
    <w:rsid w:val="00D45C35"/>
    <w:rsid w:val="00D45C45"/>
    <w:rsid w:val="00D45C98"/>
    <w:rsid w:val="00D45CD3"/>
    <w:rsid w:val="00D45CE5"/>
    <w:rsid w:val="00D45D08"/>
    <w:rsid w:val="00D45D18"/>
    <w:rsid w:val="00D45D8D"/>
    <w:rsid w:val="00D45D94"/>
    <w:rsid w:val="00D45EBA"/>
    <w:rsid w:val="00D45ED8"/>
    <w:rsid w:val="00D45EE1"/>
    <w:rsid w:val="00D45EFF"/>
    <w:rsid w:val="00D46096"/>
    <w:rsid w:val="00D460FA"/>
    <w:rsid w:val="00D4613D"/>
    <w:rsid w:val="00D46149"/>
    <w:rsid w:val="00D4615E"/>
    <w:rsid w:val="00D4624F"/>
    <w:rsid w:val="00D46266"/>
    <w:rsid w:val="00D4627B"/>
    <w:rsid w:val="00D4630F"/>
    <w:rsid w:val="00D46382"/>
    <w:rsid w:val="00D463C3"/>
    <w:rsid w:val="00D464A1"/>
    <w:rsid w:val="00D464A8"/>
    <w:rsid w:val="00D464FC"/>
    <w:rsid w:val="00D4657B"/>
    <w:rsid w:val="00D4669D"/>
    <w:rsid w:val="00D4672E"/>
    <w:rsid w:val="00D46743"/>
    <w:rsid w:val="00D46748"/>
    <w:rsid w:val="00D46770"/>
    <w:rsid w:val="00D467BB"/>
    <w:rsid w:val="00D467BC"/>
    <w:rsid w:val="00D467DA"/>
    <w:rsid w:val="00D46867"/>
    <w:rsid w:val="00D4688A"/>
    <w:rsid w:val="00D46899"/>
    <w:rsid w:val="00D468EA"/>
    <w:rsid w:val="00D4693E"/>
    <w:rsid w:val="00D46961"/>
    <w:rsid w:val="00D469AC"/>
    <w:rsid w:val="00D469D0"/>
    <w:rsid w:val="00D46AAD"/>
    <w:rsid w:val="00D46B38"/>
    <w:rsid w:val="00D46BD3"/>
    <w:rsid w:val="00D46BDB"/>
    <w:rsid w:val="00D46C70"/>
    <w:rsid w:val="00D46D4D"/>
    <w:rsid w:val="00D46D85"/>
    <w:rsid w:val="00D46E0E"/>
    <w:rsid w:val="00D46E2A"/>
    <w:rsid w:val="00D46E9D"/>
    <w:rsid w:val="00D46F19"/>
    <w:rsid w:val="00D46F3F"/>
    <w:rsid w:val="00D46F46"/>
    <w:rsid w:val="00D46F7E"/>
    <w:rsid w:val="00D46FF8"/>
    <w:rsid w:val="00D47052"/>
    <w:rsid w:val="00D470C5"/>
    <w:rsid w:val="00D470C8"/>
    <w:rsid w:val="00D472A3"/>
    <w:rsid w:val="00D47335"/>
    <w:rsid w:val="00D4737F"/>
    <w:rsid w:val="00D473A1"/>
    <w:rsid w:val="00D473C3"/>
    <w:rsid w:val="00D473D5"/>
    <w:rsid w:val="00D473F6"/>
    <w:rsid w:val="00D473F8"/>
    <w:rsid w:val="00D473F9"/>
    <w:rsid w:val="00D474FB"/>
    <w:rsid w:val="00D47605"/>
    <w:rsid w:val="00D47644"/>
    <w:rsid w:val="00D4768E"/>
    <w:rsid w:val="00D47697"/>
    <w:rsid w:val="00D476AC"/>
    <w:rsid w:val="00D476EC"/>
    <w:rsid w:val="00D47744"/>
    <w:rsid w:val="00D47777"/>
    <w:rsid w:val="00D4779C"/>
    <w:rsid w:val="00D477A1"/>
    <w:rsid w:val="00D477D3"/>
    <w:rsid w:val="00D4782F"/>
    <w:rsid w:val="00D47880"/>
    <w:rsid w:val="00D47930"/>
    <w:rsid w:val="00D4793F"/>
    <w:rsid w:val="00D47968"/>
    <w:rsid w:val="00D4797B"/>
    <w:rsid w:val="00D47A6C"/>
    <w:rsid w:val="00D47AC3"/>
    <w:rsid w:val="00D47B4D"/>
    <w:rsid w:val="00D47B91"/>
    <w:rsid w:val="00D47C40"/>
    <w:rsid w:val="00D47CC7"/>
    <w:rsid w:val="00D47E61"/>
    <w:rsid w:val="00D47ECD"/>
    <w:rsid w:val="00D47ED0"/>
    <w:rsid w:val="00D47ED8"/>
    <w:rsid w:val="00D47EF0"/>
    <w:rsid w:val="00D47FE5"/>
    <w:rsid w:val="00D50040"/>
    <w:rsid w:val="00D5008C"/>
    <w:rsid w:val="00D50126"/>
    <w:rsid w:val="00D5020D"/>
    <w:rsid w:val="00D5022B"/>
    <w:rsid w:val="00D50293"/>
    <w:rsid w:val="00D502A4"/>
    <w:rsid w:val="00D502C9"/>
    <w:rsid w:val="00D502E8"/>
    <w:rsid w:val="00D5030A"/>
    <w:rsid w:val="00D50311"/>
    <w:rsid w:val="00D5033A"/>
    <w:rsid w:val="00D50353"/>
    <w:rsid w:val="00D50402"/>
    <w:rsid w:val="00D504F9"/>
    <w:rsid w:val="00D506AC"/>
    <w:rsid w:val="00D506E3"/>
    <w:rsid w:val="00D50723"/>
    <w:rsid w:val="00D50735"/>
    <w:rsid w:val="00D5076A"/>
    <w:rsid w:val="00D507AB"/>
    <w:rsid w:val="00D507D2"/>
    <w:rsid w:val="00D5083A"/>
    <w:rsid w:val="00D5085B"/>
    <w:rsid w:val="00D5089A"/>
    <w:rsid w:val="00D508BF"/>
    <w:rsid w:val="00D508F1"/>
    <w:rsid w:val="00D5092F"/>
    <w:rsid w:val="00D50965"/>
    <w:rsid w:val="00D509FC"/>
    <w:rsid w:val="00D50A02"/>
    <w:rsid w:val="00D50A5A"/>
    <w:rsid w:val="00D50AB4"/>
    <w:rsid w:val="00D50B66"/>
    <w:rsid w:val="00D50BB8"/>
    <w:rsid w:val="00D50BCB"/>
    <w:rsid w:val="00D50BDA"/>
    <w:rsid w:val="00D50BFB"/>
    <w:rsid w:val="00D50CC4"/>
    <w:rsid w:val="00D50D7F"/>
    <w:rsid w:val="00D50E90"/>
    <w:rsid w:val="00D50F6D"/>
    <w:rsid w:val="00D50FC7"/>
    <w:rsid w:val="00D50FDB"/>
    <w:rsid w:val="00D50FDF"/>
    <w:rsid w:val="00D51041"/>
    <w:rsid w:val="00D51048"/>
    <w:rsid w:val="00D510AF"/>
    <w:rsid w:val="00D510B7"/>
    <w:rsid w:val="00D51104"/>
    <w:rsid w:val="00D5112C"/>
    <w:rsid w:val="00D5112F"/>
    <w:rsid w:val="00D511A9"/>
    <w:rsid w:val="00D5127F"/>
    <w:rsid w:val="00D51377"/>
    <w:rsid w:val="00D51407"/>
    <w:rsid w:val="00D5141C"/>
    <w:rsid w:val="00D51468"/>
    <w:rsid w:val="00D514AD"/>
    <w:rsid w:val="00D51566"/>
    <w:rsid w:val="00D51590"/>
    <w:rsid w:val="00D5159C"/>
    <w:rsid w:val="00D515A8"/>
    <w:rsid w:val="00D51707"/>
    <w:rsid w:val="00D5170A"/>
    <w:rsid w:val="00D5173F"/>
    <w:rsid w:val="00D5179C"/>
    <w:rsid w:val="00D517E4"/>
    <w:rsid w:val="00D517F0"/>
    <w:rsid w:val="00D51808"/>
    <w:rsid w:val="00D5180B"/>
    <w:rsid w:val="00D51879"/>
    <w:rsid w:val="00D51889"/>
    <w:rsid w:val="00D518A7"/>
    <w:rsid w:val="00D518CC"/>
    <w:rsid w:val="00D5190E"/>
    <w:rsid w:val="00D51989"/>
    <w:rsid w:val="00D519AB"/>
    <w:rsid w:val="00D519C0"/>
    <w:rsid w:val="00D51A6D"/>
    <w:rsid w:val="00D51AE2"/>
    <w:rsid w:val="00D51B61"/>
    <w:rsid w:val="00D51B8E"/>
    <w:rsid w:val="00D51BB5"/>
    <w:rsid w:val="00D51C60"/>
    <w:rsid w:val="00D51DA2"/>
    <w:rsid w:val="00D51DEE"/>
    <w:rsid w:val="00D51EBA"/>
    <w:rsid w:val="00D5201D"/>
    <w:rsid w:val="00D5216C"/>
    <w:rsid w:val="00D5219A"/>
    <w:rsid w:val="00D52267"/>
    <w:rsid w:val="00D522A9"/>
    <w:rsid w:val="00D522D9"/>
    <w:rsid w:val="00D522F3"/>
    <w:rsid w:val="00D5230B"/>
    <w:rsid w:val="00D52375"/>
    <w:rsid w:val="00D523E4"/>
    <w:rsid w:val="00D52421"/>
    <w:rsid w:val="00D52430"/>
    <w:rsid w:val="00D5249B"/>
    <w:rsid w:val="00D524A3"/>
    <w:rsid w:val="00D5259E"/>
    <w:rsid w:val="00D525AD"/>
    <w:rsid w:val="00D52628"/>
    <w:rsid w:val="00D52656"/>
    <w:rsid w:val="00D52667"/>
    <w:rsid w:val="00D52676"/>
    <w:rsid w:val="00D52716"/>
    <w:rsid w:val="00D5272B"/>
    <w:rsid w:val="00D52748"/>
    <w:rsid w:val="00D5283A"/>
    <w:rsid w:val="00D52882"/>
    <w:rsid w:val="00D52961"/>
    <w:rsid w:val="00D52975"/>
    <w:rsid w:val="00D529E8"/>
    <w:rsid w:val="00D52A3A"/>
    <w:rsid w:val="00D52A74"/>
    <w:rsid w:val="00D52ACC"/>
    <w:rsid w:val="00D52AD9"/>
    <w:rsid w:val="00D52B10"/>
    <w:rsid w:val="00D52B20"/>
    <w:rsid w:val="00D52BF9"/>
    <w:rsid w:val="00D52CFE"/>
    <w:rsid w:val="00D52D08"/>
    <w:rsid w:val="00D52D22"/>
    <w:rsid w:val="00D52DAE"/>
    <w:rsid w:val="00D52E43"/>
    <w:rsid w:val="00D52F2D"/>
    <w:rsid w:val="00D52FE2"/>
    <w:rsid w:val="00D53017"/>
    <w:rsid w:val="00D53062"/>
    <w:rsid w:val="00D530A6"/>
    <w:rsid w:val="00D530C2"/>
    <w:rsid w:val="00D5311A"/>
    <w:rsid w:val="00D531A3"/>
    <w:rsid w:val="00D531C1"/>
    <w:rsid w:val="00D531C4"/>
    <w:rsid w:val="00D53201"/>
    <w:rsid w:val="00D5321C"/>
    <w:rsid w:val="00D53263"/>
    <w:rsid w:val="00D5333A"/>
    <w:rsid w:val="00D5335A"/>
    <w:rsid w:val="00D53362"/>
    <w:rsid w:val="00D5344B"/>
    <w:rsid w:val="00D5345E"/>
    <w:rsid w:val="00D53477"/>
    <w:rsid w:val="00D53516"/>
    <w:rsid w:val="00D5351F"/>
    <w:rsid w:val="00D5354F"/>
    <w:rsid w:val="00D5358C"/>
    <w:rsid w:val="00D53591"/>
    <w:rsid w:val="00D535AC"/>
    <w:rsid w:val="00D535E6"/>
    <w:rsid w:val="00D535F5"/>
    <w:rsid w:val="00D53628"/>
    <w:rsid w:val="00D53697"/>
    <w:rsid w:val="00D5372F"/>
    <w:rsid w:val="00D53781"/>
    <w:rsid w:val="00D5380E"/>
    <w:rsid w:val="00D53837"/>
    <w:rsid w:val="00D53897"/>
    <w:rsid w:val="00D539ED"/>
    <w:rsid w:val="00D539FE"/>
    <w:rsid w:val="00D53A03"/>
    <w:rsid w:val="00D53A5A"/>
    <w:rsid w:val="00D53A77"/>
    <w:rsid w:val="00D53A8D"/>
    <w:rsid w:val="00D53B0F"/>
    <w:rsid w:val="00D53B98"/>
    <w:rsid w:val="00D53C65"/>
    <w:rsid w:val="00D53C67"/>
    <w:rsid w:val="00D53C94"/>
    <w:rsid w:val="00D53CE6"/>
    <w:rsid w:val="00D53CED"/>
    <w:rsid w:val="00D53D05"/>
    <w:rsid w:val="00D53D20"/>
    <w:rsid w:val="00D53D27"/>
    <w:rsid w:val="00D53DF3"/>
    <w:rsid w:val="00D53E16"/>
    <w:rsid w:val="00D53E43"/>
    <w:rsid w:val="00D53ECB"/>
    <w:rsid w:val="00D53EDD"/>
    <w:rsid w:val="00D53F30"/>
    <w:rsid w:val="00D540A2"/>
    <w:rsid w:val="00D54124"/>
    <w:rsid w:val="00D54213"/>
    <w:rsid w:val="00D5431B"/>
    <w:rsid w:val="00D5437B"/>
    <w:rsid w:val="00D543BB"/>
    <w:rsid w:val="00D54455"/>
    <w:rsid w:val="00D5446A"/>
    <w:rsid w:val="00D5446C"/>
    <w:rsid w:val="00D5446D"/>
    <w:rsid w:val="00D54484"/>
    <w:rsid w:val="00D5465C"/>
    <w:rsid w:val="00D5473A"/>
    <w:rsid w:val="00D547DE"/>
    <w:rsid w:val="00D54830"/>
    <w:rsid w:val="00D54877"/>
    <w:rsid w:val="00D5487E"/>
    <w:rsid w:val="00D5491E"/>
    <w:rsid w:val="00D549E0"/>
    <w:rsid w:val="00D54AD8"/>
    <w:rsid w:val="00D54AF4"/>
    <w:rsid w:val="00D54B45"/>
    <w:rsid w:val="00D54B80"/>
    <w:rsid w:val="00D54C87"/>
    <w:rsid w:val="00D54CDB"/>
    <w:rsid w:val="00D54DF5"/>
    <w:rsid w:val="00D54E47"/>
    <w:rsid w:val="00D54E66"/>
    <w:rsid w:val="00D54E88"/>
    <w:rsid w:val="00D54EC5"/>
    <w:rsid w:val="00D54EDE"/>
    <w:rsid w:val="00D55129"/>
    <w:rsid w:val="00D55150"/>
    <w:rsid w:val="00D55169"/>
    <w:rsid w:val="00D5527C"/>
    <w:rsid w:val="00D552A2"/>
    <w:rsid w:val="00D552E1"/>
    <w:rsid w:val="00D5535C"/>
    <w:rsid w:val="00D55387"/>
    <w:rsid w:val="00D553B9"/>
    <w:rsid w:val="00D553BA"/>
    <w:rsid w:val="00D553CC"/>
    <w:rsid w:val="00D5541F"/>
    <w:rsid w:val="00D554FD"/>
    <w:rsid w:val="00D555AA"/>
    <w:rsid w:val="00D55715"/>
    <w:rsid w:val="00D557EB"/>
    <w:rsid w:val="00D55828"/>
    <w:rsid w:val="00D55829"/>
    <w:rsid w:val="00D55839"/>
    <w:rsid w:val="00D558C0"/>
    <w:rsid w:val="00D5591B"/>
    <w:rsid w:val="00D55949"/>
    <w:rsid w:val="00D5596A"/>
    <w:rsid w:val="00D55989"/>
    <w:rsid w:val="00D559EE"/>
    <w:rsid w:val="00D55A77"/>
    <w:rsid w:val="00D55AC2"/>
    <w:rsid w:val="00D55AE6"/>
    <w:rsid w:val="00D55B62"/>
    <w:rsid w:val="00D55BB8"/>
    <w:rsid w:val="00D55BC9"/>
    <w:rsid w:val="00D55C65"/>
    <w:rsid w:val="00D55D6A"/>
    <w:rsid w:val="00D55D74"/>
    <w:rsid w:val="00D55E94"/>
    <w:rsid w:val="00D55EA4"/>
    <w:rsid w:val="00D55EB4"/>
    <w:rsid w:val="00D55EC2"/>
    <w:rsid w:val="00D55FA7"/>
    <w:rsid w:val="00D56035"/>
    <w:rsid w:val="00D560C1"/>
    <w:rsid w:val="00D56181"/>
    <w:rsid w:val="00D561D9"/>
    <w:rsid w:val="00D56207"/>
    <w:rsid w:val="00D56212"/>
    <w:rsid w:val="00D5623C"/>
    <w:rsid w:val="00D56279"/>
    <w:rsid w:val="00D56291"/>
    <w:rsid w:val="00D562B6"/>
    <w:rsid w:val="00D562CA"/>
    <w:rsid w:val="00D562ED"/>
    <w:rsid w:val="00D56388"/>
    <w:rsid w:val="00D563AE"/>
    <w:rsid w:val="00D564F4"/>
    <w:rsid w:val="00D5656F"/>
    <w:rsid w:val="00D56584"/>
    <w:rsid w:val="00D5667D"/>
    <w:rsid w:val="00D566A2"/>
    <w:rsid w:val="00D566D3"/>
    <w:rsid w:val="00D56720"/>
    <w:rsid w:val="00D56782"/>
    <w:rsid w:val="00D5681B"/>
    <w:rsid w:val="00D5683D"/>
    <w:rsid w:val="00D5688E"/>
    <w:rsid w:val="00D568CB"/>
    <w:rsid w:val="00D568DE"/>
    <w:rsid w:val="00D5696C"/>
    <w:rsid w:val="00D56979"/>
    <w:rsid w:val="00D569B2"/>
    <w:rsid w:val="00D56A88"/>
    <w:rsid w:val="00D56AAE"/>
    <w:rsid w:val="00D56AC9"/>
    <w:rsid w:val="00D56B5F"/>
    <w:rsid w:val="00D56B73"/>
    <w:rsid w:val="00D56BDB"/>
    <w:rsid w:val="00D56C37"/>
    <w:rsid w:val="00D56C44"/>
    <w:rsid w:val="00D56CDB"/>
    <w:rsid w:val="00D56D78"/>
    <w:rsid w:val="00D56DCD"/>
    <w:rsid w:val="00D56DE0"/>
    <w:rsid w:val="00D56E00"/>
    <w:rsid w:val="00D56E1E"/>
    <w:rsid w:val="00D56E20"/>
    <w:rsid w:val="00D56E6C"/>
    <w:rsid w:val="00D56E7B"/>
    <w:rsid w:val="00D56EB6"/>
    <w:rsid w:val="00D56EBC"/>
    <w:rsid w:val="00D56F24"/>
    <w:rsid w:val="00D57005"/>
    <w:rsid w:val="00D57016"/>
    <w:rsid w:val="00D57041"/>
    <w:rsid w:val="00D57119"/>
    <w:rsid w:val="00D57165"/>
    <w:rsid w:val="00D57181"/>
    <w:rsid w:val="00D57192"/>
    <w:rsid w:val="00D5724B"/>
    <w:rsid w:val="00D5729D"/>
    <w:rsid w:val="00D5733F"/>
    <w:rsid w:val="00D573C7"/>
    <w:rsid w:val="00D573C9"/>
    <w:rsid w:val="00D573D4"/>
    <w:rsid w:val="00D5741C"/>
    <w:rsid w:val="00D57450"/>
    <w:rsid w:val="00D574B2"/>
    <w:rsid w:val="00D57537"/>
    <w:rsid w:val="00D57593"/>
    <w:rsid w:val="00D5769C"/>
    <w:rsid w:val="00D5775C"/>
    <w:rsid w:val="00D57794"/>
    <w:rsid w:val="00D577E0"/>
    <w:rsid w:val="00D577E2"/>
    <w:rsid w:val="00D5787A"/>
    <w:rsid w:val="00D5796C"/>
    <w:rsid w:val="00D579D5"/>
    <w:rsid w:val="00D57A06"/>
    <w:rsid w:val="00D57ABC"/>
    <w:rsid w:val="00D57ADA"/>
    <w:rsid w:val="00D57B1F"/>
    <w:rsid w:val="00D57B49"/>
    <w:rsid w:val="00D57BC4"/>
    <w:rsid w:val="00D57C20"/>
    <w:rsid w:val="00D57C48"/>
    <w:rsid w:val="00D57C76"/>
    <w:rsid w:val="00D57C8A"/>
    <w:rsid w:val="00D57CB9"/>
    <w:rsid w:val="00D57CF7"/>
    <w:rsid w:val="00D57D7F"/>
    <w:rsid w:val="00D57D91"/>
    <w:rsid w:val="00D57E25"/>
    <w:rsid w:val="00D57F9A"/>
    <w:rsid w:val="00D57FC8"/>
    <w:rsid w:val="00D60168"/>
    <w:rsid w:val="00D60183"/>
    <w:rsid w:val="00D60195"/>
    <w:rsid w:val="00D601E9"/>
    <w:rsid w:val="00D60245"/>
    <w:rsid w:val="00D6026F"/>
    <w:rsid w:val="00D60300"/>
    <w:rsid w:val="00D6038F"/>
    <w:rsid w:val="00D603D9"/>
    <w:rsid w:val="00D60409"/>
    <w:rsid w:val="00D60473"/>
    <w:rsid w:val="00D6049B"/>
    <w:rsid w:val="00D60524"/>
    <w:rsid w:val="00D60556"/>
    <w:rsid w:val="00D605DD"/>
    <w:rsid w:val="00D6061D"/>
    <w:rsid w:val="00D60635"/>
    <w:rsid w:val="00D60658"/>
    <w:rsid w:val="00D606C8"/>
    <w:rsid w:val="00D607EB"/>
    <w:rsid w:val="00D607FF"/>
    <w:rsid w:val="00D6081F"/>
    <w:rsid w:val="00D60870"/>
    <w:rsid w:val="00D60913"/>
    <w:rsid w:val="00D60997"/>
    <w:rsid w:val="00D609A4"/>
    <w:rsid w:val="00D609F8"/>
    <w:rsid w:val="00D60A7F"/>
    <w:rsid w:val="00D60B3A"/>
    <w:rsid w:val="00D60B7B"/>
    <w:rsid w:val="00D60B89"/>
    <w:rsid w:val="00D60B92"/>
    <w:rsid w:val="00D60BCC"/>
    <w:rsid w:val="00D60BE5"/>
    <w:rsid w:val="00D60C63"/>
    <w:rsid w:val="00D60C6E"/>
    <w:rsid w:val="00D60C94"/>
    <w:rsid w:val="00D60D3C"/>
    <w:rsid w:val="00D60DCA"/>
    <w:rsid w:val="00D60F2A"/>
    <w:rsid w:val="00D60F77"/>
    <w:rsid w:val="00D6100B"/>
    <w:rsid w:val="00D6105F"/>
    <w:rsid w:val="00D610D7"/>
    <w:rsid w:val="00D61157"/>
    <w:rsid w:val="00D6115F"/>
    <w:rsid w:val="00D611DC"/>
    <w:rsid w:val="00D611FD"/>
    <w:rsid w:val="00D6121D"/>
    <w:rsid w:val="00D61220"/>
    <w:rsid w:val="00D612FF"/>
    <w:rsid w:val="00D613EB"/>
    <w:rsid w:val="00D613F0"/>
    <w:rsid w:val="00D613FD"/>
    <w:rsid w:val="00D61455"/>
    <w:rsid w:val="00D61457"/>
    <w:rsid w:val="00D61462"/>
    <w:rsid w:val="00D61483"/>
    <w:rsid w:val="00D614B1"/>
    <w:rsid w:val="00D614BC"/>
    <w:rsid w:val="00D614E7"/>
    <w:rsid w:val="00D61598"/>
    <w:rsid w:val="00D615F2"/>
    <w:rsid w:val="00D6164F"/>
    <w:rsid w:val="00D61655"/>
    <w:rsid w:val="00D6172E"/>
    <w:rsid w:val="00D6173A"/>
    <w:rsid w:val="00D6185A"/>
    <w:rsid w:val="00D61927"/>
    <w:rsid w:val="00D619BE"/>
    <w:rsid w:val="00D61A1B"/>
    <w:rsid w:val="00D61AC1"/>
    <w:rsid w:val="00D61AD9"/>
    <w:rsid w:val="00D61B46"/>
    <w:rsid w:val="00D61B86"/>
    <w:rsid w:val="00D61BB7"/>
    <w:rsid w:val="00D61BEB"/>
    <w:rsid w:val="00D61C1C"/>
    <w:rsid w:val="00D61C2D"/>
    <w:rsid w:val="00D61D44"/>
    <w:rsid w:val="00D61D6E"/>
    <w:rsid w:val="00D61DBF"/>
    <w:rsid w:val="00D61E61"/>
    <w:rsid w:val="00D61EC1"/>
    <w:rsid w:val="00D61F06"/>
    <w:rsid w:val="00D61F28"/>
    <w:rsid w:val="00D61FA1"/>
    <w:rsid w:val="00D62046"/>
    <w:rsid w:val="00D620C3"/>
    <w:rsid w:val="00D620D8"/>
    <w:rsid w:val="00D621A7"/>
    <w:rsid w:val="00D621DF"/>
    <w:rsid w:val="00D62269"/>
    <w:rsid w:val="00D622BB"/>
    <w:rsid w:val="00D622E6"/>
    <w:rsid w:val="00D622F6"/>
    <w:rsid w:val="00D62328"/>
    <w:rsid w:val="00D6234D"/>
    <w:rsid w:val="00D62357"/>
    <w:rsid w:val="00D62372"/>
    <w:rsid w:val="00D623EF"/>
    <w:rsid w:val="00D62447"/>
    <w:rsid w:val="00D62459"/>
    <w:rsid w:val="00D624E5"/>
    <w:rsid w:val="00D624F6"/>
    <w:rsid w:val="00D625A6"/>
    <w:rsid w:val="00D625E0"/>
    <w:rsid w:val="00D625E2"/>
    <w:rsid w:val="00D62637"/>
    <w:rsid w:val="00D62640"/>
    <w:rsid w:val="00D62650"/>
    <w:rsid w:val="00D626B1"/>
    <w:rsid w:val="00D626C3"/>
    <w:rsid w:val="00D6279D"/>
    <w:rsid w:val="00D627A6"/>
    <w:rsid w:val="00D627FC"/>
    <w:rsid w:val="00D62810"/>
    <w:rsid w:val="00D6289B"/>
    <w:rsid w:val="00D62978"/>
    <w:rsid w:val="00D6297E"/>
    <w:rsid w:val="00D629B6"/>
    <w:rsid w:val="00D62ADE"/>
    <w:rsid w:val="00D62AEB"/>
    <w:rsid w:val="00D62AF2"/>
    <w:rsid w:val="00D62B54"/>
    <w:rsid w:val="00D62B5C"/>
    <w:rsid w:val="00D62B63"/>
    <w:rsid w:val="00D62BE7"/>
    <w:rsid w:val="00D62C2E"/>
    <w:rsid w:val="00D62C4E"/>
    <w:rsid w:val="00D62C7E"/>
    <w:rsid w:val="00D62CB2"/>
    <w:rsid w:val="00D62CBA"/>
    <w:rsid w:val="00D62FA1"/>
    <w:rsid w:val="00D62FA8"/>
    <w:rsid w:val="00D62FC1"/>
    <w:rsid w:val="00D63013"/>
    <w:rsid w:val="00D6301E"/>
    <w:rsid w:val="00D63054"/>
    <w:rsid w:val="00D63062"/>
    <w:rsid w:val="00D6307B"/>
    <w:rsid w:val="00D6316E"/>
    <w:rsid w:val="00D631D3"/>
    <w:rsid w:val="00D63209"/>
    <w:rsid w:val="00D63255"/>
    <w:rsid w:val="00D63257"/>
    <w:rsid w:val="00D6339C"/>
    <w:rsid w:val="00D63400"/>
    <w:rsid w:val="00D634D5"/>
    <w:rsid w:val="00D63502"/>
    <w:rsid w:val="00D63566"/>
    <w:rsid w:val="00D635C9"/>
    <w:rsid w:val="00D635E4"/>
    <w:rsid w:val="00D635FE"/>
    <w:rsid w:val="00D636AC"/>
    <w:rsid w:val="00D636F2"/>
    <w:rsid w:val="00D636FC"/>
    <w:rsid w:val="00D6379D"/>
    <w:rsid w:val="00D637EC"/>
    <w:rsid w:val="00D6382F"/>
    <w:rsid w:val="00D63858"/>
    <w:rsid w:val="00D638E9"/>
    <w:rsid w:val="00D63A93"/>
    <w:rsid w:val="00D63B3E"/>
    <w:rsid w:val="00D63B89"/>
    <w:rsid w:val="00D63BC4"/>
    <w:rsid w:val="00D63BD6"/>
    <w:rsid w:val="00D63C3D"/>
    <w:rsid w:val="00D63CE7"/>
    <w:rsid w:val="00D63D2D"/>
    <w:rsid w:val="00D63D79"/>
    <w:rsid w:val="00D63D7B"/>
    <w:rsid w:val="00D63E06"/>
    <w:rsid w:val="00D63E65"/>
    <w:rsid w:val="00D63EA1"/>
    <w:rsid w:val="00D63EB0"/>
    <w:rsid w:val="00D63ECB"/>
    <w:rsid w:val="00D63F7A"/>
    <w:rsid w:val="00D63F98"/>
    <w:rsid w:val="00D64070"/>
    <w:rsid w:val="00D6410E"/>
    <w:rsid w:val="00D6412A"/>
    <w:rsid w:val="00D641DC"/>
    <w:rsid w:val="00D64277"/>
    <w:rsid w:val="00D6427C"/>
    <w:rsid w:val="00D642D8"/>
    <w:rsid w:val="00D6433A"/>
    <w:rsid w:val="00D64414"/>
    <w:rsid w:val="00D64429"/>
    <w:rsid w:val="00D64450"/>
    <w:rsid w:val="00D6446D"/>
    <w:rsid w:val="00D64480"/>
    <w:rsid w:val="00D644AD"/>
    <w:rsid w:val="00D64601"/>
    <w:rsid w:val="00D6465B"/>
    <w:rsid w:val="00D64673"/>
    <w:rsid w:val="00D64704"/>
    <w:rsid w:val="00D64740"/>
    <w:rsid w:val="00D64766"/>
    <w:rsid w:val="00D647F3"/>
    <w:rsid w:val="00D64862"/>
    <w:rsid w:val="00D64891"/>
    <w:rsid w:val="00D648BA"/>
    <w:rsid w:val="00D6491C"/>
    <w:rsid w:val="00D649DC"/>
    <w:rsid w:val="00D649E5"/>
    <w:rsid w:val="00D64AF2"/>
    <w:rsid w:val="00D64AFD"/>
    <w:rsid w:val="00D64BA4"/>
    <w:rsid w:val="00D64BF3"/>
    <w:rsid w:val="00D64C2C"/>
    <w:rsid w:val="00D64C2F"/>
    <w:rsid w:val="00D64CC3"/>
    <w:rsid w:val="00D64D3E"/>
    <w:rsid w:val="00D64F21"/>
    <w:rsid w:val="00D64F36"/>
    <w:rsid w:val="00D64F69"/>
    <w:rsid w:val="00D64F82"/>
    <w:rsid w:val="00D64FF3"/>
    <w:rsid w:val="00D64FFF"/>
    <w:rsid w:val="00D6502A"/>
    <w:rsid w:val="00D6517A"/>
    <w:rsid w:val="00D65190"/>
    <w:rsid w:val="00D651F0"/>
    <w:rsid w:val="00D6521F"/>
    <w:rsid w:val="00D6522B"/>
    <w:rsid w:val="00D65259"/>
    <w:rsid w:val="00D652A1"/>
    <w:rsid w:val="00D653EB"/>
    <w:rsid w:val="00D65418"/>
    <w:rsid w:val="00D65450"/>
    <w:rsid w:val="00D654E0"/>
    <w:rsid w:val="00D655AF"/>
    <w:rsid w:val="00D6569F"/>
    <w:rsid w:val="00D65737"/>
    <w:rsid w:val="00D65784"/>
    <w:rsid w:val="00D657A4"/>
    <w:rsid w:val="00D65862"/>
    <w:rsid w:val="00D6594C"/>
    <w:rsid w:val="00D65952"/>
    <w:rsid w:val="00D6595B"/>
    <w:rsid w:val="00D65A18"/>
    <w:rsid w:val="00D65A23"/>
    <w:rsid w:val="00D65A94"/>
    <w:rsid w:val="00D65AA3"/>
    <w:rsid w:val="00D65BE9"/>
    <w:rsid w:val="00D65BFE"/>
    <w:rsid w:val="00D65C17"/>
    <w:rsid w:val="00D65CF0"/>
    <w:rsid w:val="00D65D67"/>
    <w:rsid w:val="00D65D8D"/>
    <w:rsid w:val="00D65DE8"/>
    <w:rsid w:val="00D65E56"/>
    <w:rsid w:val="00D65E59"/>
    <w:rsid w:val="00D65EBA"/>
    <w:rsid w:val="00D65FC4"/>
    <w:rsid w:val="00D65FE8"/>
    <w:rsid w:val="00D660E0"/>
    <w:rsid w:val="00D6613B"/>
    <w:rsid w:val="00D6613F"/>
    <w:rsid w:val="00D66147"/>
    <w:rsid w:val="00D66199"/>
    <w:rsid w:val="00D661B7"/>
    <w:rsid w:val="00D661E3"/>
    <w:rsid w:val="00D66232"/>
    <w:rsid w:val="00D6623E"/>
    <w:rsid w:val="00D662CB"/>
    <w:rsid w:val="00D662F6"/>
    <w:rsid w:val="00D66319"/>
    <w:rsid w:val="00D66328"/>
    <w:rsid w:val="00D66368"/>
    <w:rsid w:val="00D66443"/>
    <w:rsid w:val="00D6645B"/>
    <w:rsid w:val="00D66485"/>
    <w:rsid w:val="00D66498"/>
    <w:rsid w:val="00D665BD"/>
    <w:rsid w:val="00D665BF"/>
    <w:rsid w:val="00D665FF"/>
    <w:rsid w:val="00D6660E"/>
    <w:rsid w:val="00D66648"/>
    <w:rsid w:val="00D66678"/>
    <w:rsid w:val="00D666C0"/>
    <w:rsid w:val="00D66736"/>
    <w:rsid w:val="00D66749"/>
    <w:rsid w:val="00D667D3"/>
    <w:rsid w:val="00D66946"/>
    <w:rsid w:val="00D6694B"/>
    <w:rsid w:val="00D669F5"/>
    <w:rsid w:val="00D66A58"/>
    <w:rsid w:val="00D66B00"/>
    <w:rsid w:val="00D66B13"/>
    <w:rsid w:val="00D66BAE"/>
    <w:rsid w:val="00D66C54"/>
    <w:rsid w:val="00D66C76"/>
    <w:rsid w:val="00D66C99"/>
    <w:rsid w:val="00D66CA5"/>
    <w:rsid w:val="00D66CB4"/>
    <w:rsid w:val="00D66CD6"/>
    <w:rsid w:val="00D66CE8"/>
    <w:rsid w:val="00D66DBD"/>
    <w:rsid w:val="00D66DC2"/>
    <w:rsid w:val="00D66E52"/>
    <w:rsid w:val="00D66E73"/>
    <w:rsid w:val="00D66EFE"/>
    <w:rsid w:val="00D66F41"/>
    <w:rsid w:val="00D66FAD"/>
    <w:rsid w:val="00D66FB3"/>
    <w:rsid w:val="00D66FBF"/>
    <w:rsid w:val="00D67020"/>
    <w:rsid w:val="00D67022"/>
    <w:rsid w:val="00D6702B"/>
    <w:rsid w:val="00D6708E"/>
    <w:rsid w:val="00D6717B"/>
    <w:rsid w:val="00D671B4"/>
    <w:rsid w:val="00D671D6"/>
    <w:rsid w:val="00D672DE"/>
    <w:rsid w:val="00D6732D"/>
    <w:rsid w:val="00D6736B"/>
    <w:rsid w:val="00D674D4"/>
    <w:rsid w:val="00D674DE"/>
    <w:rsid w:val="00D674E3"/>
    <w:rsid w:val="00D674F0"/>
    <w:rsid w:val="00D67517"/>
    <w:rsid w:val="00D6759B"/>
    <w:rsid w:val="00D67663"/>
    <w:rsid w:val="00D67679"/>
    <w:rsid w:val="00D676D3"/>
    <w:rsid w:val="00D6777A"/>
    <w:rsid w:val="00D6779D"/>
    <w:rsid w:val="00D677E4"/>
    <w:rsid w:val="00D677E7"/>
    <w:rsid w:val="00D67842"/>
    <w:rsid w:val="00D67860"/>
    <w:rsid w:val="00D678FC"/>
    <w:rsid w:val="00D67908"/>
    <w:rsid w:val="00D6794F"/>
    <w:rsid w:val="00D6798F"/>
    <w:rsid w:val="00D679B1"/>
    <w:rsid w:val="00D679B7"/>
    <w:rsid w:val="00D67A57"/>
    <w:rsid w:val="00D67A62"/>
    <w:rsid w:val="00D67AA1"/>
    <w:rsid w:val="00D67B23"/>
    <w:rsid w:val="00D67B4C"/>
    <w:rsid w:val="00D67B9D"/>
    <w:rsid w:val="00D67BCC"/>
    <w:rsid w:val="00D67BCE"/>
    <w:rsid w:val="00D67BFE"/>
    <w:rsid w:val="00D67C4A"/>
    <w:rsid w:val="00D67C7C"/>
    <w:rsid w:val="00D67D5A"/>
    <w:rsid w:val="00D67E8E"/>
    <w:rsid w:val="00D67EDE"/>
    <w:rsid w:val="00D67EEE"/>
    <w:rsid w:val="00D67EFA"/>
    <w:rsid w:val="00D67F28"/>
    <w:rsid w:val="00D67FC2"/>
    <w:rsid w:val="00D70087"/>
    <w:rsid w:val="00D70094"/>
    <w:rsid w:val="00D7009E"/>
    <w:rsid w:val="00D700F0"/>
    <w:rsid w:val="00D700F7"/>
    <w:rsid w:val="00D701C6"/>
    <w:rsid w:val="00D7035D"/>
    <w:rsid w:val="00D7035E"/>
    <w:rsid w:val="00D703EA"/>
    <w:rsid w:val="00D703EB"/>
    <w:rsid w:val="00D704DA"/>
    <w:rsid w:val="00D704E6"/>
    <w:rsid w:val="00D70641"/>
    <w:rsid w:val="00D70681"/>
    <w:rsid w:val="00D706D4"/>
    <w:rsid w:val="00D706F4"/>
    <w:rsid w:val="00D706F8"/>
    <w:rsid w:val="00D7070E"/>
    <w:rsid w:val="00D7071E"/>
    <w:rsid w:val="00D7077C"/>
    <w:rsid w:val="00D707CE"/>
    <w:rsid w:val="00D707D4"/>
    <w:rsid w:val="00D7080F"/>
    <w:rsid w:val="00D70814"/>
    <w:rsid w:val="00D70829"/>
    <w:rsid w:val="00D70845"/>
    <w:rsid w:val="00D7087D"/>
    <w:rsid w:val="00D70A56"/>
    <w:rsid w:val="00D70B9E"/>
    <w:rsid w:val="00D70C1C"/>
    <w:rsid w:val="00D70C88"/>
    <w:rsid w:val="00D70CAE"/>
    <w:rsid w:val="00D70D89"/>
    <w:rsid w:val="00D70DB1"/>
    <w:rsid w:val="00D70DD7"/>
    <w:rsid w:val="00D70DDF"/>
    <w:rsid w:val="00D70E96"/>
    <w:rsid w:val="00D70EBC"/>
    <w:rsid w:val="00D70F0C"/>
    <w:rsid w:val="00D70F38"/>
    <w:rsid w:val="00D70F51"/>
    <w:rsid w:val="00D70FC3"/>
    <w:rsid w:val="00D70FD7"/>
    <w:rsid w:val="00D7103F"/>
    <w:rsid w:val="00D710A1"/>
    <w:rsid w:val="00D710D1"/>
    <w:rsid w:val="00D7111E"/>
    <w:rsid w:val="00D7116F"/>
    <w:rsid w:val="00D7118D"/>
    <w:rsid w:val="00D71284"/>
    <w:rsid w:val="00D7129F"/>
    <w:rsid w:val="00D712FC"/>
    <w:rsid w:val="00D71375"/>
    <w:rsid w:val="00D713B6"/>
    <w:rsid w:val="00D71445"/>
    <w:rsid w:val="00D71472"/>
    <w:rsid w:val="00D714A8"/>
    <w:rsid w:val="00D7154C"/>
    <w:rsid w:val="00D715B0"/>
    <w:rsid w:val="00D71618"/>
    <w:rsid w:val="00D71637"/>
    <w:rsid w:val="00D7165C"/>
    <w:rsid w:val="00D71773"/>
    <w:rsid w:val="00D71791"/>
    <w:rsid w:val="00D71793"/>
    <w:rsid w:val="00D717D0"/>
    <w:rsid w:val="00D71853"/>
    <w:rsid w:val="00D718A2"/>
    <w:rsid w:val="00D718C6"/>
    <w:rsid w:val="00D71964"/>
    <w:rsid w:val="00D71979"/>
    <w:rsid w:val="00D71A56"/>
    <w:rsid w:val="00D71A5F"/>
    <w:rsid w:val="00D71A9F"/>
    <w:rsid w:val="00D71B54"/>
    <w:rsid w:val="00D71BA6"/>
    <w:rsid w:val="00D71BB1"/>
    <w:rsid w:val="00D71BE9"/>
    <w:rsid w:val="00D71C66"/>
    <w:rsid w:val="00D71CDA"/>
    <w:rsid w:val="00D71D11"/>
    <w:rsid w:val="00D71D85"/>
    <w:rsid w:val="00D71E27"/>
    <w:rsid w:val="00D71E8E"/>
    <w:rsid w:val="00D71EDA"/>
    <w:rsid w:val="00D71FC7"/>
    <w:rsid w:val="00D72024"/>
    <w:rsid w:val="00D7202A"/>
    <w:rsid w:val="00D72047"/>
    <w:rsid w:val="00D72066"/>
    <w:rsid w:val="00D72135"/>
    <w:rsid w:val="00D7218A"/>
    <w:rsid w:val="00D72197"/>
    <w:rsid w:val="00D721D8"/>
    <w:rsid w:val="00D721FC"/>
    <w:rsid w:val="00D72230"/>
    <w:rsid w:val="00D7224F"/>
    <w:rsid w:val="00D722DE"/>
    <w:rsid w:val="00D72330"/>
    <w:rsid w:val="00D7233D"/>
    <w:rsid w:val="00D7238D"/>
    <w:rsid w:val="00D7249D"/>
    <w:rsid w:val="00D7250A"/>
    <w:rsid w:val="00D72521"/>
    <w:rsid w:val="00D725C6"/>
    <w:rsid w:val="00D725DE"/>
    <w:rsid w:val="00D72655"/>
    <w:rsid w:val="00D726A6"/>
    <w:rsid w:val="00D726B5"/>
    <w:rsid w:val="00D72729"/>
    <w:rsid w:val="00D7279F"/>
    <w:rsid w:val="00D727EA"/>
    <w:rsid w:val="00D72848"/>
    <w:rsid w:val="00D72865"/>
    <w:rsid w:val="00D72A4D"/>
    <w:rsid w:val="00D72A55"/>
    <w:rsid w:val="00D72A88"/>
    <w:rsid w:val="00D72AA4"/>
    <w:rsid w:val="00D72AB7"/>
    <w:rsid w:val="00D72AE1"/>
    <w:rsid w:val="00D72B7B"/>
    <w:rsid w:val="00D72BBE"/>
    <w:rsid w:val="00D72CB3"/>
    <w:rsid w:val="00D72DE2"/>
    <w:rsid w:val="00D72E61"/>
    <w:rsid w:val="00D72EC0"/>
    <w:rsid w:val="00D72F4A"/>
    <w:rsid w:val="00D72FDD"/>
    <w:rsid w:val="00D7300B"/>
    <w:rsid w:val="00D73055"/>
    <w:rsid w:val="00D73088"/>
    <w:rsid w:val="00D73128"/>
    <w:rsid w:val="00D731A7"/>
    <w:rsid w:val="00D73295"/>
    <w:rsid w:val="00D732D1"/>
    <w:rsid w:val="00D732FE"/>
    <w:rsid w:val="00D73302"/>
    <w:rsid w:val="00D73326"/>
    <w:rsid w:val="00D7339A"/>
    <w:rsid w:val="00D733A6"/>
    <w:rsid w:val="00D734E1"/>
    <w:rsid w:val="00D734ED"/>
    <w:rsid w:val="00D7351D"/>
    <w:rsid w:val="00D73524"/>
    <w:rsid w:val="00D73533"/>
    <w:rsid w:val="00D73559"/>
    <w:rsid w:val="00D7359C"/>
    <w:rsid w:val="00D73672"/>
    <w:rsid w:val="00D7368F"/>
    <w:rsid w:val="00D736BB"/>
    <w:rsid w:val="00D736EB"/>
    <w:rsid w:val="00D73712"/>
    <w:rsid w:val="00D73772"/>
    <w:rsid w:val="00D73785"/>
    <w:rsid w:val="00D737BE"/>
    <w:rsid w:val="00D73881"/>
    <w:rsid w:val="00D73933"/>
    <w:rsid w:val="00D7395A"/>
    <w:rsid w:val="00D73964"/>
    <w:rsid w:val="00D7396D"/>
    <w:rsid w:val="00D73A2F"/>
    <w:rsid w:val="00D73A41"/>
    <w:rsid w:val="00D73A8F"/>
    <w:rsid w:val="00D73ACC"/>
    <w:rsid w:val="00D73B12"/>
    <w:rsid w:val="00D73B47"/>
    <w:rsid w:val="00D73B67"/>
    <w:rsid w:val="00D73BA7"/>
    <w:rsid w:val="00D73C03"/>
    <w:rsid w:val="00D73C92"/>
    <w:rsid w:val="00D73CD8"/>
    <w:rsid w:val="00D73CDA"/>
    <w:rsid w:val="00D73D38"/>
    <w:rsid w:val="00D73D61"/>
    <w:rsid w:val="00D73E1E"/>
    <w:rsid w:val="00D73E2C"/>
    <w:rsid w:val="00D73F4B"/>
    <w:rsid w:val="00D73F8A"/>
    <w:rsid w:val="00D73FE4"/>
    <w:rsid w:val="00D74044"/>
    <w:rsid w:val="00D740A2"/>
    <w:rsid w:val="00D74106"/>
    <w:rsid w:val="00D74129"/>
    <w:rsid w:val="00D74161"/>
    <w:rsid w:val="00D74246"/>
    <w:rsid w:val="00D74274"/>
    <w:rsid w:val="00D742C6"/>
    <w:rsid w:val="00D742D9"/>
    <w:rsid w:val="00D74332"/>
    <w:rsid w:val="00D74356"/>
    <w:rsid w:val="00D74368"/>
    <w:rsid w:val="00D744B7"/>
    <w:rsid w:val="00D744ED"/>
    <w:rsid w:val="00D745C9"/>
    <w:rsid w:val="00D745E8"/>
    <w:rsid w:val="00D74618"/>
    <w:rsid w:val="00D7479A"/>
    <w:rsid w:val="00D747C4"/>
    <w:rsid w:val="00D748A2"/>
    <w:rsid w:val="00D748C7"/>
    <w:rsid w:val="00D748CA"/>
    <w:rsid w:val="00D749C9"/>
    <w:rsid w:val="00D74A00"/>
    <w:rsid w:val="00D74A8D"/>
    <w:rsid w:val="00D74ABE"/>
    <w:rsid w:val="00D74ADC"/>
    <w:rsid w:val="00D74B39"/>
    <w:rsid w:val="00D74B92"/>
    <w:rsid w:val="00D74BB9"/>
    <w:rsid w:val="00D74C1D"/>
    <w:rsid w:val="00D74C24"/>
    <w:rsid w:val="00D74C33"/>
    <w:rsid w:val="00D74D8F"/>
    <w:rsid w:val="00D74DA1"/>
    <w:rsid w:val="00D74FE9"/>
    <w:rsid w:val="00D74FED"/>
    <w:rsid w:val="00D7505F"/>
    <w:rsid w:val="00D75086"/>
    <w:rsid w:val="00D750A6"/>
    <w:rsid w:val="00D750EF"/>
    <w:rsid w:val="00D75201"/>
    <w:rsid w:val="00D7521A"/>
    <w:rsid w:val="00D75275"/>
    <w:rsid w:val="00D7527C"/>
    <w:rsid w:val="00D752D9"/>
    <w:rsid w:val="00D7538F"/>
    <w:rsid w:val="00D7540F"/>
    <w:rsid w:val="00D75440"/>
    <w:rsid w:val="00D75446"/>
    <w:rsid w:val="00D7547E"/>
    <w:rsid w:val="00D75496"/>
    <w:rsid w:val="00D754B2"/>
    <w:rsid w:val="00D754BD"/>
    <w:rsid w:val="00D75525"/>
    <w:rsid w:val="00D75538"/>
    <w:rsid w:val="00D7555E"/>
    <w:rsid w:val="00D75580"/>
    <w:rsid w:val="00D7581E"/>
    <w:rsid w:val="00D758D8"/>
    <w:rsid w:val="00D7594B"/>
    <w:rsid w:val="00D759D3"/>
    <w:rsid w:val="00D759F0"/>
    <w:rsid w:val="00D75A55"/>
    <w:rsid w:val="00D75AA4"/>
    <w:rsid w:val="00D75B16"/>
    <w:rsid w:val="00D75B3D"/>
    <w:rsid w:val="00D75B4F"/>
    <w:rsid w:val="00D75B6C"/>
    <w:rsid w:val="00D75BE3"/>
    <w:rsid w:val="00D75BEE"/>
    <w:rsid w:val="00D75D0A"/>
    <w:rsid w:val="00D75EEF"/>
    <w:rsid w:val="00D75F83"/>
    <w:rsid w:val="00D7608A"/>
    <w:rsid w:val="00D76094"/>
    <w:rsid w:val="00D760A0"/>
    <w:rsid w:val="00D7619B"/>
    <w:rsid w:val="00D761A5"/>
    <w:rsid w:val="00D7620B"/>
    <w:rsid w:val="00D762CD"/>
    <w:rsid w:val="00D762E9"/>
    <w:rsid w:val="00D762F1"/>
    <w:rsid w:val="00D7634D"/>
    <w:rsid w:val="00D76369"/>
    <w:rsid w:val="00D76462"/>
    <w:rsid w:val="00D76470"/>
    <w:rsid w:val="00D764A8"/>
    <w:rsid w:val="00D76588"/>
    <w:rsid w:val="00D76598"/>
    <w:rsid w:val="00D765A1"/>
    <w:rsid w:val="00D765A5"/>
    <w:rsid w:val="00D765C0"/>
    <w:rsid w:val="00D765EA"/>
    <w:rsid w:val="00D76611"/>
    <w:rsid w:val="00D76675"/>
    <w:rsid w:val="00D766C9"/>
    <w:rsid w:val="00D766F2"/>
    <w:rsid w:val="00D7670D"/>
    <w:rsid w:val="00D76784"/>
    <w:rsid w:val="00D767EA"/>
    <w:rsid w:val="00D768FA"/>
    <w:rsid w:val="00D769A4"/>
    <w:rsid w:val="00D769D4"/>
    <w:rsid w:val="00D76A09"/>
    <w:rsid w:val="00D76BF7"/>
    <w:rsid w:val="00D76CA4"/>
    <w:rsid w:val="00D76CDF"/>
    <w:rsid w:val="00D76CE5"/>
    <w:rsid w:val="00D76D58"/>
    <w:rsid w:val="00D76D80"/>
    <w:rsid w:val="00D76D82"/>
    <w:rsid w:val="00D76DA9"/>
    <w:rsid w:val="00D76DF5"/>
    <w:rsid w:val="00D76F0E"/>
    <w:rsid w:val="00D76F30"/>
    <w:rsid w:val="00D76F3F"/>
    <w:rsid w:val="00D76F67"/>
    <w:rsid w:val="00D76FAB"/>
    <w:rsid w:val="00D77024"/>
    <w:rsid w:val="00D7711E"/>
    <w:rsid w:val="00D771C6"/>
    <w:rsid w:val="00D771E5"/>
    <w:rsid w:val="00D771F9"/>
    <w:rsid w:val="00D77248"/>
    <w:rsid w:val="00D7724F"/>
    <w:rsid w:val="00D772C4"/>
    <w:rsid w:val="00D77305"/>
    <w:rsid w:val="00D77337"/>
    <w:rsid w:val="00D7733E"/>
    <w:rsid w:val="00D7737F"/>
    <w:rsid w:val="00D7743E"/>
    <w:rsid w:val="00D774D3"/>
    <w:rsid w:val="00D77566"/>
    <w:rsid w:val="00D77674"/>
    <w:rsid w:val="00D776E8"/>
    <w:rsid w:val="00D77755"/>
    <w:rsid w:val="00D77810"/>
    <w:rsid w:val="00D778E8"/>
    <w:rsid w:val="00D7792D"/>
    <w:rsid w:val="00D779F9"/>
    <w:rsid w:val="00D77AE3"/>
    <w:rsid w:val="00D77BE9"/>
    <w:rsid w:val="00D77C98"/>
    <w:rsid w:val="00D77D1E"/>
    <w:rsid w:val="00D77D2F"/>
    <w:rsid w:val="00D77DAD"/>
    <w:rsid w:val="00D77DC5"/>
    <w:rsid w:val="00D77E38"/>
    <w:rsid w:val="00D77E3A"/>
    <w:rsid w:val="00D77F0D"/>
    <w:rsid w:val="00D77F87"/>
    <w:rsid w:val="00D77F9F"/>
    <w:rsid w:val="00D77FD2"/>
    <w:rsid w:val="00D77FE3"/>
    <w:rsid w:val="00D77FF6"/>
    <w:rsid w:val="00D8007C"/>
    <w:rsid w:val="00D800E5"/>
    <w:rsid w:val="00D80167"/>
    <w:rsid w:val="00D80196"/>
    <w:rsid w:val="00D801AB"/>
    <w:rsid w:val="00D801FC"/>
    <w:rsid w:val="00D80264"/>
    <w:rsid w:val="00D80353"/>
    <w:rsid w:val="00D8036E"/>
    <w:rsid w:val="00D803B3"/>
    <w:rsid w:val="00D803C0"/>
    <w:rsid w:val="00D803C6"/>
    <w:rsid w:val="00D803DB"/>
    <w:rsid w:val="00D803EA"/>
    <w:rsid w:val="00D803F8"/>
    <w:rsid w:val="00D803FD"/>
    <w:rsid w:val="00D804CF"/>
    <w:rsid w:val="00D80520"/>
    <w:rsid w:val="00D80555"/>
    <w:rsid w:val="00D80586"/>
    <w:rsid w:val="00D8058F"/>
    <w:rsid w:val="00D80590"/>
    <w:rsid w:val="00D805DC"/>
    <w:rsid w:val="00D80665"/>
    <w:rsid w:val="00D8068C"/>
    <w:rsid w:val="00D80806"/>
    <w:rsid w:val="00D80869"/>
    <w:rsid w:val="00D808AB"/>
    <w:rsid w:val="00D80910"/>
    <w:rsid w:val="00D80953"/>
    <w:rsid w:val="00D80975"/>
    <w:rsid w:val="00D8097E"/>
    <w:rsid w:val="00D8098B"/>
    <w:rsid w:val="00D8099B"/>
    <w:rsid w:val="00D809EA"/>
    <w:rsid w:val="00D80A68"/>
    <w:rsid w:val="00D80A7A"/>
    <w:rsid w:val="00D80ADC"/>
    <w:rsid w:val="00D80B40"/>
    <w:rsid w:val="00D80B9C"/>
    <w:rsid w:val="00D80BD9"/>
    <w:rsid w:val="00D80C2F"/>
    <w:rsid w:val="00D80CA6"/>
    <w:rsid w:val="00D80D80"/>
    <w:rsid w:val="00D80E77"/>
    <w:rsid w:val="00D80E82"/>
    <w:rsid w:val="00D80EA0"/>
    <w:rsid w:val="00D80EF6"/>
    <w:rsid w:val="00D80EFD"/>
    <w:rsid w:val="00D80F19"/>
    <w:rsid w:val="00D80F39"/>
    <w:rsid w:val="00D80FA7"/>
    <w:rsid w:val="00D80FCB"/>
    <w:rsid w:val="00D80FDB"/>
    <w:rsid w:val="00D81042"/>
    <w:rsid w:val="00D81066"/>
    <w:rsid w:val="00D810E3"/>
    <w:rsid w:val="00D81154"/>
    <w:rsid w:val="00D8116D"/>
    <w:rsid w:val="00D8119F"/>
    <w:rsid w:val="00D811BF"/>
    <w:rsid w:val="00D811DE"/>
    <w:rsid w:val="00D811DF"/>
    <w:rsid w:val="00D812C1"/>
    <w:rsid w:val="00D81351"/>
    <w:rsid w:val="00D813C5"/>
    <w:rsid w:val="00D813EC"/>
    <w:rsid w:val="00D81496"/>
    <w:rsid w:val="00D815FE"/>
    <w:rsid w:val="00D816A8"/>
    <w:rsid w:val="00D816D7"/>
    <w:rsid w:val="00D817B7"/>
    <w:rsid w:val="00D817DE"/>
    <w:rsid w:val="00D81808"/>
    <w:rsid w:val="00D81846"/>
    <w:rsid w:val="00D818B2"/>
    <w:rsid w:val="00D819F9"/>
    <w:rsid w:val="00D81A09"/>
    <w:rsid w:val="00D81A2D"/>
    <w:rsid w:val="00D81A83"/>
    <w:rsid w:val="00D81B2C"/>
    <w:rsid w:val="00D81BA0"/>
    <w:rsid w:val="00D81BB8"/>
    <w:rsid w:val="00D81BD1"/>
    <w:rsid w:val="00D81BFF"/>
    <w:rsid w:val="00D81E12"/>
    <w:rsid w:val="00D81FB1"/>
    <w:rsid w:val="00D8208B"/>
    <w:rsid w:val="00D8211E"/>
    <w:rsid w:val="00D821B4"/>
    <w:rsid w:val="00D821C9"/>
    <w:rsid w:val="00D82217"/>
    <w:rsid w:val="00D822C9"/>
    <w:rsid w:val="00D823BC"/>
    <w:rsid w:val="00D824E4"/>
    <w:rsid w:val="00D824E6"/>
    <w:rsid w:val="00D82506"/>
    <w:rsid w:val="00D82556"/>
    <w:rsid w:val="00D825E6"/>
    <w:rsid w:val="00D82658"/>
    <w:rsid w:val="00D826D6"/>
    <w:rsid w:val="00D826FD"/>
    <w:rsid w:val="00D82704"/>
    <w:rsid w:val="00D8271A"/>
    <w:rsid w:val="00D82796"/>
    <w:rsid w:val="00D8280A"/>
    <w:rsid w:val="00D8285C"/>
    <w:rsid w:val="00D828C3"/>
    <w:rsid w:val="00D82946"/>
    <w:rsid w:val="00D82992"/>
    <w:rsid w:val="00D829AE"/>
    <w:rsid w:val="00D82A1B"/>
    <w:rsid w:val="00D82A39"/>
    <w:rsid w:val="00D82A75"/>
    <w:rsid w:val="00D82A9E"/>
    <w:rsid w:val="00D82AD2"/>
    <w:rsid w:val="00D82B57"/>
    <w:rsid w:val="00D82C6D"/>
    <w:rsid w:val="00D82C6E"/>
    <w:rsid w:val="00D82C7B"/>
    <w:rsid w:val="00D82CC9"/>
    <w:rsid w:val="00D82D36"/>
    <w:rsid w:val="00D82D3D"/>
    <w:rsid w:val="00D82F30"/>
    <w:rsid w:val="00D82F45"/>
    <w:rsid w:val="00D82FD1"/>
    <w:rsid w:val="00D82FE6"/>
    <w:rsid w:val="00D83004"/>
    <w:rsid w:val="00D83071"/>
    <w:rsid w:val="00D8310D"/>
    <w:rsid w:val="00D83133"/>
    <w:rsid w:val="00D83140"/>
    <w:rsid w:val="00D83150"/>
    <w:rsid w:val="00D8316D"/>
    <w:rsid w:val="00D83212"/>
    <w:rsid w:val="00D8322A"/>
    <w:rsid w:val="00D832C8"/>
    <w:rsid w:val="00D83340"/>
    <w:rsid w:val="00D83346"/>
    <w:rsid w:val="00D83367"/>
    <w:rsid w:val="00D83417"/>
    <w:rsid w:val="00D8345D"/>
    <w:rsid w:val="00D83471"/>
    <w:rsid w:val="00D834D2"/>
    <w:rsid w:val="00D8352D"/>
    <w:rsid w:val="00D8352E"/>
    <w:rsid w:val="00D8356C"/>
    <w:rsid w:val="00D835B7"/>
    <w:rsid w:val="00D8362F"/>
    <w:rsid w:val="00D83685"/>
    <w:rsid w:val="00D83708"/>
    <w:rsid w:val="00D8371B"/>
    <w:rsid w:val="00D8375E"/>
    <w:rsid w:val="00D837B4"/>
    <w:rsid w:val="00D837DF"/>
    <w:rsid w:val="00D8384B"/>
    <w:rsid w:val="00D8387F"/>
    <w:rsid w:val="00D83982"/>
    <w:rsid w:val="00D83A94"/>
    <w:rsid w:val="00D83AD9"/>
    <w:rsid w:val="00D83ADA"/>
    <w:rsid w:val="00D83B10"/>
    <w:rsid w:val="00D83BE3"/>
    <w:rsid w:val="00D83C53"/>
    <w:rsid w:val="00D83C9E"/>
    <w:rsid w:val="00D83CF4"/>
    <w:rsid w:val="00D83EFA"/>
    <w:rsid w:val="00D83F57"/>
    <w:rsid w:val="00D83FBA"/>
    <w:rsid w:val="00D84019"/>
    <w:rsid w:val="00D8408D"/>
    <w:rsid w:val="00D840B4"/>
    <w:rsid w:val="00D840D9"/>
    <w:rsid w:val="00D8411E"/>
    <w:rsid w:val="00D84163"/>
    <w:rsid w:val="00D84195"/>
    <w:rsid w:val="00D8419C"/>
    <w:rsid w:val="00D841CC"/>
    <w:rsid w:val="00D84316"/>
    <w:rsid w:val="00D84335"/>
    <w:rsid w:val="00D84348"/>
    <w:rsid w:val="00D843C5"/>
    <w:rsid w:val="00D843F9"/>
    <w:rsid w:val="00D844E7"/>
    <w:rsid w:val="00D845A1"/>
    <w:rsid w:val="00D845D9"/>
    <w:rsid w:val="00D846AA"/>
    <w:rsid w:val="00D84721"/>
    <w:rsid w:val="00D84756"/>
    <w:rsid w:val="00D8475F"/>
    <w:rsid w:val="00D84782"/>
    <w:rsid w:val="00D84787"/>
    <w:rsid w:val="00D847AB"/>
    <w:rsid w:val="00D847C8"/>
    <w:rsid w:val="00D8483B"/>
    <w:rsid w:val="00D84898"/>
    <w:rsid w:val="00D84A1E"/>
    <w:rsid w:val="00D84A3A"/>
    <w:rsid w:val="00D84AF7"/>
    <w:rsid w:val="00D84B5F"/>
    <w:rsid w:val="00D84C6D"/>
    <w:rsid w:val="00D84CD0"/>
    <w:rsid w:val="00D84DC4"/>
    <w:rsid w:val="00D84DCB"/>
    <w:rsid w:val="00D84DDB"/>
    <w:rsid w:val="00D84E85"/>
    <w:rsid w:val="00D84EA7"/>
    <w:rsid w:val="00D84F9F"/>
    <w:rsid w:val="00D85191"/>
    <w:rsid w:val="00D852BB"/>
    <w:rsid w:val="00D85380"/>
    <w:rsid w:val="00D8539E"/>
    <w:rsid w:val="00D85473"/>
    <w:rsid w:val="00D85502"/>
    <w:rsid w:val="00D8550E"/>
    <w:rsid w:val="00D8552D"/>
    <w:rsid w:val="00D85573"/>
    <w:rsid w:val="00D855A3"/>
    <w:rsid w:val="00D856A0"/>
    <w:rsid w:val="00D856B6"/>
    <w:rsid w:val="00D856D5"/>
    <w:rsid w:val="00D856FB"/>
    <w:rsid w:val="00D85744"/>
    <w:rsid w:val="00D85755"/>
    <w:rsid w:val="00D8576B"/>
    <w:rsid w:val="00D857D4"/>
    <w:rsid w:val="00D857EC"/>
    <w:rsid w:val="00D857FF"/>
    <w:rsid w:val="00D85834"/>
    <w:rsid w:val="00D85847"/>
    <w:rsid w:val="00D85874"/>
    <w:rsid w:val="00D8592D"/>
    <w:rsid w:val="00D85937"/>
    <w:rsid w:val="00D859C0"/>
    <w:rsid w:val="00D85AC2"/>
    <w:rsid w:val="00D85AF7"/>
    <w:rsid w:val="00D85B35"/>
    <w:rsid w:val="00D85B36"/>
    <w:rsid w:val="00D85B5C"/>
    <w:rsid w:val="00D85BC2"/>
    <w:rsid w:val="00D85C49"/>
    <w:rsid w:val="00D85C8E"/>
    <w:rsid w:val="00D85E22"/>
    <w:rsid w:val="00D85E90"/>
    <w:rsid w:val="00D85EB7"/>
    <w:rsid w:val="00D85F57"/>
    <w:rsid w:val="00D85F5F"/>
    <w:rsid w:val="00D85FFC"/>
    <w:rsid w:val="00D86071"/>
    <w:rsid w:val="00D86081"/>
    <w:rsid w:val="00D86105"/>
    <w:rsid w:val="00D86119"/>
    <w:rsid w:val="00D86159"/>
    <w:rsid w:val="00D861DE"/>
    <w:rsid w:val="00D86401"/>
    <w:rsid w:val="00D86402"/>
    <w:rsid w:val="00D864A5"/>
    <w:rsid w:val="00D86557"/>
    <w:rsid w:val="00D865D2"/>
    <w:rsid w:val="00D8662F"/>
    <w:rsid w:val="00D86685"/>
    <w:rsid w:val="00D86686"/>
    <w:rsid w:val="00D866C2"/>
    <w:rsid w:val="00D866DC"/>
    <w:rsid w:val="00D866F3"/>
    <w:rsid w:val="00D86734"/>
    <w:rsid w:val="00D8677C"/>
    <w:rsid w:val="00D867BB"/>
    <w:rsid w:val="00D86820"/>
    <w:rsid w:val="00D86838"/>
    <w:rsid w:val="00D868A6"/>
    <w:rsid w:val="00D868C0"/>
    <w:rsid w:val="00D86934"/>
    <w:rsid w:val="00D86977"/>
    <w:rsid w:val="00D86A72"/>
    <w:rsid w:val="00D86A90"/>
    <w:rsid w:val="00D86AB1"/>
    <w:rsid w:val="00D86B7E"/>
    <w:rsid w:val="00D86BCE"/>
    <w:rsid w:val="00D86BDC"/>
    <w:rsid w:val="00D86DA9"/>
    <w:rsid w:val="00D86E26"/>
    <w:rsid w:val="00D86E28"/>
    <w:rsid w:val="00D86F58"/>
    <w:rsid w:val="00D86F74"/>
    <w:rsid w:val="00D86F77"/>
    <w:rsid w:val="00D86FC8"/>
    <w:rsid w:val="00D86FD5"/>
    <w:rsid w:val="00D86FF8"/>
    <w:rsid w:val="00D87064"/>
    <w:rsid w:val="00D8708E"/>
    <w:rsid w:val="00D8713B"/>
    <w:rsid w:val="00D87189"/>
    <w:rsid w:val="00D8727A"/>
    <w:rsid w:val="00D8729D"/>
    <w:rsid w:val="00D87397"/>
    <w:rsid w:val="00D87445"/>
    <w:rsid w:val="00D87451"/>
    <w:rsid w:val="00D874C8"/>
    <w:rsid w:val="00D8777A"/>
    <w:rsid w:val="00D87868"/>
    <w:rsid w:val="00D8786B"/>
    <w:rsid w:val="00D878C5"/>
    <w:rsid w:val="00D878E2"/>
    <w:rsid w:val="00D87905"/>
    <w:rsid w:val="00D879CF"/>
    <w:rsid w:val="00D87A39"/>
    <w:rsid w:val="00D87A89"/>
    <w:rsid w:val="00D87AD3"/>
    <w:rsid w:val="00D87B32"/>
    <w:rsid w:val="00D87B52"/>
    <w:rsid w:val="00D87C1E"/>
    <w:rsid w:val="00D87C9F"/>
    <w:rsid w:val="00D87CA6"/>
    <w:rsid w:val="00D87CC2"/>
    <w:rsid w:val="00D87CD0"/>
    <w:rsid w:val="00D87CF6"/>
    <w:rsid w:val="00D87DB6"/>
    <w:rsid w:val="00D87E88"/>
    <w:rsid w:val="00D87EA1"/>
    <w:rsid w:val="00D87EC2"/>
    <w:rsid w:val="00D87EEE"/>
    <w:rsid w:val="00D87F28"/>
    <w:rsid w:val="00D87F94"/>
    <w:rsid w:val="00D90017"/>
    <w:rsid w:val="00D90024"/>
    <w:rsid w:val="00D9007B"/>
    <w:rsid w:val="00D90097"/>
    <w:rsid w:val="00D900C3"/>
    <w:rsid w:val="00D90271"/>
    <w:rsid w:val="00D902B9"/>
    <w:rsid w:val="00D902C5"/>
    <w:rsid w:val="00D90456"/>
    <w:rsid w:val="00D90499"/>
    <w:rsid w:val="00D904E4"/>
    <w:rsid w:val="00D9057A"/>
    <w:rsid w:val="00D905AB"/>
    <w:rsid w:val="00D9068C"/>
    <w:rsid w:val="00D906BD"/>
    <w:rsid w:val="00D906DE"/>
    <w:rsid w:val="00D90728"/>
    <w:rsid w:val="00D907BC"/>
    <w:rsid w:val="00D9082E"/>
    <w:rsid w:val="00D9084B"/>
    <w:rsid w:val="00D90869"/>
    <w:rsid w:val="00D908CD"/>
    <w:rsid w:val="00D908D4"/>
    <w:rsid w:val="00D90938"/>
    <w:rsid w:val="00D909CE"/>
    <w:rsid w:val="00D90A0C"/>
    <w:rsid w:val="00D90AFA"/>
    <w:rsid w:val="00D90BE3"/>
    <w:rsid w:val="00D90CC4"/>
    <w:rsid w:val="00D90DB9"/>
    <w:rsid w:val="00D90DF0"/>
    <w:rsid w:val="00D90DF6"/>
    <w:rsid w:val="00D90E46"/>
    <w:rsid w:val="00D90F2C"/>
    <w:rsid w:val="00D90F70"/>
    <w:rsid w:val="00D90FDD"/>
    <w:rsid w:val="00D910B0"/>
    <w:rsid w:val="00D910BA"/>
    <w:rsid w:val="00D91161"/>
    <w:rsid w:val="00D9116D"/>
    <w:rsid w:val="00D912A4"/>
    <w:rsid w:val="00D912E6"/>
    <w:rsid w:val="00D912EB"/>
    <w:rsid w:val="00D91477"/>
    <w:rsid w:val="00D91497"/>
    <w:rsid w:val="00D914AE"/>
    <w:rsid w:val="00D914B1"/>
    <w:rsid w:val="00D91500"/>
    <w:rsid w:val="00D91517"/>
    <w:rsid w:val="00D915D5"/>
    <w:rsid w:val="00D9168A"/>
    <w:rsid w:val="00D91698"/>
    <w:rsid w:val="00D91708"/>
    <w:rsid w:val="00D917BF"/>
    <w:rsid w:val="00D917D2"/>
    <w:rsid w:val="00D91873"/>
    <w:rsid w:val="00D918CE"/>
    <w:rsid w:val="00D918FE"/>
    <w:rsid w:val="00D91917"/>
    <w:rsid w:val="00D9198D"/>
    <w:rsid w:val="00D919FD"/>
    <w:rsid w:val="00D91A24"/>
    <w:rsid w:val="00D91A40"/>
    <w:rsid w:val="00D91A52"/>
    <w:rsid w:val="00D91A60"/>
    <w:rsid w:val="00D91B7A"/>
    <w:rsid w:val="00D91C6A"/>
    <w:rsid w:val="00D91C9C"/>
    <w:rsid w:val="00D91D2C"/>
    <w:rsid w:val="00D91D53"/>
    <w:rsid w:val="00D91D90"/>
    <w:rsid w:val="00D91D9E"/>
    <w:rsid w:val="00D91DF6"/>
    <w:rsid w:val="00D91E4F"/>
    <w:rsid w:val="00D91E78"/>
    <w:rsid w:val="00D91F24"/>
    <w:rsid w:val="00D91F71"/>
    <w:rsid w:val="00D91FA6"/>
    <w:rsid w:val="00D92046"/>
    <w:rsid w:val="00D92088"/>
    <w:rsid w:val="00D92153"/>
    <w:rsid w:val="00D9217B"/>
    <w:rsid w:val="00D921FA"/>
    <w:rsid w:val="00D922FD"/>
    <w:rsid w:val="00D9232B"/>
    <w:rsid w:val="00D923CD"/>
    <w:rsid w:val="00D92454"/>
    <w:rsid w:val="00D924BA"/>
    <w:rsid w:val="00D92505"/>
    <w:rsid w:val="00D925F6"/>
    <w:rsid w:val="00D92605"/>
    <w:rsid w:val="00D92641"/>
    <w:rsid w:val="00D92657"/>
    <w:rsid w:val="00D9266B"/>
    <w:rsid w:val="00D926ED"/>
    <w:rsid w:val="00D92784"/>
    <w:rsid w:val="00D927AE"/>
    <w:rsid w:val="00D9284C"/>
    <w:rsid w:val="00D92855"/>
    <w:rsid w:val="00D928B1"/>
    <w:rsid w:val="00D928E0"/>
    <w:rsid w:val="00D9299C"/>
    <w:rsid w:val="00D92AFC"/>
    <w:rsid w:val="00D92B16"/>
    <w:rsid w:val="00D92B29"/>
    <w:rsid w:val="00D92B2C"/>
    <w:rsid w:val="00D92B69"/>
    <w:rsid w:val="00D92B74"/>
    <w:rsid w:val="00D92BA2"/>
    <w:rsid w:val="00D92C3A"/>
    <w:rsid w:val="00D92C58"/>
    <w:rsid w:val="00D92C5E"/>
    <w:rsid w:val="00D92CF3"/>
    <w:rsid w:val="00D92CF4"/>
    <w:rsid w:val="00D92D45"/>
    <w:rsid w:val="00D92DB1"/>
    <w:rsid w:val="00D92E63"/>
    <w:rsid w:val="00D92E79"/>
    <w:rsid w:val="00D92E9F"/>
    <w:rsid w:val="00D92F02"/>
    <w:rsid w:val="00D92F2F"/>
    <w:rsid w:val="00D92FBE"/>
    <w:rsid w:val="00D92FD2"/>
    <w:rsid w:val="00D92FEF"/>
    <w:rsid w:val="00D930E4"/>
    <w:rsid w:val="00D93164"/>
    <w:rsid w:val="00D93266"/>
    <w:rsid w:val="00D93278"/>
    <w:rsid w:val="00D932B1"/>
    <w:rsid w:val="00D932F3"/>
    <w:rsid w:val="00D93353"/>
    <w:rsid w:val="00D93360"/>
    <w:rsid w:val="00D93362"/>
    <w:rsid w:val="00D933BF"/>
    <w:rsid w:val="00D933E1"/>
    <w:rsid w:val="00D93414"/>
    <w:rsid w:val="00D93415"/>
    <w:rsid w:val="00D9341C"/>
    <w:rsid w:val="00D934D1"/>
    <w:rsid w:val="00D93512"/>
    <w:rsid w:val="00D9351D"/>
    <w:rsid w:val="00D93541"/>
    <w:rsid w:val="00D93574"/>
    <w:rsid w:val="00D935B9"/>
    <w:rsid w:val="00D935C3"/>
    <w:rsid w:val="00D935D3"/>
    <w:rsid w:val="00D935ED"/>
    <w:rsid w:val="00D93719"/>
    <w:rsid w:val="00D93734"/>
    <w:rsid w:val="00D93765"/>
    <w:rsid w:val="00D9377B"/>
    <w:rsid w:val="00D93794"/>
    <w:rsid w:val="00D937A9"/>
    <w:rsid w:val="00D937DA"/>
    <w:rsid w:val="00D938AD"/>
    <w:rsid w:val="00D93935"/>
    <w:rsid w:val="00D93953"/>
    <w:rsid w:val="00D9398A"/>
    <w:rsid w:val="00D9398F"/>
    <w:rsid w:val="00D93A08"/>
    <w:rsid w:val="00D93A24"/>
    <w:rsid w:val="00D93A28"/>
    <w:rsid w:val="00D93AF3"/>
    <w:rsid w:val="00D93B6E"/>
    <w:rsid w:val="00D93C30"/>
    <w:rsid w:val="00D93C6D"/>
    <w:rsid w:val="00D93C73"/>
    <w:rsid w:val="00D93C8B"/>
    <w:rsid w:val="00D93C8F"/>
    <w:rsid w:val="00D93CA9"/>
    <w:rsid w:val="00D93CBB"/>
    <w:rsid w:val="00D93D09"/>
    <w:rsid w:val="00D93D97"/>
    <w:rsid w:val="00D93DE4"/>
    <w:rsid w:val="00D93E74"/>
    <w:rsid w:val="00D93E78"/>
    <w:rsid w:val="00D93EA7"/>
    <w:rsid w:val="00D93EDA"/>
    <w:rsid w:val="00D93EEF"/>
    <w:rsid w:val="00D93F25"/>
    <w:rsid w:val="00D93FE4"/>
    <w:rsid w:val="00D94024"/>
    <w:rsid w:val="00D94171"/>
    <w:rsid w:val="00D94176"/>
    <w:rsid w:val="00D9417B"/>
    <w:rsid w:val="00D941EE"/>
    <w:rsid w:val="00D9421E"/>
    <w:rsid w:val="00D94237"/>
    <w:rsid w:val="00D9428B"/>
    <w:rsid w:val="00D942A3"/>
    <w:rsid w:val="00D942E1"/>
    <w:rsid w:val="00D94320"/>
    <w:rsid w:val="00D94373"/>
    <w:rsid w:val="00D94379"/>
    <w:rsid w:val="00D943F6"/>
    <w:rsid w:val="00D9441A"/>
    <w:rsid w:val="00D94489"/>
    <w:rsid w:val="00D944C6"/>
    <w:rsid w:val="00D944FF"/>
    <w:rsid w:val="00D94547"/>
    <w:rsid w:val="00D945D2"/>
    <w:rsid w:val="00D94612"/>
    <w:rsid w:val="00D946BC"/>
    <w:rsid w:val="00D94737"/>
    <w:rsid w:val="00D9478A"/>
    <w:rsid w:val="00D94875"/>
    <w:rsid w:val="00D9492C"/>
    <w:rsid w:val="00D949CC"/>
    <w:rsid w:val="00D94A54"/>
    <w:rsid w:val="00D94A72"/>
    <w:rsid w:val="00D94A8A"/>
    <w:rsid w:val="00D94AD6"/>
    <w:rsid w:val="00D94BE0"/>
    <w:rsid w:val="00D94C17"/>
    <w:rsid w:val="00D94C94"/>
    <w:rsid w:val="00D94CFB"/>
    <w:rsid w:val="00D94D0B"/>
    <w:rsid w:val="00D94D0F"/>
    <w:rsid w:val="00D94D5A"/>
    <w:rsid w:val="00D94D6D"/>
    <w:rsid w:val="00D94DEE"/>
    <w:rsid w:val="00D94DEF"/>
    <w:rsid w:val="00D94E22"/>
    <w:rsid w:val="00D94E71"/>
    <w:rsid w:val="00D94E74"/>
    <w:rsid w:val="00D94E8E"/>
    <w:rsid w:val="00D94EB4"/>
    <w:rsid w:val="00D94EB7"/>
    <w:rsid w:val="00D94EDD"/>
    <w:rsid w:val="00D94F5D"/>
    <w:rsid w:val="00D94FB0"/>
    <w:rsid w:val="00D9501E"/>
    <w:rsid w:val="00D95059"/>
    <w:rsid w:val="00D95062"/>
    <w:rsid w:val="00D950FC"/>
    <w:rsid w:val="00D950FF"/>
    <w:rsid w:val="00D9516C"/>
    <w:rsid w:val="00D952DA"/>
    <w:rsid w:val="00D9535F"/>
    <w:rsid w:val="00D95409"/>
    <w:rsid w:val="00D95427"/>
    <w:rsid w:val="00D954FB"/>
    <w:rsid w:val="00D9559F"/>
    <w:rsid w:val="00D9563E"/>
    <w:rsid w:val="00D9564D"/>
    <w:rsid w:val="00D9565E"/>
    <w:rsid w:val="00D956E6"/>
    <w:rsid w:val="00D9570A"/>
    <w:rsid w:val="00D95783"/>
    <w:rsid w:val="00D957D2"/>
    <w:rsid w:val="00D957EC"/>
    <w:rsid w:val="00D9587C"/>
    <w:rsid w:val="00D958B4"/>
    <w:rsid w:val="00D958B8"/>
    <w:rsid w:val="00D958DC"/>
    <w:rsid w:val="00D958FA"/>
    <w:rsid w:val="00D95908"/>
    <w:rsid w:val="00D9593F"/>
    <w:rsid w:val="00D95A26"/>
    <w:rsid w:val="00D95A5C"/>
    <w:rsid w:val="00D95A6F"/>
    <w:rsid w:val="00D95B4E"/>
    <w:rsid w:val="00D95C19"/>
    <w:rsid w:val="00D95CDA"/>
    <w:rsid w:val="00D95CFE"/>
    <w:rsid w:val="00D95D8C"/>
    <w:rsid w:val="00D95DEB"/>
    <w:rsid w:val="00D95E80"/>
    <w:rsid w:val="00D95EAF"/>
    <w:rsid w:val="00D96016"/>
    <w:rsid w:val="00D96018"/>
    <w:rsid w:val="00D9601C"/>
    <w:rsid w:val="00D9603D"/>
    <w:rsid w:val="00D96059"/>
    <w:rsid w:val="00D96087"/>
    <w:rsid w:val="00D960BD"/>
    <w:rsid w:val="00D960ED"/>
    <w:rsid w:val="00D961D9"/>
    <w:rsid w:val="00D96200"/>
    <w:rsid w:val="00D96283"/>
    <w:rsid w:val="00D9629A"/>
    <w:rsid w:val="00D9629C"/>
    <w:rsid w:val="00D962A5"/>
    <w:rsid w:val="00D9634A"/>
    <w:rsid w:val="00D9635A"/>
    <w:rsid w:val="00D96425"/>
    <w:rsid w:val="00D9642C"/>
    <w:rsid w:val="00D9643A"/>
    <w:rsid w:val="00D964B5"/>
    <w:rsid w:val="00D96611"/>
    <w:rsid w:val="00D9667E"/>
    <w:rsid w:val="00D9675E"/>
    <w:rsid w:val="00D967B2"/>
    <w:rsid w:val="00D96879"/>
    <w:rsid w:val="00D968E3"/>
    <w:rsid w:val="00D96974"/>
    <w:rsid w:val="00D969B0"/>
    <w:rsid w:val="00D969CB"/>
    <w:rsid w:val="00D96A2D"/>
    <w:rsid w:val="00D96AED"/>
    <w:rsid w:val="00D96B0F"/>
    <w:rsid w:val="00D96B38"/>
    <w:rsid w:val="00D96C96"/>
    <w:rsid w:val="00D96CB4"/>
    <w:rsid w:val="00D96D12"/>
    <w:rsid w:val="00D96D43"/>
    <w:rsid w:val="00D96D8B"/>
    <w:rsid w:val="00D96DD3"/>
    <w:rsid w:val="00D96DE6"/>
    <w:rsid w:val="00D96E60"/>
    <w:rsid w:val="00D96F3B"/>
    <w:rsid w:val="00D96FBF"/>
    <w:rsid w:val="00D96FC1"/>
    <w:rsid w:val="00D97000"/>
    <w:rsid w:val="00D97062"/>
    <w:rsid w:val="00D970EC"/>
    <w:rsid w:val="00D97118"/>
    <w:rsid w:val="00D971D7"/>
    <w:rsid w:val="00D97238"/>
    <w:rsid w:val="00D97297"/>
    <w:rsid w:val="00D972E0"/>
    <w:rsid w:val="00D9731D"/>
    <w:rsid w:val="00D97397"/>
    <w:rsid w:val="00D973E4"/>
    <w:rsid w:val="00D973F8"/>
    <w:rsid w:val="00D9740F"/>
    <w:rsid w:val="00D97476"/>
    <w:rsid w:val="00D974B6"/>
    <w:rsid w:val="00D9751A"/>
    <w:rsid w:val="00D97536"/>
    <w:rsid w:val="00D975E8"/>
    <w:rsid w:val="00D97716"/>
    <w:rsid w:val="00D97733"/>
    <w:rsid w:val="00D97758"/>
    <w:rsid w:val="00D97766"/>
    <w:rsid w:val="00D977AB"/>
    <w:rsid w:val="00D977F9"/>
    <w:rsid w:val="00D97820"/>
    <w:rsid w:val="00D97836"/>
    <w:rsid w:val="00D97857"/>
    <w:rsid w:val="00D97901"/>
    <w:rsid w:val="00D97906"/>
    <w:rsid w:val="00D979AC"/>
    <w:rsid w:val="00D979ED"/>
    <w:rsid w:val="00D97A03"/>
    <w:rsid w:val="00D97A66"/>
    <w:rsid w:val="00D97A7B"/>
    <w:rsid w:val="00D97AA8"/>
    <w:rsid w:val="00D97B2D"/>
    <w:rsid w:val="00D97BDB"/>
    <w:rsid w:val="00D97CC7"/>
    <w:rsid w:val="00D97CDC"/>
    <w:rsid w:val="00D97D41"/>
    <w:rsid w:val="00D97D83"/>
    <w:rsid w:val="00D97E21"/>
    <w:rsid w:val="00D97E30"/>
    <w:rsid w:val="00D97E8E"/>
    <w:rsid w:val="00D97EEA"/>
    <w:rsid w:val="00D97F05"/>
    <w:rsid w:val="00D97FB6"/>
    <w:rsid w:val="00DA00FD"/>
    <w:rsid w:val="00DA016C"/>
    <w:rsid w:val="00DA0190"/>
    <w:rsid w:val="00DA0244"/>
    <w:rsid w:val="00DA0324"/>
    <w:rsid w:val="00DA037A"/>
    <w:rsid w:val="00DA0481"/>
    <w:rsid w:val="00DA04D8"/>
    <w:rsid w:val="00DA04DA"/>
    <w:rsid w:val="00DA0518"/>
    <w:rsid w:val="00DA0569"/>
    <w:rsid w:val="00DA0640"/>
    <w:rsid w:val="00DA07BB"/>
    <w:rsid w:val="00DA08BB"/>
    <w:rsid w:val="00DA0906"/>
    <w:rsid w:val="00DA0921"/>
    <w:rsid w:val="00DA0964"/>
    <w:rsid w:val="00DA0A06"/>
    <w:rsid w:val="00DA0ACE"/>
    <w:rsid w:val="00DA0ADA"/>
    <w:rsid w:val="00DA0AEB"/>
    <w:rsid w:val="00DA0AEE"/>
    <w:rsid w:val="00DA0AFA"/>
    <w:rsid w:val="00DA0B06"/>
    <w:rsid w:val="00DA0B25"/>
    <w:rsid w:val="00DA0B8F"/>
    <w:rsid w:val="00DA0B9B"/>
    <w:rsid w:val="00DA0BC0"/>
    <w:rsid w:val="00DA0D26"/>
    <w:rsid w:val="00DA0D27"/>
    <w:rsid w:val="00DA0D66"/>
    <w:rsid w:val="00DA0DB2"/>
    <w:rsid w:val="00DA0E01"/>
    <w:rsid w:val="00DA0E3F"/>
    <w:rsid w:val="00DA0EED"/>
    <w:rsid w:val="00DA0F47"/>
    <w:rsid w:val="00DA0F80"/>
    <w:rsid w:val="00DA0F99"/>
    <w:rsid w:val="00DA0F9A"/>
    <w:rsid w:val="00DA0FB5"/>
    <w:rsid w:val="00DA1049"/>
    <w:rsid w:val="00DA1079"/>
    <w:rsid w:val="00DA1099"/>
    <w:rsid w:val="00DA10D8"/>
    <w:rsid w:val="00DA10DC"/>
    <w:rsid w:val="00DA1109"/>
    <w:rsid w:val="00DA1143"/>
    <w:rsid w:val="00DA117C"/>
    <w:rsid w:val="00DA11AC"/>
    <w:rsid w:val="00DA11F8"/>
    <w:rsid w:val="00DA1218"/>
    <w:rsid w:val="00DA1253"/>
    <w:rsid w:val="00DA1286"/>
    <w:rsid w:val="00DA128D"/>
    <w:rsid w:val="00DA12D8"/>
    <w:rsid w:val="00DA12FD"/>
    <w:rsid w:val="00DA13B3"/>
    <w:rsid w:val="00DA13CC"/>
    <w:rsid w:val="00DA13F3"/>
    <w:rsid w:val="00DA13F6"/>
    <w:rsid w:val="00DA143B"/>
    <w:rsid w:val="00DA1441"/>
    <w:rsid w:val="00DA1496"/>
    <w:rsid w:val="00DA14D6"/>
    <w:rsid w:val="00DA1556"/>
    <w:rsid w:val="00DA157D"/>
    <w:rsid w:val="00DA15BF"/>
    <w:rsid w:val="00DA16B2"/>
    <w:rsid w:val="00DA1755"/>
    <w:rsid w:val="00DA1802"/>
    <w:rsid w:val="00DA185D"/>
    <w:rsid w:val="00DA18C4"/>
    <w:rsid w:val="00DA193E"/>
    <w:rsid w:val="00DA1960"/>
    <w:rsid w:val="00DA19CF"/>
    <w:rsid w:val="00DA1A15"/>
    <w:rsid w:val="00DA1A21"/>
    <w:rsid w:val="00DA1A7D"/>
    <w:rsid w:val="00DA1A9B"/>
    <w:rsid w:val="00DA1ADA"/>
    <w:rsid w:val="00DA1B1A"/>
    <w:rsid w:val="00DA1B45"/>
    <w:rsid w:val="00DA1B73"/>
    <w:rsid w:val="00DA1BE4"/>
    <w:rsid w:val="00DA1BFA"/>
    <w:rsid w:val="00DA1D87"/>
    <w:rsid w:val="00DA1D88"/>
    <w:rsid w:val="00DA1E05"/>
    <w:rsid w:val="00DA1E1C"/>
    <w:rsid w:val="00DA1EAF"/>
    <w:rsid w:val="00DA1EC5"/>
    <w:rsid w:val="00DA1F0D"/>
    <w:rsid w:val="00DA2040"/>
    <w:rsid w:val="00DA2049"/>
    <w:rsid w:val="00DA2064"/>
    <w:rsid w:val="00DA20A1"/>
    <w:rsid w:val="00DA224E"/>
    <w:rsid w:val="00DA22A8"/>
    <w:rsid w:val="00DA22F7"/>
    <w:rsid w:val="00DA230A"/>
    <w:rsid w:val="00DA233E"/>
    <w:rsid w:val="00DA2367"/>
    <w:rsid w:val="00DA23F7"/>
    <w:rsid w:val="00DA2487"/>
    <w:rsid w:val="00DA24E4"/>
    <w:rsid w:val="00DA2582"/>
    <w:rsid w:val="00DA2589"/>
    <w:rsid w:val="00DA25AB"/>
    <w:rsid w:val="00DA2626"/>
    <w:rsid w:val="00DA267F"/>
    <w:rsid w:val="00DA280E"/>
    <w:rsid w:val="00DA2889"/>
    <w:rsid w:val="00DA28BC"/>
    <w:rsid w:val="00DA28D8"/>
    <w:rsid w:val="00DA29A8"/>
    <w:rsid w:val="00DA29E2"/>
    <w:rsid w:val="00DA29FB"/>
    <w:rsid w:val="00DA2A14"/>
    <w:rsid w:val="00DA2B72"/>
    <w:rsid w:val="00DA2C82"/>
    <w:rsid w:val="00DA2C98"/>
    <w:rsid w:val="00DA2C9D"/>
    <w:rsid w:val="00DA2CE6"/>
    <w:rsid w:val="00DA2D7D"/>
    <w:rsid w:val="00DA2D97"/>
    <w:rsid w:val="00DA2DF7"/>
    <w:rsid w:val="00DA2F4F"/>
    <w:rsid w:val="00DA2FB1"/>
    <w:rsid w:val="00DA303A"/>
    <w:rsid w:val="00DA30D1"/>
    <w:rsid w:val="00DA31E3"/>
    <w:rsid w:val="00DA31EF"/>
    <w:rsid w:val="00DA328F"/>
    <w:rsid w:val="00DA32E4"/>
    <w:rsid w:val="00DA334B"/>
    <w:rsid w:val="00DA3352"/>
    <w:rsid w:val="00DA338E"/>
    <w:rsid w:val="00DA33D4"/>
    <w:rsid w:val="00DA33E1"/>
    <w:rsid w:val="00DA3445"/>
    <w:rsid w:val="00DA344D"/>
    <w:rsid w:val="00DA34FC"/>
    <w:rsid w:val="00DA3507"/>
    <w:rsid w:val="00DA3601"/>
    <w:rsid w:val="00DA3691"/>
    <w:rsid w:val="00DA371D"/>
    <w:rsid w:val="00DA37BB"/>
    <w:rsid w:val="00DA384B"/>
    <w:rsid w:val="00DA38B6"/>
    <w:rsid w:val="00DA3932"/>
    <w:rsid w:val="00DA3954"/>
    <w:rsid w:val="00DA399E"/>
    <w:rsid w:val="00DA39B4"/>
    <w:rsid w:val="00DA3A19"/>
    <w:rsid w:val="00DA3A78"/>
    <w:rsid w:val="00DA3A86"/>
    <w:rsid w:val="00DA3B14"/>
    <w:rsid w:val="00DA3B2E"/>
    <w:rsid w:val="00DA3B6D"/>
    <w:rsid w:val="00DA3BC5"/>
    <w:rsid w:val="00DA3C6D"/>
    <w:rsid w:val="00DA3CA0"/>
    <w:rsid w:val="00DA3CAB"/>
    <w:rsid w:val="00DA3CD9"/>
    <w:rsid w:val="00DA3D7A"/>
    <w:rsid w:val="00DA3DC1"/>
    <w:rsid w:val="00DA3DF9"/>
    <w:rsid w:val="00DA3E16"/>
    <w:rsid w:val="00DA3E18"/>
    <w:rsid w:val="00DA3EA3"/>
    <w:rsid w:val="00DA3EA9"/>
    <w:rsid w:val="00DA3ECA"/>
    <w:rsid w:val="00DA3F67"/>
    <w:rsid w:val="00DA3FC4"/>
    <w:rsid w:val="00DA3FE4"/>
    <w:rsid w:val="00DA3FFC"/>
    <w:rsid w:val="00DA4053"/>
    <w:rsid w:val="00DA405F"/>
    <w:rsid w:val="00DA4083"/>
    <w:rsid w:val="00DA408C"/>
    <w:rsid w:val="00DA4107"/>
    <w:rsid w:val="00DA4111"/>
    <w:rsid w:val="00DA4121"/>
    <w:rsid w:val="00DA4163"/>
    <w:rsid w:val="00DA41E1"/>
    <w:rsid w:val="00DA4209"/>
    <w:rsid w:val="00DA423A"/>
    <w:rsid w:val="00DA4246"/>
    <w:rsid w:val="00DA426D"/>
    <w:rsid w:val="00DA441D"/>
    <w:rsid w:val="00DA443F"/>
    <w:rsid w:val="00DA4607"/>
    <w:rsid w:val="00DA4635"/>
    <w:rsid w:val="00DA469A"/>
    <w:rsid w:val="00DA46B5"/>
    <w:rsid w:val="00DA4766"/>
    <w:rsid w:val="00DA47D7"/>
    <w:rsid w:val="00DA4806"/>
    <w:rsid w:val="00DA4830"/>
    <w:rsid w:val="00DA4859"/>
    <w:rsid w:val="00DA48D4"/>
    <w:rsid w:val="00DA4A58"/>
    <w:rsid w:val="00DA4AD5"/>
    <w:rsid w:val="00DA4B2B"/>
    <w:rsid w:val="00DA4BDD"/>
    <w:rsid w:val="00DA4C0D"/>
    <w:rsid w:val="00DA4C4C"/>
    <w:rsid w:val="00DA4D35"/>
    <w:rsid w:val="00DA4DBC"/>
    <w:rsid w:val="00DA4DE4"/>
    <w:rsid w:val="00DA4E7C"/>
    <w:rsid w:val="00DA4EEB"/>
    <w:rsid w:val="00DA4F57"/>
    <w:rsid w:val="00DA5091"/>
    <w:rsid w:val="00DA509A"/>
    <w:rsid w:val="00DA517C"/>
    <w:rsid w:val="00DA51B6"/>
    <w:rsid w:val="00DA51D4"/>
    <w:rsid w:val="00DA524D"/>
    <w:rsid w:val="00DA532B"/>
    <w:rsid w:val="00DA538A"/>
    <w:rsid w:val="00DA53AA"/>
    <w:rsid w:val="00DA542B"/>
    <w:rsid w:val="00DA5440"/>
    <w:rsid w:val="00DA5479"/>
    <w:rsid w:val="00DA54D7"/>
    <w:rsid w:val="00DA54E9"/>
    <w:rsid w:val="00DA54FF"/>
    <w:rsid w:val="00DA554C"/>
    <w:rsid w:val="00DA5564"/>
    <w:rsid w:val="00DA55F1"/>
    <w:rsid w:val="00DA5653"/>
    <w:rsid w:val="00DA57C1"/>
    <w:rsid w:val="00DA5844"/>
    <w:rsid w:val="00DA58A9"/>
    <w:rsid w:val="00DA58AE"/>
    <w:rsid w:val="00DA58B1"/>
    <w:rsid w:val="00DA590C"/>
    <w:rsid w:val="00DA5957"/>
    <w:rsid w:val="00DA5A69"/>
    <w:rsid w:val="00DA5ADC"/>
    <w:rsid w:val="00DA5AE2"/>
    <w:rsid w:val="00DA5AFE"/>
    <w:rsid w:val="00DA5B6E"/>
    <w:rsid w:val="00DA5C90"/>
    <w:rsid w:val="00DA5C9A"/>
    <w:rsid w:val="00DA5D2F"/>
    <w:rsid w:val="00DA5E32"/>
    <w:rsid w:val="00DA5E49"/>
    <w:rsid w:val="00DA5E7D"/>
    <w:rsid w:val="00DA5EDB"/>
    <w:rsid w:val="00DA5F1B"/>
    <w:rsid w:val="00DA5F63"/>
    <w:rsid w:val="00DA5F84"/>
    <w:rsid w:val="00DA5F9F"/>
    <w:rsid w:val="00DA5FB7"/>
    <w:rsid w:val="00DA5FE2"/>
    <w:rsid w:val="00DA602C"/>
    <w:rsid w:val="00DA606F"/>
    <w:rsid w:val="00DA6088"/>
    <w:rsid w:val="00DA609E"/>
    <w:rsid w:val="00DA6131"/>
    <w:rsid w:val="00DA6211"/>
    <w:rsid w:val="00DA6255"/>
    <w:rsid w:val="00DA6258"/>
    <w:rsid w:val="00DA62A7"/>
    <w:rsid w:val="00DA62A8"/>
    <w:rsid w:val="00DA62D0"/>
    <w:rsid w:val="00DA6322"/>
    <w:rsid w:val="00DA63CC"/>
    <w:rsid w:val="00DA6430"/>
    <w:rsid w:val="00DA6446"/>
    <w:rsid w:val="00DA645B"/>
    <w:rsid w:val="00DA64CA"/>
    <w:rsid w:val="00DA64D9"/>
    <w:rsid w:val="00DA64F3"/>
    <w:rsid w:val="00DA6546"/>
    <w:rsid w:val="00DA657F"/>
    <w:rsid w:val="00DA65A6"/>
    <w:rsid w:val="00DA666C"/>
    <w:rsid w:val="00DA66A1"/>
    <w:rsid w:val="00DA66DF"/>
    <w:rsid w:val="00DA66E5"/>
    <w:rsid w:val="00DA66EB"/>
    <w:rsid w:val="00DA67B2"/>
    <w:rsid w:val="00DA67ED"/>
    <w:rsid w:val="00DA688F"/>
    <w:rsid w:val="00DA68AF"/>
    <w:rsid w:val="00DA68B4"/>
    <w:rsid w:val="00DA68F1"/>
    <w:rsid w:val="00DA6901"/>
    <w:rsid w:val="00DA6985"/>
    <w:rsid w:val="00DA698A"/>
    <w:rsid w:val="00DA69BC"/>
    <w:rsid w:val="00DA69C7"/>
    <w:rsid w:val="00DA69E2"/>
    <w:rsid w:val="00DA6A25"/>
    <w:rsid w:val="00DA6ABA"/>
    <w:rsid w:val="00DA6CF5"/>
    <w:rsid w:val="00DA6D14"/>
    <w:rsid w:val="00DA6D45"/>
    <w:rsid w:val="00DA6D7B"/>
    <w:rsid w:val="00DA6DE4"/>
    <w:rsid w:val="00DA6E13"/>
    <w:rsid w:val="00DA6EDF"/>
    <w:rsid w:val="00DA6F5A"/>
    <w:rsid w:val="00DA6F7C"/>
    <w:rsid w:val="00DA6FA3"/>
    <w:rsid w:val="00DA709B"/>
    <w:rsid w:val="00DA710D"/>
    <w:rsid w:val="00DA71FC"/>
    <w:rsid w:val="00DA7223"/>
    <w:rsid w:val="00DA722D"/>
    <w:rsid w:val="00DA728A"/>
    <w:rsid w:val="00DA7334"/>
    <w:rsid w:val="00DA7338"/>
    <w:rsid w:val="00DA738A"/>
    <w:rsid w:val="00DA74AA"/>
    <w:rsid w:val="00DA7588"/>
    <w:rsid w:val="00DA75A1"/>
    <w:rsid w:val="00DA75C5"/>
    <w:rsid w:val="00DA7648"/>
    <w:rsid w:val="00DA768A"/>
    <w:rsid w:val="00DA774F"/>
    <w:rsid w:val="00DA77C3"/>
    <w:rsid w:val="00DA785D"/>
    <w:rsid w:val="00DA786F"/>
    <w:rsid w:val="00DA788F"/>
    <w:rsid w:val="00DA790C"/>
    <w:rsid w:val="00DA794E"/>
    <w:rsid w:val="00DA799D"/>
    <w:rsid w:val="00DA7A44"/>
    <w:rsid w:val="00DA7AE4"/>
    <w:rsid w:val="00DA7B12"/>
    <w:rsid w:val="00DA7B42"/>
    <w:rsid w:val="00DA7B43"/>
    <w:rsid w:val="00DA7BE2"/>
    <w:rsid w:val="00DA7C48"/>
    <w:rsid w:val="00DA7C65"/>
    <w:rsid w:val="00DA7CD3"/>
    <w:rsid w:val="00DA7D01"/>
    <w:rsid w:val="00DA7D20"/>
    <w:rsid w:val="00DA7E81"/>
    <w:rsid w:val="00DA7EE1"/>
    <w:rsid w:val="00DA7FC3"/>
    <w:rsid w:val="00DB000D"/>
    <w:rsid w:val="00DB010E"/>
    <w:rsid w:val="00DB0132"/>
    <w:rsid w:val="00DB0166"/>
    <w:rsid w:val="00DB01B9"/>
    <w:rsid w:val="00DB0214"/>
    <w:rsid w:val="00DB0262"/>
    <w:rsid w:val="00DB02AD"/>
    <w:rsid w:val="00DB02B9"/>
    <w:rsid w:val="00DB0344"/>
    <w:rsid w:val="00DB0360"/>
    <w:rsid w:val="00DB0460"/>
    <w:rsid w:val="00DB04A3"/>
    <w:rsid w:val="00DB04F0"/>
    <w:rsid w:val="00DB0611"/>
    <w:rsid w:val="00DB0633"/>
    <w:rsid w:val="00DB0695"/>
    <w:rsid w:val="00DB06B6"/>
    <w:rsid w:val="00DB0727"/>
    <w:rsid w:val="00DB07B0"/>
    <w:rsid w:val="00DB07C1"/>
    <w:rsid w:val="00DB0827"/>
    <w:rsid w:val="00DB0893"/>
    <w:rsid w:val="00DB0952"/>
    <w:rsid w:val="00DB098C"/>
    <w:rsid w:val="00DB0A6C"/>
    <w:rsid w:val="00DB0AE5"/>
    <w:rsid w:val="00DB0AED"/>
    <w:rsid w:val="00DB0B0D"/>
    <w:rsid w:val="00DB0C11"/>
    <w:rsid w:val="00DB0C86"/>
    <w:rsid w:val="00DB0CAD"/>
    <w:rsid w:val="00DB0CE3"/>
    <w:rsid w:val="00DB0DD4"/>
    <w:rsid w:val="00DB0E0C"/>
    <w:rsid w:val="00DB0E26"/>
    <w:rsid w:val="00DB0F0B"/>
    <w:rsid w:val="00DB0F33"/>
    <w:rsid w:val="00DB0F49"/>
    <w:rsid w:val="00DB0FCC"/>
    <w:rsid w:val="00DB10F7"/>
    <w:rsid w:val="00DB119E"/>
    <w:rsid w:val="00DB11BC"/>
    <w:rsid w:val="00DB11C6"/>
    <w:rsid w:val="00DB12B0"/>
    <w:rsid w:val="00DB1354"/>
    <w:rsid w:val="00DB13B8"/>
    <w:rsid w:val="00DB13F8"/>
    <w:rsid w:val="00DB1455"/>
    <w:rsid w:val="00DB14C0"/>
    <w:rsid w:val="00DB1504"/>
    <w:rsid w:val="00DB1506"/>
    <w:rsid w:val="00DB156F"/>
    <w:rsid w:val="00DB158C"/>
    <w:rsid w:val="00DB15B1"/>
    <w:rsid w:val="00DB1789"/>
    <w:rsid w:val="00DB178E"/>
    <w:rsid w:val="00DB1792"/>
    <w:rsid w:val="00DB18DA"/>
    <w:rsid w:val="00DB1903"/>
    <w:rsid w:val="00DB1941"/>
    <w:rsid w:val="00DB1999"/>
    <w:rsid w:val="00DB19B7"/>
    <w:rsid w:val="00DB19F7"/>
    <w:rsid w:val="00DB1A26"/>
    <w:rsid w:val="00DB1A77"/>
    <w:rsid w:val="00DB1AB7"/>
    <w:rsid w:val="00DB1AE1"/>
    <w:rsid w:val="00DB1AFA"/>
    <w:rsid w:val="00DB1B0D"/>
    <w:rsid w:val="00DB1B0F"/>
    <w:rsid w:val="00DB1B42"/>
    <w:rsid w:val="00DB1B8E"/>
    <w:rsid w:val="00DB1BC2"/>
    <w:rsid w:val="00DB1BDC"/>
    <w:rsid w:val="00DB1C3F"/>
    <w:rsid w:val="00DB1CBC"/>
    <w:rsid w:val="00DB1D1A"/>
    <w:rsid w:val="00DB1D9C"/>
    <w:rsid w:val="00DB1DA7"/>
    <w:rsid w:val="00DB1DD8"/>
    <w:rsid w:val="00DB1E01"/>
    <w:rsid w:val="00DB1E12"/>
    <w:rsid w:val="00DB1E37"/>
    <w:rsid w:val="00DB1F23"/>
    <w:rsid w:val="00DB1FF8"/>
    <w:rsid w:val="00DB209E"/>
    <w:rsid w:val="00DB2251"/>
    <w:rsid w:val="00DB226A"/>
    <w:rsid w:val="00DB22C4"/>
    <w:rsid w:val="00DB2320"/>
    <w:rsid w:val="00DB2365"/>
    <w:rsid w:val="00DB2378"/>
    <w:rsid w:val="00DB240D"/>
    <w:rsid w:val="00DB24F7"/>
    <w:rsid w:val="00DB24FF"/>
    <w:rsid w:val="00DB2509"/>
    <w:rsid w:val="00DB2586"/>
    <w:rsid w:val="00DB2658"/>
    <w:rsid w:val="00DB2713"/>
    <w:rsid w:val="00DB2748"/>
    <w:rsid w:val="00DB2756"/>
    <w:rsid w:val="00DB279A"/>
    <w:rsid w:val="00DB27A9"/>
    <w:rsid w:val="00DB2821"/>
    <w:rsid w:val="00DB2845"/>
    <w:rsid w:val="00DB288B"/>
    <w:rsid w:val="00DB29A3"/>
    <w:rsid w:val="00DB29B1"/>
    <w:rsid w:val="00DB29C9"/>
    <w:rsid w:val="00DB2ABD"/>
    <w:rsid w:val="00DB2B36"/>
    <w:rsid w:val="00DB2B44"/>
    <w:rsid w:val="00DB2B7A"/>
    <w:rsid w:val="00DB2B8A"/>
    <w:rsid w:val="00DB2BC3"/>
    <w:rsid w:val="00DB2BF5"/>
    <w:rsid w:val="00DB2C44"/>
    <w:rsid w:val="00DB2C4F"/>
    <w:rsid w:val="00DB2C63"/>
    <w:rsid w:val="00DB2C7C"/>
    <w:rsid w:val="00DB2C90"/>
    <w:rsid w:val="00DB2D00"/>
    <w:rsid w:val="00DB2D28"/>
    <w:rsid w:val="00DB2D73"/>
    <w:rsid w:val="00DB2D85"/>
    <w:rsid w:val="00DB2DEE"/>
    <w:rsid w:val="00DB2E02"/>
    <w:rsid w:val="00DB2ECA"/>
    <w:rsid w:val="00DB2EED"/>
    <w:rsid w:val="00DB2F1E"/>
    <w:rsid w:val="00DB2F85"/>
    <w:rsid w:val="00DB2F9A"/>
    <w:rsid w:val="00DB2FB1"/>
    <w:rsid w:val="00DB2FCF"/>
    <w:rsid w:val="00DB3093"/>
    <w:rsid w:val="00DB30D4"/>
    <w:rsid w:val="00DB3113"/>
    <w:rsid w:val="00DB3147"/>
    <w:rsid w:val="00DB3165"/>
    <w:rsid w:val="00DB317A"/>
    <w:rsid w:val="00DB31AC"/>
    <w:rsid w:val="00DB31B3"/>
    <w:rsid w:val="00DB31C8"/>
    <w:rsid w:val="00DB31E0"/>
    <w:rsid w:val="00DB323C"/>
    <w:rsid w:val="00DB3255"/>
    <w:rsid w:val="00DB328B"/>
    <w:rsid w:val="00DB32AE"/>
    <w:rsid w:val="00DB32F5"/>
    <w:rsid w:val="00DB335C"/>
    <w:rsid w:val="00DB33B3"/>
    <w:rsid w:val="00DB33B4"/>
    <w:rsid w:val="00DB33F0"/>
    <w:rsid w:val="00DB3459"/>
    <w:rsid w:val="00DB34D6"/>
    <w:rsid w:val="00DB351D"/>
    <w:rsid w:val="00DB3553"/>
    <w:rsid w:val="00DB3566"/>
    <w:rsid w:val="00DB35FF"/>
    <w:rsid w:val="00DB3605"/>
    <w:rsid w:val="00DB3609"/>
    <w:rsid w:val="00DB3619"/>
    <w:rsid w:val="00DB36BA"/>
    <w:rsid w:val="00DB36EE"/>
    <w:rsid w:val="00DB373D"/>
    <w:rsid w:val="00DB374E"/>
    <w:rsid w:val="00DB37EB"/>
    <w:rsid w:val="00DB3808"/>
    <w:rsid w:val="00DB384A"/>
    <w:rsid w:val="00DB3898"/>
    <w:rsid w:val="00DB38CD"/>
    <w:rsid w:val="00DB38E8"/>
    <w:rsid w:val="00DB3928"/>
    <w:rsid w:val="00DB392A"/>
    <w:rsid w:val="00DB393B"/>
    <w:rsid w:val="00DB3996"/>
    <w:rsid w:val="00DB39CE"/>
    <w:rsid w:val="00DB39DE"/>
    <w:rsid w:val="00DB3A55"/>
    <w:rsid w:val="00DB3A79"/>
    <w:rsid w:val="00DB3C6A"/>
    <w:rsid w:val="00DB3D1D"/>
    <w:rsid w:val="00DB3D5A"/>
    <w:rsid w:val="00DB3D7E"/>
    <w:rsid w:val="00DB3DF6"/>
    <w:rsid w:val="00DB3E03"/>
    <w:rsid w:val="00DB3E7F"/>
    <w:rsid w:val="00DB3E86"/>
    <w:rsid w:val="00DB3E92"/>
    <w:rsid w:val="00DB3EB3"/>
    <w:rsid w:val="00DB3EEA"/>
    <w:rsid w:val="00DB3FA0"/>
    <w:rsid w:val="00DB401F"/>
    <w:rsid w:val="00DB403C"/>
    <w:rsid w:val="00DB40A8"/>
    <w:rsid w:val="00DB414E"/>
    <w:rsid w:val="00DB4153"/>
    <w:rsid w:val="00DB4168"/>
    <w:rsid w:val="00DB41A5"/>
    <w:rsid w:val="00DB4260"/>
    <w:rsid w:val="00DB427A"/>
    <w:rsid w:val="00DB4364"/>
    <w:rsid w:val="00DB445B"/>
    <w:rsid w:val="00DB44CD"/>
    <w:rsid w:val="00DB44D7"/>
    <w:rsid w:val="00DB4610"/>
    <w:rsid w:val="00DB46B9"/>
    <w:rsid w:val="00DB46C3"/>
    <w:rsid w:val="00DB475A"/>
    <w:rsid w:val="00DB475D"/>
    <w:rsid w:val="00DB4828"/>
    <w:rsid w:val="00DB4885"/>
    <w:rsid w:val="00DB4AD4"/>
    <w:rsid w:val="00DB4B22"/>
    <w:rsid w:val="00DB4B3C"/>
    <w:rsid w:val="00DB4B7E"/>
    <w:rsid w:val="00DB4BDD"/>
    <w:rsid w:val="00DB4C2B"/>
    <w:rsid w:val="00DB4CEA"/>
    <w:rsid w:val="00DB4D53"/>
    <w:rsid w:val="00DB4D5E"/>
    <w:rsid w:val="00DB4D82"/>
    <w:rsid w:val="00DB4E1D"/>
    <w:rsid w:val="00DB4E7B"/>
    <w:rsid w:val="00DB4EED"/>
    <w:rsid w:val="00DB4F43"/>
    <w:rsid w:val="00DB4FE2"/>
    <w:rsid w:val="00DB500B"/>
    <w:rsid w:val="00DB502E"/>
    <w:rsid w:val="00DB5080"/>
    <w:rsid w:val="00DB5087"/>
    <w:rsid w:val="00DB5090"/>
    <w:rsid w:val="00DB50CB"/>
    <w:rsid w:val="00DB50DC"/>
    <w:rsid w:val="00DB5173"/>
    <w:rsid w:val="00DB5230"/>
    <w:rsid w:val="00DB52C0"/>
    <w:rsid w:val="00DB5361"/>
    <w:rsid w:val="00DB53A1"/>
    <w:rsid w:val="00DB53A3"/>
    <w:rsid w:val="00DB53BD"/>
    <w:rsid w:val="00DB53D9"/>
    <w:rsid w:val="00DB543F"/>
    <w:rsid w:val="00DB545C"/>
    <w:rsid w:val="00DB5465"/>
    <w:rsid w:val="00DB54D2"/>
    <w:rsid w:val="00DB551D"/>
    <w:rsid w:val="00DB5563"/>
    <w:rsid w:val="00DB5585"/>
    <w:rsid w:val="00DB55AB"/>
    <w:rsid w:val="00DB560F"/>
    <w:rsid w:val="00DB5657"/>
    <w:rsid w:val="00DB571C"/>
    <w:rsid w:val="00DB572D"/>
    <w:rsid w:val="00DB57EE"/>
    <w:rsid w:val="00DB5877"/>
    <w:rsid w:val="00DB58BF"/>
    <w:rsid w:val="00DB58CB"/>
    <w:rsid w:val="00DB58EE"/>
    <w:rsid w:val="00DB5967"/>
    <w:rsid w:val="00DB5975"/>
    <w:rsid w:val="00DB59D5"/>
    <w:rsid w:val="00DB59E9"/>
    <w:rsid w:val="00DB5A25"/>
    <w:rsid w:val="00DB5A26"/>
    <w:rsid w:val="00DB5ABC"/>
    <w:rsid w:val="00DB5AD3"/>
    <w:rsid w:val="00DB5BBD"/>
    <w:rsid w:val="00DB5C1F"/>
    <w:rsid w:val="00DB5C2F"/>
    <w:rsid w:val="00DB5C36"/>
    <w:rsid w:val="00DB5C9B"/>
    <w:rsid w:val="00DB5CA9"/>
    <w:rsid w:val="00DB5CB9"/>
    <w:rsid w:val="00DB5D82"/>
    <w:rsid w:val="00DB5DBE"/>
    <w:rsid w:val="00DB5E26"/>
    <w:rsid w:val="00DB5E64"/>
    <w:rsid w:val="00DB5EA3"/>
    <w:rsid w:val="00DB5FF0"/>
    <w:rsid w:val="00DB6066"/>
    <w:rsid w:val="00DB60D2"/>
    <w:rsid w:val="00DB610F"/>
    <w:rsid w:val="00DB611C"/>
    <w:rsid w:val="00DB62C4"/>
    <w:rsid w:val="00DB635D"/>
    <w:rsid w:val="00DB6399"/>
    <w:rsid w:val="00DB63D4"/>
    <w:rsid w:val="00DB646F"/>
    <w:rsid w:val="00DB64ED"/>
    <w:rsid w:val="00DB6528"/>
    <w:rsid w:val="00DB659E"/>
    <w:rsid w:val="00DB6656"/>
    <w:rsid w:val="00DB668E"/>
    <w:rsid w:val="00DB66A7"/>
    <w:rsid w:val="00DB66B0"/>
    <w:rsid w:val="00DB66B7"/>
    <w:rsid w:val="00DB66D7"/>
    <w:rsid w:val="00DB6710"/>
    <w:rsid w:val="00DB6716"/>
    <w:rsid w:val="00DB6765"/>
    <w:rsid w:val="00DB67E7"/>
    <w:rsid w:val="00DB6801"/>
    <w:rsid w:val="00DB683D"/>
    <w:rsid w:val="00DB69C7"/>
    <w:rsid w:val="00DB6AF7"/>
    <w:rsid w:val="00DB6B5D"/>
    <w:rsid w:val="00DB6C2B"/>
    <w:rsid w:val="00DB6C72"/>
    <w:rsid w:val="00DB6C79"/>
    <w:rsid w:val="00DB6CF0"/>
    <w:rsid w:val="00DB6CF2"/>
    <w:rsid w:val="00DB6CFF"/>
    <w:rsid w:val="00DB6DF5"/>
    <w:rsid w:val="00DB6E2A"/>
    <w:rsid w:val="00DB6F56"/>
    <w:rsid w:val="00DB6F9F"/>
    <w:rsid w:val="00DB6FBB"/>
    <w:rsid w:val="00DB7091"/>
    <w:rsid w:val="00DB710C"/>
    <w:rsid w:val="00DB716A"/>
    <w:rsid w:val="00DB718D"/>
    <w:rsid w:val="00DB71C3"/>
    <w:rsid w:val="00DB723C"/>
    <w:rsid w:val="00DB72EF"/>
    <w:rsid w:val="00DB7389"/>
    <w:rsid w:val="00DB738A"/>
    <w:rsid w:val="00DB73A1"/>
    <w:rsid w:val="00DB73C8"/>
    <w:rsid w:val="00DB7442"/>
    <w:rsid w:val="00DB744D"/>
    <w:rsid w:val="00DB749B"/>
    <w:rsid w:val="00DB74B4"/>
    <w:rsid w:val="00DB7503"/>
    <w:rsid w:val="00DB7517"/>
    <w:rsid w:val="00DB7541"/>
    <w:rsid w:val="00DB757F"/>
    <w:rsid w:val="00DB7613"/>
    <w:rsid w:val="00DB7691"/>
    <w:rsid w:val="00DB76E4"/>
    <w:rsid w:val="00DB7740"/>
    <w:rsid w:val="00DB7886"/>
    <w:rsid w:val="00DB78DB"/>
    <w:rsid w:val="00DB78EC"/>
    <w:rsid w:val="00DB79A4"/>
    <w:rsid w:val="00DB79EE"/>
    <w:rsid w:val="00DB79FF"/>
    <w:rsid w:val="00DB7B6E"/>
    <w:rsid w:val="00DB7B93"/>
    <w:rsid w:val="00DB7BD6"/>
    <w:rsid w:val="00DB7BEB"/>
    <w:rsid w:val="00DB7C03"/>
    <w:rsid w:val="00DB7C1D"/>
    <w:rsid w:val="00DB7C8F"/>
    <w:rsid w:val="00DB7CFA"/>
    <w:rsid w:val="00DB7CFB"/>
    <w:rsid w:val="00DB7D88"/>
    <w:rsid w:val="00DB7DB8"/>
    <w:rsid w:val="00DB7DD6"/>
    <w:rsid w:val="00DB7E63"/>
    <w:rsid w:val="00DB7F1E"/>
    <w:rsid w:val="00DB7FEE"/>
    <w:rsid w:val="00DC00A0"/>
    <w:rsid w:val="00DC00A4"/>
    <w:rsid w:val="00DC0106"/>
    <w:rsid w:val="00DC0150"/>
    <w:rsid w:val="00DC01CD"/>
    <w:rsid w:val="00DC01D2"/>
    <w:rsid w:val="00DC01F1"/>
    <w:rsid w:val="00DC027B"/>
    <w:rsid w:val="00DC0303"/>
    <w:rsid w:val="00DC0324"/>
    <w:rsid w:val="00DC0374"/>
    <w:rsid w:val="00DC037D"/>
    <w:rsid w:val="00DC03EE"/>
    <w:rsid w:val="00DC0540"/>
    <w:rsid w:val="00DC0553"/>
    <w:rsid w:val="00DC0582"/>
    <w:rsid w:val="00DC05D0"/>
    <w:rsid w:val="00DC0610"/>
    <w:rsid w:val="00DC065C"/>
    <w:rsid w:val="00DC06BD"/>
    <w:rsid w:val="00DC071B"/>
    <w:rsid w:val="00DC0763"/>
    <w:rsid w:val="00DC0791"/>
    <w:rsid w:val="00DC085C"/>
    <w:rsid w:val="00DC0880"/>
    <w:rsid w:val="00DC08E9"/>
    <w:rsid w:val="00DC0983"/>
    <w:rsid w:val="00DC09BF"/>
    <w:rsid w:val="00DC0ACD"/>
    <w:rsid w:val="00DC0CE3"/>
    <w:rsid w:val="00DC0CF3"/>
    <w:rsid w:val="00DC0D33"/>
    <w:rsid w:val="00DC0D65"/>
    <w:rsid w:val="00DC0DE9"/>
    <w:rsid w:val="00DC0E18"/>
    <w:rsid w:val="00DC0E66"/>
    <w:rsid w:val="00DC0E96"/>
    <w:rsid w:val="00DC0EB6"/>
    <w:rsid w:val="00DC0F04"/>
    <w:rsid w:val="00DC0F65"/>
    <w:rsid w:val="00DC0FEC"/>
    <w:rsid w:val="00DC1166"/>
    <w:rsid w:val="00DC11D4"/>
    <w:rsid w:val="00DC1227"/>
    <w:rsid w:val="00DC1238"/>
    <w:rsid w:val="00DC123F"/>
    <w:rsid w:val="00DC1250"/>
    <w:rsid w:val="00DC12CB"/>
    <w:rsid w:val="00DC12EC"/>
    <w:rsid w:val="00DC12F7"/>
    <w:rsid w:val="00DC1385"/>
    <w:rsid w:val="00DC1392"/>
    <w:rsid w:val="00DC13DD"/>
    <w:rsid w:val="00DC13E6"/>
    <w:rsid w:val="00DC141F"/>
    <w:rsid w:val="00DC142E"/>
    <w:rsid w:val="00DC1438"/>
    <w:rsid w:val="00DC1461"/>
    <w:rsid w:val="00DC14B2"/>
    <w:rsid w:val="00DC14DB"/>
    <w:rsid w:val="00DC14F4"/>
    <w:rsid w:val="00DC1518"/>
    <w:rsid w:val="00DC1575"/>
    <w:rsid w:val="00DC1582"/>
    <w:rsid w:val="00DC15DC"/>
    <w:rsid w:val="00DC16FF"/>
    <w:rsid w:val="00DC1744"/>
    <w:rsid w:val="00DC1768"/>
    <w:rsid w:val="00DC1770"/>
    <w:rsid w:val="00DC177A"/>
    <w:rsid w:val="00DC17E9"/>
    <w:rsid w:val="00DC17EB"/>
    <w:rsid w:val="00DC17FB"/>
    <w:rsid w:val="00DC17FC"/>
    <w:rsid w:val="00DC1801"/>
    <w:rsid w:val="00DC186E"/>
    <w:rsid w:val="00DC18A1"/>
    <w:rsid w:val="00DC18EC"/>
    <w:rsid w:val="00DC1A13"/>
    <w:rsid w:val="00DC1A21"/>
    <w:rsid w:val="00DC1A67"/>
    <w:rsid w:val="00DC1AB4"/>
    <w:rsid w:val="00DC1AC6"/>
    <w:rsid w:val="00DC1B50"/>
    <w:rsid w:val="00DC1B7D"/>
    <w:rsid w:val="00DC1BC5"/>
    <w:rsid w:val="00DC1BEB"/>
    <w:rsid w:val="00DC1C3D"/>
    <w:rsid w:val="00DC1CF5"/>
    <w:rsid w:val="00DC1D5A"/>
    <w:rsid w:val="00DC1D5C"/>
    <w:rsid w:val="00DC1DDB"/>
    <w:rsid w:val="00DC1DDE"/>
    <w:rsid w:val="00DC1ED9"/>
    <w:rsid w:val="00DC1F11"/>
    <w:rsid w:val="00DC1F3A"/>
    <w:rsid w:val="00DC1F43"/>
    <w:rsid w:val="00DC1F66"/>
    <w:rsid w:val="00DC1F94"/>
    <w:rsid w:val="00DC2002"/>
    <w:rsid w:val="00DC20F7"/>
    <w:rsid w:val="00DC213F"/>
    <w:rsid w:val="00DC2179"/>
    <w:rsid w:val="00DC21FD"/>
    <w:rsid w:val="00DC2230"/>
    <w:rsid w:val="00DC226E"/>
    <w:rsid w:val="00DC22B5"/>
    <w:rsid w:val="00DC22EC"/>
    <w:rsid w:val="00DC2334"/>
    <w:rsid w:val="00DC235F"/>
    <w:rsid w:val="00DC240C"/>
    <w:rsid w:val="00DC2419"/>
    <w:rsid w:val="00DC24C3"/>
    <w:rsid w:val="00DC24CC"/>
    <w:rsid w:val="00DC2551"/>
    <w:rsid w:val="00DC25E6"/>
    <w:rsid w:val="00DC261B"/>
    <w:rsid w:val="00DC266B"/>
    <w:rsid w:val="00DC26DF"/>
    <w:rsid w:val="00DC274E"/>
    <w:rsid w:val="00DC277F"/>
    <w:rsid w:val="00DC27CA"/>
    <w:rsid w:val="00DC27D5"/>
    <w:rsid w:val="00DC2855"/>
    <w:rsid w:val="00DC29D1"/>
    <w:rsid w:val="00DC29EA"/>
    <w:rsid w:val="00DC2A10"/>
    <w:rsid w:val="00DC2A89"/>
    <w:rsid w:val="00DC2A9D"/>
    <w:rsid w:val="00DC2ACF"/>
    <w:rsid w:val="00DC2B17"/>
    <w:rsid w:val="00DC2B36"/>
    <w:rsid w:val="00DC2C69"/>
    <w:rsid w:val="00DC2C80"/>
    <w:rsid w:val="00DC2CCE"/>
    <w:rsid w:val="00DC2CD0"/>
    <w:rsid w:val="00DC2DAF"/>
    <w:rsid w:val="00DC2DE3"/>
    <w:rsid w:val="00DC2E11"/>
    <w:rsid w:val="00DC2E8F"/>
    <w:rsid w:val="00DC2EF1"/>
    <w:rsid w:val="00DC2F57"/>
    <w:rsid w:val="00DC2F68"/>
    <w:rsid w:val="00DC2F8B"/>
    <w:rsid w:val="00DC2FAC"/>
    <w:rsid w:val="00DC3010"/>
    <w:rsid w:val="00DC3054"/>
    <w:rsid w:val="00DC3106"/>
    <w:rsid w:val="00DC3128"/>
    <w:rsid w:val="00DC315B"/>
    <w:rsid w:val="00DC31C0"/>
    <w:rsid w:val="00DC3237"/>
    <w:rsid w:val="00DC32B7"/>
    <w:rsid w:val="00DC33B5"/>
    <w:rsid w:val="00DC33FC"/>
    <w:rsid w:val="00DC3421"/>
    <w:rsid w:val="00DC352D"/>
    <w:rsid w:val="00DC3557"/>
    <w:rsid w:val="00DC35D2"/>
    <w:rsid w:val="00DC366C"/>
    <w:rsid w:val="00DC36F2"/>
    <w:rsid w:val="00DC3723"/>
    <w:rsid w:val="00DC3874"/>
    <w:rsid w:val="00DC392A"/>
    <w:rsid w:val="00DC392D"/>
    <w:rsid w:val="00DC3ADB"/>
    <w:rsid w:val="00DC3AFE"/>
    <w:rsid w:val="00DC3B05"/>
    <w:rsid w:val="00DC3B7B"/>
    <w:rsid w:val="00DC3C8A"/>
    <w:rsid w:val="00DC3CAE"/>
    <w:rsid w:val="00DC3D5C"/>
    <w:rsid w:val="00DC3DC2"/>
    <w:rsid w:val="00DC3E0E"/>
    <w:rsid w:val="00DC3E15"/>
    <w:rsid w:val="00DC3E20"/>
    <w:rsid w:val="00DC3E88"/>
    <w:rsid w:val="00DC3EDD"/>
    <w:rsid w:val="00DC3F01"/>
    <w:rsid w:val="00DC401D"/>
    <w:rsid w:val="00DC406C"/>
    <w:rsid w:val="00DC40F2"/>
    <w:rsid w:val="00DC4103"/>
    <w:rsid w:val="00DC4107"/>
    <w:rsid w:val="00DC4150"/>
    <w:rsid w:val="00DC4191"/>
    <w:rsid w:val="00DC41AD"/>
    <w:rsid w:val="00DC41E1"/>
    <w:rsid w:val="00DC4232"/>
    <w:rsid w:val="00DC4259"/>
    <w:rsid w:val="00DC435F"/>
    <w:rsid w:val="00DC4360"/>
    <w:rsid w:val="00DC43DC"/>
    <w:rsid w:val="00DC446B"/>
    <w:rsid w:val="00DC446C"/>
    <w:rsid w:val="00DC4487"/>
    <w:rsid w:val="00DC44DA"/>
    <w:rsid w:val="00DC4526"/>
    <w:rsid w:val="00DC454F"/>
    <w:rsid w:val="00DC4569"/>
    <w:rsid w:val="00DC4580"/>
    <w:rsid w:val="00DC468E"/>
    <w:rsid w:val="00DC46D5"/>
    <w:rsid w:val="00DC4735"/>
    <w:rsid w:val="00DC473B"/>
    <w:rsid w:val="00DC4757"/>
    <w:rsid w:val="00DC47A5"/>
    <w:rsid w:val="00DC47C7"/>
    <w:rsid w:val="00DC4801"/>
    <w:rsid w:val="00DC4831"/>
    <w:rsid w:val="00DC4871"/>
    <w:rsid w:val="00DC48BC"/>
    <w:rsid w:val="00DC4947"/>
    <w:rsid w:val="00DC494F"/>
    <w:rsid w:val="00DC49B7"/>
    <w:rsid w:val="00DC49D2"/>
    <w:rsid w:val="00DC4A0B"/>
    <w:rsid w:val="00DC4B81"/>
    <w:rsid w:val="00DC4BB5"/>
    <w:rsid w:val="00DC4C4D"/>
    <w:rsid w:val="00DC4C72"/>
    <w:rsid w:val="00DC4CAB"/>
    <w:rsid w:val="00DC4D28"/>
    <w:rsid w:val="00DC4D7E"/>
    <w:rsid w:val="00DC4DCA"/>
    <w:rsid w:val="00DC4E60"/>
    <w:rsid w:val="00DC4F14"/>
    <w:rsid w:val="00DC4F33"/>
    <w:rsid w:val="00DC4F7D"/>
    <w:rsid w:val="00DC4FF5"/>
    <w:rsid w:val="00DC5050"/>
    <w:rsid w:val="00DC50AF"/>
    <w:rsid w:val="00DC50F9"/>
    <w:rsid w:val="00DC5209"/>
    <w:rsid w:val="00DC5216"/>
    <w:rsid w:val="00DC5231"/>
    <w:rsid w:val="00DC5257"/>
    <w:rsid w:val="00DC5273"/>
    <w:rsid w:val="00DC5386"/>
    <w:rsid w:val="00DC5417"/>
    <w:rsid w:val="00DC5441"/>
    <w:rsid w:val="00DC5506"/>
    <w:rsid w:val="00DC55BE"/>
    <w:rsid w:val="00DC5680"/>
    <w:rsid w:val="00DC56BE"/>
    <w:rsid w:val="00DC56D8"/>
    <w:rsid w:val="00DC5775"/>
    <w:rsid w:val="00DC57CB"/>
    <w:rsid w:val="00DC58C3"/>
    <w:rsid w:val="00DC591C"/>
    <w:rsid w:val="00DC5947"/>
    <w:rsid w:val="00DC5990"/>
    <w:rsid w:val="00DC5A04"/>
    <w:rsid w:val="00DC5A16"/>
    <w:rsid w:val="00DC5B14"/>
    <w:rsid w:val="00DC5B26"/>
    <w:rsid w:val="00DC5C3D"/>
    <w:rsid w:val="00DC5C5E"/>
    <w:rsid w:val="00DC5CD5"/>
    <w:rsid w:val="00DC5DF9"/>
    <w:rsid w:val="00DC5E08"/>
    <w:rsid w:val="00DC5E3A"/>
    <w:rsid w:val="00DC5E7D"/>
    <w:rsid w:val="00DC5EA7"/>
    <w:rsid w:val="00DC5EAB"/>
    <w:rsid w:val="00DC5FD2"/>
    <w:rsid w:val="00DC5FFA"/>
    <w:rsid w:val="00DC6073"/>
    <w:rsid w:val="00DC60E4"/>
    <w:rsid w:val="00DC614D"/>
    <w:rsid w:val="00DC61C8"/>
    <w:rsid w:val="00DC61FB"/>
    <w:rsid w:val="00DC6324"/>
    <w:rsid w:val="00DC6353"/>
    <w:rsid w:val="00DC646E"/>
    <w:rsid w:val="00DC6482"/>
    <w:rsid w:val="00DC6505"/>
    <w:rsid w:val="00DC6588"/>
    <w:rsid w:val="00DC65D7"/>
    <w:rsid w:val="00DC65FE"/>
    <w:rsid w:val="00DC665A"/>
    <w:rsid w:val="00DC665D"/>
    <w:rsid w:val="00DC66A5"/>
    <w:rsid w:val="00DC67DE"/>
    <w:rsid w:val="00DC6989"/>
    <w:rsid w:val="00DC69D9"/>
    <w:rsid w:val="00DC6A0A"/>
    <w:rsid w:val="00DC6A48"/>
    <w:rsid w:val="00DC6A87"/>
    <w:rsid w:val="00DC6AE0"/>
    <w:rsid w:val="00DC6B1C"/>
    <w:rsid w:val="00DC6B2E"/>
    <w:rsid w:val="00DC6B4C"/>
    <w:rsid w:val="00DC6BA6"/>
    <w:rsid w:val="00DC6C5C"/>
    <w:rsid w:val="00DC6C9B"/>
    <w:rsid w:val="00DC6CF1"/>
    <w:rsid w:val="00DC6D2C"/>
    <w:rsid w:val="00DC6D44"/>
    <w:rsid w:val="00DC6D5C"/>
    <w:rsid w:val="00DC6E1D"/>
    <w:rsid w:val="00DC6EB0"/>
    <w:rsid w:val="00DC6ECB"/>
    <w:rsid w:val="00DC6FAF"/>
    <w:rsid w:val="00DC6FB6"/>
    <w:rsid w:val="00DC7011"/>
    <w:rsid w:val="00DC7046"/>
    <w:rsid w:val="00DC705B"/>
    <w:rsid w:val="00DC70D0"/>
    <w:rsid w:val="00DC7185"/>
    <w:rsid w:val="00DC71AB"/>
    <w:rsid w:val="00DC7208"/>
    <w:rsid w:val="00DC727D"/>
    <w:rsid w:val="00DC73E5"/>
    <w:rsid w:val="00DC7415"/>
    <w:rsid w:val="00DC741C"/>
    <w:rsid w:val="00DC74B9"/>
    <w:rsid w:val="00DC74E4"/>
    <w:rsid w:val="00DC757A"/>
    <w:rsid w:val="00DC763D"/>
    <w:rsid w:val="00DC76A9"/>
    <w:rsid w:val="00DC7749"/>
    <w:rsid w:val="00DC7799"/>
    <w:rsid w:val="00DC77CB"/>
    <w:rsid w:val="00DC7810"/>
    <w:rsid w:val="00DC784F"/>
    <w:rsid w:val="00DC785D"/>
    <w:rsid w:val="00DC788C"/>
    <w:rsid w:val="00DC789E"/>
    <w:rsid w:val="00DC78B0"/>
    <w:rsid w:val="00DC78D9"/>
    <w:rsid w:val="00DC7935"/>
    <w:rsid w:val="00DC7974"/>
    <w:rsid w:val="00DC79AE"/>
    <w:rsid w:val="00DC79B2"/>
    <w:rsid w:val="00DC7A6C"/>
    <w:rsid w:val="00DC7AD8"/>
    <w:rsid w:val="00DC7AFB"/>
    <w:rsid w:val="00DC7B6A"/>
    <w:rsid w:val="00DC7C74"/>
    <w:rsid w:val="00DC7CC8"/>
    <w:rsid w:val="00DC7D68"/>
    <w:rsid w:val="00DC7DBC"/>
    <w:rsid w:val="00DC7DD8"/>
    <w:rsid w:val="00DC7DF1"/>
    <w:rsid w:val="00DC7E3A"/>
    <w:rsid w:val="00DC7E7B"/>
    <w:rsid w:val="00DC7F18"/>
    <w:rsid w:val="00DC7F44"/>
    <w:rsid w:val="00DCA62B"/>
    <w:rsid w:val="00DD0000"/>
    <w:rsid w:val="00DD0094"/>
    <w:rsid w:val="00DD00A7"/>
    <w:rsid w:val="00DD00E0"/>
    <w:rsid w:val="00DD0166"/>
    <w:rsid w:val="00DD01F9"/>
    <w:rsid w:val="00DD0262"/>
    <w:rsid w:val="00DD02F6"/>
    <w:rsid w:val="00DD031C"/>
    <w:rsid w:val="00DD03CA"/>
    <w:rsid w:val="00DD03CC"/>
    <w:rsid w:val="00DD03E9"/>
    <w:rsid w:val="00DD0402"/>
    <w:rsid w:val="00DD04AF"/>
    <w:rsid w:val="00DD04B6"/>
    <w:rsid w:val="00DD04DE"/>
    <w:rsid w:val="00DD0576"/>
    <w:rsid w:val="00DD0580"/>
    <w:rsid w:val="00DD06FC"/>
    <w:rsid w:val="00DD0700"/>
    <w:rsid w:val="00DD072C"/>
    <w:rsid w:val="00DD079C"/>
    <w:rsid w:val="00DD0858"/>
    <w:rsid w:val="00DD0895"/>
    <w:rsid w:val="00DD08C1"/>
    <w:rsid w:val="00DD0903"/>
    <w:rsid w:val="00DD091C"/>
    <w:rsid w:val="00DD0921"/>
    <w:rsid w:val="00DD094A"/>
    <w:rsid w:val="00DD0969"/>
    <w:rsid w:val="00DD09A9"/>
    <w:rsid w:val="00DD0AEB"/>
    <w:rsid w:val="00DD0B34"/>
    <w:rsid w:val="00DD0B42"/>
    <w:rsid w:val="00DD0C09"/>
    <w:rsid w:val="00DD0C1A"/>
    <w:rsid w:val="00DD0C27"/>
    <w:rsid w:val="00DD0C47"/>
    <w:rsid w:val="00DD0C5C"/>
    <w:rsid w:val="00DD0CCF"/>
    <w:rsid w:val="00DD0CFC"/>
    <w:rsid w:val="00DD0DB8"/>
    <w:rsid w:val="00DD0E0C"/>
    <w:rsid w:val="00DD0E0D"/>
    <w:rsid w:val="00DD0E37"/>
    <w:rsid w:val="00DD0ECD"/>
    <w:rsid w:val="00DD0F1A"/>
    <w:rsid w:val="00DD0FC3"/>
    <w:rsid w:val="00DD1004"/>
    <w:rsid w:val="00DD10FA"/>
    <w:rsid w:val="00DD1173"/>
    <w:rsid w:val="00DD11B6"/>
    <w:rsid w:val="00DD11C2"/>
    <w:rsid w:val="00DD11D5"/>
    <w:rsid w:val="00DD121D"/>
    <w:rsid w:val="00DD1241"/>
    <w:rsid w:val="00DD1299"/>
    <w:rsid w:val="00DD129D"/>
    <w:rsid w:val="00DD12BF"/>
    <w:rsid w:val="00DD133D"/>
    <w:rsid w:val="00DD13B4"/>
    <w:rsid w:val="00DD1403"/>
    <w:rsid w:val="00DD1436"/>
    <w:rsid w:val="00DD14CF"/>
    <w:rsid w:val="00DD1576"/>
    <w:rsid w:val="00DD1589"/>
    <w:rsid w:val="00DD15E9"/>
    <w:rsid w:val="00DD1601"/>
    <w:rsid w:val="00DD160B"/>
    <w:rsid w:val="00DD1739"/>
    <w:rsid w:val="00DD17E6"/>
    <w:rsid w:val="00DD187D"/>
    <w:rsid w:val="00DD1893"/>
    <w:rsid w:val="00DD1991"/>
    <w:rsid w:val="00DD19E7"/>
    <w:rsid w:val="00DD1A5E"/>
    <w:rsid w:val="00DD1A8F"/>
    <w:rsid w:val="00DD1A9D"/>
    <w:rsid w:val="00DD1AD3"/>
    <w:rsid w:val="00DD1ADA"/>
    <w:rsid w:val="00DD1B01"/>
    <w:rsid w:val="00DD1B38"/>
    <w:rsid w:val="00DD1B87"/>
    <w:rsid w:val="00DD1BD6"/>
    <w:rsid w:val="00DD1C2C"/>
    <w:rsid w:val="00DD1CFE"/>
    <w:rsid w:val="00DD1D14"/>
    <w:rsid w:val="00DD1D35"/>
    <w:rsid w:val="00DD1DC5"/>
    <w:rsid w:val="00DD1E1D"/>
    <w:rsid w:val="00DD1E2D"/>
    <w:rsid w:val="00DD1E2F"/>
    <w:rsid w:val="00DD1ED9"/>
    <w:rsid w:val="00DD1F0A"/>
    <w:rsid w:val="00DD1F6E"/>
    <w:rsid w:val="00DD2038"/>
    <w:rsid w:val="00DD2049"/>
    <w:rsid w:val="00DD208C"/>
    <w:rsid w:val="00DD22FB"/>
    <w:rsid w:val="00DD2342"/>
    <w:rsid w:val="00DD23DC"/>
    <w:rsid w:val="00DD2419"/>
    <w:rsid w:val="00DD2486"/>
    <w:rsid w:val="00DD258D"/>
    <w:rsid w:val="00DD25C4"/>
    <w:rsid w:val="00DD25D9"/>
    <w:rsid w:val="00DD262A"/>
    <w:rsid w:val="00DD2697"/>
    <w:rsid w:val="00DD26E5"/>
    <w:rsid w:val="00DD274F"/>
    <w:rsid w:val="00DD27F0"/>
    <w:rsid w:val="00DD27FE"/>
    <w:rsid w:val="00DD2807"/>
    <w:rsid w:val="00DD292D"/>
    <w:rsid w:val="00DD2ABA"/>
    <w:rsid w:val="00DD2B44"/>
    <w:rsid w:val="00DD2B47"/>
    <w:rsid w:val="00DD2B7A"/>
    <w:rsid w:val="00DD2BDD"/>
    <w:rsid w:val="00DD2BE7"/>
    <w:rsid w:val="00DD2E49"/>
    <w:rsid w:val="00DD2E52"/>
    <w:rsid w:val="00DD2E5A"/>
    <w:rsid w:val="00DD2E72"/>
    <w:rsid w:val="00DD2EBD"/>
    <w:rsid w:val="00DD2EEF"/>
    <w:rsid w:val="00DD2F44"/>
    <w:rsid w:val="00DD3049"/>
    <w:rsid w:val="00DD30C2"/>
    <w:rsid w:val="00DD30F0"/>
    <w:rsid w:val="00DD3108"/>
    <w:rsid w:val="00DD316A"/>
    <w:rsid w:val="00DD31CD"/>
    <w:rsid w:val="00DD3223"/>
    <w:rsid w:val="00DD32B3"/>
    <w:rsid w:val="00DD32E9"/>
    <w:rsid w:val="00DD3338"/>
    <w:rsid w:val="00DD3353"/>
    <w:rsid w:val="00DD33A5"/>
    <w:rsid w:val="00DD344D"/>
    <w:rsid w:val="00DD3487"/>
    <w:rsid w:val="00DD34E5"/>
    <w:rsid w:val="00DD34FE"/>
    <w:rsid w:val="00DD362A"/>
    <w:rsid w:val="00DD3664"/>
    <w:rsid w:val="00DD36E4"/>
    <w:rsid w:val="00DD36FA"/>
    <w:rsid w:val="00DD382C"/>
    <w:rsid w:val="00DD3873"/>
    <w:rsid w:val="00DD3875"/>
    <w:rsid w:val="00DD3AA0"/>
    <w:rsid w:val="00DD3AB4"/>
    <w:rsid w:val="00DD3AC7"/>
    <w:rsid w:val="00DD3BBC"/>
    <w:rsid w:val="00DD3BDA"/>
    <w:rsid w:val="00DD3BFA"/>
    <w:rsid w:val="00DD3C05"/>
    <w:rsid w:val="00DD3C11"/>
    <w:rsid w:val="00DD3D5E"/>
    <w:rsid w:val="00DD3D67"/>
    <w:rsid w:val="00DD3DAC"/>
    <w:rsid w:val="00DD3E14"/>
    <w:rsid w:val="00DD3E3E"/>
    <w:rsid w:val="00DD3E8E"/>
    <w:rsid w:val="00DD3EA2"/>
    <w:rsid w:val="00DD3EDF"/>
    <w:rsid w:val="00DD3F19"/>
    <w:rsid w:val="00DD3F7D"/>
    <w:rsid w:val="00DD3FAF"/>
    <w:rsid w:val="00DD3FB5"/>
    <w:rsid w:val="00DD4023"/>
    <w:rsid w:val="00DD4188"/>
    <w:rsid w:val="00DD4196"/>
    <w:rsid w:val="00DD41B3"/>
    <w:rsid w:val="00DD41B5"/>
    <w:rsid w:val="00DD4258"/>
    <w:rsid w:val="00DD42B1"/>
    <w:rsid w:val="00DD42E1"/>
    <w:rsid w:val="00DD42E3"/>
    <w:rsid w:val="00DD431D"/>
    <w:rsid w:val="00DD431F"/>
    <w:rsid w:val="00DD4326"/>
    <w:rsid w:val="00DD4362"/>
    <w:rsid w:val="00DD4395"/>
    <w:rsid w:val="00DD43EC"/>
    <w:rsid w:val="00DD441D"/>
    <w:rsid w:val="00DD4436"/>
    <w:rsid w:val="00DD4467"/>
    <w:rsid w:val="00DD44B8"/>
    <w:rsid w:val="00DD4527"/>
    <w:rsid w:val="00DD4529"/>
    <w:rsid w:val="00DD45F5"/>
    <w:rsid w:val="00DD45FC"/>
    <w:rsid w:val="00DD4647"/>
    <w:rsid w:val="00DD4660"/>
    <w:rsid w:val="00DD46D4"/>
    <w:rsid w:val="00DD470B"/>
    <w:rsid w:val="00DD4749"/>
    <w:rsid w:val="00DD4767"/>
    <w:rsid w:val="00DD47AE"/>
    <w:rsid w:val="00DD4829"/>
    <w:rsid w:val="00DD4855"/>
    <w:rsid w:val="00DD4996"/>
    <w:rsid w:val="00DD49A5"/>
    <w:rsid w:val="00DD49FC"/>
    <w:rsid w:val="00DD4A7F"/>
    <w:rsid w:val="00DD4AA8"/>
    <w:rsid w:val="00DD4B41"/>
    <w:rsid w:val="00DD4B6F"/>
    <w:rsid w:val="00DD4BA5"/>
    <w:rsid w:val="00DD4BDE"/>
    <w:rsid w:val="00DD4C32"/>
    <w:rsid w:val="00DD4D09"/>
    <w:rsid w:val="00DD4D48"/>
    <w:rsid w:val="00DD4DD0"/>
    <w:rsid w:val="00DD4DD4"/>
    <w:rsid w:val="00DD4E31"/>
    <w:rsid w:val="00DD4EA8"/>
    <w:rsid w:val="00DD4EC3"/>
    <w:rsid w:val="00DD4F02"/>
    <w:rsid w:val="00DD4F34"/>
    <w:rsid w:val="00DD4F5E"/>
    <w:rsid w:val="00DD4F6D"/>
    <w:rsid w:val="00DD4F98"/>
    <w:rsid w:val="00DD4FE6"/>
    <w:rsid w:val="00DD4FEB"/>
    <w:rsid w:val="00DD5026"/>
    <w:rsid w:val="00DD50FB"/>
    <w:rsid w:val="00DD511C"/>
    <w:rsid w:val="00DD51E3"/>
    <w:rsid w:val="00DD5251"/>
    <w:rsid w:val="00DD52DD"/>
    <w:rsid w:val="00DD53A3"/>
    <w:rsid w:val="00DD5435"/>
    <w:rsid w:val="00DD54DD"/>
    <w:rsid w:val="00DD55CC"/>
    <w:rsid w:val="00DD5620"/>
    <w:rsid w:val="00DD5626"/>
    <w:rsid w:val="00DD5633"/>
    <w:rsid w:val="00DD564F"/>
    <w:rsid w:val="00DD565A"/>
    <w:rsid w:val="00DD5671"/>
    <w:rsid w:val="00DD569F"/>
    <w:rsid w:val="00DD56A3"/>
    <w:rsid w:val="00DD56F7"/>
    <w:rsid w:val="00DD56FA"/>
    <w:rsid w:val="00DD5748"/>
    <w:rsid w:val="00DD57F6"/>
    <w:rsid w:val="00DD5858"/>
    <w:rsid w:val="00DD585F"/>
    <w:rsid w:val="00DD589D"/>
    <w:rsid w:val="00DD58DA"/>
    <w:rsid w:val="00DD5910"/>
    <w:rsid w:val="00DD5997"/>
    <w:rsid w:val="00DD59A7"/>
    <w:rsid w:val="00DD5A01"/>
    <w:rsid w:val="00DD5A1C"/>
    <w:rsid w:val="00DD5B4F"/>
    <w:rsid w:val="00DD5C17"/>
    <w:rsid w:val="00DD5DA5"/>
    <w:rsid w:val="00DD5DA7"/>
    <w:rsid w:val="00DD5E63"/>
    <w:rsid w:val="00DD5E71"/>
    <w:rsid w:val="00DD5EDE"/>
    <w:rsid w:val="00DD5EEC"/>
    <w:rsid w:val="00DD5EF5"/>
    <w:rsid w:val="00DD5F6F"/>
    <w:rsid w:val="00DD5F73"/>
    <w:rsid w:val="00DD5FE1"/>
    <w:rsid w:val="00DD60A1"/>
    <w:rsid w:val="00DD60CD"/>
    <w:rsid w:val="00DD60FE"/>
    <w:rsid w:val="00DD6126"/>
    <w:rsid w:val="00DD6133"/>
    <w:rsid w:val="00DD6150"/>
    <w:rsid w:val="00DD61DE"/>
    <w:rsid w:val="00DD6256"/>
    <w:rsid w:val="00DD644D"/>
    <w:rsid w:val="00DD647D"/>
    <w:rsid w:val="00DD650A"/>
    <w:rsid w:val="00DD650E"/>
    <w:rsid w:val="00DD6591"/>
    <w:rsid w:val="00DD65E3"/>
    <w:rsid w:val="00DD6668"/>
    <w:rsid w:val="00DD678F"/>
    <w:rsid w:val="00DD6820"/>
    <w:rsid w:val="00DD68D0"/>
    <w:rsid w:val="00DD6907"/>
    <w:rsid w:val="00DD69D1"/>
    <w:rsid w:val="00DD6ACB"/>
    <w:rsid w:val="00DD6B2E"/>
    <w:rsid w:val="00DD6B31"/>
    <w:rsid w:val="00DD6BA4"/>
    <w:rsid w:val="00DD6BA5"/>
    <w:rsid w:val="00DD6C30"/>
    <w:rsid w:val="00DD6CC6"/>
    <w:rsid w:val="00DD6CE1"/>
    <w:rsid w:val="00DD6D2A"/>
    <w:rsid w:val="00DD6D48"/>
    <w:rsid w:val="00DD6D8E"/>
    <w:rsid w:val="00DD6DFB"/>
    <w:rsid w:val="00DD6E73"/>
    <w:rsid w:val="00DD6ECD"/>
    <w:rsid w:val="00DD6F4F"/>
    <w:rsid w:val="00DD7071"/>
    <w:rsid w:val="00DD707F"/>
    <w:rsid w:val="00DD70C3"/>
    <w:rsid w:val="00DD7106"/>
    <w:rsid w:val="00DD7119"/>
    <w:rsid w:val="00DD715A"/>
    <w:rsid w:val="00DD71B1"/>
    <w:rsid w:val="00DD71EE"/>
    <w:rsid w:val="00DD727A"/>
    <w:rsid w:val="00DD7290"/>
    <w:rsid w:val="00DD72FC"/>
    <w:rsid w:val="00DD73F9"/>
    <w:rsid w:val="00DD7441"/>
    <w:rsid w:val="00DD744D"/>
    <w:rsid w:val="00DD74C8"/>
    <w:rsid w:val="00DD75FA"/>
    <w:rsid w:val="00DD7639"/>
    <w:rsid w:val="00DD763F"/>
    <w:rsid w:val="00DD768C"/>
    <w:rsid w:val="00DD7695"/>
    <w:rsid w:val="00DD7715"/>
    <w:rsid w:val="00DD7738"/>
    <w:rsid w:val="00DD777B"/>
    <w:rsid w:val="00DD77DE"/>
    <w:rsid w:val="00DD78B3"/>
    <w:rsid w:val="00DD79B7"/>
    <w:rsid w:val="00DD79C1"/>
    <w:rsid w:val="00DD79DD"/>
    <w:rsid w:val="00DD79FC"/>
    <w:rsid w:val="00DD7A9A"/>
    <w:rsid w:val="00DD7AB7"/>
    <w:rsid w:val="00DD7ACF"/>
    <w:rsid w:val="00DD7B22"/>
    <w:rsid w:val="00DD7B46"/>
    <w:rsid w:val="00DD7B7F"/>
    <w:rsid w:val="00DD7BEB"/>
    <w:rsid w:val="00DD7C0F"/>
    <w:rsid w:val="00DD7C5C"/>
    <w:rsid w:val="00DD7C88"/>
    <w:rsid w:val="00DD7CC9"/>
    <w:rsid w:val="00DD7D37"/>
    <w:rsid w:val="00DD7D42"/>
    <w:rsid w:val="00DD7E0D"/>
    <w:rsid w:val="00DD7E3C"/>
    <w:rsid w:val="00DD7E4D"/>
    <w:rsid w:val="00DD7E63"/>
    <w:rsid w:val="00DD7E9C"/>
    <w:rsid w:val="00DD7ED8"/>
    <w:rsid w:val="00DD7F72"/>
    <w:rsid w:val="00DD7F75"/>
    <w:rsid w:val="00DD7F81"/>
    <w:rsid w:val="00DD7FD0"/>
    <w:rsid w:val="00DE0007"/>
    <w:rsid w:val="00DE009C"/>
    <w:rsid w:val="00DE00C2"/>
    <w:rsid w:val="00DE00DF"/>
    <w:rsid w:val="00DE0116"/>
    <w:rsid w:val="00DE01D2"/>
    <w:rsid w:val="00DE02A1"/>
    <w:rsid w:val="00DE031B"/>
    <w:rsid w:val="00DE035D"/>
    <w:rsid w:val="00DE036B"/>
    <w:rsid w:val="00DE036D"/>
    <w:rsid w:val="00DE038B"/>
    <w:rsid w:val="00DE043C"/>
    <w:rsid w:val="00DE046E"/>
    <w:rsid w:val="00DE0566"/>
    <w:rsid w:val="00DE059B"/>
    <w:rsid w:val="00DE059D"/>
    <w:rsid w:val="00DE0636"/>
    <w:rsid w:val="00DE0658"/>
    <w:rsid w:val="00DE067C"/>
    <w:rsid w:val="00DE06AE"/>
    <w:rsid w:val="00DE06DF"/>
    <w:rsid w:val="00DE06E1"/>
    <w:rsid w:val="00DE0770"/>
    <w:rsid w:val="00DE07C9"/>
    <w:rsid w:val="00DE0860"/>
    <w:rsid w:val="00DE087B"/>
    <w:rsid w:val="00DE088A"/>
    <w:rsid w:val="00DE08C3"/>
    <w:rsid w:val="00DE08FE"/>
    <w:rsid w:val="00DE0925"/>
    <w:rsid w:val="00DE095F"/>
    <w:rsid w:val="00DE0982"/>
    <w:rsid w:val="00DE0983"/>
    <w:rsid w:val="00DE09AC"/>
    <w:rsid w:val="00DE09CF"/>
    <w:rsid w:val="00DE09DA"/>
    <w:rsid w:val="00DE09F0"/>
    <w:rsid w:val="00DE0AD4"/>
    <w:rsid w:val="00DE0AE4"/>
    <w:rsid w:val="00DE0AEE"/>
    <w:rsid w:val="00DE0C60"/>
    <w:rsid w:val="00DE0C96"/>
    <w:rsid w:val="00DE0CB3"/>
    <w:rsid w:val="00DE0D08"/>
    <w:rsid w:val="00DE0D2B"/>
    <w:rsid w:val="00DE0E1F"/>
    <w:rsid w:val="00DE0EBB"/>
    <w:rsid w:val="00DE0F1B"/>
    <w:rsid w:val="00DE0F4B"/>
    <w:rsid w:val="00DE0F7F"/>
    <w:rsid w:val="00DE1097"/>
    <w:rsid w:val="00DE109D"/>
    <w:rsid w:val="00DE10B9"/>
    <w:rsid w:val="00DE10C0"/>
    <w:rsid w:val="00DE11A5"/>
    <w:rsid w:val="00DE11B4"/>
    <w:rsid w:val="00DE1321"/>
    <w:rsid w:val="00DE1344"/>
    <w:rsid w:val="00DE134F"/>
    <w:rsid w:val="00DE137F"/>
    <w:rsid w:val="00DE13A1"/>
    <w:rsid w:val="00DE13B7"/>
    <w:rsid w:val="00DE141D"/>
    <w:rsid w:val="00DE1469"/>
    <w:rsid w:val="00DE153A"/>
    <w:rsid w:val="00DE1616"/>
    <w:rsid w:val="00DE1636"/>
    <w:rsid w:val="00DE1670"/>
    <w:rsid w:val="00DE17B9"/>
    <w:rsid w:val="00DE17C8"/>
    <w:rsid w:val="00DE1828"/>
    <w:rsid w:val="00DE1831"/>
    <w:rsid w:val="00DE1848"/>
    <w:rsid w:val="00DE19F6"/>
    <w:rsid w:val="00DE1A06"/>
    <w:rsid w:val="00DE1A34"/>
    <w:rsid w:val="00DE1B49"/>
    <w:rsid w:val="00DE1B63"/>
    <w:rsid w:val="00DE1B71"/>
    <w:rsid w:val="00DE1B97"/>
    <w:rsid w:val="00DE1C06"/>
    <w:rsid w:val="00DE1D4C"/>
    <w:rsid w:val="00DE1DF2"/>
    <w:rsid w:val="00DE1E7D"/>
    <w:rsid w:val="00DE1F3C"/>
    <w:rsid w:val="00DE1FD3"/>
    <w:rsid w:val="00DE2019"/>
    <w:rsid w:val="00DE201D"/>
    <w:rsid w:val="00DE2041"/>
    <w:rsid w:val="00DE2051"/>
    <w:rsid w:val="00DE20F0"/>
    <w:rsid w:val="00DE20F1"/>
    <w:rsid w:val="00DE2131"/>
    <w:rsid w:val="00DE21C3"/>
    <w:rsid w:val="00DE2296"/>
    <w:rsid w:val="00DE2299"/>
    <w:rsid w:val="00DE22A0"/>
    <w:rsid w:val="00DE22E2"/>
    <w:rsid w:val="00DE22FB"/>
    <w:rsid w:val="00DE238C"/>
    <w:rsid w:val="00DE2415"/>
    <w:rsid w:val="00DE243A"/>
    <w:rsid w:val="00DE2498"/>
    <w:rsid w:val="00DE24B3"/>
    <w:rsid w:val="00DE24FA"/>
    <w:rsid w:val="00DE24FE"/>
    <w:rsid w:val="00DE2556"/>
    <w:rsid w:val="00DE256A"/>
    <w:rsid w:val="00DE25BD"/>
    <w:rsid w:val="00DE25CE"/>
    <w:rsid w:val="00DE25ED"/>
    <w:rsid w:val="00DE26BE"/>
    <w:rsid w:val="00DE26C0"/>
    <w:rsid w:val="00DE270E"/>
    <w:rsid w:val="00DE2762"/>
    <w:rsid w:val="00DE27A8"/>
    <w:rsid w:val="00DE27C2"/>
    <w:rsid w:val="00DE2861"/>
    <w:rsid w:val="00DE28C8"/>
    <w:rsid w:val="00DE28DF"/>
    <w:rsid w:val="00DE29AE"/>
    <w:rsid w:val="00DE29C9"/>
    <w:rsid w:val="00DE2A0C"/>
    <w:rsid w:val="00DE2A21"/>
    <w:rsid w:val="00DE2A6F"/>
    <w:rsid w:val="00DE2A8C"/>
    <w:rsid w:val="00DE2AD5"/>
    <w:rsid w:val="00DE2BF3"/>
    <w:rsid w:val="00DE2C19"/>
    <w:rsid w:val="00DE2C2A"/>
    <w:rsid w:val="00DE2C78"/>
    <w:rsid w:val="00DE2C8E"/>
    <w:rsid w:val="00DE2CE6"/>
    <w:rsid w:val="00DE2D7E"/>
    <w:rsid w:val="00DE2DF1"/>
    <w:rsid w:val="00DE2E2A"/>
    <w:rsid w:val="00DE2E5D"/>
    <w:rsid w:val="00DE2E9F"/>
    <w:rsid w:val="00DE2EBA"/>
    <w:rsid w:val="00DE2FC9"/>
    <w:rsid w:val="00DE3018"/>
    <w:rsid w:val="00DE3084"/>
    <w:rsid w:val="00DE30E9"/>
    <w:rsid w:val="00DE31B7"/>
    <w:rsid w:val="00DE3260"/>
    <w:rsid w:val="00DE3324"/>
    <w:rsid w:val="00DE3378"/>
    <w:rsid w:val="00DE33BD"/>
    <w:rsid w:val="00DE3561"/>
    <w:rsid w:val="00DE3577"/>
    <w:rsid w:val="00DE357A"/>
    <w:rsid w:val="00DE3620"/>
    <w:rsid w:val="00DE364A"/>
    <w:rsid w:val="00DE3656"/>
    <w:rsid w:val="00DE373B"/>
    <w:rsid w:val="00DE374C"/>
    <w:rsid w:val="00DE374E"/>
    <w:rsid w:val="00DE3788"/>
    <w:rsid w:val="00DE3815"/>
    <w:rsid w:val="00DE3890"/>
    <w:rsid w:val="00DE3B4B"/>
    <w:rsid w:val="00DE3B5F"/>
    <w:rsid w:val="00DE3C17"/>
    <w:rsid w:val="00DE3C40"/>
    <w:rsid w:val="00DE3C5E"/>
    <w:rsid w:val="00DE3D8E"/>
    <w:rsid w:val="00DE3D97"/>
    <w:rsid w:val="00DE3DCF"/>
    <w:rsid w:val="00DE3E2A"/>
    <w:rsid w:val="00DE3F4F"/>
    <w:rsid w:val="00DE3F58"/>
    <w:rsid w:val="00DE3F8F"/>
    <w:rsid w:val="00DE3FAB"/>
    <w:rsid w:val="00DE3FBC"/>
    <w:rsid w:val="00DE4029"/>
    <w:rsid w:val="00DE405A"/>
    <w:rsid w:val="00DE40E6"/>
    <w:rsid w:val="00DE4166"/>
    <w:rsid w:val="00DE416C"/>
    <w:rsid w:val="00DE41D0"/>
    <w:rsid w:val="00DE41E2"/>
    <w:rsid w:val="00DE41E3"/>
    <w:rsid w:val="00DE421A"/>
    <w:rsid w:val="00DE42BC"/>
    <w:rsid w:val="00DE42BF"/>
    <w:rsid w:val="00DE42C9"/>
    <w:rsid w:val="00DE42CE"/>
    <w:rsid w:val="00DE4304"/>
    <w:rsid w:val="00DE4343"/>
    <w:rsid w:val="00DE435F"/>
    <w:rsid w:val="00DE43F4"/>
    <w:rsid w:val="00DE441A"/>
    <w:rsid w:val="00DE44D2"/>
    <w:rsid w:val="00DE4532"/>
    <w:rsid w:val="00DE4569"/>
    <w:rsid w:val="00DE4576"/>
    <w:rsid w:val="00DE45C4"/>
    <w:rsid w:val="00DE4616"/>
    <w:rsid w:val="00DE4641"/>
    <w:rsid w:val="00DE4692"/>
    <w:rsid w:val="00DE4718"/>
    <w:rsid w:val="00DE4728"/>
    <w:rsid w:val="00DE47F3"/>
    <w:rsid w:val="00DE4896"/>
    <w:rsid w:val="00DE48D3"/>
    <w:rsid w:val="00DE4972"/>
    <w:rsid w:val="00DE49C8"/>
    <w:rsid w:val="00DE4AEB"/>
    <w:rsid w:val="00DE4B76"/>
    <w:rsid w:val="00DE4B8D"/>
    <w:rsid w:val="00DE4BBE"/>
    <w:rsid w:val="00DE4C19"/>
    <w:rsid w:val="00DE4DD7"/>
    <w:rsid w:val="00DE4E10"/>
    <w:rsid w:val="00DE4E2F"/>
    <w:rsid w:val="00DE4E3A"/>
    <w:rsid w:val="00DE4E54"/>
    <w:rsid w:val="00DE4ED3"/>
    <w:rsid w:val="00DE4F05"/>
    <w:rsid w:val="00DE4F4B"/>
    <w:rsid w:val="00DE4F58"/>
    <w:rsid w:val="00DE50AF"/>
    <w:rsid w:val="00DE5111"/>
    <w:rsid w:val="00DE5175"/>
    <w:rsid w:val="00DE51CA"/>
    <w:rsid w:val="00DE51FE"/>
    <w:rsid w:val="00DE5217"/>
    <w:rsid w:val="00DE52B9"/>
    <w:rsid w:val="00DE52D6"/>
    <w:rsid w:val="00DE534B"/>
    <w:rsid w:val="00DE5376"/>
    <w:rsid w:val="00DE54A9"/>
    <w:rsid w:val="00DE54DA"/>
    <w:rsid w:val="00DE5565"/>
    <w:rsid w:val="00DE5582"/>
    <w:rsid w:val="00DE55A3"/>
    <w:rsid w:val="00DE55D4"/>
    <w:rsid w:val="00DE55FE"/>
    <w:rsid w:val="00DE5620"/>
    <w:rsid w:val="00DE56E3"/>
    <w:rsid w:val="00DE56F8"/>
    <w:rsid w:val="00DE578A"/>
    <w:rsid w:val="00DE57EA"/>
    <w:rsid w:val="00DE58CE"/>
    <w:rsid w:val="00DE595B"/>
    <w:rsid w:val="00DE5986"/>
    <w:rsid w:val="00DE59F5"/>
    <w:rsid w:val="00DE5A2B"/>
    <w:rsid w:val="00DE5AFF"/>
    <w:rsid w:val="00DE5B1E"/>
    <w:rsid w:val="00DE5B21"/>
    <w:rsid w:val="00DE5B9F"/>
    <w:rsid w:val="00DE5BE5"/>
    <w:rsid w:val="00DE5C11"/>
    <w:rsid w:val="00DE5C24"/>
    <w:rsid w:val="00DE5C31"/>
    <w:rsid w:val="00DE5C33"/>
    <w:rsid w:val="00DE5C55"/>
    <w:rsid w:val="00DE5C5B"/>
    <w:rsid w:val="00DE5C96"/>
    <w:rsid w:val="00DE5CD1"/>
    <w:rsid w:val="00DE5D99"/>
    <w:rsid w:val="00DE5DCA"/>
    <w:rsid w:val="00DE5E06"/>
    <w:rsid w:val="00DE5E31"/>
    <w:rsid w:val="00DE5EA4"/>
    <w:rsid w:val="00DE5ED7"/>
    <w:rsid w:val="00DE5EE9"/>
    <w:rsid w:val="00DE5F6C"/>
    <w:rsid w:val="00DE5FC8"/>
    <w:rsid w:val="00DE605F"/>
    <w:rsid w:val="00DE612B"/>
    <w:rsid w:val="00DE61AA"/>
    <w:rsid w:val="00DE61C5"/>
    <w:rsid w:val="00DE61D3"/>
    <w:rsid w:val="00DE61FA"/>
    <w:rsid w:val="00DE6232"/>
    <w:rsid w:val="00DE62E3"/>
    <w:rsid w:val="00DE6312"/>
    <w:rsid w:val="00DE6331"/>
    <w:rsid w:val="00DE63B7"/>
    <w:rsid w:val="00DE6525"/>
    <w:rsid w:val="00DE6548"/>
    <w:rsid w:val="00DE6577"/>
    <w:rsid w:val="00DE65A3"/>
    <w:rsid w:val="00DE65F6"/>
    <w:rsid w:val="00DE66E7"/>
    <w:rsid w:val="00DE685C"/>
    <w:rsid w:val="00DE6940"/>
    <w:rsid w:val="00DE6A52"/>
    <w:rsid w:val="00DE6B52"/>
    <w:rsid w:val="00DE6B54"/>
    <w:rsid w:val="00DE6B7F"/>
    <w:rsid w:val="00DE6BD8"/>
    <w:rsid w:val="00DE6C3E"/>
    <w:rsid w:val="00DE6D39"/>
    <w:rsid w:val="00DE6D49"/>
    <w:rsid w:val="00DE6E01"/>
    <w:rsid w:val="00DE6E2E"/>
    <w:rsid w:val="00DE6E65"/>
    <w:rsid w:val="00DE6F1B"/>
    <w:rsid w:val="00DE6F1E"/>
    <w:rsid w:val="00DE6F27"/>
    <w:rsid w:val="00DE6F8E"/>
    <w:rsid w:val="00DE6F90"/>
    <w:rsid w:val="00DE6F91"/>
    <w:rsid w:val="00DE7013"/>
    <w:rsid w:val="00DE7044"/>
    <w:rsid w:val="00DE706B"/>
    <w:rsid w:val="00DE70F1"/>
    <w:rsid w:val="00DE71B1"/>
    <w:rsid w:val="00DE7223"/>
    <w:rsid w:val="00DE727A"/>
    <w:rsid w:val="00DE738B"/>
    <w:rsid w:val="00DE7433"/>
    <w:rsid w:val="00DE7638"/>
    <w:rsid w:val="00DE7642"/>
    <w:rsid w:val="00DE7655"/>
    <w:rsid w:val="00DE771F"/>
    <w:rsid w:val="00DE773A"/>
    <w:rsid w:val="00DE77CE"/>
    <w:rsid w:val="00DE77F6"/>
    <w:rsid w:val="00DE7973"/>
    <w:rsid w:val="00DE79E0"/>
    <w:rsid w:val="00DE7B3C"/>
    <w:rsid w:val="00DE7BF5"/>
    <w:rsid w:val="00DE7C61"/>
    <w:rsid w:val="00DE7D07"/>
    <w:rsid w:val="00DE7D0B"/>
    <w:rsid w:val="00DE7D18"/>
    <w:rsid w:val="00DE7DBF"/>
    <w:rsid w:val="00DE7E02"/>
    <w:rsid w:val="00DE7EB8"/>
    <w:rsid w:val="00DE7F48"/>
    <w:rsid w:val="00DF003F"/>
    <w:rsid w:val="00DF0064"/>
    <w:rsid w:val="00DF006B"/>
    <w:rsid w:val="00DF00A9"/>
    <w:rsid w:val="00DF00B3"/>
    <w:rsid w:val="00DF016B"/>
    <w:rsid w:val="00DF0250"/>
    <w:rsid w:val="00DF02AE"/>
    <w:rsid w:val="00DF02AF"/>
    <w:rsid w:val="00DF02C9"/>
    <w:rsid w:val="00DF02F8"/>
    <w:rsid w:val="00DF02FF"/>
    <w:rsid w:val="00DF033E"/>
    <w:rsid w:val="00DF043C"/>
    <w:rsid w:val="00DF0468"/>
    <w:rsid w:val="00DF04DB"/>
    <w:rsid w:val="00DF058B"/>
    <w:rsid w:val="00DF06F3"/>
    <w:rsid w:val="00DF070F"/>
    <w:rsid w:val="00DF071F"/>
    <w:rsid w:val="00DF076D"/>
    <w:rsid w:val="00DF07B9"/>
    <w:rsid w:val="00DF0828"/>
    <w:rsid w:val="00DF093D"/>
    <w:rsid w:val="00DF09CC"/>
    <w:rsid w:val="00DF0A2A"/>
    <w:rsid w:val="00DF0B5D"/>
    <w:rsid w:val="00DF0BAC"/>
    <w:rsid w:val="00DF0C08"/>
    <w:rsid w:val="00DF0C60"/>
    <w:rsid w:val="00DF0CCA"/>
    <w:rsid w:val="00DF0CEA"/>
    <w:rsid w:val="00DF0D13"/>
    <w:rsid w:val="00DF0D3C"/>
    <w:rsid w:val="00DF0E25"/>
    <w:rsid w:val="00DF0E3B"/>
    <w:rsid w:val="00DF0E99"/>
    <w:rsid w:val="00DF0EDF"/>
    <w:rsid w:val="00DF0F64"/>
    <w:rsid w:val="00DF10BC"/>
    <w:rsid w:val="00DF11B4"/>
    <w:rsid w:val="00DF1234"/>
    <w:rsid w:val="00DF12FF"/>
    <w:rsid w:val="00DF1371"/>
    <w:rsid w:val="00DF1383"/>
    <w:rsid w:val="00DF13A0"/>
    <w:rsid w:val="00DF13EE"/>
    <w:rsid w:val="00DF14DB"/>
    <w:rsid w:val="00DF1517"/>
    <w:rsid w:val="00DF1521"/>
    <w:rsid w:val="00DF152E"/>
    <w:rsid w:val="00DF1587"/>
    <w:rsid w:val="00DF158D"/>
    <w:rsid w:val="00DF15A8"/>
    <w:rsid w:val="00DF1622"/>
    <w:rsid w:val="00DF1721"/>
    <w:rsid w:val="00DF173D"/>
    <w:rsid w:val="00DF17DA"/>
    <w:rsid w:val="00DF181D"/>
    <w:rsid w:val="00DF18AD"/>
    <w:rsid w:val="00DF197F"/>
    <w:rsid w:val="00DF19DB"/>
    <w:rsid w:val="00DF1A3E"/>
    <w:rsid w:val="00DF1ACD"/>
    <w:rsid w:val="00DF1B12"/>
    <w:rsid w:val="00DF1D34"/>
    <w:rsid w:val="00DF1D54"/>
    <w:rsid w:val="00DF1D55"/>
    <w:rsid w:val="00DF1D83"/>
    <w:rsid w:val="00DF1DB5"/>
    <w:rsid w:val="00DF1DC1"/>
    <w:rsid w:val="00DF1DF0"/>
    <w:rsid w:val="00DF1E70"/>
    <w:rsid w:val="00DF1F6F"/>
    <w:rsid w:val="00DF201B"/>
    <w:rsid w:val="00DF202B"/>
    <w:rsid w:val="00DF2073"/>
    <w:rsid w:val="00DF20A0"/>
    <w:rsid w:val="00DF20AC"/>
    <w:rsid w:val="00DF20C6"/>
    <w:rsid w:val="00DF21A2"/>
    <w:rsid w:val="00DF2257"/>
    <w:rsid w:val="00DF2294"/>
    <w:rsid w:val="00DF2398"/>
    <w:rsid w:val="00DF2466"/>
    <w:rsid w:val="00DF248A"/>
    <w:rsid w:val="00DF24DD"/>
    <w:rsid w:val="00DF253C"/>
    <w:rsid w:val="00DF2618"/>
    <w:rsid w:val="00DF26FC"/>
    <w:rsid w:val="00DF2740"/>
    <w:rsid w:val="00DF2822"/>
    <w:rsid w:val="00DF2884"/>
    <w:rsid w:val="00DF2933"/>
    <w:rsid w:val="00DF2989"/>
    <w:rsid w:val="00DF29A7"/>
    <w:rsid w:val="00DF2A2C"/>
    <w:rsid w:val="00DF2AFD"/>
    <w:rsid w:val="00DF2B56"/>
    <w:rsid w:val="00DF2BF8"/>
    <w:rsid w:val="00DF2D43"/>
    <w:rsid w:val="00DF2D77"/>
    <w:rsid w:val="00DF2E56"/>
    <w:rsid w:val="00DF2E8A"/>
    <w:rsid w:val="00DF2F19"/>
    <w:rsid w:val="00DF2F66"/>
    <w:rsid w:val="00DF2FC8"/>
    <w:rsid w:val="00DF2FE4"/>
    <w:rsid w:val="00DF2FE8"/>
    <w:rsid w:val="00DF3015"/>
    <w:rsid w:val="00DF3020"/>
    <w:rsid w:val="00DF3025"/>
    <w:rsid w:val="00DF303B"/>
    <w:rsid w:val="00DF305D"/>
    <w:rsid w:val="00DF305E"/>
    <w:rsid w:val="00DF3171"/>
    <w:rsid w:val="00DF32A3"/>
    <w:rsid w:val="00DF32FC"/>
    <w:rsid w:val="00DF3340"/>
    <w:rsid w:val="00DF338B"/>
    <w:rsid w:val="00DF33AC"/>
    <w:rsid w:val="00DF346D"/>
    <w:rsid w:val="00DF3485"/>
    <w:rsid w:val="00DF34F9"/>
    <w:rsid w:val="00DF35D1"/>
    <w:rsid w:val="00DF369A"/>
    <w:rsid w:val="00DF36AD"/>
    <w:rsid w:val="00DF379A"/>
    <w:rsid w:val="00DF37C9"/>
    <w:rsid w:val="00DF3843"/>
    <w:rsid w:val="00DF38A3"/>
    <w:rsid w:val="00DF39A0"/>
    <w:rsid w:val="00DF39D3"/>
    <w:rsid w:val="00DF3A14"/>
    <w:rsid w:val="00DF3A18"/>
    <w:rsid w:val="00DF3A19"/>
    <w:rsid w:val="00DF3A9C"/>
    <w:rsid w:val="00DF3B0F"/>
    <w:rsid w:val="00DF3C00"/>
    <w:rsid w:val="00DF3C61"/>
    <w:rsid w:val="00DF3CAD"/>
    <w:rsid w:val="00DF3E23"/>
    <w:rsid w:val="00DF3EA4"/>
    <w:rsid w:val="00DF3F9E"/>
    <w:rsid w:val="00DF4002"/>
    <w:rsid w:val="00DF4063"/>
    <w:rsid w:val="00DF410E"/>
    <w:rsid w:val="00DF4134"/>
    <w:rsid w:val="00DF41A5"/>
    <w:rsid w:val="00DF41D6"/>
    <w:rsid w:val="00DF41D9"/>
    <w:rsid w:val="00DF4220"/>
    <w:rsid w:val="00DF425E"/>
    <w:rsid w:val="00DF4283"/>
    <w:rsid w:val="00DF42DF"/>
    <w:rsid w:val="00DF42FA"/>
    <w:rsid w:val="00DF43A1"/>
    <w:rsid w:val="00DF4486"/>
    <w:rsid w:val="00DF44DD"/>
    <w:rsid w:val="00DF4600"/>
    <w:rsid w:val="00DF4694"/>
    <w:rsid w:val="00DF46E9"/>
    <w:rsid w:val="00DF46F0"/>
    <w:rsid w:val="00DF47BE"/>
    <w:rsid w:val="00DF4930"/>
    <w:rsid w:val="00DF4A19"/>
    <w:rsid w:val="00DF4AEE"/>
    <w:rsid w:val="00DF4B3A"/>
    <w:rsid w:val="00DF4BD8"/>
    <w:rsid w:val="00DF4BFF"/>
    <w:rsid w:val="00DF4D0F"/>
    <w:rsid w:val="00DF4D78"/>
    <w:rsid w:val="00DF4D84"/>
    <w:rsid w:val="00DF4DD5"/>
    <w:rsid w:val="00DF4DD6"/>
    <w:rsid w:val="00DF4DE4"/>
    <w:rsid w:val="00DF4F21"/>
    <w:rsid w:val="00DF4F42"/>
    <w:rsid w:val="00DF4F4F"/>
    <w:rsid w:val="00DF4F97"/>
    <w:rsid w:val="00DF4FDB"/>
    <w:rsid w:val="00DF5061"/>
    <w:rsid w:val="00DF509D"/>
    <w:rsid w:val="00DF50DA"/>
    <w:rsid w:val="00DF5106"/>
    <w:rsid w:val="00DF5127"/>
    <w:rsid w:val="00DF5138"/>
    <w:rsid w:val="00DF5162"/>
    <w:rsid w:val="00DF516C"/>
    <w:rsid w:val="00DF5224"/>
    <w:rsid w:val="00DF526D"/>
    <w:rsid w:val="00DF5280"/>
    <w:rsid w:val="00DF529B"/>
    <w:rsid w:val="00DF52FF"/>
    <w:rsid w:val="00DF5336"/>
    <w:rsid w:val="00DF53BC"/>
    <w:rsid w:val="00DF55A6"/>
    <w:rsid w:val="00DF56BE"/>
    <w:rsid w:val="00DF5827"/>
    <w:rsid w:val="00DF584F"/>
    <w:rsid w:val="00DF585F"/>
    <w:rsid w:val="00DF58E3"/>
    <w:rsid w:val="00DF58F5"/>
    <w:rsid w:val="00DF5930"/>
    <w:rsid w:val="00DF594B"/>
    <w:rsid w:val="00DF5A06"/>
    <w:rsid w:val="00DF5A6A"/>
    <w:rsid w:val="00DF5A93"/>
    <w:rsid w:val="00DF5AE2"/>
    <w:rsid w:val="00DF5B1D"/>
    <w:rsid w:val="00DF5B3A"/>
    <w:rsid w:val="00DF5B4F"/>
    <w:rsid w:val="00DF5B60"/>
    <w:rsid w:val="00DF5CA2"/>
    <w:rsid w:val="00DF5D28"/>
    <w:rsid w:val="00DF5D39"/>
    <w:rsid w:val="00DF5DAC"/>
    <w:rsid w:val="00DF5DFB"/>
    <w:rsid w:val="00DF5E67"/>
    <w:rsid w:val="00DF5EB7"/>
    <w:rsid w:val="00DF5F08"/>
    <w:rsid w:val="00DF5F75"/>
    <w:rsid w:val="00DF5F93"/>
    <w:rsid w:val="00DF5FB4"/>
    <w:rsid w:val="00DF6069"/>
    <w:rsid w:val="00DF60A4"/>
    <w:rsid w:val="00DF60F4"/>
    <w:rsid w:val="00DF6168"/>
    <w:rsid w:val="00DF620B"/>
    <w:rsid w:val="00DF6238"/>
    <w:rsid w:val="00DF623F"/>
    <w:rsid w:val="00DF6253"/>
    <w:rsid w:val="00DF627B"/>
    <w:rsid w:val="00DF628C"/>
    <w:rsid w:val="00DF62F5"/>
    <w:rsid w:val="00DF6479"/>
    <w:rsid w:val="00DF6494"/>
    <w:rsid w:val="00DF64FA"/>
    <w:rsid w:val="00DF653B"/>
    <w:rsid w:val="00DF65B6"/>
    <w:rsid w:val="00DF66F6"/>
    <w:rsid w:val="00DF676E"/>
    <w:rsid w:val="00DF67C0"/>
    <w:rsid w:val="00DF67C3"/>
    <w:rsid w:val="00DF67FB"/>
    <w:rsid w:val="00DF6820"/>
    <w:rsid w:val="00DF68C8"/>
    <w:rsid w:val="00DF6922"/>
    <w:rsid w:val="00DF693C"/>
    <w:rsid w:val="00DF6978"/>
    <w:rsid w:val="00DF6A2D"/>
    <w:rsid w:val="00DF6A5D"/>
    <w:rsid w:val="00DF6AFC"/>
    <w:rsid w:val="00DF6B70"/>
    <w:rsid w:val="00DF6C16"/>
    <w:rsid w:val="00DF6C54"/>
    <w:rsid w:val="00DF6CAB"/>
    <w:rsid w:val="00DF6D02"/>
    <w:rsid w:val="00DF6D68"/>
    <w:rsid w:val="00DF6E23"/>
    <w:rsid w:val="00DF6E34"/>
    <w:rsid w:val="00DF6EAD"/>
    <w:rsid w:val="00DF6EBC"/>
    <w:rsid w:val="00DF6F03"/>
    <w:rsid w:val="00DF6F33"/>
    <w:rsid w:val="00DF701C"/>
    <w:rsid w:val="00DF707F"/>
    <w:rsid w:val="00DF709B"/>
    <w:rsid w:val="00DF711C"/>
    <w:rsid w:val="00DF7148"/>
    <w:rsid w:val="00DF717A"/>
    <w:rsid w:val="00DF71E8"/>
    <w:rsid w:val="00DF7235"/>
    <w:rsid w:val="00DF7258"/>
    <w:rsid w:val="00DF73AC"/>
    <w:rsid w:val="00DF73DF"/>
    <w:rsid w:val="00DF73E4"/>
    <w:rsid w:val="00DF7486"/>
    <w:rsid w:val="00DF7552"/>
    <w:rsid w:val="00DF7560"/>
    <w:rsid w:val="00DF766C"/>
    <w:rsid w:val="00DF76E3"/>
    <w:rsid w:val="00DF775F"/>
    <w:rsid w:val="00DF77BB"/>
    <w:rsid w:val="00DF77E9"/>
    <w:rsid w:val="00DF77FB"/>
    <w:rsid w:val="00DF7836"/>
    <w:rsid w:val="00DF7861"/>
    <w:rsid w:val="00DF787B"/>
    <w:rsid w:val="00DF78AD"/>
    <w:rsid w:val="00DF78CD"/>
    <w:rsid w:val="00DF79BC"/>
    <w:rsid w:val="00DF79D3"/>
    <w:rsid w:val="00DF7A1D"/>
    <w:rsid w:val="00DF7A70"/>
    <w:rsid w:val="00DF7B04"/>
    <w:rsid w:val="00DF7B16"/>
    <w:rsid w:val="00DF7BCF"/>
    <w:rsid w:val="00DF7BD7"/>
    <w:rsid w:val="00DF7BE0"/>
    <w:rsid w:val="00DF7CB8"/>
    <w:rsid w:val="00DF7CBD"/>
    <w:rsid w:val="00DF7CC2"/>
    <w:rsid w:val="00DF7CEB"/>
    <w:rsid w:val="00DF7DB2"/>
    <w:rsid w:val="00DF7E8C"/>
    <w:rsid w:val="00DF7ECC"/>
    <w:rsid w:val="00DF7F8A"/>
    <w:rsid w:val="00DF7FB5"/>
    <w:rsid w:val="00DF7FC6"/>
    <w:rsid w:val="00E00014"/>
    <w:rsid w:val="00E00042"/>
    <w:rsid w:val="00E0005D"/>
    <w:rsid w:val="00E0009E"/>
    <w:rsid w:val="00E00172"/>
    <w:rsid w:val="00E00206"/>
    <w:rsid w:val="00E00372"/>
    <w:rsid w:val="00E003A6"/>
    <w:rsid w:val="00E00417"/>
    <w:rsid w:val="00E00485"/>
    <w:rsid w:val="00E0048C"/>
    <w:rsid w:val="00E00508"/>
    <w:rsid w:val="00E00529"/>
    <w:rsid w:val="00E00534"/>
    <w:rsid w:val="00E00556"/>
    <w:rsid w:val="00E00560"/>
    <w:rsid w:val="00E005E9"/>
    <w:rsid w:val="00E005FD"/>
    <w:rsid w:val="00E008BF"/>
    <w:rsid w:val="00E008C3"/>
    <w:rsid w:val="00E009ED"/>
    <w:rsid w:val="00E00A7A"/>
    <w:rsid w:val="00E00AF0"/>
    <w:rsid w:val="00E00B42"/>
    <w:rsid w:val="00E00BD3"/>
    <w:rsid w:val="00E00BF4"/>
    <w:rsid w:val="00E00C5B"/>
    <w:rsid w:val="00E00C9B"/>
    <w:rsid w:val="00E00D16"/>
    <w:rsid w:val="00E00D26"/>
    <w:rsid w:val="00E00DB4"/>
    <w:rsid w:val="00E00E3E"/>
    <w:rsid w:val="00E00E4E"/>
    <w:rsid w:val="00E00F08"/>
    <w:rsid w:val="00E00F60"/>
    <w:rsid w:val="00E00F76"/>
    <w:rsid w:val="00E00F7F"/>
    <w:rsid w:val="00E01040"/>
    <w:rsid w:val="00E01071"/>
    <w:rsid w:val="00E01145"/>
    <w:rsid w:val="00E011A4"/>
    <w:rsid w:val="00E011CF"/>
    <w:rsid w:val="00E011EE"/>
    <w:rsid w:val="00E0122A"/>
    <w:rsid w:val="00E01284"/>
    <w:rsid w:val="00E0145D"/>
    <w:rsid w:val="00E014F3"/>
    <w:rsid w:val="00E01694"/>
    <w:rsid w:val="00E016F5"/>
    <w:rsid w:val="00E01753"/>
    <w:rsid w:val="00E01757"/>
    <w:rsid w:val="00E0176E"/>
    <w:rsid w:val="00E017FA"/>
    <w:rsid w:val="00E01805"/>
    <w:rsid w:val="00E01813"/>
    <w:rsid w:val="00E01920"/>
    <w:rsid w:val="00E0198E"/>
    <w:rsid w:val="00E019A3"/>
    <w:rsid w:val="00E019D0"/>
    <w:rsid w:val="00E01A41"/>
    <w:rsid w:val="00E01A61"/>
    <w:rsid w:val="00E01A7A"/>
    <w:rsid w:val="00E01A98"/>
    <w:rsid w:val="00E01AB4"/>
    <w:rsid w:val="00E01B7F"/>
    <w:rsid w:val="00E01BBF"/>
    <w:rsid w:val="00E01BC4"/>
    <w:rsid w:val="00E01BEA"/>
    <w:rsid w:val="00E01C5A"/>
    <w:rsid w:val="00E01CBF"/>
    <w:rsid w:val="00E01D75"/>
    <w:rsid w:val="00E01EF9"/>
    <w:rsid w:val="00E01F80"/>
    <w:rsid w:val="00E01FC3"/>
    <w:rsid w:val="00E01FD5"/>
    <w:rsid w:val="00E01FE4"/>
    <w:rsid w:val="00E02072"/>
    <w:rsid w:val="00E020C7"/>
    <w:rsid w:val="00E020E4"/>
    <w:rsid w:val="00E020F6"/>
    <w:rsid w:val="00E02192"/>
    <w:rsid w:val="00E021BF"/>
    <w:rsid w:val="00E02207"/>
    <w:rsid w:val="00E022DB"/>
    <w:rsid w:val="00E02310"/>
    <w:rsid w:val="00E02311"/>
    <w:rsid w:val="00E02443"/>
    <w:rsid w:val="00E02455"/>
    <w:rsid w:val="00E02524"/>
    <w:rsid w:val="00E02549"/>
    <w:rsid w:val="00E02553"/>
    <w:rsid w:val="00E0256A"/>
    <w:rsid w:val="00E025D5"/>
    <w:rsid w:val="00E0263B"/>
    <w:rsid w:val="00E02641"/>
    <w:rsid w:val="00E02662"/>
    <w:rsid w:val="00E0266E"/>
    <w:rsid w:val="00E02671"/>
    <w:rsid w:val="00E026D2"/>
    <w:rsid w:val="00E02797"/>
    <w:rsid w:val="00E027B3"/>
    <w:rsid w:val="00E027FF"/>
    <w:rsid w:val="00E0280A"/>
    <w:rsid w:val="00E0281B"/>
    <w:rsid w:val="00E02853"/>
    <w:rsid w:val="00E02871"/>
    <w:rsid w:val="00E028BE"/>
    <w:rsid w:val="00E029DB"/>
    <w:rsid w:val="00E02A49"/>
    <w:rsid w:val="00E02A61"/>
    <w:rsid w:val="00E02A7A"/>
    <w:rsid w:val="00E02AA3"/>
    <w:rsid w:val="00E02B61"/>
    <w:rsid w:val="00E02B6C"/>
    <w:rsid w:val="00E02B76"/>
    <w:rsid w:val="00E02BA5"/>
    <w:rsid w:val="00E02BC8"/>
    <w:rsid w:val="00E02BE0"/>
    <w:rsid w:val="00E02BE5"/>
    <w:rsid w:val="00E02C38"/>
    <w:rsid w:val="00E02C55"/>
    <w:rsid w:val="00E02C64"/>
    <w:rsid w:val="00E02D25"/>
    <w:rsid w:val="00E02D7C"/>
    <w:rsid w:val="00E02DD6"/>
    <w:rsid w:val="00E02E99"/>
    <w:rsid w:val="00E02F8F"/>
    <w:rsid w:val="00E02FB0"/>
    <w:rsid w:val="00E0303C"/>
    <w:rsid w:val="00E0303F"/>
    <w:rsid w:val="00E03097"/>
    <w:rsid w:val="00E0315E"/>
    <w:rsid w:val="00E03184"/>
    <w:rsid w:val="00E031CB"/>
    <w:rsid w:val="00E031D3"/>
    <w:rsid w:val="00E031E0"/>
    <w:rsid w:val="00E03248"/>
    <w:rsid w:val="00E0328C"/>
    <w:rsid w:val="00E0335C"/>
    <w:rsid w:val="00E033C2"/>
    <w:rsid w:val="00E033F0"/>
    <w:rsid w:val="00E0349A"/>
    <w:rsid w:val="00E034D4"/>
    <w:rsid w:val="00E034F0"/>
    <w:rsid w:val="00E03507"/>
    <w:rsid w:val="00E03527"/>
    <w:rsid w:val="00E0354F"/>
    <w:rsid w:val="00E035F5"/>
    <w:rsid w:val="00E035FE"/>
    <w:rsid w:val="00E03758"/>
    <w:rsid w:val="00E037AB"/>
    <w:rsid w:val="00E037E4"/>
    <w:rsid w:val="00E0381D"/>
    <w:rsid w:val="00E0382F"/>
    <w:rsid w:val="00E03887"/>
    <w:rsid w:val="00E0388A"/>
    <w:rsid w:val="00E03928"/>
    <w:rsid w:val="00E0393C"/>
    <w:rsid w:val="00E03986"/>
    <w:rsid w:val="00E039CC"/>
    <w:rsid w:val="00E03AB4"/>
    <w:rsid w:val="00E03B93"/>
    <w:rsid w:val="00E03B9E"/>
    <w:rsid w:val="00E03BA6"/>
    <w:rsid w:val="00E03BEF"/>
    <w:rsid w:val="00E03C07"/>
    <w:rsid w:val="00E03C46"/>
    <w:rsid w:val="00E03C59"/>
    <w:rsid w:val="00E03C5C"/>
    <w:rsid w:val="00E03D15"/>
    <w:rsid w:val="00E03EC4"/>
    <w:rsid w:val="00E03FB5"/>
    <w:rsid w:val="00E03FDB"/>
    <w:rsid w:val="00E04038"/>
    <w:rsid w:val="00E04048"/>
    <w:rsid w:val="00E04053"/>
    <w:rsid w:val="00E0408F"/>
    <w:rsid w:val="00E0409B"/>
    <w:rsid w:val="00E04132"/>
    <w:rsid w:val="00E0414C"/>
    <w:rsid w:val="00E0419B"/>
    <w:rsid w:val="00E0427C"/>
    <w:rsid w:val="00E04315"/>
    <w:rsid w:val="00E0439F"/>
    <w:rsid w:val="00E043F2"/>
    <w:rsid w:val="00E04424"/>
    <w:rsid w:val="00E04471"/>
    <w:rsid w:val="00E044E7"/>
    <w:rsid w:val="00E0462E"/>
    <w:rsid w:val="00E046AF"/>
    <w:rsid w:val="00E046E6"/>
    <w:rsid w:val="00E04776"/>
    <w:rsid w:val="00E04793"/>
    <w:rsid w:val="00E04822"/>
    <w:rsid w:val="00E0483E"/>
    <w:rsid w:val="00E048D3"/>
    <w:rsid w:val="00E048EC"/>
    <w:rsid w:val="00E04904"/>
    <w:rsid w:val="00E0499C"/>
    <w:rsid w:val="00E04A43"/>
    <w:rsid w:val="00E04AAA"/>
    <w:rsid w:val="00E04AB2"/>
    <w:rsid w:val="00E04AE4"/>
    <w:rsid w:val="00E04B0D"/>
    <w:rsid w:val="00E04B3E"/>
    <w:rsid w:val="00E04C32"/>
    <w:rsid w:val="00E04D2A"/>
    <w:rsid w:val="00E04D80"/>
    <w:rsid w:val="00E04D9D"/>
    <w:rsid w:val="00E04DCF"/>
    <w:rsid w:val="00E0508B"/>
    <w:rsid w:val="00E050B3"/>
    <w:rsid w:val="00E050B7"/>
    <w:rsid w:val="00E050F1"/>
    <w:rsid w:val="00E0511C"/>
    <w:rsid w:val="00E05127"/>
    <w:rsid w:val="00E051F3"/>
    <w:rsid w:val="00E052A1"/>
    <w:rsid w:val="00E052B1"/>
    <w:rsid w:val="00E05360"/>
    <w:rsid w:val="00E0538F"/>
    <w:rsid w:val="00E053BA"/>
    <w:rsid w:val="00E053C8"/>
    <w:rsid w:val="00E05462"/>
    <w:rsid w:val="00E0546F"/>
    <w:rsid w:val="00E05549"/>
    <w:rsid w:val="00E05567"/>
    <w:rsid w:val="00E05578"/>
    <w:rsid w:val="00E0561D"/>
    <w:rsid w:val="00E05641"/>
    <w:rsid w:val="00E056B1"/>
    <w:rsid w:val="00E0574C"/>
    <w:rsid w:val="00E05793"/>
    <w:rsid w:val="00E0579F"/>
    <w:rsid w:val="00E057A4"/>
    <w:rsid w:val="00E057B6"/>
    <w:rsid w:val="00E05877"/>
    <w:rsid w:val="00E058A0"/>
    <w:rsid w:val="00E058A4"/>
    <w:rsid w:val="00E058F6"/>
    <w:rsid w:val="00E0598E"/>
    <w:rsid w:val="00E059FD"/>
    <w:rsid w:val="00E05A79"/>
    <w:rsid w:val="00E05A91"/>
    <w:rsid w:val="00E05ABC"/>
    <w:rsid w:val="00E05B3A"/>
    <w:rsid w:val="00E05BA3"/>
    <w:rsid w:val="00E05BFB"/>
    <w:rsid w:val="00E05C41"/>
    <w:rsid w:val="00E05C58"/>
    <w:rsid w:val="00E05CB5"/>
    <w:rsid w:val="00E05D2F"/>
    <w:rsid w:val="00E05D4A"/>
    <w:rsid w:val="00E05DA1"/>
    <w:rsid w:val="00E05E9F"/>
    <w:rsid w:val="00E05F6F"/>
    <w:rsid w:val="00E05FD3"/>
    <w:rsid w:val="00E06051"/>
    <w:rsid w:val="00E0608C"/>
    <w:rsid w:val="00E06094"/>
    <w:rsid w:val="00E06099"/>
    <w:rsid w:val="00E060DD"/>
    <w:rsid w:val="00E060E4"/>
    <w:rsid w:val="00E06113"/>
    <w:rsid w:val="00E06175"/>
    <w:rsid w:val="00E06204"/>
    <w:rsid w:val="00E0631E"/>
    <w:rsid w:val="00E0632B"/>
    <w:rsid w:val="00E06355"/>
    <w:rsid w:val="00E06391"/>
    <w:rsid w:val="00E063E6"/>
    <w:rsid w:val="00E063EE"/>
    <w:rsid w:val="00E06451"/>
    <w:rsid w:val="00E06489"/>
    <w:rsid w:val="00E0648A"/>
    <w:rsid w:val="00E06513"/>
    <w:rsid w:val="00E0652C"/>
    <w:rsid w:val="00E065A0"/>
    <w:rsid w:val="00E06626"/>
    <w:rsid w:val="00E0668D"/>
    <w:rsid w:val="00E066C7"/>
    <w:rsid w:val="00E066DF"/>
    <w:rsid w:val="00E06817"/>
    <w:rsid w:val="00E0681F"/>
    <w:rsid w:val="00E06825"/>
    <w:rsid w:val="00E06878"/>
    <w:rsid w:val="00E06979"/>
    <w:rsid w:val="00E069AF"/>
    <w:rsid w:val="00E069E1"/>
    <w:rsid w:val="00E06A0D"/>
    <w:rsid w:val="00E06B65"/>
    <w:rsid w:val="00E06B8D"/>
    <w:rsid w:val="00E06C1C"/>
    <w:rsid w:val="00E06C6C"/>
    <w:rsid w:val="00E06CD2"/>
    <w:rsid w:val="00E06D00"/>
    <w:rsid w:val="00E06D06"/>
    <w:rsid w:val="00E06D54"/>
    <w:rsid w:val="00E06D7B"/>
    <w:rsid w:val="00E06E12"/>
    <w:rsid w:val="00E06E50"/>
    <w:rsid w:val="00E06FB7"/>
    <w:rsid w:val="00E06FE8"/>
    <w:rsid w:val="00E07001"/>
    <w:rsid w:val="00E07091"/>
    <w:rsid w:val="00E070D8"/>
    <w:rsid w:val="00E07137"/>
    <w:rsid w:val="00E0716A"/>
    <w:rsid w:val="00E071DD"/>
    <w:rsid w:val="00E072A7"/>
    <w:rsid w:val="00E0732E"/>
    <w:rsid w:val="00E0736E"/>
    <w:rsid w:val="00E073BB"/>
    <w:rsid w:val="00E07441"/>
    <w:rsid w:val="00E07554"/>
    <w:rsid w:val="00E07581"/>
    <w:rsid w:val="00E075AA"/>
    <w:rsid w:val="00E075CC"/>
    <w:rsid w:val="00E07694"/>
    <w:rsid w:val="00E076DC"/>
    <w:rsid w:val="00E076EC"/>
    <w:rsid w:val="00E077CA"/>
    <w:rsid w:val="00E07805"/>
    <w:rsid w:val="00E078C7"/>
    <w:rsid w:val="00E078EB"/>
    <w:rsid w:val="00E0795A"/>
    <w:rsid w:val="00E07961"/>
    <w:rsid w:val="00E079A5"/>
    <w:rsid w:val="00E079F5"/>
    <w:rsid w:val="00E07BC5"/>
    <w:rsid w:val="00E07C54"/>
    <w:rsid w:val="00E07CAC"/>
    <w:rsid w:val="00E07CBD"/>
    <w:rsid w:val="00E07CC0"/>
    <w:rsid w:val="00E07CEA"/>
    <w:rsid w:val="00E07E35"/>
    <w:rsid w:val="00E07E67"/>
    <w:rsid w:val="00E07E96"/>
    <w:rsid w:val="00E07EE8"/>
    <w:rsid w:val="00E07F3D"/>
    <w:rsid w:val="00E07F80"/>
    <w:rsid w:val="00E10002"/>
    <w:rsid w:val="00E10028"/>
    <w:rsid w:val="00E1004D"/>
    <w:rsid w:val="00E100C9"/>
    <w:rsid w:val="00E10131"/>
    <w:rsid w:val="00E10179"/>
    <w:rsid w:val="00E10198"/>
    <w:rsid w:val="00E101DD"/>
    <w:rsid w:val="00E102C0"/>
    <w:rsid w:val="00E102E7"/>
    <w:rsid w:val="00E102F9"/>
    <w:rsid w:val="00E10370"/>
    <w:rsid w:val="00E10410"/>
    <w:rsid w:val="00E10464"/>
    <w:rsid w:val="00E104CA"/>
    <w:rsid w:val="00E104CB"/>
    <w:rsid w:val="00E1051F"/>
    <w:rsid w:val="00E10599"/>
    <w:rsid w:val="00E105AE"/>
    <w:rsid w:val="00E1060B"/>
    <w:rsid w:val="00E1060F"/>
    <w:rsid w:val="00E10673"/>
    <w:rsid w:val="00E106E7"/>
    <w:rsid w:val="00E106F1"/>
    <w:rsid w:val="00E10786"/>
    <w:rsid w:val="00E10796"/>
    <w:rsid w:val="00E107C3"/>
    <w:rsid w:val="00E107CC"/>
    <w:rsid w:val="00E107F0"/>
    <w:rsid w:val="00E10840"/>
    <w:rsid w:val="00E10855"/>
    <w:rsid w:val="00E10869"/>
    <w:rsid w:val="00E1089B"/>
    <w:rsid w:val="00E108CE"/>
    <w:rsid w:val="00E10944"/>
    <w:rsid w:val="00E109FE"/>
    <w:rsid w:val="00E10A6B"/>
    <w:rsid w:val="00E10A71"/>
    <w:rsid w:val="00E10B42"/>
    <w:rsid w:val="00E10B48"/>
    <w:rsid w:val="00E10B72"/>
    <w:rsid w:val="00E10C36"/>
    <w:rsid w:val="00E10CAC"/>
    <w:rsid w:val="00E10CF1"/>
    <w:rsid w:val="00E10EBA"/>
    <w:rsid w:val="00E11014"/>
    <w:rsid w:val="00E1102A"/>
    <w:rsid w:val="00E11044"/>
    <w:rsid w:val="00E11092"/>
    <w:rsid w:val="00E1110A"/>
    <w:rsid w:val="00E1112F"/>
    <w:rsid w:val="00E11139"/>
    <w:rsid w:val="00E11163"/>
    <w:rsid w:val="00E111AA"/>
    <w:rsid w:val="00E11257"/>
    <w:rsid w:val="00E112E0"/>
    <w:rsid w:val="00E11304"/>
    <w:rsid w:val="00E11324"/>
    <w:rsid w:val="00E1134E"/>
    <w:rsid w:val="00E1148C"/>
    <w:rsid w:val="00E114A7"/>
    <w:rsid w:val="00E115DC"/>
    <w:rsid w:val="00E116E4"/>
    <w:rsid w:val="00E116F0"/>
    <w:rsid w:val="00E1173B"/>
    <w:rsid w:val="00E11752"/>
    <w:rsid w:val="00E11787"/>
    <w:rsid w:val="00E117C1"/>
    <w:rsid w:val="00E117D8"/>
    <w:rsid w:val="00E1181F"/>
    <w:rsid w:val="00E1185B"/>
    <w:rsid w:val="00E1186D"/>
    <w:rsid w:val="00E11870"/>
    <w:rsid w:val="00E11959"/>
    <w:rsid w:val="00E11ADC"/>
    <w:rsid w:val="00E11B2E"/>
    <w:rsid w:val="00E11B3A"/>
    <w:rsid w:val="00E11B44"/>
    <w:rsid w:val="00E11BB1"/>
    <w:rsid w:val="00E11BB6"/>
    <w:rsid w:val="00E11BC8"/>
    <w:rsid w:val="00E11BE9"/>
    <w:rsid w:val="00E11C88"/>
    <w:rsid w:val="00E11C8C"/>
    <w:rsid w:val="00E11D1A"/>
    <w:rsid w:val="00E11D42"/>
    <w:rsid w:val="00E11D89"/>
    <w:rsid w:val="00E11FF9"/>
    <w:rsid w:val="00E12030"/>
    <w:rsid w:val="00E1210D"/>
    <w:rsid w:val="00E12140"/>
    <w:rsid w:val="00E1216D"/>
    <w:rsid w:val="00E1217E"/>
    <w:rsid w:val="00E121B6"/>
    <w:rsid w:val="00E121FC"/>
    <w:rsid w:val="00E12259"/>
    <w:rsid w:val="00E12377"/>
    <w:rsid w:val="00E123D3"/>
    <w:rsid w:val="00E124C7"/>
    <w:rsid w:val="00E12535"/>
    <w:rsid w:val="00E1258C"/>
    <w:rsid w:val="00E12651"/>
    <w:rsid w:val="00E126D2"/>
    <w:rsid w:val="00E12708"/>
    <w:rsid w:val="00E12715"/>
    <w:rsid w:val="00E1281F"/>
    <w:rsid w:val="00E128B1"/>
    <w:rsid w:val="00E128BC"/>
    <w:rsid w:val="00E1290E"/>
    <w:rsid w:val="00E12953"/>
    <w:rsid w:val="00E129E4"/>
    <w:rsid w:val="00E12A54"/>
    <w:rsid w:val="00E12ABD"/>
    <w:rsid w:val="00E12CB7"/>
    <w:rsid w:val="00E12CDB"/>
    <w:rsid w:val="00E12D7A"/>
    <w:rsid w:val="00E12F4A"/>
    <w:rsid w:val="00E12FFD"/>
    <w:rsid w:val="00E13115"/>
    <w:rsid w:val="00E1315A"/>
    <w:rsid w:val="00E1327D"/>
    <w:rsid w:val="00E1329E"/>
    <w:rsid w:val="00E13367"/>
    <w:rsid w:val="00E134BE"/>
    <w:rsid w:val="00E13560"/>
    <w:rsid w:val="00E1359A"/>
    <w:rsid w:val="00E136C6"/>
    <w:rsid w:val="00E136DC"/>
    <w:rsid w:val="00E137D4"/>
    <w:rsid w:val="00E137F2"/>
    <w:rsid w:val="00E138C6"/>
    <w:rsid w:val="00E139B5"/>
    <w:rsid w:val="00E13B65"/>
    <w:rsid w:val="00E13C86"/>
    <w:rsid w:val="00E13C97"/>
    <w:rsid w:val="00E13CC2"/>
    <w:rsid w:val="00E13CD9"/>
    <w:rsid w:val="00E13F60"/>
    <w:rsid w:val="00E1403E"/>
    <w:rsid w:val="00E140A4"/>
    <w:rsid w:val="00E140BA"/>
    <w:rsid w:val="00E14191"/>
    <w:rsid w:val="00E141A0"/>
    <w:rsid w:val="00E1422F"/>
    <w:rsid w:val="00E142B8"/>
    <w:rsid w:val="00E142C2"/>
    <w:rsid w:val="00E14307"/>
    <w:rsid w:val="00E1430B"/>
    <w:rsid w:val="00E14371"/>
    <w:rsid w:val="00E143A0"/>
    <w:rsid w:val="00E1446F"/>
    <w:rsid w:val="00E14472"/>
    <w:rsid w:val="00E144A8"/>
    <w:rsid w:val="00E144F7"/>
    <w:rsid w:val="00E14513"/>
    <w:rsid w:val="00E1452D"/>
    <w:rsid w:val="00E14577"/>
    <w:rsid w:val="00E1459D"/>
    <w:rsid w:val="00E145A5"/>
    <w:rsid w:val="00E1464F"/>
    <w:rsid w:val="00E146C5"/>
    <w:rsid w:val="00E146D6"/>
    <w:rsid w:val="00E146EA"/>
    <w:rsid w:val="00E147CB"/>
    <w:rsid w:val="00E147EA"/>
    <w:rsid w:val="00E1481E"/>
    <w:rsid w:val="00E14888"/>
    <w:rsid w:val="00E148A2"/>
    <w:rsid w:val="00E148C6"/>
    <w:rsid w:val="00E148C7"/>
    <w:rsid w:val="00E14948"/>
    <w:rsid w:val="00E14A79"/>
    <w:rsid w:val="00E14ADC"/>
    <w:rsid w:val="00E14AEA"/>
    <w:rsid w:val="00E14AEF"/>
    <w:rsid w:val="00E14B15"/>
    <w:rsid w:val="00E14B55"/>
    <w:rsid w:val="00E14B7A"/>
    <w:rsid w:val="00E14BA1"/>
    <w:rsid w:val="00E14C38"/>
    <w:rsid w:val="00E14C54"/>
    <w:rsid w:val="00E14D18"/>
    <w:rsid w:val="00E14DD1"/>
    <w:rsid w:val="00E14DFB"/>
    <w:rsid w:val="00E14E16"/>
    <w:rsid w:val="00E14E98"/>
    <w:rsid w:val="00E14F18"/>
    <w:rsid w:val="00E14FB1"/>
    <w:rsid w:val="00E14FEF"/>
    <w:rsid w:val="00E14FF4"/>
    <w:rsid w:val="00E1502D"/>
    <w:rsid w:val="00E15173"/>
    <w:rsid w:val="00E1518D"/>
    <w:rsid w:val="00E151B8"/>
    <w:rsid w:val="00E15263"/>
    <w:rsid w:val="00E15297"/>
    <w:rsid w:val="00E152EE"/>
    <w:rsid w:val="00E1535C"/>
    <w:rsid w:val="00E153AF"/>
    <w:rsid w:val="00E153E4"/>
    <w:rsid w:val="00E15499"/>
    <w:rsid w:val="00E154FB"/>
    <w:rsid w:val="00E1555D"/>
    <w:rsid w:val="00E155C9"/>
    <w:rsid w:val="00E1560D"/>
    <w:rsid w:val="00E15686"/>
    <w:rsid w:val="00E1575E"/>
    <w:rsid w:val="00E157AE"/>
    <w:rsid w:val="00E157C6"/>
    <w:rsid w:val="00E1580E"/>
    <w:rsid w:val="00E158C7"/>
    <w:rsid w:val="00E1595E"/>
    <w:rsid w:val="00E15971"/>
    <w:rsid w:val="00E159DB"/>
    <w:rsid w:val="00E15AAF"/>
    <w:rsid w:val="00E15AFF"/>
    <w:rsid w:val="00E15C6C"/>
    <w:rsid w:val="00E15CA6"/>
    <w:rsid w:val="00E15D9E"/>
    <w:rsid w:val="00E15DA1"/>
    <w:rsid w:val="00E15E59"/>
    <w:rsid w:val="00E15F33"/>
    <w:rsid w:val="00E15F62"/>
    <w:rsid w:val="00E15F80"/>
    <w:rsid w:val="00E16001"/>
    <w:rsid w:val="00E16023"/>
    <w:rsid w:val="00E160D1"/>
    <w:rsid w:val="00E160DD"/>
    <w:rsid w:val="00E1613A"/>
    <w:rsid w:val="00E1615B"/>
    <w:rsid w:val="00E16187"/>
    <w:rsid w:val="00E161F2"/>
    <w:rsid w:val="00E161FF"/>
    <w:rsid w:val="00E16363"/>
    <w:rsid w:val="00E1639A"/>
    <w:rsid w:val="00E16469"/>
    <w:rsid w:val="00E164A6"/>
    <w:rsid w:val="00E164D2"/>
    <w:rsid w:val="00E16522"/>
    <w:rsid w:val="00E1659E"/>
    <w:rsid w:val="00E1665E"/>
    <w:rsid w:val="00E166AF"/>
    <w:rsid w:val="00E166D7"/>
    <w:rsid w:val="00E16701"/>
    <w:rsid w:val="00E16714"/>
    <w:rsid w:val="00E16728"/>
    <w:rsid w:val="00E1683B"/>
    <w:rsid w:val="00E168BF"/>
    <w:rsid w:val="00E16922"/>
    <w:rsid w:val="00E16928"/>
    <w:rsid w:val="00E1694E"/>
    <w:rsid w:val="00E16984"/>
    <w:rsid w:val="00E169EE"/>
    <w:rsid w:val="00E169F6"/>
    <w:rsid w:val="00E16A4D"/>
    <w:rsid w:val="00E16AA3"/>
    <w:rsid w:val="00E16AB1"/>
    <w:rsid w:val="00E16ACD"/>
    <w:rsid w:val="00E16B1F"/>
    <w:rsid w:val="00E16CC2"/>
    <w:rsid w:val="00E16CC5"/>
    <w:rsid w:val="00E16D02"/>
    <w:rsid w:val="00E16D2B"/>
    <w:rsid w:val="00E16D86"/>
    <w:rsid w:val="00E16E79"/>
    <w:rsid w:val="00E16E7E"/>
    <w:rsid w:val="00E16F00"/>
    <w:rsid w:val="00E16F17"/>
    <w:rsid w:val="00E16F46"/>
    <w:rsid w:val="00E16FA3"/>
    <w:rsid w:val="00E16FAD"/>
    <w:rsid w:val="00E170C2"/>
    <w:rsid w:val="00E17163"/>
    <w:rsid w:val="00E1717A"/>
    <w:rsid w:val="00E171B4"/>
    <w:rsid w:val="00E17231"/>
    <w:rsid w:val="00E1725D"/>
    <w:rsid w:val="00E17277"/>
    <w:rsid w:val="00E1728F"/>
    <w:rsid w:val="00E172B2"/>
    <w:rsid w:val="00E172D2"/>
    <w:rsid w:val="00E172F3"/>
    <w:rsid w:val="00E17307"/>
    <w:rsid w:val="00E1735C"/>
    <w:rsid w:val="00E1735D"/>
    <w:rsid w:val="00E17412"/>
    <w:rsid w:val="00E174A7"/>
    <w:rsid w:val="00E174B0"/>
    <w:rsid w:val="00E174EC"/>
    <w:rsid w:val="00E174F9"/>
    <w:rsid w:val="00E17535"/>
    <w:rsid w:val="00E175B5"/>
    <w:rsid w:val="00E17687"/>
    <w:rsid w:val="00E17747"/>
    <w:rsid w:val="00E177CA"/>
    <w:rsid w:val="00E177E6"/>
    <w:rsid w:val="00E1782E"/>
    <w:rsid w:val="00E17835"/>
    <w:rsid w:val="00E1784B"/>
    <w:rsid w:val="00E178FB"/>
    <w:rsid w:val="00E17ABF"/>
    <w:rsid w:val="00E17AFE"/>
    <w:rsid w:val="00E17B63"/>
    <w:rsid w:val="00E17C58"/>
    <w:rsid w:val="00E17CDF"/>
    <w:rsid w:val="00E17CFC"/>
    <w:rsid w:val="00E17D6E"/>
    <w:rsid w:val="00E17D96"/>
    <w:rsid w:val="00E17D9F"/>
    <w:rsid w:val="00E17DFF"/>
    <w:rsid w:val="00E17E8D"/>
    <w:rsid w:val="00E17ED5"/>
    <w:rsid w:val="00E17F3A"/>
    <w:rsid w:val="00E2018D"/>
    <w:rsid w:val="00E2019D"/>
    <w:rsid w:val="00E201C2"/>
    <w:rsid w:val="00E201E0"/>
    <w:rsid w:val="00E201E2"/>
    <w:rsid w:val="00E20271"/>
    <w:rsid w:val="00E202D9"/>
    <w:rsid w:val="00E20311"/>
    <w:rsid w:val="00E2039D"/>
    <w:rsid w:val="00E203F1"/>
    <w:rsid w:val="00E2042A"/>
    <w:rsid w:val="00E20432"/>
    <w:rsid w:val="00E20444"/>
    <w:rsid w:val="00E204A9"/>
    <w:rsid w:val="00E204AD"/>
    <w:rsid w:val="00E204D9"/>
    <w:rsid w:val="00E20519"/>
    <w:rsid w:val="00E2053D"/>
    <w:rsid w:val="00E205F0"/>
    <w:rsid w:val="00E205F2"/>
    <w:rsid w:val="00E20625"/>
    <w:rsid w:val="00E20664"/>
    <w:rsid w:val="00E20670"/>
    <w:rsid w:val="00E20678"/>
    <w:rsid w:val="00E206C8"/>
    <w:rsid w:val="00E206F2"/>
    <w:rsid w:val="00E206F4"/>
    <w:rsid w:val="00E2076A"/>
    <w:rsid w:val="00E20914"/>
    <w:rsid w:val="00E2096F"/>
    <w:rsid w:val="00E20A03"/>
    <w:rsid w:val="00E20A47"/>
    <w:rsid w:val="00E20A7A"/>
    <w:rsid w:val="00E20A9F"/>
    <w:rsid w:val="00E20B07"/>
    <w:rsid w:val="00E20B44"/>
    <w:rsid w:val="00E20B59"/>
    <w:rsid w:val="00E20B7A"/>
    <w:rsid w:val="00E20B95"/>
    <w:rsid w:val="00E20BB2"/>
    <w:rsid w:val="00E20DC6"/>
    <w:rsid w:val="00E20DDA"/>
    <w:rsid w:val="00E20E3C"/>
    <w:rsid w:val="00E20E92"/>
    <w:rsid w:val="00E20EDA"/>
    <w:rsid w:val="00E20EFC"/>
    <w:rsid w:val="00E20F04"/>
    <w:rsid w:val="00E20F73"/>
    <w:rsid w:val="00E20F83"/>
    <w:rsid w:val="00E21034"/>
    <w:rsid w:val="00E21088"/>
    <w:rsid w:val="00E21093"/>
    <w:rsid w:val="00E210C6"/>
    <w:rsid w:val="00E211E0"/>
    <w:rsid w:val="00E2121B"/>
    <w:rsid w:val="00E2126C"/>
    <w:rsid w:val="00E21298"/>
    <w:rsid w:val="00E212A0"/>
    <w:rsid w:val="00E212B2"/>
    <w:rsid w:val="00E212ED"/>
    <w:rsid w:val="00E21314"/>
    <w:rsid w:val="00E213F0"/>
    <w:rsid w:val="00E21490"/>
    <w:rsid w:val="00E2150E"/>
    <w:rsid w:val="00E2152F"/>
    <w:rsid w:val="00E21570"/>
    <w:rsid w:val="00E2159F"/>
    <w:rsid w:val="00E215C1"/>
    <w:rsid w:val="00E21681"/>
    <w:rsid w:val="00E21762"/>
    <w:rsid w:val="00E21774"/>
    <w:rsid w:val="00E21783"/>
    <w:rsid w:val="00E2179B"/>
    <w:rsid w:val="00E217C1"/>
    <w:rsid w:val="00E217F4"/>
    <w:rsid w:val="00E2182C"/>
    <w:rsid w:val="00E2197A"/>
    <w:rsid w:val="00E219AA"/>
    <w:rsid w:val="00E219CE"/>
    <w:rsid w:val="00E219FA"/>
    <w:rsid w:val="00E21A49"/>
    <w:rsid w:val="00E21B28"/>
    <w:rsid w:val="00E21B2A"/>
    <w:rsid w:val="00E21B4C"/>
    <w:rsid w:val="00E21B62"/>
    <w:rsid w:val="00E21BD7"/>
    <w:rsid w:val="00E21BD8"/>
    <w:rsid w:val="00E21C56"/>
    <w:rsid w:val="00E21D88"/>
    <w:rsid w:val="00E21E1D"/>
    <w:rsid w:val="00E21F27"/>
    <w:rsid w:val="00E21FCF"/>
    <w:rsid w:val="00E22012"/>
    <w:rsid w:val="00E220A7"/>
    <w:rsid w:val="00E22129"/>
    <w:rsid w:val="00E22189"/>
    <w:rsid w:val="00E22231"/>
    <w:rsid w:val="00E222C0"/>
    <w:rsid w:val="00E222FF"/>
    <w:rsid w:val="00E22345"/>
    <w:rsid w:val="00E2235B"/>
    <w:rsid w:val="00E22393"/>
    <w:rsid w:val="00E223EA"/>
    <w:rsid w:val="00E223F6"/>
    <w:rsid w:val="00E22409"/>
    <w:rsid w:val="00E22420"/>
    <w:rsid w:val="00E22610"/>
    <w:rsid w:val="00E22657"/>
    <w:rsid w:val="00E2266D"/>
    <w:rsid w:val="00E2266F"/>
    <w:rsid w:val="00E226AE"/>
    <w:rsid w:val="00E226B1"/>
    <w:rsid w:val="00E22797"/>
    <w:rsid w:val="00E227D5"/>
    <w:rsid w:val="00E22815"/>
    <w:rsid w:val="00E228CC"/>
    <w:rsid w:val="00E228E1"/>
    <w:rsid w:val="00E228EE"/>
    <w:rsid w:val="00E22916"/>
    <w:rsid w:val="00E2291E"/>
    <w:rsid w:val="00E2298D"/>
    <w:rsid w:val="00E22A29"/>
    <w:rsid w:val="00E22A31"/>
    <w:rsid w:val="00E22A44"/>
    <w:rsid w:val="00E22A77"/>
    <w:rsid w:val="00E22AEF"/>
    <w:rsid w:val="00E22B30"/>
    <w:rsid w:val="00E22BCA"/>
    <w:rsid w:val="00E22C67"/>
    <w:rsid w:val="00E22D26"/>
    <w:rsid w:val="00E22D73"/>
    <w:rsid w:val="00E22E10"/>
    <w:rsid w:val="00E22E20"/>
    <w:rsid w:val="00E22E48"/>
    <w:rsid w:val="00E22E6E"/>
    <w:rsid w:val="00E22EA6"/>
    <w:rsid w:val="00E22F67"/>
    <w:rsid w:val="00E22FA5"/>
    <w:rsid w:val="00E22FCB"/>
    <w:rsid w:val="00E22FFA"/>
    <w:rsid w:val="00E230EF"/>
    <w:rsid w:val="00E23120"/>
    <w:rsid w:val="00E2314B"/>
    <w:rsid w:val="00E23150"/>
    <w:rsid w:val="00E23225"/>
    <w:rsid w:val="00E2322A"/>
    <w:rsid w:val="00E2322B"/>
    <w:rsid w:val="00E2324A"/>
    <w:rsid w:val="00E232C6"/>
    <w:rsid w:val="00E2334B"/>
    <w:rsid w:val="00E23382"/>
    <w:rsid w:val="00E23405"/>
    <w:rsid w:val="00E2343D"/>
    <w:rsid w:val="00E2351D"/>
    <w:rsid w:val="00E2355E"/>
    <w:rsid w:val="00E236CC"/>
    <w:rsid w:val="00E23767"/>
    <w:rsid w:val="00E237A7"/>
    <w:rsid w:val="00E237B2"/>
    <w:rsid w:val="00E237DF"/>
    <w:rsid w:val="00E2387B"/>
    <w:rsid w:val="00E238BC"/>
    <w:rsid w:val="00E238DA"/>
    <w:rsid w:val="00E2390C"/>
    <w:rsid w:val="00E23A1E"/>
    <w:rsid w:val="00E23A3C"/>
    <w:rsid w:val="00E23A93"/>
    <w:rsid w:val="00E23AE3"/>
    <w:rsid w:val="00E23B25"/>
    <w:rsid w:val="00E23B4A"/>
    <w:rsid w:val="00E23B68"/>
    <w:rsid w:val="00E23BC4"/>
    <w:rsid w:val="00E23BE9"/>
    <w:rsid w:val="00E23CBD"/>
    <w:rsid w:val="00E23CD6"/>
    <w:rsid w:val="00E23CFB"/>
    <w:rsid w:val="00E23F40"/>
    <w:rsid w:val="00E23F43"/>
    <w:rsid w:val="00E23F4A"/>
    <w:rsid w:val="00E23FD2"/>
    <w:rsid w:val="00E23FDF"/>
    <w:rsid w:val="00E2408C"/>
    <w:rsid w:val="00E2409D"/>
    <w:rsid w:val="00E240BD"/>
    <w:rsid w:val="00E241FA"/>
    <w:rsid w:val="00E24276"/>
    <w:rsid w:val="00E24287"/>
    <w:rsid w:val="00E242FA"/>
    <w:rsid w:val="00E24352"/>
    <w:rsid w:val="00E24395"/>
    <w:rsid w:val="00E243BA"/>
    <w:rsid w:val="00E24407"/>
    <w:rsid w:val="00E24462"/>
    <w:rsid w:val="00E2446F"/>
    <w:rsid w:val="00E24476"/>
    <w:rsid w:val="00E24498"/>
    <w:rsid w:val="00E244AB"/>
    <w:rsid w:val="00E244C8"/>
    <w:rsid w:val="00E244D7"/>
    <w:rsid w:val="00E24516"/>
    <w:rsid w:val="00E2458B"/>
    <w:rsid w:val="00E245E5"/>
    <w:rsid w:val="00E245E9"/>
    <w:rsid w:val="00E245F9"/>
    <w:rsid w:val="00E24603"/>
    <w:rsid w:val="00E2460B"/>
    <w:rsid w:val="00E2462C"/>
    <w:rsid w:val="00E24665"/>
    <w:rsid w:val="00E24667"/>
    <w:rsid w:val="00E24679"/>
    <w:rsid w:val="00E246A2"/>
    <w:rsid w:val="00E246BE"/>
    <w:rsid w:val="00E246F1"/>
    <w:rsid w:val="00E246F2"/>
    <w:rsid w:val="00E24704"/>
    <w:rsid w:val="00E24756"/>
    <w:rsid w:val="00E247E8"/>
    <w:rsid w:val="00E247FD"/>
    <w:rsid w:val="00E2483D"/>
    <w:rsid w:val="00E24855"/>
    <w:rsid w:val="00E248C7"/>
    <w:rsid w:val="00E248FD"/>
    <w:rsid w:val="00E2496D"/>
    <w:rsid w:val="00E24A26"/>
    <w:rsid w:val="00E24A8C"/>
    <w:rsid w:val="00E24ABC"/>
    <w:rsid w:val="00E24B18"/>
    <w:rsid w:val="00E24B9B"/>
    <w:rsid w:val="00E24BE6"/>
    <w:rsid w:val="00E24C68"/>
    <w:rsid w:val="00E24D34"/>
    <w:rsid w:val="00E24D37"/>
    <w:rsid w:val="00E24D82"/>
    <w:rsid w:val="00E24D8F"/>
    <w:rsid w:val="00E24DFE"/>
    <w:rsid w:val="00E24E2A"/>
    <w:rsid w:val="00E24F29"/>
    <w:rsid w:val="00E24F70"/>
    <w:rsid w:val="00E24FE2"/>
    <w:rsid w:val="00E25032"/>
    <w:rsid w:val="00E25168"/>
    <w:rsid w:val="00E25191"/>
    <w:rsid w:val="00E25248"/>
    <w:rsid w:val="00E2528C"/>
    <w:rsid w:val="00E252B3"/>
    <w:rsid w:val="00E252D3"/>
    <w:rsid w:val="00E2539E"/>
    <w:rsid w:val="00E254A8"/>
    <w:rsid w:val="00E255B3"/>
    <w:rsid w:val="00E255BB"/>
    <w:rsid w:val="00E25664"/>
    <w:rsid w:val="00E25667"/>
    <w:rsid w:val="00E25676"/>
    <w:rsid w:val="00E25708"/>
    <w:rsid w:val="00E25818"/>
    <w:rsid w:val="00E2585D"/>
    <w:rsid w:val="00E25950"/>
    <w:rsid w:val="00E25992"/>
    <w:rsid w:val="00E259DF"/>
    <w:rsid w:val="00E25A03"/>
    <w:rsid w:val="00E25A34"/>
    <w:rsid w:val="00E25A5B"/>
    <w:rsid w:val="00E25ADF"/>
    <w:rsid w:val="00E25B1F"/>
    <w:rsid w:val="00E25BC5"/>
    <w:rsid w:val="00E25BD1"/>
    <w:rsid w:val="00E25CA2"/>
    <w:rsid w:val="00E25CD7"/>
    <w:rsid w:val="00E25D98"/>
    <w:rsid w:val="00E25EA6"/>
    <w:rsid w:val="00E25F19"/>
    <w:rsid w:val="00E25F3B"/>
    <w:rsid w:val="00E25F3E"/>
    <w:rsid w:val="00E25F61"/>
    <w:rsid w:val="00E25F76"/>
    <w:rsid w:val="00E26049"/>
    <w:rsid w:val="00E260B0"/>
    <w:rsid w:val="00E260EA"/>
    <w:rsid w:val="00E26109"/>
    <w:rsid w:val="00E26164"/>
    <w:rsid w:val="00E261D5"/>
    <w:rsid w:val="00E261D6"/>
    <w:rsid w:val="00E2625B"/>
    <w:rsid w:val="00E26267"/>
    <w:rsid w:val="00E2628D"/>
    <w:rsid w:val="00E2629D"/>
    <w:rsid w:val="00E262D9"/>
    <w:rsid w:val="00E26343"/>
    <w:rsid w:val="00E2636D"/>
    <w:rsid w:val="00E26399"/>
    <w:rsid w:val="00E26443"/>
    <w:rsid w:val="00E2647E"/>
    <w:rsid w:val="00E264B5"/>
    <w:rsid w:val="00E264C0"/>
    <w:rsid w:val="00E264C6"/>
    <w:rsid w:val="00E264CC"/>
    <w:rsid w:val="00E2653D"/>
    <w:rsid w:val="00E265F6"/>
    <w:rsid w:val="00E266BF"/>
    <w:rsid w:val="00E266C1"/>
    <w:rsid w:val="00E266CB"/>
    <w:rsid w:val="00E26708"/>
    <w:rsid w:val="00E2671F"/>
    <w:rsid w:val="00E26741"/>
    <w:rsid w:val="00E2677F"/>
    <w:rsid w:val="00E267A1"/>
    <w:rsid w:val="00E267F8"/>
    <w:rsid w:val="00E2682E"/>
    <w:rsid w:val="00E26832"/>
    <w:rsid w:val="00E26882"/>
    <w:rsid w:val="00E26944"/>
    <w:rsid w:val="00E269B9"/>
    <w:rsid w:val="00E26B2E"/>
    <w:rsid w:val="00E26B7D"/>
    <w:rsid w:val="00E26BD3"/>
    <w:rsid w:val="00E26C24"/>
    <w:rsid w:val="00E26C47"/>
    <w:rsid w:val="00E26CEA"/>
    <w:rsid w:val="00E26D2A"/>
    <w:rsid w:val="00E26E9F"/>
    <w:rsid w:val="00E26EA5"/>
    <w:rsid w:val="00E26F08"/>
    <w:rsid w:val="00E26F55"/>
    <w:rsid w:val="00E26F5A"/>
    <w:rsid w:val="00E26FAD"/>
    <w:rsid w:val="00E27012"/>
    <w:rsid w:val="00E27075"/>
    <w:rsid w:val="00E27184"/>
    <w:rsid w:val="00E271C7"/>
    <w:rsid w:val="00E27234"/>
    <w:rsid w:val="00E2731A"/>
    <w:rsid w:val="00E27393"/>
    <w:rsid w:val="00E273E9"/>
    <w:rsid w:val="00E2742E"/>
    <w:rsid w:val="00E27448"/>
    <w:rsid w:val="00E274DF"/>
    <w:rsid w:val="00E27511"/>
    <w:rsid w:val="00E275AA"/>
    <w:rsid w:val="00E275AD"/>
    <w:rsid w:val="00E275AE"/>
    <w:rsid w:val="00E275D7"/>
    <w:rsid w:val="00E27600"/>
    <w:rsid w:val="00E27602"/>
    <w:rsid w:val="00E27603"/>
    <w:rsid w:val="00E27606"/>
    <w:rsid w:val="00E27641"/>
    <w:rsid w:val="00E27670"/>
    <w:rsid w:val="00E276D5"/>
    <w:rsid w:val="00E276E6"/>
    <w:rsid w:val="00E27741"/>
    <w:rsid w:val="00E27765"/>
    <w:rsid w:val="00E2779C"/>
    <w:rsid w:val="00E27811"/>
    <w:rsid w:val="00E2785B"/>
    <w:rsid w:val="00E278A8"/>
    <w:rsid w:val="00E278DA"/>
    <w:rsid w:val="00E278E6"/>
    <w:rsid w:val="00E27A5D"/>
    <w:rsid w:val="00E27AD4"/>
    <w:rsid w:val="00E27B08"/>
    <w:rsid w:val="00E27BF9"/>
    <w:rsid w:val="00E27BFD"/>
    <w:rsid w:val="00E27C44"/>
    <w:rsid w:val="00E27C6D"/>
    <w:rsid w:val="00E27C80"/>
    <w:rsid w:val="00E27CC9"/>
    <w:rsid w:val="00E27D4F"/>
    <w:rsid w:val="00E27DC8"/>
    <w:rsid w:val="00E27E17"/>
    <w:rsid w:val="00E27E55"/>
    <w:rsid w:val="00E27E72"/>
    <w:rsid w:val="00E27F12"/>
    <w:rsid w:val="00E27FA0"/>
    <w:rsid w:val="00E27FA1"/>
    <w:rsid w:val="00E27FB3"/>
    <w:rsid w:val="00E3000B"/>
    <w:rsid w:val="00E3006D"/>
    <w:rsid w:val="00E30123"/>
    <w:rsid w:val="00E301EB"/>
    <w:rsid w:val="00E301F8"/>
    <w:rsid w:val="00E302E5"/>
    <w:rsid w:val="00E3038D"/>
    <w:rsid w:val="00E30464"/>
    <w:rsid w:val="00E30465"/>
    <w:rsid w:val="00E3046D"/>
    <w:rsid w:val="00E30490"/>
    <w:rsid w:val="00E3049B"/>
    <w:rsid w:val="00E305A6"/>
    <w:rsid w:val="00E305E3"/>
    <w:rsid w:val="00E3077E"/>
    <w:rsid w:val="00E307F8"/>
    <w:rsid w:val="00E30840"/>
    <w:rsid w:val="00E308CB"/>
    <w:rsid w:val="00E309AC"/>
    <w:rsid w:val="00E309C2"/>
    <w:rsid w:val="00E30A79"/>
    <w:rsid w:val="00E30AA5"/>
    <w:rsid w:val="00E30B48"/>
    <w:rsid w:val="00E30B5C"/>
    <w:rsid w:val="00E30C2E"/>
    <w:rsid w:val="00E30C79"/>
    <w:rsid w:val="00E30D7E"/>
    <w:rsid w:val="00E30D88"/>
    <w:rsid w:val="00E30DBB"/>
    <w:rsid w:val="00E30DD8"/>
    <w:rsid w:val="00E30F3F"/>
    <w:rsid w:val="00E30FB1"/>
    <w:rsid w:val="00E30FBA"/>
    <w:rsid w:val="00E31077"/>
    <w:rsid w:val="00E31083"/>
    <w:rsid w:val="00E3108B"/>
    <w:rsid w:val="00E31092"/>
    <w:rsid w:val="00E310AC"/>
    <w:rsid w:val="00E31146"/>
    <w:rsid w:val="00E3117A"/>
    <w:rsid w:val="00E31195"/>
    <w:rsid w:val="00E31200"/>
    <w:rsid w:val="00E31284"/>
    <w:rsid w:val="00E312BE"/>
    <w:rsid w:val="00E314A4"/>
    <w:rsid w:val="00E31541"/>
    <w:rsid w:val="00E3156A"/>
    <w:rsid w:val="00E31581"/>
    <w:rsid w:val="00E315A2"/>
    <w:rsid w:val="00E315EF"/>
    <w:rsid w:val="00E315FE"/>
    <w:rsid w:val="00E31662"/>
    <w:rsid w:val="00E316D9"/>
    <w:rsid w:val="00E316DF"/>
    <w:rsid w:val="00E3175E"/>
    <w:rsid w:val="00E3186D"/>
    <w:rsid w:val="00E31885"/>
    <w:rsid w:val="00E318BB"/>
    <w:rsid w:val="00E318DC"/>
    <w:rsid w:val="00E318ED"/>
    <w:rsid w:val="00E318F8"/>
    <w:rsid w:val="00E31954"/>
    <w:rsid w:val="00E31960"/>
    <w:rsid w:val="00E31982"/>
    <w:rsid w:val="00E319C8"/>
    <w:rsid w:val="00E31A8B"/>
    <w:rsid w:val="00E31AB5"/>
    <w:rsid w:val="00E31AF3"/>
    <w:rsid w:val="00E31AF5"/>
    <w:rsid w:val="00E31C65"/>
    <w:rsid w:val="00E31C84"/>
    <w:rsid w:val="00E31D73"/>
    <w:rsid w:val="00E31DCC"/>
    <w:rsid w:val="00E31DCF"/>
    <w:rsid w:val="00E31E63"/>
    <w:rsid w:val="00E31E71"/>
    <w:rsid w:val="00E31EB7"/>
    <w:rsid w:val="00E31F09"/>
    <w:rsid w:val="00E31F38"/>
    <w:rsid w:val="00E31F68"/>
    <w:rsid w:val="00E31F7A"/>
    <w:rsid w:val="00E32027"/>
    <w:rsid w:val="00E32098"/>
    <w:rsid w:val="00E320F5"/>
    <w:rsid w:val="00E32159"/>
    <w:rsid w:val="00E321B6"/>
    <w:rsid w:val="00E3221C"/>
    <w:rsid w:val="00E32273"/>
    <w:rsid w:val="00E32323"/>
    <w:rsid w:val="00E3240A"/>
    <w:rsid w:val="00E324EF"/>
    <w:rsid w:val="00E32516"/>
    <w:rsid w:val="00E3263D"/>
    <w:rsid w:val="00E32728"/>
    <w:rsid w:val="00E32756"/>
    <w:rsid w:val="00E32794"/>
    <w:rsid w:val="00E32840"/>
    <w:rsid w:val="00E32893"/>
    <w:rsid w:val="00E328E7"/>
    <w:rsid w:val="00E328EC"/>
    <w:rsid w:val="00E32961"/>
    <w:rsid w:val="00E32973"/>
    <w:rsid w:val="00E32A05"/>
    <w:rsid w:val="00E32A55"/>
    <w:rsid w:val="00E32AB8"/>
    <w:rsid w:val="00E32B41"/>
    <w:rsid w:val="00E32BFD"/>
    <w:rsid w:val="00E32C1E"/>
    <w:rsid w:val="00E32C9C"/>
    <w:rsid w:val="00E32D43"/>
    <w:rsid w:val="00E32D6E"/>
    <w:rsid w:val="00E32E6E"/>
    <w:rsid w:val="00E32E80"/>
    <w:rsid w:val="00E32E84"/>
    <w:rsid w:val="00E32F40"/>
    <w:rsid w:val="00E32F79"/>
    <w:rsid w:val="00E33017"/>
    <w:rsid w:val="00E33080"/>
    <w:rsid w:val="00E3312D"/>
    <w:rsid w:val="00E3315A"/>
    <w:rsid w:val="00E33191"/>
    <w:rsid w:val="00E33193"/>
    <w:rsid w:val="00E331CE"/>
    <w:rsid w:val="00E3320A"/>
    <w:rsid w:val="00E33260"/>
    <w:rsid w:val="00E33292"/>
    <w:rsid w:val="00E332DC"/>
    <w:rsid w:val="00E33339"/>
    <w:rsid w:val="00E3335C"/>
    <w:rsid w:val="00E3344B"/>
    <w:rsid w:val="00E3348C"/>
    <w:rsid w:val="00E334B7"/>
    <w:rsid w:val="00E33544"/>
    <w:rsid w:val="00E33577"/>
    <w:rsid w:val="00E335A0"/>
    <w:rsid w:val="00E3363C"/>
    <w:rsid w:val="00E336D8"/>
    <w:rsid w:val="00E33819"/>
    <w:rsid w:val="00E33874"/>
    <w:rsid w:val="00E3388A"/>
    <w:rsid w:val="00E338F4"/>
    <w:rsid w:val="00E33914"/>
    <w:rsid w:val="00E3397B"/>
    <w:rsid w:val="00E33AAF"/>
    <w:rsid w:val="00E33AF3"/>
    <w:rsid w:val="00E33BAF"/>
    <w:rsid w:val="00E33C19"/>
    <w:rsid w:val="00E33D30"/>
    <w:rsid w:val="00E33DB5"/>
    <w:rsid w:val="00E33DD4"/>
    <w:rsid w:val="00E33E6C"/>
    <w:rsid w:val="00E33E97"/>
    <w:rsid w:val="00E33EB7"/>
    <w:rsid w:val="00E33FDB"/>
    <w:rsid w:val="00E340CF"/>
    <w:rsid w:val="00E34107"/>
    <w:rsid w:val="00E3414D"/>
    <w:rsid w:val="00E341E5"/>
    <w:rsid w:val="00E3428B"/>
    <w:rsid w:val="00E342D5"/>
    <w:rsid w:val="00E342EE"/>
    <w:rsid w:val="00E34439"/>
    <w:rsid w:val="00E3445A"/>
    <w:rsid w:val="00E344BA"/>
    <w:rsid w:val="00E345F3"/>
    <w:rsid w:val="00E3463E"/>
    <w:rsid w:val="00E34648"/>
    <w:rsid w:val="00E3467D"/>
    <w:rsid w:val="00E34682"/>
    <w:rsid w:val="00E3479C"/>
    <w:rsid w:val="00E34803"/>
    <w:rsid w:val="00E34900"/>
    <w:rsid w:val="00E349C3"/>
    <w:rsid w:val="00E34C47"/>
    <w:rsid w:val="00E34C4F"/>
    <w:rsid w:val="00E34C58"/>
    <w:rsid w:val="00E34D6A"/>
    <w:rsid w:val="00E34D6D"/>
    <w:rsid w:val="00E34DDD"/>
    <w:rsid w:val="00E34DE2"/>
    <w:rsid w:val="00E34DEC"/>
    <w:rsid w:val="00E34DEF"/>
    <w:rsid w:val="00E34DF9"/>
    <w:rsid w:val="00E34DFD"/>
    <w:rsid w:val="00E34E51"/>
    <w:rsid w:val="00E34EB4"/>
    <w:rsid w:val="00E34EEA"/>
    <w:rsid w:val="00E34F25"/>
    <w:rsid w:val="00E34F80"/>
    <w:rsid w:val="00E34FE4"/>
    <w:rsid w:val="00E35019"/>
    <w:rsid w:val="00E350C1"/>
    <w:rsid w:val="00E350F0"/>
    <w:rsid w:val="00E350F3"/>
    <w:rsid w:val="00E350F7"/>
    <w:rsid w:val="00E35179"/>
    <w:rsid w:val="00E35194"/>
    <w:rsid w:val="00E351CA"/>
    <w:rsid w:val="00E351EE"/>
    <w:rsid w:val="00E352FA"/>
    <w:rsid w:val="00E35443"/>
    <w:rsid w:val="00E35492"/>
    <w:rsid w:val="00E354F0"/>
    <w:rsid w:val="00E356DB"/>
    <w:rsid w:val="00E356F9"/>
    <w:rsid w:val="00E35717"/>
    <w:rsid w:val="00E3571E"/>
    <w:rsid w:val="00E357A1"/>
    <w:rsid w:val="00E357C8"/>
    <w:rsid w:val="00E35805"/>
    <w:rsid w:val="00E35862"/>
    <w:rsid w:val="00E3588C"/>
    <w:rsid w:val="00E358C7"/>
    <w:rsid w:val="00E3594C"/>
    <w:rsid w:val="00E35965"/>
    <w:rsid w:val="00E35A64"/>
    <w:rsid w:val="00E35AC5"/>
    <w:rsid w:val="00E35ADB"/>
    <w:rsid w:val="00E35B1D"/>
    <w:rsid w:val="00E35B71"/>
    <w:rsid w:val="00E35BC7"/>
    <w:rsid w:val="00E35BFA"/>
    <w:rsid w:val="00E35C88"/>
    <w:rsid w:val="00E35CA7"/>
    <w:rsid w:val="00E35CD9"/>
    <w:rsid w:val="00E35D9E"/>
    <w:rsid w:val="00E35DB7"/>
    <w:rsid w:val="00E35E3C"/>
    <w:rsid w:val="00E35E58"/>
    <w:rsid w:val="00E35E93"/>
    <w:rsid w:val="00E35EA8"/>
    <w:rsid w:val="00E35ECE"/>
    <w:rsid w:val="00E35ED9"/>
    <w:rsid w:val="00E35FA1"/>
    <w:rsid w:val="00E35FB8"/>
    <w:rsid w:val="00E36032"/>
    <w:rsid w:val="00E36038"/>
    <w:rsid w:val="00E36060"/>
    <w:rsid w:val="00E36092"/>
    <w:rsid w:val="00E360A7"/>
    <w:rsid w:val="00E3613E"/>
    <w:rsid w:val="00E3616E"/>
    <w:rsid w:val="00E3619B"/>
    <w:rsid w:val="00E361C2"/>
    <w:rsid w:val="00E36211"/>
    <w:rsid w:val="00E36272"/>
    <w:rsid w:val="00E3627D"/>
    <w:rsid w:val="00E362AB"/>
    <w:rsid w:val="00E362E9"/>
    <w:rsid w:val="00E36353"/>
    <w:rsid w:val="00E363C3"/>
    <w:rsid w:val="00E3642D"/>
    <w:rsid w:val="00E3647F"/>
    <w:rsid w:val="00E364C1"/>
    <w:rsid w:val="00E36572"/>
    <w:rsid w:val="00E365E7"/>
    <w:rsid w:val="00E36602"/>
    <w:rsid w:val="00E36626"/>
    <w:rsid w:val="00E366D2"/>
    <w:rsid w:val="00E36707"/>
    <w:rsid w:val="00E36825"/>
    <w:rsid w:val="00E36990"/>
    <w:rsid w:val="00E36A6B"/>
    <w:rsid w:val="00E36B4C"/>
    <w:rsid w:val="00E36BBA"/>
    <w:rsid w:val="00E36C69"/>
    <w:rsid w:val="00E36CDB"/>
    <w:rsid w:val="00E36CE3"/>
    <w:rsid w:val="00E36D94"/>
    <w:rsid w:val="00E36DDA"/>
    <w:rsid w:val="00E36DEB"/>
    <w:rsid w:val="00E36DF2"/>
    <w:rsid w:val="00E36E24"/>
    <w:rsid w:val="00E36E28"/>
    <w:rsid w:val="00E36F8C"/>
    <w:rsid w:val="00E36F93"/>
    <w:rsid w:val="00E371A3"/>
    <w:rsid w:val="00E371C2"/>
    <w:rsid w:val="00E371D3"/>
    <w:rsid w:val="00E371EE"/>
    <w:rsid w:val="00E372BA"/>
    <w:rsid w:val="00E372DB"/>
    <w:rsid w:val="00E372E6"/>
    <w:rsid w:val="00E3732B"/>
    <w:rsid w:val="00E3738E"/>
    <w:rsid w:val="00E373BB"/>
    <w:rsid w:val="00E373C5"/>
    <w:rsid w:val="00E373F9"/>
    <w:rsid w:val="00E373FD"/>
    <w:rsid w:val="00E37475"/>
    <w:rsid w:val="00E374B0"/>
    <w:rsid w:val="00E3750A"/>
    <w:rsid w:val="00E37548"/>
    <w:rsid w:val="00E3758B"/>
    <w:rsid w:val="00E375C8"/>
    <w:rsid w:val="00E375FB"/>
    <w:rsid w:val="00E37689"/>
    <w:rsid w:val="00E37724"/>
    <w:rsid w:val="00E37774"/>
    <w:rsid w:val="00E37785"/>
    <w:rsid w:val="00E377E9"/>
    <w:rsid w:val="00E377ED"/>
    <w:rsid w:val="00E377FC"/>
    <w:rsid w:val="00E37851"/>
    <w:rsid w:val="00E3795F"/>
    <w:rsid w:val="00E3797C"/>
    <w:rsid w:val="00E37A3C"/>
    <w:rsid w:val="00E37A6F"/>
    <w:rsid w:val="00E37AA4"/>
    <w:rsid w:val="00E37B06"/>
    <w:rsid w:val="00E37B56"/>
    <w:rsid w:val="00E37B6C"/>
    <w:rsid w:val="00E37B8A"/>
    <w:rsid w:val="00E37B8C"/>
    <w:rsid w:val="00E37C82"/>
    <w:rsid w:val="00E37C9E"/>
    <w:rsid w:val="00E37CB9"/>
    <w:rsid w:val="00E37CD6"/>
    <w:rsid w:val="00E37D0B"/>
    <w:rsid w:val="00E37D37"/>
    <w:rsid w:val="00E37DBA"/>
    <w:rsid w:val="00E37DF4"/>
    <w:rsid w:val="00E37E1E"/>
    <w:rsid w:val="00E37E3E"/>
    <w:rsid w:val="00E37E5E"/>
    <w:rsid w:val="00E37EAC"/>
    <w:rsid w:val="00E37F04"/>
    <w:rsid w:val="00E37F1F"/>
    <w:rsid w:val="00E37FA4"/>
    <w:rsid w:val="00E37FA5"/>
    <w:rsid w:val="00E37FBC"/>
    <w:rsid w:val="00E40030"/>
    <w:rsid w:val="00E4005B"/>
    <w:rsid w:val="00E400BA"/>
    <w:rsid w:val="00E400E6"/>
    <w:rsid w:val="00E4016A"/>
    <w:rsid w:val="00E401D4"/>
    <w:rsid w:val="00E401F9"/>
    <w:rsid w:val="00E4022D"/>
    <w:rsid w:val="00E4024F"/>
    <w:rsid w:val="00E40309"/>
    <w:rsid w:val="00E403D2"/>
    <w:rsid w:val="00E4040F"/>
    <w:rsid w:val="00E4041B"/>
    <w:rsid w:val="00E40445"/>
    <w:rsid w:val="00E4045F"/>
    <w:rsid w:val="00E404F2"/>
    <w:rsid w:val="00E4057B"/>
    <w:rsid w:val="00E405F5"/>
    <w:rsid w:val="00E40649"/>
    <w:rsid w:val="00E40685"/>
    <w:rsid w:val="00E406DB"/>
    <w:rsid w:val="00E40798"/>
    <w:rsid w:val="00E407A4"/>
    <w:rsid w:val="00E407D8"/>
    <w:rsid w:val="00E4084A"/>
    <w:rsid w:val="00E408A0"/>
    <w:rsid w:val="00E408F5"/>
    <w:rsid w:val="00E40965"/>
    <w:rsid w:val="00E40983"/>
    <w:rsid w:val="00E409CA"/>
    <w:rsid w:val="00E409CE"/>
    <w:rsid w:val="00E40A9B"/>
    <w:rsid w:val="00E40AD2"/>
    <w:rsid w:val="00E40B88"/>
    <w:rsid w:val="00E40B9C"/>
    <w:rsid w:val="00E40BC2"/>
    <w:rsid w:val="00E40C06"/>
    <w:rsid w:val="00E40C3F"/>
    <w:rsid w:val="00E40C88"/>
    <w:rsid w:val="00E40CE6"/>
    <w:rsid w:val="00E40CEE"/>
    <w:rsid w:val="00E40D47"/>
    <w:rsid w:val="00E40D7E"/>
    <w:rsid w:val="00E40DC1"/>
    <w:rsid w:val="00E40DE1"/>
    <w:rsid w:val="00E40E05"/>
    <w:rsid w:val="00E40E7E"/>
    <w:rsid w:val="00E40EDB"/>
    <w:rsid w:val="00E40F46"/>
    <w:rsid w:val="00E40F7D"/>
    <w:rsid w:val="00E40F8D"/>
    <w:rsid w:val="00E40F9C"/>
    <w:rsid w:val="00E4102E"/>
    <w:rsid w:val="00E41119"/>
    <w:rsid w:val="00E41176"/>
    <w:rsid w:val="00E411B1"/>
    <w:rsid w:val="00E41204"/>
    <w:rsid w:val="00E41214"/>
    <w:rsid w:val="00E41239"/>
    <w:rsid w:val="00E41287"/>
    <w:rsid w:val="00E412F6"/>
    <w:rsid w:val="00E41304"/>
    <w:rsid w:val="00E41349"/>
    <w:rsid w:val="00E41366"/>
    <w:rsid w:val="00E413A1"/>
    <w:rsid w:val="00E413C6"/>
    <w:rsid w:val="00E414A5"/>
    <w:rsid w:val="00E414B9"/>
    <w:rsid w:val="00E414C7"/>
    <w:rsid w:val="00E41511"/>
    <w:rsid w:val="00E415D7"/>
    <w:rsid w:val="00E415DA"/>
    <w:rsid w:val="00E41600"/>
    <w:rsid w:val="00E41618"/>
    <w:rsid w:val="00E41672"/>
    <w:rsid w:val="00E4175F"/>
    <w:rsid w:val="00E417A5"/>
    <w:rsid w:val="00E417BB"/>
    <w:rsid w:val="00E417D0"/>
    <w:rsid w:val="00E41868"/>
    <w:rsid w:val="00E418E0"/>
    <w:rsid w:val="00E4197B"/>
    <w:rsid w:val="00E419B0"/>
    <w:rsid w:val="00E41AE5"/>
    <w:rsid w:val="00E41B5F"/>
    <w:rsid w:val="00E41B82"/>
    <w:rsid w:val="00E41CA7"/>
    <w:rsid w:val="00E41CC8"/>
    <w:rsid w:val="00E41D46"/>
    <w:rsid w:val="00E41DC1"/>
    <w:rsid w:val="00E41EB7"/>
    <w:rsid w:val="00E41F6B"/>
    <w:rsid w:val="00E41FE2"/>
    <w:rsid w:val="00E4202B"/>
    <w:rsid w:val="00E42093"/>
    <w:rsid w:val="00E42094"/>
    <w:rsid w:val="00E420DC"/>
    <w:rsid w:val="00E420F2"/>
    <w:rsid w:val="00E4212B"/>
    <w:rsid w:val="00E421BA"/>
    <w:rsid w:val="00E4222F"/>
    <w:rsid w:val="00E422AB"/>
    <w:rsid w:val="00E422CD"/>
    <w:rsid w:val="00E42343"/>
    <w:rsid w:val="00E42427"/>
    <w:rsid w:val="00E42445"/>
    <w:rsid w:val="00E42447"/>
    <w:rsid w:val="00E4250D"/>
    <w:rsid w:val="00E425AF"/>
    <w:rsid w:val="00E42638"/>
    <w:rsid w:val="00E4266E"/>
    <w:rsid w:val="00E42689"/>
    <w:rsid w:val="00E42697"/>
    <w:rsid w:val="00E42725"/>
    <w:rsid w:val="00E4273D"/>
    <w:rsid w:val="00E42757"/>
    <w:rsid w:val="00E42762"/>
    <w:rsid w:val="00E42783"/>
    <w:rsid w:val="00E427B5"/>
    <w:rsid w:val="00E427DA"/>
    <w:rsid w:val="00E427E9"/>
    <w:rsid w:val="00E42890"/>
    <w:rsid w:val="00E42909"/>
    <w:rsid w:val="00E42956"/>
    <w:rsid w:val="00E429D3"/>
    <w:rsid w:val="00E42A82"/>
    <w:rsid w:val="00E42A87"/>
    <w:rsid w:val="00E42AED"/>
    <w:rsid w:val="00E42B0F"/>
    <w:rsid w:val="00E42BB6"/>
    <w:rsid w:val="00E42C66"/>
    <w:rsid w:val="00E42C8B"/>
    <w:rsid w:val="00E42CE0"/>
    <w:rsid w:val="00E42E3E"/>
    <w:rsid w:val="00E42E5F"/>
    <w:rsid w:val="00E42E81"/>
    <w:rsid w:val="00E42EB6"/>
    <w:rsid w:val="00E42EFB"/>
    <w:rsid w:val="00E42F08"/>
    <w:rsid w:val="00E42FAE"/>
    <w:rsid w:val="00E43006"/>
    <w:rsid w:val="00E43018"/>
    <w:rsid w:val="00E430AA"/>
    <w:rsid w:val="00E430D2"/>
    <w:rsid w:val="00E43128"/>
    <w:rsid w:val="00E4312B"/>
    <w:rsid w:val="00E43146"/>
    <w:rsid w:val="00E431C0"/>
    <w:rsid w:val="00E431C9"/>
    <w:rsid w:val="00E43277"/>
    <w:rsid w:val="00E4338A"/>
    <w:rsid w:val="00E4338E"/>
    <w:rsid w:val="00E433F4"/>
    <w:rsid w:val="00E4342E"/>
    <w:rsid w:val="00E43482"/>
    <w:rsid w:val="00E4348C"/>
    <w:rsid w:val="00E434B5"/>
    <w:rsid w:val="00E434D5"/>
    <w:rsid w:val="00E4351E"/>
    <w:rsid w:val="00E43588"/>
    <w:rsid w:val="00E43684"/>
    <w:rsid w:val="00E43689"/>
    <w:rsid w:val="00E436CD"/>
    <w:rsid w:val="00E436F7"/>
    <w:rsid w:val="00E437AE"/>
    <w:rsid w:val="00E437CD"/>
    <w:rsid w:val="00E437D4"/>
    <w:rsid w:val="00E4387E"/>
    <w:rsid w:val="00E43881"/>
    <w:rsid w:val="00E438D5"/>
    <w:rsid w:val="00E438D6"/>
    <w:rsid w:val="00E438F5"/>
    <w:rsid w:val="00E4393D"/>
    <w:rsid w:val="00E439FB"/>
    <w:rsid w:val="00E43A1F"/>
    <w:rsid w:val="00E43A25"/>
    <w:rsid w:val="00E43A75"/>
    <w:rsid w:val="00E43AAE"/>
    <w:rsid w:val="00E43B50"/>
    <w:rsid w:val="00E43BCD"/>
    <w:rsid w:val="00E43E36"/>
    <w:rsid w:val="00E43EAF"/>
    <w:rsid w:val="00E43EFE"/>
    <w:rsid w:val="00E43FB9"/>
    <w:rsid w:val="00E44031"/>
    <w:rsid w:val="00E4408C"/>
    <w:rsid w:val="00E44122"/>
    <w:rsid w:val="00E4417A"/>
    <w:rsid w:val="00E44190"/>
    <w:rsid w:val="00E4420B"/>
    <w:rsid w:val="00E442B4"/>
    <w:rsid w:val="00E442FD"/>
    <w:rsid w:val="00E4433A"/>
    <w:rsid w:val="00E44363"/>
    <w:rsid w:val="00E44396"/>
    <w:rsid w:val="00E443BB"/>
    <w:rsid w:val="00E443EF"/>
    <w:rsid w:val="00E44406"/>
    <w:rsid w:val="00E4442B"/>
    <w:rsid w:val="00E44439"/>
    <w:rsid w:val="00E444A9"/>
    <w:rsid w:val="00E444C5"/>
    <w:rsid w:val="00E4453D"/>
    <w:rsid w:val="00E445CB"/>
    <w:rsid w:val="00E445EA"/>
    <w:rsid w:val="00E44659"/>
    <w:rsid w:val="00E4466A"/>
    <w:rsid w:val="00E446B0"/>
    <w:rsid w:val="00E446CF"/>
    <w:rsid w:val="00E4479F"/>
    <w:rsid w:val="00E447B9"/>
    <w:rsid w:val="00E448C3"/>
    <w:rsid w:val="00E448E0"/>
    <w:rsid w:val="00E448E7"/>
    <w:rsid w:val="00E44961"/>
    <w:rsid w:val="00E44AB0"/>
    <w:rsid w:val="00E44AD3"/>
    <w:rsid w:val="00E44B1A"/>
    <w:rsid w:val="00E44B70"/>
    <w:rsid w:val="00E44BC4"/>
    <w:rsid w:val="00E44C92"/>
    <w:rsid w:val="00E44CD2"/>
    <w:rsid w:val="00E44CF7"/>
    <w:rsid w:val="00E44D4A"/>
    <w:rsid w:val="00E44D90"/>
    <w:rsid w:val="00E44D98"/>
    <w:rsid w:val="00E44DED"/>
    <w:rsid w:val="00E44EED"/>
    <w:rsid w:val="00E44F1A"/>
    <w:rsid w:val="00E44F8E"/>
    <w:rsid w:val="00E44FCA"/>
    <w:rsid w:val="00E44FF4"/>
    <w:rsid w:val="00E4505B"/>
    <w:rsid w:val="00E450DC"/>
    <w:rsid w:val="00E450E2"/>
    <w:rsid w:val="00E450E4"/>
    <w:rsid w:val="00E45154"/>
    <w:rsid w:val="00E45191"/>
    <w:rsid w:val="00E451A6"/>
    <w:rsid w:val="00E45235"/>
    <w:rsid w:val="00E45255"/>
    <w:rsid w:val="00E45267"/>
    <w:rsid w:val="00E45282"/>
    <w:rsid w:val="00E452F3"/>
    <w:rsid w:val="00E452FF"/>
    <w:rsid w:val="00E45322"/>
    <w:rsid w:val="00E4532E"/>
    <w:rsid w:val="00E45399"/>
    <w:rsid w:val="00E4539F"/>
    <w:rsid w:val="00E453E6"/>
    <w:rsid w:val="00E45435"/>
    <w:rsid w:val="00E45458"/>
    <w:rsid w:val="00E4545C"/>
    <w:rsid w:val="00E45464"/>
    <w:rsid w:val="00E45480"/>
    <w:rsid w:val="00E454B5"/>
    <w:rsid w:val="00E454BA"/>
    <w:rsid w:val="00E454EE"/>
    <w:rsid w:val="00E4550D"/>
    <w:rsid w:val="00E4555C"/>
    <w:rsid w:val="00E455CB"/>
    <w:rsid w:val="00E4567B"/>
    <w:rsid w:val="00E456D6"/>
    <w:rsid w:val="00E456FF"/>
    <w:rsid w:val="00E45753"/>
    <w:rsid w:val="00E4576B"/>
    <w:rsid w:val="00E457C5"/>
    <w:rsid w:val="00E457D7"/>
    <w:rsid w:val="00E45811"/>
    <w:rsid w:val="00E4584C"/>
    <w:rsid w:val="00E45855"/>
    <w:rsid w:val="00E45879"/>
    <w:rsid w:val="00E4587B"/>
    <w:rsid w:val="00E45894"/>
    <w:rsid w:val="00E458A5"/>
    <w:rsid w:val="00E45904"/>
    <w:rsid w:val="00E45974"/>
    <w:rsid w:val="00E45A21"/>
    <w:rsid w:val="00E45A4F"/>
    <w:rsid w:val="00E45AAD"/>
    <w:rsid w:val="00E45AB6"/>
    <w:rsid w:val="00E45AED"/>
    <w:rsid w:val="00E45B17"/>
    <w:rsid w:val="00E45B39"/>
    <w:rsid w:val="00E45BA0"/>
    <w:rsid w:val="00E45CCF"/>
    <w:rsid w:val="00E45CDC"/>
    <w:rsid w:val="00E45D7E"/>
    <w:rsid w:val="00E45DAC"/>
    <w:rsid w:val="00E45DB3"/>
    <w:rsid w:val="00E45DC2"/>
    <w:rsid w:val="00E45DC4"/>
    <w:rsid w:val="00E45EA2"/>
    <w:rsid w:val="00E45EB7"/>
    <w:rsid w:val="00E45F74"/>
    <w:rsid w:val="00E46001"/>
    <w:rsid w:val="00E46018"/>
    <w:rsid w:val="00E46061"/>
    <w:rsid w:val="00E460BA"/>
    <w:rsid w:val="00E460F5"/>
    <w:rsid w:val="00E4619F"/>
    <w:rsid w:val="00E461A4"/>
    <w:rsid w:val="00E461AD"/>
    <w:rsid w:val="00E46220"/>
    <w:rsid w:val="00E4639A"/>
    <w:rsid w:val="00E463E2"/>
    <w:rsid w:val="00E4651B"/>
    <w:rsid w:val="00E465EB"/>
    <w:rsid w:val="00E4674F"/>
    <w:rsid w:val="00E467CB"/>
    <w:rsid w:val="00E467FB"/>
    <w:rsid w:val="00E4684F"/>
    <w:rsid w:val="00E4687F"/>
    <w:rsid w:val="00E46894"/>
    <w:rsid w:val="00E468CC"/>
    <w:rsid w:val="00E46A19"/>
    <w:rsid w:val="00E46A1B"/>
    <w:rsid w:val="00E46ABD"/>
    <w:rsid w:val="00E46B4C"/>
    <w:rsid w:val="00E46BFF"/>
    <w:rsid w:val="00E46D8B"/>
    <w:rsid w:val="00E46D9F"/>
    <w:rsid w:val="00E46DB4"/>
    <w:rsid w:val="00E46DC2"/>
    <w:rsid w:val="00E46E86"/>
    <w:rsid w:val="00E46ED4"/>
    <w:rsid w:val="00E46EDF"/>
    <w:rsid w:val="00E46F06"/>
    <w:rsid w:val="00E46F19"/>
    <w:rsid w:val="00E46F39"/>
    <w:rsid w:val="00E46F3A"/>
    <w:rsid w:val="00E47013"/>
    <w:rsid w:val="00E470DA"/>
    <w:rsid w:val="00E470FF"/>
    <w:rsid w:val="00E47105"/>
    <w:rsid w:val="00E47128"/>
    <w:rsid w:val="00E47130"/>
    <w:rsid w:val="00E471ED"/>
    <w:rsid w:val="00E471F5"/>
    <w:rsid w:val="00E47200"/>
    <w:rsid w:val="00E47230"/>
    <w:rsid w:val="00E4725A"/>
    <w:rsid w:val="00E4726D"/>
    <w:rsid w:val="00E47274"/>
    <w:rsid w:val="00E472AD"/>
    <w:rsid w:val="00E472B7"/>
    <w:rsid w:val="00E472CE"/>
    <w:rsid w:val="00E47357"/>
    <w:rsid w:val="00E47364"/>
    <w:rsid w:val="00E47372"/>
    <w:rsid w:val="00E47386"/>
    <w:rsid w:val="00E47388"/>
    <w:rsid w:val="00E47390"/>
    <w:rsid w:val="00E473B4"/>
    <w:rsid w:val="00E47410"/>
    <w:rsid w:val="00E47419"/>
    <w:rsid w:val="00E47431"/>
    <w:rsid w:val="00E47438"/>
    <w:rsid w:val="00E47453"/>
    <w:rsid w:val="00E474DD"/>
    <w:rsid w:val="00E474F6"/>
    <w:rsid w:val="00E4760B"/>
    <w:rsid w:val="00E4763A"/>
    <w:rsid w:val="00E47671"/>
    <w:rsid w:val="00E476B4"/>
    <w:rsid w:val="00E47714"/>
    <w:rsid w:val="00E477D1"/>
    <w:rsid w:val="00E47812"/>
    <w:rsid w:val="00E47903"/>
    <w:rsid w:val="00E4791E"/>
    <w:rsid w:val="00E479A3"/>
    <w:rsid w:val="00E47A33"/>
    <w:rsid w:val="00E47ABD"/>
    <w:rsid w:val="00E47ADE"/>
    <w:rsid w:val="00E47B51"/>
    <w:rsid w:val="00E47BEB"/>
    <w:rsid w:val="00E47C85"/>
    <w:rsid w:val="00E47C8D"/>
    <w:rsid w:val="00E47CE3"/>
    <w:rsid w:val="00E47CE8"/>
    <w:rsid w:val="00E47CED"/>
    <w:rsid w:val="00E47D4E"/>
    <w:rsid w:val="00E47D84"/>
    <w:rsid w:val="00E47D89"/>
    <w:rsid w:val="00E47DCE"/>
    <w:rsid w:val="00E47DFA"/>
    <w:rsid w:val="00E47E53"/>
    <w:rsid w:val="00E47E79"/>
    <w:rsid w:val="00E47ED5"/>
    <w:rsid w:val="00E47F27"/>
    <w:rsid w:val="00E47F2D"/>
    <w:rsid w:val="00E49651"/>
    <w:rsid w:val="00E50026"/>
    <w:rsid w:val="00E50138"/>
    <w:rsid w:val="00E501A2"/>
    <w:rsid w:val="00E501CD"/>
    <w:rsid w:val="00E50219"/>
    <w:rsid w:val="00E50229"/>
    <w:rsid w:val="00E502CB"/>
    <w:rsid w:val="00E505DA"/>
    <w:rsid w:val="00E5066A"/>
    <w:rsid w:val="00E50680"/>
    <w:rsid w:val="00E50785"/>
    <w:rsid w:val="00E507DF"/>
    <w:rsid w:val="00E5086E"/>
    <w:rsid w:val="00E5089E"/>
    <w:rsid w:val="00E508B9"/>
    <w:rsid w:val="00E509B6"/>
    <w:rsid w:val="00E509B9"/>
    <w:rsid w:val="00E509E0"/>
    <w:rsid w:val="00E50A13"/>
    <w:rsid w:val="00E50A27"/>
    <w:rsid w:val="00E50B85"/>
    <w:rsid w:val="00E50BD6"/>
    <w:rsid w:val="00E50C1F"/>
    <w:rsid w:val="00E50D87"/>
    <w:rsid w:val="00E50DBF"/>
    <w:rsid w:val="00E50DE5"/>
    <w:rsid w:val="00E50DE6"/>
    <w:rsid w:val="00E50E43"/>
    <w:rsid w:val="00E50E51"/>
    <w:rsid w:val="00E50E57"/>
    <w:rsid w:val="00E50F89"/>
    <w:rsid w:val="00E50FB4"/>
    <w:rsid w:val="00E51011"/>
    <w:rsid w:val="00E510DB"/>
    <w:rsid w:val="00E511CA"/>
    <w:rsid w:val="00E51205"/>
    <w:rsid w:val="00E51221"/>
    <w:rsid w:val="00E512D4"/>
    <w:rsid w:val="00E51376"/>
    <w:rsid w:val="00E513CE"/>
    <w:rsid w:val="00E51459"/>
    <w:rsid w:val="00E5149C"/>
    <w:rsid w:val="00E51521"/>
    <w:rsid w:val="00E515E5"/>
    <w:rsid w:val="00E515F3"/>
    <w:rsid w:val="00E51608"/>
    <w:rsid w:val="00E51666"/>
    <w:rsid w:val="00E5168B"/>
    <w:rsid w:val="00E516CF"/>
    <w:rsid w:val="00E516F6"/>
    <w:rsid w:val="00E51728"/>
    <w:rsid w:val="00E51769"/>
    <w:rsid w:val="00E517A3"/>
    <w:rsid w:val="00E517B2"/>
    <w:rsid w:val="00E51875"/>
    <w:rsid w:val="00E518CA"/>
    <w:rsid w:val="00E51983"/>
    <w:rsid w:val="00E519C5"/>
    <w:rsid w:val="00E51A7D"/>
    <w:rsid w:val="00E51B07"/>
    <w:rsid w:val="00E51B45"/>
    <w:rsid w:val="00E51B7A"/>
    <w:rsid w:val="00E51B84"/>
    <w:rsid w:val="00E51BD9"/>
    <w:rsid w:val="00E51BDF"/>
    <w:rsid w:val="00E51C4A"/>
    <w:rsid w:val="00E51C5B"/>
    <w:rsid w:val="00E51C5D"/>
    <w:rsid w:val="00E51C78"/>
    <w:rsid w:val="00E51CAF"/>
    <w:rsid w:val="00E51D29"/>
    <w:rsid w:val="00E51D36"/>
    <w:rsid w:val="00E51DC0"/>
    <w:rsid w:val="00E51DFE"/>
    <w:rsid w:val="00E51EA9"/>
    <w:rsid w:val="00E51F76"/>
    <w:rsid w:val="00E51F84"/>
    <w:rsid w:val="00E51FD9"/>
    <w:rsid w:val="00E51FFB"/>
    <w:rsid w:val="00E52046"/>
    <w:rsid w:val="00E52053"/>
    <w:rsid w:val="00E520CA"/>
    <w:rsid w:val="00E5218E"/>
    <w:rsid w:val="00E521BF"/>
    <w:rsid w:val="00E521E9"/>
    <w:rsid w:val="00E52221"/>
    <w:rsid w:val="00E52293"/>
    <w:rsid w:val="00E523A6"/>
    <w:rsid w:val="00E52453"/>
    <w:rsid w:val="00E52470"/>
    <w:rsid w:val="00E52498"/>
    <w:rsid w:val="00E525B0"/>
    <w:rsid w:val="00E525DB"/>
    <w:rsid w:val="00E5261B"/>
    <w:rsid w:val="00E5266E"/>
    <w:rsid w:val="00E526AD"/>
    <w:rsid w:val="00E526BC"/>
    <w:rsid w:val="00E5273D"/>
    <w:rsid w:val="00E527E4"/>
    <w:rsid w:val="00E5289C"/>
    <w:rsid w:val="00E528F3"/>
    <w:rsid w:val="00E52951"/>
    <w:rsid w:val="00E5295C"/>
    <w:rsid w:val="00E52984"/>
    <w:rsid w:val="00E52989"/>
    <w:rsid w:val="00E529C5"/>
    <w:rsid w:val="00E52ABC"/>
    <w:rsid w:val="00E52B86"/>
    <w:rsid w:val="00E52BD6"/>
    <w:rsid w:val="00E52C58"/>
    <w:rsid w:val="00E52C8F"/>
    <w:rsid w:val="00E52CC3"/>
    <w:rsid w:val="00E52F5F"/>
    <w:rsid w:val="00E52F7A"/>
    <w:rsid w:val="00E52FB0"/>
    <w:rsid w:val="00E53081"/>
    <w:rsid w:val="00E53191"/>
    <w:rsid w:val="00E531FC"/>
    <w:rsid w:val="00E53227"/>
    <w:rsid w:val="00E53271"/>
    <w:rsid w:val="00E532A5"/>
    <w:rsid w:val="00E53305"/>
    <w:rsid w:val="00E5332D"/>
    <w:rsid w:val="00E53341"/>
    <w:rsid w:val="00E5338C"/>
    <w:rsid w:val="00E53394"/>
    <w:rsid w:val="00E5344A"/>
    <w:rsid w:val="00E535AC"/>
    <w:rsid w:val="00E535FC"/>
    <w:rsid w:val="00E53632"/>
    <w:rsid w:val="00E5371E"/>
    <w:rsid w:val="00E537B2"/>
    <w:rsid w:val="00E537BD"/>
    <w:rsid w:val="00E5390A"/>
    <w:rsid w:val="00E53922"/>
    <w:rsid w:val="00E53975"/>
    <w:rsid w:val="00E53A28"/>
    <w:rsid w:val="00E53A5A"/>
    <w:rsid w:val="00E53AA2"/>
    <w:rsid w:val="00E53AA8"/>
    <w:rsid w:val="00E53AE5"/>
    <w:rsid w:val="00E53C0F"/>
    <w:rsid w:val="00E53C27"/>
    <w:rsid w:val="00E53C4F"/>
    <w:rsid w:val="00E53C63"/>
    <w:rsid w:val="00E53D07"/>
    <w:rsid w:val="00E53D82"/>
    <w:rsid w:val="00E53E0E"/>
    <w:rsid w:val="00E53F89"/>
    <w:rsid w:val="00E53F8D"/>
    <w:rsid w:val="00E53FA1"/>
    <w:rsid w:val="00E53FF4"/>
    <w:rsid w:val="00E54016"/>
    <w:rsid w:val="00E540CC"/>
    <w:rsid w:val="00E54119"/>
    <w:rsid w:val="00E54190"/>
    <w:rsid w:val="00E54331"/>
    <w:rsid w:val="00E54340"/>
    <w:rsid w:val="00E5435B"/>
    <w:rsid w:val="00E544F8"/>
    <w:rsid w:val="00E545D3"/>
    <w:rsid w:val="00E54671"/>
    <w:rsid w:val="00E546AA"/>
    <w:rsid w:val="00E546EF"/>
    <w:rsid w:val="00E546FE"/>
    <w:rsid w:val="00E5471D"/>
    <w:rsid w:val="00E547A6"/>
    <w:rsid w:val="00E547B3"/>
    <w:rsid w:val="00E5483A"/>
    <w:rsid w:val="00E54913"/>
    <w:rsid w:val="00E5491F"/>
    <w:rsid w:val="00E54924"/>
    <w:rsid w:val="00E5492F"/>
    <w:rsid w:val="00E54993"/>
    <w:rsid w:val="00E54ADB"/>
    <w:rsid w:val="00E54BC0"/>
    <w:rsid w:val="00E54C02"/>
    <w:rsid w:val="00E54C2F"/>
    <w:rsid w:val="00E54C3C"/>
    <w:rsid w:val="00E54C54"/>
    <w:rsid w:val="00E54E7E"/>
    <w:rsid w:val="00E54EB8"/>
    <w:rsid w:val="00E54F13"/>
    <w:rsid w:val="00E550F9"/>
    <w:rsid w:val="00E5517D"/>
    <w:rsid w:val="00E551D8"/>
    <w:rsid w:val="00E55207"/>
    <w:rsid w:val="00E55219"/>
    <w:rsid w:val="00E5526F"/>
    <w:rsid w:val="00E55365"/>
    <w:rsid w:val="00E55383"/>
    <w:rsid w:val="00E5538D"/>
    <w:rsid w:val="00E553E4"/>
    <w:rsid w:val="00E5541A"/>
    <w:rsid w:val="00E55420"/>
    <w:rsid w:val="00E55454"/>
    <w:rsid w:val="00E5549A"/>
    <w:rsid w:val="00E554ED"/>
    <w:rsid w:val="00E554F6"/>
    <w:rsid w:val="00E55520"/>
    <w:rsid w:val="00E55532"/>
    <w:rsid w:val="00E5556D"/>
    <w:rsid w:val="00E55576"/>
    <w:rsid w:val="00E55672"/>
    <w:rsid w:val="00E556B1"/>
    <w:rsid w:val="00E556C4"/>
    <w:rsid w:val="00E55700"/>
    <w:rsid w:val="00E55715"/>
    <w:rsid w:val="00E55725"/>
    <w:rsid w:val="00E55800"/>
    <w:rsid w:val="00E55824"/>
    <w:rsid w:val="00E558B6"/>
    <w:rsid w:val="00E558E5"/>
    <w:rsid w:val="00E559F8"/>
    <w:rsid w:val="00E55A0F"/>
    <w:rsid w:val="00E55A2C"/>
    <w:rsid w:val="00E55A85"/>
    <w:rsid w:val="00E55AAC"/>
    <w:rsid w:val="00E55AC7"/>
    <w:rsid w:val="00E55AEE"/>
    <w:rsid w:val="00E55AF1"/>
    <w:rsid w:val="00E55B22"/>
    <w:rsid w:val="00E55BD5"/>
    <w:rsid w:val="00E55C3B"/>
    <w:rsid w:val="00E55C91"/>
    <w:rsid w:val="00E55C9B"/>
    <w:rsid w:val="00E55CBB"/>
    <w:rsid w:val="00E55CD1"/>
    <w:rsid w:val="00E55D3D"/>
    <w:rsid w:val="00E55DEB"/>
    <w:rsid w:val="00E55DF7"/>
    <w:rsid w:val="00E55E52"/>
    <w:rsid w:val="00E55EFB"/>
    <w:rsid w:val="00E55F00"/>
    <w:rsid w:val="00E56003"/>
    <w:rsid w:val="00E56057"/>
    <w:rsid w:val="00E561A2"/>
    <w:rsid w:val="00E561C3"/>
    <w:rsid w:val="00E561EA"/>
    <w:rsid w:val="00E56216"/>
    <w:rsid w:val="00E5623A"/>
    <w:rsid w:val="00E56275"/>
    <w:rsid w:val="00E562A1"/>
    <w:rsid w:val="00E56313"/>
    <w:rsid w:val="00E56348"/>
    <w:rsid w:val="00E563C0"/>
    <w:rsid w:val="00E56413"/>
    <w:rsid w:val="00E564F4"/>
    <w:rsid w:val="00E56599"/>
    <w:rsid w:val="00E565AA"/>
    <w:rsid w:val="00E56697"/>
    <w:rsid w:val="00E566BD"/>
    <w:rsid w:val="00E566D7"/>
    <w:rsid w:val="00E566DB"/>
    <w:rsid w:val="00E566DD"/>
    <w:rsid w:val="00E56702"/>
    <w:rsid w:val="00E5670E"/>
    <w:rsid w:val="00E5679B"/>
    <w:rsid w:val="00E567C5"/>
    <w:rsid w:val="00E56861"/>
    <w:rsid w:val="00E568F2"/>
    <w:rsid w:val="00E568F7"/>
    <w:rsid w:val="00E56924"/>
    <w:rsid w:val="00E56933"/>
    <w:rsid w:val="00E5698D"/>
    <w:rsid w:val="00E569ED"/>
    <w:rsid w:val="00E56A7F"/>
    <w:rsid w:val="00E56A90"/>
    <w:rsid w:val="00E56A99"/>
    <w:rsid w:val="00E56B0D"/>
    <w:rsid w:val="00E56B9A"/>
    <w:rsid w:val="00E56B9B"/>
    <w:rsid w:val="00E56C9D"/>
    <w:rsid w:val="00E56D2B"/>
    <w:rsid w:val="00E56D6B"/>
    <w:rsid w:val="00E56DCE"/>
    <w:rsid w:val="00E56E28"/>
    <w:rsid w:val="00E56E49"/>
    <w:rsid w:val="00E56E56"/>
    <w:rsid w:val="00E56EB9"/>
    <w:rsid w:val="00E56FCD"/>
    <w:rsid w:val="00E56FD0"/>
    <w:rsid w:val="00E56FFC"/>
    <w:rsid w:val="00E570A3"/>
    <w:rsid w:val="00E570F6"/>
    <w:rsid w:val="00E57121"/>
    <w:rsid w:val="00E57148"/>
    <w:rsid w:val="00E571F7"/>
    <w:rsid w:val="00E573B2"/>
    <w:rsid w:val="00E5742C"/>
    <w:rsid w:val="00E575EC"/>
    <w:rsid w:val="00E5771F"/>
    <w:rsid w:val="00E5773E"/>
    <w:rsid w:val="00E57743"/>
    <w:rsid w:val="00E5783D"/>
    <w:rsid w:val="00E5789C"/>
    <w:rsid w:val="00E578E5"/>
    <w:rsid w:val="00E57965"/>
    <w:rsid w:val="00E579A8"/>
    <w:rsid w:val="00E579BE"/>
    <w:rsid w:val="00E57A00"/>
    <w:rsid w:val="00E57B6C"/>
    <w:rsid w:val="00E57B8D"/>
    <w:rsid w:val="00E57C00"/>
    <w:rsid w:val="00E57C02"/>
    <w:rsid w:val="00E57C9C"/>
    <w:rsid w:val="00E57CA1"/>
    <w:rsid w:val="00E57E1B"/>
    <w:rsid w:val="00E57E31"/>
    <w:rsid w:val="00E60005"/>
    <w:rsid w:val="00E6003A"/>
    <w:rsid w:val="00E60068"/>
    <w:rsid w:val="00E60089"/>
    <w:rsid w:val="00E600D2"/>
    <w:rsid w:val="00E600E4"/>
    <w:rsid w:val="00E601DF"/>
    <w:rsid w:val="00E602A5"/>
    <w:rsid w:val="00E602D5"/>
    <w:rsid w:val="00E60398"/>
    <w:rsid w:val="00E603F2"/>
    <w:rsid w:val="00E6054B"/>
    <w:rsid w:val="00E60556"/>
    <w:rsid w:val="00E60574"/>
    <w:rsid w:val="00E6059A"/>
    <w:rsid w:val="00E60694"/>
    <w:rsid w:val="00E606BB"/>
    <w:rsid w:val="00E606C7"/>
    <w:rsid w:val="00E60767"/>
    <w:rsid w:val="00E607FE"/>
    <w:rsid w:val="00E60845"/>
    <w:rsid w:val="00E60859"/>
    <w:rsid w:val="00E6088A"/>
    <w:rsid w:val="00E608EC"/>
    <w:rsid w:val="00E6093D"/>
    <w:rsid w:val="00E60A0F"/>
    <w:rsid w:val="00E60A51"/>
    <w:rsid w:val="00E60A70"/>
    <w:rsid w:val="00E60AA1"/>
    <w:rsid w:val="00E60AEA"/>
    <w:rsid w:val="00E60AF2"/>
    <w:rsid w:val="00E60B31"/>
    <w:rsid w:val="00E60B61"/>
    <w:rsid w:val="00E60B97"/>
    <w:rsid w:val="00E60BD5"/>
    <w:rsid w:val="00E60CA4"/>
    <w:rsid w:val="00E60CB7"/>
    <w:rsid w:val="00E60CDD"/>
    <w:rsid w:val="00E60CE1"/>
    <w:rsid w:val="00E60D26"/>
    <w:rsid w:val="00E60D35"/>
    <w:rsid w:val="00E60D4E"/>
    <w:rsid w:val="00E60DFC"/>
    <w:rsid w:val="00E60E1F"/>
    <w:rsid w:val="00E60E3A"/>
    <w:rsid w:val="00E60E58"/>
    <w:rsid w:val="00E60EFA"/>
    <w:rsid w:val="00E60F5A"/>
    <w:rsid w:val="00E60F5C"/>
    <w:rsid w:val="00E60FDD"/>
    <w:rsid w:val="00E60FF9"/>
    <w:rsid w:val="00E60FFA"/>
    <w:rsid w:val="00E6100F"/>
    <w:rsid w:val="00E61059"/>
    <w:rsid w:val="00E61063"/>
    <w:rsid w:val="00E6116F"/>
    <w:rsid w:val="00E611C6"/>
    <w:rsid w:val="00E61257"/>
    <w:rsid w:val="00E6126D"/>
    <w:rsid w:val="00E6127F"/>
    <w:rsid w:val="00E612BE"/>
    <w:rsid w:val="00E61350"/>
    <w:rsid w:val="00E61399"/>
    <w:rsid w:val="00E613B7"/>
    <w:rsid w:val="00E613FB"/>
    <w:rsid w:val="00E61415"/>
    <w:rsid w:val="00E614A6"/>
    <w:rsid w:val="00E614CC"/>
    <w:rsid w:val="00E614DD"/>
    <w:rsid w:val="00E614DE"/>
    <w:rsid w:val="00E614E5"/>
    <w:rsid w:val="00E61621"/>
    <w:rsid w:val="00E616D4"/>
    <w:rsid w:val="00E61721"/>
    <w:rsid w:val="00E61813"/>
    <w:rsid w:val="00E61835"/>
    <w:rsid w:val="00E61861"/>
    <w:rsid w:val="00E618C7"/>
    <w:rsid w:val="00E61A3B"/>
    <w:rsid w:val="00E61AB8"/>
    <w:rsid w:val="00E61B23"/>
    <w:rsid w:val="00E61C47"/>
    <w:rsid w:val="00E61CA5"/>
    <w:rsid w:val="00E61CD5"/>
    <w:rsid w:val="00E61D40"/>
    <w:rsid w:val="00E61D88"/>
    <w:rsid w:val="00E61DF7"/>
    <w:rsid w:val="00E61E16"/>
    <w:rsid w:val="00E61E21"/>
    <w:rsid w:val="00E61E6E"/>
    <w:rsid w:val="00E61E8C"/>
    <w:rsid w:val="00E61EB5"/>
    <w:rsid w:val="00E61F23"/>
    <w:rsid w:val="00E620AB"/>
    <w:rsid w:val="00E6215C"/>
    <w:rsid w:val="00E6218F"/>
    <w:rsid w:val="00E621C7"/>
    <w:rsid w:val="00E62230"/>
    <w:rsid w:val="00E62377"/>
    <w:rsid w:val="00E6252A"/>
    <w:rsid w:val="00E62552"/>
    <w:rsid w:val="00E625F0"/>
    <w:rsid w:val="00E62605"/>
    <w:rsid w:val="00E62635"/>
    <w:rsid w:val="00E62646"/>
    <w:rsid w:val="00E626DB"/>
    <w:rsid w:val="00E627C6"/>
    <w:rsid w:val="00E6282B"/>
    <w:rsid w:val="00E62838"/>
    <w:rsid w:val="00E628AB"/>
    <w:rsid w:val="00E628AF"/>
    <w:rsid w:val="00E628D6"/>
    <w:rsid w:val="00E62923"/>
    <w:rsid w:val="00E6295F"/>
    <w:rsid w:val="00E62A5F"/>
    <w:rsid w:val="00E62AA2"/>
    <w:rsid w:val="00E62AE3"/>
    <w:rsid w:val="00E62AFF"/>
    <w:rsid w:val="00E62B49"/>
    <w:rsid w:val="00E62B67"/>
    <w:rsid w:val="00E62BDD"/>
    <w:rsid w:val="00E62C0C"/>
    <w:rsid w:val="00E62C11"/>
    <w:rsid w:val="00E62C49"/>
    <w:rsid w:val="00E62C5F"/>
    <w:rsid w:val="00E62CA0"/>
    <w:rsid w:val="00E62CEC"/>
    <w:rsid w:val="00E62D20"/>
    <w:rsid w:val="00E62E31"/>
    <w:rsid w:val="00E62E78"/>
    <w:rsid w:val="00E62EA3"/>
    <w:rsid w:val="00E62F27"/>
    <w:rsid w:val="00E62F76"/>
    <w:rsid w:val="00E62F9C"/>
    <w:rsid w:val="00E62FE9"/>
    <w:rsid w:val="00E62FF1"/>
    <w:rsid w:val="00E630BF"/>
    <w:rsid w:val="00E6320A"/>
    <w:rsid w:val="00E6326F"/>
    <w:rsid w:val="00E632CD"/>
    <w:rsid w:val="00E6334C"/>
    <w:rsid w:val="00E6335F"/>
    <w:rsid w:val="00E6342A"/>
    <w:rsid w:val="00E634D3"/>
    <w:rsid w:val="00E634DB"/>
    <w:rsid w:val="00E634FB"/>
    <w:rsid w:val="00E634FC"/>
    <w:rsid w:val="00E635CD"/>
    <w:rsid w:val="00E6369F"/>
    <w:rsid w:val="00E636C3"/>
    <w:rsid w:val="00E63735"/>
    <w:rsid w:val="00E63764"/>
    <w:rsid w:val="00E637D6"/>
    <w:rsid w:val="00E638BC"/>
    <w:rsid w:val="00E63942"/>
    <w:rsid w:val="00E63A13"/>
    <w:rsid w:val="00E63A38"/>
    <w:rsid w:val="00E63AEA"/>
    <w:rsid w:val="00E63B0D"/>
    <w:rsid w:val="00E63B42"/>
    <w:rsid w:val="00E63B99"/>
    <w:rsid w:val="00E63BA7"/>
    <w:rsid w:val="00E63BB2"/>
    <w:rsid w:val="00E63BE7"/>
    <w:rsid w:val="00E63C3A"/>
    <w:rsid w:val="00E63C65"/>
    <w:rsid w:val="00E63C88"/>
    <w:rsid w:val="00E63CC2"/>
    <w:rsid w:val="00E63D27"/>
    <w:rsid w:val="00E63D99"/>
    <w:rsid w:val="00E63E36"/>
    <w:rsid w:val="00E63F2C"/>
    <w:rsid w:val="00E63F2E"/>
    <w:rsid w:val="00E63F9F"/>
    <w:rsid w:val="00E64106"/>
    <w:rsid w:val="00E6419B"/>
    <w:rsid w:val="00E641B8"/>
    <w:rsid w:val="00E64281"/>
    <w:rsid w:val="00E642F8"/>
    <w:rsid w:val="00E64364"/>
    <w:rsid w:val="00E644A1"/>
    <w:rsid w:val="00E6451E"/>
    <w:rsid w:val="00E64542"/>
    <w:rsid w:val="00E64619"/>
    <w:rsid w:val="00E6461D"/>
    <w:rsid w:val="00E64681"/>
    <w:rsid w:val="00E64692"/>
    <w:rsid w:val="00E646AE"/>
    <w:rsid w:val="00E64806"/>
    <w:rsid w:val="00E6485C"/>
    <w:rsid w:val="00E6486E"/>
    <w:rsid w:val="00E648C8"/>
    <w:rsid w:val="00E64926"/>
    <w:rsid w:val="00E6492D"/>
    <w:rsid w:val="00E64948"/>
    <w:rsid w:val="00E64A3E"/>
    <w:rsid w:val="00E64A5C"/>
    <w:rsid w:val="00E64AEE"/>
    <w:rsid w:val="00E64B0A"/>
    <w:rsid w:val="00E64B42"/>
    <w:rsid w:val="00E64BC5"/>
    <w:rsid w:val="00E64C83"/>
    <w:rsid w:val="00E64CEF"/>
    <w:rsid w:val="00E64CF2"/>
    <w:rsid w:val="00E64D1F"/>
    <w:rsid w:val="00E64D2E"/>
    <w:rsid w:val="00E64E75"/>
    <w:rsid w:val="00E64EA5"/>
    <w:rsid w:val="00E64FAB"/>
    <w:rsid w:val="00E64FCA"/>
    <w:rsid w:val="00E65004"/>
    <w:rsid w:val="00E65015"/>
    <w:rsid w:val="00E6504B"/>
    <w:rsid w:val="00E6507C"/>
    <w:rsid w:val="00E650EA"/>
    <w:rsid w:val="00E65182"/>
    <w:rsid w:val="00E6519C"/>
    <w:rsid w:val="00E6520C"/>
    <w:rsid w:val="00E65257"/>
    <w:rsid w:val="00E6527F"/>
    <w:rsid w:val="00E652BE"/>
    <w:rsid w:val="00E6534B"/>
    <w:rsid w:val="00E65414"/>
    <w:rsid w:val="00E65416"/>
    <w:rsid w:val="00E654D9"/>
    <w:rsid w:val="00E654FC"/>
    <w:rsid w:val="00E6558D"/>
    <w:rsid w:val="00E6558E"/>
    <w:rsid w:val="00E6573A"/>
    <w:rsid w:val="00E6574A"/>
    <w:rsid w:val="00E65802"/>
    <w:rsid w:val="00E65822"/>
    <w:rsid w:val="00E6592F"/>
    <w:rsid w:val="00E659B6"/>
    <w:rsid w:val="00E65A9A"/>
    <w:rsid w:val="00E65BBD"/>
    <w:rsid w:val="00E65BEE"/>
    <w:rsid w:val="00E65C38"/>
    <w:rsid w:val="00E65C64"/>
    <w:rsid w:val="00E65C79"/>
    <w:rsid w:val="00E65D26"/>
    <w:rsid w:val="00E65DB7"/>
    <w:rsid w:val="00E65E1E"/>
    <w:rsid w:val="00E65E2A"/>
    <w:rsid w:val="00E65E42"/>
    <w:rsid w:val="00E65F7B"/>
    <w:rsid w:val="00E65F97"/>
    <w:rsid w:val="00E65FBF"/>
    <w:rsid w:val="00E66025"/>
    <w:rsid w:val="00E6611E"/>
    <w:rsid w:val="00E66158"/>
    <w:rsid w:val="00E662A8"/>
    <w:rsid w:val="00E6630C"/>
    <w:rsid w:val="00E66327"/>
    <w:rsid w:val="00E663B2"/>
    <w:rsid w:val="00E6648E"/>
    <w:rsid w:val="00E664C1"/>
    <w:rsid w:val="00E664CA"/>
    <w:rsid w:val="00E6650E"/>
    <w:rsid w:val="00E6656F"/>
    <w:rsid w:val="00E6665B"/>
    <w:rsid w:val="00E667B9"/>
    <w:rsid w:val="00E667C6"/>
    <w:rsid w:val="00E66836"/>
    <w:rsid w:val="00E66862"/>
    <w:rsid w:val="00E66885"/>
    <w:rsid w:val="00E66899"/>
    <w:rsid w:val="00E668D1"/>
    <w:rsid w:val="00E668DD"/>
    <w:rsid w:val="00E6699F"/>
    <w:rsid w:val="00E669B0"/>
    <w:rsid w:val="00E66A21"/>
    <w:rsid w:val="00E66AEC"/>
    <w:rsid w:val="00E66B0A"/>
    <w:rsid w:val="00E66B6B"/>
    <w:rsid w:val="00E66B82"/>
    <w:rsid w:val="00E66BF5"/>
    <w:rsid w:val="00E66C06"/>
    <w:rsid w:val="00E66C83"/>
    <w:rsid w:val="00E66DD5"/>
    <w:rsid w:val="00E66F67"/>
    <w:rsid w:val="00E66FA5"/>
    <w:rsid w:val="00E66FBC"/>
    <w:rsid w:val="00E67003"/>
    <w:rsid w:val="00E67016"/>
    <w:rsid w:val="00E6707F"/>
    <w:rsid w:val="00E670C0"/>
    <w:rsid w:val="00E67105"/>
    <w:rsid w:val="00E6715E"/>
    <w:rsid w:val="00E6716B"/>
    <w:rsid w:val="00E6716D"/>
    <w:rsid w:val="00E671A8"/>
    <w:rsid w:val="00E6721C"/>
    <w:rsid w:val="00E67255"/>
    <w:rsid w:val="00E672AE"/>
    <w:rsid w:val="00E672CE"/>
    <w:rsid w:val="00E67323"/>
    <w:rsid w:val="00E67325"/>
    <w:rsid w:val="00E6732D"/>
    <w:rsid w:val="00E673D6"/>
    <w:rsid w:val="00E67543"/>
    <w:rsid w:val="00E67620"/>
    <w:rsid w:val="00E6762A"/>
    <w:rsid w:val="00E6765A"/>
    <w:rsid w:val="00E676CD"/>
    <w:rsid w:val="00E676CE"/>
    <w:rsid w:val="00E67729"/>
    <w:rsid w:val="00E678EC"/>
    <w:rsid w:val="00E679E2"/>
    <w:rsid w:val="00E67A4F"/>
    <w:rsid w:val="00E67A75"/>
    <w:rsid w:val="00E67A88"/>
    <w:rsid w:val="00E67B04"/>
    <w:rsid w:val="00E67B7D"/>
    <w:rsid w:val="00E67B9B"/>
    <w:rsid w:val="00E67B9C"/>
    <w:rsid w:val="00E67BC4"/>
    <w:rsid w:val="00E67BEA"/>
    <w:rsid w:val="00E67CC1"/>
    <w:rsid w:val="00E67CCE"/>
    <w:rsid w:val="00E67DDB"/>
    <w:rsid w:val="00E67E17"/>
    <w:rsid w:val="00E67E2C"/>
    <w:rsid w:val="00E67EC4"/>
    <w:rsid w:val="00E67EFB"/>
    <w:rsid w:val="00E67F2B"/>
    <w:rsid w:val="00E67F8C"/>
    <w:rsid w:val="00E67FEC"/>
    <w:rsid w:val="00E7004D"/>
    <w:rsid w:val="00E70072"/>
    <w:rsid w:val="00E700CA"/>
    <w:rsid w:val="00E70109"/>
    <w:rsid w:val="00E70221"/>
    <w:rsid w:val="00E70235"/>
    <w:rsid w:val="00E70285"/>
    <w:rsid w:val="00E702CA"/>
    <w:rsid w:val="00E70352"/>
    <w:rsid w:val="00E70358"/>
    <w:rsid w:val="00E70368"/>
    <w:rsid w:val="00E70373"/>
    <w:rsid w:val="00E703CA"/>
    <w:rsid w:val="00E703F1"/>
    <w:rsid w:val="00E70476"/>
    <w:rsid w:val="00E70488"/>
    <w:rsid w:val="00E704B4"/>
    <w:rsid w:val="00E704ED"/>
    <w:rsid w:val="00E705C1"/>
    <w:rsid w:val="00E705C5"/>
    <w:rsid w:val="00E70610"/>
    <w:rsid w:val="00E70698"/>
    <w:rsid w:val="00E706B4"/>
    <w:rsid w:val="00E707CE"/>
    <w:rsid w:val="00E7083A"/>
    <w:rsid w:val="00E7089D"/>
    <w:rsid w:val="00E70938"/>
    <w:rsid w:val="00E70987"/>
    <w:rsid w:val="00E709C2"/>
    <w:rsid w:val="00E70A23"/>
    <w:rsid w:val="00E70A34"/>
    <w:rsid w:val="00E70ACD"/>
    <w:rsid w:val="00E70C1D"/>
    <w:rsid w:val="00E70C89"/>
    <w:rsid w:val="00E70CFA"/>
    <w:rsid w:val="00E70D17"/>
    <w:rsid w:val="00E70D46"/>
    <w:rsid w:val="00E70E6A"/>
    <w:rsid w:val="00E70F0D"/>
    <w:rsid w:val="00E70F5A"/>
    <w:rsid w:val="00E70FC7"/>
    <w:rsid w:val="00E71098"/>
    <w:rsid w:val="00E710EB"/>
    <w:rsid w:val="00E7111B"/>
    <w:rsid w:val="00E7113B"/>
    <w:rsid w:val="00E7115E"/>
    <w:rsid w:val="00E71164"/>
    <w:rsid w:val="00E711A8"/>
    <w:rsid w:val="00E711ED"/>
    <w:rsid w:val="00E7124E"/>
    <w:rsid w:val="00E7128A"/>
    <w:rsid w:val="00E712E6"/>
    <w:rsid w:val="00E712F2"/>
    <w:rsid w:val="00E71334"/>
    <w:rsid w:val="00E7133C"/>
    <w:rsid w:val="00E713C5"/>
    <w:rsid w:val="00E71562"/>
    <w:rsid w:val="00E71581"/>
    <w:rsid w:val="00E71601"/>
    <w:rsid w:val="00E7169B"/>
    <w:rsid w:val="00E716F3"/>
    <w:rsid w:val="00E71714"/>
    <w:rsid w:val="00E71752"/>
    <w:rsid w:val="00E7175D"/>
    <w:rsid w:val="00E71781"/>
    <w:rsid w:val="00E7178D"/>
    <w:rsid w:val="00E7179D"/>
    <w:rsid w:val="00E717E8"/>
    <w:rsid w:val="00E71815"/>
    <w:rsid w:val="00E71870"/>
    <w:rsid w:val="00E718FB"/>
    <w:rsid w:val="00E7194F"/>
    <w:rsid w:val="00E71957"/>
    <w:rsid w:val="00E719CD"/>
    <w:rsid w:val="00E719DB"/>
    <w:rsid w:val="00E71A28"/>
    <w:rsid w:val="00E71A32"/>
    <w:rsid w:val="00E71ACD"/>
    <w:rsid w:val="00E71ADE"/>
    <w:rsid w:val="00E71B21"/>
    <w:rsid w:val="00E71B51"/>
    <w:rsid w:val="00E71B70"/>
    <w:rsid w:val="00E71C18"/>
    <w:rsid w:val="00E71CD3"/>
    <w:rsid w:val="00E71D00"/>
    <w:rsid w:val="00E71D41"/>
    <w:rsid w:val="00E71DB7"/>
    <w:rsid w:val="00E71DCD"/>
    <w:rsid w:val="00E71E20"/>
    <w:rsid w:val="00E71E5B"/>
    <w:rsid w:val="00E71EA9"/>
    <w:rsid w:val="00E71EAD"/>
    <w:rsid w:val="00E71ECF"/>
    <w:rsid w:val="00E71F08"/>
    <w:rsid w:val="00E71F81"/>
    <w:rsid w:val="00E71FE2"/>
    <w:rsid w:val="00E72011"/>
    <w:rsid w:val="00E72012"/>
    <w:rsid w:val="00E72059"/>
    <w:rsid w:val="00E7212C"/>
    <w:rsid w:val="00E72139"/>
    <w:rsid w:val="00E7213F"/>
    <w:rsid w:val="00E7219D"/>
    <w:rsid w:val="00E72363"/>
    <w:rsid w:val="00E723BF"/>
    <w:rsid w:val="00E72404"/>
    <w:rsid w:val="00E7241D"/>
    <w:rsid w:val="00E724B9"/>
    <w:rsid w:val="00E724DF"/>
    <w:rsid w:val="00E72547"/>
    <w:rsid w:val="00E7254D"/>
    <w:rsid w:val="00E725A3"/>
    <w:rsid w:val="00E725C1"/>
    <w:rsid w:val="00E7260B"/>
    <w:rsid w:val="00E72619"/>
    <w:rsid w:val="00E72622"/>
    <w:rsid w:val="00E7265A"/>
    <w:rsid w:val="00E7266B"/>
    <w:rsid w:val="00E7273F"/>
    <w:rsid w:val="00E72803"/>
    <w:rsid w:val="00E7288E"/>
    <w:rsid w:val="00E728AA"/>
    <w:rsid w:val="00E72942"/>
    <w:rsid w:val="00E72A18"/>
    <w:rsid w:val="00E72A7A"/>
    <w:rsid w:val="00E72ACF"/>
    <w:rsid w:val="00E72AEA"/>
    <w:rsid w:val="00E72B8C"/>
    <w:rsid w:val="00E72BCD"/>
    <w:rsid w:val="00E72BED"/>
    <w:rsid w:val="00E72C58"/>
    <w:rsid w:val="00E72C82"/>
    <w:rsid w:val="00E72CE2"/>
    <w:rsid w:val="00E72D6F"/>
    <w:rsid w:val="00E72D71"/>
    <w:rsid w:val="00E72DD3"/>
    <w:rsid w:val="00E72EA9"/>
    <w:rsid w:val="00E72EBD"/>
    <w:rsid w:val="00E72FDE"/>
    <w:rsid w:val="00E73003"/>
    <w:rsid w:val="00E7300A"/>
    <w:rsid w:val="00E73024"/>
    <w:rsid w:val="00E7308F"/>
    <w:rsid w:val="00E730C7"/>
    <w:rsid w:val="00E730CC"/>
    <w:rsid w:val="00E7310E"/>
    <w:rsid w:val="00E73165"/>
    <w:rsid w:val="00E731DA"/>
    <w:rsid w:val="00E7325D"/>
    <w:rsid w:val="00E73357"/>
    <w:rsid w:val="00E733E4"/>
    <w:rsid w:val="00E73421"/>
    <w:rsid w:val="00E73424"/>
    <w:rsid w:val="00E7348C"/>
    <w:rsid w:val="00E7351A"/>
    <w:rsid w:val="00E73574"/>
    <w:rsid w:val="00E7357D"/>
    <w:rsid w:val="00E735D7"/>
    <w:rsid w:val="00E7368A"/>
    <w:rsid w:val="00E7368F"/>
    <w:rsid w:val="00E736B9"/>
    <w:rsid w:val="00E736CB"/>
    <w:rsid w:val="00E736D0"/>
    <w:rsid w:val="00E736F8"/>
    <w:rsid w:val="00E73745"/>
    <w:rsid w:val="00E73793"/>
    <w:rsid w:val="00E737E2"/>
    <w:rsid w:val="00E738FF"/>
    <w:rsid w:val="00E739C0"/>
    <w:rsid w:val="00E73A2F"/>
    <w:rsid w:val="00E73A9A"/>
    <w:rsid w:val="00E73B3B"/>
    <w:rsid w:val="00E73B78"/>
    <w:rsid w:val="00E73B84"/>
    <w:rsid w:val="00E73C86"/>
    <w:rsid w:val="00E73CFF"/>
    <w:rsid w:val="00E73D5E"/>
    <w:rsid w:val="00E73DCD"/>
    <w:rsid w:val="00E73E2E"/>
    <w:rsid w:val="00E73F26"/>
    <w:rsid w:val="00E73F2A"/>
    <w:rsid w:val="00E73F4F"/>
    <w:rsid w:val="00E73F72"/>
    <w:rsid w:val="00E73F8A"/>
    <w:rsid w:val="00E73FAD"/>
    <w:rsid w:val="00E74074"/>
    <w:rsid w:val="00E74113"/>
    <w:rsid w:val="00E741D3"/>
    <w:rsid w:val="00E7423F"/>
    <w:rsid w:val="00E742AA"/>
    <w:rsid w:val="00E742DD"/>
    <w:rsid w:val="00E7430B"/>
    <w:rsid w:val="00E74372"/>
    <w:rsid w:val="00E74379"/>
    <w:rsid w:val="00E743CB"/>
    <w:rsid w:val="00E7448F"/>
    <w:rsid w:val="00E74506"/>
    <w:rsid w:val="00E745D8"/>
    <w:rsid w:val="00E7466B"/>
    <w:rsid w:val="00E746D4"/>
    <w:rsid w:val="00E74721"/>
    <w:rsid w:val="00E7475C"/>
    <w:rsid w:val="00E74761"/>
    <w:rsid w:val="00E74774"/>
    <w:rsid w:val="00E747AD"/>
    <w:rsid w:val="00E74827"/>
    <w:rsid w:val="00E7492F"/>
    <w:rsid w:val="00E74963"/>
    <w:rsid w:val="00E74A19"/>
    <w:rsid w:val="00E74A76"/>
    <w:rsid w:val="00E74ACB"/>
    <w:rsid w:val="00E74B61"/>
    <w:rsid w:val="00E74C79"/>
    <w:rsid w:val="00E74CDB"/>
    <w:rsid w:val="00E74CFD"/>
    <w:rsid w:val="00E74D04"/>
    <w:rsid w:val="00E74E0E"/>
    <w:rsid w:val="00E74E23"/>
    <w:rsid w:val="00E74E38"/>
    <w:rsid w:val="00E74E95"/>
    <w:rsid w:val="00E74F6C"/>
    <w:rsid w:val="00E74FE5"/>
    <w:rsid w:val="00E74FED"/>
    <w:rsid w:val="00E75070"/>
    <w:rsid w:val="00E750A8"/>
    <w:rsid w:val="00E750D2"/>
    <w:rsid w:val="00E751E3"/>
    <w:rsid w:val="00E75252"/>
    <w:rsid w:val="00E752AC"/>
    <w:rsid w:val="00E752B1"/>
    <w:rsid w:val="00E75327"/>
    <w:rsid w:val="00E7536B"/>
    <w:rsid w:val="00E753D7"/>
    <w:rsid w:val="00E7548B"/>
    <w:rsid w:val="00E75538"/>
    <w:rsid w:val="00E755D0"/>
    <w:rsid w:val="00E755E2"/>
    <w:rsid w:val="00E755F8"/>
    <w:rsid w:val="00E75667"/>
    <w:rsid w:val="00E75684"/>
    <w:rsid w:val="00E756CA"/>
    <w:rsid w:val="00E756F1"/>
    <w:rsid w:val="00E75746"/>
    <w:rsid w:val="00E757DF"/>
    <w:rsid w:val="00E757E8"/>
    <w:rsid w:val="00E7584C"/>
    <w:rsid w:val="00E75852"/>
    <w:rsid w:val="00E759A7"/>
    <w:rsid w:val="00E75A2D"/>
    <w:rsid w:val="00E75A3F"/>
    <w:rsid w:val="00E75B1E"/>
    <w:rsid w:val="00E75B24"/>
    <w:rsid w:val="00E75C06"/>
    <w:rsid w:val="00E75C0D"/>
    <w:rsid w:val="00E75DF1"/>
    <w:rsid w:val="00E75EAB"/>
    <w:rsid w:val="00E7608D"/>
    <w:rsid w:val="00E76120"/>
    <w:rsid w:val="00E76130"/>
    <w:rsid w:val="00E761EB"/>
    <w:rsid w:val="00E761FB"/>
    <w:rsid w:val="00E761FF"/>
    <w:rsid w:val="00E76300"/>
    <w:rsid w:val="00E76351"/>
    <w:rsid w:val="00E764E3"/>
    <w:rsid w:val="00E7656B"/>
    <w:rsid w:val="00E765C9"/>
    <w:rsid w:val="00E766B0"/>
    <w:rsid w:val="00E766C6"/>
    <w:rsid w:val="00E76716"/>
    <w:rsid w:val="00E76803"/>
    <w:rsid w:val="00E768F6"/>
    <w:rsid w:val="00E7693C"/>
    <w:rsid w:val="00E76949"/>
    <w:rsid w:val="00E769B1"/>
    <w:rsid w:val="00E76A4F"/>
    <w:rsid w:val="00E76AAB"/>
    <w:rsid w:val="00E76B0C"/>
    <w:rsid w:val="00E76BAB"/>
    <w:rsid w:val="00E76C14"/>
    <w:rsid w:val="00E76CF6"/>
    <w:rsid w:val="00E76E3D"/>
    <w:rsid w:val="00E76EB5"/>
    <w:rsid w:val="00E76EF9"/>
    <w:rsid w:val="00E76F16"/>
    <w:rsid w:val="00E7706A"/>
    <w:rsid w:val="00E77134"/>
    <w:rsid w:val="00E77149"/>
    <w:rsid w:val="00E7714C"/>
    <w:rsid w:val="00E77170"/>
    <w:rsid w:val="00E771E2"/>
    <w:rsid w:val="00E77224"/>
    <w:rsid w:val="00E772D6"/>
    <w:rsid w:val="00E773E5"/>
    <w:rsid w:val="00E7746B"/>
    <w:rsid w:val="00E774BE"/>
    <w:rsid w:val="00E77507"/>
    <w:rsid w:val="00E7759E"/>
    <w:rsid w:val="00E777B0"/>
    <w:rsid w:val="00E777CC"/>
    <w:rsid w:val="00E778E5"/>
    <w:rsid w:val="00E779A2"/>
    <w:rsid w:val="00E779BA"/>
    <w:rsid w:val="00E779E0"/>
    <w:rsid w:val="00E77A23"/>
    <w:rsid w:val="00E77A58"/>
    <w:rsid w:val="00E77AE2"/>
    <w:rsid w:val="00E77B31"/>
    <w:rsid w:val="00E77C11"/>
    <w:rsid w:val="00E77C27"/>
    <w:rsid w:val="00E77C2A"/>
    <w:rsid w:val="00E77C5F"/>
    <w:rsid w:val="00E77C78"/>
    <w:rsid w:val="00E77CC0"/>
    <w:rsid w:val="00E77D60"/>
    <w:rsid w:val="00E77D7D"/>
    <w:rsid w:val="00E77DE4"/>
    <w:rsid w:val="00E77E18"/>
    <w:rsid w:val="00E77F0D"/>
    <w:rsid w:val="00E77F58"/>
    <w:rsid w:val="00E77FCA"/>
    <w:rsid w:val="00E8002D"/>
    <w:rsid w:val="00E80048"/>
    <w:rsid w:val="00E80065"/>
    <w:rsid w:val="00E800B4"/>
    <w:rsid w:val="00E80158"/>
    <w:rsid w:val="00E801AA"/>
    <w:rsid w:val="00E80258"/>
    <w:rsid w:val="00E8025C"/>
    <w:rsid w:val="00E8032C"/>
    <w:rsid w:val="00E8039B"/>
    <w:rsid w:val="00E803DE"/>
    <w:rsid w:val="00E8043F"/>
    <w:rsid w:val="00E80484"/>
    <w:rsid w:val="00E80488"/>
    <w:rsid w:val="00E804C4"/>
    <w:rsid w:val="00E8058B"/>
    <w:rsid w:val="00E805DB"/>
    <w:rsid w:val="00E80669"/>
    <w:rsid w:val="00E8067E"/>
    <w:rsid w:val="00E806A3"/>
    <w:rsid w:val="00E806A4"/>
    <w:rsid w:val="00E806A5"/>
    <w:rsid w:val="00E8082A"/>
    <w:rsid w:val="00E80882"/>
    <w:rsid w:val="00E808F3"/>
    <w:rsid w:val="00E8095B"/>
    <w:rsid w:val="00E80997"/>
    <w:rsid w:val="00E80A0F"/>
    <w:rsid w:val="00E80A3F"/>
    <w:rsid w:val="00E80A90"/>
    <w:rsid w:val="00E80AC8"/>
    <w:rsid w:val="00E80B58"/>
    <w:rsid w:val="00E80B9D"/>
    <w:rsid w:val="00E80BA7"/>
    <w:rsid w:val="00E80C8F"/>
    <w:rsid w:val="00E80DB3"/>
    <w:rsid w:val="00E80F19"/>
    <w:rsid w:val="00E80F8D"/>
    <w:rsid w:val="00E80F93"/>
    <w:rsid w:val="00E80FBE"/>
    <w:rsid w:val="00E8103A"/>
    <w:rsid w:val="00E81069"/>
    <w:rsid w:val="00E8109F"/>
    <w:rsid w:val="00E810EB"/>
    <w:rsid w:val="00E8118D"/>
    <w:rsid w:val="00E81292"/>
    <w:rsid w:val="00E81298"/>
    <w:rsid w:val="00E812EC"/>
    <w:rsid w:val="00E812F3"/>
    <w:rsid w:val="00E812F9"/>
    <w:rsid w:val="00E8138F"/>
    <w:rsid w:val="00E81409"/>
    <w:rsid w:val="00E815A3"/>
    <w:rsid w:val="00E815CE"/>
    <w:rsid w:val="00E81603"/>
    <w:rsid w:val="00E81700"/>
    <w:rsid w:val="00E81820"/>
    <w:rsid w:val="00E81824"/>
    <w:rsid w:val="00E81865"/>
    <w:rsid w:val="00E8186F"/>
    <w:rsid w:val="00E8187A"/>
    <w:rsid w:val="00E818C2"/>
    <w:rsid w:val="00E8192D"/>
    <w:rsid w:val="00E8199A"/>
    <w:rsid w:val="00E81A12"/>
    <w:rsid w:val="00E81A6E"/>
    <w:rsid w:val="00E81ADB"/>
    <w:rsid w:val="00E81B60"/>
    <w:rsid w:val="00E81C1F"/>
    <w:rsid w:val="00E81C4D"/>
    <w:rsid w:val="00E81CB6"/>
    <w:rsid w:val="00E81CDB"/>
    <w:rsid w:val="00E81CDF"/>
    <w:rsid w:val="00E81D4A"/>
    <w:rsid w:val="00E81DE1"/>
    <w:rsid w:val="00E81F9B"/>
    <w:rsid w:val="00E81FD1"/>
    <w:rsid w:val="00E81FDF"/>
    <w:rsid w:val="00E82155"/>
    <w:rsid w:val="00E82167"/>
    <w:rsid w:val="00E821E6"/>
    <w:rsid w:val="00E8221B"/>
    <w:rsid w:val="00E82221"/>
    <w:rsid w:val="00E8223D"/>
    <w:rsid w:val="00E82267"/>
    <w:rsid w:val="00E82290"/>
    <w:rsid w:val="00E822A8"/>
    <w:rsid w:val="00E822D9"/>
    <w:rsid w:val="00E82300"/>
    <w:rsid w:val="00E82338"/>
    <w:rsid w:val="00E82428"/>
    <w:rsid w:val="00E82469"/>
    <w:rsid w:val="00E82489"/>
    <w:rsid w:val="00E824CA"/>
    <w:rsid w:val="00E82500"/>
    <w:rsid w:val="00E826A7"/>
    <w:rsid w:val="00E8270B"/>
    <w:rsid w:val="00E8270C"/>
    <w:rsid w:val="00E82729"/>
    <w:rsid w:val="00E8284C"/>
    <w:rsid w:val="00E828E7"/>
    <w:rsid w:val="00E82990"/>
    <w:rsid w:val="00E82A1C"/>
    <w:rsid w:val="00E82A30"/>
    <w:rsid w:val="00E82A85"/>
    <w:rsid w:val="00E82B44"/>
    <w:rsid w:val="00E82B5D"/>
    <w:rsid w:val="00E82B8B"/>
    <w:rsid w:val="00E82C5C"/>
    <w:rsid w:val="00E82D98"/>
    <w:rsid w:val="00E82D9C"/>
    <w:rsid w:val="00E82E65"/>
    <w:rsid w:val="00E82FF0"/>
    <w:rsid w:val="00E83033"/>
    <w:rsid w:val="00E830E4"/>
    <w:rsid w:val="00E83194"/>
    <w:rsid w:val="00E831D6"/>
    <w:rsid w:val="00E831D7"/>
    <w:rsid w:val="00E831F5"/>
    <w:rsid w:val="00E831FA"/>
    <w:rsid w:val="00E83229"/>
    <w:rsid w:val="00E83255"/>
    <w:rsid w:val="00E83298"/>
    <w:rsid w:val="00E832F5"/>
    <w:rsid w:val="00E83339"/>
    <w:rsid w:val="00E8337E"/>
    <w:rsid w:val="00E83383"/>
    <w:rsid w:val="00E83403"/>
    <w:rsid w:val="00E83417"/>
    <w:rsid w:val="00E8363F"/>
    <w:rsid w:val="00E83674"/>
    <w:rsid w:val="00E836C7"/>
    <w:rsid w:val="00E83731"/>
    <w:rsid w:val="00E83755"/>
    <w:rsid w:val="00E83798"/>
    <w:rsid w:val="00E8386F"/>
    <w:rsid w:val="00E8390C"/>
    <w:rsid w:val="00E839D0"/>
    <w:rsid w:val="00E83A74"/>
    <w:rsid w:val="00E83A75"/>
    <w:rsid w:val="00E83B0C"/>
    <w:rsid w:val="00E83B0E"/>
    <w:rsid w:val="00E83BAA"/>
    <w:rsid w:val="00E83C0E"/>
    <w:rsid w:val="00E83CCE"/>
    <w:rsid w:val="00E83CFE"/>
    <w:rsid w:val="00E83D42"/>
    <w:rsid w:val="00E83E19"/>
    <w:rsid w:val="00E83E3E"/>
    <w:rsid w:val="00E83E9B"/>
    <w:rsid w:val="00E83FFC"/>
    <w:rsid w:val="00E84065"/>
    <w:rsid w:val="00E840A1"/>
    <w:rsid w:val="00E840EB"/>
    <w:rsid w:val="00E84137"/>
    <w:rsid w:val="00E841D3"/>
    <w:rsid w:val="00E841FD"/>
    <w:rsid w:val="00E84259"/>
    <w:rsid w:val="00E8426F"/>
    <w:rsid w:val="00E842A6"/>
    <w:rsid w:val="00E84323"/>
    <w:rsid w:val="00E84384"/>
    <w:rsid w:val="00E84397"/>
    <w:rsid w:val="00E843EF"/>
    <w:rsid w:val="00E844BA"/>
    <w:rsid w:val="00E8454E"/>
    <w:rsid w:val="00E84558"/>
    <w:rsid w:val="00E8461E"/>
    <w:rsid w:val="00E8462A"/>
    <w:rsid w:val="00E846DE"/>
    <w:rsid w:val="00E84730"/>
    <w:rsid w:val="00E84762"/>
    <w:rsid w:val="00E848A4"/>
    <w:rsid w:val="00E848C1"/>
    <w:rsid w:val="00E848D2"/>
    <w:rsid w:val="00E84955"/>
    <w:rsid w:val="00E849C4"/>
    <w:rsid w:val="00E849D1"/>
    <w:rsid w:val="00E84A6D"/>
    <w:rsid w:val="00E84AB9"/>
    <w:rsid w:val="00E84ABD"/>
    <w:rsid w:val="00E84B31"/>
    <w:rsid w:val="00E84BA8"/>
    <w:rsid w:val="00E84BD6"/>
    <w:rsid w:val="00E84C44"/>
    <w:rsid w:val="00E84C84"/>
    <w:rsid w:val="00E84C95"/>
    <w:rsid w:val="00E84CB2"/>
    <w:rsid w:val="00E84CDC"/>
    <w:rsid w:val="00E84D68"/>
    <w:rsid w:val="00E84E33"/>
    <w:rsid w:val="00E84E8E"/>
    <w:rsid w:val="00E84EB9"/>
    <w:rsid w:val="00E85049"/>
    <w:rsid w:val="00E85087"/>
    <w:rsid w:val="00E850E6"/>
    <w:rsid w:val="00E8513B"/>
    <w:rsid w:val="00E851C9"/>
    <w:rsid w:val="00E85251"/>
    <w:rsid w:val="00E85460"/>
    <w:rsid w:val="00E854D0"/>
    <w:rsid w:val="00E854D8"/>
    <w:rsid w:val="00E85649"/>
    <w:rsid w:val="00E85656"/>
    <w:rsid w:val="00E85658"/>
    <w:rsid w:val="00E85660"/>
    <w:rsid w:val="00E8566F"/>
    <w:rsid w:val="00E8567C"/>
    <w:rsid w:val="00E856AD"/>
    <w:rsid w:val="00E85702"/>
    <w:rsid w:val="00E85717"/>
    <w:rsid w:val="00E85787"/>
    <w:rsid w:val="00E857AC"/>
    <w:rsid w:val="00E857EB"/>
    <w:rsid w:val="00E8586A"/>
    <w:rsid w:val="00E8588D"/>
    <w:rsid w:val="00E85910"/>
    <w:rsid w:val="00E85992"/>
    <w:rsid w:val="00E859BC"/>
    <w:rsid w:val="00E859C1"/>
    <w:rsid w:val="00E85A0F"/>
    <w:rsid w:val="00E85A54"/>
    <w:rsid w:val="00E85A5D"/>
    <w:rsid w:val="00E85B09"/>
    <w:rsid w:val="00E85B23"/>
    <w:rsid w:val="00E85C3E"/>
    <w:rsid w:val="00E85C80"/>
    <w:rsid w:val="00E85CD4"/>
    <w:rsid w:val="00E85D7E"/>
    <w:rsid w:val="00E85E69"/>
    <w:rsid w:val="00E85EEA"/>
    <w:rsid w:val="00E85F0A"/>
    <w:rsid w:val="00E85F20"/>
    <w:rsid w:val="00E85F5E"/>
    <w:rsid w:val="00E86067"/>
    <w:rsid w:val="00E86275"/>
    <w:rsid w:val="00E862AE"/>
    <w:rsid w:val="00E862CF"/>
    <w:rsid w:val="00E8631D"/>
    <w:rsid w:val="00E86342"/>
    <w:rsid w:val="00E86348"/>
    <w:rsid w:val="00E863C3"/>
    <w:rsid w:val="00E863DD"/>
    <w:rsid w:val="00E863E5"/>
    <w:rsid w:val="00E8641B"/>
    <w:rsid w:val="00E86479"/>
    <w:rsid w:val="00E864D8"/>
    <w:rsid w:val="00E86606"/>
    <w:rsid w:val="00E86651"/>
    <w:rsid w:val="00E866EA"/>
    <w:rsid w:val="00E866FA"/>
    <w:rsid w:val="00E86704"/>
    <w:rsid w:val="00E86735"/>
    <w:rsid w:val="00E86892"/>
    <w:rsid w:val="00E868BB"/>
    <w:rsid w:val="00E86962"/>
    <w:rsid w:val="00E86A1B"/>
    <w:rsid w:val="00E86A4E"/>
    <w:rsid w:val="00E86A6E"/>
    <w:rsid w:val="00E86B79"/>
    <w:rsid w:val="00E86CE6"/>
    <w:rsid w:val="00E86D00"/>
    <w:rsid w:val="00E86D60"/>
    <w:rsid w:val="00E86D8F"/>
    <w:rsid w:val="00E86DC7"/>
    <w:rsid w:val="00E86DD1"/>
    <w:rsid w:val="00E86E15"/>
    <w:rsid w:val="00E86E1D"/>
    <w:rsid w:val="00E86E5D"/>
    <w:rsid w:val="00E86E61"/>
    <w:rsid w:val="00E86E6B"/>
    <w:rsid w:val="00E86E8B"/>
    <w:rsid w:val="00E86EA2"/>
    <w:rsid w:val="00E86EDE"/>
    <w:rsid w:val="00E86F59"/>
    <w:rsid w:val="00E86F86"/>
    <w:rsid w:val="00E86FA6"/>
    <w:rsid w:val="00E86FF7"/>
    <w:rsid w:val="00E87011"/>
    <w:rsid w:val="00E870FC"/>
    <w:rsid w:val="00E87155"/>
    <w:rsid w:val="00E871DB"/>
    <w:rsid w:val="00E8721A"/>
    <w:rsid w:val="00E8721B"/>
    <w:rsid w:val="00E87305"/>
    <w:rsid w:val="00E87308"/>
    <w:rsid w:val="00E8730B"/>
    <w:rsid w:val="00E8731C"/>
    <w:rsid w:val="00E873A2"/>
    <w:rsid w:val="00E873FD"/>
    <w:rsid w:val="00E874DD"/>
    <w:rsid w:val="00E87545"/>
    <w:rsid w:val="00E87554"/>
    <w:rsid w:val="00E876CF"/>
    <w:rsid w:val="00E876EA"/>
    <w:rsid w:val="00E87841"/>
    <w:rsid w:val="00E87888"/>
    <w:rsid w:val="00E87951"/>
    <w:rsid w:val="00E87958"/>
    <w:rsid w:val="00E87962"/>
    <w:rsid w:val="00E87983"/>
    <w:rsid w:val="00E8798D"/>
    <w:rsid w:val="00E879B9"/>
    <w:rsid w:val="00E87A1E"/>
    <w:rsid w:val="00E87B5F"/>
    <w:rsid w:val="00E87BDB"/>
    <w:rsid w:val="00E87C17"/>
    <w:rsid w:val="00E87C2A"/>
    <w:rsid w:val="00E87C48"/>
    <w:rsid w:val="00E87C72"/>
    <w:rsid w:val="00E87C9D"/>
    <w:rsid w:val="00E87DD2"/>
    <w:rsid w:val="00E87F3A"/>
    <w:rsid w:val="00E87F98"/>
    <w:rsid w:val="00E8905B"/>
    <w:rsid w:val="00E9006E"/>
    <w:rsid w:val="00E9008F"/>
    <w:rsid w:val="00E900CB"/>
    <w:rsid w:val="00E90147"/>
    <w:rsid w:val="00E90167"/>
    <w:rsid w:val="00E9016D"/>
    <w:rsid w:val="00E90181"/>
    <w:rsid w:val="00E90195"/>
    <w:rsid w:val="00E901DB"/>
    <w:rsid w:val="00E90253"/>
    <w:rsid w:val="00E90263"/>
    <w:rsid w:val="00E902CA"/>
    <w:rsid w:val="00E902FA"/>
    <w:rsid w:val="00E90320"/>
    <w:rsid w:val="00E9033D"/>
    <w:rsid w:val="00E903A8"/>
    <w:rsid w:val="00E90421"/>
    <w:rsid w:val="00E9049D"/>
    <w:rsid w:val="00E904E5"/>
    <w:rsid w:val="00E904F3"/>
    <w:rsid w:val="00E904F4"/>
    <w:rsid w:val="00E90516"/>
    <w:rsid w:val="00E9053D"/>
    <w:rsid w:val="00E90574"/>
    <w:rsid w:val="00E90677"/>
    <w:rsid w:val="00E906DE"/>
    <w:rsid w:val="00E906F8"/>
    <w:rsid w:val="00E90831"/>
    <w:rsid w:val="00E90854"/>
    <w:rsid w:val="00E90883"/>
    <w:rsid w:val="00E909B9"/>
    <w:rsid w:val="00E90AE9"/>
    <w:rsid w:val="00E90AF4"/>
    <w:rsid w:val="00E90B07"/>
    <w:rsid w:val="00E90B08"/>
    <w:rsid w:val="00E90BBA"/>
    <w:rsid w:val="00E90BC2"/>
    <w:rsid w:val="00E90BD2"/>
    <w:rsid w:val="00E90C02"/>
    <w:rsid w:val="00E90D15"/>
    <w:rsid w:val="00E90DE8"/>
    <w:rsid w:val="00E90E55"/>
    <w:rsid w:val="00E90FB9"/>
    <w:rsid w:val="00E91007"/>
    <w:rsid w:val="00E910EA"/>
    <w:rsid w:val="00E91123"/>
    <w:rsid w:val="00E9115E"/>
    <w:rsid w:val="00E9118F"/>
    <w:rsid w:val="00E9119E"/>
    <w:rsid w:val="00E911D5"/>
    <w:rsid w:val="00E91237"/>
    <w:rsid w:val="00E91280"/>
    <w:rsid w:val="00E91297"/>
    <w:rsid w:val="00E912B5"/>
    <w:rsid w:val="00E912C8"/>
    <w:rsid w:val="00E912CA"/>
    <w:rsid w:val="00E912E5"/>
    <w:rsid w:val="00E912E7"/>
    <w:rsid w:val="00E9146B"/>
    <w:rsid w:val="00E914C3"/>
    <w:rsid w:val="00E914D8"/>
    <w:rsid w:val="00E91524"/>
    <w:rsid w:val="00E9152E"/>
    <w:rsid w:val="00E915DD"/>
    <w:rsid w:val="00E915F2"/>
    <w:rsid w:val="00E91634"/>
    <w:rsid w:val="00E9164C"/>
    <w:rsid w:val="00E916D5"/>
    <w:rsid w:val="00E917FF"/>
    <w:rsid w:val="00E91801"/>
    <w:rsid w:val="00E91863"/>
    <w:rsid w:val="00E918B8"/>
    <w:rsid w:val="00E918E2"/>
    <w:rsid w:val="00E91A09"/>
    <w:rsid w:val="00E91AA4"/>
    <w:rsid w:val="00E91B6F"/>
    <w:rsid w:val="00E91B7E"/>
    <w:rsid w:val="00E91C12"/>
    <w:rsid w:val="00E91C2B"/>
    <w:rsid w:val="00E91C39"/>
    <w:rsid w:val="00E91C54"/>
    <w:rsid w:val="00E91CA3"/>
    <w:rsid w:val="00E91D3B"/>
    <w:rsid w:val="00E91D6A"/>
    <w:rsid w:val="00E91D79"/>
    <w:rsid w:val="00E91E4E"/>
    <w:rsid w:val="00E91E61"/>
    <w:rsid w:val="00E91E8D"/>
    <w:rsid w:val="00E91F27"/>
    <w:rsid w:val="00E9200E"/>
    <w:rsid w:val="00E92016"/>
    <w:rsid w:val="00E92034"/>
    <w:rsid w:val="00E920AC"/>
    <w:rsid w:val="00E920BA"/>
    <w:rsid w:val="00E920DC"/>
    <w:rsid w:val="00E920DF"/>
    <w:rsid w:val="00E92104"/>
    <w:rsid w:val="00E9212D"/>
    <w:rsid w:val="00E92181"/>
    <w:rsid w:val="00E9219A"/>
    <w:rsid w:val="00E92281"/>
    <w:rsid w:val="00E922DA"/>
    <w:rsid w:val="00E92326"/>
    <w:rsid w:val="00E92388"/>
    <w:rsid w:val="00E923B8"/>
    <w:rsid w:val="00E923E6"/>
    <w:rsid w:val="00E92439"/>
    <w:rsid w:val="00E92456"/>
    <w:rsid w:val="00E924F4"/>
    <w:rsid w:val="00E924F9"/>
    <w:rsid w:val="00E925ED"/>
    <w:rsid w:val="00E92600"/>
    <w:rsid w:val="00E9265F"/>
    <w:rsid w:val="00E9267E"/>
    <w:rsid w:val="00E926B9"/>
    <w:rsid w:val="00E9270E"/>
    <w:rsid w:val="00E92718"/>
    <w:rsid w:val="00E9277D"/>
    <w:rsid w:val="00E9283F"/>
    <w:rsid w:val="00E928AF"/>
    <w:rsid w:val="00E928B6"/>
    <w:rsid w:val="00E92904"/>
    <w:rsid w:val="00E92950"/>
    <w:rsid w:val="00E929FE"/>
    <w:rsid w:val="00E92A12"/>
    <w:rsid w:val="00E92A1E"/>
    <w:rsid w:val="00E92A3D"/>
    <w:rsid w:val="00E92ABF"/>
    <w:rsid w:val="00E92BB6"/>
    <w:rsid w:val="00E92BC6"/>
    <w:rsid w:val="00E92CFD"/>
    <w:rsid w:val="00E92D94"/>
    <w:rsid w:val="00E92DF6"/>
    <w:rsid w:val="00E92E95"/>
    <w:rsid w:val="00E92FE9"/>
    <w:rsid w:val="00E92FFC"/>
    <w:rsid w:val="00E9305D"/>
    <w:rsid w:val="00E9314A"/>
    <w:rsid w:val="00E93155"/>
    <w:rsid w:val="00E9322C"/>
    <w:rsid w:val="00E93295"/>
    <w:rsid w:val="00E932CA"/>
    <w:rsid w:val="00E932E9"/>
    <w:rsid w:val="00E933BC"/>
    <w:rsid w:val="00E933CE"/>
    <w:rsid w:val="00E933D4"/>
    <w:rsid w:val="00E93445"/>
    <w:rsid w:val="00E93566"/>
    <w:rsid w:val="00E9356A"/>
    <w:rsid w:val="00E9359F"/>
    <w:rsid w:val="00E935FC"/>
    <w:rsid w:val="00E9365E"/>
    <w:rsid w:val="00E9373C"/>
    <w:rsid w:val="00E93774"/>
    <w:rsid w:val="00E937BA"/>
    <w:rsid w:val="00E937E2"/>
    <w:rsid w:val="00E9386E"/>
    <w:rsid w:val="00E9390F"/>
    <w:rsid w:val="00E93910"/>
    <w:rsid w:val="00E93A5C"/>
    <w:rsid w:val="00E93ACD"/>
    <w:rsid w:val="00E93B0A"/>
    <w:rsid w:val="00E93B0F"/>
    <w:rsid w:val="00E93BA7"/>
    <w:rsid w:val="00E93BAF"/>
    <w:rsid w:val="00E93C96"/>
    <w:rsid w:val="00E93CB1"/>
    <w:rsid w:val="00E93D18"/>
    <w:rsid w:val="00E93D25"/>
    <w:rsid w:val="00E93D42"/>
    <w:rsid w:val="00E93D53"/>
    <w:rsid w:val="00E93DE8"/>
    <w:rsid w:val="00E93E14"/>
    <w:rsid w:val="00E93E25"/>
    <w:rsid w:val="00E93E3C"/>
    <w:rsid w:val="00E93E44"/>
    <w:rsid w:val="00E93EBA"/>
    <w:rsid w:val="00E93F14"/>
    <w:rsid w:val="00E94033"/>
    <w:rsid w:val="00E940AE"/>
    <w:rsid w:val="00E941B1"/>
    <w:rsid w:val="00E941F8"/>
    <w:rsid w:val="00E94202"/>
    <w:rsid w:val="00E9428C"/>
    <w:rsid w:val="00E94295"/>
    <w:rsid w:val="00E942DF"/>
    <w:rsid w:val="00E942EB"/>
    <w:rsid w:val="00E94352"/>
    <w:rsid w:val="00E94391"/>
    <w:rsid w:val="00E943BC"/>
    <w:rsid w:val="00E94421"/>
    <w:rsid w:val="00E9442F"/>
    <w:rsid w:val="00E94517"/>
    <w:rsid w:val="00E94569"/>
    <w:rsid w:val="00E945A5"/>
    <w:rsid w:val="00E946AE"/>
    <w:rsid w:val="00E946B3"/>
    <w:rsid w:val="00E946DA"/>
    <w:rsid w:val="00E9472D"/>
    <w:rsid w:val="00E94769"/>
    <w:rsid w:val="00E94777"/>
    <w:rsid w:val="00E9479B"/>
    <w:rsid w:val="00E948AF"/>
    <w:rsid w:val="00E948CA"/>
    <w:rsid w:val="00E94924"/>
    <w:rsid w:val="00E94A8C"/>
    <w:rsid w:val="00E94AA4"/>
    <w:rsid w:val="00E94B01"/>
    <w:rsid w:val="00E94B9F"/>
    <w:rsid w:val="00E94C12"/>
    <w:rsid w:val="00E94CDA"/>
    <w:rsid w:val="00E94D78"/>
    <w:rsid w:val="00E94DBF"/>
    <w:rsid w:val="00E94DD4"/>
    <w:rsid w:val="00E94E88"/>
    <w:rsid w:val="00E94F77"/>
    <w:rsid w:val="00E94F87"/>
    <w:rsid w:val="00E94FCA"/>
    <w:rsid w:val="00E95040"/>
    <w:rsid w:val="00E9507C"/>
    <w:rsid w:val="00E95094"/>
    <w:rsid w:val="00E95117"/>
    <w:rsid w:val="00E9511C"/>
    <w:rsid w:val="00E951F2"/>
    <w:rsid w:val="00E95239"/>
    <w:rsid w:val="00E95419"/>
    <w:rsid w:val="00E95426"/>
    <w:rsid w:val="00E95444"/>
    <w:rsid w:val="00E9545C"/>
    <w:rsid w:val="00E954DE"/>
    <w:rsid w:val="00E9554D"/>
    <w:rsid w:val="00E95557"/>
    <w:rsid w:val="00E955B9"/>
    <w:rsid w:val="00E955F1"/>
    <w:rsid w:val="00E956DE"/>
    <w:rsid w:val="00E956EC"/>
    <w:rsid w:val="00E9571E"/>
    <w:rsid w:val="00E9572C"/>
    <w:rsid w:val="00E95730"/>
    <w:rsid w:val="00E958EA"/>
    <w:rsid w:val="00E95939"/>
    <w:rsid w:val="00E95943"/>
    <w:rsid w:val="00E95952"/>
    <w:rsid w:val="00E959D1"/>
    <w:rsid w:val="00E95A05"/>
    <w:rsid w:val="00E95A90"/>
    <w:rsid w:val="00E95AAE"/>
    <w:rsid w:val="00E95B25"/>
    <w:rsid w:val="00E95BC8"/>
    <w:rsid w:val="00E95C11"/>
    <w:rsid w:val="00E95C13"/>
    <w:rsid w:val="00E95C5D"/>
    <w:rsid w:val="00E95D18"/>
    <w:rsid w:val="00E95D1C"/>
    <w:rsid w:val="00E95E08"/>
    <w:rsid w:val="00E95E66"/>
    <w:rsid w:val="00E95EA4"/>
    <w:rsid w:val="00E95F09"/>
    <w:rsid w:val="00E95F47"/>
    <w:rsid w:val="00E95F72"/>
    <w:rsid w:val="00E95FA9"/>
    <w:rsid w:val="00E95FC1"/>
    <w:rsid w:val="00E95FE6"/>
    <w:rsid w:val="00E95FFF"/>
    <w:rsid w:val="00E96036"/>
    <w:rsid w:val="00E96037"/>
    <w:rsid w:val="00E96064"/>
    <w:rsid w:val="00E960A3"/>
    <w:rsid w:val="00E960AB"/>
    <w:rsid w:val="00E960BD"/>
    <w:rsid w:val="00E9610F"/>
    <w:rsid w:val="00E96125"/>
    <w:rsid w:val="00E96173"/>
    <w:rsid w:val="00E96219"/>
    <w:rsid w:val="00E96265"/>
    <w:rsid w:val="00E96266"/>
    <w:rsid w:val="00E962DB"/>
    <w:rsid w:val="00E962ED"/>
    <w:rsid w:val="00E96331"/>
    <w:rsid w:val="00E96333"/>
    <w:rsid w:val="00E9634D"/>
    <w:rsid w:val="00E96351"/>
    <w:rsid w:val="00E96389"/>
    <w:rsid w:val="00E96459"/>
    <w:rsid w:val="00E96489"/>
    <w:rsid w:val="00E96571"/>
    <w:rsid w:val="00E9663A"/>
    <w:rsid w:val="00E966F6"/>
    <w:rsid w:val="00E9672D"/>
    <w:rsid w:val="00E967E4"/>
    <w:rsid w:val="00E96828"/>
    <w:rsid w:val="00E96851"/>
    <w:rsid w:val="00E968D7"/>
    <w:rsid w:val="00E968DE"/>
    <w:rsid w:val="00E969BE"/>
    <w:rsid w:val="00E96A55"/>
    <w:rsid w:val="00E96B0E"/>
    <w:rsid w:val="00E96B1A"/>
    <w:rsid w:val="00E96BE7"/>
    <w:rsid w:val="00E96C7C"/>
    <w:rsid w:val="00E96C9B"/>
    <w:rsid w:val="00E96CE3"/>
    <w:rsid w:val="00E96CF2"/>
    <w:rsid w:val="00E96D4E"/>
    <w:rsid w:val="00E96DCF"/>
    <w:rsid w:val="00E96E13"/>
    <w:rsid w:val="00E96E19"/>
    <w:rsid w:val="00E96E9A"/>
    <w:rsid w:val="00E96F8F"/>
    <w:rsid w:val="00E970F8"/>
    <w:rsid w:val="00E97100"/>
    <w:rsid w:val="00E97103"/>
    <w:rsid w:val="00E97169"/>
    <w:rsid w:val="00E971CC"/>
    <w:rsid w:val="00E971D1"/>
    <w:rsid w:val="00E9720A"/>
    <w:rsid w:val="00E9722C"/>
    <w:rsid w:val="00E973B7"/>
    <w:rsid w:val="00E975BB"/>
    <w:rsid w:val="00E975C0"/>
    <w:rsid w:val="00E975C4"/>
    <w:rsid w:val="00E975CC"/>
    <w:rsid w:val="00E97652"/>
    <w:rsid w:val="00E97662"/>
    <w:rsid w:val="00E976A4"/>
    <w:rsid w:val="00E976DD"/>
    <w:rsid w:val="00E97825"/>
    <w:rsid w:val="00E978CD"/>
    <w:rsid w:val="00E97930"/>
    <w:rsid w:val="00E9796F"/>
    <w:rsid w:val="00E97971"/>
    <w:rsid w:val="00E97A98"/>
    <w:rsid w:val="00E97AB1"/>
    <w:rsid w:val="00E97AE9"/>
    <w:rsid w:val="00E97AED"/>
    <w:rsid w:val="00E97B6C"/>
    <w:rsid w:val="00E97BA4"/>
    <w:rsid w:val="00E97C18"/>
    <w:rsid w:val="00E97C36"/>
    <w:rsid w:val="00E97C3A"/>
    <w:rsid w:val="00E97C76"/>
    <w:rsid w:val="00E97CD5"/>
    <w:rsid w:val="00E97CE5"/>
    <w:rsid w:val="00E97CE9"/>
    <w:rsid w:val="00E97CEF"/>
    <w:rsid w:val="00E97D35"/>
    <w:rsid w:val="00E97D38"/>
    <w:rsid w:val="00E97D72"/>
    <w:rsid w:val="00E97DE6"/>
    <w:rsid w:val="00E97DF6"/>
    <w:rsid w:val="00E97E01"/>
    <w:rsid w:val="00E97E34"/>
    <w:rsid w:val="00E97F0A"/>
    <w:rsid w:val="00E97F47"/>
    <w:rsid w:val="00EA0025"/>
    <w:rsid w:val="00EA00BF"/>
    <w:rsid w:val="00EA00C0"/>
    <w:rsid w:val="00EA00E0"/>
    <w:rsid w:val="00EA00E4"/>
    <w:rsid w:val="00EA0108"/>
    <w:rsid w:val="00EA0111"/>
    <w:rsid w:val="00EA01C4"/>
    <w:rsid w:val="00EA026F"/>
    <w:rsid w:val="00EA0306"/>
    <w:rsid w:val="00EA0348"/>
    <w:rsid w:val="00EA039B"/>
    <w:rsid w:val="00EA04AF"/>
    <w:rsid w:val="00EA04B6"/>
    <w:rsid w:val="00EA054D"/>
    <w:rsid w:val="00EA061F"/>
    <w:rsid w:val="00EA0625"/>
    <w:rsid w:val="00EA064B"/>
    <w:rsid w:val="00EA06F2"/>
    <w:rsid w:val="00EA070A"/>
    <w:rsid w:val="00EA0792"/>
    <w:rsid w:val="00EA07C5"/>
    <w:rsid w:val="00EA07C9"/>
    <w:rsid w:val="00EA07E2"/>
    <w:rsid w:val="00EA08FC"/>
    <w:rsid w:val="00EA096C"/>
    <w:rsid w:val="00EA096D"/>
    <w:rsid w:val="00EA098C"/>
    <w:rsid w:val="00EA09B2"/>
    <w:rsid w:val="00EA09C3"/>
    <w:rsid w:val="00EA0A35"/>
    <w:rsid w:val="00EA0B06"/>
    <w:rsid w:val="00EA0B72"/>
    <w:rsid w:val="00EA0BA6"/>
    <w:rsid w:val="00EA0BDC"/>
    <w:rsid w:val="00EA0C01"/>
    <w:rsid w:val="00EA0C24"/>
    <w:rsid w:val="00EA0CC7"/>
    <w:rsid w:val="00EA0D00"/>
    <w:rsid w:val="00EA0DCA"/>
    <w:rsid w:val="00EA0E17"/>
    <w:rsid w:val="00EA0E1F"/>
    <w:rsid w:val="00EA0E23"/>
    <w:rsid w:val="00EA0EDB"/>
    <w:rsid w:val="00EA0FF2"/>
    <w:rsid w:val="00EA1011"/>
    <w:rsid w:val="00EA1034"/>
    <w:rsid w:val="00EA1037"/>
    <w:rsid w:val="00EA110C"/>
    <w:rsid w:val="00EA11A9"/>
    <w:rsid w:val="00EA11BD"/>
    <w:rsid w:val="00EA11C0"/>
    <w:rsid w:val="00EA11FA"/>
    <w:rsid w:val="00EA13BE"/>
    <w:rsid w:val="00EA13C5"/>
    <w:rsid w:val="00EA1429"/>
    <w:rsid w:val="00EA14E7"/>
    <w:rsid w:val="00EA150C"/>
    <w:rsid w:val="00EA1538"/>
    <w:rsid w:val="00EA155A"/>
    <w:rsid w:val="00EA157E"/>
    <w:rsid w:val="00EA1586"/>
    <w:rsid w:val="00EA1589"/>
    <w:rsid w:val="00EA15C2"/>
    <w:rsid w:val="00EA15E3"/>
    <w:rsid w:val="00EA161D"/>
    <w:rsid w:val="00EA16EB"/>
    <w:rsid w:val="00EA170C"/>
    <w:rsid w:val="00EA1778"/>
    <w:rsid w:val="00EA1812"/>
    <w:rsid w:val="00EA1828"/>
    <w:rsid w:val="00EA1878"/>
    <w:rsid w:val="00EA1892"/>
    <w:rsid w:val="00EA18A3"/>
    <w:rsid w:val="00EA18DB"/>
    <w:rsid w:val="00EA1910"/>
    <w:rsid w:val="00EA197E"/>
    <w:rsid w:val="00EA198F"/>
    <w:rsid w:val="00EA19F3"/>
    <w:rsid w:val="00EA1A33"/>
    <w:rsid w:val="00EA1A48"/>
    <w:rsid w:val="00EA1A9A"/>
    <w:rsid w:val="00EA1ADE"/>
    <w:rsid w:val="00EA1AE2"/>
    <w:rsid w:val="00EA1AFD"/>
    <w:rsid w:val="00EA1BD9"/>
    <w:rsid w:val="00EA1C09"/>
    <w:rsid w:val="00EA1C23"/>
    <w:rsid w:val="00EA1C47"/>
    <w:rsid w:val="00EA1CCE"/>
    <w:rsid w:val="00EA1DB9"/>
    <w:rsid w:val="00EA1DFD"/>
    <w:rsid w:val="00EA1E7C"/>
    <w:rsid w:val="00EA1F49"/>
    <w:rsid w:val="00EA1FB0"/>
    <w:rsid w:val="00EA1FC3"/>
    <w:rsid w:val="00EA2013"/>
    <w:rsid w:val="00EA203B"/>
    <w:rsid w:val="00EA219B"/>
    <w:rsid w:val="00EA21FA"/>
    <w:rsid w:val="00EA222F"/>
    <w:rsid w:val="00EA2263"/>
    <w:rsid w:val="00EA227D"/>
    <w:rsid w:val="00EA22B3"/>
    <w:rsid w:val="00EA22F7"/>
    <w:rsid w:val="00EA2341"/>
    <w:rsid w:val="00EA2365"/>
    <w:rsid w:val="00EA23C5"/>
    <w:rsid w:val="00EA2449"/>
    <w:rsid w:val="00EA2493"/>
    <w:rsid w:val="00EA24B2"/>
    <w:rsid w:val="00EA24B9"/>
    <w:rsid w:val="00EA24E2"/>
    <w:rsid w:val="00EA24FF"/>
    <w:rsid w:val="00EA254B"/>
    <w:rsid w:val="00EA25AD"/>
    <w:rsid w:val="00EA2604"/>
    <w:rsid w:val="00EA2646"/>
    <w:rsid w:val="00EA2713"/>
    <w:rsid w:val="00EA2743"/>
    <w:rsid w:val="00EA2783"/>
    <w:rsid w:val="00EA2786"/>
    <w:rsid w:val="00EA27CE"/>
    <w:rsid w:val="00EA27EF"/>
    <w:rsid w:val="00EA2810"/>
    <w:rsid w:val="00EA2899"/>
    <w:rsid w:val="00EA2925"/>
    <w:rsid w:val="00EA29A1"/>
    <w:rsid w:val="00EA2A12"/>
    <w:rsid w:val="00EA2A17"/>
    <w:rsid w:val="00EA2AAD"/>
    <w:rsid w:val="00EA2B41"/>
    <w:rsid w:val="00EA2BC4"/>
    <w:rsid w:val="00EA2BE9"/>
    <w:rsid w:val="00EA2C03"/>
    <w:rsid w:val="00EA2C14"/>
    <w:rsid w:val="00EA2C3F"/>
    <w:rsid w:val="00EA2C79"/>
    <w:rsid w:val="00EA2D20"/>
    <w:rsid w:val="00EA2D2F"/>
    <w:rsid w:val="00EA2D40"/>
    <w:rsid w:val="00EA2D9A"/>
    <w:rsid w:val="00EA2DD2"/>
    <w:rsid w:val="00EA2DFB"/>
    <w:rsid w:val="00EA2F4D"/>
    <w:rsid w:val="00EA2FDB"/>
    <w:rsid w:val="00EA2FFC"/>
    <w:rsid w:val="00EA31A4"/>
    <w:rsid w:val="00EA31AA"/>
    <w:rsid w:val="00EA31B3"/>
    <w:rsid w:val="00EA3212"/>
    <w:rsid w:val="00EA3231"/>
    <w:rsid w:val="00EA3274"/>
    <w:rsid w:val="00EA32EB"/>
    <w:rsid w:val="00EA333D"/>
    <w:rsid w:val="00EA335B"/>
    <w:rsid w:val="00EA33D8"/>
    <w:rsid w:val="00EA33E0"/>
    <w:rsid w:val="00EA340C"/>
    <w:rsid w:val="00EA342F"/>
    <w:rsid w:val="00EA3435"/>
    <w:rsid w:val="00EA3483"/>
    <w:rsid w:val="00EA350B"/>
    <w:rsid w:val="00EA35BB"/>
    <w:rsid w:val="00EA3662"/>
    <w:rsid w:val="00EA36F7"/>
    <w:rsid w:val="00EA370E"/>
    <w:rsid w:val="00EA3718"/>
    <w:rsid w:val="00EA3758"/>
    <w:rsid w:val="00EA37BB"/>
    <w:rsid w:val="00EA37DC"/>
    <w:rsid w:val="00EA3834"/>
    <w:rsid w:val="00EA38FC"/>
    <w:rsid w:val="00EA39A4"/>
    <w:rsid w:val="00EA3A00"/>
    <w:rsid w:val="00EA3A83"/>
    <w:rsid w:val="00EA3AD7"/>
    <w:rsid w:val="00EA3B2C"/>
    <w:rsid w:val="00EA3B32"/>
    <w:rsid w:val="00EA3B9E"/>
    <w:rsid w:val="00EA3C32"/>
    <w:rsid w:val="00EA3C43"/>
    <w:rsid w:val="00EA3C7D"/>
    <w:rsid w:val="00EA3CE4"/>
    <w:rsid w:val="00EA3D2A"/>
    <w:rsid w:val="00EA3D58"/>
    <w:rsid w:val="00EA3DC6"/>
    <w:rsid w:val="00EA3E3F"/>
    <w:rsid w:val="00EA3F57"/>
    <w:rsid w:val="00EA3F72"/>
    <w:rsid w:val="00EA4064"/>
    <w:rsid w:val="00EA4085"/>
    <w:rsid w:val="00EA40A7"/>
    <w:rsid w:val="00EA4100"/>
    <w:rsid w:val="00EA41AD"/>
    <w:rsid w:val="00EA41F1"/>
    <w:rsid w:val="00EA4318"/>
    <w:rsid w:val="00EA4331"/>
    <w:rsid w:val="00EA43A2"/>
    <w:rsid w:val="00EA4433"/>
    <w:rsid w:val="00EA445A"/>
    <w:rsid w:val="00EA4469"/>
    <w:rsid w:val="00EA4491"/>
    <w:rsid w:val="00EA44BD"/>
    <w:rsid w:val="00EA457F"/>
    <w:rsid w:val="00EA4599"/>
    <w:rsid w:val="00EA45B1"/>
    <w:rsid w:val="00EA45BA"/>
    <w:rsid w:val="00EA45FB"/>
    <w:rsid w:val="00EA4684"/>
    <w:rsid w:val="00EA46E0"/>
    <w:rsid w:val="00EA4745"/>
    <w:rsid w:val="00EA4782"/>
    <w:rsid w:val="00EA47A8"/>
    <w:rsid w:val="00EA47CB"/>
    <w:rsid w:val="00EA47DF"/>
    <w:rsid w:val="00EA47EB"/>
    <w:rsid w:val="00EA4838"/>
    <w:rsid w:val="00EA48F7"/>
    <w:rsid w:val="00EA48FD"/>
    <w:rsid w:val="00EA4913"/>
    <w:rsid w:val="00EA4916"/>
    <w:rsid w:val="00EA4A09"/>
    <w:rsid w:val="00EA4A35"/>
    <w:rsid w:val="00EA4A46"/>
    <w:rsid w:val="00EA4A47"/>
    <w:rsid w:val="00EA4A49"/>
    <w:rsid w:val="00EA4A5E"/>
    <w:rsid w:val="00EA4AEE"/>
    <w:rsid w:val="00EA4B72"/>
    <w:rsid w:val="00EA4C15"/>
    <w:rsid w:val="00EA4CF5"/>
    <w:rsid w:val="00EA4D48"/>
    <w:rsid w:val="00EA4E50"/>
    <w:rsid w:val="00EA4E75"/>
    <w:rsid w:val="00EA4E89"/>
    <w:rsid w:val="00EA4EDC"/>
    <w:rsid w:val="00EA4EF7"/>
    <w:rsid w:val="00EA4EFA"/>
    <w:rsid w:val="00EA4FA1"/>
    <w:rsid w:val="00EA4FC9"/>
    <w:rsid w:val="00EA50E1"/>
    <w:rsid w:val="00EA5108"/>
    <w:rsid w:val="00EA514C"/>
    <w:rsid w:val="00EA51B6"/>
    <w:rsid w:val="00EA51C5"/>
    <w:rsid w:val="00EA5272"/>
    <w:rsid w:val="00EA5310"/>
    <w:rsid w:val="00EA53C9"/>
    <w:rsid w:val="00EA53E3"/>
    <w:rsid w:val="00EA5487"/>
    <w:rsid w:val="00EA54C5"/>
    <w:rsid w:val="00EA54E0"/>
    <w:rsid w:val="00EA55E8"/>
    <w:rsid w:val="00EA55F5"/>
    <w:rsid w:val="00EA56A7"/>
    <w:rsid w:val="00EA56CC"/>
    <w:rsid w:val="00EA57D3"/>
    <w:rsid w:val="00EA5818"/>
    <w:rsid w:val="00EA5855"/>
    <w:rsid w:val="00EA5858"/>
    <w:rsid w:val="00EA5874"/>
    <w:rsid w:val="00EA58B6"/>
    <w:rsid w:val="00EA58D3"/>
    <w:rsid w:val="00EA58DC"/>
    <w:rsid w:val="00EA59A5"/>
    <w:rsid w:val="00EA59AB"/>
    <w:rsid w:val="00EA59C5"/>
    <w:rsid w:val="00EA59E7"/>
    <w:rsid w:val="00EA5AF6"/>
    <w:rsid w:val="00EA5B12"/>
    <w:rsid w:val="00EA5B75"/>
    <w:rsid w:val="00EA5B82"/>
    <w:rsid w:val="00EA5C66"/>
    <w:rsid w:val="00EA5CC8"/>
    <w:rsid w:val="00EA5D7F"/>
    <w:rsid w:val="00EA5D90"/>
    <w:rsid w:val="00EA5DD6"/>
    <w:rsid w:val="00EA5DE9"/>
    <w:rsid w:val="00EA5DF4"/>
    <w:rsid w:val="00EA5E17"/>
    <w:rsid w:val="00EA5E69"/>
    <w:rsid w:val="00EA5E79"/>
    <w:rsid w:val="00EA5ECC"/>
    <w:rsid w:val="00EA5F19"/>
    <w:rsid w:val="00EA5FBA"/>
    <w:rsid w:val="00EA5FCE"/>
    <w:rsid w:val="00EA5FE0"/>
    <w:rsid w:val="00EA5FF2"/>
    <w:rsid w:val="00EA6039"/>
    <w:rsid w:val="00EA60AE"/>
    <w:rsid w:val="00EA6176"/>
    <w:rsid w:val="00EA61D3"/>
    <w:rsid w:val="00EA626A"/>
    <w:rsid w:val="00EA637A"/>
    <w:rsid w:val="00EA63A4"/>
    <w:rsid w:val="00EA63D6"/>
    <w:rsid w:val="00EA6443"/>
    <w:rsid w:val="00EA6683"/>
    <w:rsid w:val="00EA66AE"/>
    <w:rsid w:val="00EA66FE"/>
    <w:rsid w:val="00EA677A"/>
    <w:rsid w:val="00EA67B9"/>
    <w:rsid w:val="00EA685B"/>
    <w:rsid w:val="00EA685F"/>
    <w:rsid w:val="00EA6881"/>
    <w:rsid w:val="00EA68B8"/>
    <w:rsid w:val="00EA6955"/>
    <w:rsid w:val="00EA69EE"/>
    <w:rsid w:val="00EA69EF"/>
    <w:rsid w:val="00EA6A7C"/>
    <w:rsid w:val="00EA6AA3"/>
    <w:rsid w:val="00EA6AB9"/>
    <w:rsid w:val="00EA6BE6"/>
    <w:rsid w:val="00EA6BF5"/>
    <w:rsid w:val="00EA6C58"/>
    <w:rsid w:val="00EA6C79"/>
    <w:rsid w:val="00EA6CB0"/>
    <w:rsid w:val="00EA6CC6"/>
    <w:rsid w:val="00EA6D98"/>
    <w:rsid w:val="00EA6DDC"/>
    <w:rsid w:val="00EA6DE3"/>
    <w:rsid w:val="00EA6EB3"/>
    <w:rsid w:val="00EA6EF1"/>
    <w:rsid w:val="00EA6F2A"/>
    <w:rsid w:val="00EA6FC2"/>
    <w:rsid w:val="00EA6FE3"/>
    <w:rsid w:val="00EA7051"/>
    <w:rsid w:val="00EA714C"/>
    <w:rsid w:val="00EA7170"/>
    <w:rsid w:val="00EA7204"/>
    <w:rsid w:val="00EA721B"/>
    <w:rsid w:val="00EA72A2"/>
    <w:rsid w:val="00EA7326"/>
    <w:rsid w:val="00EA7337"/>
    <w:rsid w:val="00EA7451"/>
    <w:rsid w:val="00EA7566"/>
    <w:rsid w:val="00EA7567"/>
    <w:rsid w:val="00EA7571"/>
    <w:rsid w:val="00EA75D7"/>
    <w:rsid w:val="00EA75E0"/>
    <w:rsid w:val="00EA763D"/>
    <w:rsid w:val="00EA77BE"/>
    <w:rsid w:val="00EA781B"/>
    <w:rsid w:val="00EA781E"/>
    <w:rsid w:val="00EA7869"/>
    <w:rsid w:val="00EA7988"/>
    <w:rsid w:val="00EA7A1F"/>
    <w:rsid w:val="00EA7AFD"/>
    <w:rsid w:val="00EA7B35"/>
    <w:rsid w:val="00EA7B54"/>
    <w:rsid w:val="00EA7B8F"/>
    <w:rsid w:val="00EA7BDC"/>
    <w:rsid w:val="00EA7BF9"/>
    <w:rsid w:val="00EA7C3E"/>
    <w:rsid w:val="00EA7C7A"/>
    <w:rsid w:val="00EA7CC6"/>
    <w:rsid w:val="00EA7D2B"/>
    <w:rsid w:val="00EA7DC5"/>
    <w:rsid w:val="00EA7DF3"/>
    <w:rsid w:val="00EA7F28"/>
    <w:rsid w:val="00EA7F4F"/>
    <w:rsid w:val="00EA7F99"/>
    <w:rsid w:val="00EB0065"/>
    <w:rsid w:val="00EB009A"/>
    <w:rsid w:val="00EB00BA"/>
    <w:rsid w:val="00EB0109"/>
    <w:rsid w:val="00EB020F"/>
    <w:rsid w:val="00EB0270"/>
    <w:rsid w:val="00EB0298"/>
    <w:rsid w:val="00EB0324"/>
    <w:rsid w:val="00EB036B"/>
    <w:rsid w:val="00EB03A9"/>
    <w:rsid w:val="00EB0569"/>
    <w:rsid w:val="00EB05B0"/>
    <w:rsid w:val="00EB0698"/>
    <w:rsid w:val="00EB069B"/>
    <w:rsid w:val="00EB06B0"/>
    <w:rsid w:val="00EB06B1"/>
    <w:rsid w:val="00EB06E8"/>
    <w:rsid w:val="00EB0858"/>
    <w:rsid w:val="00EB089A"/>
    <w:rsid w:val="00EB08DA"/>
    <w:rsid w:val="00EB08E8"/>
    <w:rsid w:val="00EB08F3"/>
    <w:rsid w:val="00EB08FD"/>
    <w:rsid w:val="00EB0971"/>
    <w:rsid w:val="00EB09E5"/>
    <w:rsid w:val="00EB0A15"/>
    <w:rsid w:val="00EB0A30"/>
    <w:rsid w:val="00EB0A8B"/>
    <w:rsid w:val="00EB0ADF"/>
    <w:rsid w:val="00EB0AEB"/>
    <w:rsid w:val="00EB0BC3"/>
    <w:rsid w:val="00EB0C24"/>
    <w:rsid w:val="00EB0CBA"/>
    <w:rsid w:val="00EB0CDC"/>
    <w:rsid w:val="00EB0D63"/>
    <w:rsid w:val="00EB0D65"/>
    <w:rsid w:val="00EB0DD9"/>
    <w:rsid w:val="00EB0E0C"/>
    <w:rsid w:val="00EB0E56"/>
    <w:rsid w:val="00EB0E7E"/>
    <w:rsid w:val="00EB0EEA"/>
    <w:rsid w:val="00EB0F21"/>
    <w:rsid w:val="00EB0F38"/>
    <w:rsid w:val="00EB0F8A"/>
    <w:rsid w:val="00EB0F98"/>
    <w:rsid w:val="00EB100F"/>
    <w:rsid w:val="00EB10B3"/>
    <w:rsid w:val="00EB11C8"/>
    <w:rsid w:val="00EB11FD"/>
    <w:rsid w:val="00EB128C"/>
    <w:rsid w:val="00EB128D"/>
    <w:rsid w:val="00EB1315"/>
    <w:rsid w:val="00EB1325"/>
    <w:rsid w:val="00EB139A"/>
    <w:rsid w:val="00EB13AD"/>
    <w:rsid w:val="00EB13E3"/>
    <w:rsid w:val="00EB143D"/>
    <w:rsid w:val="00EB15FB"/>
    <w:rsid w:val="00EB1756"/>
    <w:rsid w:val="00EB17A7"/>
    <w:rsid w:val="00EB17BF"/>
    <w:rsid w:val="00EB17CA"/>
    <w:rsid w:val="00EB1878"/>
    <w:rsid w:val="00EB1879"/>
    <w:rsid w:val="00EB189E"/>
    <w:rsid w:val="00EB19E3"/>
    <w:rsid w:val="00EB1A1A"/>
    <w:rsid w:val="00EB1A3C"/>
    <w:rsid w:val="00EB1A4D"/>
    <w:rsid w:val="00EB1AF1"/>
    <w:rsid w:val="00EB1B3B"/>
    <w:rsid w:val="00EB1B3F"/>
    <w:rsid w:val="00EB1B71"/>
    <w:rsid w:val="00EB1BB0"/>
    <w:rsid w:val="00EB1BD2"/>
    <w:rsid w:val="00EB1DA5"/>
    <w:rsid w:val="00EB1DB5"/>
    <w:rsid w:val="00EB1DE3"/>
    <w:rsid w:val="00EB1E06"/>
    <w:rsid w:val="00EB1E8F"/>
    <w:rsid w:val="00EB1ED7"/>
    <w:rsid w:val="00EB1EED"/>
    <w:rsid w:val="00EB1F3C"/>
    <w:rsid w:val="00EB1F68"/>
    <w:rsid w:val="00EB1F8B"/>
    <w:rsid w:val="00EB1FAC"/>
    <w:rsid w:val="00EB20CF"/>
    <w:rsid w:val="00EB2136"/>
    <w:rsid w:val="00EB21F6"/>
    <w:rsid w:val="00EB2208"/>
    <w:rsid w:val="00EB2213"/>
    <w:rsid w:val="00EB221F"/>
    <w:rsid w:val="00EB2220"/>
    <w:rsid w:val="00EB2252"/>
    <w:rsid w:val="00EB22B5"/>
    <w:rsid w:val="00EB22EA"/>
    <w:rsid w:val="00EB22F8"/>
    <w:rsid w:val="00EB230C"/>
    <w:rsid w:val="00EB2406"/>
    <w:rsid w:val="00EB259F"/>
    <w:rsid w:val="00EB25A3"/>
    <w:rsid w:val="00EB25E9"/>
    <w:rsid w:val="00EB268C"/>
    <w:rsid w:val="00EB269D"/>
    <w:rsid w:val="00EB2702"/>
    <w:rsid w:val="00EB27E1"/>
    <w:rsid w:val="00EB2829"/>
    <w:rsid w:val="00EB28B2"/>
    <w:rsid w:val="00EB28E8"/>
    <w:rsid w:val="00EB28F1"/>
    <w:rsid w:val="00EB2963"/>
    <w:rsid w:val="00EB29EE"/>
    <w:rsid w:val="00EB2A2D"/>
    <w:rsid w:val="00EB2A55"/>
    <w:rsid w:val="00EB2ABB"/>
    <w:rsid w:val="00EB2B2A"/>
    <w:rsid w:val="00EB2B8F"/>
    <w:rsid w:val="00EB2BBC"/>
    <w:rsid w:val="00EB2C00"/>
    <w:rsid w:val="00EB2C95"/>
    <w:rsid w:val="00EB2CB1"/>
    <w:rsid w:val="00EB2D99"/>
    <w:rsid w:val="00EB2D9F"/>
    <w:rsid w:val="00EB2DB5"/>
    <w:rsid w:val="00EB2DC0"/>
    <w:rsid w:val="00EB2E27"/>
    <w:rsid w:val="00EB2E47"/>
    <w:rsid w:val="00EB2F3F"/>
    <w:rsid w:val="00EB2FAF"/>
    <w:rsid w:val="00EB2FEB"/>
    <w:rsid w:val="00EB3059"/>
    <w:rsid w:val="00EB31F4"/>
    <w:rsid w:val="00EB330A"/>
    <w:rsid w:val="00EB3313"/>
    <w:rsid w:val="00EB3343"/>
    <w:rsid w:val="00EB3359"/>
    <w:rsid w:val="00EB3436"/>
    <w:rsid w:val="00EB3444"/>
    <w:rsid w:val="00EB3509"/>
    <w:rsid w:val="00EB35B0"/>
    <w:rsid w:val="00EB35C7"/>
    <w:rsid w:val="00EB35F6"/>
    <w:rsid w:val="00EB3618"/>
    <w:rsid w:val="00EB36A1"/>
    <w:rsid w:val="00EB36A4"/>
    <w:rsid w:val="00EB36AA"/>
    <w:rsid w:val="00EB36B2"/>
    <w:rsid w:val="00EB3711"/>
    <w:rsid w:val="00EB37D3"/>
    <w:rsid w:val="00EB3956"/>
    <w:rsid w:val="00EB3A4C"/>
    <w:rsid w:val="00EB3A9F"/>
    <w:rsid w:val="00EB3AA9"/>
    <w:rsid w:val="00EB3B45"/>
    <w:rsid w:val="00EB3B51"/>
    <w:rsid w:val="00EB3C19"/>
    <w:rsid w:val="00EB3C40"/>
    <w:rsid w:val="00EB3C5E"/>
    <w:rsid w:val="00EB3C8D"/>
    <w:rsid w:val="00EB3CE8"/>
    <w:rsid w:val="00EB3D89"/>
    <w:rsid w:val="00EB3DD8"/>
    <w:rsid w:val="00EB3E19"/>
    <w:rsid w:val="00EB3E20"/>
    <w:rsid w:val="00EB3E26"/>
    <w:rsid w:val="00EB3E57"/>
    <w:rsid w:val="00EB3EEA"/>
    <w:rsid w:val="00EB3EEE"/>
    <w:rsid w:val="00EB404D"/>
    <w:rsid w:val="00EB4083"/>
    <w:rsid w:val="00EB409A"/>
    <w:rsid w:val="00EB409E"/>
    <w:rsid w:val="00EB4108"/>
    <w:rsid w:val="00EB411E"/>
    <w:rsid w:val="00EB41B3"/>
    <w:rsid w:val="00EB41C8"/>
    <w:rsid w:val="00EB422E"/>
    <w:rsid w:val="00EB4319"/>
    <w:rsid w:val="00EB43A5"/>
    <w:rsid w:val="00EB44A2"/>
    <w:rsid w:val="00EB44A3"/>
    <w:rsid w:val="00EB44A4"/>
    <w:rsid w:val="00EB4560"/>
    <w:rsid w:val="00EB45B2"/>
    <w:rsid w:val="00EB45B8"/>
    <w:rsid w:val="00EB45E5"/>
    <w:rsid w:val="00EB4611"/>
    <w:rsid w:val="00EB461D"/>
    <w:rsid w:val="00EB4654"/>
    <w:rsid w:val="00EB46ED"/>
    <w:rsid w:val="00EB47F3"/>
    <w:rsid w:val="00EB481A"/>
    <w:rsid w:val="00EB4828"/>
    <w:rsid w:val="00EB48B7"/>
    <w:rsid w:val="00EB48F4"/>
    <w:rsid w:val="00EB4920"/>
    <w:rsid w:val="00EB492D"/>
    <w:rsid w:val="00EB4951"/>
    <w:rsid w:val="00EB49AE"/>
    <w:rsid w:val="00EB49BC"/>
    <w:rsid w:val="00EB4A12"/>
    <w:rsid w:val="00EB4A5E"/>
    <w:rsid w:val="00EB4A67"/>
    <w:rsid w:val="00EB4B06"/>
    <w:rsid w:val="00EB4BA8"/>
    <w:rsid w:val="00EB4BE4"/>
    <w:rsid w:val="00EB4C0E"/>
    <w:rsid w:val="00EB4C18"/>
    <w:rsid w:val="00EB4C77"/>
    <w:rsid w:val="00EB4C98"/>
    <w:rsid w:val="00EB4C9B"/>
    <w:rsid w:val="00EB4CE0"/>
    <w:rsid w:val="00EB4D18"/>
    <w:rsid w:val="00EB4D28"/>
    <w:rsid w:val="00EB4DBE"/>
    <w:rsid w:val="00EB4E47"/>
    <w:rsid w:val="00EB4EEE"/>
    <w:rsid w:val="00EB5020"/>
    <w:rsid w:val="00EB5038"/>
    <w:rsid w:val="00EB5068"/>
    <w:rsid w:val="00EB5215"/>
    <w:rsid w:val="00EB525E"/>
    <w:rsid w:val="00EB528F"/>
    <w:rsid w:val="00EB532D"/>
    <w:rsid w:val="00EB5397"/>
    <w:rsid w:val="00EB53B4"/>
    <w:rsid w:val="00EB53CB"/>
    <w:rsid w:val="00EB54BB"/>
    <w:rsid w:val="00EB55B9"/>
    <w:rsid w:val="00EB55DF"/>
    <w:rsid w:val="00EB5661"/>
    <w:rsid w:val="00EB56BD"/>
    <w:rsid w:val="00EB581D"/>
    <w:rsid w:val="00EB58F5"/>
    <w:rsid w:val="00EB5914"/>
    <w:rsid w:val="00EB5960"/>
    <w:rsid w:val="00EB5A5D"/>
    <w:rsid w:val="00EB5BCF"/>
    <w:rsid w:val="00EB5C1E"/>
    <w:rsid w:val="00EB5C7C"/>
    <w:rsid w:val="00EB5CA7"/>
    <w:rsid w:val="00EB5CC3"/>
    <w:rsid w:val="00EB5D0C"/>
    <w:rsid w:val="00EB5E0A"/>
    <w:rsid w:val="00EB5E27"/>
    <w:rsid w:val="00EB5E75"/>
    <w:rsid w:val="00EB5E7C"/>
    <w:rsid w:val="00EB5EE2"/>
    <w:rsid w:val="00EB5F2B"/>
    <w:rsid w:val="00EB5F4C"/>
    <w:rsid w:val="00EB5FA2"/>
    <w:rsid w:val="00EB602E"/>
    <w:rsid w:val="00EB61C4"/>
    <w:rsid w:val="00EB61DC"/>
    <w:rsid w:val="00EB61F0"/>
    <w:rsid w:val="00EB6231"/>
    <w:rsid w:val="00EB623A"/>
    <w:rsid w:val="00EB6270"/>
    <w:rsid w:val="00EB62CF"/>
    <w:rsid w:val="00EB63EE"/>
    <w:rsid w:val="00EB63F2"/>
    <w:rsid w:val="00EB63F7"/>
    <w:rsid w:val="00EB64E4"/>
    <w:rsid w:val="00EB65B3"/>
    <w:rsid w:val="00EB662E"/>
    <w:rsid w:val="00EB66DE"/>
    <w:rsid w:val="00EB67C1"/>
    <w:rsid w:val="00EB6832"/>
    <w:rsid w:val="00EB689C"/>
    <w:rsid w:val="00EB68AB"/>
    <w:rsid w:val="00EB68BD"/>
    <w:rsid w:val="00EB6912"/>
    <w:rsid w:val="00EB69F5"/>
    <w:rsid w:val="00EB6A01"/>
    <w:rsid w:val="00EB6A0A"/>
    <w:rsid w:val="00EB6A5D"/>
    <w:rsid w:val="00EB6A90"/>
    <w:rsid w:val="00EB6B1A"/>
    <w:rsid w:val="00EB6B51"/>
    <w:rsid w:val="00EB6B5A"/>
    <w:rsid w:val="00EB6BD9"/>
    <w:rsid w:val="00EB6C11"/>
    <w:rsid w:val="00EB6C5F"/>
    <w:rsid w:val="00EB6D20"/>
    <w:rsid w:val="00EB6D4D"/>
    <w:rsid w:val="00EB6D9A"/>
    <w:rsid w:val="00EB6EBE"/>
    <w:rsid w:val="00EB6EE4"/>
    <w:rsid w:val="00EB703E"/>
    <w:rsid w:val="00EB7069"/>
    <w:rsid w:val="00EB70C3"/>
    <w:rsid w:val="00EB70C4"/>
    <w:rsid w:val="00EB711A"/>
    <w:rsid w:val="00EB71BC"/>
    <w:rsid w:val="00EB71F6"/>
    <w:rsid w:val="00EB724D"/>
    <w:rsid w:val="00EB7293"/>
    <w:rsid w:val="00EB72A0"/>
    <w:rsid w:val="00EB731F"/>
    <w:rsid w:val="00EB73BE"/>
    <w:rsid w:val="00EB747E"/>
    <w:rsid w:val="00EB7494"/>
    <w:rsid w:val="00EB763C"/>
    <w:rsid w:val="00EB765E"/>
    <w:rsid w:val="00EB76A5"/>
    <w:rsid w:val="00EB76B3"/>
    <w:rsid w:val="00EB7754"/>
    <w:rsid w:val="00EB7781"/>
    <w:rsid w:val="00EB7830"/>
    <w:rsid w:val="00EB7876"/>
    <w:rsid w:val="00EB789D"/>
    <w:rsid w:val="00EB78FA"/>
    <w:rsid w:val="00EB7978"/>
    <w:rsid w:val="00EB7994"/>
    <w:rsid w:val="00EB79D6"/>
    <w:rsid w:val="00EB7A2D"/>
    <w:rsid w:val="00EB7A81"/>
    <w:rsid w:val="00EB7A89"/>
    <w:rsid w:val="00EB7ABB"/>
    <w:rsid w:val="00EB7B17"/>
    <w:rsid w:val="00EB7B4D"/>
    <w:rsid w:val="00EB7B7E"/>
    <w:rsid w:val="00EB7BA7"/>
    <w:rsid w:val="00EB7C63"/>
    <w:rsid w:val="00EB7C74"/>
    <w:rsid w:val="00EB7C94"/>
    <w:rsid w:val="00EB7D0F"/>
    <w:rsid w:val="00EB7D16"/>
    <w:rsid w:val="00EB7D4C"/>
    <w:rsid w:val="00EB7D67"/>
    <w:rsid w:val="00EB7DED"/>
    <w:rsid w:val="00EB7E00"/>
    <w:rsid w:val="00EB7E8B"/>
    <w:rsid w:val="00EB7F20"/>
    <w:rsid w:val="00EC0002"/>
    <w:rsid w:val="00EC0088"/>
    <w:rsid w:val="00EC0090"/>
    <w:rsid w:val="00EC009E"/>
    <w:rsid w:val="00EC00FB"/>
    <w:rsid w:val="00EC018E"/>
    <w:rsid w:val="00EC01D7"/>
    <w:rsid w:val="00EC02B6"/>
    <w:rsid w:val="00EC02DC"/>
    <w:rsid w:val="00EC02F8"/>
    <w:rsid w:val="00EC0322"/>
    <w:rsid w:val="00EC032C"/>
    <w:rsid w:val="00EC03D6"/>
    <w:rsid w:val="00EC0529"/>
    <w:rsid w:val="00EC059F"/>
    <w:rsid w:val="00EC05FA"/>
    <w:rsid w:val="00EC0633"/>
    <w:rsid w:val="00EC065F"/>
    <w:rsid w:val="00EC067B"/>
    <w:rsid w:val="00EC069C"/>
    <w:rsid w:val="00EC0857"/>
    <w:rsid w:val="00EC08C6"/>
    <w:rsid w:val="00EC09E8"/>
    <w:rsid w:val="00EC0A09"/>
    <w:rsid w:val="00EC0A7A"/>
    <w:rsid w:val="00EC0B12"/>
    <w:rsid w:val="00EC0B15"/>
    <w:rsid w:val="00EC0B75"/>
    <w:rsid w:val="00EC0BE4"/>
    <w:rsid w:val="00EC0BF9"/>
    <w:rsid w:val="00EC0C6A"/>
    <w:rsid w:val="00EC0C9D"/>
    <w:rsid w:val="00EC0CA5"/>
    <w:rsid w:val="00EC0DA9"/>
    <w:rsid w:val="00EC0DB4"/>
    <w:rsid w:val="00EC0DFC"/>
    <w:rsid w:val="00EC0E24"/>
    <w:rsid w:val="00EC0F53"/>
    <w:rsid w:val="00EC0F7E"/>
    <w:rsid w:val="00EC0FF8"/>
    <w:rsid w:val="00EC1015"/>
    <w:rsid w:val="00EC1020"/>
    <w:rsid w:val="00EC1040"/>
    <w:rsid w:val="00EC1050"/>
    <w:rsid w:val="00EC10DE"/>
    <w:rsid w:val="00EC1183"/>
    <w:rsid w:val="00EC119E"/>
    <w:rsid w:val="00EC1338"/>
    <w:rsid w:val="00EC13C4"/>
    <w:rsid w:val="00EC14B4"/>
    <w:rsid w:val="00EC14D9"/>
    <w:rsid w:val="00EC15FA"/>
    <w:rsid w:val="00EC165D"/>
    <w:rsid w:val="00EC1703"/>
    <w:rsid w:val="00EC1743"/>
    <w:rsid w:val="00EC1745"/>
    <w:rsid w:val="00EC1791"/>
    <w:rsid w:val="00EC17E9"/>
    <w:rsid w:val="00EC1860"/>
    <w:rsid w:val="00EC1945"/>
    <w:rsid w:val="00EC1954"/>
    <w:rsid w:val="00EC1982"/>
    <w:rsid w:val="00EC1A0B"/>
    <w:rsid w:val="00EC1A5F"/>
    <w:rsid w:val="00EC1AB2"/>
    <w:rsid w:val="00EC1AB9"/>
    <w:rsid w:val="00EC1ACF"/>
    <w:rsid w:val="00EC1B01"/>
    <w:rsid w:val="00EC1B07"/>
    <w:rsid w:val="00EC1B0D"/>
    <w:rsid w:val="00EC1B41"/>
    <w:rsid w:val="00EC1C21"/>
    <w:rsid w:val="00EC1C79"/>
    <w:rsid w:val="00EC1C9B"/>
    <w:rsid w:val="00EC1D8C"/>
    <w:rsid w:val="00EC1E06"/>
    <w:rsid w:val="00EC1EB4"/>
    <w:rsid w:val="00EC1F8F"/>
    <w:rsid w:val="00EC2012"/>
    <w:rsid w:val="00EC201B"/>
    <w:rsid w:val="00EC2042"/>
    <w:rsid w:val="00EC2053"/>
    <w:rsid w:val="00EC20D7"/>
    <w:rsid w:val="00EC2152"/>
    <w:rsid w:val="00EC21D0"/>
    <w:rsid w:val="00EC2227"/>
    <w:rsid w:val="00EC225A"/>
    <w:rsid w:val="00EC225F"/>
    <w:rsid w:val="00EC229E"/>
    <w:rsid w:val="00EC2300"/>
    <w:rsid w:val="00EC23F8"/>
    <w:rsid w:val="00EC2427"/>
    <w:rsid w:val="00EC2442"/>
    <w:rsid w:val="00EC24BB"/>
    <w:rsid w:val="00EC24F0"/>
    <w:rsid w:val="00EC250D"/>
    <w:rsid w:val="00EC2535"/>
    <w:rsid w:val="00EC2538"/>
    <w:rsid w:val="00EC261B"/>
    <w:rsid w:val="00EC2662"/>
    <w:rsid w:val="00EC2667"/>
    <w:rsid w:val="00EC2763"/>
    <w:rsid w:val="00EC27F5"/>
    <w:rsid w:val="00EC28A1"/>
    <w:rsid w:val="00EC28A3"/>
    <w:rsid w:val="00EC28E9"/>
    <w:rsid w:val="00EC292A"/>
    <w:rsid w:val="00EC296E"/>
    <w:rsid w:val="00EC2A66"/>
    <w:rsid w:val="00EC2ACD"/>
    <w:rsid w:val="00EC2B2F"/>
    <w:rsid w:val="00EC2B83"/>
    <w:rsid w:val="00EC2BE5"/>
    <w:rsid w:val="00EC2BE9"/>
    <w:rsid w:val="00EC2C38"/>
    <w:rsid w:val="00EC2C53"/>
    <w:rsid w:val="00EC2C7E"/>
    <w:rsid w:val="00EC2C8D"/>
    <w:rsid w:val="00EC2D6B"/>
    <w:rsid w:val="00EC2D6D"/>
    <w:rsid w:val="00EC2DC1"/>
    <w:rsid w:val="00EC2DD6"/>
    <w:rsid w:val="00EC2E38"/>
    <w:rsid w:val="00EC2E8D"/>
    <w:rsid w:val="00EC2ECC"/>
    <w:rsid w:val="00EC2EE1"/>
    <w:rsid w:val="00EC2F16"/>
    <w:rsid w:val="00EC2F27"/>
    <w:rsid w:val="00EC2F80"/>
    <w:rsid w:val="00EC2F8F"/>
    <w:rsid w:val="00EC2F98"/>
    <w:rsid w:val="00EC302C"/>
    <w:rsid w:val="00EC30EF"/>
    <w:rsid w:val="00EC30F4"/>
    <w:rsid w:val="00EC3131"/>
    <w:rsid w:val="00EC3198"/>
    <w:rsid w:val="00EC3217"/>
    <w:rsid w:val="00EC322C"/>
    <w:rsid w:val="00EC3393"/>
    <w:rsid w:val="00EC33D0"/>
    <w:rsid w:val="00EC33D7"/>
    <w:rsid w:val="00EC34C8"/>
    <w:rsid w:val="00EC34FF"/>
    <w:rsid w:val="00EC3538"/>
    <w:rsid w:val="00EC35F1"/>
    <w:rsid w:val="00EC3640"/>
    <w:rsid w:val="00EC367B"/>
    <w:rsid w:val="00EC37AF"/>
    <w:rsid w:val="00EC37B9"/>
    <w:rsid w:val="00EC382F"/>
    <w:rsid w:val="00EC391E"/>
    <w:rsid w:val="00EC395F"/>
    <w:rsid w:val="00EC3A34"/>
    <w:rsid w:val="00EC3ABE"/>
    <w:rsid w:val="00EC3AC6"/>
    <w:rsid w:val="00EC3B00"/>
    <w:rsid w:val="00EC3CA8"/>
    <w:rsid w:val="00EC3CAC"/>
    <w:rsid w:val="00EC3CC5"/>
    <w:rsid w:val="00EC3CEC"/>
    <w:rsid w:val="00EC3D2C"/>
    <w:rsid w:val="00EC3F0E"/>
    <w:rsid w:val="00EC3F4A"/>
    <w:rsid w:val="00EC3F4E"/>
    <w:rsid w:val="00EC3F82"/>
    <w:rsid w:val="00EC3FB4"/>
    <w:rsid w:val="00EC4012"/>
    <w:rsid w:val="00EC4026"/>
    <w:rsid w:val="00EC407D"/>
    <w:rsid w:val="00EC40EE"/>
    <w:rsid w:val="00EC40F8"/>
    <w:rsid w:val="00EC411A"/>
    <w:rsid w:val="00EC4183"/>
    <w:rsid w:val="00EC4277"/>
    <w:rsid w:val="00EC42B1"/>
    <w:rsid w:val="00EC42B3"/>
    <w:rsid w:val="00EC42E3"/>
    <w:rsid w:val="00EC4313"/>
    <w:rsid w:val="00EC441C"/>
    <w:rsid w:val="00EC4524"/>
    <w:rsid w:val="00EC4525"/>
    <w:rsid w:val="00EC4562"/>
    <w:rsid w:val="00EC45D5"/>
    <w:rsid w:val="00EC4603"/>
    <w:rsid w:val="00EC4677"/>
    <w:rsid w:val="00EC4730"/>
    <w:rsid w:val="00EC477D"/>
    <w:rsid w:val="00EC47EE"/>
    <w:rsid w:val="00EC48E1"/>
    <w:rsid w:val="00EC48EC"/>
    <w:rsid w:val="00EC49CC"/>
    <w:rsid w:val="00EC49D9"/>
    <w:rsid w:val="00EC4AD0"/>
    <w:rsid w:val="00EC4C37"/>
    <w:rsid w:val="00EC4C8F"/>
    <w:rsid w:val="00EC4CAA"/>
    <w:rsid w:val="00EC4CEE"/>
    <w:rsid w:val="00EC4D2D"/>
    <w:rsid w:val="00EC4D94"/>
    <w:rsid w:val="00EC4E4D"/>
    <w:rsid w:val="00EC4EF2"/>
    <w:rsid w:val="00EC4FAF"/>
    <w:rsid w:val="00EC5068"/>
    <w:rsid w:val="00EC50A3"/>
    <w:rsid w:val="00EC50CF"/>
    <w:rsid w:val="00EC5123"/>
    <w:rsid w:val="00EC522B"/>
    <w:rsid w:val="00EC5271"/>
    <w:rsid w:val="00EC5279"/>
    <w:rsid w:val="00EC5298"/>
    <w:rsid w:val="00EC52AB"/>
    <w:rsid w:val="00EC52CA"/>
    <w:rsid w:val="00EC5351"/>
    <w:rsid w:val="00EC53AE"/>
    <w:rsid w:val="00EC53DA"/>
    <w:rsid w:val="00EC53F5"/>
    <w:rsid w:val="00EC5468"/>
    <w:rsid w:val="00EC54B4"/>
    <w:rsid w:val="00EC5598"/>
    <w:rsid w:val="00EC559C"/>
    <w:rsid w:val="00EC55F8"/>
    <w:rsid w:val="00EC560B"/>
    <w:rsid w:val="00EC5675"/>
    <w:rsid w:val="00EC5689"/>
    <w:rsid w:val="00EC5694"/>
    <w:rsid w:val="00EC569C"/>
    <w:rsid w:val="00EC56DF"/>
    <w:rsid w:val="00EC576C"/>
    <w:rsid w:val="00EC5772"/>
    <w:rsid w:val="00EC5844"/>
    <w:rsid w:val="00EC5894"/>
    <w:rsid w:val="00EC58BD"/>
    <w:rsid w:val="00EC5927"/>
    <w:rsid w:val="00EC5942"/>
    <w:rsid w:val="00EC59A9"/>
    <w:rsid w:val="00EC5A39"/>
    <w:rsid w:val="00EC5A84"/>
    <w:rsid w:val="00EC5AA5"/>
    <w:rsid w:val="00EC5AD6"/>
    <w:rsid w:val="00EC5AE4"/>
    <w:rsid w:val="00EC5B04"/>
    <w:rsid w:val="00EC5B60"/>
    <w:rsid w:val="00EC5B75"/>
    <w:rsid w:val="00EC5C04"/>
    <w:rsid w:val="00EC5C38"/>
    <w:rsid w:val="00EC5C76"/>
    <w:rsid w:val="00EC5D2D"/>
    <w:rsid w:val="00EC5D5C"/>
    <w:rsid w:val="00EC5DB4"/>
    <w:rsid w:val="00EC5E05"/>
    <w:rsid w:val="00EC5E21"/>
    <w:rsid w:val="00EC5E8D"/>
    <w:rsid w:val="00EC5ED2"/>
    <w:rsid w:val="00EC5F30"/>
    <w:rsid w:val="00EC5F9E"/>
    <w:rsid w:val="00EC5FAC"/>
    <w:rsid w:val="00EC600A"/>
    <w:rsid w:val="00EC60C0"/>
    <w:rsid w:val="00EC60CF"/>
    <w:rsid w:val="00EC6135"/>
    <w:rsid w:val="00EC6171"/>
    <w:rsid w:val="00EC626D"/>
    <w:rsid w:val="00EC62AF"/>
    <w:rsid w:val="00EC62BF"/>
    <w:rsid w:val="00EC633B"/>
    <w:rsid w:val="00EC6366"/>
    <w:rsid w:val="00EC637F"/>
    <w:rsid w:val="00EC6387"/>
    <w:rsid w:val="00EC63AC"/>
    <w:rsid w:val="00EC6437"/>
    <w:rsid w:val="00EC6442"/>
    <w:rsid w:val="00EC6478"/>
    <w:rsid w:val="00EC64CD"/>
    <w:rsid w:val="00EC652A"/>
    <w:rsid w:val="00EC6562"/>
    <w:rsid w:val="00EC6576"/>
    <w:rsid w:val="00EC6584"/>
    <w:rsid w:val="00EC65A8"/>
    <w:rsid w:val="00EC65E3"/>
    <w:rsid w:val="00EC6648"/>
    <w:rsid w:val="00EC66CE"/>
    <w:rsid w:val="00EC6729"/>
    <w:rsid w:val="00EC67CB"/>
    <w:rsid w:val="00EC67E1"/>
    <w:rsid w:val="00EC68BD"/>
    <w:rsid w:val="00EC68C6"/>
    <w:rsid w:val="00EC691D"/>
    <w:rsid w:val="00EC6930"/>
    <w:rsid w:val="00EC6995"/>
    <w:rsid w:val="00EC69F4"/>
    <w:rsid w:val="00EC6A26"/>
    <w:rsid w:val="00EC6A51"/>
    <w:rsid w:val="00EC6AE3"/>
    <w:rsid w:val="00EC6B99"/>
    <w:rsid w:val="00EC6BD8"/>
    <w:rsid w:val="00EC6CFC"/>
    <w:rsid w:val="00EC6D57"/>
    <w:rsid w:val="00EC6D8F"/>
    <w:rsid w:val="00EC6E19"/>
    <w:rsid w:val="00EC6F6C"/>
    <w:rsid w:val="00EC6F78"/>
    <w:rsid w:val="00EC6F7B"/>
    <w:rsid w:val="00EC6FA2"/>
    <w:rsid w:val="00EC6FAE"/>
    <w:rsid w:val="00EC6FD6"/>
    <w:rsid w:val="00EC6FEF"/>
    <w:rsid w:val="00EC7013"/>
    <w:rsid w:val="00EC7025"/>
    <w:rsid w:val="00EC70C1"/>
    <w:rsid w:val="00EC70C3"/>
    <w:rsid w:val="00EC70D4"/>
    <w:rsid w:val="00EC70D9"/>
    <w:rsid w:val="00EC716C"/>
    <w:rsid w:val="00EC71F4"/>
    <w:rsid w:val="00EC72B6"/>
    <w:rsid w:val="00EC730A"/>
    <w:rsid w:val="00EC7325"/>
    <w:rsid w:val="00EC73DA"/>
    <w:rsid w:val="00EC7401"/>
    <w:rsid w:val="00EC742C"/>
    <w:rsid w:val="00EC7465"/>
    <w:rsid w:val="00EC74B7"/>
    <w:rsid w:val="00EC7511"/>
    <w:rsid w:val="00EC751F"/>
    <w:rsid w:val="00EC7522"/>
    <w:rsid w:val="00EC7546"/>
    <w:rsid w:val="00EC75B6"/>
    <w:rsid w:val="00EC7687"/>
    <w:rsid w:val="00EC76DD"/>
    <w:rsid w:val="00EC7849"/>
    <w:rsid w:val="00EC7866"/>
    <w:rsid w:val="00EC7867"/>
    <w:rsid w:val="00EC79A4"/>
    <w:rsid w:val="00EC79CA"/>
    <w:rsid w:val="00EC7A05"/>
    <w:rsid w:val="00EC7A2B"/>
    <w:rsid w:val="00EC7A44"/>
    <w:rsid w:val="00EC7A93"/>
    <w:rsid w:val="00EC7ACB"/>
    <w:rsid w:val="00EC7B59"/>
    <w:rsid w:val="00EC7B77"/>
    <w:rsid w:val="00EC7BC1"/>
    <w:rsid w:val="00EC7BD5"/>
    <w:rsid w:val="00EC7D3C"/>
    <w:rsid w:val="00EC7D99"/>
    <w:rsid w:val="00EC7F36"/>
    <w:rsid w:val="00EC7F40"/>
    <w:rsid w:val="00EC7FC2"/>
    <w:rsid w:val="00ED007B"/>
    <w:rsid w:val="00ED00B2"/>
    <w:rsid w:val="00ED011C"/>
    <w:rsid w:val="00ED0224"/>
    <w:rsid w:val="00ED0232"/>
    <w:rsid w:val="00ED026F"/>
    <w:rsid w:val="00ED029F"/>
    <w:rsid w:val="00ED02C6"/>
    <w:rsid w:val="00ED02E3"/>
    <w:rsid w:val="00ED04E0"/>
    <w:rsid w:val="00ED04FF"/>
    <w:rsid w:val="00ED0505"/>
    <w:rsid w:val="00ED0530"/>
    <w:rsid w:val="00ED0553"/>
    <w:rsid w:val="00ED067B"/>
    <w:rsid w:val="00ED0718"/>
    <w:rsid w:val="00ED07E8"/>
    <w:rsid w:val="00ED0812"/>
    <w:rsid w:val="00ED083E"/>
    <w:rsid w:val="00ED0859"/>
    <w:rsid w:val="00ED0860"/>
    <w:rsid w:val="00ED089F"/>
    <w:rsid w:val="00ED08A6"/>
    <w:rsid w:val="00ED08CC"/>
    <w:rsid w:val="00ED08F6"/>
    <w:rsid w:val="00ED0926"/>
    <w:rsid w:val="00ED0983"/>
    <w:rsid w:val="00ED09E1"/>
    <w:rsid w:val="00ED0A8F"/>
    <w:rsid w:val="00ED0C27"/>
    <w:rsid w:val="00ED0C4F"/>
    <w:rsid w:val="00ED0D14"/>
    <w:rsid w:val="00ED0D30"/>
    <w:rsid w:val="00ED0D77"/>
    <w:rsid w:val="00ED0E8E"/>
    <w:rsid w:val="00ED0EAF"/>
    <w:rsid w:val="00ED0F53"/>
    <w:rsid w:val="00ED1034"/>
    <w:rsid w:val="00ED10A3"/>
    <w:rsid w:val="00ED10A8"/>
    <w:rsid w:val="00ED10C3"/>
    <w:rsid w:val="00ED10E6"/>
    <w:rsid w:val="00ED10FD"/>
    <w:rsid w:val="00ED1195"/>
    <w:rsid w:val="00ED1199"/>
    <w:rsid w:val="00ED11B7"/>
    <w:rsid w:val="00ED1276"/>
    <w:rsid w:val="00ED1353"/>
    <w:rsid w:val="00ED13B2"/>
    <w:rsid w:val="00ED1448"/>
    <w:rsid w:val="00ED144E"/>
    <w:rsid w:val="00ED1473"/>
    <w:rsid w:val="00ED14CA"/>
    <w:rsid w:val="00ED14E3"/>
    <w:rsid w:val="00ED154D"/>
    <w:rsid w:val="00ED1636"/>
    <w:rsid w:val="00ED169E"/>
    <w:rsid w:val="00ED16A4"/>
    <w:rsid w:val="00ED16E6"/>
    <w:rsid w:val="00ED173D"/>
    <w:rsid w:val="00ED17BB"/>
    <w:rsid w:val="00ED1865"/>
    <w:rsid w:val="00ED1912"/>
    <w:rsid w:val="00ED1918"/>
    <w:rsid w:val="00ED1936"/>
    <w:rsid w:val="00ED1A4E"/>
    <w:rsid w:val="00ED1A50"/>
    <w:rsid w:val="00ED1A66"/>
    <w:rsid w:val="00ED1A72"/>
    <w:rsid w:val="00ED1B18"/>
    <w:rsid w:val="00ED1B1C"/>
    <w:rsid w:val="00ED1B9F"/>
    <w:rsid w:val="00ED1C40"/>
    <w:rsid w:val="00ED1D9A"/>
    <w:rsid w:val="00ED1DEA"/>
    <w:rsid w:val="00ED1E5F"/>
    <w:rsid w:val="00ED1ED6"/>
    <w:rsid w:val="00ED1F29"/>
    <w:rsid w:val="00ED1F74"/>
    <w:rsid w:val="00ED2066"/>
    <w:rsid w:val="00ED20CB"/>
    <w:rsid w:val="00ED2116"/>
    <w:rsid w:val="00ED216B"/>
    <w:rsid w:val="00ED2179"/>
    <w:rsid w:val="00ED2180"/>
    <w:rsid w:val="00ED2220"/>
    <w:rsid w:val="00ED224E"/>
    <w:rsid w:val="00ED2276"/>
    <w:rsid w:val="00ED22C7"/>
    <w:rsid w:val="00ED23A0"/>
    <w:rsid w:val="00ED23F6"/>
    <w:rsid w:val="00ED2483"/>
    <w:rsid w:val="00ED249D"/>
    <w:rsid w:val="00ED2500"/>
    <w:rsid w:val="00ED253C"/>
    <w:rsid w:val="00ED253F"/>
    <w:rsid w:val="00ED257A"/>
    <w:rsid w:val="00ED260E"/>
    <w:rsid w:val="00ED2656"/>
    <w:rsid w:val="00ED269C"/>
    <w:rsid w:val="00ED26B5"/>
    <w:rsid w:val="00ED26C4"/>
    <w:rsid w:val="00ED274C"/>
    <w:rsid w:val="00ED2755"/>
    <w:rsid w:val="00ED2824"/>
    <w:rsid w:val="00ED2868"/>
    <w:rsid w:val="00ED28B1"/>
    <w:rsid w:val="00ED28DF"/>
    <w:rsid w:val="00ED29E0"/>
    <w:rsid w:val="00ED29E1"/>
    <w:rsid w:val="00ED2A26"/>
    <w:rsid w:val="00ED2A2A"/>
    <w:rsid w:val="00ED2A90"/>
    <w:rsid w:val="00ED2BA0"/>
    <w:rsid w:val="00ED2E8A"/>
    <w:rsid w:val="00ED2F53"/>
    <w:rsid w:val="00ED30BB"/>
    <w:rsid w:val="00ED3101"/>
    <w:rsid w:val="00ED31CB"/>
    <w:rsid w:val="00ED31E0"/>
    <w:rsid w:val="00ED31F4"/>
    <w:rsid w:val="00ED322D"/>
    <w:rsid w:val="00ED335D"/>
    <w:rsid w:val="00ED33F7"/>
    <w:rsid w:val="00ED341F"/>
    <w:rsid w:val="00ED3500"/>
    <w:rsid w:val="00ED3516"/>
    <w:rsid w:val="00ED3548"/>
    <w:rsid w:val="00ED3640"/>
    <w:rsid w:val="00ED3777"/>
    <w:rsid w:val="00ED3802"/>
    <w:rsid w:val="00ED3825"/>
    <w:rsid w:val="00ED383E"/>
    <w:rsid w:val="00ED3845"/>
    <w:rsid w:val="00ED3906"/>
    <w:rsid w:val="00ED39C9"/>
    <w:rsid w:val="00ED3A01"/>
    <w:rsid w:val="00ED3A55"/>
    <w:rsid w:val="00ED3AD3"/>
    <w:rsid w:val="00ED3B63"/>
    <w:rsid w:val="00ED3B9D"/>
    <w:rsid w:val="00ED3BDC"/>
    <w:rsid w:val="00ED3C38"/>
    <w:rsid w:val="00ED3CD4"/>
    <w:rsid w:val="00ED3CE8"/>
    <w:rsid w:val="00ED3D20"/>
    <w:rsid w:val="00ED4018"/>
    <w:rsid w:val="00ED4028"/>
    <w:rsid w:val="00ED4035"/>
    <w:rsid w:val="00ED40AB"/>
    <w:rsid w:val="00ED40AD"/>
    <w:rsid w:val="00ED40B3"/>
    <w:rsid w:val="00ED4138"/>
    <w:rsid w:val="00ED4213"/>
    <w:rsid w:val="00ED42D4"/>
    <w:rsid w:val="00ED437B"/>
    <w:rsid w:val="00ED43C7"/>
    <w:rsid w:val="00ED44C3"/>
    <w:rsid w:val="00ED4539"/>
    <w:rsid w:val="00ED4589"/>
    <w:rsid w:val="00ED45BF"/>
    <w:rsid w:val="00ED45E0"/>
    <w:rsid w:val="00ED46C3"/>
    <w:rsid w:val="00ED46F3"/>
    <w:rsid w:val="00ED478F"/>
    <w:rsid w:val="00ED47B1"/>
    <w:rsid w:val="00ED481E"/>
    <w:rsid w:val="00ED48A7"/>
    <w:rsid w:val="00ED48B9"/>
    <w:rsid w:val="00ED4950"/>
    <w:rsid w:val="00ED4955"/>
    <w:rsid w:val="00ED4991"/>
    <w:rsid w:val="00ED4992"/>
    <w:rsid w:val="00ED4993"/>
    <w:rsid w:val="00ED4A05"/>
    <w:rsid w:val="00ED4A34"/>
    <w:rsid w:val="00ED4C26"/>
    <w:rsid w:val="00ED4C96"/>
    <w:rsid w:val="00ED4CB4"/>
    <w:rsid w:val="00ED4CBD"/>
    <w:rsid w:val="00ED4CEE"/>
    <w:rsid w:val="00ED4D6E"/>
    <w:rsid w:val="00ED4DE0"/>
    <w:rsid w:val="00ED4DEA"/>
    <w:rsid w:val="00ED4E2F"/>
    <w:rsid w:val="00ED4E67"/>
    <w:rsid w:val="00ED4EE6"/>
    <w:rsid w:val="00ED4EE7"/>
    <w:rsid w:val="00ED4F5D"/>
    <w:rsid w:val="00ED4FC2"/>
    <w:rsid w:val="00ED4FCB"/>
    <w:rsid w:val="00ED4FD3"/>
    <w:rsid w:val="00ED503F"/>
    <w:rsid w:val="00ED50BA"/>
    <w:rsid w:val="00ED50C3"/>
    <w:rsid w:val="00ED50EE"/>
    <w:rsid w:val="00ED514A"/>
    <w:rsid w:val="00ED51B0"/>
    <w:rsid w:val="00ED524D"/>
    <w:rsid w:val="00ED5275"/>
    <w:rsid w:val="00ED5289"/>
    <w:rsid w:val="00ED5306"/>
    <w:rsid w:val="00ED5318"/>
    <w:rsid w:val="00ED531F"/>
    <w:rsid w:val="00ED534E"/>
    <w:rsid w:val="00ED53D2"/>
    <w:rsid w:val="00ED53D4"/>
    <w:rsid w:val="00ED541D"/>
    <w:rsid w:val="00ED544C"/>
    <w:rsid w:val="00ED54B8"/>
    <w:rsid w:val="00ED54F5"/>
    <w:rsid w:val="00ED5638"/>
    <w:rsid w:val="00ED56BD"/>
    <w:rsid w:val="00ED56D7"/>
    <w:rsid w:val="00ED56DE"/>
    <w:rsid w:val="00ED5734"/>
    <w:rsid w:val="00ED5746"/>
    <w:rsid w:val="00ED577C"/>
    <w:rsid w:val="00ED5786"/>
    <w:rsid w:val="00ED57AC"/>
    <w:rsid w:val="00ED5801"/>
    <w:rsid w:val="00ED5855"/>
    <w:rsid w:val="00ED585B"/>
    <w:rsid w:val="00ED5875"/>
    <w:rsid w:val="00ED5897"/>
    <w:rsid w:val="00ED58F4"/>
    <w:rsid w:val="00ED58F7"/>
    <w:rsid w:val="00ED59A3"/>
    <w:rsid w:val="00ED59E9"/>
    <w:rsid w:val="00ED5B54"/>
    <w:rsid w:val="00ED5B98"/>
    <w:rsid w:val="00ED5BBE"/>
    <w:rsid w:val="00ED5BCB"/>
    <w:rsid w:val="00ED5C2E"/>
    <w:rsid w:val="00ED5C43"/>
    <w:rsid w:val="00ED5C51"/>
    <w:rsid w:val="00ED5D22"/>
    <w:rsid w:val="00ED5E4F"/>
    <w:rsid w:val="00ED5EB0"/>
    <w:rsid w:val="00ED5EE7"/>
    <w:rsid w:val="00ED5F2A"/>
    <w:rsid w:val="00ED5F9E"/>
    <w:rsid w:val="00ED5FBD"/>
    <w:rsid w:val="00ED5FDF"/>
    <w:rsid w:val="00ED5FFC"/>
    <w:rsid w:val="00ED6078"/>
    <w:rsid w:val="00ED608D"/>
    <w:rsid w:val="00ED60FA"/>
    <w:rsid w:val="00ED6104"/>
    <w:rsid w:val="00ED6184"/>
    <w:rsid w:val="00ED61AD"/>
    <w:rsid w:val="00ED6215"/>
    <w:rsid w:val="00ED6305"/>
    <w:rsid w:val="00ED6379"/>
    <w:rsid w:val="00ED63B7"/>
    <w:rsid w:val="00ED640C"/>
    <w:rsid w:val="00ED6447"/>
    <w:rsid w:val="00ED645C"/>
    <w:rsid w:val="00ED646B"/>
    <w:rsid w:val="00ED6533"/>
    <w:rsid w:val="00ED656B"/>
    <w:rsid w:val="00ED65E9"/>
    <w:rsid w:val="00ED65F9"/>
    <w:rsid w:val="00ED66A2"/>
    <w:rsid w:val="00ED6723"/>
    <w:rsid w:val="00ED679B"/>
    <w:rsid w:val="00ED679D"/>
    <w:rsid w:val="00ED67D3"/>
    <w:rsid w:val="00ED67EC"/>
    <w:rsid w:val="00ED6818"/>
    <w:rsid w:val="00ED686B"/>
    <w:rsid w:val="00ED68DF"/>
    <w:rsid w:val="00ED6915"/>
    <w:rsid w:val="00ED694B"/>
    <w:rsid w:val="00ED69DD"/>
    <w:rsid w:val="00ED6A31"/>
    <w:rsid w:val="00ED6AF9"/>
    <w:rsid w:val="00ED6B80"/>
    <w:rsid w:val="00ED6BBC"/>
    <w:rsid w:val="00ED6C48"/>
    <w:rsid w:val="00ED6C5C"/>
    <w:rsid w:val="00ED6CC1"/>
    <w:rsid w:val="00ED6D65"/>
    <w:rsid w:val="00ED6D67"/>
    <w:rsid w:val="00ED6D9E"/>
    <w:rsid w:val="00ED6E5C"/>
    <w:rsid w:val="00ED6F19"/>
    <w:rsid w:val="00ED6F82"/>
    <w:rsid w:val="00ED6FC8"/>
    <w:rsid w:val="00ED6FE1"/>
    <w:rsid w:val="00ED70CD"/>
    <w:rsid w:val="00ED70DE"/>
    <w:rsid w:val="00ED72B0"/>
    <w:rsid w:val="00ED730E"/>
    <w:rsid w:val="00ED7385"/>
    <w:rsid w:val="00ED741E"/>
    <w:rsid w:val="00ED74C3"/>
    <w:rsid w:val="00ED7502"/>
    <w:rsid w:val="00ED769B"/>
    <w:rsid w:val="00ED76A2"/>
    <w:rsid w:val="00ED76FE"/>
    <w:rsid w:val="00ED7706"/>
    <w:rsid w:val="00ED78CD"/>
    <w:rsid w:val="00ED78D2"/>
    <w:rsid w:val="00ED797D"/>
    <w:rsid w:val="00ED79F5"/>
    <w:rsid w:val="00ED7A23"/>
    <w:rsid w:val="00ED7AB5"/>
    <w:rsid w:val="00ED7AF8"/>
    <w:rsid w:val="00ED7B17"/>
    <w:rsid w:val="00ED7C1B"/>
    <w:rsid w:val="00ED7C32"/>
    <w:rsid w:val="00ED7C69"/>
    <w:rsid w:val="00ED7C8F"/>
    <w:rsid w:val="00ED7CC4"/>
    <w:rsid w:val="00ED7CE3"/>
    <w:rsid w:val="00ED7D11"/>
    <w:rsid w:val="00ED7D5F"/>
    <w:rsid w:val="00ED7D91"/>
    <w:rsid w:val="00ED7DA8"/>
    <w:rsid w:val="00ED7DF1"/>
    <w:rsid w:val="00ED7DF7"/>
    <w:rsid w:val="00ED7E6B"/>
    <w:rsid w:val="00ED7EA8"/>
    <w:rsid w:val="00ED7EB2"/>
    <w:rsid w:val="00ED7F54"/>
    <w:rsid w:val="00ED7F63"/>
    <w:rsid w:val="00ED7F9D"/>
    <w:rsid w:val="00EE00A7"/>
    <w:rsid w:val="00EE00BD"/>
    <w:rsid w:val="00EE00CD"/>
    <w:rsid w:val="00EE0123"/>
    <w:rsid w:val="00EE016C"/>
    <w:rsid w:val="00EE019D"/>
    <w:rsid w:val="00EE01AD"/>
    <w:rsid w:val="00EE01F7"/>
    <w:rsid w:val="00EE0248"/>
    <w:rsid w:val="00EE02F3"/>
    <w:rsid w:val="00EE034E"/>
    <w:rsid w:val="00EE0374"/>
    <w:rsid w:val="00EE045D"/>
    <w:rsid w:val="00EE0571"/>
    <w:rsid w:val="00EE0600"/>
    <w:rsid w:val="00EE06CC"/>
    <w:rsid w:val="00EE06DB"/>
    <w:rsid w:val="00EE06ED"/>
    <w:rsid w:val="00EE0741"/>
    <w:rsid w:val="00EE0766"/>
    <w:rsid w:val="00EE079D"/>
    <w:rsid w:val="00EE087A"/>
    <w:rsid w:val="00EE0907"/>
    <w:rsid w:val="00EE090A"/>
    <w:rsid w:val="00EE09F3"/>
    <w:rsid w:val="00EE0A4A"/>
    <w:rsid w:val="00EE0A4C"/>
    <w:rsid w:val="00EE0A9B"/>
    <w:rsid w:val="00EE0A9F"/>
    <w:rsid w:val="00EE0B01"/>
    <w:rsid w:val="00EE0B93"/>
    <w:rsid w:val="00EE0CF0"/>
    <w:rsid w:val="00EE0CF7"/>
    <w:rsid w:val="00EE0EBD"/>
    <w:rsid w:val="00EE0F0A"/>
    <w:rsid w:val="00EE0F2B"/>
    <w:rsid w:val="00EE0F87"/>
    <w:rsid w:val="00EE1019"/>
    <w:rsid w:val="00EE1020"/>
    <w:rsid w:val="00EE1026"/>
    <w:rsid w:val="00EE1046"/>
    <w:rsid w:val="00EE1135"/>
    <w:rsid w:val="00EE116A"/>
    <w:rsid w:val="00EE1190"/>
    <w:rsid w:val="00EE121E"/>
    <w:rsid w:val="00EE1236"/>
    <w:rsid w:val="00EE12C1"/>
    <w:rsid w:val="00EE12D6"/>
    <w:rsid w:val="00EE12E1"/>
    <w:rsid w:val="00EE12E5"/>
    <w:rsid w:val="00EE130E"/>
    <w:rsid w:val="00EE1368"/>
    <w:rsid w:val="00EE1379"/>
    <w:rsid w:val="00EE14AB"/>
    <w:rsid w:val="00EE150C"/>
    <w:rsid w:val="00EE153A"/>
    <w:rsid w:val="00EE15E0"/>
    <w:rsid w:val="00EE164D"/>
    <w:rsid w:val="00EE1668"/>
    <w:rsid w:val="00EE16DA"/>
    <w:rsid w:val="00EE178D"/>
    <w:rsid w:val="00EE17A0"/>
    <w:rsid w:val="00EE17A7"/>
    <w:rsid w:val="00EE17D8"/>
    <w:rsid w:val="00EE1821"/>
    <w:rsid w:val="00EE1882"/>
    <w:rsid w:val="00EE18BB"/>
    <w:rsid w:val="00EE18C1"/>
    <w:rsid w:val="00EE18F4"/>
    <w:rsid w:val="00EE190A"/>
    <w:rsid w:val="00EE192B"/>
    <w:rsid w:val="00EE1AAE"/>
    <w:rsid w:val="00EE1B3F"/>
    <w:rsid w:val="00EE1B46"/>
    <w:rsid w:val="00EE1B8B"/>
    <w:rsid w:val="00EE1BCB"/>
    <w:rsid w:val="00EE1C91"/>
    <w:rsid w:val="00EE1CA3"/>
    <w:rsid w:val="00EE1CF9"/>
    <w:rsid w:val="00EE1DA4"/>
    <w:rsid w:val="00EE1DA6"/>
    <w:rsid w:val="00EE1E1F"/>
    <w:rsid w:val="00EE1E7A"/>
    <w:rsid w:val="00EE1EA0"/>
    <w:rsid w:val="00EE1FEF"/>
    <w:rsid w:val="00EE2011"/>
    <w:rsid w:val="00EE2052"/>
    <w:rsid w:val="00EE2058"/>
    <w:rsid w:val="00EE20B6"/>
    <w:rsid w:val="00EE2100"/>
    <w:rsid w:val="00EE225C"/>
    <w:rsid w:val="00EE2279"/>
    <w:rsid w:val="00EE22B7"/>
    <w:rsid w:val="00EE22D6"/>
    <w:rsid w:val="00EE22E5"/>
    <w:rsid w:val="00EE2324"/>
    <w:rsid w:val="00EE2374"/>
    <w:rsid w:val="00EE237E"/>
    <w:rsid w:val="00EE23A1"/>
    <w:rsid w:val="00EE23D5"/>
    <w:rsid w:val="00EE246D"/>
    <w:rsid w:val="00EE247D"/>
    <w:rsid w:val="00EE24AB"/>
    <w:rsid w:val="00EE2569"/>
    <w:rsid w:val="00EE2592"/>
    <w:rsid w:val="00EE25EA"/>
    <w:rsid w:val="00EE2676"/>
    <w:rsid w:val="00EE26B9"/>
    <w:rsid w:val="00EE276C"/>
    <w:rsid w:val="00EE277E"/>
    <w:rsid w:val="00EE27B5"/>
    <w:rsid w:val="00EE27FF"/>
    <w:rsid w:val="00EE28E7"/>
    <w:rsid w:val="00EE28E9"/>
    <w:rsid w:val="00EE2920"/>
    <w:rsid w:val="00EE2922"/>
    <w:rsid w:val="00EE2951"/>
    <w:rsid w:val="00EE299C"/>
    <w:rsid w:val="00EE2A32"/>
    <w:rsid w:val="00EE2AF9"/>
    <w:rsid w:val="00EE2B2F"/>
    <w:rsid w:val="00EE2B40"/>
    <w:rsid w:val="00EE2BB1"/>
    <w:rsid w:val="00EE2BD4"/>
    <w:rsid w:val="00EE2BFD"/>
    <w:rsid w:val="00EE2C4E"/>
    <w:rsid w:val="00EE2C7C"/>
    <w:rsid w:val="00EE2C80"/>
    <w:rsid w:val="00EE2C87"/>
    <w:rsid w:val="00EE2C8B"/>
    <w:rsid w:val="00EE2DFF"/>
    <w:rsid w:val="00EE306E"/>
    <w:rsid w:val="00EE30A5"/>
    <w:rsid w:val="00EE3126"/>
    <w:rsid w:val="00EE3169"/>
    <w:rsid w:val="00EE31DD"/>
    <w:rsid w:val="00EE3254"/>
    <w:rsid w:val="00EE3268"/>
    <w:rsid w:val="00EE32CD"/>
    <w:rsid w:val="00EE32DE"/>
    <w:rsid w:val="00EE32FF"/>
    <w:rsid w:val="00EE3317"/>
    <w:rsid w:val="00EE3457"/>
    <w:rsid w:val="00EE34AA"/>
    <w:rsid w:val="00EE3516"/>
    <w:rsid w:val="00EE3531"/>
    <w:rsid w:val="00EE35A3"/>
    <w:rsid w:val="00EE35A4"/>
    <w:rsid w:val="00EE35AC"/>
    <w:rsid w:val="00EE35B6"/>
    <w:rsid w:val="00EE361F"/>
    <w:rsid w:val="00EE366C"/>
    <w:rsid w:val="00EE36C8"/>
    <w:rsid w:val="00EE3750"/>
    <w:rsid w:val="00EE379C"/>
    <w:rsid w:val="00EE380A"/>
    <w:rsid w:val="00EE380C"/>
    <w:rsid w:val="00EE382C"/>
    <w:rsid w:val="00EE38DF"/>
    <w:rsid w:val="00EE38F3"/>
    <w:rsid w:val="00EE39AE"/>
    <w:rsid w:val="00EE39AF"/>
    <w:rsid w:val="00EE3A09"/>
    <w:rsid w:val="00EE3A83"/>
    <w:rsid w:val="00EE3ABB"/>
    <w:rsid w:val="00EE3AC2"/>
    <w:rsid w:val="00EE3B1D"/>
    <w:rsid w:val="00EE3B5C"/>
    <w:rsid w:val="00EE3B61"/>
    <w:rsid w:val="00EE3B75"/>
    <w:rsid w:val="00EE3B98"/>
    <w:rsid w:val="00EE3BCE"/>
    <w:rsid w:val="00EE3C30"/>
    <w:rsid w:val="00EE3C4A"/>
    <w:rsid w:val="00EE3C9B"/>
    <w:rsid w:val="00EE3CA0"/>
    <w:rsid w:val="00EE3E3D"/>
    <w:rsid w:val="00EE3EE9"/>
    <w:rsid w:val="00EE3EEF"/>
    <w:rsid w:val="00EE415A"/>
    <w:rsid w:val="00EE41D0"/>
    <w:rsid w:val="00EE42A8"/>
    <w:rsid w:val="00EE42CD"/>
    <w:rsid w:val="00EE42FA"/>
    <w:rsid w:val="00EE4304"/>
    <w:rsid w:val="00EE4307"/>
    <w:rsid w:val="00EE4412"/>
    <w:rsid w:val="00EE460E"/>
    <w:rsid w:val="00EE46CD"/>
    <w:rsid w:val="00EE4726"/>
    <w:rsid w:val="00EE4735"/>
    <w:rsid w:val="00EE478F"/>
    <w:rsid w:val="00EE47CF"/>
    <w:rsid w:val="00EE47E4"/>
    <w:rsid w:val="00EE482F"/>
    <w:rsid w:val="00EE48AE"/>
    <w:rsid w:val="00EE495D"/>
    <w:rsid w:val="00EE4962"/>
    <w:rsid w:val="00EE49D8"/>
    <w:rsid w:val="00EE49FB"/>
    <w:rsid w:val="00EE4A04"/>
    <w:rsid w:val="00EE4A95"/>
    <w:rsid w:val="00EE4A9B"/>
    <w:rsid w:val="00EE4AB8"/>
    <w:rsid w:val="00EE4ABD"/>
    <w:rsid w:val="00EE4B03"/>
    <w:rsid w:val="00EE4B76"/>
    <w:rsid w:val="00EE4C3E"/>
    <w:rsid w:val="00EE4C5A"/>
    <w:rsid w:val="00EE4C5E"/>
    <w:rsid w:val="00EE4C98"/>
    <w:rsid w:val="00EE4D01"/>
    <w:rsid w:val="00EE4D11"/>
    <w:rsid w:val="00EE4D74"/>
    <w:rsid w:val="00EE4D85"/>
    <w:rsid w:val="00EE4DC3"/>
    <w:rsid w:val="00EE4EDA"/>
    <w:rsid w:val="00EE4F22"/>
    <w:rsid w:val="00EE4F4F"/>
    <w:rsid w:val="00EE5026"/>
    <w:rsid w:val="00EE508A"/>
    <w:rsid w:val="00EE5093"/>
    <w:rsid w:val="00EE50BF"/>
    <w:rsid w:val="00EE50EF"/>
    <w:rsid w:val="00EE514B"/>
    <w:rsid w:val="00EE51A9"/>
    <w:rsid w:val="00EE523E"/>
    <w:rsid w:val="00EE525C"/>
    <w:rsid w:val="00EE5265"/>
    <w:rsid w:val="00EE52A6"/>
    <w:rsid w:val="00EE52DD"/>
    <w:rsid w:val="00EE5317"/>
    <w:rsid w:val="00EE5329"/>
    <w:rsid w:val="00EE5647"/>
    <w:rsid w:val="00EE564A"/>
    <w:rsid w:val="00EE564D"/>
    <w:rsid w:val="00EE5665"/>
    <w:rsid w:val="00EE566D"/>
    <w:rsid w:val="00EE5676"/>
    <w:rsid w:val="00EE5697"/>
    <w:rsid w:val="00EE56AC"/>
    <w:rsid w:val="00EE57D9"/>
    <w:rsid w:val="00EE583B"/>
    <w:rsid w:val="00EE58D6"/>
    <w:rsid w:val="00EE58FF"/>
    <w:rsid w:val="00EE59AB"/>
    <w:rsid w:val="00EE59DC"/>
    <w:rsid w:val="00EE5A82"/>
    <w:rsid w:val="00EE5AB7"/>
    <w:rsid w:val="00EE5B20"/>
    <w:rsid w:val="00EE5BA3"/>
    <w:rsid w:val="00EE5C4C"/>
    <w:rsid w:val="00EE5D3A"/>
    <w:rsid w:val="00EE5D42"/>
    <w:rsid w:val="00EE5D55"/>
    <w:rsid w:val="00EE5D76"/>
    <w:rsid w:val="00EE5D7D"/>
    <w:rsid w:val="00EE5DA1"/>
    <w:rsid w:val="00EE5DCB"/>
    <w:rsid w:val="00EE5E76"/>
    <w:rsid w:val="00EE5F8C"/>
    <w:rsid w:val="00EE601F"/>
    <w:rsid w:val="00EE6054"/>
    <w:rsid w:val="00EE606F"/>
    <w:rsid w:val="00EE60B1"/>
    <w:rsid w:val="00EE60EC"/>
    <w:rsid w:val="00EE6163"/>
    <w:rsid w:val="00EE61C8"/>
    <w:rsid w:val="00EE61DB"/>
    <w:rsid w:val="00EE61E4"/>
    <w:rsid w:val="00EE61F0"/>
    <w:rsid w:val="00EE626E"/>
    <w:rsid w:val="00EE636D"/>
    <w:rsid w:val="00EE63D2"/>
    <w:rsid w:val="00EE6445"/>
    <w:rsid w:val="00EE6482"/>
    <w:rsid w:val="00EE649D"/>
    <w:rsid w:val="00EE64B3"/>
    <w:rsid w:val="00EE64D9"/>
    <w:rsid w:val="00EE64DC"/>
    <w:rsid w:val="00EE6562"/>
    <w:rsid w:val="00EE65E4"/>
    <w:rsid w:val="00EE660F"/>
    <w:rsid w:val="00EE6653"/>
    <w:rsid w:val="00EE665C"/>
    <w:rsid w:val="00EE6665"/>
    <w:rsid w:val="00EE6667"/>
    <w:rsid w:val="00EE66AA"/>
    <w:rsid w:val="00EE66D2"/>
    <w:rsid w:val="00EE6718"/>
    <w:rsid w:val="00EE674F"/>
    <w:rsid w:val="00EE67EB"/>
    <w:rsid w:val="00EE684E"/>
    <w:rsid w:val="00EE68C0"/>
    <w:rsid w:val="00EE695E"/>
    <w:rsid w:val="00EE6979"/>
    <w:rsid w:val="00EE6986"/>
    <w:rsid w:val="00EE6A22"/>
    <w:rsid w:val="00EE6A35"/>
    <w:rsid w:val="00EE6A52"/>
    <w:rsid w:val="00EE6A7C"/>
    <w:rsid w:val="00EE6A7E"/>
    <w:rsid w:val="00EE6B55"/>
    <w:rsid w:val="00EE6BAE"/>
    <w:rsid w:val="00EE6BF6"/>
    <w:rsid w:val="00EE6C36"/>
    <w:rsid w:val="00EE6C52"/>
    <w:rsid w:val="00EE6CC1"/>
    <w:rsid w:val="00EE6CE5"/>
    <w:rsid w:val="00EE6DE7"/>
    <w:rsid w:val="00EE6E18"/>
    <w:rsid w:val="00EE6E60"/>
    <w:rsid w:val="00EE71AE"/>
    <w:rsid w:val="00EE7250"/>
    <w:rsid w:val="00EE72F2"/>
    <w:rsid w:val="00EE7310"/>
    <w:rsid w:val="00EE7350"/>
    <w:rsid w:val="00EE73B8"/>
    <w:rsid w:val="00EE741E"/>
    <w:rsid w:val="00EE7540"/>
    <w:rsid w:val="00EE755D"/>
    <w:rsid w:val="00EE75CF"/>
    <w:rsid w:val="00EE75E9"/>
    <w:rsid w:val="00EE76F7"/>
    <w:rsid w:val="00EE7779"/>
    <w:rsid w:val="00EE778D"/>
    <w:rsid w:val="00EE7795"/>
    <w:rsid w:val="00EE77A7"/>
    <w:rsid w:val="00EE77D8"/>
    <w:rsid w:val="00EE78B4"/>
    <w:rsid w:val="00EE7902"/>
    <w:rsid w:val="00EE791E"/>
    <w:rsid w:val="00EE7A4B"/>
    <w:rsid w:val="00EE7A97"/>
    <w:rsid w:val="00EE7B17"/>
    <w:rsid w:val="00EE7BE9"/>
    <w:rsid w:val="00EE7C90"/>
    <w:rsid w:val="00EE7D41"/>
    <w:rsid w:val="00EE7E1F"/>
    <w:rsid w:val="00EE7E41"/>
    <w:rsid w:val="00EE7E65"/>
    <w:rsid w:val="00EE7ED2"/>
    <w:rsid w:val="00EE7F07"/>
    <w:rsid w:val="00EE7F3C"/>
    <w:rsid w:val="00EE7F8F"/>
    <w:rsid w:val="00EE7FD0"/>
    <w:rsid w:val="00EF004A"/>
    <w:rsid w:val="00EF0057"/>
    <w:rsid w:val="00EF00F1"/>
    <w:rsid w:val="00EF0111"/>
    <w:rsid w:val="00EF0130"/>
    <w:rsid w:val="00EF0137"/>
    <w:rsid w:val="00EF01DF"/>
    <w:rsid w:val="00EF0200"/>
    <w:rsid w:val="00EF0203"/>
    <w:rsid w:val="00EF025F"/>
    <w:rsid w:val="00EF02F3"/>
    <w:rsid w:val="00EF0324"/>
    <w:rsid w:val="00EF035C"/>
    <w:rsid w:val="00EF03F1"/>
    <w:rsid w:val="00EF03F4"/>
    <w:rsid w:val="00EF03FB"/>
    <w:rsid w:val="00EF043B"/>
    <w:rsid w:val="00EF0468"/>
    <w:rsid w:val="00EF048C"/>
    <w:rsid w:val="00EF0567"/>
    <w:rsid w:val="00EF056E"/>
    <w:rsid w:val="00EF05A0"/>
    <w:rsid w:val="00EF05DC"/>
    <w:rsid w:val="00EF060E"/>
    <w:rsid w:val="00EF062E"/>
    <w:rsid w:val="00EF0643"/>
    <w:rsid w:val="00EF06D9"/>
    <w:rsid w:val="00EF06E6"/>
    <w:rsid w:val="00EF076C"/>
    <w:rsid w:val="00EF081C"/>
    <w:rsid w:val="00EF0826"/>
    <w:rsid w:val="00EF08AA"/>
    <w:rsid w:val="00EF08B8"/>
    <w:rsid w:val="00EF08F0"/>
    <w:rsid w:val="00EF0952"/>
    <w:rsid w:val="00EF097E"/>
    <w:rsid w:val="00EF09B3"/>
    <w:rsid w:val="00EF09DD"/>
    <w:rsid w:val="00EF09E6"/>
    <w:rsid w:val="00EF0A17"/>
    <w:rsid w:val="00EF0A6F"/>
    <w:rsid w:val="00EF0A8E"/>
    <w:rsid w:val="00EF0AB9"/>
    <w:rsid w:val="00EF0B0E"/>
    <w:rsid w:val="00EF0B23"/>
    <w:rsid w:val="00EF0B47"/>
    <w:rsid w:val="00EF0D1F"/>
    <w:rsid w:val="00EF0D79"/>
    <w:rsid w:val="00EF0DDC"/>
    <w:rsid w:val="00EF0DF0"/>
    <w:rsid w:val="00EF0E42"/>
    <w:rsid w:val="00EF0E94"/>
    <w:rsid w:val="00EF0F1F"/>
    <w:rsid w:val="00EF0F82"/>
    <w:rsid w:val="00EF0FD8"/>
    <w:rsid w:val="00EF0FF3"/>
    <w:rsid w:val="00EF1066"/>
    <w:rsid w:val="00EF10D9"/>
    <w:rsid w:val="00EF1140"/>
    <w:rsid w:val="00EF115B"/>
    <w:rsid w:val="00EF11CB"/>
    <w:rsid w:val="00EF11D1"/>
    <w:rsid w:val="00EF12DB"/>
    <w:rsid w:val="00EF1608"/>
    <w:rsid w:val="00EF16A4"/>
    <w:rsid w:val="00EF16D3"/>
    <w:rsid w:val="00EF16ED"/>
    <w:rsid w:val="00EF16EF"/>
    <w:rsid w:val="00EF1737"/>
    <w:rsid w:val="00EF182B"/>
    <w:rsid w:val="00EF185A"/>
    <w:rsid w:val="00EF185C"/>
    <w:rsid w:val="00EF1892"/>
    <w:rsid w:val="00EF18F6"/>
    <w:rsid w:val="00EF19BE"/>
    <w:rsid w:val="00EF19C8"/>
    <w:rsid w:val="00EF1A00"/>
    <w:rsid w:val="00EF1AA8"/>
    <w:rsid w:val="00EF1BA3"/>
    <w:rsid w:val="00EF1BA4"/>
    <w:rsid w:val="00EF1C20"/>
    <w:rsid w:val="00EF1D2D"/>
    <w:rsid w:val="00EF1E2C"/>
    <w:rsid w:val="00EF1ECF"/>
    <w:rsid w:val="00EF204F"/>
    <w:rsid w:val="00EF2059"/>
    <w:rsid w:val="00EF2092"/>
    <w:rsid w:val="00EF20D6"/>
    <w:rsid w:val="00EF2121"/>
    <w:rsid w:val="00EF2126"/>
    <w:rsid w:val="00EF2169"/>
    <w:rsid w:val="00EF21ED"/>
    <w:rsid w:val="00EF2298"/>
    <w:rsid w:val="00EF23A4"/>
    <w:rsid w:val="00EF23BC"/>
    <w:rsid w:val="00EF24EE"/>
    <w:rsid w:val="00EF25CC"/>
    <w:rsid w:val="00EF25D2"/>
    <w:rsid w:val="00EF2627"/>
    <w:rsid w:val="00EF266E"/>
    <w:rsid w:val="00EF2692"/>
    <w:rsid w:val="00EF2734"/>
    <w:rsid w:val="00EF27E2"/>
    <w:rsid w:val="00EF2859"/>
    <w:rsid w:val="00EF286C"/>
    <w:rsid w:val="00EF2A68"/>
    <w:rsid w:val="00EF2A6C"/>
    <w:rsid w:val="00EF2AE7"/>
    <w:rsid w:val="00EF2AFD"/>
    <w:rsid w:val="00EF2C81"/>
    <w:rsid w:val="00EF2C85"/>
    <w:rsid w:val="00EF2CA0"/>
    <w:rsid w:val="00EF2D1E"/>
    <w:rsid w:val="00EF2E1D"/>
    <w:rsid w:val="00EF2E1F"/>
    <w:rsid w:val="00EF2EA5"/>
    <w:rsid w:val="00EF3142"/>
    <w:rsid w:val="00EF3190"/>
    <w:rsid w:val="00EF32C0"/>
    <w:rsid w:val="00EF3319"/>
    <w:rsid w:val="00EF3374"/>
    <w:rsid w:val="00EF33A1"/>
    <w:rsid w:val="00EF33CF"/>
    <w:rsid w:val="00EF3428"/>
    <w:rsid w:val="00EF34C0"/>
    <w:rsid w:val="00EF34DE"/>
    <w:rsid w:val="00EF352F"/>
    <w:rsid w:val="00EF3544"/>
    <w:rsid w:val="00EF3580"/>
    <w:rsid w:val="00EF3733"/>
    <w:rsid w:val="00EF375B"/>
    <w:rsid w:val="00EF37D7"/>
    <w:rsid w:val="00EF37E7"/>
    <w:rsid w:val="00EF3819"/>
    <w:rsid w:val="00EF38AE"/>
    <w:rsid w:val="00EF38CF"/>
    <w:rsid w:val="00EF3A8E"/>
    <w:rsid w:val="00EF3ADE"/>
    <w:rsid w:val="00EF3AE9"/>
    <w:rsid w:val="00EF3B0A"/>
    <w:rsid w:val="00EF3B17"/>
    <w:rsid w:val="00EF3B43"/>
    <w:rsid w:val="00EF3B92"/>
    <w:rsid w:val="00EF3BEE"/>
    <w:rsid w:val="00EF3C0D"/>
    <w:rsid w:val="00EF3C41"/>
    <w:rsid w:val="00EF3C61"/>
    <w:rsid w:val="00EF3C89"/>
    <w:rsid w:val="00EF3CBC"/>
    <w:rsid w:val="00EF3CEC"/>
    <w:rsid w:val="00EF3D3B"/>
    <w:rsid w:val="00EF3D3C"/>
    <w:rsid w:val="00EF3DE9"/>
    <w:rsid w:val="00EF3DEA"/>
    <w:rsid w:val="00EF3E08"/>
    <w:rsid w:val="00EF3E17"/>
    <w:rsid w:val="00EF3E2E"/>
    <w:rsid w:val="00EF3E69"/>
    <w:rsid w:val="00EF3EAD"/>
    <w:rsid w:val="00EF3F11"/>
    <w:rsid w:val="00EF3F7F"/>
    <w:rsid w:val="00EF3FB9"/>
    <w:rsid w:val="00EF3FCC"/>
    <w:rsid w:val="00EF401C"/>
    <w:rsid w:val="00EF4078"/>
    <w:rsid w:val="00EF413F"/>
    <w:rsid w:val="00EF4161"/>
    <w:rsid w:val="00EF420F"/>
    <w:rsid w:val="00EF4264"/>
    <w:rsid w:val="00EF42B1"/>
    <w:rsid w:val="00EF42B8"/>
    <w:rsid w:val="00EF4315"/>
    <w:rsid w:val="00EF443D"/>
    <w:rsid w:val="00EF455A"/>
    <w:rsid w:val="00EF4571"/>
    <w:rsid w:val="00EF4583"/>
    <w:rsid w:val="00EF45A3"/>
    <w:rsid w:val="00EF46B8"/>
    <w:rsid w:val="00EF46E2"/>
    <w:rsid w:val="00EF47D1"/>
    <w:rsid w:val="00EF48B0"/>
    <w:rsid w:val="00EF4A66"/>
    <w:rsid w:val="00EF4B0A"/>
    <w:rsid w:val="00EF4C67"/>
    <w:rsid w:val="00EF4CC5"/>
    <w:rsid w:val="00EF4D08"/>
    <w:rsid w:val="00EF4D0A"/>
    <w:rsid w:val="00EF4D34"/>
    <w:rsid w:val="00EF4D93"/>
    <w:rsid w:val="00EF4E16"/>
    <w:rsid w:val="00EF4E39"/>
    <w:rsid w:val="00EF4E85"/>
    <w:rsid w:val="00EF4F1F"/>
    <w:rsid w:val="00EF4F3D"/>
    <w:rsid w:val="00EF4F4E"/>
    <w:rsid w:val="00EF4FE9"/>
    <w:rsid w:val="00EF5020"/>
    <w:rsid w:val="00EF5044"/>
    <w:rsid w:val="00EF504F"/>
    <w:rsid w:val="00EF5051"/>
    <w:rsid w:val="00EF50D7"/>
    <w:rsid w:val="00EF50DE"/>
    <w:rsid w:val="00EF513D"/>
    <w:rsid w:val="00EF51EB"/>
    <w:rsid w:val="00EF5276"/>
    <w:rsid w:val="00EF52D7"/>
    <w:rsid w:val="00EF52F1"/>
    <w:rsid w:val="00EF534B"/>
    <w:rsid w:val="00EF5363"/>
    <w:rsid w:val="00EF53C1"/>
    <w:rsid w:val="00EF53D2"/>
    <w:rsid w:val="00EF5423"/>
    <w:rsid w:val="00EF542D"/>
    <w:rsid w:val="00EF5431"/>
    <w:rsid w:val="00EF544D"/>
    <w:rsid w:val="00EF5581"/>
    <w:rsid w:val="00EF563A"/>
    <w:rsid w:val="00EF563B"/>
    <w:rsid w:val="00EF5659"/>
    <w:rsid w:val="00EF56C3"/>
    <w:rsid w:val="00EF56F6"/>
    <w:rsid w:val="00EF5731"/>
    <w:rsid w:val="00EF5756"/>
    <w:rsid w:val="00EF575A"/>
    <w:rsid w:val="00EF57CC"/>
    <w:rsid w:val="00EF57E9"/>
    <w:rsid w:val="00EF5804"/>
    <w:rsid w:val="00EF5814"/>
    <w:rsid w:val="00EF5833"/>
    <w:rsid w:val="00EF5859"/>
    <w:rsid w:val="00EF58A7"/>
    <w:rsid w:val="00EF58D5"/>
    <w:rsid w:val="00EF590B"/>
    <w:rsid w:val="00EF593D"/>
    <w:rsid w:val="00EF5944"/>
    <w:rsid w:val="00EF5979"/>
    <w:rsid w:val="00EF5988"/>
    <w:rsid w:val="00EF5AA0"/>
    <w:rsid w:val="00EF5AAA"/>
    <w:rsid w:val="00EF5AE3"/>
    <w:rsid w:val="00EF5AF4"/>
    <w:rsid w:val="00EF5B0D"/>
    <w:rsid w:val="00EF5B6B"/>
    <w:rsid w:val="00EF5C0E"/>
    <w:rsid w:val="00EF5C12"/>
    <w:rsid w:val="00EF5C73"/>
    <w:rsid w:val="00EF5D2A"/>
    <w:rsid w:val="00EF5D69"/>
    <w:rsid w:val="00EF5D7E"/>
    <w:rsid w:val="00EF5E26"/>
    <w:rsid w:val="00EF5F4A"/>
    <w:rsid w:val="00EF5F97"/>
    <w:rsid w:val="00EF6112"/>
    <w:rsid w:val="00EF615F"/>
    <w:rsid w:val="00EF61CF"/>
    <w:rsid w:val="00EF61F5"/>
    <w:rsid w:val="00EF6208"/>
    <w:rsid w:val="00EF6222"/>
    <w:rsid w:val="00EF629E"/>
    <w:rsid w:val="00EF62A6"/>
    <w:rsid w:val="00EF62DF"/>
    <w:rsid w:val="00EF630F"/>
    <w:rsid w:val="00EF6346"/>
    <w:rsid w:val="00EF6396"/>
    <w:rsid w:val="00EF63A0"/>
    <w:rsid w:val="00EF6444"/>
    <w:rsid w:val="00EF6489"/>
    <w:rsid w:val="00EF649A"/>
    <w:rsid w:val="00EF65C2"/>
    <w:rsid w:val="00EF6647"/>
    <w:rsid w:val="00EF6671"/>
    <w:rsid w:val="00EF6794"/>
    <w:rsid w:val="00EF6795"/>
    <w:rsid w:val="00EF67CF"/>
    <w:rsid w:val="00EF6950"/>
    <w:rsid w:val="00EF69AA"/>
    <w:rsid w:val="00EF69C9"/>
    <w:rsid w:val="00EF6A06"/>
    <w:rsid w:val="00EF6AD4"/>
    <w:rsid w:val="00EF6B01"/>
    <w:rsid w:val="00EF6B1C"/>
    <w:rsid w:val="00EF6BD1"/>
    <w:rsid w:val="00EF6C73"/>
    <w:rsid w:val="00EF6CE4"/>
    <w:rsid w:val="00EF6D30"/>
    <w:rsid w:val="00EF6D43"/>
    <w:rsid w:val="00EF6D61"/>
    <w:rsid w:val="00EF6DB3"/>
    <w:rsid w:val="00EF6DE0"/>
    <w:rsid w:val="00EF6E06"/>
    <w:rsid w:val="00EF6E68"/>
    <w:rsid w:val="00EF6F70"/>
    <w:rsid w:val="00EF6F83"/>
    <w:rsid w:val="00EF704C"/>
    <w:rsid w:val="00EF7159"/>
    <w:rsid w:val="00EF71F1"/>
    <w:rsid w:val="00EF7208"/>
    <w:rsid w:val="00EF7226"/>
    <w:rsid w:val="00EF7237"/>
    <w:rsid w:val="00EF727A"/>
    <w:rsid w:val="00EF72A8"/>
    <w:rsid w:val="00EF735D"/>
    <w:rsid w:val="00EF73B4"/>
    <w:rsid w:val="00EF73C9"/>
    <w:rsid w:val="00EF73F9"/>
    <w:rsid w:val="00EF7400"/>
    <w:rsid w:val="00EF7476"/>
    <w:rsid w:val="00EF747D"/>
    <w:rsid w:val="00EF74AE"/>
    <w:rsid w:val="00EF74AF"/>
    <w:rsid w:val="00EF74DF"/>
    <w:rsid w:val="00EF74FD"/>
    <w:rsid w:val="00EF7511"/>
    <w:rsid w:val="00EF7523"/>
    <w:rsid w:val="00EF7575"/>
    <w:rsid w:val="00EF75FA"/>
    <w:rsid w:val="00EF7606"/>
    <w:rsid w:val="00EF7696"/>
    <w:rsid w:val="00EF76C0"/>
    <w:rsid w:val="00EF76E3"/>
    <w:rsid w:val="00EF7725"/>
    <w:rsid w:val="00EF781A"/>
    <w:rsid w:val="00EF781C"/>
    <w:rsid w:val="00EF787E"/>
    <w:rsid w:val="00EF792E"/>
    <w:rsid w:val="00EF7948"/>
    <w:rsid w:val="00EF795A"/>
    <w:rsid w:val="00EF7963"/>
    <w:rsid w:val="00EF79B3"/>
    <w:rsid w:val="00EF7A32"/>
    <w:rsid w:val="00EF7A58"/>
    <w:rsid w:val="00EF7AA4"/>
    <w:rsid w:val="00EF7ABA"/>
    <w:rsid w:val="00EF7AF6"/>
    <w:rsid w:val="00EF7B02"/>
    <w:rsid w:val="00EF7B3B"/>
    <w:rsid w:val="00EF7B3E"/>
    <w:rsid w:val="00EF7B55"/>
    <w:rsid w:val="00EF7CA1"/>
    <w:rsid w:val="00EF7CB1"/>
    <w:rsid w:val="00EF7CBB"/>
    <w:rsid w:val="00EF7CFB"/>
    <w:rsid w:val="00EF7D24"/>
    <w:rsid w:val="00EF7D61"/>
    <w:rsid w:val="00EF7DC8"/>
    <w:rsid w:val="00EF7DFB"/>
    <w:rsid w:val="00EF7EAA"/>
    <w:rsid w:val="00EF7F0C"/>
    <w:rsid w:val="00EF7F26"/>
    <w:rsid w:val="00EF7FD1"/>
    <w:rsid w:val="00F00093"/>
    <w:rsid w:val="00F000D2"/>
    <w:rsid w:val="00F0014B"/>
    <w:rsid w:val="00F00162"/>
    <w:rsid w:val="00F00184"/>
    <w:rsid w:val="00F001C7"/>
    <w:rsid w:val="00F001ED"/>
    <w:rsid w:val="00F00203"/>
    <w:rsid w:val="00F00248"/>
    <w:rsid w:val="00F00283"/>
    <w:rsid w:val="00F002E0"/>
    <w:rsid w:val="00F0036E"/>
    <w:rsid w:val="00F0049C"/>
    <w:rsid w:val="00F004BC"/>
    <w:rsid w:val="00F004E3"/>
    <w:rsid w:val="00F004E9"/>
    <w:rsid w:val="00F00508"/>
    <w:rsid w:val="00F00572"/>
    <w:rsid w:val="00F0059F"/>
    <w:rsid w:val="00F005D9"/>
    <w:rsid w:val="00F005EB"/>
    <w:rsid w:val="00F005EC"/>
    <w:rsid w:val="00F00643"/>
    <w:rsid w:val="00F00822"/>
    <w:rsid w:val="00F00878"/>
    <w:rsid w:val="00F008AE"/>
    <w:rsid w:val="00F008E4"/>
    <w:rsid w:val="00F0098F"/>
    <w:rsid w:val="00F009E7"/>
    <w:rsid w:val="00F009F0"/>
    <w:rsid w:val="00F009F4"/>
    <w:rsid w:val="00F00A91"/>
    <w:rsid w:val="00F00B16"/>
    <w:rsid w:val="00F00B45"/>
    <w:rsid w:val="00F00C52"/>
    <w:rsid w:val="00F00C6B"/>
    <w:rsid w:val="00F00C8E"/>
    <w:rsid w:val="00F00D39"/>
    <w:rsid w:val="00F00D62"/>
    <w:rsid w:val="00F00D6C"/>
    <w:rsid w:val="00F00D7D"/>
    <w:rsid w:val="00F00DE6"/>
    <w:rsid w:val="00F00E0F"/>
    <w:rsid w:val="00F00E53"/>
    <w:rsid w:val="00F00E59"/>
    <w:rsid w:val="00F00E8D"/>
    <w:rsid w:val="00F00F14"/>
    <w:rsid w:val="00F00F3B"/>
    <w:rsid w:val="00F00F91"/>
    <w:rsid w:val="00F00FD0"/>
    <w:rsid w:val="00F00FDD"/>
    <w:rsid w:val="00F00FFB"/>
    <w:rsid w:val="00F01007"/>
    <w:rsid w:val="00F01019"/>
    <w:rsid w:val="00F01085"/>
    <w:rsid w:val="00F010E3"/>
    <w:rsid w:val="00F01126"/>
    <w:rsid w:val="00F01159"/>
    <w:rsid w:val="00F0120A"/>
    <w:rsid w:val="00F01216"/>
    <w:rsid w:val="00F0121B"/>
    <w:rsid w:val="00F0123E"/>
    <w:rsid w:val="00F013F6"/>
    <w:rsid w:val="00F01445"/>
    <w:rsid w:val="00F01486"/>
    <w:rsid w:val="00F0148E"/>
    <w:rsid w:val="00F014D4"/>
    <w:rsid w:val="00F01536"/>
    <w:rsid w:val="00F01558"/>
    <w:rsid w:val="00F016D1"/>
    <w:rsid w:val="00F0170A"/>
    <w:rsid w:val="00F017DE"/>
    <w:rsid w:val="00F01898"/>
    <w:rsid w:val="00F0189E"/>
    <w:rsid w:val="00F018FE"/>
    <w:rsid w:val="00F01BE3"/>
    <w:rsid w:val="00F01C51"/>
    <w:rsid w:val="00F01C84"/>
    <w:rsid w:val="00F01C87"/>
    <w:rsid w:val="00F01E5C"/>
    <w:rsid w:val="00F01F56"/>
    <w:rsid w:val="00F01FE1"/>
    <w:rsid w:val="00F02088"/>
    <w:rsid w:val="00F02090"/>
    <w:rsid w:val="00F02094"/>
    <w:rsid w:val="00F02110"/>
    <w:rsid w:val="00F021C2"/>
    <w:rsid w:val="00F021D4"/>
    <w:rsid w:val="00F02228"/>
    <w:rsid w:val="00F0222A"/>
    <w:rsid w:val="00F022E0"/>
    <w:rsid w:val="00F02336"/>
    <w:rsid w:val="00F02349"/>
    <w:rsid w:val="00F02353"/>
    <w:rsid w:val="00F0241C"/>
    <w:rsid w:val="00F0243D"/>
    <w:rsid w:val="00F0248C"/>
    <w:rsid w:val="00F02529"/>
    <w:rsid w:val="00F0259D"/>
    <w:rsid w:val="00F025B1"/>
    <w:rsid w:val="00F025D0"/>
    <w:rsid w:val="00F027EB"/>
    <w:rsid w:val="00F02898"/>
    <w:rsid w:val="00F028DD"/>
    <w:rsid w:val="00F0291C"/>
    <w:rsid w:val="00F0294E"/>
    <w:rsid w:val="00F02987"/>
    <w:rsid w:val="00F0299A"/>
    <w:rsid w:val="00F02AB8"/>
    <w:rsid w:val="00F02ACF"/>
    <w:rsid w:val="00F02AED"/>
    <w:rsid w:val="00F02AFB"/>
    <w:rsid w:val="00F02B87"/>
    <w:rsid w:val="00F02C87"/>
    <w:rsid w:val="00F02CCD"/>
    <w:rsid w:val="00F02D1E"/>
    <w:rsid w:val="00F02E30"/>
    <w:rsid w:val="00F02F17"/>
    <w:rsid w:val="00F02F48"/>
    <w:rsid w:val="00F02F4C"/>
    <w:rsid w:val="00F02F72"/>
    <w:rsid w:val="00F02FFD"/>
    <w:rsid w:val="00F0300C"/>
    <w:rsid w:val="00F03024"/>
    <w:rsid w:val="00F03040"/>
    <w:rsid w:val="00F03042"/>
    <w:rsid w:val="00F030B8"/>
    <w:rsid w:val="00F030E6"/>
    <w:rsid w:val="00F03133"/>
    <w:rsid w:val="00F0316F"/>
    <w:rsid w:val="00F031A0"/>
    <w:rsid w:val="00F03234"/>
    <w:rsid w:val="00F03275"/>
    <w:rsid w:val="00F03283"/>
    <w:rsid w:val="00F03292"/>
    <w:rsid w:val="00F033A4"/>
    <w:rsid w:val="00F033B9"/>
    <w:rsid w:val="00F033DD"/>
    <w:rsid w:val="00F033F4"/>
    <w:rsid w:val="00F0347F"/>
    <w:rsid w:val="00F034D0"/>
    <w:rsid w:val="00F034F3"/>
    <w:rsid w:val="00F03579"/>
    <w:rsid w:val="00F035CB"/>
    <w:rsid w:val="00F0366A"/>
    <w:rsid w:val="00F036A1"/>
    <w:rsid w:val="00F036A5"/>
    <w:rsid w:val="00F0376F"/>
    <w:rsid w:val="00F037FC"/>
    <w:rsid w:val="00F0381A"/>
    <w:rsid w:val="00F03873"/>
    <w:rsid w:val="00F0387A"/>
    <w:rsid w:val="00F03893"/>
    <w:rsid w:val="00F03914"/>
    <w:rsid w:val="00F03992"/>
    <w:rsid w:val="00F039AC"/>
    <w:rsid w:val="00F039BA"/>
    <w:rsid w:val="00F03A52"/>
    <w:rsid w:val="00F03A81"/>
    <w:rsid w:val="00F03AA6"/>
    <w:rsid w:val="00F03B4A"/>
    <w:rsid w:val="00F03B83"/>
    <w:rsid w:val="00F03BE2"/>
    <w:rsid w:val="00F03CBC"/>
    <w:rsid w:val="00F03CBE"/>
    <w:rsid w:val="00F03CBF"/>
    <w:rsid w:val="00F03CCA"/>
    <w:rsid w:val="00F03D41"/>
    <w:rsid w:val="00F03DB5"/>
    <w:rsid w:val="00F03E44"/>
    <w:rsid w:val="00F03F70"/>
    <w:rsid w:val="00F04077"/>
    <w:rsid w:val="00F040B5"/>
    <w:rsid w:val="00F040E6"/>
    <w:rsid w:val="00F040EC"/>
    <w:rsid w:val="00F0417A"/>
    <w:rsid w:val="00F0420C"/>
    <w:rsid w:val="00F0428A"/>
    <w:rsid w:val="00F042F5"/>
    <w:rsid w:val="00F04329"/>
    <w:rsid w:val="00F0439F"/>
    <w:rsid w:val="00F043A4"/>
    <w:rsid w:val="00F0455C"/>
    <w:rsid w:val="00F0463F"/>
    <w:rsid w:val="00F04739"/>
    <w:rsid w:val="00F04793"/>
    <w:rsid w:val="00F047C0"/>
    <w:rsid w:val="00F047E1"/>
    <w:rsid w:val="00F047E5"/>
    <w:rsid w:val="00F04833"/>
    <w:rsid w:val="00F04868"/>
    <w:rsid w:val="00F04876"/>
    <w:rsid w:val="00F0493D"/>
    <w:rsid w:val="00F0498C"/>
    <w:rsid w:val="00F049B5"/>
    <w:rsid w:val="00F04B23"/>
    <w:rsid w:val="00F04B88"/>
    <w:rsid w:val="00F04C12"/>
    <w:rsid w:val="00F04C4A"/>
    <w:rsid w:val="00F04C5A"/>
    <w:rsid w:val="00F04E39"/>
    <w:rsid w:val="00F04E42"/>
    <w:rsid w:val="00F04E87"/>
    <w:rsid w:val="00F04ECE"/>
    <w:rsid w:val="00F04F62"/>
    <w:rsid w:val="00F04FE2"/>
    <w:rsid w:val="00F0506B"/>
    <w:rsid w:val="00F05156"/>
    <w:rsid w:val="00F05179"/>
    <w:rsid w:val="00F0517A"/>
    <w:rsid w:val="00F05208"/>
    <w:rsid w:val="00F05297"/>
    <w:rsid w:val="00F052D4"/>
    <w:rsid w:val="00F05362"/>
    <w:rsid w:val="00F05429"/>
    <w:rsid w:val="00F05470"/>
    <w:rsid w:val="00F0552E"/>
    <w:rsid w:val="00F0554B"/>
    <w:rsid w:val="00F056F9"/>
    <w:rsid w:val="00F05746"/>
    <w:rsid w:val="00F05783"/>
    <w:rsid w:val="00F057D2"/>
    <w:rsid w:val="00F057EA"/>
    <w:rsid w:val="00F05820"/>
    <w:rsid w:val="00F05826"/>
    <w:rsid w:val="00F058A2"/>
    <w:rsid w:val="00F0598A"/>
    <w:rsid w:val="00F059D6"/>
    <w:rsid w:val="00F05A51"/>
    <w:rsid w:val="00F05B26"/>
    <w:rsid w:val="00F05B87"/>
    <w:rsid w:val="00F05B89"/>
    <w:rsid w:val="00F05B9B"/>
    <w:rsid w:val="00F05BBC"/>
    <w:rsid w:val="00F05BC0"/>
    <w:rsid w:val="00F05C26"/>
    <w:rsid w:val="00F05C62"/>
    <w:rsid w:val="00F05D0F"/>
    <w:rsid w:val="00F05E1F"/>
    <w:rsid w:val="00F05EBB"/>
    <w:rsid w:val="00F05FB0"/>
    <w:rsid w:val="00F05FC4"/>
    <w:rsid w:val="00F05FFA"/>
    <w:rsid w:val="00F060B2"/>
    <w:rsid w:val="00F06100"/>
    <w:rsid w:val="00F06156"/>
    <w:rsid w:val="00F0622F"/>
    <w:rsid w:val="00F06262"/>
    <w:rsid w:val="00F06282"/>
    <w:rsid w:val="00F06304"/>
    <w:rsid w:val="00F06309"/>
    <w:rsid w:val="00F0636B"/>
    <w:rsid w:val="00F0637F"/>
    <w:rsid w:val="00F0639F"/>
    <w:rsid w:val="00F063D1"/>
    <w:rsid w:val="00F063EA"/>
    <w:rsid w:val="00F06559"/>
    <w:rsid w:val="00F0656B"/>
    <w:rsid w:val="00F065EF"/>
    <w:rsid w:val="00F0663F"/>
    <w:rsid w:val="00F0668D"/>
    <w:rsid w:val="00F066D3"/>
    <w:rsid w:val="00F06708"/>
    <w:rsid w:val="00F06794"/>
    <w:rsid w:val="00F0679E"/>
    <w:rsid w:val="00F067C9"/>
    <w:rsid w:val="00F0680F"/>
    <w:rsid w:val="00F068A4"/>
    <w:rsid w:val="00F068B9"/>
    <w:rsid w:val="00F068E6"/>
    <w:rsid w:val="00F068F9"/>
    <w:rsid w:val="00F06968"/>
    <w:rsid w:val="00F069D8"/>
    <w:rsid w:val="00F06A09"/>
    <w:rsid w:val="00F06ABD"/>
    <w:rsid w:val="00F06AE8"/>
    <w:rsid w:val="00F06BB4"/>
    <w:rsid w:val="00F06BE2"/>
    <w:rsid w:val="00F06BF9"/>
    <w:rsid w:val="00F06C13"/>
    <w:rsid w:val="00F06D36"/>
    <w:rsid w:val="00F06D92"/>
    <w:rsid w:val="00F06E5A"/>
    <w:rsid w:val="00F06ED2"/>
    <w:rsid w:val="00F06F72"/>
    <w:rsid w:val="00F06F9E"/>
    <w:rsid w:val="00F07002"/>
    <w:rsid w:val="00F07056"/>
    <w:rsid w:val="00F0713C"/>
    <w:rsid w:val="00F0715C"/>
    <w:rsid w:val="00F0718D"/>
    <w:rsid w:val="00F071D3"/>
    <w:rsid w:val="00F0722B"/>
    <w:rsid w:val="00F0722F"/>
    <w:rsid w:val="00F0726B"/>
    <w:rsid w:val="00F07283"/>
    <w:rsid w:val="00F072AD"/>
    <w:rsid w:val="00F072F8"/>
    <w:rsid w:val="00F07324"/>
    <w:rsid w:val="00F07543"/>
    <w:rsid w:val="00F075D0"/>
    <w:rsid w:val="00F0768B"/>
    <w:rsid w:val="00F0771D"/>
    <w:rsid w:val="00F07721"/>
    <w:rsid w:val="00F07722"/>
    <w:rsid w:val="00F0778F"/>
    <w:rsid w:val="00F077E8"/>
    <w:rsid w:val="00F077FA"/>
    <w:rsid w:val="00F079D0"/>
    <w:rsid w:val="00F07A24"/>
    <w:rsid w:val="00F07AA2"/>
    <w:rsid w:val="00F07AA9"/>
    <w:rsid w:val="00F07B46"/>
    <w:rsid w:val="00F07B62"/>
    <w:rsid w:val="00F07BAC"/>
    <w:rsid w:val="00F07C03"/>
    <w:rsid w:val="00F07C5E"/>
    <w:rsid w:val="00F07C60"/>
    <w:rsid w:val="00F07D42"/>
    <w:rsid w:val="00F07D57"/>
    <w:rsid w:val="00F07DA8"/>
    <w:rsid w:val="00F07E25"/>
    <w:rsid w:val="00F07E48"/>
    <w:rsid w:val="00F07E49"/>
    <w:rsid w:val="00F07E4A"/>
    <w:rsid w:val="00F07F00"/>
    <w:rsid w:val="00F07F0D"/>
    <w:rsid w:val="00F07F26"/>
    <w:rsid w:val="00F07F8F"/>
    <w:rsid w:val="00F07F9F"/>
    <w:rsid w:val="00F07FED"/>
    <w:rsid w:val="00F0B1BC"/>
    <w:rsid w:val="00F0DB18"/>
    <w:rsid w:val="00F1004B"/>
    <w:rsid w:val="00F10054"/>
    <w:rsid w:val="00F101E2"/>
    <w:rsid w:val="00F101EF"/>
    <w:rsid w:val="00F102F4"/>
    <w:rsid w:val="00F10304"/>
    <w:rsid w:val="00F10369"/>
    <w:rsid w:val="00F103BE"/>
    <w:rsid w:val="00F103C2"/>
    <w:rsid w:val="00F103CD"/>
    <w:rsid w:val="00F104E5"/>
    <w:rsid w:val="00F10507"/>
    <w:rsid w:val="00F10551"/>
    <w:rsid w:val="00F1055C"/>
    <w:rsid w:val="00F10602"/>
    <w:rsid w:val="00F10651"/>
    <w:rsid w:val="00F10802"/>
    <w:rsid w:val="00F108A3"/>
    <w:rsid w:val="00F1090B"/>
    <w:rsid w:val="00F1095A"/>
    <w:rsid w:val="00F109F1"/>
    <w:rsid w:val="00F10AA4"/>
    <w:rsid w:val="00F10AAF"/>
    <w:rsid w:val="00F10B3B"/>
    <w:rsid w:val="00F10C13"/>
    <w:rsid w:val="00F10C59"/>
    <w:rsid w:val="00F10C5A"/>
    <w:rsid w:val="00F10D53"/>
    <w:rsid w:val="00F10DA9"/>
    <w:rsid w:val="00F10DAC"/>
    <w:rsid w:val="00F10E14"/>
    <w:rsid w:val="00F10E76"/>
    <w:rsid w:val="00F10E79"/>
    <w:rsid w:val="00F10EB6"/>
    <w:rsid w:val="00F10F17"/>
    <w:rsid w:val="00F10F66"/>
    <w:rsid w:val="00F10FAA"/>
    <w:rsid w:val="00F11023"/>
    <w:rsid w:val="00F11060"/>
    <w:rsid w:val="00F11092"/>
    <w:rsid w:val="00F110FE"/>
    <w:rsid w:val="00F11112"/>
    <w:rsid w:val="00F11127"/>
    <w:rsid w:val="00F11148"/>
    <w:rsid w:val="00F11202"/>
    <w:rsid w:val="00F11222"/>
    <w:rsid w:val="00F11299"/>
    <w:rsid w:val="00F112EA"/>
    <w:rsid w:val="00F11317"/>
    <w:rsid w:val="00F1131A"/>
    <w:rsid w:val="00F11352"/>
    <w:rsid w:val="00F11370"/>
    <w:rsid w:val="00F115BC"/>
    <w:rsid w:val="00F115ED"/>
    <w:rsid w:val="00F115F1"/>
    <w:rsid w:val="00F11750"/>
    <w:rsid w:val="00F11764"/>
    <w:rsid w:val="00F117AD"/>
    <w:rsid w:val="00F11805"/>
    <w:rsid w:val="00F118C7"/>
    <w:rsid w:val="00F1192A"/>
    <w:rsid w:val="00F11935"/>
    <w:rsid w:val="00F1194E"/>
    <w:rsid w:val="00F119C7"/>
    <w:rsid w:val="00F11A65"/>
    <w:rsid w:val="00F11ABA"/>
    <w:rsid w:val="00F11AFF"/>
    <w:rsid w:val="00F11B5E"/>
    <w:rsid w:val="00F11B64"/>
    <w:rsid w:val="00F11C02"/>
    <w:rsid w:val="00F11C30"/>
    <w:rsid w:val="00F11D0F"/>
    <w:rsid w:val="00F11D78"/>
    <w:rsid w:val="00F11DBE"/>
    <w:rsid w:val="00F11EA4"/>
    <w:rsid w:val="00F11F82"/>
    <w:rsid w:val="00F12040"/>
    <w:rsid w:val="00F120B6"/>
    <w:rsid w:val="00F121FE"/>
    <w:rsid w:val="00F12274"/>
    <w:rsid w:val="00F122A5"/>
    <w:rsid w:val="00F1231E"/>
    <w:rsid w:val="00F12390"/>
    <w:rsid w:val="00F1239B"/>
    <w:rsid w:val="00F123C0"/>
    <w:rsid w:val="00F123C4"/>
    <w:rsid w:val="00F123D0"/>
    <w:rsid w:val="00F123D6"/>
    <w:rsid w:val="00F123FF"/>
    <w:rsid w:val="00F12424"/>
    <w:rsid w:val="00F12459"/>
    <w:rsid w:val="00F1249D"/>
    <w:rsid w:val="00F12500"/>
    <w:rsid w:val="00F1263F"/>
    <w:rsid w:val="00F1265B"/>
    <w:rsid w:val="00F12676"/>
    <w:rsid w:val="00F1271D"/>
    <w:rsid w:val="00F12765"/>
    <w:rsid w:val="00F1292B"/>
    <w:rsid w:val="00F12998"/>
    <w:rsid w:val="00F129D4"/>
    <w:rsid w:val="00F12A5E"/>
    <w:rsid w:val="00F12CEB"/>
    <w:rsid w:val="00F12D1D"/>
    <w:rsid w:val="00F12DE5"/>
    <w:rsid w:val="00F12E74"/>
    <w:rsid w:val="00F12F0D"/>
    <w:rsid w:val="00F12F40"/>
    <w:rsid w:val="00F12FAA"/>
    <w:rsid w:val="00F13021"/>
    <w:rsid w:val="00F13061"/>
    <w:rsid w:val="00F1309F"/>
    <w:rsid w:val="00F130A0"/>
    <w:rsid w:val="00F130B7"/>
    <w:rsid w:val="00F130CD"/>
    <w:rsid w:val="00F1314F"/>
    <w:rsid w:val="00F131BB"/>
    <w:rsid w:val="00F13224"/>
    <w:rsid w:val="00F1331F"/>
    <w:rsid w:val="00F13333"/>
    <w:rsid w:val="00F133C1"/>
    <w:rsid w:val="00F133E1"/>
    <w:rsid w:val="00F13409"/>
    <w:rsid w:val="00F134A9"/>
    <w:rsid w:val="00F13509"/>
    <w:rsid w:val="00F1353C"/>
    <w:rsid w:val="00F135A4"/>
    <w:rsid w:val="00F135AF"/>
    <w:rsid w:val="00F135B7"/>
    <w:rsid w:val="00F135E5"/>
    <w:rsid w:val="00F13678"/>
    <w:rsid w:val="00F13714"/>
    <w:rsid w:val="00F1377D"/>
    <w:rsid w:val="00F137B8"/>
    <w:rsid w:val="00F137E8"/>
    <w:rsid w:val="00F137FD"/>
    <w:rsid w:val="00F138CF"/>
    <w:rsid w:val="00F13933"/>
    <w:rsid w:val="00F1393E"/>
    <w:rsid w:val="00F13969"/>
    <w:rsid w:val="00F139AC"/>
    <w:rsid w:val="00F139D7"/>
    <w:rsid w:val="00F13AA4"/>
    <w:rsid w:val="00F13AA5"/>
    <w:rsid w:val="00F13AD8"/>
    <w:rsid w:val="00F13AE7"/>
    <w:rsid w:val="00F13AF9"/>
    <w:rsid w:val="00F13B0D"/>
    <w:rsid w:val="00F13BD6"/>
    <w:rsid w:val="00F13C91"/>
    <w:rsid w:val="00F13C9D"/>
    <w:rsid w:val="00F13CCB"/>
    <w:rsid w:val="00F13CCF"/>
    <w:rsid w:val="00F13D14"/>
    <w:rsid w:val="00F13D33"/>
    <w:rsid w:val="00F13D93"/>
    <w:rsid w:val="00F13E90"/>
    <w:rsid w:val="00F13EF2"/>
    <w:rsid w:val="00F14015"/>
    <w:rsid w:val="00F140A2"/>
    <w:rsid w:val="00F140DB"/>
    <w:rsid w:val="00F14169"/>
    <w:rsid w:val="00F1419F"/>
    <w:rsid w:val="00F141D6"/>
    <w:rsid w:val="00F141E5"/>
    <w:rsid w:val="00F1425B"/>
    <w:rsid w:val="00F1426B"/>
    <w:rsid w:val="00F1427A"/>
    <w:rsid w:val="00F14298"/>
    <w:rsid w:val="00F14310"/>
    <w:rsid w:val="00F1447E"/>
    <w:rsid w:val="00F1448F"/>
    <w:rsid w:val="00F1453B"/>
    <w:rsid w:val="00F145D9"/>
    <w:rsid w:val="00F14664"/>
    <w:rsid w:val="00F146A8"/>
    <w:rsid w:val="00F146DD"/>
    <w:rsid w:val="00F146F9"/>
    <w:rsid w:val="00F1471A"/>
    <w:rsid w:val="00F1474C"/>
    <w:rsid w:val="00F14761"/>
    <w:rsid w:val="00F14779"/>
    <w:rsid w:val="00F14795"/>
    <w:rsid w:val="00F14796"/>
    <w:rsid w:val="00F147D8"/>
    <w:rsid w:val="00F147EE"/>
    <w:rsid w:val="00F14813"/>
    <w:rsid w:val="00F1489E"/>
    <w:rsid w:val="00F148AA"/>
    <w:rsid w:val="00F148F7"/>
    <w:rsid w:val="00F14915"/>
    <w:rsid w:val="00F14928"/>
    <w:rsid w:val="00F1492D"/>
    <w:rsid w:val="00F14960"/>
    <w:rsid w:val="00F149DC"/>
    <w:rsid w:val="00F14A98"/>
    <w:rsid w:val="00F14AD3"/>
    <w:rsid w:val="00F14AD9"/>
    <w:rsid w:val="00F14B0D"/>
    <w:rsid w:val="00F14B3D"/>
    <w:rsid w:val="00F14B4C"/>
    <w:rsid w:val="00F14BAF"/>
    <w:rsid w:val="00F14C22"/>
    <w:rsid w:val="00F14C69"/>
    <w:rsid w:val="00F14C96"/>
    <w:rsid w:val="00F14CAE"/>
    <w:rsid w:val="00F14CB8"/>
    <w:rsid w:val="00F14D7B"/>
    <w:rsid w:val="00F14DAE"/>
    <w:rsid w:val="00F14DB0"/>
    <w:rsid w:val="00F14EA3"/>
    <w:rsid w:val="00F14EA9"/>
    <w:rsid w:val="00F14EB6"/>
    <w:rsid w:val="00F14F3D"/>
    <w:rsid w:val="00F14F4A"/>
    <w:rsid w:val="00F14F7C"/>
    <w:rsid w:val="00F14F9F"/>
    <w:rsid w:val="00F15065"/>
    <w:rsid w:val="00F150F6"/>
    <w:rsid w:val="00F1519E"/>
    <w:rsid w:val="00F151D4"/>
    <w:rsid w:val="00F151EF"/>
    <w:rsid w:val="00F15209"/>
    <w:rsid w:val="00F15290"/>
    <w:rsid w:val="00F152D4"/>
    <w:rsid w:val="00F1532F"/>
    <w:rsid w:val="00F153DE"/>
    <w:rsid w:val="00F15418"/>
    <w:rsid w:val="00F15424"/>
    <w:rsid w:val="00F15461"/>
    <w:rsid w:val="00F15511"/>
    <w:rsid w:val="00F15590"/>
    <w:rsid w:val="00F1573C"/>
    <w:rsid w:val="00F15821"/>
    <w:rsid w:val="00F158E0"/>
    <w:rsid w:val="00F158FD"/>
    <w:rsid w:val="00F15957"/>
    <w:rsid w:val="00F1595F"/>
    <w:rsid w:val="00F1597D"/>
    <w:rsid w:val="00F15A81"/>
    <w:rsid w:val="00F15B0B"/>
    <w:rsid w:val="00F15B23"/>
    <w:rsid w:val="00F15C28"/>
    <w:rsid w:val="00F15C68"/>
    <w:rsid w:val="00F15C87"/>
    <w:rsid w:val="00F15CD6"/>
    <w:rsid w:val="00F15CF3"/>
    <w:rsid w:val="00F15D19"/>
    <w:rsid w:val="00F15D45"/>
    <w:rsid w:val="00F15D9C"/>
    <w:rsid w:val="00F15E38"/>
    <w:rsid w:val="00F15E74"/>
    <w:rsid w:val="00F15EA9"/>
    <w:rsid w:val="00F15EF2"/>
    <w:rsid w:val="00F15F61"/>
    <w:rsid w:val="00F16041"/>
    <w:rsid w:val="00F1609F"/>
    <w:rsid w:val="00F160D2"/>
    <w:rsid w:val="00F161D3"/>
    <w:rsid w:val="00F161D5"/>
    <w:rsid w:val="00F1628E"/>
    <w:rsid w:val="00F163FF"/>
    <w:rsid w:val="00F16406"/>
    <w:rsid w:val="00F16500"/>
    <w:rsid w:val="00F165B1"/>
    <w:rsid w:val="00F166C4"/>
    <w:rsid w:val="00F166CF"/>
    <w:rsid w:val="00F166E4"/>
    <w:rsid w:val="00F1675C"/>
    <w:rsid w:val="00F16775"/>
    <w:rsid w:val="00F1678C"/>
    <w:rsid w:val="00F167AA"/>
    <w:rsid w:val="00F167C2"/>
    <w:rsid w:val="00F167DF"/>
    <w:rsid w:val="00F167E9"/>
    <w:rsid w:val="00F16818"/>
    <w:rsid w:val="00F168B0"/>
    <w:rsid w:val="00F168C7"/>
    <w:rsid w:val="00F168CB"/>
    <w:rsid w:val="00F168DB"/>
    <w:rsid w:val="00F16940"/>
    <w:rsid w:val="00F1695A"/>
    <w:rsid w:val="00F16974"/>
    <w:rsid w:val="00F16A25"/>
    <w:rsid w:val="00F16A3B"/>
    <w:rsid w:val="00F16A83"/>
    <w:rsid w:val="00F16B0D"/>
    <w:rsid w:val="00F16B4B"/>
    <w:rsid w:val="00F16B6B"/>
    <w:rsid w:val="00F16BA1"/>
    <w:rsid w:val="00F16BEB"/>
    <w:rsid w:val="00F16C4C"/>
    <w:rsid w:val="00F16CA7"/>
    <w:rsid w:val="00F16CEF"/>
    <w:rsid w:val="00F16D52"/>
    <w:rsid w:val="00F16E35"/>
    <w:rsid w:val="00F16E45"/>
    <w:rsid w:val="00F16E99"/>
    <w:rsid w:val="00F16FA9"/>
    <w:rsid w:val="00F16FB0"/>
    <w:rsid w:val="00F1708D"/>
    <w:rsid w:val="00F1709D"/>
    <w:rsid w:val="00F170BE"/>
    <w:rsid w:val="00F171B9"/>
    <w:rsid w:val="00F17222"/>
    <w:rsid w:val="00F17227"/>
    <w:rsid w:val="00F17244"/>
    <w:rsid w:val="00F1724A"/>
    <w:rsid w:val="00F172A2"/>
    <w:rsid w:val="00F172D2"/>
    <w:rsid w:val="00F172E6"/>
    <w:rsid w:val="00F17382"/>
    <w:rsid w:val="00F1739D"/>
    <w:rsid w:val="00F173F4"/>
    <w:rsid w:val="00F1747D"/>
    <w:rsid w:val="00F1747E"/>
    <w:rsid w:val="00F175AE"/>
    <w:rsid w:val="00F175C2"/>
    <w:rsid w:val="00F17696"/>
    <w:rsid w:val="00F1772A"/>
    <w:rsid w:val="00F1775F"/>
    <w:rsid w:val="00F17832"/>
    <w:rsid w:val="00F17839"/>
    <w:rsid w:val="00F17876"/>
    <w:rsid w:val="00F17892"/>
    <w:rsid w:val="00F179A8"/>
    <w:rsid w:val="00F17A4D"/>
    <w:rsid w:val="00F17B21"/>
    <w:rsid w:val="00F17B38"/>
    <w:rsid w:val="00F17B9B"/>
    <w:rsid w:val="00F17BA2"/>
    <w:rsid w:val="00F17BEC"/>
    <w:rsid w:val="00F17D86"/>
    <w:rsid w:val="00F17DAF"/>
    <w:rsid w:val="00F17E9D"/>
    <w:rsid w:val="00F17EAC"/>
    <w:rsid w:val="00F17EC5"/>
    <w:rsid w:val="00F17ECB"/>
    <w:rsid w:val="00F17EF7"/>
    <w:rsid w:val="00F17F18"/>
    <w:rsid w:val="00F2005F"/>
    <w:rsid w:val="00F2007B"/>
    <w:rsid w:val="00F200D5"/>
    <w:rsid w:val="00F20137"/>
    <w:rsid w:val="00F20142"/>
    <w:rsid w:val="00F2016F"/>
    <w:rsid w:val="00F201A6"/>
    <w:rsid w:val="00F201D5"/>
    <w:rsid w:val="00F202E6"/>
    <w:rsid w:val="00F2037A"/>
    <w:rsid w:val="00F203BB"/>
    <w:rsid w:val="00F20414"/>
    <w:rsid w:val="00F20482"/>
    <w:rsid w:val="00F20515"/>
    <w:rsid w:val="00F205B9"/>
    <w:rsid w:val="00F20605"/>
    <w:rsid w:val="00F2060F"/>
    <w:rsid w:val="00F2062E"/>
    <w:rsid w:val="00F2067E"/>
    <w:rsid w:val="00F20686"/>
    <w:rsid w:val="00F20712"/>
    <w:rsid w:val="00F2073F"/>
    <w:rsid w:val="00F2075A"/>
    <w:rsid w:val="00F20793"/>
    <w:rsid w:val="00F207EE"/>
    <w:rsid w:val="00F20833"/>
    <w:rsid w:val="00F20880"/>
    <w:rsid w:val="00F208EE"/>
    <w:rsid w:val="00F20939"/>
    <w:rsid w:val="00F20944"/>
    <w:rsid w:val="00F20955"/>
    <w:rsid w:val="00F2095C"/>
    <w:rsid w:val="00F2097C"/>
    <w:rsid w:val="00F209CA"/>
    <w:rsid w:val="00F20A46"/>
    <w:rsid w:val="00F20A49"/>
    <w:rsid w:val="00F20ADF"/>
    <w:rsid w:val="00F20B39"/>
    <w:rsid w:val="00F20BBC"/>
    <w:rsid w:val="00F20BCB"/>
    <w:rsid w:val="00F20BCD"/>
    <w:rsid w:val="00F20BFB"/>
    <w:rsid w:val="00F20C19"/>
    <w:rsid w:val="00F20C65"/>
    <w:rsid w:val="00F20C99"/>
    <w:rsid w:val="00F20D36"/>
    <w:rsid w:val="00F20D37"/>
    <w:rsid w:val="00F20E43"/>
    <w:rsid w:val="00F20E67"/>
    <w:rsid w:val="00F20E7C"/>
    <w:rsid w:val="00F20E8E"/>
    <w:rsid w:val="00F20EED"/>
    <w:rsid w:val="00F20F30"/>
    <w:rsid w:val="00F20F43"/>
    <w:rsid w:val="00F20F70"/>
    <w:rsid w:val="00F2104E"/>
    <w:rsid w:val="00F2105B"/>
    <w:rsid w:val="00F21081"/>
    <w:rsid w:val="00F210E0"/>
    <w:rsid w:val="00F21132"/>
    <w:rsid w:val="00F212D9"/>
    <w:rsid w:val="00F21337"/>
    <w:rsid w:val="00F213A9"/>
    <w:rsid w:val="00F21487"/>
    <w:rsid w:val="00F214EA"/>
    <w:rsid w:val="00F21589"/>
    <w:rsid w:val="00F215C7"/>
    <w:rsid w:val="00F21644"/>
    <w:rsid w:val="00F2169E"/>
    <w:rsid w:val="00F216E0"/>
    <w:rsid w:val="00F2170E"/>
    <w:rsid w:val="00F21770"/>
    <w:rsid w:val="00F217A1"/>
    <w:rsid w:val="00F218DA"/>
    <w:rsid w:val="00F21938"/>
    <w:rsid w:val="00F21A28"/>
    <w:rsid w:val="00F21AA6"/>
    <w:rsid w:val="00F21B06"/>
    <w:rsid w:val="00F21B4E"/>
    <w:rsid w:val="00F21BDF"/>
    <w:rsid w:val="00F21C4E"/>
    <w:rsid w:val="00F21D07"/>
    <w:rsid w:val="00F21D67"/>
    <w:rsid w:val="00F21E3B"/>
    <w:rsid w:val="00F21E46"/>
    <w:rsid w:val="00F21EC5"/>
    <w:rsid w:val="00F21FBC"/>
    <w:rsid w:val="00F2203C"/>
    <w:rsid w:val="00F220B8"/>
    <w:rsid w:val="00F2218A"/>
    <w:rsid w:val="00F22294"/>
    <w:rsid w:val="00F222B0"/>
    <w:rsid w:val="00F222EB"/>
    <w:rsid w:val="00F22376"/>
    <w:rsid w:val="00F22378"/>
    <w:rsid w:val="00F223A2"/>
    <w:rsid w:val="00F223B5"/>
    <w:rsid w:val="00F223FF"/>
    <w:rsid w:val="00F22438"/>
    <w:rsid w:val="00F22585"/>
    <w:rsid w:val="00F225D1"/>
    <w:rsid w:val="00F225D7"/>
    <w:rsid w:val="00F22608"/>
    <w:rsid w:val="00F2261D"/>
    <w:rsid w:val="00F2262F"/>
    <w:rsid w:val="00F22653"/>
    <w:rsid w:val="00F226EA"/>
    <w:rsid w:val="00F227C5"/>
    <w:rsid w:val="00F22845"/>
    <w:rsid w:val="00F2289C"/>
    <w:rsid w:val="00F228EB"/>
    <w:rsid w:val="00F228FA"/>
    <w:rsid w:val="00F2290B"/>
    <w:rsid w:val="00F22954"/>
    <w:rsid w:val="00F22972"/>
    <w:rsid w:val="00F22AB2"/>
    <w:rsid w:val="00F22B4E"/>
    <w:rsid w:val="00F22B97"/>
    <w:rsid w:val="00F22BA8"/>
    <w:rsid w:val="00F22BC4"/>
    <w:rsid w:val="00F22BC5"/>
    <w:rsid w:val="00F22BD4"/>
    <w:rsid w:val="00F22C08"/>
    <w:rsid w:val="00F22C60"/>
    <w:rsid w:val="00F22C64"/>
    <w:rsid w:val="00F22C9C"/>
    <w:rsid w:val="00F22CDE"/>
    <w:rsid w:val="00F22D19"/>
    <w:rsid w:val="00F22D52"/>
    <w:rsid w:val="00F22D54"/>
    <w:rsid w:val="00F22D99"/>
    <w:rsid w:val="00F22D9F"/>
    <w:rsid w:val="00F22DD5"/>
    <w:rsid w:val="00F22E19"/>
    <w:rsid w:val="00F22E1B"/>
    <w:rsid w:val="00F22E1F"/>
    <w:rsid w:val="00F22E73"/>
    <w:rsid w:val="00F22ECC"/>
    <w:rsid w:val="00F22ECD"/>
    <w:rsid w:val="00F22F30"/>
    <w:rsid w:val="00F22FFF"/>
    <w:rsid w:val="00F2300D"/>
    <w:rsid w:val="00F230E1"/>
    <w:rsid w:val="00F2310C"/>
    <w:rsid w:val="00F2310D"/>
    <w:rsid w:val="00F23129"/>
    <w:rsid w:val="00F231A5"/>
    <w:rsid w:val="00F231C3"/>
    <w:rsid w:val="00F23206"/>
    <w:rsid w:val="00F232D2"/>
    <w:rsid w:val="00F232E7"/>
    <w:rsid w:val="00F23303"/>
    <w:rsid w:val="00F23307"/>
    <w:rsid w:val="00F233B1"/>
    <w:rsid w:val="00F23443"/>
    <w:rsid w:val="00F234E4"/>
    <w:rsid w:val="00F234EC"/>
    <w:rsid w:val="00F23539"/>
    <w:rsid w:val="00F235E4"/>
    <w:rsid w:val="00F236EF"/>
    <w:rsid w:val="00F237A9"/>
    <w:rsid w:val="00F23808"/>
    <w:rsid w:val="00F238D4"/>
    <w:rsid w:val="00F23900"/>
    <w:rsid w:val="00F23910"/>
    <w:rsid w:val="00F23988"/>
    <w:rsid w:val="00F23A2D"/>
    <w:rsid w:val="00F23AE2"/>
    <w:rsid w:val="00F23AED"/>
    <w:rsid w:val="00F23B50"/>
    <w:rsid w:val="00F23B5E"/>
    <w:rsid w:val="00F23B85"/>
    <w:rsid w:val="00F23C51"/>
    <w:rsid w:val="00F23CB4"/>
    <w:rsid w:val="00F23CC4"/>
    <w:rsid w:val="00F23D05"/>
    <w:rsid w:val="00F23DB4"/>
    <w:rsid w:val="00F23DB9"/>
    <w:rsid w:val="00F23DBE"/>
    <w:rsid w:val="00F23DE2"/>
    <w:rsid w:val="00F23DF7"/>
    <w:rsid w:val="00F23E13"/>
    <w:rsid w:val="00F23E20"/>
    <w:rsid w:val="00F23E67"/>
    <w:rsid w:val="00F23E77"/>
    <w:rsid w:val="00F23E8F"/>
    <w:rsid w:val="00F23F09"/>
    <w:rsid w:val="00F23F12"/>
    <w:rsid w:val="00F23FC7"/>
    <w:rsid w:val="00F24025"/>
    <w:rsid w:val="00F2406E"/>
    <w:rsid w:val="00F240D1"/>
    <w:rsid w:val="00F240D4"/>
    <w:rsid w:val="00F2411F"/>
    <w:rsid w:val="00F24155"/>
    <w:rsid w:val="00F2419B"/>
    <w:rsid w:val="00F241A5"/>
    <w:rsid w:val="00F241F0"/>
    <w:rsid w:val="00F241F6"/>
    <w:rsid w:val="00F2423E"/>
    <w:rsid w:val="00F242C2"/>
    <w:rsid w:val="00F24350"/>
    <w:rsid w:val="00F243CD"/>
    <w:rsid w:val="00F24446"/>
    <w:rsid w:val="00F2444E"/>
    <w:rsid w:val="00F24481"/>
    <w:rsid w:val="00F24492"/>
    <w:rsid w:val="00F244D9"/>
    <w:rsid w:val="00F24537"/>
    <w:rsid w:val="00F24593"/>
    <w:rsid w:val="00F24648"/>
    <w:rsid w:val="00F24653"/>
    <w:rsid w:val="00F246AB"/>
    <w:rsid w:val="00F246B9"/>
    <w:rsid w:val="00F2473F"/>
    <w:rsid w:val="00F24759"/>
    <w:rsid w:val="00F24876"/>
    <w:rsid w:val="00F24914"/>
    <w:rsid w:val="00F2499D"/>
    <w:rsid w:val="00F24A05"/>
    <w:rsid w:val="00F24A28"/>
    <w:rsid w:val="00F24A95"/>
    <w:rsid w:val="00F24AC1"/>
    <w:rsid w:val="00F24ADC"/>
    <w:rsid w:val="00F24B80"/>
    <w:rsid w:val="00F24C3D"/>
    <w:rsid w:val="00F24D4F"/>
    <w:rsid w:val="00F24DEC"/>
    <w:rsid w:val="00F24ED2"/>
    <w:rsid w:val="00F24F3E"/>
    <w:rsid w:val="00F24F75"/>
    <w:rsid w:val="00F24FAB"/>
    <w:rsid w:val="00F24FD0"/>
    <w:rsid w:val="00F250B7"/>
    <w:rsid w:val="00F25138"/>
    <w:rsid w:val="00F2514A"/>
    <w:rsid w:val="00F251CE"/>
    <w:rsid w:val="00F251D8"/>
    <w:rsid w:val="00F2520A"/>
    <w:rsid w:val="00F25269"/>
    <w:rsid w:val="00F252B9"/>
    <w:rsid w:val="00F25300"/>
    <w:rsid w:val="00F2531D"/>
    <w:rsid w:val="00F25355"/>
    <w:rsid w:val="00F2538A"/>
    <w:rsid w:val="00F25397"/>
    <w:rsid w:val="00F254A4"/>
    <w:rsid w:val="00F2553A"/>
    <w:rsid w:val="00F25544"/>
    <w:rsid w:val="00F2559E"/>
    <w:rsid w:val="00F255BC"/>
    <w:rsid w:val="00F2563D"/>
    <w:rsid w:val="00F25714"/>
    <w:rsid w:val="00F25764"/>
    <w:rsid w:val="00F257D6"/>
    <w:rsid w:val="00F257E9"/>
    <w:rsid w:val="00F2580F"/>
    <w:rsid w:val="00F258AA"/>
    <w:rsid w:val="00F258C0"/>
    <w:rsid w:val="00F258C8"/>
    <w:rsid w:val="00F258CA"/>
    <w:rsid w:val="00F2590B"/>
    <w:rsid w:val="00F259A1"/>
    <w:rsid w:val="00F259D9"/>
    <w:rsid w:val="00F25A21"/>
    <w:rsid w:val="00F25A6B"/>
    <w:rsid w:val="00F25A6F"/>
    <w:rsid w:val="00F25A9C"/>
    <w:rsid w:val="00F25AF0"/>
    <w:rsid w:val="00F25BB0"/>
    <w:rsid w:val="00F25C8B"/>
    <w:rsid w:val="00F25CA4"/>
    <w:rsid w:val="00F25CC6"/>
    <w:rsid w:val="00F25D84"/>
    <w:rsid w:val="00F25F14"/>
    <w:rsid w:val="00F25F95"/>
    <w:rsid w:val="00F25FCD"/>
    <w:rsid w:val="00F25FFD"/>
    <w:rsid w:val="00F26029"/>
    <w:rsid w:val="00F26102"/>
    <w:rsid w:val="00F26176"/>
    <w:rsid w:val="00F26192"/>
    <w:rsid w:val="00F26201"/>
    <w:rsid w:val="00F2623C"/>
    <w:rsid w:val="00F262A1"/>
    <w:rsid w:val="00F262BD"/>
    <w:rsid w:val="00F262F7"/>
    <w:rsid w:val="00F26316"/>
    <w:rsid w:val="00F2639B"/>
    <w:rsid w:val="00F26496"/>
    <w:rsid w:val="00F264F0"/>
    <w:rsid w:val="00F2650A"/>
    <w:rsid w:val="00F26516"/>
    <w:rsid w:val="00F26656"/>
    <w:rsid w:val="00F2669A"/>
    <w:rsid w:val="00F266AD"/>
    <w:rsid w:val="00F266C6"/>
    <w:rsid w:val="00F2670D"/>
    <w:rsid w:val="00F2677B"/>
    <w:rsid w:val="00F26787"/>
    <w:rsid w:val="00F26813"/>
    <w:rsid w:val="00F26822"/>
    <w:rsid w:val="00F2682F"/>
    <w:rsid w:val="00F26879"/>
    <w:rsid w:val="00F26918"/>
    <w:rsid w:val="00F2691A"/>
    <w:rsid w:val="00F2693E"/>
    <w:rsid w:val="00F26950"/>
    <w:rsid w:val="00F269EE"/>
    <w:rsid w:val="00F26A21"/>
    <w:rsid w:val="00F26A4F"/>
    <w:rsid w:val="00F26B15"/>
    <w:rsid w:val="00F26B68"/>
    <w:rsid w:val="00F26B6A"/>
    <w:rsid w:val="00F26BB6"/>
    <w:rsid w:val="00F26C36"/>
    <w:rsid w:val="00F26C55"/>
    <w:rsid w:val="00F26C6A"/>
    <w:rsid w:val="00F26C80"/>
    <w:rsid w:val="00F26D8B"/>
    <w:rsid w:val="00F26E01"/>
    <w:rsid w:val="00F26E2B"/>
    <w:rsid w:val="00F26EAA"/>
    <w:rsid w:val="00F26ED7"/>
    <w:rsid w:val="00F26F1A"/>
    <w:rsid w:val="00F26F46"/>
    <w:rsid w:val="00F26F47"/>
    <w:rsid w:val="00F26F7A"/>
    <w:rsid w:val="00F26FBC"/>
    <w:rsid w:val="00F2708D"/>
    <w:rsid w:val="00F27094"/>
    <w:rsid w:val="00F270F4"/>
    <w:rsid w:val="00F2714A"/>
    <w:rsid w:val="00F27180"/>
    <w:rsid w:val="00F271C0"/>
    <w:rsid w:val="00F271DB"/>
    <w:rsid w:val="00F27298"/>
    <w:rsid w:val="00F272B1"/>
    <w:rsid w:val="00F272D5"/>
    <w:rsid w:val="00F27326"/>
    <w:rsid w:val="00F27344"/>
    <w:rsid w:val="00F27351"/>
    <w:rsid w:val="00F27411"/>
    <w:rsid w:val="00F2743E"/>
    <w:rsid w:val="00F274FE"/>
    <w:rsid w:val="00F27512"/>
    <w:rsid w:val="00F27516"/>
    <w:rsid w:val="00F2764C"/>
    <w:rsid w:val="00F27652"/>
    <w:rsid w:val="00F27691"/>
    <w:rsid w:val="00F276A3"/>
    <w:rsid w:val="00F276CF"/>
    <w:rsid w:val="00F276DB"/>
    <w:rsid w:val="00F27706"/>
    <w:rsid w:val="00F2777C"/>
    <w:rsid w:val="00F2781A"/>
    <w:rsid w:val="00F27842"/>
    <w:rsid w:val="00F2784E"/>
    <w:rsid w:val="00F27876"/>
    <w:rsid w:val="00F278D1"/>
    <w:rsid w:val="00F278F6"/>
    <w:rsid w:val="00F278F8"/>
    <w:rsid w:val="00F279E1"/>
    <w:rsid w:val="00F27A10"/>
    <w:rsid w:val="00F27A2B"/>
    <w:rsid w:val="00F27A51"/>
    <w:rsid w:val="00F27ACF"/>
    <w:rsid w:val="00F27B40"/>
    <w:rsid w:val="00F27BEE"/>
    <w:rsid w:val="00F27C1C"/>
    <w:rsid w:val="00F27C29"/>
    <w:rsid w:val="00F27C3E"/>
    <w:rsid w:val="00F27D00"/>
    <w:rsid w:val="00F27D4A"/>
    <w:rsid w:val="00F27D85"/>
    <w:rsid w:val="00F27DC2"/>
    <w:rsid w:val="00F27DCE"/>
    <w:rsid w:val="00F27E08"/>
    <w:rsid w:val="00F27E73"/>
    <w:rsid w:val="00F27E92"/>
    <w:rsid w:val="00F27EFC"/>
    <w:rsid w:val="00F27F05"/>
    <w:rsid w:val="00F27F83"/>
    <w:rsid w:val="00F27F90"/>
    <w:rsid w:val="00F27FDF"/>
    <w:rsid w:val="00F27FEC"/>
    <w:rsid w:val="00F2A9FA"/>
    <w:rsid w:val="00F3003C"/>
    <w:rsid w:val="00F30062"/>
    <w:rsid w:val="00F300CB"/>
    <w:rsid w:val="00F300DD"/>
    <w:rsid w:val="00F30134"/>
    <w:rsid w:val="00F301DA"/>
    <w:rsid w:val="00F301F6"/>
    <w:rsid w:val="00F30218"/>
    <w:rsid w:val="00F30273"/>
    <w:rsid w:val="00F3029A"/>
    <w:rsid w:val="00F30325"/>
    <w:rsid w:val="00F30387"/>
    <w:rsid w:val="00F3043E"/>
    <w:rsid w:val="00F304B0"/>
    <w:rsid w:val="00F304B9"/>
    <w:rsid w:val="00F30582"/>
    <w:rsid w:val="00F305D0"/>
    <w:rsid w:val="00F3064F"/>
    <w:rsid w:val="00F30671"/>
    <w:rsid w:val="00F3067E"/>
    <w:rsid w:val="00F306CB"/>
    <w:rsid w:val="00F307B1"/>
    <w:rsid w:val="00F30808"/>
    <w:rsid w:val="00F308E6"/>
    <w:rsid w:val="00F308F0"/>
    <w:rsid w:val="00F30971"/>
    <w:rsid w:val="00F309BC"/>
    <w:rsid w:val="00F30A6E"/>
    <w:rsid w:val="00F30A83"/>
    <w:rsid w:val="00F30A94"/>
    <w:rsid w:val="00F30C11"/>
    <w:rsid w:val="00F30C64"/>
    <w:rsid w:val="00F30C98"/>
    <w:rsid w:val="00F30CF5"/>
    <w:rsid w:val="00F30D04"/>
    <w:rsid w:val="00F30D1E"/>
    <w:rsid w:val="00F30E65"/>
    <w:rsid w:val="00F30E9F"/>
    <w:rsid w:val="00F30F0C"/>
    <w:rsid w:val="00F30F4E"/>
    <w:rsid w:val="00F30F62"/>
    <w:rsid w:val="00F30F96"/>
    <w:rsid w:val="00F30FEA"/>
    <w:rsid w:val="00F30FFF"/>
    <w:rsid w:val="00F31054"/>
    <w:rsid w:val="00F31177"/>
    <w:rsid w:val="00F31207"/>
    <w:rsid w:val="00F31313"/>
    <w:rsid w:val="00F3134E"/>
    <w:rsid w:val="00F31352"/>
    <w:rsid w:val="00F31375"/>
    <w:rsid w:val="00F3141A"/>
    <w:rsid w:val="00F31445"/>
    <w:rsid w:val="00F3147B"/>
    <w:rsid w:val="00F314B4"/>
    <w:rsid w:val="00F31528"/>
    <w:rsid w:val="00F31535"/>
    <w:rsid w:val="00F3157A"/>
    <w:rsid w:val="00F315EE"/>
    <w:rsid w:val="00F316CE"/>
    <w:rsid w:val="00F316DD"/>
    <w:rsid w:val="00F31799"/>
    <w:rsid w:val="00F317AA"/>
    <w:rsid w:val="00F3181E"/>
    <w:rsid w:val="00F31863"/>
    <w:rsid w:val="00F31884"/>
    <w:rsid w:val="00F31909"/>
    <w:rsid w:val="00F3191F"/>
    <w:rsid w:val="00F31995"/>
    <w:rsid w:val="00F31A38"/>
    <w:rsid w:val="00F31A4B"/>
    <w:rsid w:val="00F31A79"/>
    <w:rsid w:val="00F31A7A"/>
    <w:rsid w:val="00F31AD9"/>
    <w:rsid w:val="00F31BEB"/>
    <w:rsid w:val="00F31C54"/>
    <w:rsid w:val="00F31C66"/>
    <w:rsid w:val="00F31C9B"/>
    <w:rsid w:val="00F31D57"/>
    <w:rsid w:val="00F31DC2"/>
    <w:rsid w:val="00F31DF7"/>
    <w:rsid w:val="00F31EA5"/>
    <w:rsid w:val="00F31EEC"/>
    <w:rsid w:val="00F31EED"/>
    <w:rsid w:val="00F31F3A"/>
    <w:rsid w:val="00F31FD9"/>
    <w:rsid w:val="00F32060"/>
    <w:rsid w:val="00F320B0"/>
    <w:rsid w:val="00F3219B"/>
    <w:rsid w:val="00F321A4"/>
    <w:rsid w:val="00F3221B"/>
    <w:rsid w:val="00F32244"/>
    <w:rsid w:val="00F322AD"/>
    <w:rsid w:val="00F32330"/>
    <w:rsid w:val="00F32352"/>
    <w:rsid w:val="00F323DD"/>
    <w:rsid w:val="00F3241B"/>
    <w:rsid w:val="00F3241E"/>
    <w:rsid w:val="00F32426"/>
    <w:rsid w:val="00F3246D"/>
    <w:rsid w:val="00F324DD"/>
    <w:rsid w:val="00F324DF"/>
    <w:rsid w:val="00F32519"/>
    <w:rsid w:val="00F3258F"/>
    <w:rsid w:val="00F325C1"/>
    <w:rsid w:val="00F3266A"/>
    <w:rsid w:val="00F3269D"/>
    <w:rsid w:val="00F32760"/>
    <w:rsid w:val="00F327AD"/>
    <w:rsid w:val="00F327D0"/>
    <w:rsid w:val="00F327E2"/>
    <w:rsid w:val="00F327E6"/>
    <w:rsid w:val="00F32842"/>
    <w:rsid w:val="00F328AD"/>
    <w:rsid w:val="00F32983"/>
    <w:rsid w:val="00F3299E"/>
    <w:rsid w:val="00F329CB"/>
    <w:rsid w:val="00F329FD"/>
    <w:rsid w:val="00F32A40"/>
    <w:rsid w:val="00F32AA4"/>
    <w:rsid w:val="00F32AAF"/>
    <w:rsid w:val="00F32AF6"/>
    <w:rsid w:val="00F32B4C"/>
    <w:rsid w:val="00F32BB0"/>
    <w:rsid w:val="00F32BC5"/>
    <w:rsid w:val="00F32C91"/>
    <w:rsid w:val="00F32C9D"/>
    <w:rsid w:val="00F32CFB"/>
    <w:rsid w:val="00F32D40"/>
    <w:rsid w:val="00F32DAC"/>
    <w:rsid w:val="00F32ECF"/>
    <w:rsid w:val="00F32EFE"/>
    <w:rsid w:val="00F32F30"/>
    <w:rsid w:val="00F3316B"/>
    <w:rsid w:val="00F3323E"/>
    <w:rsid w:val="00F332AF"/>
    <w:rsid w:val="00F332D3"/>
    <w:rsid w:val="00F3331A"/>
    <w:rsid w:val="00F3333E"/>
    <w:rsid w:val="00F33401"/>
    <w:rsid w:val="00F334B2"/>
    <w:rsid w:val="00F334C7"/>
    <w:rsid w:val="00F33581"/>
    <w:rsid w:val="00F335B9"/>
    <w:rsid w:val="00F33656"/>
    <w:rsid w:val="00F3369D"/>
    <w:rsid w:val="00F337EE"/>
    <w:rsid w:val="00F338FE"/>
    <w:rsid w:val="00F33943"/>
    <w:rsid w:val="00F33966"/>
    <w:rsid w:val="00F33978"/>
    <w:rsid w:val="00F339F9"/>
    <w:rsid w:val="00F33B8F"/>
    <w:rsid w:val="00F33B96"/>
    <w:rsid w:val="00F33BD0"/>
    <w:rsid w:val="00F33BD5"/>
    <w:rsid w:val="00F33BEE"/>
    <w:rsid w:val="00F33C50"/>
    <w:rsid w:val="00F33DEF"/>
    <w:rsid w:val="00F33DF9"/>
    <w:rsid w:val="00F33E50"/>
    <w:rsid w:val="00F33E62"/>
    <w:rsid w:val="00F33EB5"/>
    <w:rsid w:val="00F33EE2"/>
    <w:rsid w:val="00F34043"/>
    <w:rsid w:val="00F34058"/>
    <w:rsid w:val="00F340F9"/>
    <w:rsid w:val="00F341F4"/>
    <w:rsid w:val="00F3423A"/>
    <w:rsid w:val="00F34286"/>
    <w:rsid w:val="00F34378"/>
    <w:rsid w:val="00F343D7"/>
    <w:rsid w:val="00F345AC"/>
    <w:rsid w:val="00F345C8"/>
    <w:rsid w:val="00F34632"/>
    <w:rsid w:val="00F3465F"/>
    <w:rsid w:val="00F34663"/>
    <w:rsid w:val="00F3468D"/>
    <w:rsid w:val="00F346B5"/>
    <w:rsid w:val="00F34766"/>
    <w:rsid w:val="00F3479E"/>
    <w:rsid w:val="00F3482A"/>
    <w:rsid w:val="00F349DF"/>
    <w:rsid w:val="00F349EE"/>
    <w:rsid w:val="00F34A1C"/>
    <w:rsid w:val="00F34A30"/>
    <w:rsid w:val="00F34A77"/>
    <w:rsid w:val="00F34AC3"/>
    <w:rsid w:val="00F34B11"/>
    <w:rsid w:val="00F34B9C"/>
    <w:rsid w:val="00F34BAD"/>
    <w:rsid w:val="00F34C1B"/>
    <w:rsid w:val="00F34C71"/>
    <w:rsid w:val="00F34C88"/>
    <w:rsid w:val="00F34D12"/>
    <w:rsid w:val="00F34D14"/>
    <w:rsid w:val="00F34D89"/>
    <w:rsid w:val="00F34D8C"/>
    <w:rsid w:val="00F34EAC"/>
    <w:rsid w:val="00F34EE8"/>
    <w:rsid w:val="00F34F4E"/>
    <w:rsid w:val="00F34F67"/>
    <w:rsid w:val="00F34FC0"/>
    <w:rsid w:val="00F350BC"/>
    <w:rsid w:val="00F3512A"/>
    <w:rsid w:val="00F35148"/>
    <w:rsid w:val="00F351D3"/>
    <w:rsid w:val="00F35230"/>
    <w:rsid w:val="00F35278"/>
    <w:rsid w:val="00F35282"/>
    <w:rsid w:val="00F352B6"/>
    <w:rsid w:val="00F352F7"/>
    <w:rsid w:val="00F35332"/>
    <w:rsid w:val="00F35370"/>
    <w:rsid w:val="00F353AF"/>
    <w:rsid w:val="00F353DD"/>
    <w:rsid w:val="00F3540B"/>
    <w:rsid w:val="00F35416"/>
    <w:rsid w:val="00F35427"/>
    <w:rsid w:val="00F35429"/>
    <w:rsid w:val="00F35442"/>
    <w:rsid w:val="00F35446"/>
    <w:rsid w:val="00F354AE"/>
    <w:rsid w:val="00F354C1"/>
    <w:rsid w:val="00F354E1"/>
    <w:rsid w:val="00F35597"/>
    <w:rsid w:val="00F355E2"/>
    <w:rsid w:val="00F35643"/>
    <w:rsid w:val="00F35670"/>
    <w:rsid w:val="00F35848"/>
    <w:rsid w:val="00F3586B"/>
    <w:rsid w:val="00F358E7"/>
    <w:rsid w:val="00F3594F"/>
    <w:rsid w:val="00F359E7"/>
    <w:rsid w:val="00F35A29"/>
    <w:rsid w:val="00F35A66"/>
    <w:rsid w:val="00F35AAB"/>
    <w:rsid w:val="00F35BC0"/>
    <w:rsid w:val="00F35BE1"/>
    <w:rsid w:val="00F35BE2"/>
    <w:rsid w:val="00F35C34"/>
    <w:rsid w:val="00F35C40"/>
    <w:rsid w:val="00F35CB2"/>
    <w:rsid w:val="00F35CC6"/>
    <w:rsid w:val="00F35CE2"/>
    <w:rsid w:val="00F35D2F"/>
    <w:rsid w:val="00F35D33"/>
    <w:rsid w:val="00F35E1F"/>
    <w:rsid w:val="00F35E4A"/>
    <w:rsid w:val="00F35EF5"/>
    <w:rsid w:val="00F35FF8"/>
    <w:rsid w:val="00F36000"/>
    <w:rsid w:val="00F36038"/>
    <w:rsid w:val="00F360D7"/>
    <w:rsid w:val="00F36189"/>
    <w:rsid w:val="00F3624F"/>
    <w:rsid w:val="00F36260"/>
    <w:rsid w:val="00F362B1"/>
    <w:rsid w:val="00F36316"/>
    <w:rsid w:val="00F36329"/>
    <w:rsid w:val="00F3635C"/>
    <w:rsid w:val="00F363DF"/>
    <w:rsid w:val="00F36401"/>
    <w:rsid w:val="00F36407"/>
    <w:rsid w:val="00F36482"/>
    <w:rsid w:val="00F364C8"/>
    <w:rsid w:val="00F36506"/>
    <w:rsid w:val="00F3654C"/>
    <w:rsid w:val="00F365B7"/>
    <w:rsid w:val="00F36639"/>
    <w:rsid w:val="00F36658"/>
    <w:rsid w:val="00F36669"/>
    <w:rsid w:val="00F366EA"/>
    <w:rsid w:val="00F3670D"/>
    <w:rsid w:val="00F36745"/>
    <w:rsid w:val="00F36793"/>
    <w:rsid w:val="00F3679D"/>
    <w:rsid w:val="00F367A5"/>
    <w:rsid w:val="00F367E2"/>
    <w:rsid w:val="00F3698D"/>
    <w:rsid w:val="00F369DE"/>
    <w:rsid w:val="00F36A87"/>
    <w:rsid w:val="00F36A9C"/>
    <w:rsid w:val="00F36B81"/>
    <w:rsid w:val="00F36CA1"/>
    <w:rsid w:val="00F36CE0"/>
    <w:rsid w:val="00F36D82"/>
    <w:rsid w:val="00F36DD9"/>
    <w:rsid w:val="00F36E69"/>
    <w:rsid w:val="00F36F97"/>
    <w:rsid w:val="00F3703F"/>
    <w:rsid w:val="00F370DF"/>
    <w:rsid w:val="00F370F5"/>
    <w:rsid w:val="00F37106"/>
    <w:rsid w:val="00F37109"/>
    <w:rsid w:val="00F3717B"/>
    <w:rsid w:val="00F371A8"/>
    <w:rsid w:val="00F371DE"/>
    <w:rsid w:val="00F3721A"/>
    <w:rsid w:val="00F3735D"/>
    <w:rsid w:val="00F37379"/>
    <w:rsid w:val="00F37389"/>
    <w:rsid w:val="00F373CB"/>
    <w:rsid w:val="00F374AC"/>
    <w:rsid w:val="00F374B8"/>
    <w:rsid w:val="00F3754E"/>
    <w:rsid w:val="00F37589"/>
    <w:rsid w:val="00F37595"/>
    <w:rsid w:val="00F375DA"/>
    <w:rsid w:val="00F3776F"/>
    <w:rsid w:val="00F37895"/>
    <w:rsid w:val="00F3791B"/>
    <w:rsid w:val="00F37930"/>
    <w:rsid w:val="00F3793D"/>
    <w:rsid w:val="00F37941"/>
    <w:rsid w:val="00F37942"/>
    <w:rsid w:val="00F3798E"/>
    <w:rsid w:val="00F379DD"/>
    <w:rsid w:val="00F37A09"/>
    <w:rsid w:val="00F37A98"/>
    <w:rsid w:val="00F37ACC"/>
    <w:rsid w:val="00F37C4F"/>
    <w:rsid w:val="00F37D23"/>
    <w:rsid w:val="00F37D5D"/>
    <w:rsid w:val="00F37D85"/>
    <w:rsid w:val="00F37DBE"/>
    <w:rsid w:val="00F37DD8"/>
    <w:rsid w:val="00F37E25"/>
    <w:rsid w:val="00F37E38"/>
    <w:rsid w:val="00F37EBB"/>
    <w:rsid w:val="00F37F2F"/>
    <w:rsid w:val="00F37F98"/>
    <w:rsid w:val="00F37FA4"/>
    <w:rsid w:val="00F37FB3"/>
    <w:rsid w:val="00F4003D"/>
    <w:rsid w:val="00F40067"/>
    <w:rsid w:val="00F40096"/>
    <w:rsid w:val="00F4009C"/>
    <w:rsid w:val="00F400BB"/>
    <w:rsid w:val="00F400D3"/>
    <w:rsid w:val="00F400FC"/>
    <w:rsid w:val="00F4017C"/>
    <w:rsid w:val="00F401F2"/>
    <w:rsid w:val="00F401F7"/>
    <w:rsid w:val="00F4024F"/>
    <w:rsid w:val="00F402CC"/>
    <w:rsid w:val="00F403E5"/>
    <w:rsid w:val="00F404AE"/>
    <w:rsid w:val="00F404D2"/>
    <w:rsid w:val="00F404E5"/>
    <w:rsid w:val="00F4052C"/>
    <w:rsid w:val="00F40546"/>
    <w:rsid w:val="00F40598"/>
    <w:rsid w:val="00F405BB"/>
    <w:rsid w:val="00F405BD"/>
    <w:rsid w:val="00F40649"/>
    <w:rsid w:val="00F40662"/>
    <w:rsid w:val="00F4074D"/>
    <w:rsid w:val="00F4076C"/>
    <w:rsid w:val="00F408E5"/>
    <w:rsid w:val="00F40909"/>
    <w:rsid w:val="00F40983"/>
    <w:rsid w:val="00F40986"/>
    <w:rsid w:val="00F409A4"/>
    <w:rsid w:val="00F409B9"/>
    <w:rsid w:val="00F409BC"/>
    <w:rsid w:val="00F40A24"/>
    <w:rsid w:val="00F40A41"/>
    <w:rsid w:val="00F40A72"/>
    <w:rsid w:val="00F40AC1"/>
    <w:rsid w:val="00F40AFE"/>
    <w:rsid w:val="00F40B45"/>
    <w:rsid w:val="00F40BDB"/>
    <w:rsid w:val="00F40BF9"/>
    <w:rsid w:val="00F40C0D"/>
    <w:rsid w:val="00F40C20"/>
    <w:rsid w:val="00F40C54"/>
    <w:rsid w:val="00F40E35"/>
    <w:rsid w:val="00F40E37"/>
    <w:rsid w:val="00F40E96"/>
    <w:rsid w:val="00F40F13"/>
    <w:rsid w:val="00F40F85"/>
    <w:rsid w:val="00F4104C"/>
    <w:rsid w:val="00F41065"/>
    <w:rsid w:val="00F410F7"/>
    <w:rsid w:val="00F41152"/>
    <w:rsid w:val="00F4119D"/>
    <w:rsid w:val="00F411B0"/>
    <w:rsid w:val="00F411B2"/>
    <w:rsid w:val="00F41279"/>
    <w:rsid w:val="00F41380"/>
    <w:rsid w:val="00F413FE"/>
    <w:rsid w:val="00F41446"/>
    <w:rsid w:val="00F4144C"/>
    <w:rsid w:val="00F4147B"/>
    <w:rsid w:val="00F4157E"/>
    <w:rsid w:val="00F415B2"/>
    <w:rsid w:val="00F41614"/>
    <w:rsid w:val="00F41658"/>
    <w:rsid w:val="00F4166B"/>
    <w:rsid w:val="00F41689"/>
    <w:rsid w:val="00F416A3"/>
    <w:rsid w:val="00F416FA"/>
    <w:rsid w:val="00F4174C"/>
    <w:rsid w:val="00F4174F"/>
    <w:rsid w:val="00F4178C"/>
    <w:rsid w:val="00F417D1"/>
    <w:rsid w:val="00F4186B"/>
    <w:rsid w:val="00F418A2"/>
    <w:rsid w:val="00F4191A"/>
    <w:rsid w:val="00F4196C"/>
    <w:rsid w:val="00F41974"/>
    <w:rsid w:val="00F4199F"/>
    <w:rsid w:val="00F419B2"/>
    <w:rsid w:val="00F41A54"/>
    <w:rsid w:val="00F41B1B"/>
    <w:rsid w:val="00F41B5B"/>
    <w:rsid w:val="00F41B7A"/>
    <w:rsid w:val="00F41BA8"/>
    <w:rsid w:val="00F41C2A"/>
    <w:rsid w:val="00F41CC2"/>
    <w:rsid w:val="00F41E23"/>
    <w:rsid w:val="00F41E77"/>
    <w:rsid w:val="00F41E87"/>
    <w:rsid w:val="00F41EE3"/>
    <w:rsid w:val="00F41F5B"/>
    <w:rsid w:val="00F4205B"/>
    <w:rsid w:val="00F421B2"/>
    <w:rsid w:val="00F421EC"/>
    <w:rsid w:val="00F42250"/>
    <w:rsid w:val="00F4228F"/>
    <w:rsid w:val="00F422B9"/>
    <w:rsid w:val="00F4231A"/>
    <w:rsid w:val="00F42393"/>
    <w:rsid w:val="00F42467"/>
    <w:rsid w:val="00F424C8"/>
    <w:rsid w:val="00F424D0"/>
    <w:rsid w:val="00F42543"/>
    <w:rsid w:val="00F42577"/>
    <w:rsid w:val="00F425A4"/>
    <w:rsid w:val="00F42624"/>
    <w:rsid w:val="00F426B6"/>
    <w:rsid w:val="00F426DE"/>
    <w:rsid w:val="00F4274F"/>
    <w:rsid w:val="00F428C8"/>
    <w:rsid w:val="00F428D1"/>
    <w:rsid w:val="00F42910"/>
    <w:rsid w:val="00F4291F"/>
    <w:rsid w:val="00F42974"/>
    <w:rsid w:val="00F42AED"/>
    <w:rsid w:val="00F42B24"/>
    <w:rsid w:val="00F42B38"/>
    <w:rsid w:val="00F42B82"/>
    <w:rsid w:val="00F42BAB"/>
    <w:rsid w:val="00F42BB8"/>
    <w:rsid w:val="00F42BBD"/>
    <w:rsid w:val="00F42BFC"/>
    <w:rsid w:val="00F42C49"/>
    <w:rsid w:val="00F42C6F"/>
    <w:rsid w:val="00F42D0E"/>
    <w:rsid w:val="00F42D88"/>
    <w:rsid w:val="00F42E20"/>
    <w:rsid w:val="00F42E3A"/>
    <w:rsid w:val="00F42E43"/>
    <w:rsid w:val="00F42E44"/>
    <w:rsid w:val="00F42F20"/>
    <w:rsid w:val="00F42F8A"/>
    <w:rsid w:val="00F430E2"/>
    <w:rsid w:val="00F430F2"/>
    <w:rsid w:val="00F432BD"/>
    <w:rsid w:val="00F433CD"/>
    <w:rsid w:val="00F4340E"/>
    <w:rsid w:val="00F4351D"/>
    <w:rsid w:val="00F43522"/>
    <w:rsid w:val="00F4355D"/>
    <w:rsid w:val="00F4357B"/>
    <w:rsid w:val="00F43602"/>
    <w:rsid w:val="00F4363D"/>
    <w:rsid w:val="00F436BE"/>
    <w:rsid w:val="00F436C8"/>
    <w:rsid w:val="00F436CD"/>
    <w:rsid w:val="00F436E7"/>
    <w:rsid w:val="00F437A5"/>
    <w:rsid w:val="00F437EB"/>
    <w:rsid w:val="00F439C2"/>
    <w:rsid w:val="00F43A3D"/>
    <w:rsid w:val="00F43AA9"/>
    <w:rsid w:val="00F43AB2"/>
    <w:rsid w:val="00F43B07"/>
    <w:rsid w:val="00F43B27"/>
    <w:rsid w:val="00F43BBC"/>
    <w:rsid w:val="00F43BF8"/>
    <w:rsid w:val="00F43C18"/>
    <w:rsid w:val="00F43C1D"/>
    <w:rsid w:val="00F43C83"/>
    <w:rsid w:val="00F43CBC"/>
    <w:rsid w:val="00F43CFF"/>
    <w:rsid w:val="00F43DDB"/>
    <w:rsid w:val="00F43E5A"/>
    <w:rsid w:val="00F43EF8"/>
    <w:rsid w:val="00F43F25"/>
    <w:rsid w:val="00F43F94"/>
    <w:rsid w:val="00F44042"/>
    <w:rsid w:val="00F4408C"/>
    <w:rsid w:val="00F440CE"/>
    <w:rsid w:val="00F44106"/>
    <w:rsid w:val="00F44150"/>
    <w:rsid w:val="00F441BD"/>
    <w:rsid w:val="00F441EE"/>
    <w:rsid w:val="00F4421B"/>
    <w:rsid w:val="00F4422D"/>
    <w:rsid w:val="00F44243"/>
    <w:rsid w:val="00F44268"/>
    <w:rsid w:val="00F442A2"/>
    <w:rsid w:val="00F442E9"/>
    <w:rsid w:val="00F443CA"/>
    <w:rsid w:val="00F4442C"/>
    <w:rsid w:val="00F44433"/>
    <w:rsid w:val="00F44494"/>
    <w:rsid w:val="00F444DD"/>
    <w:rsid w:val="00F44501"/>
    <w:rsid w:val="00F44573"/>
    <w:rsid w:val="00F445B6"/>
    <w:rsid w:val="00F44680"/>
    <w:rsid w:val="00F446CD"/>
    <w:rsid w:val="00F446F0"/>
    <w:rsid w:val="00F44706"/>
    <w:rsid w:val="00F44744"/>
    <w:rsid w:val="00F44746"/>
    <w:rsid w:val="00F447F2"/>
    <w:rsid w:val="00F44803"/>
    <w:rsid w:val="00F44833"/>
    <w:rsid w:val="00F448B2"/>
    <w:rsid w:val="00F448E1"/>
    <w:rsid w:val="00F448FE"/>
    <w:rsid w:val="00F44900"/>
    <w:rsid w:val="00F449FE"/>
    <w:rsid w:val="00F44A03"/>
    <w:rsid w:val="00F44AD6"/>
    <w:rsid w:val="00F44B37"/>
    <w:rsid w:val="00F44B6A"/>
    <w:rsid w:val="00F44BC6"/>
    <w:rsid w:val="00F44BEC"/>
    <w:rsid w:val="00F44C40"/>
    <w:rsid w:val="00F44C50"/>
    <w:rsid w:val="00F44C77"/>
    <w:rsid w:val="00F44CDA"/>
    <w:rsid w:val="00F44D0A"/>
    <w:rsid w:val="00F44D86"/>
    <w:rsid w:val="00F44E83"/>
    <w:rsid w:val="00F44EA7"/>
    <w:rsid w:val="00F44EB8"/>
    <w:rsid w:val="00F44F28"/>
    <w:rsid w:val="00F44FC8"/>
    <w:rsid w:val="00F45007"/>
    <w:rsid w:val="00F45016"/>
    <w:rsid w:val="00F4501D"/>
    <w:rsid w:val="00F45038"/>
    <w:rsid w:val="00F45074"/>
    <w:rsid w:val="00F4519D"/>
    <w:rsid w:val="00F45357"/>
    <w:rsid w:val="00F4541D"/>
    <w:rsid w:val="00F45426"/>
    <w:rsid w:val="00F4546A"/>
    <w:rsid w:val="00F4546C"/>
    <w:rsid w:val="00F45483"/>
    <w:rsid w:val="00F45528"/>
    <w:rsid w:val="00F4554F"/>
    <w:rsid w:val="00F4557A"/>
    <w:rsid w:val="00F455DE"/>
    <w:rsid w:val="00F456D7"/>
    <w:rsid w:val="00F457BC"/>
    <w:rsid w:val="00F45800"/>
    <w:rsid w:val="00F4593A"/>
    <w:rsid w:val="00F45941"/>
    <w:rsid w:val="00F45A0D"/>
    <w:rsid w:val="00F45AF5"/>
    <w:rsid w:val="00F45B9B"/>
    <w:rsid w:val="00F45D50"/>
    <w:rsid w:val="00F45D70"/>
    <w:rsid w:val="00F45EAD"/>
    <w:rsid w:val="00F45ED6"/>
    <w:rsid w:val="00F45F22"/>
    <w:rsid w:val="00F45F50"/>
    <w:rsid w:val="00F45F53"/>
    <w:rsid w:val="00F45F63"/>
    <w:rsid w:val="00F46024"/>
    <w:rsid w:val="00F46059"/>
    <w:rsid w:val="00F4605C"/>
    <w:rsid w:val="00F4609E"/>
    <w:rsid w:val="00F460E0"/>
    <w:rsid w:val="00F4613D"/>
    <w:rsid w:val="00F461E7"/>
    <w:rsid w:val="00F4623F"/>
    <w:rsid w:val="00F46279"/>
    <w:rsid w:val="00F4635B"/>
    <w:rsid w:val="00F46416"/>
    <w:rsid w:val="00F46468"/>
    <w:rsid w:val="00F46472"/>
    <w:rsid w:val="00F465DE"/>
    <w:rsid w:val="00F4661D"/>
    <w:rsid w:val="00F46679"/>
    <w:rsid w:val="00F4667A"/>
    <w:rsid w:val="00F4668F"/>
    <w:rsid w:val="00F4672F"/>
    <w:rsid w:val="00F4673A"/>
    <w:rsid w:val="00F46785"/>
    <w:rsid w:val="00F467B7"/>
    <w:rsid w:val="00F46814"/>
    <w:rsid w:val="00F46836"/>
    <w:rsid w:val="00F46885"/>
    <w:rsid w:val="00F46931"/>
    <w:rsid w:val="00F46978"/>
    <w:rsid w:val="00F46A6F"/>
    <w:rsid w:val="00F46A8E"/>
    <w:rsid w:val="00F46AFB"/>
    <w:rsid w:val="00F46B2A"/>
    <w:rsid w:val="00F46B65"/>
    <w:rsid w:val="00F46BDF"/>
    <w:rsid w:val="00F46C2C"/>
    <w:rsid w:val="00F46C36"/>
    <w:rsid w:val="00F46C65"/>
    <w:rsid w:val="00F46CFF"/>
    <w:rsid w:val="00F46D22"/>
    <w:rsid w:val="00F46D43"/>
    <w:rsid w:val="00F46D4B"/>
    <w:rsid w:val="00F46EC5"/>
    <w:rsid w:val="00F46ECF"/>
    <w:rsid w:val="00F46EF0"/>
    <w:rsid w:val="00F46F15"/>
    <w:rsid w:val="00F46F2A"/>
    <w:rsid w:val="00F46F5B"/>
    <w:rsid w:val="00F46FFF"/>
    <w:rsid w:val="00F47044"/>
    <w:rsid w:val="00F4704A"/>
    <w:rsid w:val="00F470DF"/>
    <w:rsid w:val="00F47132"/>
    <w:rsid w:val="00F471C3"/>
    <w:rsid w:val="00F471F4"/>
    <w:rsid w:val="00F47202"/>
    <w:rsid w:val="00F47353"/>
    <w:rsid w:val="00F47385"/>
    <w:rsid w:val="00F47459"/>
    <w:rsid w:val="00F474D4"/>
    <w:rsid w:val="00F47563"/>
    <w:rsid w:val="00F4757C"/>
    <w:rsid w:val="00F4758E"/>
    <w:rsid w:val="00F47635"/>
    <w:rsid w:val="00F476E8"/>
    <w:rsid w:val="00F47757"/>
    <w:rsid w:val="00F4777F"/>
    <w:rsid w:val="00F4780D"/>
    <w:rsid w:val="00F4782F"/>
    <w:rsid w:val="00F47876"/>
    <w:rsid w:val="00F47892"/>
    <w:rsid w:val="00F4793E"/>
    <w:rsid w:val="00F47953"/>
    <w:rsid w:val="00F4795D"/>
    <w:rsid w:val="00F47990"/>
    <w:rsid w:val="00F47AAA"/>
    <w:rsid w:val="00F47AEA"/>
    <w:rsid w:val="00F47BC7"/>
    <w:rsid w:val="00F47BE8"/>
    <w:rsid w:val="00F47C17"/>
    <w:rsid w:val="00F47C41"/>
    <w:rsid w:val="00F47C6C"/>
    <w:rsid w:val="00F47C86"/>
    <w:rsid w:val="00F47D43"/>
    <w:rsid w:val="00F47E4A"/>
    <w:rsid w:val="00F47E50"/>
    <w:rsid w:val="00F47E61"/>
    <w:rsid w:val="00F47EA9"/>
    <w:rsid w:val="00F47EED"/>
    <w:rsid w:val="00F47F94"/>
    <w:rsid w:val="00F47FD6"/>
    <w:rsid w:val="00F47FE8"/>
    <w:rsid w:val="00F5005D"/>
    <w:rsid w:val="00F5006A"/>
    <w:rsid w:val="00F50079"/>
    <w:rsid w:val="00F50084"/>
    <w:rsid w:val="00F5008E"/>
    <w:rsid w:val="00F5009A"/>
    <w:rsid w:val="00F5012D"/>
    <w:rsid w:val="00F50190"/>
    <w:rsid w:val="00F501A0"/>
    <w:rsid w:val="00F501DE"/>
    <w:rsid w:val="00F5020C"/>
    <w:rsid w:val="00F50283"/>
    <w:rsid w:val="00F502BA"/>
    <w:rsid w:val="00F503D7"/>
    <w:rsid w:val="00F50402"/>
    <w:rsid w:val="00F50466"/>
    <w:rsid w:val="00F50513"/>
    <w:rsid w:val="00F5073A"/>
    <w:rsid w:val="00F50782"/>
    <w:rsid w:val="00F507CC"/>
    <w:rsid w:val="00F507F3"/>
    <w:rsid w:val="00F5083E"/>
    <w:rsid w:val="00F509C1"/>
    <w:rsid w:val="00F509D3"/>
    <w:rsid w:val="00F509DD"/>
    <w:rsid w:val="00F50A1C"/>
    <w:rsid w:val="00F50B04"/>
    <w:rsid w:val="00F50B3E"/>
    <w:rsid w:val="00F50B5D"/>
    <w:rsid w:val="00F50B92"/>
    <w:rsid w:val="00F50B97"/>
    <w:rsid w:val="00F50BC9"/>
    <w:rsid w:val="00F50C19"/>
    <w:rsid w:val="00F50CC6"/>
    <w:rsid w:val="00F50CE2"/>
    <w:rsid w:val="00F50DF1"/>
    <w:rsid w:val="00F50E1C"/>
    <w:rsid w:val="00F50E35"/>
    <w:rsid w:val="00F50E47"/>
    <w:rsid w:val="00F50E79"/>
    <w:rsid w:val="00F50ED6"/>
    <w:rsid w:val="00F50F33"/>
    <w:rsid w:val="00F50F53"/>
    <w:rsid w:val="00F50FD9"/>
    <w:rsid w:val="00F5119E"/>
    <w:rsid w:val="00F511E9"/>
    <w:rsid w:val="00F5121A"/>
    <w:rsid w:val="00F51269"/>
    <w:rsid w:val="00F51298"/>
    <w:rsid w:val="00F51354"/>
    <w:rsid w:val="00F51360"/>
    <w:rsid w:val="00F5136F"/>
    <w:rsid w:val="00F513C0"/>
    <w:rsid w:val="00F513DB"/>
    <w:rsid w:val="00F51407"/>
    <w:rsid w:val="00F514A1"/>
    <w:rsid w:val="00F514A7"/>
    <w:rsid w:val="00F515FF"/>
    <w:rsid w:val="00F51713"/>
    <w:rsid w:val="00F51748"/>
    <w:rsid w:val="00F51816"/>
    <w:rsid w:val="00F51886"/>
    <w:rsid w:val="00F518BA"/>
    <w:rsid w:val="00F51A6A"/>
    <w:rsid w:val="00F51AF0"/>
    <w:rsid w:val="00F51B00"/>
    <w:rsid w:val="00F51B95"/>
    <w:rsid w:val="00F51C1B"/>
    <w:rsid w:val="00F51C7B"/>
    <w:rsid w:val="00F51CDA"/>
    <w:rsid w:val="00F51E4B"/>
    <w:rsid w:val="00F51E5C"/>
    <w:rsid w:val="00F51E78"/>
    <w:rsid w:val="00F51F50"/>
    <w:rsid w:val="00F51FAA"/>
    <w:rsid w:val="00F52049"/>
    <w:rsid w:val="00F52076"/>
    <w:rsid w:val="00F520DF"/>
    <w:rsid w:val="00F520FB"/>
    <w:rsid w:val="00F521B6"/>
    <w:rsid w:val="00F522D1"/>
    <w:rsid w:val="00F52350"/>
    <w:rsid w:val="00F523A6"/>
    <w:rsid w:val="00F523BC"/>
    <w:rsid w:val="00F523CD"/>
    <w:rsid w:val="00F523E0"/>
    <w:rsid w:val="00F523F3"/>
    <w:rsid w:val="00F5248D"/>
    <w:rsid w:val="00F52498"/>
    <w:rsid w:val="00F524A6"/>
    <w:rsid w:val="00F52506"/>
    <w:rsid w:val="00F52538"/>
    <w:rsid w:val="00F5258A"/>
    <w:rsid w:val="00F525C1"/>
    <w:rsid w:val="00F526CF"/>
    <w:rsid w:val="00F52764"/>
    <w:rsid w:val="00F5283F"/>
    <w:rsid w:val="00F528AA"/>
    <w:rsid w:val="00F52907"/>
    <w:rsid w:val="00F52975"/>
    <w:rsid w:val="00F52993"/>
    <w:rsid w:val="00F52A91"/>
    <w:rsid w:val="00F52AA1"/>
    <w:rsid w:val="00F52AD1"/>
    <w:rsid w:val="00F52C6D"/>
    <w:rsid w:val="00F52CCC"/>
    <w:rsid w:val="00F52CD1"/>
    <w:rsid w:val="00F52D42"/>
    <w:rsid w:val="00F52D5B"/>
    <w:rsid w:val="00F52E1B"/>
    <w:rsid w:val="00F52EE7"/>
    <w:rsid w:val="00F52F2E"/>
    <w:rsid w:val="00F52F30"/>
    <w:rsid w:val="00F52F40"/>
    <w:rsid w:val="00F52F8C"/>
    <w:rsid w:val="00F52FC8"/>
    <w:rsid w:val="00F530B3"/>
    <w:rsid w:val="00F5313D"/>
    <w:rsid w:val="00F531AE"/>
    <w:rsid w:val="00F531C3"/>
    <w:rsid w:val="00F531D1"/>
    <w:rsid w:val="00F53247"/>
    <w:rsid w:val="00F5324C"/>
    <w:rsid w:val="00F53254"/>
    <w:rsid w:val="00F53320"/>
    <w:rsid w:val="00F53348"/>
    <w:rsid w:val="00F53380"/>
    <w:rsid w:val="00F53427"/>
    <w:rsid w:val="00F5346F"/>
    <w:rsid w:val="00F534B5"/>
    <w:rsid w:val="00F534C3"/>
    <w:rsid w:val="00F534EE"/>
    <w:rsid w:val="00F5350D"/>
    <w:rsid w:val="00F5350E"/>
    <w:rsid w:val="00F53551"/>
    <w:rsid w:val="00F5356A"/>
    <w:rsid w:val="00F535BA"/>
    <w:rsid w:val="00F5360E"/>
    <w:rsid w:val="00F53624"/>
    <w:rsid w:val="00F53667"/>
    <w:rsid w:val="00F53830"/>
    <w:rsid w:val="00F53860"/>
    <w:rsid w:val="00F538A6"/>
    <w:rsid w:val="00F538CD"/>
    <w:rsid w:val="00F53970"/>
    <w:rsid w:val="00F53A2B"/>
    <w:rsid w:val="00F53A6F"/>
    <w:rsid w:val="00F53A8F"/>
    <w:rsid w:val="00F53AA7"/>
    <w:rsid w:val="00F53B67"/>
    <w:rsid w:val="00F53D20"/>
    <w:rsid w:val="00F53D88"/>
    <w:rsid w:val="00F53DE6"/>
    <w:rsid w:val="00F53F0C"/>
    <w:rsid w:val="00F53F58"/>
    <w:rsid w:val="00F5412A"/>
    <w:rsid w:val="00F5415F"/>
    <w:rsid w:val="00F54162"/>
    <w:rsid w:val="00F54177"/>
    <w:rsid w:val="00F5426F"/>
    <w:rsid w:val="00F542DE"/>
    <w:rsid w:val="00F54300"/>
    <w:rsid w:val="00F54327"/>
    <w:rsid w:val="00F543B2"/>
    <w:rsid w:val="00F544C2"/>
    <w:rsid w:val="00F544C3"/>
    <w:rsid w:val="00F544E1"/>
    <w:rsid w:val="00F545C1"/>
    <w:rsid w:val="00F54650"/>
    <w:rsid w:val="00F54657"/>
    <w:rsid w:val="00F54671"/>
    <w:rsid w:val="00F54709"/>
    <w:rsid w:val="00F54745"/>
    <w:rsid w:val="00F54748"/>
    <w:rsid w:val="00F5475A"/>
    <w:rsid w:val="00F54790"/>
    <w:rsid w:val="00F547A7"/>
    <w:rsid w:val="00F54834"/>
    <w:rsid w:val="00F548C1"/>
    <w:rsid w:val="00F548C3"/>
    <w:rsid w:val="00F548EF"/>
    <w:rsid w:val="00F54919"/>
    <w:rsid w:val="00F54970"/>
    <w:rsid w:val="00F549C8"/>
    <w:rsid w:val="00F549CC"/>
    <w:rsid w:val="00F549FC"/>
    <w:rsid w:val="00F54A24"/>
    <w:rsid w:val="00F54A76"/>
    <w:rsid w:val="00F54ACE"/>
    <w:rsid w:val="00F54AFD"/>
    <w:rsid w:val="00F54B0D"/>
    <w:rsid w:val="00F54B0F"/>
    <w:rsid w:val="00F54B79"/>
    <w:rsid w:val="00F54B89"/>
    <w:rsid w:val="00F54B95"/>
    <w:rsid w:val="00F54BB1"/>
    <w:rsid w:val="00F54BB3"/>
    <w:rsid w:val="00F54C3A"/>
    <w:rsid w:val="00F54D5C"/>
    <w:rsid w:val="00F54E29"/>
    <w:rsid w:val="00F54E37"/>
    <w:rsid w:val="00F54E3B"/>
    <w:rsid w:val="00F54E67"/>
    <w:rsid w:val="00F54FF5"/>
    <w:rsid w:val="00F55004"/>
    <w:rsid w:val="00F55043"/>
    <w:rsid w:val="00F55044"/>
    <w:rsid w:val="00F55089"/>
    <w:rsid w:val="00F550AA"/>
    <w:rsid w:val="00F55118"/>
    <w:rsid w:val="00F5512D"/>
    <w:rsid w:val="00F5516F"/>
    <w:rsid w:val="00F552A1"/>
    <w:rsid w:val="00F552EA"/>
    <w:rsid w:val="00F55332"/>
    <w:rsid w:val="00F5537E"/>
    <w:rsid w:val="00F5547E"/>
    <w:rsid w:val="00F5548A"/>
    <w:rsid w:val="00F554F3"/>
    <w:rsid w:val="00F554FD"/>
    <w:rsid w:val="00F5551F"/>
    <w:rsid w:val="00F5555A"/>
    <w:rsid w:val="00F555B1"/>
    <w:rsid w:val="00F555B9"/>
    <w:rsid w:val="00F555D2"/>
    <w:rsid w:val="00F556A3"/>
    <w:rsid w:val="00F55709"/>
    <w:rsid w:val="00F5570C"/>
    <w:rsid w:val="00F55711"/>
    <w:rsid w:val="00F55750"/>
    <w:rsid w:val="00F558BD"/>
    <w:rsid w:val="00F558E6"/>
    <w:rsid w:val="00F55913"/>
    <w:rsid w:val="00F5592B"/>
    <w:rsid w:val="00F559CA"/>
    <w:rsid w:val="00F55AF5"/>
    <w:rsid w:val="00F55B3E"/>
    <w:rsid w:val="00F55BD2"/>
    <w:rsid w:val="00F55BFA"/>
    <w:rsid w:val="00F55D80"/>
    <w:rsid w:val="00F55E07"/>
    <w:rsid w:val="00F55E13"/>
    <w:rsid w:val="00F55E36"/>
    <w:rsid w:val="00F55E6F"/>
    <w:rsid w:val="00F55F14"/>
    <w:rsid w:val="00F55F8A"/>
    <w:rsid w:val="00F55FDA"/>
    <w:rsid w:val="00F5600E"/>
    <w:rsid w:val="00F56012"/>
    <w:rsid w:val="00F56053"/>
    <w:rsid w:val="00F56062"/>
    <w:rsid w:val="00F560BB"/>
    <w:rsid w:val="00F560DB"/>
    <w:rsid w:val="00F56102"/>
    <w:rsid w:val="00F561CD"/>
    <w:rsid w:val="00F561DD"/>
    <w:rsid w:val="00F56218"/>
    <w:rsid w:val="00F56322"/>
    <w:rsid w:val="00F563BA"/>
    <w:rsid w:val="00F56422"/>
    <w:rsid w:val="00F56499"/>
    <w:rsid w:val="00F564FB"/>
    <w:rsid w:val="00F5655D"/>
    <w:rsid w:val="00F5657D"/>
    <w:rsid w:val="00F565BB"/>
    <w:rsid w:val="00F565D9"/>
    <w:rsid w:val="00F566A1"/>
    <w:rsid w:val="00F567DF"/>
    <w:rsid w:val="00F5682B"/>
    <w:rsid w:val="00F568F3"/>
    <w:rsid w:val="00F568FD"/>
    <w:rsid w:val="00F56938"/>
    <w:rsid w:val="00F56939"/>
    <w:rsid w:val="00F56AF5"/>
    <w:rsid w:val="00F56B28"/>
    <w:rsid w:val="00F56BAB"/>
    <w:rsid w:val="00F56BEB"/>
    <w:rsid w:val="00F56C8A"/>
    <w:rsid w:val="00F56DAD"/>
    <w:rsid w:val="00F56DD5"/>
    <w:rsid w:val="00F56DF3"/>
    <w:rsid w:val="00F56E32"/>
    <w:rsid w:val="00F56E55"/>
    <w:rsid w:val="00F56E64"/>
    <w:rsid w:val="00F56E94"/>
    <w:rsid w:val="00F56F38"/>
    <w:rsid w:val="00F56F3B"/>
    <w:rsid w:val="00F5702C"/>
    <w:rsid w:val="00F570AF"/>
    <w:rsid w:val="00F571F2"/>
    <w:rsid w:val="00F57265"/>
    <w:rsid w:val="00F57272"/>
    <w:rsid w:val="00F5728C"/>
    <w:rsid w:val="00F57297"/>
    <w:rsid w:val="00F572FC"/>
    <w:rsid w:val="00F57301"/>
    <w:rsid w:val="00F57322"/>
    <w:rsid w:val="00F57335"/>
    <w:rsid w:val="00F57390"/>
    <w:rsid w:val="00F573A4"/>
    <w:rsid w:val="00F5744F"/>
    <w:rsid w:val="00F5745F"/>
    <w:rsid w:val="00F574BB"/>
    <w:rsid w:val="00F574F3"/>
    <w:rsid w:val="00F57557"/>
    <w:rsid w:val="00F5763B"/>
    <w:rsid w:val="00F57676"/>
    <w:rsid w:val="00F57696"/>
    <w:rsid w:val="00F57784"/>
    <w:rsid w:val="00F578B5"/>
    <w:rsid w:val="00F578D3"/>
    <w:rsid w:val="00F57AD0"/>
    <w:rsid w:val="00F57B03"/>
    <w:rsid w:val="00F57C1D"/>
    <w:rsid w:val="00F57C6C"/>
    <w:rsid w:val="00F57C84"/>
    <w:rsid w:val="00F57CB8"/>
    <w:rsid w:val="00F57CED"/>
    <w:rsid w:val="00F57E78"/>
    <w:rsid w:val="00F57E98"/>
    <w:rsid w:val="00F57F7F"/>
    <w:rsid w:val="00F57FB8"/>
    <w:rsid w:val="00F6004F"/>
    <w:rsid w:val="00F6009F"/>
    <w:rsid w:val="00F6019D"/>
    <w:rsid w:val="00F6022A"/>
    <w:rsid w:val="00F602E9"/>
    <w:rsid w:val="00F6032C"/>
    <w:rsid w:val="00F60345"/>
    <w:rsid w:val="00F6041A"/>
    <w:rsid w:val="00F60492"/>
    <w:rsid w:val="00F604A2"/>
    <w:rsid w:val="00F60645"/>
    <w:rsid w:val="00F606B2"/>
    <w:rsid w:val="00F607A0"/>
    <w:rsid w:val="00F60805"/>
    <w:rsid w:val="00F6085F"/>
    <w:rsid w:val="00F608D0"/>
    <w:rsid w:val="00F60919"/>
    <w:rsid w:val="00F6096A"/>
    <w:rsid w:val="00F609CA"/>
    <w:rsid w:val="00F60A01"/>
    <w:rsid w:val="00F60A50"/>
    <w:rsid w:val="00F60A7A"/>
    <w:rsid w:val="00F60A92"/>
    <w:rsid w:val="00F60ABB"/>
    <w:rsid w:val="00F60B08"/>
    <w:rsid w:val="00F60B35"/>
    <w:rsid w:val="00F60B5E"/>
    <w:rsid w:val="00F60BC4"/>
    <w:rsid w:val="00F60CC7"/>
    <w:rsid w:val="00F60D89"/>
    <w:rsid w:val="00F60F07"/>
    <w:rsid w:val="00F60F13"/>
    <w:rsid w:val="00F60F19"/>
    <w:rsid w:val="00F61065"/>
    <w:rsid w:val="00F61117"/>
    <w:rsid w:val="00F61189"/>
    <w:rsid w:val="00F6119A"/>
    <w:rsid w:val="00F6122A"/>
    <w:rsid w:val="00F61261"/>
    <w:rsid w:val="00F612A1"/>
    <w:rsid w:val="00F612BF"/>
    <w:rsid w:val="00F61342"/>
    <w:rsid w:val="00F6135F"/>
    <w:rsid w:val="00F61451"/>
    <w:rsid w:val="00F6152F"/>
    <w:rsid w:val="00F61625"/>
    <w:rsid w:val="00F61737"/>
    <w:rsid w:val="00F61771"/>
    <w:rsid w:val="00F617B5"/>
    <w:rsid w:val="00F617BD"/>
    <w:rsid w:val="00F617CC"/>
    <w:rsid w:val="00F6184D"/>
    <w:rsid w:val="00F61890"/>
    <w:rsid w:val="00F618F3"/>
    <w:rsid w:val="00F6191E"/>
    <w:rsid w:val="00F61944"/>
    <w:rsid w:val="00F619E8"/>
    <w:rsid w:val="00F61A10"/>
    <w:rsid w:val="00F61A7A"/>
    <w:rsid w:val="00F61A7E"/>
    <w:rsid w:val="00F61AAD"/>
    <w:rsid w:val="00F61AEB"/>
    <w:rsid w:val="00F61B49"/>
    <w:rsid w:val="00F61CB3"/>
    <w:rsid w:val="00F61CDA"/>
    <w:rsid w:val="00F61E32"/>
    <w:rsid w:val="00F61E39"/>
    <w:rsid w:val="00F61EAB"/>
    <w:rsid w:val="00F62101"/>
    <w:rsid w:val="00F62196"/>
    <w:rsid w:val="00F62209"/>
    <w:rsid w:val="00F622F5"/>
    <w:rsid w:val="00F62322"/>
    <w:rsid w:val="00F623D9"/>
    <w:rsid w:val="00F623F1"/>
    <w:rsid w:val="00F62475"/>
    <w:rsid w:val="00F62542"/>
    <w:rsid w:val="00F62566"/>
    <w:rsid w:val="00F626E3"/>
    <w:rsid w:val="00F626EE"/>
    <w:rsid w:val="00F62712"/>
    <w:rsid w:val="00F62771"/>
    <w:rsid w:val="00F62791"/>
    <w:rsid w:val="00F627F7"/>
    <w:rsid w:val="00F62830"/>
    <w:rsid w:val="00F6287A"/>
    <w:rsid w:val="00F6288C"/>
    <w:rsid w:val="00F62905"/>
    <w:rsid w:val="00F629BD"/>
    <w:rsid w:val="00F629F7"/>
    <w:rsid w:val="00F62A03"/>
    <w:rsid w:val="00F62A9E"/>
    <w:rsid w:val="00F62B24"/>
    <w:rsid w:val="00F62BAB"/>
    <w:rsid w:val="00F62C5E"/>
    <w:rsid w:val="00F62CC8"/>
    <w:rsid w:val="00F62CEE"/>
    <w:rsid w:val="00F62CF2"/>
    <w:rsid w:val="00F62D1C"/>
    <w:rsid w:val="00F62DCC"/>
    <w:rsid w:val="00F62DE2"/>
    <w:rsid w:val="00F62E75"/>
    <w:rsid w:val="00F62E77"/>
    <w:rsid w:val="00F62E84"/>
    <w:rsid w:val="00F62F03"/>
    <w:rsid w:val="00F62F3F"/>
    <w:rsid w:val="00F62F7A"/>
    <w:rsid w:val="00F62FAA"/>
    <w:rsid w:val="00F62FB8"/>
    <w:rsid w:val="00F6300B"/>
    <w:rsid w:val="00F63057"/>
    <w:rsid w:val="00F63095"/>
    <w:rsid w:val="00F630A9"/>
    <w:rsid w:val="00F630B6"/>
    <w:rsid w:val="00F630E4"/>
    <w:rsid w:val="00F630EC"/>
    <w:rsid w:val="00F63102"/>
    <w:rsid w:val="00F631B1"/>
    <w:rsid w:val="00F63201"/>
    <w:rsid w:val="00F63218"/>
    <w:rsid w:val="00F6323B"/>
    <w:rsid w:val="00F63243"/>
    <w:rsid w:val="00F632FF"/>
    <w:rsid w:val="00F63359"/>
    <w:rsid w:val="00F633F1"/>
    <w:rsid w:val="00F63448"/>
    <w:rsid w:val="00F63551"/>
    <w:rsid w:val="00F6356B"/>
    <w:rsid w:val="00F6356F"/>
    <w:rsid w:val="00F635F4"/>
    <w:rsid w:val="00F63640"/>
    <w:rsid w:val="00F63677"/>
    <w:rsid w:val="00F63678"/>
    <w:rsid w:val="00F6367C"/>
    <w:rsid w:val="00F636A3"/>
    <w:rsid w:val="00F636E9"/>
    <w:rsid w:val="00F6372E"/>
    <w:rsid w:val="00F6374C"/>
    <w:rsid w:val="00F637B6"/>
    <w:rsid w:val="00F637C6"/>
    <w:rsid w:val="00F6380D"/>
    <w:rsid w:val="00F6382D"/>
    <w:rsid w:val="00F638B1"/>
    <w:rsid w:val="00F6393E"/>
    <w:rsid w:val="00F639F3"/>
    <w:rsid w:val="00F639F9"/>
    <w:rsid w:val="00F63AAD"/>
    <w:rsid w:val="00F63AE3"/>
    <w:rsid w:val="00F63BE9"/>
    <w:rsid w:val="00F63C13"/>
    <w:rsid w:val="00F63C47"/>
    <w:rsid w:val="00F63C89"/>
    <w:rsid w:val="00F63CC7"/>
    <w:rsid w:val="00F63CDA"/>
    <w:rsid w:val="00F63D92"/>
    <w:rsid w:val="00F63E2C"/>
    <w:rsid w:val="00F63E2F"/>
    <w:rsid w:val="00F63EA1"/>
    <w:rsid w:val="00F63EA2"/>
    <w:rsid w:val="00F63ECA"/>
    <w:rsid w:val="00F63F0F"/>
    <w:rsid w:val="00F63F15"/>
    <w:rsid w:val="00F63F67"/>
    <w:rsid w:val="00F63FAE"/>
    <w:rsid w:val="00F6400A"/>
    <w:rsid w:val="00F640AD"/>
    <w:rsid w:val="00F640DF"/>
    <w:rsid w:val="00F64170"/>
    <w:rsid w:val="00F64280"/>
    <w:rsid w:val="00F64331"/>
    <w:rsid w:val="00F643A1"/>
    <w:rsid w:val="00F643E6"/>
    <w:rsid w:val="00F6441F"/>
    <w:rsid w:val="00F6453C"/>
    <w:rsid w:val="00F64654"/>
    <w:rsid w:val="00F6476C"/>
    <w:rsid w:val="00F64807"/>
    <w:rsid w:val="00F64841"/>
    <w:rsid w:val="00F648C7"/>
    <w:rsid w:val="00F6493A"/>
    <w:rsid w:val="00F64946"/>
    <w:rsid w:val="00F649B6"/>
    <w:rsid w:val="00F64A2C"/>
    <w:rsid w:val="00F64A74"/>
    <w:rsid w:val="00F64AD1"/>
    <w:rsid w:val="00F64AE8"/>
    <w:rsid w:val="00F64AEF"/>
    <w:rsid w:val="00F64B5B"/>
    <w:rsid w:val="00F64B7F"/>
    <w:rsid w:val="00F64CF3"/>
    <w:rsid w:val="00F64D41"/>
    <w:rsid w:val="00F64F7E"/>
    <w:rsid w:val="00F64F7F"/>
    <w:rsid w:val="00F64F8E"/>
    <w:rsid w:val="00F64FC5"/>
    <w:rsid w:val="00F65018"/>
    <w:rsid w:val="00F65021"/>
    <w:rsid w:val="00F650B0"/>
    <w:rsid w:val="00F650CF"/>
    <w:rsid w:val="00F65205"/>
    <w:rsid w:val="00F652A3"/>
    <w:rsid w:val="00F652B7"/>
    <w:rsid w:val="00F652BC"/>
    <w:rsid w:val="00F65317"/>
    <w:rsid w:val="00F654C9"/>
    <w:rsid w:val="00F65517"/>
    <w:rsid w:val="00F6552F"/>
    <w:rsid w:val="00F65572"/>
    <w:rsid w:val="00F655D3"/>
    <w:rsid w:val="00F65618"/>
    <w:rsid w:val="00F6561D"/>
    <w:rsid w:val="00F65656"/>
    <w:rsid w:val="00F6566D"/>
    <w:rsid w:val="00F65679"/>
    <w:rsid w:val="00F656B8"/>
    <w:rsid w:val="00F656EC"/>
    <w:rsid w:val="00F657FF"/>
    <w:rsid w:val="00F65803"/>
    <w:rsid w:val="00F65868"/>
    <w:rsid w:val="00F65871"/>
    <w:rsid w:val="00F6597C"/>
    <w:rsid w:val="00F65995"/>
    <w:rsid w:val="00F65A6F"/>
    <w:rsid w:val="00F65A7E"/>
    <w:rsid w:val="00F65B2D"/>
    <w:rsid w:val="00F65B44"/>
    <w:rsid w:val="00F65B5C"/>
    <w:rsid w:val="00F65BF7"/>
    <w:rsid w:val="00F65C23"/>
    <w:rsid w:val="00F65C2B"/>
    <w:rsid w:val="00F65CC5"/>
    <w:rsid w:val="00F65CD9"/>
    <w:rsid w:val="00F65D18"/>
    <w:rsid w:val="00F65D75"/>
    <w:rsid w:val="00F65DAA"/>
    <w:rsid w:val="00F65DB8"/>
    <w:rsid w:val="00F65DBB"/>
    <w:rsid w:val="00F65DC8"/>
    <w:rsid w:val="00F65DFE"/>
    <w:rsid w:val="00F65E4F"/>
    <w:rsid w:val="00F65E8F"/>
    <w:rsid w:val="00F65E9D"/>
    <w:rsid w:val="00F65EB1"/>
    <w:rsid w:val="00F66002"/>
    <w:rsid w:val="00F6608C"/>
    <w:rsid w:val="00F660CA"/>
    <w:rsid w:val="00F6613A"/>
    <w:rsid w:val="00F66142"/>
    <w:rsid w:val="00F66165"/>
    <w:rsid w:val="00F6627A"/>
    <w:rsid w:val="00F6628C"/>
    <w:rsid w:val="00F662D8"/>
    <w:rsid w:val="00F66411"/>
    <w:rsid w:val="00F6644F"/>
    <w:rsid w:val="00F66451"/>
    <w:rsid w:val="00F66474"/>
    <w:rsid w:val="00F664A5"/>
    <w:rsid w:val="00F6650D"/>
    <w:rsid w:val="00F66540"/>
    <w:rsid w:val="00F6659B"/>
    <w:rsid w:val="00F665A6"/>
    <w:rsid w:val="00F665B4"/>
    <w:rsid w:val="00F665C0"/>
    <w:rsid w:val="00F665D3"/>
    <w:rsid w:val="00F665E6"/>
    <w:rsid w:val="00F6662B"/>
    <w:rsid w:val="00F6679B"/>
    <w:rsid w:val="00F667EA"/>
    <w:rsid w:val="00F6682F"/>
    <w:rsid w:val="00F668A4"/>
    <w:rsid w:val="00F668DA"/>
    <w:rsid w:val="00F66949"/>
    <w:rsid w:val="00F66977"/>
    <w:rsid w:val="00F669C2"/>
    <w:rsid w:val="00F669F8"/>
    <w:rsid w:val="00F66A48"/>
    <w:rsid w:val="00F66AB0"/>
    <w:rsid w:val="00F66B25"/>
    <w:rsid w:val="00F66B4F"/>
    <w:rsid w:val="00F66BB2"/>
    <w:rsid w:val="00F66BDC"/>
    <w:rsid w:val="00F66C19"/>
    <w:rsid w:val="00F66C60"/>
    <w:rsid w:val="00F66CEC"/>
    <w:rsid w:val="00F66E26"/>
    <w:rsid w:val="00F66F47"/>
    <w:rsid w:val="00F66F86"/>
    <w:rsid w:val="00F6705E"/>
    <w:rsid w:val="00F67079"/>
    <w:rsid w:val="00F67094"/>
    <w:rsid w:val="00F67097"/>
    <w:rsid w:val="00F670F0"/>
    <w:rsid w:val="00F670F4"/>
    <w:rsid w:val="00F67163"/>
    <w:rsid w:val="00F67189"/>
    <w:rsid w:val="00F671EF"/>
    <w:rsid w:val="00F6725F"/>
    <w:rsid w:val="00F6731D"/>
    <w:rsid w:val="00F6736B"/>
    <w:rsid w:val="00F67445"/>
    <w:rsid w:val="00F6747B"/>
    <w:rsid w:val="00F6749D"/>
    <w:rsid w:val="00F674EC"/>
    <w:rsid w:val="00F676C5"/>
    <w:rsid w:val="00F676EF"/>
    <w:rsid w:val="00F6778C"/>
    <w:rsid w:val="00F677D4"/>
    <w:rsid w:val="00F67820"/>
    <w:rsid w:val="00F6786A"/>
    <w:rsid w:val="00F678BE"/>
    <w:rsid w:val="00F67926"/>
    <w:rsid w:val="00F67948"/>
    <w:rsid w:val="00F67985"/>
    <w:rsid w:val="00F679E7"/>
    <w:rsid w:val="00F679ED"/>
    <w:rsid w:val="00F67A22"/>
    <w:rsid w:val="00F67A4E"/>
    <w:rsid w:val="00F67A7C"/>
    <w:rsid w:val="00F67A89"/>
    <w:rsid w:val="00F67B74"/>
    <w:rsid w:val="00F67BA3"/>
    <w:rsid w:val="00F67BB6"/>
    <w:rsid w:val="00F67C12"/>
    <w:rsid w:val="00F67C3E"/>
    <w:rsid w:val="00F67CCF"/>
    <w:rsid w:val="00F67D0E"/>
    <w:rsid w:val="00F67D0F"/>
    <w:rsid w:val="00F67D92"/>
    <w:rsid w:val="00F67DA0"/>
    <w:rsid w:val="00F67DE8"/>
    <w:rsid w:val="00F67E3A"/>
    <w:rsid w:val="00F67E7D"/>
    <w:rsid w:val="00F67ED7"/>
    <w:rsid w:val="00F67EDB"/>
    <w:rsid w:val="00F70086"/>
    <w:rsid w:val="00F700F1"/>
    <w:rsid w:val="00F7010F"/>
    <w:rsid w:val="00F7014A"/>
    <w:rsid w:val="00F7019C"/>
    <w:rsid w:val="00F70336"/>
    <w:rsid w:val="00F7034C"/>
    <w:rsid w:val="00F703E3"/>
    <w:rsid w:val="00F703E6"/>
    <w:rsid w:val="00F703FC"/>
    <w:rsid w:val="00F704E9"/>
    <w:rsid w:val="00F70538"/>
    <w:rsid w:val="00F7054C"/>
    <w:rsid w:val="00F7054E"/>
    <w:rsid w:val="00F7056A"/>
    <w:rsid w:val="00F70593"/>
    <w:rsid w:val="00F705EB"/>
    <w:rsid w:val="00F70620"/>
    <w:rsid w:val="00F70686"/>
    <w:rsid w:val="00F706FD"/>
    <w:rsid w:val="00F70718"/>
    <w:rsid w:val="00F707AC"/>
    <w:rsid w:val="00F707C0"/>
    <w:rsid w:val="00F707C8"/>
    <w:rsid w:val="00F7080F"/>
    <w:rsid w:val="00F70861"/>
    <w:rsid w:val="00F708FC"/>
    <w:rsid w:val="00F70904"/>
    <w:rsid w:val="00F7090A"/>
    <w:rsid w:val="00F7094F"/>
    <w:rsid w:val="00F70970"/>
    <w:rsid w:val="00F70980"/>
    <w:rsid w:val="00F709E3"/>
    <w:rsid w:val="00F709F3"/>
    <w:rsid w:val="00F70A75"/>
    <w:rsid w:val="00F70A84"/>
    <w:rsid w:val="00F70AF3"/>
    <w:rsid w:val="00F70BDE"/>
    <w:rsid w:val="00F70C36"/>
    <w:rsid w:val="00F70C3A"/>
    <w:rsid w:val="00F70C42"/>
    <w:rsid w:val="00F70C63"/>
    <w:rsid w:val="00F70C93"/>
    <w:rsid w:val="00F70CFE"/>
    <w:rsid w:val="00F70D44"/>
    <w:rsid w:val="00F70E08"/>
    <w:rsid w:val="00F70EB5"/>
    <w:rsid w:val="00F70EC5"/>
    <w:rsid w:val="00F70F13"/>
    <w:rsid w:val="00F70F1B"/>
    <w:rsid w:val="00F70F5E"/>
    <w:rsid w:val="00F70FF2"/>
    <w:rsid w:val="00F70FFD"/>
    <w:rsid w:val="00F71015"/>
    <w:rsid w:val="00F71094"/>
    <w:rsid w:val="00F71112"/>
    <w:rsid w:val="00F71124"/>
    <w:rsid w:val="00F71216"/>
    <w:rsid w:val="00F71276"/>
    <w:rsid w:val="00F7127C"/>
    <w:rsid w:val="00F7127D"/>
    <w:rsid w:val="00F71297"/>
    <w:rsid w:val="00F712CC"/>
    <w:rsid w:val="00F71382"/>
    <w:rsid w:val="00F7141C"/>
    <w:rsid w:val="00F7143C"/>
    <w:rsid w:val="00F7147A"/>
    <w:rsid w:val="00F71490"/>
    <w:rsid w:val="00F7165E"/>
    <w:rsid w:val="00F716C5"/>
    <w:rsid w:val="00F71785"/>
    <w:rsid w:val="00F7178D"/>
    <w:rsid w:val="00F71838"/>
    <w:rsid w:val="00F7194E"/>
    <w:rsid w:val="00F7198F"/>
    <w:rsid w:val="00F71A30"/>
    <w:rsid w:val="00F71AE0"/>
    <w:rsid w:val="00F71B9E"/>
    <w:rsid w:val="00F71BE6"/>
    <w:rsid w:val="00F71BE9"/>
    <w:rsid w:val="00F71CC7"/>
    <w:rsid w:val="00F71CD0"/>
    <w:rsid w:val="00F71CD8"/>
    <w:rsid w:val="00F71D4F"/>
    <w:rsid w:val="00F71DA9"/>
    <w:rsid w:val="00F71DB4"/>
    <w:rsid w:val="00F71DFC"/>
    <w:rsid w:val="00F71E04"/>
    <w:rsid w:val="00F71E30"/>
    <w:rsid w:val="00F71EA1"/>
    <w:rsid w:val="00F71F07"/>
    <w:rsid w:val="00F71F10"/>
    <w:rsid w:val="00F71F64"/>
    <w:rsid w:val="00F71F94"/>
    <w:rsid w:val="00F7200D"/>
    <w:rsid w:val="00F720EC"/>
    <w:rsid w:val="00F72144"/>
    <w:rsid w:val="00F72191"/>
    <w:rsid w:val="00F72197"/>
    <w:rsid w:val="00F7219A"/>
    <w:rsid w:val="00F721CA"/>
    <w:rsid w:val="00F72206"/>
    <w:rsid w:val="00F72323"/>
    <w:rsid w:val="00F7233A"/>
    <w:rsid w:val="00F72352"/>
    <w:rsid w:val="00F72364"/>
    <w:rsid w:val="00F723C2"/>
    <w:rsid w:val="00F723C8"/>
    <w:rsid w:val="00F723F4"/>
    <w:rsid w:val="00F72415"/>
    <w:rsid w:val="00F7245A"/>
    <w:rsid w:val="00F7246F"/>
    <w:rsid w:val="00F724E4"/>
    <w:rsid w:val="00F7260C"/>
    <w:rsid w:val="00F72669"/>
    <w:rsid w:val="00F72674"/>
    <w:rsid w:val="00F7267E"/>
    <w:rsid w:val="00F726B2"/>
    <w:rsid w:val="00F7271A"/>
    <w:rsid w:val="00F72785"/>
    <w:rsid w:val="00F72798"/>
    <w:rsid w:val="00F72825"/>
    <w:rsid w:val="00F7284F"/>
    <w:rsid w:val="00F728BE"/>
    <w:rsid w:val="00F7291B"/>
    <w:rsid w:val="00F7299D"/>
    <w:rsid w:val="00F72A0E"/>
    <w:rsid w:val="00F72A26"/>
    <w:rsid w:val="00F72AEE"/>
    <w:rsid w:val="00F72AF6"/>
    <w:rsid w:val="00F72B3E"/>
    <w:rsid w:val="00F72B7F"/>
    <w:rsid w:val="00F72BA8"/>
    <w:rsid w:val="00F72E15"/>
    <w:rsid w:val="00F72E96"/>
    <w:rsid w:val="00F72F26"/>
    <w:rsid w:val="00F72FE2"/>
    <w:rsid w:val="00F72FF3"/>
    <w:rsid w:val="00F72FFD"/>
    <w:rsid w:val="00F730CF"/>
    <w:rsid w:val="00F73187"/>
    <w:rsid w:val="00F731E6"/>
    <w:rsid w:val="00F731EF"/>
    <w:rsid w:val="00F73298"/>
    <w:rsid w:val="00F73372"/>
    <w:rsid w:val="00F7338C"/>
    <w:rsid w:val="00F73392"/>
    <w:rsid w:val="00F7347F"/>
    <w:rsid w:val="00F734AE"/>
    <w:rsid w:val="00F734F1"/>
    <w:rsid w:val="00F7354A"/>
    <w:rsid w:val="00F73555"/>
    <w:rsid w:val="00F735CD"/>
    <w:rsid w:val="00F7360D"/>
    <w:rsid w:val="00F73765"/>
    <w:rsid w:val="00F73827"/>
    <w:rsid w:val="00F73853"/>
    <w:rsid w:val="00F738E2"/>
    <w:rsid w:val="00F739EE"/>
    <w:rsid w:val="00F73A40"/>
    <w:rsid w:val="00F73A42"/>
    <w:rsid w:val="00F73C6C"/>
    <w:rsid w:val="00F73CB0"/>
    <w:rsid w:val="00F73D03"/>
    <w:rsid w:val="00F73D53"/>
    <w:rsid w:val="00F73D64"/>
    <w:rsid w:val="00F73D6B"/>
    <w:rsid w:val="00F73D8F"/>
    <w:rsid w:val="00F73DA6"/>
    <w:rsid w:val="00F73E09"/>
    <w:rsid w:val="00F73E1C"/>
    <w:rsid w:val="00F7408B"/>
    <w:rsid w:val="00F74115"/>
    <w:rsid w:val="00F74132"/>
    <w:rsid w:val="00F74140"/>
    <w:rsid w:val="00F74144"/>
    <w:rsid w:val="00F741E2"/>
    <w:rsid w:val="00F741F4"/>
    <w:rsid w:val="00F74220"/>
    <w:rsid w:val="00F74244"/>
    <w:rsid w:val="00F74246"/>
    <w:rsid w:val="00F743CC"/>
    <w:rsid w:val="00F743F2"/>
    <w:rsid w:val="00F74409"/>
    <w:rsid w:val="00F74489"/>
    <w:rsid w:val="00F744A6"/>
    <w:rsid w:val="00F74559"/>
    <w:rsid w:val="00F745F0"/>
    <w:rsid w:val="00F74615"/>
    <w:rsid w:val="00F746D2"/>
    <w:rsid w:val="00F74721"/>
    <w:rsid w:val="00F74776"/>
    <w:rsid w:val="00F7481F"/>
    <w:rsid w:val="00F749B8"/>
    <w:rsid w:val="00F749D3"/>
    <w:rsid w:val="00F74A29"/>
    <w:rsid w:val="00F74ADE"/>
    <w:rsid w:val="00F74AE0"/>
    <w:rsid w:val="00F74B21"/>
    <w:rsid w:val="00F74BB9"/>
    <w:rsid w:val="00F74BD2"/>
    <w:rsid w:val="00F74C10"/>
    <w:rsid w:val="00F74C46"/>
    <w:rsid w:val="00F74C4C"/>
    <w:rsid w:val="00F74C75"/>
    <w:rsid w:val="00F74C82"/>
    <w:rsid w:val="00F74C8C"/>
    <w:rsid w:val="00F74CA4"/>
    <w:rsid w:val="00F74D7A"/>
    <w:rsid w:val="00F74DBB"/>
    <w:rsid w:val="00F74EE0"/>
    <w:rsid w:val="00F74F2D"/>
    <w:rsid w:val="00F74F43"/>
    <w:rsid w:val="00F74F97"/>
    <w:rsid w:val="00F74FBD"/>
    <w:rsid w:val="00F75054"/>
    <w:rsid w:val="00F7506C"/>
    <w:rsid w:val="00F75085"/>
    <w:rsid w:val="00F750B5"/>
    <w:rsid w:val="00F750C6"/>
    <w:rsid w:val="00F75132"/>
    <w:rsid w:val="00F7514B"/>
    <w:rsid w:val="00F751B0"/>
    <w:rsid w:val="00F751B6"/>
    <w:rsid w:val="00F75253"/>
    <w:rsid w:val="00F7527C"/>
    <w:rsid w:val="00F7528A"/>
    <w:rsid w:val="00F752A1"/>
    <w:rsid w:val="00F752A6"/>
    <w:rsid w:val="00F752A9"/>
    <w:rsid w:val="00F752E2"/>
    <w:rsid w:val="00F7552F"/>
    <w:rsid w:val="00F75639"/>
    <w:rsid w:val="00F756BB"/>
    <w:rsid w:val="00F756DF"/>
    <w:rsid w:val="00F75705"/>
    <w:rsid w:val="00F75750"/>
    <w:rsid w:val="00F7578B"/>
    <w:rsid w:val="00F757D4"/>
    <w:rsid w:val="00F7588C"/>
    <w:rsid w:val="00F7594D"/>
    <w:rsid w:val="00F7597B"/>
    <w:rsid w:val="00F7598A"/>
    <w:rsid w:val="00F75AB4"/>
    <w:rsid w:val="00F75AF8"/>
    <w:rsid w:val="00F75B48"/>
    <w:rsid w:val="00F75B73"/>
    <w:rsid w:val="00F75B7D"/>
    <w:rsid w:val="00F75B94"/>
    <w:rsid w:val="00F75BE4"/>
    <w:rsid w:val="00F75C45"/>
    <w:rsid w:val="00F75C5E"/>
    <w:rsid w:val="00F75D9A"/>
    <w:rsid w:val="00F75E27"/>
    <w:rsid w:val="00F75E7C"/>
    <w:rsid w:val="00F75EC7"/>
    <w:rsid w:val="00F75ECC"/>
    <w:rsid w:val="00F75F28"/>
    <w:rsid w:val="00F760AA"/>
    <w:rsid w:val="00F760E8"/>
    <w:rsid w:val="00F7612E"/>
    <w:rsid w:val="00F76131"/>
    <w:rsid w:val="00F7615F"/>
    <w:rsid w:val="00F761F3"/>
    <w:rsid w:val="00F7624F"/>
    <w:rsid w:val="00F763B7"/>
    <w:rsid w:val="00F763E3"/>
    <w:rsid w:val="00F76410"/>
    <w:rsid w:val="00F7642D"/>
    <w:rsid w:val="00F764AE"/>
    <w:rsid w:val="00F76535"/>
    <w:rsid w:val="00F765BF"/>
    <w:rsid w:val="00F765CB"/>
    <w:rsid w:val="00F76651"/>
    <w:rsid w:val="00F76693"/>
    <w:rsid w:val="00F76789"/>
    <w:rsid w:val="00F767B9"/>
    <w:rsid w:val="00F7681E"/>
    <w:rsid w:val="00F76851"/>
    <w:rsid w:val="00F768A2"/>
    <w:rsid w:val="00F768B1"/>
    <w:rsid w:val="00F768EE"/>
    <w:rsid w:val="00F76927"/>
    <w:rsid w:val="00F76942"/>
    <w:rsid w:val="00F76A18"/>
    <w:rsid w:val="00F76A3E"/>
    <w:rsid w:val="00F76A52"/>
    <w:rsid w:val="00F76B74"/>
    <w:rsid w:val="00F76B7B"/>
    <w:rsid w:val="00F76CC1"/>
    <w:rsid w:val="00F76CCC"/>
    <w:rsid w:val="00F76D23"/>
    <w:rsid w:val="00F76D39"/>
    <w:rsid w:val="00F76D72"/>
    <w:rsid w:val="00F76D93"/>
    <w:rsid w:val="00F76DFE"/>
    <w:rsid w:val="00F76E01"/>
    <w:rsid w:val="00F76E3B"/>
    <w:rsid w:val="00F76F41"/>
    <w:rsid w:val="00F76FBD"/>
    <w:rsid w:val="00F76FEA"/>
    <w:rsid w:val="00F77086"/>
    <w:rsid w:val="00F7714D"/>
    <w:rsid w:val="00F771BD"/>
    <w:rsid w:val="00F77263"/>
    <w:rsid w:val="00F77297"/>
    <w:rsid w:val="00F77313"/>
    <w:rsid w:val="00F7732F"/>
    <w:rsid w:val="00F773BF"/>
    <w:rsid w:val="00F77425"/>
    <w:rsid w:val="00F774A2"/>
    <w:rsid w:val="00F774EA"/>
    <w:rsid w:val="00F77535"/>
    <w:rsid w:val="00F775BE"/>
    <w:rsid w:val="00F775E1"/>
    <w:rsid w:val="00F77617"/>
    <w:rsid w:val="00F77698"/>
    <w:rsid w:val="00F7772D"/>
    <w:rsid w:val="00F77865"/>
    <w:rsid w:val="00F77866"/>
    <w:rsid w:val="00F77953"/>
    <w:rsid w:val="00F779F9"/>
    <w:rsid w:val="00F77A86"/>
    <w:rsid w:val="00F77B2E"/>
    <w:rsid w:val="00F77B38"/>
    <w:rsid w:val="00F77D3D"/>
    <w:rsid w:val="00F77E23"/>
    <w:rsid w:val="00F77E65"/>
    <w:rsid w:val="00F77ED6"/>
    <w:rsid w:val="00F77EDB"/>
    <w:rsid w:val="00F77F02"/>
    <w:rsid w:val="00F80025"/>
    <w:rsid w:val="00F8005B"/>
    <w:rsid w:val="00F80070"/>
    <w:rsid w:val="00F800F2"/>
    <w:rsid w:val="00F8016D"/>
    <w:rsid w:val="00F8018B"/>
    <w:rsid w:val="00F801B7"/>
    <w:rsid w:val="00F80211"/>
    <w:rsid w:val="00F8022C"/>
    <w:rsid w:val="00F802BD"/>
    <w:rsid w:val="00F802E8"/>
    <w:rsid w:val="00F802FA"/>
    <w:rsid w:val="00F803D9"/>
    <w:rsid w:val="00F80466"/>
    <w:rsid w:val="00F8046A"/>
    <w:rsid w:val="00F8047E"/>
    <w:rsid w:val="00F804BF"/>
    <w:rsid w:val="00F804DB"/>
    <w:rsid w:val="00F80560"/>
    <w:rsid w:val="00F805CD"/>
    <w:rsid w:val="00F805FE"/>
    <w:rsid w:val="00F806E2"/>
    <w:rsid w:val="00F80708"/>
    <w:rsid w:val="00F8070D"/>
    <w:rsid w:val="00F8074B"/>
    <w:rsid w:val="00F80750"/>
    <w:rsid w:val="00F8077E"/>
    <w:rsid w:val="00F807FE"/>
    <w:rsid w:val="00F807FF"/>
    <w:rsid w:val="00F80877"/>
    <w:rsid w:val="00F80A9E"/>
    <w:rsid w:val="00F80ABF"/>
    <w:rsid w:val="00F80B61"/>
    <w:rsid w:val="00F80BAF"/>
    <w:rsid w:val="00F80BE7"/>
    <w:rsid w:val="00F80C80"/>
    <w:rsid w:val="00F80CCA"/>
    <w:rsid w:val="00F80CFB"/>
    <w:rsid w:val="00F80D0E"/>
    <w:rsid w:val="00F80DFB"/>
    <w:rsid w:val="00F80E18"/>
    <w:rsid w:val="00F80E4B"/>
    <w:rsid w:val="00F80E74"/>
    <w:rsid w:val="00F80F9A"/>
    <w:rsid w:val="00F80FAC"/>
    <w:rsid w:val="00F80FBA"/>
    <w:rsid w:val="00F80FD1"/>
    <w:rsid w:val="00F80FD9"/>
    <w:rsid w:val="00F80FDA"/>
    <w:rsid w:val="00F81004"/>
    <w:rsid w:val="00F81068"/>
    <w:rsid w:val="00F810BB"/>
    <w:rsid w:val="00F81158"/>
    <w:rsid w:val="00F81198"/>
    <w:rsid w:val="00F81208"/>
    <w:rsid w:val="00F81245"/>
    <w:rsid w:val="00F81257"/>
    <w:rsid w:val="00F812E8"/>
    <w:rsid w:val="00F81330"/>
    <w:rsid w:val="00F8136F"/>
    <w:rsid w:val="00F81391"/>
    <w:rsid w:val="00F813C1"/>
    <w:rsid w:val="00F81499"/>
    <w:rsid w:val="00F814A2"/>
    <w:rsid w:val="00F814BD"/>
    <w:rsid w:val="00F814DF"/>
    <w:rsid w:val="00F814FC"/>
    <w:rsid w:val="00F81530"/>
    <w:rsid w:val="00F81536"/>
    <w:rsid w:val="00F8154E"/>
    <w:rsid w:val="00F8155F"/>
    <w:rsid w:val="00F815C4"/>
    <w:rsid w:val="00F815D6"/>
    <w:rsid w:val="00F815EC"/>
    <w:rsid w:val="00F8160B"/>
    <w:rsid w:val="00F816F3"/>
    <w:rsid w:val="00F817CA"/>
    <w:rsid w:val="00F817EC"/>
    <w:rsid w:val="00F818A4"/>
    <w:rsid w:val="00F818A6"/>
    <w:rsid w:val="00F818AC"/>
    <w:rsid w:val="00F8191A"/>
    <w:rsid w:val="00F81978"/>
    <w:rsid w:val="00F81995"/>
    <w:rsid w:val="00F819F5"/>
    <w:rsid w:val="00F81A15"/>
    <w:rsid w:val="00F81A1F"/>
    <w:rsid w:val="00F81A8F"/>
    <w:rsid w:val="00F81B44"/>
    <w:rsid w:val="00F81B7C"/>
    <w:rsid w:val="00F81C40"/>
    <w:rsid w:val="00F81C95"/>
    <w:rsid w:val="00F81CCF"/>
    <w:rsid w:val="00F81D41"/>
    <w:rsid w:val="00F81D68"/>
    <w:rsid w:val="00F81D7A"/>
    <w:rsid w:val="00F81D99"/>
    <w:rsid w:val="00F81E39"/>
    <w:rsid w:val="00F81E49"/>
    <w:rsid w:val="00F81E5F"/>
    <w:rsid w:val="00F81EA7"/>
    <w:rsid w:val="00F820F9"/>
    <w:rsid w:val="00F8214C"/>
    <w:rsid w:val="00F821E0"/>
    <w:rsid w:val="00F8220F"/>
    <w:rsid w:val="00F8233C"/>
    <w:rsid w:val="00F82376"/>
    <w:rsid w:val="00F8237C"/>
    <w:rsid w:val="00F823B0"/>
    <w:rsid w:val="00F82412"/>
    <w:rsid w:val="00F8242D"/>
    <w:rsid w:val="00F82457"/>
    <w:rsid w:val="00F82483"/>
    <w:rsid w:val="00F824ED"/>
    <w:rsid w:val="00F824F5"/>
    <w:rsid w:val="00F8258B"/>
    <w:rsid w:val="00F8258E"/>
    <w:rsid w:val="00F82599"/>
    <w:rsid w:val="00F825CC"/>
    <w:rsid w:val="00F82634"/>
    <w:rsid w:val="00F82650"/>
    <w:rsid w:val="00F82663"/>
    <w:rsid w:val="00F82697"/>
    <w:rsid w:val="00F8271D"/>
    <w:rsid w:val="00F82778"/>
    <w:rsid w:val="00F8279A"/>
    <w:rsid w:val="00F82820"/>
    <w:rsid w:val="00F8283A"/>
    <w:rsid w:val="00F82849"/>
    <w:rsid w:val="00F828AB"/>
    <w:rsid w:val="00F829AA"/>
    <w:rsid w:val="00F829FB"/>
    <w:rsid w:val="00F82A6B"/>
    <w:rsid w:val="00F82B39"/>
    <w:rsid w:val="00F82B49"/>
    <w:rsid w:val="00F82B50"/>
    <w:rsid w:val="00F82B6C"/>
    <w:rsid w:val="00F82BAA"/>
    <w:rsid w:val="00F82BC4"/>
    <w:rsid w:val="00F82C2A"/>
    <w:rsid w:val="00F82C44"/>
    <w:rsid w:val="00F82C51"/>
    <w:rsid w:val="00F82CB7"/>
    <w:rsid w:val="00F82CF3"/>
    <w:rsid w:val="00F82E7C"/>
    <w:rsid w:val="00F82EF2"/>
    <w:rsid w:val="00F82F98"/>
    <w:rsid w:val="00F8302B"/>
    <w:rsid w:val="00F83059"/>
    <w:rsid w:val="00F83126"/>
    <w:rsid w:val="00F831D4"/>
    <w:rsid w:val="00F831E3"/>
    <w:rsid w:val="00F83249"/>
    <w:rsid w:val="00F832BC"/>
    <w:rsid w:val="00F83305"/>
    <w:rsid w:val="00F83377"/>
    <w:rsid w:val="00F83378"/>
    <w:rsid w:val="00F83455"/>
    <w:rsid w:val="00F834BF"/>
    <w:rsid w:val="00F8352A"/>
    <w:rsid w:val="00F835A8"/>
    <w:rsid w:val="00F83610"/>
    <w:rsid w:val="00F8369B"/>
    <w:rsid w:val="00F8369E"/>
    <w:rsid w:val="00F836AA"/>
    <w:rsid w:val="00F83713"/>
    <w:rsid w:val="00F83760"/>
    <w:rsid w:val="00F837C4"/>
    <w:rsid w:val="00F837E4"/>
    <w:rsid w:val="00F83944"/>
    <w:rsid w:val="00F83A83"/>
    <w:rsid w:val="00F83AA0"/>
    <w:rsid w:val="00F83AA6"/>
    <w:rsid w:val="00F83B2F"/>
    <w:rsid w:val="00F83BB4"/>
    <w:rsid w:val="00F83BBA"/>
    <w:rsid w:val="00F83BC4"/>
    <w:rsid w:val="00F83BEF"/>
    <w:rsid w:val="00F83CA3"/>
    <w:rsid w:val="00F83CDE"/>
    <w:rsid w:val="00F83D01"/>
    <w:rsid w:val="00F83D22"/>
    <w:rsid w:val="00F83D41"/>
    <w:rsid w:val="00F83DEC"/>
    <w:rsid w:val="00F83E0B"/>
    <w:rsid w:val="00F83E87"/>
    <w:rsid w:val="00F83EF3"/>
    <w:rsid w:val="00F83F00"/>
    <w:rsid w:val="00F83F32"/>
    <w:rsid w:val="00F83FC9"/>
    <w:rsid w:val="00F8400D"/>
    <w:rsid w:val="00F84030"/>
    <w:rsid w:val="00F8405C"/>
    <w:rsid w:val="00F84097"/>
    <w:rsid w:val="00F8409A"/>
    <w:rsid w:val="00F840F1"/>
    <w:rsid w:val="00F8421A"/>
    <w:rsid w:val="00F84223"/>
    <w:rsid w:val="00F842B4"/>
    <w:rsid w:val="00F842B9"/>
    <w:rsid w:val="00F84389"/>
    <w:rsid w:val="00F843AC"/>
    <w:rsid w:val="00F843F0"/>
    <w:rsid w:val="00F84436"/>
    <w:rsid w:val="00F84454"/>
    <w:rsid w:val="00F844ED"/>
    <w:rsid w:val="00F84514"/>
    <w:rsid w:val="00F84563"/>
    <w:rsid w:val="00F8470E"/>
    <w:rsid w:val="00F84715"/>
    <w:rsid w:val="00F84717"/>
    <w:rsid w:val="00F84786"/>
    <w:rsid w:val="00F847E4"/>
    <w:rsid w:val="00F847FD"/>
    <w:rsid w:val="00F84886"/>
    <w:rsid w:val="00F848FD"/>
    <w:rsid w:val="00F8490D"/>
    <w:rsid w:val="00F8499F"/>
    <w:rsid w:val="00F84A5A"/>
    <w:rsid w:val="00F84A61"/>
    <w:rsid w:val="00F84A81"/>
    <w:rsid w:val="00F84AB9"/>
    <w:rsid w:val="00F84AC1"/>
    <w:rsid w:val="00F84AD3"/>
    <w:rsid w:val="00F84B44"/>
    <w:rsid w:val="00F84B8F"/>
    <w:rsid w:val="00F84B94"/>
    <w:rsid w:val="00F84BC7"/>
    <w:rsid w:val="00F84BDB"/>
    <w:rsid w:val="00F84BDD"/>
    <w:rsid w:val="00F84BEA"/>
    <w:rsid w:val="00F84BFA"/>
    <w:rsid w:val="00F84C63"/>
    <w:rsid w:val="00F84C9F"/>
    <w:rsid w:val="00F84D7B"/>
    <w:rsid w:val="00F84DC3"/>
    <w:rsid w:val="00F84DF3"/>
    <w:rsid w:val="00F84E36"/>
    <w:rsid w:val="00F84E43"/>
    <w:rsid w:val="00F84EDC"/>
    <w:rsid w:val="00F84F6E"/>
    <w:rsid w:val="00F84F9A"/>
    <w:rsid w:val="00F84F9B"/>
    <w:rsid w:val="00F84FA7"/>
    <w:rsid w:val="00F84FAE"/>
    <w:rsid w:val="00F8509B"/>
    <w:rsid w:val="00F8522C"/>
    <w:rsid w:val="00F8523C"/>
    <w:rsid w:val="00F85261"/>
    <w:rsid w:val="00F853B7"/>
    <w:rsid w:val="00F85485"/>
    <w:rsid w:val="00F854CB"/>
    <w:rsid w:val="00F85670"/>
    <w:rsid w:val="00F8569A"/>
    <w:rsid w:val="00F856B2"/>
    <w:rsid w:val="00F856F5"/>
    <w:rsid w:val="00F85758"/>
    <w:rsid w:val="00F8578E"/>
    <w:rsid w:val="00F857B6"/>
    <w:rsid w:val="00F857BB"/>
    <w:rsid w:val="00F857BF"/>
    <w:rsid w:val="00F857EF"/>
    <w:rsid w:val="00F85843"/>
    <w:rsid w:val="00F8585E"/>
    <w:rsid w:val="00F85895"/>
    <w:rsid w:val="00F85899"/>
    <w:rsid w:val="00F85923"/>
    <w:rsid w:val="00F8592A"/>
    <w:rsid w:val="00F8592B"/>
    <w:rsid w:val="00F8594D"/>
    <w:rsid w:val="00F859CE"/>
    <w:rsid w:val="00F85A02"/>
    <w:rsid w:val="00F85A6E"/>
    <w:rsid w:val="00F85AAF"/>
    <w:rsid w:val="00F85B62"/>
    <w:rsid w:val="00F85BD9"/>
    <w:rsid w:val="00F85CF8"/>
    <w:rsid w:val="00F85D1E"/>
    <w:rsid w:val="00F85D58"/>
    <w:rsid w:val="00F85D78"/>
    <w:rsid w:val="00F85DA8"/>
    <w:rsid w:val="00F85DAC"/>
    <w:rsid w:val="00F85EF6"/>
    <w:rsid w:val="00F85F9A"/>
    <w:rsid w:val="00F85FC1"/>
    <w:rsid w:val="00F8604A"/>
    <w:rsid w:val="00F86092"/>
    <w:rsid w:val="00F8616E"/>
    <w:rsid w:val="00F861E0"/>
    <w:rsid w:val="00F861FC"/>
    <w:rsid w:val="00F8630D"/>
    <w:rsid w:val="00F863F8"/>
    <w:rsid w:val="00F86426"/>
    <w:rsid w:val="00F86536"/>
    <w:rsid w:val="00F8654C"/>
    <w:rsid w:val="00F865EF"/>
    <w:rsid w:val="00F86630"/>
    <w:rsid w:val="00F8666B"/>
    <w:rsid w:val="00F8669D"/>
    <w:rsid w:val="00F866F6"/>
    <w:rsid w:val="00F86777"/>
    <w:rsid w:val="00F867A3"/>
    <w:rsid w:val="00F86804"/>
    <w:rsid w:val="00F8682B"/>
    <w:rsid w:val="00F8684E"/>
    <w:rsid w:val="00F8685D"/>
    <w:rsid w:val="00F86882"/>
    <w:rsid w:val="00F868AF"/>
    <w:rsid w:val="00F86ABD"/>
    <w:rsid w:val="00F86B51"/>
    <w:rsid w:val="00F86B5A"/>
    <w:rsid w:val="00F86B6E"/>
    <w:rsid w:val="00F86BA6"/>
    <w:rsid w:val="00F86BC7"/>
    <w:rsid w:val="00F86C77"/>
    <w:rsid w:val="00F86C92"/>
    <w:rsid w:val="00F86D1E"/>
    <w:rsid w:val="00F86D27"/>
    <w:rsid w:val="00F86E2D"/>
    <w:rsid w:val="00F86E94"/>
    <w:rsid w:val="00F86EAD"/>
    <w:rsid w:val="00F86ED3"/>
    <w:rsid w:val="00F86F6E"/>
    <w:rsid w:val="00F86F71"/>
    <w:rsid w:val="00F86FC6"/>
    <w:rsid w:val="00F86FD4"/>
    <w:rsid w:val="00F87023"/>
    <w:rsid w:val="00F87028"/>
    <w:rsid w:val="00F87036"/>
    <w:rsid w:val="00F870BB"/>
    <w:rsid w:val="00F870D1"/>
    <w:rsid w:val="00F87188"/>
    <w:rsid w:val="00F871AF"/>
    <w:rsid w:val="00F871E3"/>
    <w:rsid w:val="00F871F0"/>
    <w:rsid w:val="00F871F4"/>
    <w:rsid w:val="00F872D1"/>
    <w:rsid w:val="00F87305"/>
    <w:rsid w:val="00F8735E"/>
    <w:rsid w:val="00F8737B"/>
    <w:rsid w:val="00F873E4"/>
    <w:rsid w:val="00F873EA"/>
    <w:rsid w:val="00F87499"/>
    <w:rsid w:val="00F874A8"/>
    <w:rsid w:val="00F874C1"/>
    <w:rsid w:val="00F874CB"/>
    <w:rsid w:val="00F874FD"/>
    <w:rsid w:val="00F87524"/>
    <w:rsid w:val="00F87532"/>
    <w:rsid w:val="00F8755A"/>
    <w:rsid w:val="00F875C5"/>
    <w:rsid w:val="00F87628"/>
    <w:rsid w:val="00F8764E"/>
    <w:rsid w:val="00F87679"/>
    <w:rsid w:val="00F87692"/>
    <w:rsid w:val="00F87709"/>
    <w:rsid w:val="00F8774F"/>
    <w:rsid w:val="00F877E8"/>
    <w:rsid w:val="00F877FC"/>
    <w:rsid w:val="00F87801"/>
    <w:rsid w:val="00F87814"/>
    <w:rsid w:val="00F8791F"/>
    <w:rsid w:val="00F879BB"/>
    <w:rsid w:val="00F879C6"/>
    <w:rsid w:val="00F87A5B"/>
    <w:rsid w:val="00F87AD1"/>
    <w:rsid w:val="00F87B8F"/>
    <w:rsid w:val="00F87BBC"/>
    <w:rsid w:val="00F87C40"/>
    <w:rsid w:val="00F87CE5"/>
    <w:rsid w:val="00F87D07"/>
    <w:rsid w:val="00F87D14"/>
    <w:rsid w:val="00F87D6C"/>
    <w:rsid w:val="00F87D9F"/>
    <w:rsid w:val="00F87F04"/>
    <w:rsid w:val="00F87F1E"/>
    <w:rsid w:val="00F87F36"/>
    <w:rsid w:val="00F87F8A"/>
    <w:rsid w:val="00F90092"/>
    <w:rsid w:val="00F900AD"/>
    <w:rsid w:val="00F900CF"/>
    <w:rsid w:val="00F900E5"/>
    <w:rsid w:val="00F90119"/>
    <w:rsid w:val="00F9014D"/>
    <w:rsid w:val="00F9028A"/>
    <w:rsid w:val="00F902D0"/>
    <w:rsid w:val="00F902DB"/>
    <w:rsid w:val="00F902DE"/>
    <w:rsid w:val="00F90355"/>
    <w:rsid w:val="00F90454"/>
    <w:rsid w:val="00F9050C"/>
    <w:rsid w:val="00F9052C"/>
    <w:rsid w:val="00F90538"/>
    <w:rsid w:val="00F90561"/>
    <w:rsid w:val="00F9057B"/>
    <w:rsid w:val="00F9065C"/>
    <w:rsid w:val="00F9066A"/>
    <w:rsid w:val="00F906A5"/>
    <w:rsid w:val="00F906C4"/>
    <w:rsid w:val="00F906E3"/>
    <w:rsid w:val="00F906F3"/>
    <w:rsid w:val="00F90779"/>
    <w:rsid w:val="00F90781"/>
    <w:rsid w:val="00F90799"/>
    <w:rsid w:val="00F907A4"/>
    <w:rsid w:val="00F908DB"/>
    <w:rsid w:val="00F9091F"/>
    <w:rsid w:val="00F9094E"/>
    <w:rsid w:val="00F90958"/>
    <w:rsid w:val="00F90993"/>
    <w:rsid w:val="00F909FD"/>
    <w:rsid w:val="00F90A10"/>
    <w:rsid w:val="00F90AA5"/>
    <w:rsid w:val="00F90AC3"/>
    <w:rsid w:val="00F90BD9"/>
    <w:rsid w:val="00F90C14"/>
    <w:rsid w:val="00F90C22"/>
    <w:rsid w:val="00F90CBD"/>
    <w:rsid w:val="00F90CF4"/>
    <w:rsid w:val="00F90D1F"/>
    <w:rsid w:val="00F90D41"/>
    <w:rsid w:val="00F90E47"/>
    <w:rsid w:val="00F90E6D"/>
    <w:rsid w:val="00F90F06"/>
    <w:rsid w:val="00F90F2C"/>
    <w:rsid w:val="00F90F39"/>
    <w:rsid w:val="00F90FE8"/>
    <w:rsid w:val="00F91026"/>
    <w:rsid w:val="00F910EA"/>
    <w:rsid w:val="00F9112F"/>
    <w:rsid w:val="00F911D0"/>
    <w:rsid w:val="00F9123C"/>
    <w:rsid w:val="00F91252"/>
    <w:rsid w:val="00F91278"/>
    <w:rsid w:val="00F9127C"/>
    <w:rsid w:val="00F91314"/>
    <w:rsid w:val="00F9143E"/>
    <w:rsid w:val="00F9144C"/>
    <w:rsid w:val="00F91453"/>
    <w:rsid w:val="00F914D4"/>
    <w:rsid w:val="00F9150E"/>
    <w:rsid w:val="00F915EE"/>
    <w:rsid w:val="00F916DA"/>
    <w:rsid w:val="00F9172E"/>
    <w:rsid w:val="00F91748"/>
    <w:rsid w:val="00F9179B"/>
    <w:rsid w:val="00F91881"/>
    <w:rsid w:val="00F918B9"/>
    <w:rsid w:val="00F9198C"/>
    <w:rsid w:val="00F919D3"/>
    <w:rsid w:val="00F91A6C"/>
    <w:rsid w:val="00F91A89"/>
    <w:rsid w:val="00F91AB1"/>
    <w:rsid w:val="00F91AD4"/>
    <w:rsid w:val="00F91AE0"/>
    <w:rsid w:val="00F91AEF"/>
    <w:rsid w:val="00F91B0D"/>
    <w:rsid w:val="00F91B18"/>
    <w:rsid w:val="00F91BD0"/>
    <w:rsid w:val="00F91BDC"/>
    <w:rsid w:val="00F91D13"/>
    <w:rsid w:val="00F91D21"/>
    <w:rsid w:val="00F91D6C"/>
    <w:rsid w:val="00F91D7E"/>
    <w:rsid w:val="00F91D81"/>
    <w:rsid w:val="00F91DC2"/>
    <w:rsid w:val="00F91EC7"/>
    <w:rsid w:val="00F91FAC"/>
    <w:rsid w:val="00F91FD2"/>
    <w:rsid w:val="00F92006"/>
    <w:rsid w:val="00F9203A"/>
    <w:rsid w:val="00F921DA"/>
    <w:rsid w:val="00F921E0"/>
    <w:rsid w:val="00F92222"/>
    <w:rsid w:val="00F92359"/>
    <w:rsid w:val="00F9237D"/>
    <w:rsid w:val="00F923EE"/>
    <w:rsid w:val="00F923F0"/>
    <w:rsid w:val="00F9242F"/>
    <w:rsid w:val="00F9248A"/>
    <w:rsid w:val="00F92508"/>
    <w:rsid w:val="00F92522"/>
    <w:rsid w:val="00F92619"/>
    <w:rsid w:val="00F92685"/>
    <w:rsid w:val="00F9272A"/>
    <w:rsid w:val="00F92764"/>
    <w:rsid w:val="00F9276B"/>
    <w:rsid w:val="00F927A6"/>
    <w:rsid w:val="00F927FB"/>
    <w:rsid w:val="00F92803"/>
    <w:rsid w:val="00F9284B"/>
    <w:rsid w:val="00F92854"/>
    <w:rsid w:val="00F92893"/>
    <w:rsid w:val="00F9292F"/>
    <w:rsid w:val="00F92935"/>
    <w:rsid w:val="00F92A54"/>
    <w:rsid w:val="00F92AD7"/>
    <w:rsid w:val="00F92B25"/>
    <w:rsid w:val="00F92B37"/>
    <w:rsid w:val="00F92BB0"/>
    <w:rsid w:val="00F92C47"/>
    <w:rsid w:val="00F92C51"/>
    <w:rsid w:val="00F92C99"/>
    <w:rsid w:val="00F92CA7"/>
    <w:rsid w:val="00F92D2B"/>
    <w:rsid w:val="00F92F48"/>
    <w:rsid w:val="00F92F57"/>
    <w:rsid w:val="00F92F5B"/>
    <w:rsid w:val="00F92FC8"/>
    <w:rsid w:val="00F9306B"/>
    <w:rsid w:val="00F9306D"/>
    <w:rsid w:val="00F9307E"/>
    <w:rsid w:val="00F93084"/>
    <w:rsid w:val="00F93092"/>
    <w:rsid w:val="00F93185"/>
    <w:rsid w:val="00F93221"/>
    <w:rsid w:val="00F93281"/>
    <w:rsid w:val="00F932BC"/>
    <w:rsid w:val="00F93332"/>
    <w:rsid w:val="00F93485"/>
    <w:rsid w:val="00F934E4"/>
    <w:rsid w:val="00F9356B"/>
    <w:rsid w:val="00F935D3"/>
    <w:rsid w:val="00F93612"/>
    <w:rsid w:val="00F93619"/>
    <w:rsid w:val="00F936A3"/>
    <w:rsid w:val="00F936D8"/>
    <w:rsid w:val="00F936E7"/>
    <w:rsid w:val="00F9371B"/>
    <w:rsid w:val="00F93724"/>
    <w:rsid w:val="00F93785"/>
    <w:rsid w:val="00F937D3"/>
    <w:rsid w:val="00F937EB"/>
    <w:rsid w:val="00F938ED"/>
    <w:rsid w:val="00F938F8"/>
    <w:rsid w:val="00F9390A"/>
    <w:rsid w:val="00F9395F"/>
    <w:rsid w:val="00F93962"/>
    <w:rsid w:val="00F93978"/>
    <w:rsid w:val="00F939B1"/>
    <w:rsid w:val="00F939D5"/>
    <w:rsid w:val="00F93AE7"/>
    <w:rsid w:val="00F93B55"/>
    <w:rsid w:val="00F93C3E"/>
    <w:rsid w:val="00F93C74"/>
    <w:rsid w:val="00F93CAF"/>
    <w:rsid w:val="00F93CCE"/>
    <w:rsid w:val="00F93D41"/>
    <w:rsid w:val="00F93DAA"/>
    <w:rsid w:val="00F93E0C"/>
    <w:rsid w:val="00F93E71"/>
    <w:rsid w:val="00F94031"/>
    <w:rsid w:val="00F9407D"/>
    <w:rsid w:val="00F940B4"/>
    <w:rsid w:val="00F940E3"/>
    <w:rsid w:val="00F94184"/>
    <w:rsid w:val="00F941C5"/>
    <w:rsid w:val="00F941CB"/>
    <w:rsid w:val="00F941D9"/>
    <w:rsid w:val="00F941FF"/>
    <w:rsid w:val="00F9449A"/>
    <w:rsid w:val="00F944B4"/>
    <w:rsid w:val="00F944F9"/>
    <w:rsid w:val="00F9457F"/>
    <w:rsid w:val="00F9464D"/>
    <w:rsid w:val="00F946B9"/>
    <w:rsid w:val="00F947A3"/>
    <w:rsid w:val="00F947B1"/>
    <w:rsid w:val="00F947D1"/>
    <w:rsid w:val="00F9480A"/>
    <w:rsid w:val="00F94811"/>
    <w:rsid w:val="00F9481D"/>
    <w:rsid w:val="00F9483A"/>
    <w:rsid w:val="00F94861"/>
    <w:rsid w:val="00F9492C"/>
    <w:rsid w:val="00F9496C"/>
    <w:rsid w:val="00F949BD"/>
    <w:rsid w:val="00F94A33"/>
    <w:rsid w:val="00F94A67"/>
    <w:rsid w:val="00F94B10"/>
    <w:rsid w:val="00F94B5C"/>
    <w:rsid w:val="00F94C0C"/>
    <w:rsid w:val="00F94C19"/>
    <w:rsid w:val="00F94D25"/>
    <w:rsid w:val="00F94D33"/>
    <w:rsid w:val="00F94D47"/>
    <w:rsid w:val="00F94D65"/>
    <w:rsid w:val="00F94E46"/>
    <w:rsid w:val="00F94E73"/>
    <w:rsid w:val="00F94EC3"/>
    <w:rsid w:val="00F94F34"/>
    <w:rsid w:val="00F94FCB"/>
    <w:rsid w:val="00F95083"/>
    <w:rsid w:val="00F950C9"/>
    <w:rsid w:val="00F951A2"/>
    <w:rsid w:val="00F95288"/>
    <w:rsid w:val="00F95299"/>
    <w:rsid w:val="00F952AE"/>
    <w:rsid w:val="00F953E4"/>
    <w:rsid w:val="00F95421"/>
    <w:rsid w:val="00F95444"/>
    <w:rsid w:val="00F954B5"/>
    <w:rsid w:val="00F95506"/>
    <w:rsid w:val="00F95551"/>
    <w:rsid w:val="00F95587"/>
    <w:rsid w:val="00F955B1"/>
    <w:rsid w:val="00F956BE"/>
    <w:rsid w:val="00F956E2"/>
    <w:rsid w:val="00F9578C"/>
    <w:rsid w:val="00F957B6"/>
    <w:rsid w:val="00F957DF"/>
    <w:rsid w:val="00F957F0"/>
    <w:rsid w:val="00F958E6"/>
    <w:rsid w:val="00F959CF"/>
    <w:rsid w:val="00F959E6"/>
    <w:rsid w:val="00F95A30"/>
    <w:rsid w:val="00F95A53"/>
    <w:rsid w:val="00F95A69"/>
    <w:rsid w:val="00F95AAD"/>
    <w:rsid w:val="00F95AD5"/>
    <w:rsid w:val="00F95AF0"/>
    <w:rsid w:val="00F95C80"/>
    <w:rsid w:val="00F95D74"/>
    <w:rsid w:val="00F95D7B"/>
    <w:rsid w:val="00F95D95"/>
    <w:rsid w:val="00F95E1C"/>
    <w:rsid w:val="00F95E3C"/>
    <w:rsid w:val="00F95E45"/>
    <w:rsid w:val="00F95E4C"/>
    <w:rsid w:val="00F95EB0"/>
    <w:rsid w:val="00F95F0A"/>
    <w:rsid w:val="00F95F2F"/>
    <w:rsid w:val="00F95FCE"/>
    <w:rsid w:val="00F960B8"/>
    <w:rsid w:val="00F96178"/>
    <w:rsid w:val="00F96336"/>
    <w:rsid w:val="00F9653F"/>
    <w:rsid w:val="00F9655B"/>
    <w:rsid w:val="00F965A0"/>
    <w:rsid w:val="00F9660F"/>
    <w:rsid w:val="00F96610"/>
    <w:rsid w:val="00F96617"/>
    <w:rsid w:val="00F966F1"/>
    <w:rsid w:val="00F9670D"/>
    <w:rsid w:val="00F9671F"/>
    <w:rsid w:val="00F9678C"/>
    <w:rsid w:val="00F967B1"/>
    <w:rsid w:val="00F967B7"/>
    <w:rsid w:val="00F96812"/>
    <w:rsid w:val="00F96857"/>
    <w:rsid w:val="00F96898"/>
    <w:rsid w:val="00F968E9"/>
    <w:rsid w:val="00F968F7"/>
    <w:rsid w:val="00F96954"/>
    <w:rsid w:val="00F9697F"/>
    <w:rsid w:val="00F969B8"/>
    <w:rsid w:val="00F969FD"/>
    <w:rsid w:val="00F96A18"/>
    <w:rsid w:val="00F96A26"/>
    <w:rsid w:val="00F96A6D"/>
    <w:rsid w:val="00F96A88"/>
    <w:rsid w:val="00F96B39"/>
    <w:rsid w:val="00F96B67"/>
    <w:rsid w:val="00F96B93"/>
    <w:rsid w:val="00F96BDC"/>
    <w:rsid w:val="00F96BF9"/>
    <w:rsid w:val="00F96C47"/>
    <w:rsid w:val="00F96C55"/>
    <w:rsid w:val="00F96CBA"/>
    <w:rsid w:val="00F96CF8"/>
    <w:rsid w:val="00F96D76"/>
    <w:rsid w:val="00F96DA1"/>
    <w:rsid w:val="00F96DB1"/>
    <w:rsid w:val="00F96E79"/>
    <w:rsid w:val="00F96FAA"/>
    <w:rsid w:val="00F96FBB"/>
    <w:rsid w:val="00F96FF3"/>
    <w:rsid w:val="00F96FFD"/>
    <w:rsid w:val="00F9705D"/>
    <w:rsid w:val="00F97064"/>
    <w:rsid w:val="00F9706C"/>
    <w:rsid w:val="00F97092"/>
    <w:rsid w:val="00F970CF"/>
    <w:rsid w:val="00F97102"/>
    <w:rsid w:val="00F9712D"/>
    <w:rsid w:val="00F9718A"/>
    <w:rsid w:val="00F971D0"/>
    <w:rsid w:val="00F971F5"/>
    <w:rsid w:val="00F972B1"/>
    <w:rsid w:val="00F9732A"/>
    <w:rsid w:val="00F97334"/>
    <w:rsid w:val="00F9741C"/>
    <w:rsid w:val="00F97481"/>
    <w:rsid w:val="00F974F6"/>
    <w:rsid w:val="00F974FE"/>
    <w:rsid w:val="00F97509"/>
    <w:rsid w:val="00F97512"/>
    <w:rsid w:val="00F9758E"/>
    <w:rsid w:val="00F97591"/>
    <w:rsid w:val="00F975C9"/>
    <w:rsid w:val="00F97670"/>
    <w:rsid w:val="00F976EB"/>
    <w:rsid w:val="00F97735"/>
    <w:rsid w:val="00F9776E"/>
    <w:rsid w:val="00F977AD"/>
    <w:rsid w:val="00F97841"/>
    <w:rsid w:val="00F9785B"/>
    <w:rsid w:val="00F97874"/>
    <w:rsid w:val="00F97A1E"/>
    <w:rsid w:val="00F97B14"/>
    <w:rsid w:val="00F97B81"/>
    <w:rsid w:val="00F97C46"/>
    <w:rsid w:val="00F97C76"/>
    <w:rsid w:val="00F97CA7"/>
    <w:rsid w:val="00F97CB3"/>
    <w:rsid w:val="00F97CD5"/>
    <w:rsid w:val="00F97CE8"/>
    <w:rsid w:val="00F97D17"/>
    <w:rsid w:val="00F97D32"/>
    <w:rsid w:val="00F97D91"/>
    <w:rsid w:val="00F97DE8"/>
    <w:rsid w:val="00F97E9D"/>
    <w:rsid w:val="00F97F48"/>
    <w:rsid w:val="00F97F5A"/>
    <w:rsid w:val="00F97FB2"/>
    <w:rsid w:val="00F97FEE"/>
    <w:rsid w:val="00FA000B"/>
    <w:rsid w:val="00FA0134"/>
    <w:rsid w:val="00FA0188"/>
    <w:rsid w:val="00FA01CC"/>
    <w:rsid w:val="00FA01D9"/>
    <w:rsid w:val="00FA020A"/>
    <w:rsid w:val="00FA02F9"/>
    <w:rsid w:val="00FA034E"/>
    <w:rsid w:val="00FA0493"/>
    <w:rsid w:val="00FA04EB"/>
    <w:rsid w:val="00FA0569"/>
    <w:rsid w:val="00FA0586"/>
    <w:rsid w:val="00FA0737"/>
    <w:rsid w:val="00FA0797"/>
    <w:rsid w:val="00FA07D0"/>
    <w:rsid w:val="00FA0829"/>
    <w:rsid w:val="00FA0870"/>
    <w:rsid w:val="00FA08A3"/>
    <w:rsid w:val="00FA090B"/>
    <w:rsid w:val="00FA0934"/>
    <w:rsid w:val="00FA095B"/>
    <w:rsid w:val="00FA09AE"/>
    <w:rsid w:val="00FA09D9"/>
    <w:rsid w:val="00FA09F9"/>
    <w:rsid w:val="00FA0A30"/>
    <w:rsid w:val="00FA0A70"/>
    <w:rsid w:val="00FA0ABF"/>
    <w:rsid w:val="00FA0AF3"/>
    <w:rsid w:val="00FA0B0D"/>
    <w:rsid w:val="00FA0B61"/>
    <w:rsid w:val="00FA0B72"/>
    <w:rsid w:val="00FA0B8C"/>
    <w:rsid w:val="00FA0BCD"/>
    <w:rsid w:val="00FA0C12"/>
    <w:rsid w:val="00FA0C16"/>
    <w:rsid w:val="00FA0CA5"/>
    <w:rsid w:val="00FA0CC5"/>
    <w:rsid w:val="00FA0D12"/>
    <w:rsid w:val="00FA0D62"/>
    <w:rsid w:val="00FA0DAB"/>
    <w:rsid w:val="00FA0E18"/>
    <w:rsid w:val="00FA0EC3"/>
    <w:rsid w:val="00FA0EDD"/>
    <w:rsid w:val="00FA0F5B"/>
    <w:rsid w:val="00FA1005"/>
    <w:rsid w:val="00FA1014"/>
    <w:rsid w:val="00FA1016"/>
    <w:rsid w:val="00FA1078"/>
    <w:rsid w:val="00FA10A1"/>
    <w:rsid w:val="00FA10B6"/>
    <w:rsid w:val="00FA112C"/>
    <w:rsid w:val="00FA1146"/>
    <w:rsid w:val="00FA1167"/>
    <w:rsid w:val="00FA120A"/>
    <w:rsid w:val="00FA1211"/>
    <w:rsid w:val="00FA125A"/>
    <w:rsid w:val="00FA12E3"/>
    <w:rsid w:val="00FA12ED"/>
    <w:rsid w:val="00FA131C"/>
    <w:rsid w:val="00FA1332"/>
    <w:rsid w:val="00FA136A"/>
    <w:rsid w:val="00FA13F0"/>
    <w:rsid w:val="00FA1489"/>
    <w:rsid w:val="00FA14B5"/>
    <w:rsid w:val="00FA14EA"/>
    <w:rsid w:val="00FA14F3"/>
    <w:rsid w:val="00FA154D"/>
    <w:rsid w:val="00FA15FD"/>
    <w:rsid w:val="00FA163D"/>
    <w:rsid w:val="00FA1668"/>
    <w:rsid w:val="00FA1691"/>
    <w:rsid w:val="00FA169D"/>
    <w:rsid w:val="00FA170D"/>
    <w:rsid w:val="00FA17A3"/>
    <w:rsid w:val="00FA17DD"/>
    <w:rsid w:val="00FA180C"/>
    <w:rsid w:val="00FA1824"/>
    <w:rsid w:val="00FA1829"/>
    <w:rsid w:val="00FA1862"/>
    <w:rsid w:val="00FA18FC"/>
    <w:rsid w:val="00FA194A"/>
    <w:rsid w:val="00FA199E"/>
    <w:rsid w:val="00FA1A7B"/>
    <w:rsid w:val="00FA1A82"/>
    <w:rsid w:val="00FA1A93"/>
    <w:rsid w:val="00FA1AC3"/>
    <w:rsid w:val="00FA1B8B"/>
    <w:rsid w:val="00FA1C6C"/>
    <w:rsid w:val="00FA1CEA"/>
    <w:rsid w:val="00FA1DBF"/>
    <w:rsid w:val="00FA1DDF"/>
    <w:rsid w:val="00FA1FCE"/>
    <w:rsid w:val="00FA2001"/>
    <w:rsid w:val="00FA2026"/>
    <w:rsid w:val="00FA2031"/>
    <w:rsid w:val="00FA20A7"/>
    <w:rsid w:val="00FA20B4"/>
    <w:rsid w:val="00FA210F"/>
    <w:rsid w:val="00FA213C"/>
    <w:rsid w:val="00FA2167"/>
    <w:rsid w:val="00FA229D"/>
    <w:rsid w:val="00FA22B5"/>
    <w:rsid w:val="00FA22C2"/>
    <w:rsid w:val="00FA23D8"/>
    <w:rsid w:val="00FA2420"/>
    <w:rsid w:val="00FA2507"/>
    <w:rsid w:val="00FA251B"/>
    <w:rsid w:val="00FA2525"/>
    <w:rsid w:val="00FA255D"/>
    <w:rsid w:val="00FA2592"/>
    <w:rsid w:val="00FA2661"/>
    <w:rsid w:val="00FA26B9"/>
    <w:rsid w:val="00FA2729"/>
    <w:rsid w:val="00FA2772"/>
    <w:rsid w:val="00FA2812"/>
    <w:rsid w:val="00FA2837"/>
    <w:rsid w:val="00FA285E"/>
    <w:rsid w:val="00FA28CF"/>
    <w:rsid w:val="00FA28E8"/>
    <w:rsid w:val="00FA29A9"/>
    <w:rsid w:val="00FA2A3E"/>
    <w:rsid w:val="00FA2A8F"/>
    <w:rsid w:val="00FA2ABD"/>
    <w:rsid w:val="00FA2CDF"/>
    <w:rsid w:val="00FA2CEB"/>
    <w:rsid w:val="00FA2CFE"/>
    <w:rsid w:val="00FA2D5F"/>
    <w:rsid w:val="00FA2D90"/>
    <w:rsid w:val="00FA2D9B"/>
    <w:rsid w:val="00FA2E1C"/>
    <w:rsid w:val="00FA2EB8"/>
    <w:rsid w:val="00FA3021"/>
    <w:rsid w:val="00FA3069"/>
    <w:rsid w:val="00FA307E"/>
    <w:rsid w:val="00FA3085"/>
    <w:rsid w:val="00FA30C6"/>
    <w:rsid w:val="00FA310F"/>
    <w:rsid w:val="00FA31A9"/>
    <w:rsid w:val="00FA3286"/>
    <w:rsid w:val="00FA3376"/>
    <w:rsid w:val="00FA33C9"/>
    <w:rsid w:val="00FA3544"/>
    <w:rsid w:val="00FA35E8"/>
    <w:rsid w:val="00FA3627"/>
    <w:rsid w:val="00FA3646"/>
    <w:rsid w:val="00FA366B"/>
    <w:rsid w:val="00FA3688"/>
    <w:rsid w:val="00FA36F1"/>
    <w:rsid w:val="00FA3797"/>
    <w:rsid w:val="00FA37A7"/>
    <w:rsid w:val="00FA384E"/>
    <w:rsid w:val="00FA3861"/>
    <w:rsid w:val="00FA394C"/>
    <w:rsid w:val="00FA394F"/>
    <w:rsid w:val="00FA39D5"/>
    <w:rsid w:val="00FA3A43"/>
    <w:rsid w:val="00FA3AA9"/>
    <w:rsid w:val="00FA3AE7"/>
    <w:rsid w:val="00FA3B31"/>
    <w:rsid w:val="00FA3BC1"/>
    <w:rsid w:val="00FA3BC6"/>
    <w:rsid w:val="00FA3C36"/>
    <w:rsid w:val="00FA3C66"/>
    <w:rsid w:val="00FA3D10"/>
    <w:rsid w:val="00FA3D55"/>
    <w:rsid w:val="00FA3D90"/>
    <w:rsid w:val="00FA3DDC"/>
    <w:rsid w:val="00FA3EA5"/>
    <w:rsid w:val="00FA3ED4"/>
    <w:rsid w:val="00FA3F08"/>
    <w:rsid w:val="00FA3F5A"/>
    <w:rsid w:val="00FA3F81"/>
    <w:rsid w:val="00FA3FA6"/>
    <w:rsid w:val="00FA40BB"/>
    <w:rsid w:val="00FA415C"/>
    <w:rsid w:val="00FA41CC"/>
    <w:rsid w:val="00FA41FF"/>
    <w:rsid w:val="00FA4302"/>
    <w:rsid w:val="00FA435B"/>
    <w:rsid w:val="00FA447B"/>
    <w:rsid w:val="00FA44B3"/>
    <w:rsid w:val="00FA44C5"/>
    <w:rsid w:val="00FA44D8"/>
    <w:rsid w:val="00FA44E7"/>
    <w:rsid w:val="00FA44E9"/>
    <w:rsid w:val="00FA45AA"/>
    <w:rsid w:val="00FA45F7"/>
    <w:rsid w:val="00FA45FE"/>
    <w:rsid w:val="00FA463F"/>
    <w:rsid w:val="00FA469E"/>
    <w:rsid w:val="00FA46E8"/>
    <w:rsid w:val="00FA4777"/>
    <w:rsid w:val="00FA47A2"/>
    <w:rsid w:val="00FA4856"/>
    <w:rsid w:val="00FA4871"/>
    <w:rsid w:val="00FA488A"/>
    <w:rsid w:val="00FA494C"/>
    <w:rsid w:val="00FA4968"/>
    <w:rsid w:val="00FA498C"/>
    <w:rsid w:val="00FA49DC"/>
    <w:rsid w:val="00FA4A1C"/>
    <w:rsid w:val="00FA4A20"/>
    <w:rsid w:val="00FA4A5D"/>
    <w:rsid w:val="00FA4A8C"/>
    <w:rsid w:val="00FA4B22"/>
    <w:rsid w:val="00FA4B59"/>
    <w:rsid w:val="00FA4B81"/>
    <w:rsid w:val="00FA4BA3"/>
    <w:rsid w:val="00FA4C36"/>
    <w:rsid w:val="00FA4C67"/>
    <w:rsid w:val="00FA4C97"/>
    <w:rsid w:val="00FA4DEC"/>
    <w:rsid w:val="00FA4E4A"/>
    <w:rsid w:val="00FA4E8A"/>
    <w:rsid w:val="00FA4EA9"/>
    <w:rsid w:val="00FA4F60"/>
    <w:rsid w:val="00FA4F84"/>
    <w:rsid w:val="00FA4F87"/>
    <w:rsid w:val="00FA500D"/>
    <w:rsid w:val="00FA506D"/>
    <w:rsid w:val="00FA516E"/>
    <w:rsid w:val="00FA51EF"/>
    <w:rsid w:val="00FA5242"/>
    <w:rsid w:val="00FA5245"/>
    <w:rsid w:val="00FA52B8"/>
    <w:rsid w:val="00FA5392"/>
    <w:rsid w:val="00FA53CB"/>
    <w:rsid w:val="00FA53E7"/>
    <w:rsid w:val="00FA551E"/>
    <w:rsid w:val="00FA555C"/>
    <w:rsid w:val="00FA5639"/>
    <w:rsid w:val="00FA569C"/>
    <w:rsid w:val="00FA56E4"/>
    <w:rsid w:val="00FA5732"/>
    <w:rsid w:val="00FA5746"/>
    <w:rsid w:val="00FA576D"/>
    <w:rsid w:val="00FA57BF"/>
    <w:rsid w:val="00FA58BE"/>
    <w:rsid w:val="00FA5901"/>
    <w:rsid w:val="00FA593F"/>
    <w:rsid w:val="00FA5948"/>
    <w:rsid w:val="00FA5965"/>
    <w:rsid w:val="00FA5AF4"/>
    <w:rsid w:val="00FA5B68"/>
    <w:rsid w:val="00FA5C0C"/>
    <w:rsid w:val="00FA5C60"/>
    <w:rsid w:val="00FA5CD2"/>
    <w:rsid w:val="00FA5D08"/>
    <w:rsid w:val="00FA5D29"/>
    <w:rsid w:val="00FA5D99"/>
    <w:rsid w:val="00FA5DBC"/>
    <w:rsid w:val="00FA5E11"/>
    <w:rsid w:val="00FA5E47"/>
    <w:rsid w:val="00FA5E74"/>
    <w:rsid w:val="00FA5E84"/>
    <w:rsid w:val="00FA5EFA"/>
    <w:rsid w:val="00FA5F12"/>
    <w:rsid w:val="00FA5F98"/>
    <w:rsid w:val="00FA5FC7"/>
    <w:rsid w:val="00FA5FCD"/>
    <w:rsid w:val="00FA606B"/>
    <w:rsid w:val="00FA6079"/>
    <w:rsid w:val="00FA614A"/>
    <w:rsid w:val="00FA6178"/>
    <w:rsid w:val="00FA61E3"/>
    <w:rsid w:val="00FA629E"/>
    <w:rsid w:val="00FA62DF"/>
    <w:rsid w:val="00FA62E4"/>
    <w:rsid w:val="00FA63CC"/>
    <w:rsid w:val="00FA6473"/>
    <w:rsid w:val="00FA647B"/>
    <w:rsid w:val="00FA64DD"/>
    <w:rsid w:val="00FA6513"/>
    <w:rsid w:val="00FA65D4"/>
    <w:rsid w:val="00FA6640"/>
    <w:rsid w:val="00FA66D9"/>
    <w:rsid w:val="00FA6756"/>
    <w:rsid w:val="00FA67B2"/>
    <w:rsid w:val="00FA67E4"/>
    <w:rsid w:val="00FA682E"/>
    <w:rsid w:val="00FA69DD"/>
    <w:rsid w:val="00FA6AD7"/>
    <w:rsid w:val="00FA6B42"/>
    <w:rsid w:val="00FA6B65"/>
    <w:rsid w:val="00FA6B77"/>
    <w:rsid w:val="00FA6BB6"/>
    <w:rsid w:val="00FA6BC2"/>
    <w:rsid w:val="00FA6C32"/>
    <w:rsid w:val="00FA6C91"/>
    <w:rsid w:val="00FA6CD8"/>
    <w:rsid w:val="00FA6CED"/>
    <w:rsid w:val="00FA6D0A"/>
    <w:rsid w:val="00FA6D1B"/>
    <w:rsid w:val="00FA6E55"/>
    <w:rsid w:val="00FA6E7D"/>
    <w:rsid w:val="00FA6ECC"/>
    <w:rsid w:val="00FA6FA3"/>
    <w:rsid w:val="00FA6FC6"/>
    <w:rsid w:val="00FA6FFC"/>
    <w:rsid w:val="00FA7009"/>
    <w:rsid w:val="00FA703F"/>
    <w:rsid w:val="00FA7093"/>
    <w:rsid w:val="00FA7124"/>
    <w:rsid w:val="00FA71B1"/>
    <w:rsid w:val="00FA71D0"/>
    <w:rsid w:val="00FA7214"/>
    <w:rsid w:val="00FA7246"/>
    <w:rsid w:val="00FA7280"/>
    <w:rsid w:val="00FA72EC"/>
    <w:rsid w:val="00FA72F2"/>
    <w:rsid w:val="00FA7302"/>
    <w:rsid w:val="00FA732A"/>
    <w:rsid w:val="00FA7357"/>
    <w:rsid w:val="00FA7376"/>
    <w:rsid w:val="00FA73EA"/>
    <w:rsid w:val="00FA73FB"/>
    <w:rsid w:val="00FA7477"/>
    <w:rsid w:val="00FA7639"/>
    <w:rsid w:val="00FA767A"/>
    <w:rsid w:val="00FA7731"/>
    <w:rsid w:val="00FA774B"/>
    <w:rsid w:val="00FA778E"/>
    <w:rsid w:val="00FA778F"/>
    <w:rsid w:val="00FA7796"/>
    <w:rsid w:val="00FA7895"/>
    <w:rsid w:val="00FA789A"/>
    <w:rsid w:val="00FA790C"/>
    <w:rsid w:val="00FA791C"/>
    <w:rsid w:val="00FA7962"/>
    <w:rsid w:val="00FA79B2"/>
    <w:rsid w:val="00FA7A0F"/>
    <w:rsid w:val="00FA7ACD"/>
    <w:rsid w:val="00FA7ADF"/>
    <w:rsid w:val="00FA7B51"/>
    <w:rsid w:val="00FA7C99"/>
    <w:rsid w:val="00FA7D46"/>
    <w:rsid w:val="00FA7D50"/>
    <w:rsid w:val="00FA7D5D"/>
    <w:rsid w:val="00FA7DA6"/>
    <w:rsid w:val="00FA7E04"/>
    <w:rsid w:val="00FA7E4E"/>
    <w:rsid w:val="00FA7E60"/>
    <w:rsid w:val="00FA7E86"/>
    <w:rsid w:val="00FA7E87"/>
    <w:rsid w:val="00FA7EDD"/>
    <w:rsid w:val="00FA7F13"/>
    <w:rsid w:val="00FA7F26"/>
    <w:rsid w:val="00FA7F29"/>
    <w:rsid w:val="00FA7FE0"/>
    <w:rsid w:val="00FA7FEB"/>
    <w:rsid w:val="00FB0097"/>
    <w:rsid w:val="00FB00D2"/>
    <w:rsid w:val="00FB02A4"/>
    <w:rsid w:val="00FB02E1"/>
    <w:rsid w:val="00FB02E6"/>
    <w:rsid w:val="00FB0350"/>
    <w:rsid w:val="00FB03AF"/>
    <w:rsid w:val="00FB03D5"/>
    <w:rsid w:val="00FB0410"/>
    <w:rsid w:val="00FB041C"/>
    <w:rsid w:val="00FB048E"/>
    <w:rsid w:val="00FB049C"/>
    <w:rsid w:val="00FB04B3"/>
    <w:rsid w:val="00FB04C4"/>
    <w:rsid w:val="00FB0549"/>
    <w:rsid w:val="00FB0651"/>
    <w:rsid w:val="00FB0666"/>
    <w:rsid w:val="00FB06BE"/>
    <w:rsid w:val="00FB06C8"/>
    <w:rsid w:val="00FB078A"/>
    <w:rsid w:val="00FB07D3"/>
    <w:rsid w:val="00FB07D6"/>
    <w:rsid w:val="00FB089A"/>
    <w:rsid w:val="00FB08AD"/>
    <w:rsid w:val="00FB08CB"/>
    <w:rsid w:val="00FB097C"/>
    <w:rsid w:val="00FB097E"/>
    <w:rsid w:val="00FB0A24"/>
    <w:rsid w:val="00FB0A26"/>
    <w:rsid w:val="00FB0A74"/>
    <w:rsid w:val="00FB0A98"/>
    <w:rsid w:val="00FB0AFA"/>
    <w:rsid w:val="00FB0C53"/>
    <w:rsid w:val="00FB0CF4"/>
    <w:rsid w:val="00FB0CF7"/>
    <w:rsid w:val="00FB0DF6"/>
    <w:rsid w:val="00FB0E2E"/>
    <w:rsid w:val="00FB0EEC"/>
    <w:rsid w:val="00FB0F43"/>
    <w:rsid w:val="00FB0FA5"/>
    <w:rsid w:val="00FB106D"/>
    <w:rsid w:val="00FB1090"/>
    <w:rsid w:val="00FB1113"/>
    <w:rsid w:val="00FB11E9"/>
    <w:rsid w:val="00FB124A"/>
    <w:rsid w:val="00FB1308"/>
    <w:rsid w:val="00FB139B"/>
    <w:rsid w:val="00FB13B7"/>
    <w:rsid w:val="00FB146E"/>
    <w:rsid w:val="00FB1478"/>
    <w:rsid w:val="00FB14D3"/>
    <w:rsid w:val="00FB1692"/>
    <w:rsid w:val="00FB16DA"/>
    <w:rsid w:val="00FB1780"/>
    <w:rsid w:val="00FB1851"/>
    <w:rsid w:val="00FB18C1"/>
    <w:rsid w:val="00FB1975"/>
    <w:rsid w:val="00FB197C"/>
    <w:rsid w:val="00FB1A07"/>
    <w:rsid w:val="00FB1A39"/>
    <w:rsid w:val="00FB1AE1"/>
    <w:rsid w:val="00FB1C87"/>
    <w:rsid w:val="00FB1DA9"/>
    <w:rsid w:val="00FB1DE4"/>
    <w:rsid w:val="00FB1E0A"/>
    <w:rsid w:val="00FB1E6D"/>
    <w:rsid w:val="00FB1E8A"/>
    <w:rsid w:val="00FB1EB0"/>
    <w:rsid w:val="00FB1F07"/>
    <w:rsid w:val="00FB1F11"/>
    <w:rsid w:val="00FB1F6D"/>
    <w:rsid w:val="00FB1F71"/>
    <w:rsid w:val="00FB1F8C"/>
    <w:rsid w:val="00FB2090"/>
    <w:rsid w:val="00FB20A9"/>
    <w:rsid w:val="00FB20B5"/>
    <w:rsid w:val="00FB20D3"/>
    <w:rsid w:val="00FB2140"/>
    <w:rsid w:val="00FB21B0"/>
    <w:rsid w:val="00FB21FE"/>
    <w:rsid w:val="00FB22B7"/>
    <w:rsid w:val="00FB22E7"/>
    <w:rsid w:val="00FB2374"/>
    <w:rsid w:val="00FB24B1"/>
    <w:rsid w:val="00FB24C4"/>
    <w:rsid w:val="00FB24E0"/>
    <w:rsid w:val="00FB25C6"/>
    <w:rsid w:val="00FB25ED"/>
    <w:rsid w:val="00FB2600"/>
    <w:rsid w:val="00FB262B"/>
    <w:rsid w:val="00FB266E"/>
    <w:rsid w:val="00FB268D"/>
    <w:rsid w:val="00FB280F"/>
    <w:rsid w:val="00FB28ED"/>
    <w:rsid w:val="00FB293F"/>
    <w:rsid w:val="00FB294C"/>
    <w:rsid w:val="00FB299B"/>
    <w:rsid w:val="00FB2ABF"/>
    <w:rsid w:val="00FB2BA1"/>
    <w:rsid w:val="00FB2BD0"/>
    <w:rsid w:val="00FB2C10"/>
    <w:rsid w:val="00FB2D03"/>
    <w:rsid w:val="00FB2D13"/>
    <w:rsid w:val="00FB2D68"/>
    <w:rsid w:val="00FB2DA5"/>
    <w:rsid w:val="00FB2DC0"/>
    <w:rsid w:val="00FB2F1F"/>
    <w:rsid w:val="00FB2F28"/>
    <w:rsid w:val="00FB304C"/>
    <w:rsid w:val="00FB304F"/>
    <w:rsid w:val="00FB305F"/>
    <w:rsid w:val="00FB3196"/>
    <w:rsid w:val="00FB31A1"/>
    <w:rsid w:val="00FB3224"/>
    <w:rsid w:val="00FB3316"/>
    <w:rsid w:val="00FB333D"/>
    <w:rsid w:val="00FB336C"/>
    <w:rsid w:val="00FB3371"/>
    <w:rsid w:val="00FB337D"/>
    <w:rsid w:val="00FB3403"/>
    <w:rsid w:val="00FB34CA"/>
    <w:rsid w:val="00FB354D"/>
    <w:rsid w:val="00FB3550"/>
    <w:rsid w:val="00FB356A"/>
    <w:rsid w:val="00FB364E"/>
    <w:rsid w:val="00FB36B0"/>
    <w:rsid w:val="00FB373C"/>
    <w:rsid w:val="00FB3741"/>
    <w:rsid w:val="00FB37AD"/>
    <w:rsid w:val="00FB38F5"/>
    <w:rsid w:val="00FB39CF"/>
    <w:rsid w:val="00FB39D8"/>
    <w:rsid w:val="00FB3A12"/>
    <w:rsid w:val="00FB3A61"/>
    <w:rsid w:val="00FB3AF2"/>
    <w:rsid w:val="00FB3C08"/>
    <w:rsid w:val="00FB3C75"/>
    <w:rsid w:val="00FB3C9A"/>
    <w:rsid w:val="00FB3CC6"/>
    <w:rsid w:val="00FB3DA3"/>
    <w:rsid w:val="00FB3DDB"/>
    <w:rsid w:val="00FB3DE2"/>
    <w:rsid w:val="00FB3ED4"/>
    <w:rsid w:val="00FB3F03"/>
    <w:rsid w:val="00FB3FA0"/>
    <w:rsid w:val="00FB3FE2"/>
    <w:rsid w:val="00FB4028"/>
    <w:rsid w:val="00FB4066"/>
    <w:rsid w:val="00FB410D"/>
    <w:rsid w:val="00FB41A9"/>
    <w:rsid w:val="00FB41D2"/>
    <w:rsid w:val="00FB43C6"/>
    <w:rsid w:val="00FB443B"/>
    <w:rsid w:val="00FB448E"/>
    <w:rsid w:val="00FB44E9"/>
    <w:rsid w:val="00FB44F7"/>
    <w:rsid w:val="00FB4523"/>
    <w:rsid w:val="00FB460E"/>
    <w:rsid w:val="00FB4679"/>
    <w:rsid w:val="00FB46B8"/>
    <w:rsid w:val="00FB4718"/>
    <w:rsid w:val="00FB478B"/>
    <w:rsid w:val="00FB47DE"/>
    <w:rsid w:val="00FB47F9"/>
    <w:rsid w:val="00FB4801"/>
    <w:rsid w:val="00FB4834"/>
    <w:rsid w:val="00FB4867"/>
    <w:rsid w:val="00FB4883"/>
    <w:rsid w:val="00FB489C"/>
    <w:rsid w:val="00FB489E"/>
    <w:rsid w:val="00FB4908"/>
    <w:rsid w:val="00FB4931"/>
    <w:rsid w:val="00FB49B8"/>
    <w:rsid w:val="00FB49BF"/>
    <w:rsid w:val="00FB49D6"/>
    <w:rsid w:val="00FB49DC"/>
    <w:rsid w:val="00FB4A2D"/>
    <w:rsid w:val="00FB4A64"/>
    <w:rsid w:val="00FB4AE4"/>
    <w:rsid w:val="00FB4B2E"/>
    <w:rsid w:val="00FB4C1C"/>
    <w:rsid w:val="00FB4C1F"/>
    <w:rsid w:val="00FB4C22"/>
    <w:rsid w:val="00FB4C91"/>
    <w:rsid w:val="00FB4CFD"/>
    <w:rsid w:val="00FB4D1B"/>
    <w:rsid w:val="00FB4E0F"/>
    <w:rsid w:val="00FB4E16"/>
    <w:rsid w:val="00FB4E28"/>
    <w:rsid w:val="00FB4E36"/>
    <w:rsid w:val="00FB4EB0"/>
    <w:rsid w:val="00FB4F2D"/>
    <w:rsid w:val="00FB4FF3"/>
    <w:rsid w:val="00FB5015"/>
    <w:rsid w:val="00FB5017"/>
    <w:rsid w:val="00FB509E"/>
    <w:rsid w:val="00FB5161"/>
    <w:rsid w:val="00FB51BC"/>
    <w:rsid w:val="00FB51E2"/>
    <w:rsid w:val="00FB520D"/>
    <w:rsid w:val="00FB524E"/>
    <w:rsid w:val="00FB5263"/>
    <w:rsid w:val="00FB52C3"/>
    <w:rsid w:val="00FB52CE"/>
    <w:rsid w:val="00FB5302"/>
    <w:rsid w:val="00FB53AF"/>
    <w:rsid w:val="00FB54B7"/>
    <w:rsid w:val="00FB5514"/>
    <w:rsid w:val="00FB5537"/>
    <w:rsid w:val="00FB553D"/>
    <w:rsid w:val="00FB5560"/>
    <w:rsid w:val="00FB557D"/>
    <w:rsid w:val="00FB55D1"/>
    <w:rsid w:val="00FB55D3"/>
    <w:rsid w:val="00FB55F6"/>
    <w:rsid w:val="00FB56A3"/>
    <w:rsid w:val="00FB56EF"/>
    <w:rsid w:val="00FB5709"/>
    <w:rsid w:val="00FB573A"/>
    <w:rsid w:val="00FB5757"/>
    <w:rsid w:val="00FB57A0"/>
    <w:rsid w:val="00FB583E"/>
    <w:rsid w:val="00FB585F"/>
    <w:rsid w:val="00FB58A7"/>
    <w:rsid w:val="00FB58EB"/>
    <w:rsid w:val="00FB5909"/>
    <w:rsid w:val="00FB5968"/>
    <w:rsid w:val="00FB599A"/>
    <w:rsid w:val="00FB5A08"/>
    <w:rsid w:val="00FB5A9D"/>
    <w:rsid w:val="00FB5B50"/>
    <w:rsid w:val="00FB5BFE"/>
    <w:rsid w:val="00FB5C28"/>
    <w:rsid w:val="00FB5C5D"/>
    <w:rsid w:val="00FB5D41"/>
    <w:rsid w:val="00FB5DDD"/>
    <w:rsid w:val="00FB5E52"/>
    <w:rsid w:val="00FB5EB7"/>
    <w:rsid w:val="00FB5F81"/>
    <w:rsid w:val="00FB5FAE"/>
    <w:rsid w:val="00FB5FD6"/>
    <w:rsid w:val="00FB604E"/>
    <w:rsid w:val="00FB607D"/>
    <w:rsid w:val="00FB6081"/>
    <w:rsid w:val="00FB6094"/>
    <w:rsid w:val="00FB60A8"/>
    <w:rsid w:val="00FB6117"/>
    <w:rsid w:val="00FB613C"/>
    <w:rsid w:val="00FB614F"/>
    <w:rsid w:val="00FB6171"/>
    <w:rsid w:val="00FB63DC"/>
    <w:rsid w:val="00FB64AC"/>
    <w:rsid w:val="00FB64B8"/>
    <w:rsid w:val="00FB64C4"/>
    <w:rsid w:val="00FB64D6"/>
    <w:rsid w:val="00FB6557"/>
    <w:rsid w:val="00FB656B"/>
    <w:rsid w:val="00FB658D"/>
    <w:rsid w:val="00FB65BC"/>
    <w:rsid w:val="00FB65C5"/>
    <w:rsid w:val="00FB6624"/>
    <w:rsid w:val="00FB665C"/>
    <w:rsid w:val="00FB671C"/>
    <w:rsid w:val="00FB6740"/>
    <w:rsid w:val="00FB6794"/>
    <w:rsid w:val="00FB67C4"/>
    <w:rsid w:val="00FB6849"/>
    <w:rsid w:val="00FB684F"/>
    <w:rsid w:val="00FB6853"/>
    <w:rsid w:val="00FB68A5"/>
    <w:rsid w:val="00FB68AB"/>
    <w:rsid w:val="00FB68CB"/>
    <w:rsid w:val="00FB6907"/>
    <w:rsid w:val="00FB6910"/>
    <w:rsid w:val="00FB6951"/>
    <w:rsid w:val="00FB699A"/>
    <w:rsid w:val="00FB6A0C"/>
    <w:rsid w:val="00FB6A2B"/>
    <w:rsid w:val="00FB6A34"/>
    <w:rsid w:val="00FB6A37"/>
    <w:rsid w:val="00FB6B4C"/>
    <w:rsid w:val="00FB6C14"/>
    <w:rsid w:val="00FB6C36"/>
    <w:rsid w:val="00FB6CE0"/>
    <w:rsid w:val="00FB6D00"/>
    <w:rsid w:val="00FB6D22"/>
    <w:rsid w:val="00FB6D47"/>
    <w:rsid w:val="00FB6DBA"/>
    <w:rsid w:val="00FB6DDC"/>
    <w:rsid w:val="00FB6E2F"/>
    <w:rsid w:val="00FB6E34"/>
    <w:rsid w:val="00FB6EEB"/>
    <w:rsid w:val="00FB6FD0"/>
    <w:rsid w:val="00FB7026"/>
    <w:rsid w:val="00FB706A"/>
    <w:rsid w:val="00FB71C7"/>
    <w:rsid w:val="00FB7200"/>
    <w:rsid w:val="00FB728F"/>
    <w:rsid w:val="00FB7317"/>
    <w:rsid w:val="00FB73C3"/>
    <w:rsid w:val="00FB73C6"/>
    <w:rsid w:val="00FB73EC"/>
    <w:rsid w:val="00FB7401"/>
    <w:rsid w:val="00FB7411"/>
    <w:rsid w:val="00FB7417"/>
    <w:rsid w:val="00FB7462"/>
    <w:rsid w:val="00FB74A8"/>
    <w:rsid w:val="00FB74FD"/>
    <w:rsid w:val="00FB7568"/>
    <w:rsid w:val="00FB7589"/>
    <w:rsid w:val="00FB7744"/>
    <w:rsid w:val="00FB7754"/>
    <w:rsid w:val="00FB77FF"/>
    <w:rsid w:val="00FB784F"/>
    <w:rsid w:val="00FB7852"/>
    <w:rsid w:val="00FB786B"/>
    <w:rsid w:val="00FB786C"/>
    <w:rsid w:val="00FB78A6"/>
    <w:rsid w:val="00FB78FB"/>
    <w:rsid w:val="00FB7910"/>
    <w:rsid w:val="00FB7997"/>
    <w:rsid w:val="00FB79B9"/>
    <w:rsid w:val="00FB7A4E"/>
    <w:rsid w:val="00FB7A7A"/>
    <w:rsid w:val="00FB7A7C"/>
    <w:rsid w:val="00FB7B23"/>
    <w:rsid w:val="00FB7B24"/>
    <w:rsid w:val="00FB7B6D"/>
    <w:rsid w:val="00FB7BF4"/>
    <w:rsid w:val="00FB7C6C"/>
    <w:rsid w:val="00FB7DE7"/>
    <w:rsid w:val="00FB7E87"/>
    <w:rsid w:val="00FB7EAB"/>
    <w:rsid w:val="00FB7F27"/>
    <w:rsid w:val="00FB7FB1"/>
    <w:rsid w:val="00FC0084"/>
    <w:rsid w:val="00FC0089"/>
    <w:rsid w:val="00FC00F8"/>
    <w:rsid w:val="00FC00FB"/>
    <w:rsid w:val="00FC0102"/>
    <w:rsid w:val="00FC010F"/>
    <w:rsid w:val="00FC011F"/>
    <w:rsid w:val="00FC0136"/>
    <w:rsid w:val="00FC0299"/>
    <w:rsid w:val="00FC02EC"/>
    <w:rsid w:val="00FC02F9"/>
    <w:rsid w:val="00FC031B"/>
    <w:rsid w:val="00FC0356"/>
    <w:rsid w:val="00FC03EB"/>
    <w:rsid w:val="00FC04CD"/>
    <w:rsid w:val="00FC053A"/>
    <w:rsid w:val="00FC0555"/>
    <w:rsid w:val="00FC05BE"/>
    <w:rsid w:val="00FC0680"/>
    <w:rsid w:val="00FC0694"/>
    <w:rsid w:val="00FC06C4"/>
    <w:rsid w:val="00FC06E1"/>
    <w:rsid w:val="00FC0758"/>
    <w:rsid w:val="00FC07C9"/>
    <w:rsid w:val="00FC07CF"/>
    <w:rsid w:val="00FC082B"/>
    <w:rsid w:val="00FC082F"/>
    <w:rsid w:val="00FC087C"/>
    <w:rsid w:val="00FC0894"/>
    <w:rsid w:val="00FC08B2"/>
    <w:rsid w:val="00FC0B4D"/>
    <w:rsid w:val="00FC0B96"/>
    <w:rsid w:val="00FC0BA4"/>
    <w:rsid w:val="00FC0BC5"/>
    <w:rsid w:val="00FC0C06"/>
    <w:rsid w:val="00FC0C1D"/>
    <w:rsid w:val="00FC0D5A"/>
    <w:rsid w:val="00FC0D93"/>
    <w:rsid w:val="00FC0DC3"/>
    <w:rsid w:val="00FC0DE5"/>
    <w:rsid w:val="00FC0EA1"/>
    <w:rsid w:val="00FC0F59"/>
    <w:rsid w:val="00FC0FB9"/>
    <w:rsid w:val="00FC0FD2"/>
    <w:rsid w:val="00FC0FE4"/>
    <w:rsid w:val="00FC0FFD"/>
    <w:rsid w:val="00FC115F"/>
    <w:rsid w:val="00FC1178"/>
    <w:rsid w:val="00FC118B"/>
    <w:rsid w:val="00FC119F"/>
    <w:rsid w:val="00FC11B7"/>
    <w:rsid w:val="00FC1289"/>
    <w:rsid w:val="00FC1372"/>
    <w:rsid w:val="00FC13CA"/>
    <w:rsid w:val="00FC13CC"/>
    <w:rsid w:val="00FC13E2"/>
    <w:rsid w:val="00FC13F1"/>
    <w:rsid w:val="00FC1434"/>
    <w:rsid w:val="00FC1475"/>
    <w:rsid w:val="00FC147A"/>
    <w:rsid w:val="00FC14D0"/>
    <w:rsid w:val="00FC1503"/>
    <w:rsid w:val="00FC1574"/>
    <w:rsid w:val="00FC15AE"/>
    <w:rsid w:val="00FC1621"/>
    <w:rsid w:val="00FC1696"/>
    <w:rsid w:val="00FC16E2"/>
    <w:rsid w:val="00FC17CB"/>
    <w:rsid w:val="00FC17F7"/>
    <w:rsid w:val="00FC18C0"/>
    <w:rsid w:val="00FC18E0"/>
    <w:rsid w:val="00FC19C4"/>
    <w:rsid w:val="00FC19DD"/>
    <w:rsid w:val="00FC1A64"/>
    <w:rsid w:val="00FC1A7A"/>
    <w:rsid w:val="00FC1B06"/>
    <w:rsid w:val="00FC1B1A"/>
    <w:rsid w:val="00FC1B67"/>
    <w:rsid w:val="00FC1BD3"/>
    <w:rsid w:val="00FC1D90"/>
    <w:rsid w:val="00FC1DC2"/>
    <w:rsid w:val="00FC1DED"/>
    <w:rsid w:val="00FC1E99"/>
    <w:rsid w:val="00FC1F35"/>
    <w:rsid w:val="00FC1FC7"/>
    <w:rsid w:val="00FC201C"/>
    <w:rsid w:val="00FC20AE"/>
    <w:rsid w:val="00FC20F2"/>
    <w:rsid w:val="00FC216C"/>
    <w:rsid w:val="00FC217B"/>
    <w:rsid w:val="00FC2206"/>
    <w:rsid w:val="00FC23C4"/>
    <w:rsid w:val="00FC2415"/>
    <w:rsid w:val="00FC2476"/>
    <w:rsid w:val="00FC24B0"/>
    <w:rsid w:val="00FC24C4"/>
    <w:rsid w:val="00FC2544"/>
    <w:rsid w:val="00FC256C"/>
    <w:rsid w:val="00FC259F"/>
    <w:rsid w:val="00FC25EB"/>
    <w:rsid w:val="00FC265E"/>
    <w:rsid w:val="00FC26FC"/>
    <w:rsid w:val="00FC27F9"/>
    <w:rsid w:val="00FC29C5"/>
    <w:rsid w:val="00FC2AD1"/>
    <w:rsid w:val="00FC2B09"/>
    <w:rsid w:val="00FC2B19"/>
    <w:rsid w:val="00FC2C37"/>
    <w:rsid w:val="00FC2C74"/>
    <w:rsid w:val="00FC2D8E"/>
    <w:rsid w:val="00FC2D9E"/>
    <w:rsid w:val="00FC2DAB"/>
    <w:rsid w:val="00FC2DBB"/>
    <w:rsid w:val="00FC2E42"/>
    <w:rsid w:val="00FC2E8D"/>
    <w:rsid w:val="00FC2E91"/>
    <w:rsid w:val="00FC2EE7"/>
    <w:rsid w:val="00FC2F05"/>
    <w:rsid w:val="00FC2F2B"/>
    <w:rsid w:val="00FC2FBC"/>
    <w:rsid w:val="00FC2FE4"/>
    <w:rsid w:val="00FC2FEC"/>
    <w:rsid w:val="00FC313C"/>
    <w:rsid w:val="00FC31EE"/>
    <w:rsid w:val="00FC3350"/>
    <w:rsid w:val="00FC349E"/>
    <w:rsid w:val="00FC34F2"/>
    <w:rsid w:val="00FC35E9"/>
    <w:rsid w:val="00FC3634"/>
    <w:rsid w:val="00FC3650"/>
    <w:rsid w:val="00FC366F"/>
    <w:rsid w:val="00FC369B"/>
    <w:rsid w:val="00FC375C"/>
    <w:rsid w:val="00FC377A"/>
    <w:rsid w:val="00FC37C6"/>
    <w:rsid w:val="00FC3833"/>
    <w:rsid w:val="00FC3896"/>
    <w:rsid w:val="00FC38BF"/>
    <w:rsid w:val="00FC397E"/>
    <w:rsid w:val="00FC3A72"/>
    <w:rsid w:val="00FC3C83"/>
    <w:rsid w:val="00FC3C85"/>
    <w:rsid w:val="00FC3C9B"/>
    <w:rsid w:val="00FC3CAD"/>
    <w:rsid w:val="00FC3D1B"/>
    <w:rsid w:val="00FC3D1F"/>
    <w:rsid w:val="00FC3D82"/>
    <w:rsid w:val="00FC3DB1"/>
    <w:rsid w:val="00FC3DD0"/>
    <w:rsid w:val="00FC3E5E"/>
    <w:rsid w:val="00FC3E77"/>
    <w:rsid w:val="00FC3EDF"/>
    <w:rsid w:val="00FC3EF4"/>
    <w:rsid w:val="00FC3EFE"/>
    <w:rsid w:val="00FC3F1F"/>
    <w:rsid w:val="00FC3FCC"/>
    <w:rsid w:val="00FC3FEF"/>
    <w:rsid w:val="00FC3FFE"/>
    <w:rsid w:val="00FC40A5"/>
    <w:rsid w:val="00FC40BA"/>
    <w:rsid w:val="00FC4150"/>
    <w:rsid w:val="00FC41B9"/>
    <w:rsid w:val="00FC41C7"/>
    <w:rsid w:val="00FC424D"/>
    <w:rsid w:val="00FC42E7"/>
    <w:rsid w:val="00FC4406"/>
    <w:rsid w:val="00FC44FF"/>
    <w:rsid w:val="00FC454D"/>
    <w:rsid w:val="00FC4567"/>
    <w:rsid w:val="00FC4587"/>
    <w:rsid w:val="00FC459B"/>
    <w:rsid w:val="00FC4610"/>
    <w:rsid w:val="00FC46AE"/>
    <w:rsid w:val="00FC46C2"/>
    <w:rsid w:val="00FC46C6"/>
    <w:rsid w:val="00FC4732"/>
    <w:rsid w:val="00FC4815"/>
    <w:rsid w:val="00FC4843"/>
    <w:rsid w:val="00FC4868"/>
    <w:rsid w:val="00FC4974"/>
    <w:rsid w:val="00FC49C7"/>
    <w:rsid w:val="00FC49DA"/>
    <w:rsid w:val="00FC4A1F"/>
    <w:rsid w:val="00FC4A28"/>
    <w:rsid w:val="00FC4A2D"/>
    <w:rsid w:val="00FC4AD5"/>
    <w:rsid w:val="00FC4B7F"/>
    <w:rsid w:val="00FC4B90"/>
    <w:rsid w:val="00FC4BBF"/>
    <w:rsid w:val="00FC4BDD"/>
    <w:rsid w:val="00FC4C8C"/>
    <w:rsid w:val="00FC4CB3"/>
    <w:rsid w:val="00FC4CF0"/>
    <w:rsid w:val="00FC4D03"/>
    <w:rsid w:val="00FC4D14"/>
    <w:rsid w:val="00FC4D73"/>
    <w:rsid w:val="00FC4D98"/>
    <w:rsid w:val="00FC4D9E"/>
    <w:rsid w:val="00FC4DFB"/>
    <w:rsid w:val="00FC4E10"/>
    <w:rsid w:val="00FC4E59"/>
    <w:rsid w:val="00FC4EB3"/>
    <w:rsid w:val="00FC4F01"/>
    <w:rsid w:val="00FC4F03"/>
    <w:rsid w:val="00FC4F09"/>
    <w:rsid w:val="00FC4F6D"/>
    <w:rsid w:val="00FC4FF4"/>
    <w:rsid w:val="00FC5022"/>
    <w:rsid w:val="00FC513A"/>
    <w:rsid w:val="00FC513F"/>
    <w:rsid w:val="00FC5157"/>
    <w:rsid w:val="00FC5159"/>
    <w:rsid w:val="00FC518D"/>
    <w:rsid w:val="00FC52E7"/>
    <w:rsid w:val="00FC54A1"/>
    <w:rsid w:val="00FC54B7"/>
    <w:rsid w:val="00FC5548"/>
    <w:rsid w:val="00FC55E4"/>
    <w:rsid w:val="00FC55FA"/>
    <w:rsid w:val="00FC568A"/>
    <w:rsid w:val="00FC575A"/>
    <w:rsid w:val="00FC57B9"/>
    <w:rsid w:val="00FC5865"/>
    <w:rsid w:val="00FC587A"/>
    <w:rsid w:val="00FC5A0F"/>
    <w:rsid w:val="00FC5AAB"/>
    <w:rsid w:val="00FC5AED"/>
    <w:rsid w:val="00FC5B4F"/>
    <w:rsid w:val="00FC5BA8"/>
    <w:rsid w:val="00FC5BAF"/>
    <w:rsid w:val="00FC5BC7"/>
    <w:rsid w:val="00FC5C28"/>
    <w:rsid w:val="00FC5CAF"/>
    <w:rsid w:val="00FC5CE8"/>
    <w:rsid w:val="00FC5D15"/>
    <w:rsid w:val="00FC5D2F"/>
    <w:rsid w:val="00FC5D8C"/>
    <w:rsid w:val="00FC5DBD"/>
    <w:rsid w:val="00FC5EC6"/>
    <w:rsid w:val="00FC5F50"/>
    <w:rsid w:val="00FC5F86"/>
    <w:rsid w:val="00FC6031"/>
    <w:rsid w:val="00FC6036"/>
    <w:rsid w:val="00FC6042"/>
    <w:rsid w:val="00FC60B4"/>
    <w:rsid w:val="00FC6158"/>
    <w:rsid w:val="00FC6195"/>
    <w:rsid w:val="00FC620C"/>
    <w:rsid w:val="00FC621A"/>
    <w:rsid w:val="00FC626B"/>
    <w:rsid w:val="00FC632E"/>
    <w:rsid w:val="00FC6343"/>
    <w:rsid w:val="00FC6359"/>
    <w:rsid w:val="00FC63AF"/>
    <w:rsid w:val="00FC63E6"/>
    <w:rsid w:val="00FC63E7"/>
    <w:rsid w:val="00FC6427"/>
    <w:rsid w:val="00FC6480"/>
    <w:rsid w:val="00FC6499"/>
    <w:rsid w:val="00FC64B9"/>
    <w:rsid w:val="00FC64E0"/>
    <w:rsid w:val="00FC66E0"/>
    <w:rsid w:val="00FC6711"/>
    <w:rsid w:val="00FC67C7"/>
    <w:rsid w:val="00FC67EC"/>
    <w:rsid w:val="00FC68F9"/>
    <w:rsid w:val="00FC68FC"/>
    <w:rsid w:val="00FC692E"/>
    <w:rsid w:val="00FC6939"/>
    <w:rsid w:val="00FC693C"/>
    <w:rsid w:val="00FC69AA"/>
    <w:rsid w:val="00FC6A0F"/>
    <w:rsid w:val="00FC6AE1"/>
    <w:rsid w:val="00FC6B15"/>
    <w:rsid w:val="00FC6B4B"/>
    <w:rsid w:val="00FC6BD2"/>
    <w:rsid w:val="00FC6BF6"/>
    <w:rsid w:val="00FC6BFA"/>
    <w:rsid w:val="00FC6C1C"/>
    <w:rsid w:val="00FC6CEF"/>
    <w:rsid w:val="00FC6D04"/>
    <w:rsid w:val="00FC6D1E"/>
    <w:rsid w:val="00FC6D57"/>
    <w:rsid w:val="00FC6D94"/>
    <w:rsid w:val="00FC6DC8"/>
    <w:rsid w:val="00FC6EA9"/>
    <w:rsid w:val="00FC6FB2"/>
    <w:rsid w:val="00FC7076"/>
    <w:rsid w:val="00FC70A4"/>
    <w:rsid w:val="00FC70AA"/>
    <w:rsid w:val="00FC70DD"/>
    <w:rsid w:val="00FC7135"/>
    <w:rsid w:val="00FC71A8"/>
    <w:rsid w:val="00FC7281"/>
    <w:rsid w:val="00FC7292"/>
    <w:rsid w:val="00FC72C1"/>
    <w:rsid w:val="00FC7335"/>
    <w:rsid w:val="00FC7399"/>
    <w:rsid w:val="00FC7457"/>
    <w:rsid w:val="00FC7482"/>
    <w:rsid w:val="00FC74A7"/>
    <w:rsid w:val="00FC74D4"/>
    <w:rsid w:val="00FC7582"/>
    <w:rsid w:val="00FC75B6"/>
    <w:rsid w:val="00FC7624"/>
    <w:rsid w:val="00FC766D"/>
    <w:rsid w:val="00FC76CF"/>
    <w:rsid w:val="00FC7712"/>
    <w:rsid w:val="00FC771C"/>
    <w:rsid w:val="00FC771D"/>
    <w:rsid w:val="00FC7728"/>
    <w:rsid w:val="00FC7735"/>
    <w:rsid w:val="00FC774E"/>
    <w:rsid w:val="00FC77A6"/>
    <w:rsid w:val="00FC77E1"/>
    <w:rsid w:val="00FC7852"/>
    <w:rsid w:val="00FC789C"/>
    <w:rsid w:val="00FC78BB"/>
    <w:rsid w:val="00FC797A"/>
    <w:rsid w:val="00FC7A2C"/>
    <w:rsid w:val="00FC7B0C"/>
    <w:rsid w:val="00FC7B78"/>
    <w:rsid w:val="00FC7B96"/>
    <w:rsid w:val="00FC7C26"/>
    <w:rsid w:val="00FC7C7E"/>
    <w:rsid w:val="00FC7CFC"/>
    <w:rsid w:val="00FC7D46"/>
    <w:rsid w:val="00FC7D93"/>
    <w:rsid w:val="00FC7F78"/>
    <w:rsid w:val="00FC7FA3"/>
    <w:rsid w:val="00FC7FBF"/>
    <w:rsid w:val="00FC7FCD"/>
    <w:rsid w:val="00FC9ADA"/>
    <w:rsid w:val="00FD003D"/>
    <w:rsid w:val="00FD018D"/>
    <w:rsid w:val="00FD01C8"/>
    <w:rsid w:val="00FD022C"/>
    <w:rsid w:val="00FD0269"/>
    <w:rsid w:val="00FD03A8"/>
    <w:rsid w:val="00FD03AC"/>
    <w:rsid w:val="00FD03E8"/>
    <w:rsid w:val="00FD044A"/>
    <w:rsid w:val="00FD0494"/>
    <w:rsid w:val="00FD053B"/>
    <w:rsid w:val="00FD05CA"/>
    <w:rsid w:val="00FD0652"/>
    <w:rsid w:val="00FD06B9"/>
    <w:rsid w:val="00FD06DD"/>
    <w:rsid w:val="00FD0785"/>
    <w:rsid w:val="00FD07D0"/>
    <w:rsid w:val="00FD0804"/>
    <w:rsid w:val="00FD0866"/>
    <w:rsid w:val="00FD08ED"/>
    <w:rsid w:val="00FD098C"/>
    <w:rsid w:val="00FD0B23"/>
    <w:rsid w:val="00FD0B33"/>
    <w:rsid w:val="00FD0B5F"/>
    <w:rsid w:val="00FD0B66"/>
    <w:rsid w:val="00FD0C0B"/>
    <w:rsid w:val="00FD0C44"/>
    <w:rsid w:val="00FD0C59"/>
    <w:rsid w:val="00FD0D69"/>
    <w:rsid w:val="00FD0DEE"/>
    <w:rsid w:val="00FD0E43"/>
    <w:rsid w:val="00FD0F46"/>
    <w:rsid w:val="00FD0FEB"/>
    <w:rsid w:val="00FD1074"/>
    <w:rsid w:val="00FD115C"/>
    <w:rsid w:val="00FD1167"/>
    <w:rsid w:val="00FD11C5"/>
    <w:rsid w:val="00FD1216"/>
    <w:rsid w:val="00FD1267"/>
    <w:rsid w:val="00FD1272"/>
    <w:rsid w:val="00FD12B0"/>
    <w:rsid w:val="00FD12FD"/>
    <w:rsid w:val="00FD132E"/>
    <w:rsid w:val="00FD1335"/>
    <w:rsid w:val="00FD13F5"/>
    <w:rsid w:val="00FD1474"/>
    <w:rsid w:val="00FD148D"/>
    <w:rsid w:val="00FD14AC"/>
    <w:rsid w:val="00FD16B5"/>
    <w:rsid w:val="00FD16D5"/>
    <w:rsid w:val="00FD170C"/>
    <w:rsid w:val="00FD1717"/>
    <w:rsid w:val="00FD171D"/>
    <w:rsid w:val="00FD1737"/>
    <w:rsid w:val="00FD1780"/>
    <w:rsid w:val="00FD17EB"/>
    <w:rsid w:val="00FD183F"/>
    <w:rsid w:val="00FD18BC"/>
    <w:rsid w:val="00FD192B"/>
    <w:rsid w:val="00FD1972"/>
    <w:rsid w:val="00FD1983"/>
    <w:rsid w:val="00FD19A7"/>
    <w:rsid w:val="00FD1A79"/>
    <w:rsid w:val="00FD1A96"/>
    <w:rsid w:val="00FD1ABD"/>
    <w:rsid w:val="00FD1B0B"/>
    <w:rsid w:val="00FD1B42"/>
    <w:rsid w:val="00FD1CB1"/>
    <w:rsid w:val="00FD1D29"/>
    <w:rsid w:val="00FD1D2C"/>
    <w:rsid w:val="00FD1E60"/>
    <w:rsid w:val="00FD1EA5"/>
    <w:rsid w:val="00FD1EF6"/>
    <w:rsid w:val="00FD1F00"/>
    <w:rsid w:val="00FD1F44"/>
    <w:rsid w:val="00FD1FC4"/>
    <w:rsid w:val="00FD1FE3"/>
    <w:rsid w:val="00FD2098"/>
    <w:rsid w:val="00FD20FB"/>
    <w:rsid w:val="00FD2156"/>
    <w:rsid w:val="00FD215A"/>
    <w:rsid w:val="00FD218C"/>
    <w:rsid w:val="00FD21DF"/>
    <w:rsid w:val="00FD226B"/>
    <w:rsid w:val="00FD2325"/>
    <w:rsid w:val="00FD2364"/>
    <w:rsid w:val="00FD23AA"/>
    <w:rsid w:val="00FD2444"/>
    <w:rsid w:val="00FD24AF"/>
    <w:rsid w:val="00FD259F"/>
    <w:rsid w:val="00FD265A"/>
    <w:rsid w:val="00FD26B8"/>
    <w:rsid w:val="00FD2724"/>
    <w:rsid w:val="00FD2803"/>
    <w:rsid w:val="00FD2860"/>
    <w:rsid w:val="00FD286B"/>
    <w:rsid w:val="00FD2912"/>
    <w:rsid w:val="00FD2919"/>
    <w:rsid w:val="00FD2A5D"/>
    <w:rsid w:val="00FD2ACB"/>
    <w:rsid w:val="00FD2B2F"/>
    <w:rsid w:val="00FD2B6D"/>
    <w:rsid w:val="00FD2BFE"/>
    <w:rsid w:val="00FD2C56"/>
    <w:rsid w:val="00FD2D20"/>
    <w:rsid w:val="00FD2D33"/>
    <w:rsid w:val="00FD2DBF"/>
    <w:rsid w:val="00FD2DC0"/>
    <w:rsid w:val="00FD2E40"/>
    <w:rsid w:val="00FD2E55"/>
    <w:rsid w:val="00FD2E96"/>
    <w:rsid w:val="00FD2F75"/>
    <w:rsid w:val="00FD2F99"/>
    <w:rsid w:val="00FD2FC1"/>
    <w:rsid w:val="00FD2FCF"/>
    <w:rsid w:val="00FD2FFE"/>
    <w:rsid w:val="00FD3055"/>
    <w:rsid w:val="00FD30BA"/>
    <w:rsid w:val="00FD30CA"/>
    <w:rsid w:val="00FD30EA"/>
    <w:rsid w:val="00FD315E"/>
    <w:rsid w:val="00FD31A8"/>
    <w:rsid w:val="00FD31B6"/>
    <w:rsid w:val="00FD322D"/>
    <w:rsid w:val="00FD325B"/>
    <w:rsid w:val="00FD327B"/>
    <w:rsid w:val="00FD3280"/>
    <w:rsid w:val="00FD32EA"/>
    <w:rsid w:val="00FD32F6"/>
    <w:rsid w:val="00FD3306"/>
    <w:rsid w:val="00FD3344"/>
    <w:rsid w:val="00FD33C7"/>
    <w:rsid w:val="00FD33F0"/>
    <w:rsid w:val="00FD34BA"/>
    <w:rsid w:val="00FD35F8"/>
    <w:rsid w:val="00FD3616"/>
    <w:rsid w:val="00FD362A"/>
    <w:rsid w:val="00FD362C"/>
    <w:rsid w:val="00FD3641"/>
    <w:rsid w:val="00FD368D"/>
    <w:rsid w:val="00FD36AD"/>
    <w:rsid w:val="00FD36D6"/>
    <w:rsid w:val="00FD3714"/>
    <w:rsid w:val="00FD375B"/>
    <w:rsid w:val="00FD37BA"/>
    <w:rsid w:val="00FD382A"/>
    <w:rsid w:val="00FD3857"/>
    <w:rsid w:val="00FD38C1"/>
    <w:rsid w:val="00FD3908"/>
    <w:rsid w:val="00FD39B8"/>
    <w:rsid w:val="00FD39FA"/>
    <w:rsid w:val="00FD3AEA"/>
    <w:rsid w:val="00FD3B13"/>
    <w:rsid w:val="00FD3B33"/>
    <w:rsid w:val="00FD3B4F"/>
    <w:rsid w:val="00FD3B7B"/>
    <w:rsid w:val="00FD3BC3"/>
    <w:rsid w:val="00FD3BD1"/>
    <w:rsid w:val="00FD3BF8"/>
    <w:rsid w:val="00FD3C10"/>
    <w:rsid w:val="00FD3C61"/>
    <w:rsid w:val="00FD3C85"/>
    <w:rsid w:val="00FD3C88"/>
    <w:rsid w:val="00FD3D35"/>
    <w:rsid w:val="00FD3D59"/>
    <w:rsid w:val="00FD3E15"/>
    <w:rsid w:val="00FD3E1D"/>
    <w:rsid w:val="00FD3E52"/>
    <w:rsid w:val="00FD3E7B"/>
    <w:rsid w:val="00FD3EC3"/>
    <w:rsid w:val="00FD3F4C"/>
    <w:rsid w:val="00FD3F51"/>
    <w:rsid w:val="00FD4019"/>
    <w:rsid w:val="00FD4047"/>
    <w:rsid w:val="00FD407A"/>
    <w:rsid w:val="00FD40BB"/>
    <w:rsid w:val="00FD416F"/>
    <w:rsid w:val="00FD419C"/>
    <w:rsid w:val="00FD4234"/>
    <w:rsid w:val="00FD42C5"/>
    <w:rsid w:val="00FD42F7"/>
    <w:rsid w:val="00FD432B"/>
    <w:rsid w:val="00FD4384"/>
    <w:rsid w:val="00FD4389"/>
    <w:rsid w:val="00FD440D"/>
    <w:rsid w:val="00FD442F"/>
    <w:rsid w:val="00FD445A"/>
    <w:rsid w:val="00FD456E"/>
    <w:rsid w:val="00FD4581"/>
    <w:rsid w:val="00FD459D"/>
    <w:rsid w:val="00FD45C4"/>
    <w:rsid w:val="00FD47D1"/>
    <w:rsid w:val="00FD47D9"/>
    <w:rsid w:val="00FD47E9"/>
    <w:rsid w:val="00FD47EB"/>
    <w:rsid w:val="00FD48B4"/>
    <w:rsid w:val="00FD48B6"/>
    <w:rsid w:val="00FD4994"/>
    <w:rsid w:val="00FD4A6F"/>
    <w:rsid w:val="00FD4AA9"/>
    <w:rsid w:val="00FD4B2A"/>
    <w:rsid w:val="00FD4B33"/>
    <w:rsid w:val="00FD4BD9"/>
    <w:rsid w:val="00FD4BF5"/>
    <w:rsid w:val="00FD4C0E"/>
    <w:rsid w:val="00FD4CAA"/>
    <w:rsid w:val="00FD4CC0"/>
    <w:rsid w:val="00FD4D60"/>
    <w:rsid w:val="00FD4FF7"/>
    <w:rsid w:val="00FD506D"/>
    <w:rsid w:val="00FD5126"/>
    <w:rsid w:val="00FD513B"/>
    <w:rsid w:val="00FD5226"/>
    <w:rsid w:val="00FD522B"/>
    <w:rsid w:val="00FD523B"/>
    <w:rsid w:val="00FD5266"/>
    <w:rsid w:val="00FD52C3"/>
    <w:rsid w:val="00FD5359"/>
    <w:rsid w:val="00FD5366"/>
    <w:rsid w:val="00FD5384"/>
    <w:rsid w:val="00FD53F1"/>
    <w:rsid w:val="00FD5486"/>
    <w:rsid w:val="00FD54C9"/>
    <w:rsid w:val="00FD54CB"/>
    <w:rsid w:val="00FD54F4"/>
    <w:rsid w:val="00FD5583"/>
    <w:rsid w:val="00FD55E2"/>
    <w:rsid w:val="00FD5669"/>
    <w:rsid w:val="00FD5675"/>
    <w:rsid w:val="00FD567D"/>
    <w:rsid w:val="00FD570E"/>
    <w:rsid w:val="00FD5746"/>
    <w:rsid w:val="00FD581A"/>
    <w:rsid w:val="00FD5908"/>
    <w:rsid w:val="00FD5944"/>
    <w:rsid w:val="00FD5973"/>
    <w:rsid w:val="00FD5974"/>
    <w:rsid w:val="00FD59B2"/>
    <w:rsid w:val="00FD5A38"/>
    <w:rsid w:val="00FD5A6D"/>
    <w:rsid w:val="00FD5AEF"/>
    <w:rsid w:val="00FD5B1F"/>
    <w:rsid w:val="00FD5B2B"/>
    <w:rsid w:val="00FD5BF2"/>
    <w:rsid w:val="00FD5C4E"/>
    <w:rsid w:val="00FD5C87"/>
    <w:rsid w:val="00FD5D6D"/>
    <w:rsid w:val="00FD5D8B"/>
    <w:rsid w:val="00FD5DEC"/>
    <w:rsid w:val="00FD5E9C"/>
    <w:rsid w:val="00FD5EF2"/>
    <w:rsid w:val="00FD602E"/>
    <w:rsid w:val="00FD604E"/>
    <w:rsid w:val="00FD6084"/>
    <w:rsid w:val="00FD60C1"/>
    <w:rsid w:val="00FD6120"/>
    <w:rsid w:val="00FD613E"/>
    <w:rsid w:val="00FD615E"/>
    <w:rsid w:val="00FD6227"/>
    <w:rsid w:val="00FD62BA"/>
    <w:rsid w:val="00FD62D8"/>
    <w:rsid w:val="00FD6300"/>
    <w:rsid w:val="00FD6327"/>
    <w:rsid w:val="00FD6353"/>
    <w:rsid w:val="00FD637B"/>
    <w:rsid w:val="00FD63BF"/>
    <w:rsid w:val="00FD6467"/>
    <w:rsid w:val="00FD6476"/>
    <w:rsid w:val="00FD6479"/>
    <w:rsid w:val="00FD64A4"/>
    <w:rsid w:val="00FD64BD"/>
    <w:rsid w:val="00FD65A2"/>
    <w:rsid w:val="00FD65D0"/>
    <w:rsid w:val="00FD65E4"/>
    <w:rsid w:val="00FD67C6"/>
    <w:rsid w:val="00FD67D3"/>
    <w:rsid w:val="00FD67D7"/>
    <w:rsid w:val="00FD68B5"/>
    <w:rsid w:val="00FD6941"/>
    <w:rsid w:val="00FD6943"/>
    <w:rsid w:val="00FD694F"/>
    <w:rsid w:val="00FD69E1"/>
    <w:rsid w:val="00FD69ED"/>
    <w:rsid w:val="00FD6A5F"/>
    <w:rsid w:val="00FD6B05"/>
    <w:rsid w:val="00FD6C32"/>
    <w:rsid w:val="00FD6CC1"/>
    <w:rsid w:val="00FD6CCD"/>
    <w:rsid w:val="00FD6D10"/>
    <w:rsid w:val="00FD6D46"/>
    <w:rsid w:val="00FD6D5F"/>
    <w:rsid w:val="00FD6D68"/>
    <w:rsid w:val="00FD6D71"/>
    <w:rsid w:val="00FD6D8F"/>
    <w:rsid w:val="00FD6E23"/>
    <w:rsid w:val="00FD6EE0"/>
    <w:rsid w:val="00FD6F59"/>
    <w:rsid w:val="00FD6F8D"/>
    <w:rsid w:val="00FD6FA9"/>
    <w:rsid w:val="00FD7000"/>
    <w:rsid w:val="00FD7079"/>
    <w:rsid w:val="00FD70D4"/>
    <w:rsid w:val="00FD70DC"/>
    <w:rsid w:val="00FD71BA"/>
    <w:rsid w:val="00FD71F4"/>
    <w:rsid w:val="00FD7204"/>
    <w:rsid w:val="00FD729C"/>
    <w:rsid w:val="00FD72D6"/>
    <w:rsid w:val="00FD7332"/>
    <w:rsid w:val="00FD736D"/>
    <w:rsid w:val="00FD739E"/>
    <w:rsid w:val="00FD73D2"/>
    <w:rsid w:val="00FD73E3"/>
    <w:rsid w:val="00FD7414"/>
    <w:rsid w:val="00FD746D"/>
    <w:rsid w:val="00FD747B"/>
    <w:rsid w:val="00FD74B3"/>
    <w:rsid w:val="00FD75D5"/>
    <w:rsid w:val="00FD75E4"/>
    <w:rsid w:val="00FD7698"/>
    <w:rsid w:val="00FD76AF"/>
    <w:rsid w:val="00FD76BA"/>
    <w:rsid w:val="00FD7717"/>
    <w:rsid w:val="00FD771A"/>
    <w:rsid w:val="00FD7766"/>
    <w:rsid w:val="00FD77A8"/>
    <w:rsid w:val="00FD77E1"/>
    <w:rsid w:val="00FD77E4"/>
    <w:rsid w:val="00FD7838"/>
    <w:rsid w:val="00FD7840"/>
    <w:rsid w:val="00FD78BD"/>
    <w:rsid w:val="00FD7912"/>
    <w:rsid w:val="00FD7951"/>
    <w:rsid w:val="00FD7961"/>
    <w:rsid w:val="00FD7A04"/>
    <w:rsid w:val="00FD7A3E"/>
    <w:rsid w:val="00FD7A6E"/>
    <w:rsid w:val="00FD7B34"/>
    <w:rsid w:val="00FD7B3B"/>
    <w:rsid w:val="00FD7BC9"/>
    <w:rsid w:val="00FD7BCC"/>
    <w:rsid w:val="00FD7CBB"/>
    <w:rsid w:val="00FD7CC4"/>
    <w:rsid w:val="00FD7CE6"/>
    <w:rsid w:val="00FD7D37"/>
    <w:rsid w:val="00FD7D92"/>
    <w:rsid w:val="00FD7E15"/>
    <w:rsid w:val="00FD7E5F"/>
    <w:rsid w:val="00FD7E7D"/>
    <w:rsid w:val="00FD7E81"/>
    <w:rsid w:val="00FD7E8B"/>
    <w:rsid w:val="00FD7F02"/>
    <w:rsid w:val="00FD7F96"/>
    <w:rsid w:val="00FE0087"/>
    <w:rsid w:val="00FE0088"/>
    <w:rsid w:val="00FE01A5"/>
    <w:rsid w:val="00FE01A9"/>
    <w:rsid w:val="00FE0202"/>
    <w:rsid w:val="00FE0215"/>
    <w:rsid w:val="00FE0229"/>
    <w:rsid w:val="00FE0262"/>
    <w:rsid w:val="00FE028A"/>
    <w:rsid w:val="00FE0294"/>
    <w:rsid w:val="00FE02A3"/>
    <w:rsid w:val="00FE02B8"/>
    <w:rsid w:val="00FE0384"/>
    <w:rsid w:val="00FE03D0"/>
    <w:rsid w:val="00FE041F"/>
    <w:rsid w:val="00FE0484"/>
    <w:rsid w:val="00FE04A9"/>
    <w:rsid w:val="00FE0501"/>
    <w:rsid w:val="00FE0570"/>
    <w:rsid w:val="00FE0582"/>
    <w:rsid w:val="00FE059C"/>
    <w:rsid w:val="00FE0688"/>
    <w:rsid w:val="00FE06D9"/>
    <w:rsid w:val="00FE0706"/>
    <w:rsid w:val="00FE0723"/>
    <w:rsid w:val="00FE0737"/>
    <w:rsid w:val="00FE08CF"/>
    <w:rsid w:val="00FE093F"/>
    <w:rsid w:val="00FE09A1"/>
    <w:rsid w:val="00FE09C8"/>
    <w:rsid w:val="00FE09D7"/>
    <w:rsid w:val="00FE0A10"/>
    <w:rsid w:val="00FE0A50"/>
    <w:rsid w:val="00FE0A9F"/>
    <w:rsid w:val="00FE0AFA"/>
    <w:rsid w:val="00FE0B16"/>
    <w:rsid w:val="00FE0B35"/>
    <w:rsid w:val="00FE0C2E"/>
    <w:rsid w:val="00FE0C6D"/>
    <w:rsid w:val="00FE0C77"/>
    <w:rsid w:val="00FE0CA5"/>
    <w:rsid w:val="00FE0CB2"/>
    <w:rsid w:val="00FE0CDA"/>
    <w:rsid w:val="00FE0D2B"/>
    <w:rsid w:val="00FE0D3E"/>
    <w:rsid w:val="00FE0D9B"/>
    <w:rsid w:val="00FE0DB3"/>
    <w:rsid w:val="00FE0DD0"/>
    <w:rsid w:val="00FE0E4E"/>
    <w:rsid w:val="00FE0F28"/>
    <w:rsid w:val="00FE0FBD"/>
    <w:rsid w:val="00FE104A"/>
    <w:rsid w:val="00FE10C2"/>
    <w:rsid w:val="00FE1140"/>
    <w:rsid w:val="00FE114F"/>
    <w:rsid w:val="00FE12CC"/>
    <w:rsid w:val="00FE131B"/>
    <w:rsid w:val="00FE138F"/>
    <w:rsid w:val="00FE13E6"/>
    <w:rsid w:val="00FE1474"/>
    <w:rsid w:val="00FE1491"/>
    <w:rsid w:val="00FE14EB"/>
    <w:rsid w:val="00FE159F"/>
    <w:rsid w:val="00FE15E1"/>
    <w:rsid w:val="00FE15F8"/>
    <w:rsid w:val="00FE1610"/>
    <w:rsid w:val="00FE1612"/>
    <w:rsid w:val="00FE1652"/>
    <w:rsid w:val="00FE168D"/>
    <w:rsid w:val="00FE1751"/>
    <w:rsid w:val="00FE182A"/>
    <w:rsid w:val="00FE185F"/>
    <w:rsid w:val="00FE1881"/>
    <w:rsid w:val="00FE18AA"/>
    <w:rsid w:val="00FE19AA"/>
    <w:rsid w:val="00FE1A2A"/>
    <w:rsid w:val="00FE1ADE"/>
    <w:rsid w:val="00FE1BE2"/>
    <w:rsid w:val="00FE1C66"/>
    <w:rsid w:val="00FE1C6B"/>
    <w:rsid w:val="00FE1D1C"/>
    <w:rsid w:val="00FE1D8E"/>
    <w:rsid w:val="00FE1DCA"/>
    <w:rsid w:val="00FE1DE5"/>
    <w:rsid w:val="00FE1EF5"/>
    <w:rsid w:val="00FE1F50"/>
    <w:rsid w:val="00FE1F5B"/>
    <w:rsid w:val="00FE1F76"/>
    <w:rsid w:val="00FE1F7D"/>
    <w:rsid w:val="00FE1FF7"/>
    <w:rsid w:val="00FE20DA"/>
    <w:rsid w:val="00FE21E5"/>
    <w:rsid w:val="00FE21ED"/>
    <w:rsid w:val="00FE2217"/>
    <w:rsid w:val="00FE22A2"/>
    <w:rsid w:val="00FE2321"/>
    <w:rsid w:val="00FE246C"/>
    <w:rsid w:val="00FE247A"/>
    <w:rsid w:val="00FE247C"/>
    <w:rsid w:val="00FE24F9"/>
    <w:rsid w:val="00FE2513"/>
    <w:rsid w:val="00FE251E"/>
    <w:rsid w:val="00FE2590"/>
    <w:rsid w:val="00FE25AC"/>
    <w:rsid w:val="00FE2636"/>
    <w:rsid w:val="00FE2671"/>
    <w:rsid w:val="00FE26A6"/>
    <w:rsid w:val="00FE2790"/>
    <w:rsid w:val="00FE2881"/>
    <w:rsid w:val="00FE29A1"/>
    <w:rsid w:val="00FE2A16"/>
    <w:rsid w:val="00FE2AAC"/>
    <w:rsid w:val="00FE2AD3"/>
    <w:rsid w:val="00FE2B45"/>
    <w:rsid w:val="00FE2B96"/>
    <w:rsid w:val="00FE2BA7"/>
    <w:rsid w:val="00FE2C21"/>
    <w:rsid w:val="00FE2C30"/>
    <w:rsid w:val="00FE2CA5"/>
    <w:rsid w:val="00FE2CAA"/>
    <w:rsid w:val="00FE2CDE"/>
    <w:rsid w:val="00FE2D1C"/>
    <w:rsid w:val="00FE2D55"/>
    <w:rsid w:val="00FE2D77"/>
    <w:rsid w:val="00FE2E21"/>
    <w:rsid w:val="00FE2EB3"/>
    <w:rsid w:val="00FE2F30"/>
    <w:rsid w:val="00FE2F44"/>
    <w:rsid w:val="00FE3086"/>
    <w:rsid w:val="00FE3092"/>
    <w:rsid w:val="00FE3138"/>
    <w:rsid w:val="00FE3279"/>
    <w:rsid w:val="00FE3282"/>
    <w:rsid w:val="00FE32F8"/>
    <w:rsid w:val="00FE3397"/>
    <w:rsid w:val="00FE33AC"/>
    <w:rsid w:val="00FE33E9"/>
    <w:rsid w:val="00FE3440"/>
    <w:rsid w:val="00FE35E6"/>
    <w:rsid w:val="00FE363D"/>
    <w:rsid w:val="00FE3642"/>
    <w:rsid w:val="00FE3648"/>
    <w:rsid w:val="00FE364E"/>
    <w:rsid w:val="00FE3679"/>
    <w:rsid w:val="00FE367B"/>
    <w:rsid w:val="00FE372F"/>
    <w:rsid w:val="00FE38B5"/>
    <w:rsid w:val="00FE3907"/>
    <w:rsid w:val="00FE3A65"/>
    <w:rsid w:val="00FE3BBC"/>
    <w:rsid w:val="00FE3BDB"/>
    <w:rsid w:val="00FE3BE0"/>
    <w:rsid w:val="00FE3C74"/>
    <w:rsid w:val="00FE3C7D"/>
    <w:rsid w:val="00FE3C9F"/>
    <w:rsid w:val="00FE3D47"/>
    <w:rsid w:val="00FE3DB3"/>
    <w:rsid w:val="00FE3DE8"/>
    <w:rsid w:val="00FE3E23"/>
    <w:rsid w:val="00FE3F1F"/>
    <w:rsid w:val="00FE3F7A"/>
    <w:rsid w:val="00FE3F80"/>
    <w:rsid w:val="00FE3FC8"/>
    <w:rsid w:val="00FE4037"/>
    <w:rsid w:val="00FE403B"/>
    <w:rsid w:val="00FE405C"/>
    <w:rsid w:val="00FE40F4"/>
    <w:rsid w:val="00FE42C8"/>
    <w:rsid w:val="00FE442A"/>
    <w:rsid w:val="00FE4438"/>
    <w:rsid w:val="00FE4492"/>
    <w:rsid w:val="00FE4589"/>
    <w:rsid w:val="00FE4637"/>
    <w:rsid w:val="00FE463A"/>
    <w:rsid w:val="00FE4683"/>
    <w:rsid w:val="00FE469F"/>
    <w:rsid w:val="00FE46A8"/>
    <w:rsid w:val="00FE46AA"/>
    <w:rsid w:val="00FE4743"/>
    <w:rsid w:val="00FE4843"/>
    <w:rsid w:val="00FE489A"/>
    <w:rsid w:val="00FE4923"/>
    <w:rsid w:val="00FE4937"/>
    <w:rsid w:val="00FE4979"/>
    <w:rsid w:val="00FE497F"/>
    <w:rsid w:val="00FE498C"/>
    <w:rsid w:val="00FE49C1"/>
    <w:rsid w:val="00FE49DE"/>
    <w:rsid w:val="00FE4A3F"/>
    <w:rsid w:val="00FE4AA1"/>
    <w:rsid w:val="00FE4AF2"/>
    <w:rsid w:val="00FE4B3E"/>
    <w:rsid w:val="00FE4BAB"/>
    <w:rsid w:val="00FE4BDC"/>
    <w:rsid w:val="00FE4C04"/>
    <w:rsid w:val="00FE4C0C"/>
    <w:rsid w:val="00FE4C2A"/>
    <w:rsid w:val="00FE4C79"/>
    <w:rsid w:val="00FE4C98"/>
    <w:rsid w:val="00FE4CCC"/>
    <w:rsid w:val="00FE4D80"/>
    <w:rsid w:val="00FE4F9C"/>
    <w:rsid w:val="00FE4FA0"/>
    <w:rsid w:val="00FE501B"/>
    <w:rsid w:val="00FE5083"/>
    <w:rsid w:val="00FE5086"/>
    <w:rsid w:val="00FE50EE"/>
    <w:rsid w:val="00FE50F6"/>
    <w:rsid w:val="00FE510D"/>
    <w:rsid w:val="00FE5119"/>
    <w:rsid w:val="00FE5169"/>
    <w:rsid w:val="00FE518F"/>
    <w:rsid w:val="00FE519F"/>
    <w:rsid w:val="00FE51C1"/>
    <w:rsid w:val="00FE5223"/>
    <w:rsid w:val="00FE5226"/>
    <w:rsid w:val="00FE5227"/>
    <w:rsid w:val="00FE5280"/>
    <w:rsid w:val="00FE52D0"/>
    <w:rsid w:val="00FE538D"/>
    <w:rsid w:val="00FE53B6"/>
    <w:rsid w:val="00FE53D3"/>
    <w:rsid w:val="00FE5418"/>
    <w:rsid w:val="00FE5433"/>
    <w:rsid w:val="00FE5484"/>
    <w:rsid w:val="00FE5572"/>
    <w:rsid w:val="00FE560A"/>
    <w:rsid w:val="00FE563D"/>
    <w:rsid w:val="00FE5682"/>
    <w:rsid w:val="00FE569E"/>
    <w:rsid w:val="00FE5720"/>
    <w:rsid w:val="00FE578A"/>
    <w:rsid w:val="00FE57B3"/>
    <w:rsid w:val="00FE5853"/>
    <w:rsid w:val="00FE587E"/>
    <w:rsid w:val="00FE59C2"/>
    <w:rsid w:val="00FE5A14"/>
    <w:rsid w:val="00FE5A34"/>
    <w:rsid w:val="00FE5A8A"/>
    <w:rsid w:val="00FE5B0F"/>
    <w:rsid w:val="00FE5B66"/>
    <w:rsid w:val="00FE5D0A"/>
    <w:rsid w:val="00FE5D83"/>
    <w:rsid w:val="00FE5D95"/>
    <w:rsid w:val="00FE5DA4"/>
    <w:rsid w:val="00FE5DF3"/>
    <w:rsid w:val="00FE5EC0"/>
    <w:rsid w:val="00FE5ECA"/>
    <w:rsid w:val="00FE5F07"/>
    <w:rsid w:val="00FE5F59"/>
    <w:rsid w:val="00FE5FBF"/>
    <w:rsid w:val="00FE5FD2"/>
    <w:rsid w:val="00FE608F"/>
    <w:rsid w:val="00FE60AC"/>
    <w:rsid w:val="00FE60E2"/>
    <w:rsid w:val="00FE6157"/>
    <w:rsid w:val="00FE61B2"/>
    <w:rsid w:val="00FE6223"/>
    <w:rsid w:val="00FE6236"/>
    <w:rsid w:val="00FE625C"/>
    <w:rsid w:val="00FE62B5"/>
    <w:rsid w:val="00FE62F1"/>
    <w:rsid w:val="00FE6322"/>
    <w:rsid w:val="00FE6348"/>
    <w:rsid w:val="00FE63ED"/>
    <w:rsid w:val="00FE64E9"/>
    <w:rsid w:val="00FE651C"/>
    <w:rsid w:val="00FE6554"/>
    <w:rsid w:val="00FE6635"/>
    <w:rsid w:val="00FE664F"/>
    <w:rsid w:val="00FE6682"/>
    <w:rsid w:val="00FE66D6"/>
    <w:rsid w:val="00FE66D8"/>
    <w:rsid w:val="00FE66DE"/>
    <w:rsid w:val="00FE670A"/>
    <w:rsid w:val="00FE6744"/>
    <w:rsid w:val="00FE6766"/>
    <w:rsid w:val="00FE6858"/>
    <w:rsid w:val="00FE6902"/>
    <w:rsid w:val="00FE6A52"/>
    <w:rsid w:val="00FE6AA1"/>
    <w:rsid w:val="00FE6B10"/>
    <w:rsid w:val="00FE6B31"/>
    <w:rsid w:val="00FE6B57"/>
    <w:rsid w:val="00FE6B88"/>
    <w:rsid w:val="00FE6B98"/>
    <w:rsid w:val="00FE6BB2"/>
    <w:rsid w:val="00FE6BF9"/>
    <w:rsid w:val="00FE6D60"/>
    <w:rsid w:val="00FE6E38"/>
    <w:rsid w:val="00FE6E73"/>
    <w:rsid w:val="00FE6F1F"/>
    <w:rsid w:val="00FE705D"/>
    <w:rsid w:val="00FE7076"/>
    <w:rsid w:val="00FE71C0"/>
    <w:rsid w:val="00FE72BB"/>
    <w:rsid w:val="00FE73D1"/>
    <w:rsid w:val="00FE73EA"/>
    <w:rsid w:val="00FE73ED"/>
    <w:rsid w:val="00FE7457"/>
    <w:rsid w:val="00FE749A"/>
    <w:rsid w:val="00FE74E9"/>
    <w:rsid w:val="00FE751F"/>
    <w:rsid w:val="00FE754E"/>
    <w:rsid w:val="00FE7560"/>
    <w:rsid w:val="00FE75C8"/>
    <w:rsid w:val="00FE77E7"/>
    <w:rsid w:val="00FE7873"/>
    <w:rsid w:val="00FE7894"/>
    <w:rsid w:val="00FE7902"/>
    <w:rsid w:val="00FE793B"/>
    <w:rsid w:val="00FE79B1"/>
    <w:rsid w:val="00FE7A4F"/>
    <w:rsid w:val="00FE7D59"/>
    <w:rsid w:val="00FE7D98"/>
    <w:rsid w:val="00FE7DDF"/>
    <w:rsid w:val="00FE7ECC"/>
    <w:rsid w:val="00FE7F4A"/>
    <w:rsid w:val="00FE7FF2"/>
    <w:rsid w:val="00FF00E7"/>
    <w:rsid w:val="00FF012B"/>
    <w:rsid w:val="00FF023E"/>
    <w:rsid w:val="00FF0381"/>
    <w:rsid w:val="00FF03B4"/>
    <w:rsid w:val="00FF0486"/>
    <w:rsid w:val="00FF048A"/>
    <w:rsid w:val="00FF055B"/>
    <w:rsid w:val="00FF0581"/>
    <w:rsid w:val="00FF058A"/>
    <w:rsid w:val="00FF058F"/>
    <w:rsid w:val="00FF05D4"/>
    <w:rsid w:val="00FF061D"/>
    <w:rsid w:val="00FF0797"/>
    <w:rsid w:val="00FF07A1"/>
    <w:rsid w:val="00FF0845"/>
    <w:rsid w:val="00FF087F"/>
    <w:rsid w:val="00FF0926"/>
    <w:rsid w:val="00FF09B4"/>
    <w:rsid w:val="00FF0A43"/>
    <w:rsid w:val="00FF0A91"/>
    <w:rsid w:val="00FF0AE1"/>
    <w:rsid w:val="00FF0C7D"/>
    <w:rsid w:val="00FF0C83"/>
    <w:rsid w:val="00FF0CEC"/>
    <w:rsid w:val="00FF0D13"/>
    <w:rsid w:val="00FF0D2D"/>
    <w:rsid w:val="00FF0DA8"/>
    <w:rsid w:val="00FF0DAD"/>
    <w:rsid w:val="00FF0DE7"/>
    <w:rsid w:val="00FF0E0D"/>
    <w:rsid w:val="00FF0E43"/>
    <w:rsid w:val="00FF0E7A"/>
    <w:rsid w:val="00FF0EC4"/>
    <w:rsid w:val="00FF0F91"/>
    <w:rsid w:val="00FF0FA4"/>
    <w:rsid w:val="00FF0FB7"/>
    <w:rsid w:val="00FF1027"/>
    <w:rsid w:val="00FF1146"/>
    <w:rsid w:val="00FF118F"/>
    <w:rsid w:val="00FF11C1"/>
    <w:rsid w:val="00FF11D4"/>
    <w:rsid w:val="00FF11F9"/>
    <w:rsid w:val="00FF1285"/>
    <w:rsid w:val="00FF12A3"/>
    <w:rsid w:val="00FF1341"/>
    <w:rsid w:val="00FF137E"/>
    <w:rsid w:val="00FF1564"/>
    <w:rsid w:val="00FF158D"/>
    <w:rsid w:val="00FF15E6"/>
    <w:rsid w:val="00FF16B1"/>
    <w:rsid w:val="00FF170E"/>
    <w:rsid w:val="00FF171B"/>
    <w:rsid w:val="00FF18C1"/>
    <w:rsid w:val="00FF1928"/>
    <w:rsid w:val="00FF1966"/>
    <w:rsid w:val="00FF1A05"/>
    <w:rsid w:val="00FF1ADF"/>
    <w:rsid w:val="00FF1B59"/>
    <w:rsid w:val="00FF1BEB"/>
    <w:rsid w:val="00FF1CA0"/>
    <w:rsid w:val="00FF1CC1"/>
    <w:rsid w:val="00FF1E5F"/>
    <w:rsid w:val="00FF1E88"/>
    <w:rsid w:val="00FF1EA4"/>
    <w:rsid w:val="00FF1F0F"/>
    <w:rsid w:val="00FF1F26"/>
    <w:rsid w:val="00FF1F55"/>
    <w:rsid w:val="00FF1FA2"/>
    <w:rsid w:val="00FF1FED"/>
    <w:rsid w:val="00FF1FF0"/>
    <w:rsid w:val="00FF204F"/>
    <w:rsid w:val="00FF2146"/>
    <w:rsid w:val="00FF217A"/>
    <w:rsid w:val="00FF21BA"/>
    <w:rsid w:val="00FF21C4"/>
    <w:rsid w:val="00FF22F2"/>
    <w:rsid w:val="00FF2319"/>
    <w:rsid w:val="00FF2391"/>
    <w:rsid w:val="00FF23BC"/>
    <w:rsid w:val="00FF24AA"/>
    <w:rsid w:val="00FF24BB"/>
    <w:rsid w:val="00FF24CB"/>
    <w:rsid w:val="00FF24EB"/>
    <w:rsid w:val="00FF2501"/>
    <w:rsid w:val="00FF251B"/>
    <w:rsid w:val="00FF25C1"/>
    <w:rsid w:val="00FF261D"/>
    <w:rsid w:val="00FF2623"/>
    <w:rsid w:val="00FF264E"/>
    <w:rsid w:val="00FF2709"/>
    <w:rsid w:val="00FF2715"/>
    <w:rsid w:val="00FF272A"/>
    <w:rsid w:val="00FF2751"/>
    <w:rsid w:val="00FF278C"/>
    <w:rsid w:val="00FF27F9"/>
    <w:rsid w:val="00FF28A7"/>
    <w:rsid w:val="00FF28DA"/>
    <w:rsid w:val="00FF28F0"/>
    <w:rsid w:val="00FF28F2"/>
    <w:rsid w:val="00FF2930"/>
    <w:rsid w:val="00FF29C6"/>
    <w:rsid w:val="00FF2A1E"/>
    <w:rsid w:val="00FF2AFF"/>
    <w:rsid w:val="00FF2BB7"/>
    <w:rsid w:val="00FF2C54"/>
    <w:rsid w:val="00FF2CF1"/>
    <w:rsid w:val="00FF2D6A"/>
    <w:rsid w:val="00FF2E62"/>
    <w:rsid w:val="00FF2EB9"/>
    <w:rsid w:val="00FF2F6E"/>
    <w:rsid w:val="00FF300C"/>
    <w:rsid w:val="00FF30BF"/>
    <w:rsid w:val="00FF3109"/>
    <w:rsid w:val="00FF328E"/>
    <w:rsid w:val="00FF32D5"/>
    <w:rsid w:val="00FF32EE"/>
    <w:rsid w:val="00FF3346"/>
    <w:rsid w:val="00FF3360"/>
    <w:rsid w:val="00FF339D"/>
    <w:rsid w:val="00FF33BB"/>
    <w:rsid w:val="00FF33F2"/>
    <w:rsid w:val="00FF343F"/>
    <w:rsid w:val="00FF349B"/>
    <w:rsid w:val="00FF34EE"/>
    <w:rsid w:val="00FF3550"/>
    <w:rsid w:val="00FF35F2"/>
    <w:rsid w:val="00FF362C"/>
    <w:rsid w:val="00FF36CB"/>
    <w:rsid w:val="00FF371E"/>
    <w:rsid w:val="00FF3723"/>
    <w:rsid w:val="00FF377E"/>
    <w:rsid w:val="00FF37B1"/>
    <w:rsid w:val="00FF37C2"/>
    <w:rsid w:val="00FF3801"/>
    <w:rsid w:val="00FF386C"/>
    <w:rsid w:val="00FF38C0"/>
    <w:rsid w:val="00FF38CB"/>
    <w:rsid w:val="00FF38D1"/>
    <w:rsid w:val="00FF38E9"/>
    <w:rsid w:val="00FF3975"/>
    <w:rsid w:val="00FF3AB3"/>
    <w:rsid w:val="00FF3ACB"/>
    <w:rsid w:val="00FF3AF0"/>
    <w:rsid w:val="00FF3B59"/>
    <w:rsid w:val="00FF3C71"/>
    <w:rsid w:val="00FF3CD4"/>
    <w:rsid w:val="00FF3D84"/>
    <w:rsid w:val="00FF3DE3"/>
    <w:rsid w:val="00FF3F0B"/>
    <w:rsid w:val="00FF3FAE"/>
    <w:rsid w:val="00FF3FD2"/>
    <w:rsid w:val="00FF3FF2"/>
    <w:rsid w:val="00FF3FFD"/>
    <w:rsid w:val="00FF405B"/>
    <w:rsid w:val="00FF4060"/>
    <w:rsid w:val="00FF409F"/>
    <w:rsid w:val="00FF40B1"/>
    <w:rsid w:val="00FF40EB"/>
    <w:rsid w:val="00FF417A"/>
    <w:rsid w:val="00FF4182"/>
    <w:rsid w:val="00FF41BC"/>
    <w:rsid w:val="00FF427F"/>
    <w:rsid w:val="00FF42CE"/>
    <w:rsid w:val="00FF433F"/>
    <w:rsid w:val="00FF435D"/>
    <w:rsid w:val="00FF436F"/>
    <w:rsid w:val="00FF4392"/>
    <w:rsid w:val="00FF43A7"/>
    <w:rsid w:val="00FF43FD"/>
    <w:rsid w:val="00FF441F"/>
    <w:rsid w:val="00FF4447"/>
    <w:rsid w:val="00FF44C3"/>
    <w:rsid w:val="00FF44C9"/>
    <w:rsid w:val="00FF4520"/>
    <w:rsid w:val="00FF4560"/>
    <w:rsid w:val="00FF4563"/>
    <w:rsid w:val="00FF458D"/>
    <w:rsid w:val="00FF45BA"/>
    <w:rsid w:val="00FF45DF"/>
    <w:rsid w:val="00FF45E7"/>
    <w:rsid w:val="00FF464E"/>
    <w:rsid w:val="00FF467E"/>
    <w:rsid w:val="00FF46A1"/>
    <w:rsid w:val="00FF46CC"/>
    <w:rsid w:val="00FF472A"/>
    <w:rsid w:val="00FF475D"/>
    <w:rsid w:val="00FF47E6"/>
    <w:rsid w:val="00FF47EC"/>
    <w:rsid w:val="00FF4831"/>
    <w:rsid w:val="00FF486B"/>
    <w:rsid w:val="00FF48B6"/>
    <w:rsid w:val="00FF4942"/>
    <w:rsid w:val="00FF49CA"/>
    <w:rsid w:val="00FF4A09"/>
    <w:rsid w:val="00FF4A75"/>
    <w:rsid w:val="00FF4A7C"/>
    <w:rsid w:val="00FF4AC2"/>
    <w:rsid w:val="00FF4B01"/>
    <w:rsid w:val="00FF4BFD"/>
    <w:rsid w:val="00FF4CF8"/>
    <w:rsid w:val="00FF4D78"/>
    <w:rsid w:val="00FF4D9B"/>
    <w:rsid w:val="00FF4DFF"/>
    <w:rsid w:val="00FF4E21"/>
    <w:rsid w:val="00FF4E8E"/>
    <w:rsid w:val="00FF4EDE"/>
    <w:rsid w:val="00FF4EFB"/>
    <w:rsid w:val="00FF4F13"/>
    <w:rsid w:val="00FF4F31"/>
    <w:rsid w:val="00FF507B"/>
    <w:rsid w:val="00FF50A2"/>
    <w:rsid w:val="00FF50EE"/>
    <w:rsid w:val="00FF51E3"/>
    <w:rsid w:val="00FF5254"/>
    <w:rsid w:val="00FF528F"/>
    <w:rsid w:val="00FF52D2"/>
    <w:rsid w:val="00FF52E6"/>
    <w:rsid w:val="00FF530F"/>
    <w:rsid w:val="00FF536D"/>
    <w:rsid w:val="00FF5373"/>
    <w:rsid w:val="00FF53B1"/>
    <w:rsid w:val="00FF53FF"/>
    <w:rsid w:val="00FF5431"/>
    <w:rsid w:val="00FF556F"/>
    <w:rsid w:val="00FF5589"/>
    <w:rsid w:val="00FF56F9"/>
    <w:rsid w:val="00FF56FE"/>
    <w:rsid w:val="00FF57C4"/>
    <w:rsid w:val="00FF57CF"/>
    <w:rsid w:val="00FF5831"/>
    <w:rsid w:val="00FF584E"/>
    <w:rsid w:val="00FF58BB"/>
    <w:rsid w:val="00FF58E6"/>
    <w:rsid w:val="00FF58EC"/>
    <w:rsid w:val="00FF59DF"/>
    <w:rsid w:val="00FF5A40"/>
    <w:rsid w:val="00FF5A78"/>
    <w:rsid w:val="00FF5AC1"/>
    <w:rsid w:val="00FF5AD4"/>
    <w:rsid w:val="00FF5BCF"/>
    <w:rsid w:val="00FF5BE9"/>
    <w:rsid w:val="00FF5CF5"/>
    <w:rsid w:val="00FF5D9A"/>
    <w:rsid w:val="00FF5E86"/>
    <w:rsid w:val="00FF5E95"/>
    <w:rsid w:val="00FF5E97"/>
    <w:rsid w:val="00FF5EDA"/>
    <w:rsid w:val="00FF5EEA"/>
    <w:rsid w:val="00FF5EF4"/>
    <w:rsid w:val="00FF5F43"/>
    <w:rsid w:val="00FF5F60"/>
    <w:rsid w:val="00FF5FC6"/>
    <w:rsid w:val="00FF6063"/>
    <w:rsid w:val="00FF6184"/>
    <w:rsid w:val="00FF61B0"/>
    <w:rsid w:val="00FF6248"/>
    <w:rsid w:val="00FF6350"/>
    <w:rsid w:val="00FF6385"/>
    <w:rsid w:val="00FF6413"/>
    <w:rsid w:val="00FF6430"/>
    <w:rsid w:val="00FF643F"/>
    <w:rsid w:val="00FF6445"/>
    <w:rsid w:val="00FF6451"/>
    <w:rsid w:val="00FF6630"/>
    <w:rsid w:val="00FF66BF"/>
    <w:rsid w:val="00FF66CC"/>
    <w:rsid w:val="00FF684C"/>
    <w:rsid w:val="00FF68BC"/>
    <w:rsid w:val="00FF69DD"/>
    <w:rsid w:val="00FF6A66"/>
    <w:rsid w:val="00FF6ADE"/>
    <w:rsid w:val="00FF6B0B"/>
    <w:rsid w:val="00FF6B91"/>
    <w:rsid w:val="00FF6BBA"/>
    <w:rsid w:val="00FF6C10"/>
    <w:rsid w:val="00FF6C68"/>
    <w:rsid w:val="00FF6D49"/>
    <w:rsid w:val="00FF6D9D"/>
    <w:rsid w:val="00FF6E4F"/>
    <w:rsid w:val="00FF6F44"/>
    <w:rsid w:val="00FF7055"/>
    <w:rsid w:val="00FF70E4"/>
    <w:rsid w:val="00FF70F8"/>
    <w:rsid w:val="00FF7111"/>
    <w:rsid w:val="00FF7174"/>
    <w:rsid w:val="00FF717A"/>
    <w:rsid w:val="00FF71A0"/>
    <w:rsid w:val="00FF71E3"/>
    <w:rsid w:val="00FF7234"/>
    <w:rsid w:val="00FF7391"/>
    <w:rsid w:val="00FF73C0"/>
    <w:rsid w:val="00FF73C1"/>
    <w:rsid w:val="00FF7407"/>
    <w:rsid w:val="00FF74B7"/>
    <w:rsid w:val="00FF74F1"/>
    <w:rsid w:val="00FF7528"/>
    <w:rsid w:val="00FF75B3"/>
    <w:rsid w:val="00FF7626"/>
    <w:rsid w:val="00FF7693"/>
    <w:rsid w:val="00FF772D"/>
    <w:rsid w:val="00FF78F4"/>
    <w:rsid w:val="00FF797E"/>
    <w:rsid w:val="00FF799A"/>
    <w:rsid w:val="00FF79B0"/>
    <w:rsid w:val="00FF79B4"/>
    <w:rsid w:val="00FF7A65"/>
    <w:rsid w:val="00FF7A66"/>
    <w:rsid w:val="00FF7B04"/>
    <w:rsid w:val="00FF7B1F"/>
    <w:rsid w:val="00FF7BDC"/>
    <w:rsid w:val="00FF7C5F"/>
    <w:rsid w:val="00FF7D40"/>
    <w:rsid w:val="00FF7D6D"/>
    <w:rsid w:val="00FF7DD5"/>
    <w:rsid w:val="00FF7E0B"/>
    <w:rsid w:val="00FF7E29"/>
    <w:rsid w:val="00FF7F11"/>
    <w:rsid w:val="00FF7F4D"/>
    <w:rsid w:val="00FF7F77"/>
    <w:rsid w:val="011BAC68"/>
    <w:rsid w:val="01261A61"/>
    <w:rsid w:val="0129889A"/>
    <w:rsid w:val="012E1C21"/>
    <w:rsid w:val="012F513B"/>
    <w:rsid w:val="013A6657"/>
    <w:rsid w:val="01423682"/>
    <w:rsid w:val="0144B3CD"/>
    <w:rsid w:val="01619C76"/>
    <w:rsid w:val="0182695D"/>
    <w:rsid w:val="01945E74"/>
    <w:rsid w:val="01B8FD2F"/>
    <w:rsid w:val="01B9921C"/>
    <w:rsid w:val="01CD7761"/>
    <w:rsid w:val="01D3AF6B"/>
    <w:rsid w:val="01E03A89"/>
    <w:rsid w:val="01E28B3F"/>
    <w:rsid w:val="01E58766"/>
    <w:rsid w:val="01E5A283"/>
    <w:rsid w:val="01F3D6FC"/>
    <w:rsid w:val="01F51368"/>
    <w:rsid w:val="01F6A9A0"/>
    <w:rsid w:val="0215957E"/>
    <w:rsid w:val="021A839B"/>
    <w:rsid w:val="0220428E"/>
    <w:rsid w:val="0221E0BA"/>
    <w:rsid w:val="022BE352"/>
    <w:rsid w:val="0231ED9C"/>
    <w:rsid w:val="027156EA"/>
    <w:rsid w:val="0287EE96"/>
    <w:rsid w:val="028ADF48"/>
    <w:rsid w:val="029BD3C4"/>
    <w:rsid w:val="02A8E1E6"/>
    <w:rsid w:val="02BD159C"/>
    <w:rsid w:val="02CA7070"/>
    <w:rsid w:val="02D1BAEB"/>
    <w:rsid w:val="02E7476A"/>
    <w:rsid w:val="02F05E3F"/>
    <w:rsid w:val="031BCACB"/>
    <w:rsid w:val="032416CD"/>
    <w:rsid w:val="032552E1"/>
    <w:rsid w:val="0326CD85"/>
    <w:rsid w:val="032B4367"/>
    <w:rsid w:val="032C6B89"/>
    <w:rsid w:val="034015CF"/>
    <w:rsid w:val="03465894"/>
    <w:rsid w:val="03581C42"/>
    <w:rsid w:val="0359CE9B"/>
    <w:rsid w:val="03603E64"/>
    <w:rsid w:val="03694CEB"/>
    <w:rsid w:val="037320D3"/>
    <w:rsid w:val="039339F3"/>
    <w:rsid w:val="0399E016"/>
    <w:rsid w:val="03ADF300"/>
    <w:rsid w:val="03BFF24B"/>
    <w:rsid w:val="03C36659"/>
    <w:rsid w:val="03FA9F2D"/>
    <w:rsid w:val="04007F8E"/>
    <w:rsid w:val="04084DDB"/>
    <w:rsid w:val="040B9811"/>
    <w:rsid w:val="0410D2D4"/>
    <w:rsid w:val="04134428"/>
    <w:rsid w:val="04149B1C"/>
    <w:rsid w:val="041796FD"/>
    <w:rsid w:val="0419EB1D"/>
    <w:rsid w:val="042D6B83"/>
    <w:rsid w:val="044A5A3F"/>
    <w:rsid w:val="045022FC"/>
    <w:rsid w:val="0459AC56"/>
    <w:rsid w:val="045D23AB"/>
    <w:rsid w:val="046D7C53"/>
    <w:rsid w:val="046FBDE5"/>
    <w:rsid w:val="0484F230"/>
    <w:rsid w:val="04A1A6BC"/>
    <w:rsid w:val="04B24F6A"/>
    <w:rsid w:val="04C1C0CF"/>
    <w:rsid w:val="04C895F9"/>
    <w:rsid w:val="04CCC95F"/>
    <w:rsid w:val="04E3FEDB"/>
    <w:rsid w:val="04F58E55"/>
    <w:rsid w:val="04F649FA"/>
    <w:rsid w:val="04FBC9D7"/>
    <w:rsid w:val="04FCDEF4"/>
    <w:rsid w:val="05405720"/>
    <w:rsid w:val="05461303"/>
    <w:rsid w:val="057316A9"/>
    <w:rsid w:val="05831B77"/>
    <w:rsid w:val="0583E6B5"/>
    <w:rsid w:val="0593FD11"/>
    <w:rsid w:val="059462D6"/>
    <w:rsid w:val="05971B1C"/>
    <w:rsid w:val="059ABBB6"/>
    <w:rsid w:val="05A9C0CD"/>
    <w:rsid w:val="05ACB44D"/>
    <w:rsid w:val="05C02B95"/>
    <w:rsid w:val="05C4F844"/>
    <w:rsid w:val="05C672BE"/>
    <w:rsid w:val="05C685E8"/>
    <w:rsid w:val="05C9FA19"/>
    <w:rsid w:val="05D448B7"/>
    <w:rsid w:val="05E14650"/>
    <w:rsid w:val="05EA5FC6"/>
    <w:rsid w:val="05FBA2C6"/>
    <w:rsid w:val="0608B31D"/>
    <w:rsid w:val="0610E7A3"/>
    <w:rsid w:val="0616C6CB"/>
    <w:rsid w:val="0618A82E"/>
    <w:rsid w:val="061AC797"/>
    <w:rsid w:val="063CC84E"/>
    <w:rsid w:val="064B22D2"/>
    <w:rsid w:val="06548C49"/>
    <w:rsid w:val="06573604"/>
    <w:rsid w:val="065E24B4"/>
    <w:rsid w:val="06650AE3"/>
    <w:rsid w:val="06655356"/>
    <w:rsid w:val="0671D8E9"/>
    <w:rsid w:val="067579F3"/>
    <w:rsid w:val="0678A3C5"/>
    <w:rsid w:val="0686C203"/>
    <w:rsid w:val="06874587"/>
    <w:rsid w:val="06A0C714"/>
    <w:rsid w:val="06A10523"/>
    <w:rsid w:val="06A1D97D"/>
    <w:rsid w:val="06B2B782"/>
    <w:rsid w:val="06B3F175"/>
    <w:rsid w:val="06BAB069"/>
    <w:rsid w:val="06C10620"/>
    <w:rsid w:val="06C5F087"/>
    <w:rsid w:val="06CDE03A"/>
    <w:rsid w:val="06EB56E9"/>
    <w:rsid w:val="06F5CCAF"/>
    <w:rsid w:val="07079BA9"/>
    <w:rsid w:val="07129802"/>
    <w:rsid w:val="0732E39C"/>
    <w:rsid w:val="0742E4AA"/>
    <w:rsid w:val="0745B322"/>
    <w:rsid w:val="074E4DC9"/>
    <w:rsid w:val="07556A1A"/>
    <w:rsid w:val="0761FB87"/>
    <w:rsid w:val="07637561"/>
    <w:rsid w:val="076ECC8C"/>
    <w:rsid w:val="076F0103"/>
    <w:rsid w:val="0789EA96"/>
    <w:rsid w:val="0792CD70"/>
    <w:rsid w:val="07935DDC"/>
    <w:rsid w:val="07982E06"/>
    <w:rsid w:val="079A6CF3"/>
    <w:rsid w:val="07A2BAC0"/>
    <w:rsid w:val="07D3D2C4"/>
    <w:rsid w:val="07D406AA"/>
    <w:rsid w:val="07D81CD1"/>
    <w:rsid w:val="07E8C13C"/>
    <w:rsid w:val="07F0AE82"/>
    <w:rsid w:val="0817265B"/>
    <w:rsid w:val="08209193"/>
    <w:rsid w:val="0829ECD8"/>
    <w:rsid w:val="0838865A"/>
    <w:rsid w:val="0853A631"/>
    <w:rsid w:val="08705B22"/>
    <w:rsid w:val="08772E94"/>
    <w:rsid w:val="087CE794"/>
    <w:rsid w:val="087F915D"/>
    <w:rsid w:val="08854AA7"/>
    <w:rsid w:val="0887BD17"/>
    <w:rsid w:val="0894EA04"/>
    <w:rsid w:val="089E6E9E"/>
    <w:rsid w:val="08A6C0CB"/>
    <w:rsid w:val="08A7A356"/>
    <w:rsid w:val="08ACBE4A"/>
    <w:rsid w:val="08B76953"/>
    <w:rsid w:val="08B8A228"/>
    <w:rsid w:val="08BCD905"/>
    <w:rsid w:val="08BEBB3A"/>
    <w:rsid w:val="08C11375"/>
    <w:rsid w:val="08C9C94B"/>
    <w:rsid w:val="08CBC1E8"/>
    <w:rsid w:val="08D155D5"/>
    <w:rsid w:val="08D54C0B"/>
    <w:rsid w:val="08EF56C8"/>
    <w:rsid w:val="08F40DBA"/>
    <w:rsid w:val="090B811D"/>
    <w:rsid w:val="090E5F46"/>
    <w:rsid w:val="090E799F"/>
    <w:rsid w:val="090F9DAA"/>
    <w:rsid w:val="090FE48D"/>
    <w:rsid w:val="0911F6A6"/>
    <w:rsid w:val="091803E9"/>
    <w:rsid w:val="09254537"/>
    <w:rsid w:val="0929BD42"/>
    <w:rsid w:val="093094CE"/>
    <w:rsid w:val="093BF533"/>
    <w:rsid w:val="093EBD53"/>
    <w:rsid w:val="093FEC43"/>
    <w:rsid w:val="0944FA5B"/>
    <w:rsid w:val="09489537"/>
    <w:rsid w:val="09511044"/>
    <w:rsid w:val="09517215"/>
    <w:rsid w:val="0959A3C0"/>
    <w:rsid w:val="0959FB98"/>
    <w:rsid w:val="09636803"/>
    <w:rsid w:val="09795E9D"/>
    <w:rsid w:val="0986A8F8"/>
    <w:rsid w:val="099DB9FA"/>
    <w:rsid w:val="09A52FD0"/>
    <w:rsid w:val="09A66E23"/>
    <w:rsid w:val="09A9E8EF"/>
    <w:rsid w:val="09CD00AD"/>
    <w:rsid w:val="09DFB744"/>
    <w:rsid w:val="09EF3A44"/>
    <w:rsid w:val="09EF864D"/>
    <w:rsid w:val="09F005DC"/>
    <w:rsid w:val="09F5129E"/>
    <w:rsid w:val="09FFF27C"/>
    <w:rsid w:val="0A047BB1"/>
    <w:rsid w:val="0A04FF2C"/>
    <w:rsid w:val="0A0CDE0D"/>
    <w:rsid w:val="0A14C961"/>
    <w:rsid w:val="0A1AE046"/>
    <w:rsid w:val="0A1DF4EE"/>
    <w:rsid w:val="0A4F5F18"/>
    <w:rsid w:val="0A6635CA"/>
    <w:rsid w:val="0A755FE9"/>
    <w:rsid w:val="0A79DD38"/>
    <w:rsid w:val="0A8E9328"/>
    <w:rsid w:val="0A914037"/>
    <w:rsid w:val="0A9C321A"/>
    <w:rsid w:val="0AC46C86"/>
    <w:rsid w:val="0AC8F9BF"/>
    <w:rsid w:val="0AD8997A"/>
    <w:rsid w:val="0AE6A699"/>
    <w:rsid w:val="0AEB4520"/>
    <w:rsid w:val="0AEDAA8A"/>
    <w:rsid w:val="0B095142"/>
    <w:rsid w:val="0B0AA68A"/>
    <w:rsid w:val="0B0F149C"/>
    <w:rsid w:val="0B1D5592"/>
    <w:rsid w:val="0B20D1F5"/>
    <w:rsid w:val="0B216DCD"/>
    <w:rsid w:val="0B2310D1"/>
    <w:rsid w:val="0B318921"/>
    <w:rsid w:val="0B332147"/>
    <w:rsid w:val="0B4FE297"/>
    <w:rsid w:val="0B5D2584"/>
    <w:rsid w:val="0B625B1B"/>
    <w:rsid w:val="0B7312BC"/>
    <w:rsid w:val="0B77778F"/>
    <w:rsid w:val="0B800B6C"/>
    <w:rsid w:val="0B87F392"/>
    <w:rsid w:val="0BA1F4E8"/>
    <w:rsid w:val="0BA3759B"/>
    <w:rsid w:val="0BC9C1DC"/>
    <w:rsid w:val="0BD15911"/>
    <w:rsid w:val="0BE1CC18"/>
    <w:rsid w:val="0BE8D488"/>
    <w:rsid w:val="0BEC9113"/>
    <w:rsid w:val="0C1D59EE"/>
    <w:rsid w:val="0C1EA22D"/>
    <w:rsid w:val="0C27CC5D"/>
    <w:rsid w:val="0C339C5D"/>
    <w:rsid w:val="0C5FBB2F"/>
    <w:rsid w:val="0C68AFB2"/>
    <w:rsid w:val="0C6C72B8"/>
    <w:rsid w:val="0C7AE203"/>
    <w:rsid w:val="0C8D2A91"/>
    <w:rsid w:val="0CBCCA05"/>
    <w:rsid w:val="0CC2C526"/>
    <w:rsid w:val="0CC94E38"/>
    <w:rsid w:val="0CCF5464"/>
    <w:rsid w:val="0CDE122B"/>
    <w:rsid w:val="0CDEED5F"/>
    <w:rsid w:val="0CE5EC7F"/>
    <w:rsid w:val="0CF0D1FD"/>
    <w:rsid w:val="0CFB6359"/>
    <w:rsid w:val="0D05065C"/>
    <w:rsid w:val="0D12324F"/>
    <w:rsid w:val="0D1A51AB"/>
    <w:rsid w:val="0D211FB7"/>
    <w:rsid w:val="0D21C526"/>
    <w:rsid w:val="0D232B47"/>
    <w:rsid w:val="0D31A78A"/>
    <w:rsid w:val="0D463E5F"/>
    <w:rsid w:val="0D51C2F4"/>
    <w:rsid w:val="0D5810AE"/>
    <w:rsid w:val="0D65CBCC"/>
    <w:rsid w:val="0D8810C1"/>
    <w:rsid w:val="0D94E841"/>
    <w:rsid w:val="0D9B803E"/>
    <w:rsid w:val="0D9DA9AD"/>
    <w:rsid w:val="0DB47470"/>
    <w:rsid w:val="0DED2533"/>
    <w:rsid w:val="0DF4B970"/>
    <w:rsid w:val="0DFD740E"/>
    <w:rsid w:val="0E051690"/>
    <w:rsid w:val="0E28E417"/>
    <w:rsid w:val="0E448034"/>
    <w:rsid w:val="0E4DBAA1"/>
    <w:rsid w:val="0E524FF9"/>
    <w:rsid w:val="0E52BAC8"/>
    <w:rsid w:val="0E5FC80D"/>
    <w:rsid w:val="0E6D8A99"/>
    <w:rsid w:val="0E7B9E42"/>
    <w:rsid w:val="0E846DE2"/>
    <w:rsid w:val="0E88DE05"/>
    <w:rsid w:val="0E8E3C36"/>
    <w:rsid w:val="0E9CAB5D"/>
    <w:rsid w:val="0EAA385A"/>
    <w:rsid w:val="0EAFD09A"/>
    <w:rsid w:val="0EC78935"/>
    <w:rsid w:val="0ECC070A"/>
    <w:rsid w:val="0ED4D730"/>
    <w:rsid w:val="0EEA1413"/>
    <w:rsid w:val="0EEB5FAD"/>
    <w:rsid w:val="0EEF6455"/>
    <w:rsid w:val="0EF2BCE9"/>
    <w:rsid w:val="0EF2DC50"/>
    <w:rsid w:val="0F00F3F9"/>
    <w:rsid w:val="0F054535"/>
    <w:rsid w:val="0F0D096C"/>
    <w:rsid w:val="0F0DABC2"/>
    <w:rsid w:val="0F167D8E"/>
    <w:rsid w:val="0F220DC7"/>
    <w:rsid w:val="0F2CCCCC"/>
    <w:rsid w:val="0F3385C1"/>
    <w:rsid w:val="0F3E0B2B"/>
    <w:rsid w:val="0F8203EC"/>
    <w:rsid w:val="0F895581"/>
    <w:rsid w:val="0FA3175B"/>
    <w:rsid w:val="0FAF4C2C"/>
    <w:rsid w:val="0FB12945"/>
    <w:rsid w:val="0FBA5238"/>
    <w:rsid w:val="0FBD7845"/>
    <w:rsid w:val="0FC0B399"/>
    <w:rsid w:val="0FC70870"/>
    <w:rsid w:val="0FCD74EE"/>
    <w:rsid w:val="0FCE2662"/>
    <w:rsid w:val="0FE8CCBD"/>
    <w:rsid w:val="0FF557AA"/>
    <w:rsid w:val="0FF6F647"/>
    <w:rsid w:val="10029EBD"/>
    <w:rsid w:val="100D1E46"/>
    <w:rsid w:val="100F5254"/>
    <w:rsid w:val="101FD3DF"/>
    <w:rsid w:val="10357BA4"/>
    <w:rsid w:val="104627F5"/>
    <w:rsid w:val="10463733"/>
    <w:rsid w:val="104793F5"/>
    <w:rsid w:val="104EBB36"/>
    <w:rsid w:val="105FECC7"/>
    <w:rsid w:val="10639D6F"/>
    <w:rsid w:val="106515A4"/>
    <w:rsid w:val="106C14D4"/>
    <w:rsid w:val="106F6B77"/>
    <w:rsid w:val="108F1E7F"/>
    <w:rsid w:val="109BD6F5"/>
    <w:rsid w:val="10A0C9AF"/>
    <w:rsid w:val="10A980AD"/>
    <w:rsid w:val="10CA90C5"/>
    <w:rsid w:val="10CD0246"/>
    <w:rsid w:val="10D1EB79"/>
    <w:rsid w:val="10DF0373"/>
    <w:rsid w:val="10E18EAD"/>
    <w:rsid w:val="10F8E233"/>
    <w:rsid w:val="110205A3"/>
    <w:rsid w:val="1105BC05"/>
    <w:rsid w:val="111E0120"/>
    <w:rsid w:val="111E795A"/>
    <w:rsid w:val="111ED703"/>
    <w:rsid w:val="11206085"/>
    <w:rsid w:val="11247633"/>
    <w:rsid w:val="112E118C"/>
    <w:rsid w:val="112F6037"/>
    <w:rsid w:val="11399A34"/>
    <w:rsid w:val="11616D2B"/>
    <w:rsid w:val="1162280A"/>
    <w:rsid w:val="1170536E"/>
    <w:rsid w:val="117468FD"/>
    <w:rsid w:val="117800A9"/>
    <w:rsid w:val="1186939A"/>
    <w:rsid w:val="11896410"/>
    <w:rsid w:val="11C32CC9"/>
    <w:rsid w:val="11D8BA03"/>
    <w:rsid w:val="11DB312D"/>
    <w:rsid w:val="11F9B550"/>
    <w:rsid w:val="12080712"/>
    <w:rsid w:val="1217E123"/>
    <w:rsid w:val="1226FC7E"/>
    <w:rsid w:val="12302BD9"/>
    <w:rsid w:val="123C701F"/>
    <w:rsid w:val="123F31D6"/>
    <w:rsid w:val="124039CA"/>
    <w:rsid w:val="125D45AB"/>
    <w:rsid w:val="125EDDE8"/>
    <w:rsid w:val="12635DB2"/>
    <w:rsid w:val="126403E8"/>
    <w:rsid w:val="12688ED6"/>
    <w:rsid w:val="126FB418"/>
    <w:rsid w:val="12726A97"/>
    <w:rsid w:val="1277712C"/>
    <w:rsid w:val="1284C03D"/>
    <w:rsid w:val="129ADC82"/>
    <w:rsid w:val="12A8358D"/>
    <w:rsid w:val="12AC0D99"/>
    <w:rsid w:val="12B22E7C"/>
    <w:rsid w:val="12B7BADE"/>
    <w:rsid w:val="12B8F93F"/>
    <w:rsid w:val="12B9A035"/>
    <w:rsid w:val="12BCB43B"/>
    <w:rsid w:val="12C397A1"/>
    <w:rsid w:val="12D4F100"/>
    <w:rsid w:val="12DDE742"/>
    <w:rsid w:val="12F87009"/>
    <w:rsid w:val="131E8EF2"/>
    <w:rsid w:val="1322F9C8"/>
    <w:rsid w:val="13412F46"/>
    <w:rsid w:val="13496FDD"/>
    <w:rsid w:val="134D5375"/>
    <w:rsid w:val="1350648A"/>
    <w:rsid w:val="1368B01D"/>
    <w:rsid w:val="136F55EA"/>
    <w:rsid w:val="13874ED1"/>
    <w:rsid w:val="139C761D"/>
    <w:rsid w:val="13AC2208"/>
    <w:rsid w:val="13EA1E15"/>
    <w:rsid w:val="13EDA91F"/>
    <w:rsid w:val="13F94289"/>
    <w:rsid w:val="13FF3662"/>
    <w:rsid w:val="14090D06"/>
    <w:rsid w:val="140AA7CB"/>
    <w:rsid w:val="14293D5D"/>
    <w:rsid w:val="1434F034"/>
    <w:rsid w:val="143656EC"/>
    <w:rsid w:val="1440BBF8"/>
    <w:rsid w:val="144734D1"/>
    <w:rsid w:val="144BB30B"/>
    <w:rsid w:val="14ADBFFF"/>
    <w:rsid w:val="14C23862"/>
    <w:rsid w:val="14DA09DC"/>
    <w:rsid w:val="14E1CDC0"/>
    <w:rsid w:val="14E660EE"/>
    <w:rsid w:val="14F31121"/>
    <w:rsid w:val="14F63F1C"/>
    <w:rsid w:val="14FD9FC2"/>
    <w:rsid w:val="150D263F"/>
    <w:rsid w:val="152192DC"/>
    <w:rsid w:val="15263AC6"/>
    <w:rsid w:val="15286AD4"/>
    <w:rsid w:val="15321023"/>
    <w:rsid w:val="15424522"/>
    <w:rsid w:val="1543019A"/>
    <w:rsid w:val="154EA28C"/>
    <w:rsid w:val="15567F3D"/>
    <w:rsid w:val="155E5394"/>
    <w:rsid w:val="156F068D"/>
    <w:rsid w:val="1575EA9F"/>
    <w:rsid w:val="157EADCD"/>
    <w:rsid w:val="15824BFE"/>
    <w:rsid w:val="15948687"/>
    <w:rsid w:val="1597FB0D"/>
    <w:rsid w:val="159F87C0"/>
    <w:rsid w:val="15AD7BF8"/>
    <w:rsid w:val="15B40262"/>
    <w:rsid w:val="15B65D7E"/>
    <w:rsid w:val="15B75EBC"/>
    <w:rsid w:val="15C0FA35"/>
    <w:rsid w:val="15CF6A99"/>
    <w:rsid w:val="15EE604C"/>
    <w:rsid w:val="15F5E80B"/>
    <w:rsid w:val="15F88598"/>
    <w:rsid w:val="15FDA261"/>
    <w:rsid w:val="16151866"/>
    <w:rsid w:val="1622BE0C"/>
    <w:rsid w:val="162C49FC"/>
    <w:rsid w:val="162E8031"/>
    <w:rsid w:val="162F17A9"/>
    <w:rsid w:val="1634F3C6"/>
    <w:rsid w:val="1662EEE2"/>
    <w:rsid w:val="167E2BCB"/>
    <w:rsid w:val="168284E3"/>
    <w:rsid w:val="1689E21F"/>
    <w:rsid w:val="169B24C6"/>
    <w:rsid w:val="16A2B917"/>
    <w:rsid w:val="16A6B417"/>
    <w:rsid w:val="16BD613E"/>
    <w:rsid w:val="16F13A50"/>
    <w:rsid w:val="17084166"/>
    <w:rsid w:val="1721B0D5"/>
    <w:rsid w:val="1723CA62"/>
    <w:rsid w:val="17283771"/>
    <w:rsid w:val="173BD5C1"/>
    <w:rsid w:val="174709B5"/>
    <w:rsid w:val="17571F99"/>
    <w:rsid w:val="175DEBC7"/>
    <w:rsid w:val="17600C95"/>
    <w:rsid w:val="17675CAB"/>
    <w:rsid w:val="176B67F8"/>
    <w:rsid w:val="17708764"/>
    <w:rsid w:val="177A857F"/>
    <w:rsid w:val="177E9908"/>
    <w:rsid w:val="178E6313"/>
    <w:rsid w:val="17941F65"/>
    <w:rsid w:val="17AD91C8"/>
    <w:rsid w:val="17C2E81C"/>
    <w:rsid w:val="17CE71DD"/>
    <w:rsid w:val="17D6065B"/>
    <w:rsid w:val="17E1610B"/>
    <w:rsid w:val="17E43779"/>
    <w:rsid w:val="17EE13EE"/>
    <w:rsid w:val="17F3AE5C"/>
    <w:rsid w:val="17FAD9E9"/>
    <w:rsid w:val="180C9408"/>
    <w:rsid w:val="18130EBA"/>
    <w:rsid w:val="181EB9EB"/>
    <w:rsid w:val="181FC01F"/>
    <w:rsid w:val="1825CA27"/>
    <w:rsid w:val="18305C69"/>
    <w:rsid w:val="183CA9DC"/>
    <w:rsid w:val="183DFB36"/>
    <w:rsid w:val="1858DE1D"/>
    <w:rsid w:val="185E4D01"/>
    <w:rsid w:val="185EE6F2"/>
    <w:rsid w:val="1870A455"/>
    <w:rsid w:val="187539ED"/>
    <w:rsid w:val="187658C9"/>
    <w:rsid w:val="187C7B72"/>
    <w:rsid w:val="18909DFC"/>
    <w:rsid w:val="1891DB29"/>
    <w:rsid w:val="18B7B225"/>
    <w:rsid w:val="18CC85B7"/>
    <w:rsid w:val="18CDD2BF"/>
    <w:rsid w:val="18CF49B6"/>
    <w:rsid w:val="18DC1AE5"/>
    <w:rsid w:val="18DC986A"/>
    <w:rsid w:val="18E8F4C6"/>
    <w:rsid w:val="18ED3C16"/>
    <w:rsid w:val="1904521F"/>
    <w:rsid w:val="1909D225"/>
    <w:rsid w:val="191C9277"/>
    <w:rsid w:val="192161FE"/>
    <w:rsid w:val="192931B9"/>
    <w:rsid w:val="192FC303"/>
    <w:rsid w:val="192FE433"/>
    <w:rsid w:val="193AB602"/>
    <w:rsid w:val="193D657C"/>
    <w:rsid w:val="195D84C0"/>
    <w:rsid w:val="1972A105"/>
    <w:rsid w:val="197AF332"/>
    <w:rsid w:val="1982C78D"/>
    <w:rsid w:val="19974A55"/>
    <w:rsid w:val="19977A2C"/>
    <w:rsid w:val="19A0C8D1"/>
    <w:rsid w:val="19A36C7A"/>
    <w:rsid w:val="19AA0FFF"/>
    <w:rsid w:val="19AFDB3A"/>
    <w:rsid w:val="19B12B1A"/>
    <w:rsid w:val="19B797F4"/>
    <w:rsid w:val="19D56BD3"/>
    <w:rsid w:val="19F01DDF"/>
    <w:rsid w:val="1A0416C7"/>
    <w:rsid w:val="1A0554AD"/>
    <w:rsid w:val="1A056B16"/>
    <w:rsid w:val="1A19FECB"/>
    <w:rsid w:val="1A1E63D3"/>
    <w:rsid w:val="1A235087"/>
    <w:rsid w:val="1A26DD30"/>
    <w:rsid w:val="1A426799"/>
    <w:rsid w:val="1A58038A"/>
    <w:rsid w:val="1A60F3C3"/>
    <w:rsid w:val="1A6265E4"/>
    <w:rsid w:val="1A6DE9D7"/>
    <w:rsid w:val="1A7094E4"/>
    <w:rsid w:val="1A7674C5"/>
    <w:rsid w:val="1A899780"/>
    <w:rsid w:val="1A91FB59"/>
    <w:rsid w:val="1AC3B8FB"/>
    <w:rsid w:val="1ACCE753"/>
    <w:rsid w:val="1AD484EA"/>
    <w:rsid w:val="1ADCAE60"/>
    <w:rsid w:val="1ADFC672"/>
    <w:rsid w:val="1AE33951"/>
    <w:rsid w:val="1AEAB370"/>
    <w:rsid w:val="1AF04ED6"/>
    <w:rsid w:val="1AF518BB"/>
    <w:rsid w:val="1AF6355C"/>
    <w:rsid w:val="1AF690EF"/>
    <w:rsid w:val="1AF9D721"/>
    <w:rsid w:val="1AFEFFEC"/>
    <w:rsid w:val="1B0577E4"/>
    <w:rsid w:val="1B0728EB"/>
    <w:rsid w:val="1B088242"/>
    <w:rsid w:val="1B33B891"/>
    <w:rsid w:val="1B40648E"/>
    <w:rsid w:val="1B59FFE8"/>
    <w:rsid w:val="1B5B3E63"/>
    <w:rsid w:val="1B64D05C"/>
    <w:rsid w:val="1B6FF44E"/>
    <w:rsid w:val="1B89867B"/>
    <w:rsid w:val="1B8AA601"/>
    <w:rsid w:val="1B8B3F94"/>
    <w:rsid w:val="1B90F523"/>
    <w:rsid w:val="1BC9489C"/>
    <w:rsid w:val="1BCBA811"/>
    <w:rsid w:val="1BE375B7"/>
    <w:rsid w:val="1BE5D590"/>
    <w:rsid w:val="1BE94697"/>
    <w:rsid w:val="1BEDF4EC"/>
    <w:rsid w:val="1C05A4F0"/>
    <w:rsid w:val="1C16965E"/>
    <w:rsid w:val="1C1BC2D6"/>
    <w:rsid w:val="1C228E06"/>
    <w:rsid w:val="1C367A54"/>
    <w:rsid w:val="1C383526"/>
    <w:rsid w:val="1C38A50B"/>
    <w:rsid w:val="1C448B59"/>
    <w:rsid w:val="1C466FCD"/>
    <w:rsid w:val="1C47E024"/>
    <w:rsid w:val="1C492386"/>
    <w:rsid w:val="1C4D923E"/>
    <w:rsid w:val="1C5648CF"/>
    <w:rsid w:val="1C659600"/>
    <w:rsid w:val="1C90FABF"/>
    <w:rsid w:val="1CAF8D60"/>
    <w:rsid w:val="1CBD1035"/>
    <w:rsid w:val="1CCC50C9"/>
    <w:rsid w:val="1CCC8291"/>
    <w:rsid w:val="1CD56292"/>
    <w:rsid w:val="1CD8210E"/>
    <w:rsid w:val="1CD980F0"/>
    <w:rsid w:val="1D062865"/>
    <w:rsid w:val="1D0DE32D"/>
    <w:rsid w:val="1D0E9445"/>
    <w:rsid w:val="1D2ADC5A"/>
    <w:rsid w:val="1D36772B"/>
    <w:rsid w:val="1D5C53B7"/>
    <w:rsid w:val="1D61233D"/>
    <w:rsid w:val="1D65E346"/>
    <w:rsid w:val="1D900A07"/>
    <w:rsid w:val="1D9193B6"/>
    <w:rsid w:val="1D984A53"/>
    <w:rsid w:val="1DA0FB0D"/>
    <w:rsid w:val="1DA89564"/>
    <w:rsid w:val="1DB30672"/>
    <w:rsid w:val="1DBBBB43"/>
    <w:rsid w:val="1DBC3812"/>
    <w:rsid w:val="1DC53DC0"/>
    <w:rsid w:val="1DD2DDF5"/>
    <w:rsid w:val="1DDC8AD3"/>
    <w:rsid w:val="1DDD1261"/>
    <w:rsid w:val="1E094EBB"/>
    <w:rsid w:val="1E0D2C0C"/>
    <w:rsid w:val="1E307E7C"/>
    <w:rsid w:val="1E30A62C"/>
    <w:rsid w:val="1E4BFBDD"/>
    <w:rsid w:val="1E4D90B1"/>
    <w:rsid w:val="1E547B3A"/>
    <w:rsid w:val="1E6E595B"/>
    <w:rsid w:val="1E81D3C1"/>
    <w:rsid w:val="1E875044"/>
    <w:rsid w:val="1E92C0CC"/>
    <w:rsid w:val="1EAA9260"/>
    <w:rsid w:val="1EB0F0C6"/>
    <w:rsid w:val="1EB1CF71"/>
    <w:rsid w:val="1EC24CA4"/>
    <w:rsid w:val="1EC3E03B"/>
    <w:rsid w:val="1EC5661B"/>
    <w:rsid w:val="1EC5F73A"/>
    <w:rsid w:val="1EC70723"/>
    <w:rsid w:val="1ED06D6D"/>
    <w:rsid w:val="1ED27111"/>
    <w:rsid w:val="1EDCE227"/>
    <w:rsid w:val="1EDD625C"/>
    <w:rsid w:val="1F0F07D1"/>
    <w:rsid w:val="1F146A7F"/>
    <w:rsid w:val="1F249E35"/>
    <w:rsid w:val="1F301B27"/>
    <w:rsid w:val="1F3604AC"/>
    <w:rsid w:val="1F3CAE3A"/>
    <w:rsid w:val="1F426BF9"/>
    <w:rsid w:val="1F46AF3C"/>
    <w:rsid w:val="1F46B74C"/>
    <w:rsid w:val="1F497A56"/>
    <w:rsid w:val="1F4E9721"/>
    <w:rsid w:val="1F528E1B"/>
    <w:rsid w:val="1F575821"/>
    <w:rsid w:val="1F5FBE6E"/>
    <w:rsid w:val="1F65D77D"/>
    <w:rsid w:val="1F691752"/>
    <w:rsid w:val="1F708590"/>
    <w:rsid w:val="1F72AD69"/>
    <w:rsid w:val="1F864557"/>
    <w:rsid w:val="1F86EB66"/>
    <w:rsid w:val="1F902F71"/>
    <w:rsid w:val="1F978EC5"/>
    <w:rsid w:val="1FA9CF6C"/>
    <w:rsid w:val="1FB4C144"/>
    <w:rsid w:val="1FC5197E"/>
    <w:rsid w:val="1FC77FF4"/>
    <w:rsid w:val="1FDBE3FB"/>
    <w:rsid w:val="1FE04C6A"/>
    <w:rsid w:val="1FE9C55A"/>
    <w:rsid w:val="1FF3BCE8"/>
    <w:rsid w:val="20048B08"/>
    <w:rsid w:val="2010FF1A"/>
    <w:rsid w:val="2014EFA3"/>
    <w:rsid w:val="20169001"/>
    <w:rsid w:val="201E3C0A"/>
    <w:rsid w:val="20393E99"/>
    <w:rsid w:val="20751BB3"/>
    <w:rsid w:val="207E9A75"/>
    <w:rsid w:val="20893577"/>
    <w:rsid w:val="208ACD6B"/>
    <w:rsid w:val="208C7667"/>
    <w:rsid w:val="208EE3C5"/>
    <w:rsid w:val="209B9070"/>
    <w:rsid w:val="209FB9F5"/>
    <w:rsid w:val="20AF43C3"/>
    <w:rsid w:val="20B02B38"/>
    <w:rsid w:val="20C58747"/>
    <w:rsid w:val="20D23DE5"/>
    <w:rsid w:val="20E9B505"/>
    <w:rsid w:val="20FD6C74"/>
    <w:rsid w:val="210FAE4E"/>
    <w:rsid w:val="212659B3"/>
    <w:rsid w:val="212E9F62"/>
    <w:rsid w:val="213078E0"/>
    <w:rsid w:val="214416AB"/>
    <w:rsid w:val="2144699D"/>
    <w:rsid w:val="21463627"/>
    <w:rsid w:val="214DC010"/>
    <w:rsid w:val="2151E158"/>
    <w:rsid w:val="215709FC"/>
    <w:rsid w:val="215B04FC"/>
    <w:rsid w:val="2181709D"/>
    <w:rsid w:val="218429BC"/>
    <w:rsid w:val="2185FFBC"/>
    <w:rsid w:val="2187FD55"/>
    <w:rsid w:val="218D2759"/>
    <w:rsid w:val="21A20757"/>
    <w:rsid w:val="21A62CEE"/>
    <w:rsid w:val="21B1EC9F"/>
    <w:rsid w:val="21C175CD"/>
    <w:rsid w:val="21C178E4"/>
    <w:rsid w:val="21E4B8DB"/>
    <w:rsid w:val="21F0B44B"/>
    <w:rsid w:val="21FFDA32"/>
    <w:rsid w:val="22113510"/>
    <w:rsid w:val="22167874"/>
    <w:rsid w:val="222BB18B"/>
    <w:rsid w:val="223AD36A"/>
    <w:rsid w:val="223AEB9E"/>
    <w:rsid w:val="224A51CF"/>
    <w:rsid w:val="2254076B"/>
    <w:rsid w:val="225A2C3F"/>
    <w:rsid w:val="22844C5B"/>
    <w:rsid w:val="2289BEF1"/>
    <w:rsid w:val="228A7092"/>
    <w:rsid w:val="2292FE2D"/>
    <w:rsid w:val="22C83183"/>
    <w:rsid w:val="22C8ABD2"/>
    <w:rsid w:val="22E59A86"/>
    <w:rsid w:val="2319E7F2"/>
    <w:rsid w:val="23282A0C"/>
    <w:rsid w:val="232B8D94"/>
    <w:rsid w:val="232D4BD3"/>
    <w:rsid w:val="234365A3"/>
    <w:rsid w:val="23498143"/>
    <w:rsid w:val="234C3351"/>
    <w:rsid w:val="234FDE27"/>
    <w:rsid w:val="235E5677"/>
    <w:rsid w:val="235FA3CF"/>
    <w:rsid w:val="23646C82"/>
    <w:rsid w:val="236ACD65"/>
    <w:rsid w:val="2384B926"/>
    <w:rsid w:val="238622F1"/>
    <w:rsid w:val="238846E4"/>
    <w:rsid w:val="23897C7E"/>
    <w:rsid w:val="23900644"/>
    <w:rsid w:val="2397A7EA"/>
    <w:rsid w:val="23B0718C"/>
    <w:rsid w:val="23B8536F"/>
    <w:rsid w:val="23BB60DB"/>
    <w:rsid w:val="23BE5EF3"/>
    <w:rsid w:val="23BED30D"/>
    <w:rsid w:val="23C93E1E"/>
    <w:rsid w:val="23CD066C"/>
    <w:rsid w:val="23E47419"/>
    <w:rsid w:val="23EFEB56"/>
    <w:rsid w:val="24012AD3"/>
    <w:rsid w:val="2407BBC1"/>
    <w:rsid w:val="24094A2F"/>
    <w:rsid w:val="241E2197"/>
    <w:rsid w:val="242AD0AF"/>
    <w:rsid w:val="2431E29B"/>
    <w:rsid w:val="243480F2"/>
    <w:rsid w:val="243615E4"/>
    <w:rsid w:val="244518D0"/>
    <w:rsid w:val="2471338B"/>
    <w:rsid w:val="248D4D98"/>
    <w:rsid w:val="24953AE3"/>
    <w:rsid w:val="24AFC92F"/>
    <w:rsid w:val="24B5867D"/>
    <w:rsid w:val="24BD2757"/>
    <w:rsid w:val="24C2A0C4"/>
    <w:rsid w:val="24C74D56"/>
    <w:rsid w:val="24DAF91B"/>
    <w:rsid w:val="24E1823F"/>
    <w:rsid w:val="24E2413B"/>
    <w:rsid w:val="24E9B443"/>
    <w:rsid w:val="24EAD0FD"/>
    <w:rsid w:val="24EFDB45"/>
    <w:rsid w:val="24F22B3F"/>
    <w:rsid w:val="24F8A96C"/>
    <w:rsid w:val="2504ECDC"/>
    <w:rsid w:val="250DABDB"/>
    <w:rsid w:val="250E9896"/>
    <w:rsid w:val="250F7C82"/>
    <w:rsid w:val="25120CD7"/>
    <w:rsid w:val="251A2532"/>
    <w:rsid w:val="25236CD2"/>
    <w:rsid w:val="252E4797"/>
    <w:rsid w:val="252F7BE0"/>
    <w:rsid w:val="25407165"/>
    <w:rsid w:val="2542EC1D"/>
    <w:rsid w:val="2544345D"/>
    <w:rsid w:val="2548BFA7"/>
    <w:rsid w:val="2562ACE9"/>
    <w:rsid w:val="257EE9A6"/>
    <w:rsid w:val="25827A21"/>
    <w:rsid w:val="258420F7"/>
    <w:rsid w:val="2584A537"/>
    <w:rsid w:val="2589F2B4"/>
    <w:rsid w:val="258E61EF"/>
    <w:rsid w:val="2590464F"/>
    <w:rsid w:val="25932372"/>
    <w:rsid w:val="25BA7EA6"/>
    <w:rsid w:val="25BB1AC4"/>
    <w:rsid w:val="25C7DB78"/>
    <w:rsid w:val="25D061B3"/>
    <w:rsid w:val="26007B3F"/>
    <w:rsid w:val="2605EA7C"/>
    <w:rsid w:val="261A826B"/>
    <w:rsid w:val="26264E9A"/>
    <w:rsid w:val="262910A5"/>
    <w:rsid w:val="263C4D6E"/>
    <w:rsid w:val="263F702C"/>
    <w:rsid w:val="26481B9A"/>
    <w:rsid w:val="26543728"/>
    <w:rsid w:val="265839B2"/>
    <w:rsid w:val="26608F8F"/>
    <w:rsid w:val="2662F1FC"/>
    <w:rsid w:val="267DA30D"/>
    <w:rsid w:val="2691B749"/>
    <w:rsid w:val="26A14686"/>
    <w:rsid w:val="26A64F73"/>
    <w:rsid w:val="26ABD07F"/>
    <w:rsid w:val="26B8B05F"/>
    <w:rsid w:val="26B9A6CB"/>
    <w:rsid w:val="26BF7C70"/>
    <w:rsid w:val="26C914BA"/>
    <w:rsid w:val="26CC3DAD"/>
    <w:rsid w:val="26CE9CA6"/>
    <w:rsid w:val="26CFDA2F"/>
    <w:rsid w:val="26DED091"/>
    <w:rsid w:val="26DF05A0"/>
    <w:rsid w:val="26E52780"/>
    <w:rsid w:val="26F3A981"/>
    <w:rsid w:val="26F45089"/>
    <w:rsid w:val="270960F5"/>
    <w:rsid w:val="270FB42F"/>
    <w:rsid w:val="271436EC"/>
    <w:rsid w:val="2714EF80"/>
    <w:rsid w:val="272A1BCE"/>
    <w:rsid w:val="2753EDDB"/>
    <w:rsid w:val="2759E616"/>
    <w:rsid w:val="275D8892"/>
    <w:rsid w:val="2765F8E8"/>
    <w:rsid w:val="2767BCAF"/>
    <w:rsid w:val="2771332F"/>
    <w:rsid w:val="27996CFF"/>
    <w:rsid w:val="27A2412C"/>
    <w:rsid w:val="27AE90B6"/>
    <w:rsid w:val="27B30C92"/>
    <w:rsid w:val="27D456EF"/>
    <w:rsid w:val="27DBF153"/>
    <w:rsid w:val="27FCAE75"/>
    <w:rsid w:val="27FDC5F8"/>
    <w:rsid w:val="2814B4F9"/>
    <w:rsid w:val="28276184"/>
    <w:rsid w:val="2828CCE2"/>
    <w:rsid w:val="2831F42A"/>
    <w:rsid w:val="2834FE78"/>
    <w:rsid w:val="2835E9D6"/>
    <w:rsid w:val="283F59F6"/>
    <w:rsid w:val="283F975F"/>
    <w:rsid w:val="284EF69E"/>
    <w:rsid w:val="28631153"/>
    <w:rsid w:val="286C72CF"/>
    <w:rsid w:val="287894D4"/>
    <w:rsid w:val="287DC877"/>
    <w:rsid w:val="2882CC82"/>
    <w:rsid w:val="2887811C"/>
    <w:rsid w:val="28882533"/>
    <w:rsid w:val="2898290A"/>
    <w:rsid w:val="28A10FAF"/>
    <w:rsid w:val="28A13FDF"/>
    <w:rsid w:val="28A703FF"/>
    <w:rsid w:val="28A9A14A"/>
    <w:rsid w:val="28C959C9"/>
    <w:rsid w:val="28D729AA"/>
    <w:rsid w:val="28D9F638"/>
    <w:rsid w:val="28EB6D9C"/>
    <w:rsid w:val="28F44ABD"/>
    <w:rsid w:val="28F8AB2D"/>
    <w:rsid w:val="290A5BB6"/>
    <w:rsid w:val="291E0666"/>
    <w:rsid w:val="29326071"/>
    <w:rsid w:val="293C06B8"/>
    <w:rsid w:val="293C91C3"/>
    <w:rsid w:val="293DF851"/>
    <w:rsid w:val="2943FEF9"/>
    <w:rsid w:val="295C5ED0"/>
    <w:rsid w:val="295EA2DD"/>
    <w:rsid w:val="2966E005"/>
    <w:rsid w:val="2969C6A0"/>
    <w:rsid w:val="2973829E"/>
    <w:rsid w:val="29740A5C"/>
    <w:rsid w:val="2994E19B"/>
    <w:rsid w:val="299A5B07"/>
    <w:rsid w:val="299F3F2E"/>
    <w:rsid w:val="29A8A20F"/>
    <w:rsid w:val="29BCE0E8"/>
    <w:rsid w:val="29DC78B2"/>
    <w:rsid w:val="29E4EAE2"/>
    <w:rsid w:val="29E74E5B"/>
    <w:rsid w:val="29EADACF"/>
    <w:rsid w:val="29EFEA7E"/>
    <w:rsid w:val="2A049260"/>
    <w:rsid w:val="2A127EFA"/>
    <w:rsid w:val="2A207779"/>
    <w:rsid w:val="2A26A0C8"/>
    <w:rsid w:val="2A2E6325"/>
    <w:rsid w:val="2A39E472"/>
    <w:rsid w:val="2A4E7431"/>
    <w:rsid w:val="2A7D28E7"/>
    <w:rsid w:val="2A9781F3"/>
    <w:rsid w:val="2A9E2E81"/>
    <w:rsid w:val="2AA2C469"/>
    <w:rsid w:val="2AA3A422"/>
    <w:rsid w:val="2AB7C61D"/>
    <w:rsid w:val="2AD2E6B8"/>
    <w:rsid w:val="2ADEC7A3"/>
    <w:rsid w:val="2B01AAA2"/>
    <w:rsid w:val="2B0F893A"/>
    <w:rsid w:val="2B1DB3D2"/>
    <w:rsid w:val="2B2C37B5"/>
    <w:rsid w:val="2B302106"/>
    <w:rsid w:val="2B437567"/>
    <w:rsid w:val="2B490F5A"/>
    <w:rsid w:val="2B55175C"/>
    <w:rsid w:val="2B5A4986"/>
    <w:rsid w:val="2B6344B6"/>
    <w:rsid w:val="2B64CE8C"/>
    <w:rsid w:val="2B688B5A"/>
    <w:rsid w:val="2B955AB1"/>
    <w:rsid w:val="2B96D568"/>
    <w:rsid w:val="2B99AECA"/>
    <w:rsid w:val="2B9B8896"/>
    <w:rsid w:val="2B9F6CFE"/>
    <w:rsid w:val="2BADCB6A"/>
    <w:rsid w:val="2BB71DDA"/>
    <w:rsid w:val="2BBF03A5"/>
    <w:rsid w:val="2BBF07C2"/>
    <w:rsid w:val="2BC57383"/>
    <w:rsid w:val="2BCCDE75"/>
    <w:rsid w:val="2BE7C971"/>
    <w:rsid w:val="2BE9631B"/>
    <w:rsid w:val="2BE99439"/>
    <w:rsid w:val="2BECCD12"/>
    <w:rsid w:val="2BF7C3BF"/>
    <w:rsid w:val="2BFF2FC6"/>
    <w:rsid w:val="2C0C34BC"/>
    <w:rsid w:val="2C227E3E"/>
    <w:rsid w:val="2C243883"/>
    <w:rsid w:val="2C27B3B2"/>
    <w:rsid w:val="2C30147E"/>
    <w:rsid w:val="2C344CA4"/>
    <w:rsid w:val="2C39979C"/>
    <w:rsid w:val="2C4C41B1"/>
    <w:rsid w:val="2C64ECC5"/>
    <w:rsid w:val="2C6731D6"/>
    <w:rsid w:val="2C67E13D"/>
    <w:rsid w:val="2C6CF352"/>
    <w:rsid w:val="2C7057E9"/>
    <w:rsid w:val="2C82AAD5"/>
    <w:rsid w:val="2C83751E"/>
    <w:rsid w:val="2C8D0E20"/>
    <w:rsid w:val="2C91192C"/>
    <w:rsid w:val="2C9A1B6C"/>
    <w:rsid w:val="2CA15015"/>
    <w:rsid w:val="2CC6595C"/>
    <w:rsid w:val="2CD6FB38"/>
    <w:rsid w:val="2CDE6259"/>
    <w:rsid w:val="2CEB1D04"/>
    <w:rsid w:val="2D023B30"/>
    <w:rsid w:val="2D13EB68"/>
    <w:rsid w:val="2D1B0610"/>
    <w:rsid w:val="2D1F7DFF"/>
    <w:rsid w:val="2D383F11"/>
    <w:rsid w:val="2D39533A"/>
    <w:rsid w:val="2D85E0A5"/>
    <w:rsid w:val="2D88F06F"/>
    <w:rsid w:val="2D926E94"/>
    <w:rsid w:val="2DC26C64"/>
    <w:rsid w:val="2DC55605"/>
    <w:rsid w:val="2DCC2906"/>
    <w:rsid w:val="2DD2FA2D"/>
    <w:rsid w:val="2DD9CDB3"/>
    <w:rsid w:val="2DDE2660"/>
    <w:rsid w:val="2DF8E024"/>
    <w:rsid w:val="2E175829"/>
    <w:rsid w:val="2E1DE3BE"/>
    <w:rsid w:val="2E30348F"/>
    <w:rsid w:val="2E3FC091"/>
    <w:rsid w:val="2E430935"/>
    <w:rsid w:val="2E4611FB"/>
    <w:rsid w:val="2E4DCCB0"/>
    <w:rsid w:val="2E5080A2"/>
    <w:rsid w:val="2E5E0183"/>
    <w:rsid w:val="2E6CB739"/>
    <w:rsid w:val="2E7DBB5B"/>
    <w:rsid w:val="2E8EEAAF"/>
    <w:rsid w:val="2E8FA075"/>
    <w:rsid w:val="2EDEC1A2"/>
    <w:rsid w:val="2EE36149"/>
    <w:rsid w:val="2EF6B4DE"/>
    <w:rsid w:val="2EFA35EC"/>
    <w:rsid w:val="2F019CC2"/>
    <w:rsid w:val="2F09C56E"/>
    <w:rsid w:val="2F0B6617"/>
    <w:rsid w:val="2F0EE844"/>
    <w:rsid w:val="2F18E668"/>
    <w:rsid w:val="2F1BBC32"/>
    <w:rsid w:val="2F20F390"/>
    <w:rsid w:val="2F22C0E0"/>
    <w:rsid w:val="2F236E0C"/>
    <w:rsid w:val="2F238D3A"/>
    <w:rsid w:val="2F27A65A"/>
    <w:rsid w:val="2F289918"/>
    <w:rsid w:val="2F33B847"/>
    <w:rsid w:val="2F4DFD09"/>
    <w:rsid w:val="2F52D866"/>
    <w:rsid w:val="2F552FF8"/>
    <w:rsid w:val="2F5F5474"/>
    <w:rsid w:val="2F6295A5"/>
    <w:rsid w:val="2F684CB8"/>
    <w:rsid w:val="2F743F93"/>
    <w:rsid w:val="2F7D6037"/>
    <w:rsid w:val="2F7E87F9"/>
    <w:rsid w:val="2F83B402"/>
    <w:rsid w:val="2F857865"/>
    <w:rsid w:val="2F8675B6"/>
    <w:rsid w:val="2F90561F"/>
    <w:rsid w:val="2F977C8D"/>
    <w:rsid w:val="2F99E8CD"/>
    <w:rsid w:val="2F9FD0BC"/>
    <w:rsid w:val="2FA4E779"/>
    <w:rsid w:val="2FAD7FBE"/>
    <w:rsid w:val="2FBF7EE8"/>
    <w:rsid w:val="2FE6C71C"/>
    <w:rsid w:val="302816F0"/>
    <w:rsid w:val="302C5028"/>
    <w:rsid w:val="302E501C"/>
    <w:rsid w:val="30497B4F"/>
    <w:rsid w:val="304F6263"/>
    <w:rsid w:val="3077479D"/>
    <w:rsid w:val="307B87DD"/>
    <w:rsid w:val="308A3B29"/>
    <w:rsid w:val="309014AC"/>
    <w:rsid w:val="309262BA"/>
    <w:rsid w:val="30935547"/>
    <w:rsid w:val="30997EB6"/>
    <w:rsid w:val="309AB6A9"/>
    <w:rsid w:val="309B549C"/>
    <w:rsid w:val="309DA634"/>
    <w:rsid w:val="30AE3FCC"/>
    <w:rsid w:val="30B98A2A"/>
    <w:rsid w:val="30B9D92F"/>
    <w:rsid w:val="30C010AE"/>
    <w:rsid w:val="30C71CCC"/>
    <w:rsid w:val="30C81F39"/>
    <w:rsid w:val="30E35EE9"/>
    <w:rsid w:val="30EC23AC"/>
    <w:rsid w:val="30FC4DFA"/>
    <w:rsid w:val="31002FB9"/>
    <w:rsid w:val="3100DA6A"/>
    <w:rsid w:val="3121EE34"/>
    <w:rsid w:val="31290BD2"/>
    <w:rsid w:val="312AFDBE"/>
    <w:rsid w:val="31397BF7"/>
    <w:rsid w:val="313C9B9F"/>
    <w:rsid w:val="313E73DC"/>
    <w:rsid w:val="314628F1"/>
    <w:rsid w:val="3146ECD1"/>
    <w:rsid w:val="3164C387"/>
    <w:rsid w:val="316B0313"/>
    <w:rsid w:val="316E90E7"/>
    <w:rsid w:val="318B6F57"/>
    <w:rsid w:val="31940985"/>
    <w:rsid w:val="31955F8B"/>
    <w:rsid w:val="31A33A78"/>
    <w:rsid w:val="31B5E7BB"/>
    <w:rsid w:val="31BBC652"/>
    <w:rsid w:val="31C0E09E"/>
    <w:rsid w:val="31D16C63"/>
    <w:rsid w:val="31D2D124"/>
    <w:rsid w:val="31DC8949"/>
    <w:rsid w:val="31DD4FB9"/>
    <w:rsid w:val="31EAC7F9"/>
    <w:rsid w:val="31F07046"/>
    <w:rsid w:val="31F8F77F"/>
    <w:rsid w:val="31FAE8C6"/>
    <w:rsid w:val="31FFB82D"/>
    <w:rsid w:val="3203A016"/>
    <w:rsid w:val="3204943C"/>
    <w:rsid w:val="3204CA07"/>
    <w:rsid w:val="32089DBE"/>
    <w:rsid w:val="321FE345"/>
    <w:rsid w:val="32298046"/>
    <w:rsid w:val="323BC15A"/>
    <w:rsid w:val="323FA5E6"/>
    <w:rsid w:val="32408466"/>
    <w:rsid w:val="324ABD6E"/>
    <w:rsid w:val="324D4FC5"/>
    <w:rsid w:val="324FB651"/>
    <w:rsid w:val="32547AA0"/>
    <w:rsid w:val="32570346"/>
    <w:rsid w:val="3263B245"/>
    <w:rsid w:val="328914A2"/>
    <w:rsid w:val="328BD65A"/>
    <w:rsid w:val="328F0552"/>
    <w:rsid w:val="329AD54F"/>
    <w:rsid w:val="329BFAD5"/>
    <w:rsid w:val="329DB073"/>
    <w:rsid w:val="329DF995"/>
    <w:rsid w:val="32AAE89E"/>
    <w:rsid w:val="32AE3652"/>
    <w:rsid w:val="32BABB22"/>
    <w:rsid w:val="32C48A30"/>
    <w:rsid w:val="32DA6230"/>
    <w:rsid w:val="32DAD1B5"/>
    <w:rsid w:val="3303699B"/>
    <w:rsid w:val="3315E29A"/>
    <w:rsid w:val="331DC72E"/>
    <w:rsid w:val="33284823"/>
    <w:rsid w:val="332D7C06"/>
    <w:rsid w:val="3333E209"/>
    <w:rsid w:val="334125A4"/>
    <w:rsid w:val="33507FE6"/>
    <w:rsid w:val="3363C7D4"/>
    <w:rsid w:val="33646475"/>
    <w:rsid w:val="338EE374"/>
    <w:rsid w:val="338FF6AD"/>
    <w:rsid w:val="33997784"/>
    <w:rsid w:val="33A23827"/>
    <w:rsid w:val="33A6B64C"/>
    <w:rsid w:val="33B04201"/>
    <w:rsid w:val="33B05771"/>
    <w:rsid w:val="33B16358"/>
    <w:rsid w:val="33C1817E"/>
    <w:rsid w:val="33C206D4"/>
    <w:rsid w:val="33CC9861"/>
    <w:rsid w:val="33D18B50"/>
    <w:rsid w:val="33D5CB53"/>
    <w:rsid w:val="33D5FCD5"/>
    <w:rsid w:val="33E7D943"/>
    <w:rsid w:val="33E885B4"/>
    <w:rsid w:val="34021CB6"/>
    <w:rsid w:val="340DA0D3"/>
    <w:rsid w:val="343C67A4"/>
    <w:rsid w:val="343E0A0E"/>
    <w:rsid w:val="344319DE"/>
    <w:rsid w:val="34433E0D"/>
    <w:rsid w:val="3451F91C"/>
    <w:rsid w:val="3460E821"/>
    <w:rsid w:val="3463A332"/>
    <w:rsid w:val="3465F57F"/>
    <w:rsid w:val="3466A09D"/>
    <w:rsid w:val="3474B294"/>
    <w:rsid w:val="34763363"/>
    <w:rsid w:val="347D7E02"/>
    <w:rsid w:val="3497380C"/>
    <w:rsid w:val="34979BBA"/>
    <w:rsid w:val="3497E09D"/>
    <w:rsid w:val="34AE8135"/>
    <w:rsid w:val="34D495F6"/>
    <w:rsid w:val="34D4F24C"/>
    <w:rsid w:val="34D924A6"/>
    <w:rsid w:val="34E3612C"/>
    <w:rsid w:val="34F701C8"/>
    <w:rsid w:val="3541EEA5"/>
    <w:rsid w:val="354B3A9D"/>
    <w:rsid w:val="354E6726"/>
    <w:rsid w:val="3557E94E"/>
    <w:rsid w:val="355CDD4F"/>
    <w:rsid w:val="3574011E"/>
    <w:rsid w:val="358E189F"/>
    <w:rsid w:val="3594776A"/>
    <w:rsid w:val="359C6A74"/>
    <w:rsid w:val="35AC7E8E"/>
    <w:rsid w:val="35B5ACB2"/>
    <w:rsid w:val="35B5C41C"/>
    <w:rsid w:val="35C2ADCE"/>
    <w:rsid w:val="35C7AC4A"/>
    <w:rsid w:val="35C8B233"/>
    <w:rsid w:val="35D2D85D"/>
    <w:rsid w:val="35DE60A0"/>
    <w:rsid w:val="36140869"/>
    <w:rsid w:val="3623BBAF"/>
    <w:rsid w:val="362B304C"/>
    <w:rsid w:val="3638199D"/>
    <w:rsid w:val="3642FBCE"/>
    <w:rsid w:val="3643CD57"/>
    <w:rsid w:val="364B8327"/>
    <w:rsid w:val="364DB5D4"/>
    <w:rsid w:val="3650C9D1"/>
    <w:rsid w:val="3660576B"/>
    <w:rsid w:val="36639FCA"/>
    <w:rsid w:val="366CF073"/>
    <w:rsid w:val="3674BABC"/>
    <w:rsid w:val="36894117"/>
    <w:rsid w:val="36B3A3E2"/>
    <w:rsid w:val="36BC1A50"/>
    <w:rsid w:val="36C1036D"/>
    <w:rsid w:val="36C767F4"/>
    <w:rsid w:val="36CF9714"/>
    <w:rsid w:val="36DB2B40"/>
    <w:rsid w:val="36E2D84B"/>
    <w:rsid w:val="36EA7F86"/>
    <w:rsid w:val="37061DE6"/>
    <w:rsid w:val="371D4626"/>
    <w:rsid w:val="373DDE16"/>
    <w:rsid w:val="373F17C2"/>
    <w:rsid w:val="374AC971"/>
    <w:rsid w:val="374FAD18"/>
    <w:rsid w:val="37508EBB"/>
    <w:rsid w:val="375CBDD2"/>
    <w:rsid w:val="375EEBE7"/>
    <w:rsid w:val="3775E481"/>
    <w:rsid w:val="37978B75"/>
    <w:rsid w:val="379E4A5F"/>
    <w:rsid w:val="37AF16AA"/>
    <w:rsid w:val="37BE4954"/>
    <w:rsid w:val="37C07F29"/>
    <w:rsid w:val="37E8A33B"/>
    <w:rsid w:val="37EC4BB6"/>
    <w:rsid w:val="37FC3E64"/>
    <w:rsid w:val="38094E11"/>
    <w:rsid w:val="3809B30B"/>
    <w:rsid w:val="38198337"/>
    <w:rsid w:val="3820EDB9"/>
    <w:rsid w:val="382104CF"/>
    <w:rsid w:val="382362D7"/>
    <w:rsid w:val="3825F12E"/>
    <w:rsid w:val="3832DD40"/>
    <w:rsid w:val="38333CE8"/>
    <w:rsid w:val="385B41D5"/>
    <w:rsid w:val="385B465B"/>
    <w:rsid w:val="385E5CCD"/>
    <w:rsid w:val="385EF03C"/>
    <w:rsid w:val="385F538B"/>
    <w:rsid w:val="387945B5"/>
    <w:rsid w:val="38958814"/>
    <w:rsid w:val="389C5692"/>
    <w:rsid w:val="38A19BC9"/>
    <w:rsid w:val="38A94133"/>
    <w:rsid w:val="38AB02DE"/>
    <w:rsid w:val="38AE1742"/>
    <w:rsid w:val="38BA91FC"/>
    <w:rsid w:val="38F5ED0F"/>
    <w:rsid w:val="390D3C02"/>
    <w:rsid w:val="392B14E0"/>
    <w:rsid w:val="39326861"/>
    <w:rsid w:val="394A6176"/>
    <w:rsid w:val="3953613F"/>
    <w:rsid w:val="39610874"/>
    <w:rsid w:val="3967F5EB"/>
    <w:rsid w:val="397874C1"/>
    <w:rsid w:val="398325EE"/>
    <w:rsid w:val="398664C3"/>
    <w:rsid w:val="398933A5"/>
    <w:rsid w:val="39A65BF3"/>
    <w:rsid w:val="39A79C68"/>
    <w:rsid w:val="39C10750"/>
    <w:rsid w:val="39C1BCB5"/>
    <w:rsid w:val="39C4F728"/>
    <w:rsid w:val="39D799DF"/>
    <w:rsid w:val="39DD7F5E"/>
    <w:rsid w:val="39E11D01"/>
    <w:rsid w:val="39EBD3DC"/>
    <w:rsid w:val="3A03AB15"/>
    <w:rsid w:val="3A09E25D"/>
    <w:rsid w:val="3A10BA42"/>
    <w:rsid w:val="3A18C4EF"/>
    <w:rsid w:val="3A355484"/>
    <w:rsid w:val="3A3DC679"/>
    <w:rsid w:val="3A42A71C"/>
    <w:rsid w:val="3A5D69DF"/>
    <w:rsid w:val="3A5F4AD5"/>
    <w:rsid w:val="3A638933"/>
    <w:rsid w:val="3A7E0C1E"/>
    <w:rsid w:val="3AA89FC0"/>
    <w:rsid w:val="3ABBFA0C"/>
    <w:rsid w:val="3AC4F736"/>
    <w:rsid w:val="3ACD17A7"/>
    <w:rsid w:val="3ACE1EC1"/>
    <w:rsid w:val="3ACEB476"/>
    <w:rsid w:val="3ADAD1B9"/>
    <w:rsid w:val="3ADB90F5"/>
    <w:rsid w:val="3AE2BEC3"/>
    <w:rsid w:val="3AE3EBFF"/>
    <w:rsid w:val="3AE6356C"/>
    <w:rsid w:val="3AEB0659"/>
    <w:rsid w:val="3AEE3581"/>
    <w:rsid w:val="3AF33A1F"/>
    <w:rsid w:val="3AF775F7"/>
    <w:rsid w:val="3AFABD5B"/>
    <w:rsid w:val="3B03FE44"/>
    <w:rsid w:val="3B237057"/>
    <w:rsid w:val="3B272D80"/>
    <w:rsid w:val="3B2CDF37"/>
    <w:rsid w:val="3B419ACB"/>
    <w:rsid w:val="3B64E758"/>
    <w:rsid w:val="3B68B910"/>
    <w:rsid w:val="3B6B85CC"/>
    <w:rsid w:val="3B6CBF25"/>
    <w:rsid w:val="3B798425"/>
    <w:rsid w:val="3B7E9131"/>
    <w:rsid w:val="3B914AC1"/>
    <w:rsid w:val="3B91E27F"/>
    <w:rsid w:val="3BA0FB64"/>
    <w:rsid w:val="3BA6EAF4"/>
    <w:rsid w:val="3BAED57D"/>
    <w:rsid w:val="3BCA6854"/>
    <w:rsid w:val="3C1A0F92"/>
    <w:rsid w:val="3C1FACA8"/>
    <w:rsid w:val="3C223057"/>
    <w:rsid w:val="3C2AFB98"/>
    <w:rsid w:val="3C3AC4CE"/>
    <w:rsid w:val="3C496FEF"/>
    <w:rsid w:val="3C4C5F66"/>
    <w:rsid w:val="3C530E62"/>
    <w:rsid w:val="3C55B4F3"/>
    <w:rsid w:val="3C56D5F7"/>
    <w:rsid w:val="3C56DCA2"/>
    <w:rsid w:val="3C59CBFD"/>
    <w:rsid w:val="3C5D85D3"/>
    <w:rsid w:val="3C6ABC08"/>
    <w:rsid w:val="3C728FB3"/>
    <w:rsid w:val="3C7327DB"/>
    <w:rsid w:val="3C7E8D29"/>
    <w:rsid w:val="3C81FA3A"/>
    <w:rsid w:val="3C84470C"/>
    <w:rsid w:val="3C848871"/>
    <w:rsid w:val="3C979ADF"/>
    <w:rsid w:val="3C991A50"/>
    <w:rsid w:val="3CA96118"/>
    <w:rsid w:val="3CAA5D37"/>
    <w:rsid w:val="3CAD2955"/>
    <w:rsid w:val="3CB4D855"/>
    <w:rsid w:val="3CB7CF53"/>
    <w:rsid w:val="3CBA6728"/>
    <w:rsid w:val="3CBBFBD8"/>
    <w:rsid w:val="3CBC1C15"/>
    <w:rsid w:val="3CC64062"/>
    <w:rsid w:val="3CCCE07A"/>
    <w:rsid w:val="3CD854EC"/>
    <w:rsid w:val="3CE7E179"/>
    <w:rsid w:val="3CEB1463"/>
    <w:rsid w:val="3D11182A"/>
    <w:rsid w:val="3D223F82"/>
    <w:rsid w:val="3D22FD4F"/>
    <w:rsid w:val="3D23BB3D"/>
    <w:rsid w:val="3D27221B"/>
    <w:rsid w:val="3D2C00E1"/>
    <w:rsid w:val="3D367F40"/>
    <w:rsid w:val="3D3C9CE6"/>
    <w:rsid w:val="3D3C9D42"/>
    <w:rsid w:val="3D3EF84F"/>
    <w:rsid w:val="3D521381"/>
    <w:rsid w:val="3D6DEF0A"/>
    <w:rsid w:val="3D90FC30"/>
    <w:rsid w:val="3DA7F046"/>
    <w:rsid w:val="3DA945DC"/>
    <w:rsid w:val="3DAC0F62"/>
    <w:rsid w:val="3DB9C1E5"/>
    <w:rsid w:val="3DBD5E70"/>
    <w:rsid w:val="3DC03A74"/>
    <w:rsid w:val="3DD2A3A4"/>
    <w:rsid w:val="3DD55B61"/>
    <w:rsid w:val="3DF572CB"/>
    <w:rsid w:val="3DF6C166"/>
    <w:rsid w:val="3E08B778"/>
    <w:rsid w:val="3E0BCF63"/>
    <w:rsid w:val="3E0EA71F"/>
    <w:rsid w:val="3E27486B"/>
    <w:rsid w:val="3E29E5C6"/>
    <w:rsid w:val="3E318C52"/>
    <w:rsid w:val="3E38D782"/>
    <w:rsid w:val="3E39E649"/>
    <w:rsid w:val="3E3D74D8"/>
    <w:rsid w:val="3E3E0427"/>
    <w:rsid w:val="3E41061C"/>
    <w:rsid w:val="3E530181"/>
    <w:rsid w:val="3E5571F5"/>
    <w:rsid w:val="3E57D736"/>
    <w:rsid w:val="3E5CDCAF"/>
    <w:rsid w:val="3E6F8B69"/>
    <w:rsid w:val="3E6FA643"/>
    <w:rsid w:val="3E740E43"/>
    <w:rsid w:val="3E744FD9"/>
    <w:rsid w:val="3E75882B"/>
    <w:rsid w:val="3E7DC57F"/>
    <w:rsid w:val="3E84172F"/>
    <w:rsid w:val="3E9CA1F3"/>
    <w:rsid w:val="3EBC7AAF"/>
    <w:rsid w:val="3EC41F96"/>
    <w:rsid w:val="3ECD8588"/>
    <w:rsid w:val="3ECF1747"/>
    <w:rsid w:val="3ED543B8"/>
    <w:rsid w:val="3EDC8ED2"/>
    <w:rsid w:val="3EDCBC08"/>
    <w:rsid w:val="3EDE2E2B"/>
    <w:rsid w:val="3F099A89"/>
    <w:rsid w:val="3F0A933D"/>
    <w:rsid w:val="3F134BFD"/>
    <w:rsid w:val="3F18B0CB"/>
    <w:rsid w:val="3F273AA0"/>
    <w:rsid w:val="3F32F369"/>
    <w:rsid w:val="3F3EDEA4"/>
    <w:rsid w:val="3F47615B"/>
    <w:rsid w:val="3F551055"/>
    <w:rsid w:val="3F57F3FA"/>
    <w:rsid w:val="3F703449"/>
    <w:rsid w:val="3F70FFFF"/>
    <w:rsid w:val="3F95C240"/>
    <w:rsid w:val="3F970A15"/>
    <w:rsid w:val="3F9B0134"/>
    <w:rsid w:val="3FA7E2F8"/>
    <w:rsid w:val="3FBB6B36"/>
    <w:rsid w:val="3FBC9515"/>
    <w:rsid w:val="3FD256B9"/>
    <w:rsid w:val="3FD9D68D"/>
    <w:rsid w:val="3FEE6323"/>
    <w:rsid w:val="3FFAA034"/>
    <w:rsid w:val="3FFE82DD"/>
    <w:rsid w:val="400AC0E0"/>
    <w:rsid w:val="400E6F24"/>
    <w:rsid w:val="40172D68"/>
    <w:rsid w:val="4018484B"/>
    <w:rsid w:val="4031BBB7"/>
    <w:rsid w:val="40349294"/>
    <w:rsid w:val="403D18C9"/>
    <w:rsid w:val="404751D8"/>
    <w:rsid w:val="40517524"/>
    <w:rsid w:val="408A0155"/>
    <w:rsid w:val="4097E52A"/>
    <w:rsid w:val="40A13376"/>
    <w:rsid w:val="40A3F580"/>
    <w:rsid w:val="40AB09F7"/>
    <w:rsid w:val="40B9E5E5"/>
    <w:rsid w:val="40D07945"/>
    <w:rsid w:val="40E27ACD"/>
    <w:rsid w:val="40EC7EB3"/>
    <w:rsid w:val="40F72049"/>
    <w:rsid w:val="4103EE6E"/>
    <w:rsid w:val="41044238"/>
    <w:rsid w:val="41044CAF"/>
    <w:rsid w:val="4104C9E9"/>
    <w:rsid w:val="4107D71C"/>
    <w:rsid w:val="4112E000"/>
    <w:rsid w:val="41186D4F"/>
    <w:rsid w:val="411EDC08"/>
    <w:rsid w:val="4130F6F6"/>
    <w:rsid w:val="413D2374"/>
    <w:rsid w:val="41559E2E"/>
    <w:rsid w:val="41696FB2"/>
    <w:rsid w:val="41698B40"/>
    <w:rsid w:val="416D5DA0"/>
    <w:rsid w:val="4174D075"/>
    <w:rsid w:val="4178A27E"/>
    <w:rsid w:val="4180D144"/>
    <w:rsid w:val="418176A8"/>
    <w:rsid w:val="4183CAA0"/>
    <w:rsid w:val="41897D0E"/>
    <w:rsid w:val="418D3754"/>
    <w:rsid w:val="41953200"/>
    <w:rsid w:val="41A3C6C3"/>
    <w:rsid w:val="41A76622"/>
    <w:rsid w:val="41AC858E"/>
    <w:rsid w:val="41ACA9E8"/>
    <w:rsid w:val="41B1ED2D"/>
    <w:rsid w:val="41BB0284"/>
    <w:rsid w:val="41BF3721"/>
    <w:rsid w:val="41C7F746"/>
    <w:rsid w:val="41D326B1"/>
    <w:rsid w:val="41DB99B6"/>
    <w:rsid w:val="41DC6A8F"/>
    <w:rsid w:val="41E8C84A"/>
    <w:rsid w:val="41FE5B46"/>
    <w:rsid w:val="420E08BC"/>
    <w:rsid w:val="42219E23"/>
    <w:rsid w:val="422378E8"/>
    <w:rsid w:val="4226416A"/>
    <w:rsid w:val="4227A012"/>
    <w:rsid w:val="4232E93D"/>
    <w:rsid w:val="4238C2D5"/>
    <w:rsid w:val="423A4150"/>
    <w:rsid w:val="423CAEEF"/>
    <w:rsid w:val="424469E0"/>
    <w:rsid w:val="42478BAB"/>
    <w:rsid w:val="425830E9"/>
    <w:rsid w:val="4258DB9E"/>
    <w:rsid w:val="425951AA"/>
    <w:rsid w:val="425B3B0E"/>
    <w:rsid w:val="426D1AEF"/>
    <w:rsid w:val="428EA808"/>
    <w:rsid w:val="4293E2E4"/>
    <w:rsid w:val="42B1D276"/>
    <w:rsid w:val="42B4BE23"/>
    <w:rsid w:val="42BC5C49"/>
    <w:rsid w:val="42BFA23B"/>
    <w:rsid w:val="42E171E3"/>
    <w:rsid w:val="42E3E255"/>
    <w:rsid w:val="42E95350"/>
    <w:rsid w:val="42F05329"/>
    <w:rsid w:val="42F64B3D"/>
    <w:rsid w:val="42F71C57"/>
    <w:rsid w:val="42FD58E0"/>
    <w:rsid w:val="430F479A"/>
    <w:rsid w:val="431F5AFA"/>
    <w:rsid w:val="433B3063"/>
    <w:rsid w:val="4341D968"/>
    <w:rsid w:val="43726C09"/>
    <w:rsid w:val="4381FB29"/>
    <w:rsid w:val="43879AA0"/>
    <w:rsid w:val="43A2978C"/>
    <w:rsid w:val="43B6B8F0"/>
    <w:rsid w:val="43BF8913"/>
    <w:rsid w:val="43D45EC7"/>
    <w:rsid w:val="43F79C43"/>
    <w:rsid w:val="44043E23"/>
    <w:rsid w:val="440FE220"/>
    <w:rsid w:val="442872AF"/>
    <w:rsid w:val="442FC901"/>
    <w:rsid w:val="443223B1"/>
    <w:rsid w:val="44342DFD"/>
    <w:rsid w:val="44345C08"/>
    <w:rsid w:val="4453FD1E"/>
    <w:rsid w:val="446C0D62"/>
    <w:rsid w:val="446C1654"/>
    <w:rsid w:val="44722ECA"/>
    <w:rsid w:val="4475AC1E"/>
    <w:rsid w:val="44770E5D"/>
    <w:rsid w:val="4484E6BB"/>
    <w:rsid w:val="44890B9A"/>
    <w:rsid w:val="448E90A8"/>
    <w:rsid w:val="44AA4E52"/>
    <w:rsid w:val="44B658B6"/>
    <w:rsid w:val="44C474D2"/>
    <w:rsid w:val="44DAAAD4"/>
    <w:rsid w:val="44E7D954"/>
    <w:rsid w:val="44F4DB29"/>
    <w:rsid w:val="450803B7"/>
    <w:rsid w:val="4508F0AC"/>
    <w:rsid w:val="45129912"/>
    <w:rsid w:val="4513A9E6"/>
    <w:rsid w:val="4526F759"/>
    <w:rsid w:val="453D5050"/>
    <w:rsid w:val="45692B3E"/>
    <w:rsid w:val="456FCC1F"/>
    <w:rsid w:val="457D0516"/>
    <w:rsid w:val="457E94F5"/>
    <w:rsid w:val="457F78E4"/>
    <w:rsid w:val="458ED541"/>
    <w:rsid w:val="45913A93"/>
    <w:rsid w:val="45A549A9"/>
    <w:rsid w:val="45ADB345"/>
    <w:rsid w:val="45B23B2C"/>
    <w:rsid w:val="45B4F9B9"/>
    <w:rsid w:val="45B9886B"/>
    <w:rsid w:val="45C2EF6D"/>
    <w:rsid w:val="45C4E84A"/>
    <w:rsid w:val="45D0D91F"/>
    <w:rsid w:val="45D64465"/>
    <w:rsid w:val="45D695D9"/>
    <w:rsid w:val="45D83E3D"/>
    <w:rsid w:val="4605F222"/>
    <w:rsid w:val="460B5BF2"/>
    <w:rsid w:val="461295C7"/>
    <w:rsid w:val="46307DE6"/>
    <w:rsid w:val="46319463"/>
    <w:rsid w:val="464287EC"/>
    <w:rsid w:val="4650D037"/>
    <w:rsid w:val="46572BBA"/>
    <w:rsid w:val="46579492"/>
    <w:rsid w:val="465CBB09"/>
    <w:rsid w:val="466FAB35"/>
    <w:rsid w:val="46822C58"/>
    <w:rsid w:val="4687036A"/>
    <w:rsid w:val="46875165"/>
    <w:rsid w:val="468D957F"/>
    <w:rsid w:val="469989E0"/>
    <w:rsid w:val="469B6A72"/>
    <w:rsid w:val="46AA2D0C"/>
    <w:rsid w:val="46B3E085"/>
    <w:rsid w:val="46C36532"/>
    <w:rsid w:val="46D4D6EF"/>
    <w:rsid w:val="46E0551F"/>
    <w:rsid w:val="46E5D7AE"/>
    <w:rsid w:val="470AA43B"/>
    <w:rsid w:val="4723DF91"/>
    <w:rsid w:val="472460EB"/>
    <w:rsid w:val="47320E3D"/>
    <w:rsid w:val="4733C1EA"/>
    <w:rsid w:val="473BB24C"/>
    <w:rsid w:val="4742889C"/>
    <w:rsid w:val="474BF9C9"/>
    <w:rsid w:val="476225E1"/>
    <w:rsid w:val="4766ACB2"/>
    <w:rsid w:val="4770379E"/>
    <w:rsid w:val="47784853"/>
    <w:rsid w:val="477C29FC"/>
    <w:rsid w:val="47A34DF4"/>
    <w:rsid w:val="47A87CB9"/>
    <w:rsid w:val="47AA6A19"/>
    <w:rsid w:val="47BC7CCE"/>
    <w:rsid w:val="47C042B6"/>
    <w:rsid w:val="47C1D947"/>
    <w:rsid w:val="47C1DB4C"/>
    <w:rsid w:val="47C3E1B7"/>
    <w:rsid w:val="47C8742C"/>
    <w:rsid w:val="47D83CC2"/>
    <w:rsid w:val="47DAEA2A"/>
    <w:rsid w:val="47E5E28F"/>
    <w:rsid w:val="47E77EBC"/>
    <w:rsid w:val="47E7B0EB"/>
    <w:rsid w:val="47EA116C"/>
    <w:rsid w:val="47F5628E"/>
    <w:rsid w:val="48020CDE"/>
    <w:rsid w:val="48157D5C"/>
    <w:rsid w:val="4815AD2D"/>
    <w:rsid w:val="4815F26E"/>
    <w:rsid w:val="481DCAE3"/>
    <w:rsid w:val="4822E1CB"/>
    <w:rsid w:val="4823AEAB"/>
    <w:rsid w:val="482483CB"/>
    <w:rsid w:val="4832E244"/>
    <w:rsid w:val="483B1C31"/>
    <w:rsid w:val="4844312F"/>
    <w:rsid w:val="4845D4DD"/>
    <w:rsid w:val="486C6F2A"/>
    <w:rsid w:val="48771AE3"/>
    <w:rsid w:val="487A74E4"/>
    <w:rsid w:val="488BF7BC"/>
    <w:rsid w:val="4891D6D9"/>
    <w:rsid w:val="489B4C63"/>
    <w:rsid w:val="48C0E4C9"/>
    <w:rsid w:val="48C77F9C"/>
    <w:rsid w:val="48E1950A"/>
    <w:rsid w:val="48FF8D98"/>
    <w:rsid w:val="490E3B37"/>
    <w:rsid w:val="49311AD0"/>
    <w:rsid w:val="494D7AB4"/>
    <w:rsid w:val="49526546"/>
    <w:rsid w:val="49767678"/>
    <w:rsid w:val="4977D029"/>
    <w:rsid w:val="497C0685"/>
    <w:rsid w:val="4998B240"/>
    <w:rsid w:val="49996C00"/>
    <w:rsid w:val="499A1861"/>
    <w:rsid w:val="49AAD106"/>
    <w:rsid w:val="49AB4B46"/>
    <w:rsid w:val="49C3CAFA"/>
    <w:rsid w:val="49CF2DDF"/>
    <w:rsid w:val="49D22BE9"/>
    <w:rsid w:val="49D3D268"/>
    <w:rsid w:val="49D83EC2"/>
    <w:rsid w:val="49D97FF5"/>
    <w:rsid w:val="49DFD0BC"/>
    <w:rsid w:val="49F2E015"/>
    <w:rsid w:val="4A03E619"/>
    <w:rsid w:val="4A13C864"/>
    <w:rsid w:val="4A24802C"/>
    <w:rsid w:val="4A25E10E"/>
    <w:rsid w:val="4A25FA74"/>
    <w:rsid w:val="4A35147D"/>
    <w:rsid w:val="4A47D0DE"/>
    <w:rsid w:val="4A51645F"/>
    <w:rsid w:val="4A53F510"/>
    <w:rsid w:val="4A5B799D"/>
    <w:rsid w:val="4A8F9B34"/>
    <w:rsid w:val="4AA30839"/>
    <w:rsid w:val="4AB6F978"/>
    <w:rsid w:val="4ABB3B4E"/>
    <w:rsid w:val="4ABC3FD4"/>
    <w:rsid w:val="4AC5555A"/>
    <w:rsid w:val="4ACCDA29"/>
    <w:rsid w:val="4AD00A61"/>
    <w:rsid w:val="4AD53A89"/>
    <w:rsid w:val="4AD94B38"/>
    <w:rsid w:val="4ADC543D"/>
    <w:rsid w:val="4AE0769C"/>
    <w:rsid w:val="4AFCD60D"/>
    <w:rsid w:val="4AFEBA38"/>
    <w:rsid w:val="4B05DE6E"/>
    <w:rsid w:val="4B3321DB"/>
    <w:rsid w:val="4B357F56"/>
    <w:rsid w:val="4B4F78FE"/>
    <w:rsid w:val="4B580811"/>
    <w:rsid w:val="4B61F6C7"/>
    <w:rsid w:val="4B6EFC54"/>
    <w:rsid w:val="4B82EF46"/>
    <w:rsid w:val="4B9C995E"/>
    <w:rsid w:val="4B9D63A7"/>
    <w:rsid w:val="4BAC04B3"/>
    <w:rsid w:val="4BAE920E"/>
    <w:rsid w:val="4BC6CB3F"/>
    <w:rsid w:val="4BCA4A49"/>
    <w:rsid w:val="4BD08132"/>
    <w:rsid w:val="4BD40766"/>
    <w:rsid w:val="4BF2E6D9"/>
    <w:rsid w:val="4BF40621"/>
    <w:rsid w:val="4BF574CE"/>
    <w:rsid w:val="4BF7263E"/>
    <w:rsid w:val="4BFA147C"/>
    <w:rsid w:val="4C0D89A0"/>
    <w:rsid w:val="4C0E7C79"/>
    <w:rsid w:val="4C142A81"/>
    <w:rsid w:val="4C1794AE"/>
    <w:rsid w:val="4C18FE9B"/>
    <w:rsid w:val="4C1BF553"/>
    <w:rsid w:val="4C297F1C"/>
    <w:rsid w:val="4C2D435B"/>
    <w:rsid w:val="4C2DB68F"/>
    <w:rsid w:val="4C450C6E"/>
    <w:rsid w:val="4C4B2B7C"/>
    <w:rsid w:val="4C4D5130"/>
    <w:rsid w:val="4C4D83BB"/>
    <w:rsid w:val="4C563F35"/>
    <w:rsid w:val="4C59C95E"/>
    <w:rsid w:val="4C5C474C"/>
    <w:rsid w:val="4C94F18F"/>
    <w:rsid w:val="4C951B7E"/>
    <w:rsid w:val="4C97A00E"/>
    <w:rsid w:val="4C98A508"/>
    <w:rsid w:val="4C99B23F"/>
    <w:rsid w:val="4CAA9223"/>
    <w:rsid w:val="4CABCB3B"/>
    <w:rsid w:val="4CBE4946"/>
    <w:rsid w:val="4CC32348"/>
    <w:rsid w:val="4CE0B6B2"/>
    <w:rsid w:val="4D011B75"/>
    <w:rsid w:val="4D193FEE"/>
    <w:rsid w:val="4D1C5204"/>
    <w:rsid w:val="4D1D8CDB"/>
    <w:rsid w:val="4D28E3B9"/>
    <w:rsid w:val="4D2A4960"/>
    <w:rsid w:val="4D5B42F1"/>
    <w:rsid w:val="4D5BED83"/>
    <w:rsid w:val="4D79445F"/>
    <w:rsid w:val="4D821EF6"/>
    <w:rsid w:val="4D97E024"/>
    <w:rsid w:val="4D9D8C08"/>
    <w:rsid w:val="4DB27BA0"/>
    <w:rsid w:val="4DBA94D8"/>
    <w:rsid w:val="4DC13830"/>
    <w:rsid w:val="4DC4A562"/>
    <w:rsid w:val="4DD802AD"/>
    <w:rsid w:val="4DE2F328"/>
    <w:rsid w:val="4DE6F19C"/>
    <w:rsid w:val="4E005313"/>
    <w:rsid w:val="4E129585"/>
    <w:rsid w:val="4E143BFC"/>
    <w:rsid w:val="4E21A561"/>
    <w:rsid w:val="4E2B5E6F"/>
    <w:rsid w:val="4E341751"/>
    <w:rsid w:val="4E35CCD4"/>
    <w:rsid w:val="4E690B84"/>
    <w:rsid w:val="4E71124B"/>
    <w:rsid w:val="4E7C0B16"/>
    <w:rsid w:val="4E85CA0D"/>
    <w:rsid w:val="4E877E80"/>
    <w:rsid w:val="4EA09F98"/>
    <w:rsid w:val="4EA79AAE"/>
    <w:rsid w:val="4EAF1B8A"/>
    <w:rsid w:val="4EB42E00"/>
    <w:rsid w:val="4EBAA607"/>
    <w:rsid w:val="4EBD35BD"/>
    <w:rsid w:val="4EC3A9A3"/>
    <w:rsid w:val="4ED28D0B"/>
    <w:rsid w:val="4ED32033"/>
    <w:rsid w:val="4EDE0259"/>
    <w:rsid w:val="4EFA3F26"/>
    <w:rsid w:val="4EFDB7E3"/>
    <w:rsid w:val="4F1E49BD"/>
    <w:rsid w:val="4F269E0B"/>
    <w:rsid w:val="4F2EA1C4"/>
    <w:rsid w:val="4F316586"/>
    <w:rsid w:val="4F3C5AAE"/>
    <w:rsid w:val="4F4CBEA1"/>
    <w:rsid w:val="4F5614B8"/>
    <w:rsid w:val="4F71BEDD"/>
    <w:rsid w:val="4F813810"/>
    <w:rsid w:val="4F845B2F"/>
    <w:rsid w:val="4F9F1C4F"/>
    <w:rsid w:val="4F9FEB4F"/>
    <w:rsid w:val="4FA14C15"/>
    <w:rsid w:val="4FBDA5F2"/>
    <w:rsid w:val="4FC19912"/>
    <w:rsid w:val="4FC7083A"/>
    <w:rsid w:val="4FCDC15B"/>
    <w:rsid w:val="4FCEF995"/>
    <w:rsid w:val="4FD70598"/>
    <w:rsid w:val="50017297"/>
    <w:rsid w:val="500E1AE2"/>
    <w:rsid w:val="500EAB81"/>
    <w:rsid w:val="50383D6D"/>
    <w:rsid w:val="503F2381"/>
    <w:rsid w:val="5041DE83"/>
    <w:rsid w:val="5049C385"/>
    <w:rsid w:val="5056EAF7"/>
    <w:rsid w:val="505B5E5D"/>
    <w:rsid w:val="505B6997"/>
    <w:rsid w:val="5063BFC8"/>
    <w:rsid w:val="5069B3B6"/>
    <w:rsid w:val="506C372E"/>
    <w:rsid w:val="5076B1C9"/>
    <w:rsid w:val="507DE96D"/>
    <w:rsid w:val="508C3538"/>
    <w:rsid w:val="509FC078"/>
    <w:rsid w:val="50A764BF"/>
    <w:rsid w:val="50B05982"/>
    <w:rsid w:val="50C9FE1B"/>
    <w:rsid w:val="50CAD4DC"/>
    <w:rsid w:val="50CBD3E6"/>
    <w:rsid w:val="50CC112D"/>
    <w:rsid w:val="50CFDB1E"/>
    <w:rsid w:val="50DD368A"/>
    <w:rsid w:val="50F5DB1A"/>
    <w:rsid w:val="510072CE"/>
    <w:rsid w:val="510936F1"/>
    <w:rsid w:val="51153F86"/>
    <w:rsid w:val="5118A852"/>
    <w:rsid w:val="51190AF4"/>
    <w:rsid w:val="511CE545"/>
    <w:rsid w:val="51243A04"/>
    <w:rsid w:val="5128B439"/>
    <w:rsid w:val="512EAC00"/>
    <w:rsid w:val="5133AFC2"/>
    <w:rsid w:val="51442568"/>
    <w:rsid w:val="514BD1D7"/>
    <w:rsid w:val="51554555"/>
    <w:rsid w:val="5167E5FC"/>
    <w:rsid w:val="51726BDF"/>
    <w:rsid w:val="517A5B0B"/>
    <w:rsid w:val="517B9410"/>
    <w:rsid w:val="51874CAE"/>
    <w:rsid w:val="5194DF2B"/>
    <w:rsid w:val="5198BE6E"/>
    <w:rsid w:val="51A39CA1"/>
    <w:rsid w:val="51A3FC8F"/>
    <w:rsid w:val="51AC6D61"/>
    <w:rsid w:val="51F1DF22"/>
    <w:rsid w:val="51F62332"/>
    <w:rsid w:val="51F71F6D"/>
    <w:rsid w:val="51FB7152"/>
    <w:rsid w:val="52067268"/>
    <w:rsid w:val="5207376D"/>
    <w:rsid w:val="5208ECB5"/>
    <w:rsid w:val="52092308"/>
    <w:rsid w:val="52204F78"/>
    <w:rsid w:val="522A63D1"/>
    <w:rsid w:val="524CD4E5"/>
    <w:rsid w:val="52566789"/>
    <w:rsid w:val="525A31E7"/>
    <w:rsid w:val="525BBA77"/>
    <w:rsid w:val="525DC2A0"/>
    <w:rsid w:val="52627972"/>
    <w:rsid w:val="52666D65"/>
    <w:rsid w:val="526F1F26"/>
    <w:rsid w:val="52737346"/>
    <w:rsid w:val="52756F27"/>
    <w:rsid w:val="527709A8"/>
    <w:rsid w:val="5279A1F1"/>
    <w:rsid w:val="527EBEBC"/>
    <w:rsid w:val="52800CB3"/>
    <w:rsid w:val="5285CB85"/>
    <w:rsid w:val="5288BA8C"/>
    <w:rsid w:val="529136B7"/>
    <w:rsid w:val="5294887A"/>
    <w:rsid w:val="52995818"/>
    <w:rsid w:val="52A0EF0A"/>
    <w:rsid w:val="52B11A54"/>
    <w:rsid w:val="52F7AAD8"/>
    <w:rsid w:val="52FF8C7F"/>
    <w:rsid w:val="530EBD20"/>
    <w:rsid w:val="53103AAB"/>
    <w:rsid w:val="53228F0A"/>
    <w:rsid w:val="532A97C8"/>
    <w:rsid w:val="53364ECD"/>
    <w:rsid w:val="534AEBCC"/>
    <w:rsid w:val="534BC7B1"/>
    <w:rsid w:val="535E8C74"/>
    <w:rsid w:val="53688E96"/>
    <w:rsid w:val="5376B036"/>
    <w:rsid w:val="5377B67D"/>
    <w:rsid w:val="5377BB34"/>
    <w:rsid w:val="5379BE20"/>
    <w:rsid w:val="537B45BC"/>
    <w:rsid w:val="538CF923"/>
    <w:rsid w:val="539EC194"/>
    <w:rsid w:val="539EE7FF"/>
    <w:rsid w:val="53A447C1"/>
    <w:rsid w:val="53AD5B69"/>
    <w:rsid w:val="53C1BA17"/>
    <w:rsid w:val="53D97379"/>
    <w:rsid w:val="53E0F011"/>
    <w:rsid w:val="53E34CD1"/>
    <w:rsid w:val="53E62CAF"/>
    <w:rsid w:val="53E88131"/>
    <w:rsid w:val="53EFC4CE"/>
    <w:rsid w:val="53F53C1A"/>
    <w:rsid w:val="540A1155"/>
    <w:rsid w:val="541CACB0"/>
    <w:rsid w:val="541CB08A"/>
    <w:rsid w:val="541D1023"/>
    <w:rsid w:val="541F3604"/>
    <w:rsid w:val="54255DCB"/>
    <w:rsid w:val="54287391"/>
    <w:rsid w:val="542C7FAF"/>
    <w:rsid w:val="542F015B"/>
    <w:rsid w:val="542F17F3"/>
    <w:rsid w:val="543C9F7F"/>
    <w:rsid w:val="543E4B20"/>
    <w:rsid w:val="5450ADBF"/>
    <w:rsid w:val="5457BF4D"/>
    <w:rsid w:val="5463B2EA"/>
    <w:rsid w:val="54685BE7"/>
    <w:rsid w:val="5472F7DF"/>
    <w:rsid w:val="5478F078"/>
    <w:rsid w:val="54996DB7"/>
    <w:rsid w:val="54A8C3AC"/>
    <w:rsid w:val="54AD069F"/>
    <w:rsid w:val="54B013AE"/>
    <w:rsid w:val="54B6EA65"/>
    <w:rsid w:val="54B9BEBF"/>
    <w:rsid w:val="54CADEDB"/>
    <w:rsid w:val="54E05455"/>
    <w:rsid w:val="54E71BAB"/>
    <w:rsid w:val="54ED1F06"/>
    <w:rsid w:val="5504AD4E"/>
    <w:rsid w:val="550AC63B"/>
    <w:rsid w:val="55116A03"/>
    <w:rsid w:val="5517E0D7"/>
    <w:rsid w:val="552E0632"/>
    <w:rsid w:val="553959F5"/>
    <w:rsid w:val="55503009"/>
    <w:rsid w:val="555E3108"/>
    <w:rsid w:val="5568E44D"/>
    <w:rsid w:val="556CE61F"/>
    <w:rsid w:val="5571B00F"/>
    <w:rsid w:val="558B4BC8"/>
    <w:rsid w:val="55A007DC"/>
    <w:rsid w:val="55A43BE8"/>
    <w:rsid w:val="55B18498"/>
    <w:rsid w:val="55C9FAD6"/>
    <w:rsid w:val="55D9E184"/>
    <w:rsid w:val="55F6596C"/>
    <w:rsid w:val="560DA430"/>
    <w:rsid w:val="5613B722"/>
    <w:rsid w:val="56181097"/>
    <w:rsid w:val="56545993"/>
    <w:rsid w:val="56597FF8"/>
    <w:rsid w:val="5662A072"/>
    <w:rsid w:val="5664482F"/>
    <w:rsid w:val="566559B3"/>
    <w:rsid w:val="567809EC"/>
    <w:rsid w:val="567968EA"/>
    <w:rsid w:val="567A28C6"/>
    <w:rsid w:val="568606F6"/>
    <w:rsid w:val="568FD0C5"/>
    <w:rsid w:val="56964EF2"/>
    <w:rsid w:val="56A301D5"/>
    <w:rsid w:val="56B3C0CE"/>
    <w:rsid w:val="56C229B0"/>
    <w:rsid w:val="56CF25A9"/>
    <w:rsid w:val="56E7AD82"/>
    <w:rsid w:val="56EDEF16"/>
    <w:rsid w:val="56F3A74C"/>
    <w:rsid w:val="56F7FFBD"/>
    <w:rsid w:val="56F885B8"/>
    <w:rsid w:val="5700AF3C"/>
    <w:rsid w:val="57185F3F"/>
    <w:rsid w:val="5723EA63"/>
    <w:rsid w:val="57276567"/>
    <w:rsid w:val="572CED12"/>
    <w:rsid w:val="573159BB"/>
    <w:rsid w:val="576DABDB"/>
    <w:rsid w:val="57963490"/>
    <w:rsid w:val="57966226"/>
    <w:rsid w:val="579FD42E"/>
    <w:rsid w:val="57A8087E"/>
    <w:rsid w:val="57AC5914"/>
    <w:rsid w:val="57B418AF"/>
    <w:rsid w:val="57B91A66"/>
    <w:rsid w:val="57CDB4AB"/>
    <w:rsid w:val="57D4D955"/>
    <w:rsid w:val="57D89BB7"/>
    <w:rsid w:val="57DB1D84"/>
    <w:rsid w:val="57DB697C"/>
    <w:rsid w:val="57DD4C3B"/>
    <w:rsid w:val="57F30D36"/>
    <w:rsid w:val="57F96B98"/>
    <w:rsid w:val="57FE0786"/>
    <w:rsid w:val="57FF4E8E"/>
    <w:rsid w:val="580C7CDE"/>
    <w:rsid w:val="580DF968"/>
    <w:rsid w:val="5829FBBB"/>
    <w:rsid w:val="58328DA1"/>
    <w:rsid w:val="584EC8AD"/>
    <w:rsid w:val="58522D84"/>
    <w:rsid w:val="586A70F7"/>
    <w:rsid w:val="587A9B9C"/>
    <w:rsid w:val="58888741"/>
    <w:rsid w:val="588EC65F"/>
    <w:rsid w:val="58A10817"/>
    <w:rsid w:val="58A97136"/>
    <w:rsid w:val="58C72E82"/>
    <w:rsid w:val="58D1B6AA"/>
    <w:rsid w:val="58FA814D"/>
    <w:rsid w:val="59014117"/>
    <w:rsid w:val="590CAA84"/>
    <w:rsid w:val="590F4A9D"/>
    <w:rsid w:val="590FB31E"/>
    <w:rsid w:val="592829FB"/>
    <w:rsid w:val="59288EA2"/>
    <w:rsid w:val="592A6E8C"/>
    <w:rsid w:val="5930FF37"/>
    <w:rsid w:val="59322D88"/>
    <w:rsid w:val="593CB856"/>
    <w:rsid w:val="593F079B"/>
    <w:rsid w:val="59423E6E"/>
    <w:rsid w:val="594C743F"/>
    <w:rsid w:val="59575B29"/>
    <w:rsid w:val="596984E7"/>
    <w:rsid w:val="597D4653"/>
    <w:rsid w:val="597FCF6A"/>
    <w:rsid w:val="598077C2"/>
    <w:rsid w:val="5984500E"/>
    <w:rsid w:val="598BE60F"/>
    <w:rsid w:val="5992B74B"/>
    <w:rsid w:val="599C9A6E"/>
    <w:rsid w:val="59AFB447"/>
    <w:rsid w:val="59B77595"/>
    <w:rsid w:val="59BEA5F3"/>
    <w:rsid w:val="59C0356A"/>
    <w:rsid w:val="59D44688"/>
    <w:rsid w:val="59D6C32E"/>
    <w:rsid w:val="59D99E5F"/>
    <w:rsid w:val="59EBA93D"/>
    <w:rsid w:val="59F0575E"/>
    <w:rsid w:val="5A147A43"/>
    <w:rsid w:val="5A27B8E5"/>
    <w:rsid w:val="5A27BE83"/>
    <w:rsid w:val="5A41613D"/>
    <w:rsid w:val="5A41B326"/>
    <w:rsid w:val="5A41EA8A"/>
    <w:rsid w:val="5A4981E8"/>
    <w:rsid w:val="5A502B24"/>
    <w:rsid w:val="5A62D236"/>
    <w:rsid w:val="5A83DEF5"/>
    <w:rsid w:val="5A867288"/>
    <w:rsid w:val="5AA2E21F"/>
    <w:rsid w:val="5AB484F2"/>
    <w:rsid w:val="5ABA335C"/>
    <w:rsid w:val="5AC47FC6"/>
    <w:rsid w:val="5AC8D5E4"/>
    <w:rsid w:val="5AE9EDFF"/>
    <w:rsid w:val="5AF37ECB"/>
    <w:rsid w:val="5B109E02"/>
    <w:rsid w:val="5B14B0FC"/>
    <w:rsid w:val="5B15FDE2"/>
    <w:rsid w:val="5B165E6E"/>
    <w:rsid w:val="5B211D2E"/>
    <w:rsid w:val="5B27C916"/>
    <w:rsid w:val="5B2A67F0"/>
    <w:rsid w:val="5B331138"/>
    <w:rsid w:val="5B34872A"/>
    <w:rsid w:val="5B43B159"/>
    <w:rsid w:val="5B49A5A6"/>
    <w:rsid w:val="5B553368"/>
    <w:rsid w:val="5B589E0F"/>
    <w:rsid w:val="5B705285"/>
    <w:rsid w:val="5B71F439"/>
    <w:rsid w:val="5B7BD454"/>
    <w:rsid w:val="5B868778"/>
    <w:rsid w:val="5B8BBBEC"/>
    <w:rsid w:val="5B95698C"/>
    <w:rsid w:val="5B993C3A"/>
    <w:rsid w:val="5BB1EE1C"/>
    <w:rsid w:val="5BC08F48"/>
    <w:rsid w:val="5BC3F0EA"/>
    <w:rsid w:val="5BCA8E8B"/>
    <w:rsid w:val="5BCDC73A"/>
    <w:rsid w:val="5BD354B3"/>
    <w:rsid w:val="5BEDDFA8"/>
    <w:rsid w:val="5C0A68C4"/>
    <w:rsid w:val="5C0C422F"/>
    <w:rsid w:val="5C17B298"/>
    <w:rsid w:val="5C302277"/>
    <w:rsid w:val="5C45A251"/>
    <w:rsid w:val="5C48E1F0"/>
    <w:rsid w:val="5C512BA7"/>
    <w:rsid w:val="5C5DFC2C"/>
    <w:rsid w:val="5C6C2E73"/>
    <w:rsid w:val="5C738437"/>
    <w:rsid w:val="5C73C1A0"/>
    <w:rsid w:val="5C809BC1"/>
    <w:rsid w:val="5C81FC8A"/>
    <w:rsid w:val="5C910F4F"/>
    <w:rsid w:val="5C96E70B"/>
    <w:rsid w:val="5C9BB46E"/>
    <w:rsid w:val="5CB42AE8"/>
    <w:rsid w:val="5CC29578"/>
    <w:rsid w:val="5CCE2350"/>
    <w:rsid w:val="5CDCC3D9"/>
    <w:rsid w:val="5D017F29"/>
    <w:rsid w:val="5D0B5092"/>
    <w:rsid w:val="5D221D6A"/>
    <w:rsid w:val="5D664D10"/>
    <w:rsid w:val="5D7E9BE1"/>
    <w:rsid w:val="5D868A17"/>
    <w:rsid w:val="5D8AF405"/>
    <w:rsid w:val="5D9FB247"/>
    <w:rsid w:val="5DACCE31"/>
    <w:rsid w:val="5DACD496"/>
    <w:rsid w:val="5DB21B21"/>
    <w:rsid w:val="5DD1A4BC"/>
    <w:rsid w:val="5DD79DAD"/>
    <w:rsid w:val="5E1863D0"/>
    <w:rsid w:val="5E22375A"/>
    <w:rsid w:val="5E34FF0C"/>
    <w:rsid w:val="5E399198"/>
    <w:rsid w:val="5E460FA5"/>
    <w:rsid w:val="5E48B79D"/>
    <w:rsid w:val="5E4D8CFC"/>
    <w:rsid w:val="5E56144B"/>
    <w:rsid w:val="5E5B468B"/>
    <w:rsid w:val="5E7A16F7"/>
    <w:rsid w:val="5E966EC6"/>
    <w:rsid w:val="5E996809"/>
    <w:rsid w:val="5E9A3E95"/>
    <w:rsid w:val="5E9FA807"/>
    <w:rsid w:val="5EA74411"/>
    <w:rsid w:val="5EA8D1F4"/>
    <w:rsid w:val="5EB052F3"/>
    <w:rsid w:val="5ED2EADF"/>
    <w:rsid w:val="5EEF04B3"/>
    <w:rsid w:val="5EFC9C46"/>
    <w:rsid w:val="5F085057"/>
    <w:rsid w:val="5F0B4C8A"/>
    <w:rsid w:val="5F2FF513"/>
    <w:rsid w:val="5F388422"/>
    <w:rsid w:val="5F396FD4"/>
    <w:rsid w:val="5F498E40"/>
    <w:rsid w:val="5F4FCA06"/>
    <w:rsid w:val="5F5756C4"/>
    <w:rsid w:val="5F853169"/>
    <w:rsid w:val="5F8EDD09"/>
    <w:rsid w:val="5FA8F2A9"/>
    <w:rsid w:val="5FC50079"/>
    <w:rsid w:val="5FD0334F"/>
    <w:rsid w:val="5FEDAB4A"/>
    <w:rsid w:val="5FEF8D09"/>
    <w:rsid w:val="6007212D"/>
    <w:rsid w:val="602C3129"/>
    <w:rsid w:val="6045DC25"/>
    <w:rsid w:val="604EDC49"/>
    <w:rsid w:val="60549E92"/>
    <w:rsid w:val="60609B4E"/>
    <w:rsid w:val="60738696"/>
    <w:rsid w:val="6074F791"/>
    <w:rsid w:val="60751E35"/>
    <w:rsid w:val="6077CBE0"/>
    <w:rsid w:val="607E16E8"/>
    <w:rsid w:val="60A54B78"/>
    <w:rsid w:val="60BE5C1F"/>
    <w:rsid w:val="60C5E6BB"/>
    <w:rsid w:val="60DA6498"/>
    <w:rsid w:val="60E00E2B"/>
    <w:rsid w:val="60E8D3B3"/>
    <w:rsid w:val="60ED024D"/>
    <w:rsid w:val="60FB6663"/>
    <w:rsid w:val="61023DD9"/>
    <w:rsid w:val="6106EF58"/>
    <w:rsid w:val="610CA2E5"/>
    <w:rsid w:val="61183170"/>
    <w:rsid w:val="611A29D3"/>
    <w:rsid w:val="611FE984"/>
    <w:rsid w:val="6124B9AB"/>
    <w:rsid w:val="6126C9BA"/>
    <w:rsid w:val="6135A199"/>
    <w:rsid w:val="61388D72"/>
    <w:rsid w:val="61420569"/>
    <w:rsid w:val="6142A951"/>
    <w:rsid w:val="6148D76D"/>
    <w:rsid w:val="61492069"/>
    <w:rsid w:val="614DD3B8"/>
    <w:rsid w:val="615010D5"/>
    <w:rsid w:val="6160E40B"/>
    <w:rsid w:val="616D76A6"/>
    <w:rsid w:val="618B697E"/>
    <w:rsid w:val="61926798"/>
    <w:rsid w:val="61B17C43"/>
    <w:rsid w:val="61C40676"/>
    <w:rsid w:val="61C930C0"/>
    <w:rsid w:val="61C9DBF2"/>
    <w:rsid w:val="61E73700"/>
    <w:rsid w:val="61F06800"/>
    <w:rsid w:val="61F316A1"/>
    <w:rsid w:val="6207BAEB"/>
    <w:rsid w:val="620F5FE3"/>
    <w:rsid w:val="6219F66F"/>
    <w:rsid w:val="621CC7F2"/>
    <w:rsid w:val="6220F76C"/>
    <w:rsid w:val="6230434E"/>
    <w:rsid w:val="623625AB"/>
    <w:rsid w:val="623BC109"/>
    <w:rsid w:val="62454718"/>
    <w:rsid w:val="624C22A4"/>
    <w:rsid w:val="62597BF2"/>
    <w:rsid w:val="626421BE"/>
    <w:rsid w:val="626A3F3A"/>
    <w:rsid w:val="627983BA"/>
    <w:rsid w:val="628192A0"/>
    <w:rsid w:val="629A9112"/>
    <w:rsid w:val="62AC5470"/>
    <w:rsid w:val="62C1498B"/>
    <w:rsid w:val="62C4476F"/>
    <w:rsid w:val="62CC486B"/>
    <w:rsid w:val="62E4F834"/>
    <w:rsid w:val="62EFA7D3"/>
    <w:rsid w:val="62F061D4"/>
    <w:rsid w:val="6309F83D"/>
    <w:rsid w:val="6312EE39"/>
    <w:rsid w:val="631905F6"/>
    <w:rsid w:val="633E1542"/>
    <w:rsid w:val="6344823B"/>
    <w:rsid w:val="634C9095"/>
    <w:rsid w:val="6365ABAE"/>
    <w:rsid w:val="636B8CE6"/>
    <w:rsid w:val="637804BB"/>
    <w:rsid w:val="637F03F6"/>
    <w:rsid w:val="6395F01A"/>
    <w:rsid w:val="63B35FD8"/>
    <w:rsid w:val="63C28155"/>
    <w:rsid w:val="63CA450A"/>
    <w:rsid w:val="63D79795"/>
    <w:rsid w:val="63DF675F"/>
    <w:rsid w:val="63E5BE09"/>
    <w:rsid w:val="63EF9743"/>
    <w:rsid w:val="63F53FFF"/>
    <w:rsid w:val="63FAB2CC"/>
    <w:rsid w:val="6402B18F"/>
    <w:rsid w:val="6403B3D1"/>
    <w:rsid w:val="640A2A46"/>
    <w:rsid w:val="64152B36"/>
    <w:rsid w:val="6415CE33"/>
    <w:rsid w:val="6418C912"/>
    <w:rsid w:val="64293176"/>
    <w:rsid w:val="6448A592"/>
    <w:rsid w:val="646B5ACB"/>
    <w:rsid w:val="647140BB"/>
    <w:rsid w:val="6471BE00"/>
    <w:rsid w:val="6471F0D1"/>
    <w:rsid w:val="647975B5"/>
    <w:rsid w:val="6499C0F7"/>
    <w:rsid w:val="64AE938E"/>
    <w:rsid w:val="64AFF454"/>
    <w:rsid w:val="64B1EA37"/>
    <w:rsid w:val="64B3B059"/>
    <w:rsid w:val="64B4EA0D"/>
    <w:rsid w:val="64C3EC2D"/>
    <w:rsid w:val="64CADC99"/>
    <w:rsid w:val="64D13847"/>
    <w:rsid w:val="64E3DB01"/>
    <w:rsid w:val="64E8F66D"/>
    <w:rsid w:val="64F1440B"/>
    <w:rsid w:val="6502C4DA"/>
    <w:rsid w:val="650528C2"/>
    <w:rsid w:val="652D3DFE"/>
    <w:rsid w:val="653D1179"/>
    <w:rsid w:val="6540CDB1"/>
    <w:rsid w:val="6554DF17"/>
    <w:rsid w:val="655E51B6"/>
    <w:rsid w:val="65653542"/>
    <w:rsid w:val="65739297"/>
    <w:rsid w:val="657A8009"/>
    <w:rsid w:val="658915AF"/>
    <w:rsid w:val="658F470E"/>
    <w:rsid w:val="65B2ADD6"/>
    <w:rsid w:val="65DD4FD6"/>
    <w:rsid w:val="65E08EDA"/>
    <w:rsid w:val="65E16A36"/>
    <w:rsid w:val="65E8980B"/>
    <w:rsid w:val="65F2F600"/>
    <w:rsid w:val="66294F07"/>
    <w:rsid w:val="663A910C"/>
    <w:rsid w:val="66433C0D"/>
    <w:rsid w:val="6646CA76"/>
    <w:rsid w:val="664C4A19"/>
    <w:rsid w:val="664C6C37"/>
    <w:rsid w:val="6652206A"/>
    <w:rsid w:val="66611404"/>
    <w:rsid w:val="6667D85B"/>
    <w:rsid w:val="66703CDA"/>
    <w:rsid w:val="6676734D"/>
    <w:rsid w:val="66816D8F"/>
    <w:rsid w:val="6682B210"/>
    <w:rsid w:val="6686389C"/>
    <w:rsid w:val="668C00DF"/>
    <w:rsid w:val="668D2D2E"/>
    <w:rsid w:val="6699ACE7"/>
    <w:rsid w:val="669BD74C"/>
    <w:rsid w:val="669E4E95"/>
    <w:rsid w:val="66A0C061"/>
    <w:rsid w:val="66AA413A"/>
    <w:rsid w:val="66CCC1AD"/>
    <w:rsid w:val="66CD3095"/>
    <w:rsid w:val="66E15DC4"/>
    <w:rsid w:val="66E630F2"/>
    <w:rsid w:val="66F3CAE2"/>
    <w:rsid w:val="66F6F3CC"/>
    <w:rsid w:val="67039FDB"/>
    <w:rsid w:val="6707E176"/>
    <w:rsid w:val="6713BADA"/>
    <w:rsid w:val="671642EE"/>
    <w:rsid w:val="67222CEA"/>
    <w:rsid w:val="673A7EA0"/>
    <w:rsid w:val="6744D3A5"/>
    <w:rsid w:val="67457BF5"/>
    <w:rsid w:val="674D38AF"/>
    <w:rsid w:val="67560909"/>
    <w:rsid w:val="677616D2"/>
    <w:rsid w:val="677AC368"/>
    <w:rsid w:val="678DD481"/>
    <w:rsid w:val="678FE5E4"/>
    <w:rsid w:val="67981F8B"/>
    <w:rsid w:val="67A187C0"/>
    <w:rsid w:val="67A1C37E"/>
    <w:rsid w:val="67ACE895"/>
    <w:rsid w:val="67C79843"/>
    <w:rsid w:val="67C930A7"/>
    <w:rsid w:val="67CC6742"/>
    <w:rsid w:val="67D12179"/>
    <w:rsid w:val="67DCA89B"/>
    <w:rsid w:val="67E36490"/>
    <w:rsid w:val="67FC8913"/>
    <w:rsid w:val="680EF848"/>
    <w:rsid w:val="680F35C3"/>
    <w:rsid w:val="6811ADFF"/>
    <w:rsid w:val="68172AE7"/>
    <w:rsid w:val="68246568"/>
    <w:rsid w:val="6830F2E7"/>
    <w:rsid w:val="6832FB24"/>
    <w:rsid w:val="683DC481"/>
    <w:rsid w:val="68486B56"/>
    <w:rsid w:val="6850D2B3"/>
    <w:rsid w:val="6856E3A6"/>
    <w:rsid w:val="6859C386"/>
    <w:rsid w:val="68789C36"/>
    <w:rsid w:val="6881B097"/>
    <w:rsid w:val="6884C3A1"/>
    <w:rsid w:val="688D5ACF"/>
    <w:rsid w:val="6891D77E"/>
    <w:rsid w:val="689208A1"/>
    <w:rsid w:val="68B10FD0"/>
    <w:rsid w:val="68B8D0FA"/>
    <w:rsid w:val="68C3283B"/>
    <w:rsid w:val="68C5D7E7"/>
    <w:rsid w:val="68D7CE7B"/>
    <w:rsid w:val="68E880A6"/>
    <w:rsid w:val="69087701"/>
    <w:rsid w:val="691B23FC"/>
    <w:rsid w:val="691C55E9"/>
    <w:rsid w:val="692B1ECD"/>
    <w:rsid w:val="69368D64"/>
    <w:rsid w:val="6943FE2E"/>
    <w:rsid w:val="69590CA3"/>
    <w:rsid w:val="695C08AE"/>
    <w:rsid w:val="69635EBC"/>
    <w:rsid w:val="69720F5B"/>
    <w:rsid w:val="6973B4DB"/>
    <w:rsid w:val="697F115E"/>
    <w:rsid w:val="697F14A3"/>
    <w:rsid w:val="69853E38"/>
    <w:rsid w:val="698B36CD"/>
    <w:rsid w:val="69960897"/>
    <w:rsid w:val="69B028E7"/>
    <w:rsid w:val="69BD017B"/>
    <w:rsid w:val="69BE8FA2"/>
    <w:rsid w:val="69C8F31B"/>
    <w:rsid w:val="69CD0100"/>
    <w:rsid w:val="69EB3FF3"/>
    <w:rsid w:val="69F1ABE3"/>
    <w:rsid w:val="6A1B0257"/>
    <w:rsid w:val="6A1C3B5C"/>
    <w:rsid w:val="6A20C69B"/>
    <w:rsid w:val="6A2A7EEF"/>
    <w:rsid w:val="6A3293C7"/>
    <w:rsid w:val="6A355FBE"/>
    <w:rsid w:val="6A4CC73B"/>
    <w:rsid w:val="6A4E48B0"/>
    <w:rsid w:val="6A521978"/>
    <w:rsid w:val="6A6EE84B"/>
    <w:rsid w:val="6A78FC20"/>
    <w:rsid w:val="6A7BBAF6"/>
    <w:rsid w:val="6A7FF368"/>
    <w:rsid w:val="6A8929EE"/>
    <w:rsid w:val="6AA248A9"/>
    <w:rsid w:val="6AAFC6FF"/>
    <w:rsid w:val="6AB6C489"/>
    <w:rsid w:val="6ABB1AFE"/>
    <w:rsid w:val="6AD3E5F5"/>
    <w:rsid w:val="6AD59986"/>
    <w:rsid w:val="6AE06607"/>
    <w:rsid w:val="6AFF1CA7"/>
    <w:rsid w:val="6B05E2D3"/>
    <w:rsid w:val="6B13EF4E"/>
    <w:rsid w:val="6B1EA69D"/>
    <w:rsid w:val="6B29454F"/>
    <w:rsid w:val="6B38603A"/>
    <w:rsid w:val="6B4EF386"/>
    <w:rsid w:val="6B573600"/>
    <w:rsid w:val="6B679363"/>
    <w:rsid w:val="6B67C0D9"/>
    <w:rsid w:val="6B7D70C4"/>
    <w:rsid w:val="6B827F28"/>
    <w:rsid w:val="6B94083B"/>
    <w:rsid w:val="6BA73BB5"/>
    <w:rsid w:val="6BC232EE"/>
    <w:rsid w:val="6BD347D6"/>
    <w:rsid w:val="6BD889DA"/>
    <w:rsid w:val="6BE47F65"/>
    <w:rsid w:val="6BE6B1AA"/>
    <w:rsid w:val="6BEAF11C"/>
    <w:rsid w:val="6BF90925"/>
    <w:rsid w:val="6C0155F7"/>
    <w:rsid w:val="6C02F486"/>
    <w:rsid w:val="6C041398"/>
    <w:rsid w:val="6C05AC15"/>
    <w:rsid w:val="6C13BC78"/>
    <w:rsid w:val="6C13E48A"/>
    <w:rsid w:val="6C14F822"/>
    <w:rsid w:val="6C274E74"/>
    <w:rsid w:val="6C290564"/>
    <w:rsid w:val="6C40C29B"/>
    <w:rsid w:val="6C431B18"/>
    <w:rsid w:val="6C5CB71C"/>
    <w:rsid w:val="6C5D6935"/>
    <w:rsid w:val="6C664747"/>
    <w:rsid w:val="6C80AE3F"/>
    <w:rsid w:val="6C85661A"/>
    <w:rsid w:val="6C93F5C3"/>
    <w:rsid w:val="6C97B909"/>
    <w:rsid w:val="6C9E7DD3"/>
    <w:rsid w:val="6CAA6334"/>
    <w:rsid w:val="6CB712C3"/>
    <w:rsid w:val="6CBB81CC"/>
    <w:rsid w:val="6CC28570"/>
    <w:rsid w:val="6CC286DC"/>
    <w:rsid w:val="6CC7E897"/>
    <w:rsid w:val="6CCA2945"/>
    <w:rsid w:val="6CD2B810"/>
    <w:rsid w:val="6CD6D9F7"/>
    <w:rsid w:val="6CDFC7BC"/>
    <w:rsid w:val="6CEADD36"/>
    <w:rsid w:val="6CF3D74B"/>
    <w:rsid w:val="6D048A46"/>
    <w:rsid w:val="6D0B1C74"/>
    <w:rsid w:val="6D0B8D32"/>
    <w:rsid w:val="6D10A486"/>
    <w:rsid w:val="6D2143E6"/>
    <w:rsid w:val="6D25920C"/>
    <w:rsid w:val="6D3A3CC9"/>
    <w:rsid w:val="6D3BD8F6"/>
    <w:rsid w:val="6D43351C"/>
    <w:rsid w:val="6D4824F9"/>
    <w:rsid w:val="6D752976"/>
    <w:rsid w:val="6D814A56"/>
    <w:rsid w:val="6D826527"/>
    <w:rsid w:val="6D933857"/>
    <w:rsid w:val="6DB4B93F"/>
    <w:rsid w:val="6DB52220"/>
    <w:rsid w:val="6DBAAE7D"/>
    <w:rsid w:val="6DBCE6F2"/>
    <w:rsid w:val="6DC60244"/>
    <w:rsid w:val="6DD1E5DA"/>
    <w:rsid w:val="6DD9DB5A"/>
    <w:rsid w:val="6DDD1E9E"/>
    <w:rsid w:val="6DDEA4A0"/>
    <w:rsid w:val="6DE28449"/>
    <w:rsid w:val="6DEDCAD3"/>
    <w:rsid w:val="6DF38F4F"/>
    <w:rsid w:val="6E1A967F"/>
    <w:rsid w:val="6E254E83"/>
    <w:rsid w:val="6E26120A"/>
    <w:rsid w:val="6E3A79D6"/>
    <w:rsid w:val="6E4690A1"/>
    <w:rsid w:val="6E4BEF30"/>
    <w:rsid w:val="6E4C4C25"/>
    <w:rsid w:val="6E78097F"/>
    <w:rsid w:val="6E7BB21F"/>
    <w:rsid w:val="6E87A1D3"/>
    <w:rsid w:val="6E9133A7"/>
    <w:rsid w:val="6E963B42"/>
    <w:rsid w:val="6E9A5863"/>
    <w:rsid w:val="6EA5F21B"/>
    <w:rsid w:val="6EBA52BB"/>
    <w:rsid w:val="6EC14327"/>
    <w:rsid w:val="6EC82C52"/>
    <w:rsid w:val="6EC89B3A"/>
    <w:rsid w:val="6ECCC91F"/>
    <w:rsid w:val="6ED3FC98"/>
    <w:rsid w:val="6ED4D04B"/>
    <w:rsid w:val="6EE33617"/>
    <w:rsid w:val="6EE65C33"/>
    <w:rsid w:val="6EEFB246"/>
    <w:rsid w:val="6EF5066D"/>
    <w:rsid w:val="6F021428"/>
    <w:rsid w:val="6F054360"/>
    <w:rsid w:val="6F096147"/>
    <w:rsid w:val="6F0D1874"/>
    <w:rsid w:val="6F31D8D7"/>
    <w:rsid w:val="6F38DC6E"/>
    <w:rsid w:val="6F4E7DC6"/>
    <w:rsid w:val="6F53B2AD"/>
    <w:rsid w:val="6F57E5ED"/>
    <w:rsid w:val="6F5F6390"/>
    <w:rsid w:val="6F60E86F"/>
    <w:rsid w:val="6F73F8DF"/>
    <w:rsid w:val="6F7B9523"/>
    <w:rsid w:val="6F8659B3"/>
    <w:rsid w:val="6F876EB9"/>
    <w:rsid w:val="6F89D3C5"/>
    <w:rsid w:val="6F9775C6"/>
    <w:rsid w:val="6F9EA3C8"/>
    <w:rsid w:val="6FC1922D"/>
    <w:rsid w:val="6FC20779"/>
    <w:rsid w:val="6FD580E9"/>
    <w:rsid w:val="6FDBB8C4"/>
    <w:rsid w:val="6FDDA4EB"/>
    <w:rsid w:val="6FDDC3A9"/>
    <w:rsid w:val="6FF01E73"/>
    <w:rsid w:val="6FF6E59F"/>
    <w:rsid w:val="6FF75D34"/>
    <w:rsid w:val="6FF7C9BE"/>
    <w:rsid w:val="6FFA73BD"/>
    <w:rsid w:val="70007773"/>
    <w:rsid w:val="7018B1B6"/>
    <w:rsid w:val="7031DE73"/>
    <w:rsid w:val="7055BB0B"/>
    <w:rsid w:val="705783E5"/>
    <w:rsid w:val="705C1D05"/>
    <w:rsid w:val="706E3DFB"/>
    <w:rsid w:val="707289E7"/>
    <w:rsid w:val="707B62EF"/>
    <w:rsid w:val="70B6E034"/>
    <w:rsid w:val="70D8A815"/>
    <w:rsid w:val="70E5CBBB"/>
    <w:rsid w:val="70ECC041"/>
    <w:rsid w:val="70EF95B0"/>
    <w:rsid w:val="70F1EB86"/>
    <w:rsid w:val="70F25696"/>
    <w:rsid w:val="70F4B819"/>
    <w:rsid w:val="70FBBB33"/>
    <w:rsid w:val="7101327F"/>
    <w:rsid w:val="7105A1C7"/>
    <w:rsid w:val="710A5323"/>
    <w:rsid w:val="710AFC0A"/>
    <w:rsid w:val="71116C38"/>
    <w:rsid w:val="7125127D"/>
    <w:rsid w:val="712CD92C"/>
    <w:rsid w:val="7145BF26"/>
    <w:rsid w:val="716A4A5A"/>
    <w:rsid w:val="71A318CF"/>
    <w:rsid w:val="71A841C9"/>
    <w:rsid w:val="71AA6A37"/>
    <w:rsid w:val="71AD5E94"/>
    <w:rsid w:val="71D1092A"/>
    <w:rsid w:val="71E5CC7F"/>
    <w:rsid w:val="71E984E2"/>
    <w:rsid w:val="71F21EA3"/>
    <w:rsid w:val="71F7F70E"/>
    <w:rsid w:val="71FEB773"/>
    <w:rsid w:val="720E554F"/>
    <w:rsid w:val="7232C924"/>
    <w:rsid w:val="7238E04F"/>
    <w:rsid w:val="724872AE"/>
    <w:rsid w:val="725046FD"/>
    <w:rsid w:val="725167FC"/>
    <w:rsid w:val="725D3195"/>
    <w:rsid w:val="726859B7"/>
    <w:rsid w:val="726D57A6"/>
    <w:rsid w:val="72884235"/>
    <w:rsid w:val="728FEB56"/>
    <w:rsid w:val="729CDDCD"/>
    <w:rsid w:val="72B5334C"/>
    <w:rsid w:val="72B7241E"/>
    <w:rsid w:val="72BB4996"/>
    <w:rsid w:val="72E0AB6B"/>
    <w:rsid w:val="72E508CD"/>
    <w:rsid w:val="72EA48FC"/>
    <w:rsid w:val="730AAB96"/>
    <w:rsid w:val="73174883"/>
    <w:rsid w:val="731A96BF"/>
    <w:rsid w:val="73210F9C"/>
    <w:rsid w:val="7333CADF"/>
    <w:rsid w:val="734C938C"/>
    <w:rsid w:val="735AD114"/>
    <w:rsid w:val="738B4CC5"/>
    <w:rsid w:val="738CF995"/>
    <w:rsid w:val="738E3ADC"/>
    <w:rsid w:val="739B7C98"/>
    <w:rsid w:val="73B56390"/>
    <w:rsid w:val="73C271BE"/>
    <w:rsid w:val="73F224B8"/>
    <w:rsid w:val="73FC1024"/>
    <w:rsid w:val="7400A197"/>
    <w:rsid w:val="7421B2EB"/>
    <w:rsid w:val="7422D00D"/>
    <w:rsid w:val="74281FA9"/>
    <w:rsid w:val="742A4592"/>
    <w:rsid w:val="742C1120"/>
    <w:rsid w:val="7436354C"/>
    <w:rsid w:val="744BDC90"/>
    <w:rsid w:val="745D978C"/>
    <w:rsid w:val="7467C6FC"/>
    <w:rsid w:val="7470304A"/>
    <w:rsid w:val="74841F13"/>
    <w:rsid w:val="748466B5"/>
    <w:rsid w:val="749202FC"/>
    <w:rsid w:val="74A3A4C0"/>
    <w:rsid w:val="74A475D3"/>
    <w:rsid w:val="74A59200"/>
    <w:rsid w:val="74B3A048"/>
    <w:rsid w:val="74C4DEB6"/>
    <w:rsid w:val="74E87DAF"/>
    <w:rsid w:val="74F4F38C"/>
    <w:rsid w:val="75025A3E"/>
    <w:rsid w:val="750317CE"/>
    <w:rsid w:val="7504D50C"/>
    <w:rsid w:val="750648D0"/>
    <w:rsid w:val="7507ADCD"/>
    <w:rsid w:val="750C5EC0"/>
    <w:rsid w:val="752BF44D"/>
    <w:rsid w:val="752FE5F2"/>
    <w:rsid w:val="753BEFFF"/>
    <w:rsid w:val="75487285"/>
    <w:rsid w:val="7554E65E"/>
    <w:rsid w:val="75556030"/>
    <w:rsid w:val="756D6653"/>
    <w:rsid w:val="7576B2FD"/>
    <w:rsid w:val="7585175C"/>
    <w:rsid w:val="7594974C"/>
    <w:rsid w:val="75A89491"/>
    <w:rsid w:val="75B73127"/>
    <w:rsid w:val="75B7EE7A"/>
    <w:rsid w:val="75BEA273"/>
    <w:rsid w:val="75C23BD5"/>
    <w:rsid w:val="75D566A2"/>
    <w:rsid w:val="75D7E548"/>
    <w:rsid w:val="75DE6454"/>
    <w:rsid w:val="75F34E0D"/>
    <w:rsid w:val="75F6B1AC"/>
    <w:rsid w:val="7609C080"/>
    <w:rsid w:val="7613D374"/>
    <w:rsid w:val="76188696"/>
    <w:rsid w:val="762E672F"/>
    <w:rsid w:val="7632136B"/>
    <w:rsid w:val="7641B67D"/>
    <w:rsid w:val="764FBE8C"/>
    <w:rsid w:val="7651908E"/>
    <w:rsid w:val="76572F20"/>
    <w:rsid w:val="765C93A1"/>
    <w:rsid w:val="765CE8A6"/>
    <w:rsid w:val="76628084"/>
    <w:rsid w:val="766913F9"/>
    <w:rsid w:val="768756DC"/>
    <w:rsid w:val="76950C3D"/>
    <w:rsid w:val="76A7F301"/>
    <w:rsid w:val="76A87308"/>
    <w:rsid w:val="76AADEFB"/>
    <w:rsid w:val="76AC0231"/>
    <w:rsid w:val="76BA7719"/>
    <w:rsid w:val="76BCEC0A"/>
    <w:rsid w:val="76D6F401"/>
    <w:rsid w:val="77092C9F"/>
    <w:rsid w:val="770ED941"/>
    <w:rsid w:val="772BBEE8"/>
    <w:rsid w:val="772FB949"/>
    <w:rsid w:val="773AAFED"/>
    <w:rsid w:val="7743F664"/>
    <w:rsid w:val="77583339"/>
    <w:rsid w:val="77627385"/>
    <w:rsid w:val="7767865A"/>
    <w:rsid w:val="77759E07"/>
    <w:rsid w:val="7776A9E4"/>
    <w:rsid w:val="77A0DF48"/>
    <w:rsid w:val="77A2AB92"/>
    <w:rsid w:val="77A94AE1"/>
    <w:rsid w:val="77BB9779"/>
    <w:rsid w:val="77C6FFC6"/>
    <w:rsid w:val="77C71176"/>
    <w:rsid w:val="77DE3550"/>
    <w:rsid w:val="77E2B4EB"/>
    <w:rsid w:val="77EDC914"/>
    <w:rsid w:val="77F03353"/>
    <w:rsid w:val="7802DFCB"/>
    <w:rsid w:val="780B67E2"/>
    <w:rsid w:val="781B012A"/>
    <w:rsid w:val="782C7A29"/>
    <w:rsid w:val="783404AE"/>
    <w:rsid w:val="783706A3"/>
    <w:rsid w:val="7838A909"/>
    <w:rsid w:val="783ACAE2"/>
    <w:rsid w:val="784086C5"/>
    <w:rsid w:val="785CA4E9"/>
    <w:rsid w:val="786D50B0"/>
    <w:rsid w:val="787AE798"/>
    <w:rsid w:val="7887D639"/>
    <w:rsid w:val="789E7FDC"/>
    <w:rsid w:val="78A079E1"/>
    <w:rsid w:val="78A29488"/>
    <w:rsid w:val="78AF30B4"/>
    <w:rsid w:val="78B24960"/>
    <w:rsid w:val="78EC8E3D"/>
    <w:rsid w:val="78ECAF8D"/>
    <w:rsid w:val="79021C79"/>
    <w:rsid w:val="7907DE53"/>
    <w:rsid w:val="790A9F9B"/>
    <w:rsid w:val="790EBCFE"/>
    <w:rsid w:val="791246B3"/>
    <w:rsid w:val="791FA845"/>
    <w:rsid w:val="79230A81"/>
    <w:rsid w:val="792D4CF0"/>
    <w:rsid w:val="7931CB99"/>
    <w:rsid w:val="794292EF"/>
    <w:rsid w:val="7948E926"/>
    <w:rsid w:val="79544178"/>
    <w:rsid w:val="797243DF"/>
    <w:rsid w:val="79781174"/>
    <w:rsid w:val="798224AB"/>
    <w:rsid w:val="7985D9AF"/>
    <w:rsid w:val="7985DB5A"/>
    <w:rsid w:val="79943505"/>
    <w:rsid w:val="79975BD7"/>
    <w:rsid w:val="79A2D528"/>
    <w:rsid w:val="79A4731B"/>
    <w:rsid w:val="79B313A4"/>
    <w:rsid w:val="79B460E0"/>
    <w:rsid w:val="79D39C19"/>
    <w:rsid w:val="79EAC02C"/>
    <w:rsid w:val="79EB6841"/>
    <w:rsid w:val="79F05A76"/>
    <w:rsid w:val="7A07AF5A"/>
    <w:rsid w:val="7A1075E0"/>
    <w:rsid w:val="7A1712B8"/>
    <w:rsid w:val="7A19090F"/>
    <w:rsid w:val="7A1BD616"/>
    <w:rsid w:val="7A213BB0"/>
    <w:rsid w:val="7A3342FF"/>
    <w:rsid w:val="7A379138"/>
    <w:rsid w:val="7A472282"/>
    <w:rsid w:val="7A53FCCC"/>
    <w:rsid w:val="7A5E4E38"/>
    <w:rsid w:val="7A624EE7"/>
    <w:rsid w:val="7A68A0B3"/>
    <w:rsid w:val="7A694A9F"/>
    <w:rsid w:val="7A696F6A"/>
    <w:rsid w:val="7A8A1771"/>
    <w:rsid w:val="7A8E7A29"/>
    <w:rsid w:val="7A9315D9"/>
    <w:rsid w:val="7AB1AFC2"/>
    <w:rsid w:val="7ABAB686"/>
    <w:rsid w:val="7AC38528"/>
    <w:rsid w:val="7AD3113E"/>
    <w:rsid w:val="7ADCC7A1"/>
    <w:rsid w:val="7AE87628"/>
    <w:rsid w:val="7AF19E40"/>
    <w:rsid w:val="7AF3232E"/>
    <w:rsid w:val="7B05942E"/>
    <w:rsid w:val="7B12A106"/>
    <w:rsid w:val="7B1A1844"/>
    <w:rsid w:val="7B25EA0A"/>
    <w:rsid w:val="7B26FBAE"/>
    <w:rsid w:val="7B39CC23"/>
    <w:rsid w:val="7B4A953E"/>
    <w:rsid w:val="7B51F7A9"/>
    <w:rsid w:val="7B587160"/>
    <w:rsid w:val="7B6141CC"/>
    <w:rsid w:val="7B755485"/>
    <w:rsid w:val="7B777727"/>
    <w:rsid w:val="7B78BA9F"/>
    <w:rsid w:val="7B7EB394"/>
    <w:rsid w:val="7B883169"/>
    <w:rsid w:val="7BA0F636"/>
    <w:rsid w:val="7BA55D03"/>
    <w:rsid w:val="7BA58FD4"/>
    <w:rsid w:val="7BAA62A8"/>
    <w:rsid w:val="7BAE187F"/>
    <w:rsid w:val="7BAF330C"/>
    <w:rsid w:val="7BB41D9C"/>
    <w:rsid w:val="7BBF677A"/>
    <w:rsid w:val="7BD90EF3"/>
    <w:rsid w:val="7BD95761"/>
    <w:rsid w:val="7BDAD4B9"/>
    <w:rsid w:val="7BE1FC99"/>
    <w:rsid w:val="7BE9F3CE"/>
    <w:rsid w:val="7BEA7E9A"/>
    <w:rsid w:val="7BF515C2"/>
    <w:rsid w:val="7BF5785D"/>
    <w:rsid w:val="7C00B19F"/>
    <w:rsid w:val="7C26067A"/>
    <w:rsid w:val="7C36FF72"/>
    <w:rsid w:val="7C46AAA5"/>
    <w:rsid w:val="7C54F2A5"/>
    <w:rsid w:val="7C56171D"/>
    <w:rsid w:val="7C57BA4B"/>
    <w:rsid w:val="7C5C1069"/>
    <w:rsid w:val="7C5F02C4"/>
    <w:rsid w:val="7C75D596"/>
    <w:rsid w:val="7C916F26"/>
    <w:rsid w:val="7C93A212"/>
    <w:rsid w:val="7CBA945C"/>
    <w:rsid w:val="7CC66416"/>
    <w:rsid w:val="7CCDB35E"/>
    <w:rsid w:val="7CDCAFFB"/>
    <w:rsid w:val="7CE10C33"/>
    <w:rsid w:val="7D0BB5C4"/>
    <w:rsid w:val="7D13572A"/>
    <w:rsid w:val="7D1950B9"/>
    <w:rsid w:val="7D1A1712"/>
    <w:rsid w:val="7D2436A0"/>
    <w:rsid w:val="7D2846D5"/>
    <w:rsid w:val="7D29C441"/>
    <w:rsid w:val="7D2BF70B"/>
    <w:rsid w:val="7D2C7F32"/>
    <w:rsid w:val="7D356D73"/>
    <w:rsid w:val="7D41E843"/>
    <w:rsid w:val="7D432B9A"/>
    <w:rsid w:val="7D4A936E"/>
    <w:rsid w:val="7D4ED6BA"/>
    <w:rsid w:val="7D526B22"/>
    <w:rsid w:val="7D52CDF1"/>
    <w:rsid w:val="7D569D9D"/>
    <w:rsid w:val="7D5E0C3E"/>
    <w:rsid w:val="7D66E140"/>
    <w:rsid w:val="7D6902AD"/>
    <w:rsid w:val="7D8E9E2E"/>
    <w:rsid w:val="7DA49DE5"/>
    <w:rsid w:val="7DA70779"/>
    <w:rsid w:val="7DAF0493"/>
    <w:rsid w:val="7DBBD33D"/>
    <w:rsid w:val="7DC36A3E"/>
    <w:rsid w:val="7DD3FCBE"/>
    <w:rsid w:val="7DF48225"/>
    <w:rsid w:val="7DF68A16"/>
    <w:rsid w:val="7DF7ABF4"/>
    <w:rsid w:val="7E0A1435"/>
    <w:rsid w:val="7E2A76FA"/>
    <w:rsid w:val="7E4091FF"/>
    <w:rsid w:val="7E40A808"/>
    <w:rsid w:val="7E421186"/>
    <w:rsid w:val="7E4367B8"/>
    <w:rsid w:val="7E491665"/>
    <w:rsid w:val="7E49EF43"/>
    <w:rsid w:val="7E4B3E68"/>
    <w:rsid w:val="7E4E7784"/>
    <w:rsid w:val="7E56D3E8"/>
    <w:rsid w:val="7E77388C"/>
    <w:rsid w:val="7E77394A"/>
    <w:rsid w:val="7E7B201B"/>
    <w:rsid w:val="7E8923BB"/>
    <w:rsid w:val="7E8E07E5"/>
    <w:rsid w:val="7E96FB4D"/>
    <w:rsid w:val="7E98C8F6"/>
    <w:rsid w:val="7E9B9615"/>
    <w:rsid w:val="7EB81779"/>
    <w:rsid w:val="7EBCADFD"/>
    <w:rsid w:val="7EC26AD3"/>
    <w:rsid w:val="7ECC166C"/>
    <w:rsid w:val="7ED25858"/>
    <w:rsid w:val="7ED50C11"/>
    <w:rsid w:val="7ED764A9"/>
    <w:rsid w:val="7EF1A992"/>
    <w:rsid w:val="7EFD3B28"/>
    <w:rsid w:val="7EFE771F"/>
    <w:rsid w:val="7F18F980"/>
    <w:rsid w:val="7F1B7163"/>
    <w:rsid w:val="7F2C9B8C"/>
    <w:rsid w:val="7F2EC058"/>
    <w:rsid w:val="7F3BA304"/>
    <w:rsid w:val="7F5CA0B5"/>
    <w:rsid w:val="7F694951"/>
    <w:rsid w:val="7F6C1F7B"/>
    <w:rsid w:val="7F7F12C2"/>
    <w:rsid w:val="7F839B03"/>
    <w:rsid w:val="7FA3D372"/>
    <w:rsid w:val="7FBA47B6"/>
    <w:rsid w:val="7FDA326B"/>
    <w:rsid w:val="7FDD3C69"/>
    <w:rsid w:val="7FE112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50B871F"/>
  <w15:chartTrackingRefBased/>
  <w15:docId w15:val="{75F31129-0D7E-4BD4-9046-AB845A17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76E"/>
    <w:pPr>
      <w:spacing w:after="240" w:line="264" w:lineRule="auto"/>
    </w:pPr>
  </w:style>
  <w:style w:type="paragraph" w:styleId="Heading1">
    <w:name w:val="heading 1"/>
    <w:basedOn w:val="Normal"/>
    <w:next w:val="Normal"/>
    <w:link w:val="Heading1Char"/>
    <w:autoRedefine/>
    <w:uiPriority w:val="9"/>
    <w:qFormat/>
    <w:rsid w:val="00734E73"/>
    <w:pPr>
      <w:keepNext/>
      <w:keepLines/>
      <w:spacing w:before="240" w:after="360"/>
      <w:outlineLvl w:val="0"/>
    </w:pPr>
    <w:rPr>
      <w:rFonts w:eastAsiaTheme="majorEastAsia" w:cstheme="majorBidi"/>
      <w:b/>
      <w:color w:val="153A6E" w:themeColor="accent2"/>
      <w:sz w:val="32"/>
      <w:szCs w:val="32"/>
    </w:rPr>
  </w:style>
  <w:style w:type="paragraph" w:styleId="Heading2">
    <w:name w:val="heading 2"/>
    <w:basedOn w:val="Normal"/>
    <w:next w:val="Normal"/>
    <w:link w:val="Heading2Char"/>
    <w:autoRedefine/>
    <w:uiPriority w:val="9"/>
    <w:unhideWhenUsed/>
    <w:qFormat/>
    <w:rsid w:val="00D80EFD"/>
    <w:pPr>
      <w:keepNext/>
      <w:keepLines/>
      <w:tabs>
        <w:tab w:val="left" w:pos="5760"/>
      </w:tabs>
      <w:spacing w:before="360" w:after="120"/>
      <w:outlineLvl w:val="1"/>
    </w:pPr>
    <w:rPr>
      <w:rFonts w:eastAsiaTheme="majorEastAsia" w:cstheme="majorBidi"/>
      <w:b/>
      <w:color w:val="153A6E" w:themeColor="accent2"/>
      <w:sz w:val="26"/>
      <w:szCs w:val="26"/>
    </w:rPr>
  </w:style>
  <w:style w:type="paragraph" w:styleId="Heading3">
    <w:name w:val="heading 3"/>
    <w:basedOn w:val="Normal"/>
    <w:next w:val="Normal"/>
    <w:link w:val="Heading3Char"/>
    <w:autoRedefine/>
    <w:uiPriority w:val="9"/>
    <w:unhideWhenUsed/>
    <w:qFormat/>
    <w:rsid w:val="00D80EFD"/>
    <w:pPr>
      <w:keepNext/>
      <w:keepLines/>
      <w:spacing w:before="240" w:after="120"/>
      <w:outlineLvl w:val="2"/>
    </w:pPr>
    <w:rPr>
      <w:rFonts w:eastAsiaTheme="majorEastAsia" w:cstheme="majorBidi"/>
      <w:b/>
      <w:color w:val="153A6E" w:themeColor="accent2"/>
      <w:sz w:val="24"/>
      <w:szCs w:val="24"/>
    </w:rPr>
  </w:style>
  <w:style w:type="paragraph" w:styleId="Heading4">
    <w:name w:val="heading 4"/>
    <w:basedOn w:val="Normal"/>
    <w:next w:val="Normal"/>
    <w:link w:val="Heading4Char"/>
    <w:uiPriority w:val="9"/>
    <w:unhideWhenUsed/>
    <w:qFormat/>
    <w:rsid w:val="00D80EFD"/>
    <w:pPr>
      <w:keepNext/>
      <w:keepLines/>
      <w:pBdr>
        <w:top w:val="single" w:sz="12" w:space="1" w:color="008A95" w:themeColor="accent1"/>
      </w:pBdr>
      <w:spacing w:before="120" w:line="240" w:lineRule="auto"/>
      <w:outlineLvl w:val="3"/>
    </w:pPr>
    <w:rPr>
      <w:rFonts w:eastAsiaTheme="majorEastAsia" w:cstheme="majorBidi"/>
      <w:b/>
      <w:bCs/>
      <w:iCs/>
      <w:caps/>
      <w:color w:val="153A6E" w:themeColor="accent2"/>
      <w:lang w:val="en-GB"/>
    </w:rPr>
  </w:style>
  <w:style w:type="paragraph" w:styleId="Heading5">
    <w:name w:val="heading 5"/>
    <w:basedOn w:val="Normal"/>
    <w:next w:val="Normal"/>
    <w:link w:val="Heading5Char"/>
    <w:autoRedefine/>
    <w:uiPriority w:val="9"/>
    <w:unhideWhenUsed/>
    <w:qFormat/>
    <w:rsid w:val="00D76CDF"/>
    <w:pPr>
      <w:keepNext/>
      <w:keepLines/>
      <w:spacing w:before="40"/>
      <w:outlineLvl w:val="4"/>
    </w:pPr>
    <w:rPr>
      <w:rFonts w:eastAsiaTheme="majorEastAsia" w:cstheme="majorBidi"/>
      <w:b/>
      <w:color w:val="002060"/>
    </w:rPr>
  </w:style>
  <w:style w:type="paragraph" w:styleId="Heading6">
    <w:name w:val="heading 6"/>
    <w:basedOn w:val="Normal"/>
    <w:next w:val="Normal"/>
    <w:link w:val="Heading6Char"/>
    <w:uiPriority w:val="9"/>
    <w:unhideWhenUsed/>
    <w:qFormat/>
    <w:rsid w:val="00320345"/>
    <w:pPr>
      <w:keepNext/>
      <w:keepLines/>
      <w:spacing w:before="40"/>
      <w:outlineLvl w:val="5"/>
    </w:pPr>
    <w:rPr>
      <w:rFonts w:asciiTheme="majorHAnsi" w:eastAsiaTheme="majorEastAsia" w:hAnsiTheme="majorHAnsi" w:cstheme="majorBidi"/>
      <w:color w:val="00444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E73"/>
    <w:rPr>
      <w:rFonts w:eastAsiaTheme="majorEastAsia" w:cstheme="majorBidi"/>
      <w:b/>
      <w:color w:val="153A6E" w:themeColor="accent2"/>
      <w:sz w:val="32"/>
      <w:szCs w:val="32"/>
    </w:rPr>
  </w:style>
  <w:style w:type="character" w:customStyle="1" w:styleId="Heading2Char">
    <w:name w:val="Heading 2 Char"/>
    <w:basedOn w:val="DefaultParagraphFont"/>
    <w:link w:val="Heading2"/>
    <w:uiPriority w:val="9"/>
    <w:rsid w:val="00D80EFD"/>
    <w:rPr>
      <w:rFonts w:eastAsiaTheme="majorEastAsia" w:cstheme="majorBidi"/>
      <w:b/>
      <w:color w:val="153A6E" w:themeColor="accent2"/>
      <w:sz w:val="26"/>
      <w:szCs w:val="26"/>
    </w:rPr>
  </w:style>
  <w:style w:type="character" w:customStyle="1" w:styleId="Heading3Char">
    <w:name w:val="Heading 3 Char"/>
    <w:basedOn w:val="DefaultParagraphFont"/>
    <w:link w:val="Heading3"/>
    <w:uiPriority w:val="9"/>
    <w:rsid w:val="00D80EFD"/>
    <w:rPr>
      <w:rFonts w:eastAsiaTheme="majorEastAsia" w:cstheme="majorBidi"/>
      <w:b/>
      <w:color w:val="153A6E" w:themeColor="accent2"/>
      <w:sz w:val="24"/>
      <w:szCs w:val="24"/>
    </w:rPr>
  </w:style>
  <w:style w:type="character" w:customStyle="1" w:styleId="Heading4Char">
    <w:name w:val="Heading 4 Char"/>
    <w:basedOn w:val="DefaultParagraphFont"/>
    <w:link w:val="Heading4"/>
    <w:uiPriority w:val="9"/>
    <w:rsid w:val="00D80EFD"/>
    <w:rPr>
      <w:rFonts w:eastAsiaTheme="majorEastAsia" w:cstheme="majorBidi"/>
      <w:b/>
      <w:bCs/>
      <w:iCs/>
      <w:caps/>
      <w:color w:val="153A6E" w:themeColor="accent2"/>
      <w:lang w:val="en-GB"/>
    </w:rPr>
  </w:style>
  <w:style w:type="character" w:customStyle="1" w:styleId="Heading5Char">
    <w:name w:val="Heading 5 Char"/>
    <w:basedOn w:val="DefaultParagraphFont"/>
    <w:link w:val="Heading5"/>
    <w:uiPriority w:val="9"/>
    <w:rsid w:val="00D76CDF"/>
    <w:rPr>
      <w:rFonts w:eastAsiaTheme="majorEastAsia" w:cstheme="majorBidi"/>
      <w:b/>
      <w:color w:val="002060"/>
    </w:rPr>
  </w:style>
  <w:style w:type="character" w:customStyle="1" w:styleId="Heading6Char">
    <w:name w:val="Heading 6 Char"/>
    <w:basedOn w:val="DefaultParagraphFont"/>
    <w:link w:val="Heading6"/>
    <w:uiPriority w:val="9"/>
    <w:rsid w:val="00320345"/>
    <w:rPr>
      <w:rFonts w:asciiTheme="majorHAnsi" w:eastAsiaTheme="majorEastAsia" w:hAnsiTheme="majorHAnsi" w:cstheme="majorBidi"/>
      <w:color w:val="00444A" w:themeColor="accent1" w:themeShade="7F"/>
    </w:rPr>
  </w:style>
  <w:style w:type="character" w:customStyle="1" w:styleId="normaltextrun">
    <w:name w:val="normaltextrun"/>
    <w:basedOn w:val="DefaultParagraphFont"/>
    <w:rsid w:val="008D01A6"/>
  </w:style>
  <w:style w:type="table" w:styleId="TableGrid">
    <w:name w:val="Table Grid"/>
    <w:basedOn w:val="TableNormal"/>
    <w:uiPriority w:val="39"/>
    <w:rsid w:val="002B6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6ADC"/>
    <w:rPr>
      <w:sz w:val="16"/>
      <w:szCs w:val="16"/>
    </w:rPr>
  </w:style>
  <w:style w:type="paragraph" w:styleId="CommentText">
    <w:name w:val="annotation text"/>
    <w:basedOn w:val="Normal"/>
    <w:link w:val="CommentTextChar"/>
    <w:uiPriority w:val="99"/>
    <w:unhideWhenUsed/>
    <w:rsid w:val="002B6ADC"/>
    <w:pPr>
      <w:spacing w:line="240" w:lineRule="auto"/>
    </w:pPr>
    <w:rPr>
      <w:sz w:val="20"/>
      <w:szCs w:val="20"/>
    </w:rPr>
  </w:style>
  <w:style w:type="character" w:customStyle="1" w:styleId="CommentTextChar">
    <w:name w:val="Comment Text Char"/>
    <w:basedOn w:val="DefaultParagraphFont"/>
    <w:link w:val="CommentText"/>
    <w:uiPriority w:val="99"/>
    <w:rsid w:val="002B6ADC"/>
    <w:rPr>
      <w:sz w:val="20"/>
      <w:szCs w:val="20"/>
    </w:rPr>
  </w:style>
  <w:style w:type="paragraph" w:styleId="CommentSubject">
    <w:name w:val="annotation subject"/>
    <w:basedOn w:val="CommentText"/>
    <w:next w:val="CommentText"/>
    <w:link w:val="CommentSubjectChar"/>
    <w:uiPriority w:val="99"/>
    <w:semiHidden/>
    <w:unhideWhenUsed/>
    <w:rsid w:val="002B6ADC"/>
    <w:rPr>
      <w:b/>
      <w:bCs/>
    </w:rPr>
  </w:style>
  <w:style w:type="character" w:customStyle="1" w:styleId="CommentSubjectChar">
    <w:name w:val="Comment Subject Char"/>
    <w:basedOn w:val="CommentTextChar"/>
    <w:link w:val="CommentSubject"/>
    <w:uiPriority w:val="99"/>
    <w:semiHidden/>
    <w:rsid w:val="002B6ADC"/>
    <w:rPr>
      <w:b/>
      <w:bCs/>
      <w:sz w:val="20"/>
      <w:szCs w:val="20"/>
    </w:rPr>
  </w:style>
  <w:style w:type="character" w:customStyle="1" w:styleId="eop">
    <w:name w:val="eop"/>
    <w:basedOn w:val="DefaultParagraphFont"/>
    <w:rsid w:val="004B5C1F"/>
  </w:style>
  <w:style w:type="paragraph" w:styleId="Header">
    <w:name w:val="header"/>
    <w:basedOn w:val="Normal"/>
    <w:link w:val="HeaderChar"/>
    <w:uiPriority w:val="99"/>
    <w:unhideWhenUsed/>
    <w:rsid w:val="000E5D87"/>
    <w:pPr>
      <w:tabs>
        <w:tab w:val="center" w:pos="4513"/>
        <w:tab w:val="right" w:pos="9026"/>
      </w:tabs>
      <w:spacing w:line="240" w:lineRule="auto"/>
    </w:pPr>
  </w:style>
  <w:style w:type="character" w:customStyle="1" w:styleId="HeaderChar">
    <w:name w:val="Header Char"/>
    <w:basedOn w:val="DefaultParagraphFont"/>
    <w:link w:val="Header"/>
    <w:uiPriority w:val="99"/>
    <w:rsid w:val="000E5D87"/>
  </w:style>
  <w:style w:type="paragraph" w:styleId="Footer">
    <w:name w:val="footer"/>
    <w:basedOn w:val="Normal"/>
    <w:link w:val="FooterChar"/>
    <w:uiPriority w:val="99"/>
    <w:unhideWhenUsed/>
    <w:rsid w:val="000E5D87"/>
    <w:pPr>
      <w:tabs>
        <w:tab w:val="center" w:pos="4513"/>
        <w:tab w:val="right" w:pos="9026"/>
      </w:tabs>
      <w:spacing w:line="240" w:lineRule="auto"/>
    </w:pPr>
  </w:style>
  <w:style w:type="character" w:customStyle="1" w:styleId="FooterChar">
    <w:name w:val="Footer Char"/>
    <w:basedOn w:val="DefaultParagraphFont"/>
    <w:link w:val="Footer"/>
    <w:uiPriority w:val="99"/>
    <w:rsid w:val="000E5D87"/>
  </w:style>
  <w:style w:type="paragraph" w:styleId="Revision">
    <w:name w:val="Revision"/>
    <w:hidden/>
    <w:uiPriority w:val="99"/>
    <w:semiHidden/>
    <w:rsid w:val="004D55B4"/>
    <w:pPr>
      <w:spacing w:after="0" w:line="240" w:lineRule="auto"/>
    </w:pPr>
  </w:style>
  <w:style w:type="character" w:styleId="Hyperlink">
    <w:name w:val="Hyperlink"/>
    <w:basedOn w:val="DefaultParagraphFont"/>
    <w:uiPriority w:val="99"/>
    <w:unhideWhenUsed/>
    <w:rsid w:val="0033506F"/>
    <w:rPr>
      <w:color w:val="034A90" w:themeColor="hyperlink"/>
      <w:u w:val="single"/>
    </w:rPr>
  </w:style>
  <w:style w:type="character" w:styleId="FollowedHyperlink">
    <w:name w:val="FollowedHyperlink"/>
    <w:basedOn w:val="DefaultParagraphFont"/>
    <w:uiPriority w:val="99"/>
    <w:semiHidden/>
    <w:unhideWhenUsed/>
    <w:rsid w:val="00035BB7"/>
    <w:rPr>
      <w:color w:val="954F72" w:themeColor="followedHyperlink"/>
      <w:u w:val="single"/>
    </w:rPr>
  </w:style>
  <w:style w:type="character" w:styleId="UnresolvedMention">
    <w:name w:val="Unresolved Mention"/>
    <w:basedOn w:val="DefaultParagraphFont"/>
    <w:uiPriority w:val="99"/>
    <w:semiHidden/>
    <w:unhideWhenUsed/>
    <w:rsid w:val="001D3450"/>
    <w:rPr>
      <w:color w:val="605E5C"/>
      <w:shd w:val="clear" w:color="auto" w:fill="E1DFDD"/>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92FD2"/>
    <w:pPr>
      <w:ind w:left="720"/>
      <w:contextualSpacing/>
    </w:pPr>
  </w:style>
  <w:style w:type="character" w:styleId="Mention">
    <w:name w:val="Mention"/>
    <w:basedOn w:val="DefaultParagraphFont"/>
    <w:uiPriority w:val="99"/>
    <w:unhideWhenUsed/>
    <w:rsid w:val="00D3103D"/>
    <w:rPr>
      <w:color w:val="2B579A"/>
      <w:shd w:val="clear" w:color="auto" w:fill="E1DFDD"/>
    </w:rPr>
  </w:style>
  <w:style w:type="paragraph" w:styleId="EndnoteText">
    <w:name w:val="endnote text"/>
    <w:basedOn w:val="Normal"/>
    <w:link w:val="EndnoteTextChar"/>
    <w:uiPriority w:val="99"/>
    <w:unhideWhenUsed/>
    <w:rsid w:val="00BB3490"/>
    <w:pPr>
      <w:spacing w:after="0" w:line="240" w:lineRule="auto"/>
    </w:pPr>
    <w:rPr>
      <w:sz w:val="20"/>
      <w:szCs w:val="20"/>
    </w:rPr>
  </w:style>
  <w:style w:type="character" w:customStyle="1" w:styleId="EndnoteTextChar">
    <w:name w:val="Endnote Text Char"/>
    <w:basedOn w:val="DefaultParagraphFont"/>
    <w:link w:val="EndnoteText"/>
    <w:uiPriority w:val="99"/>
    <w:rsid w:val="00BB3490"/>
    <w:rPr>
      <w:sz w:val="20"/>
      <w:szCs w:val="20"/>
    </w:rPr>
  </w:style>
  <w:style w:type="character" w:styleId="EndnoteReference">
    <w:name w:val="endnote reference"/>
    <w:basedOn w:val="DefaultParagraphFont"/>
    <w:uiPriority w:val="99"/>
    <w:unhideWhenUsed/>
    <w:rsid w:val="000C3113"/>
    <w:rPr>
      <w:vertAlign w:val="superscript"/>
    </w:rPr>
  </w:style>
  <w:style w:type="paragraph" w:styleId="NormalWeb">
    <w:name w:val="Normal (Web)"/>
    <w:basedOn w:val="Normal"/>
    <w:uiPriority w:val="99"/>
    <w:unhideWhenUsed/>
    <w:rsid w:val="00F555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otnoteReference">
    <w:name w:val="footnote reference"/>
    <w:basedOn w:val="DefaultParagraphFont"/>
    <w:semiHidden/>
    <w:unhideWhenUsed/>
    <w:rsid w:val="00C76665"/>
    <w:rPr>
      <w:vertAlign w:val="superscript"/>
    </w:rPr>
  </w:style>
  <w:style w:type="paragraph" w:styleId="FootnoteText">
    <w:name w:val="footnote text"/>
    <w:basedOn w:val="Normal"/>
    <w:link w:val="FootnoteTextChar"/>
    <w:uiPriority w:val="99"/>
    <w:unhideWhenUsed/>
    <w:rsid w:val="00980220"/>
    <w:pPr>
      <w:spacing w:line="240" w:lineRule="auto"/>
    </w:pPr>
    <w:rPr>
      <w:sz w:val="20"/>
      <w:szCs w:val="20"/>
    </w:rPr>
  </w:style>
  <w:style w:type="character" w:customStyle="1" w:styleId="FootnoteTextChar">
    <w:name w:val="Footnote Text Char"/>
    <w:basedOn w:val="DefaultParagraphFont"/>
    <w:link w:val="FootnoteText"/>
    <w:uiPriority w:val="99"/>
    <w:rsid w:val="00980220"/>
    <w:rPr>
      <w:sz w:val="20"/>
      <w:szCs w:val="20"/>
    </w:rPr>
  </w:style>
  <w:style w:type="paragraph" w:styleId="TOCHeading">
    <w:name w:val="TOC Heading"/>
    <w:basedOn w:val="Heading1"/>
    <w:next w:val="Normal"/>
    <w:uiPriority w:val="39"/>
    <w:unhideWhenUsed/>
    <w:rsid w:val="00D76CDF"/>
    <w:pPr>
      <w:spacing w:after="0"/>
      <w:outlineLvl w:val="9"/>
    </w:pPr>
    <w:rPr>
      <w:lang w:val="en-US"/>
    </w:rPr>
  </w:style>
  <w:style w:type="paragraph" w:styleId="TOC1">
    <w:name w:val="toc 1"/>
    <w:basedOn w:val="Normal"/>
    <w:next w:val="Normal"/>
    <w:autoRedefine/>
    <w:uiPriority w:val="39"/>
    <w:unhideWhenUsed/>
    <w:rsid w:val="0065729E"/>
    <w:pPr>
      <w:tabs>
        <w:tab w:val="left" w:pos="440"/>
        <w:tab w:val="right" w:leader="dot" w:pos="9016"/>
      </w:tabs>
      <w:spacing w:after="0"/>
    </w:pPr>
    <w:rPr>
      <w:b/>
      <w:bCs/>
      <w:noProof/>
      <w:color w:val="0A1D37" w:themeColor="accent2" w:themeShade="80"/>
      <w:lang w:val="en-GB"/>
    </w:rPr>
  </w:style>
  <w:style w:type="paragraph" w:styleId="TOC2">
    <w:name w:val="toc 2"/>
    <w:basedOn w:val="Normal"/>
    <w:next w:val="Normal"/>
    <w:autoRedefine/>
    <w:uiPriority w:val="39"/>
    <w:unhideWhenUsed/>
    <w:rsid w:val="00A6774F"/>
    <w:pPr>
      <w:tabs>
        <w:tab w:val="right" w:leader="dot" w:pos="9016"/>
      </w:tabs>
      <w:spacing w:after="100"/>
      <w:ind w:left="220"/>
    </w:pPr>
  </w:style>
  <w:style w:type="paragraph" w:styleId="TOC3">
    <w:name w:val="toc 3"/>
    <w:basedOn w:val="Normal"/>
    <w:next w:val="Normal"/>
    <w:autoRedefine/>
    <w:uiPriority w:val="39"/>
    <w:unhideWhenUsed/>
    <w:rsid w:val="008E7D4C"/>
    <w:pPr>
      <w:tabs>
        <w:tab w:val="right" w:leader="dot" w:pos="9016"/>
      </w:tabs>
      <w:spacing w:after="100"/>
      <w:ind w:left="440"/>
    </w:pPr>
  </w:style>
  <w:style w:type="paragraph" w:customStyle="1" w:styleId="Default">
    <w:name w:val="Default"/>
    <w:rsid w:val="00F555B1"/>
    <w:pPr>
      <w:autoSpaceDE w:val="0"/>
      <w:autoSpaceDN w:val="0"/>
      <w:adjustRightInd w:val="0"/>
      <w:spacing w:after="0" w:line="240" w:lineRule="auto"/>
    </w:pPr>
    <w:rPr>
      <w:rFonts w:ascii="Calibri" w:hAnsi="Calibri" w:cs="Calibri"/>
      <w:color w:val="000000"/>
      <w:sz w:val="24"/>
      <w:szCs w:val="24"/>
    </w:rPr>
  </w:style>
  <w:style w:type="paragraph" w:styleId="ListNumber2">
    <w:name w:val="List Number 2"/>
    <w:basedOn w:val="Normal"/>
    <w:uiPriority w:val="99"/>
    <w:semiHidden/>
    <w:unhideWhenUsed/>
    <w:rsid w:val="00F21B06"/>
    <w:pPr>
      <w:ind w:left="360" w:hanging="360"/>
      <w:contextualSpacing/>
    </w:pPr>
  </w:style>
  <w:style w:type="character" w:styleId="Strong">
    <w:name w:val="Strong"/>
    <w:basedOn w:val="DefaultParagraphFont"/>
    <w:uiPriority w:val="22"/>
    <w:qFormat/>
    <w:rsid w:val="002D55D8"/>
    <w:rPr>
      <w:b/>
      <w:bCs/>
    </w:rPr>
  </w:style>
  <w:style w:type="paragraph" w:customStyle="1" w:styleId="BulletUnindented">
    <w:name w:val="Bullet Unindented"/>
    <w:basedOn w:val="Normal"/>
    <w:qFormat/>
    <w:rsid w:val="0039776D"/>
    <w:pPr>
      <w:numPr>
        <w:numId w:val="2"/>
      </w:numPr>
      <w:spacing w:after="120"/>
      <w:ind w:left="357" w:hanging="357"/>
    </w:pPr>
    <w:rPr>
      <w:lang w:val="en-GB"/>
    </w:rPr>
  </w:style>
  <w:style w:type="paragraph" w:customStyle="1" w:styleId="BulletIndent1">
    <w:name w:val="Bullet Indent 1"/>
    <w:basedOn w:val="BulletUnindented"/>
    <w:qFormat/>
    <w:rsid w:val="006F0C8F"/>
    <w:pPr>
      <w:ind w:left="714"/>
    </w:pPr>
  </w:style>
  <w:style w:type="paragraph" w:customStyle="1" w:styleId="BulletIndent2">
    <w:name w:val="Bullet Indent 2"/>
    <w:basedOn w:val="BulletIndent1"/>
    <w:qFormat/>
    <w:rsid w:val="006F0C8F"/>
    <w:pPr>
      <w:ind w:left="1077"/>
    </w:pPr>
  </w:style>
  <w:style w:type="paragraph" w:customStyle="1" w:styleId="pf0">
    <w:name w:val="pf0"/>
    <w:basedOn w:val="Normal"/>
    <w:rsid w:val="008B7A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8B7A2A"/>
    <w:rPr>
      <w:rFonts w:ascii="Segoe UI" w:hAnsi="Segoe UI" w:cs="Segoe UI" w:hint="default"/>
      <w:sz w:val="18"/>
      <w:szCs w:val="18"/>
    </w:rPr>
  </w:style>
  <w:style w:type="character" w:customStyle="1" w:styleId="sr-only">
    <w:name w:val="sr-only"/>
    <w:basedOn w:val="DefaultParagraphFont"/>
    <w:rsid w:val="0045118F"/>
  </w:style>
  <w:style w:type="paragraph" w:customStyle="1" w:styleId="paragraph">
    <w:name w:val="paragraph"/>
    <w:basedOn w:val="Normal"/>
    <w:rsid w:val="00775B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nchor-text">
    <w:name w:val="anchor-text"/>
    <w:basedOn w:val="DefaultParagraphFont"/>
    <w:rsid w:val="005C3024"/>
  </w:style>
  <w:style w:type="paragraph" w:customStyle="1" w:styleId="EndNoteBibliography">
    <w:name w:val="EndNote Bibliography"/>
    <w:basedOn w:val="Normal"/>
    <w:link w:val="EndNoteBibliographyChar"/>
    <w:rsid w:val="00E414C7"/>
    <w:pPr>
      <w:spacing w:before="80" w:line="240" w:lineRule="auto"/>
    </w:pPr>
    <w:rPr>
      <w:rFonts w:ascii="Calibri" w:eastAsiaTheme="minorEastAsia" w:hAnsi="Calibri" w:cs="Calibri"/>
      <w:noProof/>
      <w:sz w:val="20"/>
      <w:szCs w:val="24"/>
      <w:lang w:val="en-GB" w:eastAsia="en-GB"/>
    </w:rPr>
  </w:style>
  <w:style w:type="character" w:customStyle="1" w:styleId="EndNoteBibliographyChar">
    <w:name w:val="EndNote Bibliography Char"/>
    <w:basedOn w:val="DefaultParagraphFont"/>
    <w:link w:val="EndNoteBibliography"/>
    <w:rsid w:val="00E414C7"/>
    <w:rPr>
      <w:rFonts w:ascii="Calibri" w:eastAsiaTheme="minorEastAsia" w:hAnsi="Calibri" w:cs="Calibri"/>
      <w:noProof/>
      <w:sz w:val="20"/>
      <w:szCs w:val="24"/>
      <w:lang w:val="en-GB" w:eastAsia="en-GB"/>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qFormat/>
    <w:locked/>
    <w:rsid w:val="00100189"/>
  </w:style>
  <w:style w:type="character" w:customStyle="1" w:styleId="cf21">
    <w:name w:val="cf21"/>
    <w:basedOn w:val="DefaultParagraphFont"/>
    <w:rsid w:val="00100189"/>
    <w:rPr>
      <w:rFonts w:ascii="Segoe UI" w:hAnsi="Segoe UI" w:cs="Segoe UI" w:hint="default"/>
      <w:i/>
      <w:iCs/>
      <w:sz w:val="18"/>
      <w:szCs w:val="18"/>
    </w:rPr>
  </w:style>
  <w:style w:type="paragraph" w:styleId="TOC4">
    <w:name w:val="toc 4"/>
    <w:basedOn w:val="Normal"/>
    <w:next w:val="Normal"/>
    <w:autoRedefine/>
    <w:uiPriority w:val="39"/>
    <w:unhideWhenUsed/>
    <w:rsid w:val="00AE5E36"/>
    <w:pPr>
      <w:tabs>
        <w:tab w:val="right" w:leader="dot" w:pos="9016"/>
      </w:tabs>
      <w:spacing w:after="100"/>
      <w:ind w:left="660"/>
    </w:pPr>
  </w:style>
  <w:style w:type="paragraph" w:customStyle="1" w:styleId="null">
    <w:name w:val="null"/>
    <w:basedOn w:val="Normal"/>
    <w:rsid w:val="00C240A1"/>
    <w:pPr>
      <w:spacing w:before="100" w:beforeAutospacing="1" w:after="100" w:afterAutospacing="1" w:line="240" w:lineRule="auto"/>
    </w:pPr>
    <w:rPr>
      <w:rFonts w:ascii="Calibri" w:hAnsi="Calibri" w:cs="Calibri"/>
      <w:lang w:val="en-GB" w:eastAsia="en-GB"/>
    </w:rPr>
  </w:style>
  <w:style w:type="character" w:customStyle="1" w:styleId="null1">
    <w:name w:val="null1"/>
    <w:basedOn w:val="DefaultParagraphFont"/>
    <w:rsid w:val="00C240A1"/>
  </w:style>
  <w:style w:type="character" w:customStyle="1" w:styleId="highwire-cite-doi">
    <w:name w:val="highwire-cite-doi"/>
    <w:basedOn w:val="DefaultParagraphFont"/>
    <w:rsid w:val="00402889"/>
  </w:style>
  <w:style w:type="character" w:customStyle="1" w:styleId="article-headerdoilabel">
    <w:name w:val="article-header__doi__label"/>
    <w:basedOn w:val="DefaultParagraphFont"/>
    <w:rsid w:val="000E5894"/>
  </w:style>
  <w:style w:type="character" w:customStyle="1" w:styleId="identifier">
    <w:name w:val="identifier"/>
    <w:basedOn w:val="DefaultParagraphFont"/>
    <w:rsid w:val="00642015"/>
  </w:style>
  <w:style w:type="paragraph" w:styleId="NoSpacing">
    <w:name w:val="No Spacing"/>
    <w:uiPriority w:val="1"/>
    <w:qFormat/>
    <w:rsid w:val="00A92E83"/>
    <w:pPr>
      <w:spacing w:after="0" w:line="240" w:lineRule="auto"/>
    </w:pPr>
  </w:style>
  <w:style w:type="character" w:customStyle="1" w:styleId="nlmstring-name">
    <w:name w:val="nlm_string-name"/>
    <w:basedOn w:val="DefaultParagraphFont"/>
    <w:rsid w:val="00D87064"/>
  </w:style>
  <w:style w:type="character" w:customStyle="1" w:styleId="nlmgiven-names">
    <w:name w:val="nlm_given-names"/>
    <w:basedOn w:val="DefaultParagraphFont"/>
    <w:rsid w:val="00D87064"/>
  </w:style>
  <w:style w:type="character" w:customStyle="1" w:styleId="nlmarticle-title">
    <w:name w:val="nlm_article-title"/>
    <w:basedOn w:val="DefaultParagraphFont"/>
    <w:rsid w:val="00D87064"/>
  </w:style>
  <w:style w:type="character" w:customStyle="1" w:styleId="nlmfpage">
    <w:name w:val="nlm_fpage"/>
    <w:basedOn w:val="DefaultParagraphFont"/>
    <w:rsid w:val="00D87064"/>
  </w:style>
  <w:style w:type="character" w:customStyle="1" w:styleId="nlmlpage">
    <w:name w:val="nlm_lpage"/>
    <w:basedOn w:val="DefaultParagraphFont"/>
    <w:rsid w:val="00D87064"/>
  </w:style>
  <w:style w:type="character" w:customStyle="1" w:styleId="nlmyear">
    <w:name w:val="nlm_year"/>
    <w:basedOn w:val="DefaultParagraphFont"/>
    <w:rsid w:val="00DF33AC"/>
  </w:style>
  <w:style w:type="character" w:styleId="IntenseReference">
    <w:name w:val="Intense Reference"/>
    <w:basedOn w:val="DefaultParagraphFont"/>
    <w:uiPriority w:val="32"/>
    <w:qFormat/>
    <w:rsid w:val="00D76CDF"/>
    <w:rPr>
      <w:b/>
      <w:bCs/>
      <w:smallCaps/>
      <w:color w:val="0A1D37" w:themeColor="accent2" w:themeShade="80"/>
      <w:spacing w:val="5"/>
    </w:rPr>
  </w:style>
  <w:style w:type="table" w:styleId="TableGridLight">
    <w:name w:val="Grid Table Light"/>
    <w:basedOn w:val="TableNormal"/>
    <w:uiPriority w:val="40"/>
    <w:rsid w:val="007857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
    <w:name w:val="List Number"/>
    <w:basedOn w:val="Normal"/>
    <w:uiPriority w:val="99"/>
    <w:unhideWhenUsed/>
    <w:rsid w:val="0078576E"/>
    <w:pPr>
      <w:numPr>
        <w:numId w:val="7"/>
      </w:numPr>
      <w:contextualSpacing/>
    </w:pPr>
  </w:style>
  <w:style w:type="paragraph" w:styleId="TOC5">
    <w:name w:val="toc 5"/>
    <w:basedOn w:val="Normal"/>
    <w:next w:val="Normal"/>
    <w:autoRedefine/>
    <w:uiPriority w:val="39"/>
    <w:unhideWhenUsed/>
    <w:rsid w:val="003C2724"/>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3C2724"/>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3C2724"/>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3C2724"/>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3C2724"/>
    <w:pPr>
      <w:spacing w:after="100" w:line="259" w:lineRule="auto"/>
      <w:ind w:left="1760"/>
    </w:pPr>
    <w:rPr>
      <w:rFonts w:eastAsiaTheme="minorEastAsia"/>
      <w:lang w:eastAsia="en-AU"/>
    </w:rPr>
  </w:style>
  <w:style w:type="table" w:styleId="PlainTable1">
    <w:name w:val="Plain Table 1"/>
    <w:basedOn w:val="TableNormal"/>
    <w:uiPriority w:val="41"/>
    <w:rsid w:val="006537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2B27EF"/>
    <w:pPr>
      <w:spacing w:after="200" w:line="240" w:lineRule="auto"/>
    </w:pPr>
    <w:rPr>
      <w:iCs/>
      <w:color w:val="363638" w:themeColor="text2"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91">
      <w:bodyDiv w:val="1"/>
      <w:marLeft w:val="0"/>
      <w:marRight w:val="0"/>
      <w:marTop w:val="0"/>
      <w:marBottom w:val="0"/>
      <w:divBdr>
        <w:top w:val="none" w:sz="0" w:space="0" w:color="auto"/>
        <w:left w:val="none" w:sz="0" w:space="0" w:color="auto"/>
        <w:bottom w:val="none" w:sz="0" w:space="0" w:color="auto"/>
        <w:right w:val="none" w:sz="0" w:space="0" w:color="auto"/>
      </w:divBdr>
    </w:div>
    <w:div w:id="21977659">
      <w:bodyDiv w:val="1"/>
      <w:marLeft w:val="0"/>
      <w:marRight w:val="0"/>
      <w:marTop w:val="0"/>
      <w:marBottom w:val="0"/>
      <w:divBdr>
        <w:top w:val="none" w:sz="0" w:space="0" w:color="auto"/>
        <w:left w:val="none" w:sz="0" w:space="0" w:color="auto"/>
        <w:bottom w:val="none" w:sz="0" w:space="0" w:color="auto"/>
        <w:right w:val="none" w:sz="0" w:space="0" w:color="auto"/>
      </w:divBdr>
    </w:div>
    <w:div w:id="26218390">
      <w:bodyDiv w:val="1"/>
      <w:marLeft w:val="0"/>
      <w:marRight w:val="0"/>
      <w:marTop w:val="0"/>
      <w:marBottom w:val="0"/>
      <w:divBdr>
        <w:top w:val="none" w:sz="0" w:space="0" w:color="auto"/>
        <w:left w:val="none" w:sz="0" w:space="0" w:color="auto"/>
        <w:bottom w:val="none" w:sz="0" w:space="0" w:color="auto"/>
        <w:right w:val="none" w:sz="0" w:space="0" w:color="auto"/>
      </w:divBdr>
    </w:div>
    <w:div w:id="51120835">
      <w:bodyDiv w:val="1"/>
      <w:marLeft w:val="0"/>
      <w:marRight w:val="0"/>
      <w:marTop w:val="0"/>
      <w:marBottom w:val="0"/>
      <w:divBdr>
        <w:top w:val="none" w:sz="0" w:space="0" w:color="auto"/>
        <w:left w:val="none" w:sz="0" w:space="0" w:color="auto"/>
        <w:bottom w:val="none" w:sz="0" w:space="0" w:color="auto"/>
        <w:right w:val="none" w:sz="0" w:space="0" w:color="auto"/>
      </w:divBdr>
    </w:div>
    <w:div w:id="56124220">
      <w:bodyDiv w:val="1"/>
      <w:marLeft w:val="0"/>
      <w:marRight w:val="0"/>
      <w:marTop w:val="0"/>
      <w:marBottom w:val="0"/>
      <w:divBdr>
        <w:top w:val="none" w:sz="0" w:space="0" w:color="auto"/>
        <w:left w:val="none" w:sz="0" w:space="0" w:color="auto"/>
        <w:bottom w:val="none" w:sz="0" w:space="0" w:color="auto"/>
        <w:right w:val="none" w:sz="0" w:space="0" w:color="auto"/>
      </w:divBdr>
    </w:div>
    <w:div w:id="60714059">
      <w:bodyDiv w:val="1"/>
      <w:marLeft w:val="0"/>
      <w:marRight w:val="0"/>
      <w:marTop w:val="0"/>
      <w:marBottom w:val="0"/>
      <w:divBdr>
        <w:top w:val="none" w:sz="0" w:space="0" w:color="auto"/>
        <w:left w:val="none" w:sz="0" w:space="0" w:color="auto"/>
        <w:bottom w:val="none" w:sz="0" w:space="0" w:color="auto"/>
        <w:right w:val="none" w:sz="0" w:space="0" w:color="auto"/>
      </w:divBdr>
    </w:div>
    <w:div w:id="79641566">
      <w:bodyDiv w:val="1"/>
      <w:marLeft w:val="0"/>
      <w:marRight w:val="0"/>
      <w:marTop w:val="0"/>
      <w:marBottom w:val="0"/>
      <w:divBdr>
        <w:top w:val="none" w:sz="0" w:space="0" w:color="auto"/>
        <w:left w:val="none" w:sz="0" w:space="0" w:color="auto"/>
        <w:bottom w:val="none" w:sz="0" w:space="0" w:color="auto"/>
        <w:right w:val="none" w:sz="0" w:space="0" w:color="auto"/>
      </w:divBdr>
    </w:div>
    <w:div w:id="95830743">
      <w:bodyDiv w:val="1"/>
      <w:marLeft w:val="0"/>
      <w:marRight w:val="0"/>
      <w:marTop w:val="0"/>
      <w:marBottom w:val="0"/>
      <w:divBdr>
        <w:top w:val="none" w:sz="0" w:space="0" w:color="auto"/>
        <w:left w:val="none" w:sz="0" w:space="0" w:color="auto"/>
        <w:bottom w:val="none" w:sz="0" w:space="0" w:color="auto"/>
        <w:right w:val="none" w:sz="0" w:space="0" w:color="auto"/>
      </w:divBdr>
    </w:div>
    <w:div w:id="120347446">
      <w:bodyDiv w:val="1"/>
      <w:marLeft w:val="0"/>
      <w:marRight w:val="0"/>
      <w:marTop w:val="0"/>
      <w:marBottom w:val="0"/>
      <w:divBdr>
        <w:top w:val="none" w:sz="0" w:space="0" w:color="auto"/>
        <w:left w:val="none" w:sz="0" w:space="0" w:color="auto"/>
        <w:bottom w:val="none" w:sz="0" w:space="0" w:color="auto"/>
        <w:right w:val="none" w:sz="0" w:space="0" w:color="auto"/>
      </w:divBdr>
    </w:div>
    <w:div w:id="127090505">
      <w:bodyDiv w:val="1"/>
      <w:marLeft w:val="0"/>
      <w:marRight w:val="0"/>
      <w:marTop w:val="0"/>
      <w:marBottom w:val="0"/>
      <w:divBdr>
        <w:top w:val="none" w:sz="0" w:space="0" w:color="auto"/>
        <w:left w:val="none" w:sz="0" w:space="0" w:color="auto"/>
        <w:bottom w:val="none" w:sz="0" w:space="0" w:color="auto"/>
        <w:right w:val="none" w:sz="0" w:space="0" w:color="auto"/>
      </w:divBdr>
    </w:div>
    <w:div w:id="148715478">
      <w:bodyDiv w:val="1"/>
      <w:marLeft w:val="0"/>
      <w:marRight w:val="0"/>
      <w:marTop w:val="0"/>
      <w:marBottom w:val="0"/>
      <w:divBdr>
        <w:top w:val="none" w:sz="0" w:space="0" w:color="auto"/>
        <w:left w:val="none" w:sz="0" w:space="0" w:color="auto"/>
        <w:bottom w:val="none" w:sz="0" w:space="0" w:color="auto"/>
        <w:right w:val="none" w:sz="0" w:space="0" w:color="auto"/>
      </w:divBdr>
    </w:div>
    <w:div w:id="158233968">
      <w:bodyDiv w:val="1"/>
      <w:marLeft w:val="0"/>
      <w:marRight w:val="0"/>
      <w:marTop w:val="0"/>
      <w:marBottom w:val="0"/>
      <w:divBdr>
        <w:top w:val="none" w:sz="0" w:space="0" w:color="auto"/>
        <w:left w:val="none" w:sz="0" w:space="0" w:color="auto"/>
        <w:bottom w:val="none" w:sz="0" w:space="0" w:color="auto"/>
        <w:right w:val="none" w:sz="0" w:space="0" w:color="auto"/>
      </w:divBdr>
    </w:div>
    <w:div w:id="162208690">
      <w:bodyDiv w:val="1"/>
      <w:marLeft w:val="0"/>
      <w:marRight w:val="0"/>
      <w:marTop w:val="0"/>
      <w:marBottom w:val="0"/>
      <w:divBdr>
        <w:top w:val="none" w:sz="0" w:space="0" w:color="auto"/>
        <w:left w:val="none" w:sz="0" w:space="0" w:color="auto"/>
        <w:bottom w:val="none" w:sz="0" w:space="0" w:color="auto"/>
        <w:right w:val="none" w:sz="0" w:space="0" w:color="auto"/>
      </w:divBdr>
    </w:div>
    <w:div w:id="162749499">
      <w:bodyDiv w:val="1"/>
      <w:marLeft w:val="0"/>
      <w:marRight w:val="0"/>
      <w:marTop w:val="0"/>
      <w:marBottom w:val="0"/>
      <w:divBdr>
        <w:top w:val="none" w:sz="0" w:space="0" w:color="auto"/>
        <w:left w:val="none" w:sz="0" w:space="0" w:color="auto"/>
        <w:bottom w:val="none" w:sz="0" w:space="0" w:color="auto"/>
        <w:right w:val="none" w:sz="0" w:space="0" w:color="auto"/>
      </w:divBdr>
    </w:div>
    <w:div w:id="164714308">
      <w:bodyDiv w:val="1"/>
      <w:marLeft w:val="0"/>
      <w:marRight w:val="0"/>
      <w:marTop w:val="0"/>
      <w:marBottom w:val="0"/>
      <w:divBdr>
        <w:top w:val="none" w:sz="0" w:space="0" w:color="auto"/>
        <w:left w:val="none" w:sz="0" w:space="0" w:color="auto"/>
        <w:bottom w:val="none" w:sz="0" w:space="0" w:color="auto"/>
        <w:right w:val="none" w:sz="0" w:space="0" w:color="auto"/>
      </w:divBdr>
    </w:div>
    <w:div w:id="182786916">
      <w:bodyDiv w:val="1"/>
      <w:marLeft w:val="0"/>
      <w:marRight w:val="0"/>
      <w:marTop w:val="0"/>
      <w:marBottom w:val="0"/>
      <w:divBdr>
        <w:top w:val="none" w:sz="0" w:space="0" w:color="auto"/>
        <w:left w:val="none" w:sz="0" w:space="0" w:color="auto"/>
        <w:bottom w:val="none" w:sz="0" w:space="0" w:color="auto"/>
        <w:right w:val="none" w:sz="0" w:space="0" w:color="auto"/>
      </w:divBdr>
    </w:div>
    <w:div w:id="187765476">
      <w:bodyDiv w:val="1"/>
      <w:marLeft w:val="0"/>
      <w:marRight w:val="0"/>
      <w:marTop w:val="0"/>
      <w:marBottom w:val="0"/>
      <w:divBdr>
        <w:top w:val="none" w:sz="0" w:space="0" w:color="auto"/>
        <w:left w:val="none" w:sz="0" w:space="0" w:color="auto"/>
        <w:bottom w:val="none" w:sz="0" w:space="0" w:color="auto"/>
        <w:right w:val="none" w:sz="0" w:space="0" w:color="auto"/>
      </w:divBdr>
    </w:div>
    <w:div w:id="218590635">
      <w:bodyDiv w:val="1"/>
      <w:marLeft w:val="0"/>
      <w:marRight w:val="0"/>
      <w:marTop w:val="0"/>
      <w:marBottom w:val="0"/>
      <w:divBdr>
        <w:top w:val="none" w:sz="0" w:space="0" w:color="auto"/>
        <w:left w:val="none" w:sz="0" w:space="0" w:color="auto"/>
        <w:bottom w:val="none" w:sz="0" w:space="0" w:color="auto"/>
        <w:right w:val="none" w:sz="0" w:space="0" w:color="auto"/>
      </w:divBdr>
    </w:div>
    <w:div w:id="221018149">
      <w:bodyDiv w:val="1"/>
      <w:marLeft w:val="0"/>
      <w:marRight w:val="0"/>
      <w:marTop w:val="0"/>
      <w:marBottom w:val="0"/>
      <w:divBdr>
        <w:top w:val="none" w:sz="0" w:space="0" w:color="auto"/>
        <w:left w:val="none" w:sz="0" w:space="0" w:color="auto"/>
        <w:bottom w:val="none" w:sz="0" w:space="0" w:color="auto"/>
        <w:right w:val="none" w:sz="0" w:space="0" w:color="auto"/>
      </w:divBdr>
    </w:div>
    <w:div w:id="221523000">
      <w:bodyDiv w:val="1"/>
      <w:marLeft w:val="0"/>
      <w:marRight w:val="0"/>
      <w:marTop w:val="0"/>
      <w:marBottom w:val="0"/>
      <w:divBdr>
        <w:top w:val="none" w:sz="0" w:space="0" w:color="auto"/>
        <w:left w:val="none" w:sz="0" w:space="0" w:color="auto"/>
        <w:bottom w:val="none" w:sz="0" w:space="0" w:color="auto"/>
        <w:right w:val="none" w:sz="0" w:space="0" w:color="auto"/>
      </w:divBdr>
    </w:div>
    <w:div w:id="226959279">
      <w:bodyDiv w:val="1"/>
      <w:marLeft w:val="0"/>
      <w:marRight w:val="0"/>
      <w:marTop w:val="0"/>
      <w:marBottom w:val="0"/>
      <w:divBdr>
        <w:top w:val="none" w:sz="0" w:space="0" w:color="auto"/>
        <w:left w:val="none" w:sz="0" w:space="0" w:color="auto"/>
        <w:bottom w:val="none" w:sz="0" w:space="0" w:color="auto"/>
        <w:right w:val="none" w:sz="0" w:space="0" w:color="auto"/>
      </w:divBdr>
    </w:div>
    <w:div w:id="238566875">
      <w:bodyDiv w:val="1"/>
      <w:marLeft w:val="0"/>
      <w:marRight w:val="0"/>
      <w:marTop w:val="0"/>
      <w:marBottom w:val="0"/>
      <w:divBdr>
        <w:top w:val="none" w:sz="0" w:space="0" w:color="auto"/>
        <w:left w:val="none" w:sz="0" w:space="0" w:color="auto"/>
        <w:bottom w:val="none" w:sz="0" w:space="0" w:color="auto"/>
        <w:right w:val="none" w:sz="0" w:space="0" w:color="auto"/>
      </w:divBdr>
    </w:div>
    <w:div w:id="249897133">
      <w:bodyDiv w:val="1"/>
      <w:marLeft w:val="0"/>
      <w:marRight w:val="0"/>
      <w:marTop w:val="0"/>
      <w:marBottom w:val="0"/>
      <w:divBdr>
        <w:top w:val="none" w:sz="0" w:space="0" w:color="auto"/>
        <w:left w:val="none" w:sz="0" w:space="0" w:color="auto"/>
        <w:bottom w:val="none" w:sz="0" w:space="0" w:color="auto"/>
        <w:right w:val="none" w:sz="0" w:space="0" w:color="auto"/>
      </w:divBdr>
    </w:div>
    <w:div w:id="265311563">
      <w:bodyDiv w:val="1"/>
      <w:marLeft w:val="0"/>
      <w:marRight w:val="0"/>
      <w:marTop w:val="0"/>
      <w:marBottom w:val="0"/>
      <w:divBdr>
        <w:top w:val="none" w:sz="0" w:space="0" w:color="auto"/>
        <w:left w:val="none" w:sz="0" w:space="0" w:color="auto"/>
        <w:bottom w:val="none" w:sz="0" w:space="0" w:color="auto"/>
        <w:right w:val="none" w:sz="0" w:space="0" w:color="auto"/>
      </w:divBdr>
    </w:div>
    <w:div w:id="269701814">
      <w:bodyDiv w:val="1"/>
      <w:marLeft w:val="0"/>
      <w:marRight w:val="0"/>
      <w:marTop w:val="0"/>
      <w:marBottom w:val="0"/>
      <w:divBdr>
        <w:top w:val="none" w:sz="0" w:space="0" w:color="auto"/>
        <w:left w:val="none" w:sz="0" w:space="0" w:color="auto"/>
        <w:bottom w:val="none" w:sz="0" w:space="0" w:color="auto"/>
        <w:right w:val="none" w:sz="0" w:space="0" w:color="auto"/>
      </w:divBdr>
    </w:div>
    <w:div w:id="271204184">
      <w:bodyDiv w:val="1"/>
      <w:marLeft w:val="0"/>
      <w:marRight w:val="0"/>
      <w:marTop w:val="0"/>
      <w:marBottom w:val="0"/>
      <w:divBdr>
        <w:top w:val="none" w:sz="0" w:space="0" w:color="auto"/>
        <w:left w:val="none" w:sz="0" w:space="0" w:color="auto"/>
        <w:bottom w:val="none" w:sz="0" w:space="0" w:color="auto"/>
        <w:right w:val="none" w:sz="0" w:space="0" w:color="auto"/>
      </w:divBdr>
    </w:div>
    <w:div w:id="290331506">
      <w:bodyDiv w:val="1"/>
      <w:marLeft w:val="0"/>
      <w:marRight w:val="0"/>
      <w:marTop w:val="0"/>
      <w:marBottom w:val="0"/>
      <w:divBdr>
        <w:top w:val="none" w:sz="0" w:space="0" w:color="auto"/>
        <w:left w:val="none" w:sz="0" w:space="0" w:color="auto"/>
        <w:bottom w:val="none" w:sz="0" w:space="0" w:color="auto"/>
        <w:right w:val="none" w:sz="0" w:space="0" w:color="auto"/>
      </w:divBdr>
      <w:divsChild>
        <w:div w:id="238757823">
          <w:marLeft w:val="0"/>
          <w:marRight w:val="0"/>
          <w:marTop w:val="0"/>
          <w:marBottom w:val="0"/>
          <w:divBdr>
            <w:top w:val="none" w:sz="0" w:space="0" w:color="auto"/>
            <w:left w:val="none" w:sz="0" w:space="0" w:color="auto"/>
            <w:bottom w:val="none" w:sz="0" w:space="0" w:color="auto"/>
            <w:right w:val="none" w:sz="0" w:space="0" w:color="auto"/>
          </w:divBdr>
        </w:div>
        <w:div w:id="1551842846">
          <w:marLeft w:val="0"/>
          <w:marRight w:val="0"/>
          <w:marTop w:val="0"/>
          <w:marBottom w:val="0"/>
          <w:divBdr>
            <w:top w:val="none" w:sz="0" w:space="0" w:color="auto"/>
            <w:left w:val="none" w:sz="0" w:space="0" w:color="auto"/>
            <w:bottom w:val="none" w:sz="0" w:space="0" w:color="auto"/>
            <w:right w:val="none" w:sz="0" w:space="0" w:color="auto"/>
          </w:divBdr>
        </w:div>
      </w:divsChild>
    </w:div>
    <w:div w:id="296689600">
      <w:bodyDiv w:val="1"/>
      <w:marLeft w:val="0"/>
      <w:marRight w:val="0"/>
      <w:marTop w:val="0"/>
      <w:marBottom w:val="0"/>
      <w:divBdr>
        <w:top w:val="none" w:sz="0" w:space="0" w:color="auto"/>
        <w:left w:val="none" w:sz="0" w:space="0" w:color="auto"/>
        <w:bottom w:val="none" w:sz="0" w:space="0" w:color="auto"/>
        <w:right w:val="none" w:sz="0" w:space="0" w:color="auto"/>
      </w:divBdr>
    </w:div>
    <w:div w:id="307251703">
      <w:bodyDiv w:val="1"/>
      <w:marLeft w:val="0"/>
      <w:marRight w:val="0"/>
      <w:marTop w:val="0"/>
      <w:marBottom w:val="0"/>
      <w:divBdr>
        <w:top w:val="none" w:sz="0" w:space="0" w:color="auto"/>
        <w:left w:val="none" w:sz="0" w:space="0" w:color="auto"/>
        <w:bottom w:val="none" w:sz="0" w:space="0" w:color="auto"/>
        <w:right w:val="none" w:sz="0" w:space="0" w:color="auto"/>
      </w:divBdr>
    </w:div>
    <w:div w:id="311763668">
      <w:bodyDiv w:val="1"/>
      <w:marLeft w:val="0"/>
      <w:marRight w:val="0"/>
      <w:marTop w:val="0"/>
      <w:marBottom w:val="0"/>
      <w:divBdr>
        <w:top w:val="none" w:sz="0" w:space="0" w:color="auto"/>
        <w:left w:val="none" w:sz="0" w:space="0" w:color="auto"/>
        <w:bottom w:val="none" w:sz="0" w:space="0" w:color="auto"/>
        <w:right w:val="none" w:sz="0" w:space="0" w:color="auto"/>
      </w:divBdr>
    </w:div>
    <w:div w:id="333073852">
      <w:bodyDiv w:val="1"/>
      <w:marLeft w:val="0"/>
      <w:marRight w:val="0"/>
      <w:marTop w:val="0"/>
      <w:marBottom w:val="0"/>
      <w:divBdr>
        <w:top w:val="none" w:sz="0" w:space="0" w:color="auto"/>
        <w:left w:val="none" w:sz="0" w:space="0" w:color="auto"/>
        <w:bottom w:val="none" w:sz="0" w:space="0" w:color="auto"/>
        <w:right w:val="none" w:sz="0" w:space="0" w:color="auto"/>
      </w:divBdr>
    </w:div>
    <w:div w:id="352534389">
      <w:bodyDiv w:val="1"/>
      <w:marLeft w:val="0"/>
      <w:marRight w:val="0"/>
      <w:marTop w:val="0"/>
      <w:marBottom w:val="0"/>
      <w:divBdr>
        <w:top w:val="none" w:sz="0" w:space="0" w:color="auto"/>
        <w:left w:val="none" w:sz="0" w:space="0" w:color="auto"/>
        <w:bottom w:val="none" w:sz="0" w:space="0" w:color="auto"/>
        <w:right w:val="none" w:sz="0" w:space="0" w:color="auto"/>
      </w:divBdr>
    </w:div>
    <w:div w:id="354423094">
      <w:bodyDiv w:val="1"/>
      <w:marLeft w:val="0"/>
      <w:marRight w:val="0"/>
      <w:marTop w:val="0"/>
      <w:marBottom w:val="0"/>
      <w:divBdr>
        <w:top w:val="none" w:sz="0" w:space="0" w:color="auto"/>
        <w:left w:val="none" w:sz="0" w:space="0" w:color="auto"/>
        <w:bottom w:val="none" w:sz="0" w:space="0" w:color="auto"/>
        <w:right w:val="none" w:sz="0" w:space="0" w:color="auto"/>
      </w:divBdr>
    </w:div>
    <w:div w:id="370570715">
      <w:bodyDiv w:val="1"/>
      <w:marLeft w:val="0"/>
      <w:marRight w:val="0"/>
      <w:marTop w:val="0"/>
      <w:marBottom w:val="0"/>
      <w:divBdr>
        <w:top w:val="none" w:sz="0" w:space="0" w:color="auto"/>
        <w:left w:val="none" w:sz="0" w:space="0" w:color="auto"/>
        <w:bottom w:val="none" w:sz="0" w:space="0" w:color="auto"/>
        <w:right w:val="none" w:sz="0" w:space="0" w:color="auto"/>
      </w:divBdr>
    </w:div>
    <w:div w:id="384763538">
      <w:bodyDiv w:val="1"/>
      <w:marLeft w:val="0"/>
      <w:marRight w:val="0"/>
      <w:marTop w:val="0"/>
      <w:marBottom w:val="0"/>
      <w:divBdr>
        <w:top w:val="none" w:sz="0" w:space="0" w:color="auto"/>
        <w:left w:val="none" w:sz="0" w:space="0" w:color="auto"/>
        <w:bottom w:val="none" w:sz="0" w:space="0" w:color="auto"/>
        <w:right w:val="none" w:sz="0" w:space="0" w:color="auto"/>
      </w:divBdr>
    </w:div>
    <w:div w:id="394082662">
      <w:bodyDiv w:val="1"/>
      <w:marLeft w:val="0"/>
      <w:marRight w:val="0"/>
      <w:marTop w:val="0"/>
      <w:marBottom w:val="0"/>
      <w:divBdr>
        <w:top w:val="none" w:sz="0" w:space="0" w:color="auto"/>
        <w:left w:val="none" w:sz="0" w:space="0" w:color="auto"/>
        <w:bottom w:val="none" w:sz="0" w:space="0" w:color="auto"/>
        <w:right w:val="none" w:sz="0" w:space="0" w:color="auto"/>
      </w:divBdr>
    </w:div>
    <w:div w:id="402292613">
      <w:bodyDiv w:val="1"/>
      <w:marLeft w:val="0"/>
      <w:marRight w:val="0"/>
      <w:marTop w:val="0"/>
      <w:marBottom w:val="0"/>
      <w:divBdr>
        <w:top w:val="none" w:sz="0" w:space="0" w:color="auto"/>
        <w:left w:val="none" w:sz="0" w:space="0" w:color="auto"/>
        <w:bottom w:val="none" w:sz="0" w:space="0" w:color="auto"/>
        <w:right w:val="none" w:sz="0" w:space="0" w:color="auto"/>
      </w:divBdr>
    </w:div>
    <w:div w:id="403721761">
      <w:bodyDiv w:val="1"/>
      <w:marLeft w:val="0"/>
      <w:marRight w:val="0"/>
      <w:marTop w:val="0"/>
      <w:marBottom w:val="0"/>
      <w:divBdr>
        <w:top w:val="none" w:sz="0" w:space="0" w:color="auto"/>
        <w:left w:val="none" w:sz="0" w:space="0" w:color="auto"/>
        <w:bottom w:val="none" w:sz="0" w:space="0" w:color="auto"/>
        <w:right w:val="none" w:sz="0" w:space="0" w:color="auto"/>
      </w:divBdr>
    </w:div>
    <w:div w:id="408387422">
      <w:bodyDiv w:val="1"/>
      <w:marLeft w:val="0"/>
      <w:marRight w:val="0"/>
      <w:marTop w:val="0"/>
      <w:marBottom w:val="0"/>
      <w:divBdr>
        <w:top w:val="none" w:sz="0" w:space="0" w:color="auto"/>
        <w:left w:val="none" w:sz="0" w:space="0" w:color="auto"/>
        <w:bottom w:val="none" w:sz="0" w:space="0" w:color="auto"/>
        <w:right w:val="none" w:sz="0" w:space="0" w:color="auto"/>
      </w:divBdr>
    </w:div>
    <w:div w:id="409818393">
      <w:bodyDiv w:val="1"/>
      <w:marLeft w:val="0"/>
      <w:marRight w:val="0"/>
      <w:marTop w:val="0"/>
      <w:marBottom w:val="0"/>
      <w:divBdr>
        <w:top w:val="none" w:sz="0" w:space="0" w:color="auto"/>
        <w:left w:val="none" w:sz="0" w:space="0" w:color="auto"/>
        <w:bottom w:val="none" w:sz="0" w:space="0" w:color="auto"/>
        <w:right w:val="none" w:sz="0" w:space="0" w:color="auto"/>
      </w:divBdr>
    </w:div>
    <w:div w:id="410976509">
      <w:bodyDiv w:val="1"/>
      <w:marLeft w:val="0"/>
      <w:marRight w:val="0"/>
      <w:marTop w:val="0"/>
      <w:marBottom w:val="0"/>
      <w:divBdr>
        <w:top w:val="none" w:sz="0" w:space="0" w:color="auto"/>
        <w:left w:val="none" w:sz="0" w:space="0" w:color="auto"/>
        <w:bottom w:val="none" w:sz="0" w:space="0" w:color="auto"/>
        <w:right w:val="none" w:sz="0" w:space="0" w:color="auto"/>
      </w:divBdr>
    </w:div>
    <w:div w:id="414279021">
      <w:bodyDiv w:val="1"/>
      <w:marLeft w:val="0"/>
      <w:marRight w:val="0"/>
      <w:marTop w:val="0"/>
      <w:marBottom w:val="0"/>
      <w:divBdr>
        <w:top w:val="none" w:sz="0" w:space="0" w:color="auto"/>
        <w:left w:val="none" w:sz="0" w:space="0" w:color="auto"/>
        <w:bottom w:val="none" w:sz="0" w:space="0" w:color="auto"/>
        <w:right w:val="none" w:sz="0" w:space="0" w:color="auto"/>
      </w:divBdr>
    </w:div>
    <w:div w:id="420027995">
      <w:bodyDiv w:val="1"/>
      <w:marLeft w:val="0"/>
      <w:marRight w:val="0"/>
      <w:marTop w:val="0"/>
      <w:marBottom w:val="0"/>
      <w:divBdr>
        <w:top w:val="none" w:sz="0" w:space="0" w:color="auto"/>
        <w:left w:val="none" w:sz="0" w:space="0" w:color="auto"/>
        <w:bottom w:val="none" w:sz="0" w:space="0" w:color="auto"/>
        <w:right w:val="none" w:sz="0" w:space="0" w:color="auto"/>
      </w:divBdr>
    </w:div>
    <w:div w:id="422841871">
      <w:bodyDiv w:val="1"/>
      <w:marLeft w:val="0"/>
      <w:marRight w:val="0"/>
      <w:marTop w:val="0"/>
      <w:marBottom w:val="0"/>
      <w:divBdr>
        <w:top w:val="none" w:sz="0" w:space="0" w:color="auto"/>
        <w:left w:val="none" w:sz="0" w:space="0" w:color="auto"/>
        <w:bottom w:val="none" w:sz="0" w:space="0" w:color="auto"/>
        <w:right w:val="none" w:sz="0" w:space="0" w:color="auto"/>
      </w:divBdr>
    </w:div>
    <w:div w:id="438109968">
      <w:bodyDiv w:val="1"/>
      <w:marLeft w:val="0"/>
      <w:marRight w:val="0"/>
      <w:marTop w:val="0"/>
      <w:marBottom w:val="0"/>
      <w:divBdr>
        <w:top w:val="none" w:sz="0" w:space="0" w:color="auto"/>
        <w:left w:val="none" w:sz="0" w:space="0" w:color="auto"/>
        <w:bottom w:val="none" w:sz="0" w:space="0" w:color="auto"/>
        <w:right w:val="none" w:sz="0" w:space="0" w:color="auto"/>
      </w:divBdr>
    </w:div>
    <w:div w:id="443229413">
      <w:bodyDiv w:val="1"/>
      <w:marLeft w:val="0"/>
      <w:marRight w:val="0"/>
      <w:marTop w:val="0"/>
      <w:marBottom w:val="0"/>
      <w:divBdr>
        <w:top w:val="none" w:sz="0" w:space="0" w:color="auto"/>
        <w:left w:val="none" w:sz="0" w:space="0" w:color="auto"/>
        <w:bottom w:val="none" w:sz="0" w:space="0" w:color="auto"/>
        <w:right w:val="none" w:sz="0" w:space="0" w:color="auto"/>
      </w:divBdr>
    </w:div>
    <w:div w:id="451439716">
      <w:bodyDiv w:val="1"/>
      <w:marLeft w:val="0"/>
      <w:marRight w:val="0"/>
      <w:marTop w:val="0"/>
      <w:marBottom w:val="0"/>
      <w:divBdr>
        <w:top w:val="none" w:sz="0" w:space="0" w:color="auto"/>
        <w:left w:val="none" w:sz="0" w:space="0" w:color="auto"/>
        <w:bottom w:val="none" w:sz="0" w:space="0" w:color="auto"/>
        <w:right w:val="none" w:sz="0" w:space="0" w:color="auto"/>
      </w:divBdr>
    </w:div>
    <w:div w:id="453209783">
      <w:bodyDiv w:val="1"/>
      <w:marLeft w:val="0"/>
      <w:marRight w:val="0"/>
      <w:marTop w:val="0"/>
      <w:marBottom w:val="0"/>
      <w:divBdr>
        <w:top w:val="none" w:sz="0" w:space="0" w:color="auto"/>
        <w:left w:val="none" w:sz="0" w:space="0" w:color="auto"/>
        <w:bottom w:val="none" w:sz="0" w:space="0" w:color="auto"/>
        <w:right w:val="none" w:sz="0" w:space="0" w:color="auto"/>
      </w:divBdr>
    </w:div>
    <w:div w:id="456333349">
      <w:bodyDiv w:val="1"/>
      <w:marLeft w:val="0"/>
      <w:marRight w:val="0"/>
      <w:marTop w:val="0"/>
      <w:marBottom w:val="0"/>
      <w:divBdr>
        <w:top w:val="none" w:sz="0" w:space="0" w:color="auto"/>
        <w:left w:val="none" w:sz="0" w:space="0" w:color="auto"/>
        <w:bottom w:val="none" w:sz="0" w:space="0" w:color="auto"/>
        <w:right w:val="none" w:sz="0" w:space="0" w:color="auto"/>
      </w:divBdr>
    </w:div>
    <w:div w:id="459030118">
      <w:bodyDiv w:val="1"/>
      <w:marLeft w:val="0"/>
      <w:marRight w:val="0"/>
      <w:marTop w:val="0"/>
      <w:marBottom w:val="0"/>
      <w:divBdr>
        <w:top w:val="none" w:sz="0" w:space="0" w:color="auto"/>
        <w:left w:val="none" w:sz="0" w:space="0" w:color="auto"/>
        <w:bottom w:val="none" w:sz="0" w:space="0" w:color="auto"/>
        <w:right w:val="none" w:sz="0" w:space="0" w:color="auto"/>
      </w:divBdr>
    </w:div>
    <w:div w:id="474177365">
      <w:bodyDiv w:val="1"/>
      <w:marLeft w:val="0"/>
      <w:marRight w:val="0"/>
      <w:marTop w:val="0"/>
      <w:marBottom w:val="0"/>
      <w:divBdr>
        <w:top w:val="none" w:sz="0" w:space="0" w:color="auto"/>
        <w:left w:val="none" w:sz="0" w:space="0" w:color="auto"/>
        <w:bottom w:val="none" w:sz="0" w:space="0" w:color="auto"/>
        <w:right w:val="none" w:sz="0" w:space="0" w:color="auto"/>
      </w:divBdr>
    </w:div>
    <w:div w:id="508132612">
      <w:bodyDiv w:val="1"/>
      <w:marLeft w:val="0"/>
      <w:marRight w:val="0"/>
      <w:marTop w:val="0"/>
      <w:marBottom w:val="0"/>
      <w:divBdr>
        <w:top w:val="none" w:sz="0" w:space="0" w:color="auto"/>
        <w:left w:val="none" w:sz="0" w:space="0" w:color="auto"/>
        <w:bottom w:val="none" w:sz="0" w:space="0" w:color="auto"/>
        <w:right w:val="none" w:sz="0" w:space="0" w:color="auto"/>
      </w:divBdr>
    </w:div>
    <w:div w:id="514226512">
      <w:bodyDiv w:val="1"/>
      <w:marLeft w:val="0"/>
      <w:marRight w:val="0"/>
      <w:marTop w:val="0"/>
      <w:marBottom w:val="0"/>
      <w:divBdr>
        <w:top w:val="none" w:sz="0" w:space="0" w:color="auto"/>
        <w:left w:val="none" w:sz="0" w:space="0" w:color="auto"/>
        <w:bottom w:val="none" w:sz="0" w:space="0" w:color="auto"/>
        <w:right w:val="none" w:sz="0" w:space="0" w:color="auto"/>
      </w:divBdr>
    </w:div>
    <w:div w:id="519783676">
      <w:bodyDiv w:val="1"/>
      <w:marLeft w:val="0"/>
      <w:marRight w:val="0"/>
      <w:marTop w:val="0"/>
      <w:marBottom w:val="0"/>
      <w:divBdr>
        <w:top w:val="none" w:sz="0" w:space="0" w:color="auto"/>
        <w:left w:val="none" w:sz="0" w:space="0" w:color="auto"/>
        <w:bottom w:val="none" w:sz="0" w:space="0" w:color="auto"/>
        <w:right w:val="none" w:sz="0" w:space="0" w:color="auto"/>
      </w:divBdr>
    </w:div>
    <w:div w:id="544873571">
      <w:bodyDiv w:val="1"/>
      <w:marLeft w:val="0"/>
      <w:marRight w:val="0"/>
      <w:marTop w:val="0"/>
      <w:marBottom w:val="0"/>
      <w:divBdr>
        <w:top w:val="none" w:sz="0" w:space="0" w:color="auto"/>
        <w:left w:val="none" w:sz="0" w:space="0" w:color="auto"/>
        <w:bottom w:val="none" w:sz="0" w:space="0" w:color="auto"/>
        <w:right w:val="none" w:sz="0" w:space="0" w:color="auto"/>
      </w:divBdr>
    </w:div>
    <w:div w:id="546183048">
      <w:bodyDiv w:val="1"/>
      <w:marLeft w:val="0"/>
      <w:marRight w:val="0"/>
      <w:marTop w:val="0"/>
      <w:marBottom w:val="0"/>
      <w:divBdr>
        <w:top w:val="none" w:sz="0" w:space="0" w:color="auto"/>
        <w:left w:val="none" w:sz="0" w:space="0" w:color="auto"/>
        <w:bottom w:val="none" w:sz="0" w:space="0" w:color="auto"/>
        <w:right w:val="none" w:sz="0" w:space="0" w:color="auto"/>
      </w:divBdr>
    </w:div>
    <w:div w:id="556744065">
      <w:bodyDiv w:val="1"/>
      <w:marLeft w:val="0"/>
      <w:marRight w:val="0"/>
      <w:marTop w:val="0"/>
      <w:marBottom w:val="0"/>
      <w:divBdr>
        <w:top w:val="none" w:sz="0" w:space="0" w:color="auto"/>
        <w:left w:val="none" w:sz="0" w:space="0" w:color="auto"/>
        <w:bottom w:val="none" w:sz="0" w:space="0" w:color="auto"/>
        <w:right w:val="none" w:sz="0" w:space="0" w:color="auto"/>
      </w:divBdr>
    </w:div>
    <w:div w:id="581842860">
      <w:bodyDiv w:val="1"/>
      <w:marLeft w:val="0"/>
      <w:marRight w:val="0"/>
      <w:marTop w:val="0"/>
      <w:marBottom w:val="0"/>
      <w:divBdr>
        <w:top w:val="none" w:sz="0" w:space="0" w:color="auto"/>
        <w:left w:val="none" w:sz="0" w:space="0" w:color="auto"/>
        <w:bottom w:val="none" w:sz="0" w:space="0" w:color="auto"/>
        <w:right w:val="none" w:sz="0" w:space="0" w:color="auto"/>
      </w:divBdr>
    </w:div>
    <w:div w:id="586496397">
      <w:bodyDiv w:val="1"/>
      <w:marLeft w:val="0"/>
      <w:marRight w:val="0"/>
      <w:marTop w:val="0"/>
      <w:marBottom w:val="0"/>
      <w:divBdr>
        <w:top w:val="none" w:sz="0" w:space="0" w:color="auto"/>
        <w:left w:val="none" w:sz="0" w:space="0" w:color="auto"/>
        <w:bottom w:val="none" w:sz="0" w:space="0" w:color="auto"/>
        <w:right w:val="none" w:sz="0" w:space="0" w:color="auto"/>
      </w:divBdr>
    </w:div>
    <w:div w:id="586839842">
      <w:bodyDiv w:val="1"/>
      <w:marLeft w:val="0"/>
      <w:marRight w:val="0"/>
      <w:marTop w:val="0"/>
      <w:marBottom w:val="0"/>
      <w:divBdr>
        <w:top w:val="none" w:sz="0" w:space="0" w:color="auto"/>
        <w:left w:val="none" w:sz="0" w:space="0" w:color="auto"/>
        <w:bottom w:val="none" w:sz="0" w:space="0" w:color="auto"/>
        <w:right w:val="none" w:sz="0" w:space="0" w:color="auto"/>
      </w:divBdr>
    </w:div>
    <w:div w:id="589387708">
      <w:bodyDiv w:val="1"/>
      <w:marLeft w:val="0"/>
      <w:marRight w:val="0"/>
      <w:marTop w:val="0"/>
      <w:marBottom w:val="0"/>
      <w:divBdr>
        <w:top w:val="none" w:sz="0" w:space="0" w:color="auto"/>
        <w:left w:val="none" w:sz="0" w:space="0" w:color="auto"/>
        <w:bottom w:val="none" w:sz="0" w:space="0" w:color="auto"/>
        <w:right w:val="none" w:sz="0" w:space="0" w:color="auto"/>
      </w:divBdr>
    </w:div>
    <w:div w:id="603273077">
      <w:bodyDiv w:val="1"/>
      <w:marLeft w:val="0"/>
      <w:marRight w:val="0"/>
      <w:marTop w:val="0"/>
      <w:marBottom w:val="0"/>
      <w:divBdr>
        <w:top w:val="none" w:sz="0" w:space="0" w:color="auto"/>
        <w:left w:val="none" w:sz="0" w:space="0" w:color="auto"/>
        <w:bottom w:val="none" w:sz="0" w:space="0" w:color="auto"/>
        <w:right w:val="none" w:sz="0" w:space="0" w:color="auto"/>
      </w:divBdr>
      <w:divsChild>
        <w:div w:id="1545291912">
          <w:marLeft w:val="0"/>
          <w:marRight w:val="0"/>
          <w:marTop w:val="0"/>
          <w:marBottom w:val="0"/>
          <w:divBdr>
            <w:top w:val="none" w:sz="0" w:space="0" w:color="auto"/>
            <w:left w:val="none" w:sz="0" w:space="0" w:color="auto"/>
            <w:bottom w:val="none" w:sz="0" w:space="0" w:color="auto"/>
            <w:right w:val="none" w:sz="0" w:space="0" w:color="auto"/>
          </w:divBdr>
        </w:div>
      </w:divsChild>
    </w:div>
    <w:div w:id="607083345">
      <w:bodyDiv w:val="1"/>
      <w:marLeft w:val="0"/>
      <w:marRight w:val="0"/>
      <w:marTop w:val="0"/>
      <w:marBottom w:val="0"/>
      <w:divBdr>
        <w:top w:val="none" w:sz="0" w:space="0" w:color="auto"/>
        <w:left w:val="none" w:sz="0" w:space="0" w:color="auto"/>
        <w:bottom w:val="none" w:sz="0" w:space="0" w:color="auto"/>
        <w:right w:val="none" w:sz="0" w:space="0" w:color="auto"/>
      </w:divBdr>
    </w:div>
    <w:div w:id="624235449">
      <w:bodyDiv w:val="1"/>
      <w:marLeft w:val="0"/>
      <w:marRight w:val="0"/>
      <w:marTop w:val="0"/>
      <w:marBottom w:val="0"/>
      <w:divBdr>
        <w:top w:val="none" w:sz="0" w:space="0" w:color="auto"/>
        <w:left w:val="none" w:sz="0" w:space="0" w:color="auto"/>
        <w:bottom w:val="none" w:sz="0" w:space="0" w:color="auto"/>
        <w:right w:val="none" w:sz="0" w:space="0" w:color="auto"/>
      </w:divBdr>
    </w:div>
    <w:div w:id="650795010">
      <w:bodyDiv w:val="1"/>
      <w:marLeft w:val="0"/>
      <w:marRight w:val="0"/>
      <w:marTop w:val="0"/>
      <w:marBottom w:val="0"/>
      <w:divBdr>
        <w:top w:val="none" w:sz="0" w:space="0" w:color="auto"/>
        <w:left w:val="none" w:sz="0" w:space="0" w:color="auto"/>
        <w:bottom w:val="none" w:sz="0" w:space="0" w:color="auto"/>
        <w:right w:val="none" w:sz="0" w:space="0" w:color="auto"/>
      </w:divBdr>
    </w:div>
    <w:div w:id="689725899">
      <w:bodyDiv w:val="1"/>
      <w:marLeft w:val="0"/>
      <w:marRight w:val="0"/>
      <w:marTop w:val="0"/>
      <w:marBottom w:val="0"/>
      <w:divBdr>
        <w:top w:val="none" w:sz="0" w:space="0" w:color="auto"/>
        <w:left w:val="none" w:sz="0" w:space="0" w:color="auto"/>
        <w:bottom w:val="none" w:sz="0" w:space="0" w:color="auto"/>
        <w:right w:val="none" w:sz="0" w:space="0" w:color="auto"/>
      </w:divBdr>
    </w:div>
    <w:div w:id="702557296">
      <w:bodyDiv w:val="1"/>
      <w:marLeft w:val="0"/>
      <w:marRight w:val="0"/>
      <w:marTop w:val="0"/>
      <w:marBottom w:val="0"/>
      <w:divBdr>
        <w:top w:val="none" w:sz="0" w:space="0" w:color="auto"/>
        <w:left w:val="none" w:sz="0" w:space="0" w:color="auto"/>
        <w:bottom w:val="none" w:sz="0" w:space="0" w:color="auto"/>
        <w:right w:val="none" w:sz="0" w:space="0" w:color="auto"/>
      </w:divBdr>
    </w:div>
    <w:div w:id="707487522">
      <w:bodyDiv w:val="1"/>
      <w:marLeft w:val="0"/>
      <w:marRight w:val="0"/>
      <w:marTop w:val="0"/>
      <w:marBottom w:val="0"/>
      <w:divBdr>
        <w:top w:val="none" w:sz="0" w:space="0" w:color="auto"/>
        <w:left w:val="none" w:sz="0" w:space="0" w:color="auto"/>
        <w:bottom w:val="none" w:sz="0" w:space="0" w:color="auto"/>
        <w:right w:val="none" w:sz="0" w:space="0" w:color="auto"/>
      </w:divBdr>
    </w:div>
    <w:div w:id="716003011">
      <w:bodyDiv w:val="1"/>
      <w:marLeft w:val="0"/>
      <w:marRight w:val="0"/>
      <w:marTop w:val="0"/>
      <w:marBottom w:val="0"/>
      <w:divBdr>
        <w:top w:val="none" w:sz="0" w:space="0" w:color="auto"/>
        <w:left w:val="none" w:sz="0" w:space="0" w:color="auto"/>
        <w:bottom w:val="none" w:sz="0" w:space="0" w:color="auto"/>
        <w:right w:val="none" w:sz="0" w:space="0" w:color="auto"/>
      </w:divBdr>
    </w:div>
    <w:div w:id="728383447">
      <w:bodyDiv w:val="1"/>
      <w:marLeft w:val="0"/>
      <w:marRight w:val="0"/>
      <w:marTop w:val="0"/>
      <w:marBottom w:val="0"/>
      <w:divBdr>
        <w:top w:val="none" w:sz="0" w:space="0" w:color="auto"/>
        <w:left w:val="none" w:sz="0" w:space="0" w:color="auto"/>
        <w:bottom w:val="none" w:sz="0" w:space="0" w:color="auto"/>
        <w:right w:val="none" w:sz="0" w:space="0" w:color="auto"/>
      </w:divBdr>
    </w:div>
    <w:div w:id="758867235">
      <w:bodyDiv w:val="1"/>
      <w:marLeft w:val="0"/>
      <w:marRight w:val="0"/>
      <w:marTop w:val="0"/>
      <w:marBottom w:val="0"/>
      <w:divBdr>
        <w:top w:val="none" w:sz="0" w:space="0" w:color="auto"/>
        <w:left w:val="none" w:sz="0" w:space="0" w:color="auto"/>
        <w:bottom w:val="none" w:sz="0" w:space="0" w:color="auto"/>
        <w:right w:val="none" w:sz="0" w:space="0" w:color="auto"/>
      </w:divBdr>
    </w:div>
    <w:div w:id="759370697">
      <w:bodyDiv w:val="1"/>
      <w:marLeft w:val="0"/>
      <w:marRight w:val="0"/>
      <w:marTop w:val="0"/>
      <w:marBottom w:val="0"/>
      <w:divBdr>
        <w:top w:val="none" w:sz="0" w:space="0" w:color="auto"/>
        <w:left w:val="none" w:sz="0" w:space="0" w:color="auto"/>
        <w:bottom w:val="none" w:sz="0" w:space="0" w:color="auto"/>
        <w:right w:val="none" w:sz="0" w:space="0" w:color="auto"/>
      </w:divBdr>
    </w:div>
    <w:div w:id="763116095">
      <w:bodyDiv w:val="1"/>
      <w:marLeft w:val="0"/>
      <w:marRight w:val="0"/>
      <w:marTop w:val="0"/>
      <w:marBottom w:val="0"/>
      <w:divBdr>
        <w:top w:val="none" w:sz="0" w:space="0" w:color="auto"/>
        <w:left w:val="none" w:sz="0" w:space="0" w:color="auto"/>
        <w:bottom w:val="none" w:sz="0" w:space="0" w:color="auto"/>
        <w:right w:val="none" w:sz="0" w:space="0" w:color="auto"/>
      </w:divBdr>
    </w:div>
    <w:div w:id="777603241">
      <w:bodyDiv w:val="1"/>
      <w:marLeft w:val="0"/>
      <w:marRight w:val="0"/>
      <w:marTop w:val="0"/>
      <w:marBottom w:val="0"/>
      <w:divBdr>
        <w:top w:val="none" w:sz="0" w:space="0" w:color="auto"/>
        <w:left w:val="none" w:sz="0" w:space="0" w:color="auto"/>
        <w:bottom w:val="none" w:sz="0" w:space="0" w:color="auto"/>
        <w:right w:val="none" w:sz="0" w:space="0" w:color="auto"/>
      </w:divBdr>
    </w:div>
    <w:div w:id="802384661">
      <w:bodyDiv w:val="1"/>
      <w:marLeft w:val="0"/>
      <w:marRight w:val="0"/>
      <w:marTop w:val="0"/>
      <w:marBottom w:val="0"/>
      <w:divBdr>
        <w:top w:val="none" w:sz="0" w:space="0" w:color="auto"/>
        <w:left w:val="none" w:sz="0" w:space="0" w:color="auto"/>
        <w:bottom w:val="none" w:sz="0" w:space="0" w:color="auto"/>
        <w:right w:val="none" w:sz="0" w:space="0" w:color="auto"/>
      </w:divBdr>
    </w:div>
    <w:div w:id="814106039">
      <w:bodyDiv w:val="1"/>
      <w:marLeft w:val="0"/>
      <w:marRight w:val="0"/>
      <w:marTop w:val="0"/>
      <w:marBottom w:val="0"/>
      <w:divBdr>
        <w:top w:val="none" w:sz="0" w:space="0" w:color="auto"/>
        <w:left w:val="none" w:sz="0" w:space="0" w:color="auto"/>
        <w:bottom w:val="none" w:sz="0" w:space="0" w:color="auto"/>
        <w:right w:val="none" w:sz="0" w:space="0" w:color="auto"/>
      </w:divBdr>
    </w:div>
    <w:div w:id="821239789">
      <w:bodyDiv w:val="1"/>
      <w:marLeft w:val="0"/>
      <w:marRight w:val="0"/>
      <w:marTop w:val="0"/>
      <w:marBottom w:val="0"/>
      <w:divBdr>
        <w:top w:val="none" w:sz="0" w:space="0" w:color="auto"/>
        <w:left w:val="none" w:sz="0" w:space="0" w:color="auto"/>
        <w:bottom w:val="none" w:sz="0" w:space="0" w:color="auto"/>
        <w:right w:val="none" w:sz="0" w:space="0" w:color="auto"/>
      </w:divBdr>
    </w:div>
    <w:div w:id="840853421">
      <w:bodyDiv w:val="1"/>
      <w:marLeft w:val="0"/>
      <w:marRight w:val="0"/>
      <w:marTop w:val="0"/>
      <w:marBottom w:val="0"/>
      <w:divBdr>
        <w:top w:val="none" w:sz="0" w:space="0" w:color="auto"/>
        <w:left w:val="none" w:sz="0" w:space="0" w:color="auto"/>
        <w:bottom w:val="none" w:sz="0" w:space="0" w:color="auto"/>
        <w:right w:val="none" w:sz="0" w:space="0" w:color="auto"/>
      </w:divBdr>
    </w:div>
    <w:div w:id="843865086">
      <w:bodyDiv w:val="1"/>
      <w:marLeft w:val="0"/>
      <w:marRight w:val="0"/>
      <w:marTop w:val="0"/>
      <w:marBottom w:val="0"/>
      <w:divBdr>
        <w:top w:val="none" w:sz="0" w:space="0" w:color="auto"/>
        <w:left w:val="none" w:sz="0" w:space="0" w:color="auto"/>
        <w:bottom w:val="none" w:sz="0" w:space="0" w:color="auto"/>
        <w:right w:val="none" w:sz="0" w:space="0" w:color="auto"/>
      </w:divBdr>
    </w:div>
    <w:div w:id="852457530">
      <w:bodyDiv w:val="1"/>
      <w:marLeft w:val="0"/>
      <w:marRight w:val="0"/>
      <w:marTop w:val="0"/>
      <w:marBottom w:val="0"/>
      <w:divBdr>
        <w:top w:val="none" w:sz="0" w:space="0" w:color="auto"/>
        <w:left w:val="none" w:sz="0" w:space="0" w:color="auto"/>
        <w:bottom w:val="none" w:sz="0" w:space="0" w:color="auto"/>
        <w:right w:val="none" w:sz="0" w:space="0" w:color="auto"/>
      </w:divBdr>
    </w:div>
    <w:div w:id="863398979">
      <w:bodyDiv w:val="1"/>
      <w:marLeft w:val="0"/>
      <w:marRight w:val="0"/>
      <w:marTop w:val="0"/>
      <w:marBottom w:val="0"/>
      <w:divBdr>
        <w:top w:val="none" w:sz="0" w:space="0" w:color="auto"/>
        <w:left w:val="none" w:sz="0" w:space="0" w:color="auto"/>
        <w:bottom w:val="none" w:sz="0" w:space="0" w:color="auto"/>
        <w:right w:val="none" w:sz="0" w:space="0" w:color="auto"/>
      </w:divBdr>
    </w:div>
    <w:div w:id="864946815">
      <w:bodyDiv w:val="1"/>
      <w:marLeft w:val="0"/>
      <w:marRight w:val="0"/>
      <w:marTop w:val="0"/>
      <w:marBottom w:val="0"/>
      <w:divBdr>
        <w:top w:val="none" w:sz="0" w:space="0" w:color="auto"/>
        <w:left w:val="none" w:sz="0" w:space="0" w:color="auto"/>
        <w:bottom w:val="none" w:sz="0" w:space="0" w:color="auto"/>
        <w:right w:val="none" w:sz="0" w:space="0" w:color="auto"/>
      </w:divBdr>
    </w:div>
    <w:div w:id="877350970">
      <w:bodyDiv w:val="1"/>
      <w:marLeft w:val="0"/>
      <w:marRight w:val="0"/>
      <w:marTop w:val="0"/>
      <w:marBottom w:val="0"/>
      <w:divBdr>
        <w:top w:val="none" w:sz="0" w:space="0" w:color="auto"/>
        <w:left w:val="none" w:sz="0" w:space="0" w:color="auto"/>
        <w:bottom w:val="none" w:sz="0" w:space="0" w:color="auto"/>
        <w:right w:val="none" w:sz="0" w:space="0" w:color="auto"/>
      </w:divBdr>
    </w:div>
    <w:div w:id="880049716">
      <w:bodyDiv w:val="1"/>
      <w:marLeft w:val="0"/>
      <w:marRight w:val="0"/>
      <w:marTop w:val="0"/>
      <w:marBottom w:val="0"/>
      <w:divBdr>
        <w:top w:val="none" w:sz="0" w:space="0" w:color="auto"/>
        <w:left w:val="none" w:sz="0" w:space="0" w:color="auto"/>
        <w:bottom w:val="none" w:sz="0" w:space="0" w:color="auto"/>
        <w:right w:val="none" w:sz="0" w:space="0" w:color="auto"/>
      </w:divBdr>
    </w:div>
    <w:div w:id="884028439">
      <w:bodyDiv w:val="1"/>
      <w:marLeft w:val="0"/>
      <w:marRight w:val="0"/>
      <w:marTop w:val="0"/>
      <w:marBottom w:val="0"/>
      <w:divBdr>
        <w:top w:val="none" w:sz="0" w:space="0" w:color="auto"/>
        <w:left w:val="none" w:sz="0" w:space="0" w:color="auto"/>
        <w:bottom w:val="none" w:sz="0" w:space="0" w:color="auto"/>
        <w:right w:val="none" w:sz="0" w:space="0" w:color="auto"/>
      </w:divBdr>
    </w:div>
    <w:div w:id="898595426">
      <w:bodyDiv w:val="1"/>
      <w:marLeft w:val="0"/>
      <w:marRight w:val="0"/>
      <w:marTop w:val="0"/>
      <w:marBottom w:val="0"/>
      <w:divBdr>
        <w:top w:val="none" w:sz="0" w:space="0" w:color="auto"/>
        <w:left w:val="none" w:sz="0" w:space="0" w:color="auto"/>
        <w:bottom w:val="none" w:sz="0" w:space="0" w:color="auto"/>
        <w:right w:val="none" w:sz="0" w:space="0" w:color="auto"/>
      </w:divBdr>
      <w:divsChild>
        <w:div w:id="889878574">
          <w:marLeft w:val="0"/>
          <w:marRight w:val="0"/>
          <w:marTop w:val="0"/>
          <w:marBottom w:val="0"/>
          <w:divBdr>
            <w:top w:val="none" w:sz="0" w:space="0" w:color="auto"/>
            <w:left w:val="none" w:sz="0" w:space="0" w:color="auto"/>
            <w:bottom w:val="none" w:sz="0" w:space="0" w:color="auto"/>
            <w:right w:val="none" w:sz="0" w:space="0" w:color="auto"/>
          </w:divBdr>
        </w:div>
      </w:divsChild>
    </w:div>
    <w:div w:id="926042693">
      <w:bodyDiv w:val="1"/>
      <w:marLeft w:val="0"/>
      <w:marRight w:val="0"/>
      <w:marTop w:val="0"/>
      <w:marBottom w:val="0"/>
      <w:divBdr>
        <w:top w:val="none" w:sz="0" w:space="0" w:color="auto"/>
        <w:left w:val="none" w:sz="0" w:space="0" w:color="auto"/>
        <w:bottom w:val="none" w:sz="0" w:space="0" w:color="auto"/>
        <w:right w:val="none" w:sz="0" w:space="0" w:color="auto"/>
      </w:divBdr>
    </w:div>
    <w:div w:id="928662737">
      <w:bodyDiv w:val="1"/>
      <w:marLeft w:val="0"/>
      <w:marRight w:val="0"/>
      <w:marTop w:val="0"/>
      <w:marBottom w:val="0"/>
      <w:divBdr>
        <w:top w:val="none" w:sz="0" w:space="0" w:color="auto"/>
        <w:left w:val="none" w:sz="0" w:space="0" w:color="auto"/>
        <w:bottom w:val="none" w:sz="0" w:space="0" w:color="auto"/>
        <w:right w:val="none" w:sz="0" w:space="0" w:color="auto"/>
      </w:divBdr>
    </w:div>
    <w:div w:id="932132905">
      <w:bodyDiv w:val="1"/>
      <w:marLeft w:val="0"/>
      <w:marRight w:val="0"/>
      <w:marTop w:val="0"/>
      <w:marBottom w:val="0"/>
      <w:divBdr>
        <w:top w:val="none" w:sz="0" w:space="0" w:color="auto"/>
        <w:left w:val="none" w:sz="0" w:space="0" w:color="auto"/>
        <w:bottom w:val="none" w:sz="0" w:space="0" w:color="auto"/>
        <w:right w:val="none" w:sz="0" w:space="0" w:color="auto"/>
      </w:divBdr>
    </w:div>
    <w:div w:id="944120126">
      <w:bodyDiv w:val="1"/>
      <w:marLeft w:val="0"/>
      <w:marRight w:val="0"/>
      <w:marTop w:val="0"/>
      <w:marBottom w:val="0"/>
      <w:divBdr>
        <w:top w:val="none" w:sz="0" w:space="0" w:color="auto"/>
        <w:left w:val="none" w:sz="0" w:space="0" w:color="auto"/>
        <w:bottom w:val="none" w:sz="0" w:space="0" w:color="auto"/>
        <w:right w:val="none" w:sz="0" w:space="0" w:color="auto"/>
      </w:divBdr>
    </w:div>
    <w:div w:id="947007445">
      <w:bodyDiv w:val="1"/>
      <w:marLeft w:val="0"/>
      <w:marRight w:val="0"/>
      <w:marTop w:val="0"/>
      <w:marBottom w:val="0"/>
      <w:divBdr>
        <w:top w:val="none" w:sz="0" w:space="0" w:color="auto"/>
        <w:left w:val="none" w:sz="0" w:space="0" w:color="auto"/>
        <w:bottom w:val="none" w:sz="0" w:space="0" w:color="auto"/>
        <w:right w:val="none" w:sz="0" w:space="0" w:color="auto"/>
      </w:divBdr>
    </w:div>
    <w:div w:id="981695440">
      <w:bodyDiv w:val="1"/>
      <w:marLeft w:val="0"/>
      <w:marRight w:val="0"/>
      <w:marTop w:val="0"/>
      <w:marBottom w:val="0"/>
      <w:divBdr>
        <w:top w:val="none" w:sz="0" w:space="0" w:color="auto"/>
        <w:left w:val="none" w:sz="0" w:space="0" w:color="auto"/>
        <w:bottom w:val="none" w:sz="0" w:space="0" w:color="auto"/>
        <w:right w:val="none" w:sz="0" w:space="0" w:color="auto"/>
      </w:divBdr>
    </w:div>
    <w:div w:id="983891998">
      <w:bodyDiv w:val="1"/>
      <w:marLeft w:val="0"/>
      <w:marRight w:val="0"/>
      <w:marTop w:val="0"/>
      <w:marBottom w:val="0"/>
      <w:divBdr>
        <w:top w:val="none" w:sz="0" w:space="0" w:color="auto"/>
        <w:left w:val="none" w:sz="0" w:space="0" w:color="auto"/>
        <w:bottom w:val="none" w:sz="0" w:space="0" w:color="auto"/>
        <w:right w:val="none" w:sz="0" w:space="0" w:color="auto"/>
      </w:divBdr>
      <w:divsChild>
        <w:div w:id="793210851">
          <w:marLeft w:val="0"/>
          <w:marRight w:val="0"/>
          <w:marTop w:val="0"/>
          <w:marBottom w:val="0"/>
          <w:divBdr>
            <w:top w:val="none" w:sz="0" w:space="0" w:color="auto"/>
            <w:left w:val="none" w:sz="0" w:space="0" w:color="auto"/>
            <w:bottom w:val="none" w:sz="0" w:space="0" w:color="auto"/>
            <w:right w:val="none" w:sz="0" w:space="0" w:color="auto"/>
          </w:divBdr>
          <w:divsChild>
            <w:div w:id="2121683251">
              <w:marLeft w:val="0"/>
              <w:marRight w:val="0"/>
              <w:marTop w:val="0"/>
              <w:marBottom w:val="0"/>
              <w:divBdr>
                <w:top w:val="none" w:sz="0" w:space="0" w:color="auto"/>
                <w:left w:val="none" w:sz="0" w:space="0" w:color="auto"/>
                <w:bottom w:val="none" w:sz="0" w:space="0" w:color="auto"/>
                <w:right w:val="none" w:sz="0" w:space="0" w:color="auto"/>
              </w:divBdr>
            </w:div>
          </w:divsChild>
        </w:div>
        <w:div w:id="1476288940">
          <w:marLeft w:val="0"/>
          <w:marRight w:val="0"/>
          <w:marTop w:val="0"/>
          <w:marBottom w:val="0"/>
          <w:divBdr>
            <w:top w:val="none" w:sz="0" w:space="0" w:color="auto"/>
            <w:left w:val="none" w:sz="0" w:space="0" w:color="auto"/>
            <w:bottom w:val="none" w:sz="0" w:space="0" w:color="auto"/>
            <w:right w:val="none" w:sz="0" w:space="0" w:color="auto"/>
          </w:divBdr>
          <w:divsChild>
            <w:div w:id="15888837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991370400">
      <w:bodyDiv w:val="1"/>
      <w:marLeft w:val="0"/>
      <w:marRight w:val="0"/>
      <w:marTop w:val="0"/>
      <w:marBottom w:val="0"/>
      <w:divBdr>
        <w:top w:val="none" w:sz="0" w:space="0" w:color="auto"/>
        <w:left w:val="none" w:sz="0" w:space="0" w:color="auto"/>
        <w:bottom w:val="none" w:sz="0" w:space="0" w:color="auto"/>
        <w:right w:val="none" w:sz="0" w:space="0" w:color="auto"/>
      </w:divBdr>
    </w:div>
    <w:div w:id="1003706961">
      <w:bodyDiv w:val="1"/>
      <w:marLeft w:val="0"/>
      <w:marRight w:val="0"/>
      <w:marTop w:val="0"/>
      <w:marBottom w:val="0"/>
      <w:divBdr>
        <w:top w:val="none" w:sz="0" w:space="0" w:color="auto"/>
        <w:left w:val="none" w:sz="0" w:space="0" w:color="auto"/>
        <w:bottom w:val="none" w:sz="0" w:space="0" w:color="auto"/>
        <w:right w:val="none" w:sz="0" w:space="0" w:color="auto"/>
      </w:divBdr>
      <w:divsChild>
        <w:div w:id="1861312076">
          <w:marLeft w:val="0"/>
          <w:marRight w:val="0"/>
          <w:marTop w:val="0"/>
          <w:marBottom w:val="0"/>
          <w:divBdr>
            <w:top w:val="none" w:sz="0" w:space="0" w:color="auto"/>
            <w:left w:val="none" w:sz="0" w:space="0" w:color="auto"/>
            <w:bottom w:val="none" w:sz="0" w:space="0" w:color="auto"/>
            <w:right w:val="none" w:sz="0" w:space="0" w:color="auto"/>
          </w:divBdr>
        </w:div>
      </w:divsChild>
    </w:div>
    <w:div w:id="1014040807">
      <w:bodyDiv w:val="1"/>
      <w:marLeft w:val="0"/>
      <w:marRight w:val="0"/>
      <w:marTop w:val="0"/>
      <w:marBottom w:val="0"/>
      <w:divBdr>
        <w:top w:val="none" w:sz="0" w:space="0" w:color="auto"/>
        <w:left w:val="none" w:sz="0" w:space="0" w:color="auto"/>
        <w:bottom w:val="none" w:sz="0" w:space="0" w:color="auto"/>
        <w:right w:val="none" w:sz="0" w:space="0" w:color="auto"/>
      </w:divBdr>
      <w:divsChild>
        <w:div w:id="1351057308">
          <w:marLeft w:val="0"/>
          <w:marRight w:val="0"/>
          <w:marTop w:val="0"/>
          <w:marBottom w:val="0"/>
          <w:divBdr>
            <w:top w:val="none" w:sz="0" w:space="0" w:color="auto"/>
            <w:left w:val="none" w:sz="0" w:space="0" w:color="auto"/>
            <w:bottom w:val="none" w:sz="0" w:space="0" w:color="auto"/>
            <w:right w:val="none" w:sz="0" w:space="0" w:color="auto"/>
          </w:divBdr>
        </w:div>
      </w:divsChild>
    </w:div>
    <w:div w:id="1016268784">
      <w:bodyDiv w:val="1"/>
      <w:marLeft w:val="0"/>
      <w:marRight w:val="0"/>
      <w:marTop w:val="0"/>
      <w:marBottom w:val="0"/>
      <w:divBdr>
        <w:top w:val="none" w:sz="0" w:space="0" w:color="auto"/>
        <w:left w:val="none" w:sz="0" w:space="0" w:color="auto"/>
        <w:bottom w:val="none" w:sz="0" w:space="0" w:color="auto"/>
        <w:right w:val="none" w:sz="0" w:space="0" w:color="auto"/>
      </w:divBdr>
    </w:div>
    <w:div w:id="1020282474">
      <w:bodyDiv w:val="1"/>
      <w:marLeft w:val="0"/>
      <w:marRight w:val="0"/>
      <w:marTop w:val="0"/>
      <w:marBottom w:val="0"/>
      <w:divBdr>
        <w:top w:val="none" w:sz="0" w:space="0" w:color="auto"/>
        <w:left w:val="none" w:sz="0" w:space="0" w:color="auto"/>
        <w:bottom w:val="none" w:sz="0" w:space="0" w:color="auto"/>
        <w:right w:val="none" w:sz="0" w:space="0" w:color="auto"/>
      </w:divBdr>
    </w:div>
    <w:div w:id="1023214644">
      <w:bodyDiv w:val="1"/>
      <w:marLeft w:val="0"/>
      <w:marRight w:val="0"/>
      <w:marTop w:val="0"/>
      <w:marBottom w:val="0"/>
      <w:divBdr>
        <w:top w:val="none" w:sz="0" w:space="0" w:color="auto"/>
        <w:left w:val="none" w:sz="0" w:space="0" w:color="auto"/>
        <w:bottom w:val="none" w:sz="0" w:space="0" w:color="auto"/>
        <w:right w:val="none" w:sz="0" w:space="0" w:color="auto"/>
      </w:divBdr>
    </w:div>
    <w:div w:id="1026520175">
      <w:bodyDiv w:val="1"/>
      <w:marLeft w:val="0"/>
      <w:marRight w:val="0"/>
      <w:marTop w:val="0"/>
      <w:marBottom w:val="0"/>
      <w:divBdr>
        <w:top w:val="none" w:sz="0" w:space="0" w:color="auto"/>
        <w:left w:val="none" w:sz="0" w:space="0" w:color="auto"/>
        <w:bottom w:val="none" w:sz="0" w:space="0" w:color="auto"/>
        <w:right w:val="none" w:sz="0" w:space="0" w:color="auto"/>
      </w:divBdr>
    </w:div>
    <w:div w:id="1028599820">
      <w:bodyDiv w:val="1"/>
      <w:marLeft w:val="0"/>
      <w:marRight w:val="0"/>
      <w:marTop w:val="0"/>
      <w:marBottom w:val="0"/>
      <w:divBdr>
        <w:top w:val="none" w:sz="0" w:space="0" w:color="auto"/>
        <w:left w:val="none" w:sz="0" w:space="0" w:color="auto"/>
        <w:bottom w:val="none" w:sz="0" w:space="0" w:color="auto"/>
        <w:right w:val="none" w:sz="0" w:space="0" w:color="auto"/>
      </w:divBdr>
    </w:div>
    <w:div w:id="1029334633">
      <w:bodyDiv w:val="1"/>
      <w:marLeft w:val="0"/>
      <w:marRight w:val="0"/>
      <w:marTop w:val="0"/>
      <w:marBottom w:val="0"/>
      <w:divBdr>
        <w:top w:val="none" w:sz="0" w:space="0" w:color="auto"/>
        <w:left w:val="none" w:sz="0" w:space="0" w:color="auto"/>
        <w:bottom w:val="none" w:sz="0" w:space="0" w:color="auto"/>
        <w:right w:val="none" w:sz="0" w:space="0" w:color="auto"/>
      </w:divBdr>
    </w:div>
    <w:div w:id="1050423179">
      <w:bodyDiv w:val="1"/>
      <w:marLeft w:val="0"/>
      <w:marRight w:val="0"/>
      <w:marTop w:val="0"/>
      <w:marBottom w:val="0"/>
      <w:divBdr>
        <w:top w:val="none" w:sz="0" w:space="0" w:color="auto"/>
        <w:left w:val="none" w:sz="0" w:space="0" w:color="auto"/>
        <w:bottom w:val="none" w:sz="0" w:space="0" w:color="auto"/>
        <w:right w:val="none" w:sz="0" w:space="0" w:color="auto"/>
      </w:divBdr>
    </w:div>
    <w:div w:id="1058210473">
      <w:bodyDiv w:val="1"/>
      <w:marLeft w:val="0"/>
      <w:marRight w:val="0"/>
      <w:marTop w:val="0"/>
      <w:marBottom w:val="0"/>
      <w:divBdr>
        <w:top w:val="none" w:sz="0" w:space="0" w:color="auto"/>
        <w:left w:val="none" w:sz="0" w:space="0" w:color="auto"/>
        <w:bottom w:val="none" w:sz="0" w:space="0" w:color="auto"/>
        <w:right w:val="none" w:sz="0" w:space="0" w:color="auto"/>
      </w:divBdr>
    </w:div>
    <w:div w:id="1061637460">
      <w:bodyDiv w:val="1"/>
      <w:marLeft w:val="0"/>
      <w:marRight w:val="0"/>
      <w:marTop w:val="0"/>
      <w:marBottom w:val="0"/>
      <w:divBdr>
        <w:top w:val="none" w:sz="0" w:space="0" w:color="auto"/>
        <w:left w:val="none" w:sz="0" w:space="0" w:color="auto"/>
        <w:bottom w:val="none" w:sz="0" w:space="0" w:color="auto"/>
        <w:right w:val="none" w:sz="0" w:space="0" w:color="auto"/>
      </w:divBdr>
    </w:div>
    <w:div w:id="1066144167">
      <w:bodyDiv w:val="1"/>
      <w:marLeft w:val="0"/>
      <w:marRight w:val="0"/>
      <w:marTop w:val="0"/>
      <w:marBottom w:val="0"/>
      <w:divBdr>
        <w:top w:val="none" w:sz="0" w:space="0" w:color="auto"/>
        <w:left w:val="none" w:sz="0" w:space="0" w:color="auto"/>
        <w:bottom w:val="none" w:sz="0" w:space="0" w:color="auto"/>
        <w:right w:val="none" w:sz="0" w:space="0" w:color="auto"/>
      </w:divBdr>
    </w:div>
    <w:div w:id="1076322591">
      <w:bodyDiv w:val="1"/>
      <w:marLeft w:val="0"/>
      <w:marRight w:val="0"/>
      <w:marTop w:val="0"/>
      <w:marBottom w:val="0"/>
      <w:divBdr>
        <w:top w:val="none" w:sz="0" w:space="0" w:color="auto"/>
        <w:left w:val="none" w:sz="0" w:space="0" w:color="auto"/>
        <w:bottom w:val="none" w:sz="0" w:space="0" w:color="auto"/>
        <w:right w:val="none" w:sz="0" w:space="0" w:color="auto"/>
      </w:divBdr>
    </w:div>
    <w:div w:id="1098793828">
      <w:bodyDiv w:val="1"/>
      <w:marLeft w:val="0"/>
      <w:marRight w:val="0"/>
      <w:marTop w:val="0"/>
      <w:marBottom w:val="0"/>
      <w:divBdr>
        <w:top w:val="none" w:sz="0" w:space="0" w:color="auto"/>
        <w:left w:val="none" w:sz="0" w:space="0" w:color="auto"/>
        <w:bottom w:val="none" w:sz="0" w:space="0" w:color="auto"/>
        <w:right w:val="none" w:sz="0" w:space="0" w:color="auto"/>
      </w:divBdr>
    </w:div>
    <w:div w:id="1104302252">
      <w:bodyDiv w:val="1"/>
      <w:marLeft w:val="0"/>
      <w:marRight w:val="0"/>
      <w:marTop w:val="0"/>
      <w:marBottom w:val="0"/>
      <w:divBdr>
        <w:top w:val="none" w:sz="0" w:space="0" w:color="auto"/>
        <w:left w:val="none" w:sz="0" w:space="0" w:color="auto"/>
        <w:bottom w:val="none" w:sz="0" w:space="0" w:color="auto"/>
        <w:right w:val="none" w:sz="0" w:space="0" w:color="auto"/>
      </w:divBdr>
    </w:div>
    <w:div w:id="1118991986">
      <w:bodyDiv w:val="1"/>
      <w:marLeft w:val="0"/>
      <w:marRight w:val="0"/>
      <w:marTop w:val="0"/>
      <w:marBottom w:val="0"/>
      <w:divBdr>
        <w:top w:val="none" w:sz="0" w:space="0" w:color="auto"/>
        <w:left w:val="none" w:sz="0" w:space="0" w:color="auto"/>
        <w:bottom w:val="none" w:sz="0" w:space="0" w:color="auto"/>
        <w:right w:val="none" w:sz="0" w:space="0" w:color="auto"/>
      </w:divBdr>
    </w:div>
    <w:div w:id="1135172905">
      <w:bodyDiv w:val="1"/>
      <w:marLeft w:val="0"/>
      <w:marRight w:val="0"/>
      <w:marTop w:val="0"/>
      <w:marBottom w:val="0"/>
      <w:divBdr>
        <w:top w:val="none" w:sz="0" w:space="0" w:color="auto"/>
        <w:left w:val="none" w:sz="0" w:space="0" w:color="auto"/>
        <w:bottom w:val="none" w:sz="0" w:space="0" w:color="auto"/>
        <w:right w:val="none" w:sz="0" w:space="0" w:color="auto"/>
      </w:divBdr>
    </w:div>
    <w:div w:id="1136948300">
      <w:bodyDiv w:val="1"/>
      <w:marLeft w:val="0"/>
      <w:marRight w:val="0"/>
      <w:marTop w:val="0"/>
      <w:marBottom w:val="0"/>
      <w:divBdr>
        <w:top w:val="none" w:sz="0" w:space="0" w:color="auto"/>
        <w:left w:val="none" w:sz="0" w:space="0" w:color="auto"/>
        <w:bottom w:val="none" w:sz="0" w:space="0" w:color="auto"/>
        <w:right w:val="none" w:sz="0" w:space="0" w:color="auto"/>
      </w:divBdr>
    </w:div>
    <w:div w:id="1139612338">
      <w:bodyDiv w:val="1"/>
      <w:marLeft w:val="0"/>
      <w:marRight w:val="0"/>
      <w:marTop w:val="0"/>
      <w:marBottom w:val="0"/>
      <w:divBdr>
        <w:top w:val="none" w:sz="0" w:space="0" w:color="auto"/>
        <w:left w:val="none" w:sz="0" w:space="0" w:color="auto"/>
        <w:bottom w:val="none" w:sz="0" w:space="0" w:color="auto"/>
        <w:right w:val="none" w:sz="0" w:space="0" w:color="auto"/>
      </w:divBdr>
    </w:div>
    <w:div w:id="1143541923">
      <w:bodyDiv w:val="1"/>
      <w:marLeft w:val="0"/>
      <w:marRight w:val="0"/>
      <w:marTop w:val="0"/>
      <w:marBottom w:val="0"/>
      <w:divBdr>
        <w:top w:val="none" w:sz="0" w:space="0" w:color="auto"/>
        <w:left w:val="none" w:sz="0" w:space="0" w:color="auto"/>
        <w:bottom w:val="none" w:sz="0" w:space="0" w:color="auto"/>
        <w:right w:val="none" w:sz="0" w:space="0" w:color="auto"/>
      </w:divBdr>
    </w:div>
    <w:div w:id="1152134297">
      <w:bodyDiv w:val="1"/>
      <w:marLeft w:val="0"/>
      <w:marRight w:val="0"/>
      <w:marTop w:val="0"/>
      <w:marBottom w:val="0"/>
      <w:divBdr>
        <w:top w:val="none" w:sz="0" w:space="0" w:color="auto"/>
        <w:left w:val="none" w:sz="0" w:space="0" w:color="auto"/>
        <w:bottom w:val="none" w:sz="0" w:space="0" w:color="auto"/>
        <w:right w:val="none" w:sz="0" w:space="0" w:color="auto"/>
      </w:divBdr>
    </w:div>
    <w:div w:id="1164668274">
      <w:bodyDiv w:val="1"/>
      <w:marLeft w:val="0"/>
      <w:marRight w:val="0"/>
      <w:marTop w:val="0"/>
      <w:marBottom w:val="0"/>
      <w:divBdr>
        <w:top w:val="none" w:sz="0" w:space="0" w:color="auto"/>
        <w:left w:val="none" w:sz="0" w:space="0" w:color="auto"/>
        <w:bottom w:val="none" w:sz="0" w:space="0" w:color="auto"/>
        <w:right w:val="none" w:sz="0" w:space="0" w:color="auto"/>
      </w:divBdr>
    </w:div>
    <w:div w:id="1176729999">
      <w:bodyDiv w:val="1"/>
      <w:marLeft w:val="0"/>
      <w:marRight w:val="0"/>
      <w:marTop w:val="0"/>
      <w:marBottom w:val="0"/>
      <w:divBdr>
        <w:top w:val="none" w:sz="0" w:space="0" w:color="auto"/>
        <w:left w:val="none" w:sz="0" w:space="0" w:color="auto"/>
        <w:bottom w:val="none" w:sz="0" w:space="0" w:color="auto"/>
        <w:right w:val="none" w:sz="0" w:space="0" w:color="auto"/>
      </w:divBdr>
    </w:div>
    <w:div w:id="1207717050">
      <w:bodyDiv w:val="1"/>
      <w:marLeft w:val="0"/>
      <w:marRight w:val="0"/>
      <w:marTop w:val="0"/>
      <w:marBottom w:val="0"/>
      <w:divBdr>
        <w:top w:val="none" w:sz="0" w:space="0" w:color="auto"/>
        <w:left w:val="none" w:sz="0" w:space="0" w:color="auto"/>
        <w:bottom w:val="none" w:sz="0" w:space="0" w:color="auto"/>
        <w:right w:val="none" w:sz="0" w:space="0" w:color="auto"/>
      </w:divBdr>
    </w:div>
    <w:div w:id="1208027168">
      <w:bodyDiv w:val="1"/>
      <w:marLeft w:val="0"/>
      <w:marRight w:val="0"/>
      <w:marTop w:val="0"/>
      <w:marBottom w:val="0"/>
      <w:divBdr>
        <w:top w:val="none" w:sz="0" w:space="0" w:color="auto"/>
        <w:left w:val="none" w:sz="0" w:space="0" w:color="auto"/>
        <w:bottom w:val="none" w:sz="0" w:space="0" w:color="auto"/>
        <w:right w:val="none" w:sz="0" w:space="0" w:color="auto"/>
      </w:divBdr>
      <w:divsChild>
        <w:div w:id="113911880">
          <w:marLeft w:val="0"/>
          <w:marRight w:val="0"/>
          <w:marTop w:val="0"/>
          <w:marBottom w:val="0"/>
          <w:divBdr>
            <w:top w:val="none" w:sz="0" w:space="0" w:color="auto"/>
            <w:left w:val="none" w:sz="0" w:space="0" w:color="auto"/>
            <w:bottom w:val="none" w:sz="0" w:space="0" w:color="auto"/>
            <w:right w:val="none" w:sz="0" w:space="0" w:color="auto"/>
          </w:divBdr>
        </w:div>
        <w:div w:id="1826315292">
          <w:marLeft w:val="0"/>
          <w:marRight w:val="0"/>
          <w:marTop w:val="0"/>
          <w:marBottom w:val="0"/>
          <w:divBdr>
            <w:top w:val="none" w:sz="0" w:space="0" w:color="auto"/>
            <w:left w:val="none" w:sz="0" w:space="0" w:color="auto"/>
            <w:bottom w:val="none" w:sz="0" w:space="0" w:color="auto"/>
            <w:right w:val="none" w:sz="0" w:space="0" w:color="auto"/>
          </w:divBdr>
        </w:div>
      </w:divsChild>
    </w:div>
    <w:div w:id="1213808828">
      <w:bodyDiv w:val="1"/>
      <w:marLeft w:val="0"/>
      <w:marRight w:val="0"/>
      <w:marTop w:val="0"/>
      <w:marBottom w:val="0"/>
      <w:divBdr>
        <w:top w:val="none" w:sz="0" w:space="0" w:color="auto"/>
        <w:left w:val="none" w:sz="0" w:space="0" w:color="auto"/>
        <w:bottom w:val="none" w:sz="0" w:space="0" w:color="auto"/>
        <w:right w:val="none" w:sz="0" w:space="0" w:color="auto"/>
      </w:divBdr>
    </w:div>
    <w:div w:id="1228110624">
      <w:bodyDiv w:val="1"/>
      <w:marLeft w:val="0"/>
      <w:marRight w:val="0"/>
      <w:marTop w:val="0"/>
      <w:marBottom w:val="0"/>
      <w:divBdr>
        <w:top w:val="none" w:sz="0" w:space="0" w:color="auto"/>
        <w:left w:val="none" w:sz="0" w:space="0" w:color="auto"/>
        <w:bottom w:val="none" w:sz="0" w:space="0" w:color="auto"/>
        <w:right w:val="none" w:sz="0" w:space="0" w:color="auto"/>
      </w:divBdr>
    </w:div>
    <w:div w:id="1239708511">
      <w:bodyDiv w:val="1"/>
      <w:marLeft w:val="0"/>
      <w:marRight w:val="0"/>
      <w:marTop w:val="0"/>
      <w:marBottom w:val="0"/>
      <w:divBdr>
        <w:top w:val="none" w:sz="0" w:space="0" w:color="auto"/>
        <w:left w:val="none" w:sz="0" w:space="0" w:color="auto"/>
        <w:bottom w:val="none" w:sz="0" w:space="0" w:color="auto"/>
        <w:right w:val="none" w:sz="0" w:space="0" w:color="auto"/>
      </w:divBdr>
    </w:div>
    <w:div w:id="1241789888">
      <w:bodyDiv w:val="1"/>
      <w:marLeft w:val="0"/>
      <w:marRight w:val="0"/>
      <w:marTop w:val="0"/>
      <w:marBottom w:val="0"/>
      <w:divBdr>
        <w:top w:val="none" w:sz="0" w:space="0" w:color="auto"/>
        <w:left w:val="none" w:sz="0" w:space="0" w:color="auto"/>
        <w:bottom w:val="none" w:sz="0" w:space="0" w:color="auto"/>
        <w:right w:val="none" w:sz="0" w:space="0" w:color="auto"/>
      </w:divBdr>
    </w:div>
    <w:div w:id="1246259835">
      <w:bodyDiv w:val="1"/>
      <w:marLeft w:val="0"/>
      <w:marRight w:val="0"/>
      <w:marTop w:val="0"/>
      <w:marBottom w:val="0"/>
      <w:divBdr>
        <w:top w:val="none" w:sz="0" w:space="0" w:color="auto"/>
        <w:left w:val="none" w:sz="0" w:space="0" w:color="auto"/>
        <w:bottom w:val="none" w:sz="0" w:space="0" w:color="auto"/>
        <w:right w:val="none" w:sz="0" w:space="0" w:color="auto"/>
      </w:divBdr>
    </w:div>
    <w:div w:id="1269048678">
      <w:bodyDiv w:val="1"/>
      <w:marLeft w:val="0"/>
      <w:marRight w:val="0"/>
      <w:marTop w:val="0"/>
      <w:marBottom w:val="0"/>
      <w:divBdr>
        <w:top w:val="none" w:sz="0" w:space="0" w:color="auto"/>
        <w:left w:val="none" w:sz="0" w:space="0" w:color="auto"/>
        <w:bottom w:val="none" w:sz="0" w:space="0" w:color="auto"/>
        <w:right w:val="none" w:sz="0" w:space="0" w:color="auto"/>
      </w:divBdr>
    </w:div>
    <w:div w:id="1290475599">
      <w:bodyDiv w:val="1"/>
      <w:marLeft w:val="0"/>
      <w:marRight w:val="0"/>
      <w:marTop w:val="0"/>
      <w:marBottom w:val="0"/>
      <w:divBdr>
        <w:top w:val="none" w:sz="0" w:space="0" w:color="auto"/>
        <w:left w:val="none" w:sz="0" w:space="0" w:color="auto"/>
        <w:bottom w:val="none" w:sz="0" w:space="0" w:color="auto"/>
        <w:right w:val="none" w:sz="0" w:space="0" w:color="auto"/>
      </w:divBdr>
    </w:div>
    <w:div w:id="1292587594">
      <w:bodyDiv w:val="1"/>
      <w:marLeft w:val="0"/>
      <w:marRight w:val="0"/>
      <w:marTop w:val="0"/>
      <w:marBottom w:val="0"/>
      <w:divBdr>
        <w:top w:val="none" w:sz="0" w:space="0" w:color="auto"/>
        <w:left w:val="none" w:sz="0" w:space="0" w:color="auto"/>
        <w:bottom w:val="none" w:sz="0" w:space="0" w:color="auto"/>
        <w:right w:val="none" w:sz="0" w:space="0" w:color="auto"/>
      </w:divBdr>
    </w:div>
    <w:div w:id="1307469348">
      <w:bodyDiv w:val="1"/>
      <w:marLeft w:val="0"/>
      <w:marRight w:val="0"/>
      <w:marTop w:val="0"/>
      <w:marBottom w:val="0"/>
      <w:divBdr>
        <w:top w:val="none" w:sz="0" w:space="0" w:color="auto"/>
        <w:left w:val="none" w:sz="0" w:space="0" w:color="auto"/>
        <w:bottom w:val="none" w:sz="0" w:space="0" w:color="auto"/>
        <w:right w:val="none" w:sz="0" w:space="0" w:color="auto"/>
      </w:divBdr>
    </w:div>
    <w:div w:id="1312632130">
      <w:bodyDiv w:val="1"/>
      <w:marLeft w:val="0"/>
      <w:marRight w:val="0"/>
      <w:marTop w:val="0"/>
      <w:marBottom w:val="0"/>
      <w:divBdr>
        <w:top w:val="none" w:sz="0" w:space="0" w:color="auto"/>
        <w:left w:val="none" w:sz="0" w:space="0" w:color="auto"/>
        <w:bottom w:val="none" w:sz="0" w:space="0" w:color="auto"/>
        <w:right w:val="none" w:sz="0" w:space="0" w:color="auto"/>
      </w:divBdr>
    </w:div>
    <w:div w:id="1322779216">
      <w:bodyDiv w:val="1"/>
      <w:marLeft w:val="0"/>
      <w:marRight w:val="0"/>
      <w:marTop w:val="0"/>
      <w:marBottom w:val="0"/>
      <w:divBdr>
        <w:top w:val="none" w:sz="0" w:space="0" w:color="auto"/>
        <w:left w:val="none" w:sz="0" w:space="0" w:color="auto"/>
        <w:bottom w:val="none" w:sz="0" w:space="0" w:color="auto"/>
        <w:right w:val="none" w:sz="0" w:space="0" w:color="auto"/>
      </w:divBdr>
    </w:div>
    <w:div w:id="1325670418">
      <w:bodyDiv w:val="1"/>
      <w:marLeft w:val="0"/>
      <w:marRight w:val="0"/>
      <w:marTop w:val="0"/>
      <w:marBottom w:val="0"/>
      <w:divBdr>
        <w:top w:val="none" w:sz="0" w:space="0" w:color="auto"/>
        <w:left w:val="none" w:sz="0" w:space="0" w:color="auto"/>
        <w:bottom w:val="none" w:sz="0" w:space="0" w:color="auto"/>
        <w:right w:val="none" w:sz="0" w:space="0" w:color="auto"/>
      </w:divBdr>
    </w:div>
    <w:div w:id="1331371223">
      <w:bodyDiv w:val="1"/>
      <w:marLeft w:val="0"/>
      <w:marRight w:val="0"/>
      <w:marTop w:val="0"/>
      <w:marBottom w:val="0"/>
      <w:divBdr>
        <w:top w:val="none" w:sz="0" w:space="0" w:color="auto"/>
        <w:left w:val="none" w:sz="0" w:space="0" w:color="auto"/>
        <w:bottom w:val="none" w:sz="0" w:space="0" w:color="auto"/>
        <w:right w:val="none" w:sz="0" w:space="0" w:color="auto"/>
      </w:divBdr>
    </w:div>
    <w:div w:id="1340695023">
      <w:bodyDiv w:val="1"/>
      <w:marLeft w:val="0"/>
      <w:marRight w:val="0"/>
      <w:marTop w:val="0"/>
      <w:marBottom w:val="0"/>
      <w:divBdr>
        <w:top w:val="none" w:sz="0" w:space="0" w:color="auto"/>
        <w:left w:val="none" w:sz="0" w:space="0" w:color="auto"/>
        <w:bottom w:val="none" w:sz="0" w:space="0" w:color="auto"/>
        <w:right w:val="none" w:sz="0" w:space="0" w:color="auto"/>
      </w:divBdr>
    </w:div>
    <w:div w:id="1406297730">
      <w:bodyDiv w:val="1"/>
      <w:marLeft w:val="0"/>
      <w:marRight w:val="0"/>
      <w:marTop w:val="0"/>
      <w:marBottom w:val="0"/>
      <w:divBdr>
        <w:top w:val="none" w:sz="0" w:space="0" w:color="auto"/>
        <w:left w:val="none" w:sz="0" w:space="0" w:color="auto"/>
        <w:bottom w:val="none" w:sz="0" w:space="0" w:color="auto"/>
        <w:right w:val="none" w:sz="0" w:space="0" w:color="auto"/>
      </w:divBdr>
    </w:div>
    <w:div w:id="1407459503">
      <w:bodyDiv w:val="1"/>
      <w:marLeft w:val="0"/>
      <w:marRight w:val="0"/>
      <w:marTop w:val="0"/>
      <w:marBottom w:val="0"/>
      <w:divBdr>
        <w:top w:val="none" w:sz="0" w:space="0" w:color="auto"/>
        <w:left w:val="none" w:sz="0" w:space="0" w:color="auto"/>
        <w:bottom w:val="none" w:sz="0" w:space="0" w:color="auto"/>
        <w:right w:val="none" w:sz="0" w:space="0" w:color="auto"/>
      </w:divBdr>
      <w:divsChild>
        <w:div w:id="1023214948">
          <w:marLeft w:val="0"/>
          <w:marRight w:val="0"/>
          <w:marTop w:val="0"/>
          <w:marBottom w:val="0"/>
          <w:divBdr>
            <w:top w:val="none" w:sz="0" w:space="0" w:color="auto"/>
            <w:left w:val="none" w:sz="0" w:space="0" w:color="auto"/>
            <w:bottom w:val="none" w:sz="0" w:space="0" w:color="auto"/>
            <w:right w:val="none" w:sz="0" w:space="0" w:color="auto"/>
          </w:divBdr>
        </w:div>
        <w:div w:id="1952004518">
          <w:marLeft w:val="0"/>
          <w:marRight w:val="0"/>
          <w:marTop w:val="0"/>
          <w:marBottom w:val="0"/>
          <w:divBdr>
            <w:top w:val="none" w:sz="0" w:space="0" w:color="auto"/>
            <w:left w:val="none" w:sz="0" w:space="0" w:color="auto"/>
            <w:bottom w:val="none" w:sz="0" w:space="0" w:color="auto"/>
            <w:right w:val="none" w:sz="0" w:space="0" w:color="auto"/>
          </w:divBdr>
        </w:div>
      </w:divsChild>
    </w:div>
    <w:div w:id="1409961540">
      <w:bodyDiv w:val="1"/>
      <w:marLeft w:val="0"/>
      <w:marRight w:val="0"/>
      <w:marTop w:val="0"/>
      <w:marBottom w:val="0"/>
      <w:divBdr>
        <w:top w:val="none" w:sz="0" w:space="0" w:color="auto"/>
        <w:left w:val="none" w:sz="0" w:space="0" w:color="auto"/>
        <w:bottom w:val="none" w:sz="0" w:space="0" w:color="auto"/>
        <w:right w:val="none" w:sz="0" w:space="0" w:color="auto"/>
      </w:divBdr>
    </w:div>
    <w:div w:id="1417091879">
      <w:bodyDiv w:val="1"/>
      <w:marLeft w:val="0"/>
      <w:marRight w:val="0"/>
      <w:marTop w:val="0"/>
      <w:marBottom w:val="0"/>
      <w:divBdr>
        <w:top w:val="none" w:sz="0" w:space="0" w:color="auto"/>
        <w:left w:val="none" w:sz="0" w:space="0" w:color="auto"/>
        <w:bottom w:val="none" w:sz="0" w:space="0" w:color="auto"/>
        <w:right w:val="none" w:sz="0" w:space="0" w:color="auto"/>
      </w:divBdr>
    </w:div>
    <w:div w:id="1421177394">
      <w:bodyDiv w:val="1"/>
      <w:marLeft w:val="0"/>
      <w:marRight w:val="0"/>
      <w:marTop w:val="0"/>
      <w:marBottom w:val="0"/>
      <w:divBdr>
        <w:top w:val="none" w:sz="0" w:space="0" w:color="auto"/>
        <w:left w:val="none" w:sz="0" w:space="0" w:color="auto"/>
        <w:bottom w:val="none" w:sz="0" w:space="0" w:color="auto"/>
        <w:right w:val="none" w:sz="0" w:space="0" w:color="auto"/>
      </w:divBdr>
    </w:div>
    <w:div w:id="1435515627">
      <w:bodyDiv w:val="1"/>
      <w:marLeft w:val="0"/>
      <w:marRight w:val="0"/>
      <w:marTop w:val="0"/>
      <w:marBottom w:val="0"/>
      <w:divBdr>
        <w:top w:val="none" w:sz="0" w:space="0" w:color="auto"/>
        <w:left w:val="none" w:sz="0" w:space="0" w:color="auto"/>
        <w:bottom w:val="none" w:sz="0" w:space="0" w:color="auto"/>
        <w:right w:val="none" w:sz="0" w:space="0" w:color="auto"/>
      </w:divBdr>
    </w:div>
    <w:div w:id="1440028165">
      <w:bodyDiv w:val="1"/>
      <w:marLeft w:val="0"/>
      <w:marRight w:val="0"/>
      <w:marTop w:val="0"/>
      <w:marBottom w:val="0"/>
      <w:divBdr>
        <w:top w:val="none" w:sz="0" w:space="0" w:color="auto"/>
        <w:left w:val="none" w:sz="0" w:space="0" w:color="auto"/>
        <w:bottom w:val="none" w:sz="0" w:space="0" w:color="auto"/>
        <w:right w:val="none" w:sz="0" w:space="0" w:color="auto"/>
      </w:divBdr>
    </w:div>
    <w:div w:id="1450050472">
      <w:bodyDiv w:val="1"/>
      <w:marLeft w:val="0"/>
      <w:marRight w:val="0"/>
      <w:marTop w:val="0"/>
      <w:marBottom w:val="0"/>
      <w:divBdr>
        <w:top w:val="none" w:sz="0" w:space="0" w:color="auto"/>
        <w:left w:val="none" w:sz="0" w:space="0" w:color="auto"/>
        <w:bottom w:val="none" w:sz="0" w:space="0" w:color="auto"/>
        <w:right w:val="none" w:sz="0" w:space="0" w:color="auto"/>
      </w:divBdr>
    </w:div>
    <w:div w:id="1451588836">
      <w:bodyDiv w:val="1"/>
      <w:marLeft w:val="0"/>
      <w:marRight w:val="0"/>
      <w:marTop w:val="0"/>
      <w:marBottom w:val="0"/>
      <w:divBdr>
        <w:top w:val="none" w:sz="0" w:space="0" w:color="auto"/>
        <w:left w:val="none" w:sz="0" w:space="0" w:color="auto"/>
        <w:bottom w:val="none" w:sz="0" w:space="0" w:color="auto"/>
        <w:right w:val="none" w:sz="0" w:space="0" w:color="auto"/>
      </w:divBdr>
    </w:div>
    <w:div w:id="1472820310">
      <w:bodyDiv w:val="1"/>
      <w:marLeft w:val="0"/>
      <w:marRight w:val="0"/>
      <w:marTop w:val="0"/>
      <w:marBottom w:val="0"/>
      <w:divBdr>
        <w:top w:val="none" w:sz="0" w:space="0" w:color="auto"/>
        <w:left w:val="none" w:sz="0" w:space="0" w:color="auto"/>
        <w:bottom w:val="none" w:sz="0" w:space="0" w:color="auto"/>
        <w:right w:val="none" w:sz="0" w:space="0" w:color="auto"/>
      </w:divBdr>
    </w:div>
    <w:div w:id="1480263380">
      <w:bodyDiv w:val="1"/>
      <w:marLeft w:val="0"/>
      <w:marRight w:val="0"/>
      <w:marTop w:val="0"/>
      <w:marBottom w:val="0"/>
      <w:divBdr>
        <w:top w:val="none" w:sz="0" w:space="0" w:color="auto"/>
        <w:left w:val="none" w:sz="0" w:space="0" w:color="auto"/>
        <w:bottom w:val="none" w:sz="0" w:space="0" w:color="auto"/>
        <w:right w:val="none" w:sz="0" w:space="0" w:color="auto"/>
      </w:divBdr>
    </w:div>
    <w:div w:id="1490831413">
      <w:bodyDiv w:val="1"/>
      <w:marLeft w:val="0"/>
      <w:marRight w:val="0"/>
      <w:marTop w:val="0"/>
      <w:marBottom w:val="0"/>
      <w:divBdr>
        <w:top w:val="none" w:sz="0" w:space="0" w:color="auto"/>
        <w:left w:val="none" w:sz="0" w:space="0" w:color="auto"/>
        <w:bottom w:val="none" w:sz="0" w:space="0" w:color="auto"/>
        <w:right w:val="none" w:sz="0" w:space="0" w:color="auto"/>
      </w:divBdr>
    </w:div>
    <w:div w:id="1506172007">
      <w:bodyDiv w:val="1"/>
      <w:marLeft w:val="0"/>
      <w:marRight w:val="0"/>
      <w:marTop w:val="0"/>
      <w:marBottom w:val="0"/>
      <w:divBdr>
        <w:top w:val="none" w:sz="0" w:space="0" w:color="auto"/>
        <w:left w:val="none" w:sz="0" w:space="0" w:color="auto"/>
        <w:bottom w:val="none" w:sz="0" w:space="0" w:color="auto"/>
        <w:right w:val="none" w:sz="0" w:space="0" w:color="auto"/>
      </w:divBdr>
      <w:divsChild>
        <w:div w:id="784424535">
          <w:marLeft w:val="0"/>
          <w:marRight w:val="0"/>
          <w:marTop w:val="0"/>
          <w:marBottom w:val="0"/>
          <w:divBdr>
            <w:top w:val="none" w:sz="0" w:space="0" w:color="auto"/>
            <w:left w:val="none" w:sz="0" w:space="0" w:color="auto"/>
            <w:bottom w:val="none" w:sz="0" w:space="0" w:color="auto"/>
            <w:right w:val="none" w:sz="0" w:space="0" w:color="auto"/>
          </w:divBdr>
        </w:div>
      </w:divsChild>
    </w:div>
    <w:div w:id="1522013720">
      <w:bodyDiv w:val="1"/>
      <w:marLeft w:val="0"/>
      <w:marRight w:val="0"/>
      <w:marTop w:val="0"/>
      <w:marBottom w:val="0"/>
      <w:divBdr>
        <w:top w:val="none" w:sz="0" w:space="0" w:color="auto"/>
        <w:left w:val="none" w:sz="0" w:space="0" w:color="auto"/>
        <w:bottom w:val="none" w:sz="0" w:space="0" w:color="auto"/>
        <w:right w:val="none" w:sz="0" w:space="0" w:color="auto"/>
      </w:divBdr>
    </w:div>
    <w:div w:id="1541479738">
      <w:bodyDiv w:val="1"/>
      <w:marLeft w:val="0"/>
      <w:marRight w:val="0"/>
      <w:marTop w:val="0"/>
      <w:marBottom w:val="0"/>
      <w:divBdr>
        <w:top w:val="none" w:sz="0" w:space="0" w:color="auto"/>
        <w:left w:val="none" w:sz="0" w:space="0" w:color="auto"/>
        <w:bottom w:val="none" w:sz="0" w:space="0" w:color="auto"/>
        <w:right w:val="none" w:sz="0" w:space="0" w:color="auto"/>
      </w:divBdr>
    </w:div>
    <w:div w:id="1543470919">
      <w:bodyDiv w:val="1"/>
      <w:marLeft w:val="0"/>
      <w:marRight w:val="0"/>
      <w:marTop w:val="0"/>
      <w:marBottom w:val="0"/>
      <w:divBdr>
        <w:top w:val="none" w:sz="0" w:space="0" w:color="auto"/>
        <w:left w:val="none" w:sz="0" w:space="0" w:color="auto"/>
        <w:bottom w:val="none" w:sz="0" w:space="0" w:color="auto"/>
        <w:right w:val="none" w:sz="0" w:space="0" w:color="auto"/>
      </w:divBdr>
    </w:div>
    <w:div w:id="1548758579">
      <w:bodyDiv w:val="1"/>
      <w:marLeft w:val="0"/>
      <w:marRight w:val="0"/>
      <w:marTop w:val="0"/>
      <w:marBottom w:val="0"/>
      <w:divBdr>
        <w:top w:val="none" w:sz="0" w:space="0" w:color="auto"/>
        <w:left w:val="none" w:sz="0" w:space="0" w:color="auto"/>
        <w:bottom w:val="none" w:sz="0" w:space="0" w:color="auto"/>
        <w:right w:val="none" w:sz="0" w:space="0" w:color="auto"/>
      </w:divBdr>
    </w:div>
    <w:div w:id="1569267827">
      <w:bodyDiv w:val="1"/>
      <w:marLeft w:val="0"/>
      <w:marRight w:val="0"/>
      <w:marTop w:val="0"/>
      <w:marBottom w:val="0"/>
      <w:divBdr>
        <w:top w:val="none" w:sz="0" w:space="0" w:color="auto"/>
        <w:left w:val="none" w:sz="0" w:space="0" w:color="auto"/>
        <w:bottom w:val="none" w:sz="0" w:space="0" w:color="auto"/>
        <w:right w:val="none" w:sz="0" w:space="0" w:color="auto"/>
      </w:divBdr>
    </w:div>
    <w:div w:id="1569614655">
      <w:bodyDiv w:val="1"/>
      <w:marLeft w:val="0"/>
      <w:marRight w:val="0"/>
      <w:marTop w:val="0"/>
      <w:marBottom w:val="0"/>
      <w:divBdr>
        <w:top w:val="none" w:sz="0" w:space="0" w:color="auto"/>
        <w:left w:val="none" w:sz="0" w:space="0" w:color="auto"/>
        <w:bottom w:val="none" w:sz="0" w:space="0" w:color="auto"/>
        <w:right w:val="none" w:sz="0" w:space="0" w:color="auto"/>
      </w:divBdr>
    </w:div>
    <w:div w:id="1594363694">
      <w:bodyDiv w:val="1"/>
      <w:marLeft w:val="0"/>
      <w:marRight w:val="0"/>
      <w:marTop w:val="0"/>
      <w:marBottom w:val="0"/>
      <w:divBdr>
        <w:top w:val="none" w:sz="0" w:space="0" w:color="auto"/>
        <w:left w:val="none" w:sz="0" w:space="0" w:color="auto"/>
        <w:bottom w:val="none" w:sz="0" w:space="0" w:color="auto"/>
        <w:right w:val="none" w:sz="0" w:space="0" w:color="auto"/>
      </w:divBdr>
    </w:div>
    <w:div w:id="1609771947">
      <w:bodyDiv w:val="1"/>
      <w:marLeft w:val="0"/>
      <w:marRight w:val="0"/>
      <w:marTop w:val="0"/>
      <w:marBottom w:val="0"/>
      <w:divBdr>
        <w:top w:val="none" w:sz="0" w:space="0" w:color="auto"/>
        <w:left w:val="none" w:sz="0" w:space="0" w:color="auto"/>
        <w:bottom w:val="none" w:sz="0" w:space="0" w:color="auto"/>
        <w:right w:val="none" w:sz="0" w:space="0" w:color="auto"/>
      </w:divBdr>
    </w:div>
    <w:div w:id="1640111751">
      <w:bodyDiv w:val="1"/>
      <w:marLeft w:val="0"/>
      <w:marRight w:val="0"/>
      <w:marTop w:val="0"/>
      <w:marBottom w:val="0"/>
      <w:divBdr>
        <w:top w:val="none" w:sz="0" w:space="0" w:color="auto"/>
        <w:left w:val="none" w:sz="0" w:space="0" w:color="auto"/>
        <w:bottom w:val="none" w:sz="0" w:space="0" w:color="auto"/>
        <w:right w:val="none" w:sz="0" w:space="0" w:color="auto"/>
      </w:divBdr>
    </w:div>
    <w:div w:id="1643347225">
      <w:bodyDiv w:val="1"/>
      <w:marLeft w:val="0"/>
      <w:marRight w:val="0"/>
      <w:marTop w:val="0"/>
      <w:marBottom w:val="0"/>
      <w:divBdr>
        <w:top w:val="none" w:sz="0" w:space="0" w:color="auto"/>
        <w:left w:val="none" w:sz="0" w:space="0" w:color="auto"/>
        <w:bottom w:val="none" w:sz="0" w:space="0" w:color="auto"/>
        <w:right w:val="none" w:sz="0" w:space="0" w:color="auto"/>
      </w:divBdr>
    </w:div>
    <w:div w:id="1646541204">
      <w:bodyDiv w:val="1"/>
      <w:marLeft w:val="0"/>
      <w:marRight w:val="0"/>
      <w:marTop w:val="0"/>
      <w:marBottom w:val="0"/>
      <w:divBdr>
        <w:top w:val="none" w:sz="0" w:space="0" w:color="auto"/>
        <w:left w:val="none" w:sz="0" w:space="0" w:color="auto"/>
        <w:bottom w:val="none" w:sz="0" w:space="0" w:color="auto"/>
        <w:right w:val="none" w:sz="0" w:space="0" w:color="auto"/>
      </w:divBdr>
    </w:div>
    <w:div w:id="1647315738">
      <w:bodyDiv w:val="1"/>
      <w:marLeft w:val="0"/>
      <w:marRight w:val="0"/>
      <w:marTop w:val="0"/>
      <w:marBottom w:val="0"/>
      <w:divBdr>
        <w:top w:val="none" w:sz="0" w:space="0" w:color="auto"/>
        <w:left w:val="none" w:sz="0" w:space="0" w:color="auto"/>
        <w:bottom w:val="none" w:sz="0" w:space="0" w:color="auto"/>
        <w:right w:val="none" w:sz="0" w:space="0" w:color="auto"/>
      </w:divBdr>
    </w:div>
    <w:div w:id="1655257412">
      <w:bodyDiv w:val="1"/>
      <w:marLeft w:val="0"/>
      <w:marRight w:val="0"/>
      <w:marTop w:val="0"/>
      <w:marBottom w:val="0"/>
      <w:divBdr>
        <w:top w:val="none" w:sz="0" w:space="0" w:color="auto"/>
        <w:left w:val="none" w:sz="0" w:space="0" w:color="auto"/>
        <w:bottom w:val="none" w:sz="0" w:space="0" w:color="auto"/>
        <w:right w:val="none" w:sz="0" w:space="0" w:color="auto"/>
      </w:divBdr>
    </w:div>
    <w:div w:id="1661155182">
      <w:bodyDiv w:val="1"/>
      <w:marLeft w:val="0"/>
      <w:marRight w:val="0"/>
      <w:marTop w:val="0"/>
      <w:marBottom w:val="0"/>
      <w:divBdr>
        <w:top w:val="none" w:sz="0" w:space="0" w:color="auto"/>
        <w:left w:val="none" w:sz="0" w:space="0" w:color="auto"/>
        <w:bottom w:val="none" w:sz="0" w:space="0" w:color="auto"/>
        <w:right w:val="none" w:sz="0" w:space="0" w:color="auto"/>
      </w:divBdr>
    </w:div>
    <w:div w:id="1672562236">
      <w:bodyDiv w:val="1"/>
      <w:marLeft w:val="0"/>
      <w:marRight w:val="0"/>
      <w:marTop w:val="0"/>
      <w:marBottom w:val="0"/>
      <w:divBdr>
        <w:top w:val="none" w:sz="0" w:space="0" w:color="auto"/>
        <w:left w:val="none" w:sz="0" w:space="0" w:color="auto"/>
        <w:bottom w:val="none" w:sz="0" w:space="0" w:color="auto"/>
        <w:right w:val="none" w:sz="0" w:space="0" w:color="auto"/>
      </w:divBdr>
    </w:div>
    <w:div w:id="1675499760">
      <w:bodyDiv w:val="1"/>
      <w:marLeft w:val="0"/>
      <w:marRight w:val="0"/>
      <w:marTop w:val="0"/>
      <w:marBottom w:val="0"/>
      <w:divBdr>
        <w:top w:val="none" w:sz="0" w:space="0" w:color="auto"/>
        <w:left w:val="none" w:sz="0" w:space="0" w:color="auto"/>
        <w:bottom w:val="none" w:sz="0" w:space="0" w:color="auto"/>
        <w:right w:val="none" w:sz="0" w:space="0" w:color="auto"/>
      </w:divBdr>
    </w:div>
    <w:div w:id="1692414977">
      <w:bodyDiv w:val="1"/>
      <w:marLeft w:val="0"/>
      <w:marRight w:val="0"/>
      <w:marTop w:val="0"/>
      <w:marBottom w:val="0"/>
      <w:divBdr>
        <w:top w:val="none" w:sz="0" w:space="0" w:color="auto"/>
        <w:left w:val="none" w:sz="0" w:space="0" w:color="auto"/>
        <w:bottom w:val="none" w:sz="0" w:space="0" w:color="auto"/>
        <w:right w:val="none" w:sz="0" w:space="0" w:color="auto"/>
      </w:divBdr>
    </w:div>
    <w:div w:id="1710372147">
      <w:bodyDiv w:val="1"/>
      <w:marLeft w:val="0"/>
      <w:marRight w:val="0"/>
      <w:marTop w:val="0"/>
      <w:marBottom w:val="0"/>
      <w:divBdr>
        <w:top w:val="none" w:sz="0" w:space="0" w:color="auto"/>
        <w:left w:val="none" w:sz="0" w:space="0" w:color="auto"/>
        <w:bottom w:val="none" w:sz="0" w:space="0" w:color="auto"/>
        <w:right w:val="none" w:sz="0" w:space="0" w:color="auto"/>
      </w:divBdr>
    </w:div>
    <w:div w:id="1717200043">
      <w:bodyDiv w:val="1"/>
      <w:marLeft w:val="0"/>
      <w:marRight w:val="0"/>
      <w:marTop w:val="0"/>
      <w:marBottom w:val="0"/>
      <w:divBdr>
        <w:top w:val="none" w:sz="0" w:space="0" w:color="auto"/>
        <w:left w:val="none" w:sz="0" w:space="0" w:color="auto"/>
        <w:bottom w:val="none" w:sz="0" w:space="0" w:color="auto"/>
        <w:right w:val="none" w:sz="0" w:space="0" w:color="auto"/>
      </w:divBdr>
    </w:div>
    <w:div w:id="1740127141">
      <w:bodyDiv w:val="1"/>
      <w:marLeft w:val="0"/>
      <w:marRight w:val="0"/>
      <w:marTop w:val="0"/>
      <w:marBottom w:val="0"/>
      <w:divBdr>
        <w:top w:val="none" w:sz="0" w:space="0" w:color="auto"/>
        <w:left w:val="none" w:sz="0" w:space="0" w:color="auto"/>
        <w:bottom w:val="none" w:sz="0" w:space="0" w:color="auto"/>
        <w:right w:val="none" w:sz="0" w:space="0" w:color="auto"/>
      </w:divBdr>
    </w:div>
    <w:div w:id="1740178113">
      <w:bodyDiv w:val="1"/>
      <w:marLeft w:val="0"/>
      <w:marRight w:val="0"/>
      <w:marTop w:val="0"/>
      <w:marBottom w:val="0"/>
      <w:divBdr>
        <w:top w:val="none" w:sz="0" w:space="0" w:color="auto"/>
        <w:left w:val="none" w:sz="0" w:space="0" w:color="auto"/>
        <w:bottom w:val="none" w:sz="0" w:space="0" w:color="auto"/>
        <w:right w:val="none" w:sz="0" w:space="0" w:color="auto"/>
      </w:divBdr>
    </w:div>
    <w:div w:id="1740397501">
      <w:bodyDiv w:val="1"/>
      <w:marLeft w:val="0"/>
      <w:marRight w:val="0"/>
      <w:marTop w:val="0"/>
      <w:marBottom w:val="0"/>
      <w:divBdr>
        <w:top w:val="none" w:sz="0" w:space="0" w:color="auto"/>
        <w:left w:val="none" w:sz="0" w:space="0" w:color="auto"/>
        <w:bottom w:val="none" w:sz="0" w:space="0" w:color="auto"/>
        <w:right w:val="none" w:sz="0" w:space="0" w:color="auto"/>
      </w:divBdr>
    </w:div>
    <w:div w:id="1743868078">
      <w:bodyDiv w:val="1"/>
      <w:marLeft w:val="0"/>
      <w:marRight w:val="0"/>
      <w:marTop w:val="0"/>
      <w:marBottom w:val="0"/>
      <w:divBdr>
        <w:top w:val="none" w:sz="0" w:space="0" w:color="auto"/>
        <w:left w:val="none" w:sz="0" w:space="0" w:color="auto"/>
        <w:bottom w:val="none" w:sz="0" w:space="0" w:color="auto"/>
        <w:right w:val="none" w:sz="0" w:space="0" w:color="auto"/>
      </w:divBdr>
    </w:div>
    <w:div w:id="1755588878">
      <w:bodyDiv w:val="1"/>
      <w:marLeft w:val="0"/>
      <w:marRight w:val="0"/>
      <w:marTop w:val="0"/>
      <w:marBottom w:val="0"/>
      <w:divBdr>
        <w:top w:val="none" w:sz="0" w:space="0" w:color="auto"/>
        <w:left w:val="none" w:sz="0" w:space="0" w:color="auto"/>
        <w:bottom w:val="none" w:sz="0" w:space="0" w:color="auto"/>
        <w:right w:val="none" w:sz="0" w:space="0" w:color="auto"/>
      </w:divBdr>
    </w:div>
    <w:div w:id="1762869433">
      <w:bodyDiv w:val="1"/>
      <w:marLeft w:val="0"/>
      <w:marRight w:val="0"/>
      <w:marTop w:val="0"/>
      <w:marBottom w:val="0"/>
      <w:divBdr>
        <w:top w:val="none" w:sz="0" w:space="0" w:color="auto"/>
        <w:left w:val="none" w:sz="0" w:space="0" w:color="auto"/>
        <w:bottom w:val="none" w:sz="0" w:space="0" w:color="auto"/>
        <w:right w:val="none" w:sz="0" w:space="0" w:color="auto"/>
      </w:divBdr>
    </w:div>
    <w:div w:id="1765149006">
      <w:bodyDiv w:val="1"/>
      <w:marLeft w:val="0"/>
      <w:marRight w:val="0"/>
      <w:marTop w:val="0"/>
      <w:marBottom w:val="0"/>
      <w:divBdr>
        <w:top w:val="none" w:sz="0" w:space="0" w:color="auto"/>
        <w:left w:val="none" w:sz="0" w:space="0" w:color="auto"/>
        <w:bottom w:val="none" w:sz="0" w:space="0" w:color="auto"/>
        <w:right w:val="none" w:sz="0" w:space="0" w:color="auto"/>
      </w:divBdr>
    </w:div>
    <w:div w:id="1765953922">
      <w:bodyDiv w:val="1"/>
      <w:marLeft w:val="0"/>
      <w:marRight w:val="0"/>
      <w:marTop w:val="0"/>
      <w:marBottom w:val="0"/>
      <w:divBdr>
        <w:top w:val="none" w:sz="0" w:space="0" w:color="auto"/>
        <w:left w:val="none" w:sz="0" w:space="0" w:color="auto"/>
        <w:bottom w:val="none" w:sz="0" w:space="0" w:color="auto"/>
        <w:right w:val="none" w:sz="0" w:space="0" w:color="auto"/>
      </w:divBdr>
    </w:div>
    <w:div w:id="1773040578">
      <w:bodyDiv w:val="1"/>
      <w:marLeft w:val="0"/>
      <w:marRight w:val="0"/>
      <w:marTop w:val="0"/>
      <w:marBottom w:val="0"/>
      <w:divBdr>
        <w:top w:val="none" w:sz="0" w:space="0" w:color="auto"/>
        <w:left w:val="none" w:sz="0" w:space="0" w:color="auto"/>
        <w:bottom w:val="none" w:sz="0" w:space="0" w:color="auto"/>
        <w:right w:val="none" w:sz="0" w:space="0" w:color="auto"/>
      </w:divBdr>
    </w:div>
    <w:div w:id="1774667752">
      <w:bodyDiv w:val="1"/>
      <w:marLeft w:val="0"/>
      <w:marRight w:val="0"/>
      <w:marTop w:val="0"/>
      <w:marBottom w:val="0"/>
      <w:divBdr>
        <w:top w:val="none" w:sz="0" w:space="0" w:color="auto"/>
        <w:left w:val="none" w:sz="0" w:space="0" w:color="auto"/>
        <w:bottom w:val="none" w:sz="0" w:space="0" w:color="auto"/>
        <w:right w:val="none" w:sz="0" w:space="0" w:color="auto"/>
      </w:divBdr>
    </w:div>
    <w:div w:id="1776706770">
      <w:bodyDiv w:val="1"/>
      <w:marLeft w:val="0"/>
      <w:marRight w:val="0"/>
      <w:marTop w:val="0"/>
      <w:marBottom w:val="0"/>
      <w:divBdr>
        <w:top w:val="none" w:sz="0" w:space="0" w:color="auto"/>
        <w:left w:val="none" w:sz="0" w:space="0" w:color="auto"/>
        <w:bottom w:val="none" w:sz="0" w:space="0" w:color="auto"/>
        <w:right w:val="none" w:sz="0" w:space="0" w:color="auto"/>
      </w:divBdr>
    </w:div>
    <w:div w:id="1778677942">
      <w:bodyDiv w:val="1"/>
      <w:marLeft w:val="0"/>
      <w:marRight w:val="0"/>
      <w:marTop w:val="0"/>
      <w:marBottom w:val="0"/>
      <w:divBdr>
        <w:top w:val="none" w:sz="0" w:space="0" w:color="auto"/>
        <w:left w:val="none" w:sz="0" w:space="0" w:color="auto"/>
        <w:bottom w:val="none" w:sz="0" w:space="0" w:color="auto"/>
        <w:right w:val="none" w:sz="0" w:space="0" w:color="auto"/>
      </w:divBdr>
    </w:div>
    <w:div w:id="1791588412">
      <w:bodyDiv w:val="1"/>
      <w:marLeft w:val="0"/>
      <w:marRight w:val="0"/>
      <w:marTop w:val="0"/>
      <w:marBottom w:val="0"/>
      <w:divBdr>
        <w:top w:val="none" w:sz="0" w:space="0" w:color="auto"/>
        <w:left w:val="none" w:sz="0" w:space="0" w:color="auto"/>
        <w:bottom w:val="none" w:sz="0" w:space="0" w:color="auto"/>
        <w:right w:val="none" w:sz="0" w:space="0" w:color="auto"/>
      </w:divBdr>
    </w:div>
    <w:div w:id="1796753466">
      <w:bodyDiv w:val="1"/>
      <w:marLeft w:val="0"/>
      <w:marRight w:val="0"/>
      <w:marTop w:val="0"/>
      <w:marBottom w:val="0"/>
      <w:divBdr>
        <w:top w:val="none" w:sz="0" w:space="0" w:color="auto"/>
        <w:left w:val="none" w:sz="0" w:space="0" w:color="auto"/>
        <w:bottom w:val="none" w:sz="0" w:space="0" w:color="auto"/>
        <w:right w:val="none" w:sz="0" w:space="0" w:color="auto"/>
      </w:divBdr>
    </w:div>
    <w:div w:id="1800302620">
      <w:bodyDiv w:val="1"/>
      <w:marLeft w:val="0"/>
      <w:marRight w:val="0"/>
      <w:marTop w:val="0"/>
      <w:marBottom w:val="0"/>
      <w:divBdr>
        <w:top w:val="none" w:sz="0" w:space="0" w:color="auto"/>
        <w:left w:val="none" w:sz="0" w:space="0" w:color="auto"/>
        <w:bottom w:val="none" w:sz="0" w:space="0" w:color="auto"/>
        <w:right w:val="none" w:sz="0" w:space="0" w:color="auto"/>
      </w:divBdr>
    </w:div>
    <w:div w:id="1817261008">
      <w:bodyDiv w:val="1"/>
      <w:marLeft w:val="0"/>
      <w:marRight w:val="0"/>
      <w:marTop w:val="0"/>
      <w:marBottom w:val="0"/>
      <w:divBdr>
        <w:top w:val="none" w:sz="0" w:space="0" w:color="auto"/>
        <w:left w:val="none" w:sz="0" w:space="0" w:color="auto"/>
        <w:bottom w:val="none" w:sz="0" w:space="0" w:color="auto"/>
        <w:right w:val="none" w:sz="0" w:space="0" w:color="auto"/>
      </w:divBdr>
    </w:div>
    <w:div w:id="1819347287">
      <w:bodyDiv w:val="1"/>
      <w:marLeft w:val="0"/>
      <w:marRight w:val="0"/>
      <w:marTop w:val="0"/>
      <w:marBottom w:val="0"/>
      <w:divBdr>
        <w:top w:val="none" w:sz="0" w:space="0" w:color="auto"/>
        <w:left w:val="none" w:sz="0" w:space="0" w:color="auto"/>
        <w:bottom w:val="none" w:sz="0" w:space="0" w:color="auto"/>
        <w:right w:val="none" w:sz="0" w:space="0" w:color="auto"/>
      </w:divBdr>
    </w:div>
    <w:div w:id="1821115063">
      <w:bodyDiv w:val="1"/>
      <w:marLeft w:val="0"/>
      <w:marRight w:val="0"/>
      <w:marTop w:val="0"/>
      <w:marBottom w:val="0"/>
      <w:divBdr>
        <w:top w:val="none" w:sz="0" w:space="0" w:color="auto"/>
        <w:left w:val="none" w:sz="0" w:space="0" w:color="auto"/>
        <w:bottom w:val="none" w:sz="0" w:space="0" w:color="auto"/>
        <w:right w:val="none" w:sz="0" w:space="0" w:color="auto"/>
      </w:divBdr>
    </w:div>
    <w:div w:id="1843541307">
      <w:bodyDiv w:val="1"/>
      <w:marLeft w:val="0"/>
      <w:marRight w:val="0"/>
      <w:marTop w:val="0"/>
      <w:marBottom w:val="0"/>
      <w:divBdr>
        <w:top w:val="none" w:sz="0" w:space="0" w:color="auto"/>
        <w:left w:val="none" w:sz="0" w:space="0" w:color="auto"/>
        <w:bottom w:val="none" w:sz="0" w:space="0" w:color="auto"/>
        <w:right w:val="none" w:sz="0" w:space="0" w:color="auto"/>
      </w:divBdr>
    </w:div>
    <w:div w:id="1846284051">
      <w:bodyDiv w:val="1"/>
      <w:marLeft w:val="0"/>
      <w:marRight w:val="0"/>
      <w:marTop w:val="0"/>
      <w:marBottom w:val="0"/>
      <w:divBdr>
        <w:top w:val="none" w:sz="0" w:space="0" w:color="auto"/>
        <w:left w:val="none" w:sz="0" w:space="0" w:color="auto"/>
        <w:bottom w:val="none" w:sz="0" w:space="0" w:color="auto"/>
        <w:right w:val="none" w:sz="0" w:space="0" w:color="auto"/>
      </w:divBdr>
    </w:div>
    <w:div w:id="1853716784">
      <w:bodyDiv w:val="1"/>
      <w:marLeft w:val="0"/>
      <w:marRight w:val="0"/>
      <w:marTop w:val="0"/>
      <w:marBottom w:val="0"/>
      <w:divBdr>
        <w:top w:val="none" w:sz="0" w:space="0" w:color="auto"/>
        <w:left w:val="none" w:sz="0" w:space="0" w:color="auto"/>
        <w:bottom w:val="none" w:sz="0" w:space="0" w:color="auto"/>
        <w:right w:val="none" w:sz="0" w:space="0" w:color="auto"/>
      </w:divBdr>
    </w:div>
    <w:div w:id="1854300598">
      <w:bodyDiv w:val="1"/>
      <w:marLeft w:val="0"/>
      <w:marRight w:val="0"/>
      <w:marTop w:val="0"/>
      <w:marBottom w:val="0"/>
      <w:divBdr>
        <w:top w:val="none" w:sz="0" w:space="0" w:color="auto"/>
        <w:left w:val="none" w:sz="0" w:space="0" w:color="auto"/>
        <w:bottom w:val="none" w:sz="0" w:space="0" w:color="auto"/>
        <w:right w:val="none" w:sz="0" w:space="0" w:color="auto"/>
      </w:divBdr>
    </w:div>
    <w:div w:id="1860310141">
      <w:bodyDiv w:val="1"/>
      <w:marLeft w:val="0"/>
      <w:marRight w:val="0"/>
      <w:marTop w:val="0"/>
      <w:marBottom w:val="0"/>
      <w:divBdr>
        <w:top w:val="none" w:sz="0" w:space="0" w:color="auto"/>
        <w:left w:val="none" w:sz="0" w:space="0" w:color="auto"/>
        <w:bottom w:val="none" w:sz="0" w:space="0" w:color="auto"/>
        <w:right w:val="none" w:sz="0" w:space="0" w:color="auto"/>
      </w:divBdr>
    </w:div>
    <w:div w:id="1871213883">
      <w:bodyDiv w:val="1"/>
      <w:marLeft w:val="0"/>
      <w:marRight w:val="0"/>
      <w:marTop w:val="0"/>
      <w:marBottom w:val="0"/>
      <w:divBdr>
        <w:top w:val="none" w:sz="0" w:space="0" w:color="auto"/>
        <w:left w:val="none" w:sz="0" w:space="0" w:color="auto"/>
        <w:bottom w:val="none" w:sz="0" w:space="0" w:color="auto"/>
        <w:right w:val="none" w:sz="0" w:space="0" w:color="auto"/>
      </w:divBdr>
    </w:div>
    <w:div w:id="1876694425">
      <w:bodyDiv w:val="1"/>
      <w:marLeft w:val="0"/>
      <w:marRight w:val="0"/>
      <w:marTop w:val="0"/>
      <w:marBottom w:val="0"/>
      <w:divBdr>
        <w:top w:val="none" w:sz="0" w:space="0" w:color="auto"/>
        <w:left w:val="none" w:sz="0" w:space="0" w:color="auto"/>
        <w:bottom w:val="none" w:sz="0" w:space="0" w:color="auto"/>
        <w:right w:val="none" w:sz="0" w:space="0" w:color="auto"/>
      </w:divBdr>
    </w:div>
    <w:div w:id="1887449621">
      <w:bodyDiv w:val="1"/>
      <w:marLeft w:val="0"/>
      <w:marRight w:val="0"/>
      <w:marTop w:val="0"/>
      <w:marBottom w:val="0"/>
      <w:divBdr>
        <w:top w:val="none" w:sz="0" w:space="0" w:color="auto"/>
        <w:left w:val="none" w:sz="0" w:space="0" w:color="auto"/>
        <w:bottom w:val="none" w:sz="0" w:space="0" w:color="auto"/>
        <w:right w:val="none" w:sz="0" w:space="0" w:color="auto"/>
      </w:divBdr>
    </w:div>
    <w:div w:id="1903324299">
      <w:bodyDiv w:val="1"/>
      <w:marLeft w:val="0"/>
      <w:marRight w:val="0"/>
      <w:marTop w:val="0"/>
      <w:marBottom w:val="0"/>
      <w:divBdr>
        <w:top w:val="none" w:sz="0" w:space="0" w:color="auto"/>
        <w:left w:val="none" w:sz="0" w:space="0" w:color="auto"/>
        <w:bottom w:val="none" w:sz="0" w:space="0" w:color="auto"/>
        <w:right w:val="none" w:sz="0" w:space="0" w:color="auto"/>
      </w:divBdr>
    </w:div>
    <w:div w:id="1914311307">
      <w:bodyDiv w:val="1"/>
      <w:marLeft w:val="0"/>
      <w:marRight w:val="0"/>
      <w:marTop w:val="0"/>
      <w:marBottom w:val="0"/>
      <w:divBdr>
        <w:top w:val="none" w:sz="0" w:space="0" w:color="auto"/>
        <w:left w:val="none" w:sz="0" w:space="0" w:color="auto"/>
        <w:bottom w:val="none" w:sz="0" w:space="0" w:color="auto"/>
        <w:right w:val="none" w:sz="0" w:space="0" w:color="auto"/>
      </w:divBdr>
    </w:div>
    <w:div w:id="1933392841">
      <w:bodyDiv w:val="1"/>
      <w:marLeft w:val="0"/>
      <w:marRight w:val="0"/>
      <w:marTop w:val="0"/>
      <w:marBottom w:val="0"/>
      <w:divBdr>
        <w:top w:val="none" w:sz="0" w:space="0" w:color="auto"/>
        <w:left w:val="none" w:sz="0" w:space="0" w:color="auto"/>
        <w:bottom w:val="none" w:sz="0" w:space="0" w:color="auto"/>
        <w:right w:val="none" w:sz="0" w:space="0" w:color="auto"/>
      </w:divBdr>
    </w:div>
    <w:div w:id="1938437750">
      <w:bodyDiv w:val="1"/>
      <w:marLeft w:val="0"/>
      <w:marRight w:val="0"/>
      <w:marTop w:val="0"/>
      <w:marBottom w:val="0"/>
      <w:divBdr>
        <w:top w:val="none" w:sz="0" w:space="0" w:color="auto"/>
        <w:left w:val="none" w:sz="0" w:space="0" w:color="auto"/>
        <w:bottom w:val="none" w:sz="0" w:space="0" w:color="auto"/>
        <w:right w:val="none" w:sz="0" w:space="0" w:color="auto"/>
      </w:divBdr>
    </w:div>
    <w:div w:id="1939022960">
      <w:bodyDiv w:val="1"/>
      <w:marLeft w:val="0"/>
      <w:marRight w:val="0"/>
      <w:marTop w:val="0"/>
      <w:marBottom w:val="0"/>
      <w:divBdr>
        <w:top w:val="none" w:sz="0" w:space="0" w:color="auto"/>
        <w:left w:val="none" w:sz="0" w:space="0" w:color="auto"/>
        <w:bottom w:val="none" w:sz="0" w:space="0" w:color="auto"/>
        <w:right w:val="none" w:sz="0" w:space="0" w:color="auto"/>
      </w:divBdr>
    </w:div>
    <w:div w:id="1944796673">
      <w:bodyDiv w:val="1"/>
      <w:marLeft w:val="0"/>
      <w:marRight w:val="0"/>
      <w:marTop w:val="0"/>
      <w:marBottom w:val="0"/>
      <w:divBdr>
        <w:top w:val="none" w:sz="0" w:space="0" w:color="auto"/>
        <w:left w:val="none" w:sz="0" w:space="0" w:color="auto"/>
        <w:bottom w:val="none" w:sz="0" w:space="0" w:color="auto"/>
        <w:right w:val="none" w:sz="0" w:space="0" w:color="auto"/>
      </w:divBdr>
    </w:div>
    <w:div w:id="1956591047">
      <w:bodyDiv w:val="1"/>
      <w:marLeft w:val="0"/>
      <w:marRight w:val="0"/>
      <w:marTop w:val="0"/>
      <w:marBottom w:val="0"/>
      <w:divBdr>
        <w:top w:val="none" w:sz="0" w:space="0" w:color="auto"/>
        <w:left w:val="none" w:sz="0" w:space="0" w:color="auto"/>
        <w:bottom w:val="none" w:sz="0" w:space="0" w:color="auto"/>
        <w:right w:val="none" w:sz="0" w:space="0" w:color="auto"/>
      </w:divBdr>
    </w:div>
    <w:div w:id="1982225416">
      <w:bodyDiv w:val="1"/>
      <w:marLeft w:val="0"/>
      <w:marRight w:val="0"/>
      <w:marTop w:val="0"/>
      <w:marBottom w:val="0"/>
      <w:divBdr>
        <w:top w:val="none" w:sz="0" w:space="0" w:color="auto"/>
        <w:left w:val="none" w:sz="0" w:space="0" w:color="auto"/>
        <w:bottom w:val="none" w:sz="0" w:space="0" w:color="auto"/>
        <w:right w:val="none" w:sz="0" w:space="0" w:color="auto"/>
      </w:divBdr>
    </w:div>
    <w:div w:id="1997758672">
      <w:bodyDiv w:val="1"/>
      <w:marLeft w:val="0"/>
      <w:marRight w:val="0"/>
      <w:marTop w:val="0"/>
      <w:marBottom w:val="0"/>
      <w:divBdr>
        <w:top w:val="none" w:sz="0" w:space="0" w:color="auto"/>
        <w:left w:val="none" w:sz="0" w:space="0" w:color="auto"/>
        <w:bottom w:val="none" w:sz="0" w:space="0" w:color="auto"/>
        <w:right w:val="none" w:sz="0" w:space="0" w:color="auto"/>
      </w:divBdr>
    </w:div>
    <w:div w:id="2019380525">
      <w:bodyDiv w:val="1"/>
      <w:marLeft w:val="0"/>
      <w:marRight w:val="0"/>
      <w:marTop w:val="0"/>
      <w:marBottom w:val="0"/>
      <w:divBdr>
        <w:top w:val="none" w:sz="0" w:space="0" w:color="auto"/>
        <w:left w:val="none" w:sz="0" w:space="0" w:color="auto"/>
        <w:bottom w:val="none" w:sz="0" w:space="0" w:color="auto"/>
        <w:right w:val="none" w:sz="0" w:space="0" w:color="auto"/>
      </w:divBdr>
    </w:div>
    <w:div w:id="2025552961">
      <w:bodyDiv w:val="1"/>
      <w:marLeft w:val="0"/>
      <w:marRight w:val="0"/>
      <w:marTop w:val="0"/>
      <w:marBottom w:val="0"/>
      <w:divBdr>
        <w:top w:val="none" w:sz="0" w:space="0" w:color="auto"/>
        <w:left w:val="none" w:sz="0" w:space="0" w:color="auto"/>
        <w:bottom w:val="none" w:sz="0" w:space="0" w:color="auto"/>
        <w:right w:val="none" w:sz="0" w:space="0" w:color="auto"/>
      </w:divBdr>
    </w:div>
    <w:div w:id="2077898714">
      <w:bodyDiv w:val="1"/>
      <w:marLeft w:val="0"/>
      <w:marRight w:val="0"/>
      <w:marTop w:val="0"/>
      <w:marBottom w:val="0"/>
      <w:divBdr>
        <w:top w:val="none" w:sz="0" w:space="0" w:color="auto"/>
        <w:left w:val="none" w:sz="0" w:space="0" w:color="auto"/>
        <w:bottom w:val="none" w:sz="0" w:space="0" w:color="auto"/>
        <w:right w:val="none" w:sz="0" w:space="0" w:color="auto"/>
      </w:divBdr>
    </w:div>
    <w:div w:id="2085683525">
      <w:bodyDiv w:val="1"/>
      <w:marLeft w:val="0"/>
      <w:marRight w:val="0"/>
      <w:marTop w:val="0"/>
      <w:marBottom w:val="0"/>
      <w:divBdr>
        <w:top w:val="none" w:sz="0" w:space="0" w:color="auto"/>
        <w:left w:val="none" w:sz="0" w:space="0" w:color="auto"/>
        <w:bottom w:val="none" w:sz="0" w:space="0" w:color="auto"/>
        <w:right w:val="none" w:sz="0" w:space="0" w:color="auto"/>
      </w:divBdr>
    </w:div>
    <w:div w:id="2112971059">
      <w:bodyDiv w:val="1"/>
      <w:marLeft w:val="0"/>
      <w:marRight w:val="0"/>
      <w:marTop w:val="0"/>
      <w:marBottom w:val="0"/>
      <w:divBdr>
        <w:top w:val="none" w:sz="0" w:space="0" w:color="auto"/>
        <w:left w:val="none" w:sz="0" w:space="0" w:color="auto"/>
        <w:bottom w:val="none" w:sz="0" w:space="0" w:color="auto"/>
        <w:right w:val="none" w:sz="0" w:space="0" w:color="auto"/>
      </w:divBdr>
    </w:div>
    <w:div w:id="2129199551">
      <w:bodyDiv w:val="1"/>
      <w:marLeft w:val="0"/>
      <w:marRight w:val="0"/>
      <w:marTop w:val="0"/>
      <w:marBottom w:val="0"/>
      <w:divBdr>
        <w:top w:val="none" w:sz="0" w:space="0" w:color="auto"/>
        <w:left w:val="none" w:sz="0" w:space="0" w:color="auto"/>
        <w:bottom w:val="none" w:sz="0" w:space="0" w:color="auto"/>
        <w:right w:val="none" w:sz="0" w:space="0" w:color="auto"/>
      </w:divBdr>
    </w:div>
    <w:div w:id="213228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0.jpg"/><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opyright@health.gov.au" TargetMode="External"/><Relationship Id="rId25" Type="http://schemas.openxmlformats.org/officeDocument/2006/relationships/image" Target="media/image9.jpg"/><Relationship Id="rId33" Type="http://schemas.openxmlformats.org/officeDocument/2006/relationships/image" Target="media/image11.jpg"/><Relationship Id="rId38"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4.jpeg"/><Relationship Id="rId29" Type="http://schemas.openxmlformats.org/officeDocument/2006/relationships/hyperlink" Target="https://ageis.climatechange.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s://www.finance.gov.au/government/aps-net-zero-emissions-2030" TargetMode="External"/><Relationship Id="rId37" Type="http://schemas.openxmlformats.org/officeDocument/2006/relationships/image" Target="media/image14.jpg"/><Relationship Id="rId40" Type="http://schemas.openxmlformats.org/officeDocument/2006/relationships/image" Target="media/image17.jpg"/><Relationship Id="rId5" Type="http://schemas.openxmlformats.org/officeDocument/2006/relationships/numbering" Target="numbering.xml"/><Relationship Id="rId15" Type="http://schemas.openxmlformats.org/officeDocument/2006/relationships/image" Target="cid:image001.png@01D10CF0.2ACF2D40" TargetMode="External"/><Relationship Id="rId23" Type="http://schemas.openxmlformats.org/officeDocument/2006/relationships/image" Target="media/image7.jpeg"/><Relationship Id="rId28" Type="http://schemas.openxmlformats.org/officeDocument/2006/relationships/hyperlink" Target="https://www.cleanenergyregulator.gov.au/NGER/Pages/default.aspx" TargetMode="External"/><Relationship Id="rId36"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climateactive.org.au/"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s://www.dcceew.gov.au/climate-change/publications/national-inventory-by-economic-sector" TargetMode="External"/><Relationship Id="rId30" Type="http://schemas.openxmlformats.org/officeDocument/2006/relationships/hyperlink" Target="https://www.dcceew.gov.au/climate-change/publications/national-inventory-by-economic-sector" TargetMode="External"/><Relationship Id="rId35" Type="http://schemas.openxmlformats.org/officeDocument/2006/relationships/hyperlink" Target="https://www.safetyandquality.gov.au/our-work/healthcare-variation/user-guide-reviewing-clinical-variation" TargetMode="External"/><Relationship Id="rId43" Type="http://schemas.microsoft.com/office/2019/05/relationships/documenttasks" Target="documenttasks/documenttasks1.xml"/></Relationships>
</file>

<file path=word/_rels/endnotes.xml.rels><?xml version="1.0" encoding="UTF-8" standalone="yes"?>
<Relationships xmlns="http://schemas.openxmlformats.org/package/2006/relationships"><Relationship Id="rId117" Type="http://schemas.openxmlformats.org/officeDocument/2006/relationships/hyperlink" Target="https://www.tewhatuora.govt.nz/whats-happening/what-to-expect/nz-health-plan/" TargetMode="External"/><Relationship Id="rId21" Type="http://schemas.openxmlformats.org/officeDocument/2006/relationships/hyperlink" Target="https://www.health.qld.gov.au/system-governance/strategic-direction/plans/climate-change/climate-change-strategy-and-planning" TargetMode="External"/><Relationship Id="rId42" Type="http://schemas.openxmlformats.org/officeDocument/2006/relationships/hyperlink" Target="https://www.blackdoginstitute.org.au/national-emergency-worker-support-service/" TargetMode="External"/><Relationship Id="rId63" Type="http://schemas.openxmlformats.org/officeDocument/2006/relationships/hyperlink" Target="https://www.energy.nsw.gov.au/nsw-plans-and-progress/government-strategies-and-frameworks/reaching-net-zero-emissions/net-zero" TargetMode="External"/><Relationship Id="rId84" Type="http://schemas.openxmlformats.org/officeDocument/2006/relationships/hyperlink" Target="https://psychology.org.au/for-the-public/psychology-topics/climate-change-psychology/climate-change" TargetMode="External"/><Relationship Id="rId138" Type="http://schemas.openxmlformats.org/officeDocument/2006/relationships/hyperlink" Target="https://www4.unfccc.int/sites/nwpstaging/News/Pages/Inidigenous-Peoples-and-Local-Communities-Platform-Update.aspx" TargetMode="External"/><Relationship Id="rId159" Type="http://schemas.openxmlformats.org/officeDocument/2006/relationships/hyperlink" Target="https://immunisationhandbook.health.gov.au/contents/vaccine-preventable-diseases/japanese-encephalitis" TargetMode="External"/><Relationship Id="rId170" Type="http://schemas.openxmlformats.org/officeDocument/2006/relationships/hyperlink" Target="https://mspgh.unimelb.edu.au/centres-institutes/centre-for-health-equity/research-group/beyond-disasters/projects/beyond-bushfires" TargetMode="External"/><Relationship Id="rId191" Type="http://schemas.openxmlformats.org/officeDocument/2006/relationships/hyperlink" Target="https://www.abc.net.au/news/2022-04-04/people-left-homeless-by-nsw-floods-fallen-through-the-cracks/100964964" TargetMode="External"/><Relationship Id="rId205" Type="http://schemas.openxmlformats.org/officeDocument/2006/relationships/hyperlink" Target="https://www.health.nsw.gov.au/netzero/Pages/net-zero-leads.aspx" TargetMode="External"/><Relationship Id="rId16" Type="http://schemas.openxmlformats.org/officeDocument/2006/relationships/hyperlink" Target="https://library.wmo.int/records/item/68500-2023-state-of-climate-services-health" TargetMode="External"/><Relationship Id="rId107" Type="http://schemas.openxmlformats.org/officeDocument/2006/relationships/hyperlink" Target="https://www.england.nhs.uk/greenernhs/whats-already-happening/great-ormond-street-hospital-reducing-single-use-plastics-case-study/" TargetMode="External"/><Relationship Id="rId11" Type="http://schemas.openxmlformats.org/officeDocument/2006/relationships/hyperlink" Target="https://www.ga.gov.au/education/natural-hazards/bushfire" TargetMode="External"/><Relationship Id="rId32" Type="http://schemas.openxmlformats.org/officeDocument/2006/relationships/hyperlink" Target="https://shura.shu.ac.uk/27312/2/eval-rotherham-social-prescribing-long-term-conditions-17-18.pdf" TargetMode="External"/><Relationship Id="rId37" Type="http://schemas.openxmlformats.org/officeDocument/2006/relationships/hyperlink" Target="https://www.ctc-n.org/technologies/climate-change-monitoring" TargetMode="External"/><Relationship Id="rId53" Type="http://schemas.openxmlformats.org/officeDocument/2006/relationships/hyperlink" Target="https://www.dcceew.gov.au/climate-change/publications/national-greenhouse-accounts-factors-2023" TargetMode="External"/><Relationship Id="rId58" Type="http://schemas.openxmlformats.org/officeDocument/2006/relationships/hyperlink" Target="https://www.energy.gov.au/government-priorities/australias-energy-strategies-and-frameworks/powering-australia" TargetMode="External"/><Relationship Id="rId74" Type="http://schemas.openxmlformats.org/officeDocument/2006/relationships/hyperlink" Target="https://www.safetyandquality.gov.au/our-work/healthcare-variation/user-guide-reviewing-clinical-variation" TargetMode="External"/><Relationship Id="rId79" Type="http://schemas.openxmlformats.org/officeDocument/2006/relationships/hyperlink" Target="https://nephrology.edu.au/" TargetMode="External"/><Relationship Id="rId102" Type="http://schemas.openxmlformats.org/officeDocument/2006/relationships/hyperlink" Target="https://www.dcceew.gov.au/environment/protection/waste/publications/national-food-waste-strategy" TargetMode="External"/><Relationship Id="rId123" Type="http://schemas.openxmlformats.org/officeDocument/2006/relationships/hyperlink" Target="https://www.hhs.gov/about/news/2022/11/10/hhs-shares-health-sector-emissions-reduction-climate-resilience-announcements-at-cop27.html" TargetMode="External"/><Relationship Id="rId128" Type="http://schemas.openxmlformats.org/officeDocument/2006/relationships/hyperlink" Target="https://www.pm.gov.au/media/strengthening-regional-ties-through-pacific-islands-forum" TargetMode="External"/><Relationship Id="rId144" Type="http://schemas.openxmlformats.org/officeDocument/2006/relationships/hyperlink" Target="https://www.acs.gov.au/pages/heatwaves" TargetMode="External"/><Relationship Id="rId149" Type="http://schemas.openxmlformats.org/officeDocument/2006/relationships/hyperlink" Target="https://www.who.int/teams/environment-climate-change-and-health/air-quality-and-health/" TargetMode="External"/><Relationship Id="rId5" Type="http://schemas.openxmlformats.org/officeDocument/2006/relationships/hyperlink" Target="https://www.austlii.edu.au/au/other/dfat/treaties/1976/5.html" TargetMode="External"/><Relationship Id="rId90" Type="http://schemas.openxmlformats.org/officeDocument/2006/relationships/hyperlink" Target="https://www.england.nhs.uk/2022/08/nhs-rolls-out-new-electric-vehicles-to-help-patients-and-the-planet/" TargetMode="External"/><Relationship Id="rId95" Type="http://schemas.openxmlformats.org/officeDocument/2006/relationships/hyperlink" Target="https://www.dcceew.gov.au/energy/transport/national-electric-vehicle-strategy" TargetMode="External"/><Relationship Id="rId160" Type="http://schemas.openxmlformats.org/officeDocument/2006/relationships/hyperlink" Target="https://www.csiro.au/en/about/challenges-missions/Antimicrobial-resistance/Curbing-Antimicrobial-Resistance" TargetMode="External"/><Relationship Id="rId165" Type="http://schemas.openxmlformats.org/officeDocument/2006/relationships/hyperlink" Target="https://womensagenda.com.au/latest/eds-blog/we-need-to-talk-about-women-and-the-climate-load/" TargetMode="External"/><Relationship Id="rId181" Type="http://schemas.openxmlformats.org/officeDocument/2006/relationships/hyperlink" Target="https://pp.planningportal.nsw.gov.au/development-and-assessment/basix" TargetMode="External"/><Relationship Id="rId186" Type="http://schemas.openxmlformats.org/officeDocument/2006/relationships/hyperlink" Target="https://www.betterhealth.vic.gov.au/health/conditionsandtreatments/mould-and-your-health" TargetMode="External"/><Relationship Id="rId22" Type="http://schemas.openxmlformats.org/officeDocument/2006/relationships/hyperlink" Target="https://www.dffh.vic.gov.au/publications/health-and-human-services-climate-change-adaptation-action-plan-2022-2026" TargetMode="External"/><Relationship Id="rId27" Type="http://schemas.openxmlformats.org/officeDocument/2006/relationships/hyperlink" Target="https://www.abs.gov.au/statistics/health/health-conditions-and-risks/health-conditions-prevalence/latest-release" TargetMode="External"/><Relationship Id="rId43" Type="http://schemas.openxmlformats.org/officeDocument/2006/relationships/hyperlink" Target="https://www.purplehouse.org.au/dialysis" TargetMode="External"/><Relationship Id="rId48" Type="http://schemas.openxmlformats.org/officeDocument/2006/relationships/hyperlink" Target="https://hnc.org.au/disaster-management/" TargetMode="External"/><Relationship Id="rId64" Type="http://schemas.openxmlformats.org/officeDocument/2006/relationships/hyperlink" Target="https://www.des.qld.gov.au/climateaction/emissions-targets" TargetMode="External"/><Relationship Id="rId69" Type="http://schemas.openxmlformats.org/officeDocument/2006/relationships/hyperlink" Target="https://www.aihw.gov.au/reports/burden-of-disease/burden-of-disease-study-2018-key-findings/contents/key-findings" TargetMode="External"/><Relationship Id="rId113" Type="http://schemas.openxmlformats.org/officeDocument/2006/relationships/hyperlink" Target="https://www.pbs.gov.au/info/news/2023/09/international-hta-collaboration-expands" TargetMode="External"/><Relationship Id="rId118" Type="http://schemas.openxmlformats.org/officeDocument/2006/relationships/hyperlink" Target="https://www.england.nhs.uk/greenernhs/publication/delivering-a-net-zero-national-health-service/" TargetMode="External"/><Relationship Id="rId134" Type="http://schemas.openxmlformats.org/officeDocument/2006/relationships/hyperlink" Target="https://www.waterforwomenfund.org/en/who-we-are/outline-of-the-fund.aspx" TargetMode="External"/><Relationship Id="rId139" Type="http://schemas.openxmlformats.org/officeDocument/2006/relationships/hyperlink" Target="https://indigenouspeoplesorg.com.au/climate-change/" TargetMode="External"/><Relationship Id="rId80" Type="http://schemas.openxmlformats.org/officeDocument/2006/relationships/hyperlink" Target="https://www.optometry.org.au/advocacy_government/have-your-say-about-sustainability-in-optometry/" TargetMode="External"/><Relationship Id="rId85" Type="http://schemas.openxmlformats.org/officeDocument/2006/relationships/hyperlink" Target="https://www.vhba.vic.gov.au/guidelines-sustainability-capital-works" TargetMode="External"/><Relationship Id="rId150" Type="http://schemas.openxmlformats.org/officeDocument/2006/relationships/hyperlink" Target="https://data.gov.au/dataset/ds-dga-043f58e0-a188-4458-b61c-04e5b540aea4/details" TargetMode="External"/><Relationship Id="rId155" Type="http://schemas.openxmlformats.org/officeDocument/2006/relationships/hyperlink" Target="https://www.aph.gov.au/Parliamentary_Business/Committees/House/Health_Aged_Care_and_Sport/LongandrepeatedCOVID/Report" TargetMode="External"/><Relationship Id="rId171" Type="http://schemas.openxmlformats.org/officeDocument/2006/relationships/hyperlink" Target="https://www.climatecouncil.org.au/resources/climate-trauma/" TargetMode="External"/><Relationship Id="rId176" Type="http://schemas.openxmlformats.org/officeDocument/2006/relationships/hyperlink" Target="https://www.agriculture.gov.au/agriculture-land/farm-food-drought/climatechange/national-statement-on-climate-change-and-agriculture" TargetMode="External"/><Relationship Id="rId192" Type="http://schemas.openxmlformats.org/officeDocument/2006/relationships/hyperlink" Target="https://www.internal-displacement.org/publications/the-2019-2020-australian-bushfires-from-temporary-evacuation-to-longer-term" TargetMode="External"/><Relationship Id="rId197" Type="http://schemas.openxmlformats.org/officeDocument/2006/relationships/hyperlink" Target="https://www.health.gov.au/topics/physical-activity-and-exercise" TargetMode="External"/><Relationship Id="rId206" Type="http://schemas.openxmlformats.org/officeDocument/2006/relationships/hyperlink" Target="https://www.hnehealth.nsw.gov.au/about-us/sustainable_healthcare/our_projects/gloves_off_campaign" TargetMode="External"/><Relationship Id="rId201" Type="http://schemas.openxmlformats.org/officeDocument/2006/relationships/hyperlink" Target="https://ageing-better.org.uk/resources/active-travel-and-mid-life" TargetMode="External"/><Relationship Id="rId12" Type="http://schemas.openxmlformats.org/officeDocument/2006/relationships/hyperlink" Target="https://www.orygen.org.au/Orygen-Institute/Policy-Areas/Social-and-environmental-factors/climateconcerns" TargetMode="External"/><Relationship Id="rId17" Type="http://schemas.openxmlformats.org/officeDocument/2006/relationships/hyperlink" Target="https://www.who.int/activities/promoting-health-in-all-policies-and-intersectoral-action-capacities" TargetMode="External"/><Relationship Id="rId33" Type="http://schemas.openxmlformats.org/officeDocument/2006/relationships/hyperlink" Target="https://www.health.gov.au/resources/publications/national-aboriginal-and-torres-strait-islander-health-plan-2021-2031" TargetMode="External"/><Relationship Id="rId38" Type="http://schemas.openxmlformats.org/officeDocument/2006/relationships/hyperlink" Target="https://www.health.gov.au/our-work/nndss" TargetMode="External"/><Relationship Id="rId59" Type="http://schemas.openxmlformats.org/officeDocument/2006/relationships/hyperlink" Target="https://www.dcceew.gov.au/climate-change/publications/national-greenhouse-accounts-2021/national-inventory-by-economic-sector-2021" TargetMode="External"/><Relationship Id="rId103" Type="http://schemas.openxmlformats.org/officeDocument/2006/relationships/hyperlink" Target="https://www.dcceew.gov.au/environment/protection/waste/publications/national-waste-policy-2018" TargetMode="External"/><Relationship Id="rId108" Type="http://schemas.openxmlformats.org/officeDocument/2006/relationships/hyperlink" Target="https://www.imperial.nhs.uk/about-us/news/innovation-partnership-looks-to-recycle-facemasks-into-new-products-for-the-nhs" TargetMode="External"/><Relationship Id="rId124" Type="http://schemas.openxmlformats.org/officeDocument/2006/relationships/hyperlink" Target="https://www.atachcommunity.com/" TargetMode="External"/><Relationship Id="rId129" Type="http://schemas.openxmlformats.org/officeDocument/2006/relationships/hyperlink" Target="https://www.foreignminister.gov.au/minister/penny-wong/media-release/record-investment-global-fund-fight-aids-tuberculosis-and-malaria" TargetMode="External"/><Relationship Id="rId54" Type="http://schemas.openxmlformats.org/officeDocument/2006/relationships/hyperlink" Target="https://noharm-europe.org/documents/programme-launch-designing-net-zero-roadmap-healthcare" TargetMode="External"/><Relationship Id="rId70" Type="http://schemas.openxmlformats.org/officeDocument/2006/relationships/hyperlink" Target="https://www.health.gov.au/resources/publications/national-preventive-health-strategy-2021-2030" TargetMode="External"/><Relationship Id="rId75" Type="http://schemas.openxmlformats.org/officeDocument/2006/relationships/hyperlink" Target="https://evolve.edu.au/" TargetMode="External"/><Relationship Id="rId91" Type="http://schemas.openxmlformats.org/officeDocument/2006/relationships/hyperlink" Target="https://www.surgeons.org/News/Advocacy/review-of-telehealth-services-in-australia" TargetMode="External"/><Relationship Id="rId96" Type="http://schemas.openxmlformats.org/officeDocument/2006/relationships/hyperlink" Target="https://www.asthmahandbook.org.au/" TargetMode="External"/><Relationship Id="rId140" Type="http://schemas.openxmlformats.org/officeDocument/2006/relationships/hyperlink" Target="https://wwf.org.au/news/2022/listen-to-us-north-qld-forum-to-take-first-peoples-message-to-the-un-climate-change-cop/" TargetMode="External"/><Relationship Id="rId145" Type="http://schemas.openxmlformats.org/officeDocument/2006/relationships/hyperlink" Target="https://www.aihw.gov.au/reports/injury/extreme-weather-injuries/contents/about" TargetMode="External"/><Relationship Id="rId161" Type="http://schemas.openxmlformats.org/officeDocument/2006/relationships/hyperlink" Target="https://www.who.int/news-room/fact-sheets/detail/mental-health-strengthening-our-response" TargetMode="External"/><Relationship Id="rId166" Type="http://schemas.openxmlformats.org/officeDocument/2006/relationships/hyperlink" Target="https://www.climatecouncil.org.au/resources/missionzero/" TargetMode="External"/><Relationship Id="rId182" Type="http://schemas.openxmlformats.org/officeDocument/2006/relationships/hyperlink" Target="https://www.sustainability.vic.gov.au/energy-efficiency-and-reducing-emissions/building-or-renovating/windows-and-shading/reducing-heat-gain-through-windows" TargetMode="External"/><Relationship Id="rId187" Type="http://schemas.openxmlformats.org/officeDocument/2006/relationships/hyperlink" Target="https://www.greenhouseaccounts.climatechange.gov.au/" TargetMode="External"/><Relationship Id="rId1" Type="http://schemas.openxmlformats.org/officeDocument/2006/relationships/hyperlink" Target="http://www.bom.gov.au/state-of-the-climate/australias-changing-climate.shtml" TargetMode="External"/><Relationship Id="rId6" Type="http://schemas.openxmlformats.org/officeDocument/2006/relationships/hyperlink" Target="https://www.health.gov.au/resources/publications/national-aboriginal-and-torres-strait-islander-health-plan-2021-2031" TargetMode="External"/><Relationship Id="rId23" Type="http://schemas.openxmlformats.org/officeDocument/2006/relationships/hyperlink" Target="https://www.health.wa.gov.au/climate-health-wa-final-report" TargetMode="External"/><Relationship Id="rId28" Type="http://schemas.openxmlformats.org/officeDocument/2006/relationships/hyperlink" Target="https://www.health.gov.au/resources/publications/national-preventive-health-strategy-2021-2030" TargetMode="External"/><Relationship Id="rId49" Type="http://schemas.openxmlformats.org/officeDocument/2006/relationships/hyperlink" Target="https://www.gen-agedcaredata.gov.au/Resources/Factsheets-and-infographics" TargetMode="External"/><Relationship Id="rId114" Type="http://schemas.openxmlformats.org/officeDocument/2006/relationships/hyperlink" Target="https://www.nice.org.uk/Media/Default/Get-involved/Meetings-In-Public/Public-board-meetings/Mar-24-pbm-NICE-strategy-2021-2026.pdf" TargetMode="External"/><Relationship Id="rId119" Type="http://schemas.openxmlformats.org/officeDocument/2006/relationships/hyperlink" Target="https://www.gov.scot/publications/nhs-scotland-climate-emergency-sustainability-strategy-2022-2026/" TargetMode="External"/><Relationship Id="rId44" Type="http://schemas.openxmlformats.org/officeDocument/2006/relationships/hyperlink" Target="https://www.purplehouse.org.au/water-story" TargetMode="External"/><Relationship Id="rId60" Type="http://schemas.openxmlformats.org/officeDocument/2006/relationships/hyperlink" Target="https://www.dcceew.gov.au/climate-change/publications/national-inventory-report-2021" TargetMode="External"/><Relationship Id="rId65" Type="http://schemas.openxmlformats.org/officeDocument/2006/relationships/hyperlink" Target="https://www.environment.sa.gov.au/topics/climate-change/greenhouse-gas-emissions" TargetMode="External"/><Relationship Id="rId81" Type="http://schemas.openxmlformats.org/officeDocument/2006/relationships/hyperlink" Target="https://www.racgp.org.au/running-a-practice/security/managing-practice-information/e-waste" TargetMode="External"/><Relationship Id="rId86" Type="http://schemas.openxmlformats.org/officeDocument/2006/relationships/hyperlink" Target="https://www.vhba.vic.gov.au/new-public-health-infrastructure-to-be-all-electric" TargetMode="External"/><Relationship Id="rId130" Type="http://schemas.openxmlformats.org/officeDocument/2006/relationships/hyperlink" Target="https://www.adb.org/what-we-do/funds/australian-climate-finance-partnership" TargetMode="External"/><Relationship Id="rId135" Type="http://schemas.openxmlformats.org/officeDocument/2006/relationships/hyperlink" Target="https://waterpartnership.org.au/about/" TargetMode="External"/><Relationship Id="rId151" Type="http://schemas.openxmlformats.org/officeDocument/2006/relationships/hyperlink" Target="https://www.royalcommission.gov.au/natural-disasters" TargetMode="External"/><Relationship Id="rId156" Type="http://schemas.openxmlformats.org/officeDocument/2006/relationships/hyperlink" Target="https://www.dcceew.gov.au/environment/protection/air-quality/publications/national-clean-air-agreement" TargetMode="External"/><Relationship Id="rId177" Type="http://schemas.openxmlformats.org/officeDocument/2006/relationships/hyperlink" Target="https://www.dcceew.gov.au/climate-change/publications/national-greenhouse-gas-inventory-quarterly-update-march-2023" TargetMode="External"/><Relationship Id="rId198" Type="http://schemas.openxmlformats.org/officeDocument/2006/relationships/hyperlink" Target="https://www.abs.gov.au/statistics/microdata-tablebuilder/available-microdata-tablebuilder/national-health-survey" TargetMode="External"/><Relationship Id="rId172" Type="http://schemas.openxmlformats.org/officeDocument/2006/relationships/hyperlink" Target="https://www.who.int/news-room/fact-sheets/detail/drinking-water" TargetMode="External"/><Relationship Id="rId193" Type="http://schemas.openxmlformats.org/officeDocument/2006/relationships/hyperlink" Target="https://engage.dss.gov.au/developing-the-national-housing-and-homelessness-plan/developing-the-national-housing-and-homelessness-plan-issues-paper/" TargetMode="External"/><Relationship Id="rId202" Type="http://schemas.openxmlformats.org/officeDocument/2006/relationships/hyperlink" Target="https://www.who.int/publications/i/item/WHO-CED-PHE-EPE-19.11" TargetMode="External"/><Relationship Id="rId207" Type="http://schemas.openxmlformats.org/officeDocument/2006/relationships/hyperlink" Target="https://www.anzca.edu.au/getattachment/890417fd-7ad6-4dfc-b489-132a6a14df63/ANZCA-Bulletin-Autumn-2023" TargetMode="External"/><Relationship Id="rId13" Type="http://schemas.openxmlformats.org/officeDocument/2006/relationships/hyperlink" Target="https://opus.lib.uts.edu.au/handle/10453/144332" TargetMode="External"/><Relationship Id="rId18" Type="http://schemas.openxmlformats.org/officeDocument/2006/relationships/hyperlink" Target="https://www.who.int/publications/i/item/9789240081888" TargetMode="External"/><Relationship Id="rId39" Type="http://schemas.openxmlformats.org/officeDocument/2006/relationships/hyperlink" Target="https://www.igem.vic.gov.au/publications/igem-reports/review-of-response-to-the-thunderstorm-asthma-event-of-21-22-november-0" TargetMode="External"/><Relationship Id="rId109" Type="http://schemas.openxmlformats.org/officeDocument/2006/relationships/hyperlink" Target="https://www.health.vic.gov.au/planning-infrastructure/waste" TargetMode="External"/><Relationship Id="rId34" Type="http://schemas.openxmlformats.org/officeDocument/2006/relationships/hyperlink" Target="https://www.lowitja.org.au/page/services/resources/Cultural-and-social-determinants/climate-health/climate-change-and-aboriginal-and-torres-strait-islander-health" TargetMode="External"/><Relationship Id="rId50" Type="http://schemas.openxmlformats.org/officeDocument/2006/relationships/hyperlink" Target="https://www.health.gov.au/resources/publications/revised-aged-care-quality-standards-detailed-draft-for-public-consultation" TargetMode="External"/><Relationship Id="rId55" Type="http://schemas.openxmlformats.org/officeDocument/2006/relationships/hyperlink" Target="https://www.cleanenergyregulator.gov.au/NGER/About-the-National-Greenhouse-and-Energy-Reporting-scheme" TargetMode="External"/><Relationship Id="rId76" Type="http://schemas.openxmlformats.org/officeDocument/2006/relationships/hyperlink" Target="https://www.racgp.org.au/clinical-resources/clinical-guidelines/key-racgp-guidelines/view-all-racgp-guidelines/first-do-no-harm/about-first-do-no-harm/introduction" TargetMode="External"/><Relationship Id="rId97" Type="http://schemas.openxmlformats.org/officeDocument/2006/relationships/hyperlink" Target="https://www.racgp.org.au/running-a-practice/security/managing-practice-information/e-waste" TargetMode="External"/><Relationship Id="rId104" Type="http://schemas.openxmlformats.org/officeDocument/2006/relationships/hyperlink" Target="https://www.dcceew.gov.au/environment/protection/waste/publications/national-waste-policy-action-plan" TargetMode="External"/><Relationship Id="rId120" Type="http://schemas.openxmlformats.org/officeDocument/2006/relationships/hyperlink" Target="https://www.gov.wales/nhs-wales-decarbonisation-strategic-delivery-plan" TargetMode="External"/><Relationship Id="rId125" Type="http://schemas.openxmlformats.org/officeDocument/2006/relationships/hyperlink" Target="https://www.foreignminister.gov.au/minister/penny-wong/media-release/australias-new-international-development-policy-and-development-finance-review" TargetMode="External"/><Relationship Id="rId141" Type="http://schemas.openxmlformats.org/officeDocument/2006/relationships/hyperlink" Target="https://www.who.int/activities/promoting-health-in-all-policies-and-intersectoral-action-capacities" TargetMode="External"/><Relationship Id="rId146" Type="http://schemas.openxmlformats.org/officeDocument/2006/relationships/hyperlink" Target="https://www.who.int/europe/activities/planning-heat-health-action" TargetMode="External"/><Relationship Id="rId167" Type="http://schemas.openxmlformats.org/officeDocument/2006/relationships/hyperlink" Target="https://www.who.int/publications/i/item/9789240045125" TargetMode="External"/><Relationship Id="rId188" Type="http://schemas.openxmlformats.org/officeDocument/2006/relationships/hyperlink" Target="https://renew.org.au/what-we-do/advocacy/climate-resilient-homes/" TargetMode="External"/><Relationship Id="rId7" Type="http://schemas.openxmlformats.org/officeDocument/2006/relationships/hyperlink" Target="https://www.health.gov.au/resources/publications/national-aboriginal-and-torres-strait-islander-health-workforce-strategic-framework-and-implementation-plan-2021-2031" TargetMode="External"/><Relationship Id="rId71" Type="http://schemas.openxmlformats.org/officeDocument/2006/relationships/hyperlink" Target="https://www.health.gov.au/resources/publications/australias-primary-health-care-10-year-plan-2022-2032" TargetMode="External"/><Relationship Id="rId92" Type="http://schemas.openxmlformats.org/officeDocument/2006/relationships/hyperlink" Target="https://www.ambulance.nsw.gov.au/news/news-items/2022-sirens/oct-2022-sirens-stories/vccc-turns-one" TargetMode="External"/><Relationship Id="rId162" Type="http://schemas.openxmlformats.org/officeDocument/2006/relationships/hyperlink" Target="https://www.who.int/publications/i/item/9789240045125" TargetMode="External"/><Relationship Id="rId183" Type="http://schemas.openxmlformats.org/officeDocument/2006/relationships/hyperlink" Target="https://staconsulting.com.au/wind-classifications-update-standards-ncc/" TargetMode="External"/><Relationship Id="rId2" Type="http://schemas.openxmlformats.org/officeDocument/2006/relationships/hyperlink" Target="https://aiatsis.gov.au/publication/35297" TargetMode="External"/><Relationship Id="rId29" Type="http://schemas.openxmlformats.org/officeDocument/2006/relationships/hyperlink" Target="https://www.health.gov.au/topics/primary-care" TargetMode="External"/><Relationship Id="rId24" Type="http://schemas.openxmlformats.org/officeDocument/2006/relationships/hyperlink" Target="https://www.who.int/publications/i/item/9789240038509" TargetMode="External"/><Relationship Id="rId40" Type="http://schemas.openxmlformats.org/officeDocument/2006/relationships/hyperlink" Target="https://www.igem.vic.gov.au/publications/igem-reports/review-of-response-to-the-thunderstorm-asthma-event-of-21-22-november-0" TargetMode="External"/><Relationship Id="rId45" Type="http://schemas.openxmlformats.org/officeDocument/2006/relationships/hyperlink" Target="https://nema.gov.au/about-us/policies/strategies-and-frameworks" TargetMode="External"/><Relationship Id="rId66" Type="http://schemas.openxmlformats.org/officeDocument/2006/relationships/hyperlink" Target="https://www.stategrowth.tas.gov.au/recfit/home" TargetMode="External"/><Relationship Id="rId87" Type="http://schemas.openxmlformats.org/officeDocument/2006/relationships/hyperlink" Target="https://www.ahrq.gov/healthsystemsresearch/decarbonization/index.html" TargetMode="External"/><Relationship Id="rId110" Type="http://schemas.openxmlformats.org/officeDocument/2006/relationships/hyperlink" Target="https://iht.deakin.edu.au/wp-content/uploads/sites/153/2023/07/Deakin-and-Barwon-Health_Sustainable-PPE_ShortReport9.pdf" TargetMode="External"/><Relationship Id="rId115" Type="http://schemas.openxmlformats.org/officeDocument/2006/relationships/hyperlink" Target="https://www.cadth.ca/criteria-conducting-environmental-assessments-cadth-htas" TargetMode="External"/><Relationship Id="rId131" Type="http://schemas.openxmlformats.org/officeDocument/2006/relationships/hyperlink" Target="https://www.dfat.gov.au/development/topics/development-issues/climate-resilient-agricultural-development-initiatives" TargetMode="External"/><Relationship Id="rId136" Type="http://schemas.openxmlformats.org/officeDocument/2006/relationships/hyperlink" Target="https://waterpartnership.org.au/partnering-for-river-basin-governance-in-the-hindu-kush-himalaya/" TargetMode="External"/><Relationship Id="rId157" Type="http://schemas.openxmlformats.org/officeDocument/2006/relationships/hyperlink" Target="https://www.health.gov.au/news/clinical-advice-atagi-statement-on-use-of-dengvaxiar-for-australians" TargetMode="External"/><Relationship Id="rId178" Type="http://schemas.openxmlformats.org/officeDocument/2006/relationships/hyperlink" Target="https://www.abs.gov.au/statistics/health/health-conditions-and-risks/dietary-behaviour/latest-release" TargetMode="External"/><Relationship Id="rId61" Type="http://schemas.openxmlformats.org/officeDocument/2006/relationships/hyperlink" Target="https://www.dcceew.gov.au/climate-change/publications/national-greenhouse-gas-inventory-june-2019" TargetMode="External"/><Relationship Id="rId82" Type="http://schemas.openxmlformats.org/officeDocument/2006/relationships/hyperlink" Target="https://www.surgeons.org/News/Advocacy/review-of-telehealth-services-in-australia" TargetMode="External"/><Relationship Id="rId152" Type="http://schemas.openxmlformats.org/officeDocument/2006/relationships/hyperlink" Target="https://soe.dcceew.gov.au/" TargetMode="External"/><Relationship Id="rId173" Type="http://schemas.openxmlformats.org/officeDocument/2006/relationships/hyperlink" Target="https://www.who.int/news-room/fact-sheets/detail/food-safety" TargetMode="External"/><Relationship Id="rId194" Type="http://schemas.openxmlformats.org/officeDocument/2006/relationships/hyperlink" Target="https://www.aihw.gov.au/reports/australias-health/australias-health-2020-in-brief/summary" TargetMode="External"/><Relationship Id="rId199" Type="http://schemas.openxmlformats.org/officeDocument/2006/relationships/hyperlink" Target="https://apo.org.au/node/113921" TargetMode="External"/><Relationship Id="rId203" Type="http://schemas.openxmlformats.org/officeDocument/2006/relationships/hyperlink" Target="https://www.griffith.edu.au/__data/assets/pdf_file/0031/1770772/Facilitating-Environmentally-Sustainable-and-Climate-Resilient-Healthcare-SCHHS-1.pdf" TargetMode="External"/><Relationship Id="rId208" Type="http://schemas.openxmlformats.org/officeDocument/2006/relationships/hyperlink" Target="https://www.lowitja.org.au/page/services/resources/Cultural-and-social-determinants/climate-health/climate-change-and-aboriginal-and-torres-strait-islander-health" TargetMode="External"/><Relationship Id="rId19" Type="http://schemas.openxmlformats.org/officeDocument/2006/relationships/hyperlink" Target="https://www.dcceew.gov.au/climate-change/policy/adaptation" TargetMode="External"/><Relationship Id="rId14" Type="http://schemas.openxmlformats.org/officeDocument/2006/relationships/hyperlink" Target="https://consultations.health.gov.au/ohp-2013-environmental-health-and-health-protection-policy-branch/national-health-and-climate-strategy-consultation/" TargetMode="External"/><Relationship Id="rId30" Type="http://schemas.openxmlformats.org/officeDocument/2006/relationships/hyperlink" Target="https://www.racgp.org.au/clinical-resources/clinical-guidelines/key-racgp-guidelines/view-all-racgp-guidelines/green-book/putting-prevention-into-practice/principles" TargetMode="External"/><Relationship Id="rId35" Type="http://schemas.openxmlformats.org/officeDocument/2006/relationships/hyperlink" Target="https://www.health.org.uk/news-and-comment/blogs/an-anchor-approach-to-sustainability" TargetMode="External"/><Relationship Id="rId56" Type="http://schemas.openxmlformats.org/officeDocument/2006/relationships/hyperlink" Target="https://www.dcceew.gov.au/climate-change/publications/national-greenhouse-accounts-factors" TargetMode="External"/><Relationship Id="rId77" Type="http://schemas.openxmlformats.org/officeDocument/2006/relationships/hyperlink" Target="https://aci.health.nsw.gov.au/__data/assets/pdf_file/0009/181935/HS13-034_Framework-DevelopMoC_D7.pdf" TargetMode="External"/><Relationship Id="rId100" Type="http://schemas.openxmlformats.org/officeDocument/2006/relationships/hyperlink" Target="https://www.england.nhs.uk/greenernhs/publication/delivering-a-net-zero-national-health-service/" TargetMode="External"/><Relationship Id="rId105" Type="http://schemas.openxmlformats.org/officeDocument/2006/relationships/hyperlink" Target="https://www.health.nsw.gov.au/netzero/Documents/westernnswlhd-sustainability-strategy.pdf" TargetMode="External"/><Relationship Id="rId126" Type="http://schemas.openxmlformats.org/officeDocument/2006/relationships/hyperlink" Target="https://www.foreignminister.gov.au/minister/penny-wong/media-release/investing-stronger-healthy-region" TargetMode="External"/><Relationship Id="rId147" Type="http://schemas.openxmlformats.org/officeDocument/2006/relationships/hyperlink" Target="https://media.bom.gov.au/releases/1083/new-national-heatwave-warning-service-to-help-keep-australians-safer-this-summer/" TargetMode="External"/><Relationship Id="rId168" Type="http://schemas.openxmlformats.org/officeDocument/2006/relationships/hyperlink" Target="https://dea.org.au/report-how-climate-change-affects-mental-health-in-australia/" TargetMode="External"/><Relationship Id="rId8" Type="http://schemas.openxmlformats.org/officeDocument/2006/relationships/hyperlink" Target="https://www.lowitja.org.au/page/services/resources/Cultural-and-social-determinants/climate-health/climate-change-and-aboriginal-and-torres-strait-islander-health" TargetMode="External"/><Relationship Id="rId51" Type="http://schemas.openxmlformats.org/officeDocument/2006/relationships/hyperlink" Target="https://www.royalcommission.gov.au/aged-care/final-report" TargetMode="External"/><Relationship Id="rId72" Type="http://schemas.openxmlformats.org/officeDocument/2006/relationships/hyperlink" Target="https://www.safetyandquality.gov.au/publications-and-resources/resource-library/fourth-australian-atlas-healthcare-variation-2021" TargetMode="External"/><Relationship Id="rId93" Type="http://schemas.openxmlformats.org/officeDocument/2006/relationships/hyperlink" Target="https://www.england.nhs.uk/greenernhs/whats-already-happening/drone-deliveries-of-vital-chemotherapy-to-the-isle-of-wight/" TargetMode="External"/><Relationship Id="rId98" Type="http://schemas.openxmlformats.org/officeDocument/2006/relationships/hyperlink" Target="https://www.health.wa.gov.au/Media-releases/2023/October/WA-Health-takes-the-knife-to-high-emissions-anaesthetic" TargetMode="External"/><Relationship Id="rId121" Type="http://schemas.openxmlformats.org/officeDocument/2006/relationships/hyperlink" Target="https://www.england.nhs.uk/greenernhs/publication/delivering-a-net-zero-national-health-service/" TargetMode="External"/><Relationship Id="rId142" Type="http://schemas.openxmlformats.org/officeDocument/2006/relationships/hyperlink" Target="https://www.thelancet.com/series/climate-and-health-2009" TargetMode="External"/><Relationship Id="rId163" Type="http://schemas.openxmlformats.org/officeDocument/2006/relationships/hyperlink" Target="https://dea.org.au/report-how-climate-change-affects-mental-health-in-australia/" TargetMode="External"/><Relationship Id="rId184" Type="http://schemas.openxmlformats.org/officeDocument/2006/relationships/hyperlink" Target="https://ncc.abcb.gov.au/editions/ncc-2022" TargetMode="External"/><Relationship Id="rId189" Type="http://schemas.openxmlformats.org/officeDocument/2006/relationships/hyperlink" Target="https://www.sustainability.vic.gov.au/research-data-and-insights/research/research-reports/the-victorian-healthy-homes-program-research-findings" TargetMode="External"/><Relationship Id="rId3" Type="http://schemas.openxmlformats.org/officeDocument/2006/relationships/hyperlink" Target="https://www.who.int/about/accountability/governance/constitution" TargetMode="External"/><Relationship Id="rId25" Type="http://schemas.openxmlformats.org/officeDocument/2006/relationships/hyperlink" Target="https://www.who.int/publications/i/item/9789240036383" TargetMode="External"/><Relationship Id="rId46" Type="http://schemas.openxmlformats.org/officeDocument/2006/relationships/hyperlink" Target="https://nema.gov.au/about-us/budget-2023-24/Mental-Health-Wellbeing-Framework" TargetMode="External"/><Relationship Id="rId67" Type="http://schemas.openxmlformats.org/officeDocument/2006/relationships/hyperlink" Target="https://www.climatechange.vic.gov.au/victorian-government-action-on-climate-change" TargetMode="External"/><Relationship Id="rId116" Type="http://schemas.openxmlformats.org/officeDocument/2006/relationships/hyperlink" Target="https://www.canada.ca/en/health-canada/programs/health-adapt.html" TargetMode="External"/><Relationship Id="rId137" Type="http://schemas.openxmlformats.org/officeDocument/2006/relationships/hyperlink" Target="https://waterpartnership.org.au/building-climate-change-resilience-in-west-java/" TargetMode="External"/><Relationship Id="rId158" Type="http://schemas.openxmlformats.org/officeDocument/2006/relationships/hyperlink" Target="https://www.who.int/news/item/06-10-2021-who-recommends-groundbreaking-malaria-vaccine-for-children-at-risk" TargetMode="External"/><Relationship Id="rId20" Type="http://schemas.openxmlformats.org/officeDocument/2006/relationships/hyperlink" Target="https://www.dcceew.gov.au/climate-change/policy/adaptation" TargetMode="External"/><Relationship Id="rId41" Type="http://schemas.openxmlformats.org/officeDocument/2006/relationships/hyperlink" Target="https://www.who.int/publications/i/item/9789240048102" TargetMode="External"/><Relationship Id="rId62" Type="http://schemas.openxmlformats.org/officeDocument/2006/relationships/hyperlink" Target="https://www.climatechoices.act.gov.au/policy-programs/act-climate-change-strategy" TargetMode="External"/><Relationship Id="rId83" Type="http://schemas.openxmlformats.org/officeDocument/2006/relationships/hyperlink" Target="https://dea.org.au/greencollege-guidelines/" TargetMode="External"/><Relationship Id="rId88" Type="http://schemas.openxmlformats.org/officeDocument/2006/relationships/hyperlink" Target="https://www.unimelb.edu.au/newsroom/news/2023/february/vehicle-emissions-may-cause-over-11,000-deaths-a-year,-research-shows" TargetMode="External"/><Relationship Id="rId111" Type="http://schemas.openxmlformats.org/officeDocument/2006/relationships/hyperlink" Target="https://thedocs.worldbank.org/en/doc/911381516303509498-0020022018/original/2017ShadowPriceofCarbonGuidanceNoteFINALCLEARED.pdf" TargetMode="External"/><Relationship Id="rId132" Type="http://schemas.openxmlformats.org/officeDocument/2006/relationships/hyperlink" Target="https://www.gafspfund.org/our-work" TargetMode="External"/><Relationship Id="rId153" Type="http://schemas.openxmlformats.org/officeDocument/2006/relationships/hyperlink" Target="https://soe.dcceew.gov.au/" TargetMode="External"/><Relationship Id="rId174" Type="http://schemas.openxmlformats.org/officeDocument/2006/relationships/hyperlink" Target="https://www.agriculture.gov.au/agriculture-land/farm-food-drought/climatechange/national-statement-on-climate-change-and-agriculture" TargetMode="External"/><Relationship Id="rId179" Type="http://schemas.openxmlformats.org/officeDocument/2006/relationships/hyperlink" Target="https://www.lowitja.org.au/page/services/resources/Cultural-and-social-determinants/climate-health/climate-change-and-aboriginal-and-torres-strait-islander-health" TargetMode="External"/><Relationship Id="rId195" Type="http://schemas.openxmlformats.org/officeDocument/2006/relationships/hyperlink" Target="https://www.closingthegap.gov.au/sites/default/files/2022-08/housing-sector-strengthening-plan.pdf" TargetMode="External"/><Relationship Id="rId209" Type="http://schemas.openxmlformats.org/officeDocument/2006/relationships/hyperlink" Target="https://www.naturalhazards.com.au/our-mission" TargetMode="External"/><Relationship Id="rId190" Type="http://schemas.openxmlformats.org/officeDocument/2006/relationships/hyperlink" Target="https://www.theguardian.com/australia-news/2022/mar/19/i-rang-the-homeless-line-how-queenslands-floods-compounded-a-housing-crisis" TargetMode="External"/><Relationship Id="rId204" Type="http://schemas.openxmlformats.org/officeDocument/2006/relationships/hyperlink" Target="https://www.england.nhs.uk/greenernhs/wp-content/uploads/sites/51/2021/02/Sustainability-and-the-NHS-Staff-survey-2017.pdf" TargetMode="External"/><Relationship Id="rId15" Type="http://schemas.openxmlformats.org/officeDocument/2006/relationships/hyperlink" Target="https://www.aihw.gov.au/reports/injury/extreme-weather-injuries" TargetMode="External"/><Relationship Id="rId36" Type="http://schemas.openxmlformats.org/officeDocument/2006/relationships/hyperlink" Target="https://www.who.int/publications/i/item/9789241565073" TargetMode="External"/><Relationship Id="rId57" Type="http://schemas.openxmlformats.org/officeDocument/2006/relationships/hyperlink" Target="https://www.energy.gov.au/government-priorities/australias-energy-strategies-and-frameworks/powering-australia" TargetMode="External"/><Relationship Id="rId106" Type="http://schemas.openxmlformats.org/officeDocument/2006/relationships/hyperlink" Target="https://www.hnehealth.nsw.gov.au/about-us/sustainable_healthcare/our_projects/gloves_off_campaign" TargetMode="External"/><Relationship Id="rId127" Type="http://schemas.openxmlformats.org/officeDocument/2006/relationships/hyperlink" Target="https://www.forumsec.org/2050strategy/" TargetMode="External"/><Relationship Id="rId10" Type="http://schemas.openxmlformats.org/officeDocument/2006/relationships/hyperlink" Target="https://www.acs.gov.au/pages/floods" TargetMode="External"/><Relationship Id="rId31" Type="http://schemas.openxmlformats.org/officeDocument/2006/relationships/hyperlink" Target="https://www.health.gov.au/resources/publications/australias-primary-health-care-10-year-plan-2022-2032" TargetMode="External"/><Relationship Id="rId52" Type="http://schemas.openxmlformats.org/officeDocument/2006/relationships/hyperlink" Target="https://www.health.gov.au/resources/publications/draft-national-aged-care-design-principles-and-guidelines" TargetMode="External"/><Relationship Id="rId73" Type="http://schemas.openxmlformats.org/officeDocument/2006/relationships/hyperlink" Target="https://www.safetyandquality.gov.au/publications-and-resources/resource-library/aura-2023-fifth-australian-report-antimicrobial-use-and-resistance-human-health-report" TargetMode="External"/><Relationship Id="rId78" Type="http://schemas.openxmlformats.org/officeDocument/2006/relationships/hyperlink" Target="https://www.acn.edu.au/policy/guiding-principles" TargetMode="External"/><Relationship Id="rId94" Type="http://schemas.openxmlformats.org/officeDocument/2006/relationships/hyperlink" Target="https://www.abs.gov.au/statistics/industry/tourism-and-transport/transport-census/latest-release" TargetMode="External"/><Relationship Id="rId99" Type="http://schemas.openxmlformats.org/officeDocument/2006/relationships/hyperlink" Target="https://clinicalexcellence.qld.gov.au/sites/default/files/docs/priority-area/clinical-engagement/networks/swapnet-communique-nitrous-oxide.pdf" TargetMode="External"/><Relationship Id="rId101" Type="http://schemas.openxmlformats.org/officeDocument/2006/relationships/hyperlink" Target="https://www.fial.com.au/sharing-knowledge/food-waste" TargetMode="External"/><Relationship Id="rId122" Type="http://schemas.openxmlformats.org/officeDocument/2006/relationships/hyperlink" Target="https://www.england.nhs.uk/greenernhs/get-involved/suppliers/" TargetMode="External"/><Relationship Id="rId143" Type="http://schemas.openxmlformats.org/officeDocument/2006/relationships/hyperlink" Target="https://www.dcceew.gov.au/climate-change/emissions-reduction/net-zero" TargetMode="External"/><Relationship Id="rId148" Type="http://schemas.openxmlformats.org/officeDocument/2006/relationships/hyperlink" Target="https://www.who.int/publications/i/item/9789240034228" TargetMode="External"/><Relationship Id="rId164" Type="http://schemas.openxmlformats.org/officeDocument/2006/relationships/hyperlink" Target="https://www.climatecouncil.org.au/resources/survey-results-climate-disasters-mental-health/" TargetMode="External"/><Relationship Id="rId169" Type="http://schemas.openxmlformats.org/officeDocument/2006/relationships/hyperlink" Target="https://nema.gov.au/about-us/budget-2023-24/Mental-Health-Wellbeing-Framework" TargetMode="External"/><Relationship Id="rId185" Type="http://schemas.openxmlformats.org/officeDocument/2006/relationships/hyperlink" Target="https://insurancecouncil.com.au/wp-content/uploads/2021/12/2021Nov_Tropical-Cyclones-and-Future-Risks_final.pdf" TargetMode="External"/><Relationship Id="rId4" Type="http://schemas.openxmlformats.org/officeDocument/2006/relationships/hyperlink" Target="https://www.who.int/publications/m/item/what-you-need-to-know-about-health-in-all-policies--key-messages" TargetMode="External"/><Relationship Id="rId9" Type="http://schemas.openxmlformats.org/officeDocument/2006/relationships/hyperlink" Target="https://www.niaa.gov.au/indigenous-affairs/environment/indigenous-rangers-program" TargetMode="External"/><Relationship Id="rId180" Type="http://schemas.openxmlformats.org/officeDocument/2006/relationships/hyperlink" Target="https://www.aihw.gov.au/reports/australias-health/built-environment-and-health" TargetMode="External"/><Relationship Id="rId210" Type="http://schemas.openxmlformats.org/officeDocument/2006/relationships/hyperlink" Target="https://consultations.health.gov.au/national-preventive-health-taskforce/draft-national-consumer-engagement-strategy-for-he/" TargetMode="External"/><Relationship Id="rId26" Type="http://schemas.openxmlformats.org/officeDocument/2006/relationships/hyperlink" Target="https://www.dcceew.gov.au/climate-change/publications/national-climate-risk-assessment" TargetMode="External"/><Relationship Id="rId47" Type="http://schemas.openxmlformats.org/officeDocument/2006/relationships/hyperlink" Target="https://www.royalcommission.gov.au/natural-disasters" TargetMode="External"/><Relationship Id="rId68" Type="http://schemas.openxmlformats.org/officeDocument/2006/relationships/hyperlink" Target="https://www.wa.gov.au/service/environment/business-and-community-assistance/government-emissions-interim-target" TargetMode="External"/><Relationship Id="rId89" Type="http://schemas.openxmlformats.org/officeDocument/2006/relationships/hyperlink" Target="https://www.finance.gov.au/government/aps-net-zero-emissions-2030" TargetMode="External"/><Relationship Id="rId112" Type="http://schemas.openxmlformats.org/officeDocument/2006/relationships/hyperlink" Target="https://www.dcceew.gov.au/environment/protection/waste/product-stewardship/ministers-priority-list/2022-23" TargetMode="External"/><Relationship Id="rId133" Type="http://schemas.openxmlformats.org/officeDocument/2006/relationships/hyperlink" Target="https://tomak.org/" TargetMode="External"/><Relationship Id="rId154" Type="http://schemas.openxmlformats.org/officeDocument/2006/relationships/hyperlink" Target="https://www.iea.org/reports/energy-and-air-pollution" TargetMode="External"/><Relationship Id="rId175" Type="http://schemas.openxmlformats.org/officeDocument/2006/relationships/hyperlink" Target="https://www.dfat.gov.au/international-relations/themes/climate-change/supporting-indo-pacific-tackle-climate-change/safeguarding-food-and-water-security" TargetMode="External"/><Relationship Id="rId196" Type="http://schemas.openxmlformats.org/officeDocument/2006/relationships/hyperlink" Target="https://www.health.gov.au/topics/physical-activity-and-exercise/physical-activity-and-exercise-guidelines-for-all-australians/for-adults-18-to-64-years" TargetMode="External"/><Relationship Id="rId200" Type="http://schemas.openxmlformats.org/officeDocument/2006/relationships/hyperlink" Target="https://www.transport.gov.scot/publication/active-travel-strategies-guidance-for-completion/interventions-to-address-common-barriers-to-active-trave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F078A627-54FD-4AAC-889E-DCC552EECC64}">
    <t:Anchor>
      <t:Comment id="951215016"/>
    </t:Anchor>
    <t:History>
      <t:Event id="{3B791EAD-1410-4665-BE8D-D6139C249E43}" time="2023-08-04T01:51:02.797Z">
        <t:Attribution userId="S::georgia.behrens@health.gov.au::0218d016-9834-4dc6-9ec1-c1c0015beb3e" userProvider="AD" userName="BEHRENS, Georgia"/>
        <t:Anchor>
          <t:Comment id="951215016"/>
        </t:Anchor>
        <t:Create/>
      </t:Event>
      <t:Event id="{3AF8E231-FA5D-4D67-8F16-DE5D8EEAFEA0}" time="2023-08-04T01:51:02.797Z">
        <t:Attribution userId="S::georgia.behrens@health.gov.au::0218d016-9834-4dc6-9ec1-c1c0015beb3e" userProvider="AD" userName="BEHRENS, Georgia"/>
        <t:Anchor>
          <t:Comment id="951215016"/>
        </t:Anchor>
        <t:Assign userId="S::Eda.AGASTRA@Health.gov.au::ae38daf5-8d4a-4650-8b04-d46d33f49700" userProvider="AD" userName="AGASTRA, Eda"/>
      </t:Event>
      <t:Event id="{EE91EF5E-C0C7-4EF3-AF80-BDF49A05DCAB}" time="2023-08-04T01:51:02.797Z">
        <t:Attribution userId="S::georgia.behrens@health.gov.au::0218d016-9834-4dc6-9ec1-c1c0015beb3e" userProvider="AD" userName="BEHRENS, Georgia"/>
        <t:Anchor>
          <t:Comment id="951215016"/>
        </t:Anchor>
        <t:SetTitle title="@AGASTRA, Eda"/>
      </t:Event>
    </t:History>
  </t:Task>
  <t:Task id="{421F2C45-B64D-4F71-978E-FA4B154B9E6F}">
    <t:Anchor>
      <t:Comment id="679365740"/>
    </t:Anchor>
    <t:History>
      <t:Event id="{5CDD724B-1196-44B7-9FC9-1FF047ABF7E9}" time="2023-08-10T07:59:25.791Z">
        <t:Attribution userId="S::georgia.behrens@health.gov.au::0218d016-9834-4dc6-9ec1-c1c0015beb3e" userProvider="AD" userName="BEHRENS, Georgia"/>
        <t:Anchor>
          <t:Comment id="1738269560"/>
        </t:Anchor>
        <t:Create/>
      </t:Event>
      <t:Event id="{B7D08BF2-6342-4ED9-925E-9F16C95E833C}" time="2023-08-10T07:59:25.791Z">
        <t:Attribution userId="S::georgia.behrens@health.gov.au::0218d016-9834-4dc6-9ec1-c1c0015beb3e" userProvider="AD" userName="BEHRENS, Georgia"/>
        <t:Anchor>
          <t:Comment id="1738269560"/>
        </t:Anchor>
        <t:Assign userId="S::Kenya.PEARSON@Health.gov.au::c7b3269f-4401-4bcc-b6a3-89a4437b185b" userProvider="AD" userName="PEARSON, Kenya"/>
      </t:Event>
      <t:Event id="{60E9015F-F9F0-43A7-AB47-8D8B3969B881}" time="2023-08-10T07:59:25.791Z">
        <t:Attribution userId="S::georgia.behrens@health.gov.au::0218d016-9834-4dc6-9ec1-c1c0015beb3e" userProvider="AD" userName="BEHRENS, Georgia"/>
        <t:Anchor>
          <t:Comment id="1738269560"/>
        </t:Anchor>
        <t:SetTitle title="@PEARSON, Kenya"/>
      </t:Event>
    </t:History>
  </t:Task>
  <t:Task id="{11DC237B-6BD1-4AF2-87A2-5993E5AB8CA5}">
    <t:Anchor>
      <t:Comment id="679365800"/>
    </t:Anchor>
    <t:History>
      <t:Event id="{DB0AB62F-27CE-4494-975A-C0C692FEFD7E}" time="2023-08-10T08:00:46.034Z">
        <t:Attribution userId="S::georgia.behrens@health.gov.au::0218d016-9834-4dc6-9ec1-c1c0015beb3e" userProvider="AD" userName="BEHRENS, Georgia"/>
        <t:Anchor>
          <t:Comment id="282082762"/>
        </t:Anchor>
        <t:Create/>
      </t:Event>
      <t:Event id="{F866D064-EB9E-41C2-82A2-BAB5AE10EC1F}" time="2023-08-10T08:00:46.034Z">
        <t:Attribution userId="S::georgia.behrens@health.gov.au::0218d016-9834-4dc6-9ec1-c1c0015beb3e" userProvider="AD" userName="BEHRENS, Georgia"/>
        <t:Anchor>
          <t:Comment id="282082762"/>
        </t:Anchor>
        <t:Assign userId="S::Kenya.PEARSON@Health.gov.au::c7b3269f-4401-4bcc-b6a3-89a4437b185b" userProvider="AD" userName="PEARSON, Kenya"/>
      </t:Event>
      <t:Event id="{84229864-384A-4E68-A3AA-D1F61BD5136E}" time="2023-08-10T08:00:46.034Z">
        <t:Attribution userId="S::georgia.behrens@health.gov.au::0218d016-9834-4dc6-9ec1-c1c0015beb3e" userProvider="AD" userName="BEHRENS, Georgia"/>
        <t:Anchor>
          <t:Comment id="282082762"/>
        </t:Anchor>
        <t:SetTitle title="@PEARSON, Kenya"/>
      </t:Event>
    </t:History>
  </t:Task>
  <t:Task id="{C642F57C-415F-468C-A7B7-867B64948EC2}">
    <t:Anchor>
      <t:Comment id="679365817"/>
    </t:Anchor>
    <t:History>
      <t:Event id="{418779FF-D7B7-41E7-A07D-B0CD2FD2199F}" time="2023-08-10T08:01:42.755Z">
        <t:Attribution userId="S::georgia.behrens@health.gov.au::0218d016-9834-4dc6-9ec1-c1c0015beb3e" userProvider="AD" userName="BEHRENS, Georgia"/>
        <t:Anchor>
          <t:Comment id="1074332479"/>
        </t:Anchor>
        <t:Create/>
      </t:Event>
      <t:Event id="{2E29CFAF-787D-4C88-9A6E-F2F16EC9CDD8}" time="2023-08-10T08:01:42.755Z">
        <t:Attribution userId="S::georgia.behrens@health.gov.au::0218d016-9834-4dc6-9ec1-c1c0015beb3e" userProvider="AD" userName="BEHRENS, Georgia"/>
        <t:Anchor>
          <t:Comment id="1074332479"/>
        </t:Anchor>
        <t:Assign userId="S::Kenya.PEARSON@Health.gov.au::c7b3269f-4401-4bcc-b6a3-89a4437b185b" userProvider="AD" userName="PEARSON, Kenya"/>
      </t:Event>
      <t:Event id="{3AF7AEB3-FFF7-414D-AE34-C8E8352999AE}" time="2023-08-10T08:01:42.755Z">
        <t:Attribution userId="S::georgia.behrens@health.gov.au::0218d016-9834-4dc6-9ec1-c1c0015beb3e" userProvider="AD" userName="BEHRENS, Georgia"/>
        <t:Anchor>
          <t:Comment id="1074332479"/>
        </t:Anchor>
        <t:SetTitle title="@PEARSON, Kenya"/>
      </t:Event>
    </t:History>
  </t:Task>
</t:Tasks>
</file>

<file path=word/theme/theme1.xml><?xml version="1.0" encoding="utf-8"?>
<a:theme xmlns:a="http://schemas.openxmlformats.org/drawingml/2006/main" name="Office Theme">
  <a:themeElements>
    <a:clrScheme name="Custom 10">
      <a:dk1>
        <a:srgbClr val="000000"/>
      </a:dk1>
      <a:lt1>
        <a:srgbClr val="FFFFFF"/>
      </a:lt1>
      <a:dk2>
        <a:srgbClr val="6D6D70"/>
      </a:dk2>
      <a:lt2>
        <a:srgbClr val="F0F1F1"/>
      </a:lt2>
      <a:accent1>
        <a:srgbClr val="008A95"/>
      </a:accent1>
      <a:accent2>
        <a:srgbClr val="153A6E"/>
      </a:accent2>
      <a:accent3>
        <a:srgbClr val="A5A5A5"/>
      </a:accent3>
      <a:accent4>
        <a:srgbClr val="A11165"/>
      </a:accent4>
      <a:accent5>
        <a:srgbClr val="A7B12F"/>
      </a:accent5>
      <a:accent6>
        <a:srgbClr val="E1C50A"/>
      </a:accent6>
      <a:hlink>
        <a:srgbClr val="034A9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4" ma:contentTypeDescription="Create a new document." ma:contentTypeScope="" ma:versionID="2cbeb1866f429d38da24dc616ff7291a">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85d387d5de69091abfc5e0c640aeca43"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5722de-be2b-4773-88a5-9d966349aba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8CA33-A996-417C-B69E-CC694B2AD3CD}">
  <ds:schemaRefs>
    <ds:schemaRef ds:uri="http://schemas.openxmlformats.org/officeDocument/2006/bibliography"/>
  </ds:schemaRefs>
</ds:datastoreItem>
</file>

<file path=customXml/itemProps2.xml><?xml version="1.0" encoding="utf-8"?>
<ds:datastoreItem xmlns:ds="http://schemas.openxmlformats.org/officeDocument/2006/customXml" ds:itemID="{F54D2144-8A20-423B-BD0C-AEAA4BCA7DDC}">
  <ds:schemaRefs>
    <ds:schemaRef ds:uri="http://schemas.microsoft.com/sharepoint/v3/contenttype/forms"/>
  </ds:schemaRefs>
</ds:datastoreItem>
</file>

<file path=customXml/itemProps3.xml><?xml version="1.0" encoding="utf-8"?>
<ds:datastoreItem xmlns:ds="http://schemas.openxmlformats.org/officeDocument/2006/customXml" ds:itemID="{45C356FD-AB59-4AAA-8CF1-FC31DD8CA838}">
  <ds:schemaRefs>
    <ds:schemaRef ds:uri="http://schemas.microsoft.com/office/infopath/2007/PartnerControls"/>
    <ds:schemaRef ds:uri="http://purl.org/dc/elements/1.1/"/>
    <ds:schemaRef ds:uri="http://schemas.microsoft.com/office/2006/metadata/properties"/>
    <ds:schemaRef ds:uri="66bf78ea-4de6-4202-9ad2-7b55950f35bb"/>
    <ds:schemaRef ds:uri="http://purl.org/dc/terms/"/>
    <ds:schemaRef ds:uri="http://schemas.openxmlformats.org/package/2006/metadata/core-properties"/>
    <ds:schemaRef ds:uri="a478078e-e899-4d03-a5a3-682e45d765a0"/>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F130E3DA-6F39-4C5E-BB6C-C1CB2FBF1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41512</Words>
  <Characters>249038</Characters>
  <Application>Microsoft Office Word</Application>
  <DocSecurity>0</DocSecurity>
  <Lines>3473</Lines>
  <Paragraphs>1052</Paragraphs>
  <ScaleCrop>false</ScaleCrop>
  <HeadingPairs>
    <vt:vector size="2" baseType="variant">
      <vt:variant>
        <vt:lpstr>Title</vt:lpstr>
      </vt:variant>
      <vt:variant>
        <vt:i4>1</vt:i4>
      </vt:variant>
    </vt:vector>
  </HeadingPairs>
  <TitlesOfParts>
    <vt:vector size="1" baseType="lpstr">
      <vt:lpstr>National Health and Climate Strategy</vt:lpstr>
    </vt:vector>
  </TitlesOfParts>
  <Company/>
  <LinksUpToDate>false</LinksUpToDate>
  <CharactersWithSpaces>289773</CharactersWithSpaces>
  <SharedDoc>false</SharedDoc>
  <HLinks>
    <vt:vector size="1704" baseType="variant">
      <vt:variant>
        <vt:i4>1835099</vt:i4>
      </vt:variant>
      <vt:variant>
        <vt:i4>411</vt:i4>
      </vt:variant>
      <vt:variant>
        <vt:i4>0</vt:i4>
      </vt:variant>
      <vt:variant>
        <vt:i4>5</vt:i4>
      </vt:variant>
      <vt:variant>
        <vt:lpwstr>https://www.safetyandquality.gov.au/our-work/healthcare-variation/user-guide-reviewing-clinical-variation</vt:lpwstr>
      </vt:variant>
      <vt:variant>
        <vt:lpwstr/>
      </vt:variant>
      <vt:variant>
        <vt:i4>720960</vt:i4>
      </vt:variant>
      <vt:variant>
        <vt:i4>408</vt:i4>
      </vt:variant>
      <vt:variant>
        <vt:i4>0</vt:i4>
      </vt:variant>
      <vt:variant>
        <vt:i4>5</vt:i4>
      </vt:variant>
      <vt:variant>
        <vt:lpwstr>https://www.finance.gov.au/government/aps-net-zero-emissions-2030</vt:lpwstr>
      </vt:variant>
      <vt:variant>
        <vt:lpwstr/>
      </vt:variant>
      <vt:variant>
        <vt:i4>5832776</vt:i4>
      </vt:variant>
      <vt:variant>
        <vt:i4>405</vt:i4>
      </vt:variant>
      <vt:variant>
        <vt:i4>0</vt:i4>
      </vt:variant>
      <vt:variant>
        <vt:i4>5</vt:i4>
      </vt:variant>
      <vt:variant>
        <vt:lpwstr>https://www.climateactive.org.au/</vt:lpwstr>
      </vt:variant>
      <vt:variant>
        <vt:lpwstr/>
      </vt:variant>
      <vt:variant>
        <vt:i4>3211326</vt:i4>
      </vt:variant>
      <vt:variant>
        <vt:i4>402</vt:i4>
      </vt:variant>
      <vt:variant>
        <vt:i4>0</vt:i4>
      </vt:variant>
      <vt:variant>
        <vt:i4>5</vt:i4>
      </vt:variant>
      <vt:variant>
        <vt:lpwstr>https://www.dcceew.gov.au/climate-change/publications/national-inventory-by-economic-sector</vt:lpwstr>
      </vt:variant>
      <vt:variant>
        <vt:lpwstr/>
      </vt:variant>
      <vt:variant>
        <vt:i4>3866666</vt:i4>
      </vt:variant>
      <vt:variant>
        <vt:i4>399</vt:i4>
      </vt:variant>
      <vt:variant>
        <vt:i4>0</vt:i4>
      </vt:variant>
      <vt:variant>
        <vt:i4>5</vt:i4>
      </vt:variant>
      <vt:variant>
        <vt:lpwstr>https://ageis.climatechange.gov.au/</vt:lpwstr>
      </vt:variant>
      <vt:variant>
        <vt:lpwstr/>
      </vt:variant>
      <vt:variant>
        <vt:i4>6357107</vt:i4>
      </vt:variant>
      <vt:variant>
        <vt:i4>396</vt:i4>
      </vt:variant>
      <vt:variant>
        <vt:i4>0</vt:i4>
      </vt:variant>
      <vt:variant>
        <vt:i4>5</vt:i4>
      </vt:variant>
      <vt:variant>
        <vt:lpwstr>https://www.cleanenergyregulator.gov.au/NGER/Pages/default.aspx</vt:lpwstr>
      </vt:variant>
      <vt:variant>
        <vt:lpwstr/>
      </vt:variant>
      <vt:variant>
        <vt:i4>3211326</vt:i4>
      </vt:variant>
      <vt:variant>
        <vt:i4>393</vt:i4>
      </vt:variant>
      <vt:variant>
        <vt:i4>0</vt:i4>
      </vt:variant>
      <vt:variant>
        <vt:i4>5</vt:i4>
      </vt:variant>
      <vt:variant>
        <vt:lpwstr>https://www.dcceew.gov.au/climate-change/publications/national-inventory-by-economic-sector</vt:lpwstr>
      </vt:variant>
      <vt:variant>
        <vt:lpwstr/>
      </vt:variant>
      <vt:variant>
        <vt:i4>1245233</vt:i4>
      </vt:variant>
      <vt:variant>
        <vt:i4>386</vt:i4>
      </vt:variant>
      <vt:variant>
        <vt:i4>0</vt:i4>
      </vt:variant>
      <vt:variant>
        <vt:i4>5</vt:i4>
      </vt:variant>
      <vt:variant>
        <vt:lpwstr/>
      </vt:variant>
      <vt:variant>
        <vt:lpwstr>_Toc151481943</vt:lpwstr>
      </vt:variant>
      <vt:variant>
        <vt:i4>1245233</vt:i4>
      </vt:variant>
      <vt:variant>
        <vt:i4>380</vt:i4>
      </vt:variant>
      <vt:variant>
        <vt:i4>0</vt:i4>
      </vt:variant>
      <vt:variant>
        <vt:i4>5</vt:i4>
      </vt:variant>
      <vt:variant>
        <vt:lpwstr/>
      </vt:variant>
      <vt:variant>
        <vt:lpwstr>_Toc151481942</vt:lpwstr>
      </vt:variant>
      <vt:variant>
        <vt:i4>1245233</vt:i4>
      </vt:variant>
      <vt:variant>
        <vt:i4>374</vt:i4>
      </vt:variant>
      <vt:variant>
        <vt:i4>0</vt:i4>
      </vt:variant>
      <vt:variant>
        <vt:i4>5</vt:i4>
      </vt:variant>
      <vt:variant>
        <vt:lpwstr/>
      </vt:variant>
      <vt:variant>
        <vt:lpwstr>_Toc151481941</vt:lpwstr>
      </vt:variant>
      <vt:variant>
        <vt:i4>1245233</vt:i4>
      </vt:variant>
      <vt:variant>
        <vt:i4>368</vt:i4>
      </vt:variant>
      <vt:variant>
        <vt:i4>0</vt:i4>
      </vt:variant>
      <vt:variant>
        <vt:i4>5</vt:i4>
      </vt:variant>
      <vt:variant>
        <vt:lpwstr/>
      </vt:variant>
      <vt:variant>
        <vt:lpwstr>_Toc151481940</vt:lpwstr>
      </vt:variant>
      <vt:variant>
        <vt:i4>1310769</vt:i4>
      </vt:variant>
      <vt:variant>
        <vt:i4>362</vt:i4>
      </vt:variant>
      <vt:variant>
        <vt:i4>0</vt:i4>
      </vt:variant>
      <vt:variant>
        <vt:i4>5</vt:i4>
      </vt:variant>
      <vt:variant>
        <vt:lpwstr/>
      </vt:variant>
      <vt:variant>
        <vt:lpwstr>_Toc151481939</vt:lpwstr>
      </vt:variant>
      <vt:variant>
        <vt:i4>1310769</vt:i4>
      </vt:variant>
      <vt:variant>
        <vt:i4>356</vt:i4>
      </vt:variant>
      <vt:variant>
        <vt:i4>0</vt:i4>
      </vt:variant>
      <vt:variant>
        <vt:i4>5</vt:i4>
      </vt:variant>
      <vt:variant>
        <vt:lpwstr/>
      </vt:variant>
      <vt:variant>
        <vt:lpwstr>_Toc151481938</vt:lpwstr>
      </vt:variant>
      <vt:variant>
        <vt:i4>1310769</vt:i4>
      </vt:variant>
      <vt:variant>
        <vt:i4>350</vt:i4>
      </vt:variant>
      <vt:variant>
        <vt:i4>0</vt:i4>
      </vt:variant>
      <vt:variant>
        <vt:i4>5</vt:i4>
      </vt:variant>
      <vt:variant>
        <vt:lpwstr/>
      </vt:variant>
      <vt:variant>
        <vt:lpwstr>_Toc151481937</vt:lpwstr>
      </vt:variant>
      <vt:variant>
        <vt:i4>1310769</vt:i4>
      </vt:variant>
      <vt:variant>
        <vt:i4>344</vt:i4>
      </vt:variant>
      <vt:variant>
        <vt:i4>0</vt:i4>
      </vt:variant>
      <vt:variant>
        <vt:i4>5</vt:i4>
      </vt:variant>
      <vt:variant>
        <vt:lpwstr/>
      </vt:variant>
      <vt:variant>
        <vt:lpwstr>_Toc151481936</vt:lpwstr>
      </vt:variant>
      <vt:variant>
        <vt:i4>1310769</vt:i4>
      </vt:variant>
      <vt:variant>
        <vt:i4>338</vt:i4>
      </vt:variant>
      <vt:variant>
        <vt:i4>0</vt:i4>
      </vt:variant>
      <vt:variant>
        <vt:i4>5</vt:i4>
      </vt:variant>
      <vt:variant>
        <vt:lpwstr/>
      </vt:variant>
      <vt:variant>
        <vt:lpwstr>_Toc151481935</vt:lpwstr>
      </vt:variant>
      <vt:variant>
        <vt:i4>1310769</vt:i4>
      </vt:variant>
      <vt:variant>
        <vt:i4>332</vt:i4>
      </vt:variant>
      <vt:variant>
        <vt:i4>0</vt:i4>
      </vt:variant>
      <vt:variant>
        <vt:i4>5</vt:i4>
      </vt:variant>
      <vt:variant>
        <vt:lpwstr/>
      </vt:variant>
      <vt:variant>
        <vt:lpwstr>_Toc151481934</vt:lpwstr>
      </vt:variant>
      <vt:variant>
        <vt:i4>1310769</vt:i4>
      </vt:variant>
      <vt:variant>
        <vt:i4>326</vt:i4>
      </vt:variant>
      <vt:variant>
        <vt:i4>0</vt:i4>
      </vt:variant>
      <vt:variant>
        <vt:i4>5</vt:i4>
      </vt:variant>
      <vt:variant>
        <vt:lpwstr/>
      </vt:variant>
      <vt:variant>
        <vt:lpwstr>_Toc151481933</vt:lpwstr>
      </vt:variant>
      <vt:variant>
        <vt:i4>1310769</vt:i4>
      </vt:variant>
      <vt:variant>
        <vt:i4>320</vt:i4>
      </vt:variant>
      <vt:variant>
        <vt:i4>0</vt:i4>
      </vt:variant>
      <vt:variant>
        <vt:i4>5</vt:i4>
      </vt:variant>
      <vt:variant>
        <vt:lpwstr/>
      </vt:variant>
      <vt:variant>
        <vt:lpwstr>_Toc151481932</vt:lpwstr>
      </vt:variant>
      <vt:variant>
        <vt:i4>1310769</vt:i4>
      </vt:variant>
      <vt:variant>
        <vt:i4>314</vt:i4>
      </vt:variant>
      <vt:variant>
        <vt:i4>0</vt:i4>
      </vt:variant>
      <vt:variant>
        <vt:i4>5</vt:i4>
      </vt:variant>
      <vt:variant>
        <vt:lpwstr/>
      </vt:variant>
      <vt:variant>
        <vt:lpwstr>_Toc151481931</vt:lpwstr>
      </vt:variant>
      <vt:variant>
        <vt:i4>1310769</vt:i4>
      </vt:variant>
      <vt:variant>
        <vt:i4>308</vt:i4>
      </vt:variant>
      <vt:variant>
        <vt:i4>0</vt:i4>
      </vt:variant>
      <vt:variant>
        <vt:i4>5</vt:i4>
      </vt:variant>
      <vt:variant>
        <vt:lpwstr/>
      </vt:variant>
      <vt:variant>
        <vt:lpwstr>_Toc151481930</vt:lpwstr>
      </vt:variant>
      <vt:variant>
        <vt:i4>1376305</vt:i4>
      </vt:variant>
      <vt:variant>
        <vt:i4>302</vt:i4>
      </vt:variant>
      <vt:variant>
        <vt:i4>0</vt:i4>
      </vt:variant>
      <vt:variant>
        <vt:i4>5</vt:i4>
      </vt:variant>
      <vt:variant>
        <vt:lpwstr/>
      </vt:variant>
      <vt:variant>
        <vt:lpwstr>_Toc151481929</vt:lpwstr>
      </vt:variant>
      <vt:variant>
        <vt:i4>1376305</vt:i4>
      </vt:variant>
      <vt:variant>
        <vt:i4>296</vt:i4>
      </vt:variant>
      <vt:variant>
        <vt:i4>0</vt:i4>
      </vt:variant>
      <vt:variant>
        <vt:i4>5</vt:i4>
      </vt:variant>
      <vt:variant>
        <vt:lpwstr/>
      </vt:variant>
      <vt:variant>
        <vt:lpwstr>_Toc151481928</vt:lpwstr>
      </vt:variant>
      <vt:variant>
        <vt:i4>1376305</vt:i4>
      </vt:variant>
      <vt:variant>
        <vt:i4>290</vt:i4>
      </vt:variant>
      <vt:variant>
        <vt:i4>0</vt:i4>
      </vt:variant>
      <vt:variant>
        <vt:i4>5</vt:i4>
      </vt:variant>
      <vt:variant>
        <vt:lpwstr/>
      </vt:variant>
      <vt:variant>
        <vt:lpwstr>_Toc151481927</vt:lpwstr>
      </vt:variant>
      <vt:variant>
        <vt:i4>1376305</vt:i4>
      </vt:variant>
      <vt:variant>
        <vt:i4>284</vt:i4>
      </vt:variant>
      <vt:variant>
        <vt:i4>0</vt:i4>
      </vt:variant>
      <vt:variant>
        <vt:i4>5</vt:i4>
      </vt:variant>
      <vt:variant>
        <vt:lpwstr/>
      </vt:variant>
      <vt:variant>
        <vt:lpwstr>_Toc151481926</vt:lpwstr>
      </vt:variant>
      <vt:variant>
        <vt:i4>1376305</vt:i4>
      </vt:variant>
      <vt:variant>
        <vt:i4>278</vt:i4>
      </vt:variant>
      <vt:variant>
        <vt:i4>0</vt:i4>
      </vt:variant>
      <vt:variant>
        <vt:i4>5</vt:i4>
      </vt:variant>
      <vt:variant>
        <vt:lpwstr/>
      </vt:variant>
      <vt:variant>
        <vt:lpwstr>_Toc151481925</vt:lpwstr>
      </vt:variant>
      <vt:variant>
        <vt:i4>1376305</vt:i4>
      </vt:variant>
      <vt:variant>
        <vt:i4>272</vt:i4>
      </vt:variant>
      <vt:variant>
        <vt:i4>0</vt:i4>
      </vt:variant>
      <vt:variant>
        <vt:i4>5</vt:i4>
      </vt:variant>
      <vt:variant>
        <vt:lpwstr/>
      </vt:variant>
      <vt:variant>
        <vt:lpwstr>_Toc151481924</vt:lpwstr>
      </vt:variant>
      <vt:variant>
        <vt:i4>1376305</vt:i4>
      </vt:variant>
      <vt:variant>
        <vt:i4>266</vt:i4>
      </vt:variant>
      <vt:variant>
        <vt:i4>0</vt:i4>
      </vt:variant>
      <vt:variant>
        <vt:i4>5</vt:i4>
      </vt:variant>
      <vt:variant>
        <vt:lpwstr/>
      </vt:variant>
      <vt:variant>
        <vt:lpwstr>_Toc151481923</vt:lpwstr>
      </vt:variant>
      <vt:variant>
        <vt:i4>1376305</vt:i4>
      </vt:variant>
      <vt:variant>
        <vt:i4>260</vt:i4>
      </vt:variant>
      <vt:variant>
        <vt:i4>0</vt:i4>
      </vt:variant>
      <vt:variant>
        <vt:i4>5</vt:i4>
      </vt:variant>
      <vt:variant>
        <vt:lpwstr/>
      </vt:variant>
      <vt:variant>
        <vt:lpwstr>_Toc151481922</vt:lpwstr>
      </vt:variant>
      <vt:variant>
        <vt:i4>1376305</vt:i4>
      </vt:variant>
      <vt:variant>
        <vt:i4>254</vt:i4>
      </vt:variant>
      <vt:variant>
        <vt:i4>0</vt:i4>
      </vt:variant>
      <vt:variant>
        <vt:i4>5</vt:i4>
      </vt:variant>
      <vt:variant>
        <vt:lpwstr/>
      </vt:variant>
      <vt:variant>
        <vt:lpwstr>_Toc151481921</vt:lpwstr>
      </vt:variant>
      <vt:variant>
        <vt:i4>1376305</vt:i4>
      </vt:variant>
      <vt:variant>
        <vt:i4>248</vt:i4>
      </vt:variant>
      <vt:variant>
        <vt:i4>0</vt:i4>
      </vt:variant>
      <vt:variant>
        <vt:i4>5</vt:i4>
      </vt:variant>
      <vt:variant>
        <vt:lpwstr/>
      </vt:variant>
      <vt:variant>
        <vt:lpwstr>_Toc151481920</vt:lpwstr>
      </vt:variant>
      <vt:variant>
        <vt:i4>1441841</vt:i4>
      </vt:variant>
      <vt:variant>
        <vt:i4>242</vt:i4>
      </vt:variant>
      <vt:variant>
        <vt:i4>0</vt:i4>
      </vt:variant>
      <vt:variant>
        <vt:i4>5</vt:i4>
      </vt:variant>
      <vt:variant>
        <vt:lpwstr/>
      </vt:variant>
      <vt:variant>
        <vt:lpwstr>_Toc151481919</vt:lpwstr>
      </vt:variant>
      <vt:variant>
        <vt:i4>1441841</vt:i4>
      </vt:variant>
      <vt:variant>
        <vt:i4>236</vt:i4>
      </vt:variant>
      <vt:variant>
        <vt:i4>0</vt:i4>
      </vt:variant>
      <vt:variant>
        <vt:i4>5</vt:i4>
      </vt:variant>
      <vt:variant>
        <vt:lpwstr/>
      </vt:variant>
      <vt:variant>
        <vt:lpwstr>_Toc151481918</vt:lpwstr>
      </vt:variant>
      <vt:variant>
        <vt:i4>1441841</vt:i4>
      </vt:variant>
      <vt:variant>
        <vt:i4>230</vt:i4>
      </vt:variant>
      <vt:variant>
        <vt:i4>0</vt:i4>
      </vt:variant>
      <vt:variant>
        <vt:i4>5</vt:i4>
      </vt:variant>
      <vt:variant>
        <vt:lpwstr/>
      </vt:variant>
      <vt:variant>
        <vt:lpwstr>_Toc151481917</vt:lpwstr>
      </vt:variant>
      <vt:variant>
        <vt:i4>1441841</vt:i4>
      </vt:variant>
      <vt:variant>
        <vt:i4>224</vt:i4>
      </vt:variant>
      <vt:variant>
        <vt:i4>0</vt:i4>
      </vt:variant>
      <vt:variant>
        <vt:i4>5</vt:i4>
      </vt:variant>
      <vt:variant>
        <vt:lpwstr/>
      </vt:variant>
      <vt:variant>
        <vt:lpwstr>_Toc151481916</vt:lpwstr>
      </vt:variant>
      <vt:variant>
        <vt:i4>1441841</vt:i4>
      </vt:variant>
      <vt:variant>
        <vt:i4>218</vt:i4>
      </vt:variant>
      <vt:variant>
        <vt:i4>0</vt:i4>
      </vt:variant>
      <vt:variant>
        <vt:i4>5</vt:i4>
      </vt:variant>
      <vt:variant>
        <vt:lpwstr/>
      </vt:variant>
      <vt:variant>
        <vt:lpwstr>_Toc151481915</vt:lpwstr>
      </vt:variant>
      <vt:variant>
        <vt:i4>1441841</vt:i4>
      </vt:variant>
      <vt:variant>
        <vt:i4>212</vt:i4>
      </vt:variant>
      <vt:variant>
        <vt:i4>0</vt:i4>
      </vt:variant>
      <vt:variant>
        <vt:i4>5</vt:i4>
      </vt:variant>
      <vt:variant>
        <vt:lpwstr/>
      </vt:variant>
      <vt:variant>
        <vt:lpwstr>_Toc151481914</vt:lpwstr>
      </vt:variant>
      <vt:variant>
        <vt:i4>1441841</vt:i4>
      </vt:variant>
      <vt:variant>
        <vt:i4>206</vt:i4>
      </vt:variant>
      <vt:variant>
        <vt:i4>0</vt:i4>
      </vt:variant>
      <vt:variant>
        <vt:i4>5</vt:i4>
      </vt:variant>
      <vt:variant>
        <vt:lpwstr/>
      </vt:variant>
      <vt:variant>
        <vt:lpwstr>_Toc151481913</vt:lpwstr>
      </vt:variant>
      <vt:variant>
        <vt:i4>1441841</vt:i4>
      </vt:variant>
      <vt:variant>
        <vt:i4>200</vt:i4>
      </vt:variant>
      <vt:variant>
        <vt:i4>0</vt:i4>
      </vt:variant>
      <vt:variant>
        <vt:i4>5</vt:i4>
      </vt:variant>
      <vt:variant>
        <vt:lpwstr/>
      </vt:variant>
      <vt:variant>
        <vt:lpwstr>_Toc151481912</vt:lpwstr>
      </vt:variant>
      <vt:variant>
        <vt:i4>1441841</vt:i4>
      </vt:variant>
      <vt:variant>
        <vt:i4>194</vt:i4>
      </vt:variant>
      <vt:variant>
        <vt:i4>0</vt:i4>
      </vt:variant>
      <vt:variant>
        <vt:i4>5</vt:i4>
      </vt:variant>
      <vt:variant>
        <vt:lpwstr/>
      </vt:variant>
      <vt:variant>
        <vt:lpwstr>_Toc151481911</vt:lpwstr>
      </vt:variant>
      <vt:variant>
        <vt:i4>1441841</vt:i4>
      </vt:variant>
      <vt:variant>
        <vt:i4>188</vt:i4>
      </vt:variant>
      <vt:variant>
        <vt:i4>0</vt:i4>
      </vt:variant>
      <vt:variant>
        <vt:i4>5</vt:i4>
      </vt:variant>
      <vt:variant>
        <vt:lpwstr/>
      </vt:variant>
      <vt:variant>
        <vt:lpwstr>_Toc151481910</vt:lpwstr>
      </vt:variant>
      <vt:variant>
        <vt:i4>1507377</vt:i4>
      </vt:variant>
      <vt:variant>
        <vt:i4>182</vt:i4>
      </vt:variant>
      <vt:variant>
        <vt:i4>0</vt:i4>
      </vt:variant>
      <vt:variant>
        <vt:i4>5</vt:i4>
      </vt:variant>
      <vt:variant>
        <vt:lpwstr/>
      </vt:variant>
      <vt:variant>
        <vt:lpwstr>_Toc151481909</vt:lpwstr>
      </vt:variant>
      <vt:variant>
        <vt:i4>1507377</vt:i4>
      </vt:variant>
      <vt:variant>
        <vt:i4>176</vt:i4>
      </vt:variant>
      <vt:variant>
        <vt:i4>0</vt:i4>
      </vt:variant>
      <vt:variant>
        <vt:i4>5</vt:i4>
      </vt:variant>
      <vt:variant>
        <vt:lpwstr/>
      </vt:variant>
      <vt:variant>
        <vt:lpwstr>_Toc151481908</vt:lpwstr>
      </vt:variant>
      <vt:variant>
        <vt:i4>1507377</vt:i4>
      </vt:variant>
      <vt:variant>
        <vt:i4>170</vt:i4>
      </vt:variant>
      <vt:variant>
        <vt:i4>0</vt:i4>
      </vt:variant>
      <vt:variant>
        <vt:i4>5</vt:i4>
      </vt:variant>
      <vt:variant>
        <vt:lpwstr/>
      </vt:variant>
      <vt:variant>
        <vt:lpwstr>_Toc151481907</vt:lpwstr>
      </vt:variant>
      <vt:variant>
        <vt:i4>1507377</vt:i4>
      </vt:variant>
      <vt:variant>
        <vt:i4>164</vt:i4>
      </vt:variant>
      <vt:variant>
        <vt:i4>0</vt:i4>
      </vt:variant>
      <vt:variant>
        <vt:i4>5</vt:i4>
      </vt:variant>
      <vt:variant>
        <vt:lpwstr/>
      </vt:variant>
      <vt:variant>
        <vt:lpwstr>_Toc151481906</vt:lpwstr>
      </vt:variant>
      <vt:variant>
        <vt:i4>1507377</vt:i4>
      </vt:variant>
      <vt:variant>
        <vt:i4>158</vt:i4>
      </vt:variant>
      <vt:variant>
        <vt:i4>0</vt:i4>
      </vt:variant>
      <vt:variant>
        <vt:i4>5</vt:i4>
      </vt:variant>
      <vt:variant>
        <vt:lpwstr/>
      </vt:variant>
      <vt:variant>
        <vt:lpwstr>_Toc151481905</vt:lpwstr>
      </vt:variant>
      <vt:variant>
        <vt:i4>1507377</vt:i4>
      </vt:variant>
      <vt:variant>
        <vt:i4>152</vt:i4>
      </vt:variant>
      <vt:variant>
        <vt:i4>0</vt:i4>
      </vt:variant>
      <vt:variant>
        <vt:i4>5</vt:i4>
      </vt:variant>
      <vt:variant>
        <vt:lpwstr/>
      </vt:variant>
      <vt:variant>
        <vt:lpwstr>_Toc151481904</vt:lpwstr>
      </vt:variant>
      <vt:variant>
        <vt:i4>1507377</vt:i4>
      </vt:variant>
      <vt:variant>
        <vt:i4>146</vt:i4>
      </vt:variant>
      <vt:variant>
        <vt:i4>0</vt:i4>
      </vt:variant>
      <vt:variant>
        <vt:i4>5</vt:i4>
      </vt:variant>
      <vt:variant>
        <vt:lpwstr/>
      </vt:variant>
      <vt:variant>
        <vt:lpwstr>_Toc151481903</vt:lpwstr>
      </vt:variant>
      <vt:variant>
        <vt:i4>1507377</vt:i4>
      </vt:variant>
      <vt:variant>
        <vt:i4>140</vt:i4>
      </vt:variant>
      <vt:variant>
        <vt:i4>0</vt:i4>
      </vt:variant>
      <vt:variant>
        <vt:i4>5</vt:i4>
      </vt:variant>
      <vt:variant>
        <vt:lpwstr/>
      </vt:variant>
      <vt:variant>
        <vt:lpwstr>_Toc151481902</vt:lpwstr>
      </vt:variant>
      <vt:variant>
        <vt:i4>1507377</vt:i4>
      </vt:variant>
      <vt:variant>
        <vt:i4>134</vt:i4>
      </vt:variant>
      <vt:variant>
        <vt:i4>0</vt:i4>
      </vt:variant>
      <vt:variant>
        <vt:i4>5</vt:i4>
      </vt:variant>
      <vt:variant>
        <vt:lpwstr/>
      </vt:variant>
      <vt:variant>
        <vt:lpwstr>_Toc151481901</vt:lpwstr>
      </vt:variant>
      <vt:variant>
        <vt:i4>1507377</vt:i4>
      </vt:variant>
      <vt:variant>
        <vt:i4>128</vt:i4>
      </vt:variant>
      <vt:variant>
        <vt:i4>0</vt:i4>
      </vt:variant>
      <vt:variant>
        <vt:i4>5</vt:i4>
      </vt:variant>
      <vt:variant>
        <vt:lpwstr/>
      </vt:variant>
      <vt:variant>
        <vt:lpwstr>_Toc151481900</vt:lpwstr>
      </vt:variant>
      <vt:variant>
        <vt:i4>1966128</vt:i4>
      </vt:variant>
      <vt:variant>
        <vt:i4>122</vt:i4>
      </vt:variant>
      <vt:variant>
        <vt:i4>0</vt:i4>
      </vt:variant>
      <vt:variant>
        <vt:i4>5</vt:i4>
      </vt:variant>
      <vt:variant>
        <vt:lpwstr/>
      </vt:variant>
      <vt:variant>
        <vt:lpwstr>_Toc151481899</vt:lpwstr>
      </vt:variant>
      <vt:variant>
        <vt:i4>1966128</vt:i4>
      </vt:variant>
      <vt:variant>
        <vt:i4>116</vt:i4>
      </vt:variant>
      <vt:variant>
        <vt:i4>0</vt:i4>
      </vt:variant>
      <vt:variant>
        <vt:i4>5</vt:i4>
      </vt:variant>
      <vt:variant>
        <vt:lpwstr/>
      </vt:variant>
      <vt:variant>
        <vt:lpwstr>_Toc151481898</vt:lpwstr>
      </vt:variant>
      <vt:variant>
        <vt:i4>1966128</vt:i4>
      </vt:variant>
      <vt:variant>
        <vt:i4>110</vt:i4>
      </vt:variant>
      <vt:variant>
        <vt:i4>0</vt:i4>
      </vt:variant>
      <vt:variant>
        <vt:i4>5</vt:i4>
      </vt:variant>
      <vt:variant>
        <vt:lpwstr/>
      </vt:variant>
      <vt:variant>
        <vt:lpwstr>_Toc151481897</vt:lpwstr>
      </vt:variant>
      <vt:variant>
        <vt:i4>1966128</vt:i4>
      </vt:variant>
      <vt:variant>
        <vt:i4>104</vt:i4>
      </vt:variant>
      <vt:variant>
        <vt:i4>0</vt:i4>
      </vt:variant>
      <vt:variant>
        <vt:i4>5</vt:i4>
      </vt:variant>
      <vt:variant>
        <vt:lpwstr/>
      </vt:variant>
      <vt:variant>
        <vt:lpwstr>_Toc151481896</vt:lpwstr>
      </vt:variant>
      <vt:variant>
        <vt:i4>1966128</vt:i4>
      </vt:variant>
      <vt:variant>
        <vt:i4>98</vt:i4>
      </vt:variant>
      <vt:variant>
        <vt:i4>0</vt:i4>
      </vt:variant>
      <vt:variant>
        <vt:i4>5</vt:i4>
      </vt:variant>
      <vt:variant>
        <vt:lpwstr/>
      </vt:variant>
      <vt:variant>
        <vt:lpwstr>_Toc151481895</vt:lpwstr>
      </vt:variant>
      <vt:variant>
        <vt:i4>1966128</vt:i4>
      </vt:variant>
      <vt:variant>
        <vt:i4>92</vt:i4>
      </vt:variant>
      <vt:variant>
        <vt:i4>0</vt:i4>
      </vt:variant>
      <vt:variant>
        <vt:i4>5</vt:i4>
      </vt:variant>
      <vt:variant>
        <vt:lpwstr/>
      </vt:variant>
      <vt:variant>
        <vt:lpwstr>_Toc151481894</vt:lpwstr>
      </vt:variant>
      <vt:variant>
        <vt:i4>1966128</vt:i4>
      </vt:variant>
      <vt:variant>
        <vt:i4>86</vt:i4>
      </vt:variant>
      <vt:variant>
        <vt:i4>0</vt:i4>
      </vt:variant>
      <vt:variant>
        <vt:i4>5</vt:i4>
      </vt:variant>
      <vt:variant>
        <vt:lpwstr/>
      </vt:variant>
      <vt:variant>
        <vt:lpwstr>_Toc151481893</vt:lpwstr>
      </vt:variant>
      <vt:variant>
        <vt:i4>1966128</vt:i4>
      </vt:variant>
      <vt:variant>
        <vt:i4>80</vt:i4>
      </vt:variant>
      <vt:variant>
        <vt:i4>0</vt:i4>
      </vt:variant>
      <vt:variant>
        <vt:i4>5</vt:i4>
      </vt:variant>
      <vt:variant>
        <vt:lpwstr/>
      </vt:variant>
      <vt:variant>
        <vt:lpwstr>_Toc151481892</vt:lpwstr>
      </vt:variant>
      <vt:variant>
        <vt:i4>1966128</vt:i4>
      </vt:variant>
      <vt:variant>
        <vt:i4>74</vt:i4>
      </vt:variant>
      <vt:variant>
        <vt:i4>0</vt:i4>
      </vt:variant>
      <vt:variant>
        <vt:i4>5</vt:i4>
      </vt:variant>
      <vt:variant>
        <vt:lpwstr/>
      </vt:variant>
      <vt:variant>
        <vt:lpwstr>_Toc151481891</vt:lpwstr>
      </vt:variant>
      <vt:variant>
        <vt:i4>1966128</vt:i4>
      </vt:variant>
      <vt:variant>
        <vt:i4>68</vt:i4>
      </vt:variant>
      <vt:variant>
        <vt:i4>0</vt:i4>
      </vt:variant>
      <vt:variant>
        <vt:i4>5</vt:i4>
      </vt:variant>
      <vt:variant>
        <vt:lpwstr/>
      </vt:variant>
      <vt:variant>
        <vt:lpwstr>_Toc151481890</vt:lpwstr>
      </vt:variant>
      <vt:variant>
        <vt:i4>2031664</vt:i4>
      </vt:variant>
      <vt:variant>
        <vt:i4>62</vt:i4>
      </vt:variant>
      <vt:variant>
        <vt:i4>0</vt:i4>
      </vt:variant>
      <vt:variant>
        <vt:i4>5</vt:i4>
      </vt:variant>
      <vt:variant>
        <vt:lpwstr/>
      </vt:variant>
      <vt:variant>
        <vt:lpwstr>_Toc151481889</vt:lpwstr>
      </vt:variant>
      <vt:variant>
        <vt:i4>2031664</vt:i4>
      </vt:variant>
      <vt:variant>
        <vt:i4>56</vt:i4>
      </vt:variant>
      <vt:variant>
        <vt:i4>0</vt:i4>
      </vt:variant>
      <vt:variant>
        <vt:i4>5</vt:i4>
      </vt:variant>
      <vt:variant>
        <vt:lpwstr/>
      </vt:variant>
      <vt:variant>
        <vt:lpwstr>_Toc151481888</vt:lpwstr>
      </vt:variant>
      <vt:variant>
        <vt:i4>2031664</vt:i4>
      </vt:variant>
      <vt:variant>
        <vt:i4>50</vt:i4>
      </vt:variant>
      <vt:variant>
        <vt:i4>0</vt:i4>
      </vt:variant>
      <vt:variant>
        <vt:i4>5</vt:i4>
      </vt:variant>
      <vt:variant>
        <vt:lpwstr/>
      </vt:variant>
      <vt:variant>
        <vt:lpwstr>_Toc151481887</vt:lpwstr>
      </vt:variant>
      <vt:variant>
        <vt:i4>2031664</vt:i4>
      </vt:variant>
      <vt:variant>
        <vt:i4>44</vt:i4>
      </vt:variant>
      <vt:variant>
        <vt:i4>0</vt:i4>
      </vt:variant>
      <vt:variant>
        <vt:i4>5</vt:i4>
      </vt:variant>
      <vt:variant>
        <vt:lpwstr/>
      </vt:variant>
      <vt:variant>
        <vt:lpwstr>_Toc151481886</vt:lpwstr>
      </vt:variant>
      <vt:variant>
        <vt:i4>2031664</vt:i4>
      </vt:variant>
      <vt:variant>
        <vt:i4>38</vt:i4>
      </vt:variant>
      <vt:variant>
        <vt:i4>0</vt:i4>
      </vt:variant>
      <vt:variant>
        <vt:i4>5</vt:i4>
      </vt:variant>
      <vt:variant>
        <vt:lpwstr/>
      </vt:variant>
      <vt:variant>
        <vt:lpwstr>_Toc151481885</vt:lpwstr>
      </vt:variant>
      <vt:variant>
        <vt:i4>2031664</vt:i4>
      </vt:variant>
      <vt:variant>
        <vt:i4>32</vt:i4>
      </vt:variant>
      <vt:variant>
        <vt:i4>0</vt:i4>
      </vt:variant>
      <vt:variant>
        <vt:i4>5</vt:i4>
      </vt:variant>
      <vt:variant>
        <vt:lpwstr/>
      </vt:variant>
      <vt:variant>
        <vt:lpwstr>_Toc151481884</vt:lpwstr>
      </vt:variant>
      <vt:variant>
        <vt:i4>2031664</vt:i4>
      </vt:variant>
      <vt:variant>
        <vt:i4>26</vt:i4>
      </vt:variant>
      <vt:variant>
        <vt:i4>0</vt:i4>
      </vt:variant>
      <vt:variant>
        <vt:i4>5</vt:i4>
      </vt:variant>
      <vt:variant>
        <vt:lpwstr/>
      </vt:variant>
      <vt:variant>
        <vt:lpwstr>_Toc151481883</vt:lpwstr>
      </vt:variant>
      <vt:variant>
        <vt:i4>2031664</vt:i4>
      </vt:variant>
      <vt:variant>
        <vt:i4>20</vt:i4>
      </vt:variant>
      <vt:variant>
        <vt:i4>0</vt:i4>
      </vt:variant>
      <vt:variant>
        <vt:i4>5</vt:i4>
      </vt:variant>
      <vt:variant>
        <vt:lpwstr/>
      </vt:variant>
      <vt:variant>
        <vt:lpwstr>_Toc151481882</vt:lpwstr>
      </vt:variant>
      <vt:variant>
        <vt:i4>2031664</vt:i4>
      </vt:variant>
      <vt:variant>
        <vt:i4>14</vt:i4>
      </vt:variant>
      <vt:variant>
        <vt:i4>0</vt:i4>
      </vt:variant>
      <vt:variant>
        <vt:i4>5</vt:i4>
      </vt:variant>
      <vt:variant>
        <vt:lpwstr/>
      </vt:variant>
      <vt:variant>
        <vt:lpwstr>_Toc151481881</vt:lpwstr>
      </vt:variant>
      <vt:variant>
        <vt:i4>2031664</vt:i4>
      </vt:variant>
      <vt:variant>
        <vt:i4>8</vt:i4>
      </vt:variant>
      <vt:variant>
        <vt:i4>0</vt:i4>
      </vt:variant>
      <vt:variant>
        <vt:i4>5</vt:i4>
      </vt:variant>
      <vt:variant>
        <vt:lpwstr/>
      </vt:variant>
      <vt:variant>
        <vt:lpwstr>_Toc151481880</vt:lpwstr>
      </vt:variant>
      <vt:variant>
        <vt:i4>1048624</vt:i4>
      </vt:variant>
      <vt:variant>
        <vt:i4>2</vt:i4>
      </vt:variant>
      <vt:variant>
        <vt:i4>0</vt:i4>
      </vt:variant>
      <vt:variant>
        <vt:i4>5</vt:i4>
      </vt:variant>
      <vt:variant>
        <vt:lpwstr/>
      </vt:variant>
      <vt:variant>
        <vt:lpwstr>_Toc151481879</vt:lpwstr>
      </vt:variant>
      <vt:variant>
        <vt:i4>983045</vt:i4>
      </vt:variant>
      <vt:variant>
        <vt:i4>654</vt:i4>
      </vt:variant>
      <vt:variant>
        <vt:i4>0</vt:i4>
      </vt:variant>
      <vt:variant>
        <vt:i4>5</vt:i4>
      </vt:variant>
      <vt:variant>
        <vt:lpwstr>https://consultations.health.gov.au/national-preventive-health-taskforce/draft-national-consumer-engagement-strategy-for-he/</vt:lpwstr>
      </vt:variant>
      <vt:variant>
        <vt:lpwstr/>
      </vt:variant>
      <vt:variant>
        <vt:i4>4390992</vt:i4>
      </vt:variant>
      <vt:variant>
        <vt:i4>651</vt:i4>
      </vt:variant>
      <vt:variant>
        <vt:i4>0</vt:i4>
      </vt:variant>
      <vt:variant>
        <vt:i4>5</vt:i4>
      </vt:variant>
      <vt:variant>
        <vt:lpwstr>https://www.naturalhazards.com.au/our-mission</vt:lpwstr>
      </vt:variant>
      <vt:variant>
        <vt:lpwstr/>
      </vt:variant>
      <vt:variant>
        <vt:i4>7536757</vt:i4>
      </vt:variant>
      <vt:variant>
        <vt:i4>648</vt:i4>
      </vt:variant>
      <vt:variant>
        <vt:i4>0</vt:i4>
      </vt:variant>
      <vt:variant>
        <vt:i4>5</vt:i4>
      </vt:variant>
      <vt:variant>
        <vt:lpwstr>https://www.lowitja.org.au/page/services/resources/Cultural-and-social-determinants/climate-health/climate-change-and-aboriginal-and-torres-strait-islander-health</vt:lpwstr>
      </vt:variant>
      <vt:variant>
        <vt:lpwstr/>
      </vt:variant>
      <vt:variant>
        <vt:i4>7340130</vt:i4>
      </vt:variant>
      <vt:variant>
        <vt:i4>645</vt:i4>
      </vt:variant>
      <vt:variant>
        <vt:i4>0</vt:i4>
      </vt:variant>
      <vt:variant>
        <vt:i4>5</vt:i4>
      </vt:variant>
      <vt:variant>
        <vt:lpwstr>https://www.anzca.edu.au/getattachment/890417fd-7ad6-4dfc-b489-132a6a14df63/ANZCA-Bulletin-Autumn-2023</vt:lpwstr>
      </vt:variant>
      <vt:variant>
        <vt:lpwstr/>
      </vt:variant>
      <vt:variant>
        <vt:i4>3604537</vt:i4>
      </vt:variant>
      <vt:variant>
        <vt:i4>642</vt:i4>
      </vt:variant>
      <vt:variant>
        <vt:i4>0</vt:i4>
      </vt:variant>
      <vt:variant>
        <vt:i4>5</vt:i4>
      </vt:variant>
      <vt:variant>
        <vt:lpwstr>https://www.hnehealth.nsw.gov.au/about-us/sustainable_healthcare/our_projects/gloves_off_campaign</vt:lpwstr>
      </vt:variant>
      <vt:variant>
        <vt:lpwstr/>
      </vt:variant>
      <vt:variant>
        <vt:i4>2818157</vt:i4>
      </vt:variant>
      <vt:variant>
        <vt:i4>639</vt:i4>
      </vt:variant>
      <vt:variant>
        <vt:i4>0</vt:i4>
      </vt:variant>
      <vt:variant>
        <vt:i4>5</vt:i4>
      </vt:variant>
      <vt:variant>
        <vt:lpwstr>https://www.health.nsw.gov.au/netzero/Pages/net-zero-leads.aspx</vt:lpwstr>
      </vt:variant>
      <vt:variant>
        <vt:lpwstr/>
      </vt:variant>
      <vt:variant>
        <vt:i4>3932195</vt:i4>
      </vt:variant>
      <vt:variant>
        <vt:i4>636</vt:i4>
      </vt:variant>
      <vt:variant>
        <vt:i4>0</vt:i4>
      </vt:variant>
      <vt:variant>
        <vt:i4>5</vt:i4>
      </vt:variant>
      <vt:variant>
        <vt:lpwstr>https://www.england.nhs.uk/greenernhs/wp-content/uploads/sites/51/2021/02/Sustainability-and-the-NHS-Staff-survey-2017.pdf</vt:lpwstr>
      </vt:variant>
      <vt:variant>
        <vt:lpwstr/>
      </vt:variant>
      <vt:variant>
        <vt:i4>4587553</vt:i4>
      </vt:variant>
      <vt:variant>
        <vt:i4>633</vt:i4>
      </vt:variant>
      <vt:variant>
        <vt:i4>0</vt:i4>
      </vt:variant>
      <vt:variant>
        <vt:i4>5</vt:i4>
      </vt:variant>
      <vt:variant>
        <vt:lpwstr>https://www.griffith.edu.au/__data/assets/pdf_file/0031/1770772/Facilitating-Environmentally-Sustainable-and-Climate-Resilient-Healthcare-SCHHS-1.pdf</vt:lpwstr>
      </vt:variant>
      <vt:variant>
        <vt:lpwstr/>
      </vt:variant>
      <vt:variant>
        <vt:i4>655444</vt:i4>
      </vt:variant>
      <vt:variant>
        <vt:i4>630</vt:i4>
      </vt:variant>
      <vt:variant>
        <vt:i4>0</vt:i4>
      </vt:variant>
      <vt:variant>
        <vt:i4>5</vt:i4>
      </vt:variant>
      <vt:variant>
        <vt:lpwstr>https://www.who.int/publications/i/item/WHO-CED-PHE-EPE-19.11</vt:lpwstr>
      </vt:variant>
      <vt:variant>
        <vt:lpwstr/>
      </vt:variant>
      <vt:variant>
        <vt:i4>5636184</vt:i4>
      </vt:variant>
      <vt:variant>
        <vt:i4>627</vt:i4>
      </vt:variant>
      <vt:variant>
        <vt:i4>0</vt:i4>
      </vt:variant>
      <vt:variant>
        <vt:i4>5</vt:i4>
      </vt:variant>
      <vt:variant>
        <vt:lpwstr>https://ageing-better.org.uk/resources/active-travel-and-mid-life</vt:lpwstr>
      </vt:variant>
      <vt:variant>
        <vt:lpwstr/>
      </vt:variant>
      <vt:variant>
        <vt:i4>7471207</vt:i4>
      </vt:variant>
      <vt:variant>
        <vt:i4>624</vt:i4>
      </vt:variant>
      <vt:variant>
        <vt:i4>0</vt:i4>
      </vt:variant>
      <vt:variant>
        <vt:i4>5</vt:i4>
      </vt:variant>
      <vt:variant>
        <vt:lpwstr>https://www.transport.gov.scot/publication/active-travel-strategies-guidance-for-completion/interventions-to-address-common-barriers-to-active-travel/</vt:lpwstr>
      </vt:variant>
      <vt:variant>
        <vt:lpwstr/>
      </vt:variant>
      <vt:variant>
        <vt:i4>7995442</vt:i4>
      </vt:variant>
      <vt:variant>
        <vt:i4>621</vt:i4>
      </vt:variant>
      <vt:variant>
        <vt:i4>0</vt:i4>
      </vt:variant>
      <vt:variant>
        <vt:i4>5</vt:i4>
      </vt:variant>
      <vt:variant>
        <vt:lpwstr>https://apo.org.au/node/113921</vt:lpwstr>
      </vt:variant>
      <vt:variant>
        <vt:lpwstr/>
      </vt:variant>
      <vt:variant>
        <vt:i4>5177360</vt:i4>
      </vt:variant>
      <vt:variant>
        <vt:i4>618</vt:i4>
      </vt:variant>
      <vt:variant>
        <vt:i4>0</vt:i4>
      </vt:variant>
      <vt:variant>
        <vt:i4>5</vt:i4>
      </vt:variant>
      <vt:variant>
        <vt:lpwstr>https://www.abs.gov.au/statistics/microdata-tablebuilder/available-microdata-tablebuilder/national-health-survey</vt:lpwstr>
      </vt:variant>
      <vt:variant>
        <vt:lpwstr/>
      </vt:variant>
      <vt:variant>
        <vt:i4>2097249</vt:i4>
      </vt:variant>
      <vt:variant>
        <vt:i4>615</vt:i4>
      </vt:variant>
      <vt:variant>
        <vt:i4>0</vt:i4>
      </vt:variant>
      <vt:variant>
        <vt:i4>5</vt:i4>
      </vt:variant>
      <vt:variant>
        <vt:lpwstr>https://www.health.gov.au/topics/physical-activity-and-exercise</vt:lpwstr>
      </vt:variant>
      <vt:variant>
        <vt:lpwstr/>
      </vt:variant>
      <vt:variant>
        <vt:i4>2293881</vt:i4>
      </vt:variant>
      <vt:variant>
        <vt:i4>612</vt:i4>
      </vt:variant>
      <vt:variant>
        <vt:i4>0</vt:i4>
      </vt:variant>
      <vt:variant>
        <vt:i4>5</vt:i4>
      </vt:variant>
      <vt:variant>
        <vt:lpwstr>https://www.health.gov.au/topics/physical-activity-and-exercise/physical-activity-and-exercise-guidelines-for-all-australians/for-adults-18-to-64-years</vt:lpwstr>
      </vt:variant>
      <vt:variant>
        <vt:lpwstr/>
      </vt:variant>
      <vt:variant>
        <vt:i4>3014703</vt:i4>
      </vt:variant>
      <vt:variant>
        <vt:i4>609</vt:i4>
      </vt:variant>
      <vt:variant>
        <vt:i4>0</vt:i4>
      </vt:variant>
      <vt:variant>
        <vt:i4>5</vt:i4>
      </vt:variant>
      <vt:variant>
        <vt:lpwstr>https://www.closingthegap.gov.au/sites/default/files/2022-08/housing-sector-strengthening-plan.pdf</vt:lpwstr>
      </vt:variant>
      <vt:variant>
        <vt:lpwstr/>
      </vt:variant>
      <vt:variant>
        <vt:i4>4980737</vt:i4>
      </vt:variant>
      <vt:variant>
        <vt:i4>606</vt:i4>
      </vt:variant>
      <vt:variant>
        <vt:i4>0</vt:i4>
      </vt:variant>
      <vt:variant>
        <vt:i4>5</vt:i4>
      </vt:variant>
      <vt:variant>
        <vt:lpwstr>https://www.aihw.gov.au/reports/australias-health/australias-health-2020-in-brief/summary</vt:lpwstr>
      </vt:variant>
      <vt:variant>
        <vt:lpwstr/>
      </vt:variant>
      <vt:variant>
        <vt:i4>3538996</vt:i4>
      </vt:variant>
      <vt:variant>
        <vt:i4>603</vt:i4>
      </vt:variant>
      <vt:variant>
        <vt:i4>0</vt:i4>
      </vt:variant>
      <vt:variant>
        <vt:i4>5</vt:i4>
      </vt:variant>
      <vt:variant>
        <vt:lpwstr>https://engage.dss.gov.au/developing-the-national-housing-and-homelessness-plan/developing-the-national-housing-and-homelessness-plan-issues-paper/</vt:lpwstr>
      </vt:variant>
      <vt:variant>
        <vt:lpwstr/>
      </vt:variant>
      <vt:variant>
        <vt:i4>6488175</vt:i4>
      </vt:variant>
      <vt:variant>
        <vt:i4>600</vt:i4>
      </vt:variant>
      <vt:variant>
        <vt:i4>0</vt:i4>
      </vt:variant>
      <vt:variant>
        <vt:i4>5</vt:i4>
      </vt:variant>
      <vt:variant>
        <vt:lpwstr>https://www.internal-displacement.org/publications/the-2019-2020-australian-bushfires-from-temporary-evacuation-to-longer-term</vt:lpwstr>
      </vt:variant>
      <vt:variant>
        <vt:lpwstr/>
      </vt:variant>
      <vt:variant>
        <vt:i4>5963786</vt:i4>
      </vt:variant>
      <vt:variant>
        <vt:i4>597</vt:i4>
      </vt:variant>
      <vt:variant>
        <vt:i4>0</vt:i4>
      </vt:variant>
      <vt:variant>
        <vt:i4>5</vt:i4>
      </vt:variant>
      <vt:variant>
        <vt:lpwstr>https://www.abc.net.au/news/2022-04-04/people-left-homeless-by-nsw-floods-fallen-through-the-cracks/100964964</vt:lpwstr>
      </vt:variant>
      <vt:variant>
        <vt:lpwstr/>
      </vt:variant>
      <vt:variant>
        <vt:i4>3604521</vt:i4>
      </vt:variant>
      <vt:variant>
        <vt:i4>594</vt:i4>
      </vt:variant>
      <vt:variant>
        <vt:i4>0</vt:i4>
      </vt:variant>
      <vt:variant>
        <vt:i4>5</vt:i4>
      </vt:variant>
      <vt:variant>
        <vt:lpwstr>https://www.theguardian.com/australia-news/2022/mar/19/i-rang-the-homeless-line-how-queenslands-floods-compounded-a-housing-crisis</vt:lpwstr>
      </vt:variant>
      <vt:variant>
        <vt:lpwstr/>
      </vt:variant>
      <vt:variant>
        <vt:i4>2031688</vt:i4>
      </vt:variant>
      <vt:variant>
        <vt:i4>591</vt:i4>
      </vt:variant>
      <vt:variant>
        <vt:i4>0</vt:i4>
      </vt:variant>
      <vt:variant>
        <vt:i4>5</vt:i4>
      </vt:variant>
      <vt:variant>
        <vt:lpwstr>https://www.sustainability.vic.gov.au/research-data-and-insights/research/research-reports/the-victorian-healthy-homes-program-research-findings</vt:lpwstr>
      </vt:variant>
      <vt:variant>
        <vt:lpwstr/>
      </vt:variant>
      <vt:variant>
        <vt:i4>1310728</vt:i4>
      </vt:variant>
      <vt:variant>
        <vt:i4>588</vt:i4>
      </vt:variant>
      <vt:variant>
        <vt:i4>0</vt:i4>
      </vt:variant>
      <vt:variant>
        <vt:i4>5</vt:i4>
      </vt:variant>
      <vt:variant>
        <vt:lpwstr>https://renew.org.au/what-we-do/advocacy/climate-resilient-homes/</vt:lpwstr>
      </vt:variant>
      <vt:variant>
        <vt:lpwstr/>
      </vt:variant>
      <vt:variant>
        <vt:i4>262167</vt:i4>
      </vt:variant>
      <vt:variant>
        <vt:i4>585</vt:i4>
      </vt:variant>
      <vt:variant>
        <vt:i4>0</vt:i4>
      </vt:variant>
      <vt:variant>
        <vt:i4>5</vt:i4>
      </vt:variant>
      <vt:variant>
        <vt:lpwstr>https://www.greenhouseaccounts.climatechange.gov.au/</vt:lpwstr>
      </vt:variant>
      <vt:variant>
        <vt:lpwstr/>
      </vt:variant>
      <vt:variant>
        <vt:i4>6094874</vt:i4>
      </vt:variant>
      <vt:variant>
        <vt:i4>582</vt:i4>
      </vt:variant>
      <vt:variant>
        <vt:i4>0</vt:i4>
      </vt:variant>
      <vt:variant>
        <vt:i4>5</vt:i4>
      </vt:variant>
      <vt:variant>
        <vt:lpwstr>https://www.betterhealth.vic.gov.au/health/conditionsandtreatments/mould-and-your-health</vt:lpwstr>
      </vt:variant>
      <vt:variant>
        <vt:lpwstr/>
      </vt:variant>
      <vt:variant>
        <vt:i4>5374017</vt:i4>
      </vt:variant>
      <vt:variant>
        <vt:i4>579</vt:i4>
      </vt:variant>
      <vt:variant>
        <vt:i4>0</vt:i4>
      </vt:variant>
      <vt:variant>
        <vt:i4>5</vt:i4>
      </vt:variant>
      <vt:variant>
        <vt:lpwstr>https://insurancecouncil.com.au/wp-content/uploads/2021/12/2021Nov_Tropical-Cyclones-and-Future-Risks_final.pdf</vt:lpwstr>
      </vt:variant>
      <vt:variant>
        <vt:lpwstr/>
      </vt:variant>
      <vt:variant>
        <vt:i4>131087</vt:i4>
      </vt:variant>
      <vt:variant>
        <vt:i4>576</vt:i4>
      </vt:variant>
      <vt:variant>
        <vt:i4>0</vt:i4>
      </vt:variant>
      <vt:variant>
        <vt:i4>5</vt:i4>
      </vt:variant>
      <vt:variant>
        <vt:lpwstr>https://ncc.abcb.gov.au/editions/ncc-2022</vt:lpwstr>
      </vt:variant>
      <vt:variant>
        <vt:lpwstr/>
      </vt:variant>
      <vt:variant>
        <vt:i4>7536740</vt:i4>
      </vt:variant>
      <vt:variant>
        <vt:i4>573</vt:i4>
      </vt:variant>
      <vt:variant>
        <vt:i4>0</vt:i4>
      </vt:variant>
      <vt:variant>
        <vt:i4>5</vt:i4>
      </vt:variant>
      <vt:variant>
        <vt:lpwstr>https://staconsulting.com.au/wind-classifications-update-standards-ncc/</vt:lpwstr>
      </vt:variant>
      <vt:variant>
        <vt:lpwstr/>
      </vt:variant>
      <vt:variant>
        <vt:i4>1114185</vt:i4>
      </vt:variant>
      <vt:variant>
        <vt:i4>570</vt:i4>
      </vt:variant>
      <vt:variant>
        <vt:i4>0</vt:i4>
      </vt:variant>
      <vt:variant>
        <vt:i4>5</vt:i4>
      </vt:variant>
      <vt:variant>
        <vt:lpwstr>https://www.sustainability.vic.gov.au/energy-efficiency-and-reducing-emissions/building-or-renovating/windows-and-shading/reducing-heat-gain-through-windows</vt:lpwstr>
      </vt:variant>
      <vt:variant>
        <vt:lpwstr/>
      </vt:variant>
      <vt:variant>
        <vt:i4>720964</vt:i4>
      </vt:variant>
      <vt:variant>
        <vt:i4>567</vt:i4>
      </vt:variant>
      <vt:variant>
        <vt:i4>0</vt:i4>
      </vt:variant>
      <vt:variant>
        <vt:i4>5</vt:i4>
      </vt:variant>
      <vt:variant>
        <vt:lpwstr>https://pp.planningportal.nsw.gov.au/development-and-assessment/basix</vt:lpwstr>
      </vt:variant>
      <vt:variant>
        <vt:lpwstr/>
      </vt:variant>
      <vt:variant>
        <vt:i4>2097256</vt:i4>
      </vt:variant>
      <vt:variant>
        <vt:i4>564</vt:i4>
      </vt:variant>
      <vt:variant>
        <vt:i4>0</vt:i4>
      </vt:variant>
      <vt:variant>
        <vt:i4>5</vt:i4>
      </vt:variant>
      <vt:variant>
        <vt:lpwstr>https://www.aihw.gov.au/reports/australias-health/built-environment-and-health</vt:lpwstr>
      </vt:variant>
      <vt:variant>
        <vt:lpwstr/>
      </vt:variant>
      <vt:variant>
        <vt:i4>7536757</vt:i4>
      </vt:variant>
      <vt:variant>
        <vt:i4>561</vt:i4>
      </vt:variant>
      <vt:variant>
        <vt:i4>0</vt:i4>
      </vt:variant>
      <vt:variant>
        <vt:i4>5</vt:i4>
      </vt:variant>
      <vt:variant>
        <vt:lpwstr>https://www.lowitja.org.au/page/services/resources/Cultural-and-social-determinants/climate-health/climate-change-and-aboriginal-and-torres-strait-islander-health</vt:lpwstr>
      </vt:variant>
      <vt:variant>
        <vt:lpwstr/>
      </vt:variant>
      <vt:variant>
        <vt:i4>7733306</vt:i4>
      </vt:variant>
      <vt:variant>
        <vt:i4>558</vt:i4>
      </vt:variant>
      <vt:variant>
        <vt:i4>0</vt:i4>
      </vt:variant>
      <vt:variant>
        <vt:i4>5</vt:i4>
      </vt:variant>
      <vt:variant>
        <vt:lpwstr>https://www.abs.gov.au/statistics/health/health-conditions-and-risks/dietary-behaviour/latest-release</vt:lpwstr>
      </vt:variant>
      <vt:variant>
        <vt:lpwstr>data-downloads</vt:lpwstr>
      </vt:variant>
      <vt:variant>
        <vt:i4>7602291</vt:i4>
      </vt:variant>
      <vt:variant>
        <vt:i4>555</vt:i4>
      </vt:variant>
      <vt:variant>
        <vt:i4>0</vt:i4>
      </vt:variant>
      <vt:variant>
        <vt:i4>5</vt:i4>
      </vt:variant>
      <vt:variant>
        <vt:lpwstr>https://www.dcceew.gov.au/climate-change/publications/national-greenhouse-gas-inventory-quarterly-update-march-2023</vt:lpwstr>
      </vt:variant>
      <vt:variant>
        <vt:lpwstr/>
      </vt:variant>
      <vt:variant>
        <vt:i4>4521984</vt:i4>
      </vt:variant>
      <vt:variant>
        <vt:i4>552</vt:i4>
      </vt:variant>
      <vt:variant>
        <vt:i4>0</vt:i4>
      </vt:variant>
      <vt:variant>
        <vt:i4>5</vt:i4>
      </vt:variant>
      <vt:variant>
        <vt:lpwstr>https://www.agriculture.gov.au/agriculture-land/farm-food-drought/climatechange/national-statement-on-climate-change-and-agriculture</vt:lpwstr>
      </vt:variant>
      <vt:variant>
        <vt:lpwstr/>
      </vt:variant>
      <vt:variant>
        <vt:i4>5505104</vt:i4>
      </vt:variant>
      <vt:variant>
        <vt:i4>549</vt:i4>
      </vt:variant>
      <vt:variant>
        <vt:i4>0</vt:i4>
      </vt:variant>
      <vt:variant>
        <vt:i4>5</vt:i4>
      </vt:variant>
      <vt:variant>
        <vt:lpwstr>https://www.dfat.gov.au/international-relations/themes/climate-change/supporting-indo-pacific-tackle-climate-change/safeguarding-food-and-water-security</vt:lpwstr>
      </vt:variant>
      <vt:variant>
        <vt:lpwstr/>
      </vt:variant>
      <vt:variant>
        <vt:i4>4521984</vt:i4>
      </vt:variant>
      <vt:variant>
        <vt:i4>546</vt:i4>
      </vt:variant>
      <vt:variant>
        <vt:i4>0</vt:i4>
      </vt:variant>
      <vt:variant>
        <vt:i4>5</vt:i4>
      </vt:variant>
      <vt:variant>
        <vt:lpwstr>https://www.agriculture.gov.au/agriculture-land/farm-food-drought/climatechange/national-statement-on-climate-change-and-agriculture</vt:lpwstr>
      </vt:variant>
      <vt:variant>
        <vt:lpwstr/>
      </vt:variant>
      <vt:variant>
        <vt:i4>131097</vt:i4>
      </vt:variant>
      <vt:variant>
        <vt:i4>543</vt:i4>
      </vt:variant>
      <vt:variant>
        <vt:i4>0</vt:i4>
      </vt:variant>
      <vt:variant>
        <vt:i4>5</vt:i4>
      </vt:variant>
      <vt:variant>
        <vt:lpwstr>https://www.who.int/news-room/fact-sheets/detail/food-safety</vt:lpwstr>
      </vt:variant>
      <vt:variant>
        <vt:lpwstr/>
      </vt:variant>
      <vt:variant>
        <vt:i4>7995490</vt:i4>
      </vt:variant>
      <vt:variant>
        <vt:i4>540</vt:i4>
      </vt:variant>
      <vt:variant>
        <vt:i4>0</vt:i4>
      </vt:variant>
      <vt:variant>
        <vt:i4>5</vt:i4>
      </vt:variant>
      <vt:variant>
        <vt:lpwstr>https://www.who.int/news-room/fact-sheets/detail/drinking-water</vt:lpwstr>
      </vt:variant>
      <vt:variant>
        <vt:lpwstr/>
      </vt:variant>
      <vt:variant>
        <vt:i4>7209011</vt:i4>
      </vt:variant>
      <vt:variant>
        <vt:i4>537</vt:i4>
      </vt:variant>
      <vt:variant>
        <vt:i4>0</vt:i4>
      </vt:variant>
      <vt:variant>
        <vt:i4>5</vt:i4>
      </vt:variant>
      <vt:variant>
        <vt:lpwstr>https://www.climatecouncil.org.au/resources/climate-trauma/</vt:lpwstr>
      </vt:variant>
      <vt:variant>
        <vt:lpwstr/>
      </vt:variant>
      <vt:variant>
        <vt:i4>6750240</vt:i4>
      </vt:variant>
      <vt:variant>
        <vt:i4>534</vt:i4>
      </vt:variant>
      <vt:variant>
        <vt:i4>0</vt:i4>
      </vt:variant>
      <vt:variant>
        <vt:i4>5</vt:i4>
      </vt:variant>
      <vt:variant>
        <vt:lpwstr>https://mspgh.unimelb.edu.au/centres-institutes/centre-for-health-equity/research-group/beyond-disasters/projects/beyond-bushfires</vt:lpwstr>
      </vt:variant>
      <vt:variant>
        <vt:lpwstr/>
      </vt:variant>
      <vt:variant>
        <vt:i4>4915282</vt:i4>
      </vt:variant>
      <vt:variant>
        <vt:i4>531</vt:i4>
      </vt:variant>
      <vt:variant>
        <vt:i4>0</vt:i4>
      </vt:variant>
      <vt:variant>
        <vt:i4>5</vt:i4>
      </vt:variant>
      <vt:variant>
        <vt:lpwstr>https://nema.gov.au/about-us/budget-2023-24/Mental-Health-Wellbeing-Framework</vt:lpwstr>
      </vt:variant>
      <vt:variant>
        <vt:lpwstr/>
      </vt:variant>
      <vt:variant>
        <vt:i4>786512</vt:i4>
      </vt:variant>
      <vt:variant>
        <vt:i4>528</vt:i4>
      </vt:variant>
      <vt:variant>
        <vt:i4>0</vt:i4>
      </vt:variant>
      <vt:variant>
        <vt:i4>5</vt:i4>
      </vt:variant>
      <vt:variant>
        <vt:lpwstr>https://dea.org.au/report-how-climate-change-affects-mental-health-in-australia/</vt:lpwstr>
      </vt:variant>
      <vt:variant>
        <vt:lpwstr/>
      </vt:variant>
      <vt:variant>
        <vt:i4>1704007</vt:i4>
      </vt:variant>
      <vt:variant>
        <vt:i4>525</vt:i4>
      </vt:variant>
      <vt:variant>
        <vt:i4>0</vt:i4>
      </vt:variant>
      <vt:variant>
        <vt:i4>5</vt:i4>
      </vt:variant>
      <vt:variant>
        <vt:lpwstr>https://www.who.int/publications/i/item/9789240045125</vt:lpwstr>
      </vt:variant>
      <vt:variant>
        <vt:lpwstr/>
      </vt:variant>
      <vt:variant>
        <vt:i4>131158</vt:i4>
      </vt:variant>
      <vt:variant>
        <vt:i4>522</vt:i4>
      </vt:variant>
      <vt:variant>
        <vt:i4>0</vt:i4>
      </vt:variant>
      <vt:variant>
        <vt:i4>5</vt:i4>
      </vt:variant>
      <vt:variant>
        <vt:lpwstr>https://www.climatecouncil.org.au/resources/missionzero/</vt:lpwstr>
      </vt:variant>
      <vt:variant>
        <vt:lpwstr/>
      </vt:variant>
      <vt:variant>
        <vt:i4>5570649</vt:i4>
      </vt:variant>
      <vt:variant>
        <vt:i4>519</vt:i4>
      </vt:variant>
      <vt:variant>
        <vt:i4>0</vt:i4>
      </vt:variant>
      <vt:variant>
        <vt:i4>5</vt:i4>
      </vt:variant>
      <vt:variant>
        <vt:lpwstr>https://womensagenda.com.au/latest/eds-blog/we-need-to-talk-about-women-and-the-climate-load/</vt:lpwstr>
      </vt:variant>
      <vt:variant>
        <vt:lpwstr/>
      </vt:variant>
      <vt:variant>
        <vt:i4>6684734</vt:i4>
      </vt:variant>
      <vt:variant>
        <vt:i4>516</vt:i4>
      </vt:variant>
      <vt:variant>
        <vt:i4>0</vt:i4>
      </vt:variant>
      <vt:variant>
        <vt:i4>5</vt:i4>
      </vt:variant>
      <vt:variant>
        <vt:lpwstr>https://www.climatecouncil.org.au/resources/survey-results-climate-disasters-mental-health/</vt:lpwstr>
      </vt:variant>
      <vt:variant>
        <vt:lpwstr/>
      </vt:variant>
      <vt:variant>
        <vt:i4>786512</vt:i4>
      </vt:variant>
      <vt:variant>
        <vt:i4>513</vt:i4>
      </vt:variant>
      <vt:variant>
        <vt:i4>0</vt:i4>
      </vt:variant>
      <vt:variant>
        <vt:i4>5</vt:i4>
      </vt:variant>
      <vt:variant>
        <vt:lpwstr>https://dea.org.au/report-how-climate-change-affects-mental-health-in-australia/</vt:lpwstr>
      </vt:variant>
      <vt:variant>
        <vt:lpwstr/>
      </vt:variant>
      <vt:variant>
        <vt:i4>1704007</vt:i4>
      </vt:variant>
      <vt:variant>
        <vt:i4>510</vt:i4>
      </vt:variant>
      <vt:variant>
        <vt:i4>0</vt:i4>
      </vt:variant>
      <vt:variant>
        <vt:i4>5</vt:i4>
      </vt:variant>
      <vt:variant>
        <vt:lpwstr>https://www.who.int/publications/i/item/9789240045125</vt:lpwstr>
      </vt:variant>
      <vt:variant>
        <vt:lpwstr/>
      </vt:variant>
      <vt:variant>
        <vt:i4>327758</vt:i4>
      </vt:variant>
      <vt:variant>
        <vt:i4>507</vt:i4>
      </vt:variant>
      <vt:variant>
        <vt:i4>0</vt:i4>
      </vt:variant>
      <vt:variant>
        <vt:i4>5</vt:i4>
      </vt:variant>
      <vt:variant>
        <vt:lpwstr>https://www.who.int/news-room/fact-sheets/detail/mental-health-strengthening-our-response</vt:lpwstr>
      </vt:variant>
      <vt:variant>
        <vt:lpwstr/>
      </vt:variant>
      <vt:variant>
        <vt:i4>8126575</vt:i4>
      </vt:variant>
      <vt:variant>
        <vt:i4>504</vt:i4>
      </vt:variant>
      <vt:variant>
        <vt:i4>0</vt:i4>
      </vt:variant>
      <vt:variant>
        <vt:i4>5</vt:i4>
      </vt:variant>
      <vt:variant>
        <vt:lpwstr>https://www.csiro.au/en/about/challenges-missions/Antimicrobial-resistance/Curbing-Antimicrobial-Resistance</vt:lpwstr>
      </vt:variant>
      <vt:variant>
        <vt:lpwstr/>
      </vt:variant>
      <vt:variant>
        <vt:i4>7733358</vt:i4>
      </vt:variant>
      <vt:variant>
        <vt:i4>501</vt:i4>
      </vt:variant>
      <vt:variant>
        <vt:i4>0</vt:i4>
      </vt:variant>
      <vt:variant>
        <vt:i4>5</vt:i4>
      </vt:variant>
      <vt:variant>
        <vt:lpwstr>https://immunisationhandbook.health.gov.au/contents/vaccine-preventable-diseases/japanese-encephalitis</vt:lpwstr>
      </vt:variant>
      <vt:variant>
        <vt:lpwstr/>
      </vt:variant>
      <vt:variant>
        <vt:i4>2818150</vt:i4>
      </vt:variant>
      <vt:variant>
        <vt:i4>498</vt:i4>
      </vt:variant>
      <vt:variant>
        <vt:i4>0</vt:i4>
      </vt:variant>
      <vt:variant>
        <vt:i4>5</vt:i4>
      </vt:variant>
      <vt:variant>
        <vt:lpwstr>https://www.who.int/news/item/06-10-2021-who-recommends-groundbreaking-malaria-vaccine-for-children-at-risk</vt:lpwstr>
      </vt:variant>
      <vt:variant>
        <vt:lpwstr/>
      </vt:variant>
      <vt:variant>
        <vt:i4>4128872</vt:i4>
      </vt:variant>
      <vt:variant>
        <vt:i4>495</vt:i4>
      </vt:variant>
      <vt:variant>
        <vt:i4>0</vt:i4>
      </vt:variant>
      <vt:variant>
        <vt:i4>5</vt:i4>
      </vt:variant>
      <vt:variant>
        <vt:lpwstr>https://www.health.gov.au/news/clinical-advice-atagi-statement-on-use-of-dengvaxiar-for-australians</vt:lpwstr>
      </vt:variant>
      <vt:variant>
        <vt:lpwstr/>
      </vt:variant>
      <vt:variant>
        <vt:i4>7798816</vt:i4>
      </vt:variant>
      <vt:variant>
        <vt:i4>489</vt:i4>
      </vt:variant>
      <vt:variant>
        <vt:i4>0</vt:i4>
      </vt:variant>
      <vt:variant>
        <vt:i4>5</vt:i4>
      </vt:variant>
      <vt:variant>
        <vt:lpwstr>https://www.dcceew.gov.au/environment/protection/air-quality/publications/national-clean-air-agreement</vt:lpwstr>
      </vt:variant>
      <vt:variant>
        <vt:lpwstr/>
      </vt:variant>
      <vt:variant>
        <vt:i4>8060993</vt:i4>
      </vt:variant>
      <vt:variant>
        <vt:i4>486</vt:i4>
      </vt:variant>
      <vt:variant>
        <vt:i4>0</vt:i4>
      </vt:variant>
      <vt:variant>
        <vt:i4>5</vt:i4>
      </vt:variant>
      <vt:variant>
        <vt:lpwstr>https://www.aph.gov.au/Parliamentary_Business/Committees/House/Health_Aged_Care_and_Sport/LongandrepeatedCOVID/Report</vt:lpwstr>
      </vt:variant>
      <vt:variant>
        <vt:lpwstr/>
      </vt:variant>
      <vt:variant>
        <vt:i4>1179670</vt:i4>
      </vt:variant>
      <vt:variant>
        <vt:i4>483</vt:i4>
      </vt:variant>
      <vt:variant>
        <vt:i4>0</vt:i4>
      </vt:variant>
      <vt:variant>
        <vt:i4>5</vt:i4>
      </vt:variant>
      <vt:variant>
        <vt:lpwstr>https://www.iea.org/reports/energy-and-air-pollution</vt:lpwstr>
      </vt:variant>
      <vt:variant>
        <vt:lpwstr/>
      </vt:variant>
      <vt:variant>
        <vt:i4>8257582</vt:i4>
      </vt:variant>
      <vt:variant>
        <vt:i4>480</vt:i4>
      </vt:variant>
      <vt:variant>
        <vt:i4>0</vt:i4>
      </vt:variant>
      <vt:variant>
        <vt:i4>5</vt:i4>
      </vt:variant>
      <vt:variant>
        <vt:lpwstr>https://soe.dcceew.gov.au/</vt:lpwstr>
      </vt:variant>
      <vt:variant>
        <vt:lpwstr/>
      </vt:variant>
      <vt:variant>
        <vt:i4>8257582</vt:i4>
      </vt:variant>
      <vt:variant>
        <vt:i4>477</vt:i4>
      </vt:variant>
      <vt:variant>
        <vt:i4>0</vt:i4>
      </vt:variant>
      <vt:variant>
        <vt:i4>5</vt:i4>
      </vt:variant>
      <vt:variant>
        <vt:lpwstr>https://soe.dcceew.gov.au/</vt:lpwstr>
      </vt:variant>
      <vt:variant>
        <vt:lpwstr/>
      </vt:variant>
      <vt:variant>
        <vt:i4>5308504</vt:i4>
      </vt:variant>
      <vt:variant>
        <vt:i4>474</vt:i4>
      </vt:variant>
      <vt:variant>
        <vt:i4>0</vt:i4>
      </vt:variant>
      <vt:variant>
        <vt:i4>5</vt:i4>
      </vt:variant>
      <vt:variant>
        <vt:lpwstr>https://www.royalcommission.gov.au/natural-disasters</vt:lpwstr>
      </vt:variant>
      <vt:variant>
        <vt:lpwstr/>
      </vt:variant>
      <vt:variant>
        <vt:i4>3670062</vt:i4>
      </vt:variant>
      <vt:variant>
        <vt:i4>471</vt:i4>
      </vt:variant>
      <vt:variant>
        <vt:i4>0</vt:i4>
      </vt:variant>
      <vt:variant>
        <vt:i4>5</vt:i4>
      </vt:variant>
      <vt:variant>
        <vt:lpwstr>https://data.gov.au/dataset/ds-dga-043f58e0-a188-4458-b61c-04e5b540aea4/details</vt:lpwstr>
      </vt:variant>
      <vt:variant>
        <vt:lpwstr/>
      </vt:variant>
      <vt:variant>
        <vt:i4>4718681</vt:i4>
      </vt:variant>
      <vt:variant>
        <vt:i4>468</vt:i4>
      </vt:variant>
      <vt:variant>
        <vt:i4>0</vt:i4>
      </vt:variant>
      <vt:variant>
        <vt:i4>5</vt:i4>
      </vt:variant>
      <vt:variant>
        <vt:lpwstr>https://www.who.int/teams/environment-climate-change-and-health/air-quality-and-health/health-impacts/types-of-pollutants</vt:lpwstr>
      </vt:variant>
      <vt:variant>
        <vt:lpwstr/>
      </vt:variant>
      <vt:variant>
        <vt:i4>1769539</vt:i4>
      </vt:variant>
      <vt:variant>
        <vt:i4>465</vt:i4>
      </vt:variant>
      <vt:variant>
        <vt:i4>0</vt:i4>
      </vt:variant>
      <vt:variant>
        <vt:i4>5</vt:i4>
      </vt:variant>
      <vt:variant>
        <vt:lpwstr>https://www.who.int/publications/i/item/9789240034228</vt:lpwstr>
      </vt:variant>
      <vt:variant>
        <vt:lpwstr/>
      </vt:variant>
      <vt:variant>
        <vt:i4>88</vt:i4>
      </vt:variant>
      <vt:variant>
        <vt:i4>462</vt:i4>
      </vt:variant>
      <vt:variant>
        <vt:i4>0</vt:i4>
      </vt:variant>
      <vt:variant>
        <vt:i4>5</vt:i4>
      </vt:variant>
      <vt:variant>
        <vt:lpwstr>https://media.bom.gov.au/releases/1083/new-national-heatwave-warning-service-to-help-keep-australians-safer-this-summer/</vt:lpwstr>
      </vt:variant>
      <vt:variant>
        <vt:lpwstr/>
      </vt:variant>
      <vt:variant>
        <vt:i4>6160387</vt:i4>
      </vt:variant>
      <vt:variant>
        <vt:i4>459</vt:i4>
      </vt:variant>
      <vt:variant>
        <vt:i4>0</vt:i4>
      </vt:variant>
      <vt:variant>
        <vt:i4>5</vt:i4>
      </vt:variant>
      <vt:variant>
        <vt:lpwstr>https://www.who.int/europe/activities/planning-heat-health-action</vt:lpwstr>
      </vt:variant>
      <vt:variant>
        <vt:lpwstr/>
      </vt:variant>
      <vt:variant>
        <vt:i4>6291512</vt:i4>
      </vt:variant>
      <vt:variant>
        <vt:i4>456</vt:i4>
      </vt:variant>
      <vt:variant>
        <vt:i4>0</vt:i4>
      </vt:variant>
      <vt:variant>
        <vt:i4>5</vt:i4>
      </vt:variant>
      <vt:variant>
        <vt:lpwstr>https://www.aihw.gov.au/reports/injury/extreme-weather-injuries/contents/about</vt:lpwstr>
      </vt:variant>
      <vt:variant>
        <vt:lpwstr/>
      </vt:variant>
      <vt:variant>
        <vt:i4>3014707</vt:i4>
      </vt:variant>
      <vt:variant>
        <vt:i4>453</vt:i4>
      </vt:variant>
      <vt:variant>
        <vt:i4>0</vt:i4>
      </vt:variant>
      <vt:variant>
        <vt:i4>5</vt:i4>
      </vt:variant>
      <vt:variant>
        <vt:lpwstr>https://www.acs.gov.au/pages/heatwaves</vt:lpwstr>
      </vt:variant>
      <vt:variant>
        <vt:lpwstr/>
      </vt:variant>
      <vt:variant>
        <vt:i4>6160449</vt:i4>
      </vt:variant>
      <vt:variant>
        <vt:i4>450</vt:i4>
      </vt:variant>
      <vt:variant>
        <vt:i4>0</vt:i4>
      </vt:variant>
      <vt:variant>
        <vt:i4>5</vt:i4>
      </vt:variant>
      <vt:variant>
        <vt:lpwstr>https://www.dcceew.gov.au/climate-change/emissions-reduction/net-zero</vt:lpwstr>
      </vt:variant>
      <vt:variant>
        <vt:lpwstr/>
      </vt:variant>
      <vt:variant>
        <vt:i4>262170</vt:i4>
      </vt:variant>
      <vt:variant>
        <vt:i4>447</vt:i4>
      </vt:variant>
      <vt:variant>
        <vt:i4>0</vt:i4>
      </vt:variant>
      <vt:variant>
        <vt:i4>5</vt:i4>
      </vt:variant>
      <vt:variant>
        <vt:lpwstr>https://www.thelancet.com/series/climate-and-health-2009</vt:lpwstr>
      </vt:variant>
      <vt:variant>
        <vt:lpwstr/>
      </vt:variant>
      <vt:variant>
        <vt:i4>3276922</vt:i4>
      </vt:variant>
      <vt:variant>
        <vt:i4>444</vt:i4>
      </vt:variant>
      <vt:variant>
        <vt:i4>0</vt:i4>
      </vt:variant>
      <vt:variant>
        <vt:i4>5</vt:i4>
      </vt:variant>
      <vt:variant>
        <vt:lpwstr>https://www.who.int/activities/promoting-health-in-all-policies-and-intersectoral-action-capacities</vt:lpwstr>
      </vt:variant>
      <vt:variant>
        <vt:lpwstr/>
      </vt:variant>
      <vt:variant>
        <vt:i4>1048595</vt:i4>
      </vt:variant>
      <vt:variant>
        <vt:i4>441</vt:i4>
      </vt:variant>
      <vt:variant>
        <vt:i4>0</vt:i4>
      </vt:variant>
      <vt:variant>
        <vt:i4>5</vt:i4>
      </vt:variant>
      <vt:variant>
        <vt:lpwstr>https://wwf.org.au/news/2022/listen-to-us-north-qld-forum-to-take-first-peoples-message-to-the-un-climate-change-cop/</vt:lpwstr>
      </vt:variant>
      <vt:variant>
        <vt:lpwstr/>
      </vt:variant>
      <vt:variant>
        <vt:i4>7077938</vt:i4>
      </vt:variant>
      <vt:variant>
        <vt:i4>438</vt:i4>
      </vt:variant>
      <vt:variant>
        <vt:i4>0</vt:i4>
      </vt:variant>
      <vt:variant>
        <vt:i4>5</vt:i4>
      </vt:variant>
      <vt:variant>
        <vt:lpwstr>https://indigenouspeoplesorg.com.au/climate-change/</vt:lpwstr>
      </vt:variant>
      <vt:variant>
        <vt:lpwstr/>
      </vt:variant>
      <vt:variant>
        <vt:i4>7602276</vt:i4>
      </vt:variant>
      <vt:variant>
        <vt:i4>435</vt:i4>
      </vt:variant>
      <vt:variant>
        <vt:i4>0</vt:i4>
      </vt:variant>
      <vt:variant>
        <vt:i4>5</vt:i4>
      </vt:variant>
      <vt:variant>
        <vt:lpwstr>https://www4.unfccc.int/sites/nwpstaging/News/Pages/Inidigenous-Peoples-and-Local-Communities-Platform-Update.aspx</vt:lpwstr>
      </vt:variant>
      <vt:variant>
        <vt:lpwstr/>
      </vt:variant>
      <vt:variant>
        <vt:i4>786506</vt:i4>
      </vt:variant>
      <vt:variant>
        <vt:i4>432</vt:i4>
      </vt:variant>
      <vt:variant>
        <vt:i4>0</vt:i4>
      </vt:variant>
      <vt:variant>
        <vt:i4>5</vt:i4>
      </vt:variant>
      <vt:variant>
        <vt:lpwstr>https://waterpartnership.org.au/building-climate-change-resilience-in-west-java/</vt:lpwstr>
      </vt:variant>
      <vt:variant>
        <vt:lpwstr/>
      </vt:variant>
      <vt:variant>
        <vt:i4>4915204</vt:i4>
      </vt:variant>
      <vt:variant>
        <vt:i4>429</vt:i4>
      </vt:variant>
      <vt:variant>
        <vt:i4>0</vt:i4>
      </vt:variant>
      <vt:variant>
        <vt:i4>5</vt:i4>
      </vt:variant>
      <vt:variant>
        <vt:lpwstr>https://waterpartnership.org.au/partnering-for-river-basin-governance-in-the-hindu-kush-himalaya/</vt:lpwstr>
      </vt:variant>
      <vt:variant>
        <vt:lpwstr/>
      </vt:variant>
      <vt:variant>
        <vt:i4>7143462</vt:i4>
      </vt:variant>
      <vt:variant>
        <vt:i4>426</vt:i4>
      </vt:variant>
      <vt:variant>
        <vt:i4>0</vt:i4>
      </vt:variant>
      <vt:variant>
        <vt:i4>5</vt:i4>
      </vt:variant>
      <vt:variant>
        <vt:lpwstr>https://waterpartnership.org.au/about/</vt:lpwstr>
      </vt:variant>
      <vt:variant>
        <vt:lpwstr/>
      </vt:variant>
      <vt:variant>
        <vt:i4>3604598</vt:i4>
      </vt:variant>
      <vt:variant>
        <vt:i4>423</vt:i4>
      </vt:variant>
      <vt:variant>
        <vt:i4>0</vt:i4>
      </vt:variant>
      <vt:variant>
        <vt:i4>5</vt:i4>
      </vt:variant>
      <vt:variant>
        <vt:lpwstr>https://www.waterforwomenfund.org/en/who-we-are/outline-of-the-fund.aspx?_mid_=6000</vt:lpwstr>
      </vt:variant>
      <vt:variant>
        <vt:lpwstr/>
      </vt:variant>
      <vt:variant>
        <vt:i4>7077946</vt:i4>
      </vt:variant>
      <vt:variant>
        <vt:i4>420</vt:i4>
      </vt:variant>
      <vt:variant>
        <vt:i4>0</vt:i4>
      </vt:variant>
      <vt:variant>
        <vt:i4>5</vt:i4>
      </vt:variant>
      <vt:variant>
        <vt:lpwstr>https://tomak.org/</vt:lpwstr>
      </vt:variant>
      <vt:variant>
        <vt:lpwstr/>
      </vt:variant>
      <vt:variant>
        <vt:i4>8192048</vt:i4>
      </vt:variant>
      <vt:variant>
        <vt:i4>417</vt:i4>
      </vt:variant>
      <vt:variant>
        <vt:i4>0</vt:i4>
      </vt:variant>
      <vt:variant>
        <vt:i4>5</vt:i4>
      </vt:variant>
      <vt:variant>
        <vt:lpwstr>https://www.gafspfund.org/our-work</vt:lpwstr>
      </vt:variant>
      <vt:variant>
        <vt:lpwstr/>
      </vt:variant>
      <vt:variant>
        <vt:i4>1310813</vt:i4>
      </vt:variant>
      <vt:variant>
        <vt:i4>414</vt:i4>
      </vt:variant>
      <vt:variant>
        <vt:i4>0</vt:i4>
      </vt:variant>
      <vt:variant>
        <vt:i4>5</vt:i4>
      </vt:variant>
      <vt:variant>
        <vt:lpwstr>https://www.dfat.gov.au/development/topics/development-issues/climate-resilient-agricultural-development-initiatives</vt:lpwstr>
      </vt:variant>
      <vt:variant>
        <vt:lpwstr/>
      </vt:variant>
      <vt:variant>
        <vt:i4>3735676</vt:i4>
      </vt:variant>
      <vt:variant>
        <vt:i4>411</vt:i4>
      </vt:variant>
      <vt:variant>
        <vt:i4>0</vt:i4>
      </vt:variant>
      <vt:variant>
        <vt:i4>5</vt:i4>
      </vt:variant>
      <vt:variant>
        <vt:lpwstr>https://www.adb.org/what-we-do/funds/australian-climate-finance-partnership</vt:lpwstr>
      </vt:variant>
      <vt:variant>
        <vt:lpwstr/>
      </vt:variant>
      <vt:variant>
        <vt:i4>7077997</vt:i4>
      </vt:variant>
      <vt:variant>
        <vt:i4>408</vt:i4>
      </vt:variant>
      <vt:variant>
        <vt:i4>0</vt:i4>
      </vt:variant>
      <vt:variant>
        <vt:i4>5</vt:i4>
      </vt:variant>
      <vt:variant>
        <vt:lpwstr>https://www.foreignminister.gov.au/minister/penny-wong/media-release/record-investment-global-fund-fight-aids-tuberculosis-and-malaria</vt:lpwstr>
      </vt:variant>
      <vt:variant>
        <vt:lpwstr/>
      </vt:variant>
      <vt:variant>
        <vt:i4>1572895</vt:i4>
      </vt:variant>
      <vt:variant>
        <vt:i4>405</vt:i4>
      </vt:variant>
      <vt:variant>
        <vt:i4>0</vt:i4>
      </vt:variant>
      <vt:variant>
        <vt:i4>5</vt:i4>
      </vt:variant>
      <vt:variant>
        <vt:lpwstr>https://www.pm.gov.au/media/strengthening-regional-ties-through-pacific-islands-forum</vt:lpwstr>
      </vt:variant>
      <vt:variant>
        <vt:lpwstr/>
      </vt:variant>
      <vt:variant>
        <vt:i4>7340070</vt:i4>
      </vt:variant>
      <vt:variant>
        <vt:i4>402</vt:i4>
      </vt:variant>
      <vt:variant>
        <vt:i4>0</vt:i4>
      </vt:variant>
      <vt:variant>
        <vt:i4>5</vt:i4>
      </vt:variant>
      <vt:variant>
        <vt:lpwstr>https://www.forumsec.org/2050strategy/</vt:lpwstr>
      </vt:variant>
      <vt:variant>
        <vt:lpwstr/>
      </vt:variant>
      <vt:variant>
        <vt:i4>2556012</vt:i4>
      </vt:variant>
      <vt:variant>
        <vt:i4>399</vt:i4>
      </vt:variant>
      <vt:variant>
        <vt:i4>0</vt:i4>
      </vt:variant>
      <vt:variant>
        <vt:i4>5</vt:i4>
      </vt:variant>
      <vt:variant>
        <vt:lpwstr>https://www.foreignminister.gov.au/minister/penny-wong/media-release/investing-stronger-healthy-region</vt:lpwstr>
      </vt:variant>
      <vt:variant>
        <vt:lpwstr/>
      </vt:variant>
      <vt:variant>
        <vt:i4>3145763</vt:i4>
      </vt:variant>
      <vt:variant>
        <vt:i4>396</vt:i4>
      </vt:variant>
      <vt:variant>
        <vt:i4>0</vt:i4>
      </vt:variant>
      <vt:variant>
        <vt:i4>5</vt:i4>
      </vt:variant>
      <vt:variant>
        <vt:lpwstr>https://www.foreignminister.gov.au/minister/penny-wong/media-release/australias-new-international-development-policy-and-development-finance-review</vt:lpwstr>
      </vt:variant>
      <vt:variant>
        <vt:lpwstr/>
      </vt:variant>
      <vt:variant>
        <vt:i4>3801201</vt:i4>
      </vt:variant>
      <vt:variant>
        <vt:i4>393</vt:i4>
      </vt:variant>
      <vt:variant>
        <vt:i4>0</vt:i4>
      </vt:variant>
      <vt:variant>
        <vt:i4>5</vt:i4>
      </vt:variant>
      <vt:variant>
        <vt:lpwstr>https://www.atachcommunity.com/</vt:lpwstr>
      </vt:variant>
      <vt:variant>
        <vt:lpwstr/>
      </vt:variant>
      <vt:variant>
        <vt:i4>4522078</vt:i4>
      </vt:variant>
      <vt:variant>
        <vt:i4>390</vt:i4>
      </vt:variant>
      <vt:variant>
        <vt:i4>0</vt:i4>
      </vt:variant>
      <vt:variant>
        <vt:i4>5</vt:i4>
      </vt:variant>
      <vt:variant>
        <vt:lpwstr>https://www.hhs.gov/about/news/2022/11/10/hhs-shares-health-sector-emissions-reduction-climate-resilience-announcements-at-cop27.html</vt:lpwstr>
      </vt:variant>
      <vt:variant>
        <vt:lpwstr/>
      </vt:variant>
      <vt:variant>
        <vt:i4>6029403</vt:i4>
      </vt:variant>
      <vt:variant>
        <vt:i4>387</vt:i4>
      </vt:variant>
      <vt:variant>
        <vt:i4>0</vt:i4>
      </vt:variant>
      <vt:variant>
        <vt:i4>5</vt:i4>
      </vt:variant>
      <vt:variant>
        <vt:lpwstr>https://www.england.nhs.uk/greenernhs/get-involved/suppliers/</vt:lpwstr>
      </vt:variant>
      <vt:variant>
        <vt:lpwstr/>
      </vt:variant>
      <vt:variant>
        <vt:i4>786439</vt:i4>
      </vt:variant>
      <vt:variant>
        <vt:i4>384</vt:i4>
      </vt:variant>
      <vt:variant>
        <vt:i4>0</vt:i4>
      </vt:variant>
      <vt:variant>
        <vt:i4>5</vt:i4>
      </vt:variant>
      <vt:variant>
        <vt:lpwstr>https://www.england.nhs.uk/greenernhs/publication/delivering-a-net-zero-national-health-service/</vt:lpwstr>
      </vt:variant>
      <vt:variant>
        <vt:lpwstr/>
      </vt:variant>
      <vt:variant>
        <vt:i4>3539045</vt:i4>
      </vt:variant>
      <vt:variant>
        <vt:i4>381</vt:i4>
      </vt:variant>
      <vt:variant>
        <vt:i4>0</vt:i4>
      </vt:variant>
      <vt:variant>
        <vt:i4>5</vt:i4>
      </vt:variant>
      <vt:variant>
        <vt:lpwstr>https://www.gov.wales/nhs-wales-decarbonisation-strategic-delivery-plan</vt:lpwstr>
      </vt:variant>
      <vt:variant>
        <vt:lpwstr/>
      </vt:variant>
      <vt:variant>
        <vt:i4>8323199</vt:i4>
      </vt:variant>
      <vt:variant>
        <vt:i4>375</vt:i4>
      </vt:variant>
      <vt:variant>
        <vt:i4>0</vt:i4>
      </vt:variant>
      <vt:variant>
        <vt:i4>5</vt:i4>
      </vt:variant>
      <vt:variant>
        <vt:lpwstr>https://www.gov.scot/publications/nhs-scotland-climate-emergency-sustainability-strategy-2022-2026/</vt:lpwstr>
      </vt:variant>
      <vt:variant>
        <vt:lpwstr/>
      </vt:variant>
      <vt:variant>
        <vt:i4>786439</vt:i4>
      </vt:variant>
      <vt:variant>
        <vt:i4>372</vt:i4>
      </vt:variant>
      <vt:variant>
        <vt:i4>0</vt:i4>
      </vt:variant>
      <vt:variant>
        <vt:i4>5</vt:i4>
      </vt:variant>
      <vt:variant>
        <vt:lpwstr>https://www.england.nhs.uk/greenernhs/publication/delivering-a-net-zero-national-health-service/</vt:lpwstr>
      </vt:variant>
      <vt:variant>
        <vt:lpwstr/>
      </vt:variant>
      <vt:variant>
        <vt:i4>4784193</vt:i4>
      </vt:variant>
      <vt:variant>
        <vt:i4>369</vt:i4>
      </vt:variant>
      <vt:variant>
        <vt:i4>0</vt:i4>
      </vt:variant>
      <vt:variant>
        <vt:i4>5</vt:i4>
      </vt:variant>
      <vt:variant>
        <vt:lpwstr>https://www.tewhatuora.govt.nz/whats-happening/what-to-expect/nz-health-plan/</vt:lpwstr>
      </vt:variant>
      <vt:variant>
        <vt:lpwstr/>
      </vt:variant>
      <vt:variant>
        <vt:i4>327698</vt:i4>
      </vt:variant>
      <vt:variant>
        <vt:i4>366</vt:i4>
      </vt:variant>
      <vt:variant>
        <vt:i4>0</vt:i4>
      </vt:variant>
      <vt:variant>
        <vt:i4>5</vt:i4>
      </vt:variant>
      <vt:variant>
        <vt:lpwstr>https://www.canada.ca/en/health-canada/programs/health-adapt.html</vt:lpwstr>
      </vt:variant>
      <vt:variant>
        <vt:lpwstr/>
      </vt:variant>
      <vt:variant>
        <vt:i4>5898251</vt:i4>
      </vt:variant>
      <vt:variant>
        <vt:i4>363</vt:i4>
      </vt:variant>
      <vt:variant>
        <vt:i4>0</vt:i4>
      </vt:variant>
      <vt:variant>
        <vt:i4>5</vt:i4>
      </vt:variant>
      <vt:variant>
        <vt:lpwstr>https://www.cadth.ca/criteria-conducting-environmental-assessments-cadth-htas</vt:lpwstr>
      </vt:variant>
      <vt:variant>
        <vt:lpwstr/>
      </vt:variant>
      <vt:variant>
        <vt:i4>8192122</vt:i4>
      </vt:variant>
      <vt:variant>
        <vt:i4>360</vt:i4>
      </vt:variant>
      <vt:variant>
        <vt:i4>0</vt:i4>
      </vt:variant>
      <vt:variant>
        <vt:i4>5</vt:i4>
      </vt:variant>
      <vt:variant>
        <vt:lpwstr>https://www.nice.org.uk/Media/Default/Get-involved/Meetings-In-Public/Public-board-meetings/Mar-24-pbm-NICE-strategy-2021-2026.pdf</vt:lpwstr>
      </vt:variant>
      <vt:variant>
        <vt:lpwstr/>
      </vt:variant>
      <vt:variant>
        <vt:i4>1245188</vt:i4>
      </vt:variant>
      <vt:variant>
        <vt:i4>357</vt:i4>
      </vt:variant>
      <vt:variant>
        <vt:i4>0</vt:i4>
      </vt:variant>
      <vt:variant>
        <vt:i4>5</vt:i4>
      </vt:variant>
      <vt:variant>
        <vt:lpwstr>https://www.pbs.gov.au/info/news/2023/09/international-hta-collaboration-expands</vt:lpwstr>
      </vt:variant>
      <vt:variant>
        <vt:lpwstr/>
      </vt:variant>
      <vt:variant>
        <vt:i4>6488168</vt:i4>
      </vt:variant>
      <vt:variant>
        <vt:i4>354</vt:i4>
      </vt:variant>
      <vt:variant>
        <vt:i4>0</vt:i4>
      </vt:variant>
      <vt:variant>
        <vt:i4>5</vt:i4>
      </vt:variant>
      <vt:variant>
        <vt:lpwstr>https://www.dcceew.gov.au/environment/protection/waste/product-stewardship/ministers-priority-list/2022-23</vt:lpwstr>
      </vt:variant>
      <vt:variant>
        <vt:lpwstr/>
      </vt:variant>
      <vt:variant>
        <vt:i4>6881378</vt:i4>
      </vt:variant>
      <vt:variant>
        <vt:i4>351</vt:i4>
      </vt:variant>
      <vt:variant>
        <vt:i4>0</vt:i4>
      </vt:variant>
      <vt:variant>
        <vt:i4>5</vt:i4>
      </vt:variant>
      <vt:variant>
        <vt:lpwstr>https://thedocs.worldbank.org/en/doc/911381516303509498-0020022018/original/2017ShadowPriceofCarbonGuidanceNoteFINALCLEARED.pdf</vt:lpwstr>
      </vt:variant>
      <vt:variant>
        <vt:lpwstr/>
      </vt:variant>
      <vt:variant>
        <vt:i4>1704006</vt:i4>
      </vt:variant>
      <vt:variant>
        <vt:i4>348</vt:i4>
      </vt:variant>
      <vt:variant>
        <vt:i4>0</vt:i4>
      </vt:variant>
      <vt:variant>
        <vt:i4>5</vt:i4>
      </vt:variant>
      <vt:variant>
        <vt:lpwstr>https://iht.deakin.edu.au/wp-content/uploads/sites/153/2023/07/Deakin-and-Barwon-Health_Sustainable-PPE_ShortReport9.pdf</vt:lpwstr>
      </vt:variant>
      <vt:variant>
        <vt:lpwstr/>
      </vt:variant>
      <vt:variant>
        <vt:i4>3932214</vt:i4>
      </vt:variant>
      <vt:variant>
        <vt:i4>345</vt:i4>
      </vt:variant>
      <vt:variant>
        <vt:i4>0</vt:i4>
      </vt:variant>
      <vt:variant>
        <vt:i4>5</vt:i4>
      </vt:variant>
      <vt:variant>
        <vt:lpwstr>https://www.health.vic.gov.au/planning-infrastructure/waste</vt:lpwstr>
      </vt:variant>
      <vt:variant>
        <vt:lpwstr/>
      </vt:variant>
      <vt:variant>
        <vt:i4>983123</vt:i4>
      </vt:variant>
      <vt:variant>
        <vt:i4>342</vt:i4>
      </vt:variant>
      <vt:variant>
        <vt:i4>0</vt:i4>
      </vt:variant>
      <vt:variant>
        <vt:i4>5</vt:i4>
      </vt:variant>
      <vt:variant>
        <vt:lpwstr>https://www.imperial.nhs.uk/about-us/news/innovation-partnership-looks-to-recycle-facemasks-into-new-products-for-the-nhs</vt:lpwstr>
      </vt:variant>
      <vt:variant>
        <vt:lpwstr/>
      </vt:variant>
      <vt:variant>
        <vt:i4>2424874</vt:i4>
      </vt:variant>
      <vt:variant>
        <vt:i4>339</vt:i4>
      </vt:variant>
      <vt:variant>
        <vt:i4>0</vt:i4>
      </vt:variant>
      <vt:variant>
        <vt:i4>5</vt:i4>
      </vt:variant>
      <vt:variant>
        <vt:lpwstr>https://www.england.nhs.uk/greenernhs/whats-already-happening/great-ormond-street-hospital-reducing-single-use-plastics-case-study/</vt:lpwstr>
      </vt:variant>
      <vt:variant>
        <vt:lpwstr/>
      </vt:variant>
      <vt:variant>
        <vt:i4>3604537</vt:i4>
      </vt:variant>
      <vt:variant>
        <vt:i4>336</vt:i4>
      </vt:variant>
      <vt:variant>
        <vt:i4>0</vt:i4>
      </vt:variant>
      <vt:variant>
        <vt:i4>5</vt:i4>
      </vt:variant>
      <vt:variant>
        <vt:lpwstr>https://www.hnehealth.nsw.gov.au/about-us/sustainable_healthcare/our_projects/gloves_off_campaign</vt:lpwstr>
      </vt:variant>
      <vt:variant>
        <vt:lpwstr/>
      </vt:variant>
      <vt:variant>
        <vt:i4>1966152</vt:i4>
      </vt:variant>
      <vt:variant>
        <vt:i4>333</vt:i4>
      </vt:variant>
      <vt:variant>
        <vt:i4>0</vt:i4>
      </vt:variant>
      <vt:variant>
        <vt:i4>5</vt:i4>
      </vt:variant>
      <vt:variant>
        <vt:lpwstr>https://www.health.nsw.gov.au/netzero/Documents/westernnswlhd-sustainability-strategy.pdf</vt:lpwstr>
      </vt:variant>
      <vt:variant>
        <vt:lpwstr/>
      </vt:variant>
      <vt:variant>
        <vt:i4>6225925</vt:i4>
      </vt:variant>
      <vt:variant>
        <vt:i4>330</vt:i4>
      </vt:variant>
      <vt:variant>
        <vt:i4>0</vt:i4>
      </vt:variant>
      <vt:variant>
        <vt:i4>5</vt:i4>
      </vt:variant>
      <vt:variant>
        <vt:lpwstr>https://www.dcceew.gov.au/environment/protection/waste/publications/national-waste-policy-action-plan</vt:lpwstr>
      </vt:variant>
      <vt:variant>
        <vt:lpwstr/>
      </vt:variant>
      <vt:variant>
        <vt:i4>2228285</vt:i4>
      </vt:variant>
      <vt:variant>
        <vt:i4>327</vt:i4>
      </vt:variant>
      <vt:variant>
        <vt:i4>0</vt:i4>
      </vt:variant>
      <vt:variant>
        <vt:i4>5</vt:i4>
      </vt:variant>
      <vt:variant>
        <vt:lpwstr>https://www.dcceew.gov.au/environment/protection/waste/publications/national-waste-policy-2018</vt:lpwstr>
      </vt:variant>
      <vt:variant>
        <vt:lpwstr/>
      </vt:variant>
      <vt:variant>
        <vt:i4>6422576</vt:i4>
      </vt:variant>
      <vt:variant>
        <vt:i4>324</vt:i4>
      </vt:variant>
      <vt:variant>
        <vt:i4>0</vt:i4>
      </vt:variant>
      <vt:variant>
        <vt:i4>5</vt:i4>
      </vt:variant>
      <vt:variant>
        <vt:lpwstr>https://healthcareclimateaction.org/roadmap</vt:lpwstr>
      </vt:variant>
      <vt:variant>
        <vt:lpwstr/>
      </vt:variant>
      <vt:variant>
        <vt:i4>786433</vt:i4>
      </vt:variant>
      <vt:variant>
        <vt:i4>321</vt:i4>
      </vt:variant>
      <vt:variant>
        <vt:i4>0</vt:i4>
      </vt:variant>
      <vt:variant>
        <vt:i4>5</vt:i4>
      </vt:variant>
      <vt:variant>
        <vt:lpwstr>https://www.dcceew.gov.au/environment/protection/waste/publications/national-food-waste-strategy</vt:lpwstr>
      </vt:variant>
      <vt:variant>
        <vt:lpwstr/>
      </vt:variant>
      <vt:variant>
        <vt:i4>655385</vt:i4>
      </vt:variant>
      <vt:variant>
        <vt:i4>318</vt:i4>
      </vt:variant>
      <vt:variant>
        <vt:i4>0</vt:i4>
      </vt:variant>
      <vt:variant>
        <vt:i4>5</vt:i4>
      </vt:variant>
      <vt:variant>
        <vt:lpwstr>https://www.fial.com.au/sharing-knowledge/food-waste</vt:lpwstr>
      </vt:variant>
      <vt:variant>
        <vt:lpwstr/>
      </vt:variant>
      <vt:variant>
        <vt:i4>786439</vt:i4>
      </vt:variant>
      <vt:variant>
        <vt:i4>315</vt:i4>
      </vt:variant>
      <vt:variant>
        <vt:i4>0</vt:i4>
      </vt:variant>
      <vt:variant>
        <vt:i4>5</vt:i4>
      </vt:variant>
      <vt:variant>
        <vt:lpwstr>https://www.england.nhs.uk/greenernhs/publication/delivering-a-net-zero-national-health-service/</vt:lpwstr>
      </vt:variant>
      <vt:variant>
        <vt:lpwstr/>
      </vt:variant>
      <vt:variant>
        <vt:i4>7798902</vt:i4>
      </vt:variant>
      <vt:variant>
        <vt:i4>312</vt:i4>
      </vt:variant>
      <vt:variant>
        <vt:i4>0</vt:i4>
      </vt:variant>
      <vt:variant>
        <vt:i4>5</vt:i4>
      </vt:variant>
      <vt:variant>
        <vt:lpwstr>https://clinicalexcellence.qld.gov.au/sites/default/files/docs/priority-area/clinical-engagement/networks/swapnet-communique-nitrous-oxide.pdf</vt:lpwstr>
      </vt:variant>
      <vt:variant>
        <vt:lpwstr/>
      </vt:variant>
      <vt:variant>
        <vt:i4>458775</vt:i4>
      </vt:variant>
      <vt:variant>
        <vt:i4>309</vt:i4>
      </vt:variant>
      <vt:variant>
        <vt:i4>0</vt:i4>
      </vt:variant>
      <vt:variant>
        <vt:i4>5</vt:i4>
      </vt:variant>
      <vt:variant>
        <vt:lpwstr>https://www.health.wa.gov.au/Media-releases/2023/October/WA-Health-takes-the-knife-to-high-emissions-anaesthetic</vt:lpwstr>
      </vt:variant>
      <vt:variant>
        <vt:lpwstr/>
      </vt:variant>
      <vt:variant>
        <vt:i4>3539059</vt:i4>
      </vt:variant>
      <vt:variant>
        <vt:i4>306</vt:i4>
      </vt:variant>
      <vt:variant>
        <vt:i4>0</vt:i4>
      </vt:variant>
      <vt:variant>
        <vt:i4>5</vt:i4>
      </vt:variant>
      <vt:variant>
        <vt:lpwstr>https://www.racgp.org.au/running-a-practice/security/managing-practice-information/e-waste</vt:lpwstr>
      </vt:variant>
      <vt:variant>
        <vt:lpwstr/>
      </vt:variant>
      <vt:variant>
        <vt:i4>7667764</vt:i4>
      </vt:variant>
      <vt:variant>
        <vt:i4>303</vt:i4>
      </vt:variant>
      <vt:variant>
        <vt:i4>0</vt:i4>
      </vt:variant>
      <vt:variant>
        <vt:i4>5</vt:i4>
      </vt:variant>
      <vt:variant>
        <vt:lpwstr>https://www.asthmahandbook.org.au/</vt:lpwstr>
      </vt:variant>
      <vt:variant>
        <vt:lpwstr/>
      </vt:variant>
      <vt:variant>
        <vt:i4>5439558</vt:i4>
      </vt:variant>
      <vt:variant>
        <vt:i4>297</vt:i4>
      </vt:variant>
      <vt:variant>
        <vt:i4>0</vt:i4>
      </vt:variant>
      <vt:variant>
        <vt:i4>5</vt:i4>
      </vt:variant>
      <vt:variant>
        <vt:lpwstr>https://www.dcceew.gov.au/energy/transport/national-electric-vehicle-strategy</vt:lpwstr>
      </vt:variant>
      <vt:variant>
        <vt:lpwstr/>
      </vt:variant>
      <vt:variant>
        <vt:i4>5767189</vt:i4>
      </vt:variant>
      <vt:variant>
        <vt:i4>294</vt:i4>
      </vt:variant>
      <vt:variant>
        <vt:i4>0</vt:i4>
      </vt:variant>
      <vt:variant>
        <vt:i4>5</vt:i4>
      </vt:variant>
      <vt:variant>
        <vt:lpwstr>https://www.abs.gov.au/statistics/industry/tourism-and-transport/transport-census/latest-release</vt:lpwstr>
      </vt:variant>
      <vt:variant>
        <vt:lpwstr/>
      </vt:variant>
      <vt:variant>
        <vt:i4>8257578</vt:i4>
      </vt:variant>
      <vt:variant>
        <vt:i4>291</vt:i4>
      </vt:variant>
      <vt:variant>
        <vt:i4>0</vt:i4>
      </vt:variant>
      <vt:variant>
        <vt:i4>5</vt:i4>
      </vt:variant>
      <vt:variant>
        <vt:lpwstr>https://www.england.nhs.uk/greenernhs/whats-already-happening/drone-deliveries-of-vital-chemotherapy-to-the-isle-of-wight/</vt:lpwstr>
      </vt:variant>
      <vt:variant>
        <vt:lpwstr/>
      </vt:variant>
      <vt:variant>
        <vt:i4>3604588</vt:i4>
      </vt:variant>
      <vt:variant>
        <vt:i4>288</vt:i4>
      </vt:variant>
      <vt:variant>
        <vt:i4>0</vt:i4>
      </vt:variant>
      <vt:variant>
        <vt:i4>5</vt:i4>
      </vt:variant>
      <vt:variant>
        <vt:lpwstr>https://www.ambulance.nsw.gov.au/news/news-items/2022-sirens/oct-2022-sirens-stories/vccc-turns-one</vt:lpwstr>
      </vt:variant>
      <vt:variant>
        <vt:lpwstr/>
      </vt:variant>
      <vt:variant>
        <vt:i4>4653069</vt:i4>
      </vt:variant>
      <vt:variant>
        <vt:i4>285</vt:i4>
      </vt:variant>
      <vt:variant>
        <vt:i4>0</vt:i4>
      </vt:variant>
      <vt:variant>
        <vt:i4>5</vt:i4>
      </vt:variant>
      <vt:variant>
        <vt:lpwstr>https://www.surgeons.org/News/Advocacy/review-of-telehealth-services-in-australia</vt:lpwstr>
      </vt:variant>
      <vt:variant>
        <vt:lpwstr/>
      </vt:variant>
      <vt:variant>
        <vt:i4>6619262</vt:i4>
      </vt:variant>
      <vt:variant>
        <vt:i4>282</vt:i4>
      </vt:variant>
      <vt:variant>
        <vt:i4>0</vt:i4>
      </vt:variant>
      <vt:variant>
        <vt:i4>5</vt:i4>
      </vt:variant>
      <vt:variant>
        <vt:lpwstr>https://www.england.nhs.uk/2022/08/nhs-rolls-out-new-electric-vehicles-to-help-patients-and-the-planet/</vt:lpwstr>
      </vt:variant>
      <vt:variant>
        <vt:lpwstr/>
      </vt:variant>
      <vt:variant>
        <vt:i4>720960</vt:i4>
      </vt:variant>
      <vt:variant>
        <vt:i4>279</vt:i4>
      </vt:variant>
      <vt:variant>
        <vt:i4>0</vt:i4>
      </vt:variant>
      <vt:variant>
        <vt:i4>5</vt:i4>
      </vt:variant>
      <vt:variant>
        <vt:lpwstr>https://www.finance.gov.au/government/aps-net-zero-emissions-2030</vt:lpwstr>
      </vt:variant>
      <vt:variant>
        <vt:lpwstr/>
      </vt:variant>
      <vt:variant>
        <vt:i4>196608</vt:i4>
      </vt:variant>
      <vt:variant>
        <vt:i4>276</vt:i4>
      </vt:variant>
      <vt:variant>
        <vt:i4>0</vt:i4>
      </vt:variant>
      <vt:variant>
        <vt:i4>5</vt:i4>
      </vt:variant>
      <vt:variant>
        <vt:lpwstr>https://www.unimelb.edu.au/newsroom/news/2023/february/vehicle-emissions-may-cause-over-11,000-deaths-a-year,-research-shows</vt:lpwstr>
      </vt:variant>
      <vt:variant>
        <vt:lpwstr/>
      </vt:variant>
      <vt:variant>
        <vt:i4>5505031</vt:i4>
      </vt:variant>
      <vt:variant>
        <vt:i4>273</vt:i4>
      </vt:variant>
      <vt:variant>
        <vt:i4>0</vt:i4>
      </vt:variant>
      <vt:variant>
        <vt:i4>5</vt:i4>
      </vt:variant>
      <vt:variant>
        <vt:lpwstr>https://www.ahrq.gov/healthsystemsresearch/decarbonization/index.html</vt:lpwstr>
      </vt:variant>
      <vt:variant>
        <vt:lpwstr/>
      </vt:variant>
      <vt:variant>
        <vt:i4>2818175</vt:i4>
      </vt:variant>
      <vt:variant>
        <vt:i4>267</vt:i4>
      </vt:variant>
      <vt:variant>
        <vt:i4>0</vt:i4>
      </vt:variant>
      <vt:variant>
        <vt:i4>5</vt:i4>
      </vt:variant>
      <vt:variant>
        <vt:lpwstr>https://www.vhba.vic.gov.au/new-public-health-infrastructure-to-be-all-electric</vt:lpwstr>
      </vt:variant>
      <vt:variant>
        <vt:lpwstr/>
      </vt:variant>
      <vt:variant>
        <vt:i4>7536701</vt:i4>
      </vt:variant>
      <vt:variant>
        <vt:i4>264</vt:i4>
      </vt:variant>
      <vt:variant>
        <vt:i4>0</vt:i4>
      </vt:variant>
      <vt:variant>
        <vt:i4>5</vt:i4>
      </vt:variant>
      <vt:variant>
        <vt:lpwstr>https://www.vhba.vic.gov.au/guidelines-sustainability-capital-works</vt:lpwstr>
      </vt:variant>
      <vt:variant>
        <vt:lpwstr/>
      </vt:variant>
      <vt:variant>
        <vt:i4>3473533</vt:i4>
      </vt:variant>
      <vt:variant>
        <vt:i4>261</vt:i4>
      </vt:variant>
      <vt:variant>
        <vt:i4>0</vt:i4>
      </vt:variant>
      <vt:variant>
        <vt:i4>5</vt:i4>
      </vt:variant>
      <vt:variant>
        <vt:lpwstr>https://psychology.org.au/for-the-public/psychology-topics/climate-change-psychology/climate-change</vt:lpwstr>
      </vt:variant>
      <vt:variant>
        <vt:lpwstr/>
      </vt:variant>
      <vt:variant>
        <vt:i4>3539068</vt:i4>
      </vt:variant>
      <vt:variant>
        <vt:i4>258</vt:i4>
      </vt:variant>
      <vt:variant>
        <vt:i4>0</vt:i4>
      </vt:variant>
      <vt:variant>
        <vt:i4>5</vt:i4>
      </vt:variant>
      <vt:variant>
        <vt:lpwstr>https://dea.org.au/greencollege-guidelines/</vt:lpwstr>
      </vt:variant>
      <vt:variant>
        <vt:lpwstr/>
      </vt:variant>
      <vt:variant>
        <vt:i4>4653069</vt:i4>
      </vt:variant>
      <vt:variant>
        <vt:i4>255</vt:i4>
      </vt:variant>
      <vt:variant>
        <vt:i4>0</vt:i4>
      </vt:variant>
      <vt:variant>
        <vt:i4>5</vt:i4>
      </vt:variant>
      <vt:variant>
        <vt:lpwstr>https://www.surgeons.org/News/Advocacy/review-of-telehealth-services-in-australia</vt:lpwstr>
      </vt:variant>
      <vt:variant>
        <vt:lpwstr/>
      </vt:variant>
      <vt:variant>
        <vt:i4>3539059</vt:i4>
      </vt:variant>
      <vt:variant>
        <vt:i4>252</vt:i4>
      </vt:variant>
      <vt:variant>
        <vt:i4>0</vt:i4>
      </vt:variant>
      <vt:variant>
        <vt:i4>5</vt:i4>
      </vt:variant>
      <vt:variant>
        <vt:lpwstr>https://www.racgp.org.au/running-a-practice/security/managing-practice-information/e-waste</vt:lpwstr>
      </vt:variant>
      <vt:variant>
        <vt:lpwstr/>
      </vt:variant>
      <vt:variant>
        <vt:i4>6881358</vt:i4>
      </vt:variant>
      <vt:variant>
        <vt:i4>249</vt:i4>
      </vt:variant>
      <vt:variant>
        <vt:i4>0</vt:i4>
      </vt:variant>
      <vt:variant>
        <vt:i4>5</vt:i4>
      </vt:variant>
      <vt:variant>
        <vt:lpwstr>https://www.optometry.org.au/advocacy_government/have-your-say-about-sustainability-in-optometry/</vt:lpwstr>
      </vt:variant>
      <vt:variant>
        <vt:lpwstr/>
      </vt:variant>
      <vt:variant>
        <vt:i4>5963857</vt:i4>
      </vt:variant>
      <vt:variant>
        <vt:i4>246</vt:i4>
      </vt:variant>
      <vt:variant>
        <vt:i4>0</vt:i4>
      </vt:variant>
      <vt:variant>
        <vt:i4>5</vt:i4>
      </vt:variant>
      <vt:variant>
        <vt:lpwstr>https://nephrology.edu.au/</vt:lpwstr>
      </vt:variant>
      <vt:variant>
        <vt:lpwstr>guidelines</vt:lpwstr>
      </vt:variant>
      <vt:variant>
        <vt:i4>5373953</vt:i4>
      </vt:variant>
      <vt:variant>
        <vt:i4>243</vt:i4>
      </vt:variant>
      <vt:variant>
        <vt:i4>0</vt:i4>
      </vt:variant>
      <vt:variant>
        <vt:i4>5</vt:i4>
      </vt:variant>
      <vt:variant>
        <vt:lpwstr>https://www.acn.edu.au/policy/guiding-principles</vt:lpwstr>
      </vt:variant>
      <vt:variant>
        <vt:lpwstr/>
      </vt:variant>
      <vt:variant>
        <vt:i4>2162698</vt:i4>
      </vt:variant>
      <vt:variant>
        <vt:i4>240</vt:i4>
      </vt:variant>
      <vt:variant>
        <vt:i4>0</vt:i4>
      </vt:variant>
      <vt:variant>
        <vt:i4>5</vt:i4>
      </vt:variant>
      <vt:variant>
        <vt:lpwstr>https://aci.health.nsw.gov.au/__data/assets/pdf_file/0009/181935/HS13-034_Framework-DevelopMoC_D7.pdf</vt:lpwstr>
      </vt:variant>
      <vt:variant>
        <vt:lpwstr/>
      </vt:variant>
      <vt:variant>
        <vt:i4>6553644</vt:i4>
      </vt:variant>
      <vt:variant>
        <vt:i4>237</vt:i4>
      </vt:variant>
      <vt:variant>
        <vt:i4>0</vt:i4>
      </vt:variant>
      <vt:variant>
        <vt:i4>5</vt:i4>
      </vt:variant>
      <vt:variant>
        <vt:lpwstr>https://www.racgp.org.au/clinical-resources/clinical-guidelines/key-racgp-guidelines/view-all-racgp-guidelines/first-do-no-harm/about-first-do-no-harm/introduction</vt:lpwstr>
      </vt:variant>
      <vt:variant>
        <vt:lpwstr/>
      </vt:variant>
      <vt:variant>
        <vt:i4>3145773</vt:i4>
      </vt:variant>
      <vt:variant>
        <vt:i4>234</vt:i4>
      </vt:variant>
      <vt:variant>
        <vt:i4>0</vt:i4>
      </vt:variant>
      <vt:variant>
        <vt:i4>5</vt:i4>
      </vt:variant>
      <vt:variant>
        <vt:lpwstr>https://evolve.edu.au/</vt:lpwstr>
      </vt:variant>
      <vt:variant>
        <vt:lpwstr/>
      </vt:variant>
      <vt:variant>
        <vt:i4>1835099</vt:i4>
      </vt:variant>
      <vt:variant>
        <vt:i4>231</vt:i4>
      </vt:variant>
      <vt:variant>
        <vt:i4>0</vt:i4>
      </vt:variant>
      <vt:variant>
        <vt:i4>5</vt:i4>
      </vt:variant>
      <vt:variant>
        <vt:lpwstr>https://www.safetyandquality.gov.au/our-work/healthcare-variation/user-guide-reviewing-clinical-variation</vt:lpwstr>
      </vt:variant>
      <vt:variant>
        <vt:lpwstr/>
      </vt:variant>
      <vt:variant>
        <vt:i4>2162787</vt:i4>
      </vt:variant>
      <vt:variant>
        <vt:i4>228</vt:i4>
      </vt:variant>
      <vt:variant>
        <vt:i4>0</vt:i4>
      </vt:variant>
      <vt:variant>
        <vt:i4>5</vt:i4>
      </vt:variant>
      <vt:variant>
        <vt:lpwstr>https://www.safetyandquality.gov.au/publications-and-resources/resource-library/aura-2023-fifth-australian-report-antimicrobial-use-and-resistance-human-health-report</vt:lpwstr>
      </vt:variant>
      <vt:variant>
        <vt:lpwstr/>
      </vt:variant>
      <vt:variant>
        <vt:i4>65541</vt:i4>
      </vt:variant>
      <vt:variant>
        <vt:i4>225</vt:i4>
      </vt:variant>
      <vt:variant>
        <vt:i4>0</vt:i4>
      </vt:variant>
      <vt:variant>
        <vt:i4>5</vt:i4>
      </vt:variant>
      <vt:variant>
        <vt:lpwstr>https://www.safetyandquality.gov.au/publications-and-resources/resource-library/fourth-australian-atlas-healthcare-variation-2021</vt:lpwstr>
      </vt:variant>
      <vt:variant>
        <vt:lpwstr/>
      </vt:variant>
      <vt:variant>
        <vt:i4>2293866</vt:i4>
      </vt:variant>
      <vt:variant>
        <vt:i4>222</vt:i4>
      </vt:variant>
      <vt:variant>
        <vt:i4>0</vt:i4>
      </vt:variant>
      <vt:variant>
        <vt:i4>5</vt:i4>
      </vt:variant>
      <vt:variant>
        <vt:lpwstr>https://www.health.gov.au/resources/publications/australias-primary-health-care-10-year-plan-2022-2032</vt:lpwstr>
      </vt:variant>
      <vt:variant>
        <vt:lpwstr/>
      </vt:variant>
      <vt:variant>
        <vt:i4>8192122</vt:i4>
      </vt:variant>
      <vt:variant>
        <vt:i4>219</vt:i4>
      </vt:variant>
      <vt:variant>
        <vt:i4>0</vt:i4>
      </vt:variant>
      <vt:variant>
        <vt:i4>5</vt:i4>
      </vt:variant>
      <vt:variant>
        <vt:lpwstr>https://www.health.gov.au/resources/publications/national-preventive-health-strategy-2021-2030</vt:lpwstr>
      </vt:variant>
      <vt:variant>
        <vt:lpwstr/>
      </vt:variant>
      <vt:variant>
        <vt:i4>4587585</vt:i4>
      </vt:variant>
      <vt:variant>
        <vt:i4>216</vt:i4>
      </vt:variant>
      <vt:variant>
        <vt:i4>0</vt:i4>
      </vt:variant>
      <vt:variant>
        <vt:i4>5</vt:i4>
      </vt:variant>
      <vt:variant>
        <vt:lpwstr>https://www.aihw.gov.au/reports/burden-of-disease/burden-of-disease-study-2018-key-findings/contents/key-findings</vt:lpwstr>
      </vt:variant>
      <vt:variant>
        <vt:lpwstr/>
      </vt:variant>
      <vt:variant>
        <vt:i4>3276860</vt:i4>
      </vt:variant>
      <vt:variant>
        <vt:i4>213</vt:i4>
      </vt:variant>
      <vt:variant>
        <vt:i4>0</vt:i4>
      </vt:variant>
      <vt:variant>
        <vt:i4>5</vt:i4>
      </vt:variant>
      <vt:variant>
        <vt:lpwstr>https://www.wa.gov.au/service/environment/business-and-community-assistance/government-emissions-interim-target</vt:lpwstr>
      </vt:variant>
      <vt:variant>
        <vt:lpwstr/>
      </vt:variant>
      <vt:variant>
        <vt:i4>2621539</vt:i4>
      </vt:variant>
      <vt:variant>
        <vt:i4>210</vt:i4>
      </vt:variant>
      <vt:variant>
        <vt:i4>0</vt:i4>
      </vt:variant>
      <vt:variant>
        <vt:i4>5</vt:i4>
      </vt:variant>
      <vt:variant>
        <vt:lpwstr>https://www.climatechange.vic.gov.au/victorian-government-action-on-climate-change</vt:lpwstr>
      </vt:variant>
      <vt:variant>
        <vt:lpwstr/>
      </vt:variant>
      <vt:variant>
        <vt:i4>3932272</vt:i4>
      </vt:variant>
      <vt:variant>
        <vt:i4>207</vt:i4>
      </vt:variant>
      <vt:variant>
        <vt:i4>0</vt:i4>
      </vt:variant>
      <vt:variant>
        <vt:i4>5</vt:i4>
      </vt:variant>
      <vt:variant>
        <vt:lpwstr>https://www.stategrowth.tas.gov.au/recfit/home</vt:lpwstr>
      </vt:variant>
      <vt:variant>
        <vt:lpwstr/>
      </vt:variant>
      <vt:variant>
        <vt:i4>1704012</vt:i4>
      </vt:variant>
      <vt:variant>
        <vt:i4>204</vt:i4>
      </vt:variant>
      <vt:variant>
        <vt:i4>0</vt:i4>
      </vt:variant>
      <vt:variant>
        <vt:i4>5</vt:i4>
      </vt:variant>
      <vt:variant>
        <vt:lpwstr>https://www.environment.sa.gov.au/topics/climate-change/greenhouse-gas-emissions</vt:lpwstr>
      </vt:variant>
      <vt:variant>
        <vt:lpwstr/>
      </vt:variant>
      <vt:variant>
        <vt:i4>7078011</vt:i4>
      </vt:variant>
      <vt:variant>
        <vt:i4>201</vt:i4>
      </vt:variant>
      <vt:variant>
        <vt:i4>0</vt:i4>
      </vt:variant>
      <vt:variant>
        <vt:i4>5</vt:i4>
      </vt:variant>
      <vt:variant>
        <vt:lpwstr>https://www.des.qld.gov.au/climateaction/emissions-targets</vt:lpwstr>
      </vt:variant>
      <vt:variant>
        <vt:lpwstr/>
      </vt:variant>
      <vt:variant>
        <vt:i4>7536679</vt:i4>
      </vt:variant>
      <vt:variant>
        <vt:i4>198</vt:i4>
      </vt:variant>
      <vt:variant>
        <vt:i4>0</vt:i4>
      </vt:variant>
      <vt:variant>
        <vt:i4>5</vt:i4>
      </vt:variant>
      <vt:variant>
        <vt:lpwstr>https://climatechange.nt.gov.au/nt-climate-change-response/northern-territory-climate-change-response-towards-2050</vt:lpwstr>
      </vt:variant>
      <vt:variant>
        <vt:lpwstr/>
      </vt:variant>
      <vt:variant>
        <vt:i4>7471137</vt:i4>
      </vt:variant>
      <vt:variant>
        <vt:i4>195</vt:i4>
      </vt:variant>
      <vt:variant>
        <vt:i4>0</vt:i4>
      </vt:variant>
      <vt:variant>
        <vt:i4>5</vt:i4>
      </vt:variant>
      <vt:variant>
        <vt:lpwstr>https://www.energy.nsw.gov.au/nsw-plans-and-progress/government-strategies-and-frameworks/reaching-net-zero-emissions/net-zero</vt:lpwstr>
      </vt:variant>
      <vt:variant>
        <vt:lpwstr/>
      </vt:variant>
      <vt:variant>
        <vt:i4>6029323</vt:i4>
      </vt:variant>
      <vt:variant>
        <vt:i4>192</vt:i4>
      </vt:variant>
      <vt:variant>
        <vt:i4>0</vt:i4>
      </vt:variant>
      <vt:variant>
        <vt:i4>5</vt:i4>
      </vt:variant>
      <vt:variant>
        <vt:lpwstr>https://www.climatechoices.act.gov.au/policy-programs/act-climate-change-strategy</vt:lpwstr>
      </vt:variant>
      <vt:variant>
        <vt:lpwstr/>
      </vt:variant>
      <vt:variant>
        <vt:i4>4653138</vt:i4>
      </vt:variant>
      <vt:variant>
        <vt:i4>189</vt:i4>
      </vt:variant>
      <vt:variant>
        <vt:i4>0</vt:i4>
      </vt:variant>
      <vt:variant>
        <vt:i4>5</vt:i4>
      </vt:variant>
      <vt:variant>
        <vt:lpwstr>https://www.dcceew.gov.au/climate-change/publications/national-greenhouse-gas-inventory-june-2019</vt:lpwstr>
      </vt:variant>
      <vt:variant>
        <vt:lpwstr/>
      </vt:variant>
      <vt:variant>
        <vt:i4>6160393</vt:i4>
      </vt:variant>
      <vt:variant>
        <vt:i4>186</vt:i4>
      </vt:variant>
      <vt:variant>
        <vt:i4>0</vt:i4>
      </vt:variant>
      <vt:variant>
        <vt:i4>5</vt:i4>
      </vt:variant>
      <vt:variant>
        <vt:lpwstr>https://www.dcceew.gov.au/climate-change/publications/national-inventory-report-2021</vt:lpwstr>
      </vt:variant>
      <vt:variant>
        <vt:lpwstr/>
      </vt:variant>
      <vt:variant>
        <vt:i4>7602229</vt:i4>
      </vt:variant>
      <vt:variant>
        <vt:i4>183</vt:i4>
      </vt:variant>
      <vt:variant>
        <vt:i4>0</vt:i4>
      </vt:variant>
      <vt:variant>
        <vt:i4>5</vt:i4>
      </vt:variant>
      <vt:variant>
        <vt:lpwstr>https://www.dcceew.gov.au/climate-change/publications/national-greenhouse-accounts-2021/national-inventory-by-economic-sector-2021</vt:lpwstr>
      </vt:variant>
      <vt:variant>
        <vt:lpwstr/>
      </vt:variant>
      <vt:variant>
        <vt:i4>2949236</vt:i4>
      </vt:variant>
      <vt:variant>
        <vt:i4>180</vt:i4>
      </vt:variant>
      <vt:variant>
        <vt:i4>0</vt:i4>
      </vt:variant>
      <vt:variant>
        <vt:i4>5</vt:i4>
      </vt:variant>
      <vt:variant>
        <vt:lpwstr>https://www.energy.gov.au/government-priorities/australias-energy-strategies-and-frameworks/powering-australia</vt:lpwstr>
      </vt:variant>
      <vt:variant>
        <vt:lpwstr/>
      </vt:variant>
      <vt:variant>
        <vt:i4>2949236</vt:i4>
      </vt:variant>
      <vt:variant>
        <vt:i4>177</vt:i4>
      </vt:variant>
      <vt:variant>
        <vt:i4>0</vt:i4>
      </vt:variant>
      <vt:variant>
        <vt:i4>5</vt:i4>
      </vt:variant>
      <vt:variant>
        <vt:lpwstr>https://www.energy.gov.au/government-priorities/australias-energy-strategies-and-frameworks/powering-australia</vt:lpwstr>
      </vt:variant>
      <vt:variant>
        <vt:lpwstr/>
      </vt:variant>
      <vt:variant>
        <vt:i4>3145841</vt:i4>
      </vt:variant>
      <vt:variant>
        <vt:i4>174</vt:i4>
      </vt:variant>
      <vt:variant>
        <vt:i4>0</vt:i4>
      </vt:variant>
      <vt:variant>
        <vt:i4>5</vt:i4>
      </vt:variant>
      <vt:variant>
        <vt:lpwstr>https://www.dcceew.gov.au/climate-change/publications/national-greenhouse-accounts-factors</vt:lpwstr>
      </vt:variant>
      <vt:variant>
        <vt:lpwstr/>
      </vt:variant>
      <vt:variant>
        <vt:i4>3866731</vt:i4>
      </vt:variant>
      <vt:variant>
        <vt:i4>171</vt:i4>
      </vt:variant>
      <vt:variant>
        <vt:i4>0</vt:i4>
      </vt:variant>
      <vt:variant>
        <vt:i4>5</vt:i4>
      </vt:variant>
      <vt:variant>
        <vt:lpwstr>https://www.cleanenergyregulator.gov.au/NGER/About-the-National-Greenhouse-and-Energy-Reporting-scheme</vt:lpwstr>
      </vt:variant>
      <vt:variant>
        <vt:lpwstr/>
      </vt:variant>
      <vt:variant>
        <vt:i4>7471146</vt:i4>
      </vt:variant>
      <vt:variant>
        <vt:i4>168</vt:i4>
      </vt:variant>
      <vt:variant>
        <vt:i4>0</vt:i4>
      </vt:variant>
      <vt:variant>
        <vt:i4>5</vt:i4>
      </vt:variant>
      <vt:variant>
        <vt:lpwstr>https://noharm-europe.org/documents/programme-launch-designing-net-zero-roadmap-healthcare</vt:lpwstr>
      </vt:variant>
      <vt:variant>
        <vt:lpwstr/>
      </vt:variant>
      <vt:variant>
        <vt:i4>3145836</vt:i4>
      </vt:variant>
      <vt:variant>
        <vt:i4>165</vt:i4>
      </vt:variant>
      <vt:variant>
        <vt:i4>0</vt:i4>
      </vt:variant>
      <vt:variant>
        <vt:i4>5</vt:i4>
      </vt:variant>
      <vt:variant>
        <vt:lpwstr>https://www.dcceew.gov.au/climate-change/publications/national-greenhouse-accounts-factors-2023</vt:lpwstr>
      </vt:variant>
      <vt:variant>
        <vt:lpwstr/>
      </vt:variant>
      <vt:variant>
        <vt:i4>2228282</vt:i4>
      </vt:variant>
      <vt:variant>
        <vt:i4>162</vt:i4>
      </vt:variant>
      <vt:variant>
        <vt:i4>0</vt:i4>
      </vt:variant>
      <vt:variant>
        <vt:i4>5</vt:i4>
      </vt:variant>
      <vt:variant>
        <vt:lpwstr>https://www.health.gov.au/resources/publications/draft-national-aged-care-design-principles-and-guidelines</vt:lpwstr>
      </vt:variant>
      <vt:variant>
        <vt:lpwstr/>
      </vt:variant>
      <vt:variant>
        <vt:i4>1966108</vt:i4>
      </vt:variant>
      <vt:variant>
        <vt:i4>159</vt:i4>
      </vt:variant>
      <vt:variant>
        <vt:i4>0</vt:i4>
      </vt:variant>
      <vt:variant>
        <vt:i4>5</vt:i4>
      </vt:variant>
      <vt:variant>
        <vt:lpwstr>https://www.royalcommission.gov.au/aged-care/final-report</vt:lpwstr>
      </vt:variant>
      <vt:variant>
        <vt:lpwstr/>
      </vt:variant>
      <vt:variant>
        <vt:i4>3670079</vt:i4>
      </vt:variant>
      <vt:variant>
        <vt:i4>156</vt:i4>
      </vt:variant>
      <vt:variant>
        <vt:i4>0</vt:i4>
      </vt:variant>
      <vt:variant>
        <vt:i4>5</vt:i4>
      </vt:variant>
      <vt:variant>
        <vt:lpwstr>https://www.health.gov.au/resources/publications/revised-aged-care-quality-standards-detailed-draft-for-public-consultation</vt:lpwstr>
      </vt:variant>
      <vt:variant>
        <vt:lpwstr/>
      </vt:variant>
      <vt:variant>
        <vt:i4>393297</vt:i4>
      </vt:variant>
      <vt:variant>
        <vt:i4>153</vt:i4>
      </vt:variant>
      <vt:variant>
        <vt:i4>0</vt:i4>
      </vt:variant>
      <vt:variant>
        <vt:i4>5</vt:i4>
      </vt:variant>
      <vt:variant>
        <vt:lpwstr>https://www.gen-agedcaredata.gov.au/Resources/Factsheets-and-infographics</vt:lpwstr>
      </vt:variant>
      <vt:variant>
        <vt:lpwstr/>
      </vt:variant>
      <vt:variant>
        <vt:i4>2097252</vt:i4>
      </vt:variant>
      <vt:variant>
        <vt:i4>147</vt:i4>
      </vt:variant>
      <vt:variant>
        <vt:i4>0</vt:i4>
      </vt:variant>
      <vt:variant>
        <vt:i4>5</vt:i4>
      </vt:variant>
      <vt:variant>
        <vt:lpwstr>https://hnc.org.au/disaster-management/</vt:lpwstr>
      </vt:variant>
      <vt:variant>
        <vt:lpwstr/>
      </vt:variant>
      <vt:variant>
        <vt:i4>5308504</vt:i4>
      </vt:variant>
      <vt:variant>
        <vt:i4>144</vt:i4>
      </vt:variant>
      <vt:variant>
        <vt:i4>0</vt:i4>
      </vt:variant>
      <vt:variant>
        <vt:i4>5</vt:i4>
      </vt:variant>
      <vt:variant>
        <vt:lpwstr>https://www.royalcommission.gov.au/natural-disasters</vt:lpwstr>
      </vt:variant>
      <vt:variant>
        <vt:lpwstr/>
      </vt:variant>
      <vt:variant>
        <vt:i4>4915282</vt:i4>
      </vt:variant>
      <vt:variant>
        <vt:i4>141</vt:i4>
      </vt:variant>
      <vt:variant>
        <vt:i4>0</vt:i4>
      </vt:variant>
      <vt:variant>
        <vt:i4>5</vt:i4>
      </vt:variant>
      <vt:variant>
        <vt:lpwstr>https://nema.gov.au/about-us/budget-2023-24/Mental-Health-Wellbeing-Framework</vt:lpwstr>
      </vt:variant>
      <vt:variant>
        <vt:lpwstr/>
      </vt:variant>
      <vt:variant>
        <vt:i4>4128870</vt:i4>
      </vt:variant>
      <vt:variant>
        <vt:i4>138</vt:i4>
      </vt:variant>
      <vt:variant>
        <vt:i4>0</vt:i4>
      </vt:variant>
      <vt:variant>
        <vt:i4>5</vt:i4>
      </vt:variant>
      <vt:variant>
        <vt:lpwstr>https://nema.gov.au/about-us/policies/strategies-and-frameworks</vt:lpwstr>
      </vt:variant>
      <vt:variant>
        <vt:lpwstr/>
      </vt:variant>
      <vt:variant>
        <vt:i4>2555967</vt:i4>
      </vt:variant>
      <vt:variant>
        <vt:i4>135</vt:i4>
      </vt:variant>
      <vt:variant>
        <vt:i4>0</vt:i4>
      </vt:variant>
      <vt:variant>
        <vt:i4>5</vt:i4>
      </vt:variant>
      <vt:variant>
        <vt:lpwstr>https://www.purplehouse.org.au/water-story</vt:lpwstr>
      </vt:variant>
      <vt:variant>
        <vt:lpwstr/>
      </vt:variant>
      <vt:variant>
        <vt:i4>2490470</vt:i4>
      </vt:variant>
      <vt:variant>
        <vt:i4>129</vt:i4>
      </vt:variant>
      <vt:variant>
        <vt:i4>0</vt:i4>
      </vt:variant>
      <vt:variant>
        <vt:i4>5</vt:i4>
      </vt:variant>
      <vt:variant>
        <vt:lpwstr>https://www.purplehouse.org.au/dialysis</vt:lpwstr>
      </vt:variant>
      <vt:variant>
        <vt:lpwstr/>
      </vt:variant>
      <vt:variant>
        <vt:i4>3604607</vt:i4>
      </vt:variant>
      <vt:variant>
        <vt:i4>126</vt:i4>
      </vt:variant>
      <vt:variant>
        <vt:i4>0</vt:i4>
      </vt:variant>
      <vt:variant>
        <vt:i4>5</vt:i4>
      </vt:variant>
      <vt:variant>
        <vt:lpwstr>https://www.blackdoginstitute.org.au/national-emergency-worker-support-service/</vt:lpwstr>
      </vt:variant>
      <vt:variant>
        <vt:lpwstr/>
      </vt:variant>
      <vt:variant>
        <vt:i4>1376327</vt:i4>
      </vt:variant>
      <vt:variant>
        <vt:i4>123</vt:i4>
      </vt:variant>
      <vt:variant>
        <vt:i4>0</vt:i4>
      </vt:variant>
      <vt:variant>
        <vt:i4>5</vt:i4>
      </vt:variant>
      <vt:variant>
        <vt:lpwstr>https://www.who.int/publications/i/item/9789240048102</vt:lpwstr>
      </vt:variant>
      <vt:variant>
        <vt:lpwstr/>
      </vt:variant>
      <vt:variant>
        <vt:i4>5570570</vt:i4>
      </vt:variant>
      <vt:variant>
        <vt:i4>120</vt:i4>
      </vt:variant>
      <vt:variant>
        <vt:i4>0</vt:i4>
      </vt:variant>
      <vt:variant>
        <vt:i4>5</vt:i4>
      </vt:variant>
      <vt:variant>
        <vt:lpwstr>https://www.igem.vic.gov.au/publications/igem-reports/review-of-response-to-the-thunderstorm-asthma-event-of-21-22-november-0</vt:lpwstr>
      </vt:variant>
      <vt:variant>
        <vt:lpwstr/>
      </vt:variant>
      <vt:variant>
        <vt:i4>5570570</vt:i4>
      </vt:variant>
      <vt:variant>
        <vt:i4>117</vt:i4>
      </vt:variant>
      <vt:variant>
        <vt:i4>0</vt:i4>
      </vt:variant>
      <vt:variant>
        <vt:i4>5</vt:i4>
      </vt:variant>
      <vt:variant>
        <vt:lpwstr>https://www.igem.vic.gov.au/publications/igem-reports/review-of-response-to-the-thunderstorm-asthma-event-of-21-22-november-0</vt:lpwstr>
      </vt:variant>
      <vt:variant>
        <vt:lpwstr/>
      </vt:variant>
      <vt:variant>
        <vt:i4>5439501</vt:i4>
      </vt:variant>
      <vt:variant>
        <vt:i4>114</vt:i4>
      </vt:variant>
      <vt:variant>
        <vt:i4>0</vt:i4>
      </vt:variant>
      <vt:variant>
        <vt:i4>5</vt:i4>
      </vt:variant>
      <vt:variant>
        <vt:lpwstr>https://www.health.gov.au/our-work/nndss</vt:lpwstr>
      </vt:variant>
      <vt:variant>
        <vt:lpwstr/>
      </vt:variant>
      <vt:variant>
        <vt:i4>5505102</vt:i4>
      </vt:variant>
      <vt:variant>
        <vt:i4>111</vt:i4>
      </vt:variant>
      <vt:variant>
        <vt:i4>0</vt:i4>
      </vt:variant>
      <vt:variant>
        <vt:i4>5</vt:i4>
      </vt:variant>
      <vt:variant>
        <vt:lpwstr>https://www.ctc-n.org/technologies/climate-change-monitoring</vt:lpwstr>
      </vt:variant>
      <vt:variant>
        <vt:lpwstr/>
      </vt:variant>
      <vt:variant>
        <vt:i4>1704005</vt:i4>
      </vt:variant>
      <vt:variant>
        <vt:i4>108</vt:i4>
      </vt:variant>
      <vt:variant>
        <vt:i4>0</vt:i4>
      </vt:variant>
      <vt:variant>
        <vt:i4>5</vt:i4>
      </vt:variant>
      <vt:variant>
        <vt:lpwstr>https://www.who.int/publications/i/item/9789241565073</vt:lpwstr>
      </vt:variant>
      <vt:variant>
        <vt:lpwstr/>
      </vt:variant>
      <vt:variant>
        <vt:i4>1769537</vt:i4>
      </vt:variant>
      <vt:variant>
        <vt:i4>105</vt:i4>
      </vt:variant>
      <vt:variant>
        <vt:i4>0</vt:i4>
      </vt:variant>
      <vt:variant>
        <vt:i4>5</vt:i4>
      </vt:variant>
      <vt:variant>
        <vt:lpwstr>https://www.health.org.uk/news-and-comment/blogs/an-anchor-approach-to-sustainability</vt:lpwstr>
      </vt:variant>
      <vt:variant>
        <vt:lpwstr/>
      </vt:variant>
      <vt:variant>
        <vt:i4>7536757</vt:i4>
      </vt:variant>
      <vt:variant>
        <vt:i4>102</vt:i4>
      </vt:variant>
      <vt:variant>
        <vt:i4>0</vt:i4>
      </vt:variant>
      <vt:variant>
        <vt:i4>5</vt:i4>
      </vt:variant>
      <vt:variant>
        <vt:lpwstr>https://www.lowitja.org.au/page/services/resources/Cultural-and-social-determinants/climate-health/climate-change-and-aboriginal-and-torres-strait-islander-health</vt:lpwstr>
      </vt:variant>
      <vt:variant>
        <vt:lpwstr/>
      </vt:variant>
      <vt:variant>
        <vt:i4>5111834</vt:i4>
      </vt:variant>
      <vt:variant>
        <vt:i4>99</vt:i4>
      </vt:variant>
      <vt:variant>
        <vt:i4>0</vt:i4>
      </vt:variant>
      <vt:variant>
        <vt:i4>5</vt:i4>
      </vt:variant>
      <vt:variant>
        <vt:lpwstr>https://www.health.gov.au/resources/publications/national-aboriginal-and-torres-strait-islander-health-plan-2021-2031</vt:lpwstr>
      </vt:variant>
      <vt:variant>
        <vt:lpwstr/>
      </vt:variant>
      <vt:variant>
        <vt:i4>6029386</vt:i4>
      </vt:variant>
      <vt:variant>
        <vt:i4>96</vt:i4>
      </vt:variant>
      <vt:variant>
        <vt:i4>0</vt:i4>
      </vt:variant>
      <vt:variant>
        <vt:i4>5</vt:i4>
      </vt:variant>
      <vt:variant>
        <vt:lpwstr>https://shura.shu.ac.uk/27312/2/eval-rotherham-social-prescribing-long-term-conditions-17-18.pdf</vt:lpwstr>
      </vt:variant>
      <vt:variant>
        <vt:lpwstr/>
      </vt:variant>
      <vt:variant>
        <vt:i4>2293866</vt:i4>
      </vt:variant>
      <vt:variant>
        <vt:i4>93</vt:i4>
      </vt:variant>
      <vt:variant>
        <vt:i4>0</vt:i4>
      </vt:variant>
      <vt:variant>
        <vt:i4>5</vt:i4>
      </vt:variant>
      <vt:variant>
        <vt:lpwstr>https://www.health.gov.au/resources/publications/australias-primary-health-care-10-year-plan-2022-2032</vt:lpwstr>
      </vt:variant>
      <vt:variant>
        <vt:lpwstr/>
      </vt:variant>
      <vt:variant>
        <vt:i4>327683</vt:i4>
      </vt:variant>
      <vt:variant>
        <vt:i4>90</vt:i4>
      </vt:variant>
      <vt:variant>
        <vt:i4>0</vt:i4>
      </vt:variant>
      <vt:variant>
        <vt:i4>5</vt:i4>
      </vt:variant>
      <vt:variant>
        <vt:lpwstr>https://www.racgp.org.au/clinical-resources/clinical-guidelines/key-racgp-guidelines/view-all-racgp-guidelines/green-book/putting-prevention-into-practice/principles</vt:lpwstr>
      </vt:variant>
      <vt:variant>
        <vt:lpwstr/>
      </vt:variant>
      <vt:variant>
        <vt:i4>1245262</vt:i4>
      </vt:variant>
      <vt:variant>
        <vt:i4>87</vt:i4>
      </vt:variant>
      <vt:variant>
        <vt:i4>0</vt:i4>
      </vt:variant>
      <vt:variant>
        <vt:i4>5</vt:i4>
      </vt:variant>
      <vt:variant>
        <vt:lpwstr>https://www.health.gov.au/topics/primary-care</vt:lpwstr>
      </vt:variant>
      <vt:variant>
        <vt:lpwstr/>
      </vt:variant>
      <vt:variant>
        <vt:i4>8192122</vt:i4>
      </vt:variant>
      <vt:variant>
        <vt:i4>84</vt:i4>
      </vt:variant>
      <vt:variant>
        <vt:i4>0</vt:i4>
      </vt:variant>
      <vt:variant>
        <vt:i4>5</vt:i4>
      </vt:variant>
      <vt:variant>
        <vt:lpwstr>https://www.health.gov.au/resources/publications/national-preventive-health-strategy-2021-2030</vt:lpwstr>
      </vt:variant>
      <vt:variant>
        <vt:lpwstr/>
      </vt:variant>
      <vt:variant>
        <vt:i4>5373966</vt:i4>
      </vt:variant>
      <vt:variant>
        <vt:i4>81</vt:i4>
      </vt:variant>
      <vt:variant>
        <vt:i4>0</vt:i4>
      </vt:variant>
      <vt:variant>
        <vt:i4>5</vt:i4>
      </vt:variant>
      <vt:variant>
        <vt:lpwstr>https://www.abs.gov.au/statistics/health/health-conditions-and-risks/health-conditions-prevalence/latest-release</vt:lpwstr>
      </vt:variant>
      <vt:variant>
        <vt:lpwstr/>
      </vt:variant>
      <vt:variant>
        <vt:i4>3342447</vt:i4>
      </vt:variant>
      <vt:variant>
        <vt:i4>78</vt:i4>
      </vt:variant>
      <vt:variant>
        <vt:i4>0</vt:i4>
      </vt:variant>
      <vt:variant>
        <vt:i4>5</vt:i4>
      </vt:variant>
      <vt:variant>
        <vt:lpwstr>https://www.dcceew.gov.au/climate-change/publications/national-climate-risk-assessment</vt:lpwstr>
      </vt:variant>
      <vt:variant>
        <vt:lpwstr/>
      </vt:variant>
      <vt:variant>
        <vt:i4>1245250</vt:i4>
      </vt:variant>
      <vt:variant>
        <vt:i4>75</vt:i4>
      </vt:variant>
      <vt:variant>
        <vt:i4>0</vt:i4>
      </vt:variant>
      <vt:variant>
        <vt:i4>5</vt:i4>
      </vt:variant>
      <vt:variant>
        <vt:lpwstr>https://www.who.int/publications/i/item/9789240036383</vt:lpwstr>
      </vt:variant>
      <vt:variant>
        <vt:lpwstr/>
      </vt:variant>
      <vt:variant>
        <vt:i4>1376324</vt:i4>
      </vt:variant>
      <vt:variant>
        <vt:i4>72</vt:i4>
      </vt:variant>
      <vt:variant>
        <vt:i4>0</vt:i4>
      </vt:variant>
      <vt:variant>
        <vt:i4>5</vt:i4>
      </vt:variant>
      <vt:variant>
        <vt:lpwstr>https://www.who.int/publications/i/item/9789240038509</vt:lpwstr>
      </vt:variant>
      <vt:variant>
        <vt:lpwstr/>
      </vt:variant>
      <vt:variant>
        <vt:i4>7274593</vt:i4>
      </vt:variant>
      <vt:variant>
        <vt:i4>69</vt:i4>
      </vt:variant>
      <vt:variant>
        <vt:i4>0</vt:i4>
      </vt:variant>
      <vt:variant>
        <vt:i4>5</vt:i4>
      </vt:variant>
      <vt:variant>
        <vt:lpwstr>https://www.health.wa.gov.au/climate-health-wa-final-report</vt:lpwstr>
      </vt:variant>
      <vt:variant>
        <vt:lpwstr/>
      </vt:variant>
      <vt:variant>
        <vt:i4>8192033</vt:i4>
      </vt:variant>
      <vt:variant>
        <vt:i4>66</vt:i4>
      </vt:variant>
      <vt:variant>
        <vt:i4>0</vt:i4>
      </vt:variant>
      <vt:variant>
        <vt:i4>5</vt:i4>
      </vt:variant>
      <vt:variant>
        <vt:lpwstr>https://www.dffh.vic.gov.au/publications/health-and-human-services-climate-change-adaptation-action-plan-2022-2026</vt:lpwstr>
      </vt:variant>
      <vt:variant>
        <vt:lpwstr/>
      </vt:variant>
      <vt:variant>
        <vt:i4>786507</vt:i4>
      </vt:variant>
      <vt:variant>
        <vt:i4>63</vt:i4>
      </vt:variant>
      <vt:variant>
        <vt:i4>0</vt:i4>
      </vt:variant>
      <vt:variant>
        <vt:i4>5</vt:i4>
      </vt:variant>
      <vt:variant>
        <vt:lpwstr>https://www.health.qld.gov.au/system-governance/strategic-direction/plans/climate-change/climate-change-strategy-and-planning</vt:lpwstr>
      </vt:variant>
      <vt:variant>
        <vt:lpwstr/>
      </vt:variant>
      <vt:variant>
        <vt:i4>5177467</vt:i4>
      </vt:variant>
      <vt:variant>
        <vt:i4>60</vt:i4>
      </vt:variant>
      <vt:variant>
        <vt:i4>0</vt:i4>
      </vt:variant>
      <vt:variant>
        <vt:i4>5</vt:i4>
      </vt:variant>
      <vt:variant>
        <vt:lpwstr>https://www.dcceew.gov.au/climate-change/policy/adaptation</vt:lpwstr>
      </vt:variant>
      <vt:variant>
        <vt:lpwstr>toc_0</vt:lpwstr>
      </vt:variant>
      <vt:variant>
        <vt:i4>8323180</vt:i4>
      </vt:variant>
      <vt:variant>
        <vt:i4>57</vt:i4>
      </vt:variant>
      <vt:variant>
        <vt:i4>0</vt:i4>
      </vt:variant>
      <vt:variant>
        <vt:i4>5</vt:i4>
      </vt:variant>
      <vt:variant>
        <vt:lpwstr>https://www.dcceew.gov.au/climate-change/policy/adaptation</vt:lpwstr>
      </vt:variant>
      <vt:variant>
        <vt:lpwstr/>
      </vt:variant>
      <vt:variant>
        <vt:i4>1310786</vt:i4>
      </vt:variant>
      <vt:variant>
        <vt:i4>54</vt:i4>
      </vt:variant>
      <vt:variant>
        <vt:i4>0</vt:i4>
      </vt:variant>
      <vt:variant>
        <vt:i4>5</vt:i4>
      </vt:variant>
      <vt:variant>
        <vt:lpwstr>https://www.who.int/publications/i/item/9789240081888</vt:lpwstr>
      </vt:variant>
      <vt:variant>
        <vt:lpwstr/>
      </vt:variant>
      <vt:variant>
        <vt:i4>3276922</vt:i4>
      </vt:variant>
      <vt:variant>
        <vt:i4>51</vt:i4>
      </vt:variant>
      <vt:variant>
        <vt:i4>0</vt:i4>
      </vt:variant>
      <vt:variant>
        <vt:i4>5</vt:i4>
      </vt:variant>
      <vt:variant>
        <vt:lpwstr>https://www.who.int/activities/promoting-health-in-all-policies-and-intersectoral-action-capacities</vt:lpwstr>
      </vt:variant>
      <vt:variant>
        <vt:lpwstr/>
      </vt:variant>
      <vt:variant>
        <vt:i4>1441877</vt:i4>
      </vt:variant>
      <vt:variant>
        <vt:i4>48</vt:i4>
      </vt:variant>
      <vt:variant>
        <vt:i4>0</vt:i4>
      </vt:variant>
      <vt:variant>
        <vt:i4>5</vt:i4>
      </vt:variant>
      <vt:variant>
        <vt:lpwstr>https://library.wmo.int/records/item/68500-2023-state-of-climate-services-health</vt:lpwstr>
      </vt:variant>
      <vt:variant>
        <vt:lpwstr/>
      </vt:variant>
      <vt:variant>
        <vt:i4>3342447</vt:i4>
      </vt:variant>
      <vt:variant>
        <vt:i4>45</vt:i4>
      </vt:variant>
      <vt:variant>
        <vt:i4>0</vt:i4>
      </vt:variant>
      <vt:variant>
        <vt:i4>5</vt:i4>
      </vt:variant>
      <vt:variant>
        <vt:lpwstr>https://www.aihw.gov.au/reports/injury/extreme-weather-injuries</vt:lpwstr>
      </vt:variant>
      <vt:variant>
        <vt:lpwstr/>
      </vt:variant>
      <vt:variant>
        <vt:i4>6094943</vt:i4>
      </vt:variant>
      <vt:variant>
        <vt:i4>42</vt:i4>
      </vt:variant>
      <vt:variant>
        <vt:i4>0</vt:i4>
      </vt:variant>
      <vt:variant>
        <vt:i4>5</vt:i4>
      </vt:variant>
      <vt:variant>
        <vt:lpwstr>https://consultations.health.gov.au/ohp-2013-environmental-health-and-health-protection-policy-branch/national-health-and-climate-strategy-consultation/</vt:lpwstr>
      </vt:variant>
      <vt:variant>
        <vt:lpwstr/>
      </vt:variant>
      <vt:variant>
        <vt:i4>2359358</vt:i4>
      </vt:variant>
      <vt:variant>
        <vt:i4>39</vt:i4>
      </vt:variant>
      <vt:variant>
        <vt:i4>0</vt:i4>
      </vt:variant>
      <vt:variant>
        <vt:i4>5</vt:i4>
      </vt:variant>
      <vt:variant>
        <vt:lpwstr>https://opus.lib.uts.edu.au/handle/10453/144332</vt:lpwstr>
      </vt:variant>
      <vt:variant>
        <vt:lpwstr/>
      </vt:variant>
      <vt:variant>
        <vt:i4>262228</vt:i4>
      </vt:variant>
      <vt:variant>
        <vt:i4>36</vt:i4>
      </vt:variant>
      <vt:variant>
        <vt:i4>0</vt:i4>
      </vt:variant>
      <vt:variant>
        <vt:i4>5</vt:i4>
      </vt:variant>
      <vt:variant>
        <vt:lpwstr>https://www.orygen.org.au/Orygen-Institute/Policy-Areas/Social-and-environmental-factors/climateconcerns</vt:lpwstr>
      </vt:variant>
      <vt:variant>
        <vt:lpwstr/>
      </vt:variant>
      <vt:variant>
        <vt:i4>4653145</vt:i4>
      </vt:variant>
      <vt:variant>
        <vt:i4>33</vt:i4>
      </vt:variant>
      <vt:variant>
        <vt:i4>0</vt:i4>
      </vt:variant>
      <vt:variant>
        <vt:i4>5</vt:i4>
      </vt:variant>
      <vt:variant>
        <vt:lpwstr>https://www.ga.gov.au/education/natural-hazards/bushfire</vt:lpwstr>
      </vt:variant>
      <vt:variant>
        <vt:lpwstr/>
      </vt:variant>
      <vt:variant>
        <vt:i4>3670053</vt:i4>
      </vt:variant>
      <vt:variant>
        <vt:i4>27</vt:i4>
      </vt:variant>
      <vt:variant>
        <vt:i4>0</vt:i4>
      </vt:variant>
      <vt:variant>
        <vt:i4>5</vt:i4>
      </vt:variant>
      <vt:variant>
        <vt:lpwstr>https://www.acs.gov.au/pages/floods</vt:lpwstr>
      </vt:variant>
      <vt:variant>
        <vt:lpwstr/>
      </vt:variant>
      <vt:variant>
        <vt:i4>1245198</vt:i4>
      </vt:variant>
      <vt:variant>
        <vt:i4>24</vt:i4>
      </vt:variant>
      <vt:variant>
        <vt:i4>0</vt:i4>
      </vt:variant>
      <vt:variant>
        <vt:i4>5</vt:i4>
      </vt:variant>
      <vt:variant>
        <vt:lpwstr>https://www.niaa.gov.au/indigenous-affairs/environment/indigenous-rangers-program</vt:lpwstr>
      </vt:variant>
      <vt:variant>
        <vt:lpwstr/>
      </vt:variant>
      <vt:variant>
        <vt:i4>7536757</vt:i4>
      </vt:variant>
      <vt:variant>
        <vt:i4>21</vt:i4>
      </vt:variant>
      <vt:variant>
        <vt:i4>0</vt:i4>
      </vt:variant>
      <vt:variant>
        <vt:i4>5</vt:i4>
      </vt:variant>
      <vt:variant>
        <vt:lpwstr>https://www.lowitja.org.au/page/services/resources/Cultural-and-social-determinants/climate-health/climate-change-and-aboriginal-and-torres-strait-islander-health</vt:lpwstr>
      </vt:variant>
      <vt:variant>
        <vt:lpwstr/>
      </vt:variant>
      <vt:variant>
        <vt:i4>6357048</vt:i4>
      </vt:variant>
      <vt:variant>
        <vt:i4>18</vt:i4>
      </vt:variant>
      <vt:variant>
        <vt:i4>0</vt:i4>
      </vt:variant>
      <vt:variant>
        <vt:i4>5</vt:i4>
      </vt:variant>
      <vt:variant>
        <vt:lpwstr>https://www.health.gov.au/resources/publications/national-aboriginal-and-torres-strait-islander-health-workforce-strategic-framework-and-implementation-plan-2021-2031</vt:lpwstr>
      </vt:variant>
      <vt:variant>
        <vt:lpwstr/>
      </vt:variant>
      <vt:variant>
        <vt:i4>1441798</vt:i4>
      </vt:variant>
      <vt:variant>
        <vt:i4>15</vt:i4>
      </vt:variant>
      <vt:variant>
        <vt:i4>0</vt:i4>
      </vt:variant>
      <vt:variant>
        <vt:i4>5</vt:i4>
      </vt:variant>
      <vt:variant>
        <vt:lpwstr>https://www.health.gov.au/resources/publications/national-aboriginal-and-torres-strait-islander-health-plan-2021-2031?language=en</vt:lpwstr>
      </vt:variant>
      <vt:variant>
        <vt:lpwstr/>
      </vt:variant>
      <vt:variant>
        <vt:i4>4391001</vt:i4>
      </vt:variant>
      <vt:variant>
        <vt:i4>12</vt:i4>
      </vt:variant>
      <vt:variant>
        <vt:i4>0</vt:i4>
      </vt:variant>
      <vt:variant>
        <vt:i4>5</vt:i4>
      </vt:variant>
      <vt:variant>
        <vt:lpwstr>https://www.austlii.edu.au/au/other/dfat/treaties/1976/5.html</vt:lpwstr>
      </vt:variant>
      <vt:variant>
        <vt:lpwstr/>
      </vt:variant>
      <vt:variant>
        <vt:i4>4587535</vt:i4>
      </vt:variant>
      <vt:variant>
        <vt:i4>9</vt:i4>
      </vt:variant>
      <vt:variant>
        <vt:i4>0</vt:i4>
      </vt:variant>
      <vt:variant>
        <vt:i4>5</vt:i4>
      </vt:variant>
      <vt:variant>
        <vt:lpwstr>https://www.who.int/publications/m/item/what-you-need-to-know-about-health-in-all-policies--key-messages</vt:lpwstr>
      </vt:variant>
      <vt:variant>
        <vt:lpwstr/>
      </vt:variant>
      <vt:variant>
        <vt:i4>4456464</vt:i4>
      </vt:variant>
      <vt:variant>
        <vt:i4>6</vt:i4>
      </vt:variant>
      <vt:variant>
        <vt:i4>0</vt:i4>
      </vt:variant>
      <vt:variant>
        <vt:i4>5</vt:i4>
      </vt:variant>
      <vt:variant>
        <vt:lpwstr>https://www.who.int/about/accountability/governance/constitution</vt:lpwstr>
      </vt:variant>
      <vt:variant>
        <vt:lpwstr/>
      </vt:variant>
      <vt:variant>
        <vt:i4>5505117</vt:i4>
      </vt:variant>
      <vt:variant>
        <vt:i4>3</vt:i4>
      </vt:variant>
      <vt:variant>
        <vt:i4>0</vt:i4>
      </vt:variant>
      <vt:variant>
        <vt:i4>5</vt:i4>
      </vt:variant>
      <vt:variant>
        <vt:lpwstr>https://aiatsis.gov.au/publication/35297</vt:lpwstr>
      </vt:variant>
      <vt:variant>
        <vt:lpwstr/>
      </vt:variant>
      <vt:variant>
        <vt:i4>131085</vt:i4>
      </vt:variant>
      <vt:variant>
        <vt:i4>0</vt:i4>
      </vt:variant>
      <vt:variant>
        <vt:i4>0</vt:i4>
      </vt:variant>
      <vt:variant>
        <vt:i4>5</vt:i4>
      </vt:variant>
      <vt:variant>
        <vt:lpwstr>http://www.bom.gov.au/state-of-the-climate/australias-changing-climate.shtml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and Climate Strategy</dc:title>
  <dc:subject>National Health and Climate Strategy</dc:subject>
  <dc:creator>Australian Government Department of Health and Aged Care</dc:creator>
  <cp:keywords>Environmental health</cp:keywords>
  <dc:description/>
  <cp:revision>3</cp:revision>
  <dcterms:created xsi:type="dcterms:W3CDTF">2023-12-01T03:21:00Z</dcterms:created>
  <dcterms:modified xsi:type="dcterms:W3CDTF">2023-12-01T03:24:00Z</dcterms:modified>
</cp:coreProperties>
</file>