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68134A">
      <w:pPr>
        <w:pStyle w:val="Heading1"/>
      </w:pPr>
      <w:r>
        <w:t xml:space="preserve">Health Technology Assessment Policy and Methods Review Reference Committee </w:t>
      </w:r>
    </w:p>
    <w:p w14:paraId="6E052E4A" w14:textId="5FC3AE6E" w:rsidR="008376E2" w:rsidRPr="008376E2" w:rsidRDefault="008376E2" w:rsidP="00DE6AD6">
      <w:pPr>
        <w:sectPr w:rsidR="008376E2" w:rsidRPr="008376E2" w:rsidSect="00125E0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pgNumType w:start="1"/>
          <w:cols w:space="708"/>
          <w:docGrid w:linePitch="360"/>
        </w:sectPr>
      </w:pPr>
    </w:p>
    <w:p w14:paraId="38900896" w14:textId="1647C57A" w:rsidR="0054768D" w:rsidRDefault="0098122D" w:rsidP="0024324A">
      <w:pPr>
        <w:pStyle w:val="Heading2"/>
      </w:pPr>
      <w:r>
        <w:t>Communique</w:t>
      </w:r>
      <w:r w:rsidR="00584A34">
        <w:t xml:space="preserve"> </w:t>
      </w:r>
      <w:r w:rsidR="00584A34" w:rsidRPr="00FB30E1">
        <w:t xml:space="preserve">– </w:t>
      </w:r>
      <w:r w:rsidR="00E632A9">
        <w:t>19</w:t>
      </w:r>
      <w:r w:rsidR="00070ABF">
        <w:t xml:space="preserve"> September</w:t>
      </w:r>
      <w:r w:rsidR="008B001B">
        <w:t xml:space="preserve"> </w:t>
      </w:r>
      <w:r w:rsidR="00FB30E1">
        <w:t xml:space="preserve">2023 </w:t>
      </w:r>
      <w:r w:rsidR="00FF5384">
        <w:t>meeting</w:t>
      </w:r>
    </w:p>
    <w:p w14:paraId="3D776C38" w14:textId="1DD07A7D" w:rsidR="00B666A3" w:rsidRDefault="00FF5384" w:rsidP="00FF5384">
      <w:bookmarkStart w:id="0" w:name="_Hlk133588327"/>
      <w:r>
        <w:t>The Health Technology Assessment (HTA) Policy and Methods Review (Review) Reference Committee (Committee) met by video conference on</w:t>
      </w:r>
      <w:r w:rsidR="00B430B9">
        <w:t xml:space="preserve"> </w:t>
      </w:r>
      <w:r w:rsidR="00A85AFB">
        <w:t xml:space="preserve">19 </w:t>
      </w:r>
      <w:r w:rsidR="00070ABF">
        <w:t>September</w:t>
      </w:r>
      <w:r w:rsidR="00B430B9">
        <w:t> </w:t>
      </w:r>
      <w:r>
        <w:t>2023.</w:t>
      </w:r>
      <w:r w:rsidR="00B666A3">
        <w:t xml:space="preserve"> </w:t>
      </w:r>
    </w:p>
    <w:p w14:paraId="155A3C18" w14:textId="40662F72" w:rsidR="00FB30E1" w:rsidRDefault="00281104" w:rsidP="00B666A3">
      <w:pPr>
        <w:rPr>
          <w:b/>
          <w:bCs/>
        </w:rPr>
      </w:pPr>
      <w:r>
        <w:t xml:space="preserve">Representatives from the </w:t>
      </w:r>
      <w:r w:rsidR="00C66172">
        <w:t>Antimicrobial Resistance Branch of the Department of Health and Aged Care (Department)</w:t>
      </w:r>
      <w:r w:rsidR="00E22ED9">
        <w:t xml:space="preserve"> and the Australian Antimicrobial Resistance Network (</w:t>
      </w:r>
      <w:proofErr w:type="spellStart"/>
      <w:r w:rsidR="00E22ED9">
        <w:t>AAMRNet</w:t>
      </w:r>
      <w:proofErr w:type="spellEnd"/>
      <w:r w:rsidR="00E22ED9">
        <w:t xml:space="preserve">) </w:t>
      </w:r>
      <w:r w:rsidR="001E7F53">
        <w:t>participated in</w:t>
      </w:r>
      <w:r w:rsidR="007F1AA3">
        <w:t xml:space="preserve"> a deep</w:t>
      </w:r>
      <w:r w:rsidR="001E7F53">
        <w:t>-</w:t>
      </w:r>
      <w:r w:rsidR="007F1AA3">
        <w:t xml:space="preserve">dive </w:t>
      </w:r>
      <w:r w:rsidR="001E7F53">
        <w:t xml:space="preserve">discussion on </w:t>
      </w:r>
      <w:r w:rsidR="007F1AA3">
        <w:t>antimicrobial resistance</w:t>
      </w:r>
      <w:r w:rsidR="00CB7BA8">
        <w:t xml:space="preserve"> (AMR)</w:t>
      </w:r>
      <w:r w:rsidR="00FC4A0D">
        <w:t xml:space="preserve"> with the Committee</w:t>
      </w:r>
      <w:r w:rsidR="00020E9B">
        <w:t xml:space="preserve">.  Representatives of the Department, </w:t>
      </w:r>
      <w:r w:rsidR="00ED79D2">
        <w:t xml:space="preserve">the </w:t>
      </w:r>
      <w:r w:rsidR="00FC4A0D">
        <w:t>National Aboriginal Community Controlled Health Organisation (</w:t>
      </w:r>
      <w:r w:rsidR="006D73DF">
        <w:t>NACCHO</w:t>
      </w:r>
      <w:r w:rsidR="00FC4A0D">
        <w:t>)</w:t>
      </w:r>
      <w:r w:rsidR="006D73DF">
        <w:t xml:space="preserve">, </w:t>
      </w:r>
      <w:r w:rsidR="0067043D">
        <w:t xml:space="preserve">Deakin University, </w:t>
      </w:r>
      <w:r w:rsidR="006D73DF">
        <w:t xml:space="preserve">Flinders University and the Kirby Institute </w:t>
      </w:r>
      <w:r w:rsidR="00FC4A0D">
        <w:t xml:space="preserve">participated in </w:t>
      </w:r>
      <w:r w:rsidR="00D953C5">
        <w:t>a deep</w:t>
      </w:r>
      <w:r w:rsidR="00FC4A0D">
        <w:t>-</w:t>
      </w:r>
      <w:r w:rsidR="00D953C5">
        <w:t>dive</w:t>
      </w:r>
      <w:r w:rsidR="00FC4A0D">
        <w:t xml:space="preserve"> discussion</w:t>
      </w:r>
      <w:r w:rsidR="00D953C5">
        <w:t xml:space="preserve"> on </w:t>
      </w:r>
      <w:r w:rsidR="000211F4">
        <w:t xml:space="preserve">addressing health inequities for </w:t>
      </w:r>
      <w:r w:rsidR="00E13B08">
        <w:t>Aboriginal and Torres Strait Islander people</w:t>
      </w:r>
      <w:r w:rsidR="00810AC1">
        <w:t>s</w:t>
      </w:r>
      <w:r w:rsidR="00E13B08">
        <w:t xml:space="preserve"> </w:t>
      </w:r>
      <w:r w:rsidR="00FC4A0D">
        <w:t>with the Committee</w:t>
      </w:r>
      <w:r>
        <w:t>.</w:t>
      </w:r>
      <w:r w:rsidR="00D26072">
        <w:t xml:space="preserve"> </w:t>
      </w:r>
      <w:r w:rsidR="0005576F">
        <w:t xml:space="preserve">Support staff from the Review Secretariat in the Department </w:t>
      </w:r>
      <w:r w:rsidR="00285E00">
        <w:t xml:space="preserve">and the probity advisor </w:t>
      </w:r>
      <w:r w:rsidR="0005576F">
        <w:t>attended.</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2E8FCE02" w14:textId="5D911182" w:rsidR="004A6435" w:rsidRDefault="004A6435" w:rsidP="004A6435">
      <w:pPr>
        <w:pStyle w:val="Heading3"/>
        <w:rPr>
          <w:szCs w:val="24"/>
        </w:rPr>
      </w:pPr>
      <w:bookmarkStart w:id="1" w:name="_Hlk149668819"/>
      <w:r>
        <w:t>Deep Dive</w:t>
      </w:r>
      <w:r w:rsidR="00FC4A0D">
        <w:t xml:space="preserve"> into</w:t>
      </w:r>
      <w:r>
        <w:t xml:space="preserve"> Antimicrobial Resistance</w:t>
      </w:r>
    </w:p>
    <w:p w14:paraId="51464385" w14:textId="7AB5C28E" w:rsidR="00503D45" w:rsidRDefault="00503D45" w:rsidP="004A6435">
      <w:r>
        <w:t>Representatives from AMR Branch, in the Department of Health and Aged Care,</w:t>
      </w:r>
      <w:r w:rsidR="004A6435">
        <w:t xml:space="preserve"> </w:t>
      </w:r>
      <w:r>
        <w:t xml:space="preserve">and </w:t>
      </w:r>
      <w:proofErr w:type="spellStart"/>
      <w:r>
        <w:t>AAMRNet</w:t>
      </w:r>
      <w:proofErr w:type="spellEnd"/>
      <w:r>
        <w:t xml:space="preserve"> gave their respective presentations on the state of </w:t>
      </w:r>
      <w:r w:rsidR="00FC4A0D">
        <w:t>AMR</w:t>
      </w:r>
      <w:r>
        <w:t xml:space="preserve"> in Australia.</w:t>
      </w:r>
    </w:p>
    <w:p w14:paraId="7E40653C" w14:textId="0D943D7A" w:rsidR="00CE3C3F" w:rsidRDefault="00B42E6B" w:rsidP="004A6435">
      <w:r>
        <w:t>Representatives from AMR Branch</w:t>
      </w:r>
      <w:r w:rsidR="004A6435">
        <w:t xml:space="preserve"> described the context, scope</w:t>
      </w:r>
      <w:r w:rsidR="00EA6067">
        <w:t>,</w:t>
      </w:r>
      <w:r w:rsidR="004A6435">
        <w:t xml:space="preserve"> and focus of the Australian Government’s strategy related to </w:t>
      </w:r>
      <w:r>
        <w:t>AMR</w:t>
      </w:r>
      <w:r w:rsidR="004A6435">
        <w:t>. The Committee learn</w:t>
      </w:r>
      <w:r w:rsidR="003F5902">
        <w:t>ed</w:t>
      </w:r>
      <w:r w:rsidR="004A6435">
        <w:t xml:space="preserve"> about the contributing factors to AM</w:t>
      </w:r>
      <w:r w:rsidR="00DF3C1B">
        <w:t>R</w:t>
      </w:r>
      <w:r w:rsidR="003F5902">
        <w:t>,</w:t>
      </w:r>
      <w:r w:rsidR="004A6435">
        <w:t xml:space="preserve"> both domestically and </w:t>
      </w:r>
      <w:r w:rsidR="00DF3C1B">
        <w:t>abroad</w:t>
      </w:r>
      <w:r w:rsidR="004A6435">
        <w:t>, including the lack of development of new innovative antibiotics by pharmaceutical companies globally and some of the underlying economic and policy drivers of this. Examples of international initiatives relating to AMR were discussed</w:t>
      </w:r>
      <w:r w:rsidR="003F5902">
        <w:t>,</w:t>
      </w:r>
      <w:r w:rsidR="004A6435">
        <w:t xml:space="preserve"> including the concept of a “subscription model” </w:t>
      </w:r>
      <w:r w:rsidR="00DF3C1B">
        <w:t xml:space="preserve">of payment </w:t>
      </w:r>
      <w:r w:rsidR="004A6435">
        <w:t>and Australia’s participation in the Global AMR Hub Pull Incentives working group and Pricing and Reimbursing Scoping Study. The approach and outcomes of an initial Pricing and Reimbursement Scoping Study related to AMR were presented, including details of antimicrobial medicines accessible globally that are not currently available in Australia.</w:t>
      </w:r>
    </w:p>
    <w:p w14:paraId="5DDEF153" w14:textId="59AB7B5A" w:rsidR="004A6435" w:rsidRDefault="004A6435" w:rsidP="004A6435">
      <w:r>
        <w:t xml:space="preserve">The Committee noted the paradox of </w:t>
      </w:r>
      <w:r w:rsidR="000070DA">
        <w:t xml:space="preserve">the need to have access to antimicrobials while also </w:t>
      </w:r>
      <w:r>
        <w:t xml:space="preserve">needing </w:t>
      </w:r>
      <w:r w:rsidR="00B036BC">
        <w:t>to</w:t>
      </w:r>
      <w:r>
        <w:t xml:space="preserve"> </w:t>
      </w:r>
      <w:r w:rsidR="00B036BC">
        <w:t>avoid</w:t>
      </w:r>
      <w:r>
        <w:t xml:space="preserve"> the</w:t>
      </w:r>
      <w:r w:rsidR="00B036BC">
        <w:t>ir</w:t>
      </w:r>
      <w:r>
        <w:t xml:space="preserve"> uptake until required which reduces the economic </w:t>
      </w:r>
      <w:r w:rsidRPr="00EA6067">
        <w:t>viability of new antimicrobials, further contributing to the multifaceted landscape of issues for AMR. </w:t>
      </w:r>
      <w:r w:rsidR="00B036BC">
        <w:t xml:space="preserve">The Committee noted </w:t>
      </w:r>
      <w:r w:rsidR="00387F7D">
        <w:t>the National Health Service</w:t>
      </w:r>
      <w:r w:rsidR="00387F7D" w:rsidRPr="00387F7D">
        <w:t xml:space="preserve"> England and </w:t>
      </w:r>
      <w:r w:rsidR="00387F7D">
        <w:t xml:space="preserve">the UK’s </w:t>
      </w:r>
      <w:r w:rsidR="00387F7D" w:rsidRPr="00387F7D">
        <w:t>National Institute for Health and Care Excellence</w:t>
      </w:r>
      <w:r w:rsidR="00387F7D">
        <w:t xml:space="preserve"> has been piloting a</w:t>
      </w:r>
      <w:r w:rsidR="00B036BC">
        <w:t xml:space="preserve"> “subscription</w:t>
      </w:r>
      <w:r w:rsidRPr="00EA6067">
        <w:t xml:space="preserve"> </w:t>
      </w:r>
      <w:r w:rsidR="00387F7D">
        <w:t xml:space="preserve">model” </w:t>
      </w:r>
      <w:r w:rsidRPr="00EA6067">
        <w:t xml:space="preserve">program for antimicrobials </w:t>
      </w:r>
      <w:r w:rsidR="00387F7D">
        <w:t>and this</w:t>
      </w:r>
      <w:r w:rsidRPr="00EA6067">
        <w:t xml:space="preserve"> was described as an effective initiative that could be applied in Australia (noting the model has some challenges that </w:t>
      </w:r>
      <w:r w:rsidR="00387F7D">
        <w:t xml:space="preserve">will </w:t>
      </w:r>
      <w:r w:rsidRPr="00EA6067">
        <w:t xml:space="preserve">need </w:t>
      </w:r>
      <w:r w:rsidR="00387F7D">
        <w:t>consideration</w:t>
      </w:r>
      <w:r w:rsidRPr="00EA6067">
        <w:t xml:space="preserve">). Other approaches including different pathways to antimicrobial funding and different legislative or funded approaches to promote </w:t>
      </w:r>
      <w:r w:rsidR="00387F7D">
        <w:t xml:space="preserve">bringing new </w:t>
      </w:r>
      <w:r w:rsidRPr="00EA6067">
        <w:t>antimicrobial</w:t>
      </w:r>
      <w:r w:rsidR="00387F7D">
        <w:t>s</w:t>
      </w:r>
      <w:r w:rsidRPr="00EA6067">
        <w:t xml:space="preserve"> to market were discussed however it was noted that </w:t>
      </w:r>
      <w:r w:rsidR="00387F7D">
        <w:t xml:space="preserve">other jurisdictions found some of these approaches to be </w:t>
      </w:r>
      <w:r w:rsidR="00387F7D">
        <w:lastRenderedPageBreak/>
        <w:t>unsuccessful</w:t>
      </w:r>
      <w:r w:rsidRPr="00EA6067">
        <w:t>. </w:t>
      </w:r>
      <w:r w:rsidR="00387F7D">
        <w:t>The Committee noted</w:t>
      </w:r>
      <w:r w:rsidRPr="00EA6067">
        <w:t xml:space="preserve"> that tight control over use and </w:t>
      </w:r>
      <w:r w:rsidR="008B5D8E" w:rsidRPr="00EA6067">
        <w:t>continuous surveillance</w:t>
      </w:r>
      <w:r w:rsidRPr="00EA6067">
        <w:t xml:space="preserve"> of antimicrobials</w:t>
      </w:r>
      <w:r w:rsidR="00AC52E5">
        <w:t>,</w:t>
      </w:r>
      <w:r w:rsidRPr="00EA6067">
        <w:t xml:space="preserve"> as is the case for antibiotics in Australia</w:t>
      </w:r>
      <w:r w:rsidR="00AC52E5">
        <w:t>,</w:t>
      </w:r>
      <w:r w:rsidRPr="00EA6067">
        <w:t xml:space="preserve"> would be essential</w:t>
      </w:r>
      <w:r w:rsidR="0025100B">
        <w:t xml:space="preserve"> and that a</w:t>
      </w:r>
      <w:r w:rsidRPr="00EA6067">
        <w:t xml:space="preserve">ccess to relevant diagnostics may need to be a part of </w:t>
      </w:r>
      <w:r w:rsidR="0025100B">
        <w:t>antimicrobial stewardship</w:t>
      </w:r>
      <w:r w:rsidRPr="00EA6067">
        <w:t xml:space="preserve">. Global cooperation was noted to be increasingly </w:t>
      </w:r>
      <w:r w:rsidR="0025100B">
        <w:t>important</w:t>
      </w:r>
      <w:r w:rsidRPr="00EA6067">
        <w:t xml:space="preserve"> to respon</w:t>
      </w:r>
      <w:r w:rsidR="0025100B">
        <w:t>d adequately</w:t>
      </w:r>
      <w:r w:rsidRPr="00EA6067">
        <w:t xml:space="preserve"> to AMR.</w:t>
      </w:r>
    </w:p>
    <w:p w14:paraId="3A127971" w14:textId="235F0524" w:rsidR="00CE3C3F" w:rsidRDefault="00CE3C3F" w:rsidP="004A6435">
      <w:pPr>
        <w:rPr>
          <w:rFonts w:eastAsiaTheme="minorHAnsi"/>
        </w:rPr>
      </w:pPr>
      <w:r>
        <w:t>The Committee briefly discussed the applicability of points</w:t>
      </w:r>
      <w:r w:rsidR="0025100B">
        <w:t xml:space="preserve"> raised in the presentation</w:t>
      </w:r>
      <w:r>
        <w:t xml:space="preserve"> to inform the </w:t>
      </w:r>
      <w:r w:rsidR="0025100B">
        <w:t>future Consultation 2 Options Paper and considered</w:t>
      </w:r>
      <w:r>
        <w:t xml:space="preserve"> further discussion would be required.</w:t>
      </w:r>
    </w:p>
    <w:bookmarkEnd w:id="1"/>
    <w:p w14:paraId="6FC1A816" w14:textId="313FA3D8" w:rsidR="00B62C45" w:rsidRDefault="0067043D" w:rsidP="004E4FD6">
      <w:pPr>
        <w:pStyle w:val="Heading3"/>
      </w:pPr>
      <w:r>
        <w:t xml:space="preserve">Presentation of Paper </w:t>
      </w:r>
      <w:r w:rsidR="00D406B4">
        <w:t xml:space="preserve">on </w:t>
      </w:r>
      <w:r w:rsidR="00785D39">
        <w:t>HTA and Funding Pathway for Special Populations</w:t>
      </w:r>
      <w:r>
        <w:t xml:space="preserve"> by the Department of Health and Aged Care</w:t>
      </w:r>
    </w:p>
    <w:p w14:paraId="3BD46239" w14:textId="08564EED" w:rsidR="00D406B4" w:rsidRDefault="0052053F" w:rsidP="008946F4">
      <w:r>
        <w:t xml:space="preserve">The Committee </w:t>
      </w:r>
      <w:r w:rsidR="003D60DA">
        <w:t xml:space="preserve">heard </w:t>
      </w:r>
      <w:r>
        <w:t xml:space="preserve">a presentation from </w:t>
      </w:r>
      <w:r w:rsidR="008946F4">
        <w:t xml:space="preserve">the Department </w:t>
      </w:r>
      <w:r w:rsidR="00D406B4">
        <w:t xml:space="preserve">on the initial draft paper on </w:t>
      </w:r>
      <w:r w:rsidR="0087303E">
        <w:t>p</w:t>
      </w:r>
      <w:r w:rsidR="00D406B4" w:rsidRPr="00D406B4">
        <w:t>opulations and indications that may warrant a special approach to funding and</w:t>
      </w:r>
      <w:r w:rsidR="00D406B4">
        <w:t xml:space="preserve"> </w:t>
      </w:r>
      <w:r w:rsidR="00D406B4" w:rsidRPr="00D406B4">
        <w:t>assessment of health technologies</w:t>
      </w:r>
      <w:r w:rsidR="00D406B4">
        <w:t xml:space="preserve">. The Committee noted the purpose of the paper was to facilitate Committee consideration </w:t>
      </w:r>
      <w:r w:rsidR="0025100B">
        <w:t>of</w:t>
      </w:r>
      <w:r w:rsidR="00D406B4" w:rsidRPr="00123B9A">
        <w:t xml:space="preserve"> circumstances where there may be </w:t>
      </w:r>
      <w:r w:rsidR="00D406B4">
        <w:t xml:space="preserve">a </w:t>
      </w:r>
      <w:r w:rsidR="00D406B4" w:rsidRPr="00123B9A">
        <w:t>need for special approaches to the HTA or funding of health technologies</w:t>
      </w:r>
      <w:r w:rsidR="00D406B4">
        <w:t xml:space="preserve"> (or both)</w:t>
      </w:r>
      <w:r w:rsidR="00D406B4" w:rsidRPr="00123B9A">
        <w:t xml:space="preserve"> for specific populations </w:t>
      </w:r>
      <w:r w:rsidR="003F3BBE" w:rsidRPr="00123B9A">
        <w:t>and</w:t>
      </w:r>
      <w:r w:rsidR="00D406B4" w:rsidRPr="00123B9A">
        <w:t xml:space="preserve"> indication</w:t>
      </w:r>
      <w:r w:rsidR="00D406B4">
        <w:t>s, including:</w:t>
      </w:r>
    </w:p>
    <w:p w14:paraId="4821189A" w14:textId="42047E4C" w:rsidR="00D406B4" w:rsidRDefault="003E0E8B" w:rsidP="00D406B4">
      <w:pPr>
        <w:pStyle w:val="ListParagraph"/>
        <w:numPr>
          <w:ilvl w:val="0"/>
          <w:numId w:val="49"/>
        </w:numPr>
        <w:spacing w:before="120" w:after="0" w:line="259" w:lineRule="auto"/>
      </w:pPr>
      <w:r>
        <w:t>p</w:t>
      </w:r>
      <w:r w:rsidR="00D406B4">
        <w:t xml:space="preserve">opulations experiencing disadvantage, inequity in health outcomes, or circumstances or life stages that give rise to </w:t>
      </w:r>
      <w:proofErr w:type="gramStart"/>
      <w:r w:rsidR="00D406B4">
        <w:t>vulnerability</w:t>
      </w:r>
      <w:proofErr w:type="gramEnd"/>
    </w:p>
    <w:p w14:paraId="6B48B76D" w14:textId="673F9F38" w:rsidR="00D406B4" w:rsidRDefault="003E0E8B" w:rsidP="008B5D8E">
      <w:pPr>
        <w:pStyle w:val="ListParagraph"/>
        <w:numPr>
          <w:ilvl w:val="0"/>
          <w:numId w:val="49"/>
        </w:numPr>
        <w:spacing w:before="120" w:after="0" w:line="259" w:lineRule="auto"/>
      </w:pPr>
      <w:r>
        <w:t>s</w:t>
      </w:r>
      <w:r w:rsidR="00D406B4" w:rsidRPr="00BE2D1F">
        <w:t>mall eligible patient populations</w:t>
      </w:r>
      <w:r w:rsidR="00D406B4">
        <w:t>, for which there may be challenges associated with evidence availability and market-</w:t>
      </w:r>
      <w:proofErr w:type="gramStart"/>
      <w:r w:rsidR="00D406B4">
        <w:t>size</w:t>
      </w:r>
      <w:proofErr w:type="gramEnd"/>
    </w:p>
    <w:p w14:paraId="5FB1C569" w14:textId="4458EE1B" w:rsidR="00D406B4" w:rsidRPr="00BE2D1F" w:rsidRDefault="003E0E8B" w:rsidP="00D406B4">
      <w:pPr>
        <w:pStyle w:val="ListParagraph"/>
        <w:numPr>
          <w:ilvl w:val="0"/>
          <w:numId w:val="49"/>
        </w:numPr>
        <w:spacing w:before="120" w:after="0" w:line="259" w:lineRule="auto"/>
      </w:pPr>
      <w:r>
        <w:t>o</w:t>
      </w:r>
      <w:r w:rsidR="00D406B4">
        <w:t xml:space="preserve">ther populations with high unmet clinical need and limited evidence availability </w:t>
      </w:r>
    </w:p>
    <w:p w14:paraId="3E953A4D" w14:textId="57A72BC4" w:rsidR="00FB1ED4" w:rsidRDefault="003E0E8B" w:rsidP="0025100B">
      <w:pPr>
        <w:pStyle w:val="ListParagraph"/>
        <w:numPr>
          <w:ilvl w:val="0"/>
          <w:numId w:val="49"/>
        </w:numPr>
        <w:spacing w:line="259" w:lineRule="auto"/>
        <w:ind w:left="714" w:hanging="357"/>
        <w:contextualSpacing w:val="0"/>
      </w:pPr>
      <w:r>
        <w:t>o</w:t>
      </w:r>
      <w:r w:rsidR="00D406B4" w:rsidRPr="006A0350">
        <w:t>ther populations</w:t>
      </w:r>
      <w:r w:rsidR="00D406B4">
        <w:t xml:space="preserve"> or </w:t>
      </w:r>
      <w:r w:rsidR="00D406B4" w:rsidRPr="006A0350">
        <w:t xml:space="preserve">indications </w:t>
      </w:r>
      <w:r w:rsidR="00D406B4">
        <w:t>where</w:t>
      </w:r>
      <w:r w:rsidR="00D406B4" w:rsidRPr="006A0350">
        <w:t xml:space="preserve"> there is a significant population health need or public health threat</w:t>
      </w:r>
      <w:r w:rsidR="00D406B4">
        <w:t xml:space="preserve"> that may warrant a specialised approach</w:t>
      </w:r>
      <w:r w:rsidR="00D406B4" w:rsidRPr="006A0350">
        <w:t xml:space="preserve"> </w:t>
      </w:r>
      <w:r w:rsidR="003F3BBE">
        <w:t>such as</w:t>
      </w:r>
      <w:r w:rsidR="00D406B4" w:rsidRPr="006A0350">
        <w:t xml:space="preserve"> antimicrobial resistan</w:t>
      </w:r>
      <w:r w:rsidR="00D406B4">
        <w:t>ce</w:t>
      </w:r>
      <w:r w:rsidR="00D406B4" w:rsidRPr="006A0350">
        <w:t>, vaccines</w:t>
      </w:r>
      <w:r w:rsidR="00D406B4">
        <w:t>,</w:t>
      </w:r>
      <w:r w:rsidR="00D406B4" w:rsidRPr="006A0350">
        <w:t xml:space="preserve"> </w:t>
      </w:r>
      <w:r w:rsidR="00D406B4">
        <w:t xml:space="preserve">and treatments </w:t>
      </w:r>
      <w:r w:rsidR="00D406B4" w:rsidRPr="006A0350">
        <w:t xml:space="preserve">for </w:t>
      </w:r>
      <w:r w:rsidR="00D406B4">
        <w:t>pandemics or declared public health emergencies</w:t>
      </w:r>
      <w:r w:rsidR="00D406B4" w:rsidRPr="006A0350">
        <w:t xml:space="preserve">. </w:t>
      </w:r>
    </w:p>
    <w:p w14:paraId="6EC5068E" w14:textId="407AC17C" w:rsidR="00D406B4" w:rsidRDefault="000074C2" w:rsidP="008946F4">
      <w:r w:rsidRPr="00AD45B7">
        <w:t>The Committee considered material in respect of the importance of equity considerations in the assessment and provision of health technologies to patients</w:t>
      </w:r>
      <w:r>
        <w:t xml:space="preserve"> and had a broad discussion around how equity should be considered under the HTA Review.    </w:t>
      </w:r>
    </w:p>
    <w:p w14:paraId="642E65B0" w14:textId="3E551E1B" w:rsidR="003F3BBE" w:rsidRDefault="0096732A" w:rsidP="008946F4">
      <w:r>
        <w:t xml:space="preserve">The </w:t>
      </w:r>
      <w:r w:rsidR="00CE3C3F">
        <w:t xml:space="preserve">Committee heard the background </w:t>
      </w:r>
      <w:r w:rsidR="008946F4">
        <w:t xml:space="preserve">regarding the </w:t>
      </w:r>
      <w:r w:rsidR="00A35267">
        <w:t xml:space="preserve">varied and extensive </w:t>
      </w:r>
      <w:r w:rsidR="00DE4164">
        <w:t>determinants</w:t>
      </w:r>
      <w:r w:rsidR="008946F4">
        <w:t xml:space="preserve"> and causes of </w:t>
      </w:r>
      <w:r w:rsidR="00DE4164">
        <w:t>inequities for special populations and their need for, and access to, relevant treatments.</w:t>
      </w:r>
      <w:r w:rsidR="00E2026D">
        <w:t xml:space="preserve"> The </w:t>
      </w:r>
      <w:r w:rsidR="00CE3C3F">
        <w:t>Committee</w:t>
      </w:r>
      <w:r w:rsidR="00E2026D">
        <w:t xml:space="preserve"> noted a range of potential approaches to this </w:t>
      </w:r>
      <w:r w:rsidR="0082697E">
        <w:t>including</w:t>
      </w:r>
      <w:r w:rsidR="00E2026D">
        <w:t xml:space="preserve"> prioritisation of resource allocation, </w:t>
      </w:r>
      <w:r w:rsidR="00B87197">
        <w:t>provisions</w:t>
      </w:r>
      <w:r w:rsidR="00CA197B">
        <w:t xml:space="preserve"> </w:t>
      </w:r>
      <w:r w:rsidR="00B87197">
        <w:t>to</w:t>
      </w:r>
      <w:r w:rsidR="00CA197B">
        <w:t xml:space="preserve"> ensure special </w:t>
      </w:r>
      <w:r w:rsidR="00B87197">
        <w:t>populations</w:t>
      </w:r>
      <w:r w:rsidR="00CA197B">
        <w:t xml:space="preserve"> are specifically considered in HTA processes and </w:t>
      </w:r>
      <w:r w:rsidR="00B87197">
        <w:t>methods</w:t>
      </w:r>
      <w:r w:rsidR="00CA197B">
        <w:t xml:space="preserve">, </w:t>
      </w:r>
      <w:r w:rsidR="00B87197">
        <w:t>r</w:t>
      </w:r>
      <w:r w:rsidR="00CA197B">
        <w:t>esponding to social o</w:t>
      </w:r>
      <w:r w:rsidR="00B87197">
        <w:t>r</w:t>
      </w:r>
      <w:r w:rsidR="00CA197B">
        <w:t xml:space="preserve"> structural determinants to inequity</w:t>
      </w:r>
      <w:r w:rsidR="00B87197">
        <w:t xml:space="preserve"> and optimising use of medicines through quality use of medicines and other structures.</w:t>
      </w:r>
      <w:r w:rsidR="000C1729">
        <w:t xml:space="preserve"> </w:t>
      </w:r>
      <w:r w:rsidR="009D3B32">
        <w:t xml:space="preserve">The Committee noted the complexity of the meaning of health equity and the varying </w:t>
      </w:r>
      <w:r w:rsidR="009D0ECB">
        <w:t xml:space="preserve">aspects </w:t>
      </w:r>
      <w:r w:rsidR="009D3B32">
        <w:t>to health equity</w:t>
      </w:r>
      <w:r w:rsidR="00FD6455">
        <w:t xml:space="preserve">, including the important intersection with </w:t>
      </w:r>
      <w:r w:rsidR="00A82B19">
        <w:t>ethics in resourcing decisions.</w:t>
      </w:r>
      <w:r w:rsidR="003D2A3F">
        <w:t xml:space="preserve"> The Committee was reminded that </w:t>
      </w:r>
      <w:r w:rsidR="00332B47">
        <w:t xml:space="preserve">the </w:t>
      </w:r>
      <w:r w:rsidR="00E3695D" w:rsidRPr="00E3695D">
        <w:rPr>
          <w:i/>
          <w:iCs/>
        </w:rPr>
        <w:t>National Health Act 1953</w:t>
      </w:r>
      <w:r w:rsidR="00332B47">
        <w:t xml:space="preserve"> </w:t>
      </w:r>
      <w:r w:rsidR="00E3695D">
        <w:t xml:space="preserve">specifies that the Pharmaceutical Benefits Advisory Committee </w:t>
      </w:r>
      <w:r w:rsidR="00ED71AC">
        <w:t xml:space="preserve">(PBAC) </w:t>
      </w:r>
      <w:r w:rsidR="00E3695D">
        <w:t xml:space="preserve">can only recommend a therapy more costly than an alternative if it is satisfied that it provides </w:t>
      </w:r>
      <w:r w:rsidR="00E3695D" w:rsidRPr="00E3695D">
        <w:t>for some patients, a significant improvement in efficacy or reduction of toxicity over the alternative therapy</w:t>
      </w:r>
      <w:r w:rsidR="00E3695D">
        <w:t xml:space="preserve"> </w:t>
      </w:r>
      <w:r w:rsidR="00332B47">
        <w:t>(which is not necessarily the same as improving access).</w:t>
      </w:r>
      <w:r w:rsidR="009A32D9">
        <w:t xml:space="preserve"> The Committee also noted the challenge</w:t>
      </w:r>
      <w:r w:rsidR="00E3695D">
        <w:t>s</w:t>
      </w:r>
      <w:r w:rsidR="009A32D9">
        <w:t xml:space="preserve"> in obtaining the relevant evidence to consider all aspects of equity in an HTA context.</w:t>
      </w:r>
    </w:p>
    <w:p w14:paraId="4910EC35" w14:textId="5A1BA0E1" w:rsidR="003F3BBE" w:rsidRDefault="00150D4A" w:rsidP="008946F4">
      <w:r>
        <w:t>The Committee discussed the concept</w:t>
      </w:r>
      <w:r w:rsidR="005A612B">
        <w:t>s</w:t>
      </w:r>
      <w:r>
        <w:t xml:space="preserve"> of unmet clin</w:t>
      </w:r>
      <w:r w:rsidR="005A612B">
        <w:t>i</w:t>
      </w:r>
      <w:r>
        <w:t>c</w:t>
      </w:r>
      <w:r w:rsidR="005A612B">
        <w:t>al</w:t>
      </w:r>
      <w:r>
        <w:t xml:space="preserve"> need</w:t>
      </w:r>
      <w:r w:rsidR="005A612B">
        <w:t xml:space="preserve"> and public health threat</w:t>
      </w:r>
      <w:r w:rsidR="00D729F4">
        <w:t xml:space="preserve">, and considered </w:t>
      </w:r>
      <w:r w:rsidR="00BE4110">
        <w:t>how they may feature in future HTA policies and methods.</w:t>
      </w:r>
      <w:r w:rsidR="00D97C80">
        <w:t xml:space="preserve">  The Committee </w:t>
      </w:r>
      <w:r w:rsidR="003F2648">
        <w:t>considered the concept of special funding</w:t>
      </w:r>
      <w:r w:rsidR="00F375A2">
        <w:t xml:space="preserve"> and HTA</w:t>
      </w:r>
      <w:r w:rsidR="003F2648">
        <w:t xml:space="preserve"> pathways</w:t>
      </w:r>
      <w:r w:rsidR="00F375A2">
        <w:t xml:space="preserve"> for special populations, </w:t>
      </w:r>
      <w:r w:rsidR="008077E2">
        <w:lastRenderedPageBreak/>
        <w:t xml:space="preserve">including </w:t>
      </w:r>
      <w:r w:rsidR="00F24B78">
        <w:t>a potential</w:t>
      </w:r>
      <w:r w:rsidR="008077E2">
        <w:t xml:space="preserve"> </w:t>
      </w:r>
      <w:r w:rsidR="00E67514">
        <w:t xml:space="preserve">framework </w:t>
      </w:r>
      <w:r w:rsidR="00F24B78">
        <w:t>which demonstrates</w:t>
      </w:r>
      <w:r w:rsidR="00E67514">
        <w:t xml:space="preserve"> where such under-representation </w:t>
      </w:r>
      <w:r w:rsidR="00F54AE7">
        <w:t>ma</w:t>
      </w:r>
      <w:r w:rsidR="00E67514">
        <w:t>y exist in the evidence considered by HTA.</w:t>
      </w:r>
      <w:r w:rsidR="00376C93">
        <w:t xml:space="preserve">  </w:t>
      </w:r>
    </w:p>
    <w:p w14:paraId="09F47F49" w14:textId="234B2E04" w:rsidR="0029722E" w:rsidRDefault="007D476B" w:rsidP="00522825">
      <w:r>
        <w:t xml:space="preserve">It was agreed that further refinement </w:t>
      </w:r>
      <w:r w:rsidR="00567053">
        <w:t>was required to the paper and further consideration required by the Committee.</w:t>
      </w:r>
    </w:p>
    <w:p w14:paraId="0668B931" w14:textId="3115244E" w:rsidR="00503A88" w:rsidRDefault="007D476B" w:rsidP="1174FE9E">
      <w:pPr>
        <w:pStyle w:val="Heading3"/>
        <w:rPr>
          <w:rFonts w:cstheme="minorBidi"/>
        </w:rPr>
      </w:pPr>
      <w:r w:rsidRPr="1174FE9E">
        <w:rPr>
          <w:rFonts w:cstheme="minorBidi"/>
        </w:rPr>
        <w:t>Deep Dive</w:t>
      </w:r>
      <w:r w:rsidR="00F24B78" w:rsidRPr="1174FE9E">
        <w:rPr>
          <w:rFonts w:cstheme="minorBidi"/>
        </w:rPr>
        <w:t xml:space="preserve"> into </w:t>
      </w:r>
      <w:r w:rsidRPr="1174FE9E">
        <w:rPr>
          <w:rFonts w:cstheme="minorBidi"/>
        </w:rPr>
        <w:t xml:space="preserve">Addressing Health Inequities for </w:t>
      </w:r>
      <w:r w:rsidR="00810AC1">
        <w:t xml:space="preserve">Aboriginal and Torres Strait Islander </w:t>
      </w:r>
      <w:proofErr w:type="gramStart"/>
      <w:r w:rsidR="00810AC1">
        <w:t>peoples</w:t>
      </w:r>
      <w:proofErr w:type="gramEnd"/>
    </w:p>
    <w:p w14:paraId="74D8ECF4" w14:textId="7FC1DEE8" w:rsidR="00F54CFF" w:rsidRDefault="00E047F2" w:rsidP="00F54CFF">
      <w:r>
        <w:t xml:space="preserve">The Department </w:t>
      </w:r>
      <w:r w:rsidR="00380E31">
        <w:t>provided a presentation of the current state of considerations and challenge</w:t>
      </w:r>
      <w:r w:rsidR="00F24B78">
        <w:t xml:space="preserve">s </w:t>
      </w:r>
      <w:r w:rsidR="00380E31">
        <w:t>in HTA related to First Nations Australians</w:t>
      </w:r>
      <w:r w:rsidR="006E2984">
        <w:t xml:space="preserve">, including </w:t>
      </w:r>
      <w:r w:rsidR="00582CAB">
        <w:t xml:space="preserve">the </w:t>
      </w:r>
      <w:r w:rsidR="006E2984">
        <w:t>M</w:t>
      </w:r>
      <w:r w:rsidR="00582CAB">
        <w:t xml:space="preserve">edical </w:t>
      </w:r>
      <w:r w:rsidR="006E2984">
        <w:t>S</w:t>
      </w:r>
      <w:r w:rsidR="00582CAB">
        <w:t xml:space="preserve">ervices </w:t>
      </w:r>
      <w:r w:rsidR="006E2984">
        <w:t>A</w:t>
      </w:r>
      <w:r w:rsidR="00582CAB">
        <w:t xml:space="preserve">dvisory </w:t>
      </w:r>
      <w:r w:rsidR="006E2984">
        <w:t>C</w:t>
      </w:r>
      <w:r w:rsidR="00582CAB">
        <w:t>ommittee</w:t>
      </w:r>
      <w:r w:rsidR="001B5ED7">
        <w:t xml:space="preserve"> and PBAC</w:t>
      </w:r>
      <w:r w:rsidR="006E2984">
        <w:t xml:space="preserve"> guidelines and processes</w:t>
      </w:r>
      <w:r w:rsidR="001F6DE6">
        <w:t>, as well as specific</w:t>
      </w:r>
      <w:r w:rsidR="00F24B78">
        <w:t xml:space="preserve"> PBS</w:t>
      </w:r>
      <w:r w:rsidR="001F6DE6">
        <w:t xml:space="preserve"> listings and restrictions related to Aboriginal and Torres Strait Islander</w:t>
      </w:r>
      <w:r w:rsidR="003413AA">
        <w:t xml:space="preserve"> people</w:t>
      </w:r>
      <w:r w:rsidR="001F6DE6">
        <w:t>.</w:t>
      </w:r>
      <w:r w:rsidR="00990686">
        <w:t xml:space="preserve"> Despite </w:t>
      </w:r>
      <w:r w:rsidR="00F24B78">
        <w:t xml:space="preserve">previous </w:t>
      </w:r>
      <w:r w:rsidR="00990686">
        <w:t xml:space="preserve">examples of </w:t>
      </w:r>
      <w:r w:rsidR="00A53492">
        <w:t>engagement to support access for Aboriginal and Torres Strait Islander</w:t>
      </w:r>
      <w:r w:rsidR="00D25B4C">
        <w:t xml:space="preserve"> people</w:t>
      </w:r>
      <w:r w:rsidR="00516BBF">
        <w:t xml:space="preserve">, </w:t>
      </w:r>
      <w:r w:rsidR="00F24B78">
        <w:t xml:space="preserve">there are </w:t>
      </w:r>
      <w:r w:rsidR="00516BBF">
        <w:t>challenges to replicate these</w:t>
      </w:r>
      <w:r w:rsidR="00F24B78">
        <w:t xml:space="preserve"> </w:t>
      </w:r>
      <w:r w:rsidR="00291E03">
        <w:t>efforts due to</w:t>
      </w:r>
      <w:r w:rsidR="00A53492">
        <w:t xml:space="preserve"> </w:t>
      </w:r>
      <w:r w:rsidR="00291E03">
        <w:t xml:space="preserve">Therapeutic Goods Administration </w:t>
      </w:r>
      <w:r w:rsidR="00A53492">
        <w:t>registration</w:t>
      </w:r>
      <w:r w:rsidR="00291E03">
        <w:t xml:space="preserve"> status</w:t>
      </w:r>
      <w:r w:rsidR="00A53492">
        <w:t>, evidence base, sponsor support and resourcing.</w:t>
      </w:r>
      <w:r w:rsidR="00555C25">
        <w:t xml:space="preserve"> </w:t>
      </w:r>
      <w:r w:rsidR="00CC7448">
        <w:t>Subsidised o</w:t>
      </w:r>
      <w:r w:rsidR="00555C25">
        <w:t>ff</w:t>
      </w:r>
      <w:r w:rsidR="00CC7448">
        <w:t>-label</w:t>
      </w:r>
      <w:r w:rsidR="00555C25">
        <w:t xml:space="preserve"> use of old medicines (as opposed to re-purposing</w:t>
      </w:r>
      <w:r w:rsidR="00CC7448">
        <w:t>)</w:t>
      </w:r>
      <w:r w:rsidR="00555C25">
        <w:t xml:space="preserve"> was noted as </w:t>
      </w:r>
      <w:r w:rsidR="00CC7448">
        <w:t>being</w:t>
      </w:r>
      <w:r w:rsidR="00555C25">
        <w:t xml:space="preserve"> part of a solution</w:t>
      </w:r>
      <w:r w:rsidR="00CC7448">
        <w:t xml:space="preserve"> for some access issues</w:t>
      </w:r>
      <w:r w:rsidR="00B964DB">
        <w:t xml:space="preserve"> (noting that this would require some form of evidence to support the HTA)</w:t>
      </w:r>
      <w:r w:rsidR="00CC7448">
        <w:t>.</w:t>
      </w:r>
      <w:r w:rsidR="00555C25">
        <w:t xml:space="preserve"> </w:t>
      </w:r>
    </w:p>
    <w:p w14:paraId="6EAE8A12" w14:textId="02196AC0" w:rsidR="001B7430" w:rsidRDefault="001B7430" w:rsidP="00F54CFF">
      <w:r>
        <w:t>The Committee received a presentation</w:t>
      </w:r>
      <w:r w:rsidR="00684CFF">
        <w:t xml:space="preserve"> from Deakin and Flinders University researchers on </w:t>
      </w:r>
      <w:r>
        <w:t xml:space="preserve">distributional cost-effectiveness analysis (DCEA) as a method to </w:t>
      </w:r>
      <w:r w:rsidR="00E87955">
        <w:t>incorporate equity impacts</w:t>
      </w:r>
      <w:r w:rsidR="001B159B">
        <w:t xml:space="preserve"> (equity weights)</w:t>
      </w:r>
      <w:r w:rsidR="00E87955">
        <w:t xml:space="preserve"> into cost-effectiveness assessment.</w:t>
      </w:r>
      <w:r w:rsidR="00E2075F">
        <w:t xml:space="preserve"> This included a walk-through of a Health Equity Impact Calculator.</w:t>
      </w:r>
    </w:p>
    <w:p w14:paraId="35867D16" w14:textId="3243265B" w:rsidR="005155A3" w:rsidRDefault="004D20D6" w:rsidP="00F54CFF">
      <w:r>
        <w:t xml:space="preserve">The Committee </w:t>
      </w:r>
      <w:r w:rsidR="009B185F">
        <w:t>received</w:t>
      </w:r>
      <w:r>
        <w:t xml:space="preserve"> a presentation </w:t>
      </w:r>
      <w:r w:rsidR="00684CFF">
        <w:t>from</w:t>
      </w:r>
      <w:r>
        <w:t xml:space="preserve"> </w:t>
      </w:r>
      <w:r w:rsidR="005155A3">
        <w:t>NACCHO</w:t>
      </w:r>
      <w:r w:rsidR="00365CB4">
        <w:t>, which emphasised the need for a</w:t>
      </w:r>
      <w:r w:rsidR="00684CFF">
        <w:t>n</w:t>
      </w:r>
      <w:r w:rsidR="00365CB4">
        <w:t xml:space="preserve"> Aboriginal and Torres Strait Islander</w:t>
      </w:r>
      <w:r w:rsidR="0024547A">
        <w:t xml:space="preserve"> </w:t>
      </w:r>
      <w:r w:rsidR="00684CFF">
        <w:t xml:space="preserve">voice </w:t>
      </w:r>
      <w:r w:rsidR="0024547A">
        <w:t>throughout the HTA cycle and a range of structured policy supports including repurposing and delisting</w:t>
      </w:r>
      <w:r w:rsidR="00684CFF">
        <w:t xml:space="preserve"> medicines</w:t>
      </w:r>
      <w:r w:rsidR="0024547A">
        <w:t xml:space="preserve">, </w:t>
      </w:r>
      <w:r w:rsidR="00684CFF">
        <w:t>incentives</w:t>
      </w:r>
      <w:r w:rsidR="0024547A">
        <w:t xml:space="preserve"> for sponsors</w:t>
      </w:r>
      <w:r w:rsidR="006C0251">
        <w:t xml:space="preserve"> </w:t>
      </w:r>
      <w:r w:rsidR="00684CFF">
        <w:t>of</w:t>
      </w:r>
      <w:r w:rsidR="006C0251">
        <w:t xml:space="preserve"> medicines that meet the needs of Aboriginal and Torres Strait Islander people</w:t>
      </w:r>
      <w:r w:rsidR="006067CC">
        <w:t>,</w:t>
      </w:r>
      <w:r w:rsidR="00467293">
        <w:t xml:space="preserve"> and the design and application of an equity framework.</w:t>
      </w:r>
      <w:r w:rsidR="006067CC">
        <w:t xml:space="preserve"> Involvement of Aboriginal and Torres Strait Islander</w:t>
      </w:r>
      <w:r w:rsidR="00F73DAA">
        <w:t xml:space="preserve"> people</w:t>
      </w:r>
      <w:r w:rsidR="006067CC">
        <w:t xml:space="preserve"> in horizon sc</w:t>
      </w:r>
      <w:r w:rsidR="00097256">
        <w:t>a</w:t>
      </w:r>
      <w:r w:rsidR="006067CC">
        <w:t>nning and engagement with the pharmaceutical sector</w:t>
      </w:r>
      <w:r w:rsidR="00097256">
        <w:t xml:space="preserve"> was </w:t>
      </w:r>
      <w:r w:rsidR="00684CFF">
        <w:t xml:space="preserve">also </w:t>
      </w:r>
      <w:r w:rsidR="00097256">
        <w:t xml:space="preserve">discussed </w:t>
      </w:r>
      <w:r w:rsidR="00684CFF">
        <w:t>as activities which may facilitate equity</w:t>
      </w:r>
      <w:r w:rsidR="00097256">
        <w:t>.</w:t>
      </w:r>
      <w:r w:rsidR="007B5049">
        <w:t xml:space="preserve"> </w:t>
      </w:r>
      <w:r w:rsidR="003A2EDF">
        <w:t>NACCHO noted a key change</w:t>
      </w:r>
      <w:r w:rsidR="009B185F">
        <w:t xml:space="preserve"> needed</w:t>
      </w:r>
      <w:r w:rsidR="003A2EDF">
        <w:t xml:space="preserve"> </w:t>
      </w:r>
      <w:r w:rsidR="00F10A2E">
        <w:t>is</w:t>
      </w:r>
      <w:r w:rsidR="003A2EDF">
        <w:t xml:space="preserve"> strategic oversight </w:t>
      </w:r>
      <w:r w:rsidR="00F367DA">
        <w:t xml:space="preserve">and input </w:t>
      </w:r>
      <w:r w:rsidR="003A2EDF">
        <w:t>for Aboriginal and Torres Strait Islander</w:t>
      </w:r>
      <w:r w:rsidR="001F0333">
        <w:t xml:space="preserve"> people</w:t>
      </w:r>
      <w:r w:rsidR="009B185F">
        <w:t xml:space="preserve"> to the HTA process</w:t>
      </w:r>
      <w:r w:rsidR="003A2EDF">
        <w:t>.</w:t>
      </w:r>
      <w:r w:rsidR="009A48F5">
        <w:t xml:space="preserve"> </w:t>
      </w:r>
      <w:r w:rsidR="0055178C">
        <w:t xml:space="preserve">The Committee noted NACCHO </w:t>
      </w:r>
      <w:r w:rsidR="009B185F">
        <w:t>has previously prepared PBAC submissions</w:t>
      </w:r>
      <w:r w:rsidR="0055178C">
        <w:t xml:space="preserve">, but </w:t>
      </w:r>
      <w:r w:rsidR="009B185F">
        <w:t>this is highly resource intensive</w:t>
      </w:r>
      <w:r w:rsidR="0055178C">
        <w:t>, and requires support from academic institutions.</w:t>
      </w:r>
    </w:p>
    <w:p w14:paraId="62B75AB4" w14:textId="3FC36C67" w:rsidR="00DA7339" w:rsidRDefault="004663CA" w:rsidP="00F54CFF">
      <w:r>
        <w:t>The Committee received a presentation about p</w:t>
      </w:r>
      <w:r w:rsidR="00C65FF6">
        <w:t>oint of care</w:t>
      </w:r>
      <w:r w:rsidR="00F47112">
        <w:t xml:space="preserve"> (POC)</w:t>
      </w:r>
      <w:r w:rsidR="00C65FF6">
        <w:t xml:space="preserve"> testing for infectious disease</w:t>
      </w:r>
      <w:r>
        <w:t>s</w:t>
      </w:r>
      <w:r w:rsidR="00F47112">
        <w:t xml:space="preserve"> in rural and remote communities. The Committee heard that POC testing is important in providing </w:t>
      </w:r>
      <w:r w:rsidR="00F47112" w:rsidRPr="00F47112">
        <w:t xml:space="preserve">equity of access to pathology services in remote and </w:t>
      </w:r>
      <w:r w:rsidR="00F47112">
        <w:t>rural communities</w:t>
      </w:r>
      <w:r>
        <w:t xml:space="preserve"> </w:t>
      </w:r>
      <w:r w:rsidR="008E1606">
        <w:t>and in turn facilitating access to needed treatment. The Committee heard p</w:t>
      </w:r>
      <w:r w:rsidR="00F771F4">
        <w:t xml:space="preserve">ossible </w:t>
      </w:r>
      <w:r w:rsidR="009936EF">
        <w:t>solutions</w:t>
      </w:r>
      <w:r w:rsidR="008E1606">
        <w:t xml:space="preserve"> to providing POC testing includes</w:t>
      </w:r>
      <w:r w:rsidR="00F771F4">
        <w:t xml:space="preserve"> multi-</w:t>
      </w:r>
      <w:r w:rsidR="009936EF">
        <w:t>stakeholder</w:t>
      </w:r>
      <w:r w:rsidR="00F771F4">
        <w:t xml:space="preserve"> support access pathway </w:t>
      </w:r>
      <w:r w:rsidR="00F6445B">
        <w:t xml:space="preserve">(such as the </w:t>
      </w:r>
      <w:proofErr w:type="spellStart"/>
      <w:r w:rsidR="00F6445B">
        <w:t>RADx</w:t>
      </w:r>
      <w:proofErr w:type="spellEnd"/>
      <w:r w:rsidR="00F6445B">
        <w:t xml:space="preserve"> model in the USA), a low complexity test </w:t>
      </w:r>
      <w:r w:rsidR="009936EF">
        <w:t>registration</w:t>
      </w:r>
      <w:r w:rsidR="00F6445B">
        <w:t xml:space="preserve"> pathway and/or a reimbursement model for </w:t>
      </w:r>
      <w:r w:rsidR="008E1606">
        <w:t>POC</w:t>
      </w:r>
      <w:r w:rsidR="00F6445B">
        <w:t xml:space="preserve"> testing.</w:t>
      </w:r>
      <w:r w:rsidR="00E02542">
        <w:t xml:space="preserve"> </w:t>
      </w:r>
      <w:r w:rsidR="008E1606">
        <w:t xml:space="preserve">The Committee </w:t>
      </w:r>
      <w:r w:rsidR="00CF0DE1">
        <w:t>noted this may be less of a</w:t>
      </w:r>
      <w:r w:rsidR="00F47112">
        <w:t>n</w:t>
      </w:r>
      <w:r w:rsidR="00CF0DE1">
        <w:t xml:space="preserve"> HTA issue, and more of a funding model issue.</w:t>
      </w:r>
    </w:p>
    <w:p w14:paraId="2A26D0FF" w14:textId="7F7A2340" w:rsidR="00AB0B9B" w:rsidRDefault="00AB0B9B" w:rsidP="00F54CFF">
      <w:r>
        <w:t xml:space="preserve">The Committee </w:t>
      </w:r>
      <w:r w:rsidR="008E1606">
        <w:t xml:space="preserve">reaffirmed it would develop options in relation to equity of access </w:t>
      </w:r>
      <w:r w:rsidR="00130C1B">
        <w:t xml:space="preserve">for </w:t>
      </w:r>
      <w:r>
        <w:t xml:space="preserve">Aboriginal and Torres Strait Islander </w:t>
      </w:r>
      <w:r w:rsidR="00130C1B">
        <w:t>people</w:t>
      </w:r>
      <w:r w:rsidR="001C5590">
        <w:t xml:space="preserve">, including </w:t>
      </w:r>
      <w:r w:rsidR="00A35019">
        <w:t xml:space="preserve">guidance and communications as to </w:t>
      </w:r>
      <w:r w:rsidR="001C5590">
        <w:t xml:space="preserve">what considerations should be </w:t>
      </w:r>
      <w:r w:rsidR="008E1606">
        <w:t>accounted for</w:t>
      </w:r>
      <w:r w:rsidR="001C5590">
        <w:t xml:space="preserve"> </w:t>
      </w:r>
      <w:r w:rsidR="008E1606">
        <w:t>within</w:t>
      </w:r>
      <w:r w:rsidR="001C5590">
        <w:t xml:space="preserve"> HTA</w:t>
      </w:r>
      <w:r w:rsidR="00BF3709">
        <w:t>.</w:t>
      </w:r>
      <w:r w:rsidR="00F43CF5">
        <w:t xml:space="preserve"> The Committee noted that the application of “equity weights” could have some very positive benefits but would need to be supported by data (which </w:t>
      </w:r>
      <w:r w:rsidR="008E1606">
        <w:t>may</w:t>
      </w:r>
      <w:r w:rsidR="00F43CF5">
        <w:t xml:space="preserve"> be difficult</w:t>
      </w:r>
      <w:r w:rsidR="003F5902">
        <w:t>) and</w:t>
      </w:r>
      <w:r w:rsidR="008116B4">
        <w:t xml:space="preserve"> may be an </w:t>
      </w:r>
      <w:r w:rsidR="003F5902">
        <w:t>imprecise</w:t>
      </w:r>
      <w:r w:rsidR="008116B4">
        <w:t xml:space="preserve"> tool.</w:t>
      </w:r>
      <w:r w:rsidR="00040025">
        <w:t xml:space="preserve">  </w:t>
      </w:r>
    </w:p>
    <w:p w14:paraId="1DFBBE36" w14:textId="7A3ECFCB" w:rsidR="0096777A" w:rsidRPr="00892617" w:rsidRDefault="0096777A" w:rsidP="00892617">
      <w:pPr>
        <w:pStyle w:val="Heading3"/>
      </w:pPr>
      <w:r w:rsidRPr="00414EC9">
        <w:t>Meeting close and next meeting</w:t>
      </w:r>
    </w:p>
    <w:p w14:paraId="4AFEB501" w14:textId="0238B95A" w:rsidR="00B430B9" w:rsidRPr="00B430B9" w:rsidRDefault="0096777A" w:rsidP="008B5D8E">
      <w:pPr>
        <w:spacing w:after="0" w:line="240" w:lineRule="auto"/>
      </w:pPr>
      <w:r>
        <w:t>The Committee noted the next meeting will be held on</w:t>
      </w:r>
      <w:r w:rsidR="008203E2">
        <w:t xml:space="preserve"> 22</w:t>
      </w:r>
      <w:r w:rsidR="00DC4BB9">
        <w:t xml:space="preserve"> September</w:t>
      </w:r>
      <w:r>
        <w:t xml:space="preserve"> 2023.</w:t>
      </w:r>
    </w:p>
    <w:sectPr w:rsidR="00B430B9" w:rsidRPr="00B430B9" w:rsidSect="00C16C3C">
      <w:headerReference w:type="defaul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2ACD" w14:textId="77777777" w:rsidR="00B5376C" w:rsidRDefault="00B5376C" w:rsidP="006B56BB">
      <w:r>
        <w:separator/>
      </w:r>
    </w:p>
    <w:p w14:paraId="13E8FFB3" w14:textId="77777777" w:rsidR="00B5376C" w:rsidRDefault="00B5376C"/>
  </w:endnote>
  <w:endnote w:type="continuationSeparator" w:id="0">
    <w:p w14:paraId="3D598E1F" w14:textId="77777777" w:rsidR="00B5376C" w:rsidRDefault="00B5376C" w:rsidP="006B56BB">
      <w:r>
        <w:continuationSeparator/>
      </w:r>
    </w:p>
    <w:p w14:paraId="2FAE1A7F" w14:textId="77777777" w:rsidR="00B5376C" w:rsidRDefault="00B5376C"/>
  </w:endnote>
  <w:endnote w:type="continuationNotice" w:id="1">
    <w:p w14:paraId="0F4B186B" w14:textId="77777777" w:rsidR="00B5376C" w:rsidRDefault="00B53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A3A0" w14:textId="77777777" w:rsidR="004575FF" w:rsidRDefault="0045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3462554D" w:rsidR="008D48C9" w:rsidRPr="00DB46AC" w:rsidRDefault="00E06E24" w:rsidP="00E06E24">
    <w:pPr>
      <w:pStyle w:val="Footer"/>
      <w:tabs>
        <w:tab w:val="clear" w:pos="4513"/>
      </w:tabs>
      <w:rPr>
        <w:vanish/>
      </w:rPr>
    </w:pPr>
    <w:r w:rsidRPr="00DB46AC">
      <w:rPr>
        <w:vanish/>
      </w:rPr>
      <w:t xml:space="preserve">HTA Review Reference Committee – Communique – </w:t>
    </w:r>
    <w:r w:rsidR="001C3115">
      <w:rPr>
        <w:vanish/>
      </w:rPr>
      <w:t>19</w:t>
    </w:r>
    <w:r w:rsidR="00ED79D2">
      <w:rPr>
        <w:vanish/>
      </w:rPr>
      <w:t xml:space="preserve"> September</w:t>
    </w:r>
    <w:r w:rsidR="001C3115">
      <w:rPr>
        <w:vanish/>
      </w:rPr>
      <w:t xml:space="preserve"> </w:t>
    </w:r>
    <w:r w:rsidR="00C16C3C" w:rsidRPr="00DB46AC">
      <w:rPr>
        <w:vanish/>
      </w:rPr>
      <w:t>2023</w:t>
    </w:r>
    <w:r w:rsidR="00DD6718">
      <w:rPr>
        <w:vanish/>
      </w:rPr>
      <w:tab/>
    </w:r>
    <w:r w:rsidR="00125E02" w:rsidRPr="00125E02">
      <w:rPr>
        <w:vanish/>
      </w:rPr>
      <w:fldChar w:fldCharType="begin"/>
    </w:r>
    <w:r w:rsidR="00125E02" w:rsidRPr="00125E02">
      <w:rPr>
        <w:vanish/>
      </w:rPr>
      <w:instrText xml:space="preserve"> PAGE   \* MERGEFORMAT </w:instrText>
    </w:r>
    <w:r w:rsidR="00125E02" w:rsidRPr="00125E02">
      <w:rPr>
        <w:vanish/>
      </w:rPr>
      <w:fldChar w:fldCharType="separate"/>
    </w:r>
    <w:r w:rsidR="00125E02" w:rsidRPr="00125E02">
      <w:rPr>
        <w:noProof/>
        <w:vanish/>
      </w:rPr>
      <w:t>1</w:t>
    </w:r>
    <w:r w:rsidR="00125E02" w:rsidRPr="00125E02">
      <w:rPr>
        <w:noProof/>
        <w:v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691F" w14:textId="77777777" w:rsidR="00B5376C" w:rsidRDefault="00B5376C" w:rsidP="006B56BB">
      <w:r>
        <w:separator/>
      </w:r>
    </w:p>
    <w:p w14:paraId="0D8B8B61" w14:textId="77777777" w:rsidR="00B5376C" w:rsidRDefault="00B5376C"/>
  </w:footnote>
  <w:footnote w:type="continuationSeparator" w:id="0">
    <w:p w14:paraId="5B41175E" w14:textId="77777777" w:rsidR="00B5376C" w:rsidRDefault="00B5376C" w:rsidP="006B56BB">
      <w:r>
        <w:continuationSeparator/>
      </w:r>
    </w:p>
    <w:p w14:paraId="6B2A5D31" w14:textId="77777777" w:rsidR="00B5376C" w:rsidRDefault="00B5376C"/>
  </w:footnote>
  <w:footnote w:type="continuationNotice" w:id="1">
    <w:p w14:paraId="43FFBA06" w14:textId="77777777" w:rsidR="00B5376C" w:rsidRDefault="00B53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5528" w14:textId="77777777" w:rsidR="004575FF" w:rsidRDefault="0045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C21B76"/>
    <w:multiLevelType w:val="hybridMultilevel"/>
    <w:tmpl w:val="F4CCE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5117410">
    <w:abstractNumId w:val="7"/>
  </w:num>
  <w:num w:numId="2" w16cid:durableId="825510802">
    <w:abstractNumId w:val="28"/>
  </w:num>
  <w:num w:numId="3" w16cid:durableId="1174151104">
    <w:abstractNumId w:val="35"/>
  </w:num>
  <w:num w:numId="4" w16cid:durableId="1700356159">
    <w:abstractNumId w:val="8"/>
  </w:num>
  <w:num w:numId="5" w16cid:durableId="906497433">
    <w:abstractNumId w:val="8"/>
    <w:lvlOverride w:ilvl="0">
      <w:startOverride w:val="1"/>
    </w:lvlOverride>
  </w:num>
  <w:num w:numId="6" w16cid:durableId="1431006207">
    <w:abstractNumId w:val="13"/>
  </w:num>
  <w:num w:numId="7" w16cid:durableId="334042933">
    <w:abstractNumId w:val="25"/>
  </w:num>
  <w:num w:numId="8" w16cid:durableId="1654677505">
    <w:abstractNumId w:val="34"/>
  </w:num>
  <w:num w:numId="9" w16cid:durableId="760106472">
    <w:abstractNumId w:val="5"/>
  </w:num>
  <w:num w:numId="10" w16cid:durableId="125776946">
    <w:abstractNumId w:val="4"/>
  </w:num>
  <w:num w:numId="11" w16cid:durableId="2056390629">
    <w:abstractNumId w:val="3"/>
  </w:num>
  <w:num w:numId="12" w16cid:durableId="3748568">
    <w:abstractNumId w:val="2"/>
  </w:num>
  <w:num w:numId="13" w16cid:durableId="1289777171">
    <w:abstractNumId w:val="6"/>
  </w:num>
  <w:num w:numId="14" w16cid:durableId="394277878">
    <w:abstractNumId w:val="1"/>
  </w:num>
  <w:num w:numId="15" w16cid:durableId="1140925374">
    <w:abstractNumId w:val="0"/>
  </w:num>
  <w:num w:numId="16" w16cid:durableId="1586186566">
    <w:abstractNumId w:val="37"/>
  </w:num>
  <w:num w:numId="17" w16cid:durableId="1768579150">
    <w:abstractNumId w:val="15"/>
  </w:num>
  <w:num w:numId="18" w16cid:durableId="866916146">
    <w:abstractNumId w:val="17"/>
  </w:num>
  <w:num w:numId="19" w16cid:durableId="1288850417">
    <w:abstractNumId w:val="20"/>
  </w:num>
  <w:num w:numId="20" w16cid:durableId="99835732">
    <w:abstractNumId w:val="21"/>
  </w:num>
  <w:num w:numId="21" w16cid:durableId="1602641448">
    <w:abstractNumId w:val="36"/>
  </w:num>
  <w:num w:numId="22" w16cid:durableId="1068918940">
    <w:abstractNumId w:val="11"/>
  </w:num>
  <w:num w:numId="23" w16cid:durableId="858816070">
    <w:abstractNumId w:val="15"/>
  </w:num>
  <w:num w:numId="24" w16cid:durableId="1531261485">
    <w:abstractNumId w:val="20"/>
  </w:num>
  <w:num w:numId="25" w16cid:durableId="2084447877">
    <w:abstractNumId w:val="35"/>
  </w:num>
  <w:num w:numId="26" w16cid:durableId="971180405">
    <w:abstractNumId w:val="8"/>
  </w:num>
  <w:num w:numId="27" w16cid:durableId="1607732223">
    <w:abstractNumId w:val="22"/>
  </w:num>
  <w:num w:numId="28" w16cid:durableId="1509783097">
    <w:abstractNumId w:val="32"/>
  </w:num>
  <w:num w:numId="29" w16cid:durableId="445542558">
    <w:abstractNumId w:val="26"/>
  </w:num>
  <w:num w:numId="30" w16cid:durableId="1446660131">
    <w:abstractNumId w:val="27"/>
  </w:num>
  <w:num w:numId="31" w16cid:durableId="388920661">
    <w:abstractNumId w:val="14"/>
  </w:num>
  <w:num w:numId="32" w16cid:durableId="224995518">
    <w:abstractNumId w:val="10"/>
  </w:num>
  <w:num w:numId="33" w16cid:durableId="846290935">
    <w:abstractNumId w:val="19"/>
  </w:num>
  <w:num w:numId="34" w16cid:durableId="1396465453">
    <w:abstractNumId w:val="23"/>
  </w:num>
  <w:num w:numId="35" w16cid:durableId="2145927549">
    <w:abstractNumId w:val="33"/>
  </w:num>
  <w:num w:numId="36" w16cid:durableId="1153453428">
    <w:abstractNumId w:val="30"/>
  </w:num>
  <w:num w:numId="37" w16cid:durableId="443351438">
    <w:abstractNumId w:val="31"/>
  </w:num>
  <w:num w:numId="38" w16cid:durableId="1918467615">
    <w:abstractNumId w:val="29"/>
  </w:num>
  <w:num w:numId="39" w16cid:durableId="551381142">
    <w:abstractNumId w:val="24"/>
  </w:num>
  <w:num w:numId="40" w16cid:durableId="1962880290">
    <w:abstractNumId w:val="9"/>
  </w:num>
  <w:num w:numId="41" w16cid:durableId="1590042677">
    <w:abstractNumId w:val="18"/>
  </w:num>
  <w:num w:numId="42" w16cid:durableId="1574855041">
    <w:abstractNumId w:val="29"/>
  </w:num>
  <w:num w:numId="43" w16cid:durableId="2081516674">
    <w:abstractNumId w:val="16"/>
  </w:num>
  <w:num w:numId="44" w16cid:durableId="222910696">
    <w:abstractNumId w:val="29"/>
  </w:num>
  <w:num w:numId="45" w16cid:durableId="1287391142">
    <w:abstractNumId w:val="29"/>
  </w:num>
  <w:num w:numId="46" w16cid:durableId="36007459">
    <w:abstractNumId w:val="29"/>
  </w:num>
  <w:num w:numId="47" w16cid:durableId="1798834121">
    <w:abstractNumId w:val="29"/>
  </w:num>
  <w:num w:numId="48" w16cid:durableId="521021077">
    <w:abstractNumId w:val="29"/>
  </w:num>
  <w:num w:numId="49" w16cid:durableId="757022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5712"/>
    <w:rsid w:val="000070DA"/>
    <w:rsid w:val="000074C2"/>
    <w:rsid w:val="00007FD8"/>
    <w:rsid w:val="00010682"/>
    <w:rsid w:val="000117F8"/>
    <w:rsid w:val="00012E0F"/>
    <w:rsid w:val="0001460F"/>
    <w:rsid w:val="00014941"/>
    <w:rsid w:val="0001658B"/>
    <w:rsid w:val="00020CEC"/>
    <w:rsid w:val="00020E9B"/>
    <w:rsid w:val="000211F4"/>
    <w:rsid w:val="00022629"/>
    <w:rsid w:val="00026139"/>
    <w:rsid w:val="00027601"/>
    <w:rsid w:val="000325F3"/>
    <w:rsid w:val="00033321"/>
    <w:rsid w:val="000338E5"/>
    <w:rsid w:val="00033ECC"/>
    <w:rsid w:val="0003422F"/>
    <w:rsid w:val="00034931"/>
    <w:rsid w:val="00040025"/>
    <w:rsid w:val="000402F7"/>
    <w:rsid w:val="00041443"/>
    <w:rsid w:val="00046FF0"/>
    <w:rsid w:val="00050176"/>
    <w:rsid w:val="000541BE"/>
    <w:rsid w:val="00054F2A"/>
    <w:rsid w:val="0005576F"/>
    <w:rsid w:val="000615F5"/>
    <w:rsid w:val="000633F0"/>
    <w:rsid w:val="00067456"/>
    <w:rsid w:val="00070ABF"/>
    <w:rsid w:val="00071506"/>
    <w:rsid w:val="0007154F"/>
    <w:rsid w:val="00073D9E"/>
    <w:rsid w:val="000763EA"/>
    <w:rsid w:val="00081181"/>
    <w:rsid w:val="00081AB1"/>
    <w:rsid w:val="00081F84"/>
    <w:rsid w:val="00084A83"/>
    <w:rsid w:val="00086BBD"/>
    <w:rsid w:val="00090316"/>
    <w:rsid w:val="00093981"/>
    <w:rsid w:val="00095B2D"/>
    <w:rsid w:val="000961D8"/>
    <w:rsid w:val="00097256"/>
    <w:rsid w:val="00097348"/>
    <w:rsid w:val="000A0228"/>
    <w:rsid w:val="000A3D13"/>
    <w:rsid w:val="000A5939"/>
    <w:rsid w:val="000B067A"/>
    <w:rsid w:val="000B1540"/>
    <w:rsid w:val="000B1E53"/>
    <w:rsid w:val="000B2459"/>
    <w:rsid w:val="000B33FD"/>
    <w:rsid w:val="000B4ABA"/>
    <w:rsid w:val="000B5C11"/>
    <w:rsid w:val="000B69EE"/>
    <w:rsid w:val="000B6A5F"/>
    <w:rsid w:val="000C1729"/>
    <w:rsid w:val="000C243A"/>
    <w:rsid w:val="000C446A"/>
    <w:rsid w:val="000C4B16"/>
    <w:rsid w:val="000C50C3"/>
    <w:rsid w:val="000C5E14"/>
    <w:rsid w:val="000D0F35"/>
    <w:rsid w:val="000D21F6"/>
    <w:rsid w:val="000D4500"/>
    <w:rsid w:val="000D7AEA"/>
    <w:rsid w:val="000E2C66"/>
    <w:rsid w:val="000F06E0"/>
    <w:rsid w:val="000F123C"/>
    <w:rsid w:val="000F2FED"/>
    <w:rsid w:val="001036DC"/>
    <w:rsid w:val="0010616D"/>
    <w:rsid w:val="00110478"/>
    <w:rsid w:val="00111040"/>
    <w:rsid w:val="001131C6"/>
    <w:rsid w:val="00114698"/>
    <w:rsid w:val="00115990"/>
    <w:rsid w:val="00115A2C"/>
    <w:rsid w:val="0011711B"/>
    <w:rsid w:val="00117F8A"/>
    <w:rsid w:val="00121B9B"/>
    <w:rsid w:val="00122ADC"/>
    <w:rsid w:val="00123F5C"/>
    <w:rsid w:val="00125E02"/>
    <w:rsid w:val="0012731B"/>
    <w:rsid w:val="00130C1B"/>
    <w:rsid w:val="00130F59"/>
    <w:rsid w:val="00133CF4"/>
    <w:rsid w:val="00133EC0"/>
    <w:rsid w:val="0013555E"/>
    <w:rsid w:val="00141CE5"/>
    <w:rsid w:val="00144908"/>
    <w:rsid w:val="00150D4A"/>
    <w:rsid w:val="001537F9"/>
    <w:rsid w:val="00154B25"/>
    <w:rsid w:val="001571C7"/>
    <w:rsid w:val="00157EDD"/>
    <w:rsid w:val="001606E2"/>
    <w:rsid w:val="00161094"/>
    <w:rsid w:val="001618B6"/>
    <w:rsid w:val="00161C37"/>
    <w:rsid w:val="001669E2"/>
    <w:rsid w:val="001678B7"/>
    <w:rsid w:val="00173F21"/>
    <w:rsid w:val="00175430"/>
    <w:rsid w:val="00175461"/>
    <w:rsid w:val="0017665C"/>
    <w:rsid w:val="00177AD2"/>
    <w:rsid w:val="001815A8"/>
    <w:rsid w:val="001824FD"/>
    <w:rsid w:val="001840FA"/>
    <w:rsid w:val="00186298"/>
    <w:rsid w:val="00190079"/>
    <w:rsid w:val="0019070C"/>
    <w:rsid w:val="001949D7"/>
    <w:rsid w:val="0019622E"/>
    <w:rsid w:val="001966A7"/>
    <w:rsid w:val="001A4627"/>
    <w:rsid w:val="001A4979"/>
    <w:rsid w:val="001B159B"/>
    <w:rsid w:val="001B15D3"/>
    <w:rsid w:val="001B1D97"/>
    <w:rsid w:val="001B32A4"/>
    <w:rsid w:val="001B3443"/>
    <w:rsid w:val="001B5ED7"/>
    <w:rsid w:val="001B602E"/>
    <w:rsid w:val="001B7430"/>
    <w:rsid w:val="001C0326"/>
    <w:rsid w:val="001C192F"/>
    <w:rsid w:val="001C2221"/>
    <w:rsid w:val="001C3115"/>
    <w:rsid w:val="001C3372"/>
    <w:rsid w:val="001C3C42"/>
    <w:rsid w:val="001C5590"/>
    <w:rsid w:val="001D7869"/>
    <w:rsid w:val="001E7F53"/>
    <w:rsid w:val="001F0333"/>
    <w:rsid w:val="001F492A"/>
    <w:rsid w:val="001F5BBD"/>
    <w:rsid w:val="001F6DE6"/>
    <w:rsid w:val="002011EC"/>
    <w:rsid w:val="002026CD"/>
    <w:rsid w:val="002033FC"/>
    <w:rsid w:val="002044BB"/>
    <w:rsid w:val="00210B09"/>
    <w:rsid w:val="00210C9E"/>
    <w:rsid w:val="00211840"/>
    <w:rsid w:val="00214352"/>
    <w:rsid w:val="002163B1"/>
    <w:rsid w:val="00217238"/>
    <w:rsid w:val="00220D40"/>
    <w:rsid w:val="00220E5F"/>
    <w:rsid w:val="002212B5"/>
    <w:rsid w:val="00226668"/>
    <w:rsid w:val="00232E39"/>
    <w:rsid w:val="00233809"/>
    <w:rsid w:val="00237E2B"/>
    <w:rsid w:val="00240046"/>
    <w:rsid w:val="0024324A"/>
    <w:rsid w:val="0024547A"/>
    <w:rsid w:val="00246663"/>
    <w:rsid w:val="0024797F"/>
    <w:rsid w:val="0025100B"/>
    <w:rsid w:val="0025119E"/>
    <w:rsid w:val="00251269"/>
    <w:rsid w:val="002531D6"/>
    <w:rsid w:val="002534EA"/>
    <w:rsid w:val="002535C0"/>
    <w:rsid w:val="00254A47"/>
    <w:rsid w:val="0025774E"/>
    <w:rsid w:val="002579FE"/>
    <w:rsid w:val="0026311C"/>
    <w:rsid w:val="0026668C"/>
    <w:rsid w:val="00266AC1"/>
    <w:rsid w:val="0027178C"/>
    <w:rsid w:val="002719FA"/>
    <w:rsid w:val="00272668"/>
    <w:rsid w:val="0027330B"/>
    <w:rsid w:val="0027415E"/>
    <w:rsid w:val="00274620"/>
    <w:rsid w:val="002803AD"/>
    <w:rsid w:val="00281104"/>
    <w:rsid w:val="0028127F"/>
    <w:rsid w:val="00282052"/>
    <w:rsid w:val="00282F9C"/>
    <w:rsid w:val="00284474"/>
    <w:rsid w:val="0028519E"/>
    <w:rsid w:val="002856A5"/>
    <w:rsid w:val="00285E00"/>
    <w:rsid w:val="002872ED"/>
    <w:rsid w:val="002905C2"/>
    <w:rsid w:val="00291E03"/>
    <w:rsid w:val="00292621"/>
    <w:rsid w:val="002945B0"/>
    <w:rsid w:val="00295AF2"/>
    <w:rsid w:val="00295C91"/>
    <w:rsid w:val="00297151"/>
    <w:rsid w:val="00297207"/>
    <w:rsid w:val="0029722E"/>
    <w:rsid w:val="002B09B1"/>
    <w:rsid w:val="002B1900"/>
    <w:rsid w:val="002B1F00"/>
    <w:rsid w:val="002B20E6"/>
    <w:rsid w:val="002B410F"/>
    <w:rsid w:val="002B42A3"/>
    <w:rsid w:val="002C0CDD"/>
    <w:rsid w:val="002C38C4"/>
    <w:rsid w:val="002C3FC4"/>
    <w:rsid w:val="002C4196"/>
    <w:rsid w:val="002D0156"/>
    <w:rsid w:val="002D1D11"/>
    <w:rsid w:val="002D72A8"/>
    <w:rsid w:val="002D77FE"/>
    <w:rsid w:val="002D7C0F"/>
    <w:rsid w:val="002E1A1D"/>
    <w:rsid w:val="002E4081"/>
    <w:rsid w:val="002E5B78"/>
    <w:rsid w:val="002E6AC1"/>
    <w:rsid w:val="002E7A59"/>
    <w:rsid w:val="002F25AB"/>
    <w:rsid w:val="002F3AE3"/>
    <w:rsid w:val="002F4CEA"/>
    <w:rsid w:val="002F5A29"/>
    <w:rsid w:val="002F6346"/>
    <w:rsid w:val="0030464B"/>
    <w:rsid w:val="00305D17"/>
    <w:rsid w:val="0030786C"/>
    <w:rsid w:val="00317E67"/>
    <w:rsid w:val="0032173D"/>
    <w:rsid w:val="00322BEE"/>
    <w:rsid w:val="003233DE"/>
    <w:rsid w:val="0032466B"/>
    <w:rsid w:val="00327F94"/>
    <w:rsid w:val="00330813"/>
    <w:rsid w:val="00332B47"/>
    <w:rsid w:val="003330EB"/>
    <w:rsid w:val="00337DB7"/>
    <w:rsid w:val="0034013B"/>
    <w:rsid w:val="003413AA"/>
    <w:rsid w:val="003415FD"/>
    <w:rsid w:val="003429F0"/>
    <w:rsid w:val="00345A82"/>
    <w:rsid w:val="0035097A"/>
    <w:rsid w:val="00350E27"/>
    <w:rsid w:val="00352580"/>
    <w:rsid w:val="00352610"/>
    <w:rsid w:val="003540A4"/>
    <w:rsid w:val="003574ED"/>
    <w:rsid w:val="00357BCC"/>
    <w:rsid w:val="00360E4E"/>
    <w:rsid w:val="00365CB4"/>
    <w:rsid w:val="00367589"/>
    <w:rsid w:val="00367CAE"/>
    <w:rsid w:val="00370AAA"/>
    <w:rsid w:val="00371345"/>
    <w:rsid w:val="00373460"/>
    <w:rsid w:val="00373CEA"/>
    <w:rsid w:val="00374622"/>
    <w:rsid w:val="00375F77"/>
    <w:rsid w:val="00376C93"/>
    <w:rsid w:val="003771DB"/>
    <w:rsid w:val="00380E31"/>
    <w:rsid w:val="00381BBE"/>
    <w:rsid w:val="00382903"/>
    <w:rsid w:val="00382DA6"/>
    <w:rsid w:val="003846FF"/>
    <w:rsid w:val="003857D4"/>
    <w:rsid w:val="00385AD4"/>
    <w:rsid w:val="00387924"/>
    <w:rsid w:val="00387F7D"/>
    <w:rsid w:val="0039384D"/>
    <w:rsid w:val="0039482D"/>
    <w:rsid w:val="00395C23"/>
    <w:rsid w:val="00395ED6"/>
    <w:rsid w:val="0039733A"/>
    <w:rsid w:val="003A24D5"/>
    <w:rsid w:val="003A2E4F"/>
    <w:rsid w:val="003A2EDF"/>
    <w:rsid w:val="003A2F0B"/>
    <w:rsid w:val="003A38CF"/>
    <w:rsid w:val="003A4438"/>
    <w:rsid w:val="003A5013"/>
    <w:rsid w:val="003A5078"/>
    <w:rsid w:val="003A62DD"/>
    <w:rsid w:val="003A775A"/>
    <w:rsid w:val="003B213A"/>
    <w:rsid w:val="003B43AD"/>
    <w:rsid w:val="003B52C7"/>
    <w:rsid w:val="003C0FEC"/>
    <w:rsid w:val="003C2AC8"/>
    <w:rsid w:val="003C337D"/>
    <w:rsid w:val="003D033A"/>
    <w:rsid w:val="003D17F9"/>
    <w:rsid w:val="003D2A3F"/>
    <w:rsid w:val="003D2D88"/>
    <w:rsid w:val="003D326A"/>
    <w:rsid w:val="003D41EA"/>
    <w:rsid w:val="003D4850"/>
    <w:rsid w:val="003D535A"/>
    <w:rsid w:val="003D60DA"/>
    <w:rsid w:val="003D735B"/>
    <w:rsid w:val="003E0E8B"/>
    <w:rsid w:val="003E2C6B"/>
    <w:rsid w:val="003E437C"/>
    <w:rsid w:val="003E5094"/>
    <w:rsid w:val="003E5265"/>
    <w:rsid w:val="003F0765"/>
    <w:rsid w:val="003F0955"/>
    <w:rsid w:val="003F2347"/>
    <w:rsid w:val="003F2648"/>
    <w:rsid w:val="003F360D"/>
    <w:rsid w:val="003F3BBE"/>
    <w:rsid w:val="003F5902"/>
    <w:rsid w:val="003F5F4D"/>
    <w:rsid w:val="003F646F"/>
    <w:rsid w:val="00400989"/>
    <w:rsid w:val="00400F00"/>
    <w:rsid w:val="00402993"/>
    <w:rsid w:val="00404F8B"/>
    <w:rsid w:val="00405256"/>
    <w:rsid w:val="00410031"/>
    <w:rsid w:val="0041033F"/>
    <w:rsid w:val="00414EC9"/>
    <w:rsid w:val="00415C81"/>
    <w:rsid w:val="004249B5"/>
    <w:rsid w:val="00424BE3"/>
    <w:rsid w:val="004270DB"/>
    <w:rsid w:val="00431EAA"/>
    <w:rsid w:val="00432378"/>
    <w:rsid w:val="00432D49"/>
    <w:rsid w:val="00435FED"/>
    <w:rsid w:val="00436C3F"/>
    <w:rsid w:val="0043703D"/>
    <w:rsid w:val="00440411"/>
    <w:rsid w:val="00440D65"/>
    <w:rsid w:val="004430EB"/>
    <w:rsid w:val="004435E6"/>
    <w:rsid w:val="00447E31"/>
    <w:rsid w:val="00453923"/>
    <w:rsid w:val="00454B9B"/>
    <w:rsid w:val="004551B8"/>
    <w:rsid w:val="004575FF"/>
    <w:rsid w:val="00457858"/>
    <w:rsid w:val="00457E46"/>
    <w:rsid w:val="00460B0B"/>
    <w:rsid w:val="00461023"/>
    <w:rsid w:val="00462FAC"/>
    <w:rsid w:val="00463B4A"/>
    <w:rsid w:val="00464631"/>
    <w:rsid w:val="00464B79"/>
    <w:rsid w:val="00465A9B"/>
    <w:rsid w:val="004663CA"/>
    <w:rsid w:val="00467293"/>
    <w:rsid w:val="00467BBF"/>
    <w:rsid w:val="00482917"/>
    <w:rsid w:val="0048318E"/>
    <w:rsid w:val="0048593C"/>
    <w:rsid w:val="004867E2"/>
    <w:rsid w:val="004929A9"/>
    <w:rsid w:val="00492D44"/>
    <w:rsid w:val="004935AB"/>
    <w:rsid w:val="0049413F"/>
    <w:rsid w:val="004964FD"/>
    <w:rsid w:val="00497C30"/>
    <w:rsid w:val="00497C82"/>
    <w:rsid w:val="004A531B"/>
    <w:rsid w:val="004A5D18"/>
    <w:rsid w:val="004A6435"/>
    <w:rsid w:val="004A78D9"/>
    <w:rsid w:val="004B1579"/>
    <w:rsid w:val="004B3586"/>
    <w:rsid w:val="004B4E87"/>
    <w:rsid w:val="004B5A85"/>
    <w:rsid w:val="004B77A5"/>
    <w:rsid w:val="004B7A88"/>
    <w:rsid w:val="004B7CA4"/>
    <w:rsid w:val="004C10CF"/>
    <w:rsid w:val="004C21DA"/>
    <w:rsid w:val="004C458A"/>
    <w:rsid w:val="004C58D0"/>
    <w:rsid w:val="004C66CD"/>
    <w:rsid w:val="004C6B8D"/>
    <w:rsid w:val="004C6BCF"/>
    <w:rsid w:val="004D20D6"/>
    <w:rsid w:val="004D23A4"/>
    <w:rsid w:val="004D2DEE"/>
    <w:rsid w:val="004D58BF"/>
    <w:rsid w:val="004D672B"/>
    <w:rsid w:val="004E055F"/>
    <w:rsid w:val="004E4335"/>
    <w:rsid w:val="004E4FD6"/>
    <w:rsid w:val="004E60F6"/>
    <w:rsid w:val="004E621B"/>
    <w:rsid w:val="004F0452"/>
    <w:rsid w:val="004F13EE"/>
    <w:rsid w:val="004F2022"/>
    <w:rsid w:val="004F7C05"/>
    <w:rsid w:val="00500ECD"/>
    <w:rsid w:val="00501C94"/>
    <w:rsid w:val="005025FF"/>
    <w:rsid w:val="00503A88"/>
    <w:rsid w:val="00503D45"/>
    <w:rsid w:val="00506432"/>
    <w:rsid w:val="00512A1C"/>
    <w:rsid w:val="005155A3"/>
    <w:rsid w:val="00516BBF"/>
    <w:rsid w:val="0052051D"/>
    <w:rsid w:val="0052053F"/>
    <w:rsid w:val="00521B11"/>
    <w:rsid w:val="00522825"/>
    <w:rsid w:val="0052599D"/>
    <w:rsid w:val="005266FF"/>
    <w:rsid w:val="005308B0"/>
    <w:rsid w:val="00533C31"/>
    <w:rsid w:val="005405E7"/>
    <w:rsid w:val="00545EE6"/>
    <w:rsid w:val="00546ED7"/>
    <w:rsid w:val="0054768D"/>
    <w:rsid w:val="0055161D"/>
    <w:rsid w:val="0055178C"/>
    <w:rsid w:val="005528EE"/>
    <w:rsid w:val="0055389A"/>
    <w:rsid w:val="005550E7"/>
    <w:rsid w:val="00555C25"/>
    <w:rsid w:val="005564FB"/>
    <w:rsid w:val="005572C7"/>
    <w:rsid w:val="00561322"/>
    <w:rsid w:val="005622C2"/>
    <w:rsid w:val="00563B10"/>
    <w:rsid w:val="005650ED"/>
    <w:rsid w:val="00567053"/>
    <w:rsid w:val="00571CD7"/>
    <w:rsid w:val="005725E5"/>
    <w:rsid w:val="005750E3"/>
    <w:rsid w:val="00575754"/>
    <w:rsid w:val="00581FBA"/>
    <w:rsid w:val="00582CAB"/>
    <w:rsid w:val="00584A34"/>
    <w:rsid w:val="0058736B"/>
    <w:rsid w:val="0059100E"/>
    <w:rsid w:val="00591E20"/>
    <w:rsid w:val="0059455A"/>
    <w:rsid w:val="00595408"/>
    <w:rsid w:val="00595E84"/>
    <w:rsid w:val="005A0C59"/>
    <w:rsid w:val="005A1ED4"/>
    <w:rsid w:val="005A31A9"/>
    <w:rsid w:val="005A3AB3"/>
    <w:rsid w:val="005A48EB"/>
    <w:rsid w:val="005A4E59"/>
    <w:rsid w:val="005A612B"/>
    <w:rsid w:val="005A6CFB"/>
    <w:rsid w:val="005B44D5"/>
    <w:rsid w:val="005B62D5"/>
    <w:rsid w:val="005B7CE9"/>
    <w:rsid w:val="005B7D26"/>
    <w:rsid w:val="005C5AEB"/>
    <w:rsid w:val="005E0A3F"/>
    <w:rsid w:val="005E589A"/>
    <w:rsid w:val="005E5A96"/>
    <w:rsid w:val="005E6883"/>
    <w:rsid w:val="005E772F"/>
    <w:rsid w:val="005F4ECA"/>
    <w:rsid w:val="006041BE"/>
    <w:rsid w:val="006043C7"/>
    <w:rsid w:val="0060571C"/>
    <w:rsid w:val="00605E53"/>
    <w:rsid w:val="006067CC"/>
    <w:rsid w:val="00624B52"/>
    <w:rsid w:val="00625955"/>
    <w:rsid w:val="00630058"/>
    <w:rsid w:val="00630794"/>
    <w:rsid w:val="00631DF4"/>
    <w:rsid w:val="00632489"/>
    <w:rsid w:val="00632CD6"/>
    <w:rsid w:val="00634175"/>
    <w:rsid w:val="006408AC"/>
    <w:rsid w:val="00640967"/>
    <w:rsid w:val="00641EDC"/>
    <w:rsid w:val="00647C0F"/>
    <w:rsid w:val="006511B6"/>
    <w:rsid w:val="00651E48"/>
    <w:rsid w:val="0065423D"/>
    <w:rsid w:val="00657FF8"/>
    <w:rsid w:val="0067043D"/>
    <w:rsid w:val="00670D99"/>
    <w:rsid w:val="00670E2B"/>
    <w:rsid w:val="006734BB"/>
    <w:rsid w:val="0067697A"/>
    <w:rsid w:val="0068134A"/>
    <w:rsid w:val="006821EB"/>
    <w:rsid w:val="00684CFF"/>
    <w:rsid w:val="006B2286"/>
    <w:rsid w:val="006B2D67"/>
    <w:rsid w:val="006B515B"/>
    <w:rsid w:val="006B56BB"/>
    <w:rsid w:val="006B56FB"/>
    <w:rsid w:val="006C0251"/>
    <w:rsid w:val="006C09D6"/>
    <w:rsid w:val="006C77A8"/>
    <w:rsid w:val="006D4098"/>
    <w:rsid w:val="006D73DF"/>
    <w:rsid w:val="006D7681"/>
    <w:rsid w:val="006D7B2E"/>
    <w:rsid w:val="006E02EA"/>
    <w:rsid w:val="006E0968"/>
    <w:rsid w:val="006E2984"/>
    <w:rsid w:val="006E2AF6"/>
    <w:rsid w:val="006F618F"/>
    <w:rsid w:val="00701275"/>
    <w:rsid w:val="00701D8C"/>
    <w:rsid w:val="007033EC"/>
    <w:rsid w:val="00707F56"/>
    <w:rsid w:val="00711AD6"/>
    <w:rsid w:val="00713558"/>
    <w:rsid w:val="00720D08"/>
    <w:rsid w:val="0072610E"/>
    <w:rsid w:val="007262EB"/>
    <w:rsid w:val="007263B9"/>
    <w:rsid w:val="00730E51"/>
    <w:rsid w:val="00731DB7"/>
    <w:rsid w:val="007334F8"/>
    <w:rsid w:val="007339CD"/>
    <w:rsid w:val="007359D8"/>
    <w:rsid w:val="007362D4"/>
    <w:rsid w:val="007369F8"/>
    <w:rsid w:val="007375FA"/>
    <w:rsid w:val="0074120B"/>
    <w:rsid w:val="0074241C"/>
    <w:rsid w:val="00751DA7"/>
    <w:rsid w:val="00761942"/>
    <w:rsid w:val="007652D5"/>
    <w:rsid w:val="0076672A"/>
    <w:rsid w:val="007721B1"/>
    <w:rsid w:val="007757AE"/>
    <w:rsid w:val="00775E45"/>
    <w:rsid w:val="0077649E"/>
    <w:rsid w:val="00776E74"/>
    <w:rsid w:val="00781F3E"/>
    <w:rsid w:val="00782802"/>
    <w:rsid w:val="00785169"/>
    <w:rsid w:val="007858D3"/>
    <w:rsid w:val="00785D39"/>
    <w:rsid w:val="007861C0"/>
    <w:rsid w:val="00786B44"/>
    <w:rsid w:val="00787EB0"/>
    <w:rsid w:val="00787F4B"/>
    <w:rsid w:val="00792161"/>
    <w:rsid w:val="007926FA"/>
    <w:rsid w:val="00793064"/>
    <w:rsid w:val="00793BBF"/>
    <w:rsid w:val="007954AB"/>
    <w:rsid w:val="007A14C5"/>
    <w:rsid w:val="007A23E1"/>
    <w:rsid w:val="007A4804"/>
    <w:rsid w:val="007A4A10"/>
    <w:rsid w:val="007A602B"/>
    <w:rsid w:val="007B00F4"/>
    <w:rsid w:val="007B1760"/>
    <w:rsid w:val="007B23A3"/>
    <w:rsid w:val="007B5049"/>
    <w:rsid w:val="007B6446"/>
    <w:rsid w:val="007C0C2B"/>
    <w:rsid w:val="007C16E8"/>
    <w:rsid w:val="007C1FDC"/>
    <w:rsid w:val="007C6D9C"/>
    <w:rsid w:val="007C7DDB"/>
    <w:rsid w:val="007D1B4F"/>
    <w:rsid w:val="007D2CC7"/>
    <w:rsid w:val="007D476B"/>
    <w:rsid w:val="007D673D"/>
    <w:rsid w:val="007E0F92"/>
    <w:rsid w:val="007E41C2"/>
    <w:rsid w:val="007E4D09"/>
    <w:rsid w:val="007E7119"/>
    <w:rsid w:val="007F1AA3"/>
    <w:rsid w:val="007F2220"/>
    <w:rsid w:val="007F2FC3"/>
    <w:rsid w:val="007F3D7E"/>
    <w:rsid w:val="007F4AB2"/>
    <w:rsid w:val="007F4B3E"/>
    <w:rsid w:val="00805931"/>
    <w:rsid w:val="008077E2"/>
    <w:rsid w:val="00810AC1"/>
    <w:rsid w:val="00810CE3"/>
    <w:rsid w:val="008116B4"/>
    <w:rsid w:val="008127AF"/>
    <w:rsid w:val="00812B46"/>
    <w:rsid w:val="00815700"/>
    <w:rsid w:val="008203E2"/>
    <w:rsid w:val="0082333F"/>
    <w:rsid w:val="0082517A"/>
    <w:rsid w:val="008264EB"/>
    <w:rsid w:val="0082697E"/>
    <w:rsid w:val="00826B8F"/>
    <w:rsid w:val="00826DBE"/>
    <w:rsid w:val="00831E8A"/>
    <w:rsid w:val="008321C9"/>
    <w:rsid w:val="008321D7"/>
    <w:rsid w:val="00835BDE"/>
    <w:rsid w:val="00835C76"/>
    <w:rsid w:val="008376E2"/>
    <w:rsid w:val="00837FB3"/>
    <w:rsid w:val="00842377"/>
    <w:rsid w:val="00843049"/>
    <w:rsid w:val="008501AD"/>
    <w:rsid w:val="008513C1"/>
    <w:rsid w:val="00851925"/>
    <w:rsid w:val="0085209B"/>
    <w:rsid w:val="00855512"/>
    <w:rsid w:val="00856B66"/>
    <w:rsid w:val="008601AC"/>
    <w:rsid w:val="00861A5F"/>
    <w:rsid w:val="008644AD"/>
    <w:rsid w:val="00865735"/>
    <w:rsid w:val="00865B97"/>
    <w:rsid w:val="00865DDB"/>
    <w:rsid w:val="00866394"/>
    <w:rsid w:val="00867538"/>
    <w:rsid w:val="00872891"/>
    <w:rsid w:val="0087303E"/>
    <w:rsid w:val="0087309B"/>
    <w:rsid w:val="00873D90"/>
    <w:rsid w:val="00873D9B"/>
    <w:rsid w:val="00873FC8"/>
    <w:rsid w:val="00882E1D"/>
    <w:rsid w:val="00884C63"/>
    <w:rsid w:val="00885908"/>
    <w:rsid w:val="0088600B"/>
    <w:rsid w:val="008864B7"/>
    <w:rsid w:val="00892617"/>
    <w:rsid w:val="008946F4"/>
    <w:rsid w:val="0089677E"/>
    <w:rsid w:val="008A7438"/>
    <w:rsid w:val="008B001B"/>
    <w:rsid w:val="008B1334"/>
    <w:rsid w:val="008B19BA"/>
    <w:rsid w:val="008B25C7"/>
    <w:rsid w:val="008B5D8E"/>
    <w:rsid w:val="008C0278"/>
    <w:rsid w:val="008C051A"/>
    <w:rsid w:val="008C24E9"/>
    <w:rsid w:val="008C4B41"/>
    <w:rsid w:val="008C785A"/>
    <w:rsid w:val="008C79CF"/>
    <w:rsid w:val="008D0533"/>
    <w:rsid w:val="008D42CB"/>
    <w:rsid w:val="008D48C9"/>
    <w:rsid w:val="008D6381"/>
    <w:rsid w:val="008E0C77"/>
    <w:rsid w:val="008E0D82"/>
    <w:rsid w:val="008E15B0"/>
    <w:rsid w:val="008E1606"/>
    <w:rsid w:val="008E625F"/>
    <w:rsid w:val="008F09B0"/>
    <w:rsid w:val="008F0C65"/>
    <w:rsid w:val="008F264D"/>
    <w:rsid w:val="008F6390"/>
    <w:rsid w:val="009007A3"/>
    <w:rsid w:val="009040E9"/>
    <w:rsid w:val="00904E9C"/>
    <w:rsid w:val="009074E1"/>
    <w:rsid w:val="0091109D"/>
    <w:rsid w:val="009112F7"/>
    <w:rsid w:val="009122AF"/>
    <w:rsid w:val="00912322"/>
    <w:rsid w:val="00912D54"/>
    <w:rsid w:val="0091389F"/>
    <w:rsid w:val="00914973"/>
    <w:rsid w:val="00915B49"/>
    <w:rsid w:val="009163ED"/>
    <w:rsid w:val="009167FD"/>
    <w:rsid w:val="009172D4"/>
    <w:rsid w:val="009208F7"/>
    <w:rsid w:val="00921649"/>
    <w:rsid w:val="00922517"/>
    <w:rsid w:val="00922722"/>
    <w:rsid w:val="0092540D"/>
    <w:rsid w:val="009261E6"/>
    <w:rsid w:val="009268E1"/>
    <w:rsid w:val="009276F8"/>
    <w:rsid w:val="009310E5"/>
    <w:rsid w:val="009326E9"/>
    <w:rsid w:val="009344DE"/>
    <w:rsid w:val="0094131C"/>
    <w:rsid w:val="00945E7F"/>
    <w:rsid w:val="0095095B"/>
    <w:rsid w:val="00952F7C"/>
    <w:rsid w:val="00953517"/>
    <w:rsid w:val="009557C1"/>
    <w:rsid w:val="00955905"/>
    <w:rsid w:val="0095645E"/>
    <w:rsid w:val="009564E8"/>
    <w:rsid w:val="00957C23"/>
    <w:rsid w:val="00960D6E"/>
    <w:rsid w:val="0096732A"/>
    <w:rsid w:val="0096777A"/>
    <w:rsid w:val="00970A95"/>
    <w:rsid w:val="009724AB"/>
    <w:rsid w:val="00974B59"/>
    <w:rsid w:val="009756AD"/>
    <w:rsid w:val="00976C03"/>
    <w:rsid w:val="00977D51"/>
    <w:rsid w:val="0098047C"/>
    <w:rsid w:val="0098122D"/>
    <w:rsid w:val="0098340B"/>
    <w:rsid w:val="009839FE"/>
    <w:rsid w:val="00983F0B"/>
    <w:rsid w:val="00986830"/>
    <w:rsid w:val="00987161"/>
    <w:rsid w:val="00990022"/>
    <w:rsid w:val="00990686"/>
    <w:rsid w:val="009917C4"/>
    <w:rsid w:val="009924C3"/>
    <w:rsid w:val="00993102"/>
    <w:rsid w:val="009936EF"/>
    <w:rsid w:val="009A32D9"/>
    <w:rsid w:val="009A48F5"/>
    <w:rsid w:val="009A5FBF"/>
    <w:rsid w:val="009A7DA8"/>
    <w:rsid w:val="009B1570"/>
    <w:rsid w:val="009B185F"/>
    <w:rsid w:val="009B22D3"/>
    <w:rsid w:val="009B3BF9"/>
    <w:rsid w:val="009C6F10"/>
    <w:rsid w:val="009D0ECB"/>
    <w:rsid w:val="009D148F"/>
    <w:rsid w:val="009D3B32"/>
    <w:rsid w:val="009D3D70"/>
    <w:rsid w:val="009D580B"/>
    <w:rsid w:val="009E1CD5"/>
    <w:rsid w:val="009E327F"/>
    <w:rsid w:val="009E6F7E"/>
    <w:rsid w:val="009E7A57"/>
    <w:rsid w:val="009F3B91"/>
    <w:rsid w:val="009F4803"/>
    <w:rsid w:val="009F4F6A"/>
    <w:rsid w:val="00A043A6"/>
    <w:rsid w:val="00A05B34"/>
    <w:rsid w:val="00A13EB5"/>
    <w:rsid w:val="00A15A3E"/>
    <w:rsid w:val="00A15D6D"/>
    <w:rsid w:val="00A16E36"/>
    <w:rsid w:val="00A24961"/>
    <w:rsid w:val="00A24B10"/>
    <w:rsid w:val="00A277EF"/>
    <w:rsid w:val="00A279A9"/>
    <w:rsid w:val="00A300B7"/>
    <w:rsid w:val="00A30E9B"/>
    <w:rsid w:val="00A336F3"/>
    <w:rsid w:val="00A35019"/>
    <w:rsid w:val="00A35263"/>
    <w:rsid w:val="00A35267"/>
    <w:rsid w:val="00A36100"/>
    <w:rsid w:val="00A415AC"/>
    <w:rsid w:val="00A4512D"/>
    <w:rsid w:val="00A50244"/>
    <w:rsid w:val="00A53492"/>
    <w:rsid w:val="00A554C3"/>
    <w:rsid w:val="00A61018"/>
    <w:rsid w:val="00A627D7"/>
    <w:rsid w:val="00A646B2"/>
    <w:rsid w:val="00A656C7"/>
    <w:rsid w:val="00A66B57"/>
    <w:rsid w:val="00A66D2B"/>
    <w:rsid w:val="00A67A23"/>
    <w:rsid w:val="00A67A5F"/>
    <w:rsid w:val="00A705AF"/>
    <w:rsid w:val="00A71954"/>
    <w:rsid w:val="00A72454"/>
    <w:rsid w:val="00A74B45"/>
    <w:rsid w:val="00A77696"/>
    <w:rsid w:val="00A77F2A"/>
    <w:rsid w:val="00A80557"/>
    <w:rsid w:val="00A805CF"/>
    <w:rsid w:val="00A81CB9"/>
    <w:rsid w:val="00A81D33"/>
    <w:rsid w:val="00A82B19"/>
    <w:rsid w:val="00A8341C"/>
    <w:rsid w:val="00A85AFB"/>
    <w:rsid w:val="00A86A64"/>
    <w:rsid w:val="00A926FA"/>
    <w:rsid w:val="00A92A6F"/>
    <w:rsid w:val="00A930AE"/>
    <w:rsid w:val="00A9711C"/>
    <w:rsid w:val="00AA1A95"/>
    <w:rsid w:val="00AA2344"/>
    <w:rsid w:val="00AA260F"/>
    <w:rsid w:val="00AA692E"/>
    <w:rsid w:val="00AA79F5"/>
    <w:rsid w:val="00AB0B9B"/>
    <w:rsid w:val="00AB1535"/>
    <w:rsid w:val="00AB1B1A"/>
    <w:rsid w:val="00AB1EE7"/>
    <w:rsid w:val="00AB4B37"/>
    <w:rsid w:val="00AB5762"/>
    <w:rsid w:val="00AC24B7"/>
    <w:rsid w:val="00AC2679"/>
    <w:rsid w:val="00AC2715"/>
    <w:rsid w:val="00AC4BE4"/>
    <w:rsid w:val="00AC52E5"/>
    <w:rsid w:val="00AC5F00"/>
    <w:rsid w:val="00AC6897"/>
    <w:rsid w:val="00AD0282"/>
    <w:rsid w:val="00AD05E6"/>
    <w:rsid w:val="00AD0D3F"/>
    <w:rsid w:val="00AD1865"/>
    <w:rsid w:val="00AD2F29"/>
    <w:rsid w:val="00AE1D7D"/>
    <w:rsid w:val="00AE2A8B"/>
    <w:rsid w:val="00AE3F64"/>
    <w:rsid w:val="00AF02EC"/>
    <w:rsid w:val="00AF4687"/>
    <w:rsid w:val="00AF7386"/>
    <w:rsid w:val="00AF7934"/>
    <w:rsid w:val="00B00B81"/>
    <w:rsid w:val="00B01F9F"/>
    <w:rsid w:val="00B036BC"/>
    <w:rsid w:val="00B04580"/>
    <w:rsid w:val="00B04B09"/>
    <w:rsid w:val="00B054A6"/>
    <w:rsid w:val="00B10698"/>
    <w:rsid w:val="00B10753"/>
    <w:rsid w:val="00B16A51"/>
    <w:rsid w:val="00B20237"/>
    <w:rsid w:val="00B26589"/>
    <w:rsid w:val="00B31564"/>
    <w:rsid w:val="00B32222"/>
    <w:rsid w:val="00B33117"/>
    <w:rsid w:val="00B34186"/>
    <w:rsid w:val="00B360BB"/>
    <w:rsid w:val="00B3618D"/>
    <w:rsid w:val="00B36233"/>
    <w:rsid w:val="00B42851"/>
    <w:rsid w:val="00B42885"/>
    <w:rsid w:val="00B42CC8"/>
    <w:rsid w:val="00B42E6B"/>
    <w:rsid w:val="00B430B9"/>
    <w:rsid w:val="00B43BEC"/>
    <w:rsid w:val="00B45AC7"/>
    <w:rsid w:val="00B5360A"/>
    <w:rsid w:val="00B5372F"/>
    <w:rsid w:val="00B5376C"/>
    <w:rsid w:val="00B54577"/>
    <w:rsid w:val="00B54D6C"/>
    <w:rsid w:val="00B55E3F"/>
    <w:rsid w:val="00B56A4F"/>
    <w:rsid w:val="00B576A4"/>
    <w:rsid w:val="00B61129"/>
    <w:rsid w:val="00B626DF"/>
    <w:rsid w:val="00B62C45"/>
    <w:rsid w:val="00B6535D"/>
    <w:rsid w:val="00B662A7"/>
    <w:rsid w:val="00B666A3"/>
    <w:rsid w:val="00B67E7F"/>
    <w:rsid w:val="00B80D26"/>
    <w:rsid w:val="00B839B2"/>
    <w:rsid w:val="00B83E28"/>
    <w:rsid w:val="00B87197"/>
    <w:rsid w:val="00B9077D"/>
    <w:rsid w:val="00B94252"/>
    <w:rsid w:val="00B95144"/>
    <w:rsid w:val="00B96200"/>
    <w:rsid w:val="00B964DB"/>
    <w:rsid w:val="00B9715A"/>
    <w:rsid w:val="00B976B7"/>
    <w:rsid w:val="00BA087A"/>
    <w:rsid w:val="00BA14BE"/>
    <w:rsid w:val="00BA2732"/>
    <w:rsid w:val="00BA293D"/>
    <w:rsid w:val="00BA4216"/>
    <w:rsid w:val="00BA49BC"/>
    <w:rsid w:val="00BA56B7"/>
    <w:rsid w:val="00BA6161"/>
    <w:rsid w:val="00BA7A1E"/>
    <w:rsid w:val="00BB2F6C"/>
    <w:rsid w:val="00BB3875"/>
    <w:rsid w:val="00BB3BEE"/>
    <w:rsid w:val="00BB5860"/>
    <w:rsid w:val="00BB6AAD"/>
    <w:rsid w:val="00BB75A4"/>
    <w:rsid w:val="00BB78E2"/>
    <w:rsid w:val="00BC0371"/>
    <w:rsid w:val="00BC35C3"/>
    <w:rsid w:val="00BC4A19"/>
    <w:rsid w:val="00BC4E6D"/>
    <w:rsid w:val="00BC6755"/>
    <w:rsid w:val="00BC778D"/>
    <w:rsid w:val="00BD0617"/>
    <w:rsid w:val="00BD2E9B"/>
    <w:rsid w:val="00BD56C1"/>
    <w:rsid w:val="00BD7FB2"/>
    <w:rsid w:val="00BE0D4D"/>
    <w:rsid w:val="00BE1A1E"/>
    <w:rsid w:val="00BE4110"/>
    <w:rsid w:val="00BF3709"/>
    <w:rsid w:val="00C0080E"/>
    <w:rsid w:val="00C00930"/>
    <w:rsid w:val="00C01785"/>
    <w:rsid w:val="00C0180A"/>
    <w:rsid w:val="00C04778"/>
    <w:rsid w:val="00C0497C"/>
    <w:rsid w:val="00C060AD"/>
    <w:rsid w:val="00C064CE"/>
    <w:rsid w:val="00C10827"/>
    <w:rsid w:val="00C113BF"/>
    <w:rsid w:val="00C16C3C"/>
    <w:rsid w:val="00C2176E"/>
    <w:rsid w:val="00C23430"/>
    <w:rsid w:val="00C240FC"/>
    <w:rsid w:val="00C251BB"/>
    <w:rsid w:val="00C263F0"/>
    <w:rsid w:val="00C27D67"/>
    <w:rsid w:val="00C30786"/>
    <w:rsid w:val="00C33316"/>
    <w:rsid w:val="00C4006B"/>
    <w:rsid w:val="00C40BBA"/>
    <w:rsid w:val="00C4631F"/>
    <w:rsid w:val="00C47CDE"/>
    <w:rsid w:val="00C47E3C"/>
    <w:rsid w:val="00C50E16"/>
    <w:rsid w:val="00C55258"/>
    <w:rsid w:val="00C61CCF"/>
    <w:rsid w:val="00C6369B"/>
    <w:rsid w:val="00C64B23"/>
    <w:rsid w:val="00C65FF6"/>
    <w:rsid w:val="00C66172"/>
    <w:rsid w:val="00C80043"/>
    <w:rsid w:val="00C82EEB"/>
    <w:rsid w:val="00C8510F"/>
    <w:rsid w:val="00C87551"/>
    <w:rsid w:val="00C971DC"/>
    <w:rsid w:val="00CA16B7"/>
    <w:rsid w:val="00CA197B"/>
    <w:rsid w:val="00CA556A"/>
    <w:rsid w:val="00CA62AE"/>
    <w:rsid w:val="00CA719E"/>
    <w:rsid w:val="00CB4BB5"/>
    <w:rsid w:val="00CB5B1A"/>
    <w:rsid w:val="00CB7BA8"/>
    <w:rsid w:val="00CC220B"/>
    <w:rsid w:val="00CC2302"/>
    <w:rsid w:val="00CC2F74"/>
    <w:rsid w:val="00CC3E29"/>
    <w:rsid w:val="00CC5C43"/>
    <w:rsid w:val="00CC7448"/>
    <w:rsid w:val="00CD02AE"/>
    <w:rsid w:val="00CD2A4F"/>
    <w:rsid w:val="00CD2CB0"/>
    <w:rsid w:val="00CD32A8"/>
    <w:rsid w:val="00CD75CC"/>
    <w:rsid w:val="00CE03CA"/>
    <w:rsid w:val="00CE22F1"/>
    <w:rsid w:val="00CE2673"/>
    <w:rsid w:val="00CE3C3F"/>
    <w:rsid w:val="00CE50F2"/>
    <w:rsid w:val="00CE6502"/>
    <w:rsid w:val="00CE6F2E"/>
    <w:rsid w:val="00CF0B28"/>
    <w:rsid w:val="00CF0DE1"/>
    <w:rsid w:val="00CF2331"/>
    <w:rsid w:val="00CF7D3C"/>
    <w:rsid w:val="00D00644"/>
    <w:rsid w:val="00D01F09"/>
    <w:rsid w:val="00D10A5B"/>
    <w:rsid w:val="00D147EB"/>
    <w:rsid w:val="00D16E0A"/>
    <w:rsid w:val="00D20755"/>
    <w:rsid w:val="00D25B4C"/>
    <w:rsid w:val="00D26072"/>
    <w:rsid w:val="00D30506"/>
    <w:rsid w:val="00D34667"/>
    <w:rsid w:val="00D361ED"/>
    <w:rsid w:val="00D36385"/>
    <w:rsid w:val="00D37A4B"/>
    <w:rsid w:val="00D401E1"/>
    <w:rsid w:val="00D406B4"/>
    <w:rsid w:val="00D408B4"/>
    <w:rsid w:val="00D51742"/>
    <w:rsid w:val="00D524C8"/>
    <w:rsid w:val="00D53F9E"/>
    <w:rsid w:val="00D54187"/>
    <w:rsid w:val="00D55A83"/>
    <w:rsid w:val="00D64F84"/>
    <w:rsid w:val="00D66E90"/>
    <w:rsid w:val="00D70E24"/>
    <w:rsid w:val="00D7285B"/>
    <w:rsid w:val="00D729F4"/>
    <w:rsid w:val="00D72B61"/>
    <w:rsid w:val="00D77F34"/>
    <w:rsid w:val="00D8233E"/>
    <w:rsid w:val="00D953C5"/>
    <w:rsid w:val="00D95BCA"/>
    <w:rsid w:val="00D97C80"/>
    <w:rsid w:val="00DA0549"/>
    <w:rsid w:val="00DA3D1D"/>
    <w:rsid w:val="00DA7339"/>
    <w:rsid w:val="00DB2AA7"/>
    <w:rsid w:val="00DB46AC"/>
    <w:rsid w:val="00DB6286"/>
    <w:rsid w:val="00DB645F"/>
    <w:rsid w:val="00DB65B4"/>
    <w:rsid w:val="00DB76E9"/>
    <w:rsid w:val="00DC0A67"/>
    <w:rsid w:val="00DC12D5"/>
    <w:rsid w:val="00DC1D5E"/>
    <w:rsid w:val="00DC4BB9"/>
    <w:rsid w:val="00DC5220"/>
    <w:rsid w:val="00DD02BA"/>
    <w:rsid w:val="00DD2061"/>
    <w:rsid w:val="00DD39D1"/>
    <w:rsid w:val="00DD6017"/>
    <w:rsid w:val="00DD6718"/>
    <w:rsid w:val="00DD7DAB"/>
    <w:rsid w:val="00DE0BD5"/>
    <w:rsid w:val="00DE3355"/>
    <w:rsid w:val="00DE4164"/>
    <w:rsid w:val="00DE6AD6"/>
    <w:rsid w:val="00DF0C60"/>
    <w:rsid w:val="00DF32D9"/>
    <w:rsid w:val="00DF3C1B"/>
    <w:rsid w:val="00DF486F"/>
    <w:rsid w:val="00DF5B5B"/>
    <w:rsid w:val="00DF6A53"/>
    <w:rsid w:val="00DF7619"/>
    <w:rsid w:val="00E02542"/>
    <w:rsid w:val="00E03063"/>
    <w:rsid w:val="00E042D8"/>
    <w:rsid w:val="00E047F2"/>
    <w:rsid w:val="00E06E24"/>
    <w:rsid w:val="00E07EE7"/>
    <w:rsid w:val="00E1103B"/>
    <w:rsid w:val="00E13B08"/>
    <w:rsid w:val="00E15DB7"/>
    <w:rsid w:val="00E17B44"/>
    <w:rsid w:val="00E2026D"/>
    <w:rsid w:val="00E2075F"/>
    <w:rsid w:val="00E20F27"/>
    <w:rsid w:val="00E22443"/>
    <w:rsid w:val="00E22ED9"/>
    <w:rsid w:val="00E27FEA"/>
    <w:rsid w:val="00E3695D"/>
    <w:rsid w:val="00E40292"/>
    <w:rsid w:val="00E4086F"/>
    <w:rsid w:val="00E43B3C"/>
    <w:rsid w:val="00E44A7F"/>
    <w:rsid w:val="00E45215"/>
    <w:rsid w:val="00E475BE"/>
    <w:rsid w:val="00E50188"/>
    <w:rsid w:val="00E50BB3"/>
    <w:rsid w:val="00E515CB"/>
    <w:rsid w:val="00E52260"/>
    <w:rsid w:val="00E5564D"/>
    <w:rsid w:val="00E57D8B"/>
    <w:rsid w:val="00E632A9"/>
    <w:rsid w:val="00E639B6"/>
    <w:rsid w:val="00E6434B"/>
    <w:rsid w:val="00E6463D"/>
    <w:rsid w:val="00E67514"/>
    <w:rsid w:val="00E7064F"/>
    <w:rsid w:val="00E72E9B"/>
    <w:rsid w:val="00E74B7D"/>
    <w:rsid w:val="00E76DB8"/>
    <w:rsid w:val="00E80154"/>
    <w:rsid w:val="00E835DD"/>
    <w:rsid w:val="00E850C3"/>
    <w:rsid w:val="00E852ED"/>
    <w:rsid w:val="00E87069"/>
    <w:rsid w:val="00E87955"/>
    <w:rsid w:val="00E87DF2"/>
    <w:rsid w:val="00E9462E"/>
    <w:rsid w:val="00E950A4"/>
    <w:rsid w:val="00E96762"/>
    <w:rsid w:val="00EA43AC"/>
    <w:rsid w:val="00EA470E"/>
    <w:rsid w:val="00EA47A7"/>
    <w:rsid w:val="00EA57EB"/>
    <w:rsid w:val="00EA6067"/>
    <w:rsid w:val="00EA737B"/>
    <w:rsid w:val="00EB21B3"/>
    <w:rsid w:val="00EB3226"/>
    <w:rsid w:val="00EB5A24"/>
    <w:rsid w:val="00EB7B61"/>
    <w:rsid w:val="00EC213A"/>
    <w:rsid w:val="00EC2443"/>
    <w:rsid w:val="00EC7744"/>
    <w:rsid w:val="00EC7E40"/>
    <w:rsid w:val="00ED0093"/>
    <w:rsid w:val="00ED0DAD"/>
    <w:rsid w:val="00ED0F46"/>
    <w:rsid w:val="00ED2373"/>
    <w:rsid w:val="00ED383A"/>
    <w:rsid w:val="00ED5107"/>
    <w:rsid w:val="00ED71AC"/>
    <w:rsid w:val="00ED7230"/>
    <w:rsid w:val="00ED79D2"/>
    <w:rsid w:val="00EE375C"/>
    <w:rsid w:val="00EE3E8A"/>
    <w:rsid w:val="00EE4195"/>
    <w:rsid w:val="00EF2429"/>
    <w:rsid w:val="00EF58B8"/>
    <w:rsid w:val="00EF6502"/>
    <w:rsid w:val="00EF6ECA"/>
    <w:rsid w:val="00F024E1"/>
    <w:rsid w:val="00F03009"/>
    <w:rsid w:val="00F06C10"/>
    <w:rsid w:val="00F1096F"/>
    <w:rsid w:val="00F10A2E"/>
    <w:rsid w:val="00F12589"/>
    <w:rsid w:val="00F12595"/>
    <w:rsid w:val="00F13180"/>
    <w:rsid w:val="00F134D9"/>
    <w:rsid w:val="00F1403D"/>
    <w:rsid w:val="00F1463F"/>
    <w:rsid w:val="00F14888"/>
    <w:rsid w:val="00F21302"/>
    <w:rsid w:val="00F24A3C"/>
    <w:rsid w:val="00F24B78"/>
    <w:rsid w:val="00F271ED"/>
    <w:rsid w:val="00F30696"/>
    <w:rsid w:val="00F321DE"/>
    <w:rsid w:val="00F33777"/>
    <w:rsid w:val="00F367DA"/>
    <w:rsid w:val="00F375A2"/>
    <w:rsid w:val="00F403C5"/>
    <w:rsid w:val="00F40648"/>
    <w:rsid w:val="00F43CF5"/>
    <w:rsid w:val="00F46E54"/>
    <w:rsid w:val="00F47112"/>
    <w:rsid w:val="00F47DA2"/>
    <w:rsid w:val="00F519FC"/>
    <w:rsid w:val="00F54907"/>
    <w:rsid w:val="00F54AE7"/>
    <w:rsid w:val="00F54CFF"/>
    <w:rsid w:val="00F6239D"/>
    <w:rsid w:val="00F6445B"/>
    <w:rsid w:val="00F64697"/>
    <w:rsid w:val="00F66F9E"/>
    <w:rsid w:val="00F715D2"/>
    <w:rsid w:val="00F7274F"/>
    <w:rsid w:val="00F7346E"/>
    <w:rsid w:val="00F73DAA"/>
    <w:rsid w:val="00F7486C"/>
    <w:rsid w:val="00F74E84"/>
    <w:rsid w:val="00F76FA8"/>
    <w:rsid w:val="00F771F4"/>
    <w:rsid w:val="00F800BE"/>
    <w:rsid w:val="00F801A5"/>
    <w:rsid w:val="00F80A25"/>
    <w:rsid w:val="00F84FDF"/>
    <w:rsid w:val="00F85C86"/>
    <w:rsid w:val="00F918F6"/>
    <w:rsid w:val="00F93F08"/>
    <w:rsid w:val="00F94CED"/>
    <w:rsid w:val="00F95C4F"/>
    <w:rsid w:val="00FA0201"/>
    <w:rsid w:val="00FA02BB"/>
    <w:rsid w:val="00FA0478"/>
    <w:rsid w:val="00FA1E75"/>
    <w:rsid w:val="00FA2CEE"/>
    <w:rsid w:val="00FA318C"/>
    <w:rsid w:val="00FA5813"/>
    <w:rsid w:val="00FA5FA2"/>
    <w:rsid w:val="00FA7BF2"/>
    <w:rsid w:val="00FB1ED4"/>
    <w:rsid w:val="00FB30E1"/>
    <w:rsid w:val="00FB3ECC"/>
    <w:rsid w:val="00FB4C54"/>
    <w:rsid w:val="00FB5186"/>
    <w:rsid w:val="00FB6F92"/>
    <w:rsid w:val="00FB7859"/>
    <w:rsid w:val="00FC026E"/>
    <w:rsid w:val="00FC3787"/>
    <w:rsid w:val="00FC4A0D"/>
    <w:rsid w:val="00FC5124"/>
    <w:rsid w:val="00FD06B5"/>
    <w:rsid w:val="00FD13E2"/>
    <w:rsid w:val="00FD2091"/>
    <w:rsid w:val="00FD2E06"/>
    <w:rsid w:val="00FD3FB8"/>
    <w:rsid w:val="00FD4731"/>
    <w:rsid w:val="00FD51E0"/>
    <w:rsid w:val="00FD529D"/>
    <w:rsid w:val="00FD5A96"/>
    <w:rsid w:val="00FD6455"/>
    <w:rsid w:val="00FD6768"/>
    <w:rsid w:val="00FD68B3"/>
    <w:rsid w:val="00FD6FC2"/>
    <w:rsid w:val="00FD7BFD"/>
    <w:rsid w:val="00FE79BD"/>
    <w:rsid w:val="00FE7E72"/>
    <w:rsid w:val="00FF04B8"/>
    <w:rsid w:val="00FF0AB0"/>
    <w:rsid w:val="00FF28AC"/>
    <w:rsid w:val="00FF5281"/>
    <w:rsid w:val="00FF5384"/>
    <w:rsid w:val="00FF7F62"/>
    <w:rsid w:val="1174FE9E"/>
    <w:rsid w:val="71AFBEFF"/>
    <w:rsid w:val="7AE972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Bullet point,Bullets,CV text,列"/>
    <w:basedOn w:val="Normal"/>
    <w:link w:val="ListParagraphChar"/>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character" w:styleId="FootnoteReference">
    <w:name w:val="footnote reference"/>
    <w:basedOn w:val="DefaultParagraphFont"/>
    <w:unhideWhenUsed/>
    <w:rsid w:val="00D406B4"/>
    <w:rPr>
      <w:vertAlign w:val="superscript"/>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qFormat/>
    <w:locked/>
    <w:rsid w:val="00D406B4"/>
    <w:rPr>
      <w:rFonts w:ascii="Arial" w:hAnsi="Arial"/>
      <w:sz w:val="22"/>
      <w:szCs w:val="24"/>
      <w:lang w:eastAsia="en-US"/>
    </w:rPr>
  </w:style>
  <w:style w:type="paragraph" w:customStyle="1" w:styleId="Footnote">
    <w:name w:val="Footnote"/>
    <w:basedOn w:val="FootnoteText"/>
    <w:qFormat/>
    <w:rsid w:val="00D406B4"/>
    <w:pPr>
      <w:spacing w:after="0" w:line="240" w:lineRule="auto"/>
    </w:pPr>
    <w:rPr>
      <w:rFonts w:asciiTheme="minorHAnsi" w:eastAsia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74196848">
      <w:bodyDiv w:val="1"/>
      <w:marLeft w:val="0"/>
      <w:marRight w:val="0"/>
      <w:marTop w:val="0"/>
      <w:marBottom w:val="0"/>
      <w:divBdr>
        <w:top w:val="none" w:sz="0" w:space="0" w:color="auto"/>
        <w:left w:val="none" w:sz="0" w:space="0" w:color="auto"/>
        <w:bottom w:val="none" w:sz="0" w:space="0" w:color="auto"/>
        <w:right w:val="none" w:sz="0" w:space="0" w:color="auto"/>
      </w:divBdr>
    </w:div>
    <w:div w:id="160060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B0F4C356114F469139ECE2747A8ADD" ma:contentTypeVersion="5" ma:contentTypeDescription="Create a new document." ma:contentTypeScope="" ma:versionID="1426e6a3daaa00c8e9df65c3cc4ab40a">
  <xsd:schema xmlns:xsd="http://www.w3.org/2001/XMLSchema" xmlns:xs="http://www.w3.org/2001/XMLSchema" xmlns:p="http://schemas.microsoft.com/office/2006/metadata/properties" xmlns:ns2="8c0f4a16-1637-4367-9ae7-2153501b44e5" xmlns:ns3="74e2dfe5-f567-44c8-b760-92fdfb62b4f2" targetNamespace="http://schemas.microsoft.com/office/2006/metadata/properties" ma:root="true" ma:fieldsID="1385262566fd68c8d59ec333bba6c318" ns2:_="" ns3:_="">
    <xsd:import namespace="8c0f4a16-1637-4367-9ae7-2153501b44e5"/>
    <xsd:import namespace="74e2dfe5-f567-44c8-b760-92fdfb62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f4a16-1637-4367-9ae7-2153501b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2dfe5-f567-44c8-b760-92fdfb62b4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0F7D8D96-1081-4918-A8CC-C2BE1F0A7B4E}">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4e2dfe5-f567-44c8-b760-92fdfb62b4f2"/>
    <ds:schemaRef ds:uri="8c0f4a16-1637-4367-9ae7-2153501b44e5"/>
    <ds:schemaRef ds:uri="http://www.w3.org/XML/1998/namespace"/>
  </ds:schemaRefs>
</ds:datastoreItem>
</file>

<file path=customXml/itemProps3.xml><?xml version="1.0" encoding="utf-8"?>
<ds:datastoreItem xmlns:ds="http://schemas.openxmlformats.org/officeDocument/2006/customXml" ds:itemID="{8F0058EC-6203-462D-A604-CBFEACC6749A}">
  <ds:schemaRefs>
    <ds:schemaRef ds:uri="http://schemas.microsoft.com/sharepoint/v3/contenttype/forms"/>
  </ds:schemaRefs>
</ds:datastoreItem>
</file>

<file path=customXml/itemProps4.xml><?xml version="1.0" encoding="utf-8"?>
<ds:datastoreItem xmlns:ds="http://schemas.openxmlformats.org/officeDocument/2006/customXml" ds:itemID="{D3E50AB0-A9CA-4DEA-ABF8-0E77F03C1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f4a16-1637-4367-9ae7-2153501b44e5"/>
    <ds:schemaRef ds:uri="74e2dfe5-f567-44c8-b760-92fdfb62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8406</Characters>
  <Application>Microsoft Office Word</Application>
  <DocSecurity>0</DocSecurity>
  <Lines>70</Lines>
  <Paragraphs>19</Paragraphs>
  <ScaleCrop>false</ScaleCrop>
  <Manager/>
  <Company/>
  <LinksUpToDate>false</LinksUpToDate>
  <CharactersWithSpaces>9861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19 September 2023 meeting</dc:title>
  <dc:subject/>
  <dc:creator/>
  <cp:keywords>health technologies and digital health; health technology assessment policy and methods review;</cp:keywords>
  <dc:description/>
  <cp:lastModifiedBy/>
  <cp:revision>1</cp:revision>
  <dcterms:created xsi:type="dcterms:W3CDTF">2023-12-21T04:29:00Z</dcterms:created>
  <dcterms:modified xsi:type="dcterms:W3CDTF">2023-12-21T04:29:00Z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7097e22f93902b9e9c099168864c7b465231984cf0908f72321cb0e25778612a</vt:lpwstr>
  </property>
  <property fmtid="{D5CDD505-2E9C-101B-9397-08002B2CF9AE}" pid="3" name="ContentTypeId">
    <vt:lpwstr>0x010100C5B0F4C356114F469139ECE2747A8ADD</vt:lpwstr>
  </property>
</Properties>
</file>