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0447B7F0" w:rsidR="00BA2732" w:rsidRDefault="00584A34" w:rsidP="00D54674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54674">
      <w:pPr>
        <w:sectPr w:rsidR="008376E2" w:rsidRPr="008376E2" w:rsidSect="00125E0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5AADDBC1" w:rsidR="0054768D" w:rsidRDefault="0098122D" w:rsidP="00D54674">
      <w:pPr>
        <w:pStyle w:val="Heading2"/>
        <w:spacing w:line="276" w:lineRule="auto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3D007B">
        <w:t>1</w:t>
      </w:r>
      <w:r w:rsidR="00733DE3">
        <w:t xml:space="preserve"> </w:t>
      </w:r>
      <w:r w:rsidR="002D7CA3">
        <w:t>December</w:t>
      </w:r>
      <w:r w:rsidR="00733DE3">
        <w:t xml:space="preserve"> 2023</w:t>
      </w:r>
      <w:r w:rsidR="00FB30E1">
        <w:t xml:space="preserve"> </w:t>
      </w:r>
      <w:r w:rsidR="00FF5384">
        <w:t>meeting</w:t>
      </w:r>
    </w:p>
    <w:p w14:paraId="3D776C38" w14:textId="3DB0D31C" w:rsidR="00B666A3" w:rsidRDefault="00FF5384" w:rsidP="00D54674">
      <w:bookmarkStart w:id="0" w:name="_Hlk133588327"/>
      <w:r>
        <w:t>The Health Technology Assessment (HTA) Policy and Methods Review (Review) Reference Committee (Committee) met by video conference on</w:t>
      </w:r>
      <w:r w:rsidR="00B430B9">
        <w:t xml:space="preserve"> </w:t>
      </w:r>
      <w:r w:rsidR="002D7CA3">
        <w:t>1 December</w:t>
      </w:r>
      <w:r w:rsidR="00733DE3">
        <w:t xml:space="preserve"> 2023</w:t>
      </w:r>
      <w:r w:rsidR="0027064E">
        <w:t>.</w:t>
      </w:r>
    </w:p>
    <w:p w14:paraId="26565948" w14:textId="6D062E3F" w:rsidR="0027064E" w:rsidRPr="00D54674" w:rsidRDefault="0005576F" w:rsidP="00D54674">
      <w:pPr>
        <w:rPr>
          <w:b/>
          <w:bCs/>
        </w:rPr>
      </w:pPr>
      <w:r>
        <w:t>S</w:t>
      </w:r>
      <w:r w:rsidRPr="00FB30E1">
        <w:t>upport staff from the Review Secretariat in the Department</w:t>
      </w:r>
      <w:r w:rsidR="00215A97">
        <w:t xml:space="preserve"> of Health and Aged Care (Department)</w:t>
      </w:r>
      <w:r w:rsidRPr="00FB30E1">
        <w:t xml:space="preserve"> </w:t>
      </w:r>
      <w:bookmarkEnd w:id="0"/>
      <w:r w:rsidR="002D7CA3">
        <w:t xml:space="preserve">attended. </w:t>
      </w:r>
    </w:p>
    <w:p w14:paraId="361C50A3" w14:textId="21F7F740" w:rsidR="009E5F23" w:rsidRDefault="00FF5384" w:rsidP="00D54674">
      <w:pPr>
        <w:pStyle w:val="Heading3"/>
        <w:spacing w:line="276" w:lineRule="auto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204DA311" w14:textId="2B31C870" w:rsidR="00F4156D" w:rsidRDefault="003D007B" w:rsidP="00263116">
      <w:pPr>
        <w:pStyle w:val="Heading3"/>
        <w:spacing w:line="276" w:lineRule="auto"/>
      </w:pPr>
      <w:r w:rsidRPr="00263116">
        <w:t>Issues</w:t>
      </w:r>
      <w:r w:rsidRPr="003D007B">
        <w:t xml:space="preserve"> and options for reform </w:t>
      </w:r>
      <w:r w:rsidR="00734B81">
        <w:t xml:space="preserve">on </w:t>
      </w:r>
      <w:r w:rsidR="00734B81" w:rsidRPr="00734B81">
        <w:t xml:space="preserve">HTA </w:t>
      </w:r>
      <w:r w:rsidR="00734B81">
        <w:t>m</w:t>
      </w:r>
      <w:r w:rsidR="00734B81" w:rsidRPr="00734B81">
        <w:t xml:space="preserve">ethods used for identifying the population, intervention, comparator and outcome (PICO) of a health </w:t>
      </w:r>
      <w:proofErr w:type="gramStart"/>
      <w:r w:rsidR="00734B81" w:rsidRPr="00734B81">
        <w:t>technology</w:t>
      </w:r>
      <w:proofErr w:type="gramEnd"/>
      <w:r w:rsidR="00025F82">
        <w:t xml:space="preserve"> </w:t>
      </w:r>
    </w:p>
    <w:p w14:paraId="38C3A44B" w14:textId="302B2FE9" w:rsidR="00C434E0" w:rsidRDefault="00AC46D9" w:rsidP="00AC46D9">
      <w:r>
        <w:t xml:space="preserve">The Committee deliberated over issues and options from </w:t>
      </w:r>
      <w:r w:rsidR="0065384D">
        <w:t>considering</w:t>
      </w:r>
      <w:r w:rsidR="00997E59">
        <w:t xml:space="preserve"> the HTA expert research</w:t>
      </w:r>
      <w:r>
        <w:t xml:space="preserve"> paper on HTA methods used for identifying the </w:t>
      </w:r>
      <w:r w:rsidR="009C1CDD">
        <w:t xml:space="preserve">PICO of a health technology. The Committee recalled that the paper outlined different processes used to determine </w:t>
      </w:r>
      <w:r w:rsidR="009F000F">
        <w:t xml:space="preserve">the </w:t>
      </w:r>
      <w:r w:rsidR="009C1CDD">
        <w:t>PICO</w:t>
      </w:r>
      <w:r w:rsidR="00A92FD2">
        <w:t xml:space="preserve"> and how the PICO is used across comparable jurisdictions.</w:t>
      </w:r>
      <w:r w:rsidR="00C434E0">
        <w:t xml:space="preserve"> The Committee recalled that </w:t>
      </w:r>
      <w:r w:rsidR="006C5696">
        <w:t xml:space="preserve">some </w:t>
      </w:r>
      <w:r w:rsidR="00C434E0">
        <w:t xml:space="preserve">comparable jurisdictions either </w:t>
      </w:r>
      <w:r w:rsidR="00192C1A">
        <w:t>use a specific scoping phase to determine the PICO</w:t>
      </w:r>
      <w:r w:rsidR="00F448CE">
        <w:t xml:space="preserve"> (</w:t>
      </w:r>
      <w:proofErr w:type="gramStart"/>
      <w:r w:rsidR="00F448CE">
        <w:t>e.g.</w:t>
      </w:r>
      <w:proofErr w:type="gramEnd"/>
      <w:r w:rsidR="00F448CE">
        <w:t xml:space="preserve"> the UK and </w:t>
      </w:r>
      <w:r w:rsidR="001F1C21">
        <w:t>health technologies</w:t>
      </w:r>
      <w:r w:rsidR="00F448CE">
        <w:t xml:space="preserve"> considered by the Medical Services Advisory Committee)</w:t>
      </w:r>
      <w:r w:rsidR="00192C1A">
        <w:t xml:space="preserve"> or</w:t>
      </w:r>
      <w:r w:rsidR="00F448CE">
        <w:t xml:space="preserve"> </w:t>
      </w:r>
      <w:r w:rsidR="00D2333D">
        <w:t xml:space="preserve">rely on the sponsor to include the proposed PICO in </w:t>
      </w:r>
      <w:r w:rsidR="004664E4">
        <w:t xml:space="preserve">its </w:t>
      </w:r>
      <w:r w:rsidR="00D2333D">
        <w:t xml:space="preserve">HTA submission based on guidance from the HTA body </w:t>
      </w:r>
      <w:r w:rsidR="00F448CE">
        <w:t>(</w:t>
      </w:r>
      <w:r w:rsidR="00D2333D">
        <w:t>e.g. Canada</w:t>
      </w:r>
      <w:r w:rsidR="00C978FD">
        <w:t>,</w:t>
      </w:r>
      <w:r w:rsidR="00D2333D">
        <w:t xml:space="preserve"> </w:t>
      </w:r>
      <w:r w:rsidR="00F448CE">
        <w:t xml:space="preserve">and </w:t>
      </w:r>
      <w:r w:rsidR="001F1C21">
        <w:t>health technologies</w:t>
      </w:r>
      <w:r w:rsidR="00F448CE">
        <w:t xml:space="preserve"> considered by the Pharmaceutical Benefits Advisory Committee</w:t>
      </w:r>
      <w:r w:rsidR="00C978FD">
        <w:t xml:space="preserve"> (PBAC)</w:t>
      </w:r>
      <w:r w:rsidR="00F448CE">
        <w:t>)</w:t>
      </w:r>
      <w:r w:rsidR="00D2333D">
        <w:t>.</w:t>
      </w:r>
      <w:r w:rsidR="00F448CE">
        <w:t xml:space="preserve"> </w:t>
      </w:r>
    </w:p>
    <w:p w14:paraId="06BE5561" w14:textId="3C1A851F" w:rsidR="00AC46D9" w:rsidRDefault="00A92FD2" w:rsidP="00AC46D9">
      <w:r>
        <w:t>The Committee noted</w:t>
      </w:r>
      <w:r w:rsidR="00A4559A">
        <w:t xml:space="preserve"> key views of stakeholders based on</w:t>
      </w:r>
      <w:r>
        <w:t xml:space="preserve"> </w:t>
      </w:r>
      <w:r w:rsidR="00055075">
        <w:t xml:space="preserve">input received through Consultation 1 </w:t>
      </w:r>
      <w:r w:rsidR="007C1FE6">
        <w:t xml:space="preserve">including </w:t>
      </w:r>
      <w:r w:rsidR="00A4559A">
        <w:t xml:space="preserve">the perception </w:t>
      </w:r>
      <w:r w:rsidR="00055075">
        <w:t xml:space="preserve">that </w:t>
      </w:r>
      <w:r w:rsidR="00A4559A">
        <w:t>disagreement in the</w:t>
      </w:r>
      <w:r w:rsidR="00055075">
        <w:t xml:space="preserve"> PICO between a sponsor and </w:t>
      </w:r>
      <w:r w:rsidR="00416677">
        <w:t xml:space="preserve">committee </w:t>
      </w:r>
      <w:r w:rsidR="00055075">
        <w:t xml:space="preserve">may lengthen </w:t>
      </w:r>
      <w:r w:rsidR="007C1FE6">
        <w:t xml:space="preserve">the </w:t>
      </w:r>
      <w:r w:rsidR="00055075">
        <w:t xml:space="preserve">time to access, </w:t>
      </w:r>
      <w:r w:rsidR="00C434E0">
        <w:t xml:space="preserve">that </w:t>
      </w:r>
      <w:r w:rsidR="00A4559A">
        <w:t>elements of the PICO should be b</w:t>
      </w:r>
      <w:r w:rsidR="001F19B2">
        <w:t>r</w:t>
      </w:r>
      <w:r w:rsidR="00A4559A">
        <w:t>ought forward in the HTA process</w:t>
      </w:r>
      <w:r w:rsidR="00C434E0">
        <w:t xml:space="preserve"> and that there should be more transparency around the PICO </w:t>
      </w:r>
      <w:r w:rsidR="007C1FE6">
        <w:t>before</w:t>
      </w:r>
      <w:r w:rsidR="00C434E0">
        <w:t xml:space="preserve"> PBAC</w:t>
      </w:r>
      <w:r w:rsidR="00015988">
        <w:t>’s</w:t>
      </w:r>
      <w:r w:rsidR="00C434E0">
        <w:t xml:space="preserve"> consideration.</w:t>
      </w:r>
      <w:r w:rsidR="00A4559A">
        <w:t xml:space="preserve"> </w:t>
      </w:r>
    </w:p>
    <w:p w14:paraId="6C121D06" w14:textId="48681C71" w:rsidR="00BB7EE4" w:rsidRDefault="00D6228F" w:rsidP="4FAC47BC">
      <w:pPr>
        <w:rPr>
          <w:highlight w:val="yellow"/>
        </w:rPr>
      </w:pPr>
      <w:r>
        <w:t xml:space="preserve">The Committee discussed the PICO </w:t>
      </w:r>
      <w:r>
        <w:t xml:space="preserve">within the HTA process </w:t>
      </w:r>
      <w:r>
        <w:t xml:space="preserve">and each element of the PICO </w:t>
      </w:r>
      <w:r>
        <w:t xml:space="preserve">criteria </w:t>
      </w:r>
      <w:r>
        <w:t xml:space="preserve">including comparator and the need on clarity for comparator </w:t>
      </w:r>
      <w:r>
        <w:t>selection. The</w:t>
      </w:r>
      <w:r w:rsidR="00BB7EE4">
        <w:t xml:space="preserve"> Committee noted that </w:t>
      </w:r>
      <w:r w:rsidR="001F1C21">
        <w:t>the PICO criteria including its development and how it informs the evidence base of an HTA submission may impact the HTA recommendation</w:t>
      </w:r>
      <w:r w:rsidR="009A7349">
        <w:t xml:space="preserve"> a health technology may receive</w:t>
      </w:r>
      <w:r w:rsidR="001F1C21">
        <w:t xml:space="preserve"> and access for certain groups of patients. The Committee noted there was currently no mechanism to require the consideration of equity or </w:t>
      </w:r>
      <w:r w:rsidR="00114F49">
        <w:t xml:space="preserve">specific </w:t>
      </w:r>
      <w:r w:rsidR="001F1C21">
        <w:t xml:space="preserve">subpopulations within a submission. </w:t>
      </w:r>
    </w:p>
    <w:p w14:paraId="56FC9687" w14:textId="7DA7E1DE" w:rsidR="009A7349" w:rsidRPr="00AC46D9" w:rsidRDefault="000C09D2" w:rsidP="00AC46D9">
      <w:r>
        <w:t xml:space="preserve">The Committee discussed </w:t>
      </w:r>
      <w:proofErr w:type="gramStart"/>
      <w:r>
        <w:t>a number of</w:t>
      </w:r>
      <w:proofErr w:type="gramEnd"/>
      <w:r>
        <w:t xml:space="preserve"> potential options</w:t>
      </w:r>
      <w:r w:rsidR="005870E1">
        <w:t xml:space="preserve"> including in relation to</w:t>
      </w:r>
      <w:r>
        <w:t xml:space="preserve"> enhancing the understanding of PICO criteria,</w:t>
      </w:r>
      <w:r w:rsidR="00DB3AC8">
        <w:t xml:space="preserve"> stakeholder engagement in PICO determination, improving efficiency of PICO determination </w:t>
      </w:r>
      <w:r>
        <w:t>and improving e</w:t>
      </w:r>
      <w:r w:rsidRPr="000C09D2">
        <w:t xml:space="preserve">quity through consideration of </w:t>
      </w:r>
      <w:r w:rsidRPr="000C09D2">
        <w:lastRenderedPageBreak/>
        <w:t>health equity outcomes for priority populations</w:t>
      </w:r>
      <w:r>
        <w:t xml:space="preserve">. </w:t>
      </w:r>
      <w:r w:rsidR="005C5848" w:rsidRPr="005C5848">
        <w:t>The Committee agreed to further refine these options for the Consultation 2 Options Paper.</w:t>
      </w:r>
    </w:p>
    <w:p w14:paraId="0E9425A9" w14:textId="4C767BD4" w:rsidR="00AC46D9" w:rsidRDefault="00AC46D9" w:rsidP="00AC46D9">
      <w:pPr>
        <w:pStyle w:val="Heading3"/>
        <w:spacing w:line="276" w:lineRule="auto"/>
      </w:pPr>
      <w:r>
        <w:t xml:space="preserve">Issues and options for reform on horizon scanning </w:t>
      </w:r>
    </w:p>
    <w:p w14:paraId="78793F5A" w14:textId="6E0CE6BD" w:rsidR="00DB3AC8" w:rsidRDefault="00DB3AC8" w:rsidP="00DB3AC8">
      <w:r w:rsidRPr="00DB3AC8">
        <w:t xml:space="preserve">The Committee deliberated over issues and options from </w:t>
      </w:r>
      <w:r w:rsidR="00D9469F">
        <w:t>considering</w:t>
      </w:r>
      <w:r>
        <w:t xml:space="preserve"> horizon scanning within </w:t>
      </w:r>
      <w:r w:rsidRPr="00DB3AC8">
        <w:t xml:space="preserve">the HTA expert research paper on </w:t>
      </w:r>
      <w:r>
        <w:t>h</w:t>
      </w:r>
      <w:r w:rsidRPr="00DB3AC8">
        <w:t>orizon scanning and early value assessment.</w:t>
      </w:r>
      <w:r w:rsidR="00481AA9">
        <w:t xml:space="preserve"> The Committee recalled </w:t>
      </w:r>
      <w:r w:rsidR="00481AA9" w:rsidRPr="00481AA9">
        <w:t xml:space="preserve">that horizon scanning (in one form or another) is undertaken by </w:t>
      </w:r>
      <w:r w:rsidR="00F407EB">
        <w:t>some</w:t>
      </w:r>
      <w:r w:rsidR="00481AA9" w:rsidRPr="00481AA9">
        <w:t xml:space="preserve"> HTA </w:t>
      </w:r>
      <w:r w:rsidR="00481AA9">
        <w:t>and</w:t>
      </w:r>
      <w:r w:rsidR="00481AA9" w:rsidRPr="00481AA9">
        <w:t xml:space="preserve"> government agencies globally, and there are several inter-agency and cross-country collaborations in Europe and other regions. The Committee </w:t>
      </w:r>
      <w:r w:rsidR="00481AA9">
        <w:t>recalled</w:t>
      </w:r>
      <w:r w:rsidR="00481AA9" w:rsidRPr="00481AA9">
        <w:t xml:space="preserve"> that </w:t>
      </w:r>
      <w:r w:rsidR="005F302B">
        <w:t>most</w:t>
      </w:r>
      <w:r w:rsidR="005F302B" w:rsidRPr="005F302B">
        <w:t xml:space="preserve"> jurisdictions with </w:t>
      </w:r>
      <w:r w:rsidR="005F302B">
        <w:t>horizon scanning</w:t>
      </w:r>
      <w:r w:rsidR="005F302B" w:rsidRPr="005F302B">
        <w:t xml:space="preserve"> systems state that they use </w:t>
      </w:r>
      <w:r w:rsidR="005F302B">
        <w:t>horizon scanning for health system planning purposes</w:t>
      </w:r>
      <w:r w:rsidR="005F302B" w:rsidRPr="005F302B">
        <w:t xml:space="preserve"> </w:t>
      </w:r>
      <w:r w:rsidR="005F302B">
        <w:t xml:space="preserve">while some jurisdictions also utilise horizon scanning </w:t>
      </w:r>
      <w:r w:rsidR="005F302B" w:rsidRPr="005F302B">
        <w:t>for HTA and non-HTA purposes (</w:t>
      </w:r>
      <w:proofErr w:type="gramStart"/>
      <w:r w:rsidR="005F302B">
        <w:t>e.g.</w:t>
      </w:r>
      <w:proofErr w:type="gramEnd"/>
      <w:r w:rsidR="005F302B">
        <w:t xml:space="preserve"> </w:t>
      </w:r>
      <w:r w:rsidR="005F302B" w:rsidRPr="005F302B">
        <w:t>HTA pathway decision-making, price negotiations, reimbursement decisions and related decisions of government).</w:t>
      </w:r>
      <w:r w:rsidR="005F302B">
        <w:t xml:space="preserve"> The Committee recalled </w:t>
      </w:r>
      <w:r w:rsidR="00E67993">
        <w:t xml:space="preserve">that the paper found a lack of information and data on the actual impact of horizon scanning on health systems. </w:t>
      </w:r>
    </w:p>
    <w:p w14:paraId="6229F50D" w14:textId="51288A36" w:rsidR="00481AA9" w:rsidRDefault="00481AA9" w:rsidP="00DB3AC8">
      <w:r>
        <w:t>The Committee noted that Australia current</w:t>
      </w:r>
      <w:r w:rsidR="00BA559E">
        <w:t>ly</w:t>
      </w:r>
      <w:r>
        <w:t xml:space="preserve"> does not have a</w:t>
      </w:r>
      <w:r w:rsidRPr="00481AA9">
        <w:t xml:space="preserve"> nationally coordinated approach to horizon scanning </w:t>
      </w:r>
      <w:r>
        <w:t xml:space="preserve">to support HTA functions. </w:t>
      </w:r>
      <w:r w:rsidR="005010BA">
        <w:t>The Committee noted that input received through Consultation 1 indicated that stakeholders considered that horizon scanning could serve a number of purposes including identification of emerging</w:t>
      </w:r>
      <w:r w:rsidR="005010BA" w:rsidRPr="005010BA">
        <w:t xml:space="preserve"> </w:t>
      </w:r>
      <w:r w:rsidR="005010BA">
        <w:t xml:space="preserve">health </w:t>
      </w:r>
      <w:r w:rsidR="005010BA" w:rsidRPr="005010BA">
        <w:t>technologies in therapeutic areas</w:t>
      </w:r>
      <w:r w:rsidR="005010BA">
        <w:t>, identifying gaps in knowledge and data for certain health technologies</w:t>
      </w:r>
      <w:r w:rsidR="00B43AEE">
        <w:t>, informing HTA assessment pathways (and whether flexibility and modifications would be required)</w:t>
      </w:r>
      <w:r w:rsidR="005010BA">
        <w:t xml:space="preserve"> and </w:t>
      </w:r>
      <w:r w:rsidR="00B43AEE">
        <w:t xml:space="preserve">informing resource allocation and preparedness to support the adoption of new health technologies. </w:t>
      </w:r>
    </w:p>
    <w:p w14:paraId="32BC9586" w14:textId="0F0A417B" w:rsidR="00B43AEE" w:rsidRPr="00DB3AC8" w:rsidRDefault="002550CE" w:rsidP="00DB3AC8">
      <w:r>
        <w:t xml:space="preserve">The Committee discussed </w:t>
      </w:r>
      <w:r w:rsidR="000A31CA">
        <w:t>several</w:t>
      </w:r>
      <w:r>
        <w:t xml:space="preserve"> potential option</w:t>
      </w:r>
      <w:r w:rsidR="00BA559E">
        <w:t xml:space="preserve">s </w:t>
      </w:r>
      <w:r w:rsidR="000A31CA">
        <w:t>about</w:t>
      </w:r>
      <w:r w:rsidR="00BA559E">
        <w:t xml:space="preserve"> how horizon scanning could be conducted in Australia. </w:t>
      </w:r>
      <w:r w:rsidR="00BA559E" w:rsidRPr="00BA559E">
        <w:t>The Committee agreed to further refine these options for the Consultation 2 Options Paper.</w:t>
      </w:r>
    </w:p>
    <w:p w14:paraId="1C62EF49" w14:textId="667D50C2" w:rsidR="00734B81" w:rsidRDefault="00734B81" w:rsidP="00734B81">
      <w:pPr>
        <w:pStyle w:val="Heading3"/>
        <w:spacing w:line="276" w:lineRule="auto"/>
      </w:pPr>
      <w:r w:rsidRPr="00734B81">
        <w:t xml:space="preserve">Issues and options for reform on </w:t>
      </w:r>
      <w:r>
        <w:t xml:space="preserve">clinical evaluation methods in HTA </w:t>
      </w:r>
    </w:p>
    <w:p w14:paraId="3640D86C" w14:textId="2FDA177B" w:rsidR="00734B81" w:rsidRDefault="00BA559E" w:rsidP="00734B81">
      <w:r w:rsidRPr="00BA559E">
        <w:t xml:space="preserve">The Committee deliberated over issues and options from </w:t>
      </w:r>
      <w:r w:rsidR="00221573">
        <w:t>considering</w:t>
      </w:r>
      <w:r w:rsidRPr="00BA559E">
        <w:t xml:space="preserve"> the HTA expert research paper on </w:t>
      </w:r>
      <w:r>
        <w:t>clinical evaluation methods in HTA</w:t>
      </w:r>
      <w:r w:rsidRPr="00BA559E">
        <w:t>.</w:t>
      </w:r>
      <w:r w:rsidR="00C47E9E">
        <w:t xml:space="preserve"> The Committee recalled that the </w:t>
      </w:r>
      <w:r w:rsidR="00054C4C">
        <w:t xml:space="preserve">paper explored </w:t>
      </w:r>
      <w:r w:rsidR="00221573">
        <w:t>various</w:t>
      </w:r>
      <w:r w:rsidR="009F1C0F">
        <w:t xml:space="preserve"> </w:t>
      </w:r>
      <w:r w:rsidR="00054C4C">
        <w:t xml:space="preserve">methods </w:t>
      </w:r>
      <w:r w:rsidR="009F1C0F">
        <w:t xml:space="preserve">used </w:t>
      </w:r>
      <w:r w:rsidR="00726024">
        <w:t>for different purposes in HTA including evalua</w:t>
      </w:r>
      <w:r w:rsidR="001A5D61">
        <w:t xml:space="preserve">ting non-randomised evidence, surrogate outcomes, value frameworks and incorporating equity and stakeholder evidence. </w:t>
      </w:r>
      <w:r w:rsidR="00357D17">
        <w:t xml:space="preserve">The Committee recalled that the paper found </w:t>
      </w:r>
      <w:r w:rsidR="00357D17" w:rsidRPr="00357D17">
        <w:t xml:space="preserve">that most of Australia’s guidance on the clinical evaluation of health technologies is </w:t>
      </w:r>
      <w:proofErr w:type="gramStart"/>
      <w:r w:rsidR="00357D17" w:rsidRPr="00357D17">
        <w:t>similar to</w:t>
      </w:r>
      <w:proofErr w:type="gramEnd"/>
      <w:r w:rsidR="00357D17" w:rsidRPr="00357D17">
        <w:t xml:space="preserve"> comparable jurisdictions</w:t>
      </w:r>
      <w:r w:rsidR="00357D17">
        <w:t xml:space="preserve">. </w:t>
      </w:r>
    </w:p>
    <w:p w14:paraId="02C841DB" w14:textId="13AA2832" w:rsidR="00B42E31" w:rsidRPr="00734B81" w:rsidRDefault="00B42E31" w:rsidP="00734B81">
      <w:r>
        <w:t>The Committee noted that input received through Consultation 1 indicated that stakeholders</w:t>
      </w:r>
      <w:r w:rsidR="00B56046">
        <w:t xml:space="preserve"> considered that HTA should allow more flexibility in the evidence base, and greater acceptance of nonrandomised evidence such as real-world data and surrogate health outcomes. </w:t>
      </w:r>
      <w:r w:rsidR="00633B68">
        <w:t xml:space="preserve">The </w:t>
      </w:r>
      <w:r w:rsidR="00B169A8" w:rsidRPr="00B169A8">
        <w:t>Committee noted stakeholders' support for greater and earlier consumer perspectives being brought into the process (aligned with parallel work with the C</w:t>
      </w:r>
      <w:r w:rsidR="00633B68">
        <w:t xml:space="preserve">onsumer </w:t>
      </w:r>
      <w:r w:rsidR="00B169A8" w:rsidRPr="00B169A8">
        <w:t>E</w:t>
      </w:r>
      <w:r w:rsidR="00A47637">
        <w:t xml:space="preserve">vidence and </w:t>
      </w:r>
      <w:r w:rsidR="00B169A8" w:rsidRPr="00B169A8">
        <w:t>E</w:t>
      </w:r>
      <w:r w:rsidR="00A47637">
        <w:t xml:space="preserve">ngagement </w:t>
      </w:r>
      <w:r w:rsidR="00B169A8" w:rsidRPr="00B169A8">
        <w:t>U</w:t>
      </w:r>
      <w:r w:rsidR="00A47637">
        <w:t>nit</w:t>
      </w:r>
      <w:r w:rsidR="00B169A8" w:rsidRPr="00B169A8">
        <w:t>) and the merits of an explicit value framework that can reflect consumer and patient value</w:t>
      </w:r>
      <w:r w:rsidR="00E875F3" w:rsidRPr="00334F5D">
        <w:t>.</w:t>
      </w:r>
      <w:r w:rsidR="00E875F3">
        <w:t xml:space="preserve"> The Committee also noted that stakeholders </w:t>
      </w:r>
      <w:r w:rsidR="004C76B1">
        <w:t>perceived it was unclear</w:t>
      </w:r>
      <w:r w:rsidR="00E875F3">
        <w:t xml:space="preserve"> how evidence was being combined or weighted in reaching </w:t>
      </w:r>
      <w:r w:rsidR="00FC04BB">
        <w:t xml:space="preserve">recommendations </w:t>
      </w:r>
      <w:r w:rsidR="00E875F3">
        <w:t>about reimbursement/funding</w:t>
      </w:r>
      <w:r w:rsidR="004C76B1">
        <w:t>.</w:t>
      </w:r>
    </w:p>
    <w:p w14:paraId="13D3F3E7" w14:textId="5703A0B2" w:rsidR="00734B81" w:rsidRPr="00734B81" w:rsidRDefault="004C76B1" w:rsidP="00734B81">
      <w:r>
        <w:t xml:space="preserve">The Committee discussed </w:t>
      </w:r>
      <w:proofErr w:type="gramStart"/>
      <w:r>
        <w:t>a number of</w:t>
      </w:r>
      <w:proofErr w:type="gramEnd"/>
      <w:r>
        <w:t xml:space="preserve"> potential options </w:t>
      </w:r>
      <w:r w:rsidR="00221573">
        <w:t>about</w:t>
      </w:r>
      <w:r>
        <w:t xml:space="preserve"> </w:t>
      </w:r>
      <w:r w:rsidR="0027045B">
        <w:t xml:space="preserve">development of additional guidance on HTA methods and providing more clarity for stakeholders around how HTA </w:t>
      </w:r>
      <w:r w:rsidR="0027045B">
        <w:lastRenderedPageBreak/>
        <w:t xml:space="preserve">committees take into account different elements of a submission to reach a </w:t>
      </w:r>
      <w:r w:rsidR="0081216D">
        <w:t>recommendation.</w:t>
      </w:r>
      <w:r w:rsidR="0081216D" w:rsidRPr="00BA559E">
        <w:t xml:space="preserve"> The</w:t>
      </w:r>
      <w:r w:rsidRPr="00BA559E">
        <w:t xml:space="preserve"> Committee agreed to further refine these options for the Consultation 2 Options Paper.</w:t>
      </w:r>
    </w:p>
    <w:p w14:paraId="56B68911" w14:textId="2BA29C99" w:rsidR="0096777A" w:rsidRPr="0050783F" w:rsidRDefault="0096777A" w:rsidP="0050783F">
      <w:pPr>
        <w:pStyle w:val="Heading3"/>
        <w:spacing w:line="276" w:lineRule="auto"/>
      </w:pPr>
      <w:r w:rsidRPr="00763132">
        <w:t>Meeting close and next meeting</w:t>
      </w:r>
    </w:p>
    <w:p w14:paraId="77B14A51" w14:textId="077B1C41" w:rsidR="0096777A" w:rsidRDefault="0096777A" w:rsidP="00D54674">
      <w:pPr>
        <w:spacing w:after="0"/>
      </w:pPr>
      <w:r>
        <w:t xml:space="preserve">The Committee noted the next meeting will be held on </w:t>
      </w:r>
      <w:r w:rsidR="006A3125">
        <w:t>1</w:t>
      </w:r>
      <w:r w:rsidR="00734B81">
        <w:t>4</w:t>
      </w:r>
      <w:r w:rsidR="006A3125">
        <w:t xml:space="preserve"> </w:t>
      </w:r>
      <w:r w:rsidR="00F46EFD">
        <w:t>December</w:t>
      </w:r>
      <w:r w:rsidR="006A3125">
        <w:t xml:space="preserve"> 2023</w:t>
      </w:r>
      <w:r>
        <w:t>.</w:t>
      </w:r>
    </w:p>
    <w:p w14:paraId="0AEFE9C5" w14:textId="30E7E310" w:rsidR="00B430B9" w:rsidRDefault="00B430B9" w:rsidP="00D54674"/>
    <w:p w14:paraId="4AFEB501" w14:textId="77777777" w:rsidR="00B430B9" w:rsidRPr="00B430B9" w:rsidRDefault="00B430B9" w:rsidP="00D54674">
      <w:pPr>
        <w:jc w:val="center"/>
      </w:pPr>
    </w:p>
    <w:sectPr w:rsidR="00B430B9" w:rsidRPr="00B430B9" w:rsidSect="00C16C3C">
      <w:head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BFBE" w14:textId="77777777" w:rsidR="00A01975" w:rsidRDefault="00A01975" w:rsidP="006B56BB">
      <w:r>
        <w:separator/>
      </w:r>
    </w:p>
    <w:p w14:paraId="0C2FB0C5" w14:textId="77777777" w:rsidR="00A01975" w:rsidRDefault="00A01975"/>
  </w:endnote>
  <w:endnote w:type="continuationSeparator" w:id="0">
    <w:p w14:paraId="56BD5FD4" w14:textId="77777777" w:rsidR="00A01975" w:rsidRDefault="00A01975" w:rsidP="006B56BB">
      <w:r>
        <w:continuationSeparator/>
      </w:r>
    </w:p>
    <w:p w14:paraId="3A122321" w14:textId="77777777" w:rsidR="00A01975" w:rsidRDefault="00A01975"/>
  </w:endnote>
  <w:endnote w:type="continuationNotice" w:id="1">
    <w:p w14:paraId="2D21D8F7" w14:textId="77777777" w:rsidR="00A01975" w:rsidRDefault="00A01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15826939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1C3115">
      <w:rPr>
        <w:vanish/>
      </w:rPr>
      <w:t>1</w:t>
    </w:r>
    <w:r w:rsidR="00844A7A">
      <w:rPr>
        <w:vanish/>
      </w:rPr>
      <w:t xml:space="preserve"> </w:t>
    </w:r>
    <w:r w:rsidR="00A85E19">
      <w:rPr>
        <w:vanish/>
      </w:rPr>
      <w:t>December</w:t>
    </w:r>
    <w:r w:rsidR="001C3115">
      <w:rPr>
        <w:vanish/>
      </w:rPr>
      <w:t xml:space="preserve"> </w:t>
    </w:r>
    <w:r w:rsidR="00C16C3C" w:rsidRPr="00DB46AC">
      <w:rPr>
        <w:vanish/>
      </w:rPr>
      <w:t>2023</w:t>
    </w:r>
    <w:r w:rsidR="00DD6718">
      <w:rPr>
        <w:vanish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F5C5" w14:textId="77777777" w:rsidR="00A01975" w:rsidRDefault="00A01975" w:rsidP="006B56BB">
      <w:r>
        <w:separator/>
      </w:r>
    </w:p>
    <w:p w14:paraId="5A1F431B" w14:textId="77777777" w:rsidR="00A01975" w:rsidRDefault="00A01975"/>
  </w:footnote>
  <w:footnote w:type="continuationSeparator" w:id="0">
    <w:p w14:paraId="4AB04B48" w14:textId="77777777" w:rsidR="00A01975" w:rsidRDefault="00A01975" w:rsidP="006B56BB">
      <w:r>
        <w:continuationSeparator/>
      </w:r>
    </w:p>
    <w:p w14:paraId="6844DE7F" w14:textId="77777777" w:rsidR="00A01975" w:rsidRDefault="00A01975"/>
  </w:footnote>
  <w:footnote w:type="continuationNotice" w:id="1">
    <w:p w14:paraId="0E4138A7" w14:textId="77777777" w:rsidR="00A01975" w:rsidRDefault="00A01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D033C"/>
    <w:multiLevelType w:val="multilevel"/>
    <w:tmpl w:val="797277F6"/>
    <w:lvl w:ilvl="0">
      <w:start w:val="1"/>
      <w:numFmt w:val="decimal"/>
      <w:pStyle w:val="2-SectionHeading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pStyle w:val="3-BodyText"/>
      <w:lvlText w:val="%1.%2"/>
      <w:lvlJc w:val="left"/>
      <w:pPr>
        <w:ind w:left="720" w:hanging="720"/>
      </w:pPr>
      <w:rPr>
        <w:rFonts w:hint="default"/>
        <w:b w:val="0"/>
        <w:bCs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7"/>
  </w:num>
  <w:num w:numId="3" w16cid:durableId="1174151104">
    <w:abstractNumId w:val="34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3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7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5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4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1"/>
  </w:num>
  <w:num w:numId="29" w16cid:durableId="445542558">
    <w:abstractNumId w:val="25"/>
  </w:num>
  <w:num w:numId="30" w16cid:durableId="1446660131">
    <w:abstractNumId w:val="26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2"/>
  </w:num>
  <w:num w:numId="36" w16cid:durableId="1153453428">
    <w:abstractNumId w:val="29"/>
  </w:num>
  <w:num w:numId="37" w16cid:durableId="443351438">
    <w:abstractNumId w:val="30"/>
  </w:num>
  <w:num w:numId="38" w16cid:durableId="1918467615">
    <w:abstractNumId w:val="28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8"/>
  </w:num>
  <w:num w:numId="43" w16cid:durableId="2081516674">
    <w:abstractNumId w:val="15"/>
  </w:num>
  <w:num w:numId="44" w16cid:durableId="222910696">
    <w:abstractNumId w:val="28"/>
  </w:num>
  <w:num w:numId="45" w16cid:durableId="1287391142">
    <w:abstractNumId w:val="28"/>
  </w:num>
  <w:num w:numId="46" w16cid:durableId="36007459">
    <w:abstractNumId w:val="28"/>
  </w:num>
  <w:num w:numId="47" w16cid:durableId="1798834121">
    <w:abstractNumId w:val="28"/>
  </w:num>
  <w:num w:numId="48" w16cid:durableId="521021077">
    <w:abstractNumId w:val="28"/>
  </w:num>
  <w:num w:numId="49" w16cid:durableId="347024888">
    <w:abstractNumId w:val="36"/>
  </w:num>
  <w:num w:numId="50" w16cid:durableId="10602470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FD8"/>
    <w:rsid w:val="00010682"/>
    <w:rsid w:val="000117F8"/>
    <w:rsid w:val="00012E0F"/>
    <w:rsid w:val="0001460F"/>
    <w:rsid w:val="00014941"/>
    <w:rsid w:val="00015988"/>
    <w:rsid w:val="0001658B"/>
    <w:rsid w:val="00022629"/>
    <w:rsid w:val="00025F82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6FF0"/>
    <w:rsid w:val="00050176"/>
    <w:rsid w:val="00054C4C"/>
    <w:rsid w:val="00055075"/>
    <w:rsid w:val="0005576F"/>
    <w:rsid w:val="000615F5"/>
    <w:rsid w:val="00061F26"/>
    <w:rsid w:val="000633F0"/>
    <w:rsid w:val="00067456"/>
    <w:rsid w:val="00071506"/>
    <w:rsid w:val="0007154F"/>
    <w:rsid w:val="00073D9E"/>
    <w:rsid w:val="000763EA"/>
    <w:rsid w:val="00081181"/>
    <w:rsid w:val="00081AB1"/>
    <w:rsid w:val="00081F84"/>
    <w:rsid w:val="00086BBD"/>
    <w:rsid w:val="00090316"/>
    <w:rsid w:val="00093981"/>
    <w:rsid w:val="00095B2D"/>
    <w:rsid w:val="000961D8"/>
    <w:rsid w:val="000A31CA"/>
    <w:rsid w:val="000A3D13"/>
    <w:rsid w:val="000A5939"/>
    <w:rsid w:val="000B067A"/>
    <w:rsid w:val="000B1540"/>
    <w:rsid w:val="000B1E53"/>
    <w:rsid w:val="000B33FD"/>
    <w:rsid w:val="000B4ABA"/>
    <w:rsid w:val="000B6A5F"/>
    <w:rsid w:val="000C09D2"/>
    <w:rsid w:val="000C1240"/>
    <w:rsid w:val="000C243A"/>
    <w:rsid w:val="000C446A"/>
    <w:rsid w:val="000C4B16"/>
    <w:rsid w:val="000C50C3"/>
    <w:rsid w:val="000C5E14"/>
    <w:rsid w:val="000D21F6"/>
    <w:rsid w:val="000D4500"/>
    <w:rsid w:val="000D7AEA"/>
    <w:rsid w:val="000E2C66"/>
    <w:rsid w:val="000F06E0"/>
    <w:rsid w:val="000F123C"/>
    <w:rsid w:val="000F1E2C"/>
    <w:rsid w:val="000F2FED"/>
    <w:rsid w:val="001036DC"/>
    <w:rsid w:val="0010616D"/>
    <w:rsid w:val="00110478"/>
    <w:rsid w:val="00114698"/>
    <w:rsid w:val="00114F49"/>
    <w:rsid w:val="0011711B"/>
    <w:rsid w:val="00117F8A"/>
    <w:rsid w:val="00121B9B"/>
    <w:rsid w:val="00122ADC"/>
    <w:rsid w:val="00123F5C"/>
    <w:rsid w:val="00125E02"/>
    <w:rsid w:val="00130F59"/>
    <w:rsid w:val="0013353A"/>
    <w:rsid w:val="00133B30"/>
    <w:rsid w:val="00133CF4"/>
    <w:rsid w:val="00133EC0"/>
    <w:rsid w:val="00141CE5"/>
    <w:rsid w:val="00144908"/>
    <w:rsid w:val="00154755"/>
    <w:rsid w:val="00154B25"/>
    <w:rsid w:val="001571C7"/>
    <w:rsid w:val="001606E2"/>
    <w:rsid w:val="00161094"/>
    <w:rsid w:val="00175430"/>
    <w:rsid w:val="00175461"/>
    <w:rsid w:val="0017665C"/>
    <w:rsid w:val="00177AD2"/>
    <w:rsid w:val="001815A8"/>
    <w:rsid w:val="001824FD"/>
    <w:rsid w:val="001840FA"/>
    <w:rsid w:val="00186298"/>
    <w:rsid w:val="00190079"/>
    <w:rsid w:val="0019070C"/>
    <w:rsid w:val="00192C1A"/>
    <w:rsid w:val="001949D7"/>
    <w:rsid w:val="0019622E"/>
    <w:rsid w:val="001966A7"/>
    <w:rsid w:val="001A4627"/>
    <w:rsid w:val="001A4979"/>
    <w:rsid w:val="001A5D61"/>
    <w:rsid w:val="001B15D3"/>
    <w:rsid w:val="001B1D97"/>
    <w:rsid w:val="001B32A4"/>
    <w:rsid w:val="001B3443"/>
    <w:rsid w:val="001C0326"/>
    <w:rsid w:val="001C192F"/>
    <w:rsid w:val="001C3115"/>
    <w:rsid w:val="001C3372"/>
    <w:rsid w:val="001C3C42"/>
    <w:rsid w:val="001D7869"/>
    <w:rsid w:val="001E1BC6"/>
    <w:rsid w:val="001F19B2"/>
    <w:rsid w:val="001F1C21"/>
    <w:rsid w:val="001F492A"/>
    <w:rsid w:val="001F5BBD"/>
    <w:rsid w:val="00200C4E"/>
    <w:rsid w:val="002026CD"/>
    <w:rsid w:val="002033FC"/>
    <w:rsid w:val="002044BB"/>
    <w:rsid w:val="00210B09"/>
    <w:rsid w:val="00210C9E"/>
    <w:rsid w:val="00211840"/>
    <w:rsid w:val="00214352"/>
    <w:rsid w:val="00215A97"/>
    <w:rsid w:val="00217238"/>
    <w:rsid w:val="00220D40"/>
    <w:rsid w:val="00220E5F"/>
    <w:rsid w:val="002212B5"/>
    <w:rsid w:val="00221573"/>
    <w:rsid w:val="00224ADF"/>
    <w:rsid w:val="00226668"/>
    <w:rsid w:val="00232E39"/>
    <w:rsid w:val="00233809"/>
    <w:rsid w:val="00237E2B"/>
    <w:rsid w:val="00240046"/>
    <w:rsid w:val="0024324A"/>
    <w:rsid w:val="0024797F"/>
    <w:rsid w:val="0025119E"/>
    <w:rsid w:val="00251269"/>
    <w:rsid w:val="002534EA"/>
    <w:rsid w:val="002535C0"/>
    <w:rsid w:val="002550CE"/>
    <w:rsid w:val="002579FE"/>
    <w:rsid w:val="00263116"/>
    <w:rsid w:val="0026311C"/>
    <w:rsid w:val="0026668C"/>
    <w:rsid w:val="00266AC1"/>
    <w:rsid w:val="0027045B"/>
    <w:rsid w:val="0027064E"/>
    <w:rsid w:val="0027178C"/>
    <w:rsid w:val="002719FA"/>
    <w:rsid w:val="00272668"/>
    <w:rsid w:val="0027330B"/>
    <w:rsid w:val="0027415E"/>
    <w:rsid w:val="002803AD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7151"/>
    <w:rsid w:val="002A0AC8"/>
    <w:rsid w:val="002B1900"/>
    <w:rsid w:val="002B1F00"/>
    <w:rsid w:val="002B20E6"/>
    <w:rsid w:val="002B410F"/>
    <w:rsid w:val="002B42A3"/>
    <w:rsid w:val="002C0CDD"/>
    <w:rsid w:val="002C38C4"/>
    <w:rsid w:val="002C4196"/>
    <w:rsid w:val="002D0156"/>
    <w:rsid w:val="002D72A8"/>
    <w:rsid w:val="002D77FE"/>
    <w:rsid w:val="002D7CA3"/>
    <w:rsid w:val="002E1A1D"/>
    <w:rsid w:val="002E4081"/>
    <w:rsid w:val="002E5B78"/>
    <w:rsid w:val="002E6AC1"/>
    <w:rsid w:val="002E7A59"/>
    <w:rsid w:val="002F3AE3"/>
    <w:rsid w:val="002F4CEA"/>
    <w:rsid w:val="002F6346"/>
    <w:rsid w:val="0030464B"/>
    <w:rsid w:val="00305D17"/>
    <w:rsid w:val="0030786C"/>
    <w:rsid w:val="0031340F"/>
    <w:rsid w:val="00316D02"/>
    <w:rsid w:val="00317E67"/>
    <w:rsid w:val="00322BEE"/>
    <w:rsid w:val="003233DE"/>
    <w:rsid w:val="0032466B"/>
    <w:rsid w:val="00327F94"/>
    <w:rsid w:val="00330813"/>
    <w:rsid w:val="003330EB"/>
    <w:rsid w:val="00334F5D"/>
    <w:rsid w:val="003415FD"/>
    <w:rsid w:val="003429F0"/>
    <w:rsid w:val="00345A82"/>
    <w:rsid w:val="0035097A"/>
    <w:rsid w:val="00352580"/>
    <w:rsid w:val="00352610"/>
    <w:rsid w:val="003540A4"/>
    <w:rsid w:val="0035728E"/>
    <w:rsid w:val="003574ED"/>
    <w:rsid w:val="00357BCC"/>
    <w:rsid w:val="00357D17"/>
    <w:rsid w:val="00360E4E"/>
    <w:rsid w:val="00367589"/>
    <w:rsid w:val="00367CAE"/>
    <w:rsid w:val="00370AAA"/>
    <w:rsid w:val="00371345"/>
    <w:rsid w:val="00373460"/>
    <w:rsid w:val="00373CEA"/>
    <w:rsid w:val="00374622"/>
    <w:rsid w:val="00375F77"/>
    <w:rsid w:val="003771DB"/>
    <w:rsid w:val="00381BBE"/>
    <w:rsid w:val="00382903"/>
    <w:rsid w:val="00382DA6"/>
    <w:rsid w:val="003846FF"/>
    <w:rsid w:val="003857D4"/>
    <w:rsid w:val="00385AD4"/>
    <w:rsid w:val="00387924"/>
    <w:rsid w:val="00392CBB"/>
    <w:rsid w:val="0039384D"/>
    <w:rsid w:val="00395C23"/>
    <w:rsid w:val="0039607C"/>
    <w:rsid w:val="00396F54"/>
    <w:rsid w:val="0039733A"/>
    <w:rsid w:val="003A2E4F"/>
    <w:rsid w:val="003A2F0B"/>
    <w:rsid w:val="003A4438"/>
    <w:rsid w:val="003A5013"/>
    <w:rsid w:val="003A5078"/>
    <w:rsid w:val="003A5ED6"/>
    <w:rsid w:val="003A62DD"/>
    <w:rsid w:val="003A775A"/>
    <w:rsid w:val="003B213A"/>
    <w:rsid w:val="003B43AD"/>
    <w:rsid w:val="003C0FEC"/>
    <w:rsid w:val="003C2AC8"/>
    <w:rsid w:val="003C337D"/>
    <w:rsid w:val="003D007B"/>
    <w:rsid w:val="003D033A"/>
    <w:rsid w:val="003D17F9"/>
    <w:rsid w:val="003D2D88"/>
    <w:rsid w:val="003D41EA"/>
    <w:rsid w:val="003D4850"/>
    <w:rsid w:val="003D535A"/>
    <w:rsid w:val="003D735B"/>
    <w:rsid w:val="003E3F78"/>
    <w:rsid w:val="003E5265"/>
    <w:rsid w:val="003F0955"/>
    <w:rsid w:val="003F360D"/>
    <w:rsid w:val="003F5F4D"/>
    <w:rsid w:val="003F646F"/>
    <w:rsid w:val="00400989"/>
    <w:rsid w:val="00400F00"/>
    <w:rsid w:val="00402993"/>
    <w:rsid w:val="00404F8B"/>
    <w:rsid w:val="00405256"/>
    <w:rsid w:val="00410031"/>
    <w:rsid w:val="00415C81"/>
    <w:rsid w:val="00416677"/>
    <w:rsid w:val="004205D8"/>
    <w:rsid w:val="004249B5"/>
    <w:rsid w:val="004270DB"/>
    <w:rsid w:val="00432378"/>
    <w:rsid w:val="00436C3F"/>
    <w:rsid w:val="0043703D"/>
    <w:rsid w:val="00440411"/>
    <w:rsid w:val="00440D65"/>
    <w:rsid w:val="004430EB"/>
    <w:rsid w:val="004435E6"/>
    <w:rsid w:val="00447E31"/>
    <w:rsid w:val="00453923"/>
    <w:rsid w:val="00454B9B"/>
    <w:rsid w:val="00457858"/>
    <w:rsid w:val="00457E46"/>
    <w:rsid w:val="00460B0B"/>
    <w:rsid w:val="00461023"/>
    <w:rsid w:val="00462FAC"/>
    <w:rsid w:val="00463B4A"/>
    <w:rsid w:val="00464631"/>
    <w:rsid w:val="00464B79"/>
    <w:rsid w:val="00464BB5"/>
    <w:rsid w:val="00465A9B"/>
    <w:rsid w:val="004664E4"/>
    <w:rsid w:val="00467BBF"/>
    <w:rsid w:val="00481AA9"/>
    <w:rsid w:val="00482917"/>
    <w:rsid w:val="0048593C"/>
    <w:rsid w:val="004867E2"/>
    <w:rsid w:val="004929A9"/>
    <w:rsid w:val="00492D44"/>
    <w:rsid w:val="004935AB"/>
    <w:rsid w:val="004964FD"/>
    <w:rsid w:val="00497C82"/>
    <w:rsid w:val="004A5755"/>
    <w:rsid w:val="004A5D18"/>
    <w:rsid w:val="004A78D9"/>
    <w:rsid w:val="004B1579"/>
    <w:rsid w:val="004B3586"/>
    <w:rsid w:val="004B4E87"/>
    <w:rsid w:val="004B5A85"/>
    <w:rsid w:val="004B7A88"/>
    <w:rsid w:val="004B7CA4"/>
    <w:rsid w:val="004C10CF"/>
    <w:rsid w:val="004C3439"/>
    <w:rsid w:val="004C458A"/>
    <w:rsid w:val="004C66CD"/>
    <w:rsid w:val="004C6B8D"/>
    <w:rsid w:val="004C6BCF"/>
    <w:rsid w:val="004C76B1"/>
    <w:rsid w:val="004D2DEE"/>
    <w:rsid w:val="004D58BF"/>
    <w:rsid w:val="004D672B"/>
    <w:rsid w:val="004E055F"/>
    <w:rsid w:val="004E4335"/>
    <w:rsid w:val="004E621B"/>
    <w:rsid w:val="004F0452"/>
    <w:rsid w:val="004F13EE"/>
    <w:rsid w:val="004F2022"/>
    <w:rsid w:val="004F7C05"/>
    <w:rsid w:val="00500ECD"/>
    <w:rsid w:val="005010BA"/>
    <w:rsid w:val="00501C94"/>
    <w:rsid w:val="00503A88"/>
    <w:rsid w:val="00506432"/>
    <w:rsid w:val="0050783F"/>
    <w:rsid w:val="005176A0"/>
    <w:rsid w:val="0052051D"/>
    <w:rsid w:val="005206FE"/>
    <w:rsid w:val="00521B11"/>
    <w:rsid w:val="00522825"/>
    <w:rsid w:val="0052599D"/>
    <w:rsid w:val="005266FF"/>
    <w:rsid w:val="005308B0"/>
    <w:rsid w:val="00533C31"/>
    <w:rsid w:val="00534E91"/>
    <w:rsid w:val="005405E7"/>
    <w:rsid w:val="00545EE6"/>
    <w:rsid w:val="00546ED7"/>
    <w:rsid w:val="0054768D"/>
    <w:rsid w:val="005476D0"/>
    <w:rsid w:val="0055152C"/>
    <w:rsid w:val="0055161D"/>
    <w:rsid w:val="0055389A"/>
    <w:rsid w:val="005550E7"/>
    <w:rsid w:val="005564FB"/>
    <w:rsid w:val="005572C7"/>
    <w:rsid w:val="00561322"/>
    <w:rsid w:val="005622C2"/>
    <w:rsid w:val="005650ED"/>
    <w:rsid w:val="00575754"/>
    <w:rsid w:val="00581FBA"/>
    <w:rsid w:val="00584A34"/>
    <w:rsid w:val="005870E1"/>
    <w:rsid w:val="0058736B"/>
    <w:rsid w:val="0059100E"/>
    <w:rsid w:val="00591E20"/>
    <w:rsid w:val="0059456A"/>
    <w:rsid w:val="00595408"/>
    <w:rsid w:val="00595E84"/>
    <w:rsid w:val="005A0C59"/>
    <w:rsid w:val="005A1ED4"/>
    <w:rsid w:val="005A31A9"/>
    <w:rsid w:val="005A3AB3"/>
    <w:rsid w:val="005A48EB"/>
    <w:rsid w:val="005A4E59"/>
    <w:rsid w:val="005A68D9"/>
    <w:rsid w:val="005A6CFB"/>
    <w:rsid w:val="005B44D5"/>
    <w:rsid w:val="005B62D5"/>
    <w:rsid w:val="005C23BF"/>
    <w:rsid w:val="005C5848"/>
    <w:rsid w:val="005C5AEB"/>
    <w:rsid w:val="005C6262"/>
    <w:rsid w:val="005D3142"/>
    <w:rsid w:val="005E0A3F"/>
    <w:rsid w:val="005E589A"/>
    <w:rsid w:val="005E5A96"/>
    <w:rsid w:val="005E6883"/>
    <w:rsid w:val="005E772F"/>
    <w:rsid w:val="005F302B"/>
    <w:rsid w:val="005F4ECA"/>
    <w:rsid w:val="0060326B"/>
    <w:rsid w:val="006041BE"/>
    <w:rsid w:val="006043C7"/>
    <w:rsid w:val="00605E53"/>
    <w:rsid w:val="00624B52"/>
    <w:rsid w:val="00625955"/>
    <w:rsid w:val="00630058"/>
    <w:rsid w:val="00630794"/>
    <w:rsid w:val="006309D5"/>
    <w:rsid w:val="00631DF4"/>
    <w:rsid w:val="00632489"/>
    <w:rsid w:val="00632CD6"/>
    <w:rsid w:val="00633B68"/>
    <w:rsid w:val="00634175"/>
    <w:rsid w:val="006408AC"/>
    <w:rsid w:val="00640967"/>
    <w:rsid w:val="00641EDC"/>
    <w:rsid w:val="00647C0F"/>
    <w:rsid w:val="006511B6"/>
    <w:rsid w:val="00653731"/>
    <w:rsid w:val="0065384D"/>
    <w:rsid w:val="0065423D"/>
    <w:rsid w:val="00657FF8"/>
    <w:rsid w:val="00670D99"/>
    <w:rsid w:val="00670E2B"/>
    <w:rsid w:val="006734BB"/>
    <w:rsid w:val="0067697A"/>
    <w:rsid w:val="0068134A"/>
    <w:rsid w:val="006821EB"/>
    <w:rsid w:val="00694260"/>
    <w:rsid w:val="006A3125"/>
    <w:rsid w:val="006B2286"/>
    <w:rsid w:val="006B2D67"/>
    <w:rsid w:val="006B56BB"/>
    <w:rsid w:val="006B56FB"/>
    <w:rsid w:val="006C5696"/>
    <w:rsid w:val="006C77A8"/>
    <w:rsid w:val="006D4098"/>
    <w:rsid w:val="006D7681"/>
    <w:rsid w:val="006D7B2E"/>
    <w:rsid w:val="006E02EA"/>
    <w:rsid w:val="006E0968"/>
    <w:rsid w:val="006E2AF6"/>
    <w:rsid w:val="006E33F0"/>
    <w:rsid w:val="00701275"/>
    <w:rsid w:val="00701D8C"/>
    <w:rsid w:val="00705342"/>
    <w:rsid w:val="007055AA"/>
    <w:rsid w:val="00707F56"/>
    <w:rsid w:val="007105F8"/>
    <w:rsid w:val="00713558"/>
    <w:rsid w:val="00720D08"/>
    <w:rsid w:val="007234A9"/>
    <w:rsid w:val="00726024"/>
    <w:rsid w:val="0072610E"/>
    <w:rsid w:val="007263B9"/>
    <w:rsid w:val="00730E51"/>
    <w:rsid w:val="00731DB7"/>
    <w:rsid w:val="007334F8"/>
    <w:rsid w:val="007339CD"/>
    <w:rsid w:val="00733DE3"/>
    <w:rsid w:val="00734B81"/>
    <w:rsid w:val="007359D8"/>
    <w:rsid w:val="007362D4"/>
    <w:rsid w:val="007369F8"/>
    <w:rsid w:val="007375FA"/>
    <w:rsid w:val="00740951"/>
    <w:rsid w:val="0074120B"/>
    <w:rsid w:val="0074241C"/>
    <w:rsid w:val="00751DA7"/>
    <w:rsid w:val="00761942"/>
    <w:rsid w:val="00763132"/>
    <w:rsid w:val="007652D5"/>
    <w:rsid w:val="0076672A"/>
    <w:rsid w:val="007721B1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602B"/>
    <w:rsid w:val="007A6FE2"/>
    <w:rsid w:val="007B00F4"/>
    <w:rsid w:val="007B1760"/>
    <w:rsid w:val="007B4017"/>
    <w:rsid w:val="007C16E8"/>
    <w:rsid w:val="007C1D76"/>
    <w:rsid w:val="007C1FDC"/>
    <w:rsid w:val="007C1FE6"/>
    <w:rsid w:val="007C6D9C"/>
    <w:rsid w:val="007C7DDB"/>
    <w:rsid w:val="007D2CC7"/>
    <w:rsid w:val="007D673D"/>
    <w:rsid w:val="007E0F92"/>
    <w:rsid w:val="007E41C2"/>
    <w:rsid w:val="007E4D09"/>
    <w:rsid w:val="007F2220"/>
    <w:rsid w:val="007F2FC3"/>
    <w:rsid w:val="007F3D7E"/>
    <w:rsid w:val="007F4435"/>
    <w:rsid w:val="007F4AB2"/>
    <w:rsid w:val="007F4B3E"/>
    <w:rsid w:val="00810CE3"/>
    <w:rsid w:val="0081216D"/>
    <w:rsid w:val="008127AF"/>
    <w:rsid w:val="00812B46"/>
    <w:rsid w:val="0081521E"/>
    <w:rsid w:val="00815700"/>
    <w:rsid w:val="0082517A"/>
    <w:rsid w:val="008264EB"/>
    <w:rsid w:val="00826B8F"/>
    <w:rsid w:val="00826DBE"/>
    <w:rsid w:val="00831E8A"/>
    <w:rsid w:val="008321D7"/>
    <w:rsid w:val="00835BDE"/>
    <w:rsid w:val="00835C76"/>
    <w:rsid w:val="008376E2"/>
    <w:rsid w:val="00843049"/>
    <w:rsid w:val="00844A7A"/>
    <w:rsid w:val="0084543B"/>
    <w:rsid w:val="008501AD"/>
    <w:rsid w:val="008513C1"/>
    <w:rsid w:val="00851925"/>
    <w:rsid w:val="0085209B"/>
    <w:rsid w:val="00853A69"/>
    <w:rsid w:val="00855512"/>
    <w:rsid w:val="00856B66"/>
    <w:rsid w:val="008601AC"/>
    <w:rsid w:val="00861A5F"/>
    <w:rsid w:val="008644AD"/>
    <w:rsid w:val="00865735"/>
    <w:rsid w:val="00865DDB"/>
    <w:rsid w:val="00866394"/>
    <w:rsid w:val="00867538"/>
    <w:rsid w:val="00872891"/>
    <w:rsid w:val="00873D90"/>
    <w:rsid w:val="00873FC8"/>
    <w:rsid w:val="00884C63"/>
    <w:rsid w:val="00885908"/>
    <w:rsid w:val="00885F8E"/>
    <w:rsid w:val="0088600B"/>
    <w:rsid w:val="008864B7"/>
    <w:rsid w:val="0089677E"/>
    <w:rsid w:val="008A2A70"/>
    <w:rsid w:val="008A7438"/>
    <w:rsid w:val="008B001B"/>
    <w:rsid w:val="008B1334"/>
    <w:rsid w:val="008B19BA"/>
    <w:rsid w:val="008B25C7"/>
    <w:rsid w:val="008B7DD6"/>
    <w:rsid w:val="008C0278"/>
    <w:rsid w:val="008C24E9"/>
    <w:rsid w:val="008C4B41"/>
    <w:rsid w:val="008C66D4"/>
    <w:rsid w:val="008C79CF"/>
    <w:rsid w:val="008D0533"/>
    <w:rsid w:val="008D42CB"/>
    <w:rsid w:val="008D48C9"/>
    <w:rsid w:val="008D6381"/>
    <w:rsid w:val="008E0C77"/>
    <w:rsid w:val="008E0D82"/>
    <w:rsid w:val="008E15B0"/>
    <w:rsid w:val="008E625F"/>
    <w:rsid w:val="008F09B0"/>
    <w:rsid w:val="008F264D"/>
    <w:rsid w:val="009007A3"/>
    <w:rsid w:val="009040E9"/>
    <w:rsid w:val="00904E9C"/>
    <w:rsid w:val="009074E1"/>
    <w:rsid w:val="009112F7"/>
    <w:rsid w:val="009122AF"/>
    <w:rsid w:val="00912322"/>
    <w:rsid w:val="00912D54"/>
    <w:rsid w:val="0091389F"/>
    <w:rsid w:val="00914973"/>
    <w:rsid w:val="00915B49"/>
    <w:rsid w:val="009163ED"/>
    <w:rsid w:val="00917ECF"/>
    <w:rsid w:val="009208F7"/>
    <w:rsid w:val="00921649"/>
    <w:rsid w:val="00922517"/>
    <w:rsid w:val="00922722"/>
    <w:rsid w:val="00925938"/>
    <w:rsid w:val="009261E6"/>
    <w:rsid w:val="009268E1"/>
    <w:rsid w:val="009326E9"/>
    <w:rsid w:val="009344DE"/>
    <w:rsid w:val="0094131C"/>
    <w:rsid w:val="00942553"/>
    <w:rsid w:val="00945E7F"/>
    <w:rsid w:val="0095095B"/>
    <w:rsid w:val="00952F7C"/>
    <w:rsid w:val="0095344B"/>
    <w:rsid w:val="00953517"/>
    <w:rsid w:val="009557C1"/>
    <w:rsid w:val="00955905"/>
    <w:rsid w:val="009570B4"/>
    <w:rsid w:val="00957C23"/>
    <w:rsid w:val="00960D6E"/>
    <w:rsid w:val="0096777A"/>
    <w:rsid w:val="00970A95"/>
    <w:rsid w:val="00970AFB"/>
    <w:rsid w:val="009724AB"/>
    <w:rsid w:val="00974B59"/>
    <w:rsid w:val="009756AD"/>
    <w:rsid w:val="00976C03"/>
    <w:rsid w:val="0098047C"/>
    <w:rsid w:val="0098122D"/>
    <w:rsid w:val="0098340B"/>
    <w:rsid w:val="009839FE"/>
    <w:rsid w:val="00983F0B"/>
    <w:rsid w:val="00986830"/>
    <w:rsid w:val="009924C3"/>
    <w:rsid w:val="00993102"/>
    <w:rsid w:val="00997E59"/>
    <w:rsid w:val="009A7349"/>
    <w:rsid w:val="009A7DA8"/>
    <w:rsid w:val="009B1570"/>
    <w:rsid w:val="009B3BF9"/>
    <w:rsid w:val="009C1CDD"/>
    <w:rsid w:val="009C5F99"/>
    <w:rsid w:val="009C6F10"/>
    <w:rsid w:val="009D148F"/>
    <w:rsid w:val="009D3D70"/>
    <w:rsid w:val="009D580B"/>
    <w:rsid w:val="009D7D2A"/>
    <w:rsid w:val="009E1CD5"/>
    <w:rsid w:val="009E5F23"/>
    <w:rsid w:val="009E6F7E"/>
    <w:rsid w:val="009E7A57"/>
    <w:rsid w:val="009F000F"/>
    <w:rsid w:val="009F035C"/>
    <w:rsid w:val="009F1C0F"/>
    <w:rsid w:val="009F3B91"/>
    <w:rsid w:val="009F4803"/>
    <w:rsid w:val="009F4F6A"/>
    <w:rsid w:val="00A01975"/>
    <w:rsid w:val="00A11C39"/>
    <w:rsid w:val="00A13EB5"/>
    <w:rsid w:val="00A15A3E"/>
    <w:rsid w:val="00A15D6D"/>
    <w:rsid w:val="00A16E36"/>
    <w:rsid w:val="00A24961"/>
    <w:rsid w:val="00A24B10"/>
    <w:rsid w:val="00A277EF"/>
    <w:rsid w:val="00A279A9"/>
    <w:rsid w:val="00A30E9B"/>
    <w:rsid w:val="00A35263"/>
    <w:rsid w:val="00A36100"/>
    <w:rsid w:val="00A36C62"/>
    <w:rsid w:val="00A415AC"/>
    <w:rsid w:val="00A4512D"/>
    <w:rsid w:val="00A4559A"/>
    <w:rsid w:val="00A47637"/>
    <w:rsid w:val="00A50244"/>
    <w:rsid w:val="00A5212B"/>
    <w:rsid w:val="00A61018"/>
    <w:rsid w:val="00A627D7"/>
    <w:rsid w:val="00A656C7"/>
    <w:rsid w:val="00A66B57"/>
    <w:rsid w:val="00A67A5F"/>
    <w:rsid w:val="00A705AF"/>
    <w:rsid w:val="00A71954"/>
    <w:rsid w:val="00A72454"/>
    <w:rsid w:val="00A763CC"/>
    <w:rsid w:val="00A77696"/>
    <w:rsid w:val="00A77F2A"/>
    <w:rsid w:val="00A80557"/>
    <w:rsid w:val="00A805CF"/>
    <w:rsid w:val="00A81D33"/>
    <w:rsid w:val="00A8341C"/>
    <w:rsid w:val="00A85E19"/>
    <w:rsid w:val="00A86A64"/>
    <w:rsid w:val="00A92A6F"/>
    <w:rsid w:val="00A92FD2"/>
    <w:rsid w:val="00A930AE"/>
    <w:rsid w:val="00A9711C"/>
    <w:rsid w:val="00AA1A95"/>
    <w:rsid w:val="00AA2344"/>
    <w:rsid w:val="00AA260F"/>
    <w:rsid w:val="00AA79F5"/>
    <w:rsid w:val="00AB1535"/>
    <w:rsid w:val="00AB1B1A"/>
    <w:rsid w:val="00AB1EE7"/>
    <w:rsid w:val="00AB4B37"/>
    <w:rsid w:val="00AB5762"/>
    <w:rsid w:val="00AC24B7"/>
    <w:rsid w:val="00AC2679"/>
    <w:rsid w:val="00AC2715"/>
    <w:rsid w:val="00AC46D9"/>
    <w:rsid w:val="00AC4BE4"/>
    <w:rsid w:val="00AC5F00"/>
    <w:rsid w:val="00AD0282"/>
    <w:rsid w:val="00AD05E6"/>
    <w:rsid w:val="00AD0D3F"/>
    <w:rsid w:val="00AD1865"/>
    <w:rsid w:val="00AD2F29"/>
    <w:rsid w:val="00AE1D7D"/>
    <w:rsid w:val="00AE2A8B"/>
    <w:rsid w:val="00AE3F64"/>
    <w:rsid w:val="00AF02EC"/>
    <w:rsid w:val="00AF4687"/>
    <w:rsid w:val="00AF7386"/>
    <w:rsid w:val="00AF7934"/>
    <w:rsid w:val="00B00B81"/>
    <w:rsid w:val="00B01F9F"/>
    <w:rsid w:val="00B04580"/>
    <w:rsid w:val="00B04B09"/>
    <w:rsid w:val="00B054A6"/>
    <w:rsid w:val="00B10753"/>
    <w:rsid w:val="00B169A8"/>
    <w:rsid w:val="00B16A51"/>
    <w:rsid w:val="00B27E79"/>
    <w:rsid w:val="00B31564"/>
    <w:rsid w:val="00B32222"/>
    <w:rsid w:val="00B33117"/>
    <w:rsid w:val="00B34186"/>
    <w:rsid w:val="00B360BB"/>
    <w:rsid w:val="00B3618D"/>
    <w:rsid w:val="00B36233"/>
    <w:rsid w:val="00B42851"/>
    <w:rsid w:val="00B42885"/>
    <w:rsid w:val="00B42CC8"/>
    <w:rsid w:val="00B42E31"/>
    <w:rsid w:val="00B430B9"/>
    <w:rsid w:val="00B43AEE"/>
    <w:rsid w:val="00B45AC7"/>
    <w:rsid w:val="00B47C78"/>
    <w:rsid w:val="00B5360A"/>
    <w:rsid w:val="00B5372F"/>
    <w:rsid w:val="00B54577"/>
    <w:rsid w:val="00B55E3F"/>
    <w:rsid w:val="00B56046"/>
    <w:rsid w:val="00B56A4F"/>
    <w:rsid w:val="00B576A4"/>
    <w:rsid w:val="00B61129"/>
    <w:rsid w:val="00B6535D"/>
    <w:rsid w:val="00B666A3"/>
    <w:rsid w:val="00B67E7F"/>
    <w:rsid w:val="00B75A3A"/>
    <w:rsid w:val="00B80D26"/>
    <w:rsid w:val="00B839B2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59E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B7EE4"/>
    <w:rsid w:val="00BC35C3"/>
    <w:rsid w:val="00BC4A19"/>
    <w:rsid w:val="00BC4E6D"/>
    <w:rsid w:val="00BC6755"/>
    <w:rsid w:val="00BD0617"/>
    <w:rsid w:val="00BD2E9B"/>
    <w:rsid w:val="00BD7FB2"/>
    <w:rsid w:val="00C0080E"/>
    <w:rsid w:val="00C00930"/>
    <w:rsid w:val="00C01785"/>
    <w:rsid w:val="00C0180A"/>
    <w:rsid w:val="00C04778"/>
    <w:rsid w:val="00C0497C"/>
    <w:rsid w:val="00C060AD"/>
    <w:rsid w:val="00C10827"/>
    <w:rsid w:val="00C113BF"/>
    <w:rsid w:val="00C16C3C"/>
    <w:rsid w:val="00C2176E"/>
    <w:rsid w:val="00C23430"/>
    <w:rsid w:val="00C263F0"/>
    <w:rsid w:val="00C27D67"/>
    <w:rsid w:val="00C30786"/>
    <w:rsid w:val="00C33316"/>
    <w:rsid w:val="00C36812"/>
    <w:rsid w:val="00C4006B"/>
    <w:rsid w:val="00C40599"/>
    <w:rsid w:val="00C40BBA"/>
    <w:rsid w:val="00C434E0"/>
    <w:rsid w:val="00C4631F"/>
    <w:rsid w:val="00C47CDE"/>
    <w:rsid w:val="00C47E9E"/>
    <w:rsid w:val="00C50E16"/>
    <w:rsid w:val="00C55258"/>
    <w:rsid w:val="00C572E4"/>
    <w:rsid w:val="00C62586"/>
    <w:rsid w:val="00C63534"/>
    <w:rsid w:val="00C6369B"/>
    <w:rsid w:val="00C64B23"/>
    <w:rsid w:val="00C661EC"/>
    <w:rsid w:val="00C679B5"/>
    <w:rsid w:val="00C80043"/>
    <w:rsid w:val="00C82EEB"/>
    <w:rsid w:val="00C8510F"/>
    <w:rsid w:val="00C87551"/>
    <w:rsid w:val="00C96118"/>
    <w:rsid w:val="00C971DC"/>
    <w:rsid w:val="00C97389"/>
    <w:rsid w:val="00C978FD"/>
    <w:rsid w:val="00CA16B7"/>
    <w:rsid w:val="00CA556A"/>
    <w:rsid w:val="00CA62AE"/>
    <w:rsid w:val="00CA719E"/>
    <w:rsid w:val="00CB5B1A"/>
    <w:rsid w:val="00CC220B"/>
    <w:rsid w:val="00CC3E29"/>
    <w:rsid w:val="00CC5C43"/>
    <w:rsid w:val="00CD02AE"/>
    <w:rsid w:val="00CD060C"/>
    <w:rsid w:val="00CD2A4F"/>
    <w:rsid w:val="00CD2CB0"/>
    <w:rsid w:val="00CD75CC"/>
    <w:rsid w:val="00CE03CA"/>
    <w:rsid w:val="00CE22F1"/>
    <w:rsid w:val="00CE2673"/>
    <w:rsid w:val="00CE2E6D"/>
    <w:rsid w:val="00CE50F2"/>
    <w:rsid w:val="00CE6502"/>
    <w:rsid w:val="00CE6F2E"/>
    <w:rsid w:val="00CE7590"/>
    <w:rsid w:val="00CF0B28"/>
    <w:rsid w:val="00CF2331"/>
    <w:rsid w:val="00CF7D3C"/>
    <w:rsid w:val="00D01F09"/>
    <w:rsid w:val="00D10A5B"/>
    <w:rsid w:val="00D147EB"/>
    <w:rsid w:val="00D16E0A"/>
    <w:rsid w:val="00D174AB"/>
    <w:rsid w:val="00D20755"/>
    <w:rsid w:val="00D2333D"/>
    <w:rsid w:val="00D26303"/>
    <w:rsid w:val="00D30506"/>
    <w:rsid w:val="00D34667"/>
    <w:rsid w:val="00D361ED"/>
    <w:rsid w:val="00D37A4B"/>
    <w:rsid w:val="00D401E1"/>
    <w:rsid w:val="00D408B4"/>
    <w:rsid w:val="00D524C8"/>
    <w:rsid w:val="00D53F9E"/>
    <w:rsid w:val="00D54187"/>
    <w:rsid w:val="00D54674"/>
    <w:rsid w:val="00D55A83"/>
    <w:rsid w:val="00D6228F"/>
    <w:rsid w:val="00D64F84"/>
    <w:rsid w:val="00D70E24"/>
    <w:rsid w:val="00D7285B"/>
    <w:rsid w:val="00D72B61"/>
    <w:rsid w:val="00D77F34"/>
    <w:rsid w:val="00D8233E"/>
    <w:rsid w:val="00D9469F"/>
    <w:rsid w:val="00D95BCA"/>
    <w:rsid w:val="00DA3D1D"/>
    <w:rsid w:val="00DA6A38"/>
    <w:rsid w:val="00DB2AA7"/>
    <w:rsid w:val="00DB3AC8"/>
    <w:rsid w:val="00DB46AC"/>
    <w:rsid w:val="00DB6286"/>
    <w:rsid w:val="00DB645F"/>
    <w:rsid w:val="00DB65B4"/>
    <w:rsid w:val="00DB76E9"/>
    <w:rsid w:val="00DC0A67"/>
    <w:rsid w:val="00DC12D5"/>
    <w:rsid w:val="00DC1D5E"/>
    <w:rsid w:val="00DC5220"/>
    <w:rsid w:val="00DD2061"/>
    <w:rsid w:val="00DD2BD7"/>
    <w:rsid w:val="00DD39D1"/>
    <w:rsid w:val="00DD6017"/>
    <w:rsid w:val="00DD6718"/>
    <w:rsid w:val="00DD6EDC"/>
    <w:rsid w:val="00DD7DAB"/>
    <w:rsid w:val="00DE0BD5"/>
    <w:rsid w:val="00DE3355"/>
    <w:rsid w:val="00DE6AD6"/>
    <w:rsid w:val="00DF0C60"/>
    <w:rsid w:val="00DF32D9"/>
    <w:rsid w:val="00DF486F"/>
    <w:rsid w:val="00DF5B5B"/>
    <w:rsid w:val="00DF6862"/>
    <w:rsid w:val="00DF6A53"/>
    <w:rsid w:val="00DF7619"/>
    <w:rsid w:val="00E03063"/>
    <w:rsid w:val="00E042D8"/>
    <w:rsid w:val="00E06E24"/>
    <w:rsid w:val="00E07EE7"/>
    <w:rsid w:val="00E1103B"/>
    <w:rsid w:val="00E13B46"/>
    <w:rsid w:val="00E17B44"/>
    <w:rsid w:val="00E20F27"/>
    <w:rsid w:val="00E22443"/>
    <w:rsid w:val="00E27FEA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7D8B"/>
    <w:rsid w:val="00E639B6"/>
    <w:rsid w:val="00E6434B"/>
    <w:rsid w:val="00E6463D"/>
    <w:rsid w:val="00E67993"/>
    <w:rsid w:val="00E7064F"/>
    <w:rsid w:val="00E72E9B"/>
    <w:rsid w:val="00E835DD"/>
    <w:rsid w:val="00E850C3"/>
    <w:rsid w:val="00E852ED"/>
    <w:rsid w:val="00E87069"/>
    <w:rsid w:val="00E875F3"/>
    <w:rsid w:val="00E87DF2"/>
    <w:rsid w:val="00E9462E"/>
    <w:rsid w:val="00E96762"/>
    <w:rsid w:val="00EA43AC"/>
    <w:rsid w:val="00EA470E"/>
    <w:rsid w:val="00EA47A7"/>
    <w:rsid w:val="00EA57EB"/>
    <w:rsid w:val="00EA737B"/>
    <w:rsid w:val="00EB21B3"/>
    <w:rsid w:val="00EB3226"/>
    <w:rsid w:val="00EB7B61"/>
    <w:rsid w:val="00EC213A"/>
    <w:rsid w:val="00EC7744"/>
    <w:rsid w:val="00EC7E40"/>
    <w:rsid w:val="00ED0DAD"/>
    <w:rsid w:val="00ED0F46"/>
    <w:rsid w:val="00ED2373"/>
    <w:rsid w:val="00ED383A"/>
    <w:rsid w:val="00ED7230"/>
    <w:rsid w:val="00EE375C"/>
    <w:rsid w:val="00EE3E8A"/>
    <w:rsid w:val="00EE4195"/>
    <w:rsid w:val="00EF2429"/>
    <w:rsid w:val="00EF58B8"/>
    <w:rsid w:val="00EF6502"/>
    <w:rsid w:val="00EF6D84"/>
    <w:rsid w:val="00EF6ECA"/>
    <w:rsid w:val="00F024E1"/>
    <w:rsid w:val="00F04FA2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4A3C"/>
    <w:rsid w:val="00F271ED"/>
    <w:rsid w:val="00F321DE"/>
    <w:rsid w:val="00F33777"/>
    <w:rsid w:val="00F40648"/>
    <w:rsid w:val="00F407EB"/>
    <w:rsid w:val="00F4156D"/>
    <w:rsid w:val="00F448CE"/>
    <w:rsid w:val="00F469F4"/>
    <w:rsid w:val="00F46EFD"/>
    <w:rsid w:val="00F47DA2"/>
    <w:rsid w:val="00F519FC"/>
    <w:rsid w:val="00F54907"/>
    <w:rsid w:val="00F6239D"/>
    <w:rsid w:val="00F66F9E"/>
    <w:rsid w:val="00F715D2"/>
    <w:rsid w:val="00F7274F"/>
    <w:rsid w:val="00F72BC3"/>
    <w:rsid w:val="00F74E84"/>
    <w:rsid w:val="00F76FA8"/>
    <w:rsid w:val="00F800BE"/>
    <w:rsid w:val="00F84FDF"/>
    <w:rsid w:val="00F85C86"/>
    <w:rsid w:val="00F87C87"/>
    <w:rsid w:val="00F9058C"/>
    <w:rsid w:val="00F9087F"/>
    <w:rsid w:val="00F918F6"/>
    <w:rsid w:val="00F93F08"/>
    <w:rsid w:val="00F94CED"/>
    <w:rsid w:val="00F95C4F"/>
    <w:rsid w:val="00FA02BB"/>
    <w:rsid w:val="00FA0478"/>
    <w:rsid w:val="00FA2B98"/>
    <w:rsid w:val="00FA2CEE"/>
    <w:rsid w:val="00FA318C"/>
    <w:rsid w:val="00FA7BF2"/>
    <w:rsid w:val="00FB30E1"/>
    <w:rsid w:val="00FB5186"/>
    <w:rsid w:val="00FB6F92"/>
    <w:rsid w:val="00FB7859"/>
    <w:rsid w:val="00FC026E"/>
    <w:rsid w:val="00FC04BB"/>
    <w:rsid w:val="00FC5124"/>
    <w:rsid w:val="00FD06B5"/>
    <w:rsid w:val="00FD0F61"/>
    <w:rsid w:val="00FD3FB8"/>
    <w:rsid w:val="00FD4731"/>
    <w:rsid w:val="00FD529D"/>
    <w:rsid w:val="00FD6768"/>
    <w:rsid w:val="00FD6FC2"/>
    <w:rsid w:val="00FD7BFD"/>
    <w:rsid w:val="00FE79BD"/>
    <w:rsid w:val="00FF0AB0"/>
    <w:rsid w:val="00FF28AC"/>
    <w:rsid w:val="00FF5281"/>
    <w:rsid w:val="00FF5384"/>
    <w:rsid w:val="00FF7F62"/>
    <w:rsid w:val="0F6E712F"/>
    <w:rsid w:val="1183F314"/>
    <w:rsid w:val="4FAC47BC"/>
    <w:rsid w:val="65748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C76B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paragraph" w:customStyle="1" w:styleId="2-SectionHeading">
    <w:name w:val="2-Section Heading"/>
    <w:qFormat/>
    <w:rsid w:val="00F469F4"/>
    <w:pPr>
      <w:keepNext/>
      <w:numPr>
        <w:numId w:val="49"/>
      </w:numPr>
      <w:spacing w:before="240" w:after="120"/>
      <w:outlineLvl w:val="0"/>
    </w:pPr>
    <w:rPr>
      <w:rFonts w:asciiTheme="minorHAnsi" w:hAnsiTheme="minorHAnsi" w:cs="Arial"/>
      <w:b/>
      <w:snapToGrid w:val="0"/>
      <w:sz w:val="32"/>
      <w:szCs w:val="32"/>
      <w:lang w:eastAsia="en-US"/>
    </w:rPr>
  </w:style>
  <w:style w:type="paragraph" w:customStyle="1" w:styleId="3-BodyText">
    <w:name w:val="3-Body Text"/>
    <w:qFormat/>
    <w:rsid w:val="00F469F4"/>
    <w:pPr>
      <w:numPr>
        <w:ilvl w:val="1"/>
        <w:numId w:val="49"/>
      </w:numPr>
      <w:spacing w:after="12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F4C356114F469139ECE2747A8ADD" ma:contentTypeVersion="5" ma:contentTypeDescription="Create a new document." ma:contentTypeScope="" ma:versionID="1426e6a3daaa00c8e9df65c3cc4ab40a">
  <xsd:schema xmlns:xsd="http://www.w3.org/2001/XMLSchema" xmlns:xs="http://www.w3.org/2001/XMLSchema" xmlns:p="http://schemas.microsoft.com/office/2006/metadata/properties" xmlns:ns2="8c0f4a16-1637-4367-9ae7-2153501b44e5" xmlns:ns3="74e2dfe5-f567-44c8-b760-92fdfb62b4f2" targetNamespace="http://schemas.microsoft.com/office/2006/metadata/properties" ma:root="true" ma:fieldsID="1385262566fd68c8d59ec333bba6c318" ns2:_="" ns3:_="">
    <xsd:import namespace="8c0f4a16-1637-4367-9ae7-2153501b44e5"/>
    <xsd:import namespace="74e2dfe5-f567-44c8-b760-92fdfb62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4a16-1637-4367-9ae7-2153501b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fe5-f567-44c8-b760-92fdfb62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44773-93C7-4C5B-9700-2DC9198C2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4a16-1637-4367-9ae7-2153501b44e5"/>
    <ds:schemaRef ds:uri="74e2dfe5-f567-44c8-b760-92fdfb62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95F3E-E814-4AAE-81FB-514E104483C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74e2dfe5-f567-44c8-b760-92fdfb62b4f2"/>
    <ds:schemaRef ds:uri="8c0f4a16-1637-4367-9ae7-2153501b44e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5286</Characters>
  <Application>Microsoft Office Word</Application>
  <DocSecurity>0</DocSecurity>
  <Lines>44</Lines>
  <Paragraphs>12</Paragraphs>
  <ScaleCrop>false</ScaleCrop>
  <Manager/>
  <Company/>
  <LinksUpToDate>false</LinksUpToDate>
  <CharactersWithSpaces>6167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1 December 2023 meeting</dc:title>
  <dc:subject/>
  <dc:creator/>
  <cp:keywords>health technologies and digital health; health technology assessment policy and methods review;</cp:keywords>
  <dc:description/>
  <cp:lastModifiedBy/>
  <cp:revision>1</cp:revision>
  <dcterms:created xsi:type="dcterms:W3CDTF">2023-12-21T22:01:00Z</dcterms:created>
  <dcterms:modified xsi:type="dcterms:W3CDTF">2023-12-21T22:38:00Z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7097e22f93902b9e9c099168864c7b465231984cf0908f72321cb0e25778612a</vt:lpwstr>
  </property>
  <property fmtid="{D5CDD505-2E9C-101B-9397-08002B2CF9AE}" pid="3" name="ContentTypeId">
    <vt:lpwstr>0x010100C5B0F4C356114F469139ECE2747A8ADD</vt:lpwstr>
  </property>
</Properties>
</file>