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38BB93" w14:textId="77777777" w:rsidR="00275EAA" w:rsidRDefault="00275EAA" w:rsidP="00E14595">
      <w:pPr>
        <w:jc w:val="center"/>
        <w:rPr>
          <w:rFonts w:cs="Arial"/>
          <w:b/>
          <w:sz w:val="28"/>
          <w:szCs w:val="28"/>
        </w:rPr>
      </w:pPr>
    </w:p>
    <w:p w14:paraId="03D0C360" w14:textId="739167B2" w:rsidR="00350FFA" w:rsidRDefault="00127DC1" w:rsidP="009455F8">
      <w:pPr>
        <w:jc w:val="center"/>
        <w:rPr>
          <w:rFonts w:cs="Arial"/>
          <w:b/>
          <w:sz w:val="28"/>
          <w:szCs w:val="28"/>
        </w:rPr>
      </w:pPr>
      <w:r w:rsidRPr="00127DC1">
        <w:rPr>
          <w:rFonts w:cs="Arial"/>
          <w:b/>
          <w:noProof/>
          <w:sz w:val="28"/>
          <w:szCs w:val="28"/>
          <w:lang w:eastAsia="en-US"/>
        </w:rPr>
        <w:drawing>
          <wp:inline distT="0" distB="0" distL="0" distR="0" wp14:anchorId="10AF1365" wp14:editId="510AA11E">
            <wp:extent cx="2730500" cy="2364421"/>
            <wp:effectExtent l="0" t="0" r="0" b="0"/>
            <wp:docPr id="68" name="Picture 68" descr="K:\2016\UofA\enHealth\Documentation\PICS\tile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2016\UofA\enHealth\Documentation\PICS\tileshop.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55264" cy="2385865"/>
                    </a:xfrm>
                    <a:prstGeom prst="rect">
                      <a:avLst/>
                    </a:prstGeom>
                    <a:noFill/>
                    <a:ln>
                      <a:noFill/>
                    </a:ln>
                  </pic:spPr>
                </pic:pic>
              </a:graphicData>
            </a:graphic>
          </wp:inline>
        </w:drawing>
      </w:r>
    </w:p>
    <w:p w14:paraId="4FB559B7" w14:textId="3F6C4DEA" w:rsidR="00110E5A" w:rsidRPr="009455F8" w:rsidRDefault="00110E5A" w:rsidP="00E7642F">
      <w:pPr>
        <w:rPr>
          <w:rFonts w:cs="Arial"/>
          <w:b/>
          <w:sz w:val="32"/>
          <w:szCs w:val="32"/>
        </w:rPr>
      </w:pPr>
    </w:p>
    <w:p w14:paraId="4FE3159D" w14:textId="0AE6574E" w:rsidR="00E14595" w:rsidRPr="009455F8" w:rsidRDefault="00E14595" w:rsidP="00350FFA">
      <w:pPr>
        <w:jc w:val="center"/>
        <w:rPr>
          <w:rFonts w:cs="Arial"/>
          <w:b/>
          <w:sz w:val="32"/>
          <w:szCs w:val="32"/>
        </w:rPr>
      </w:pPr>
      <w:proofErr w:type="spellStart"/>
      <w:r w:rsidRPr="009455F8">
        <w:rPr>
          <w:rFonts w:cs="Arial"/>
          <w:b/>
          <w:sz w:val="32"/>
          <w:szCs w:val="32"/>
        </w:rPr>
        <w:t>Vapour</w:t>
      </w:r>
      <w:proofErr w:type="spellEnd"/>
      <w:r w:rsidRPr="009455F8">
        <w:rPr>
          <w:rFonts w:cs="Arial"/>
          <w:b/>
          <w:sz w:val="32"/>
          <w:szCs w:val="32"/>
        </w:rPr>
        <w:t xml:space="preserve"> intrusions </w:t>
      </w:r>
      <w:r w:rsidR="005F3D36">
        <w:rPr>
          <w:rFonts w:cs="Arial"/>
          <w:b/>
          <w:sz w:val="32"/>
          <w:szCs w:val="32"/>
        </w:rPr>
        <w:t xml:space="preserve">– hazardous ground gases </w:t>
      </w:r>
    </w:p>
    <w:p w14:paraId="55C1010D" w14:textId="69C847F0" w:rsidR="00E14595" w:rsidRPr="009455F8" w:rsidRDefault="00350FFA" w:rsidP="00E14595">
      <w:pPr>
        <w:jc w:val="center"/>
        <w:rPr>
          <w:rFonts w:cs="Arial"/>
          <w:b/>
          <w:sz w:val="32"/>
          <w:szCs w:val="32"/>
        </w:rPr>
      </w:pPr>
      <w:r w:rsidRPr="009455F8">
        <w:rPr>
          <w:rFonts w:cs="Arial"/>
          <w:b/>
          <w:sz w:val="32"/>
          <w:szCs w:val="32"/>
        </w:rPr>
        <w:t xml:space="preserve">Review and guidance based on current scientific </w:t>
      </w:r>
      <w:proofErr w:type="gramStart"/>
      <w:r w:rsidRPr="009455F8">
        <w:rPr>
          <w:rFonts w:cs="Arial"/>
          <w:b/>
          <w:sz w:val="32"/>
          <w:szCs w:val="32"/>
        </w:rPr>
        <w:t>consensus</w:t>
      </w:r>
      <w:proofErr w:type="gramEnd"/>
    </w:p>
    <w:p w14:paraId="4CE643FA" w14:textId="77777777" w:rsidR="00127DC1" w:rsidRDefault="00127DC1"/>
    <w:p w14:paraId="5BA3718A" w14:textId="4145A85A" w:rsidR="00127DC1" w:rsidRDefault="00382B26" w:rsidP="009455F8">
      <w:pPr>
        <w:jc w:val="center"/>
      </w:pPr>
      <w:r w:rsidRPr="00382B26">
        <w:rPr>
          <w:noProof/>
          <w:lang w:eastAsia="en-US"/>
        </w:rPr>
        <w:drawing>
          <wp:inline distT="0" distB="0" distL="0" distR="0" wp14:anchorId="28584942" wp14:editId="4C9927CF">
            <wp:extent cx="2991436" cy="5255895"/>
            <wp:effectExtent l="0" t="8573"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3010032" cy="5288567"/>
                    </a:xfrm>
                    <a:prstGeom prst="rect">
                      <a:avLst/>
                    </a:prstGeom>
                    <a:noFill/>
                    <a:ln>
                      <a:noFill/>
                    </a:ln>
                  </pic:spPr>
                </pic:pic>
              </a:graphicData>
            </a:graphic>
          </wp:inline>
        </w:drawing>
      </w:r>
    </w:p>
    <w:p w14:paraId="5FCF3A78" w14:textId="77777777" w:rsidR="00E7642F" w:rsidRDefault="00E7642F" w:rsidP="007B7281">
      <w:pPr>
        <w:rPr>
          <w:rFonts w:cs="Arial"/>
          <w:sz w:val="16"/>
          <w:szCs w:val="16"/>
        </w:rPr>
      </w:pPr>
    </w:p>
    <w:p w14:paraId="4143DBD2" w14:textId="5D92B24E" w:rsidR="007B7281" w:rsidRDefault="007B7281" w:rsidP="007B7281">
      <w:pPr>
        <w:rPr>
          <w:rFonts w:eastAsia="Times New Roman" w:cs="Arial"/>
          <w:sz w:val="16"/>
          <w:szCs w:val="16"/>
          <w:lang w:val="en" w:eastAsia="en-US"/>
        </w:rPr>
      </w:pPr>
      <w:r w:rsidRPr="007B7281">
        <w:rPr>
          <w:rFonts w:cs="Arial"/>
          <w:sz w:val="16"/>
          <w:szCs w:val="16"/>
        </w:rPr>
        <w:t>Footnote</w:t>
      </w:r>
      <w:r w:rsidR="00382B26">
        <w:rPr>
          <w:rFonts w:cs="Arial"/>
          <w:sz w:val="16"/>
          <w:szCs w:val="16"/>
        </w:rPr>
        <w:t>s</w:t>
      </w:r>
      <w:r w:rsidRPr="007B7281">
        <w:rPr>
          <w:rFonts w:cs="Arial"/>
          <w:sz w:val="16"/>
          <w:szCs w:val="16"/>
        </w:rPr>
        <w:t>:</w:t>
      </w:r>
      <w:r w:rsidR="00382B26">
        <w:rPr>
          <w:rFonts w:cs="Arial"/>
          <w:sz w:val="16"/>
          <w:szCs w:val="16"/>
        </w:rPr>
        <w:t xml:space="preserve"> Top i</w:t>
      </w:r>
      <w:r w:rsidRPr="007B7281">
        <w:rPr>
          <w:rFonts w:cs="Arial"/>
          <w:sz w:val="16"/>
          <w:szCs w:val="16"/>
        </w:rPr>
        <w:t xml:space="preserve">mage from Burk and </w:t>
      </w:r>
      <w:proofErr w:type="spellStart"/>
      <w:r w:rsidRPr="007B7281">
        <w:rPr>
          <w:rFonts w:cs="Arial"/>
          <w:sz w:val="16"/>
          <w:szCs w:val="16"/>
        </w:rPr>
        <w:t>Zarus</w:t>
      </w:r>
      <w:proofErr w:type="spellEnd"/>
      <w:r w:rsidRPr="007B7281">
        <w:rPr>
          <w:rFonts w:cs="Arial"/>
          <w:sz w:val="16"/>
          <w:szCs w:val="16"/>
        </w:rPr>
        <w:t xml:space="preserve"> (2013</w:t>
      </w:r>
      <w:r>
        <w:rPr>
          <w:rFonts w:cs="Arial"/>
          <w:sz w:val="16"/>
          <w:szCs w:val="16"/>
        </w:rPr>
        <w:t>)</w:t>
      </w:r>
      <w:r w:rsidRPr="007B7281">
        <w:rPr>
          <w:rFonts w:cs="Arial"/>
          <w:sz w:val="16"/>
          <w:szCs w:val="16"/>
        </w:rPr>
        <w:t xml:space="preserve"> </w:t>
      </w:r>
      <w:r w:rsidRPr="007B7281">
        <w:rPr>
          <w:rFonts w:eastAsia="Times New Roman" w:cs="Arial"/>
          <w:sz w:val="16"/>
          <w:szCs w:val="16"/>
          <w:lang w:val="en" w:eastAsia="en-US"/>
        </w:rPr>
        <w:t>J Env</w:t>
      </w:r>
      <w:r w:rsidR="00382B26">
        <w:rPr>
          <w:rFonts w:eastAsia="Times New Roman" w:cs="Arial"/>
          <w:sz w:val="16"/>
          <w:szCs w:val="16"/>
          <w:lang w:val="en" w:eastAsia="en-US"/>
        </w:rPr>
        <w:t>iron Health. May; 75(9): 36–41; Bottom image from US EPA (2015a)</w:t>
      </w:r>
    </w:p>
    <w:p w14:paraId="35953044" w14:textId="1E06469F" w:rsidR="00DE3E31" w:rsidRDefault="00DE3E31" w:rsidP="007B7281">
      <w:pPr>
        <w:rPr>
          <w:rFonts w:eastAsia="Times New Roman" w:cs="Arial"/>
          <w:sz w:val="16"/>
          <w:szCs w:val="16"/>
          <w:lang w:val="en" w:eastAsia="en-US"/>
        </w:rPr>
      </w:pPr>
    </w:p>
    <w:p w14:paraId="6D237C9C" w14:textId="7C877571" w:rsidR="00AD2F2F" w:rsidRPr="00743DF1" w:rsidRDefault="00743DF1" w:rsidP="00743DF1">
      <w:pPr>
        <w:pStyle w:val="BodyText"/>
        <w:spacing w:before="173"/>
        <w:ind w:left="0"/>
        <w:jc w:val="center"/>
        <w:rPr>
          <w:rFonts w:ascii="Arial" w:hAnsi="Arial" w:cs="Arial"/>
          <w:b/>
          <w:bCs/>
        </w:rPr>
      </w:pPr>
      <w:bookmarkStart w:id="0" w:name="Draft_Executive_Summary_-_enHealth_vapou"/>
      <w:bookmarkEnd w:id="0"/>
      <w:r w:rsidRPr="00743DF1">
        <w:rPr>
          <w:rFonts w:ascii="Arial" w:hAnsi="Arial" w:cs="Arial"/>
          <w:b/>
          <w:bCs/>
          <w:spacing w:val="-1"/>
        </w:rPr>
        <w:lastRenderedPageBreak/>
        <w:t xml:space="preserve">OFFICIAL </w:t>
      </w:r>
      <w:r w:rsidR="00AD2F2F" w:rsidRPr="00743DF1">
        <w:rPr>
          <w:rFonts w:ascii="Arial" w:hAnsi="Arial" w:cs="Arial"/>
          <w:b/>
          <w:bCs/>
          <w:spacing w:val="-1"/>
        </w:rPr>
        <w:t>DOCUMENT</w:t>
      </w:r>
      <w:r w:rsidR="00AD2F2F" w:rsidRPr="00743DF1">
        <w:rPr>
          <w:rFonts w:ascii="Arial" w:hAnsi="Arial" w:cs="Arial"/>
          <w:b/>
          <w:bCs/>
          <w:spacing w:val="1"/>
        </w:rPr>
        <w:t xml:space="preserve"> </w:t>
      </w:r>
      <w:r w:rsidR="00AD2F2F" w:rsidRPr="00743DF1">
        <w:rPr>
          <w:rFonts w:ascii="Arial" w:hAnsi="Arial" w:cs="Arial"/>
          <w:b/>
          <w:bCs/>
          <w:spacing w:val="-2"/>
        </w:rPr>
        <w:t>SUMMARY</w:t>
      </w:r>
    </w:p>
    <w:p w14:paraId="05706B28" w14:textId="77777777" w:rsidR="00AD2F2F" w:rsidRPr="00743DF1" w:rsidRDefault="00AD2F2F" w:rsidP="00AD2F2F">
      <w:pPr>
        <w:pStyle w:val="BodyText"/>
        <w:spacing w:before="180" w:line="258" w:lineRule="auto"/>
        <w:ind w:left="0" w:right="175" w:firstLine="1"/>
        <w:rPr>
          <w:rFonts w:ascii="Arial" w:hAnsi="Arial" w:cs="Arial"/>
          <w:sz w:val="20"/>
          <w:szCs w:val="20"/>
        </w:rPr>
      </w:pPr>
      <w:r w:rsidRPr="00743DF1">
        <w:rPr>
          <w:rFonts w:ascii="Arial" w:hAnsi="Arial" w:cs="Arial"/>
          <w:spacing w:val="-1"/>
          <w:sz w:val="20"/>
          <w:szCs w:val="20"/>
        </w:rPr>
        <w:t>“</w:t>
      </w:r>
      <w:proofErr w:type="spellStart"/>
      <w:r w:rsidRPr="00743DF1">
        <w:rPr>
          <w:rFonts w:ascii="Arial" w:hAnsi="Arial" w:cs="Arial"/>
          <w:spacing w:val="-1"/>
          <w:sz w:val="20"/>
          <w:szCs w:val="20"/>
        </w:rPr>
        <w:t>Vapour</w:t>
      </w:r>
      <w:proofErr w:type="spellEnd"/>
      <w:r w:rsidRPr="00743DF1">
        <w:rPr>
          <w:rFonts w:ascii="Arial" w:hAnsi="Arial" w:cs="Arial"/>
          <w:sz w:val="20"/>
          <w:szCs w:val="20"/>
        </w:rPr>
        <w:t xml:space="preserve"> </w:t>
      </w:r>
      <w:r w:rsidRPr="00743DF1">
        <w:rPr>
          <w:rFonts w:ascii="Arial" w:hAnsi="Arial" w:cs="Arial"/>
          <w:spacing w:val="-1"/>
          <w:sz w:val="20"/>
          <w:szCs w:val="20"/>
        </w:rPr>
        <w:t>intrusion”</w:t>
      </w:r>
      <w:r w:rsidRPr="00743DF1">
        <w:rPr>
          <w:rFonts w:ascii="Arial" w:hAnsi="Arial" w:cs="Arial"/>
          <w:spacing w:val="1"/>
          <w:sz w:val="20"/>
          <w:szCs w:val="20"/>
        </w:rPr>
        <w:t xml:space="preserve"> </w:t>
      </w:r>
      <w:r w:rsidRPr="00743DF1">
        <w:rPr>
          <w:rFonts w:ascii="Arial" w:hAnsi="Arial" w:cs="Arial"/>
          <w:spacing w:val="-1"/>
          <w:sz w:val="20"/>
          <w:szCs w:val="20"/>
        </w:rPr>
        <w:t>is</w:t>
      </w:r>
      <w:r w:rsidRPr="00743DF1">
        <w:rPr>
          <w:rFonts w:ascii="Arial" w:hAnsi="Arial" w:cs="Arial"/>
          <w:spacing w:val="-2"/>
          <w:sz w:val="20"/>
          <w:szCs w:val="20"/>
        </w:rPr>
        <w:t xml:space="preserve"> </w:t>
      </w:r>
      <w:r w:rsidRPr="00743DF1">
        <w:rPr>
          <w:rFonts w:ascii="Arial" w:hAnsi="Arial" w:cs="Arial"/>
          <w:spacing w:val="-1"/>
          <w:sz w:val="20"/>
          <w:szCs w:val="20"/>
        </w:rPr>
        <w:t>the</w:t>
      </w:r>
      <w:r w:rsidRPr="00743DF1">
        <w:rPr>
          <w:rFonts w:ascii="Arial" w:hAnsi="Arial" w:cs="Arial"/>
          <w:spacing w:val="-2"/>
          <w:sz w:val="20"/>
          <w:szCs w:val="20"/>
        </w:rPr>
        <w:t xml:space="preserve"> </w:t>
      </w:r>
      <w:r w:rsidRPr="00743DF1">
        <w:rPr>
          <w:rFonts w:ascii="Arial" w:hAnsi="Arial" w:cs="Arial"/>
          <w:spacing w:val="-1"/>
          <w:sz w:val="20"/>
          <w:szCs w:val="20"/>
        </w:rPr>
        <w:t>migration</w:t>
      </w:r>
      <w:r w:rsidRPr="00743DF1">
        <w:rPr>
          <w:rFonts w:ascii="Arial" w:hAnsi="Arial" w:cs="Arial"/>
          <w:spacing w:val="-3"/>
          <w:sz w:val="20"/>
          <w:szCs w:val="20"/>
        </w:rPr>
        <w:t xml:space="preserve"> </w:t>
      </w:r>
      <w:r w:rsidRPr="00743DF1">
        <w:rPr>
          <w:rFonts w:ascii="Arial" w:hAnsi="Arial" w:cs="Arial"/>
          <w:sz w:val="20"/>
          <w:szCs w:val="20"/>
        </w:rPr>
        <w:t xml:space="preserve">of </w:t>
      </w:r>
      <w:r w:rsidRPr="00743DF1">
        <w:rPr>
          <w:rFonts w:ascii="Arial" w:hAnsi="Arial" w:cs="Arial"/>
          <w:spacing w:val="-1"/>
          <w:sz w:val="20"/>
          <w:szCs w:val="20"/>
        </w:rPr>
        <w:t>chemical</w:t>
      </w:r>
      <w:r w:rsidRPr="00743DF1">
        <w:rPr>
          <w:rFonts w:ascii="Arial" w:hAnsi="Arial" w:cs="Arial"/>
          <w:spacing w:val="-3"/>
          <w:sz w:val="20"/>
          <w:szCs w:val="20"/>
        </w:rPr>
        <w:t xml:space="preserve"> </w:t>
      </w:r>
      <w:proofErr w:type="spellStart"/>
      <w:r w:rsidRPr="00743DF1">
        <w:rPr>
          <w:rFonts w:ascii="Arial" w:hAnsi="Arial" w:cs="Arial"/>
          <w:spacing w:val="-1"/>
          <w:sz w:val="20"/>
          <w:szCs w:val="20"/>
        </w:rPr>
        <w:t>vapours</w:t>
      </w:r>
      <w:proofErr w:type="spellEnd"/>
      <w:r w:rsidRPr="00743DF1">
        <w:rPr>
          <w:rFonts w:ascii="Arial" w:hAnsi="Arial" w:cs="Arial"/>
          <w:spacing w:val="1"/>
          <w:sz w:val="20"/>
          <w:szCs w:val="20"/>
        </w:rPr>
        <w:t xml:space="preserve"> </w:t>
      </w:r>
      <w:r w:rsidRPr="00743DF1">
        <w:rPr>
          <w:rFonts w:ascii="Arial" w:hAnsi="Arial" w:cs="Arial"/>
          <w:spacing w:val="-1"/>
          <w:sz w:val="20"/>
          <w:szCs w:val="20"/>
        </w:rPr>
        <w:t>and gases</w:t>
      </w:r>
      <w:r w:rsidRPr="00743DF1">
        <w:rPr>
          <w:rFonts w:ascii="Arial" w:hAnsi="Arial" w:cs="Arial"/>
          <w:sz w:val="20"/>
          <w:szCs w:val="20"/>
        </w:rPr>
        <w:t xml:space="preserve"> </w:t>
      </w:r>
      <w:r w:rsidRPr="00743DF1">
        <w:rPr>
          <w:rFonts w:ascii="Arial" w:hAnsi="Arial" w:cs="Arial"/>
          <w:spacing w:val="-2"/>
          <w:sz w:val="20"/>
          <w:szCs w:val="20"/>
        </w:rPr>
        <w:t>from</w:t>
      </w:r>
      <w:r w:rsidRPr="00743DF1">
        <w:rPr>
          <w:rFonts w:ascii="Arial" w:hAnsi="Arial" w:cs="Arial"/>
          <w:spacing w:val="1"/>
          <w:sz w:val="20"/>
          <w:szCs w:val="20"/>
        </w:rPr>
        <w:t xml:space="preserve"> </w:t>
      </w:r>
      <w:r w:rsidRPr="00743DF1">
        <w:rPr>
          <w:rFonts w:ascii="Arial" w:hAnsi="Arial" w:cs="Arial"/>
          <w:spacing w:val="-1"/>
          <w:sz w:val="20"/>
          <w:szCs w:val="20"/>
        </w:rPr>
        <w:t>sub-surface</w:t>
      </w:r>
      <w:r w:rsidRPr="00743DF1">
        <w:rPr>
          <w:rFonts w:ascii="Arial" w:hAnsi="Arial" w:cs="Arial"/>
          <w:spacing w:val="1"/>
          <w:sz w:val="20"/>
          <w:szCs w:val="20"/>
        </w:rPr>
        <w:t xml:space="preserve"> </w:t>
      </w:r>
      <w:r w:rsidRPr="00743DF1">
        <w:rPr>
          <w:rFonts w:ascii="Arial" w:hAnsi="Arial" w:cs="Arial"/>
          <w:spacing w:val="-1"/>
          <w:sz w:val="20"/>
          <w:szCs w:val="20"/>
        </w:rPr>
        <w:t>sources</w:t>
      </w:r>
      <w:r w:rsidRPr="00743DF1">
        <w:rPr>
          <w:rFonts w:ascii="Arial" w:hAnsi="Arial" w:cs="Arial"/>
          <w:spacing w:val="-2"/>
          <w:sz w:val="20"/>
          <w:szCs w:val="20"/>
        </w:rPr>
        <w:t xml:space="preserve"> </w:t>
      </w:r>
      <w:r w:rsidRPr="00743DF1">
        <w:rPr>
          <w:rFonts w:ascii="Arial" w:hAnsi="Arial" w:cs="Arial"/>
          <w:sz w:val="20"/>
          <w:szCs w:val="20"/>
        </w:rPr>
        <w:t>of</w:t>
      </w:r>
      <w:r w:rsidRPr="00743DF1">
        <w:rPr>
          <w:rFonts w:ascii="Arial" w:hAnsi="Arial" w:cs="Arial"/>
          <w:spacing w:val="57"/>
          <w:sz w:val="20"/>
          <w:szCs w:val="20"/>
        </w:rPr>
        <w:t xml:space="preserve"> </w:t>
      </w:r>
      <w:r w:rsidRPr="00743DF1">
        <w:rPr>
          <w:rFonts w:ascii="Arial" w:hAnsi="Arial" w:cs="Arial"/>
          <w:spacing w:val="-1"/>
          <w:sz w:val="20"/>
          <w:szCs w:val="20"/>
        </w:rPr>
        <w:t>volatile</w:t>
      </w:r>
      <w:r w:rsidRPr="00743DF1">
        <w:rPr>
          <w:rFonts w:ascii="Arial" w:hAnsi="Arial" w:cs="Arial"/>
          <w:spacing w:val="1"/>
          <w:sz w:val="20"/>
          <w:szCs w:val="20"/>
        </w:rPr>
        <w:t xml:space="preserve"> </w:t>
      </w:r>
      <w:r w:rsidRPr="00743DF1">
        <w:rPr>
          <w:rFonts w:ascii="Arial" w:hAnsi="Arial" w:cs="Arial"/>
          <w:spacing w:val="-1"/>
          <w:sz w:val="20"/>
          <w:szCs w:val="20"/>
        </w:rPr>
        <w:t>substances</w:t>
      </w:r>
      <w:r w:rsidRPr="00743DF1">
        <w:rPr>
          <w:rFonts w:ascii="Arial" w:hAnsi="Arial" w:cs="Arial"/>
          <w:spacing w:val="-2"/>
          <w:sz w:val="20"/>
          <w:szCs w:val="20"/>
        </w:rPr>
        <w:t xml:space="preserve"> </w:t>
      </w:r>
      <w:r w:rsidRPr="00743DF1">
        <w:rPr>
          <w:rFonts w:ascii="Arial" w:hAnsi="Arial" w:cs="Arial"/>
          <w:sz w:val="20"/>
          <w:szCs w:val="20"/>
        </w:rPr>
        <w:t xml:space="preserve">or </w:t>
      </w:r>
      <w:r w:rsidRPr="00743DF1">
        <w:rPr>
          <w:rFonts w:ascii="Arial" w:hAnsi="Arial" w:cs="Arial"/>
          <w:spacing w:val="-2"/>
          <w:sz w:val="20"/>
          <w:szCs w:val="20"/>
        </w:rPr>
        <w:t>gases</w:t>
      </w:r>
      <w:r w:rsidRPr="00743DF1">
        <w:rPr>
          <w:rFonts w:ascii="Arial" w:hAnsi="Arial" w:cs="Arial"/>
          <w:sz w:val="20"/>
          <w:szCs w:val="20"/>
        </w:rPr>
        <w:t xml:space="preserve"> </w:t>
      </w:r>
      <w:r w:rsidRPr="00743DF1">
        <w:rPr>
          <w:rFonts w:ascii="Arial" w:hAnsi="Arial" w:cs="Arial"/>
          <w:spacing w:val="-1"/>
          <w:sz w:val="20"/>
          <w:szCs w:val="20"/>
        </w:rPr>
        <w:t>through soils</w:t>
      </w:r>
      <w:r w:rsidRPr="00743DF1">
        <w:rPr>
          <w:rFonts w:ascii="Arial" w:hAnsi="Arial" w:cs="Arial"/>
          <w:sz w:val="20"/>
          <w:szCs w:val="20"/>
        </w:rPr>
        <w:t xml:space="preserve"> </w:t>
      </w:r>
      <w:r w:rsidRPr="00743DF1">
        <w:rPr>
          <w:rFonts w:ascii="Arial" w:hAnsi="Arial" w:cs="Arial"/>
          <w:spacing w:val="-1"/>
          <w:sz w:val="20"/>
          <w:szCs w:val="20"/>
        </w:rPr>
        <w:t>and into the</w:t>
      </w:r>
      <w:r w:rsidRPr="00743DF1">
        <w:rPr>
          <w:rFonts w:ascii="Arial" w:hAnsi="Arial" w:cs="Arial"/>
          <w:spacing w:val="-2"/>
          <w:sz w:val="20"/>
          <w:szCs w:val="20"/>
        </w:rPr>
        <w:t xml:space="preserve"> </w:t>
      </w:r>
      <w:r w:rsidRPr="00743DF1">
        <w:rPr>
          <w:rFonts w:ascii="Arial" w:hAnsi="Arial" w:cs="Arial"/>
          <w:spacing w:val="-1"/>
          <w:sz w:val="20"/>
          <w:szCs w:val="20"/>
        </w:rPr>
        <w:t>indoor</w:t>
      </w:r>
      <w:r w:rsidRPr="00743DF1">
        <w:rPr>
          <w:rFonts w:ascii="Arial" w:hAnsi="Arial" w:cs="Arial"/>
          <w:spacing w:val="-2"/>
          <w:sz w:val="20"/>
          <w:szCs w:val="20"/>
        </w:rPr>
        <w:t xml:space="preserve"> </w:t>
      </w:r>
      <w:r w:rsidRPr="00743DF1">
        <w:rPr>
          <w:rFonts w:ascii="Arial" w:hAnsi="Arial" w:cs="Arial"/>
          <w:spacing w:val="-1"/>
          <w:sz w:val="20"/>
          <w:szCs w:val="20"/>
        </w:rPr>
        <w:t>air</w:t>
      </w:r>
      <w:r w:rsidRPr="00743DF1">
        <w:rPr>
          <w:rFonts w:ascii="Arial" w:hAnsi="Arial" w:cs="Arial"/>
          <w:sz w:val="20"/>
          <w:szCs w:val="20"/>
        </w:rPr>
        <w:t xml:space="preserve"> </w:t>
      </w:r>
      <w:r w:rsidRPr="00743DF1">
        <w:rPr>
          <w:rFonts w:ascii="Arial" w:hAnsi="Arial" w:cs="Arial"/>
          <w:spacing w:val="-1"/>
          <w:sz w:val="20"/>
          <w:szCs w:val="20"/>
        </w:rPr>
        <w:t>spaces</w:t>
      </w:r>
      <w:r w:rsidRPr="00743DF1">
        <w:rPr>
          <w:rFonts w:ascii="Arial" w:hAnsi="Arial" w:cs="Arial"/>
          <w:spacing w:val="-2"/>
          <w:sz w:val="20"/>
          <w:szCs w:val="20"/>
        </w:rPr>
        <w:t xml:space="preserve"> </w:t>
      </w:r>
      <w:r w:rsidRPr="00743DF1">
        <w:rPr>
          <w:rFonts w:ascii="Arial" w:hAnsi="Arial" w:cs="Arial"/>
          <w:sz w:val="20"/>
          <w:szCs w:val="20"/>
        </w:rPr>
        <w:t>of</w:t>
      </w:r>
      <w:r w:rsidRPr="00743DF1">
        <w:rPr>
          <w:rFonts w:ascii="Arial" w:hAnsi="Arial" w:cs="Arial"/>
          <w:spacing w:val="-2"/>
          <w:sz w:val="20"/>
          <w:szCs w:val="20"/>
        </w:rPr>
        <w:t xml:space="preserve"> </w:t>
      </w:r>
      <w:r w:rsidRPr="00743DF1">
        <w:rPr>
          <w:rFonts w:ascii="Arial" w:hAnsi="Arial" w:cs="Arial"/>
          <w:spacing w:val="-1"/>
          <w:sz w:val="20"/>
          <w:szCs w:val="20"/>
        </w:rPr>
        <w:t>overlying buildings.</w:t>
      </w:r>
      <w:r w:rsidRPr="00743DF1">
        <w:rPr>
          <w:rFonts w:ascii="Arial" w:hAnsi="Arial" w:cs="Arial"/>
          <w:sz w:val="20"/>
          <w:szCs w:val="20"/>
        </w:rPr>
        <w:t xml:space="preserve"> </w:t>
      </w:r>
      <w:r w:rsidRPr="00743DF1">
        <w:rPr>
          <w:rFonts w:ascii="Arial" w:hAnsi="Arial" w:cs="Arial"/>
          <w:spacing w:val="-1"/>
          <w:sz w:val="20"/>
          <w:szCs w:val="20"/>
        </w:rPr>
        <w:t>These</w:t>
      </w:r>
      <w:r w:rsidRPr="00743DF1">
        <w:rPr>
          <w:rFonts w:ascii="Arial" w:hAnsi="Arial" w:cs="Arial"/>
          <w:spacing w:val="73"/>
          <w:sz w:val="20"/>
          <w:szCs w:val="20"/>
        </w:rPr>
        <w:t xml:space="preserve"> </w:t>
      </w:r>
      <w:proofErr w:type="spellStart"/>
      <w:r w:rsidRPr="00743DF1">
        <w:rPr>
          <w:rFonts w:ascii="Arial" w:hAnsi="Arial" w:cs="Arial"/>
          <w:spacing w:val="-1"/>
          <w:sz w:val="20"/>
          <w:szCs w:val="20"/>
        </w:rPr>
        <w:t>vapours</w:t>
      </w:r>
      <w:proofErr w:type="spellEnd"/>
      <w:r w:rsidRPr="00743DF1">
        <w:rPr>
          <w:rFonts w:ascii="Arial" w:hAnsi="Arial" w:cs="Arial"/>
          <w:spacing w:val="-2"/>
          <w:sz w:val="20"/>
          <w:szCs w:val="20"/>
        </w:rPr>
        <w:t xml:space="preserve"> </w:t>
      </w:r>
      <w:r w:rsidRPr="00743DF1">
        <w:rPr>
          <w:rFonts w:ascii="Arial" w:hAnsi="Arial" w:cs="Arial"/>
          <w:spacing w:val="-1"/>
          <w:sz w:val="20"/>
          <w:szCs w:val="20"/>
        </w:rPr>
        <w:t>and gases</w:t>
      </w:r>
      <w:r w:rsidRPr="00743DF1">
        <w:rPr>
          <w:rFonts w:ascii="Arial" w:hAnsi="Arial" w:cs="Arial"/>
          <w:spacing w:val="-2"/>
          <w:sz w:val="20"/>
          <w:szCs w:val="20"/>
        </w:rPr>
        <w:t xml:space="preserve"> </w:t>
      </w:r>
      <w:r w:rsidRPr="00743DF1">
        <w:rPr>
          <w:rFonts w:ascii="Arial" w:hAnsi="Arial" w:cs="Arial"/>
          <w:spacing w:val="-1"/>
          <w:sz w:val="20"/>
          <w:szCs w:val="20"/>
        </w:rPr>
        <w:t>may</w:t>
      </w:r>
      <w:r w:rsidRPr="00743DF1">
        <w:rPr>
          <w:rFonts w:ascii="Arial" w:hAnsi="Arial" w:cs="Arial"/>
          <w:spacing w:val="1"/>
          <w:sz w:val="20"/>
          <w:szCs w:val="20"/>
        </w:rPr>
        <w:t xml:space="preserve"> </w:t>
      </w:r>
      <w:r w:rsidRPr="00743DF1">
        <w:rPr>
          <w:rFonts w:ascii="Arial" w:hAnsi="Arial" w:cs="Arial"/>
          <w:spacing w:val="-2"/>
          <w:sz w:val="20"/>
          <w:szCs w:val="20"/>
        </w:rPr>
        <w:t>pose</w:t>
      </w:r>
      <w:r w:rsidRPr="00743DF1">
        <w:rPr>
          <w:rFonts w:ascii="Arial" w:hAnsi="Arial" w:cs="Arial"/>
          <w:spacing w:val="1"/>
          <w:sz w:val="20"/>
          <w:szCs w:val="20"/>
        </w:rPr>
        <w:t xml:space="preserve"> </w:t>
      </w:r>
      <w:r w:rsidRPr="00743DF1">
        <w:rPr>
          <w:rFonts w:ascii="Arial" w:hAnsi="Arial" w:cs="Arial"/>
          <w:spacing w:val="-1"/>
          <w:sz w:val="20"/>
          <w:szCs w:val="20"/>
        </w:rPr>
        <w:t>acute</w:t>
      </w:r>
      <w:r w:rsidRPr="00743DF1">
        <w:rPr>
          <w:rFonts w:ascii="Arial" w:hAnsi="Arial" w:cs="Arial"/>
          <w:spacing w:val="1"/>
          <w:sz w:val="20"/>
          <w:szCs w:val="20"/>
        </w:rPr>
        <w:t xml:space="preserve"> </w:t>
      </w:r>
      <w:r w:rsidRPr="00743DF1">
        <w:rPr>
          <w:rFonts w:ascii="Arial" w:hAnsi="Arial" w:cs="Arial"/>
          <w:spacing w:val="-1"/>
          <w:sz w:val="20"/>
          <w:szCs w:val="20"/>
        </w:rPr>
        <w:t>hazards</w:t>
      </w:r>
      <w:r w:rsidRPr="00743DF1">
        <w:rPr>
          <w:rFonts w:ascii="Arial" w:hAnsi="Arial" w:cs="Arial"/>
          <w:sz w:val="20"/>
          <w:szCs w:val="20"/>
        </w:rPr>
        <w:t xml:space="preserve"> </w:t>
      </w:r>
      <w:r w:rsidRPr="00743DF1">
        <w:rPr>
          <w:rFonts w:ascii="Arial" w:hAnsi="Arial" w:cs="Arial"/>
          <w:spacing w:val="-1"/>
          <w:sz w:val="20"/>
          <w:szCs w:val="20"/>
        </w:rPr>
        <w:t>in terms</w:t>
      </w:r>
      <w:r w:rsidRPr="00743DF1">
        <w:rPr>
          <w:rFonts w:ascii="Arial" w:hAnsi="Arial" w:cs="Arial"/>
          <w:spacing w:val="-2"/>
          <w:sz w:val="20"/>
          <w:szCs w:val="20"/>
        </w:rPr>
        <w:t xml:space="preserve"> </w:t>
      </w:r>
      <w:r w:rsidRPr="00743DF1">
        <w:rPr>
          <w:rFonts w:ascii="Arial" w:hAnsi="Arial" w:cs="Arial"/>
          <w:sz w:val="20"/>
          <w:szCs w:val="20"/>
        </w:rPr>
        <w:t>of</w:t>
      </w:r>
      <w:r w:rsidRPr="00743DF1">
        <w:rPr>
          <w:rFonts w:ascii="Arial" w:hAnsi="Arial" w:cs="Arial"/>
          <w:spacing w:val="-2"/>
          <w:sz w:val="20"/>
          <w:szCs w:val="20"/>
        </w:rPr>
        <w:t xml:space="preserve"> </w:t>
      </w:r>
      <w:r w:rsidRPr="00743DF1">
        <w:rPr>
          <w:rFonts w:ascii="Arial" w:hAnsi="Arial" w:cs="Arial"/>
          <w:spacing w:val="-1"/>
          <w:sz w:val="20"/>
          <w:szCs w:val="20"/>
        </w:rPr>
        <w:t>fire</w:t>
      </w:r>
      <w:r w:rsidRPr="00743DF1">
        <w:rPr>
          <w:rFonts w:ascii="Arial" w:hAnsi="Arial" w:cs="Arial"/>
          <w:spacing w:val="1"/>
          <w:sz w:val="20"/>
          <w:szCs w:val="20"/>
        </w:rPr>
        <w:t xml:space="preserve"> </w:t>
      </w:r>
      <w:r w:rsidRPr="00743DF1">
        <w:rPr>
          <w:rFonts w:ascii="Arial" w:hAnsi="Arial" w:cs="Arial"/>
          <w:spacing w:val="-1"/>
          <w:sz w:val="20"/>
          <w:szCs w:val="20"/>
        </w:rPr>
        <w:t>and explosion while</w:t>
      </w:r>
      <w:r w:rsidRPr="00743DF1">
        <w:rPr>
          <w:rFonts w:ascii="Arial" w:hAnsi="Arial" w:cs="Arial"/>
          <w:spacing w:val="1"/>
          <w:sz w:val="20"/>
          <w:szCs w:val="20"/>
        </w:rPr>
        <w:t xml:space="preserve"> </w:t>
      </w:r>
      <w:r w:rsidRPr="00743DF1">
        <w:rPr>
          <w:rFonts w:ascii="Arial" w:hAnsi="Arial" w:cs="Arial"/>
          <w:spacing w:val="-1"/>
          <w:sz w:val="20"/>
          <w:szCs w:val="20"/>
        </w:rPr>
        <w:t>also</w:t>
      </w:r>
      <w:r w:rsidRPr="00743DF1">
        <w:rPr>
          <w:rFonts w:ascii="Arial" w:hAnsi="Arial" w:cs="Arial"/>
          <w:spacing w:val="1"/>
          <w:sz w:val="20"/>
          <w:szCs w:val="20"/>
        </w:rPr>
        <w:t xml:space="preserve"> </w:t>
      </w:r>
      <w:r w:rsidRPr="00743DF1">
        <w:rPr>
          <w:rFonts w:ascii="Arial" w:hAnsi="Arial" w:cs="Arial"/>
          <w:spacing w:val="-1"/>
          <w:sz w:val="20"/>
          <w:szCs w:val="20"/>
        </w:rPr>
        <w:t>presenting</w:t>
      </w:r>
      <w:r w:rsidRPr="00743DF1">
        <w:rPr>
          <w:rFonts w:ascii="Arial" w:hAnsi="Arial" w:cs="Arial"/>
          <w:spacing w:val="49"/>
          <w:sz w:val="20"/>
          <w:szCs w:val="20"/>
        </w:rPr>
        <w:t xml:space="preserve"> </w:t>
      </w:r>
      <w:r w:rsidRPr="00743DF1">
        <w:rPr>
          <w:rFonts w:ascii="Arial" w:hAnsi="Arial" w:cs="Arial"/>
          <w:spacing w:val="-1"/>
          <w:sz w:val="20"/>
          <w:szCs w:val="20"/>
        </w:rPr>
        <w:t>potential</w:t>
      </w:r>
      <w:r w:rsidRPr="00743DF1">
        <w:rPr>
          <w:rFonts w:ascii="Arial" w:hAnsi="Arial" w:cs="Arial"/>
          <w:spacing w:val="-3"/>
          <w:sz w:val="20"/>
          <w:szCs w:val="20"/>
        </w:rPr>
        <w:t xml:space="preserve"> </w:t>
      </w:r>
      <w:r w:rsidRPr="00743DF1">
        <w:rPr>
          <w:rFonts w:ascii="Arial" w:hAnsi="Arial" w:cs="Arial"/>
          <w:spacing w:val="-1"/>
          <w:sz w:val="20"/>
          <w:szCs w:val="20"/>
        </w:rPr>
        <w:t>health</w:t>
      </w:r>
      <w:r w:rsidRPr="00743DF1">
        <w:rPr>
          <w:rFonts w:ascii="Arial" w:hAnsi="Arial" w:cs="Arial"/>
          <w:spacing w:val="-3"/>
          <w:sz w:val="20"/>
          <w:szCs w:val="20"/>
        </w:rPr>
        <w:t xml:space="preserve"> </w:t>
      </w:r>
      <w:r w:rsidRPr="00743DF1">
        <w:rPr>
          <w:rFonts w:ascii="Arial" w:hAnsi="Arial" w:cs="Arial"/>
          <w:spacing w:val="-1"/>
          <w:sz w:val="20"/>
          <w:szCs w:val="20"/>
        </w:rPr>
        <w:t>effects</w:t>
      </w:r>
      <w:r w:rsidRPr="00743DF1">
        <w:rPr>
          <w:rFonts w:ascii="Arial" w:hAnsi="Arial" w:cs="Arial"/>
          <w:sz w:val="20"/>
          <w:szCs w:val="20"/>
        </w:rPr>
        <w:t xml:space="preserve"> </w:t>
      </w:r>
      <w:r w:rsidRPr="00743DF1">
        <w:rPr>
          <w:rFonts w:ascii="Arial" w:hAnsi="Arial" w:cs="Arial"/>
          <w:spacing w:val="-1"/>
          <w:sz w:val="20"/>
          <w:szCs w:val="20"/>
        </w:rPr>
        <w:t>to occupants</w:t>
      </w:r>
      <w:r w:rsidRPr="00743DF1">
        <w:rPr>
          <w:rFonts w:ascii="Arial" w:hAnsi="Arial" w:cs="Arial"/>
          <w:spacing w:val="-2"/>
          <w:sz w:val="20"/>
          <w:szCs w:val="20"/>
        </w:rPr>
        <w:t xml:space="preserve"> </w:t>
      </w:r>
      <w:r w:rsidRPr="00743DF1">
        <w:rPr>
          <w:rFonts w:ascii="Arial" w:hAnsi="Arial" w:cs="Arial"/>
          <w:sz w:val="20"/>
          <w:szCs w:val="20"/>
        </w:rPr>
        <w:t xml:space="preserve">of </w:t>
      </w:r>
      <w:r w:rsidRPr="00743DF1">
        <w:rPr>
          <w:rFonts w:ascii="Arial" w:hAnsi="Arial" w:cs="Arial"/>
          <w:spacing w:val="-1"/>
          <w:sz w:val="20"/>
          <w:szCs w:val="20"/>
        </w:rPr>
        <w:t>affected buildings,</w:t>
      </w:r>
      <w:r w:rsidRPr="00743DF1">
        <w:rPr>
          <w:rFonts w:ascii="Arial" w:hAnsi="Arial" w:cs="Arial"/>
          <w:sz w:val="20"/>
          <w:szCs w:val="20"/>
        </w:rPr>
        <w:t xml:space="preserve"> both</w:t>
      </w:r>
      <w:r w:rsidRPr="00743DF1">
        <w:rPr>
          <w:rFonts w:ascii="Arial" w:hAnsi="Arial" w:cs="Arial"/>
          <w:spacing w:val="-1"/>
          <w:sz w:val="20"/>
          <w:szCs w:val="20"/>
        </w:rPr>
        <w:t xml:space="preserve"> based </w:t>
      </w:r>
      <w:r w:rsidRPr="00743DF1">
        <w:rPr>
          <w:rFonts w:ascii="Arial" w:hAnsi="Arial" w:cs="Arial"/>
          <w:sz w:val="20"/>
          <w:szCs w:val="20"/>
        </w:rPr>
        <w:t>on</w:t>
      </w:r>
      <w:r w:rsidRPr="00743DF1">
        <w:rPr>
          <w:rFonts w:ascii="Arial" w:hAnsi="Arial" w:cs="Arial"/>
          <w:spacing w:val="-2"/>
          <w:sz w:val="20"/>
          <w:szCs w:val="20"/>
        </w:rPr>
        <w:t xml:space="preserve"> </w:t>
      </w:r>
      <w:r w:rsidRPr="00743DF1">
        <w:rPr>
          <w:rFonts w:ascii="Arial" w:hAnsi="Arial" w:cs="Arial"/>
          <w:spacing w:val="-1"/>
          <w:sz w:val="20"/>
          <w:szCs w:val="20"/>
        </w:rPr>
        <w:t>short-term and long-term</w:t>
      </w:r>
      <w:r w:rsidRPr="00743DF1">
        <w:rPr>
          <w:rFonts w:ascii="Arial" w:hAnsi="Arial" w:cs="Arial"/>
          <w:spacing w:val="59"/>
          <w:sz w:val="20"/>
          <w:szCs w:val="20"/>
        </w:rPr>
        <w:t xml:space="preserve"> </w:t>
      </w:r>
      <w:r w:rsidRPr="00743DF1">
        <w:rPr>
          <w:rFonts w:ascii="Arial" w:hAnsi="Arial" w:cs="Arial"/>
          <w:spacing w:val="-1"/>
          <w:sz w:val="20"/>
          <w:szCs w:val="20"/>
        </w:rPr>
        <w:t>exposure.</w:t>
      </w:r>
    </w:p>
    <w:p w14:paraId="44CB8205" w14:textId="77777777" w:rsidR="00AD2F2F" w:rsidRPr="00743DF1" w:rsidRDefault="00AD2F2F" w:rsidP="00AD2F2F">
      <w:pPr>
        <w:pStyle w:val="BodyText"/>
        <w:spacing w:before="161"/>
        <w:ind w:left="0" w:right="175"/>
        <w:rPr>
          <w:rFonts w:ascii="Arial" w:hAnsi="Arial" w:cs="Arial"/>
          <w:sz w:val="20"/>
          <w:szCs w:val="20"/>
        </w:rPr>
      </w:pPr>
      <w:r w:rsidRPr="00743DF1">
        <w:rPr>
          <w:rFonts w:ascii="Arial" w:hAnsi="Arial" w:cs="Arial"/>
          <w:spacing w:val="-1"/>
          <w:sz w:val="20"/>
          <w:szCs w:val="20"/>
        </w:rPr>
        <w:t>In 2016 the</w:t>
      </w:r>
      <w:r w:rsidRPr="00743DF1">
        <w:rPr>
          <w:rFonts w:ascii="Arial" w:hAnsi="Arial" w:cs="Arial"/>
          <w:spacing w:val="1"/>
          <w:sz w:val="20"/>
          <w:szCs w:val="20"/>
        </w:rPr>
        <w:t xml:space="preserve"> </w:t>
      </w:r>
      <w:r w:rsidRPr="00743DF1">
        <w:rPr>
          <w:rFonts w:ascii="Arial" w:hAnsi="Arial" w:cs="Arial"/>
          <w:spacing w:val="-1"/>
          <w:sz w:val="20"/>
          <w:szCs w:val="20"/>
        </w:rPr>
        <w:t>Australian Government</w:t>
      </w:r>
      <w:r w:rsidRPr="00743DF1">
        <w:rPr>
          <w:rFonts w:ascii="Arial" w:hAnsi="Arial" w:cs="Arial"/>
          <w:spacing w:val="1"/>
          <w:sz w:val="20"/>
          <w:szCs w:val="20"/>
        </w:rPr>
        <w:t xml:space="preserve"> </w:t>
      </w:r>
      <w:r w:rsidRPr="00743DF1">
        <w:rPr>
          <w:rFonts w:ascii="Arial" w:hAnsi="Arial" w:cs="Arial"/>
          <w:spacing w:val="-1"/>
          <w:sz w:val="20"/>
          <w:szCs w:val="20"/>
        </w:rPr>
        <w:t>Department</w:t>
      </w:r>
      <w:r w:rsidRPr="00743DF1">
        <w:rPr>
          <w:rFonts w:ascii="Arial" w:hAnsi="Arial" w:cs="Arial"/>
          <w:spacing w:val="-2"/>
          <w:sz w:val="20"/>
          <w:szCs w:val="20"/>
        </w:rPr>
        <w:t xml:space="preserve"> </w:t>
      </w:r>
      <w:r w:rsidRPr="00743DF1">
        <w:rPr>
          <w:rFonts w:ascii="Arial" w:hAnsi="Arial" w:cs="Arial"/>
          <w:sz w:val="20"/>
          <w:szCs w:val="20"/>
        </w:rPr>
        <w:t>of</w:t>
      </w:r>
      <w:r w:rsidRPr="00743DF1">
        <w:rPr>
          <w:rFonts w:ascii="Arial" w:hAnsi="Arial" w:cs="Arial"/>
          <w:spacing w:val="-2"/>
          <w:sz w:val="20"/>
          <w:szCs w:val="20"/>
        </w:rPr>
        <w:t xml:space="preserve"> </w:t>
      </w:r>
      <w:r w:rsidRPr="00743DF1">
        <w:rPr>
          <w:rFonts w:ascii="Arial" w:hAnsi="Arial" w:cs="Arial"/>
          <w:spacing w:val="-1"/>
          <w:sz w:val="20"/>
          <w:szCs w:val="20"/>
        </w:rPr>
        <w:t>Health commissioned</w:t>
      </w:r>
      <w:r w:rsidRPr="00743DF1">
        <w:rPr>
          <w:rFonts w:ascii="Arial" w:hAnsi="Arial" w:cs="Arial"/>
          <w:sz w:val="20"/>
          <w:szCs w:val="20"/>
        </w:rPr>
        <w:t xml:space="preserve"> a </w:t>
      </w:r>
      <w:r w:rsidRPr="00743DF1">
        <w:rPr>
          <w:rFonts w:ascii="Arial" w:hAnsi="Arial" w:cs="Arial"/>
          <w:spacing w:val="-1"/>
          <w:sz w:val="20"/>
          <w:szCs w:val="20"/>
        </w:rPr>
        <w:t>report</w:t>
      </w:r>
      <w:r w:rsidRPr="00743DF1">
        <w:rPr>
          <w:rFonts w:ascii="Arial" w:hAnsi="Arial" w:cs="Arial"/>
          <w:spacing w:val="1"/>
          <w:sz w:val="20"/>
          <w:szCs w:val="20"/>
        </w:rPr>
        <w:t xml:space="preserve"> </w:t>
      </w:r>
      <w:r w:rsidRPr="00743DF1">
        <w:rPr>
          <w:rFonts w:ascii="Arial" w:hAnsi="Arial" w:cs="Arial"/>
          <w:spacing w:val="-1"/>
          <w:sz w:val="20"/>
          <w:szCs w:val="20"/>
        </w:rPr>
        <w:t>describing the</w:t>
      </w:r>
      <w:r w:rsidRPr="00743DF1">
        <w:rPr>
          <w:rFonts w:ascii="Arial" w:hAnsi="Arial" w:cs="Arial"/>
          <w:spacing w:val="43"/>
          <w:sz w:val="20"/>
          <w:szCs w:val="20"/>
        </w:rPr>
        <w:t xml:space="preserve"> </w:t>
      </w:r>
      <w:r w:rsidRPr="00743DF1">
        <w:rPr>
          <w:rFonts w:ascii="Arial" w:hAnsi="Arial" w:cs="Arial"/>
          <w:spacing w:val="-1"/>
          <w:sz w:val="20"/>
          <w:szCs w:val="20"/>
        </w:rPr>
        <w:t>literature</w:t>
      </w:r>
      <w:r w:rsidRPr="00743DF1">
        <w:rPr>
          <w:rFonts w:ascii="Arial" w:hAnsi="Arial" w:cs="Arial"/>
          <w:spacing w:val="-2"/>
          <w:sz w:val="20"/>
          <w:szCs w:val="20"/>
        </w:rPr>
        <w:t xml:space="preserve"> </w:t>
      </w:r>
      <w:r w:rsidRPr="00743DF1">
        <w:rPr>
          <w:rFonts w:ascii="Arial" w:hAnsi="Arial" w:cs="Arial"/>
          <w:spacing w:val="-1"/>
          <w:sz w:val="20"/>
          <w:szCs w:val="20"/>
        </w:rPr>
        <w:t>and consensus</w:t>
      </w:r>
      <w:r w:rsidRPr="00743DF1">
        <w:rPr>
          <w:rFonts w:ascii="Arial" w:hAnsi="Arial" w:cs="Arial"/>
          <w:sz w:val="20"/>
          <w:szCs w:val="20"/>
        </w:rPr>
        <w:t xml:space="preserve"> </w:t>
      </w:r>
      <w:r w:rsidRPr="00743DF1">
        <w:rPr>
          <w:rFonts w:ascii="Arial" w:hAnsi="Arial" w:cs="Arial"/>
          <w:spacing w:val="-1"/>
          <w:sz w:val="20"/>
          <w:szCs w:val="20"/>
        </w:rPr>
        <w:t>science</w:t>
      </w:r>
      <w:r w:rsidRPr="00743DF1">
        <w:rPr>
          <w:rFonts w:ascii="Arial" w:hAnsi="Arial" w:cs="Arial"/>
          <w:spacing w:val="-2"/>
          <w:sz w:val="20"/>
          <w:szCs w:val="20"/>
        </w:rPr>
        <w:t xml:space="preserve"> </w:t>
      </w:r>
      <w:r w:rsidRPr="00743DF1">
        <w:rPr>
          <w:rFonts w:ascii="Arial" w:hAnsi="Arial" w:cs="Arial"/>
          <w:sz w:val="20"/>
          <w:szCs w:val="20"/>
        </w:rPr>
        <w:t>on</w:t>
      </w:r>
      <w:r w:rsidRPr="00743DF1">
        <w:rPr>
          <w:rFonts w:ascii="Arial" w:hAnsi="Arial" w:cs="Arial"/>
          <w:spacing w:val="-1"/>
          <w:sz w:val="20"/>
          <w:szCs w:val="20"/>
        </w:rPr>
        <w:t xml:space="preserve"> </w:t>
      </w:r>
      <w:proofErr w:type="spellStart"/>
      <w:r w:rsidRPr="00743DF1">
        <w:rPr>
          <w:rFonts w:ascii="Arial" w:hAnsi="Arial" w:cs="Arial"/>
          <w:spacing w:val="-1"/>
          <w:sz w:val="20"/>
          <w:szCs w:val="20"/>
        </w:rPr>
        <w:t>vapour</w:t>
      </w:r>
      <w:proofErr w:type="spellEnd"/>
      <w:r w:rsidRPr="00743DF1">
        <w:rPr>
          <w:rFonts w:ascii="Arial" w:hAnsi="Arial" w:cs="Arial"/>
          <w:sz w:val="20"/>
          <w:szCs w:val="20"/>
        </w:rPr>
        <w:t xml:space="preserve"> </w:t>
      </w:r>
      <w:r w:rsidRPr="00743DF1">
        <w:rPr>
          <w:rFonts w:ascii="Arial" w:hAnsi="Arial" w:cs="Arial"/>
          <w:spacing w:val="-1"/>
          <w:sz w:val="20"/>
          <w:szCs w:val="20"/>
        </w:rPr>
        <w:t>intrusion risks,</w:t>
      </w:r>
      <w:r w:rsidRPr="00743DF1">
        <w:rPr>
          <w:rFonts w:ascii="Arial" w:hAnsi="Arial" w:cs="Arial"/>
          <w:sz w:val="20"/>
          <w:szCs w:val="20"/>
        </w:rPr>
        <w:t xml:space="preserve"> </w:t>
      </w:r>
      <w:r w:rsidRPr="00743DF1">
        <w:rPr>
          <w:rFonts w:ascii="Arial" w:hAnsi="Arial" w:cs="Arial"/>
          <w:spacing w:val="-1"/>
          <w:sz w:val="20"/>
          <w:szCs w:val="20"/>
        </w:rPr>
        <w:t>sampling and assessment</w:t>
      </w:r>
      <w:r w:rsidRPr="00743DF1">
        <w:rPr>
          <w:rFonts w:ascii="Arial" w:hAnsi="Arial" w:cs="Arial"/>
          <w:spacing w:val="-2"/>
          <w:sz w:val="20"/>
          <w:szCs w:val="20"/>
        </w:rPr>
        <w:t xml:space="preserve"> </w:t>
      </w:r>
      <w:r w:rsidRPr="00743DF1">
        <w:rPr>
          <w:rFonts w:ascii="Arial" w:hAnsi="Arial" w:cs="Arial"/>
          <w:spacing w:val="-1"/>
          <w:sz w:val="20"/>
          <w:szCs w:val="20"/>
        </w:rPr>
        <w:t>methodologies,</w:t>
      </w:r>
      <w:r w:rsidRPr="00743DF1">
        <w:rPr>
          <w:rFonts w:ascii="Arial" w:hAnsi="Arial" w:cs="Arial"/>
          <w:spacing w:val="63"/>
          <w:sz w:val="20"/>
          <w:szCs w:val="20"/>
        </w:rPr>
        <w:t xml:space="preserve"> </w:t>
      </w:r>
      <w:r w:rsidRPr="00743DF1">
        <w:rPr>
          <w:rFonts w:ascii="Arial" w:hAnsi="Arial" w:cs="Arial"/>
          <w:spacing w:val="-1"/>
          <w:sz w:val="20"/>
          <w:szCs w:val="20"/>
        </w:rPr>
        <w:t>site</w:t>
      </w:r>
      <w:r w:rsidRPr="00743DF1">
        <w:rPr>
          <w:rFonts w:ascii="Arial" w:hAnsi="Arial" w:cs="Arial"/>
          <w:spacing w:val="1"/>
          <w:sz w:val="20"/>
          <w:szCs w:val="20"/>
        </w:rPr>
        <w:t xml:space="preserve"> </w:t>
      </w:r>
      <w:r w:rsidRPr="00743DF1">
        <w:rPr>
          <w:rFonts w:ascii="Arial" w:hAnsi="Arial" w:cs="Arial"/>
          <w:spacing w:val="-1"/>
          <w:sz w:val="20"/>
          <w:szCs w:val="20"/>
        </w:rPr>
        <w:t>conceptual</w:t>
      </w:r>
      <w:r w:rsidRPr="00743DF1">
        <w:rPr>
          <w:rFonts w:ascii="Arial" w:hAnsi="Arial" w:cs="Arial"/>
          <w:sz w:val="20"/>
          <w:szCs w:val="20"/>
        </w:rPr>
        <w:t xml:space="preserve"> </w:t>
      </w:r>
      <w:r w:rsidRPr="00743DF1">
        <w:rPr>
          <w:rFonts w:ascii="Arial" w:hAnsi="Arial" w:cs="Arial"/>
          <w:spacing w:val="-1"/>
          <w:sz w:val="20"/>
          <w:szCs w:val="20"/>
        </w:rPr>
        <w:t>model</w:t>
      </w:r>
      <w:r w:rsidRPr="00743DF1">
        <w:rPr>
          <w:rFonts w:ascii="Arial" w:hAnsi="Arial" w:cs="Arial"/>
          <w:spacing w:val="-3"/>
          <w:sz w:val="20"/>
          <w:szCs w:val="20"/>
        </w:rPr>
        <w:t xml:space="preserve"> </w:t>
      </w:r>
      <w:r w:rsidRPr="00743DF1">
        <w:rPr>
          <w:rFonts w:ascii="Arial" w:hAnsi="Arial" w:cs="Arial"/>
          <w:spacing w:val="-1"/>
          <w:sz w:val="20"/>
          <w:szCs w:val="20"/>
        </w:rPr>
        <w:t>development,</w:t>
      </w:r>
      <w:r w:rsidRPr="00743DF1">
        <w:rPr>
          <w:rFonts w:ascii="Arial" w:hAnsi="Arial" w:cs="Arial"/>
          <w:spacing w:val="-2"/>
          <w:sz w:val="20"/>
          <w:szCs w:val="20"/>
        </w:rPr>
        <w:t xml:space="preserve"> </w:t>
      </w:r>
      <w:proofErr w:type="spellStart"/>
      <w:r w:rsidRPr="00743DF1">
        <w:rPr>
          <w:rFonts w:ascii="Arial" w:hAnsi="Arial" w:cs="Arial"/>
          <w:spacing w:val="-1"/>
          <w:sz w:val="20"/>
          <w:szCs w:val="20"/>
        </w:rPr>
        <w:t>vapour</w:t>
      </w:r>
      <w:proofErr w:type="spellEnd"/>
      <w:r w:rsidRPr="00743DF1">
        <w:rPr>
          <w:rFonts w:ascii="Arial" w:hAnsi="Arial" w:cs="Arial"/>
          <w:sz w:val="20"/>
          <w:szCs w:val="20"/>
        </w:rPr>
        <w:t xml:space="preserve"> </w:t>
      </w:r>
      <w:r w:rsidRPr="00743DF1">
        <w:rPr>
          <w:rFonts w:ascii="Arial" w:hAnsi="Arial" w:cs="Arial"/>
          <w:spacing w:val="-1"/>
          <w:sz w:val="20"/>
          <w:szCs w:val="20"/>
        </w:rPr>
        <w:t>intrusion modelling considerations,</w:t>
      </w:r>
      <w:r w:rsidRPr="00743DF1">
        <w:rPr>
          <w:rFonts w:ascii="Arial" w:hAnsi="Arial" w:cs="Arial"/>
          <w:sz w:val="20"/>
          <w:szCs w:val="20"/>
        </w:rPr>
        <w:t xml:space="preserve"> </w:t>
      </w:r>
      <w:r w:rsidRPr="00743DF1">
        <w:rPr>
          <w:rFonts w:ascii="Arial" w:hAnsi="Arial" w:cs="Arial"/>
          <w:spacing w:val="-1"/>
          <w:sz w:val="20"/>
          <w:szCs w:val="20"/>
        </w:rPr>
        <w:t>inclusive</w:t>
      </w:r>
      <w:r w:rsidRPr="00743DF1">
        <w:rPr>
          <w:rFonts w:ascii="Arial" w:hAnsi="Arial" w:cs="Arial"/>
          <w:spacing w:val="-2"/>
          <w:sz w:val="20"/>
          <w:szCs w:val="20"/>
        </w:rPr>
        <w:t xml:space="preserve"> </w:t>
      </w:r>
      <w:r w:rsidRPr="00743DF1">
        <w:rPr>
          <w:rFonts w:ascii="Arial" w:hAnsi="Arial" w:cs="Arial"/>
          <w:sz w:val="20"/>
          <w:szCs w:val="20"/>
        </w:rPr>
        <w:t>of</w:t>
      </w:r>
      <w:r w:rsidRPr="00743DF1">
        <w:rPr>
          <w:rFonts w:ascii="Arial" w:hAnsi="Arial" w:cs="Arial"/>
          <w:spacing w:val="59"/>
          <w:sz w:val="20"/>
          <w:szCs w:val="20"/>
        </w:rPr>
        <w:t xml:space="preserve"> </w:t>
      </w:r>
      <w:r w:rsidRPr="00743DF1">
        <w:rPr>
          <w:rFonts w:ascii="Arial" w:hAnsi="Arial" w:cs="Arial"/>
          <w:spacing w:val="-1"/>
          <w:sz w:val="20"/>
          <w:szCs w:val="20"/>
        </w:rPr>
        <w:t>limitations,</w:t>
      </w:r>
      <w:r w:rsidRPr="00743DF1">
        <w:rPr>
          <w:rFonts w:ascii="Arial" w:hAnsi="Arial" w:cs="Arial"/>
          <w:sz w:val="20"/>
          <w:szCs w:val="20"/>
        </w:rPr>
        <w:t xml:space="preserve"> </w:t>
      </w:r>
      <w:r w:rsidRPr="00743DF1">
        <w:rPr>
          <w:rFonts w:ascii="Arial" w:hAnsi="Arial" w:cs="Arial"/>
          <w:spacing w:val="-2"/>
          <w:sz w:val="20"/>
          <w:szCs w:val="20"/>
        </w:rPr>
        <w:t xml:space="preserve">risk </w:t>
      </w:r>
      <w:r w:rsidRPr="00743DF1">
        <w:rPr>
          <w:rFonts w:ascii="Arial" w:hAnsi="Arial" w:cs="Arial"/>
          <w:spacing w:val="-1"/>
          <w:sz w:val="20"/>
          <w:szCs w:val="20"/>
        </w:rPr>
        <w:t>management/control</w:t>
      </w:r>
      <w:r w:rsidRPr="00743DF1">
        <w:rPr>
          <w:rFonts w:ascii="Arial" w:hAnsi="Arial" w:cs="Arial"/>
          <w:spacing w:val="-3"/>
          <w:sz w:val="20"/>
          <w:szCs w:val="20"/>
        </w:rPr>
        <w:t xml:space="preserve"> </w:t>
      </w:r>
      <w:r w:rsidRPr="00743DF1">
        <w:rPr>
          <w:rFonts w:ascii="Arial" w:hAnsi="Arial" w:cs="Arial"/>
          <w:spacing w:val="-1"/>
          <w:sz w:val="20"/>
          <w:szCs w:val="20"/>
        </w:rPr>
        <w:t>options</w:t>
      </w:r>
      <w:r w:rsidRPr="00743DF1">
        <w:rPr>
          <w:rFonts w:ascii="Arial" w:hAnsi="Arial" w:cs="Arial"/>
          <w:sz w:val="20"/>
          <w:szCs w:val="20"/>
        </w:rPr>
        <w:t xml:space="preserve"> </w:t>
      </w:r>
      <w:r w:rsidRPr="00743DF1">
        <w:rPr>
          <w:rFonts w:ascii="Arial" w:hAnsi="Arial" w:cs="Arial"/>
          <w:spacing w:val="-1"/>
          <w:sz w:val="20"/>
          <w:szCs w:val="20"/>
        </w:rPr>
        <w:t>and</w:t>
      </w:r>
      <w:r w:rsidRPr="00743DF1">
        <w:rPr>
          <w:rFonts w:ascii="Arial" w:hAnsi="Arial" w:cs="Arial"/>
          <w:spacing w:val="-3"/>
          <w:sz w:val="20"/>
          <w:szCs w:val="20"/>
        </w:rPr>
        <w:t xml:space="preserve"> </w:t>
      </w:r>
      <w:r w:rsidRPr="00743DF1">
        <w:rPr>
          <w:rFonts w:ascii="Arial" w:hAnsi="Arial" w:cs="Arial"/>
          <w:spacing w:val="-1"/>
          <w:sz w:val="20"/>
          <w:szCs w:val="20"/>
        </w:rPr>
        <w:t>other</w:t>
      </w:r>
      <w:r w:rsidRPr="00743DF1">
        <w:rPr>
          <w:rFonts w:ascii="Arial" w:hAnsi="Arial" w:cs="Arial"/>
          <w:sz w:val="20"/>
          <w:szCs w:val="20"/>
        </w:rPr>
        <w:t xml:space="preserve"> </w:t>
      </w:r>
      <w:r w:rsidRPr="00743DF1">
        <w:rPr>
          <w:rFonts w:ascii="Arial" w:hAnsi="Arial" w:cs="Arial"/>
          <w:spacing w:val="-1"/>
          <w:sz w:val="20"/>
          <w:szCs w:val="20"/>
        </w:rPr>
        <w:t>relevant</w:t>
      </w:r>
      <w:r w:rsidRPr="00743DF1">
        <w:rPr>
          <w:rFonts w:ascii="Arial" w:hAnsi="Arial" w:cs="Arial"/>
          <w:spacing w:val="-2"/>
          <w:sz w:val="20"/>
          <w:szCs w:val="20"/>
        </w:rPr>
        <w:t xml:space="preserve"> </w:t>
      </w:r>
      <w:r w:rsidRPr="00743DF1">
        <w:rPr>
          <w:rFonts w:ascii="Arial" w:hAnsi="Arial" w:cs="Arial"/>
          <w:spacing w:val="-1"/>
          <w:sz w:val="20"/>
          <w:szCs w:val="20"/>
        </w:rPr>
        <w:t>issues.</w:t>
      </w:r>
    </w:p>
    <w:p w14:paraId="37332750" w14:textId="065C6351" w:rsidR="00AD2F2F" w:rsidRDefault="00AD2F2F" w:rsidP="00F55B08">
      <w:pPr>
        <w:pStyle w:val="BodyText"/>
        <w:spacing w:before="118" w:line="258" w:lineRule="auto"/>
        <w:ind w:left="0" w:right="174"/>
        <w:rPr>
          <w:rFonts w:ascii="Arial" w:hAnsi="Arial" w:cs="Arial"/>
          <w:spacing w:val="-1"/>
          <w:sz w:val="20"/>
          <w:szCs w:val="20"/>
        </w:rPr>
      </w:pPr>
      <w:r w:rsidRPr="00743DF1">
        <w:rPr>
          <w:rFonts w:ascii="Arial" w:hAnsi="Arial" w:cs="Arial"/>
          <w:spacing w:val="-1"/>
          <w:sz w:val="20"/>
          <w:szCs w:val="20"/>
        </w:rPr>
        <w:t>This</w:t>
      </w:r>
      <w:r w:rsidRPr="00743DF1">
        <w:rPr>
          <w:rFonts w:ascii="Arial" w:hAnsi="Arial" w:cs="Arial"/>
          <w:sz w:val="20"/>
          <w:szCs w:val="20"/>
        </w:rPr>
        <w:t xml:space="preserve"> </w:t>
      </w:r>
      <w:r w:rsidRPr="00743DF1">
        <w:rPr>
          <w:rFonts w:ascii="Arial" w:hAnsi="Arial" w:cs="Arial"/>
          <w:spacing w:val="-1"/>
          <w:sz w:val="20"/>
          <w:szCs w:val="20"/>
        </w:rPr>
        <w:t>report</w:t>
      </w:r>
      <w:r w:rsidRPr="00743DF1">
        <w:rPr>
          <w:rFonts w:ascii="Arial" w:hAnsi="Arial" w:cs="Arial"/>
          <w:spacing w:val="1"/>
          <w:sz w:val="20"/>
          <w:szCs w:val="20"/>
        </w:rPr>
        <w:t xml:space="preserve"> </w:t>
      </w:r>
      <w:r w:rsidRPr="00743DF1">
        <w:rPr>
          <w:rFonts w:ascii="Arial" w:hAnsi="Arial" w:cs="Arial"/>
          <w:spacing w:val="-1"/>
          <w:sz w:val="20"/>
          <w:szCs w:val="20"/>
        </w:rPr>
        <w:t>titled</w:t>
      </w:r>
      <w:r w:rsidRPr="00743DF1">
        <w:rPr>
          <w:rFonts w:ascii="Arial" w:hAnsi="Arial" w:cs="Arial"/>
          <w:spacing w:val="-3"/>
          <w:sz w:val="20"/>
          <w:szCs w:val="20"/>
        </w:rPr>
        <w:t xml:space="preserve"> </w:t>
      </w:r>
      <w:r w:rsidRPr="00743DF1">
        <w:rPr>
          <w:rFonts w:ascii="Arial" w:hAnsi="Arial" w:cs="Arial"/>
          <w:spacing w:val="-1"/>
          <w:sz w:val="20"/>
          <w:szCs w:val="20"/>
        </w:rPr>
        <w:t>“</w:t>
      </w:r>
      <w:proofErr w:type="spellStart"/>
      <w:r w:rsidRPr="00743DF1">
        <w:rPr>
          <w:rFonts w:ascii="Arial" w:hAnsi="Arial" w:cs="Arial"/>
          <w:i/>
          <w:spacing w:val="-1"/>
          <w:sz w:val="20"/>
          <w:szCs w:val="20"/>
        </w:rPr>
        <w:t>Vapour</w:t>
      </w:r>
      <w:proofErr w:type="spellEnd"/>
      <w:r w:rsidRPr="00743DF1">
        <w:rPr>
          <w:rFonts w:ascii="Arial" w:hAnsi="Arial" w:cs="Arial"/>
          <w:i/>
          <w:spacing w:val="1"/>
          <w:sz w:val="20"/>
          <w:szCs w:val="20"/>
        </w:rPr>
        <w:t xml:space="preserve"> </w:t>
      </w:r>
      <w:r w:rsidRPr="00743DF1">
        <w:rPr>
          <w:rFonts w:ascii="Arial" w:hAnsi="Arial" w:cs="Arial"/>
          <w:i/>
          <w:spacing w:val="-1"/>
          <w:sz w:val="20"/>
          <w:szCs w:val="20"/>
        </w:rPr>
        <w:t>intrusions</w:t>
      </w:r>
      <w:r w:rsidRPr="00743DF1">
        <w:rPr>
          <w:rFonts w:ascii="Arial" w:hAnsi="Arial" w:cs="Arial"/>
          <w:i/>
          <w:spacing w:val="-2"/>
          <w:sz w:val="20"/>
          <w:szCs w:val="20"/>
        </w:rPr>
        <w:t xml:space="preserve"> </w:t>
      </w:r>
      <w:r w:rsidRPr="00743DF1">
        <w:rPr>
          <w:rFonts w:ascii="Arial" w:hAnsi="Arial" w:cs="Arial"/>
          <w:i/>
          <w:sz w:val="20"/>
          <w:szCs w:val="20"/>
        </w:rPr>
        <w:t>–</w:t>
      </w:r>
      <w:r w:rsidRPr="00743DF1">
        <w:rPr>
          <w:rFonts w:ascii="Arial" w:hAnsi="Arial" w:cs="Arial"/>
          <w:i/>
          <w:spacing w:val="1"/>
          <w:sz w:val="20"/>
          <w:szCs w:val="20"/>
        </w:rPr>
        <w:t xml:space="preserve"> </w:t>
      </w:r>
      <w:r w:rsidRPr="00743DF1">
        <w:rPr>
          <w:rFonts w:ascii="Arial" w:hAnsi="Arial" w:cs="Arial"/>
          <w:i/>
          <w:spacing w:val="-1"/>
          <w:sz w:val="20"/>
          <w:szCs w:val="20"/>
        </w:rPr>
        <w:t>hazardous</w:t>
      </w:r>
      <w:r w:rsidRPr="00743DF1">
        <w:rPr>
          <w:rFonts w:ascii="Arial" w:hAnsi="Arial" w:cs="Arial"/>
          <w:i/>
          <w:spacing w:val="1"/>
          <w:sz w:val="20"/>
          <w:szCs w:val="20"/>
        </w:rPr>
        <w:t xml:space="preserve"> </w:t>
      </w:r>
      <w:r w:rsidRPr="00743DF1">
        <w:rPr>
          <w:rFonts w:ascii="Arial" w:hAnsi="Arial" w:cs="Arial"/>
          <w:i/>
          <w:spacing w:val="-1"/>
          <w:sz w:val="20"/>
          <w:szCs w:val="20"/>
        </w:rPr>
        <w:t>ground</w:t>
      </w:r>
      <w:r w:rsidRPr="00743DF1">
        <w:rPr>
          <w:rFonts w:ascii="Arial" w:hAnsi="Arial" w:cs="Arial"/>
          <w:i/>
          <w:sz w:val="20"/>
          <w:szCs w:val="20"/>
        </w:rPr>
        <w:t xml:space="preserve"> </w:t>
      </w:r>
      <w:r w:rsidRPr="00743DF1">
        <w:rPr>
          <w:rFonts w:ascii="Arial" w:hAnsi="Arial" w:cs="Arial"/>
          <w:i/>
          <w:spacing w:val="-1"/>
          <w:sz w:val="20"/>
          <w:szCs w:val="20"/>
        </w:rPr>
        <w:t>gases.</w:t>
      </w:r>
      <w:r w:rsidRPr="00743DF1">
        <w:rPr>
          <w:rFonts w:ascii="Arial" w:hAnsi="Arial" w:cs="Arial"/>
          <w:i/>
          <w:sz w:val="20"/>
          <w:szCs w:val="20"/>
        </w:rPr>
        <w:t xml:space="preserve"> </w:t>
      </w:r>
      <w:r w:rsidRPr="00743DF1">
        <w:rPr>
          <w:rFonts w:ascii="Arial" w:hAnsi="Arial" w:cs="Arial"/>
          <w:i/>
          <w:spacing w:val="-1"/>
          <w:sz w:val="20"/>
          <w:szCs w:val="20"/>
        </w:rPr>
        <w:t>Review</w:t>
      </w:r>
      <w:r w:rsidRPr="00743DF1">
        <w:rPr>
          <w:rFonts w:ascii="Arial" w:hAnsi="Arial" w:cs="Arial"/>
          <w:i/>
          <w:spacing w:val="1"/>
          <w:sz w:val="20"/>
          <w:szCs w:val="20"/>
        </w:rPr>
        <w:t xml:space="preserve"> </w:t>
      </w:r>
      <w:r w:rsidRPr="00743DF1">
        <w:rPr>
          <w:rFonts w:ascii="Arial" w:hAnsi="Arial" w:cs="Arial"/>
          <w:i/>
          <w:spacing w:val="-1"/>
          <w:sz w:val="20"/>
          <w:szCs w:val="20"/>
        </w:rPr>
        <w:t>and</w:t>
      </w:r>
      <w:r w:rsidRPr="00743DF1">
        <w:rPr>
          <w:rFonts w:ascii="Arial" w:hAnsi="Arial" w:cs="Arial"/>
          <w:i/>
          <w:sz w:val="20"/>
          <w:szCs w:val="20"/>
        </w:rPr>
        <w:t xml:space="preserve"> </w:t>
      </w:r>
      <w:r w:rsidRPr="00743DF1">
        <w:rPr>
          <w:rFonts w:ascii="Arial" w:hAnsi="Arial" w:cs="Arial"/>
          <w:i/>
          <w:spacing w:val="-2"/>
          <w:sz w:val="20"/>
          <w:szCs w:val="20"/>
        </w:rPr>
        <w:t>guidance</w:t>
      </w:r>
      <w:r w:rsidRPr="00743DF1">
        <w:rPr>
          <w:rFonts w:ascii="Arial" w:hAnsi="Arial" w:cs="Arial"/>
          <w:i/>
          <w:sz w:val="20"/>
          <w:szCs w:val="20"/>
        </w:rPr>
        <w:t xml:space="preserve"> </w:t>
      </w:r>
      <w:r w:rsidRPr="00743DF1">
        <w:rPr>
          <w:rFonts w:ascii="Arial" w:hAnsi="Arial" w:cs="Arial"/>
          <w:i/>
          <w:spacing w:val="-1"/>
          <w:sz w:val="20"/>
          <w:szCs w:val="20"/>
        </w:rPr>
        <w:t>based on</w:t>
      </w:r>
      <w:r w:rsidRPr="00743DF1">
        <w:rPr>
          <w:rFonts w:ascii="Arial" w:hAnsi="Arial" w:cs="Arial"/>
          <w:i/>
          <w:spacing w:val="61"/>
          <w:sz w:val="20"/>
          <w:szCs w:val="20"/>
        </w:rPr>
        <w:t xml:space="preserve"> </w:t>
      </w:r>
      <w:r w:rsidRPr="00743DF1">
        <w:rPr>
          <w:rFonts w:ascii="Arial" w:hAnsi="Arial" w:cs="Arial"/>
          <w:i/>
          <w:spacing w:val="-1"/>
          <w:sz w:val="20"/>
          <w:szCs w:val="20"/>
        </w:rPr>
        <w:t>current</w:t>
      </w:r>
      <w:r w:rsidRPr="00743DF1">
        <w:rPr>
          <w:rFonts w:ascii="Arial" w:hAnsi="Arial" w:cs="Arial"/>
          <w:i/>
          <w:spacing w:val="-2"/>
          <w:sz w:val="20"/>
          <w:szCs w:val="20"/>
        </w:rPr>
        <w:t xml:space="preserve"> </w:t>
      </w:r>
      <w:r w:rsidRPr="00743DF1">
        <w:rPr>
          <w:rFonts w:ascii="Arial" w:hAnsi="Arial" w:cs="Arial"/>
          <w:i/>
          <w:spacing w:val="-1"/>
          <w:sz w:val="20"/>
          <w:szCs w:val="20"/>
        </w:rPr>
        <w:t>scientific consensus</w:t>
      </w:r>
      <w:r w:rsidRPr="00743DF1">
        <w:rPr>
          <w:rFonts w:ascii="Arial" w:hAnsi="Arial" w:cs="Arial"/>
          <w:spacing w:val="-1"/>
          <w:sz w:val="20"/>
          <w:szCs w:val="20"/>
        </w:rPr>
        <w:t>”</w:t>
      </w:r>
      <w:r w:rsidRPr="00743DF1">
        <w:rPr>
          <w:rFonts w:ascii="Arial" w:hAnsi="Arial" w:cs="Arial"/>
          <w:spacing w:val="1"/>
          <w:sz w:val="20"/>
          <w:szCs w:val="20"/>
        </w:rPr>
        <w:t xml:space="preserve"> </w:t>
      </w:r>
      <w:r w:rsidRPr="00743DF1">
        <w:rPr>
          <w:rFonts w:ascii="Arial" w:hAnsi="Arial" w:cs="Arial"/>
          <w:spacing w:val="-1"/>
          <w:sz w:val="20"/>
          <w:szCs w:val="20"/>
        </w:rPr>
        <w:t>explores</w:t>
      </w:r>
      <w:r w:rsidRPr="00743DF1">
        <w:rPr>
          <w:rFonts w:ascii="Arial" w:hAnsi="Arial" w:cs="Arial"/>
          <w:sz w:val="20"/>
          <w:szCs w:val="20"/>
        </w:rPr>
        <w:t xml:space="preserve"> </w:t>
      </w:r>
      <w:r w:rsidRPr="00743DF1">
        <w:rPr>
          <w:rFonts w:ascii="Arial" w:hAnsi="Arial" w:cs="Arial"/>
          <w:spacing w:val="-1"/>
          <w:sz w:val="20"/>
          <w:szCs w:val="20"/>
        </w:rPr>
        <w:t>the</w:t>
      </w:r>
      <w:r w:rsidRPr="00743DF1">
        <w:rPr>
          <w:rFonts w:ascii="Arial" w:hAnsi="Arial" w:cs="Arial"/>
          <w:spacing w:val="-2"/>
          <w:sz w:val="20"/>
          <w:szCs w:val="20"/>
        </w:rPr>
        <w:t xml:space="preserve"> </w:t>
      </w:r>
      <w:r w:rsidRPr="00743DF1">
        <w:rPr>
          <w:rFonts w:ascii="Arial" w:hAnsi="Arial" w:cs="Arial"/>
          <w:spacing w:val="-1"/>
          <w:sz w:val="20"/>
          <w:szCs w:val="20"/>
        </w:rPr>
        <w:t>selection processes</w:t>
      </w:r>
      <w:r w:rsidRPr="00743DF1">
        <w:rPr>
          <w:rFonts w:ascii="Arial" w:hAnsi="Arial" w:cs="Arial"/>
          <w:sz w:val="20"/>
          <w:szCs w:val="20"/>
        </w:rPr>
        <w:t xml:space="preserve"> </w:t>
      </w:r>
      <w:r w:rsidRPr="00743DF1">
        <w:rPr>
          <w:rFonts w:ascii="Arial" w:hAnsi="Arial" w:cs="Arial"/>
          <w:spacing w:val="-1"/>
          <w:sz w:val="20"/>
          <w:szCs w:val="20"/>
        </w:rPr>
        <w:t>for</w:t>
      </w:r>
      <w:r w:rsidRPr="00743DF1">
        <w:rPr>
          <w:rFonts w:ascii="Arial" w:hAnsi="Arial" w:cs="Arial"/>
          <w:spacing w:val="-2"/>
          <w:sz w:val="20"/>
          <w:szCs w:val="20"/>
        </w:rPr>
        <w:t xml:space="preserve"> </w:t>
      </w:r>
      <w:r w:rsidRPr="00743DF1">
        <w:rPr>
          <w:rFonts w:ascii="Arial" w:hAnsi="Arial" w:cs="Arial"/>
          <w:spacing w:val="-1"/>
          <w:sz w:val="20"/>
          <w:szCs w:val="20"/>
        </w:rPr>
        <w:t>chemicals</w:t>
      </w:r>
      <w:r w:rsidRPr="00743DF1">
        <w:rPr>
          <w:rFonts w:ascii="Arial" w:hAnsi="Arial" w:cs="Arial"/>
          <w:spacing w:val="-2"/>
          <w:sz w:val="20"/>
          <w:szCs w:val="20"/>
        </w:rPr>
        <w:t xml:space="preserve"> </w:t>
      </w:r>
      <w:r w:rsidRPr="00743DF1">
        <w:rPr>
          <w:rFonts w:ascii="Arial" w:hAnsi="Arial" w:cs="Arial"/>
          <w:sz w:val="20"/>
          <w:szCs w:val="20"/>
        </w:rPr>
        <w:t xml:space="preserve">of </w:t>
      </w:r>
      <w:r w:rsidRPr="00743DF1">
        <w:rPr>
          <w:rFonts w:ascii="Arial" w:hAnsi="Arial" w:cs="Arial"/>
          <w:spacing w:val="-1"/>
          <w:sz w:val="20"/>
          <w:szCs w:val="20"/>
        </w:rPr>
        <w:t>potential</w:t>
      </w:r>
      <w:r w:rsidRPr="00743DF1">
        <w:rPr>
          <w:rFonts w:ascii="Arial" w:hAnsi="Arial" w:cs="Arial"/>
          <w:sz w:val="20"/>
          <w:szCs w:val="20"/>
        </w:rPr>
        <w:t xml:space="preserve"> </w:t>
      </w:r>
      <w:r w:rsidRPr="00743DF1">
        <w:rPr>
          <w:rFonts w:ascii="Arial" w:hAnsi="Arial" w:cs="Arial"/>
          <w:spacing w:val="-1"/>
          <w:sz w:val="20"/>
          <w:szCs w:val="20"/>
        </w:rPr>
        <w:t>concern,</w:t>
      </w:r>
      <w:r w:rsidRPr="00743DF1">
        <w:rPr>
          <w:rFonts w:ascii="Arial" w:hAnsi="Arial" w:cs="Arial"/>
          <w:spacing w:val="61"/>
          <w:sz w:val="20"/>
          <w:szCs w:val="20"/>
        </w:rPr>
        <w:t xml:space="preserve"> </w:t>
      </w:r>
      <w:r w:rsidRPr="00743DF1">
        <w:rPr>
          <w:rFonts w:ascii="Arial" w:hAnsi="Arial" w:cs="Arial"/>
          <w:spacing w:val="-1"/>
          <w:sz w:val="20"/>
          <w:szCs w:val="20"/>
        </w:rPr>
        <w:t>examines</w:t>
      </w:r>
      <w:r w:rsidRPr="00743DF1">
        <w:rPr>
          <w:rFonts w:ascii="Arial" w:hAnsi="Arial" w:cs="Arial"/>
          <w:sz w:val="20"/>
          <w:szCs w:val="20"/>
        </w:rPr>
        <w:t xml:space="preserve"> </w:t>
      </w:r>
      <w:r w:rsidRPr="00743DF1">
        <w:rPr>
          <w:rFonts w:ascii="Arial" w:hAnsi="Arial" w:cs="Arial"/>
          <w:spacing w:val="-2"/>
          <w:sz w:val="20"/>
          <w:szCs w:val="20"/>
        </w:rPr>
        <w:t>the</w:t>
      </w:r>
      <w:r w:rsidRPr="00743DF1">
        <w:rPr>
          <w:rFonts w:ascii="Arial" w:hAnsi="Arial" w:cs="Arial"/>
          <w:spacing w:val="1"/>
          <w:sz w:val="20"/>
          <w:szCs w:val="20"/>
        </w:rPr>
        <w:t xml:space="preserve"> </w:t>
      </w:r>
      <w:r w:rsidRPr="00743DF1">
        <w:rPr>
          <w:rFonts w:ascii="Arial" w:hAnsi="Arial" w:cs="Arial"/>
          <w:spacing w:val="-1"/>
          <w:sz w:val="20"/>
          <w:szCs w:val="20"/>
        </w:rPr>
        <w:t>site</w:t>
      </w:r>
      <w:r w:rsidRPr="00743DF1">
        <w:rPr>
          <w:rFonts w:ascii="Arial" w:hAnsi="Arial" w:cs="Arial"/>
          <w:spacing w:val="1"/>
          <w:sz w:val="20"/>
          <w:szCs w:val="20"/>
        </w:rPr>
        <w:t xml:space="preserve"> </w:t>
      </w:r>
      <w:r w:rsidRPr="00743DF1">
        <w:rPr>
          <w:rFonts w:ascii="Arial" w:hAnsi="Arial" w:cs="Arial"/>
          <w:spacing w:val="-1"/>
          <w:sz w:val="20"/>
          <w:szCs w:val="20"/>
        </w:rPr>
        <w:t>settings,</w:t>
      </w:r>
      <w:r w:rsidRPr="00743DF1">
        <w:rPr>
          <w:rFonts w:ascii="Arial" w:hAnsi="Arial" w:cs="Arial"/>
          <w:spacing w:val="-2"/>
          <w:sz w:val="20"/>
          <w:szCs w:val="20"/>
        </w:rPr>
        <w:t xml:space="preserve"> </w:t>
      </w:r>
      <w:r w:rsidRPr="00743DF1">
        <w:rPr>
          <w:rFonts w:ascii="Arial" w:hAnsi="Arial" w:cs="Arial"/>
          <w:spacing w:val="-1"/>
          <w:sz w:val="20"/>
          <w:szCs w:val="20"/>
        </w:rPr>
        <w:t>and reviews</w:t>
      </w:r>
      <w:r w:rsidRPr="00743DF1">
        <w:rPr>
          <w:rFonts w:ascii="Arial" w:hAnsi="Arial" w:cs="Arial"/>
          <w:sz w:val="20"/>
          <w:szCs w:val="20"/>
        </w:rPr>
        <w:t xml:space="preserve"> </w:t>
      </w:r>
      <w:r w:rsidRPr="00743DF1">
        <w:rPr>
          <w:rFonts w:ascii="Arial" w:hAnsi="Arial" w:cs="Arial"/>
          <w:spacing w:val="-1"/>
          <w:sz w:val="20"/>
          <w:szCs w:val="20"/>
        </w:rPr>
        <w:t>issues</w:t>
      </w:r>
      <w:r w:rsidRPr="00743DF1">
        <w:rPr>
          <w:rFonts w:ascii="Arial" w:hAnsi="Arial" w:cs="Arial"/>
          <w:spacing w:val="-2"/>
          <w:sz w:val="20"/>
          <w:szCs w:val="20"/>
        </w:rPr>
        <w:t xml:space="preserve"> </w:t>
      </w:r>
      <w:r w:rsidRPr="00743DF1">
        <w:rPr>
          <w:rFonts w:ascii="Arial" w:hAnsi="Arial" w:cs="Arial"/>
          <w:sz w:val="20"/>
          <w:szCs w:val="20"/>
        </w:rPr>
        <w:t xml:space="preserve">of </w:t>
      </w:r>
      <w:r w:rsidRPr="00743DF1">
        <w:rPr>
          <w:rFonts w:ascii="Arial" w:hAnsi="Arial" w:cs="Arial"/>
          <w:spacing w:val="-1"/>
          <w:sz w:val="20"/>
          <w:szCs w:val="20"/>
        </w:rPr>
        <w:t>concern across</w:t>
      </w:r>
      <w:r w:rsidRPr="00743DF1">
        <w:rPr>
          <w:rFonts w:ascii="Arial" w:hAnsi="Arial" w:cs="Arial"/>
          <w:sz w:val="20"/>
          <w:szCs w:val="20"/>
        </w:rPr>
        <w:t xml:space="preserve"> </w:t>
      </w:r>
      <w:r w:rsidRPr="00743DF1">
        <w:rPr>
          <w:rFonts w:ascii="Arial" w:hAnsi="Arial" w:cs="Arial"/>
          <w:spacing w:val="-1"/>
          <w:sz w:val="20"/>
          <w:szCs w:val="20"/>
        </w:rPr>
        <w:t>toxicology,</w:t>
      </w:r>
      <w:r w:rsidRPr="00743DF1">
        <w:rPr>
          <w:rFonts w:ascii="Arial" w:hAnsi="Arial" w:cs="Arial"/>
          <w:spacing w:val="-2"/>
          <w:sz w:val="20"/>
          <w:szCs w:val="20"/>
        </w:rPr>
        <w:t xml:space="preserve"> </w:t>
      </w:r>
      <w:r w:rsidRPr="00743DF1">
        <w:rPr>
          <w:rFonts w:ascii="Arial" w:hAnsi="Arial" w:cs="Arial"/>
          <w:spacing w:val="-1"/>
          <w:sz w:val="20"/>
          <w:szCs w:val="20"/>
        </w:rPr>
        <w:t>epidemiology,</w:t>
      </w:r>
      <w:r w:rsidRPr="00743DF1">
        <w:rPr>
          <w:rFonts w:ascii="Arial" w:hAnsi="Arial" w:cs="Arial"/>
          <w:sz w:val="20"/>
          <w:szCs w:val="20"/>
        </w:rPr>
        <w:t xml:space="preserve"> </w:t>
      </w:r>
      <w:r w:rsidRPr="00743DF1">
        <w:rPr>
          <w:rFonts w:ascii="Arial" w:hAnsi="Arial" w:cs="Arial"/>
          <w:spacing w:val="-1"/>
          <w:sz w:val="20"/>
          <w:szCs w:val="20"/>
        </w:rPr>
        <w:t>and</w:t>
      </w:r>
      <w:r w:rsidRPr="00743DF1">
        <w:rPr>
          <w:rFonts w:ascii="Arial" w:hAnsi="Arial" w:cs="Arial"/>
          <w:spacing w:val="59"/>
          <w:sz w:val="20"/>
          <w:szCs w:val="20"/>
        </w:rPr>
        <w:t xml:space="preserve"> </w:t>
      </w:r>
      <w:r w:rsidRPr="00743DF1">
        <w:rPr>
          <w:rFonts w:ascii="Arial" w:hAnsi="Arial" w:cs="Arial"/>
          <w:spacing w:val="-1"/>
          <w:sz w:val="20"/>
          <w:szCs w:val="20"/>
        </w:rPr>
        <w:t>exposure</w:t>
      </w:r>
      <w:r w:rsidRPr="00743DF1">
        <w:rPr>
          <w:rFonts w:ascii="Arial" w:hAnsi="Arial" w:cs="Arial"/>
          <w:spacing w:val="1"/>
          <w:sz w:val="20"/>
          <w:szCs w:val="20"/>
        </w:rPr>
        <w:t xml:space="preserve"> </w:t>
      </w:r>
      <w:r w:rsidRPr="00743DF1">
        <w:rPr>
          <w:rFonts w:ascii="Arial" w:hAnsi="Arial" w:cs="Arial"/>
          <w:spacing w:val="-1"/>
          <w:sz w:val="20"/>
          <w:szCs w:val="20"/>
        </w:rPr>
        <w:t>assessment.</w:t>
      </w:r>
      <w:r w:rsidRPr="00743DF1">
        <w:rPr>
          <w:rFonts w:ascii="Arial" w:hAnsi="Arial" w:cs="Arial"/>
          <w:spacing w:val="47"/>
          <w:sz w:val="20"/>
          <w:szCs w:val="20"/>
        </w:rPr>
        <w:t xml:space="preserve"> </w:t>
      </w:r>
      <w:r w:rsidRPr="00743DF1">
        <w:rPr>
          <w:rFonts w:ascii="Arial" w:hAnsi="Arial" w:cs="Arial"/>
          <w:spacing w:val="-1"/>
          <w:sz w:val="20"/>
          <w:szCs w:val="20"/>
        </w:rPr>
        <w:t>Regulatory agency</w:t>
      </w:r>
      <w:r w:rsidRPr="00743DF1">
        <w:rPr>
          <w:rFonts w:ascii="Arial" w:hAnsi="Arial" w:cs="Arial"/>
          <w:spacing w:val="1"/>
          <w:sz w:val="20"/>
          <w:szCs w:val="20"/>
        </w:rPr>
        <w:t xml:space="preserve"> </w:t>
      </w:r>
      <w:proofErr w:type="spellStart"/>
      <w:r w:rsidRPr="00743DF1">
        <w:rPr>
          <w:rFonts w:ascii="Arial" w:hAnsi="Arial" w:cs="Arial"/>
          <w:spacing w:val="-1"/>
          <w:sz w:val="20"/>
          <w:szCs w:val="20"/>
        </w:rPr>
        <w:t>vapour</w:t>
      </w:r>
      <w:proofErr w:type="spellEnd"/>
      <w:r w:rsidRPr="00743DF1">
        <w:rPr>
          <w:rFonts w:ascii="Arial" w:hAnsi="Arial" w:cs="Arial"/>
          <w:sz w:val="20"/>
          <w:szCs w:val="20"/>
        </w:rPr>
        <w:t xml:space="preserve"> </w:t>
      </w:r>
      <w:r w:rsidRPr="00743DF1">
        <w:rPr>
          <w:rFonts w:ascii="Arial" w:hAnsi="Arial" w:cs="Arial"/>
          <w:spacing w:val="-1"/>
          <w:sz w:val="20"/>
          <w:szCs w:val="20"/>
        </w:rPr>
        <w:t>intrusion guidance</w:t>
      </w:r>
      <w:r w:rsidRPr="00743DF1">
        <w:rPr>
          <w:rFonts w:ascii="Arial" w:hAnsi="Arial" w:cs="Arial"/>
          <w:spacing w:val="1"/>
          <w:sz w:val="20"/>
          <w:szCs w:val="20"/>
        </w:rPr>
        <w:t xml:space="preserve"> </w:t>
      </w:r>
      <w:r w:rsidRPr="00743DF1">
        <w:rPr>
          <w:rFonts w:ascii="Arial" w:hAnsi="Arial" w:cs="Arial"/>
          <w:spacing w:val="-1"/>
          <w:sz w:val="20"/>
          <w:szCs w:val="20"/>
        </w:rPr>
        <w:t>is</w:t>
      </w:r>
      <w:r w:rsidRPr="00743DF1">
        <w:rPr>
          <w:rFonts w:ascii="Arial" w:hAnsi="Arial" w:cs="Arial"/>
          <w:sz w:val="20"/>
          <w:szCs w:val="20"/>
        </w:rPr>
        <w:t xml:space="preserve"> </w:t>
      </w:r>
      <w:r w:rsidRPr="00743DF1">
        <w:rPr>
          <w:rFonts w:ascii="Arial" w:hAnsi="Arial" w:cs="Arial"/>
          <w:spacing w:val="-1"/>
          <w:sz w:val="20"/>
          <w:szCs w:val="20"/>
        </w:rPr>
        <w:t xml:space="preserve">presented </w:t>
      </w:r>
      <w:r w:rsidRPr="00743DF1">
        <w:rPr>
          <w:rFonts w:ascii="Arial" w:hAnsi="Arial" w:cs="Arial"/>
          <w:sz w:val="20"/>
          <w:szCs w:val="20"/>
        </w:rPr>
        <w:t xml:space="preserve">for </w:t>
      </w:r>
      <w:r w:rsidRPr="00743DF1">
        <w:rPr>
          <w:rFonts w:ascii="Arial" w:hAnsi="Arial" w:cs="Arial"/>
          <w:spacing w:val="-1"/>
          <w:sz w:val="20"/>
          <w:szCs w:val="20"/>
        </w:rPr>
        <w:t>Australia</w:t>
      </w:r>
      <w:r w:rsidRPr="00743DF1">
        <w:rPr>
          <w:rFonts w:ascii="Arial" w:hAnsi="Arial" w:cs="Arial"/>
          <w:spacing w:val="-2"/>
          <w:sz w:val="20"/>
          <w:szCs w:val="20"/>
        </w:rPr>
        <w:t xml:space="preserve"> </w:t>
      </w:r>
      <w:r w:rsidRPr="00743DF1">
        <w:rPr>
          <w:rFonts w:ascii="Arial" w:hAnsi="Arial" w:cs="Arial"/>
          <w:spacing w:val="-1"/>
          <w:sz w:val="20"/>
          <w:szCs w:val="20"/>
        </w:rPr>
        <w:t>and</w:t>
      </w:r>
      <w:r w:rsidRPr="00743DF1">
        <w:rPr>
          <w:rFonts w:ascii="Arial" w:hAnsi="Arial" w:cs="Arial"/>
          <w:spacing w:val="47"/>
          <w:sz w:val="20"/>
          <w:szCs w:val="20"/>
        </w:rPr>
        <w:t xml:space="preserve"> </w:t>
      </w:r>
      <w:r w:rsidRPr="00743DF1">
        <w:rPr>
          <w:rFonts w:ascii="Arial" w:hAnsi="Arial" w:cs="Arial"/>
          <w:spacing w:val="-1"/>
          <w:sz w:val="20"/>
          <w:szCs w:val="20"/>
        </w:rPr>
        <w:t>State</w:t>
      </w:r>
      <w:r w:rsidRPr="00743DF1">
        <w:rPr>
          <w:rFonts w:ascii="Arial" w:hAnsi="Arial" w:cs="Arial"/>
          <w:spacing w:val="1"/>
          <w:sz w:val="20"/>
          <w:szCs w:val="20"/>
        </w:rPr>
        <w:t xml:space="preserve"> </w:t>
      </w:r>
      <w:r w:rsidRPr="00743DF1">
        <w:rPr>
          <w:rFonts w:ascii="Arial" w:hAnsi="Arial" w:cs="Arial"/>
          <w:spacing w:val="-1"/>
          <w:sz w:val="20"/>
          <w:szCs w:val="20"/>
        </w:rPr>
        <w:t>and</w:t>
      </w:r>
      <w:r w:rsidRPr="00743DF1">
        <w:rPr>
          <w:rFonts w:ascii="Arial" w:hAnsi="Arial" w:cs="Arial"/>
          <w:spacing w:val="-3"/>
          <w:sz w:val="20"/>
          <w:szCs w:val="20"/>
        </w:rPr>
        <w:t xml:space="preserve"> </w:t>
      </w:r>
      <w:r w:rsidRPr="00743DF1">
        <w:rPr>
          <w:rFonts w:ascii="Arial" w:hAnsi="Arial" w:cs="Arial"/>
          <w:spacing w:val="-1"/>
          <w:sz w:val="20"/>
          <w:szCs w:val="20"/>
        </w:rPr>
        <w:t>Territory jurisdictions</w:t>
      </w:r>
      <w:r w:rsidRPr="00743DF1">
        <w:rPr>
          <w:rFonts w:ascii="Arial" w:hAnsi="Arial" w:cs="Arial"/>
          <w:sz w:val="20"/>
          <w:szCs w:val="20"/>
        </w:rPr>
        <w:t xml:space="preserve"> </w:t>
      </w:r>
      <w:r w:rsidRPr="00743DF1">
        <w:rPr>
          <w:rFonts w:ascii="Arial" w:hAnsi="Arial" w:cs="Arial"/>
          <w:spacing w:val="-1"/>
          <w:sz w:val="20"/>
          <w:szCs w:val="20"/>
        </w:rPr>
        <w:t>and those</w:t>
      </w:r>
      <w:r w:rsidRPr="00743DF1">
        <w:rPr>
          <w:rFonts w:ascii="Arial" w:hAnsi="Arial" w:cs="Arial"/>
          <w:spacing w:val="1"/>
          <w:sz w:val="20"/>
          <w:szCs w:val="20"/>
        </w:rPr>
        <w:t xml:space="preserve"> </w:t>
      </w:r>
      <w:r w:rsidRPr="00743DF1">
        <w:rPr>
          <w:rFonts w:ascii="Arial" w:hAnsi="Arial" w:cs="Arial"/>
          <w:spacing w:val="-1"/>
          <w:sz w:val="20"/>
          <w:szCs w:val="20"/>
        </w:rPr>
        <w:t>in</w:t>
      </w:r>
      <w:r w:rsidRPr="00743DF1">
        <w:rPr>
          <w:rFonts w:ascii="Arial" w:hAnsi="Arial" w:cs="Arial"/>
          <w:spacing w:val="-3"/>
          <w:sz w:val="20"/>
          <w:szCs w:val="20"/>
        </w:rPr>
        <w:t xml:space="preserve"> </w:t>
      </w:r>
      <w:r w:rsidRPr="00743DF1">
        <w:rPr>
          <w:rFonts w:ascii="Arial" w:hAnsi="Arial" w:cs="Arial"/>
          <w:spacing w:val="-1"/>
          <w:sz w:val="20"/>
          <w:szCs w:val="20"/>
        </w:rPr>
        <w:t>Canada,</w:t>
      </w:r>
      <w:r w:rsidRPr="00743DF1">
        <w:rPr>
          <w:rFonts w:ascii="Arial" w:hAnsi="Arial" w:cs="Arial"/>
          <w:sz w:val="20"/>
          <w:szCs w:val="20"/>
        </w:rPr>
        <w:t xml:space="preserve"> </w:t>
      </w:r>
      <w:r w:rsidRPr="00743DF1">
        <w:rPr>
          <w:rFonts w:ascii="Arial" w:hAnsi="Arial" w:cs="Arial"/>
          <w:spacing w:val="-1"/>
          <w:sz w:val="20"/>
          <w:szCs w:val="20"/>
        </w:rPr>
        <w:t>Europe</w:t>
      </w:r>
      <w:r w:rsidRPr="00743DF1">
        <w:rPr>
          <w:rFonts w:ascii="Arial" w:hAnsi="Arial" w:cs="Arial"/>
          <w:spacing w:val="1"/>
          <w:sz w:val="20"/>
          <w:szCs w:val="20"/>
        </w:rPr>
        <w:t xml:space="preserve"> </w:t>
      </w:r>
      <w:r w:rsidRPr="00743DF1">
        <w:rPr>
          <w:rFonts w:ascii="Arial" w:hAnsi="Arial" w:cs="Arial"/>
          <w:spacing w:val="-1"/>
          <w:sz w:val="20"/>
          <w:szCs w:val="20"/>
        </w:rPr>
        <w:t>(particularly the</w:t>
      </w:r>
      <w:r w:rsidRPr="00743DF1">
        <w:rPr>
          <w:rFonts w:ascii="Arial" w:hAnsi="Arial" w:cs="Arial"/>
          <w:spacing w:val="1"/>
          <w:sz w:val="20"/>
          <w:szCs w:val="20"/>
        </w:rPr>
        <w:t xml:space="preserve"> </w:t>
      </w:r>
      <w:r w:rsidRPr="00743DF1">
        <w:rPr>
          <w:rFonts w:ascii="Arial" w:hAnsi="Arial" w:cs="Arial"/>
          <w:spacing w:val="-2"/>
          <w:sz w:val="20"/>
          <w:szCs w:val="20"/>
        </w:rPr>
        <w:t>Netherlands</w:t>
      </w:r>
      <w:r w:rsidRPr="00743DF1">
        <w:rPr>
          <w:rFonts w:ascii="Arial" w:hAnsi="Arial" w:cs="Arial"/>
          <w:sz w:val="20"/>
          <w:szCs w:val="20"/>
        </w:rPr>
        <w:t xml:space="preserve"> </w:t>
      </w:r>
      <w:r w:rsidRPr="00743DF1">
        <w:rPr>
          <w:rFonts w:ascii="Arial" w:hAnsi="Arial" w:cs="Arial"/>
          <w:spacing w:val="-1"/>
          <w:sz w:val="20"/>
          <w:szCs w:val="20"/>
        </w:rPr>
        <w:t>and UK),</w:t>
      </w:r>
      <w:r w:rsidRPr="00743DF1">
        <w:rPr>
          <w:rFonts w:ascii="Arial" w:hAnsi="Arial" w:cs="Arial"/>
          <w:spacing w:val="69"/>
          <w:sz w:val="20"/>
          <w:szCs w:val="20"/>
        </w:rPr>
        <w:t xml:space="preserve"> </w:t>
      </w:r>
      <w:r w:rsidRPr="00743DF1">
        <w:rPr>
          <w:rFonts w:ascii="Arial" w:hAnsi="Arial" w:cs="Arial"/>
          <w:spacing w:val="-1"/>
          <w:sz w:val="20"/>
          <w:szCs w:val="20"/>
        </w:rPr>
        <w:t>New</w:t>
      </w:r>
      <w:r w:rsidRPr="00743DF1">
        <w:rPr>
          <w:rFonts w:ascii="Arial" w:hAnsi="Arial" w:cs="Arial"/>
          <w:spacing w:val="1"/>
          <w:sz w:val="20"/>
          <w:szCs w:val="20"/>
        </w:rPr>
        <w:t xml:space="preserve"> </w:t>
      </w:r>
      <w:r w:rsidRPr="00743DF1">
        <w:rPr>
          <w:rFonts w:ascii="Arial" w:hAnsi="Arial" w:cs="Arial"/>
          <w:spacing w:val="-1"/>
          <w:sz w:val="20"/>
          <w:szCs w:val="20"/>
        </w:rPr>
        <w:t>Zealand and the</w:t>
      </w:r>
      <w:r w:rsidRPr="00743DF1">
        <w:rPr>
          <w:rFonts w:ascii="Arial" w:hAnsi="Arial" w:cs="Arial"/>
          <w:spacing w:val="-2"/>
          <w:sz w:val="20"/>
          <w:szCs w:val="20"/>
        </w:rPr>
        <w:t xml:space="preserve"> </w:t>
      </w:r>
      <w:r w:rsidRPr="00743DF1">
        <w:rPr>
          <w:rFonts w:ascii="Arial" w:hAnsi="Arial" w:cs="Arial"/>
          <w:spacing w:val="-1"/>
          <w:sz w:val="20"/>
          <w:szCs w:val="20"/>
        </w:rPr>
        <w:t>United States.</w:t>
      </w:r>
    </w:p>
    <w:p w14:paraId="3523B6E0" w14:textId="77777777" w:rsidR="00F55B08" w:rsidRPr="00F55B08" w:rsidRDefault="00F55B08" w:rsidP="00F55B08">
      <w:pPr>
        <w:pStyle w:val="BodyText"/>
        <w:spacing w:before="118" w:line="258" w:lineRule="auto"/>
        <w:ind w:left="0" w:right="174"/>
        <w:rPr>
          <w:rFonts w:ascii="Arial" w:hAnsi="Arial" w:cs="Arial"/>
          <w:sz w:val="20"/>
          <w:szCs w:val="20"/>
        </w:rPr>
      </w:pPr>
    </w:p>
    <w:p w14:paraId="4077F816" w14:textId="77777777" w:rsidR="00AD2F2F" w:rsidRDefault="00AD2F2F" w:rsidP="00AD2F2F">
      <w:pPr>
        <w:spacing w:line="258" w:lineRule="auto"/>
        <w:ind w:right="175"/>
        <w:rPr>
          <w:rFonts w:eastAsia="Calibri" w:cs="Arial"/>
          <w:spacing w:val="-1"/>
          <w:sz w:val="20"/>
          <w:szCs w:val="20"/>
        </w:rPr>
      </w:pPr>
      <w:r w:rsidRPr="00743DF1">
        <w:rPr>
          <w:rFonts w:eastAsia="Calibri" w:cs="Arial"/>
          <w:spacing w:val="-1"/>
          <w:sz w:val="20"/>
          <w:szCs w:val="20"/>
        </w:rPr>
        <w:t>The</w:t>
      </w:r>
      <w:r w:rsidRPr="00743DF1">
        <w:rPr>
          <w:rFonts w:eastAsia="Calibri" w:cs="Arial"/>
          <w:spacing w:val="1"/>
          <w:sz w:val="20"/>
          <w:szCs w:val="20"/>
        </w:rPr>
        <w:t xml:space="preserve"> </w:t>
      </w:r>
      <w:r w:rsidRPr="00743DF1">
        <w:rPr>
          <w:rFonts w:eastAsia="Calibri" w:cs="Arial"/>
          <w:spacing w:val="-1"/>
          <w:sz w:val="20"/>
          <w:szCs w:val="20"/>
        </w:rPr>
        <w:t>international</w:t>
      </w:r>
      <w:r w:rsidRPr="00743DF1">
        <w:rPr>
          <w:rFonts w:eastAsia="Calibri" w:cs="Arial"/>
          <w:sz w:val="20"/>
          <w:szCs w:val="20"/>
        </w:rPr>
        <w:t xml:space="preserve"> </w:t>
      </w:r>
      <w:r w:rsidRPr="00743DF1">
        <w:rPr>
          <w:rFonts w:eastAsia="Calibri" w:cs="Arial"/>
          <w:spacing w:val="-1"/>
          <w:sz w:val="20"/>
          <w:szCs w:val="20"/>
        </w:rPr>
        <w:t>literature</w:t>
      </w:r>
      <w:r w:rsidRPr="00743DF1">
        <w:rPr>
          <w:rFonts w:eastAsia="Calibri" w:cs="Arial"/>
          <w:spacing w:val="-2"/>
          <w:sz w:val="20"/>
          <w:szCs w:val="20"/>
        </w:rPr>
        <w:t xml:space="preserve"> </w:t>
      </w:r>
      <w:r w:rsidRPr="00743DF1">
        <w:rPr>
          <w:rFonts w:eastAsia="Calibri" w:cs="Arial"/>
          <w:spacing w:val="-1"/>
          <w:sz w:val="20"/>
          <w:szCs w:val="20"/>
        </w:rPr>
        <w:t>and international</w:t>
      </w:r>
      <w:r w:rsidRPr="00743DF1">
        <w:rPr>
          <w:rFonts w:eastAsia="Calibri" w:cs="Arial"/>
          <w:sz w:val="20"/>
          <w:szCs w:val="20"/>
        </w:rPr>
        <w:t xml:space="preserve"> </w:t>
      </w:r>
      <w:r w:rsidRPr="00743DF1">
        <w:rPr>
          <w:rFonts w:eastAsia="Calibri" w:cs="Arial"/>
          <w:spacing w:val="-1"/>
          <w:sz w:val="20"/>
          <w:szCs w:val="20"/>
        </w:rPr>
        <w:t>regulatory</w:t>
      </w:r>
      <w:r w:rsidRPr="00743DF1">
        <w:rPr>
          <w:rFonts w:eastAsia="Calibri" w:cs="Arial"/>
          <w:spacing w:val="1"/>
          <w:sz w:val="20"/>
          <w:szCs w:val="20"/>
        </w:rPr>
        <w:t xml:space="preserve"> </w:t>
      </w:r>
      <w:r w:rsidRPr="00743DF1">
        <w:rPr>
          <w:rFonts w:eastAsia="Calibri" w:cs="Arial"/>
          <w:spacing w:val="-1"/>
          <w:sz w:val="20"/>
          <w:szCs w:val="20"/>
        </w:rPr>
        <w:t>guidance</w:t>
      </w:r>
      <w:r w:rsidRPr="00743DF1">
        <w:rPr>
          <w:rFonts w:eastAsia="Calibri" w:cs="Arial"/>
          <w:spacing w:val="1"/>
          <w:sz w:val="20"/>
          <w:szCs w:val="20"/>
        </w:rPr>
        <w:t xml:space="preserve"> </w:t>
      </w:r>
      <w:r w:rsidRPr="00743DF1">
        <w:rPr>
          <w:rFonts w:eastAsia="Calibri" w:cs="Arial"/>
          <w:spacing w:val="-1"/>
          <w:sz w:val="20"/>
          <w:szCs w:val="20"/>
        </w:rPr>
        <w:t>in this</w:t>
      </w:r>
      <w:r w:rsidRPr="00743DF1">
        <w:rPr>
          <w:rFonts w:eastAsia="Calibri" w:cs="Arial"/>
          <w:spacing w:val="-2"/>
          <w:sz w:val="20"/>
          <w:szCs w:val="20"/>
        </w:rPr>
        <w:t xml:space="preserve"> </w:t>
      </w:r>
      <w:r w:rsidRPr="00743DF1">
        <w:rPr>
          <w:rFonts w:eastAsia="Calibri" w:cs="Arial"/>
          <w:spacing w:val="-1"/>
          <w:sz w:val="20"/>
          <w:szCs w:val="20"/>
        </w:rPr>
        <w:t>area</w:t>
      </w:r>
      <w:r w:rsidRPr="00743DF1">
        <w:rPr>
          <w:rFonts w:eastAsia="Calibri" w:cs="Arial"/>
          <w:spacing w:val="-2"/>
          <w:sz w:val="20"/>
          <w:szCs w:val="20"/>
        </w:rPr>
        <w:t xml:space="preserve"> </w:t>
      </w:r>
      <w:r w:rsidRPr="00743DF1">
        <w:rPr>
          <w:rFonts w:eastAsia="Calibri" w:cs="Arial"/>
          <w:spacing w:val="-1"/>
          <w:sz w:val="20"/>
          <w:szCs w:val="20"/>
        </w:rPr>
        <w:t>is</w:t>
      </w:r>
      <w:r w:rsidRPr="00743DF1">
        <w:rPr>
          <w:rFonts w:eastAsia="Calibri" w:cs="Arial"/>
          <w:sz w:val="20"/>
          <w:szCs w:val="20"/>
        </w:rPr>
        <w:t xml:space="preserve"> </w:t>
      </w:r>
      <w:r w:rsidRPr="00743DF1">
        <w:rPr>
          <w:rFonts w:eastAsia="Calibri" w:cs="Arial"/>
          <w:spacing w:val="-2"/>
          <w:sz w:val="20"/>
          <w:szCs w:val="20"/>
        </w:rPr>
        <w:t>rapidly</w:t>
      </w:r>
      <w:r w:rsidRPr="00743DF1">
        <w:rPr>
          <w:rFonts w:eastAsia="Calibri" w:cs="Arial"/>
          <w:spacing w:val="1"/>
          <w:sz w:val="20"/>
          <w:szCs w:val="20"/>
        </w:rPr>
        <w:t xml:space="preserve"> </w:t>
      </w:r>
      <w:r w:rsidRPr="00743DF1">
        <w:rPr>
          <w:rFonts w:eastAsia="Calibri" w:cs="Arial"/>
          <w:spacing w:val="-1"/>
          <w:sz w:val="20"/>
          <w:szCs w:val="20"/>
        </w:rPr>
        <w:t>evolving and</w:t>
      </w:r>
      <w:r w:rsidRPr="00743DF1">
        <w:rPr>
          <w:rFonts w:eastAsia="Calibri" w:cs="Arial"/>
          <w:spacing w:val="59"/>
          <w:sz w:val="20"/>
          <w:szCs w:val="20"/>
        </w:rPr>
        <w:t xml:space="preserve"> </w:t>
      </w:r>
      <w:r w:rsidRPr="00743DF1">
        <w:rPr>
          <w:rFonts w:eastAsia="Calibri" w:cs="Arial"/>
          <w:spacing w:val="-1"/>
          <w:sz w:val="20"/>
          <w:szCs w:val="20"/>
        </w:rPr>
        <w:t>requires</w:t>
      </w:r>
      <w:r w:rsidRPr="00743DF1">
        <w:rPr>
          <w:rFonts w:eastAsia="Calibri" w:cs="Arial"/>
          <w:sz w:val="20"/>
          <w:szCs w:val="20"/>
        </w:rPr>
        <w:t xml:space="preserve"> </w:t>
      </w:r>
      <w:r w:rsidRPr="00743DF1">
        <w:rPr>
          <w:rFonts w:eastAsia="Calibri" w:cs="Arial"/>
          <w:spacing w:val="-1"/>
          <w:sz w:val="20"/>
          <w:szCs w:val="20"/>
        </w:rPr>
        <w:t>regular</w:t>
      </w:r>
      <w:r w:rsidRPr="00743DF1">
        <w:rPr>
          <w:rFonts w:eastAsia="Calibri" w:cs="Arial"/>
          <w:sz w:val="20"/>
          <w:szCs w:val="20"/>
        </w:rPr>
        <w:t xml:space="preserve"> </w:t>
      </w:r>
      <w:r w:rsidRPr="00743DF1">
        <w:rPr>
          <w:rFonts w:eastAsia="Calibri" w:cs="Arial"/>
          <w:spacing w:val="-1"/>
          <w:sz w:val="20"/>
          <w:szCs w:val="20"/>
        </w:rPr>
        <w:t>review</w:t>
      </w:r>
      <w:r w:rsidRPr="00743DF1">
        <w:rPr>
          <w:rFonts w:eastAsia="Calibri" w:cs="Arial"/>
          <w:spacing w:val="-2"/>
          <w:sz w:val="20"/>
          <w:szCs w:val="20"/>
        </w:rPr>
        <w:t xml:space="preserve"> </w:t>
      </w:r>
      <w:r w:rsidRPr="00743DF1">
        <w:rPr>
          <w:rFonts w:eastAsia="Calibri" w:cs="Arial"/>
          <w:spacing w:val="-1"/>
          <w:sz w:val="20"/>
          <w:szCs w:val="20"/>
        </w:rPr>
        <w:t>and consideration</w:t>
      </w:r>
      <w:r w:rsidRPr="00743DF1">
        <w:rPr>
          <w:rFonts w:eastAsia="Calibri" w:cs="Arial"/>
          <w:spacing w:val="-3"/>
          <w:sz w:val="20"/>
          <w:szCs w:val="20"/>
        </w:rPr>
        <w:t xml:space="preserve"> </w:t>
      </w:r>
      <w:r w:rsidRPr="00743DF1">
        <w:rPr>
          <w:rFonts w:eastAsia="Calibri" w:cs="Arial"/>
          <w:sz w:val="20"/>
          <w:szCs w:val="20"/>
        </w:rPr>
        <w:t xml:space="preserve">of </w:t>
      </w:r>
      <w:r w:rsidRPr="00743DF1">
        <w:rPr>
          <w:rFonts w:eastAsia="Calibri" w:cs="Arial"/>
          <w:spacing w:val="-1"/>
          <w:sz w:val="20"/>
          <w:szCs w:val="20"/>
        </w:rPr>
        <w:t>new</w:t>
      </w:r>
      <w:r w:rsidRPr="00743DF1">
        <w:rPr>
          <w:rFonts w:eastAsia="Calibri" w:cs="Arial"/>
          <w:spacing w:val="1"/>
          <w:sz w:val="20"/>
          <w:szCs w:val="20"/>
        </w:rPr>
        <w:t xml:space="preserve"> </w:t>
      </w:r>
      <w:r w:rsidRPr="00743DF1">
        <w:rPr>
          <w:rFonts w:eastAsia="Calibri" w:cs="Arial"/>
          <w:spacing w:val="-1"/>
          <w:sz w:val="20"/>
          <w:szCs w:val="20"/>
        </w:rPr>
        <w:t>information to</w:t>
      </w:r>
      <w:r w:rsidRPr="00743DF1">
        <w:rPr>
          <w:rFonts w:eastAsia="Calibri" w:cs="Arial"/>
          <w:spacing w:val="1"/>
          <w:sz w:val="20"/>
          <w:szCs w:val="20"/>
        </w:rPr>
        <w:t xml:space="preserve"> </w:t>
      </w:r>
      <w:r w:rsidRPr="00743DF1">
        <w:rPr>
          <w:rFonts w:eastAsia="Calibri" w:cs="Arial"/>
          <w:spacing w:val="-1"/>
          <w:sz w:val="20"/>
          <w:szCs w:val="20"/>
        </w:rPr>
        <w:t>update</w:t>
      </w:r>
      <w:r w:rsidRPr="00743DF1">
        <w:rPr>
          <w:rFonts w:eastAsia="Calibri" w:cs="Arial"/>
          <w:spacing w:val="-2"/>
          <w:sz w:val="20"/>
          <w:szCs w:val="20"/>
        </w:rPr>
        <w:t xml:space="preserve"> </w:t>
      </w:r>
      <w:r w:rsidRPr="00743DF1">
        <w:rPr>
          <w:rFonts w:eastAsia="Calibri" w:cs="Arial"/>
          <w:spacing w:val="-1"/>
          <w:sz w:val="20"/>
          <w:szCs w:val="20"/>
        </w:rPr>
        <w:t>national</w:t>
      </w:r>
      <w:r w:rsidRPr="00743DF1">
        <w:rPr>
          <w:rFonts w:eastAsia="Calibri" w:cs="Arial"/>
          <w:sz w:val="20"/>
          <w:szCs w:val="20"/>
        </w:rPr>
        <w:t xml:space="preserve"> </w:t>
      </w:r>
      <w:r w:rsidRPr="00743DF1">
        <w:rPr>
          <w:rFonts w:eastAsia="Calibri" w:cs="Arial"/>
          <w:spacing w:val="-1"/>
          <w:sz w:val="20"/>
          <w:szCs w:val="20"/>
        </w:rPr>
        <w:t>regulatory</w:t>
      </w:r>
      <w:r w:rsidRPr="00743DF1">
        <w:rPr>
          <w:rFonts w:eastAsia="Calibri" w:cs="Arial"/>
          <w:spacing w:val="47"/>
          <w:sz w:val="20"/>
          <w:szCs w:val="20"/>
        </w:rPr>
        <w:t xml:space="preserve"> </w:t>
      </w:r>
      <w:r w:rsidRPr="00743DF1">
        <w:rPr>
          <w:rFonts w:eastAsia="Calibri" w:cs="Arial"/>
          <w:spacing w:val="-1"/>
          <w:sz w:val="20"/>
          <w:szCs w:val="20"/>
        </w:rPr>
        <w:t>guidance.</w:t>
      </w:r>
      <w:r w:rsidRPr="00743DF1">
        <w:rPr>
          <w:rFonts w:eastAsia="Calibri" w:cs="Arial"/>
          <w:spacing w:val="49"/>
          <w:sz w:val="20"/>
          <w:szCs w:val="20"/>
        </w:rPr>
        <w:t xml:space="preserve"> </w:t>
      </w:r>
      <w:r w:rsidRPr="00743DF1">
        <w:rPr>
          <w:rFonts w:eastAsia="Calibri" w:cs="Arial"/>
          <w:spacing w:val="-1"/>
          <w:sz w:val="20"/>
          <w:szCs w:val="20"/>
        </w:rPr>
        <w:t>“</w:t>
      </w:r>
      <w:proofErr w:type="spellStart"/>
      <w:r w:rsidRPr="00743DF1">
        <w:rPr>
          <w:rFonts w:eastAsia="Calibri" w:cs="Arial"/>
          <w:i/>
          <w:spacing w:val="-1"/>
          <w:sz w:val="20"/>
          <w:szCs w:val="20"/>
        </w:rPr>
        <w:t>Vapour</w:t>
      </w:r>
      <w:proofErr w:type="spellEnd"/>
      <w:r w:rsidRPr="00743DF1">
        <w:rPr>
          <w:rFonts w:eastAsia="Calibri" w:cs="Arial"/>
          <w:i/>
          <w:spacing w:val="1"/>
          <w:sz w:val="20"/>
          <w:szCs w:val="20"/>
        </w:rPr>
        <w:t xml:space="preserve"> </w:t>
      </w:r>
      <w:r w:rsidRPr="00743DF1">
        <w:rPr>
          <w:rFonts w:eastAsia="Calibri" w:cs="Arial"/>
          <w:i/>
          <w:spacing w:val="-1"/>
          <w:sz w:val="20"/>
          <w:szCs w:val="20"/>
        </w:rPr>
        <w:t>intrusions</w:t>
      </w:r>
      <w:r w:rsidRPr="00743DF1">
        <w:rPr>
          <w:rFonts w:eastAsia="Calibri" w:cs="Arial"/>
          <w:i/>
          <w:spacing w:val="1"/>
          <w:sz w:val="20"/>
          <w:szCs w:val="20"/>
        </w:rPr>
        <w:t xml:space="preserve"> </w:t>
      </w:r>
      <w:r w:rsidRPr="00743DF1">
        <w:rPr>
          <w:rFonts w:eastAsia="Calibri" w:cs="Arial"/>
          <w:i/>
          <w:sz w:val="20"/>
          <w:szCs w:val="20"/>
        </w:rPr>
        <w:t>–</w:t>
      </w:r>
      <w:r w:rsidRPr="00743DF1">
        <w:rPr>
          <w:rFonts w:eastAsia="Calibri" w:cs="Arial"/>
          <w:i/>
          <w:spacing w:val="1"/>
          <w:sz w:val="20"/>
          <w:szCs w:val="20"/>
        </w:rPr>
        <w:t xml:space="preserve"> </w:t>
      </w:r>
      <w:r w:rsidRPr="00743DF1">
        <w:rPr>
          <w:rFonts w:eastAsia="Calibri" w:cs="Arial"/>
          <w:i/>
          <w:spacing w:val="-1"/>
          <w:sz w:val="20"/>
          <w:szCs w:val="20"/>
        </w:rPr>
        <w:t>hazardous</w:t>
      </w:r>
      <w:r w:rsidRPr="00743DF1">
        <w:rPr>
          <w:rFonts w:eastAsia="Calibri" w:cs="Arial"/>
          <w:i/>
          <w:spacing w:val="1"/>
          <w:sz w:val="20"/>
          <w:szCs w:val="20"/>
        </w:rPr>
        <w:t xml:space="preserve"> </w:t>
      </w:r>
      <w:r w:rsidRPr="00743DF1">
        <w:rPr>
          <w:rFonts w:eastAsia="Calibri" w:cs="Arial"/>
          <w:i/>
          <w:spacing w:val="-1"/>
          <w:sz w:val="20"/>
          <w:szCs w:val="20"/>
        </w:rPr>
        <w:t>ground</w:t>
      </w:r>
      <w:r w:rsidRPr="00743DF1">
        <w:rPr>
          <w:rFonts w:eastAsia="Calibri" w:cs="Arial"/>
          <w:i/>
          <w:sz w:val="20"/>
          <w:szCs w:val="20"/>
        </w:rPr>
        <w:t xml:space="preserve"> </w:t>
      </w:r>
      <w:r w:rsidRPr="00743DF1">
        <w:rPr>
          <w:rFonts w:eastAsia="Calibri" w:cs="Arial"/>
          <w:i/>
          <w:spacing w:val="-1"/>
          <w:sz w:val="20"/>
          <w:szCs w:val="20"/>
        </w:rPr>
        <w:t>gases.</w:t>
      </w:r>
      <w:r w:rsidRPr="00743DF1">
        <w:rPr>
          <w:rFonts w:eastAsia="Calibri" w:cs="Arial"/>
          <w:i/>
          <w:sz w:val="20"/>
          <w:szCs w:val="20"/>
        </w:rPr>
        <w:t xml:space="preserve"> </w:t>
      </w:r>
      <w:r w:rsidRPr="00743DF1">
        <w:rPr>
          <w:rFonts w:eastAsia="Calibri" w:cs="Arial"/>
          <w:i/>
          <w:spacing w:val="-1"/>
          <w:sz w:val="20"/>
          <w:szCs w:val="20"/>
        </w:rPr>
        <w:t>Review</w:t>
      </w:r>
      <w:r w:rsidRPr="00743DF1">
        <w:rPr>
          <w:rFonts w:eastAsia="Calibri" w:cs="Arial"/>
          <w:i/>
          <w:spacing w:val="1"/>
          <w:sz w:val="20"/>
          <w:szCs w:val="20"/>
        </w:rPr>
        <w:t xml:space="preserve"> </w:t>
      </w:r>
      <w:r w:rsidRPr="00743DF1">
        <w:rPr>
          <w:rFonts w:eastAsia="Calibri" w:cs="Arial"/>
          <w:i/>
          <w:spacing w:val="-1"/>
          <w:sz w:val="20"/>
          <w:szCs w:val="20"/>
        </w:rPr>
        <w:t>and</w:t>
      </w:r>
      <w:r w:rsidRPr="00743DF1">
        <w:rPr>
          <w:rFonts w:eastAsia="Calibri" w:cs="Arial"/>
          <w:i/>
          <w:sz w:val="20"/>
          <w:szCs w:val="20"/>
        </w:rPr>
        <w:t xml:space="preserve"> </w:t>
      </w:r>
      <w:r w:rsidRPr="00743DF1">
        <w:rPr>
          <w:rFonts w:eastAsia="Calibri" w:cs="Arial"/>
          <w:i/>
          <w:spacing w:val="-1"/>
          <w:sz w:val="20"/>
          <w:szCs w:val="20"/>
        </w:rPr>
        <w:t>guidance</w:t>
      </w:r>
      <w:r w:rsidRPr="00743DF1">
        <w:rPr>
          <w:rFonts w:eastAsia="Calibri" w:cs="Arial"/>
          <w:i/>
          <w:sz w:val="20"/>
          <w:szCs w:val="20"/>
        </w:rPr>
        <w:t xml:space="preserve"> </w:t>
      </w:r>
      <w:r w:rsidRPr="00743DF1">
        <w:rPr>
          <w:rFonts w:eastAsia="Calibri" w:cs="Arial"/>
          <w:i/>
          <w:spacing w:val="-1"/>
          <w:sz w:val="20"/>
          <w:szCs w:val="20"/>
        </w:rPr>
        <w:t>based on current</w:t>
      </w:r>
      <w:r w:rsidRPr="00743DF1">
        <w:rPr>
          <w:rFonts w:eastAsia="Calibri" w:cs="Arial"/>
          <w:i/>
          <w:spacing w:val="34"/>
          <w:sz w:val="20"/>
          <w:szCs w:val="20"/>
        </w:rPr>
        <w:t xml:space="preserve"> </w:t>
      </w:r>
      <w:r w:rsidRPr="00743DF1">
        <w:rPr>
          <w:rFonts w:eastAsia="Calibri" w:cs="Arial"/>
          <w:i/>
          <w:spacing w:val="-1"/>
          <w:sz w:val="20"/>
          <w:szCs w:val="20"/>
        </w:rPr>
        <w:t>scientific consensus</w:t>
      </w:r>
      <w:r w:rsidRPr="00743DF1">
        <w:rPr>
          <w:rFonts w:eastAsia="Calibri" w:cs="Arial"/>
          <w:spacing w:val="-1"/>
          <w:sz w:val="20"/>
          <w:szCs w:val="20"/>
        </w:rPr>
        <w:t>”</w:t>
      </w:r>
      <w:r w:rsidRPr="00743DF1">
        <w:rPr>
          <w:rFonts w:eastAsia="Calibri" w:cs="Arial"/>
          <w:spacing w:val="1"/>
          <w:sz w:val="20"/>
          <w:szCs w:val="20"/>
        </w:rPr>
        <w:t xml:space="preserve"> </w:t>
      </w:r>
      <w:r w:rsidRPr="00743DF1">
        <w:rPr>
          <w:rFonts w:eastAsia="Calibri" w:cs="Arial"/>
          <w:spacing w:val="-1"/>
          <w:sz w:val="20"/>
          <w:szCs w:val="20"/>
        </w:rPr>
        <w:t>is</w:t>
      </w:r>
      <w:r w:rsidRPr="00743DF1">
        <w:rPr>
          <w:rFonts w:eastAsia="Calibri" w:cs="Arial"/>
          <w:spacing w:val="-2"/>
          <w:sz w:val="20"/>
          <w:szCs w:val="20"/>
        </w:rPr>
        <w:t xml:space="preserve"> </w:t>
      </w:r>
      <w:r w:rsidRPr="00743DF1">
        <w:rPr>
          <w:rFonts w:eastAsia="Calibri" w:cs="Arial"/>
          <w:sz w:val="20"/>
          <w:szCs w:val="20"/>
        </w:rPr>
        <w:t xml:space="preserve">a </w:t>
      </w:r>
      <w:r w:rsidRPr="00743DF1">
        <w:rPr>
          <w:rFonts w:eastAsia="Calibri" w:cs="Arial"/>
          <w:spacing w:val="-1"/>
          <w:sz w:val="20"/>
          <w:szCs w:val="20"/>
        </w:rPr>
        <w:t>point-in-time</w:t>
      </w:r>
      <w:r w:rsidRPr="00743DF1">
        <w:rPr>
          <w:rFonts w:eastAsia="Calibri" w:cs="Arial"/>
          <w:spacing w:val="-2"/>
          <w:sz w:val="20"/>
          <w:szCs w:val="20"/>
        </w:rPr>
        <w:t xml:space="preserve"> </w:t>
      </w:r>
      <w:r w:rsidRPr="00743DF1">
        <w:rPr>
          <w:rFonts w:eastAsia="Calibri" w:cs="Arial"/>
          <w:spacing w:val="-1"/>
          <w:sz w:val="20"/>
          <w:szCs w:val="20"/>
        </w:rPr>
        <w:t>standalone</w:t>
      </w:r>
      <w:r w:rsidRPr="00743DF1">
        <w:rPr>
          <w:rFonts w:eastAsia="Calibri" w:cs="Arial"/>
          <w:spacing w:val="1"/>
          <w:sz w:val="20"/>
          <w:szCs w:val="20"/>
        </w:rPr>
        <w:t xml:space="preserve"> </w:t>
      </w:r>
      <w:r w:rsidRPr="00743DF1">
        <w:rPr>
          <w:rFonts w:eastAsia="Calibri" w:cs="Arial"/>
          <w:spacing w:val="-1"/>
          <w:sz w:val="20"/>
          <w:szCs w:val="20"/>
        </w:rPr>
        <w:t>technical</w:t>
      </w:r>
      <w:r w:rsidRPr="00743DF1">
        <w:rPr>
          <w:rFonts w:eastAsia="Calibri" w:cs="Arial"/>
          <w:sz w:val="20"/>
          <w:szCs w:val="20"/>
        </w:rPr>
        <w:t xml:space="preserve"> </w:t>
      </w:r>
      <w:r w:rsidRPr="00743DF1">
        <w:rPr>
          <w:rFonts w:eastAsia="Calibri" w:cs="Arial"/>
          <w:spacing w:val="-1"/>
          <w:sz w:val="20"/>
          <w:szCs w:val="20"/>
        </w:rPr>
        <w:t xml:space="preserve">resource </w:t>
      </w:r>
      <w:r w:rsidRPr="00743DF1">
        <w:rPr>
          <w:rFonts w:eastAsia="Calibri" w:cs="Arial"/>
          <w:sz w:val="20"/>
          <w:szCs w:val="20"/>
        </w:rPr>
        <w:t>to</w:t>
      </w:r>
      <w:r w:rsidRPr="00743DF1">
        <w:rPr>
          <w:rFonts w:eastAsia="Calibri" w:cs="Arial"/>
          <w:spacing w:val="-1"/>
          <w:sz w:val="20"/>
          <w:szCs w:val="20"/>
        </w:rPr>
        <w:t xml:space="preserve"> improve</w:t>
      </w:r>
      <w:r w:rsidRPr="00743DF1">
        <w:rPr>
          <w:rFonts w:eastAsia="Calibri" w:cs="Arial"/>
          <w:spacing w:val="1"/>
          <w:sz w:val="20"/>
          <w:szCs w:val="20"/>
        </w:rPr>
        <w:t xml:space="preserve"> </w:t>
      </w:r>
      <w:r w:rsidRPr="00743DF1">
        <w:rPr>
          <w:rFonts w:eastAsia="Calibri" w:cs="Arial"/>
          <w:spacing w:val="-1"/>
          <w:sz w:val="20"/>
          <w:szCs w:val="20"/>
        </w:rPr>
        <w:t>assessment</w:t>
      </w:r>
      <w:r w:rsidRPr="00743DF1">
        <w:rPr>
          <w:rFonts w:eastAsia="Calibri" w:cs="Arial"/>
          <w:spacing w:val="-2"/>
          <w:sz w:val="20"/>
          <w:szCs w:val="20"/>
        </w:rPr>
        <w:t xml:space="preserve"> </w:t>
      </w:r>
      <w:r w:rsidRPr="00743DF1">
        <w:rPr>
          <w:rFonts w:eastAsia="Calibri" w:cs="Arial"/>
          <w:sz w:val="20"/>
          <w:szCs w:val="20"/>
        </w:rPr>
        <w:t>of</w:t>
      </w:r>
      <w:r w:rsidRPr="00743DF1">
        <w:rPr>
          <w:rFonts w:eastAsia="Calibri" w:cs="Arial"/>
          <w:spacing w:val="43"/>
          <w:sz w:val="20"/>
          <w:szCs w:val="20"/>
        </w:rPr>
        <w:t xml:space="preserve"> </w:t>
      </w:r>
      <w:proofErr w:type="spellStart"/>
      <w:r w:rsidRPr="00743DF1">
        <w:rPr>
          <w:rFonts w:eastAsia="Calibri" w:cs="Arial"/>
          <w:spacing w:val="-1"/>
          <w:sz w:val="20"/>
          <w:szCs w:val="20"/>
        </w:rPr>
        <w:t>vapour</w:t>
      </w:r>
      <w:proofErr w:type="spellEnd"/>
      <w:r w:rsidRPr="00743DF1">
        <w:rPr>
          <w:rFonts w:eastAsia="Calibri" w:cs="Arial"/>
          <w:sz w:val="20"/>
          <w:szCs w:val="20"/>
        </w:rPr>
        <w:t xml:space="preserve"> </w:t>
      </w:r>
      <w:r w:rsidRPr="00743DF1">
        <w:rPr>
          <w:rFonts w:eastAsia="Calibri" w:cs="Arial"/>
          <w:spacing w:val="-1"/>
          <w:sz w:val="20"/>
          <w:szCs w:val="20"/>
        </w:rPr>
        <w:t>intrusion sites</w:t>
      </w:r>
      <w:r w:rsidRPr="00743DF1">
        <w:rPr>
          <w:rFonts w:eastAsia="Calibri" w:cs="Arial"/>
          <w:sz w:val="20"/>
          <w:szCs w:val="20"/>
        </w:rPr>
        <w:t xml:space="preserve"> </w:t>
      </w:r>
      <w:r w:rsidRPr="00743DF1">
        <w:rPr>
          <w:rFonts w:eastAsia="Calibri" w:cs="Arial"/>
          <w:spacing w:val="-2"/>
          <w:sz w:val="20"/>
          <w:szCs w:val="20"/>
        </w:rPr>
        <w:t>by</w:t>
      </w:r>
      <w:r w:rsidRPr="00743DF1">
        <w:rPr>
          <w:rFonts w:eastAsia="Calibri" w:cs="Arial"/>
          <w:spacing w:val="1"/>
          <w:sz w:val="20"/>
          <w:szCs w:val="20"/>
        </w:rPr>
        <w:t xml:space="preserve"> </w:t>
      </w:r>
      <w:r w:rsidRPr="00743DF1">
        <w:rPr>
          <w:rFonts w:eastAsia="Calibri" w:cs="Arial"/>
          <w:spacing w:val="-1"/>
          <w:sz w:val="20"/>
          <w:szCs w:val="20"/>
        </w:rPr>
        <w:t>government</w:t>
      </w:r>
      <w:r w:rsidRPr="00743DF1">
        <w:rPr>
          <w:rFonts w:eastAsia="Calibri" w:cs="Arial"/>
          <w:spacing w:val="1"/>
          <w:sz w:val="20"/>
          <w:szCs w:val="20"/>
        </w:rPr>
        <w:t xml:space="preserve"> </w:t>
      </w:r>
      <w:r w:rsidRPr="00743DF1">
        <w:rPr>
          <w:rFonts w:eastAsia="Calibri" w:cs="Arial"/>
          <w:spacing w:val="-1"/>
          <w:sz w:val="20"/>
          <w:szCs w:val="20"/>
        </w:rPr>
        <w:t>agencies,</w:t>
      </w:r>
      <w:r w:rsidRPr="00743DF1">
        <w:rPr>
          <w:rFonts w:eastAsia="Calibri" w:cs="Arial"/>
          <w:spacing w:val="-2"/>
          <w:sz w:val="20"/>
          <w:szCs w:val="20"/>
        </w:rPr>
        <w:t xml:space="preserve"> </w:t>
      </w:r>
      <w:r w:rsidRPr="00743DF1">
        <w:rPr>
          <w:rFonts w:eastAsia="Calibri" w:cs="Arial"/>
          <w:spacing w:val="-1"/>
          <w:sz w:val="20"/>
          <w:szCs w:val="20"/>
        </w:rPr>
        <w:t>site</w:t>
      </w:r>
      <w:r w:rsidRPr="00743DF1">
        <w:rPr>
          <w:rFonts w:eastAsia="Calibri" w:cs="Arial"/>
          <w:spacing w:val="-2"/>
          <w:sz w:val="20"/>
          <w:szCs w:val="20"/>
        </w:rPr>
        <w:t xml:space="preserve"> </w:t>
      </w:r>
      <w:r w:rsidRPr="00743DF1">
        <w:rPr>
          <w:rFonts w:eastAsia="Calibri" w:cs="Arial"/>
          <w:spacing w:val="-1"/>
          <w:sz w:val="20"/>
          <w:szCs w:val="20"/>
        </w:rPr>
        <w:t>contamination</w:t>
      </w:r>
      <w:r w:rsidRPr="00743DF1">
        <w:rPr>
          <w:rFonts w:eastAsia="Calibri" w:cs="Arial"/>
          <w:spacing w:val="-3"/>
          <w:sz w:val="20"/>
          <w:szCs w:val="20"/>
        </w:rPr>
        <w:t xml:space="preserve"> </w:t>
      </w:r>
      <w:r w:rsidRPr="00743DF1">
        <w:rPr>
          <w:rFonts w:eastAsia="Calibri" w:cs="Arial"/>
          <w:spacing w:val="-1"/>
          <w:sz w:val="20"/>
          <w:szCs w:val="20"/>
        </w:rPr>
        <w:t>auditors</w:t>
      </w:r>
      <w:r w:rsidRPr="00743DF1">
        <w:rPr>
          <w:rFonts w:eastAsia="Calibri" w:cs="Arial"/>
          <w:spacing w:val="-2"/>
          <w:sz w:val="20"/>
          <w:szCs w:val="20"/>
        </w:rPr>
        <w:t xml:space="preserve"> </w:t>
      </w:r>
      <w:r w:rsidRPr="00743DF1">
        <w:rPr>
          <w:rFonts w:eastAsia="Calibri" w:cs="Arial"/>
          <w:spacing w:val="-1"/>
          <w:sz w:val="20"/>
          <w:szCs w:val="20"/>
        </w:rPr>
        <w:t>and</w:t>
      </w:r>
      <w:r w:rsidRPr="00743DF1">
        <w:rPr>
          <w:rFonts w:eastAsia="Calibri" w:cs="Arial"/>
          <w:spacing w:val="-3"/>
          <w:sz w:val="20"/>
          <w:szCs w:val="20"/>
        </w:rPr>
        <w:t xml:space="preserve"> </w:t>
      </w:r>
      <w:r w:rsidRPr="00743DF1">
        <w:rPr>
          <w:rFonts w:eastAsia="Calibri" w:cs="Arial"/>
          <w:spacing w:val="-1"/>
          <w:sz w:val="20"/>
          <w:szCs w:val="20"/>
        </w:rPr>
        <w:t>practitioners.</w:t>
      </w:r>
    </w:p>
    <w:p w14:paraId="0DC66692" w14:textId="77777777" w:rsidR="00AD2F2F" w:rsidRDefault="00AD2F2F" w:rsidP="00AD2F2F">
      <w:pPr>
        <w:pStyle w:val="BodyText"/>
        <w:spacing w:before="181"/>
        <w:ind w:left="0"/>
        <w:rPr>
          <w:rFonts w:ascii="Arial" w:hAnsi="Arial" w:cs="Arial"/>
          <w:spacing w:val="-1"/>
          <w:sz w:val="20"/>
          <w:szCs w:val="20"/>
        </w:rPr>
      </w:pPr>
      <w:r w:rsidRPr="00743DF1">
        <w:rPr>
          <w:rFonts w:ascii="Arial" w:hAnsi="Arial" w:cs="Arial"/>
          <w:spacing w:val="-1"/>
          <w:sz w:val="20"/>
          <w:szCs w:val="20"/>
        </w:rPr>
        <w:t>AUDIENCE</w:t>
      </w:r>
    </w:p>
    <w:p w14:paraId="7F2397F2" w14:textId="77777777" w:rsidR="00AD2F2F" w:rsidRPr="00743DF1" w:rsidRDefault="00AD2F2F" w:rsidP="00743DF1">
      <w:pPr>
        <w:pStyle w:val="BodyText"/>
        <w:spacing w:before="182" w:line="259" w:lineRule="auto"/>
        <w:ind w:left="0" w:right="176"/>
        <w:rPr>
          <w:rFonts w:ascii="Arial" w:hAnsi="Arial" w:cs="Arial"/>
          <w:sz w:val="20"/>
          <w:szCs w:val="20"/>
        </w:rPr>
      </w:pPr>
      <w:r w:rsidRPr="00743DF1">
        <w:rPr>
          <w:rFonts w:ascii="Arial" w:hAnsi="Arial" w:cs="Arial"/>
          <w:spacing w:val="-1"/>
          <w:sz w:val="20"/>
          <w:szCs w:val="20"/>
        </w:rPr>
        <w:t>This</w:t>
      </w:r>
      <w:r w:rsidRPr="00743DF1">
        <w:rPr>
          <w:rFonts w:ascii="Arial" w:hAnsi="Arial" w:cs="Arial"/>
          <w:sz w:val="20"/>
          <w:szCs w:val="20"/>
        </w:rPr>
        <w:t xml:space="preserve"> </w:t>
      </w:r>
      <w:r w:rsidRPr="00743DF1">
        <w:rPr>
          <w:rFonts w:ascii="Arial" w:hAnsi="Arial" w:cs="Arial"/>
          <w:spacing w:val="-1"/>
          <w:sz w:val="20"/>
          <w:szCs w:val="20"/>
        </w:rPr>
        <w:t>enHealth document</w:t>
      </w:r>
      <w:r w:rsidRPr="00743DF1">
        <w:rPr>
          <w:rFonts w:ascii="Arial" w:hAnsi="Arial" w:cs="Arial"/>
          <w:spacing w:val="-2"/>
          <w:sz w:val="20"/>
          <w:szCs w:val="20"/>
        </w:rPr>
        <w:t xml:space="preserve"> </w:t>
      </w:r>
      <w:r w:rsidRPr="00743DF1">
        <w:rPr>
          <w:rFonts w:ascii="Arial" w:hAnsi="Arial" w:cs="Arial"/>
          <w:spacing w:val="-1"/>
          <w:sz w:val="20"/>
          <w:szCs w:val="20"/>
        </w:rPr>
        <w:t>is</w:t>
      </w:r>
      <w:r w:rsidRPr="00743DF1">
        <w:rPr>
          <w:rFonts w:ascii="Arial" w:hAnsi="Arial" w:cs="Arial"/>
          <w:spacing w:val="-2"/>
          <w:sz w:val="20"/>
          <w:szCs w:val="20"/>
        </w:rPr>
        <w:t xml:space="preserve"> </w:t>
      </w:r>
      <w:r w:rsidRPr="00743DF1">
        <w:rPr>
          <w:rFonts w:ascii="Arial" w:hAnsi="Arial" w:cs="Arial"/>
          <w:spacing w:val="-1"/>
          <w:sz w:val="20"/>
          <w:szCs w:val="20"/>
        </w:rPr>
        <w:t>primarily</w:t>
      </w:r>
      <w:r w:rsidRPr="00743DF1">
        <w:rPr>
          <w:rFonts w:ascii="Arial" w:hAnsi="Arial" w:cs="Arial"/>
          <w:spacing w:val="1"/>
          <w:sz w:val="20"/>
          <w:szCs w:val="20"/>
        </w:rPr>
        <w:t xml:space="preserve"> </w:t>
      </w:r>
      <w:r w:rsidRPr="00743DF1">
        <w:rPr>
          <w:rFonts w:ascii="Arial" w:hAnsi="Arial" w:cs="Arial"/>
          <w:spacing w:val="-1"/>
          <w:sz w:val="20"/>
          <w:szCs w:val="20"/>
        </w:rPr>
        <w:t>intended for</w:t>
      </w:r>
      <w:r w:rsidRPr="00743DF1">
        <w:rPr>
          <w:rFonts w:ascii="Arial" w:hAnsi="Arial" w:cs="Arial"/>
          <w:sz w:val="20"/>
          <w:szCs w:val="20"/>
        </w:rPr>
        <w:t xml:space="preserve"> </w:t>
      </w:r>
      <w:r w:rsidRPr="00743DF1">
        <w:rPr>
          <w:rFonts w:ascii="Arial" w:hAnsi="Arial" w:cs="Arial"/>
          <w:spacing w:val="-1"/>
          <w:sz w:val="20"/>
          <w:szCs w:val="20"/>
        </w:rPr>
        <w:t>use</w:t>
      </w:r>
      <w:r w:rsidRPr="00743DF1">
        <w:rPr>
          <w:rFonts w:ascii="Arial" w:hAnsi="Arial" w:cs="Arial"/>
          <w:spacing w:val="-4"/>
          <w:sz w:val="20"/>
          <w:szCs w:val="20"/>
        </w:rPr>
        <w:t xml:space="preserve"> </w:t>
      </w:r>
      <w:r w:rsidRPr="00743DF1">
        <w:rPr>
          <w:rFonts w:ascii="Arial" w:hAnsi="Arial" w:cs="Arial"/>
          <w:spacing w:val="-1"/>
          <w:sz w:val="20"/>
          <w:szCs w:val="20"/>
        </w:rPr>
        <w:t>by</w:t>
      </w:r>
      <w:r w:rsidRPr="00743DF1">
        <w:rPr>
          <w:rFonts w:ascii="Arial" w:hAnsi="Arial" w:cs="Arial"/>
          <w:spacing w:val="1"/>
          <w:sz w:val="20"/>
          <w:szCs w:val="20"/>
        </w:rPr>
        <w:t xml:space="preserve"> </w:t>
      </w:r>
      <w:r w:rsidRPr="00743DF1">
        <w:rPr>
          <w:rFonts w:ascii="Arial" w:hAnsi="Arial" w:cs="Arial"/>
          <w:spacing w:val="-1"/>
          <w:sz w:val="20"/>
          <w:szCs w:val="20"/>
        </w:rPr>
        <w:t>environmental</w:t>
      </w:r>
      <w:r w:rsidRPr="00743DF1">
        <w:rPr>
          <w:rFonts w:ascii="Arial" w:hAnsi="Arial" w:cs="Arial"/>
          <w:spacing w:val="-3"/>
          <w:sz w:val="20"/>
          <w:szCs w:val="20"/>
        </w:rPr>
        <w:t xml:space="preserve"> </w:t>
      </w:r>
      <w:r w:rsidRPr="00743DF1">
        <w:rPr>
          <w:rFonts w:ascii="Arial" w:hAnsi="Arial" w:cs="Arial"/>
          <w:spacing w:val="-1"/>
          <w:sz w:val="20"/>
          <w:szCs w:val="20"/>
        </w:rPr>
        <w:t xml:space="preserve">health </w:t>
      </w:r>
      <w:r w:rsidRPr="00743DF1">
        <w:rPr>
          <w:rFonts w:ascii="Arial" w:hAnsi="Arial" w:cs="Arial"/>
          <w:spacing w:val="-2"/>
          <w:sz w:val="20"/>
          <w:szCs w:val="20"/>
        </w:rPr>
        <w:t>and</w:t>
      </w:r>
      <w:r w:rsidRPr="00743DF1">
        <w:rPr>
          <w:rFonts w:ascii="Arial" w:hAnsi="Arial" w:cs="Arial"/>
          <w:spacing w:val="-1"/>
          <w:sz w:val="20"/>
          <w:szCs w:val="20"/>
        </w:rPr>
        <w:t xml:space="preserve"> regulatory</w:t>
      </w:r>
      <w:r w:rsidRPr="00743DF1">
        <w:rPr>
          <w:rFonts w:ascii="Arial" w:hAnsi="Arial" w:cs="Arial"/>
          <w:spacing w:val="59"/>
          <w:sz w:val="20"/>
          <w:szCs w:val="20"/>
        </w:rPr>
        <w:t xml:space="preserve"> </w:t>
      </w:r>
      <w:r w:rsidRPr="00743DF1">
        <w:rPr>
          <w:rFonts w:ascii="Arial" w:hAnsi="Arial" w:cs="Arial"/>
          <w:spacing w:val="-1"/>
          <w:sz w:val="20"/>
          <w:szCs w:val="20"/>
        </w:rPr>
        <w:t>agencies</w:t>
      </w:r>
      <w:r w:rsidRPr="00743DF1">
        <w:rPr>
          <w:rFonts w:ascii="Arial" w:hAnsi="Arial" w:cs="Arial"/>
          <w:sz w:val="20"/>
          <w:szCs w:val="20"/>
        </w:rPr>
        <w:t xml:space="preserve"> </w:t>
      </w:r>
      <w:r w:rsidRPr="00743DF1">
        <w:rPr>
          <w:rFonts w:ascii="Arial" w:hAnsi="Arial" w:cs="Arial"/>
          <w:spacing w:val="-1"/>
          <w:sz w:val="20"/>
          <w:szCs w:val="20"/>
        </w:rPr>
        <w:t>reviewing risk</w:t>
      </w:r>
      <w:r w:rsidRPr="00743DF1">
        <w:rPr>
          <w:rFonts w:ascii="Arial" w:hAnsi="Arial" w:cs="Arial"/>
          <w:spacing w:val="-2"/>
          <w:sz w:val="20"/>
          <w:szCs w:val="20"/>
        </w:rPr>
        <w:t xml:space="preserve"> </w:t>
      </w:r>
      <w:r w:rsidRPr="00743DF1">
        <w:rPr>
          <w:rFonts w:ascii="Arial" w:hAnsi="Arial" w:cs="Arial"/>
          <w:spacing w:val="-1"/>
          <w:sz w:val="20"/>
          <w:szCs w:val="20"/>
        </w:rPr>
        <w:t>assessments</w:t>
      </w:r>
      <w:r w:rsidRPr="00743DF1">
        <w:rPr>
          <w:rFonts w:ascii="Arial" w:hAnsi="Arial" w:cs="Arial"/>
          <w:sz w:val="20"/>
          <w:szCs w:val="20"/>
        </w:rPr>
        <w:t xml:space="preserve"> </w:t>
      </w:r>
      <w:r w:rsidRPr="00743DF1">
        <w:rPr>
          <w:rFonts w:ascii="Arial" w:hAnsi="Arial" w:cs="Arial"/>
          <w:spacing w:val="-1"/>
          <w:sz w:val="20"/>
          <w:szCs w:val="20"/>
        </w:rPr>
        <w:t>and people</w:t>
      </w:r>
      <w:r w:rsidRPr="00743DF1">
        <w:rPr>
          <w:rFonts w:ascii="Arial" w:hAnsi="Arial" w:cs="Arial"/>
          <w:spacing w:val="-2"/>
          <w:sz w:val="20"/>
          <w:szCs w:val="20"/>
        </w:rPr>
        <w:t xml:space="preserve"> preparing</w:t>
      </w:r>
      <w:r w:rsidRPr="00743DF1">
        <w:rPr>
          <w:rFonts w:ascii="Arial" w:hAnsi="Arial" w:cs="Arial"/>
          <w:spacing w:val="-1"/>
          <w:sz w:val="20"/>
          <w:szCs w:val="20"/>
        </w:rPr>
        <w:t xml:space="preserve"> risk</w:t>
      </w:r>
      <w:r w:rsidRPr="00743DF1">
        <w:rPr>
          <w:rFonts w:ascii="Arial" w:hAnsi="Arial" w:cs="Arial"/>
          <w:spacing w:val="1"/>
          <w:sz w:val="20"/>
          <w:szCs w:val="20"/>
        </w:rPr>
        <w:t xml:space="preserve"> </w:t>
      </w:r>
      <w:r w:rsidRPr="00743DF1">
        <w:rPr>
          <w:rFonts w:ascii="Arial" w:hAnsi="Arial" w:cs="Arial"/>
          <w:spacing w:val="-1"/>
          <w:sz w:val="20"/>
          <w:szCs w:val="20"/>
        </w:rPr>
        <w:t>assessments</w:t>
      </w:r>
      <w:r w:rsidRPr="00743DF1">
        <w:rPr>
          <w:rFonts w:ascii="Arial" w:hAnsi="Arial" w:cs="Arial"/>
          <w:spacing w:val="-2"/>
          <w:sz w:val="20"/>
          <w:szCs w:val="20"/>
        </w:rPr>
        <w:t xml:space="preserve"> </w:t>
      </w:r>
      <w:r w:rsidRPr="00743DF1">
        <w:rPr>
          <w:rFonts w:ascii="Arial" w:hAnsi="Arial" w:cs="Arial"/>
          <w:sz w:val="20"/>
          <w:szCs w:val="20"/>
        </w:rPr>
        <w:t>for</w:t>
      </w:r>
      <w:r w:rsidRPr="00743DF1">
        <w:rPr>
          <w:rFonts w:ascii="Arial" w:hAnsi="Arial" w:cs="Arial"/>
          <w:spacing w:val="-2"/>
          <w:sz w:val="20"/>
          <w:szCs w:val="20"/>
        </w:rPr>
        <w:t xml:space="preserve"> </w:t>
      </w:r>
      <w:r w:rsidRPr="00743DF1">
        <w:rPr>
          <w:rFonts w:ascii="Arial" w:hAnsi="Arial" w:cs="Arial"/>
          <w:spacing w:val="-1"/>
          <w:sz w:val="20"/>
          <w:szCs w:val="20"/>
        </w:rPr>
        <w:t>environmental</w:t>
      </w:r>
      <w:r w:rsidRPr="00743DF1">
        <w:rPr>
          <w:rFonts w:ascii="Arial" w:hAnsi="Arial" w:cs="Arial"/>
          <w:spacing w:val="-3"/>
          <w:sz w:val="20"/>
          <w:szCs w:val="20"/>
        </w:rPr>
        <w:t xml:space="preserve"> </w:t>
      </w:r>
      <w:r w:rsidRPr="00743DF1">
        <w:rPr>
          <w:rFonts w:ascii="Arial" w:hAnsi="Arial" w:cs="Arial"/>
          <w:spacing w:val="-1"/>
          <w:sz w:val="20"/>
          <w:szCs w:val="20"/>
        </w:rPr>
        <w:t>health</w:t>
      </w:r>
      <w:r w:rsidRPr="00743DF1">
        <w:rPr>
          <w:rFonts w:ascii="Arial" w:hAnsi="Arial" w:cs="Arial"/>
          <w:spacing w:val="69"/>
          <w:sz w:val="20"/>
          <w:szCs w:val="20"/>
        </w:rPr>
        <w:t xml:space="preserve"> </w:t>
      </w:r>
      <w:r w:rsidRPr="00743DF1">
        <w:rPr>
          <w:rFonts w:ascii="Arial" w:hAnsi="Arial" w:cs="Arial"/>
          <w:spacing w:val="-1"/>
          <w:sz w:val="20"/>
          <w:szCs w:val="20"/>
        </w:rPr>
        <w:t>agencies.</w:t>
      </w:r>
      <w:r w:rsidRPr="00743DF1">
        <w:rPr>
          <w:rFonts w:ascii="Arial" w:hAnsi="Arial" w:cs="Arial"/>
          <w:spacing w:val="49"/>
          <w:sz w:val="20"/>
          <w:szCs w:val="20"/>
        </w:rPr>
        <w:t xml:space="preserve"> </w:t>
      </w:r>
      <w:r w:rsidRPr="00743DF1">
        <w:rPr>
          <w:rFonts w:ascii="Arial" w:hAnsi="Arial" w:cs="Arial"/>
          <w:spacing w:val="-1"/>
          <w:sz w:val="20"/>
          <w:szCs w:val="20"/>
        </w:rPr>
        <w:t>It</w:t>
      </w:r>
      <w:r w:rsidRPr="00743DF1">
        <w:rPr>
          <w:rFonts w:ascii="Arial" w:hAnsi="Arial" w:cs="Arial"/>
          <w:spacing w:val="-2"/>
          <w:sz w:val="20"/>
          <w:szCs w:val="20"/>
        </w:rPr>
        <w:t xml:space="preserve"> </w:t>
      </w:r>
      <w:r w:rsidRPr="00743DF1">
        <w:rPr>
          <w:rFonts w:ascii="Arial" w:hAnsi="Arial" w:cs="Arial"/>
          <w:spacing w:val="-1"/>
          <w:sz w:val="20"/>
          <w:szCs w:val="20"/>
        </w:rPr>
        <w:t>is</w:t>
      </w:r>
      <w:r w:rsidRPr="00743DF1">
        <w:rPr>
          <w:rFonts w:ascii="Arial" w:hAnsi="Arial" w:cs="Arial"/>
          <w:sz w:val="20"/>
          <w:szCs w:val="20"/>
        </w:rPr>
        <w:t xml:space="preserve"> </w:t>
      </w:r>
      <w:r w:rsidRPr="00743DF1">
        <w:rPr>
          <w:rFonts w:ascii="Arial" w:hAnsi="Arial" w:cs="Arial"/>
          <w:spacing w:val="-2"/>
          <w:sz w:val="20"/>
          <w:szCs w:val="20"/>
        </w:rPr>
        <w:t>also</w:t>
      </w:r>
      <w:r w:rsidRPr="00743DF1">
        <w:rPr>
          <w:rFonts w:ascii="Arial" w:hAnsi="Arial" w:cs="Arial"/>
          <w:spacing w:val="1"/>
          <w:sz w:val="20"/>
          <w:szCs w:val="20"/>
        </w:rPr>
        <w:t xml:space="preserve"> </w:t>
      </w:r>
      <w:r w:rsidRPr="00743DF1">
        <w:rPr>
          <w:rFonts w:ascii="Arial" w:hAnsi="Arial" w:cs="Arial"/>
          <w:spacing w:val="-1"/>
          <w:sz w:val="20"/>
          <w:szCs w:val="20"/>
        </w:rPr>
        <w:t xml:space="preserve">intended </w:t>
      </w:r>
      <w:r w:rsidRPr="00743DF1">
        <w:rPr>
          <w:rFonts w:ascii="Arial" w:hAnsi="Arial" w:cs="Arial"/>
          <w:sz w:val="20"/>
          <w:szCs w:val="20"/>
        </w:rPr>
        <w:t>to</w:t>
      </w:r>
      <w:r w:rsidRPr="00743DF1">
        <w:rPr>
          <w:rFonts w:ascii="Arial" w:hAnsi="Arial" w:cs="Arial"/>
          <w:spacing w:val="1"/>
          <w:sz w:val="20"/>
          <w:szCs w:val="20"/>
        </w:rPr>
        <w:t xml:space="preserve"> </w:t>
      </w:r>
      <w:r w:rsidRPr="00743DF1">
        <w:rPr>
          <w:rFonts w:ascii="Arial" w:hAnsi="Arial" w:cs="Arial"/>
          <w:spacing w:val="-2"/>
          <w:sz w:val="20"/>
          <w:szCs w:val="20"/>
        </w:rPr>
        <w:t>be</w:t>
      </w:r>
      <w:r w:rsidRPr="00743DF1">
        <w:rPr>
          <w:rFonts w:ascii="Arial" w:hAnsi="Arial" w:cs="Arial"/>
          <w:spacing w:val="1"/>
          <w:sz w:val="20"/>
          <w:szCs w:val="20"/>
        </w:rPr>
        <w:t xml:space="preserve"> </w:t>
      </w:r>
      <w:r w:rsidRPr="00743DF1">
        <w:rPr>
          <w:rFonts w:ascii="Arial" w:hAnsi="Arial" w:cs="Arial"/>
          <w:spacing w:val="-1"/>
          <w:sz w:val="20"/>
          <w:szCs w:val="20"/>
        </w:rPr>
        <w:t>of</w:t>
      </w:r>
      <w:r w:rsidRPr="00743DF1">
        <w:rPr>
          <w:rFonts w:ascii="Arial" w:hAnsi="Arial" w:cs="Arial"/>
          <w:sz w:val="20"/>
          <w:szCs w:val="20"/>
        </w:rPr>
        <w:t xml:space="preserve"> </w:t>
      </w:r>
      <w:r w:rsidRPr="00743DF1">
        <w:rPr>
          <w:rFonts w:ascii="Arial" w:hAnsi="Arial" w:cs="Arial"/>
          <w:spacing w:val="-1"/>
          <w:sz w:val="20"/>
          <w:szCs w:val="20"/>
        </w:rPr>
        <w:t>assistance</w:t>
      </w:r>
      <w:r w:rsidRPr="00743DF1">
        <w:rPr>
          <w:rFonts w:ascii="Arial" w:hAnsi="Arial" w:cs="Arial"/>
          <w:spacing w:val="-2"/>
          <w:sz w:val="20"/>
          <w:szCs w:val="20"/>
        </w:rPr>
        <w:t xml:space="preserve"> </w:t>
      </w:r>
      <w:r w:rsidRPr="00743DF1">
        <w:rPr>
          <w:rFonts w:ascii="Arial" w:hAnsi="Arial" w:cs="Arial"/>
          <w:sz w:val="20"/>
          <w:szCs w:val="20"/>
        </w:rPr>
        <w:t>to</w:t>
      </w:r>
      <w:r w:rsidRPr="00743DF1">
        <w:rPr>
          <w:rFonts w:ascii="Arial" w:hAnsi="Arial" w:cs="Arial"/>
          <w:spacing w:val="-1"/>
          <w:sz w:val="20"/>
          <w:szCs w:val="20"/>
        </w:rPr>
        <w:t xml:space="preserve"> environmental</w:t>
      </w:r>
      <w:r w:rsidRPr="00743DF1">
        <w:rPr>
          <w:rFonts w:ascii="Arial" w:hAnsi="Arial" w:cs="Arial"/>
          <w:sz w:val="20"/>
          <w:szCs w:val="20"/>
        </w:rPr>
        <w:t xml:space="preserve"> </w:t>
      </w:r>
      <w:r w:rsidRPr="00743DF1">
        <w:rPr>
          <w:rFonts w:ascii="Arial" w:hAnsi="Arial" w:cs="Arial"/>
          <w:spacing w:val="-1"/>
          <w:sz w:val="20"/>
          <w:szCs w:val="20"/>
        </w:rPr>
        <w:t>scientists</w:t>
      </w:r>
      <w:r w:rsidRPr="00743DF1">
        <w:rPr>
          <w:rFonts w:ascii="Arial" w:hAnsi="Arial" w:cs="Arial"/>
          <w:sz w:val="20"/>
          <w:szCs w:val="20"/>
        </w:rPr>
        <w:t xml:space="preserve"> </w:t>
      </w:r>
      <w:r w:rsidRPr="00743DF1">
        <w:rPr>
          <w:rFonts w:ascii="Arial" w:hAnsi="Arial" w:cs="Arial"/>
          <w:spacing w:val="-1"/>
          <w:sz w:val="20"/>
          <w:szCs w:val="20"/>
        </w:rPr>
        <w:t>seeking information</w:t>
      </w:r>
      <w:r w:rsidRPr="00743DF1">
        <w:rPr>
          <w:rFonts w:ascii="Arial" w:hAnsi="Arial" w:cs="Arial"/>
          <w:spacing w:val="-3"/>
          <w:sz w:val="20"/>
          <w:szCs w:val="20"/>
        </w:rPr>
        <w:t xml:space="preserve"> </w:t>
      </w:r>
      <w:r w:rsidRPr="00743DF1">
        <w:rPr>
          <w:rFonts w:ascii="Arial" w:hAnsi="Arial" w:cs="Arial"/>
          <w:sz w:val="20"/>
          <w:szCs w:val="20"/>
        </w:rPr>
        <w:t>on</w:t>
      </w:r>
      <w:r w:rsidRPr="00743DF1">
        <w:rPr>
          <w:rFonts w:ascii="Arial" w:hAnsi="Arial" w:cs="Arial"/>
          <w:spacing w:val="57"/>
          <w:sz w:val="20"/>
          <w:szCs w:val="20"/>
        </w:rPr>
        <w:t xml:space="preserve"> </w:t>
      </w:r>
      <w:proofErr w:type="spellStart"/>
      <w:r w:rsidRPr="00743DF1">
        <w:rPr>
          <w:rFonts w:ascii="Arial" w:hAnsi="Arial" w:cs="Arial"/>
          <w:spacing w:val="-1"/>
          <w:sz w:val="20"/>
          <w:szCs w:val="20"/>
        </w:rPr>
        <w:t>vapour</w:t>
      </w:r>
      <w:proofErr w:type="spellEnd"/>
      <w:r w:rsidRPr="00743DF1">
        <w:rPr>
          <w:rFonts w:ascii="Arial" w:hAnsi="Arial" w:cs="Arial"/>
          <w:sz w:val="20"/>
          <w:szCs w:val="20"/>
        </w:rPr>
        <w:t xml:space="preserve"> </w:t>
      </w:r>
      <w:r w:rsidRPr="00743DF1">
        <w:rPr>
          <w:rFonts w:ascii="Arial" w:hAnsi="Arial" w:cs="Arial"/>
          <w:spacing w:val="-1"/>
          <w:sz w:val="20"/>
          <w:szCs w:val="20"/>
        </w:rPr>
        <w:t>intrusion.</w:t>
      </w:r>
    </w:p>
    <w:p w14:paraId="13891F1F" w14:textId="77777777" w:rsidR="00AD2F2F" w:rsidRPr="00743DF1" w:rsidRDefault="00AD2F2F" w:rsidP="00AD2F2F">
      <w:pPr>
        <w:pStyle w:val="BodyText"/>
        <w:ind w:left="0"/>
        <w:rPr>
          <w:rFonts w:ascii="Arial" w:hAnsi="Arial" w:cs="Arial"/>
          <w:sz w:val="20"/>
          <w:szCs w:val="20"/>
        </w:rPr>
      </w:pPr>
      <w:r w:rsidRPr="00743DF1">
        <w:rPr>
          <w:rFonts w:ascii="Arial" w:hAnsi="Arial" w:cs="Arial"/>
          <w:spacing w:val="-1"/>
          <w:sz w:val="20"/>
          <w:szCs w:val="20"/>
        </w:rPr>
        <w:t>ACKNOWLEDGEMENTS</w:t>
      </w:r>
    </w:p>
    <w:p w14:paraId="0E7B93A6" w14:textId="77777777" w:rsidR="00AD2F2F" w:rsidRPr="00743DF1" w:rsidRDefault="00AD2F2F" w:rsidP="00743DF1">
      <w:pPr>
        <w:pStyle w:val="BodyText"/>
        <w:spacing w:before="182" w:line="259" w:lineRule="auto"/>
        <w:ind w:left="0" w:right="198"/>
        <w:rPr>
          <w:rFonts w:ascii="Arial" w:hAnsi="Arial" w:cs="Arial"/>
          <w:sz w:val="20"/>
          <w:szCs w:val="20"/>
        </w:rPr>
      </w:pPr>
      <w:r w:rsidRPr="00743DF1">
        <w:rPr>
          <w:rFonts w:ascii="Arial" w:hAnsi="Arial" w:cs="Arial"/>
          <w:spacing w:val="-1"/>
          <w:sz w:val="20"/>
          <w:szCs w:val="20"/>
        </w:rPr>
        <w:t>This</w:t>
      </w:r>
      <w:r w:rsidRPr="00743DF1">
        <w:rPr>
          <w:rFonts w:ascii="Arial" w:hAnsi="Arial" w:cs="Arial"/>
          <w:sz w:val="20"/>
          <w:szCs w:val="20"/>
        </w:rPr>
        <w:t xml:space="preserve"> </w:t>
      </w:r>
      <w:r w:rsidRPr="00743DF1">
        <w:rPr>
          <w:rFonts w:ascii="Arial" w:hAnsi="Arial" w:cs="Arial"/>
          <w:spacing w:val="-1"/>
          <w:sz w:val="20"/>
          <w:szCs w:val="20"/>
        </w:rPr>
        <w:t>report</w:t>
      </w:r>
      <w:r w:rsidRPr="00743DF1">
        <w:rPr>
          <w:rFonts w:ascii="Arial" w:hAnsi="Arial" w:cs="Arial"/>
          <w:spacing w:val="-2"/>
          <w:sz w:val="20"/>
          <w:szCs w:val="20"/>
        </w:rPr>
        <w:t xml:space="preserve"> </w:t>
      </w:r>
      <w:r w:rsidRPr="00743DF1">
        <w:rPr>
          <w:rFonts w:ascii="Arial" w:hAnsi="Arial" w:cs="Arial"/>
          <w:spacing w:val="-1"/>
          <w:sz w:val="20"/>
          <w:szCs w:val="20"/>
        </w:rPr>
        <w:t>was</w:t>
      </w:r>
      <w:r w:rsidRPr="00743DF1">
        <w:rPr>
          <w:rFonts w:ascii="Arial" w:hAnsi="Arial" w:cs="Arial"/>
          <w:sz w:val="20"/>
          <w:szCs w:val="20"/>
        </w:rPr>
        <w:t xml:space="preserve"> </w:t>
      </w:r>
      <w:r w:rsidRPr="00743DF1">
        <w:rPr>
          <w:rFonts w:ascii="Arial" w:hAnsi="Arial" w:cs="Arial"/>
          <w:spacing w:val="-1"/>
          <w:sz w:val="20"/>
          <w:szCs w:val="20"/>
        </w:rPr>
        <w:t xml:space="preserve">prepared </w:t>
      </w:r>
      <w:r w:rsidRPr="00743DF1">
        <w:rPr>
          <w:rFonts w:ascii="Arial" w:hAnsi="Arial" w:cs="Arial"/>
          <w:spacing w:val="-2"/>
          <w:sz w:val="20"/>
          <w:szCs w:val="20"/>
        </w:rPr>
        <w:t>by</w:t>
      </w:r>
      <w:r w:rsidRPr="00743DF1">
        <w:rPr>
          <w:rFonts w:ascii="Arial" w:hAnsi="Arial" w:cs="Arial"/>
          <w:spacing w:val="1"/>
          <w:sz w:val="20"/>
          <w:szCs w:val="20"/>
        </w:rPr>
        <w:t xml:space="preserve"> </w:t>
      </w:r>
      <w:r w:rsidRPr="00743DF1">
        <w:rPr>
          <w:rFonts w:ascii="Arial" w:hAnsi="Arial" w:cs="Arial"/>
          <w:spacing w:val="-1"/>
          <w:sz w:val="20"/>
          <w:szCs w:val="20"/>
        </w:rPr>
        <w:t>the</w:t>
      </w:r>
      <w:r w:rsidRPr="00743DF1">
        <w:rPr>
          <w:rFonts w:ascii="Arial" w:hAnsi="Arial" w:cs="Arial"/>
          <w:spacing w:val="-2"/>
          <w:sz w:val="20"/>
          <w:szCs w:val="20"/>
        </w:rPr>
        <w:t xml:space="preserve"> </w:t>
      </w:r>
      <w:r w:rsidRPr="00743DF1">
        <w:rPr>
          <w:rFonts w:ascii="Arial" w:hAnsi="Arial" w:cs="Arial"/>
          <w:spacing w:val="-1"/>
          <w:sz w:val="20"/>
          <w:szCs w:val="20"/>
        </w:rPr>
        <w:t xml:space="preserve">University </w:t>
      </w:r>
      <w:r w:rsidRPr="00743DF1">
        <w:rPr>
          <w:rFonts w:ascii="Arial" w:hAnsi="Arial" w:cs="Arial"/>
          <w:sz w:val="20"/>
          <w:szCs w:val="20"/>
        </w:rPr>
        <w:t>of</w:t>
      </w:r>
      <w:r w:rsidRPr="00743DF1">
        <w:rPr>
          <w:rFonts w:ascii="Arial" w:hAnsi="Arial" w:cs="Arial"/>
          <w:spacing w:val="-2"/>
          <w:sz w:val="20"/>
          <w:szCs w:val="20"/>
        </w:rPr>
        <w:t xml:space="preserve"> </w:t>
      </w:r>
      <w:r w:rsidRPr="00743DF1">
        <w:rPr>
          <w:rFonts w:ascii="Arial" w:hAnsi="Arial" w:cs="Arial"/>
          <w:spacing w:val="-1"/>
          <w:sz w:val="20"/>
          <w:szCs w:val="20"/>
        </w:rPr>
        <w:t>Adelaide,</w:t>
      </w:r>
      <w:r w:rsidRPr="00743DF1">
        <w:rPr>
          <w:rFonts w:ascii="Arial" w:hAnsi="Arial" w:cs="Arial"/>
          <w:sz w:val="20"/>
          <w:szCs w:val="20"/>
        </w:rPr>
        <w:t xml:space="preserve"> </w:t>
      </w:r>
      <w:r w:rsidRPr="00743DF1">
        <w:rPr>
          <w:rFonts w:ascii="Arial" w:hAnsi="Arial" w:cs="Arial"/>
          <w:spacing w:val="-1"/>
          <w:sz w:val="20"/>
          <w:szCs w:val="20"/>
        </w:rPr>
        <w:t>Adelaide</w:t>
      </w:r>
      <w:r w:rsidRPr="00743DF1">
        <w:rPr>
          <w:rFonts w:ascii="Arial" w:hAnsi="Arial" w:cs="Arial"/>
          <w:spacing w:val="-2"/>
          <w:sz w:val="20"/>
          <w:szCs w:val="20"/>
        </w:rPr>
        <w:t xml:space="preserve"> </w:t>
      </w:r>
      <w:proofErr w:type="gramStart"/>
      <w:r w:rsidRPr="00743DF1">
        <w:rPr>
          <w:rFonts w:ascii="Arial" w:hAnsi="Arial" w:cs="Arial"/>
          <w:spacing w:val="-1"/>
          <w:sz w:val="20"/>
          <w:szCs w:val="20"/>
        </w:rPr>
        <w:t>Research</w:t>
      </w:r>
      <w:proofErr w:type="gramEnd"/>
      <w:r w:rsidRPr="00743DF1">
        <w:rPr>
          <w:rFonts w:ascii="Arial" w:hAnsi="Arial" w:cs="Arial"/>
          <w:spacing w:val="-1"/>
          <w:sz w:val="20"/>
          <w:szCs w:val="20"/>
        </w:rPr>
        <w:t xml:space="preserve"> and Innovation (ARI)</w:t>
      </w:r>
      <w:r w:rsidRPr="00743DF1">
        <w:rPr>
          <w:rFonts w:ascii="Arial" w:hAnsi="Arial" w:cs="Arial"/>
          <w:spacing w:val="47"/>
          <w:sz w:val="20"/>
          <w:szCs w:val="20"/>
        </w:rPr>
        <w:t xml:space="preserve"> </w:t>
      </w:r>
      <w:r w:rsidRPr="00743DF1">
        <w:rPr>
          <w:rFonts w:ascii="Arial" w:hAnsi="Arial" w:cs="Arial"/>
          <w:spacing w:val="-1"/>
          <w:sz w:val="20"/>
          <w:szCs w:val="20"/>
        </w:rPr>
        <w:t>consultancy</w:t>
      </w:r>
      <w:r w:rsidRPr="00743DF1">
        <w:rPr>
          <w:rFonts w:ascii="Arial" w:hAnsi="Arial" w:cs="Arial"/>
          <w:spacing w:val="1"/>
          <w:sz w:val="20"/>
          <w:szCs w:val="20"/>
        </w:rPr>
        <w:t xml:space="preserve"> </w:t>
      </w:r>
      <w:r w:rsidRPr="00743DF1">
        <w:rPr>
          <w:rFonts w:ascii="Arial" w:hAnsi="Arial" w:cs="Arial"/>
          <w:spacing w:val="-1"/>
          <w:sz w:val="20"/>
          <w:szCs w:val="20"/>
        </w:rPr>
        <w:t>service</w:t>
      </w:r>
      <w:r w:rsidRPr="00743DF1">
        <w:rPr>
          <w:rFonts w:ascii="Arial" w:hAnsi="Arial" w:cs="Arial"/>
          <w:spacing w:val="1"/>
          <w:sz w:val="20"/>
          <w:szCs w:val="20"/>
        </w:rPr>
        <w:t xml:space="preserve"> </w:t>
      </w:r>
      <w:r w:rsidRPr="00743DF1">
        <w:rPr>
          <w:rFonts w:ascii="Arial" w:hAnsi="Arial" w:cs="Arial"/>
          <w:spacing w:val="-1"/>
          <w:sz w:val="20"/>
          <w:szCs w:val="20"/>
        </w:rPr>
        <w:t xml:space="preserve">by </w:t>
      </w:r>
      <w:r w:rsidRPr="00743DF1">
        <w:rPr>
          <w:rFonts w:ascii="Arial" w:hAnsi="Arial" w:cs="Arial"/>
          <w:sz w:val="20"/>
          <w:szCs w:val="20"/>
        </w:rPr>
        <w:t>Dr</w:t>
      </w:r>
      <w:r w:rsidRPr="00743DF1">
        <w:rPr>
          <w:rFonts w:ascii="Arial" w:hAnsi="Arial" w:cs="Arial"/>
          <w:spacing w:val="-2"/>
          <w:sz w:val="20"/>
          <w:szCs w:val="20"/>
        </w:rPr>
        <w:t xml:space="preserve"> </w:t>
      </w:r>
      <w:r w:rsidRPr="00743DF1">
        <w:rPr>
          <w:rFonts w:ascii="Arial" w:hAnsi="Arial" w:cs="Arial"/>
          <w:spacing w:val="-1"/>
          <w:sz w:val="20"/>
          <w:szCs w:val="20"/>
        </w:rPr>
        <w:t xml:space="preserve">Len </w:t>
      </w:r>
      <w:proofErr w:type="spellStart"/>
      <w:r w:rsidRPr="00743DF1">
        <w:rPr>
          <w:rFonts w:ascii="Arial" w:hAnsi="Arial" w:cs="Arial"/>
          <w:spacing w:val="-1"/>
          <w:sz w:val="20"/>
          <w:szCs w:val="20"/>
        </w:rPr>
        <w:t>Turczynowicz</w:t>
      </w:r>
      <w:proofErr w:type="spellEnd"/>
      <w:r w:rsidRPr="00743DF1">
        <w:rPr>
          <w:rFonts w:ascii="Arial" w:hAnsi="Arial" w:cs="Arial"/>
          <w:spacing w:val="-1"/>
          <w:sz w:val="20"/>
          <w:szCs w:val="20"/>
        </w:rPr>
        <w:t xml:space="preserve"> in</w:t>
      </w:r>
      <w:r w:rsidRPr="00743DF1">
        <w:rPr>
          <w:rFonts w:ascii="Arial" w:hAnsi="Arial" w:cs="Arial"/>
          <w:spacing w:val="-3"/>
          <w:sz w:val="20"/>
          <w:szCs w:val="20"/>
        </w:rPr>
        <w:t xml:space="preserve"> </w:t>
      </w:r>
      <w:r w:rsidRPr="00743DF1">
        <w:rPr>
          <w:rFonts w:ascii="Arial" w:hAnsi="Arial" w:cs="Arial"/>
          <w:spacing w:val="-1"/>
          <w:sz w:val="20"/>
          <w:szCs w:val="20"/>
        </w:rPr>
        <w:t>October</w:t>
      </w:r>
      <w:r w:rsidRPr="00743DF1">
        <w:rPr>
          <w:rFonts w:ascii="Arial" w:hAnsi="Arial" w:cs="Arial"/>
          <w:sz w:val="20"/>
          <w:szCs w:val="20"/>
        </w:rPr>
        <w:t xml:space="preserve"> </w:t>
      </w:r>
      <w:r w:rsidRPr="00743DF1">
        <w:rPr>
          <w:rFonts w:ascii="Arial" w:hAnsi="Arial" w:cs="Arial"/>
          <w:spacing w:val="-1"/>
          <w:sz w:val="20"/>
          <w:szCs w:val="20"/>
        </w:rPr>
        <w:t xml:space="preserve">2016 </w:t>
      </w:r>
      <w:r w:rsidRPr="00743DF1">
        <w:rPr>
          <w:rFonts w:ascii="Arial" w:hAnsi="Arial" w:cs="Arial"/>
          <w:sz w:val="20"/>
          <w:szCs w:val="20"/>
        </w:rPr>
        <w:t>for</w:t>
      </w:r>
      <w:r w:rsidRPr="00743DF1">
        <w:rPr>
          <w:rFonts w:ascii="Arial" w:hAnsi="Arial" w:cs="Arial"/>
          <w:spacing w:val="-2"/>
          <w:sz w:val="20"/>
          <w:szCs w:val="20"/>
        </w:rPr>
        <w:t xml:space="preserve"> </w:t>
      </w:r>
      <w:r w:rsidRPr="00743DF1">
        <w:rPr>
          <w:rFonts w:ascii="Arial" w:hAnsi="Arial" w:cs="Arial"/>
          <w:spacing w:val="-1"/>
          <w:sz w:val="20"/>
          <w:szCs w:val="20"/>
        </w:rPr>
        <w:t>the</w:t>
      </w:r>
      <w:r w:rsidRPr="00743DF1">
        <w:rPr>
          <w:rFonts w:ascii="Arial" w:hAnsi="Arial" w:cs="Arial"/>
          <w:spacing w:val="-2"/>
          <w:sz w:val="20"/>
          <w:szCs w:val="20"/>
        </w:rPr>
        <w:t xml:space="preserve"> </w:t>
      </w:r>
      <w:r w:rsidRPr="00743DF1">
        <w:rPr>
          <w:rFonts w:ascii="Arial" w:hAnsi="Arial" w:cs="Arial"/>
          <w:spacing w:val="-1"/>
          <w:sz w:val="20"/>
          <w:szCs w:val="20"/>
        </w:rPr>
        <w:t>Environmental</w:t>
      </w:r>
      <w:r w:rsidRPr="00743DF1">
        <w:rPr>
          <w:rFonts w:ascii="Arial" w:hAnsi="Arial" w:cs="Arial"/>
          <w:sz w:val="20"/>
          <w:szCs w:val="20"/>
        </w:rPr>
        <w:t xml:space="preserve"> </w:t>
      </w:r>
      <w:r w:rsidRPr="00743DF1">
        <w:rPr>
          <w:rFonts w:ascii="Arial" w:hAnsi="Arial" w:cs="Arial"/>
          <w:spacing w:val="-1"/>
          <w:sz w:val="20"/>
          <w:szCs w:val="20"/>
        </w:rPr>
        <w:t>Health Standing</w:t>
      </w:r>
      <w:r w:rsidRPr="00743DF1">
        <w:rPr>
          <w:rFonts w:ascii="Arial" w:hAnsi="Arial" w:cs="Arial"/>
          <w:spacing w:val="57"/>
          <w:sz w:val="20"/>
          <w:szCs w:val="20"/>
        </w:rPr>
        <w:t xml:space="preserve"> </w:t>
      </w:r>
      <w:r w:rsidRPr="00743DF1">
        <w:rPr>
          <w:rFonts w:ascii="Arial" w:hAnsi="Arial" w:cs="Arial"/>
          <w:spacing w:val="-1"/>
          <w:sz w:val="20"/>
          <w:szCs w:val="20"/>
        </w:rPr>
        <w:t>Committee</w:t>
      </w:r>
      <w:r w:rsidRPr="00743DF1">
        <w:rPr>
          <w:rFonts w:ascii="Arial" w:hAnsi="Arial" w:cs="Arial"/>
          <w:spacing w:val="1"/>
          <w:sz w:val="20"/>
          <w:szCs w:val="20"/>
        </w:rPr>
        <w:t xml:space="preserve"> </w:t>
      </w:r>
      <w:r w:rsidRPr="00743DF1">
        <w:rPr>
          <w:rFonts w:ascii="Arial" w:hAnsi="Arial" w:cs="Arial"/>
          <w:spacing w:val="-1"/>
          <w:sz w:val="20"/>
          <w:szCs w:val="20"/>
        </w:rPr>
        <w:t>(enHealth),</w:t>
      </w:r>
      <w:r w:rsidRPr="00743DF1">
        <w:rPr>
          <w:rFonts w:ascii="Arial" w:hAnsi="Arial" w:cs="Arial"/>
          <w:sz w:val="20"/>
          <w:szCs w:val="20"/>
        </w:rPr>
        <w:t xml:space="preserve"> a</w:t>
      </w:r>
      <w:r w:rsidRPr="00743DF1">
        <w:rPr>
          <w:rFonts w:ascii="Arial" w:hAnsi="Arial" w:cs="Arial"/>
          <w:spacing w:val="-2"/>
          <w:sz w:val="20"/>
          <w:szCs w:val="20"/>
        </w:rPr>
        <w:t xml:space="preserve"> </w:t>
      </w:r>
      <w:r w:rsidRPr="00743DF1">
        <w:rPr>
          <w:rFonts w:ascii="Arial" w:hAnsi="Arial" w:cs="Arial"/>
          <w:spacing w:val="-1"/>
          <w:sz w:val="20"/>
          <w:szCs w:val="20"/>
        </w:rPr>
        <w:t>standing committee</w:t>
      </w:r>
      <w:r w:rsidRPr="00743DF1">
        <w:rPr>
          <w:rFonts w:ascii="Arial" w:hAnsi="Arial" w:cs="Arial"/>
          <w:spacing w:val="-2"/>
          <w:sz w:val="20"/>
          <w:szCs w:val="20"/>
        </w:rPr>
        <w:t xml:space="preserve"> </w:t>
      </w:r>
      <w:r w:rsidRPr="00743DF1">
        <w:rPr>
          <w:rFonts w:ascii="Arial" w:hAnsi="Arial" w:cs="Arial"/>
          <w:sz w:val="20"/>
          <w:szCs w:val="20"/>
        </w:rPr>
        <w:t>of</w:t>
      </w:r>
      <w:r w:rsidRPr="00743DF1">
        <w:rPr>
          <w:rFonts w:ascii="Arial" w:hAnsi="Arial" w:cs="Arial"/>
          <w:spacing w:val="-2"/>
          <w:sz w:val="20"/>
          <w:szCs w:val="20"/>
        </w:rPr>
        <w:t xml:space="preserve"> </w:t>
      </w:r>
      <w:r w:rsidRPr="00743DF1">
        <w:rPr>
          <w:rFonts w:ascii="Arial" w:hAnsi="Arial" w:cs="Arial"/>
          <w:spacing w:val="-1"/>
          <w:sz w:val="20"/>
          <w:szCs w:val="20"/>
        </w:rPr>
        <w:t>the</w:t>
      </w:r>
      <w:r w:rsidRPr="00743DF1">
        <w:rPr>
          <w:rFonts w:ascii="Arial" w:hAnsi="Arial" w:cs="Arial"/>
          <w:spacing w:val="1"/>
          <w:sz w:val="20"/>
          <w:szCs w:val="20"/>
        </w:rPr>
        <w:t xml:space="preserve"> </w:t>
      </w:r>
      <w:r w:rsidRPr="00743DF1">
        <w:rPr>
          <w:rFonts w:ascii="Arial" w:hAnsi="Arial" w:cs="Arial"/>
          <w:spacing w:val="-1"/>
          <w:sz w:val="20"/>
          <w:szCs w:val="20"/>
        </w:rPr>
        <w:t>Australian Health</w:t>
      </w:r>
      <w:r w:rsidRPr="00743DF1">
        <w:rPr>
          <w:rFonts w:ascii="Arial" w:hAnsi="Arial" w:cs="Arial"/>
          <w:spacing w:val="-3"/>
          <w:sz w:val="20"/>
          <w:szCs w:val="20"/>
        </w:rPr>
        <w:t xml:space="preserve"> </w:t>
      </w:r>
      <w:r w:rsidRPr="00743DF1">
        <w:rPr>
          <w:rFonts w:ascii="Arial" w:hAnsi="Arial" w:cs="Arial"/>
          <w:spacing w:val="-1"/>
          <w:sz w:val="20"/>
          <w:szCs w:val="20"/>
        </w:rPr>
        <w:t>Protection</w:t>
      </w:r>
      <w:r w:rsidRPr="00743DF1">
        <w:rPr>
          <w:rFonts w:ascii="Arial" w:hAnsi="Arial" w:cs="Arial"/>
          <w:spacing w:val="-3"/>
          <w:sz w:val="20"/>
          <w:szCs w:val="20"/>
        </w:rPr>
        <w:t xml:space="preserve"> </w:t>
      </w:r>
      <w:r w:rsidRPr="00743DF1">
        <w:rPr>
          <w:rFonts w:ascii="Arial" w:hAnsi="Arial" w:cs="Arial"/>
          <w:spacing w:val="-1"/>
          <w:sz w:val="20"/>
          <w:szCs w:val="20"/>
        </w:rPr>
        <w:t>Principal</w:t>
      </w:r>
      <w:r w:rsidRPr="00743DF1">
        <w:rPr>
          <w:rFonts w:ascii="Arial" w:hAnsi="Arial" w:cs="Arial"/>
          <w:spacing w:val="60"/>
          <w:sz w:val="20"/>
          <w:szCs w:val="20"/>
        </w:rPr>
        <w:t xml:space="preserve"> </w:t>
      </w:r>
      <w:r w:rsidRPr="00743DF1">
        <w:rPr>
          <w:rFonts w:ascii="Arial" w:hAnsi="Arial" w:cs="Arial"/>
          <w:spacing w:val="-1"/>
          <w:sz w:val="20"/>
          <w:szCs w:val="20"/>
        </w:rPr>
        <w:t>Committee</w:t>
      </w:r>
      <w:r w:rsidRPr="00743DF1">
        <w:rPr>
          <w:rFonts w:ascii="Arial" w:hAnsi="Arial" w:cs="Arial"/>
          <w:spacing w:val="1"/>
          <w:sz w:val="20"/>
          <w:szCs w:val="20"/>
        </w:rPr>
        <w:t xml:space="preserve"> </w:t>
      </w:r>
      <w:r w:rsidRPr="00743DF1">
        <w:rPr>
          <w:rFonts w:ascii="Arial" w:hAnsi="Arial" w:cs="Arial"/>
          <w:spacing w:val="-1"/>
          <w:sz w:val="20"/>
          <w:szCs w:val="20"/>
        </w:rPr>
        <w:t>(AHPPC).</w:t>
      </w:r>
    </w:p>
    <w:p w14:paraId="35DC014D" w14:textId="77777777" w:rsidR="00AD2F2F" w:rsidRPr="00743DF1" w:rsidRDefault="00AD2F2F" w:rsidP="00AD2F2F">
      <w:pPr>
        <w:pStyle w:val="BodyText"/>
        <w:spacing w:before="159" w:line="259" w:lineRule="auto"/>
        <w:ind w:left="0" w:right="174"/>
        <w:rPr>
          <w:rFonts w:ascii="Arial" w:hAnsi="Arial" w:cs="Arial"/>
          <w:sz w:val="20"/>
          <w:szCs w:val="20"/>
        </w:rPr>
      </w:pPr>
      <w:r w:rsidRPr="00743DF1">
        <w:rPr>
          <w:rFonts w:ascii="Arial" w:hAnsi="Arial" w:cs="Arial"/>
          <w:spacing w:val="-1"/>
          <w:sz w:val="20"/>
          <w:szCs w:val="20"/>
        </w:rPr>
        <w:t>ARI</w:t>
      </w:r>
      <w:r w:rsidRPr="00743DF1">
        <w:rPr>
          <w:rFonts w:ascii="Arial" w:hAnsi="Arial" w:cs="Arial"/>
          <w:sz w:val="20"/>
          <w:szCs w:val="20"/>
        </w:rPr>
        <w:t xml:space="preserve"> </w:t>
      </w:r>
      <w:r w:rsidRPr="00743DF1">
        <w:rPr>
          <w:rFonts w:ascii="Arial" w:hAnsi="Arial" w:cs="Arial"/>
          <w:spacing w:val="-1"/>
          <w:sz w:val="20"/>
          <w:szCs w:val="20"/>
        </w:rPr>
        <w:t>would like</w:t>
      </w:r>
      <w:r w:rsidRPr="00743DF1">
        <w:rPr>
          <w:rFonts w:ascii="Arial" w:hAnsi="Arial" w:cs="Arial"/>
          <w:spacing w:val="-2"/>
          <w:sz w:val="20"/>
          <w:szCs w:val="20"/>
        </w:rPr>
        <w:t xml:space="preserve"> </w:t>
      </w:r>
      <w:r w:rsidRPr="00743DF1">
        <w:rPr>
          <w:rFonts w:ascii="Arial" w:hAnsi="Arial" w:cs="Arial"/>
          <w:sz w:val="20"/>
          <w:szCs w:val="20"/>
        </w:rPr>
        <w:t>to</w:t>
      </w:r>
      <w:r w:rsidRPr="00743DF1">
        <w:rPr>
          <w:rFonts w:ascii="Arial" w:hAnsi="Arial" w:cs="Arial"/>
          <w:spacing w:val="-1"/>
          <w:sz w:val="20"/>
          <w:szCs w:val="20"/>
        </w:rPr>
        <w:t xml:space="preserve"> thank</w:t>
      </w:r>
      <w:r w:rsidRPr="00743DF1">
        <w:rPr>
          <w:rFonts w:ascii="Arial" w:hAnsi="Arial" w:cs="Arial"/>
          <w:spacing w:val="1"/>
          <w:sz w:val="20"/>
          <w:szCs w:val="20"/>
        </w:rPr>
        <w:t xml:space="preserve"> </w:t>
      </w:r>
      <w:r w:rsidRPr="00743DF1">
        <w:rPr>
          <w:rFonts w:ascii="Arial" w:hAnsi="Arial" w:cs="Arial"/>
          <w:spacing w:val="-2"/>
          <w:sz w:val="20"/>
          <w:szCs w:val="20"/>
        </w:rPr>
        <w:t xml:space="preserve">the </w:t>
      </w:r>
      <w:r w:rsidRPr="00743DF1">
        <w:rPr>
          <w:rFonts w:ascii="Arial" w:hAnsi="Arial" w:cs="Arial"/>
          <w:spacing w:val="-1"/>
          <w:sz w:val="20"/>
          <w:szCs w:val="20"/>
        </w:rPr>
        <w:t>members</w:t>
      </w:r>
      <w:r w:rsidRPr="00743DF1">
        <w:rPr>
          <w:rFonts w:ascii="Arial" w:hAnsi="Arial" w:cs="Arial"/>
          <w:spacing w:val="-2"/>
          <w:sz w:val="20"/>
          <w:szCs w:val="20"/>
        </w:rPr>
        <w:t xml:space="preserve"> </w:t>
      </w:r>
      <w:r w:rsidRPr="00743DF1">
        <w:rPr>
          <w:rFonts w:ascii="Arial" w:hAnsi="Arial" w:cs="Arial"/>
          <w:sz w:val="20"/>
          <w:szCs w:val="20"/>
        </w:rPr>
        <w:t xml:space="preserve">of </w:t>
      </w:r>
      <w:r w:rsidRPr="00743DF1">
        <w:rPr>
          <w:rFonts w:ascii="Arial" w:hAnsi="Arial" w:cs="Arial"/>
          <w:spacing w:val="-1"/>
          <w:sz w:val="20"/>
          <w:szCs w:val="20"/>
        </w:rPr>
        <w:t>the</w:t>
      </w:r>
      <w:r w:rsidRPr="00743DF1">
        <w:rPr>
          <w:rFonts w:ascii="Arial" w:hAnsi="Arial" w:cs="Arial"/>
          <w:spacing w:val="-2"/>
          <w:sz w:val="20"/>
          <w:szCs w:val="20"/>
        </w:rPr>
        <w:t xml:space="preserve"> </w:t>
      </w:r>
      <w:r w:rsidRPr="00743DF1">
        <w:rPr>
          <w:rFonts w:ascii="Arial" w:hAnsi="Arial" w:cs="Arial"/>
          <w:spacing w:val="-1"/>
          <w:sz w:val="20"/>
          <w:szCs w:val="20"/>
        </w:rPr>
        <w:t>Project</w:t>
      </w:r>
      <w:r w:rsidRPr="00743DF1">
        <w:rPr>
          <w:rFonts w:ascii="Arial" w:hAnsi="Arial" w:cs="Arial"/>
          <w:spacing w:val="1"/>
          <w:sz w:val="20"/>
          <w:szCs w:val="20"/>
        </w:rPr>
        <w:t xml:space="preserve"> </w:t>
      </w:r>
      <w:r w:rsidRPr="00743DF1">
        <w:rPr>
          <w:rFonts w:ascii="Arial" w:hAnsi="Arial" w:cs="Arial"/>
          <w:spacing w:val="-1"/>
          <w:sz w:val="20"/>
          <w:szCs w:val="20"/>
        </w:rPr>
        <w:t>Steering Group,</w:t>
      </w:r>
      <w:r w:rsidRPr="00743DF1">
        <w:rPr>
          <w:rFonts w:ascii="Arial" w:hAnsi="Arial" w:cs="Arial"/>
          <w:sz w:val="20"/>
          <w:szCs w:val="20"/>
        </w:rPr>
        <w:t xml:space="preserve"> </w:t>
      </w:r>
      <w:r w:rsidRPr="00743DF1">
        <w:rPr>
          <w:rFonts w:ascii="Arial" w:hAnsi="Arial" w:cs="Arial"/>
          <w:spacing w:val="-1"/>
          <w:sz w:val="20"/>
          <w:szCs w:val="20"/>
        </w:rPr>
        <w:t>in particular</w:t>
      </w:r>
      <w:r w:rsidRPr="00743DF1">
        <w:rPr>
          <w:rFonts w:ascii="Arial" w:hAnsi="Arial" w:cs="Arial"/>
          <w:spacing w:val="-2"/>
          <w:sz w:val="20"/>
          <w:szCs w:val="20"/>
        </w:rPr>
        <w:t xml:space="preserve"> </w:t>
      </w:r>
      <w:r w:rsidRPr="00743DF1">
        <w:rPr>
          <w:rFonts w:ascii="Arial" w:hAnsi="Arial" w:cs="Arial"/>
          <w:sz w:val="20"/>
          <w:szCs w:val="20"/>
        </w:rPr>
        <w:t xml:space="preserve">Dr </w:t>
      </w:r>
      <w:r w:rsidRPr="00743DF1">
        <w:rPr>
          <w:rFonts w:ascii="Arial" w:hAnsi="Arial" w:cs="Arial"/>
          <w:spacing w:val="-1"/>
          <w:sz w:val="20"/>
          <w:szCs w:val="20"/>
        </w:rPr>
        <w:t>Ian</w:t>
      </w:r>
      <w:r w:rsidRPr="00743DF1">
        <w:rPr>
          <w:rFonts w:ascii="Arial" w:hAnsi="Arial" w:cs="Arial"/>
          <w:spacing w:val="-3"/>
          <w:sz w:val="20"/>
          <w:szCs w:val="20"/>
        </w:rPr>
        <w:t xml:space="preserve"> </w:t>
      </w:r>
      <w:proofErr w:type="spellStart"/>
      <w:r w:rsidRPr="00743DF1">
        <w:rPr>
          <w:rFonts w:ascii="Arial" w:hAnsi="Arial" w:cs="Arial"/>
          <w:spacing w:val="-1"/>
          <w:sz w:val="20"/>
          <w:szCs w:val="20"/>
        </w:rPr>
        <w:t>Delaere</w:t>
      </w:r>
      <w:proofErr w:type="spellEnd"/>
      <w:r w:rsidRPr="00743DF1">
        <w:rPr>
          <w:rFonts w:ascii="Arial" w:hAnsi="Arial" w:cs="Arial"/>
          <w:spacing w:val="1"/>
          <w:sz w:val="20"/>
          <w:szCs w:val="20"/>
        </w:rPr>
        <w:t xml:space="preserve"> </w:t>
      </w:r>
      <w:r w:rsidRPr="00743DF1">
        <w:rPr>
          <w:rFonts w:ascii="Arial" w:hAnsi="Arial" w:cs="Arial"/>
          <w:spacing w:val="-1"/>
          <w:sz w:val="20"/>
          <w:szCs w:val="20"/>
        </w:rPr>
        <w:t>and</w:t>
      </w:r>
      <w:r w:rsidRPr="00743DF1">
        <w:rPr>
          <w:rFonts w:ascii="Arial" w:hAnsi="Arial" w:cs="Arial"/>
          <w:spacing w:val="63"/>
          <w:sz w:val="20"/>
          <w:szCs w:val="20"/>
        </w:rPr>
        <w:t xml:space="preserve"> </w:t>
      </w:r>
      <w:r w:rsidRPr="00743DF1">
        <w:rPr>
          <w:rFonts w:ascii="Arial" w:hAnsi="Arial" w:cs="Arial"/>
          <w:sz w:val="20"/>
          <w:szCs w:val="20"/>
        </w:rPr>
        <w:t xml:space="preserve">Dr </w:t>
      </w:r>
      <w:r w:rsidRPr="00743DF1">
        <w:rPr>
          <w:rFonts w:ascii="Arial" w:hAnsi="Arial" w:cs="Arial"/>
          <w:spacing w:val="-1"/>
          <w:sz w:val="20"/>
          <w:szCs w:val="20"/>
        </w:rPr>
        <w:t>Chris</w:t>
      </w:r>
      <w:r w:rsidRPr="00743DF1">
        <w:rPr>
          <w:rFonts w:ascii="Arial" w:hAnsi="Arial" w:cs="Arial"/>
          <w:spacing w:val="-2"/>
          <w:sz w:val="20"/>
          <w:szCs w:val="20"/>
        </w:rPr>
        <w:t xml:space="preserve"> </w:t>
      </w:r>
      <w:r w:rsidRPr="00743DF1">
        <w:rPr>
          <w:rFonts w:ascii="Arial" w:hAnsi="Arial" w:cs="Arial"/>
          <w:spacing w:val="-1"/>
          <w:sz w:val="20"/>
          <w:szCs w:val="20"/>
        </w:rPr>
        <w:t>Lease,</w:t>
      </w:r>
      <w:r w:rsidRPr="00743DF1">
        <w:rPr>
          <w:rFonts w:ascii="Arial" w:hAnsi="Arial" w:cs="Arial"/>
          <w:sz w:val="20"/>
          <w:szCs w:val="20"/>
        </w:rPr>
        <w:t xml:space="preserve"> </w:t>
      </w:r>
      <w:r w:rsidRPr="00743DF1">
        <w:rPr>
          <w:rFonts w:ascii="Arial" w:hAnsi="Arial" w:cs="Arial"/>
          <w:spacing w:val="-1"/>
          <w:sz w:val="20"/>
          <w:szCs w:val="20"/>
        </w:rPr>
        <w:t>South Australia</w:t>
      </w:r>
      <w:r w:rsidRPr="00743DF1">
        <w:rPr>
          <w:rFonts w:ascii="Arial" w:hAnsi="Arial" w:cs="Arial"/>
          <w:sz w:val="20"/>
          <w:szCs w:val="20"/>
        </w:rPr>
        <w:t xml:space="preserve"> </w:t>
      </w:r>
      <w:r w:rsidRPr="00743DF1">
        <w:rPr>
          <w:rFonts w:ascii="Arial" w:hAnsi="Arial" w:cs="Arial"/>
          <w:spacing w:val="-1"/>
          <w:sz w:val="20"/>
          <w:szCs w:val="20"/>
        </w:rPr>
        <w:t>Department</w:t>
      </w:r>
      <w:r w:rsidRPr="00743DF1">
        <w:rPr>
          <w:rFonts w:ascii="Arial" w:hAnsi="Arial" w:cs="Arial"/>
          <w:spacing w:val="-2"/>
          <w:sz w:val="20"/>
          <w:szCs w:val="20"/>
        </w:rPr>
        <w:t xml:space="preserve"> </w:t>
      </w:r>
      <w:r w:rsidRPr="00743DF1">
        <w:rPr>
          <w:rFonts w:ascii="Arial" w:hAnsi="Arial" w:cs="Arial"/>
          <w:sz w:val="20"/>
          <w:szCs w:val="20"/>
        </w:rPr>
        <w:t xml:space="preserve">of </w:t>
      </w:r>
      <w:r w:rsidRPr="00743DF1">
        <w:rPr>
          <w:rFonts w:ascii="Arial" w:hAnsi="Arial" w:cs="Arial"/>
          <w:spacing w:val="-1"/>
          <w:sz w:val="20"/>
          <w:szCs w:val="20"/>
        </w:rPr>
        <w:t>Health for</w:t>
      </w:r>
      <w:r w:rsidRPr="00743DF1">
        <w:rPr>
          <w:rFonts w:ascii="Arial" w:hAnsi="Arial" w:cs="Arial"/>
          <w:spacing w:val="1"/>
          <w:sz w:val="20"/>
          <w:szCs w:val="20"/>
        </w:rPr>
        <w:t xml:space="preserve"> </w:t>
      </w:r>
      <w:r w:rsidRPr="00743DF1">
        <w:rPr>
          <w:rFonts w:ascii="Arial" w:hAnsi="Arial" w:cs="Arial"/>
          <w:spacing w:val="-1"/>
          <w:sz w:val="20"/>
          <w:szCs w:val="20"/>
        </w:rPr>
        <w:t>assisting in the</w:t>
      </w:r>
      <w:r w:rsidRPr="00743DF1">
        <w:rPr>
          <w:rFonts w:ascii="Arial" w:hAnsi="Arial" w:cs="Arial"/>
          <w:spacing w:val="-2"/>
          <w:sz w:val="20"/>
          <w:szCs w:val="20"/>
        </w:rPr>
        <w:t xml:space="preserve"> </w:t>
      </w:r>
      <w:r w:rsidRPr="00743DF1">
        <w:rPr>
          <w:rFonts w:ascii="Arial" w:hAnsi="Arial" w:cs="Arial"/>
          <w:spacing w:val="-1"/>
          <w:sz w:val="20"/>
          <w:szCs w:val="20"/>
        </w:rPr>
        <w:t>review</w:t>
      </w:r>
      <w:r w:rsidRPr="00743DF1">
        <w:rPr>
          <w:rFonts w:ascii="Arial" w:hAnsi="Arial" w:cs="Arial"/>
          <w:spacing w:val="-2"/>
          <w:sz w:val="20"/>
          <w:szCs w:val="20"/>
        </w:rPr>
        <w:t xml:space="preserve"> and</w:t>
      </w:r>
      <w:r w:rsidRPr="00743DF1">
        <w:rPr>
          <w:rFonts w:ascii="Arial" w:hAnsi="Arial" w:cs="Arial"/>
          <w:spacing w:val="-1"/>
          <w:sz w:val="20"/>
          <w:szCs w:val="20"/>
        </w:rPr>
        <w:t xml:space="preserve"> publication </w:t>
      </w:r>
      <w:r w:rsidRPr="00743DF1">
        <w:rPr>
          <w:rFonts w:ascii="Arial" w:hAnsi="Arial" w:cs="Arial"/>
          <w:sz w:val="20"/>
          <w:szCs w:val="20"/>
        </w:rPr>
        <w:t>of</w:t>
      </w:r>
      <w:r w:rsidRPr="00743DF1">
        <w:rPr>
          <w:rFonts w:ascii="Arial" w:hAnsi="Arial" w:cs="Arial"/>
          <w:spacing w:val="53"/>
          <w:sz w:val="20"/>
          <w:szCs w:val="20"/>
        </w:rPr>
        <w:t xml:space="preserve"> </w:t>
      </w:r>
      <w:r w:rsidRPr="00743DF1">
        <w:rPr>
          <w:rFonts w:ascii="Arial" w:hAnsi="Arial" w:cs="Arial"/>
          <w:spacing w:val="-1"/>
          <w:sz w:val="20"/>
          <w:szCs w:val="20"/>
        </w:rPr>
        <w:t>this</w:t>
      </w:r>
      <w:r w:rsidRPr="00743DF1">
        <w:rPr>
          <w:rFonts w:ascii="Arial" w:hAnsi="Arial" w:cs="Arial"/>
          <w:sz w:val="20"/>
          <w:szCs w:val="20"/>
        </w:rPr>
        <w:t xml:space="preserve"> </w:t>
      </w:r>
      <w:r w:rsidRPr="00743DF1">
        <w:rPr>
          <w:rFonts w:ascii="Arial" w:hAnsi="Arial" w:cs="Arial"/>
          <w:spacing w:val="-1"/>
          <w:sz w:val="20"/>
          <w:szCs w:val="20"/>
        </w:rPr>
        <w:t>report.</w:t>
      </w:r>
    </w:p>
    <w:p w14:paraId="542AB113" w14:textId="77777777" w:rsidR="00AD2F2F" w:rsidRPr="00743DF1" w:rsidRDefault="00AD2F2F" w:rsidP="00AD2F2F">
      <w:pPr>
        <w:pStyle w:val="BodyText"/>
        <w:spacing w:line="259" w:lineRule="auto"/>
        <w:ind w:left="0" w:right="388" w:hanging="1"/>
        <w:rPr>
          <w:rFonts w:ascii="Arial" w:hAnsi="Arial" w:cs="Arial"/>
          <w:sz w:val="20"/>
          <w:szCs w:val="20"/>
        </w:rPr>
      </w:pPr>
      <w:r w:rsidRPr="00743DF1">
        <w:rPr>
          <w:rFonts w:ascii="Arial" w:hAnsi="Arial" w:cs="Arial"/>
          <w:spacing w:val="-1"/>
          <w:sz w:val="20"/>
          <w:szCs w:val="20"/>
        </w:rPr>
        <w:t>The</w:t>
      </w:r>
      <w:r w:rsidRPr="00743DF1">
        <w:rPr>
          <w:rFonts w:ascii="Arial" w:hAnsi="Arial" w:cs="Arial"/>
          <w:spacing w:val="1"/>
          <w:sz w:val="20"/>
          <w:szCs w:val="20"/>
        </w:rPr>
        <w:t xml:space="preserve"> </w:t>
      </w:r>
      <w:r w:rsidRPr="00743DF1">
        <w:rPr>
          <w:rFonts w:ascii="Arial" w:hAnsi="Arial" w:cs="Arial"/>
          <w:spacing w:val="-1"/>
          <w:sz w:val="20"/>
          <w:szCs w:val="20"/>
        </w:rPr>
        <w:t>review</w:t>
      </w:r>
      <w:r w:rsidRPr="00743DF1">
        <w:rPr>
          <w:rFonts w:ascii="Arial" w:hAnsi="Arial" w:cs="Arial"/>
          <w:spacing w:val="1"/>
          <w:sz w:val="20"/>
          <w:szCs w:val="20"/>
        </w:rPr>
        <w:t xml:space="preserve"> </w:t>
      </w:r>
      <w:r w:rsidRPr="00743DF1">
        <w:rPr>
          <w:rFonts w:ascii="Arial" w:hAnsi="Arial" w:cs="Arial"/>
          <w:spacing w:val="-1"/>
          <w:sz w:val="20"/>
          <w:szCs w:val="20"/>
        </w:rPr>
        <w:t>and contributions</w:t>
      </w:r>
      <w:r w:rsidRPr="00743DF1">
        <w:rPr>
          <w:rFonts w:ascii="Arial" w:hAnsi="Arial" w:cs="Arial"/>
          <w:sz w:val="20"/>
          <w:szCs w:val="20"/>
        </w:rPr>
        <w:t xml:space="preserve"> </w:t>
      </w:r>
      <w:r w:rsidRPr="00743DF1">
        <w:rPr>
          <w:rFonts w:ascii="Arial" w:hAnsi="Arial" w:cs="Arial"/>
          <w:spacing w:val="-1"/>
          <w:sz w:val="20"/>
          <w:szCs w:val="20"/>
        </w:rPr>
        <w:t>from</w:t>
      </w:r>
      <w:r w:rsidRPr="00743DF1">
        <w:rPr>
          <w:rFonts w:ascii="Arial" w:hAnsi="Arial" w:cs="Arial"/>
          <w:spacing w:val="1"/>
          <w:sz w:val="20"/>
          <w:szCs w:val="20"/>
        </w:rPr>
        <w:t xml:space="preserve"> </w:t>
      </w:r>
      <w:r w:rsidRPr="00743DF1">
        <w:rPr>
          <w:rFonts w:ascii="Arial" w:hAnsi="Arial" w:cs="Arial"/>
          <w:spacing w:val="-2"/>
          <w:sz w:val="20"/>
          <w:szCs w:val="20"/>
        </w:rPr>
        <w:t>the</w:t>
      </w:r>
      <w:r w:rsidRPr="00743DF1">
        <w:rPr>
          <w:rFonts w:ascii="Arial" w:hAnsi="Arial" w:cs="Arial"/>
          <w:spacing w:val="1"/>
          <w:sz w:val="20"/>
          <w:szCs w:val="20"/>
        </w:rPr>
        <w:t xml:space="preserve"> </w:t>
      </w:r>
      <w:r w:rsidRPr="00743DF1">
        <w:rPr>
          <w:rFonts w:ascii="Arial" w:hAnsi="Arial" w:cs="Arial"/>
          <w:spacing w:val="-1"/>
          <w:sz w:val="20"/>
          <w:szCs w:val="20"/>
        </w:rPr>
        <w:t xml:space="preserve">enHealth </w:t>
      </w:r>
      <w:r w:rsidRPr="00743DF1">
        <w:rPr>
          <w:rFonts w:ascii="Arial" w:hAnsi="Arial" w:cs="Arial"/>
          <w:spacing w:val="-2"/>
          <w:sz w:val="20"/>
          <w:szCs w:val="20"/>
        </w:rPr>
        <w:t>Expert</w:t>
      </w:r>
      <w:r w:rsidRPr="00743DF1">
        <w:rPr>
          <w:rFonts w:ascii="Arial" w:hAnsi="Arial" w:cs="Arial"/>
          <w:spacing w:val="1"/>
          <w:sz w:val="20"/>
          <w:szCs w:val="20"/>
        </w:rPr>
        <w:t xml:space="preserve"> </w:t>
      </w:r>
      <w:r w:rsidRPr="00743DF1">
        <w:rPr>
          <w:rFonts w:ascii="Arial" w:hAnsi="Arial" w:cs="Arial"/>
          <w:spacing w:val="-1"/>
          <w:sz w:val="20"/>
          <w:szCs w:val="20"/>
        </w:rPr>
        <w:t>Reference</w:t>
      </w:r>
      <w:r w:rsidRPr="00743DF1">
        <w:rPr>
          <w:rFonts w:ascii="Arial" w:hAnsi="Arial" w:cs="Arial"/>
          <w:spacing w:val="-2"/>
          <w:sz w:val="20"/>
          <w:szCs w:val="20"/>
        </w:rPr>
        <w:t xml:space="preserve"> </w:t>
      </w:r>
      <w:r w:rsidRPr="00743DF1">
        <w:rPr>
          <w:rFonts w:ascii="Arial" w:hAnsi="Arial" w:cs="Arial"/>
          <w:spacing w:val="-1"/>
          <w:sz w:val="20"/>
          <w:szCs w:val="20"/>
        </w:rPr>
        <w:t>Panel</w:t>
      </w:r>
      <w:r w:rsidRPr="00743DF1">
        <w:rPr>
          <w:rFonts w:ascii="Arial" w:hAnsi="Arial" w:cs="Arial"/>
          <w:spacing w:val="-2"/>
          <w:sz w:val="20"/>
          <w:szCs w:val="20"/>
        </w:rPr>
        <w:t xml:space="preserve"> </w:t>
      </w:r>
      <w:r w:rsidRPr="00743DF1">
        <w:rPr>
          <w:rFonts w:ascii="Arial" w:hAnsi="Arial" w:cs="Arial"/>
          <w:sz w:val="20"/>
          <w:szCs w:val="20"/>
        </w:rPr>
        <w:t>on</w:t>
      </w:r>
      <w:r w:rsidRPr="00743DF1">
        <w:rPr>
          <w:rFonts w:ascii="Arial" w:hAnsi="Arial" w:cs="Arial"/>
          <w:spacing w:val="-1"/>
          <w:sz w:val="20"/>
          <w:szCs w:val="20"/>
        </w:rPr>
        <w:t xml:space="preserve"> Environmental</w:t>
      </w:r>
      <w:r w:rsidRPr="00743DF1">
        <w:rPr>
          <w:rFonts w:ascii="Arial" w:hAnsi="Arial" w:cs="Arial"/>
          <w:sz w:val="20"/>
          <w:szCs w:val="20"/>
        </w:rPr>
        <w:t xml:space="preserve"> </w:t>
      </w:r>
      <w:r w:rsidRPr="00743DF1">
        <w:rPr>
          <w:rFonts w:ascii="Arial" w:hAnsi="Arial" w:cs="Arial"/>
          <w:spacing w:val="-1"/>
          <w:sz w:val="20"/>
          <w:szCs w:val="20"/>
        </w:rPr>
        <w:t>Health</w:t>
      </w:r>
      <w:r w:rsidRPr="00743DF1">
        <w:rPr>
          <w:rFonts w:ascii="Arial" w:hAnsi="Arial" w:cs="Arial"/>
          <w:spacing w:val="51"/>
          <w:sz w:val="20"/>
          <w:szCs w:val="20"/>
        </w:rPr>
        <w:t xml:space="preserve"> </w:t>
      </w:r>
      <w:r w:rsidRPr="00743DF1">
        <w:rPr>
          <w:rFonts w:ascii="Arial" w:hAnsi="Arial" w:cs="Arial"/>
          <w:spacing w:val="-1"/>
          <w:sz w:val="20"/>
          <w:szCs w:val="20"/>
        </w:rPr>
        <w:t>members</w:t>
      </w:r>
      <w:r w:rsidRPr="00743DF1">
        <w:rPr>
          <w:rFonts w:ascii="Arial" w:hAnsi="Arial" w:cs="Arial"/>
          <w:spacing w:val="-2"/>
          <w:sz w:val="20"/>
          <w:szCs w:val="20"/>
        </w:rPr>
        <w:t xml:space="preserve"> </w:t>
      </w:r>
      <w:r w:rsidRPr="00743DF1">
        <w:rPr>
          <w:rFonts w:ascii="Arial" w:hAnsi="Arial" w:cs="Arial"/>
          <w:spacing w:val="-1"/>
          <w:sz w:val="20"/>
          <w:szCs w:val="20"/>
        </w:rPr>
        <w:t xml:space="preserve">from each jurisdiction </w:t>
      </w:r>
      <w:r w:rsidRPr="00743DF1">
        <w:rPr>
          <w:rFonts w:ascii="Arial" w:hAnsi="Arial" w:cs="Arial"/>
          <w:spacing w:val="-2"/>
          <w:sz w:val="20"/>
          <w:szCs w:val="20"/>
        </w:rPr>
        <w:t>are</w:t>
      </w:r>
      <w:r w:rsidRPr="00743DF1">
        <w:rPr>
          <w:rFonts w:ascii="Arial" w:hAnsi="Arial" w:cs="Arial"/>
          <w:spacing w:val="1"/>
          <w:sz w:val="20"/>
          <w:szCs w:val="20"/>
        </w:rPr>
        <w:t xml:space="preserve"> </w:t>
      </w:r>
      <w:r w:rsidRPr="00743DF1">
        <w:rPr>
          <w:rFonts w:ascii="Arial" w:hAnsi="Arial" w:cs="Arial"/>
          <w:spacing w:val="-1"/>
          <w:sz w:val="20"/>
          <w:szCs w:val="20"/>
        </w:rPr>
        <w:t>acknowledged.</w:t>
      </w:r>
    </w:p>
    <w:p w14:paraId="04D81866" w14:textId="77777777" w:rsidR="00AD2F2F" w:rsidRPr="00743DF1" w:rsidRDefault="00AD2F2F" w:rsidP="00AD2F2F">
      <w:pPr>
        <w:pStyle w:val="BodyText"/>
        <w:ind w:left="0"/>
        <w:rPr>
          <w:rFonts w:ascii="Arial" w:hAnsi="Arial" w:cs="Arial"/>
          <w:sz w:val="20"/>
          <w:szCs w:val="20"/>
        </w:rPr>
      </w:pPr>
      <w:r w:rsidRPr="00743DF1">
        <w:rPr>
          <w:rFonts w:ascii="Arial" w:hAnsi="Arial" w:cs="Arial"/>
          <w:spacing w:val="-1"/>
          <w:sz w:val="20"/>
          <w:szCs w:val="20"/>
        </w:rPr>
        <w:t>SUGGESTED</w:t>
      </w:r>
      <w:r w:rsidRPr="00743DF1">
        <w:rPr>
          <w:rFonts w:ascii="Arial" w:hAnsi="Arial" w:cs="Arial"/>
          <w:spacing w:val="1"/>
          <w:sz w:val="20"/>
          <w:szCs w:val="20"/>
        </w:rPr>
        <w:t xml:space="preserve"> </w:t>
      </w:r>
      <w:r w:rsidRPr="00743DF1">
        <w:rPr>
          <w:rFonts w:ascii="Arial" w:hAnsi="Arial" w:cs="Arial"/>
          <w:spacing w:val="-1"/>
          <w:sz w:val="20"/>
          <w:szCs w:val="20"/>
        </w:rPr>
        <w:t>CITATION</w:t>
      </w:r>
    </w:p>
    <w:p w14:paraId="712CA325" w14:textId="77777777" w:rsidR="00AD2F2F" w:rsidRPr="00743DF1" w:rsidRDefault="00AD2F2F" w:rsidP="00AD2F2F">
      <w:pPr>
        <w:spacing w:before="182"/>
        <w:ind w:right="174"/>
        <w:rPr>
          <w:rFonts w:eastAsia="Calibri" w:cs="Arial"/>
          <w:sz w:val="20"/>
          <w:szCs w:val="20"/>
        </w:rPr>
      </w:pPr>
      <w:proofErr w:type="spellStart"/>
      <w:r w:rsidRPr="00743DF1">
        <w:rPr>
          <w:rFonts w:eastAsia="Calibri" w:cs="Arial"/>
          <w:spacing w:val="-1"/>
          <w:sz w:val="20"/>
          <w:szCs w:val="20"/>
        </w:rPr>
        <w:t>Turczynowicz</w:t>
      </w:r>
      <w:proofErr w:type="spellEnd"/>
      <w:r w:rsidRPr="00743DF1">
        <w:rPr>
          <w:rFonts w:eastAsia="Calibri" w:cs="Arial"/>
          <w:spacing w:val="-1"/>
          <w:sz w:val="20"/>
          <w:szCs w:val="20"/>
        </w:rPr>
        <w:t>,</w:t>
      </w:r>
      <w:r w:rsidRPr="00743DF1">
        <w:rPr>
          <w:rFonts w:eastAsia="Calibri" w:cs="Arial"/>
          <w:spacing w:val="-2"/>
          <w:sz w:val="20"/>
          <w:szCs w:val="20"/>
        </w:rPr>
        <w:t xml:space="preserve"> </w:t>
      </w:r>
      <w:r w:rsidRPr="00743DF1">
        <w:rPr>
          <w:rFonts w:eastAsia="Calibri" w:cs="Arial"/>
          <w:sz w:val="20"/>
          <w:szCs w:val="20"/>
        </w:rPr>
        <w:t xml:space="preserve">L. </w:t>
      </w:r>
      <w:r w:rsidRPr="00743DF1">
        <w:rPr>
          <w:rFonts w:eastAsia="Calibri" w:cs="Arial"/>
          <w:spacing w:val="-1"/>
          <w:sz w:val="20"/>
          <w:szCs w:val="20"/>
        </w:rPr>
        <w:t>(2016).</w:t>
      </w:r>
      <w:r w:rsidRPr="00743DF1">
        <w:rPr>
          <w:rFonts w:eastAsia="Calibri" w:cs="Arial"/>
          <w:sz w:val="20"/>
          <w:szCs w:val="20"/>
        </w:rPr>
        <w:t xml:space="preserve"> </w:t>
      </w:r>
      <w:proofErr w:type="spellStart"/>
      <w:r w:rsidRPr="00743DF1">
        <w:rPr>
          <w:rFonts w:eastAsia="Calibri" w:cs="Arial"/>
          <w:i/>
          <w:spacing w:val="-2"/>
          <w:sz w:val="20"/>
          <w:szCs w:val="20"/>
        </w:rPr>
        <w:t>Vapour</w:t>
      </w:r>
      <w:proofErr w:type="spellEnd"/>
      <w:r w:rsidRPr="00743DF1">
        <w:rPr>
          <w:rFonts w:eastAsia="Calibri" w:cs="Arial"/>
          <w:i/>
          <w:spacing w:val="1"/>
          <w:sz w:val="20"/>
          <w:szCs w:val="20"/>
        </w:rPr>
        <w:t xml:space="preserve"> </w:t>
      </w:r>
      <w:r w:rsidRPr="00743DF1">
        <w:rPr>
          <w:rFonts w:eastAsia="Calibri" w:cs="Arial"/>
          <w:i/>
          <w:spacing w:val="-1"/>
          <w:sz w:val="20"/>
          <w:szCs w:val="20"/>
        </w:rPr>
        <w:t>intrusions</w:t>
      </w:r>
      <w:r w:rsidRPr="00743DF1">
        <w:rPr>
          <w:rFonts w:eastAsia="Calibri" w:cs="Arial"/>
          <w:i/>
          <w:spacing w:val="1"/>
          <w:sz w:val="20"/>
          <w:szCs w:val="20"/>
        </w:rPr>
        <w:t xml:space="preserve"> </w:t>
      </w:r>
      <w:r w:rsidRPr="00743DF1">
        <w:rPr>
          <w:rFonts w:eastAsia="Calibri" w:cs="Arial"/>
          <w:i/>
          <w:sz w:val="20"/>
          <w:szCs w:val="20"/>
        </w:rPr>
        <w:t>–</w:t>
      </w:r>
      <w:r w:rsidRPr="00743DF1">
        <w:rPr>
          <w:rFonts w:eastAsia="Calibri" w:cs="Arial"/>
          <w:i/>
          <w:spacing w:val="1"/>
          <w:sz w:val="20"/>
          <w:szCs w:val="20"/>
        </w:rPr>
        <w:t xml:space="preserve"> </w:t>
      </w:r>
      <w:r w:rsidRPr="00743DF1">
        <w:rPr>
          <w:rFonts w:eastAsia="Calibri" w:cs="Arial"/>
          <w:i/>
          <w:spacing w:val="-1"/>
          <w:sz w:val="20"/>
          <w:szCs w:val="20"/>
        </w:rPr>
        <w:t>hazardous</w:t>
      </w:r>
      <w:r w:rsidRPr="00743DF1">
        <w:rPr>
          <w:rFonts w:eastAsia="Calibri" w:cs="Arial"/>
          <w:i/>
          <w:spacing w:val="1"/>
          <w:sz w:val="20"/>
          <w:szCs w:val="20"/>
        </w:rPr>
        <w:t xml:space="preserve"> </w:t>
      </w:r>
      <w:r w:rsidRPr="00743DF1">
        <w:rPr>
          <w:rFonts w:eastAsia="Calibri" w:cs="Arial"/>
          <w:i/>
          <w:spacing w:val="-1"/>
          <w:sz w:val="20"/>
          <w:szCs w:val="20"/>
        </w:rPr>
        <w:t>ground</w:t>
      </w:r>
      <w:r w:rsidRPr="00743DF1">
        <w:rPr>
          <w:rFonts w:eastAsia="Calibri" w:cs="Arial"/>
          <w:i/>
          <w:sz w:val="20"/>
          <w:szCs w:val="20"/>
        </w:rPr>
        <w:t xml:space="preserve"> </w:t>
      </w:r>
      <w:r w:rsidRPr="00743DF1">
        <w:rPr>
          <w:rFonts w:eastAsia="Calibri" w:cs="Arial"/>
          <w:i/>
          <w:spacing w:val="-1"/>
          <w:sz w:val="20"/>
          <w:szCs w:val="20"/>
        </w:rPr>
        <w:t>gases.</w:t>
      </w:r>
      <w:r w:rsidRPr="00743DF1">
        <w:rPr>
          <w:rFonts w:eastAsia="Calibri" w:cs="Arial"/>
          <w:i/>
          <w:spacing w:val="-3"/>
          <w:sz w:val="20"/>
          <w:szCs w:val="20"/>
        </w:rPr>
        <w:t xml:space="preserve"> </w:t>
      </w:r>
      <w:r w:rsidRPr="00743DF1">
        <w:rPr>
          <w:rFonts w:eastAsia="Calibri" w:cs="Arial"/>
          <w:i/>
          <w:spacing w:val="-1"/>
          <w:sz w:val="20"/>
          <w:szCs w:val="20"/>
        </w:rPr>
        <w:t>Review</w:t>
      </w:r>
      <w:r w:rsidRPr="00743DF1">
        <w:rPr>
          <w:rFonts w:eastAsia="Calibri" w:cs="Arial"/>
          <w:i/>
          <w:spacing w:val="1"/>
          <w:sz w:val="20"/>
          <w:szCs w:val="20"/>
        </w:rPr>
        <w:t xml:space="preserve"> </w:t>
      </w:r>
      <w:r w:rsidRPr="00743DF1">
        <w:rPr>
          <w:rFonts w:eastAsia="Calibri" w:cs="Arial"/>
          <w:i/>
          <w:spacing w:val="-2"/>
          <w:sz w:val="20"/>
          <w:szCs w:val="20"/>
        </w:rPr>
        <w:t>and</w:t>
      </w:r>
      <w:r w:rsidRPr="00743DF1">
        <w:rPr>
          <w:rFonts w:eastAsia="Calibri" w:cs="Arial"/>
          <w:i/>
          <w:spacing w:val="-1"/>
          <w:sz w:val="20"/>
          <w:szCs w:val="20"/>
        </w:rPr>
        <w:t xml:space="preserve"> guidance</w:t>
      </w:r>
      <w:r w:rsidRPr="00743DF1">
        <w:rPr>
          <w:rFonts w:eastAsia="Calibri" w:cs="Arial"/>
          <w:i/>
          <w:sz w:val="20"/>
          <w:szCs w:val="20"/>
        </w:rPr>
        <w:t xml:space="preserve"> </w:t>
      </w:r>
      <w:r w:rsidRPr="00743DF1">
        <w:rPr>
          <w:rFonts w:eastAsia="Calibri" w:cs="Arial"/>
          <w:i/>
          <w:spacing w:val="-1"/>
          <w:sz w:val="20"/>
          <w:szCs w:val="20"/>
        </w:rPr>
        <w:t>based on</w:t>
      </w:r>
      <w:r w:rsidRPr="00743DF1">
        <w:rPr>
          <w:rFonts w:eastAsia="Calibri" w:cs="Arial"/>
          <w:i/>
          <w:spacing w:val="57"/>
          <w:sz w:val="20"/>
          <w:szCs w:val="20"/>
        </w:rPr>
        <w:t xml:space="preserve"> </w:t>
      </w:r>
      <w:r w:rsidRPr="00743DF1">
        <w:rPr>
          <w:rFonts w:eastAsia="Calibri" w:cs="Arial"/>
          <w:i/>
          <w:spacing w:val="-1"/>
          <w:sz w:val="20"/>
          <w:szCs w:val="20"/>
        </w:rPr>
        <w:t>current</w:t>
      </w:r>
      <w:r w:rsidRPr="00743DF1">
        <w:rPr>
          <w:rFonts w:eastAsia="Calibri" w:cs="Arial"/>
          <w:i/>
          <w:spacing w:val="-2"/>
          <w:sz w:val="20"/>
          <w:szCs w:val="20"/>
        </w:rPr>
        <w:t xml:space="preserve"> </w:t>
      </w:r>
      <w:r w:rsidRPr="00743DF1">
        <w:rPr>
          <w:rFonts w:eastAsia="Calibri" w:cs="Arial"/>
          <w:i/>
          <w:spacing w:val="-1"/>
          <w:sz w:val="20"/>
          <w:szCs w:val="20"/>
        </w:rPr>
        <w:t>scientific consensus</w:t>
      </w:r>
      <w:r w:rsidRPr="00743DF1">
        <w:rPr>
          <w:rFonts w:eastAsia="Calibri" w:cs="Arial"/>
          <w:spacing w:val="-1"/>
          <w:sz w:val="20"/>
          <w:szCs w:val="20"/>
        </w:rPr>
        <w:t>.</w:t>
      </w:r>
      <w:r w:rsidRPr="00743DF1">
        <w:rPr>
          <w:rFonts w:eastAsia="Calibri" w:cs="Arial"/>
          <w:sz w:val="20"/>
          <w:szCs w:val="20"/>
        </w:rPr>
        <w:t xml:space="preserve"> </w:t>
      </w:r>
      <w:r w:rsidRPr="00743DF1">
        <w:rPr>
          <w:rFonts w:eastAsia="Calibri" w:cs="Arial"/>
          <w:spacing w:val="-1"/>
          <w:sz w:val="20"/>
          <w:szCs w:val="20"/>
        </w:rPr>
        <w:t>Canberra.</w:t>
      </w:r>
      <w:r w:rsidRPr="00743DF1">
        <w:rPr>
          <w:rFonts w:eastAsia="Calibri" w:cs="Arial"/>
          <w:sz w:val="20"/>
          <w:szCs w:val="20"/>
        </w:rPr>
        <w:t xml:space="preserve"> </w:t>
      </w:r>
      <w:r w:rsidRPr="00743DF1">
        <w:rPr>
          <w:rFonts w:eastAsia="Calibri" w:cs="Arial"/>
          <w:spacing w:val="-1"/>
          <w:sz w:val="20"/>
          <w:szCs w:val="20"/>
        </w:rPr>
        <w:t>Australian Government</w:t>
      </w:r>
      <w:r w:rsidRPr="00743DF1">
        <w:rPr>
          <w:rFonts w:eastAsia="Calibri" w:cs="Arial"/>
          <w:spacing w:val="-2"/>
          <w:sz w:val="20"/>
          <w:szCs w:val="20"/>
        </w:rPr>
        <w:t xml:space="preserve"> </w:t>
      </w:r>
      <w:r w:rsidRPr="00743DF1">
        <w:rPr>
          <w:rFonts w:eastAsia="Calibri" w:cs="Arial"/>
          <w:spacing w:val="-1"/>
          <w:sz w:val="20"/>
          <w:szCs w:val="20"/>
        </w:rPr>
        <w:t>Department</w:t>
      </w:r>
      <w:r w:rsidRPr="00743DF1">
        <w:rPr>
          <w:rFonts w:eastAsia="Calibri" w:cs="Arial"/>
          <w:spacing w:val="-2"/>
          <w:sz w:val="20"/>
          <w:szCs w:val="20"/>
        </w:rPr>
        <w:t xml:space="preserve"> </w:t>
      </w:r>
      <w:r w:rsidRPr="00743DF1">
        <w:rPr>
          <w:rFonts w:eastAsia="Calibri" w:cs="Arial"/>
          <w:sz w:val="20"/>
          <w:szCs w:val="20"/>
        </w:rPr>
        <w:t xml:space="preserve">of </w:t>
      </w:r>
      <w:r w:rsidRPr="00743DF1">
        <w:rPr>
          <w:rFonts w:eastAsia="Calibri" w:cs="Arial"/>
          <w:spacing w:val="-2"/>
          <w:sz w:val="20"/>
          <w:szCs w:val="20"/>
        </w:rPr>
        <w:t>Health</w:t>
      </w:r>
      <w:r w:rsidRPr="00743DF1">
        <w:rPr>
          <w:rFonts w:eastAsia="Calibri" w:cs="Arial"/>
          <w:spacing w:val="-1"/>
          <w:sz w:val="20"/>
          <w:szCs w:val="20"/>
        </w:rPr>
        <w:t xml:space="preserve"> and Aged Care.</w:t>
      </w:r>
    </w:p>
    <w:p w14:paraId="587BB515" w14:textId="77777777" w:rsidR="00AD2F2F" w:rsidRPr="00743DF1" w:rsidRDefault="00AD2F2F" w:rsidP="00AD2F2F">
      <w:pPr>
        <w:rPr>
          <w:rFonts w:eastAsia="Calibri" w:cs="Arial"/>
          <w:sz w:val="20"/>
          <w:szCs w:val="20"/>
        </w:rPr>
      </w:pPr>
    </w:p>
    <w:p w14:paraId="1CDEBD2C" w14:textId="77777777" w:rsidR="00AD2F2F" w:rsidRDefault="00AD2F2F" w:rsidP="00AD2F2F">
      <w:pPr>
        <w:rPr>
          <w:rFonts w:ascii="Calibri" w:eastAsia="Calibri" w:hAnsi="Calibri" w:cs="Calibri"/>
          <w:sz w:val="20"/>
          <w:szCs w:val="20"/>
        </w:rPr>
      </w:pPr>
    </w:p>
    <w:p w14:paraId="71CFF6BC" w14:textId="642B98BA" w:rsidR="00DE3E31" w:rsidRPr="00B6351F" w:rsidRDefault="00B6351F" w:rsidP="00B6351F">
      <w:pPr>
        <w:jc w:val="center"/>
        <w:rPr>
          <w:rFonts w:eastAsia="Times New Roman" w:cs="Arial"/>
          <w:b/>
          <w:sz w:val="24"/>
          <w:szCs w:val="24"/>
          <w:lang w:val="en" w:eastAsia="en-US"/>
        </w:rPr>
      </w:pPr>
      <w:r w:rsidRPr="00B6351F">
        <w:rPr>
          <w:rFonts w:eastAsia="Times New Roman" w:cs="Arial"/>
          <w:b/>
          <w:sz w:val="24"/>
          <w:szCs w:val="24"/>
          <w:lang w:val="en" w:eastAsia="en-US"/>
        </w:rPr>
        <w:lastRenderedPageBreak/>
        <w:t xml:space="preserve">Table of </w:t>
      </w:r>
      <w:r w:rsidR="00743DF1">
        <w:rPr>
          <w:rFonts w:eastAsia="Times New Roman" w:cs="Arial"/>
          <w:b/>
          <w:sz w:val="24"/>
          <w:szCs w:val="24"/>
          <w:lang w:val="en" w:eastAsia="en-US"/>
        </w:rPr>
        <w:t>C</w:t>
      </w:r>
      <w:r w:rsidRPr="00B6351F">
        <w:rPr>
          <w:rFonts w:eastAsia="Times New Roman" w:cs="Arial"/>
          <w:b/>
          <w:sz w:val="24"/>
          <w:szCs w:val="24"/>
          <w:lang w:val="en" w:eastAsia="en-US"/>
        </w:rPr>
        <w:t>ontents</w:t>
      </w:r>
    </w:p>
    <w:p w14:paraId="7F1C7D89" w14:textId="2DFE9BF9" w:rsidR="00C57318" w:rsidRDefault="00275EAA">
      <w:pPr>
        <w:pStyle w:val="TOC1"/>
        <w:tabs>
          <w:tab w:val="left" w:pos="440"/>
          <w:tab w:val="right" w:leader="dot" w:pos="9350"/>
        </w:tabs>
        <w:rPr>
          <w:rFonts w:asciiTheme="minorHAnsi" w:hAnsiTheme="minorHAnsi"/>
          <w:noProof/>
          <w:lang w:eastAsia="en-US"/>
        </w:rPr>
      </w:pPr>
      <w:r>
        <w:fldChar w:fldCharType="begin"/>
      </w:r>
      <w:r>
        <w:instrText xml:space="preserve"> TOC \o "1-3" \h \z \u </w:instrText>
      </w:r>
      <w:r>
        <w:fldChar w:fldCharType="separate"/>
      </w:r>
      <w:hyperlink w:anchor="_Toc461684029" w:history="1">
        <w:r w:rsidR="00C57318" w:rsidRPr="00CE4258">
          <w:rPr>
            <w:rStyle w:val="Hyperlink"/>
            <w:noProof/>
          </w:rPr>
          <w:t>1</w:t>
        </w:r>
        <w:r w:rsidR="00C57318">
          <w:rPr>
            <w:rFonts w:asciiTheme="minorHAnsi" w:hAnsiTheme="minorHAnsi"/>
            <w:noProof/>
            <w:lang w:eastAsia="en-US"/>
          </w:rPr>
          <w:tab/>
        </w:r>
        <w:r w:rsidR="00C57318" w:rsidRPr="00CE4258">
          <w:rPr>
            <w:rStyle w:val="Hyperlink"/>
            <w:noProof/>
          </w:rPr>
          <w:t>Executive summary</w:t>
        </w:r>
        <w:r w:rsidR="00C57318">
          <w:rPr>
            <w:noProof/>
            <w:webHidden/>
          </w:rPr>
          <w:tab/>
        </w:r>
        <w:r w:rsidR="00C57318">
          <w:rPr>
            <w:noProof/>
            <w:webHidden/>
          </w:rPr>
          <w:fldChar w:fldCharType="begin"/>
        </w:r>
        <w:r w:rsidR="00C57318">
          <w:rPr>
            <w:noProof/>
            <w:webHidden/>
          </w:rPr>
          <w:instrText xml:space="preserve"> PAGEREF _Toc461684029 \h </w:instrText>
        </w:r>
        <w:r w:rsidR="00C57318">
          <w:rPr>
            <w:noProof/>
            <w:webHidden/>
          </w:rPr>
        </w:r>
        <w:r w:rsidR="00C57318">
          <w:rPr>
            <w:noProof/>
            <w:webHidden/>
          </w:rPr>
          <w:fldChar w:fldCharType="separate"/>
        </w:r>
        <w:r w:rsidR="00C57318">
          <w:rPr>
            <w:noProof/>
            <w:webHidden/>
          </w:rPr>
          <w:t>8</w:t>
        </w:r>
        <w:r w:rsidR="00C57318">
          <w:rPr>
            <w:noProof/>
            <w:webHidden/>
          </w:rPr>
          <w:fldChar w:fldCharType="end"/>
        </w:r>
      </w:hyperlink>
    </w:p>
    <w:p w14:paraId="0308F2A0" w14:textId="15B65247" w:rsidR="00C57318" w:rsidRDefault="00000000">
      <w:pPr>
        <w:pStyle w:val="TOC1"/>
        <w:tabs>
          <w:tab w:val="left" w:pos="440"/>
          <w:tab w:val="right" w:leader="dot" w:pos="9350"/>
        </w:tabs>
        <w:rPr>
          <w:rFonts w:asciiTheme="minorHAnsi" w:hAnsiTheme="minorHAnsi"/>
          <w:noProof/>
          <w:lang w:eastAsia="en-US"/>
        </w:rPr>
      </w:pPr>
      <w:hyperlink w:anchor="_Toc461684030" w:history="1">
        <w:r w:rsidR="00C57318" w:rsidRPr="00CE4258">
          <w:rPr>
            <w:rStyle w:val="Hyperlink"/>
            <w:noProof/>
          </w:rPr>
          <w:t>2</w:t>
        </w:r>
        <w:r w:rsidR="00C57318">
          <w:rPr>
            <w:rFonts w:asciiTheme="minorHAnsi" w:hAnsiTheme="minorHAnsi"/>
            <w:noProof/>
            <w:lang w:eastAsia="en-US"/>
          </w:rPr>
          <w:tab/>
        </w:r>
        <w:r w:rsidR="00C57318" w:rsidRPr="00CE4258">
          <w:rPr>
            <w:rStyle w:val="Hyperlink"/>
            <w:noProof/>
          </w:rPr>
          <w:t>Introduction</w:t>
        </w:r>
        <w:r w:rsidR="00C57318">
          <w:rPr>
            <w:noProof/>
            <w:webHidden/>
          </w:rPr>
          <w:tab/>
        </w:r>
        <w:r w:rsidR="00C57318">
          <w:rPr>
            <w:noProof/>
            <w:webHidden/>
          </w:rPr>
          <w:fldChar w:fldCharType="begin"/>
        </w:r>
        <w:r w:rsidR="00C57318">
          <w:rPr>
            <w:noProof/>
            <w:webHidden/>
          </w:rPr>
          <w:instrText xml:space="preserve"> PAGEREF _Toc461684030 \h </w:instrText>
        </w:r>
        <w:r w:rsidR="00C57318">
          <w:rPr>
            <w:noProof/>
            <w:webHidden/>
          </w:rPr>
        </w:r>
        <w:r w:rsidR="00C57318">
          <w:rPr>
            <w:noProof/>
            <w:webHidden/>
          </w:rPr>
          <w:fldChar w:fldCharType="separate"/>
        </w:r>
        <w:r w:rsidR="00C57318">
          <w:rPr>
            <w:noProof/>
            <w:webHidden/>
          </w:rPr>
          <w:t>16</w:t>
        </w:r>
        <w:r w:rsidR="00C57318">
          <w:rPr>
            <w:noProof/>
            <w:webHidden/>
          </w:rPr>
          <w:fldChar w:fldCharType="end"/>
        </w:r>
      </w:hyperlink>
    </w:p>
    <w:p w14:paraId="09508F5D" w14:textId="5DB52C0F" w:rsidR="00C57318" w:rsidRDefault="00000000">
      <w:pPr>
        <w:pStyle w:val="TOC1"/>
        <w:tabs>
          <w:tab w:val="left" w:pos="440"/>
          <w:tab w:val="right" w:leader="dot" w:pos="9350"/>
        </w:tabs>
        <w:rPr>
          <w:rFonts w:asciiTheme="minorHAnsi" w:hAnsiTheme="minorHAnsi"/>
          <w:noProof/>
          <w:lang w:eastAsia="en-US"/>
        </w:rPr>
      </w:pPr>
      <w:hyperlink w:anchor="_Toc461684031" w:history="1">
        <w:r w:rsidR="00C57318" w:rsidRPr="00CE4258">
          <w:rPr>
            <w:rStyle w:val="Hyperlink"/>
            <w:noProof/>
          </w:rPr>
          <w:t>3</w:t>
        </w:r>
        <w:r w:rsidR="00C57318">
          <w:rPr>
            <w:rFonts w:asciiTheme="minorHAnsi" w:hAnsiTheme="minorHAnsi"/>
            <w:noProof/>
            <w:lang w:eastAsia="en-US"/>
          </w:rPr>
          <w:tab/>
        </w:r>
        <w:r w:rsidR="00C57318" w:rsidRPr="00CE4258">
          <w:rPr>
            <w:rStyle w:val="Hyperlink"/>
            <w:noProof/>
          </w:rPr>
          <w:t>Objectives of report</w:t>
        </w:r>
        <w:r w:rsidR="00C57318">
          <w:rPr>
            <w:noProof/>
            <w:webHidden/>
          </w:rPr>
          <w:tab/>
        </w:r>
        <w:r w:rsidR="00C57318">
          <w:rPr>
            <w:noProof/>
            <w:webHidden/>
          </w:rPr>
          <w:fldChar w:fldCharType="begin"/>
        </w:r>
        <w:r w:rsidR="00C57318">
          <w:rPr>
            <w:noProof/>
            <w:webHidden/>
          </w:rPr>
          <w:instrText xml:space="preserve"> PAGEREF _Toc461684031 \h </w:instrText>
        </w:r>
        <w:r w:rsidR="00C57318">
          <w:rPr>
            <w:noProof/>
            <w:webHidden/>
          </w:rPr>
        </w:r>
        <w:r w:rsidR="00C57318">
          <w:rPr>
            <w:noProof/>
            <w:webHidden/>
          </w:rPr>
          <w:fldChar w:fldCharType="separate"/>
        </w:r>
        <w:r w:rsidR="00C57318">
          <w:rPr>
            <w:noProof/>
            <w:webHidden/>
          </w:rPr>
          <w:t>18</w:t>
        </w:r>
        <w:r w:rsidR="00C57318">
          <w:rPr>
            <w:noProof/>
            <w:webHidden/>
          </w:rPr>
          <w:fldChar w:fldCharType="end"/>
        </w:r>
      </w:hyperlink>
    </w:p>
    <w:p w14:paraId="72988ED8" w14:textId="6E47874D" w:rsidR="00C57318" w:rsidRDefault="00000000">
      <w:pPr>
        <w:pStyle w:val="TOC1"/>
        <w:tabs>
          <w:tab w:val="left" w:pos="440"/>
          <w:tab w:val="right" w:leader="dot" w:pos="9350"/>
        </w:tabs>
        <w:rPr>
          <w:rFonts w:asciiTheme="minorHAnsi" w:hAnsiTheme="minorHAnsi"/>
          <w:noProof/>
          <w:lang w:eastAsia="en-US"/>
        </w:rPr>
      </w:pPr>
      <w:hyperlink w:anchor="_Toc461684032" w:history="1">
        <w:r w:rsidR="00C57318" w:rsidRPr="00CE4258">
          <w:rPr>
            <w:rStyle w:val="Hyperlink"/>
            <w:noProof/>
          </w:rPr>
          <w:t>4</w:t>
        </w:r>
        <w:r w:rsidR="00C57318">
          <w:rPr>
            <w:rFonts w:asciiTheme="minorHAnsi" w:hAnsiTheme="minorHAnsi"/>
            <w:noProof/>
            <w:lang w:eastAsia="en-US"/>
          </w:rPr>
          <w:tab/>
        </w:r>
        <w:r w:rsidR="00C57318" w:rsidRPr="00CE4258">
          <w:rPr>
            <w:rStyle w:val="Hyperlink"/>
            <w:noProof/>
          </w:rPr>
          <w:t>Scope of report</w:t>
        </w:r>
        <w:r w:rsidR="00C57318">
          <w:rPr>
            <w:noProof/>
            <w:webHidden/>
          </w:rPr>
          <w:tab/>
        </w:r>
        <w:r w:rsidR="00C57318">
          <w:rPr>
            <w:noProof/>
            <w:webHidden/>
          </w:rPr>
          <w:fldChar w:fldCharType="begin"/>
        </w:r>
        <w:r w:rsidR="00C57318">
          <w:rPr>
            <w:noProof/>
            <w:webHidden/>
          </w:rPr>
          <w:instrText xml:space="preserve"> PAGEREF _Toc461684032 \h </w:instrText>
        </w:r>
        <w:r w:rsidR="00C57318">
          <w:rPr>
            <w:noProof/>
            <w:webHidden/>
          </w:rPr>
        </w:r>
        <w:r w:rsidR="00C57318">
          <w:rPr>
            <w:noProof/>
            <w:webHidden/>
          </w:rPr>
          <w:fldChar w:fldCharType="separate"/>
        </w:r>
        <w:r w:rsidR="00C57318">
          <w:rPr>
            <w:noProof/>
            <w:webHidden/>
          </w:rPr>
          <w:t>18</w:t>
        </w:r>
        <w:r w:rsidR="00C57318">
          <w:rPr>
            <w:noProof/>
            <w:webHidden/>
          </w:rPr>
          <w:fldChar w:fldCharType="end"/>
        </w:r>
      </w:hyperlink>
    </w:p>
    <w:p w14:paraId="61ACDDCF" w14:textId="76048E5F" w:rsidR="00C57318" w:rsidRDefault="00000000">
      <w:pPr>
        <w:pStyle w:val="TOC1"/>
        <w:tabs>
          <w:tab w:val="left" w:pos="440"/>
          <w:tab w:val="right" w:leader="dot" w:pos="9350"/>
        </w:tabs>
        <w:rPr>
          <w:rFonts w:asciiTheme="minorHAnsi" w:hAnsiTheme="minorHAnsi"/>
          <w:noProof/>
          <w:lang w:eastAsia="en-US"/>
        </w:rPr>
      </w:pPr>
      <w:hyperlink w:anchor="_Toc461684033" w:history="1">
        <w:r w:rsidR="00C57318" w:rsidRPr="00CE4258">
          <w:rPr>
            <w:rStyle w:val="Hyperlink"/>
            <w:noProof/>
          </w:rPr>
          <w:t>5</w:t>
        </w:r>
        <w:r w:rsidR="00C57318">
          <w:rPr>
            <w:rFonts w:asciiTheme="minorHAnsi" w:hAnsiTheme="minorHAnsi"/>
            <w:noProof/>
            <w:lang w:eastAsia="en-US"/>
          </w:rPr>
          <w:tab/>
        </w:r>
        <w:r w:rsidR="00C57318" w:rsidRPr="00CE4258">
          <w:rPr>
            <w:rStyle w:val="Hyperlink"/>
            <w:noProof/>
          </w:rPr>
          <w:t>The human health risks of vapour intrusion</w:t>
        </w:r>
        <w:r w:rsidR="00C57318">
          <w:rPr>
            <w:noProof/>
            <w:webHidden/>
          </w:rPr>
          <w:tab/>
        </w:r>
        <w:r w:rsidR="00C57318">
          <w:rPr>
            <w:noProof/>
            <w:webHidden/>
          </w:rPr>
          <w:fldChar w:fldCharType="begin"/>
        </w:r>
        <w:r w:rsidR="00C57318">
          <w:rPr>
            <w:noProof/>
            <w:webHidden/>
          </w:rPr>
          <w:instrText xml:space="preserve"> PAGEREF _Toc461684033 \h </w:instrText>
        </w:r>
        <w:r w:rsidR="00C57318">
          <w:rPr>
            <w:noProof/>
            <w:webHidden/>
          </w:rPr>
        </w:r>
        <w:r w:rsidR="00C57318">
          <w:rPr>
            <w:noProof/>
            <w:webHidden/>
          </w:rPr>
          <w:fldChar w:fldCharType="separate"/>
        </w:r>
        <w:r w:rsidR="00C57318">
          <w:rPr>
            <w:noProof/>
            <w:webHidden/>
          </w:rPr>
          <w:t>19</w:t>
        </w:r>
        <w:r w:rsidR="00C57318">
          <w:rPr>
            <w:noProof/>
            <w:webHidden/>
          </w:rPr>
          <w:fldChar w:fldCharType="end"/>
        </w:r>
      </w:hyperlink>
    </w:p>
    <w:p w14:paraId="3FC627BD" w14:textId="5A98B89D" w:rsidR="00C57318" w:rsidRDefault="00000000">
      <w:pPr>
        <w:pStyle w:val="TOC2"/>
        <w:tabs>
          <w:tab w:val="left" w:pos="880"/>
          <w:tab w:val="right" w:leader="dot" w:pos="9350"/>
        </w:tabs>
        <w:rPr>
          <w:rFonts w:asciiTheme="minorHAnsi" w:hAnsiTheme="minorHAnsi"/>
          <w:noProof/>
          <w:lang w:eastAsia="en-US"/>
        </w:rPr>
      </w:pPr>
      <w:hyperlink w:anchor="_Toc461684034" w:history="1">
        <w:r w:rsidR="00C57318" w:rsidRPr="00CE4258">
          <w:rPr>
            <w:rStyle w:val="Hyperlink"/>
            <w:noProof/>
          </w:rPr>
          <w:t>5.1</w:t>
        </w:r>
        <w:r w:rsidR="00C57318">
          <w:rPr>
            <w:rFonts w:asciiTheme="minorHAnsi" w:hAnsiTheme="minorHAnsi"/>
            <w:noProof/>
            <w:lang w:eastAsia="en-US"/>
          </w:rPr>
          <w:tab/>
        </w:r>
        <w:r w:rsidR="00C57318" w:rsidRPr="00CE4258">
          <w:rPr>
            <w:rStyle w:val="Hyperlink"/>
            <w:noProof/>
          </w:rPr>
          <w:t>Chemicals of potential concern</w:t>
        </w:r>
        <w:r w:rsidR="00C57318">
          <w:rPr>
            <w:noProof/>
            <w:webHidden/>
          </w:rPr>
          <w:tab/>
        </w:r>
        <w:r w:rsidR="00C57318">
          <w:rPr>
            <w:noProof/>
            <w:webHidden/>
          </w:rPr>
          <w:fldChar w:fldCharType="begin"/>
        </w:r>
        <w:r w:rsidR="00C57318">
          <w:rPr>
            <w:noProof/>
            <w:webHidden/>
          </w:rPr>
          <w:instrText xml:space="preserve"> PAGEREF _Toc461684034 \h </w:instrText>
        </w:r>
        <w:r w:rsidR="00C57318">
          <w:rPr>
            <w:noProof/>
            <w:webHidden/>
          </w:rPr>
        </w:r>
        <w:r w:rsidR="00C57318">
          <w:rPr>
            <w:noProof/>
            <w:webHidden/>
          </w:rPr>
          <w:fldChar w:fldCharType="separate"/>
        </w:r>
        <w:r w:rsidR="00C57318">
          <w:rPr>
            <w:noProof/>
            <w:webHidden/>
          </w:rPr>
          <w:t>19</w:t>
        </w:r>
        <w:r w:rsidR="00C57318">
          <w:rPr>
            <w:noProof/>
            <w:webHidden/>
          </w:rPr>
          <w:fldChar w:fldCharType="end"/>
        </w:r>
      </w:hyperlink>
    </w:p>
    <w:p w14:paraId="2FEF59D3" w14:textId="5B1C5B35" w:rsidR="00C57318" w:rsidRDefault="00000000">
      <w:pPr>
        <w:pStyle w:val="TOC2"/>
        <w:tabs>
          <w:tab w:val="left" w:pos="880"/>
          <w:tab w:val="right" w:leader="dot" w:pos="9350"/>
        </w:tabs>
        <w:rPr>
          <w:rFonts w:asciiTheme="minorHAnsi" w:hAnsiTheme="minorHAnsi"/>
          <w:noProof/>
          <w:lang w:eastAsia="en-US"/>
        </w:rPr>
      </w:pPr>
      <w:hyperlink w:anchor="_Toc461684035" w:history="1">
        <w:r w:rsidR="00C57318" w:rsidRPr="00CE4258">
          <w:rPr>
            <w:rStyle w:val="Hyperlink"/>
            <w:noProof/>
          </w:rPr>
          <w:t>5.2</w:t>
        </w:r>
        <w:r w:rsidR="00C57318">
          <w:rPr>
            <w:rFonts w:asciiTheme="minorHAnsi" w:hAnsiTheme="minorHAnsi"/>
            <w:noProof/>
            <w:lang w:eastAsia="en-US"/>
          </w:rPr>
          <w:tab/>
        </w:r>
        <w:r w:rsidR="00C57318" w:rsidRPr="00CE4258">
          <w:rPr>
            <w:rStyle w:val="Hyperlink"/>
            <w:noProof/>
          </w:rPr>
          <w:t>Applicable environmental settings</w:t>
        </w:r>
        <w:r w:rsidR="00C57318">
          <w:rPr>
            <w:noProof/>
            <w:webHidden/>
          </w:rPr>
          <w:tab/>
        </w:r>
        <w:r w:rsidR="00C57318">
          <w:rPr>
            <w:noProof/>
            <w:webHidden/>
          </w:rPr>
          <w:fldChar w:fldCharType="begin"/>
        </w:r>
        <w:r w:rsidR="00C57318">
          <w:rPr>
            <w:noProof/>
            <w:webHidden/>
          </w:rPr>
          <w:instrText xml:space="preserve"> PAGEREF _Toc461684035 \h </w:instrText>
        </w:r>
        <w:r w:rsidR="00C57318">
          <w:rPr>
            <w:noProof/>
            <w:webHidden/>
          </w:rPr>
        </w:r>
        <w:r w:rsidR="00C57318">
          <w:rPr>
            <w:noProof/>
            <w:webHidden/>
          </w:rPr>
          <w:fldChar w:fldCharType="separate"/>
        </w:r>
        <w:r w:rsidR="00C57318">
          <w:rPr>
            <w:noProof/>
            <w:webHidden/>
          </w:rPr>
          <w:t>20</w:t>
        </w:r>
        <w:r w:rsidR="00C57318">
          <w:rPr>
            <w:noProof/>
            <w:webHidden/>
          </w:rPr>
          <w:fldChar w:fldCharType="end"/>
        </w:r>
      </w:hyperlink>
    </w:p>
    <w:p w14:paraId="0C55B72B" w14:textId="3E98E461" w:rsidR="00C57318" w:rsidRDefault="00000000">
      <w:pPr>
        <w:pStyle w:val="TOC3"/>
        <w:tabs>
          <w:tab w:val="left" w:pos="1320"/>
          <w:tab w:val="right" w:leader="dot" w:pos="9350"/>
        </w:tabs>
        <w:rPr>
          <w:rFonts w:asciiTheme="minorHAnsi" w:hAnsiTheme="minorHAnsi"/>
          <w:noProof/>
          <w:lang w:eastAsia="en-US"/>
        </w:rPr>
      </w:pPr>
      <w:hyperlink w:anchor="_Toc461684036" w:history="1">
        <w:r w:rsidR="00C57318" w:rsidRPr="00CE4258">
          <w:rPr>
            <w:rStyle w:val="Hyperlink"/>
            <w:noProof/>
          </w:rPr>
          <w:t>5.2.1</w:t>
        </w:r>
        <w:r w:rsidR="00C57318">
          <w:rPr>
            <w:rFonts w:asciiTheme="minorHAnsi" w:hAnsiTheme="minorHAnsi"/>
            <w:noProof/>
            <w:lang w:eastAsia="en-US"/>
          </w:rPr>
          <w:tab/>
        </w:r>
        <w:r w:rsidR="00C57318" w:rsidRPr="00CE4258">
          <w:rPr>
            <w:rStyle w:val="Hyperlink"/>
            <w:noProof/>
          </w:rPr>
          <w:t>Sites under development</w:t>
        </w:r>
        <w:r w:rsidR="00C57318">
          <w:rPr>
            <w:noProof/>
            <w:webHidden/>
          </w:rPr>
          <w:tab/>
        </w:r>
        <w:r w:rsidR="00C57318">
          <w:rPr>
            <w:noProof/>
            <w:webHidden/>
          </w:rPr>
          <w:fldChar w:fldCharType="begin"/>
        </w:r>
        <w:r w:rsidR="00C57318">
          <w:rPr>
            <w:noProof/>
            <w:webHidden/>
          </w:rPr>
          <w:instrText xml:space="preserve"> PAGEREF _Toc461684036 \h </w:instrText>
        </w:r>
        <w:r w:rsidR="00C57318">
          <w:rPr>
            <w:noProof/>
            <w:webHidden/>
          </w:rPr>
        </w:r>
        <w:r w:rsidR="00C57318">
          <w:rPr>
            <w:noProof/>
            <w:webHidden/>
          </w:rPr>
          <w:fldChar w:fldCharType="separate"/>
        </w:r>
        <w:r w:rsidR="00C57318">
          <w:rPr>
            <w:noProof/>
            <w:webHidden/>
          </w:rPr>
          <w:t>20</w:t>
        </w:r>
        <w:r w:rsidR="00C57318">
          <w:rPr>
            <w:noProof/>
            <w:webHidden/>
          </w:rPr>
          <w:fldChar w:fldCharType="end"/>
        </w:r>
      </w:hyperlink>
    </w:p>
    <w:p w14:paraId="4F6092FC" w14:textId="3F677AA8" w:rsidR="00C57318" w:rsidRDefault="00000000">
      <w:pPr>
        <w:pStyle w:val="TOC3"/>
        <w:tabs>
          <w:tab w:val="left" w:pos="1320"/>
          <w:tab w:val="right" w:leader="dot" w:pos="9350"/>
        </w:tabs>
        <w:rPr>
          <w:rFonts w:asciiTheme="minorHAnsi" w:hAnsiTheme="minorHAnsi"/>
          <w:noProof/>
          <w:lang w:eastAsia="en-US"/>
        </w:rPr>
      </w:pPr>
      <w:hyperlink w:anchor="_Toc461684037" w:history="1">
        <w:r w:rsidR="00C57318" w:rsidRPr="00CE4258">
          <w:rPr>
            <w:rStyle w:val="Hyperlink"/>
            <w:noProof/>
          </w:rPr>
          <w:t>5.2.1</w:t>
        </w:r>
        <w:r w:rsidR="00C57318">
          <w:rPr>
            <w:rFonts w:asciiTheme="minorHAnsi" w:hAnsiTheme="minorHAnsi"/>
            <w:noProof/>
            <w:lang w:eastAsia="en-US"/>
          </w:rPr>
          <w:tab/>
        </w:r>
        <w:r w:rsidR="00C57318" w:rsidRPr="00CE4258">
          <w:rPr>
            <w:rStyle w:val="Hyperlink"/>
            <w:noProof/>
          </w:rPr>
          <w:t>Existing sites and dwellings</w:t>
        </w:r>
        <w:r w:rsidR="00C57318">
          <w:rPr>
            <w:noProof/>
            <w:webHidden/>
          </w:rPr>
          <w:tab/>
        </w:r>
        <w:r w:rsidR="00C57318">
          <w:rPr>
            <w:noProof/>
            <w:webHidden/>
          </w:rPr>
          <w:fldChar w:fldCharType="begin"/>
        </w:r>
        <w:r w:rsidR="00C57318">
          <w:rPr>
            <w:noProof/>
            <w:webHidden/>
          </w:rPr>
          <w:instrText xml:space="preserve"> PAGEREF _Toc461684037 \h </w:instrText>
        </w:r>
        <w:r w:rsidR="00C57318">
          <w:rPr>
            <w:noProof/>
            <w:webHidden/>
          </w:rPr>
        </w:r>
        <w:r w:rsidR="00C57318">
          <w:rPr>
            <w:noProof/>
            <w:webHidden/>
          </w:rPr>
          <w:fldChar w:fldCharType="separate"/>
        </w:r>
        <w:r w:rsidR="00C57318">
          <w:rPr>
            <w:noProof/>
            <w:webHidden/>
          </w:rPr>
          <w:t>21</w:t>
        </w:r>
        <w:r w:rsidR="00C57318">
          <w:rPr>
            <w:noProof/>
            <w:webHidden/>
          </w:rPr>
          <w:fldChar w:fldCharType="end"/>
        </w:r>
      </w:hyperlink>
    </w:p>
    <w:p w14:paraId="46F3A763" w14:textId="2541CFA3" w:rsidR="00C57318" w:rsidRDefault="00000000">
      <w:pPr>
        <w:pStyle w:val="TOC3"/>
        <w:tabs>
          <w:tab w:val="left" w:pos="1320"/>
          <w:tab w:val="right" w:leader="dot" w:pos="9350"/>
        </w:tabs>
        <w:rPr>
          <w:rFonts w:asciiTheme="minorHAnsi" w:hAnsiTheme="minorHAnsi"/>
          <w:noProof/>
          <w:lang w:eastAsia="en-US"/>
        </w:rPr>
      </w:pPr>
      <w:hyperlink w:anchor="_Toc461684038" w:history="1">
        <w:r w:rsidR="00C57318" w:rsidRPr="00CE4258">
          <w:rPr>
            <w:rStyle w:val="Hyperlink"/>
            <w:noProof/>
          </w:rPr>
          <w:t>5.2.2</w:t>
        </w:r>
        <w:r w:rsidR="00C57318">
          <w:rPr>
            <w:rFonts w:asciiTheme="minorHAnsi" w:hAnsiTheme="minorHAnsi"/>
            <w:noProof/>
            <w:lang w:eastAsia="en-US"/>
          </w:rPr>
          <w:tab/>
        </w:r>
        <w:r w:rsidR="00C57318" w:rsidRPr="00CE4258">
          <w:rPr>
            <w:rStyle w:val="Hyperlink"/>
            <w:noProof/>
          </w:rPr>
          <w:t>Landfills</w:t>
        </w:r>
        <w:r w:rsidR="00C57318">
          <w:rPr>
            <w:noProof/>
            <w:webHidden/>
          </w:rPr>
          <w:tab/>
        </w:r>
        <w:r w:rsidR="00C57318">
          <w:rPr>
            <w:noProof/>
            <w:webHidden/>
          </w:rPr>
          <w:fldChar w:fldCharType="begin"/>
        </w:r>
        <w:r w:rsidR="00C57318">
          <w:rPr>
            <w:noProof/>
            <w:webHidden/>
          </w:rPr>
          <w:instrText xml:space="preserve"> PAGEREF _Toc461684038 \h </w:instrText>
        </w:r>
        <w:r w:rsidR="00C57318">
          <w:rPr>
            <w:noProof/>
            <w:webHidden/>
          </w:rPr>
        </w:r>
        <w:r w:rsidR="00C57318">
          <w:rPr>
            <w:noProof/>
            <w:webHidden/>
          </w:rPr>
          <w:fldChar w:fldCharType="separate"/>
        </w:r>
        <w:r w:rsidR="00C57318">
          <w:rPr>
            <w:noProof/>
            <w:webHidden/>
          </w:rPr>
          <w:t>21</w:t>
        </w:r>
        <w:r w:rsidR="00C57318">
          <w:rPr>
            <w:noProof/>
            <w:webHidden/>
          </w:rPr>
          <w:fldChar w:fldCharType="end"/>
        </w:r>
      </w:hyperlink>
    </w:p>
    <w:p w14:paraId="0C6952A4" w14:textId="51C17CF5" w:rsidR="00C57318" w:rsidRDefault="00000000">
      <w:pPr>
        <w:pStyle w:val="TOC2"/>
        <w:tabs>
          <w:tab w:val="left" w:pos="880"/>
          <w:tab w:val="right" w:leader="dot" w:pos="9350"/>
        </w:tabs>
        <w:rPr>
          <w:rFonts w:asciiTheme="minorHAnsi" w:hAnsiTheme="minorHAnsi"/>
          <w:noProof/>
          <w:lang w:eastAsia="en-US"/>
        </w:rPr>
      </w:pPr>
      <w:hyperlink w:anchor="_Toc461684039" w:history="1">
        <w:r w:rsidR="00C57318" w:rsidRPr="00CE4258">
          <w:rPr>
            <w:rStyle w:val="Hyperlink"/>
            <w:noProof/>
          </w:rPr>
          <w:t>5.3</w:t>
        </w:r>
        <w:r w:rsidR="00C57318">
          <w:rPr>
            <w:rFonts w:asciiTheme="minorHAnsi" w:hAnsiTheme="minorHAnsi"/>
            <w:noProof/>
            <w:lang w:eastAsia="en-US"/>
          </w:rPr>
          <w:tab/>
        </w:r>
        <w:r w:rsidR="00C57318" w:rsidRPr="00CE4258">
          <w:rPr>
            <w:rStyle w:val="Hyperlink"/>
            <w:noProof/>
          </w:rPr>
          <w:t>Issues of concern</w:t>
        </w:r>
        <w:r w:rsidR="00C57318">
          <w:rPr>
            <w:noProof/>
            <w:webHidden/>
          </w:rPr>
          <w:tab/>
        </w:r>
        <w:r w:rsidR="00C57318">
          <w:rPr>
            <w:noProof/>
            <w:webHidden/>
          </w:rPr>
          <w:fldChar w:fldCharType="begin"/>
        </w:r>
        <w:r w:rsidR="00C57318">
          <w:rPr>
            <w:noProof/>
            <w:webHidden/>
          </w:rPr>
          <w:instrText xml:space="preserve"> PAGEREF _Toc461684039 \h </w:instrText>
        </w:r>
        <w:r w:rsidR="00C57318">
          <w:rPr>
            <w:noProof/>
            <w:webHidden/>
          </w:rPr>
        </w:r>
        <w:r w:rsidR="00C57318">
          <w:rPr>
            <w:noProof/>
            <w:webHidden/>
          </w:rPr>
          <w:fldChar w:fldCharType="separate"/>
        </w:r>
        <w:r w:rsidR="00C57318">
          <w:rPr>
            <w:noProof/>
            <w:webHidden/>
          </w:rPr>
          <w:t>24</w:t>
        </w:r>
        <w:r w:rsidR="00C57318">
          <w:rPr>
            <w:noProof/>
            <w:webHidden/>
          </w:rPr>
          <w:fldChar w:fldCharType="end"/>
        </w:r>
      </w:hyperlink>
    </w:p>
    <w:p w14:paraId="3F94109B" w14:textId="0783B1F5" w:rsidR="00C57318" w:rsidRDefault="00000000">
      <w:pPr>
        <w:pStyle w:val="TOC3"/>
        <w:tabs>
          <w:tab w:val="left" w:pos="1320"/>
          <w:tab w:val="right" w:leader="dot" w:pos="9350"/>
        </w:tabs>
        <w:rPr>
          <w:rFonts w:asciiTheme="minorHAnsi" w:hAnsiTheme="minorHAnsi"/>
          <w:noProof/>
          <w:lang w:eastAsia="en-US"/>
        </w:rPr>
      </w:pPr>
      <w:hyperlink w:anchor="_Toc461684040" w:history="1">
        <w:r w:rsidR="00C57318" w:rsidRPr="00CE4258">
          <w:rPr>
            <w:rStyle w:val="Hyperlink"/>
            <w:noProof/>
          </w:rPr>
          <w:t>5.3.1</w:t>
        </w:r>
        <w:r w:rsidR="00C57318">
          <w:rPr>
            <w:rFonts w:asciiTheme="minorHAnsi" w:hAnsiTheme="minorHAnsi"/>
            <w:noProof/>
            <w:lang w:eastAsia="en-US"/>
          </w:rPr>
          <w:tab/>
        </w:r>
        <w:r w:rsidR="00C57318" w:rsidRPr="00CE4258">
          <w:rPr>
            <w:rStyle w:val="Hyperlink"/>
            <w:noProof/>
          </w:rPr>
          <w:t>Toxicology</w:t>
        </w:r>
        <w:r w:rsidR="00C57318">
          <w:rPr>
            <w:noProof/>
            <w:webHidden/>
          </w:rPr>
          <w:tab/>
        </w:r>
        <w:r w:rsidR="00C57318">
          <w:rPr>
            <w:noProof/>
            <w:webHidden/>
          </w:rPr>
          <w:fldChar w:fldCharType="begin"/>
        </w:r>
        <w:r w:rsidR="00C57318">
          <w:rPr>
            <w:noProof/>
            <w:webHidden/>
          </w:rPr>
          <w:instrText xml:space="preserve"> PAGEREF _Toc461684040 \h </w:instrText>
        </w:r>
        <w:r w:rsidR="00C57318">
          <w:rPr>
            <w:noProof/>
            <w:webHidden/>
          </w:rPr>
        </w:r>
        <w:r w:rsidR="00C57318">
          <w:rPr>
            <w:noProof/>
            <w:webHidden/>
          </w:rPr>
          <w:fldChar w:fldCharType="separate"/>
        </w:r>
        <w:r w:rsidR="00C57318">
          <w:rPr>
            <w:noProof/>
            <w:webHidden/>
          </w:rPr>
          <w:t>24</w:t>
        </w:r>
        <w:r w:rsidR="00C57318">
          <w:rPr>
            <w:noProof/>
            <w:webHidden/>
          </w:rPr>
          <w:fldChar w:fldCharType="end"/>
        </w:r>
      </w:hyperlink>
    </w:p>
    <w:p w14:paraId="2E4DD889" w14:textId="0464AAA1" w:rsidR="00C57318" w:rsidRDefault="00000000">
      <w:pPr>
        <w:pStyle w:val="TOC3"/>
        <w:tabs>
          <w:tab w:val="left" w:pos="1320"/>
          <w:tab w:val="right" w:leader="dot" w:pos="9350"/>
        </w:tabs>
        <w:rPr>
          <w:rFonts w:asciiTheme="minorHAnsi" w:hAnsiTheme="minorHAnsi"/>
          <w:noProof/>
          <w:lang w:eastAsia="en-US"/>
        </w:rPr>
      </w:pPr>
      <w:hyperlink w:anchor="_Toc461684041" w:history="1">
        <w:r w:rsidR="00C57318" w:rsidRPr="00CE4258">
          <w:rPr>
            <w:rStyle w:val="Hyperlink"/>
            <w:noProof/>
          </w:rPr>
          <w:t>5.3.2</w:t>
        </w:r>
        <w:r w:rsidR="00C57318">
          <w:rPr>
            <w:rFonts w:asciiTheme="minorHAnsi" w:hAnsiTheme="minorHAnsi"/>
            <w:noProof/>
            <w:lang w:eastAsia="en-US"/>
          </w:rPr>
          <w:tab/>
        </w:r>
        <w:r w:rsidR="00C57318" w:rsidRPr="00CE4258">
          <w:rPr>
            <w:rStyle w:val="Hyperlink"/>
            <w:noProof/>
          </w:rPr>
          <w:t>Epidemiology</w:t>
        </w:r>
        <w:r w:rsidR="00C57318">
          <w:rPr>
            <w:noProof/>
            <w:webHidden/>
          </w:rPr>
          <w:tab/>
        </w:r>
        <w:r w:rsidR="00C57318">
          <w:rPr>
            <w:noProof/>
            <w:webHidden/>
          </w:rPr>
          <w:fldChar w:fldCharType="begin"/>
        </w:r>
        <w:r w:rsidR="00C57318">
          <w:rPr>
            <w:noProof/>
            <w:webHidden/>
          </w:rPr>
          <w:instrText xml:space="preserve"> PAGEREF _Toc461684041 \h </w:instrText>
        </w:r>
        <w:r w:rsidR="00C57318">
          <w:rPr>
            <w:noProof/>
            <w:webHidden/>
          </w:rPr>
        </w:r>
        <w:r w:rsidR="00C57318">
          <w:rPr>
            <w:noProof/>
            <w:webHidden/>
          </w:rPr>
          <w:fldChar w:fldCharType="separate"/>
        </w:r>
        <w:r w:rsidR="00C57318">
          <w:rPr>
            <w:noProof/>
            <w:webHidden/>
          </w:rPr>
          <w:t>25</w:t>
        </w:r>
        <w:r w:rsidR="00C57318">
          <w:rPr>
            <w:noProof/>
            <w:webHidden/>
          </w:rPr>
          <w:fldChar w:fldCharType="end"/>
        </w:r>
      </w:hyperlink>
    </w:p>
    <w:p w14:paraId="7B78CB85" w14:textId="6F2900F2" w:rsidR="00C57318" w:rsidRDefault="00000000">
      <w:pPr>
        <w:pStyle w:val="TOC3"/>
        <w:tabs>
          <w:tab w:val="left" w:pos="1320"/>
          <w:tab w:val="right" w:leader="dot" w:pos="9350"/>
        </w:tabs>
        <w:rPr>
          <w:rFonts w:asciiTheme="minorHAnsi" w:hAnsiTheme="minorHAnsi"/>
          <w:noProof/>
          <w:lang w:eastAsia="en-US"/>
        </w:rPr>
      </w:pPr>
      <w:hyperlink w:anchor="_Toc461684042" w:history="1">
        <w:r w:rsidR="00C57318" w:rsidRPr="00CE4258">
          <w:rPr>
            <w:rStyle w:val="Hyperlink"/>
            <w:noProof/>
          </w:rPr>
          <w:t>5.3.3</w:t>
        </w:r>
        <w:r w:rsidR="00C57318">
          <w:rPr>
            <w:rFonts w:asciiTheme="minorHAnsi" w:hAnsiTheme="minorHAnsi"/>
            <w:noProof/>
            <w:lang w:eastAsia="en-US"/>
          </w:rPr>
          <w:tab/>
        </w:r>
        <w:r w:rsidR="00C57318" w:rsidRPr="00CE4258">
          <w:rPr>
            <w:rStyle w:val="Hyperlink"/>
            <w:noProof/>
          </w:rPr>
          <w:t>Exposure assessment</w:t>
        </w:r>
        <w:r w:rsidR="00C57318">
          <w:rPr>
            <w:noProof/>
            <w:webHidden/>
          </w:rPr>
          <w:tab/>
        </w:r>
        <w:r w:rsidR="00C57318">
          <w:rPr>
            <w:noProof/>
            <w:webHidden/>
          </w:rPr>
          <w:fldChar w:fldCharType="begin"/>
        </w:r>
        <w:r w:rsidR="00C57318">
          <w:rPr>
            <w:noProof/>
            <w:webHidden/>
          </w:rPr>
          <w:instrText xml:space="preserve"> PAGEREF _Toc461684042 \h </w:instrText>
        </w:r>
        <w:r w:rsidR="00C57318">
          <w:rPr>
            <w:noProof/>
            <w:webHidden/>
          </w:rPr>
        </w:r>
        <w:r w:rsidR="00C57318">
          <w:rPr>
            <w:noProof/>
            <w:webHidden/>
          </w:rPr>
          <w:fldChar w:fldCharType="separate"/>
        </w:r>
        <w:r w:rsidR="00C57318">
          <w:rPr>
            <w:noProof/>
            <w:webHidden/>
          </w:rPr>
          <w:t>25</w:t>
        </w:r>
        <w:r w:rsidR="00C57318">
          <w:rPr>
            <w:noProof/>
            <w:webHidden/>
          </w:rPr>
          <w:fldChar w:fldCharType="end"/>
        </w:r>
      </w:hyperlink>
    </w:p>
    <w:p w14:paraId="64249FA8" w14:textId="5D6AD615" w:rsidR="00C57318" w:rsidRDefault="00000000">
      <w:pPr>
        <w:pStyle w:val="TOC1"/>
        <w:tabs>
          <w:tab w:val="left" w:pos="440"/>
          <w:tab w:val="right" w:leader="dot" w:pos="9350"/>
        </w:tabs>
        <w:rPr>
          <w:rFonts w:asciiTheme="minorHAnsi" w:hAnsiTheme="minorHAnsi"/>
          <w:noProof/>
          <w:lang w:eastAsia="en-US"/>
        </w:rPr>
      </w:pPr>
      <w:hyperlink w:anchor="_Toc461684043" w:history="1">
        <w:r w:rsidR="00C57318" w:rsidRPr="00CE4258">
          <w:rPr>
            <w:rStyle w:val="Hyperlink"/>
            <w:noProof/>
          </w:rPr>
          <w:t>6</w:t>
        </w:r>
        <w:r w:rsidR="00C57318">
          <w:rPr>
            <w:rFonts w:asciiTheme="minorHAnsi" w:hAnsiTheme="minorHAnsi"/>
            <w:noProof/>
            <w:lang w:eastAsia="en-US"/>
          </w:rPr>
          <w:tab/>
        </w:r>
        <w:r w:rsidR="00C57318" w:rsidRPr="00CE4258">
          <w:rPr>
            <w:rStyle w:val="Hyperlink"/>
            <w:noProof/>
          </w:rPr>
          <w:t>Regulatory Vapour intrusion guidance</w:t>
        </w:r>
        <w:r w:rsidR="00C57318">
          <w:rPr>
            <w:noProof/>
            <w:webHidden/>
          </w:rPr>
          <w:tab/>
        </w:r>
        <w:r w:rsidR="00C57318">
          <w:rPr>
            <w:noProof/>
            <w:webHidden/>
          </w:rPr>
          <w:fldChar w:fldCharType="begin"/>
        </w:r>
        <w:r w:rsidR="00C57318">
          <w:rPr>
            <w:noProof/>
            <w:webHidden/>
          </w:rPr>
          <w:instrText xml:space="preserve"> PAGEREF _Toc461684043 \h </w:instrText>
        </w:r>
        <w:r w:rsidR="00C57318">
          <w:rPr>
            <w:noProof/>
            <w:webHidden/>
          </w:rPr>
        </w:r>
        <w:r w:rsidR="00C57318">
          <w:rPr>
            <w:noProof/>
            <w:webHidden/>
          </w:rPr>
          <w:fldChar w:fldCharType="separate"/>
        </w:r>
        <w:r w:rsidR="00C57318">
          <w:rPr>
            <w:noProof/>
            <w:webHidden/>
          </w:rPr>
          <w:t>27</w:t>
        </w:r>
        <w:r w:rsidR="00C57318">
          <w:rPr>
            <w:noProof/>
            <w:webHidden/>
          </w:rPr>
          <w:fldChar w:fldCharType="end"/>
        </w:r>
      </w:hyperlink>
    </w:p>
    <w:p w14:paraId="6C0DD110" w14:textId="0F380AF8" w:rsidR="00C57318" w:rsidRDefault="00000000">
      <w:pPr>
        <w:pStyle w:val="TOC2"/>
        <w:tabs>
          <w:tab w:val="left" w:pos="880"/>
          <w:tab w:val="right" w:leader="dot" w:pos="9350"/>
        </w:tabs>
        <w:rPr>
          <w:rFonts w:asciiTheme="minorHAnsi" w:hAnsiTheme="minorHAnsi"/>
          <w:noProof/>
          <w:lang w:eastAsia="en-US"/>
        </w:rPr>
      </w:pPr>
      <w:hyperlink w:anchor="_Toc461684044" w:history="1">
        <w:r w:rsidR="00C57318" w:rsidRPr="00CE4258">
          <w:rPr>
            <w:rStyle w:val="Hyperlink"/>
            <w:noProof/>
          </w:rPr>
          <w:t>6.1</w:t>
        </w:r>
        <w:r w:rsidR="00C57318">
          <w:rPr>
            <w:rFonts w:asciiTheme="minorHAnsi" w:hAnsiTheme="minorHAnsi"/>
            <w:noProof/>
            <w:lang w:eastAsia="en-US"/>
          </w:rPr>
          <w:tab/>
        </w:r>
        <w:r w:rsidR="00C57318" w:rsidRPr="00CE4258">
          <w:rPr>
            <w:rStyle w:val="Hyperlink"/>
            <w:noProof/>
          </w:rPr>
          <w:t>Australia</w:t>
        </w:r>
        <w:r w:rsidR="00C57318">
          <w:rPr>
            <w:noProof/>
            <w:webHidden/>
          </w:rPr>
          <w:tab/>
        </w:r>
        <w:r w:rsidR="00C57318">
          <w:rPr>
            <w:noProof/>
            <w:webHidden/>
          </w:rPr>
          <w:fldChar w:fldCharType="begin"/>
        </w:r>
        <w:r w:rsidR="00C57318">
          <w:rPr>
            <w:noProof/>
            <w:webHidden/>
          </w:rPr>
          <w:instrText xml:space="preserve"> PAGEREF _Toc461684044 \h </w:instrText>
        </w:r>
        <w:r w:rsidR="00C57318">
          <w:rPr>
            <w:noProof/>
            <w:webHidden/>
          </w:rPr>
        </w:r>
        <w:r w:rsidR="00C57318">
          <w:rPr>
            <w:noProof/>
            <w:webHidden/>
          </w:rPr>
          <w:fldChar w:fldCharType="separate"/>
        </w:r>
        <w:r w:rsidR="00C57318">
          <w:rPr>
            <w:noProof/>
            <w:webHidden/>
          </w:rPr>
          <w:t>27</w:t>
        </w:r>
        <w:r w:rsidR="00C57318">
          <w:rPr>
            <w:noProof/>
            <w:webHidden/>
          </w:rPr>
          <w:fldChar w:fldCharType="end"/>
        </w:r>
      </w:hyperlink>
    </w:p>
    <w:p w14:paraId="691A3544" w14:textId="651A9360" w:rsidR="00C57318" w:rsidRDefault="00000000">
      <w:pPr>
        <w:pStyle w:val="TOC3"/>
        <w:tabs>
          <w:tab w:val="left" w:pos="1320"/>
          <w:tab w:val="right" w:leader="dot" w:pos="9350"/>
        </w:tabs>
        <w:rPr>
          <w:rFonts w:asciiTheme="minorHAnsi" w:hAnsiTheme="minorHAnsi"/>
          <w:noProof/>
          <w:lang w:eastAsia="en-US"/>
        </w:rPr>
      </w:pPr>
      <w:hyperlink w:anchor="_Toc461684045" w:history="1">
        <w:r w:rsidR="00C57318" w:rsidRPr="00CE4258">
          <w:rPr>
            <w:rStyle w:val="Hyperlink"/>
            <w:noProof/>
          </w:rPr>
          <w:t>6.1.1</w:t>
        </w:r>
        <w:r w:rsidR="00C57318">
          <w:rPr>
            <w:rFonts w:asciiTheme="minorHAnsi" w:hAnsiTheme="minorHAnsi"/>
            <w:noProof/>
            <w:lang w:eastAsia="en-US"/>
          </w:rPr>
          <w:tab/>
        </w:r>
        <w:r w:rsidR="00C57318" w:rsidRPr="00CE4258">
          <w:rPr>
            <w:rStyle w:val="Hyperlink"/>
            <w:noProof/>
          </w:rPr>
          <w:t>National Environment Protection (Assessment of Site Contamination) Measure (1999)</w:t>
        </w:r>
        <w:r w:rsidR="00C57318">
          <w:rPr>
            <w:noProof/>
            <w:webHidden/>
          </w:rPr>
          <w:tab/>
          <w:t>…………………………………………………………………………………………….</w:t>
        </w:r>
        <w:r w:rsidR="00C57318">
          <w:rPr>
            <w:noProof/>
            <w:webHidden/>
          </w:rPr>
          <w:fldChar w:fldCharType="begin"/>
        </w:r>
        <w:r w:rsidR="00C57318">
          <w:rPr>
            <w:noProof/>
            <w:webHidden/>
          </w:rPr>
          <w:instrText xml:space="preserve"> PAGEREF _Toc461684045 \h </w:instrText>
        </w:r>
        <w:r w:rsidR="00C57318">
          <w:rPr>
            <w:noProof/>
            <w:webHidden/>
          </w:rPr>
        </w:r>
        <w:r w:rsidR="00C57318">
          <w:rPr>
            <w:noProof/>
            <w:webHidden/>
          </w:rPr>
          <w:fldChar w:fldCharType="separate"/>
        </w:r>
        <w:r w:rsidR="00C57318">
          <w:rPr>
            <w:noProof/>
            <w:webHidden/>
          </w:rPr>
          <w:t>27</w:t>
        </w:r>
        <w:r w:rsidR="00C57318">
          <w:rPr>
            <w:noProof/>
            <w:webHidden/>
          </w:rPr>
          <w:fldChar w:fldCharType="end"/>
        </w:r>
      </w:hyperlink>
    </w:p>
    <w:p w14:paraId="2D7A659E" w14:textId="7D919480" w:rsidR="00C57318" w:rsidRDefault="00000000">
      <w:pPr>
        <w:pStyle w:val="TOC3"/>
        <w:tabs>
          <w:tab w:val="left" w:pos="1320"/>
          <w:tab w:val="right" w:leader="dot" w:pos="9350"/>
        </w:tabs>
        <w:rPr>
          <w:rFonts w:asciiTheme="minorHAnsi" w:hAnsiTheme="minorHAnsi"/>
          <w:noProof/>
          <w:lang w:eastAsia="en-US"/>
        </w:rPr>
      </w:pPr>
      <w:hyperlink w:anchor="_Toc461684046" w:history="1">
        <w:r w:rsidR="00C57318" w:rsidRPr="00CE4258">
          <w:rPr>
            <w:rStyle w:val="Hyperlink"/>
            <w:noProof/>
          </w:rPr>
          <w:t>6.1.2</w:t>
        </w:r>
        <w:r w:rsidR="00C57318">
          <w:rPr>
            <w:rFonts w:asciiTheme="minorHAnsi" w:hAnsiTheme="minorHAnsi"/>
            <w:noProof/>
            <w:lang w:eastAsia="en-US"/>
          </w:rPr>
          <w:tab/>
        </w:r>
        <w:r w:rsidR="00C57318" w:rsidRPr="00CE4258">
          <w:rPr>
            <w:rStyle w:val="Hyperlink"/>
            <w:noProof/>
          </w:rPr>
          <w:t>Cooperative Research Centre for Contamination and Remediation of the Environment (CRC CARE)</w:t>
        </w:r>
        <w:r w:rsidR="00C57318">
          <w:rPr>
            <w:noProof/>
            <w:webHidden/>
          </w:rPr>
          <w:tab/>
        </w:r>
        <w:r w:rsidR="00C57318">
          <w:rPr>
            <w:noProof/>
            <w:webHidden/>
          </w:rPr>
          <w:fldChar w:fldCharType="begin"/>
        </w:r>
        <w:r w:rsidR="00C57318">
          <w:rPr>
            <w:noProof/>
            <w:webHidden/>
          </w:rPr>
          <w:instrText xml:space="preserve"> PAGEREF _Toc461684046 \h </w:instrText>
        </w:r>
        <w:r w:rsidR="00C57318">
          <w:rPr>
            <w:noProof/>
            <w:webHidden/>
          </w:rPr>
        </w:r>
        <w:r w:rsidR="00C57318">
          <w:rPr>
            <w:noProof/>
            <w:webHidden/>
          </w:rPr>
          <w:fldChar w:fldCharType="separate"/>
        </w:r>
        <w:r w:rsidR="00C57318">
          <w:rPr>
            <w:noProof/>
            <w:webHidden/>
          </w:rPr>
          <w:t>27</w:t>
        </w:r>
        <w:r w:rsidR="00C57318">
          <w:rPr>
            <w:noProof/>
            <w:webHidden/>
          </w:rPr>
          <w:fldChar w:fldCharType="end"/>
        </w:r>
      </w:hyperlink>
    </w:p>
    <w:p w14:paraId="4B99382A" w14:textId="450271F9" w:rsidR="00C57318" w:rsidRDefault="00000000">
      <w:pPr>
        <w:pStyle w:val="TOC3"/>
        <w:tabs>
          <w:tab w:val="left" w:pos="1320"/>
          <w:tab w:val="right" w:leader="dot" w:pos="9350"/>
        </w:tabs>
        <w:rPr>
          <w:rFonts w:asciiTheme="minorHAnsi" w:hAnsiTheme="minorHAnsi"/>
          <w:noProof/>
          <w:lang w:eastAsia="en-US"/>
        </w:rPr>
      </w:pPr>
      <w:hyperlink w:anchor="_Toc461684047" w:history="1">
        <w:r w:rsidR="00C57318" w:rsidRPr="00CE4258">
          <w:rPr>
            <w:rStyle w:val="Hyperlink"/>
            <w:noProof/>
          </w:rPr>
          <w:t>6.1.3</w:t>
        </w:r>
        <w:r w:rsidR="00C57318">
          <w:rPr>
            <w:rFonts w:asciiTheme="minorHAnsi" w:hAnsiTheme="minorHAnsi"/>
            <w:noProof/>
            <w:lang w:eastAsia="en-US"/>
          </w:rPr>
          <w:tab/>
        </w:r>
        <w:r w:rsidR="00C57318" w:rsidRPr="00CE4258">
          <w:rPr>
            <w:rStyle w:val="Hyperlink"/>
            <w:noProof/>
          </w:rPr>
          <w:t>State Environment Protection Agencies (EPAs)</w:t>
        </w:r>
        <w:r w:rsidR="00C57318">
          <w:rPr>
            <w:noProof/>
            <w:webHidden/>
          </w:rPr>
          <w:tab/>
        </w:r>
        <w:r w:rsidR="00C57318">
          <w:rPr>
            <w:noProof/>
            <w:webHidden/>
          </w:rPr>
          <w:fldChar w:fldCharType="begin"/>
        </w:r>
        <w:r w:rsidR="00C57318">
          <w:rPr>
            <w:noProof/>
            <w:webHidden/>
          </w:rPr>
          <w:instrText xml:space="preserve"> PAGEREF _Toc461684047 \h </w:instrText>
        </w:r>
        <w:r w:rsidR="00C57318">
          <w:rPr>
            <w:noProof/>
            <w:webHidden/>
          </w:rPr>
        </w:r>
        <w:r w:rsidR="00C57318">
          <w:rPr>
            <w:noProof/>
            <w:webHidden/>
          </w:rPr>
          <w:fldChar w:fldCharType="separate"/>
        </w:r>
        <w:r w:rsidR="00C57318">
          <w:rPr>
            <w:noProof/>
            <w:webHidden/>
          </w:rPr>
          <w:t>28</w:t>
        </w:r>
        <w:r w:rsidR="00C57318">
          <w:rPr>
            <w:noProof/>
            <w:webHidden/>
          </w:rPr>
          <w:fldChar w:fldCharType="end"/>
        </w:r>
      </w:hyperlink>
    </w:p>
    <w:p w14:paraId="500C6DF6" w14:textId="7837E6D8" w:rsidR="00C57318" w:rsidRDefault="00000000">
      <w:pPr>
        <w:pStyle w:val="TOC2"/>
        <w:tabs>
          <w:tab w:val="left" w:pos="880"/>
          <w:tab w:val="right" w:leader="dot" w:pos="9350"/>
        </w:tabs>
        <w:rPr>
          <w:rFonts w:asciiTheme="minorHAnsi" w:hAnsiTheme="minorHAnsi"/>
          <w:noProof/>
          <w:lang w:eastAsia="en-US"/>
        </w:rPr>
      </w:pPr>
      <w:hyperlink w:anchor="_Toc461684048" w:history="1">
        <w:r w:rsidR="00C57318" w:rsidRPr="00CE4258">
          <w:rPr>
            <w:rStyle w:val="Hyperlink"/>
            <w:noProof/>
          </w:rPr>
          <w:t>6.2</w:t>
        </w:r>
        <w:r w:rsidR="00C57318">
          <w:rPr>
            <w:rFonts w:asciiTheme="minorHAnsi" w:hAnsiTheme="minorHAnsi"/>
            <w:noProof/>
            <w:lang w:eastAsia="en-US"/>
          </w:rPr>
          <w:tab/>
        </w:r>
        <w:r w:rsidR="00C57318" w:rsidRPr="00CE4258">
          <w:rPr>
            <w:rStyle w:val="Hyperlink"/>
            <w:noProof/>
          </w:rPr>
          <w:t>Canada</w:t>
        </w:r>
        <w:r w:rsidR="00C57318">
          <w:rPr>
            <w:noProof/>
            <w:webHidden/>
          </w:rPr>
          <w:tab/>
        </w:r>
        <w:r w:rsidR="00C57318">
          <w:rPr>
            <w:noProof/>
            <w:webHidden/>
          </w:rPr>
          <w:fldChar w:fldCharType="begin"/>
        </w:r>
        <w:r w:rsidR="00C57318">
          <w:rPr>
            <w:noProof/>
            <w:webHidden/>
          </w:rPr>
          <w:instrText xml:space="preserve"> PAGEREF _Toc461684048 \h </w:instrText>
        </w:r>
        <w:r w:rsidR="00C57318">
          <w:rPr>
            <w:noProof/>
            <w:webHidden/>
          </w:rPr>
        </w:r>
        <w:r w:rsidR="00C57318">
          <w:rPr>
            <w:noProof/>
            <w:webHidden/>
          </w:rPr>
          <w:fldChar w:fldCharType="separate"/>
        </w:r>
        <w:r w:rsidR="00C57318">
          <w:rPr>
            <w:noProof/>
            <w:webHidden/>
          </w:rPr>
          <w:t>31</w:t>
        </w:r>
        <w:r w:rsidR="00C57318">
          <w:rPr>
            <w:noProof/>
            <w:webHidden/>
          </w:rPr>
          <w:fldChar w:fldCharType="end"/>
        </w:r>
      </w:hyperlink>
    </w:p>
    <w:p w14:paraId="07E353E2" w14:textId="7103F563" w:rsidR="00C57318" w:rsidRDefault="00000000">
      <w:pPr>
        <w:pStyle w:val="TOC2"/>
        <w:tabs>
          <w:tab w:val="left" w:pos="880"/>
          <w:tab w:val="right" w:leader="dot" w:pos="9350"/>
        </w:tabs>
        <w:rPr>
          <w:rFonts w:asciiTheme="minorHAnsi" w:hAnsiTheme="minorHAnsi"/>
          <w:noProof/>
          <w:lang w:eastAsia="en-US"/>
        </w:rPr>
      </w:pPr>
      <w:hyperlink w:anchor="_Toc461684049" w:history="1">
        <w:r w:rsidR="00C57318" w:rsidRPr="00CE4258">
          <w:rPr>
            <w:rStyle w:val="Hyperlink"/>
            <w:noProof/>
          </w:rPr>
          <w:t>6.3</w:t>
        </w:r>
        <w:r w:rsidR="00C57318">
          <w:rPr>
            <w:rFonts w:asciiTheme="minorHAnsi" w:hAnsiTheme="minorHAnsi"/>
            <w:noProof/>
            <w:lang w:eastAsia="en-US"/>
          </w:rPr>
          <w:tab/>
        </w:r>
        <w:r w:rsidR="00C57318" w:rsidRPr="00CE4258">
          <w:rPr>
            <w:rStyle w:val="Hyperlink"/>
            <w:noProof/>
          </w:rPr>
          <w:t>European Environment Agency</w:t>
        </w:r>
        <w:r w:rsidR="00C57318">
          <w:rPr>
            <w:noProof/>
            <w:webHidden/>
          </w:rPr>
          <w:tab/>
        </w:r>
        <w:r w:rsidR="00C57318">
          <w:rPr>
            <w:noProof/>
            <w:webHidden/>
          </w:rPr>
          <w:fldChar w:fldCharType="begin"/>
        </w:r>
        <w:r w:rsidR="00C57318">
          <w:rPr>
            <w:noProof/>
            <w:webHidden/>
          </w:rPr>
          <w:instrText xml:space="preserve"> PAGEREF _Toc461684049 \h </w:instrText>
        </w:r>
        <w:r w:rsidR="00C57318">
          <w:rPr>
            <w:noProof/>
            <w:webHidden/>
          </w:rPr>
        </w:r>
        <w:r w:rsidR="00C57318">
          <w:rPr>
            <w:noProof/>
            <w:webHidden/>
          </w:rPr>
          <w:fldChar w:fldCharType="separate"/>
        </w:r>
        <w:r w:rsidR="00C57318">
          <w:rPr>
            <w:noProof/>
            <w:webHidden/>
          </w:rPr>
          <w:t>32</w:t>
        </w:r>
        <w:r w:rsidR="00C57318">
          <w:rPr>
            <w:noProof/>
            <w:webHidden/>
          </w:rPr>
          <w:fldChar w:fldCharType="end"/>
        </w:r>
      </w:hyperlink>
    </w:p>
    <w:p w14:paraId="3715AC97" w14:textId="3565A675" w:rsidR="00C57318" w:rsidRDefault="00000000">
      <w:pPr>
        <w:pStyle w:val="TOC2"/>
        <w:tabs>
          <w:tab w:val="left" w:pos="880"/>
          <w:tab w:val="right" w:leader="dot" w:pos="9350"/>
        </w:tabs>
        <w:rPr>
          <w:rFonts w:asciiTheme="minorHAnsi" w:hAnsiTheme="minorHAnsi"/>
          <w:noProof/>
          <w:lang w:eastAsia="en-US"/>
        </w:rPr>
      </w:pPr>
      <w:hyperlink w:anchor="_Toc461684050" w:history="1">
        <w:r w:rsidR="00C57318" w:rsidRPr="00CE4258">
          <w:rPr>
            <w:rStyle w:val="Hyperlink"/>
            <w:noProof/>
          </w:rPr>
          <w:t>6.4</w:t>
        </w:r>
        <w:r w:rsidR="00C57318">
          <w:rPr>
            <w:rFonts w:asciiTheme="minorHAnsi" w:hAnsiTheme="minorHAnsi"/>
            <w:noProof/>
            <w:lang w:eastAsia="en-US"/>
          </w:rPr>
          <w:tab/>
        </w:r>
        <w:r w:rsidR="00C57318" w:rsidRPr="00CE4258">
          <w:rPr>
            <w:rStyle w:val="Hyperlink"/>
            <w:noProof/>
          </w:rPr>
          <w:t>New Zealand</w:t>
        </w:r>
        <w:r w:rsidR="00C57318">
          <w:rPr>
            <w:noProof/>
            <w:webHidden/>
          </w:rPr>
          <w:tab/>
        </w:r>
        <w:r w:rsidR="00C57318">
          <w:rPr>
            <w:noProof/>
            <w:webHidden/>
          </w:rPr>
          <w:fldChar w:fldCharType="begin"/>
        </w:r>
        <w:r w:rsidR="00C57318">
          <w:rPr>
            <w:noProof/>
            <w:webHidden/>
          </w:rPr>
          <w:instrText xml:space="preserve"> PAGEREF _Toc461684050 \h </w:instrText>
        </w:r>
        <w:r w:rsidR="00C57318">
          <w:rPr>
            <w:noProof/>
            <w:webHidden/>
          </w:rPr>
        </w:r>
        <w:r w:rsidR="00C57318">
          <w:rPr>
            <w:noProof/>
            <w:webHidden/>
          </w:rPr>
          <w:fldChar w:fldCharType="separate"/>
        </w:r>
        <w:r w:rsidR="00C57318">
          <w:rPr>
            <w:noProof/>
            <w:webHidden/>
          </w:rPr>
          <w:t>32</w:t>
        </w:r>
        <w:r w:rsidR="00C57318">
          <w:rPr>
            <w:noProof/>
            <w:webHidden/>
          </w:rPr>
          <w:fldChar w:fldCharType="end"/>
        </w:r>
      </w:hyperlink>
    </w:p>
    <w:p w14:paraId="558AEC21" w14:textId="0671C23E" w:rsidR="00C57318" w:rsidRDefault="00000000">
      <w:pPr>
        <w:pStyle w:val="TOC2"/>
        <w:tabs>
          <w:tab w:val="left" w:pos="880"/>
          <w:tab w:val="right" w:leader="dot" w:pos="9350"/>
        </w:tabs>
        <w:rPr>
          <w:rFonts w:asciiTheme="minorHAnsi" w:hAnsiTheme="minorHAnsi"/>
          <w:noProof/>
          <w:lang w:eastAsia="en-US"/>
        </w:rPr>
      </w:pPr>
      <w:hyperlink w:anchor="_Toc461684051" w:history="1">
        <w:r w:rsidR="00C57318" w:rsidRPr="00CE4258">
          <w:rPr>
            <w:rStyle w:val="Hyperlink"/>
            <w:noProof/>
          </w:rPr>
          <w:t>6.5</w:t>
        </w:r>
        <w:r w:rsidR="00C57318">
          <w:rPr>
            <w:rFonts w:asciiTheme="minorHAnsi" w:hAnsiTheme="minorHAnsi"/>
            <w:noProof/>
            <w:lang w:eastAsia="en-US"/>
          </w:rPr>
          <w:tab/>
        </w:r>
        <w:r w:rsidR="00C57318" w:rsidRPr="00CE4258">
          <w:rPr>
            <w:rStyle w:val="Hyperlink"/>
            <w:noProof/>
          </w:rPr>
          <w:t>The Netherlands</w:t>
        </w:r>
        <w:r w:rsidR="00C57318">
          <w:rPr>
            <w:noProof/>
            <w:webHidden/>
          </w:rPr>
          <w:tab/>
        </w:r>
        <w:r w:rsidR="00C57318">
          <w:rPr>
            <w:noProof/>
            <w:webHidden/>
          </w:rPr>
          <w:fldChar w:fldCharType="begin"/>
        </w:r>
        <w:r w:rsidR="00C57318">
          <w:rPr>
            <w:noProof/>
            <w:webHidden/>
          </w:rPr>
          <w:instrText xml:space="preserve"> PAGEREF _Toc461684051 \h </w:instrText>
        </w:r>
        <w:r w:rsidR="00C57318">
          <w:rPr>
            <w:noProof/>
            <w:webHidden/>
          </w:rPr>
        </w:r>
        <w:r w:rsidR="00C57318">
          <w:rPr>
            <w:noProof/>
            <w:webHidden/>
          </w:rPr>
          <w:fldChar w:fldCharType="separate"/>
        </w:r>
        <w:r w:rsidR="00C57318">
          <w:rPr>
            <w:noProof/>
            <w:webHidden/>
          </w:rPr>
          <w:t>33</w:t>
        </w:r>
        <w:r w:rsidR="00C57318">
          <w:rPr>
            <w:noProof/>
            <w:webHidden/>
          </w:rPr>
          <w:fldChar w:fldCharType="end"/>
        </w:r>
      </w:hyperlink>
    </w:p>
    <w:p w14:paraId="4D918E92" w14:textId="625C6AE6" w:rsidR="00C57318" w:rsidRDefault="00000000">
      <w:pPr>
        <w:pStyle w:val="TOC2"/>
        <w:tabs>
          <w:tab w:val="left" w:pos="880"/>
          <w:tab w:val="right" w:leader="dot" w:pos="9350"/>
        </w:tabs>
        <w:rPr>
          <w:rFonts w:asciiTheme="minorHAnsi" w:hAnsiTheme="minorHAnsi"/>
          <w:noProof/>
          <w:lang w:eastAsia="en-US"/>
        </w:rPr>
      </w:pPr>
      <w:hyperlink w:anchor="_Toc461684052" w:history="1">
        <w:r w:rsidR="00C57318" w:rsidRPr="00CE4258">
          <w:rPr>
            <w:rStyle w:val="Hyperlink"/>
            <w:noProof/>
          </w:rPr>
          <w:t>6.6</w:t>
        </w:r>
        <w:r w:rsidR="00C57318">
          <w:rPr>
            <w:rFonts w:asciiTheme="minorHAnsi" w:hAnsiTheme="minorHAnsi"/>
            <w:noProof/>
            <w:lang w:eastAsia="en-US"/>
          </w:rPr>
          <w:tab/>
        </w:r>
        <w:r w:rsidR="00C57318" w:rsidRPr="00CE4258">
          <w:rPr>
            <w:rStyle w:val="Hyperlink"/>
            <w:noProof/>
          </w:rPr>
          <w:t>United Kingdom</w:t>
        </w:r>
        <w:r w:rsidR="00C57318">
          <w:rPr>
            <w:noProof/>
            <w:webHidden/>
          </w:rPr>
          <w:tab/>
        </w:r>
        <w:r w:rsidR="00C57318">
          <w:rPr>
            <w:noProof/>
            <w:webHidden/>
          </w:rPr>
          <w:fldChar w:fldCharType="begin"/>
        </w:r>
        <w:r w:rsidR="00C57318">
          <w:rPr>
            <w:noProof/>
            <w:webHidden/>
          </w:rPr>
          <w:instrText xml:space="preserve"> PAGEREF _Toc461684052 \h </w:instrText>
        </w:r>
        <w:r w:rsidR="00C57318">
          <w:rPr>
            <w:noProof/>
            <w:webHidden/>
          </w:rPr>
        </w:r>
        <w:r w:rsidR="00C57318">
          <w:rPr>
            <w:noProof/>
            <w:webHidden/>
          </w:rPr>
          <w:fldChar w:fldCharType="separate"/>
        </w:r>
        <w:r w:rsidR="00C57318">
          <w:rPr>
            <w:noProof/>
            <w:webHidden/>
          </w:rPr>
          <w:t>33</w:t>
        </w:r>
        <w:r w:rsidR="00C57318">
          <w:rPr>
            <w:noProof/>
            <w:webHidden/>
          </w:rPr>
          <w:fldChar w:fldCharType="end"/>
        </w:r>
      </w:hyperlink>
    </w:p>
    <w:p w14:paraId="6417560C" w14:textId="1F3C2AB6" w:rsidR="00C57318" w:rsidRDefault="00000000">
      <w:pPr>
        <w:pStyle w:val="TOC2"/>
        <w:tabs>
          <w:tab w:val="left" w:pos="880"/>
          <w:tab w:val="right" w:leader="dot" w:pos="9350"/>
        </w:tabs>
        <w:rPr>
          <w:rFonts w:asciiTheme="minorHAnsi" w:hAnsiTheme="minorHAnsi"/>
          <w:noProof/>
          <w:lang w:eastAsia="en-US"/>
        </w:rPr>
      </w:pPr>
      <w:hyperlink w:anchor="_Toc461684053" w:history="1">
        <w:r w:rsidR="00C57318" w:rsidRPr="00CE4258">
          <w:rPr>
            <w:rStyle w:val="Hyperlink"/>
            <w:noProof/>
          </w:rPr>
          <w:t>6.7</w:t>
        </w:r>
        <w:r w:rsidR="00C57318">
          <w:rPr>
            <w:rFonts w:asciiTheme="minorHAnsi" w:hAnsiTheme="minorHAnsi"/>
            <w:noProof/>
            <w:lang w:eastAsia="en-US"/>
          </w:rPr>
          <w:tab/>
        </w:r>
        <w:r w:rsidR="00C57318" w:rsidRPr="00CE4258">
          <w:rPr>
            <w:rStyle w:val="Hyperlink"/>
            <w:noProof/>
          </w:rPr>
          <w:t>United States</w:t>
        </w:r>
        <w:r w:rsidR="00C57318">
          <w:rPr>
            <w:noProof/>
            <w:webHidden/>
          </w:rPr>
          <w:tab/>
        </w:r>
        <w:r w:rsidR="00C57318">
          <w:rPr>
            <w:noProof/>
            <w:webHidden/>
          </w:rPr>
          <w:fldChar w:fldCharType="begin"/>
        </w:r>
        <w:r w:rsidR="00C57318">
          <w:rPr>
            <w:noProof/>
            <w:webHidden/>
          </w:rPr>
          <w:instrText xml:space="preserve"> PAGEREF _Toc461684053 \h </w:instrText>
        </w:r>
        <w:r w:rsidR="00C57318">
          <w:rPr>
            <w:noProof/>
            <w:webHidden/>
          </w:rPr>
        </w:r>
        <w:r w:rsidR="00C57318">
          <w:rPr>
            <w:noProof/>
            <w:webHidden/>
          </w:rPr>
          <w:fldChar w:fldCharType="separate"/>
        </w:r>
        <w:r w:rsidR="00C57318">
          <w:rPr>
            <w:noProof/>
            <w:webHidden/>
          </w:rPr>
          <w:t>35</w:t>
        </w:r>
        <w:r w:rsidR="00C57318">
          <w:rPr>
            <w:noProof/>
            <w:webHidden/>
          </w:rPr>
          <w:fldChar w:fldCharType="end"/>
        </w:r>
      </w:hyperlink>
    </w:p>
    <w:p w14:paraId="6E4CF07C" w14:textId="511FC88A" w:rsidR="00C57318" w:rsidRDefault="00000000">
      <w:pPr>
        <w:pStyle w:val="TOC3"/>
        <w:tabs>
          <w:tab w:val="left" w:pos="1320"/>
          <w:tab w:val="right" w:leader="dot" w:pos="9350"/>
        </w:tabs>
        <w:rPr>
          <w:rFonts w:asciiTheme="minorHAnsi" w:hAnsiTheme="minorHAnsi"/>
          <w:noProof/>
          <w:lang w:eastAsia="en-US"/>
        </w:rPr>
      </w:pPr>
      <w:hyperlink w:anchor="_Toc461684054" w:history="1">
        <w:r w:rsidR="00C57318" w:rsidRPr="00CE4258">
          <w:rPr>
            <w:rStyle w:val="Hyperlink"/>
            <w:noProof/>
          </w:rPr>
          <w:t>6.7.1</w:t>
        </w:r>
        <w:r w:rsidR="00C57318">
          <w:rPr>
            <w:rFonts w:asciiTheme="minorHAnsi" w:hAnsiTheme="minorHAnsi"/>
            <w:noProof/>
            <w:lang w:eastAsia="en-US"/>
          </w:rPr>
          <w:tab/>
        </w:r>
        <w:r w:rsidR="00C57318" w:rsidRPr="00CE4258">
          <w:rPr>
            <w:rStyle w:val="Hyperlink"/>
            <w:noProof/>
          </w:rPr>
          <w:t>Federal agencies</w:t>
        </w:r>
        <w:r w:rsidR="00C57318">
          <w:rPr>
            <w:noProof/>
            <w:webHidden/>
          </w:rPr>
          <w:tab/>
        </w:r>
        <w:r w:rsidR="00C57318">
          <w:rPr>
            <w:noProof/>
            <w:webHidden/>
          </w:rPr>
          <w:fldChar w:fldCharType="begin"/>
        </w:r>
        <w:r w:rsidR="00C57318">
          <w:rPr>
            <w:noProof/>
            <w:webHidden/>
          </w:rPr>
          <w:instrText xml:space="preserve"> PAGEREF _Toc461684054 \h </w:instrText>
        </w:r>
        <w:r w:rsidR="00C57318">
          <w:rPr>
            <w:noProof/>
            <w:webHidden/>
          </w:rPr>
        </w:r>
        <w:r w:rsidR="00C57318">
          <w:rPr>
            <w:noProof/>
            <w:webHidden/>
          </w:rPr>
          <w:fldChar w:fldCharType="separate"/>
        </w:r>
        <w:r w:rsidR="00C57318">
          <w:rPr>
            <w:noProof/>
            <w:webHidden/>
          </w:rPr>
          <w:t>35</w:t>
        </w:r>
        <w:r w:rsidR="00C57318">
          <w:rPr>
            <w:noProof/>
            <w:webHidden/>
          </w:rPr>
          <w:fldChar w:fldCharType="end"/>
        </w:r>
      </w:hyperlink>
    </w:p>
    <w:p w14:paraId="18B2B4FE" w14:textId="3CF073E1" w:rsidR="00C57318" w:rsidRDefault="00000000">
      <w:pPr>
        <w:pStyle w:val="TOC3"/>
        <w:tabs>
          <w:tab w:val="left" w:pos="1320"/>
          <w:tab w:val="right" w:leader="dot" w:pos="9350"/>
        </w:tabs>
        <w:rPr>
          <w:rFonts w:asciiTheme="minorHAnsi" w:hAnsiTheme="minorHAnsi"/>
          <w:noProof/>
          <w:lang w:eastAsia="en-US"/>
        </w:rPr>
      </w:pPr>
      <w:hyperlink w:anchor="_Toc461684055" w:history="1">
        <w:r w:rsidR="00C57318" w:rsidRPr="00CE4258">
          <w:rPr>
            <w:rStyle w:val="Hyperlink"/>
            <w:noProof/>
          </w:rPr>
          <w:t>6.7.2</w:t>
        </w:r>
        <w:r w:rsidR="00C57318">
          <w:rPr>
            <w:rFonts w:asciiTheme="minorHAnsi" w:hAnsiTheme="minorHAnsi"/>
            <w:noProof/>
            <w:lang w:eastAsia="en-US"/>
          </w:rPr>
          <w:tab/>
        </w:r>
        <w:r w:rsidR="00C57318" w:rsidRPr="00CE4258">
          <w:rPr>
            <w:rStyle w:val="Hyperlink"/>
            <w:noProof/>
          </w:rPr>
          <w:t>United States Environment Protection Agency (USEPA)</w:t>
        </w:r>
        <w:r w:rsidR="00C57318">
          <w:rPr>
            <w:noProof/>
            <w:webHidden/>
          </w:rPr>
          <w:tab/>
        </w:r>
        <w:r w:rsidR="00C57318">
          <w:rPr>
            <w:noProof/>
            <w:webHidden/>
          </w:rPr>
          <w:fldChar w:fldCharType="begin"/>
        </w:r>
        <w:r w:rsidR="00C57318">
          <w:rPr>
            <w:noProof/>
            <w:webHidden/>
          </w:rPr>
          <w:instrText xml:space="preserve"> PAGEREF _Toc461684055 \h </w:instrText>
        </w:r>
        <w:r w:rsidR="00C57318">
          <w:rPr>
            <w:noProof/>
            <w:webHidden/>
          </w:rPr>
        </w:r>
        <w:r w:rsidR="00C57318">
          <w:rPr>
            <w:noProof/>
            <w:webHidden/>
          </w:rPr>
          <w:fldChar w:fldCharType="separate"/>
        </w:r>
        <w:r w:rsidR="00C57318">
          <w:rPr>
            <w:noProof/>
            <w:webHidden/>
          </w:rPr>
          <w:t>35</w:t>
        </w:r>
        <w:r w:rsidR="00C57318">
          <w:rPr>
            <w:noProof/>
            <w:webHidden/>
          </w:rPr>
          <w:fldChar w:fldCharType="end"/>
        </w:r>
      </w:hyperlink>
    </w:p>
    <w:p w14:paraId="1AD63623" w14:textId="7ECEFA9F" w:rsidR="00C57318" w:rsidRDefault="00000000">
      <w:pPr>
        <w:pStyle w:val="TOC3"/>
        <w:tabs>
          <w:tab w:val="left" w:pos="1320"/>
          <w:tab w:val="right" w:leader="dot" w:pos="9350"/>
        </w:tabs>
        <w:rPr>
          <w:rFonts w:asciiTheme="minorHAnsi" w:hAnsiTheme="minorHAnsi"/>
          <w:noProof/>
          <w:lang w:eastAsia="en-US"/>
        </w:rPr>
      </w:pPr>
      <w:hyperlink w:anchor="_Toc461684056" w:history="1">
        <w:r w:rsidR="00C57318" w:rsidRPr="00CE4258">
          <w:rPr>
            <w:rStyle w:val="Hyperlink"/>
            <w:noProof/>
          </w:rPr>
          <w:t>6.7.3</w:t>
        </w:r>
        <w:r w:rsidR="00C57318">
          <w:rPr>
            <w:rFonts w:asciiTheme="minorHAnsi" w:hAnsiTheme="minorHAnsi"/>
            <w:noProof/>
            <w:lang w:eastAsia="en-US"/>
          </w:rPr>
          <w:tab/>
        </w:r>
        <w:r w:rsidR="00C57318" w:rsidRPr="00CE4258">
          <w:rPr>
            <w:rStyle w:val="Hyperlink"/>
            <w:noProof/>
          </w:rPr>
          <w:t>Other US State environment agencies</w:t>
        </w:r>
        <w:r w:rsidR="00C57318">
          <w:rPr>
            <w:noProof/>
            <w:webHidden/>
          </w:rPr>
          <w:tab/>
        </w:r>
        <w:r w:rsidR="00C57318">
          <w:rPr>
            <w:noProof/>
            <w:webHidden/>
          </w:rPr>
          <w:fldChar w:fldCharType="begin"/>
        </w:r>
        <w:r w:rsidR="00C57318">
          <w:rPr>
            <w:noProof/>
            <w:webHidden/>
          </w:rPr>
          <w:instrText xml:space="preserve"> PAGEREF _Toc461684056 \h </w:instrText>
        </w:r>
        <w:r w:rsidR="00C57318">
          <w:rPr>
            <w:noProof/>
            <w:webHidden/>
          </w:rPr>
        </w:r>
        <w:r w:rsidR="00C57318">
          <w:rPr>
            <w:noProof/>
            <w:webHidden/>
          </w:rPr>
          <w:fldChar w:fldCharType="separate"/>
        </w:r>
        <w:r w:rsidR="00C57318">
          <w:rPr>
            <w:noProof/>
            <w:webHidden/>
          </w:rPr>
          <w:t>38</w:t>
        </w:r>
        <w:r w:rsidR="00C57318">
          <w:rPr>
            <w:noProof/>
            <w:webHidden/>
          </w:rPr>
          <w:fldChar w:fldCharType="end"/>
        </w:r>
      </w:hyperlink>
    </w:p>
    <w:p w14:paraId="26E7A998" w14:textId="3DCF483B" w:rsidR="00C57318" w:rsidRDefault="00000000">
      <w:pPr>
        <w:pStyle w:val="TOC1"/>
        <w:tabs>
          <w:tab w:val="left" w:pos="440"/>
          <w:tab w:val="right" w:leader="dot" w:pos="9350"/>
        </w:tabs>
        <w:rPr>
          <w:rFonts w:asciiTheme="minorHAnsi" w:hAnsiTheme="minorHAnsi"/>
          <w:noProof/>
          <w:lang w:eastAsia="en-US"/>
        </w:rPr>
      </w:pPr>
      <w:hyperlink w:anchor="_Toc461684057" w:history="1">
        <w:r w:rsidR="00C57318" w:rsidRPr="00CE4258">
          <w:rPr>
            <w:rStyle w:val="Hyperlink"/>
            <w:noProof/>
          </w:rPr>
          <w:t>7</w:t>
        </w:r>
        <w:r w:rsidR="00C57318">
          <w:rPr>
            <w:rFonts w:asciiTheme="minorHAnsi" w:hAnsiTheme="minorHAnsi"/>
            <w:noProof/>
            <w:lang w:eastAsia="en-US"/>
          </w:rPr>
          <w:tab/>
        </w:r>
        <w:r w:rsidR="00C57318" w:rsidRPr="00CE4258">
          <w:rPr>
            <w:rStyle w:val="Hyperlink"/>
            <w:noProof/>
          </w:rPr>
          <w:t> Risk assessment methods</w:t>
        </w:r>
        <w:r w:rsidR="00C57318">
          <w:rPr>
            <w:noProof/>
            <w:webHidden/>
          </w:rPr>
          <w:tab/>
        </w:r>
        <w:r w:rsidR="00C57318">
          <w:rPr>
            <w:noProof/>
            <w:webHidden/>
          </w:rPr>
          <w:fldChar w:fldCharType="begin"/>
        </w:r>
        <w:r w:rsidR="00C57318">
          <w:rPr>
            <w:noProof/>
            <w:webHidden/>
          </w:rPr>
          <w:instrText xml:space="preserve"> PAGEREF _Toc461684057 \h </w:instrText>
        </w:r>
        <w:r w:rsidR="00C57318">
          <w:rPr>
            <w:noProof/>
            <w:webHidden/>
          </w:rPr>
        </w:r>
        <w:r w:rsidR="00C57318">
          <w:rPr>
            <w:noProof/>
            <w:webHidden/>
          </w:rPr>
          <w:fldChar w:fldCharType="separate"/>
        </w:r>
        <w:r w:rsidR="00C57318">
          <w:rPr>
            <w:noProof/>
            <w:webHidden/>
          </w:rPr>
          <w:t>39</w:t>
        </w:r>
        <w:r w:rsidR="00C57318">
          <w:rPr>
            <w:noProof/>
            <w:webHidden/>
          </w:rPr>
          <w:fldChar w:fldCharType="end"/>
        </w:r>
      </w:hyperlink>
    </w:p>
    <w:p w14:paraId="2061EDA2" w14:textId="3267CB46" w:rsidR="00C57318" w:rsidRDefault="00000000">
      <w:pPr>
        <w:pStyle w:val="TOC2"/>
        <w:tabs>
          <w:tab w:val="left" w:pos="880"/>
          <w:tab w:val="right" w:leader="dot" w:pos="9350"/>
        </w:tabs>
        <w:rPr>
          <w:rFonts w:asciiTheme="minorHAnsi" w:hAnsiTheme="minorHAnsi"/>
          <w:noProof/>
          <w:lang w:eastAsia="en-US"/>
        </w:rPr>
      </w:pPr>
      <w:hyperlink w:anchor="_Toc461684058" w:history="1">
        <w:r w:rsidR="00C57318" w:rsidRPr="00CE4258">
          <w:rPr>
            <w:rStyle w:val="Hyperlink"/>
            <w:noProof/>
          </w:rPr>
          <w:t>7.1</w:t>
        </w:r>
        <w:r w:rsidR="00C57318">
          <w:rPr>
            <w:rFonts w:asciiTheme="minorHAnsi" w:hAnsiTheme="minorHAnsi"/>
            <w:noProof/>
            <w:lang w:eastAsia="en-US"/>
          </w:rPr>
          <w:tab/>
        </w:r>
        <w:r w:rsidR="00C57318" w:rsidRPr="00CE4258">
          <w:rPr>
            <w:rStyle w:val="Hyperlink"/>
            <w:noProof/>
          </w:rPr>
          <w:t>Introduction</w:t>
        </w:r>
        <w:r w:rsidR="00C57318">
          <w:rPr>
            <w:noProof/>
            <w:webHidden/>
          </w:rPr>
          <w:tab/>
        </w:r>
        <w:r w:rsidR="00C57318">
          <w:rPr>
            <w:noProof/>
            <w:webHidden/>
          </w:rPr>
          <w:fldChar w:fldCharType="begin"/>
        </w:r>
        <w:r w:rsidR="00C57318">
          <w:rPr>
            <w:noProof/>
            <w:webHidden/>
          </w:rPr>
          <w:instrText xml:space="preserve"> PAGEREF _Toc461684058 \h </w:instrText>
        </w:r>
        <w:r w:rsidR="00C57318">
          <w:rPr>
            <w:noProof/>
            <w:webHidden/>
          </w:rPr>
        </w:r>
        <w:r w:rsidR="00C57318">
          <w:rPr>
            <w:noProof/>
            <w:webHidden/>
          </w:rPr>
          <w:fldChar w:fldCharType="separate"/>
        </w:r>
        <w:r w:rsidR="00C57318">
          <w:rPr>
            <w:noProof/>
            <w:webHidden/>
          </w:rPr>
          <w:t>39</w:t>
        </w:r>
        <w:r w:rsidR="00C57318">
          <w:rPr>
            <w:noProof/>
            <w:webHidden/>
          </w:rPr>
          <w:fldChar w:fldCharType="end"/>
        </w:r>
      </w:hyperlink>
    </w:p>
    <w:p w14:paraId="67E62947" w14:textId="14E99888" w:rsidR="00C57318" w:rsidRDefault="00000000">
      <w:pPr>
        <w:pStyle w:val="TOC2"/>
        <w:tabs>
          <w:tab w:val="left" w:pos="880"/>
          <w:tab w:val="right" w:leader="dot" w:pos="9350"/>
        </w:tabs>
        <w:rPr>
          <w:rFonts w:asciiTheme="minorHAnsi" w:hAnsiTheme="minorHAnsi"/>
          <w:noProof/>
          <w:lang w:eastAsia="en-US"/>
        </w:rPr>
      </w:pPr>
      <w:hyperlink w:anchor="_Toc461684059" w:history="1">
        <w:r w:rsidR="00C57318" w:rsidRPr="00CE4258">
          <w:rPr>
            <w:rStyle w:val="Hyperlink"/>
            <w:noProof/>
          </w:rPr>
          <w:t>7.2</w:t>
        </w:r>
        <w:r w:rsidR="00C57318">
          <w:rPr>
            <w:rFonts w:asciiTheme="minorHAnsi" w:hAnsiTheme="minorHAnsi"/>
            <w:noProof/>
            <w:lang w:eastAsia="en-US"/>
          </w:rPr>
          <w:tab/>
        </w:r>
        <w:r w:rsidR="00C57318" w:rsidRPr="00CE4258">
          <w:rPr>
            <w:rStyle w:val="Hyperlink"/>
            <w:noProof/>
          </w:rPr>
          <w:t>Identifying concerns (Problem formulation and scoping)</w:t>
        </w:r>
        <w:r w:rsidR="00C57318">
          <w:rPr>
            <w:noProof/>
            <w:webHidden/>
          </w:rPr>
          <w:tab/>
        </w:r>
        <w:r w:rsidR="00C57318">
          <w:rPr>
            <w:noProof/>
            <w:webHidden/>
          </w:rPr>
          <w:fldChar w:fldCharType="begin"/>
        </w:r>
        <w:r w:rsidR="00C57318">
          <w:rPr>
            <w:noProof/>
            <w:webHidden/>
          </w:rPr>
          <w:instrText xml:space="preserve"> PAGEREF _Toc461684059 \h </w:instrText>
        </w:r>
        <w:r w:rsidR="00C57318">
          <w:rPr>
            <w:noProof/>
            <w:webHidden/>
          </w:rPr>
        </w:r>
        <w:r w:rsidR="00C57318">
          <w:rPr>
            <w:noProof/>
            <w:webHidden/>
          </w:rPr>
          <w:fldChar w:fldCharType="separate"/>
        </w:r>
        <w:r w:rsidR="00C57318">
          <w:rPr>
            <w:noProof/>
            <w:webHidden/>
          </w:rPr>
          <w:t>44</w:t>
        </w:r>
        <w:r w:rsidR="00C57318">
          <w:rPr>
            <w:noProof/>
            <w:webHidden/>
          </w:rPr>
          <w:fldChar w:fldCharType="end"/>
        </w:r>
      </w:hyperlink>
    </w:p>
    <w:p w14:paraId="03CA894D" w14:textId="7BB1437F" w:rsidR="00C57318" w:rsidRDefault="00000000">
      <w:pPr>
        <w:pStyle w:val="TOC2"/>
        <w:tabs>
          <w:tab w:val="left" w:pos="880"/>
          <w:tab w:val="right" w:leader="dot" w:pos="9350"/>
        </w:tabs>
        <w:rPr>
          <w:rFonts w:asciiTheme="minorHAnsi" w:hAnsiTheme="minorHAnsi"/>
          <w:noProof/>
          <w:lang w:eastAsia="en-US"/>
        </w:rPr>
      </w:pPr>
      <w:hyperlink w:anchor="_Toc461684060" w:history="1">
        <w:r w:rsidR="00C57318" w:rsidRPr="00CE4258">
          <w:rPr>
            <w:rStyle w:val="Hyperlink"/>
            <w:noProof/>
          </w:rPr>
          <w:t>7.3</w:t>
        </w:r>
        <w:r w:rsidR="00C57318">
          <w:rPr>
            <w:rFonts w:asciiTheme="minorHAnsi" w:hAnsiTheme="minorHAnsi"/>
            <w:noProof/>
            <w:lang w:eastAsia="en-US"/>
          </w:rPr>
          <w:tab/>
        </w:r>
        <w:r w:rsidR="00C57318" w:rsidRPr="00CE4258">
          <w:rPr>
            <w:rStyle w:val="Hyperlink"/>
            <w:noProof/>
          </w:rPr>
          <w:t>Hazard assessment</w:t>
        </w:r>
        <w:r w:rsidR="00C57318">
          <w:rPr>
            <w:noProof/>
            <w:webHidden/>
          </w:rPr>
          <w:tab/>
        </w:r>
        <w:r w:rsidR="00C57318">
          <w:rPr>
            <w:noProof/>
            <w:webHidden/>
          </w:rPr>
          <w:fldChar w:fldCharType="begin"/>
        </w:r>
        <w:r w:rsidR="00C57318">
          <w:rPr>
            <w:noProof/>
            <w:webHidden/>
          </w:rPr>
          <w:instrText xml:space="preserve"> PAGEREF _Toc461684060 \h </w:instrText>
        </w:r>
        <w:r w:rsidR="00C57318">
          <w:rPr>
            <w:noProof/>
            <w:webHidden/>
          </w:rPr>
        </w:r>
        <w:r w:rsidR="00C57318">
          <w:rPr>
            <w:noProof/>
            <w:webHidden/>
          </w:rPr>
          <w:fldChar w:fldCharType="separate"/>
        </w:r>
        <w:r w:rsidR="00C57318">
          <w:rPr>
            <w:noProof/>
            <w:webHidden/>
          </w:rPr>
          <w:t>45</w:t>
        </w:r>
        <w:r w:rsidR="00C57318">
          <w:rPr>
            <w:noProof/>
            <w:webHidden/>
          </w:rPr>
          <w:fldChar w:fldCharType="end"/>
        </w:r>
      </w:hyperlink>
    </w:p>
    <w:p w14:paraId="0C01EFCB" w14:textId="2BDF7203" w:rsidR="00C57318" w:rsidRDefault="00000000">
      <w:pPr>
        <w:pStyle w:val="TOC3"/>
        <w:tabs>
          <w:tab w:val="left" w:pos="1320"/>
          <w:tab w:val="right" w:leader="dot" w:pos="9350"/>
        </w:tabs>
        <w:rPr>
          <w:rFonts w:asciiTheme="minorHAnsi" w:hAnsiTheme="minorHAnsi"/>
          <w:noProof/>
          <w:lang w:eastAsia="en-US"/>
        </w:rPr>
      </w:pPr>
      <w:hyperlink w:anchor="_Toc461684061" w:history="1">
        <w:r w:rsidR="00C57318" w:rsidRPr="00CE4258">
          <w:rPr>
            <w:rStyle w:val="Hyperlink"/>
            <w:noProof/>
          </w:rPr>
          <w:t>7.3.1</w:t>
        </w:r>
        <w:r w:rsidR="00C57318">
          <w:rPr>
            <w:rFonts w:asciiTheme="minorHAnsi" w:hAnsiTheme="minorHAnsi"/>
            <w:noProof/>
            <w:lang w:eastAsia="en-US"/>
          </w:rPr>
          <w:tab/>
        </w:r>
        <w:r w:rsidR="00C57318" w:rsidRPr="00CE4258">
          <w:rPr>
            <w:rStyle w:val="Hyperlink"/>
            <w:noProof/>
          </w:rPr>
          <w:t>Understanding toxicology</w:t>
        </w:r>
        <w:r w:rsidR="00C57318">
          <w:rPr>
            <w:noProof/>
            <w:webHidden/>
          </w:rPr>
          <w:tab/>
        </w:r>
        <w:r w:rsidR="00C57318">
          <w:rPr>
            <w:noProof/>
            <w:webHidden/>
          </w:rPr>
          <w:fldChar w:fldCharType="begin"/>
        </w:r>
        <w:r w:rsidR="00C57318">
          <w:rPr>
            <w:noProof/>
            <w:webHidden/>
          </w:rPr>
          <w:instrText xml:space="preserve"> PAGEREF _Toc461684061 \h </w:instrText>
        </w:r>
        <w:r w:rsidR="00C57318">
          <w:rPr>
            <w:noProof/>
            <w:webHidden/>
          </w:rPr>
        </w:r>
        <w:r w:rsidR="00C57318">
          <w:rPr>
            <w:noProof/>
            <w:webHidden/>
          </w:rPr>
          <w:fldChar w:fldCharType="separate"/>
        </w:r>
        <w:r w:rsidR="00C57318">
          <w:rPr>
            <w:noProof/>
            <w:webHidden/>
          </w:rPr>
          <w:t>45</w:t>
        </w:r>
        <w:r w:rsidR="00C57318">
          <w:rPr>
            <w:noProof/>
            <w:webHidden/>
          </w:rPr>
          <w:fldChar w:fldCharType="end"/>
        </w:r>
      </w:hyperlink>
    </w:p>
    <w:p w14:paraId="415907A7" w14:textId="493BD66F" w:rsidR="00C57318" w:rsidRDefault="00000000">
      <w:pPr>
        <w:pStyle w:val="TOC3"/>
        <w:tabs>
          <w:tab w:val="left" w:pos="1320"/>
          <w:tab w:val="right" w:leader="dot" w:pos="9350"/>
        </w:tabs>
        <w:rPr>
          <w:rFonts w:asciiTheme="minorHAnsi" w:hAnsiTheme="minorHAnsi"/>
          <w:noProof/>
          <w:lang w:eastAsia="en-US"/>
        </w:rPr>
      </w:pPr>
      <w:hyperlink w:anchor="_Toc461684062" w:history="1">
        <w:r w:rsidR="00C57318" w:rsidRPr="00CE4258">
          <w:rPr>
            <w:rStyle w:val="Hyperlink"/>
            <w:noProof/>
          </w:rPr>
          <w:t>7.3.2</w:t>
        </w:r>
        <w:r w:rsidR="00C57318">
          <w:rPr>
            <w:rFonts w:asciiTheme="minorHAnsi" w:hAnsiTheme="minorHAnsi"/>
            <w:noProof/>
            <w:lang w:eastAsia="en-US"/>
          </w:rPr>
          <w:tab/>
        </w:r>
        <w:r w:rsidR="00C57318" w:rsidRPr="00CE4258">
          <w:rPr>
            <w:rStyle w:val="Hyperlink"/>
            <w:noProof/>
          </w:rPr>
          <w:t>Toxico-kinetics and toxico-dynamics</w:t>
        </w:r>
        <w:r w:rsidR="00C57318">
          <w:rPr>
            <w:noProof/>
            <w:webHidden/>
          </w:rPr>
          <w:tab/>
        </w:r>
        <w:r w:rsidR="00C57318">
          <w:rPr>
            <w:noProof/>
            <w:webHidden/>
          </w:rPr>
          <w:fldChar w:fldCharType="begin"/>
        </w:r>
        <w:r w:rsidR="00C57318">
          <w:rPr>
            <w:noProof/>
            <w:webHidden/>
          </w:rPr>
          <w:instrText xml:space="preserve"> PAGEREF _Toc461684062 \h </w:instrText>
        </w:r>
        <w:r w:rsidR="00C57318">
          <w:rPr>
            <w:noProof/>
            <w:webHidden/>
          </w:rPr>
        </w:r>
        <w:r w:rsidR="00C57318">
          <w:rPr>
            <w:noProof/>
            <w:webHidden/>
          </w:rPr>
          <w:fldChar w:fldCharType="separate"/>
        </w:r>
        <w:r w:rsidR="00C57318">
          <w:rPr>
            <w:noProof/>
            <w:webHidden/>
          </w:rPr>
          <w:t>46</w:t>
        </w:r>
        <w:r w:rsidR="00C57318">
          <w:rPr>
            <w:noProof/>
            <w:webHidden/>
          </w:rPr>
          <w:fldChar w:fldCharType="end"/>
        </w:r>
      </w:hyperlink>
    </w:p>
    <w:p w14:paraId="0F876165" w14:textId="7A0E74A7" w:rsidR="00C57318" w:rsidRDefault="00000000">
      <w:pPr>
        <w:pStyle w:val="TOC2"/>
        <w:tabs>
          <w:tab w:val="left" w:pos="880"/>
          <w:tab w:val="right" w:leader="dot" w:pos="9350"/>
        </w:tabs>
        <w:rPr>
          <w:rFonts w:asciiTheme="minorHAnsi" w:hAnsiTheme="minorHAnsi"/>
          <w:noProof/>
          <w:lang w:eastAsia="en-US"/>
        </w:rPr>
      </w:pPr>
      <w:hyperlink w:anchor="_Toc461684063" w:history="1">
        <w:r w:rsidR="00C57318" w:rsidRPr="00CE4258">
          <w:rPr>
            <w:rStyle w:val="Hyperlink"/>
            <w:noProof/>
          </w:rPr>
          <w:t>7.4</w:t>
        </w:r>
        <w:r w:rsidR="00C57318">
          <w:rPr>
            <w:rFonts w:asciiTheme="minorHAnsi" w:hAnsiTheme="minorHAnsi"/>
            <w:noProof/>
            <w:lang w:eastAsia="en-US"/>
          </w:rPr>
          <w:tab/>
        </w:r>
        <w:r w:rsidR="00C57318" w:rsidRPr="00CE4258">
          <w:rPr>
            <w:rStyle w:val="Hyperlink"/>
            <w:noProof/>
          </w:rPr>
          <w:t>Exposure assessment</w:t>
        </w:r>
        <w:r w:rsidR="00C57318">
          <w:rPr>
            <w:noProof/>
            <w:webHidden/>
          </w:rPr>
          <w:tab/>
        </w:r>
        <w:r w:rsidR="00C57318">
          <w:rPr>
            <w:noProof/>
            <w:webHidden/>
          </w:rPr>
          <w:fldChar w:fldCharType="begin"/>
        </w:r>
        <w:r w:rsidR="00C57318">
          <w:rPr>
            <w:noProof/>
            <w:webHidden/>
          </w:rPr>
          <w:instrText xml:space="preserve"> PAGEREF _Toc461684063 \h </w:instrText>
        </w:r>
        <w:r w:rsidR="00C57318">
          <w:rPr>
            <w:noProof/>
            <w:webHidden/>
          </w:rPr>
        </w:r>
        <w:r w:rsidR="00C57318">
          <w:rPr>
            <w:noProof/>
            <w:webHidden/>
          </w:rPr>
          <w:fldChar w:fldCharType="separate"/>
        </w:r>
        <w:r w:rsidR="00C57318">
          <w:rPr>
            <w:noProof/>
            <w:webHidden/>
          </w:rPr>
          <w:t>46</w:t>
        </w:r>
        <w:r w:rsidR="00C57318">
          <w:rPr>
            <w:noProof/>
            <w:webHidden/>
          </w:rPr>
          <w:fldChar w:fldCharType="end"/>
        </w:r>
      </w:hyperlink>
    </w:p>
    <w:p w14:paraId="57B01D5B" w14:textId="6B07FAF9" w:rsidR="00C57318" w:rsidRDefault="00000000">
      <w:pPr>
        <w:pStyle w:val="TOC3"/>
        <w:tabs>
          <w:tab w:val="left" w:pos="1320"/>
          <w:tab w:val="right" w:leader="dot" w:pos="9350"/>
        </w:tabs>
        <w:rPr>
          <w:rFonts w:asciiTheme="minorHAnsi" w:hAnsiTheme="minorHAnsi"/>
          <w:noProof/>
          <w:lang w:eastAsia="en-US"/>
        </w:rPr>
      </w:pPr>
      <w:hyperlink w:anchor="_Toc461684064" w:history="1">
        <w:r w:rsidR="00C57318" w:rsidRPr="00CE4258">
          <w:rPr>
            <w:rStyle w:val="Hyperlink"/>
            <w:noProof/>
          </w:rPr>
          <w:t>7.4.1</w:t>
        </w:r>
        <w:r w:rsidR="00C57318">
          <w:rPr>
            <w:rFonts w:asciiTheme="minorHAnsi" w:hAnsiTheme="minorHAnsi"/>
            <w:noProof/>
            <w:lang w:eastAsia="en-US"/>
          </w:rPr>
          <w:tab/>
        </w:r>
        <w:r w:rsidR="00C57318" w:rsidRPr="00CE4258">
          <w:rPr>
            <w:rStyle w:val="Hyperlink"/>
            <w:noProof/>
          </w:rPr>
          <w:t>Exposure measurement and estimations</w:t>
        </w:r>
        <w:r w:rsidR="00C57318">
          <w:rPr>
            <w:noProof/>
            <w:webHidden/>
          </w:rPr>
          <w:tab/>
        </w:r>
        <w:r w:rsidR="00C57318">
          <w:rPr>
            <w:noProof/>
            <w:webHidden/>
          </w:rPr>
          <w:fldChar w:fldCharType="begin"/>
        </w:r>
        <w:r w:rsidR="00C57318">
          <w:rPr>
            <w:noProof/>
            <w:webHidden/>
          </w:rPr>
          <w:instrText xml:space="preserve"> PAGEREF _Toc461684064 \h </w:instrText>
        </w:r>
        <w:r w:rsidR="00C57318">
          <w:rPr>
            <w:noProof/>
            <w:webHidden/>
          </w:rPr>
        </w:r>
        <w:r w:rsidR="00C57318">
          <w:rPr>
            <w:noProof/>
            <w:webHidden/>
          </w:rPr>
          <w:fldChar w:fldCharType="separate"/>
        </w:r>
        <w:r w:rsidR="00C57318">
          <w:rPr>
            <w:noProof/>
            <w:webHidden/>
          </w:rPr>
          <w:t>46</w:t>
        </w:r>
        <w:r w:rsidR="00C57318">
          <w:rPr>
            <w:noProof/>
            <w:webHidden/>
          </w:rPr>
          <w:fldChar w:fldCharType="end"/>
        </w:r>
      </w:hyperlink>
    </w:p>
    <w:p w14:paraId="1A6318B5" w14:textId="780B5390" w:rsidR="00C57318" w:rsidRDefault="00000000">
      <w:pPr>
        <w:pStyle w:val="TOC3"/>
        <w:tabs>
          <w:tab w:val="left" w:pos="1320"/>
          <w:tab w:val="right" w:leader="dot" w:pos="9350"/>
        </w:tabs>
        <w:rPr>
          <w:rFonts w:asciiTheme="minorHAnsi" w:hAnsiTheme="minorHAnsi"/>
          <w:noProof/>
          <w:lang w:eastAsia="en-US"/>
        </w:rPr>
      </w:pPr>
      <w:hyperlink w:anchor="_Toc461684065" w:history="1">
        <w:r w:rsidR="00C57318" w:rsidRPr="00CE4258">
          <w:rPr>
            <w:rStyle w:val="Hyperlink"/>
            <w:noProof/>
          </w:rPr>
          <w:t>7.4.2</w:t>
        </w:r>
        <w:r w:rsidR="00C57318">
          <w:rPr>
            <w:rFonts w:asciiTheme="minorHAnsi" w:hAnsiTheme="minorHAnsi"/>
            <w:noProof/>
            <w:lang w:eastAsia="en-US"/>
          </w:rPr>
          <w:tab/>
        </w:r>
        <w:r w:rsidR="00C57318" w:rsidRPr="00CE4258">
          <w:rPr>
            <w:rStyle w:val="Hyperlink"/>
            <w:noProof/>
          </w:rPr>
          <w:t>Environmental and COPC parameters and exposure factors</w:t>
        </w:r>
        <w:r w:rsidR="00C57318">
          <w:rPr>
            <w:noProof/>
            <w:webHidden/>
          </w:rPr>
          <w:tab/>
        </w:r>
        <w:r w:rsidR="00C57318">
          <w:rPr>
            <w:noProof/>
            <w:webHidden/>
          </w:rPr>
          <w:fldChar w:fldCharType="begin"/>
        </w:r>
        <w:r w:rsidR="00C57318">
          <w:rPr>
            <w:noProof/>
            <w:webHidden/>
          </w:rPr>
          <w:instrText xml:space="preserve"> PAGEREF _Toc461684065 \h </w:instrText>
        </w:r>
        <w:r w:rsidR="00C57318">
          <w:rPr>
            <w:noProof/>
            <w:webHidden/>
          </w:rPr>
        </w:r>
        <w:r w:rsidR="00C57318">
          <w:rPr>
            <w:noProof/>
            <w:webHidden/>
          </w:rPr>
          <w:fldChar w:fldCharType="separate"/>
        </w:r>
        <w:r w:rsidR="00C57318">
          <w:rPr>
            <w:noProof/>
            <w:webHidden/>
          </w:rPr>
          <w:t>47</w:t>
        </w:r>
        <w:r w:rsidR="00C57318">
          <w:rPr>
            <w:noProof/>
            <w:webHidden/>
          </w:rPr>
          <w:fldChar w:fldCharType="end"/>
        </w:r>
      </w:hyperlink>
    </w:p>
    <w:p w14:paraId="66B799C4" w14:textId="500B52CC" w:rsidR="00C57318" w:rsidRDefault="00000000">
      <w:pPr>
        <w:pStyle w:val="TOC2"/>
        <w:tabs>
          <w:tab w:val="left" w:pos="880"/>
          <w:tab w:val="right" w:leader="dot" w:pos="9350"/>
        </w:tabs>
        <w:rPr>
          <w:rFonts w:asciiTheme="minorHAnsi" w:hAnsiTheme="minorHAnsi"/>
          <w:noProof/>
          <w:lang w:eastAsia="en-US"/>
        </w:rPr>
      </w:pPr>
      <w:hyperlink w:anchor="_Toc461684066" w:history="1">
        <w:r w:rsidR="00C57318" w:rsidRPr="00CE4258">
          <w:rPr>
            <w:rStyle w:val="Hyperlink"/>
            <w:noProof/>
          </w:rPr>
          <w:t>7.5</w:t>
        </w:r>
        <w:r w:rsidR="00C57318">
          <w:rPr>
            <w:rFonts w:asciiTheme="minorHAnsi" w:hAnsiTheme="minorHAnsi"/>
            <w:noProof/>
            <w:lang w:eastAsia="en-US"/>
          </w:rPr>
          <w:tab/>
        </w:r>
        <w:r w:rsidR="00C57318" w:rsidRPr="00CE4258">
          <w:rPr>
            <w:rStyle w:val="Hyperlink"/>
            <w:noProof/>
          </w:rPr>
          <w:t>Risk characterisation</w:t>
        </w:r>
        <w:r w:rsidR="00C57318">
          <w:rPr>
            <w:noProof/>
            <w:webHidden/>
          </w:rPr>
          <w:tab/>
        </w:r>
        <w:r w:rsidR="00C57318">
          <w:rPr>
            <w:noProof/>
            <w:webHidden/>
          </w:rPr>
          <w:fldChar w:fldCharType="begin"/>
        </w:r>
        <w:r w:rsidR="00C57318">
          <w:rPr>
            <w:noProof/>
            <w:webHidden/>
          </w:rPr>
          <w:instrText xml:space="preserve"> PAGEREF _Toc461684066 \h </w:instrText>
        </w:r>
        <w:r w:rsidR="00C57318">
          <w:rPr>
            <w:noProof/>
            <w:webHidden/>
          </w:rPr>
        </w:r>
        <w:r w:rsidR="00C57318">
          <w:rPr>
            <w:noProof/>
            <w:webHidden/>
          </w:rPr>
          <w:fldChar w:fldCharType="separate"/>
        </w:r>
        <w:r w:rsidR="00C57318">
          <w:rPr>
            <w:noProof/>
            <w:webHidden/>
          </w:rPr>
          <w:t>49</w:t>
        </w:r>
        <w:r w:rsidR="00C57318">
          <w:rPr>
            <w:noProof/>
            <w:webHidden/>
          </w:rPr>
          <w:fldChar w:fldCharType="end"/>
        </w:r>
      </w:hyperlink>
    </w:p>
    <w:p w14:paraId="2C92CF05" w14:textId="442C7495" w:rsidR="00C57318" w:rsidRDefault="00000000">
      <w:pPr>
        <w:pStyle w:val="TOC2"/>
        <w:tabs>
          <w:tab w:val="left" w:pos="880"/>
          <w:tab w:val="right" w:leader="dot" w:pos="9350"/>
        </w:tabs>
        <w:rPr>
          <w:rFonts w:asciiTheme="minorHAnsi" w:hAnsiTheme="minorHAnsi"/>
          <w:noProof/>
          <w:lang w:eastAsia="en-US"/>
        </w:rPr>
      </w:pPr>
      <w:hyperlink w:anchor="_Toc461684067" w:history="1">
        <w:r w:rsidR="00C57318" w:rsidRPr="00CE4258">
          <w:rPr>
            <w:rStyle w:val="Hyperlink"/>
            <w:noProof/>
          </w:rPr>
          <w:t>7.6</w:t>
        </w:r>
        <w:r w:rsidR="00C57318">
          <w:rPr>
            <w:rFonts w:asciiTheme="minorHAnsi" w:hAnsiTheme="minorHAnsi"/>
            <w:noProof/>
            <w:lang w:eastAsia="en-US"/>
          </w:rPr>
          <w:tab/>
        </w:r>
        <w:r w:rsidR="00C57318" w:rsidRPr="00CE4258">
          <w:rPr>
            <w:rStyle w:val="Hyperlink"/>
            <w:noProof/>
          </w:rPr>
          <w:t>Biological monitoring</w:t>
        </w:r>
        <w:r w:rsidR="00C57318">
          <w:rPr>
            <w:noProof/>
            <w:webHidden/>
          </w:rPr>
          <w:tab/>
        </w:r>
        <w:r w:rsidR="00C57318">
          <w:rPr>
            <w:noProof/>
            <w:webHidden/>
          </w:rPr>
          <w:fldChar w:fldCharType="begin"/>
        </w:r>
        <w:r w:rsidR="00C57318">
          <w:rPr>
            <w:noProof/>
            <w:webHidden/>
          </w:rPr>
          <w:instrText xml:space="preserve"> PAGEREF _Toc461684067 \h </w:instrText>
        </w:r>
        <w:r w:rsidR="00C57318">
          <w:rPr>
            <w:noProof/>
            <w:webHidden/>
          </w:rPr>
        </w:r>
        <w:r w:rsidR="00C57318">
          <w:rPr>
            <w:noProof/>
            <w:webHidden/>
          </w:rPr>
          <w:fldChar w:fldCharType="separate"/>
        </w:r>
        <w:r w:rsidR="00C57318">
          <w:rPr>
            <w:noProof/>
            <w:webHidden/>
          </w:rPr>
          <w:t>50</w:t>
        </w:r>
        <w:r w:rsidR="00C57318">
          <w:rPr>
            <w:noProof/>
            <w:webHidden/>
          </w:rPr>
          <w:fldChar w:fldCharType="end"/>
        </w:r>
      </w:hyperlink>
    </w:p>
    <w:p w14:paraId="171CABFD" w14:textId="02EBEA31" w:rsidR="00C57318" w:rsidRDefault="00000000">
      <w:pPr>
        <w:pStyle w:val="TOC2"/>
        <w:tabs>
          <w:tab w:val="left" w:pos="880"/>
          <w:tab w:val="right" w:leader="dot" w:pos="9350"/>
        </w:tabs>
        <w:rPr>
          <w:rFonts w:asciiTheme="minorHAnsi" w:hAnsiTheme="minorHAnsi"/>
          <w:noProof/>
          <w:lang w:eastAsia="en-US"/>
        </w:rPr>
      </w:pPr>
      <w:hyperlink w:anchor="_Toc461684068" w:history="1">
        <w:r w:rsidR="00C57318" w:rsidRPr="00CE4258">
          <w:rPr>
            <w:rStyle w:val="Hyperlink"/>
            <w:noProof/>
          </w:rPr>
          <w:t>7.7</w:t>
        </w:r>
        <w:r w:rsidR="00C57318">
          <w:rPr>
            <w:rFonts w:asciiTheme="minorHAnsi" w:hAnsiTheme="minorHAnsi"/>
            <w:noProof/>
            <w:lang w:eastAsia="en-US"/>
          </w:rPr>
          <w:tab/>
        </w:r>
        <w:r w:rsidR="00C57318" w:rsidRPr="00CE4258">
          <w:rPr>
            <w:rStyle w:val="Hyperlink"/>
            <w:noProof/>
          </w:rPr>
          <w:t>Environmental epidemiology</w:t>
        </w:r>
        <w:r w:rsidR="00C57318">
          <w:rPr>
            <w:noProof/>
            <w:webHidden/>
          </w:rPr>
          <w:tab/>
        </w:r>
        <w:r w:rsidR="00C57318">
          <w:rPr>
            <w:noProof/>
            <w:webHidden/>
          </w:rPr>
          <w:fldChar w:fldCharType="begin"/>
        </w:r>
        <w:r w:rsidR="00C57318">
          <w:rPr>
            <w:noProof/>
            <w:webHidden/>
          </w:rPr>
          <w:instrText xml:space="preserve"> PAGEREF _Toc461684068 \h </w:instrText>
        </w:r>
        <w:r w:rsidR="00C57318">
          <w:rPr>
            <w:noProof/>
            <w:webHidden/>
          </w:rPr>
        </w:r>
        <w:r w:rsidR="00C57318">
          <w:rPr>
            <w:noProof/>
            <w:webHidden/>
          </w:rPr>
          <w:fldChar w:fldCharType="separate"/>
        </w:r>
        <w:r w:rsidR="00C57318">
          <w:rPr>
            <w:noProof/>
            <w:webHidden/>
          </w:rPr>
          <w:t>50</w:t>
        </w:r>
        <w:r w:rsidR="00C57318">
          <w:rPr>
            <w:noProof/>
            <w:webHidden/>
          </w:rPr>
          <w:fldChar w:fldCharType="end"/>
        </w:r>
      </w:hyperlink>
    </w:p>
    <w:p w14:paraId="41FED317" w14:textId="53F19ABA" w:rsidR="00C57318" w:rsidRDefault="00000000">
      <w:pPr>
        <w:pStyle w:val="TOC1"/>
        <w:tabs>
          <w:tab w:val="left" w:pos="440"/>
          <w:tab w:val="right" w:leader="dot" w:pos="9350"/>
        </w:tabs>
        <w:rPr>
          <w:rFonts w:asciiTheme="minorHAnsi" w:hAnsiTheme="minorHAnsi"/>
          <w:noProof/>
          <w:lang w:eastAsia="en-US"/>
        </w:rPr>
      </w:pPr>
      <w:hyperlink w:anchor="_Toc461684069" w:history="1">
        <w:r w:rsidR="00C57318" w:rsidRPr="00CE4258">
          <w:rPr>
            <w:rStyle w:val="Hyperlink"/>
            <w:noProof/>
          </w:rPr>
          <w:t>8</w:t>
        </w:r>
        <w:r w:rsidR="00C57318">
          <w:rPr>
            <w:rFonts w:asciiTheme="minorHAnsi" w:hAnsiTheme="minorHAnsi"/>
            <w:noProof/>
            <w:lang w:eastAsia="en-US"/>
          </w:rPr>
          <w:tab/>
        </w:r>
        <w:r w:rsidR="00C57318" w:rsidRPr="00CE4258">
          <w:rPr>
            <w:rStyle w:val="Hyperlink"/>
            <w:noProof/>
          </w:rPr>
          <w:t>Vapour intrusion assessment methods</w:t>
        </w:r>
        <w:r w:rsidR="00C57318">
          <w:rPr>
            <w:noProof/>
            <w:webHidden/>
          </w:rPr>
          <w:tab/>
        </w:r>
        <w:r w:rsidR="00C57318">
          <w:rPr>
            <w:noProof/>
            <w:webHidden/>
          </w:rPr>
          <w:fldChar w:fldCharType="begin"/>
        </w:r>
        <w:r w:rsidR="00C57318">
          <w:rPr>
            <w:noProof/>
            <w:webHidden/>
          </w:rPr>
          <w:instrText xml:space="preserve"> PAGEREF _Toc461684069 \h </w:instrText>
        </w:r>
        <w:r w:rsidR="00C57318">
          <w:rPr>
            <w:noProof/>
            <w:webHidden/>
          </w:rPr>
        </w:r>
        <w:r w:rsidR="00C57318">
          <w:rPr>
            <w:noProof/>
            <w:webHidden/>
          </w:rPr>
          <w:fldChar w:fldCharType="separate"/>
        </w:r>
        <w:r w:rsidR="00C57318">
          <w:rPr>
            <w:noProof/>
            <w:webHidden/>
          </w:rPr>
          <w:t>52</w:t>
        </w:r>
        <w:r w:rsidR="00C57318">
          <w:rPr>
            <w:noProof/>
            <w:webHidden/>
          </w:rPr>
          <w:fldChar w:fldCharType="end"/>
        </w:r>
      </w:hyperlink>
    </w:p>
    <w:p w14:paraId="67F4EC73" w14:textId="7C9C15B7" w:rsidR="00C57318" w:rsidRDefault="00000000">
      <w:pPr>
        <w:pStyle w:val="TOC2"/>
        <w:tabs>
          <w:tab w:val="left" w:pos="880"/>
          <w:tab w:val="right" w:leader="dot" w:pos="9350"/>
        </w:tabs>
        <w:rPr>
          <w:rFonts w:asciiTheme="minorHAnsi" w:hAnsiTheme="minorHAnsi"/>
          <w:noProof/>
          <w:lang w:eastAsia="en-US"/>
        </w:rPr>
      </w:pPr>
      <w:hyperlink w:anchor="_Toc461684070" w:history="1">
        <w:r w:rsidR="00C57318" w:rsidRPr="00CE4258">
          <w:rPr>
            <w:rStyle w:val="Hyperlink"/>
            <w:noProof/>
          </w:rPr>
          <w:t>8.1</w:t>
        </w:r>
        <w:r w:rsidR="00C57318">
          <w:rPr>
            <w:rFonts w:asciiTheme="minorHAnsi" w:hAnsiTheme="minorHAnsi"/>
            <w:noProof/>
            <w:lang w:eastAsia="en-US"/>
          </w:rPr>
          <w:tab/>
        </w:r>
        <w:r w:rsidR="00C57318" w:rsidRPr="00CE4258">
          <w:rPr>
            <w:rStyle w:val="Hyperlink"/>
            <w:noProof/>
          </w:rPr>
          <w:t>The differences between landfill gas and non-landfill assessments</w:t>
        </w:r>
        <w:r w:rsidR="00C57318">
          <w:rPr>
            <w:noProof/>
            <w:webHidden/>
          </w:rPr>
          <w:tab/>
        </w:r>
        <w:r w:rsidR="00C57318">
          <w:rPr>
            <w:noProof/>
            <w:webHidden/>
          </w:rPr>
          <w:fldChar w:fldCharType="begin"/>
        </w:r>
        <w:r w:rsidR="00C57318">
          <w:rPr>
            <w:noProof/>
            <w:webHidden/>
          </w:rPr>
          <w:instrText xml:space="preserve"> PAGEREF _Toc461684070 \h </w:instrText>
        </w:r>
        <w:r w:rsidR="00C57318">
          <w:rPr>
            <w:noProof/>
            <w:webHidden/>
          </w:rPr>
        </w:r>
        <w:r w:rsidR="00C57318">
          <w:rPr>
            <w:noProof/>
            <w:webHidden/>
          </w:rPr>
          <w:fldChar w:fldCharType="separate"/>
        </w:r>
        <w:r w:rsidR="00C57318">
          <w:rPr>
            <w:noProof/>
            <w:webHidden/>
          </w:rPr>
          <w:t>52</w:t>
        </w:r>
        <w:r w:rsidR="00C57318">
          <w:rPr>
            <w:noProof/>
            <w:webHidden/>
          </w:rPr>
          <w:fldChar w:fldCharType="end"/>
        </w:r>
      </w:hyperlink>
    </w:p>
    <w:p w14:paraId="3A1FE27A" w14:textId="1F67A9FF" w:rsidR="00C57318" w:rsidRDefault="00000000">
      <w:pPr>
        <w:pStyle w:val="TOC2"/>
        <w:tabs>
          <w:tab w:val="left" w:pos="880"/>
          <w:tab w:val="right" w:leader="dot" w:pos="9350"/>
        </w:tabs>
        <w:rPr>
          <w:rFonts w:asciiTheme="minorHAnsi" w:hAnsiTheme="minorHAnsi"/>
          <w:noProof/>
          <w:lang w:eastAsia="en-US"/>
        </w:rPr>
      </w:pPr>
      <w:hyperlink w:anchor="_Toc461684071" w:history="1">
        <w:r w:rsidR="00C57318" w:rsidRPr="00CE4258">
          <w:rPr>
            <w:rStyle w:val="Hyperlink"/>
            <w:noProof/>
          </w:rPr>
          <w:t>8.2</w:t>
        </w:r>
        <w:r w:rsidR="00C57318">
          <w:rPr>
            <w:rFonts w:asciiTheme="minorHAnsi" w:hAnsiTheme="minorHAnsi"/>
            <w:noProof/>
            <w:lang w:eastAsia="en-US"/>
          </w:rPr>
          <w:tab/>
        </w:r>
        <w:r w:rsidR="00C57318" w:rsidRPr="00CE4258">
          <w:rPr>
            <w:rStyle w:val="Hyperlink"/>
            <w:noProof/>
          </w:rPr>
          <w:t>Vapour intrusion/Hazardous gases Risk Assessment frameworks</w:t>
        </w:r>
        <w:r w:rsidR="00C57318">
          <w:rPr>
            <w:noProof/>
            <w:webHidden/>
          </w:rPr>
          <w:tab/>
        </w:r>
        <w:r w:rsidR="00C57318">
          <w:rPr>
            <w:noProof/>
            <w:webHidden/>
          </w:rPr>
          <w:fldChar w:fldCharType="begin"/>
        </w:r>
        <w:r w:rsidR="00C57318">
          <w:rPr>
            <w:noProof/>
            <w:webHidden/>
          </w:rPr>
          <w:instrText xml:space="preserve"> PAGEREF _Toc461684071 \h </w:instrText>
        </w:r>
        <w:r w:rsidR="00C57318">
          <w:rPr>
            <w:noProof/>
            <w:webHidden/>
          </w:rPr>
        </w:r>
        <w:r w:rsidR="00C57318">
          <w:rPr>
            <w:noProof/>
            <w:webHidden/>
          </w:rPr>
          <w:fldChar w:fldCharType="separate"/>
        </w:r>
        <w:r w:rsidR="00C57318">
          <w:rPr>
            <w:noProof/>
            <w:webHidden/>
          </w:rPr>
          <w:t>53</w:t>
        </w:r>
        <w:r w:rsidR="00C57318">
          <w:rPr>
            <w:noProof/>
            <w:webHidden/>
          </w:rPr>
          <w:fldChar w:fldCharType="end"/>
        </w:r>
      </w:hyperlink>
    </w:p>
    <w:p w14:paraId="74402EF8" w14:textId="4FDB23ED" w:rsidR="00C57318" w:rsidRDefault="00000000">
      <w:pPr>
        <w:pStyle w:val="TOC2"/>
        <w:tabs>
          <w:tab w:val="left" w:pos="880"/>
          <w:tab w:val="right" w:leader="dot" w:pos="9350"/>
        </w:tabs>
        <w:rPr>
          <w:rFonts w:asciiTheme="minorHAnsi" w:hAnsiTheme="minorHAnsi"/>
          <w:noProof/>
          <w:lang w:eastAsia="en-US"/>
        </w:rPr>
      </w:pPr>
      <w:hyperlink w:anchor="_Toc461684072" w:history="1">
        <w:r w:rsidR="00C57318" w:rsidRPr="00CE4258">
          <w:rPr>
            <w:rStyle w:val="Hyperlink"/>
            <w:noProof/>
          </w:rPr>
          <w:t>8.3</w:t>
        </w:r>
        <w:r w:rsidR="00C57318">
          <w:rPr>
            <w:rFonts w:asciiTheme="minorHAnsi" w:hAnsiTheme="minorHAnsi"/>
            <w:noProof/>
            <w:lang w:eastAsia="en-US"/>
          </w:rPr>
          <w:tab/>
        </w:r>
        <w:r w:rsidR="00C57318" w:rsidRPr="00CE4258">
          <w:rPr>
            <w:rStyle w:val="Hyperlink"/>
            <w:noProof/>
          </w:rPr>
          <w:t>Predictive vapour intrusion modelling</w:t>
        </w:r>
        <w:r w:rsidR="00C57318">
          <w:rPr>
            <w:noProof/>
            <w:webHidden/>
          </w:rPr>
          <w:tab/>
        </w:r>
        <w:r w:rsidR="00C57318">
          <w:rPr>
            <w:noProof/>
            <w:webHidden/>
          </w:rPr>
          <w:fldChar w:fldCharType="begin"/>
        </w:r>
        <w:r w:rsidR="00C57318">
          <w:rPr>
            <w:noProof/>
            <w:webHidden/>
          </w:rPr>
          <w:instrText xml:space="preserve"> PAGEREF _Toc461684072 \h </w:instrText>
        </w:r>
        <w:r w:rsidR="00C57318">
          <w:rPr>
            <w:noProof/>
            <w:webHidden/>
          </w:rPr>
        </w:r>
        <w:r w:rsidR="00C57318">
          <w:rPr>
            <w:noProof/>
            <w:webHidden/>
          </w:rPr>
          <w:fldChar w:fldCharType="separate"/>
        </w:r>
        <w:r w:rsidR="00C57318">
          <w:rPr>
            <w:noProof/>
            <w:webHidden/>
          </w:rPr>
          <w:t>58</w:t>
        </w:r>
        <w:r w:rsidR="00C57318">
          <w:rPr>
            <w:noProof/>
            <w:webHidden/>
          </w:rPr>
          <w:fldChar w:fldCharType="end"/>
        </w:r>
      </w:hyperlink>
    </w:p>
    <w:p w14:paraId="5D56D954" w14:textId="4C18F7F2" w:rsidR="00C57318" w:rsidRDefault="00000000">
      <w:pPr>
        <w:pStyle w:val="TOC3"/>
        <w:tabs>
          <w:tab w:val="left" w:pos="1320"/>
          <w:tab w:val="right" w:leader="dot" w:pos="9350"/>
        </w:tabs>
        <w:rPr>
          <w:rFonts w:asciiTheme="minorHAnsi" w:hAnsiTheme="minorHAnsi"/>
          <w:noProof/>
          <w:lang w:eastAsia="en-US"/>
        </w:rPr>
      </w:pPr>
      <w:hyperlink w:anchor="_Toc461684073" w:history="1">
        <w:r w:rsidR="00C57318" w:rsidRPr="00CE4258">
          <w:rPr>
            <w:rStyle w:val="Hyperlink"/>
            <w:noProof/>
          </w:rPr>
          <w:t>8.3.1</w:t>
        </w:r>
        <w:r w:rsidR="00C57318">
          <w:rPr>
            <w:rFonts w:asciiTheme="minorHAnsi" w:hAnsiTheme="minorHAnsi"/>
            <w:noProof/>
            <w:lang w:eastAsia="en-US"/>
          </w:rPr>
          <w:tab/>
        </w:r>
        <w:r w:rsidR="00C57318" w:rsidRPr="00CE4258">
          <w:rPr>
            <w:rStyle w:val="Hyperlink"/>
            <w:noProof/>
          </w:rPr>
          <w:t>The role of vapour intrusion modelling</w:t>
        </w:r>
        <w:r w:rsidR="00C57318">
          <w:rPr>
            <w:noProof/>
            <w:webHidden/>
          </w:rPr>
          <w:tab/>
        </w:r>
        <w:r w:rsidR="00C57318">
          <w:rPr>
            <w:noProof/>
            <w:webHidden/>
          </w:rPr>
          <w:fldChar w:fldCharType="begin"/>
        </w:r>
        <w:r w:rsidR="00C57318">
          <w:rPr>
            <w:noProof/>
            <w:webHidden/>
          </w:rPr>
          <w:instrText xml:space="preserve"> PAGEREF _Toc461684073 \h </w:instrText>
        </w:r>
        <w:r w:rsidR="00C57318">
          <w:rPr>
            <w:noProof/>
            <w:webHidden/>
          </w:rPr>
        </w:r>
        <w:r w:rsidR="00C57318">
          <w:rPr>
            <w:noProof/>
            <w:webHidden/>
          </w:rPr>
          <w:fldChar w:fldCharType="separate"/>
        </w:r>
        <w:r w:rsidR="00C57318">
          <w:rPr>
            <w:noProof/>
            <w:webHidden/>
          </w:rPr>
          <w:t>58</w:t>
        </w:r>
        <w:r w:rsidR="00C57318">
          <w:rPr>
            <w:noProof/>
            <w:webHidden/>
          </w:rPr>
          <w:fldChar w:fldCharType="end"/>
        </w:r>
      </w:hyperlink>
    </w:p>
    <w:p w14:paraId="67DC4175" w14:textId="7B0E5469" w:rsidR="00C57318" w:rsidRDefault="00000000">
      <w:pPr>
        <w:pStyle w:val="TOC3"/>
        <w:tabs>
          <w:tab w:val="left" w:pos="1320"/>
          <w:tab w:val="right" w:leader="dot" w:pos="9350"/>
        </w:tabs>
        <w:rPr>
          <w:rFonts w:asciiTheme="minorHAnsi" w:hAnsiTheme="minorHAnsi"/>
          <w:noProof/>
          <w:lang w:eastAsia="en-US"/>
        </w:rPr>
      </w:pPr>
      <w:hyperlink w:anchor="_Toc461684074" w:history="1">
        <w:r w:rsidR="00C57318" w:rsidRPr="00CE4258">
          <w:rPr>
            <w:rStyle w:val="Hyperlink"/>
            <w:noProof/>
          </w:rPr>
          <w:t>8.3.2</w:t>
        </w:r>
        <w:r w:rsidR="00C57318">
          <w:rPr>
            <w:rFonts w:asciiTheme="minorHAnsi" w:hAnsiTheme="minorHAnsi"/>
            <w:noProof/>
            <w:lang w:eastAsia="en-US"/>
          </w:rPr>
          <w:tab/>
        </w:r>
        <w:r w:rsidR="00C57318" w:rsidRPr="00CE4258">
          <w:rPr>
            <w:rStyle w:val="Hyperlink"/>
            <w:noProof/>
          </w:rPr>
          <w:t>Vapour intrusion models</w:t>
        </w:r>
        <w:r w:rsidR="00C57318">
          <w:rPr>
            <w:noProof/>
            <w:webHidden/>
          </w:rPr>
          <w:tab/>
        </w:r>
        <w:r w:rsidR="00C57318">
          <w:rPr>
            <w:noProof/>
            <w:webHidden/>
          </w:rPr>
          <w:fldChar w:fldCharType="begin"/>
        </w:r>
        <w:r w:rsidR="00C57318">
          <w:rPr>
            <w:noProof/>
            <w:webHidden/>
          </w:rPr>
          <w:instrText xml:space="preserve"> PAGEREF _Toc461684074 \h </w:instrText>
        </w:r>
        <w:r w:rsidR="00C57318">
          <w:rPr>
            <w:noProof/>
            <w:webHidden/>
          </w:rPr>
        </w:r>
        <w:r w:rsidR="00C57318">
          <w:rPr>
            <w:noProof/>
            <w:webHidden/>
          </w:rPr>
          <w:fldChar w:fldCharType="separate"/>
        </w:r>
        <w:r w:rsidR="00C57318">
          <w:rPr>
            <w:noProof/>
            <w:webHidden/>
          </w:rPr>
          <w:t>58</w:t>
        </w:r>
        <w:r w:rsidR="00C57318">
          <w:rPr>
            <w:noProof/>
            <w:webHidden/>
          </w:rPr>
          <w:fldChar w:fldCharType="end"/>
        </w:r>
      </w:hyperlink>
    </w:p>
    <w:p w14:paraId="07C80C76" w14:textId="0A7F0B73" w:rsidR="00C57318" w:rsidRDefault="00000000">
      <w:pPr>
        <w:pStyle w:val="TOC3"/>
        <w:tabs>
          <w:tab w:val="left" w:pos="1320"/>
          <w:tab w:val="right" w:leader="dot" w:pos="9350"/>
        </w:tabs>
        <w:rPr>
          <w:rFonts w:asciiTheme="minorHAnsi" w:hAnsiTheme="minorHAnsi"/>
          <w:noProof/>
          <w:lang w:eastAsia="en-US"/>
        </w:rPr>
      </w:pPr>
      <w:hyperlink w:anchor="_Toc461684075" w:history="1">
        <w:r w:rsidR="00C57318" w:rsidRPr="00CE4258">
          <w:rPr>
            <w:rStyle w:val="Hyperlink"/>
            <w:noProof/>
          </w:rPr>
          <w:t>8.3.3</w:t>
        </w:r>
        <w:r w:rsidR="00C57318">
          <w:rPr>
            <w:rFonts w:asciiTheme="minorHAnsi" w:hAnsiTheme="minorHAnsi"/>
            <w:noProof/>
            <w:lang w:eastAsia="en-US"/>
          </w:rPr>
          <w:tab/>
        </w:r>
        <w:r w:rsidR="00C57318" w:rsidRPr="00CE4258">
          <w:rPr>
            <w:rStyle w:val="Hyperlink"/>
            <w:noProof/>
          </w:rPr>
          <w:t>Understanding models – verification and validation</w:t>
        </w:r>
        <w:r w:rsidR="00C57318">
          <w:rPr>
            <w:noProof/>
            <w:webHidden/>
          </w:rPr>
          <w:tab/>
        </w:r>
        <w:r w:rsidR="00C57318">
          <w:rPr>
            <w:noProof/>
            <w:webHidden/>
          </w:rPr>
          <w:fldChar w:fldCharType="begin"/>
        </w:r>
        <w:r w:rsidR="00C57318">
          <w:rPr>
            <w:noProof/>
            <w:webHidden/>
          </w:rPr>
          <w:instrText xml:space="preserve"> PAGEREF _Toc461684075 \h </w:instrText>
        </w:r>
        <w:r w:rsidR="00C57318">
          <w:rPr>
            <w:noProof/>
            <w:webHidden/>
          </w:rPr>
        </w:r>
        <w:r w:rsidR="00C57318">
          <w:rPr>
            <w:noProof/>
            <w:webHidden/>
          </w:rPr>
          <w:fldChar w:fldCharType="separate"/>
        </w:r>
        <w:r w:rsidR="00C57318">
          <w:rPr>
            <w:noProof/>
            <w:webHidden/>
          </w:rPr>
          <w:t>60</w:t>
        </w:r>
        <w:r w:rsidR="00C57318">
          <w:rPr>
            <w:noProof/>
            <w:webHidden/>
          </w:rPr>
          <w:fldChar w:fldCharType="end"/>
        </w:r>
      </w:hyperlink>
    </w:p>
    <w:p w14:paraId="2092AE03" w14:textId="47571A28" w:rsidR="00C57318" w:rsidRDefault="00000000">
      <w:pPr>
        <w:pStyle w:val="TOC3"/>
        <w:tabs>
          <w:tab w:val="left" w:pos="1320"/>
          <w:tab w:val="right" w:leader="dot" w:pos="9350"/>
        </w:tabs>
        <w:rPr>
          <w:rFonts w:asciiTheme="minorHAnsi" w:hAnsiTheme="minorHAnsi"/>
          <w:noProof/>
          <w:lang w:eastAsia="en-US"/>
        </w:rPr>
      </w:pPr>
      <w:hyperlink w:anchor="_Toc461684076" w:history="1">
        <w:r w:rsidR="00C57318" w:rsidRPr="00CE4258">
          <w:rPr>
            <w:rStyle w:val="Hyperlink"/>
            <w:noProof/>
          </w:rPr>
          <w:t>8.3.4</w:t>
        </w:r>
        <w:r w:rsidR="00C57318">
          <w:rPr>
            <w:rFonts w:asciiTheme="minorHAnsi" w:hAnsiTheme="minorHAnsi"/>
            <w:noProof/>
            <w:lang w:eastAsia="en-US"/>
          </w:rPr>
          <w:tab/>
        </w:r>
        <w:r w:rsidR="00C57318" w:rsidRPr="00CE4258">
          <w:rPr>
            <w:rStyle w:val="Hyperlink"/>
            <w:noProof/>
          </w:rPr>
          <w:t>Using media inputs and predicting indoor air concentrations</w:t>
        </w:r>
        <w:r w:rsidR="00C57318">
          <w:rPr>
            <w:noProof/>
            <w:webHidden/>
          </w:rPr>
          <w:tab/>
        </w:r>
        <w:r w:rsidR="00C57318">
          <w:rPr>
            <w:noProof/>
            <w:webHidden/>
          </w:rPr>
          <w:fldChar w:fldCharType="begin"/>
        </w:r>
        <w:r w:rsidR="00C57318">
          <w:rPr>
            <w:noProof/>
            <w:webHidden/>
          </w:rPr>
          <w:instrText xml:space="preserve"> PAGEREF _Toc461684076 \h </w:instrText>
        </w:r>
        <w:r w:rsidR="00C57318">
          <w:rPr>
            <w:noProof/>
            <w:webHidden/>
          </w:rPr>
        </w:r>
        <w:r w:rsidR="00C57318">
          <w:rPr>
            <w:noProof/>
            <w:webHidden/>
          </w:rPr>
          <w:fldChar w:fldCharType="separate"/>
        </w:r>
        <w:r w:rsidR="00C57318">
          <w:rPr>
            <w:noProof/>
            <w:webHidden/>
          </w:rPr>
          <w:t>61</w:t>
        </w:r>
        <w:r w:rsidR="00C57318">
          <w:rPr>
            <w:noProof/>
            <w:webHidden/>
          </w:rPr>
          <w:fldChar w:fldCharType="end"/>
        </w:r>
      </w:hyperlink>
    </w:p>
    <w:p w14:paraId="362A63D6" w14:textId="7F907D18" w:rsidR="00C57318" w:rsidRDefault="00000000">
      <w:pPr>
        <w:pStyle w:val="TOC3"/>
        <w:tabs>
          <w:tab w:val="left" w:pos="1320"/>
          <w:tab w:val="right" w:leader="dot" w:pos="9350"/>
        </w:tabs>
        <w:rPr>
          <w:rFonts w:asciiTheme="minorHAnsi" w:hAnsiTheme="minorHAnsi"/>
          <w:noProof/>
          <w:lang w:eastAsia="en-US"/>
        </w:rPr>
      </w:pPr>
      <w:hyperlink w:anchor="_Toc461684077" w:history="1">
        <w:r w:rsidR="00C57318" w:rsidRPr="00CE4258">
          <w:rPr>
            <w:rStyle w:val="Hyperlink"/>
            <w:noProof/>
          </w:rPr>
          <w:t>8.3.5</w:t>
        </w:r>
        <w:r w:rsidR="00C57318">
          <w:rPr>
            <w:rFonts w:asciiTheme="minorHAnsi" w:hAnsiTheme="minorHAnsi"/>
            <w:noProof/>
            <w:lang w:eastAsia="en-US"/>
          </w:rPr>
          <w:tab/>
        </w:r>
        <w:r w:rsidR="00C57318" w:rsidRPr="00CE4258">
          <w:rPr>
            <w:rStyle w:val="Hyperlink"/>
            <w:noProof/>
          </w:rPr>
          <w:t>Uncertainty, variability and sensitivity in vapour intrusion modelling</w:t>
        </w:r>
        <w:r w:rsidR="00C57318">
          <w:rPr>
            <w:noProof/>
            <w:webHidden/>
          </w:rPr>
          <w:tab/>
        </w:r>
        <w:r w:rsidR="00C57318">
          <w:rPr>
            <w:noProof/>
            <w:webHidden/>
          </w:rPr>
          <w:fldChar w:fldCharType="begin"/>
        </w:r>
        <w:r w:rsidR="00C57318">
          <w:rPr>
            <w:noProof/>
            <w:webHidden/>
          </w:rPr>
          <w:instrText xml:space="preserve"> PAGEREF _Toc461684077 \h </w:instrText>
        </w:r>
        <w:r w:rsidR="00C57318">
          <w:rPr>
            <w:noProof/>
            <w:webHidden/>
          </w:rPr>
        </w:r>
        <w:r w:rsidR="00C57318">
          <w:rPr>
            <w:noProof/>
            <w:webHidden/>
          </w:rPr>
          <w:fldChar w:fldCharType="separate"/>
        </w:r>
        <w:r w:rsidR="00C57318">
          <w:rPr>
            <w:noProof/>
            <w:webHidden/>
          </w:rPr>
          <w:t>62</w:t>
        </w:r>
        <w:r w:rsidR="00C57318">
          <w:rPr>
            <w:noProof/>
            <w:webHidden/>
          </w:rPr>
          <w:fldChar w:fldCharType="end"/>
        </w:r>
      </w:hyperlink>
    </w:p>
    <w:p w14:paraId="1344CBCE" w14:textId="6585F339" w:rsidR="00C57318" w:rsidRDefault="00000000">
      <w:pPr>
        <w:pStyle w:val="TOC3"/>
        <w:tabs>
          <w:tab w:val="left" w:pos="1320"/>
          <w:tab w:val="right" w:leader="dot" w:pos="9350"/>
        </w:tabs>
        <w:rPr>
          <w:rFonts w:asciiTheme="minorHAnsi" w:hAnsiTheme="minorHAnsi"/>
          <w:noProof/>
          <w:lang w:eastAsia="en-US"/>
        </w:rPr>
      </w:pPr>
      <w:hyperlink w:anchor="_Toc461684078" w:history="1">
        <w:r w:rsidR="00C57318" w:rsidRPr="00CE4258">
          <w:rPr>
            <w:rStyle w:val="Hyperlink"/>
            <w:noProof/>
          </w:rPr>
          <w:t>8.3.6</w:t>
        </w:r>
        <w:r w:rsidR="00C57318">
          <w:rPr>
            <w:rFonts w:asciiTheme="minorHAnsi" w:hAnsiTheme="minorHAnsi"/>
            <w:noProof/>
            <w:lang w:eastAsia="en-US"/>
          </w:rPr>
          <w:tab/>
        </w:r>
        <w:r w:rsidR="00C57318" w:rsidRPr="00CE4258">
          <w:rPr>
            <w:rStyle w:val="Hyperlink"/>
            <w:noProof/>
          </w:rPr>
          <w:t>Limitations of available vapour intrusion models</w:t>
        </w:r>
        <w:r w:rsidR="00C57318">
          <w:rPr>
            <w:noProof/>
            <w:webHidden/>
          </w:rPr>
          <w:tab/>
        </w:r>
        <w:r w:rsidR="00C57318">
          <w:rPr>
            <w:noProof/>
            <w:webHidden/>
          </w:rPr>
          <w:fldChar w:fldCharType="begin"/>
        </w:r>
        <w:r w:rsidR="00C57318">
          <w:rPr>
            <w:noProof/>
            <w:webHidden/>
          </w:rPr>
          <w:instrText xml:space="preserve"> PAGEREF _Toc461684078 \h </w:instrText>
        </w:r>
        <w:r w:rsidR="00C57318">
          <w:rPr>
            <w:noProof/>
            <w:webHidden/>
          </w:rPr>
        </w:r>
        <w:r w:rsidR="00C57318">
          <w:rPr>
            <w:noProof/>
            <w:webHidden/>
          </w:rPr>
          <w:fldChar w:fldCharType="separate"/>
        </w:r>
        <w:r w:rsidR="00C57318">
          <w:rPr>
            <w:noProof/>
            <w:webHidden/>
          </w:rPr>
          <w:t>63</w:t>
        </w:r>
        <w:r w:rsidR="00C57318">
          <w:rPr>
            <w:noProof/>
            <w:webHidden/>
          </w:rPr>
          <w:fldChar w:fldCharType="end"/>
        </w:r>
      </w:hyperlink>
    </w:p>
    <w:p w14:paraId="514B671D" w14:textId="55A67B65" w:rsidR="00C57318" w:rsidRDefault="00000000">
      <w:pPr>
        <w:pStyle w:val="TOC3"/>
        <w:tabs>
          <w:tab w:val="left" w:pos="1320"/>
          <w:tab w:val="right" w:leader="dot" w:pos="9350"/>
        </w:tabs>
        <w:rPr>
          <w:rFonts w:asciiTheme="minorHAnsi" w:hAnsiTheme="minorHAnsi"/>
          <w:noProof/>
          <w:lang w:eastAsia="en-US"/>
        </w:rPr>
      </w:pPr>
      <w:hyperlink w:anchor="_Toc461684079" w:history="1">
        <w:r w:rsidR="00C57318" w:rsidRPr="00CE4258">
          <w:rPr>
            <w:rStyle w:val="Hyperlink"/>
            <w:noProof/>
          </w:rPr>
          <w:t>8.3.7</w:t>
        </w:r>
        <w:r w:rsidR="00C57318">
          <w:rPr>
            <w:rFonts w:asciiTheme="minorHAnsi" w:hAnsiTheme="minorHAnsi"/>
            <w:noProof/>
            <w:lang w:eastAsia="en-US"/>
          </w:rPr>
          <w:tab/>
        </w:r>
        <w:r w:rsidR="00C57318" w:rsidRPr="00CE4258">
          <w:rPr>
            <w:rStyle w:val="Hyperlink"/>
            <w:noProof/>
          </w:rPr>
          <w:t>Vapour intrusion input parameters</w:t>
        </w:r>
        <w:r w:rsidR="00C57318">
          <w:rPr>
            <w:noProof/>
            <w:webHidden/>
          </w:rPr>
          <w:tab/>
        </w:r>
        <w:r w:rsidR="00C57318">
          <w:rPr>
            <w:noProof/>
            <w:webHidden/>
          </w:rPr>
          <w:fldChar w:fldCharType="begin"/>
        </w:r>
        <w:r w:rsidR="00C57318">
          <w:rPr>
            <w:noProof/>
            <w:webHidden/>
          </w:rPr>
          <w:instrText xml:space="preserve"> PAGEREF _Toc461684079 \h </w:instrText>
        </w:r>
        <w:r w:rsidR="00C57318">
          <w:rPr>
            <w:noProof/>
            <w:webHidden/>
          </w:rPr>
        </w:r>
        <w:r w:rsidR="00C57318">
          <w:rPr>
            <w:noProof/>
            <w:webHidden/>
          </w:rPr>
          <w:fldChar w:fldCharType="separate"/>
        </w:r>
        <w:r w:rsidR="00C57318">
          <w:rPr>
            <w:noProof/>
            <w:webHidden/>
          </w:rPr>
          <w:t>64</w:t>
        </w:r>
        <w:r w:rsidR="00C57318">
          <w:rPr>
            <w:noProof/>
            <w:webHidden/>
          </w:rPr>
          <w:fldChar w:fldCharType="end"/>
        </w:r>
      </w:hyperlink>
    </w:p>
    <w:p w14:paraId="54BFB619" w14:textId="21F3F580" w:rsidR="00C57318" w:rsidRDefault="00000000">
      <w:pPr>
        <w:pStyle w:val="TOC2"/>
        <w:tabs>
          <w:tab w:val="left" w:pos="880"/>
          <w:tab w:val="right" w:leader="dot" w:pos="9350"/>
        </w:tabs>
        <w:rPr>
          <w:rFonts w:asciiTheme="minorHAnsi" w:hAnsiTheme="minorHAnsi"/>
          <w:noProof/>
          <w:lang w:eastAsia="en-US"/>
        </w:rPr>
      </w:pPr>
      <w:hyperlink w:anchor="_Toc461684080" w:history="1">
        <w:r w:rsidR="00C57318" w:rsidRPr="00CE4258">
          <w:rPr>
            <w:rStyle w:val="Hyperlink"/>
            <w:noProof/>
          </w:rPr>
          <w:t>8.4</w:t>
        </w:r>
        <w:r w:rsidR="00C57318">
          <w:rPr>
            <w:rFonts w:asciiTheme="minorHAnsi" w:hAnsiTheme="minorHAnsi"/>
            <w:noProof/>
            <w:lang w:eastAsia="en-US"/>
          </w:rPr>
          <w:tab/>
        </w:r>
        <w:r w:rsidR="00C57318" w:rsidRPr="00CE4258">
          <w:rPr>
            <w:rStyle w:val="Hyperlink"/>
            <w:noProof/>
          </w:rPr>
          <w:t>Measurement and assessment methods</w:t>
        </w:r>
        <w:r w:rsidR="00C57318">
          <w:rPr>
            <w:noProof/>
            <w:webHidden/>
          </w:rPr>
          <w:tab/>
        </w:r>
        <w:r w:rsidR="00C57318">
          <w:rPr>
            <w:noProof/>
            <w:webHidden/>
          </w:rPr>
          <w:fldChar w:fldCharType="begin"/>
        </w:r>
        <w:r w:rsidR="00C57318">
          <w:rPr>
            <w:noProof/>
            <w:webHidden/>
          </w:rPr>
          <w:instrText xml:space="preserve"> PAGEREF _Toc461684080 \h </w:instrText>
        </w:r>
        <w:r w:rsidR="00C57318">
          <w:rPr>
            <w:noProof/>
            <w:webHidden/>
          </w:rPr>
        </w:r>
        <w:r w:rsidR="00C57318">
          <w:rPr>
            <w:noProof/>
            <w:webHidden/>
          </w:rPr>
          <w:fldChar w:fldCharType="separate"/>
        </w:r>
        <w:r w:rsidR="00C57318">
          <w:rPr>
            <w:noProof/>
            <w:webHidden/>
          </w:rPr>
          <w:t>68</w:t>
        </w:r>
        <w:r w:rsidR="00C57318">
          <w:rPr>
            <w:noProof/>
            <w:webHidden/>
          </w:rPr>
          <w:fldChar w:fldCharType="end"/>
        </w:r>
      </w:hyperlink>
    </w:p>
    <w:p w14:paraId="59B9D2DE" w14:textId="6C746561" w:rsidR="00C57318" w:rsidRDefault="00000000">
      <w:pPr>
        <w:pStyle w:val="TOC3"/>
        <w:tabs>
          <w:tab w:val="left" w:pos="1320"/>
          <w:tab w:val="right" w:leader="dot" w:pos="9350"/>
        </w:tabs>
        <w:rPr>
          <w:rFonts w:asciiTheme="minorHAnsi" w:hAnsiTheme="minorHAnsi"/>
          <w:noProof/>
          <w:lang w:eastAsia="en-US"/>
        </w:rPr>
      </w:pPr>
      <w:hyperlink w:anchor="_Toc461684081" w:history="1">
        <w:r w:rsidR="00C57318" w:rsidRPr="00CE4258">
          <w:rPr>
            <w:rStyle w:val="Hyperlink"/>
            <w:noProof/>
          </w:rPr>
          <w:t>8.4.1</w:t>
        </w:r>
        <w:r w:rsidR="00C57318">
          <w:rPr>
            <w:rFonts w:asciiTheme="minorHAnsi" w:hAnsiTheme="minorHAnsi"/>
            <w:noProof/>
            <w:lang w:eastAsia="en-US"/>
          </w:rPr>
          <w:tab/>
        </w:r>
        <w:r w:rsidR="00C57318" w:rsidRPr="00CE4258">
          <w:rPr>
            <w:rStyle w:val="Hyperlink"/>
            <w:noProof/>
          </w:rPr>
          <w:t>Significance of empirical data</w:t>
        </w:r>
        <w:r w:rsidR="00C57318">
          <w:rPr>
            <w:noProof/>
            <w:webHidden/>
          </w:rPr>
          <w:tab/>
        </w:r>
        <w:r w:rsidR="00C57318">
          <w:rPr>
            <w:noProof/>
            <w:webHidden/>
          </w:rPr>
          <w:fldChar w:fldCharType="begin"/>
        </w:r>
        <w:r w:rsidR="00C57318">
          <w:rPr>
            <w:noProof/>
            <w:webHidden/>
          </w:rPr>
          <w:instrText xml:space="preserve"> PAGEREF _Toc461684081 \h </w:instrText>
        </w:r>
        <w:r w:rsidR="00C57318">
          <w:rPr>
            <w:noProof/>
            <w:webHidden/>
          </w:rPr>
        </w:r>
        <w:r w:rsidR="00C57318">
          <w:rPr>
            <w:noProof/>
            <w:webHidden/>
          </w:rPr>
          <w:fldChar w:fldCharType="separate"/>
        </w:r>
        <w:r w:rsidR="00C57318">
          <w:rPr>
            <w:noProof/>
            <w:webHidden/>
          </w:rPr>
          <w:t>68</w:t>
        </w:r>
        <w:r w:rsidR="00C57318">
          <w:rPr>
            <w:noProof/>
            <w:webHidden/>
          </w:rPr>
          <w:fldChar w:fldCharType="end"/>
        </w:r>
      </w:hyperlink>
    </w:p>
    <w:p w14:paraId="48DB7D2B" w14:textId="524911C1" w:rsidR="00C57318" w:rsidRDefault="00000000">
      <w:pPr>
        <w:pStyle w:val="TOC3"/>
        <w:tabs>
          <w:tab w:val="left" w:pos="1320"/>
          <w:tab w:val="right" w:leader="dot" w:pos="9350"/>
        </w:tabs>
        <w:rPr>
          <w:rFonts w:asciiTheme="minorHAnsi" w:hAnsiTheme="minorHAnsi"/>
          <w:noProof/>
          <w:lang w:eastAsia="en-US"/>
        </w:rPr>
      </w:pPr>
      <w:hyperlink w:anchor="_Toc461684082" w:history="1">
        <w:r w:rsidR="00C57318" w:rsidRPr="00CE4258">
          <w:rPr>
            <w:rStyle w:val="Hyperlink"/>
            <w:noProof/>
          </w:rPr>
          <w:t>8.4.2</w:t>
        </w:r>
        <w:r w:rsidR="00C57318">
          <w:rPr>
            <w:rFonts w:asciiTheme="minorHAnsi" w:hAnsiTheme="minorHAnsi"/>
            <w:noProof/>
            <w:lang w:eastAsia="en-US"/>
          </w:rPr>
          <w:tab/>
        </w:r>
        <w:r w:rsidR="00C57318" w:rsidRPr="00CE4258">
          <w:rPr>
            <w:rStyle w:val="Hyperlink"/>
            <w:noProof/>
          </w:rPr>
          <w:t>Sampling design</w:t>
        </w:r>
        <w:r w:rsidR="00C57318">
          <w:rPr>
            <w:noProof/>
            <w:webHidden/>
          </w:rPr>
          <w:tab/>
        </w:r>
        <w:r w:rsidR="00C57318">
          <w:rPr>
            <w:noProof/>
            <w:webHidden/>
          </w:rPr>
          <w:fldChar w:fldCharType="begin"/>
        </w:r>
        <w:r w:rsidR="00C57318">
          <w:rPr>
            <w:noProof/>
            <w:webHidden/>
          </w:rPr>
          <w:instrText xml:space="preserve"> PAGEREF _Toc461684082 \h </w:instrText>
        </w:r>
        <w:r w:rsidR="00C57318">
          <w:rPr>
            <w:noProof/>
            <w:webHidden/>
          </w:rPr>
        </w:r>
        <w:r w:rsidR="00C57318">
          <w:rPr>
            <w:noProof/>
            <w:webHidden/>
          </w:rPr>
          <w:fldChar w:fldCharType="separate"/>
        </w:r>
        <w:r w:rsidR="00C57318">
          <w:rPr>
            <w:noProof/>
            <w:webHidden/>
          </w:rPr>
          <w:t>68</w:t>
        </w:r>
        <w:r w:rsidR="00C57318">
          <w:rPr>
            <w:noProof/>
            <w:webHidden/>
          </w:rPr>
          <w:fldChar w:fldCharType="end"/>
        </w:r>
      </w:hyperlink>
    </w:p>
    <w:p w14:paraId="275DB164" w14:textId="00684F4F" w:rsidR="00C57318" w:rsidRDefault="00000000">
      <w:pPr>
        <w:pStyle w:val="TOC3"/>
        <w:tabs>
          <w:tab w:val="left" w:pos="1320"/>
          <w:tab w:val="right" w:leader="dot" w:pos="9350"/>
        </w:tabs>
        <w:rPr>
          <w:rFonts w:asciiTheme="minorHAnsi" w:hAnsiTheme="minorHAnsi"/>
          <w:noProof/>
          <w:lang w:eastAsia="en-US"/>
        </w:rPr>
      </w:pPr>
      <w:hyperlink w:anchor="_Toc461684083" w:history="1">
        <w:r w:rsidR="00C57318" w:rsidRPr="00CE4258">
          <w:rPr>
            <w:rStyle w:val="Hyperlink"/>
            <w:noProof/>
          </w:rPr>
          <w:t>8.4.3</w:t>
        </w:r>
        <w:r w:rsidR="00C57318">
          <w:rPr>
            <w:rFonts w:asciiTheme="minorHAnsi" w:hAnsiTheme="minorHAnsi"/>
            <w:noProof/>
            <w:lang w:eastAsia="en-US"/>
          </w:rPr>
          <w:tab/>
        </w:r>
        <w:r w:rsidR="00C57318" w:rsidRPr="00CE4258">
          <w:rPr>
            <w:rStyle w:val="Hyperlink"/>
            <w:noProof/>
          </w:rPr>
          <w:t>Sampling methods, analysis and assessment</w:t>
        </w:r>
        <w:r w:rsidR="00C57318">
          <w:rPr>
            <w:noProof/>
            <w:webHidden/>
          </w:rPr>
          <w:tab/>
        </w:r>
        <w:r w:rsidR="00C57318">
          <w:rPr>
            <w:noProof/>
            <w:webHidden/>
          </w:rPr>
          <w:fldChar w:fldCharType="begin"/>
        </w:r>
        <w:r w:rsidR="00C57318">
          <w:rPr>
            <w:noProof/>
            <w:webHidden/>
          </w:rPr>
          <w:instrText xml:space="preserve"> PAGEREF _Toc461684083 \h </w:instrText>
        </w:r>
        <w:r w:rsidR="00C57318">
          <w:rPr>
            <w:noProof/>
            <w:webHidden/>
          </w:rPr>
        </w:r>
        <w:r w:rsidR="00C57318">
          <w:rPr>
            <w:noProof/>
            <w:webHidden/>
          </w:rPr>
          <w:fldChar w:fldCharType="separate"/>
        </w:r>
        <w:r w:rsidR="00C57318">
          <w:rPr>
            <w:noProof/>
            <w:webHidden/>
          </w:rPr>
          <w:t>69</w:t>
        </w:r>
        <w:r w:rsidR="00C57318">
          <w:rPr>
            <w:noProof/>
            <w:webHidden/>
          </w:rPr>
          <w:fldChar w:fldCharType="end"/>
        </w:r>
      </w:hyperlink>
    </w:p>
    <w:p w14:paraId="506B09D7" w14:textId="0B581FB0" w:rsidR="00C57318" w:rsidRDefault="00000000">
      <w:pPr>
        <w:pStyle w:val="TOC2"/>
        <w:tabs>
          <w:tab w:val="left" w:pos="880"/>
          <w:tab w:val="right" w:leader="dot" w:pos="9350"/>
        </w:tabs>
        <w:rPr>
          <w:rFonts w:asciiTheme="minorHAnsi" w:hAnsiTheme="minorHAnsi"/>
          <w:noProof/>
          <w:lang w:eastAsia="en-US"/>
        </w:rPr>
      </w:pPr>
      <w:hyperlink w:anchor="_Toc461684084" w:history="1">
        <w:r w:rsidR="00C57318" w:rsidRPr="00CE4258">
          <w:rPr>
            <w:rStyle w:val="Hyperlink"/>
            <w:noProof/>
          </w:rPr>
          <w:t>8.5</w:t>
        </w:r>
        <w:r w:rsidR="00C57318">
          <w:rPr>
            <w:rFonts w:asciiTheme="minorHAnsi" w:hAnsiTheme="minorHAnsi"/>
            <w:noProof/>
            <w:lang w:eastAsia="en-US"/>
          </w:rPr>
          <w:tab/>
        </w:r>
        <w:r w:rsidR="00C57318" w:rsidRPr="00CE4258">
          <w:rPr>
            <w:rStyle w:val="Hyperlink"/>
            <w:noProof/>
          </w:rPr>
          <w:t>Multiple lines of evidence</w:t>
        </w:r>
        <w:r w:rsidR="00C57318">
          <w:rPr>
            <w:noProof/>
            <w:webHidden/>
          </w:rPr>
          <w:tab/>
        </w:r>
        <w:r w:rsidR="00C57318">
          <w:rPr>
            <w:noProof/>
            <w:webHidden/>
          </w:rPr>
          <w:fldChar w:fldCharType="begin"/>
        </w:r>
        <w:r w:rsidR="00C57318">
          <w:rPr>
            <w:noProof/>
            <w:webHidden/>
          </w:rPr>
          <w:instrText xml:space="preserve"> PAGEREF _Toc461684084 \h </w:instrText>
        </w:r>
        <w:r w:rsidR="00C57318">
          <w:rPr>
            <w:noProof/>
            <w:webHidden/>
          </w:rPr>
        </w:r>
        <w:r w:rsidR="00C57318">
          <w:rPr>
            <w:noProof/>
            <w:webHidden/>
          </w:rPr>
          <w:fldChar w:fldCharType="separate"/>
        </w:r>
        <w:r w:rsidR="00C57318">
          <w:rPr>
            <w:noProof/>
            <w:webHidden/>
          </w:rPr>
          <w:t>80</w:t>
        </w:r>
        <w:r w:rsidR="00C57318">
          <w:rPr>
            <w:noProof/>
            <w:webHidden/>
          </w:rPr>
          <w:fldChar w:fldCharType="end"/>
        </w:r>
      </w:hyperlink>
    </w:p>
    <w:p w14:paraId="35656602" w14:textId="5902A9DE" w:rsidR="00C57318" w:rsidRDefault="00000000">
      <w:pPr>
        <w:pStyle w:val="TOC3"/>
        <w:tabs>
          <w:tab w:val="left" w:pos="1320"/>
          <w:tab w:val="right" w:leader="dot" w:pos="9350"/>
        </w:tabs>
        <w:rPr>
          <w:rFonts w:asciiTheme="minorHAnsi" w:hAnsiTheme="minorHAnsi"/>
          <w:noProof/>
          <w:lang w:eastAsia="en-US"/>
        </w:rPr>
      </w:pPr>
      <w:hyperlink w:anchor="_Toc461684085" w:history="1">
        <w:r w:rsidR="00C57318" w:rsidRPr="00CE4258">
          <w:rPr>
            <w:rStyle w:val="Hyperlink"/>
            <w:noProof/>
          </w:rPr>
          <w:t>8.5.1</w:t>
        </w:r>
        <w:r w:rsidR="00C57318">
          <w:rPr>
            <w:rFonts w:asciiTheme="minorHAnsi" w:hAnsiTheme="minorHAnsi"/>
            <w:noProof/>
            <w:lang w:eastAsia="en-US"/>
          </w:rPr>
          <w:tab/>
        </w:r>
        <w:r w:rsidR="00C57318" w:rsidRPr="00CE4258">
          <w:rPr>
            <w:rStyle w:val="Hyperlink"/>
            <w:noProof/>
          </w:rPr>
          <w:t>Modelling and measurement</w:t>
        </w:r>
        <w:r w:rsidR="00C57318">
          <w:rPr>
            <w:noProof/>
            <w:webHidden/>
          </w:rPr>
          <w:tab/>
        </w:r>
        <w:r w:rsidR="00C57318">
          <w:rPr>
            <w:noProof/>
            <w:webHidden/>
          </w:rPr>
          <w:fldChar w:fldCharType="begin"/>
        </w:r>
        <w:r w:rsidR="00C57318">
          <w:rPr>
            <w:noProof/>
            <w:webHidden/>
          </w:rPr>
          <w:instrText xml:space="preserve"> PAGEREF _Toc461684085 \h </w:instrText>
        </w:r>
        <w:r w:rsidR="00C57318">
          <w:rPr>
            <w:noProof/>
            <w:webHidden/>
          </w:rPr>
        </w:r>
        <w:r w:rsidR="00C57318">
          <w:rPr>
            <w:noProof/>
            <w:webHidden/>
          </w:rPr>
          <w:fldChar w:fldCharType="separate"/>
        </w:r>
        <w:r w:rsidR="00C57318">
          <w:rPr>
            <w:noProof/>
            <w:webHidden/>
          </w:rPr>
          <w:t>80</w:t>
        </w:r>
        <w:r w:rsidR="00C57318">
          <w:rPr>
            <w:noProof/>
            <w:webHidden/>
          </w:rPr>
          <w:fldChar w:fldCharType="end"/>
        </w:r>
      </w:hyperlink>
    </w:p>
    <w:p w14:paraId="0E071998" w14:textId="40BF58B2" w:rsidR="00C57318" w:rsidRDefault="00000000">
      <w:pPr>
        <w:pStyle w:val="TOC3"/>
        <w:tabs>
          <w:tab w:val="left" w:pos="1320"/>
          <w:tab w:val="right" w:leader="dot" w:pos="9350"/>
        </w:tabs>
        <w:rPr>
          <w:rFonts w:asciiTheme="minorHAnsi" w:hAnsiTheme="minorHAnsi"/>
          <w:noProof/>
          <w:lang w:eastAsia="en-US"/>
        </w:rPr>
      </w:pPr>
      <w:hyperlink w:anchor="_Toc461684086" w:history="1">
        <w:r w:rsidR="00C57318" w:rsidRPr="00CE4258">
          <w:rPr>
            <w:rStyle w:val="Hyperlink"/>
            <w:noProof/>
          </w:rPr>
          <w:t>8.5.2</w:t>
        </w:r>
        <w:r w:rsidR="00C57318">
          <w:rPr>
            <w:rFonts w:asciiTheme="minorHAnsi" w:hAnsiTheme="minorHAnsi"/>
            <w:noProof/>
            <w:lang w:eastAsia="en-US"/>
          </w:rPr>
          <w:tab/>
        </w:r>
        <w:r w:rsidR="00C57318" w:rsidRPr="00CE4258">
          <w:rPr>
            <w:rStyle w:val="Hyperlink"/>
            <w:noProof/>
          </w:rPr>
          <w:t>Spatial and temporal concerns</w:t>
        </w:r>
        <w:r w:rsidR="00C57318">
          <w:rPr>
            <w:noProof/>
            <w:webHidden/>
          </w:rPr>
          <w:tab/>
        </w:r>
        <w:r w:rsidR="00C57318">
          <w:rPr>
            <w:noProof/>
            <w:webHidden/>
          </w:rPr>
          <w:fldChar w:fldCharType="begin"/>
        </w:r>
        <w:r w:rsidR="00C57318">
          <w:rPr>
            <w:noProof/>
            <w:webHidden/>
          </w:rPr>
          <w:instrText xml:space="preserve"> PAGEREF _Toc461684086 \h </w:instrText>
        </w:r>
        <w:r w:rsidR="00C57318">
          <w:rPr>
            <w:noProof/>
            <w:webHidden/>
          </w:rPr>
        </w:r>
        <w:r w:rsidR="00C57318">
          <w:rPr>
            <w:noProof/>
            <w:webHidden/>
          </w:rPr>
          <w:fldChar w:fldCharType="separate"/>
        </w:r>
        <w:r w:rsidR="00C57318">
          <w:rPr>
            <w:noProof/>
            <w:webHidden/>
          </w:rPr>
          <w:t>80</w:t>
        </w:r>
        <w:r w:rsidR="00C57318">
          <w:rPr>
            <w:noProof/>
            <w:webHidden/>
          </w:rPr>
          <w:fldChar w:fldCharType="end"/>
        </w:r>
      </w:hyperlink>
    </w:p>
    <w:p w14:paraId="416D9EE8" w14:textId="21FD13D2" w:rsidR="00C57318" w:rsidRDefault="00000000">
      <w:pPr>
        <w:pStyle w:val="TOC3"/>
        <w:tabs>
          <w:tab w:val="left" w:pos="1320"/>
          <w:tab w:val="right" w:leader="dot" w:pos="9350"/>
        </w:tabs>
        <w:rPr>
          <w:rFonts w:asciiTheme="minorHAnsi" w:hAnsiTheme="minorHAnsi"/>
          <w:noProof/>
          <w:lang w:eastAsia="en-US"/>
        </w:rPr>
      </w:pPr>
      <w:hyperlink w:anchor="_Toc461684087" w:history="1">
        <w:r w:rsidR="00C57318" w:rsidRPr="00CE4258">
          <w:rPr>
            <w:rStyle w:val="Hyperlink"/>
            <w:noProof/>
          </w:rPr>
          <w:t>8.5.3</w:t>
        </w:r>
        <w:r w:rsidR="00C57318">
          <w:rPr>
            <w:rFonts w:asciiTheme="minorHAnsi" w:hAnsiTheme="minorHAnsi"/>
            <w:noProof/>
            <w:lang w:eastAsia="en-US"/>
          </w:rPr>
          <w:tab/>
        </w:r>
        <w:r w:rsidR="00C57318" w:rsidRPr="00CE4258">
          <w:rPr>
            <w:rStyle w:val="Hyperlink"/>
            <w:noProof/>
          </w:rPr>
          <w:t>Building design and ventilation</w:t>
        </w:r>
        <w:r w:rsidR="00C57318">
          <w:rPr>
            <w:noProof/>
            <w:webHidden/>
          </w:rPr>
          <w:tab/>
        </w:r>
        <w:r w:rsidR="00C57318">
          <w:rPr>
            <w:noProof/>
            <w:webHidden/>
          </w:rPr>
          <w:fldChar w:fldCharType="begin"/>
        </w:r>
        <w:r w:rsidR="00C57318">
          <w:rPr>
            <w:noProof/>
            <w:webHidden/>
          </w:rPr>
          <w:instrText xml:space="preserve"> PAGEREF _Toc461684087 \h </w:instrText>
        </w:r>
        <w:r w:rsidR="00C57318">
          <w:rPr>
            <w:noProof/>
            <w:webHidden/>
          </w:rPr>
        </w:r>
        <w:r w:rsidR="00C57318">
          <w:rPr>
            <w:noProof/>
            <w:webHidden/>
          </w:rPr>
          <w:fldChar w:fldCharType="separate"/>
        </w:r>
        <w:r w:rsidR="00C57318">
          <w:rPr>
            <w:noProof/>
            <w:webHidden/>
          </w:rPr>
          <w:t>80</w:t>
        </w:r>
        <w:r w:rsidR="00C57318">
          <w:rPr>
            <w:noProof/>
            <w:webHidden/>
          </w:rPr>
          <w:fldChar w:fldCharType="end"/>
        </w:r>
      </w:hyperlink>
    </w:p>
    <w:p w14:paraId="2575F716" w14:textId="7ECF302D" w:rsidR="00C57318" w:rsidRDefault="00000000">
      <w:pPr>
        <w:pStyle w:val="TOC3"/>
        <w:tabs>
          <w:tab w:val="left" w:pos="1320"/>
          <w:tab w:val="right" w:leader="dot" w:pos="9350"/>
        </w:tabs>
        <w:rPr>
          <w:rFonts w:asciiTheme="minorHAnsi" w:hAnsiTheme="minorHAnsi"/>
          <w:noProof/>
          <w:lang w:eastAsia="en-US"/>
        </w:rPr>
      </w:pPr>
      <w:hyperlink w:anchor="_Toc461684088" w:history="1">
        <w:r w:rsidR="00C57318" w:rsidRPr="00CE4258">
          <w:rPr>
            <w:rStyle w:val="Hyperlink"/>
            <w:noProof/>
          </w:rPr>
          <w:t>8.5.4</w:t>
        </w:r>
        <w:r w:rsidR="00C57318">
          <w:rPr>
            <w:rFonts w:asciiTheme="minorHAnsi" w:hAnsiTheme="minorHAnsi"/>
            <w:noProof/>
            <w:lang w:eastAsia="en-US"/>
          </w:rPr>
          <w:tab/>
        </w:r>
        <w:r w:rsidR="00C57318" w:rsidRPr="00CE4258">
          <w:rPr>
            <w:rStyle w:val="Hyperlink"/>
            <w:noProof/>
          </w:rPr>
          <w:t>Preferential pathways</w:t>
        </w:r>
        <w:r w:rsidR="00C57318">
          <w:rPr>
            <w:noProof/>
            <w:webHidden/>
          </w:rPr>
          <w:tab/>
        </w:r>
        <w:r w:rsidR="00C57318">
          <w:rPr>
            <w:noProof/>
            <w:webHidden/>
          </w:rPr>
          <w:fldChar w:fldCharType="begin"/>
        </w:r>
        <w:r w:rsidR="00C57318">
          <w:rPr>
            <w:noProof/>
            <w:webHidden/>
          </w:rPr>
          <w:instrText xml:space="preserve"> PAGEREF _Toc461684088 \h </w:instrText>
        </w:r>
        <w:r w:rsidR="00C57318">
          <w:rPr>
            <w:noProof/>
            <w:webHidden/>
          </w:rPr>
        </w:r>
        <w:r w:rsidR="00C57318">
          <w:rPr>
            <w:noProof/>
            <w:webHidden/>
          </w:rPr>
          <w:fldChar w:fldCharType="separate"/>
        </w:r>
        <w:r w:rsidR="00C57318">
          <w:rPr>
            <w:noProof/>
            <w:webHidden/>
          </w:rPr>
          <w:t>80</w:t>
        </w:r>
        <w:r w:rsidR="00C57318">
          <w:rPr>
            <w:noProof/>
            <w:webHidden/>
          </w:rPr>
          <w:fldChar w:fldCharType="end"/>
        </w:r>
      </w:hyperlink>
    </w:p>
    <w:p w14:paraId="3994C170" w14:textId="037A4A99" w:rsidR="00C57318" w:rsidRDefault="00000000">
      <w:pPr>
        <w:pStyle w:val="TOC3"/>
        <w:tabs>
          <w:tab w:val="left" w:pos="1320"/>
          <w:tab w:val="right" w:leader="dot" w:pos="9350"/>
        </w:tabs>
        <w:rPr>
          <w:rFonts w:asciiTheme="minorHAnsi" w:hAnsiTheme="minorHAnsi"/>
          <w:noProof/>
          <w:lang w:eastAsia="en-US"/>
        </w:rPr>
      </w:pPr>
      <w:hyperlink w:anchor="_Toc461684089" w:history="1">
        <w:r w:rsidR="00C57318" w:rsidRPr="00CE4258">
          <w:rPr>
            <w:rStyle w:val="Hyperlink"/>
            <w:noProof/>
          </w:rPr>
          <w:t>8.5.5</w:t>
        </w:r>
        <w:r w:rsidR="00C57318">
          <w:rPr>
            <w:rFonts w:asciiTheme="minorHAnsi" w:hAnsiTheme="minorHAnsi"/>
            <w:noProof/>
            <w:lang w:eastAsia="en-US"/>
          </w:rPr>
          <w:tab/>
        </w:r>
        <w:r w:rsidR="00C57318" w:rsidRPr="00CE4258">
          <w:rPr>
            <w:rStyle w:val="Hyperlink"/>
            <w:noProof/>
          </w:rPr>
          <w:t>Phyto-assessment methods</w:t>
        </w:r>
        <w:r w:rsidR="00C57318">
          <w:rPr>
            <w:noProof/>
            <w:webHidden/>
          </w:rPr>
          <w:tab/>
        </w:r>
        <w:r w:rsidR="00C57318">
          <w:rPr>
            <w:noProof/>
            <w:webHidden/>
          </w:rPr>
          <w:fldChar w:fldCharType="begin"/>
        </w:r>
        <w:r w:rsidR="00C57318">
          <w:rPr>
            <w:noProof/>
            <w:webHidden/>
          </w:rPr>
          <w:instrText xml:space="preserve"> PAGEREF _Toc461684089 \h </w:instrText>
        </w:r>
        <w:r w:rsidR="00C57318">
          <w:rPr>
            <w:noProof/>
            <w:webHidden/>
          </w:rPr>
        </w:r>
        <w:r w:rsidR="00C57318">
          <w:rPr>
            <w:noProof/>
            <w:webHidden/>
          </w:rPr>
          <w:fldChar w:fldCharType="separate"/>
        </w:r>
        <w:r w:rsidR="00C57318">
          <w:rPr>
            <w:noProof/>
            <w:webHidden/>
          </w:rPr>
          <w:t>81</w:t>
        </w:r>
        <w:r w:rsidR="00C57318">
          <w:rPr>
            <w:noProof/>
            <w:webHidden/>
          </w:rPr>
          <w:fldChar w:fldCharType="end"/>
        </w:r>
      </w:hyperlink>
    </w:p>
    <w:p w14:paraId="1ACDB33E" w14:textId="324F6836" w:rsidR="00C57318" w:rsidRDefault="00000000">
      <w:pPr>
        <w:pStyle w:val="TOC3"/>
        <w:tabs>
          <w:tab w:val="left" w:pos="1320"/>
          <w:tab w:val="right" w:leader="dot" w:pos="9350"/>
        </w:tabs>
        <w:rPr>
          <w:rFonts w:asciiTheme="minorHAnsi" w:hAnsiTheme="minorHAnsi"/>
          <w:noProof/>
          <w:lang w:eastAsia="en-US"/>
        </w:rPr>
      </w:pPr>
      <w:hyperlink w:anchor="_Toc461684090" w:history="1">
        <w:r w:rsidR="00C57318" w:rsidRPr="00CE4258">
          <w:rPr>
            <w:rStyle w:val="Hyperlink"/>
            <w:noProof/>
          </w:rPr>
          <w:t>8.5.6</w:t>
        </w:r>
        <w:r w:rsidR="00C57318">
          <w:rPr>
            <w:rFonts w:asciiTheme="minorHAnsi" w:hAnsiTheme="minorHAnsi"/>
            <w:noProof/>
            <w:lang w:eastAsia="en-US"/>
          </w:rPr>
          <w:tab/>
        </w:r>
        <w:r w:rsidR="00C57318" w:rsidRPr="00CE4258">
          <w:rPr>
            <w:rStyle w:val="Hyperlink"/>
            <w:noProof/>
          </w:rPr>
          <w:t>Attenuation factors</w:t>
        </w:r>
        <w:r w:rsidR="00C57318">
          <w:rPr>
            <w:noProof/>
            <w:webHidden/>
          </w:rPr>
          <w:tab/>
        </w:r>
        <w:r w:rsidR="00C57318">
          <w:rPr>
            <w:noProof/>
            <w:webHidden/>
          </w:rPr>
          <w:fldChar w:fldCharType="begin"/>
        </w:r>
        <w:r w:rsidR="00C57318">
          <w:rPr>
            <w:noProof/>
            <w:webHidden/>
          </w:rPr>
          <w:instrText xml:space="preserve"> PAGEREF _Toc461684090 \h </w:instrText>
        </w:r>
        <w:r w:rsidR="00C57318">
          <w:rPr>
            <w:noProof/>
            <w:webHidden/>
          </w:rPr>
        </w:r>
        <w:r w:rsidR="00C57318">
          <w:rPr>
            <w:noProof/>
            <w:webHidden/>
          </w:rPr>
          <w:fldChar w:fldCharType="separate"/>
        </w:r>
        <w:r w:rsidR="00C57318">
          <w:rPr>
            <w:noProof/>
            <w:webHidden/>
          </w:rPr>
          <w:t>81</w:t>
        </w:r>
        <w:r w:rsidR="00C57318">
          <w:rPr>
            <w:noProof/>
            <w:webHidden/>
          </w:rPr>
          <w:fldChar w:fldCharType="end"/>
        </w:r>
      </w:hyperlink>
    </w:p>
    <w:p w14:paraId="606204EC" w14:textId="580A6387" w:rsidR="00C57318" w:rsidRDefault="00000000">
      <w:pPr>
        <w:pStyle w:val="TOC3"/>
        <w:tabs>
          <w:tab w:val="left" w:pos="1320"/>
          <w:tab w:val="right" w:leader="dot" w:pos="9350"/>
        </w:tabs>
        <w:rPr>
          <w:rFonts w:asciiTheme="minorHAnsi" w:hAnsiTheme="minorHAnsi"/>
          <w:noProof/>
          <w:lang w:eastAsia="en-US"/>
        </w:rPr>
      </w:pPr>
      <w:hyperlink w:anchor="_Toc461684091" w:history="1">
        <w:r w:rsidR="00C57318" w:rsidRPr="00CE4258">
          <w:rPr>
            <w:rStyle w:val="Hyperlink"/>
            <w:noProof/>
          </w:rPr>
          <w:t>8.5.7</w:t>
        </w:r>
        <w:r w:rsidR="00C57318">
          <w:rPr>
            <w:rFonts w:asciiTheme="minorHAnsi" w:hAnsiTheme="minorHAnsi"/>
            <w:noProof/>
            <w:lang w:eastAsia="en-US"/>
          </w:rPr>
          <w:tab/>
        </w:r>
        <w:r w:rsidR="00C57318" w:rsidRPr="00CE4258">
          <w:rPr>
            <w:rStyle w:val="Hyperlink"/>
            <w:noProof/>
          </w:rPr>
          <w:t>Concentration gradients</w:t>
        </w:r>
        <w:r w:rsidR="00C57318">
          <w:rPr>
            <w:noProof/>
            <w:webHidden/>
          </w:rPr>
          <w:tab/>
        </w:r>
        <w:r w:rsidR="00C57318">
          <w:rPr>
            <w:noProof/>
            <w:webHidden/>
          </w:rPr>
          <w:fldChar w:fldCharType="begin"/>
        </w:r>
        <w:r w:rsidR="00C57318">
          <w:rPr>
            <w:noProof/>
            <w:webHidden/>
          </w:rPr>
          <w:instrText xml:space="preserve"> PAGEREF _Toc461684091 \h </w:instrText>
        </w:r>
        <w:r w:rsidR="00C57318">
          <w:rPr>
            <w:noProof/>
            <w:webHidden/>
          </w:rPr>
        </w:r>
        <w:r w:rsidR="00C57318">
          <w:rPr>
            <w:noProof/>
            <w:webHidden/>
          </w:rPr>
          <w:fldChar w:fldCharType="separate"/>
        </w:r>
        <w:r w:rsidR="00C57318">
          <w:rPr>
            <w:noProof/>
            <w:webHidden/>
          </w:rPr>
          <w:t>83</w:t>
        </w:r>
        <w:r w:rsidR="00C57318">
          <w:rPr>
            <w:noProof/>
            <w:webHidden/>
          </w:rPr>
          <w:fldChar w:fldCharType="end"/>
        </w:r>
      </w:hyperlink>
    </w:p>
    <w:p w14:paraId="2B63C2CE" w14:textId="4182E937" w:rsidR="00C57318" w:rsidRDefault="00000000">
      <w:pPr>
        <w:pStyle w:val="TOC3"/>
        <w:tabs>
          <w:tab w:val="left" w:pos="1320"/>
          <w:tab w:val="right" w:leader="dot" w:pos="9350"/>
        </w:tabs>
        <w:rPr>
          <w:rFonts w:asciiTheme="minorHAnsi" w:hAnsiTheme="minorHAnsi"/>
          <w:noProof/>
          <w:lang w:eastAsia="en-US"/>
        </w:rPr>
      </w:pPr>
      <w:hyperlink w:anchor="_Toc461684092" w:history="1">
        <w:r w:rsidR="00C57318" w:rsidRPr="00CE4258">
          <w:rPr>
            <w:rStyle w:val="Hyperlink"/>
            <w:noProof/>
          </w:rPr>
          <w:t>8.5.8</w:t>
        </w:r>
        <w:r w:rsidR="00C57318">
          <w:rPr>
            <w:rFonts w:asciiTheme="minorHAnsi" w:hAnsiTheme="minorHAnsi"/>
            <w:noProof/>
            <w:lang w:eastAsia="en-US"/>
          </w:rPr>
          <w:tab/>
        </w:r>
        <w:r w:rsidR="00C57318" w:rsidRPr="00CE4258">
          <w:rPr>
            <w:rStyle w:val="Hyperlink"/>
            <w:noProof/>
          </w:rPr>
          <w:t>Potential sub-surface changes over time of key influencing variables</w:t>
        </w:r>
        <w:r w:rsidR="00C57318">
          <w:rPr>
            <w:noProof/>
            <w:webHidden/>
          </w:rPr>
          <w:tab/>
        </w:r>
        <w:r w:rsidR="00C57318">
          <w:rPr>
            <w:noProof/>
            <w:webHidden/>
          </w:rPr>
          <w:fldChar w:fldCharType="begin"/>
        </w:r>
        <w:r w:rsidR="00C57318">
          <w:rPr>
            <w:noProof/>
            <w:webHidden/>
          </w:rPr>
          <w:instrText xml:space="preserve"> PAGEREF _Toc461684092 \h </w:instrText>
        </w:r>
        <w:r w:rsidR="00C57318">
          <w:rPr>
            <w:noProof/>
            <w:webHidden/>
          </w:rPr>
        </w:r>
        <w:r w:rsidR="00C57318">
          <w:rPr>
            <w:noProof/>
            <w:webHidden/>
          </w:rPr>
          <w:fldChar w:fldCharType="separate"/>
        </w:r>
        <w:r w:rsidR="00C57318">
          <w:rPr>
            <w:noProof/>
            <w:webHidden/>
          </w:rPr>
          <w:t>83</w:t>
        </w:r>
        <w:r w:rsidR="00C57318">
          <w:rPr>
            <w:noProof/>
            <w:webHidden/>
          </w:rPr>
          <w:fldChar w:fldCharType="end"/>
        </w:r>
      </w:hyperlink>
    </w:p>
    <w:p w14:paraId="2D350FFC" w14:textId="5220B3A3" w:rsidR="00C57318" w:rsidRDefault="00000000">
      <w:pPr>
        <w:pStyle w:val="TOC1"/>
        <w:tabs>
          <w:tab w:val="left" w:pos="440"/>
          <w:tab w:val="right" w:leader="dot" w:pos="9350"/>
        </w:tabs>
        <w:rPr>
          <w:rFonts w:asciiTheme="minorHAnsi" w:hAnsiTheme="minorHAnsi"/>
          <w:noProof/>
          <w:lang w:eastAsia="en-US"/>
        </w:rPr>
      </w:pPr>
      <w:hyperlink w:anchor="_Toc461684093" w:history="1">
        <w:r w:rsidR="00C57318" w:rsidRPr="00CE4258">
          <w:rPr>
            <w:rStyle w:val="Hyperlink"/>
            <w:noProof/>
          </w:rPr>
          <w:t>9</w:t>
        </w:r>
        <w:r w:rsidR="00C57318">
          <w:rPr>
            <w:rFonts w:asciiTheme="minorHAnsi" w:hAnsiTheme="minorHAnsi"/>
            <w:noProof/>
            <w:lang w:eastAsia="en-US"/>
          </w:rPr>
          <w:tab/>
        </w:r>
        <w:r w:rsidR="00C57318" w:rsidRPr="00CE4258">
          <w:rPr>
            <w:rStyle w:val="Hyperlink"/>
            <w:noProof/>
          </w:rPr>
          <w:t>Risk Management</w:t>
        </w:r>
        <w:r w:rsidR="00C57318">
          <w:rPr>
            <w:noProof/>
            <w:webHidden/>
          </w:rPr>
          <w:tab/>
        </w:r>
        <w:r w:rsidR="00C57318">
          <w:rPr>
            <w:noProof/>
            <w:webHidden/>
          </w:rPr>
          <w:fldChar w:fldCharType="begin"/>
        </w:r>
        <w:r w:rsidR="00C57318">
          <w:rPr>
            <w:noProof/>
            <w:webHidden/>
          </w:rPr>
          <w:instrText xml:space="preserve"> PAGEREF _Toc461684093 \h </w:instrText>
        </w:r>
        <w:r w:rsidR="00C57318">
          <w:rPr>
            <w:noProof/>
            <w:webHidden/>
          </w:rPr>
        </w:r>
        <w:r w:rsidR="00C57318">
          <w:rPr>
            <w:noProof/>
            <w:webHidden/>
          </w:rPr>
          <w:fldChar w:fldCharType="separate"/>
        </w:r>
        <w:r w:rsidR="00C57318">
          <w:rPr>
            <w:noProof/>
            <w:webHidden/>
          </w:rPr>
          <w:t>84</w:t>
        </w:r>
        <w:r w:rsidR="00C57318">
          <w:rPr>
            <w:noProof/>
            <w:webHidden/>
          </w:rPr>
          <w:fldChar w:fldCharType="end"/>
        </w:r>
      </w:hyperlink>
    </w:p>
    <w:p w14:paraId="67B30465" w14:textId="26251D08" w:rsidR="00C57318" w:rsidRDefault="00000000">
      <w:pPr>
        <w:pStyle w:val="TOC2"/>
        <w:tabs>
          <w:tab w:val="left" w:pos="880"/>
          <w:tab w:val="right" w:leader="dot" w:pos="9350"/>
        </w:tabs>
        <w:rPr>
          <w:rFonts w:asciiTheme="minorHAnsi" w:hAnsiTheme="minorHAnsi"/>
          <w:noProof/>
          <w:lang w:eastAsia="en-US"/>
        </w:rPr>
      </w:pPr>
      <w:hyperlink w:anchor="_Toc461684094" w:history="1">
        <w:r w:rsidR="00C57318" w:rsidRPr="00CE4258">
          <w:rPr>
            <w:rStyle w:val="Hyperlink"/>
            <w:noProof/>
          </w:rPr>
          <w:t>9.1</w:t>
        </w:r>
        <w:r w:rsidR="00C57318">
          <w:rPr>
            <w:rFonts w:asciiTheme="minorHAnsi" w:hAnsiTheme="minorHAnsi"/>
            <w:noProof/>
            <w:lang w:eastAsia="en-US"/>
          </w:rPr>
          <w:tab/>
        </w:r>
        <w:r w:rsidR="00C57318" w:rsidRPr="00CE4258">
          <w:rPr>
            <w:rStyle w:val="Hyperlink"/>
            <w:noProof/>
          </w:rPr>
          <w:t>Basis of management</w:t>
        </w:r>
        <w:r w:rsidR="00C57318">
          <w:rPr>
            <w:noProof/>
            <w:webHidden/>
          </w:rPr>
          <w:tab/>
        </w:r>
        <w:r w:rsidR="00C57318">
          <w:rPr>
            <w:noProof/>
            <w:webHidden/>
          </w:rPr>
          <w:fldChar w:fldCharType="begin"/>
        </w:r>
        <w:r w:rsidR="00C57318">
          <w:rPr>
            <w:noProof/>
            <w:webHidden/>
          </w:rPr>
          <w:instrText xml:space="preserve"> PAGEREF _Toc461684094 \h </w:instrText>
        </w:r>
        <w:r w:rsidR="00C57318">
          <w:rPr>
            <w:noProof/>
            <w:webHidden/>
          </w:rPr>
        </w:r>
        <w:r w:rsidR="00C57318">
          <w:rPr>
            <w:noProof/>
            <w:webHidden/>
          </w:rPr>
          <w:fldChar w:fldCharType="separate"/>
        </w:r>
        <w:r w:rsidR="00C57318">
          <w:rPr>
            <w:noProof/>
            <w:webHidden/>
          </w:rPr>
          <w:t>84</w:t>
        </w:r>
        <w:r w:rsidR="00C57318">
          <w:rPr>
            <w:noProof/>
            <w:webHidden/>
          </w:rPr>
          <w:fldChar w:fldCharType="end"/>
        </w:r>
      </w:hyperlink>
    </w:p>
    <w:p w14:paraId="59BC8C54" w14:textId="262A6059" w:rsidR="00C57318" w:rsidRDefault="00000000">
      <w:pPr>
        <w:pStyle w:val="TOC2"/>
        <w:tabs>
          <w:tab w:val="left" w:pos="880"/>
          <w:tab w:val="right" w:leader="dot" w:pos="9350"/>
        </w:tabs>
        <w:rPr>
          <w:rFonts w:asciiTheme="minorHAnsi" w:hAnsiTheme="minorHAnsi"/>
          <w:noProof/>
          <w:lang w:eastAsia="en-US"/>
        </w:rPr>
      </w:pPr>
      <w:hyperlink w:anchor="_Toc461684095" w:history="1">
        <w:r w:rsidR="00C57318" w:rsidRPr="00CE4258">
          <w:rPr>
            <w:rStyle w:val="Hyperlink"/>
            <w:noProof/>
          </w:rPr>
          <w:t>9.2</w:t>
        </w:r>
        <w:r w:rsidR="00C57318">
          <w:rPr>
            <w:rFonts w:asciiTheme="minorHAnsi" w:hAnsiTheme="minorHAnsi"/>
            <w:noProof/>
            <w:lang w:eastAsia="en-US"/>
          </w:rPr>
          <w:tab/>
        </w:r>
        <w:r w:rsidR="00C57318" w:rsidRPr="00CE4258">
          <w:rPr>
            <w:rStyle w:val="Hyperlink"/>
            <w:noProof/>
          </w:rPr>
          <w:t>Risk management measures</w:t>
        </w:r>
        <w:r w:rsidR="00C57318">
          <w:rPr>
            <w:noProof/>
            <w:webHidden/>
          </w:rPr>
          <w:tab/>
        </w:r>
        <w:r w:rsidR="00C57318">
          <w:rPr>
            <w:noProof/>
            <w:webHidden/>
          </w:rPr>
          <w:fldChar w:fldCharType="begin"/>
        </w:r>
        <w:r w:rsidR="00C57318">
          <w:rPr>
            <w:noProof/>
            <w:webHidden/>
          </w:rPr>
          <w:instrText xml:space="preserve"> PAGEREF _Toc461684095 \h </w:instrText>
        </w:r>
        <w:r w:rsidR="00C57318">
          <w:rPr>
            <w:noProof/>
            <w:webHidden/>
          </w:rPr>
        </w:r>
        <w:r w:rsidR="00C57318">
          <w:rPr>
            <w:noProof/>
            <w:webHidden/>
          </w:rPr>
          <w:fldChar w:fldCharType="separate"/>
        </w:r>
        <w:r w:rsidR="00C57318">
          <w:rPr>
            <w:noProof/>
            <w:webHidden/>
          </w:rPr>
          <w:t>84</w:t>
        </w:r>
        <w:r w:rsidR="00C57318">
          <w:rPr>
            <w:noProof/>
            <w:webHidden/>
          </w:rPr>
          <w:fldChar w:fldCharType="end"/>
        </w:r>
      </w:hyperlink>
    </w:p>
    <w:p w14:paraId="31605319" w14:textId="1BB94956" w:rsidR="00C57318" w:rsidRDefault="00000000">
      <w:pPr>
        <w:pStyle w:val="TOC2"/>
        <w:tabs>
          <w:tab w:val="left" w:pos="880"/>
          <w:tab w:val="right" w:leader="dot" w:pos="9350"/>
        </w:tabs>
        <w:rPr>
          <w:rFonts w:asciiTheme="minorHAnsi" w:hAnsiTheme="minorHAnsi"/>
          <w:noProof/>
          <w:lang w:eastAsia="en-US"/>
        </w:rPr>
      </w:pPr>
      <w:hyperlink w:anchor="_Toc461684096" w:history="1">
        <w:r w:rsidR="00C57318" w:rsidRPr="00CE4258">
          <w:rPr>
            <w:rStyle w:val="Hyperlink"/>
            <w:noProof/>
          </w:rPr>
          <w:t>9.3</w:t>
        </w:r>
        <w:r w:rsidR="00C57318">
          <w:rPr>
            <w:rFonts w:asciiTheme="minorHAnsi" w:hAnsiTheme="minorHAnsi"/>
            <w:noProof/>
            <w:lang w:eastAsia="en-US"/>
          </w:rPr>
          <w:tab/>
        </w:r>
        <w:r w:rsidR="00C57318" w:rsidRPr="00CE4258">
          <w:rPr>
            <w:rStyle w:val="Hyperlink"/>
            <w:noProof/>
          </w:rPr>
          <w:t>Post-mitigation assessment and sustainability/cost benefit</w:t>
        </w:r>
        <w:r w:rsidR="00C57318">
          <w:rPr>
            <w:noProof/>
            <w:webHidden/>
          </w:rPr>
          <w:tab/>
        </w:r>
        <w:r w:rsidR="00C57318">
          <w:rPr>
            <w:noProof/>
            <w:webHidden/>
          </w:rPr>
          <w:fldChar w:fldCharType="begin"/>
        </w:r>
        <w:r w:rsidR="00C57318">
          <w:rPr>
            <w:noProof/>
            <w:webHidden/>
          </w:rPr>
          <w:instrText xml:space="preserve"> PAGEREF _Toc461684096 \h </w:instrText>
        </w:r>
        <w:r w:rsidR="00C57318">
          <w:rPr>
            <w:noProof/>
            <w:webHidden/>
          </w:rPr>
        </w:r>
        <w:r w:rsidR="00C57318">
          <w:rPr>
            <w:noProof/>
            <w:webHidden/>
          </w:rPr>
          <w:fldChar w:fldCharType="separate"/>
        </w:r>
        <w:r w:rsidR="00C57318">
          <w:rPr>
            <w:noProof/>
            <w:webHidden/>
          </w:rPr>
          <w:t>90</w:t>
        </w:r>
        <w:r w:rsidR="00C57318">
          <w:rPr>
            <w:noProof/>
            <w:webHidden/>
          </w:rPr>
          <w:fldChar w:fldCharType="end"/>
        </w:r>
      </w:hyperlink>
    </w:p>
    <w:p w14:paraId="5760C517" w14:textId="67E1DF3D" w:rsidR="00C57318" w:rsidRDefault="00000000">
      <w:pPr>
        <w:pStyle w:val="TOC1"/>
        <w:tabs>
          <w:tab w:val="left" w:pos="660"/>
          <w:tab w:val="right" w:leader="dot" w:pos="9350"/>
        </w:tabs>
        <w:rPr>
          <w:rFonts w:asciiTheme="minorHAnsi" w:hAnsiTheme="minorHAnsi"/>
          <w:noProof/>
          <w:lang w:eastAsia="en-US"/>
        </w:rPr>
      </w:pPr>
      <w:hyperlink w:anchor="_Toc461684097" w:history="1">
        <w:r w:rsidR="00C57318" w:rsidRPr="00CE4258">
          <w:rPr>
            <w:rStyle w:val="Hyperlink"/>
            <w:noProof/>
          </w:rPr>
          <w:t>10</w:t>
        </w:r>
        <w:r w:rsidR="00C57318">
          <w:rPr>
            <w:rFonts w:asciiTheme="minorHAnsi" w:hAnsiTheme="minorHAnsi"/>
            <w:noProof/>
            <w:lang w:eastAsia="en-US"/>
          </w:rPr>
          <w:tab/>
        </w:r>
        <w:r w:rsidR="00C57318" w:rsidRPr="00CE4258">
          <w:rPr>
            <w:rStyle w:val="Hyperlink"/>
            <w:noProof/>
          </w:rPr>
          <w:t>Risk Communication</w:t>
        </w:r>
        <w:r w:rsidR="00C57318">
          <w:rPr>
            <w:noProof/>
            <w:webHidden/>
          </w:rPr>
          <w:tab/>
        </w:r>
        <w:r w:rsidR="00C57318">
          <w:rPr>
            <w:noProof/>
            <w:webHidden/>
          </w:rPr>
          <w:fldChar w:fldCharType="begin"/>
        </w:r>
        <w:r w:rsidR="00C57318">
          <w:rPr>
            <w:noProof/>
            <w:webHidden/>
          </w:rPr>
          <w:instrText xml:space="preserve"> PAGEREF _Toc461684097 \h </w:instrText>
        </w:r>
        <w:r w:rsidR="00C57318">
          <w:rPr>
            <w:noProof/>
            <w:webHidden/>
          </w:rPr>
        </w:r>
        <w:r w:rsidR="00C57318">
          <w:rPr>
            <w:noProof/>
            <w:webHidden/>
          </w:rPr>
          <w:fldChar w:fldCharType="separate"/>
        </w:r>
        <w:r w:rsidR="00C57318">
          <w:rPr>
            <w:noProof/>
            <w:webHidden/>
          </w:rPr>
          <w:t>91</w:t>
        </w:r>
        <w:r w:rsidR="00C57318">
          <w:rPr>
            <w:noProof/>
            <w:webHidden/>
          </w:rPr>
          <w:fldChar w:fldCharType="end"/>
        </w:r>
      </w:hyperlink>
    </w:p>
    <w:p w14:paraId="3675E97C" w14:textId="2CEA15D0" w:rsidR="00C57318" w:rsidRDefault="00000000">
      <w:pPr>
        <w:pStyle w:val="TOC2"/>
        <w:tabs>
          <w:tab w:val="left" w:pos="880"/>
          <w:tab w:val="right" w:leader="dot" w:pos="9350"/>
        </w:tabs>
        <w:rPr>
          <w:rFonts w:asciiTheme="minorHAnsi" w:hAnsiTheme="minorHAnsi"/>
          <w:noProof/>
          <w:lang w:eastAsia="en-US"/>
        </w:rPr>
      </w:pPr>
      <w:hyperlink w:anchor="_Toc461684098" w:history="1">
        <w:r w:rsidR="00C57318" w:rsidRPr="00CE4258">
          <w:rPr>
            <w:rStyle w:val="Hyperlink"/>
            <w:noProof/>
          </w:rPr>
          <w:t>10.1</w:t>
        </w:r>
        <w:r w:rsidR="00C57318">
          <w:rPr>
            <w:rFonts w:asciiTheme="minorHAnsi" w:hAnsiTheme="minorHAnsi"/>
            <w:noProof/>
            <w:lang w:eastAsia="en-US"/>
          </w:rPr>
          <w:tab/>
        </w:r>
        <w:r w:rsidR="00C57318" w:rsidRPr="00CE4258">
          <w:rPr>
            <w:rStyle w:val="Hyperlink"/>
            <w:noProof/>
          </w:rPr>
          <w:t>Objective of risk communication</w:t>
        </w:r>
        <w:r w:rsidR="00C57318">
          <w:rPr>
            <w:noProof/>
            <w:webHidden/>
          </w:rPr>
          <w:tab/>
        </w:r>
        <w:r w:rsidR="00C57318">
          <w:rPr>
            <w:noProof/>
            <w:webHidden/>
          </w:rPr>
          <w:fldChar w:fldCharType="begin"/>
        </w:r>
        <w:r w:rsidR="00C57318">
          <w:rPr>
            <w:noProof/>
            <w:webHidden/>
          </w:rPr>
          <w:instrText xml:space="preserve"> PAGEREF _Toc461684098 \h </w:instrText>
        </w:r>
        <w:r w:rsidR="00C57318">
          <w:rPr>
            <w:noProof/>
            <w:webHidden/>
          </w:rPr>
        </w:r>
        <w:r w:rsidR="00C57318">
          <w:rPr>
            <w:noProof/>
            <w:webHidden/>
          </w:rPr>
          <w:fldChar w:fldCharType="separate"/>
        </w:r>
        <w:r w:rsidR="00C57318">
          <w:rPr>
            <w:noProof/>
            <w:webHidden/>
          </w:rPr>
          <w:t>91</w:t>
        </w:r>
        <w:r w:rsidR="00C57318">
          <w:rPr>
            <w:noProof/>
            <w:webHidden/>
          </w:rPr>
          <w:fldChar w:fldCharType="end"/>
        </w:r>
      </w:hyperlink>
    </w:p>
    <w:p w14:paraId="648B03A0" w14:textId="2BB8D522" w:rsidR="00C57318" w:rsidRDefault="00000000">
      <w:pPr>
        <w:pStyle w:val="TOC2"/>
        <w:tabs>
          <w:tab w:val="left" w:pos="880"/>
          <w:tab w:val="right" w:leader="dot" w:pos="9350"/>
        </w:tabs>
        <w:rPr>
          <w:rFonts w:asciiTheme="minorHAnsi" w:hAnsiTheme="minorHAnsi"/>
          <w:noProof/>
          <w:lang w:eastAsia="en-US"/>
        </w:rPr>
      </w:pPr>
      <w:hyperlink w:anchor="_Toc461684099" w:history="1">
        <w:r w:rsidR="00C57318" w:rsidRPr="00CE4258">
          <w:rPr>
            <w:rStyle w:val="Hyperlink"/>
            <w:noProof/>
          </w:rPr>
          <w:t>10.2</w:t>
        </w:r>
        <w:r w:rsidR="00C57318">
          <w:rPr>
            <w:rFonts w:asciiTheme="minorHAnsi" w:hAnsiTheme="minorHAnsi"/>
            <w:noProof/>
            <w:lang w:eastAsia="en-US"/>
          </w:rPr>
          <w:tab/>
        </w:r>
        <w:r w:rsidR="00C57318" w:rsidRPr="00CE4258">
          <w:rPr>
            <w:rStyle w:val="Hyperlink"/>
            <w:noProof/>
          </w:rPr>
          <w:t>US EPA and the seven cardinal rules of risk communication</w:t>
        </w:r>
        <w:r w:rsidR="00C57318">
          <w:rPr>
            <w:noProof/>
            <w:webHidden/>
          </w:rPr>
          <w:tab/>
        </w:r>
        <w:r w:rsidR="00C57318">
          <w:rPr>
            <w:noProof/>
            <w:webHidden/>
          </w:rPr>
          <w:fldChar w:fldCharType="begin"/>
        </w:r>
        <w:r w:rsidR="00C57318">
          <w:rPr>
            <w:noProof/>
            <w:webHidden/>
          </w:rPr>
          <w:instrText xml:space="preserve"> PAGEREF _Toc461684099 \h </w:instrText>
        </w:r>
        <w:r w:rsidR="00C57318">
          <w:rPr>
            <w:noProof/>
            <w:webHidden/>
          </w:rPr>
        </w:r>
        <w:r w:rsidR="00C57318">
          <w:rPr>
            <w:noProof/>
            <w:webHidden/>
          </w:rPr>
          <w:fldChar w:fldCharType="separate"/>
        </w:r>
        <w:r w:rsidR="00C57318">
          <w:rPr>
            <w:noProof/>
            <w:webHidden/>
          </w:rPr>
          <w:t>91</w:t>
        </w:r>
        <w:r w:rsidR="00C57318">
          <w:rPr>
            <w:noProof/>
            <w:webHidden/>
          </w:rPr>
          <w:fldChar w:fldCharType="end"/>
        </w:r>
      </w:hyperlink>
    </w:p>
    <w:p w14:paraId="4416F933" w14:textId="2E1C495C" w:rsidR="00C57318" w:rsidRDefault="00000000">
      <w:pPr>
        <w:pStyle w:val="TOC2"/>
        <w:tabs>
          <w:tab w:val="left" w:pos="880"/>
          <w:tab w:val="right" w:leader="dot" w:pos="9350"/>
        </w:tabs>
        <w:rPr>
          <w:rFonts w:asciiTheme="minorHAnsi" w:hAnsiTheme="minorHAnsi"/>
          <w:noProof/>
          <w:lang w:eastAsia="en-US"/>
        </w:rPr>
      </w:pPr>
      <w:hyperlink w:anchor="_Toc461684100" w:history="1">
        <w:r w:rsidR="00C57318" w:rsidRPr="00CE4258">
          <w:rPr>
            <w:rStyle w:val="Hyperlink"/>
            <w:noProof/>
          </w:rPr>
          <w:t>10.3</w:t>
        </w:r>
        <w:r w:rsidR="00C57318">
          <w:rPr>
            <w:rFonts w:asciiTheme="minorHAnsi" w:hAnsiTheme="minorHAnsi"/>
            <w:noProof/>
            <w:lang w:eastAsia="en-US"/>
          </w:rPr>
          <w:tab/>
        </w:r>
        <w:r w:rsidR="00C57318" w:rsidRPr="00CE4258">
          <w:rPr>
            <w:rStyle w:val="Hyperlink"/>
            <w:noProof/>
          </w:rPr>
          <w:t>enHealth and ASC NEPM guidance</w:t>
        </w:r>
        <w:r w:rsidR="00C57318">
          <w:rPr>
            <w:noProof/>
            <w:webHidden/>
          </w:rPr>
          <w:tab/>
        </w:r>
        <w:r w:rsidR="00C57318">
          <w:rPr>
            <w:noProof/>
            <w:webHidden/>
          </w:rPr>
          <w:fldChar w:fldCharType="begin"/>
        </w:r>
        <w:r w:rsidR="00C57318">
          <w:rPr>
            <w:noProof/>
            <w:webHidden/>
          </w:rPr>
          <w:instrText xml:space="preserve"> PAGEREF _Toc461684100 \h </w:instrText>
        </w:r>
        <w:r w:rsidR="00C57318">
          <w:rPr>
            <w:noProof/>
            <w:webHidden/>
          </w:rPr>
        </w:r>
        <w:r w:rsidR="00C57318">
          <w:rPr>
            <w:noProof/>
            <w:webHidden/>
          </w:rPr>
          <w:fldChar w:fldCharType="separate"/>
        </w:r>
        <w:r w:rsidR="00C57318">
          <w:rPr>
            <w:noProof/>
            <w:webHidden/>
          </w:rPr>
          <w:t>91</w:t>
        </w:r>
        <w:r w:rsidR="00C57318">
          <w:rPr>
            <w:noProof/>
            <w:webHidden/>
          </w:rPr>
          <w:fldChar w:fldCharType="end"/>
        </w:r>
      </w:hyperlink>
    </w:p>
    <w:p w14:paraId="4062FED5" w14:textId="4569E85C" w:rsidR="00C57318" w:rsidRDefault="00000000">
      <w:pPr>
        <w:pStyle w:val="TOC2"/>
        <w:tabs>
          <w:tab w:val="left" w:pos="880"/>
          <w:tab w:val="right" w:leader="dot" w:pos="9350"/>
        </w:tabs>
        <w:rPr>
          <w:rFonts w:asciiTheme="minorHAnsi" w:hAnsiTheme="minorHAnsi"/>
          <w:noProof/>
          <w:lang w:eastAsia="en-US"/>
        </w:rPr>
      </w:pPr>
      <w:hyperlink w:anchor="_Toc461684101" w:history="1">
        <w:r w:rsidR="00C57318" w:rsidRPr="00CE4258">
          <w:rPr>
            <w:rStyle w:val="Hyperlink"/>
            <w:noProof/>
          </w:rPr>
          <w:t>10.4</w:t>
        </w:r>
        <w:r w:rsidR="00C57318">
          <w:rPr>
            <w:rFonts w:asciiTheme="minorHAnsi" w:hAnsiTheme="minorHAnsi"/>
            <w:noProof/>
            <w:lang w:eastAsia="en-US"/>
          </w:rPr>
          <w:tab/>
        </w:r>
        <w:r w:rsidR="00C57318" w:rsidRPr="00CE4258">
          <w:rPr>
            <w:rStyle w:val="Hyperlink"/>
            <w:noProof/>
          </w:rPr>
          <w:t>CRC CARE guidance</w:t>
        </w:r>
        <w:r w:rsidR="00C57318">
          <w:rPr>
            <w:noProof/>
            <w:webHidden/>
          </w:rPr>
          <w:tab/>
        </w:r>
        <w:r w:rsidR="00C57318">
          <w:rPr>
            <w:noProof/>
            <w:webHidden/>
          </w:rPr>
          <w:fldChar w:fldCharType="begin"/>
        </w:r>
        <w:r w:rsidR="00C57318">
          <w:rPr>
            <w:noProof/>
            <w:webHidden/>
          </w:rPr>
          <w:instrText xml:space="preserve"> PAGEREF _Toc461684101 \h </w:instrText>
        </w:r>
        <w:r w:rsidR="00C57318">
          <w:rPr>
            <w:noProof/>
            <w:webHidden/>
          </w:rPr>
        </w:r>
        <w:r w:rsidR="00C57318">
          <w:rPr>
            <w:noProof/>
            <w:webHidden/>
          </w:rPr>
          <w:fldChar w:fldCharType="separate"/>
        </w:r>
        <w:r w:rsidR="00C57318">
          <w:rPr>
            <w:noProof/>
            <w:webHidden/>
          </w:rPr>
          <w:t>92</w:t>
        </w:r>
        <w:r w:rsidR="00C57318">
          <w:rPr>
            <w:noProof/>
            <w:webHidden/>
          </w:rPr>
          <w:fldChar w:fldCharType="end"/>
        </w:r>
      </w:hyperlink>
    </w:p>
    <w:p w14:paraId="30D6FB09" w14:textId="05D53263" w:rsidR="00C57318" w:rsidRDefault="00000000">
      <w:pPr>
        <w:pStyle w:val="TOC2"/>
        <w:tabs>
          <w:tab w:val="left" w:pos="880"/>
          <w:tab w:val="right" w:leader="dot" w:pos="9350"/>
        </w:tabs>
        <w:rPr>
          <w:rFonts w:asciiTheme="minorHAnsi" w:hAnsiTheme="minorHAnsi"/>
          <w:noProof/>
          <w:lang w:eastAsia="en-US"/>
        </w:rPr>
      </w:pPr>
      <w:hyperlink w:anchor="_Toc461684102" w:history="1">
        <w:r w:rsidR="00C57318" w:rsidRPr="00CE4258">
          <w:rPr>
            <w:rStyle w:val="Hyperlink"/>
            <w:noProof/>
          </w:rPr>
          <w:t>10.5</w:t>
        </w:r>
        <w:r w:rsidR="00C57318">
          <w:rPr>
            <w:rFonts w:asciiTheme="minorHAnsi" w:hAnsiTheme="minorHAnsi"/>
            <w:noProof/>
            <w:lang w:eastAsia="en-US"/>
          </w:rPr>
          <w:tab/>
        </w:r>
        <w:r w:rsidR="00C57318" w:rsidRPr="00CE4258">
          <w:rPr>
            <w:rStyle w:val="Hyperlink"/>
            <w:noProof/>
          </w:rPr>
          <w:t>Optimal communication strategies</w:t>
        </w:r>
        <w:r w:rsidR="00C57318">
          <w:rPr>
            <w:noProof/>
            <w:webHidden/>
          </w:rPr>
          <w:tab/>
        </w:r>
        <w:r w:rsidR="00C57318">
          <w:rPr>
            <w:noProof/>
            <w:webHidden/>
          </w:rPr>
          <w:fldChar w:fldCharType="begin"/>
        </w:r>
        <w:r w:rsidR="00C57318">
          <w:rPr>
            <w:noProof/>
            <w:webHidden/>
          </w:rPr>
          <w:instrText xml:space="preserve"> PAGEREF _Toc461684102 \h </w:instrText>
        </w:r>
        <w:r w:rsidR="00C57318">
          <w:rPr>
            <w:noProof/>
            <w:webHidden/>
          </w:rPr>
        </w:r>
        <w:r w:rsidR="00C57318">
          <w:rPr>
            <w:noProof/>
            <w:webHidden/>
          </w:rPr>
          <w:fldChar w:fldCharType="separate"/>
        </w:r>
        <w:r w:rsidR="00C57318">
          <w:rPr>
            <w:noProof/>
            <w:webHidden/>
          </w:rPr>
          <w:t>92</w:t>
        </w:r>
        <w:r w:rsidR="00C57318">
          <w:rPr>
            <w:noProof/>
            <w:webHidden/>
          </w:rPr>
          <w:fldChar w:fldCharType="end"/>
        </w:r>
      </w:hyperlink>
    </w:p>
    <w:p w14:paraId="426950F3" w14:textId="5AF82946" w:rsidR="00C57318" w:rsidRDefault="00000000">
      <w:pPr>
        <w:pStyle w:val="TOC1"/>
        <w:tabs>
          <w:tab w:val="left" w:pos="660"/>
          <w:tab w:val="right" w:leader="dot" w:pos="9350"/>
        </w:tabs>
        <w:rPr>
          <w:rFonts w:asciiTheme="minorHAnsi" w:hAnsiTheme="minorHAnsi"/>
          <w:noProof/>
          <w:lang w:eastAsia="en-US"/>
        </w:rPr>
      </w:pPr>
      <w:hyperlink w:anchor="_Toc461684103" w:history="1">
        <w:r w:rsidR="00C57318" w:rsidRPr="00CE4258">
          <w:rPr>
            <w:rStyle w:val="Hyperlink"/>
            <w:noProof/>
          </w:rPr>
          <w:t>11</w:t>
        </w:r>
        <w:r w:rsidR="00C57318">
          <w:rPr>
            <w:rFonts w:asciiTheme="minorHAnsi" w:hAnsiTheme="minorHAnsi"/>
            <w:noProof/>
            <w:lang w:eastAsia="en-US"/>
          </w:rPr>
          <w:tab/>
        </w:r>
        <w:r w:rsidR="00C57318" w:rsidRPr="00CE4258">
          <w:rPr>
            <w:rStyle w:val="Hyperlink"/>
            <w:noProof/>
          </w:rPr>
          <w:t>Future research needs</w:t>
        </w:r>
        <w:r w:rsidR="00C57318">
          <w:rPr>
            <w:noProof/>
            <w:webHidden/>
          </w:rPr>
          <w:tab/>
        </w:r>
        <w:r w:rsidR="00C57318">
          <w:rPr>
            <w:noProof/>
            <w:webHidden/>
          </w:rPr>
          <w:fldChar w:fldCharType="begin"/>
        </w:r>
        <w:r w:rsidR="00C57318">
          <w:rPr>
            <w:noProof/>
            <w:webHidden/>
          </w:rPr>
          <w:instrText xml:space="preserve"> PAGEREF _Toc461684103 \h </w:instrText>
        </w:r>
        <w:r w:rsidR="00C57318">
          <w:rPr>
            <w:noProof/>
            <w:webHidden/>
          </w:rPr>
        </w:r>
        <w:r w:rsidR="00C57318">
          <w:rPr>
            <w:noProof/>
            <w:webHidden/>
          </w:rPr>
          <w:fldChar w:fldCharType="separate"/>
        </w:r>
        <w:r w:rsidR="00C57318">
          <w:rPr>
            <w:noProof/>
            <w:webHidden/>
          </w:rPr>
          <w:t>93</w:t>
        </w:r>
        <w:r w:rsidR="00C57318">
          <w:rPr>
            <w:noProof/>
            <w:webHidden/>
          </w:rPr>
          <w:fldChar w:fldCharType="end"/>
        </w:r>
      </w:hyperlink>
    </w:p>
    <w:p w14:paraId="5D535B75" w14:textId="3F3D01EC" w:rsidR="00C57318" w:rsidRDefault="00000000">
      <w:pPr>
        <w:pStyle w:val="TOC2"/>
        <w:tabs>
          <w:tab w:val="left" w:pos="880"/>
          <w:tab w:val="right" w:leader="dot" w:pos="9350"/>
        </w:tabs>
        <w:rPr>
          <w:rFonts w:asciiTheme="minorHAnsi" w:hAnsiTheme="minorHAnsi"/>
          <w:noProof/>
          <w:lang w:eastAsia="en-US"/>
        </w:rPr>
      </w:pPr>
      <w:hyperlink w:anchor="_Toc461684104" w:history="1">
        <w:r w:rsidR="00C57318" w:rsidRPr="00CE4258">
          <w:rPr>
            <w:rStyle w:val="Hyperlink"/>
            <w:noProof/>
          </w:rPr>
          <w:t>11.1</w:t>
        </w:r>
        <w:r w:rsidR="00C57318">
          <w:rPr>
            <w:rFonts w:asciiTheme="minorHAnsi" w:hAnsiTheme="minorHAnsi"/>
            <w:noProof/>
            <w:lang w:eastAsia="en-US"/>
          </w:rPr>
          <w:tab/>
        </w:r>
        <w:r w:rsidR="00C57318" w:rsidRPr="00CE4258">
          <w:rPr>
            <w:rStyle w:val="Hyperlink"/>
            <w:noProof/>
          </w:rPr>
          <w:t>Modelling and measurement</w:t>
        </w:r>
        <w:r w:rsidR="00C57318">
          <w:rPr>
            <w:noProof/>
            <w:webHidden/>
          </w:rPr>
          <w:tab/>
        </w:r>
        <w:r w:rsidR="00C57318">
          <w:rPr>
            <w:noProof/>
            <w:webHidden/>
          </w:rPr>
          <w:fldChar w:fldCharType="begin"/>
        </w:r>
        <w:r w:rsidR="00C57318">
          <w:rPr>
            <w:noProof/>
            <w:webHidden/>
          </w:rPr>
          <w:instrText xml:space="preserve"> PAGEREF _Toc461684104 \h </w:instrText>
        </w:r>
        <w:r w:rsidR="00C57318">
          <w:rPr>
            <w:noProof/>
            <w:webHidden/>
          </w:rPr>
        </w:r>
        <w:r w:rsidR="00C57318">
          <w:rPr>
            <w:noProof/>
            <w:webHidden/>
          </w:rPr>
          <w:fldChar w:fldCharType="separate"/>
        </w:r>
        <w:r w:rsidR="00C57318">
          <w:rPr>
            <w:noProof/>
            <w:webHidden/>
          </w:rPr>
          <w:t>93</w:t>
        </w:r>
        <w:r w:rsidR="00C57318">
          <w:rPr>
            <w:noProof/>
            <w:webHidden/>
          </w:rPr>
          <w:fldChar w:fldCharType="end"/>
        </w:r>
      </w:hyperlink>
    </w:p>
    <w:p w14:paraId="61E887E5" w14:textId="085DC445" w:rsidR="00C57318" w:rsidRDefault="00000000">
      <w:pPr>
        <w:pStyle w:val="TOC2"/>
        <w:tabs>
          <w:tab w:val="left" w:pos="880"/>
          <w:tab w:val="right" w:leader="dot" w:pos="9350"/>
        </w:tabs>
        <w:rPr>
          <w:rFonts w:asciiTheme="minorHAnsi" w:hAnsiTheme="minorHAnsi"/>
          <w:noProof/>
          <w:lang w:eastAsia="en-US"/>
        </w:rPr>
      </w:pPr>
      <w:hyperlink w:anchor="_Toc461684105" w:history="1">
        <w:r w:rsidR="00C57318" w:rsidRPr="00CE4258">
          <w:rPr>
            <w:rStyle w:val="Hyperlink"/>
            <w:noProof/>
          </w:rPr>
          <w:t>11.2</w:t>
        </w:r>
        <w:r w:rsidR="00C57318">
          <w:rPr>
            <w:rFonts w:asciiTheme="minorHAnsi" w:hAnsiTheme="minorHAnsi"/>
            <w:noProof/>
            <w:lang w:eastAsia="en-US"/>
          </w:rPr>
          <w:tab/>
        </w:r>
        <w:r w:rsidR="00C57318" w:rsidRPr="00CE4258">
          <w:rPr>
            <w:rStyle w:val="Hyperlink"/>
            <w:noProof/>
          </w:rPr>
          <w:t>Exposure assessment and population impacts</w:t>
        </w:r>
        <w:r w:rsidR="00C57318">
          <w:rPr>
            <w:noProof/>
            <w:webHidden/>
          </w:rPr>
          <w:tab/>
        </w:r>
        <w:r w:rsidR="00C57318">
          <w:rPr>
            <w:noProof/>
            <w:webHidden/>
          </w:rPr>
          <w:fldChar w:fldCharType="begin"/>
        </w:r>
        <w:r w:rsidR="00C57318">
          <w:rPr>
            <w:noProof/>
            <w:webHidden/>
          </w:rPr>
          <w:instrText xml:space="preserve"> PAGEREF _Toc461684105 \h </w:instrText>
        </w:r>
        <w:r w:rsidR="00C57318">
          <w:rPr>
            <w:noProof/>
            <w:webHidden/>
          </w:rPr>
        </w:r>
        <w:r w:rsidR="00C57318">
          <w:rPr>
            <w:noProof/>
            <w:webHidden/>
          </w:rPr>
          <w:fldChar w:fldCharType="separate"/>
        </w:r>
        <w:r w:rsidR="00C57318">
          <w:rPr>
            <w:noProof/>
            <w:webHidden/>
          </w:rPr>
          <w:t>94</w:t>
        </w:r>
        <w:r w:rsidR="00C57318">
          <w:rPr>
            <w:noProof/>
            <w:webHidden/>
          </w:rPr>
          <w:fldChar w:fldCharType="end"/>
        </w:r>
      </w:hyperlink>
    </w:p>
    <w:p w14:paraId="30B247B7" w14:textId="1776E23B" w:rsidR="00C57318" w:rsidRDefault="00000000">
      <w:pPr>
        <w:pStyle w:val="TOC1"/>
        <w:tabs>
          <w:tab w:val="left" w:pos="660"/>
          <w:tab w:val="right" w:leader="dot" w:pos="9350"/>
        </w:tabs>
        <w:rPr>
          <w:rFonts w:asciiTheme="minorHAnsi" w:hAnsiTheme="minorHAnsi"/>
          <w:noProof/>
          <w:lang w:eastAsia="en-US"/>
        </w:rPr>
      </w:pPr>
      <w:hyperlink w:anchor="_Toc461684106" w:history="1">
        <w:r w:rsidR="00C57318" w:rsidRPr="00CE4258">
          <w:rPr>
            <w:rStyle w:val="Hyperlink"/>
            <w:noProof/>
          </w:rPr>
          <w:t>12</w:t>
        </w:r>
        <w:r w:rsidR="00C57318">
          <w:rPr>
            <w:rFonts w:asciiTheme="minorHAnsi" w:hAnsiTheme="minorHAnsi"/>
            <w:noProof/>
            <w:lang w:eastAsia="en-US"/>
          </w:rPr>
          <w:tab/>
        </w:r>
        <w:r w:rsidR="00C57318" w:rsidRPr="00CE4258">
          <w:rPr>
            <w:rStyle w:val="Hyperlink"/>
            <w:noProof/>
          </w:rPr>
          <w:t>References</w:t>
        </w:r>
        <w:r w:rsidR="00C57318">
          <w:rPr>
            <w:noProof/>
            <w:webHidden/>
          </w:rPr>
          <w:tab/>
        </w:r>
        <w:r w:rsidR="00C57318">
          <w:rPr>
            <w:noProof/>
            <w:webHidden/>
          </w:rPr>
          <w:fldChar w:fldCharType="begin"/>
        </w:r>
        <w:r w:rsidR="00C57318">
          <w:rPr>
            <w:noProof/>
            <w:webHidden/>
          </w:rPr>
          <w:instrText xml:space="preserve"> PAGEREF _Toc461684106 \h </w:instrText>
        </w:r>
        <w:r w:rsidR="00C57318">
          <w:rPr>
            <w:noProof/>
            <w:webHidden/>
          </w:rPr>
        </w:r>
        <w:r w:rsidR="00C57318">
          <w:rPr>
            <w:noProof/>
            <w:webHidden/>
          </w:rPr>
          <w:fldChar w:fldCharType="separate"/>
        </w:r>
        <w:r w:rsidR="00C57318">
          <w:rPr>
            <w:noProof/>
            <w:webHidden/>
          </w:rPr>
          <w:t>95</w:t>
        </w:r>
        <w:r w:rsidR="00C57318">
          <w:rPr>
            <w:noProof/>
            <w:webHidden/>
          </w:rPr>
          <w:fldChar w:fldCharType="end"/>
        </w:r>
      </w:hyperlink>
    </w:p>
    <w:p w14:paraId="4276040F" w14:textId="554FEE41" w:rsidR="00C57318" w:rsidRDefault="00000000">
      <w:pPr>
        <w:pStyle w:val="TOC1"/>
        <w:tabs>
          <w:tab w:val="left" w:pos="660"/>
          <w:tab w:val="right" w:leader="dot" w:pos="9350"/>
        </w:tabs>
        <w:rPr>
          <w:rFonts w:asciiTheme="minorHAnsi" w:hAnsiTheme="minorHAnsi"/>
          <w:noProof/>
          <w:lang w:eastAsia="en-US"/>
        </w:rPr>
      </w:pPr>
      <w:hyperlink w:anchor="_Toc461684107" w:history="1">
        <w:r w:rsidR="00C57318" w:rsidRPr="00CE4258">
          <w:rPr>
            <w:rStyle w:val="Hyperlink"/>
            <w:noProof/>
          </w:rPr>
          <w:t>13</w:t>
        </w:r>
        <w:r w:rsidR="00C57318">
          <w:rPr>
            <w:rFonts w:asciiTheme="minorHAnsi" w:hAnsiTheme="minorHAnsi"/>
            <w:noProof/>
            <w:lang w:eastAsia="en-US"/>
          </w:rPr>
          <w:tab/>
        </w:r>
        <w:r w:rsidR="00C57318" w:rsidRPr="00CE4258">
          <w:rPr>
            <w:rStyle w:val="Hyperlink"/>
            <w:noProof/>
          </w:rPr>
          <w:t>Appendices</w:t>
        </w:r>
        <w:r w:rsidR="00C57318">
          <w:rPr>
            <w:noProof/>
            <w:webHidden/>
          </w:rPr>
          <w:tab/>
        </w:r>
        <w:r w:rsidR="00C57318">
          <w:rPr>
            <w:noProof/>
            <w:webHidden/>
          </w:rPr>
          <w:fldChar w:fldCharType="begin"/>
        </w:r>
        <w:r w:rsidR="00C57318">
          <w:rPr>
            <w:noProof/>
            <w:webHidden/>
          </w:rPr>
          <w:instrText xml:space="preserve"> PAGEREF _Toc461684107 \h </w:instrText>
        </w:r>
        <w:r w:rsidR="00C57318">
          <w:rPr>
            <w:noProof/>
            <w:webHidden/>
          </w:rPr>
        </w:r>
        <w:r w:rsidR="00C57318">
          <w:rPr>
            <w:noProof/>
            <w:webHidden/>
          </w:rPr>
          <w:fldChar w:fldCharType="separate"/>
        </w:r>
        <w:r w:rsidR="00C57318">
          <w:rPr>
            <w:noProof/>
            <w:webHidden/>
          </w:rPr>
          <w:t>109</w:t>
        </w:r>
        <w:r w:rsidR="00C57318">
          <w:rPr>
            <w:noProof/>
            <w:webHidden/>
          </w:rPr>
          <w:fldChar w:fldCharType="end"/>
        </w:r>
      </w:hyperlink>
    </w:p>
    <w:p w14:paraId="5C6120CB" w14:textId="2B127B9A" w:rsidR="00D45FA0" w:rsidRPr="00942938" w:rsidRDefault="00275EAA" w:rsidP="00D45FA0">
      <w:pPr>
        <w:pStyle w:val="Heading1"/>
        <w:numPr>
          <w:ilvl w:val="0"/>
          <w:numId w:val="0"/>
        </w:numPr>
        <w:rPr>
          <w:b w:val="0"/>
          <w:bCs w:val="0"/>
          <w:i/>
          <w:smallCaps w:val="0"/>
        </w:rPr>
      </w:pPr>
      <w:r>
        <w:fldChar w:fldCharType="end"/>
      </w:r>
      <w:r w:rsidR="00D45FA0">
        <w:br w:type="page"/>
      </w:r>
    </w:p>
    <w:p w14:paraId="65D2822C" w14:textId="2057121C" w:rsidR="00B6351F" w:rsidRDefault="00B6351F" w:rsidP="00B6351F">
      <w:pPr>
        <w:jc w:val="center"/>
        <w:rPr>
          <w:b/>
        </w:rPr>
      </w:pPr>
    </w:p>
    <w:tbl>
      <w:tblPr>
        <w:tblStyle w:val="TableGrid"/>
        <w:tblW w:w="0" w:type="auto"/>
        <w:tblLook w:val="04A0" w:firstRow="1" w:lastRow="0" w:firstColumn="1" w:lastColumn="0" w:noHBand="0" w:noVBand="1"/>
      </w:tblPr>
      <w:tblGrid>
        <w:gridCol w:w="2335"/>
        <w:gridCol w:w="7015"/>
      </w:tblGrid>
      <w:tr w:rsidR="009A47BA" w14:paraId="71391DC4" w14:textId="77777777" w:rsidTr="006A5935">
        <w:tc>
          <w:tcPr>
            <w:tcW w:w="9576" w:type="dxa"/>
            <w:gridSpan w:val="2"/>
          </w:tcPr>
          <w:p w14:paraId="08D868CC" w14:textId="241C3CF6" w:rsidR="009A47BA" w:rsidRDefault="009A47BA" w:rsidP="00B6351F">
            <w:pPr>
              <w:jc w:val="center"/>
              <w:rPr>
                <w:b/>
              </w:rPr>
            </w:pPr>
            <w:r w:rsidRPr="00B6351F">
              <w:rPr>
                <w:b/>
              </w:rPr>
              <w:t xml:space="preserve">Glossary </w:t>
            </w:r>
            <w:r>
              <w:rPr>
                <w:b/>
              </w:rPr>
              <w:t>of</w:t>
            </w:r>
            <w:r w:rsidRPr="00B6351F">
              <w:rPr>
                <w:b/>
              </w:rPr>
              <w:t xml:space="preserve"> abbreviations</w:t>
            </w:r>
          </w:p>
        </w:tc>
      </w:tr>
      <w:tr w:rsidR="00BA5AEF" w14:paraId="2B98FE6F" w14:textId="77777777" w:rsidTr="00A56D92">
        <w:tc>
          <w:tcPr>
            <w:tcW w:w="2376" w:type="dxa"/>
          </w:tcPr>
          <w:p w14:paraId="2E100975" w14:textId="2584140E" w:rsidR="00BA5AEF" w:rsidRPr="00E67708" w:rsidRDefault="00D86D86" w:rsidP="00E67708">
            <w:pPr>
              <w:rPr>
                <w:rFonts w:cs="Arial"/>
                <w:sz w:val="20"/>
                <w:szCs w:val="20"/>
              </w:rPr>
            </w:pPr>
            <w:r>
              <w:rPr>
                <w:rFonts w:cs="Arial"/>
                <w:sz w:val="20"/>
                <w:szCs w:val="20"/>
              </w:rPr>
              <w:t>α</w:t>
            </w:r>
          </w:p>
        </w:tc>
        <w:tc>
          <w:tcPr>
            <w:tcW w:w="7200" w:type="dxa"/>
          </w:tcPr>
          <w:p w14:paraId="38478A7F" w14:textId="6EE64902" w:rsidR="00BA5AEF" w:rsidRPr="00E67708" w:rsidRDefault="00D86D86" w:rsidP="00E67708">
            <w:pPr>
              <w:rPr>
                <w:rFonts w:cs="Arial"/>
                <w:sz w:val="20"/>
                <w:szCs w:val="20"/>
              </w:rPr>
            </w:pPr>
            <w:r>
              <w:rPr>
                <w:rFonts w:cs="Arial"/>
                <w:sz w:val="20"/>
                <w:szCs w:val="20"/>
              </w:rPr>
              <w:t>Attenuation Factor in the JEM</w:t>
            </w:r>
          </w:p>
        </w:tc>
      </w:tr>
      <w:tr w:rsidR="0040290A" w14:paraId="3E7FD932" w14:textId="77777777" w:rsidTr="00A56D92">
        <w:tc>
          <w:tcPr>
            <w:tcW w:w="2376" w:type="dxa"/>
          </w:tcPr>
          <w:p w14:paraId="3E26441C" w14:textId="57474A1F" w:rsidR="0040290A" w:rsidRDefault="0040290A" w:rsidP="00E67708">
            <w:pPr>
              <w:rPr>
                <w:rFonts w:cs="Arial"/>
                <w:sz w:val="20"/>
                <w:szCs w:val="20"/>
              </w:rPr>
            </w:pPr>
            <w:r>
              <w:rPr>
                <w:rFonts w:cs="Arial"/>
                <w:sz w:val="20"/>
                <w:szCs w:val="20"/>
              </w:rPr>
              <w:t>L/</w:t>
            </w:r>
            <w:proofErr w:type="spellStart"/>
            <w:r>
              <w:rPr>
                <w:rFonts w:cs="Arial"/>
                <w:sz w:val="20"/>
                <w:szCs w:val="20"/>
              </w:rPr>
              <w:t>hr</w:t>
            </w:r>
            <w:proofErr w:type="spellEnd"/>
          </w:p>
        </w:tc>
        <w:tc>
          <w:tcPr>
            <w:tcW w:w="7200" w:type="dxa"/>
          </w:tcPr>
          <w:p w14:paraId="5D0FB42C" w14:textId="6FFD16A5" w:rsidR="0040290A" w:rsidRDefault="0040290A" w:rsidP="00E67708">
            <w:pPr>
              <w:rPr>
                <w:rFonts w:cs="Arial"/>
                <w:sz w:val="20"/>
                <w:szCs w:val="20"/>
              </w:rPr>
            </w:pPr>
            <w:proofErr w:type="spellStart"/>
            <w:r>
              <w:rPr>
                <w:rFonts w:cs="Arial"/>
                <w:sz w:val="20"/>
                <w:szCs w:val="20"/>
              </w:rPr>
              <w:t>Litres</w:t>
            </w:r>
            <w:proofErr w:type="spellEnd"/>
            <w:r>
              <w:rPr>
                <w:rFonts w:cs="Arial"/>
                <w:sz w:val="20"/>
                <w:szCs w:val="20"/>
              </w:rPr>
              <w:t xml:space="preserve"> per hour</w:t>
            </w:r>
          </w:p>
        </w:tc>
      </w:tr>
      <w:tr w:rsidR="0040290A" w14:paraId="1AAD3DCA" w14:textId="77777777" w:rsidTr="00A56D92">
        <w:tc>
          <w:tcPr>
            <w:tcW w:w="2376" w:type="dxa"/>
          </w:tcPr>
          <w:p w14:paraId="03C86F2E" w14:textId="12F142E5" w:rsidR="0040290A" w:rsidRDefault="0040290A" w:rsidP="00E67708">
            <w:pPr>
              <w:rPr>
                <w:rFonts w:cs="Arial"/>
                <w:sz w:val="20"/>
                <w:szCs w:val="20"/>
              </w:rPr>
            </w:pPr>
            <w:r>
              <w:rPr>
                <w:rFonts w:cs="Arial"/>
                <w:sz w:val="20"/>
                <w:szCs w:val="20"/>
              </w:rPr>
              <w:t>µg/m</w:t>
            </w:r>
            <w:r w:rsidRPr="0040290A">
              <w:rPr>
                <w:rFonts w:cs="Arial"/>
                <w:sz w:val="20"/>
                <w:szCs w:val="20"/>
                <w:vertAlign w:val="superscript"/>
              </w:rPr>
              <w:t>3</w:t>
            </w:r>
          </w:p>
        </w:tc>
        <w:tc>
          <w:tcPr>
            <w:tcW w:w="7200" w:type="dxa"/>
          </w:tcPr>
          <w:p w14:paraId="3B5DDB27" w14:textId="438054FA" w:rsidR="0040290A" w:rsidRDefault="0040290A" w:rsidP="00E67708">
            <w:pPr>
              <w:rPr>
                <w:rFonts w:cs="Arial"/>
                <w:sz w:val="20"/>
                <w:szCs w:val="20"/>
              </w:rPr>
            </w:pPr>
            <w:r>
              <w:rPr>
                <w:rFonts w:cs="Arial"/>
                <w:sz w:val="20"/>
                <w:szCs w:val="20"/>
              </w:rPr>
              <w:t xml:space="preserve">Microgram per cubic </w:t>
            </w:r>
            <w:proofErr w:type="spellStart"/>
            <w:r>
              <w:rPr>
                <w:rFonts w:cs="Arial"/>
                <w:sz w:val="20"/>
                <w:szCs w:val="20"/>
              </w:rPr>
              <w:t>metre</w:t>
            </w:r>
            <w:proofErr w:type="spellEnd"/>
          </w:p>
        </w:tc>
      </w:tr>
      <w:tr w:rsidR="0040290A" w14:paraId="70584747" w14:textId="77777777" w:rsidTr="00A56D92">
        <w:tc>
          <w:tcPr>
            <w:tcW w:w="2376" w:type="dxa"/>
          </w:tcPr>
          <w:p w14:paraId="600B4D6A" w14:textId="48B684F5" w:rsidR="0040290A" w:rsidRDefault="0040290A" w:rsidP="00E67708">
            <w:pPr>
              <w:rPr>
                <w:rFonts w:cs="Arial"/>
                <w:sz w:val="20"/>
                <w:szCs w:val="20"/>
              </w:rPr>
            </w:pPr>
            <w:r>
              <w:rPr>
                <w:rFonts w:cs="Arial"/>
                <w:sz w:val="20"/>
                <w:szCs w:val="20"/>
              </w:rPr>
              <w:t>%</w:t>
            </w:r>
          </w:p>
        </w:tc>
        <w:tc>
          <w:tcPr>
            <w:tcW w:w="7200" w:type="dxa"/>
          </w:tcPr>
          <w:p w14:paraId="2CA5D139" w14:textId="083DFE3A" w:rsidR="0040290A" w:rsidRDefault="0040290A" w:rsidP="00E67708">
            <w:pPr>
              <w:rPr>
                <w:rFonts w:cs="Arial"/>
                <w:sz w:val="20"/>
                <w:szCs w:val="20"/>
              </w:rPr>
            </w:pPr>
            <w:r>
              <w:rPr>
                <w:rFonts w:cs="Arial"/>
                <w:sz w:val="20"/>
                <w:szCs w:val="20"/>
              </w:rPr>
              <w:t>Percentage</w:t>
            </w:r>
          </w:p>
        </w:tc>
      </w:tr>
      <w:tr w:rsidR="0040290A" w14:paraId="1C7EF774" w14:textId="77777777" w:rsidTr="00A56D92">
        <w:tc>
          <w:tcPr>
            <w:tcW w:w="2376" w:type="dxa"/>
          </w:tcPr>
          <w:p w14:paraId="109BEAE1" w14:textId="547CB5E9" w:rsidR="0040290A" w:rsidRDefault="0040290A" w:rsidP="00E67708">
            <w:pPr>
              <w:rPr>
                <w:rFonts w:cs="Arial"/>
                <w:sz w:val="20"/>
                <w:szCs w:val="20"/>
              </w:rPr>
            </w:pPr>
            <w:r>
              <w:rPr>
                <w:rFonts w:cs="Arial"/>
                <w:sz w:val="20"/>
                <w:szCs w:val="20"/>
              </w:rPr>
              <w:t>% v/v</w:t>
            </w:r>
          </w:p>
        </w:tc>
        <w:tc>
          <w:tcPr>
            <w:tcW w:w="7200" w:type="dxa"/>
          </w:tcPr>
          <w:p w14:paraId="488E772E" w14:textId="7AB76A9E" w:rsidR="0040290A" w:rsidRDefault="0040290A" w:rsidP="00E67708">
            <w:pPr>
              <w:rPr>
                <w:rFonts w:cs="Arial"/>
                <w:sz w:val="20"/>
                <w:szCs w:val="20"/>
              </w:rPr>
            </w:pPr>
            <w:r>
              <w:rPr>
                <w:rFonts w:cs="Arial"/>
                <w:sz w:val="20"/>
                <w:szCs w:val="20"/>
              </w:rPr>
              <w:t>Percentage volume/volume</w:t>
            </w:r>
          </w:p>
        </w:tc>
      </w:tr>
      <w:tr w:rsidR="0040290A" w14:paraId="7EFD8DB4" w14:textId="77777777" w:rsidTr="00A56D92">
        <w:tc>
          <w:tcPr>
            <w:tcW w:w="2376" w:type="dxa"/>
          </w:tcPr>
          <w:p w14:paraId="1B63E119" w14:textId="28B4E60D" w:rsidR="0040290A" w:rsidRPr="00E67708" w:rsidRDefault="0040290A" w:rsidP="00E67708">
            <w:pPr>
              <w:rPr>
                <w:rFonts w:cs="Arial"/>
                <w:sz w:val="20"/>
                <w:szCs w:val="20"/>
              </w:rPr>
            </w:pPr>
            <w:r>
              <w:rPr>
                <w:rFonts w:cs="Arial"/>
                <w:sz w:val="20"/>
                <w:szCs w:val="20"/>
              </w:rPr>
              <w:t>% w/w</w:t>
            </w:r>
          </w:p>
        </w:tc>
        <w:tc>
          <w:tcPr>
            <w:tcW w:w="7200" w:type="dxa"/>
          </w:tcPr>
          <w:p w14:paraId="61BF3267" w14:textId="6D4881CF" w:rsidR="0040290A" w:rsidRPr="00E67708" w:rsidRDefault="0040290A" w:rsidP="00E67708">
            <w:pPr>
              <w:rPr>
                <w:rFonts w:cs="Arial"/>
                <w:sz w:val="20"/>
                <w:szCs w:val="20"/>
              </w:rPr>
            </w:pPr>
            <w:r>
              <w:rPr>
                <w:rFonts w:cs="Arial"/>
                <w:sz w:val="20"/>
                <w:szCs w:val="20"/>
              </w:rPr>
              <w:t>Percentage weight/weight</w:t>
            </w:r>
          </w:p>
        </w:tc>
      </w:tr>
      <w:tr w:rsidR="009A47BA" w14:paraId="5F718914" w14:textId="77777777" w:rsidTr="00A56D92">
        <w:tc>
          <w:tcPr>
            <w:tcW w:w="2376" w:type="dxa"/>
          </w:tcPr>
          <w:p w14:paraId="5079D542" w14:textId="21A4B389" w:rsidR="009A47BA" w:rsidRPr="00E67708" w:rsidRDefault="009A47BA" w:rsidP="00E67708">
            <w:pPr>
              <w:rPr>
                <w:rFonts w:cs="Arial"/>
                <w:sz w:val="20"/>
                <w:szCs w:val="20"/>
              </w:rPr>
            </w:pPr>
            <w:r w:rsidRPr="00E67708">
              <w:rPr>
                <w:rFonts w:cs="Arial"/>
                <w:sz w:val="20"/>
                <w:szCs w:val="20"/>
              </w:rPr>
              <w:t>2D</w:t>
            </w:r>
          </w:p>
        </w:tc>
        <w:tc>
          <w:tcPr>
            <w:tcW w:w="7200" w:type="dxa"/>
          </w:tcPr>
          <w:p w14:paraId="6CF71F1D" w14:textId="7A44B451" w:rsidR="009A47BA" w:rsidRPr="00E67708" w:rsidRDefault="00440A00" w:rsidP="00E67708">
            <w:pPr>
              <w:rPr>
                <w:rFonts w:cs="Arial"/>
                <w:sz w:val="20"/>
                <w:szCs w:val="20"/>
              </w:rPr>
            </w:pPr>
            <w:r w:rsidRPr="00E67708">
              <w:rPr>
                <w:rFonts w:cs="Arial"/>
                <w:sz w:val="20"/>
                <w:szCs w:val="20"/>
              </w:rPr>
              <w:t>Two-dimensional</w:t>
            </w:r>
          </w:p>
        </w:tc>
      </w:tr>
      <w:tr w:rsidR="009A47BA" w14:paraId="1A76E73F" w14:textId="77777777" w:rsidTr="00A56D92">
        <w:tc>
          <w:tcPr>
            <w:tcW w:w="2376" w:type="dxa"/>
          </w:tcPr>
          <w:p w14:paraId="5D6C041E" w14:textId="5E92150E" w:rsidR="009A47BA" w:rsidRPr="00E67708" w:rsidRDefault="009A47BA" w:rsidP="00E67708">
            <w:pPr>
              <w:rPr>
                <w:rFonts w:cs="Arial"/>
                <w:sz w:val="20"/>
                <w:szCs w:val="20"/>
              </w:rPr>
            </w:pPr>
            <w:r w:rsidRPr="00E67708">
              <w:rPr>
                <w:rFonts w:cs="Arial"/>
                <w:sz w:val="20"/>
                <w:szCs w:val="20"/>
              </w:rPr>
              <w:t>3D</w:t>
            </w:r>
          </w:p>
        </w:tc>
        <w:tc>
          <w:tcPr>
            <w:tcW w:w="7200" w:type="dxa"/>
          </w:tcPr>
          <w:p w14:paraId="13E6DB47" w14:textId="38C68562" w:rsidR="009A47BA" w:rsidRPr="00E67708" w:rsidRDefault="00440A00" w:rsidP="00E67708">
            <w:pPr>
              <w:rPr>
                <w:rFonts w:cs="Arial"/>
                <w:sz w:val="20"/>
                <w:szCs w:val="20"/>
              </w:rPr>
            </w:pPr>
            <w:r w:rsidRPr="00E67708">
              <w:rPr>
                <w:rFonts w:cs="Arial"/>
                <w:sz w:val="20"/>
                <w:szCs w:val="20"/>
              </w:rPr>
              <w:t>Three-dimensional</w:t>
            </w:r>
          </w:p>
        </w:tc>
      </w:tr>
      <w:tr w:rsidR="00D17984" w14:paraId="31E8F9E9" w14:textId="77777777" w:rsidTr="00A56D92">
        <w:tc>
          <w:tcPr>
            <w:tcW w:w="2376" w:type="dxa"/>
          </w:tcPr>
          <w:p w14:paraId="126A81CA" w14:textId="51C83E81" w:rsidR="00D17984" w:rsidRPr="00E67708" w:rsidRDefault="00D17984" w:rsidP="00E67708">
            <w:pPr>
              <w:rPr>
                <w:rFonts w:cs="Arial"/>
                <w:sz w:val="20"/>
                <w:szCs w:val="20"/>
              </w:rPr>
            </w:pPr>
            <w:r w:rsidRPr="00E67708">
              <w:rPr>
                <w:rFonts w:cs="Arial"/>
                <w:sz w:val="20"/>
                <w:szCs w:val="20"/>
              </w:rPr>
              <w:t>Air Toxics NEPM</w:t>
            </w:r>
          </w:p>
        </w:tc>
        <w:tc>
          <w:tcPr>
            <w:tcW w:w="7200" w:type="dxa"/>
          </w:tcPr>
          <w:p w14:paraId="1B01DF87" w14:textId="53874FBC" w:rsidR="00D17984" w:rsidRPr="00E67708" w:rsidRDefault="005A64A9" w:rsidP="00E67708">
            <w:pPr>
              <w:rPr>
                <w:rFonts w:cs="Arial"/>
                <w:sz w:val="20"/>
                <w:szCs w:val="20"/>
              </w:rPr>
            </w:pPr>
            <w:r>
              <w:rPr>
                <w:rFonts w:cs="Arial"/>
                <w:sz w:val="20"/>
                <w:szCs w:val="20"/>
              </w:rPr>
              <w:t>National Environment Protection (Air Toxics) Measure</w:t>
            </w:r>
          </w:p>
        </w:tc>
      </w:tr>
      <w:tr w:rsidR="00440A00" w14:paraId="0DB797FD" w14:textId="77777777" w:rsidTr="00A56D92">
        <w:tc>
          <w:tcPr>
            <w:tcW w:w="2376" w:type="dxa"/>
          </w:tcPr>
          <w:p w14:paraId="489EBE90" w14:textId="1E054C4D" w:rsidR="00440A00" w:rsidRPr="00E67708" w:rsidRDefault="00440A00" w:rsidP="00E67708">
            <w:pPr>
              <w:rPr>
                <w:rFonts w:cs="Arial"/>
                <w:sz w:val="20"/>
                <w:szCs w:val="20"/>
              </w:rPr>
            </w:pPr>
            <w:r w:rsidRPr="00E67708">
              <w:rPr>
                <w:rFonts w:cs="Arial"/>
                <w:sz w:val="20"/>
                <w:szCs w:val="20"/>
              </w:rPr>
              <w:t>Atm m</w:t>
            </w:r>
            <w:r w:rsidRPr="00E67708">
              <w:rPr>
                <w:rFonts w:cs="Arial"/>
                <w:sz w:val="20"/>
                <w:szCs w:val="20"/>
                <w:vertAlign w:val="superscript"/>
              </w:rPr>
              <w:t>3</w:t>
            </w:r>
            <w:r w:rsidRPr="00E67708">
              <w:rPr>
                <w:rFonts w:cs="Arial"/>
                <w:sz w:val="20"/>
                <w:szCs w:val="20"/>
              </w:rPr>
              <w:t xml:space="preserve"> mol</w:t>
            </w:r>
            <w:r w:rsidRPr="00E67708">
              <w:rPr>
                <w:rFonts w:cs="Arial"/>
                <w:sz w:val="20"/>
                <w:szCs w:val="20"/>
                <w:vertAlign w:val="superscript"/>
              </w:rPr>
              <w:t>-1</w:t>
            </w:r>
          </w:p>
        </w:tc>
        <w:tc>
          <w:tcPr>
            <w:tcW w:w="7200" w:type="dxa"/>
          </w:tcPr>
          <w:p w14:paraId="0D0180D1" w14:textId="5EE8D713" w:rsidR="00440A00" w:rsidRPr="00E67708" w:rsidRDefault="00440A00" w:rsidP="00E67708">
            <w:pPr>
              <w:rPr>
                <w:rFonts w:cs="Arial"/>
                <w:sz w:val="20"/>
                <w:szCs w:val="20"/>
              </w:rPr>
            </w:pPr>
            <w:r w:rsidRPr="00E67708">
              <w:rPr>
                <w:rFonts w:cs="Arial"/>
                <w:sz w:val="20"/>
                <w:szCs w:val="20"/>
              </w:rPr>
              <w:t>Atmosphere-</w:t>
            </w:r>
            <w:proofErr w:type="spellStart"/>
            <w:r w:rsidRPr="00E67708">
              <w:rPr>
                <w:rFonts w:cs="Arial"/>
                <w:sz w:val="20"/>
                <w:szCs w:val="20"/>
              </w:rPr>
              <w:t>metre</w:t>
            </w:r>
            <w:proofErr w:type="spellEnd"/>
            <w:r w:rsidRPr="00E67708">
              <w:rPr>
                <w:rFonts w:cs="Arial"/>
                <w:sz w:val="20"/>
                <w:szCs w:val="20"/>
              </w:rPr>
              <w:t xml:space="preserve"> cubed per mole</w:t>
            </w:r>
          </w:p>
        </w:tc>
      </w:tr>
      <w:tr w:rsidR="009A47BA" w14:paraId="7A2A630E" w14:textId="77777777" w:rsidTr="00A56D92">
        <w:tc>
          <w:tcPr>
            <w:tcW w:w="2376" w:type="dxa"/>
          </w:tcPr>
          <w:p w14:paraId="3E757225" w14:textId="47271875" w:rsidR="009A47BA" w:rsidRPr="00E67708" w:rsidRDefault="009A47BA" w:rsidP="00E67708">
            <w:pPr>
              <w:rPr>
                <w:rFonts w:cs="Arial"/>
                <w:sz w:val="20"/>
                <w:szCs w:val="20"/>
              </w:rPr>
            </w:pPr>
            <w:r w:rsidRPr="00E67708">
              <w:rPr>
                <w:rFonts w:cs="Arial"/>
                <w:sz w:val="20"/>
                <w:szCs w:val="20"/>
              </w:rPr>
              <w:t>ABS</w:t>
            </w:r>
          </w:p>
        </w:tc>
        <w:tc>
          <w:tcPr>
            <w:tcW w:w="7200" w:type="dxa"/>
          </w:tcPr>
          <w:p w14:paraId="3AA8D619" w14:textId="32F7C11E" w:rsidR="009A47BA" w:rsidRPr="00E67708" w:rsidRDefault="00440A00" w:rsidP="00E67708">
            <w:pPr>
              <w:rPr>
                <w:rFonts w:cs="Arial"/>
                <w:sz w:val="20"/>
                <w:szCs w:val="20"/>
              </w:rPr>
            </w:pPr>
            <w:r w:rsidRPr="00E67708">
              <w:rPr>
                <w:rFonts w:cs="Arial"/>
                <w:sz w:val="20"/>
                <w:szCs w:val="20"/>
              </w:rPr>
              <w:t>Australian Bureau of Statistics</w:t>
            </w:r>
          </w:p>
        </w:tc>
      </w:tr>
      <w:tr w:rsidR="00440A00" w14:paraId="56E41068" w14:textId="77777777" w:rsidTr="00A56D92">
        <w:tc>
          <w:tcPr>
            <w:tcW w:w="2376" w:type="dxa"/>
          </w:tcPr>
          <w:p w14:paraId="0082C03C" w14:textId="06564582" w:rsidR="00440A00" w:rsidRPr="00E67708" w:rsidRDefault="00440A00" w:rsidP="00E67708">
            <w:pPr>
              <w:rPr>
                <w:rFonts w:cs="Arial"/>
                <w:sz w:val="20"/>
                <w:szCs w:val="20"/>
              </w:rPr>
            </w:pPr>
            <w:r w:rsidRPr="00E67708">
              <w:rPr>
                <w:rFonts w:cs="Arial"/>
                <w:sz w:val="20"/>
                <w:szCs w:val="20"/>
              </w:rPr>
              <w:t>ADIs</w:t>
            </w:r>
          </w:p>
        </w:tc>
        <w:tc>
          <w:tcPr>
            <w:tcW w:w="7200" w:type="dxa"/>
          </w:tcPr>
          <w:p w14:paraId="33156583" w14:textId="4D6849AC" w:rsidR="00440A00" w:rsidRPr="00E67708" w:rsidRDefault="0040290A" w:rsidP="00E67708">
            <w:pPr>
              <w:rPr>
                <w:rFonts w:cs="Arial"/>
                <w:sz w:val="20"/>
                <w:szCs w:val="20"/>
              </w:rPr>
            </w:pPr>
            <w:r>
              <w:rPr>
                <w:rFonts w:cs="Arial"/>
                <w:sz w:val="20"/>
                <w:szCs w:val="20"/>
              </w:rPr>
              <w:t>Acceptable Daily Intakes</w:t>
            </w:r>
          </w:p>
        </w:tc>
      </w:tr>
      <w:tr w:rsidR="00284835" w14:paraId="21ED5B54" w14:textId="77777777" w:rsidTr="00A56D92">
        <w:tc>
          <w:tcPr>
            <w:tcW w:w="2376" w:type="dxa"/>
          </w:tcPr>
          <w:p w14:paraId="3737E93B" w14:textId="55FC587D" w:rsidR="00284835" w:rsidRPr="00E67708" w:rsidRDefault="009A47BA" w:rsidP="00E67708">
            <w:pPr>
              <w:rPr>
                <w:rFonts w:cs="Arial"/>
                <w:sz w:val="20"/>
                <w:szCs w:val="20"/>
              </w:rPr>
            </w:pPr>
            <w:r w:rsidRPr="00E67708">
              <w:rPr>
                <w:rFonts w:cs="Arial"/>
                <w:sz w:val="20"/>
                <w:szCs w:val="20"/>
              </w:rPr>
              <w:t>ASC NEPM</w:t>
            </w:r>
          </w:p>
        </w:tc>
        <w:tc>
          <w:tcPr>
            <w:tcW w:w="7200" w:type="dxa"/>
          </w:tcPr>
          <w:p w14:paraId="76FB4E07" w14:textId="6D0BAD8D" w:rsidR="00284835" w:rsidRPr="00E67708" w:rsidRDefault="00440A00" w:rsidP="00E67708">
            <w:pPr>
              <w:rPr>
                <w:rFonts w:cs="Arial"/>
                <w:sz w:val="20"/>
                <w:szCs w:val="20"/>
              </w:rPr>
            </w:pPr>
            <w:r w:rsidRPr="00E67708">
              <w:rPr>
                <w:rFonts w:cs="Arial"/>
                <w:sz w:val="20"/>
                <w:szCs w:val="20"/>
              </w:rPr>
              <w:t>National Environment Protection</w:t>
            </w:r>
          </w:p>
        </w:tc>
      </w:tr>
      <w:tr w:rsidR="00284835" w14:paraId="05DF5D43" w14:textId="77777777" w:rsidTr="00A56D92">
        <w:tc>
          <w:tcPr>
            <w:tcW w:w="2376" w:type="dxa"/>
          </w:tcPr>
          <w:p w14:paraId="29D577DD" w14:textId="5E508930" w:rsidR="00284835" w:rsidRPr="00E67708" w:rsidRDefault="009A47BA" w:rsidP="00E67708">
            <w:pPr>
              <w:rPr>
                <w:rFonts w:cs="Arial"/>
                <w:sz w:val="20"/>
                <w:szCs w:val="20"/>
              </w:rPr>
            </w:pPr>
            <w:r w:rsidRPr="00E67708">
              <w:rPr>
                <w:rFonts w:cs="Arial"/>
                <w:sz w:val="20"/>
                <w:szCs w:val="20"/>
              </w:rPr>
              <w:t>ASTM</w:t>
            </w:r>
          </w:p>
        </w:tc>
        <w:tc>
          <w:tcPr>
            <w:tcW w:w="7200" w:type="dxa"/>
          </w:tcPr>
          <w:p w14:paraId="7D6424A9" w14:textId="6A540329" w:rsidR="00284835" w:rsidRPr="00E67708" w:rsidRDefault="00B46E93" w:rsidP="00E67708">
            <w:pPr>
              <w:rPr>
                <w:rFonts w:cs="Arial"/>
                <w:sz w:val="20"/>
                <w:szCs w:val="20"/>
              </w:rPr>
            </w:pPr>
            <w:r w:rsidRPr="00E67708">
              <w:rPr>
                <w:rFonts w:cs="Arial"/>
                <w:sz w:val="20"/>
                <w:szCs w:val="20"/>
              </w:rPr>
              <w:t>American Society for Testing and Materials</w:t>
            </w:r>
          </w:p>
        </w:tc>
      </w:tr>
      <w:tr w:rsidR="009A47BA" w14:paraId="5086E17E" w14:textId="77777777" w:rsidTr="00A56D92">
        <w:tc>
          <w:tcPr>
            <w:tcW w:w="2376" w:type="dxa"/>
          </w:tcPr>
          <w:p w14:paraId="2FE5DC87" w14:textId="61856D4C" w:rsidR="009A47BA" w:rsidRPr="00E67708" w:rsidRDefault="009A47BA" w:rsidP="00E67708">
            <w:pPr>
              <w:rPr>
                <w:rFonts w:cs="Arial"/>
                <w:sz w:val="20"/>
                <w:szCs w:val="20"/>
              </w:rPr>
            </w:pPr>
            <w:r w:rsidRPr="00E67708">
              <w:rPr>
                <w:rFonts w:cs="Arial"/>
                <w:sz w:val="20"/>
                <w:szCs w:val="20"/>
              </w:rPr>
              <w:t>ATSDR</w:t>
            </w:r>
          </w:p>
        </w:tc>
        <w:tc>
          <w:tcPr>
            <w:tcW w:w="7200" w:type="dxa"/>
          </w:tcPr>
          <w:p w14:paraId="2049F69E" w14:textId="740DE345" w:rsidR="009A47BA" w:rsidRPr="00E67708" w:rsidRDefault="00440A00" w:rsidP="00E67708">
            <w:pPr>
              <w:rPr>
                <w:rFonts w:cs="Arial"/>
                <w:sz w:val="20"/>
                <w:szCs w:val="20"/>
              </w:rPr>
            </w:pPr>
            <w:r w:rsidRPr="00E67708">
              <w:rPr>
                <w:rFonts w:cs="Arial"/>
                <w:sz w:val="20"/>
                <w:szCs w:val="20"/>
              </w:rPr>
              <w:t>Agency for Toxic Substances and Disease Registry</w:t>
            </w:r>
          </w:p>
        </w:tc>
      </w:tr>
      <w:tr w:rsidR="009437E7" w14:paraId="20407B55" w14:textId="77777777" w:rsidTr="00A56D92">
        <w:tc>
          <w:tcPr>
            <w:tcW w:w="2376" w:type="dxa"/>
          </w:tcPr>
          <w:p w14:paraId="072BD6A3" w14:textId="64C82DAA" w:rsidR="009437E7" w:rsidRPr="00E67708" w:rsidRDefault="009437E7" w:rsidP="00E67708">
            <w:pPr>
              <w:rPr>
                <w:rFonts w:cs="Arial"/>
                <w:sz w:val="20"/>
                <w:szCs w:val="20"/>
              </w:rPr>
            </w:pPr>
            <w:r>
              <w:rPr>
                <w:rFonts w:cs="Arial"/>
                <w:sz w:val="20"/>
                <w:szCs w:val="20"/>
              </w:rPr>
              <w:t>BC</w:t>
            </w:r>
          </w:p>
        </w:tc>
        <w:tc>
          <w:tcPr>
            <w:tcW w:w="7200" w:type="dxa"/>
          </w:tcPr>
          <w:p w14:paraId="37D5CDAF" w14:textId="6E8CBF07" w:rsidR="009437E7" w:rsidRPr="00E67708" w:rsidRDefault="009437E7" w:rsidP="00E67708">
            <w:pPr>
              <w:rPr>
                <w:rFonts w:cs="Arial"/>
                <w:sz w:val="20"/>
                <w:szCs w:val="20"/>
              </w:rPr>
            </w:pPr>
            <w:r>
              <w:rPr>
                <w:rFonts w:cs="Arial"/>
                <w:sz w:val="20"/>
                <w:szCs w:val="20"/>
              </w:rPr>
              <w:t>British Columbia</w:t>
            </w:r>
          </w:p>
        </w:tc>
      </w:tr>
      <w:tr w:rsidR="009437E7" w14:paraId="3F9A65B5" w14:textId="77777777" w:rsidTr="00A56D92">
        <w:tc>
          <w:tcPr>
            <w:tcW w:w="2376" w:type="dxa"/>
          </w:tcPr>
          <w:p w14:paraId="7F343477" w14:textId="213CB90E" w:rsidR="009437E7" w:rsidRPr="00E67708" w:rsidRDefault="009437E7" w:rsidP="00E67708">
            <w:pPr>
              <w:rPr>
                <w:rFonts w:cs="Arial"/>
                <w:sz w:val="20"/>
                <w:szCs w:val="20"/>
              </w:rPr>
            </w:pPr>
            <w:r>
              <w:rPr>
                <w:rFonts w:cs="Arial"/>
                <w:sz w:val="20"/>
                <w:szCs w:val="20"/>
              </w:rPr>
              <w:t>BPRISC</w:t>
            </w:r>
          </w:p>
        </w:tc>
        <w:tc>
          <w:tcPr>
            <w:tcW w:w="7200" w:type="dxa"/>
          </w:tcPr>
          <w:p w14:paraId="10CDBB62" w14:textId="0760720A" w:rsidR="009437E7" w:rsidRPr="009437E7" w:rsidRDefault="009437E7" w:rsidP="00E67708">
            <w:pPr>
              <w:rPr>
                <w:rFonts w:cs="Arial"/>
                <w:sz w:val="20"/>
                <w:szCs w:val="20"/>
              </w:rPr>
            </w:pPr>
            <w:r w:rsidRPr="009437E7">
              <w:rPr>
                <w:iCs/>
                <w:sz w:val="20"/>
                <w:szCs w:val="20"/>
              </w:rPr>
              <w:t>BP's Risk</w:t>
            </w:r>
            <w:r w:rsidRPr="009437E7">
              <w:rPr>
                <w:sz w:val="20"/>
                <w:szCs w:val="20"/>
              </w:rPr>
              <w:t>-Integrated Software for Cleanups</w:t>
            </w:r>
          </w:p>
        </w:tc>
      </w:tr>
      <w:tr w:rsidR="00B46E93" w14:paraId="75B2F9AB" w14:textId="77777777" w:rsidTr="00A56D92">
        <w:tc>
          <w:tcPr>
            <w:tcW w:w="2376" w:type="dxa"/>
          </w:tcPr>
          <w:p w14:paraId="29D08B75" w14:textId="6E20FFD1" w:rsidR="00B46E93" w:rsidRPr="00E67708" w:rsidRDefault="00B46E93" w:rsidP="00E67708">
            <w:pPr>
              <w:rPr>
                <w:rFonts w:cs="Arial"/>
                <w:sz w:val="20"/>
                <w:szCs w:val="20"/>
              </w:rPr>
            </w:pPr>
            <w:r w:rsidRPr="00E67708">
              <w:rPr>
                <w:rFonts w:cs="Arial"/>
                <w:sz w:val="20"/>
                <w:szCs w:val="20"/>
              </w:rPr>
              <w:t>BRAC</w:t>
            </w:r>
          </w:p>
        </w:tc>
        <w:tc>
          <w:tcPr>
            <w:tcW w:w="7200" w:type="dxa"/>
          </w:tcPr>
          <w:p w14:paraId="4082D1AF" w14:textId="0302E7F2" w:rsidR="00B46E93" w:rsidRPr="00E67708" w:rsidRDefault="00B46E93" w:rsidP="00E67708">
            <w:pPr>
              <w:rPr>
                <w:rFonts w:cs="Arial"/>
                <w:sz w:val="20"/>
                <w:szCs w:val="20"/>
              </w:rPr>
            </w:pPr>
            <w:r w:rsidRPr="00E67708">
              <w:rPr>
                <w:rFonts w:cs="Arial"/>
                <w:sz w:val="20"/>
                <w:szCs w:val="20"/>
              </w:rPr>
              <w:t>Base Re-alignment and Closure Act</w:t>
            </w:r>
          </w:p>
        </w:tc>
      </w:tr>
      <w:tr w:rsidR="00EB538B" w14:paraId="25745A43" w14:textId="77777777" w:rsidTr="00A56D92">
        <w:tc>
          <w:tcPr>
            <w:tcW w:w="2376" w:type="dxa"/>
          </w:tcPr>
          <w:p w14:paraId="5B270A2A" w14:textId="7BB7762E" w:rsidR="00EB538B" w:rsidRPr="00E67708" w:rsidRDefault="00EB538B" w:rsidP="00E67708">
            <w:pPr>
              <w:rPr>
                <w:rFonts w:cs="Arial"/>
                <w:sz w:val="20"/>
                <w:szCs w:val="20"/>
              </w:rPr>
            </w:pPr>
            <w:r w:rsidRPr="00E67708">
              <w:rPr>
                <w:rFonts w:cs="Arial"/>
                <w:sz w:val="20"/>
                <w:szCs w:val="20"/>
              </w:rPr>
              <w:t>BSI</w:t>
            </w:r>
          </w:p>
        </w:tc>
        <w:tc>
          <w:tcPr>
            <w:tcW w:w="7200" w:type="dxa"/>
          </w:tcPr>
          <w:p w14:paraId="03BDDA82" w14:textId="483DCB9B" w:rsidR="00EB538B" w:rsidRPr="00E67708" w:rsidRDefault="00EB538B" w:rsidP="00E67708">
            <w:pPr>
              <w:rPr>
                <w:rFonts w:cs="Arial"/>
                <w:sz w:val="20"/>
                <w:szCs w:val="20"/>
              </w:rPr>
            </w:pPr>
            <w:r w:rsidRPr="00E67708">
              <w:rPr>
                <w:rFonts w:cs="Arial"/>
                <w:sz w:val="20"/>
                <w:szCs w:val="20"/>
              </w:rPr>
              <w:t>British Standards Institute</w:t>
            </w:r>
          </w:p>
        </w:tc>
      </w:tr>
      <w:tr w:rsidR="00A56D92" w14:paraId="04133DDC" w14:textId="77777777" w:rsidTr="00A56D92">
        <w:tc>
          <w:tcPr>
            <w:tcW w:w="2376" w:type="dxa"/>
          </w:tcPr>
          <w:p w14:paraId="0870F36A" w14:textId="7138DBE3" w:rsidR="00A56D92" w:rsidRPr="00E67708" w:rsidRDefault="00A56D92" w:rsidP="00E67708">
            <w:pPr>
              <w:rPr>
                <w:rFonts w:cs="Arial"/>
                <w:sz w:val="20"/>
                <w:szCs w:val="20"/>
              </w:rPr>
            </w:pPr>
            <w:r w:rsidRPr="00E67708">
              <w:rPr>
                <w:rFonts w:cs="Arial"/>
                <w:sz w:val="20"/>
                <w:szCs w:val="20"/>
              </w:rPr>
              <w:t>CARACAS</w:t>
            </w:r>
          </w:p>
        </w:tc>
        <w:tc>
          <w:tcPr>
            <w:tcW w:w="7200" w:type="dxa"/>
          </w:tcPr>
          <w:p w14:paraId="7036DEEE" w14:textId="2D5891CC" w:rsidR="00A56D92" w:rsidRPr="00E67708" w:rsidRDefault="00A56D92" w:rsidP="00E67708">
            <w:pPr>
              <w:rPr>
                <w:rFonts w:cs="Arial"/>
                <w:sz w:val="20"/>
                <w:szCs w:val="20"/>
              </w:rPr>
            </w:pPr>
            <w:r w:rsidRPr="00E67708">
              <w:rPr>
                <w:rFonts w:cs="Arial"/>
                <w:sz w:val="20"/>
                <w:szCs w:val="20"/>
              </w:rPr>
              <w:t>Concerted Action on Risk Assessment for Contaminated Sites in the European Union</w:t>
            </w:r>
          </w:p>
        </w:tc>
      </w:tr>
      <w:tr w:rsidR="00440A00" w14:paraId="01452A6C" w14:textId="77777777" w:rsidTr="00A56D92">
        <w:tc>
          <w:tcPr>
            <w:tcW w:w="2376" w:type="dxa"/>
          </w:tcPr>
          <w:p w14:paraId="2477CF33" w14:textId="557921F0" w:rsidR="00440A00" w:rsidRPr="00E67708" w:rsidRDefault="00440A00" w:rsidP="00E67708">
            <w:pPr>
              <w:rPr>
                <w:rFonts w:cs="Arial"/>
                <w:sz w:val="20"/>
                <w:szCs w:val="20"/>
              </w:rPr>
            </w:pPr>
            <w:r w:rsidRPr="00E67708">
              <w:rPr>
                <w:rFonts w:cs="Arial"/>
                <w:sz w:val="20"/>
                <w:szCs w:val="20"/>
              </w:rPr>
              <w:t>CARB</w:t>
            </w:r>
          </w:p>
        </w:tc>
        <w:tc>
          <w:tcPr>
            <w:tcW w:w="7200" w:type="dxa"/>
          </w:tcPr>
          <w:p w14:paraId="2354A4DB" w14:textId="43207854" w:rsidR="00440A00" w:rsidRPr="00E67708" w:rsidRDefault="006A5935" w:rsidP="00E67708">
            <w:pPr>
              <w:rPr>
                <w:rFonts w:cs="Arial"/>
                <w:sz w:val="20"/>
                <w:szCs w:val="20"/>
              </w:rPr>
            </w:pPr>
            <w:r w:rsidRPr="00E67708">
              <w:rPr>
                <w:rFonts w:cs="Arial"/>
                <w:sz w:val="20"/>
                <w:szCs w:val="20"/>
              </w:rPr>
              <w:t>Californian A</w:t>
            </w:r>
            <w:r w:rsidR="005A64A9">
              <w:rPr>
                <w:rFonts w:cs="Arial"/>
                <w:sz w:val="20"/>
                <w:szCs w:val="20"/>
              </w:rPr>
              <w:t>ir Resources Board</w:t>
            </w:r>
          </w:p>
        </w:tc>
      </w:tr>
      <w:tr w:rsidR="0040290A" w14:paraId="3CA558DD" w14:textId="77777777" w:rsidTr="00A56D92">
        <w:tc>
          <w:tcPr>
            <w:tcW w:w="2376" w:type="dxa"/>
          </w:tcPr>
          <w:p w14:paraId="0FFDCEBF" w14:textId="7213F84B" w:rsidR="0040290A" w:rsidRPr="00E67708" w:rsidRDefault="0040290A" w:rsidP="00E67708">
            <w:pPr>
              <w:rPr>
                <w:rFonts w:cs="Arial"/>
                <w:sz w:val="20"/>
                <w:szCs w:val="20"/>
              </w:rPr>
            </w:pPr>
            <w:r>
              <w:rPr>
                <w:rFonts w:cs="Arial"/>
                <w:sz w:val="20"/>
                <w:szCs w:val="20"/>
              </w:rPr>
              <w:t>CAS</w:t>
            </w:r>
          </w:p>
        </w:tc>
        <w:tc>
          <w:tcPr>
            <w:tcW w:w="7200" w:type="dxa"/>
          </w:tcPr>
          <w:p w14:paraId="16F12857" w14:textId="4574B01B" w:rsidR="0040290A" w:rsidRPr="00E67708" w:rsidRDefault="0040290A" w:rsidP="00E67708">
            <w:pPr>
              <w:rPr>
                <w:rFonts w:cs="Arial"/>
                <w:sz w:val="20"/>
                <w:szCs w:val="20"/>
              </w:rPr>
            </w:pPr>
            <w:r>
              <w:rPr>
                <w:rFonts w:cs="Arial"/>
                <w:sz w:val="20"/>
                <w:szCs w:val="20"/>
              </w:rPr>
              <w:t>Chemical Abstracts System</w:t>
            </w:r>
          </w:p>
        </w:tc>
      </w:tr>
      <w:tr w:rsidR="000157FE" w14:paraId="42A97175" w14:textId="77777777" w:rsidTr="00A56D92">
        <w:tc>
          <w:tcPr>
            <w:tcW w:w="2376" w:type="dxa"/>
          </w:tcPr>
          <w:p w14:paraId="3DD09BD3" w14:textId="797266DF" w:rsidR="000157FE" w:rsidRPr="00E67708" w:rsidRDefault="000157FE" w:rsidP="00E67708">
            <w:pPr>
              <w:rPr>
                <w:rFonts w:cs="Arial"/>
                <w:sz w:val="20"/>
                <w:szCs w:val="20"/>
              </w:rPr>
            </w:pPr>
            <w:r w:rsidRPr="00E67708">
              <w:rPr>
                <w:rFonts w:cs="Arial"/>
                <w:sz w:val="20"/>
                <w:szCs w:val="20"/>
              </w:rPr>
              <w:t>CCME</w:t>
            </w:r>
          </w:p>
        </w:tc>
        <w:tc>
          <w:tcPr>
            <w:tcW w:w="7200" w:type="dxa"/>
          </w:tcPr>
          <w:p w14:paraId="06F6BC7B" w14:textId="24E4C482" w:rsidR="000157FE" w:rsidRPr="00E67708" w:rsidRDefault="006A5935" w:rsidP="00E67708">
            <w:pPr>
              <w:rPr>
                <w:rFonts w:cs="Arial"/>
                <w:sz w:val="20"/>
                <w:szCs w:val="20"/>
              </w:rPr>
            </w:pPr>
            <w:r w:rsidRPr="00E67708">
              <w:rPr>
                <w:rFonts w:cs="Arial"/>
                <w:sz w:val="20"/>
                <w:szCs w:val="20"/>
              </w:rPr>
              <w:t>Canadian Council for Ministers for the Environment</w:t>
            </w:r>
          </w:p>
        </w:tc>
      </w:tr>
      <w:tr w:rsidR="0040290A" w14:paraId="3F5DC1D3" w14:textId="77777777" w:rsidTr="00A56D92">
        <w:tc>
          <w:tcPr>
            <w:tcW w:w="2376" w:type="dxa"/>
          </w:tcPr>
          <w:p w14:paraId="6FAF0EF6" w14:textId="054BFEDB" w:rsidR="0040290A" w:rsidRPr="00E67708" w:rsidRDefault="0040290A" w:rsidP="00E67708">
            <w:pPr>
              <w:rPr>
                <w:rFonts w:cs="Arial"/>
                <w:sz w:val="20"/>
                <w:szCs w:val="20"/>
              </w:rPr>
            </w:pPr>
            <w:r>
              <w:rPr>
                <w:rFonts w:cs="Arial"/>
                <w:sz w:val="20"/>
                <w:szCs w:val="20"/>
              </w:rPr>
              <w:t>CHCs</w:t>
            </w:r>
          </w:p>
        </w:tc>
        <w:tc>
          <w:tcPr>
            <w:tcW w:w="7200" w:type="dxa"/>
          </w:tcPr>
          <w:p w14:paraId="29DDDC6B" w14:textId="7C60F440" w:rsidR="0040290A" w:rsidRPr="00E67708" w:rsidRDefault="0040290A" w:rsidP="00E67708">
            <w:pPr>
              <w:rPr>
                <w:rFonts w:cs="Arial"/>
                <w:sz w:val="20"/>
                <w:szCs w:val="20"/>
              </w:rPr>
            </w:pPr>
            <w:r>
              <w:rPr>
                <w:rFonts w:cs="Arial"/>
                <w:sz w:val="20"/>
                <w:szCs w:val="20"/>
              </w:rPr>
              <w:t>Chlorinated Hydrocarbons</w:t>
            </w:r>
          </w:p>
        </w:tc>
      </w:tr>
      <w:tr w:rsidR="00D17984" w14:paraId="02095BC5" w14:textId="77777777" w:rsidTr="00A56D92">
        <w:tc>
          <w:tcPr>
            <w:tcW w:w="2376" w:type="dxa"/>
          </w:tcPr>
          <w:p w14:paraId="17C90B27" w14:textId="3C124E56" w:rsidR="00D17984" w:rsidRPr="00E67708" w:rsidRDefault="00D17984" w:rsidP="00E67708">
            <w:pPr>
              <w:rPr>
                <w:rFonts w:cs="Arial"/>
                <w:sz w:val="20"/>
                <w:szCs w:val="20"/>
              </w:rPr>
            </w:pPr>
            <w:r w:rsidRPr="00E67708">
              <w:rPr>
                <w:rFonts w:cs="Arial"/>
                <w:sz w:val="20"/>
                <w:szCs w:val="20"/>
              </w:rPr>
              <w:t>CI</w:t>
            </w:r>
          </w:p>
        </w:tc>
        <w:tc>
          <w:tcPr>
            <w:tcW w:w="7200" w:type="dxa"/>
          </w:tcPr>
          <w:p w14:paraId="16BD94FD" w14:textId="0A12B30F" w:rsidR="00D17984" w:rsidRPr="00E67708" w:rsidRDefault="00D17984" w:rsidP="00E67708">
            <w:pPr>
              <w:rPr>
                <w:rFonts w:cs="Arial"/>
                <w:sz w:val="20"/>
                <w:szCs w:val="20"/>
              </w:rPr>
            </w:pPr>
            <w:r w:rsidRPr="00E67708">
              <w:rPr>
                <w:rFonts w:cs="Arial"/>
                <w:sz w:val="20"/>
                <w:szCs w:val="20"/>
              </w:rPr>
              <w:t>Confidence Interval</w:t>
            </w:r>
          </w:p>
        </w:tc>
      </w:tr>
      <w:tr w:rsidR="000157FE" w14:paraId="787B3137" w14:textId="77777777" w:rsidTr="00A56D92">
        <w:tc>
          <w:tcPr>
            <w:tcW w:w="2376" w:type="dxa"/>
          </w:tcPr>
          <w:p w14:paraId="4AF98630" w14:textId="291BF5E8" w:rsidR="000157FE" w:rsidRPr="00E67708" w:rsidRDefault="000157FE" w:rsidP="00E67708">
            <w:pPr>
              <w:rPr>
                <w:rFonts w:cs="Arial"/>
                <w:sz w:val="20"/>
                <w:szCs w:val="20"/>
              </w:rPr>
            </w:pPr>
            <w:r w:rsidRPr="00E67708">
              <w:rPr>
                <w:rFonts w:cs="Arial"/>
                <w:sz w:val="20"/>
                <w:szCs w:val="20"/>
              </w:rPr>
              <w:t>CIRIA</w:t>
            </w:r>
          </w:p>
        </w:tc>
        <w:tc>
          <w:tcPr>
            <w:tcW w:w="7200" w:type="dxa"/>
          </w:tcPr>
          <w:p w14:paraId="619DA977" w14:textId="05B8CDC2" w:rsidR="000157FE" w:rsidRPr="00E67708" w:rsidRDefault="00EB538B" w:rsidP="00E67708">
            <w:pPr>
              <w:rPr>
                <w:rFonts w:cs="Arial"/>
                <w:sz w:val="20"/>
                <w:szCs w:val="20"/>
              </w:rPr>
            </w:pPr>
            <w:r w:rsidRPr="00E67708">
              <w:rPr>
                <w:rFonts w:cs="Arial"/>
                <w:sz w:val="20"/>
                <w:szCs w:val="20"/>
              </w:rPr>
              <w:t>Construction Industry Research and Information Association</w:t>
            </w:r>
          </w:p>
        </w:tc>
      </w:tr>
      <w:tr w:rsidR="006A5935" w14:paraId="66B7190B" w14:textId="77777777" w:rsidTr="00A56D92">
        <w:tc>
          <w:tcPr>
            <w:tcW w:w="2376" w:type="dxa"/>
          </w:tcPr>
          <w:p w14:paraId="30F00FBC" w14:textId="1948A0FA" w:rsidR="006A5935" w:rsidRPr="00E67708" w:rsidRDefault="006A5935" w:rsidP="00E67708">
            <w:pPr>
              <w:rPr>
                <w:rFonts w:cs="Arial"/>
                <w:sz w:val="20"/>
                <w:szCs w:val="20"/>
              </w:rPr>
            </w:pPr>
            <w:proofErr w:type="gramStart"/>
            <w:r w:rsidRPr="00E67708">
              <w:rPr>
                <w:rFonts w:cs="Arial"/>
                <w:sz w:val="20"/>
                <w:szCs w:val="20"/>
              </w:rPr>
              <w:t>CL:AIRE</w:t>
            </w:r>
            <w:proofErr w:type="gramEnd"/>
          </w:p>
        </w:tc>
        <w:tc>
          <w:tcPr>
            <w:tcW w:w="7200" w:type="dxa"/>
          </w:tcPr>
          <w:p w14:paraId="04986DC0" w14:textId="12545277" w:rsidR="006A5935" w:rsidRPr="00E67708" w:rsidRDefault="006A5935" w:rsidP="00E67708">
            <w:pPr>
              <w:rPr>
                <w:rFonts w:cs="Arial"/>
                <w:sz w:val="20"/>
                <w:szCs w:val="20"/>
              </w:rPr>
            </w:pPr>
            <w:r w:rsidRPr="00E67708">
              <w:rPr>
                <w:rFonts w:cs="Arial"/>
                <w:sz w:val="20"/>
                <w:szCs w:val="20"/>
              </w:rPr>
              <w:t>Contaminated Land: Applications in Real Environments</w:t>
            </w:r>
          </w:p>
        </w:tc>
      </w:tr>
      <w:tr w:rsidR="006A5935" w14:paraId="6F85B5AC" w14:textId="77777777" w:rsidTr="00A56D92">
        <w:tc>
          <w:tcPr>
            <w:tcW w:w="2376" w:type="dxa"/>
          </w:tcPr>
          <w:p w14:paraId="6B8F7C1E" w14:textId="77977DCB" w:rsidR="006A5935" w:rsidRPr="00E67708" w:rsidRDefault="006A5935" w:rsidP="00E67708">
            <w:pPr>
              <w:rPr>
                <w:rFonts w:cs="Arial"/>
                <w:sz w:val="20"/>
                <w:szCs w:val="20"/>
              </w:rPr>
            </w:pPr>
            <w:r w:rsidRPr="00E67708">
              <w:rPr>
                <w:rFonts w:cs="Arial"/>
                <w:sz w:val="20"/>
                <w:szCs w:val="20"/>
              </w:rPr>
              <w:t>CLEA</w:t>
            </w:r>
          </w:p>
        </w:tc>
        <w:tc>
          <w:tcPr>
            <w:tcW w:w="7200" w:type="dxa"/>
          </w:tcPr>
          <w:p w14:paraId="7A998B66" w14:textId="3BEF9259" w:rsidR="006A5935" w:rsidRPr="00E67708" w:rsidRDefault="0040290A" w:rsidP="00E67708">
            <w:pPr>
              <w:rPr>
                <w:rFonts w:cs="Arial"/>
                <w:sz w:val="20"/>
                <w:szCs w:val="20"/>
              </w:rPr>
            </w:pPr>
            <w:r>
              <w:rPr>
                <w:rFonts w:cs="Arial"/>
                <w:sz w:val="20"/>
                <w:szCs w:val="20"/>
              </w:rPr>
              <w:t>Contaminated Land Exposure Assessment model</w:t>
            </w:r>
          </w:p>
        </w:tc>
      </w:tr>
      <w:tr w:rsidR="00181477" w14:paraId="06D2C72D" w14:textId="77777777" w:rsidTr="00A56D92">
        <w:tc>
          <w:tcPr>
            <w:tcW w:w="2376" w:type="dxa"/>
          </w:tcPr>
          <w:p w14:paraId="0091016E" w14:textId="5F2FC67D" w:rsidR="00181477" w:rsidRPr="00E67708" w:rsidRDefault="00181477" w:rsidP="00E67708">
            <w:pPr>
              <w:rPr>
                <w:rFonts w:cs="Arial"/>
                <w:sz w:val="20"/>
                <w:szCs w:val="20"/>
              </w:rPr>
            </w:pPr>
            <w:r w:rsidRPr="00E67708">
              <w:rPr>
                <w:rFonts w:cs="Arial"/>
                <w:sz w:val="20"/>
                <w:szCs w:val="20"/>
              </w:rPr>
              <w:t>CLM Act</w:t>
            </w:r>
          </w:p>
        </w:tc>
        <w:tc>
          <w:tcPr>
            <w:tcW w:w="7200" w:type="dxa"/>
          </w:tcPr>
          <w:p w14:paraId="55F082B2" w14:textId="6F1572DF" w:rsidR="00181477" w:rsidRPr="00E67708" w:rsidRDefault="006A5935" w:rsidP="00E67708">
            <w:pPr>
              <w:rPr>
                <w:rFonts w:cs="Arial"/>
                <w:sz w:val="20"/>
                <w:szCs w:val="20"/>
              </w:rPr>
            </w:pPr>
            <w:r w:rsidRPr="00E67708">
              <w:rPr>
                <w:rFonts w:cs="Arial"/>
                <w:sz w:val="20"/>
                <w:szCs w:val="20"/>
              </w:rPr>
              <w:t>Contaminated Land Management Act</w:t>
            </w:r>
          </w:p>
        </w:tc>
      </w:tr>
      <w:tr w:rsidR="00835FEE" w14:paraId="744AABA2" w14:textId="77777777" w:rsidTr="00A56D92">
        <w:tc>
          <w:tcPr>
            <w:tcW w:w="2376" w:type="dxa"/>
          </w:tcPr>
          <w:p w14:paraId="4FB6A389" w14:textId="6FA76873" w:rsidR="00835FEE" w:rsidRPr="00E67708" w:rsidRDefault="00835FEE" w:rsidP="00E67708">
            <w:pPr>
              <w:rPr>
                <w:rFonts w:cs="Arial"/>
                <w:sz w:val="20"/>
                <w:szCs w:val="20"/>
              </w:rPr>
            </w:pPr>
            <w:r w:rsidRPr="00E67708">
              <w:rPr>
                <w:rFonts w:cs="Arial"/>
                <w:sz w:val="20"/>
                <w:szCs w:val="20"/>
              </w:rPr>
              <w:t>CLU-IN</w:t>
            </w:r>
          </w:p>
        </w:tc>
        <w:tc>
          <w:tcPr>
            <w:tcW w:w="7200" w:type="dxa"/>
          </w:tcPr>
          <w:p w14:paraId="2CAC97DC" w14:textId="045EF4B3" w:rsidR="00835FEE" w:rsidRPr="00E67708" w:rsidRDefault="00835FEE" w:rsidP="00E67708">
            <w:pPr>
              <w:rPr>
                <w:rFonts w:cs="Arial"/>
                <w:sz w:val="20"/>
                <w:szCs w:val="20"/>
              </w:rPr>
            </w:pPr>
            <w:r w:rsidRPr="00E67708">
              <w:rPr>
                <w:rFonts w:cs="Arial"/>
                <w:sz w:val="20"/>
                <w:szCs w:val="20"/>
              </w:rPr>
              <w:t>Clean-Up Information</w:t>
            </w:r>
          </w:p>
        </w:tc>
      </w:tr>
      <w:tr w:rsidR="00440A00" w14:paraId="6382744E" w14:textId="77777777" w:rsidTr="00A56D92">
        <w:tc>
          <w:tcPr>
            <w:tcW w:w="2376" w:type="dxa"/>
          </w:tcPr>
          <w:p w14:paraId="01B81D1D" w14:textId="1EB4B179" w:rsidR="00440A00" w:rsidRPr="00E67708" w:rsidRDefault="00440A00" w:rsidP="00E67708">
            <w:pPr>
              <w:rPr>
                <w:rFonts w:cs="Arial"/>
                <w:sz w:val="20"/>
                <w:szCs w:val="20"/>
              </w:rPr>
            </w:pPr>
            <w:r w:rsidRPr="00E67708">
              <w:rPr>
                <w:rFonts w:cs="Arial"/>
                <w:sz w:val="20"/>
                <w:szCs w:val="20"/>
              </w:rPr>
              <w:t>COC</w:t>
            </w:r>
          </w:p>
        </w:tc>
        <w:tc>
          <w:tcPr>
            <w:tcW w:w="7200" w:type="dxa"/>
          </w:tcPr>
          <w:p w14:paraId="0F419F21" w14:textId="53D4C13B" w:rsidR="00440A00" w:rsidRPr="00E67708" w:rsidRDefault="00440A00" w:rsidP="00E67708">
            <w:pPr>
              <w:rPr>
                <w:rFonts w:cs="Arial"/>
                <w:sz w:val="20"/>
                <w:szCs w:val="20"/>
              </w:rPr>
            </w:pPr>
            <w:r w:rsidRPr="00E67708">
              <w:rPr>
                <w:rFonts w:cs="Arial"/>
                <w:sz w:val="20"/>
                <w:szCs w:val="20"/>
              </w:rPr>
              <w:t>Chemical of Concern</w:t>
            </w:r>
          </w:p>
        </w:tc>
      </w:tr>
      <w:tr w:rsidR="00440A00" w14:paraId="2D46CDD8" w14:textId="77777777" w:rsidTr="00A56D92">
        <w:tc>
          <w:tcPr>
            <w:tcW w:w="2376" w:type="dxa"/>
          </w:tcPr>
          <w:p w14:paraId="7E24B6D9" w14:textId="10539AC2" w:rsidR="00440A00" w:rsidRPr="00E67708" w:rsidRDefault="00440A00" w:rsidP="00E67708">
            <w:pPr>
              <w:rPr>
                <w:rFonts w:cs="Arial"/>
                <w:sz w:val="20"/>
                <w:szCs w:val="20"/>
              </w:rPr>
            </w:pPr>
            <w:r w:rsidRPr="00E67708">
              <w:rPr>
                <w:rFonts w:cs="Arial"/>
                <w:sz w:val="20"/>
                <w:szCs w:val="20"/>
              </w:rPr>
              <w:t>COI</w:t>
            </w:r>
          </w:p>
        </w:tc>
        <w:tc>
          <w:tcPr>
            <w:tcW w:w="7200" w:type="dxa"/>
          </w:tcPr>
          <w:p w14:paraId="6187AEB9" w14:textId="2405D551" w:rsidR="00440A00" w:rsidRPr="00E67708" w:rsidRDefault="00440A00" w:rsidP="00E67708">
            <w:pPr>
              <w:rPr>
                <w:rFonts w:cs="Arial"/>
                <w:sz w:val="20"/>
                <w:szCs w:val="20"/>
              </w:rPr>
            </w:pPr>
            <w:r w:rsidRPr="00E67708">
              <w:rPr>
                <w:rFonts w:cs="Arial"/>
                <w:sz w:val="20"/>
                <w:szCs w:val="20"/>
              </w:rPr>
              <w:t>Chemicals of Interest</w:t>
            </w:r>
          </w:p>
        </w:tc>
      </w:tr>
      <w:tr w:rsidR="00284835" w14:paraId="32B7F780" w14:textId="77777777" w:rsidTr="00A56D92">
        <w:tc>
          <w:tcPr>
            <w:tcW w:w="2376" w:type="dxa"/>
          </w:tcPr>
          <w:p w14:paraId="65097C2D" w14:textId="08879F71" w:rsidR="00284835" w:rsidRPr="00E67708" w:rsidRDefault="009A47BA" w:rsidP="00E67708">
            <w:pPr>
              <w:rPr>
                <w:rFonts w:cs="Arial"/>
                <w:sz w:val="20"/>
                <w:szCs w:val="20"/>
              </w:rPr>
            </w:pPr>
            <w:r w:rsidRPr="00E67708">
              <w:rPr>
                <w:rFonts w:cs="Arial"/>
                <w:sz w:val="20"/>
                <w:szCs w:val="20"/>
              </w:rPr>
              <w:t>COPC</w:t>
            </w:r>
          </w:p>
        </w:tc>
        <w:tc>
          <w:tcPr>
            <w:tcW w:w="7200" w:type="dxa"/>
          </w:tcPr>
          <w:p w14:paraId="37EDA3F6" w14:textId="0A6BF1E9" w:rsidR="00284835" w:rsidRPr="00E67708" w:rsidRDefault="00D17984" w:rsidP="00E67708">
            <w:pPr>
              <w:rPr>
                <w:rFonts w:cs="Arial"/>
                <w:sz w:val="20"/>
                <w:szCs w:val="20"/>
              </w:rPr>
            </w:pPr>
            <w:r w:rsidRPr="00E67708">
              <w:rPr>
                <w:rFonts w:cs="Arial"/>
                <w:sz w:val="20"/>
                <w:szCs w:val="20"/>
              </w:rPr>
              <w:t>Chemicals of Potential Concern</w:t>
            </w:r>
          </w:p>
        </w:tc>
      </w:tr>
      <w:tr w:rsidR="005A64A9" w14:paraId="28E2151D" w14:textId="77777777" w:rsidTr="00A56D92">
        <w:tc>
          <w:tcPr>
            <w:tcW w:w="2376" w:type="dxa"/>
          </w:tcPr>
          <w:p w14:paraId="43DAD8ED" w14:textId="41EDCDE8" w:rsidR="005A64A9" w:rsidRPr="00E67708" w:rsidRDefault="005A64A9" w:rsidP="00E67708">
            <w:pPr>
              <w:rPr>
                <w:rFonts w:cs="Arial"/>
                <w:sz w:val="20"/>
                <w:szCs w:val="20"/>
              </w:rPr>
            </w:pPr>
            <w:r>
              <w:rPr>
                <w:rFonts w:cs="Arial"/>
                <w:sz w:val="20"/>
                <w:szCs w:val="20"/>
              </w:rPr>
              <w:t>CQA</w:t>
            </w:r>
          </w:p>
        </w:tc>
        <w:tc>
          <w:tcPr>
            <w:tcW w:w="7200" w:type="dxa"/>
          </w:tcPr>
          <w:p w14:paraId="3DC0CF6B" w14:textId="66738884" w:rsidR="005A64A9" w:rsidRPr="00E67708" w:rsidRDefault="005A64A9" w:rsidP="00E67708">
            <w:pPr>
              <w:rPr>
                <w:rFonts w:cs="Arial"/>
                <w:sz w:val="20"/>
                <w:szCs w:val="20"/>
              </w:rPr>
            </w:pPr>
            <w:r>
              <w:rPr>
                <w:rFonts w:cs="Arial"/>
                <w:sz w:val="20"/>
                <w:szCs w:val="20"/>
              </w:rPr>
              <w:t>Construction Quality Assurance</w:t>
            </w:r>
          </w:p>
        </w:tc>
      </w:tr>
      <w:tr w:rsidR="00284835" w14:paraId="708423C7" w14:textId="77777777" w:rsidTr="00A56D92">
        <w:tc>
          <w:tcPr>
            <w:tcW w:w="2376" w:type="dxa"/>
          </w:tcPr>
          <w:p w14:paraId="569EA8E3" w14:textId="2B2D96C0" w:rsidR="00284835" w:rsidRPr="00E67708" w:rsidRDefault="009A47BA" w:rsidP="00E67708">
            <w:pPr>
              <w:rPr>
                <w:rFonts w:cs="Arial"/>
                <w:sz w:val="20"/>
                <w:szCs w:val="20"/>
              </w:rPr>
            </w:pPr>
            <w:r w:rsidRPr="00E67708">
              <w:rPr>
                <w:rFonts w:cs="Arial"/>
                <w:sz w:val="20"/>
                <w:szCs w:val="20"/>
              </w:rPr>
              <w:t>CRCCARE</w:t>
            </w:r>
          </w:p>
        </w:tc>
        <w:tc>
          <w:tcPr>
            <w:tcW w:w="7200" w:type="dxa"/>
          </w:tcPr>
          <w:p w14:paraId="1FC1FFEE" w14:textId="3AEFAFB4" w:rsidR="00284835" w:rsidRPr="00E67708" w:rsidRDefault="00D17984" w:rsidP="00E67708">
            <w:pPr>
              <w:rPr>
                <w:rFonts w:cs="Arial"/>
                <w:sz w:val="20"/>
                <w:szCs w:val="20"/>
              </w:rPr>
            </w:pPr>
            <w:r w:rsidRPr="00E67708">
              <w:rPr>
                <w:rFonts w:cs="Arial"/>
                <w:sz w:val="20"/>
                <w:szCs w:val="20"/>
              </w:rPr>
              <w:t>Co-operative Research Centre for Contamination and Remediation of the Environment</w:t>
            </w:r>
          </w:p>
        </w:tc>
      </w:tr>
      <w:tr w:rsidR="005A64A9" w14:paraId="52A80477" w14:textId="77777777" w:rsidTr="00A56D92">
        <w:tc>
          <w:tcPr>
            <w:tcW w:w="2376" w:type="dxa"/>
          </w:tcPr>
          <w:p w14:paraId="54B31E53" w14:textId="5E93E82C" w:rsidR="005A64A9" w:rsidRPr="00E67708" w:rsidRDefault="005A64A9" w:rsidP="00E67708">
            <w:pPr>
              <w:rPr>
                <w:rFonts w:cs="Arial"/>
                <w:sz w:val="20"/>
                <w:szCs w:val="20"/>
              </w:rPr>
            </w:pPr>
            <w:r>
              <w:rPr>
                <w:rFonts w:cs="Arial"/>
                <w:sz w:val="20"/>
                <w:szCs w:val="20"/>
              </w:rPr>
              <w:t>CS</w:t>
            </w:r>
          </w:p>
        </w:tc>
        <w:tc>
          <w:tcPr>
            <w:tcW w:w="7200" w:type="dxa"/>
          </w:tcPr>
          <w:p w14:paraId="769F26FF" w14:textId="4722A75A" w:rsidR="005A64A9" w:rsidRPr="00E67708" w:rsidRDefault="005A64A9" w:rsidP="00E67708">
            <w:pPr>
              <w:rPr>
                <w:rFonts w:cs="Arial"/>
                <w:sz w:val="20"/>
                <w:szCs w:val="20"/>
              </w:rPr>
            </w:pPr>
            <w:r>
              <w:rPr>
                <w:rFonts w:cs="Arial"/>
                <w:sz w:val="20"/>
                <w:szCs w:val="20"/>
              </w:rPr>
              <w:t>Characteristic Gas Situation</w:t>
            </w:r>
          </w:p>
        </w:tc>
      </w:tr>
      <w:tr w:rsidR="00284835" w14:paraId="2CED4E72" w14:textId="77777777" w:rsidTr="00A56D92">
        <w:tc>
          <w:tcPr>
            <w:tcW w:w="2376" w:type="dxa"/>
          </w:tcPr>
          <w:p w14:paraId="185D6CBA" w14:textId="776F6976" w:rsidR="00284835" w:rsidRPr="00E67708" w:rsidRDefault="009A47BA" w:rsidP="00E67708">
            <w:pPr>
              <w:rPr>
                <w:rFonts w:cs="Arial"/>
                <w:sz w:val="20"/>
                <w:szCs w:val="20"/>
              </w:rPr>
            </w:pPr>
            <w:r w:rsidRPr="00E67708">
              <w:rPr>
                <w:rFonts w:cs="Arial"/>
                <w:sz w:val="20"/>
                <w:szCs w:val="20"/>
              </w:rPr>
              <w:t>CSM</w:t>
            </w:r>
          </w:p>
        </w:tc>
        <w:tc>
          <w:tcPr>
            <w:tcW w:w="7200" w:type="dxa"/>
          </w:tcPr>
          <w:p w14:paraId="5320D08B" w14:textId="1F350B98" w:rsidR="00284835" w:rsidRPr="00E67708" w:rsidRDefault="006A5935" w:rsidP="00E67708">
            <w:pPr>
              <w:rPr>
                <w:rFonts w:cs="Arial"/>
                <w:sz w:val="20"/>
                <w:szCs w:val="20"/>
              </w:rPr>
            </w:pPr>
            <w:r w:rsidRPr="00E67708">
              <w:rPr>
                <w:rFonts w:cs="Arial"/>
                <w:sz w:val="20"/>
                <w:szCs w:val="20"/>
              </w:rPr>
              <w:t>Conceptual Site Model</w:t>
            </w:r>
          </w:p>
        </w:tc>
      </w:tr>
      <w:tr w:rsidR="00A56D92" w14:paraId="4D00378E" w14:textId="77777777" w:rsidTr="00A56D92">
        <w:tc>
          <w:tcPr>
            <w:tcW w:w="2376" w:type="dxa"/>
          </w:tcPr>
          <w:p w14:paraId="450BA1B4" w14:textId="1C6010E3" w:rsidR="00A56D92" w:rsidRPr="00E67708" w:rsidRDefault="00A56D92" w:rsidP="00E67708">
            <w:pPr>
              <w:rPr>
                <w:rFonts w:cs="Arial"/>
                <w:sz w:val="20"/>
                <w:szCs w:val="20"/>
              </w:rPr>
            </w:pPr>
            <w:r w:rsidRPr="00E67708">
              <w:rPr>
                <w:rFonts w:cs="Arial"/>
                <w:sz w:val="20"/>
                <w:szCs w:val="20"/>
              </w:rPr>
              <w:t>CSOIL</w:t>
            </w:r>
          </w:p>
        </w:tc>
        <w:tc>
          <w:tcPr>
            <w:tcW w:w="7200" w:type="dxa"/>
          </w:tcPr>
          <w:p w14:paraId="6A475120" w14:textId="222F89AF" w:rsidR="00A56D92" w:rsidRPr="00E67708" w:rsidRDefault="009437E7" w:rsidP="00E67708">
            <w:pPr>
              <w:rPr>
                <w:rFonts w:cs="Arial"/>
                <w:sz w:val="20"/>
                <w:szCs w:val="20"/>
              </w:rPr>
            </w:pPr>
            <w:r>
              <w:rPr>
                <w:rFonts w:cs="Arial"/>
                <w:sz w:val="20"/>
                <w:szCs w:val="20"/>
              </w:rPr>
              <w:t>Dutch Contaminated Land Soil Exposure Assessment Model</w:t>
            </w:r>
          </w:p>
        </w:tc>
      </w:tr>
      <w:tr w:rsidR="006A5935" w14:paraId="2ED69725" w14:textId="77777777" w:rsidTr="00A56D92">
        <w:tc>
          <w:tcPr>
            <w:tcW w:w="2376" w:type="dxa"/>
          </w:tcPr>
          <w:p w14:paraId="69464967" w14:textId="7971284D" w:rsidR="006A5935" w:rsidRPr="00E67708" w:rsidRDefault="006A5935" w:rsidP="00E67708">
            <w:pPr>
              <w:rPr>
                <w:rFonts w:cs="Arial"/>
                <w:sz w:val="20"/>
                <w:szCs w:val="20"/>
              </w:rPr>
            </w:pPr>
            <w:r w:rsidRPr="00E67708">
              <w:rPr>
                <w:rFonts w:cs="Arial"/>
                <w:sz w:val="20"/>
                <w:szCs w:val="20"/>
              </w:rPr>
              <w:t>DEFRA</w:t>
            </w:r>
          </w:p>
        </w:tc>
        <w:tc>
          <w:tcPr>
            <w:tcW w:w="7200" w:type="dxa"/>
          </w:tcPr>
          <w:p w14:paraId="487AECAD" w14:textId="4601EFDF" w:rsidR="006A5935" w:rsidRPr="00E67708" w:rsidRDefault="005A64A9" w:rsidP="00E67708">
            <w:pPr>
              <w:rPr>
                <w:rFonts w:cs="Arial"/>
                <w:sz w:val="20"/>
                <w:szCs w:val="20"/>
              </w:rPr>
            </w:pPr>
            <w:r>
              <w:rPr>
                <w:rFonts w:cs="Arial"/>
                <w:sz w:val="20"/>
                <w:szCs w:val="20"/>
              </w:rPr>
              <w:t>Department for Environment, Food and Rural Affairs</w:t>
            </w:r>
          </w:p>
        </w:tc>
      </w:tr>
      <w:tr w:rsidR="000157FE" w14:paraId="4570BA5A" w14:textId="77777777" w:rsidTr="00A56D92">
        <w:tc>
          <w:tcPr>
            <w:tcW w:w="2376" w:type="dxa"/>
          </w:tcPr>
          <w:p w14:paraId="7EB01122" w14:textId="10A9DFEC" w:rsidR="000157FE" w:rsidRPr="00E67708" w:rsidRDefault="000157FE" w:rsidP="00E67708">
            <w:pPr>
              <w:rPr>
                <w:rFonts w:cs="Arial"/>
                <w:sz w:val="20"/>
                <w:szCs w:val="20"/>
              </w:rPr>
            </w:pPr>
            <w:r w:rsidRPr="00E67708">
              <w:rPr>
                <w:rFonts w:cs="Arial"/>
                <w:sz w:val="20"/>
                <w:szCs w:val="20"/>
              </w:rPr>
              <w:t>DER</w:t>
            </w:r>
          </w:p>
        </w:tc>
        <w:tc>
          <w:tcPr>
            <w:tcW w:w="7200" w:type="dxa"/>
          </w:tcPr>
          <w:p w14:paraId="438E4EC5" w14:textId="60001050" w:rsidR="000157FE" w:rsidRPr="00E67708" w:rsidRDefault="000157FE" w:rsidP="00E67708">
            <w:pPr>
              <w:rPr>
                <w:rFonts w:cs="Arial"/>
                <w:sz w:val="20"/>
                <w:szCs w:val="20"/>
              </w:rPr>
            </w:pPr>
            <w:r w:rsidRPr="00E67708">
              <w:rPr>
                <w:rFonts w:cs="Arial"/>
                <w:sz w:val="20"/>
                <w:szCs w:val="20"/>
              </w:rPr>
              <w:t>Department of Environment Regulation</w:t>
            </w:r>
          </w:p>
        </w:tc>
      </w:tr>
      <w:tr w:rsidR="009A47BA" w14:paraId="1C52DE51" w14:textId="77777777" w:rsidTr="00A56D92">
        <w:tc>
          <w:tcPr>
            <w:tcW w:w="2376" w:type="dxa"/>
          </w:tcPr>
          <w:p w14:paraId="0B268327" w14:textId="3227904F" w:rsidR="009A47BA" w:rsidRPr="00E67708" w:rsidRDefault="009A47BA" w:rsidP="00E67708">
            <w:pPr>
              <w:rPr>
                <w:rFonts w:cs="Arial"/>
                <w:sz w:val="20"/>
                <w:szCs w:val="20"/>
              </w:rPr>
            </w:pPr>
            <w:r w:rsidRPr="00E67708">
              <w:rPr>
                <w:rFonts w:cs="Arial"/>
                <w:sz w:val="20"/>
                <w:szCs w:val="20"/>
              </w:rPr>
              <w:t>DHHS</w:t>
            </w:r>
          </w:p>
        </w:tc>
        <w:tc>
          <w:tcPr>
            <w:tcW w:w="7200" w:type="dxa"/>
          </w:tcPr>
          <w:p w14:paraId="5F821455" w14:textId="510A88C1" w:rsidR="009A47BA" w:rsidRPr="00E67708" w:rsidRDefault="006A5935" w:rsidP="00E67708">
            <w:pPr>
              <w:rPr>
                <w:rFonts w:cs="Arial"/>
                <w:sz w:val="20"/>
                <w:szCs w:val="20"/>
              </w:rPr>
            </w:pPr>
            <w:r w:rsidRPr="00E67708">
              <w:rPr>
                <w:rFonts w:cs="Arial"/>
                <w:sz w:val="20"/>
                <w:szCs w:val="20"/>
              </w:rPr>
              <w:t>Department of Health and Human Services</w:t>
            </w:r>
          </w:p>
        </w:tc>
      </w:tr>
      <w:tr w:rsidR="00440A00" w14:paraId="3C02B25B" w14:textId="77777777" w:rsidTr="00A56D92">
        <w:tc>
          <w:tcPr>
            <w:tcW w:w="2376" w:type="dxa"/>
          </w:tcPr>
          <w:p w14:paraId="40B0E03E" w14:textId="4E811045" w:rsidR="00440A00" w:rsidRPr="00E67708" w:rsidRDefault="00440A00" w:rsidP="00E67708">
            <w:pPr>
              <w:rPr>
                <w:rFonts w:cs="Arial"/>
                <w:sz w:val="20"/>
                <w:szCs w:val="20"/>
              </w:rPr>
            </w:pPr>
            <w:r w:rsidRPr="00E67708">
              <w:rPr>
                <w:rFonts w:cs="Arial"/>
                <w:sz w:val="20"/>
                <w:szCs w:val="20"/>
              </w:rPr>
              <w:t>DNAPL</w:t>
            </w:r>
          </w:p>
        </w:tc>
        <w:tc>
          <w:tcPr>
            <w:tcW w:w="7200" w:type="dxa"/>
          </w:tcPr>
          <w:p w14:paraId="5C978629" w14:textId="1C2D3958" w:rsidR="00440A00" w:rsidRPr="00E67708" w:rsidRDefault="006A5935" w:rsidP="00E67708">
            <w:pPr>
              <w:rPr>
                <w:rFonts w:cs="Arial"/>
                <w:sz w:val="20"/>
                <w:szCs w:val="20"/>
              </w:rPr>
            </w:pPr>
            <w:r w:rsidRPr="00E67708">
              <w:rPr>
                <w:rFonts w:cs="Arial"/>
                <w:sz w:val="20"/>
                <w:szCs w:val="20"/>
              </w:rPr>
              <w:t>Dense Non-Aqueous Phase Liquid</w:t>
            </w:r>
          </w:p>
        </w:tc>
      </w:tr>
      <w:tr w:rsidR="009A47BA" w14:paraId="3A6E56FE" w14:textId="77777777" w:rsidTr="00A56D92">
        <w:tc>
          <w:tcPr>
            <w:tcW w:w="2376" w:type="dxa"/>
          </w:tcPr>
          <w:p w14:paraId="4B56FFD4" w14:textId="360C2411" w:rsidR="009A47BA" w:rsidRPr="00E67708" w:rsidRDefault="009A47BA" w:rsidP="00E67708">
            <w:pPr>
              <w:rPr>
                <w:rFonts w:cs="Arial"/>
                <w:sz w:val="20"/>
                <w:szCs w:val="20"/>
              </w:rPr>
            </w:pPr>
            <w:r w:rsidRPr="00E67708">
              <w:rPr>
                <w:rFonts w:cs="Arial"/>
                <w:sz w:val="20"/>
                <w:szCs w:val="20"/>
              </w:rPr>
              <w:t>DQOs</w:t>
            </w:r>
          </w:p>
        </w:tc>
        <w:tc>
          <w:tcPr>
            <w:tcW w:w="7200" w:type="dxa"/>
          </w:tcPr>
          <w:p w14:paraId="63A134AA" w14:textId="2D7350EB" w:rsidR="009A47BA" w:rsidRPr="00E67708" w:rsidRDefault="006A5935" w:rsidP="00E67708">
            <w:pPr>
              <w:rPr>
                <w:rFonts w:cs="Arial"/>
                <w:sz w:val="20"/>
                <w:szCs w:val="20"/>
              </w:rPr>
            </w:pPr>
            <w:r w:rsidRPr="00E67708">
              <w:rPr>
                <w:rFonts w:cs="Arial"/>
                <w:sz w:val="20"/>
                <w:szCs w:val="20"/>
              </w:rPr>
              <w:t>Data Quality Objectives</w:t>
            </w:r>
          </w:p>
        </w:tc>
      </w:tr>
      <w:tr w:rsidR="0039521C" w14:paraId="497BB80A" w14:textId="77777777" w:rsidTr="00A56D92">
        <w:tc>
          <w:tcPr>
            <w:tcW w:w="2376" w:type="dxa"/>
          </w:tcPr>
          <w:p w14:paraId="547590F0" w14:textId="4E7DE901" w:rsidR="0039521C" w:rsidRPr="0039521C" w:rsidRDefault="0039521C" w:rsidP="00E67708">
            <w:pPr>
              <w:rPr>
                <w:rFonts w:cs="Arial"/>
                <w:sz w:val="20"/>
                <w:szCs w:val="20"/>
              </w:rPr>
            </w:pPr>
            <w:proofErr w:type="spellStart"/>
            <w:r w:rsidRPr="0039521C">
              <w:t>DQRAchem</w:t>
            </w:r>
            <w:proofErr w:type="spellEnd"/>
          </w:p>
        </w:tc>
        <w:tc>
          <w:tcPr>
            <w:tcW w:w="7200" w:type="dxa"/>
          </w:tcPr>
          <w:p w14:paraId="3D463568" w14:textId="0E334597" w:rsidR="0039521C" w:rsidRDefault="0039521C" w:rsidP="00E67708">
            <w:pPr>
              <w:rPr>
                <w:rFonts w:cs="Arial"/>
                <w:sz w:val="20"/>
                <w:szCs w:val="20"/>
              </w:rPr>
            </w:pPr>
            <w:r>
              <w:rPr>
                <w:rFonts w:cs="Arial"/>
                <w:sz w:val="20"/>
                <w:szCs w:val="20"/>
              </w:rPr>
              <w:t>Detailed Quantitative Risk Assessment of Chemicals</w:t>
            </w:r>
          </w:p>
        </w:tc>
      </w:tr>
      <w:tr w:rsidR="009A47BA" w14:paraId="171BEBA2" w14:textId="77777777" w:rsidTr="00A56D92">
        <w:tc>
          <w:tcPr>
            <w:tcW w:w="2376" w:type="dxa"/>
          </w:tcPr>
          <w:p w14:paraId="472148A1" w14:textId="252B52CF" w:rsidR="009A47BA" w:rsidRPr="00E67708" w:rsidRDefault="009A47BA" w:rsidP="00E67708">
            <w:pPr>
              <w:rPr>
                <w:rFonts w:cs="Arial"/>
                <w:sz w:val="20"/>
                <w:szCs w:val="20"/>
              </w:rPr>
            </w:pPr>
            <w:r w:rsidRPr="00E67708">
              <w:rPr>
                <w:rFonts w:cs="Arial"/>
                <w:sz w:val="20"/>
                <w:szCs w:val="20"/>
              </w:rPr>
              <w:t>DTSC</w:t>
            </w:r>
          </w:p>
        </w:tc>
        <w:tc>
          <w:tcPr>
            <w:tcW w:w="7200" w:type="dxa"/>
          </w:tcPr>
          <w:p w14:paraId="62EC1CDB" w14:textId="10046DAE" w:rsidR="009A47BA" w:rsidRPr="00E67708" w:rsidRDefault="005A64A9" w:rsidP="00E67708">
            <w:pPr>
              <w:rPr>
                <w:rFonts w:cs="Arial"/>
                <w:sz w:val="20"/>
                <w:szCs w:val="20"/>
              </w:rPr>
            </w:pPr>
            <w:r>
              <w:rPr>
                <w:rFonts w:cs="Arial"/>
                <w:sz w:val="20"/>
                <w:szCs w:val="20"/>
              </w:rPr>
              <w:t>Department of Toxic Substances</w:t>
            </w:r>
          </w:p>
        </w:tc>
      </w:tr>
      <w:tr w:rsidR="00284835" w14:paraId="3D7BFEE0" w14:textId="77777777" w:rsidTr="00A56D92">
        <w:tc>
          <w:tcPr>
            <w:tcW w:w="2376" w:type="dxa"/>
          </w:tcPr>
          <w:p w14:paraId="26E73F1C" w14:textId="5766F00C" w:rsidR="00284835" w:rsidRPr="00E67708" w:rsidRDefault="009A47BA" w:rsidP="00E67708">
            <w:pPr>
              <w:rPr>
                <w:rFonts w:cs="Arial"/>
                <w:sz w:val="20"/>
                <w:szCs w:val="20"/>
              </w:rPr>
            </w:pPr>
            <w:r w:rsidRPr="00E67708">
              <w:rPr>
                <w:rFonts w:cs="Arial"/>
                <w:sz w:val="20"/>
                <w:szCs w:val="20"/>
              </w:rPr>
              <w:t>EA</w:t>
            </w:r>
          </w:p>
        </w:tc>
        <w:tc>
          <w:tcPr>
            <w:tcW w:w="7200" w:type="dxa"/>
          </w:tcPr>
          <w:p w14:paraId="106CEAE5" w14:textId="3BF41E23" w:rsidR="00284835" w:rsidRPr="00E67708" w:rsidRDefault="006A5935" w:rsidP="00E67708">
            <w:pPr>
              <w:rPr>
                <w:rFonts w:cs="Arial"/>
                <w:sz w:val="20"/>
                <w:szCs w:val="20"/>
              </w:rPr>
            </w:pPr>
            <w:r w:rsidRPr="00E67708">
              <w:rPr>
                <w:rFonts w:cs="Arial"/>
                <w:sz w:val="20"/>
                <w:szCs w:val="20"/>
              </w:rPr>
              <w:t>Environment Agency</w:t>
            </w:r>
          </w:p>
        </w:tc>
      </w:tr>
      <w:tr w:rsidR="000157FE" w14:paraId="511F9AC3" w14:textId="77777777" w:rsidTr="00A56D92">
        <w:tc>
          <w:tcPr>
            <w:tcW w:w="2376" w:type="dxa"/>
          </w:tcPr>
          <w:p w14:paraId="32A97324" w14:textId="44810B0C" w:rsidR="000157FE" w:rsidRPr="00E67708" w:rsidRDefault="000157FE" w:rsidP="00E67708">
            <w:pPr>
              <w:rPr>
                <w:rFonts w:cs="Arial"/>
                <w:sz w:val="20"/>
                <w:szCs w:val="20"/>
              </w:rPr>
            </w:pPr>
            <w:r w:rsidRPr="00E67708">
              <w:rPr>
                <w:rFonts w:cs="Arial"/>
                <w:sz w:val="20"/>
                <w:szCs w:val="20"/>
              </w:rPr>
              <w:t>EC</w:t>
            </w:r>
          </w:p>
        </w:tc>
        <w:tc>
          <w:tcPr>
            <w:tcW w:w="7200" w:type="dxa"/>
          </w:tcPr>
          <w:p w14:paraId="29B2F2F6" w14:textId="33097D5B" w:rsidR="000157FE" w:rsidRPr="00E67708" w:rsidRDefault="000157FE" w:rsidP="00E67708">
            <w:pPr>
              <w:rPr>
                <w:rFonts w:cs="Arial"/>
                <w:sz w:val="20"/>
                <w:szCs w:val="20"/>
              </w:rPr>
            </w:pPr>
            <w:r w:rsidRPr="00E67708">
              <w:rPr>
                <w:rFonts w:cs="Arial"/>
                <w:sz w:val="20"/>
                <w:szCs w:val="20"/>
              </w:rPr>
              <w:t>European Commission</w:t>
            </w:r>
            <w:r w:rsidR="00D86D86">
              <w:rPr>
                <w:rFonts w:cs="Arial"/>
                <w:sz w:val="20"/>
                <w:szCs w:val="20"/>
              </w:rPr>
              <w:t>/Electrochemical cells</w:t>
            </w:r>
          </w:p>
        </w:tc>
      </w:tr>
      <w:tr w:rsidR="000157FE" w14:paraId="28A93934" w14:textId="77777777" w:rsidTr="00A56D92">
        <w:tc>
          <w:tcPr>
            <w:tcW w:w="2376" w:type="dxa"/>
          </w:tcPr>
          <w:p w14:paraId="13C06461" w14:textId="7F0449D7" w:rsidR="000157FE" w:rsidRPr="00E67708" w:rsidRDefault="000157FE" w:rsidP="00E67708">
            <w:pPr>
              <w:rPr>
                <w:rFonts w:cs="Arial"/>
                <w:sz w:val="20"/>
                <w:szCs w:val="20"/>
              </w:rPr>
            </w:pPr>
            <w:r w:rsidRPr="00E67708">
              <w:rPr>
                <w:rFonts w:cs="Arial"/>
                <w:sz w:val="20"/>
                <w:szCs w:val="20"/>
              </w:rPr>
              <w:lastRenderedPageBreak/>
              <w:t>EEA</w:t>
            </w:r>
          </w:p>
        </w:tc>
        <w:tc>
          <w:tcPr>
            <w:tcW w:w="7200" w:type="dxa"/>
          </w:tcPr>
          <w:p w14:paraId="56D79CDA" w14:textId="6291C805" w:rsidR="000157FE" w:rsidRPr="00E67708" w:rsidRDefault="000157FE" w:rsidP="00E67708">
            <w:pPr>
              <w:rPr>
                <w:rFonts w:cs="Arial"/>
                <w:sz w:val="20"/>
                <w:szCs w:val="20"/>
              </w:rPr>
            </w:pPr>
            <w:r w:rsidRPr="00E67708">
              <w:rPr>
                <w:rFonts w:cs="Arial"/>
                <w:sz w:val="20"/>
                <w:szCs w:val="20"/>
              </w:rPr>
              <w:t>European Environment Agency</w:t>
            </w:r>
          </w:p>
        </w:tc>
      </w:tr>
      <w:tr w:rsidR="00284835" w14:paraId="1ABF5FDB" w14:textId="77777777" w:rsidTr="00A56D92">
        <w:tc>
          <w:tcPr>
            <w:tcW w:w="2376" w:type="dxa"/>
          </w:tcPr>
          <w:p w14:paraId="58EDAD3E" w14:textId="6700352F" w:rsidR="00284835" w:rsidRPr="00E67708" w:rsidRDefault="009A47BA" w:rsidP="00E67708">
            <w:pPr>
              <w:rPr>
                <w:rFonts w:cs="Arial"/>
                <w:sz w:val="20"/>
                <w:szCs w:val="20"/>
              </w:rPr>
            </w:pPr>
            <w:r w:rsidRPr="00E67708">
              <w:rPr>
                <w:rFonts w:cs="Arial"/>
                <w:sz w:val="20"/>
                <w:szCs w:val="20"/>
              </w:rPr>
              <w:t>enHealth</w:t>
            </w:r>
          </w:p>
        </w:tc>
        <w:tc>
          <w:tcPr>
            <w:tcW w:w="7200" w:type="dxa"/>
          </w:tcPr>
          <w:p w14:paraId="311C0382" w14:textId="0DFDA7A9" w:rsidR="00284835" w:rsidRPr="00E67708" w:rsidRDefault="006A5935" w:rsidP="00E67708">
            <w:pPr>
              <w:rPr>
                <w:rFonts w:cs="Arial"/>
                <w:sz w:val="20"/>
                <w:szCs w:val="20"/>
              </w:rPr>
            </w:pPr>
            <w:r w:rsidRPr="00E67708">
              <w:rPr>
                <w:rFonts w:cs="Arial"/>
                <w:sz w:val="20"/>
                <w:szCs w:val="20"/>
              </w:rPr>
              <w:t>enHealth Council</w:t>
            </w:r>
          </w:p>
        </w:tc>
      </w:tr>
      <w:tr w:rsidR="00D17984" w14:paraId="6BFD02D4" w14:textId="77777777" w:rsidTr="00A56D92">
        <w:tc>
          <w:tcPr>
            <w:tcW w:w="2376" w:type="dxa"/>
          </w:tcPr>
          <w:p w14:paraId="0E6A9077" w14:textId="64626C69" w:rsidR="00D17984" w:rsidRPr="00E67708" w:rsidRDefault="00D17984" w:rsidP="00E67708">
            <w:pPr>
              <w:rPr>
                <w:rFonts w:cs="Arial"/>
                <w:sz w:val="20"/>
                <w:szCs w:val="20"/>
              </w:rPr>
            </w:pPr>
            <w:r w:rsidRPr="00E67708">
              <w:rPr>
                <w:rFonts w:cs="Arial"/>
                <w:sz w:val="20"/>
                <w:szCs w:val="20"/>
              </w:rPr>
              <w:t>EPA</w:t>
            </w:r>
          </w:p>
        </w:tc>
        <w:tc>
          <w:tcPr>
            <w:tcW w:w="7200" w:type="dxa"/>
          </w:tcPr>
          <w:p w14:paraId="2934DC87" w14:textId="237F3E1D" w:rsidR="00D17984" w:rsidRPr="00E67708" w:rsidRDefault="00D17984" w:rsidP="00E67708">
            <w:pPr>
              <w:rPr>
                <w:rFonts w:cs="Arial"/>
                <w:sz w:val="20"/>
                <w:szCs w:val="20"/>
              </w:rPr>
            </w:pPr>
            <w:r w:rsidRPr="00E67708">
              <w:rPr>
                <w:rFonts w:cs="Arial"/>
                <w:sz w:val="20"/>
                <w:szCs w:val="20"/>
              </w:rPr>
              <w:t xml:space="preserve">Environmental </w:t>
            </w:r>
            <w:r w:rsidR="00181477" w:rsidRPr="00E67708">
              <w:rPr>
                <w:rFonts w:cs="Arial"/>
                <w:sz w:val="20"/>
                <w:szCs w:val="20"/>
              </w:rPr>
              <w:t>P</w:t>
            </w:r>
            <w:r w:rsidRPr="00E67708">
              <w:rPr>
                <w:rFonts w:cs="Arial"/>
                <w:sz w:val="20"/>
                <w:szCs w:val="20"/>
              </w:rPr>
              <w:t>rotection Agency or Authority</w:t>
            </w:r>
          </w:p>
        </w:tc>
      </w:tr>
      <w:tr w:rsidR="00D86D86" w14:paraId="5AF6E57D" w14:textId="77777777" w:rsidTr="00A56D92">
        <w:tc>
          <w:tcPr>
            <w:tcW w:w="2376" w:type="dxa"/>
          </w:tcPr>
          <w:p w14:paraId="595E609E" w14:textId="3FB719D8" w:rsidR="00D86D86" w:rsidRPr="00E67708" w:rsidRDefault="00D86D86" w:rsidP="00E67708">
            <w:pPr>
              <w:rPr>
                <w:rFonts w:cs="Arial"/>
                <w:sz w:val="20"/>
                <w:szCs w:val="20"/>
              </w:rPr>
            </w:pPr>
            <w:r>
              <w:rPr>
                <w:rFonts w:cs="Arial"/>
                <w:sz w:val="20"/>
                <w:szCs w:val="20"/>
              </w:rPr>
              <w:t>ERT</w:t>
            </w:r>
          </w:p>
        </w:tc>
        <w:tc>
          <w:tcPr>
            <w:tcW w:w="7200" w:type="dxa"/>
          </w:tcPr>
          <w:p w14:paraId="14AD648B" w14:textId="494B728D" w:rsidR="00D86D86" w:rsidRPr="00E67708" w:rsidRDefault="00D86D86" w:rsidP="00E67708">
            <w:pPr>
              <w:rPr>
                <w:rFonts w:cs="Arial"/>
                <w:sz w:val="20"/>
                <w:szCs w:val="20"/>
              </w:rPr>
            </w:pPr>
            <w:r>
              <w:rPr>
                <w:rFonts w:cs="Arial"/>
                <w:sz w:val="20"/>
                <w:szCs w:val="20"/>
              </w:rPr>
              <w:t>Electronic Reporting Tool system</w:t>
            </w:r>
          </w:p>
        </w:tc>
      </w:tr>
      <w:tr w:rsidR="0040290A" w14:paraId="2D868452" w14:textId="77777777" w:rsidTr="00A56D92">
        <w:tc>
          <w:tcPr>
            <w:tcW w:w="2376" w:type="dxa"/>
          </w:tcPr>
          <w:p w14:paraId="7616789B" w14:textId="15952903" w:rsidR="0040290A" w:rsidRPr="00E67708" w:rsidRDefault="0040290A" w:rsidP="00E67708">
            <w:pPr>
              <w:rPr>
                <w:rFonts w:cs="Arial"/>
                <w:sz w:val="20"/>
                <w:szCs w:val="20"/>
              </w:rPr>
            </w:pPr>
            <w:r>
              <w:rPr>
                <w:rFonts w:cs="Arial"/>
                <w:sz w:val="20"/>
                <w:szCs w:val="20"/>
              </w:rPr>
              <w:t>FID</w:t>
            </w:r>
          </w:p>
        </w:tc>
        <w:tc>
          <w:tcPr>
            <w:tcW w:w="7200" w:type="dxa"/>
          </w:tcPr>
          <w:p w14:paraId="571DCE77" w14:textId="4C90EAC4" w:rsidR="0040290A" w:rsidRPr="00E67708" w:rsidRDefault="0040290A" w:rsidP="00E67708">
            <w:pPr>
              <w:rPr>
                <w:rFonts w:cs="Arial"/>
                <w:sz w:val="20"/>
                <w:szCs w:val="20"/>
              </w:rPr>
            </w:pPr>
            <w:r>
              <w:rPr>
                <w:rFonts w:cs="Arial"/>
                <w:sz w:val="20"/>
                <w:szCs w:val="20"/>
              </w:rPr>
              <w:t xml:space="preserve">Flame </w:t>
            </w:r>
            <w:proofErr w:type="spellStart"/>
            <w:r>
              <w:rPr>
                <w:rFonts w:cs="Arial"/>
                <w:sz w:val="20"/>
                <w:szCs w:val="20"/>
              </w:rPr>
              <w:t>Ionisation</w:t>
            </w:r>
            <w:proofErr w:type="spellEnd"/>
            <w:r>
              <w:rPr>
                <w:rFonts w:cs="Arial"/>
                <w:sz w:val="20"/>
                <w:szCs w:val="20"/>
              </w:rPr>
              <w:t xml:space="preserve"> Detection</w:t>
            </w:r>
          </w:p>
        </w:tc>
      </w:tr>
      <w:tr w:rsidR="00B46E93" w14:paraId="4F4EF4E6" w14:textId="77777777" w:rsidTr="00A56D92">
        <w:tc>
          <w:tcPr>
            <w:tcW w:w="2376" w:type="dxa"/>
          </w:tcPr>
          <w:p w14:paraId="74C02A73" w14:textId="2315FE50" w:rsidR="00B46E93" w:rsidRPr="00E67708" w:rsidRDefault="00B46E93" w:rsidP="00E67708">
            <w:pPr>
              <w:rPr>
                <w:rFonts w:cs="Arial"/>
                <w:sz w:val="20"/>
                <w:szCs w:val="20"/>
              </w:rPr>
            </w:pPr>
            <w:r w:rsidRPr="00E67708">
              <w:rPr>
                <w:rFonts w:cs="Arial"/>
                <w:sz w:val="20"/>
                <w:szCs w:val="20"/>
              </w:rPr>
              <w:t>FUDS</w:t>
            </w:r>
          </w:p>
        </w:tc>
        <w:tc>
          <w:tcPr>
            <w:tcW w:w="7200" w:type="dxa"/>
          </w:tcPr>
          <w:p w14:paraId="0B296D33" w14:textId="1DCA05FA" w:rsidR="00B46E93" w:rsidRPr="00E67708" w:rsidRDefault="00B46E93" w:rsidP="00E67708">
            <w:pPr>
              <w:rPr>
                <w:rFonts w:cs="Arial"/>
                <w:sz w:val="20"/>
                <w:szCs w:val="20"/>
              </w:rPr>
            </w:pPr>
            <w:r w:rsidRPr="00E67708">
              <w:rPr>
                <w:rFonts w:cs="Arial"/>
                <w:sz w:val="20"/>
                <w:szCs w:val="20"/>
              </w:rPr>
              <w:t xml:space="preserve">Formerly Used </w:t>
            </w:r>
            <w:proofErr w:type="spellStart"/>
            <w:r w:rsidRPr="00E67708">
              <w:rPr>
                <w:rFonts w:cs="Arial"/>
                <w:sz w:val="20"/>
                <w:szCs w:val="20"/>
              </w:rPr>
              <w:t>Defence</w:t>
            </w:r>
            <w:proofErr w:type="spellEnd"/>
            <w:r w:rsidRPr="00E67708">
              <w:rPr>
                <w:rFonts w:cs="Arial"/>
                <w:sz w:val="20"/>
                <w:szCs w:val="20"/>
              </w:rPr>
              <w:t xml:space="preserve"> Sites</w:t>
            </w:r>
          </w:p>
        </w:tc>
      </w:tr>
      <w:tr w:rsidR="0040290A" w14:paraId="4116F0FB" w14:textId="77777777" w:rsidTr="00A56D92">
        <w:tc>
          <w:tcPr>
            <w:tcW w:w="2376" w:type="dxa"/>
          </w:tcPr>
          <w:p w14:paraId="4CA09EA8" w14:textId="4227531E" w:rsidR="0040290A" w:rsidRPr="00E67708" w:rsidRDefault="0040290A" w:rsidP="00E67708">
            <w:pPr>
              <w:rPr>
                <w:rFonts w:cs="Arial"/>
                <w:sz w:val="20"/>
                <w:szCs w:val="20"/>
              </w:rPr>
            </w:pPr>
            <w:r>
              <w:rPr>
                <w:rFonts w:cs="Arial"/>
                <w:sz w:val="20"/>
                <w:szCs w:val="20"/>
              </w:rPr>
              <w:t>GC</w:t>
            </w:r>
          </w:p>
        </w:tc>
        <w:tc>
          <w:tcPr>
            <w:tcW w:w="7200" w:type="dxa"/>
          </w:tcPr>
          <w:p w14:paraId="48F383DF" w14:textId="59FBEEE0" w:rsidR="0040290A" w:rsidRPr="00E67708" w:rsidRDefault="0040290A" w:rsidP="00E67708">
            <w:pPr>
              <w:rPr>
                <w:rFonts w:cs="Arial"/>
                <w:sz w:val="20"/>
                <w:szCs w:val="20"/>
              </w:rPr>
            </w:pPr>
            <w:r>
              <w:rPr>
                <w:rFonts w:cs="Arial"/>
                <w:sz w:val="20"/>
                <w:szCs w:val="20"/>
              </w:rPr>
              <w:t>Gas Chromatograph</w:t>
            </w:r>
          </w:p>
        </w:tc>
      </w:tr>
      <w:tr w:rsidR="000157FE" w14:paraId="6FBA553F" w14:textId="77777777" w:rsidTr="00A56D92">
        <w:tc>
          <w:tcPr>
            <w:tcW w:w="2376" w:type="dxa"/>
          </w:tcPr>
          <w:p w14:paraId="20139123" w14:textId="15ED3744" w:rsidR="000157FE" w:rsidRPr="00E67708" w:rsidRDefault="000157FE" w:rsidP="00E67708">
            <w:pPr>
              <w:rPr>
                <w:rFonts w:cs="Arial"/>
                <w:sz w:val="20"/>
                <w:szCs w:val="20"/>
              </w:rPr>
            </w:pPr>
            <w:r w:rsidRPr="00E67708">
              <w:rPr>
                <w:rFonts w:cs="Arial"/>
                <w:sz w:val="20"/>
                <w:szCs w:val="20"/>
              </w:rPr>
              <w:t>GC-FID</w:t>
            </w:r>
          </w:p>
        </w:tc>
        <w:tc>
          <w:tcPr>
            <w:tcW w:w="7200" w:type="dxa"/>
          </w:tcPr>
          <w:p w14:paraId="29B3BF30" w14:textId="4D7E69C0" w:rsidR="000157FE" w:rsidRPr="00E67708" w:rsidRDefault="006A5935" w:rsidP="00E67708">
            <w:pPr>
              <w:rPr>
                <w:rFonts w:cs="Arial"/>
                <w:sz w:val="20"/>
                <w:szCs w:val="20"/>
              </w:rPr>
            </w:pPr>
            <w:r w:rsidRPr="00E67708">
              <w:rPr>
                <w:rFonts w:cs="Arial"/>
                <w:sz w:val="20"/>
                <w:szCs w:val="20"/>
              </w:rPr>
              <w:t xml:space="preserve">Gas Chromatograph-Flame </w:t>
            </w:r>
            <w:proofErr w:type="spellStart"/>
            <w:r w:rsidRPr="00E67708">
              <w:rPr>
                <w:rFonts w:cs="Arial"/>
                <w:sz w:val="20"/>
                <w:szCs w:val="20"/>
              </w:rPr>
              <w:t>Ionisation</w:t>
            </w:r>
            <w:proofErr w:type="spellEnd"/>
            <w:r w:rsidRPr="00E67708">
              <w:rPr>
                <w:rFonts w:cs="Arial"/>
                <w:sz w:val="20"/>
                <w:szCs w:val="20"/>
              </w:rPr>
              <w:t xml:space="preserve"> Detection</w:t>
            </w:r>
          </w:p>
        </w:tc>
      </w:tr>
      <w:tr w:rsidR="000157FE" w14:paraId="25879DCD" w14:textId="77777777" w:rsidTr="00A56D92">
        <w:tc>
          <w:tcPr>
            <w:tcW w:w="2376" w:type="dxa"/>
          </w:tcPr>
          <w:p w14:paraId="6C896523" w14:textId="204F85EA" w:rsidR="000157FE" w:rsidRPr="00E67708" w:rsidRDefault="000157FE" w:rsidP="00E67708">
            <w:pPr>
              <w:rPr>
                <w:rFonts w:cs="Arial"/>
                <w:sz w:val="20"/>
                <w:szCs w:val="20"/>
              </w:rPr>
            </w:pPr>
            <w:r w:rsidRPr="00E67708">
              <w:rPr>
                <w:rFonts w:cs="Arial"/>
                <w:sz w:val="20"/>
                <w:szCs w:val="20"/>
              </w:rPr>
              <w:t>GC-MS</w:t>
            </w:r>
          </w:p>
        </w:tc>
        <w:tc>
          <w:tcPr>
            <w:tcW w:w="7200" w:type="dxa"/>
          </w:tcPr>
          <w:p w14:paraId="6DF9DC5C" w14:textId="25432298" w:rsidR="000157FE" w:rsidRPr="00E67708" w:rsidRDefault="006A5935" w:rsidP="00E67708">
            <w:pPr>
              <w:rPr>
                <w:rFonts w:cs="Arial"/>
                <w:sz w:val="20"/>
                <w:szCs w:val="20"/>
              </w:rPr>
            </w:pPr>
            <w:r w:rsidRPr="00E67708">
              <w:rPr>
                <w:rFonts w:cs="Arial"/>
                <w:sz w:val="20"/>
                <w:szCs w:val="20"/>
              </w:rPr>
              <w:t>Gas Chromatograph-Mass Spectroscopy</w:t>
            </w:r>
          </w:p>
        </w:tc>
      </w:tr>
      <w:tr w:rsidR="006A5935" w14:paraId="03A37822" w14:textId="77777777" w:rsidTr="00A56D92">
        <w:tc>
          <w:tcPr>
            <w:tcW w:w="2376" w:type="dxa"/>
          </w:tcPr>
          <w:p w14:paraId="7B1C7ADC" w14:textId="314469BF" w:rsidR="006A5935" w:rsidRPr="00E67708" w:rsidRDefault="006A5935" w:rsidP="00E67708">
            <w:pPr>
              <w:rPr>
                <w:rFonts w:cs="Arial"/>
                <w:sz w:val="20"/>
                <w:szCs w:val="20"/>
              </w:rPr>
            </w:pPr>
            <w:r w:rsidRPr="00E67708">
              <w:rPr>
                <w:rFonts w:cs="Arial"/>
                <w:sz w:val="20"/>
                <w:szCs w:val="20"/>
              </w:rPr>
              <w:t>GPLC</w:t>
            </w:r>
          </w:p>
        </w:tc>
        <w:tc>
          <w:tcPr>
            <w:tcW w:w="7200" w:type="dxa"/>
          </w:tcPr>
          <w:p w14:paraId="0EA24E53" w14:textId="2899A379" w:rsidR="006A5935" w:rsidRPr="00E67708" w:rsidRDefault="006A5935" w:rsidP="00E67708">
            <w:pPr>
              <w:rPr>
                <w:rFonts w:cs="Arial"/>
                <w:sz w:val="20"/>
                <w:szCs w:val="20"/>
              </w:rPr>
            </w:pPr>
            <w:r w:rsidRPr="00E67708">
              <w:rPr>
                <w:rFonts w:cs="Arial"/>
                <w:sz w:val="20"/>
                <w:szCs w:val="20"/>
              </w:rPr>
              <w:t>Guiding Principles of Land Contamination</w:t>
            </w:r>
          </w:p>
        </w:tc>
      </w:tr>
      <w:tr w:rsidR="009437E7" w14:paraId="202A89F6" w14:textId="77777777" w:rsidTr="00A56D92">
        <w:tc>
          <w:tcPr>
            <w:tcW w:w="2376" w:type="dxa"/>
          </w:tcPr>
          <w:p w14:paraId="15BFDCDC" w14:textId="1AFB5E16" w:rsidR="009437E7" w:rsidRPr="00E67708" w:rsidRDefault="009437E7" w:rsidP="00E67708">
            <w:pPr>
              <w:rPr>
                <w:rFonts w:cs="Arial"/>
                <w:sz w:val="20"/>
                <w:szCs w:val="20"/>
              </w:rPr>
            </w:pPr>
            <w:r>
              <w:rPr>
                <w:rFonts w:cs="Arial"/>
                <w:sz w:val="20"/>
                <w:szCs w:val="20"/>
              </w:rPr>
              <w:t>GSI</w:t>
            </w:r>
          </w:p>
        </w:tc>
        <w:tc>
          <w:tcPr>
            <w:tcW w:w="7200" w:type="dxa"/>
          </w:tcPr>
          <w:p w14:paraId="7C889E36" w14:textId="385542EA" w:rsidR="009437E7" w:rsidRPr="00E67708" w:rsidRDefault="009437E7" w:rsidP="00E67708">
            <w:pPr>
              <w:rPr>
                <w:rFonts w:cs="Arial"/>
                <w:sz w:val="20"/>
                <w:szCs w:val="20"/>
              </w:rPr>
            </w:pPr>
            <w:r>
              <w:rPr>
                <w:rFonts w:cs="Arial"/>
                <w:sz w:val="20"/>
                <w:szCs w:val="20"/>
              </w:rPr>
              <w:t>Groundwater Services Incorporated</w:t>
            </w:r>
          </w:p>
        </w:tc>
      </w:tr>
      <w:tr w:rsidR="000157FE" w14:paraId="32BD8AF3" w14:textId="77777777" w:rsidTr="00A56D92">
        <w:tc>
          <w:tcPr>
            <w:tcW w:w="2376" w:type="dxa"/>
          </w:tcPr>
          <w:p w14:paraId="03AB5F31" w14:textId="230200A6" w:rsidR="000157FE" w:rsidRPr="00E67708" w:rsidRDefault="000157FE" w:rsidP="00E67708">
            <w:pPr>
              <w:rPr>
                <w:rFonts w:cs="Arial"/>
                <w:sz w:val="20"/>
                <w:szCs w:val="20"/>
              </w:rPr>
            </w:pPr>
            <w:r w:rsidRPr="00E67708">
              <w:rPr>
                <w:rFonts w:cs="Arial"/>
                <w:sz w:val="20"/>
                <w:szCs w:val="20"/>
              </w:rPr>
              <w:t>GSVs</w:t>
            </w:r>
          </w:p>
        </w:tc>
        <w:tc>
          <w:tcPr>
            <w:tcW w:w="7200" w:type="dxa"/>
          </w:tcPr>
          <w:p w14:paraId="606F8E93" w14:textId="1B92F032" w:rsidR="000157FE" w:rsidRPr="00E67708" w:rsidRDefault="006A5935" w:rsidP="00E67708">
            <w:pPr>
              <w:rPr>
                <w:rFonts w:cs="Arial"/>
                <w:sz w:val="20"/>
                <w:szCs w:val="20"/>
              </w:rPr>
            </w:pPr>
            <w:r w:rsidRPr="00E67708">
              <w:rPr>
                <w:rFonts w:cs="Arial"/>
                <w:sz w:val="20"/>
                <w:szCs w:val="20"/>
              </w:rPr>
              <w:t>Gas Soil Values</w:t>
            </w:r>
          </w:p>
        </w:tc>
      </w:tr>
      <w:tr w:rsidR="000157FE" w14:paraId="3F046FDF" w14:textId="77777777" w:rsidTr="00A56D92">
        <w:tc>
          <w:tcPr>
            <w:tcW w:w="2376" w:type="dxa"/>
          </w:tcPr>
          <w:p w14:paraId="0D3C76C2" w14:textId="0E300212" w:rsidR="000157FE" w:rsidRPr="00E67708" w:rsidRDefault="000157FE" w:rsidP="00E67708">
            <w:pPr>
              <w:rPr>
                <w:rFonts w:cs="Arial"/>
                <w:sz w:val="20"/>
                <w:szCs w:val="20"/>
              </w:rPr>
            </w:pPr>
            <w:r w:rsidRPr="00E67708">
              <w:rPr>
                <w:rFonts w:cs="Arial"/>
                <w:sz w:val="20"/>
                <w:szCs w:val="20"/>
              </w:rPr>
              <w:t>HILs</w:t>
            </w:r>
          </w:p>
        </w:tc>
        <w:tc>
          <w:tcPr>
            <w:tcW w:w="7200" w:type="dxa"/>
          </w:tcPr>
          <w:p w14:paraId="63A4A96C" w14:textId="60C8D832" w:rsidR="000157FE" w:rsidRPr="00E67708" w:rsidRDefault="000157FE" w:rsidP="00E67708">
            <w:pPr>
              <w:rPr>
                <w:rFonts w:cs="Arial"/>
                <w:sz w:val="20"/>
                <w:szCs w:val="20"/>
              </w:rPr>
            </w:pPr>
            <w:r w:rsidRPr="00E67708">
              <w:rPr>
                <w:rFonts w:cs="Arial"/>
                <w:sz w:val="20"/>
                <w:szCs w:val="20"/>
              </w:rPr>
              <w:t>Health Investigation Levels</w:t>
            </w:r>
          </w:p>
        </w:tc>
      </w:tr>
      <w:tr w:rsidR="000157FE" w14:paraId="2D2AC10E" w14:textId="77777777" w:rsidTr="00A56D92">
        <w:tc>
          <w:tcPr>
            <w:tcW w:w="2376" w:type="dxa"/>
          </w:tcPr>
          <w:p w14:paraId="39F2A5A0" w14:textId="2A50E1BA" w:rsidR="000157FE" w:rsidRPr="00E67708" w:rsidRDefault="000157FE" w:rsidP="00E67708">
            <w:pPr>
              <w:rPr>
                <w:rFonts w:cs="Arial"/>
                <w:sz w:val="20"/>
                <w:szCs w:val="20"/>
              </w:rPr>
            </w:pPr>
            <w:r w:rsidRPr="00E67708">
              <w:rPr>
                <w:rFonts w:cs="Arial"/>
                <w:sz w:val="20"/>
                <w:szCs w:val="20"/>
              </w:rPr>
              <w:t>HSLs</w:t>
            </w:r>
          </w:p>
        </w:tc>
        <w:tc>
          <w:tcPr>
            <w:tcW w:w="7200" w:type="dxa"/>
          </w:tcPr>
          <w:p w14:paraId="2CC8C498" w14:textId="141AE43D" w:rsidR="000157FE" w:rsidRPr="00E67708" w:rsidRDefault="000157FE" w:rsidP="00E67708">
            <w:pPr>
              <w:rPr>
                <w:rFonts w:cs="Arial"/>
                <w:sz w:val="20"/>
                <w:szCs w:val="20"/>
              </w:rPr>
            </w:pPr>
            <w:r w:rsidRPr="00E67708">
              <w:rPr>
                <w:rFonts w:cs="Arial"/>
                <w:sz w:val="20"/>
                <w:szCs w:val="20"/>
              </w:rPr>
              <w:t>Health Screening Levels</w:t>
            </w:r>
          </w:p>
        </w:tc>
      </w:tr>
      <w:tr w:rsidR="00440A00" w14:paraId="65AB8F0B" w14:textId="77777777" w:rsidTr="00A56D92">
        <w:tc>
          <w:tcPr>
            <w:tcW w:w="2376" w:type="dxa"/>
          </w:tcPr>
          <w:p w14:paraId="35A77E92" w14:textId="019B7C6E" w:rsidR="00440A00" w:rsidRPr="00E67708" w:rsidRDefault="00440A00" w:rsidP="00E67708">
            <w:pPr>
              <w:rPr>
                <w:rFonts w:cs="Arial"/>
                <w:sz w:val="20"/>
                <w:szCs w:val="20"/>
              </w:rPr>
            </w:pPr>
            <w:r w:rsidRPr="00E67708">
              <w:rPr>
                <w:rFonts w:cs="Arial"/>
                <w:sz w:val="20"/>
                <w:szCs w:val="20"/>
              </w:rPr>
              <w:t>HQ</w:t>
            </w:r>
          </w:p>
        </w:tc>
        <w:tc>
          <w:tcPr>
            <w:tcW w:w="7200" w:type="dxa"/>
          </w:tcPr>
          <w:p w14:paraId="75AF6B12" w14:textId="55C54255" w:rsidR="00440A00" w:rsidRPr="00E67708" w:rsidRDefault="00D17984" w:rsidP="00E67708">
            <w:pPr>
              <w:rPr>
                <w:rFonts w:cs="Arial"/>
                <w:sz w:val="20"/>
                <w:szCs w:val="20"/>
              </w:rPr>
            </w:pPr>
            <w:r w:rsidRPr="00E67708">
              <w:rPr>
                <w:rFonts w:cs="Arial"/>
                <w:sz w:val="20"/>
                <w:szCs w:val="20"/>
              </w:rPr>
              <w:t>Hazard Quotient</w:t>
            </w:r>
          </w:p>
        </w:tc>
      </w:tr>
      <w:tr w:rsidR="00D86D86" w14:paraId="5FB3EA1A" w14:textId="77777777" w:rsidTr="00A56D92">
        <w:tc>
          <w:tcPr>
            <w:tcW w:w="2376" w:type="dxa"/>
          </w:tcPr>
          <w:p w14:paraId="5048DF67" w14:textId="7A535DC7" w:rsidR="00D86D86" w:rsidRPr="00E67708" w:rsidRDefault="00D86D86" w:rsidP="00E67708">
            <w:pPr>
              <w:rPr>
                <w:rFonts w:cs="Arial"/>
                <w:sz w:val="20"/>
                <w:szCs w:val="20"/>
              </w:rPr>
            </w:pPr>
            <w:r>
              <w:rPr>
                <w:rFonts w:cs="Arial"/>
                <w:sz w:val="20"/>
                <w:szCs w:val="20"/>
              </w:rPr>
              <w:t>HVAC</w:t>
            </w:r>
          </w:p>
        </w:tc>
        <w:tc>
          <w:tcPr>
            <w:tcW w:w="7200" w:type="dxa"/>
          </w:tcPr>
          <w:p w14:paraId="16AF5747" w14:textId="3CB6D26C" w:rsidR="00D86D86" w:rsidRPr="00E67708" w:rsidRDefault="00D86D86" w:rsidP="00E67708">
            <w:pPr>
              <w:rPr>
                <w:rFonts w:cs="Arial"/>
                <w:sz w:val="20"/>
                <w:szCs w:val="20"/>
              </w:rPr>
            </w:pPr>
            <w:r>
              <w:rPr>
                <w:rFonts w:cs="Arial"/>
                <w:sz w:val="20"/>
                <w:szCs w:val="20"/>
              </w:rPr>
              <w:t>Heating, Ventilation and Air Conditioning system</w:t>
            </w:r>
          </w:p>
        </w:tc>
      </w:tr>
      <w:tr w:rsidR="00440A00" w14:paraId="620B597E" w14:textId="77777777" w:rsidTr="00A56D92">
        <w:tc>
          <w:tcPr>
            <w:tcW w:w="2376" w:type="dxa"/>
          </w:tcPr>
          <w:p w14:paraId="512EF230" w14:textId="68753420" w:rsidR="00440A00" w:rsidRPr="00E67708" w:rsidRDefault="00440A00" w:rsidP="00E67708">
            <w:pPr>
              <w:rPr>
                <w:rFonts w:cs="Arial"/>
                <w:sz w:val="20"/>
                <w:szCs w:val="20"/>
              </w:rPr>
            </w:pPr>
            <w:r w:rsidRPr="00E67708">
              <w:rPr>
                <w:rFonts w:cs="Arial"/>
                <w:sz w:val="20"/>
                <w:szCs w:val="20"/>
              </w:rPr>
              <w:t>IARC</w:t>
            </w:r>
          </w:p>
        </w:tc>
        <w:tc>
          <w:tcPr>
            <w:tcW w:w="7200" w:type="dxa"/>
          </w:tcPr>
          <w:p w14:paraId="110E0610" w14:textId="66B2A51D" w:rsidR="00440A00" w:rsidRPr="00E67708" w:rsidRDefault="000157FE" w:rsidP="00E67708">
            <w:pPr>
              <w:rPr>
                <w:rFonts w:cs="Arial"/>
                <w:sz w:val="20"/>
                <w:szCs w:val="20"/>
              </w:rPr>
            </w:pPr>
            <w:r w:rsidRPr="00E67708">
              <w:rPr>
                <w:rFonts w:cs="Arial"/>
                <w:sz w:val="20"/>
                <w:szCs w:val="20"/>
              </w:rPr>
              <w:t>International Agency for Research on Cancer</w:t>
            </w:r>
          </w:p>
        </w:tc>
      </w:tr>
      <w:tr w:rsidR="005A64A9" w14:paraId="246B376F" w14:textId="77777777" w:rsidTr="00A56D92">
        <w:tc>
          <w:tcPr>
            <w:tcW w:w="2376" w:type="dxa"/>
          </w:tcPr>
          <w:p w14:paraId="0F6B3FCA" w14:textId="33F93B79" w:rsidR="005A64A9" w:rsidRPr="00E67708" w:rsidRDefault="005A64A9" w:rsidP="00E67708">
            <w:pPr>
              <w:rPr>
                <w:rFonts w:cs="Arial"/>
                <w:sz w:val="20"/>
                <w:szCs w:val="20"/>
              </w:rPr>
            </w:pPr>
            <w:r>
              <w:rPr>
                <w:rFonts w:cs="Arial"/>
                <w:sz w:val="20"/>
                <w:szCs w:val="20"/>
              </w:rPr>
              <w:t>ICs</w:t>
            </w:r>
          </w:p>
        </w:tc>
        <w:tc>
          <w:tcPr>
            <w:tcW w:w="7200" w:type="dxa"/>
          </w:tcPr>
          <w:p w14:paraId="207ADC89" w14:textId="7387389B" w:rsidR="005A64A9" w:rsidRDefault="005A64A9" w:rsidP="00E67708">
            <w:pPr>
              <w:rPr>
                <w:rFonts w:cs="Arial"/>
                <w:sz w:val="20"/>
                <w:szCs w:val="20"/>
              </w:rPr>
            </w:pPr>
            <w:r>
              <w:rPr>
                <w:rFonts w:cs="Arial"/>
                <w:sz w:val="20"/>
                <w:szCs w:val="20"/>
              </w:rPr>
              <w:t>Institutional Controls</w:t>
            </w:r>
          </w:p>
        </w:tc>
      </w:tr>
      <w:tr w:rsidR="007C7CF4" w14:paraId="1B57A3E4" w14:textId="77777777" w:rsidTr="00A56D92">
        <w:tc>
          <w:tcPr>
            <w:tcW w:w="2376" w:type="dxa"/>
          </w:tcPr>
          <w:p w14:paraId="19CEACB7" w14:textId="0C372A83" w:rsidR="007C7CF4" w:rsidRPr="00E67708" w:rsidRDefault="007C7CF4" w:rsidP="00E67708">
            <w:pPr>
              <w:rPr>
                <w:rFonts w:cs="Arial"/>
                <w:sz w:val="20"/>
                <w:szCs w:val="20"/>
              </w:rPr>
            </w:pPr>
            <w:r w:rsidRPr="00E67708">
              <w:rPr>
                <w:rFonts w:cs="Arial"/>
                <w:sz w:val="20"/>
                <w:szCs w:val="20"/>
              </w:rPr>
              <w:t>IPCS</w:t>
            </w:r>
          </w:p>
        </w:tc>
        <w:tc>
          <w:tcPr>
            <w:tcW w:w="7200" w:type="dxa"/>
          </w:tcPr>
          <w:p w14:paraId="28C4A76C" w14:textId="0420AEF0" w:rsidR="007C7CF4" w:rsidRPr="00E67708" w:rsidRDefault="00E67708" w:rsidP="00E67708">
            <w:pPr>
              <w:rPr>
                <w:rFonts w:cs="Arial"/>
                <w:sz w:val="20"/>
                <w:szCs w:val="20"/>
              </w:rPr>
            </w:pPr>
            <w:r>
              <w:rPr>
                <w:rFonts w:cs="Arial"/>
                <w:sz w:val="20"/>
                <w:szCs w:val="20"/>
              </w:rPr>
              <w:t xml:space="preserve">International </w:t>
            </w:r>
            <w:proofErr w:type="spellStart"/>
            <w:r>
              <w:rPr>
                <w:rFonts w:cs="Arial"/>
                <w:sz w:val="20"/>
                <w:szCs w:val="20"/>
              </w:rPr>
              <w:t>Programme</w:t>
            </w:r>
            <w:proofErr w:type="spellEnd"/>
            <w:r>
              <w:rPr>
                <w:rFonts w:cs="Arial"/>
                <w:sz w:val="20"/>
                <w:szCs w:val="20"/>
              </w:rPr>
              <w:t xml:space="preserve"> on Chemical Safety</w:t>
            </w:r>
          </w:p>
        </w:tc>
      </w:tr>
      <w:tr w:rsidR="00D86D86" w14:paraId="32170B34" w14:textId="77777777" w:rsidTr="00A56D92">
        <w:tc>
          <w:tcPr>
            <w:tcW w:w="2376" w:type="dxa"/>
          </w:tcPr>
          <w:p w14:paraId="70B3435A" w14:textId="22DC2317" w:rsidR="00D86D86" w:rsidRPr="00E67708" w:rsidRDefault="00D86D86" w:rsidP="00E67708">
            <w:pPr>
              <w:rPr>
                <w:rFonts w:cs="Arial"/>
                <w:sz w:val="20"/>
                <w:szCs w:val="20"/>
              </w:rPr>
            </w:pPr>
            <w:r>
              <w:rPr>
                <w:rFonts w:cs="Arial"/>
                <w:sz w:val="20"/>
                <w:szCs w:val="20"/>
              </w:rPr>
              <w:t>IR</w:t>
            </w:r>
          </w:p>
        </w:tc>
        <w:tc>
          <w:tcPr>
            <w:tcW w:w="7200" w:type="dxa"/>
          </w:tcPr>
          <w:p w14:paraId="282BC450" w14:textId="47DA7086" w:rsidR="00D86D86" w:rsidRDefault="00D86D86" w:rsidP="00E67708">
            <w:pPr>
              <w:rPr>
                <w:rFonts w:cs="Arial"/>
                <w:sz w:val="20"/>
                <w:szCs w:val="20"/>
              </w:rPr>
            </w:pPr>
            <w:r>
              <w:rPr>
                <w:rFonts w:cs="Arial"/>
                <w:sz w:val="20"/>
                <w:szCs w:val="20"/>
              </w:rPr>
              <w:t>Infra-red</w:t>
            </w:r>
          </w:p>
        </w:tc>
      </w:tr>
      <w:tr w:rsidR="00440A00" w14:paraId="2100DD0F" w14:textId="77777777" w:rsidTr="00A56D92">
        <w:tc>
          <w:tcPr>
            <w:tcW w:w="2376" w:type="dxa"/>
          </w:tcPr>
          <w:p w14:paraId="77EB57DD" w14:textId="392D4FA2" w:rsidR="00440A00" w:rsidRPr="00E67708" w:rsidRDefault="00440A00" w:rsidP="00E67708">
            <w:pPr>
              <w:rPr>
                <w:rFonts w:cs="Arial"/>
                <w:sz w:val="20"/>
                <w:szCs w:val="20"/>
              </w:rPr>
            </w:pPr>
            <w:r w:rsidRPr="00E67708">
              <w:rPr>
                <w:rFonts w:cs="Arial"/>
                <w:sz w:val="20"/>
                <w:szCs w:val="20"/>
              </w:rPr>
              <w:t>IRIS</w:t>
            </w:r>
          </w:p>
        </w:tc>
        <w:tc>
          <w:tcPr>
            <w:tcW w:w="7200" w:type="dxa"/>
          </w:tcPr>
          <w:p w14:paraId="1A96A9E8" w14:textId="1C71123A" w:rsidR="00440A00" w:rsidRPr="00E67708" w:rsidRDefault="00D86D86" w:rsidP="00E67708">
            <w:pPr>
              <w:rPr>
                <w:rFonts w:cs="Arial"/>
                <w:sz w:val="20"/>
                <w:szCs w:val="20"/>
              </w:rPr>
            </w:pPr>
            <w:r>
              <w:rPr>
                <w:rFonts w:cs="Arial"/>
                <w:sz w:val="20"/>
                <w:szCs w:val="20"/>
              </w:rPr>
              <w:t>Integrated Risk Information System</w:t>
            </w:r>
          </w:p>
        </w:tc>
      </w:tr>
      <w:tr w:rsidR="007C7CF4" w14:paraId="5643BF8E" w14:textId="77777777" w:rsidTr="00A56D92">
        <w:tc>
          <w:tcPr>
            <w:tcW w:w="2376" w:type="dxa"/>
          </w:tcPr>
          <w:p w14:paraId="3FE436E1" w14:textId="0018901E" w:rsidR="007C7CF4" w:rsidRPr="00E67708" w:rsidRDefault="007C7CF4" w:rsidP="00E67708">
            <w:pPr>
              <w:rPr>
                <w:rFonts w:cs="Arial"/>
                <w:sz w:val="20"/>
                <w:szCs w:val="20"/>
              </w:rPr>
            </w:pPr>
            <w:r w:rsidRPr="00E67708">
              <w:rPr>
                <w:rFonts w:cs="Arial"/>
                <w:sz w:val="20"/>
                <w:szCs w:val="20"/>
              </w:rPr>
              <w:t>ISAs</w:t>
            </w:r>
          </w:p>
        </w:tc>
        <w:tc>
          <w:tcPr>
            <w:tcW w:w="7200" w:type="dxa"/>
          </w:tcPr>
          <w:p w14:paraId="311A3A85" w14:textId="495D8718" w:rsidR="007C7CF4" w:rsidRPr="00E67708" w:rsidRDefault="007C7CF4" w:rsidP="00E67708">
            <w:pPr>
              <w:rPr>
                <w:rFonts w:cs="Arial"/>
                <w:sz w:val="20"/>
                <w:szCs w:val="20"/>
              </w:rPr>
            </w:pPr>
            <w:r w:rsidRPr="00E67708">
              <w:rPr>
                <w:rFonts w:cs="Arial"/>
                <w:sz w:val="20"/>
                <w:szCs w:val="20"/>
              </w:rPr>
              <w:t>Integrated Science Assessments</w:t>
            </w:r>
          </w:p>
        </w:tc>
      </w:tr>
      <w:tr w:rsidR="00284835" w14:paraId="2CC38EE2" w14:textId="77777777" w:rsidTr="00A56D92">
        <w:tc>
          <w:tcPr>
            <w:tcW w:w="2376" w:type="dxa"/>
          </w:tcPr>
          <w:p w14:paraId="3ACD0EEE" w14:textId="52ABDEE3" w:rsidR="00284835" w:rsidRPr="00E67708" w:rsidRDefault="009A47BA" w:rsidP="00E67708">
            <w:pPr>
              <w:rPr>
                <w:rFonts w:cs="Arial"/>
                <w:sz w:val="20"/>
                <w:szCs w:val="20"/>
              </w:rPr>
            </w:pPr>
            <w:r w:rsidRPr="00E67708">
              <w:rPr>
                <w:rFonts w:cs="Arial"/>
                <w:sz w:val="20"/>
                <w:szCs w:val="20"/>
              </w:rPr>
              <w:t>ITRC</w:t>
            </w:r>
          </w:p>
        </w:tc>
        <w:tc>
          <w:tcPr>
            <w:tcW w:w="7200" w:type="dxa"/>
          </w:tcPr>
          <w:p w14:paraId="67C2870B" w14:textId="11A071F9" w:rsidR="00284835" w:rsidRPr="00E67708" w:rsidRDefault="00C847C8" w:rsidP="00E67708">
            <w:pPr>
              <w:rPr>
                <w:rFonts w:cs="Arial"/>
                <w:sz w:val="20"/>
                <w:szCs w:val="20"/>
              </w:rPr>
            </w:pPr>
            <w:r>
              <w:rPr>
                <w:rFonts w:cs="Arial"/>
                <w:sz w:val="20"/>
                <w:szCs w:val="20"/>
              </w:rPr>
              <w:t>Interstate Technology and Regulatory Council</w:t>
            </w:r>
          </w:p>
        </w:tc>
      </w:tr>
      <w:tr w:rsidR="00284835" w14:paraId="22F10CBB" w14:textId="77777777" w:rsidTr="00A56D92">
        <w:tc>
          <w:tcPr>
            <w:tcW w:w="2376" w:type="dxa"/>
          </w:tcPr>
          <w:p w14:paraId="654D3E6E" w14:textId="34E18341" w:rsidR="00284835" w:rsidRPr="00E67708" w:rsidRDefault="000157FE" w:rsidP="00E67708">
            <w:pPr>
              <w:rPr>
                <w:rFonts w:cs="Arial"/>
                <w:sz w:val="20"/>
                <w:szCs w:val="20"/>
              </w:rPr>
            </w:pPr>
            <w:r w:rsidRPr="00E67708">
              <w:rPr>
                <w:rFonts w:cs="Arial"/>
                <w:sz w:val="20"/>
                <w:szCs w:val="20"/>
              </w:rPr>
              <w:t>JEM</w:t>
            </w:r>
          </w:p>
        </w:tc>
        <w:tc>
          <w:tcPr>
            <w:tcW w:w="7200" w:type="dxa"/>
          </w:tcPr>
          <w:p w14:paraId="5F60E2FE" w14:textId="4C0F5AF1" w:rsidR="00284835" w:rsidRPr="00E67708" w:rsidRDefault="00E67708" w:rsidP="00E67708">
            <w:pPr>
              <w:rPr>
                <w:rFonts w:cs="Arial"/>
                <w:sz w:val="20"/>
                <w:szCs w:val="20"/>
              </w:rPr>
            </w:pPr>
            <w:r>
              <w:rPr>
                <w:rFonts w:cs="Arial"/>
                <w:sz w:val="20"/>
                <w:szCs w:val="20"/>
              </w:rPr>
              <w:t>Johnson and Ettinger model</w:t>
            </w:r>
          </w:p>
        </w:tc>
      </w:tr>
      <w:tr w:rsidR="00284835" w14:paraId="0B47FF7D" w14:textId="77777777" w:rsidTr="00A56D92">
        <w:tc>
          <w:tcPr>
            <w:tcW w:w="2376" w:type="dxa"/>
          </w:tcPr>
          <w:p w14:paraId="14822F56" w14:textId="6E754923" w:rsidR="00284835" w:rsidRPr="00E67708" w:rsidRDefault="000157FE" w:rsidP="00E67708">
            <w:pPr>
              <w:rPr>
                <w:rFonts w:cs="Arial"/>
                <w:sz w:val="20"/>
                <w:szCs w:val="20"/>
              </w:rPr>
            </w:pPr>
            <w:r w:rsidRPr="00E67708">
              <w:rPr>
                <w:rFonts w:cs="Arial"/>
                <w:sz w:val="20"/>
                <w:szCs w:val="20"/>
              </w:rPr>
              <w:t>JRC</w:t>
            </w:r>
          </w:p>
        </w:tc>
        <w:tc>
          <w:tcPr>
            <w:tcW w:w="7200" w:type="dxa"/>
          </w:tcPr>
          <w:p w14:paraId="615EC211" w14:textId="2483AA5E" w:rsidR="00284835" w:rsidRPr="00E67708" w:rsidRDefault="000157FE" w:rsidP="00E67708">
            <w:pPr>
              <w:rPr>
                <w:rFonts w:cs="Arial"/>
                <w:sz w:val="20"/>
                <w:szCs w:val="20"/>
              </w:rPr>
            </w:pPr>
            <w:r w:rsidRPr="00E67708">
              <w:rPr>
                <w:rFonts w:cs="Arial"/>
                <w:sz w:val="20"/>
                <w:szCs w:val="20"/>
              </w:rPr>
              <w:t>Joint Research Centre</w:t>
            </w:r>
          </w:p>
        </w:tc>
      </w:tr>
      <w:tr w:rsidR="00440A00" w14:paraId="2423A1D7" w14:textId="77777777" w:rsidTr="00A56D92">
        <w:tc>
          <w:tcPr>
            <w:tcW w:w="2376" w:type="dxa"/>
          </w:tcPr>
          <w:p w14:paraId="0D7D454F" w14:textId="4859FE48" w:rsidR="00440A00" w:rsidRPr="00E67708" w:rsidRDefault="00440A00" w:rsidP="00E67708">
            <w:pPr>
              <w:rPr>
                <w:rFonts w:cs="Arial"/>
                <w:sz w:val="20"/>
                <w:szCs w:val="20"/>
              </w:rPr>
            </w:pPr>
            <w:r w:rsidRPr="00E67708">
              <w:rPr>
                <w:rFonts w:cs="Arial"/>
                <w:sz w:val="20"/>
                <w:szCs w:val="20"/>
              </w:rPr>
              <w:t>LNAPL</w:t>
            </w:r>
          </w:p>
        </w:tc>
        <w:tc>
          <w:tcPr>
            <w:tcW w:w="7200" w:type="dxa"/>
          </w:tcPr>
          <w:p w14:paraId="19D89047" w14:textId="0946D488" w:rsidR="00440A00" w:rsidRPr="00E67708" w:rsidRDefault="00C847C8" w:rsidP="00E67708">
            <w:pPr>
              <w:rPr>
                <w:rFonts w:cs="Arial"/>
                <w:sz w:val="20"/>
                <w:szCs w:val="20"/>
              </w:rPr>
            </w:pPr>
            <w:r>
              <w:rPr>
                <w:rFonts w:cs="Arial"/>
                <w:sz w:val="20"/>
                <w:szCs w:val="20"/>
              </w:rPr>
              <w:t>Light Non-Aqueous Phase Liquid</w:t>
            </w:r>
          </w:p>
        </w:tc>
      </w:tr>
      <w:tr w:rsidR="00A56D92" w14:paraId="1C0BB5A8" w14:textId="77777777" w:rsidTr="00A56D92">
        <w:tc>
          <w:tcPr>
            <w:tcW w:w="2376" w:type="dxa"/>
          </w:tcPr>
          <w:p w14:paraId="53C2E0DF" w14:textId="0844A029" w:rsidR="00A56D92" w:rsidRPr="00E67708" w:rsidRDefault="00A56D92" w:rsidP="00E67708">
            <w:pPr>
              <w:rPr>
                <w:rFonts w:cs="Arial"/>
                <w:sz w:val="20"/>
                <w:szCs w:val="20"/>
              </w:rPr>
            </w:pPr>
            <w:proofErr w:type="spellStart"/>
            <w:r w:rsidRPr="00E67708">
              <w:rPr>
                <w:rFonts w:cs="Arial"/>
                <w:sz w:val="20"/>
                <w:szCs w:val="20"/>
              </w:rPr>
              <w:t>MfE</w:t>
            </w:r>
            <w:proofErr w:type="spellEnd"/>
          </w:p>
        </w:tc>
        <w:tc>
          <w:tcPr>
            <w:tcW w:w="7200" w:type="dxa"/>
          </w:tcPr>
          <w:p w14:paraId="7639A213" w14:textId="4BC10C3A" w:rsidR="00A56D92" w:rsidRPr="00E67708" w:rsidRDefault="00A56D92" w:rsidP="00E67708">
            <w:pPr>
              <w:rPr>
                <w:rFonts w:cs="Arial"/>
                <w:sz w:val="20"/>
                <w:szCs w:val="20"/>
              </w:rPr>
            </w:pPr>
            <w:r w:rsidRPr="00E67708">
              <w:rPr>
                <w:rFonts w:cs="Arial"/>
                <w:sz w:val="20"/>
                <w:szCs w:val="20"/>
              </w:rPr>
              <w:t>Ministry for the Environment</w:t>
            </w:r>
          </w:p>
        </w:tc>
      </w:tr>
      <w:tr w:rsidR="00181477" w14:paraId="2B4E9DFE" w14:textId="77777777" w:rsidTr="00A56D92">
        <w:tc>
          <w:tcPr>
            <w:tcW w:w="2376" w:type="dxa"/>
          </w:tcPr>
          <w:p w14:paraId="6D5B89CF" w14:textId="020FEE52" w:rsidR="00181477" w:rsidRPr="00E67708" w:rsidRDefault="00181477" w:rsidP="00E67708">
            <w:pPr>
              <w:rPr>
                <w:rFonts w:cs="Arial"/>
                <w:sz w:val="20"/>
                <w:szCs w:val="20"/>
              </w:rPr>
            </w:pPr>
            <w:r w:rsidRPr="00E67708">
              <w:rPr>
                <w:rFonts w:cs="Arial"/>
                <w:sz w:val="20"/>
                <w:szCs w:val="20"/>
              </w:rPr>
              <w:t>MILs</w:t>
            </w:r>
          </w:p>
        </w:tc>
        <w:tc>
          <w:tcPr>
            <w:tcW w:w="7200" w:type="dxa"/>
          </w:tcPr>
          <w:p w14:paraId="6BC2CD65" w14:textId="47FEE3E9" w:rsidR="00181477" w:rsidRPr="00E67708" w:rsidRDefault="00A56D92" w:rsidP="00E67708">
            <w:pPr>
              <w:rPr>
                <w:rFonts w:cs="Arial"/>
                <w:sz w:val="20"/>
                <w:szCs w:val="20"/>
              </w:rPr>
            </w:pPr>
            <w:r w:rsidRPr="00E67708">
              <w:rPr>
                <w:rFonts w:cs="Arial"/>
                <w:sz w:val="20"/>
                <w:szCs w:val="20"/>
              </w:rPr>
              <w:t>Monitoring Investigation Levels</w:t>
            </w:r>
          </w:p>
        </w:tc>
      </w:tr>
      <w:tr w:rsidR="00440A00" w14:paraId="79EEA16F" w14:textId="77777777" w:rsidTr="00A56D92">
        <w:tc>
          <w:tcPr>
            <w:tcW w:w="2376" w:type="dxa"/>
          </w:tcPr>
          <w:p w14:paraId="1BAFA0AD" w14:textId="52B412B7" w:rsidR="00440A00" w:rsidRPr="00E67708" w:rsidRDefault="00440A00" w:rsidP="00E67708">
            <w:pPr>
              <w:rPr>
                <w:rFonts w:cs="Arial"/>
                <w:sz w:val="20"/>
                <w:szCs w:val="20"/>
              </w:rPr>
            </w:pPr>
            <w:r w:rsidRPr="00E67708">
              <w:rPr>
                <w:rFonts w:cs="Arial"/>
                <w:sz w:val="20"/>
                <w:szCs w:val="20"/>
              </w:rPr>
              <w:t>mmHg</w:t>
            </w:r>
          </w:p>
        </w:tc>
        <w:tc>
          <w:tcPr>
            <w:tcW w:w="7200" w:type="dxa"/>
          </w:tcPr>
          <w:p w14:paraId="3BB3C08C" w14:textId="76280098" w:rsidR="00440A00" w:rsidRPr="00E67708" w:rsidRDefault="00A56D92" w:rsidP="00E67708">
            <w:pPr>
              <w:rPr>
                <w:rFonts w:cs="Arial"/>
                <w:sz w:val="20"/>
                <w:szCs w:val="20"/>
              </w:rPr>
            </w:pPr>
            <w:proofErr w:type="spellStart"/>
            <w:r w:rsidRPr="00E67708">
              <w:rPr>
                <w:rFonts w:cs="Arial"/>
                <w:sz w:val="20"/>
                <w:szCs w:val="20"/>
              </w:rPr>
              <w:t>millimetres</w:t>
            </w:r>
            <w:proofErr w:type="spellEnd"/>
            <w:r w:rsidRPr="00E67708">
              <w:rPr>
                <w:rFonts w:cs="Arial"/>
                <w:sz w:val="20"/>
                <w:szCs w:val="20"/>
              </w:rPr>
              <w:t xml:space="preserve"> of mercury</w:t>
            </w:r>
          </w:p>
        </w:tc>
      </w:tr>
      <w:tr w:rsidR="0040290A" w14:paraId="050858C5" w14:textId="77777777" w:rsidTr="00A56D92">
        <w:tc>
          <w:tcPr>
            <w:tcW w:w="2376" w:type="dxa"/>
          </w:tcPr>
          <w:p w14:paraId="6FC4EE9A" w14:textId="0846DEC9" w:rsidR="0040290A" w:rsidRPr="00E67708" w:rsidRDefault="0040290A" w:rsidP="00E67708">
            <w:pPr>
              <w:rPr>
                <w:rFonts w:cs="Arial"/>
                <w:sz w:val="20"/>
                <w:szCs w:val="20"/>
              </w:rPr>
            </w:pPr>
            <w:r>
              <w:rPr>
                <w:rFonts w:cs="Arial"/>
                <w:sz w:val="20"/>
                <w:szCs w:val="20"/>
              </w:rPr>
              <w:t>MS</w:t>
            </w:r>
          </w:p>
        </w:tc>
        <w:tc>
          <w:tcPr>
            <w:tcW w:w="7200" w:type="dxa"/>
          </w:tcPr>
          <w:p w14:paraId="71026C79" w14:textId="53722A2D" w:rsidR="0040290A" w:rsidRPr="00E67708" w:rsidRDefault="0040290A" w:rsidP="00E67708">
            <w:pPr>
              <w:rPr>
                <w:rFonts w:cs="Arial"/>
                <w:sz w:val="20"/>
                <w:szCs w:val="20"/>
              </w:rPr>
            </w:pPr>
            <w:r>
              <w:rPr>
                <w:rFonts w:cs="Arial"/>
                <w:sz w:val="20"/>
                <w:szCs w:val="20"/>
              </w:rPr>
              <w:t>Mass Spectroscopy</w:t>
            </w:r>
          </w:p>
        </w:tc>
      </w:tr>
      <w:tr w:rsidR="00284835" w14:paraId="2BFD4961" w14:textId="77777777" w:rsidTr="00A56D92">
        <w:tc>
          <w:tcPr>
            <w:tcW w:w="2376" w:type="dxa"/>
          </w:tcPr>
          <w:p w14:paraId="038524F2" w14:textId="082DC0F7" w:rsidR="00284835" w:rsidRPr="00E67708" w:rsidRDefault="009A47BA" w:rsidP="00E67708">
            <w:pPr>
              <w:rPr>
                <w:rFonts w:cs="Arial"/>
                <w:sz w:val="20"/>
                <w:szCs w:val="20"/>
              </w:rPr>
            </w:pPr>
            <w:r w:rsidRPr="00E67708">
              <w:rPr>
                <w:rFonts w:cs="Arial"/>
                <w:sz w:val="20"/>
                <w:szCs w:val="20"/>
              </w:rPr>
              <w:t>NEPC</w:t>
            </w:r>
          </w:p>
        </w:tc>
        <w:tc>
          <w:tcPr>
            <w:tcW w:w="7200" w:type="dxa"/>
          </w:tcPr>
          <w:p w14:paraId="25E70D7D" w14:textId="77ABB882" w:rsidR="00284835" w:rsidRPr="00E67708" w:rsidRDefault="00A56D92" w:rsidP="00E67708">
            <w:pPr>
              <w:rPr>
                <w:rFonts w:cs="Arial"/>
                <w:sz w:val="20"/>
                <w:szCs w:val="20"/>
              </w:rPr>
            </w:pPr>
            <w:r w:rsidRPr="00E67708">
              <w:rPr>
                <w:rFonts w:cs="Arial"/>
                <w:sz w:val="20"/>
                <w:szCs w:val="20"/>
              </w:rPr>
              <w:t>National Environment Protection Council</w:t>
            </w:r>
          </w:p>
        </w:tc>
      </w:tr>
      <w:tr w:rsidR="00284835" w14:paraId="3FA165AC" w14:textId="77777777" w:rsidTr="00A56D92">
        <w:tc>
          <w:tcPr>
            <w:tcW w:w="2376" w:type="dxa"/>
          </w:tcPr>
          <w:p w14:paraId="2EF4E754" w14:textId="0E052BD6" w:rsidR="00284835" w:rsidRPr="00E67708" w:rsidRDefault="009A47BA" w:rsidP="00E67708">
            <w:pPr>
              <w:rPr>
                <w:rFonts w:cs="Arial"/>
                <w:sz w:val="20"/>
                <w:szCs w:val="20"/>
              </w:rPr>
            </w:pPr>
            <w:r w:rsidRPr="00E67708">
              <w:rPr>
                <w:rFonts w:cs="Arial"/>
                <w:sz w:val="20"/>
                <w:szCs w:val="20"/>
              </w:rPr>
              <w:t>NEPM</w:t>
            </w:r>
          </w:p>
        </w:tc>
        <w:tc>
          <w:tcPr>
            <w:tcW w:w="7200" w:type="dxa"/>
          </w:tcPr>
          <w:p w14:paraId="045B5A3C" w14:textId="0485F83E" w:rsidR="00284835" w:rsidRPr="00E67708" w:rsidRDefault="0040290A" w:rsidP="00E67708">
            <w:pPr>
              <w:rPr>
                <w:rFonts w:cs="Arial"/>
                <w:sz w:val="20"/>
                <w:szCs w:val="20"/>
              </w:rPr>
            </w:pPr>
            <w:r>
              <w:rPr>
                <w:rFonts w:cs="Arial"/>
                <w:sz w:val="20"/>
                <w:szCs w:val="20"/>
              </w:rPr>
              <w:t>National Environment Protection Measure</w:t>
            </w:r>
          </w:p>
        </w:tc>
      </w:tr>
      <w:tr w:rsidR="00A56D92" w14:paraId="723CBA6C" w14:textId="77777777" w:rsidTr="00A56D92">
        <w:tc>
          <w:tcPr>
            <w:tcW w:w="2376" w:type="dxa"/>
          </w:tcPr>
          <w:p w14:paraId="7B8D9154" w14:textId="1EC8B47A" w:rsidR="00A56D92" w:rsidRPr="00E67708" w:rsidRDefault="00A56D92" w:rsidP="00E67708">
            <w:pPr>
              <w:rPr>
                <w:rFonts w:cs="Arial"/>
                <w:sz w:val="20"/>
                <w:szCs w:val="20"/>
              </w:rPr>
            </w:pPr>
            <w:r w:rsidRPr="00E67708">
              <w:rPr>
                <w:rFonts w:cs="Arial"/>
                <w:sz w:val="20"/>
                <w:szCs w:val="20"/>
              </w:rPr>
              <w:t>NES</w:t>
            </w:r>
          </w:p>
        </w:tc>
        <w:tc>
          <w:tcPr>
            <w:tcW w:w="7200" w:type="dxa"/>
          </w:tcPr>
          <w:p w14:paraId="010D31D0" w14:textId="14C07946" w:rsidR="00A56D92" w:rsidRPr="00E67708" w:rsidRDefault="00A56D92" w:rsidP="00E67708">
            <w:pPr>
              <w:rPr>
                <w:rFonts w:cs="Arial"/>
                <w:sz w:val="20"/>
                <w:szCs w:val="20"/>
              </w:rPr>
            </w:pPr>
            <w:r w:rsidRPr="00E67708">
              <w:rPr>
                <w:rFonts w:cs="Arial"/>
                <w:sz w:val="20"/>
                <w:szCs w:val="20"/>
              </w:rPr>
              <w:t>National Environment Standard</w:t>
            </w:r>
          </w:p>
        </w:tc>
      </w:tr>
      <w:tr w:rsidR="00181477" w14:paraId="3C3F9546" w14:textId="77777777" w:rsidTr="00A56D92">
        <w:tc>
          <w:tcPr>
            <w:tcW w:w="2376" w:type="dxa"/>
          </w:tcPr>
          <w:p w14:paraId="403EAD31" w14:textId="6E4E7A70" w:rsidR="00181477" w:rsidRPr="00E67708" w:rsidRDefault="00181477" w:rsidP="00E67708">
            <w:pPr>
              <w:rPr>
                <w:rFonts w:cs="Arial"/>
                <w:sz w:val="20"/>
                <w:szCs w:val="20"/>
              </w:rPr>
            </w:pPr>
            <w:r w:rsidRPr="00E67708">
              <w:rPr>
                <w:rFonts w:cs="Arial"/>
                <w:sz w:val="20"/>
                <w:szCs w:val="20"/>
              </w:rPr>
              <w:t>NHMRC</w:t>
            </w:r>
          </w:p>
        </w:tc>
        <w:tc>
          <w:tcPr>
            <w:tcW w:w="7200" w:type="dxa"/>
          </w:tcPr>
          <w:p w14:paraId="3F87150E" w14:textId="00D0934F" w:rsidR="00181477" w:rsidRPr="00E67708" w:rsidRDefault="0040290A" w:rsidP="00E67708">
            <w:pPr>
              <w:rPr>
                <w:rFonts w:cs="Arial"/>
                <w:sz w:val="20"/>
                <w:szCs w:val="20"/>
              </w:rPr>
            </w:pPr>
            <w:r>
              <w:rPr>
                <w:rFonts w:cs="Arial"/>
                <w:sz w:val="20"/>
                <w:szCs w:val="20"/>
              </w:rPr>
              <w:t>National Health and Medical Research Council</w:t>
            </w:r>
          </w:p>
        </w:tc>
      </w:tr>
      <w:tr w:rsidR="007C7CF4" w14:paraId="7F538F76" w14:textId="77777777" w:rsidTr="00A56D92">
        <w:tc>
          <w:tcPr>
            <w:tcW w:w="2376" w:type="dxa"/>
          </w:tcPr>
          <w:p w14:paraId="4CF9C995" w14:textId="43B3A3CB" w:rsidR="007C7CF4" w:rsidRPr="00E67708" w:rsidRDefault="007C7CF4" w:rsidP="00E67708">
            <w:pPr>
              <w:rPr>
                <w:rFonts w:cs="Arial"/>
                <w:sz w:val="20"/>
                <w:szCs w:val="20"/>
              </w:rPr>
            </w:pPr>
            <w:r w:rsidRPr="00E67708">
              <w:rPr>
                <w:rFonts w:cs="Arial"/>
                <w:sz w:val="20"/>
                <w:szCs w:val="20"/>
              </w:rPr>
              <w:t>NRC</w:t>
            </w:r>
          </w:p>
        </w:tc>
        <w:tc>
          <w:tcPr>
            <w:tcW w:w="7200" w:type="dxa"/>
          </w:tcPr>
          <w:p w14:paraId="25B72D5A" w14:textId="5D9F7B3C" w:rsidR="007C7CF4" w:rsidRPr="00E67708" w:rsidRDefault="007C7CF4" w:rsidP="00E67708">
            <w:pPr>
              <w:rPr>
                <w:rFonts w:cs="Arial"/>
                <w:sz w:val="20"/>
                <w:szCs w:val="20"/>
              </w:rPr>
            </w:pPr>
            <w:r w:rsidRPr="00E67708">
              <w:rPr>
                <w:rFonts w:cs="Arial"/>
                <w:sz w:val="20"/>
                <w:szCs w:val="20"/>
              </w:rPr>
              <w:t>National Research Council</w:t>
            </w:r>
          </w:p>
        </w:tc>
      </w:tr>
      <w:tr w:rsidR="00284835" w14:paraId="2E1EE275" w14:textId="77777777" w:rsidTr="00A56D92">
        <w:tc>
          <w:tcPr>
            <w:tcW w:w="2376" w:type="dxa"/>
          </w:tcPr>
          <w:p w14:paraId="2DC641F7" w14:textId="226A3FDA" w:rsidR="00284835" w:rsidRPr="00E67708" w:rsidRDefault="009A47BA" w:rsidP="00E67708">
            <w:pPr>
              <w:rPr>
                <w:rFonts w:cs="Arial"/>
                <w:sz w:val="20"/>
                <w:szCs w:val="20"/>
              </w:rPr>
            </w:pPr>
            <w:r w:rsidRPr="00E67708">
              <w:rPr>
                <w:rFonts w:cs="Arial"/>
                <w:sz w:val="20"/>
                <w:szCs w:val="20"/>
              </w:rPr>
              <w:t>NSW DECC</w:t>
            </w:r>
            <w:r w:rsidR="00181477" w:rsidRPr="00E67708">
              <w:rPr>
                <w:rFonts w:cs="Arial"/>
                <w:sz w:val="20"/>
                <w:szCs w:val="20"/>
              </w:rPr>
              <w:t>W</w:t>
            </w:r>
          </w:p>
        </w:tc>
        <w:tc>
          <w:tcPr>
            <w:tcW w:w="7200" w:type="dxa"/>
          </w:tcPr>
          <w:p w14:paraId="29DD6956" w14:textId="011221E4" w:rsidR="00284835" w:rsidRPr="00E67708" w:rsidRDefault="00C847C8" w:rsidP="00E67708">
            <w:pPr>
              <w:rPr>
                <w:rFonts w:cs="Arial"/>
                <w:sz w:val="20"/>
                <w:szCs w:val="20"/>
              </w:rPr>
            </w:pPr>
            <w:r>
              <w:rPr>
                <w:rFonts w:cs="Arial"/>
                <w:sz w:val="20"/>
                <w:szCs w:val="20"/>
              </w:rPr>
              <w:t>New South Wales Department of Environment, Climate Change and Water</w:t>
            </w:r>
          </w:p>
        </w:tc>
      </w:tr>
      <w:tr w:rsidR="00284835" w14:paraId="41349F06" w14:textId="77777777" w:rsidTr="00A56D92">
        <w:tc>
          <w:tcPr>
            <w:tcW w:w="2376" w:type="dxa"/>
          </w:tcPr>
          <w:p w14:paraId="71E270A7" w14:textId="48CB5388" w:rsidR="00284835" w:rsidRPr="00E67708" w:rsidRDefault="00440A00" w:rsidP="00E67708">
            <w:pPr>
              <w:rPr>
                <w:rFonts w:cs="Arial"/>
                <w:sz w:val="20"/>
                <w:szCs w:val="20"/>
              </w:rPr>
            </w:pPr>
            <w:r w:rsidRPr="00E67708">
              <w:rPr>
                <w:rFonts w:cs="Arial"/>
                <w:sz w:val="20"/>
                <w:szCs w:val="20"/>
              </w:rPr>
              <w:t>NSW EPA</w:t>
            </w:r>
          </w:p>
        </w:tc>
        <w:tc>
          <w:tcPr>
            <w:tcW w:w="7200" w:type="dxa"/>
          </w:tcPr>
          <w:p w14:paraId="1708A1D1" w14:textId="4B7B601C" w:rsidR="00284835" w:rsidRPr="00E67708" w:rsidRDefault="00A56D92" w:rsidP="00E67708">
            <w:pPr>
              <w:rPr>
                <w:rFonts w:cs="Arial"/>
                <w:sz w:val="20"/>
                <w:szCs w:val="20"/>
              </w:rPr>
            </w:pPr>
            <w:r w:rsidRPr="00E67708">
              <w:rPr>
                <w:rFonts w:cs="Arial"/>
                <w:sz w:val="20"/>
                <w:szCs w:val="20"/>
              </w:rPr>
              <w:t>New South Wales Environment Protection Agency</w:t>
            </w:r>
          </w:p>
        </w:tc>
      </w:tr>
      <w:tr w:rsidR="009437E7" w14:paraId="2E692212" w14:textId="77777777" w:rsidTr="00A56D92">
        <w:tc>
          <w:tcPr>
            <w:tcW w:w="2376" w:type="dxa"/>
          </w:tcPr>
          <w:p w14:paraId="1B90D6A1" w14:textId="124CEB7A" w:rsidR="009437E7" w:rsidRDefault="009437E7" w:rsidP="00E67708">
            <w:pPr>
              <w:rPr>
                <w:rFonts w:cs="Arial"/>
                <w:sz w:val="20"/>
                <w:szCs w:val="20"/>
              </w:rPr>
            </w:pPr>
            <w:r>
              <w:rPr>
                <w:rFonts w:cs="Arial"/>
                <w:sz w:val="20"/>
                <w:szCs w:val="20"/>
              </w:rPr>
              <w:t>O</w:t>
            </w:r>
            <w:r w:rsidRPr="009437E7">
              <w:rPr>
                <w:rFonts w:cs="Arial"/>
                <w:sz w:val="20"/>
                <w:szCs w:val="20"/>
                <w:vertAlign w:val="subscript"/>
              </w:rPr>
              <w:t>2</w:t>
            </w:r>
          </w:p>
        </w:tc>
        <w:tc>
          <w:tcPr>
            <w:tcW w:w="7200" w:type="dxa"/>
          </w:tcPr>
          <w:p w14:paraId="1E86A4B3" w14:textId="2BF2601E" w:rsidR="009437E7" w:rsidRPr="00E67708" w:rsidRDefault="009437E7" w:rsidP="00E67708">
            <w:pPr>
              <w:rPr>
                <w:sz w:val="20"/>
                <w:szCs w:val="20"/>
              </w:rPr>
            </w:pPr>
            <w:r>
              <w:rPr>
                <w:sz w:val="20"/>
                <w:szCs w:val="20"/>
              </w:rPr>
              <w:t>Oxygen</w:t>
            </w:r>
          </w:p>
        </w:tc>
      </w:tr>
      <w:tr w:rsidR="00E67708" w14:paraId="0204F26C" w14:textId="77777777" w:rsidTr="00A56D92">
        <w:tc>
          <w:tcPr>
            <w:tcW w:w="2376" w:type="dxa"/>
          </w:tcPr>
          <w:p w14:paraId="08A83655" w14:textId="12D4C4C5" w:rsidR="00E67708" w:rsidRPr="00E67708" w:rsidRDefault="00E67708" w:rsidP="00E67708">
            <w:pPr>
              <w:rPr>
                <w:rFonts w:cs="Arial"/>
                <w:sz w:val="20"/>
                <w:szCs w:val="20"/>
              </w:rPr>
            </w:pPr>
            <w:r>
              <w:rPr>
                <w:rFonts w:cs="Arial"/>
                <w:sz w:val="20"/>
                <w:szCs w:val="20"/>
              </w:rPr>
              <w:t>OECD</w:t>
            </w:r>
          </w:p>
        </w:tc>
        <w:tc>
          <w:tcPr>
            <w:tcW w:w="7200" w:type="dxa"/>
          </w:tcPr>
          <w:p w14:paraId="38391C71" w14:textId="3670BCC5" w:rsidR="00E67708" w:rsidRPr="00E67708" w:rsidRDefault="00E67708" w:rsidP="00E67708">
            <w:pPr>
              <w:rPr>
                <w:rFonts w:cs="Arial"/>
                <w:sz w:val="20"/>
                <w:szCs w:val="20"/>
              </w:rPr>
            </w:pPr>
            <w:r w:rsidRPr="00E67708">
              <w:rPr>
                <w:sz w:val="20"/>
                <w:szCs w:val="20"/>
              </w:rPr>
              <w:t>Organization for Economic Co-operation and Development.</w:t>
            </w:r>
          </w:p>
        </w:tc>
      </w:tr>
      <w:tr w:rsidR="00181477" w14:paraId="712A6F46" w14:textId="77777777" w:rsidTr="00A56D92">
        <w:tc>
          <w:tcPr>
            <w:tcW w:w="2376" w:type="dxa"/>
          </w:tcPr>
          <w:p w14:paraId="2CFE2DE1" w14:textId="03FBBCC8" w:rsidR="00181477" w:rsidRPr="00E67708" w:rsidRDefault="00181477" w:rsidP="00E67708">
            <w:pPr>
              <w:rPr>
                <w:rFonts w:cs="Arial"/>
                <w:sz w:val="20"/>
                <w:szCs w:val="20"/>
              </w:rPr>
            </w:pPr>
            <w:r w:rsidRPr="00E67708">
              <w:rPr>
                <w:rFonts w:cs="Arial"/>
                <w:sz w:val="20"/>
                <w:szCs w:val="20"/>
              </w:rPr>
              <w:t>OEH</w:t>
            </w:r>
          </w:p>
        </w:tc>
        <w:tc>
          <w:tcPr>
            <w:tcW w:w="7200" w:type="dxa"/>
          </w:tcPr>
          <w:p w14:paraId="2E32E290" w14:textId="181F7DBA" w:rsidR="00181477" w:rsidRPr="00E67708" w:rsidRDefault="00C847C8" w:rsidP="00E67708">
            <w:pPr>
              <w:rPr>
                <w:rFonts w:cs="Arial"/>
                <w:sz w:val="20"/>
                <w:szCs w:val="20"/>
              </w:rPr>
            </w:pPr>
            <w:r>
              <w:rPr>
                <w:rFonts w:cs="Arial"/>
                <w:sz w:val="20"/>
                <w:szCs w:val="20"/>
              </w:rPr>
              <w:t>Office of Environment and Heritage</w:t>
            </w:r>
          </w:p>
        </w:tc>
      </w:tr>
      <w:tr w:rsidR="009A47BA" w14:paraId="071AD36C" w14:textId="77777777" w:rsidTr="00A56D92">
        <w:tc>
          <w:tcPr>
            <w:tcW w:w="2376" w:type="dxa"/>
          </w:tcPr>
          <w:p w14:paraId="224E48A7" w14:textId="1ED1F5E6" w:rsidR="009A47BA" w:rsidRPr="00E67708" w:rsidRDefault="009A47BA" w:rsidP="00E67708">
            <w:pPr>
              <w:rPr>
                <w:rFonts w:cs="Arial"/>
                <w:sz w:val="20"/>
                <w:szCs w:val="20"/>
              </w:rPr>
            </w:pPr>
            <w:r w:rsidRPr="00E67708">
              <w:rPr>
                <w:rFonts w:cs="Arial"/>
                <w:sz w:val="20"/>
                <w:szCs w:val="20"/>
              </w:rPr>
              <w:t>OSWER</w:t>
            </w:r>
          </w:p>
        </w:tc>
        <w:tc>
          <w:tcPr>
            <w:tcW w:w="7200" w:type="dxa"/>
          </w:tcPr>
          <w:p w14:paraId="3045F6D3" w14:textId="4096A17C" w:rsidR="009A47BA" w:rsidRPr="00E67708" w:rsidRDefault="00C847C8" w:rsidP="00E67708">
            <w:pPr>
              <w:rPr>
                <w:rFonts w:cs="Arial"/>
                <w:sz w:val="20"/>
                <w:szCs w:val="20"/>
              </w:rPr>
            </w:pPr>
            <w:r>
              <w:rPr>
                <w:rFonts w:cs="Arial"/>
                <w:sz w:val="20"/>
                <w:szCs w:val="20"/>
              </w:rPr>
              <w:t>Office of Solid Waste and Emergency Response</w:t>
            </w:r>
          </w:p>
        </w:tc>
      </w:tr>
      <w:tr w:rsidR="00D17984" w14:paraId="5FBCDD94" w14:textId="77777777" w:rsidTr="00A56D92">
        <w:tc>
          <w:tcPr>
            <w:tcW w:w="2376" w:type="dxa"/>
          </w:tcPr>
          <w:p w14:paraId="485F0525" w14:textId="6B8D5493" w:rsidR="00D17984" w:rsidRPr="00E67708" w:rsidRDefault="00D17984" w:rsidP="00E67708">
            <w:pPr>
              <w:rPr>
                <w:rFonts w:cs="Arial"/>
                <w:sz w:val="20"/>
                <w:szCs w:val="20"/>
              </w:rPr>
            </w:pPr>
            <w:r w:rsidRPr="00E67708">
              <w:rPr>
                <w:rFonts w:cs="Arial"/>
                <w:sz w:val="20"/>
                <w:szCs w:val="20"/>
              </w:rPr>
              <w:t>PCE</w:t>
            </w:r>
          </w:p>
        </w:tc>
        <w:tc>
          <w:tcPr>
            <w:tcW w:w="7200" w:type="dxa"/>
          </w:tcPr>
          <w:p w14:paraId="0055341D" w14:textId="5AAA1F30" w:rsidR="00D17984" w:rsidRPr="00E67708" w:rsidRDefault="00A56D92" w:rsidP="00E67708">
            <w:pPr>
              <w:rPr>
                <w:rFonts w:cs="Arial"/>
                <w:sz w:val="20"/>
                <w:szCs w:val="20"/>
              </w:rPr>
            </w:pPr>
            <w:r w:rsidRPr="00E67708">
              <w:rPr>
                <w:rFonts w:cs="Arial"/>
                <w:sz w:val="20"/>
                <w:szCs w:val="20"/>
              </w:rPr>
              <w:t>Tetrachloroethylene</w:t>
            </w:r>
          </w:p>
        </w:tc>
      </w:tr>
      <w:tr w:rsidR="00D86D86" w14:paraId="04141157" w14:textId="77777777" w:rsidTr="00A56D92">
        <w:tc>
          <w:tcPr>
            <w:tcW w:w="2376" w:type="dxa"/>
          </w:tcPr>
          <w:p w14:paraId="24BAAD41" w14:textId="259A60BA" w:rsidR="00D86D86" w:rsidRPr="00E67708" w:rsidRDefault="00D86D86" w:rsidP="00E67708">
            <w:pPr>
              <w:rPr>
                <w:rFonts w:cs="Arial"/>
                <w:sz w:val="20"/>
                <w:szCs w:val="20"/>
              </w:rPr>
            </w:pPr>
            <w:r>
              <w:rPr>
                <w:rFonts w:cs="Arial"/>
                <w:sz w:val="20"/>
                <w:szCs w:val="20"/>
              </w:rPr>
              <w:t>PID</w:t>
            </w:r>
          </w:p>
        </w:tc>
        <w:tc>
          <w:tcPr>
            <w:tcW w:w="7200" w:type="dxa"/>
          </w:tcPr>
          <w:p w14:paraId="28955614" w14:textId="36F31D9B" w:rsidR="00D86D86" w:rsidRPr="00E67708" w:rsidRDefault="00D86D86" w:rsidP="00E67708">
            <w:pPr>
              <w:rPr>
                <w:rFonts w:cs="Arial"/>
                <w:sz w:val="20"/>
                <w:szCs w:val="20"/>
                <w:lang w:val="en"/>
              </w:rPr>
            </w:pPr>
            <w:r>
              <w:rPr>
                <w:rFonts w:cs="Arial"/>
                <w:sz w:val="20"/>
                <w:szCs w:val="20"/>
                <w:lang w:val="en"/>
              </w:rPr>
              <w:t>P</w:t>
            </w:r>
            <w:r w:rsidR="00C847C8">
              <w:rPr>
                <w:rFonts w:cs="Arial"/>
                <w:sz w:val="20"/>
                <w:szCs w:val="20"/>
                <w:lang w:val="en"/>
              </w:rPr>
              <w:t>hoto-</w:t>
            </w:r>
            <w:proofErr w:type="spellStart"/>
            <w:r w:rsidR="00C847C8">
              <w:rPr>
                <w:rFonts w:cs="Arial"/>
                <w:sz w:val="20"/>
                <w:szCs w:val="20"/>
                <w:lang w:val="en"/>
              </w:rPr>
              <w:t>I</w:t>
            </w:r>
            <w:r>
              <w:rPr>
                <w:rFonts w:cs="Arial"/>
                <w:sz w:val="20"/>
                <w:szCs w:val="20"/>
                <w:lang w:val="en"/>
              </w:rPr>
              <w:t>onisation</w:t>
            </w:r>
            <w:proofErr w:type="spellEnd"/>
            <w:r>
              <w:rPr>
                <w:rFonts w:cs="Arial"/>
                <w:sz w:val="20"/>
                <w:szCs w:val="20"/>
                <w:lang w:val="en"/>
              </w:rPr>
              <w:t xml:space="preserve"> detection</w:t>
            </w:r>
          </w:p>
        </w:tc>
      </w:tr>
      <w:tr w:rsidR="0040290A" w14:paraId="442E92B5" w14:textId="77777777" w:rsidTr="00A56D92">
        <w:tc>
          <w:tcPr>
            <w:tcW w:w="2376" w:type="dxa"/>
          </w:tcPr>
          <w:p w14:paraId="5DAB3740" w14:textId="1B36D403" w:rsidR="0040290A" w:rsidRPr="00E67708" w:rsidRDefault="0040290A" w:rsidP="00E67708">
            <w:pPr>
              <w:rPr>
                <w:rFonts w:cs="Arial"/>
                <w:sz w:val="20"/>
                <w:szCs w:val="20"/>
              </w:rPr>
            </w:pPr>
            <w:r>
              <w:rPr>
                <w:rFonts w:cs="Arial"/>
                <w:sz w:val="20"/>
                <w:szCs w:val="20"/>
              </w:rPr>
              <w:t>RBCR</w:t>
            </w:r>
          </w:p>
        </w:tc>
        <w:tc>
          <w:tcPr>
            <w:tcW w:w="7200" w:type="dxa"/>
          </w:tcPr>
          <w:p w14:paraId="0C7373CF" w14:textId="6C2B36F8" w:rsidR="0040290A" w:rsidRPr="00E67708" w:rsidRDefault="0040290A" w:rsidP="00E67708">
            <w:pPr>
              <w:rPr>
                <w:rFonts w:cs="Arial"/>
                <w:sz w:val="20"/>
                <w:szCs w:val="20"/>
                <w:lang w:val="en"/>
              </w:rPr>
            </w:pPr>
            <w:r>
              <w:rPr>
                <w:rFonts w:cs="Arial"/>
                <w:sz w:val="20"/>
                <w:szCs w:val="20"/>
                <w:lang w:val="en"/>
              </w:rPr>
              <w:t>Risk-Based Corrective Action</w:t>
            </w:r>
          </w:p>
        </w:tc>
      </w:tr>
      <w:tr w:rsidR="00B46E93" w14:paraId="0ECCB74B" w14:textId="77777777" w:rsidTr="00A56D92">
        <w:tc>
          <w:tcPr>
            <w:tcW w:w="2376" w:type="dxa"/>
          </w:tcPr>
          <w:p w14:paraId="7E28C00E" w14:textId="4D6DD191" w:rsidR="00B46E93" w:rsidRPr="00E67708" w:rsidRDefault="00B46E93" w:rsidP="00E67708">
            <w:pPr>
              <w:rPr>
                <w:rFonts w:cs="Arial"/>
                <w:sz w:val="20"/>
                <w:szCs w:val="20"/>
              </w:rPr>
            </w:pPr>
            <w:r w:rsidRPr="00E67708">
              <w:rPr>
                <w:rFonts w:cs="Arial"/>
                <w:sz w:val="20"/>
                <w:szCs w:val="20"/>
              </w:rPr>
              <w:t>RCRA</w:t>
            </w:r>
          </w:p>
        </w:tc>
        <w:tc>
          <w:tcPr>
            <w:tcW w:w="7200" w:type="dxa"/>
          </w:tcPr>
          <w:p w14:paraId="7C5CCA60" w14:textId="28FCEBCD" w:rsidR="00B46E93" w:rsidRPr="00E67708" w:rsidRDefault="00B46E93" w:rsidP="00E67708">
            <w:pPr>
              <w:rPr>
                <w:rFonts w:cs="Arial"/>
                <w:sz w:val="20"/>
                <w:szCs w:val="20"/>
              </w:rPr>
            </w:pPr>
            <w:r w:rsidRPr="00E67708">
              <w:rPr>
                <w:rFonts w:cs="Arial"/>
                <w:sz w:val="20"/>
                <w:szCs w:val="20"/>
                <w:lang w:val="en"/>
              </w:rPr>
              <w:t xml:space="preserve">Resource Conservation and Recovery Act </w:t>
            </w:r>
          </w:p>
        </w:tc>
      </w:tr>
      <w:tr w:rsidR="009437E7" w14:paraId="63973480" w14:textId="77777777" w:rsidTr="00A56D92">
        <w:tc>
          <w:tcPr>
            <w:tcW w:w="2376" w:type="dxa"/>
          </w:tcPr>
          <w:p w14:paraId="36F2BEC6" w14:textId="3AC5F123" w:rsidR="009437E7" w:rsidRPr="00E67708" w:rsidRDefault="009437E7" w:rsidP="00E67708">
            <w:pPr>
              <w:rPr>
                <w:rFonts w:cs="Arial"/>
                <w:sz w:val="20"/>
                <w:szCs w:val="20"/>
              </w:rPr>
            </w:pPr>
            <w:r>
              <w:rPr>
                <w:rFonts w:cs="Arial"/>
                <w:sz w:val="20"/>
                <w:szCs w:val="20"/>
              </w:rPr>
              <w:t>RISC</w:t>
            </w:r>
          </w:p>
        </w:tc>
        <w:tc>
          <w:tcPr>
            <w:tcW w:w="7200" w:type="dxa"/>
          </w:tcPr>
          <w:p w14:paraId="198D7A3D" w14:textId="4F77DE47" w:rsidR="009437E7" w:rsidRPr="00E67708" w:rsidRDefault="009437E7" w:rsidP="00E67708">
            <w:pPr>
              <w:rPr>
                <w:rFonts w:cs="Arial"/>
                <w:sz w:val="20"/>
                <w:szCs w:val="20"/>
              </w:rPr>
            </w:pPr>
            <w:r w:rsidRPr="009437E7">
              <w:rPr>
                <w:iCs/>
                <w:sz w:val="20"/>
                <w:szCs w:val="20"/>
              </w:rPr>
              <w:t>Risk</w:t>
            </w:r>
            <w:r w:rsidRPr="009437E7">
              <w:rPr>
                <w:sz w:val="20"/>
                <w:szCs w:val="20"/>
              </w:rPr>
              <w:t>-Integrated Software for Cleanups</w:t>
            </w:r>
          </w:p>
        </w:tc>
      </w:tr>
      <w:tr w:rsidR="00284835" w14:paraId="5CD8ED11" w14:textId="77777777" w:rsidTr="00A56D92">
        <w:tc>
          <w:tcPr>
            <w:tcW w:w="2376" w:type="dxa"/>
          </w:tcPr>
          <w:p w14:paraId="1AC589B1" w14:textId="7446B3A6" w:rsidR="00284835" w:rsidRPr="00E67708" w:rsidRDefault="009A47BA" w:rsidP="00E67708">
            <w:pPr>
              <w:rPr>
                <w:rFonts w:cs="Arial"/>
                <w:sz w:val="20"/>
                <w:szCs w:val="20"/>
              </w:rPr>
            </w:pPr>
            <w:r w:rsidRPr="00E67708">
              <w:rPr>
                <w:rFonts w:cs="Arial"/>
                <w:sz w:val="20"/>
                <w:szCs w:val="20"/>
              </w:rPr>
              <w:t>RIVM</w:t>
            </w:r>
          </w:p>
        </w:tc>
        <w:tc>
          <w:tcPr>
            <w:tcW w:w="7200" w:type="dxa"/>
          </w:tcPr>
          <w:p w14:paraId="273FFCFB" w14:textId="36F93AD0" w:rsidR="00284835" w:rsidRPr="00E67708" w:rsidRDefault="00A56D92" w:rsidP="00E67708">
            <w:pPr>
              <w:rPr>
                <w:rFonts w:cs="Arial"/>
                <w:sz w:val="20"/>
                <w:szCs w:val="20"/>
              </w:rPr>
            </w:pPr>
            <w:r w:rsidRPr="00E67708">
              <w:rPr>
                <w:rFonts w:cs="Arial"/>
                <w:sz w:val="20"/>
                <w:szCs w:val="20"/>
              </w:rPr>
              <w:t>Dutch National Institute for Public Health and the Environment</w:t>
            </w:r>
          </w:p>
        </w:tc>
      </w:tr>
      <w:tr w:rsidR="000157FE" w14:paraId="172DFAF7" w14:textId="77777777" w:rsidTr="00A56D92">
        <w:tc>
          <w:tcPr>
            <w:tcW w:w="2376" w:type="dxa"/>
          </w:tcPr>
          <w:p w14:paraId="58265E30" w14:textId="0C54D5C0" w:rsidR="000157FE" w:rsidRPr="00E67708" w:rsidRDefault="000157FE" w:rsidP="00E67708">
            <w:pPr>
              <w:rPr>
                <w:rFonts w:cs="Arial"/>
                <w:sz w:val="20"/>
                <w:szCs w:val="20"/>
              </w:rPr>
            </w:pPr>
            <w:r w:rsidRPr="00E67708">
              <w:rPr>
                <w:rFonts w:cs="Arial"/>
                <w:sz w:val="20"/>
                <w:szCs w:val="20"/>
              </w:rPr>
              <w:t>SA EPA</w:t>
            </w:r>
          </w:p>
        </w:tc>
        <w:tc>
          <w:tcPr>
            <w:tcW w:w="7200" w:type="dxa"/>
          </w:tcPr>
          <w:p w14:paraId="52F8359F" w14:textId="2A70DE70" w:rsidR="000157FE" w:rsidRPr="00E67708" w:rsidRDefault="00D86D86" w:rsidP="00E67708">
            <w:pPr>
              <w:rPr>
                <w:rFonts w:cs="Arial"/>
                <w:sz w:val="20"/>
                <w:szCs w:val="20"/>
              </w:rPr>
            </w:pPr>
            <w:r>
              <w:rPr>
                <w:rFonts w:cs="Arial"/>
                <w:sz w:val="20"/>
                <w:szCs w:val="20"/>
              </w:rPr>
              <w:t>South Australian Environment Protection Authority</w:t>
            </w:r>
          </w:p>
        </w:tc>
      </w:tr>
      <w:tr w:rsidR="00181477" w14:paraId="23D96DA4" w14:textId="77777777" w:rsidTr="00A56D92">
        <w:tc>
          <w:tcPr>
            <w:tcW w:w="2376" w:type="dxa"/>
          </w:tcPr>
          <w:p w14:paraId="39F9302D" w14:textId="674FF9C1" w:rsidR="00181477" w:rsidRPr="00E67708" w:rsidRDefault="00181477" w:rsidP="00E67708">
            <w:pPr>
              <w:rPr>
                <w:rFonts w:cs="Arial"/>
                <w:sz w:val="20"/>
                <w:szCs w:val="20"/>
              </w:rPr>
            </w:pPr>
            <w:r w:rsidRPr="00E67708">
              <w:rPr>
                <w:rFonts w:cs="Arial"/>
                <w:sz w:val="20"/>
                <w:szCs w:val="20"/>
              </w:rPr>
              <w:t>SAQP</w:t>
            </w:r>
          </w:p>
        </w:tc>
        <w:tc>
          <w:tcPr>
            <w:tcW w:w="7200" w:type="dxa"/>
          </w:tcPr>
          <w:p w14:paraId="27B9F42F" w14:textId="11D245A5" w:rsidR="00181477" w:rsidRPr="00E67708" w:rsidRDefault="00A56D92" w:rsidP="00E67708">
            <w:pPr>
              <w:rPr>
                <w:rFonts w:cs="Arial"/>
                <w:sz w:val="20"/>
                <w:szCs w:val="20"/>
              </w:rPr>
            </w:pPr>
            <w:r w:rsidRPr="00E67708">
              <w:rPr>
                <w:rFonts w:cs="Arial"/>
                <w:sz w:val="20"/>
                <w:szCs w:val="20"/>
              </w:rPr>
              <w:t>Sampling and Analysis Quality Plan</w:t>
            </w:r>
          </w:p>
        </w:tc>
      </w:tr>
      <w:tr w:rsidR="006A5935" w14:paraId="143A4CEE" w14:textId="77777777" w:rsidTr="00A56D92">
        <w:tc>
          <w:tcPr>
            <w:tcW w:w="2376" w:type="dxa"/>
          </w:tcPr>
          <w:p w14:paraId="6E03CEEE" w14:textId="760DDAEA" w:rsidR="006A5935" w:rsidRPr="00E67708" w:rsidRDefault="006A5935" w:rsidP="00E67708">
            <w:pPr>
              <w:rPr>
                <w:rFonts w:cs="Arial"/>
                <w:sz w:val="20"/>
                <w:szCs w:val="20"/>
              </w:rPr>
            </w:pPr>
            <w:r w:rsidRPr="00E67708">
              <w:rPr>
                <w:rFonts w:cs="Arial"/>
                <w:sz w:val="20"/>
                <w:szCs w:val="20"/>
              </w:rPr>
              <w:t>SGVs</w:t>
            </w:r>
          </w:p>
        </w:tc>
        <w:tc>
          <w:tcPr>
            <w:tcW w:w="7200" w:type="dxa"/>
          </w:tcPr>
          <w:p w14:paraId="23266D42" w14:textId="0C94399F" w:rsidR="006A5935" w:rsidRPr="00E67708" w:rsidRDefault="006A5935" w:rsidP="00E67708">
            <w:pPr>
              <w:rPr>
                <w:rFonts w:cs="Arial"/>
                <w:sz w:val="20"/>
                <w:szCs w:val="20"/>
              </w:rPr>
            </w:pPr>
            <w:r w:rsidRPr="00E67708">
              <w:rPr>
                <w:rFonts w:cs="Arial"/>
                <w:sz w:val="20"/>
                <w:szCs w:val="20"/>
              </w:rPr>
              <w:t>Soil Guidance Values</w:t>
            </w:r>
          </w:p>
        </w:tc>
      </w:tr>
      <w:tr w:rsidR="00284835" w14:paraId="30612F4F" w14:textId="77777777" w:rsidTr="00A56D92">
        <w:tc>
          <w:tcPr>
            <w:tcW w:w="2376" w:type="dxa"/>
          </w:tcPr>
          <w:p w14:paraId="090B94BF" w14:textId="15094055" w:rsidR="00284835" w:rsidRPr="00E67708" w:rsidRDefault="00440A00" w:rsidP="00E67708">
            <w:pPr>
              <w:rPr>
                <w:rFonts w:cs="Arial"/>
                <w:sz w:val="20"/>
                <w:szCs w:val="20"/>
              </w:rPr>
            </w:pPr>
            <w:r w:rsidRPr="00E67708">
              <w:rPr>
                <w:rFonts w:cs="Arial"/>
                <w:sz w:val="20"/>
                <w:szCs w:val="20"/>
              </w:rPr>
              <w:t>STP</w:t>
            </w:r>
          </w:p>
        </w:tc>
        <w:tc>
          <w:tcPr>
            <w:tcW w:w="7200" w:type="dxa"/>
          </w:tcPr>
          <w:p w14:paraId="1C56289F" w14:textId="5FA954C1" w:rsidR="00284835" w:rsidRPr="00E67708" w:rsidRDefault="0040290A" w:rsidP="00E67708">
            <w:pPr>
              <w:rPr>
                <w:rFonts w:cs="Arial"/>
                <w:sz w:val="20"/>
                <w:szCs w:val="20"/>
              </w:rPr>
            </w:pPr>
            <w:r>
              <w:rPr>
                <w:rFonts w:cs="Arial"/>
                <w:sz w:val="20"/>
                <w:szCs w:val="20"/>
              </w:rPr>
              <w:t>Standard Temperature and Pressure</w:t>
            </w:r>
          </w:p>
        </w:tc>
      </w:tr>
      <w:tr w:rsidR="000157FE" w14:paraId="3A5F60D2" w14:textId="77777777" w:rsidTr="00A56D92">
        <w:tc>
          <w:tcPr>
            <w:tcW w:w="2376" w:type="dxa"/>
          </w:tcPr>
          <w:p w14:paraId="737954DD" w14:textId="781219C6" w:rsidR="000157FE" w:rsidRPr="00E67708" w:rsidRDefault="000157FE" w:rsidP="00E67708">
            <w:pPr>
              <w:rPr>
                <w:rFonts w:cs="Arial"/>
                <w:sz w:val="20"/>
                <w:szCs w:val="20"/>
              </w:rPr>
            </w:pPr>
            <w:r w:rsidRPr="00E67708">
              <w:rPr>
                <w:rFonts w:cs="Arial"/>
                <w:sz w:val="20"/>
                <w:szCs w:val="20"/>
              </w:rPr>
              <w:t>SVQG</w:t>
            </w:r>
            <w:r w:rsidRPr="00E67708">
              <w:rPr>
                <w:rFonts w:cs="Arial"/>
                <w:sz w:val="20"/>
                <w:szCs w:val="20"/>
                <w:vertAlign w:val="subscript"/>
              </w:rPr>
              <w:t>IAQ</w:t>
            </w:r>
          </w:p>
        </w:tc>
        <w:tc>
          <w:tcPr>
            <w:tcW w:w="7200" w:type="dxa"/>
          </w:tcPr>
          <w:p w14:paraId="10B99394" w14:textId="6973B7B0" w:rsidR="000157FE" w:rsidRPr="00E67708" w:rsidRDefault="000157FE" w:rsidP="00E67708">
            <w:pPr>
              <w:rPr>
                <w:rFonts w:cs="Arial"/>
                <w:sz w:val="20"/>
                <w:szCs w:val="20"/>
              </w:rPr>
            </w:pPr>
            <w:r w:rsidRPr="00E67708">
              <w:rPr>
                <w:rFonts w:cs="Arial"/>
                <w:sz w:val="20"/>
                <w:szCs w:val="20"/>
              </w:rPr>
              <w:t xml:space="preserve">Soil </w:t>
            </w:r>
            <w:proofErr w:type="spellStart"/>
            <w:r w:rsidRPr="00E67708">
              <w:rPr>
                <w:rFonts w:cs="Arial"/>
                <w:sz w:val="20"/>
                <w:szCs w:val="20"/>
              </w:rPr>
              <w:t>Vapour</w:t>
            </w:r>
            <w:proofErr w:type="spellEnd"/>
            <w:r w:rsidRPr="00E67708">
              <w:rPr>
                <w:rFonts w:cs="Arial"/>
                <w:sz w:val="20"/>
                <w:szCs w:val="20"/>
              </w:rPr>
              <w:t xml:space="preserve"> Quality Guidelines for Indoor Air Quality</w:t>
            </w:r>
          </w:p>
        </w:tc>
      </w:tr>
      <w:tr w:rsidR="00284835" w14:paraId="0AD74694" w14:textId="77777777" w:rsidTr="00A56D92">
        <w:tc>
          <w:tcPr>
            <w:tcW w:w="2376" w:type="dxa"/>
          </w:tcPr>
          <w:p w14:paraId="1B60B17C" w14:textId="3F7CFA7B" w:rsidR="00284835" w:rsidRPr="00E67708" w:rsidRDefault="00440A00" w:rsidP="00E67708">
            <w:pPr>
              <w:rPr>
                <w:rFonts w:cs="Arial"/>
                <w:sz w:val="20"/>
                <w:szCs w:val="20"/>
              </w:rPr>
            </w:pPr>
            <w:r w:rsidRPr="00E67708">
              <w:rPr>
                <w:rFonts w:cs="Arial"/>
                <w:sz w:val="20"/>
                <w:szCs w:val="20"/>
              </w:rPr>
              <w:lastRenderedPageBreak/>
              <w:t>TCE</w:t>
            </w:r>
          </w:p>
        </w:tc>
        <w:tc>
          <w:tcPr>
            <w:tcW w:w="7200" w:type="dxa"/>
          </w:tcPr>
          <w:p w14:paraId="678595F8" w14:textId="6A0F819B" w:rsidR="00284835" w:rsidRPr="00E67708" w:rsidRDefault="000157FE" w:rsidP="00E67708">
            <w:pPr>
              <w:rPr>
                <w:rFonts w:cs="Arial"/>
                <w:sz w:val="20"/>
                <w:szCs w:val="20"/>
              </w:rPr>
            </w:pPr>
            <w:r w:rsidRPr="00E67708">
              <w:rPr>
                <w:rFonts w:cs="Arial"/>
                <w:sz w:val="20"/>
                <w:szCs w:val="20"/>
              </w:rPr>
              <w:t>Trichloroethylene</w:t>
            </w:r>
          </w:p>
        </w:tc>
      </w:tr>
      <w:tr w:rsidR="00D86D86" w14:paraId="2870DC26" w14:textId="77777777" w:rsidTr="00A56D92">
        <w:tc>
          <w:tcPr>
            <w:tcW w:w="2376" w:type="dxa"/>
          </w:tcPr>
          <w:p w14:paraId="0ECB4BD0" w14:textId="7A61B97D" w:rsidR="00D86D86" w:rsidRPr="00D86D86" w:rsidRDefault="00D86D86" w:rsidP="00E67708">
            <w:pPr>
              <w:rPr>
                <w:rFonts w:cs="Arial"/>
                <w:sz w:val="20"/>
                <w:szCs w:val="20"/>
                <w:vertAlign w:val="superscript"/>
              </w:rPr>
            </w:pPr>
            <w:r w:rsidRPr="00D86D86">
              <w:rPr>
                <w:rFonts w:cs="Arial"/>
                <w:sz w:val="20"/>
                <w:szCs w:val="20"/>
                <w:vertAlign w:val="superscript"/>
              </w:rPr>
              <w:t>TM</w:t>
            </w:r>
          </w:p>
        </w:tc>
        <w:tc>
          <w:tcPr>
            <w:tcW w:w="7200" w:type="dxa"/>
          </w:tcPr>
          <w:p w14:paraId="28282DC6" w14:textId="6ACFCCDA" w:rsidR="00D86D86" w:rsidRPr="00E67708" w:rsidRDefault="00D86D86" w:rsidP="00E67708">
            <w:pPr>
              <w:rPr>
                <w:rFonts w:cs="Arial"/>
                <w:sz w:val="20"/>
                <w:szCs w:val="20"/>
              </w:rPr>
            </w:pPr>
            <w:r>
              <w:rPr>
                <w:rFonts w:cs="Arial"/>
                <w:sz w:val="20"/>
                <w:szCs w:val="20"/>
              </w:rPr>
              <w:t>Trademark</w:t>
            </w:r>
          </w:p>
        </w:tc>
      </w:tr>
      <w:tr w:rsidR="00E67708" w14:paraId="4BC0F7A1" w14:textId="77777777" w:rsidTr="00A56D92">
        <w:tc>
          <w:tcPr>
            <w:tcW w:w="2376" w:type="dxa"/>
          </w:tcPr>
          <w:p w14:paraId="1C08B5B2" w14:textId="44E8BD6B" w:rsidR="00E67708" w:rsidRPr="00E67708" w:rsidRDefault="00E67708" w:rsidP="00E67708">
            <w:pPr>
              <w:rPr>
                <w:rFonts w:cs="Arial"/>
                <w:sz w:val="20"/>
                <w:szCs w:val="20"/>
              </w:rPr>
            </w:pPr>
            <w:r w:rsidRPr="00E67708">
              <w:rPr>
                <w:rFonts w:cs="Arial"/>
                <w:sz w:val="20"/>
                <w:szCs w:val="20"/>
              </w:rPr>
              <w:t>TRVs</w:t>
            </w:r>
          </w:p>
        </w:tc>
        <w:tc>
          <w:tcPr>
            <w:tcW w:w="7200" w:type="dxa"/>
          </w:tcPr>
          <w:p w14:paraId="152F1EE5" w14:textId="2FB79B39" w:rsidR="00E67708" w:rsidRPr="00E67708" w:rsidRDefault="00E67708" w:rsidP="00E67708">
            <w:pPr>
              <w:rPr>
                <w:rFonts w:cs="Arial"/>
                <w:sz w:val="20"/>
                <w:szCs w:val="20"/>
              </w:rPr>
            </w:pPr>
            <w:r w:rsidRPr="00E67708">
              <w:rPr>
                <w:rFonts w:cs="Arial"/>
                <w:sz w:val="20"/>
                <w:szCs w:val="20"/>
              </w:rPr>
              <w:t>Toxicological Reference Values</w:t>
            </w:r>
          </w:p>
        </w:tc>
      </w:tr>
      <w:tr w:rsidR="000157FE" w14:paraId="7C8CB75F" w14:textId="77777777" w:rsidTr="00A56D92">
        <w:tc>
          <w:tcPr>
            <w:tcW w:w="2376" w:type="dxa"/>
          </w:tcPr>
          <w:p w14:paraId="46487C40" w14:textId="3D63A7AE" w:rsidR="000157FE" w:rsidRPr="00E67708" w:rsidRDefault="000157FE" w:rsidP="00E67708">
            <w:pPr>
              <w:rPr>
                <w:rFonts w:cs="Arial"/>
                <w:sz w:val="20"/>
                <w:szCs w:val="20"/>
              </w:rPr>
            </w:pPr>
            <w:r w:rsidRPr="00E67708">
              <w:rPr>
                <w:rFonts w:cs="Arial"/>
                <w:sz w:val="20"/>
                <w:szCs w:val="20"/>
              </w:rPr>
              <w:t>UPSS</w:t>
            </w:r>
          </w:p>
        </w:tc>
        <w:tc>
          <w:tcPr>
            <w:tcW w:w="7200" w:type="dxa"/>
          </w:tcPr>
          <w:p w14:paraId="65D37718" w14:textId="751FEB77" w:rsidR="000157FE" w:rsidRPr="00E67708" w:rsidRDefault="00C847C8" w:rsidP="00E67708">
            <w:pPr>
              <w:rPr>
                <w:rFonts w:cs="Arial"/>
                <w:sz w:val="20"/>
                <w:szCs w:val="20"/>
              </w:rPr>
            </w:pPr>
            <w:r>
              <w:rPr>
                <w:rFonts w:cs="Arial"/>
                <w:sz w:val="20"/>
                <w:szCs w:val="20"/>
              </w:rPr>
              <w:t>Underground Petroleum Storage Systems</w:t>
            </w:r>
          </w:p>
        </w:tc>
      </w:tr>
      <w:tr w:rsidR="00284835" w14:paraId="0F115750" w14:textId="77777777" w:rsidTr="00A56D92">
        <w:tc>
          <w:tcPr>
            <w:tcW w:w="2376" w:type="dxa"/>
          </w:tcPr>
          <w:p w14:paraId="7FBB5C6D" w14:textId="4CDB9438" w:rsidR="00284835" w:rsidRPr="00E67708" w:rsidRDefault="009A47BA" w:rsidP="00E67708">
            <w:pPr>
              <w:rPr>
                <w:rFonts w:cs="Arial"/>
                <w:sz w:val="20"/>
                <w:szCs w:val="20"/>
              </w:rPr>
            </w:pPr>
            <w:r w:rsidRPr="00E67708">
              <w:rPr>
                <w:rFonts w:cs="Arial"/>
                <w:sz w:val="20"/>
                <w:szCs w:val="20"/>
              </w:rPr>
              <w:t>UK</w:t>
            </w:r>
          </w:p>
        </w:tc>
        <w:tc>
          <w:tcPr>
            <w:tcW w:w="7200" w:type="dxa"/>
          </w:tcPr>
          <w:p w14:paraId="51D5B86F" w14:textId="175AD765" w:rsidR="00284835" w:rsidRPr="00E67708" w:rsidRDefault="000157FE" w:rsidP="00E67708">
            <w:pPr>
              <w:rPr>
                <w:rFonts w:cs="Arial"/>
                <w:sz w:val="20"/>
                <w:szCs w:val="20"/>
              </w:rPr>
            </w:pPr>
            <w:r w:rsidRPr="00E67708">
              <w:rPr>
                <w:rFonts w:cs="Arial"/>
                <w:sz w:val="20"/>
                <w:szCs w:val="20"/>
              </w:rPr>
              <w:t>United Kingdom</w:t>
            </w:r>
          </w:p>
        </w:tc>
      </w:tr>
      <w:tr w:rsidR="009A47BA" w14:paraId="0A39B404" w14:textId="77777777" w:rsidTr="00A56D92">
        <w:tc>
          <w:tcPr>
            <w:tcW w:w="2376" w:type="dxa"/>
          </w:tcPr>
          <w:p w14:paraId="5D7FD72C" w14:textId="6B3C5554" w:rsidR="009A47BA" w:rsidRPr="00E67708" w:rsidRDefault="009A47BA" w:rsidP="00E67708">
            <w:pPr>
              <w:rPr>
                <w:rFonts w:cs="Arial"/>
                <w:sz w:val="20"/>
                <w:szCs w:val="20"/>
              </w:rPr>
            </w:pPr>
            <w:r w:rsidRPr="00E67708">
              <w:rPr>
                <w:rFonts w:cs="Arial"/>
                <w:sz w:val="20"/>
                <w:szCs w:val="20"/>
              </w:rPr>
              <w:t>US DoD</w:t>
            </w:r>
          </w:p>
        </w:tc>
        <w:tc>
          <w:tcPr>
            <w:tcW w:w="7200" w:type="dxa"/>
          </w:tcPr>
          <w:p w14:paraId="0C6E9AEA" w14:textId="13060C38" w:rsidR="009A47BA" w:rsidRPr="00E67708" w:rsidRDefault="000157FE" w:rsidP="00E67708">
            <w:pPr>
              <w:rPr>
                <w:rFonts w:cs="Arial"/>
                <w:sz w:val="20"/>
                <w:szCs w:val="20"/>
              </w:rPr>
            </w:pPr>
            <w:r w:rsidRPr="00E67708">
              <w:rPr>
                <w:rFonts w:cs="Arial"/>
                <w:sz w:val="20"/>
                <w:szCs w:val="20"/>
              </w:rPr>
              <w:t xml:space="preserve">United States Department of </w:t>
            </w:r>
            <w:proofErr w:type="spellStart"/>
            <w:r w:rsidRPr="00E67708">
              <w:rPr>
                <w:rFonts w:cs="Arial"/>
                <w:sz w:val="20"/>
                <w:szCs w:val="20"/>
              </w:rPr>
              <w:t>Defence</w:t>
            </w:r>
            <w:proofErr w:type="spellEnd"/>
          </w:p>
        </w:tc>
      </w:tr>
      <w:tr w:rsidR="00284835" w14:paraId="0C67D8F1" w14:textId="77777777" w:rsidTr="00A56D92">
        <w:tc>
          <w:tcPr>
            <w:tcW w:w="2376" w:type="dxa"/>
          </w:tcPr>
          <w:p w14:paraId="274F5B80" w14:textId="544EB9D7" w:rsidR="00284835" w:rsidRPr="00E67708" w:rsidRDefault="009A47BA" w:rsidP="00E67708">
            <w:pPr>
              <w:rPr>
                <w:rFonts w:cs="Arial"/>
                <w:sz w:val="20"/>
                <w:szCs w:val="20"/>
              </w:rPr>
            </w:pPr>
            <w:r w:rsidRPr="00E67708">
              <w:rPr>
                <w:rFonts w:cs="Arial"/>
                <w:sz w:val="20"/>
                <w:szCs w:val="20"/>
              </w:rPr>
              <w:t>US EPA</w:t>
            </w:r>
          </w:p>
        </w:tc>
        <w:tc>
          <w:tcPr>
            <w:tcW w:w="7200" w:type="dxa"/>
          </w:tcPr>
          <w:p w14:paraId="2A760343" w14:textId="6FEBF92A" w:rsidR="00284835" w:rsidRPr="00E67708" w:rsidRDefault="000157FE" w:rsidP="00E67708">
            <w:pPr>
              <w:rPr>
                <w:rFonts w:cs="Arial"/>
                <w:sz w:val="20"/>
                <w:szCs w:val="20"/>
              </w:rPr>
            </w:pPr>
            <w:r w:rsidRPr="00E67708">
              <w:rPr>
                <w:rFonts w:cs="Arial"/>
                <w:sz w:val="20"/>
                <w:szCs w:val="20"/>
              </w:rPr>
              <w:t>United States Environment Protection Agency</w:t>
            </w:r>
          </w:p>
        </w:tc>
      </w:tr>
      <w:tr w:rsidR="00284835" w14:paraId="1C1FE6D6" w14:textId="77777777" w:rsidTr="00A56D92">
        <w:tc>
          <w:tcPr>
            <w:tcW w:w="2376" w:type="dxa"/>
          </w:tcPr>
          <w:p w14:paraId="06FA407D" w14:textId="0ED558F3" w:rsidR="00284835" w:rsidRPr="00E67708" w:rsidRDefault="00440A00" w:rsidP="00E67708">
            <w:pPr>
              <w:rPr>
                <w:rFonts w:cs="Arial"/>
                <w:sz w:val="20"/>
                <w:szCs w:val="20"/>
              </w:rPr>
            </w:pPr>
            <w:r w:rsidRPr="00E67708">
              <w:rPr>
                <w:rFonts w:cs="Arial"/>
                <w:sz w:val="20"/>
                <w:szCs w:val="20"/>
              </w:rPr>
              <w:t>VISL</w:t>
            </w:r>
          </w:p>
        </w:tc>
        <w:tc>
          <w:tcPr>
            <w:tcW w:w="7200" w:type="dxa"/>
          </w:tcPr>
          <w:p w14:paraId="4988B1F5" w14:textId="4AC2A2A3" w:rsidR="00284835" w:rsidRPr="00E67708" w:rsidRDefault="000157FE" w:rsidP="00E67708">
            <w:pPr>
              <w:rPr>
                <w:rFonts w:cs="Arial"/>
                <w:sz w:val="20"/>
                <w:szCs w:val="20"/>
              </w:rPr>
            </w:pPr>
            <w:proofErr w:type="spellStart"/>
            <w:r w:rsidRPr="00E67708">
              <w:rPr>
                <w:rFonts w:cs="Arial"/>
                <w:sz w:val="20"/>
                <w:szCs w:val="20"/>
              </w:rPr>
              <w:t>Vapour</w:t>
            </w:r>
            <w:proofErr w:type="spellEnd"/>
            <w:r w:rsidRPr="00E67708">
              <w:rPr>
                <w:rFonts w:cs="Arial"/>
                <w:sz w:val="20"/>
                <w:szCs w:val="20"/>
              </w:rPr>
              <w:t xml:space="preserve"> Intrusion Screening Levels</w:t>
            </w:r>
          </w:p>
        </w:tc>
      </w:tr>
      <w:tr w:rsidR="000157FE" w14:paraId="441E56D0" w14:textId="77777777" w:rsidTr="00A56D92">
        <w:tc>
          <w:tcPr>
            <w:tcW w:w="2376" w:type="dxa"/>
          </w:tcPr>
          <w:p w14:paraId="1CF728AD" w14:textId="68A0A917" w:rsidR="000157FE" w:rsidRPr="00E67708" w:rsidRDefault="000157FE" w:rsidP="00E67708">
            <w:pPr>
              <w:rPr>
                <w:rFonts w:cs="Arial"/>
                <w:sz w:val="20"/>
                <w:szCs w:val="20"/>
              </w:rPr>
            </w:pPr>
            <w:r w:rsidRPr="00E67708">
              <w:rPr>
                <w:rFonts w:cs="Arial"/>
                <w:sz w:val="20"/>
                <w:szCs w:val="20"/>
              </w:rPr>
              <w:t>VOC</w:t>
            </w:r>
          </w:p>
        </w:tc>
        <w:tc>
          <w:tcPr>
            <w:tcW w:w="7200" w:type="dxa"/>
          </w:tcPr>
          <w:p w14:paraId="50E03356" w14:textId="374564E9" w:rsidR="000157FE" w:rsidRPr="00E67708" w:rsidRDefault="000157FE" w:rsidP="00E67708">
            <w:pPr>
              <w:rPr>
                <w:rFonts w:cs="Arial"/>
                <w:sz w:val="20"/>
                <w:szCs w:val="20"/>
              </w:rPr>
            </w:pPr>
            <w:r w:rsidRPr="00E67708">
              <w:rPr>
                <w:rFonts w:cs="Arial"/>
                <w:sz w:val="20"/>
                <w:szCs w:val="20"/>
              </w:rPr>
              <w:t>Volatile Organic Compound</w:t>
            </w:r>
          </w:p>
        </w:tc>
      </w:tr>
      <w:tr w:rsidR="00A56D92" w14:paraId="28C81253" w14:textId="77777777" w:rsidTr="00A56D92">
        <w:tc>
          <w:tcPr>
            <w:tcW w:w="2376" w:type="dxa"/>
          </w:tcPr>
          <w:p w14:paraId="0831B282" w14:textId="1E73C71B" w:rsidR="00A56D92" w:rsidRPr="00E67708" w:rsidRDefault="00A56D92" w:rsidP="00E67708">
            <w:pPr>
              <w:rPr>
                <w:rFonts w:cs="Arial"/>
                <w:sz w:val="20"/>
                <w:szCs w:val="20"/>
              </w:rPr>
            </w:pPr>
            <w:r w:rsidRPr="00E67708">
              <w:rPr>
                <w:rFonts w:cs="Arial"/>
                <w:sz w:val="20"/>
                <w:szCs w:val="20"/>
              </w:rPr>
              <w:t>VOLASOIL</w:t>
            </w:r>
          </w:p>
        </w:tc>
        <w:tc>
          <w:tcPr>
            <w:tcW w:w="7200" w:type="dxa"/>
          </w:tcPr>
          <w:p w14:paraId="7599CFDC" w14:textId="14C1BA5F" w:rsidR="00A56D92" w:rsidRPr="00E67708" w:rsidRDefault="009437E7" w:rsidP="00E67708">
            <w:pPr>
              <w:rPr>
                <w:rFonts w:cs="Arial"/>
                <w:sz w:val="20"/>
                <w:szCs w:val="20"/>
              </w:rPr>
            </w:pPr>
            <w:r>
              <w:rPr>
                <w:rFonts w:cs="Arial"/>
                <w:sz w:val="20"/>
                <w:szCs w:val="20"/>
              </w:rPr>
              <w:t>Dutch Volatiles in Soil Exposure Assessment Model</w:t>
            </w:r>
          </w:p>
        </w:tc>
      </w:tr>
      <w:tr w:rsidR="00284835" w14:paraId="4CEAE927" w14:textId="77777777" w:rsidTr="00A56D92">
        <w:tc>
          <w:tcPr>
            <w:tcW w:w="2376" w:type="dxa"/>
          </w:tcPr>
          <w:p w14:paraId="0EE769A0" w14:textId="56BEE43C" w:rsidR="00284835" w:rsidRPr="00E67708" w:rsidRDefault="009A47BA" w:rsidP="00E67708">
            <w:pPr>
              <w:rPr>
                <w:rFonts w:cs="Arial"/>
                <w:sz w:val="20"/>
                <w:szCs w:val="20"/>
              </w:rPr>
            </w:pPr>
            <w:r w:rsidRPr="00E67708">
              <w:rPr>
                <w:rFonts w:cs="Arial"/>
                <w:sz w:val="20"/>
                <w:szCs w:val="20"/>
              </w:rPr>
              <w:t>WHO</w:t>
            </w:r>
          </w:p>
        </w:tc>
        <w:tc>
          <w:tcPr>
            <w:tcW w:w="7200" w:type="dxa"/>
          </w:tcPr>
          <w:p w14:paraId="5ECBD658" w14:textId="27E63416" w:rsidR="00284835" w:rsidRPr="00E67708" w:rsidRDefault="000157FE" w:rsidP="00E67708">
            <w:pPr>
              <w:rPr>
                <w:rFonts w:cs="Arial"/>
                <w:sz w:val="20"/>
                <w:szCs w:val="20"/>
              </w:rPr>
            </w:pPr>
            <w:r w:rsidRPr="00E67708">
              <w:rPr>
                <w:rFonts w:cs="Arial"/>
                <w:sz w:val="20"/>
                <w:szCs w:val="20"/>
              </w:rPr>
              <w:t xml:space="preserve">World Health </w:t>
            </w:r>
            <w:proofErr w:type="spellStart"/>
            <w:r w:rsidRPr="00E67708">
              <w:rPr>
                <w:rFonts w:cs="Arial"/>
                <w:sz w:val="20"/>
                <w:szCs w:val="20"/>
              </w:rPr>
              <w:t>Organisation</w:t>
            </w:r>
            <w:proofErr w:type="spellEnd"/>
          </w:p>
        </w:tc>
      </w:tr>
      <w:tr w:rsidR="00284835" w14:paraId="622144DF" w14:textId="77777777" w:rsidTr="00A56D92">
        <w:tc>
          <w:tcPr>
            <w:tcW w:w="2376" w:type="dxa"/>
          </w:tcPr>
          <w:p w14:paraId="6AFF4852" w14:textId="77777777" w:rsidR="00284835" w:rsidRPr="00E67708" w:rsidRDefault="00284835" w:rsidP="00E67708">
            <w:pPr>
              <w:rPr>
                <w:rFonts w:cs="Arial"/>
                <w:sz w:val="20"/>
                <w:szCs w:val="20"/>
              </w:rPr>
            </w:pPr>
          </w:p>
        </w:tc>
        <w:tc>
          <w:tcPr>
            <w:tcW w:w="7200" w:type="dxa"/>
          </w:tcPr>
          <w:p w14:paraId="5E8652BF" w14:textId="77777777" w:rsidR="00284835" w:rsidRPr="00E67708" w:rsidRDefault="00284835" w:rsidP="00E67708">
            <w:pPr>
              <w:rPr>
                <w:rFonts w:cs="Arial"/>
                <w:sz w:val="20"/>
                <w:szCs w:val="20"/>
              </w:rPr>
            </w:pPr>
          </w:p>
        </w:tc>
      </w:tr>
    </w:tbl>
    <w:p w14:paraId="265CFD26" w14:textId="77777777" w:rsidR="00B6351F" w:rsidRDefault="00B6351F" w:rsidP="00B6351F">
      <w:pPr>
        <w:jc w:val="center"/>
        <w:rPr>
          <w:b/>
        </w:rPr>
      </w:pPr>
    </w:p>
    <w:p w14:paraId="7556831A" w14:textId="20EC5A9D" w:rsidR="00B6351F" w:rsidRPr="00B6351F" w:rsidRDefault="00B6351F" w:rsidP="00B6351F">
      <w:pPr>
        <w:jc w:val="center"/>
        <w:rPr>
          <w:b/>
          <w:bCs/>
          <w:smallCaps/>
        </w:rPr>
      </w:pPr>
      <w:r w:rsidRPr="00B6351F">
        <w:rPr>
          <w:b/>
        </w:rPr>
        <w:br w:type="page"/>
      </w:r>
    </w:p>
    <w:p w14:paraId="2BBC7476" w14:textId="08851A81" w:rsidR="00275EAA" w:rsidRPr="00C74D17" w:rsidRDefault="00896FB9" w:rsidP="00EF709A">
      <w:pPr>
        <w:pStyle w:val="Heading1"/>
      </w:pPr>
      <w:bookmarkStart w:id="1" w:name="_Toc461684029"/>
      <w:r>
        <w:lastRenderedPageBreak/>
        <w:t>Executive summary</w:t>
      </w:r>
      <w:bookmarkEnd w:id="1"/>
    </w:p>
    <w:p w14:paraId="6F3D0989" w14:textId="6F3539FC" w:rsidR="005A0193" w:rsidRDefault="00651E31">
      <w:pPr>
        <w:rPr>
          <w:i/>
        </w:rPr>
      </w:pPr>
      <w:r w:rsidRPr="00651E31">
        <w:t>“</w:t>
      </w:r>
      <w:proofErr w:type="spellStart"/>
      <w:r w:rsidRPr="00651E31">
        <w:t>Vapour</w:t>
      </w:r>
      <w:proofErr w:type="spellEnd"/>
      <w:r w:rsidRPr="00651E31">
        <w:t xml:space="preserve"> intrusion” is the migration of chemical </w:t>
      </w:r>
      <w:proofErr w:type="spellStart"/>
      <w:r w:rsidRPr="00651E31">
        <w:t>vapours</w:t>
      </w:r>
      <w:proofErr w:type="spellEnd"/>
      <w:r w:rsidR="00A014B1">
        <w:t xml:space="preserve"> and gases</w:t>
      </w:r>
      <w:r w:rsidRPr="00651E31">
        <w:t xml:space="preserve"> from sub-surface sources of volatile substances</w:t>
      </w:r>
      <w:r w:rsidR="00A014B1">
        <w:t xml:space="preserve"> or gases</w:t>
      </w:r>
      <w:r w:rsidRPr="00651E31">
        <w:t xml:space="preserve"> through soils and into the indoor air spaces of overlying buildings. These </w:t>
      </w:r>
      <w:proofErr w:type="spellStart"/>
      <w:r w:rsidRPr="00651E31">
        <w:t>vapours</w:t>
      </w:r>
      <w:proofErr w:type="spellEnd"/>
      <w:r w:rsidR="00A014B1">
        <w:t xml:space="preserve"> and gases</w:t>
      </w:r>
      <w:r w:rsidRPr="00651E31">
        <w:t xml:space="preserve"> may pose acute hazards in terms of fire and explosion while also presenting potential health effects to occupants of affected buildings, both </w:t>
      </w:r>
      <w:proofErr w:type="gramStart"/>
      <w:r w:rsidRPr="00651E31">
        <w:t>on the basis of</w:t>
      </w:r>
      <w:proofErr w:type="gramEnd"/>
      <w:r w:rsidRPr="00651E31">
        <w:t xml:space="preserve"> short-term and long-term exposure.</w:t>
      </w:r>
      <w:r>
        <w:t xml:space="preserve"> </w:t>
      </w:r>
      <w:proofErr w:type="spellStart"/>
      <w:r w:rsidRPr="009553E8">
        <w:rPr>
          <w:rFonts w:cs="Arial"/>
        </w:rPr>
        <w:t>Vapour</w:t>
      </w:r>
      <w:proofErr w:type="spellEnd"/>
      <w:r w:rsidRPr="009553E8">
        <w:rPr>
          <w:rFonts w:cs="Arial"/>
        </w:rPr>
        <w:t xml:space="preserve"> intrusion</w:t>
      </w:r>
      <w:r w:rsidR="00A014B1">
        <w:rPr>
          <w:rFonts w:cs="Arial"/>
        </w:rPr>
        <w:t xml:space="preserve"> is </w:t>
      </w:r>
      <w:r w:rsidRPr="009553E8">
        <w:rPr>
          <w:rFonts w:cs="Arial"/>
        </w:rPr>
        <w:t xml:space="preserve">a significant environmental health issue resulting from pollution across former </w:t>
      </w:r>
      <w:r w:rsidR="00BF70DF">
        <w:rPr>
          <w:rFonts w:cs="Arial"/>
        </w:rPr>
        <w:t xml:space="preserve">farming, agricultural or </w:t>
      </w:r>
      <w:proofErr w:type="spellStart"/>
      <w:r w:rsidRPr="009553E8">
        <w:rPr>
          <w:rFonts w:cs="Arial"/>
        </w:rPr>
        <w:t>industrialised</w:t>
      </w:r>
      <w:proofErr w:type="spellEnd"/>
      <w:r w:rsidRPr="009553E8">
        <w:rPr>
          <w:rFonts w:cs="Arial"/>
        </w:rPr>
        <w:t xml:space="preserve"> areas in urban and rural regions of Australia.  </w:t>
      </w:r>
    </w:p>
    <w:p w14:paraId="00BEA87D" w14:textId="516BBF11" w:rsidR="00942938" w:rsidRDefault="00942938" w:rsidP="00942938">
      <w:pPr>
        <w:spacing w:after="0"/>
        <w:rPr>
          <w:rFonts w:cs="Arial"/>
        </w:rPr>
      </w:pPr>
      <w:r w:rsidRPr="009553E8">
        <w:rPr>
          <w:rFonts w:cs="Arial"/>
        </w:rPr>
        <w:t xml:space="preserve">There are significant gaps in the Australian public health assessment and management of </w:t>
      </w:r>
      <w:r w:rsidR="00855ADA">
        <w:rPr>
          <w:rFonts w:cs="Arial"/>
        </w:rPr>
        <w:t>exposures arising from hazardous g</w:t>
      </w:r>
      <w:r w:rsidRPr="009553E8">
        <w:rPr>
          <w:rFonts w:cs="Arial"/>
        </w:rPr>
        <w:t>round gases (associated</w:t>
      </w:r>
      <w:r>
        <w:rPr>
          <w:rFonts w:cs="Arial"/>
        </w:rPr>
        <w:t xml:space="preserve"> with landfills</w:t>
      </w:r>
      <w:r w:rsidR="000B511D">
        <w:rPr>
          <w:rFonts w:cs="Arial"/>
        </w:rPr>
        <w:t xml:space="preserve"> or waste dumps</w:t>
      </w:r>
      <w:r w:rsidR="00A014B1">
        <w:rPr>
          <w:rFonts w:cs="Arial"/>
        </w:rPr>
        <w:t>)</w:t>
      </w:r>
      <w:r w:rsidRPr="009553E8">
        <w:rPr>
          <w:rFonts w:cs="Arial"/>
        </w:rPr>
        <w:t xml:space="preserve"> and volatile chlorinated hydrocarbons</w:t>
      </w:r>
      <w:r w:rsidR="00A014B1">
        <w:rPr>
          <w:rFonts w:cs="Arial"/>
        </w:rPr>
        <w:t xml:space="preserve"> (associated with groundwater or land</w:t>
      </w:r>
      <w:r w:rsidR="00855ADA">
        <w:rPr>
          <w:rFonts w:cs="Arial"/>
        </w:rPr>
        <w:t xml:space="preserve"> contamination) across </w:t>
      </w:r>
      <w:r w:rsidRPr="009553E8">
        <w:rPr>
          <w:rFonts w:cs="Arial"/>
        </w:rPr>
        <w:t>residential areas</w:t>
      </w:r>
      <w:r w:rsidR="00855ADA">
        <w:rPr>
          <w:rFonts w:cs="Arial"/>
        </w:rPr>
        <w:t>.</w:t>
      </w:r>
      <w:r w:rsidR="00F55B08">
        <w:rPr>
          <w:rFonts w:cs="Arial"/>
        </w:rPr>
        <w:t xml:space="preserve"> </w:t>
      </w:r>
      <w:r w:rsidR="00855ADA">
        <w:rPr>
          <w:rFonts w:cs="Arial"/>
        </w:rPr>
        <w:t xml:space="preserve">While traditionally, hazardous ground gases from landfills are considered distinct from </w:t>
      </w:r>
      <w:proofErr w:type="spellStart"/>
      <w:r w:rsidR="00855ADA">
        <w:rPr>
          <w:rFonts w:cs="Arial"/>
        </w:rPr>
        <w:t>vapour</w:t>
      </w:r>
      <w:proofErr w:type="spellEnd"/>
      <w:r w:rsidR="00855ADA">
        <w:rPr>
          <w:rFonts w:cs="Arial"/>
        </w:rPr>
        <w:t xml:space="preserve"> intrusion due to sub-surface volatile hydrocarbons, their evaluation in terms of acute or chronic inhalation exposures in confined environments is similar.</w:t>
      </w:r>
      <w:r w:rsidR="00F55B08">
        <w:rPr>
          <w:rFonts w:cs="Arial"/>
        </w:rPr>
        <w:t xml:space="preserve"> </w:t>
      </w:r>
      <w:r w:rsidR="00855ADA">
        <w:rPr>
          <w:rFonts w:cs="Arial"/>
        </w:rPr>
        <w:t>The gaps in assessment are due to a limited focus on assessment of such inhalation exposures including their population health impacts.</w:t>
      </w:r>
      <w:r w:rsidR="00F55B08">
        <w:rPr>
          <w:rFonts w:cs="Arial"/>
        </w:rPr>
        <w:t xml:space="preserve"> </w:t>
      </w:r>
      <w:r w:rsidR="00855ADA">
        <w:rPr>
          <w:rFonts w:cs="Arial"/>
        </w:rPr>
        <w:t>The evolving nature of these complex assessments</w:t>
      </w:r>
      <w:r w:rsidR="00A501A3">
        <w:rPr>
          <w:rFonts w:cs="Arial"/>
        </w:rPr>
        <w:t xml:space="preserve"> across the</w:t>
      </w:r>
      <w:r w:rsidR="00A501A3" w:rsidRPr="009553E8">
        <w:rPr>
          <w:rFonts w:cs="Arial"/>
        </w:rPr>
        <w:t xml:space="preserve"> international literature and</w:t>
      </w:r>
      <w:r w:rsidR="000B511D">
        <w:rPr>
          <w:rFonts w:cs="Arial"/>
        </w:rPr>
        <w:t xml:space="preserve"> </w:t>
      </w:r>
      <w:r w:rsidR="00A501A3" w:rsidRPr="009553E8">
        <w:rPr>
          <w:rFonts w:cs="Arial"/>
        </w:rPr>
        <w:t>regulatory guidance</w:t>
      </w:r>
      <w:r w:rsidR="00855ADA">
        <w:rPr>
          <w:rFonts w:cs="Arial"/>
        </w:rPr>
        <w:t xml:space="preserve"> </w:t>
      </w:r>
      <w:r>
        <w:rPr>
          <w:rFonts w:cs="Arial"/>
        </w:rPr>
        <w:t>requires regular</w:t>
      </w:r>
      <w:r w:rsidRPr="009553E8">
        <w:rPr>
          <w:rFonts w:cs="Arial"/>
        </w:rPr>
        <w:t xml:space="preserve"> review and consideration of new information to </w:t>
      </w:r>
      <w:r w:rsidR="00A501A3">
        <w:rPr>
          <w:rFonts w:cs="Arial"/>
        </w:rPr>
        <w:t>ensure that assessments are robust and include the most recent methodologies.</w:t>
      </w:r>
    </w:p>
    <w:p w14:paraId="2D5284C0" w14:textId="77777777" w:rsidR="00942938" w:rsidRPr="009553E8" w:rsidRDefault="00942938" w:rsidP="00942938">
      <w:pPr>
        <w:spacing w:after="0"/>
        <w:rPr>
          <w:rFonts w:cs="Arial"/>
        </w:rPr>
      </w:pPr>
    </w:p>
    <w:p w14:paraId="744113DD" w14:textId="49A58834" w:rsidR="00942938" w:rsidRDefault="00942938" w:rsidP="00896FB9">
      <w:pPr>
        <w:spacing w:after="0"/>
      </w:pPr>
      <w:r w:rsidRPr="00E14595">
        <w:t xml:space="preserve">The aim of the </w:t>
      </w:r>
      <w:r>
        <w:t>report</w:t>
      </w:r>
      <w:r w:rsidRPr="00E14595">
        <w:t xml:space="preserve"> is to develop public health guidance for the assessment and management of sit</w:t>
      </w:r>
      <w:r>
        <w:t xml:space="preserve">es affected by </w:t>
      </w:r>
      <w:proofErr w:type="spellStart"/>
      <w:r>
        <w:t>vapour</w:t>
      </w:r>
      <w:proofErr w:type="spellEnd"/>
      <w:r>
        <w:t xml:space="preserve"> intrusion</w:t>
      </w:r>
      <w:r w:rsidR="00896FB9">
        <w:t xml:space="preserve"> in Australia that is </w:t>
      </w:r>
      <w:r w:rsidRPr="00E14595">
        <w:t>structured towards the human health risk assessment</w:t>
      </w:r>
      <w:r w:rsidR="00A501A3">
        <w:t xml:space="preserve"> process</w:t>
      </w:r>
      <w:r w:rsidR="000B511D">
        <w:t xml:space="preserve"> and includes the most recent information</w:t>
      </w:r>
      <w:r w:rsidR="00A501A3">
        <w:t>.</w:t>
      </w:r>
      <w:r w:rsidR="00F55B08">
        <w:t xml:space="preserve"> </w:t>
      </w:r>
      <w:r w:rsidR="00896FB9">
        <w:t xml:space="preserve">It is </w:t>
      </w:r>
      <w:r w:rsidRPr="00E14595">
        <w:t xml:space="preserve">designed to </w:t>
      </w:r>
      <w:r w:rsidR="00A501A3">
        <w:t>support</w:t>
      </w:r>
      <w:r w:rsidRPr="00E14595">
        <w:t xml:space="preserve"> comprehensive cons</w:t>
      </w:r>
      <w:r w:rsidR="00A501A3">
        <w:t xml:space="preserve">ideration of human exposure and avoid </w:t>
      </w:r>
      <w:r w:rsidRPr="00E14595">
        <w:t>potential adverse out</w:t>
      </w:r>
      <w:r w:rsidR="00896FB9">
        <w:t xml:space="preserve">comes </w:t>
      </w:r>
      <w:r w:rsidR="000C0949">
        <w:t xml:space="preserve">with </w:t>
      </w:r>
      <w:r w:rsidR="00896FB9">
        <w:t xml:space="preserve">an overall theme of </w:t>
      </w:r>
      <w:r>
        <w:t>“</w:t>
      </w:r>
      <w:r w:rsidRPr="005F7514">
        <w:rPr>
          <w:i/>
        </w:rPr>
        <w:t xml:space="preserve">How to undertake a </w:t>
      </w:r>
      <w:proofErr w:type="spellStart"/>
      <w:r w:rsidRPr="005F7514">
        <w:rPr>
          <w:i/>
        </w:rPr>
        <w:t>vapour</w:t>
      </w:r>
      <w:proofErr w:type="spellEnd"/>
      <w:r w:rsidRPr="005F7514">
        <w:rPr>
          <w:i/>
        </w:rPr>
        <w:t xml:space="preserve"> intrusion risk assessment</w:t>
      </w:r>
      <w:r>
        <w:t>”.</w:t>
      </w:r>
    </w:p>
    <w:p w14:paraId="34141AC1" w14:textId="618DD19D" w:rsidR="00896FB9" w:rsidRDefault="00896FB9" w:rsidP="00896FB9">
      <w:pPr>
        <w:spacing w:after="0"/>
      </w:pPr>
    </w:p>
    <w:p w14:paraId="18AF591E" w14:textId="2BA17CAF" w:rsidR="00896FB9" w:rsidRDefault="00896FB9" w:rsidP="00896FB9">
      <w:pPr>
        <w:spacing w:after="0"/>
      </w:pPr>
      <w:r>
        <w:t xml:space="preserve">This report explores the selection processes for chemicals of potential concern, examines the site settings, and </w:t>
      </w:r>
      <w:r w:rsidR="000C0949">
        <w:t>reviews</w:t>
      </w:r>
      <w:r>
        <w:t xml:space="preserve"> issues of concern across toxicology, </w:t>
      </w:r>
      <w:proofErr w:type="gramStart"/>
      <w:r>
        <w:t>epidemiology</w:t>
      </w:r>
      <w:proofErr w:type="gramEnd"/>
      <w:r>
        <w:t xml:space="preserve"> and exposure assessment.  Regulatory agency </w:t>
      </w:r>
      <w:proofErr w:type="spellStart"/>
      <w:r>
        <w:t>vapour</w:t>
      </w:r>
      <w:proofErr w:type="spellEnd"/>
      <w:r>
        <w:t xml:space="preserve"> intrusion guidance </w:t>
      </w:r>
      <w:r w:rsidR="000C0949">
        <w:t>is presented for Australia and State and T</w:t>
      </w:r>
      <w:r>
        <w:t xml:space="preserve">erritory jurisdictions and those in </w:t>
      </w:r>
      <w:r w:rsidR="00B23801">
        <w:t>Canada, Europe (particularly the Netherlands and UK), New Zealand and the United States.</w:t>
      </w:r>
    </w:p>
    <w:p w14:paraId="7C2029E6" w14:textId="52BEA373" w:rsidR="00384533" w:rsidRDefault="00384533" w:rsidP="00896FB9">
      <w:pPr>
        <w:spacing w:after="0"/>
      </w:pPr>
    </w:p>
    <w:p w14:paraId="6F153F65" w14:textId="32299B9F" w:rsidR="00CA362E" w:rsidRDefault="00384533" w:rsidP="00896FB9">
      <w:pPr>
        <w:spacing w:after="0"/>
      </w:pPr>
      <w:r>
        <w:t xml:space="preserve">Current risk assessment methods and paradigms are explored with commentary on biological monitoring and environmental epidemiology. </w:t>
      </w:r>
      <w:proofErr w:type="spellStart"/>
      <w:r>
        <w:t>Vapour</w:t>
      </w:r>
      <w:proofErr w:type="spellEnd"/>
      <w:r>
        <w:t xml:space="preserve"> intrusion assessment methods are </w:t>
      </w:r>
      <w:proofErr w:type="gramStart"/>
      <w:r w:rsidR="00CA362E">
        <w:t>considered</w:t>
      </w:r>
      <w:proofErr w:type="gramEnd"/>
      <w:r w:rsidR="00CA362E">
        <w:t xml:space="preserve"> and current frameworks presented with the </w:t>
      </w:r>
      <w:r>
        <w:t xml:space="preserve">differences between site contamination and landfill hazardous gases and </w:t>
      </w:r>
      <w:proofErr w:type="spellStart"/>
      <w:r>
        <w:t>vapours</w:t>
      </w:r>
      <w:proofErr w:type="spellEnd"/>
      <w:r>
        <w:t xml:space="preserve"> </w:t>
      </w:r>
      <w:r w:rsidR="00CA362E">
        <w:t>identified</w:t>
      </w:r>
      <w:r>
        <w:t xml:space="preserve">. </w:t>
      </w:r>
    </w:p>
    <w:p w14:paraId="38873602" w14:textId="77777777" w:rsidR="00CA362E" w:rsidRDefault="00CA362E" w:rsidP="00896FB9">
      <w:pPr>
        <w:spacing w:after="0"/>
      </w:pPr>
    </w:p>
    <w:p w14:paraId="769143FF" w14:textId="51B746E7" w:rsidR="00384533" w:rsidRDefault="00384533" w:rsidP="00896FB9">
      <w:pPr>
        <w:spacing w:after="0"/>
      </w:pPr>
      <w:proofErr w:type="spellStart"/>
      <w:r>
        <w:t>Vapour</w:t>
      </w:r>
      <w:proofErr w:type="spellEnd"/>
      <w:r>
        <w:t xml:space="preserve"> intrusion modelling is </w:t>
      </w:r>
      <w:proofErr w:type="gramStart"/>
      <w:r>
        <w:t>reviewed</w:t>
      </w:r>
      <w:proofErr w:type="gramEnd"/>
      <w:r>
        <w:t xml:space="preserve"> and </w:t>
      </w:r>
      <w:r w:rsidR="00CA362E">
        <w:t xml:space="preserve">the use of a current common industry model </w:t>
      </w:r>
      <w:r>
        <w:t>clarified in terms of understanding and use</w:t>
      </w:r>
      <w:r w:rsidR="00CA362E">
        <w:t>.</w:t>
      </w:r>
      <w:r w:rsidR="00F55B08">
        <w:t xml:space="preserve"> </w:t>
      </w:r>
      <w:r w:rsidR="00CA362E">
        <w:t xml:space="preserve">Measurement methods are presented across sampling and analytical requirements with </w:t>
      </w:r>
      <w:r>
        <w:t xml:space="preserve">assessment methods </w:t>
      </w:r>
      <w:r w:rsidR="00CA362E">
        <w:t>summarized.</w:t>
      </w:r>
      <w:r w:rsidR="00F55B08">
        <w:t xml:space="preserve"> </w:t>
      </w:r>
      <w:r w:rsidR="00CA362E">
        <w:t>Multiple lines of evidence factors representing the current method of overall assessment are discussed.</w:t>
      </w:r>
      <w:r w:rsidR="00F55B08">
        <w:t xml:space="preserve"> </w:t>
      </w:r>
      <w:r w:rsidR="00CA362E">
        <w:t>The report concludes with a review of risk management measures and how risk communication is managed across the plethora of technical information that comprise this field of public health.</w:t>
      </w:r>
    </w:p>
    <w:p w14:paraId="6CD66E21" w14:textId="77777777" w:rsidR="005A0193" w:rsidRPr="00942938" w:rsidRDefault="005A0193"/>
    <w:p w14:paraId="6AE89C86" w14:textId="7C115C6B" w:rsidR="005A0193" w:rsidRPr="00942938" w:rsidRDefault="00CA362E">
      <w:pPr>
        <w:rPr>
          <w:b/>
        </w:rPr>
      </w:pPr>
      <w:proofErr w:type="gramStart"/>
      <w:r>
        <w:rPr>
          <w:b/>
        </w:rPr>
        <w:lastRenderedPageBreak/>
        <w:t>In order to</w:t>
      </w:r>
      <w:proofErr w:type="gramEnd"/>
      <w:r>
        <w:rPr>
          <w:b/>
        </w:rPr>
        <w:t xml:space="preserve"> provide guidance</w:t>
      </w:r>
      <w:r w:rsidR="00EA6507">
        <w:rPr>
          <w:b/>
        </w:rPr>
        <w:t xml:space="preserve"> through critical thinking,</w:t>
      </w:r>
      <w:r>
        <w:rPr>
          <w:b/>
        </w:rPr>
        <w:t xml:space="preserve"> the following questions</w:t>
      </w:r>
      <w:r w:rsidR="005C0774">
        <w:rPr>
          <w:b/>
        </w:rPr>
        <w:t xml:space="preserve"> and sources of information/guidance</w:t>
      </w:r>
      <w:r>
        <w:rPr>
          <w:b/>
        </w:rPr>
        <w:t xml:space="preserve"> have been structured </w:t>
      </w:r>
      <w:r w:rsidR="005D608B">
        <w:rPr>
          <w:b/>
        </w:rPr>
        <w:t xml:space="preserve">to aid practitioners in ensuring they complete comprehensive and robust </w:t>
      </w:r>
      <w:proofErr w:type="spellStart"/>
      <w:r w:rsidR="005D608B">
        <w:rPr>
          <w:b/>
        </w:rPr>
        <w:t>vapour</w:t>
      </w:r>
      <w:proofErr w:type="spellEnd"/>
      <w:r w:rsidR="005D608B">
        <w:rPr>
          <w:b/>
        </w:rPr>
        <w:t xml:space="preserve"> intrusion risk assessments:</w:t>
      </w:r>
    </w:p>
    <w:tbl>
      <w:tblPr>
        <w:tblStyle w:val="TableGrid"/>
        <w:tblW w:w="10080" w:type="dxa"/>
        <w:tblInd w:w="-72" w:type="dxa"/>
        <w:tblLook w:val="04A0" w:firstRow="1" w:lastRow="0" w:firstColumn="1" w:lastColumn="0" w:noHBand="0" w:noVBand="1"/>
      </w:tblPr>
      <w:tblGrid>
        <w:gridCol w:w="5760"/>
        <w:gridCol w:w="4320"/>
      </w:tblGrid>
      <w:tr w:rsidR="00F653D6" w14:paraId="2D598C37" w14:textId="77777777" w:rsidTr="00DB0CFF">
        <w:tc>
          <w:tcPr>
            <w:tcW w:w="5760" w:type="dxa"/>
          </w:tcPr>
          <w:p w14:paraId="58A4FE98" w14:textId="5C7B1883" w:rsidR="00F653D6" w:rsidRDefault="00F653D6">
            <w:pPr>
              <w:rPr>
                <w:b/>
              </w:rPr>
            </w:pPr>
            <w:r>
              <w:rPr>
                <w:b/>
              </w:rPr>
              <w:t>Question</w:t>
            </w:r>
          </w:p>
        </w:tc>
        <w:tc>
          <w:tcPr>
            <w:tcW w:w="4320" w:type="dxa"/>
          </w:tcPr>
          <w:p w14:paraId="4CC7F046" w14:textId="3663C250" w:rsidR="00F653D6" w:rsidRDefault="00F653D6">
            <w:pPr>
              <w:rPr>
                <w:b/>
              </w:rPr>
            </w:pPr>
            <w:r>
              <w:rPr>
                <w:b/>
              </w:rPr>
              <w:t>Source of information</w:t>
            </w:r>
            <w:r w:rsidR="0033074A">
              <w:rPr>
                <w:b/>
              </w:rPr>
              <w:t>/Guidance</w:t>
            </w:r>
          </w:p>
        </w:tc>
      </w:tr>
      <w:tr w:rsidR="00F653D6" w14:paraId="157835AF" w14:textId="77777777" w:rsidTr="00DB0CFF">
        <w:tc>
          <w:tcPr>
            <w:tcW w:w="5760" w:type="dxa"/>
          </w:tcPr>
          <w:p w14:paraId="23562967" w14:textId="0F05A94E" w:rsidR="00F653D6" w:rsidRDefault="00F653D6">
            <w:pPr>
              <w:rPr>
                <w:b/>
              </w:rPr>
            </w:pPr>
            <w:r w:rsidRPr="00942938">
              <w:rPr>
                <w:b/>
              </w:rPr>
              <w:t>Preliminaries</w:t>
            </w:r>
          </w:p>
        </w:tc>
        <w:tc>
          <w:tcPr>
            <w:tcW w:w="4320" w:type="dxa"/>
          </w:tcPr>
          <w:p w14:paraId="3B7F15E8" w14:textId="266A2143" w:rsidR="00F653D6" w:rsidRDefault="00F653D6">
            <w:pPr>
              <w:rPr>
                <w:b/>
              </w:rPr>
            </w:pPr>
          </w:p>
        </w:tc>
      </w:tr>
      <w:tr w:rsidR="00F653D6" w14:paraId="0DD435A9" w14:textId="77777777" w:rsidTr="00DB0CFF">
        <w:tc>
          <w:tcPr>
            <w:tcW w:w="5760" w:type="dxa"/>
          </w:tcPr>
          <w:p w14:paraId="1DE6B44D" w14:textId="77777777" w:rsidR="00F653D6" w:rsidRPr="005D608B" w:rsidRDefault="00F653D6" w:rsidP="00F653D6">
            <w:pPr>
              <w:ind w:left="360"/>
              <w:rPr>
                <w:i/>
              </w:rPr>
            </w:pPr>
            <w:r w:rsidRPr="005D608B">
              <w:rPr>
                <w:i/>
              </w:rPr>
              <w:t xml:space="preserve">The </w:t>
            </w:r>
            <w:r>
              <w:rPr>
                <w:i/>
              </w:rPr>
              <w:t xml:space="preserve">primary </w:t>
            </w:r>
            <w:proofErr w:type="spellStart"/>
            <w:r>
              <w:rPr>
                <w:i/>
              </w:rPr>
              <w:t>vapour</w:t>
            </w:r>
            <w:proofErr w:type="spellEnd"/>
            <w:r>
              <w:rPr>
                <w:i/>
              </w:rPr>
              <w:t xml:space="preserve"> intrusion questions posed are:</w:t>
            </w:r>
          </w:p>
          <w:p w14:paraId="369FA7D1" w14:textId="77777777" w:rsidR="00F653D6" w:rsidRDefault="00F653D6" w:rsidP="00F653D6">
            <w:pPr>
              <w:pStyle w:val="ListParagraph"/>
              <w:numPr>
                <w:ilvl w:val="0"/>
                <w:numId w:val="10"/>
              </w:numPr>
              <w:rPr>
                <w:i/>
              </w:rPr>
            </w:pPr>
            <w:r w:rsidRPr="005D608B">
              <w:rPr>
                <w:i/>
              </w:rPr>
              <w:t xml:space="preserve"> “Is there a potential for sub-surface migration and would reactivity of the volatile in the sub-surface mitigate such a process?”</w:t>
            </w:r>
          </w:p>
          <w:p w14:paraId="25F5DF75" w14:textId="77777777" w:rsidR="00F653D6" w:rsidRPr="005D608B" w:rsidRDefault="00F653D6" w:rsidP="00F653D6">
            <w:pPr>
              <w:pStyle w:val="ListParagraph"/>
              <w:numPr>
                <w:ilvl w:val="0"/>
                <w:numId w:val="10"/>
              </w:numPr>
              <w:rPr>
                <w:i/>
              </w:rPr>
            </w:pPr>
            <w:r w:rsidRPr="005D608B">
              <w:rPr>
                <w:i/>
              </w:rPr>
              <w:t xml:space="preserve"> “Would its atmospheric concentration present a health risk over short o</w:t>
            </w:r>
            <w:r>
              <w:rPr>
                <w:i/>
              </w:rPr>
              <w:t xml:space="preserve">r longer periods of exposure?” </w:t>
            </w:r>
          </w:p>
          <w:p w14:paraId="3FB02A3B" w14:textId="77777777" w:rsidR="00F653D6" w:rsidRDefault="00F653D6">
            <w:pPr>
              <w:rPr>
                <w:b/>
              </w:rPr>
            </w:pPr>
          </w:p>
        </w:tc>
        <w:tc>
          <w:tcPr>
            <w:tcW w:w="4320" w:type="dxa"/>
          </w:tcPr>
          <w:p w14:paraId="22AE3E71" w14:textId="77777777" w:rsidR="00F653D6" w:rsidRDefault="00F653D6">
            <w:r w:rsidRPr="00F653D6">
              <w:t>Revi</w:t>
            </w:r>
            <w:r>
              <w:t>ew site history data and available site data.</w:t>
            </w:r>
          </w:p>
          <w:p w14:paraId="556B2478" w14:textId="24DA93CF" w:rsidR="00F653D6" w:rsidRDefault="00F653D6" w:rsidP="00F653D6">
            <w:pPr>
              <w:rPr>
                <w:rFonts w:cs="Arial"/>
              </w:rPr>
            </w:pPr>
            <w:r w:rsidRPr="002C31D4">
              <w:rPr>
                <w:rFonts w:cs="Arial"/>
              </w:rPr>
              <w:t>US EPA (2002</w:t>
            </w:r>
            <w:r w:rsidRPr="002C31D4">
              <w:rPr>
                <w:rFonts w:cs="Arial"/>
                <w:b/>
              </w:rPr>
              <w:t xml:space="preserve">) </w:t>
            </w:r>
            <w:r>
              <w:rPr>
                <w:rFonts w:cs="Arial"/>
              </w:rPr>
              <w:t>[Now superseded by OSWER 2015].</w:t>
            </w:r>
          </w:p>
          <w:p w14:paraId="6450E0FD" w14:textId="05E54C58" w:rsidR="00F653D6" w:rsidRPr="00F653D6" w:rsidRDefault="00F653D6">
            <w:r>
              <w:t>Toxicological data based on enHealth hierarchy of sources.</w:t>
            </w:r>
          </w:p>
        </w:tc>
      </w:tr>
      <w:tr w:rsidR="00F653D6" w14:paraId="62BECECF" w14:textId="77777777" w:rsidTr="00DB0CFF">
        <w:tc>
          <w:tcPr>
            <w:tcW w:w="5760" w:type="dxa"/>
          </w:tcPr>
          <w:p w14:paraId="211B4F84" w14:textId="41AAA129" w:rsidR="00F653D6" w:rsidRPr="0033074A" w:rsidRDefault="00F653D6" w:rsidP="0033074A">
            <w:pPr>
              <w:ind w:left="360"/>
              <w:rPr>
                <w:b/>
              </w:rPr>
            </w:pPr>
            <w:r w:rsidRPr="0033074A">
              <w:rPr>
                <w:i/>
              </w:rPr>
              <w:t>What is the overall purpose of the risk assessment and general scope?</w:t>
            </w:r>
          </w:p>
        </w:tc>
        <w:tc>
          <w:tcPr>
            <w:tcW w:w="4320" w:type="dxa"/>
          </w:tcPr>
          <w:p w14:paraId="2FC63A7E" w14:textId="1F57B0CB" w:rsidR="00F653D6" w:rsidRPr="00F653D6" w:rsidRDefault="00F653D6">
            <w:r w:rsidRPr="00F653D6">
              <w:t>Requires prelimina</w:t>
            </w:r>
            <w:r>
              <w:t>ry understanding of site-specific exposure potential and impacted population – see enHealth (2012a); NEPM Schedule B4.</w:t>
            </w:r>
          </w:p>
        </w:tc>
      </w:tr>
      <w:tr w:rsidR="00F653D6" w14:paraId="5DB5EAE9" w14:textId="77777777" w:rsidTr="00DB0CFF">
        <w:tc>
          <w:tcPr>
            <w:tcW w:w="5760" w:type="dxa"/>
          </w:tcPr>
          <w:p w14:paraId="4D10CFA3" w14:textId="2E1D93F5" w:rsidR="00F653D6" w:rsidRPr="0033074A" w:rsidRDefault="00F653D6" w:rsidP="0033074A">
            <w:pPr>
              <w:ind w:left="360"/>
              <w:rPr>
                <w:b/>
              </w:rPr>
            </w:pPr>
            <w:r w:rsidRPr="0033074A">
              <w:rPr>
                <w:i/>
              </w:rPr>
              <w:t>Are there current implications which require immediate actions (</w:t>
            </w:r>
            <w:proofErr w:type="gramStart"/>
            <w:r w:rsidRPr="0033074A">
              <w:rPr>
                <w:i/>
              </w:rPr>
              <w:t>e.g.</w:t>
            </w:r>
            <w:proofErr w:type="gramEnd"/>
            <w:r w:rsidRPr="0033074A">
              <w:rPr>
                <w:i/>
              </w:rPr>
              <w:t xml:space="preserve"> potentially exposed community, fire and explosion risks)?</w:t>
            </w:r>
          </w:p>
        </w:tc>
        <w:tc>
          <w:tcPr>
            <w:tcW w:w="4320" w:type="dxa"/>
          </w:tcPr>
          <w:p w14:paraId="18FA8466" w14:textId="360EBEE5" w:rsidR="00F653D6" w:rsidRPr="002A655E" w:rsidRDefault="002A655E">
            <w:r w:rsidRPr="002A655E">
              <w:t>Refer enHealth (2012a)</w:t>
            </w:r>
            <w:r>
              <w:t xml:space="preserve">; US EPA (2015a); internet databases on </w:t>
            </w:r>
            <w:proofErr w:type="spellStart"/>
            <w:r>
              <w:t>physico</w:t>
            </w:r>
            <w:proofErr w:type="spellEnd"/>
            <w:r>
              <w:t>-</w:t>
            </w:r>
            <w:r w:rsidR="008D4243">
              <w:t>chemical and</w:t>
            </w:r>
            <w:r>
              <w:t xml:space="preserve"> toxicological properties; site history.</w:t>
            </w:r>
          </w:p>
        </w:tc>
      </w:tr>
      <w:tr w:rsidR="00F653D6" w14:paraId="7761AF0C" w14:textId="77777777" w:rsidTr="00DB0CFF">
        <w:tc>
          <w:tcPr>
            <w:tcW w:w="5760" w:type="dxa"/>
          </w:tcPr>
          <w:p w14:paraId="2701CCC8" w14:textId="252174B7" w:rsidR="00F653D6" w:rsidRPr="0033074A" w:rsidRDefault="00F653D6" w:rsidP="0033074A">
            <w:pPr>
              <w:ind w:left="360"/>
              <w:rPr>
                <w:b/>
              </w:rPr>
            </w:pPr>
            <w:r w:rsidRPr="0033074A">
              <w:rPr>
                <w:i/>
              </w:rPr>
              <w:t>Are there sensitive populations – children or the aged and infirm?</w:t>
            </w:r>
          </w:p>
        </w:tc>
        <w:tc>
          <w:tcPr>
            <w:tcW w:w="4320" w:type="dxa"/>
          </w:tcPr>
          <w:p w14:paraId="0B19C9DC" w14:textId="4BE54EF9" w:rsidR="00F653D6" w:rsidRPr="002A655E" w:rsidRDefault="002A655E">
            <w:r>
              <w:t>Local evalua</w:t>
            </w:r>
            <w:r w:rsidR="009E3B6C">
              <w:t xml:space="preserve">tions of community demographics or published </w:t>
            </w:r>
            <w:r w:rsidR="000D5A28">
              <w:t xml:space="preserve">health </w:t>
            </w:r>
            <w:r w:rsidR="009E3B6C">
              <w:t>survey data.</w:t>
            </w:r>
          </w:p>
        </w:tc>
      </w:tr>
      <w:tr w:rsidR="00F653D6" w14:paraId="6D99BA04" w14:textId="77777777" w:rsidTr="00DB0CFF">
        <w:tc>
          <w:tcPr>
            <w:tcW w:w="5760" w:type="dxa"/>
          </w:tcPr>
          <w:p w14:paraId="79854D0D" w14:textId="31ED652D" w:rsidR="00F653D6" w:rsidRPr="0033074A" w:rsidRDefault="00F653D6" w:rsidP="0033074A">
            <w:pPr>
              <w:ind w:left="360"/>
              <w:rPr>
                <w:b/>
              </w:rPr>
            </w:pPr>
            <w:r w:rsidRPr="0033074A">
              <w:rPr>
                <w:i/>
              </w:rPr>
              <w:t>What factors (population, sub-surface or built environment will change with time?</w:t>
            </w:r>
          </w:p>
        </w:tc>
        <w:tc>
          <w:tcPr>
            <w:tcW w:w="4320" w:type="dxa"/>
          </w:tcPr>
          <w:p w14:paraId="09E9E8EE" w14:textId="12559101" w:rsidR="00F653D6" w:rsidRPr="002A655E" w:rsidRDefault="002A655E">
            <w:r>
              <w:t>Re</w:t>
            </w:r>
            <w:r w:rsidR="009E3B6C">
              <w:t xml:space="preserve">view of future planning laws; </w:t>
            </w:r>
            <w:r>
              <w:t>local council programs</w:t>
            </w:r>
            <w:r w:rsidR="009E3B6C">
              <w:t>, COPCs and fate/transport/toxicological properties.</w:t>
            </w:r>
          </w:p>
        </w:tc>
      </w:tr>
      <w:tr w:rsidR="00F653D6" w14:paraId="7C8AAF5E" w14:textId="77777777" w:rsidTr="00DB0CFF">
        <w:tc>
          <w:tcPr>
            <w:tcW w:w="5760" w:type="dxa"/>
          </w:tcPr>
          <w:p w14:paraId="3D821733" w14:textId="7FD4F28F" w:rsidR="00F653D6" w:rsidRPr="0033074A" w:rsidRDefault="00F653D6" w:rsidP="0033074A">
            <w:pPr>
              <w:ind w:left="360"/>
              <w:rPr>
                <w:b/>
              </w:rPr>
            </w:pPr>
            <w:r w:rsidRPr="0033074A">
              <w:rPr>
                <w:i/>
              </w:rPr>
              <w:t>Are there legal implications or other legal considerations involved?</w:t>
            </w:r>
          </w:p>
        </w:tc>
        <w:tc>
          <w:tcPr>
            <w:tcW w:w="4320" w:type="dxa"/>
          </w:tcPr>
          <w:p w14:paraId="42C0E129" w14:textId="0624DE22" w:rsidR="00F653D6" w:rsidRPr="002A655E" w:rsidRDefault="009E3B6C">
            <w:r>
              <w:t>Consult legal practitioners as required.</w:t>
            </w:r>
          </w:p>
        </w:tc>
      </w:tr>
      <w:tr w:rsidR="00F653D6" w14:paraId="1354F4C4" w14:textId="77777777" w:rsidTr="00DB0CFF">
        <w:tc>
          <w:tcPr>
            <w:tcW w:w="5760" w:type="dxa"/>
          </w:tcPr>
          <w:p w14:paraId="6F76A24E" w14:textId="4027F97D" w:rsidR="00F653D6" w:rsidRPr="0033074A" w:rsidRDefault="00F653D6" w:rsidP="0033074A">
            <w:pPr>
              <w:ind w:left="360"/>
              <w:rPr>
                <w:b/>
              </w:rPr>
            </w:pPr>
            <w:r w:rsidRPr="0033074A">
              <w:rPr>
                <w:i/>
              </w:rPr>
              <w:t>Have the objectives been clearly defined?</w:t>
            </w:r>
          </w:p>
        </w:tc>
        <w:tc>
          <w:tcPr>
            <w:tcW w:w="4320" w:type="dxa"/>
          </w:tcPr>
          <w:p w14:paraId="353D7F9A" w14:textId="0CC1E129" w:rsidR="00F653D6" w:rsidRPr="002A655E" w:rsidRDefault="009E3B6C">
            <w:r>
              <w:t>Discussions with all stakeholders and consideration of site history and site-specific data.</w:t>
            </w:r>
          </w:p>
        </w:tc>
      </w:tr>
      <w:tr w:rsidR="009E3B6C" w14:paraId="056E343A" w14:textId="77777777" w:rsidTr="00DB0CFF">
        <w:tc>
          <w:tcPr>
            <w:tcW w:w="5760" w:type="dxa"/>
          </w:tcPr>
          <w:p w14:paraId="7A1B7737" w14:textId="64F29DD1" w:rsidR="009E3B6C" w:rsidRPr="0033074A" w:rsidRDefault="009E3B6C" w:rsidP="0033074A">
            <w:pPr>
              <w:ind w:left="360"/>
              <w:rPr>
                <w:i/>
              </w:rPr>
            </w:pPr>
            <w:r w:rsidRPr="0033074A">
              <w:rPr>
                <w:i/>
              </w:rPr>
              <w:t>Are there socio-economic-political considerations and how will these be managed to meet the risk assessment objectives?</w:t>
            </w:r>
          </w:p>
        </w:tc>
        <w:tc>
          <w:tcPr>
            <w:tcW w:w="4320" w:type="dxa"/>
            <w:vMerge w:val="restart"/>
          </w:tcPr>
          <w:p w14:paraId="318E2323" w14:textId="13265CA2" w:rsidR="009E3B6C" w:rsidRDefault="009E3B6C">
            <w:r>
              <w:t>Identification of all stakeholders and chairpersons.</w:t>
            </w:r>
          </w:p>
          <w:p w14:paraId="08A12243" w14:textId="11538FB5" w:rsidR="009E3B6C" w:rsidRDefault="009E3B6C">
            <w:r>
              <w:t>Community and regulatory agency engagement and discussions.</w:t>
            </w:r>
          </w:p>
          <w:p w14:paraId="4DBCD67E" w14:textId="0ED4AABC" w:rsidR="009E3B6C" w:rsidRDefault="009E3B6C">
            <w:r>
              <w:t>Risk communication advice to be sought from professional independent facilitators.</w:t>
            </w:r>
          </w:p>
          <w:p w14:paraId="0AB96541" w14:textId="19310533" w:rsidR="009E3B6C" w:rsidRPr="002A655E" w:rsidRDefault="009E3B6C"/>
        </w:tc>
      </w:tr>
      <w:tr w:rsidR="009E3B6C" w14:paraId="38E828FB" w14:textId="77777777" w:rsidTr="00DB0CFF">
        <w:tc>
          <w:tcPr>
            <w:tcW w:w="5760" w:type="dxa"/>
          </w:tcPr>
          <w:p w14:paraId="5116C2A3" w14:textId="4F6882F1" w:rsidR="009E3B6C" w:rsidRPr="0033074A" w:rsidRDefault="009E3B6C" w:rsidP="0033074A">
            <w:pPr>
              <w:ind w:left="360"/>
              <w:rPr>
                <w:i/>
              </w:rPr>
            </w:pPr>
            <w:r w:rsidRPr="0033074A">
              <w:rPr>
                <w:i/>
              </w:rPr>
              <w:t>Who are the stakeholders involved (industry, developers, government, community)?</w:t>
            </w:r>
          </w:p>
        </w:tc>
        <w:tc>
          <w:tcPr>
            <w:tcW w:w="4320" w:type="dxa"/>
            <w:vMerge/>
          </w:tcPr>
          <w:p w14:paraId="7135D2E2" w14:textId="77777777" w:rsidR="009E3B6C" w:rsidRPr="002A655E" w:rsidRDefault="009E3B6C"/>
        </w:tc>
      </w:tr>
      <w:tr w:rsidR="009E3B6C" w14:paraId="67987DBB" w14:textId="77777777" w:rsidTr="00DB0CFF">
        <w:tc>
          <w:tcPr>
            <w:tcW w:w="5760" w:type="dxa"/>
          </w:tcPr>
          <w:p w14:paraId="459BE3C7" w14:textId="5267810E" w:rsidR="009E3B6C" w:rsidRPr="0033074A" w:rsidRDefault="009E3B6C" w:rsidP="0033074A">
            <w:pPr>
              <w:ind w:left="360"/>
              <w:rPr>
                <w:i/>
              </w:rPr>
            </w:pPr>
            <w:r w:rsidRPr="0033074A">
              <w:rPr>
                <w:i/>
              </w:rPr>
              <w:t xml:space="preserve">If the community is </w:t>
            </w:r>
            <w:proofErr w:type="gramStart"/>
            <w:r w:rsidRPr="0033074A">
              <w:rPr>
                <w:i/>
              </w:rPr>
              <w:t>involved</w:t>
            </w:r>
            <w:proofErr w:type="gramEnd"/>
            <w:r w:rsidRPr="0033074A">
              <w:rPr>
                <w:i/>
              </w:rPr>
              <w:t xml:space="preserve"> how will they be engaged?</w:t>
            </w:r>
          </w:p>
        </w:tc>
        <w:tc>
          <w:tcPr>
            <w:tcW w:w="4320" w:type="dxa"/>
            <w:vMerge/>
          </w:tcPr>
          <w:p w14:paraId="087E1280" w14:textId="77777777" w:rsidR="009E3B6C" w:rsidRPr="002A655E" w:rsidRDefault="009E3B6C"/>
        </w:tc>
      </w:tr>
      <w:tr w:rsidR="002A655E" w14:paraId="28DA1785" w14:textId="77777777" w:rsidTr="00DB0CFF">
        <w:tc>
          <w:tcPr>
            <w:tcW w:w="5760" w:type="dxa"/>
          </w:tcPr>
          <w:p w14:paraId="4FA26E24" w14:textId="72535E1F" w:rsidR="002A655E" w:rsidRPr="0033074A" w:rsidRDefault="002A655E" w:rsidP="0033074A">
            <w:pPr>
              <w:ind w:left="360"/>
              <w:rPr>
                <w:i/>
              </w:rPr>
            </w:pPr>
            <w:r w:rsidRPr="0033074A">
              <w:rPr>
                <w:i/>
              </w:rPr>
              <w:t>What is the complexity of the assessment that is required?</w:t>
            </w:r>
          </w:p>
        </w:tc>
        <w:tc>
          <w:tcPr>
            <w:tcW w:w="4320" w:type="dxa"/>
          </w:tcPr>
          <w:p w14:paraId="25682EDA" w14:textId="30C4176B" w:rsidR="002A655E" w:rsidRPr="002A655E" w:rsidRDefault="009E3B6C">
            <w:r>
              <w:t>See enHealth (</w:t>
            </w:r>
            <w:r w:rsidR="008D4243">
              <w:t>2012a);</w:t>
            </w:r>
            <w:r>
              <w:t xml:space="preserve"> Burk and </w:t>
            </w:r>
            <w:proofErr w:type="spellStart"/>
            <w:r>
              <w:t>Zarus</w:t>
            </w:r>
            <w:proofErr w:type="spellEnd"/>
            <w:r>
              <w:t xml:space="preserve"> (2013)</w:t>
            </w:r>
            <w:r w:rsidR="00DF701E">
              <w:t>; US EPA (2015b).</w:t>
            </w:r>
          </w:p>
        </w:tc>
      </w:tr>
      <w:tr w:rsidR="002A655E" w14:paraId="335E2A3E" w14:textId="77777777" w:rsidTr="00DB0CFF">
        <w:tc>
          <w:tcPr>
            <w:tcW w:w="5760" w:type="dxa"/>
          </w:tcPr>
          <w:p w14:paraId="2B9C47EB" w14:textId="6435D1C1" w:rsidR="002A655E" w:rsidRPr="0033074A" w:rsidRDefault="002A655E" w:rsidP="0033074A">
            <w:pPr>
              <w:ind w:left="360"/>
              <w:rPr>
                <w:b/>
              </w:rPr>
            </w:pPr>
            <w:r w:rsidRPr="0033074A">
              <w:rPr>
                <w:i/>
              </w:rPr>
              <w:t>Is a multi-disciplinary team of experts necessary to meet the objectives?</w:t>
            </w:r>
          </w:p>
        </w:tc>
        <w:tc>
          <w:tcPr>
            <w:tcW w:w="4320" w:type="dxa"/>
          </w:tcPr>
          <w:p w14:paraId="257FD013" w14:textId="64E1B664" w:rsidR="002A655E" w:rsidRPr="009E3B6C" w:rsidRDefault="00DB0CFF">
            <w:r>
              <w:t>Review discipline areas and level of complexity/knowledge required to meet objectives.</w:t>
            </w:r>
          </w:p>
        </w:tc>
      </w:tr>
    </w:tbl>
    <w:p w14:paraId="6AA16EAB" w14:textId="77777777" w:rsidR="0033074A" w:rsidRDefault="0033074A" w:rsidP="0033074A">
      <w:pPr>
        <w:ind w:left="360"/>
        <w:rPr>
          <w:i/>
        </w:rPr>
        <w:sectPr w:rsidR="0033074A" w:rsidSect="00E33479">
          <w:headerReference w:type="default" r:id="rId11"/>
          <w:footerReference w:type="default" r:id="rId12"/>
          <w:type w:val="continuous"/>
          <w:pgSz w:w="12240" w:h="15840"/>
          <w:pgMar w:top="1890" w:right="1440" w:bottom="1440" w:left="1440" w:header="720" w:footer="576" w:gutter="0"/>
          <w:cols w:space="720"/>
          <w:docGrid w:linePitch="299"/>
        </w:sectPr>
      </w:pPr>
    </w:p>
    <w:tbl>
      <w:tblPr>
        <w:tblStyle w:val="TableGrid"/>
        <w:tblW w:w="10080" w:type="dxa"/>
        <w:tblInd w:w="-72" w:type="dxa"/>
        <w:tblLook w:val="04A0" w:firstRow="1" w:lastRow="0" w:firstColumn="1" w:lastColumn="0" w:noHBand="0" w:noVBand="1"/>
      </w:tblPr>
      <w:tblGrid>
        <w:gridCol w:w="5760"/>
        <w:gridCol w:w="4320"/>
      </w:tblGrid>
      <w:tr w:rsidR="0033074A" w14:paraId="0E71E4A3" w14:textId="77777777" w:rsidTr="00DB0CFF">
        <w:tc>
          <w:tcPr>
            <w:tcW w:w="5760" w:type="dxa"/>
          </w:tcPr>
          <w:p w14:paraId="293F02ED" w14:textId="6CDEB5E9" w:rsidR="0033074A" w:rsidRPr="0033074A" w:rsidRDefault="0033074A" w:rsidP="00A22BE6">
            <w:pPr>
              <w:ind w:left="76"/>
              <w:rPr>
                <w:i/>
              </w:rPr>
            </w:pPr>
            <w:r>
              <w:rPr>
                <w:b/>
              </w:rPr>
              <w:lastRenderedPageBreak/>
              <w:t>Question</w:t>
            </w:r>
          </w:p>
        </w:tc>
        <w:tc>
          <w:tcPr>
            <w:tcW w:w="4320" w:type="dxa"/>
          </w:tcPr>
          <w:p w14:paraId="7160177C" w14:textId="58CDF417" w:rsidR="0033074A" w:rsidRDefault="0033074A" w:rsidP="0033074A">
            <w:pPr>
              <w:rPr>
                <w:b/>
              </w:rPr>
            </w:pPr>
            <w:r>
              <w:rPr>
                <w:b/>
              </w:rPr>
              <w:t>Source of information</w:t>
            </w:r>
            <w:r w:rsidR="00D1587D">
              <w:rPr>
                <w:b/>
              </w:rPr>
              <w:t>/Guidance</w:t>
            </w:r>
          </w:p>
        </w:tc>
      </w:tr>
      <w:tr w:rsidR="0033074A" w14:paraId="61A5BC31" w14:textId="77777777" w:rsidTr="00DB0CFF">
        <w:tc>
          <w:tcPr>
            <w:tcW w:w="5760" w:type="dxa"/>
          </w:tcPr>
          <w:p w14:paraId="059A39BE" w14:textId="44F1D8E8" w:rsidR="0033074A" w:rsidRPr="0033074A" w:rsidRDefault="0033074A" w:rsidP="00A22BE6">
            <w:pPr>
              <w:rPr>
                <w:i/>
              </w:rPr>
            </w:pPr>
            <w:r w:rsidRPr="00942938">
              <w:rPr>
                <w:b/>
              </w:rPr>
              <w:t>Preliminaries</w:t>
            </w:r>
            <w:r>
              <w:rPr>
                <w:b/>
              </w:rPr>
              <w:t xml:space="preserve"> (</w:t>
            </w:r>
            <w:r w:rsidR="008D4243">
              <w:rPr>
                <w:b/>
              </w:rPr>
              <w:t>cont.</w:t>
            </w:r>
            <w:r>
              <w:rPr>
                <w:b/>
              </w:rPr>
              <w:t>)</w:t>
            </w:r>
          </w:p>
        </w:tc>
        <w:tc>
          <w:tcPr>
            <w:tcW w:w="4320" w:type="dxa"/>
          </w:tcPr>
          <w:p w14:paraId="08A5F49C" w14:textId="77777777" w:rsidR="0033074A" w:rsidRDefault="0033074A" w:rsidP="0033074A">
            <w:pPr>
              <w:rPr>
                <w:b/>
              </w:rPr>
            </w:pPr>
          </w:p>
        </w:tc>
      </w:tr>
      <w:tr w:rsidR="007E3E99" w14:paraId="3904F46B" w14:textId="77777777" w:rsidTr="00DB0CFF">
        <w:tc>
          <w:tcPr>
            <w:tcW w:w="5760" w:type="dxa"/>
          </w:tcPr>
          <w:p w14:paraId="77BC26E9" w14:textId="6FB0BF22" w:rsidR="007E3E99" w:rsidRPr="0033074A" w:rsidRDefault="007E3E99" w:rsidP="0033074A">
            <w:pPr>
              <w:ind w:left="360"/>
              <w:rPr>
                <w:i/>
              </w:rPr>
            </w:pPr>
            <w:r w:rsidRPr="0033074A">
              <w:rPr>
                <w:i/>
              </w:rPr>
              <w:t>What is required to be achieved for decision-making?</w:t>
            </w:r>
          </w:p>
          <w:p w14:paraId="082DA345" w14:textId="77777777" w:rsidR="007E3E99" w:rsidRPr="0033074A" w:rsidRDefault="007E3E99" w:rsidP="0033074A">
            <w:pPr>
              <w:ind w:left="1080"/>
              <w:rPr>
                <w:i/>
              </w:rPr>
            </w:pPr>
            <w:r w:rsidRPr="0033074A">
              <w:rPr>
                <w:i/>
              </w:rPr>
              <w:t>Qualitative risk assessment?</w:t>
            </w:r>
          </w:p>
          <w:p w14:paraId="59DD53D3" w14:textId="77777777" w:rsidR="007E3E99" w:rsidRPr="0033074A" w:rsidRDefault="007E3E99" w:rsidP="0033074A">
            <w:pPr>
              <w:ind w:left="1080"/>
              <w:rPr>
                <w:i/>
              </w:rPr>
            </w:pPr>
            <w:r w:rsidRPr="0033074A">
              <w:rPr>
                <w:i/>
              </w:rPr>
              <w:t>Quantitative risk assessment</w:t>
            </w:r>
          </w:p>
          <w:p w14:paraId="4B47ACB4" w14:textId="1D287EC3" w:rsidR="007E3E99" w:rsidRPr="0033074A" w:rsidRDefault="007E3E99" w:rsidP="0033074A">
            <w:pPr>
              <w:ind w:left="1080"/>
              <w:rPr>
                <w:b/>
              </w:rPr>
            </w:pPr>
            <w:r w:rsidRPr="0033074A">
              <w:rPr>
                <w:i/>
              </w:rPr>
              <w:t>Practical risk mitigation measures?</w:t>
            </w:r>
          </w:p>
        </w:tc>
        <w:tc>
          <w:tcPr>
            <w:tcW w:w="4320" w:type="dxa"/>
            <w:vMerge w:val="restart"/>
          </w:tcPr>
          <w:p w14:paraId="0EFC38DE" w14:textId="77777777" w:rsidR="007E3E99" w:rsidRDefault="007E3E99" w:rsidP="0033074A">
            <w:r w:rsidRPr="007E3E99">
              <w:t>Review</w:t>
            </w:r>
            <w:r>
              <w:t xml:space="preserve"> site history, planned development, COPC and the CSM.</w:t>
            </w:r>
          </w:p>
          <w:p w14:paraId="65FC72A3" w14:textId="77777777" w:rsidR="007E3E99" w:rsidRDefault="007E3E99" w:rsidP="0033074A"/>
          <w:p w14:paraId="3DA44FC3" w14:textId="77777777" w:rsidR="000329FA" w:rsidRDefault="007E3E99" w:rsidP="0033074A">
            <w:r>
              <w:t xml:space="preserve">See </w:t>
            </w:r>
            <w:r w:rsidR="000329FA">
              <w:t xml:space="preserve">NEPC (1999, as amended 2013); </w:t>
            </w:r>
            <w:r>
              <w:t>ASTM E1739-95 (2015); enHealth (2102a); US EPA (2015a); ITRC, (2014)</w:t>
            </w:r>
            <w:r w:rsidR="000329FA">
              <w:t>; ATSDR, WHO, RIVM and US EPA databases and reports.</w:t>
            </w:r>
          </w:p>
          <w:p w14:paraId="674A6BA4" w14:textId="77777777" w:rsidR="000329FA" w:rsidRDefault="000329FA" w:rsidP="0033074A"/>
          <w:p w14:paraId="17B94125" w14:textId="6FF6F9A9" w:rsidR="007E3E99" w:rsidRPr="007E3E99" w:rsidRDefault="00D1587D" w:rsidP="0033074A">
            <w:r>
              <w:t>Review available data and discuss</w:t>
            </w:r>
            <w:r w:rsidR="00B868F7">
              <w:t xml:space="preserve"> timeframes</w:t>
            </w:r>
            <w:r>
              <w:t xml:space="preserve"> with key stakeholders.</w:t>
            </w:r>
          </w:p>
        </w:tc>
      </w:tr>
      <w:tr w:rsidR="007E3E99" w14:paraId="3C40917F" w14:textId="77777777" w:rsidTr="00DB0CFF">
        <w:tc>
          <w:tcPr>
            <w:tcW w:w="5760" w:type="dxa"/>
          </w:tcPr>
          <w:p w14:paraId="0E218DC2" w14:textId="42367E4E" w:rsidR="007E3E99" w:rsidRPr="0033074A" w:rsidRDefault="007E3E99" w:rsidP="0033074A">
            <w:pPr>
              <w:ind w:left="360"/>
              <w:rPr>
                <w:b/>
              </w:rPr>
            </w:pPr>
            <w:r w:rsidRPr="0033074A">
              <w:rPr>
                <w:i/>
              </w:rPr>
              <w:t>Which decision-making process will provide the greatest confidence in the assessment?</w:t>
            </w:r>
          </w:p>
        </w:tc>
        <w:tc>
          <w:tcPr>
            <w:tcW w:w="4320" w:type="dxa"/>
            <w:vMerge/>
          </w:tcPr>
          <w:p w14:paraId="3847F9A2" w14:textId="77777777" w:rsidR="007E3E99" w:rsidRDefault="007E3E99" w:rsidP="0033074A">
            <w:pPr>
              <w:rPr>
                <w:b/>
              </w:rPr>
            </w:pPr>
          </w:p>
        </w:tc>
      </w:tr>
      <w:tr w:rsidR="007E3E99" w14:paraId="6C93E4B3" w14:textId="77777777" w:rsidTr="00DB0CFF">
        <w:tc>
          <w:tcPr>
            <w:tcW w:w="5760" w:type="dxa"/>
          </w:tcPr>
          <w:p w14:paraId="141A8038" w14:textId="275485E1" w:rsidR="007E3E99" w:rsidRPr="0033074A" w:rsidRDefault="007E3E99" w:rsidP="0033074A">
            <w:pPr>
              <w:ind w:left="360"/>
              <w:rPr>
                <w:b/>
              </w:rPr>
            </w:pPr>
            <w:r w:rsidRPr="0033074A">
              <w:rPr>
                <w:i/>
              </w:rPr>
              <w:t>What is the history of the site and surrounds?</w:t>
            </w:r>
          </w:p>
        </w:tc>
        <w:tc>
          <w:tcPr>
            <w:tcW w:w="4320" w:type="dxa"/>
            <w:vMerge/>
          </w:tcPr>
          <w:p w14:paraId="57B597F8" w14:textId="77777777" w:rsidR="007E3E99" w:rsidRDefault="007E3E99" w:rsidP="0033074A">
            <w:pPr>
              <w:rPr>
                <w:b/>
              </w:rPr>
            </w:pPr>
          </w:p>
        </w:tc>
      </w:tr>
      <w:tr w:rsidR="007E3E99" w14:paraId="6C2F4DC0" w14:textId="77777777" w:rsidTr="00DB0CFF">
        <w:tc>
          <w:tcPr>
            <w:tcW w:w="5760" w:type="dxa"/>
          </w:tcPr>
          <w:p w14:paraId="00B99E8B" w14:textId="090A0BC3" w:rsidR="007E3E99" w:rsidRPr="0033074A" w:rsidRDefault="007E3E99" w:rsidP="0033074A">
            <w:pPr>
              <w:ind w:left="360"/>
              <w:rPr>
                <w:b/>
              </w:rPr>
            </w:pPr>
            <w:r w:rsidRPr="0033074A">
              <w:rPr>
                <w:i/>
              </w:rPr>
              <w:t>What substances are associated with this history?</w:t>
            </w:r>
          </w:p>
        </w:tc>
        <w:tc>
          <w:tcPr>
            <w:tcW w:w="4320" w:type="dxa"/>
            <w:vMerge/>
          </w:tcPr>
          <w:p w14:paraId="6C03E32E" w14:textId="77777777" w:rsidR="007E3E99" w:rsidRDefault="007E3E99" w:rsidP="0033074A">
            <w:pPr>
              <w:rPr>
                <w:b/>
              </w:rPr>
            </w:pPr>
          </w:p>
        </w:tc>
      </w:tr>
      <w:tr w:rsidR="007E3E99" w14:paraId="13CE33F5" w14:textId="77777777" w:rsidTr="00DB0CFF">
        <w:tc>
          <w:tcPr>
            <w:tcW w:w="5760" w:type="dxa"/>
          </w:tcPr>
          <w:p w14:paraId="6DC6B5A9" w14:textId="7BB2FC40" w:rsidR="007E3E99" w:rsidRPr="0033074A" w:rsidRDefault="007E3E99" w:rsidP="0033074A">
            <w:pPr>
              <w:ind w:left="360"/>
              <w:rPr>
                <w:b/>
              </w:rPr>
            </w:pPr>
            <w:r w:rsidRPr="0033074A">
              <w:rPr>
                <w:i/>
              </w:rPr>
              <w:t xml:space="preserve">What are their </w:t>
            </w:r>
            <w:proofErr w:type="spellStart"/>
            <w:r w:rsidRPr="0033074A">
              <w:rPr>
                <w:i/>
              </w:rPr>
              <w:t>physico</w:t>
            </w:r>
            <w:proofErr w:type="spellEnd"/>
            <w:r w:rsidRPr="0033074A">
              <w:rPr>
                <w:i/>
              </w:rPr>
              <w:t>-chemical properties and pathway-specific toxicity?</w:t>
            </w:r>
          </w:p>
        </w:tc>
        <w:tc>
          <w:tcPr>
            <w:tcW w:w="4320" w:type="dxa"/>
            <w:vMerge/>
          </w:tcPr>
          <w:p w14:paraId="7B33F86C" w14:textId="77777777" w:rsidR="007E3E99" w:rsidRDefault="007E3E99" w:rsidP="0033074A">
            <w:pPr>
              <w:rPr>
                <w:b/>
              </w:rPr>
            </w:pPr>
          </w:p>
        </w:tc>
      </w:tr>
      <w:tr w:rsidR="007E3E99" w14:paraId="2F488702" w14:textId="77777777" w:rsidTr="00DB0CFF">
        <w:tc>
          <w:tcPr>
            <w:tcW w:w="5760" w:type="dxa"/>
          </w:tcPr>
          <w:p w14:paraId="3E874EFC" w14:textId="6EEE6FE4" w:rsidR="007E3E99" w:rsidRPr="0033074A" w:rsidRDefault="007E3E99" w:rsidP="0033074A">
            <w:pPr>
              <w:ind w:left="360"/>
              <w:rPr>
                <w:b/>
              </w:rPr>
            </w:pPr>
            <w:r w:rsidRPr="0033074A">
              <w:rPr>
                <w:i/>
              </w:rPr>
              <w:t>Is there sufficient data for the substances involved?</w:t>
            </w:r>
          </w:p>
        </w:tc>
        <w:tc>
          <w:tcPr>
            <w:tcW w:w="4320" w:type="dxa"/>
            <w:vMerge/>
          </w:tcPr>
          <w:p w14:paraId="67EDF7CE" w14:textId="77777777" w:rsidR="007E3E99" w:rsidRDefault="007E3E99" w:rsidP="0033074A">
            <w:pPr>
              <w:rPr>
                <w:b/>
              </w:rPr>
            </w:pPr>
          </w:p>
        </w:tc>
      </w:tr>
      <w:tr w:rsidR="007E3E99" w14:paraId="23767A4B" w14:textId="77777777" w:rsidTr="00DB0CFF">
        <w:tc>
          <w:tcPr>
            <w:tcW w:w="5760" w:type="dxa"/>
          </w:tcPr>
          <w:p w14:paraId="0C702428" w14:textId="5660C8D4" w:rsidR="007E3E99" w:rsidRPr="0033074A" w:rsidRDefault="007E3E99" w:rsidP="0033074A">
            <w:pPr>
              <w:ind w:left="360"/>
              <w:rPr>
                <w:b/>
              </w:rPr>
            </w:pPr>
            <w:r w:rsidRPr="0033074A">
              <w:rPr>
                <w:i/>
              </w:rPr>
              <w:t>What are the time frames for completion?</w:t>
            </w:r>
          </w:p>
        </w:tc>
        <w:tc>
          <w:tcPr>
            <w:tcW w:w="4320" w:type="dxa"/>
            <w:vMerge/>
          </w:tcPr>
          <w:p w14:paraId="4527D07F" w14:textId="77777777" w:rsidR="007E3E99" w:rsidRDefault="007E3E99" w:rsidP="0033074A">
            <w:pPr>
              <w:rPr>
                <w:b/>
              </w:rPr>
            </w:pPr>
          </w:p>
        </w:tc>
      </w:tr>
      <w:tr w:rsidR="0033074A" w14:paraId="2BE09ACE" w14:textId="77777777" w:rsidTr="00DB0CFF">
        <w:tc>
          <w:tcPr>
            <w:tcW w:w="5760" w:type="dxa"/>
          </w:tcPr>
          <w:p w14:paraId="47E053C2" w14:textId="6EF48ED9" w:rsidR="0033074A" w:rsidRDefault="0033074A" w:rsidP="0033074A">
            <w:pPr>
              <w:rPr>
                <w:b/>
              </w:rPr>
            </w:pPr>
            <w:r w:rsidRPr="002A655E">
              <w:rPr>
                <w:b/>
              </w:rPr>
              <w:t>Hazard assessment</w:t>
            </w:r>
          </w:p>
        </w:tc>
        <w:tc>
          <w:tcPr>
            <w:tcW w:w="4320" w:type="dxa"/>
          </w:tcPr>
          <w:p w14:paraId="03FA1412" w14:textId="77777777" w:rsidR="0033074A" w:rsidRDefault="0033074A" w:rsidP="0033074A">
            <w:pPr>
              <w:rPr>
                <w:b/>
              </w:rPr>
            </w:pPr>
          </w:p>
        </w:tc>
      </w:tr>
      <w:tr w:rsidR="0033074A" w14:paraId="6A2C1484" w14:textId="77777777" w:rsidTr="00DB0CFF">
        <w:tc>
          <w:tcPr>
            <w:tcW w:w="5760" w:type="dxa"/>
          </w:tcPr>
          <w:p w14:paraId="629FA760" w14:textId="4E938395" w:rsidR="0033074A" w:rsidRPr="0033074A" w:rsidRDefault="0033074A" w:rsidP="0033074A">
            <w:pPr>
              <w:ind w:left="360"/>
              <w:rPr>
                <w:b/>
              </w:rPr>
            </w:pPr>
            <w:r w:rsidRPr="0033074A">
              <w:rPr>
                <w:i/>
              </w:rPr>
              <w:t>Has there been a thorough review of the latest toxicological information?</w:t>
            </w:r>
          </w:p>
        </w:tc>
        <w:tc>
          <w:tcPr>
            <w:tcW w:w="4320" w:type="dxa"/>
          </w:tcPr>
          <w:p w14:paraId="21E50636" w14:textId="07BE6BD5" w:rsidR="0033074A" w:rsidRPr="00B868F7" w:rsidRDefault="00B868F7" w:rsidP="00D1587D">
            <w:pPr>
              <w:ind w:left="-14"/>
            </w:pPr>
            <w:r w:rsidRPr="00B868F7">
              <w:t xml:space="preserve">Review </w:t>
            </w:r>
            <w:r>
              <w:t xml:space="preserve">currency of toxicological data against on-line data sources, </w:t>
            </w:r>
            <w:proofErr w:type="gramStart"/>
            <w:r>
              <w:t>e.g.</w:t>
            </w:r>
            <w:proofErr w:type="gramEnd"/>
            <w:r>
              <w:t xml:space="preserve"> WHO, ATSDR, RIVM, EA, US EPA.</w:t>
            </w:r>
          </w:p>
        </w:tc>
      </w:tr>
      <w:tr w:rsidR="0033074A" w14:paraId="61D5D730" w14:textId="77777777" w:rsidTr="00DB0CFF">
        <w:tc>
          <w:tcPr>
            <w:tcW w:w="5760" w:type="dxa"/>
          </w:tcPr>
          <w:p w14:paraId="241FA2C7" w14:textId="2EC82BE8" w:rsidR="0033074A" w:rsidRPr="0033074A" w:rsidRDefault="0033074A" w:rsidP="0033074A">
            <w:pPr>
              <w:ind w:left="360"/>
              <w:rPr>
                <w:b/>
              </w:rPr>
            </w:pPr>
            <w:r w:rsidRPr="0033074A">
              <w:rPr>
                <w:i/>
              </w:rPr>
              <w:t>Has the review used data consistent with the enHealth hierarchy of literature sources?</w:t>
            </w:r>
          </w:p>
        </w:tc>
        <w:tc>
          <w:tcPr>
            <w:tcW w:w="4320" w:type="dxa"/>
          </w:tcPr>
          <w:p w14:paraId="6CB47412" w14:textId="2544A9F3" w:rsidR="0033074A" w:rsidRPr="00B868F7" w:rsidRDefault="00B868F7" w:rsidP="00B868F7">
            <w:r w:rsidRPr="00B868F7">
              <w:t xml:space="preserve">See enHealth, </w:t>
            </w:r>
            <w:r>
              <w:t>(</w:t>
            </w:r>
            <w:r w:rsidRPr="00B868F7">
              <w:t>2012a)</w:t>
            </w:r>
            <w:r>
              <w:t>.</w:t>
            </w:r>
          </w:p>
        </w:tc>
      </w:tr>
      <w:tr w:rsidR="003D07A0" w14:paraId="369C92EB" w14:textId="77777777" w:rsidTr="00DB0CFF">
        <w:tc>
          <w:tcPr>
            <w:tcW w:w="5760" w:type="dxa"/>
          </w:tcPr>
          <w:p w14:paraId="3173400A" w14:textId="1F9FF720" w:rsidR="003D07A0" w:rsidRPr="0033074A" w:rsidRDefault="003D07A0" w:rsidP="0033074A">
            <w:pPr>
              <w:ind w:left="360"/>
              <w:rPr>
                <w:b/>
              </w:rPr>
            </w:pPr>
            <w:r w:rsidRPr="0033074A">
              <w:rPr>
                <w:i/>
              </w:rPr>
              <w:t>If regulatory agency TRVs are used, how old is the toxicological data that have been used to derive that TRV?</w:t>
            </w:r>
          </w:p>
        </w:tc>
        <w:tc>
          <w:tcPr>
            <w:tcW w:w="4320" w:type="dxa"/>
            <w:vMerge w:val="restart"/>
          </w:tcPr>
          <w:p w14:paraId="2D6C80F9" w14:textId="1579F796" w:rsidR="003D07A0" w:rsidRPr="00B868F7" w:rsidRDefault="003D07A0" w:rsidP="00B868F7">
            <w:r>
              <w:t xml:space="preserve">Review currency of guidelines against on-line data sources. </w:t>
            </w:r>
            <w:proofErr w:type="gramStart"/>
            <w:r>
              <w:t>e.g.</w:t>
            </w:r>
            <w:proofErr w:type="gramEnd"/>
            <w:r>
              <w:t xml:space="preserve"> WHO, ATSDR, RIVM, EA, US EPA.</w:t>
            </w:r>
          </w:p>
        </w:tc>
      </w:tr>
      <w:tr w:rsidR="003D07A0" w14:paraId="279F1ECF" w14:textId="77777777" w:rsidTr="00DB0CFF">
        <w:tc>
          <w:tcPr>
            <w:tcW w:w="5760" w:type="dxa"/>
          </w:tcPr>
          <w:p w14:paraId="1A4670A2" w14:textId="32994B4D" w:rsidR="003D07A0" w:rsidRPr="0033074A" w:rsidRDefault="003D07A0" w:rsidP="0033074A">
            <w:pPr>
              <w:ind w:left="360"/>
              <w:rPr>
                <w:b/>
              </w:rPr>
            </w:pPr>
            <w:r w:rsidRPr="0033074A">
              <w:rPr>
                <w:i/>
              </w:rPr>
              <w:t>Has the toxicological data been considered relevant to the population of interest?</w:t>
            </w:r>
          </w:p>
        </w:tc>
        <w:tc>
          <w:tcPr>
            <w:tcW w:w="4320" w:type="dxa"/>
            <w:vMerge/>
          </w:tcPr>
          <w:p w14:paraId="1B5BB0EC" w14:textId="77777777" w:rsidR="003D07A0" w:rsidRPr="00B868F7" w:rsidRDefault="003D07A0" w:rsidP="00B868F7"/>
        </w:tc>
      </w:tr>
      <w:tr w:rsidR="0033074A" w14:paraId="1254EFEE" w14:textId="77777777" w:rsidTr="00DB0CFF">
        <w:tc>
          <w:tcPr>
            <w:tcW w:w="5760" w:type="dxa"/>
          </w:tcPr>
          <w:p w14:paraId="656BB99D" w14:textId="0AA9A076" w:rsidR="0033074A" w:rsidRPr="0033074A" w:rsidRDefault="0033074A" w:rsidP="0033074A">
            <w:pPr>
              <w:ind w:left="360"/>
              <w:rPr>
                <w:b/>
              </w:rPr>
            </w:pPr>
            <w:r w:rsidRPr="0033074A">
              <w:rPr>
                <w:i/>
              </w:rPr>
              <w:t>Is there a population or sub-population region-specific sensitivity that needs to be considered?</w:t>
            </w:r>
          </w:p>
        </w:tc>
        <w:tc>
          <w:tcPr>
            <w:tcW w:w="4320" w:type="dxa"/>
          </w:tcPr>
          <w:p w14:paraId="6DD380F3" w14:textId="4BF1C5E8" w:rsidR="0033074A" w:rsidRDefault="003D07A0" w:rsidP="00B868F7">
            <w:r>
              <w:t>Review on-line local demographic data from Australian Bureau of Statistics</w:t>
            </w:r>
            <w:r w:rsidR="00566AED">
              <w:t xml:space="preserve"> (ABS)</w:t>
            </w:r>
            <w:r>
              <w:t xml:space="preserve"> or related publications and/or state health agency survey data.</w:t>
            </w:r>
          </w:p>
          <w:p w14:paraId="70BCB411" w14:textId="0975BD5B" w:rsidR="003D07A0" w:rsidRPr="00B868F7" w:rsidRDefault="003D07A0" w:rsidP="00B868F7">
            <w:r>
              <w:t xml:space="preserve">Review COPC toxicology from current on-line data sources, </w:t>
            </w:r>
            <w:proofErr w:type="gramStart"/>
            <w:r>
              <w:t>e.g.</w:t>
            </w:r>
            <w:proofErr w:type="gramEnd"/>
            <w:r>
              <w:t xml:space="preserve"> WHO, ATSDR, RIVM, EA, US EPA.</w:t>
            </w:r>
          </w:p>
        </w:tc>
      </w:tr>
      <w:tr w:rsidR="009E107C" w14:paraId="35D535CE" w14:textId="77777777" w:rsidTr="00DB0CFF">
        <w:tc>
          <w:tcPr>
            <w:tcW w:w="5760" w:type="dxa"/>
          </w:tcPr>
          <w:p w14:paraId="378CF112" w14:textId="6D780BCE" w:rsidR="009E107C" w:rsidRPr="0033074A" w:rsidRDefault="009E107C" w:rsidP="0033074A">
            <w:pPr>
              <w:ind w:left="360"/>
              <w:rPr>
                <w:i/>
              </w:rPr>
            </w:pPr>
            <w:r w:rsidRPr="0033074A">
              <w:rPr>
                <w:i/>
              </w:rPr>
              <w:t>Are the exposure estimations or measurements aligned with the toxicological dose response time frames?</w:t>
            </w:r>
          </w:p>
        </w:tc>
        <w:tc>
          <w:tcPr>
            <w:tcW w:w="4320" w:type="dxa"/>
            <w:vMerge w:val="restart"/>
          </w:tcPr>
          <w:p w14:paraId="65D97345" w14:textId="77777777" w:rsidR="009E107C" w:rsidRDefault="009E107C" w:rsidP="00B868F7">
            <w:r w:rsidRPr="00B868F7">
              <w:t xml:space="preserve">Review </w:t>
            </w:r>
            <w:r>
              <w:t xml:space="preserve">current toxicological data from on-line data sources, </w:t>
            </w:r>
            <w:proofErr w:type="gramStart"/>
            <w:r>
              <w:t>e.g.</w:t>
            </w:r>
            <w:proofErr w:type="gramEnd"/>
            <w:r>
              <w:t xml:space="preserve"> WHO, ATSDR, RIVM, EA, US EPA.</w:t>
            </w:r>
          </w:p>
          <w:p w14:paraId="7C130E27" w14:textId="77777777" w:rsidR="009E107C" w:rsidRDefault="009E107C" w:rsidP="00B868F7">
            <w:r>
              <w:t xml:space="preserve">Review local population health data and </w:t>
            </w:r>
            <w:proofErr w:type="spellStart"/>
            <w:r>
              <w:t>behaviours</w:t>
            </w:r>
            <w:proofErr w:type="spellEnd"/>
            <w:r>
              <w:t xml:space="preserve"> relevant to these populations </w:t>
            </w:r>
            <w:r w:rsidR="00566AED">
              <w:t>including local environmental health conditions.</w:t>
            </w:r>
          </w:p>
          <w:p w14:paraId="03DBB0D4" w14:textId="77777777" w:rsidR="00566AED" w:rsidRDefault="00566AED" w:rsidP="00B868F7">
            <w:r>
              <w:t>Refer enHealth (2012b) and ABS on-line data on population residence times.</w:t>
            </w:r>
          </w:p>
          <w:p w14:paraId="3509036D" w14:textId="13BF6F52" w:rsidR="00990D1D" w:rsidRPr="00B868F7" w:rsidRDefault="00990D1D" w:rsidP="00B868F7">
            <w:r>
              <w:t>Literature search on Web of Science or equivalent.</w:t>
            </w:r>
          </w:p>
        </w:tc>
      </w:tr>
      <w:tr w:rsidR="009E107C" w14:paraId="0CA4CC8F" w14:textId="77777777" w:rsidTr="00DB0CFF">
        <w:tc>
          <w:tcPr>
            <w:tcW w:w="5760" w:type="dxa"/>
          </w:tcPr>
          <w:p w14:paraId="1DA386BD" w14:textId="3C14F715" w:rsidR="009E107C" w:rsidRPr="0033074A" w:rsidRDefault="009E107C" w:rsidP="00DB0CFF">
            <w:pPr>
              <w:ind w:left="360"/>
              <w:rPr>
                <w:b/>
              </w:rPr>
            </w:pPr>
            <w:r w:rsidRPr="0033074A">
              <w:rPr>
                <w:i/>
              </w:rPr>
              <w:t>What is the best approach to data interpolation or extrapolation for exposure durations?</w:t>
            </w:r>
          </w:p>
        </w:tc>
        <w:tc>
          <w:tcPr>
            <w:tcW w:w="4320" w:type="dxa"/>
            <w:vMerge/>
          </w:tcPr>
          <w:p w14:paraId="2574CB37" w14:textId="4AD3A87B" w:rsidR="009E107C" w:rsidRPr="00B868F7" w:rsidRDefault="009E107C" w:rsidP="00B868F7"/>
        </w:tc>
      </w:tr>
      <w:tr w:rsidR="009E107C" w14:paraId="007891ED" w14:textId="77777777" w:rsidTr="00DB0CFF">
        <w:tc>
          <w:tcPr>
            <w:tcW w:w="5760" w:type="dxa"/>
          </w:tcPr>
          <w:p w14:paraId="294839AE" w14:textId="6C028FBB" w:rsidR="009E107C" w:rsidRPr="0033074A" w:rsidRDefault="009E107C" w:rsidP="00A22BE6">
            <w:pPr>
              <w:ind w:left="360"/>
              <w:rPr>
                <w:b/>
              </w:rPr>
            </w:pPr>
            <w:r w:rsidRPr="00DB0CFF">
              <w:rPr>
                <w:i/>
              </w:rPr>
              <w:t>Are peak exposures important?</w:t>
            </w:r>
          </w:p>
        </w:tc>
        <w:tc>
          <w:tcPr>
            <w:tcW w:w="4320" w:type="dxa"/>
            <w:vMerge/>
          </w:tcPr>
          <w:p w14:paraId="52D996BC" w14:textId="77777777" w:rsidR="009E107C" w:rsidRPr="00B868F7" w:rsidRDefault="009E107C" w:rsidP="00B868F7"/>
        </w:tc>
      </w:tr>
      <w:tr w:rsidR="009E107C" w14:paraId="6B75D918" w14:textId="77777777" w:rsidTr="00DB0CFF">
        <w:tc>
          <w:tcPr>
            <w:tcW w:w="5760" w:type="dxa"/>
          </w:tcPr>
          <w:p w14:paraId="2C82EC98" w14:textId="46AAFD07" w:rsidR="009E107C" w:rsidRPr="0033074A" w:rsidRDefault="009E107C" w:rsidP="00A22BE6">
            <w:pPr>
              <w:ind w:left="360"/>
              <w:rPr>
                <w:b/>
              </w:rPr>
            </w:pPr>
            <w:r w:rsidRPr="00DB0CFF">
              <w:rPr>
                <w:i/>
              </w:rPr>
              <w:t>Are exposure assessment durations aligned with the residence time of the affected individual or population?</w:t>
            </w:r>
          </w:p>
        </w:tc>
        <w:tc>
          <w:tcPr>
            <w:tcW w:w="4320" w:type="dxa"/>
            <w:vMerge/>
          </w:tcPr>
          <w:p w14:paraId="35BB3F3D" w14:textId="77777777" w:rsidR="009E107C" w:rsidRPr="00B868F7" w:rsidRDefault="009E107C" w:rsidP="00B868F7"/>
        </w:tc>
      </w:tr>
      <w:tr w:rsidR="009E107C" w14:paraId="27321E02" w14:textId="77777777" w:rsidTr="00DB0CFF">
        <w:tc>
          <w:tcPr>
            <w:tcW w:w="5760" w:type="dxa"/>
          </w:tcPr>
          <w:p w14:paraId="23164C48" w14:textId="27A350DC" w:rsidR="009E107C" w:rsidRDefault="009E107C" w:rsidP="00A22BE6">
            <w:pPr>
              <w:ind w:left="360"/>
              <w:rPr>
                <w:b/>
              </w:rPr>
            </w:pPr>
            <w:r w:rsidRPr="00DB0CFF">
              <w:rPr>
                <w:i/>
              </w:rPr>
              <w:t xml:space="preserve">Are there population </w:t>
            </w:r>
            <w:proofErr w:type="spellStart"/>
            <w:r w:rsidRPr="00DB0CFF">
              <w:rPr>
                <w:i/>
              </w:rPr>
              <w:t>behaviours</w:t>
            </w:r>
            <w:proofErr w:type="spellEnd"/>
            <w:r w:rsidRPr="00DB0CFF">
              <w:rPr>
                <w:i/>
              </w:rPr>
              <w:t xml:space="preserve"> that may potentiate the exposure due to co-exposures?</w:t>
            </w:r>
          </w:p>
        </w:tc>
        <w:tc>
          <w:tcPr>
            <w:tcW w:w="4320" w:type="dxa"/>
            <w:vMerge/>
          </w:tcPr>
          <w:p w14:paraId="297922A0" w14:textId="77777777" w:rsidR="009E107C" w:rsidRPr="00B868F7" w:rsidRDefault="009E107C" w:rsidP="00B868F7"/>
        </w:tc>
      </w:tr>
    </w:tbl>
    <w:p w14:paraId="3D27AC91" w14:textId="77777777" w:rsidR="003D07A0" w:rsidRDefault="003D07A0" w:rsidP="00DB0CFF">
      <w:pPr>
        <w:rPr>
          <w:b/>
        </w:rPr>
        <w:sectPr w:rsidR="003D07A0" w:rsidSect="0033074A">
          <w:pgSz w:w="12240" w:h="15840"/>
          <w:pgMar w:top="1890" w:right="1440" w:bottom="1440" w:left="1440" w:header="720" w:footer="576" w:gutter="0"/>
          <w:cols w:space="720"/>
          <w:docGrid w:linePitch="299"/>
        </w:sectPr>
      </w:pPr>
    </w:p>
    <w:tbl>
      <w:tblPr>
        <w:tblStyle w:val="TableGrid"/>
        <w:tblW w:w="10080" w:type="dxa"/>
        <w:tblInd w:w="-72" w:type="dxa"/>
        <w:tblLook w:val="04A0" w:firstRow="1" w:lastRow="0" w:firstColumn="1" w:lastColumn="0" w:noHBand="0" w:noVBand="1"/>
      </w:tblPr>
      <w:tblGrid>
        <w:gridCol w:w="5760"/>
        <w:gridCol w:w="4320"/>
      </w:tblGrid>
      <w:tr w:rsidR="00990D1D" w14:paraId="3F3952DD" w14:textId="77777777" w:rsidTr="00990D1D">
        <w:tc>
          <w:tcPr>
            <w:tcW w:w="5760" w:type="dxa"/>
          </w:tcPr>
          <w:p w14:paraId="794A042E" w14:textId="77777777" w:rsidR="00990D1D" w:rsidRPr="00A22BE6" w:rsidRDefault="00990D1D" w:rsidP="007B39F7">
            <w:pPr>
              <w:ind w:left="360"/>
              <w:rPr>
                <w:i/>
              </w:rPr>
            </w:pPr>
            <w:r>
              <w:rPr>
                <w:b/>
              </w:rPr>
              <w:lastRenderedPageBreak/>
              <w:t>Question</w:t>
            </w:r>
          </w:p>
        </w:tc>
        <w:tc>
          <w:tcPr>
            <w:tcW w:w="4320" w:type="dxa"/>
          </w:tcPr>
          <w:p w14:paraId="278F4AE7" w14:textId="7F061FF9" w:rsidR="00990D1D" w:rsidRDefault="00990D1D" w:rsidP="007B39F7">
            <w:pPr>
              <w:rPr>
                <w:b/>
              </w:rPr>
            </w:pPr>
            <w:r>
              <w:rPr>
                <w:b/>
              </w:rPr>
              <w:t>Source of information/Guidance</w:t>
            </w:r>
          </w:p>
        </w:tc>
      </w:tr>
      <w:tr w:rsidR="00DB0CFF" w14:paraId="12215478" w14:textId="77777777" w:rsidTr="00990D1D">
        <w:tc>
          <w:tcPr>
            <w:tcW w:w="5760" w:type="dxa"/>
          </w:tcPr>
          <w:p w14:paraId="2F5704C1" w14:textId="0B5B0050" w:rsidR="00DB0CFF" w:rsidRDefault="00DB0CFF" w:rsidP="00DB0CFF">
            <w:pPr>
              <w:rPr>
                <w:b/>
              </w:rPr>
            </w:pPr>
            <w:r>
              <w:rPr>
                <w:b/>
              </w:rPr>
              <w:t>Exposure</w:t>
            </w:r>
            <w:r w:rsidRPr="002A655E">
              <w:rPr>
                <w:b/>
              </w:rPr>
              <w:t xml:space="preserve"> assessment</w:t>
            </w:r>
          </w:p>
        </w:tc>
        <w:tc>
          <w:tcPr>
            <w:tcW w:w="4320" w:type="dxa"/>
          </w:tcPr>
          <w:p w14:paraId="385E3B9A" w14:textId="77777777" w:rsidR="00DB0CFF" w:rsidRPr="00B868F7" w:rsidRDefault="00DB0CFF" w:rsidP="00B868F7"/>
        </w:tc>
      </w:tr>
      <w:tr w:rsidR="00990D1D" w14:paraId="38E54D05" w14:textId="77777777" w:rsidTr="00990D1D">
        <w:tc>
          <w:tcPr>
            <w:tcW w:w="5760" w:type="dxa"/>
          </w:tcPr>
          <w:p w14:paraId="23B24B0C" w14:textId="4A60D091" w:rsidR="00990D1D" w:rsidRDefault="00990D1D" w:rsidP="00A22BE6">
            <w:pPr>
              <w:ind w:left="360"/>
              <w:rPr>
                <w:b/>
              </w:rPr>
            </w:pPr>
            <w:r w:rsidRPr="00DB0CFF">
              <w:rPr>
                <w:i/>
              </w:rPr>
              <w:t xml:space="preserve">Have the </w:t>
            </w:r>
            <w:proofErr w:type="spellStart"/>
            <w:r w:rsidRPr="00DB0CFF">
              <w:rPr>
                <w:i/>
              </w:rPr>
              <w:t>physico</w:t>
            </w:r>
            <w:proofErr w:type="spellEnd"/>
            <w:r w:rsidRPr="00DB0CFF">
              <w:rPr>
                <w:i/>
              </w:rPr>
              <w:t>-chemical and concurrent toxicological properties been evaluated for exposure assessment?</w:t>
            </w:r>
          </w:p>
        </w:tc>
        <w:tc>
          <w:tcPr>
            <w:tcW w:w="4320" w:type="dxa"/>
            <w:vMerge w:val="restart"/>
          </w:tcPr>
          <w:p w14:paraId="0AACD491" w14:textId="77777777" w:rsidR="00990D1D" w:rsidRDefault="00990D1D" w:rsidP="00B868F7">
            <w:r>
              <w:t xml:space="preserve">Refer on-line </w:t>
            </w:r>
            <w:proofErr w:type="spellStart"/>
            <w:r>
              <w:t>physico</w:t>
            </w:r>
            <w:proofErr w:type="spellEnd"/>
            <w:r>
              <w:t xml:space="preserve">-chemical databases, </w:t>
            </w:r>
            <w:proofErr w:type="gramStart"/>
            <w:r>
              <w:t>e.g.</w:t>
            </w:r>
            <w:proofErr w:type="gramEnd"/>
            <w:r>
              <w:t xml:space="preserve"> US EPA sources.</w:t>
            </w:r>
          </w:p>
          <w:p w14:paraId="08AF5092" w14:textId="77777777" w:rsidR="00990D1D" w:rsidRDefault="00990D1D" w:rsidP="00B868F7">
            <w:r>
              <w:t>Literature search on Web of Science or equivalent.</w:t>
            </w:r>
          </w:p>
          <w:p w14:paraId="09F5E1D5" w14:textId="1FC1FDFA" w:rsidR="00990D1D" w:rsidRPr="00B868F7" w:rsidRDefault="00990D1D" w:rsidP="00B868F7">
            <w:r>
              <w:t>Review site-specific analytical data and trend analyses.</w:t>
            </w:r>
          </w:p>
        </w:tc>
      </w:tr>
      <w:tr w:rsidR="00990D1D" w14:paraId="024F107B" w14:textId="77777777" w:rsidTr="00990D1D">
        <w:tc>
          <w:tcPr>
            <w:tcW w:w="5760" w:type="dxa"/>
          </w:tcPr>
          <w:p w14:paraId="3E798C99" w14:textId="0274B9CF" w:rsidR="00990D1D" w:rsidRDefault="00990D1D" w:rsidP="00A22BE6">
            <w:pPr>
              <w:ind w:left="360"/>
              <w:rPr>
                <w:b/>
              </w:rPr>
            </w:pPr>
            <w:r w:rsidRPr="00A22BE6">
              <w:rPr>
                <w:i/>
              </w:rPr>
              <w:t>Is the substance subject to degradation and how?</w:t>
            </w:r>
          </w:p>
        </w:tc>
        <w:tc>
          <w:tcPr>
            <w:tcW w:w="4320" w:type="dxa"/>
            <w:vMerge/>
          </w:tcPr>
          <w:p w14:paraId="5813952F" w14:textId="77777777" w:rsidR="00990D1D" w:rsidRPr="00B868F7" w:rsidRDefault="00990D1D" w:rsidP="00B868F7"/>
        </w:tc>
      </w:tr>
      <w:tr w:rsidR="00990D1D" w14:paraId="473D6CC3" w14:textId="77777777" w:rsidTr="00990D1D">
        <w:tc>
          <w:tcPr>
            <w:tcW w:w="5760" w:type="dxa"/>
          </w:tcPr>
          <w:p w14:paraId="2E380172" w14:textId="53D6E8D1" w:rsidR="00990D1D" w:rsidRDefault="00990D1D" w:rsidP="00A22BE6">
            <w:pPr>
              <w:ind w:left="360"/>
              <w:rPr>
                <w:b/>
              </w:rPr>
            </w:pPr>
            <w:r w:rsidRPr="00A22BE6">
              <w:rPr>
                <w:i/>
              </w:rPr>
              <w:t xml:space="preserve">What are the breakdown products of degradation in soil, </w:t>
            </w:r>
            <w:proofErr w:type="gramStart"/>
            <w:r w:rsidRPr="00A22BE6">
              <w:rPr>
                <w:i/>
              </w:rPr>
              <w:t>air</w:t>
            </w:r>
            <w:proofErr w:type="gramEnd"/>
            <w:r w:rsidRPr="00A22BE6">
              <w:rPr>
                <w:i/>
              </w:rPr>
              <w:t xml:space="preserve"> or water?</w:t>
            </w:r>
          </w:p>
        </w:tc>
        <w:tc>
          <w:tcPr>
            <w:tcW w:w="4320" w:type="dxa"/>
            <w:vMerge/>
          </w:tcPr>
          <w:p w14:paraId="359C4630" w14:textId="77777777" w:rsidR="00990D1D" w:rsidRPr="00B868F7" w:rsidRDefault="00990D1D" w:rsidP="00B868F7"/>
        </w:tc>
      </w:tr>
      <w:tr w:rsidR="00990D1D" w14:paraId="63DCC01F" w14:textId="77777777" w:rsidTr="00990D1D">
        <w:tc>
          <w:tcPr>
            <w:tcW w:w="5760" w:type="dxa"/>
          </w:tcPr>
          <w:p w14:paraId="1A826011" w14:textId="01545E94" w:rsidR="00990D1D" w:rsidRDefault="00990D1D" w:rsidP="00A22BE6">
            <w:pPr>
              <w:ind w:left="360"/>
              <w:rPr>
                <w:b/>
              </w:rPr>
            </w:pPr>
            <w:r w:rsidRPr="00A22BE6">
              <w:rPr>
                <w:i/>
              </w:rPr>
              <w:t>Will measurement or modelling (fate and transport/inhalation exposure model) approaches be used?</w:t>
            </w:r>
          </w:p>
        </w:tc>
        <w:tc>
          <w:tcPr>
            <w:tcW w:w="4320" w:type="dxa"/>
            <w:vMerge w:val="restart"/>
          </w:tcPr>
          <w:p w14:paraId="7FBFA2BD" w14:textId="77777777" w:rsidR="00990D1D" w:rsidRDefault="00990D1D" w:rsidP="00B868F7">
            <w:r>
              <w:t xml:space="preserve">See </w:t>
            </w:r>
          </w:p>
          <w:p w14:paraId="6430C47B" w14:textId="35D9DFBF" w:rsidR="000D5A28" w:rsidRDefault="000D5A28" w:rsidP="00B868F7">
            <w:r>
              <w:t>Baker, (2009</w:t>
            </w:r>
            <w:proofErr w:type="gramStart"/>
            <w:r>
              <w:t>);</w:t>
            </w:r>
            <w:proofErr w:type="gramEnd"/>
          </w:p>
          <w:p w14:paraId="75690266" w14:textId="0AFB77A7" w:rsidR="000D5A28" w:rsidRDefault="000D5A28" w:rsidP="00B868F7">
            <w:r>
              <w:t>DHHS, (2008b</w:t>
            </w:r>
            <w:proofErr w:type="gramStart"/>
            <w:r>
              <w:t>);</w:t>
            </w:r>
            <w:proofErr w:type="gramEnd"/>
          </w:p>
          <w:p w14:paraId="7AA00E86" w14:textId="12E09ED1" w:rsidR="000D5A28" w:rsidRDefault="000D5A28" w:rsidP="00B868F7">
            <w:r>
              <w:t>DTSC, (2015</w:t>
            </w:r>
            <w:proofErr w:type="gramStart"/>
            <w:r>
              <w:t>);</w:t>
            </w:r>
            <w:proofErr w:type="gramEnd"/>
          </w:p>
          <w:p w14:paraId="43DDB71A" w14:textId="0A5605F8" w:rsidR="000D5A28" w:rsidRDefault="000D5A28" w:rsidP="00B868F7">
            <w:proofErr w:type="spellStart"/>
            <w:r>
              <w:t>Grassman</w:t>
            </w:r>
            <w:proofErr w:type="spellEnd"/>
            <w:r>
              <w:t xml:space="preserve"> et al., (1998</w:t>
            </w:r>
            <w:proofErr w:type="gramStart"/>
            <w:r>
              <w:t>);</w:t>
            </w:r>
            <w:proofErr w:type="gramEnd"/>
          </w:p>
          <w:p w14:paraId="212FB983" w14:textId="13948F50" w:rsidR="000D5A28" w:rsidRDefault="000D5A28" w:rsidP="00B868F7">
            <w:r>
              <w:t>ITRC, (2014)</w:t>
            </w:r>
          </w:p>
          <w:p w14:paraId="5559FFEB" w14:textId="1535968F" w:rsidR="00990D1D" w:rsidRDefault="00990D1D" w:rsidP="00B868F7">
            <w:r>
              <w:t>NEPC (1999, as amended 2013</w:t>
            </w:r>
            <w:proofErr w:type="gramStart"/>
            <w:r>
              <w:t>);</w:t>
            </w:r>
            <w:proofErr w:type="gramEnd"/>
            <w:r>
              <w:t xml:space="preserve"> </w:t>
            </w:r>
          </w:p>
          <w:p w14:paraId="6106298A" w14:textId="77777777" w:rsidR="00990D1D" w:rsidRDefault="00990D1D" w:rsidP="00B868F7">
            <w:r>
              <w:t>NSW DECCW (2010</w:t>
            </w:r>
            <w:proofErr w:type="gramStart"/>
            <w:r>
              <w:t>);</w:t>
            </w:r>
            <w:proofErr w:type="gramEnd"/>
            <w:r>
              <w:t xml:space="preserve"> </w:t>
            </w:r>
          </w:p>
          <w:p w14:paraId="1E7174CC" w14:textId="77777777" w:rsidR="000D5A28" w:rsidRDefault="00990D1D" w:rsidP="00B868F7">
            <w:r>
              <w:t>NSW EPA (2012; 2014</w:t>
            </w:r>
            <w:proofErr w:type="gramStart"/>
            <w:r>
              <w:t>);</w:t>
            </w:r>
            <w:proofErr w:type="gramEnd"/>
            <w:r>
              <w:t xml:space="preserve"> </w:t>
            </w:r>
          </w:p>
          <w:p w14:paraId="354AC471" w14:textId="77777777" w:rsidR="000D5A28" w:rsidRDefault="000D5A28" w:rsidP="00B868F7">
            <w:r>
              <w:t>US DoD (2009</w:t>
            </w:r>
            <w:proofErr w:type="gramStart"/>
            <w:r>
              <w:t>);</w:t>
            </w:r>
            <w:proofErr w:type="gramEnd"/>
          </w:p>
          <w:p w14:paraId="23A3997D" w14:textId="2D33DDA2" w:rsidR="000D5A28" w:rsidRDefault="000D5A28" w:rsidP="00B868F7">
            <w:r>
              <w:t xml:space="preserve">US EPA (2015 a, b, </w:t>
            </w:r>
            <w:r w:rsidR="000727A6">
              <w:t>c).</w:t>
            </w:r>
          </w:p>
          <w:p w14:paraId="1972664F" w14:textId="6D885EA4" w:rsidR="00990D1D" w:rsidRDefault="00990D1D" w:rsidP="00B868F7">
            <w:r>
              <w:t xml:space="preserve"> </w:t>
            </w:r>
          </w:p>
          <w:p w14:paraId="05CFDA8F" w14:textId="77777777" w:rsidR="00990D1D" w:rsidRDefault="000D5A28" w:rsidP="000D5A28">
            <w:r>
              <w:t xml:space="preserve">Consider </w:t>
            </w:r>
            <w:r w:rsidR="00990D1D">
              <w:t>multiple line of evidence</w:t>
            </w:r>
            <w:r>
              <w:t>.</w:t>
            </w:r>
          </w:p>
          <w:p w14:paraId="1FBED1F0" w14:textId="77777777" w:rsidR="000D5A28" w:rsidRDefault="000D5A28" w:rsidP="000D5A28"/>
          <w:p w14:paraId="3DB53ACB" w14:textId="3279A151" w:rsidR="000D5A28" w:rsidRDefault="000D5A28" w:rsidP="000D5A28">
            <w:r>
              <w:t>Review site-specific- and region-specific factors</w:t>
            </w:r>
            <w:r w:rsidR="000727A6">
              <w:t>.</w:t>
            </w:r>
          </w:p>
          <w:p w14:paraId="7F2E6548" w14:textId="77777777" w:rsidR="000727A6" w:rsidRDefault="000727A6" w:rsidP="000D5A28"/>
          <w:p w14:paraId="26D2F032" w14:textId="77777777" w:rsidR="000727A6" w:rsidRDefault="000727A6" w:rsidP="000727A6">
            <w:r>
              <w:t>Literature search on Web of Science or equivalent.</w:t>
            </w:r>
          </w:p>
          <w:p w14:paraId="2E908320" w14:textId="77777777" w:rsidR="000727A6" w:rsidRDefault="000727A6" w:rsidP="000D5A28"/>
          <w:p w14:paraId="16AC1CE2" w14:textId="5258AA77" w:rsidR="000727A6" w:rsidRPr="00B868F7" w:rsidRDefault="000727A6" w:rsidP="000D5A28"/>
        </w:tc>
      </w:tr>
      <w:tr w:rsidR="00990D1D" w14:paraId="5EB73662" w14:textId="77777777" w:rsidTr="00990D1D">
        <w:tc>
          <w:tcPr>
            <w:tcW w:w="5760" w:type="dxa"/>
          </w:tcPr>
          <w:p w14:paraId="26C3640B" w14:textId="624274C5" w:rsidR="00990D1D" w:rsidRDefault="00990D1D" w:rsidP="00A22BE6">
            <w:pPr>
              <w:ind w:left="360"/>
              <w:rPr>
                <w:b/>
              </w:rPr>
            </w:pPr>
            <w:r w:rsidRPr="00A22BE6">
              <w:rPr>
                <w:i/>
              </w:rPr>
              <w:t>What is the justification for the method employed?</w:t>
            </w:r>
          </w:p>
        </w:tc>
        <w:tc>
          <w:tcPr>
            <w:tcW w:w="4320" w:type="dxa"/>
            <w:vMerge/>
          </w:tcPr>
          <w:p w14:paraId="30E1BA5C" w14:textId="77777777" w:rsidR="00990D1D" w:rsidRDefault="00990D1D" w:rsidP="00A22BE6">
            <w:pPr>
              <w:rPr>
                <w:b/>
              </w:rPr>
            </w:pPr>
          </w:p>
        </w:tc>
      </w:tr>
      <w:tr w:rsidR="00990D1D" w14:paraId="0D0F50F4" w14:textId="77777777" w:rsidTr="00990D1D">
        <w:tc>
          <w:tcPr>
            <w:tcW w:w="5760" w:type="dxa"/>
          </w:tcPr>
          <w:p w14:paraId="35AE3B13" w14:textId="15E7153B" w:rsidR="00990D1D" w:rsidRDefault="00990D1D" w:rsidP="00A22BE6">
            <w:pPr>
              <w:ind w:left="360"/>
              <w:rPr>
                <w:b/>
              </w:rPr>
            </w:pPr>
            <w:r w:rsidRPr="00A22BE6">
              <w:rPr>
                <w:i/>
              </w:rPr>
              <w:t>If measurement, can the sampling methodology (in space and time) be justified?</w:t>
            </w:r>
          </w:p>
        </w:tc>
        <w:tc>
          <w:tcPr>
            <w:tcW w:w="4320" w:type="dxa"/>
            <w:vMerge/>
          </w:tcPr>
          <w:p w14:paraId="781D09D6" w14:textId="77777777" w:rsidR="00990D1D" w:rsidRDefault="00990D1D" w:rsidP="00A22BE6">
            <w:pPr>
              <w:rPr>
                <w:b/>
              </w:rPr>
            </w:pPr>
          </w:p>
        </w:tc>
      </w:tr>
      <w:tr w:rsidR="00990D1D" w14:paraId="7B4A57FE" w14:textId="77777777" w:rsidTr="00990D1D">
        <w:tc>
          <w:tcPr>
            <w:tcW w:w="5760" w:type="dxa"/>
          </w:tcPr>
          <w:p w14:paraId="1FA15E02" w14:textId="239B6A8F" w:rsidR="00990D1D" w:rsidRDefault="00990D1D" w:rsidP="00A22BE6">
            <w:pPr>
              <w:ind w:left="360"/>
              <w:rPr>
                <w:b/>
              </w:rPr>
            </w:pPr>
            <w:r w:rsidRPr="00A22BE6">
              <w:rPr>
                <w:i/>
              </w:rPr>
              <w:t>Have the data quality objectives in measurement been detailed and met?</w:t>
            </w:r>
          </w:p>
        </w:tc>
        <w:tc>
          <w:tcPr>
            <w:tcW w:w="4320" w:type="dxa"/>
            <w:vMerge/>
          </w:tcPr>
          <w:p w14:paraId="0CA04381" w14:textId="77777777" w:rsidR="00990D1D" w:rsidRDefault="00990D1D" w:rsidP="00A22BE6">
            <w:pPr>
              <w:rPr>
                <w:b/>
              </w:rPr>
            </w:pPr>
          </w:p>
        </w:tc>
      </w:tr>
      <w:tr w:rsidR="00990D1D" w14:paraId="26423A6D" w14:textId="77777777" w:rsidTr="00990D1D">
        <w:tc>
          <w:tcPr>
            <w:tcW w:w="5760" w:type="dxa"/>
          </w:tcPr>
          <w:p w14:paraId="09916B06" w14:textId="62CA9CED" w:rsidR="00990D1D" w:rsidRPr="00A22BE6" w:rsidRDefault="00990D1D" w:rsidP="00E63A45">
            <w:pPr>
              <w:ind w:left="360"/>
              <w:rPr>
                <w:i/>
              </w:rPr>
            </w:pPr>
            <w:r w:rsidRPr="00E63A45">
              <w:rPr>
                <w:i/>
              </w:rPr>
              <w:t>If modelling, has the uncertainty and variability been considered in input parameters – both for environmental data and exposure data?</w:t>
            </w:r>
          </w:p>
        </w:tc>
        <w:tc>
          <w:tcPr>
            <w:tcW w:w="4320" w:type="dxa"/>
            <w:vMerge/>
          </w:tcPr>
          <w:p w14:paraId="2AC36D3B" w14:textId="77777777" w:rsidR="00990D1D" w:rsidRDefault="00990D1D" w:rsidP="00A22BE6">
            <w:pPr>
              <w:rPr>
                <w:b/>
              </w:rPr>
            </w:pPr>
          </w:p>
        </w:tc>
      </w:tr>
      <w:tr w:rsidR="00990D1D" w14:paraId="765A13D2" w14:textId="77777777" w:rsidTr="00990D1D">
        <w:tc>
          <w:tcPr>
            <w:tcW w:w="5760" w:type="dxa"/>
          </w:tcPr>
          <w:p w14:paraId="7F5E8C7F" w14:textId="6DEE60AA" w:rsidR="00990D1D" w:rsidRPr="00A22BE6" w:rsidRDefault="00990D1D" w:rsidP="00E63A45">
            <w:pPr>
              <w:ind w:left="360"/>
              <w:rPr>
                <w:i/>
              </w:rPr>
            </w:pPr>
            <w:r w:rsidRPr="00E63A45">
              <w:rPr>
                <w:i/>
              </w:rPr>
              <w:t xml:space="preserve">Has a </w:t>
            </w:r>
            <w:proofErr w:type="gramStart"/>
            <w:r w:rsidRPr="00E63A45">
              <w:rPr>
                <w:i/>
              </w:rPr>
              <w:t>worst case</w:t>
            </w:r>
            <w:proofErr w:type="gramEnd"/>
            <w:r w:rsidRPr="00E63A45">
              <w:rPr>
                <w:i/>
              </w:rPr>
              <w:t xml:space="preserve"> scenario (WCS) been considered in the evaluation?  Is this a plausible setting?  Has a </w:t>
            </w:r>
            <w:proofErr w:type="gramStart"/>
            <w:r w:rsidRPr="00E63A45">
              <w:rPr>
                <w:i/>
              </w:rPr>
              <w:t>best case</w:t>
            </w:r>
            <w:proofErr w:type="gramEnd"/>
            <w:r w:rsidRPr="00E63A45">
              <w:rPr>
                <w:i/>
              </w:rPr>
              <w:t xml:space="preserve"> scenario (BCS) been considered?  What is the variability?</w:t>
            </w:r>
          </w:p>
        </w:tc>
        <w:tc>
          <w:tcPr>
            <w:tcW w:w="4320" w:type="dxa"/>
            <w:vMerge/>
          </w:tcPr>
          <w:p w14:paraId="6940CF35" w14:textId="77777777" w:rsidR="00990D1D" w:rsidRDefault="00990D1D" w:rsidP="00A22BE6">
            <w:pPr>
              <w:rPr>
                <w:b/>
              </w:rPr>
            </w:pPr>
          </w:p>
        </w:tc>
      </w:tr>
      <w:tr w:rsidR="00990D1D" w14:paraId="43F120AD" w14:textId="77777777" w:rsidTr="00990D1D">
        <w:tc>
          <w:tcPr>
            <w:tcW w:w="5760" w:type="dxa"/>
          </w:tcPr>
          <w:p w14:paraId="29314A6F" w14:textId="0A3F2729" w:rsidR="00990D1D" w:rsidRPr="00A22BE6" w:rsidRDefault="00990D1D" w:rsidP="00E63A45">
            <w:pPr>
              <w:ind w:left="360"/>
              <w:rPr>
                <w:i/>
              </w:rPr>
            </w:pPr>
            <w:r w:rsidRPr="00E63A45">
              <w:rPr>
                <w:i/>
              </w:rPr>
              <w:t>If WCS has been evaluated, how does the exposure setting compare with reality, should calculated exposures be deemed unacceptable? What refinement is required?</w:t>
            </w:r>
          </w:p>
        </w:tc>
        <w:tc>
          <w:tcPr>
            <w:tcW w:w="4320" w:type="dxa"/>
            <w:vMerge/>
          </w:tcPr>
          <w:p w14:paraId="63014CEE" w14:textId="77777777" w:rsidR="00990D1D" w:rsidRDefault="00990D1D" w:rsidP="00A22BE6">
            <w:pPr>
              <w:rPr>
                <w:b/>
              </w:rPr>
            </w:pPr>
          </w:p>
        </w:tc>
      </w:tr>
      <w:tr w:rsidR="00990D1D" w14:paraId="1A0429E8" w14:textId="77777777" w:rsidTr="00990D1D">
        <w:tc>
          <w:tcPr>
            <w:tcW w:w="5760" w:type="dxa"/>
          </w:tcPr>
          <w:p w14:paraId="504D702B" w14:textId="2528C4A8" w:rsidR="00990D1D" w:rsidRPr="00A22BE6" w:rsidRDefault="00990D1D" w:rsidP="00E63A45">
            <w:pPr>
              <w:ind w:left="360"/>
              <w:rPr>
                <w:i/>
              </w:rPr>
            </w:pPr>
            <w:r w:rsidRPr="00E63A45">
              <w:rPr>
                <w:i/>
              </w:rPr>
              <w:t>Has a conceptual site model of exposure been considered and the relevant conduits to indoor or confined environments been evaluated?</w:t>
            </w:r>
          </w:p>
        </w:tc>
        <w:tc>
          <w:tcPr>
            <w:tcW w:w="4320" w:type="dxa"/>
            <w:vMerge/>
          </w:tcPr>
          <w:p w14:paraId="45D51144" w14:textId="77777777" w:rsidR="00990D1D" w:rsidRDefault="00990D1D" w:rsidP="00A22BE6">
            <w:pPr>
              <w:rPr>
                <w:b/>
              </w:rPr>
            </w:pPr>
          </w:p>
        </w:tc>
      </w:tr>
      <w:tr w:rsidR="00990D1D" w14:paraId="16F6E46A" w14:textId="77777777" w:rsidTr="00990D1D">
        <w:tc>
          <w:tcPr>
            <w:tcW w:w="5760" w:type="dxa"/>
          </w:tcPr>
          <w:p w14:paraId="2CC878B5" w14:textId="6A5E05D3" w:rsidR="00990D1D" w:rsidRPr="00A22BE6" w:rsidRDefault="00990D1D" w:rsidP="00E63A45">
            <w:pPr>
              <w:ind w:left="360"/>
              <w:rPr>
                <w:i/>
              </w:rPr>
            </w:pPr>
            <w:r w:rsidRPr="00E63A45">
              <w:rPr>
                <w:i/>
              </w:rPr>
              <w:t>What are the changes in exposure over time – diurnal, seasonal?</w:t>
            </w:r>
          </w:p>
        </w:tc>
        <w:tc>
          <w:tcPr>
            <w:tcW w:w="4320" w:type="dxa"/>
            <w:vMerge/>
          </w:tcPr>
          <w:p w14:paraId="21CB7FE9" w14:textId="77777777" w:rsidR="00990D1D" w:rsidRDefault="00990D1D" w:rsidP="00A22BE6">
            <w:pPr>
              <w:rPr>
                <w:b/>
              </w:rPr>
            </w:pPr>
          </w:p>
        </w:tc>
      </w:tr>
      <w:tr w:rsidR="00990D1D" w14:paraId="41D3C8B5" w14:textId="77777777" w:rsidTr="00990D1D">
        <w:tc>
          <w:tcPr>
            <w:tcW w:w="5760" w:type="dxa"/>
          </w:tcPr>
          <w:p w14:paraId="18A57706" w14:textId="3D7F3446" w:rsidR="00990D1D" w:rsidRPr="00A22BE6" w:rsidRDefault="00990D1D" w:rsidP="00E63A45">
            <w:pPr>
              <w:ind w:left="360"/>
              <w:rPr>
                <w:i/>
              </w:rPr>
            </w:pPr>
            <w:r w:rsidRPr="00E63A45">
              <w:rPr>
                <w:i/>
              </w:rPr>
              <w:t>Are there spatial changes in exposure that need to be accounted for?</w:t>
            </w:r>
          </w:p>
        </w:tc>
        <w:tc>
          <w:tcPr>
            <w:tcW w:w="4320" w:type="dxa"/>
            <w:vMerge/>
          </w:tcPr>
          <w:p w14:paraId="1ED3E3B8" w14:textId="77777777" w:rsidR="00990D1D" w:rsidRDefault="00990D1D" w:rsidP="00A22BE6">
            <w:pPr>
              <w:rPr>
                <w:b/>
              </w:rPr>
            </w:pPr>
          </w:p>
        </w:tc>
      </w:tr>
      <w:tr w:rsidR="00A22BE6" w14:paraId="5DFC6C1B" w14:textId="77777777" w:rsidTr="00990D1D">
        <w:tc>
          <w:tcPr>
            <w:tcW w:w="5760" w:type="dxa"/>
          </w:tcPr>
          <w:p w14:paraId="144B3650" w14:textId="6850E62A" w:rsidR="00A22BE6" w:rsidRPr="00A22BE6" w:rsidRDefault="00E63A45" w:rsidP="00E63A45">
            <w:pPr>
              <w:ind w:left="360"/>
              <w:rPr>
                <w:i/>
              </w:rPr>
            </w:pPr>
            <w:r w:rsidRPr="00E63A45">
              <w:rPr>
                <w:i/>
              </w:rPr>
              <w:t>Are there differences between individual personal exposures and those from static monitoring that need to be accounted for?</w:t>
            </w:r>
          </w:p>
        </w:tc>
        <w:tc>
          <w:tcPr>
            <w:tcW w:w="4320" w:type="dxa"/>
          </w:tcPr>
          <w:p w14:paraId="03357F43" w14:textId="067265DA" w:rsidR="00A22BE6" w:rsidRDefault="000727A6" w:rsidP="00A22BE6">
            <w:r>
              <w:t>Review site-specific and local environmental health data.</w:t>
            </w:r>
          </w:p>
          <w:p w14:paraId="6DBA057A" w14:textId="7EDD26DB" w:rsidR="000727A6" w:rsidRDefault="000727A6" w:rsidP="00A22BE6">
            <w:r>
              <w:t>Literature search on Web of Science or equivalent.</w:t>
            </w:r>
          </w:p>
          <w:p w14:paraId="246F5429" w14:textId="00F99E2B" w:rsidR="000727A6" w:rsidRPr="000D5A28" w:rsidRDefault="000727A6" w:rsidP="00A22BE6"/>
        </w:tc>
      </w:tr>
      <w:tr w:rsidR="00A22BE6" w14:paraId="1F2C0C0A" w14:textId="77777777" w:rsidTr="00990D1D">
        <w:tc>
          <w:tcPr>
            <w:tcW w:w="5760" w:type="dxa"/>
          </w:tcPr>
          <w:p w14:paraId="37CC1F07" w14:textId="13C845C1" w:rsidR="00A22BE6" w:rsidRPr="00A22BE6" w:rsidRDefault="00E63A45" w:rsidP="00E63A45">
            <w:pPr>
              <w:ind w:left="360"/>
              <w:rPr>
                <w:i/>
              </w:rPr>
            </w:pPr>
            <w:r w:rsidRPr="00E63A45">
              <w:rPr>
                <w:i/>
              </w:rPr>
              <w:t>How long will the population of interest reside on the contaminated site or surrounds?</w:t>
            </w:r>
          </w:p>
        </w:tc>
        <w:tc>
          <w:tcPr>
            <w:tcW w:w="4320" w:type="dxa"/>
          </w:tcPr>
          <w:p w14:paraId="2CCF1381" w14:textId="672976CF" w:rsidR="00A22BE6" w:rsidRPr="000D5A28" w:rsidRDefault="000727A6" w:rsidP="00A22BE6">
            <w:r>
              <w:t>Refer local Council/Planning data; ABS on-line data; local health agency survey data.</w:t>
            </w:r>
          </w:p>
        </w:tc>
      </w:tr>
      <w:tr w:rsidR="000727A6" w14:paraId="0CE5DDF6" w14:textId="77777777" w:rsidTr="00990D1D">
        <w:tc>
          <w:tcPr>
            <w:tcW w:w="5760" w:type="dxa"/>
          </w:tcPr>
          <w:p w14:paraId="77D69CBE" w14:textId="4E4EF384" w:rsidR="000727A6" w:rsidRPr="00A22BE6" w:rsidRDefault="000727A6" w:rsidP="00E63A45">
            <w:pPr>
              <w:ind w:left="360"/>
              <w:rPr>
                <w:i/>
              </w:rPr>
            </w:pPr>
            <w:r w:rsidRPr="00E63A45">
              <w:rPr>
                <w:i/>
              </w:rPr>
              <w:t>Will biological monitoring (as a measure of internal dose) be undertaken?</w:t>
            </w:r>
          </w:p>
        </w:tc>
        <w:tc>
          <w:tcPr>
            <w:tcW w:w="4320" w:type="dxa"/>
            <w:vMerge w:val="restart"/>
          </w:tcPr>
          <w:p w14:paraId="77A907E9" w14:textId="7EB0D61F" w:rsidR="000727A6" w:rsidRDefault="000727A6" w:rsidP="000727A6">
            <w:r>
              <w:t>See enHealth, (2012a); ATSDR on-line data; literature search on Web of Science or equivalent.</w:t>
            </w:r>
          </w:p>
          <w:p w14:paraId="61135926" w14:textId="38EC3C30" w:rsidR="00693929" w:rsidRDefault="00693929" w:rsidP="000727A6">
            <w:r>
              <w:t xml:space="preserve">Review risk communication protocols (see </w:t>
            </w:r>
            <w:proofErr w:type="spellStart"/>
            <w:r>
              <w:t>Covello</w:t>
            </w:r>
            <w:proofErr w:type="spellEnd"/>
            <w:r>
              <w:t xml:space="preserve"> and Allen, 1988)</w:t>
            </w:r>
          </w:p>
          <w:p w14:paraId="7F481F4E" w14:textId="2CD5D89C" w:rsidR="000727A6" w:rsidRPr="000D5A28" w:rsidRDefault="000727A6" w:rsidP="00A22BE6"/>
        </w:tc>
      </w:tr>
      <w:tr w:rsidR="000727A6" w14:paraId="0C4AFF54" w14:textId="77777777" w:rsidTr="00990D1D">
        <w:tc>
          <w:tcPr>
            <w:tcW w:w="5760" w:type="dxa"/>
          </w:tcPr>
          <w:p w14:paraId="4CC7541A" w14:textId="120D2159" w:rsidR="000727A6" w:rsidRPr="00E63A45" w:rsidRDefault="000727A6" w:rsidP="00E63A45">
            <w:pPr>
              <w:ind w:left="360"/>
              <w:rPr>
                <w:i/>
              </w:rPr>
            </w:pPr>
            <w:r w:rsidRPr="00E63A45">
              <w:rPr>
                <w:i/>
              </w:rPr>
              <w:t>If biological monitoring is undertaken, how will this occur, under what time constraints and under what community engagement protocols?</w:t>
            </w:r>
          </w:p>
        </w:tc>
        <w:tc>
          <w:tcPr>
            <w:tcW w:w="4320" w:type="dxa"/>
            <w:vMerge/>
          </w:tcPr>
          <w:p w14:paraId="15F25246" w14:textId="77777777" w:rsidR="000727A6" w:rsidRPr="000D5A28" w:rsidRDefault="000727A6" w:rsidP="00A22BE6"/>
        </w:tc>
      </w:tr>
    </w:tbl>
    <w:p w14:paraId="2C89E159" w14:textId="77777777" w:rsidR="000727A6" w:rsidRDefault="000727A6" w:rsidP="00E63A45">
      <w:pPr>
        <w:ind w:left="360"/>
        <w:rPr>
          <w:i/>
        </w:rPr>
        <w:sectPr w:rsidR="000727A6" w:rsidSect="0033074A">
          <w:pgSz w:w="12240" w:h="15840"/>
          <w:pgMar w:top="1890" w:right="1440" w:bottom="1440" w:left="1440" w:header="720" w:footer="576" w:gutter="0"/>
          <w:cols w:space="720"/>
          <w:docGrid w:linePitch="299"/>
        </w:sectPr>
      </w:pPr>
    </w:p>
    <w:tbl>
      <w:tblPr>
        <w:tblStyle w:val="TableGrid"/>
        <w:tblW w:w="10080" w:type="dxa"/>
        <w:tblInd w:w="-72" w:type="dxa"/>
        <w:tblLook w:val="04A0" w:firstRow="1" w:lastRow="0" w:firstColumn="1" w:lastColumn="0" w:noHBand="0" w:noVBand="1"/>
      </w:tblPr>
      <w:tblGrid>
        <w:gridCol w:w="5760"/>
        <w:gridCol w:w="4320"/>
      </w:tblGrid>
      <w:tr w:rsidR="000727A6" w14:paraId="69331332" w14:textId="77777777" w:rsidTr="00990D1D">
        <w:tc>
          <w:tcPr>
            <w:tcW w:w="5760" w:type="dxa"/>
          </w:tcPr>
          <w:p w14:paraId="0645B1CF" w14:textId="3465FC81" w:rsidR="000727A6" w:rsidRPr="00E63A45" w:rsidRDefault="000727A6" w:rsidP="00630112">
            <w:pPr>
              <w:rPr>
                <w:i/>
              </w:rPr>
            </w:pPr>
            <w:r>
              <w:rPr>
                <w:b/>
              </w:rPr>
              <w:lastRenderedPageBreak/>
              <w:t>Question</w:t>
            </w:r>
          </w:p>
        </w:tc>
        <w:tc>
          <w:tcPr>
            <w:tcW w:w="4320" w:type="dxa"/>
          </w:tcPr>
          <w:p w14:paraId="3AC31616" w14:textId="587CF571" w:rsidR="000727A6" w:rsidRPr="000D5A28" w:rsidRDefault="000727A6" w:rsidP="000727A6">
            <w:r>
              <w:rPr>
                <w:b/>
              </w:rPr>
              <w:t>Source of information</w:t>
            </w:r>
            <w:r w:rsidR="00C56FD7">
              <w:rPr>
                <w:b/>
              </w:rPr>
              <w:t>/Guidance</w:t>
            </w:r>
          </w:p>
        </w:tc>
      </w:tr>
      <w:tr w:rsidR="000727A6" w14:paraId="01C4E67E" w14:textId="77777777" w:rsidTr="00990D1D">
        <w:tc>
          <w:tcPr>
            <w:tcW w:w="5760" w:type="dxa"/>
          </w:tcPr>
          <w:p w14:paraId="138D047A" w14:textId="7FF011C1" w:rsidR="000727A6" w:rsidRPr="00E63A45" w:rsidRDefault="000727A6" w:rsidP="00630112">
            <w:pPr>
              <w:rPr>
                <w:i/>
              </w:rPr>
            </w:pPr>
            <w:r>
              <w:rPr>
                <w:b/>
              </w:rPr>
              <w:t>Exposure assessment (</w:t>
            </w:r>
            <w:r w:rsidR="008D4243">
              <w:rPr>
                <w:b/>
              </w:rPr>
              <w:t>cont.</w:t>
            </w:r>
            <w:r>
              <w:rPr>
                <w:b/>
              </w:rPr>
              <w:t>)</w:t>
            </w:r>
          </w:p>
        </w:tc>
        <w:tc>
          <w:tcPr>
            <w:tcW w:w="4320" w:type="dxa"/>
          </w:tcPr>
          <w:p w14:paraId="23F1793D" w14:textId="77777777" w:rsidR="000727A6" w:rsidRPr="000D5A28" w:rsidRDefault="000727A6" w:rsidP="000727A6"/>
        </w:tc>
      </w:tr>
      <w:tr w:rsidR="000727A6" w14:paraId="1777DE19" w14:textId="77777777" w:rsidTr="00990D1D">
        <w:tc>
          <w:tcPr>
            <w:tcW w:w="5760" w:type="dxa"/>
          </w:tcPr>
          <w:p w14:paraId="34320053" w14:textId="38C65A7B" w:rsidR="000727A6" w:rsidRPr="00A22BE6" w:rsidRDefault="000727A6" w:rsidP="000727A6">
            <w:pPr>
              <w:ind w:left="360"/>
              <w:rPr>
                <w:i/>
              </w:rPr>
            </w:pPr>
            <w:r w:rsidRPr="00E63A45">
              <w:rPr>
                <w:i/>
              </w:rPr>
              <w:t>Have the environmental parameters used been obtained from a reliable source?</w:t>
            </w:r>
          </w:p>
        </w:tc>
        <w:tc>
          <w:tcPr>
            <w:tcW w:w="4320" w:type="dxa"/>
          </w:tcPr>
          <w:p w14:paraId="7D433C93" w14:textId="3A7AE8F7" w:rsidR="000727A6" w:rsidRPr="000D5A28" w:rsidRDefault="00630112" w:rsidP="000727A6">
            <w:r>
              <w:t>Review and see US EPA (2015a).</w:t>
            </w:r>
          </w:p>
        </w:tc>
      </w:tr>
      <w:tr w:rsidR="000727A6" w14:paraId="5198BC0E" w14:textId="77777777" w:rsidTr="00990D1D">
        <w:tc>
          <w:tcPr>
            <w:tcW w:w="5760" w:type="dxa"/>
          </w:tcPr>
          <w:p w14:paraId="6C9020F3" w14:textId="30F54017" w:rsidR="000727A6" w:rsidRPr="00A22BE6" w:rsidRDefault="000727A6" w:rsidP="000727A6">
            <w:pPr>
              <w:ind w:left="360"/>
              <w:rPr>
                <w:i/>
              </w:rPr>
            </w:pPr>
            <w:r w:rsidRPr="00E63A45">
              <w:rPr>
                <w:i/>
              </w:rPr>
              <w:t>Have the COPC characteristics been obtained from a credible source?</w:t>
            </w:r>
          </w:p>
        </w:tc>
        <w:tc>
          <w:tcPr>
            <w:tcW w:w="4320" w:type="dxa"/>
          </w:tcPr>
          <w:p w14:paraId="704CE922" w14:textId="52130090" w:rsidR="000727A6" w:rsidRPr="000D5A28" w:rsidRDefault="00630112" w:rsidP="000727A6">
            <w:r>
              <w:t>See enHealth (2012a).</w:t>
            </w:r>
          </w:p>
        </w:tc>
      </w:tr>
      <w:tr w:rsidR="000727A6" w14:paraId="529A055C" w14:textId="77777777" w:rsidTr="00990D1D">
        <w:tc>
          <w:tcPr>
            <w:tcW w:w="5760" w:type="dxa"/>
          </w:tcPr>
          <w:p w14:paraId="6B7344EB" w14:textId="3483655E" w:rsidR="000727A6" w:rsidRPr="00A22BE6" w:rsidRDefault="000727A6" w:rsidP="000727A6">
            <w:pPr>
              <w:ind w:left="360"/>
              <w:rPr>
                <w:i/>
              </w:rPr>
            </w:pPr>
            <w:r w:rsidRPr="00E63A45">
              <w:rPr>
                <w:i/>
              </w:rPr>
              <w:t>Are the environmental factors representative of the site setting and/or surrounds?</w:t>
            </w:r>
          </w:p>
        </w:tc>
        <w:tc>
          <w:tcPr>
            <w:tcW w:w="4320" w:type="dxa"/>
          </w:tcPr>
          <w:p w14:paraId="4027D16C" w14:textId="01F90E4E" w:rsidR="000727A6" w:rsidRPr="00630112" w:rsidRDefault="00630112" w:rsidP="000727A6">
            <w:r w:rsidRPr="00630112">
              <w:t>Review</w:t>
            </w:r>
            <w:r w:rsidR="00C56FD7">
              <w:t xml:space="preserve"> site-specific data.  See US EPA (2015a); ITRC (2014); enHealth (2012a).</w:t>
            </w:r>
          </w:p>
        </w:tc>
      </w:tr>
      <w:tr w:rsidR="000727A6" w14:paraId="11E6CB6A" w14:textId="77777777" w:rsidTr="00990D1D">
        <w:tc>
          <w:tcPr>
            <w:tcW w:w="5760" w:type="dxa"/>
          </w:tcPr>
          <w:p w14:paraId="79CC6E30" w14:textId="45A99AAA" w:rsidR="000727A6" w:rsidRPr="00A22BE6" w:rsidRDefault="000727A6" w:rsidP="000727A6">
            <w:pPr>
              <w:ind w:left="360"/>
              <w:rPr>
                <w:i/>
              </w:rPr>
            </w:pPr>
            <w:r w:rsidRPr="00E63A45">
              <w:rPr>
                <w:i/>
              </w:rPr>
              <w:t>Is there confidence in the site-specific data for the CSM?</w:t>
            </w:r>
          </w:p>
        </w:tc>
        <w:tc>
          <w:tcPr>
            <w:tcW w:w="4320" w:type="dxa"/>
          </w:tcPr>
          <w:p w14:paraId="32AC2A7D" w14:textId="326FDEE6" w:rsidR="000727A6" w:rsidRPr="00630112" w:rsidRDefault="00C56FD7" w:rsidP="000727A6">
            <w:r>
              <w:t>Review and see NEPC (1999 as amended 2013) and US EPA (2015a).</w:t>
            </w:r>
          </w:p>
        </w:tc>
      </w:tr>
      <w:tr w:rsidR="000727A6" w14:paraId="687FEFD0" w14:textId="77777777" w:rsidTr="00990D1D">
        <w:tc>
          <w:tcPr>
            <w:tcW w:w="5760" w:type="dxa"/>
          </w:tcPr>
          <w:p w14:paraId="5E16585B" w14:textId="70C12997" w:rsidR="000727A6" w:rsidRPr="00A22BE6" w:rsidRDefault="000727A6" w:rsidP="000727A6">
            <w:pPr>
              <w:ind w:left="360"/>
              <w:rPr>
                <w:i/>
              </w:rPr>
            </w:pPr>
            <w:r w:rsidRPr="00E63A45">
              <w:rPr>
                <w:i/>
              </w:rPr>
              <w:t xml:space="preserve">Has the population been </w:t>
            </w:r>
            <w:proofErr w:type="gramStart"/>
            <w:r w:rsidRPr="00E63A45">
              <w:rPr>
                <w:i/>
              </w:rPr>
              <w:t>characterized</w:t>
            </w:r>
            <w:proofErr w:type="gramEnd"/>
            <w:r w:rsidRPr="00E63A45">
              <w:rPr>
                <w:i/>
              </w:rPr>
              <w:t xml:space="preserve"> and sensitive sub-groups been determined?</w:t>
            </w:r>
          </w:p>
        </w:tc>
        <w:tc>
          <w:tcPr>
            <w:tcW w:w="4320" w:type="dxa"/>
          </w:tcPr>
          <w:p w14:paraId="1A487367" w14:textId="4A5EA756" w:rsidR="000727A6" w:rsidRPr="00630112" w:rsidRDefault="00C56FD7" w:rsidP="000727A6">
            <w:r>
              <w:t>ABS on-line data; local health agency survey data.  See enHealth (2012a); US EPA (2014b)</w:t>
            </w:r>
          </w:p>
        </w:tc>
      </w:tr>
      <w:tr w:rsidR="000727A6" w14:paraId="57B37517" w14:textId="77777777" w:rsidTr="00990D1D">
        <w:tc>
          <w:tcPr>
            <w:tcW w:w="5760" w:type="dxa"/>
          </w:tcPr>
          <w:p w14:paraId="0F1FDDA6" w14:textId="1B30DD70" w:rsidR="000727A6" w:rsidRPr="00A22BE6" w:rsidRDefault="000727A6" w:rsidP="000727A6">
            <w:pPr>
              <w:ind w:left="360"/>
              <w:rPr>
                <w:i/>
              </w:rPr>
            </w:pPr>
            <w:r w:rsidRPr="00E63A45">
              <w:rPr>
                <w:i/>
              </w:rPr>
              <w:t>Have the most suitable exposure factors for the relevant population of interest been used?</w:t>
            </w:r>
          </w:p>
        </w:tc>
        <w:tc>
          <w:tcPr>
            <w:tcW w:w="4320" w:type="dxa"/>
          </w:tcPr>
          <w:p w14:paraId="5486F009" w14:textId="26585F08" w:rsidR="000727A6" w:rsidRPr="00630112" w:rsidRDefault="00C56FD7" w:rsidP="000727A6">
            <w:r>
              <w:t>Examine variability to assess outcome ranges and margin of safety, see enHealth (2012b).</w:t>
            </w:r>
          </w:p>
        </w:tc>
      </w:tr>
      <w:tr w:rsidR="000727A6" w14:paraId="0547CD39" w14:textId="77777777" w:rsidTr="00B94328">
        <w:tc>
          <w:tcPr>
            <w:tcW w:w="5760" w:type="dxa"/>
          </w:tcPr>
          <w:p w14:paraId="558F8167" w14:textId="5B26CC3F" w:rsidR="000727A6" w:rsidRDefault="000727A6" w:rsidP="000727A6">
            <w:pPr>
              <w:ind w:left="360"/>
              <w:rPr>
                <w:b/>
              </w:rPr>
            </w:pPr>
            <w:r w:rsidRPr="00E63A45">
              <w:rPr>
                <w:i/>
              </w:rPr>
              <w:t>Has uncertainty and variability been evaluated?</w:t>
            </w:r>
          </w:p>
        </w:tc>
        <w:tc>
          <w:tcPr>
            <w:tcW w:w="4320" w:type="dxa"/>
          </w:tcPr>
          <w:p w14:paraId="7D6420B5" w14:textId="273DF1AD" w:rsidR="000727A6" w:rsidRPr="00630112" w:rsidRDefault="00C56FD7" w:rsidP="000727A6">
            <w:r>
              <w:t>See enHealth (2012a).</w:t>
            </w:r>
          </w:p>
        </w:tc>
      </w:tr>
      <w:tr w:rsidR="000727A6" w14:paraId="0F6BC4A2" w14:textId="77777777" w:rsidTr="00B94328">
        <w:tc>
          <w:tcPr>
            <w:tcW w:w="5760" w:type="dxa"/>
          </w:tcPr>
          <w:p w14:paraId="2BCEA4AE" w14:textId="202A9DDF" w:rsidR="000727A6" w:rsidRDefault="000727A6" w:rsidP="000727A6">
            <w:pPr>
              <w:ind w:left="360"/>
              <w:rPr>
                <w:b/>
              </w:rPr>
            </w:pPr>
            <w:r w:rsidRPr="00E63A45">
              <w:rPr>
                <w:i/>
              </w:rPr>
              <w:t>Has sensitivity analysis been undertaken and have the most sensitive variables been confirmed as representative of the site setting?</w:t>
            </w:r>
          </w:p>
        </w:tc>
        <w:tc>
          <w:tcPr>
            <w:tcW w:w="4320" w:type="dxa"/>
          </w:tcPr>
          <w:p w14:paraId="31907F2E" w14:textId="3593EAB9" w:rsidR="000727A6" w:rsidRPr="00630112" w:rsidRDefault="00C56FD7" w:rsidP="000727A6">
            <w:r>
              <w:t>See enHealth 2012a; Tillman and Weaver (2005)</w:t>
            </w:r>
          </w:p>
        </w:tc>
      </w:tr>
      <w:tr w:rsidR="000727A6" w14:paraId="6C4A0B28" w14:textId="77777777" w:rsidTr="00B94328">
        <w:tc>
          <w:tcPr>
            <w:tcW w:w="5760" w:type="dxa"/>
          </w:tcPr>
          <w:p w14:paraId="13DD882C" w14:textId="6899993E" w:rsidR="000727A6" w:rsidRDefault="000727A6" w:rsidP="000727A6">
            <w:pPr>
              <w:rPr>
                <w:b/>
              </w:rPr>
            </w:pPr>
            <w:r>
              <w:rPr>
                <w:b/>
              </w:rPr>
              <w:t>Risk characterization</w:t>
            </w:r>
          </w:p>
        </w:tc>
        <w:tc>
          <w:tcPr>
            <w:tcW w:w="4320" w:type="dxa"/>
          </w:tcPr>
          <w:p w14:paraId="34BDB15D" w14:textId="77777777" w:rsidR="000727A6" w:rsidRPr="00630112" w:rsidRDefault="000727A6" w:rsidP="000727A6"/>
        </w:tc>
      </w:tr>
      <w:tr w:rsidR="000727A6" w14:paraId="02939DA7" w14:textId="77777777" w:rsidTr="00B94328">
        <w:tc>
          <w:tcPr>
            <w:tcW w:w="5760" w:type="dxa"/>
          </w:tcPr>
          <w:p w14:paraId="6F9AFD95" w14:textId="4BC73038" w:rsidR="000727A6" w:rsidRPr="00E63A45" w:rsidRDefault="000727A6" w:rsidP="000727A6">
            <w:pPr>
              <w:ind w:left="360"/>
              <w:rPr>
                <w:b/>
              </w:rPr>
            </w:pPr>
            <w:r w:rsidRPr="00E63A45">
              <w:rPr>
                <w:i/>
              </w:rPr>
              <w:t>What confidence is there in the assessment outcomes?</w:t>
            </w:r>
          </w:p>
        </w:tc>
        <w:tc>
          <w:tcPr>
            <w:tcW w:w="4320" w:type="dxa"/>
          </w:tcPr>
          <w:p w14:paraId="2B3EDF18" w14:textId="77777777" w:rsidR="000727A6" w:rsidRDefault="00C56FD7" w:rsidP="000727A6">
            <w:r>
              <w:t>Refer enHealth 2012a; US EPA (2014b).</w:t>
            </w:r>
          </w:p>
          <w:p w14:paraId="27FF274E" w14:textId="1D596109" w:rsidR="00C56FD7" w:rsidRPr="00630112" w:rsidRDefault="00C56FD7" w:rsidP="000727A6">
            <w:r>
              <w:t>Seek peer-review if required.</w:t>
            </w:r>
          </w:p>
        </w:tc>
      </w:tr>
      <w:tr w:rsidR="00C56FD7" w14:paraId="023BE2A8" w14:textId="77777777" w:rsidTr="00B94328">
        <w:tc>
          <w:tcPr>
            <w:tcW w:w="5760" w:type="dxa"/>
          </w:tcPr>
          <w:p w14:paraId="2A1FDFA5" w14:textId="5FC02483" w:rsidR="00C56FD7" w:rsidRDefault="00C56FD7" w:rsidP="000727A6">
            <w:pPr>
              <w:ind w:left="360"/>
              <w:rPr>
                <w:b/>
              </w:rPr>
            </w:pPr>
            <w:r w:rsidRPr="00E63A45">
              <w:rPr>
                <w:i/>
              </w:rPr>
              <w:t>How will the assessment outcomes and uncertainties be explained to affected parties?</w:t>
            </w:r>
          </w:p>
        </w:tc>
        <w:tc>
          <w:tcPr>
            <w:tcW w:w="4320" w:type="dxa"/>
            <w:vMerge w:val="restart"/>
          </w:tcPr>
          <w:p w14:paraId="73C92569" w14:textId="5A1A1ABF" w:rsidR="00C56FD7" w:rsidRDefault="00C56FD7" w:rsidP="000727A6">
            <w:r>
              <w:t xml:space="preserve">Review and see </w:t>
            </w:r>
            <w:proofErr w:type="spellStart"/>
            <w:r>
              <w:t>Covello</w:t>
            </w:r>
            <w:proofErr w:type="spellEnd"/>
            <w:r>
              <w:t xml:space="preserve"> and Allen (1988); enHealth (2012a); US EPA (2014b, 2015b).</w:t>
            </w:r>
          </w:p>
          <w:p w14:paraId="2A0C5AB3" w14:textId="5BAC9EB7" w:rsidR="00C56FD7" w:rsidRDefault="00C56FD7" w:rsidP="000727A6"/>
          <w:p w14:paraId="0851B910" w14:textId="17102A7D" w:rsidR="00C56FD7" w:rsidRDefault="00C56FD7" w:rsidP="000727A6">
            <w:r>
              <w:t>Clarify uncertainties and limitations and seek discussions with all stakeholders.</w:t>
            </w:r>
          </w:p>
          <w:p w14:paraId="3AC8E596" w14:textId="77777777" w:rsidR="00C56FD7" w:rsidRDefault="00C56FD7" w:rsidP="000727A6"/>
          <w:p w14:paraId="23D374FD" w14:textId="1EEB0FC6" w:rsidR="00C56FD7" w:rsidRPr="00630112" w:rsidRDefault="00C56FD7" w:rsidP="000727A6"/>
        </w:tc>
      </w:tr>
      <w:tr w:rsidR="00C56FD7" w14:paraId="51618B90" w14:textId="77777777" w:rsidTr="00B94328">
        <w:tc>
          <w:tcPr>
            <w:tcW w:w="5760" w:type="dxa"/>
          </w:tcPr>
          <w:p w14:paraId="4E730B37" w14:textId="41AF4FEC" w:rsidR="00C56FD7" w:rsidRPr="00E63A45" w:rsidRDefault="00C56FD7" w:rsidP="000727A6">
            <w:pPr>
              <w:ind w:left="360"/>
              <w:rPr>
                <w:b/>
              </w:rPr>
            </w:pPr>
            <w:r w:rsidRPr="00E63A45">
              <w:rPr>
                <w:i/>
              </w:rPr>
              <w:t>What residual issues exist that may change the risk assessment outcomes?</w:t>
            </w:r>
          </w:p>
        </w:tc>
        <w:tc>
          <w:tcPr>
            <w:tcW w:w="4320" w:type="dxa"/>
            <w:vMerge/>
          </w:tcPr>
          <w:p w14:paraId="2E822210" w14:textId="77777777" w:rsidR="00C56FD7" w:rsidRPr="00630112" w:rsidRDefault="00C56FD7" w:rsidP="000727A6"/>
        </w:tc>
      </w:tr>
      <w:tr w:rsidR="00C56FD7" w14:paraId="39B9CDBE" w14:textId="77777777" w:rsidTr="00B94328">
        <w:tc>
          <w:tcPr>
            <w:tcW w:w="5760" w:type="dxa"/>
          </w:tcPr>
          <w:p w14:paraId="263405A8" w14:textId="543711FD" w:rsidR="00C56FD7" w:rsidRDefault="00C56FD7" w:rsidP="000727A6">
            <w:pPr>
              <w:ind w:left="360"/>
              <w:rPr>
                <w:b/>
              </w:rPr>
            </w:pPr>
            <w:r w:rsidRPr="00E63A45">
              <w:rPr>
                <w:i/>
              </w:rPr>
              <w:t>What additional information is required to establish confidence in the risk assessment?</w:t>
            </w:r>
          </w:p>
        </w:tc>
        <w:tc>
          <w:tcPr>
            <w:tcW w:w="4320" w:type="dxa"/>
            <w:vMerge/>
          </w:tcPr>
          <w:p w14:paraId="34C9B88D" w14:textId="77777777" w:rsidR="00C56FD7" w:rsidRPr="00630112" w:rsidRDefault="00C56FD7" w:rsidP="000727A6"/>
        </w:tc>
      </w:tr>
      <w:tr w:rsidR="00C56FD7" w14:paraId="6FB89C83" w14:textId="77777777" w:rsidTr="00B94328">
        <w:tc>
          <w:tcPr>
            <w:tcW w:w="5760" w:type="dxa"/>
          </w:tcPr>
          <w:p w14:paraId="2816C7AB" w14:textId="3FF90CF5" w:rsidR="00C56FD7" w:rsidRDefault="00C56FD7" w:rsidP="000727A6">
            <w:pPr>
              <w:ind w:left="360"/>
              <w:rPr>
                <w:b/>
              </w:rPr>
            </w:pPr>
            <w:r w:rsidRPr="00E63A45">
              <w:rPr>
                <w:i/>
              </w:rPr>
              <w:t>Is the information sufficient for decision-making and communication to risk managers?</w:t>
            </w:r>
          </w:p>
        </w:tc>
        <w:tc>
          <w:tcPr>
            <w:tcW w:w="4320" w:type="dxa"/>
            <w:vMerge/>
          </w:tcPr>
          <w:p w14:paraId="0CF6B634" w14:textId="77777777" w:rsidR="00C56FD7" w:rsidRPr="00630112" w:rsidRDefault="00C56FD7" w:rsidP="000727A6"/>
        </w:tc>
      </w:tr>
      <w:tr w:rsidR="000727A6" w14:paraId="4DFEA14A" w14:textId="77777777" w:rsidTr="00B94328">
        <w:tc>
          <w:tcPr>
            <w:tcW w:w="5760" w:type="dxa"/>
          </w:tcPr>
          <w:p w14:paraId="6CA4A290" w14:textId="4ABC9AEE" w:rsidR="000727A6" w:rsidRDefault="000727A6" w:rsidP="00630112">
            <w:pPr>
              <w:rPr>
                <w:b/>
              </w:rPr>
            </w:pPr>
            <w:r w:rsidRPr="00942938">
              <w:rPr>
                <w:b/>
              </w:rPr>
              <w:t>Modelling</w:t>
            </w:r>
          </w:p>
        </w:tc>
        <w:tc>
          <w:tcPr>
            <w:tcW w:w="4320" w:type="dxa"/>
          </w:tcPr>
          <w:p w14:paraId="02FD6454" w14:textId="77777777" w:rsidR="000727A6" w:rsidRPr="00630112" w:rsidRDefault="000727A6" w:rsidP="000727A6"/>
        </w:tc>
      </w:tr>
      <w:tr w:rsidR="00C56FD7" w14:paraId="7C7F02C7" w14:textId="77777777" w:rsidTr="00B94328">
        <w:tc>
          <w:tcPr>
            <w:tcW w:w="5760" w:type="dxa"/>
          </w:tcPr>
          <w:p w14:paraId="3C7E6542" w14:textId="75BF2F0D" w:rsidR="00C56FD7" w:rsidRDefault="00C56FD7" w:rsidP="000727A6">
            <w:pPr>
              <w:ind w:left="360"/>
              <w:rPr>
                <w:b/>
              </w:rPr>
            </w:pPr>
            <w:r w:rsidRPr="00E63A45">
              <w:rPr>
                <w:i/>
              </w:rPr>
              <w:t xml:space="preserve">What </w:t>
            </w:r>
            <w:proofErr w:type="spellStart"/>
            <w:r w:rsidRPr="00E63A45">
              <w:rPr>
                <w:i/>
              </w:rPr>
              <w:t>vapour</w:t>
            </w:r>
            <w:proofErr w:type="spellEnd"/>
            <w:r w:rsidRPr="00E63A45">
              <w:rPr>
                <w:i/>
              </w:rPr>
              <w:t xml:space="preserve"> intrusion model is to be used and does it represent the site-specific exposure scenario?</w:t>
            </w:r>
          </w:p>
        </w:tc>
        <w:tc>
          <w:tcPr>
            <w:tcW w:w="4320" w:type="dxa"/>
            <w:vMerge w:val="restart"/>
          </w:tcPr>
          <w:p w14:paraId="57FF697F" w14:textId="5AF3C435" w:rsidR="00C56FD7" w:rsidRPr="00630112" w:rsidRDefault="00C56FD7" w:rsidP="000727A6">
            <w:r>
              <w:t xml:space="preserve">See </w:t>
            </w:r>
            <w:proofErr w:type="spellStart"/>
            <w:r>
              <w:t>Provoost</w:t>
            </w:r>
            <w:proofErr w:type="spellEnd"/>
            <w:r>
              <w:t xml:space="preserve"> et al., (2009; 2010; 2010; 2013); Evans et al., (2002; US EPA (2015a).</w:t>
            </w:r>
          </w:p>
        </w:tc>
      </w:tr>
      <w:tr w:rsidR="00C56FD7" w14:paraId="417DE2DF" w14:textId="77777777" w:rsidTr="00B94328">
        <w:tc>
          <w:tcPr>
            <w:tcW w:w="5760" w:type="dxa"/>
          </w:tcPr>
          <w:p w14:paraId="2F9A7DBC" w14:textId="62096849" w:rsidR="00C56FD7" w:rsidRDefault="00C56FD7" w:rsidP="000727A6">
            <w:pPr>
              <w:ind w:left="360"/>
              <w:rPr>
                <w:b/>
              </w:rPr>
            </w:pPr>
            <w:r w:rsidRPr="00E63A45">
              <w:rPr>
                <w:i/>
              </w:rPr>
              <w:t xml:space="preserve">Is the </w:t>
            </w:r>
            <w:proofErr w:type="spellStart"/>
            <w:r w:rsidRPr="00E63A45">
              <w:rPr>
                <w:i/>
              </w:rPr>
              <w:t>vapour</w:t>
            </w:r>
            <w:proofErr w:type="spellEnd"/>
            <w:r w:rsidRPr="00E63A45">
              <w:rPr>
                <w:i/>
              </w:rPr>
              <w:t xml:space="preserve"> intrusion model peer-reviewed?</w:t>
            </w:r>
          </w:p>
        </w:tc>
        <w:tc>
          <w:tcPr>
            <w:tcW w:w="4320" w:type="dxa"/>
            <w:vMerge/>
          </w:tcPr>
          <w:p w14:paraId="54D66F6F" w14:textId="77777777" w:rsidR="00C56FD7" w:rsidRPr="00630112" w:rsidRDefault="00C56FD7" w:rsidP="000727A6"/>
        </w:tc>
      </w:tr>
      <w:tr w:rsidR="00C56FD7" w14:paraId="027F7CC1" w14:textId="77777777" w:rsidTr="00B94328">
        <w:tc>
          <w:tcPr>
            <w:tcW w:w="5760" w:type="dxa"/>
          </w:tcPr>
          <w:p w14:paraId="15754DEB" w14:textId="3B26A9E8" w:rsidR="00C56FD7" w:rsidRDefault="00C56FD7" w:rsidP="000727A6">
            <w:pPr>
              <w:ind w:left="360"/>
              <w:rPr>
                <w:b/>
              </w:rPr>
            </w:pPr>
            <w:r w:rsidRPr="00E63A45">
              <w:rPr>
                <w:i/>
              </w:rPr>
              <w:t xml:space="preserve">Does the </w:t>
            </w:r>
            <w:proofErr w:type="spellStart"/>
            <w:r w:rsidRPr="00E63A45">
              <w:rPr>
                <w:i/>
              </w:rPr>
              <w:t>vapour</w:t>
            </w:r>
            <w:proofErr w:type="spellEnd"/>
            <w:r w:rsidRPr="00E63A45">
              <w:rPr>
                <w:i/>
              </w:rPr>
              <w:t xml:space="preserve"> intrusion model used align with the understanding of the CSM?</w:t>
            </w:r>
          </w:p>
        </w:tc>
        <w:tc>
          <w:tcPr>
            <w:tcW w:w="4320" w:type="dxa"/>
            <w:vMerge/>
          </w:tcPr>
          <w:p w14:paraId="503B0018" w14:textId="77777777" w:rsidR="00C56FD7" w:rsidRPr="00630112" w:rsidRDefault="00C56FD7" w:rsidP="000727A6"/>
        </w:tc>
      </w:tr>
      <w:tr w:rsidR="00C56FD7" w14:paraId="0E530393" w14:textId="77777777" w:rsidTr="00B94328">
        <w:tc>
          <w:tcPr>
            <w:tcW w:w="5760" w:type="dxa"/>
          </w:tcPr>
          <w:p w14:paraId="5D9A1F0D" w14:textId="1A91D600" w:rsidR="00C56FD7" w:rsidRDefault="00C56FD7" w:rsidP="000727A6">
            <w:pPr>
              <w:ind w:left="360"/>
              <w:rPr>
                <w:b/>
              </w:rPr>
            </w:pPr>
            <w:r w:rsidRPr="00E63A45">
              <w:rPr>
                <w:i/>
              </w:rPr>
              <w:t>Have all inputs and outputs been documented and in the case of the former, substantiated?</w:t>
            </w:r>
          </w:p>
        </w:tc>
        <w:tc>
          <w:tcPr>
            <w:tcW w:w="4320" w:type="dxa"/>
            <w:vMerge w:val="restart"/>
          </w:tcPr>
          <w:p w14:paraId="7CA62E81" w14:textId="74889009" w:rsidR="00C56FD7" w:rsidRPr="00630112" w:rsidRDefault="00C56FD7" w:rsidP="000727A6">
            <w:r>
              <w:t>Review site-specific data and local CSIRO/BOM and on-line environmental databases.</w:t>
            </w:r>
          </w:p>
        </w:tc>
      </w:tr>
      <w:tr w:rsidR="00C56FD7" w14:paraId="0DEBD08D" w14:textId="77777777" w:rsidTr="00B94328">
        <w:tc>
          <w:tcPr>
            <w:tcW w:w="5760" w:type="dxa"/>
          </w:tcPr>
          <w:p w14:paraId="21BCE9DB" w14:textId="41CD48FE" w:rsidR="00C56FD7" w:rsidRDefault="00C56FD7" w:rsidP="000727A6">
            <w:pPr>
              <w:ind w:left="360"/>
              <w:rPr>
                <w:b/>
              </w:rPr>
            </w:pPr>
            <w:r w:rsidRPr="00E63A45">
              <w:rPr>
                <w:i/>
              </w:rPr>
              <w:t>Are the inputs realistic parameters?</w:t>
            </w:r>
          </w:p>
        </w:tc>
        <w:tc>
          <w:tcPr>
            <w:tcW w:w="4320" w:type="dxa"/>
            <w:vMerge/>
          </w:tcPr>
          <w:p w14:paraId="67644D06" w14:textId="77777777" w:rsidR="00C56FD7" w:rsidRPr="00630112" w:rsidRDefault="00C56FD7" w:rsidP="000727A6"/>
        </w:tc>
      </w:tr>
      <w:tr w:rsidR="000727A6" w14:paraId="0B0D205F" w14:textId="77777777" w:rsidTr="00B94328">
        <w:tc>
          <w:tcPr>
            <w:tcW w:w="5760" w:type="dxa"/>
          </w:tcPr>
          <w:p w14:paraId="2AAC5DE2" w14:textId="46CB2533" w:rsidR="000727A6" w:rsidRDefault="000727A6" w:rsidP="000727A6">
            <w:pPr>
              <w:ind w:left="360"/>
              <w:rPr>
                <w:b/>
              </w:rPr>
            </w:pPr>
            <w:r w:rsidRPr="00E63A45">
              <w:rPr>
                <w:i/>
              </w:rPr>
              <w:t>Have critical parameters been identified and a sensitivity analysis conducted for the most critical (qualitative or quantitative)?</w:t>
            </w:r>
          </w:p>
        </w:tc>
        <w:tc>
          <w:tcPr>
            <w:tcW w:w="4320" w:type="dxa"/>
          </w:tcPr>
          <w:p w14:paraId="319A6478" w14:textId="4452054A" w:rsidR="000727A6" w:rsidRPr="00630112" w:rsidRDefault="00C56FD7" w:rsidP="000727A6">
            <w:r>
              <w:t>See Tillman and Weaver (2005; 2007), Johnson (2005) and Moradi et al., (2015)</w:t>
            </w:r>
          </w:p>
        </w:tc>
      </w:tr>
      <w:tr w:rsidR="000727A6" w14:paraId="2138DA3C" w14:textId="77777777" w:rsidTr="00B94328">
        <w:tc>
          <w:tcPr>
            <w:tcW w:w="5760" w:type="dxa"/>
          </w:tcPr>
          <w:p w14:paraId="119F88A6" w14:textId="0335B40B" w:rsidR="000727A6" w:rsidRDefault="000727A6" w:rsidP="000727A6">
            <w:pPr>
              <w:ind w:left="360"/>
              <w:rPr>
                <w:b/>
              </w:rPr>
            </w:pPr>
            <w:r w:rsidRPr="00E63A45">
              <w:rPr>
                <w:i/>
              </w:rPr>
              <w:t>Has the appropriate modelling approach been determined and documented (</w:t>
            </w:r>
            <w:proofErr w:type="gramStart"/>
            <w:r w:rsidRPr="00E63A45">
              <w:rPr>
                <w:i/>
              </w:rPr>
              <w:t>e.g.</w:t>
            </w:r>
            <w:proofErr w:type="gramEnd"/>
            <w:r w:rsidRPr="00E63A45">
              <w:rPr>
                <w:i/>
              </w:rPr>
              <w:t xml:space="preserve"> calibration, uncertainty analysis, bounding case </w:t>
            </w:r>
            <w:r w:rsidR="008D4243" w:rsidRPr="00E63A45">
              <w:rPr>
                <w:i/>
              </w:rPr>
              <w:t>analysis)</w:t>
            </w:r>
            <w:r w:rsidR="008D4243">
              <w:rPr>
                <w:i/>
              </w:rPr>
              <w:t>?</w:t>
            </w:r>
            <w:r w:rsidRPr="00E63A45">
              <w:rPr>
                <w:i/>
              </w:rPr>
              <w:t xml:space="preserve"> </w:t>
            </w:r>
          </w:p>
        </w:tc>
        <w:tc>
          <w:tcPr>
            <w:tcW w:w="4320" w:type="dxa"/>
          </w:tcPr>
          <w:p w14:paraId="3049FB42" w14:textId="63E83760" w:rsidR="000727A6" w:rsidRPr="00630112" w:rsidRDefault="00C56FD7" w:rsidP="000727A6">
            <w:r>
              <w:t>See US EPA (2015a); ITRC (2014); enHealth 2012a).</w:t>
            </w:r>
          </w:p>
        </w:tc>
      </w:tr>
    </w:tbl>
    <w:p w14:paraId="05ABC53F" w14:textId="77777777" w:rsidR="00C56FD7" w:rsidRDefault="00C56FD7" w:rsidP="000727A6">
      <w:pPr>
        <w:ind w:left="360"/>
        <w:rPr>
          <w:i/>
        </w:rPr>
        <w:sectPr w:rsidR="00C56FD7" w:rsidSect="0033074A">
          <w:pgSz w:w="12240" w:h="15840"/>
          <w:pgMar w:top="1890" w:right="1440" w:bottom="1440" w:left="1440" w:header="720" w:footer="576" w:gutter="0"/>
          <w:cols w:space="720"/>
          <w:docGrid w:linePitch="299"/>
        </w:sectPr>
      </w:pPr>
    </w:p>
    <w:tbl>
      <w:tblPr>
        <w:tblStyle w:val="TableGrid"/>
        <w:tblW w:w="10080" w:type="dxa"/>
        <w:tblInd w:w="-72" w:type="dxa"/>
        <w:tblLook w:val="04A0" w:firstRow="1" w:lastRow="0" w:firstColumn="1" w:lastColumn="0" w:noHBand="0" w:noVBand="1"/>
      </w:tblPr>
      <w:tblGrid>
        <w:gridCol w:w="5760"/>
        <w:gridCol w:w="4320"/>
      </w:tblGrid>
      <w:tr w:rsidR="00C56FD7" w14:paraId="5813923B" w14:textId="77777777" w:rsidTr="00B94328">
        <w:tc>
          <w:tcPr>
            <w:tcW w:w="5760" w:type="dxa"/>
          </w:tcPr>
          <w:p w14:paraId="7B0569CB" w14:textId="5E954ABC" w:rsidR="00C56FD7" w:rsidRPr="00E63A45" w:rsidRDefault="00C56FD7" w:rsidP="00C56FD7">
            <w:pPr>
              <w:rPr>
                <w:i/>
              </w:rPr>
            </w:pPr>
            <w:r>
              <w:rPr>
                <w:b/>
              </w:rPr>
              <w:lastRenderedPageBreak/>
              <w:t>Question</w:t>
            </w:r>
          </w:p>
        </w:tc>
        <w:tc>
          <w:tcPr>
            <w:tcW w:w="4320" w:type="dxa"/>
          </w:tcPr>
          <w:p w14:paraId="19B88D5B" w14:textId="20610523" w:rsidR="00C56FD7" w:rsidRPr="00630112" w:rsidRDefault="00C56FD7" w:rsidP="00C56FD7">
            <w:r>
              <w:rPr>
                <w:b/>
              </w:rPr>
              <w:t>Source of information/Guidance</w:t>
            </w:r>
          </w:p>
        </w:tc>
      </w:tr>
      <w:tr w:rsidR="00C56FD7" w14:paraId="35370889" w14:textId="77777777" w:rsidTr="00B94328">
        <w:tc>
          <w:tcPr>
            <w:tcW w:w="5760" w:type="dxa"/>
          </w:tcPr>
          <w:p w14:paraId="4C8C03FC" w14:textId="0518FE21" w:rsidR="00C56FD7" w:rsidRPr="00E63A45" w:rsidRDefault="00C56FD7" w:rsidP="00C56FD7">
            <w:pPr>
              <w:rPr>
                <w:i/>
              </w:rPr>
            </w:pPr>
            <w:r>
              <w:rPr>
                <w:b/>
              </w:rPr>
              <w:t>Modelling (</w:t>
            </w:r>
            <w:r w:rsidR="008D4243">
              <w:rPr>
                <w:b/>
              </w:rPr>
              <w:t>cont.</w:t>
            </w:r>
            <w:r>
              <w:rPr>
                <w:b/>
              </w:rPr>
              <w:t>)</w:t>
            </w:r>
          </w:p>
        </w:tc>
        <w:tc>
          <w:tcPr>
            <w:tcW w:w="4320" w:type="dxa"/>
          </w:tcPr>
          <w:p w14:paraId="3281B62F" w14:textId="77777777" w:rsidR="00C56FD7" w:rsidRPr="00630112" w:rsidRDefault="00C56FD7" w:rsidP="00C56FD7"/>
        </w:tc>
      </w:tr>
      <w:tr w:rsidR="00C56FD7" w14:paraId="2708971E" w14:textId="77777777" w:rsidTr="00B94328">
        <w:tc>
          <w:tcPr>
            <w:tcW w:w="5760" w:type="dxa"/>
          </w:tcPr>
          <w:p w14:paraId="6DC9DC99" w14:textId="42EA7D94" w:rsidR="00C56FD7" w:rsidRDefault="00C56FD7" w:rsidP="00C56FD7">
            <w:pPr>
              <w:ind w:left="360"/>
              <w:rPr>
                <w:b/>
              </w:rPr>
            </w:pPr>
            <w:r w:rsidRPr="00E63A45">
              <w:rPr>
                <w:i/>
              </w:rPr>
              <w:t xml:space="preserve">Has the presentation of data been considered </w:t>
            </w:r>
            <w:proofErr w:type="gramStart"/>
            <w:r w:rsidRPr="00E63A45">
              <w:rPr>
                <w:i/>
              </w:rPr>
              <w:t>in order to</w:t>
            </w:r>
            <w:proofErr w:type="gramEnd"/>
            <w:r w:rsidRPr="00E63A45">
              <w:rPr>
                <w:i/>
              </w:rPr>
              <w:t xml:space="preserve"> ensure the recipient of the information can readily understand the information in a short time period.  For </w:t>
            </w:r>
            <w:r>
              <w:rPr>
                <w:i/>
              </w:rPr>
              <w:t>example,</w:t>
            </w:r>
            <w:r w:rsidRPr="00E63A45">
              <w:rPr>
                <w:i/>
              </w:rPr>
              <w:t xml:space="preserve"> 2D and 3D </w:t>
            </w:r>
            <w:proofErr w:type="spellStart"/>
            <w:r w:rsidRPr="00E63A45">
              <w:rPr>
                <w:i/>
              </w:rPr>
              <w:t>visualisation</w:t>
            </w:r>
            <w:proofErr w:type="spellEnd"/>
            <w:r w:rsidRPr="00E63A45">
              <w:rPr>
                <w:i/>
              </w:rPr>
              <w:t xml:space="preserve"> for the CSM?</w:t>
            </w:r>
          </w:p>
        </w:tc>
        <w:tc>
          <w:tcPr>
            <w:tcW w:w="4320" w:type="dxa"/>
          </w:tcPr>
          <w:p w14:paraId="7420BD3C" w14:textId="2374C76D" w:rsidR="00C56FD7" w:rsidRPr="00630112" w:rsidRDefault="00C56FD7" w:rsidP="00C56FD7">
            <w:r>
              <w:t>Review graphic presentation formats.</w:t>
            </w:r>
          </w:p>
        </w:tc>
      </w:tr>
      <w:tr w:rsidR="00C56FD7" w14:paraId="5E17C8E0" w14:textId="77777777" w:rsidTr="00B94328">
        <w:tc>
          <w:tcPr>
            <w:tcW w:w="5760" w:type="dxa"/>
          </w:tcPr>
          <w:p w14:paraId="48C05542" w14:textId="3709A9C8" w:rsidR="00C56FD7" w:rsidRDefault="00C56FD7" w:rsidP="00C56FD7">
            <w:pPr>
              <w:ind w:left="360"/>
              <w:rPr>
                <w:b/>
              </w:rPr>
            </w:pPr>
            <w:r w:rsidRPr="00E63A45">
              <w:rPr>
                <w:i/>
              </w:rPr>
              <w:t xml:space="preserve">What predictive variability is known regarding the </w:t>
            </w:r>
            <w:proofErr w:type="spellStart"/>
            <w:r w:rsidRPr="00E63A45">
              <w:rPr>
                <w:i/>
              </w:rPr>
              <w:t>vapour</w:t>
            </w:r>
            <w:proofErr w:type="spellEnd"/>
            <w:r w:rsidRPr="00E63A45">
              <w:rPr>
                <w:i/>
              </w:rPr>
              <w:t xml:space="preserve"> intrusion model used and how should this be considered in the assessment outcomes?</w:t>
            </w:r>
          </w:p>
        </w:tc>
        <w:tc>
          <w:tcPr>
            <w:tcW w:w="4320" w:type="dxa"/>
          </w:tcPr>
          <w:p w14:paraId="1593B1C6" w14:textId="158BBC64" w:rsidR="00C56FD7" w:rsidRPr="002C2013" w:rsidRDefault="002C2013" w:rsidP="00C56FD7">
            <w:r w:rsidRPr="002C2013">
              <w:t>See</w:t>
            </w:r>
            <w:r>
              <w:t xml:space="preserve"> </w:t>
            </w:r>
            <w:proofErr w:type="spellStart"/>
            <w:r>
              <w:t>Turczynowicz</w:t>
            </w:r>
            <w:proofErr w:type="spellEnd"/>
            <w:r>
              <w:t xml:space="preserve"> and Robinson, (2007b); </w:t>
            </w:r>
            <w:proofErr w:type="spellStart"/>
            <w:r>
              <w:t>Provoost</w:t>
            </w:r>
            <w:proofErr w:type="spellEnd"/>
            <w:r>
              <w:t xml:space="preserve"> et al., 2010</w:t>
            </w:r>
            <w:r w:rsidR="00282215">
              <w:t>.</w:t>
            </w:r>
          </w:p>
        </w:tc>
      </w:tr>
      <w:tr w:rsidR="00C56FD7" w14:paraId="0A53E6B0" w14:textId="77777777" w:rsidTr="00B94328">
        <w:tc>
          <w:tcPr>
            <w:tcW w:w="5760" w:type="dxa"/>
          </w:tcPr>
          <w:p w14:paraId="5182324F" w14:textId="51A6694A" w:rsidR="00C56FD7" w:rsidRDefault="00C56FD7" w:rsidP="00C56FD7">
            <w:pPr>
              <w:ind w:left="360"/>
              <w:rPr>
                <w:b/>
              </w:rPr>
            </w:pPr>
            <w:r w:rsidRPr="00E63A45">
              <w:rPr>
                <w:i/>
              </w:rPr>
              <w:t>Should new individual measurements (</w:t>
            </w:r>
            <w:proofErr w:type="gramStart"/>
            <w:r w:rsidRPr="00E63A45">
              <w:rPr>
                <w:i/>
              </w:rPr>
              <w:t>i.e.</w:t>
            </w:r>
            <w:proofErr w:type="gramEnd"/>
            <w:r w:rsidRPr="00E63A45">
              <w:rPr>
                <w:i/>
              </w:rPr>
              <w:t xml:space="preserve"> field sampling) be undertaken to confirm one or more of the results from modelling?</w:t>
            </w:r>
          </w:p>
        </w:tc>
        <w:tc>
          <w:tcPr>
            <w:tcW w:w="4320" w:type="dxa"/>
          </w:tcPr>
          <w:p w14:paraId="0AD0E0FC" w14:textId="1BFD8C6C" w:rsidR="00C56FD7" w:rsidRPr="002C2013" w:rsidRDefault="00282215" w:rsidP="00C56FD7">
            <w:r>
              <w:t>Review outcomes. variability analysis, margin of safety, multiple lines of evidence. See NEPC</w:t>
            </w:r>
            <w:r w:rsidR="00BB2062">
              <w:t>,</w:t>
            </w:r>
            <w:r>
              <w:t xml:space="preserve"> (1999, as amended)</w:t>
            </w:r>
            <w:r w:rsidR="00BB2062">
              <w:t>; US EPA, (2015a); ITR</w:t>
            </w:r>
            <w:r>
              <w:t>C</w:t>
            </w:r>
            <w:r w:rsidR="00BB2062">
              <w:t>,</w:t>
            </w:r>
            <w:r>
              <w:t xml:space="preserve"> (2014)</w:t>
            </w:r>
          </w:p>
        </w:tc>
      </w:tr>
      <w:tr w:rsidR="00C56FD7" w14:paraId="3D0C9919" w14:textId="77777777" w:rsidTr="00B94328">
        <w:tc>
          <w:tcPr>
            <w:tcW w:w="5760" w:type="dxa"/>
          </w:tcPr>
          <w:p w14:paraId="4FC597D2" w14:textId="35515D3D" w:rsidR="00C56FD7" w:rsidRDefault="00C56FD7" w:rsidP="00C56FD7">
            <w:pPr>
              <w:rPr>
                <w:b/>
              </w:rPr>
            </w:pPr>
            <w:r w:rsidRPr="001314CE">
              <w:rPr>
                <w:b/>
              </w:rPr>
              <w:t>Measurement methods and assessment</w:t>
            </w:r>
          </w:p>
        </w:tc>
        <w:tc>
          <w:tcPr>
            <w:tcW w:w="4320" w:type="dxa"/>
          </w:tcPr>
          <w:p w14:paraId="6A5E41BB" w14:textId="77777777" w:rsidR="00C56FD7" w:rsidRPr="002C2013" w:rsidRDefault="00C56FD7" w:rsidP="00C56FD7"/>
        </w:tc>
      </w:tr>
      <w:tr w:rsidR="00282215" w14:paraId="30DA38B7" w14:textId="77777777" w:rsidTr="00B94328">
        <w:tc>
          <w:tcPr>
            <w:tcW w:w="5760" w:type="dxa"/>
          </w:tcPr>
          <w:p w14:paraId="23FCB700" w14:textId="00B7D02E" w:rsidR="00282215" w:rsidRDefault="00282215" w:rsidP="00C56FD7">
            <w:pPr>
              <w:ind w:left="360"/>
              <w:rPr>
                <w:b/>
              </w:rPr>
            </w:pPr>
            <w:r w:rsidRPr="00B94328">
              <w:rPr>
                <w:i/>
              </w:rPr>
              <w:t>Are the objectives of the sampling and analyses clearly understood?</w:t>
            </w:r>
          </w:p>
        </w:tc>
        <w:tc>
          <w:tcPr>
            <w:tcW w:w="4320" w:type="dxa"/>
            <w:vMerge w:val="restart"/>
          </w:tcPr>
          <w:p w14:paraId="31053BF7" w14:textId="6FA136D3" w:rsidR="00282215" w:rsidRPr="002C2013" w:rsidRDefault="00282215" w:rsidP="00C56FD7">
            <w:r>
              <w:t>See NEPC</w:t>
            </w:r>
            <w:r w:rsidR="00BB2062">
              <w:t>,</w:t>
            </w:r>
            <w:r>
              <w:t xml:space="preserve"> (1999, as amended); US EPA</w:t>
            </w:r>
            <w:r w:rsidR="00BB2062">
              <w:t>,</w:t>
            </w:r>
            <w:r>
              <w:t xml:space="preserve"> (2015a); NSW</w:t>
            </w:r>
            <w:r w:rsidR="00B14BD4">
              <w:t xml:space="preserve"> DECCW</w:t>
            </w:r>
            <w:r w:rsidR="00BB2062">
              <w:t>,</w:t>
            </w:r>
            <w:r w:rsidR="00B14BD4">
              <w:t xml:space="preserve"> (2010);</w:t>
            </w:r>
            <w:r>
              <w:t xml:space="preserve"> </w:t>
            </w:r>
            <w:r w:rsidR="00B14BD4">
              <w:t xml:space="preserve">NSW </w:t>
            </w:r>
            <w:r>
              <w:t>EPA</w:t>
            </w:r>
            <w:r w:rsidR="00BB2062">
              <w:t>,</w:t>
            </w:r>
            <w:r>
              <w:t xml:space="preserve"> (2012</w:t>
            </w:r>
            <w:r w:rsidR="00B14BD4">
              <w:t>).</w:t>
            </w:r>
          </w:p>
        </w:tc>
      </w:tr>
      <w:tr w:rsidR="00282215" w14:paraId="1EEDF7DF" w14:textId="77777777" w:rsidTr="00B94328">
        <w:tc>
          <w:tcPr>
            <w:tcW w:w="5760" w:type="dxa"/>
          </w:tcPr>
          <w:p w14:paraId="6C63D502" w14:textId="6F020D0C" w:rsidR="00282215" w:rsidRDefault="00282215" w:rsidP="00C56FD7">
            <w:pPr>
              <w:ind w:left="360"/>
              <w:rPr>
                <w:b/>
              </w:rPr>
            </w:pPr>
            <w:r w:rsidRPr="00B94328">
              <w:rPr>
                <w:i/>
              </w:rPr>
              <w:t>What data quality objectives (DQOs) will be used?</w:t>
            </w:r>
          </w:p>
        </w:tc>
        <w:tc>
          <w:tcPr>
            <w:tcW w:w="4320" w:type="dxa"/>
            <w:vMerge/>
          </w:tcPr>
          <w:p w14:paraId="4CEF99D9" w14:textId="77777777" w:rsidR="00282215" w:rsidRPr="002C2013" w:rsidRDefault="00282215" w:rsidP="00C56FD7"/>
        </w:tc>
      </w:tr>
      <w:tr w:rsidR="00282215" w14:paraId="198CA95F" w14:textId="77777777" w:rsidTr="00B94328">
        <w:tc>
          <w:tcPr>
            <w:tcW w:w="5760" w:type="dxa"/>
          </w:tcPr>
          <w:p w14:paraId="2FCCE331" w14:textId="522DE3FA" w:rsidR="00282215" w:rsidRDefault="00282215" w:rsidP="00C56FD7">
            <w:pPr>
              <w:ind w:left="360"/>
              <w:rPr>
                <w:b/>
              </w:rPr>
            </w:pPr>
            <w:r w:rsidRPr="00B94328">
              <w:rPr>
                <w:i/>
              </w:rPr>
              <w:t>If DQOs are not met how will this be addressed?</w:t>
            </w:r>
          </w:p>
        </w:tc>
        <w:tc>
          <w:tcPr>
            <w:tcW w:w="4320" w:type="dxa"/>
            <w:vMerge/>
          </w:tcPr>
          <w:p w14:paraId="6234AAE3" w14:textId="77777777" w:rsidR="00282215" w:rsidRPr="002C2013" w:rsidRDefault="00282215" w:rsidP="00C56FD7"/>
        </w:tc>
      </w:tr>
      <w:tr w:rsidR="00C56FD7" w14:paraId="37D0D855" w14:textId="77777777" w:rsidTr="00B94328">
        <w:tc>
          <w:tcPr>
            <w:tcW w:w="5760" w:type="dxa"/>
          </w:tcPr>
          <w:p w14:paraId="5F311FA6" w14:textId="43B28242" w:rsidR="00C56FD7" w:rsidRPr="00E63A45" w:rsidRDefault="00C56FD7" w:rsidP="00C56FD7">
            <w:pPr>
              <w:ind w:left="360"/>
              <w:rPr>
                <w:i/>
              </w:rPr>
            </w:pPr>
            <w:r w:rsidRPr="00B94328">
              <w:rPr>
                <w:i/>
              </w:rPr>
              <w:t>Is historical informa</w:t>
            </w:r>
            <w:r w:rsidR="00B14BD4">
              <w:rPr>
                <w:i/>
              </w:rPr>
              <w:t>tion sufficient to establish COPC</w:t>
            </w:r>
            <w:r w:rsidRPr="00B94328">
              <w:rPr>
                <w:i/>
              </w:rPr>
              <w:t>s?</w:t>
            </w:r>
          </w:p>
        </w:tc>
        <w:tc>
          <w:tcPr>
            <w:tcW w:w="4320" w:type="dxa"/>
          </w:tcPr>
          <w:p w14:paraId="7A9817AA" w14:textId="00E67F9B" w:rsidR="00CE67CC" w:rsidRPr="002C2013" w:rsidRDefault="00CE67CC" w:rsidP="00CE67CC">
            <w:r>
              <w:t>Review site history, see enHealth</w:t>
            </w:r>
            <w:r w:rsidR="00BB2062">
              <w:t>,</w:t>
            </w:r>
            <w:r>
              <w:t xml:space="preserve"> (2012a); NEPC</w:t>
            </w:r>
            <w:r w:rsidR="00BB2062">
              <w:t>,</w:t>
            </w:r>
            <w:r>
              <w:t xml:space="preserve"> (1999, as amended).</w:t>
            </w:r>
          </w:p>
        </w:tc>
      </w:tr>
      <w:tr w:rsidR="00C56FD7" w14:paraId="36CDAD88" w14:textId="77777777" w:rsidTr="00B94328">
        <w:tc>
          <w:tcPr>
            <w:tcW w:w="5760" w:type="dxa"/>
          </w:tcPr>
          <w:p w14:paraId="62080D38" w14:textId="31C14BA5" w:rsidR="00C56FD7" w:rsidRPr="00E63A45" w:rsidRDefault="00C56FD7" w:rsidP="00C56FD7">
            <w:pPr>
              <w:ind w:left="360"/>
              <w:rPr>
                <w:i/>
              </w:rPr>
            </w:pPr>
            <w:r w:rsidRPr="00B94328">
              <w:rPr>
                <w:i/>
              </w:rPr>
              <w:t>Is there a preliminary conceptual site model to guide nature and extent investigations?</w:t>
            </w:r>
          </w:p>
        </w:tc>
        <w:tc>
          <w:tcPr>
            <w:tcW w:w="4320" w:type="dxa"/>
          </w:tcPr>
          <w:p w14:paraId="69EFFD1A" w14:textId="45444DBB" w:rsidR="00C56FD7" w:rsidRPr="002C2013" w:rsidRDefault="00CE67CC" w:rsidP="00C56FD7">
            <w:r>
              <w:t>Review site data, previous reports, see; US EPA</w:t>
            </w:r>
            <w:r w:rsidR="00BB2062">
              <w:t>,</w:t>
            </w:r>
            <w:r>
              <w:t xml:space="preserve"> (2015a).</w:t>
            </w:r>
          </w:p>
        </w:tc>
      </w:tr>
      <w:tr w:rsidR="00CE67CC" w14:paraId="19F54483" w14:textId="77777777" w:rsidTr="00B94328">
        <w:tc>
          <w:tcPr>
            <w:tcW w:w="5760" w:type="dxa"/>
          </w:tcPr>
          <w:p w14:paraId="3C3371A5" w14:textId="51190E27" w:rsidR="00CE67CC" w:rsidRPr="00B94328" w:rsidRDefault="00CE67CC" w:rsidP="00C56FD7">
            <w:pPr>
              <w:ind w:left="360"/>
              <w:rPr>
                <w:i/>
              </w:rPr>
            </w:pPr>
            <w:r w:rsidRPr="00B94328">
              <w:rPr>
                <w:i/>
              </w:rPr>
              <w:t>What sampling will be undertaken; how, using which techniques; when, for how long; and across what areas?</w:t>
            </w:r>
          </w:p>
        </w:tc>
        <w:tc>
          <w:tcPr>
            <w:tcW w:w="4320" w:type="dxa"/>
            <w:vMerge w:val="restart"/>
          </w:tcPr>
          <w:p w14:paraId="5B2293CE" w14:textId="77777777" w:rsidR="00CE67CC" w:rsidRDefault="00CE67CC" w:rsidP="00C56FD7">
            <w:r>
              <w:t xml:space="preserve">See </w:t>
            </w:r>
          </w:p>
          <w:p w14:paraId="06391AEB" w14:textId="2D3B4F9C" w:rsidR="00A721F9" w:rsidRDefault="00A721F9" w:rsidP="00C56FD7">
            <w:r>
              <w:t>NEPC</w:t>
            </w:r>
            <w:r w:rsidR="00BB2062">
              <w:t>,</w:t>
            </w:r>
            <w:r>
              <w:t xml:space="preserve"> (1999, as amended)</w:t>
            </w:r>
          </w:p>
          <w:p w14:paraId="781D39FC" w14:textId="7AC61E8B" w:rsidR="00CE67CC" w:rsidRDefault="00CE67CC" w:rsidP="00C56FD7">
            <w:r>
              <w:t xml:space="preserve">Davis </w:t>
            </w:r>
            <w:r w:rsidR="009A47BA">
              <w:t>et al.,</w:t>
            </w:r>
            <w:r>
              <w:t xml:space="preserve"> (2009</w:t>
            </w:r>
            <w:proofErr w:type="gramStart"/>
            <w:r>
              <w:t>);</w:t>
            </w:r>
            <w:proofErr w:type="gramEnd"/>
            <w:r>
              <w:t xml:space="preserve"> </w:t>
            </w:r>
          </w:p>
          <w:p w14:paraId="38732E4D" w14:textId="1DC646B8" w:rsidR="00A721F9" w:rsidRDefault="00A721F9" w:rsidP="00A721F9">
            <w:r>
              <w:t>DTSC</w:t>
            </w:r>
            <w:r w:rsidR="00BB2062">
              <w:t>,</w:t>
            </w:r>
            <w:r>
              <w:t xml:space="preserve"> (2015</w:t>
            </w:r>
            <w:proofErr w:type="gramStart"/>
            <w:r>
              <w:t>);</w:t>
            </w:r>
            <w:proofErr w:type="gramEnd"/>
          </w:p>
          <w:p w14:paraId="18168FDC" w14:textId="77777777" w:rsidR="00A721F9" w:rsidRDefault="00A721F9" w:rsidP="00A721F9">
            <w:r>
              <w:t>ITRC, (2014</w:t>
            </w:r>
            <w:proofErr w:type="gramStart"/>
            <w:r>
              <w:t>);</w:t>
            </w:r>
            <w:proofErr w:type="gramEnd"/>
          </w:p>
          <w:p w14:paraId="21B86E2F" w14:textId="7ABC6D0C" w:rsidR="00CE67CC" w:rsidRDefault="00CE67CC" w:rsidP="00C56FD7">
            <w:r>
              <w:t>US EPA</w:t>
            </w:r>
            <w:r w:rsidR="00BB2062">
              <w:t>,</w:t>
            </w:r>
            <w:r>
              <w:t xml:space="preserve"> (2015a</w:t>
            </w:r>
            <w:proofErr w:type="gramStart"/>
            <w:r>
              <w:t>);</w:t>
            </w:r>
            <w:proofErr w:type="gramEnd"/>
            <w:r>
              <w:t xml:space="preserve"> </w:t>
            </w:r>
          </w:p>
          <w:p w14:paraId="29B056E1" w14:textId="189E9125" w:rsidR="00C4442F" w:rsidRDefault="00C4442F" w:rsidP="00C56FD7">
            <w:r>
              <w:t>ASTM (2012a, b).</w:t>
            </w:r>
          </w:p>
          <w:p w14:paraId="1C9BA428" w14:textId="4D62FE93" w:rsidR="00CE67CC" w:rsidRPr="002C2013" w:rsidRDefault="00CE67CC" w:rsidP="00A721F9"/>
        </w:tc>
      </w:tr>
      <w:tr w:rsidR="00CE67CC" w14:paraId="49AE6101" w14:textId="77777777" w:rsidTr="00B94328">
        <w:tc>
          <w:tcPr>
            <w:tcW w:w="5760" w:type="dxa"/>
          </w:tcPr>
          <w:p w14:paraId="3F244880" w14:textId="2DC21E0F" w:rsidR="00CE67CC" w:rsidRPr="00B94328" w:rsidRDefault="00CE67CC" w:rsidP="00C56FD7">
            <w:pPr>
              <w:ind w:left="360"/>
              <w:rPr>
                <w:i/>
              </w:rPr>
            </w:pPr>
            <w:r w:rsidRPr="00B94328">
              <w:rPr>
                <w:i/>
              </w:rPr>
              <w:t>What analytical methods will be employed?</w:t>
            </w:r>
          </w:p>
        </w:tc>
        <w:tc>
          <w:tcPr>
            <w:tcW w:w="4320" w:type="dxa"/>
            <w:vMerge/>
          </w:tcPr>
          <w:p w14:paraId="6DFE23C0" w14:textId="77777777" w:rsidR="00CE67CC" w:rsidRPr="002C2013" w:rsidRDefault="00CE67CC" w:rsidP="00C56FD7"/>
        </w:tc>
      </w:tr>
      <w:tr w:rsidR="00CE67CC" w14:paraId="644A9E09" w14:textId="77777777" w:rsidTr="00B94328">
        <w:tc>
          <w:tcPr>
            <w:tcW w:w="5760" w:type="dxa"/>
          </w:tcPr>
          <w:p w14:paraId="67988675" w14:textId="4F7EB8B6" w:rsidR="00CE67CC" w:rsidRPr="00B94328" w:rsidRDefault="00CE67CC" w:rsidP="00C56FD7">
            <w:pPr>
              <w:ind w:left="360"/>
              <w:rPr>
                <w:i/>
              </w:rPr>
            </w:pPr>
            <w:r w:rsidRPr="00B94328">
              <w:rPr>
                <w:i/>
              </w:rPr>
              <w:t>What methods of drilling and installations are required?</w:t>
            </w:r>
          </w:p>
        </w:tc>
        <w:tc>
          <w:tcPr>
            <w:tcW w:w="4320" w:type="dxa"/>
            <w:vMerge/>
          </w:tcPr>
          <w:p w14:paraId="616B167D" w14:textId="77777777" w:rsidR="00CE67CC" w:rsidRPr="002C2013" w:rsidRDefault="00CE67CC" w:rsidP="00C56FD7"/>
        </w:tc>
      </w:tr>
      <w:tr w:rsidR="00CE67CC" w14:paraId="79E4D32C" w14:textId="77777777" w:rsidTr="00B94328">
        <w:tc>
          <w:tcPr>
            <w:tcW w:w="5760" w:type="dxa"/>
          </w:tcPr>
          <w:p w14:paraId="590BAB2D" w14:textId="549B306D" w:rsidR="00CE67CC" w:rsidRPr="00B94328" w:rsidRDefault="00CE67CC" w:rsidP="00C56FD7">
            <w:pPr>
              <w:ind w:left="360"/>
              <w:rPr>
                <w:i/>
              </w:rPr>
            </w:pPr>
            <w:r w:rsidRPr="00B94328">
              <w:rPr>
                <w:i/>
              </w:rPr>
              <w:t>What equilibration times will be used?</w:t>
            </w:r>
          </w:p>
        </w:tc>
        <w:tc>
          <w:tcPr>
            <w:tcW w:w="4320" w:type="dxa"/>
            <w:vMerge/>
          </w:tcPr>
          <w:p w14:paraId="2FB2D010" w14:textId="77777777" w:rsidR="00CE67CC" w:rsidRPr="002C2013" w:rsidRDefault="00CE67CC" w:rsidP="00C56FD7"/>
        </w:tc>
      </w:tr>
      <w:tr w:rsidR="00CE67CC" w14:paraId="56673FBD" w14:textId="77777777" w:rsidTr="00B94328">
        <w:tc>
          <w:tcPr>
            <w:tcW w:w="5760" w:type="dxa"/>
          </w:tcPr>
          <w:p w14:paraId="22E4F4CA" w14:textId="61B38554" w:rsidR="00CE67CC" w:rsidRPr="00B94328" w:rsidRDefault="00CE67CC" w:rsidP="00C56FD7">
            <w:pPr>
              <w:ind w:left="360"/>
              <w:rPr>
                <w:i/>
              </w:rPr>
            </w:pPr>
            <w:r w:rsidRPr="00B94328">
              <w:rPr>
                <w:i/>
              </w:rPr>
              <w:t>What field instrumentation may be used and is it fit for purpose?</w:t>
            </w:r>
          </w:p>
        </w:tc>
        <w:tc>
          <w:tcPr>
            <w:tcW w:w="4320" w:type="dxa"/>
            <w:vMerge/>
          </w:tcPr>
          <w:p w14:paraId="448FA985" w14:textId="77777777" w:rsidR="00CE67CC" w:rsidRPr="002C2013" w:rsidRDefault="00CE67CC" w:rsidP="00C56FD7"/>
        </w:tc>
      </w:tr>
      <w:tr w:rsidR="00CE67CC" w14:paraId="531990D9" w14:textId="77777777" w:rsidTr="00B94328">
        <w:tc>
          <w:tcPr>
            <w:tcW w:w="5760" w:type="dxa"/>
          </w:tcPr>
          <w:p w14:paraId="6D2EF271" w14:textId="077D1376" w:rsidR="00CE67CC" w:rsidRPr="00B94328" w:rsidRDefault="00CE67CC" w:rsidP="00C56FD7">
            <w:pPr>
              <w:ind w:left="360"/>
              <w:rPr>
                <w:i/>
              </w:rPr>
            </w:pPr>
            <w:r w:rsidRPr="00B94328">
              <w:rPr>
                <w:i/>
              </w:rPr>
              <w:t>Are pre-sampling surveys required?</w:t>
            </w:r>
          </w:p>
        </w:tc>
        <w:tc>
          <w:tcPr>
            <w:tcW w:w="4320" w:type="dxa"/>
            <w:vMerge/>
          </w:tcPr>
          <w:p w14:paraId="3D17BF7A" w14:textId="77777777" w:rsidR="00CE67CC" w:rsidRPr="002C2013" w:rsidRDefault="00CE67CC" w:rsidP="00C56FD7"/>
        </w:tc>
      </w:tr>
      <w:tr w:rsidR="00042A24" w14:paraId="3BDEACDB" w14:textId="77777777" w:rsidTr="00B94328">
        <w:tc>
          <w:tcPr>
            <w:tcW w:w="5760" w:type="dxa"/>
          </w:tcPr>
          <w:p w14:paraId="0A89E0FF" w14:textId="7603CCC5" w:rsidR="00042A24" w:rsidRPr="00B94328" w:rsidRDefault="00042A24" w:rsidP="00C56FD7">
            <w:pPr>
              <w:ind w:left="360"/>
              <w:rPr>
                <w:i/>
              </w:rPr>
            </w:pPr>
            <w:r w:rsidRPr="00B94328">
              <w:rPr>
                <w:i/>
              </w:rPr>
              <w:t>Is concurrent testing across transport compartments required?</w:t>
            </w:r>
          </w:p>
        </w:tc>
        <w:tc>
          <w:tcPr>
            <w:tcW w:w="4320" w:type="dxa"/>
            <w:vMerge w:val="restart"/>
          </w:tcPr>
          <w:p w14:paraId="08E12DA2" w14:textId="77777777" w:rsidR="00042A24" w:rsidRDefault="00042A24" w:rsidP="00C56FD7">
            <w:r>
              <w:t xml:space="preserve">See </w:t>
            </w:r>
          </w:p>
          <w:p w14:paraId="065B39F4" w14:textId="26F0D3C0" w:rsidR="00042A24" w:rsidRDefault="00042A24" w:rsidP="00C56FD7">
            <w:r>
              <w:t>ITRC (2014</w:t>
            </w:r>
            <w:proofErr w:type="gramStart"/>
            <w:r>
              <w:t>);</w:t>
            </w:r>
            <w:proofErr w:type="gramEnd"/>
          </w:p>
          <w:p w14:paraId="7FF841CA" w14:textId="0098F39B" w:rsidR="00042A24" w:rsidRDefault="003A7B29" w:rsidP="00C56FD7">
            <w:r>
              <w:t>Johnston and Gibson (2013</w:t>
            </w:r>
            <w:proofErr w:type="gramStart"/>
            <w:r>
              <w:t>);</w:t>
            </w:r>
            <w:proofErr w:type="gramEnd"/>
          </w:p>
          <w:p w14:paraId="1758592C" w14:textId="41E1AA55" w:rsidR="00042A24" w:rsidRDefault="00042A24" w:rsidP="00C56FD7">
            <w:proofErr w:type="spellStart"/>
            <w:r>
              <w:t>Turczynowicz</w:t>
            </w:r>
            <w:proofErr w:type="spellEnd"/>
            <w:r>
              <w:t xml:space="preserve"> </w:t>
            </w:r>
            <w:r w:rsidR="007F3045">
              <w:t>et al.,</w:t>
            </w:r>
            <w:r>
              <w:t xml:space="preserve"> (2012</w:t>
            </w:r>
            <w:proofErr w:type="gramStart"/>
            <w:r>
              <w:t>);</w:t>
            </w:r>
            <w:proofErr w:type="gramEnd"/>
          </w:p>
          <w:p w14:paraId="36C3A9EC" w14:textId="794FCA85" w:rsidR="00042A24" w:rsidRDefault="00042A24" w:rsidP="00C56FD7">
            <w:r>
              <w:t>US EPA (2015a</w:t>
            </w:r>
            <w:proofErr w:type="gramStart"/>
            <w:r>
              <w:t>);</w:t>
            </w:r>
            <w:proofErr w:type="gramEnd"/>
          </w:p>
          <w:p w14:paraId="668949BC" w14:textId="0C706CE1" w:rsidR="00042A24" w:rsidRPr="002C2013" w:rsidRDefault="00BB2062" w:rsidP="00BB2062">
            <w:r>
              <w:t>ITRC, (2014).</w:t>
            </w:r>
          </w:p>
        </w:tc>
      </w:tr>
      <w:tr w:rsidR="00042A24" w14:paraId="7C374686" w14:textId="77777777" w:rsidTr="00B94328">
        <w:tc>
          <w:tcPr>
            <w:tcW w:w="5760" w:type="dxa"/>
          </w:tcPr>
          <w:p w14:paraId="689A1530" w14:textId="421EE2D7" w:rsidR="00042A24" w:rsidRPr="00B94328" w:rsidRDefault="00042A24" w:rsidP="00C56FD7">
            <w:pPr>
              <w:ind w:left="360"/>
              <w:rPr>
                <w:i/>
              </w:rPr>
            </w:pPr>
            <w:r w:rsidRPr="00B94328">
              <w:rPr>
                <w:i/>
              </w:rPr>
              <w:t>How will diurnal and seasonal variability be addressed?</w:t>
            </w:r>
          </w:p>
        </w:tc>
        <w:tc>
          <w:tcPr>
            <w:tcW w:w="4320" w:type="dxa"/>
            <w:vMerge/>
          </w:tcPr>
          <w:p w14:paraId="7A2BC526" w14:textId="77777777" w:rsidR="00042A24" w:rsidRPr="002C2013" w:rsidRDefault="00042A24" w:rsidP="00C56FD7"/>
        </w:tc>
      </w:tr>
      <w:tr w:rsidR="00042A24" w14:paraId="39D387E6" w14:textId="77777777" w:rsidTr="00B94328">
        <w:tc>
          <w:tcPr>
            <w:tcW w:w="5760" w:type="dxa"/>
          </w:tcPr>
          <w:p w14:paraId="6F998F78" w14:textId="52D34FC4" w:rsidR="00042A24" w:rsidRPr="00B94328" w:rsidRDefault="00042A24" w:rsidP="00C56FD7">
            <w:pPr>
              <w:ind w:left="360"/>
              <w:rPr>
                <w:i/>
              </w:rPr>
            </w:pPr>
            <w:r w:rsidRPr="00B94328">
              <w:rPr>
                <w:i/>
              </w:rPr>
              <w:t>How will spatial variability be addressed?</w:t>
            </w:r>
          </w:p>
        </w:tc>
        <w:tc>
          <w:tcPr>
            <w:tcW w:w="4320" w:type="dxa"/>
            <w:vMerge/>
          </w:tcPr>
          <w:p w14:paraId="7121D41E" w14:textId="77777777" w:rsidR="00042A24" w:rsidRPr="002C2013" w:rsidRDefault="00042A24" w:rsidP="00C56FD7"/>
        </w:tc>
      </w:tr>
      <w:tr w:rsidR="00042A24" w14:paraId="3D8391FA" w14:textId="77777777" w:rsidTr="00B94328">
        <w:tc>
          <w:tcPr>
            <w:tcW w:w="5760" w:type="dxa"/>
          </w:tcPr>
          <w:p w14:paraId="031145EB" w14:textId="57B7C648" w:rsidR="00BB2062" w:rsidRPr="00B94328" w:rsidRDefault="00042A24" w:rsidP="00BB2062">
            <w:pPr>
              <w:ind w:left="360"/>
              <w:rPr>
                <w:i/>
              </w:rPr>
            </w:pPr>
            <w:r w:rsidRPr="00B94328">
              <w:rPr>
                <w:i/>
              </w:rPr>
              <w:t>How will worst case scenarios be evaluated?</w:t>
            </w:r>
          </w:p>
        </w:tc>
        <w:tc>
          <w:tcPr>
            <w:tcW w:w="4320" w:type="dxa"/>
            <w:vMerge/>
          </w:tcPr>
          <w:p w14:paraId="48B40729" w14:textId="77777777" w:rsidR="00042A24" w:rsidRPr="002C2013" w:rsidRDefault="00042A24" w:rsidP="00C56FD7"/>
        </w:tc>
      </w:tr>
      <w:tr w:rsidR="00C56FD7" w14:paraId="4C893F29" w14:textId="77777777" w:rsidTr="00B94328">
        <w:tc>
          <w:tcPr>
            <w:tcW w:w="5760" w:type="dxa"/>
          </w:tcPr>
          <w:p w14:paraId="7B840BBE" w14:textId="6E314AC7" w:rsidR="00C56FD7" w:rsidRPr="00B94328" w:rsidRDefault="00C56FD7" w:rsidP="00C56FD7">
            <w:pPr>
              <w:ind w:left="360"/>
              <w:rPr>
                <w:i/>
              </w:rPr>
            </w:pPr>
            <w:r w:rsidRPr="00B94328">
              <w:rPr>
                <w:i/>
              </w:rPr>
              <w:t>Would alternative delineation methods be appropriate?</w:t>
            </w:r>
          </w:p>
        </w:tc>
        <w:tc>
          <w:tcPr>
            <w:tcW w:w="4320" w:type="dxa"/>
          </w:tcPr>
          <w:p w14:paraId="13C375C2" w14:textId="4A1921AC" w:rsidR="00C56FD7" w:rsidRPr="002C2013" w:rsidRDefault="00BB2062" w:rsidP="00C56FD7">
            <w:r>
              <w:t xml:space="preserve">See Davis et al., (2009); </w:t>
            </w:r>
            <w:r w:rsidR="00042A24">
              <w:t>ITRC (2014).</w:t>
            </w:r>
          </w:p>
        </w:tc>
      </w:tr>
      <w:tr w:rsidR="00042A24" w14:paraId="2865A948" w14:textId="77777777" w:rsidTr="00B94328">
        <w:tc>
          <w:tcPr>
            <w:tcW w:w="5760" w:type="dxa"/>
          </w:tcPr>
          <w:p w14:paraId="4848DDC3" w14:textId="059D8FCC" w:rsidR="00042A24" w:rsidRPr="00B94328" w:rsidRDefault="00042A24" w:rsidP="00C56FD7">
            <w:pPr>
              <w:ind w:left="360"/>
              <w:rPr>
                <w:i/>
              </w:rPr>
            </w:pPr>
            <w:r w:rsidRPr="00B94328">
              <w:rPr>
                <w:i/>
              </w:rPr>
              <w:t>How will potential biodegradation be assessed?</w:t>
            </w:r>
          </w:p>
        </w:tc>
        <w:tc>
          <w:tcPr>
            <w:tcW w:w="4320" w:type="dxa"/>
            <w:vMerge w:val="restart"/>
          </w:tcPr>
          <w:p w14:paraId="52FF663D" w14:textId="671D818B" w:rsidR="00042A24" w:rsidRDefault="00042A24" w:rsidP="00C56FD7">
            <w:r>
              <w:t>See US EPA (2015a); ITRC, (2014).</w:t>
            </w:r>
          </w:p>
          <w:p w14:paraId="2E7061D3" w14:textId="3ED424F6" w:rsidR="00042A24" w:rsidRPr="002C2013" w:rsidRDefault="00BB2062" w:rsidP="00BB2062">
            <w:r>
              <w:t>Professional judgement is required for sampling methodology as there is currently no established indoor air sampling methodology.</w:t>
            </w:r>
          </w:p>
        </w:tc>
      </w:tr>
      <w:tr w:rsidR="00042A24" w14:paraId="7BD96421" w14:textId="77777777" w:rsidTr="00B94328">
        <w:tc>
          <w:tcPr>
            <w:tcW w:w="5760" w:type="dxa"/>
          </w:tcPr>
          <w:p w14:paraId="7DD2523D" w14:textId="67C76F6C" w:rsidR="00042A24" w:rsidRPr="00B94328" w:rsidRDefault="00042A24" w:rsidP="00C56FD7">
            <w:pPr>
              <w:ind w:left="360"/>
              <w:rPr>
                <w:i/>
              </w:rPr>
            </w:pPr>
            <w:r w:rsidRPr="00B94328">
              <w:rPr>
                <w:i/>
              </w:rPr>
              <w:t>How many iterations of sampling will be undertaken?</w:t>
            </w:r>
          </w:p>
        </w:tc>
        <w:tc>
          <w:tcPr>
            <w:tcW w:w="4320" w:type="dxa"/>
            <w:vMerge/>
          </w:tcPr>
          <w:p w14:paraId="08A9F99B" w14:textId="77777777" w:rsidR="00042A24" w:rsidRPr="002C2013" w:rsidRDefault="00042A24" w:rsidP="00C56FD7"/>
        </w:tc>
      </w:tr>
      <w:tr w:rsidR="00042A24" w14:paraId="29A1D52D" w14:textId="77777777" w:rsidTr="00B94328">
        <w:tc>
          <w:tcPr>
            <w:tcW w:w="5760" w:type="dxa"/>
          </w:tcPr>
          <w:p w14:paraId="5DE3485D" w14:textId="489CA835" w:rsidR="00042A24" w:rsidRPr="00B94328" w:rsidRDefault="00042A24" w:rsidP="00C56FD7">
            <w:pPr>
              <w:ind w:left="360"/>
              <w:rPr>
                <w:i/>
              </w:rPr>
            </w:pPr>
            <w:r w:rsidRPr="00B94328">
              <w:rPr>
                <w:i/>
              </w:rPr>
              <w:t xml:space="preserve">For how long </w:t>
            </w:r>
            <w:proofErr w:type="gramStart"/>
            <w:r w:rsidRPr="00B94328">
              <w:rPr>
                <w:i/>
              </w:rPr>
              <w:t>will the sampling</w:t>
            </w:r>
            <w:proofErr w:type="gramEnd"/>
            <w:r w:rsidRPr="00B94328">
              <w:rPr>
                <w:i/>
              </w:rPr>
              <w:t xml:space="preserve"> be undertaken?</w:t>
            </w:r>
          </w:p>
        </w:tc>
        <w:tc>
          <w:tcPr>
            <w:tcW w:w="4320" w:type="dxa"/>
            <w:vMerge/>
          </w:tcPr>
          <w:p w14:paraId="735BF3B8" w14:textId="77777777" w:rsidR="00042A24" w:rsidRPr="002C2013" w:rsidRDefault="00042A24" w:rsidP="00C56FD7"/>
        </w:tc>
      </w:tr>
      <w:tr w:rsidR="00042A24" w14:paraId="66C0546F" w14:textId="77777777" w:rsidTr="00B94328">
        <w:tc>
          <w:tcPr>
            <w:tcW w:w="5760" w:type="dxa"/>
          </w:tcPr>
          <w:p w14:paraId="407BF896" w14:textId="2D720EF2" w:rsidR="00042A24" w:rsidRPr="00B94328" w:rsidRDefault="00042A24" w:rsidP="00C56FD7">
            <w:pPr>
              <w:ind w:left="360"/>
              <w:rPr>
                <w:i/>
              </w:rPr>
            </w:pPr>
            <w:r w:rsidRPr="00B94328">
              <w:rPr>
                <w:i/>
              </w:rPr>
              <w:t>Will grab samples be employed?</w:t>
            </w:r>
          </w:p>
        </w:tc>
        <w:tc>
          <w:tcPr>
            <w:tcW w:w="4320" w:type="dxa"/>
            <w:vMerge/>
          </w:tcPr>
          <w:p w14:paraId="6EFC7924" w14:textId="77777777" w:rsidR="00042A24" w:rsidRPr="002C2013" w:rsidRDefault="00042A24" w:rsidP="00C56FD7"/>
        </w:tc>
      </w:tr>
      <w:tr w:rsidR="00042A24" w14:paraId="54D53915" w14:textId="77777777" w:rsidTr="00B94328">
        <w:tc>
          <w:tcPr>
            <w:tcW w:w="5760" w:type="dxa"/>
          </w:tcPr>
          <w:p w14:paraId="7B7417FD" w14:textId="397FFB19" w:rsidR="00042A24" w:rsidRPr="00B94328" w:rsidRDefault="00042A24" w:rsidP="00C56FD7">
            <w:pPr>
              <w:ind w:left="360"/>
              <w:rPr>
                <w:i/>
              </w:rPr>
            </w:pPr>
            <w:r w:rsidRPr="00B94328">
              <w:rPr>
                <w:i/>
              </w:rPr>
              <w:t>What meteorological information will be collected?</w:t>
            </w:r>
          </w:p>
        </w:tc>
        <w:tc>
          <w:tcPr>
            <w:tcW w:w="4320" w:type="dxa"/>
            <w:vMerge/>
          </w:tcPr>
          <w:p w14:paraId="2FC933CE" w14:textId="77777777" w:rsidR="00042A24" w:rsidRPr="002C2013" w:rsidRDefault="00042A24" w:rsidP="00C56FD7"/>
        </w:tc>
      </w:tr>
    </w:tbl>
    <w:p w14:paraId="63EF18A7" w14:textId="77777777" w:rsidR="00BB2062" w:rsidRDefault="00BB2062" w:rsidP="00C56FD7">
      <w:pPr>
        <w:ind w:left="360"/>
        <w:rPr>
          <w:i/>
        </w:rPr>
        <w:sectPr w:rsidR="00BB2062" w:rsidSect="0033074A">
          <w:pgSz w:w="12240" w:h="15840"/>
          <w:pgMar w:top="1890" w:right="1440" w:bottom="1440" w:left="1440" w:header="720" w:footer="576" w:gutter="0"/>
          <w:cols w:space="720"/>
          <w:docGrid w:linePitch="299"/>
        </w:sectPr>
      </w:pPr>
    </w:p>
    <w:tbl>
      <w:tblPr>
        <w:tblStyle w:val="TableGrid"/>
        <w:tblW w:w="10080" w:type="dxa"/>
        <w:tblInd w:w="-72" w:type="dxa"/>
        <w:tblLook w:val="04A0" w:firstRow="1" w:lastRow="0" w:firstColumn="1" w:lastColumn="0" w:noHBand="0" w:noVBand="1"/>
      </w:tblPr>
      <w:tblGrid>
        <w:gridCol w:w="5760"/>
        <w:gridCol w:w="4320"/>
      </w:tblGrid>
      <w:tr w:rsidR="00BB2062" w14:paraId="4ECC48EA" w14:textId="77777777" w:rsidTr="00B94328">
        <w:tc>
          <w:tcPr>
            <w:tcW w:w="5760" w:type="dxa"/>
          </w:tcPr>
          <w:p w14:paraId="5058242A" w14:textId="0F546336" w:rsidR="00BB2062" w:rsidRPr="00B94328" w:rsidRDefault="00BB2062" w:rsidP="00BB2062">
            <w:pPr>
              <w:ind w:left="360"/>
              <w:rPr>
                <w:i/>
              </w:rPr>
            </w:pPr>
            <w:r>
              <w:rPr>
                <w:b/>
              </w:rPr>
              <w:lastRenderedPageBreak/>
              <w:t>Question</w:t>
            </w:r>
          </w:p>
        </w:tc>
        <w:tc>
          <w:tcPr>
            <w:tcW w:w="4320" w:type="dxa"/>
          </w:tcPr>
          <w:p w14:paraId="607049CE" w14:textId="3CAD4FB6" w:rsidR="00BB2062" w:rsidRPr="002C2013" w:rsidRDefault="00BB2062" w:rsidP="00BB2062">
            <w:r>
              <w:rPr>
                <w:b/>
              </w:rPr>
              <w:t>Source of information</w:t>
            </w:r>
            <w:r w:rsidR="005C0774">
              <w:rPr>
                <w:b/>
              </w:rPr>
              <w:t>/Guidance</w:t>
            </w:r>
          </w:p>
        </w:tc>
      </w:tr>
      <w:tr w:rsidR="00BB2062" w14:paraId="74586EB6" w14:textId="77777777" w:rsidTr="00B94328">
        <w:tc>
          <w:tcPr>
            <w:tcW w:w="5760" w:type="dxa"/>
          </w:tcPr>
          <w:p w14:paraId="55A49935" w14:textId="1C5E05D1" w:rsidR="00BB2062" w:rsidRPr="00B94328" w:rsidRDefault="00BB2062" w:rsidP="00BB2062">
            <w:pPr>
              <w:ind w:left="360"/>
              <w:rPr>
                <w:i/>
              </w:rPr>
            </w:pPr>
            <w:r w:rsidRPr="001314CE">
              <w:rPr>
                <w:b/>
              </w:rPr>
              <w:t>Measurement methods and assessment</w:t>
            </w:r>
            <w:r>
              <w:rPr>
                <w:b/>
              </w:rPr>
              <w:t xml:space="preserve"> (</w:t>
            </w:r>
            <w:r w:rsidR="008D4243">
              <w:rPr>
                <w:b/>
              </w:rPr>
              <w:t>cont.</w:t>
            </w:r>
            <w:r>
              <w:rPr>
                <w:b/>
              </w:rPr>
              <w:t>)</w:t>
            </w:r>
          </w:p>
        </w:tc>
        <w:tc>
          <w:tcPr>
            <w:tcW w:w="4320" w:type="dxa"/>
          </w:tcPr>
          <w:p w14:paraId="26967021" w14:textId="77777777" w:rsidR="00BB2062" w:rsidRPr="002C2013" w:rsidRDefault="00BB2062" w:rsidP="00BB2062"/>
        </w:tc>
      </w:tr>
      <w:tr w:rsidR="00BB2062" w14:paraId="0D721024" w14:textId="77777777" w:rsidTr="00B94328">
        <w:tc>
          <w:tcPr>
            <w:tcW w:w="5760" w:type="dxa"/>
          </w:tcPr>
          <w:p w14:paraId="12FBACE7" w14:textId="48E713CA" w:rsidR="00BB2062" w:rsidRPr="00B94328" w:rsidRDefault="00BB2062" w:rsidP="00BB2062">
            <w:pPr>
              <w:ind w:left="360"/>
              <w:rPr>
                <w:i/>
              </w:rPr>
            </w:pPr>
            <w:r w:rsidRPr="00B94328">
              <w:rPr>
                <w:i/>
              </w:rPr>
              <w:t>What supplementary information will be collected and how will this be used?</w:t>
            </w:r>
          </w:p>
        </w:tc>
        <w:tc>
          <w:tcPr>
            <w:tcW w:w="4320" w:type="dxa"/>
          </w:tcPr>
          <w:p w14:paraId="5C24DE53" w14:textId="1EDDBF84" w:rsidR="00BB2062" w:rsidRPr="002C2013" w:rsidRDefault="00261D8A" w:rsidP="00BB2062">
            <w:r>
              <w:t>Review multiple lines of evidence, see J</w:t>
            </w:r>
            <w:r w:rsidR="008D4243">
              <w:t>ohnson and Gibso</w:t>
            </w:r>
            <w:r>
              <w:t>n (2015); US EPA, (2015).</w:t>
            </w:r>
          </w:p>
        </w:tc>
      </w:tr>
      <w:tr w:rsidR="00BB2062" w14:paraId="5A21C2B2" w14:textId="77777777" w:rsidTr="00B94328">
        <w:tc>
          <w:tcPr>
            <w:tcW w:w="5760" w:type="dxa"/>
          </w:tcPr>
          <w:p w14:paraId="6BE1DD76" w14:textId="6C018D35" w:rsidR="00BB2062" w:rsidRPr="00B94328" w:rsidRDefault="00BB2062" w:rsidP="00BB2062">
            <w:pPr>
              <w:ind w:left="360"/>
              <w:rPr>
                <w:i/>
              </w:rPr>
            </w:pPr>
            <w:r w:rsidRPr="00B94328">
              <w:rPr>
                <w:i/>
              </w:rPr>
              <w:t>Are there preferential pathways requiring measurement?</w:t>
            </w:r>
          </w:p>
        </w:tc>
        <w:tc>
          <w:tcPr>
            <w:tcW w:w="4320" w:type="dxa"/>
          </w:tcPr>
          <w:p w14:paraId="52F9F466" w14:textId="642A71B2" w:rsidR="00BB2062" w:rsidRPr="002C2013" w:rsidRDefault="00261D8A" w:rsidP="00BB2062">
            <w:r>
              <w:t>Review site-specific information from local council and water/power/communications companies.</w:t>
            </w:r>
          </w:p>
        </w:tc>
      </w:tr>
      <w:tr w:rsidR="00BB2062" w14:paraId="1259D0BB" w14:textId="77777777" w:rsidTr="00B94328">
        <w:tc>
          <w:tcPr>
            <w:tcW w:w="5760" w:type="dxa"/>
          </w:tcPr>
          <w:p w14:paraId="40D769F3" w14:textId="3EB839FC" w:rsidR="00BB2062" w:rsidRPr="00B94328" w:rsidRDefault="00BB2062" w:rsidP="00BB2062">
            <w:pPr>
              <w:ind w:left="360"/>
              <w:rPr>
                <w:i/>
              </w:rPr>
            </w:pPr>
            <w:r>
              <w:rPr>
                <w:b/>
              </w:rPr>
              <w:t>Risk management</w:t>
            </w:r>
          </w:p>
        </w:tc>
        <w:tc>
          <w:tcPr>
            <w:tcW w:w="4320" w:type="dxa"/>
          </w:tcPr>
          <w:p w14:paraId="23085962" w14:textId="77777777" w:rsidR="00BB2062" w:rsidRDefault="00BB2062" w:rsidP="00BB2062">
            <w:pPr>
              <w:rPr>
                <w:b/>
              </w:rPr>
            </w:pPr>
          </w:p>
        </w:tc>
      </w:tr>
      <w:tr w:rsidR="003A7A36" w14:paraId="6E467AB7" w14:textId="77777777" w:rsidTr="00B94328">
        <w:tc>
          <w:tcPr>
            <w:tcW w:w="5760" w:type="dxa"/>
          </w:tcPr>
          <w:p w14:paraId="5C37181B" w14:textId="5F0A58C2" w:rsidR="003A7A36" w:rsidRPr="00B94328" w:rsidRDefault="003A7A36" w:rsidP="003A7A36">
            <w:pPr>
              <w:ind w:left="360"/>
              <w:rPr>
                <w:i/>
              </w:rPr>
            </w:pPr>
            <w:r w:rsidRPr="00B94328">
              <w:rPr>
                <w:i/>
              </w:rPr>
              <w:t>What residential areas are nearby and are they within range of off-site impacts?</w:t>
            </w:r>
          </w:p>
        </w:tc>
        <w:tc>
          <w:tcPr>
            <w:tcW w:w="4320" w:type="dxa"/>
          </w:tcPr>
          <w:p w14:paraId="48A49DCC" w14:textId="1A672B3A" w:rsidR="003A7A36" w:rsidRDefault="003A7A36" w:rsidP="003A7A36">
            <w:pPr>
              <w:rPr>
                <w:b/>
              </w:rPr>
            </w:pPr>
            <w:r>
              <w:t>Refer local Council/planning data; ABS on-line data; local health agency survey data.</w:t>
            </w:r>
          </w:p>
        </w:tc>
      </w:tr>
      <w:tr w:rsidR="003A7A36" w14:paraId="4F2B5BD4" w14:textId="77777777" w:rsidTr="00B94328">
        <w:tc>
          <w:tcPr>
            <w:tcW w:w="5760" w:type="dxa"/>
          </w:tcPr>
          <w:p w14:paraId="20DEB5FE" w14:textId="6E64A4AD" w:rsidR="003A7A36" w:rsidRPr="00B94328" w:rsidRDefault="003A7A36" w:rsidP="003A7A36">
            <w:pPr>
              <w:ind w:left="360"/>
              <w:rPr>
                <w:i/>
              </w:rPr>
            </w:pPr>
            <w:r w:rsidRPr="00B94328">
              <w:rPr>
                <w:i/>
              </w:rPr>
              <w:t>What landfill bulk gases will be examined?</w:t>
            </w:r>
          </w:p>
        </w:tc>
        <w:tc>
          <w:tcPr>
            <w:tcW w:w="4320" w:type="dxa"/>
            <w:vMerge w:val="restart"/>
          </w:tcPr>
          <w:p w14:paraId="1AF8A053" w14:textId="54C305E2" w:rsidR="003A7A36" w:rsidRPr="003A7A36" w:rsidRDefault="003A7A36" w:rsidP="003A7A36">
            <w:r w:rsidRPr="003A7A36">
              <w:t xml:space="preserve">See </w:t>
            </w:r>
            <w:r>
              <w:t>EA (2010; 2012a;2012b)</w:t>
            </w:r>
          </w:p>
        </w:tc>
      </w:tr>
      <w:tr w:rsidR="003A7A36" w14:paraId="21D7873E" w14:textId="77777777" w:rsidTr="00B94328">
        <w:tc>
          <w:tcPr>
            <w:tcW w:w="5760" w:type="dxa"/>
          </w:tcPr>
          <w:p w14:paraId="4D6EBF63" w14:textId="19118248" w:rsidR="003A7A36" w:rsidRPr="00B94328" w:rsidRDefault="003A7A36" w:rsidP="003A7A36">
            <w:pPr>
              <w:ind w:left="360"/>
              <w:rPr>
                <w:i/>
              </w:rPr>
            </w:pPr>
            <w:r w:rsidRPr="00B94328">
              <w:rPr>
                <w:i/>
              </w:rPr>
              <w:t xml:space="preserve">What landfill trace gases and </w:t>
            </w:r>
            <w:proofErr w:type="spellStart"/>
            <w:r w:rsidRPr="00B94328">
              <w:rPr>
                <w:i/>
              </w:rPr>
              <w:t>vapours</w:t>
            </w:r>
            <w:proofErr w:type="spellEnd"/>
            <w:r w:rsidRPr="00B94328">
              <w:rPr>
                <w:i/>
              </w:rPr>
              <w:t xml:space="preserve"> will be examined?</w:t>
            </w:r>
          </w:p>
        </w:tc>
        <w:tc>
          <w:tcPr>
            <w:tcW w:w="4320" w:type="dxa"/>
            <w:vMerge/>
          </w:tcPr>
          <w:p w14:paraId="2CB11DF8" w14:textId="77777777" w:rsidR="003A7A36" w:rsidRPr="003A7A36" w:rsidRDefault="003A7A36" w:rsidP="003A7A36"/>
        </w:tc>
      </w:tr>
      <w:tr w:rsidR="003A7A36" w14:paraId="47D2E4DC" w14:textId="77777777" w:rsidTr="00B94328">
        <w:tc>
          <w:tcPr>
            <w:tcW w:w="5760" w:type="dxa"/>
          </w:tcPr>
          <w:p w14:paraId="646C0853" w14:textId="5D1F7D06" w:rsidR="003A7A36" w:rsidRPr="00B94328" w:rsidRDefault="003A7A36" w:rsidP="003A7A36">
            <w:pPr>
              <w:ind w:left="360"/>
              <w:rPr>
                <w:i/>
              </w:rPr>
            </w:pPr>
            <w:r w:rsidRPr="00B94328">
              <w:rPr>
                <w:i/>
              </w:rPr>
              <w:t>Which GSVs endpoints will be used?</w:t>
            </w:r>
          </w:p>
        </w:tc>
        <w:tc>
          <w:tcPr>
            <w:tcW w:w="4320" w:type="dxa"/>
          </w:tcPr>
          <w:p w14:paraId="1F8837D7" w14:textId="4D0F26D7" w:rsidR="003A7A36" w:rsidRPr="003A7A36" w:rsidRDefault="003A7A36" w:rsidP="003A7A36">
            <w:r>
              <w:t xml:space="preserve">See Wilson, (2007); NSW EPA (2012); </w:t>
            </w:r>
          </w:p>
        </w:tc>
      </w:tr>
      <w:tr w:rsidR="003A7A36" w14:paraId="3E63EFD9" w14:textId="77777777" w:rsidTr="00B94328">
        <w:tc>
          <w:tcPr>
            <w:tcW w:w="5760" w:type="dxa"/>
          </w:tcPr>
          <w:p w14:paraId="00A296C8" w14:textId="499621CF" w:rsidR="003A7A36" w:rsidRPr="00B94328" w:rsidRDefault="003A7A36" w:rsidP="003A7A36">
            <w:pPr>
              <w:ind w:left="360"/>
              <w:rPr>
                <w:i/>
              </w:rPr>
            </w:pPr>
            <w:r w:rsidRPr="00B94328">
              <w:rPr>
                <w:i/>
              </w:rPr>
              <w:t>How will the landfill sub-surface heterogeneity be examined?</w:t>
            </w:r>
          </w:p>
        </w:tc>
        <w:tc>
          <w:tcPr>
            <w:tcW w:w="4320" w:type="dxa"/>
          </w:tcPr>
          <w:p w14:paraId="787F1560" w14:textId="1B954C72" w:rsidR="003A7A36" w:rsidRPr="003A7A36" w:rsidRDefault="003A7A36" w:rsidP="003A7A36">
            <w:r>
              <w:t>See EA (2012a, b); Baker, (2009).</w:t>
            </w:r>
          </w:p>
        </w:tc>
      </w:tr>
      <w:tr w:rsidR="003A7A36" w14:paraId="47F2764C" w14:textId="77777777" w:rsidTr="00B94328">
        <w:tc>
          <w:tcPr>
            <w:tcW w:w="5760" w:type="dxa"/>
          </w:tcPr>
          <w:p w14:paraId="1AF53379" w14:textId="751F89E4" w:rsidR="003A7A36" w:rsidRPr="00B94328" w:rsidRDefault="003A7A36" w:rsidP="003A7A36">
            <w:pPr>
              <w:ind w:left="360"/>
              <w:rPr>
                <w:i/>
              </w:rPr>
            </w:pPr>
            <w:r w:rsidRPr="00B94328">
              <w:rPr>
                <w:i/>
              </w:rPr>
              <w:t>What off-site testing may be involved?</w:t>
            </w:r>
          </w:p>
        </w:tc>
        <w:tc>
          <w:tcPr>
            <w:tcW w:w="4320" w:type="dxa"/>
          </w:tcPr>
          <w:p w14:paraId="4BC4620D" w14:textId="3B7FBDE2" w:rsidR="003A7A36" w:rsidRPr="00390772" w:rsidRDefault="003A7A36" w:rsidP="003A7A36">
            <w:r w:rsidRPr="00390772">
              <w:t>Review</w:t>
            </w:r>
            <w:r>
              <w:t xml:space="preserve"> site-specific environmental setting and all exposures pathways – both direct and indirect. See EA (2012a, b); Baker, (2009); Wilson, (2007); NSW EPA (2012). </w:t>
            </w:r>
          </w:p>
        </w:tc>
      </w:tr>
      <w:tr w:rsidR="003A7A36" w14:paraId="6D4DC4ED" w14:textId="77777777" w:rsidTr="00B94328">
        <w:tc>
          <w:tcPr>
            <w:tcW w:w="5760" w:type="dxa"/>
          </w:tcPr>
          <w:p w14:paraId="3F2C1818" w14:textId="2449B50A" w:rsidR="003A7A36" w:rsidRPr="00B94328" w:rsidRDefault="003A7A36" w:rsidP="003A7A36">
            <w:pPr>
              <w:ind w:left="360"/>
              <w:rPr>
                <w:i/>
              </w:rPr>
            </w:pPr>
            <w:r w:rsidRPr="00B94328">
              <w:rPr>
                <w:i/>
              </w:rPr>
              <w:t>How will information to residents be communicated if off-site testing is required?</w:t>
            </w:r>
          </w:p>
        </w:tc>
        <w:tc>
          <w:tcPr>
            <w:tcW w:w="4320" w:type="dxa"/>
          </w:tcPr>
          <w:p w14:paraId="19A5161B" w14:textId="71660F57" w:rsidR="003A7A36" w:rsidRDefault="003A7A36" w:rsidP="003A7A36">
            <w:pPr>
              <w:rPr>
                <w:b/>
              </w:rPr>
            </w:pPr>
            <w:r>
              <w:t xml:space="preserve">See </w:t>
            </w:r>
            <w:proofErr w:type="spellStart"/>
            <w:r>
              <w:t>Covello</w:t>
            </w:r>
            <w:proofErr w:type="spellEnd"/>
            <w:r>
              <w:t xml:space="preserve"> and Allen (1988); enHealth (2012a); US EPA (2014b, 2015b).</w:t>
            </w:r>
          </w:p>
        </w:tc>
      </w:tr>
      <w:tr w:rsidR="003A7A36" w14:paraId="6D563451" w14:textId="77777777" w:rsidTr="00B94328">
        <w:tc>
          <w:tcPr>
            <w:tcW w:w="5760" w:type="dxa"/>
          </w:tcPr>
          <w:p w14:paraId="6FC8E1A2" w14:textId="7E4C40E1" w:rsidR="003A7A36" w:rsidRPr="00B94328" w:rsidRDefault="003A7A36" w:rsidP="003A7A36">
            <w:pPr>
              <w:ind w:left="360"/>
              <w:rPr>
                <w:i/>
              </w:rPr>
            </w:pPr>
            <w:r w:rsidRPr="00942938">
              <w:rPr>
                <w:i/>
              </w:rPr>
              <w:t xml:space="preserve">Has a </w:t>
            </w:r>
            <w:r>
              <w:rPr>
                <w:i/>
              </w:rPr>
              <w:t xml:space="preserve">sound conceptual site model </w:t>
            </w:r>
            <w:r w:rsidRPr="00942938">
              <w:rPr>
                <w:i/>
              </w:rPr>
              <w:t>been developed?</w:t>
            </w:r>
          </w:p>
        </w:tc>
        <w:tc>
          <w:tcPr>
            <w:tcW w:w="4320" w:type="dxa"/>
            <w:vMerge w:val="restart"/>
          </w:tcPr>
          <w:p w14:paraId="0884E51D" w14:textId="0F298861" w:rsidR="003A7A36" w:rsidRPr="00C56FD7" w:rsidRDefault="003A7A36" w:rsidP="003A7A36">
            <w:r w:rsidRPr="00C56FD7">
              <w:t>Seek qualified peer-review</w:t>
            </w:r>
            <w:r>
              <w:t>.</w:t>
            </w:r>
          </w:p>
        </w:tc>
      </w:tr>
      <w:tr w:rsidR="003A7A36" w14:paraId="47712CE1" w14:textId="77777777" w:rsidTr="00B94328">
        <w:tc>
          <w:tcPr>
            <w:tcW w:w="5760" w:type="dxa"/>
          </w:tcPr>
          <w:p w14:paraId="1F21FCC4" w14:textId="2E040AE3" w:rsidR="003A7A36" w:rsidRPr="00B94328" w:rsidRDefault="003A7A36" w:rsidP="003A7A36">
            <w:pPr>
              <w:ind w:left="360"/>
              <w:rPr>
                <w:i/>
              </w:rPr>
            </w:pPr>
            <w:r w:rsidRPr="007907E4">
              <w:rPr>
                <w:i/>
              </w:rPr>
              <w:t>Is the conceptual site model supported by multiple lines of evidence?</w:t>
            </w:r>
          </w:p>
        </w:tc>
        <w:tc>
          <w:tcPr>
            <w:tcW w:w="4320" w:type="dxa"/>
            <w:vMerge/>
          </w:tcPr>
          <w:p w14:paraId="75EAB00F" w14:textId="77777777" w:rsidR="003A7A36" w:rsidRDefault="003A7A36" w:rsidP="003A7A36">
            <w:pPr>
              <w:rPr>
                <w:b/>
              </w:rPr>
            </w:pPr>
          </w:p>
        </w:tc>
      </w:tr>
      <w:tr w:rsidR="003A7A36" w14:paraId="03E94291" w14:textId="77777777" w:rsidTr="00B94328">
        <w:tc>
          <w:tcPr>
            <w:tcW w:w="5760" w:type="dxa"/>
          </w:tcPr>
          <w:p w14:paraId="35A80BA8" w14:textId="2056F12B" w:rsidR="003A7A36" w:rsidRPr="00B94328" w:rsidRDefault="003A7A36" w:rsidP="003A7A36">
            <w:pPr>
              <w:ind w:left="360"/>
              <w:rPr>
                <w:i/>
              </w:rPr>
            </w:pPr>
            <w:r w:rsidRPr="007907E4">
              <w:rPr>
                <w:i/>
              </w:rPr>
              <w:t xml:space="preserve">Have the subsurface </w:t>
            </w:r>
            <w:proofErr w:type="spellStart"/>
            <w:r w:rsidRPr="007907E4">
              <w:rPr>
                <w:i/>
              </w:rPr>
              <w:t>vapour</w:t>
            </w:r>
            <w:proofErr w:type="spellEnd"/>
            <w:r w:rsidRPr="007907E4">
              <w:rPr>
                <w:i/>
              </w:rPr>
              <w:t xml:space="preserve"> sources been characterized sufficiently to support risk management decisions for the site?</w:t>
            </w:r>
          </w:p>
        </w:tc>
        <w:tc>
          <w:tcPr>
            <w:tcW w:w="4320" w:type="dxa"/>
            <w:vMerge/>
          </w:tcPr>
          <w:p w14:paraId="0AD40C51" w14:textId="77777777" w:rsidR="003A7A36" w:rsidRDefault="003A7A36" w:rsidP="003A7A36">
            <w:pPr>
              <w:rPr>
                <w:b/>
              </w:rPr>
            </w:pPr>
          </w:p>
        </w:tc>
      </w:tr>
      <w:tr w:rsidR="00084F8A" w14:paraId="5760FCF8" w14:textId="77777777" w:rsidTr="00B94328">
        <w:tc>
          <w:tcPr>
            <w:tcW w:w="5760" w:type="dxa"/>
          </w:tcPr>
          <w:p w14:paraId="7BE095A7" w14:textId="79012D99" w:rsidR="00084F8A" w:rsidRPr="00B94328" w:rsidRDefault="00084F8A" w:rsidP="003A7A36">
            <w:pPr>
              <w:ind w:left="360"/>
              <w:rPr>
                <w:i/>
              </w:rPr>
            </w:pPr>
            <w:r w:rsidRPr="007907E4">
              <w:rPr>
                <w:i/>
              </w:rPr>
              <w:t>What is the nature of the issues and what type of response action is required?</w:t>
            </w:r>
          </w:p>
        </w:tc>
        <w:tc>
          <w:tcPr>
            <w:tcW w:w="4320" w:type="dxa"/>
            <w:vMerge w:val="restart"/>
          </w:tcPr>
          <w:p w14:paraId="4F762498" w14:textId="77777777" w:rsidR="00084F8A" w:rsidRDefault="00084F8A" w:rsidP="006C2F51">
            <w:r>
              <w:t>Revi</w:t>
            </w:r>
            <w:r w:rsidR="006C2F51">
              <w:t>ew of all available information and d</w:t>
            </w:r>
            <w:r w:rsidRPr="00BB2062">
              <w:t>is</w:t>
            </w:r>
            <w:r>
              <w:t>cussion and agreement with all stakeholders.</w:t>
            </w:r>
          </w:p>
          <w:p w14:paraId="6C9CDF29" w14:textId="0190B856" w:rsidR="006C2F51" w:rsidRDefault="006C2F51" w:rsidP="006C2F51">
            <w:pPr>
              <w:pStyle w:val="ListParagraph"/>
              <w:numPr>
                <w:ilvl w:val="0"/>
                <w:numId w:val="39"/>
              </w:numPr>
            </w:pPr>
            <w:r>
              <w:t>Key concerns</w:t>
            </w:r>
            <w:r w:rsidR="00440A00">
              <w:t>.</w:t>
            </w:r>
          </w:p>
          <w:p w14:paraId="7040E650" w14:textId="7210977E" w:rsidR="006C2F51" w:rsidRDefault="006C2F51" w:rsidP="006C2F51">
            <w:pPr>
              <w:pStyle w:val="ListParagraph"/>
              <w:numPr>
                <w:ilvl w:val="0"/>
                <w:numId w:val="39"/>
              </w:numPr>
            </w:pPr>
            <w:r>
              <w:t>Timeframes</w:t>
            </w:r>
            <w:r w:rsidR="00440A00">
              <w:t>.</w:t>
            </w:r>
          </w:p>
          <w:p w14:paraId="7D96040B" w14:textId="7B7FD4B8" w:rsidR="006C2F51" w:rsidRDefault="006C2F51" w:rsidP="006C2F51">
            <w:pPr>
              <w:pStyle w:val="ListParagraph"/>
              <w:numPr>
                <w:ilvl w:val="0"/>
                <w:numId w:val="39"/>
              </w:numPr>
            </w:pPr>
            <w:r>
              <w:t>Cost-benefit</w:t>
            </w:r>
            <w:r w:rsidR="00440A00">
              <w:t>.</w:t>
            </w:r>
          </w:p>
          <w:p w14:paraId="3E3F3262" w14:textId="7FEE7EB5" w:rsidR="006C2F51" w:rsidRDefault="006C2F51" w:rsidP="006C2F51">
            <w:pPr>
              <w:pStyle w:val="ListParagraph"/>
              <w:numPr>
                <w:ilvl w:val="0"/>
                <w:numId w:val="39"/>
              </w:numPr>
            </w:pPr>
            <w:r>
              <w:t>Sustainability</w:t>
            </w:r>
            <w:r w:rsidR="00440A00">
              <w:t>.</w:t>
            </w:r>
          </w:p>
          <w:p w14:paraId="721B7C39" w14:textId="6D736B76" w:rsidR="006C2F51" w:rsidRDefault="006C2F51" w:rsidP="006C2F51">
            <w:pPr>
              <w:pStyle w:val="ListParagraph"/>
              <w:numPr>
                <w:ilvl w:val="0"/>
                <w:numId w:val="39"/>
              </w:numPr>
            </w:pPr>
            <w:r>
              <w:t>Performance and risk-based corrective action</w:t>
            </w:r>
            <w:r w:rsidR="00440A00">
              <w:t>.</w:t>
            </w:r>
          </w:p>
          <w:p w14:paraId="400E061A" w14:textId="15C62483" w:rsidR="006C2F51" w:rsidRDefault="006C2F51" w:rsidP="006C2F51">
            <w:pPr>
              <w:pStyle w:val="ListParagraph"/>
              <w:numPr>
                <w:ilvl w:val="0"/>
                <w:numId w:val="39"/>
              </w:numPr>
            </w:pPr>
            <w:r>
              <w:t>Accountability documentation</w:t>
            </w:r>
            <w:r w:rsidR="00440A00">
              <w:t>.</w:t>
            </w:r>
          </w:p>
          <w:p w14:paraId="74847F58" w14:textId="77777777" w:rsidR="006C2F51" w:rsidRDefault="006C2F51" w:rsidP="006C2F51"/>
          <w:p w14:paraId="71DA1B94" w14:textId="582EC847" w:rsidR="006C2F51" w:rsidRPr="00BB2062" w:rsidRDefault="006850EC" w:rsidP="006C2F51">
            <w:r>
              <w:t>US EPA, 2015a), ITRC, (2014); NEPC, (1999, as amended 2013).</w:t>
            </w:r>
          </w:p>
        </w:tc>
      </w:tr>
      <w:tr w:rsidR="00084F8A" w14:paraId="5A01978E" w14:textId="77777777" w:rsidTr="00B94328">
        <w:tc>
          <w:tcPr>
            <w:tcW w:w="5760" w:type="dxa"/>
          </w:tcPr>
          <w:p w14:paraId="57A379BC" w14:textId="611857DD" w:rsidR="00084F8A" w:rsidRPr="00B94328" w:rsidRDefault="00084F8A" w:rsidP="003A7A36">
            <w:pPr>
              <w:ind w:left="360"/>
              <w:rPr>
                <w:i/>
              </w:rPr>
            </w:pPr>
            <w:r w:rsidRPr="007907E4">
              <w:rPr>
                <w:i/>
              </w:rPr>
              <w:t>What timeframes are required to mitigate current exposures?</w:t>
            </w:r>
          </w:p>
        </w:tc>
        <w:tc>
          <w:tcPr>
            <w:tcW w:w="4320" w:type="dxa"/>
            <w:vMerge/>
          </w:tcPr>
          <w:p w14:paraId="35821237" w14:textId="77777777" w:rsidR="00084F8A" w:rsidRPr="00BB2062" w:rsidRDefault="00084F8A" w:rsidP="003A7A36"/>
        </w:tc>
      </w:tr>
      <w:tr w:rsidR="00084F8A" w14:paraId="52E088EC" w14:textId="77777777" w:rsidTr="00B94328">
        <w:tc>
          <w:tcPr>
            <w:tcW w:w="5760" w:type="dxa"/>
          </w:tcPr>
          <w:p w14:paraId="0A1FF8AF" w14:textId="472CB4AD" w:rsidR="00084F8A" w:rsidRPr="00B94328" w:rsidRDefault="00084F8A" w:rsidP="003A7A36">
            <w:pPr>
              <w:ind w:left="360"/>
              <w:rPr>
                <w:i/>
              </w:rPr>
            </w:pPr>
            <w:r w:rsidRPr="007907E4">
              <w:rPr>
                <w:i/>
              </w:rPr>
              <w:t>What advice will be provided to affected parties?</w:t>
            </w:r>
          </w:p>
        </w:tc>
        <w:tc>
          <w:tcPr>
            <w:tcW w:w="4320" w:type="dxa"/>
            <w:vMerge/>
          </w:tcPr>
          <w:p w14:paraId="0793F9BD" w14:textId="77777777" w:rsidR="00084F8A" w:rsidRPr="00BB2062" w:rsidRDefault="00084F8A" w:rsidP="003A7A36"/>
        </w:tc>
      </w:tr>
      <w:tr w:rsidR="00084F8A" w14:paraId="5B36C25A" w14:textId="77777777" w:rsidTr="00B94328">
        <w:tc>
          <w:tcPr>
            <w:tcW w:w="5760" w:type="dxa"/>
          </w:tcPr>
          <w:p w14:paraId="0C61EA14" w14:textId="237418AB" w:rsidR="00084F8A" w:rsidRPr="007907E4" w:rsidRDefault="00084F8A" w:rsidP="003A7A36">
            <w:pPr>
              <w:ind w:left="360"/>
              <w:rPr>
                <w:i/>
              </w:rPr>
            </w:pPr>
            <w:r w:rsidRPr="007907E4">
              <w:rPr>
                <w:i/>
              </w:rPr>
              <w:t>Has a cost-efficacy evaluation been undertaken?</w:t>
            </w:r>
          </w:p>
        </w:tc>
        <w:tc>
          <w:tcPr>
            <w:tcW w:w="4320" w:type="dxa"/>
            <w:vMerge/>
          </w:tcPr>
          <w:p w14:paraId="235DA95B" w14:textId="77777777" w:rsidR="00084F8A" w:rsidRPr="00BB2062" w:rsidRDefault="00084F8A" w:rsidP="003A7A36"/>
        </w:tc>
      </w:tr>
      <w:tr w:rsidR="00084F8A" w14:paraId="5D05855B" w14:textId="77777777" w:rsidTr="00B94328">
        <w:tc>
          <w:tcPr>
            <w:tcW w:w="5760" w:type="dxa"/>
          </w:tcPr>
          <w:p w14:paraId="6C09ED87" w14:textId="32C31A52" w:rsidR="00084F8A" w:rsidRPr="007907E4" w:rsidRDefault="00084F8A" w:rsidP="003A7A36">
            <w:pPr>
              <w:ind w:left="360"/>
              <w:rPr>
                <w:i/>
              </w:rPr>
            </w:pPr>
            <w:r w:rsidRPr="007907E4">
              <w:rPr>
                <w:i/>
              </w:rPr>
              <w:t>Have sustainability issues ben considered as part of the cost-benefit evaluation?</w:t>
            </w:r>
          </w:p>
        </w:tc>
        <w:tc>
          <w:tcPr>
            <w:tcW w:w="4320" w:type="dxa"/>
            <w:vMerge/>
          </w:tcPr>
          <w:p w14:paraId="53EA427D" w14:textId="77777777" w:rsidR="00084F8A" w:rsidRPr="00BB2062" w:rsidRDefault="00084F8A" w:rsidP="003A7A36"/>
        </w:tc>
      </w:tr>
      <w:tr w:rsidR="00084F8A" w14:paraId="22A06F79" w14:textId="77777777" w:rsidTr="00B94328">
        <w:tc>
          <w:tcPr>
            <w:tcW w:w="5760" w:type="dxa"/>
          </w:tcPr>
          <w:p w14:paraId="19152312" w14:textId="2C2DE2B5" w:rsidR="00084F8A" w:rsidRPr="007907E4" w:rsidRDefault="00084F8A" w:rsidP="003A7A36">
            <w:pPr>
              <w:ind w:left="360"/>
              <w:rPr>
                <w:i/>
              </w:rPr>
            </w:pPr>
            <w:r w:rsidRPr="007907E4">
              <w:rPr>
                <w:i/>
              </w:rPr>
              <w:t>What performance measures will be used following implementation?</w:t>
            </w:r>
          </w:p>
        </w:tc>
        <w:tc>
          <w:tcPr>
            <w:tcW w:w="4320" w:type="dxa"/>
            <w:vMerge/>
          </w:tcPr>
          <w:p w14:paraId="5AEF1FB6" w14:textId="77777777" w:rsidR="00084F8A" w:rsidRPr="00BB2062" w:rsidRDefault="00084F8A" w:rsidP="003A7A36"/>
        </w:tc>
      </w:tr>
      <w:tr w:rsidR="00084F8A" w14:paraId="4C58B38C" w14:textId="77777777" w:rsidTr="00B94328">
        <w:tc>
          <w:tcPr>
            <w:tcW w:w="5760" w:type="dxa"/>
          </w:tcPr>
          <w:p w14:paraId="1F147E56" w14:textId="7EF2C484" w:rsidR="00084F8A" w:rsidRPr="007907E4" w:rsidRDefault="00084F8A" w:rsidP="003A7A36">
            <w:pPr>
              <w:ind w:left="360"/>
              <w:rPr>
                <w:i/>
              </w:rPr>
            </w:pPr>
            <w:r w:rsidRPr="007907E4">
              <w:rPr>
                <w:i/>
              </w:rPr>
              <w:t>How will corrective measures be applied if performance measure</w:t>
            </w:r>
            <w:r>
              <w:rPr>
                <w:i/>
              </w:rPr>
              <w:t>s</w:t>
            </w:r>
            <w:r w:rsidRPr="007907E4">
              <w:rPr>
                <w:i/>
              </w:rPr>
              <w:t xml:space="preserve"> fail?</w:t>
            </w:r>
          </w:p>
        </w:tc>
        <w:tc>
          <w:tcPr>
            <w:tcW w:w="4320" w:type="dxa"/>
            <w:vMerge/>
          </w:tcPr>
          <w:p w14:paraId="703F6D80" w14:textId="77777777" w:rsidR="00084F8A" w:rsidRPr="00BB2062" w:rsidRDefault="00084F8A" w:rsidP="003A7A36"/>
        </w:tc>
      </w:tr>
      <w:tr w:rsidR="00084F8A" w14:paraId="1EA64F5C" w14:textId="77777777" w:rsidTr="00B94328">
        <w:tc>
          <w:tcPr>
            <w:tcW w:w="5760" w:type="dxa"/>
          </w:tcPr>
          <w:p w14:paraId="01ECD901" w14:textId="0C2EC340" w:rsidR="00084F8A" w:rsidRPr="007907E4" w:rsidRDefault="00084F8A" w:rsidP="003A7A36">
            <w:pPr>
              <w:ind w:left="360"/>
              <w:rPr>
                <w:i/>
              </w:rPr>
            </w:pPr>
            <w:r w:rsidRPr="007907E4">
              <w:rPr>
                <w:i/>
              </w:rPr>
              <w:t>What program selection, recommendation and documentation will be undertaken to ensure consistency with legislative frameworks and existing program guidance?</w:t>
            </w:r>
          </w:p>
        </w:tc>
        <w:tc>
          <w:tcPr>
            <w:tcW w:w="4320" w:type="dxa"/>
            <w:vMerge/>
          </w:tcPr>
          <w:p w14:paraId="764DB85A" w14:textId="77777777" w:rsidR="00084F8A" w:rsidRPr="00BB2062" w:rsidRDefault="00084F8A" w:rsidP="003A7A36"/>
        </w:tc>
      </w:tr>
    </w:tbl>
    <w:p w14:paraId="44C4DDE1" w14:textId="77777777" w:rsidR="006850EC" w:rsidRDefault="006850EC" w:rsidP="003A7A36">
      <w:pPr>
        <w:rPr>
          <w:b/>
        </w:rPr>
        <w:sectPr w:rsidR="006850EC" w:rsidSect="0033074A">
          <w:pgSz w:w="12240" w:h="15840"/>
          <w:pgMar w:top="1890" w:right="1440" w:bottom="1440" w:left="1440" w:header="720" w:footer="576" w:gutter="0"/>
          <w:cols w:space="720"/>
          <w:docGrid w:linePitch="299"/>
        </w:sectPr>
      </w:pPr>
    </w:p>
    <w:tbl>
      <w:tblPr>
        <w:tblStyle w:val="TableGrid"/>
        <w:tblW w:w="10080" w:type="dxa"/>
        <w:tblInd w:w="-72" w:type="dxa"/>
        <w:tblLook w:val="04A0" w:firstRow="1" w:lastRow="0" w:firstColumn="1" w:lastColumn="0" w:noHBand="0" w:noVBand="1"/>
      </w:tblPr>
      <w:tblGrid>
        <w:gridCol w:w="5760"/>
        <w:gridCol w:w="4320"/>
      </w:tblGrid>
      <w:tr w:rsidR="005C0774" w14:paraId="1A45ABF8" w14:textId="77777777" w:rsidTr="00B94328">
        <w:tc>
          <w:tcPr>
            <w:tcW w:w="5760" w:type="dxa"/>
          </w:tcPr>
          <w:p w14:paraId="582F047E" w14:textId="4EAF7096" w:rsidR="005C0774" w:rsidRPr="001314CE" w:rsidRDefault="005C0774" w:rsidP="005C0774">
            <w:pPr>
              <w:rPr>
                <w:b/>
              </w:rPr>
            </w:pPr>
            <w:r w:rsidRPr="003B14D6">
              <w:rPr>
                <w:b/>
              </w:rPr>
              <w:lastRenderedPageBreak/>
              <w:t>Source of information/Guidance</w:t>
            </w:r>
          </w:p>
        </w:tc>
        <w:tc>
          <w:tcPr>
            <w:tcW w:w="4320" w:type="dxa"/>
          </w:tcPr>
          <w:p w14:paraId="1ECC2F77" w14:textId="3B7F1591" w:rsidR="005C0774" w:rsidRPr="00BB2062" w:rsidRDefault="005C0774" w:rsidP="005C0774">
            <w:r w:rsidRPr="003B14D6">
              <w:rPr>
                <w:b/>
              </w:rPr>
              <w:t>Source of information/Guidance</w:t>
            </w:r>
          </w:p>
        </w:tc>
      </w:tr>
      <w:tr w:rsidR="003A7A36" w14:paraId="6DB461AB" w14:textId="77777777" w:rsidTr="00B94328">
        <w:tc>
          <w:tcPr>
            <w:tcW w:w="5760" w:type="dxa"/>
          </w:tcPr>
          <w:p w14:paraId="6D3F2DCC" w14:textId="741AD75C" w:rsidR="003A7A36" w:rsidRPr="007907E4" w:rsidRDefault="003A7A36" w:rsidP="003A7A36">
            <w:pPr>
              <w:rPr>
                <w:i/>
              </w:rPr>
            </w:pPr>
            <w:r w:rsidRPr="001314CE">
              <w:rPr>
                <w:b/>
              </w:rPr>
              <w:t>Risk communication</w:t>
            </w:r>
          </w:p>
        </w:tc>
        <w:tc>
          <w:tcPr>
            <w:tcW w:w="4320" w:type="dxa"/>
          </w:tcPr>
          <w:p w14:paraId="2BCCDFD9" w14:textId="77777777" w:rsidR="003A7A36" w:rsidRPr="00BB2062" w:rsidRDefault="003A7A36" w:rsidP="003A7A36"/>
        </w:tc>
      </w:tr>
      <w:tr w:rsidR="003A7A36" w14:paraId="2B27566B" w14:textId="77777777" w:rsidTr="00B94328">
        <w:tc>
          <w:tcPr>
            <w:tcW w:w="5760" w:type="dxa"/>
          </w:tcPr>
          <w:p w14:paraId="301A0332" w14:textId="3540CD59" w:rsidR="003A7A36" w:rsidRPr="007907E4" w:rsidRDefault="003A7A36" w:rsidP="003A7A36">
            <w:pPr>
              <w:ind w:left="360"/>
              <w:rPr>
                <w:i/>
              </w:rPr>
            </w:pPr>
            <w:r w:rsidRPr="007907E4">
              <w:rPr>
                <w:i/>
              </w:rPr>
              <w:t>Who are the affected stakeholders?</w:t>
            </w:r>
          </w:p>
        </w:tc>
        <w:tc>
          <w:tcPr>
            <w:tcW w:w="4320" w:type="dxa"/>
          </w:tcPr>
          <w:p w14:paraId="70F96868" w14:textId="28B8CB99" w:rsidR="003A7A36" w:rsidRPr="00BB2062" w:rsidRDefault="006850EC" w:rsidP="003A7A36">
            <w:r>
              <w:t>Review</w:t>
            </w:r>
            <w:r w:rsidR="005C0774">
              <w:t xml:space="preserve"> site-specific data and local Council/planning data; ABS on-line data; local health agency survey data.</w:t>
            </w:r>
          </w:p>
        </w:tc>
      </w:tr>
      <w:tr w:rsidR="003A7A36" w14:paraId="458420D3" w14:textId="77777777" w:rsidTr="00B94328">
        <w:tc>
          <w:tcPr>
            <w:tcW w:w="5760" w:type="dxa"/>
          </w:tcPr>
          <w:p w14:paraId="1F2B0B6F" w14:textId="72561F26" w:rsidR="003A7A36" w:rsidRPr="007907E4" w:rsidRDefault="003A7A36" w:rsidP="003A7A36">
            <w:pPr>
              <w:ind w:left="360"/>
              <w:rPr>
                <w:i/>
              </w:rPr>
            </w:pPr>
            <w:r w:rsidRPr="007907E4">
              <w:rPr>
                <w:i/>
              </w:rPr>
              <w:t>Who are the other stakeholders?</w:t>
            </w:r>
          </w:p>
        </w:tc>
        <w:tc>
          <w:tcPr>
            <w:tcW w:w="4320" w:type="dxa"/>
          </w:tcPr>
          <w:p w14:paraId="51625C84" w14:textId="4AF444F4" w:rsidR="003A7A36" w:rsidRPr="00BB2062" w:rsidRDefault="005C0774" w:rsidP="003A7A36">
            <w:r>
              <w:t>Identify property owners, local and state regulatory authorities.</w:t>
            </w:r>
          </w:p>
        </w:tc>
      </w:tr>
      <w:tr w:rsidR="005C0774" w14:paraId="0490AC26" w14:textId="77777777" w:rsidTr="00B94328">
        <w:tc>
          <w:tcPr>
            <w:tcW w:w="5760" w:type="dxa"/>
          </w:tcPr>
          <w:p w14:paraId="78EC1591" w14:textId="2D316280" w:rsidR="005C0774" w:rsidRPr="007907E4" w:rsidRDefault="005C0774" w:rsidP="003A7A36">
            <w:pPr>
              <w:ind w:left="360"/>
              <w:rPr>
                <w:i/>
              </w:rPr>
            </w:pPr>
            <w:r w:rsidRPr="007907E4">
              <w:rPr>
                <w:i/>
              </w:rPr>
              <w:t>How will technical information be communicated?</w:t>
            </w:r>
          </w:p>
        </w:tc>
        <w:tc>
          <w:tcPr>
            <w:tcW w:w="4320" w:type="dxa"/>
            <w:vMerge w:val="restart"/>
          </w:tcPr>
          <w:p w14:paraId="1404507E" w14:textId="515C81CF" w:rsidR="005C0774" w:rsidRPr="00BB2062" w:rsidRDefault="005C0774" w:rsidP="003A7A36">
            <w:r>
              <w:t xml:space="preserve">See </w:t>
            </w:r>
            <w:proofErr w:type="spellStart"/>
            <w:r>
              <w:t>Covello</w:t>
            </w:r>
            <w:proofErr w:type="spellEnd"/>
            <w:r>
              <w:t xml:space="preserve"> and Allen, (1988); US EPA (2014a).</w:t>
            </w:r>
          </w:p>
        </w:tc>
      </w:tr>
      <w:tr w:rsidR="005C0774" w14:paraId="51474881" w14:textId="77777777" w:rsidTr="00B94328">
        <w:tc>
          <w:tcPr>
            <w:tcW w:w="5760" w:type="dxa"/>
          </w:tcPr>
          <w:p w14:paraId="3D28CE06" w14:textId="1845DC0B" w:rsidR="005C0774" w:rsidRPr="007907E4" w:rsidRDefault="005C0774" w:rsidP="003A7A36">
            <w:pPr>
              <w:ind w:left="360"/>
              <w:rPr>
                <w:i/>
              </w:rPr>
            </w:pPr>
            <w:r w:rsidRPr="007907E4">
              <w:rPr>
                <w:i/>
              </w:rPr>
              <w:t>How will the affected stakeholders be empowered?</w:t>
            </w:r>
          </w:p>
        </w:tc>
        <w:tc>
          <w:tcPr>
            <w:tcW w:w="4320" w:type="dxa"/>
            <w:vMerge/>
          </w:tcPr>
          <w:p w14:paraId="61749A10" w14:textId="22291129" w:rsidR="005C0774" w:rsidRPr="00BB2062" w:rsidRDefault="005C0774" w:rsidP="003A7A36"/>
        </w:tc>
      </w:tr>
      <w:tr w:rsidR="005C0774" w14:paraId="39EC39B5" w14:textId="77777777" w:rsidTr="00B94328">
        <w:tc>
          <w:tcPr>
            <w:tcW w:w="5760" w:type="dxa"/>
          </w:tcPr>
          <w:p w14:paraId="36B55DE5" w14:textId="200656F9" w:rsidR="005C0774" w:rsidRPr="007907E4" w:rsidRDefault="005C0774" w:rsidP="003A7A36">
            <w:pPr>
              <w:ind w:left="360"/>
              <w:rPr>
                <w:i/>
              </w:rPr>
            </w:pPr>
            <w:r w:rsidRPr="007907E4">
              <w:rPr>
                <w:i/>
              </w:rPr>
              <w:t>How will transparency and evidenced-based approaches be ensured?</w:t>
            </w:r>
          </w:p>
        </w:tc>
        <w:tc>
          <w:tcPr>
            <w:tcW w:w="4320" w:type="dxa"/>
            <w:vMerge/>
          </w:tcPr>
          <w:p w14:paraId="66DFFCA5" w14:textId="77777777" w:rsidR="005C0774" w:rsidRPr="00BB2062" w:rsidRDefault="005C0774" w:rsidP="003A7A36"/>
        </w:tc>
      </w:tr>
      <w:tr w:rsidR="005C0774" w14:paraId="779A80A9" w14:textId="77777777" w:rsidTr="00B94328">
        <w:tc>
          <w:tcPr>
            <w:tcW w:w="5760" w:type="dxa"/>
          </w:tcPr>
          <w:p w14:paraId="366EA095" w14:textId="18C3594F" w:rsidR="005C0774" w:rsidRPr="007907E4" w:rsidRDefault="005C0774" w:rsidP="003A7A36">
            <w:pPr>
              <w:ind w:left="360"/>
              <w:rPr>
                <w:i/>
              </w:rPr>
            </w:pPr>
            <w:r w:rsidRPr="007907E4">
              <w:rPr>
                <w:i/>
              </w:rPr>
              <w:t>How will communications with the media be undertaken and by whom?</w:t>
            </w:r>
          </w:p>
        </w:tc>
        <w:tc>
          <w:tcPr>
            <w:tcW w:w="4320" w:type="dxa"/>
            <w:vMerge/>
          </w:tcPr>
          <w:p w14:paraId="4D134713" w14:textId="77777777" w:rsidR="005C0774" w:rsidRDefault="005C0774" w:rsidP="003A7A36">
            <w:pPr>
              <w:rPr>
                <w:b/>
              </w:rPr>
            </w:pPr>
          </w:p>
        </w:tc>
      </w:tr>
      <w:tr w:rsidR="00E0071B" w14:paraId="0C8F8AF9" w14:textId="77777777" w:rsidTr="00B94328">
        <w:tc>
          <w:tcPr>
            <w:tcW w:w="5760" w:type="dxa"/>
          </w:tcPr>
          <w:p w14:paraId="1C1D1FE0" w14:textId="3E58311E" w:rsidR="00E0071B" w:rsidRPr="007907E4" w:rsidRDefault="00E0071B" w:rsidP="003A7A36">
            <w:pPr>
              <w:ind w:left="360"/>
              <w:rPr>
                <w:i/>
              </w:rPr>
            </w:pPr>
            <w:r w:rsidRPr="007907E4">
              <w:rPr>
                <w:i/>
              </w:rPr>
              <w:t>How will the peer-review process be undertaken to ensure impartiality and scientific robustness in outcomes?</w:t>
            </w:r>
          </w:p>
        </w:tc>
        <w:tc>
          <w:tcPr>
            <w:tcW w:w="4320" w:type="dxa"/>
            <w:vMerge w:val="restart"/>
          </w:tcPr>
          <w:p w14:paraId="245C860E" w14:textId="5C18A8FD" w:rsidR="00E0071B" w:rsidRPr="005C0774" w:rsidRDefault="00E0071B" w:rsidP="003A7A36">
            <w:r w:rsidRPr="005C0774">
              <w:t>Decision-</w:t>
            </w:r>
            <w:r>
              <w:t>making through stakeholder committee following discussions with all stakeholders and consensus agreement.</w:t>
            </w:r>
          </w:p>
        </w:tc>
      </w:tr>
      <w:tr w:rsidR="00E0071B" w14:paraId="43B3BCD2" w14:textId="77777777" w:rsidTr="00B94328">
        <w:tc>
          <w:tcPr>
            <w:tcW w:w="5760" w:type="dxa"/>
          </w:tcPr>
          <w:p w14:paraId="79D33BA9" w14:textId="7E128D86" w:rsidR="00E0071B" w:rsidRPr="007907E4" w:rsidRDefault="00E0071B" w:rsidP="003A7A36">
            <w:pPr>
              <w:ind w:left="360"/>
              <w:rPr>
                <w:i/>
              </w:rPr>
            </w:pPr>
            <w:r w:rsidRPr="007907E4">
              <w:rPr>
                <w:i/>
              </w:rPr>
              <w:t>How frequently will communications be undertaken and who will be responsible for delivery?</w:t>
            </w:r>
          </w:p>
        </w:tc>
        <w:tc>
          <w:tcPr>
            <w:tcW w:w="4320" w:type="dxa"/>
            <w:vMerge/>
          </w:tcPr>
          <w:p w14:paraId="37A4ADFE" w14:textId="77777777" w:rsidR="00E0071B" w:rsidRPr="005C0774" w:rsidRDefault="00E0071B" w:rsidP="003A7A36"/>
        </w:tc>
      </w:tr>
      <w:tr w:rsidR="00E0071B" w14:paraId="30FB6223" w14:textId="77777777" w:rsidTr="00B94328">
        <w:tc>
          <w:tcPr>
            <w:tcW w:w="5760" w:type="dxa"/>
          </w:tcPr>
          <w:p w14:paraId="615F8C12" w14:textId="0CB0C786" w:rsidR="00E0071B" w:rsidRPr="007907E4" w:rsidRDefault="00E0071B" w:rsidP="003A7A36">
            <w:pPr>
              <w:ind w:left="360"/>
              <w:rPr>
                <w:i/>
              </w:rPr>
            </w:pPr>
            <w:r w:rsidRPr="007907E4">
              <w:rPr>
                <w:i/>
              </w:rPr>
              <w:t>How will accountability in risk management and remedial measures be ensured?</w:t>
            </w:r>
          </w:p>
        </w:tc>
        <w:tc>
          <w:tcPr>
            <w:tcW w:w="4320" w:type="dxa"/>
            <w:vMerge/>
          </w:tcPr>
          <w:p w14:paraId="298D68D4" w14:textId="77777777" w:rsidR="00E0071B" w:rsidRPr="005C0774" w:rsidRDefault="00E0071B" w:rsidP="003A7A36"/>
        </w:tc>
      </w:tr>
    </w:tbl>
    <w:p w14:paraId="2B06455F" w14:textId="77777777" w:rsidR="00AD2209" w:rsidRDefault="00AD2209">
      <w:pPr>
        <w:rPr>
          <w:b/>
        </w:rPr>
      </w:pPr>
    </w:p>
    <w:p w14:paraId="4DA685C3" w14:textId="6DFB65F3" w:rsidR="00275EAA" w:rsidRPr="001314CE" w:rsidRDefault="00275EAA">
      <w:pPr>
        <w:rPr>
          <w:rFonts w:eastAsiaTheme="majorEastAsia" w:cstheme="majorBidi"/>
          <w:b/>
          <w:bCs/>
          <w:smallCaps/>
          <w:color w:val="000000" w:themeColor="text1"/>
          <w:sz w:val="28"/>
          <w:szCs w:val="36"/>
        </w:rPr>
      </w:pPr>
      <w:r w:rsidRPr="001314CE">
        <w:rPr>
          <w:b/>
        </w:rPr>
        <w:br w:type="page"/>
      </w:r>
    </w:p>
    <w:p w14:paraId="33C1D2BF" w14:textId="00D6DB45" w:rsidR="00E14595" w:rsidRPr="00C74D17" w:rsidRDefault="00E14595" w:rsidP="00BA33AB">
      <w:pPr>
        <w:pStyle w:val="Heading1"/>
      </w:pPr>
      <w:bookmarkStart w:id="2" w:name="_Toc461684030"/>
      <w:r w:rsidRPr="00C74D17">
        <w:lastRenderedPageBreak/>
        <w:t>Introduction</w:t>
      </w:r>
      <w:bookmarkEnd w:id="2"/>
    </w:p>
    <w:p w14:paraId="2DBEB584" w14:textId="3C3F72C2" w:rsidR="00E14595" w:rsidRPr="009553E8" w:rsidRDefault="00E14595" w:rsidP="00702204">
      <w:pPr>
        <w:spacing w:after="0"/>
        <w:rPr>
          <w:rFonts w:cs="Arial"/>
        </w:rPr>
      </w:pPr>
      <w:r w:rsidRPr="009553E8">
        <w:rPr>
          <w:rFonts w:cs="Arial"/>
        </w:rPr>
        <w:t>“</w:t>
      </w:r>
      <w:proofErr w:type="spellStart"/>
      <w:r w:rsidRPr="009553E8">
        <w:rPr>
          <w:rFonts w:cs="Arial"/>
        </w:rPr>
        <w:t>Vapour</w:t>
      </w:r>
      <w:proofErr w:type="spellEnd"/>
      <w:r w:rsidRPr="009553E8">
        <w:rPr>
          <w:rFonts w:cs="Arial"/>
        </w:rPr>
        <w:t xml:space="preserve"> intrusion” is the migration of chemical </w:t>
      </w:r>
      <w:proofErr w:type="spellStart"/>
      <w:r w:rsidRPr="009553E8">
        <w:rPr>
          <w:rFonts w:cs="Arial"/>
        </w:rPr>
        <w:t>vapours</w:t>
      </w:r>
      <w:proofErr w:type="spellEnd"/>
      <w:r w:rsidR="00C747ED">
        <w:rPr>
          <w:rFonts w:cs="Arial"/>
        </w:rPr>
        <w:t xml:space="preserve"> and gases</w:t>
      </w:r>
      <w:r w:rsidRPr="009553E8">
        <w:rPr>
          <w:rFonts w:cs="Arial"/>
        </w:rPr>
        <w:t xml:space="preserve"> from sub-surface sources of volatile substances</w:t>
      </w:r>
      <w:r w:rsidR="00C747ED">
        <w:rPr>
          <w:rFonts w:cs="Arial"/>
        </w:rPr>
        <w:t xml:space="preserve"> and gases</w:t>
      </w:r>
      <w:r w:rsidRPr="009553E8">
        <w:rPr>
          <w:rFonts w:cs="Arial"/>
        </w:rPr>
        <w:t xml:space="preserve"> through soils and into the indoor air spaces of overlying buildings. These </w:t>
      </w:r>
      <w:proofErr w:type="spellStart"/>
      <w:r w:rsidRPr="009553E8">
        <w:rPr>
          <w:rFonts w:cs="Arial"/>
        </w:rPr>
        <w:t>vapours</w:t>
      </w:r>
      <w:proofErr w:type="spellEnd"/>
      <w:r w:rsidR="00C747ED">
        <w:rPr>
          <w:rFonts w:cs="Arial"/>
        </w:rPr>
        <w:t xml:space="preserve"> and gases</w:t>
      </w:r>
      <w:r w:rsidRPr="009553E8">
        <w:rPr>
          <w:rFonts w:cs="Arial"/>
        </w:rPr>
        <w:t xml:space="preserve"> may pose </w:t>
      </w:r>
      <w:r w:rsidR="00651E31">
        <w:rPr>
          <w:rFonts w:cs="Arial"/>
        </w:rPr>
        <w:t xml:space="preserve">acute </w:t>
      </w:r>
      <w:r w:rsidRPr="009553E8">
        <w:rPr>
          <w:rFonts w:cs="Arial"/>
        </w:rPr>
        <w:t>hazards in terms of fire and explosion</w:t>
      </w:r>
      <w:r w:rsidR="00651E31">
        <w:rPr>
          <w:rFonts w:cs="Arial"/>
        </w:rPr>
        <w:t xml:space="preserve"> </w:t>
      </w:r>
      <w:r w:rsidRPr="009553E8">
        <w:rPr>
          <w:rFonts w:cs="Arial"/>
        </w:rPr>
        <w:t xml:space="preserve">while also presenting potential health effects to occupants of affected buildings, </w:t>
      </w:r>
      <w:r w:rsidR="00651E31">
        <w:rPr>
          <w:rFonts w:cs="Arial"/>
        </w:rPr>
        <w:t xml:space="preserve">both </w:t>
      </w:r>
      <w:proofErr w:type="gramStart"/>
      <w:r w:rsidR="00651E31">
        <w:rPr>
          <w:rFonts w:cs="Arial"/>
        </w:rPr>
        <w:t>on the basis of</w:t>
      </w:r>
      <w:proofErr w:type="gramEnd"/>
      <w:r w:rsidR="00651E31">
        <w:rPr>
          <w:rFonts w:cs="Arial"/>
        </w:rPr>
        <w:t xml:space="preserve"> short-term and long-term exposure</w:t>
      </w:r>
      <w:r w:rsidRPr="009553E8">
        <w:rPr>
          <w:rFonts w:cs="Arial"/>
        </w:rPr>
        <w:t>.</w:t>
      </w:r>
    </w:p>
    <w:p w14:paraId="0846516A" w14:textId="77777777" w:rsidR="00702204" w:rsidRDefault="00702204" w:rsidP="00702204">
      <w:pPr>
        <w:spacing w:after="0"/>
        <w:rPr>
          <w:rFonts w:cs="Arial"/>
        </w:rPr>
      </w:pPr>
    </w:p>
    <w:p w14:paraId="0CADF56D" w14:textId="16A8D524" w:rsidR="00E14595" w:rsidRPr="009553E8" w:rsidRDefault="00E14595" w:rsidP="00702204">
      <w:pPr>
        <w:spacing w:after="0"/>
        <w:rPr>
          <w:rFonts w:cs="Arial"/>
        </w:rPr>
      </w:pPr>
      <w:proofErr w:type="spellStart"/>
      <w:r w:rsidRPr="009553E8">
        <w:rPr>
          <w:rFonts w:cs="Arial"/>
        </w:rPr>
        <w:t>Vapour</w:t>
      </w:r>
      <w:proofErr w:type="spellEnd"/>
      <w:r w:rsidRPr="009553E8">
        <w:rPr>
          <w:rFonts w:cs="Arial"/>
        </w:rPr>
        <w:t xml:space="preserve"> intrusion is a significant environmental health issue resulting from pollution across </w:t>
      </w:r>
      <w:r w:rsidR="00C747ED">
        <w:rPr>
          <w:rFonts w:cs="Arial"/>
        </w:rPr>
        <w:t xml:space="preserve">farming, agricultural and </w:t>
      </w:r>
      <w:r w:rsidRPr="009553E8">
        <w:rPr>
          <w:rFonts w:cs="Arial"/>
        </w:rPr>
        <w:t xml:space="preserve">former </w:t>
      </w:r>
      <w:proofErr w:type="spellStart"/>
      <w:r w:rsidRPr="009553E8">
        <w:rPr>
          <w:rFonts w:cs="Arial"/>
        </w:rPr>
        <w:t>industrialised</w:t>
      </w:r>
      <w:proofErr w:type="spellEnd"/>
      <w:r w:rsidRPr="009553E8">
        <w:rPr>
          <w:rFonts w:cs="Arial"/>
        </w:rPr>
        <w:t xml:space="preserve"> areas in urban and rural regions of Australia.  Progressive site re-development due to urban in-fill programs has required suitable assessment of human health risks for buildings yet to be constructed.</w:t>
      </w:r>
      <w:r w:rsidR="008216E2">
        <w:rPr>
          <w:rFonts w:cs="Arial"/>
        </w:rPr>
        <w:t xml:space="preserve"> </w:t>
      </w:r>
      <w:r w:rsidRPr="009553E8">
        <w:rPr>
          <w:rFonts w:cs="Arial"/>
        </w:rPr>
        <w:t xml:space="preserve">In addition, in some cases, migration </w:t>
      </w:r>
      <w:r w:rsidR="00C747ED">
        <w:rPr>
          <w:rFonts w:cs="Arial"/>
        </w:rPr>
        <w:t xml:space="preserve">of volatile contaminants from soils or from plumes of dissolved </w:t>
      </w:r>
      <w:r w:rsidRPr="009553E8">
        <w:rPr>
          <w:rFonts w:cs="Arial"/>
        </w:rPr>
        <w:t>volatile contaminants</w:t>
      </w:r>
      <w:r w:rsidR="00C747ED">
        <w:rPr>
          <w:rFonts w:cs="Arial"/>
        </w:rPr>
        <w:t xml:space="preserve"> or </w:t>
      </w:r>
      <w:r w:rsidRPr="009553E8">
        <w:rPr>
          <w:rFonts w:cs="Arial"/>
        </w:rPr>
        <w:t>light non-aqueous phase liquid</w:t>
      </w:r>
      <w:r w:rsidR="00C747ED">
        <w:rPr>
          <w:rFonts w:cs="Arial"/>
        </w:rPr>
        <w:t>s</w:t>
      </w:r>
      <w:r w:rsidRPr="009553E8">
        <w:rPr>
          <w:rFonts w:cs="Arial"/>
        </w:rPr>
        <w:t xml:space="preserve"> (LNAPL) </w:t>
      </w:r>
      <w:r w:rsidR="00C747ED">
        <w:rPr>
          <w:rFonts w:cs="Arial"/>
        </w:rPr>
        <w:t>and/or</w:t>
      </w:r>
      <w:r w:rsidRPr="009553E8">
        <w:rPr>
          <w:rFonts w:cs="Arial"/>
        </w:rPr>
        <w:t xml:space="preserve"> dense non-aqueous phase liquid</w:t>
      </w:r>
      <w:r w:rsidR="00C747ED">
        <w:rPr>
          <w:rFonts w:cs="Arial"/>
        </w:rPr>
        <w:t>s</w:t>
      </w:r>
      <w:r w:rsidRPr="009553E8">
        <w:rPr>
          <w:rFonts w:cs="Arial"/>
        </w:rPr>
        <w:t xml:space="preserve"> (DNAPL) </w:t>
      </w:r>
      <w:r w:rsidR="00C747ED">
        <w:rPr>
          <w:rFonts w:cs="Arial"/>
        </w:rPr>
        <w:t>have</w:t>
      </w:r>
      <w:r w:rsidRPr="009553E8">
        <w:rPr>
          <w:rFonts w:cs="Arial"/>
        </w:rPr>
        <w:t xml:space="preserve"> resulted in population exposure concerns.</w:t>
      </w:r>
      <w:r w:rsidR="00DB7251">
        <w:rPr>
          <w:rFonts w:cs="Arial"/>
        </w:rPr>
        <w:t xml:space="preserve"> </w:t>
      </w:r>
      <w:r w:rsidR="00B3447A">
        <w:rPr>
          <w:rFonts w:cs="Arial"/>
        </w:rPr>
        <w:t xml:space="preserve">Sites </w:t>
      </w:r>
      <w:r w:rsidR="00C747ED">
        <w:rPr>
          <w:rFonts w:cs="Arial"/>
        </w:rPr>
        <w:t>under development</w:t>
      </w:r>
      <w:r w:rsidR="00B3447A">
        <w:rPr>
          <w:rFonts w:cs="Arial"/>
        </w:rPr>
        <w:t xml:space="preserve"> and affected existing buildings</w:t>
      </w:r>
      <w:r w:rsidR="00C747ED">
        <w:rPr>
          <w:rFonts w:cs="Arial"/>
        </w:rPr>
        <w:t xml:space="preserve"> subsequently </w:t>
      </w:r>
      <w:r w:rsidRPr="009553E8">
        <w:rPr>
          <w:rFonts w:cs="Arial"/>
        </w:rPr>
        <w:t xml:space="preserve">require </w:t>
      </w:r>
      <w:r w:rsidR="00C747ED">
        <w:rPr>
          <w:rFonts w:cs="Arial"/>
        </w:rPr>
        <w:t>confident</w:t>
      </w:r>
      <w:r w:rsidRPr="009553E8">
        <w:rPr>
          <w:rFonts w:cs="Arial"/>
        </w:rPr>
        <w:t xml:space="preserve"> health risk assessments to ensure </w:t>
      </w:r>
      <w:r w:rsidR="00C747ED">
        <w:rPr>
          <w:rFonts w:cs="Arial"/>
        </w:rPr>
        <w:t xml:space="preserve">that </w:t>
      </w:r>
      <w:r w:rsidRPr="009553E8">
        <w:rPr>
          <w:rFonts w:cs="Arial"/>
        </w:rPr>
        <w:t xml:space="preserve">unacceptable exposures do not </w:t>
      </w:r>
      <w:r w:rsidR="00B3447A">
        <w:rPr>
          <w:rFonts w:cs="Arial"/>
        </w:rPr>
        <w:t xml:space="preserve">occur and that where necessary suitable mitigation measures are established. </w:t>
      </w:r>
      <w:r w:rsidRPr="009553E8">
        <w:rPr>
          <w:rFonts w:cs="Arial"/>
        </w:rPr>
        <w:t xml:space="preserve"> </w:t>
      </w:r>
    </w:p>
    <w:p w14:paraId="08AD06A1" w14:textId="77777777" w:rsidR="00702204" w:rsidRDefault="00702204" w:rsidP="00702204">
      <w:pPr>
        <w:spacing w:after="0"/>
        <w:rPr>
          <w:rFonts w:cs="Arial"/>
        </w:rPr>
      </w:pPr>
    </w:p>
    <w:p w14:paraId="70E41285" w14:textId="1CC072BC" w:rsidR="00E14595" w:rsidRPr="009553E8" w:rsidRDefault="00B3447A" w:rsidP="00702204">
      <w:pPr>
        <w:spacing w:after="0"/>
        <w:rPr>
          <w:rFonts w:cs="Arial"/>
        </w:rPr>
      </w:pPr>
      <w:r>
        <w:rPr>
          <w:rFonts w:cs="Arial"/>
        </w:rPr>
        <w:t>Nationally, for example, chlorinated hydrocarbons such as trichloroethylene (TCE) have been reported across many contaminated sites and</w:t>
      </w:r>
      <w:r w:rsidR="0020434E">
        <w:rPr>
          <w:rFonts w:cs="Arial"/>
        </w:rPr>
        <w:t>,</w:t>
      </w:r>
      <w:r>
        <w:rPr>
          <w:rFonts w:cs="Arial"/>
        </w:rPr>
        <w:t xml:space="preserve"> due to their fate and transport characteristics have migrated beyond site boundaries and affected buildings remote to the sources of the TCE.  The presence of </w:t>
      </w:r>
      <w:r w:rsidR="00E14595" w:rsidRPr="009553E8">
        <w:rPr>
          <w:rFonts w:cs="Arial"/>
        </w:rPr>
        <w:t xml:space="preserve">TCE is </w:t>
      </w:r>
      <w:r>
        <w:rPr>
          <w:rFonts w:cs="Arial"/>
        </w:rPr>
        <w:t>due to its former c</w:t>
      </w:r>
      <w:r w:rsidR="00E14595" w:rsidRPr="009553E8">
        <w:rPr>
          <w:rFonts w:cs="Arial"/>
        </w:rPr>
        <w:t>ommon</w:t>
      </w:r>
      <w:r>
        <w:rPr>
          <w:rFonts w:cs="Arial"/>
        </w:rPr>
        <w:t xml:space="preserve"> use as an</w:t>
      </w:r>
      <w:r w:rsidR="00E14595" w:rsidRPr="009553E8">
        <w:rPr>
          <w:rFonts w:cs="Arial"/>
        </w:rPr>
        <w:t xml:space="preserve"> industrial </w:t>
      </w:r>
      <w:r>
        <w:rPr>
          <w:rFonts w:cs="Arial"/>
        </w:rPr>
        <w:t xml:space="preserve">solvent in manufacturing industries and </w:t>
      </w:r>
      <w:r w:rsidR="0020434E">
        <w:rPr>
          <w:rFonts w:cs="Arial"/>
        </w:rPr>
        <w:t>resultant</w:t>
      </w:r>
      <w:r>
        <w:rPr>
          <w:rFonts w:cs="Arial"/>
        </w:rPr>
        <w:t xml:space="preserve"> poor environmental waste management practices </w:t>
      </w:r>
      <w:r w:rsidR="0020434E">
        <w:rPr>
          <w:rFonts w:cs="Arial"/>
        </w:rPr>
        <w:t xml:space="preserve">which </w:t>
      </w:r>
      <w:r>
        <w:rPr>
          <w:rFonts w:cs="Arial"/>
        </w:rPr>
        <w:t xml:space="preserve">has resulted in environmental distribution across </w:t>
      </w:r>
      <w:r w:rsidR="0020434E">
        <w:rPr>
          <w:rFonts w:cs="Arial"/>
        </w:rPr>
        <w:t xml:space="preserve">soil </w:t>
      </w:r>
      <w:r w:rsidR="00E14595" w:rsidRPr="009553E8">
        <w:rPr>
          <w:rFonts w:cs="Arial"/>
        </w:rPr>
        <w:t>and groundwater.</w:t>
      </w:r>
      <w:r w:rsidR="00DB7251">
        <w:rPr>
          <w:rFonts w:cs="Arial"/>
        </w:rPr>
        <w:t xml:space="preserve"> </w:t>
      </w:r>
      <w:r w:rsidR="0020434E">
        <w:rPr>
          <w:rFonts w:cs="Arial"/>
        </w:rPr>
        <w:t xml:space="preserve">The persistence of TCE coupled with its extensive toxicity which includes its ability to act as </w:t>
      </w:r>
      <w:r w:rsidR="00E14595" w:rsidRPr="009553E8">
        <w:rPr>
          <w:rFonts w:cs="Arial"/>
        </w:rPr>
        <w:t>a proven human liver and kidney carcinogen (IARC 2014)</w:t>
      </w:r>
      <w:r w:rsidR="0020434E">
        <w:rPr>
          <w:rFonts w:cs="Arial"/>
        </w:rPr>
        <w:t xml:space="preserve"> highlights the need for ensuring thorough health risk assessments are undertaken</w:t>
      </w:r>
      <w:r w:rsidR="00E14595" w:rsidRPr="009553E8">
        <w:rPr>
          <w:rFonts w:cs="Arial"/>
        </w:rPr>
        <w:t xml:space="preserve">. </w:t>
      </w:r>
    </w:p>
    <w:p w14:paraId="78A775D1" w14:textId="77777777" w:rsidR="00702204" w:rsidRDefault="00702204" w:rsidP="00702204">
      <w:pPr>
        <w:spacing w:after="0"/>
        <w:rPr>
          <w:rFonts w:cs="Arial"/>
        </w:rPr>
      </w:pPr>
    </w:p>
    <w:p w14:paraId="4612A2A0" w14:textId="0CE5DF1A" w:rsidR="005515BA" w:rsidRDefault="00E14595" w:rsidP="00702204">
      <w:pPr>
        <w:spacing w:after="0"/>
        <w:rPr>
          <w:rFonts w:cs="Arial"/>
        </w:rPr>
      </w:pPr>
      <w:r w:rsidRPr="009553E8">
        <w:rPr>
          <w:rFonts w:cs="Arial"/>
        </w:rPr>
        <w:t>National regulatory guidance provided in the recently amended National Environment Protection (Assessment of Site Contamination) Measure (1999) (ASC NEPM</w:t>
      </w:r>
      <w:r w:rsidR="007D2808" w:rsidRPr="009553E8">
        <w:rPr>
          <w:rFonts w:cs="Arial"/>
        </w:rPr>
        <w:t>, NEPC, 1999 (as amended)</w:t>
      </w:r>
      <w:r w:rsidRPr="009553E8">
        <w:rPr>
          <w:rFonts w:cs="Arial"/>
        </w:rPr>
        <w:t>),</w:t>
      </w:r>
      <w:r w:rsidR="0020434E">
        <w:rPr>
          <w:rFonts w:cs="Arial"/>
        </w:rPr>
        <w:t xml:space="preserve"> is limited in providing </w:t>
      </w:r>
      <w:proofErr w:type="spellStart"/>
      <w:r w:rsidRPr="009553E8">
        <w:rPr>
          <w:rFonts w:cs="Arial"/>
        </w:rPr>
        <w:t>vapour</w:t>
      </w:r>
      <w:proofErr w:type="spellEnd"/>
      <w:r w:rsidRPr="009553E8">
        <w:rPr>
          <w:rFonts w:cs="Arial"/>
        </w:rPr>
        <w:t xml:space="preserve"> intrusion assessment for all volatile hydrocarbons. The focus in the ASC NEPM is principally towards volatile petroleum hydrocarbons and the assessment of service station sites and associated storage depots.</w:t>
      </w:r>
      <w:r w:rsidR="00DB7251">
        <w:rPr>
          <w:rFonts w:cs="Arial"/>
        </w:rPr>
        <w:t xml:space="preserve"> </w:t>
      </w:r>
      <w:r w:rsidR="00A97D56" w:rsidRPr="009553E8">
        <w:rPr>
          <w:rFonts w:cs="Arial"/>
        </w:rPr>
        <w:t xml:space="preserve">The international literature does not differentiate sub-surface </w:t>
      </w:r>
      <w:proofErr w:type="spellStart"/>
      <w:r w:rsidR="0020434E">
        <w:rPr>
          <w:rFonts w:cs="Arial"/>
        </w:rPr>
        <w:t>vapour</w:t>
      </w:r>
      <w:proofErr w:type="spellEnd"/>
      <w:r w:rsidR="00A97D56" w:rsidRPr="009553E8">
        <w:rPr>
          <w:rFonts w:cs="Arial"/>
        </w:rPr>
        <w:t xml:space="preserve"> transport</w:t>
      </w:r>
      <w:r w:rsidR="0020434E">
        <w:rPr>
          <w:rFonts w:cs="Arial"/>
        </w:rPr>
        <w:t xml:space="preserve"> across differing volatile chemicals but</w:t>
      </w:r>
      <w:r w:rsidR="005515BA">
        <w:rPr>
          <w:rFonts w:cs="Arial"/>
        </w:rPr>
        <w:t xml:space="preserve"> notes</w:t>
      </w:r>
      <w:r w:rsidR="00A97D56" w:rsidRPr="009553E8">
        <w:rPr>
          <w:rFonts w:cs="Arial"/>
        </w:rPr>
        <w:t xml:space="preserve"> that differences in transport, toxicology and epidemiology </w:t>
      </w:r>
      <w:r w:rsidR="005515BA">
        <w:rPr>
          <w:rFonts w:cs="Arial"/>
        </w:rPr>
        <w:t xml:space="preserve">should be considered as part of the </w:t>
      </w:r>
      <w:r w:rsidR="00A97D56" w:rsidRPr="009553E8">
        <w:rPr>
          <w:rFonts w:cs="Arial"/>
        </w:rPr>
        <w:t>health risk assessment process.</w:t>
      </w:r>
      <w:r w:rsidR="005515BA">
        <w:rPr>
          <w:rFonts w:cs="Arial"/>
        </w:rPr>
        <w:t xml:space="preserve"> </w:t>
      </w:r>
    </w:p>
    <w:p w14:paraId="72B40634" w14:textId="77777777" w:rsidR="005515BA" w:rsidRDefault="005515BA" w:rsidP="00702204">
      <w:pPr>
        <w:spacing w:after="0"/>
        <w:rPr>
          <w:rFonts w:cs="Arial"/>
        </w:rPr>
      </w:pPr>
    </w:p>
    <w:p w14:paraId="4B5FDCB8" w14:textId="0A411CED" w:rsidR="00A97D56" w:rsidRDefault="005515BA" w:rsidP="00702204">
      <w:pPr>
        <w:spacing w:after="0"/>
        <w:rPr>
          <w:rFonts w:cs="Arial"/>
        </w:rPr>
      </w:pPr>
      <w:r w:rsidRPr="009553E8">
        <w:rPr>
          <w:rFonts w:cs="Arial"/>
        </w:rPr>
        <w:t xml:space="preserve">There are significant gaps in the Australian public health assessment and management of </w:t>
      </w:r>
      <w:r>
        <w:rPr>
          <w:rFonts w:cs="Arial"/>
        </w:rPr>
        <w:t>exposures arising from hazardous g</w:t>
      </w:r>
      <w:r w:rsidRPr="009553E8">
        <w:rPr>
          <w:rFonts w:cs="Arial"/>
        </w:rPr>
        <w:t>round gases (associated</w:t>
      </w:r>
      <w:r>
        <w:rPr>
          <w:rFonts w:cs="Arial"/>
        </w:rPr>
        <w:t xml:space="preserve"> with landfills or waste dumps)</w:t>
      </w:r>
      <w:r w:rsidRPr="009553E8">
        <w:rPr>
          <w:rFonts w:cs="Arial"/>
        </w:rPr>
        <w:t xml:space="preserve"> and</w:t>
      </w:r>
      <w:r>
        <w:rPr>
          <w:rFonts w:cs="Arial"/>
        </w:rPr>
        <w:t>, e.g.,</w:t>
      </w:r>
      <w:r w:rsidRPr="009553E8">
        <w:rPr>
          <w:rFonts w:cs="Arial"/>
        </w:rPr>
        <w:t xml:space="preserve"> volatile chlorinated hydrocarbons</w:t>
      </w:r>
      <w:r>
        <w:rPr>
          <w:rFonts w:cs="Arial"/>
        </w:rPr>
        <w:t xml:space="preserve"> (associated with groundwater or land contamination) across </w:t>
      </w:r>
      <w:r w:rsidRPr="009553E8">
        <w:rPr>
          <w:rFonts w:cs="Arial"/>
        </w:rPr>
        <w:t>residential areas</w:t>
      </w:r>
      <w:r>
        <w:rPr>
          <w:rFonts w:cs="Arial"/>
        </w:rPr>
        <w:t xml:space="preserve">.  While traditionally, hazardous ground gases from landfills are considered distinct from </w:t>
      </w:r>
      <w:proofErr w:type="spellStart"/>
      <w:r>
        <w:rPr>
          <w:rFonts w:cs="Arial"/>
        </w:rPr>
        <w:t>vapour</w:t>
      </w:r>
      <w:proofErr w:type="spellEnd"/>
      <w:r>
        <w:rPr>
          <w:rFonts w:cs="Arial"/>
        </w:rPr>
        <w:t xml:space="preserve"> intrusion of sub-surface volatile hydrocarbons, their evaluation in terms of acute or chronic inhalation exposures in confined environments is similar.  </w:t>
      </w:r>
    </w:p>
    <w:p w14:paraId="057E8500" w14:textId="77777777" w:rsidR="00651E31" w:rsidRDefault="00651E31" w:rsidP="00702204">
      <w:pPr>
        <w:spacing w:after="0"/>
        <w:rPr>
          <w:rFonts w:cs="Arial"/>
        </w:rPr>
      </w:pPr>
    </w:p>
    <w:p w14:paraId="1526C3F5" w14:textId="7E968F8C" w:rsidR="005515BA" w:rsidRDefault="00A97D56" w:rsidP="00702204">
      <w:pPr>
        <w:spacing w:after="0"/>
        <w:rPr>
          <w:rFonts w:cs="Arial"/>
        </w:rPr>
      </w:pPr>
      <w:r w:rsidRPr="009553E8">
        <w:rPr>
          <w:rFonts w:cs="Arial"/>
        </w:rPr>
        <w:t xml:space="preserve">The international literature and international regulatory guidance in this area is rapidly </w:t>
      </w:r>
      <w:r w:rsidR="000C2967">
        <w:rPr>
          <w:rFonts w:cs="Arial"/>
        </w:rPr>
        <w:t>evolving and requires regular</w:t>
      </w:r>
      <w:r w:rsidRPr="009553E8">
        <w:rPr>
          <w:rFonts w:cs="Arial"/>
        </w:rPr>
        <w:t xml:space="preserve"> review and consideration of new information to</w:t>
      </w:r>
      <w:r w:rsidR="007D2808" w:rsidRPr="009553E8">
        <w:rPr>
          <w:rFonts w:cs="Arial"/>
        </w:rPr>
        <w:t xml:space="preserve"> update national regulatory </w:t>
      </w:r>
      <w:r w:rsidR="007D2808" w:rsidRPr="009553E8">
        <w:rPr>
          <w:rFonts w:cs="Arial"/>
        </w:rPr>
        <w:lastRenderedPageBreak/>
        <w:t>guidance.</w:t>
      </w:r>
      <w:r w:rsidR="00DB7251">
        <w:rPr>
          <w:rFonts w:cs="Arial"/>
        </w:rPr>
        <w:t xml:space="preserve"> </w:t>
      </w:r>
      <w:r w:rsidR="005515BA">
        <w:rPr>
          <w:rFonts w:cs="Arial"/>
        </w:rPr>
        <w:t>Such u</w:t>
      </w:r>
      <w:r w:rsidR="00E14595" w:rsidRPr="009553E8">
        <w:rPr>
          <w:rFonts w:cs="Arial"/>
        </w:rPr>
        <w:t xml:space="preserve">pdated guidance would facilitate improved assessment of </w:t>
      </w:r>
      <w:proofErr w:type="spellStart"/>
      <w:r w:rsidR="00E14595" w:rsidRPr="009553E8">
        <w:rPr>
          <w:rFonts w:cs="Arial"/>
        </w:rPr>
        <w:t>vapour</w:t>
      </w:r>
      <w:proofErr w:type="spellEnd"/>
      <w:r w:rsidR="00E14595" w:rsidRPr="009553E8">
        <w:rPr>
          <w:rFonts w:cs="Arial"/>
        </w:rPr>
        <w:t xml:space="preserve"> intrusion sites by </w:t>
      </w:r>
      <w:r w:rsidR="005515BA">
        <w:rPr>
          <w:rFonts w:cs="Arial"/>
        </w:rPr>
        <w:t xml:space="preserve">government agencies, </w:t>
      </w:r>
      <w:r w:rsidR="00E14595" w:rsidRPr="009553E8">
        <w:rPr>
          <w:rFonts w:cs="Arial"/>
        </w:rPr>
        <w:t>site contamination auditors</w:t>
      </w:r>
      <w:r w:rsidR="004B0FAC" w:rsidRPr="009553E8">
        <w:rPr>
          <w:rFonts w:cs="Arial"/>
        </w:rPr>
        <w:t xml:space="preserve"> and </w:t>
      </w:r>
      <w:r w:rsidR="005515BA">
        <w:rPr>
          <w:rFonts w:cs="Arial"/>
        </w:rPr>
        <w:t>practitioners.</w:t>
      </w:r>
      <w:r w:rsidR="00DB7251">
        <w:rPr>
          <w:rFonts w:cs="Arial"/>
        </w:rPr>
        <w:t xml:space="preserve"> </w:t>
      </w:r>
      <w:r w:rsidR="005515BA">
        <w:rPr>
          <w:rFonts w:cs="Arial"/>
        </w:rPr>
        <w:t xml:space="preserve">This would enable reduced conservatism, greater confidence in the assessment process for public health authorities and the </w:t>
      </w:r>
      <w:proofErr w:type="gramStart"/>
      <w:r w:rsidR="005515BA">
        <w:rPr>
          <w:rFonts w:cs="Arial"/>
        </w:rPr>
        <w:t>community</w:t>
      </w:r>
      <w:r w:rsidR="002F0A12">
        <w:rPr>
          <w:rFonts w:cs="Arial"/>
        </w:rPr>
        <w:t>;</w:t>
      </w:r>
      <w:proofErr w:type="gramEnd"/>
      <w:r w:rsidR="005515BA">
        <w:rPr>
          <w:rFonts w:cs="Arial"/>
        </w:rPr>
        <w:t xml:space="preserve"> and cost-effective direction of funds for the establishment of mitigation measures.</w:t>
      </w:r>
    </w:p>
    <w:p w14:paraId="651B7D17" w14:textId="77777777" w:rsidR="005515BA" w:rsidRDefault="005515BA" w:rsidP="00702204">
      <w:pPr>
        <w:spacing w:after="0"/>
        <w:rPr>
          <w:rFonts w:cs="Arial"/>
        </w:rPr>
      </w:pPr>
    </w:p>
    <w:p w14:paraId="1F4EF1F3" w14:textId="77777777" w:rsidR="00C74D17" w:rsidRDefault="00C74D17">
      <w:pPr>
        <w:rPr>
          <w:rFonts w:eastAsiaTheme="majorEastAsia" w:cs="Arial"/>
          <w:b/>
          <w:bCs/>
          <w:smallCaps/>
          <w:color w:val="000000" w:themeColor="text1"/>
          <w:sz w:val="28"/>
          <w:szCs w:val="28"/>
        </w:rPr>
      </w:pPr>
      <w:r>
        <w:rPr>
          <w:rFonts w:cs="Arial"/>
          <w:sz w:val="28"/>
          <w:szCs w:val="28"/>
        </w:rPr>
        <w:br w:type="page"/>
      </w:r>
    </w:p>
    <w:p w14:paraId="32A4CD25" w14:textId="49BAC507" w:rsidR="00E14595" w:rsidRPr="000B511D" w:rsidRDefault="00E14595" w:rsidP="000B511D">
      <w:pPr>
        <w:pStyle w:val="Heading1"/>
      </w:pPr>
      <w:bookmarkStart w:id="3" w:name="_Toc461684031"/>
      <w:r w:rsidRPr="000B511D">
        <w:lastRenderedPageBreak/>
        <w:t>Objectives of report</w:t>
      </w:r>
      <w:bookmarkEnd w:id="3"/>
    </w:p>
    <w:p w14:paraId="775EE46C" w14:textId="77777777" w:rsidR="004B0FAC" w:rsidRDefault="004B0FAC" w:rsidP="00702204">
      <w:pPr>
        <w:pStyle w:val="ListParagraph"/>
        <w:spacing w:after="0"/>
      </w:pPr>
    </w:p>
    <w:p w14:paraId="0E6DF73A" w14:textId="1848B875" w:rsidR="00E14595" w:rsidRPr="00E14595" w:rsidRDefault="00E14595" w:rsidP="00711FF5">
      <w:pPr>
        <w:pStyle w:val="ListParagraph"/>
        <w:numPr>
          <w:ilvl w:val="0"/>
          <w:numId w:val="2"/>
        </w:numPr>
        <w:spacing w:after="0"/>
      </w:pPr>
      <w:r w:rsidRPr="00E14595">
        <w:t xml:space="preserve">The aim of the </w:t>
      </w:r>
      <w:r w:rsidR="004B0FAC">
        <w:t>report</w:t>
      </w:r>
      <w:r w:rsidRPr="00E14595">
        <w:t xml:space="preserve"> is to develop </w:t>
      </w:r>
      <w:r w:rsidR="00886A90">
        <w:t xml:space="preserve">updated </w:t>
      </w:r>
      <w:r w:rsidRPr="00E14595">
        <w:t>public health guidance for the assessment and management of sit</w:t>
      </w:r>
      <w:r w:rsidR="004B0FAC">
        <w:t xml:space="preserve">es affected by </w:t>
      </w:r>
      <w:proofErr w:type="spellStart"/>
      <w:r w:rsidR="004B0FAC">
        <w:t>vapour</w:t>
      </w:r>
      <w:proofErr w:type="spellEnd"/>
      <w:r w:rsidR="004B0FAC">
        <w:t xml:space="preserve"> intrusion</w:t>
      </w:r>
      <w:r w:rsidRPr="00E14595">
        <w:t xml:space="preserve"> in Australia.  </w:t>
      </w:r>
    </w:p>
    <w:p w14:paraId="12B6AB24" w14:textId="7E4B7389" w:rsidR="0013081E" w:rsidRDefault="004B0FAC" w:rsidP="00F74900">
      <w:pPr>
        <w:pStyle w:val="ListParagraph"/>
        <w:numPr>
          <w:ilvl w:val="0"/>
          <w:numId w:val="2"/>
        </w:numPr>
        <w:spacing w:after="0"/>
      </w:pPr>
      <w:r>
        <w:t>The report</w:t>
      </w:r>
      <w:r w:rsidR="0013081E">
        <w:t xml:space="preserve"> structure seeks to provide a review of Australian and overseas information such that the current knowledge and deficiencies becomes evident after considering all aspects of </w:t>
      </w:r>
      <w:proofErr w:type="spellStart"/>
      <w:r w:rsidR="0013081E">
        <w:t>vapour</w:t>
      </w:r>
      <w:proofErr w:type="spellEnd"/>
      <w:r w:rsidR="0013081E">
        <w:t xml:space="preserve"> intrusion.</w:t>
      </w:r>
      <w:r w:rsidR="00DB7251">
        <w:t xml:space="preserve"> </w:t>
      </w:r>
      <w:r w:rsidR="0013081E">
        <w:t xml:space="preserve">The format is to pose many questions </w:t>
      </w:r>
      <w:proofErr w:type="gramStart"/>
      <w:r w:rsidR="0013081E">
        <w:t>so as to</w:t>
      </w:r>
      <w:proofErr w:type="gramEnd"/>
      <w:r w:rsidR="0013081E">
        <w:t xml:space="preserve"> guide the reader to read the available literature.</w:t>
      </w:r>
    </w:p>
    <w:p w14:paraId="6C7983A1" w14:textId="2528A4B2" w:rsidR="00C74D17" w:rsidRDefault="0013081E" w:rsidP="00711FF5">
      <w:pPr>
        <w:pStyle w:val="ListParagraph"/>
        <w:numPr>
          <w:ilvl w:val="0"/>
          <w:numId w:val="2"/>
        </w:numPr>
        <w:spacing w:after="0" w:line="240" w:lineRule="atLeast"/>
      </w:pPr>
      <w:r>
        <w:t>The</w:t>
      </w:r>
      <w:r w:rsidR="00C74D17">
        <w:t xml:space="preserve"> document theme </w:t>
      </w:r>
      <w:r>
        <w:t>is</w:t>
      </w:r>
      <w:r w:rsidR="00C74D17">
        <w:t xml:space="preserve"> “</w:t>
      </w:r>
      <w:r w:rsidR="00C74D17" w:rsidRPr="005F7514">
        <w:rPr>
          <w:i/>
        </w:rPr>
        <w:t xml:space="preserve">How to undertake a </w:t>
      </w:r>
      <w:proofErr w:type="spellStart"/>
      <w:r w:rsidR="00C74D17" w:rsidRPr="005F7514">
        <w:rPr>
          <w:i/>
        </w:rPr>
        <w:t>vapour</w:t>
      </w:r>
      <w:proofErr w:type="spellEnd"/>
      <w:r w:rsidR="00C74D17" w:rsidRPr="005F7514">
        <w:rPr>
          <w:i/>
        </w:rPr>
        <w:t xml:space="preserve"> intrusion risk assessment</w:t>
      </w:r>
      <w:r w:rsidR="00C74D17">
        <w:t>”.</w:t>
      </w:r>
    </w:p>
    <w:p w14:paraId="0CBBBBBD" w14:textId="77777777" w:rsidR="004B0FAC" w:rsidRDefault="004B0FAC" w:rsidP="00702204">
      <w:pPr>
        <w:spacing w:after="0"/>
      </w:pPr>
    </w:p>
    <w:p w14:paraId="191E0C11" w14:textId="181D5EF7" w:rsidR="004B0FAC" w:rsidRPr="000B511D" w:rsidRDefault="000B511D" w:rsidP="000B511D">
      <w:pPr>
        <w:pStyle w:val="Heading1"/>
      </w:pPr>
      <w:bookmarkStart w:id="4" w:name="_Toc461684032"/>
      <w:r>
        <w:t>Scope of r</w:t>
      </w:r>
      <w:r w:rsidR="004B0FAC" w:rsidRPr="000B511D">
        <w:t>eport</w:t>
      </w:r>
      <w:bookmarkEnd w:id="4"/>
    </w:p>
    <w:p w14:paraId="30C1A9D0" w14:textId="77777777" w:rsidR="004B0FAC" w:rsidRDefault="004B0FAC" w:rsidP="00702204">
      <w:pPr>
        <w:spacing w:after="0"/>
        <w:rPr>
          <w:rFonts w:cs="Arial"/>
          <w:sz w:val="24"/>
          <w:szCs w:val="24"/>
        </w:rPr>
      </w:pPr>
    </w:p>
    <w:p w14:paraId="109C6EE7" w14:textId="0D39A3D7" w:rsidR="00C74D17" w:rsidRDefault="00C74D17" w:rsidP="00711FF5">
      <w:pPr>
        <w:pStyle w:val="ListParagraph"/>
        <w:numPr>
          <w:ilvl w:val="0"/>
          <w:numId w:val="3"/>
        </w:numPr>
        <w:spacing w:after="0" w:line="240" w:lineRule="atLeast"/>
        <w:ind w:left="720"/>
      </w:pPr>
      <w:r>
        <w:t>Comprehensive and current literatur</w:t>
      </w:r>
      <w:r w:rsidR="00D45FA0">
        <w:t>e</w:t>
      </w:r>
      <w:r w:rsidR="00886A90">
        <w:t xml:space="preserve"> and regulatory</w:t>
      </w:r>
      <w:r w:rsidR="0013081E">
        <w:t xml:space="preserve"> report review</w:t>
      </w:r>
      <w:r>
        <w:t>.</w:t>
      </w:r>
    </w:p>
    <w:p w14:paraId="5C573B54" w14:textId="77777777" w:rsidR="00C74D17" w:rsidRDefault="00C74D17" w:rsidP="00711FF5">
      <w:pPr>
        <w:pStyle w:val="ListParagraph"/>
        <w:numPr>
          <w:ilvl w:val="0"/>
          <w:numId w:val="3"/>
        </w:numPr>
        <w:spacing w:after="0" w:line="240" w:lineRule="atLeast"/>
        <w:ind w:left="720"/>
      </w:pPr>
      <w:r>
        <w:t>Review of national and international agency guidance and publications.</w:t>
      </w:r>
    </w:p>
    <w:p w14:paraId="198BF430" w14:textId="77777777" w:rsidR="00C74D17" w:rsidRDefault="00C74D17" w:rsidP="00711FF5">
      <w:pPr>
        <w:pStyle w:val="ListParagraph"/>
        <w:numPr>
          <w:ilvl w:val="0"/>
          <w:numId w:val="3"/>
        </w:numPr>
        <w:spacing w:after="0" w:line="240" w:lineRule="atLeast"/>
        <w:ind w:left="720"/>
      </w:pPr>
      <w:r>
        <w:t xml:space="preserve">Consideration of the following aspects of </w:t>
      </w:r>
      <w:proofErr w:type="spellStart"/>
      <w:r>
        <w:t>vapour</w:t>
      </w:r>
      <w:proofErr w:type="spellEnd"/>
      <w:r>
        <w:t xml:space="preserve"> intrusion:</w:t>
      </w:r>
    </w:p>
    <w:p w14:paraId="292393C8" w14:textId="77777777" w:rsidR="00C74D17" w:rsidRDefault="00C74D17" w:rsidP="00711FF5">
      <w:pPr>
        <w:pStyle w:val="ListParagraph"/>
        <w:numPr>
          <w:ilvl w:val="0"/>
          <w:numId w:val="4"/>
        </w:numPr>
        <w:spacing w:after="0" w:line="240" w:lineRule="atLeast"/>
        <w:ind w:left="1068"/>
      </w:pPr>
      <w:r>
        <w:t xml:space="preserve">The use of predictive </w:t>
      </w:r>
      <w:proofErr w:type="spellStart"/>
      <w:r>
        <w:t>vapour</w:t>
      </w:r>
      <w:proofErr w:type="spellEnd"/>
      <w:r>
        <w:t xml:space="preserve"> intrusion models and model input parameters.</w:t>
      </w:r>
    </w:p>
    <w:p w14:paraId="54E917ED" w14:textId="77777777" w:rsidR="00C74D17" w:rsidRDefault="00C74D17" w:rsidP="00711FF5">
      <w:pPr>
        <w:pStyle w:val="ListParagraph"/>
        <w:numPr>
          <w:ilvl w:val="0"/>
          <w:numId w:val="4"/>
        </w:numPr>
        <w:spacing w:after="0" w:line="240" w:lineRule="atLeast"/>
        <w:ind w:left="1068"/>
      </w:pPr>
      <w:r>
        <w:t>Exposure factors – representativeness, realistic settings, point estimates, use of population data.</w:t>
      </w:r>
    </w:p>
    <w:p w14:paraId="0D47C8C0" w14:textId="77777777" w:rsidR="00C74D17" w:rsidRDefault="00C74D17" w:rsidP="00711FF5">
      <w:pPr>
        <w:pStyle w:val="ListParagraph"/>
        <w:numPr>
          <w:ilvl w:val="0"/>
          <w:numId w:val="4"/>
        </w:numPr>
        <w:spacing w:after="0" w:line="240" w:lineRule="atLeast"/>
        <w:ind w:left="1068"/>
      </w:pPr>
      <w:r>
        <w:t xml:space="preserve">Uncertainty, </w:t>
      </w:r>
      <w:proofErr w:type="gramStart"/>
      <w:r>
        <w:t>sensitivity</w:t>
      </w:r>
      <w:proofErr w:type="gramEnd"/>
      <w:r>
        <w:t xml:space="preserve"> and variability analysis.</w:t>
      </w:r>
    </w:p>
    <w:p w14:paraId="15ED2593" w14:textId="77777777" w:rsidR="00C74D17" w:rsidRDefault="00C74D17" w:rsidP="00711FF5">
      <w:pPr>
        <w:pStyle w:val="ListParagraph"/>
        <w:numPr>
          <w:ilvl w:val="0"/>
          <w:numId w:val="4"/>
        </w:numPr>
        <w:spacing w:after="0" w:line="240" w:lineRule="atLeast"/>
        <w:ind w:left="1068"/>
      </w:pPr>
      <w:r>
        <w:t xml:space="preserve">What reflects suitable multiple lines of evidence assessment, </w:t>
      </w:r>
      <w:proofErr w:type="gramStart"/>
      <w:r>
        <w:t>e.g.</w:t>
      </w:r>
      <w:proofErr w:type="gramEnd"/>
      <w:r>
        <w:t xml:space="preserve"> consideration of preferential pathways, spatial and temporal changes, concentration gradients, attenuation factors.</w:t>
      </w:r>
    </w:p>
    <w:p w14:paraId="45C7383E" w14:textId="77777777" w:rsidR="00C74D17" w:rsidRDefault="00C74D17" w:rsidP="00711FF5">
      <w:pPr>
        <w:pStyle w:val="ListParagraph"/>
        <w:numPr>
          <w:ilvl w:val="0"/>
          <w:numId w:val="4"/>
        </w:numPr>
        <w:spacing w:after="0" w:line="240" w:lineRule="atLeast"/>
        <w:ind w:left="1068"/>
      </w:pPr>
      <w:r>
        <w:t xml:space="preserve">Measurement methods - methods of sampling, </w:t>
      </w:r>
      <w:proofErr w:type="gramStart"/>
      <w:r>
        <w:t>analysis</w:t>
      </w:r>
      <w:proofErr w:type="gramEnd"/>
      <w:r>
        <w:t xml:space="preserve"> and site soil </w:t>
      </w:r>
      <w:proofErr w:type="spellStart"/>
      <w:r>
        <w:t>vapour</w:t>
      </w:r>
      <w:proofErr w:type="spellEnd"/>
      <w:r>
        <w:t xml:space="preserve"> delineation.</w:t>
      </w:r>
    </w:p>
    <w:p w14:paraId="06C57313" w14:textId="77777777" w:rsidR="00C74D17" w:rsidRDefault="00C74D17" w:rsidP="00711FF5">
      <w:pPr>
        <w:pStyle w:val="ListParagraph"/>
        <w:numPr>
          <w:ilvl w:val="0"/>
          <w:numId w:val="4"/>
        </w:numPr>
        <w:spacing w:after="0" w:line="240" w:lineRule="atLeast"/>
        <w:ind w:left="1068"/>
      </w:pPr>
      <w:r>
        <w:t>Risk management/control options.</w:t>
      </w:r>
    </w:p>
    <w:p w14:paraId="5FDC5D7E" w14:textId="77777777" w:rsidR="00C74D17" w:rsidRDefault="00C74D17" w:rsidP="00711FF5">
      <w:pPr>
        <w:pStyle w:val="ListParagraph"/>
        <w:numPr>
          <w:ilvl w:val="0"/>
          <w:numId w:val="3"/>
        </w:numPr>
        <w:spacing w:after="0" w:line="240" w:lineRule="atLeast"/>
        <w:ind w:left="1068"/>
      </w:pPr>
      <w:r>
        <w:t>Risk assessment outcomes and risk communication.</w:t>
      </w:r>
    </w:p>
    <w:p w14:paraId="23FB9074" w14:textId="77777777" w:rsidR="00C74D17" w:rsidRDefault="00C74D17" w:rsidP="00711FF5">
      <w:pPr>
        <w:pStyle w:val="ListParagraph"/>
        <w:numPr>
          <w:ilvl w:val="0"/>
          <w:numId w:val="3"/>
        </w:numPr>
        <w:spacing w:after="0" w:line="240" w:lineRule="atLeast"/>
        <w:ind w:left="720"/>
      </w:pPr>
      <w:r>
        <w:t>Supporting documentation for inclusion in Appendices as appropriate.</w:t>
      </w:r>
    </w:p>
    <w:p w14:paraId="04E17847" w14:textId="77777777" w:rsidR="00BA33AB" w:rsidRDefault="00BA33AB">
      <w:r>
        <w:br w:type="page"/>
      </w:r>
    </w:p>
    <w:p w14:paraId="58CFEFDE" w14:textId="597F2013" w:rsidR="00E14595" w:rsidRPr="00F74900" w:rsidRDefault="00E14595" w:rsidP="00BA33AB">
      <w:pPr>
        <w:pStyle w:val="Heading1"/>
      </w:pPr>
      <w:bookmarkStart w:id="5" w:name="_Toc461684033"/>
      <w:r w:rsidRPr="00F74900">
        <w:lastRenderedPageBreak/>
        <w:t xml:space="preserve">The human health risks of </w:t>
      </w:r>
      <w:proofErr w:type="spellStart"/>
      <w:r w:rsidRPr="00F74900">
        <w:t>vapour</w:t>
      </w:r>
      <w:proofErr w:type="spellEnd"/>
      <w:r w:rsidRPr="00F74900">
        <w:t xml:space="preserve"> intrusion</w:t>
      </w:r>
      <w:bookmarkEnd w:id="5"/>
    </w:p>
    <w:p w14:paraId="3C31FAB4" w14:textId="77777777" w:rsidR="00E14595" w:rsidRPr="00F74900" w:rsidRDefault="00E14595" w:rsidP="00380D14">
      <w:pPr>
        <w:pStyle w:val="Heading2"/>
        <w:spacing w:before="0"/>
      </w:pPr>
      <w:bookmarkStart w:id="6" w:name="_Toc461684034"/>
      <w:r w:rsidRPr="00F74900">
        <w:t>Chemicals of potential concern</w:t>
      </w:r>
      <w:bookmarkEnd w:id="6"/>
    </w:p>
    <w:p w14:paraId="646BAA2C" w14:textId="77777777" w:rsidR="00380D14" w:rsidRPr="00F74900" w:rsidRDefault="00380D14" w:rsidP="00702204">
      <w:pPr>
        <w:spacing w:after="0"/>
      </w:pPr>
    </w:p>
    <w:p w14:paraId="116C5193" w14:textId="3DB6D122" w:rsidR="00292E66" w:rsidRDefault="00292E66" w:rsidP="00702204">
      <w:pPr>
        <w:spacing w:after="0"/>
      </w:pPr>
      <w:r w:rsidRPr="00F74900">
        <w:t>A range of terminologies are employed when considering the hazardous substances that may be identified on contaminated sites.</w:t>
      </w:r>
      <w:r w:rsidR="00DB7251">
        <w:t xml:space="preserve"> </w:t>
      </w:r>
      <w:r w:rsidR="000A4C3C" w:rsidRPr="00F74900">
        <w:t xml:space="preserve">The basis to </w:t>
      </w:r>
      <w:r w:rsidR="00C14825" w:rsidRPr="00F74900">
        <w:t xml:space="preserve">the determination of </w:t>
      </w:r>
      <w:r w:rsidR="00F74900">
        <w:t xml:space="preserve">what volatile substances to test for </w:t>
      </w:r>
      <w:r w:rsidR="00C14825" w:rsidRPr="00F74900">
        <w:t xml:space="preserve">rests with </w:t>
      </w:r>
      <w:r w:rsidR="000A4C3C" w:rsidRPr="00F74900">
        <w:t xml:space="preserve">a thorough site history review </w:t>
      </w:r>
      <w:r w:rsidR="00C14825" w:rsidRPr="00F74900">
        <w:t>which enables pot</w:t>
      </w:r>
      <w:r w:rsidR="000A4C3C" w:rsidRPr="00F74900">
        <w:t>entially contaminating site activities to be recognized</w:t>
      </w:r>
      <w:r w:rsidR="00C14825" w:rsidRPr="00F74900">
        <w:t xml:space="preserve"> from past site industrial practices</w:t>
      </w:r>
      <w:r w:rsidR="000A4C3C" w:rsidRPr="00F74900">
        <w:t>.</w:t>
      </w:r>
      <w:r w:rsidR="00DB7251">
        <w:t xml:space="preserve"> </w:t>
      </w:r>
      <w:r w:rsidR="00C14825" w:rsidRPr="00F74900">
        <w:t>These activities provide information on the chemicals of interest (COI) for testing and subsequent results identify hazardous substances exceeding preliminary assessment criteria (Tier 1) as chemicals of potential concern (COPC).</w:t>
      </w:r>
      <w:r w:rsidR="00C14825">
        <w:t xml:space="preserve"> Further health risk assessment (Tier 2) enables evaluation of potential site exposures and associated health risks and determines those hazardous substances </w:t>
      </w:r>
      <w:r w:rsidR="00460A7C">
        <w:t>considered as chemicals of concern</w:t>
      </w:r>
      <w:r w:rsidR="00305D5F">
        <w:t xml:space="preserve"> (COC)</w:t>
      </w:r>
      <w:r w:rsidR="00460A7C">
        <w:t xml:space="preserve"> </w:t>
      </w:r>
      <w:r w:rsidR="00702204">
        <w:t>that</w:t>
      </w:r>
      <w:r w:rsidR="00460A7C">
        <w:t xml:space="preserve"> warrant remedial measures to reduce or eliminate population exposures.</w:t>
      </w:r>
    </w:p>
    <w:p w14:paraId="038223FC" w14:textId="77777777" w:rsidR="00702204" w:rsidRDefault="00702204" w:rsidP="00702204">
      <w:pPr>
        <w:spacing w:after="0"/>
      </w:pPr>
    </w:p>
    <w:p w14:paraId="32AB3B23" w14:textId="0C79C1E0" w:rsidR="006670FB" w:rsidRDefault="000C66CB" w:rsidP="00702204">
      <w:pPr>
        <w:spacing w:after="0"/>
        <w:rPr>
          <w:rStyle w:val="punctuation"/>
          <w:lang w:val="en"/>
        </w:rPr>
      </w:pPr>
      <w:r>
        <w:t xml:space="preserve">In terms of </w:t>
      </w:r>
      <w:proofErr w:type="spellStart"/>
      <w:r>
        <w:t>vapour</w:t>
      </w:r>
      <w:proofErr w:type="spellEnd"/>
      <w:r>
        <w:t xml:space="preserve"> intrusion</w:t>
      </w:r>
      <w:r w:rsidR="00C26456">
        <w:t>,</w:t>
      </w:r>
      <w:r>
        <w:t xml:space="preserve"> at standard temperature and pressure (STP) conditions</w:t>
      </w:r>
      <w:r w:rsidR="00F74900">
        <w:t>,</w:t>
      </w:r>
      <w:r>
        <w:t xml:space="preserve"> inhalation exposures may result from the presence of gases such as radon, </w:t>
      </w:r>
      <w:proofErr w:type="gramStart"/>
      <w:r>
        <w:t>methane</w:t>
      </w:r>
      <w:proofErr w:type="gramEnd"/>
      <w:r>
        <w:t xml:space="preserve"> or hydrogen </w:t>
      </w:r>
      <w:proofErr w:type="spellStart"/>
      <w:r>
        <w:t>sulphide</w:t>
      </w:r>
      <w:proofErr w:type="spellEnd"/>
      <w:r>
        <w:t xml:space="preserve"> or from </w:t>
      </w:r>
      <w:proofErr w:type="spellStart"/>
      <w:r>
        <w:t>vapours</w:t>
      </w:r>
      <w:proofErr w:type="spellEnd"/>
      <w:r>
        <w:t xml:space="preserve"> such </w:t>
      </w:r>
      <w:r w:rsidR="00BA579B">
        <w:t xml:space="preserve">as </w:t>
      </w:r>
      <w:r>
        <w:t>benzene and trichloroethylene.</w:t>
      </w:r>
      <w:r w:rsidR="00DB7251">
        <w:t xml:space="preserve"> </w:t>
      </w:r>
      <w:r w:rsidR="00F74900">
        <w:t xml:space="preserve">To distinguish between gases and </w:t>
      </w:r>
      <w:proofErr w:type="spellStart"/>
      <w:r w:rsidR="00F74900">
        <w:t>vapours</w:t>
      </w:r>
      <w:proofErr w:type="spellEnd"/>
      <w:r w:rsidR="00F74900">
        <w:t>, t</w:t>
      </w:r>
      <w:r>
        <w:t>he Oxford Dictionary</w:t>
      </w:r>
      <w:r w:rsidR="008E346D">
        <w:t xml:space="preserve"> (2016)</w:t>
      </w:r>
      <w:r>
        <w:t xml:space="preserve"> defines</w:t>
      </w:r>
      <w:r w:rsidR="008E346D">
        <w:t xml:space="preserve"> a</w:t>
      </w:r>
      <w:r>
        <w:t xml:space="preserve"> </w:t>
      </w:r>
      <w:r w:rsidR="008E346D">
        <w:t>‘</w:t>
      </w:r>
      <w:r>
        <w:t>g</w:t>
      </w:r>
      <w:r w:rsidR="008E346D">
        <w:t>as’</w:t>
      </w:r>
      <w:r>
        <w:t xml:space="preserve"> as </w:t>
      </w:r>
      <w:r w:rsidR="008E346D">
        <w:t>a “</w:t>
      </w:r>
      <w:r w:rsidR="008E346D" w:rsidRPr="006670FB">
        <w:rPr>
          <w:rStyle w:val="definition"/>
          <w:i/>
          <w:lang w:val="en"/>
        </w:rPr>
        <w:t>gaseous substance that cannot be liquefied by the application of pressure alone</w:t>
      </w:r>
      <w:r w:rsidR="008E346D">
        <w:rPr>
          <w:rStyle w:val="definition"/>
          <w:lang w:val="en"/>
        </w:rPr>
        <w:t>” while a ‘</w:t>
      </w:r>
      <w:proofErr w:type="spellStart"/>
      <w:r w:rsidR="008E346D">
        <w:rPr>
          <w:rStyle w:val="definition"/>
          <w:lang w:val="en"/>
        </w:rPr>
        <w:t>vapour</w:t>
      </w:r>
      <w:proofErr w:type="spellEnd"/>
      <w:r w:rsidR="008E346D">
        <w:rPr>
          <w:rStyle w:val="definition"/>
          <w:lang w:val="en"/>
        </w:rPr>
        <w:t>’ reflects</w:t>
      </w:r>
      <w:r w:rsidR="006670FB">
        <w:rPr>
          <w:rStyle w:val="definition"/>
          <w:lang w:val="en"/>
        </w:rPr>
        <w:t xml:space="preserve"> “</w:t>
      </w:r>
      <w:r w:rsidR="006670FB" w:rsidRPr="006670FB">
        <w:rPr>
          <w:rStyle w:val="definition"/>
          <w:i/>
          <w:lang w:val="en"/>
        </w:rPr>
        <w:t xml:space="preserve">a gaseous substance that is below its critical </w:t>
      </w:r>
      <w:proofErr w:type="gramStart"/>
      <w:r w:rsidR="006670FB" w:rsidRPr="006670FB">
        <w:rPr>
          <w:rStyle w:val="definition"/>
          <w:i/>
          <w:lang w:val="en"/>
        </w:rPr>
        <w:t>temperature, and</w:t>
      </w:r>
      <w:proofErr w:type="gramEnd"/>
      <w:r w:rsidR="006670FB" w:rsidRPr="006670FB">
        <w:rPr>
          <w:rStyle w:val="definition"/>
          <w:i/>
          <w:lang w:val="en"/>
        </w:rPr>
        <w:t xml:space="preserve"> can therefore be liquefied by pressure alone</w:t>
      </w:r>
      <w:r w:rsidR="006670FB">
        <w:rPr>
          <w:rStyle w:val="definition"/>
          <w:lang w:val="en"/>
        </w:rPr>
        <w:t>”</w:t>
      </w:r>
      <w:r w:rsidR="006670FB">
        <w:rPr>
          <w:rStyle w:val="punctuation"/>
          <w:lang w:val="en"/>
        </w:rPr>
        <w:t>.  The source of the latter therefore includes volatile liquids present in the environment as free phase product (</w:t>
      </w:r>
      <w:proofErr w:type="gramStart"/>
      <w:r w:rsidR="006670FB">
        <w:rPr>
          <w:rStyle w:val="punctuation"/>
          <w:lang w:val="en"/>
        </w:rPr>
        <w:t>e.g.</w:t>
      </w:r>
      <w:proofErr w:type="gramEnd"/>
      <w:r w:rsidR="006670FB">
        <w:rPr>
          <w:rStyle w:val="punctuation"/>
          <w:lang w:val="en"/>
        </w:rPr>
        <w:t xml:space="preserve"> fuels, solvents)</w:t>
      </w:r>
      <w:r w:rsidR="00A53B84">
        <w:rPr>
          <w:rStyle w:val="punctuation"/>
          <w:lang w:val="en"/>
        </w:rPr>
        <w:t>, diss</w:t>
      </w:r>
      <w:r w:rsidR="006670FB">
        <w:rPr>
          <w:rStyle w:val="punctuation"/>
          <w:lang w:val="en"/>
        </w:rPr>
        <w:t>olved in groundwater or adsorbed to soil</w:t>
      </w:r>
      <w:r w:rsidR="00C26456">
        <w:rPr>
          <w:rStyle w:val="punctuation"/>
          <w:lang w:val="en"/>
        </w:rPr>
        <w:t>,</w:t>
      </w:r>
      <w:r w:rsidR="006670FB">
        <w:rPr>
          <w:rStyle w:val="punctuation"/>
          <w:lang w:val="en"/>
        </w:rPr>
        <w:t xml:space="preserve"> that</w:t>
      </w:r>
      <w:r w:rsidR="00C26456">
        <w:rPr>
          <w:rStyle w:val="punctuation"/>
          <w:lang w:val="en"/>
        </w:rPr>
        <w:t>, once partitioned into the air phase,</w:t>
      </w:r>
      <w:r w:rsidR="006670FB">
        <w:rPr>
          <w:rStyle w:val="punctuation"/>
          <w:lang w:val="en"/>
        </w:rPr>
        <w:t xml:space="preserve"> are capable of </w:t>
      </w:r>
      <w:r w:rsidR="00C26456">
        <w:rPr>
          <w:rStyle w:val="punctuation"/>
          <w:lang w:val="en"/>
        </w:rPr>
        <w:t xml:space="preserve">diffusion through soils or advection along </w:t>
      </w:r>
      <w:r w:rsidR="00A53B84">
        <w:rPr>
          <w:rStyle w:val="punctuation"/>
          <w:lang w:val="en"/>
        </w:rPr>
        <w:t>preferential pathways</w:t>
      </w:r>
      <w:r w:rsidR="00702204">
        <w:rPr>
          <w:rStyle w:val="punctuation"/>
          <w:lang w:val="en"/>
        </w:rPr>
        <w:t xml:space="preserve"> and into buildings</w:t>
      </w:r>
      <w:r w:rsidR="00A53B84">
        <w:rPr>
          <w:rStyle w:val="punctuation"/>
          <w:lang w:val="en"/>
        </w:rPr>
        <w:t>.</w:t>
      </w:r>
    </w:p>
    <w:p w14:paraId="6E087738" w14:textId="77777777" w:rsidR="00702204" w:rsidRDefault="00702204" w:rsidP="00702204">
      <w:pPr>
        <w:spacing w:after="0"/>
        <w:rPr>
          <w:rStyle w:val="punctuation"/>
          <w:lang w:val="en"/>
        </w:rPr>
      </w:pPr>
    </w:p>
    <w:p w14:paraId="55D28073" w14:textId="77777777" w:rsidR="00702204" w:rsidRDefault="00C26456" w:rsidP="00702204">
      <w:pPr>
        <w:spacing w:after="0"/>
      </w:pPr>
      <w:r>
        <w:t xml:space="preserve">The basis to considering a volatile substance for assessment in </w:t>
      </w:r>
      <w:proofErr w:type="spellStart"/>
      <w:r>
        <w:t>vapour</w:t>
      </w:r>
      <w:proofErr w:type="spellEnd"/>
      <w:r>
        <w:t xml:space="preserve"> intrusion depends on both its volatility and inherent toxicity. </w:t>
      </w:r>
      <w:r w:rsidR="000B48C9">
        <w:t xml:space="preserve"> </w:t>
      </w:r>
    </w:p>
    <w:p w14:paraId="0796A535" w14:textId="77777777" w:rsidR="00702204" w:rsidRDefault="00702204" w:rsidP="00702204">
      <w:pPr>
        <w:spacing w:after="0"/>
      </w:pPr>
    </w:p>
    <w:p w14:paraId="394C852C" w14:textId="1E9ECDEF" w:rsidR="000B48C9" w:rsidRDefault="000B48C9" w:rsidP="00702204">
      <w:pPr>
        <w:spacing w:after="0"/>
      </w:pPr>
      <w:r>
        <w:t>The initial question posed</w:t>
      </w:r>
      <w:r w:rsidR="00BA579B">
        <w:t xml:space="preserve"> for a volatile substance</w:t>
      </w:r>
      <w:r>
        <w:t xml:space="preserve"> is:</w:t>
      </w:r>
    </w:p>
    <w:p w14:paraId="479DB530" w14:textId="43F43667" w:rsidR="000B48C9" w:rsidRDefault="000B48C9" w:rsidP="00702204">
      <w:pPr>
        <w:spacing w:after="0"/>
      </w:pPr>
      <w:r>
        <w:t xml:space="preserve"> “</w:t>
      </w:r>
      <w:r w:rsidRPr="000B48C9">
        <w:rPr>
          <w:i/>
        </w:rPr>
        <w:t>Would its atmospheric concentration present a health risk over shor</w:t>
      </w:r>
      <w:r w:rsidR="00F74900">
        <w:rPr>
          <w:i/>
        </w:rPr>
        <w:t>t or long</w:t>
      </w:r>
      <w:r w:rsidR="00367A77">
        <w:rPr>
          <w:i/>
        </w:rPr>
        <w:t xml:space="preserve"> periods of exposure</w:t>
      </w:r>
      <w:r>
        <w:t xml:space="preserve">?”  </w:t>
      </w:r>
      <w:r w:rsidR="00702204">
        <w:t>w</w:t>
      </w:r>
      <w:r w:rsidR="00367A77">
        <w:t>hile a</w:t>
      </w:r>
      <w:r>
        <w:t xml:space="preserve"> </w:t>
      </w:r>
      <w:r w:rsidR="00367A77">
        <w:t>subsequent</w:t>
      </w:r>
      <w:r>
        <w:t xml:space="preserve"> question may then be:</w:t>
      </w:r>
    </w:p>
    <w:p w14:paraId="083CC1DD" w14:textId="77777777" w:rsidR="000B48C9" w:rsidRDefault="000B48C9" w:rsidP="00702204">
      <w:pPr>
        <w:spacing w:after="0"/>
      </w:pPr>
      <w:r>
        <w:t>“</w:t>
      </w:r>
      <w:r w:rsidRPr="000B48C9">
        <w:rPr>
          <w:i/>
        </w:rPr>
        <w:t>Is there a potential for</w:t>
      </w:r>
      <w:r w:rsidR="00A06E15">
        <w:rPr>
          <w:i/>
        </w:rPr>
        <w:t xml:space="preserve"> sub-surface migration and would</w:t>
      </w:r>
      <w:r w:rsidRPr="000B48C9">
        <w:rPr>
          <w:i/>
        </w:rPr>
        <w:t xml:space="preserve"> reactivity of the volatile in the sub-surface </w:t>
      </w:r>
      <w:r w:rsidR="00A06E15">
        <w:rPr>
          <w:i/>
        </w:rPr>
        <w:t>mitigate such a process</w:t>
      </w:r>
      <w:r>
        <w:t>?”</w:t>
      </w:r>
    </w:p>
    <w:p w14:paraId="1DE60372" w14:textId="77777777" w:rsidR="00702204" w:rsidRDefault="00702204" w:rsidP="00702204">
      <w:pPr>
        <w:spacing w:after="0"/>
      </w:pPr>
    </w:p>
    <w:p w14:paraId="1C1EDCD2" w14:textId="7ACA2487" w:rsidR="00BA11E2" w:rsidRDefault="00A06E15" w:rsidP="00702204">
      <w:pPr>
        <w:spacing w:after="0"/>
      </w:pPr>
      <w:r>
        <w:t xml:space="preserve">Volatility </w:t>
      </w:r>
      <w:r w:rsidR="00BA11E2">
        <w:t>may</w:t>
      </w:r>
      <w:r w:rsidR="00367A77">
        <w:t xml:space="preserve"> </w:t>
      </w:r>
      <w:r w:rsidR="00BA11E2">
        <w:t xml:space="preserve">be </w:t>
      </w:r>
      <w:r w:rsidR="00367A77">
        <w:t>demonstrated</w:t>
      </w:r>
      <w:r w:rsidR="00BA579B" w:rsidRPr="00BA579B">
        <w:t xml:space="preserve"> </w:t>
      </w:r>
      <w:r w:rsidR="00BA579B">
        <w:t>practically</w:t>
      </w:r>
      <w:r w:rsidR="00367A77">
        <w:t xml:space="preserve"> through air phase measurement or via </w:t>
      </w:r>
      <w:r>
        <w:t xml:space="preserve">established </w:t>
      </w:r>
      <w:proofErr w:type="gramStart"/>
      <w:r>
        <w:t>empiricall</w:t>
      </w:r>
      <w:r w:rsidR="00702204">
        <w:t>y-</w:t>
      </w:r>
      <w:r>
        <w:t>derived</w:t>
      </w:r>
      <w:proofErr w:type="gramEnd"/>
      <w:r>
        <w:t xml:space="preserve"> </w:t>
      </w:r>
      <w:proofErr w:type="spellStart"/>
      <w:r>
        <w:t>p</w:t>
      </w:r>
      <w:r w:rsidR="00367A77">
        <w:t>hysico</w:t>
      </w:r>
      <w:proofErr w:type="spellEnd"/>
      <w:r w:rsidR="00367A77">
        <w:t>-chemical characteristics such as</w:t>
      </w:r>
      <w:r>
        <w:t xml:space="preserve"> </w:t>
      </w:r>
      <w:proofErr w:type="spellStart"/>
      <w:r>
        <w:t>vapour</w:t>
      </w:r>
      <w:proofErr w:type="spellEnd"/>
      <w:r>
        <w:t xml:space="preserve"> pressure and</w:t>
      </w:r>
      <w:r w:rsidR="00BA579B">
        <w:t xml:space="preserve"> Henry’s c</w:t>
      </w:r>
      <w:r w:rsidR="00367A77">
        <w:t>onstant (a ratio</w:t>
      </w:r>
      <w:r>
        <w:t xml:space="preserve"> of </w:t>
      </w:r>
      <w:r w:rsidR="00702204">
        <w:t xml:space="preserve">air </w:t>
      </w:r>
      <w:proofErr w:type="spellStart"/>
      <w:r w:rsidR="00367A77">
        <w:t>vapour</w:t>
      </w:r>
      <w:proofErr w:type="spellEnd"/>
      <w:r w:rsidR="00367A77">
        <w:t xml:space="preserve"> pressure to water solubility)</w:t>
      </w:r>
      <w:r>
        <w:t>.</w:t>
      </w:r>
      <w:r w:rsidR="00DB7251">
        <w:t xml:space="preserve"> </w:t>
      </w:r>
      <w:r>
        <w:t>This characteristic</w:t>
      </w:r>
      <w:r w:rsidR="00367A77">
        <w:t xml:space="preserve"> combined with toxicological data</w:t>
      </w:r>
      <w:r>
        <w:t xml:space="preserve"> then identifies a chemical for </w:t>
      </w:r>
      <w:proofErr w:type="spellStart"/>
      <w:r>
        <w:t>vapour</w:t>
      </w:r>
      <w:proofErr w:type="spellEnd"/>
      <w:r>
        <w:t xml:space="preserve"> intrusion consideration</w:t>
      </w:r>
      <w:r w:rsidR="00367A77">
        <w:t xml:space="preserve">.  </w:t>
      </w:r>
    </w:p>
    <w:p w14:paraId="670A24CD" w14:textId="77777777" w:rsidR="00702204" w:rsidRDefault="00702204" w:rsidP="00702204">
      <w:pPr>
        <w:spacing w:after="0"/>
      </w:pPr>
    </w:p>
    <w:p w14:paraId="0B32B560" w14:textId="1BE89431" w:rsidR="00BA11E2" w:rsidRDefault="00BA11E2" w:rsidP="00702204">
      <w:pPr>
        <w:spacing w:after="0"/>
      </w:pPr>
      <w:r>
        <w:t xml:space="preserve">US EPA (2015) defines a volatile substance for the purposes of </w:t>
      </w:r>
      <w:r w:rsidR="00F74900">
        <w:t xml:space="preserve">potentially toxic </w:t>
      </w:r>
      <w:proofErr w:type="spellStart"/>
      <w:r>
        <w:t>vapour</w:t>
      </w:r>
      <w:proofErr w:type="spellEnd"/>
      <w:r>
        <w:t xml:space="preserve"> intrusion if:</w:t>
      </w:r>
    </w:p>
    <w:p w14:paraId="3364E2BE" w14:textId="77777777" w:rsidR="00BA11E2" w:rsidRPr="00BA11E2" w:rsidRDefault="00BA11E2" w:rsidP="00702204">
      <w:pPr>
        <w:pStyle w:val="Default"/>
        <w:rPr>
          <w:i/>
          <w:sz w:val="22"/>
          <w:szCs w:val="22"/>
        </w:rPr>
      </w:pPr>
      <w:r>
        <w:t>“</w:t>
      </w:r>
      <w:r w:rsidRPr="00BA11E2">
        <w:rPr>
          <w:i/>
          <w:sz w:val="22"/>
          <w:szCs w:val="22"/>
        </w:rPr>
        <w:t>1)</w:t>
      </w:r>
      <w:r w:rsidRPr="00BA11E2">
        <w:rPr>
          <w:i/>
        </w:rPr>
        <w:t xml:space="preserve"> </w:t>
      </w:r>
      <w:r w:rsidRPr="00BA11E2">
        <w:rPr>
          <w:i/>
          <w:sz w:val="22"/>
          <w:szCs w:val="22"/>
        </w:rPr>
        <w:t xml:space="preserve">Vapor pressure is greater than 1 millimeter of mercury (mm Hg), or </w:t>
      </w:r>
    </w:p>
    <w:p w14:paraId="405B55B6" w14:textId="37E8546B" w:rsidR="00BA11E2" w:rsidRDefault="00BA11E2" w:rsidP="00702204">
      <w:pPr>
        <w:pStyle w:val="Default"/>
        <w:rPr>
          <w:sz w:val="22"/>
          <w:szCs w:val="22"/>
        </w:rPr>
      </w:pPr>
      <w:r w:rsidRPr="00BA11E2">
        <w:rPr>
          <w:i/>
          <w:sz w:val="22"/>
          <w:szCs w:val="22"/>
        </w:rPr>
        <w:lastRenderedPageBreak/>
        <w:t xml:space="preserve"> 2) Henry’s law constant (ratio of a chemical’s vapor pressure in air to its solubility in water) is greater than 10</w:t>
      </w:r>
      <w:r w:rsidRPr="00BA11E2">
        <w:rPr>
          <w:vertAlign w:val="superscript"/>
        </w:rPr>
        <w:t>-5</w:t>
      </w:r>
      <w:r w:rsidRPr="00BA11E2">
        <w:rPr>
          <w:i/>
          <w:sz w:val="14"/>
          <w:szCs w:val="14"/>
        </w:rPr>
        <w:t xml:space="preserve"> </w:t>
      </w:r>
      <w:r w:rsidRPr="00BA11E2">
        <w:rPr>
          <w:i/>
          <w:sz w:val="22"/>
          <w:szCs w:val="22"/>
        </w:rPr>
        <w:t>atmosphere-meter cubed per mole (atm m</w:t>
      </w:r>
      <w:r w:rsidRPr="00BA11E2">
        <w:rPr>
          <w:vertAlign w:val="superscript"/>
        </w:rPr>
        <w:t xml:space="preserve">3 </w:t>
      </w:r>
      <w:r w:rsidRPr="00BA11E2">
        <w:rPr>
          <w:i/>
          <w:sz w:val="22"/>
          <w:szCs w:val="22"/>
        </w:rPr>
        <w:t>mol</w:t>
      </w:r>
      <w:r w:rsidRPr="00BA11E2">
        <w:rPr>
          <w:vertAlign w:val="superscript"/>
        </w:rPr>
        <w:t>-1</w:t>
      </w:r>
      <w:r w:rsidRPr="00BA11E2">
        <w:rPr>
          <w:i/>
          <w:sz w:val="22"/>
          <w:szCs w:val="22"/>
        </w:rPr>
        <w:t>) (EPA 1991b, Section 3.1.1; EPA 2002c, Appendix D)</w:t>
      </w:r>
      <w:r>
        <w:rPr>
          <w:sz w:val="22"/>
          <w:szCs w:val="22"/>
        </w:rPr>
        <w:t xml:space="preserve">”. with a substance considered as </w:t>
      </w:r>
      <w:r w:rsidR="00702204">
        <w:rPr>
          <w:sz w:val="22"/>
          <w:szCs w:val="22"/>
        </w:rPr>
        <w:t>‘</w:t>
      </w:r>
      <w:r>
        <w:rPr>
          <w:sz w:val="22"/>
          <w:szCs w:val="22"/>
        </w:rPr>
        <w:t>potentially toxic</w:t>
      </w:r>
      <w:r w:rsidR="00702204">
        <w:rPr>
          <w:sz w:val="22"/>
          <w:szCs w:val="22"/>
        </w:rPr>
        <w:t>’</w:t>
      </w:r>
      <w:r>
        <w:rPr>
          <w:sz w:val="22"/>
          <w:szCs w:val="22"/>
        </w:rPr>
        <w:t xml:space="preserve"> if</w:t>
      </w:r>
    </w:p>
    <w:p w14:paraId="4BE15F2E" w14:textId="77777777" w:rsidR="00702204" w:rsidRDefault="00702204" w:rsidP="00702204">
      <w:pPr>
        <w:pStyle w:val="Default"/>
      </w:pPr>
    </w:p>
    <w:p w14:paraId="200D3544" w14:textId="77777777" w:rsidR="00702204" w:rsidRPr="00702204" w:rsidRDefault="00702204" w:rsidP="00702204">
      <w:pPr>
        <w:pStyle w:val="Default"/>
        <w:spacing w:after="151"/>
        <w:rPr>
          <w:i/>
          <w:sz w:val="22"/>
          <w:szCs w:val="22"/>
        </w:rPr>
      </w:pPr>
      <w:r>
        <w:rPr>
          <w:sz w:val="22"/>
          <w:szCs w:val="22"/>
        </w:rPr>
        <w:t>“</w:t>
      </w:r>
      <w:r w:rsidRPr="00702204">
        <w:rPr>
          <w:i/>
          <w:sz w:val="22"/>
          <w:szCs w:val="22"/>
        </w:rPr>
        <w:t xml:space="preserve">1) the vapor concentration of the pure component exceeds the indoor air target risk level, when the subsurface vapor source is in soil, or </w:t>
      </w:r>
    </w:p>
    <w:p w14:paraId="35C1251B" w14:textId="77777777" w:rsidR="00702204" w:rsidRDefault="00702204" w:rsidP="00702204">
      <w:pPr>
        <w:pStyle w:val="Default"/>
        <w:rPr>
          <w:sz w:val="22"/>
          <w:szCs w:val="22"/>
        </w:rPr>
      </w:pPr>
      <w:r w:rsidRPr="00702204">
        <w:rPr>
          <w:i/>
          <w:sz w:val="22"/>
          <w:szCs w:val="22"/>
        </w:rPr>
        <w:t>2) the saturated vapor concentration exceeds the target indoor air risk level, when the subsurface vapor source is in groundwater.</w:t>
      </w:r>
      <w:r>
        <w:rPr>
          <w:sz w:val="22"/>
          <w:szCs w:val="22"/>
        </w:rPr>
        <w:t xml:space="preserve">” </w:t>
      </w:r>
    </w:p>
    <w:p w14:paraId="3548A25D" w14:textId="77777777" w:rsidR="00F74900" w:rsidRDefault="00F74900" w:rsidP="00380D14">
      <w:pPr>
        <w:spacing w:after="0"/>
      </w:pPr>
    </w:p>
    <w:p w14:paraId="57F94A19" w14:textId="51B7D2CB" w:rsidR="00815166" w:rsidRDefault="00367A77" w:rsidP="00380D14">
      <w:pPr>
        <w:spacing w:after="0"/>
      </w:pPr>
      <w:r>
        <w:t xml:space="preserve">While an examination of international inhalation </w:t>
      </w:r>
      <w:r w:rsidR="000C2967">
        <w:t xml:space="preserve">toxicity </w:t>
      </w:r>
      <w:r>
        <w:t>criteria</w:t>
      </w:r>
      <w:r w:rsidR="000C2967">
        <w:t xml:space="preserve"> such as air guidelines</w:t>
      </w:r>
      <w:r>
        <w:t xml:space="preserve"> may aid in this process some agencies have produce</w:t>
      </w:r>
      <w:r w:rsidR="000C2967">
        <w:t>d</w:t>
      </w:r>
      <w:r>
        <w:t xml:space="preserve"> </w:t>
      </w:r>
      <w:r w:rsidR="00A06E15">
        <w:t>databases</w:t>
      </w:r>
      <w:r>
        <w:t xml:space="preserve"> </w:t>
      </w:r>
      <w:r w:rsidR="00A037C3">
        <w:t>to evaluate potential</w:t>
      </w:r>
      <w:r w:rsidR="00F74900">
        <w:t>ly toxic</w:t>
      </w:r>
      <w:r w:rsidR="00A037C3">
        <w:t xml:space="preserve"> </w:t>
      </w:r>
      <w:proofErr w:type="spellStart"/>
      <w:r w:rsidR="00A037C3">
        <w:t>vapour</w:t>
      </w:r>
      <w:proofErr w:type="spellEnd"/>
      <w:r w:rsidR="00A037C3">
        <w:t xml:space="preserve"> intrusion chemicals.</w:t>
      </w:r>
      <w:r w:rsidR="00DB7251">
        <w:t xml:space="preserve"> </w:t>
      </w:r>
      <w:r w:rsidR="00A037C3">
        <w:t>The earlier US OSWER guidance</w:t>
      </w:r>
      <w:r w:rsidR="00BA579B">
        <w:t xml:space="preserve"> in the tables section</w:t>
      </w:r>
      <w:r w:rsidR="00A06E15">
        <w:t xml:space="preserve"> (US EPA 2002) initially </w:t>
      </w:r>
      <w:r w:rsidR="001B468F">
        <w:t>produced a table listing volatile chemicals</w:t>
      </w:r>
      <w:r w:rsidR="00B0683E">
        <w:t xml:space="preserve"> of conc</w:t>
      </w:r>
      <w:r w:rsidR="001B468F">
        <w:t xml:space="preserve">ern and generic target screening criteria based on attenuation factors (p1-37), however, more recently the updated OSWER guidance (US EPA 2015) provides a </w:t>
      </w:r>
      <w:proofErr w:type="spellStart"/>
      <w:r w:rsidR="00B0683E">
        <w:t>vapour</w:t>
      </w:r>
      <w:proofErr w:type="spellEnd"/>
      <w:r w:rsidR="00B0683E">
        <w:t xml:space="preserve"> intrusion screening level (VISL) calculator</w:t>
      </w:r>
      <w:r w:rsidR="00D1011E">
        <w:t xml:space="preserve"> also using attenuation factors</w:t>
      </w:r>
      <w:r w:rsidR="00B0683E">
        <w:t>.  The latter approach recommends</w:t>
      </w:r>
      <w:r w:rsidR="00815166">
        <w:t xml:space="preserve"> that “</w:t>
      </w:r>
      <w:r w:rsidR="00FE4DDC" w:rsidRPr="00815166">
        <w:rPr>
          <w:i/>
        </w:rPr>
        <w:t xml:space="preserve">the user consider whether the assumptions underlying the generic conceptual model are applicable at each </w:t>
      </w:r>
      <w:proofErr w:type="gramStart"/>
      <w:r w:rsidR="00FE4DDC" w:rsidRPr="00815166">
        <w:rPr>
          <w:i/>
        </w:rPr>
        <w:t>site, and</w:t>
      </w:r>
      <w:proofErr w:type="gramEnd"/>
      <w:r w:rsidR="00FE4DDC" w:rsidRPr="00815166">
        <w:rPr>
          <w:i/>
        </w:rPr>
        <w:t xml:space="preserve"> use professional judgment to make whatever adjustments (including not considering the model at all) are appropriate</w:t>
      </w:r>
      <w:r w:rsidR="00815166">
        <w:t>”</w:t>
      </w:r>
      <w:r w:rsidR="00D1011E">
        <w:t xml:space="preserve"> (US EPA, 2014</w:t>
      </w:r>
      <w:r w:rsidR="000D5154">
        <w:t>a</w:t>
      </w:r>
      <w:r w:rsidR="00D1011E">
        <w:t>, p3)</w:t>
      </w:r>
      <w:r w:rsidR="00FE4DDC">
        <w:t xml:space="preserve">. </w:t>
      </w:r>
    </w:p>
    <w:p w14:paraId="119C954D" w14:textId="77777777" w:rsidR="00380D14" w:rsidRDefault="00380D14" w:rsidP="00380D14">
      <w:pPr>
        <w:spacing w:after="0"/>
      </w:pPr>
    </w:p>
    <w:p w14:paraId="3F1853E2" w14:textId="77777777" w:rsidR="00E14595" w:rsidRDefault="00E14595" w:rsidP="00380D14">
      <w:pPr>
        <w:pStyle w:val="Heading2"/>
        <w:spacing w:before="0"/>
      </w:pPr>
      <w:bookmarkStart w:id="7" w:name="_Toc461684035"/>
      <w:r w:rsidRPr="00E14595">
        <w:t>Applicable environmental settings</w:t>
      </w:r>
      <w:bookmarkEnd w:id="7"/>
    </w:p>
    <w:p w14:paraId="2356E5B0" w14:textId="77777777" w:rsidR="00380D14" w:rsidRPr="00380D14" w:rsidRDefault="00380D14" w:rsidP="00380D14">
      <w:pPr>
        <w:spacing w:after="0"/>
      </w:pPr>
    </w:p>
    <w:p w14:paraId="57B64995" w14:textId="77777777" w:rsidR="00E14595" w:rsidRDefault="00E14595" w:rsidP="00C30AD5">
      <w:pPr>
        <w:pStyle w:val="Heading3"/>
      </w:pPr>
      <w:bookmarkStart w:id="8" w:name="_Toc461684036"/>
      <w:r w:rsidRPr="00E14595">
        <w:t>Sites under development</w:t>
      </w:r>
      <w:bookmarkEnd w:id="8"/>
    </w:p>
    <w:p w14:paraId="0731BF43" w14:textId="77777777" w:rsidR="00380D14" w:rsidRPr="00380D14" w:rsidRDefault="00380D14" w:rsidP="00380D14">
      <w:pPr>
        <w:spacing w:after="0"/>
      </w:pPr>
    </w:p>
    <w:p w14:paraId="1A83108F" w14:textId="47391D23" w:rsidR="00380D14" w:rsidRDefault="00380D14" w:rsidP="00380D14">
      <w:r>
        <w:t>The planning process for the development of land in Australia is the conduit to the initiation of site assessment procedures.</w:t>
      </w:r>
      <w:r w:rsidR="00DB7251">
        <w:t xml:space="preserve"> </w:t>
      </w:r>
      <w:r>
        <w:t>This process administered by local government agencies and under State and Territory Acts and Regulations requires evaluation of land to ensure</w:t>
      </w:r>
      <w:r w:rsidR="000F74C6">
        <w:t xml:space="preserve"> that historical </w:t>
      </w:r>
      <w:r>
        <w:t>site activities have not resulted</w:t>
      </w:r>
      <w:r w:rsidR="000F74C6">
        <w:t xml:space="preserve"> in residual risks to human health and the environment.  </w:t>
      </w:r>
      <w:proofErr w:type="gramStart"/>
      <w:r w:rsidR="000F74C6">
        <w:t>As a consequence of</w:t>
      </w:r>
      <w:proofErr w:type="gramEnd"/>
      <w:r w:rsidR="000F74C6">
        <w:t xml:space="preserve"> urban consolidation strategies and the advantages of near city areas of greater economic value with established infrastructure</w:t>
      </w:r>
      <w:r w:rsidR="00F74900">
        <w:t>,</w:t>
      </w:r>
      <w:r w:rsidR="000F74C6">
        <w:t xml:space="preserve"> such areas are a significant part of site assessment requirements.</w:t>
      </w:r>
      <w:r w:rsidR="00DB7251">
        <w:t xml:space="preserve"> </w:t>
      </w:r>
      <w:r w:rsidR="000F74C6">
        <w:t xml:space="preserve">They are also those that may present greater risks to human health and the environment </w:t>
      </w:r>
      <w:r w:rsidR="00F74900">
        <w:t>from</w:t>
      </w:r>
      <w:r w:rsidR="000F74C6">
        <w:t xml:space="preserve"> historical industrial and waste disposal activities</w:t>
      </w:r>
      <w:r w:rsidR="00F74900">
        <w:t>.</w:t>
      </w:r>
      <w:r w:rsidR="000F74C6">
        <w:t xml:space="preserve"> These include former petrol station sites</w:t>
      </w:r>
      <w:r w:rsidR="00A0603C">
        <w:t xml:space="preserve"> and storage depots, dry cleaning facilities, chemical manufacturing plants, hea</w:t>
      </w:r>
      <w:r w:rsidR="00BA579B">
        <w:t xml:space="preserve">vy manufacturing industries; </w:t>
      </w:r>
      <w:r w:rsidR="00A0603C">
        <w:t>paint/coatings manufacturing companies</w:t>
      </w:r>
      <w:r w:rsidR="00BA579B">
        <w:t>; landfills; and agricultural and farming areas</w:t>
      </w:r>
      <w:r w:rsidR="00A0603C">
        <w:t xml:space="preserve"> where fuels, cleaning solvents, degreasers, and solvent based coatings/polymers were prevalent.</w:t>
      </w:r>
      <w:r w:rsidR="00BA579B">
        <w:t xml:space="preserve"> </w:t>
      </w:r>
    </w:p>
    <w:p w14:paraId="311EFFAA" w14:textId="578112BC" w:rsidR="00E64F69" w:rsidRDefault="00440A00" w:rsidP="00380D14">
      <w:r>
        <w:t>The ASC NEPM (NEPC, 1993, as amended</w:t>
      </w:r>
      <w:r w:rsidR="00A0603C">
        <w:t xml:space="preserve">) describes four generic scenarios used for the development of health-based investigation </w:t>
      </w:r>
      <w:r w:rsidR="00B3405B">
        <w:t xml:space="preserve">levels – </w:t>
      </w:r>
      <w:r w:rsidR="00001D8D">
        <w:t xml:space="preserve">(A) </w:t>
      </w:r>
      <w:r w:rsidR="00B3405B">
        <w:t>residential (garden/accessible soil)</w:t>
      </w:r>
      <w:r w:rsidR="00A0603C">
        <w:t xml:space="preserve">, </w:t>
      </w:r>
      <w:r w:rsidR="00001D8D">
        <w:t xml:space="preserve">(B) </w:t>
      </w:r>
      <w:r w:rsidR="00A0603C">
        <w:t>residential</w:t>
      </w:r>
      <w:r w:rsidR="00001D8D">
        <w:t xml:space="preserve"> (minimal access to soil, </w:t>
      </w:r>
      <w:proofErr w:type="gramStart"/>
      <w:r w:rsidR="00001D8D">
        <w:t>e.g.</w:t>
      </w:r>
      <w:proofErr w:type="gramEnd"/>
      <w:r w:rsidR="00A0603C">
        <w:t xml:space="preserve"> high density</w:t>
      </w:r>
      <w:r w:rsidR="00001D8D">
        <w:t xml:space="preserve"> residential)</w:t>
      </w:r>
      <w:r w:rsidR="00A0603C">
        <w:t xml:space="preserve">, </w:t>
      </w:r>
      <w:r w:rsidR="00001D8D">
        <w:t xml:space="preserve">(C) public open space and </w:t>
      </w:r>
      <w:r w:rsidR="0041514A">
        <w:t xml:space="preserve">(D) </w:t>
      </w:r>
      <w:r w:rsidR="00E64F69">
        <w:t>commercial/industrial (NEPC, 1993 Schedule 7, p15-18).  These are default scenarios to describe potential exposures to soil contaminants by site occupants whose exposures to soil contaminants across each</w:t>
      </w:r>
      <w:r w:rsidR="00BA579B">
        <w:t xml:space="preserve"> scenario</w:t>
      </w:r>
      <w:r w:rsidR="00E64F69">
        <w:t xml:space="preserve"> vary</w:t>
      </w:r>
      <w:r w:rsidR="00DB7251">
        <w:t>.</w:t>
      </w:r>
      <w:r w:rsidR="00E64F69">
        <w:t xml:space="preserve"> In terms of </w:t>
      </w:r>
      <w:proofErr w:type="spellStart"/>
      <w:r w:rsidR="00E64F69">
        <w:t>vapour</w:t>
      </w:r>
      <w:proofErr w:type="spellEnd"/>
      <w:r w:rsidR="00E64F69">
        <w:t xml:space="preserve"> intrusion, each of these site scenarios could be implicated including variants about each scenario with a particular emphasis </w:t>
      </w:r>
      <w:r w:rsidR="00E64F69">
        <w:lastRenderedPageBreak/>
        <w:t xml:space="preserve">on population </w:t>
      </w:r>
      <w:proofErr w:type="spellStart"/>
      <w:r w:rsidR="00E64F69">
        <w:t>behaviours</w:t>
      </w:r>
      <w:proofErr w:type="spellEnd"/>
      <w:r w:rsidR="00E64F69">
        <w:t xml:space="preserve"> influen</w:t>
      </w:r>
      <w:r>
        <w:t>cing the nature of the exposure</w:t>
      </w:r>
      <w:r w:rsidR="00811DBC">
        <w:t xml:space="preserve"> (refer </w:t>
      </w:r>
      <w:r w:rsidR="00811DBC">
        <w:fldChar w:fldCharType="begin"/>
      </w:r>
      <w:r w:rsidR="00811DBC">
        <w:instrText xml:space="preserve"> REF _Ref454863852 \h </w:instrText>
      </w:r>
      <w:r w:rsidR="00811DBC">
        <w:fldChar w:fldCharType="separate"/>
      </w:r>
      <w:r w:rsidR="006A5935">
        <w:t xml:space="preserve">Figure </w:t>
      </w:r>
      <w:r w:rsidR="006A5935">
        <w:rPr>
          <w:noProof/>
        </w:rPr>
        <w:t>1</w:t>
      </w:r>
      <w:r w:rsidR="00811DBC">
        <w:fldChar w:fldCharType="end"/>
      </w:r>
      <w:r w:rsidR="00811DBC">
        <w:t xml:space="preserve">; </w:t>
      </w:r>
      <w:r w:rsidR="00811DBC">
        <w:fldChar w:fldCharType="begin"/>
      </w:r>
      <w:r w:rsidR="00811DBC">
        <w:instrText xml:space="preserve"> REF _Ref454863865 \h </w:instrText>
      </w:r>
      <w:r w:rsidR="00811DBC">
        <w:fldChar w:fldCharType="separate"/>
      </w:r>
      <w:r w:rsidR="006A5935">
        <w:t xml:space="preserve">Figure </w:t>
      </w:r>
      <w:r w:rsidR="006A5935">
        <w:rPr>
          <w:noProof/>
        </w:rPr>
        <w:t>2</w:t>
      </w:r>
      <w:r w:rsidR="00811DBC">
        <w:fldChar w:fldCharType="end"/>
      </w:r>
      <w:r w:rsidR="00811DBC">
        <w:t xml:space="preserve">; </w:t>
      </w:r>
      <w:r w:rsidR="00811DBC">
        <w:fldChar w:fldCharType="begin"/>
      </w:r>
      <w:r w:rsidR="00811DBC">
        <w:instrText xml:space="preserve"> REF _Ref454863882 \h </w:instrText>
      </w:r>
      <w:r w:rsidR="00811DBC">
        <w:fldChar w:fldCharType="separate"/>
      </w:r>
      <w:r w:rsidR="006A5935">
        <w:t xml:space="preserve">Figure </w:t>
      </w:r>
      <w:r w:rsidR="006A5935">
        <w:rPr>
          <w:noProof/>
        </w:rPr>
        <w:t>3</w:t>
      </w:r>
      <w:r w:rsidR="00811DBC">
        <w:fldChar w:fldCharType="end"/>
      </w:r>
      <w:r w:rsidR="00811DBC">
        <w:t xml:space="preserve">; </w:t>
      </w:r>
      <w:r w:rsidR="00811DBC">
        <w:fldChar w:fldCharType="begin"/>
      </w:r>
      <w:r w:rsidR="00811DBC">
        <w:instrText xml:space="preserve"> REF _Ref454863894 \h </w:instrText>
      </w:r>
      <w:r w:rsidR="00811DBC">
        <w:fldChar w:fldCharType="separate"/>
      </w:r>
      <w:r w:rsidR="006A5935">
        <w:t xml:space="preserve">Figure </w:t>
      </w:r>
      <w:r w:rsidR="006A5935">
        <w:rPr>
          <w:noProof/>
        </w:rPr>
        <w:t>4</w:t>
      </w:r>
      <w:r w:rsidR="00811DBC">
        <w:fldChar w:fldCharType="end"/>
      </w:r>
      <w:r w:rsidR="00811DBC">
        <w:t>).</w:t>
      </w:r>
    </w:p>
    <w:p w14:paraId="1D55E020" w14:textId="77777777" w:rsidR="00BA579B" w:rsidRPr="005F7044" w:rsidRDefault="00BA579B" w:rsidP="0015648C">
      <w:pPr>
        <w:pStyle w:val="Heading3"/>
        <w:numPr>
          <w:ilvl w:val="2"/>
          <w:numId w:val="34"/>
        </w:numPr>
        <w:ind w:left="0" w:firstLine="0"/>
      </w:pPr>
      <w:bookmarkStart w:id="9" w:name="_Toc461684037"/>
      <w:r w:rsidRPr="005F7044">
        <w:t>Existing sites and dwellings</w:t>
      </w:r>
      <w:bookmarkEnd w:id="9"/>
    </w:p>
    <w:p w14:paraId="0283EDA4" w14:textId="0432F61D" w:rsidR="00BA579B" w:rsidRDefault="00BA579B" w:rsidP="00BA579B">
      <w:r>
        <w:t xml:space="preserve">In the case of existing sites and occupied buildings a range of potential exposure settings exist and </w:t>
      </w:r>
      <w:proofErr w:type="gramStart"/>
      <w:r>
        <w:t>in order to</w:t>
      </w:r>
      <w:proofErr w:type="gramEnd"/>
      <w:r>
        <w:t xml:space="preserve"> understand potential indoor exposures to occupants a conceptual site model (CSM) should be considered.</w:t>
      </w:r>
      <w:r w:rsidR="00DB7251">
        <w:t xml:space="preserve"> </w:t>
      </w:r>
      <w:r>
        <w:t>This is presented in the ASC NEPM (NEPC, 1999</w:t>
      </w:r>
      <w:r w:rsidR="00440A00">
        <w:t xml:space="preserve"> as amended </w:t>
      </w:r>
      <w:r>
        <w:t>and is principally a description of the understanding of potential exposures for a subsurface volatile hydrocarbon source to the building occupant in a confined environment.</w:t>
      </w:r>
      <w:r w:rsidR="00DB7251">
        <w:t xml:space="preserve"> </w:t>
      </w:r>
      <w:r>
        <w:t xml:space="preserve">In </w:t>
      </w:r>
      <w:proofErr w:type="spellStart"/>
      <w:r>
        <w:t>vapour</w:t>
      </w:r>
      <w:proofErr w:type="spellEnd"/>
      <w:r>
        <w:t xml:space="preserve"> intrusion assessment, however, this CSM, must be aligned with the physical and mathematical construct of any predictive </w:t>
      </w:r>
      <w:proofErr w:type="spellStart"/>
      <w:r>
        <w:t>vapour</w:t>
      </w:r>
      <w:proofErr w:type="spellEnd"/>
      <w:r>
        <w:t xml:space="preserve"> intrusion model for sites under development.  If this is not undertaken the model predictions are invalid.</w:t>
      </w:r>
      <w:r w:rsidR="00DB7251">
        <w:t xml:space="preserve"> </w:t>
      </w:r>
      <w:r>
        <w:t xml:space="preserve">This also applies to existing situations and when such modelling is employed, the uncertainties and limitations associated with site features should be clearly identified </w:t>
      </w:r>
      <w:proofErr w:type="gramStart"/>
      <w:r>
        <w:t>in order to</w:t>
      </w:r>
      <w:proofErr w:type="gramEnd"/>
      <w:r>
        <w:t xml:space="preserve"> justify the use of any one </w:t>
      </w:r>
      <w:proofErr w:type="spellStart"/>
      <w:r>
        <w:t>vapour</w:t>
      </w:r>
      <w:proofErr w:type="spellEnd"/>
      <w:r>
        <w:t xml:space="preserve"> intrusion model.  </w:t>
      </w:r>
    </w:p>
    <w:p w14:paraId="1A406108" w14:textId="253B21F8" w:rsidR="00BA579B" w:rsidRDefault="00BA579B" w:rsidP="00BA579B">
      <w:r>
        <w:t>The establishment of measurement methods should also be based on the CSM which may be iterative in nature as volatile chemical test results are obtained.</w:t>
      </w:r>
      <w:r w:rsidR="00DB7251">
        <w:t xml:space="preserve"> </w:t>
      </w:r>
      <w:r>
        <w:t>It is important to note that such analyses represent a point-in-time assessment and do not reflect the changing environmental conditions over space and time which can only be acquired from repeated evaluations and understanding which conditions may represent a “worst case” setting.</w:t>
      </w:r>
    </w:p>
    <w:p w14:paraId="32D72914" w14:textId="77777777" w:rsidR="00BA579B" w:rsidRDefault="00BA579B" w:rsidP="00BA579B">
      <w:pPr>
        <w:pStyle w:val="Heading3"/>
        <w:spacing w:before="0"/>
      </w:pPr>
      <w:bookmarkStart w:id="10" w:name="_Toc461684038"/>
      <w:r w:rsidRPr="00E14595">
        <w:t>Landfills</w:t>
      </w:r>
      <w:bookmarkEnd w:id="10"/>
    </w:p>
    <w:p w14:paraId="034FC574" w14:textId="6E59BF2A" w:rsidR="00BA579B" w:rsidRPr="00380D14" w:rsidRDefault="00BA579B" w:rsidP="00BA579B">
      <w:r>
        <w:t xml:space="preserve">Landfills present an alternative </w:t>
      </w:r>
      <w:proofErr w:type="spellStart"/>
      <w:r>
        <w:t>vapour</w:t>
      </w:r>
      <w:proofErr w:type="spellEnd"/>
      <w:r>
        <w:t xml:space="preserve"> intrusion potential across both physical and chemical hazards compared with non-landfill settings.</w:t>
      </w:r>
      <w:r w:rsidR="00DB7251">
        <w:t xml:space="preserve"> </w:t>
      </w:r>
      <w:r>
        <w:t xml:space="preserve">Uncontrolled landfills produce a much greater diversity in gas and </w:t>
      </w:r>
      <w:proofErr w:type="spellStart"/>
      <w:r>
        <w:t>vapour</w:t>
      </w:r>
      <w:proofErr w:type="spellEnd"/>
      <w:r>
        <w:t xml:space="preserve"> emissions arising from both source wastes </w:t>
      </w:r>
      <w:proofErr w:type="gramStart"/>
      <w:r>
        <w:t>and also</w:t>
      </w:r>
      <w:proofErr w:type="gramEnd"/>
      <w:r>
        <w:t xml:space="preserve"> decomposition gases from putrescible waste. Porter and </w:t>
      </w:r>
      <w:proofErr w:type="spellStart"/>
      <w:r>
        <w:t>Tepe</w:t>
      </w:r>
      <w:proofErr w:type="spellEnd"/>
      <w:r>
        <w:t xml:space="preserve"> (2013) reported seventy-nine (79) compounds were identified in ambient air in the vicinity of landfills for non-hazardous wastes across sites in Australia and overseas.</w:t>
      </w:r>
      <w:r w:rsidR="00DB7251">
        <w:t xml:space="preserve"> </w:t>
      </w:r>
      <w:r>
        <w:t xml:space="preserve">The physical hazard of fire and explosion due to methane generation and confinement is the key determinant in acute assessments for landfill gases. In addition, a range of inorganic gases exhibiting high acute toxicity, </w:t>
      </w:r>
      <w:proofErr w:type="gramStart"/>
      <w:r>
        <w:t>e.g.</w:t>
      </w:r>
      <w:proofErr w:type="gramEnd"/>
      <w:r>
        <w:t xml:space="preserve"> hydrogen </w:t>
      </w:r>
      <w:proofErr w:type="spellStart"/>
      <w:r>
        <w:t>sulphide</w:t>
      </w:r>
      <w:proofErr w:type="spellEnd"/>
      <w:r>
        <w:t>,</w:t>
      </w:r>
      <w:r w:rsidR="00DB7251">
        <w:t xml:space="preserve"> </w:t>
      </w:r>
      <w:r>
        <w:t xml:space="preserve">carbon </w:t>
      </w:r>
      <w:proofErr w:type="spellStart"/>
      <w:r>
        <w:t>disulphide</w:t>
      </w:r>
      <w:proofErr w:type="spellEnd"/>
      <w:r>
        <w:t xml:space="preserve"> and carcinogenic organic </w:t>
      </w:r>
      <w:proofErr w:type="spellStart"/>
      <w:r>
        <w:t>vapours</w:t>
      </w:r>
      <w:proofErr w:type="spellEnd"/>
      <w:r>
        <w:t xml:space="preserve"> such as benzene present a need to consider both acute and chronic exposures. A CSM which can provide an understanding of the heterogeneity of the gas and </w:t>
      </w:r>
      <w:proofErr w:type="spellStart"/>
      <w:r>
        <w:t>vapour</w:t>
      </w:r>
      <w:proofErr w:type="spellEnd"/>
      <w:r>
        <w:t xml:space="preserve"> distribution and migration off-site via preferential pathways to residential areas are important considerations.</w:t>
      </w:r>
    </w:p>
    <w:p w14:paraId="0E8DF5BD" w14:textId="77777777" w:rsidR="00E64F69" w:rsidRDefault="00E64F69">
      <w:r>
        <w:br w:type="page"/>
      </w:r>
    </w:p>
    <w:p w14:paraId="2F927A81" w14:textId="77777777" w:rsidR="00FA4FDA" w:rsidRDefault="00FA4FDA" w:rsidP="00380D14">
      <w:pPr>
        <w:rPr>
          <w:rStyle w:val="Strong"/>
        </w:rPr>
      </w:pPr>
    </w:p>
    <w:p w14:paraId="3B32F70B" w14:textId="2A07A6B5" w:rsidR="00004353" w:rsidRDefault="00004353" w:rsidP="00004353">
      <w:pPr>
        <w:pStyle w:val="Caption"/>
        <w:keepNext/>
      </w:pPr>
      <w:bookmarkStart w:id="11" w:name="_Ref454863852"/>
      <w:r>
        <w:t xml:space="preserve">Figure </w:t>
      </w:r>
      <w:fldSimple w:instr=" SEQ Figure \* ARABIC ">
        <w:r w:rsidR="006A5935">
          <w:rPr>
            <w:noProof/>
          </w:rPr>
          <w:t>1</w:t>
        </w:r>
      </w:fldSimple>
      <w:bookmarkEnd w:id="11"/>
      <w:r>
        <w:t>: Residential low density</w:t>
      </w:r>
    </w:p>
    <w:p w14:paraId="77085DFC" w14:textId="77777777" w:rsidR="00004353" w:rsidRDefault="00E64F69" w:rsidP="00380D14">
      <w:r>
        <w:rPr>
          <w:noProof/>
          <w:lang w:eastAsia="en-US"/>
        </w:rPr>
        <w:drawing>
          <wp:inline distT="0" distB="0" distL="0" distR="0" wp14:anchorId="01459A2A" wp14:editId="05D65A7F">
            <wp:extent cx="4629150" cy="32956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44108" cy="3448686"/>
                    </a:xfrm>
                    <a:prstGeom prst="rect">
                      <a:avLst/>
                    </a:prstGeom>
                    <a:noFill/>
                    <a:ln>
                      <a:noFill/>
                    </a:ln>
                  </pic:spPr>
                </pic:pic>
              </a:graphicData>
            </a:graphic>
          </wp:inline>
        </w:drawing>
      </w:r>
    </w:p>
    <w:p w14:paraId="3EA33382" w14:textId="77777777" w:rsidR="00004353" w:rsidRDefault="00004353" w:rsidP="00004353">
      <w:pPr>
        <w:pStyle w:val="Caption"/>
        <w:keepNext/>
      </w:pPr>
    </w:p>
    <w:p w14:paraId="170A7BE5" w14:textId="5C92ED37" w:rsidR="00004353" w:rsidRDefault="00004353" w:rsidP="00004353">
      <w:pPr>
        <w:pStyle w:val="Caption"/>
        <w:keepNext/>
      </w:pPr>
      <w:bookmarkStart w:id="12" w:name="_Ref454863865"/>
      <w:r>
        <w:t xml:space="preserve">Figure </w:t>
      </w:r>
      <w:fldSimple w:instr=" SEQ Figure \* ARABIC ">
        <w:r w:rsidR="006A5935">
          <w:rPr>
            <w:noProof/>
          </w:rPr>
          <w:t>2</w:t>
        </w:r>
      </w:fldSimple>
      <w:bookmarkEnd w:id="12"/>
      <w:r>
        <w:t>: Residential high density</w:t>
      </w:r>
    </w:p>
    <w:p w14:paraId="0D42DBB3" w14:textId="312F1A15" w:rsidR="00380D14" w:rsidRDefault="001F0CE2" w:rsidP="00380D14">
      <w:r>
        <w:rPr>
          <w:noProof/>
          <w:lang w:eastAsia="en-US"/>
        </w:rPr>
        <w:drawing>
          <wp:inline distT="0" distB="0" distL="0" distR="0" wp14:anchorId="0AC335A6" wp14:editId="0687008B">
            <wp:extent cx="4457700" cy="33718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15729" cy="3415744"/>
                    </a:xfrm>
                    <a:prstGeom prst="rect">
                      <a:avLst/>
                    </a:prstGeom>
                    <a:noFill/>
                    <a:ln>
                      <a:noFill/>
                    </a:ln>
                  </pic:spPr>
                </pic:pic>
              </a:graphicData>
            </a:graphic>
          </wp:inline>
        </w:drawing>
      </w:r>
    </w:p>
    <w:p w14:paraId="1D02DB15" w14:textId="5B19803E" w:rsidR="00004353" w:rsidRDefault="00E64F69" w:rsidP="00E33479">
      <w:r>
        <w:lastRenderedPageBreak/>
        <w:tab/>
      </w:r>
    </w:p>
    <w:p w14:paraId="6695AD0A" w14:textId="2E916777" w:rsidR="00004353" w:rsidRDefault="00004353" w:rsidP="00004353">
      <w:pPr>
        <w:pStyle w:val="Caption"/>
        <w:keepNext/>
      </w:pPr>
      <w:bookmarkStart w:id="13" w:name="_Ref454863882"/>
      <w:r>
        <w:t xml:space="preserve">Figure </w:t>
      </w:r>
      <w:fldSimple w:instr=" SEQ Figure \* ARABIC ">
        <w:r w:rsidR="006A5935">
          <w:rPr>
            <w:noProof/>
          </w:rPr>
          <w:t>3</w:t>
        </w:r>
      </w:fldSimple>
      <w:bookmarkEnd w:id="13"/>
      <w:r>
        <w:t>: Recreational</w:t>
      </w:r>
    </w:p>
    <w:p w14:paraId="52F3E49F" w14:textId="77777777" w:rsidR="00004353" w:rsidRDefault="001F0CE2">
      <w:r>
        <w:rPr>
          <w:noProof/>
          <w:lang w:eastAsia="en-US"/>
        </w:rPr>
        <w:drawing>
          <wp:inline distT="0" distB="0" distL="0" distR="0" wp14:anchorId="7E63A0AA" wp14:editId="36AD03A9">
            <wp:extent cx="4781550" cy="37909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48227" cy="3843813"/>
                    </a:xfrm>
                    <a:prstGeom prst="rect">
                      <a:avLst/>
                    </a:prstGeom>
                    <a:noFill/>
                    <a:ln>
                      <a:noFill/>
                    </a:ln>
                  </pic:spPr>
                </pic:pic>
              </a:graphicData>
            </a:graphic>
          </wp:inline>
        </w:drawing>
      </w:r>
    </w:p>
    <w:p w14:paraId="71967768" w14:textId="5A870EB0" w:rsidR="00004353" w:rsidRDefault="00004353" w:rsidP="00004353">
      <w:pPr>
        <w:pStyle w:val="Caption"/>
        <w:keepNext/>
      </w:pPr>
      <w:bookmarkStart w:id="14" w:name="_Ref454863894"/>
      <w:r>
        <w:t xml:space="preserve">Figure </w:t>
      </w:r>
      <w:fldSimple w:instr=" SEQ Figure \* ARABIC ">
        <w:r w:rsidR="006A5935">
          <w:rPr>
            <w:noProof/>
          </w:rPr>
          <w:t>4</w:t>
        </w:r>
      </w:fldSimple>
      <w:bookmarkEnd w:id="14"/>
      <w:r>
        <w:t>: Industrial</w:t>
      </w:r>
    </w:p>
    <w:p w14:paraId="7A4F363B" w14:textId="10C79034" w:rsidR="00E64F69" w:rsidRDefault="001F0CE2">
      <w:pPr>
        <w:rPr>
          <w:rFonts w:eastAsiaTheme="majorEastAsia" w:cstheme="majorBidi"/>
          <w:bCs/>
          <w:color w:val="000000" w:themeColor="text1"/>
        </w:rPr>
      </w:pPr>
      <w:r>
        <w:rPr>
          <w:noProof/>
          <w:lang w:eastAsia="en-US"/>
        </w:rPr>
        <w:drawing>
          <wp:inline distT="0" distB="0" distL="0" distR="0" wp14:anchorId="37D105F8" wp14:editId="52820F5B">
            <wp:extent cx="4714875" cy="31813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14428" cy="3248523"/>
                    </a:xfrm>
                    <a:prstGeom prst="rect">
                      <a:avLst/>
                    </a:prstGeom>
                    <a:noFill/>
                    <a:ln>
                      <a:noFill/>
                    </a:ln>
                  </pic:spPr>
                </pic:pic>
              </a:graphicData>
            </a:graphic>
          </wp:inline>
        </w:drawing>
      </w:r>
      <w:r w:rsidR="00E64F69">
        <w:br w:type="page"/>
      </w:r>
    </w:p>
    <w:p w14:paraId="3F08C93D" w14:textId="3AB2FB8C" w:rsidR="00E14595" w:rsidRDefault="00E14595" w:rsidP="00380D14">
      <w:pPr>
        <w:pStyle w:val="Heading2"/>
        <w:spacing w:before="0"/>
      </w:pPr>
      <w:bookmarkStart w:id="15" w:name="_Toc461684039"/>
      <w:r w:rsidRPr="00BA33AB">
        <w:lastRenderedPageBreak/>
        <w:t>Issues of concern</w:t>
      </w:r>
      <w:bookmarkEnd w:id="15"/>
    </w:p>
    <w:p w14:paraId="250C1F91" w14:textId="77777777" w:rsidR="00E14595" w:rsidRDefault="00E14595" w:rsidP="00380D14">
      <w:pPr>
        <w:pStyle w:val="Heading3"/>
        <w:spacing w:before="0"/>
      </w:pPr>
      <w:bookmarkStart w:id="16" w:name="_Toc461684040"/>
      <w:r w:rsidRPr="00E14595">
        <w:t>Toxicology</w:t>
      </w:r>
      <w:bookmarkEnd w:id="16"/>
    </w:p>
    <w:p w14:paraId="3D52D6B6" w14:textId="59C106B9" w:rsidR="00EB2533" w:rsidRPr="005F7044" w:rsidRDefault="00BA579B" w:rsidP="005F7044">
      <w:pPr>
        <w:pStyle w:val="Heading4"/>
      </w:pPr>
      <w:r>
        <w:t xml:space="preserve"> </w:t>
      </w:r>
      <w:r w:rsidR="00EB2533" w:rsidRPr="005F7044">
        <w:t>Background exposures</w:t>
      </w:r>
    </w:p>
    <w:p w14:paraId="70145CFD" w14:textId="7CD4F448" w:rsidR="00C47F96" w:rsidRDefault="005F7044" w:rsidP="005F7044">
      <w:r>
        <w:t>Human health risk assessment requires evaluation of exposures through estimates of daily intake against acceptable daily intakes</w:t>
      </w:r>
      <w:r w:rsidR="00C47F96">
        <w:t xml:space="preserve"> (ADIs) (or an equivalent intake duration)</w:t>
      </w:r>
      <w:r>
        <w:t xml:space="preserve"> to determine a margin of safety expressed as a</w:t>
      </w:r>
      <w:r w:rsidR="00C47F96">
        <w:t xml:space="preserve"> </w:t>
      </w:r>
      <w:r>
        <w:t>haz</w:t>
      </w:r>
      <w:r w:rsidR="00C47F96">
        <w:t>a</w:t>
      </w:r>
      <w:r>
        <w:t>rd quotient (HQ) for any one chemical and exposure pathway</w:t>
      </w:r>
      <w:r w:rsidR="00C47F96">
        <w:t>. The acceptable intake must consider all sources of exposure for any one chemical such that apportionment occurs.</w:t>
      </w:r>
      <w:r w:rsidR="007C31A4">
        <w:t xml:space="preserve"> </w:t>
      </w:r>
      <w:r w:rsidR="00C47F96">
        <w:t xml:space="preserve">This includes air, water, food, use of consumer goods and exposures associated with individual </w:t>
      </w:r>
      <w:proofErr w:type="spellStart"/>
      <w:r w:rsidR="00C47F96">
        <w:t>behaviours</w:t>
      </w:r>
      <w:proofErr w:type="spellEnd"/>
      <w:r w:rsidR="00C47F96">
        <w:t xml:space="preserve">.  </w:t>
      </w:r>
    </w:p>
    <w:p w14:paraId="7FD8075D" w14:textId="39E4D2C3" w:rsidR="00C47F96" w:rsidRDefault="00C47F96" w:rsidP="005F7044">
      <w:r>
        <w:t>Inhalation exposures are difficult to avoid and their management</w:t>
      </w:r>
      <w:r w:rsidR="00753299">
        <w:t xml:space="preserve"> at the personal level</w:t>
      </w:r>
      <w:r>
        <w:t xml:space="preserve"> is limited. The use of static atmospheric monitoring across areas does not measure the same outcome as personal monitoring in an individual’s breathing space </w:t>
      </w:r>
      <w:r w:rsidR="00753299">
        <w:t>and this</w:t>
      </w:r>
      <w:r w:rsidR="00394781">
        <w:t xml:space="preserve"> has been recognized for many years (Ott, 1982). </w:t>
      </w:r>
      <w:proofErr w:type="gramStart"/>
      <w:r w:rsidR="00394781">
        <w:t xml:space="preserve">As a </w:t>
      </w:r>
      <w:r w:rsidR="00476BA6">
        <w:t>consequence</w:t>
      </w:r>
      <w:proofErr w:type="gramEnd"/>
      <w:r w:rsidR="00476BA6">
        <w:t>,</w:t>
      </w:r>
      <w:r w:rsidR="00394781">
        <w:t xml:space="preserve"> it is</w:t>
      </w:r>
      <w:r w:rsidR="00753299">
        <w:t xml:space="preserve"> important to understand the nature of background exposure data and allow a margin of uncertainty </w:t>
      </w:r>
      <w:r w:rsidR="00394781">
        <w:t>for that which is unknown.</w:t>
      </w:r>
      <w:r w:rsidR="007C31A4">
        <w:t xml:space="preserve"> </w:t>
      </w:r>
      <w:r w:rsidR="00394781">
        <w:t>Such an approach reflects the ‘precautionary principle’ in public health (enHealth, 2012a).</w:t>
      </w:r>
    </w:p>
    <w:p w14:paraId="2E03D963" w14:textId="3FE0F661" w:rsidR="00E14595" w:rsidRDefault="00BA579B" w:rsidP="005F7044">
      <w:pPr>
        <w:pStyle w:val="Heading4"/>
      </w:pPr>
      <w:r>
        <w:t xml:space="preserve"> </w:t>
      </w:r>
      <w:r w:rsidR="00E14595" w:rsidRPr="00E14595">
        <w:t>Duration effects</w:t>
      </w:r>
      <w:r w:rsidR="00476BA6">
        <w:t xml:space="preserve"> and population </w:t>
      </w:r>
      <w:r w:rsidR="0033128C">
        <w:t>susceptibility</w:t>
      </w:r>
    </w:p>
    <w:p w14:paraId="6269E951" w14:textId="1A764DB2" w:rsidR="00753299" w:rsidRDefault="00753299" w:rsidP="00753299">
      <w:r>
        <w:t>A thorough up-to-date review of the toxicology</w:t>
      </w:r>
      <w:r w:rsidR="00476BA6">
        <w:t xml:space="preserve"> is critical in ensuring that the most appropriate toxicological endpoint is identified </w:t>
      </w:r>
      <w:proofErr w:type="gramStart"/>
      <w:r w:rsidR="00476BA6">
        <w:t>in order to</w:t>
      </w:r>
      <w:proofErr w:type="gramEnd"/>
      <w:r w:rsidR="00476BA6">
        <w:t xml:space="preserve"> review suitable dose-response data and the time scale associated with </w:t>
      </w:r>
      <w:r w:rsidR="000A5E95">
        <w:t xml:space="preserve">that </w:t>
      </w:r>
      <w:r w:rsidR="00F75C4E">
        <w:t xml:space="preserve">adverse </w:t>
      </w:r>
      <w:r w:rsidR="000A5E95">
        <w:t>outcome</w:t>
      </w:r>
      <w:r w:rsidR="00476BA6">
        <w:t xml:space="preserve">. </w:t>
      </w:r>
      <w:r w:rsidR="0033128C">
        <w:t>WHO (2001) have compiled exposure assessment terms and those for duration include:</w:t>
      </w:r>
    </w:p>
    <w:p w14:paraId="23DAFD96" w14:textId="74F2909A" w:rsidR="0033128C" w:rsidRPr="003E3FDA" w:rsidRDefault="0033128C" w:rsidP="0033128C">
      <w:r w:rsidRPr="003E3FDA">
        <w:rPr>
          <w:u w:val="single"/>
        </w:rPr>
        <w:t>Acute</w:t>
      </w:r>
      <w:r w:rsidR="000A1C54" w:rsidRPr="003E3FDA">
        <w:rPr>
          <w:u w:val="single"/>
        </w:rPr>
        <w:t xml:space="preserve"> exposure</w:t>
      </w:r>
      <w:r>
        <w:t xml:space="preserve"> </w:t>
      </w:r>
      <w:r w:rsidR="00A95021">
        <w:t>-</w:t>
      </w:r>
      <w:r>
        <w:t xml:space="preserve"> “</w:t>
      </w:r>
      <w:r w:rsidRPr="0033128C">
        <w:rPr>
          <w:i/>
        </w:rPr>
        <w:t xml:space="preserve">One or a series of </w:t>
      </w:r>
      <w:proofErr w:type="gramStart"/>
      <w:r>
        <w:rPr>
          <w:i/>
        </w:rPr>
        <w:t xml:space="preserve">short </w:t>
      </w:r>
      <w:r w:rsidRPr="0033128C">
        <w:rPr>
          <w:i/>
        </w:rPr>
        <w:t>term</w:t>
      </w:r>
      <w:proofErr w:type="gramEnd"/>
      <w:r w:rsidRPr="0033128C">
        <w:rPr>
          <w:i/>
        </w:rPr>
        <w:t xml:space="preserve"> exposures generally lasting less than 24 hours. (CARB, 2000: Glossary of Air Pollution Terms</w:t>
      </w:r>
      <w:r w:rsidRPr="003E3FDA">
        <w:t>)”</w:t>
      </w:r>
      <w:r w:rsidR="00A95021" w:rsidRPr="003E3FDA">
        <w:t xml:space="preserve">; </w:t>
      </w:r>
      <w:bookmarkStart w:id="17" w:name="Acute_Exposure"/>
      <w:bookmarkEnd w:id="17"/>
      <w:r w:rsidR="000A1C54" w:rsidRPr="003E3FDA">
        <w:t xml:space="preserve">Contact with a substance that occurs once or for only a short time (up to 14 days) ATSDR, 2016: online </w:t>
      </w:r>
      <w:proofErr w:type="gramStart"/>
      <w:r w:rsidR="000A1C54" w:rsidRPr="003E3FDA">
        <w:t>glossary</w:t>
      </w:r>
      <w:proofErr w:type="gramEnd"/>
    </w:p>
    <w:p w14:paraId="0B58BDD1" w14:textId="02B08B6B" w:rsidR="00A95021" w:rsidRDefault="003E3FDA" w:rsidP="003E3FDA">
      <w:r w:rsidRPr="003E3FDA">
        <w:rPr>
          <w:bCs/>
          <w:u w:val="single"/>
        </w:rPr>
        <w:t>Intermediate exposure</w:t>
      </w:r>
      <w:r w:rsidRPr="003E3FDA">
        <w:rPr>
          <w:bCs/>
        </w:rPr>
        <w:t xml:space="preserve"> -</w:t>
      </w:r>
      <w:r>
        <w:rPr>
          <w:b/>
          <w:bCs/>
        </w:rPr>
        <w:t xml:space="preserve"> </w:t>
      </w:r>
      <w:r w:rsidR="00A95021" w:rsidRPr="00A95021">
        <w:t>Exposure to a chemical for a dura</w:t>
      </w:r>
      <w:r>
        <w:t xml:space="preserve">tion of 15–364 days </w:t>
      </w:r>
      <w:r>
        <w:rPr>
          <w:i/>
        </w:rPr>
        <w:t>[ATSDR, 2016</w:t>
      </w:r>
      <w:r w:rsidRPr="000A5E95">
        <w:rPr>
          <w:i/>
        </w:rPr>
        <w:t>: Online Glossary]</w:t>
      </w:r>
    </w:p>
    <w:p w14:paraId="08326CBC" w14:textId="54BDA033" w:rsidR="000A5E95" w:rsidRDefault="00A95021" w:rsidP="00A95021">
      <w:r w:rsidRPr="003E3FDA">
        <w:rPr>
          <w:u w:val="single"/>
        </w:rPr>
        <w:t>Sub-chronic</w:t>
      </w:r>
      <w:r w:rsidR="003E3FDA" w:rsidRPr="003E3FDA">
        <w:rPr>
          <w:u w:val="single"/>
        </w:rPr>
        <w:t xml:space="preserve"> exposure</w:t>
      </w:r>
      <w:r>
        <w:t xml:space="preserve"> – “</w:t>
      </w:r>
      <w:r w:rsidRPr="00A95021">
        <w:rPr>
          <w:i/>
        </w:rPr>
        <w:t>Exposure to a substance spanning approximately 10% of the lifetime of an organism. [IRIS, 1999: Glossary of IRIS Terms</w:t>
      </w:r>
      <w:r>
        <w:t>]</w:t>
      </w:r>
    </w:p>
    <w:p w14:paraId="5DF77DAA" w14:textId="7A29F257" w:rsidR="0033128C" w:rsidRDefault="000A5E95" w:rsidP="000A5E95">
      <w:pPr>
        <w:rPr>
          <w:i/>
        </w:rPr>
      </w:pPr>
      <w:r w:rsidRPr="003E3FDA">
        <w:rPr>
          <w:u w:val="single"/>
        </w:rPr>
        <w:t>Chronic</w:t>
      </w:r>
      <w:r w:rsidR="003E3FDA" w:rsidRPr="003E3FDA">
        <w:rPr>
          <w:u w:val="single"/>
        </w:rPr>
        <w:t xml:space="preserve"> exposure</w:t>
      </w:r>
      <w:r>
        <w:t xml:space="preserve"> </w:t>
      </w:r>
      <w:r w:rsidR="00A95021">
        <w:t>-</w:t>
      </w:r>
      <w:r>
        <w:t xml:space="preserve"> “</w:t>
      </w:r>
      <w:r w:rsidRPr="000A5E95">
        <w:rPr>
          <w:i/>
        </w:rPr>
        <w:t>Occurring over a long period of time (mo</w:t>
      </w:r>
      <w:r w:rsidR="000A1C54">
        <w:rPr>
          <w:i/>
        </w:rPr>
        <w:t>re than 1 year). [ATSDR, 2016</w:t>
      </w:r>
      <w:r w:rsidRPr="000A5E95">
        <w:rPr>
          <w:i/>
        </w:rPr>
        <w:t>: Online Glossary]</w:t>
      </w:r>
    </w:p>
    <w:p w14:paraId="0026403F" w14:textId="1C516930" w:rsidR="003E3FDA" w:rsidRDefault="003E3FDA" w:rsidP="000A5E95">
      <w:r>
        <w:t xml:space="preserve">While there are slight differences between terms across agencies where toxicological data are used in risk assessment it is important that the definition of the durations associated with that data are clearly understood as defined by the publishing authority. </w:t>
      </w:r>
    </w:p>
    <w:p w14:paraId="6A6D9A5D" w14:textId="6957B8F4" w:rsidR="003E3FDA" w:rsidRPr="00753299" w:rsidRDefault="003E3FDA" w:rsidP="000A5E95">
      <w:r>
        <w:t>As part of the toxicological assessment process the susceptibility of the population</w:t>
      </w:r>
      <w:r w:rsidR="00EB1C51">
        <w:t xml:space="preserve"> to </w:t>
      </w:r>
      <w:r>
        <w:t xml:space="preserve">volatile COPC should be recognized and </w:t>
      </w:r>
      <w:r w:rsidR="00F75C4E">
        <w:t>considered</w:t>
      </w:r>
      <w:r>
        <w:t>.</w:t>
      </w:r>
      <w:r w:rsidR="00F75C4E">
        <w:t xml:space="preserve"> This region-specific factor may impart a greater </w:t>
      </w:r>
      <w:r w:rsidR="00EB1C51">
        <w:t>emphasis</w:t>
      </w:r>
      <w:r w:rsidR="00F75C4E">
        <w:t xml:space="preserve"> to the evaluation of any </w:t>
      </w:r>
      <w:proofErr w:type="gramStart"/>
      <w:r w:rsidR="00F75C4E">
        <w:t>particular volatile</w:t>
      </w:r>
      <w:proofErr w:type="gramEnd"/>
      <w:r w:rsidR="00F75C4E">
        <w:t xml:space="preserve"> substance</w:t>
      </w:r>
      <w:r w:rsidR="00EB1C51">
        <w:t>. F</w:t>
      </w:r>
      <w:r w:rsidR="008D7E76">
        <w:t>or example</w:t>
      </w:r>
      <w:r w:rsidR="000D014A">
        <w:t>,</w:t>
      </w:r>
      <w:r w:rsidR="008D7E76">
        <w:t xml:space="preserve"> in Australia</w:t>
      </w:r>
      <w:r w:rsidR="000D014A">
        <w:t xml:space="preserve"> </w:t>
      </w:r>
      <w:r w:rsidR="00EB1C51">
        <w:t>asthma prevalence</w:t>
      </w:r>
      <w:r w:rsidR="000D014A">
        <w:t xml:space="preserve"> in 2011-12 was 10.</w:t>
      </w:r>
      <w:r w:rsidR="00EB1C51">
        <w:t xml:space="preserve">25% of the population </w:t>
      </w:r>
      <w:r w:rsidR="000D014A">
        <w:t>with slightly higher levels in children (ABS,</w:t>
      </w:r>
      <w:r w:rsidR="00F14A4E">
        <w:t xml:space="preserve"> 2014)</w:t>
      </w:r>
      <w:r w:rsidR="000D014A">
        <w:t>.</w:t>
      </w:r>
      <w:r w:rsidR="007C31A4">
        <w:t xml:space="preserve"> </w:t>
      </w:r>
      <w:r w:rsidR="000D014A">
        <w:t>Volati</w:t>
      </w:r>
      <w:r w:rsidR="00F14A4E">
        <w:t>le substances that may initiate Type 1 hypersens</w:t>
      </w:r>
      <w:r w:rsidR="00FD54ED">
        <w:t>iti</w:t>
      </w:r>
      <w:r w:rsidR="00F14A4E">
        <w:t>vity reactions therefore warrant review</w:t>
      </w:r>
      <w:r w:rsidR="005D436F">
        <w:t xml:space="preserve"> and consideration</w:t>
      </w:r>
      <w:r w:rsidR="00F14A4E">
        <w:t>.</w:t>
      </w:r>
    </w:p>
    <w:p w14:paraId="6DBF77E7" w14:textId="4CFFD75B" w:rsidR="00E14595" w:rsidRDefault="00BA579B" w:rsidP="00476BA6">
      <w:pPr>
        <w:pStyle w:val="Heading4"/>
      </w:pPr>
      <w:r>
        <w:lastRenderedPageBreak/>
        <w:t xml:space="preserve"> </w:t>
      </w:r>
      <w:r w:rsidR="00E14595" w:rsidRPr="00E14595">
        <w:t>Individual substances</w:t>
      </w:r>
      <w:r w:rsidR="00476BA6">
        <w:t xml:space="preserve"> and mixtures</w:t>
      </w:r>
    </w:p>
    <w:p w14:paraId="6567DD04" w14:textId="1D006110" w:rsidR="00380D14" w:rsidRDefault="00F14A4E" w:rsidP="00380D14">
      <w:proofErr w:type="gramStart"/>
      <w:r>
        <w:t>The majority of</w:t>
      </w:r>
      <w:proofErr w:type="gramEnd"/>
      <w:r>
        <w:t xml:space="preserve"> toxicological </w:t>
      </w:r>
      <w:r w:rsidR="00E06C0C">
        <w:t xml:space="preserve">testing is undertaken on single substances of specific purities.  Subsequently, they do not incorporate concurrent exposures to volatiles that are the more realistic in-situ exposure settings due to mixtures of wastes, technical grade products or multiple source exposures to differing volatiles. Consideration is therefore required of </w:t>
      </w:r>
      <w:proofErr w:type="spellStart"/>
      <w:r w:rsidR="00E06C0C">
        <w:t>tox</w:t>
      </w:r>
      <w:r w:rsidR="00BA579B">
        <w:t>ico</w:t>
      </w:r>
      <w:proofErr w:type="spellEnd"/>
      <w:r w:rsidR="00BA579B">
        <w:t xml:space="preserve">-dynamic interactions </w:t>
      </w:r>
      <w:r w:rsidR="00E06C0C">
        <w:t xml:space="preserve">and review of available assessment tools. Should such tools be lacking or incomplete, the incorporation of margins of safety, conservative </w:t>
      </w:r>
      <w:proofErr w:type="gramStart"/>
      <w:r w:rsidR="00E06C0C">
        <w:t>estimates</w:t>
      </w:r>
      <w:proofErr w:type="gramEnd"/>
      <w:r w:rsidR="00E06C0C">
        <w:t xml:space="preserve"> or qualitative discussion regarding how such information may affect the risk assessment outcome should be presented.</w:t>
      </w:r>
      <w:r w:rsidR="00502BE5">
        <w:t xml:space="preserve"> The </w:t>
      </w:r>
      <w:proofErr w:type="spellStart"/>
      <w:r w:rsidR="00502BE5">
        <w:t>toxico</w:t>
      </w:r>
      <w:proofErr w:type="spellEnd"/>
      <w:r w:rsidR="00502BE5">
        <w:t xml:space="preserve">-dynamics of volatile substances within environmental settings </w:t>
      </w:r>
      <w:r w:rsidR="00502BE5" w:rsidRPr="00FD0F85">
        <w:t xml:space="preserve">is an area acknowledged as requiring further research </w:t>
      </w:r>
      <w:r w:rsidR="006B21D2">
        <w:t xml:space="preserve">and </w:t>
      </w:r>
      <w:r w:rsidR="00FD0F85">
        <w:t xml:space="preserve">ATSDR have begun to address this through a program </w:t>
      </w:r>
      <w:r w:rsidR="00FD0F85" w:rsidRPr="00FD0F85">
        <w:t>undertaken by ATSDR’s Division of Toxicology and Human Health Sciences (DTHHS)</w:t>
      </w:r>
      <w:r w:rsidR="006B21D2">
        <w:t xml:space="preserve"> in developing interaction profiles</w:t>
      </w:r>
      <w:r w:rsidR="00FD0F85" w:rsidRPr="00FD0F85">
        <w:t xml:space="preserve"> (ATSDR, 2016)</w:t>
      </w:r>
      <w:r w:rsidR="00FD0F85">
        <w:t>.</w:t>
      </w:r>
    </w:p>
    <w:p w14:paraId="5C96C548" w14:textId="77777777" w:rsidR="00E14595" w:rsidRPr="00E14595" w:rsidRDefault="00E14595" w:rsidP="00380D14">
      <w:pPr>
        <w:pStyle w:val="Heading3"/>
        <w:spacing w:before="0"/>
      </w:pPr>
      <w:bookmarkStart w:id="18" w:name="_Ref454289829"/>
      <w:bookmarkStart w:id="19" w:name="_Toc461684041"/>
      <w:r w:rsidRPr="00E14595">
        <w:t>Epidemiology</w:t>
      </w:r>
      <w:bookmarkEnd w:id="18"/>
      <w:bookmarkEnd w:id="19"/>
    </w:p>
    <w:p w14:paraId="1F1B4B67" w14:textId="62133D5B" w:rsidR="00E14595" w:rsidRDefault="00BA579B" w:rsidP="00380D14">
      <w:pPr>
        <w:pStyle w:val="Heading4"/>
        <w:spacing w:before="0"/>
      </w:pPr>
      <w:r>
        <w:t xml:space="preserve"> </w:t>
      </w:r>
      <w:r w:rsidR="00E14595" w:rsidRPr="00E14595">
        <w:t>What is known?</w:t>
      </w:r>
    </w:p>
    <w:p w14:paraId="1F3BB6AE" w14:textId="77777777" w:rsidR="005D436F" w:rsidRDefault="009756D5" w:rsidP="009756D5">
      <w:r>
        <w:t xml:space="preserve">Data from </w:t>
      </w:r>
      <w:r w:rsidR="00295459">
        <w:t xml:space="preserve">Australian </w:t>
      </w:r>
      <w:r>
        <w:t xml:space="preserve">environmental epidemiological studies involving population </w:t>
      </w:r>
      <w:r w:rsidR="00064BE4">
        <w:t xml:space="preserve">evaluations </w:t>
      </w:r>
      <w:r>
        <w:t xml:space="preserve">of </w:t>
      </w:r>
      <w:proofErr w:type="spellStart"/>
      <w:r>
        <w:t>vapour</w:t>
      </w:r>
      <w:proofErr w:type="spellEnd"/>
      <w:r>
        <w:t xml:space="preserve"> intrusion exposures and adverse outcomes are </w:t>
      </w:r>
      <w:r w:rsidR="00295459">
        <w:t>non-existent and there are only a few studies undertaken overseas</w:t>
      </w:r>
      <w:r>
        <w:t xml:space="preserve">.  </w:t>
      </w:r>
    </w:p>
    <w:p w14:paraId="550B2811" w14:textId="6D8EBB0B" w:rsidR="00295459" w:rsidRDefault="00295459" w:rsidP="009756D5">
      <w:proofErr w:type="spellStart"/>
      <w:r>
        <w:t>Steffan</w:t>
      </w:r>
      <w:proofErr w:type="spellEnd"/>
      <w:r>
        <w:t xml:space="preserve"> </w:t>
      </w:r>
      <w:r w:rsidR="009A47BA">
        <w:t>et al.,</w:t>
      </w:r>
      <w:r w:rsidR="00064BE4">
        <w:t xml:space="preserve"> (2004)</w:t>
      </w:r>
      <w:r w:rsidR="003D038D">
        <w:t xml:space="preserve"> examined potential environmental exposure to hydrocarbons and the risk of acute childhood </w:t>
      </w:r>
      <w:proofErr w:type="spellStart"/>
      <w:r w:rsidR="003D038D">
        <w:t>leukaemia</w:t>
      </w:r>
      <w:proofErr w:type="spellEnd"/>
      <w:r w:rsidR="003D038D">
        <w:t xml:space="preserve"> in a multicenter </w:t>
      </w:r>
      <w:proofErr w:type="gramStart"/>
      <w:r w:rsidR="003D038D">
        <w:t>hospital</w:t>
      </w:r>
      <w:r w:rsidR="001931D8">
        <w:t xml:space="preserve"> based</w:t>
      </w:r>
      <w:proofErr w:type="gramEnd"/>
      <w:r w:rsidR="001931D8">
        <w:t xml:space="preserve"> case-</w:t>
      </w:r>
      <w:r w:rsidR="005D436F">
        <w:t>contro</w:t>
      </w:r>
      <w:r w:rsidR="003D038D">
        <w:t>l study in France.</w:t>
      </w:r>
      <w:r w:rsidR="007C31A4">
        <w:t xml:space="preserve"> </w:t>
      </w:r>
      <w:r w:rsidR="003D038D">
        <w:t>The group reported a “</w:t>
      </w:r>
      <w:r w:rsidR="003D038D" w:rsidRPr="003D038D">
        <w:rPr>
          <w:i/>
        </w:rPr>
        <w:t>particularly strong</w:t>
      </w:r>
      <w:r w:rsidR="003D038D">
        <w:t xml:space="preserve">” association between dwellings </w:t>
      </w:r>
      <w:proofErr w:type="spellStart"/>
      <w:r w:rsidR="003D038D">
        <w:t>neighbouring</w:t>
      </w:r>
      <w:proofErr w:type="spellEnd"/>
      <w:r w:rsidR="003D038D">
        <w:t xml:space="preserve"> a petrol station or repair garage during childhood and the risk of acute non-lymphocytic </w:t>
      </w:r>
      <w:proofErr w:type="spellStart"/>
      <w:r w:rsidR="003D038D">
        <w:t>leukaemia</w:t>
      </w:r>
      <w:proofErr w:type="spellEnd"/>
      <w:r w:rsidR="003D038D">
        <w:t xml:space="preserve"> (OR 7.7, 95% CI 1.7 to 34.3). </w:t>
      </w:r>
      <w:r w:rsidR="005D436F">
        <w:t xml:space="preserve">Whether the exposures were mediated via ambient air or indoor air from </w:t>
      </w:r>
      <w:proofErr w:type="spellStart"/>
      <w:r w:rsidR="005D436F">
        <w:t>vapour</w:t>
      </w:r>
      <w:proofErr w:type="spellEnd"/>
      <w:r w:rsidR="005D436F">
        <w:t xml:space="preserve"> intrusion or a combination of both is uncertain.</w:t>
      </w:r>
    </w:p>
    <w:p w14:paraId="4163BE00" w14:textId="2F447558" w:rsidR="00AD6690" w:rsidRDefault="002B5AB1" w:rsidP="009756D5">
      <w:proofErr w:type="spellStart"/>
      <w:r>
        <w:t>Forand</w:t>
      </w:r>
      <w:proofErr w:type="spellEnd"/>
      <w:r>
        <w:t>, Lewis-</w:t>
      </w:r>
      <w:proofErr w:type="spellStart"/>
      <w:r>
        <w:t>Michl</w:t>
      </w:r>
      <w:proofErr w:type="spellEnd"/>
      <w:r>
        <w:t xml:space="preserve"> and Gomez (2012)</w:t>
      </w:r>
      <w:r w:rsidR="00AD6690">
        <w:t xml:space="preserve"> investigated the prevalence of adverse birth outcomes among mothers exposed to trichloroethylene (TCE) and tetrachloroethylene (PCE) in indoor air contaminated through </w:t>
      </w:r>
      <w:proofErr w:type="spellStart"/>
      <w:r w:rsidR="00AD6690">
        <w:t>vapour</w:t>
      </w:r>
      <w:proofErr w:type="spellEnd"/>
      <w:r w:rsidR="00AD6690">
        <w:t xml:space="preserve"> intrusion.</w:t>
      </w:r>
      <w:r w:rsidR="007C31A4">
        <w:t xml:space="preserve"> </w:t>
      </w:r>
      <w:r w:rsidR="00AD6690">
        <w:t xml:space="preserve">They reported that maternal residence in TCE and PCE affected areas was associated with cardiac birth defects and residence in the TCE-affected was further associated with low birthweight and </w:t>
      </w:r>
      <w:proofErr w:type="spellStart"/>
      <w:r w:rsidR="00AD6690">
        <w:t>foetal</w:t>
      </w:r>
      <w:proofErr w:type="spellEnd"/>
      <w:r w:rsidR="00AD6690">
        <w:t xml:space="preserve"> growth restriction.  According to the authors this study has been the first to evaluate TCE </w:t>
      </w:r>
      <w:proofErr w:type="spellStart"/>
      <w:r w:rsidR="00AD6690">
        <w:t>vapour</w:t>
      </w:r>
      <w:proofErr w:type="spellEnd"/>
      <w:r w:rsidR="00AD6690">
        <w:t xml:space="preserve"> intrusion health concerns in a population. </w:t>
      </w:r>
    </w:p>
    <w:p w14:paraId="5849FCB4" w14:textId="430B3E2E" w:rsidR="009756D5" w:rsidRDefault="00562377" w:rsidP="009756D5">
      <w:r>
        <w:t>These</w:t>
      </w:r>
      <w:r w:rsidR="009756D5">
        <w:t xml:space="preserve"> </w:t>
      </w:r>
      <w:r w:rsidR="00AD6690">
        <w:t>limited</w:t>
      </w:r>
      <w:r>
        <w:t xml:space="preserve"> data suggest</w:t>
      </w:r>
      <w:r w:rsidR="009756D5">
        <w:t xml:space="preserve"> that</w:t>
      </w:r>
      <w:r w:rsidR="00AD6690">
        <w:t xml:space="preserve"> potential population health impacts may be occurring across similar site contamination settings.</w:t>
      </w:r>
      <w:r w:rsidR="007C31A4">
        <w:t xml:space="preserve"> </w:t>
      </w:r>
      <w:r w:rsidR="00AD6690">
        <w:t xml:space="preserve">These initial studies warrant further research particularly in Australia where the urban environments and urban consolidation programs result </w:t>
      </w:r>
      <w:proofErr w:type="gramStart"/>
      <w:r w:rsidR="00AD6690">
        <w:t>in close proximity to</w:t>
      </w:r>
      <w:proofErr w:type="gramEnd"/>
      <w:r w:rsidR="00AD6690">
        <w:t xml:space="preserve"> a diversity of </w:t>
      </w:r>
      <w:r w:rsidR="00EB2FD8">
        <w:t xml:space="preserve">volatile hydrocarbon sub-surface sources. </w:t>
      </w:r>
    </w:p>
    <w:p w14:paraId="752865A3" w14:textId="77777777" w:rsidR="00E14595" w:rsidRPr="00A53B84" w:rsidRDefault="00E14595" w:rsidP="00380D14">
      <w:pPr>
        <w:pStyle w:val="Heading3"/>
        <w:spacing w:before="0"/>
      </w:pPr>
      <w:bookmarkStart w:id="20" w:name="_Toc461684042"/>
      <w:r w:rsidRPr="00A53B84">
        <w:t>Exposure assessment</w:t>
      </w:r>
      <w:bookmarkEnd w:id="20"/>
    </w:p>
    <w:p w14:paraId="29D01966" w14:textId="7446D032" w:rsidR="00E14595" w:rsidRDefault="00BA579B" w:rsidP="00380D14">
      <w:pPr>
        <w:pStyle w:val="Heading4"/>
        <w:spacing w:before="0"/>
      </w:pPr>
      <w:r>
        <w:t xml:space="preserve"> </w:t>
      </w:r>
      <w:r w:rsidR="00E14595" w:rsidRPr="00E14595">
        <w:t xml:space="preserve">Measurement </w:t>
      </w:r>
      <w:r w:rsidR="00645977">
        <w:t>methods</w:t>
      </w:r>
    </w:p>
    <w:p w14:paraId="69DC6A58" w14:textId="215D3019" w:rsidR="00EB2FD8" w:rsidRDefault="00EB2FD8" w:rsidP="00EB2FD8">
      <w:r>
        <w:t xml:space="preserve">Exposure assessment in </w:t>
      </w:r>
      <w:proofErr w:type="spellStart"/>
      <w:r>
        <w:t>vapour</w:t>
      </w:r>
      <w:proofErr w:type="spellEnd"/>
      <w:r>
        <w:t xml:space="preserve"> intrusion assessment tends to </w:t>
      </w:r>
      <w:r w:rsidR="000B30BE">
        <w:t>employ</w:t>
      </w:r>
      <w:r>
        <w:t xml:space="preserve"> indirect measurement of potential exposures as opposed to traditional occupational hygiene techniques using personal monitoring and biological monitoring (see enHealth 2012a, p</w:t>
      </w:r>
      <w:r w:rsidR="000B30BE">
        <w:t xml:space="preserve">50) which are considered as direct.  These indirect approaches generally involve transport models (such as a </w:t>
      </w:r>
      <w:proofErr w:type="spellStart"/>
      <w:r w:rsidR="000B30BE">
        <w:t>vapour</w:t>
      </w:r>
      <w:proofErr w:type="spellEnd"/>
      <w:r w:rsidR="000B30BE">
        <w:t xml:space="preserve"> intrusion model</w:t>
      </w:r>
      <w:r w:rsidR="00645977">
        <w:t>s</w:t>
      </w:r>
      <w:r w:rsidR="000B30BE">
        <w:t xml:space="preserve">) or static environmental </w:t>
      </w:r>
      <w:r w:rsidR="00645977">
        <w:t>monitoring (</w:t>
      </w:r>
      <w:proofErr w:type="gramStart"/>
      <w:r w:rsidR="00645977">
        <w:t>e.g.</w:t>
      </w:r>
      <w:proofErr w:type="gramEnd"/>
      <w:r w:rsidR="00645977">
        <w:t xml:space="preserve"> in air).  While</w:t>
      </w:r>
      <w:r w:rsidR="000B30BE">
        <w:t xml:space="preserve"> passive and active sampling devices </w:t>
      </w:r>
      <w:r w:rsidR="00D17984">
        <w:t>may be employed</w:t>
      </w:r>
      <w:r w:rsidR="00645977">
        <w:t xml:space="preserve">, </w:t>
      </w:r>
      <w:r w:rsidR="007D51CB">
        <w:t xml:space="preserve">it </w:t>
      </w:r>
      <w:r w:rsidR="00645977">
        <w:t xml:space="preserve">is important to recognize that the exposure assessment should align with the nature and duration of measurement associated with the toxicological data to be </w:t>
      </w:r>
      <w:r w:rsidR="00645977">
        <w:lastRenderedPageBreak/>
        <w:t>used.</w:t>
      </w:r>
      <w:r w:rsidR="00F55B08">
        <w:t xml:space="preserve"> </w:t>
      </w:r>
      <w:r w:rsidR="00645977">
        <w:t>If there is any deviation to the periods or measurement methods used, then the interpretation of the toxicological data to be applied should be reviewed.  For example, in the Air Toxics NEPM (2004) measurement methods are specified for the use of the monitoring investigation levels (MILs) that have been established. Recently there has been debate regarding Haber’s rule duration adjustment suggesting that a linear extrapolation of air data</w:t>
      </w:r>
      <w:r w:rsidR="00492AA1">
        <w:t xml:space="preserve"> is not appropriate and needs to be based on a more in-depth case-by-case approach employing </w:t>
      </w:r>
      <w:proofErr w:type="spellStart"/>
      <w:r w:rsidR="00492AA1">
        <w:t>toxico</w:t>
      </w:r>
      <w:proofErr w:type="spellEnd"/>
      <w:r w:rsidR="00503460">
        <w:t>-</w:t>
      </w:r>
      <w:r w:rsidR="00492AA1">
        <w:t>kineti</w:t>
      </w:r>
      <w:r w:rsidR="00503460">
        <w:t>c</w:t>
      </w:r>
      <w:r w:rsidR="00492AA1">
        <w:t xml:space="preserve">s and </w:t>
      </w:r>
      <w:proofErr w:type="spellStart"/>
      <w:r w:rsidR="00492AA1">
        <w:t>toxico</w:t>
      </w:r>
      <w:proofErr w:type="spellEnd"/>
      <w:r w:rsidR="00503460">
        <w:t>-</w:t>
      </w:r>
      <w:r w:rsidR="00492AA1">
        <w:t>dynamic data analysis for each toxicant (</w:t>
      </w:r>
      <w:proofErr w:type="spellStart"/>
      <w:r w:rsidR="00492AA1">
        <w:t>Belkebir</w:t>
      </w:r>
      <w:proofErr w:type="spellEnd"/>
      <w:r w:rsidR="00492AA1">
        <w:t xml:space="preserve"> </w:t>
      </w:r>
      <w:r w:rsidR="009A47BA">
        <w:t>et al.,</w:t>
      </w:r>
      <w:r w:rsidR="00492AA1">
        <w:t xml:space="preserve"> (2011).  Further research </w:t>
      </w:r>
      <w:r w:rsidR="00181477">
        <w:t xml:space="preserve">into </w:t>
      </w:r>
      <w:r w:rsidR="00492AA1">
        <w:t>such adjustments</w:t>
      </w:r>
      <w:r w:rsidR="00181477">
        <w:t>,</w:t>
      </w:r>
      <w:r w:rsidR="00492AA1">
        <w:t xml:space="preserve"> based on recen</w:t>
      </w:r>
      <w:r w:rsidR="0072116B">
        <w:t>t toxicological data</w:t>
      </w:r>
      <w:r w:rsidR="00181477">
        <w:t>,</w:t>
      </w:r>
      <w:r w:rsidR="0072116B">
        <w:t xml:space="preserve"> are</w:t>
      </w:r>
      <w:r w:rsidR="00492AA1">
        <w:t xml:space="preserve"> required.</w:t>
      </w:r>
    </w:p>
    <w:p w14:paraId="2F6B2936" w14:textId="7B1B82DA" w:rsidR="00E14595" w:rsidRDefault="00BA579B" w:rsidP="00380D14">
      <w:pPr>
        <w:pStyle w:val="Heading4"/>
        <w:spacing w:before="0"/>
      </w:pPr>
      <w:r>
        <w:t xml:space="preserve"> </w:t>
      </w:r>
      <w:r w:rsidR="00E14595" w:rsidRPr="00E14595">
        <w:t>Time-dependence</w:t>
      </w:r>
      <w:r w:rsidR="00AD6690">
        <w:t xml:space="preserve"> and averaged exposures</w:t>
      </w:r>
    </w:p>
    <w:p w14:paraId="04D0CFE8" w14:textId="62A85513" w:rsidR="00C17846" w:rsidRDefault="00C17846" w:rsidP="00C17846">
      <w:r>
        <w:t>The passive</w:t>
      </w:r>
      <w:r w:rsidR="00690E7B">
        <w:t xml:space="preserve"> (diffusive flow)</w:t>
      </w:r>
      <w:r>
        <w:t xml:space="preserve"> and active</w:t>
      </w:r>
      <w:r w:rsidR="00690E7B">
        <w:t xml:space="preserve"> (advective flow)</w:t>
      </w:r>
      <w:r>
        <w:t xml:space="preserve"> atmospheric sampling protocols employed with volatiles measurement relies on capture of a mass of material onto an </w:t>
      </w:r>
      <w:r w:rsidR="003644D8">
        <w:t>adsorbent</w:t>
      </w:r>
      <w:r>
        <w:t xml:space="preserve"> surface over time </w:t>
      </w:r>
      <w:r w:rsidR="00690E7B">
        <w:t>with</w:t>
      </w:r>
      <w:r>
        <w:t xml:space="preserve"> a specified air movement through the sampling device. Once the mass is </w:t>
      </w:r>
      <w:proofErr w:type="spellStart"/>
      <w:r>
        <w:t>analysed</w:t>
      </w:r>
      <w:proofErr w:type="spellEnd"/>
      <w:r>
        <w:t xml:space="preserve"> following</w:t>
      </w:r>
      <w:r w:rsidR="00993CB9">
        <w:t xml:space="preserve"> cessation of sampling </w:t>
      </w:r>
      <w:r w:rsidR="00690E7B">
        <w:t xml:space="preserve">this quantum is expressed per </w:t>
      </w:r>
      <w:r w:rsidR="005451B8">
        <w:t>volume of air that has</w:t>
      </w:r>
      <w:r w:rsidR="00D17984">
        <w:t xml:space="preserve"> </w:t>
      </w:r>
      <w:r w:rsidR="005451B8">
        <w:t xml:space="preserve">flowed through the device </w:t>
      </w:r>
      <w:r w:rsidR="00690E7B">
        <w:t>as a concentration per volume which represents a time-weighted atmospheric air measurement.</w:t>
      </w:r>
      <w:r w:rsidR="007C31A4">
        <w:t xml:space="preserve"> </w:t>
      </w:r>
      <w:r w:rsidR="00690E7B">
        <w:t xml:space="preserve">Shorter time intervals may be considered should toxicological data suggest it, for example </w:t>
      </w:r>
      <w:proofErr w:type="spellStart"/>
      <w:r w:rsidR="00690E7B">
        <w:t>sulphur</w:t>
      </w:r>
      <w:proofErr w:type="spellEnd"/>
      <w:r w:rsidR="00690E7B">
        <w:t xml:space="preserve"> dioxide, is </w:t>
      </w:r>
      <w:r w:rsidR="005451B8">
        <w:t>measured over an hour and a day with a 10minute average also considered (see</w:t>
      </w:r>
      <w:r w:rsidR="0078574B">
        <w:t xml:space="preserve"> NEPC, 2004). On this basis it is important to reconcile the COPC and inherent toxicology with sampling durations.</w:t>
      </w:r>
    </w:p>
    <w:p w14:paraId="52545C71" w14:textId="403CEA5E" w:rsidR="0078574B" w:rsidRDefault="0078574B" w:rsidP="00C17846">
      <w:r>
        <w:t>Recent advances in real-time measurement such as portable GC-FID or GC-MS</w:t>
      </w:r>
      <w:r w:rsidR="000E6789">
        <w:t xml:space="preserve"> instrumentation</w:t>
      </w:r>
      <w:r>
        <w:t xml:space="preserve"> also present additional information in terms of dynamically changing exposure measu</w:t>
      </w:r>
      <w:r w:rsidR="000E6789">
        <w:t>r</w:t>
      </w:r>
      <w:r>
        <w:t>ements</w:t>
      </w:r>
      <w:r w:rsidR="000E6789">
        <w:t>.</w:t>
      </w:r>
      <w:r w:rsidR="007C31A4">
        <w:t xml:space="preserve"> </w:t>
      </w:r>
      <w:r w:rsidR="000E6789">
        <w:t>While these are useful in understanding spatial and temporal indoor changes in air volatile concentrations there are limited data available to interpret such results.</w:t>
      </w:r>
      <w:r w:rsidR="007C31A4">
        <w:t xml:space="preserve"> </w:t>
      </w:r>
      <w:r w:rsidR="000E6789">
        <w:t>These may be useful in the interim to guide more conventional methods, however, with further research on time-dependent dose-response for inhalation exposures</w:t>
      </w:r>
      <w:r w:rsidR="00562377">
        <w:t xml:space="preserve">, it is anticipated such methods may become a dominant approach. In terms of hazardous gases or </w:t>
      </w:r>
      <w:proofErr w:type="spellStart"/>
      <w:r w:rsidR="00562377">
        <w:t>vapours</w:t>
      </w:r>
      <w:proofErr w:type="spellEnd"/>
      <w:r w:rsidR="00562377">
        <w:t xml:space="preserve"> and </w:t>
      </w:r>
      <w:proofErr w:type="spellStart"/>
      <w:r w:rsidR="00562377">
        <w:t>vapour</w:t>
      </w:r>
      <w:proofErr w:type="spellEnd"/>
      <w:r w:rsidR="00562377">
        <w:t xml:space="preserve"> intrusion, further research is required.</w:t>
      </w:r>
    </w:p>
    <w:p w14:paraId="473DB810" w14:textId="77777777" w:rsidR="00C17846" w:rsidRPr="00C17846" w:rsidRDefault="00C17846" w:rsidP="00C17846"/>
    <w:p w14:paraId="78396E1A" w14:textId="77777777" w:rsidR="004B0FAC" w:rsidRDefault="004B0FAC" w:rsidP="00380D14">
      <w:pPr>
        <w:spacing w:after="0"/>
        <w:rPr>
          <w:rFonts w:eastAsiaTheme="majorEastAsia" w:cs="Arial"/>
          <w:b/>
          <w:bCs/>
          <w:smallCaps/>
          <w:color w:val="000000" w:themeColor="text1"/>
          <w:sz w:val="24"/>
          <w:szCs w:val="24"/>
        </w:rPr>
      </w:pPr>
      <w:r>
        <w:rPr>
          <w:rFonts w:cs="Arial"/>
          <w:sz w:val="24"/>
          <w:szCs w:val="24"/>
        </w:rPr>
        <w:br w:type="page"/>
      </w:r>
    </w:p>
    <w:p w14:paraId="5EA7F507" w14:textId="7C428170" w:rsidR="00854A10" w:rsidRDefault="00854A10" w:rsidP="00854A10">
      <w:pPr>
        <w:pStyle w:val="Heading1"/>
        <w:numPr>
          <w:ilvl w:val="0"/>
          <w:numId w:val="0"/>
        </w:numPr>
        <w:spacing w:before="0" w:after="0"/>
        <w:ind w:left="432" w:hanging="432"/>
      </w:pPr>
    </w:p>
    <w:p w14:paraId="4E41D354" w14:textId="1BFE0CEC" w:rsidR="00E14595" w:rsidRDefault="00854A10" w:rsidP="00380D14">
      <w:pPr>
        <w:pStyle w:val="Heading1"/>
        <w:spacing w:before="0" w:after="0"/>
      </w:pPr>
      <w:bookmarkStart w:id="21" w:name="_Toc461684043"/>
      <w:r>
        <w:t>R</w:t>
      </w:r>
      <w:r w:rsidR="00F75C4E">
        <w:t xml:space="preserve">egulatory </w:t>
      </w:r>
      <w:proofErr w:type="spellStart"/>
      <w:r w:rsidR="00E14595" w:rsidRPr="00BA33AB">
        <w:t>Vapour</w:t>
      </w:r>
      <w:proofErr w:type="spellEnd"/>
      <w:r w:rsidR="00E14595" w:rsidRPr="00BA33AB">
        <w:t xml:space="preserve"> intrusion g</w:t>
      </w:r>
      <w:r w:rsidR="00F75C4E">
        <w:t>uidance</w:t>
      </w:r>
      <w:bookmarkEnd w:id="21"/>
      <w:r w:rsidR="00F75C4E">
        <w:t xml:space="preserve"> </w:t>
      </w:r>
    </w:p>
    <w:p w14:paraId="3505A659" w14:textId="77777777" w:rsidR="00E14595" w:rsidRPr="00E14595" w:rsidRDefault="00E14595" w:rsidP="00380D14">
      <w:pPr>
        <w:pStyle w:val="Heading2"/>
        <w:spacing w:before="0"/>
      </w:pPr>
      <w:bookmarkStart w:id="22" w:name="_Toc461684044"/>
      <w:r w:rsidRPr="00E14595">
        <w:t>Australia</w:t>
      </w:r>
      <w:bookmarkEnd w:id="22"/>
    </w:p>
    <w:p w14:paraId="34CB6F56" w14:textId="263C8A89" w:rsidR="00E14595" w:rsidRDefault="00562377" w:rsidP="00380D14">
      <w:pPr>
        <w:pStyle w:val="Heading3"/>
        <w:spacing w:before="0"/>
      </w:pPr>
      <w:bookmarkStart w:id="23" w:name="_Toc461684045"/>
      <w:r>
        <w:t xml:space="preserve">National </w:t>
      </w:r>
      <w:r w:rsidR="008F7280">
        <w:t>Environment Protection (Assessment of S</w:t>
      </w:r>
      <w:r>
        <w:t>ite</w:t>
      </w:r>
      <w:r w:rsidR="008F7280">
        <w:t xml:space="preserve"> C</w:t>
      </w:r>
      <w:r>
        <w:t>ontamination)</w:t>
      </w:r>
      <w:r w:rsidR="004A59A9">
        <w:t xml:space="preserve"> Measure (1999)</w:t>
      </w:r>
      <w:bookmarkEnd w:id="23"/>
    </w:p>
    <w:p w14:paraId="3490D457" w14:textId="2172F3BE" w:rsidR="009756D5" w:rsidRDefault="008F7280" w:rsidP="009756D5">
      <w:r>
        <w:t xml:space="preserve">The National Environment Protection (Assessment of Site Contamination) Measure (1999) was initially developed through a consolidation of information and developed criteria from a series of Monographs published by the South Australian Health Commission following National Workshops on the assessment and management of site contamination over the period, 1990 to 1998 </w:t>
      </w:r>
      <w:r w:rsidRPr="00795A1F">
        <w:t xml:space="preserve">(see Langley </w:t>
      </w:r>
      <w:r w:rsidR="009A47BA">
        <w:t>et al.,</w:t>
      </w:r>
      <w:r w:rsidR="00181477">
        <w:t xml:space="preserve"> (E</w:t>
      </w:r>
      <w:r w:rsidRPr="00795A1F">
        <w:t>ds</w:t>
      </w:r>
      <w:r w:rsidR="00181477">
        <w:t>.</w:t>
      </w:r>
      <w:r w:rsidRPr="00795A1F">
        <w:t xml:space="preserve">), 1991, </w:t>
      </w:r>
      <w:r w:rsidRPr="00FE5F26">
        <w:t>1993, 1996; 1998).</w:t>
      </w:r>
      <w:r w:rsidR="007C31A4">
        <w:t xml:space="preserve"> </w:t>
      </w:r>
      <w:r>
        <w:t xml:space="preserve">Review of the NEPM in 2005 </w:t>
      </w:r>
      <w:r w:rsidRPr="00795A1F">
        <w:t>(NEPC, 2005)</w:t>
      </w:r>
      <w:r>
        <w:t xml:space="preserve"> resulted in a series of recommendations for updating the Measure.</w:t>
      </w:r>
      <w:r w:rsidR="007C31A4">
        <w:t xml:space="preserve"> </w:t>
      </w:r>
      <w:r>
        <w:t xml:space="preserve">The process for updating the NEPM by NEPC and NHMRC </w:t>
      </w:r>
      <w:r w:rsidR="004A59A9">
        <w:t>was outsourced with internal review by technical working groups.</w:t>
      </w:r>
      <w:r w:rsidR="007C31A4">
        <w:t xml:space="preserve"> </w:t>
      </w:r>
      <w:r w:rsidR="004A59A9">
        <w:t>The outcome result</w:t>
      </w:r>
      <w:r w:rsidR="00695436">
        <w:t>ed in the publication of twenty-</w:t>
      </w:r>
      <w:r w:rsidR="004A59A9">
        <w:t>two volumes comprising the former Schedules under the Federal Register of Legislative Instruments (F2013L00768).</w:t>
      </w:r>
    </w:p>
    <w:p w14:paraId="5F32F8B9" w14:textId="77777777" w:rsidR="00503460" w:rsidRDefault="004A59A9" w:rsidP="009756D5">
      <w:r>
        <w:t xml:space="preserve">Information on </w:t>
      </w:r>
      <w:proofErr w:type="spellStart"/>
      <w:r>
        <w:t>vapour</w:t>
      </w:r>
      <w:proofErr w:type="spellEnd"/>
      <w:r>
        <w:t xml:space="preserve"> intrusion and guidelines is contained</w:t>
      </w:r>
      <w:r w:rsidR="00503460">
        <w:t xml:space="preserve"> in the following volumes:</w:t>
      </w:r>
    </w:p>
    <w:p w14:paraId="25381728" w14:textId="0834B287" w:rsidR="004A59A9" w:rsidRDefault="00503460" w:rsidP="00711FF5">
      <w:pPr>
        <w:pStyle w:val="ListParagraph"/>
        <w:numPr>
          <w:ilvl w:val="0"/>
          <w:numId w:val="5"/>
        </w:numPr>
      </w:pPr>
      <w:r>
        <w:t>Volume 2 (Schedule B1 pp5-12; p18)</w:t>
      </w:r>
    </w:p>
    <w:p w14:paraId="68B1A1F5" w14:textId="4D0994F9" w:rsidR="00503460" w:rsidRDefault="00503460" w:rsidP="00711FF5">
      <w:pPr>
        <w:pStyle w:val="ListParagraph"/>
        <w:numPr>
          <w:ilvl w:val="0"/>
          <w:numId w:val="5"/>
        </w:numPr>
      </w:pPr>
      <w:r>
        <w:t>Volume 3 (Schedule B2, pp52-63)</w:t>
      </w:r>
    </w:p>
    <w:p w14:paraId="03A4F259" w14:textId="765978E4" w:rsidR="00503460" w:rsidRDefault="00E42AE7" w:rsidP="00711FF5">
      <w:pPr>
        <w:pStyle w:val="ListParagraph"/>
        <w:numPr>
          <w:ilvl w:val="0"/>
          <w:numId w:val="5"/>
        </w:numPr>
      </w:pPr>
      <w:r>
        <w:t>Volume 4</w:t>
      </w:r>
      <w:r w:rsidR="00503460">
        <w:t xml:space="preserve"> (Schedule</w:t>
      </w:r>
      <w:r>
        <w:t xml:space="preserve"> B3, pp 19-23; pp36-40; pp63-72)</w:t>
      </w:r>
    </w:p>
    <w:p w14:paraId="617FC7F9" w14:textId="7A074509" w:rsidR="00E42AE7" w:rsidRDefault="00E42AE7" w:rsidP="00711FF5">
      <w:pPr>
        <w:pStyle w:val="ListParagraph"/>
        <w:numPr>
          <w:ilvl w:val="0"/>
          <w:numId w:val="5"/>
        </w:numPr>
      </w:pPr>
      <w:r>
        <w:t>Volume 5 (Schedule B4, p17; pp</w:t>
      </w:r>
      <w:r w:rsidR="001F3CCD">
        <w:t>26-29; pp39-41</w:t>
      </w:r>
      <w:r w:rsidR="00EA66D8">
        <w:t>)</w:t>
      </w:r>
    </w:p>
    <w:p w14:paraId="312D5C06" w14:textId="5357EB6A" w:rsidR="000531BC" w:rsidRDefault="000531BC" w:rsidP="00711FF5">
      <w:pPr>
        <w:pStyle w:val="ListParagraph"/>
        <w:numPr>
          <w:ilvl w:val="0"/>
          <w:numId w:val="5"/>
        </w:numPr>
      </w:pPr>
      <w:r>
        <w:t>Vol</w:t>
      </w:r>
      <w:r w:rsidR="00E47DF9">
        <w:t>ume 15 (Schedule B7, Appendix 6</w:t>
      </w:r>
      <w:r>
        <w:t>)</w:t>
      </w:r>
      <w:r w:rsidR="00E47DF9">
        <w:t xml:space="preserve"> - Interim HILs for chlorinated hydrocarbons</w:t>
      </w:r>
    </w:p>
    <w:p w14:paraId="343025A7" w14:textId="5AEC6454" w:rsidR="000531BC" w:rsidRDefault="000531BC" w:rsidP="00711FF5">
      <w:pPr>
        <w:pStyle w:val="ListParagraph"/>
        <w:numPr>
          <w:ilvl w:val="0"/>
          <w:numId w:val="5"/>
        </w:numPr>
      </w:pPr>
      <w:r>
        <w:t>Volume 19 (Schedule</w:t>
      </w:r>
      <w:r w:rsidR="00E47DF9">
        <w:t xml:space="preserve"> B7, </w:t>
      </w:r>
      <w:r>
        <w:t>p8; pp31-32; pp35-39; pp41-42)</w:t>
      </w:r>
      <w:r w:rsidR="00E47DF9">
        <w:t xml:space="preserve"> - Derivation of HILs</w:t>
      </w:r>
    </w:p>
    <w:p w14:paraId="636E77F5" w14:textId="739B114F" w:rsidR="00CA3780" w:rsidRDefault="00E47DF9" w:rsidP="00CA3780">
      <w:r>
        <w:t>Volume 2 deals with background information regarding interim HILs for chlorinated hydrocarbons and the HSLs for petroleum hydrocarbons with a particular emphasis on the limitations on the latter.</w:t>
      </w:r>
      <w:r w:rsidR="007C31A4">
        <w:t xml:space="preserve"> </w:t>
      </w:r>
      <w:r>
        <w:t>Volume 3 covers sampling design, conceptual frameworks and multiple lines of evidence approaches.</w:t>
      </w:r>
      <w:r w:rsidR="007C31A4">
        <w:t xml:space="preserve"> </w:t>
      </w:r>
      <w:r>
        <w:t>Volume 4 discusses laboratory analyses with a focus on the analysis of total petroleum hydrocarbon and mixtures</w:t>
      </w:r>
      <w:r w:rsidR="00D24943">
        <w:t xml:space="preserve"> while Volume 5 discusses site-specific health risk assessment methodology.</w:t>
      </w:r>
      <w:r w:rsidR="007C31A4">
        <w:t xml:space="preserve"> </w:t>
      </w:r>
      <w:r w:rsidR="00D24943">
        <w:t>The latter is drawn from the enHealth (2012a) guidance documentation which was prepared at approximately the same time to ensure alignment in frameworks.</w:t>
      </w:r>
      <w:r w:rsidR="007C31A4">
        <w:t xml:space="preserve"> </w:t>
      </w:r>
      <w:r w:rsidR="00D24943">
        <w:t>The enHealth documents covering environmental health risk assessment (2012a; 2012b) should be referred to for more detail. Volume 15 discusses the derivation of the interim HILs for chlorinated hydrocarbons and Volume 19 covers the derivation process</w:t>
      </w:r>
      <w:r w:rsidR="00CA3780">
        <w:t xml:space="preserve"> for the health-based investigation levels. </w:t>
      </w:r>
    </w:p>
    <w:p w14:paraId="6C12748B" w14:textId="61631124" w:rsidR="00CA3780" w:rsidRDefault="00CA3780" w:rsidP="00CA3780">
      <w:pPr>
        <w:pStyle w:val="Heading3"/>
      </w:pPr>
      <w:bookmarkStart w:id="24" w:name="_Toc461684046"/>
      <w:r>
        <w:t>Cooperative Research Centre for Contamination and Remediation of the Environment (CRC CARE)</w:t>
      </w:r>
      <w:bookmarkEnd w:id="24"/>
    </w:p>
    <w:p w14:paraId="2FF0DA9D" w14:textId="48D61364" w:rsidR="00CA3780" w:rsidRDefault="00CA3780" w:rsidP="00CA3780">
      <w:r>
        <w:t xml:space="preserve">CRC CARE was established in 2004 in Adelaide as an industry, </w:t>
      </w:r>
      <w:proofErr w:type="gramStart"/>
      <w:r>
        <w:t>academia</w:t>
      </w:r>
      <w:proofErr w:type="gramEnd"/>
      <w:r>
        <w:t xml:space="preserve"> and regulatory environment </w:t>
      </w:r>
      <w:r w:rsidR="005F6030">
        <w:t xml:space="preserve">multi-funded </w:t>
      </w:r>
      <w:r>
        <w:t xml:space="preserve">agency organization to </w:t>
      </w:r>
      <w:r w:rsidR="005F6030">
        <w:t>undertake</w:t>
      </w:r>
      <w:r>
        <w:t xml:space="preserve"> research and development across site contamination issues.</w:t>
      </w:r>
      <w:r w:rsidR="007C31A4">
        <w:t xml:space="preserve"> </w:t>
      </w:r>
      <w:r>
        <w:t xml:space="preserve">CRC CARE has published </w:t>
      </w:r>
      <w:proofErr w:type="gramStart"/>
      <w:r>
        <w:t>a number of</w:t>
      </w:r>
      <w:proofErr w:type="gramEnd"/>
      <w:r>
        <w:t xml:space="preserve"> technical reports which are referenced in the ASC NEPM.</w:t>
      </w:r>
      <w:r w:rsidR="007C31A4">
        <w:t xml:space="preserve"> </w:t>
      </w:r>
      <w:r>
        <w:t xml:space="preserve">The following documents are relevant to </w:t>
      </w:r>
      <w:proofErr w:type="spellStart"/>
      <w:r>
        <w:t>vapour</w:t>
      </w:r>
      <w:proofErr w:type="spellEnd"/>
      <w:r>
        <w:t xml:space="preserve"> intrusion assessment</w:t>
      </w:r>
      <w:r w:rsidR="00971172">
        <w:t>, noting that all the work is specifically related to petroleum hydrocarbons associated with service stations and storage depots</w:t>
      </w:r>
      <w:r>
        <w:t>:</w:t>
      </w:r>
    </w:p>
    <w:p w14:paraId="555D5733" w14:textId="0858E763" w:rsidR="00854A10" w:rsidRPr="00854A10" w:rsidRDefault="00854A10" w:rsidP="00854A10">
      <w:pPr>
        <w:rPr>
          <w:lang w:val="en-AU" w:eastAsia="en-AU"/>
        </w:rPr>
      </w:pPr>
      <w:r w:rsidRPr="00854A10">
        <w:rPr>
          <w:lang w:val="en-AU" w:eastAsia="en-AU"/>
        </w:rPr>
        <w:lastRenderedPageBreak/>
        <w:t>CRC CARE</w:t>
      </w:r>
      <w:r w:rsidR="005D70D8">
        <w:rPr>
          <w:lang w:val="en-AU" w:eastAsia="en-AU"/>
        </w:rPr>
        <w:t xml:space="preserve"> (2006) </w:t>
      </w:r>
      <w:r w:rsidRPr="00854A10">
        <w:rPr>
          <w:lang w:val="en-AU" w:eastAsia="en-AU"/>
        </w:rPr>
        <w:t>Technical Report 02: Protocols and techniques for characterising sites with subsurface petroleum hydrocarbons - a review</w:t>
      </w:r>
    </w:p>
    <w:p w14:paraId="139FE32E" w14:textId="2024E4E7" w:rsidR="00854A10" w:rsidRPr="00854A10" w:rsidRDefault="00854A10" w:rsidP="00854A10">
      <w:pPr>
        <w:rPr>
          <w:lang w:val="en-AU" w:eastAsia="en-AU"/>
        </w:rPr>
      </w:pPr>
      <w:r w:rsidRPr="00854A10">
        <w:rPr>
          <w:lang w:val="en-AU" w:eastAsia="en-AU"/>
        </w:rPr>
        <w:t>CRC CARE</w:t>
      </w:r>
      <w:r w:rsidR="005D70D8">
        <w:rPr>
          <w:lang w:val="en-AU" w:eastAsia="en-AU"/>
        </w:rPr>
        <w:t xml:space="preserve"> (2007)</w:t>
      </w:r>
      <w:r w:rsidRPr="00854A10">
        <w:rPr>
          <w:lang w:val="en-AU" w:eastAsia="en-AU"/>
        </w:rPr>
        <w:t xml:space="preserve"> Technical Report 04: The development of HSLs for petroleum hydrocarbons - an issues paper</w:t>
      </w:r>
    </w:p>
    <w:p w14:paraId="498347F6" w14:textId="2EE1BFB8" w:rsidR="00854A10" w:rsidRPr="00854A10" w:rsidRDefault="00854A10" w:rsidP="00854A10">
      <w:pPr>
        <w:rPr>
          <w:lang w:val="en-AU" w:eastAsia="en-AU"/>
        </w:rPr>
      </w:pPr>
      <w:r w:rsidRPr="00854A10">
        <w:rPr>
          <w:lang w:val="en-AU" w:eastAsia="en-AU"/>
        </w:rPr>
        <w:t>CRC CARE</w:t>
      </w:r>
      <w:r w:rsidR="005D70D8">
        <w:rPr>
          <w:lang w:val="en-AU" w:eastAsia="en-AU"/>
        </w:rPr>
        <w:t xml:space="preserve"> (2008)</w:t>
      </w:r>
      <w:r w:rsidRPr="00854A10">
        <w:rPr>
          <w:lang w:val="en-AU" w:eastAsia="en-AU"/>
        </w:rPr>
        <w:t xml:space="preserve"> Technical Report 08: Review of the current international approaches to total petroleum hydrocarbon </w:t>
      </w:r>
      <w:proofErr w:type="gramStart"/>
      <w:r w:rsidRPr="00854A10">
        <w:rPr>
          <w:lang w:val="en-AU" w:eastAsia="en-AU"/>
        </w:rPr>
        <w:t>assessment</w:t>
      </w:r>
      <w:proofErr w:type="gramEnd"/>
    </w:p>
    <w:p w14:paraId="62CF0839" w14:textId="5B4EED97" w:rsidR="00854A10" w:rsidRPr="00854A10" w:rsidRDefault="00854A10" w:rsidP="00854A10">
      <w:pPr>
        <w:rPr>
          <w:lang w:val="en-AU" w:eastAsia="en-AU"/>
        </w:rPr>
      </w:pPr>
      <w:r w:rsidRPr="00854A10">
        <w:rPr>
          <w:lang w:val="en-AU" w:eastAsia="en-AU"/>
        </w:rPr>
        <w:t>CRC CARE</w:t>
      </w:r>
      <w:r w:rsidR="005D70D8">
        <w:rPr>
          <w:lang w:val="en-AU" w:eastAsia="en-AU"/>
        </w:rPr>
        <w:t xml:space="preserve"> (2009)</w:t>
      </w:r>
      <w:r w:rsidRPr="00854A10">
        <w:rPr>
          <w:lang w:val="en-AU" w:eastAsia="en-AU"/>
        </w:rPr>
        <w:t xml:space="preserve"> Technical Report 09: Petroleum vapour model comparison</w:t>
      </w:r>
    </w:p>
    <w:p w14:paraId="197D42C8" w14:textId="7D6965D5" w:rsidR="00854A10" w:rsidRPr="00854A10" w:rsidRDefault="00854A10" w:rsidP="00854A10">
      <w:pPr>
        <w:rPr>
          <w:lang w:val="en-AU" w:eastAsia="en-AU"/>
        </w:rPr>
      </w:pPr>
      <w:r w:rsidRPr="00854A10">
        <w:rPr>
          <w:lang w:val="en-AU" w:eastAsia="en-AU"/>
        </w:rPr>
        <w:t>CRC CARE</w:t>
      </w:r>
      <w:r w:rsidR="005D70D8">
        <w:rPr>
          <w:lang w:val="en-AU" w:eastAsia="en-AU"/>
        </w:rPr>
        <w:t xml:space="preserve"> (2011)</w:t>
      </w:r>
      <w:r w:rsidRPr="00854A10">
        <w:rPr>
          <w:lang w:val="en-AU" w:eastAsia="en-AU"/>
        </w:rPr>
        <w:t xml:space="preserve"> Technical Report 10: Health screening levels for petroleum hydrocarbons in soil and groundwater</w:t>
      </w:r>
    </w:p>
    <w:p w14:paraId="35771C19" w14:textId="00AFC8C8" w:rsidR="00854A10" w:rsidRPr="00854A10" w:rsidRDefault="00854A10" w:rsidP="00854A10">
      <w:pPr>
        <w:rPr>
          <w:lang w:val="en-AU" w:eastAsia="en-AU"/>
        </w:rPr>
      </w:pPr>
      <w:r w:rsidRPr="00854A10">
        <w:rPr>
          <w:lang w:val="en-AU" w:eastAsia="en-AU"/>
        </w:rPr>
        <w:t>CRC CARE</w:t>
      </w:r>
      <w:r w:rsidR="005D70D8">
        <w:rPr>
          <w:lang w:val="en-AU" w:eastAsia="en-AU"/>
        </w:rPr>
        <w:t xml:space="preserve"> (2009)</w:t>
      </w:r>
      <w:r w:rsidRPr="00854A10">
        <w:rPr>
          <w:lang w:val="en-AU" w:eastAsia="en-AU"/>
        </w:rPr>
        <w:t xml:space="preserve"> Technical Report 11: Characterisation of sites impacted by petroleum hydrocarbons - National guideline </w:t>
      </w:r>
      <w:proofErr w:type="gramStart"/>
      <w:r w:rsidRPr="00854A10">
        <w:rPr>
          <w:lang w:val="en-AU" w:eastAsia="en-AU"/>
        </w:rPr>
        <w:t>document</w:t>
      </w:r>
      <w:proofErr w:type="gramEnd"/>
    </w:p>
    <w:p w14:paraId="01693138" w14:textId="12968359" w:rsidR="00854A10" w:rsidRPr="00854A10" w:rsidRDefault="00854A10" w:rsidP="00854A10">
      <w:pPr>
        <w:rPr>
          <w:lang w:val="en-AU" w:eastAsia="en-AU"/>
        </w:rPr>
      </w:pPr>
      <w:r w:rsidRPr="00854A10">
        <w:rPr>
          <w:lang w:val="en-AU" w:eastAsia="en-AU"/>
        </w:rPr>
        <w:t>CRC CARE</w:t>
      </w:r>
      <w:r w:rsidR="005D70D8">
        <w:rPr>
          <w:lang w:val="en-AU" w:eastAsia="en-AU"/>
        </w:rPr>
        <w:t xml:space="preserve"> (2009)</w:t>
      </w:r>
      <w:r w:rsidRPr="00854A10">
        <w:rPr>
          <w:lang w:val="en-AU" w:eastAsia="en-AU"/>
        </w:rPr>
        <w:t xml:space="preserve"> Technical Report 12: Biodegradation of petroleum hydrocarbon vapours</w:t>
      </w:r>
    </w:p>
    <w:p w14:paraId="396D56B5" w14:textId="72DDC7AC" w:rsidR="00854A10" w:rsidRPr="00854A10" w:rsidRDefault="00854A10" w:rsidP="00854A10">
      <w:pPr>
        <w:rPr>
          <w:lang w:val="en-AU" w:eastAsia="en-AU"/>
        </w:rPr>
      </w:pPr>
      <w:r w:rsidRPr="00854A10">
        <w:rPr>
          <w:lang w:val="en-AU" w:eastAsia="en-AU"/>
        </w:rPr>
        <w:t>CRC CARE</w:t>
      </w:r>
      <w:r w:rsidR="005D70D8">
        <w:rPr>
          <w:lang w:val="en-AU" w:eastAsia="en-AU"/>
        </w:rPr>
        <w:t xml:space="preserve"> (2013)</w:t>
      </w:r>
      <w:r w:rsidRPr="00854A10">
        <w:rPr>
          <w:lang w:val="en-AU" w:eastAsia="en-AU"/>
        </w:rPr>
        <w:t xml:space="preserve"> Technical Report 13: Field assessment of vapours</w:t>
      </w:r>
    </w:p>
    <w:p w14:paraId="48A83A60" w14:textId="7A2D13FC" w:rsidR="00CA3780" w:rsidRPr="00CA3780" w:rsidRDefault="00CA3780" w:rsidP="00CA3780">
      <w:pPr>
        <w:rPr>
          <w:lang w:val="en-AU" w:eastAsia="en-AU"/>
        </w:rPr>
      </w:pPr>
      <w:r w:rsidRPr="00CA3780">
        <w:rPr>
          <w:lang w:val="en-AU" w:eastAsia="en-AU"/>
        </w:rPr>
        <w:t>CRC CARE</w:t>
      </w:r>
      <w:r w:rsidR="00680B7D">
        <w:rPr>
          <w:lang w:val="en-AU" w:eastAsia="en-AU"/>
        </w:rPr>
        <w:t xml:space="preserve"> Technical Report 23: Petroleum hydrocarbon </w:t>
      </w:r>
      <w:r w:rsidRPr="00CA3780">
        <w:rPr>
          <w:lang w:val="en-AU" w:eastAsia="en-AU"/>
        </w:rPr>
        <w:t>vapour intrusion assessment - Australian guidance</w:t>
      </w:r>
      <w:r w:rsidR="005D70D8">
        <w:rPr>
          <w:lang w:val="en-AU" w:eastAsia="en-AU"/>
        </w:rPr>
        <w:t>.</w:t>
      </w:r>
    </w:p>
    <w:p w14:paraId="7B7B0942" w14:textId="15D1E2A6" w:rsidR="00E14595" w:rsidRPr="00F8320A" w:rsidRDefault="006D2FA1" w:rsidP="00F8320A">
      <w:r>
        <w:t>These</w:t>
      </w:r>
      <w:r w:rsidR="00555071">
        <w:t xml:space="preserve"> reports are</w:t>
      </w:r>
      <w:r>
        <w:t xml:space="preserve"> </w:t>
      </w:r>
      <w:r w:rsidR="003A0694">
        <w:t>summary</w:t>
      </w:r>
      <w:r w:rsidR="00555071">
        <w:t xml:space="preserve"> reviews of other published literature</w:t>
      </w:r>
      <w:r>
        <w:t xml:space="preserve"> and/or international regulatory agency information</w:t>
      </w:r>
      <w:r w:rsidR="00555071">
        <w:t xml:space="preserve"> and the reader should refer to the primary sources </w:t>
      </w:r>
      <w:r w:rsidR="00971172">
        <w:t>of information contained in these</w:t>
      </w:r>
      <w:r w:rsidR="00555071">
        <w:t xml:space="preserve"> reports</w:t>
      </w:r>
      <w:r>
        <w:t xml:space="preserve"> where available. </w:t>
      </w:r>
      <w:r w:rsidR="00555071">
        <w:t>In the case of Technical Reports 12 and 13</w:t>
      </w:r>
      <w:r w:rsidR="00971172">
        <w:t xml:space="preserve">, the former has included evaluation of Australian field data from seven Australian petroleum hydrocarbon impacted sites while the latter </w:t>
      </w:r>
      <w:r w:rsidR="00680B7D">
        <w:t xml:space="preserve">information has provided a review of factors to consider in field assessment and includes information on </w:t>
      </w:r>
      <w:proofErr w:type="spellStart"/>
      <w:r w:rsidR="00680B7D">
        <w:t>vapour</w:t>
      </w:r>
      <w:proofErr w:type="spellEnd"/>
      <w:r w:rsidR="00680B7D">
        <w:t xml:space="preserve"> and gas sampling and monitoring techniques (Section 6).</w:t>
      </w:r>
      <w:r w:rsidR="007C31A4">
        <w:t xml:space="preserve"> </w:t>
      </w:r>
      <w:r w:rsidR="00C5124C">
        <w:t xml:space="preserve">Technical Report </w:t>
      </w:r>
      <w:r w:rsidR="00680B7D">
        <w:t>23</w:t>
      </w:r>
      <w:r w:rsidR="00C5124C">
        <w:t xml:space="preserve"> </w:t>
      </w:r>
      <w:r w:rsidR="00F8320A">
        <w:t xml:space="preserve">provides a decision framework for petroleum </w:t>
      </w:r>
      <w:proofErr w:type="spellStart"/>
      <w:r w:rsidR="00F8320A">
        <w:t>vapour</w:t>
      </w:r>
      <w:proofErr w:type="spellEnd"/>
      <w:r w:rsidR="00F8320A">
        <w:t xml:space="preserve"> intrusion assessments and includes soil </w:t>
      </w:r>
      <w:proofErr w:type="spellStart"/>
      <w:r w:rsidR="00F8320A">
        <w:t>vapour</w:t>
      </w:r>
      <w:proofErr w:type="spellEnd"/>
      <w:r w:rsidR="00F8320A">
        <w:t xml:space="preserve"> testing techniques.</w:t>
      </w:r>
      <w:r w:rsidR="007C31A4">
        <w:t xml:space="preserve"> </w:t>
      </w:r>
      <w:r w:rsidR="00F8320A">
        <w:t xml:space="preserve">Both Technical Reports 13 and 23 provide useful information on sampling methods </w:t>
      </w:r>
      <w:r w:rsidR="00350FFA">
        <w:t>while</w:t>
      </w:r>
      <w:r w:rsidR="00F8320A">
        <w:t xml:space="preserve"> noting that all </w:t>
      </w:r>
      <w:r w:rsidR="00C5124C" w:rsidRPr="00F8320A">
        <w:t xml:space="preserve">documents have a focus towards the site assessment of petroleum </w:t>
      </w:r>
      <w:r w:rsidR="00F8320A" w:rsidRPr="00F8320A">
        <w:t>hydrocarbons.</w:t>
      </w:r>
    </w:p>
    <w:p w14:paraId="3A1F3312" w14:textId="458C71BA" w:rsidR="00E14595" w:rsidRPr="00E14595" w:rsidRDefault="00E14595" w:rsidP="00380D14">
      <w:pPr>
        <w:pStyle w:val="Heading3"/>
        <w:spacing w:before="0"/>
      </w:pPr>
      <w:bookmarkStart w:id="25" w:name="_Toc461684047"/>
      <w:r w:rsidRPr="00E14595">
        <w:t xml:space="preserve">State </w:t>
      </w:r>
      <w:r w:rsidR="00BF4C6B">
        <w:t>Environment Protection Agencies (EPAs)</w:t>
      </w:r>
      <w:bookmarkEnd w:id="25"/>
    </w:p>
    <w:p w14:paraId="59F70A63" w14:textId="6F4ABE2F" w:rsidR="00E14595" w:rsidRDefault="00122BCC" w:rsidP="00380D14">
      <w:pPr>
        <w:pStyle w:val="Heading4"/>
        <w:spacing w:before="0"/>
      </w:pPr>
      <w:r>
        <w:t xml:space="preserve"> </w:t>
      </w:r>
      <w:r w:rsidR="00E14595" w:rsidRPr="00E14595">
        <w:t>N</w:t>
      </w:r>
      <w:r w:rsidR="00BF4C6B">
        <w:t xml:space="preserve">ew </w:t>
      </w:r>
      <w:r w:rsidR="00E14595" w:rsidRPr="00E14595">
        <w:t>S</w:t>
      </w:r>
      <w:r w:rsidR="00BF4C6B">
        <w:t xml:space="preserve">outh </w:t>
      </w:r>
      <w:r w:rsidR="00E14595" w:rsidRPr="00E14595">
        <w:t>W</w:t>
      </w:r>
      <w:r w:rsidR="00BF4C6B">
        <w:t>ales</w:t>
      </w:r>
      <w:r w:rsidR="00E14595" w:rsidRPr="00E14595">
        <w:t xml:space="preserve"> EPA</w:t>
      </w:r>
      <w:r w:rsidR="00BF4C6B">
        <w:t xml:space="preserve"> (NSW EPA)</w:t>
      </w:r>
    </w:p>
    <w:p w14:paraId="13CEC7D1" w14:textId="1E1CB3A0" w:rsidR="002F7ECF" w:rsidRDefault="00BF4C6B" w:rsidP="00BF4C6B">
      <w:r>
        <w:t xml:space="preserve">The NSW EPA has </w:t>
      </w:r>
      <w:r w:rsidR="006D2FA1">
        <w:t xml:space="preserve">produced </w:t>
      </w:r>
      <w:proofErr w:type="gramStart"/>
      <w:r w:rsidR="006D2FA1">
        <w:t>a number of</w:t>
      </w:r>
      <w:proofErr w:type="gramEnd"/>
      <w:r w:rsidR="006D2FA1">
        <w:t xml:space="preserve"> documents relat</w:t>
      </w:r>
      <w:r w:rsidR="0072116B">
        <w:t xml:space="preserve">ed to </w:t>
      </w:r>
      <w:proofErr w:type="spellStart"/>
      <w:r w:rsidR="0072116B">
        <w:t>vapour</w:t>
      </w:r>
      <w:proofErr w:type="spellEnd"/>
      <w:r w:rsidR="0072116B">
        <w:t xml:space="preserve"> intrusion </w:t>
      </w:r>
      <w:r w:rsidR="006D2FA1">
        <w:t>and was the first environment protection agency in Australia to</w:t>
      </w:r>
      <w:r w:rsidR="00F04204">
        <w:t xml:space="preserve"> produce guidance on the investigation of </w:t>
      </w:r>
      <w:r w:rsidR="0072116B">
        <w:t>sub-surface volatile hydrocarbons</w:t>
      </w:r>
      <w:r w:rsidR="00F04204">
        <w:t xml:space="preserve"> through the investigation of service station sites</w:t>
      </w:r>
      <w:r w:rsidR="002F7ECF">
        <w:t xml:space="preserve"> (</w:t>
      </w:r>
      <w:r w:rsidR="002F7ECF" w:rsidRPr="006477E1">
        <w:t>NSW EPA 1994: 2014).</w:t>
      </w:r>
      <w:r w:rsidR="007C31A4">
        <w:t xml:space="preserve"> </w:t>
      </w:r>
      <w:r w:rsidR="002F7ECF">
        <w:t xml:space="preserve">The 1994 document included soil </w:t>
      </w:r>
      <w:r w:rsidR="0072116B">
        <w:t xml:space="preserve">petroleum </w:t>
      </w:r>
      <w:r w:rsidR="002F7ECF">
        <w:t>hydrocarbon</w:t>
      </w:r>
      <w:r w:rsidR="0072116B">
        <w:t xml:space="preserve"> fraction</w:t>
      </w:r>
      <w:r w:rsidR="002F7ECF">
        <w:t xml:space="preserve"> concentrations for assessment purposes with the 2014 update incorporating alignment </w:t>
      </w:r>
      <w:r w:rsidR="0072116B">
        <w:t xml:space="preserve">with the ASC NEPM and </w:t>
      </w:r>
      <w:r w:rsidR="002F7ECF">
        <w:t xml:space="preserve">more recent </w:t>
      </w:r>
      <w:r w:rsidR="0072116B">
        <w:t xml:space="preserve">NSW EPA documentation </w:t>
      </w:r>
      <w:r w:rsidR="002F7ECF">
        <w:t xml:space="preserve">on </w:t>
      </w:r>
      <w:r w:rsidR="0072116B">
        <w:t xml:space="preserve">volatile </w:t>
      </w:r>
      <w:r w:rsidR="002F7ECF">
        <w:t>hydrocarbons</w:t>
      </w:r>
      <w:r w:rsidR="0072116B">
        <w:t xml:space="preserve"> from sub-surface sources.  The latter include</w:t>
      </w:r>
      <w:r w:rsidR="002F7ECF">
        <w:t>:</w:t>
      </w:r>
    </w:p>
    <w:p w14:paraId="6F1AD3D3" w14:textId="3EF07E4D" w:rsidR="00F04204" w:rsidRDefault="0072116B" w:rsidP="00BF4C6B">
      <w:r>
        <w:t xml:space="preserve">NSW DECCW (2010) </w:t>
      </w:r>
      <w:proofErr w:type="spellStart"/>
      <w:r>
        <w:t>Vapour</w:t>
      </w:r>
      <w:proofErr w:type="spellEnd"/>
      <w:r>
        <w:t xml:space="preserve"> Intrusion Technical Guidance Note.  New South Wales Department of Environment, Climate Change and Water, Sydney.</w:t>
      </w:r>
    </w:p>
    <w:p w14:paraId="2418D0D8" w14:textId="3056843F" w:rsidR="0072116B" w:rsidRDefault="0072116B" w:rsidP="00BF4C6B">
      <w:r>
        <w:t>NSW EPA (2012) Guidelines for the Assessment and Management of Sites Impacted by Hazardous Ground Gases.  New South Wales Environment Protection Authority, Sydney.</w:t>
      </w:r>
    </w:p>
    <w:p w14:paraId="3DEDDA83" w14:textId="54F2D642" w:rsidR="00F429C9" w:rsidRDefault="00F429C9" w:rsidP="00BF4C6B">
      <w:r>
        <w:lastRenderedPageBreak/>
        <w:t xml:space="preserve">The service station assessment guidance incorporates general advice on site investigation methods, the CSM, the COPC, sampling and analysis quality plans (SAQP) and soil, groundwater, soil </w:t>
      </w:r>
      <w:proofErr w:type="spellStart"/>
      <w:r>
        <w:t>vapour</w:t>
      </w:r>
      <w:proofErr w:type="spellEnd"/>
      <w:r>
        <w:t xml:space="preserve"> assessment methods.</w:t>
      </w:r>
      <w:r w:rsidR="007C31A4">
        <w:t xml:space="preserve"> </w:t>
      </w:r>
      <w:r>
        <w:t>This guidance references:</w:t>
      </w:r>
    </w:p>
    <w:p w14:paraId="2604DD03" w14:textId="45AC04BC" w:rsidR="00F429C9" w:rsidRDefault="00F429C9" w:rsidP="00711FF5">
      <w:pPr>
        <w:pStyle w:val="ListParagraph"/>
        <w:numPr>
          <w:ilvl w:val="0"/>
          <w:numId w:val="7"/>
        </w:numPr>
      </w:pPr>
      <w:r>
        <w:t xml:space="preserve">the ASC NEPM </w:t>
      </w:r>
    </w:p>
    <w:p w14:paraId="3A30F530" w14:textId="0B24D38A" w:rsidR="00F429C9" w:rsidRDefault="00F429C9" w:rsidP="00711FF5">
      <w:pPr>
        <w:pStyle w:val="ListParagraph"/>
        <w:numPr>
          <w:ilvl w:val="0"/>
          <w:numId w:val="7"/>
        </w:numPr>
      </w:pPr>
      <w:r>
        <w:t xml:space="preserve">the Contaminated Land Management Act (CLM Act) </w:t>
      </w:r>
    </w:p>
    <w:p w14:paraId="41B233CB" w14:textId="77777777" w:rsidR="00F429C9" w:rsidRDefault="00F429C9" w:rsidP="00711FF5">
      <w:pPr>
        <w:pStyle w:val="ListParagraph"/>
        <w:numPr>
          <w:ilvl w:val="0"/>
          <w:numId w:val="7"/>
        </w:numPr>
      </w:pPr>
      <w:r>
        <w:t xml:space="preserve">the Work Health and Safety Act 2011 and subsequent Regulations </w:t>
      </w:r>
    </w:p>
    <w:p w14:paraId="02FEEF7B" w14:textId="77777777" w:rsidR="00F429C9" w:rsidRDefault="00F429C9" w:rsidP="00711FF5">
      <w:pPr>
        <w:pStyle w:val="ListParagraph"/>
        <w:numPr>
          <w:ilvl w:val="0"/>
          <w:numId w:val="7"/>
        </w:numPr>
      </w:pPr>
      <w:r>
        <w:t xml:space="preserve">the ASC NEPM Toolbox </w:t>
      </w:r>
    </w:p>
    <w:p w14:paraId="77752745" w14:textId="01FBA752" w:rsidR="00F429C9" w:rsidRDefault="00F429C9" w:rsidP="00711FF5">
      <w:pPr>
        <w:pStyle w:val="ListParagraph"/>
        <w:numPr>
          <w:ilvl w:val="0"/>
          <w:numId w:val="7"/>
        </w:numPr>
      </w:pPr>
      <w:r w:rsidRPr="00F429C9">
        <w:rPr>
          <w:i/>
        </w:rPr>
        <w:t>Guidelines for Consultants Reporting on Contaminated Sites</w:t>
      </w:r>
      <w:r>
        <w:t xml:space="preserve"> (Office of Environment and Heritage (OEH) 2011)</w:t>
      </w:r>
    </w:p>
    <w:p w14:paraId="7709E184" w14:textId="5CE1FF5F" w:rsidR="00F429C9" w:rsidRDefault="00F429C9" w:rsidP="00711FF5">
      <w:pPr>
        <w:pStyle w:val="ListParagraph"/>
        <w:numPr>
          <w:ilvl w:val="0"/>
          <w:numId w:val="7"/>
        </w:numPr>
      </w:pPr>
      <w:r>
        <w:t xml:space="preserve">the </w:t>
      </w:r>
      <w:r w:rsidR="00FC5823">
        <w:t>Protection of the Environment Operations (Underground Petroleum Storage Systems) Regulations 2008 (UPSS Regulation)</w:t>
      </w:r>
    </w:p>
    <w:p w14:paraId="043413A3" w14:textId="5E915354" w:rsidR="00FC5823" w:rsidRDefault="00FC5823" w:rsidP="00FC5823">
      <w:pPr>
        <w:ind w:left="63"/>
      </w:pPr>
      <w:r>
        <w:t xml:space="preserve">and </w:t>
      </w:r>
      <w:proofErr w:type="gramStart"/>
      <w:r>
        <w:t>a number of</w:t>
      </w:r>
      <w:proofErr w:type="gramEnd"/>
      <w:r>
        <w:t xml:space="preserve"> other Acts and Regulations related to water impacts and soil contamination.</w:t>
      </w:r>
    </w:p>
    <w:p w14:paraId="742865AC" w14:textId="3D4EE845" w:rsidR="00F429C9" w:rsidRDefault="00FC5823" w:rsidP="00BF4C6B">
      <w:r>
        <w:t xml:space="preserve">The </w:t>
      </w:r>
      <w:proofErr w:type="spellStart"/>
      <w:r>
        <w:t>Vapour</w:t>
      </w:r>
      <w:proofErr w:type="spellEnd"/>
      <w:r>
        <w:t xml:space="preserve"> Intrusion Technical Practice Note is </w:t>
      </w:r>
      <w:r w:rsidR="000157FE">
        <w:t>a health-</w:t>
      </w:r>
      <w:r w:rsidR="003A0694">
        <w:t xml:space="preserve">focused general guidance document which provides a useful overview of some of the key elements to consider with </w:t>
      </w:r>
      <w:proofErr w:type="spellStart"/>
      <w:r w:rsidR="003A0694">
        <w:t>vapour</w:t>
      </w:r>
      <w:proofErr w:type="spellEnd"/>
      <w:r w:rsidR="003A0694">
        <w:t xml:space="preserve"> intrusion assessments.</w:t>
      </w:r>
      <w:r w:rsidR="007C31A4">
        <w:t xml:space="preserve"> </w:t>
      </w:r>
      <w:r w:rsidR="003A0694">
        <w:t>This includes:</w:t>
      </w:r>
    </w:p>
    <w:p w14:paraId="0227A230" w14:textId="59E9C394" w:rsidR="003A0694" w:rsidRDefault="003A0694" w:rsidP="00711FF5">
      <w:pPr>
        <w:pStyle w:val="ListParagraph"/>
        <w:numPr>
          <w:ilvl w:val="0"/>
          <w:numId w:val="8"/>
        </w:numPr>
      </w:pPr>
      <w:r>
        <w:t>General principles</w:t>
      </w:r>
    </w:p>
    <w:p w14:paraId="5E95FD62" w14:textId="2DDD0891" w:rsidR="003A0694" w:rsidRDefault="003A0694" w:rsidP="00711FF5">
      <w:pPr>
        <w:pStyle w:val="ListParagraph"/>
        <w:numPr>
          <w:ilvl w:val="0"/>
          <w:numId w:val="8"/>
        </w:numPr>
      </w:pPr>
      <w:r>
        <w:t>Planning and conceptual site models</w:t>
      </w:r>
    </w:p>
    <w:p w14:paraId="7755B3BB" w14:textId="3912E11D" w:rsidR="003A0694" w:rsidRDefault="003A0694" w:rsidP="00711FF5">
      <w:pPr>
        <w:pStyle w:val="ListParagraph"/>
        <w:numPr>
          <w:ilvl w:val="0"/>
          <w:numId w:val="8"/>
        </w:numPr>
      </w:pPr>
      <w:r>
        <w:t>Site investigation methods across sampling methods and sampling design</w:t>
      </w:r>
    </w:p>
    <w:p w14:paraId="6BA1CBC3" w14:textId="1DE6B9D7" w:rsidR="003A0694" w:rsidRDefault="003A0694" w:rsidP="00711FF5">
      <w:pPr>
        <w:pStyle w:val="ListParagraph"/>
        <w:numPr>
          <w:ilvl w:val="0"/>
          <w:numId w:val="8"/>
        </w:numPr>
      </w:pPr>
      <w:r>
        <w:t xml:space="preserve">Reporting and interpretation of results </w:t>
      </w:r>
    </w:p>
    <w:p w14:paraId="2452F752" w14:textId="0094211A" w:rsidR="003A0694" w:rsidRDefault="003A0694" w:rsidP="003A0694">
      <w:r>
        <w:t xml:space="preserve">The section on interpretation of results encompasses information on health data, exposure assessment, </w:t>
      </w:r>
      <w:proofErr w:type="spellStart"/>
      <w:r>
        <w:t>vapour</w:t>
      </w:r>
      <w:proofErr w:type="spellEnd"/>
      <w:r>
        <w:t xml:space="preserve"> modelling and attenuation factors.</w:t>
      </w:r>
    </w:p>
    <w:p w14:paraId="59CF4B99" w14:textId="3F065EBD" w:rsidR="003A0694" w:rsidRDefault="003A0694" w:rsidP="003A0694">
      <w:r>
        <w:t>The guideline on hazardous gases is the only</w:t>
      </w:r>
      <w:r w:rsidR="0077738E">
        <w:t xml:space="preserve"> guidance document across the environment agencies which examines hazardous ground gases </w:t>
      </w:r>
      <w:r w:rsidR="00C45155">
        <w:t>that</w:t>
      </w:r>
      <w:r w:rsidR="0077738E">
        <w:t xml:space="preserve"> are defined as “both gases and </w:t>
      </w:r>
      <w:proofErr w:type="spellStart"/>
      <w:r w:rsidR="0077738E">
        <w:t>vapours</w:t>
      </w:r>
      <w:proofErr w:type="spellEnd"/>
      <w:r w:rsidR="0077738E">
        <w:t xml:space="preserve">” within the document (NSW EPA, 2012, p1) noting that </w:t>
      </w:r>
      <w:proofErr w:type="spellStart"/>
      <w:r w:rsidR="0077738E">
        <w:t>vapours</w:t>
      </w:r>
      <w:proofErr w:type="spellEnd"/>
      <w:r w:rsidR="0077738E">
        <w:t xml:space="preserve"> may exist in equilibrium with liquid or solid phases at ambient temperatures.</w:t>
      </w:r>
      <w:r w:rsidR="007C31A4">
        <w:t xml:space="preserve"> </w:t>
      </w:r>
      <w:r w:rsidR="0077738E">
        <w:t xml:space="preserve">This therefore is much broader than the ASC NEPM guidance framework which does not address gases or </w:t>
      </w:r>
      <w:proofErr w:type="spellStart"/>
      <w:r w:rsidR="0077738E">
        <w:t>vapours</w:t>
      </w:r>
      <w:proofErr w:type="spellEnd"/>
      <w:r w:rsidR="0077738E">
        <w:t xml:space="preserve"> that are associated with landfills or waste dumps.</w:t>
      </w:r>
      <w:r w:rsidR="007C31A4">
        <w:t xml:space="preserve"> </w:t>
      </w:r>
      <w:r w:rsidR="0077738E">
        <w:t>The range of chemicals</w:t>
      </w:r>
      <w:r w:rsidR="006B21D2">
        <w:t xml:space="preserve"> specified</w:t>
      </w:r>
      <w:r w:rsidR="0077738E">
        <w:t xml:space="preserve"> include methane, carbon dioxide, carbon monoxide, petroleum </w:t>
      </w:r>
      <w:proofErr w:type="spellStart"/>
      <w:r w:rsidR="0077738E">
        <w:t>vapours</w:t>
      </w:r>
      <w:proofErr w:type="spellEnd"/>
      <w:r w:rsidR="0077738E">
        <w:t>, hydrogen</w:t>
      </w:r>
      <w:r w:rsidR="006B21D2">
        <w:t xml:space="preserve">, hydrogen </w:t>
      </w:r>
      <w:proofErr w:type="spellStart"/>
      <w:r w:rsidR="006B21D2">
        <w:t>sulphide</w:t>
      </w:r>
      <w:proofErr w:type="spellEnd"/>
      <w:r w:rsidR="006B21D2">
        <w:t xml:space="preserve">, radon, volatile organic compounds (VOCs) and mercury </w:t>
      </w:r>
      <w:proofErr w:type="spellStart"/>
      <w:r w:rsidR="006B21D2">
        <w:t>vapour</w:t>
      </w:r>
      <w:proofErr w:type="spellEnd"/>
      <w:r w:rsidR="006B21D2">
        <w:t>.</w:t>
      </w:r>
      <w:r w:rsidR="007C31A4">
        <w:t xml:space="preserve"> </w:t>
      </w:r>
      <w:r w:rsidR="006B21D2">
        <w:t>This breadth of substances incorporates both physical and chemical hazards which include fire and explosion, and acute, sub-chronic and chronic health risks. This document is comprehensive and based heavily on information from the United Kingdom where considerable evaluation</w:t>
      </w:r>
      <w:r w:rsidR="00820AEA">
        <w:t xml:space="preserve"> of landfill sites has been undertaken and guidance frameworks developed (</w:t>
      </w:r>
      <w:proofErr w:type="gramStart"/>
      <w:r w:rsidR="00820AEA">
        <w:t>e.g.</w:t>
      </w:r>
      <w:proofErr w:type="gramEnd"/>
      <w:r w:rsidR="00820AEA">
        <w:t xml:space="preserve"> </w:t>
      </w:r>
      <w:r w:rsidR="00616317">
        <w:t xml:space="preserve">Wilson </w:t>
      </w:r>
      <w:r w:rsidR="009A47BA">
        <w:t>et al.,</w:t>
      </w:r>
      <w:r w:rsidR="00820AEA">
        <w:t xml:space="preserve"> 2007).</w:t>
      </w:r>
      <w:r w:rsidR="007C31A4">
        <w:t xml:space="preserve"> </w:t>
      </w:r>
      <w:r w:rsidR="005C0266">
        <w:t xml:space="preserve">It also considers human health risk assessment both in terms of risk analysis and risk assessment; </w:t>
      </w:r>
      <w:proofErr w:type="spellStart"/>
      <w:r w:rsidR="005C0266">
        <w:t>vapour</w:t>
      </w:r>
      <w:proofErr w:type="spellEnd"/>
      <w:r w:rsidR="005C0266">
        <w:t xml:space="preserve"> intrusion; </w:t>
      </w:r>
      <w:r w:rsidR="00265782">
        <w:t>and management measures</w:t>
      </w:r>
      <w:r w:rsidR="005C0266">
        <w:t>.</w:t>
      </w:r>
      <w:r w:rsidR="00820AEA">
        <w:t xml:space="preserve">  In addition</w:t>
      </w:r>
      <w:r w:rsidR="00ED114A">
        <w:t xml:space="preserve">, the document also references </w:t>
      </w:r>
      <w:r w:rsidR="00265782">
        <w:t>applicable</w:t>
      </w:r>
      <w:r w:rsidR="00ED114A">
        <w:t xml:space="preserve"> NSW </w:t>
      </w:r>
      <w:r w:rsidR="00265782">
        <w:t>guidance and legislation.</w:t>
      </w:r>
    </w:p>
    <w:p w14:paraId="39B5474F" w14:textId="77777777" w:rsidR="00265782" w:rsidRDefault="00265782" w:rsidP="00F55B08">
      <w:pPr>
        <w:pStyle w:val="Heading4"/>
        <w:numPr>
          <w:ilvl w:val="0"/>
          <w:numId w:val="0"/>
        </w:numPr>
      </w:pPr>
    </w:p>
    <w:p w14:paraId="426D2E28" w14:textId="77777777" w:rsidR="00F55B08" w:rsidRPr="00F55B08" w:rsidRDefault="00F55B08" w:rsidP="00F55B08"/>
    <w:p w14:paraId="3BD074DE" w14:textId="277DB48C" w:rsidR="00CD3B40" w:rsidRDefault="00C45155" w:rsidP="00CD3B40">
      <w:pPr>
        <w:pStyle w:val="Heading4"/>
      </w:pPr>
      <w:r>
        <w:lastRenderedPageBreak/>
        <w:t xml:space="preserve"> </w:t>
      </w:r>
      <w:r w:rsidR="00CD3B40">
        <w:t>South Australian EPA</w:t>
      </w:r>
    </w:p>
    <w:p w14:paraId="38868B00" w14:textId="221CF41A" w:rsidR="00265782" w:rsidRPr="00265782" w:rsidRDefault="00265782" w:rsidP="00265782">
      <w:r>
        <w:t>The South Australian EPA</w:t>
      </w:r>
      <w:r w:rsidR="009B60D7">
        <w:t xml:space="preserve"> has established an Environmental Audit system under the Environmental Protection Act, 1993 for site assessment and management purposes.</w:t>
      </w:r>
      <w:r w:rsidR="00597531">
        <w:t xml:space="preserve"> </w:t>
      </w:r>
      <w:r w:rsidR="009B60D7">
        <w:t xml:space="preserve">This system defaults to the ASC NEPM for guidance frameworks and </w:t>
      </w:r>
      <w:proofErr w:type="gramStart"/>
      <w:r w:rsidR="009B60D7">
        <w:t>documentation,</w:t>
      </w:r>
      <w:proofErr w:type="gramEnd"/>
      <w:r w:rsidR="009B60D7">
        <w:t xml:space="preserve"> however, SA EPA has also released supplementary local guidance to ensure SA EPA’s expectations for assessment and remediation of site contamination are met.  Previous guidance included the SA EPA (2009) “</w:t>
      </w:r>
      <w:r w:rsidR="009B60D7" w:rsidRPr="005B4DC2">
        <w:rPr>
          <w:i/>
        </w:rPr>
        <w:t>Site Contamination. Guidelines for the assessment and remediation</w:t>
      </w:r>
      <w:r w:rsidR="005B4DC2" w:rsidRPr="005B4DC2">
        <w:rPr>
          <w:i/>
        </w:rPr>
        <w:t xml:space="preserve"> of groundwater contamination</w:t>
      </w:r>
      <w:r w:rsidR="005B4DC2">
        <w:t>” and more recently a Draft for Public consultation, dated August 2015 was released entitled, “</w:t>
      </w:r>
      <w:r w:rsidR="005B4DC2" w:rsidRPr="005B4DC2">
        <w:rPr>
          <w:i/>
        </w:rPr>
        <w:t>Guidelines for the assessment and remediation of site contamination</w:t>
      </w:r>
      <w:r w:rsidR="005B4DC2">
        <w:t>”.</w:t>
      </w:r>
      <w:r w:rsidR="00A45D86">
        <w:t xml:space="preserve"> While the former has limited comment on </w:t>
      </w:r>
      <w:proofErr w:type="spellStart"/>
      <w:r w:rsidR="00A45D86">
        <w:t>vapour</w:t>
      </w:r>
      <w:proofErr w:type="spellEnd"/>
      <w:r w:rsidR="00A45D86">
        <w:t xml:space="preserve"> intrusion the latter has </w:t>
      </w:r>
      <w:proofErr w:type="gramStart"/>
      <w:r w:rsidR="00A45D86">
        <w:t>a number of</w:t>
      </w:r>
      <w:proofErr w:type="gramEnd"/>
      <w:r w:rsidR="00A45D86">
        <w:t xml:space="preserve"> sections devoted to </w:t>
      </w:r>
      <w:proofErr w:type="spellStart"/>
      <w:r w:rsidR="00A45D86">
        <w:t>vapour</w:t>
      </w:r>
      <w:proofErr w:type="spellEnd"/>
      <w:r w:rsidR="00A45D86">
        <w:t xml:space="preserve"> assessment frameworks, technical considerations and remediation (pp45-55).</w:t>
      </w:r>
    </w:p>
    <w:p w14:paraId="64E38C00" w14:textId="7C0D7E30" w:rsidR="00CA3780" w:rsidRDefault="00C45155" w:rsidP="00CA3780">
      <w:pPr>
        <w:pStyle w:val="Heading4"/>
      </w:pPr>
      <w:r>
        <w:t xml:space="preserve"> </w:t>
      </w:r>
      <w:r w:rsidR="00CA3780" w:rsidRPr="00CA3780">
        <w:t>Victorian EPA</w:t>
      </w:r>
    </w:p>
    <w:p w14:paraId="3A14A613" w14:textId="5619224F" w:rsidR="00A065FE" w:rsidRDefault="00A065FE" w:rsidP="00A065FE">
      <w:r>
        <w:t xml:space="preserve">In Victoria, environmental auditing under the Environment Protection Act 1970, enables decision making by planning authorities, prospective </w:t>
      </w:r>
      <w:proofErr w:type="gramStart"/>
      <w:r>
        <w:t>purchasers</w:t>
      </w:r>
      <w:proofErr w:type="gramEnd"/>
      <w:r>
        <w:t xml:space="preserve"> and other stakeholders over the environmental condition of a site and its suitability for a specific purpose.</w:t>
      </w:r>
      <w:r w:rsidR="00597531">
        <w:t xml:space="preserve"> </w:t>
      </w:r>
      <w:r>
        <w:t xml:space="preserve">There are a range of Victorian EPA guidance publications that support the audit process but </w:t>
      </w:r>
      <w:proofErr w:type="gramStart"/>
      <w:r>
        <w:t>none specific</w:t>
      </w:r>
      <w:proofErr w:type="gramEnd"/>
      <w:r>
        <w:t xml:space="preserve"> to </w:t>
      </w:r>
      <w:proofErr w:type="spellStart"/>
      <w:r>
        <w:t>vapour</w:t>
      </w:r>
      <w:proofErr w:type="spellEnd"/>
      <w:r>
        <w:t xml:space="preserve"> intrusion.</w:t>
      </w:r>
      <w:r w:rsidR="00597531">
        <w:t xml:space="preserve"> </w:t>
      </w:r>
      <w:r>
        <w:t>The Environmental Auditor (Contaminated Land) Guidelines for Issue of Certificates and Statements</w:t>
      </w:r>
      <w:r w:rsidR="00D06EA7">
        <w:t xml:space="preserve"> of Environmental Audit requires Auditors to refer to the ASC NEPM. On this basis the ASC NEPM default </w:t>
      </w:r>
      <w:proofErr w:type="spellStart"/>
      <w:r w:rsidR="00D06EA7">
        <w:t>vapour</w:t>
      </w:r>
      <w:proofErr w:type="spellEnd"/>
      <w:r w:rsidR="00D06EA7">
        <w:t xml:space="preserve"> intrusion guidance applies.</w:t>
      </w:r>
      <w:r w:rsidR="00817AB2">
        <w:t xml:space="preserve">  </w:t>
      </w:r>
    </w:p>
    <w:p w14:paraId="2DC91896" w14:textId="6CCD4B47" w:rsidR="00817AB2" w:rsidRPr="00A065FE" w:rsidRDefault="00817AB2" w:rsidP="00A065FE">
      <w:r>
        <w:t xml:space="preserve">In terms of landfill </w:t>
      </w:r>
      <w:r w:rsidR="003644D8">
        <w:t>gas,</w:t>
      </w:r>
      <w:r>
        <w:t xml:space="preserve"> the main document reference is Publication 788.2 (Vic EPA, 2014) which provides guidance on siting, design, </w:t>
      </w:r>
      <w:proofErr w:type="gramStart"/>
      <w:r>
        <w:t>operation</w:t>
      </w:r>
      <w:proofErr w:type="gramEnd"/>
      <w:r>
        <w:t xml:space="preserve"> and rehabilitation of landfills.</w:t>
      </w:r>
      <w:r w:rsidR="00597531">
        <w:t xml:space="preserve"> </w:t>
      </w:r>
      <w:r>
        <w:t xml:space="preserve">There is limited focus on human health risk assessment </w:t>
      </w:r>
      <w:r w:rsidRPr="00817AB2">
        <w:rPr>
          <w:i/>
        </w:rPr>
        <w:t>per</w:t>
      </w:r>
      <w:r w:rsidR="00C45155">
        <w:rPr>
          <w:i/>
        </w:rPr>
        <w:t xml:space="preserve"> </w:t>
      </w:r>
      <w:r w:rsidRPr="00817AB2">
        <w:rPr>
          <w:i/>
        </w:rPr>
        <w:t xml:space="preserve">se </w:t>
      </w:r>
      <w:r>
        <w:t>as the document has more of a management objective.</w:t>
      </w:r>
    </w:p>
    <w:p w14:paraId="6E7C11AB" w14:textId="40328687" w:rsidR="00CD3B40" w:rsidRDefault="00C45155" w:rsidP="00CD3B40">
      <w:pPr>
        <w:pStyle w:val="Heading4"/>
      </w:pPr>
      <w:r>
        <w:t xml:space="preserve"> </w:t>
      </w:r>
      <w:r w:rsidR="00CD3B40">
        <w:t>Western Australian EPA</w:t>
      </w:r>
    </w:p>
    <w:p w14:paraId="712875B0" w14:textId="1A6F9928" w:rsidR="006E630E" w:rsidRPr="006E630E" w:rsidRDefault="006E630E" w:rsidP="006E630E">
      <w:r>
        <w:t>The WA EPA as part of the Department of Environmental Regulation (DER)</w:t>
      </w:r>
      <w:r w:rsidR="00C45155">
        <w:t>,</w:t>
      </w:r>
      <w:r>
        <w:t xml:space="preserve"> have developed contaminated site guidelines under the Contaminated Sites Act 2003 and the subsequent Contaminated Sites Regulations 2006.</w:t>
      </w:r>
      <w:r w:rsidR="00597531">
        <w:t xml:space="preserve"> </w:t>
      </w:r>
      <w:r>
        <w:t xml:space="preserve">These embody the ASC NEPM as part of the process.  The document encompasses a range of issues in assessing site contamination and includes </w:t>
      </w:r>
      <w:proofErr w:type="spellStart"/>
      <w:r>
        <w:t>vapour</w:t>
      </w:r>
      <w:proofErr w:type="spellEnd"/>
      <w:r>
        <w:t xml:space="preserve"> assessment information under “Detailed site investigation</w:t>
      </w:r>
      <w:r w:rsidR="00C45155">
        <w:t>”</w:t>
      </w:r>
      <w:r>
        <w:t xml:space="preserve"> (pp35-37). Brief comment is provided across petroleum hydrocarbons, chlorinated hydrocarbons and landfill gases with the document directing the reader to a range of predominantly US sources but references C</w:t>
      </w:r>
      <w:r w:rsidR="006C101F">
        <w:t>RC CARE Technical Report 23; CIRIA (2007) and the NSW EPA (2012) guidelines for hazardous ground gases.</w:t>
      </w:r>
      <w:r w:rsidR="00597531">
        <w:t xml:space="preserve"> </w:t>
      </w:r>
      <w:r w:rsidR="006C101F">
        <w:t xml:space="preserve">The DER (2014) does </w:t>
      </w:r>
      <w:r w:rsidR="006229F9">
        <w:t xml:space="preserve">recognize the differences in </w:t>
      </w:r>
      <w:proofErr w:type="spellStart"/>
      <w:r w:rsidR="006229F9">
        <w:t>vapour</w:t>
      </w:r>
      <w:proofErr w:type="spellEnd"/>
      <w:r w:rsidR="006229F9">
        <w:t xml:space="preserve"> intrusion between petroleum hydrocarbons and chlorinated hydrocarbons at Section 9.7.3 but does not provide any subsequence guidance or references specific to the assessment of chlorinated hydrocarbons.</w:t>
      </w:r>
    </w:p>
    <w:p w14:paraId="7C7922A9" w14:textId="02A1FD64" w:rsidR="00CD3B40" w:rsidRDefault="00CD3B40" w:rsidP="00CD3B40">
      <w:pPr>
        <w:pStyle w:val="Heading4"/>
      </w:pPr>
      <w:r>
        <w:t>Queensland EPA</w:t>
      </w:r>
    </w:p>
    <w:p w14:paraId="1B8286D3" w14:textId="022EABE4" w:rsidR="00953746" w:rsidRPr="00953746" w:rsidRDefault="00953746" w:rsidP="00953746">
      <w:r>
        <w:t>In Queensland the Department of Environment and Heritage Protection have recently instigated contaminated land reforms under the Environment Protection Act 1994 to make it mandatory for contaminated land investigation documents to be certified by an approved auditor.</w:t>
      </w:r>
      <w:r w:rsidR="00597531">
        <w:t xml:space="preserve"> </w:t>
      </w:r>
      <w:r>
        <w:t xml:space="preserve">This </w:t>
      </w:r>
      <w:r w:rsidR="00C45155">
        <w:t>process</w:t>
      </w:r>
      <w:r>
        <w:t xml:space="preserve"> commenced on 30 September 2015 following Parliamentary legislative changes.</w:t>
      </w:r>
      <w:r w:rsidR="00597531">
        <w:t xml:space="preserve"> </w:t>
      </w:r>
      <w:r w:rsidR="003547D1">
        <w:t xml:space="preserve">While there is </w:t>
      </w:r>
      <w:r w:rsidR="003547D1">
        <w:lastRenderedPageBreak/>
        <w:t xml:space="preserve">no specific local </w:t>
      </w:r>
      <w:proofErr w:type="spellStart"/>
      <w:r w:rsidR="003547D1">
        <w:t>vapour</w:t>
      </w:r>
      <w:proofErr w:type="spellEnd"/>
      <w:r w:rsidR="003547D1">
        <w:t xml:space="preserve"> intrusion guidance,</w:t>
      </w:r>
      <w:r w:rsidR="00FE535C">
        <w:t xml:space="preserve"> an</w:t>
      </w:r>
      <w:r w:rsidR="003547D1">
        <w:t xml:space="preserve"> Auditor would default to that presented in the ASC NEPM consistent with other jurisdictions.</w:t>
      </w:r>
    </w:p>
    <w:p w14:paraId="2E3D5273" w14:textId="49246A01" w:rsidR="00CD3B40" w:rsidRDefault="00CD3B40" w:rsidP="00CD3B40">
      <w:pPr>
        <w:pStyle w:val="Heading4"/>
      </w:pPr>
      <w:r>
        <w:t>Tasmanian EPA</w:t>
      </w:r>
    </w:p>
    <w:p w14:paraId="15038547" w14:textId="46376220" w:rsidR="00FE535C" w:rsidRPr="00FE535C" w:rsidRDefault="00FE535C" w:rsidP="00FE535C">
      <w:r>
        <w:t>In Tasmania, contaminated sites are regulated under the Environmental Management and Pollution Control Act 1994.</w:t>
      </w:r>
      <w:r w:rsidR="00597531">
        <w:t xml:space="preserve"> </w:t>
      </w:r>
      <w:r>
        <w:t>While Regulations have been developed for some aspects such as underground storage tanks</w:t>
      </w:r>
      <w:r w:rsidR="00D912BB">
        <w:t xml:space="preserve">, there is no specific </w:t>
      </w:r>
      <w:proofErr w:type="spellStart"/>
      <w:r w:rsidR="00D912BB">
        <w:t>vapour</w:t>
      </w:r>
      <w:proofErr w:type="spellEnd"/>
      <w:r w:rsidR="00D912BB">
        <w:t xml:space="preserve"> intrusion </w:t>
      </w:r>
      <w:proofErr w:type="gramStart"/>
      <w:r w:rsidR="00D912BB">
        <w:t>guidance</w:t>
      </w:r>
      <w:proofErr w:type="gramEnd"/>
      <w:r w:rsidR="00D912BB">
        <w:t xml:space="preserve"> and the ASC NEPM is applicable and given effect in</w:t>
      </w:r>
      <w:r w:rsidR="00597531">
        <w:t xml:space="preserve"> </w:t>
      </w:r>
      <w:r w:rsidR="00D912BB">
        <w:t>Tasmania as a State policy.</w:t>
      </w:r>
    </w:p>
    <w:p w14:paraId="76047986" w14:textId="6BE8B1CE" w:rsidR="00CD3B40" w:rsidRPr="00CD3B40" w:rsidRDefault="00CD3B40" w:rsidP="00CD3B40">
      <w:pPr>
        <w:pStyle w:val="Heading4"/>
      </w:pPr>
      <w:r>
        <w:t>Northern Territory EPA</w:t>
      </w:r>
    </w:p>
    <w:p w14:paraId="4B5EC0BE" w14:textId="1B7CD279" w:rsidR="00654BA7" w:rsidRPr="00654BA7" w:rsidRDefault="00553A2A" w:rsidP="00654BA7">
      <w:r>
        <w:t>The Waste Management and Pollution Control Act (2016) in the Northern Territory administers environmental audits through accredited auditors in accordance with the ASC NEPM.</w:t>
      </w:r>
      <w:r w:rsidR="00597531">
        <w:t xml:space="preserve"> </w:t>
      </w:r>
      <w:r>
        <w:t xml:space="preserve">There is no specific guidance on </w:t>
      </w:r>
      <w:proofErr w:type="spellStart"/>
      <w:r>
        <w:t>vapour</w:t>
      </w:r>
      <w:proofErr w:type="spellEnd"/>
      <w:r>
        <w:t xml:space="preserve"> intrusion with default to what has been prepared at the national level</w:t>
      </w:r>
      <w:r w:rsidR="00693FCB">
        <w:t>.</w:t>
      </w:r>
    </w:p>
    <w:p w14:paraId="72A50CE7" w14:textId="77777777" w:rsidR="000B47B2" w:rsidRDefault="000B47B2" w:rsidP="000B47B2">
      <w:pPr>
        <w:pStyle w:val="Heading2"/>
        <w:numPr>
          <w:ilvl w:val="0"/>
          <w:numId w:val="0"/>
        </w:numPr>
        <w:spacing w:before="0"/>
        <w:ind w:left="576"/>
      </w:pPr>
    </w:p>
    <w:p w14:paraId="7556516D" w14:textId="705CE06A" w:rsidR="00E14595" w:rsidRPr="005976D5" w:rsidRDefault="00E14595" w:rsidP="00380D14">
      <w:pPr>
        <w:pStyle w:val="Heading2"/>
        <w:spacing w:before="0"/>
      </w:pPr>
      <w:bookmarkStart w:id="26" w:name="_Toc461684048"/>
      <w:r w:rsidRPr="005976D5">
        <w:t>Canada</w:t>
      </w:r>
      <w:bookmarkEnd w:id="26"/>
    </w:p>
    <w:p w14:paraId="361A2736" w14:textId="54D857D9" w:rsidR="00654BA7" w:rsidRDefault="00A2019F" w:rsidP="00654BA7">
      <w:r w:rsidRPr="00A2019F">
        <w:t>In Canada</w:t>
      </w:r>
      <w:r>
        <w:t xml:space="preserve"> site contamination guidance is provided by Health Canada and the Canadian Council of Ministers of the Environment (CCME).</w:t>
      </w:r>
      <w:r w:rsidR="00597531">
        <w:t xml:space="preserve"> </w:t>
      </w:r>
      <w:r w:rsidR="008A4029">
        <w:t xml:space="preserve">The guidance associated with </w:t>
      </w:r>
      <w:proofErr w:type="spellStart"/>
      <w:r w:rsidR="008A4029">
        <w:t>vapour</w:t>
      </w:r>
      <w:proofErr w:type="spellEnd"/>
      <w:r w:rsidR="008A4029">
        <w:t xml:space="preserve"> intrusion and risk assessment includes the following:</w:t>
      </w:r>
    </w:p>
    <w:p w14:paraId="178A1D5F" w14:textId="77777777" w:rsidR="004B516F" w:rsidRDefault="004B516F" w:rsidP="004B516F">
      <w:pPr>
        <w:pStyle w:val="ListParagraph"/>
        <w:numPr>
          <w:ilvl w:val="0"/>
          <w:numId w:val="14"/>
        </w:numPr>
      </w:pPr>
      <w:r>
        <w:t xml:space="preserve">CCME (2006) </w:t>
      </w:r>
      <w:r w:rsidRPr="004B516F">
        <w:rPr>
          <w:i/>
        </w:rPr>
        <w:t>A Protocol for the Derivation of Environmental and Human Health Soil Quality Guidelines</w:t>
      </w:r>
      <w:r>
        <w:t>. Canadian Council of Ministers of the Environment (CCME), Manitoba.</w:t>
      </w:r>
    </w:p>
    <w:p w14:paraId="3069BDAF" w14:textId="77777777" w:rsidR="004B516F" w:rsidRDefault="004B516F" w:rsidP="004B516F">
      <w:pPr>
        <w:pStyle w:val="ListParagraph"/>
        <w:numPr>
          <w:ilvl w:val="0"/>
          <w:numId w:val="14"/>
        </w:numPr>
      </w:pPr>
      <w:r>
        <w:t xml:space="preserve">Health Canada (2010a) </w:t>
      </w:r>
      <w:r w:rsidRPr="004B516F">
        <w:rPr>
          <w:i/>
        </w:rPr>
        <w:t xml:space="preserve">Federal Contaminated Sites Risk Assessment in Canada Part I: Guidance on Human Health Preliminary Quantitative Risk Assessment </w:t>
      </w:r>
      <w:r>
        <w:t>(PQRA). Health Canada, Ontario.</w:t>
      </w:r>
    </w:p>
    <w:p w14:paraId="639EA868" w14:textId="77777777" w:rsidR="004B516F" w:rsidRDefault="004B516F" w:rsidP="004B516F">
      <w:pPr>
        <w:pStyle w:val="ListParagraph"/>
        <w:numPr>
          <w:ilvl w:val="0"/>
          <w:numId w:val="14"/>
        </w:numPr>
      </w:pPr>
      <w:r>
        <w:t xml:space="preserve">Health Canada (2010b) </w:t>
      </w:r>
      <w:r w:rsidRPr="004B516F">
        <w:rPr>
          <w:i/>
        </w:rPr>
        <w:t>Federal Contaminated Sites Risk Assessment in Canada Part II: Health Canada Toxicological Reference Values (TRVs)</w:t>
      </w:r>
      <w:r>
        <w:t>. Health Canada, Ontario.</w:t>
      </w:r>
    </w:p>
    <w:p w14:paraId="58AF82B5" w14:textId="77777777" w:rsidR="004B516F" w:rsidRDefault="004B516F" w:rsidP="004B516F">
      <w:pPr>
        <w:pStyle w:val="ListParagraph"/>
        <w:numPr>
          <w:ilvl w:val="0"/>
          <w:numId w:val="14"/>
        </w:numPr>
      </w:pPr>
      <w:r>
        <w:t xml:space="preserve">Health Canada (2010c) </w:t>
      </w:r>
      <w:r w:rsidRPr="004B516F">
        <w:rPr>
          <w:i/>
        </w:rPr>
        <w:t>Federal Contaminated Sites Risk Assessment in Canada Part V: Guidance on Human Health Detailed Quantitative Risk Assessment of Chemicals (</w:t>
      </w:r>
      <w:proofErr w:type="spellStart"/>
      <w:r w:rsidRPr="004B516F">
        <w:rPr>
          <w:i/>
        </w:rPr>
        <w:t>DQRAchem</w:t>
      </w:r>
      <w:proofErr w:type="spellEnd"/>
      <w:r w:rsidRPr="004B516F">
        <w:rPr>
          <w:i/>
        </w:rPr>
        <w:t>).</w:t>
      </w:r>
      <w:r w:rsidRPr="00EF431C">
        <w:t xml:space="preserve"> </w:t>
      </w:r>
      <w:r>
        <w:t>Health Canada, Ontario.</w:t>
      </w:r>
    </w:p>
    <w:p w14:paraId="60364D4B" w14:textId="77777777" w:rsidR="004B516F" w:rsidRDefault="004B516F" w:rsidP="004B516F">
      <w:pPr>
        <w:pStyle w:val="ListParagraph"/>
        <w:numPr>
          <w:ilvl w:val="0"/>
          <w:numId w:val="14"/>
        </w:numPr>
      </w:pPr>
      <w:r>
        <w:t xml:space="preserve">Health Canada (2010d) </w:t>
      </w:r>
      <w:r w:rsidRPr="004B516F">
        <w:rPr>
          <w:i/>
        </w:rPr>
        <w:t xml:space="preserve">Federal Contaminated Sites Risk Assessment in Canada Part VII: Guidance for Soil </w:t>
      </w:r>
      <w:proofErr w:type="spellStart"/>
      <w:r w:rsidRPr="004B516F">
        <w:rPr>
          <w:i/>
        </w:rPr>
        <w:t>Vapour</w:t>
      </w:r>
      <w:proofErr w:type="spellEnd"/>
      <w:r w:rsidRPr="004B516F">
        <w:rPr>
          <w:i/>
        </w:rPr>
        <w:t xml:space="preserve"> Intrusion Assessment at Contaminated Sites.</w:t>
      </w:r>
      <w:r>
        <w:t xml:space="preserve"> Health Canada, Ontario.</w:t>
      </w:r>
    </w:p>
    <w:p w14:paraId="0493C71A" w14:textId="77777777" w:rsidR="004B516F" w:rsidRDefault="004B516F" w:rsidP="004B516F">
      <w:pPr>
        <w:pStyle w:val="ListParagraph"/>
        <w:numPr>
          <w:ilvl w:val="0"/>
          <w:numId w:val="14"/>
        </w:numPr>
      </w:pPr>
      <w:r>
        <w:t xml:space="preserve">CCME (2014) </w:t>
      </w:r>
      <w:r w:rsidRPr="004B516F">
        <w:rPr>
          <w:i/>
        </w:rPr>
        <w:t xml:space="preserve">A Protocol for the Derivation of Soil </w:t>
      </w:r>
      <w:proofErr w:type="spellStart"/>
      <w:r w:rsidRPr="004B516F">
        <w:rPr>
          <w:i/>
        </w:rPr>
        <w:t>Vapour</w:t>
      </w:r>
      <w:proofErr w:type="spellEnd"/>
      <w:r w:rsidRPr="004B516F">
        <w:rPr>
          <w:i/>
        </w:rPr>
        <w:t xml:space="preserve"> Quality Guidelines for Protection of Human Exposures via Inhalation of </w:t>
      </w:r>
      <w:proofErr w:type="spellStart"/>
      <w:r w:rsidRPr="004B516F">
        <w:rPr>
          <w:i/>
        </w:rPr>
        <w:t>Vapours</w:t>
      </w:r>
      <w:proofErr w:type="spellEnd"/>
      <w:r w:rsidRPr="004B516F">
        <w:rPr>
          <w:i/>
        </w:rPr>
        <w:t>.</w:t>
      </w:r>
      <w:r>
        <w:t xml:space="preserve"> Canadian Council of Ministers of the Environment (CCME), Manitoba.</w:t>
      </w:r>
    </w:p>
    <w:p w14:paraId="795EF1C6" w14:textId="4119DE9F" w:rsidR="00A2019F" w:rsidRDefault="004D3780" w:rsidP="00654BA7">
      <w:r>
        <w:t xml:space="preserve">In terms of the recent guidance there </w:t>
      </w:r>
      <w:r w:rsidR="00C45155">
        <w:t>are</w:t>
      </w:r>
      <w:r>
        <w:t xml:space="preserve"> slight differences in what each agency provides for </w:t>
      </w:r>
      <w:proofErr w:type="spellStart"/>
      <w:r>
        <w:t>vapour</w:t>
      </w:r>
      <w:proofErr w:type="spellEnd"/>
      <w:r>
        <w:t xml:space="preserve"> intrusion assessment.</w:t>
      </w:r>
      <w:r w:rsidR="00597531">
        <w:t xml:space="preserve"> </w:t>
      </w:r>
      <w:r>
        <w:t>Health Canada (2010d) provides a guidance document which depends heavily on the Johnson and Ettinger (1991) model</w:t>
      </w:r>
      <w:r w:rsidR="00B07B2A">
        <w:t xml:space="preserve"> (JEM)</w:t>
      </w:r>
      <w:r w:rsidR="000C652D">
        <w:t xml:space="preserve"> and its variants but also considers empirical attenuation factor data and numerically modelled bio</w:t>
      </w:r>
      <w:r w:rsidR="00B07B2A">
        <w:t>-</w:t>
      </w:r>
      <w:r w:rsidR="000C652D">
        <w:t xml:space="preserve">attenuation of </w:t>
      </w:r>
      <w:r w:rsidR="00B07B2A">
        <w:t xml:space="preserve">hydrocarbon </w:t>
      </w:r>
      <w:proofErr w:type="spellStart"/>
      <w:r w:rsidR="00B07B2A">
        <w:t>vapours</w:t>
      </w:r>
      <w:proofErr w:type="spellEnd"/>
      <w:r w:rsidR="00B07B2A">
        <w:t xml:space="preserve"> beneath buildings</w:t>
      </w:r>
      <w:r w:rsidR="00597531">
        <w:t xml:space="preserve">. </w:t>
      </w:r>
      <w:r w:rsidR="00B07B2A">
        <w:t xml:space="preserve">CCME (2014) provides generic Soil </w:t>
      </w:r>
      <w:proofErr w:type="spellStart"/>
      <w:r w:rsidR="00B07B2A">
        <w:t>Vapour</w:t>
      </w:r>
      <w:proofErr w:type="spellEnd"/>
      <w:r w:rsidR="00B07B2A">
        <w:t xml:space="preserve"> Quality Guidelines</w:t>
      </w:r>
      <w:r w:rsidR="00C45155">
        <w:t xml:space="preserve"> for indoor air quality</w:t>
      </w:r>
      <w:r w:rsidR="00B07B2A">
        <w:t xml:space="preserve"> (SVQG</w:t>
      </w:r>
      <w:r w:rsidR="00B07B2A" w:rsidRPr="00B07B2A">
        <w:rPr>
          <w:vertAlign w:val="subscript"/>
        </w:rPr>
        <w:t>IAQ</w:t>
      </w:r>
      <w:r w:rsidR="00B07B2A">
        <w:t xml:space="preserve">) which are based on migration of </w:t>
      </w:r>
      <w:proofErr w:type="spellStart"/>
      <w:r w:rsidR="00B07B2A">
        <w:t>vapour</w:t>
      </w:r>
      <w:proofErr w:type="spellEnd"/>
      <w:r w:rsidR="00B07B2A">
        <w:t xml:space="preserve"> into indoor air using JEM with a series of limitations.  If the limitations apply</w:t>
      </w:r>
      <w:r w:rsidR="00840D9D">
        <w:t>,</w:t>
      </w:r>
      <w:r w:rsidR="00B07B2A">
        <w:t xml:space="preserve"> then specific </w:t>
      </w:r>
      <w:r w:rsidR="00840D9D">
        <w:t>attenuation factors are recommended.</w:t>
      </w:r>
      <w:r w:rsidR="00597531">
        <w:t xml:space="preserve"> </w:t>
      </w:r>
      <w:r w:rsidR="00840D9D">
        <w:t>The CCME guidance also allows re-calculation of generic guidelines based on site-specific data as additional tiers of assessment.</w:t>
      </w:r>
    </w:p>
    <w:p w14:paraId="1851CC3E" w14:textId="0118236F" w:rsidR="00E14595" w:rsidRDefault="006116DE" w:rsidP="00840D9D">
      <w:pPr>
        <w:pStyle w:val="Heading2"/>
      </w:pPr>
      <w:bookmarkStart w:id="27" w:name="_Toc461684049"/>
      <w:r>
        <w:lastRenderedPageBreak/>
        <w:t>European Environment A</w:t>
      </w:r>
      <w:r w:rsidR="00E14595" w:rsidRPr="001A0F39">
        <w:t>gency</w:t>
      </w:r>
      <w:bookmarkEnd w:id="27"/>
    </w:p>
    <w:p w14:paraId="2506FAFD" w14:textId="064C0300" w:rsidR="00C55603" w:rsidRDefault="00C55603" w:rsidP="00C55603">
      <w:r>
        <w:t>The European Environment Agency</w:t>
      </w:r>
      <w:r w:rsidR="00EB7E6D">
        <w:t xml:space="preserve"> (EEA)</w:t>
      </w:r>
      <w:r>
        <w:t xml:space="preserve"> co-ordinates information on site contamination across the European Union.</w:t>
      </w:r>
      <w:r w:rsidR="00F55B08">
        <w:t xml:space="preserve"> </w:t>
      </w:r>
      <w:r>
        <w:t>A recent European Commission (EC) (2014) report cites some 340,000 contaminated sites requiring remediation across Europe</w:t>
      </w:r>
      <w:r w:rsidR="00B64704">
        <w:t>.</w:t>
      </w:r>
    </w:p>
    <w:p w14:paraId="15F9ECFF" w14:textId="77777777" w:rsidR="00EB7E6D" w:rsidRDefault="00EB7E6D" w:rsidP="00EB7E6D">
      <w:r>
        <w:t>The mission statement for the EEA is:</w:t>
      </w:r>
    </w:p>
    <w:p w14:paraId="5B4BF842" w14:textId="1A1B69AC" w:rsidR="00EB7E6D" w:rsidRDefault="00EB7E6D" w:rsidP="00EB7E6D">
      <w:r>
        <w:t>“</w:t>
      </w:r>
      <w:r w:rsidRPr="00EB7E6D">
        <w:rPr>
          <w:i/>
        </w:rPr>
        <w:t>The European Environment Agency (EEA) aims to support sustainable development by helping to achieve significant and measurable improvement in Europe's environment, through the provision of timely, targeted, relevant and reliable information to policymaking agents and the public.</w:t>
      </w:r>
      <w:r>
        <w:rPr>
          <w:i/>
        </w:rPr>
        <w:t xml:space="preserve">” </w:t>
      </w:r>
      <w:r w:rsidR="00FB17CA">
        <w:t>(</w:t>
      </w:r>
      <w:r w:rsidRPr="00EB7E6D">
        <w:t>2015)</w:t>
      </w:r>
      <w:r>
        <w:t>.</w:t>
      </w:r>
    </w:p>
    <w:p w14:paraId="143262D4" w14:textId="299E121E" w:rsidR="00EB7E6D" w:rsidRPr="00EB7E6D" w:rsidRDefault="00EB7E6D" w:rsidP="00EB7E6D">
      <w:r>
        <w:t xml:space="preserve">The agency </w:t>
      </w:r>
      <w:r w:rsidR="0021256E">
        <w:t xml:space="preserve">does not establish </w:t>
      </w:r>
      <w:r>
        <w:t>detailed</w:t>
      </w:r>
      <w:r w:rsidR="0021256E">
        <w:t xml:space="preserve"> assessment </w:t>
      </w:r>
      <w:r w:rsidR="00024398">
        <w:t xml:space="preserve">approaches </w:t>
      </w:r>
      <w:r w:rsidR="00BE1509">
        <w:t>but</w:t>
      </w:r>
      <w:r w:rsidR="00024398">
        <w:t xml:space="preserve"> relies on each country’s jurisdictional approaches to risk assessment</w:t>
      </w:r>
      <w:r w:rsidR="00F43631">
        <w:t xml:space="preserve"> </w:t>
      </w:r>
      <w:r w:rsidR="00BE1509">
        <w:t xml:space="preserve">and </w:t>
      </w:r>
      <w:r w:rsidR="00F43631">
        <w:t xml:space="preserve">aids as a </w:t>
      </w:r>
      <w:proofErr w:type="spellStart"/>
      <w:r w:rsidR="00F43631">
        <w:t>co-ordinating</w:t>
      </w:r>
      <w:proofErr w:type="spellEnd"/>
      <w:r w:rsidR="00F43631">
        <w:t xml:space="preserve"> body across supporting agencies a</w:t>
      </w:r>
      <w:r w:rsidR="00FB17CA">
        <w:t>s</w:t>
      </w:r>
      <w:r w:rsidR="00F43631">
        <w:t xml:space="preserve"> detailed in EEA (2016). </w:t>
      </w:r>
    </w:p>
    <w:p w14:paraId="48351641" w14:textId="07ED7D15" w:rsidR="00024398" w:rsidRDefault="00024398" w:rsidP="00EB7E6D">
      <w:pPr>
        <w:rPr>
          <w:color w:val="333333"/>
        </w:rPr>
      </w:pPr>
      <w:r>
        <w:rPr>
          <w:color w:val="333333"/>
        </w:rPr>
        <w:t xml:space="preserve">As a </w:t>
      </w:r>
      <w:r w:rsidR="003644D8">
        <w:rPr>
          <w:color w:val="333333"/>
        </w:rPr>
        <w:t>coordinating</w:t>
      </w:r>
      <w:r>
        <w:rPr>
          <w:color w:val="333333"/>
        </w:rPr>
        <w:t xml:space="preserve"> body</w:t>
      </w:r>
      <w:r w:rsidR="00F43631">
        <w:rPr>
          <w:color w:val="333333"/>
        </w:rPr>
        <w:t xml:space="preserve"> it facilitates aggregation of information across a range of supporting </w:t>
      </w:r>
      <w:proofErr w:type="spellStart"/>
      <w:r w:rsidR="00F43631">
        <w:rPr>
          <w:color w:val="333333"/>
        </w:rPr>
        <w:t>organisations</w:t>
      </w:r>
      <w:proofErr w:type="spellEnd"/>
      <w:r w:rsidR="00F43631">
        <w:rPr>
          <w:color w:val="333333"/>
        </w:rPr>
        <w:t xml:space="preserve"> such as the Joint Research Centre (JRC) which performs research on trans-frontier problems such as those associated with environmental or risk analyses and </w:t>
      </w:r>
      <w:r w:rsidR="00BE1509">
        <w:rPr>
          <w:color w:val="333333"/>
        </w:rPr>
        <w:t xml:space="preserve">the </w:t>
      </w:r>
      <w:r w:rsidR="00F43631">
        <w:rPr>
          <w:color w:val="333333"/>
        </w:rPr>
        <w:t>Concerted Action on Risk Assessment for Contaminated Sites</w:t>
      </w:r>
      <w:r w:rsidR="000631D8">
        <w:rPr>
          <w:color w:val="333333"/>
        </w:rPr>
        <w:t xml:space="preserve"> in the European Union (CARACAS</w:t>
      </w:r>
      <w:r w:rsidR="00F43631">
        <w:rPr>
          <w:color w:val="333333"/>
        </w:rPr>
        <w:t>).</w:t>
      </w:r>
      <w:r w:rsidR="00597531">
        <w:rPr>
          <w:color w:val="333333"/>
        </w:rPr>
        <w:t xml:space="preserve"> </w:t>
      </w:r>
      <w:r w:rsidR="000631D8">
        <w:rPr>
          <w:color w:val="333333"/>
        </w:rPr>
        <w:t xml:space="preserve">The latter </w:t>
      </w:r>
      <w:r w:rsidR="009B63E4">
        <w:rPr>
          <w:color w:val="333333"/>
        </w:rPr>
        <w:t xml:space="preserve">have </w:t>
      </w:r>
      <w:r w:rsidR="000631D8">
        <w:rPr>
          <w:color w:val="333333"/>
        </w:rPr>
        <w:t xml:space="preserve">produced some </w:t>
      </w:r>
      <w:proofErr w:type="gramStart"/>
      <w:r w:rsidR="000631D8">
        <w:rPr>
          <w:color w:val="333333"/>
        </w:rPr>
        <w:t>guidance</w:t>
      </w:r>
      <w:proofErr w:type="gramEnd"/>
      <w:r w:rsidR="009B63E4">
        <w:rPr>
          <w:color w:val="333333"/>
        </w:rPr>
        <w:t xml:space="preserve"> but this </w:t>
      </w:r>
      <w:r w:rsidR="00C41263">
        <w:rPr>
          <w:color w:val="333333"/>
        </w:rPr>
        <w:t>was</w:t>
      </w:r>
      <w:r w:rsidR="009B63E4">
        <w:rPr>
          <w:color w:val="333333"/>
        </w:rPr>
        <w:t xml:space="preserve"> generic in nature</w:t>
      </w:r>
      <w:r w:rsidR="00C41263">
        <w:rPr>
          <w:color w:val="333333"/>
        </w:rPr>
        <w:t xml:space="preserve"> (</w:t>
      </w:r>
      <w:r w:rsidR="00FA611A">
        <w:rPr>
          <w:color w:val="333333"/>
        </w:rPr>
        <w:t xml:space="preserve">Ferguson </w:t>
      </w:r>
      <w:r w:rsidR="009A47BA">
        <w:rPr>
          <w:color w:val="333333"/>
        </w:rPr>
        <w:t>et al.,</w:t>
      </w:r>
      <w:r w:rsidR="00FA611A">
        <w:rPr>
          <w:color w:val="333333"/>
        </w:rPr>
        <w:t xml:space="preserve"> (1998)</w:t>
      </w:r>
      <w:r w:rsidR="009B63E4">
        <w:rPr>
          <w:color w:val="333333"/>
        </w:rPr>
        <w:t>.</w:t>
      </w:r>
      <w:r w:rsidR="00597531">
        <w:rPr>
          <w:color w:val="333333"/>
        </w:rPr>
        <w:t xml:space="preserve"> </w:t>
      </w:r>
      <w:r w:rsidR="00FA611A">
        <w:rPr>
          <w:color w:val="333333"/>
        </w:rPr>
        <w:t xml:space="preserve">Meetings of CARACAS have continued with some EU countries still at early stages of risk assessment frameworks, e.g. </w:t>
      </w:r>
      <w:r w:rsidR="00F43631">
        <w:rPr>
          <w:color w:val="333333"/>
        </w:rPr>
        <w:t xml:space="preserve"> </w:t>
      </w:r>
      <w:r w:rsidR="00C45155">
        <w:rPr>
          <w:color w:val="333333"/>
        </w:rPr>
        <w:t>Switzerland</w:t>
      </w:r>
      <w:r w:rsidR="00BE1509">
        <w:rPr>
          <w:color w:val="333333"/>
        </w:rPr>
        <w:t>.</w:t>
      </w:r>
    </w:p>
    <w:p w14:paraId="14ABDD96" w14:textId="185B9828" w:rsidR="001B6655" w:rsidRPr="008A4029" w:rsidRDefault="001B6655" w:rsidP="001B6655">
      <w:pPr>
        <w:pStyle w:val="Heading2"/>
      </w:pPr>
      <w:bookmarkStart w:id="28" w:name="_Toc461684050"/>
      <w:r w:rsidRPr="008A4029">
        <w:t>New Zealand</w:t>
      </w:r>
      <w:bookmarkEnd w:id="28"/>
    </w:p>
    <w:p w14:paraId="7B8C5F26" w14:textId="774952D7" w:rsidR="001A0F39" w:rsidRDefault="00477A3E" w:rsidP="001A0F39">
      <w:r>
        <w:t xml:space="preserve">The </w:t>
      </w:r>
      <w:r w:rsidR="009918CE">
        <w:t xml:space="preserve">New </w:t>
      </w:r>
      <w:r w:rsidR="002F47BF">
        <w:t>Zealand</w:t>
      </w:r>
      <w:r>
        <w:t xml:space="preserve"> Ministry for the Environment (</w:t>
      </w:r>
      <w:proofErr w:type="spellStart"/>
      <w:r>
        <w:t>MfE</w:t>
      </w:r>
      <w:proofErr w:type="spellEnd"/>
      <w:r>
        <w:t>)</w:t>
      </w:r>
      <w:r w:rsidR="002F47BF">
        <w:t xml:space="preserve"> developed</w:t>
      </w:r>
      <w:r w:rsidR="00B559FD">
        <w:t xml:space="preserve"> </w:t>
      </w:r>
      <w:r w:rsidR="002048D2">
        <w:t xml:space="preserve">guidelines for the </w:t>
      </w:r>
      <w:r w:rsidR="00B559FD">
        <w:t xml:space="preserve">assessment and management of petroleum </w:t>
      </w:r>
      <w:r w:rsidR="00A7296E">
        <w:t>hydrocarbon contaminated sites in 1999 (</w:t>
      </w:r>
      <w:proofErr w:type="spellStart"/>
      <w:r w:rsidR="00A7296E">
        <w:t>MfE</w:t>
      </w:r>
      <w:proofErr w:type="spellEnd"/>
      <w:r w:rsidR="00FC20AF">
        <w:t>,</w:t>
      </w:r>
      <w:r w:rsidR="00A7296E">
        <w:t xml:space="preserve"> </w:t>
      </w:r>
      <w:r w:rsidR="002048D2">
        <w:t>1999).</w:t>
      </w:r>
      <w:r w:rsidR="00597531">
        <w:t xml:space="preserve"> </w:t>
      </w:r>
      <w:r w:rsidR="002048D2">
        <w:t>These have been revised in 2011 by incorporation of information on underground storage tanks and underground petroleum equipment removal and replacement.</w:t>
      </w:r>
      <w:r w:rsidR="00597531">
        <w:t xml:space="preserve"> </w:t>
      </w:r>
      <w:r w:rsidR="002048D2">
        <w:t xml:space="preserve">The incorporation of these sections was undertaken </w:t>
      </w:r>
      <w:proofErr w:type="gramStart"/>
      <w:r w:rsidR="004F0134">
        <w:t>in order to</w:t>
      </w:r>
      <w:proofErr w:type="gramEnd"/>
      <w:r w:rsidR="004F0134">
        <w:t xml:space="preserve"> bring the guidelines up to date with the Resource Management (National Environmental Standard for Assessing and Managing Contaminants in Soil to Protect Human Health – NES) Regulations 2011.</w:t>
      </w:r>
    </w:p>
    <w:p w14:paraId="2E9CD162" w14:textId="1531C18D" w:rsidR="004F0134" w:rsidRDefault="004F0134" w:rsidP="001A0F39">
      <w:r>
        <w:t>These petroleum hydrocarbon guidelines developed Tier 1 soil</w:t>
      </w:r>
      <w:r w:rsidR="009D6B1B">
        <w:t xml:space="preserve"> and groundwater</w:t>
      </w:r>
      <w:r>
        <w:t xml:space="preserve"> acceptance criteria based on set input parameters and the use of a modified Jury (1983) model for deeper sources</w:t>
      </w:r>
      <w:r w:rsidR="009D6B1B">
        <w:t xml:space="preserve"> (diffusion based)</w:t>
      </w:r>
      <w:r>
        <w:t xml:space="preserve"> and a modified JEM for sources up to one </w:t>
      </w:r>
      <w:proofErr w:type="spellStart"/>
      <w:r>
        <w:t>metre</w:t>
      </w:r>
      <w:proofErr w:type="spellEnd"/>
      <w:r>
        <w:t xml:space="preserve"> </w:t>
      </w:r>
      <w:r w:rsidR="009D6B1B">
        <w:t>(</w:t>
      </w:r>
      <w:r>
        <w:t>advection</w:t>
      </w:r>
      <w:r w:rsidR="009D6B1B">
        <w:t xml:space="preserve"> based).  Differing soil types, land uses, and populations were considered.</w:t>
      </w:r>
      <w:r w:rsidR="00F55B08">
        <w:t xml:space="preserve"> </w:t>
      </w:r>
      <w:r w:rsidR="009D6B1B">
        <w:t xml:space="preserve">The information did not provide guidance on soil </w:t>
      </w:r>
      <w:proofErr w:type="spellStart"/>
      <w:r w:rsidR="009D6B1B">
        <w:t>vapour</w:t>
      </w:r>
      <w:proofErr w:type="spellEnd"/>
      <w:r w:rsidR="009D6B1B">
        <w:t xml:space="preserve"> sampling, quality assurance and </w:t>
      </w:r>
      <w:proofErr w:type="spellStart"/>
      <w:r w:rsidR="009D6B1B">
        <w:t>vapour</w:t>
      </w:r>
      <w:proofErr w:type="spellEnd"/>
      <w:r w:rsidR="009D6B1B">
        <w:t xml:space="preserve"> mitigation strategies.  It also did not provide guidance on </w:t>
      </w:r>
      <w:r w:rsidR="00477A3E">
        <w:t xml:space="preserve">other </w:t>
      </w:r>
      <w:proofErr w:type="spellStart"/>
      <w:r w:rsidR="00477A3E">
        <w:t>vapours</w:t>
      </w:r>
      <w:proofErr w:type="spellEnd"/>
      <w:r w:rsidR="00477A3E">
        <w:t xml:space="preserve"> such as chlorinated hydrocarbons and landfills.</w:t>
      </w:r>
    </w:p>
    <w:p w14:paraId="4B2D63F4" w14:textId="2D1BB952" w:rsidR="00477A3E" w:rsidRDefault="00477A3E" w:rsidP="001A0F39">
      <w:proofErr w:type="spellStart"/>
      <w:r>
        <w:t>MfE</w:t>
      </w:r>
      <w:proofErr w:type="spellEnd"/>
      <w:r>
        <w:t xml:space="preserve"> also specify that these criteria are not derived consistent with the NES and subsequently are under review. </w:t>
      </w:r>
      <w:proofErr w:type="spellStart"/>
      <w:r>
        <w:t>MfE</w:t>
      </w:r>
      <w:proofErr w:type="spellEnd"/>
      <w:r>
        <w:t xml:space="preserve"> (2011) discusses the methodology for deriving standards for contaminants in soil to protect public health and </w:t>
      </w:r>
      <w:proofErr w:type="gramStart"/>
      <w:r>
        <w:t xml:space="preserve">makes </w:t>
      </w:r>
      <w:r w:rsidR="001D3930">
        <w:t>reference</w:t>
      </w:r>
      <w:proofErr w:type="gramEnd"/>
      <w:r w:rsidR="001D3930">
        <w:t xml:space="preserve"> to volatiles inhalation and the need to consider other international guidance and its applicability to New Zealand (p28).</w:t>
      </w:r>
    </w:p>
    <w:p w14:paraId="55EE1FEE" w14:textId="74E1AF7A" w:rsidR="001D3930" w:rsidRDefault="001D3930" w:rsidP="001D3930">
      <w:r>
        <w:lastRenderedPageBreak/>
        <w:t>In terms of landfill hazardous gases there is comment on landfill gas under “A Guide for the Management of Closing and Closed Landfills in New Zealand” published in 2001 but the document is principally focused on landfill management</w:t>
      </w:r>
      <w:r w:rsidR="00C45155">
        <w:t xml:space="preserve"> (</w:t>
      </w:r>
      <w:proofErr w:type="spellStart"/>
      <w:r w:rsidR="00C45155">
        <w:t>MfE</w:t>
      </w:r>
      <w:proofErr w:type="spellEnd"/>
      <w:r w:rsidR="00C45155">
        <w:t>, 2001)</w:t>
      </w:r>
      <w:r>
        <w:t>.</w:t>
      </w:r>
    </w:p>
    <w:p w14:paraId="1515137C" w14:textId="1280AE63" w:rsidR="00E14595" w:rsidRDefault="00E14595" w:rsidP="001D3930">
      <w:pPr>
        <w:pStyle w:val="Heading2"/>
      </w:pPr>
      <w:bookmarkStart w:id="29" w:name="_Toc461684051"/>
      <w:r w:rsidRPr="001D3930">
        <w:t>The Netherlands</w:t>
      </w:r>
      <w:bookmarkEnd w:id="29"/>
    </w:p>
    <w:p w14:paraId="01B0C022" w14:textId="27F312A9" w:rsidR="00D5369F" w:rsidRDefault="005661C2" w:rsidP="005661C2">
      <w:pPr>
        <w:rPr>
          <w:lang w:val="en" w:eastAsia="en-US"/>
        </w:rPr>
      </w:pPr>
      <w:r>
        <w:rPr>
          <w:lang w:val="en" w:eastAsia="en-US"/>
        </w:rPr>
        <w:t xml:space="preserve">The Dutch National Institute for Public Health and the Environment (RIVM) is the key research </w:t>
      </w:r>
      <w:proofErr w:type="spellStart"/>
      <w:r>
        <w:rPr>
          <w:lang w:val="en" w:eastAsia="en-US"/>
        </w:rPr>
        <w:t>organisation</w:t>
      </w:r>
      <w:proofErr w:type="spellEnd"/>
      <w:r>
        <w:rPr>
          <w:lang w:val="en" w:eastAsia="en-US"/>
        </w:rPr>
        <w:t xml:space="preserve"> in the Netherlands for the provision of advice on health and the environment and has been operating since 1909. RIVM provides government with impartial advice </w:t>
      </w:r>
      <w:r w:rsidR="00D5369F" w:rsidRPr="00D5369F">
        <w:rPr>
          <w:lang w:val="en" w:eastAsia="en-US"/>
        </w:rPr>
        <w:t xml:space="preserve">on infectious diseases, vaccination, population screening, </w:t>
      </w:r>
      <w:proofErr w:type="gramStart"/>
      <w:r w:rsidR="00D5369F" w:rsidRPr="00D5369F">
        <w:rPr>
          <w:lang w:val="en" w:eastAsia="en-US"/>
        </w:rPr>
        <w:t>life style</w:t>
      </w:r>
      <w:proofErr w:type="gramEnd"/>
      <w:r w:rsidR="00D5369F" w:rsidRPr="00D5369F">
        <w:rPr>
          <w:lang w:val="en" w:eastAsia="en-US"/>
        </w:rPr>
        <w:t xml:space="preserve">, nutrition, pharmaceuticals, environment, sustainability and safety. </w:t>
      </w:r>
      <w:r>
        <w:rPr>
          <w:lang w:val="en" w:eastAsia="en-US"/>
        </w:rPr>
        <w:t>This work includes</w:t>
      </w:r>
      <w:r w:rsidR="00D5369F" w:rsidRPr="00D5369F">
        <w:rPr>
          <w:lang w:val="en" w:eastAsia="en-US"/>
        </w:rPr>
        <w:t xml:space="preserve"> carry</w:t>
      </w:r>
      <w:r>
        <w:rPr>
          <w:lang w:val="en" w:eastAsia="en-US"/>
        </w:rPr>
        <w:t>ing</w:t>
      </w:r>
      <w:r w:rsidR="00D5369F" w:rsidRPr="00D5369F">
        <w:rPr>
          <w:lang w:val="en" w:eastAsia="en-US"/>
        </w:rPr>
        <w:t xml:space="preserve"> </w:t>
      </w:r>
      <w:r>
        <w:rPr>
          <w:lang w:val="en" w:eastAsia="en-US"/>
        </w:rPr>
        <w:t>out studies, providing</w:t>
      </w:r>
      <w:r w:rsidR="00D5369F" w:rsidRPr="00D5369F">
        <w:rPr>
          <w:lang w:val="en" w:eastAsia="en-US"/>
        </w:rPr>
        <w:t xml:space="preserve"> advice and recommendations, and direct</w:t>
      </w:r>
      <w:r>
        <w:rPr>
          <w:lang w:val="en" w:eastAsia="en-US"/>
        </w:rPr>
        <w:t>ing</w:t>
      </w:r>
      <w:r w:rsidR="00D5369F" w:rsidRPr="00D5369F">
        <w:rPr>
          <w:lang w:val="en" w:eastAsia="en-US"/>
        </w:rPr>
        <w:t xml:space="preserve"> and implement</w:t>
      </w:r>
      <w:r>
        <w:rPr>
          <w:lang w:val="en" w:eastAsia="en-US"/>
        </w:rPr>
        <w:t>ing</w:t>
      </w:r>
      <w:r w:rsidR="00D5369F" w:rsidRPr="00D5369F">
        <w:rPr>
          <w:lang w:val="en" w:eastAsia="en-US"/>
        </w:rPr>
        <w:t xml:space="preserve"> prevention and control responses. </w:t>
      </w:r>
    </w:p>
    <w:p w14:paraId="2307587E" w14:textId="42ADC006" w:rsidR="00331D4C" w:rsidRDefault="005661C2" w:rsidP="005661C2">
      <w:pPr>
        <w:rPr>
          <w:lang w:val="en" w:eastAsia="en-US"/>
        </w:rPr>
      </w:pPr>
      <w:r>
        <w:rPr>
          <w:lang w:val="en" w:eastAsia="en-US"/>
        </w:rPr>
        <w:t>RIVM has an extensive history in site contamination investiga</w:t>
      </w:r>
      <w:r w:rsidR="00331D4C">
        <w:rPr>
          <w:lang w:val="en" w:eastAsia="en-US"/>
        </w:rPr>
        <w:t>tions an</w:t>
      </w:r>
      <w:r w:rsidR="008911CD">
        <w:rPr>
          <w:lang w:val="en" w:eastAsia="en-US"/>
        </w:rPr>
        <w:t>d guideline development and has</w:t>
      </w:r>
      <w:r w:rsidR="00331D4C">
        <w:rPr>
          <w:lang w:val="en" w:eastAsia="en-US"/>
        </w:rPr>
        <w:t xml:space="preserve"> </w:t>
      </w:r>
      <w:r>
        <w:rPr>
          <w:lang w:val="en" w:eastAsia="en-US"/>
        </w:rPr>
        <w:t xml:space="preserve">published a range of reports associated with </w:t>
      </w:r>
      <w:r w:rsidR="00170765">
        <w:rPr>
          <w:lang w:val="en" w:eastAsia="en-US"/>
        </w:rPr>
        <w:t xml:space="preserve">contaminated site exposure assessment, </w:t>
      </w:r>
      <w:proofErr w:type="spellStart"/>
      <w:r>
        <w:rPr>
          <w:lang w:val="en" w:eastAsia="en-US"/>
        </w:rPr>
        <w:t>vapour</w:t>
      </w:r>
      <w:proofErr w:type="spellEnd"/>
      <w:r>
        <w:rPr>
          <w:lang w:val="en" w:eastAsia="en-US"/>
        </w:rPr>
        <w:t xml:space="preserve"> intrusion model development, model</w:t>
      </w:r>
      <w:r w:rsidR="008911CD">
        <w:rPr>
          <w:lang w:val="en" w:eastAsia="en-US"/>
        </w:rPr>
        <w:t>l</w:t>
      </w:r>
      <w:r>
        <w:rPr>
          <w:lang w:val="en" w:eastAsia="en-US"/>
        </w:rPr>
        <w:t>ing and health risk assessment of contaminated sites affected by volatile hydrocarbons.</w:t>
      </w:r>
      <w:r w:rsidR="00F55B08">
        <w:rPr>
          <w:lang w:val="en" w:eastAsia="en-US"/>
        </w:rPr>
        <w:t xml:space="preserve"> </w:t>
      </w:r>
      <w:r w:rsidR="00170765">
        <w:rPr>
          <w:lang w:val="en" w:eastAsia="en-US"/>
        </w:rPr>
        <w:t>They have developed CSOIL</w:t>
      </w:r>
      <w:r w:rsidR="008911CD">
        <w:rPr>
          <w:lang w:val="en" w:eastAsia="en-US"/>
        </w:rPr>
        <w:t xml:space="preserve"> (van den Berg, 1993)</w:t>
      </w:r>
      <w:r w:rsidR="00170765">
        <w:rPr>
          <w:lang w:val="en" w:eastAsia="en-US"/>
        </w:rPr>
        <w:t>, a site contamination exposure model used to develop site contamination human intervention levels and VOLASOIL</w:t>
      </w:r>
      <w:r w:rsidR="008911CD">
        <w:rPr>
          <w:lang w:val="en" w:eastAsia="en-US"/>
        </w:rPr>
        <w:t xml:space="preserve"> (</w:t>
      </w:r>
      <w:proofErr w:type="spellStart"/>
      <w:r w:rsidR="008911CD">
        <w:rPr>
          <w:lang w:val="en" w:eastAsia="en-US"/>
        </w:rPr>
        <w:t>Waitz</w:t>
      </w:r>
      <w:proofErr w:type="spellEnd"/>
      <w:r w:rsidR="008911CD">
        <w:rPr>
          <w:lang w:val="en" w:eastAsia="en-US"/>
        </w:rPr>
        <w:t>, 1996)</w:t>
      </w:r>
      <w:r w:rsidR="00170765">
        <w:rPr>
          <w:lang w:val="en" w:eastAsia="en-US"/>
        </w:rPr>
        <w:t xml:space="preserve">, a steady-state </w:t>
      </w:r>
      <w:proofErr w:type="spellStart"/>
      <w:r w:rsidR="00170765">
        <w:rPr>
          <w:lang w:val="en" w:eastAsia="en-US"/>
        </w:rPr>
        <w:t>vapour</w:t>
      </w:r>
      <w:proofErr w:type="spellEnd"/>
      <w:r w:rsidR="00170765">
        <w:rPr>
          <w:lang w:val="en" w:eastAsia="en-US"/>
        </w:rPr>
        <w:t xml:space="preserve"> intrusion model used in the Netherlands and Europe.</w:t>
      </w:r>
    </w:p>
    <w:p w14:paraId="331F9DE9" w14:textId="194BC197" w:rsidR="005661C2" w:rsidRDefault="005661C2" w:rsidP="005661C2">
      <w:pPr>
        <w:rPr>
          <w:lang w:val="en" w:eastAsia="en-US"/>
        </w:rPr>
      </w:pPr>
      <w:r>
        <w:rPr>
          <w:lang w:val="en" w:eastAsia="en-US"/>
        </w:rPr>
        <w:t xml:space="preserve">A selection of </w:t>
      </w:r>
      <w:r w:rsidR="008911CD">
        <w:rPr>
          <w:lang w:val="en" w:eastAsia="en-US"/>
        </w:rPr>
        <w:t xml:space="preserve">other </w:t>
      </w:r>
      <w:r w:rsidR="00170765">
        <w:rPr>
          <w:lang w:val="en" w:eastAsia="en-US"/>
        </w:rPr>
        <w:t>key RIVM reports</w:t>
      </w:r>
      <w:r w:rsidR="008911CD">
        <w:rPr>
          <w:lang w:val="en" w:eastAsia="en-US"/>
        </w:rPr>
        <w:t xml:space="preserve"> that provide guidance across exposure modeling, toxicological parameters, and regulatory policy</w:t>
      </w:r>
      <w:r w:rsidR="00170765">
        <w:rPr>
          <w:lang w:val="en" w:eastAsia="en-US"/>
        </w:rPr>
        <w:t xml:space="preserve"> </w:t>
      </w:r>
      <w:r>
        <w:rPr>
          <w:lang w:val="en" w:eastAsia="en-US"/>
        </w:rPr>
        <w:t>include</w:t>
      </w:r>
      <w:r w:rsidR="008E163A">
        <w:rPr>
          <w:lang w:val="en" w:eastAsia="en-US"/>
        </w:rPr>
        <w:t xml:space="preserve"> those by Janssen </w:t>
      </w:r>
      <w:r w:rsidR="009A47BA">
        <w:rPr>
          <w:lang w:val="en" w:eastAsia="en-US"/>
        </w:rPr>
        <w:t>et al.,</w:t>
      </w:r>
      <w:r w:rsidR="008E163A">
        <w:rPr>
          <w:lang w:val="en" w:eastAsia="en-US"/>
        </w:rPr>
        <w:t xml:space="preserve"> (1992); </w:t>
      </w:r>
      <w:proofErr w:type="spellStart"/>
      <w:r w:rsidR="008E163A">
        <w:rPr>
          <w:lang w:val="en" w:eastAsia="en-US"/>
        </w:rPr>
        <w:t>Lijzen</w:t>
      </w:r>
      <w:proofErr w:type="spellEnd"/>
      <w:r w:rsidR="008E163A">
        <w:rPr>
          <w:lang w:val="en" w:eastAsia="en-US"/>
        </w:rPr>
        <w:t xml:space="preserve"> </w:t>
      </w:r>
      <w:r w:rsidR="009A47BA">
        <w:rPr>
          <w:lang w:val="en" w:eastAsia="en-US"/>
        </w:rPr>
        <w:t>et al.,</w:t>
      </w:r>
      <w:r w:rsidR="008E163A">
        <w:rPr>
          <w:lang w:val="en" w:eastAsia="en-US"/>
        </w:rPr>
        <w:t xml:space="preserve"> (2003); and </w:t>
      </w:r>
      <w:proofErr w:type="spellStart"/>
      <w:r w:rsidR="008E163A">
        <w:rPr>
          <w:lang w:val="en" w:eastAsia="en-US"/>
        </w:rPr>
        <w:t>Otte</w:t>
      </w:r>
      <w:proofErr w:type="spellEnd"/>
      <w:r w:rsidR="008E163A">
        <w:rPr>
          <w:lang w:val="en" w:eastAsia="en-US"/>
        </w:rPr>
        <w:t xml:space="preserve"> </w:t>
      </w:r>
      <w:r w:rsidR="009A47BA">
        <w:rPr>
          <w:lang w:val="en" w:eastAsia="en-US"/>
        </w:rPr>
        <w:t>et al.,</w:t>
      </w:r>
      <w:r w:rsidR="008E163A">
        <w:rPr>
          <w:lang w:val="en" w:eastAsia="en-US"/>
        </w:rPr>
        <w:t xml:space="preserve"> (2007) with some of the key publications listed below: </w:t>
      </w:r>
    </w:p>
    <w:p w14:paraId="1A66017C" w14:textId="77777777" w:rsidR="00A56D92" w:rsidRPr="00A56D92" w:rsidRDefault="00A56D92" w:rsidP="00A56D92">
      <w:pPr>
        <w:pStyle w:val="ListParagraph"/>
        <w:numPr>
          <w:ilvl w:val="0"/>
          <w:numId w:val="40"/>
        </w:numPr>
        <w:rPr>
          <w:lang w:val="en" w:eastAsia="en-US"/>
        </w:rPr>
      </w:pPr>
      <w:proofErr w:type="spellStart"/>
      <w:r w:rsidRPr="00A56D92">
        <w:rPr>
          <w:lang w:val="en" w:eastAsia="en-US"/>
        </w:rPr>
        <w:t>Otte</w:t>
      </w:r>
      <w:proofErr w:type="spellEnd"/>
      <w:r w:rsidRPr="00A56D92">
        <w:rPr>
          <w:lang w:val="en" w:eastAsia="en-US"/>
        </w:rPr>
        <w:t xml:space="preserve">, PF, </w:t>
      </w:r>
      <w:proofErr w:type="spellStart"/>
      <w:r w:rsidRPr="00A56D92">
        <w:rPr>
          <w:lang w:val="en" w:eastAsia="en-US"/>
        </w:rPr>
        <w:t>Lijzen</w:t>
      </w:r>
      <w:proofErr w:type="spellEnd"/>
      <w:r w:rsidRPr="00A56D92">
        <w:rPr>
          <w:lang w:val="en" w:eastAsia="en-US"/>
        </w:rPr>
        <w:t xml:space="preserve">, JPA, </w:t>
      </w:r>
      <w:proofErr w:type="spellStart"/>
      <w:r w:rsidRPr="00A56D92">
        <w:rPr>
          <w:lang w:val="en" w:eastAsia="en-US"/>
        </w:rPr>
        <w:t>Otte</w:t>
      </w:r>
      <w:proofErr w:type="spellEnd"/>
      <w:r w:rsidRPr="00A56D92">
        <w:rPr>
          <w:lang w:val="en" w:eastAsia="en-US"/>
        </w:rPr>
        <w:t xml:space="preserve">, JG, </w:t>
      </w:r>
      <w:proofErr w:type="spellStart"/>
      <w:r w:rsidRPr="00A56D92">
        <w:rPr>
          <w:lang w:val="en" w:eastAsia="en-US"/>
        </w:rPr>
        <w:t>Swartjes</w:t>
      </w:r>
      <w:proofErr w:type="spellEnd"/>
      <w:r w:rsidRPr="00A56D92">
        <w:rPr>
          <w:lang w:val="en" w:eastAsia="en-US"/>
        </w:rPr>
        <w:t xml:space="preserve">, FA, </w:t>
      </w:r>
      <w:proofErr w:type="spellStart"/>
      <w:r w:rsidRPr="00A56D92">
        <w:rPr>
          <w:lang w:val="en" w:eastAsia="en-US"/>
        </w:rPr>
        <w:t>Versluijs</w:t>
      </w:r>
      <w:proofErr w:type="spellEnd"/>
      <w:r w:rsidRPr="00A56D92">
        <w:rPr>
          <w:lang w:val="en" w:eastAsia="en-US"/>
        </w:rPr>
        <w:t xml:space="preserve">, CW (2001) </w:t>
      </w:r>
      <w:r w:rsidRPr="00A56D92">
        <w:rPr>
          <w:i/>
          <w:lang w:val="en" w:eastAsia="en-US"/>
        </w:rPr>
        <w:t>Evaluation and Revision of the CSOIL Parameter Set. Proposed Parameter Set for Human Exposure Modelling and Deriving Intervention Values for the First Series of Compounds.</w:t>
      </w:r>
      <w:r w:rsidRPr="00A56D92">
        <w:rPr>
          <w:lang w:val="en" w:eastAsia="en-US"/>
        </w:rPr>
        <w:t xml:space="preserve"> National Institute for Public Health and the Environment (RIVM). </w:t>
      </w:r>
      <w:proofErr w:type="spellStart"/>
      <w:r w:rsidRPr="00A56D92">
        <w:rPr>
          <w:lang w:val="en" w:eastAsia="en-US"/>
        </w:rPr>
        <w:t>Bilthoven</w:t>
      </w:r>
      <w:proofErr w:type="spellEnd"/>
      <w:r w:rsidRPr="00A56D92">
        <w:rPr>
          <w:lang w:val="en" w:eastAsia="en-US"/>
        </w:rPr>
        <w:t>, the Netherlands. RIVM Report No.711701021, pp.125.</w:t>
      </w:r>
    </w:p>
    <w:p w14:paraId="66AF8AF5" w14:textId="77777777" w:rsidR="00A56D92" w:rsidRPr="00A56D92" w:rsidRDefault="00A56D92" w:rsidP="00A56D92">
      <w:pPr>
        <w:pStyle w:val="ListParagraph"/>
        <w:numPr>
          <w:ilvl w:val="0"/>
          <w:numId w:val="40"/>
        </w:numPr>
        <w:rPr>
          <w:lang w:val="en" w:eastAsia="en-US"/>
        </w:rPr>
      </w:pPr>
      <w:proofErr w:type="spellStart"/>
      <w:r w:rsidRPr="00A56D92">
        <w:rPr>
          <w:lang w:val="en" w:eastAsia="en-US"/>
        </w:rPr>
        <w:t>Lijzen</w:t>
      </w:r>
      <w:proofErr w:type="spellEnd"/>
      <w:r w:rsidRPr="00A56D92">
        <w:rPr>
          <w:lang w:val="en" w:eastAsia="en-US"/>
        </w:rPr>
        <w:t xml:space="preserve">, JPA, </w:t>
      </w:r>
      <w:proofErr w:type="spellStart"/>
      <w:r w:rsidRPr="00A56D92">
        <w:rPr>
          <w:lang w:val="en" w:eastAsia="en-US"/>
        </w:rPr>
        <w:t>Baars</w:t>
      </w:r>
      <w:proofErr w:type="spellEnd"/>
      <w:r w:rsidRPr="00A56D92">
        <w:rPr>
          <w:lang w:val="en" w:eastAsia="en-US"/>
        </w:rPr>
        <w:t xml:space="preserve">, AJ, </w:t>
      </w:r>
      <w:proofErr w:type="spellStart"/>
      <w:r w:rsidRPr="00A56D92">
        <w:rPr>
          <w:lang w:val="en" w:eastAsia="en-US"/>
        </w:rPr>
        <w:t>Otte</w:t>
      </w:r>
      <w:proofErr w:type="spellEnd"/>
      <w:r w:rsidRPr="00A56D92">
        <w:rPr>
          <w:lang w:val="en" w:eastAsia="en-US"/>
        </w:rPr>
        <w:t xml:space="preserve">, PF, </w:t>
      </w:r>
      <w:proofErr w:type="spellStart"/>
      <w:r w:rsidRPr="00A56D92">
        <w:rPr>
          <w:lang w:val="en" w:eastAsia="en-US"/>
        </w:rPr>
        <w:t>Rikken</w:t>
      </w:r>
      <w:proofErr w:type="spellEnd"/>
      <w:r w:rsidRPr="00A56D92">
        <w:rPr>
          <w:lang w:val="en" w:eastAsia="en-US"/>
        </w:rPr>
        <w:t xml:space="preserve">, MGJ, </w:t>
      </w:r>
      <w:proofErr w:type="spellStart"/>
      <w:r w:rsidRPr="00A56D92">
        <w:rPr>
          <w:lang w:val="en" w:eastAsia="en-US"/>
        </w:rPr>
        <w:t>Swartjes</w:t>
      </w:r>
      <w:proofErr w:type="spellEnd"/>
      <w:r w:rsidRPr="00A56D92">
        <w:rPr>
          <w:lang w:val="en" w:eastAsia="en-US"/>
        </w:rPr>
        <w:t xml:space="preserve">, FA, </w:t>
      </w:r>
      <w:proofErr w:type="spellStart"/>
      <w:r w:rsidRPr="00A56D92">
        <w:rPr>
          <w:lang w:val="en" w:eastAsia="en-US"/>
        </w:rPr>
        <w:t>Verbruggen</w:t>
      </w:r>
      <w:proofErr w:type="spellEnd"/>
      <w:r w:rsidRPr="00A56D92">
        <w:rPr>
          <w:lang w:val="en" w:eastAsia="en-US"/>
        </w:rPr>
        <w:t xml:space="preserve">, EMJ, Van </w:t>
      </w:r>
      <w:proofErr w:type="spellStart"/>
      <w:r w:rsidRPr="00A56D92">
        <w:rPr>
          <w:lang w:val="en" w:eastAsia="en-US"/>
        </w:rPr>
        <w:t>Wezel</w:t>
      </w:r>
      <w:proofErr w:type="spellEnd"/>
      <w:r w:rsidRPr="00A56D92">
        <w:rPr>
          <w:lang w:val="en" w:eastAsia="en-US"/>
        </w:rPr>
        <w:t xml:space="preserve">, AP (2001) </w:t>
      </w:r>
      <w:r w:rsidRPr="00A56D92">
        <w:rPr>
          <w:i/>
          <w:lang w:val="en" w:eastAsia="en-US"/>
        </w:rPr>
        <w:t>Technical Evaluation of the Intervention Values for Soil/sediment and Groundwater.</w:t>
      </w:r>
      <w:r w:rsidRPr="00A56D92">
        <w:rPr>
          <w:lang w:val="en" w:eastAsia="en-US"/>
        </w:rPr>
        <w:t xml:space="preserve"> National Institute for Public Health and the Environment (RIVM). </w:t>
      </w:r>
      <w:proofErr w:type="spellStart"/>
      <w:r w:rsidRPr="00A56D92">
        <w:rPr>
          <w:lang w:val="en" w:eastAsia="en-US"/>
        </w:rPr>
        <w:t>Bilthoven</w:t>
      </w:r>
      <w:proofErr w:type="spellEnd"/>
      <w:r w:rsidRPr="00A56D92">
        <w:rPr>
          <w:lang w:val="en" w:eastAsia="en-US"/>
        </w:rPr>
        <w:t>, the Netherlands.  RIVM Report No. 711701023.</w:t>
      </w:r>
    </w:p>
    <w:p w14:paraId="0A688A6C" w14:textId="2202A3AF" w:rsidR="00A56D92" w:rsidRPr="00A56D92" w:rsidRDefault="00A56D92" w:rsidP="00A56D92">
      <w:pPr>
        <w:pStyle w:val="ListParagraph"/>
        <w:numPr>
          <w:ilvl w:val="0"/>
          <w:numId w:val="40"/>
        </w:numPr>
        <w:rPr>
          <w:lang w:val="en" w:eastAsia="en-US"/>
        </w:rPr>
      </w:pPr>
      <w:proofErr w:type="spellStart"/>
      <w:r w:rsidRPr="00A56D92">
        <w:rPr>
          <w:lang w:val="en" w:eastAsia="en-US"/>
        </w:rPr>
        <w:t>Lijzen</w:t>
      </w:r>
      <w:proofErr w:type="spellEnd"/>
      <w:r w:rsidRPr="00A56D92">
        <w:rPr>
          <w:lang w:val="en" w:eastAsia="en-US"/>
        </w:rPr>
        <w:t xml:space="preserve">, JPA, </w:t>
      </w:r>
      <w:proofErr w:type="spellStart"/>
      <w:r w:rsidRPr="00A56D92">
        <w:rPr>
          <w:lang w:val="en" w:eastAsia="en-US"/>
        </w:rPr>
        <w:t>Otte</w:t>
      </w:r>
      <w:proofErr w:type="spellEnd"/>
      <w:r w:rsidRPr="00A56D92">
        <w:rPr>
          <w:lang w:val="en" w:eastAsia="en-US"/>
        </w:rPr>
        <w:t xml:space="preserve">, PF, Bakker, J, </w:t>
      </w:r>
      <w:proofErr w:type="spellStart"/>
      <w:r w:rsidRPr="00A56D92">
        <w:rPr>
          <w:lang w:val="en" w:eastAsia="en-US"/>
        </w:rPr>
        <w:t>Swartje</w:t>
      </w:r>
      <w:r w:rsidR="003644D8">
        <w:rPr>
          <w:lang w:val="en" w:eastAsia="en-US"/>
        </w:rPr>
        <w:t>s</w:t>
      </w:r>
      <w:proofErr w:type="spellEnd"/>
      <w:r w:rsidR="003644D8">
        <w:rPr>
          <w:lang w:val="en" w:eastAsia="en-US"/>
        </w:rPr>
        <w:t xml:space="preserve">, JFA, </w:t>
      </w:r>
      <w:proofErr w:type="spellStart"/>
      <w:r w:rsidR="003644D8">
        <w:rPr>
          <w:lang w:val="en" w:eastAsia="en-US"/>
        </w:rPr>
        <w:t>Baars</w:t>
      </w:r>
      <w:proofErr w:type="spellEnd"/>
      <w:r w:rsidR="003644D8">
        <w:rPr>
          <w:lang w:val="en" w:eastAsia="en-US"/>
        </w:rPr>
        <w:t xml:space="preserve">, AJ, </w:t>
      </w:r>
      <w:proofErr w:type="spellStart"/>
      <w:r w:rsidR="003644D8">
        <w:rPr>
          <w:lang w:val="en" w:eastAsia="en-US"/>
        </w:rPr>
        <w:t>Oomen</w:t>
      </w:r>
      <w:proofErr w:type="spellEnd"/>
      <w:r w:rsidR="003644D8">
        <w:rPr>
          <w:lang w:val="en" w:eastAsia="en-US"/>
        </w:rPr>
        <w:t xml:space="preserve">, AG, and Brand, </w:t>
      </w:r>
      <w:r w:rsidRPr="00A56D92">
        <w:rPr>
          <w:lang w:val="en" w:eastAsia="en-US"/>
        </w:rPr>
        <w:t xml:space="preserve">E (2008) </w:t>
      </w:r>
      <w:r w:rsidRPr="00A56D92">
        <w:rPr>
          <w:i/>
          <w:lang w:val="en" w:eastAsia="en-US"/>
        </w:rPr>
        <w:t>Guidance for Site-Specific Human-Toxicological Risk Assessment of Soil Contamination.</w:t>
      </w:r>
      <w:r w:rsidRPr="00A56D92">
        <w:rPr>
          <w:lang w:val="en" w:eastAsia="en-US"/>
        </w:rPr>
        <w:t xml:space="preserve"> National Institute for Public Health and the Environment (RIVM). </w:t>
      </w:r>
      <w:proofErr w:type="spellStart"/>
      <w:r w:rsidRPr="00A56D92">
        <w:rPr>
          <w:lang w:val="en" w:eastAsia="en-US"/>
        </w:rPr>
        <w:t>Bilthoven</w:t>
      </w:r>
      <w:proofErr w:type="spellEnd"/>
      <w:r w:rsidRPr="00A56D92">
        <w:rPr>
          <w:lang w:val="en" w:eastAsia="en-US"/>
        </w:rPr>
        <w:t>, the Netherlands. RIVM report no. 711701050.</w:t>
      </w:r>
    </w:p>
    <w:p w14:paraId="102DF483" w14:textId="77777777" w:rsidR="00A56D92" w:rsidRPr="00A56D92" w:rsidRDefault="00A56D92" w:rsidP="00A56D92">
      <w:pPr>
        <w:pStyle w:val="ListParagraph"/>
        <w:numPr>
          <w:ilvl w:val="0"/>
          <w:numId w:val="40"/>
        </w:numPr>
        <w:rPr>
          <w:lang w:val="en" w:eastAsia="en-US"/>
        </w:rPr>
      </w:pPr>
      <w:r w:rsidRPr="00A56D92">
        <w:rPr>
          <w:lang w:val="en" w:eastAsia="en-US"/>
        </w:rPr>
        <w:t xml:space="preserve">Van </w:t>
      </w:r>
      <w:proofErr w:type="spellStart"/>
      <w:r w:rsidRPr="00A56D92">
        <w:rPr>
          <w:lang w:val="en" w:eastAsia="en-US"/>
        </w:rPr>
        <w:t>Wijnen</w:t>
      </w:r>
      <w:proofErr w:type="spellEnd"/>
      <w:r w:rsidRPr="00A56D92">
        <w:rPr>
          <w:lang w:val="en" w:eastAsia="en-US"/>
        </w:rPr>
        <w:t xml:space="preserve">, HJ, and </w:t>
      </w:r>
      <w:proofErr w:type="spellStart"/>
      <w:r w:rsidRPr="00A56D92">
        <w:rPr>
          <w:lang w:val="en" w:eastAsia="en-US"/>
        </w:rPr>
        <w:t>Lijzen</w:t>
      </w:r>
      <w:proofErr w:type="spellEnd"/>
      <w:r w:rsidRPr="00A56D92">
        <w:rPr>
          <w:lang w:val="en" w:eastAsia="en-US"/>
        </w:rPr>
        <w:t xml:space="preserve">, JPA (2006) </w:t>
      </w:r>
      <w:r w:rsidRPr="00A56D92">
        <w:rPr>
          <w:i/>
          <w:lang w:val="en" w:eastAsia="en-US"/>
        </w:rPr>
        <w:t>Validation of the VOLASOIL Model using Air Measurements from Dutch Contaminated Sites.</w:t>
      </w:r>
      <w:r w:rsidRPr="00A56D92">
        <w:rPr>
          <w:lang w:val="en" w:eastAsia="en-US"/>
        </w:rPr>
        <w:t xml:space="preserve">: National Institute for Public Health and the Environment (RIVM). </w:t>
      </w:r>
      <w:proofErr w:type="spellStart"/>
      <w:r w:rsidRPr="00A56D92">
        <w:rPr>
          <w:lang w:val="en" w:eastAsia="en-US"/>
        </w:rPr>
        <w:t>Bilthoven</w:t>
      </w:r>
      <w:proofErr w:type="spellEnd"/>
      <w:r w:rsidRPr="00A56D92">
        <w:rPr>
          <w:lang w:val="en" w:eastAsia="en-US"/>
        </w:rPr>
        <w:t>, the Netherlands. RIVM report no. 711701401.</w:t>
      </w:r>
    </w:p>
    <w:p w14:paraId="64992EEC" w14:textId="276AFE43" w:rsidR="00E14595" w:rsidRPr="001D3930" w:rsidRDefault="00E14595" w:rsidP="00840D9D">
      <w:pPr>
        <w:pStyle w:val="Heading2"/>
      </w:pPr>
      <w:bookmarkStart w:id="30" w:name="_Toc461684052"/>
      <w:r w:rsidRPr="001D3930">
        <w:t>United Kingdom</w:t>
      </w:r>
      <w:bookmarkEnd w:id="30"/>
    </w:p>
    <w:p w14:paraId="0029B1E7" w14:textId="32D97997" w:rsidR="000C3E9C" w:rsidRDefault="000C3E9C" w:rsidP="000C3E9C">
      <w:r>
        <w:t>In the United Kingdom, the Environmental Protection Act 1990 Part 2A regulates site contamination.</w:t>
      </w:r>
      <w:r w:rsidR="00B12C37">
        <w:t xml:space="preserve"> </w:t>
      </w:r>
      <w:r>
        <w:t>The Contaminated Land Statutory Guidance (</w:t>
      </w:r>
      <w:r w:rsidR="004C7696">
        <w:t>DEFRA</w:t>
      </w:r>
      <w:r>
        <w:t>, 2012) provides information on implementation, remediation provisions, liability arrangements and local authority recovery costs.</w:t>
      </w:r>
      <w:r w:rsidR="00B12C37">
        <w:t xml:space="preserve"> </w:t>
      </w:r>
      <w:r>
        <w:t>It is legally binding and adopts a risk-based approach to site assessment.</w:t>
      </w:r>
    </w:p>
    <w:p w14:paraId="6BF05884" w14:textId="77777777" w:rsidR="000C3E9C" w:rsidRPr="002177E2" w:rsidRDefault="000C3E9C" w:rsidP="000C3E9C">
      <w:r w:rsidRPr="002177E2">
        <w:lastRenderedPageBreak/>
        <w:t xml:space="preserve">The overarching objectives of the Government’s policy on contaminated land and the Part 2A regime are: </w:t>
      </w:r>
    </w:p>
    <w:p w14:paraId="7E80B643" w14:textId="60FA66B6" w:rsidR="000C3E9C" w:rsidRPr="002177E2" w:rsidRDefault="006B5D48" w:rsidP="006B5D48">
      <w:pPr>
        <w:spacing w:after="0"/>
        <w:rPr>
          <w:i/>
        </w:rPr>
      </w:pPr>
      <w:r w:rsidRPr="002177E2">
        <w:t>“</w:t>
      </w:r>
      <w:r w:rsidR="000C3E9C" w:rsidRPr="002177E2">
        <w:t>(</w:t>
      </w:r>
      <w:r w:rsidR="000C3E9C" w:rsidRPr="002177E2">
        <w:rPr>
          <w:i/>
        </w:rPr>
        <w:t xml:space="preserve">a) To identify and remove unacceptable risks to human health and the environment. </w:t>
      </w:r>
    </w:p>
    <w:p w14:paraId="2ADD215A" w14:textId="77777777" w:rsidR="000C3E9C" w:rsidRPr="002177E2" w:rsidRDefault="000C3E9C" w:rsidP="006B5D48">
      <w:pPr>
        <w:spacing w:after="0"/>
        <w:rPr>
          <w:i/>
        </w:rPr>
      </w:pPr>
      <w:r w:rsidRPr="002177E2">
        <w:rPr>
          <w:i/>
        </w:rPr>
        <w:t xml:space="preserve">(b) To seek to ensure that contaminated land is made suitable for its current use. </w:t>
      </w:r>
    </w:p>
    <w:p w14:paraId="142F3739" w14:textId="68A8C4F2" w:rsidR="00170765" w:rsidRPr="002177E2" w:rsidRDefault="000C3E9C" w:rsidP="006B5D48">
      <w:pPr>
        <w:spacing w:after="0"/>
      </w:pPr>
      <w:r w:rsidRPr="002177E2">
        <w:rPr>
          <w:i/>
        </w:rPr>
        <w:t xml:space="preserve">(c) To ensure that the burdens faced by individuals, companies and society </w:t>
      </w:r>
      <w:proofErr w:type="gramStart"/>
      <w:r w:rsidRPr="002177E2">
        <w:rPr>
          <w:i/>
        </w:rPr>
        <w:t>as a whole are</w:t>
      </w:r>
      <w:proofErr w:type="gramEnd"/>
      <w:r w:rsidRPr="002177E2">
        <w:rPr>
          <w:i/>
        </w:rPr>
        <w:t xml:space="preserve"> proportionate, manageable and compatible with the principles of sustainable development.</w:t>
      </w:r>
      <w:r w:rsidR="006B5D48" w:rsidRPr="002177E2">
        <w:rPr>
          <w:i/>
        </w:rPr>
        <w:t>”</w:t>
      </w:r>
    </w:p>
    <w:p w14:paraId="48A54645" w14:textId="77777777" w:rsidR="006B5D48" w:rsidRPr="002177E2" w:rsidRDefault="006B5D48" w:rsidP="00170765">
      <w:pPr>
        <w:autoSpaceDE w:val="0"/>
        <w:autoSpaceDN w:val="0"/>
        <w:adjustRightInd w:val="0"/>
        <w:spacing w:after="0" w:line="240" w:lineRule="auto"/>
        <w:rPr>
          <w:rFonts w:ascii="TimesNewRoman" w:hAnsi="TimesNewRoman" w:cs="TimesNewRoman"/>
        </w:rPr>
      </w:pPr>
    </w:p>
    <w:p w14:paraId="1A95958F" w14:textId="4A1740F7" w:rsidR="006B5D48" w:rsidRDefault="001E5C8D" w:rsidP="001E5C8D">
      <w:r w:rsidRPr="002177E2">
        <w:t xml:space="preserve">A </w:t>
      </w:r>
      <w:r w:rsidR="004C7696" w:rsidRPr="002177E2">
        <w:t>range</w:t>
      </w:r>
      <w:r w:rsidRPr="002177E2">
        <w:t xml:space="preserve"> of </w:t>
      </w:r>
      <w:r w:rsidR="004C7696" w:rsidRPr="002177E2">
        <w:t xml:space="preserve">published </w:t>
      </w:r>
      <w:r w:rsidRPr="002177E2">
        <w:t>documents are available that support Part</w:t>
      </w:r>
      <w:r w:rsidR="002732E1" w:rsidRPr="002177E2">
        <w:t xml:space="preserve"> </w:t>
      </w:r>
      <w:r w:rsidRPr="002177E2">
        <w:t>2A</w:t>
      </w:r>
      <w:r w:rsidR="00D268BB" w:rsidRPr="002177E2">
        <w:t xml:space="preserve"> </w:t>
      </w:r>
      <w:r w:rsidR="004C7696" w:rsidRPr="002177E2">
        <w:t>including</w:t>
      </w:r>
      <w:r w:rsidR="00D268BB" w:rsidRPr="002177E2">
        <w:t xml:space="preserve"> historical </w:t>
      </w:r>
      <w:r w:rsidR="004C7696" w:rsidRPr="002177E2">
        <w:t>publications.</w:t>
      </w:r>
      <w:r w:rsidR="00B12C37">
        <w:t xml:space="preserve"> </w:t>
      </w:r>
      <w:r w:rsidR="004C7696" w:rsidRPr="002177E2">
        <w:t xml:space="preserve">Early work by Ferguson </w:t>
      </w:r>
      <w:r w:rsidR="009A47BA">
        <w:t>et al.,</w:t>
      </w:r>
      <w:r w:rsidR="004C7696" w:rsidRPr="002177E2">
        <w:t xml:space="preserve"> (1995) and Krylov and Ferguson (1998) on </w:t>
      </w:r>
      <w:proofErr w:type="spellStart"/>
      <w:r w:rsidR="004C7696" w:rsidRPr="002177E2">
        <w:t>vapour</w:t>
      </w:r>
      <w:proofErr w:type="spellEnd"/>
      <w:r w:rsidR="004C7696" w:rsidRPr="002177E2">
        <w:t xml:space="preserve"> modelling enabled development of a Contaminated Land Assessment Model (CLEA) which Ferguson (and others) also helped develop (EA, 2002).  Further work by the Environment</w:t>
      </w:r>
      <w:r w:rsidR="004C7696">
        <w:t xml:space="preserve"> Agency on toxicological assessments (EA, 2009a); updates to the CLEA model (EA, 2009b)</w:t>
      </w:r>
      <w:r w:rsidR="00C85579">
        <w:t xml:space="preserve"> and advice on using soil guidance values (EA, 2009c) have been published.  More recent publications on screening criteria, software and policy have been produced as follows:</w:t>
      </w:r>
    </w:p>
    <w:p w14:paraId="451F7AB5" w14:textId="77777777" w:rsidR="00EB538B" w:rsidRPr="00807085" w:rsidRDefault="00EB538B" w:rsidP="00EB538B">
      <w:pPr>
        <w:pStyle w:val="ListParagraph"/>
        <w:numPr>
          <w:ilvl w:val="0"/>
          <w:numId w:val="41"/>
        </w:numPr>
        <w:spacing w:after="0"/>
      </w:pPr>
      <w:r w:rsidRPr="00807085">
        <w:t xml:space="preserve">DEFRA (2014) SP1010 – </w:t>
      </w:r>
      <w:r w:rsidRPr="00EB538B">
        <w:rPr>
          <w:i/>
        </w:rPr>
        <w:t>Development of Category 4 Screening Levels for Assessment of Land Affected by Contamination.</w:t>
      </w:r>
      <w:r w:rsidRPr="00807085">
        <w:t xml:space="preserve"> Final Project Report (Revision 2). Contaminated Land: Applications in Real Environments, Department for Environment, Food and Rural Affairs, London.</w:t>
      </w:r>
    </w:p>
    <w:p w14:paraId="154C918D" w14:textId="77777777" w:rsidR="00EB538B" w:rsidRDefault="00EB538B" w:rsidP="00EB538B">
      <w:pPr>
        <w:pStyle w:val="ListParagraph"/>
        <w:numPr>
          <w:ilvl w:val="0"/>
          <w:numId w:val="41"/>
        </w:numPr>
      </w:pPr>
      <w:r w:rsidRPr="00CF66E8">
        <w:t xml:space="preserve">EA (2015) </w:t>
      </w:r>
      <w:r w:rsidRPr="00EB538B">
        <w:rPr>
          <w:i/>
        </w:rPr>
        <w:t>CLEA Software (Version 1.05) Handbook.</w:t>
      </w:r>
      <w:r w:rsidRPr="00CF66E8">
        <w:t xml:space="preserve"> Environment Agency, Bristol. Science report: SC050021/SR4.</w:t>
      </w:r>
    </w:p>
    <w:p w14:paraId="0E4C3CD0" w14:textId="35788C0A" w:rsidR="00EB538B" w:rsidRPr="00CF66E8" w:rsidRDefault="00EB538B" w:rsidP="00EB538B">
      <w:pPr>
        <w:pStyle w:val="ListParagraph"/>
        <w:numPr>
          <w:ilvl w:val="0"/>
          <w:numId w:val="41"/>
        </w:numPr>
      </w:pPr>
      <w:r w:rsidRPr="00CF66E8">
        <w:t xml:space="preserve">EA (2016) </w:t>
      </w:r>
      <w:r w:rsidRPr="00EB538B">
        <w:rPr>
          <w:i/>
          <w:lang w:val="en"/>
        </w:rPr>
        <w:t xml:space="preserve">Managing and Reducing Land Contamination: Guiding Principles (GPLC). </w:t>
      </w:r>
      <w:r w:rsidRPr="00EB538B">
        <w:rPr>
          <w:lang w:val="en"/>
        </w:rPr>
        <w:t xml:space="preserve">Environment Agency, UK.  Available at </w:t>
      </w:r>
      <w:hyperlink r:id="rId17" w:history="1">
        <w:r w:rsidRPr="00EB538B">
          <w:rPr>
            <w:rStyle w:val="Hyperlink"/>
            <w:lang w:val="en"/>
          </w:rPr>
          <w:t>https://www.gov.uk/government/publications/managing-and-reducing-land-contamination</w:t>
        </w:r>
      </w:hyperlink>
      <w:r w:rsidRPr="00EB538B">
        <w:rPr>
          <w:lang w:val="en"/>
        </w:rPr>
        <w:t>.  [accessed 23 June 2016].</w:t>
      </w:r>
    </w:p>
    <w:p w14:paraId="76926D18" w14:textId="29211FB1" w:rsidR="00DA4CBF" w:rsidRDefault="00C46EDA" w:rsidP="002732E1">
      <w:r>
        <w:t xml:space="preserve">A subsequent review by Evans </w:t>
      </w:r>
      <w:r w:rsidR="009A47BA">
        <w:t>et al.,</w:t>
      </w:r>
      <w:r>
        <w:t xml:space="preserve"> (2002) led to a shift </w:t>
      </w:r>
      <w:r w:rsidR="00767B08">
        <w:t xml:space="preserve">in policy </w:t>
      </w:r>
      <w:r w:rsidR="000869FA">
        <w:t>fro</w:t>
      </w:r>
      <w:r w:rsidR="00767B08">
        <w:t xml:space="preserve">m the Ferguson </w:t>
      </w:r>
      <w:r w:rsidR="009A47BA">
        <w:t>et al.,</w:t>
      </w:r>
      <w:r w:rsidR="00767B08">
        <w:t xml:space="preserve"> (1995) </w:t>
      </w:r>
      <w:proofErr w:type="spellStart"/>
      <w:r w:rsidR="00767B08">
        <w:t>vapour</w:t>
      </w:r>
      <w:proofErr w:type="spellEnd"/>
      <w:r w:rsidR="00767B08">
        <w:t xml:space="preserve"> intrusion model to the model of </w:t>
      </w:r>
      <w:r>
        <w:t>Johnson and Ettinger (1991)</w:t>
      </w:r>
      <w:r w:rsidR="006A5935">
        <w:t>.</w:t>
      </w:r>
      <w:r w:rsidR="004A58E0">
        <w:t xml:space="preserve"> (It is noted that Professor Ferguson’s </w:t>
      </w:r>
      <w:r w:rsidR="00DA4CBF">
        <w:t>unfortunate</w:t>
      </w:r>
      <w:r w:rsidR="004A58E0">
        <w:t xml:space="preserve"> passing</w:t>
      </w:r>
      <w:r w:rsidR="00DA4CBF">
        <w:t xml:space="preserve"> on 28</w:t>
      </w:r>
      <w:r w:rsidR="00DA4CBF" w:rsidRPr="00DA4CBF">
        <w:rPr>
          <w:vertAlign w:val="superscript"/>
        </w:rPr>
        <w:t>th</w:t>
      </w:r>
      <w:r w:rsidR="00DA4CBF">
        <w:t xml:space="preserve"> August 1999</w:t>
      </w:r>
      <w:r w:rsidR="004A58E0">
        <w:t xml:space="preserve"> occurred </w:t>
      </w:r>
      <w:r w:rsidR="00DA4CBF">
        <w:t>just prior to this policy shift</w:t>
      </w:r>
      <w:r w:rsidR="004A58E0">
        <w:t>)</w:t>
      </w:r>
      <w:r>
        <w:t xml:space="preserve">.  </w:t>
      </w:r>
    </w:p>
    <w:p w14:paraId="6A609C61" w14:textId="63412839" w:rsidR="00D268BB" w:rsidRDefault="00C46EDA" w:rsidP="002732E1">
      <w:r>
        <w:t>There have been a few more updates to the overall assessment processes but essentially</w:t>
      </w:r>
      <w:r w:rsidR="000869FA">
        <w:t xml:space="preserve"> the CLEA model (which incorporates the JEM) is used to develop g</w:t>
      </w:r>
      <w:r w:rsidR="00713D6C">
        <w:t>eneric soil guidance value</w:t>
      </w:r>
      <w:r w:rsidR="000869FA">
        <w:t xml:space="preserve">s (SGVs). </w:t>
      </w:r>
      <w:r w:rsidR="00CD3F40">
        <w:t xml:space="preserve">The associated documentation </w:t>
      </w:r>
      <w:r w:rsidR="004A58E0">
        <w:t xml:space="preserve">with the CLEA model </w:t>
      </w:r>
      <w:r w:rsidR="000869FA">
        <w:t>can also be used for site-specific assessment</w:t>
      </w:r>
      <w:r w:rsidR="00713D6C">
        <w:t xml:space="preserve"> which is recommended as part of the assessment process for indoor inhalation of </w:t>
      </w:r>
      <w:proofErr w:type="spellStart"/>
      <w:r w:rsidR="00713D6C">
        <w:t>vapours</w:t>
      </w:r>
      <w:proofErr w:type="spellEnd"/>
      <w:r w:rsidR="00713D6C">
        <w:t>.</w:t>
      </w:r>
      <w:r w:rsidR="00B12C37">
        <w:t xml:space="preserve"> </w:t>
      </w:r>
      <w:r w:rsidR="004A58E0">
        <w:t xml:space="preserve">There is a focus on the limitations on the JEM within </w:t>
      </w:r>
      <w:r w:rsidR="00DA4CBF">
        <w:t>the documentation and a strong emphasis towards site-specific measurement and attenuation assessment.</w:t>
      </w:r>
    </w:p>
    <w:p w14:paraId="15017CBD" w14:textId="7FB9FE7C" w:rsidR="00DA4CBF" w:rsidRDefault="00DA4CBF" w:rsidP="002732E1">
      <w:r>
        <w:t xml:space="preserve">The UK has also </w:t>
      </w:r>
      <w:r w:rsidR="00FC21B6">
        <w:t xml:space="preserve">developed a range of guidance documentation associated with landfill and hazardous gas assessments which require slightly differing approaches to gas and </w:t>
      </w:r>
      <w:proofErr w:type="spellStart"/>
      <w:r w:rsidR="00FC21B6">
        <w:t>vapour</w:t>
      </w:r>
      <w:proofErr w:type="spellEnd"/>
      <w:r w:rsidR="00FC21B6">
        <w:t xml:space="preserve"> risk assessment due to the acute risks of fire, </w:t>
      </w:r>
      <w:proofErr w:type="gramStart"/>
      <w:r w:rsidR="00FC21B6">
        <w:t>explosion</w:t>
      </w:r>
      <w:proofErr w:type="gramEnd"/>
      <w:r w:rsidR="00FC21B6">
        <w:t xml:space="preserve"> and asphyxiation. Landfills also may generate a range of volatile organic compounds which require </w:t>
      </w:r>
      <w:r w:rsidR="00214254">
        <w:t xml:space="preserve">concurrent or </w:t>
      </w:r>
      <w:r w:rsidR="00FC21B6">
        <w:t>secondary assessment once acute risks are dealt with.</w:t>
      </w:r>
    </w:p>
    <w:p w14:paraId="06BA4E33" w14:textId="0F57FC74" w:rsidR="00FC21B6" w:rsidRDefault="00FC21B6" w:rsidP="002732E1">
      <w:r>
        <w:t xml:space="preserve">The UK documentation includes that from the Environment Agency but also from other not-for-profit or research </w:t>
      </w:r>
      <w:proofErr w:type="spellStart"/>
      <w:r>
        <w:t>organisations</w:t>
      </w:r>
      <w:proofErr w:type="spellEnd"/>
      <w:r>
        <w:t xml:space="preserve"> such as </w:t>
      </w:r>
      <w:r w:rsidR="00B468CC" w:rsidRPr="00B468CC">
        <w:rPr>
          <w:lang w:val="en-GB"/>
        </w:rPr>
        <w:t>Contaminated Land: Applications in Real Environments (</w:t>
      </w:r>
      <w:proofErr w:type="gramStart"/>
      <w:r w:rsidR="00B468CC" w:rsidRPr="00B468CC">
        <w:rPr>
          <w:lang w:val="en-GB"/>
        </w:rPr>
        <w:t>CL:AIRE</w:t>
      </w:r>
      <w:proofErr w:type="gramEnd"/>
      <w:r w:rsidR="00B468CC" w:rsidRPr="00B468CC">
        <w:rPr>
          <w:lang w:val="en-GB"/>
        </w:rPr>
        <w:t>)</w:t>
      </w:r>
      <w:r w:rsidR="00B468CC">
        <w:rPr>
          <w:lang w:val="en-GB"/>
        </w:rPr>
        <w:t>; BRE Group;</w:t>
      </w:r>
      <w:r w:rsidR="00605E7D">
        <w:rPr>
          <w:lang w:val="en-GB"/>
        </w:rPr>
        <w:t xml:space="preserve"> British Standards Institute (BSI); Chartered Institute for Environmental </w:t>
      </w:r>
      <w:r w:rsidR="00605E7D">
        <w:rPr>
          <w:lang w:val="en-GB"/>
        </w:rPr>
        <w:lastRenderedPageBreak/>
        <w:t xml:space="preserve">Health; and </w:t>
      </w:r>
      <w:r w:rsidR="00605E7D">
        <w:t>t</w:t>
      </w:r>
      <w:r w:rsidR="005374CE">
        <w:t>he Construction Industry Research and Information A</w:t>
      </w:r>
      <w:r w:rsidR="00605E7D" w:rsidRPr="00605E7D">
        <w:t>ssociation</w:t>
      </w:r>
      <w:r w:rsidR="00605E7D">
        <w:t xml:space="preserve"> (CIRIA).</w:t>
      </w:r>
      <w:r w:rsidR="00F43C8E">
        <w:t xml:space="preserve">  A usef</w:t>
      </w:r>
      <w:r w:rsidR="00E87BB7">
        <w:t xml:space="preserve">ul </w:t>
      </w:r>
      <w:r w:rsidR="00F43C8E">
        <w:t xml:space="preserve">UK </w:t>
      </w:r>
      <w:r w:rsidR="00E87BB7">
        <w:t>summary of reports for assess</w:t>
      </w:r>
      <w:r w:rsidR="00F43C8E">
        <w:t xml:space="preserve">ment of risks associated with gases and </w:t>
      </w:r>
      <w:proofErr w:type="spellStart"/>
      <w:r w:rsidR="00F43C8E">
        <w:t>vapours</w:t>
      </w:r>
      <w:proofErr w:type="spellEnd"/>
      <w:r w:rsidR="00F43C8E">
        <w:t xml:space="preserve"> </w:t>
      </w:r>
      <w:r w:rsidR="00214254">
        <w:t>can b</w:t>
      </w:r>
      <w:r w:rsidR="00BB2062">
        <w:t>e found on the CL:AIRE website at</w:t>
      </w:r>
      <w:r w:rsidR="00214254">
        <w:t xml:space="preserve"> </w:t>
      </w:r>
      <w:hyperlink r:id="rId18" w:history="1">
        <w:r w:rsidR="00214254" w:rsidRPr="00AE3516">
          <w:rPr>
            <w:rStyle w:val="Hyperlink"/>
          </w:rPr>
          <w:t>http://www.claire.co.uk/index.php?option=com_content&amp;view=article&amp;id=924:assessing-risks-associated-with-gases-and-vapours-info-ra2-4&amp;catid=981:environment-agency-document-archive&amp;highlight=WyJ2YXBvdXIiLCJpbnRydXNpb24iLCJ2YXBvdXIgaW50cnVzaW9uIl0=&amp;Itemid=310</w:t>
        </w:r>
      </w:hyperlink>
      <w:r w:rsidR="00214254">
        <w:t xml:space="preserve"> </w:t>
      </w:r>
    </w:p>
    <w:p w14:paraId="4094539B" w14:textId="3F580349" w:rsidR="00E87BB7" w:rsidRDefault="00E87BB7" w:rsidP="002732E1">
      <w:r>
        <w:t>Landfill gas documentation from the UK</w:t>
      </w:r>
      <w:r w:rsidR="00C85579">
        <w:t xml:space="preserve"> is extensive and includes guidance on general management and assessment (EA, 2004a, b); hazardous gases risk assessment (Wilson </w:t>
      </w:r>
      <w:r w:rsidR="009A47BA">
        <w:t>et al.,</w:t>
      </w:r>
      <w:r w:rsidR="007F3045">
        <w:t xml:space="preserve"> </w:t>
      </w:r>
      <w:r w:rsidR="00C85579">
        <w:t>2007), VOCs (Baker, 2009); monitoring practices (EA, 2010</w:t>
      </w:r>
      <w:r w:rsidR="00311547">
        <w:t>; 2014), exposure assessment (EA, 2012a, b) and ground gas risk assessment (</w:t>
      </w:r>
      <w:proofErr w:type="gramStart"/>
      <w:r w:rsidR="00311547">
        <w:t>CL:AIRE</w:t>
      </w:r>
      <w:proofErr w:type="gramEnd"/>
      <w:r w:rsidR="00311547">
        <w:t>, 2012). The most recent have focused on mitigation measures and include:</w:t>
      </w:r>
    </w:p>
    <w:p w14:paraId="7F6967C6" w14:textId="77777777" w:rsidR="00467C85" w:rsidRDefault="00467C85" w:rsidP="00467C85">
      <w:pPr>
        <w:pStyle w:val="ListParagraph"/>
        <w:numPr>
          <w:ilvl w:val="0"/>
          <w:numId w:val="42"/>
        </w:numPr>
      </w:pPr>
      <w:r w:rsidRPr="00255ED8">
        <w:t xml:space="preserve">Mallett, H, Cox, L, Wilson, S, and Corban, M (2014) </w:t>
      </w:r>
      <w:r w:rsidRPr="00467C85">
        <w:rPr>
          <w:i/>
        </w:rPr>
        <w:t>Good Practice on the Testing and Verification of Protection Systems for Buildings against Hazardous Ground Gases.</w:t>
      </w:r>
      <w:r w:rsidRPr="00255ED8">
        <w:t xml:space="preserve"> Construction Industry Research and Information Association (CIRIA), London, UK. CIRIA C735.</w:t>
      </w:r>
    </w:p>
    <w:p w14:paraId="711A129F" w14:textId="27389D49" w:rsidR="00467C85" w:rsidRPr="00255ED8" w:rsidRDefault="00467C85" w:rsidP="00467C85">
      <w:pPr>
        <w:pStyle w:val="ListParagraph"/>
        <w:numPr>
          <w:ilvl w:val="0"/>
          <w:numId w:val="42"/>
        </w:numPr>
      </w:pPr>
      <w:r w:rsidRPr="00467C85">
        <w:t xml:space="preserve">Wilson, S, Abbot, A and Mallett, H (2014) Guidance on the Use of Plastic Membranes as VOC </w:t>
      </w:r>
      <w:proofErr w:type="spellStart"/>
      <w:r w:rsidRPr="00467C85">
        <w:t>Vapour</w:t>
      </w:r>
      <w:proofErr w:type="spellEnd"/>
      <w:r w:rsidRPr="00467C85">
        <w:t xml:space="preserve"> Barriers. Construction Industry Research and Information Association (CIRIA), London, UK. CIRIA C748.</w:t>
      </w:r>
    </w:p>
    <w:p w14:paraId="723C4A24" w14:textId="3FE9CC7B" w:rsidR="00E14595" w:rsidRPr="005F6030" w:rsidRDefault="00E14595" w:rsidP="00380D14">
      <w:pPr>
        <w:pStyle w:val="Heading2"/>
        <w:spacing w:before="0"/>
      </w:pPr>
      <w:bookmarkStart w:id="31" w:name="_Toc461684053"/>
      <w:r w:rsidRPr="005F6030">
        <w:t>United States</w:t>
      </w:r>
      <w:bookmarkEnd w:id="31"/>
    </w:p>
    <w:p w14:paraId="7CE28383" w14:textId="77777777" w:rsidR="00654BA7" w:rsidRPr="005F6030" w:rsidRDefault="00654BA7" w:rsidP="00654BA7">
      <w:pPr>
        <w:pStyle w:val="Heading3"/>
      </w:pPr>
      <w:bookmarkStart w:id="32" w:name="_Toc461684054"/>
      <w:r w:rsidRPr="005F6030">
        <w:t>Federal agencies</w:t>
      </w:r>
      <w:bookmarkEnd w:id="32"/>
    </w:p>
    <w:p w14:paraId="3B0543C0" w14:textId="77777777" w:rsidR="000D043A" w:rsidRDefault="000D043A" w:rsidP="000D043A">
      <w:pPr>
        <w:pStyle w:val="Heading3"/>
      </w:pPr>
      <w:bookmarkStart w:id="33" w:name="_Toc461684055"/>
      <w:r>
        <w:t>United States Environment Protection Agency (USEPA)</w:t>
      </w:r>
      <w:bookmarkEnd w:id="33"/>
    </w:p>
    <w:p w14:paraId="20D5FB27" w14:textId="6EA1D15E" w:rsidR="00043D9F" w:rsidRPr="00BE62A0" w:rsidRDefault="007B76C8" w:rsidP="00541284">
      <w:pPr>
        <w:autoSpaceDE w:val="0"/>
        <w:autoSpaceDN w:val="0"/>
        <w:adjustRightInd w:val="0"/>
        <w:spacing w:after="0" w:line="240" w:lineRule="auto"/>
        <w:rPr>
          <w:rFonts w:cs="Arial"/>
          <w:color w:val="000000"/>
        </w:rPr>
      </w:pPr>
      <w:r w:rsidRPr="00BE62A0">
        <w:t xml:space="preserve">The United States Environment Protection Agency (USEPA) has a long history of involvement with </w:t>
      </w:r>
      <w:proofErr w:type="spellStart"/>
      <w:r w:rsidRPr="00BE62A0">
        <w:t>vapour</w:t>
      </w:r>
      <w:proofErr w:type="spellEnd"/>
      <w:r w:rsidRPr="00BE62A0">
        <w:t xml:space="preserve"> intrusion and human health risk assessment</w:t>
      </w:r>
      <w:r w:rsidR="00162B3B" w:rsidRPr="00BE62A0">
        <w:t xml:space="preserve"> and has developed extensive documentation, </w:t>
      </w:r>
      <w:proofErr w:type="gramStart"/>
      <w:r w:rsidR="00162B3B" w:rsidRPr="00BE62A0">
        <w:t>databases</w:t>
      </w:r>
      <w:proofErr w:type="gramEnd"/>
      <w:r w:rsidR="00162B3B" w:rsidRPr="00BE62A0">
        <w:t xml:space="preserve"> and tools. These may be readily accessed at</w:t>
      </w:r>
      <w:r w:rsidR="002848DD" w:rsidRPr="00BE62A0">
        <w:t xml:space="preserve"> </w:t>
      </w:r>
      <w:hyperlink r:id="rId19" w:history="1">
        <w:r w:rsidR="002848DD" w:rsidRPr="00BE62A0">
          <w:rPr>
            <w:rStyle w:val="Hyperlink"/>
            <w:rFonts w:cs="Arial"/>
          </w:rPr>
          <w:t>www.epa.gov/oswer/vaporintrusion/index.html</w:t>
        </w:r>
      </w:hyperlink>
      <w:r w:rsidR="00043D9F" w:rsidRPr="00BE62A0">
        <w:rPr>
          <w:rFonts w:cs="Arial"/>
          <w:color w:val="000000"/>
        </w:rPr>
        <w:t>. In addition</w:t>
      </w:r>
      <w:r w:rsidR="00541284" w:rsidRPr="00BE62A0">
        <w:rPr>
          <w:rFonts w:cs="Arial"/>
          <w:color w:val="000000"/>
        </w:rPr>
        <w:t xml:space="preserve">, </w:t>
      </w:r>
      <w:r w:rsidR="00043D9F" w:rsidRPr="00BE62A0">
        <w:rPr>
          <w:rFonts w:cs="Arial"/>
          <w:color w:val="000000"/>
        </w:rPr>
        <w:t xml:space="preserve">the US EPA CLU-IN (Clean-Up Information) website </w:t>
      </w:r>
      <w:r w:rsidR="00541284" w:rsidRPr="00BE62A0">
        <w:rPr>
          <w:rFonts w:cs="Arial"/>
          <w:color w:val="000000"/>
        </w:rPr>
        <w:t xml:space="preserve">at </w:t>
      </w:r>
      <w:hyperlink r:id="rId20" w:history="1">
        <w:r w:rsidR="00043D9F" w:rsidRPr="00BE62A0">
          <w:rPr>
            <w:rStyle w:val="Hyperlink"/>
            <w:rFonts w:cs="Arial"/>
          </w:rPr>
          <w:t>www.clu-in.org/issues/default.focus/sec/Vapor_Intrusion/cat/Site_Investigation_Tools</w:t>
        </w:r>
      </w:hyperlink>
      <w:r w:rsidR="00541284" w:rsidRPr="00BE62A0">
        <w:rPr>
          <w:rFonts w:cs="Arial"/>
          <w:color w:val="000000"/>
        </w:rPr>
        <w:t xml:space="preserve"> is also a </w:t>
      </w:r>
      <w:r w:rsidR="00043D9F" w:rsidRPr="00BE62A0">
        <w:rPr>
          <w:rFonts w:cs="Arial"/>
          <w:color w:val="000000"/>
        </w:rPr>
        <w:t xml:space="preserve">useful </w:t>
      </w:r>
      <w:r w:rsidR="00541284" w:rsidRPr="00BE62A0">
        <w:rPr>
          <w:rFonts w:cs="Arial"/>
          <w:color w:val="000000"/>
        </w:rPr>
        <w:t xml:space="preserve">and extensive </w:t>
      </w:r>
      <w:r w:rsidR="00043D9F" w:rsidRPr="00BE62A0">
        <w:rPr>
          <w:rFonts w:cs="Arial"/>
          <w:color w:val="000000"/>
        </w:rPr>
        <w:t xml:space="preserve">source of </w:t>
      </w:r>
      <w:r w:rsidR="00541284" w:rsidRPr="00BE62A0">
        <w:rPr>
          <w:rFonts w:cs="Arial"/>
          <w:color w:val="000000"/>
        </w:rPr>
        <w:t xml:space="preserve">information across </w:t>
      </w:r>
      <w:r w:rsidR="00043D9F" w:rsidRPr="00BE62A0">
        <w:rPr>
          <w:rFonts w:cs="Arial"/>
          <w:color w:val="000000"/>
        </w:rPr>
        <w:t xml:space="preserve">various </w:t>
      </w:r>
      <w:proofErr w:type="spellStart"/>
      <w:r w:rsidR="00541284" w:rsidRPr="00BE62A0">
        <w:rPr>
          <w:rFonts w:cs="Arial"/>
          <w:color w:val="000000"/>
        </w:rPr>
        <w:t>vapour</w:t>
      </w:r>
      <w:proofErr w:type="spellEnd"/>
      <w:r w:rsidR="00541284" w:rsidRPr="00BE62A0">
        <w:rPr>
          <w:rFonts w:cs="Arial"/>
          <w:color w:val="000000"/>
        </w:rPr>
        <w:t xml:space="preserve"> intrusion-related areas</w:t>
      </w:r>
      <w:r w:rsidR="00043D9F" w:rsidRPr="00BE62A0">
        <w:rPr>
          <w:rFonts w:cs="Arial"/>
          <w:color w:val="000000"/>
        </w:rPr>
        <w:t xml:space="preserve"> </w:t>
      </w:r>
      <w:r w:rsidR="00541284" w:rsidRPr="00BE62A0">
        <w:rPr>
          <w:rFonts w:cs="Arial"/>
          <w:color w:val="000000"/>
        </w:rPr>
        <w:t xml:space="preserve">including sampling and analysis; predictive modelling; building design; pneumatic conductivity testing; meteorological monitoring; </w:t>
      </w:r>
      <w:r w:rsidR="00043D9F" w:rsidRPr="00BE62A0">
        <w:rPr>
          <w:rFonts w:cs="Arial"/>
          <w:color w:val="000000"/>
        </w:rPr>
        <w:t xml:space="preserve">forensic approaches and </w:t>
      </w:r>
      <w:r w:rsidR="00541284" w:rsidRPr="00BE62A0">
        <w:rPr>
          <w:rFonts w:cs="Arial"/>
          <w:color w:val="000000"/>
        </w:rPr>
        <w:t xml:space="preserve">with examples of </w:t>
      </w:r>
      <w:r w:rsidR="00043D9F" w:rsidRPr="00BE62A0">
        <w:rPr>
          <w:rFonts w:cs="Arial"/>
          <w:color w:val="000000"/>
        </w:rPr>
        <w:t xml:space="preserve">site investigation case studies. </w:t>
      </w:r>
    </w:p>
    <w:p w14:paraId="412FC1BB" w14:textId="77777777" w:rsidR="00541284" w:rsidRPr="00BE62A0" w:rsidRDefault="00541284" w:rsidP="00541284">
      <w:pPr>
        <w:autoSpaceDE w:val="0"/>
        <w:autoSpaceDN w:val="0"/>
        <w:adjustRightInd w:val="0"/>
        <w:spacing w:after="0" w:line="240" w:lineRule="auto"/>
        <w:rPr>
          <w:rFonts w:cs="Arial"/>
          <w:color w:val="000000"/>
        </w:rPr>
      </w:pPr>
    </w:p>
    <w:p w14:paraId="5BA69BF6" w14:textId="50E9EC6C" w:rsidR="00162B3B" w:rsidRPr="00BE62A0" w:rsidRDefault="00E54C79" w:rsidP="00541284">
      <w:pPr>
        <w:spacing w:after="0"/>
        <w:rPr>
          <w:rFonts w:cs="Arial"/>
          <w:color w:val="000000"/>
        </w:rPr>
      </w:pPr>
      <w:r w:rsidRPr="00BE62A0">
        <w:rPr>
          <w:rFonts w:cs="Arial"/>
          <w:color w:val="000000"/>
        </w:rPr>
        <w:t>Key documentation includes that of the original OSWER publication (US EPA, 2002); information on mitigation approaches (US EPA, 2008), data on background indoor air VOC concentrations (US EPA, 2011c)</w:t>
      </w:r>
      <w:r w:rsidR="0040159F" w:rsidRPr="00BE62A0">
        <w:rPr>
          <w:rFonts w:cs="Arial"/>
          <w:color w:val="000000"/>
        </w:rPr>
        <w:t xml:space="preserve">; differences between petroleum hydrocarbons and chlorinated hydrocarbons (US EPA, 2011d); information on attenuation factors based on the US EPA database (US EPA, 2012a); conceptual site model scenarios (US EPA, 2012c); and the evaluation of empirical data in soil </w:t>
      </w:r>
      <w:proofErr w:type="spellStart"/>
      <w:r w:rsidR="0040159F" w:rsidRPr="00BE62A0">
        <w:rPr>
          <w:rFonts w:cs="Arial"/>
          <w:color w:val="000000"/>
        </w:rPr>
        <w:t>vapour</w:t>
      </w:r>
      <w:proofErr w:type="spellEnd"/>
      <w:r w:rsidR="0040159F" w:rsidRPr="00BE62A0">
        <w:rPr>
          <w:rFonts w:cs="Arial"/>
          <w:color w:val="000000"/>
        </w:rPr>
        <w:t xml:space="preserve"> intrusion screening for petroleum hydrocarbons (US EPA, 2013). The most recent publications related to screening level calculations, informed decision </w:t>
      </w:r>
      <w:proofErr w:type="gramStart"/>
      <w:r w:rsidR="0040159F" w:rsidRPr="00BE62A0">
        <w:rPr>
          <w:rFonts w:cs="Arial"/>
          <w:color w:val="000000"/>
        </w:rPr>
        <w:t>making</w:t>
      </w:r>
      <w:proofErr w:type="gramEnd"/>
      <w:r w:rsidR="0040159F" w:rsidRPr="00BE62A0">
        <w:rPr>
          <w:rFonts w:cs="Arial"/>
          <w:color w:val="000000"/>
        </w:rPr>
        <w:t xml:space="preserve"> and technical guides include the following:</w:t>
      </w:r>
    </w:p>
    <w:p w14:paraId="5723D046" w14:textId="77777777" w:rsidR="00541284" w:rsidRPr="00BE62A0" w:rsidRDefault="00541284" w:rsidP="00541284">
      <w:pPr>
        <w:spacing w:after="0"/>
        <w:rPr>
          <w:rFonts w:cs="Arial"/>
        </w:rPr>
      </w:pPr>
    </w:p>
    <w:p w14:paraId="5B4D7A58" w14:textId="77777777" w:rsidR="00E34858" w:rsidRPr="00E34858" w:rsidRDefault="00E34858" w:rsidP="00E34858">
      <w:pPr>
        <w:pStyle w:val="ListParagraph"/>
        <w:numPr>
          <w:ilvl w:val="0"/>
          <w:numId w:val="43"/>
        </w:numPr>
        <w:rPr>
          <w:rFonts w:cs="Arial"/>
        </w:rPr>
      </w:pPr>
      <w:r w:rsidRPr="00E34858">
        <w:rPr>
          <w:rFonts w:cs="Arial"/>
        </w:rPr>
        <w:lastRenderedPageBreak/>
        <w:t xml:space="preserve">US EPA (2014a) </w:t>
      </w:r>
      <w:r w:rsidRPr="00E34858">
        <w:rPr>
          <w:rFonts w:cs="Arial"/>
          <w:i/>
        </w:rPr>
        <w:t>Vapor Intrusion Screening Level Calculator. User’s Guide.</w:t>
      </w:r>
      <w:r w:rsidRPr="00E34858">
        <w:rPr>
          <w:rFonts w:cs="Arial"/>
          <w:color w:val="000000"/>
        </w:rPr>
        <w:t xml:space="preserve"> Office of Superfund Remediation and Technology Innovation, Office of Solid Waste and Emergency Response, US Environmental Protection Agency, Washington, DC 20460.</w:t>
      </w:r>
    </w:p>
    <w:p w14:paraId="465B6D57" w14:textId="77777777" w:rsidR="00E34858" w:rsidRPr="00E34858" w:rsidRDefault="00E34858" w:rsidP="00E34858">
      <w:pPr>
        <w:pStyle w:val="ListParagraph"/>
        <w:numPr>
          <w:ilvl w:val="0"/>
          <w:numId w:val="43"/>
        </w:numPr>
        <w:rPr>
          <w:rFonts w:cs="Arial"/>
          <w:color w:val="000000"/>
        </w:rPr>
      </w:pPr>
      <w:r w:rsidRPr="00E34858">
        <w:rPr>
          <w:rFonts w:cs="Arial"/>
        </w:rPr>
        <w:t xml:space="preserve">US EPA (2014b) </w:t>
      </w:r>
      <w:r w:rsidRPr="00E34858">
        <w:rPr>
          <w:rFonts w:cs="Arial"/>
          <w:i/>
        </w:rPr>
        <w:t>Framework for Human Health Risk Assessment to Inform Decision Making.</w:t>
      </w:r>
      <w:r w:rsidRPr="00E34858">
        <w:rPr>
          <w:rFonts w:cs="Arial"/>
          <w:color w:val="000000"/>
        </w:rPr>
        <w:t xml:space="preserve"> Office of the Science Advisor, Risk Assessment Forum, US Environmental Protection Agency, Washington, DC 20460.</w:t>
      </w:r>
    </w:p>
    <w:p w14:paraId="3C7E879C" w14:textId="77777777" w:rsidR="00E34858" w:rsidRPr="00E34858" w:rsidRDefault="00E34858" w:rsidP="00E34858">
      <w:pPr>
        <w:pStyle w:val="ListParagraph"/>
        <w:numPr>
          <w:ilvl w:val="0"/>
          <w:numId w:val="43"/>
        </w:numPr>
        <w:rPr>
          <w:rFonts w:cs="Arial"/>
        </w:rPr>
      </w:pPr>
      <w:r w:rsidRPr="00E34858">
        <w:rPr>
          <w:rFonts w:cs="Arial"/>
        </w:rPr>
        <w:t xml:space="preserve">US EPA (2015a) </w:t>
      </w:r>
      <w:r w:rsidRPr="00E34858">
        <w:rPr>
          <w:rFonts w:cs="Arial"/>
          <w:i/>
        </w:rPr>
        <w:t>OSWER Technical Guide for Assessing and Mitigating the Vapor Intrusion Pathway from Subsurface Vapor Sources to Indoor Air.</w:t>
      </w:r>
      <w:r w:rsidRPr="00E34858">
        <w:rPr>
          <w:rFonts w:cs="Arial"/>
          <w:color w:val="000000"/>
        </w:rPr>
        <w:t xml:space="preserve"> Office of Superfund Remediation and Technology Innovation, Office of Solid Waste and Emergency Response, US Environmental Protection Agency, Washington, DC 20460. OSWER Publication 9200.2-154.</w:t>
      </w:r>
    </w:p>
    <w:p w14:paraId="790E0E16" w14:textId="77777777" w:rsidR="00E34858" w:rsidRPr="00E34858" w:rsidRDefault="00E34858" w:rsidP="00E34858">
      <w:pPr>
        <w:pStyle w:val="ListParagraph"/>
        <w:numPr>
          <w:ilvl w:val="0"/>
          <w:numId w:val="43"/>
        </w:numPr>
        <w:autoSpaceDE w:val="0"/>
        <w:autoSpaceDN w:val="0"/>
        <w:adjustRightInd w:val="0"/>
        <w:spacing w:after="157" w:line="240" w:lineRule="auto"/>
        <w:rPr>
          <w:rFonts w:cs="Arial"/>
          <w:color w:val="000000"/>
          <w:sz w:val="23"/>
          <w:szCs w:val="23"/>
        </w:rPr>
      </w:pPr>
      <w:r w:rsidRPr="00E34858">
        <w:rPr>
          <w:rFonts w:cs="Arial"/>
        </w:rPr>
        <w:t xml:space="preserve">US EPA (2015c) </w:t>
      </w:r>
      <w:r w:rsidRPr="00E34858">
        <w:rPr>
          <w:rFonts w:cs="Arial"/>
          <w:i/>
        </w:rPr>
        <w:t xml:space="preserve">Technical Guide for Addressing Petroleum Vapor Intrusion at Leaking Underground Storage Tank Sites. </w:t>
      </w:r>
      <w:r w:rsidRPr="00E34858">
        <w:rPr>
          <w:rFonts w:cs="Arial"/>
          <w:color w:val="000000"/>
        </w:rPr>
        <w:t xml:space="preserve">Office of Underground Storage </w:t>
      </w:r>
      <w:proofErr w:type="gramStart"/>
      <w:r w:rsidRPr="00E34858">
        <w:rPr>
          <w:rFonts w:cs="Arial"/>
          <w:color w:val="000000"/>
        </w:rPr>
        <w:t>Tanks,  US</w:t>
      </w:r>
      <w:proofErr w:type="gramEnd"/>
      <w:r w:rsidRPr="00E34858">
        <w:rPr>
          <w:rFonts w:cs="Arial"/>
          <w:color w:val="000000"/>
        </w:rPr>
        <w:t xml:space="preserve"> Environmental Protection Agency, Washington, DC 20460. EPA 510-R-15-001.</w:t>
      </w:r>
    </w:p>
    <w:p w14:paraId="50B103AA" w14:textId="359A2834" w:rsidR="002848DD" w:rsidRPr="00985056" w:rsidRDefault="00DB40FD" w:rsidP="00162B3B">
      <w:pPr>
        <w:autoSpaceDE w:val="0"/>
        <w:autoSpaceDN w:val="0"/>
        <w:adjustRightInd w:val="0"/>
        <w:spacing w:after="0" w:line="240" w:lineRule="auto"/>
        <w:rPr>
          <w:rFonts w:cs="Arial"/>
          <w:color w:val="000000"/>
        </w:rPr>
      </w:pPr>
      <w:r w:rsidRPr="00985056">
        <w:rPr>
          <w:rFonts w:cs="Arial"/>
          <w:color w:val="000000"/>
        </w:rPr>
        <w:t>The progressive documentation released by the US EPA</w:t>
      </w:r>
      <w:r w:rsidR="00622B9A" w:rsidRPr="00985056">
        <w:rPr>
          <w:rFonts w:cs="Arial"/>
          <w:color w:val="000000"/>
        </w:rPr>
        <w:t xml:space="preserve"> has shifted from predictive </w:t>
      </w:r>
      <w:proofErr w:type="spellStart"/>
      <w:r w:rsidR="00622B9A" w:rsidRPr="00985056">
        <w:rPr>
          <w:rFonts w:cs="Arial"/>
          <w:color w:val="000000"/>
        </w:rPr>
        <w:t>vapour</w:t>
      </w:r>
      <w:proofErr w:type="spellEnd"/>
      <w:r w:rsidR="00622B9A" w:rsidRPr="00985056">
        <w:rPr>
          <w:rFonts w:cs="Arial"/>
          <w:color w:val="000000"/>
        </w:rPr>
        <w:t xml:space="preserve"> intrusion modelling to a greater emphasis on empirical data and understanding the dynamic relationships between transport compartments for any one site.  Over this period there has been a great focus on attempting to determine the relationships between </w:t>
      </w:r>
      <w:proofErr w:type="spellStart"/>
      <w:r w:rsidR="00622B9A" w:rsidRPr="00985056">
        <w:rPr>
          <w:rFonts w:cs="Arial"/>
          <w:color w:val="000000"/>
        </w:rPr>
        <w:t>vapour</w:t>
      </w:r>
      <w:proofErr w:type="spellEnd"/>
      <w:r w:rsidR="00622B9A" w:rsidRPr="00985056">
        <w:rPr>
          <w:rFonts w:cs="Arial"/>
          <w:color w:val="000000"/>
        </w:rPr>
        <w:t xml:space="preserve"> concentrations within various transport compartments across data for many sites in the United States.</w:t>
      </w:r>
      <w:r w:rsidR="00107C1D">
        <w:rPr>
          <w:rFonts w:cs="Arial"/>
          <w:color w:val="000000"/>
        </w:rPr>
        <w:t xml:space="preserve"> </w:t>
      </w:r>
      <w:r w:rsidR="00622B9A" w:rsidRPr="00985056">
        <w:rPr>
          <w:rFonts w:cs="Arial"/>
          <w:color w:val="000000"/>
        </w:rPr>
        <w:t xml:space="preserve">This evaluation has resulted in generic attenuation factors being established (refer Section </w:t>
      </w:r>
      <w:r w:rsidR="00622B9A" w:rsidRPr="00985056">
        <w:rPr>
          <w:rFonts w:cs="Arial"/>
          <w:color w:val="000000"/>
        </w:rPr>
        <w:fldChar w:fldCharType="begin"/>
      </w:r>
      <w:r w:rsidR="00622B9A" w:rsidRPr="00985056">
        <w:rPr>
          <w:rFonts w:cs="Arial"/>
          <w:color w:val="000000"/>
        </w:rPr>
        <w:instrText xml:space="preserve"> REF _Ref454605366 \r \h </w:instrText>
      </w:r>
      <w:r w:rsidR="00985056">
        <w:rPr>
          <w:rFonts w:cs="Arial"/>
          <w:color w:val="000000"/>
        </w:rPr>
        <w:instrText xml:space="preserve"> \* MERGEFORMAT </w:instrText>
      </w:r>
      <w:r w:rsidR="00622B9A" w:rsidRPr="00985056">
        <w:rPr>
          <w:rFonts w:cs="Arial"/>
          <w:color w:val="000000"/>
        </w:rPr>
      </w:r>
      <w:r w:rsidR="00622B9A" w:rsidRPr="00985056">
        <w:rPr>
          <w:rFonts w:cs="Arial"/>
          <w:color w:val="000000"/>
        </w:rPr>
        <w:fldChar w:fldCharType="separate"/>
      </w:r>
      <w:r w:rsidR="006A5935">
        <w:rPr>
          <w:rFonts w:cs="Arial"/>
          <w:color w:val="000000"/>
        </w:rPr>
        <w:t>8.5.6.1</w:t>
      </w:r>
      <w:r w:rsidR="00622B9A" w:rsidRPr="00985056">
        <w:rPr>
          <w:rFonts w:cs="Arial"/>
          <w:color w:val="000000"/>
        </w:rPr>
        <w:fldChar w:fldCharType="end"/>
      </w:r>
      <w:r w:rsidR="00622B9A" w:rsidRPr="00985056">
        <w:rPr>
          <w:rFonts w:cs="Arial"/>
          <w:color w:val="000000"/>
        </w:rPr>
        <w:t xml:space="preserve">). A key factor to also recognize is that volatile petroleum hydrocarbons are considered quite differently from volatile chlorinated hydrocarbons as a results of their differing </w:t>
      </w:r>
      <w:proofErr w:type="spellStart"/>
      <w:r w:rsidR="00622B9A" w:rsidRPr="00985056">
        <w:rPr>
          <w:rFonts w:cs="Arial"/>
          <w:color w:val="000000"/>
        </w:rPr>
        <w:t>physico</w:t>
      </w:r>
      <w:proofErr w:type="spellEnd"/>
      <w:r w:rsidR="00622B9A" w:rsidRPr="00985056">
        <w:rPr>
          <w:rFonts w:cs="Arial"/>
          <w:color w:val="000000"/>
        </w:rPr>
        <w:t>-chemical differences.</w:t>
      </w:r>
      <w:r w:rsidR="00CC1F18" w:rsidRPr="00985056">
        <w:rPr>
          <w:rFonts w:cs="Arial"/>
          <w:color w:val="000000"/>
        </w:rPr>
        <w:t xml:space="preserve">  US EPA consider</w:t>
      </w:r>
      <w:r w:rsidR="00985056">
        <w:rPr>
          <w:rFonts w:cs="Arial"/>
          <w:color w:val="000000"/>
        </w:rPr>
        <w:t>s</w:t>
      </w:r>
      <w:r w:rsidR="00CC1F18" w:rsidRPr="00985056">
        <w:rPr>
          <w:rFonts w:cs="Arial"/>
          <w:color w:val="000000"/>
        </w:rPr>
        <w:t xml:space="preserve"> these differences to be sufficient to warrant separate publications on volatile chlorinated hydrocarbons. </w:t>
      </w:r>
    </w:p>
    <w:p w14:paraId="7DA7C034" w14:textId="77777777" w:rsidR="00162B3B" w:rsidRPr="00985056" w:rsidRDefault="00162B3B" w:rsidP="00162B3B">
      <w:pPr>
        <w:autoSpaceDE w:val="0"/>
        <w:autoSpaceDN w:val="0"/>
        <w:adjustRightInd w:val="0"/>
        <w:spacing w:after="0" w:line="240" w:lineRule="auto"/>
        <w:rPr>
          <w:rFonts w:cs="Arial"/>
          <w:color w:val="000000"/>
          <w:highlight w:val="yellow"/>
        </w:rPr>
      </w:pPr>
    </w:p>
    <w:p w14:paraId="0770BA2A" w14:textId="3E080553" w:rsidR="00FF14C9" w:rsidRDefault="004D4C65" w:rsidP="00FF14C9">
      <w:pPr>
        <w:rPr>
          <w:lang w:val="en"/>
        </w:rPr>
      </w:pPr>
      <w:r w:rsidRPr="004D4C65">
        <w:t>The US EPA</w:t>
      </w:r>
      <w:r>
        <w:t xml:space="preserve"> considers landfill gases and </w:t>
      </w:r>
      <w:proofErr w:type="spellStart"/>
      <w:r>
        <w:t>vapours</w:t>
      </w:r>
      <w:proofErr w:type="spellEnd"/>
      <w:r>
        <w:t xml:space="preserve"> as a different scenario and has developed documentation for evaluating closed or abandoned facilities. Regulatory information can be found at </w:t>
      </w:r>
      <w:hyperlink r:id="rId21" w:history="1">
        <w:r w:rsidRPr="00CF1890">
          <w:rPr>
            <w:rStyle w:val="Hyperlink"/>
          </w:rPr>
          <w:t>https://www.epa.gov/landfills</w:t>
        </w:r>
      </w:hyperlink>
      <w:r>
        <w:t xml:space="preserve"> where landfills are differentiated between municipal solid waste </w:t>
      </w:r>
      <w:proofErr w:type="gramStart"/>
      <w:r>
        <w:t>landfills;</w:t>
      </w:r>
      <w:proofErr w:type="gramEnd"/>
      <w:r>
        <w:t xml:space="preserve"> industrial waste landfills and hazardous waste landfills.  National regulation is under the </w:t>
      </w:r>
      <w:r>
        <w:rPr>
          <w:lang w:val="en"/>
        </w:rPr>
        <w:t>Resource Conservation and Recovery Act (RCRA) Laws and Regulations.</w:t>
      </w:r>
      <w:r w:rsidR="008965D6">
        <w:rPr>
          <w:lang w:val="en"/>
        </w:rPr>
        <w:t xml:space="preserve"> Documentation associated with </w:t>
      </w:r>
      <w:r w:rsidR="00F21223">
        <w:rPr>
          <w:lang w:val="en"/>
        </w:rPr>
        <w:t xml:space="preserve">landfill gas assessment include that related to evaluation of emissions and general guidance for closed and abandoned </w:t>
      </w:r>
      <w:r w:rsidR="003644D8">
        <w:rPr>
          <w:lang w:val="en"/>
        </w:rPr>
        <w:t>facilities (</w:t>
      </w:r>
      <w:r w:rsidR="00F21223">
        <w:rPr>
          <w:lang w:val="en"/>
        </w:rPr>
        <w:t xml:space="preserve">US EPA, 2005a, b). </w:t>
      </w:r>
    </w:p>
    <w:p w14:paraId="2CBD530D" w14:textId="1F584CBF" w:rsidR="005F6030" w:rsidRPr="007F265E" w:rsidRDefault="00862E12" w:rsidP="005F6030">
      <w:pPr>
        <w:pStyle w:val="Heading4"/>
      </w:pPr>
      <w:r>
        <w:rPr>
          <w:rFonts w:cs="Arial"/>
          <w:color w:val="000000"/>
          <w:sz w:val="23"/>
          <w:szCs w:val="23"/>
        </w:rPr>
        <w:t xml:space="preserve"> </w:t>
      </w:r>
      <w:r w:rsidR="002848DD" w:rsidRPr="007F265E">
        <w:rPr>
          <w:rFonts w:cs="Arial"/>
          <w:color w:val="000000"/>
          <w:sz w:val="23"/>
          <w:szCs w:val="23"/>
        </w:rPr>
        <w:t>The Interstate Technology and Regulatory Council (</w:t>
      </w:r>
      <w:r w:rsidR="005F6030" w:rsidRPr="007F265E">
        <w:t>ITRC</w:t>
      </w:r>
      <w:r w:rsidR="00CE026E" w:rsidRPr="007F265E">
        <w:t>)</w:t>
      </w:r>
    </w:p>
    <w:p w14:paraId="668FAF37" w14:textId="1564173C" w:rsidR="009A74D2" w:rsidRPr="00862E12" w:rsidRDefault="00CE026E" w:rsidP="009A74D2">
      <w:pPr>
        <w:rPr>
          <w:rFonts w:cs="Arial"/>
          <w:color w:val="000000"/>
        </w:rPr>
      </w:pPr>
      <w:r w:rsidRPr="007F265E">
        <w:t>The</w:t>
      </w:r>
      <w:r w:rsidR="00FF14C9">
        <w:t xml:space="preserve"> Interstate</w:t>
      </w:r>
      <w:r w:rsidR="00FF14C9" w:rsidRPr="00FF14C9">
        <w:t xml:space="preserve"> Technology and Regulatory Council (ITRC)</w:t>
      </w:r>
      <w:r w:rsidR="00FF14C9">
        <w:t xml:space="preserve"> was established in 1995 and is a state-led national coalition of personnel from the environmental regulatory agencies of some 46 states and the District of Columbia, three federal agencies, </w:t>
      </w:r>
      <w:r w:rsidR="00862E12">
        <w:t xml:space="preserve">Indian </w:t>
      </w:r>
      <w:proofErr w:type="gramStart"/>
      <w:r w:rsidR="00FF14C9">
        <w:t>tribes</w:t>
      </w:r>
      <w:proofErr w:type="gramEnd"/>
      <w:r w:rsidR="00FF14C9">
        <w:t xml:space="preserve"> and public and industry stakeholders.  It operates as a committee</w:t>
      </w:r>
      <w:r w:rsidR="00C06974">
        <w:t xml:space="preserve"> of the Environmental Research Institute of the States (ERIS), a public charity that supports the Environmental Council of the States (ECOS) through educational and research activities.  (</w:t>
      </w:r>
      <w:proofErr w:type="gramStart"/>
      <w:r w:rsidR="00C06974">
        <w:t>see</w:t>
      </w:r>
      <w:proofErr w:type="gramEnd"/>
      <w:r w:rsidR="00C06974">
        <w:t xml:space="preserve"> </w:t>
      </w:r>
      <w:hyperlink r:id="rId22" w:history="1">
        <w:r w:rsidR="00C06974" w:rsidRPr="00CF1890">
          <w:rPr>
            <w:rStyle w:val="Hyperlink"/>
          </w:rPr>
          <w:t>http://www.itrcweb.org/About/About</w:t>
        </w:r>
      </w:hyperlink>
      <w:r w:rsidR="00862E12">
        <w:t>).</w:t>
      </w:r>
      <w:r w:rsidR="00107C1D">
        <w:t xml:space="preserve"> </w:t>
      </w:r>
      <w:r w:rsidR="00862E12">
        <w:t>The</w:t>
      </w:r>
      <w:r w:rsidR="00C06974">
        <w:t xml:space="preserve"> range of </w:t>
      </w:r>
      <w:r w:rsidR="00C06974" w:rsidRPr="00862E12">
        <w:t xml:space="preserve">available reports can be found at </w:t>
      </w:r>
      <w:hyperlink r:id="rId23" w:history="1">
        <w:r w:rsidR="00C06974" w:rsidRPr="00862E12">
          <w:rPr>
            <w:rStyle w:val="Hyperlink"/>
            <w:rFonts w:cs="Arial"/>
          </w:rPr>
          <w:t>http://www.itrcweb.org/Guidance</w:t>
        </w:r>
      </w:hyperlink>
      <w:r w:rsidR="00862E12">
        <w:rPr>
          <w:rFonts w:cs="Arial"/>
          <w:color w:val="000000"/>
        </w:rPr>
        <w:t>.</w:t>
      </w:r>
      <w:r w:rsidR="00107C1D">
        <w:rPr>
          <w:rFonts w:cs="Arial"/>
          <w:color w:val="000000"/>
        </w:rPr>
        <w:t xml:space="preserve"> </w:t>
      </w:r>
      <w:r w:rsidR="00862E12">
        <w:rPr>
          <w:rFonts w:cs="Arial"/>
          <w:color w:val="000000"/>
        </w:rPr>
        <w:t>The</w:t>
      </w:r>
      <w:r w:rsidR="00C06974" w:rsidRPr="00862E12">
        <w:rPr>
          <w:rFonts w:cs="Arial"/>
          <w:color w:val="000000"/>
        </w:rPr>
        <w:t xml:space="preserve"> reports are designed to assist regulators and other bodies across a range of fields include </w:t>
      </w:r>
      <w:proofErr w:type="spellStart"/>
      <w:r w:rsidR="00C06974" w:rsidRPr="00862E12">
        <w:rPr>
          <w:rFonts w:cs="Arial"/>
          <w:color w:val="000000"/>
        </w:rPr>
        <w:t>vapour</w:t>
      </w:r>
      <w:proofErr w:type="spellEnd"/>
      <w:r w:rsidR="00C06974" w:rsidRPr="00862E12">
        <w:rPr>
          <w:rFonts w:cs="Arial"/>
          <w:color w:val="000000"/>
        </w:rPr>
        <w:t xml:space="preserve"> </w:t>
      </w:r>
      <w:proofErr w:type="gramStart"/>
      <w:r w:rsidR="00C06974" w:rsidRPr="00862E12">
        <w:rPr>
          <w:rFonts w:cs="Arial"/>
          <w:color w:val="000000"/>
        </w:rPr>
        <w:t>intrusion</w:t>
      </w:r>
      <w:r w:rsidR="00862E12">
        <w:rPr>
          <w:rFonts w:cs="Arial"/>
          <w:color w:val="000000"/>
        </w:rPr>
        <w:t>,</w:t>
      </w:r>
      <w:r w:rsidR="009A74D2" w:rsidRPr="00862E12">
        <w:rPr>
          <w:rFonts w:cs="Arial"/>
          <w:color w:val="000000"/>
        </w:rPr>
        <w:t xml:space="preserve"> but</w:t>
      </w:r>
      <w:proofErr w:type="gramEnd"/>
      <w:r w:rsidR="009A74D2" w:rsidRPr="00862E12">
        <w:rPr>
          <w:rFonts w:cs="Arial"/>
          <w:color w:val="000000"/>
        </w:rPr>
        <w:t xml:space="preserve"> are not government policy</w:t>
      </w:r>
      <w:r w:rsidR="00862E12">
        <w:rPr>
          <w:rFonts w:cs="Arial"/>
          <w:color w:val="000000"/>
        </w:rPr>
        <w:t>.</w:t>
      </w:r>
      <w:r w:rsidR="00107C1D">
        <w:rPr>
          <w:rFonts w:cs="Arial"/>
          <w:color w:val="000000"/>
        </w:rPr>
        <w:t xml:space="preserve"> </w:t>
      </w:r>
      <w:r w:rsidR="00862E12">
        <w:rPr>
          <w:rFonts w:cs="Arial"/>
          <w:color w:val="000000"/>
        </w:rPr>
        <w:t xml:space="preserve">Specific documents include practical guides and investigative approaches (ITRC, 2007a, b) with a more recent publication covering the fundamentals of screening, </w:t>
      </w:r>
      <w:proofErr w:type="gramStart"/>
      <w:r w:rsidR="00862E12">
        <w:rPr>
          <w:rFonts w:cs="Arial"/>
          <w:color w:val="000000"/>
        </w:rPr>
        <w:t>investigation</w:t>
      </w:r>
      <w:proofErr w:type="gramEnd"/>
      <w:r w:rsidR="00862E12">
        <w:rPr>
          <w:rFonts w:cs="Arial"/>
          <w:color w:val="000000"/>
        </w:rPr>
        <w:t xml:space="preserve"> and management (ITRC, 2014). </w:t>
      </w:r>
      <w:r w:rsidR="0035415C" w:rsidRPr="00862E12">
        <w:rPr>
          <w:rFonts w:cs="Arial"/>
          <w:color w:val="000000"/>
        </w:rPr>
        <w:t xml:space="preserve">Note that the </w:t>
      </w:r>
      <w:r w:rsidR="00425015">
        <w:rPr>
          <w:rFonts w:cs="Arial"/>
          <w:color w:val="000000"/>
        </w:rPr>
        <w:t xml:space="preserve">ITRC </w:t>
      </w:r>
      <w:r w:rsidR="0035415C" w:rsidRPr="00862E12">
        <w:rPr>
          <w:rFonts w:cs="Arial"/>
          <w:color w:val="000000"/>
        </w:rPr>
        <w:t xml:space="preserve">emphasis in recent years has been towards volatile </w:t>
      </w:r>
      <w:r w:rsidR="00862E12">
        <w:rPr>
          <w:rFonts w:cs="Arial"/>
          <w:color w:val="000000"/>
        </w:rPr>
        <w:t xml:space="preserve">petroleum </w:t>
      </w:r>
      <w:r w:rsidR="0035415C" w:rsidRPr="00862E12">
        <w:rPr>
          <w:rFonts w:cs="Arial"/>
          <w:color w:val="000000"/>
        </w:rPr>
        <w:t>hydrocarbon assessment rather than all volatile hydrocarbons.</w:t>
      </w:r>
    </w:p>
    <w:p w14:paraId="6AFA726E" w14:textId="35C68318" w:rsidR="00EA0DA6" w:rsidRDefault="00EA0DA6" w:rsidP="000466B3">
      <w:pPr>
        <w:pStyle w:val="Heading4"/>
      </w:pPr>
      <w:r>
        <w:lastRenderedPageBreak/>
        <w:t xml:space="preserve">United States Department of </w:t>
      </w:r>
      <w:proofErr w:type="spellStart"/>
      <w:r>
        <w:t>Defence</w:t>
      </w:r>
      <w:proofErr w:type="spellEnd"/>
      <w:r>
        <w:t xml:space="preserve"> (US DoD)</w:t>
      </w:r>
    </w:p>
    <w:p w14:paraId="13F32E80" w14:textId="498950A7" w:rsidR="00EA0DA6" w:rsidRDefault="00EA0DA6" w:rsidP="00EA0DA6">
      <w:r>
        <w:t xml:space="preserve">The United States Department of </w:t>
      </w:r>
      <w:proofErr w:type="spellStart"/>
      <w:r>
        <w:t>Defence</w:t>
      </w:r>
      <w:proofErr w:type="spellEnd"/>
      <w:r>
        <w:t xml:space="preserve"> (US DoD) commissioned and published its own handbook on </w:t>
      </w:r>
      <w:proofErr w:type="spellStart"/>
      <w:r>
        <w:t>vapour</w:t>
      </w:r>
      <w:proofErr w:type="spellEnd"/>
      <w:r>
        <w:t xml:space="preserve"> intrusion guidance (US DoD, 2009). The objective was to provide its own resource for remedial project managers to be used at active installations, installations closed or realigned under the Base Realignment and Closure Act (BRAC), or at Formerly Used </w:t>
      </w:r>
      <w:proofErr w:type="spellStart"/>
      <w:r>
        <w:t>Defence</w:t>
      </w:r>
      <w:proofErr w:type="spellEnd"/>
      <w:r>
        <w:t xml:space="preserve"> Sites (FUDS).</w:t>
      </w:r>
      <w:r w:rsidR="00107C1D">
        <w:t xml:space="preserve"> </w:t>
      </w:r>
      <w:r>
        <w:t>The handbook reference is:</w:t>
      </w:r>
    </w:p>
    <w:p w14:paraId="1A8AD5F9" w14:textId="155443A8" w:rsidR="00EA0DA6" w:rsidRDefault="00EA0DA6" w:rsidP="00EA0DA6">
      <w:r>
        <w:t xml:space="preserve">US DoD (2009) </w:t>
      </w:r>
      <w:r w:rsidRPr="00EA0DA6">
        <w:rPr>
          <w:i/>
        </w:rPr>
        <w:t>DoD Vapor Intrusion Handbook.</w:t>
      </w:r>
      <w:r>
        <w:t xml:space="preserve"> Office of the Under Secretary of Defense, Department of Defense, Washington DC 20301-3000.</w:t>
      </w:r>
    </w:p>
    <w:p w14:paraId="14E6E0D1" w14:textId="3A625F9A" w:rsidR="00CE026E" w:rsidRDefault="000466B3" w:rsidP="000466B3">
      <w:pPr>
        <w:pStyle w:val="Heading4"/>
      </w:pPr>
      <w:r>
        <w:t>ASTM International</w:t>
      </w:r>
    </w:p>
    <w:p w14:paraId="0D4BE1E7" w14:textId="405454C0" w:rsidR="00CE026E" w:rsidRDefault="001549F1" w:rsidP="001549F1">
      <w:r>
        <w:t>The American Society for Testing and Materials (ASTM) formed in 1898, and which changed its name to ASTM International is a global organization in the development and delivery of voluntary consensus standards.</w:t>
      </w:r>
      <w:r w:rsidR="00107C1D">
        <w:t xml:space="preserve"> </w:t>
      </w:r>
      <w:r>
        <w:t xml:space="preserve">There are more than 12,000 current ASTM standards that are used across a range of fields (see </w:t>
      </w:r>
      <w:hyperlink r:id="rId24" w:history="1">
        <w:r w:rsidRPr="00342D80">
          <w:rPr>
            <w:rStyle w:val="Hyperlink"/>
          </w:rPr>
          <w:t>https://www.astm.org/ABOUT/full_overview.html</w:t>
        </w:r>
      </w:hyperlink>
      <w:r>
        <w:t>).</w:t>
      </w:r>
    </w:p>
    <w:p w14:paraId="7988EB3C" w14:textId="1054CF40" w:rsidR="001549F1" w:rsidRDefault="001549F1" w:rsidP="001549F1">
      <w:proofErr w:type="gramStart"/>
      <w:r>
        <w:t>A number of</w:t>
      </w:r>
      <w:proofErr w:type="gramEnd"/>
      <w:r>
        <w:t xml:space="preserve"> standards have been developed for </w:t>
      </w:r>
      <w:proofErr w:type="spellStart"/>
      <w:r>
        <w:t>vapour</w:t>
      </w:r>
      <w:proofErr w:type="spellEnd"/>
      <w:r>
        <w:t xml:space="preserve"> intrusion with the most recognized being:</w:t>
      </w:r>
    </w:p>
    <w:p w14:paraId="04E72214" w14:textId="77777777" w:rsidR="00B46E93" w:rsidRPr="00C4442F" w:rsidRDefault="00B46E93" w:rsidP="00B46E93">
      <w:pPr>
        <w:pStyle w:val="ListParagraph"/>
        <w:numPr>
          <w:ilvl w:val="0"/>
          <w:numId w:val="44"/>
        </w:numPr>
      </w:pPr>
      <w:r>
        <w:t>ASTM E</w:t>
      </w:r>
      <w:r w:rsidRPr="00C4442F">
        <w:t xml:space="preserve">1739-95 (1995) </w:t>
      </w:r>
      <w:r w:rsidRPr="00B46E93">
        <w:rPr>
          <w:i/>
        </w:rPr>
        <w:t>Standard guide for Risk-based Corrective Action Applied at Petroleum Release Sites.</w:t>
      </w:r>
      <w:r w:rsidRPr="00C4442F">
        <w:t xml:space="preserve">  ASTM International, West Conshohocken, PA. USA.</w:t>
      </w:r>
    </w:p>
    <w:p w14:paraId="2948C67E" w14:textId="5D5F9567" w:rsidR="004751AD" w:rsidRDefault="004751AD" w:rsidP="001549F1">
      <w:r>
        <w:t>This 1995 standard has recently been updated:</w:t>
      </w:r>
    </w:p>
    <w:p w14:paraId="144DE457" w14:textId="77777777" w:rsidR="00B46E93" w:rsidRPr="00C4442F" w:rsidRDefault="00B46E93" w:rsidP="00B46E93">
      <w:pPr>
        <w:pStyle w:val="ListParagraph"/>
        <w:numPr>
          <w:ilvl w:val="0"/>
          <w:numId w:val="44"/>
        </w:numPr>
      </w:pPr>
      <w:r w:rsidRPr="00C4442F">
        <w:t xml:space="preserve">ASTM E1739-95 </w:t>
      </w:r>
      <w:r>
        <w:t>(2015b)</w:t>
      </w:r>
      <w:r w:rsidRPr="00C4442F">
        <w:t xml:space="preserve"> </w:t>
      </w:r>
      <w:r w:rsidRPr="00B46E93">
        <w:rPr>
          <w:i/>
        </w:rPr>
        <w:t>Standard Guide for Risk-Based Corrective Action Applied at Petroleum Release Sites.</w:t>
      </w:r>
      <w:r w:rsidRPr="00C4442F">
        <w:t xml:space="preserve"> ASTM International, West Conshohocken, PA. Available at  </w:t>
      </w:r>
      <w:hyperlink r:id="rId25" w:history="1">
        <w:r w:rsidRPr="00B46E93">
          <w:rPr>
            <w:color w:val="0088CC"/>
          </w:rPr>
          <w:t>www.astm.org</w:t>
        </w:r>
      </w:hyperlink>
      <w:r w:rsidRPr="00B46E93">
        <w:rPr>
          <w:color w:val="0088CC"/>
        </w:rPr>
        <w:t xml:space="preserve">. </w:t>
      </w:r>
      <w:r w:rsidRPr="00C4442F">
        <w:t>[accessed 25 June 2016].</w:t>
      </w:r>
    </w:p>
    <w:p w14:paraId="5E241619" w14:textId="296B5FE7" w:rsidR="001549F1" w:rsidRDefault="001549F1" w:rsidP="008A1884">
      <w:r>
        <w:t xml:space="preserve">This standard covers a diversity of information across toxicity, risk assessment, </w:t>
      </w:r>
      <w:proofErr w:type="spellStart"/>
      <w:r>
        <w:t>vapour</w:t>
      </w:r>
      <w:proofErr w:type="spellEnd"/>
      <w:r>
        <w:t xml:space="preserve"> intrusion modelling (JEM) and controls</w:t>
      </w:r>
      <w:r w:rsidR="00425015">
        <w:t>,</w:t>
      </w:r>
      <w:r>
        <w:t xml:space="preserve"> specific to volatile petroleum hydrocarbons.</w:t>
      </w:r>
    </w:p>
    <w:p w14:paraId="6CFFAAE7" w14:textId="0A5ABE9E" w:rsidR="001549F1" w:rsidRDefault="00425015" w:rsidP="008A1884">
      <w:r>
        <w:t xml:space="preserve">A range of other </w:t>
      </w:r>
      <w:r w:rsidR="004751AD">
        <w:t xml:space="preserve">relevant </w:t>
      </w:r>
      <w:r w:rsidR="001549F1">
        <w:t>publications include</w:t>
      </w:r>
      <w:r>
        <w:t xml:space="preserve"> those providing detail on active soil gas sampling (ASTM D7663-12, 2012); passive gas sampling (ASTM D7758-11, 2011); </w:t>
      </w:r>
      <w:proofErr w:type="spellStart"/>
      <w:r>
        <w:t>vapour</w:t>
      </w:r>
      <w:proofErr w:type="spellEnd"/>
      <w:r>
        <w:t xml:space="preserve"> encroachment screening on property transactions (ASTM E2600-15, 2015)</w:t>
      </w:r>
      <w:r w:rsidR="00726CD3">
        <w:t>; methane evaluation (ASTM E2993-16, 2016); and the use of direct push or manual-hand driven sampling equipment (ASTM D7648-12, 2012).</w:t>
      </w:r>
    </w:p>
    <w:p w14:paraId="564F5F3B" w14:textId="27FB0CD3" w:rsidR="00726CD3" w:rsidRDefault="00726CD3" w:rsidP="008A1884">
      <w:r>
        <w:t xml:space="preserve">A key </w:t>
      </w:r>
      <w:r w:rsidR="0096510B">
        <w:t xml:space="preserve">ASTM </w:t>
      </w:r>
      <w:r>
        <w:t xml:space="preserve">publication </w:t>
      </w:r>
      <w:r w:rsidR="0096510B">
        <w:t>that is</w:t>
      </w:r>
      <w:r>
        <w:t xml:space="preserve"> pertinent to </w:t>
      </w:r>
      <w:r w:rsidR="0096510B">
        <w:t>risk assessment and has been a fundamental approach to site assessments is</w:t>
      </w:r>
      <w:r>
        <w:t>:</w:t>
      </w:r>
    </w:p>
    <w:p w14:paraId="0F0B60C4" w14:textId="77777777" w:rsidR="00B46E93" w:rsidRPr="00C4442F" w:rsidRDefault="00B46E93" w:rsidP="00B46E93">
      <w:pPr>
        <w:pStyle w:val="ListParagraph"/>
        <w:numPr>
          <w:ilvl w:val="0"/>
          <w:numId w:val="44"/>
        </w:numPr>
      </w:pPr>
      <w:r w:rsidRPr="00C4442F">
        <w:t>ASTM E2081-00 (2015</w:t>
      </w:r>
      <w:r>
        <w:t>c)</w:t>
      </w:r>
      <w:r w:rsidRPr="00C4442F">
        <w:t xml:space="preserve"> </w:t>
      </w:r>
      <w:r w:rsidRPr="00B46E93">
        <w:rPr>
          <w:i/>
        </w:rPr>
        <w:t>Standard Guide for Risk-Based Corrective Action</w:t>
      </w:r>
      <w:r w:rsidRPr="00C4442F">
        <w:t xml:space="preserve">. ASTM International, West Conshohocken, PA. Available at  </w:t>
      </w:r>
      <w:hyperlink r:id="rId26" w:history="1">
        <w:r w:rsidRPr="00B46E93">
          <w:rPr>
            <w:color w:val="0088CC"/>
          </w:rPr>
          <w:t>www.astm.org</w:t>
        </w:r>
      </w:hyperlink>
      <w:r w:rsidRPr="00B46E93">
        <w:rPr>
          <w:color w:val="0088CC"/>
        </w:rPr>
        <w:t xml:space="preserve">. </w:t>
      </w:r>
      <w:r w:rsidRPr="00C4442F">
        <w:t>[accessed 25 June 2016].</w:t>
      </w:r>
    </w:p>
    <w:p w14:paraId="155D8B40" w14:textId="0B3D9235" w:rsidR="00654BA7" w:rsidRPr="006A0BDD" w:rsidRDefault="00B46E93" w:rsidP="006A0BDD">
      <w:pPr>
        <w:pStyle w:val="Heading4"/>
      </w:pPr>
      <w:r>
        <w:t xml:space="preserve"> </w:t>
      </w:r>
      <w:r w:rsidR="00EC0A1B">
        <w:t xml:space="preserve">US </w:t>
      </w:r>
      <w:r w:rsidR="00E14595" w:rsidRPr="005878B9">
        <w:t>Department of Health and Human Services</w:t>
      </w:r>
      <w:r w:rsidR="00A7347C">
        <w:t xml:space="preserve"> (DHHS)</w:t>
      </w:r>
      <w:r w:rsidR="00FD31BD">
        <w:t xml:space="preserve"> and US health </w:t>
      </w:r>
      <w:r w:rsidR="00FD31BD" w:rsidRPr="006A0BDD">
        <w:t>agencies</w:t>
      </w:r>
    </w:p>
    <w:p w14:paraId="0E224E3A" w14:textId="23282384" w:rsidR="00FD31BD" w:rsidRDefault="00FD31BD" w:rsidP="00FD31BD">
      <w:r>
        <w:t>The US Department of Health and Human Services issued a Memorandum in 2008</w:t>
      </w:r>
      <w:r w:rsidR="008C5DF8">
        <w:t xml:space="preserve"> (DHHS, 2008a)</w:t>
      </w:r>
      <w:r>
        <w:t xml:space="preserve"> advising on </w:t>
      </w:r>
      <w:r w:rsidR="00A7347C">
        <w:t xml:space="preserve">a short document prepared by DHHS on </w:t>
      </w:r>
      <w:r>
        <w:t xml:space="preserve">the evaluation of </w:t>
      </w:r>
      <w:proofErr w:type="spellStart"/>
      <w:r>
        <w:t>vapour</w:t>
      </w:r>
      <w:proofErr w:type="spellEnd"/>
      <w:r>
        <w:t xml:space="preserve"> intrusion pathways at hazardous waste sites</w:t>
      </w:r>
      <w:r w:rsidR="00A7347C">
        <w:t xml:space="preserve"> (DHHS, 2008</w:t>
      </w:r>
      <w:r w:rsidR="008C5DF8">
        <w:t>b</w:t>
      </w:r>
      <w:r w:rsidR="00A7347C">
        <w:t>).</w:t>
      </w:r>
      <w:r w:rsidR="00107C1D">
        <w:t xml:space="preserve"> </w:t>
      </w:r>
      <w:r w:rsidR="00A7347C">
        <w:t xml:space="preserve">This document was focused on the use of the existing large volume of information produced by other US agencies with the emphasis </w:t>
      </w:r>
      <w:r w:rsidR="00A7347C">
        <w:lastRenderedPageBreak/>
        <w:t>being t</w:t>
      </w:r>
      <w:r w:rsidR="00301AE9">
        <w:t>hat those guidance documents “</w:t>
      </w:r>
      <w:proofErr w:type="gramStart"/>
      <w:r w:rsidR="00301AE9">
        <w:t>….</w:t>
      </w:r>
      <w:r w:rsidR="00A7347C" w:rsidRPr="00A7347C">
        <w:rPr>
          <w:i/>
        </w:rPr>
        <w:t>are</w:t>
      </w:r>
      <w:proofErr w:type="gramEnd"/>
      <w:r w:rsidR="00A7347C" w:rsidRPr="00A7347C">
        <w:rPr>
          <w:i/>
        </w:rPr>
        <w:t xml:space="preserve"> used as references and springboards for discussion of public health practices when evaluating vapor intrusion</w:t>
      </w:r>
      <w:r w:rsidR="00A7347C">
        <w:t>” DHHS, 2008, pp1-2).  DHHS comment</w:t>
      </w:r>
      <w:r w:rsidR="008C5DF8">
        <w:t>ed</w:t>
      </w:r>
      <w:r w:rsidR="00A7347C">
        <w:t xml:space="preserve"> that “</w:t>
      </w:r>
      <w:r w:rsidR="00A7347C" w:rsidRPr="00A7347C">
        <w:rPr>
          <w:i/>
        </w:rPr>
        <w:t xml:space="preserve">many experienced investigators, including those who produced the ITRC guidance, believe that a multiple lines of evidence approach provides the best means of evaluating the </w:t>
      </w:r>
      <w:proofErr w:type="spellStart"/>
      <w:r w:rsidR="00A7347C" w:rsidRPr="00A7347C">
        <w:rPr>
          <w:i/>
        </w:rPr>
        <w:t>vapour</w:t>
      </w:r>
      <w:proofErr w:type="spellEnd"/>
      <w:r w:rsidR="00A7347C" w:rsidRPr="00A7347C">
        <w:rPr>
          <w:i/>
        </w:rPr>
        <w:t xml:space="preserve"> intrusion pathway</w:t>
      </w:r>
      <w:r w:rsidR="00A7347C">
        <w:t>.” (DHHS, 2008, p4).  DHHS, (2008) subsequently outline that public health evaluation process.</w:t>
      </w:r>
    </w:p>
    <w:p w14:paraId="6207CAD0" w14:textId="3ED433B6" w:rsidR="00FD31BD" w:rsidRDefault="008C5DF8" w:rsidP="00FD31BD">
      <w:r>
        <w:t>In</w:t>
      </w:r>
      <w:r w:rsidR="009E1458">
        <w:t xml:space="preserve"> terms of landfill gas</w:t>
      </w:r>
      <w:r w:rsidR="0096510B">
        <w:t>,</w:t>
      </w:r>
      <w:r w:rsidR="009E1458">
        <w:t xml:space="preserve"> ATSDR, (</w:t>
      </w:r>
      <w:r>
        <w:t>part of DHHS)</w:t>
      </w:r>
      <w:r w:rsidR="0096510B">
        <w:t>,</w:t>
      </w:r>
      <w:r>
        <w:t xml:space="preserve"> produced a guidance document in 2001 (ATSDR, 2001) as a primer and overview for environmental health professionals.  That document is now historical but may still be accessed at the ATSDR </w:t>
      </w:r>
      <w:proofErr w:type="gramStart"/>
      <w:r>
        <w:t>web-site</w:t>
      </w:r>
      <w:proofErr w:type="gramEnd"/>
      <w:r>
        <w:t xml:space="preserve"> at </w:t>
      </w:r>
      <w:hyperlink r:id="rId27" w:history="1">
        <w:r w:rsidRPr="00C27DAB">
          <w:rPr>
            <w:rStyle w:val="Hyperlink"/>
          </w:rPr>
          <w:t>http://www.atsdr.cdc.gov/HAC/landfill/html/intro.html</w:t>
        </w:r>
      </w:hyperlink>
      <w:r>
        <w:t>.</w:t>
      </w:r>
    </w:p>
    <w:p w14:paraId="15D103EE" w14:textId="73ABFC28" w:rsidR="00654BA7" w:rsidRDefault="00FD31BD" w:rsidP="00654BA7">
      <w:pPr>
        <w:pStyle w:val="Heading3"/>
      </w:pPr>
      <w:bookmarkStart w:id="34" w:name="_Toc461684056"/>
      <w:r>
        <w:t xml:space="preserve">Other US State environment </w:t>
      </w:r>
      <w:r w:rsidR="00654BA7" w:rsidRPr="005878B9">
        <w:t>agencies</w:t>
      </w:r>
      <w:bookmarkEnd w:id="34"/>
    </w:p>
    <w:p w14:paraId="27F570A9" w14:textId="794B8F8B" w:rsidR="008C5DF8" w:rsidRDefault="008C5DF8" w:rsidP="008C5DF8">
      <w:proofErr w:type="gramStart"/>
      <w:r>
        <w:t xml:space="preserve">A </w:t>
      </w:r>
      <w:r w:rsidR="00BB2426">
        <w:t>number of</w:t>
      </w:r>
      <w:proofErr w:type="gramEnd"/>
      <w:r w:rsidR="00BB2426">
        <w:t xml:space="preserve"> US states have produced guidance in terms of technical guidance specific to each jurisdiction across areas such as methods of investigation, spreadsheet models, soil gas </w:t>
      </w:r>
      <w:r w:rsidR="00BB2426" w:rsidRPr="00A56D72">
        <w:t>sampling protocols, and indoor air sampling and evaluations.</w:t>
      </w:r>
      <w:r w:rsidR="00107C1D">
        <w:t xml:space="preserve"> </w:t>
      </w:r>
      <w:r w:rsidR="00BB2426" w:rsidRPr="00A56D72">
        <w:t>A list of all states links are provided by US EPA at</w:t>
      </w:r>
      <w:r w:rsidR="00A56D72" w:rsidRPr="00A56D72">
        <w:t xml:space="preserve"> </w:t>
      </w:r>
      <w:hyperlink r:id="rId28" w:history="1">
        <w:r w:rsidR="00A56D72" w:rsidRPr="00D57217">
          <w:rPr>
            <w:rStyle w:val="Hyperlink"/>
          </w:rPr>
          <w:t>https://clu-in.org/issues/default.focus/sec/Vapor_Intrusion/cat/Policy_and_Guidance/</w:t>
        </w:r>
      </w:hyperlink>
    </w:p>
    <w:p w14:paraId="7BB71273" w14:textId="6DD0A8C1" w:rsidR="008C5DF8" w:rsidRDefault="00C95300" w:rsidP="008C5DF8">
      <w:r>
        <w:t>Some examples of documentation</w:t>
      </w:r>
      <w:r w:rsidR="0096510B">
        <w:t xml:space="preserve"> provided at that source</w:t>
      </w:r>
      <w:r>
        <w:t xml:space="preserve"> include:</w:t>
      </w:r>
    </w:p>
    <w:p w14:paraId="3F3E6A51" w14:textId="14F782C1" w:rsidR="00C95300" w:rsidRPr="0096510B" w:rsidRDefault="00C95300" w:rsidP="008C5DF8">
      <w:pPr>
        <w:rPr>
          <w:b/>
          <w:i/>
        </w:rPr>
      </w:pPr>
      <w:r w:rsidRPr="0096510B">
        <w:rPr>
          <w:b/>
          <w:i/>
        </w:rPr>
        <w:t xml:space="preserve">California </w:t>
      </w:r>
    </w:p>
    <w:p w14:paraId="56ED13FA" w14:textId="77777777" w:rsidR="00841EC0" w:rsidRPr="00807085" w:rsidRDefault="00841EC0" w:rsidP="00841EC0">
      <w:pPr>
        <w:pStyle w:val="ListParagraph"/>
        <w:numPr>
          <w:ilvl w:val="0"/>
          <w:numId w:val="44"/>
        </w:numPr>
      </w:pPr>
      <w:r w:rsidRPr="00807085">
        <w:t>DTSC (2015</w:t>
      </w:r>
      <w:r>
        <w:t>a</w:t>
      </w:r>
      <w:r w:rsidRPr="00807085">
        <w:t xml:space="preserve">) </w:t>
      </w:r>
      <w:r w:rsidRPr="00841EC0">
        <w:rPr>
          <w:i/>
        </w:rPr>
        <w:t xml:space="preserve">Advisory Active Soil Gas Investigations. </w:t>
      </w:r>
      <w:r w:rsidRPr="00807085">
        <w:t xml:space="preserve"> Department of Toxic Substances, California Environment Protection Agency, California, USA.</w:t>
      </w:r>
    </w:p>
    <w:p w14:paraId="602430FD" w14:textId="77777777" w:rsidR="00841EC0" w:rsidRPr="00807085" w:rsidRDefault="00841EC0" w:rsidP="00841EC0">
      <w:pPr>
        <w:pStyle w:val="ListParagraph"/>
        <w:numPr>
          <w:ilvl w:val="0"/>
          <w:numId w:val="44"/>
        </w:numPr>
      </w:pPr>
      <w:r w:rsidRPr="00807085">
        <w:t>DTSC (2015</w:t>
      </w:r>
      <w:r>
        <w:t>b</w:t>
      </w:r>
      <w:r w:rsidRPr="00807085">
        <w:t xml:space="preserve">) </w:t>
      </w:r>
      <w:r w:rsidRPr="00841EC0">
        <w:rPr>
          <w:i/>
        </w:rPr>
        <w:t>Guidance for the Evaluation and Mitigation of Sub-surface Vapor Intrusion to Indoor Air (Vapor Intrusion Guidance).</w:t>
      </w:r>
      <w:r w:rsidRPr="00807085">
        <w:t xml:space="preserve">  Department of Toxic Substances, California Environment Protection Agency, California, USA.</w:t>
      </w:r>
    </w:p>
    <w:p w14:paraId="520971E1" w14:textId="5F19424D" w:rsidR="00C95300" w:rsidRPr="0096510B" w:rsidRDefault="005017B6" w:rsidP="008C5DF8">
      <w:pPr>
        <w:rPr>
          <w:b/>
          <w:i/>
        </w:rPr>
      </w:pPr>
      <w:r w:rsidRPr="0096510B">
        <w:rPr>
          <w:b/>
          <w:i/>
        </w:rPr>
        <w:t xml:space="preserve">Massachusetts </w:t>
      </w:r>
    </w:p>
    <w:p w14:paraId="58A36941" w14:textId="77777777" w:rsidR="00841EC0" w:rsidRPr="00717FDF" w:rsidRDefault="00841EC0" w:rsidP="00841EC0">
      <w:pPr>
        <w:pStyle w:val="ListParagraph"/>
        <w:numPr>
          <w:ilvl w:val="0"/>
          <w:numId w:val="45"/>
        </w:numPr>
      </w:pPr>
      <w:r w:rsidRPr="00717FDF">
        <w:t xml:space="preserve">MDEP (2002) </w:t>
      </w:r>
      <w:r w:rsidRPr="00841EC0">
        <w:rPr>
          <w:i/>
        </w:rPr>
        <w:t>Indoor Air Sampling and Evaluation Guide WSC Policy #2-430.</w:t>
      </w:r>
      <w:r w:rsidRPr="00717FDF">
        <w:t xml:space="preserve"> Office of Research and Standards, Department of Environmental Protection, Boston, MA, USA.</w:t>
      </w:r>
    </w:p>
    <w:p w14:paraId="1009CDEA" w14:textId="77777777" w:rsidR="00841EC0" w:rsidRPr="00717FDF" w:rsidRDefault="00841EC0" w:rsidP="00841EC0">
      <w:pPr>
        <w:pStyle w:val="ListParagraph"/>
        <w:numPr>
          <w:ilvl w:val="0"/>
          <w:numId w:val="45"/>
        </w:numPr>
      </w:pPr>
      <w:r w:rsidRPr="00717FDF">
        <w:t xml:space="preserve">MDEP (2011) </w:t>
      </w:r>
      <w:r w:rsidRPr="00841EC0">
        <w:rPr>
          <w:i/>
        </w:rPr>
        <w:t>Interim Final Vapor Intrusion Guidance.</w:t>
      </w:r>
      <w:r w:rsidRPr="00717FDF">
        <w:t xml:space="preserve"> Massachusetts Department of Environment Protection, Boston, MA, USA.</w:t>
      </w:r>
    </w:p>
    <w:p w14:paraId="7CFB4A6D" w14:textId="115C0310" w:rsidR="00C95300" w:rsidRPr="0096510B" w:rsidRDefault="00C95300" w:rsidP="008C5DF8">
      <w:pPr>
        <w:rPr>
          <w:b/>
          <w:i/>
        </w:rPr>
      </w:pPr>
      <w:r w:rsidRPr="0096510B">
        <w:rPr>
          <w:b/>
          <w:i/>
        </w:rPr>
        <w:t xml:space="preserve">New Jersey </w:t>
      </w:r>
    </w:p>
    <w:p w14:paraId="13D8761C" w14:textId="77777777" w:rsidR="00841EC0" w:rsidRPr="000B2095" w:rsidRDefault="00841EC0" w:rsidP="00841EC0">
      <w:pPr>
        <w:pStyle w:val="ListParagraph"/>
        <w:numPr>
          <w:ilvl w:val="0"/>
          <w:numId w:val="46"/>
        </w:numPr>
        <w:spacing w:after="0"/>
      </w:pPr>
      <w:r w:rsidRPr="000B2095">
        <w:t xml:space="preserve">NJDEP (2013) </w:t>
      </w:r>
      <w:r w:rsidRPr="00841EC0">
        <w:rPr>
          <w:i/>
        </w:rPr>
        <w:t>Vapor Intrusion Technical Guidance. Site Remediation Program.</w:t>
      </w:r>
      <w:r w:rsidRPr="000B2095">
        <w:t xml:space="preserve"> New Jersey Department of Environment Protection, New Jersey, USA.</w:t>
      </w:r>
    </w:p>
    <w:p w14:paraId="42766A8A" w14:textId="2EE5EB0F" w:rsidR="00C95300" w:rsidRPr="0096510B" w:rsidRDefault="00C95300" w:rsidP="008C5DF8">
      <w:pPr>
        <w:rPr>
          <w:b/>
          <w:i/>
        </w:rPr>
      </w:pPr>
      <w:r w:rsidRPr="0096510B">
        <w:rPr>
          <w:b/>
          <w:i/>
        </w:rPr>
        <w:t>New York</w:t>
      </w:r>
    </w:p>
    <w:p w14:paraId="3F0ECF95" w14:textId="77777777" w:rsidR="00841EC0" w:rsidRPr="00841EC0" w:rsidRDefault="00841EC0" w:rsidP="00841EC0">
      <w:pPr>
        <w:pStyle w:val="ListParagraph"/>
        <w:numPr>
          <w:ilvl w:val="0"/>
          <w:numId w:val="46"/>
        </w:numPr>
        <w:rPr>
          <w:rFonts w:cs="Arial"/>
        </w:rPr>
      </w:pPr>
      <w:proofErr w:type="spellStart"/>
      <w:r w:rsidRPr="000B2095">
        <w:t>NYSDoH</w:t>
      </w:r>
      <w:proofErr w:type="spellEnd"/>
      <w:r w:rsidRPr="000B2095">
        <w:t xml:space="preserve"> (2006) </w:t>
      </w:r>
      <w:r w:rsidRPr="00841EC0">
        <w:rPr>
          <w:i/>
        </w:rPr>
        <w:t>Final. Guidance for Evaluating Soil Vapor Intrusion in the State of New York.</w:t>
      </w:r>
      <w:r w:rsidRPr="000B2095">
        <w:t xml:space="preserve"> New York State Department of Health, New York, USA.</w:t>
      </w:r>
    </w:p>
    <w:p w14:paraId="01FF3D2C" w14:textId="647E77DD" w:rsidR="00654BA7" w:rsidRDefault="00654BA7" w:rsidP="00301AE9">
      <w:r>
        <w:br w:type="page"/>
      </w:r>
    </w:p>
    <w:p w14:paraId="40B3C5C1" w14:textId="77777777" w:rsidR="00E14595" w:rsidRDefault="00E14595" w:rsidP="00380D14">
      <w:pPr>
        <w:pStyle w:val="Heading1"/>
        <w:spacing w:before="0" w:after="0"/>
      </w:pPr>
      <w:bookmarkStart w:id="35" w:name="_Toc461684057"/>
      <w:r w:rsidRPr="00E14595">
        <w:lastRenderedPageBreak/>
        <w:t> Risk assessment methods</w:t>
      </w:r>
      <w:bookmarkEnd w:id="35"/>
    </w:p>
    <w:p w14:paraId="00D50BAF" w14:textId="6EC7D2A0" w:rsidR="003F7822" w:rsidRDefault="003F7822" w:rsidP="00654BA7">
      <w:pPr>
        <w:pStyle w:val="Heading2"/>
      </w:pPr>
      <w:bookmarkStart w:id="36" w:name="_Toc461684058"/>
      <w:r>
        <w:t>Introduction</w:t>
      </w:r>
      <w:bookmarkEnd w:id="36"/>
    </w:p>
    <w:p w14:paraId="2633D884" w14:textId="31C4704B" w:rsidR="00BF3DE0" w:rsidRDefault="00F676DD" w:rsidP="003F7822">
      <w:r>
        <w:t>International approaches to human health risk assessment exhibit a consistency in frameworks</w:t>
      </w:r>
      <w:r w:rsidR="003F2786">
        <w:t>,</w:t>
      </w:r>
      <w:r>
        <w:t xml:space="preserve"> albeit slight deviations in </w:t>
      </w:r>
      <w:r w:rsidR="00BF3DE0">
        <w:t xml:space="preserve">content across the main themes </w:t>
      </w:r>
      <w:r>
        <w:t>of assessment. WHO (2010) provided a health risk assessment toolkit on chemical hazards as part of a harmonization process</w:t>
      </w:r>
      <w:r w:rsidR="0014382C">
        <w:t xml:space="preserve"> </w:t>
      </w:r>
      <w:r w:rsidR="00BF3DE0">
        <w:t>and</w:t>
      </w:r>
      <w:r w:rsidR="0014382C">
        <w:t xml:space="preserve"> have considered</w:t>
      </w:r>
      <w:r w:rsidR="00BF3DE0">
        <w:t xml:space="preserve"> the relati</w:t>
      </w:r>
      <w:r w:rsidR="0014382C">
        <w:t>onship to environmental health a</w:t>
      </w:r>
      <w:r w:rsidR="00BF3DE0">
        <w:t>s presented in</w:t>
      </w:r>
      <w:r w:rsidR="00A039BE">
        <w:t xml:space="preserve"> </w:t>
      </w:r>
      <w:r w:rsidR="00A039BE">
        <w:fldChar w:fldCharType="begin"/>
      </w:r>
      <w:r w:rsidR="00A039BE">
        <w:instrText xml:space="preserve"> REF _Ref454863676 \h </w:instrText>
      </w:r>
      <w:r w:rsidR="00A039BE">
        <w:fldChar w:fldCharType="separate"/>
      </w:r>
      <w:r w:rsidR="006A5935">
        <w:t xml:space="preserve">Figure </w:t>
      </w:r>
      <w:r w:rsidR="006A5935">
        <w:rPr>
          <w:noProof/>
        </w:rPr>
        <w:t>5</w:t>
      </w:r>
      <w:r w:rsidR="00A039BE">
        <w:fldChar w:fldCharType="end"/>
      </w:r>
      <w:r w:rsidR="00BF3DE0">
        <w:t xml:space="preserve">.  It is important to recognize that the objective of any human health risk assessment is the protection of public health as a preventative practice to minimize the potential </w:t>
      </w:r>
      <w:r w:rsidR="00ED087A">
        <w:t xml:space="preserve">for population disease burden. The goal of human health risk assessment across </w:t>
      </w:r>
      <w:r w:rsidR="00BF3DE0">
        <w:t>all evaluations should</w:t>
      </w:r>
      <w:r w:rsidR="00ED087A">
        <w:t xml:space="preserve"> therefore</w:t>
      </w:r>
      <w:r w:rsidR="00BF3DE0">
        <w:t xml:space="preserve"> seek to </w:t>
      </w:r>
      <w:r w:rsidR="00ED087A">
        <w:t xml:space="preserve">meet </w:t>
      </w:r>
      <w:r w:rsidR="00BF3DE0">
        <w:t>this objective.</w:t>
      </w:r>
    </w:p>
    <w:p w14:paraId="440FF155" w14:textId="7E274F8F" w:rsidR="00A9568B" w:rsidRDefault="00BF3DE0">
      <w:r>
        <w:t>US EPA has a long history associated with the development of risk assessment protocols with the earliest framework in 1983</w:t>
      </w:r>
      <w:r w:rsidR="00ED087A">
        <w:t xml:space="preserve"> developed by the National Research Council (NRC, 1983)</w:t>
      </w:r>
      <w:r w:rsidR="00717CA2">
        <w:t xml:space="preserve">.  </w:t>
      </w:r>
      <w:r w:rsidR="00261246">
        <w:t>The US EPA has developed extensive documentation</w:t>
      </w:r>
      <w:r w:rsidR="00051884">
        <w:t xml:space="preserve"> for human health risk assessment across the</w:t>
      </w:r>
      <w:r w:rsidR="00261246">
        <w:t xml:space="preserve"> </w:t>
      </w:r>
      <w:r w:rsidR="00051884">
        <w:t>diverse</w:t>
      </w:r>
      <w:r w:rsidR="00261246">
        <w:t xml:space="preserve"> elements of human health risk assessment</w:t>
      </w:r>
      <w:r w:rsidR="00051884">
        <w:t xml:space="preserve"> and </w:t>
      </w:r>
      <w:r w:rsidR="0014382C">
        <w:t xml:space="preserve">these resources </w:t>
      </w:r>
      <w:r w:rsidR="00261246">
        <w:t>are</w:t>
      </w:r>
      <w:r w:rsidR="0014382C">
        <w:t xml:space="preserve"> readily available (see </w:t>
      </w:r>
      <w:hyperlink r:id="rId29" w:history="1">
        <w:r w:rsidR="00261246" w:rsidRPr="00F6382B">
          <w:rPr>
            <w:rStyle w:val="Hyperlink"/>
          </w:rPr>
          <w:t>https://www.epa.gov/risk/human-health-risk-assessment</w:t>
        </w:r>
      </w:hyperlink>
      <w:r w:rsidR="0014382C">
        <w:t>)</w:t>
      </w:r>
      <w:r w:rsidR="00261246">
        <w:t>.</w:t>
      </w:r>
      <w:r w:rsidR="00107C1D">
        <w:t xml:space="preserve"> </w:t>
      </w:r>
      <w:r w:rsidR="00261246">
        <w:t>The</w:t>
      </w:r>
      <w:r w:rsidR="0014382C">
        <w:t xml:space="preserve">y provide detail across the various stages of health risk assessment taking note that their use in Australia requires consideration of applicable region-specific differences </w:t>
      </w:r>
      <w:r w:rsidR="00261246">
        <w:t xml:space="preserve">across </w:t>
      </w:r>
      <w:r w:rsidR="00051884">
        <w:t xml:space="preserve">population demographics and </w:t>
      </w:r>
      <w:proofErr w:type="spellStart"/>
      <w:r w:rsidR="00051884">
        <w:t>behaviours</w:t>
      </w:r>
      <w:proofErr w:type="spellEnd"/>
      <w:r w:rsidR="00051884">
        <w:t xml:space="preserve"> </w:t>
      </w:r>
      <w:proofErr w:type="gramStart"/>
      <w:r w:rsidR="00051884">
        <w:t>and</w:t>
      </w:r>
      <w:r w:rsidR="0014382C">
        <w:t xml:space="preserve"> also</w:t>
      </w:r>
      <w:proofErr w:type="gramEnd"/>
      <w:r w:rsidR="00051884">
        <w:t xml:space="preserve"> environmental conditions and settings. </w:t>
      </w:r>
      <w:r w:rsidR="00261246">
        <w:t>Recently US EPA (2014</w:t>
      </w:r>
      <w:r w:rsidR="00806509">
        <w:t xml:space="preserve">) have updated </w:t>
      </w:r>
      <w:r w:rsidR="00051884">
        <w:t>their framework</w:t>
      </w:r>
      <w:r w:rsidR="00A9568B">
        <w:t xml:space="preserve"> by agreeing “</w:t>
      </w:r>
      <w:r w:rsidR="00A9568B" w:rsidRPr="00666257">
        <w:rPr>
          <w:i/>
        </w:rPr>
        <w:t>that adopting a human health risk assessment framework would increase the Agency’s ability to maximize the utility of risk assessment by emphasizing the need to focus the design of risk assessments on the decision-making process</w:t>
      </w:r>
      <w:r w:rsidR="00A9568B">
        <w:t xml:space="preserve">”, </w:t>
      </w:r>
      <w:r w:rsidR="00666257">
        <w:t>(</w:t>
      </w:r>
      <w:proofErr w:type="spellStart"/>
      <w:r w:rsidR="00A9568B">
        <w:t>p</w:t>
      </w:r>
      <w:r w:rsidR="00666257">
        <w:t>VIII</w:t>
      </w:r>
      <w:proofErr w:type="spellEnd"/>
      <w:r w:rsidR="00666257">
        <w:t>)</w:t>
      </w:r>
      <w:r w:rsidR="00A9568B">
        <w:t xml:space="preserve">. </w:t>
      </w:r>
      <w:r w:rsidR="00666257">
        <w:t xml:space="preserve">  Furthermore</w:t>
      </w:r>
      <w:r w:rsidR="003D0539">
        <w:t>,</w:t>
      </w:r>
      <w:r w:rsidR="00666257">
        <w:t xml:space="preserve"> this was to include more emphasis on planning and scoping, problem formulation and ensuring scientific peer review and public, stakeholder and community involvement were sustained.  The ability to incorporate changes in the science of risk assessment was considered important as part of this framework.  This updated framework is presented in</w:t>
      </w:r>
      <w:r w:rsidR="00A039BE">
        <w:t xml:space="preserve"> </w:t>
      </w:r>
      <w:r w:rsidR="00A039BE">
        <w:fldChar w:fldCharType="begin"/>
      </w:r>
      <w:r w:rsidR="00A039BE">
        <w:instrText xml:space="preserve"> REF _Ref454863658 \h </w:instrText>
      </w:r>
      <w:r w:rsidR="00A039BE">
        <w:fldChar w:fldCharType="separate"/>
      </w:r>
      <w:r w:rsidR="006A5935">
        <w:t xml:space="preserve">Figure </w:t>
      </w:r>
      <w:r w:rsidR="006A5935">
        <w:rPr>
          <w:noProof/>
        </w:rPr>
        <w:t>6</w:t>
      </w:r>
      <w:r w:rsidR="00A039BE">
        <w:fldChar w:fldCharType="end"/>
      </w:r>
      <w:r w:rsidR="00666257">
        <w:t>.</w:t>
      </w:r>
    </w:p>
    <w:p w14:paraId="6D93784E" w14:textId="17DFB86D" w:rsidR="00261246" w:rsidRDefault="00195B58">
      <w:pPr>
        <w:rPr>
          <w:rStyle w:val="A7"/>
        </w:rPr>
      </w:pPr>
      <w:r>
        <w:t>In advancing the science of risk assessment, the US EPA Office of Research and Development has directed research efforts for the next 3 years (US EPA, 2015)</w:t>
      </w:r>
      <w:r w:rsidR="003D0539">
        <w:t xml:space="preserve"> towards integrated science assessments (ISAs); further development of the Integrated Risk Information System (IRIS) and cumulative risk assessment.</w:t>
      </w:r>
      <w:r w:rsidR="00107C1D">
        <w:t xml:space="preserve"> </w:t>
      </w:r>
      <w:r w:rsidR="003D0539">
        <w:t>The latter works towards u</w:t>
      </w:r>
      <w:r w:rsidR="00261246">
        <w:rPr>
          <w:rStyle w:val="A7"/>
        </w:rPr>
        <w:t>nderstanding key biological, social, spatial, temporal and envi</w:t>
      </w:r>
      <w:r w:rsidR="00261246">
        <w:rPr>
          <w:rStyle w:val="A7"/>
        </w:rPr>
        <w:softHyphen/>
        <w:t xml:space="preserve">ronmental factors and how they contribute to disproportionate risk. </w:t>
      </w:r>
    </w:p>
    <w:p w14:paraId="775B3C8C" w14:textId="3FF95C13" w:rsidR="00BA3BD8" w:rsidRDefault="003D0539" w:rsidP="00261246">
      <w:r>
        <w:rPr>
          <w:rStyle w:val="A7"/>
        </w:rPr>
        <w:t>In Australia t</w:t>
      </w:r>
      <w:r w:rsidR="00261246" w:rsidRPr="003F7822">
        <w:t>he</w:t>
      </w:r>
      <w:r w:rsidR="00195B58">
        <w:t xml:space="preserve"> original</w:t>
      </w:r>
      <w:r w:rsidR="00261246" w:rsidRPr="003F7822">
        <w:t xml:space="preserve"> enHealth</w:t>
      </w:r>
      <w:r w:rsidR="00BA3BD8">
        <w:t xml:space="preserve"> Council</w:t>
      </w:r>
      <w:r w:rsidR="00261246" w:rsidRPr="003F7822">
        <w:t xml:space="preserve"> </w:t>
      </w:r>
      <w:r w:rsidR="00195B58">
        <w:t>model</w:t>
      </w:r>
      <w:r w:rsidR="00261246" w:rsidRPr="003F7822">
        <w:t xml:space="preserve"> </w:t>
      </w:r>
      <w:r>
        <w:t xml:space="preserve">(2012a) as presented in </w:t>
      </w:r>
      <w:r w:rsidR="00A039BE">
        <w:fldChar w:fldCharType="begin"/>
      </w:r>
      <w:r w:rsidR="00A039BE">
        <w:instrText xml:space="preserve"> REF _Ref454863642 \h </w:instrText>
      </w:r>
      <w:r w:rsidR="00A039BE">
        <w:fldChar w:fldCharType="separate"/>
      </w:r>
      <w:r w:rsidR="006A5935">
        <w:t xml:space="preserve">Figure </w:t>
      </w:r>
      <w:r w:rsidR="006A5935">
        <w:rPr>
          <w:noProof/>
        </w:rPr>
        <w:t>7</w:t>
      </w:r>
      <w:r w:rsidR="00A039BE">
        <w:fldChar w:fldCharType="end"/>
      </w:r>
      <w:r w:rsidR="00A039BE">
        <w:t xml:space="preserve"> </w:t>
      </w:r>
      <w:r>
        <w:t>was</w:t>
      </w:r>
      <w:r w:rsidR="00261246" w:rsidRPr="003F7822">
        <w:t xml:space="preserve"> an adaptation of the original National Research Council</w:t>
      </w:r>
      <w:r w:rsidR="00261246">
        <w:t xml:space="preserve"> (NRC)</w:t>
      </w:r>
      <w:r w:rsidR="00261246" w:rsidRPr="003F7822">
        <w:t xml:space="preserve"> framework published in </w:t>
      </w:r>
      <w:r>
        <w:t>1983 but has recently been revised to expand on current concepts (</w:t>
      </w:r>
      <w:r w:rsidR="00A039BE">
        <w:fldChar w:fldCharType="begin"/>
      </w:r>
      <w:r w:rsidR="00A039BE">
        <w:instrText xml:space="preserve"> REF _Ref454863629 \h </w:instrText>
      </w:r>
      <w:r w:rsidR="00A039BE">
        <w:fldChar w:fldCharType="separate"/>
      </w:r>
      <w:r w:rsidR="006A5935">
        <w:t xml:space="preserve">Figure </w:t>
      </w:r>
      <w:r w:rsidR="006A5935">
        <w:rPr>
          <w:noProof/>
        </w:rPr>
        <w:t>8</w:t>
      </w:r>
      <w:r w:rsidR="00A039BE">
        <w:fldChar w:fldCharType="end"/>
      </w:r>
      <w:r>
        <w:t>) with again a greater focus towards scoping and planning.</w:t>
      </w:r>
      <w:r w:rsidR="00107C1D">
        <w:t xml:space="preserve"> </w:t>
      </w:r>
      <w:r w:rsidR="00BA3BD8">
        <w:t xml:space="preserve">The enHealth Council documentation represents Australian health agency guidance on human health risk assessment.  </w:t>
      </w:r>
    </w:p>
    <w:p w14:paraId="7E6113DC" w14:textId="0605944F" w:rsidR="006141DC" w:rsidRPr="006141DC" w:rsidRDefault="00946966" w:rsidP="00261246">
      <w:pPr>
        <w:rPr>
          <w:i/>
        </w:rPr>
      </w:pPr>
      <w:r>
        <w:t>The ASC NEPM has</w:t>
      </w:r>
      <w:r w:rsidR="00BA3BD8">
        <w:t xml:space="preserve"> also</w:t>
      </w:r>
      <w:r>
        <w:t xml:space="preserve"> structured a site-specific health risk ass</w:t>
      </w:r>
      <w:r w:rsidR="00BA3BD8">
        <w:t>essment methodology for site co</w:t>
      </w:r>
      <w:r>
        <w:t>ntamination assessment (Federal Register</w:t>
      </w:r>
      <w:r w:rsidR="00BA3BD8">
        <w:t xml:space="preserve"> F2013C00288, </w:t>
      </w:r>
      <w:r>
        <w:t>Volume</w:t>
      </w:r>
      <w:r w:rsidR="00BA3BD8">
        <w:t xml:space="preserve"> 5,</w:t>
      </w:r>
      <w:r>
        <w:t xml:space="preserve"> Schedule</w:t>
      </w:r>
      <w:r w:rsidR="00BA3BD8">
        <w:t xml:space="preserve"> B4).</w:t>
      </w:r>
      <w:r w:rsidR="00107C1D">
        <w:t xml:space="preserve"> </w:t>
      </w:r>
      <w:r w:rsidR="00BA3BD8">
        <w:t>The basis to the Schedule is the enHealth framework</w:t>
      </w:r>
      <w:r w:rsidR="003F2786">
        <w:t>,</w:t>
      </w:r>
      <w:r w:rsidR="00BA3BD8">
        <w:t xml:space="preserve"> albeit with additional content relevant to site contamina</w:t>
      </w:r>
      <w:r w:rsidR="003F2786">
        <w:t>tion.  According to Schedule B4,</w:t>
      </w:r>
      <w:r w:rsidR="00BA3BD8">
        <w:t xml:space="preserve"> </w:t>
      </w:r>
      <w:r w:rsidR="00BA3BD8" w:rsidRPr="006141DC">
        <w:rPr>
          <w:i/>
        </w:rPr>
        <w:t>“… in the assessment of contaminated sites, this Schedule takes precedence over the enHealth framework, and documents referenced therein</w:t>
      </w:r>
      <w:r w:rsidR="006141DC" w:rsidRPr="006141DC">
        <w:rPr>
          <w:i/>
        </w:rPr>
        <w:t xml:space="preserve">, </w:t>
      </w:r>
      <w:r w:rsidR="006141DC">
        <w:rPr>
          <w:i/>
        </w:rPr>
        <w:t>where there are contradictions.</w:t>
      </w:r>
      <w:r w:rsidR="006141DC" w:rsidRPr="006141DC">
        <w:rPr>
          <w:i/>
        </w:rPr>
        <w:t xml:space="preserve">  It is noted that the enHealth framework has a wider remit than </w:t>
      </w:r>
    </w:p>
    <w:p w14:paraId="0A474368" w14:textId="6292A389" w:rsidR="00261246" w:rsidRDefault="006141DC" w:rsidP="00261246">
      <w:r w:rsidRPr="006141DC">
        <w:rPr>
          <w:i/>
        </w:rPr>
        <w:lastRenderedPageBreak/>
        <w:t>the assessment of contaminated sites only, and some elements of the guidance are not relevant in a contaminated sites context</w:t>
      </w:r>
      <w:r>
        <w:t>” (p5).</w:t>
      </w:r>
    </w:p>
    <w:p w14:paraId="2E989A7C" w14:textId="21415BE2" w:rsidR="00BE085C" w:rsidRPr="003F7822" w:rsidRDefault="00BE085C" w:rsidP="00261246">
      <w:r>
        <w:t>The basic unrefined elements of human health risk assessment include issue identification, hazard assessment, exposure assessment, risk characterization and risk management with an overarching risk communication and community engagement phase.</w:t>
      </w:r>
    </w:p>
    <w:p w14:paraId="70A9A763" w14:textId="18FFDF7A" w:rsidR="00BF3DE0" w:rsidRPr="00806509" w:rsidRDefault="00BF3DE0" w:rsidP="00BF3DE0">
      <w:pPr>
        <w:pStyle w:val="Caption"/>
        <w:keepNext/>
      </w:pPr>
      <w:bookmarkStart w:id="37" w:name="_Ref454863676"/>
      <w:r>
        <w:t xml:space="preserve">Figure </w:t>
      </w:r>
      <w:fldSimple w:instr=" SEQ Figure \* ARABIC ">
        <w:r w:rsidR="006A5935">
          <w:rPr>
            <w:noProof/>
          </w:rPr>
          <w:t>5</w:t>
        </w:r>
      </w:fldSimple>
      <w:bookmarkEnd w:id="37"/>
      <w:r>
        <w:t>: Environmental health paradigm and human health</w:t>
      </w:r>
      <w:r w:rsidR="003F2786">
        <w:t xml:space="preserve"> risk assessment (from WHO (2010)</w:t>
      </w:r>
      <w:r w:rsidR="00806509">
        <w:t xml:space="preserve">, as adapted </w:t>
      </w:r>
      <w:r w:rsidR="00806509" w:rsidRPr="00806509">
        <w:t xml:space="preserve">from Sexton </w:t>
      </w:r>
      <w:r w:rsidR="009A47BA">
        <w:t>et al.,</w:t>
      </w:r>
      <w:r w:rsidR="00806509" w:rsidRPr="00806509">
        <w:t xml:space="preserve"> 1995; IPCS, 2000).</w:t>
      </w:r>
    </w:p>
    <w:p w14:paraId="5CD98B73" w14:textId="1E383B32" w:rsidR="00F676DD" w:rsidRDefault="003F2786" w:rsidP="003F7822">
      <w:r>
        <w:rPr>
          <w:noProof/>
          <w:lang w:eastAsia="en-US"/>
        </w:rPr>
        <w:drawing>
          <wp:inline distT="0" distB="0" distL="0" distR="0" wp14:anchorId="6E439CD1" wp14:editId="3DE7F2A9">
            <wp:extent cx="6384758" cy="6208295"/>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84758" cy="6208295"/>
                    </a:xfrm>
                    <a:prstGeom prst="rect">
                      <a:avLst/>
                    </a:prstGeom>
                    <a:noFill/>
                    <a:ln>
                      <a:noFill/>
                    </a:ln>
                  </pic:spPr>
                </pic:pic>
              </a:graphicData>
            </a:graphic>
          </wp:inline>
        </w:drawing>
      </w:r>
    </w:p>
    <w:p w14:paraId="50261F6E" w14:textId="34A24CFB" w:rsidR="00666257" w:rsidRDefault="00666257" w:rsidP="00666257">
      <w:pPr>
        <w:pStyle w:val="Caption"/>
        <w:keepNext/>
      </w:pPr>
      <w:bookmarkStart w:id="38" w:name="_Ref454863658"/>
      <w:r>
        <w:lastRenderedPageBreak/>
        <w:t xml:space="preserve">Figure </w:t>
      </w:r>
      <w:fldSimple w:instr=" SEQ Figure \* ARABIC ">
        <w:r w:rsidR="006A5935">
          <w:rPr>
            <w:noProof/>
          </w:rPr>
          <w:t>6</w:t>
        </w:r>
      </w:fldSimple>
      <w:bookmarkEnd w:id="38"/>
      <w:r>
        <w:t>: Framework for human health risk assessment to inform decision-making (from US EPA</w:t>
      </w:r>
      <w:r w:rsidR="003F2786">
        <w:t>,</w:t>
      </w:r>
      <w:r>
        <w:t xml:space="preserve"> 2014)</w:t>
      </w:r>
    </w:p>
    <w:p w14:paraId="331A2920" w14:textId="0929C42C" w:rsidR="00666257" w:rsidRDefault="00666257">
      <w:pPr>
        <w:rPr>
          <w:i/>
          <w:iCs/>
          <w:color w:val="323232" w:themeColor="text2"/>
          <w:sz w:val="18"/>
          <w:szCs w:val="18"/>
        </w:rPr>
      </w:pPr>
      <w:r w:rsidRPr="00666257">
        <w:rPr>
          <w:noProof/>
          <w:lang w:eastAsia="en-US"/>
        </w:rPr>
        <w:drawing>
          <wp:inline distT="0" distB="0" distL="0" distR="0" wp14:anchorId="57B8A405" wp14:editId="264DB879">
            <wp:extent cx="5505450" cy="712943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07011" cy="7131454"/>
                    </a:xfrm>
                    <a:prstGeom prst="rect">
                      <a:avLst/>
                    </a:prstGeom>
                    <a:noFill/>
                    <a:ln>
                      <a:noFill/>
                    </a:ln>
                  </pic:spPr>
                </pic:pic>
              </a:graphicData>
            </a:graphic>
          </wp:inline>
        </w:drawing>
      </w:r>
      <w:r>
        <w:br w:type="page"/>
      </w:r>
    </w:p>
    <w:p w14:paraId="00830466" w14:textId="7AA2AE57" w:rsidR="00A9568B" w:rsidRDefault="00A9568B" w:rsidP="00A9568B">
      <w:pPr>
        <w:pStyle w:val="Caption"/>
        <w:keepNext/>
      </w:pPr>
      <w:bookmarkStart w:id="39" w:name="_Ref454863642"/>
      <w:r>
        <w:lastRenderedPageBreak/>
        <w:t xml:space="preserve">Figure </w:t>
      </w:r>
      <w:fldSimple w:instr=" SEQ Figure \* ARABIC ">
        <w:r w:rsidR="006A5935">
          <w:rPr>
            <w:noProof/>
          </w:rPr>
          <w:t>7</w:t>
        </w:r>
      </w:fldSimple>
      <w:bookmarkEnd w:id="39"/>
      <w:r>
        <w:t>: enHealth risk assessment framework</w:t>
      </w:r>
    </w:p>
    <w:p w14:paraId="4C1D822B" w14:textId="27EE70D6" w:rsidR="00F82115" w:rsidRDefault="00F82115" w:rsidP="00290F23">
      <w:r w:rsidRPr="00F82115">
        <w:rPr>
          <w:rFonts w:ascii="Times New Roman" w:eastAsia="Times New Roman" w:hAnsi="Times New Roman" w:cs="Times New Roman"/>
          <w:noProof/>
          <w:sz w:val="24"/>
          <w:szCs w:val="24"/>
          <w:lang w:eastAsia="en-US"/>
        </w:rPr>
        <w:drawing>
          <wp:inline distT="0" distB="0" distL="0" distR="0" wp14:anchorId="0A77DA53" wp14:editId="4FB2FDAC">
            <wp:extent cx="5638800" cy="7437755"/>
            <wp:effectExtent l="0" t="0" r="0" b="0"/>
            <wp:docPr id="9" name="Picture 9" descr="C:\Documents and Settings\lturczynowicz\Local Settings\Temporary Internet Files\Content.Word\l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lturczynowicz\Local Settings\Temporary Internet Files\Content.Word\len1.jpg"/>
                    <pic:cNvPicPr>
                      <a:picLocks noChangeAspect="1" noChangeArrowheads="1"/>
                    </pic:cNvPicPr>
                  </pic:nvPicPr>
                  <pic:blipFill>
                    <a:blip r:embed="rId32" cstate="print"/>
                    <a:srcRect/>
                    <a:stretch>
                      <a:fillRect/>
                    </a:stretch>
                  </pic:blipFill>
                  <pic:spPr bwMode="auto">
                    <a:xfrm>
                      <a:off x="0" y="0"/>
                      <a:ext cx="5651424" cy="7454406"/>
                    </a:xfrm>
                    <a:prstGeom prst="rect">
                      <a:avLst/>
                    </a:prstGeom>
                    <a:noFill/>
                    <a:ln w="9525">
                      <a:noFill/>
                      <a:miter lim="800000"/>
                      <a:headEnd/>
                      <a:tailEnd/>
                    </a:ln>
                  </pic:spPr>
                </pic:pic>
              </a:graphicData>
            </a:graphic>
          </wp:inline>
        </w:drawing>
      </w:r>
    </w:p>
    <w:p w14:paraId="76356793" w14:textId="613C0CD2" w:rsidR="00946966" w:rsidRDefault="00946966" w:rsidP="00946966">
      <w:pPr>
        <w:pStyle w:val="Caption"/>
        <w:keepNext/>
      </w:pPr>
      <w:bookmarkStart w:id="40" w:name="_Ref454863629"/>
      <w:r>
        <w:lastRenderedPageBreak/>
        <w:t xml:space="preserve">Figure </w:t>
      </w:r>
      <w:fldSimple w:instr=" SEQ Figure \* ARABIC ">
        <w:r w:rsidR="006A5935">
          <w:rPr>
            <w:noProof/>
          </w:rPr>
          <w:t>8</w:t>
        </w:r>
      </w:fldSimple>
      <w:bookmarkEnd w:id="40"/>
      <w:r>
        <w:t xml:space="preserve">: Revised outline of the interlinked processes of EHRA (from enHealth </w:t>
      </w:r>
      <w:r w:rsidR="00BE62A0">
        <w:t>(</w:t>
      </w:r>
      <w:r>
        <w:t>2012a</w:t>
      </w:r>
      <w:r w:rsidR="00BE62A0">
        <w:t>)</w:t>
      </w:r>
      <w:r w:rsidR="00BE085C">
        <w:t xml:space="preserve"> as adapted from NRC, </w:t>
      </w:r>
      <w:r w:rsidR="00BE62A0">
        <w:t>(</w:t>
      </w:r>
      <w:r w:rsidR="00BE085C">
        <w:t>2008</w:t>
      </w:r>
      <w:r>
        <w:t>)</w:t>
      </w:r>
      <w:r w:rsidR="00BE62A0">
        <w:t>)</w:t>
      </w:r>
    </w:p>
    <w:p w14:paraId="34CAF317" w14:textId="34C7D400" w:rsidR="00290F23" w:rsidRPr="00290F23" w:rsidRDefault="00946966" w:rsidP="00290F23">
      <w:r w:rsidRPr="00946966">
        <w:rPr>
          <w:noProof/>
          <w:lang w:eastAsia="en-US"/>
        </w:rPr>
        <w:drawing>
          <wp:inline distT="0" distB="0" distL="0" distR="0" wp14:anchorId="711CC6AF" wp14:editId="62BF229E">
            <wp:extent cx="6134100" cy="71151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34100" cy="7115175"/>
                    </a:xfrm>
                    <a:prstGeom prst="rect">
                      <a:avLst/>
                    </a:prstGeom>
                    <a:noFill/>
                    <a:ln>
                      <a:noFill/>
                    </a:ln>
                  </pic:spPr>
                </pic:pic>
              </a:graphicData>
            </a:graphic>
          </wp:inline>
        </w:drawing>
      </w:r>
    </w:p>
    <w:p w14:paraId="5B94DCD4" w14:textId="1DD2F895" w:rsidR="000937B8" w:rsidRPr="00454255" w:rsidRDefault="00196032" w:rsidP="00454255">
      <w:pPr>
        <w:pStyle w:val="Heading2"/>
      </w:pPr>
      <w:bookmarkStart w:id="41" w:name="_Toc461684059"/>
      <w:r>
        <w:lastRenderedPageBreak/>
        <w:t>I</w:t>
      </w:r>
      <w:r w:rsidR="002A041B">
        <w:t xml:space="preserve">dentifying concerns </w:t>
      </w:r>
      <w:r w:rsidR="00841179" w:rsidRPr="00454255">
        <w:t>(Problem formulation and scoping)</w:t>
      </w:r>
      <w:bookmarkEnd w:id="41"/>
    </w:p>
    <w:p w14:paraId="00920A91" w14:textId="59CA2168" w:rsidR="000937B8" w:rsidRDefault="000937B8" w:rsidP="000937B8">
      <w:r>
        <w:t>As highlighted in the introduction a growing consensus in human health risk assessment is a greater focus towards scoping and planning of the risk assessment approach.</w:t>
      </w:r>
      <w:r w:rsidR="00107C1D">
        <w:t xml:space="preserve"> </w:t>
      </w:r>
      <w:r>
        <w:t xml:space="preserve">This is particularly important in </w:t>
      </w:r>
      <w:proofErr w:type="spellStart"/>
      <w:r>
        <w:t>vapour</w:t>
      </w:r>
      <w:proofErr w:type="spellEnd"/>
      <w:r>
        <w:t xml:space="preserve"> intrusion (including hazardous gases) assessments due to the:</w:t>
      </w:r>
    </w:p>
    <w:p w14:paraId="47104CFF" w14:textId="5980F570" w:rsidR="000937B8" w:rsidRPr="000937B8" w:rsidRDefault="000937B8" w:rsidP="00711FF5">
      <w:pPr>
        <w:pStyle w:val="ListParagraph"/>
        <w:numPr>
          <w:ilvl w:val="0"/>
          <w:numId w:val="9"/>
        </w:numPr>
        <w:rPr>
          <w:rFonts w:eastAsia="Times New Roman" w:cs="Arial"/>
          <w:b/>
          <w:sz w:val="20"/>
          <w:szCs w:val="20"/>
          <w:lang w:eastAsia="en-US"/>
        </w:rPr>
      </w:pPr>
      <w:r>
        <w:t>Dynamic nature of the exposure</w:t>
      </w:r>
      <w:r w:rsidR="000E72F2">
        <w:t>.</w:t>
      </w:r>
    </w:p>
    <w:p w14:paraId="306B6795" w14:textId="049D9A60" w:rsidR="000937B8" w:rsidRPr="000937B8" w:rsidRDefault="000E72F2" w:rsidP="00711FF5">
      <w:pPr>
        <w:pStyle w:val="ListParagraph"/>
        <w:numPr>
          <w:ilvl w:val="0"/>
          <w:numId w:val="9"/>
        </w:numPr>
        <w:rPr>
          <w:rFonts w:eastAsia="Times New Roman" w:cs="Arial"/>
          <w:b/>
          <w:sz w:val="20"/>
          <w:szCs w:val="20"/>
          <w:lang w:eastAsia="en-US"/>
        </w:rPr>
      </w:pPr>
      <w:r>
        <w:t>P</w:t>
      </w:r>
      <w:r w:rsidR="000937B8">
        <w:t>otential that retrospective, current and prospective exposures need to be considered</w:t>
      </w:r>
      <w:r>
        <w:t>.</w:t>
      </w:r>
    </w:p>
    <w:p w14:paraId="7E6E6F1B" w14:textId="2FB94B85" w:rsidR="000E72F2" w:rsidRPr="00EE4267" w:rsidRDefault="000E72F2" w:rsidP="00711FF5">
      <w:pPr>
        <w:pStyle w:val="ListParagraph"/>
        <w:numPr>
          <w:ilvl w:val="0"/>
          <w:numId w:val="9"/>
        </w:numPr>
        <w:rPr>
          <w:rFonts w:eastAsia="Times New Roman" w:cs="Arial"/>
          <w:b/>
          <w:sz w:val="20"/>
          <w:szCs w:val="20"/>
          <w:lang w:eastAsia="en-US"/>
        </w:rPr>
      </w:pPr>
      <w:r>
        <w:t>E</w:t>
      </w:r>
      <w:r w:rsidR="000937B8">
        <w:t>xposures as inhalation exposures</w:t>
      </w:r>
      <w:r>
        <w:t xml:space="preserve"> </w:t>
      </w:r>
      <w:r w:rsidR="00EE4267">
        <w:t>are</w:t>
      </w:r>
      <w:r>
        <w:t xml:space="preserve"> difficult for the community to avoid for existing dwellings and settings.</w:t>
      </w:r>
    </w:p>
    <w:p w14:paraId="4F4CDD6B" w14:textId="17519129" w:rsidR="00EE4267" w:rsidRPr="00EE4267" w:rsidRDefault="00EE4267" w:rsidP="00711FF5">
      <w:pPr>
        <w:pStyle w:val="ListParagraph"/>
        <w:numPr>
          <w:ilvl w:val="0"/>
          <w:numId w:val="9"/>
        </w:numPr>
        <w:rPr>
          <w:rFonts w:eastAsia="Times New Roman" w:cs="Arial"/>
          <w:b/>
          <w:sz w:val="20"/>
          <w:szCs w:val="20"/>
          <w:lang w:eastAsia="en-US"/>
        </w:rPr>
      </w:pPr>
      <w:r>
        <w:t xml:space="preserve">Issue that acute hazards of fire, explosion, </w:t>
      </w:r>
      <w:proofErr w:type="gramStart"/>
      <w:r>
        <w:t>asphyxiation</w:t>
      </w:r>
      <w:proofErr w:type="gramEnd"/>
      <w:r>
        <w:t xml:space="preserve"> or irritant/asthmatic responses may prevail.</w:t>
      </w:r>
    </w:p>
    <w:p w14:paraId="2F3AA24B" w14:textId="6B5CEFA8" w:rsidR="00EE4267" w:rsidRPr="000E72F2" w:rsidRDefault="00EE4267" w:rsidP="00711FF5">
      <w:pPr>
        <w:pStyle w:val="ListParagraph"/>
        <w:numPr>
          <w:ilvl w:val="0"/>
          <w:numId w:val="9"/>
        </w:numPr>
        <w:rPr>
          <w:rFonts w:eastAsia="Times New Roman" w:cs="Arial"/>
          <w:b/>
          <w:sz w:val="20"/>
          <w:szCs w:val="20"/>
          <w:lang w:eastAsia="en-US"/>
        </w:rPr>
      </w:pPr>
      <w:r>
        <w:t>Environmental setting in the case of sites under development, will change once above ground structures and below ground services are established.</w:t>
      </w:r>
    </w:p>
    <w:p w14:paraId="64990435" w14:textId="7AAEACB2" w:rsidR="00EE4267" w:rsidRDefault="00EE4267" w:rsidP="00EE4267">
      <w:r>
        <w:t>In preparing</w:t>
      </w:r>
      <w:r w:rsidR="0037423F">
        <w:t xml:space="preserve"> for a </w:t>
      </w:r>
      <w:proofErr w:type="spellStart"/>
      <w:r w:rsidR="0037423F">
        <w:t>vapour</w:t>
      </w:r>
      <w:proofErr w:type="spellEnd"/>
      <w:r w:rsidR="0037423F">
        <w:t xml:space="preserve"> intrusion assessment</w:t>
      </w:r>
      <w:r w:rsidR="00BE62A0">
        <w:t xml:space="preserve"> a series of questions should be posed, reviewed and the responses understood</w:t>
      </w:r>
      <w:r w:rsidR="0037423F">
        <w:t xml:space="preserve"> to enable an appropriate sampling framework</w:t>
      </w:r>
      <w:r w:rsidR="00BE62A0">
        <w:t xml:space="preserve"> to be developed.</w:t>
      </w:r>
      <w:r w:rsidR="0037423F">
        <w:t xml:space="preserve"> </w:t>
      </w:r>
      <w:r w:rsidR="00BE62A0">
        <w:t>These questions have been presented at the beginning of this document.</w:t>
      </w:r>
    </w:p>
    <w:p w14:paraId="35426616" w14:textId="142EDB20" w:rsidR="003D0539" w:rsidRPr="00EE4267" w:rsidRDefault="00F82115" w:rsidP="00EE4267">
      <w:pPr>
        <w:rPr>
          <w:rFonts w:eastAsia="Times New Roman" w:cs="Arial"/>
          <w:b/>
          <w:sz w:val="20"/>
          <w:szCs w:val="20"/>
          <w:lang w:eastAsia="en-US"/>
        </w:rPr>
      </w:pPr>
      <w:r>
        <w:br w:type="page"/>
      </w:r>
    </w:p>
    <w:p w14:paraId="5CCAE17C" w14:textId="421F97DA" w:rsidR="00E14595" w:rsidRPr="00800EF6" w:rsidRDefault="00841179" w:rsidP="00654BA7">
      <w:pPr>
        <w:pStyle w:val="Heading2"/>
      </w:pPr>
      <w:bookmarkStart w:id="42" w:name="_Toc461684060"/>
      <w:r>
        <w:lastRenderedPageBreak/>
        <w:t>Hazard assessment</w:t>
      </w:r>
      <w:bookmarkEnd w:id="42"/>
      <w:r>
        <w:t xml:space="preserve"> </w:t>
      </w:r>
    </w:p>
    <w:p w14:paraId="65B0B435" w14:textId="129DB827" w:rsidR="00690E7B" w:rsidRDefault="000553FC" w:rsidP="00800EF6">
      <w:pPr>
        <w:pStyle w:val="Heading3"/>
      </w:pPr>
      <w:bookmarkStart w:id="43" w:name="_Toc461684061"/>
      <w:r>
        <w:t xml:space="preserve">Understanding </w:t>
      </w:r>
      <w:r w:rsidR="00690E7B" w:rsidRPr="00800EF6">
        <w:t>toxicology</w:t>
      </w:r>
      <w:bookmarkEnd w:id="43"/>
    </w:p>
    <w:p w14:paraId="54BFBA46" w14:textId="1CF8C6AF" w:rsidR="00800EF6" w:rsidRDefault="00160B42" w:rsidP="00800EF6">
      <w:r>
        <w:t xml:space="preserve">Hazard assessment refers to understanding the intrinsic </w:t>
      </w:r>
      <w:r w:rsidR="00C60D38">
        <w:t>capacity</w:t>
      </w:r>
      <w:r>
        <w:t xml:space="preserve"> of a substance</w:t>
      </w:r>
      <w:r w:rsidR="00C60D38">
        <w:t xml:space="preserve"> to cause adverse health effects in human and animals (US EPA 1995). This capacity may be evidenced across </w:t>
      </w:r>
      <w:r>
        <w:t xml:space="preserve">a range of toxicological </w:t>
      </w:r>
      <w:r w:rsidR="00194F39">
        <w:t>parameters.</w:t>
      </w:r>
      <w:r w:rsidR="00107C1D">
        <w:t xml:space="preserve"> </w:t>
      </w:r>
      <w:r w:rsidR="00194F39">
        <w:t>D</w:t>
      </w:r>
      <w:r>
        <w:t>ata</w:t>
      </w:r>
      <w:r w:rsidR="00194F39">
        <w:t xml:space="preserve"> may be available across</w:t>
      </w:r>
      <w:r>
        <w:t xml:space="preserve"> the following:</w:t>
      </w:r>
    </w:p>
    <w:p w14:paraId="476E1D31" w14:textId="33E8DA40" w:rsidR="00160B42" w:rsidRPr="00160B42" w:rsidRDefault="00160B42" w:rsidP="00711FF5">
      <w:pPr>
        <w:pStyle w:val="ListParagraph"/>
        <w:numPr>
          <w:ilvl w:val="0"/>
          <w:numId w:val="11"/>
        </w:numPr>
        <w:rPr>
          <w:rFonts w:ascii="Times New Roman" w:eastAsia="Times New Roman" w:hAnsi="Times New Roman" w:cs="Times New Roman"/>
          <w:color w:val="254061"/>
          <w:sz w:val="26"/>
          <w:szCs w:val="24"/>
          <w:lang w:eastAsia="en-US"/>
        </w:rPr>
      </w:pPr>
      <w:r>
        <w:rPr>
          <w:lang w:val="en-AU" w:eastAsia="en-US"/>
        </w:rPr>
        <w:t xml:space="preserve">Time scales - </w:t>
      </w:r>
      <w:r w:rsidRPr="00160B42">
        <w:rPr>
          <w:lang w:val="en-AU" w:eastAsia="en-US"/>
        </w:rPr>
        <w:t>Acute/sub-chronic/chronic toxicity.</w:t>
      </w:r>
    </w:p>
    <w:p w14:paraId="6662AFEC" w14:textId="7E1FDFC6" w:rsidR="00160B42" w:rsidRPr="00160B42" w:rsidRDefault="00160B42" w:rsidP="00711FF5">
      <w:pPr>
        <w:pStyle w:val="ListParagraph"/>
        <w:numPr>
          <w:ilvl w:val="0"/>
          <w:numId w:val="11"/>
        </w:numPr>
        <w:rPr>
          <w:rFonts w:ascii="Times New Roman" w:eastAsia="Times New Roman" w:hAnsi="Times New Roman" w:cs="Times New Roman"/>
          <w:color w:val="254061"/>
          <w:sz w:val="26"/>
          <w:szCs w:val="24"/>
          <w:lang w:eastAsia="en-US"/>
        </w:rPr>
      </w:pPr>
      <w:r>
        <w:rPr>
          <w:lang w:val="en-AU" w:eastAsia="en-US"/>
        </w:rPr>
        <w:t xml:space="preserve">Localised reactions- </w:t>
      </w:r>
      <w:r w:rsidRPr="00160B42">
        <w:rPr>
          <w:lang w:val="en-AU" w:eastAsia="en-US"/>
        </w:rPr>
        <w:t>Irritation, corrosivity, sensitisation.</w:t>
      </w:r>
    </w:p>
    <w:p w14:paraId="7303E9BE" w14:textId="0D650FFA" w:rsidR="00160B42" w:rsidRPr="00160B42" w:rsidRDefault="00160B42" w:rsidP="00711FF5">
      <w:pPr>
        <w:pStyle w:val="ListParagraph"/>
        <w:numPr>
          <w:ilvl w:val="0"/>
          <w:numId w:val="11"/>
        </w:numPr>
        <w:rPr>
          <w:rFonts w:ascii="Times New Roman" w:eastAsia="Times New Roman" w:hAnsi="Times New Roman" w:cs="Times New Roman"/>
          <w:color w:val="254061"/>
          <w:sz w:val="26"/>
          <w:szCs w:val="24"/>
          <w:lang w:eastAsia="en-US"/>
        </w:rPr>
      </w:pPr>
      <w:r w:rsidRPr="00160B42">
        <w:rPr>
          <w:lang w:val="en-AU" w:eastAsia="en-US"/>
        </w:rPr>
        <w:t>Immuno-toxicity</w:t>
      </w:r>
      <w:r w:rsidR="00E970B5">
        <w:rPr>
          <w:lang w:val="en-AU" w:eastAsia="en-US"/>
        </w:rPr>
        <w:t xml:space="preserve"> and hypersensitivity reactions (Type 1 to 4)</w:t>
      </w:r>
      <w:r w:rsidRPr="00160B42">
        <w:rPr>
          <w:lang w:val="en-AU" w:eastAsia="en-US"/>
        </w:rPr>
        <w:t xml:space="preserve">. </w:t>
      </w:r>
    </w:p>
    <w:p w14:paraId="782B0546" w14:textId="5ECB1A94" w:rsidR="00160B42" w:rsidRPr="00160B42" w:rsidRDefault="00160B42" w:rsidP="00711FF5">
      <w:pPr>
        <w:pStyle w:val="ListParagraph"/>
        <w:numPr>
          <w:ilvl w:val="0"/>
          <w:numId w:val="11"/>
        </w:numPr>
        <w:rPr>
          <w:rFonts w:ascii="Times New Roman" w:eastAsia="Times New Roman" w:hAnsi="Times New Roman" w:cs="Times New Roman"/>
          <w:color w:val="254061"/>
          <w:sz w:val="26"/>
          <w:szCs w:val="24"/>
          <w:lang w:eastAsia="en-US"/>
        </w:rPr>
      </w:pPr>
      <w:r w:rsidRPr="00160B42">
        <w:rPr>
          <w:lang w:val="en-AU" w:eastAsia="en-US"/>
        </w:rPr>
        <w:t>Teratogenicity</w:t>
      </w:r>
      <w:r w:rsidR="00E970B5">
        <w:rPr>
          <w:lang w:val="en-AU" w:eastAsia="en-US"/>
        </w:rPr>
        <w:t xml:space="preserve"> (malformations)</w:t>
      </w:r>
      <w:r w:rsidRPr="00160B42">
        <w:rPr>
          <w:lang w:val="en-AU" w:eastAsia="en-US"/>
        </w:rPr>
        <w:t>.</w:t>
      </w:r>
    </w:p>
    <w:p w14:paraId="257633F6" w14:textId="31CA9C05" w:rsidR="00160B42" w:rsidRPr="00160B42" w:rsidRDefault="00194F39" w:rsidP="00711FF5">
      <w:pPr>
        <w:pStyle w:val="ListParagraph"/>
        <w:numPr>
          <w:ilvl w:val="0"/>
          <w:numId w:val="11"/>
        </w:numPr>
        <w:rPr>
          <w:rFonts w:ascii="Times New Roman" w:eastAsia="Times New Roman" w:hAnsi="Times New Roman" w:cs="Times New Roman"/>
          <w:color w:val="254061"/>
          <w:sz w:val="26"/>
          <w:szCs w:val="24"/>
          <w:lang w:eastAsia="en-US"/>
        </w:rPr>
      </w:pPr>
      <w:r>
        <w:rPr>
          <w:lang w:val="en-AU" w:eastAsia="en-US"/>
        </w:rPr>
        <w:t>Genotoxicit</w:t>
      </w:r>
      <w:r w:rsidR="00885A9F">
        <w:rPr>
          <w:lang w:val="en-AU" w:eastAsia="en-US"/>
        </w:rPr>
        <w:t>y</w:t>
      </w:r>
      <w:r>
        <w:rPr>
          <w:lang w:val="en-AU" w:eastAsia="en-US"/>
        </w:rPr>
        <w:t>/m</w:t>
      </w:r>
      <w:r w:rsidR="00160B42" w:rsidRPr="00160B42">
        <w:rPr>
          <w:lang w:val="en-AU" w:eastAsia="en-US"/>
        </w:rPr>
        <w:t>utagenicity</w:t>
      </w:r>
      <w:r w:rsidR="00E67708">
        <w:rPr>
          <w:lang w:val="en-AU" w:eastAsia="en-US"/>
        </w:rPr>
        <w:t>.</w:t>
      </w:r>
      <w:r>
        <w:rPr>
          <w:lang w:val="en-AU" w:eastAsia="en-US"/>
        </w:rPr>
        <w:t xml:space="preserve"> </w:t>
      </w:r>
    </w:p>
    <w:p w14:paraId="42B41CA3" w14:textId="7B727C32" w:rsidR="00160B42" w:rsidRPr="00160B42" w:rsidRDefault="00160B42" w:rsidP="00711FF5">
      <w:pPr>
        <w:pStyle w:val="ListParagraph"/>
        <w:numPr>
          <w:ilvl w:val="0"/>
          <w:numId w:val="11"/>
        </w:numPr>
        <w:rPr>
          <w:rFonts w:ascii="Times New Roman" w:eastAsia="Times New Roman" w:hAnsi="Times New Roman" w:cs="Times New Roman"/>
          <w:color w:val="254061"/>
          <w:sz w:val="26"/>
          <w:szCs w:val="24"/>
          <w:lang w:eastAsia="en-US"/>
        </w:rPr>
      </w:pPr>
      <w:r w:rsidRPr="00160B42">
        <w:rPr>
          <w:lang w:val="en-AU" w:eastAsia="en-US"/>
        </w:rPr>
        <w:t>Carcinogenicity.</w:t>
      </w:r>
    </w:p>
    <w:p w14:paraId="12BB82DE" w14:textId="792CE09E" w:rsidR="00160B42" w:rsidRPr="00E970B5" w:rsidRDefault="00160B42" w:rsidP="00711FF5">
      <w:pPr>
        <w:pStyle w:val="ListParagraph"/>
        <w:numPr>
          <w:ilvl w:val="0"/>
          <w:numId w:val="11"/>
        </w:numPr>
        <w:rPr>
          <w:rFonts w:ascii="Times New Roman" w:eastAsia="Times New Roman" w:hAnsi="Times New Roman" w:cs="Times New Roman"/>
          <w:color w:val="254061"/>
          <w:sz w:val="26"/>
          <w:szCs w:val="24"/>
          <w:lang w:eastAsia="en-US"/>
        </w:rPr>
      </w:pPr>
      <w:r w:rsidRPr="00160B42">
        <w:rPr>
          <w:lang w:val="en-AU" w:eastAsia="en-US"/>
        </w:rPr>
        <w:t>Reproductive toxicity.</w:t>
      </w:r>
    </w:p>
    <w:p w14:paraId="49B20535" w14:textId="64044D2D" w:rsidR="00E970B5" w:rsidRPr="00160B42" w:rsidRDefault="00E970B5" w:rsidP="00711FF5">
      <w:pPr>
        <w:pStyle w:val="ListParagraph"/>
        <w:numPr>
          <w:ilvl w:val="0"/>
          <w:numId w:val="11"/>
        </w:numPr>
        <w:rPr>
          <w:rFonts w:ascii="Times New Roman" w:eastAsia="Times New Roman" w:hAnsi="Times New Roman" w:cs="Times New Roman"/>
          <w:color w:val="254061"/>
          <w:sz w:val="26"/>
          <w:szCs w:val="24"/>
          <w:lang w:eastAsia="en-US"/>
        </w:rPr>
      </w:pPr>
      <w:r>
        <w:rPr>
          <w:lang w:val="en-AU" w:eastAsia="en-US"/>
        </w:rPr>
        <w:t>Developmental toxicity.</w:t>
      </w:r>
    </w:p>
    <w:p w14:paraId="3E983678" w14:textId="385661A5" w:rsidR="00160B42" w:rsidRPr="00160B42" w:rsidRDefault="00160B42" w:rsidP="00711FF5">
      <w:pPr>
        <w:pStyle w:val="ListParagraph"/>
        <w:numPr>
          <w:ilvl w:val="0"/>
          <w:numId w:val="11"/>
        </w:numPr>
        <w:rPr>
          <w:rFonts w:ascii="Times New Roman" w:eastAsia="Times New Roman" w:hAnsi="Times New Roman" w:cs="Times New Roman"/>
          <w:color w:val="254061"/>
          <w:sz w:val="26"/>
          <w:szCs w:val="24"/>
          <w:lang w:eastAsia="en-US"/>
        </w:rPr>
      </w:pPr>
      <w:r w:rsidRPr="00160B42">
        <w:rPr>
          <w:lang w:val="en-AU" w:eastAsia="en-US"/>
        </w:rPr>
        <w:t>Specific organ toxicity</w:t>
      </w:r>
      <w:r w:rsidR="00E970B5">
        <w:rPr>
          <w:lang w:val="en-AU" w:eastAsia="en-US"/>
        </w:rPr>
        <w:t xml:space="preserve"> (unique to the substance)</w:t>
      </w:r>
      <w:r w:rsidRPr="00160B42">
        <w:rPr>
          <w:lang w:val="en-AU" w:eastAsia="en-US"/>
        </w:rPr>
        <w:t>.</w:t>
      </w:r>
    </w:p>
    <w:p w14:paraId="5A2985A8" w14:textId="33AC3BF9" w:rsidR="00160B42" w:rsidRPr="00BE62A0" w:rsidRDefault="00BE62A0" w:rsidP="00711FF5">
      <w:pPr>
        <w:pStyle w:val="ListParagraph"/>
        <w:numPr>
          <w:ilvl w:val="0"/>
          <w:numId w:val="11"/>
        </w:numPr>
        <w:rPr>
          <w:rFonts w:ascii="Times New Roman" w:eastAsia="Times New Roman" w:hAnsi="Times New Roman" w:cs="Times New Roman"/>
          <w:color w:val="254061"/>
          <w:sz w:val="26"/>
          <w:szCs w:val="24"/>
          <w:lang w:eastAsia="en-US"/>
        </w:rPr>
      </w:pPr>
      <w:r w:rsidRPr="00BE62A0">
        <w:rPr>
          <w:lang w:val="en-AU" w:eastAsia="en-US"/>
        </w:rPr>
        <w:t>Idiosyncratic reactions</w:t>
      </w:r>
      <w:r>
        <w:rPr>
          <w:lang w:val="en-AU" w:eastAsia="en-US"/>
        </w:rPr>
        <w:t>.</w:t>
      </w:r>
      <w:r w:rsidRPr="00BE62A0">
        <w:rPr>
          <w:lang w:val="en-AU" w:eastAsia="en-US"/>
        </w:rPr>
        <w:t xml:space="preserve"> </w:t>
      </w:r>
    </w:p>
    <w:p w14:paraId="05F96210" w14:textId="44D03C24" w:rsidR="00160B42" w:rsidRPr="00194F39" w:rsidRDefault="00194F39" w:rsidP="00711FF5">
      <w:pPr>
        <w:pStyle w:val="ListParagraph"/>
        <w:numPr>
          <w:ilvl w:val="0"/>
          <w:numId w:val="11"/>
        </w:numPr>
        <w:rPr>
          <w:rFonts w:ascii="Times New Roman" w:eastAsia="Times New Roman" w:hAnsi="Times New Roman" w:cs="Times New Roman"/>
          <w:color w:val="254061"/>
          <w:sz w:val="26"/>
          <w:szCs w:val="24"/>
          <w:lang w:eastAsia="en-US"/>
        </w:rPr>
      </w:pPr>
      <w:r w:rsidRPr="00194F39">
        <w:rPr>
          <w:iCs/>
          <w:lang w:val="en-AU" w:eastAsia="en-US"/>
        </w:rPr>
        <w:t xml:space="preserve">A range of </w:t>
      </w:r>
      <w:r w:rsidRPr="00194F39">
        <w:rPr>
          <w:i/>
          <w:iCs/>
          <w:lang w:val="en-AU" w:eastAsia="en-US"/>
        </w:rPr>
        <w:t>In-vitro</w:t>
      </w:r>
      <w:r w:rsidRPr="00194F39">
        <w:rPr>
          <w:iCs/>
          <w:lang w:val="en-AU" w:eastAsia="en-US"/>
        </w:rPr>
        <w:t xml:space="preserve"> toxicity testing endpoints </w:t>
      </w:r>
      <w:r>
        <w:rPr>
          <w:iCs/>
          <w:lang w:val="en-AU" w:eastAsia="en-US"/>
        </w:rPr>
        <w:t xml:space="preserve">designed to reduce the need for </w:t>
      </w:r>
      <w:r w:rsidRPr="00E67708">
        <w:rPr>
          <w:i/>
          <w:iCs/>
          <w:lang w:val="en-AU" w:eastAsia="en-US"/>
        </w:rPr>
        <w:t>in-vivo</w:t>
      </w:r>
      <w:r>
        <w:rPr>
          <w:iCs/>
          <w:lang w:val="en-AU" w:eastAsia="en-US"/>
        </w:rPr>
        <w:t xml:space="preserve"> testing</w:t>
      </w:r>
      <w:r w:rsidR="00E67708">
        <w:rPr>
          <w:iCs/>
          <w:lang w:val="en-AU" w:eastAsia="en-US"/>
        </w:rPr>
        <w:t>.</w:t>
      </w:r>
    </w:p>
    <w:p w14:paraId="6CA8080B" w14:textId="5824140F" w:rsidR="009D39EA" w:rsidRDefault="00111EE6" w:rsidP="00160B42">
      <w:r>
        <w:t>Data across these parameters may be obtained from laboratory animal studies; individual human data based on human experiences (</w:t>
      </w:r>
      <w:proofErr w:type="gramStart"/>
      <w:r>
        <w:t>e.g.</w:t>
      </w:r>
      <w:proofErr w:type="gramEnd"/>
      <w:r>
        <w:t xml:space="preserve"> case studies of poisoning or controlled chamber studies) and population studies (epidemiological evaluations) in environmental or occupational settings. </w:t>
      </w:r>
      <w:r w:rsidR="000553FC">
        <w:t xml:space="preserve"> </w:t>
      </w:r>
      <w:r w:rsidR="000553FC" w:rsidRPr="00E67708">
        <w:rPr>
          <w:i/>
        </w:rPr>
        <w:t>In-vitro</w:t>
      </w:r>
      <w:r w:rsidR="000553FC">
        <w:t xml:space="preserve"> data </w:t>
      </w:r>
      <w:r w:rsidR="00AA4903">
        <w:t>and structure-</w:t>
      </w:r>
      <w:r w:rsidR="000553FC">
        <w:t>activity</w:t>
      </w:r>
      <w:r w:rsidR="00AA4903">
        <w:t xml:space="preserve"> relationship</w:t>
      </w:r>
      <w:r w:rsidR="000553FC">
        <w:t xml:space="preserve"> data provide additional information but through less direct methods.</w:t>
      </w:r>
      <w:r w:rsidR="00107C1D">
        <w:t xml:space="preserve"> </w:t>
      </w:r>
      <w:r w:rsidR="000553FC">
        <w:t>Dose-response data subsequently obtained may include those related to substances exhibiting a lower limit (threshold) below which adverse effects are not reported to those where no threshold is observed.</w:t>
      </w:r>
      <w:r w:rsidR="00107C1D">
        <w:t xml:space="preserve"> </w:t>
      </w:r>
      <w:r w:rsidR="000553FC">
        <w:t xml:space="preserve">The latter </w:t>
      </w:r>
      <w:r w:rsidR="00626354">
        <w:t xml:space="preserve">may </w:t>
      </w:r>
      <w:r w:rsidR="000553FC">
        <w:t xml:space="preserve">employ probabilistic expressions </w:t>
      </w:r>
      <w:r w:rsidR="00626354">
        <w:t>of</w:t>
      </w:r>
      <w:r w:rsidR="000553FC">
        <w:t xml:space="preserve"> risk </w:t>
      </w:r>
      <w:r w:rsidR="00626354">
        <w:t>of the adverse outcome per unit intake (based on linear low dose extrapolation) or as a unit intake for a set proportion of the experimental population (Benchmark dose, based on non-linear low dose extrapolation)</w:t>
      </w:r>
      <w:r w:rsidR="00F800D9">
        <w:t xml:space="preserve"> (refer </w:t>
      </w:r>
      <w:proofErr w:type="spellStart"/>
      <w:r w:rsidR="00F800D9">
        <w:t>Filipsson</w:t>
      </w:r>
      <w:proofErr w:type="spellEnd"/>
      <w:r w:rsidR="00F800D9">
        <w:t xml:space="preserve"> </w:t>
      </w:r>
      <w:r w:rsidR="009A47BA">
        <w:t>et al.,</w:t>
      </w:r>
      <w:r w:rsidR="00F800D9">
        <w:t xml:space="preserve"> 2003)</w:t>
      </w:r>
      <w:r w:rsidR="00626354">
        <w:t xml:space="preserve">.  </w:t>
      </w:r>
    </w:p>
    <w:p w14:paraId="585DC858" w14:textId="676B24E7" w:rsidR="00885A9F" w:rsidRDefault="00885A9F" w:rsidP="00160B42">
      <w:r>
        <w:t xml:space="preserve">In reviewing the hazard of a </w:t>
      </w:r>
      <w:proofErr w:type="gramStart"/>
      <w:r>
        <w:t>substance</w:t>
      </w:r>
      <w:proofErr w:type="gramEnd"/>
      <w:r>
        <w:t xml:space="preserve"> it is important to ensure that population-specific and pathway-specific factors are considered concurrent with the timeframes for a particular adverse effect.</w:t>
      </w:r>
      <w:r w:rsidR="00107C1D">
        <w:t xml:space="preserve"> </w:t>
      </w:r>
      <w:r>
        <w:t xml:space="preserve">These timeframes will be important in considering the seriousness of an effect in a population and the nature of the exposure mitigation that may be required. </w:t>
      </w:r>
      <w:r w:rsidR="00C60D38">
        <w:t>enHealth (2012a, p25) consider key issues in hazard identification to include:</w:t>
      </w:r>
    </w:p>
    <w:p w14:paraId="5D65D906" w14:textId="091F09F4" w:rsidR="00C60D38" w:rsidRDefault="00111EE6" w:rsidP="00711FF5">
      <w:pPr>
        <w:pStyle w:val="ListParagraph"/>
        <w:numPr>
          <w:ilvl w:val="0"/>
          <w:numId w:val="12"/>
        </w:numPr>
      </w:pPr>
      <w:r>
        <w:t>Nature,</w:t>
      </w:r>
      <w:r w:rsidR="000553FC">
        <w:t xml:space="preserve"> </w:t>
      </w:r>
      <w:proofErr w:type="gramStart"/>
      <w:r>
        <w:t>r</w:t>
      </w:r>
      <w:r w:rsidR="00C60D38">
        <w:t>eliability</w:t>
      </w:r>
      <w:proofErr w:type="gramEnd"/>
      <w:r w:rsidR="00C60D38">
        <w:t xml:space="preserve"> and consistency of </w:t>
      </w:r>
      <w:r>
        <w:t>studies</w:t>
      </w:r>
    </w:p>
    <w:p w14:paraId="12742E46" w14:textId="7B55212E" w:rsidR="00111EE6" w:rsidRDefault="00111EE6" w:rsidP="00711FF5">
      <w:pPr>
        <w:pStyle w:val="ListParagraph"/>
        <w:numPr>
          <w:ilvl w:val="0"/>
          <w:numId w:val="12"/>
        </w:numPr>
      </w:pPr>
      <w:r>
        <w:t>Mechanistic information</w:t>
      </w:r>
      <w:r w:rsidR="000553FC">
        <w:t xml:space="preserve"> and mode of action</w:t>
      </w:r>
    </w:p>
    <w:p w14:paraId="1DA39BC3" w14:textId="3EFB19DC" w:rsidR="00111EE6" w:rsidRDefault="00111EE6" w:rsidP="00711FF5">
      <w:pPr>
        <w:pStyle w:val="ListParagraph"/>
        <w:numPr>
          <w:ilvl w:val="0"/>
          <w:numId w:val="12"/>
        </w:numPr>
      </w:pPr>
      <w:r>
        <w:t>Relevance to humans</w:t>
      </w:r>
    </w:p>
    <w:p w14:paraId="34D21C1D" w14:textId="5FAB794D" w:rsidR="00160B42" w:rsidRDefault="00885A9F" w:rsidP="00160B42">
      <w:r>
        <w:t>Information across the above parameters is used in establishing pathway-specific toxicological reference values</w:t>
      </w:r>
      <w:r w:rsidR="003247D4">
        <w:t xml:space="preserve"> (TRVs)</w:t>
      </w:r>
      <w:r w:rsidR="00626354">
        <w:t xml:space="preserve"> or population-based air quality guidelines</w:t>
      </w:r>
      <w:r>
        <w:t xml:space="preserve"> which reflect a dose-respon</w:t>
      </w:r>
      <w:r w:rsidR="00626354">
        <w:t>se relationship for that effect and are used as risk assessment endpoints.</w:t>
      </w:r>
      <w:r w:rsidR="000553FC">
        <w:t xml:space="preserve"> </w:t>
      </w:r>
    </w:p>
    <w:p w14:paraId="0D8E9433" w14:textId="6898EF04" w:rsidR="003247D4" w:rsidRDefault="003247D4" w:rsidP="00160B42"/>
    <w:p w14:paraId="25327429" w14:textId="06A90E33" w:rsidR="00E14595" w:rsidRPr="00E33479" w:rsidRDefault="00E14595" w:rsidP="00E33479">
      <w:pPr>
        <w:pStyle w:val="Heading3"/>
      </w:pPr>
      <w:bookmarkStart w:id="44" w:name="_Ref454090868"/>
      <w:bookmarkStart w:id="45" w:name="_Toc461684062"/>
      <w:proofErr w:type="spellStart"/>
      <w:r w:rsidRPr="00E33479">
        <w:lastRenderedPageBreak/>
        <w:t>Toxico</w:t>
      </w:r>
      <w:proofErr w:type="spellEnd"/>
      <w:r w:rsidRPr="00E33479">
        <w:t>-kinetics</w:t>
      </w:r>
      <w:r w:rsidR="00690E7B" w:rsidRPr="00E33479">
        <w:t xml:space="preserve"> and </w:t>
      </w:r>
      <w:proofErr w:type="spellStart"/>
      <w:r w:rsidR="00690E7B" w:rsidRPr="00E33479">
        <w:t>toxico</w:t>
      </w:r>
      <w:proofErr w:type="spellEnd"/>
      <w:r w:rsidR="00690E7B" w:rsidRPr="00E33479">
        <w:t>-dynamics</w:t>
      </w:r>
      <w:bookmarkEnd w:id="44"/>
      <w:bookmarkEnd w:id="45"/>
    </w:p>
    <w:p w14:paraId="5E585E89" w14:textId="6B823D7F" w:rsidR="005A4665" w:rsidRDefault="008A0EFA" w:rsidP="005A4665">
      <w:proofErr w:type="spellStart"/>
      <w:r>
        <w:t>Toxico</w:t>
      </w:r>
      <w:proofErr w:type="spellEnd"/>
      <w:r>
        <w:t xml:space="preserve">-kinetics reflects the processes of absorption, distribution, </w:t>
      </w:r>
      <w:proofErr w:type="gramStart"/>
      <w:r>
        <w:t>metabolism</w:t>
      </w:r>
      <w:proofErr w:type="gramEnd"/>
      <w:r>
        <w:t xml:space="preserve"> and excretion in the human body while </w:t>
      </w:r>
      <w:proofErr w:type="spellStart"/>
      <w:r>
        <w:t>toxico</w:t>
      </w:r>
      <w:proofErr w:type="spellEnd"/>
      <w:r>
        <w:t>-dynamics reflects the ability of individual substances within the body to interact</w:t>
      </w:r>
      <w:r w:rsidR="00EB427F">
        <w:t>.</w:t>
      </w:r>
      <w:r w:rsidR="00107C1D">
        <w:t xml:space="preserve"> </w:t>
      </w:r>
      <w:r w:rsidR="00EB427F">
        <w:t xml:space="preserve">The latter may change the </w:t>
      </w:r>
      <w:r>
        <w:t xml:space="preserve">magnitude of the co-exposure </w:t>
      </w:r>
      <w:r w:rsidR="00EB427F">
        <w:t xml:space="preserve">resulting in the effect being </w:t>
      </w:r>
      <w:r>
        <w:t>additive,</w:t>
      </w:r>
      <w:r w:rsidR="00EB427F">
        <w:t xml:space="preserve"> potentiated</w:t>
      </w:r>
      <w:r>
        <w:t>, synergistic or antagonistic.</w:t>
      </w:r>
    </w:p>
    <w:p w14:paraId="5F86491B" w14:textId="794F55D1" w:rsidR="008A0EFA" w:rsidRPr="008A0EFA" w:rsidRDefault="008A0EFA" w:rsidP="005A4665">
      <w:r>
        <w:t>The kinetics of chemical intake play</w:t>
      </w:r>
      <w:r w:rsidR="002177E2">
        <w:t>s</w:t>
      </w:r>
      <w:r>
        <w:t xml:space="preserve"> a role in estimating uptake and the potential for the body burden to increase with sustained exposure</w:t>
      </w:r>
      <w:r w:rsidR="00AA4903">
        <w:t xml:space="preserve"> while interactions for mixtures may result in a residual uncertainty of concern for a human health risk assessment. </w:t>
      </w:r>
      <w:r>
        <w:t xml:space="preserve">These factors are important considerations in exposure measurement or estimations and </w:t>
      </w:r>
      <w:proofErr w:type="gramStart"/>
      <w:r>
        <w:t>in particular with</w:t>
      </w:r>
      <w:proofErr w:type="gramEnd"/>
      <w:r>
        <w:t xml:space="preserve"> biological monitoring </w:t>
      </w:r>
      <w:r w:rsidR="00AA4903">
        <w:t xml:space="preserve">which </w:t>
      </w:r>
      <w:r>
        <w:t>may be used to provide confirmatory information on exposure assessments.</w:t>
      </w:r>
    </w:p>
    <w:p w14:paraId="5AE3E748" w14:textId="2D3060A5" w:rsidR="005A4665" w:rsidRPr="00AA4903" w:rsidRDefault="002E7855" w:rsidP="002E7855">
      <w:r>
        <w:t xml:space="preserve">A range of factors related to exposure estimations; alignment of measurement methods to toxicological outcomes, data interpolation and extrapolation; peak exposures and population </w:t>
      </w:r>
      <w:proofErr w:type="spellStart"/>
      <w:r>
        <w:t>behaviours</w:t>
      </w:r>
      <w:proofErr w:type="spellEnd"/>
      <w:r>
        <w:t xml:space="preserve"> require consideration. </w:t>
      </w:r>
    </w:p>
    <w:p w14:paraId="1B9F134D" w14:textId="77777777" w:rsidR="00E14595" w:rsidRPr="003247D4" w:rsidRDefault="00E14595" w:rsidP="00654BA7">
      <w:pPr>
        <w:pStyle w:val="Heading2"/>
      </w:pPr>
      <w:bookmarkStart w:id="46" w:name="_Toc461684063"/>
      <w:r w:rsidRPr="003247D4">
        <w:t>Exposure assessment</w:t>
      </w:r>
      <w:bookmarkEnd w:id="46"/>
    </w:p>
    <w:p w14:paraId="40B4329C" w14:textId="4D542854" w:rsidR="00E14595" w:rsidRPr="003247D4" w:rsidRDefault="00E14595" w:rsidP="00391D01">
      <w:pPr>
        <w:pStyle w:val="Heading3"/>
      </w:pPr>
      <w:bookmarkStart w:id="47" w:name="_Toc461684064"/>
      <w:r w:rsidRPr="003247D4">
        <w:t>Exposure measurement</w:t>
      </w:r>
      <w:r w:rsidR="0006036A">
        <w:t xml:space="preserve"> and estimations</w:t>
      </w:r>
      <w:bookmarkEnd w:id="47"/>
    </w:p>
    <w:p w14:paraId="52120C0B" w14:textId="0D3371FA" w:rsidR="00331ADA" w:rsidRDefault="00E33479" w:rsidP="00711FD5">
      <w:r w:rsidRPr="00E33479">
        <w:t>Expos</w:t>
      </w:r>
      <w:r>
        <w:t>u</w:t>
      </w:r>
      <w:r w:rsidRPr="00E33479">
        <w:t xml:space="preserve">re assessment refers to the </w:t>
      </w:r>
      <w:r>
        <w:t>measurement or estimation of intake of a chemical into the human body.</w:t>
      </w:r>
      <w:r w:rsidR="00107C1D">
        <w:t xml:space="preserve"> </w:t>
      </w:r>
      <w:r>
        <w:t>This may be measured within the breathing zone of an individual for volatiles or from a static location as undertaken in population studies of exposure.</w:t>
      </w:r>
      <w:r w:rsidR="00107C1D">
        <w:t xml:space="preserve"> </w:t>
      </w:r>
      <w:r w:rsidR="00331ADA">
        <w:t xml:space="preserve">This may also be estimated using exposure equations and exposure factors </w:t>
      </w:r>
      <w:r w:rsidR="0033324C">
        <w:t>associated with those equations.</w:t>
      </w:r>
      <w:r w:rsidR="00331ADA">
        <w:t xml:space="preserve"> </w:t>
      </w:r>
      <w:r w:rsidR="00EE5980">
        <w:t>A representation of the role of exposure</w:t>
      </w:r>
      <w:r w:rsidR="00C800F9">
        <w:t xml:space="preserve"> in environmental health</w:t>
      </w:r>
      <w:r w:rsidR="00EE5980">
        <w:t xml:space="preserve"> is presented in </w:t>
      </w:r>
      <w:r w:rsidR="00C800F9">
        <w:fldChar w:fldCharType="begin"/>
      </w:r>
      <w:r w:rsidR="00C800F9">
        <w:instrText xml:space="preserve"> REF _Ref454863546 \h </w:instrText>
      </w:r>
      <w:r w:rsidR="00C800F9">
        <w:fldChar w:fldCharType="separate"/>
      </w:r>
      <w:r w:rsidR="006A5935">
        <w:t xml:space="preserve">Figure </w:t>
      </w:r>
      <w:r w:rsidR="006A5935">
        <w:rPr>
          <w:noProof/>
        </w:rPr>
        <w:t>9</w:t>
      </w:r>
      <w:r w:rsidR="00C800F9">
        <w:fldChar w:fldCharType="end"/>
      </w:r>
      <w:r w:rsidR="00C800F9">
        <w:t>.</w:t>
      </w:r>
    </w:p>
    <w:p w14:paraId="2CB0A540" w14:textId="7D6D349C" w:rsidR="00EB427F" w:rsidRDefault="00E80AC3" w:rsidP="00EB427F">
      <w:r>
        <w:t>The latter</w:t>
      </w:r>
      <w:r w:rsidR="00331ADA">
        <w:t xml:space="preserve"> were based on inhalation rates and bodyweight once the atmospheric concentrations were known</w:t>
      </w:r>
      <w:r w:rsidR="00EB427F">
        <w:t xml:space="preserve">. More </w:t>
      </w:r>
      <w:r w:rsidR="00331ADA">
        <w:t>recently</w:t>
      </w:r>
      <w:r w:rsidR="0099536F">
        <w:t>,</w:t>
      </w:r>
      <w:r w:rsidR="00331ADA">
        <w:t xml:space="preserve"> changes in inhalation dosimetry brought about by concerns over child susceptibility</w:t>
      </w:r>
      <w:r w:rsidR="0099536F">
        <w:t xml:space="preserve"> and increased internal dose</w:t>
      </w:r>
      <w:r w:rsidR="00331ADA">
        <w:t xml:space="preserve"> (see </w:t>
      </w:r>
      <w:r w:rsidR="0099536F">
        <w:t xml:space="preserve">Ginsberg </w:t>
      </w:r>
      <w:r w:rsidR="009A47BA">
        <w:t>et al.,</w:t>
      </w:r>
      <w:r w:rsidR="0099536F">
        <w:t xml:space="preserve"> 2008) has led to reviews in how inhalation doses are calculated</w:t>
      </w:r>
      <w:r w:rsidR="00332C6F">
        <w:t xml:space="preserve"> (see </w:t>
      </w:r>
      <w:proofErr w:type="spellStart"/>
      <w:r w:rsidR="00332C6F">
        <w:t>Turczynowicz</w:t>
      </w:r>
      <w:proofErr w:type="spellEnd"/>
      <w:r w:rsidR="00332C6F">
        <w:t xml:space="preserve"> </w:t>
      </w:r>
      <w:r w:rsidR="007F3045">
        <w:t>et al.,</w:t>
      </w:r>
      <w:r w:rsidR="007B49F3">
        <w:t xml:space="preserve"> 2012, pp996-999 for additional </w:t>
      </w:r>
      <w:r w:rsidR="00EB427F">
        <w:t>discussion).  This US EPA position led to changes in inhalation assessment from that originally proposed (US EPA 1994). Status reports on inhalation dosimetry were produced in 2009 and 2011 (US EPA, 2009; 2011a) with a final position paper in 2012 for risk assessment purposes (US EPA, 2012).  While this updated review is focused on chronic inhalation reference concentrations, the derivation of acute reference concentrations is contained within OECD guidance (OECD, 2011). Current US EPA guidance (US EPA 2009a (RAGS F), (adopted by enHealth 2012a, p52) now considers the use of an exposure concentration and duration calculation rather than the use of inhalation and body weight calculations.</w:t>
      </w:r>
      <w:r w:rsidR="00107C1D">
        <w:t xml:space="preserve"> </w:t>
      </w:r>
      <w:r w:rsidR="00EB427F">
        <w:t>This is on the premise that dosimetry considerations as presented in US EPA (2009) have been included in the derivation of the chronic reference inhalation concentration of interest.</w:t>
      </w:r>
    </w:p>
    <w:p w14:paraId="2A490F97" w14:textId="77777777" w:rsidR="002A041B" w:rsidRDefault="002A041B" w:rsidP="00711FD5"/>
    <w:p w14:paraId="1B1F1BB3" w14:textId="5EA65082" w:rsidR="00C800F9" w:rsidRDefault="00C800F9" w:rsidP="00C800F9">
      <w:pPr>
        <w:pStyle w:val="Caption"/>
        <w:keepNext/>
      </w:pPr>
      <w:bookmarkStart w:id="48" w:name="_Ref454863546"/>
      <w:r>
        <w:lastRenderedPageBreak/>
        <w:t xml:space="preserve">Figure </w:t>
      </w:r>
      <w:fldSimple w:instr=" SEQ Figure \* ARABIC ">
        <w:r w:rsidR="006A5935">
          <w:rPr>
            <w:noProof/>
          </w:rPr>
          <w:t>9</w:t>
        </w:r>
      </w:fldSimple>
      <w:bookmarkEnd w:id="48"/>
      <w:r>
        <w:t>: The role of expo</w:t>
      </w:r>
      <w:r w:rsidR="00E04410">
        <w:t>s</w:t>
      </w:r>
      <w:r>
        <w:t>ure in the environmental healt</w:t>
      </w:r>
      <w:r w:rsidR="00B43AF7">
        <w:t>h framework (from IPCS</w:t>
      </w:r>
      <w:r>
        <w:t>,1999)</w:t>
      </w:r>
    </w:p>
    <w:p w14:paraId="00B8B84C" w14:textId="77777777" w:rsidR="00C800F9" w:rsidRDefault="00C800F9" w:rsidP="00711FD5">
      <w:r w:rsidRPr="00C800F9">
        <w:rPr>
          <w:noProof/>
          <w:lang w:eastAsia="en-US"/>
        </w:rPr>
        <w:drawing>
          <wp:inline distT="0" distB="0" distL="0" distR="0" wp14:anchorId="6E28BFD8" wp14:editId="3100695D">
            <wp:extent cx="5017864" cy="4737735"/>
            <wp:effectExtent l="0" t="0" r="0" b="5715"/>
            <wp:docPr id="16" name="Picture 16" descr="K:\2016\UofA\enHealth\v210eh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2016\UofA\enHealth\v210eh0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23558" cy="4743111"/>
                    </a:xfrm>
                    <a:prstGeom prst="rect">
                      <a:avLst/>
                    </a:prstGeom>
                    <a:noFill/>
                    <a:ln>
                      <a:noFill/>
                    </a:ln>
                  </pic:spPr>
                </pic:pic>
              </a:graphicData>
            </a:graphic>
          </wp:inline>
        </w:drawing>
      </w:r>
    </w:p>
    <w:p w14:paraId="11DB0E04" w14:textId="77777777" w:rsidR="00C800F9" w:rsidRDefault="00C800F9" w:rsidP="00711FD5"/>
    <w:p w14:paraId="48BC5FC0" w14:textId="56BEB710" w:rsidR="00331ADA" w:rsidRPr="00E33479" w:rsidRDefault="00112838" w:rsidP="00711FD5">
      <w:r>
        <w:t>In considering exposu</w:t>
      </w:r>
      <w:r w:rsidR="0033324C">
        <w:t>re assessment</w:t>
      </w:r>
      <w:r w:rsidR="00B43AF7">
        <w:t>,</w:t>
      </w:r>
      <w:r w:rsidR="00EB427F">
        <w:t xml:space="preserve"> a range of issues </w:t>
      </w:r>
      <w:r w:rsidR="00C56C37">
        <w:t>should</w:t>
      </w:r>
      <w:r>
        <w:t xml:space="preserve"> be </w:t>
      </w:r>
      <w:proofErr w:type="gramStart"/>
      <w:r w:rsidR="00C56C37">
        <w:t>reviewed</w:t>
      </w:r>
      <w:proofErr w:type="gramEnd"/>
      <w:r w:rsidR="00EB427F">
        <w:t xml:space="preserve"> and these have been presented </w:t>
      </w:r>
      <w:r w:rsidR="002A3FA7">
        <w:t>at the beginning of this document as a series of questions.</w:t>
      </w:r>
    </w:p>
    <w:p w14:paraId="03BFADE5" w14:textId="2219EFFC" w:rsidR="009F32F6" w:rsidRDefault="00C85A43" w:rsidP="003065F5">
      <w:pPr>
        <w:pStyle w:val="Heading3"/>
      </w:pPr>
      <w:bookmarkStart w:id="49" w:name="_Toc461684065"/>
      <w:r>
        <w:t>Environmental and</w:t>
      </w:r>
      <w:r w:rsidR="00F5524A">
        <w:t xml:space="preserve"> </w:t>
      </w:r>
      <w:r w:rsidR="009F32F6">
        <w:t>COPC</w:t>
      </w:r>
      <w:r>
        <w:t xml:space="preserve"> parameters</w:t>
      </w:r>
      <w:r w:rsidR="00F5524A">
        <w:t xml:space="preserve"> and exposure</w:t>
      </w:r>
      <w:r w:rsidR="009F32F6">
        <w:t xml:space="preserve"> factors</w:t>
      </w:r>
      <w:bookmarkEnd w:id="49"/>
    </w:p>
    <w:p w14:paraId="705238CD" w14:textId="26EEAB83" w:rsidR="009F32F6" w:rsidRDefault="009F32F6" w:rsidP="009F32F6">
      <w:r>
        <w:t xml:space="preserve">Environmental </w:t>
      </w:r>
      <w:r w:rsidR="00C85A43">
        <w:t>parameters</w:t>
      </w:r>
      <w:r>
        <w:t xml:space="preserve"> reflect those input </w:t>
      </w:r>
      <w:r w:rsidR="00C85A43">
        <w:t xml:space="preserve">variables </w:t>
      </w:r>
      <w:r>
        <w:t>used in modelling that describe soil properties (</w:t>
      </w:r>
      <w:proofErr w:type="gramStart"/>
      <w:r>
        <w:t>e</w:t>
      </w:r>
      <w:r w:rsidR="00F5524A">
        <w:t>.g</w:t>
      </w:r>
      <w:r>
        <w:t>.</w:t>
      </w:r>
      <w:proofErr w:type="gramEnd"/>
      <w:r w:rsidR="00F5524A">
        <w:t xml:space="preserve"> soil porosity,</w:t>
      </w:r>
      <w:r w:rsidR="003067CA">
        <w:t xml:space="preserve"> organic carbon content,</w:t>
      </w:r>
      <w:r w:rsidR="00F5524A">
        <w:t xml:space="preserve"> bulk density, moisture content,</w:t>
      </w:r>
      <w:r w:rsidR="00C85A43">
        <w:t xml:space="preserve"> soil permeability) while COPC paramete</w:t>
      </w:r>
      <w:r w:rsidR="002669D1">
        <w:t xml:space="preserve">rs include those related to </w:t>
      </w:r>
      <w:proofErr w:type="spellStart"/>
      <w:r w:rsidR="00C85A43">
        <w:t>physico</w:t>
      </w:r>
      <w:proofErr w:type="spellEnd"/>
      <w:r w:rsidR="00C85A43">
        <w:t xml:space="preserve">-chemical properties such as volatility measures, diffusion coefficients in soil or water; soil, water and air degradation rates and aqueous solubility which will affect fate and transport in the environment. </w:t>
      </w:r>
      <w:r w:rsidR="00C56E0C">
        <w:t>The other group of environmental parameters include building characteristics such as area, volume, structural design (stilt elevation, concrete slab, suspended floor, waffle pods, foundation/floor; double brick/brick veneer/timber), ventilation rates, pressure differentials, multiple levels, stairwells, lift</w:t>
      </w:r>
      <w:r w:rsidR="00A42F87">
        <w:t xml:space="preserve"> </w:t>
      </w:r>
      <w:r w:rsidR="00C56E0C">
        <w:t>wells, internal atria, cooling and heating systems and location (meteorological factors).</w:t>
      </w:r>
    </w:p>
    <w:p w14:paraId="15BC1D97" w14:textId="61883357" w:rsidR="00A42F87" w:rsidRPr="009F32F6" w:rsidRDefault="00A42F87" w:rsidP="009F32F6">
      <w:r>
        <w:lastRenderedPageBreak/>
        <w:t>Exposure factors are those related to the population of interest</w:t>
      </w:r>
      <w:r w:rsidR="008B652C">
        <w:t xml:space="preserve"> </w:t>
      </w:r>
      <w:r>
        <w:t xml:space="preserve">such as </w:t>
      </w:r>
      <w:r w:rsidR="003067CA">
        <w:t xml:space="preserve">population demographics, activity patterns, </w:t>
      </w:r>
      <w:r>
        <w:t>residence time, inhalation rate</w:t>
      </w:r>
      <w:r w:rsidR="003067CA">
        <w:t xml:space="preserve"> (when applicable)</w:t>
      </w:r>
      <w:r>
        <w:t>, bodyweight</w:t>
      </w:r>
      <w:r w:rsidR="003067CA">
        <w:t xml:space="preserve"> (when applicable)</w:t>
      </w:r>
      <w:r>
        <w:t>, inhalation sensitivity adjustments for childre</w:t>
      </w:r>
      <w:r w:rsidR="003067CA">
        <w:t>n, uptake factors (where a</w:t>
      </w:r>
      <w:r w:rsidR="00527CF1">
        <w:t xml:space="preserve">vailable), background exposures and </w:t>
      </w:r>
      <w:r w:rsidR="003067CA">
        <w:t>sensitive sub-populations</w:t>
      </w:r>
      <w:r w:rsidR="00225A23">
        <w:t xml:space="preserve">. While some of these are not specific variables in exposure </w:t>
      </w:r>
      <w:proofErr w:type="gramStart"/>
      <w:r w:rsidR="00225A23">
        <w:t>equations</w:t>
      </w:r>
      <w:proofErr w:type="gramEnd"/>
      <w:r w:rsidR="00225A23">
        <w:t xml:space="preserve"> they are factors required for consideration in exposure. </w:t>
      </w:r>
      <w:r w:rsidR="009F7406">
        <w:t xml:space="preserve">  </w:t>
      </w:r>
    </w:p>
    <w:p w14:paraId="7CF73F80" w14:textId="1F297B21" w:rsidR="00E14595" w:rsidRDefault="00E14595" w:rsidP="002669D1">
      <w:pPr>
        <w:pStyle w:val="Heading4"/>
      </w:pPr>
      <w:r w:rsidRPr="00E33479">
        <w:t>Site-specificity</w:t>
      </w:r>
      <w:r w:rsidR="00F5524A">
        <w:t xml:space="preserve"> and representativeness</w:t>
      </w:r>
    </w:p>
    <w:p w14:paraId="3D72A728" w14:textId="62AC16FA" w:rsidR="003065F5" w:rsidRDefault="009F32F6" w:rsidP="003065F5">
      <w:r>
        <w:t xml:space="preserve">There is a substantial body of published literature across </w:t>
      </w:r>
      <w:r w:rsidR="00527CF1">
        <w:t>exposure assessment parameters including those associated with the COPC (from physical/chemical databases); across soil (soil science databases</w:t>
      </w:r>
      <w:r w:rsidR="00225A23">
        <w:t xml:space="preserve">, regulatory </w:t>
      </w:r>
      <w:proofErr w:type="gramStart"/>
      <w:r w:rsidR="00225A23">
        <w:t>standards</w:t>
      </w:r>
      <w:proofErr w:type="gramEnd"/>
      <w:r w:rsidR="00527CF1">
        <w:t xml:space="preserve"> and publications) and across building characteristics</w:t>
      </w:r>
      <w:r w:rsidR="00225A23">
        <w:t xml:space="preserve"> (Federal government and other surveys, peer-reviewed literature).</w:t>
      </w:r>
    </w:p>
    <w:p w14:paraId="7EFA6F53" w14:textId="5282E288" w:rsidR="00603EA1" w:rsidRDefault="00603EA1" w:rsidP="003065F5">
      <w:r>
        <w:t>In the case of exposure factors for populations both enHealth (2012b) and US EPA (2011</w:t>
      </w:r>
      <w:r w:rsidR="000D5154">
        <w:t>a</w:t>
      </w:r>
      <w:r>
        <w:t xml:space="preserve">) have developed </w:t>
      </w:r>
      <w:r w:rsidR="000F658C">
        <w:t>comprehensive exposure factors handbooks.</w:t>
      </w:r>
      <w:r w:rsidR="007F7D2D">
        <w:t xml:space="preserve"> </w:t>
      </w:r>
      <w:r w:rsidR="000F658C">
        <w:t>The US EPA</w:t>
      </w:r>
      <w:r w:rsidR="00C04FC9">
        <w:t xml:space="preserve"> (2009b) also prepared a child-specific exposure factors publication in view of concerns regarding childhood susceptibilities to environmental toxicants.</w:t>
      </w:r>
    </w:p>
    <w:p w14:paraId="574D31E7" w14:textId="125CEA8D" w:rsidR="00C04FC9" w:rsidRDefault="00C04FC9" w:rsidP="003065F5">
      <w:r>
        <w:t>Across this plethora of data, it is important to ensure that all parameters are representative of site-specific and region-specific conditions.</w:t>
      </w:r>
      <w:r w:rsidR="007F7D2D">
        <w:t xml:space="preserve"> </w:t>
      </w:r>
      <w:r>
        <w:t>They should be representative of</w:t>
      </w:r>
      <w:r w:rsidR="003F7C06">
        <w:t xml:space="preserve"> site conditions and</w:t>
      </w:r>
      <w:r>
        <w:t xml:space="preserve"> the population group that warrants public health protection and if there are residual uncertainties the ‘precautionary principle’ should </w:t>
      </w:r>
      <w:proofErr w:type="gramStart"/>
      <w:r>
        <w:t>apply</w:t>
      </w:r>
      <w:proofErr w:type="gramEnd"/>
      <w:r>
        <w:t xml:space="preserve"> and conservative estimates presented. This level of protection should be ensured until residual conservatism can be reduced with the acquisition of new data from peer-reviewed scientific research</w:t>
      </w:r>
      <w:r w:rsidR="003F7C06">
        <w:t>.</w:t>
      </w:r>
    </w:p>
    <w:p w14:paraId="1D9FB6A5" w14:textId="520DC16A" w:rsidR="003F7C06" w:rsidRDefault="002669D1" w:rsidP="003065F5">
      <w:r>
        <w:t>T</w:t>
      </w:r>
      <w:r w:rsidR="003F7C06">
        <w:t xml:space="preserve">hese exposure assessment factors represent point-in-time </w:t>
      </w:r>
      <w:proofErr w:type="gramStart"/>
      <w:r w:rsidR="003F7C06">
        <w:t>analyses</w:t>
      </w:r>
      <w:proofErr w:type="gramEnd"/>
      <w:r w:rsidR="003F7C06">
        <w:t xml:space="preserve"> </w:t>
      </w:r>
      <w:r>
        <w:t xml:space="preserve">and it is </w:t>
      </w:r>
      <w:r w:rsidR="003F7C06">
        <w:t>important that the influences of changes over time across parameters (particular</w:t>
      </w:r>
      <w:r>
        <w:t>ly</w:t>
      </w:r>
      <w:r w:rsidR="00B57B5C">
        <w:t xml:space="preserve"> environmental factors) </w:t>
      </w:r>
      <w:r w:rsidR="003F7C06">
        <w:t>be reviewed and discussed.</w:t>
      </w:r>
    </w:p>
    <w:p w14:paraId="7B926CA7" w14:textId="7DA9F79F" w:rsidR="00E14595" w:rsidRDefault="00E14595" w:rsidP="00711FD5">
      <w:pPr>
        <w:pStyle w:val="Heading4"/>
      </w:pPr>
      <w:r w:rsidRPr="00E33479">
        <w:t>Point estimates</w:t>
      </w:r>
      <w:r w:rsidR="00C60D38" w:rsidRPr="00E33479">
        <w:t xml:space="preserve"> (deterministic) and population distributions (probabilistic) </w:t>
      </w:r>
    </w:p>
    <w:p w14:paraId="7C8D97A7" w14:textId="4CFE3AB1" w:rsidR="00E23548" w:rsidRDefault="007128BD" w:rsidP="00E23548">
      <w:r>
        <w:t>Exposure fac</w:t>
      </w:r>
      <w:r w:rsidR="00DE07AB">
        <w:t xml:space="preserve">tors may be </w:t>
      </w:r>
      <w:proofErr w:type="gramStart"/>
      <w:r>
        <w:t>point</w:t>
      </w:r>
      <w:proofErr w:type="gramEnd"/>
      <w:r>
        <w:t xml:space="preserve"> estimate</w:t>
      </w:r>
      <w:r w:rsidR="00DE07AB">
        <w:t>s</w:t>
      </w:r>
      <w:r w:rsidR="008875DA">
        <w:t xml:space="preserve"> (one value representing </w:t>
      </w:r>
      <w:r w:rsidR="00DE07AB">
        <w:t>a</w:t>
      </w:r>
      <w:r w:rsidR="008875DA">
        <w:t xml:space="preserve"> factor) referr</w:t>
      </w:r>
      <w:r w:rsidR="0087772D">
        <w:t xml:space="preserve">ed to as deterministic while a range of values across the population for </w:t>
      </w:r>
      <w:r w:rsidR="00DE07AB">
        <w:t>a</w:t>
      </w:r>
      <w:r w:rsidR="0087772D">
        <w:t xml:space="preserve"> factor may also be used and this is called probabilistic.</w:t>
      </w:r>
    </w:p>
    <w:p w14:paraId="22599A5D" w14:textId="1E319B84" w:rsidR="0087772D" w:rsidRDefault="0087772D" w:rsidP="00E23548">
      <w:r>
        <w:t>Concerns over compounded conservatism in the use of single values (NEPC, 1999 as amended, Volume 5, p15) has tended to lead to the use of a distribution</w:t>
      </w:r>
      <w:r w:rsidR="006773FD">
        <w:t xml:space="preserve"> of values</w:t>
      </w:r>
      <w:r>
        <w:t xml:space="preserve"> across the population for that factor </w:t>
      </w:r>
      <w:proofErr w:type="gramStart"/>
      <w:r>
        <w:t>in order to</w:t>
      </w:r>
      <w:proofErr w:type="gramEnd"/>
      <w:r>
        <w:t xml:space="preserve"> refine and reduce such conservatism.</w:t>
      </w:r>
      <w:r w:rsidR="007F7D2D">
        <w:t xml:space="preserve"> </w:t>
      </w:r>
      <w:r>
        <w:t xml:space="preserve">This is highly dependent on the availability of that </w:t>
      </w:r>
      <w:r w:rsidR="006773FD">
        <w:t>data for a region or country.</w:t>
      </w:r>
      <w:r w:rsidR="007F7D2D">
        <w:t xml:space="preserve"> </w:t>
      </w:r>
      <w:r w:rsidR="006773FD">
        <w:t>In Australia these</w:t>
      </w:r>
      <w:r w:rsidR="00DE07AB">
        <w:t xml:space="preserve"> data are not readily available. H</w:t>
      </w:r>
      <w:r w:rsidR="006773FD">
        <w:t>owever, it would be anticipated that future research may allow such data to become available.</w:t>
      </w:r>
    </w:p>
    <w:p w14:paraId="0CB4110B" w14:textId="67357227" w:rsidR="006773FD" w:rsidRDefault="006773FD" w:rsidP="00E23548">
      <w:r>
        <w:t>The use of internationally available population distribution exposure factor data should be used with caution and reviewed against local population demographics with suitable justification if used.</w:t>
      </w:r>
      <w:r w:rsidR="007F7D2D">
        <w:t xml:space="preserve"> </w:t>
      </w:r>
      <w:r w:rsidR="00C873B9">
        <w:t>Techniques such as Monte Carlo analysis may be used to “</w:t>
      </w:r>
      <w:r w:rsidR="00C873B9" w:rsidRPr="00C873B9">
        <w:rPr>
          <w:i/>
        </w:rPr>
        <w:t>assess and manage uncertainty, inter-individual heterogeneity and other sources of variability</w:t>
      </w:r>
      <w:r w:rsidR="00C873B9">
        <w:t>” enHealth, 2012a, p14) and are further explored in enHealth 2012a, pp154-160).</w:t>
      </w:r>
    </w:p>
    <w:p w14:paraId="01EB462D" w14:textId="4D2EEE0D" w:rsidR="006773FD" w:rsidRDefault="006773FD" w:rsidP="00E23548">
      <w:r>
        <w:lastRenderedPageBreak/>
        <w:t>A review of the variability of point estimates and their impact on the exposure outcome (sensitivity analysis) in addition to concurrent review of the exposure setting and its plausibility may be sufficient to reduce inherent conservatism.</w:t>
      </w:r>
    </w:p>
    <w:p w14:paraId="3B5F4E8F" w14:textId="02062B73" w:rsidR="00E14595" w:rsidRDefault="00DE07AB" w:rsidP="00391D01">
      <w:pPr>
        <w:pStyle w:val="Heading4"/>
      </w:pPr>
      <w:r>
        <w:t xml:space="preserve"> </w:t>
      </w:r>
      <w:r w:rsidR="00C60D38" w:rsidRPr="00E33479">
        <w:t>Sensitivity</w:t>
      </w:r>
      <w:r w:rsidR="00C873B9">
        <w:t xml:space="preserve">, </w:t>
      </w:r>
      <w:proofErr w:type="gramStart"/>
      <w:r w:rsidR="00C60D38" w:rsidRPr="00E33479">
        <w:t>v</w:t>
      </w:r>
      <w:r w:rsidR="00E14595" w:rsidRPr="00E33479">
        <w:t>ariability</w:t>
      </w:r>
      <w:proofErr w:type="gramEnd"/>
      <w:r w:rsidR="00C873B9">
        <w:t xml:space="preserve"> and uncertainty</w:t>
      </w:r>
      <w:r w:rsidR="006A7F74">
        <w:t xml:space="preserve"> in exposure assessment</w:t>
      </w:r>
    </w:p>
    <w:p w14:paraId="0CD1FAE7" w14:textId="5D1598F0" w:rsidR="006773FD" w:rsidRPr="006773FD" w:rsidRDefault="00C873B9" w:rsidP="006773FD">
      <w:r>
        <w:t xml:space="preserve">Variability reflects true differences in attributes due to diversity or </w:t>
      </w:r>
      <w:r w:rsidR="006A7F74">
        <w:t>heterogeneity and cannot be reduced by further measurement or study (NRC 2008 as cited in enHealth, 2012a). In contrast uncertainty is the lack of knowledge about the correct exposure factor value while sensitivity analysis is a qualitative and quantitative tool to ascertain the impact on the exposure by a single factor while all others are held constant.</w:t>
      </w:r>
      <w:r w:rsidR="007F7D2D">
        <w:t xml:space="preserve"> </w:t>
      </w:r>
      <w:r w:rsidR="006A7F74">
        <w:t>The latter enables an understanding of the range of exposure outputs across an exposure factor</w:t>
      </w:r>
      <w:r w:rsidR="006E681B">
        <w:t xml:space="preserve"> (quantitative) or enables identification of the exposure factor that has the greatest impact on the exposure, </w:t>
      </w:r>
      <w:proofErr w:type="gramStart"/>
      <w:r w:rsidR="006E681B">
        <w:t>i.e.</w:t>
      </w:r>
      <w:proofErr w:type="gramEnd"/>
      <w:r w:rsidR="006E681B">
        <w:t xml:space="preserve"> the most sensitive exposure factor (qualitative). Further discussion is presented in enHealth (2012a, p85).</w:t>
      </w:r>
    </w:p>
    <w:p w14:paraId="5FE4A480" w14:textId="4D6C8C20" w:rsidR="00545D4B" w:rsidRDefault="00545D4B" w:rsidP="00545D4B">
      <w:r>
        <w:t xml:space="preserve">Issues to consider across environmental, COPC parameters and exposure factors </w:t>
      </w:r>
      <w:r w:rsidR="00DE07AB">
        <w:t>have been presented at the beginning of this document as a series of questions.</w:t>
      </w:r>
    </w:p>
    <w:p w14:paraId="5255A295" w14:textId="69503996" w:rsidR="00E14595" w:rsidRDefault="00E14595" w:rsidP="00391D01">
      <w:pPr>
        <w:pStyle w:val="Heading2"/>
      </w:pPr>
      <w:bookmarkStart w:id="50" w:name="_Toc461684066"/>
      <w:r w:rsidRPr="00E33479">
        <w:t xml:space="preserve">Risk </w:t>
      </w:r>
      <w:proofErr w:type="spellStart"/>
      <w:r w:rsidRPr="00E33479">
        <w:t>characterisation</w:t>
      </w:r>
      <w:bookmarkEnd w:id="50"/>
      <w:proofErr w:type="spellEnd"/>
    </w:p>
    <w:p w14:paraId="190738D3" w14:textId="24B1F383" w:rsidR="0060399C" w:rsidRDefault="006958DF" w:rsidP="006958DF">
      <w:r>
        <w:t xml:space="preserve">Risk characterization reflects the expression of the evaluation of the </w:t>
      </w:r>
      <w:r w:rsidR="00D15CB4">
        <w:t>conceptual site</w:t>
      </w:r>
      <w:r w:rsidR="008251E2">
        <w:t xml:space="preserve"> model of exposure,</w:t>
      </w:r>
      <w:r w:rsidR="00D15CB4">
        <w:t xml:space="preserve"> </w:t>
      </w:r>
      <w:r>
        <w:t xml:space="preserve">toxicological review of </w:t>
      </w:r>
      <w:r w:rsidR="008251E2">
        <w:t>the relevant</w:t>
      </w:r>
      <w:r>
        <w:t xml:space="preserve"> COPC and </w:t>
      </w:r>
      <w:r w:rsidR="008251E2">
        <w:t xml:space="preserve">subsequent exposure estimates to produce </w:t>
      </w:r>
      <w:r w:rsidR="0060399C">
        <w:t xml:space="preserve">a measure for the </w:t>
      </w:r>
      <w:r w:rsidR="008251E2">
        <w:t>human health risk.</w:t>
      </w:r>
      <w:r w:rsidR="007F7D2D">
        <w:t xml:space="preserve"> </w:t>
      </w:r>
      <w:r w:rsidR="0060399C">
        <w:t xml:space="preserve">It is thus the final integrative step of risk assessment.  </w:t>
      </w:r>
    </w:p>
    <w:p w14:paraId="67B8853C" w14:textId="58963A93" w:rsidR="00EA363F" w:rsidRDefault="00EA363F" w:rsidP="006958DF">
      <w:r>
        <w:t>It may be estimated using margins of safety indices such as the Hazard Quotient which is a ratio of pathway</w:t>
      </w:r>
      <w:proofErr w:type="gramStart"/>
      <w:r>
        <w:t>-  and</w:t>
      </w:r>
      <w:proofErr w:type="gramEnd"/>
      <w:r>
        <w:t xml:space="preserve"> chemical-specific estimated intake to acceptable intake (threshold substances)</w:t>
      </w:r>
      <w:r w:rsidR="00240A47">
        <w:t xml:space="preserve"> with the HQ sum of the pathways reflecting the Hazard Index (target of unity).</w:t>
      </w:r>
      <w:r w:rsidR="007F7D2D">
        <w:t xml:space="preserve"> </w:t>
      </w:r>
      <w:r w:rsidR="00240A47">
        <w:t xml:space="preserve">In the case of non-threshold substances, the risk estimate is presented as </w:t>
      </w:r>
      <w:r>
        <w:t>a probability of disease in a population at a certain exposure</w:t>
      </w:r>
      <w:r w:rsidR="00240A47">
        <w:t xml:space="preserve"> concentration which is compared against an ‘acceptable’ probability.</w:t>
      </w:r>
      <w:r w:rsidR="007F7D2D">
        <w:t xml:space="preserve"> </w:t>
      </w:r>
      <w:r w:rsidR="00240A47">
        <w:t>The latter may also be expressed in terms of a benchmark dose such that an exposure intake is compared against an intake reflecting 5% or 10% in the population based on low dose extrapolation modelling and the application of uncertainty factors to the dose</w:t>
      </w:r>
      <w:r w:rsidR="00DE07AB">
        <w:t xml:space="preserve"> (See </w:t>
      </w:r>
      <w:proofErr w:type="spellStart"/>
      <w:r w:rsidR="00DE07AB">
        <w:t>Filipsson</w:t>
      </w:r>
      <w:proofErr w:type="spellEnd"/>
      <w:r w:rsidR="00DE07AB">
        <w:t xml:space="preserve"> </w:t>
      </w:r>
      <w:proofErr w:type="spellStart"/>
      <w:r w:rsidR="00DE07AB">
        <w:t>etal</w:t>
      </w:r>
      <w:proofErr w:type="spellEnd"/>
      <w:r w:rsidR="00DE07AB">
        <w:t>., 2003)</w:t>
      </w:r>
      <w:r w:rsidR="00240A47">
        <w:t>.</w:t>
      </w:r>
    </w:p>
    <w:p w14:paraId="6F60CD59" w14:textId="15C71D5F" w:rsidR="0060399C" w:rsidRDefault="0060399C" w:rsidP="006958DF">
      <w:r>
        <w:t>“</w:t>
      </w:r>
      <w:r w:rsidRPr="000D5154">
        <w:rPr>
          <w:i/>
        </w:rPr>
        <w:t>A good risk characterization will restate the scope of the assessment, express results clearly, articulate major assumptions and uncertainties, identify reasonable alternative interpretations and separate scientific conclusions from policy judgements</w:t>
      </w:r>
      <w:r>
        <w:t>”. (US EPA</w:t>
      </w:r>
      <w:r w:rsidR="008622B3">
        <w:t>,</w:t>
      </w:r>
      <w:r>
        <w:t xml:space="preserve"> 2011</w:t>
      </w:r>
      <w:r w:rsidR="000D5154">
        <w:t>b</w:t>
      </w:r>
      <w:r w:rsidR="008622B3">
        <w:t>,</w:t>
      </w:r>
      <w:r w:rsidR="000D5154">
        <w:t xml:space="preserve"> as cited in US EPA, 2014b</w:t>
      </w:r>
      <w:r>
        <w:t>)</w:t>
      </w:r>
      <w:r w:rsidR="00240A47">
        <w:t>.</w:t>
      </w:r>
    </w:p>
    <w:p w14:paraId="3C5B1A75" w14:textId="7877FE24" w:rsidR="00240A47" w:rsidRDefault="00240A47" w:rsidP="006958DF">
      <w:r>
        <w:t>US EPA (2014</w:t>
      </w:r>
      <w:r w:rsidR="008622B3">
        <w:t>b</w:t>
      </w:r>
      <w:r>
        <w:t xml:space="preserve">) </w:t>
      </w:r>
      <w:proofErr w:type="gramStart"/>
      <w:r>
        <w:t>consider</w:t>
      </w:r>
      <w:proofErr w:type="gramEnd"/>
      <w:r>
        <w:t xml:space="preserve"> the following principles </w:t>
      </w:r>
      <w:r w:rsidR="008622B3">
        <w:t>to be</w:t>
      </w:r>
      <w:r>
        <w:t xml:space="preserve"> consistent with their risk characterization policy – transparency; clarity; consistency and reasonableness.</w:t>
      </w:r>
    </w:p>
    <w:p w14:paraId="2CBF5304" w14:textId="6A1FF444" w:rsidR="00240A47" w:rsidRDefault="00443139" w:rsidP="006958DF">
      <w:r>
        <w:t>A risk characterization may be qualitative or quantitative in nature and describe the assumptions and uncertainties on which it has been based.</w:t>
      </w:r>
    </w:p>
    <w:p w14:paraId="66EABBF4" w14:textId="2F17BC60" w:rsidR="00443139" w:rsidRDefault="008622B3" w:rsidP="006958DF">
      <w:r>
        <w:t>Factors to consider include the degree of confidence in the assessment outcomes; method of delivering results to affected parties; any residual issues; additional information requirements for improved confidence and what level of information is sufficient for provision to risk managers.</w:t>
      </w:r>
    </w:p>
    <w:p w14:paraId="3A4B17C7" w14:textId="6399A46C" w:rsidR="00E14595" w:rsidRDefault="00E14595" w:rsidP="00391D01">
      <w:pPr>
        <w:pStyle w:val="Heading2"/>
      </w:pPr>
      <w:bookmarkStart w:id="51" w:name="_Toc461684067"/>
      <w:r w:rsidRPr="00E33479">
        <w:lastRenderedPageBreak/>
        <w:t>Biological monitoring</w:t>
      </w:r>
      <w:bookmarkEnd w:id="51"/>
    </w:p>
    <w:p w14:paraId="69A36B25" w14:textId="3FA8FDDA" w:rsidR="00A754D1" w:rsidRDefault="00A754D1" w:rsidP="00A754D1">
      <w:r>
        <w:t>Biological monitoring</w:t>
      </w:r>
      <w:r w:rsidR="002341DD">
        <w:t xml:space="preserve"> is a “</w:t>
      </w:r>
      <w:r w:rsidR="002341DD" w:rsidRPr="002341DD">
        <w:rPr>
          <w:i/>
        </w:rPr>
        <w:t>measuring procedure whereby validated indicators of the uptake of contaminants, or their metabolites, and people’s individual responses are determined and interpreted</w:t>
      </w:r>
      <w:r w:rsidR="002341DD">
        <w:t>” (enHealth 2012a, p161).</w:t>
      </w:r>
    </w:p>
    <w:p w14:paraId="511F6977" w14:textId="44D8BABB" w:rsidR="002341DD" w:rsidRDefault="002341DD" w:rsidP="00A754D1">
      <w:r>
        <w:t>Biological monitoring therefore provides information on the uptake of a chemical into the body and is an integrated measure of combined environmental exposures.</w:t>
      </w:r>
      <w:r w:rsidR="007F7D2D">
        <w:t xml:space="preserve"> </w:t>
      </w:r>
      <w:r>
        <w:t>It provides a direct indication of exposure and potential effects if those relationships have been established.  Langley (1991) suggested that</w:t>
      </w:r>
      <w:r w:rsidR="00B755D6">
        <w:t>,</w:t>
      </w:r>
      <w:r>
        <w:t xml:space="preserve"> if practical</w:t>
      </w:r>
      <w:r w:rsidR="00B755D6">
        <w:t>,</w:t>
      </w:r>
      <w:r>
        <w:t xml:space="preserve"> such monitoring is more valuable in determining the level of risk from environmental contaminants as it measures current exposure and it</w:t>
      </w:r>
      <w:r w:rsidR="00B755D6">
        <w:t>s</w:t>
      </w:r>
      <w:r>
        <w:t xml:space="preserve"> degree.</w:t>
      </w:r>
    </w:p>
    <w:p w14:paraId="4CC64A43" w14:textId="5A015DF8" w:rsidR="00B54DE4" w:rsidRDefault="00677D1F" w:rsidP="00A754D1">
      <w:r>
        <w:t>Further information regarding pre-requisites for biological monitoring, planning, conduct and interpretation of results are presented in enHealth (2012a, pp161-168).</w:t>
      </w:r>
    </w:p>
    <w:p w14:paraId="18DF986A" w14:textId="49807CDD" w:rsidR="005473C5" w:rsidRDefault="00A754D1" w:rsidP="00A754D1">
      <w:r>
        <w:t>While biological monitoring</w:t>
      </w:r>
      <w:r w:rsidR="00677D1F">
        <w:t xml:space="preserve"> or biomonitoring</w:t>
      </w:r>
      <w:r>
        <w:t xml:space="preserve"> is an integral part of occupational health practice</w:t>
      </w:r>
      <w:r w:rsidR="00677D1F">
        <w:t xml:space="preserve"> (see Manno </w:t>
      </w:r>
      <w:r w:rsidR="007F3045">
        <w:t xml:space="preserve">et al., </w:t>
      </w:r>
      <w:r w:rsidR="00677D1F">
        <w:t>2010)</w:t>
      </w:r>
      <w:r w:rsidR="00623DA2">
        <w:t xml:space="preserve"> in environmental health it is more commonly undertaken as part</w:t>
      </w:r>
      <w:r w:rsidR="00677D1F">
        <w:t xml:space="preserve"> </w:t>
      </w:r>
      <w:r w:rsidR="00B755D6">
        <w:t xml:space="preserve">of </w:t>
      </w:r>
      <w:r w:rsidR="00623DA2">
        <w:t>population health data</w:t>
      </w:r>
      <w:r w:rsidR="00066B70">
        <w:t xml:space="preserve"> baseline studies</w:t>
      </w:r>
      <w:r w:rsidR="00623DA2">
        <w:t xml:space="preserve"> such as NHANES, although more recently the use of such data has been suggested for chemical risk assessment (</w:t>
      </w:r>
      <w:proofErr w:type="spellStart"/>
      <w:r w:rsidR="00623DA2">
        <w:t>Sobus</w:t>
      </w:r>
      <w:proofErr w:type="spellEnd"/>
      <w:r w:rsidR="00623DA2">
        <w:t xml:space="preserve"> </w:t>
      </w:r>
      <w:r w:rsidR="007F3045">
        <w:t>et al., 2015</w:t>
      </w:r>
      <w:r w:rsidR="00B755D6">
        <w:t>)</w:t>
      </w:r>
      <w:r w:rsidR="00623DA2">
        <w:t xml:space="preserve">. </w:t>
      </w:r>
      <w:proofErr w:type="spellStart"/>
      <w:r w:rsidR="00623DA2">
        <w:t>Swartjes</w:t>
      </w:r>
      <w:proofErr w:type="spellEnd"/>
      <w:r w:rsidR="00623DA2">
        <w:t xml:space="preserve"> (2015)</w:t>
      </w:r>
      <w:r w:rsidR="00B755D6">
        <w:t>,</w:t>
      </w:r>
      <w:r w:rsidR="00623DA2">
        <w:t xml:space="preserve"> in specific reference to contaminated sites</w:t>
      </w:r>
      <w:r w:rsidR="00B755D6">
        <w:t>,</w:t>
      </w:r>
      <w:r w:rsidR="00623DA2">
        <w:t xml:space="preserve"> suggests that although there are </w:t>
      </w:r>
      <w:proofErr w:type="gramStart"/>
      <w:r w:rsidR="00623DA2">
        <w:t>a number of</w:t>
      </w:r>
      <w:proofErr w:type="gramEnd"/>
      <w:r w:rsidR="00623DA2">
        <w:t xml:space="preserve"> constraints in biomonitoring</w:t>
      </w:r>
      <w:r w:rsidR="005473C5">
        <w:t xml:space="preserve"> </w:t>
      </w:r>
      <w:r w:rsidR="002D5328">
        <w:t xml:space="preserve">it can be applied in specific cases.  </w:t>
      </w:r>
      <w:r w:rsidR="005473C5">
        <w:t>For example, in Adelaide, South Australia the health risk assessment of public housing tenants who had lived on a gasworks site also included the assessment of urinary 1-hydroxy-pyrene as an index of exposure to polycyclic aromatic compounds (</w:t>
      </w:r>
      <w:proofErr w:type="spellStart"/>
      <w:r w:rsidR="005473C5">
        <w:t>Turczynowicz</w:t>
      </w:r>
      <w:proofErr w:type="spellEnd"/>
      <w:r w:rsidR="005473C5">
        <w:t xml:space="preserve"> </w:t>
      </w:r>
      <w:r w:rsidR="007F3045">
        <w:t>et al.,</w:t>
      </w:r>
      <w:r w:rsidR="005473C5">
        <w:t xml:space="preserve"> 2007</w:t>
      </w:r>
      <w:r w:rsidR="00114A7A">
        <w:t>a</w:t>
      </w:r>
      <w:r w:rsidR="005473C5">
        <w:t>).</w:t>
      </w:r>
    </w:p>
    <w:p w14:paraId="5DD833CB" w14:textId="2C1C072F" w:rsidR="005473C5" w:rsidRDefault="005473C5" w:rsidP="00A754D1">
      <w:r>
        <w:t>The use of biomonitoring has also been incorporated as part of a multiple lines of evidence evaluation of environmental health risk</w:t>
      </w:r>
      <w:r w:rsidR="00B755D6">
        <w:t xml:space="preserve"> by</w:t>
      </w:r>
      <w:r>
        <w:t xml:space="preserve"> adopting Bayesian Markov Chain Monte Carlo methods to an integration of human health risk assessment, </w:t>
      </w:r>
      <w:proofErr w:type="gramStart"/>
      <w:r>
        <w:t>biomonitoring</w:t>
      </w:r>
      <w:proofErr w:type="gramEnd"/>
      <w:r>
        <w:t xml:space="preserve"> and epidemiological data (</w:t>
      </w:r>
      <w:proofErr w:type="spellStart"/>
      <w:r>
        <w:t>Schleier</w:t>
      </w:r>
      <w:proofErr w:type="spellEnd"/>
      <w:r>
        <w:t xml:space="preserve"> </w:t>
      </w:r>
      <w:r w:rsidRPr="00E67708">
        <w:rPr>
          <w:u w:val="single"/>
        </w:rPr>
        <w:t>III</w:t>
      </w:r>
      <w:r>
        <w:t xml:space="preserve"> </w:t>
      </w:r>
      <w:r w:rsidR="007F3045">
        <w:t>et al.,</w:t>
      </w:r>
      <w:r>
        <w:t xml:space="preserve"> 2015).</w:t>
      </w:r>
    </w:p>
    <w:p w14:paraId="3AA25997" w14:textId="03A00022" w:rsidR="005473C5" w:rsidRDefault="005473C5" w:rsidP="00A754D1">
      <w:r>
        <w:t>With the availability of biomonitoring protocols for volati</w:t>
      </w:r>
      <w:r w:rsidR="00035057">
        <w:t>le hydrocarbons</w:t>
      </w:r>
      <w:r w:rsidR="00E67708">
        <w:t>,</w:t>
      </w:r>
      <w:r w:rsidR="00035057">
        <w:t xml:space="preserve"> further research is required for Australian conditions </w:t>
      </w:r>
      <w:proofErr w:type="gramStart"/>
      <w:r w:rsidR="00035057">
        <w:t>in order to</w:t>
      </w:r>
      <w:proofErr w:type="gramEnd"/>
      <w:r w:rsidR="00035057">
        <w:t xml:space="preserve"> provide an integrated approach to </w:t>
      </w:r>
      <w:proofErr w:type="spellStart"/>
      <w:r w:rsidR="00035057">
        <w:t>vapour</w:t>
      </w:r>
      <w:proofErr w:type="spellEnd"/>
      <w:r w:rsidR="00035057">
        <w:t xml:space="preserve"> intrusion risk assessment. </w:t>
      </w:r>
    </w:p>
    <w:p w14:paraId="6DDC0B7A" w14:textId="47128B63" w:rsidR="009553E8" w:rsidRDefault="00E14595" w:rsidP="00391D01">
      <w:pPr>
        <w:pStyle w:val="Heading2"/>
      </w:pPr>
      <w:bookmarkStart w:id="52" w:name="_Toc461684068"/>
      <w:r w:rsidRPr="00E33479">
        <w:t>Environmental epidemiology</w:t>
      </w:r>
      <w:bookmarkEnd w:id="52"/>
    </w:p>
    <w:p w14:paraId="08FA2A28" w14:textId="76371711" w:rsidR="001044AE" w:rsidRDefault="001044AE" w:rsidP="00443139">
      <w:r>
        <w:t>“</w:t>
      </w:r>
      <w:r w:rsidRPr="001044AE">
        <w:rPr>
          <w:i/>
        </w:rPr>
        <w:t>Epidemiology is the study of the distribution and determinants of health-related states or events (including disease), and the application of this study to the control of diseases and other health problems</w:t>
      </w:r>
      <w:r>
        <w:t>” (WHO, 2016)</w:t>
      </w:r>
    </w:p>
    <w:p w14:paraId="552BB400" w14:textId="211FE101" w:rsidR="003F5FE0" w:rsidRDefault="003F5FE0" w:rsidP="00443139">
      <w:r>
        <w:t>Epidemiology and toxicology are considered complementary in risk assessment (enHealth 2012a)</w:t>
      </w:r>
      <w:r w:rsidR="00066B70">
        <w:t xml:space="preserve"> and e</w:t>
      </w:r>
      <w:r w:rsidR="00AF0B90">
        <w:t>pidemiology may be environmental or occupational in nature with the former based on community settings and the latter on workplaces.</w:t>
      </w:r>
    </w:p>
    <w:p w14:paraId="6114BA3D" w14:textId="0D8CB9FB" w:rsidR="00066B70" w:rsidRDefault="000A7027" w:rsidP="00066B70">
      <w:pPr>
        <w:spacing w:after="0"/>
      </w:pPr>
      <w:r>
        <w:t>enHealth (2012a, p119</w:t>
      </w:r>
      <w:r w:rsidR="00066B70">
        <w:t xml:space="preserve">, based on Moolgavkar </w:t>
      </w:r>
      <w:r w:rsidR="007F3045">
        <w:t>et al.,</w:t>
      </w:r>
      <w:r w:rsidR="00066B70">
        <w:t xml:space="preserve"> 1</w:t>
      </w:r>
      <w:r w:rsidR="00B755D6">
        <w:t>(</w:t>
      </w:r>
      <w:r w:rsidR="00066B70">
        <w:t>999)</w:t>
      </w:r>
      <w:r>
        <w:t xml:space="preserve">) refer to four main categories in environmental epidemiological </w:t>
      </w:r>
      <w:r w:rsidR="00066B70">
        <w:t>studies</w:t>
      </w:r>
      <w:r w:rsidR="00B755D6">
        <w:t>,</w:t>
      </w:r>
      <w:r w:rsidR="00066B70">
        <w:t xml:space="preserve"> being case-control studies; cross-sectional studies; cohort or longitudinal studies and ecological studies (containing a sub-group referred to as time-series studies). </w:t>
      </w:r>
      <w:r w:rsidR="00066B70">
        <w:br/>
        <w:t xml:space="preserve"> </w:t>
      </w:r>
    </w:p>
    <w:p w14:paraId="78596B65" w14:textId="2A4E0118" w:rsidR="000A7027" w:rsidRDefault="000A7027" w:rsidP="00066B70">
      <w:pPr>
        <w:spacing w:after="0"/>
      </w:pPr>
      <w:r>
        <w:lastRenderedPageBreak/>
        <w:t>Epidemiological studies are</w:t>
      </w:r>
      <w:r w:rsidR="00EE3183">
        <w:t xml:space="preserve"> considered a</w:t>
      </w:r>
      <w:r w:rsidR="00B755D6">
        <w:t>s</w:t>
      </w:r>
      <w:r>
        <w:t xml:space="preserve"> part of human dose-response data which also includes case reports and controlled exposure studies (with substances that produce reversible short-term effects). The study designs in epidemiology</w:t>
      </w:r>
      <w:r w:rsidR="00EE3183">
        <w:t xml:space="preserve"> most likely to contain us</w:t>
      </w:r>
      <w:r w:rsidR="00B755D6">
        <w:t>eful do</w:t>
      </w:r>
      <w:r w:rsidR="00EE3183">
        <w:t>s</w:t>
      </w:r>
      <w:r w:rsidR="00B755D6">
        <w:t>e</w:t>
      </w:r>
      <w:r w:rsidR="00EE3183">
        <w:t xml:space="preserve">-response data are either case-control studies (population chosen </w:t>
      </w:r>
      <w:proofErr w:type="gramStart"/>
      <w:r w:rsidR="00EE3183">
        <w:t>on the basis of</w:t>
      </w:r>
      <w:proofErr w:type="gramEnd"/>
      <w:r w:rsidR="00EE3183">
        <w:t xml:space="preserve"> illness and exposures followed) or cohort studies where the population is selected on the basis of exposure (</w:t>
      </w:r>
      <w:proofErr w:type="spellStart"/>
      <w:r w:rsidR="00EE3183">
        <w:t>Grassman</w:t>
      </w:r>
      <w:proofErr w:type="spellEnd"/>
      <w:r w:rsidR="00EE3183">
        <w:t xml:space="preserve"> </w:t>
      </w:r>
      <w:r w:rsidR="007F3045">
        <w:t>et al.,</w:t>
      </w:r>
      <w:r w:rsidR="00EE3183">
        <w:t xml:space="preserve"> </w:t>
      </w:r>
      <w:r w:rsidR="00B755D6">
        <w:t>(</w:t>
      </w:r>
      <w:r w:rsidR="00EE3183">
        <w:t>1998</w:t>
      </w:r>
      <w:r w:rsidR="00B755D6">
        <w:t>)</w:t>
      </w:r>
      <w:r w:rsidR="00EE3183">
        <w:t>).</w:t>
      </w:r>
    </w:p>
    <w:p w14:paraId="37DFAF3A" w14:textId="33A8501C" w:rsidR="00EE3183" w:rsidRDefault="00EE3183" w:rsidP="00066B70">
      <w:pPr>
        <w:spacing w:after="0"/>
      </w:pPr>
    </w:p>
    <w:p w14:paraId="0913C914" w14:textId="611C4727" w:rsidR="00F42E66" w:rsidRDefault="00EE3183" w:rsidP="00066B70">
      <w:pPr>
        <w:spacing w:after="0"/>
      </w:pPr>
      <w:r>
        <w:t>Epidemiological data regarding the impacts of co</w:t>
      </w:r>
      <w:r w:rsidR="001931D8">
        <w:t xml:space="preserve">ntaminated sites on populations are limited.  The case control study by Steffen </w:t>
      </w:r>
      <w:r w:rsidR="007F3045">
        <w:t>et al.,</w:t>
      </w:r>
      <w:r w:rsidR="001931D8">
        <w:t xml:space="preserve"> (2004) and exploratory community study by </w:t>
      </w:r>
      <w:proofErr w:type="spellStart"/>
      <w:r w:rsidR="001931D8">
        <w:t>Forand</w:t>
      </w:r>
      <w:proofErr w:type="spellEnd"/>
      <w:r w:rsidR="001931D8">
        <w:t xml:space="preserve"> </w:t>
      </w:r>
      <w:r w:rsidR="007F3045">
        <w:t xml:space="preserve">et al., </w:t>
      </w:r>
      <w:r w:rsidR="001931D8">
        <w:t xml:space="preserve">(2014) were mentioned in Section </w:t>
      </w:r>
      <w:r w:rsidR="001931D8">
        <w:fldChar w:fldCharType="begin"/>
      </w:r>
      <w:r w:rsidR="001931D8">
        <w:instrText xml:space="preserve"> REF _Ref454289829 \r \h </w:instrText>
      </w:r>
      <w:r w:rsidR="001931D8">
        <w:fldChar w:fldCharType="separate"/>
      </w:r>
      <w:r w:rsidR="006A5935">
        <w:t>5.3.2</w:t>
      </w:r>
      <w:r w:rsidR="001931D8">
        <w:fldChar w:fldCharType="end"/>
      </w:r>
      <w:r w:rsidR="001931D8">
        <w:t xml:space="preserve"> and these are specific to </w:t>
      </w:r>
      <w:proofErr w:type="spellStart"/>
      <w:r w:rsidR="001931D8">
        <w:t>vapour</w:t>
      </w:r>
      <w:proofErr w:type="spellEnd"/>
      <w:r w:rsidR="001931D8">
        <w:t xml:space="preserve"> inhalation exposures. </w:t>
      </w:r>
      <w:proofErr w:type="spellStart"/>
      <w:r w:rsidR="001931D8">
        <w:t>Pirastu</w:t>
      </w:r>
      <w:proofErr w:type="spellEnd"/>
      <w:r w:rsidR="001931D8">
        <w:t xml:space="preserve"> </w:t>
      </w:r>
      <w:r w:rsidR="007F3045">
        <w:t>et al.,</w:t>
      </w:r>
      <w:r w:rsidR="001931D8">
        <w:t xml:space="preserve"> (2013) reviewed environment and health in contaminated sites for the region of Taranto in Italy and reported excesses in mortality and morbidity in residents living in districts close to the industrial area.  </w:t>
      </w:r>
      <w:proofErr w:type="spellStart"/>
      <w:r w:rsidR="001931D8">
        <w:t>Martuzzi</w:t>
      </w:r>
      <w:proofErr w:type="spellEnd"/>
      <w:r w:rsidR="001931D8">
        <w:t xml:space="preserve"> </w:t>
      </w:r>
      <w:r w:rsidR="007F3045">
        <w:t>et al.,</w:t>
      </w:r>
      <w:r w:rsidR="001931D8">
        <w:t xml:space="preserve"> (2014)</w:t>
      </w:r>
      <w:r w:rsidR="00CF12B7">
        <w:t>,</w:t>
      </w:r>
      <w:r w:rsidR="001931D8">
        <w:t xml:space="preserve"> </w:t>
      </w:r>
      <w:r w:rsidR="00CF12B7">
        <w:t xml:space="preserve">further suggest that there is a growing body of evidence on the human health impacts even considering the challenges in such evaluations. As Europe has some hundreds of thousands </w:t>
      </w:r>
      <w:r w:rsidR="00B755D6">
        <w:t xml:space="preserve">of </w:t>
      </w:r>
      <w:r w:rsidR="00CF12B7">
        <w:t>contaminated sites</w:t>
      </w:r>
      <w:r w:rsidR="00B755D6">
        <w:t>,</w:t>
      </w:r>
      <w:r w:rsidR="00CF12B7">
        <w:t xml:space="preserve"> the authors support the need for sustained efforts and resource development to meet these challenges.</w:t>
      </w:r>
    </w:p>
    <w:p w14:paraId="7A7C3D6C" w14:textId="77777777" w:rsidR="00F42E66" w:rsidRDefault="00F42E66" w:rsidP="00066B70">
      <w:pPr>
        <w:spacing w:after="0"/>
      </w:pPr>
    </w:p>
    <w:p w14:paraId="5B16065B" w14:textId="3DF2E3E8" w:rsidR="00EE3183" w:rsidRDefault="00F42E66" w:rsidP="00066B70">
      <w:pPr>
        <w:spacing w:after="0"/>
      </w:pPr>
      <w:r>
        <w:t xml:space="preserve">In Australia, environmental epidemiological studies associated with contaminated sites and particularly </w:t>
      </w:r>
      <w:proofErr w:type="spellStart"/>
      <w:r>
        <w:t>vapour</w:t>
      </w:r>
      <w:proofErr w:type="spellEnd"/>
      <w:r>
        <w:t xml:space="preserve"> intrusion</w:t>
      </w:r>
      <w:r w:rsidR="00E67708">
        <w:t>,</w:t>
      </w:r>
      <w:r>
        <w:t xml:space="preserve"> have not</w:t>
      </w:r>
      <w:r w:rsidR="00E67708">
        <w:t xml:space="preserve"> been researched or published </w:t>
      </w:r>
      <w:r>
        <w:t xml:space="preserve">and the impact on the population is not known.  It is considered that research efforts towards these challenges </w:t>
      </w:r>
      <w:r w:rsidR="00FD62C6">
        <w:t>be considered to ensure resources in contaminated site assessments are efficiently directed.</w:t>
      </w:r>
    </w:p>
    <w:p w14:paraId="2DB12D86" w14:textId="51DEA26F" w:rsidR="009553E8" w:rsidRDefault="009553E8" w:rsidP="00380D14">
      <w:pPr>
        <w:spacing w:after="0"/>
      </w:pPr>
      <w:r>
        <w:br w:type="page"/>
      </w:r>
    </w:p>
    <w:p w14:paraId="012C3E3B" w14:textId="77777777" w:rsidR="00E14595" w:rsidRPr="00E14595" w:rsidRDefault="00E14595" w:rsidP="00380D14">
      <w:pPr>
        <w:spacing w:after="0"/>
      </w:pPr>
    </w:p>
    <w:p w14:paraId="195C1B07" w14:textId="77777777" w:rsidR="00E14595" w:rsidRDefault="00E14595" w:rsidP="00380D14">
      <w:pPr>
        <w:pStyle w:val="Heading1"/>
        <w:spacing w:before="0" w:after="0"/>
      </w:pPr>
      <w:bookmarkStart w:id="53" w:name="_Toc461684069"/>
      <w:proofErr w:type="spellStart"/>
      <w:r w:rsidRPr="009553E8">
        <w:t>Vapour</w:t>
      </w:r>
      <w:proofErr w:type="spellEnd"/>
      <w:r w:rsidRPr="009553E8">
        <w:t xml:space="preserve"> intrusion assessment methods</w:t>
      </w:r>
      <w:bookmarkEnd w:id="53"/>
    </w:p>
    <w:p w14:paraId="0992BB8F" w14:textId="251170B5" w:rsidR="00E14595" w:rsidRPr="008A1884" w:rsidRDefault="00E14595" w:rsidP="001D0A48">
      <w:pPr>
        <w:pStyle w:val="Heading2"/>
        <w:rPr>
          <w:color w:val="auto"/>
        </w:rPr>
      </w:pPr>
      <w:bookmarkStart w:id="54" w:name="_Toc461684070"/>
      <w:r w:rsidRPr="008A1884">
        <w:rPr>
          <w:color w:val="auto"/>
        </w:rPr>
        <w:t>The differences between landfill gas</w:t>
      </w:r>
      <w:r w:rsidR="00BC1C7E">
        <w:rPr>
          <w:color w:val="auto"/>
        </w:rPr>
        <w:t xml:space="preserve"> and non-landfill</w:t>
      </w:r>
      <w:r w:rsidRPr="008A1884">
        <w:rPr>
          <w:color w:val="auto"/>
        </w:rPr>
        <w:t xml:space="preserve"> assessments</w:t>
      </w:r>
      <w:bookmarkEnd w:id="54"/>
    </w:p>
    <w:p w14:paraId="380240E1" w14:textId="296BA4B1" w:rsidR="004541DC" w:rsidRPr="004541DC" w:rsidRDefault="00E17FE6" w:rsidP="005F6030">
      <w:r>
        <w:t>There are differences</w:t>
      </w:r>
      <w:r w:rsidR="0039361E">
        <w:t xml:space="preserve"> in terms of the hazardous substances involved</w:t>
      </w:r>
      <w:r w:rsidR="004541DC">
        <w:t xml:space="preserve"> such that the inherent toxicity and exposure potential results in alternative </w:t>
      </w:r>
      <w:r w:rsidR="0039361E">
        <w:t>assessment</w:t>
      </w:r>
      <w:r w:rsidR="004541DC">
        <w:t xml:space="preserve"> approaches</w:t>
      </w:r>
      <w:r w:rsidR="0039361E">
        <w:t xml:space="preserve"> </w:t>
      </w:r>
      <w:r w:rsidR="004541DC">
        <w:t>to</w:t>
      </w:r>
      <w:r w:rsidR="0039361E">
        <w:t xml:space="preserve"> gases and </w:t>
      </w:r>
      <w:proofErr w:type="spellStart"/>
      <w:r w:rsidR="0039361E">
        <w:t>vapours</w:t>
      </w:r>
      <w:proofErr w:type="spellEnd"/>
      <w:r w:rsidR="0039361E">
        <w:t xml:space="preserve"> arising from landfill sites and </w:t>
      </w:r>
      <w:proofErr w:type="spellStart"/>
      <w:r w:rsidR="0039361E">
        <w:t>vapours</w:t>
      </w:r>
      <w:proofErr w:type="spellEnd"/>
      <w:r w:rsidR="0039361E">
        <w:t xml:space="preserve"> that arise from subsurface contamination of soils </w:t>
      </w:r>
      <w:r w:rsidR="0039361E" w:rsidRPr="004541DC">
        <w:t xml:space="preserve">or groundwater.  </w:t>
      </w:r>
    </w:p>
    <w:p w14:paraId="08C1F8C1" w14:textId="53971238" w:rsidR="003523C2" w:rsidRDefault="0039361E" w:rsidP="005F6030">
      <w:r w:rsidRPr="007162BA">
        <w:t xml:space="preserve">These differences are associated with the </w:t>
      </w:r>
      <w:proofErr w:type="spellStart"/>
      <w:r w:rsidR="007162BA">
        <w:t>physico</w:t>
      </w:r>
      <w:proofErr w:type="spellEnd"/>
      <w:r w:rsidR="007162BA">
        <w:t xml:space="preserve">-chemical properties of the volatiles involved and the </w:t>
      </w:r>
      <w:r w:rsidRPr="007162BA">
        <w:t>heterogeneity of undisturbed soils as opposed to the heterogeneity of disturbed soils</w:t>
      </w:r>
      <w:r w:rsidR="000208BE">
        <w:t xml:space="preserve"> as found in landfills</w:t>
      </w:r>
      <w:r w:rsidR="007162BA">
        <w:t xml:space="preserve">. </w:t>
      </w:r>
      <w:r w:rsidR="00E17FE6">
        <w:t xml:space="preserve">In the </w:t>
      </w:r>
      <w:r>
        <w:t>former</w:t>
      </w:r>
      <w:r w:rsidR="00E17FE6">
        <w:t>,</w:t>
      </w:r>
      <w:r>
        <w:t xml:space="preserve"> contamination arises from spills/losses </w:t>
      </w:r>
      <w:r w:rsidR="007162BA">
        <w:t>onto</w:t>
      </w:r>
      <w:r>
        <w:t xml:space="preserve"> surface soils with migration to the groundwater table or from leaks of underground storage tanks</w:t>
      </w:r>
      <w:r w:rsidR="00E17FE6">
        <w:t xml:space="preserve"> with passage through soil below the tank into groundwater.</w:t>
      </w:r>
      <w:r w:rsidR="007F7D2D">
        <w:t xml:space="preserve"> </w:t>
      </w:r>
      <w:r w:rsidR="00E17FE6">
        <w:t xml:space="preserve">Generally, these </w:t>
      </w:r>
      <w:r w:rsidR="007162BA">
        <w:t xml:space="preserve">soils are undisturbed with the local geology defining the stratigraphy </w:t>
      </w:r>
      <w:r w:rsidR="00A77B3F">
        <w:t>with relative</w:t>
      </w:r>
      <w:r w:rsidR="007162BA">
        <w:t xml:space="preserve"> </w:t>
      </w:r>
      <w:r w:rsidR="00A77B3F">
        <w:t>compaction. Pre</w:t>
      </w:r>
      <w:r w:rsidR="00E17FE6">
        <w:t>ferential pathways</w:t>
      </w:r>
      <w:r w:rsidR="00A77B3F">
        <w:t xml:space="preserve"> tend to be</w:t>
      </w:r>
      <w:r w:rsidR="00E17FE6">
        <w:t xml:space="preserve"> limited to soil </w:t>
      </w:r>
      <w:r w:rsidR="00A77B3F">
        <w:t>shrinkage, alluvial deposits or other permeable layers</w:t>
      </w:r>
      <w:r w:rsidR="00E17FE6">
        <w:t xml:space="preserve"> or the installation of service lines.</w:t>
      </w:r>
      <w:r w:rsidR="007162BA">
        <w:t xml:space="preserve"> </w:t>
      </w:r>
      <w:proofErr w:type="spellStart"/>
      <w:r w:rsidR="00F815C5">
        <w:t>Vapour</w:t>
      </w:r>
      <w:proofErr w:type="spellEnd"/>
      <w:r w:rsidR="00F815C5">
        <w:t xml:space="preserve"> intrusion processes thus involve predominantly diffusion with advection (1) along preferential pathways due to pressure differentials or (2) near to the surface due to barometric pumping. </w:t>
      </w:r>
      <w:r w:rsidR="007162BA">
        <w:t>Volatiles associated with site contamination tend to be petroleum hydrocarbons, chlorinated hydrocarbons and commonly used organic solvents, (</w:t>
      </w:r>
      <w:proofErr w:type="gramStart"/>
      <w:r w:rsidR="007162BA">
        <w:t>e.g.</w:t>
      </w:r>
      <w:proofErr w:type="gramEnd"/>
      <w:r w:rsidR="007162BA">
        <w:t xml:space="preserve"> methyl ethyl ketone).</w:t>
      </w:r>
      <w:r w:rsidR="00E17FE6">
        <w:t xml:space="preserve">  </w:t>
      </w:r>
      <w:r w:rsidR="003523C2">
        <w:t xml:space="preserve">Assessment processes may involve predictive </w:t>
      </w:r>
      <w:proofErr w:type="spellStart"/>
      <w:r w:rsidR="003523C2">
        <w:t>vapour</w:t>
      </w:r>
      <w:proofErr w:type="spellEnd"/>
      <w:r w:rsidR="003523C2">
        <w:t xml:space="preserve"> intrusion </w:t>
      </w:r>
      <w:r w:rsidR="008911CD">
        <w:t>modelling</w:t>
      </w:r>
      <w:r w:rsidR="003523C2">
        <w:t>, measurement across transport compartments and the determination of indoor air exposure concentrations enabling human health risks to be estimated.</w:t>
      </w:r>
      <w:r w:rsidR="007F7D2D">
        <w:t xml:space="preserve"> </w:t>
      </w:r>
      <w:r w:rsidR="003523C2">
        <w:t xml:space="preserve">The international consensus is currently to </w:t>
      </w:r>
      <w:r w:rsidR="00F815C5">
        <w:t>adopt</w:t>
      </w:r>
      <w:r w:rsidR="003523C2">
        <w:t xml:space="preserve"> a multiple lines of evidence approach.</w:t>
      </w:r>
    </w:p>
    <w:p w14:paraId="6C46274E" w14:textId="316BC576" w:rsidR="00613858" w:rsidRDefault="00E17FE6" w:rsidP="005F6030">
      <w:r>
        <w:t xml:space="preserve">In the </w:t>
      </w:r>
      <w:r w:rsidR="003523C2">
        <w:t>case of landfill sites,</w:t>
      </w:r>
      <w:r>
        <w:t xml:space="preserve"> an excavation or natural gully may be infilled, with</w:t>
      </w:r>
      <w:r w:rsidR="007162BA">
        <w:t xml:space="preserve"> differing types of wastes such as putrescible wastes, sewage sludge, reclaimed wetla</w:t>
      </w:r>
      <w:r w:rsidR="00613858">
        <w:t xml:space="preserve">nds materials, hazardous </w:t>
      </w:r>
      <w:proofErr w:type="gramStart"/>
      <w:r w:rsidR="00613858">
        <w:t>wastes</w:t>
      </w:r>
      <w:proofErr w:type="gramEnd"/>
      <w:r w:rsidR="00613858">
        <w:t xml:space="preserve"> and </w:t>
      </w:r>
      <w:r w:rsidR="007162BA">
        <w:t>foundry sands</w:t>
      </w:r>
      <w:r w:rsidR="00613858">
        <w:t xml:space="preserve"> as some examples (refer NSW</w:t>
      </w:r>
      <w:r w:rsidR="007F3045">
        <w:t xml:space="preserve"> </w:t>
      </w:r>
      <w:r w:rsidR="00613858">
        <w:t>EPA</w:t>
      </w:r>
      <w:r w:rsidR="007F3045">
        <w:t>, (2012),</w:t>
      </w:r>
      <w:r w:rsidR="00613858">
        <w:t xml:space="preserve"> Table 1, pp5-6).  This diverse range of wastes may subsequently produce ground gases such as:</w:t>
      </w:r>
    </w:p>
    <w:p w14:paraId="30E8CFDE" w14:textId="0FA1A3D5" w:rsidR="00613858" w:rsidRDefault="00613858" w:rsidP="0015648C">
      <w:pPr>
        <w:pStyle w:val="ListParagraph"/>
        <w:numPr>
          <w:ilvl w:val="0"/>
          <w:numId w:val="16"/>
        </w:numPr>
      </w:pPr>
      <w:r>
        <w:t>Methane</w:t>
      </w:r>
    </w:p>
    <w:p w14:paraId="5E91787C" w14:textId="790FEC96" w:rsidR="00613858" w:rsidRDefault="00613858" w:rsidP="0015648C">
      <w:pPr>
        <w:pStyle w:val="ListParagraph"/>
        <w:numPr>
          <w:ilvl w:val="0"/>
          <w:numId w:val="16"/>
        </w:numPr>
      </w:pPr>
      <w:r>
        <w:t>Carbon dioxide</w:t>
      </w:r>
    </w:p>
    <w:p w14:paraId="72F43CFC" w14:textId="5E9B7BD8" w:rsidR="00613858" w:rsidRDefault="00613858" w:rsidP="0015648C">
      <w:pPr>
        <w:pStyle w:val="ListParagraph"/>
        <w:numPr>
          <w:ilvl w:val="0"/>
          <w:numId w:val="16"/>
        </w:numPr>
      </w:pPr>
      <w:r>
        <w:t>Carbon monoxide</w:t>
      </w:r>
    </w:p>
    <w:p w14:paraId="0DEAEC68" w14:textId="69F5716A" w:rsidR="00613858" w:rsidRDefault="00613858" w:rsidP="0015648C">
      <w:pPr>
        <w:pStyle w:val="ListParagraph"/>
        <w:numPr>
          <w:ilvl w:val="0"/>
          <w:numId w:val="16"/>
        </w:numPr>
      </w:pPr>
      <w:r>
        <w:t>Hydrogen</w:t>
      </w:r>
    </w:p>
    <w:p w14:paraId="4B35261A" w14:textId="06226BD4" w:rsidR="00613858" w:rsidRDefault="00613858" w:rsidP="0015648C">
      <w:pPr>
        <w:pStyle w:val="ListParagraph"/>
        <w:numPr>
          <w:ilvl w:val="0"/>
          <w:numId w:val="16"/>
        </w:numPr>
      </w:pPr>
      <w:r>
        <w:t xml:space="preserve">Hydrogen </w:t>
      </w:r>
      <w:proofErr w:type="spellStart"/>
      <w:r>
        <w:t>sulphide</w:t>
      </w:r>
      <w:proofErr w:type="spellEnd"/>
    </w:p>
    <w:p w14:paraId="718F6833" w14:textId="0D7B2015" w:rsidR="00613858" w:rsidRDefault="00613858" w:rsidP="0015648C">
      <w:pPr>
        <w:pStyle w:val="ListParagraph"/>
        <w:numPr>
          <w:ilvl w:val="0"/>
          <w:numId w:val="16"/>
        </w:numPr>
      </w:pPr>
      <w:r>
        <w:t>Radon</w:t>
      </w:r>
    </w:p>
    <w:p w14:paraId="2FB83004" w14:textId="48388751" w:rsidR="00613858" w:rsidRDefault="00613858" w:rsidP="0015648C">
      <w:pPr>
        <w:pStyle w:val="ListParagraph"/>
        <w:numPr>
          <w:ilvl w:val="0"/>
          <w:numId w:val="16"/>
        </w:numPr>
      </w:pPr>
      <w:r>
        <w:t xml:space="preserve">Mercury </w:t>
      </w:r>
      <w:proofErr w:type="spellStart"/>
      <w:r>
        <w:t>vapour</w:t>
      </w:r>
      <w:proofErr w:type="spellEnd"/>
    </w:p>
    <w:p w14:paraId="3BAC1A66" w14:textId="26FC91D3" w:rsidR="00613858" w:rsidRDefault="00613858" w:rsidP="0015648C">
      <w:pPr>
        <w:pStyle w:val="ListParagraph"/>
        <w:numPr>
          <w:ilvl w:val="0"/>
          <w:numId w:val="16"/>
        </w:numPr>
      </w:pPr>
      <w:r>
        <w:t>Volatile petroleum hydrocarbons (individual compounds and mixtures)</w:t>
      </w:r>
    </w:p>
    <w:p w14:paraId="42732617" w14:textId="19E47EB4" w:rsidR="00613858" w:rsidRDefault="00613858" w:rsidP="0015648C">
      <w:pPr>
        <w:pStyle w:val="ListParagraph"/>
        <w:numPr>
          <w:ilvl w:val="0"/>
          <w:numId w:val="16"/>
        </w:numPr>
      </w:pPr>
      <w:r>
        <w:t>Volatile organic compounds (from NSW EPA 2012, p2).</w:t>
      </w:r>
    </w:p>
    <w:p w14:paraId="6DDD855F" w14:textId="338A065B" w:rsidR="00613858" w:rsidRDefault="00F5716A" w:rsidP="00613858">
      <w:r w:rsidRPr="00F5716A">
        <w:t>Landfills exhibit a greater opportunity for advective processes rather than diffusion due to a greater range of</w:t>
      </w:r>
      <w:r>
        <w:t xml:space="preserve"> contaminant </w:t>
      </w:r>
      <w:proofErr w:type="spellStart"/>
      <w:r>
        <w:t>vapours</w:t>
      </w:r>
      <w:proofErr w:type="spellEnd"/>
      <w:r>
        <w:t xml:space="preserve"> and gases that are</w:t>
      </w:r>
      <w:r w:rsidRPr="00F5716A">
        <w:t xml:space="preserve"> low molecular weight hydrocarbons and inorganic gases.</w:t>
      </w:r>
      <w:r>
        <w:t xml:space="preserve"> </w:t>
      </w:r>
      <w:r w:rsidR="00613858">
        <w:t>This diversity</w:t>
      </w:r>
      <w:r w:rsidR="00A77B3F">
        <w:t xml:space="preserve"> of low molecular weight element</w:t>
      </w:r>
      <w:r w:rsidR="00613858">
        <w:t>s and compounds</w:t>
      </w:r>
      <w:r w:rsidR="00A77B3F">
        <w:t xml:space="preserve"> </w:t>
      </w:r>
      <w:r>
        <w:t xml:space="preserve">exhibit high volatility and </w:t>
      </w:r>
      <w:r w:rsidR="00A77B3F">
        <w:t xml:space="preserve">may be generated in large quantities over a long period of time, </w:t>
      </w:r>
      <w:proofErr w:type="gramStart"/>
      <w:r w:rsidR="00A77B3F">
        <w:t>e.g.</w:t>
      </w:r>
      <w:proofErr w:type="gramEnd"/>
      <w:r w:rsidR="00A77B3F">
        <w:t xml:space="preserve"> methane.  In addition, the acute risks of fire, explosion and asphyxiation prevail and tend to dominate the assessment process </w:t>
      </w:r>
      <w:proofErr w:type="gramStart"/>
      <w:r w:rsidR="00A77B3F">
        <w:t>taking into account</w:t>
      </w:r>
      <w:proofErr w:type="gramEnd"/>
      <w:r w:rsidR="00A77B3F">
        <w:t xml:space="preserve"> the acute toxicity of some inorganic gases such as </w:t>
      </w:r>
      <w:r w:rsidR="00A77B3F">
        <w:lastRenderedPageBreak/>
        <w:t xml:space="preserve">hydrogen </w:t>
      </w:r>
      <w:proofErr w:type="spellStart"/>
      <w:r w:rsidR="00A77B3F">
        <w:t>sulphide</w:t>
      </w:r>
      <w:proofErr w:type="spellEnd"/>
      <w:r w:rsidR="00A77B3F">
        <w:t>. The heterogeneity within the landfill sub-surface co</w:t>
      </w:r>
      <w:r w:rsidR="003523C2">
        <w:t>m</w:t>
      </w:r>
      <w:r w:rsidR="00A77B3F">
        <w:t>bined with</w:t>
      </w:r>
      <w:r w:rsidR="003523C2">
        <w:t xml:space="preserve"> this advective migration potential result in assessment methods which are focused on measurement of gas concentrations and volumetric flow and the development of gas screening values (GSVs) (see NSW EPA; </w:t>
      </w:r>
      <w:r w:rsidR="00F815C5">
        <w:t xml:space="preserve">Wilson </w:t>
      </w:r>
      <w:r w:rsidR="007F3045">
        <w:t>et al.,</w:t>
      </w:r>
      <w:r w:rsidR="00F815C5">
        <w:t xml:space="preserve"> 2007). This also includes the usual desktop history, site inspections, CSM development and </w:t>
      </w:r>
      <w:r>
        <w:t xml:space="preserve">multiple lines of evidence characterization process </w:t>
      </w:r>
      <w:proofErr w:type="gramStart"/>
      <w:r>
        <w:t>similar to</w:t>
      </w:r>
      <w:proofErr w:type="gramEnd"/>
      <w:r>
        <w:t xml:space="preserve"> the evaluation of volatiles-impacted contaminated sites.</w:t>
      </w:r>
    </w:p>
    <w:p w14:paraId="7330946F" w14:textId="1EC6373D" w:rsidR="00DF5EBE" w:rsidRPr="008A1884" w:rsidRDefault="00DF5EBE" w:rsidP="00DF5EBE">
      <w:pPr>
        <w:pStyle w:val="Heading2"/>
        <w:rPr>
          <w:color w:val="auto"/>
        </w:rPr>
      </w:pPr>
      <w:bookmarkStart w:id="55" w:name="_Toc461684071"/>
      <w:proofErr w:type="spellStart"/>
      <w:r w:rsidRPr="008A1884">
        <w:rPr>
          <w:color w:val="auto"/>
        </w:rPr>
        <w:t>Vapour</w:t>
      </w:r>
      <w:proofErr w:type="spellEnd"/>
      <w:r w:rsidRPr="008A1884">
        <w:rPr>
          <w:color w:val="auto"/>
        </w:rPr>
        <w:t xml:space="preserve"> intrusion/Hazardous gases</w:t>
      </w:r>
      <w:r w:rsidR="00516371">
        <w:rPr>
          <w:color w:val="auto"/>
        </w:rPr>
        <w:t xml:space="preserve"> </w:t>
      </w:r>
      <w:r w:rsidR="007162BA">
        <w:rPr>
          <w:color w:val="auto"/>
        </w:rPr>
        <w:t xml:space="preserve">Risk </w:t>
      </w:r>
      <w:r w:rsidR="00516371">
        <w:rPr>
          <w:color w:val="auto"/>
        </w:rPr>
        <w:t>Assessment</w:t>
      </w:r>
      <w:r w:rsidRPr="008A1884">
        <w:rPr>
          <w:color w:val="auto"/>
        </w:rPr>
        <w:t xml:space="preserve"> frameworks</w:t>
      </w:r>
      <w:bookmarkEnd w:id="55"/>
    </w:p>
    <w:p w14:paraId="4E3C0A06" w14:textId="33CA59C9" w:rsidR="005D16DB" w:rsidRDefault="00B87A90" w:rsidP="00B87A90">
      <w:pPr>
        <w:spacing w:after="0"/>
        <w:rPr>
          <w:lang w:eastAsia="en-US"/>
        </w:rPr>
      </w:pPr>
      <w:r>
        <w:rPr>
          <w:lang w:eastAsia="en-US"/>
        </w:rPr>
        <w:t xml:space="preserve">There </w:t>
      </w:r>
      <w:r w:rsidR="00016743">
        <w:rPr>
          <w:lang w:eastAsia="en-US"/>
        </w:rPr>
        <w:t>is</w:t>
      </w:r>
      <w:r>
        <w:rPr>
          <w:lang w:eastAsia="en-US"/>
        </w:rPr>
        <w:t xml:space="preserve"> a diversity of frameworks presented throughout the regulatory and published </w:t>
      </w:r>
      <w:r w:rsidR="00EC54C4">
        <w:rPr>
          <w:lang w:eastAsia="en-US"/>
        </w:rPr>
        <w:t xml:space="preserve">literature </w:t>
      </w:r>
      <w:r>
        <w:rPr>
          <w:lang w:eastAsia="en-US"/>
        </w:rPr>
        <w:t>and these have differing objectives depending on</w:t>
      </w:r>
      <w:r w:rsidR="00EC54C4">
        <w:rPr>
          <w:lang w:eastAsia="en-US"/>
        </w:rPr>
        <w:t xml:space="preserve"> jurisdictional and public expectations.</w:t>
      </w:r>
      <w:r w:rsidR="007F7D2D">
        <w:rPr>
          <w:lang w:eastAsia="en-US"/>
        </w:rPr>
        <w:t xml:space="preserve"> </w:t>
      </w:r>
      <w:r w:rsidR="00EC54C4">
        <w:rPr>
          <w:lang w:eastAsia="en-US"/>
        </w:rPr>
        <w:t>Three frameworks have been presented to attempt to capture the brea</w:t>
      </w:r>
      <w:r w:rsidR="000208BE">
        <w:rPr>
          <w:lang w:eastAsia="en-US"/>
        </w:rPr>
        <w:t>d</w:t>
      </w:r>
      <w:r w:rsidR="00EC54C4">
        <w:rPr>
          <w:lang w:eastAsia="en-US"/>
        </w:rPr>
        <w:t>th of the</w:t>
      </w:r>
      <w:r w:rsidR="005D16DB">
        <w:rPr>
          <w:lang w:eastAsia="en-US"/>
        </w:rPr>
        <w:t xml:space="preserve"> areas that require assessment.</w:t>
      </w:r>
    </w:p>
    <w:p w14:paraId="2A1E005E" w14:textId="77777777" w:rsidR="00E67708" w:rsidRDefault="00E67708" w:rsidP="00B87A90">
      <w:pPr>
        <w:spacing w:after="0"/>
        <w:rPr>
          <w:lang w:eastAsia="en-US"/>
        </w:rPr>
      </w:pPr>
    </w:p>
    <w:p w14:paraId="19E5A035" w14:textId="54972518" w:rsidR="005D16DB" w:rsidRDefault="00C800F9" w:rsidP="00B87A90">
      <w:pPr>
        <w:spacing w:after="0"/>
        <w:rPr>
          <w:lang w:eastAsia="en-US"/>
        </w:rPr>
      </w:pPr>
      <w:r>
        <w:rPr>
          <w:lang w:eastAsia="en-US"/>
        </w:rPr>
        <w:t>Figure 10</w:t>
      </w:r>
      <w:r w:rsidR="005D16DB">
        <w:rPr>
          <w:lang w:eastAsia="en-US"/>
        </w:rPr>
        <w:t xml:space="preserve"> provides some perspective in terms of an extension of the basic risk assessment framework towards </w:t>
      </w:r>
      <w:proofErr w:type="spellStart"/>
      <w:r w:rsidR="005D16DB">
        <w:rPr>
          <w:lang w:eastAsia="en-US"/>
        </w:rPr>
        <w:t>vapour</w:t>
      </w:r>
      <w:proofErr w:type="spellEnd"/>
      <w:r w:rsidR="005D16DB">
        <w:rPr>
          <w:lang w:eastAsia="en-US"/>
        </w:rPr>
        <w:t xml:space="preserve"> intrusion exposure assessment which captures three key elements.  These include the following:</w:t>
      </w:r>
    </w:p>
    <w:p w14:paraId="5C02F519" w14:textId="129BF043" w:rsidR="00B87A90" w:rsidRDefault="005D16DB" w:rsidP="0015648C">
      <w:pPr>
        <w:pStyle w:val="ListParagraph"/>
        <w:numPr>
          <w:ilvl w:val="0"/>
          <w:numId w:val="17"/>
        </w:numPr>
        <w:spacing w:after="0"/>
        <w:rPr>
          <w:lang w:eastAsia="en-US"/>
        </w:rPr>
      </w:pPr>
      <w:r>
        <w:rPr>
          <w:lang w:eastAsia="en-US"/>
        </w:rPr>
        <w:t xml:space="preserve">Determination of the </w:t>
      </w:r>
      <w:proofErr w:type="spellStart"/>
      <w:r>
        <w:rPr>
          <w:lang w:eastAsia="en-US"/>
        </w:rPr>
        <w:t>vapour</w:t>
      </w:r>
      <w:proofErr w:type="spellEnd"/>
      <w:r>
        <w:rPr>
          <w:lang w:eastAsia="en-US"/>
        </w:rPr>
        <w:t xml:space="preserve"> concentration at the building boundary based on sub-surface fate and transport models and measurement protocols.  This area of investigation has been fundamental and extensive</w:t>
      </w:r>
      <w:r w:rsidR="00285FDF">
        <w:rPr>
          <w:lang w:eastAsia="en-US"/>
        </w:rPr>
        <w:t>,</w:t>
      </w:r>
      <w:r>
        <w:rPr>
          <w:lang w:eastAsia="en-US"/>
        </w:rPr>
        <w:t xml:space="preserve"> being </w:t>
      </w:r>
      <w:proofErr w:type="gramStart"/>
      <w:r>
        <w:rPr>
          <w:lang w:eastAsia="en-US"/>
        </w:rPr>
        <w:t>a main focus</w:t>
      </w:r>
      <w:proofErr w:type="gramEnd"/>
      <w:r>
        <w:rPr>
          <w:lang w:eastAsia="en-US"/>
        </w:rPr>
        <w:t xml:space="preserve"> of international investigations and peer-reviewed publications.</w:t>
      </w:r>
    </w:p>
    <w:p w14:paraId="6FB656AD" w14:textId="74E33787" w:rsidR="005D16DB" w:rsidRDefault="005D16DB" w:rsidP="0015648C">
      <w:pPr>
        <w:pStyle w:val="ListParagraph"/>
        <w:numPr>
          <w:ilvl w:val="0"/>
          <w:numId w:val="17"/>
        </w:numPr>
        <w:spacing w:after="0"/>
        <w:rPr>
          <w:lang w:eastAsia="en-US"/>
        </w:rPr>
      </w:pPr>
      <w:r>
        <w:rPr>
          <w:lang w:eastAsia="en-US"/>
        </w:rPr>
        <w:t xml:space="preserve">Determination of changes in indoor volatile concentrations in space and over time.  The dynamics of </w:t>
      </w:r>
      <w:proofErr w:type="spellStart"/>
      <w:r>
        <w:rPr>
          <w:lang w:eastAsia="en-US"/>
        </w:rPr>
        <w:t>vapour</w:t>
      </w:r>
      <w:proofErr w:type="spellEnd"/>
      <w:r>
        <w:rPr>
          <w:lang w:eastAsia="en-US"/>
        </w:rPr>
        <w:t xml:space="preserve"> entry, distribution and elimination processes</w:t>
      </w:r>
      <w:r w:rsidR="00285FDF">
        <w:rPr>
          <w:lang w:eastAsia="en-US"/>
        </w:rPr>
        <w:t xml:space="preserve"> within a building</w:t>
      </w:r>
      <w:r>
        <w:rPr>
          <w:lang w:eastAsia="en-US"/>
        </w:rPr>
        <w:t xml:space="preserve"> is a non-steady-state condition.</w:t>
      </w:r>
      <w:r w:rsidR="00285FDF">
        <w:rPr>
          <w:lang w:eastAsia="en-US"/>
        </w:rPr>
        <w:t xml:space="preserve"> There are</w:t>
      </w:r>
      <w:r>
        <w:rPr>
          <w:lang w:eastAsia="en-US"/>
        </w:rPr>
        <w:t xml:space="preserve"> rapid changes in surface flux</w:t>
      </w:r>
      <w:r w:rsidR="00285FDF">
        <w:rPr>
          <w:lang w:eastAsia="en-US"/>
        </w:rPr>
        <w:t xml:space="preserve"> through the lower building boundary</w:t>
      </w:r>
      <w:r>
        <w:rPr>
          <w:lang w:eastAsia="en-US"/>
        </w:rPr>
        <w:t xml:space="preserve"> due to pressure differentials, non-homogeneous </w:t>
      </w:r>
      <w:proofErr w:type="spellStart"/>
      <w:r>
        <w:rPr>
          <w:lang w:eastAsia="en-US"/>
        </w:rPr>
        <w:t>vapour</w:t>
      </w:r>
      <w:proofErr w:type="spellEnd"/>
      <w:r>
        <w:rPr>
          <w:lang w:eastAsia="en-US"/>
        </w:rPr>
        <w:t xml:space="preserve"> distribution</w:t>
      </w:r>
      <w:r w:rsidR="00285FDF">
        <w:rPr>
          <w:lang w:eastAsia="en-US"/>
        </w:rPr>
        <w:t xml:space="preserve"> within the house, and peaks and troughs associated with volatile concentration measurements throughout the house due to meteorological influences. </w:t>
      </w:r>
      <w:r w:rsidR="005278D2">
        <w:rPr>
          <w:lang w:eastAsia="en-US"/>
        </w:rPr>
        <w:t xml:space="preserve">  These also occur over differing seasonal conditions. </w:t>
      </w:r>
      <w:r w:rsidR="00285FDF">
        <w:rPr>
          <w:lang w:eastAsia="en-US"/>
        </w:rPr>
        <w:t xml:space="preserve"> While ventilation modelling and assessment have been undertaken for sustainability evaluations (thermal comfort, energy ratings) these types of investigation have had limited application to </w:t>
      </w:r>
      <w:proofErr w:type="spellStart"/>
      <w:r w:rsidR="00285FDF">
        <w:rPr>
          <w:lang w:eastAsia="en-US"/>
        </w:rPr>
        <w:t>vapour</w:t>
      </w:r>
      <w:proofErr w:type="spellEnd"/>
      <w:r w:rsidR="00285FDF">
        <w:rPr>
          <w:lang w:eastAsia="en-US"/>
        </w:rPr>
        <w:t xml:space="preserve"> intrusion assessment.</w:t>
      </w:r>
      <w:r w:rsidR="005278D2">
        <w:rPr>
          <w:lang w:eastAsia="en-US"/>
        </w:rPr>
        <w:t xml:space="preserve">  Further work in this area is required.</w:t>
      </w:r>
    </w:p>
    <w:p w14:paraId="3A824C17" w14:textId="4BD62922" w:rsidR="005278D2" w:rsidRDefault="00285FDF" w:rsidP="0015648C">
      <w:pPr>
        <w:pStyle w:val="ListParagraph"/>
        <w:numPr>
          <w:ilvl w:val="0"/>
          <w:numId w:val="17"/>
        </w:numPr>
        <w:spacing w:after="0"/>
        <w:rPr>
          <w:lang w:eastAsia="en-US"/>
        </w:rPr>
      </w:pPr>
      <w:r>
        <w:rPr>
          <w:lang w:eastAsia="en-US"/>
        </w:rPr>
        <w:t>Determination of absorbed</w:t>
      </w:r>
      <w:r w:rsidR="00D775B1">
        <w:rPr>
          <w:lang w:eastAsia="en-US"/>
        </w:rPr>
        <w:t xml:space="preserve"> doses over time is the fundamental assessment requirement.  The use of averaged indoor air target concentrations</w:t>
      </w:r>
      <w:r w:rsidR="005278D2">
        <w:rPr>
          <w:lang w:eastAsia="en-US"/>
        </w:rPr>
        <w:t xml:space="preserve"> (over various periods)</w:t>
      </w:r>
      <w:r w:rsidR="00D775B1">
        <w:rPr>
          <w:lang w:eastAsia="en-US"/>
        </w:rPr>
        <w:t xml:space="preserve"> does not reflect the time-dependent dosimetry that occurs in </w:t>
      </w:r>
      <w:proofErr w:type="spellStart"/>
      <w:r w:rsidR="00D775B1">
        <w:rPr>
          <w:lang w:eastAsia="en-US"/>
        </w:rPr>
        <w:t>vapour</w:t>
      </w:r>
      <w:proofErr w:type="spellEnd"/>
      <w:r w:rsidR="00D775B1">
        <w:rPr>
          <w:lang w:eastAsia="en-US"/>
        </w:rPr>
        <w:t xml:space="preserve"> intrusion. </w:t>
      </w:r>
      <w:r w:rsidR="007F3045">
        <w:rPr>
          <w:lang w:eastAsia="en-US"/>
        </w:rPr>
        <w:t>While some advances</w:t>
      </w:r>
      <w:r w:rsidR="005278D2">
        <w:rPr>
          <w:lang w:eastAsia="en-US"/>
        </w:rPr>
        <w:t xml:space="preserve"> in inhalation dosimetry have been made, the question remains over </w:t>
      </w:r>
      <w:proofErr w:type="gramStart"/>
      <w:r w:rsidR="005278D2">
        <w:rPr>
          <w:lang w:eastAsia="en-US"/>
        </w:rPr>
        <w:t xml:space="preserve">whether </w:t>
      </w:r>
      <w:r w:rsidR="000208BE">
        <w:rPr>
          <w:lang w:eastAsia="en-US"/>
        </w:rPr>
        <w:t>or not</w:t>
      </w:r>
      <w:proofErr w:type="gramEnd"/>
      <w:r w:rsidR="000208BE">
        <w:rPr>
          <w:lang w:eastAsia="en-US"/>
        </w:rPr>
        <w:t xml:space="preserve"> </w:t>
      </w:r>
      <w:r w:rsidR="005278D2">
        <w:rPr>
          <w:lang w:eastAsia="en-US"/>
        </w:rPr>
        <w:t>peak exposures at ‘critical windows of opportunity’ for specific toxicology outcomes play a part in adverse population health outcomes</w:t>
      </w:r>
      <w:r w:rsidR="000A009F">
        <w:rPr>
          <w:lang w:eastAsia="en-US"/>
        </w:rPr>
        <w:t xml:space="preserve"> for specific sub-populations</w:t>
      </w:r>
      <w:r w:rsidR="005278D2">
        <w:rPr>
          <w:lang w:eastAsia="en-US"/>
        </w:rPr>
        <w:t>. This question is a matter for debate and further research.</w:t>
      </w:r>
    </w:p>
    <w:p w14:paraId="2F5A1A17" w14:textId="77777777" w:rsidR="000A009F" w:rsidRDefault="000A009F" w:rsidP="000A009F">
      <w:pPr>
        <w:spacing w:after="0"/>
        <w:rPr>
          <w:lang w:eastAsia="en-US"/>
        </w:rPr>
      </w:pPr>
    </w:p>
    <w:p w14:paraId="2CCE13D4" w14:textId="75CA8333" w:rsidR="005D16DB" w:rsidRDefault="005D16DB" w:rsidP="005278D2">
      <w:pPr>
        <w:pStyle w:val="ListParagraph"/>
        <w:spacing w:after="0"/>
        <w:rPr>
          <w:lang w:eastAsia="en-US"/>
        </w:rPr>
      </w:pPr>
    </w:p>
    <w:p w14:paraId="79AF95C3" w14:textId="77777777" w:rsidR="005D16DB" w:rsidRDefault="005D16DB" w:rsidP="005D16DB">
      <w:pPr>
        <w:spacing w:after="0"/>
        <w:rPr>
          <w:lang w:eastAsia="en-US"/>
        </w:rPr>
        <w:sectPr w:rsidR="005D16DB" w:rsidSect="0033074A">
          <w:pgSz w:w="12240" w:h="15840"/>
          <w:pgMar w:top="1890" w:right="1440" w:bottom="1440" w:left="1440" w:header="720" w:footer="576" w:gutter="0"/>
          <w:cols w:space="720"/>
          <w:docGrid w:linePitch="299"/>
        </w:sectPr>
      </w:pPr>
    </w:p>
    <w:p w14:paraId="51D58603" w14:textId="77777777" w:rsidR="00DC7230" w:rsidRDefault="00DC7230">
      <w:pPr>
        <w:rPr>
          <w:rFonts w:ascii="Times New Roman" w:eastAsia="Times New Roman" w:hAnsi="Times New Roman" w:cs="Times New Roman"/>
          <w:b/>
          <w:sz w:val="21"/>
          <w:szCs w:val="21"/>
          <w:lang w:eastAsia="en-US"/>
        </w:rPr>
      </w:pPr>
      <w:r>
        <w:rPr>
          <w:rFonts w:ascii="Times New Roman" w:eastAsia="Times New Roman" w:hAnsi="Times New Roman" w:cs="Times New Roman"/>
          <w:b/>
          <w:sz w:val="21"/>
          <w:szCs w:val="21"/>
          <w:lang w:eastAsia="en-US"/>
        </w:rPr>
        <w:br w:type="page"/>
      </w:r>
    </w:p>
    <w:p w14:paraId="035778C8" w14:textId="006DF89A" w:rsidR="00946966" w:rsidRPr="00DC7230" w:rsidRDefault="00946966" w:rsidP="007B76C8">
      <w:pPr>
        <w:rPr>
          <w:rFonts w:ascii="Times New Roman" w:eastAsia="Times New Roman" w:hAnsi="Times New Roman" w:cs="Times New Roman"/>
          <w:b/>
          <w:sz w:val="21"/>
          <w:szCs w:val="21"/>
          <w:lang w:eastAsia="en-US"/>
        </w:rPr>
      </w:pPr>
    </w:p>
    <w:p w14:paraId="0FBCF56C" w14:textId="15E6D143" w:rsidR="00774F54" w:rsidRDefault="00DC7230" w:rsidP="00BB255A">
      <w:pPr>
        <w:spacing w:after="0"/>
        <w:rPr>
          <w:rFonts w:ascii="Times New Roman" w:eastAsia="Times New Roman" w:hAnsi="Times New Roman" w:cs="Times New Roman"/>
          <w:b/>
          <w:sz w:val="21"/>
          <w:szCs w:val="21"/>
          <w:lang w:eastAsia="en-US"/>
        </w:rPr>
      </w:pPr>
      <w:r w:rsidRPr="00DC7230">
        <w:rPr>
          <w:rFonts w:ascii="Times New Roman" w:eastAsia="Times New Roman" w:hAnsi="Times New Roman" w:cs="Times New Roman"/>
          <w:b/>
          <w:noProof/>
          <w:sz w:val="21"/>
          <w:szCs w:val="21"/>
          <w:lang w:eastAsia="en-US"/>
        </w:rPr>
        <mc:AlternateContent>
          <mc:Choice Requires="wps">
            <w:drawing>
              <wp:anchor distT="0" distB="0" distL="114300" distR="114300" simplePos="0" relativeHeight="251659264" behindDoc="0" locked="0" layoutInCell="1" allowOverlap="1" wp14:anchorId="50935A20" wp14:editId="7366D496">
                <wp:simplePos x="0" y="0"/>
                <wp:positionH relativeFrom="column">
                  <wp:posOffset>-168516</wp:posOffset>
                </wp:positionH>
                <wp:positionV relativeFrom="paragraph">
                  <wp:posOffset>171460</wp:posOffset>
                </wp:positionV>
                <wp:extent cx="6507480" cy="457200"/>
                <wp:effectExtent l="0" t="0" r="7620" b="0"/>
                <wp:wrapNone/>
                <wp:docPr id="17" name="Text Box 17"/>
                <wp:cNvGraphicFramePr/>
                <a:graphic xmlns:a="http://schemas.openxmlformats.org/drawingml/2006/main">
                  <a:graphicData uri="http://schemas.microsoft.com/office/word/2010/wordprocessingShape">
                    <wps:wsp>
                      <wps:cNvSpPr txBox="1"/>
                      <wps:spPr>
                        <a:xfrm>
                          <a:off x="0" y="0"/>
                          <a:ext cx="6507480" cy="457200"/>
                        </a:xfrm>
                        <a:prstGeom prst="rect">
                          <a:avLst/>
                        </a:prstGeom>
                        <a:solidFill>
                          <a:prstClr val="white"/>
                        </a:solidFill>
                        <a:ln>
                          <a:noFill/>
                        </a:ln>
                      </wps:spPr>
                      <wps:txbx>
                        <w:txbxContent>
                          <w:p w14:paraId="50A7A924" w14:textId="26BE1BC7" w:rsidR="008D4243" w:rsidRPr="00E749A2" w:rsidRDefault="008D4243" w:rsidP="00774F54">
                            <w:pPr>
                              <w:pStyle w:val="Caption"/>
                              <w:rPr>
                                <w:noProof/>
                              </w:rPr>
                            </w:pPr>
                            <w:r>
                              <w:t xml:space="preserve">Figure </w:t>
                            </w:r>
                            <w:fldSimple w:instr=" SEQ Figure \* ARABIC ">
                              <w:r>
                                <w:rPr>
                                  <w:noProof/>
                                </w:rPr>
                                <w:t>10</w:t>
                              </w:r>
                            </w:fldSimple>
                            <w:r>
                              <w:t>: Sub-surface fate and transport, ventilation and inhalation dosimetry within the human health risk assessment framework (from Turczynowicz, Pisaniello and Wiliamson, 2012)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0935A20" id="_x0000_t202" coordsize="21600,21600" o:spt="202" path="m,l,21600r21600,l21600,xe">
                <v:stroke joinstyle="miter"/>
                <v:path gradientshapeok="t" o:connecttype="rect"/>
              </v:shapetype>
              <v:shape id="Text Box 17" o:spid="_x0000_s1026" type="#_x0000_t202" style="position:absolute;margin-left:-13.25pt;margin-top:13.5pt;width:512.4pt;height:36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" stroked="f">
                <v:textbox inset="0,0,0,0">
                  <w:txbxContent>
                    <w:p w14:paraId="50A7A924" w14:textId="26BE1BC7" w:rsidR="008D4243" w:rsidRPr="00E749A2" w:rsidRDefault="008D4243" w:rsidP="00774F54">
                      <w:pPr>
                        <w:pStyle w:val="Caption"/>
                        <w:rPr>
                          <w:noProof/>
                        </w:rPr>
                      </w:pPr>
                      <w:r>
                        <w:t xml:space="preserve">Figure </w:t>
                      </w:r>
                      <w:fldSimple w:instr=" SEQ Figure \* ARABIC ">
                        <w:r>
                          <w:rPr>
                            <w:noProof/>
                          </w:rPr>
                          <w:t>10</w:t>
                        </w:r>
                      </w:fldSimple>
                      <w:r>
                        <w:t>: Sub-surface fate and transport, ventilation and inhalation dosimetry within the human health risk assessment framework (from Turczynowicz, Pisaniello and Wiliamson, 2012)</w:t>
                      </w:r>
                    </w:p>
                  </w:txbxContent>
                </v:textbox>
              </v:shape>
            </w:pict>
          </mc:Fallback>
        </mc:AlternateContent>
      </w:r>
    </w:p>
    <w:p w14:paraId="4A8BF658" w14:textId="4507B87E" w:rsidR="00774F54" w:rsidRPr="00774F54" w:rsidRDefault="00774F54" w:rsidP="00774F54">
      <w:pPr>
        <w:rPr>
          <w:rFonts w:ascii="Times New Roman" w:eastAsia="Times New Roman" w:hAnsi="Times New Roman" w:cs="Times New Roman"/>
          <w:sz w:val="21"/>
          <w:szCs w:val="21"/>
          <w:lang w:eastAsia="en-US"/>
        </w:rPr>
      </w:pPr>
    </w:p>
    <w:p w14:paraId="39F1A56C" w14:textId="62EB1F28" w:rsidR="00774F54" w:rsidRPr="00774F54" w:rsidRDefault="00DC7230" w:rsidP="00774F54">
      <w:pPr>
        <w:rPr>
          <w:rFonts w:ascii="Times New Roman" w:eastAsia="Times New Roman" w:hAnsi="Times New Roman" w:cs="Times New Roman"/>
          <w:sz w:val="21"/>
          <w:szCs w:val="21"/>
          <w:lang w:eastAsia="en-US"/>
        </w:rPr>
      </w:pPr>
      <w:r w:rsidRPr="00DC7230">
        <w:rPr>
          <w:rFonts w:ascii="Times New Roman" w:eastAsia="Times New Roman" w:hAnsi="Times New Roman" w:cs="Times New Roman"/>
          <w:b/>
          <w:noProof/>
          <w:sz w:val="21"/>
          <w:szCs w:val="21"/>
          <w:lang w:eastAsia="en-US"/>
        </w:rPr>
        <mc:AlternateContent>
          <mc:Choice Requires="wpg">
            <w:drawing>
              <wp:anchor distT="0" distB="0" distL="114300" distR="114300" simplePos="0" relativeHeight="251657216" behindDoc="0" locked="0" layoutInCell="1" allowOverlap="1" wp14:anchorId="079F5DB6" wp14:editId="59B55440">
                <wp:simplePos x="0" y="0"/>
                <wp:positionH relativeFrom="column">
                  <wp:posOffset>-250306</wp:posOffset>
                </wp:positionH>
                <wp:positionV relativeFrom="paragraph">
                  <wp:posOffset>279967</wp:posOffset>
                </wp:positionV>
                <wp:extent cx="6507480" cy="6743700"/>
                <wp:effectExtent l="0" t="0" r="45720" b="5715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6743700"/>
                          <a:chOff x="753" y="1188"/>
                          <a:chExt cx="10773" cy="12600"/>
                        </a:xfrm>
                      </wpg:grpSpPr>
                      <wps:wsp>
                        <wps:cNvPr id="73" name="AutoShape 4"/>
                        <wps:cNvCnPr>
                          <a:cxnSpLocks noChangeShapeType="1"/>
                        </wps:cNvCnPr>
                        <wps:spPr bwMode="auto">
                          <a:xfrm>
                            <a:off x="4169" y="1691"/>
                            <a:ext cx="1" cy="803"/>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74" name="AutoShape 5"/>
                        <wps:cNvCnPr>
                          <a:cxnSpLocks noChangeShapeType="1"/>
                        </wps:cNvCnPr>
                        <wps:spPr bwMode="auto">
                          <a:xfrm>
                            <a:off x="5933" y="4760"/>
                            <a:ext cx="1" cy="988"/>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75" name="AutoShape 6"/>
                        <wps:cNvCnPr>
                          <a:cxnSpLocks noChangeShapeType="1"/>
                        </wps:cNvCnPr>
                        <wps:spPr bwMode="auto">
                          <a:xfrm>
                            <a:off x="7796" y="9606"/>
                            <a:ext cx="771"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76" name="AutoShape 7"/>
                        <wps:cNvCnPr>
                          <a:cxnSpLocks noChangeShapeType="1"/>
                        </wps:cNvCnPr>
                        <wps:spPr bwMode="auto">
                          <a:xfrm>
                            <a:off x="7785" y="11554"/>
                            <a:ext cx="771"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77" name="AutoShape 8"/>
                        <wps:cNvCnPr>
                          <a:cxnSpLocks noChangeShapeType="1"/>
                        </wps:cNvCnPr>
                        <wps:spPr bwMode="auto">
                          <a:xfrm flipH="1">
                            <a:off x="10041" y="7412"/>
                            <a:ext cx="16" cy="1507"/>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78" name="AutoShape 9"/>
                        <wps:cNvCnPr>
                          <a:cxnSpLocks noChangeShapeType="1"/>
                        </wps:cNvCnPr>
                        <wps:spPr bwMode="auto">
                          <a:xfrm flipH="1">
                            <a:off x="10013" y="9460"/>
                            <a:ext cx="16" cy="1507"/>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79" name="AutoShape 10"/>
                        <wps:cNvCnPr>
                          <a:cxnSpLocks noChangeShapeType="1"/>
                        </wps:cNvCnPr>
                        <wps:spPr bwMode="auto">
                          <a:xfrm>
                            <a:off x="4186" y="3298"/>
                            <a:ext cx="0" cy="45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0" name="AutoShape 11"/>
                        <wps:cNvCnPr>
                          <a:cxnSpLocks noChangeShapeType="1"/>
                        </wps:cNvCnPr>
                        <wps:spPr bwMode="auto">
                          <a:xfrm>
                            <a:off x="2394" y="3733"/>
                            <a:ext cx="3466"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1" name="AutoShape 12"/>
                        <wps:cNvCnPr>
                          <a:cxnSpLocks noChangeShapeType="1"/>
                        </wps:cNvCnPr>
                        <wps:spPr bwMode="auto">
                          <a:xfrm>
                            <a:off x="2389" y="3729"/>
                            <a:ext cx="1" cy="418"/>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82" name="AutoShape 13"/>
                        <wps:cNvCnPr>
                          <a:cxnSpLocks noChangeShapeType="1"/>
                        </wps:cNvCnPr>
                        <wps:spPr bwMode="auto">
                          <a:xfrm>
                            <a:off x="5844" y="3717"/>
                            <a:ext cx="1" cy="418"/>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83" name="AutoShape 14"/>
                        <wps:cNvCnPr>
                          <a:cxnSpLocks noChangeShapeType="1"/>
                        </wps:cNvCnPr>
                        <wps:spPr bwMode="auto">
                          <a:xfrm>
                            <a:off x="4193" y="12915"/>
                            <a:ext cx="1" cy="418"/>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84" name="AutoShape 15"/>
                        <wps:cNvCnPr>
                          <a:cxnSpLocks noChangeShapeType="1"/>
                        </wps:cNvCnPr>
                        <wps:spPr bwMode="auto">
                          <a:xfrm>
                            <a:off x="7801" y="6631"/>
                            <a:ext cx="771"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85" name="AutoShape 16"/>
                        <wps:cNvCnPr>
                          <a:cxnSpLocks noChangeShapeType="1"/>
                        </wps:cNvCnPr>
                        <wps:spPr bwMode="auto">
                          <a:xfrm>
                            <a:off x="7823" y="7340"/>
                            <a:ext cx="771"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86" name="AutoShape 17"/>
                        <wps:cNvCnPr>
                          <a:cxnSpLocks noChangeShapeType="1"/>
                        </wps:cNvCnPr>
                        <wps:spPr bwMode="auto">
                          <a:xfrm flipH="1">
                            <a:off x="9902" y="11375"/>
                            <a:ext cx="16" cy="1507"/>
                          </a:xfrm>
                          <a:prstGeom prst="straightConnector1">
                            <a:avLst/>
                          </a:prstGeom>
                          <a:noFill/>
                          <a:ln w="19050">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87" name="AutoShape 18"/>
                        <wps:cNvCnPr>
                          <a:cxnSpLocks noChangeShapeType="1"/>
                        </wps:cNvCnPr>
                        <wps:spPr bwMode="auto">
                          <a:xfrm>
                            <a:off x="2562" y="12893"/>
                            <a:ext cx="7367"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8" name="AutoShape 19"/>
                        <wps:cNvCnPr>
                          <a:cxnSpLocks noChangeShapeType="1"/>
                        </wps:cNvCnPr>
                        <wps:spPr bwMode="auto">
                          <a:xfrm>
                            <a:off x="2578" y="4906"/>
                            <a:ext cx="0" cy="797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9" name="Text Box 20"/>
                        <wps:cNvSpPr txBox="1">
                          <a:spLocks noChangeArrowheads="1"/>
                        </wps:cNvSpPr>
                        <wps:spPr bwMode="auto">
                          <a:xfrm>
                            <a:off x="1997" y="1188"/>
                            <a:ext cx="4360" cy="482"/>
                          </a:xfrm>
                          <a:prstGeom prst="rect">
                            <a:avLst/>
                          </a:prstGeom>
                          <a:gradFill rotWithShape="0">
                            <a:gsLst>
                              <a:gs pos="0">
                                <a:srgbClr val="F07F09">
                                  <a:lumMod val="60000"/>
                                  <a:lumOff val="40000"/>
                                </a:srgbClr>
                              </a:gs>
                              <a:gs pos="50000">
                                <a:srgbClr val="F07F09">
                                  <a:lumMod val="20000"/>
                                  <a:lumOff val="80000"/>
                                </a:srgbClr>
                              </a:gs>
                              <a:gs pos="100000">
                                <a:srgbClr val="F07F09">
                                  <a:lumMod val="60000"/>
                                  <a:lumOff val="40000"/>
                                </a:srgbClr>
                              </a:gs>
                            </a:gsLst>
                            <a:lin ang="18900000" scaled="1"/>
                          </a:gradFill>
                          <a:ln w="12700">
                            <a:solidFill>
                              <a:srgbClr val="F07F09">
                                <a:lumMod val="60000"/>
                                <a:lumOff val="40000"/>
                              </a:srgbClr>
                            </a:solidFill>
                            <a:miter lim="800000"/>
                            <a:headEnd/>
                            <a:tailEnd/>
                          </a:ln>
                          <a:effectLst>
                            <a:outerShdw dist="28398" dir="3806097" algn="ctr" rotWithShape="0">
                              <a:srgbClr val="F07F09">
                                <a:lumMod val="50000"/>
                                <a:lumOff val="0"/>
                                <a:alpha val="50000"/>
                              </a:srgbClr>
                            </a:outerShdw>
                          </a:effectLst>
                        </wps:spPr>
                        <wps:txbx>
                          <w:txbxContent>
                            <w:p w14:paraId="5E09860A" w14:textId="77777777" w:rsidR="008D4243" w:rsidRPr="005571C8" w:rsidRDefault="008D4243" w:rsidP="00946966">
                              <w:pPr>
                                <w:jc w:val="center"/>
                                <w:rPr>
                                  <w:rFonts w:cs="Arial"/>
                                  <w:b/>
                                </w:rPr>
                              </w:pPr>
                              <w:r w:rsidRPr="005571C8">
                                <w:rPr>
                                  <w:rFonts w:cs="Arial"/>
                                  <w:b/>
                                </w:rPr>
                                <w:t>VAPOUR INTRUSION</w:t>
                              </w:r>
                              <w:r>
                                <w:rPr>
                                  <w:rFonts w:cs="Arial"/>
                                  <w:b/>
                                </w:rPr>
                                <w:t xml:space="preserve"> (V.I.)</w:t>
                              </w:r>
                            </w:p>
                          </w:txbxContent>
                        </wps:txbx>
                        <wps:bodyPr rot="0" vert="horz" wrap="square" lIns="91440" tIns="45720" rIns="91440" bIns="45720" anchor="ctr" anchorCtr="0" upright="1">
                          <a:noAutofit/>
                        </wps:bodyPr>
                      </wps:wsp>
                      <wps:wsp>
                        <wps:cNvPr id="90" name="Text Box 21"/>
                        <wps:cNvSpPr txBox="1">
                          <a:spLocks noChangeAspect="1" noChangeArrowheads="1"/>
                        </wps:cNvSpPr>
                        <wps:spPr bwMode="auto">
                          <a:xfrm>
                            <a:off x="2374" y="2501"/>
                            <a:ext cx="3606" cy="794"/>
                          </a:xfrm>
                          <a:prstGeom prst="rect">
                            <a:avLst/>
                          </a:prstGeom>
                          <a:gradFill rotWithShape="0">
                            <a:gsLst>
                              <a:gs pos="0">
                                <a:sysClr val="window" lastClr="FFFFFF">
                                  <a:lumMod val="100000"/>
                                  <a:lumOff val="0"/>
                                </a:sysClr>
                              </a:gs>
                              <a:gs pos="100000">
                                <a:srgbClr val="604878">
                                  <a:lumMod val="40000"/>
                                  <a:lumOff val="60000"/>
                                </a:srgbClr>
                              </a:gs>
                            </a:gsLst>
                            <a:lin ang="5400000" scaled="1"/>
                          </a:gradFill>
                          <a:ln w="12700">
                            <a:solidFill>
                              <a:srgbClr val="604878">
                                <a:lumMod val="60000"/>
                                <a:lumOff val="40000"/>
                              </a:srgbClr>
                            </a:solidFill>
                            <a:miter lim="800000"/>
                            <a:headEnd/>
                            <a:tailEnd/>
                          </a:ln>
                          <a:effectLst>
                            <a:outerShdw dist="28398" dir="3806097" algn="ctr" rotWithShape="0">
                              <a:srgbClr val="604878">
                                <a:lumMod val="50000"/>
                                <a:lumOff val="0"/>
                                <a:alpha val="50000"/>
                              </a:srgbClr>
                            </a:outerShdw>
                          </a:effectLst>
                        </wps:spPr>
                        <wps:txbx>
                          <w:txbxContent>
                            <w:p w14:paraId="2E680347" w14:textId="77777777" w:rsidR="008D4243" w:rsidRPr="005571C8" w:rsidRDefault="008D4243" w:rsidP="00946966">
                              <w:pPr>
                                <w:jc w:val="center"/>
                                <w:rPr>
                                  <w:rFonts w:cs="Arial"/>
                                  <w:b/>
                                  <w:sz w:val="20"/>
                                  <w:szCs w:val="20"/>
                                </w:rPr>
                              </w:pPr>
                              <w:r>
                                <w:rPr>
                                  <w:rFonts w:cs="Arial"/>
                                  <w:b/>
                                  <w:sz w:val="20"/>
                                  <w:szCs w:val="20"/>
                                </w:rPr>
                                <w:t>Issue identification and confirmation of V.I.</w:t>
                              </w:r>
                            </w:p>
                          </w:txbxContent>
                        </wps:txbx>
                        <wps:bodyPr rot="0" vert="horz" wrap="square" lIns="91440" tIns="45720" rIns="91440" bIns="45720" anchor="ctr" anchorCtr="0" upright="1">
                          <a:noAutofit/>
                        </wps:bodyPr>
                      </wps:wsp>
                      <wps:wsp>
                        <wps:cNvPr id="91" name="Text Box 22"/>
                        <wps:cNvSpPr txBox="1">
                          <a:spLocks noChangeAspect="1" noChangeArrowheads="1"/>
                        </wps:cNvSpPr>
                        <wps:spPr bwMode="auto">
                          <a:xfrm>
                            <a:off x="4348" y="4095"/>
                            <a:ext cx="3187" cy="794"/>
                          </a:xfrm>
                          <a:prstGeom prst="rect">
                            <a:avLst/>
                          </a:prstGeom>
                          <a:gradFill rotWithShape="0">
                            <a:gsLst>
                              <a:gs pos="0">
                                <a:sysClr val="window" lastClr="FFFFFF">
                                  <a:lumMod val="100000"/>
                                  <a:lumOff val="0"/>
                                </a:sysClr>
                              </a:gs>
                              <a:gs pos="100000">
                                <a:srgbClr val="604878">
                                  <a:lumMod val="40000"/>
                                  <a:lumOff val="60000"/>
                                </a:srgbClr>
                              </a:gs>
                            </a:gsLst>
                            <a:lin ang="5400000" scaled="1"/>
                          </a:gradFill>
                          <a:ln w="12700">
                            <a:solidFill>
                              <a:srgbClr val="604878">
                                <a:lumMod val="60000"/>
                                <a:lumOff val="40000"/>
                              </a:srgbClr>
                            </a:solidFill>
                            <a:miter lim="800000"/>
                            <a:headEnd/>
                            <a:tailEnd/>
                          </a:ln>
                          <a:effectLst>
                            <a:outerShdw dist="28398" dir="3806097" algn="ctr" rotWithShape="0">
                              <a:srgbClr val="604878">
                                <a:lumMod val="50000"/>
                                <a:lumOff val="0"/>
                                <a:alpha val="50000"/>
                              </a:srgbClr>
                            </a:outerShdw>
                          </a:effectLst>
                        </wps:spPr>
                        <wps:txbx>
                          <w:txbxContent>
                            <w:p w14:paraId="675285DE" w14:textId="77777777" w:rsidR="008D4243" w:rsidRPr="005571C8" w:rsidRDefault="008D4243" w:rsidP="00946966">
                              <w:pPr>
                                <w:jc w:val="center"/>
                                <w:rPr>
                                  <w:rFonts w:cs="Arial"/>
                                  <w:b/>
                                  <w:sz w:val="20"/>
                                  <w:szCs w:val="20"/>
                                </w:rPr>
                              </w:pPr>
                              <w:r>
                                <w:rPr>
                                  <w:rFonts w:cs="Arial"/>
                                  <w:b/>
                                  <w:sz w:val="20"/>
                                  <w:szCs w:val="20"/>
                                </w:rPr>
                                <w:t>Vapour Intrusion</w:t>
                              </w:r>
                              <w:r>
                                <w:rPr>
                                  <w:rFonts w:cs="Arial"/>
                                  <w:b/>
                                  <w:sz w:val="20"/>
                                  <w:szCs w:val="20"/>
                                </w:rPr>
                                <w:br/>
                                <w:t>Exposure Assessment</w:t>
                              </w:r>
                            </w:p>
                          </w:txbxContent>
                        </wps:txbx>
                        <wps:bodyPr rot="0" vert="horz" wrap="square" lIns="91440" tIns="45720" rIns="91440" bIns="45720" anchor="ctr" anchorCtr="0" upright="1">
                          <a:noAutofit/>
                        </wps:bodyPr>
                      </wps:wsp>
                      <wps:wsp>
                        <wps:cNvPr id="92" name="Text Box 23"/>
                        <wps:cNvSpPr txBox="1">
                          <a:spLocks noChangeAspect="1" noChangeArrowheads="1"/>
                        </wps:cNvSpPr>
                        <wps:spPr bwMode="auto">
                          <a:xfrm>
                            <a:off x="4959" y="8990"/>
                            <a:ext cx="2934" cy="1116"/>
                          </a:xfrm>
                          <a:prstGeom prst="rect">
                            <a:avLst/>
                          </a:prstGeom>
                          <a:gradFill rotWithShape="0">
                            <a:gsLst>
                              <a:gs pos="0">
                                <a:sysClr val="window" lastClr="FFFFFF">
                                  <a:lumMod val="100000"/>
                                  <a:lumOff val="0"/>
                                </a:sysClr>
                              </a:gs>
                              <a:gs pos="100000">
                                <a:srgbClr val="604878">
                                  <a:lumMod val="40000"/>
                                  <a:lumOff val="60000"/>
                                </a:srgbClr>
                              </a:gs>
                            </a:gsLst>
                            <a:lin ang="5400000" scaled="1"/>
                          </a:gradFill>
                          <a:ln w="12700">
                            <a:solidFill>
                              <a:srgbClr val="604878">
                                <a:lumMod val="60000"/>
                                <a:lumOff val="40000"/>
                              </a:srgbClr>
                            </a:solidFill>
                            <a:miter lim="800000"/>
                            <a:headEnd/>
                            <a:tailEnd/>
                          </a:ln>
                          <a:effectLst>
                            <a:outerShdw dist="28398" dir="3806097" algn="ctr" rotWithShape="0">
                              <a:srgbClr val="604878">
                                <a:lumMod val="50000"/>
                                <a:lumOff val="0"/>
                                <a:alpha val="50000"/>
                              </a:srgbClr>
                            </a:outerShdw>
                          </a:effectLst>
                        </wps:spPr>
                        <wps:txbx>
                          <w:txbxContent>
                            <w:p w14:paraId="63E69600" w14:textId="77777777" w:rsidR="008D4243" w:rsidRPr="005571C8" w:rsidRDefault="008D4243" w:rsidP="00946966">
                              <w:pPr>
                                <w:jc w:val="center"/>
                                <w:rPr>
                                  <w:rFonts w:cs="Arial"/>
                                  <w:b/>
                                  <w:sz w:val="20"/>
                                  <w:szCs w:val="20"/>
                                </w:rPr>
                              </w:pPr>
                              <w:r>
                                <w:rPr>
                                  <w:rFonts w:cs="Arial"/>
                                  <w:b/>
                                  <w:sz w:val="20"/>
                                  <w:szCs w:val="20"/>
                                </w:rPr>
                                <w:t>Ventilation models and measurement</w:t>
                              </w:r>
                            </w:p>
                          </w:txbxContent>
                        </wps:txbx>
                        <wps:bodyPr rot="0" vert="horz" wrap="square" lIns="91440" tIns="45720" rIns="91440" bIns="45720" anchor="ctr" anchorCtr="0" upright="1">
                          <a:noAutofit/>
                        </wps:bodyPr>
                      </wps:wsp>
                      <wps:wsp>
                        <wps:cNvPr id="93" name="Text Box 24"/>
                        <wps:cNvSpPr txBox="1">
                          <a:spLocks noChangeAspect="1" noChangeArrowheads="1"/>
                        </wps:cNvSpPr>
                        <wps:spPr bwMode="auto">
                          <a:xfrm>
                            <a:off x="4959" y="10950"/>
                            <a:ext cx="2934" cy="1116"/>
                          </a:xfrm>
                          <a:prstGeom prst="rect">
                            <a:avLst/>
                          </a:prstGeom>
                          <a:gradFill rotWithShape="0">
                            <a:gsLst>
                              <a:gs pos="0">
                                <a:sysClr val="window" lastClr="FFFFFF">
                                  <a:lumMod val="100000"/>
                                  <a:lumOff val="0"/>
                                </a:sysClr>
                              </a:gs>
                              <a:gs pos="100000">
                                <a:srgbClr val="604878">
                                  <a:lumMod val="40000"/>
                                  <a:lumOff val="60000"/>
                                </a:srgbClr>
                              </a:gs>
                            </a:gsLst>
                            <a:lin ang="5400000" scaled="1"/>
                          </a:gradFill>
                          <a:ln w="12700">
                            <a:solidFill>
                              <a:srgbClr val="604878">
                                <a:lumMod val="60000"/>
                                <a:lumOff val="40000"/>
                              </a:srgbClr>
                            </a:solidFill>
                            <a:miter lim="800000"/>
                            <a:headEnd/>
                            <a:tailEnd/>
                          </a:ln>
                          <a:effectLst>
                            <a:outerShdw dist="28398" dir="3806097" algn="ctr" rotWithShape="0">
                              <a:srgbClr val="604878">
                                <a:lumMod val="50000"/>
                                <a:lumOff val="0"/>
                                <a:alpha val="50000"/>
                              </a:srgbClr>
                            </a:outerShdw>
                          </a:effectLst>
                        </wps:spPr>
                        <wps:txbx>
                          <w:txbxContent>
                            <w:p w14:paraId="20155D9C" w14:textId="77777777" w:rsidR="008D4243" w:rsidRPr="005571C8" w:rsidRDefault="008D4243" w:rsidP="00946966">
                              <w:pPr>
                                <w:jc w:val="center"/>
                                <w:rPr>
                                  <w:rFonts w:cs="Arial"/>
                                  <w:b/>
                                  <w:sz w:val="20"/>
                                  <w:szCs w:val="20"/>
                                </w:rPr>
                              </w:pPr>
                              <w:r>
                                <w:rPr>
                                  <w:rFonts w:cs="Arial"/>
                                  <w:b/>
                                  <w:sz w:val="20"/>
                                  <w:szCs w:val="20"/>
                                </w:rPr>
                                <w:t>Inhalation dosimetry</w:t>
                              </w:r>
                            </w:p>
                          </w:txbxContent>
                        </wps:txbx>
                        <wps:bodyPr rot="0" vert="horz" wrap="square" lIns="91440" tIns="45720" rIns="91440" bIns="45720" anchor="ctr" anchorCtr="0" upright="1">
                          <a:noAutofit/>
                        </wps:bodyPr>
                      </wps:wsp>
                      <wps:wsp>
                        <wps:cNvPr id="94" name="Text Box 25"/>
                        <wps:cNvSpPr txBox="1">
                          <a:spLocks noChangeAspect="1" noChangeArrowheads="1"/>
                        </wps:cNvSpPr>
                        <wps:spPr bwMode="auto">
                          <a:xfrm>
                            <a:off x="753" y="4095"/>
                            <a:ext cx="3343" cy="794"/>
                          </a:xfrm>
                          <a:prstGeom prst="rect">
                            <a:avLst/>
                          </a:prstGeom>
                          <a:gradFill rotWithShape="0">
                            <a:gsLst>
                              <a:gs pos="0">
                                <a:sysClr val="window" lastClr="FFFFFF">
                                  <a:lumMod val="100000"/>
                                  <a:lumOff val="0"/>
                                </a:sysClr>
                              </a:gs>
                              <a:gs pos="100000">
                                <a:srgbClr val="604878">
                                  <a:lumMod val="40000"/>
                                  <a:lumOff val="60000"/>
                                </a:srgbClr>
                              </a:gs>
                            </a:gsLst>
                            <a:lin ang="5400000" scaled="1"/>
                          </a:gradFill>
                          <a:ln w="12700">
                            <a:solidFill>
                              <a:srgbClr val="604878">
                                <a:lumMod val="60000"/>
                                <a:lumOff val="40000"/>
                              </a:srgbClr>
                            </a:solidFill>
                            <a:miter lim="800000"/>
                            <a:headEnd/>
                            <a:tailEnd/>
                          </a:ln>
                          <a:effectLst>
                            <a:outerShdw dist="28398" dir="3806097" algn="ctr" rotWithShape="0">
                              <a:srgbClr val="604878">
                                <a:lumMod val="50000"/>
                                <a:lumOff val="0"/>
                                <a:alpha val="50000"/>
                              </a:srgbClr>
                            </a:outerShdw>
                          </a:effectLst>
                        </wps:spPr>
                        <wps:txbx>
                          <w:txbxContent>
                            <w:p w14:paraId="6EB4FAD1" w14:textId="77777777" w:rsidR="008D4243" w:rsidRPr="005571C8" w:rsidRDefault="008D4243" w:rsidP="00946966">
                              <w:pPr>
                                <w:jc w:val="center"/>
                                <w:rPr>
                                  <w:rFonts w:cs="Arial"/>
                                  <w:b/>
                                  <w:sz w:val="20"/>
                                  <w:szCs w:val="20"/>
                                </w:rPr>
                              </w:pPr>
                              <w:r>
                                <w:rPr>
                                  <w:rFonts w:cs="Arial"/>
                                  <w:b/>
                                  <w:sz w:val="20"/>
                                  <w:szCs w:val="20"/>
                                </w:rPr>
                                <w:t>Toxicological assessment of volatiles</w:t>
                              </w:r>
                            </w:p>
                          </w:txbxContent>
                        </wps:txbx>
                        <wps:bodyPr rot="0" vert="horz" wrap="square" lIns="91440" tIns="45720" rIns="91440" bIns="45720" anchor="ctr" anchorCtr="0" upright="1">
                          <a:noAutofit/>
                        </wps:bodyPr>
                      </wps:wsp>
                      <wps:wsp>
                        <wps:cNvPr id="95" name="Text Box 26"/>
                        <wps:cNvSpPr txBox="1">
                          <a:spLocks noChangeAspect="1" noChangeArrowheads="1"/>
                        </wps:cNvSpPr>
                        <wps:spPr bwMode="auto">
                          <a:xfrm>
                            <a:off x="8592" y="6399"/>
                            <a:ext cx="2934" cy="1116"/>
                          </a:xfrm>
                          <a:prstGeom prst="rect">
                            <a:avLst/>
                          </a:prstGeom>
                          <a:gradFill rotWithShape="0">
                            <a:gsLst>
                              <a:gs pos="0">
                                <a:sysClr val="window" lastClr="FFFFFF">
                                  <a:lumMod val="100000"/>
                                  <a:lumOff val="0"/>
                                </a:sysClr>
                              </a:gs>
                              <a:gs pos="100000">
                                <a:srgbClr val="604878">
                                  <a:lumMod val="40000"/>
                                  <a:lumOff val="60000"/>
                                </a:srgbClr>
                              </a:gs>
                            </a:gsLst>
                            <a:lin ang="5400000" scaled="1"/>
                          </a:gradFill>
                          <a:ln w="12700">
                            <a:solidFill>
                              <a:srgbClr val="604878">
                                <a:lumMod val="60000"/>
                                <a:lumOff val="40000"/>
                              </a:srgbClr>
                            </a:solidFill>
                            <a:miter lim="800000"/>
                            <a:headEnd/>
                            <a:tailEnd/>
                          </a:ln>
                          <a:effectLst>
                            <a:outerShdw dist="28398" dir="3806097" algn="ctr" rotWithShape="0">
                              <a:srgbClr val="604878">
                                <a:lumMod val="50000"/>
                                <a:lumOff val="0"/>
                                <a:alpha val="50000"/>
                              </a:srgbClr>
                            </a:outerShdw>
                          </a:effectLst>
                        </wps:spPr>
                        <wps:txbx>
                          <w:txbxContent>
                            <w:p w14:paraId="30071944" w14:textId="77777777" w:rsidR="008D4243" w:rsidRPr="005571C8" w:rsidRDefault="008D4243" w:rsidP="00946966">
                              <w:pPr>
                                <w:jc w:val="center"/>
                                <w:rPr>
                                  <w:rFonts w:cs="Arial"/>
                                  <w:b/>
                                  <w:sz w:val="20"/>
                                  <w:szCs w:val="20"/>
                                </w:rPr>
                              </w:pPr>
                              <w:r>
                                <w:rPr>
                                  <w:rFonts w:cs="Arial"/>
                                  <w:b/>
                                  <w:sz w:val="20"/>
                                  <w:szCs w:val="20"/>
                                </w:rPr>
                                <w:t>Determination of vapour concentration at building boundary</w:t>
                              </w:r>
                            </w:p>
                          </w:txbxContent>
                        </wps:txbx>
                        <wps:bodyPr rot="0" vert="horz" wrap="square" lIns="91440" tIns="45720" rIns="91440" bIns="45720" anchor="ctr" anchorCtr="0" upright="1">
                          <a:noAutofit/>
                        </wps:bodyPr>
                      </wps:wsp>
                      <wps:wsp>
                        <wps:cNvPr id="96" name="Text Box 27"/>
                        <wps:cNvSpPr txBox="1">
                          <a:spLocks noChangeAspect="1" noChangeArrowheads="1"/>
                        </wps:cNvSpPr>
                        <wps:spPr bwMode="auto">
                          <a:xfrm>
                            <a:off x="8565" y="8989"/>
                            <a:ext cx="2934" cy="1116"/>
                          </a:xfrm>
                          <a:prstGeom prst="rect">
                            <a:avLst/>
                          </a:prstGeom>
                          <a:gradFill rotWithShape="0">
                            <a:gsLst>
                              <a:gs pos="0">
                                <a:sysClr val="window" lastClr="FFFFFF">
                                  <a:lumMod val="100000"/>
                                  <a:lumOff val="0"/>
                                </a:sysClr>
                              </a:gs>
                              <a:gs pos="100000">
                                <a:srgbClr val="604878">
                                  <a:lumMod val="40000"/>
                                  <a:lumOff val="60000"/>
                                </a:srgbClr>
                              </a:gs>
                            </a:gsLst>
                            <a:lin ang="5400000" scaled="1"/>
                          </a:gradFill>
                          <a:ln w="12700">
                            <a:solidFill>
                              <a:srgbClr val="604878">
                                <a:lumMod val="60000"/>
                                <a:lumOff val="40000"/>
                              </a:srgbClr>
                            </a:solidFill>
                            <a:miter lim="800000"/>
                            <a:headEnd/>
                            <a:tailEnd/>
                          </a:ln>
                          <a:effectLst>
                            <a:outerShdw dist="28398" dir="3806097" algn="ctr" rotWithShape="0">
                              <a:srgbClr val="604878">
                                <a:lumMod val="50000"/>
                                <a:lumOff val="0"/>
                                <a:alpha val="50000"/>
                              </a:srgbClr>
                            </a:outerShdw>
                          </a:effectLst>
                        </wps:spPr>
                        <wps:txbx>
                          <w:txbxContent>
                            <w:p w14:paraId="1B610A91" w14:textId="77777777" w:rsidR="008D4243" w:rsidRPr="005571C8" w:rsidRDefault="008D4243" w:rsidP="00946966">
                              <w:pPr>
                                <w:jc w:val="center"/>
                                <w:rPr>
                                  <w:rFonts w:cs="Arial"/>
                                  <w:b/>
                                  <w:sz w:val="20"/>
                                  <w:szCs w:val="20"/>
                                </w:rPr>
                              </w:pPr>
                              <w:r>
                                <w:rPr>
                                  <w:rFonts w:cs="Arial"/>
                                  <w:b/>
                                  <w:sz w:val="20"/>
                                  <w:szCs w:val="20"/>
                                </w:rPr>
                                <w:t>Changes in indoor volatile concentrations in space and over time</w:t>
                              </w:r>
                            </w:p>
                          </w:txbxContent>
                        </wps:txbx>
                        <wps:bodyPr rot="0" vert="horz" wrap="square" lIns="91440" tIns="45720" rIns="91440" bIns="45720" anchor="ctr" anchorCtr="0" upright="1">
                          <a:noAutofit/>
                        </wps:bodyPr>
                      </wps:wsp>
                      <wps:wsp>
                        <wps:cNvPr id="97" name="Text Box 28"/>
                        <wps:cNvSpPr txBox="1">
                          <a:spLocks noChangeAspect="1" noChangeArrowheads="1"/>
                        </wps:cNvSpPr>
                        <wps:spPr bwMode="auto">
                          <a:xfrm>
                            <a:off x="8537" y="10950"/>
                            <a:ext cx="2934" cy="1116"/>
                          </a:xfrm>
                          <a:prstGeom prst="rect">
                            <a:avLst/>
                          </a:prstGeom>
                          <a:gradFill rotWithShape="0">
                            <a:gsLst>
                              <a:gs pos="0">
                                <a:sysClr val="window" lastClr="FFFFFF">
                                  <a:lumMod val="100000"/>
                                  <a:lumOff val="0"/>
                                </a:sysClr>
                              </a:gs>
                              <a:gs pos="100000">
                                <a:srgbClr val="604878">
                                  <a:lumMod val="40000"/>
                                  <a:lumOff val="60000"/>
                                </a:srgbClr>
                              </a:gs>
                            </a:gsLst>
                            <a:lin ang="5400000" scaled="1"/>
                          </a:gradFill>
                          <a:ln w="12700">
                            <a:solidFill>
                              <a:srgbClr val="604878">
                                <a:lumMod val="60000"/>
                                <a:lumOff val="40000"/>
                              </a:srgbClr>
                            </a:solidFill>
                            <a:miter lim="800000"/>
                            <a:headEnd/>
                            <a:tailEnd/>
                          </a:ln>
                          <a:effectLst>
                            <a:outerShdw dist="28398" dir="3806097" algn="ctr" rotWithShape="0">
                              <a:srgbClr val="604878">
                                <a:lumMod val="50000"/>
                                <a:lumOff val="0"/>
                                <a:alpha val="50000"/>
                              </a:srgbClr>
                            </a:outerShdw>
                          </a:effectLst>
                        </wps:spPr>
                        <wps:txbx>
                          <w:txbxContent>
                            <w:p w14:paraId="74DF0D60" w14:textId="77777777" w:rsidR="008D4243" w:rsidRPr="005571C8" w:rsidRDefault="008D4243" w:rsidP="00946966">
                              <w:pPr>
                                <w:jc w:val="center"/>
                                <w:rPr>
                                  <w:rFonts w:cs="Arial"/>
                                  <w:b/>
                                  <w:sz w:val="20"/>
                                  <w:szCs w:val="20"/>
                                </w:rPr>
                              </w:pPr>
                              <w:r>
                                <w:rPr>
                                  <w:rFonts w:cs="Arial"/>
                                  <w:b/>
                                  <w:sz w:val="20"/>
                                  <w:szCs w:val="20"/>
                                </w:rPr>
                                <w:t>Determination of absorbed doses over time</w:t>
                              </w:r>
                            </w:p>
                          </w:txbxContent>
                        </wps:txbx>
                        <wps:bodyPr rot="0" vert="horz" wrap="square" lIns="91440" tIns="45720" rIns="91440" bIns="45720" anchor="ctr" anchorCtr="0" upright="1">
                          <a:noAutofit/>
                        </wps:bodyPr>
                      </wps:wsp>
                      <wps:wsp>
                        <wps:cNvPr id="98" name="Text Box 29"/>
                        <wps:cNvSpPr txBox="1">
                          <a:spLocks noChangeAspect="1" noChangeArrowheads="1"/>
                        </wps:cNvSpPr>
                        <wps:spPr bwMode="auto">
                          <a:xfrm>
                            <a:off x="2015" y="13308"/>
                            <a:ext cx="4357" cy="480"/>
                          </a:xfrm>
                          <a:prstGeom prst="rect">
                            <a:avLst/>
                          </a:prstGeom>
                          <a:gradFill rotWithShape="0">
                            <a:gsLst>
                              <a:gs pos="0">
                                <a:srgbClr val="F07F09">
                                  <a:lumMod val="60000"/>
                                  <a:lumOff val="40000"/>
                                </a:srgbClr>
                              </a:gs>
                              <a:gs pos="50000">
                                <a:srgbClr val="F07F09">
                                  <a:lumMod val="20000"/>
                                  <a:lumOff val="80000"/>
                                </a:srgbClr>
                              </a:gs>
                              <a:gs pos="100000">
                                <a:srgbClr val="F07F09">
                                  <a:lumMod val="60000"/>
                                  <a:lumOff val="40000"/>
                                </a:srgbClr>
                              </a:gs>
                            </a:gsLst>
                            <a:lin ang="18900000" scaled="1"/>
                          </a:gradFill>
                          <a:ln w="12700">
                            <a:solidFill>
                              <a:srgbClr val="F07F09">
                                <a:lumMod val="60000"/>
                                <a:lumOff val="40000"/>
                              </a:srgbClr>
                            </a:solidFill>
                            <a:miter lim="800000"/>
                            <a:headEnd/>
                            <a:tailEnd/>
                          </a:ln>
                          <a:effectLst>
                            <a:outerShdw dist="28398" dir="3806097" algn="ctr" rotWithShape="0">
                              <a:srgbClr val="F07F09">
                                <a:lumMod val="50000"/>
                                <a:lumOff val="0"/>
                                <a:alpha val="50000"/>
                              </a:srgbClr>
                            </a:outerShdw>
                          </a:effectLst>
                        </wps:spPr>
                        <wps:txbx>
                          <w:txbxContent>
                            <w:p w14:paraId="2C111EA0" w14:textId="77777777" w:rsidR="008D4243" w:rsidRPr="005571C8" w:rsidRDefault="008D4243" w:rsidP="00946966">
                              <w:pPr>
                                <w:jc w:val="center"/>
                                <w:rPr>
                                  <w:rFonts w:cs="Arial"/>
                                  <w:b/>
                                </w:rPr>
                              </w:pPr>
                              <w:r>
                                <w:rPr>
                                  <w:rFonts w:cs="Arial"/>
                                  <w:b/>
                                </w:rPr>
                                <w:t>RISK CHARACTERISATION</w:t>
                              </w:r>
                            </w:p>
                          </w:txbxContent>
                        </wps:txbx>
                        <wps:bodyPr rot="0" vert="horz" wrap="square" lIns="91440" tIns="45720" rIns="91440" bIns="45720" anchor="ctr" anchorCtr="0" upright="1">
                          <a:noAutofit/>
                        </wps:bodyPr>
                      </wps:wsp>
                      <wps:wsp>
                        <wps:cNvPr id="99" name="Text Box 30"/>
                        <wps:cNvSpPr txBox="1">
                          <a:spLocks noChangeAspect="1" noChangeArrowheads="1"/>
                        </wps:cNvSpPr>
                        <wps:spPr bwMode="auto">
                          <a:xfrm>
                            <a:off x="4968" y="5751"/>
                            <a:ext cx="2934" cy="1116"/>
                          </a:xfrm>
                          <a:prstGeom prst="rect">
                            <a:avLst/>
                          </a:prstGeom>
                          <a:gradFill rotWithShape="0">
                            <a:gsLst>
                              <a:gs pos="0">
                                <a:sysClr val="window" lastClr="FFFFFF">
                                  <a:lumMod val="100000"/>
                                  <a:lumOff val="0"/>
                                </a:sysClr>
                              </a:gs>
                              <a:gs pos="100000">
                                <a:srgbClr val="604878">
                                  <a:lumMod val="40000"/>
                                  <a:lumOff val="60000"/>
                                </a:srgbClr>
                              </a:gs>
                            </a:gsLst>
                            <a:lin ang="5400000" scaled="1"/>
                          </a:gradFill>
                          <a:ln w="12700">
                            <a:solidFill>
                              <a:srgbClr val="604878">
                                <a:lumMod val="60000"/>
                                <a:lumOff val="40000"/>
                              </a:srgbClr>
                            </a:solidFill>
                            <a:miter lim="800000"/>
                            <a:headEnd/>
                            <a:tailEnd/>
                          </a:ln>
                          <a:effectLst>
                            <a:outerShdw dist="28398" dir="3806097" algn="ctr" rotWithShape="0">
                              <a:srgbClr val="604878">
                                <a:lumMod val="50000"/>
                                <a:lumOff val="0"/>
                                <a:alpha val="50000"/>
                              </a:srgbClr>
                            </a:outerShdw>
                          </a:effectLst>
                        </wps:spPr>
                        <wps:txbx>
                          <w:txbxContent>
                            <w:p w14:paraId="27D0B89E" w14:textId="77777777" w:rsidR="008D4243" w:rsidRPr="005571C8" w:rsidRDefault="008D4243" w:rsidP="00946966">
                              <w:pPr>
                                <w:jc w:val="center"/>
                                <w:rPr>
                                  <w:rFonts w:cs="Arial"/>
                                  <w:b/>
                                  <w:sz w:val="20"/>
                                  <w:szCs w:val="20"/>
                                </w:rPr>
                              </w:pPr>
                              <w:r>
                                <w:rPr>
                                  <w:rFonts w:cs="Arial"/>
                                  <w:b/>
                                  <w:sz w:val="20"/>
                                  <w:szCs w:val="20"/>
                                </w:rPr>
                                <w:t>Sub-surface fate and transport vapour intrusion models</w:t>
                              </w:r>
                            </w:p>
                          </w:txbxContent>
                        </wps:txbx>
                        <wps:bodyPr rot="0" vert="horz" wrap="square" lIns="91440" tIns="45720" rIns="91440" bIns="45720" anchor="ctr" anchorCtr="0" upright="1">
                          <a:noAutofit/>
                        </wps:bodyPr>
                      </wps:wsp>
                      <wps:wsp>
                        <wps:cNvPr id="100" name="Text Box 31"/>
                        <wps:cNvSpPr txBox="1">
                          <a:spLocks noChangeAspect="1" noChangeArrowheads="1"/>
                        </wps:cNvSpPr>
                        <wps:spPr bwMode="auto">
                          <a:xfrm>
                            <a:off x="4968" y="7047"/>
                            <a:ext cx="2934" cy="1116"/>
                          </a:xfrm>
                          <a:prstGeom prst="rect">
                            <a:avLst/>
                          </a:prstGeom>
                          <a:gradFill rotWithShape="0">
                            <a:gsLst>
                              <a:gs pos="0">
                                <a:sysClr val="window" lastClr="FFFFFF">
                                  <a:lumMod val="100000"/>
                                  <a:lumOff val="0"/>
                                </a:sysClr>
                              </a:gs>
                              <a:gs pos="100000">
                                <a:srgbClr val="604878">
                                  <a:lumMod val="40000"/>
                                  <a:lumOff val="60000"/>
                                </a:srgbClr>
                              </a:gs>
                            </a:gsLst>
                            <a:lin ang="5400000" scaled="1"/>
                          </a:gradFill>
                          <a:ln w="12700">
                            <a:solidFill>
                              <a:srgbClr val="604878">
                                <a:lumMod val="60000"/>
                                <a:lumOff val="40000"/>
                              </a:srgbClr>
                            </a:solidFill>
                            <a:miter lim="800000"/>
                            <a:headEnd/>
                            <a:tailEnd/>
                          </a:ln>
                          <a:effectLst>
                            <a:outerShdw dist="28398" dir="3806097" algn="ctr" rotWithShape="0">
                              <a:srgbClr val="604878">
                                <a:lumMod val="50000"/>
                                <a:lumOff val="0"/>
                                <a:alpha val="50000"/>
                              </a:srgbClr>
                            </a:outerShdw>
                          </a:effectLst>
                        </wps:spPr>
                        <wps:txbx>
                          <w:txbxContent>
                            <w:p w14:paraId="0D474CBC" w14:textId="77777777" w:rsidR="008D4243" w:rsidRPr="005571C8" w:rsidRDefault="008D4243" w:rsidP="00946966">
                              <w:pPr>
                                <w:jc w:val="center"/>
                                <w:rPr>
                                  <w:rFonts w:cs="Arial"/>
                                  <w:b/>
                                  <w:sz w:val="20"/>
                                  <w:szCs w:val="20"/>
                                </w:rPr>
                              </w:pPr>
                              <w:r>
                                <w:rPr>
                                  <w:rFonts w:cs="Arial"/>
                                  <w:b/>
                                  <w:sz w:val="20"/>
                                  <w:szCs w:val="20"/>
                                </w:rPr>
                                <w:t>Sub-surface vapour measurement and protocols</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9F5DB6" id="Group 72" o:spid="_x0000_s1027" style="position:absolute;margin-left:-19.7pt;margin-top:22.05pt;width:512.4pt;height:531pt;z-index:251657216" coordorigin="753,1188" coordsize="10773,1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">
                <v:shapetype id="_x0000_t32" coordsize="21600,21600" o:spt="32" o:oned="t" path="m,l21600,21600e" filled="f">
                  <v:path arrowok="t" fillok="f" o:connecttype="none"/>
                  <o:lock v:ext="edit" shapetype="t"/>
                </v:shapetype>
                <v:shape id="AutoShape 4" o:spid="_x0000_s1028" type="#_x0000_t32" style="position:absolute;left:4169;top:1691;width:1;height:8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" strokeweight="1.5pt">
                  <v:stroke endarrow="block" endarrowwidth="wide" endarrowlength="long"/>
                </v:shape>
                <v:shape id="AutoShape 5" o:spid="_x0000_s1029" type="#_x0000_t32" style="position:absolute;left:5933;top:4760;width:1;height:9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" strokeweight="1.5pt">
                  <v:stroke endarrow="block" endarrowwidth="wide" endarrowlength="long"/>
                </v:shape>
                <v:shape id="AutoShape 6" o:spid="_x0000_s1030" type="#_x0000_t32" style="position:absolute;left:7796;top:9606;width:7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" strokeweight="1.5pt">
                  <v:stroke endarrow="block" endarrowwidth="wide" endarrowlength="long"/>
                </v:shape>
                <v:shape id="AutoShape 7" o:spid="_x0000_s1031" type="#_x0000_t32" style="position:absolute;left:7785;top:11554;width:7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" strokeweight="1.5pt">
                  <v:stroke endarrow="block" endarrowwidth="wide" endarrowlength="long"/>
                </v:shape>
                <v:shape id="AutoShape 8" o:spid="_x0000_s1032" type="#_x0000_t32" style="position:absolute;left:10041;top:7412;width:16;height:15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" strokeweight="1.5pt">
                  <v:stroke endarrow="block" endarrowwidth="wide" endarrowlength="long"/>
                </v:shape>
                <v:shape id="AutoShape 9" o:spid="_x0000_s1033" type="#_x0000_t32" style="position:absolute;left:10013;top:9460;width:16;height:15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" strokeweight="1.5pt">
                  <v:stroke endarrow="block" endarrowwidth="wide" endarrowlength="long"/>
                </v:shape>
                <v:shape id="AutoShape 10" o:spid="_x0000_s1034" type="#_x0000_t32" style="position:absolute;left:4186;top:3298;width:0;height:4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" strokeweight="1.5pt"/>
                <v:shape id="AutoShape 11" o:spid="_x0000_s1035" type="#_x0000_t32" style="position:absolute;left:2394;top:3733;width:346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" strokeweight="1.5pt"/>
                <v:shape id="AutoShape 12" o:spid="_x0000_s1036" type="#_x0000_t32" style="position:absolute;left:2389;top:3729;width:1;height:4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" strokeweight="1.5pt">
                  <v:stroke endarrow="block" endarrowwidth="wide" endarrowlength="long"/>
                </v:shape>
                <v:shape id="AutoShape 13" o:spid="_x0000_s1037" type="#_x0000_t32" style="position:absolute;left:5844;top:3717;width:1;height:4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" strokeweight="1.5pt">
                  <v:stroke endarrow="block" endarrowwidth="wide" endarrowlength="long"/>
                </v:shape>
                <v:shape id="AutoShape 14" o:spid="_x0000_s1038" type="#_x0000_t32" style="position:absolute;left:4193;top:12915;width:1;height:4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" strokeweight="1.5pt">
                  <v:stroke endarrow="block" endarrowwidth="wide" endarrowlength="long"/>
                </v:shape>
                <v:shape id="AutoShape 15" o:spid="_x0000_s1039" type="#_x0000_t32" style="position:absolute;left:7801;top:6631;width:7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" strokeweight="1.5pt">
                  <v:stroke endarrow="block" endarrowwidth="wide" endarrowlength="long"/>
                </v:shape>
                <v:shape id="AutoShape 16" o:spid="_x0000_s1040" type="#_x0000_t32" style="position:absolute;left:7823;top:7340;width:7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" strokeweight="1.5pt">
                  <v:stroke endarrow="block" endarrowwidth="wide" endarrowlength="long"/>
                </v:shape>
                <v:shape id="AutoShape 17" o:spid="_x0000_s1041" type="#_x0000_t32" style="position:absolute;left:9902;top:11375;width:16;height:15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" strokeweight="1.5pt">
                  <v:stroke endarrowwidth="wide" endarrowlength="long"/>
                </v:shape>
                <v:shape id="AutoShape 18" o:spid="_x0000_s1042" type="#_x0000_t32" style="position:absolute;left:2562;top:12893;width:73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" strokeweight="1.5pt"/>
                <v:shape id="AutoShape 19" o:spid="_x0000_s1043" type="#_x0000_t32" style="position:absolute;left:2578;top:4906;width:0;height:79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" strokeweight="1.5pt"/>
                <v:shape id="Text Box 20" o:spid="_x0000_s1044" type="#_x0000_t202" style="position:absolute;left:1997;top:1188;width:4360;height: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" fillcolor="#f9b268" strokecolor="#f9b268" strokeweight="1pt">
                  <v:fill color2="#fde5cd" angle="135" focus="50%" type="gradient"/>
                  <v:shadow on="t" color="#783f05" opacity=".5" offset="1pt"/>
                  <v:textbox>
                    <w:txbxContent>
                      <w:p w14:paraId="5E09860A" w14:textId="77777777" w:rsidR="008D4243" w:rsidRPr="005571C8" w:rsidRDefault="008D4243" w:rsidP="00946966">
                        <w:pPr>
                          <w:jc w:val="center"/>
                          <w:rPr>
                            <w:rFonts w:cs="Arial"/>
                            <w:b/>
                          </w:rPr>
                        </w:pPr>
                        <w:r w:rsidRPr="005571C8">
                          <w:rPr>
                            <w:rFonts w:cs="Arial"/>
                            <w:b/>
                          </w:rPr>
                          <w:t>VAPOUR INTRUSION</w:t>
                        </w:r>
                        <w:r>
                          <w:rPr>
                            <w:rFonts w:cs="Arial"/>
                            <w:b/>
                          </w:rPr>
                          <w:t xml:space="preserve"> (V.I.)</w:t>
                        </w:r>
                      </w:p>
                    </w:txbxContent>
                  </v:textbox>
                </v:shape>
                <v:shape id="Text Box 21" o:spid="_x0000_s1045" type="#_x0000_t202" style="position:absolute;left:2374;top:2501;width:3606;height: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" strokecolor="#a088b7" strokeweight="1pt">
                  <v:fill color2="#bfafcf" focus="100%" type="gradient"/>
                  <v:shadow on="t" color="#30243c" opacity=".5" offset="1pt"/>
                  <o:lock v:ext="edit" aspectratio="t"/>
                  <v:textbox>
                    <w:txbxContent>
                      <w:p w14:paraId="2E680347" w14:textId="77777777" w:rsidR="008D4243" w:rsidRPr="005571C8" w:rsidRDefault="008D4243" w:rsidP="00946966">
                        <w:pPr>
                          <w:jc w:val="center"/>
                          <w:rPr>
                            <w:rFonts w:cs="Arial"/>
                            <w:b/>
                            <w:sz w:val="20"/>
                            <w:szCs w:val="20"/>
                          </w:rPr>
                        </w:pPr>
                        <w:r>
                          <w:rPr>
                            <w:rFonts w:cs="Arial"/>
                            <w:b/>
                            <w:sz w:val="20"/>
                            <w:szCs w:val="20"/>
                          </w:rPr>
                          <w:t>Issue identification and confirmation of V.I.</w:t>
                        </w:r>
                      </w:p>
                    </w:txbxContent>
                  </v:textbox>
                </v:shape>
                <v:shape id="Text Box 22" o:spid="_x0000_s1046" type="#_x0000_t202" style="position:absolute;left:4348;top:4095;width:3187;height: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" strokecolor="#a088b7" strokeweight="1pt">
                  <v:fill color2="#bfafcf" focus="100%" type="gradient"/>
                  <v:shadow on="t" color="#30243c" opacity=".5" offset="1pt"/>
                  <o:lock v:ext="edit" aspectratio="t"/>
                  <v:textbox>
                    <w:txbxContent>
                      <w:p w14:paraId="675285DE" w14:textId="77777777" w:rsidR="008D4243" w:rsidRPr="005571C8" w:rsidRDefault="008D4243" w:rsidP="00946966">
                        <w:pPr>
                          <w:jc w:val="center"/>
                          <w:rPr>
                            <w:rFonts w:cs="Arial"/>
                            <w:b/>
                            <w:sz w:val="20"/>
                            <w:szCs w:val="20"/>
                          </w:rPr>
                        </w:pPr>
                        <w:r>
                          <w:rPr>
                            <w:rFonts w:cs="Arial"/>
                            <w:b/>
                            <w:sz w:val="20"/>
                            <w:szCs w:val="20"/>
                          </w:rPr>
                          <w:t>Vapour Intrusion</w:t>
                        </w:r>
                        <w:r>
                          <w:rPr>
                            <w:rFonts w:cs="Arial"/>
                            <w:b/>
                            <w:sz w:val="20"/>
                            <w:szCs w:val="20"/>
                          </w:rPr>
                          <w:br/>
                          <w:t>Exposure Assessment</w:t>
                        </w:r>
                      </w:p>
                    </w:txbxContent>
                  </v:textbox>
                </v:shape>
                <v:shape id="Text Box 23" o:spid="_x0000_s1047" type="#_x0000_t202" style="position:absolute;left:4959;top:8990;width:2934;height:1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" strokecolor="#a088b7" strokeweight="1pt">
                  <v:fill color2="#bfafcf" focus="100%" type="gradient"/>
                  <v:shadow on="t" color="#30243c" opacity=".5" offset="1pt"/>
                  <o:lock v:ext="edit" aspectratio="t"/>
                  <v:textbox>
                    <w:txbxContent>
                      <w:p w14:paraId="63E69600" w14:textId="77777777" w:rsidR="008D4243" w:rsidRPr="005571C8" w:rsidRDefault="008D4243" w:rsidP="00946966">
                        <w:pPr>
                          <w:jc w:val="center"/>
                          <w:rPr>
                            <w:rFonts w:cs="Arial"/>
                            <w:b/>
                            <w:sz w:val="20"/>
                            <w:szCs w:val="20"/>
                          </w:rPr>
                        </w:pPr>
                        <w:r>
                          <w:rPr>
                            <w:rFonts w:cs="Arial"/>
                            <w:b/>
                            <w:sz w:val="20"/>
                            <w:szCs w:val="20"/>
                          </w:rPr>
                          <w:t>Ventilation models and measurement</w:t>
                        </w:r>
                      </w:p>
                    </w:txbxContent>
                  </v:textbox>
                </v:shape>
                <v:shape id="Text Box 24" o:spid="_x0000_s1048" type="#_x0000_t202" style="position:absolute;left:4959;top:10950;width:2934;height:1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" strokecolor="#a088b7" strokeweight="1pt">
                  <v:fill color2="#bfafcf" focus="100%" type="gradient"/>
                  <v:shadow on="t" color="#30243c" opacity=".5" offset="1pt"/>
                  <o:lock v:ext="edit" aspectratio="t"/>
                  <v:textbox>
                    <w:txbxContent>
                      <w:p w14:paraId="20155D9C" w14:textId="77777777" w:rsidR="008D4243" w:rsidRPr="005571C8" w:rsidRDefault="008D4243" w:rsidP="00946966">
                        <w:pPr>
                          <w:jc w:val="center"/>
                          <w:rPr>
                            <w:rFonts w:cs="Arial"/>
                            <w:b/>
                            <w:sz w:val="20"/>
                            <w:szCs w:val="20"/>
                          </w:rPr>
                        </w:pPr>
                        <w:r>
                          <w:rPr>
                            <w:rFonts w:cs="Arial"/>
                            <w:b/>
                            <w:sz w:val="20"/>
                            <w:szCs w:val="20"/>
                          </w:rPr>
                          <w:t>Inhalation dosimetry</w:t>
                        </w:r>
                      </w:p>
                    </w:txbxContent>
                  </v:textbox>
                </v:shape>
                <v:shape id="Text Box 25" o:spid="_x0000_s1049" type="#_x0000_t202" style="position:absolute;left:753;top:4095;width:3343;height: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" strokecolor="#a088b7" strokeweight="1pt">
                  <v:fill color2="#bfafcf" focus="100%" type="gradient"/>
                  <v:shadow on="t" color="#30243c" opacity=".5" offset="1pt"/>
                  <o:lock v:ext="edit" aspectratio="t"/>
                  <v:textbox>
                    <w:txbxContent>
                      <w:p w14:paraId="6EB4FAD1" w14:textId="77777777" w:rsidR="008D4243" w:rsidRPr="005571C8" w:rsidRDefault="008D4243" w:rsidP="00946966">
                        <w:pPr>
                          <w:jc w:val="center"/>
                          <w:rPr>
                            <w:rFonts w:cs="Arial"/>
                            <w:b/>
                            <w:sz w:val="20"/>
                            <w:szCs w:val="20"/>
                          </w:rPr>
                        </w:pPr>
                        <w:r>
                          <w:rPr>
                            <w:rFonts w:cs="Arial"/>
                            <w:b/>
                            <w:sz w:val="20"/>
                            <w:szCs w:val="20"/>
                          </w:rPr>
                          <w:t>Toxicological assessment of volatiles</w:t>
                        </w:r>
                      </w:p>
                    </w:txbxContent>
                  </v:textbox>
                </v:shape>
                <v:shape id="Text Box 26" o:spid="_x0000_s1050" type="#_x0000_t202" style="position:absolute;left:8592;top:6399;width:2934;height:1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" strokecolor="#a088b7" strokeweight="1pt">
                  <v:fill color2="#bfafcf" focus="100%" type="gradient"/>
                  <v:shadow on="t" color="#30243c" opacity=".5" offset="1pt"/>
                  <o:lock v:ext="edit" aspectratio="t"/>
                  <v:textbox>
                    <w:txbxContent>
                      <w:p w14:paraId="30071944" w14:textId="77777777" w:rsidR="008D4243" w:rsidRPr="005571C8" w:rsidRDefault="008D4243" w:rsidP="00946966">
                        <w:pPr>
                          <w:jc w:val="center"/>
                          <w:rPr>
                            <w:rFonts w:cs="Arial"/>
                            <w:b/>
                            <w:sz w:val="20"/>
                            <w:szCs w:val="20"/>
                          </w:rPr>
                        </w:pPr>
                        <w:r>
                          <w:rPr>
                            <w:rFonts w:cs="Arial"/>
                            <w:b/>
                            <w:sz w:val="20"/>
                            <w:szCs w:val="20"/>
                          </w:rPr>
                          <w:t>Determination of vapour concentration at building boundary</w:t>
                        </w:r>
                      </w:p>
                    </w:txbxContent>
                  </v:textbox>
                </v:shape>
                <v:shape id="Text Box 27" o:spid="_x0000_s1051" type="#_x0000_t202" style="position:absolute;left:8565;top:8989;width:2934;height:1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" strokecolor="#a088b7" strokeweight="1pt">
                  <v:fill color2="#bfafcf" focus="100%" type="gradient"/>
                  <v:shadow on="t" color="#30243c" opacity=".5" offset="1pt"/>
                  <o:lock v:ext="edit" aspectratio="t"/>
                  <v:textbox>
                    <w:txbxContent>
                      <w:p w14:paraId="1B610A91" w14:textId="77777777" w:rsidR="008D4243" w:rsidRPr="005571C8" w:rsidRDefault="008D4243" w:rsidP="00946966">
                        <w:pPr>
                          <w:jc w:val="center"/>
                          <w:rPr>
                            <w:rFonts w:cs="Arial"/>
                            <w:b/>
                            <w:sz w:val="20"/>
                            <w:szCs w:val="20"/>
                          </w:rPr>
                        </w:pPr>
                        <w:r>
                          <w:rPr>
                            <w:rFonts w:cs="Arial"/>
                            <w:b/>
                            <w:sz w:val="20"/>
                            <w:szCs w:val="20"/>
                          </w:rPr>
                          <w:t>Changes in indoor volatile concentrations in space and over time</w:t>
                        </w:r>
                      </w:p>
                    </w:txbxContent>
                  </v:textbox>
                </v:shape>
                <v:shape id="Text Box 28" o:spid="_x0000_s1052" type="#_x0000_t202" style="position:absolute;left:8537;top:10950;width:2934;height:1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" strokecolor="#a088b7" strokeweight="1pt">
                  <v:fill color2="#bfafcf" focus="100%" type="gradient"/>
                  <v:shadow on="t" color="#30243c" opacity=".5" offset="1pt"/>
                  <o:lock v:ext="edit" aspectratio="t"/>
                  <v:textbox>
                    <w:txbxContent>
                      <w:p w14:paraId="74DF0D60" w14:textId="77777777" w:rsidR="008D4243" w:rsidRPr="005571C8" w:rsidRDefault="008D4243" w:rsidP="00946966">
                        <w:pPr>
                          <w:jc w:val="center"/>
                          <w:rPr>
                            <w:rFonts w:cs="Arial"/>
                            <w:b/>
                            <w:sz w:val="20"/>
                            <w:szCs w:val="20"/>
                          </w:rPr>
                        </w:pPr>
                        <w:r>
                          <w:rPr>
                            <w:rFonts w:cs="Arial"/>
                            <w:b/>
                            <w:sz w:val="20"/>
                            <w:szCs w:val="20"/>
                          </w:rPr>
                          <w:t>Determination of absorbed doses over time</w:t>
                        </w:r>
                      </w:p>
                    </w:txbxContent>
                  </v:textbox>
                </v:shape>
                <v:shape id="Text Box 29" o:spid="_x0000_s1053" type="#_x0000_t202" style="position:absolute;left:2015;top:13308;width:4357;height: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" fillcolor="#f9b268" strokecolor="#f9b268" strokeweight="1pt">
                  <v:fill color2="#fde5cd" angle="135" focus="50%" type="gradient"/>
                  <v:shadow on="t" color="#783f05" opacity=".5" offset="1pt"/>
                  <o:lock v:ext="edit" aspectratio="t"/>
                  <v:textbox>
                    <w:txbxContent>
                      <w:p w14:paraId="2C111EA0" w14:textId="77777777" w:rsidR="008D4243" w:rsidRPr="005571C8" w:rsidRDefault="008D4243" w:rsidP="00946966">
                        <w:pPr>
                          <w:jc w:val="center"/>
                          <w:rPr>
                            <w:rFonts w:cs="Arial"/>
                            <w:b/>
                          </w:rPr>
                        </w:pPr>
                        <w:r>
                          <w:rPr>
                            <w:rFonts w:cs="Arial"/>
                            <w:b/>
                          </w:rPr>
                          <w:t>RISK CHARACTERISATION</w:t>
                        </w:r>
                      </w:p>
                    </w:txbxContent>
                  </v:textbox>
                </v:shape>
                <v:shape id="Text Box 30" o:spid="_x0000_s1054" type="#_x0000_t202" style="position:absolute;left:4968;top:5751;width:2934;height:1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" strokecolor="#a088b7" strokeweight="1pt">
                  <v:fill color2="#bfafcf" focus="100%" type="gradient"/>
                  <v:shadow on="t" color="#30243c" opacity=".5" offset="1pt"/>
                  <o:lock v:ext="edit" aspectratio="t"/>
                  <v:textbox>
                    <w:txbxContent>
                      <w:p w14:paraId="27D0B89E" w14:textId="77777777" w:rsidR="008D4243" w:rsidRPr="005571C8" w:rsidRDefault="008D4243" w:rsidP="00946966">
                        <w:pPr>
                          <w:jc w:val="center"/>
                          <w:rPr>
                            <w:rFonts w:cs="Arial"/>
                            <w:b/>
                            <w:sz w:val="20"/>
                            <w:szCs w:val="20"/>
                          </w:rPr>
                        </w:pPr>
                        <w:r>
                          <w:rPr>
                            <w:rFonts w:cs="Arial"/>
                            <w:b/>
                            <w:sz w:val="20"/>
                            <w:szCs w:val="20"/>
                          </w:rPr>
                          <w:t>Sub-surface fate and transport vapour intrusion models</w:t>
                        </w:r>
                      </w:p>
                    </w:txbxContent>
                  </v:textbox>
                </v:shape>
                <v:shape id="Text Box 31" o:spid="_x0000_s1055" type="#_x0000_t202" style="position:absolute;left:4968;top:7047;width:2934;height:1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" strokecolor="#a088b7" strokeweight="1pt">
                  <v:fill color2="#bfafcf" focus="100%" type="gradient"/>
                  <v:shadow on="t" color="#30243c" opacity=".5" offset="1pt"/>
                  <o:lock v:ext="edit" aspectratio="t"/>
                  <v:textbox>
                    <w:txbxContent>
                      <w:p w14:paraId="0D474CBC" w14:textId="77777777" w:rsidR="008D4243" w:rsidRPr="005571C8" w:rsidRDefault="008D4243" w:rsidP="00946966">
                        <w:pPr>
                          <w:jc w:val="center"/>
                          <w:rPr>
                            <w:rFonts w:cs="Arial"/>
                            <w:b/>
                            <w:sz w:val="20"/>
                            <w:szCs w:val="20"/>
                          </w:rPr>
                        </w:pPr>
                        <w:r>
                          <w:rPr>
                            <w:rFonts w:cs="Arial"/>
                            <w:b/>
                            <w:sz w:val="20"/>
                            <w:szCs w:val="20"/>
                          </w:rPr>
                          <w:t>Sub-surface vapour measurement and protocols</w:t>
                        </w:r>
                      </w:p>
                    </w:txbxContent>
                  </v:textbox>
                </v:shape>
              </v:group>
            </w:pict>
          </mc:Fallback>
        </mc:AlternateContent>
      </w:r>
    </w:p>
    <w:p w14:paraId="40CEA6FE" w14:textId="4056F468" w:rsidR="00774F54" w:rsidRPr="00774F54" w:rsidRDefault="00774F54" w:rsidP="00774F54">
      <w:pPr>
        <w:rPr>
          <w:rFonts w:ascii="Times New Roman" w:eastAsia="Times New Roman" w:hAnsi="Times New Roman" w:cs="Times New Roman"/>
          <w:sz w:val="21"/>
          <w:szCs w:val="21"/>
          <w:lang w:eastAsia="en-US"/>
        </w:rPr>
      </w:pPr>
    </w:p>
    <w:p w14:paraId="59623376" w14:textId="77777777" w:rsidR="00774F54" w:rsidRPr="00774F54" w:rsidRDefault="00774F54" w:rsidP="00774F54">
      <w:pPr>
        <w:rPr>
          <w:rFonts w:ascii="Times New Roman" w:eastAsia="Times New Roman" w:hAnsi="Times New Roman" w:cs="Times New Roman"/>
          <w:sz w:val="21"/>
          <w:szCs w:val="21"/>
          <w:lang w:eastAsia="en-US"/>
        </w:rPr>
      </w:pPr>
    </w:p>
    <w:p w14:paraId="5CDF0515" w14:textId="139F011F" w:rsidR="00774F54" w:rsidRDefault="00774F54" w:rsidP="00774F54">
      <w:pPr>
        <w:tabs>
          <w:tab w:val="left" w:pos="6855"/>
        </w:tabs>
        <w:spacing w:after="0"/>
        <w:rPr>
          <w:rFonts w:ascii="Times New Roman" w:eastAsia="Times New Roman" w:hAnsi="Times New Roman" w:cs="Times New Roman"/>
          <w:sz w:val="21"/>
          <w:szCs w:val="21"/>
          <w:lang w:eastAsia="en-US"/>
        </w:rPr>
      </w:pPr>
      <w:r>
        <w:rPr>
          <w:rFonts w:ascii="Times New Roman" w:eastAsia="Times New Roman" w:hAnsi="Times New Roman" w:cs="Times New Roman"/>
          <w:sz w:val="21"/>
          <w:szCs w:val="21"/>
          <w:lang w:eastAsia="en-US"/>
        </w:rPr>
        <w:tab/>
      </w:r>
    </w:p>
    <w:p w14:paraId="7AFFD059" w14:textId="77777777" w:rsidR="006A5935" w:rsidRDefault="00946966" w:rsidP="00454255">
      <w:pPr>
        <w:pStyle w:val="Caption"/>
        <w:sectPr w:rsidR="006A5935" w:rsidSect="00DC7230">
          <w:type w:val="continuous"/>
          <w:pgSz w:w="12240" w:h="15840"/>
          <w:pgMar w:top="1440" w:right="1440" w:bottom="1440" w:left="1440" w:header="850" w:footer="850" w:gutter="0"/>
          <w:cols w:space="720"/>
          <w:docGrid w:linePitch="299"/>
        </w:sectPr>
      </w:pPr>
      <w:r w:rsidRPr="00774F54">
        <w:rPr>
          <w:rFonts w:ascii="Times New Roman" w:eastAsia="Times New Roman" w:hAnsi="Times New Roman" w:cs="Times New Roman"/>
          <w:sz w:val="21"/>
          <w:szCs w:val="21"/>
          <w:lang w:eastAsia="en-US"/>
        </w:rPr>
        <w:br w:type="page"/>
      </w:r>
      <w:r w:rsidR="00C800F9">
        <w:rPr>
          <w:lang w:eastAsia="en-US"/>
        </w:rPr>
        <w:fldChar w:fldCharType="begin"/>
      </w:r>
      <w:r w:rsidR="00C800F9">
        <w:rPr>
          <w:lang w:eastAsia="en-US"/>
        </w:rPr>
        <w:instrText xml:space="preserve"> REF _Ref454863464 \h </w:instrText>
      </w:r>
      <w:r w:rsidR="00C800F9">
        <w:rPr>
          <w:lang w:eastAsia="en-US"/>
        </w:rPr>
      </w:r>
      <w:r w:rsidR="00C800F9">
        <w:rPr>
          <w:lang w:eastAsia="en-US"/>
        </w:rPr>
        <w:fldChar w:fldCharType="separate"/>
      </w:r>
    </w:p>
    <w:p w14:paraId="42E8CE2F" w14:textId="77777777" w:rsidR="006A5935" w:rsidRDefault="006A5935" w:rsidP="00454255">
      <w:pPr>
        <w:pStyle w:val="Caption"/>
      </w:pPr>
    </w:p>
    <w:p w14:paraId="5F0EACF7" w14:textId="147FAF80" w:rsidR="00BB255A" w:rsidRDefault="006A5935" w:rsidP="000208BE">
      <w:pPr>
        <w:spacing w:after="0"/>
        <w:rPr>
          <w:lang w:eastAsia="en-US"/>
        </w:rPr>
      </w:pPr>
      <w:r>
        <w:t xml:space="preserve">Figure </w:t>
      </w:r>
      <w:r>
        <w:rPr>
          <w:noProof/>
        </w:rPr>
        <w:t>11</w:t>
      </w:r>
      <w:r w:rsidR="00C800F9">
        <w:rPr>
          <w:lang w:eastAsia="en-US"/>
        </w:rPr>
        <w:fldChar w:fldCharType="end"/>
      </w:r>
      <w:r w:rsidR="00C800F9">
        <w:rPr>
          <w:lang w:eastAsia="en-US"/>
        </w:rPr>
        <w:t xml:space="preserve"> </w:t>
      </w:r>
      <w:r w:rsidR="00454255">
        <w:rPr>
          <w:lang w:eastAsia="en-US"/>
        </w:rPr>
        <w:t xml:space="preserve">represents a general framework for planning, </w:t>
      </w:r>
      <w:proofErr w:type="gramStart"/>
      <w:r w:rsidR="00454255">
        <w:rPr>
          <w:lang w:eastAsia="en-US"/>
        </w:rPr>
        <w:t>scoping</w:t>
      </w:r>
      <w:proofErr w:type="gramEnd"/>
      <w:r w:rsidR="00454255">
        <w:rPr>
          <w:lang w:eastAsia="en-US"/>
        </w:rPr>
        <w:t xml:space="preserve"> and conducting </w:t>
      </w:r>
      <w:proofErr w:type="spellStart"/>
      <w:r w:rsidR="00454255">
        <w:rPr>
          <w:lang w:eastAsia="en-US"/>
        </w:rPr>
        <w:t>vapour</w:t>
      </w:r>
      <w:proofErr w:type="spellEnd"/>
      <w:r w:rsidR="00454255">
        <w:rPr>
          <w:lang w:eastAsia="en-US"/>
        </w:rPr>
        <w:t xml:space="preserve"> intrusion investigations as presented by US EPA (2015) in its most recent </w:t>
      </w:r>
      <w:r w:rsidR="000208BE">
        <w:rPr>
          <w:lang w:eastAsia="en-US"/>
        </w:rPr>
        <w:t xml:space="preserve">OSWER </w:t>
      </w:r>
      <w:r w:rsidR="00454255">
        <w:rPr>
          <w:lang w:eastAsia="en-US"/>
        </w:rPr>
        <w:t>guidance.  This focusses on risk-based decision making with community involvement from the commencement of investigations.</w:t>
      </w:r>
      <w:r w:rsidR="007F7D2D">
        <w:rPr>
          <w:lang w:eastAsia="en-US"/>
        </w:rPr>
        <w:t xml:space="preserve"> </w:t>
      </w:r>
      <w:r w:rsidR="00454255">
        <w:rPr>
          <w:lang w:eastAsia="en-US"/>
        </w:rPr>
        <w:t xml:space="preserve">The outcome of the framework is to conduct and interpret a health risk assessment </w:t>
      </w:r>
      <w:r w:rsidR="000208BE">
        <w:rPr>
          <w:lang w:eastAsia="en-US"/>
        </w:rPr>
        <w:t xml:space="preserve">taking into consideration </w:t>
      </w:r>
      <w:r w:rsidR="00454255">
        <w:rPr>
          <w:lang w:eastAsia="en-US"/>
        </w:rPr>
        <w:t>the CSM; the prioritization</w:t>
      </w:r>
      <w:r w:rsidR="00FA5D18">
        <w:rPr>
          <w:lang w:eastAsia="en-US"/>
        </w:rPr>
        <w:t xml:space="preserve"> of objectives; establishment of data quality objectives, the scoping and work</w:t>
      </w:r>
      <w:r w:rsidR="000208BE">
        <w:rPr>
          <w:lang w:eastAsia="en-US"/>
        </w:rPr>
        <w:t xml:space="preserve"> p</w:t>
      </w:r>
      <w:r w:rsidR="00FA5D18">
        <w:rPr>
          <w:lang w:eastAsia="en-US"/>
        </w:rPr>
        <w:t xml:space="preserve">lan </w:t>
      </w:r>
      <w:r w:rsidR="000208BE">
        <w:rPr>
          <w:lang w:eastAsia="en-US"/>
        </w:rPr>
        <w:t>associated with data collection</w:t>
      </w:r>
      <w:r w:rsidR="00FA5D18">
        <w:rPr>
          <w:lang w:eastAsia="en-US"/>
        </w:rPr>
        <w:t xml:space="preserve">, </w:t>
      </w:r>
      <w:r w:rsidR="000208BE">
        <w:rPr>
          <w:lang w:eastAsia="en-US"/>
        </w:rPr>
        <w:t>subsequent refinement of</w:t>
      </w:r>
      <w:r w:rsidR="00FA5D18">
        <w:rPr>
          <w:lang w:eastAsia="en-US"/>
        </w:rPr>
        <w:t xml:space="preserve"> the CSM and </w:t>
      </w:r>
      <w:r w:rsidR="000208BE">
        <w:rPr>
          <w:lang w:eastAsia="en-US"/>
        </w:rPr>
        <w:t xml:space="preserve">the </w:t>
      </w:r>
      <w:r w:rsidR="00FA5D18">
        <w:rPr>
          <w:lang w:eastAsia="en-US"/>
        </w:rPr>
        <w:t>e</w:t>
      </w:r>
      <w:r w:rsidR="000208BE">
        <w:rPr>
          <w:lang w:eastAsia="en-US"/>
        </w:rPr>
        <w:t>valuation of</w:t>
      </w:r>
      <w:r w:rsidR="00FA5D18">
        <w:rPr>
          <w:lang w:eastAsia="en-US"/>
        </w:rPr>
        <w:t xml:space="preserve"> the data.</w:t>
      </w:r>
    </w:p>
    <w:p w14:paraId="7EB744F9" w14:textId="77777777" w:rsidR="006A5935" w:rsidRDefault="00C800F9" w:rsidP="00FA5D18">
      <w:pPr>
        <w:pStyle w:val="Caption"/>
      </w:pPr>
      <w:r>
        <w:rPr>
          <w:lang w:eastAsia="en-US"/>
        </w:rPr>
        <w:fldChar w:fldCharType="begin"/>
      </w:r>
      <w:r>
        <w:rPr>
          <w:lang w:eastAsia="en-US"/>
        </w:rPr>
        <w:instrText xml:space="preserve"> REF _Ref454863502 \h </w:instrText>
      </w:r>
      <w:r>
        <w:rPr>
          <w:lang w:eastAsia="en-US"/>
        </w:rPr>
      </w:r>
      <w:r>
        <w:rPr>
          <w:lang w:eastAsia="en-US"/>
        </w:rPr>
        <w:fldChar w:fldCharType="separate"/>
      </w:r>
    </w:p>
    <w:p w14:paraId="4F827BED" w14:textId="57C3297F" w:rsidR="00FA5D18" w:rsidRDefault="006A5935" w:rsidP="000208BE">
      <w:pPr>
        <w:spacing w:after="0"/>
        <w:rPr>
          <w:lang w:eastAsia="en-US"/>
        </w:rPr>
      </w:pPr>
      <w:r>
        <w:t xml:space="preserve">Figure </w:t>
      </w:r>
      <w:r>
        <w:rPr>
          <w:noProof/>
        </w:rPr>
        <w:t>12</w:t>
      </w:r>
      <w:r w:rsidR="00C800F9">
        <w:rPr>
          <w:lang w:eastAsia="en-US"/>
        </w:rPr>
        <w:fldChar w:fldCharType="end"/>
      </w:r>
      <w:r w:rsidR="00C800F9">
        <w:rPr>
          <w:lang w:eastAsia="en-US"/>
        </w:rPr>
        <w:t xml:space="preserve"> </w:t>
      </w:r>
      <w:r w:rsidR="00346A37">
        <w:rPr>
          <w:lang w:eastAsia="en-US"/>
        </w:rPr>
        <w:t>re</w:t>
      </w:r>
      <w:r w:rsidR="0087433C">
        <w:rPr>
          <w:lang w:eastAsia="en-US"/>
        </w:rPr>
        <w:t>presents a management framework for hazardous ground gases from the United Kingdom (Wilson et al</w:t>
      </w:r>
      <w:r w:rsidR="000208BE">
        <w:rPr>
          <w:lang w:eastAsia="en-US"/>
        </w:rPr>
        <w:t>.</w:t>
      </w:r>
      <w:r w:rsidR="0087433C">
        <w:rPr>
          <w:lang w:eastAsia="en-US"/>
        </w:rPr>
        <w:t>, 2007).  This encompasses all phases of the process from site characterization to risk assessment and then to the determination and validation of remediation efforts.</w:t>
      </w:r>
    </w:p>
    <w:p w14:paraId="0C91E231" w14:textId="77777777" w:rsidR="0087433C" w:rsidRDefault="0087433C" w:rsidP="00BB255A">
      <w:pPr>
        <w:spacing w:after="0"/>
        <w:rPr>
          <w:lang w:eastAsia="en-US"/>
        </w:rPr>
      </w:pPr>
    </w:p>
    <w:p w14:paraId="4D62BDA1" w14:textId="01DCBF48" w:rsidR="007D51CB" w:rsidRDefault="0087433C" w:rsidP="0087433C">
      <w:pPr>
        <w:spacing w:after="0"/>
        <w:rPr>
          <w:lang w:eastAsia="en-US"/>
        </w:rPr>
      </w:pPr>
      <w:r>
        <w:rPr>
          <w:lang w:eastAsia="en-US"/>
        </w:rPr>
        <w:t>Note that across all these figures, for each respective phase depicted, there are multiple layers of evaluation that can be expanded upon as considered and referenced in the US EPA (2015) framework and document.</w:t>
      </w:r>
    </w:p>
    <w:p w14:paraId="0CA2DC97" w14:textId="56DD088E" w:rsidR="0087433C" w:rsidRDefault="0087433C" w:rsidP="0087433C">
      <w:pPr>
        <w:spacing w:after="0"/>
        <w:rPr>
          <w:lang w:eastAsia="en-US"/>
        </w:rPr>
      </w:pPr>
    </w:p>
    <w:p w14:paraId="789E200D" w14:textId="017C774D" w:rsidR="0087433C" w:rsidRDefault="0087433C" w:rsidP="0087433C">
      <w:pPr>
        <w:spacing w:after="0"/>
        <w:rPr>
          <w:lang w:eastAsia="en-US"/>
        </w:rPr>
      </w:pPr>
      <w:r>
        <w:rPr>
          <w:lang w:eastAsia="en-US"/>
        </w:rPr>
        <w:t xml:space="preserve">It is important to recognize that the key to successful delivery in any assessment, is the detail and uncertainty </w:t>
      </w:r>
      <w:r w:rsidR="000666FB">
        <w:rPr>
          <w:lang w:eastAsia="en-US"/>
        </w:rPr>
        <w:t>understanding</w:t>
      </w:r>
      <w:r>
        <w:rPr>
          <w:lang w:eastAsia="en-US"/>
        </w:rPr>
        <w:t xml:space="preserve"> that enables confidence in the determinations of exposure and risk. This confidence can only be achieved </w:t>
      </w:r>
      <w:r w:rsidR="000666FB">
        <w:rPr>
          <w:lang w:eastAsia="en-US"/>
        </w:rPr>
        <w:t xml:space="preserve">if </w:t>
      </w:r>
      <w:r>
        <w:rPr>
          <w:lang w:eastAsia="en-US"/>
        </w:rPr>
        <w:t>preliminary planning is comprehensive</w:t>
      </w:r>
      <w:r w:rsidR="000666FB">
        <w:rPr>
          <w:lang w:eastAsia="en-US"/>
        </w:rPr>
        <w:t xml:space="preserve"> and robust, particularly where time constraints may not allow re-visitation to the site and additional testing to be undertaken.</w:t>
      </w:r>
    </w:p>
    <w:p w14:paraId="6BC9915D" w14:textId="3DA2691D" w:rsidR="00DC7230" w:rsidRDefault="00DC7230" w:rsidP="0087433C">
      <w:pPr>
        <w:spacing w:after="0"/>
        <w:rPr>
          <w:lang w:eastAsia="en-US"/>
        </w:rPr>
      </w:pPr>
    </w:p>
    <w:p w14:paraId="1AA74C83" w14:textId="77777777" w:rsidR="00DC7230" w:rsidRDefault="00DC7230" w:rsidP="0087433C">
      <w:pPr>
        <w:spacing w:after="0"/>
        <w:rPr>
          <w:highlight w:val="yellow"/>
        </w:rPr>
      </w:pPr>
    </w:p>
    <w:p w14:paraId="2B79F590" w14:textId="7E32DDE6" w:rsidR="00454255" w:rsidRDefault="00454255" w:rsidP="00454255">
      <w:pPr>
        <w:keepNext/>
      </w:pPr>
    </w:p>
    <w:p w14:paraId="3BD3AD38" w14:textId="77777777" w:rsidR="00DC7230" w:rsidRDefault="00DC7230" w:rsidP="00454255">
      <w:pPr>
        <w:pStyle w:val="Caption"/>
        <w:sectPr w:rsidR="00DC7230" w:rsidSect="00DC7230">
          <w:type w:val="continuous"/>
          <w:pgSz w:w="12240" w:h="15840"/>
          <w:pgMar w:top="1440" w:right="1440" w:bottom="1440" w:left="1440" w:header="850" w:footer="850" w:gutter="0"/>
          <w:cols w:space="720"/>
          <w:docGrid w:linePitch="299"/>
        </w:sectPr>
      </w:pPr>
      <w:bookmarkStart w:id="56" w:name="_Ref454863464"/>
      <w:bookmarkStart w:id="57" w:name="_Ref454863455"/>
    </w:p>
    <w:p w14:paraId="414961BC" w14:textId="77777777" w:rsidR="00DC7230" w:rsidRDefault="00DC7230" w:rsidP="00454255">
      <w:pPr>
        <w:pStyle w:val="Caption"/>
      </w:pPr>
    </w:p>
    <w:p w14:paraId="00CE66EA" w14:textId="3C6672A8" w:rsidR="00454255" w:rsidRDefault="00454255" w:rsidP="00454255">
      <w:pPr>
        <w:pStyle w:val="Caption"/>
      </w:pPr>
      <w:r>
        <w:t xml:space="preserve">Figure </w:t>
      </w:r>
      <w:fldSimple w:instr=" SEQ Figure \* ARABIC ">
        <w:r w:rsidR="006A5935">
          <w:rPr>
            <w:noProof/>
          </w:rPr>
          <w:t>11</w:t>
        </w:r>
      </w:fldSimple>
      <w:bookmarkEnd w:id="56"/>
      <w:r>
        <w:t>: General Framework from US EPA (2015)</w:t>
      </w:r>
      <w:bookmarkEnd w:id="57"/>
    </w:p>
    <w:p w14:paraId="65D85EE3" w14:textId="314B56A7" w:rsidR="00FA5D18" w:rsidRDefault="00DC7230" w:rsidP="00DC7230">
      <w:pPr>
        <w:keepNext/>
        <w:jc w:val="both"/>
      </w:pPr>
      <w:r w:rsidRPr="00BB255A">
        <w:rPr>
          <w:noProof/>
          <w:lang w:eastAsia="en-US"/>
        </w:rPr>
        <w:drawing>
          <wp:inline distT="0" distB="0" distL="0" distR="0" wp14:anchorId="32481538" wp14:editId="1262C2F0">
            <wp:extent cx="5495544" cy="7379208"/>
            <wp:effectExtent l="0" t="0" r="0" b="0"/>
            <wp:docPr id="310" name="Picture 310" descr="I:\figur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figure 1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95544" cy="7379208"/>
                    </a:xfrm>
                    <a:prstGeom prst="rect">
                      <a:avLst/>
                    </a:prstGeom>
                    <a:noFill/>
                    <a:ln>
                      <a:noFill/>
                    </a:ln>
                  </pic:spPr>
                </pic:pic>
              </a:graphicData>
            </a:graphic>
          </wp:inline>
        </w:drawing>
      </w:r>
      <w:r w:rsidR="00BB255A">
        <w:br w:type="page"/>
      </w:r>
    </w:p>
    <w:p w14:paraId="1627423A" w14:textId="61FF33F6" w:rsidR="00DC7230" w:rsidRDefault="00DC7230" w:rsidP="00FA5D18">
      <w:pPr>
        <w:pStyle w:val="Caption"/>
      </w:pPr>
      <w:bookmarkStart w:id="58" w:name="_Ref454863502"/>
    </w:p>
    <w:p w14:paraId="4F864DC1" w14:textId="5C00DBC1" w:rsidR="0025585A" w:rsidRPr="0025585A" w:rsidRDefault="00FA5D18" w:rsidP="00E67708">
      <w:pPr>
        <w:pStyle w:val="Caption"/>
      </w:pPr>
      <w:r>
        <w:lastRenderedPageBreak/>
        <w:t xml:space="preserve">Figure </w:t>
      </w:r>
      <w:fldSimple w:instr=" SEQ Figure \* ARABIC ">
        <w:r w:rsidR="006A5935">
          <w:rPr>
            <w:noProof/>
          </w:rPr>
          <w:t>12</w:t>
        </w:r>
      </w:fldSimple>
      <w:bookmarkEnd w:id="58"/>
      <w:r>
        <w:t xml:space="preserve">:  Framework for managing risks from hazardous </w:t>
      </w:r>
      <w:r w:rsidR="007F3045">
        <w:t>ground gases (from Wilson et al.,</w:t>
      </w:r>
      <w:r>
        <w:t xml:space="preserve"> 2007)</w:t>
      </w:r>
      <w:r w:rsidR="0025585A" w:rsidRPr="00BB255A">
        <w:rPr>
          <w:noProof/>
          <w:lang w:eastAsia="en-US"/>
        </w:rPr>
        <w:drawing>
          <wp:inline distT="0" distB="0" distL="0" distR="0" wp14:anchorId="0CE8BBBD" wp14:editId="57770252">
            <wp:extent cx="5857875" cy="7648575"/>
            <wp:effectExtent l="0" t="0" r="9525" b="9525"/>
            <wp:docPr id="12" name="Picture 12" descr="I:\figur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igure 1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57875" cy="7648575"/>
                    </a:xfrm>
                    <a:prstGeom prst="rect">
                      <a:avLst/>
                    </a:prstGeom>
                    <a:noFill/>
                    <a:ln>
                      <a:noFill/>
                    </a:ln>
                  </pic:spPr>
                </pic:pic>
              </a:graphicData>
            </a:graphic>
          </wp:inline>
        </w:drawing>
      </w:r>
    </w:p>
    <w:p w14:paraId="0E414B8D" w14:textId="50ADFF8E" w:rsidR="00DC7230" w:rsidRPr="00DC7230" w:rsidRDefault="00DC7230" w:rsidP="00DC7230"/>
    <w:p w14:paraId="5D321FB5" w14:textId="2C6249F3" w:rsidR="00E14595" w:rsidRPr="00C364AB" w:rsidRDefault="00E14595" w:rsidP="001D0A48">
      <w:pPr>
        <w:pStyle w:val="Heading2"/>
      </w:pPr>
      <w:bookmarkStart w:id="59" w:name="_Toc461684072"/>
      <w:r w:rsidRPr="00C364AB">
        <w:t xml:space="preserve">Predictive </w:t>
      </w:r>
      <w:proofErr w:type="spellStart"/>
      <w:r w:rsidRPr="00C364AB">
        <w:t>vapour</w:t>
      </w:r>
      <w:proofErr w:type="spellEnd"/>
      <w:r w:rsidRPr="00C364AB">
        <w:t xml:space="preserve"> intrusion modelling</w:t>
      </w:r>
      <w:bookmarkEnd w:id="59"/>
    </w:p>
    <w:p w14:paraId="4974F374" w14:textId="00D79765" w:rsidR="00AA0CBA" w:rsidRDefault="00AA0CBA" w:rsidP="001D0A48">
      <w:pPr>
        <w:pStyle w:val="Heading3"/>
      </w:pPr>
      <w:bookmarkStart w:id="60" w:name="_Toc461684073"/>
      <w:r>
        <w:t xml:space="preserve">The role of </w:t>
      </w:r>
      <w:proofErr w:type="spellStart"/>
      <w:r>
        <w:t>vapour</w:t>
      </w:r>
      <w:proofErr w:type="spellEnd"/>
      <w:r>
        <w:t xml:space="preserve"> intrusion modelling</w:t>
      </w:r>
      <w:bookmarkEnd w:id="60"/>
    </w:p>
    <w:p w14:paraId="51F2ECA3" w14:textId="65F5C9C6" w:rsidR="00C36B77" w:rsidRDefault="00C36B77" w:rsidP="00AA0CBA">
      <w:pPr>
        <w:shd w:val="clear" w:color="auto" w:fill="FFFFFF"/>
        <w:spacing w:before="120" w:after="240" w:line="240" w:lineRule="auto"/>
        <w:rPr>
          <w:rFonts w:eastAsia="Times New Roman" w:cs="Arial"/>
          <w:lang w:val="en-GB" w:eastAsia="en-US"/>
        </w:rPr>
      </w:pPr>
      <w:r>
        <w:rPr>
          <w:rFonts w:eastAsia="Times New Roman" w:cs="Arial"/>
          <w:lang w:val="en-GB" w:eastAsia="en-US"/>
        </w:rPr>
        <w:t xml:space="preserve">Vapour intrusion modelling plays an important role in preliminary evaluations when site-specific data may be lacking and aids in developing the understanding at the site-specific level. In undertaking vapour intrusion modelling the purpose and objectives of the exercise should be clearly understood and structured, to enable appropriate evaluation of the problem being investigated. This understanding enables the determination of suitable input parameters and the inherent limitations and uncertainties to be characterised. </w:t>
      </w:r>
    </w:p>
    <w:p w14:paraId="0730592C" w14:textId="6DD68702" w:rsidR="00C36B77" w:rsidRDefault="00C36B77" w:rsidP="00C36B77">
      <w:pPr>
        <w:shd w:val="clear" w:color="auto" w:fill="FFFFFF"/>
        <w:tabs>
          <w:tab w:val="num" w:pos="720"/>
        </w:tabs>
        <w:spacing w:before="120" w:after="240" w:line="240" w:lineRule="auto"/>
        <w:rPr>
          <w:rFonts w:eastAsia="Times New Roman" w:cs="Arial"/>
          <w:lang w:val="en-GB" w:eastAsia="en-US"/>
        </w:rPr>
      </w:pPr>
      <w:r>
        <w:rPr>
          <w:rFonts w:eastAsia="Times New Roman" w:cs="Arial"/>
          <w:lang w:val="en-GB" w:eastAsia="en-US"/>
        </w:rPr>
        <w:t>ITRC (2014</w:t>
      </w:r>
      <w:r w:rsidR="002309FE">
        <w:rPr>
          <w:rFonts w:eastAsia="Times New Roman" w:cs="Arial"/>
          <w:lang w:val="en-GB" w:eastAsia="en-US"/>
        </w:rPr>
        <w:t>, p42-43</w:t>
      </w:r>
      <w:r>
        <w:rPr>
          <w:rFonts w:eastAsia="Times New Roman" w:cs="Arial"/>
          <w:lang w:val="en-GB" w:eastAsia="en-US"/>
        </w:rPr>
        <w:t xml:space="preserve">) </w:t>
      </w:r>
      <w:r w:rsidR="00B65DBC">
        <w:rPr>
          <w:rFonts w:eastAsia="Times New Roman" w:cs="Arial"/>
          <w:lang w:val="en-GB" w:eastAsia="en-US"/>
        </w:rPr>
        <w:t xml:space="preserve">provides </w:t>
      </w:r>
      <w:r>
        <w:rPr>
          <w:rFonts w:eastAsia="Times New Roman" w:cs="Arial"/>
          <w:lang w:val="en-GB" w:eastAsia="en-US"/>
        </w:rPr>
        <w:t>examples</w:t>
      </w:r>
      <w:r w:rsidR="00B65DBC">
        <w:rPr>
          <w:rFonts w:eastAsia="Times New Roman" w:cs="Arial"/>
          <w:lang w:val="en-GB" w:eastAsia="en-US"/>
        </w:rPr>
        <w:t xml:space="preserve"> </w:t>
      </w:r>
      <w:r>
        <w:rPr>
          <w:rFonts w:eastAsia="Times New Roman" w:cs="Arial"/>
          <w:lang w:val="en-GB" w:eastAsia="en-US"/>
        </w:rPr>
        <w:t>of</w:t>
      </w:r>
      <w:r w:rsidR="00B65DBC">
        <w:rPr>
          <w:rFonts w:eastAsia="Times New Roman" w:cs="Arial"/>
          <w:lang w:val="en-GB" w:eastAsia="en-US"/>
        </w:rPr>
        <w:t xml:space="preserve"> how</w:t>
      </w:r>
      <w:r>
        <w:rPr>
          <w:rFonts w:eastAsia="Times New Roman" w:cs="Arial"/>
          <w:lang w:val="en-GB" w:eastAsia="en-US"/>
        </w:rPr>
        <w:t xml:space="preserve"> petroleum vapour intrusion modelling</w:t>
      </w:r>
      <w:r w:rsidR="00B65DBC">
        <w:rPr>
          <w:rFonts w:eastAsia="Times New Roman" w:cs="Arial"/>
          <w:lang w:val="en-GB" w:eastAsia="en-US"/>
        </w:rPr>
        <w:t xml:space="preserve"> can be used in vapour intrusion and related </w:t>
      </w:r>
      <w:proofErr w:type="gramStart"/>
      <w:r w:rsidR="00B65DBC">
        <w:rPr>
          <w:rFonts w:eastAsia="Times New Roman" w:cs="Arial"/>
          <w:lang w:val="en-GB" w:eastAsia="en-US"/>
        </w:rPr>
        <w:t>assessments</w:t>
      </w:r>
      <w:proofErr w:type="gramEnd"/>
      <w:r w:rsidR="00B65DBC">
        <w:rPr>
          <w:rFonts w:eastAsia="Times New Roman" w:cs="Arial"/>
          <w:lang w:val="en-GB" w:eastAsia="en-US"/>
        </w:rPr>
        <w:t xml:space="preserve"> and these include:</w:t>
      </w:r>
      <w:r>
        <w:rPr>
          <w:rFonts w:eastAsia="Times New Roman" w:cs="Arial"/>
          <w:lang w:val="en-GB" w:eastAsia="en-US"/>
        </w:rPr>
        <w:t xml:space="preserve"> </w:t>
      </w:r>
    </w:p>
    <w:p w14:paraId="3EB16C29" w14:textId="56FAF37D" w:rsidR="00C36B77" w:rsidRDefault="00C36B77" w:rsidP="0015648C">
      <w:pPr>
        <w:pStyle w:val="ListParagraph"/>
        <w:numPr>
          <w:ilvl w:val="0"/>
          <w:numId w:val="35"/>
        </w:numPr>
        <w:shd w:val="clear" w:color="auto" w:fill="FFFFFF"/>
        <w:tabs>
          <w:tab w:val="num" w:pos="720"/>
        </w:tabs>
        <w:spacing w:before="120" w:after="240" w:line="240" w:lineRule="auto"/>
        <w:rPr>
          <w:rFonts w:eastAsia="Times New Roman" w:cs="Arial"/>
          <w:lang w:val="en-GB" w:eastAsia="en-US"/>
        </w:rPr>
      </w:pPr>
      <w:r w:rsidRPr="00C36B77">
        <w:rPr>
          <w:rFonts w:eastAsia="Times New Roman" w:cs="Arial"/>
          <w:lang w:val="en-GB" w:eastAsia="en-US"/>
        </w:rPr>
        <w:t>“</w:t>
      </w:r>
      <w:r w:rsidR="00AA0CBA" w:rsidRPr="00C36B77">
        <w:rPr>
          <w:rFonts w:eastAsia="Times New Roman" w:cs="Arial"/>
          <w:i/>
          <w:iCs/>
          <w:lang w:val="en-GB" w:eastAsia="en-US"/>
        </w:rPr>
        <w:t>Site-specific predictive mode</w:t>
      </w:r>
      <w:r>
        <w:rPr>
          <w:rFonts w:eastAsia="Times New Roman" w:cs="Arial"/>
          <w:i/>
          <w:iCs/>
          <w:lang w:val="en-GB" w:eastAsia="en-US"/>
        </w:rPr>
        <w:t>l</w:t>
      </w:r>
      <w:r w:rsidR="00AA0CBA" w:rsidRPr="00C36B77">
        <w:rPr>
          <w:rFonts w:eastAsia="Times New Roman" w:cs="Arial"/>
          <w:i/>
          <w:iCs/>
          <w:lang w:val="en-GB" w:eastAsia="en-US"/>
        </w:rPr>
        <w:t>ling to assess current or future conditions</w:t>
      </w:r>
      <w:r>
        <w:rPr>
          <w:rFonts w:eastAsia="Times New Roman" w:cs="Arial"/>
          <w:i/>
          <w:iCs/>
          <w:lang w:val="en-GB" w:eastAsia="en-US"/>
        </w:rPr>
        <w:t>”</w:t>
      </w:r>
      <w:r w:rsidR="00AA0CBA" w:rsidRPr="00C36B77">
        <w:rPr>
          <w:rFonts w:eastAsia="Times New Roman" w:cs="Arial"/>
          <w:lang w:val="en-GB" w:eastAsia="en-US"/>
        </w:rPr>
        <w:t xml:space="preserve">. </w:t>
      </w:r>
      <w:r>
        <w:rPr>
          <w:rFonts w:eastAsia="Times New Roman" w:cs="Arial"/>
          <w:lang w:val="en-GB" w:eastAsia="en-US"/>
        </w:rPr>
        <w:t xml:space="preserve">  This represents the case where a risk asses</w:t>
      </w:r>
      <w:r w:rsidR="002309FE">
        <w:rPr>
          <w:rFonts w:eastAsia="Times New Roman" w:cs="Arial"/>
          <w:lang w:val="en-GB" w:eastAsia="en-US"/>
        </w:rPr>
        <w:t xml:space="preserve">sment is </w:t>
      </w:r>
      <w:proofErr w:type="gramStart"/>
      <w:r w:rsidR="002309FE">
        <w:rPr>
          <w:rFonts w:eastAsia="Times New Roman" w:cs="Arial"/>
          <w:lang w:val="en-GB" w:eastAsia="en-US"/>
        </w:rPr>
        <w:t>required</w:t>
      </w:r>
      <w:proofErr w:type="gramEnd"/>
      <w:r>
        <w:rPr>
          <w:rFonts w:eastAsia="Times New Roman" w:cs="Arial"/>
          <w:lang w:val="en-GB" w:eastAsia="en-US"/>
        </w:rPr>
        <w:t xml:space="preserve"> or </w:t>
      </w:r>
      <w:r w:rsidR="002309FE">
        <w:rPr>
          <w:rFonts w:eastAsia="Times New Roman" w:cs="Arial"/>
          <w:lang w:val="en-GB" w:eastAsia="en-US"/>
        </w:rPr>
        <w:t xml:space="preserve">future </w:t>
      </w:r>
      <w:r w:rsidR="00B65DBC">
        <w:rPr>
          <w:rFonts w:eastAsia="Times New Roman" w:cs="Arial"/>
          <w:lang w:val="en-GB" w:eastAsia="en-US"/>
        </w:rPr>
        <w:t xml:space="preserve">building </w:t>
      </w:r>
      <w:r w:rsidR="002309FE">
        <w:rPr>
          <w:rFonts w:eastAsia="Times New Roman" w:cs="Arial"/>
          <w:lang w:val="en-GB" w:eastAsia="en-US"/>
        </w:rPr>
        <w:t xml:space="preserve">construction is planned and </w:t>
      </w:r>
      <w:r w:rsidR="00B65DBC">
        <w:rPr>
          <w:rFonts w:eastAsia="Times New Roman" w:cs="Arial"/>
          <w:lang w:val="en-GB" w:eastAsia="en-US"/>
        </w:rPr>
        <w:t>an</w:t>
      </w:r>
      <w:r w:rsidR="002309FE">
        <w:rPr>
          <w:rFonts w:eastAsia="Times New Roman" w:cs="Arial"/>
          <w:lang w:val="en-GB" w:eastAsia="en-US"/>
        </w:rPr>
        <w:t xml:space="preserve"> understanding of vapour impacts </w:t>
      </w:r>
      <w:r w:rsidR="00B65DBC">
        <w:rPr>
          <w:rFonts w:eastAsia="Times New Roman" w:cs="Arial"/>
          <w:lang w:val="en-GB" w:eastAsia="en-US"/>
        </w:rPr>
        <w:t>is</w:t>
      </w:r>
      <w:r w:rsidR="002309FE">
        <w:rPr>
          <w:rFonts w:eastAsia="Times New Roman" w:cs="Arial"/>
          <w:lang w:val="en-GB" w:eastAsia="en-US"/>
        </w:rPr>
        <w:t xml:space="preserve"> required.</w:t>
      </w:r>
    </w:p>
    <w:p w14:paraId="7CF11EBD" w14:textId="2EFBECB5" w:rsidR="002309FE" w:rsidRDefault="002309FE" w:rsidP="0015648C">
      <w:pPr>
        <w:pStyle w:val="ListParagraph"/>
        <w:numPr>
          <w:ilvl w:val="0"/>
          <w:numId w:val="35"/>
        </w:numPr>
        <w:shd w:val="clear" w:color="auto" w:fill="FFFFFF"/>
        <w:tabs>
          <w:tab w:val="num" w:pos="720"/>
        </w:tabs>
        <w:spacing w:before="120" w:after="240" w:line="240" w:lineRule="auto"/>
        <w:rPr>
          <w:rFonts w:eastAsia="Times New Roman" w:cs="Arial"/>
          <w:lang w:val="en-GB" w:eastAsia="en-US"/>
        </w:rPr>
      </w:pPr>
      <w:r>
        <w:rPr>
          <w:rFonts w:eastAsia="Times New Roman" w:cs="Arial"/>
          <w:i/>
          <w:iCs/>
          <w:lang w:val="en-GB" w:eastAsia="en-US"/>
        </w:rPr>
        <w:t>“</w:t>
      </w:r>
      <w:r w:rsidR="00AA0CBA" w:rsidRPr="002309FE">
        <w:rPr>
          <w:rFonts w:eastAsia="Times New Roman" w:cs="Arial"/>
          <w:i/>
          <w:iCs/>
          <w:lang w:val="en-GB" w:eastAsia="en-US"/>
        </w:rPr>
        <w:t>Site-specific mode</w:t>
      </w:r>
      <w:r>
        <w:rPr>
          <w:rFonts w:eastAsia="Times New Roman" w:cs="Arial"/>
          <w:i/>
          <w:iCs/>
          <w:lang w:val="en-GB" w:eastAsia="en-US"/>
        </w:rPr>
        <w:t>l</w:t>
      </w:r>
      <w:r w:rsidR="00AA0CBA" w:rsidRPr="002309FE">
        <w:rPr>
          <w:rFonts w:eastAsia="Times New Roman" w:cs="Arial"/>
          <w:i/>
          <w:iCs/>
          <w:lang w:val="en-GB" w:eastAsia="en-US"/>
        </w:rPr>
        <w:t>ling to help develop a CSM</w:t>
      </w:r>
      <w:r w:rsidR="00AA0CBA" w:rsidRPr="002309FE">
        <w:rPr>
          <w:rFonts w:eastAsia="Times New Roman" w:cs="Arial"/>
          <w:lang w:val="en-GB" w:eastAsia="en-US"/>
        </w:rPr>
        <w:t>.</w:t>
      </w:r>
      <w:r>
        <w:rPr>
          <w:rFonts w:eastAsia="Times New Roman" w:cs="Arial"/>
          <w:lang w:val="en-GB" w:eastAsia="en-US"/>
        </w:rPr>
        <w:t>”</w:t>
      </w:r>
      <w:r w:rsidR="00AA0CBA" w:rsidRPr="002309FE">
        <w:rPr>
          <w:rFonts w:eastAsia="Times New Roman" w:cs="Arial"/>
          <w:lang w:val="en-GB" w:eastAsia="en-US"/>
        </w:rPr>
        <w:t xml:space="preserve"> </w:t>
      </w:r>
      <w:r>
        <w:rPr>
          <w:rFonts w:eastAsia="Times New Roman" w:cs="Arial"/>
          <w:lang w:val="en-GB" w:eastAsia="en-US"/>
        </w:rPr>
        <w:t xml:space="preserve"> </w:t>
      </w:r>
      <w:r w:rsidR="00AA0CBA" w:rsidRPr="002309FE">
        <w:rPr>
          <w:rFonts w:eastAsia="Times New Roman" w:cs="Arial"/>
          <w:lang w:val="en-GB" w:eastAsia="en-US"/>
        </w:rPr>
        <w:t xml:space="preserve"> </w:t>
      </w:r>
      <w:r w:rsidR="00B65DBC">
        <w:rPr>
          <w:rFonts w:eastAsia="Times New Roman" w:cs="Arial"/>
          <w:lang w:val="en-GB" w:eastAsia="en-US"/>
        </w:rPr>
        <w:t>Modelling can aid</w:t>
      </w:r>
      <w:r>
        <w:rPr>
          <w:rFonts w:eastAsia="Times New Roman" w:cs="Arial"/>
          <w:lang w:val="en-GB" w:eastAsia="en-US"/>
        </w:rPr>
        <w:t xml:space="preserve"> </w:t>
      </w:r>
      <w:r w:rsidR="00B65DBC">
        <w:rPr>
          <w:rFonts w:eastAsia="Times New Roman" w:cs="Arial"/>
          <w:lang w:val="en-GB" w:eastAsia="en-US"/>
        </w:rPr>
        <w:t xml:space="preserve">in understanding </w:t>
      </w:r>
      <w:r>
        <w:rPr>
          <w:rFonts w:eastAsia="Times New Roman" w:cs="Arial"/>
          <w:lang w:val="en-GB" w:eastAsia="en-US"/>
        </w:rPr>
        <w:t xml:space="preserve">the conceptual site model by </w:t>
      </w:r>
      <w:r w:rsidR="00983BCF">
        <w:rPr>
          <w:rFonts w:eastAsia="Times New Roman" w:cs="Arial"/>
          <w:lang w:val="en-GB" w:eastAsia="en-US"/>
        </w:rPr>
        <w:t>preliminary gene</w:t>
      </w:r>
      <w:r w:rsidR="00B65DBC">
        <w:rPr>
          <w:rFonts w:eastAsia="Times New Roman" w:cs="Arial"/>
          <w:lang w:val="en-GB" w:eastAsia="en-US"/>
        </w:rPr>
        <w:t>ric modelling and the</w:t>
      </w:r>
      <w:r w:rsidR="00983BCF">
        <w:rPr>
          <w:rFonts w:eastAsia="Times New Roman" w:cs="Arial"/>
          <w:lang w:val="en-GB" w:eastAsia="en-US"/>
        </w:rPr>
        <w:t>n</w:t>
      </w:r>
      <w:r w:rsidR="00B65DBC">
        <w:rPr>
          <w:rFonts w:eastAsia="Times New Roman" w:cs="Arial"/>
          <w:lang w:val="en-GB" w:eastAsia="en-US"/>
        </w:rPr>
        <w:t xml:space="preserve"> refinement </w:t>
      </w:r>
      <w:proofErr w:type="gramStart"/>
      <w:r w:rsidR="00B65DBC">
        <w:rPr>
          <w:rFonts w:eastAsia="Times New Roman" w:cs="Arial"/>
          <w:lang w:val="en-GB" w:eastAsia="en-US"/>
        </w:rPr>
        <w:t>through the use of</w:t>
      </w:r>
      <w:proofErr w:type="gramEnd"/>
      <w:r w:rsidR="00983BCF">
        <w:rPr>
          <w:rFonts w:eastAsia="Times New Roman" w:cs="Arial"/>
          <w:lang w:val="en-GB" w:eastAsia="en-US"/>
        </w:rPr>
        <w:t xml:space="preserve"> </w:t>
      </w:r>
      <w:r>
        <w:rPr>
          <w:rFonts w:eastAsia="Times New Roman" w:cs="Arial"/>
          <w:lang w:val="en-GB" w:eastAsia="en-US"/>
        </w:rPr>
        <w:t>site</w:t>
      </w:r>
      <w:r w:rsidR="00983BCF">
        <w:rPr>
          <w:rFonts w:eastAsia="Times New Roman" w:cs="Arial"/>
          <w:lang w:val="en-GB" w:eastAsia="en-US"/>
        </w:rPr>
        <w:t xml:space="preserve">-specific </w:t>
      </w:r>
      <w:r w:rsidR="00B65DBC">
        <w:rPr>
          <w:rFonts w:eastAsia="Times New Roman" w:cs="Arial"/>
          <w:lang w:val="en-GB" w:eastAsia="en-US"/>
        </w:rPr>
        <w:t>input parameter</w:t>
      </w:r>
      <w:r w:rsidR="00983BCF">
        <w:rPr>
          <w:rFonts w:eastAsia="Times New Roman" w:cs="Arial"/>
          <w:lang w:val="en-GB" w:eastAsia="en-US"/>
        </w:rPr>
        <w:t>s</w:t>
      </w:r>
      <w:r>
        <w:rPr>
          <w:rFonts w:eastAsia="Times New Roman" w:cs="Arial"/>
          <w:lang w:val="en-GB" w:eastAsia="en-US"/>
        </w:rPr>
        <w:t>.</w:t>
      </w:r>
    </w:p>
    <w:p w14:paraId="382D788D" w14:textId="4CA39A7C" w:rsidR="002309FE" w:rsidRDefault="002309FE" w:rsidP="0015648C">
      <w:pPr>
        <w:pStyle w:val="ListParagraph"/>
        <w:numPr>
          <w:ilvl w:val="0"/>
          <w:numId w:val="35"/>
        </w:numPr>
        <w:shd w:val="clear" w:color="auto" w:fill="FFFFFF"/>
        <w:tabs>
          <w:tab w:val="num" w:pos="720"/>
        </w:tabs>
        <w:spacing w:before="120" w:after="240" w:line="240" w:lineRule="auto"/>
        <w:rPr>
          <w:rFonts w:eastAsia="Times New Roman" w:cs="Arial"/>
          <w:lang w:val="en-GB" w:eastAsia="en-US"/>
        </w:rPr>
      </w:pPr>
      <w:r>
        <w:rPr>
          <w:rFonts w:eastAsia="Times New Roman" w:cs="Arial"/>
          <w:lang w:val="en-GB" w:eastAsia="en-US"/>
        </w:rPr>
        <w:t xml:space="preserve"> “</w:t>
      </w:r>
      <w:r>
        <w:rPr>
          <w:rFonts w:eastAsia="Times New Roman" w:cs="Arial"/>
          <w:i/>
          <w:iCs/>
          <w:lang w:val="en-GB" w:eastAsia="en-US"/>
        </w:rPr>
        <w:t>I</w:t>
      </w:r>
      <w:r w:rsidRPr="00AA0CBA">
        <w:rPr>
          <w:rFonts w:eastAsia="Times New Roman" w:cs="Arial"/>
          <w:i/>
          <w:iCs/>
          <w:lang w:val="en-GB" w:eastAsia="en-US"/>
        </w:rPr>
        <w:t>nverse mode</w:t>
      </w:r>
      <w:r w:rsidR="00983BCF">
        <w:rPr>
          <w:rFonts w:eastAsia="Times New Roman" w:cs="Arial"/>
          <w:i/>
          <w:iCs/>
          <w:lang w:val="en-GB" w:eastAsia="en-US"/>
        </w:rPr>
        <w:t>l</w:t>
      </w:r>
      <w:r w:rsidRPr="00AA0CBA">
        <w:rPr>
          <w:rFonts w:eastAsia="Times New Roman" w:cs="Arial"/>
          <w:i/>
          <w:iCs/>
          <w:lang w:val="en-GB" w:eastAsia="en-US"/>
        </w:rPr>
        <w:t>ling to develop site-specific clean</w:t>
      </w:r>
      <w:r w:rsidR="00983BCF">
        <w:rPr>
          <w:rFonts w:eastAsia="Times New Roman" w:cs="Arial"/>
          <w:i/>
          <w:iCs/>
          <w:lang w:val="en-GB" w:eastAsia="en-US"/>
        </w:rPr>
        <w:t>-</w:t>
      </w:r>
      <w:r w:rsidRPr="00AA0CBA">
        <w:rPr>
          <w:rFonts w:eastAsia="Times New Roman" w:cs="Arial"/>
          <w:i/>
          <w:iCs/>
          <w:lang w:val="en-GB" w:eastAsia="en-US"/>
        </w:rPr>
        <w:t>up goals</w:t>
      </w:r>
      <w:r w:rsidRPr="00AA0CBA">
        <w:rPr>
          <w:rFonts w:eastAsia="Times New Roman" w:cs="Arial"/>
          <w:lang w:val="en-GB" w:eastAsia="en-US"/>
        </w:rPr>
        <w:t>.</w:t>
      </w:r>
      <w:r>
        <w:rPr>
          <w:rFonts w:eastAsia="Times New Roman" w:cs="Arial"/>
          <w:lang w:val="en-GB" w:eastAsia="en-US"/>
        </w:rPr>
        <w:t xml:space="preserve">”  </w:t>
      </w:r>
      <w:r w:rsidR="00983BCF">
        <w:rPr>
          <w:rFonts w:eastAsia="Times New Roman" w:cs="Arial"/>
          <w:lang w:val="en-GB" w:eastAsia="en-US"/>
        </w:rPr>
        <w:t>Modelling can be used in</w:t>
      </w:r>
      <w:r>
        <w:rPr>
          <w:rFonts w:eastAsia="Times New Roman" w:cs="Arial"/>
          <w:lang w:val="en-GB" w:eastAsia="en-US"/>
        </w:rPr>
        <w:t xml:space="preserve"> the derivation of sit</w:t>
      </w:r>
      <w:r w:rsidR="00983BCF">
        <w:rPr>
          <w:rFonts w:eastAsia="Times New Roman" w:cs="Arial"/>
          <w:lang w:val="en-GB" w:eastAsia="en-US"/>
        </w:rPr>
        <w:t xml:space="preserve">e-specific clean-up goals </w:t>
      </w:r>
      <w:proofErr w:type="gramStart"/>
      <w:r>
        <w:rPr>
          <w:rFonts w:eastAsia="Times New Roman" w:cs="Arial"/>
          <w:lang w:val="en-GB" w:eastAsia="en-US"/>
        </w:rPr>
        <w:t>through</w:t>
      </w:r>
      <w:r w:rsidR="00983BCF">
        <w:rPr>
          <w:rFonts w:eastAsia="Times New Roman" w:cs="Arial"/>
          <w:lang w:val="en-GB" w:eastAsia="en-US"/>
        </w:rPr>
        <w:t xml:space="preserve"> the use of</w:t>
      </w:r>
      <w:proofErr w:type="gramEnd"/>
      <w:r>
        <w:rPr>
          <w:rFonts w:eastAsia="Times New Roman" w:cs="Arial"/>
          <w:lang w:val="en-GB" w:eastAsia="en-US"/>
        </w:rPr>
        <w:t xml:space="preserve"> inverse modelling. Acceptable indoor air concentrations are used to back-calculate the predicted concentrations required in soil gas, </w:t>
      </w:r>
      <w:proofErr w:type="gramStart"/>
      <w:r>
        <w:rPr>
          <w:rFonts w:eastAsia="Times New Roman" w:cs="Arial"/>
          <w:lang w:val="en-GB" w:eastAsia="en-US"/>
        </w:rPr>
        <w:t>soil</w:t>
      </w:r>
      <w:proofErr w:type="gramEnd"/>
      <w:r>
        <w:rPr>
          <w:rFonts w:eastAsia="Times New Roman" w:cs="Arial"/>
          <w:lang w:val="en-GB" w:eastAsia="en-US"/>
        </w:rPr>
        <w:t xml:space="preserve"> or groundwater to reach the acceptable indoor air contaminant concentrations.</w:t>
      </w:r>
    </w:p>
    <w:p w14:paraId="4700BCC7" w14:textId="58E1B0FC" w:rsidR="002309FE" w:rsidRPr="002309FE" w:rsidRDefault="002309FE" w:rsidP="0015648C">
      <w:pPr>
        <w:pStyle w:val="ListParagraph"/>
        <w:numPr>
          <w:ilvl w:val="0"/>
          <w:numId w:val="35"/>
        </w:numPr>
        <w:shd w:val="clear" w:color="auto" w:fill="FFFFFF"/>
        <w:tabs>
          <w:tab w:val="num" w:pos="720"/>
        </w:tabs>
        <w:spacing w:before="120" w:after="240" w:line="240" w:lineRule="auto"/>
        <w:rPr>
          <w:rFonts w:eastAsia="Times New Roman" w:cs="Arial"/>
          <w:lang w:val="en-GB" w:eastAsia="en-US"/>
        </w:rPr>
      </w:pPr>
      <w:r>
        <w:rPr>
          <w:rFonts w:eastAsia="Times New Roman" w:cs="Arial"/>
          <w:i/>
          <w:iCs/>
          <w:lang w:val="en-GB" w:eastAsia="en-US"/>
        </w:rPr>
        <w:t>“</w:t>
      </w:r>
      <w:r w:rsidRPr="00AA0CBA">
        <w:rPr>
          <w:rFonts w:eastAsia="Times New Roman" w:cs="Arial"/>
          <w:i/>
          <w:iCs/>
          <w:lang w:val="en-GB" w:eastAsia="en-US"/>
        </w:rPr>
        <w:t>Remedial design and selection</w:t>
      </w:r>
      <w:r>
        <w:rPr>
          <w:rFonts w:eastAsia="Times New Roman" w:cs="Arial"/>
          <w:i/>
          <w:iCs/>
          <w:lang w:val="en-GB" w:eastAsia="en-US"/>
        </w:rPr>
        <w:t xml:space="preserve">.” </w:t>
      </w:r>
      <w:r w:rsidRPr="002309FE">
        <w:rPr>
          <w:rFonts w:eastAsia="Times New Roman" w:cs="Arial"/>
          <w:iCs/>
          <w:lang w:val="en-GB" w:eastAsia="en-US"/>
        </w:rPr>
        <w:t xml:space="preserve">A </w:t>
      </w:r>
      <w:r>
        <w:rPr>
          <w:rFonts w:eastAsia="Times New Roman" w:cs="Arial"/>
          <w:iCs/>
          <w:lang w:val="en-GB" w:eastAsia="en-US"/>
        </w:rPr>
        <w:t>suitable model can be u</w:t>
      </w:r>
      <w:r w:rsidRPr="002309FE">
        <w:rPr>
          <w:rFonts w:eastAsia="Times New Roman" w:cs="Arial"/>
          <w:iCs/>
          <w:lang w:val="en-GB" w:eastAsia="en-US"/>
        </w:rPr>
        <w:t>se</w:t>
      </w:r>
      <w:r>
        <w:rPr>
          <w:rFonts w:eastAsia="Times New Roman" w:cs="Arial"/>
          <w:iCs/>
          <w:lang w:val="en-GB" w:eastAsia="en-US"/>
        </w:rPr>
        <w:t>d to assess oxygen flux flow per unit area to the sub-surface that is required to achieve clean-up goals as part of mitigation management.</w:t>
      </w:r>
    </w:p>
    <w:p w14:paraId="654FA942" w14:textId="3B6A678E" w:rsidR="002309FE" w:rsidRPr="002309FE" w:rsidRDefault="00DD356D" w:rsidP="0015648C">
      <w:pPr>
        <w:pStyle w:val="ListParagraph"/>
        <w:numPr>
          <w:ilvl w:val="0"/>
          <w:numId w:val="35"/>
        </w:numPr>
        <w:shd w:val="clear" w:color="auto" w:fill="FFFFFF"/>
        <w:tabs>
          <w:tab w:val="num" w:pos="720"/>
        </w:tabs>
        <w:spacing w:before="120" w:after="240" w:line="240" w:lineRule="auto"/>
        <w:rPr>
          <w:rFonts w:eastAsia="Times New Roman" w:cs="Arial"/>
          <w:lang w:val="en-GB" w:eastAsia="en-US"/>
        </w:rPr>
      </w:pPr>
      <w:r>
        <w:rPr>
          <w:rFonts w:eastAsia="Times New Roman" w:cs="Arial"/>
          <w:i/>
          <w:iCs/>
          <w:lang w:val="en-GB" w:eastAsia="en-US"/>
        </w:rPr>
        <w:t>“</w:t>
      </w:r>
      <w:r w:rsidRPr="00AA0CBA">
        <w:rPr>
          <w:rFonts w:eastAsia="Times New Roman" w:cs="Arial"/>
          <w:i/>
          <w:iCs/>
          <w:lang w:val="en-GB" w:eastAsia="en-US"/>
        </w:rPr>
        <w:t>Mode</w:t>
      </w:r>
      <w:r>
        <w:rPr>
          <w:rFonts w:eastAsia="Times New Roman" w:cs="Arial"/>
          <w:i/>
          <w:iCs/>
          <w:lang w:val="en-GB" w:eastAsia="en-US"/>
        </w:rPr>
        <w:t>l</w:t>
      </w:r>
      <w:r w:rsidRPr="00AA0CBA">
        <w:rPr>
          <w:rFonts w:eastAsia="Times New Roman" w:cs="Arial"/>
          <w:i/>
          <w:iCs/>
          <w:lang w:val="en-GB" w:eastAsia="en-US"/>
        </w:rPr>
        <w:t>ling to support the development of PVI screening criteria and distances</w:t>
      </w:r>
      <w:r>
        <w:rPr>
          <w:rFonts w:eastAsia="Times New Roman" w:cs="Arial"/>
          <w:i/>
          <w:iCs/>
          <w:lang w:val="en-GB" w:eastAsia="en-US"/>
        </w:rPr>
        <w:t xml:space="preserve">.” </w:t>
      </w:r>
      <w:r>
        <w:rPr>
          <w:rFonts w:eastAsia="Times New Roman" w:cs="Arial"/>
          <w:iCs/>
          <w:lang w:val="en-GB" w:eastAsia="en-US"/>
        </w:rPr>
        <w:t>When differing substances are identified</w:t>
      </w:r>
      <w:r w:rsidR="00983BCF">
        <w:rPr>
          <w:rFonts w:eastAsia="Times New Roman" w:cs="Arial"/>
          <w:iCs/>
          <w:lang w:val="en-GB" w:eastAsia="en-US"/>
        </w:rPr>
        <w:t>,</w:t>
      </w:r>
      <w:r>
        <w:rPr>
          <w:rFonts w:eastAsia="Times New Roman" w:cs="Arial"/>
          <w:iCs/>
          <w:lang w:val="en-GB" w:eastAsia="en-US"/>
        </w:rPr>
        <w:t xml:space="preserve"> site-specific vertical screening distances or modified source-to-indoor air ratios may be developed.</w:t>
      </w:r>
    </w:p>
    <w:p w14:paraId="0829A619" w14:textId="214A9646" w:rsidR="00DD356D" w:rsidRDefault="00DD356D" w:rsidP="00AA0CBA">
      <w:pPr>
        <w:shd w:val="clear" w:color="auto" w:fill="FFFFFF"/>
        <w:spacing w:before="120" w:after="240" w:line="240" w:lineRule="auto"/>
        <w:rPr>
          <w:rFonts w:eastAsia="Times New Roman" w:cs="Arial"/>
          <w:lang w:val="en-GB" w:eastAsia="en-US"/>
        </w:rPr>
      </w:pPr>
      <w:r>
        <w:rPr>
          <w:rFonts w:eastAsia="Times New Roman" w:cs="Arial"/>
          <w:lang w:val="en-GB" w:eastAsia="en-US"/>
        </w:rPr>
        <w:t>As in risk assessment practice</w:t>
      </w:r>
      <w:r w:rsidR="00983BCF">
        <w:rPr>
          <w:rFonts w:eastAsia="Times New Roman" w:cs="Arial"/>
          <w:lang w:val="en-GB" w:eastAsia="en-US"/>
        </w:rPr>
        <w:t>,</w:t>
      </w:r>
      <w:r>
        <w:rPr>
          <w:rFonts w:eastAsia="Times New Roman" w:cs="Arial"/>
          <w:lang w:val="en-GB" w:eastAsia="en-US"/>
        </w:rPr>
        <w:t xml:space="preserve"> </w:t>
      </w:r>
      <w:r w:rsidR="00AA0CBA" w:rsidRPr="00AA0CBA">
        <w:rPr>
          <w:rFonts w:eastAsia="Times New Roman" w:cs="Arial"/>
          <w:lang w:val="en-GB" w:eastAsia="en-US"/>
        </w:rPr>
        <w:t>a tiered process</w:t>
      </w:r>
      <w:r>
        <w:rPr>
          <w:rFonts w:eastAsia="Times New Roman" w:cs="Arial"/>
          <w:lang w:val="en-GB" w:eastAsia="en-US"/>
        </w:rPr>
        <w:t xml:space="preserve"> may also be used for vapour intrusion modelling.</w:t>
      </w:r>
      <w:r w:rsidR="00AA0CBA" w:rsidRPr="00AA0CBA">
        <w:rPr>
          <w:rFonts w:eastAsia="Times New Roman" w:cs="Arial"/>
          <w:lang w:val="en-GB" w:eastAsia="en-US"/>
        </w:rPr>
        <w:t xml:space="preserve"> </w:t>
      </w:r>
      <w:r>
        <w:rPr>
          <w:rFonts w:eastAsia="Times New Roman" w:cs="Arial"/>
          <w:lang w:val="en-GB" w:eastAsia="en-US"/>
        </w:rPr>
        <w:t>Preliminary modelling using generic data may be undertaken with subsequent refinement depending on the preliminary outcomes and the acquisition of additional site-specific data.</w:t>
      </w:r>
    </w:p>
    <w:p w14:paraId="66F75CE3" w14:textId="5E785580" w:rsidR="00E14595" w:rsidRPr="00516371" w:rsidRDefault="00E14595" w:rsidP="001D0A48">
      <w:pPr>
        <w:pStyle w:val="Heading3"/>
      </w:pPr>
      <w:bookmarkStart w:id="61" w:name="_Toc461684074"/>
      <w:proofErr w:type="spellStart"/>
      <w:r w:rsidRPr="00516371">
        <w:t>Vapour</w:t>
      </w:r>
      <w:proofErr w:type="spellEnd"/>
      <w:r w:rsidRPr="00516371">
        <w:t xml:space="preserve"> intrusion models</w:t>
      </w:r>
      <w:bookmarkEnd w:id="61"/>
    </w:p>
    <w:p w14:paraId="1D385A00" w14:textId="15A79E57" w:rsidR="00E64FA3" w:rsidRDefault="00CD4CA8" w:rsidP="00516371">
      <w:r>
        <w:t xml:space="preserve">There are a limited number of </w:t>
      </w:r>
      <w:proofErr w:type="spellStart"/>
      <w:r>
        <w:t>vapour</w:t>
      </w:r>
      <w:proofErr w:type="spellEnd"/>
      <w:r>
        <w:t xml:space="preserve"> intrusion models and not all are commercially or publicly available. </w:t>
      </w:r>
      <w:proofErr w:type="spellStart"/>
      <w:r>
        <w:t>Vap</w:t>
      </w:r>
      <w:r w:rsidR="00F42A44">
        <w:t>our</w:t>
      </w:r>
      <w:proofErr w:type="spellEnd"/>
      <w:r w:rsidR="00F42A44">
        <w:t xml:space="preserve"> intrusion models are based </w:t>
      </w:r>
      <w:r>
        <w:t>on steady-state</w:t>
      </w:r>
      <w:r w:rsidR="00F42A44">
        <w:t xml:space="preserve"> (</w:t>
      </w:r>
      <w:r w:rsidR="007E690C">
        <w:t xml:space="preserve">a constant indoor air concentration prediction) </w:t>
      </w:r>
      <w:r>
        <w:t>or non-steady-s</w:t>
      </w:r>
      <w:r w:rsidR="00F42A44">
        <w:t>t</w:t>
      </w:r>
      <w:r>
        <w:t>ate</w:t>
      </w:r>
      <w:r w:rsidR="007E690C">
        <w:t xml:space="preserve"> (time varying</w:t>
      </w:r>
      <w:r w:rsidR="00887C55">
        <w:t xml:space="preserve"> prediction</w:t>
      </w:r>
      <w:r w:rsidR="007E690C">
        <w:t>) conditions</w:t>
      </w:r>
      <w:r w:rsidR="000208BE">
        <w:t xml:space="preserve">. </w:t>
      </w:r>
      <w:proofErr w:type="gramStart"/>
      <w:r w:rsidR="000208BE">
        <w:t>All of</w:t>
      </w:r>
      <w:proofErr w:type="gramEnd"/>
      <w:r w:rsidR="000208BE">
        <w:t xml:space="preserve"> </w:t>
      </w:r>
      <w:r w:rsidR="007E690C">
        <w:t>these models are based on specific algorithms</w:t>
      </w:r>
      <w:r w:rsidR="000208BE">
        <w:t xml:space="preserve"> and each of them</w:t>
      </w:r>
      <w:r w:rsidR="00887C55">
        <w:t xml:space="preserve"> </w:t>
      </w:r>
      <w:r w:rsidR="000208BE">
        <w:t>is</w:t>
      </w:r>
      <w:r w:rsidR="00887C55">
        <w:t xml:space="preserve"> based on mathematical constructs representing differing scenarios and differing building structures. It is important to understand and recognize what a </w:t>
      </w:r>
      <w:proofErr w:type="spellStart"/>
      <w:r w:rsidR="00887C55">
        <w:t>vapour</w:t>
      </w:r>
      <w:proofErr w:type="spellEnd"/>
      <w:r w:rsidR="00887C55">
        <w:t xml:space="preserve"> intrusion model is </w:t>
      </w:r>
      <w:proofErr w:type="gramStart"/>
      <w:r w:rsidR="00887C55">
        <w:t>actually representing</w:t>
      </w:r>
      <w:proofErr w:type="gramEnd"/>
      <w:r w:rsidR="00887C55">
        <w:t xml:space="preserve"> before using the model.</w:t>
      </w:r>
    </w:p>
    <w:p w14:paraId="7E622AFD" w14:textId="54493AD0" w:rsidR="00B27E89" w:rsidRDefault="00887C55" w:rsidP="00516371">
      <w:r>
        <w:t xml:space="preserve">There has been progressive review over the last decade of available models and algorithms.  </w:t>
      </w:r>
      <w:r w:rsidR="000B4094">
        <w:t xml:space="preserve">Evans </w:t>
      </w:r>
      <w:r w:rsidR="007F3045">
        <w:t>et al.,</w:t>
      </w:r>
      <w:r w:rsidR="000B4094">
        <w:t xml:space="preserve"> (2002) reviewed ten soil </w:t>
      </w:r>
      <w:proofErr w:type="spellStart"/>
      <w:r w:rsidR="000B4094">
        <w:t>vapour</w:t>
      </w:r>
      <w:proofErr w:type="spellEnd"/>
      <w:r w:rsidR="000B4094">
        <w:t xml:space="preserve"> transport models</w:t>
      </w:r>
      <w:r w:rsidR="009E1642">
        <w:t xml:space="preserve"> including JEM; GSI; British </w:t>
      </w:r>
      <w:r w:rsidR="009E1642">
        <w:lastRenderedPageBreak/>
        <w:t xml:space="preserve">Columbia (BC); Unocal model; Modified Johnson model; Vapex3 model; Ferguson </w:t>
      </w:r>
      <w:r w:rsidR="007F3045" w:rsidRPr="007F3045">
        <w:t>et al.,</w:t>
      </w:r>
      <w:r w:rsidR="009E1642">
        <w:t xml:space="preserve"> model and Modified Ferguson model; </w:t>
      </w:r>
      <w:proofErr w:type="spellStart"/>
      <w:r w:rsidR="0045166C">
        <w:t>Volasoil</w:t>
      </w:r>
      <w:proofErr w:type="spellEnd"/>
      <w:r w:rsidR="009E1642">
        <w:t>; BPRISC and the Jury model. BPRISC (Johnson and Ettinger sub-model) was recommended for regulatory purposes</w:t>
      </w:r>
      <w:r w:rsidR="00583730">
        <w:t xml:space="preserve"> due</w:t>
      </w:r>
      <w:r w:rsidR="000208BE">
        <w:t xml:space="preserve"> to</w:t>
      </w:r>
      <w:r w:rsidR="00583730">
        <w:t xml:space="preserve"> </w:t>
      </w:r>
      <w:proofErr w:type="gramStart"/>
      <w:r w:rsidR="00583730">
        <w:t>a number of</w:t>
      </w:r>
      <w:proofErr w:type="gramEnd"/>
      <w:r w:rsidR="00583730">
        <w:t xml:space="preserve"> </w:t>
      </w:r>
      <w:r w:rsidR="00BE54E8">
        <w:t xml:space="preserve">positive </w:t>
      </w:r>
      <w:r w:rsidR="00583730">
        <w:t>attributes</w:t>
      </w:r>
      <w:r w:rsidR="009E1642">
        <w:t xml:space="preserve"> albeit with noted limitations</w:t>
      </w:r>
      <w:r w:rsidR="00B27E89">
        <w:t xml:space="preserve">.  </w:t>
      </w:r>
    </w:p>
    <w:p w14:paraId="2582FCC5" w14:textId="0933990C" w:rsidR="000C7D24" w:rsidRDefault="00B27E89" w:rsidP="00516371">
      <w:r>
        <w:t xml:space="preserve">Further reviews of </w:t>
      </w:r>
      <w:proofErr w:type="spellStart"/>
      <w:r>
        <w:t>vapour</w:t>
      </w:r>
      <w:proofErr w:type="spellEnd"/>
      <w:r>
        <w:t xml:space="preserve"> intrusion models</w:t>
      </w:r>
      <w:r w:rsidR="0045166C">
        <w:t xml:space="preserve"> include those of Tillman and Weaver (2005) and </w:t>
      </w:r>
      <w:proofErr w:type="spellStart"/>
      <w:r w:rsidR="0045166C">
        <w:t>Turczynowicz</w:t>
      </w:r>
      <w:proofErr w:type="spellEnd"/>
      <w:r w:rsidR="0045166C">
        <w:t xml:space="preserve"> and Robinson (2</w:t>
      </w:r>
      <w:r w:rsidR="003A3CFC">
        <w:t>007</w:t>
      </w:r>
      <w:r w:rsidR="00114A7A">
        <w:t>b</w:t>
      </w:r>
      <w:r w:rsidR="003A3CFC">
        <w:t xml:space="preserve">) with the latter presenting a tabulated summary of software and algorithms (Table 1, p1623). </w:t>
      </w:r>
      <w:proofErr w:type="spellStart"/>
      <w:r w:rsidR="000C7D24">
        <w:t>Turczynowicz</w:t>
      </w:r>
      <w:proofErr w:type="spellEnd"/>
      <w:r w:rsidR="000C7D24">
        <w:t xml:space="preserve"> and Robinson (2007b) also present a summary table of the attributes of some soil to indoo</w:t>
      </w:r>
      <w:r w:rsidR="004C0A5E">
        <w:t>r VOC migration model</w:t>
      </w:r>
      <w:r w:rsidR="009D7EA5">
        <w:t>s</w:t>
      </w:r>
      <w:r w:rsidR="004C0A5E">
        <w:t xml:space="preserve"> (</w:t>
      </w:r>
      <w:r w:rsidR="004C0A5E">
        <w:fldChar w:fldCharType="begin"/>
      </w:r>
      <w:r w:rsidR="004C0A5E">
        <w:instrText xml:space="preserve"> REF _Ref454962989 \h </w:instrText>
      </w:r>
      <w:r w:rsidR="004C0A5E">
        <w:fldChar w:fldCharType="separate"/>
      </w:r>
      <w:r w:rsidR="006A5935">
        <w:t xml:space="preserve">Table </w:t>
      </w:r>
      <w:r w:rsidR="006A5935">
        <w:rPr>
          <w:noProof/>
        </w:rPr>
        <w:t>1</w:t>
      </w:r>
      <w:r w:rsidR="004C0A5E">
        <w:fldChar w:fldCharType="end"/>
      </w:r>
      <w:r w:rsidR="000C7D24">
        <w:t xml:space="preserve">).  </w:t>
      </w:r>
    </w:p>
    <w:p w14:paraId="76A63FDB" w14:textId="23F9891F" w:rsidR="00E64FA3" w:rsidRDefault="003A3CFC" w:rsidP="00516371">
      <w:r>
        <w:t>A</w:t>
      </w:r>
      <w:r w:rsidR="0045166C">
        <w:t xml:space="preserve"> review of seven algorithms pres</w:t>
      </w:r>
      <w:r>
        <w:t xml:space="preserve">ented by </w:t>
      </w:r>
      <w:proofErr w:type="spellStart"/>
      <w:r>
        <w:t>Provoost</w:t>
      </w:r>
      <w:proofErr w:type="spellEnd"/>
      <w:r>
        <w:t xml:space="preserve"> </w:t>
      </w:r>
      <w:r w:rsidR="007F3045">
        <w:t>et al.,</w:t>
      </w:r>
      <w:r>
        <w:t xml:space="preserve"> (2009) cited </w:t>
      </w:r>
      <w:proofErr w:type="spellStart"/>
      <w:r w:rsidR="0045166C">
        <w:t>Vlier-Humaan</w:t>
      </w:r>
      <w:proofErr w:type="spellEnd"/>
      <w:r w:rsidR="0045166C">
        <w:t xml:space="preserve"> (Be</w:t>
      </w:r>
      <w:r w:rsidR="009D7EA5">
        <w:t>lgium</w:t>
      </w:r>
      <w:r w:rsidR="0045166C">
        <w:t xml:space="preserve">); JEM (USA); </w:t>
      </w:r>
      <w:proofErr w:type="spellStart"/>
      <w:r w:rsidR="0045166C">
        <w:t>Volasoil</w:t>
      </w:r>
      <w:proofErr w:type="spellEnd"/>
      <w:r w:rsidR="0045166C">
        <w:t xml:space="preserve"> (N</w:t>
      </w:r>
      <w:r w:rsidR="009D7EA5">
        <w:t>etherlands</w:t>
      </w:r>
      <w:r w:rsidR="0045166C">
        <w:t xml:space="preserve">); </w:t>
      </w:r>
      <w:proofErr w:type="spellStart"/>
      <w:r w:rsidR="008A4EE7">
        <w:t>Csoil</w:t>
      </w:r>
      <w:proofErr w:type="spellEnd"/>
      <w:r w:rsidR="008A4EE7">
        <w:t xml:space="preserve"> (</w:t>
      </w:r>
      <w:r w:rsidR="009D7EA5">
        <w:t xml:space="preserve">Netherlands); RISC </w:t>
      </w:r>
      <w:r w:rsidR="008A4EE7">
        <w:t>(UK) and the dilution factor models from Norway and Sweden</w:t>
      </w:r>
      <w:r w:rsidR="00C06E25">
        <w:t>.</w:t>
      </w:r>
      <w:r>
        <w:t xml:space="preserve"> </w:t>
      </w:r>
      <w:proofErr w:type="spellStart"/>
      <w:r w:rsidR="00C06E25">
        <w:t>Provoost</w:t>
      </w:r>
      <w:proofErr w:type="spellEnd"/>
      <w:r w:rsidR="00C06E25">
        <w:t xml:space="preserve"> noted that, “</w:t>
      </w:r>
      <w:r w:rsidR="00C06E25" w:rsidRPr="00C06E25">
        <w:rPr>
          <w:i/>
        </w:rPr>
        <w:t xml:space="preserve">For the indoor air it is concluded that all algorithms have a tendency to overestimate the predicted indoor air concentrations except for the JEM and </w:t>
      </w:r>
      <w:proofErr w:type="spellStart"/>
      <w:r w:rsidR="00C06E25" w:rsidRPr="00C06E25">
        <w:rPr>
          <w:i/>
        </w:rPr>
        <w:t>Vlier-Humaan</w:t>
      </w:r>
      <w:proofErr w:type="spellEnd"/>
      <w:r w:rsidR="00C06E25" w:rsidRPr="00C06E25">
        <w:rPr>
          <w:i/>
        </w:rPr>
        <w:t xml:space="preserve"> algorithms, which produced frequent underestimations</w:t>
      </w:r>
      <w:r w:rsidR="00C06E25">
        <w:t>” (</w:t>
      </w:r>
      <w:proofErr w:type="spellStart"/>
      <w:r w:rsidR="00C06E25">
        <w:t>Provoost</w:t>
      </w:r>
      <w:proofErr w:type="spellEnd"/>
      <w:r w:rsidR="00C06E25">
        <w:t xml:space="preserve"> </w:t>
      </w:r>
      <w:r w:rsidR="007F3045">
        <w:t>et al.,</w:t>
      </w:r>
      <w:r w:rsidR="00C06E25">
        <w:t xml:space="preserve"> (2009) p25).</w:t>
      </w:r>
      <w:r w:rsidR="007D2406">
        <w:t xml:space="preserve"> </w:t>
      </w:r>
      <w:proofErr w:type="spellStart"/>
      <w:r w:rsidR="007D2406">
        <w:t>Provoost</w:t>
      </w:r>
      <w:proofErr w:type="spellEnd"/>
      <w:r w:rsidR="007D2406">
        <w:t xml:space="preserve"> </w:t>
      </w:r>
      <w:r w:rsidR="007F3045">
        <w:t>et al.,</w:t>
      </w:r>
      <w:r w:rsidR="003D5B3B">
        <w:t xml:space="preserve"> </w:t>
      </w:r>
      <w:r w:rsidR="003644D8">
        <w:t>2009, concluded</w:t>
      </w:r>
      <w:r w:rsidR="007D2406">
        <w:t xml:space="preserve"> that the most suitable algorithms for screening purpos</w:t>
      </w:r>
      <w:r w:rsidR="003D5B3B">
        <w:t xml:space="preserve">es were </w:t>
      </w:r>
      <w:proofErr w:type="spellStart"/>
      <w:r w:rsidR="003D5B3B">
        <w:t>Csoil</w:t>
      </w:r>
      <w:proofErr w:type="spellEnd"/>
      <w:r w:rsidR="003D5B3B">
        <w:t xml:space="preserve">, </w:t>
      </w:r>
      <w:proofErr w:type="spellStart"/>
      <w:r w:rsidR="003D5B3B">
        <w:t>Volasoil</w:t>
      </w:r>
      <w:proofErr w:type="spellEnd"/>
      <w:r w:rsidR="003D5B3B">
        <w:t xml:space="preserve"> and RISC</w:t>
      </w:r>
      <w:r w:rsidR="007D2406">
        <w:t xml:space="preserve"> since “</w:t>
      </w:r>
      <w:r w:rsidR="007D2406" w:rsidRPr="007D2406">
        <w:rPr>
          <w:i/>
        </w:rPr>
        <w:t>they are sufficiently conservative, have fewer false negative predictions and have still sufficient discriminatory power</w:t>
      </w:r>
      <w:r w:rsidR="007D2406">
        <w:t>”</w:t>
      </w:r>
      <w:r>
        <w:t xml:space="preserve"> (p25)</w:t>
      </w:r>
      <w:r w:rsidR="007D2406">
        <w:t>.</w:t>
      </w:r>
    </w:p>
    <w:p w14:paraId="28E85FE6" w14:textId="2A35D2C6" w:rsidR="00516371" w:rsidRDefault="00583730" w:rsidP="00516371">
      <w:r>
        <w:t>D</w:t>
      </w:r>
      <w:r w:rsidR="007F3045">
        <w:t xml:space="preserve">avis et al., </w:t>
      </w:r>
      <w:r>
        <w:t xml:space="preserve">(2009) in a review for CRC CARE of </w:t>
      </w:r>
      <w:r w:rsidR="00620D72">
        <w:t xml:space="preserve">an Australian non-steady-state </w:t>
      </w:r>
      <w:proofErr w:type="spellStart"/>
      <w:r w:rsidR="00620D72">
        <w:t>vapour</w:t>
      </w:r>
      <w:proofErr w:type="spellEnd"/>
      <w:r w:rsidR="00620D72">
        <w:t xml:space="preserve"> intrusion model</w:t>
      </w:r>
      <w:r w:rsidR="00D1227C">
        <w:t xml:space="preserve"> (Robinson, 2003</w:t>
      </w:r>
      <w:r w:rsidR="003D5B3B">
        <w:t>)</w:t>
      </w:r>
      <w:r w:rsidR="00620D72">
        <w:t xml:space="preserve"> and the JEM recommended the JEM principally due to the historical support behind the model such as field studies, ready </w:t>
      </w:r>
      <w:proofErr w:type="gramStart"/>
      <w:r w:rsidR="00620D72">
        <w:t>availability</w:t>
      </w:r>
      <w:proofErr w:type="gramEnd"/>
      <w:r w:rsidR="00620D72">
        <w:t xml:space="preserve"> and lack of need for further development (time frames in developing generic petroleum hydrocarbon criteria</w:t>
      </w:r>
      <w:r w:rsidR="00BE54E8">
        <w:t xml:space="preserve"> at that time</w:t>
      </w:r>
      <w:r w:rsidR="00620D72">
        <w:t xml:space="preserve"> were limited).</w:t>
      </w:r>
    </w:p>
    <w:p w14:paraId="22838DE3" w14:textId="07BA6035" w:rsidR="00430371" w:rsidRDefault="00430371" w:rsidP="00430371">
      <w:r>
        <w:t xml:space="preserve">Further recent discussion on the available </w:t>
      </w:r>
      <w:proofErr w:type="spellStart"/>
      <w:r>
        <w:t>vapour</w:t>
      </w:r>
      <w:proofErr w:type="spellEnd"/>
      <w:r>
        <w:t xml:space="preserve"> intrusion algorithms can be found in </w:t>
      </w:r>
      <w:r w:rsidR="003D5B3B">
        <w:t xml:space="preserve">the comprehensive review in </w:t>
      </w:r>
      <w:proofErr w:type="spellStart"/>
      <w:r>
        <w:t>Provoost</w:t>
      </w:r>
      <w:proofErr w:type="spellEnd"/>
      <w:r>
        <w:t xml:space="preserve">, Tillman, Weaver </w:t>
      </w:r>
      <w:r w:rsidR="007F3045">
        <w:t>et al.,</w:t>
      </w:r>
      <w:r>
        <w:t xml:space="preserve"> (2010)</w:t>
      </w:r>
      <w:r w:rsidR="003D5B3B">
        <w:t xml:space="preserve"> and</w:t>
      </w:r>
      <w:r w:rsidR="006B2384">
        <w:t xml:space="preserve"> </w:t>
      </w:r>
      <w:proofErr w:type="spellStart"/>
      <w:r>
        <w:t>Provoost</w:t>
      </w:r>
      <w:proofErr w:type="spellEnd"/>
      <w:r>
        <w:t xml:space="preserve"> </w:t>
      </w:r>
      <w:r w:rsidR="007F3045">
        <w:t>et al.,</w:t>
      </w:r>
      <w:r>
        <w:t xml:space="preserve"> (2013)</w:t>
      </w:r>
      <w:r w:rsidR="006B2384">
        <w:t xml:space="preserve"> and Yao </w:t>
      </w:r>
      <w:r w:rsidR="007F3045">
        <w:t>et al.,</w:t>
      </w:r>
      <w:r w:rsidR="006B2384">
        <w:t xml:space="preserve"> (2013)</w:t>
      </w:r>
      <w:r>
        <w:t>.</w:t>
      </w:r>
    </w:p>
    <w:p w14:paraId="39F2583C" w14:textId="1B83101E" w:rsidR="004C0A5E" w:rsidRDefault="004C0A5E" w:rsidP="00430371">
      <w:r>
        <w:t xml:space="preserve">ITRC (2014) and US EPA (Weaver, 2012) have recently included the </w:t>
      </w:r>
      <w:proofErr w:type="spellStart"/>
      <w:r>
        <w:t>Biovapor</w:t>
      </w:r>
      <w:proofErr w:type="spellEnd"/>
      <w:r>
        <w:t xml:space="preserve"> model, a one-dimensional </w:t>
      </w:r>
      <w:proofErr w:type="gramStart"/>
      <w:r>
        <w:t>similar to</w:t>
      </w:r>
      <w:proofErr w:type="gramEnd"/>
      <w:r>
        <w:t xml:space="preserve"> JEM but with the inclusion of aerobic biodegradation (</w:t>
      </w:r>
      <w:proofErr w:type="spellStart"/>
      <w:r>
        <w:t>DeVaull</w:t>
      </w:r>
      <w:proofErr w:type="spellEnd"/>
      <w:r>
        <w:t xml:space="preserve">, 2007; API 2010). This model is based </w:t>
      </w:r>
      <w:r w:rsidR="00CC1E78">
        <w:t>on estimation of O</w:t>
      </w:r>
      <w:r w:rsidR="00CC1E78" w:rsidRPr="00CC1E78">
        <w:rPr>
          <w:vertAlign w:val="subscript"/>
        </w:rPr>
        <w:t>2</w:t>
      </w:r>
      <w:r w:rsidR="00CC1E78">
        <w:t>-limited aerobic degradation using an analytical solution to determine the aerobic depth below ground surface where first order occurs.  Without the biodegradation component it produces similar results to JEM (ITRC, 2014).</w:t>
      </w:r>
      <w:r w:rsidR="00B53854">
        <w:t xml:space="preserve"> Note </w:t>
      </w:r>
      <w:r w:rsidR="00983BCF">
        <w:t xml:space="preserve">that the </w:t>
      </w:r>
      <w:proofErr w:type="spellStart"/>
      <w:r w:rsidR="00983BCF">
        <w:t>B</w:t>
      </w:r>
      <w:r w:rsidR="00B53854">
        <w:t>iovapour</w:t>
      </w:r>
      <w:proofErr w:type="spellEnd"/>
      <w:r w:rsidR="00B53854">
        <w:t xml:space="preserve"> model has been developed for petroleum hydrocarbon </w:t>
      </w:r>
      <w:proofErr w:type="spellStart"/>
      <w:r w:rsidR="00B53854">
        <w:t>vapour</w:t>
      </w:r>
      <w:proofErr w:type="spellEnd"/>
      <w:r w:rsidR="00B53854">
        <w:t xml:space="preserve"> assessment where aerobic biodegradation is an important factor</w:t>
      </w:r>
      <w:r w:rsidR="0087756F">
        <w:t xml:space="preserve">. </w:t>
      </w:r>
    </w:p>
    <w:p w14:paraId="5542F5B1" w14:textId="0E0E0F91" w:rsidR="00620D72" w:rsidRDefault="000C7D24" w:rsidP="00516371">
      <w:r>
        <w:t>I</w:t>
      </w:r>
      <w:r w:rsidR="00620D72">
        <w:t xml:space="preserve">n considering the current position in differing countries with respect to available </w:t>
      </w:r>
      <w:proofErr w:type="spellStart"/>
      <w:r w:rsidR="00620D72">
        <w:t>vapour</w:t>
      </w:r>
      <w:proofErr w:type="spellEnd"/>
      <w:r w:rsidR="00620D72">
        <w:t xml:space="preserve"> intrusion models the predominance of any </w:t>
      </w:r>
      <w:proofErr w:type="gramStart"/>
      <w:r w:rsidR="00620D72">
        <w:t>particular model</w:t>
      </w:r>
      <w:proofErr w:type="gramEnd"/>
      <w:r w:rsidR="00620D72">
        <w:t xml:space="preserve"> is a reflection of the </w:t>
      </w:r>
      <w:r w:rsidR="00B85146">
        <w:t xml:space="preserve">funding and </w:t>
      </w:r>
      <w:r w:rsidR="00620D72">
        <w:t>support for development within that country in order to ensure region-specif</w:t>
      </w:r>
      <w:r w:rsidR="007B68B9">
        <w:t>i</w:t>
      </w:r>
      <w:r w:rsidR="00620D72">
        <w:t>c applicability</w:t>
      </w:r>
      <w:r w:rsidR="007B68B9">
        <w:t xml:space="preserve">.  This is particularly noted with </w:t>
      </w:r>
      <w:proofErr w:type="spellStart"/>
      <w:r w:rsidR="007B68B9">
        <w:t>CSoil</w:t>
      </w:r>
      <w:proofErr w:type="spellEnd"/>
      <w:r w:rsidR="007B68B9">
        <w:t xml:space="preserve"> and </w:t>
      </w:r>
      <w:proofErr w:type="spellStart"/>
      <w:r w:rsidR="007B68B9">
        <w:t>Volasoil</w:t>
      </w:r>
      <w:proofErr w:type="spellEnd"/>
      <w:r w:rsidR="007B68B9">
        <w:t xml:space="preserve"> development in the Netherlands with field studies and refinement over </w:t>
      </w:r>
      <w:proofErr w:type="gramStart"/>
      <w:r w:rsidR="007B68B9">
        <w:t>a number of</w:t>
      </w:r>
      <w:proofErr w:type="gramEnd"/>
      <w:r w:rsidR="007B68B9">
        <w:t xml:space="preserve"> years</w:t>
      </w:r>
      <w:r>
        <w:t xml:space="preserve"> and the support for JEM evaluations and investigations following adoption in the US by The US EPA (with modification)</w:t>
      </w:r>
      <w:r w:rsidR="007B68B9">
        <w:t>.</w:t>
      </w:r>
      <w:r w:rsidR="00BE54E8">
        <w:t xml:space="preserve"> </w:t>
      </w:r>
      <w:r w:rsidR="00B85146">
        <w:t xml:space="preserve">This funding and support in Australia </w:t>
      </w:r>
      <w:proofErr w:type="gramStart"/>
      <w:r w:rsidR="00B85146">
        <w:t>has</w:t>
      </w:r>
      <w:proofErr w:type="gramEnd"/>
      <w:r w:rsidR="00B85146">
        <w:t xml:space="preserve"> been lacking and Australia has not progressed in further </w:t>
      </w:r>
      <w:proofErr w:type="spellStart"/>
      <w:r w:rsidR="00B85146">
        <w:t>vapour</w:t>
      </w:r>
      <w:proofErr w:type="spellEnd"/>
      <w:r w:rsidR="00B85146">
        <w:t xml:space="preserve"> intrusion model development since 2003.</w:t>
      </w:r>
    </w:p>
    <w:p w14:paraId="28CB48EA" w14:textId="7B11C5EF" w:rsidR="0026255A" w:rsidRDefault="0026255A" w:rsidP="0026255A">
      <w:pPr>
        <w:pStyle w:val="Caption"/>
        <w:keepNext/>
      </w:pPr>
      <w:bookmarkStart w:id="62" w:name="_Ref454962989"/>
      <w:r>
        <w:lastRenderedPageBreak/>
        <w:t xml:space="preserve">Table </w:t>
      </w:r>
      <w:fldSimple w:instr=" SEQ Table \* ARABIC ">
        <w:r w:rsidR="006A5935">
          <w:rPr>
            <w:noProof/>
          </w:rPr>
          <w:t>1</w:t>
        </w:r>
      </w:fldSimple>
      <w:bookmarkEnd w:id="62"/>
      <w:r>
        <w:t>:  Attributes of Some Soil to In</w:t>
      </w:r>
      <w:r w:rsidR="009437E7">
        <w:t>door VOC Migration Models</w:t>
      </w:r>
      <w:r>
        <w:t xml:space="preserve"> (from </w:t>
      </w:r>
      <w:proofErr w:type="spellStart"/>
      <w:r>
        <w:t>Turczynowicz</w:t>
      </w:r>
      <w:proofErr w:type="spellEnd"/>
      <w:r>
        <w:t xml:space="preserve"> and Robinson, 2007)</w:t>
      </w:r>
    </w:p>
    <w:p w14:paraId="354F4260" w14:textId="77777777" w:rsidR="0015124A" w:rsidRDefault="00D5546A" w:rsidP="0015124A">
      <w:pPr>
        <w:keepNext/>
      </w:pPr>
      <w:r w:rsidRPr="00D5546A">
        <w:rPr>
          <w:noProof/>
          <w:lang w:eastAsia="en-US"/>
        </w:rPr>
        <w:drawing>
          <wp:inline distT="0" distB="0" distL="0" distR="0" wp14:anchorId="29FD4693" wp14:editId="785D2FF6">
            <wp:extent cx="5943600" cy="5324906"/>
            <wp:effectExtent l="0" t="0" r="0" b="9525"/>
            <wp:docPr id="14" name="Picture 14" descr="I:\vo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voc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5324906"/>
                    </a:xfrm>
                    <a:prstGeom prst="rect">
                      <a:avLst/>
                    </a:prstGeom>
                    <a:noFill/>
                    <a:ln>
                      <a:noFill/>
                    </a:ln>
                  </pic:spPr>
                </pic:pic>
              </a:graphicData>
            </a:graphic>
          </wp:inline>
        </w:drawing>
      </w:r>
    </w:p>
    <w:p w14:paraId="4AEA2005" w14:textId="6A5F5B03" w:rsidR="000C7D24" w:rsidRPr="00B85146" w:rsidRDefault="00B85146">
      <w:pPr>
        <w:rPr>
          <w:sz w:val="18"/>
          <w:szCs w:val="18"/>
        </w:rPr>
      </w:pPr>
      <w:r w:rsidRPr="00B85146">
        <w:rPr>
          <w:sz w:val="18"/>
          <w:szCs w:val="18"/>
        </w:rPr>
        <w:t>Footnote:</w:t>
      </w:r>
      <w:r>
        <w:rPr>
          <w:sz w:val="18"/>
          <w:szCs w:val="18"/>
        </w:rPr>
        <w:t xml:space="preserve"> The Australian CSIRO model is based on the work of Robinson (2003).</w:t>
      </w:r>
    </w:p>
    <w:p w14:paraId="0BA39F19" w14:textId="4DFD7427" w:rsidR="00E14595" w:rsidRDefault="007E690C" w:rsidP="005E0798">
      <w:pPr>
        <w:pStyle w:val="Heading3"/>
      </w:pPr>
      <w:bookmarkStart w:id="63" w:name="_Toc461684075"/>
      <w:r>
        <w:t>Understanding models – verification and validation</w:t>
      </w:r>
      <w:bookmarkEnd w:id="63"/>
    </w:p>
    <w:p w14:paraId="2BE908DD" w14:textId="4C77D7C9" w:rsidR="00AF7387" w:rsidRDefault="00AF7387" w:rsidP="00AF7387">
      <w:r>
        <w:t xml:space="preserve">Predictive </w:t>
      </w:r>
      <w:proofErr w:type="spellStart"/>
      <w:r>
        <w:t>vapour</w:t>
      </w:r>
      <w:proofErr w:type="spellEnd"/>
      <w:r>
        <w:t xml:space="preserve"> intrusion modelling is an important tool when attempting to estimate future indoor air concentrations in buildings that are yet to be constructed. On this basis its use is </w:t>
      </w:r>
      <w:r w:rsidR="00AD22D7">
        <w:t>necessary</w:t>
      </w:r>
      <w:r>
        <w:t xml:space="preserve"> while </w:t>
      </w:r>
      <w:proofErr w:type="gramStart"/>
      <w:r>
        <w:t>taking into account</w:t>
      </w:r>
      <w:proofErr w:type="gramEnd"/>
      <w:r>
        <w:t xml:space="preserve"> an understanding of supporting lines of evidence and the uncertainties and limitations across the </w:t>
      </w:r>
      <w:proofErr w:type="spellStart"/>
      <w:r>
        <w:t>vapour</w:t>
      </w:r>
      <w:proofErr w:type="spellEnd"/>
      <w:r>
        <w:t xml:space="preserve"> intrusion models that are available.</w:t>
      </w:r>
    </w:p>
    <w:p w14:paraId="2065EEFD" w14:textId="47E56B29" w:rsidR="00D5256D" w:rsidRDefault="00D5256D" w:rsidP="00D5256D">
      <w:proofErr w:type="spellStart"/>
      <w:r>
        <w:t>Vapour</w:t>
      </w:r>
      <w:proofErr w:type="spellEnd"/>
      <w:r>
        <w:t xml:space="preserve"> intrusion models are simply an attempt to represent a reality using mathematical representations of the physics involved. </w:t>
      </w:r>
      <w:proofErr w:type="spellStart"/>
      <w:r>
        <w:t>Saltelli</w:t>
      </w:r>
      <w:proofErr w:type="spellEnd"/>
      <w:r>
        <w:t xml:space="preserve"> and </w:t>
      </w:r>
      <w:proofErr w:type="spellStart"/>
      <w:r>
        <w:t>Funtowicz</w:t>
      </w:r>
      <w:proofErr w:type="spellEnd"/>
      <w:r>
        <w:t xml:space="preserve"> (2014) cite</w:t>
      </w:r>
      <w:r w:rsidR="00B85146">
        <w:t xml:space="preserve"> the widely quoted observation of pure statisticians epitomized by George E.P. Box’s 1987</w:t>
      </w:r>
      <w:r w:rsidRPr="00B85146">
        <w:t xml:space="preserve"> observation</w:t>
      </w:r>
      <w:r w:rsidRPr="00D5256D">
        <w:rPr>
          <w:i/>
        </w:rPr>
        <w:t xml:space="preserve"> </w:t>
      </w:r>
      <w:r w:rsidRPr="00B85146">
        <w:t>that</w:t>
      </w:r>
      <w:r w:rsidRPr="00D5256D">
        <w:rPr>
          <w:i/>
        </w:rPr>
        <w:t xml:space="preserve"> ‘all models are </w:t>
      </w:r>
      <w:proofErr w:type="gramStart"/>
      <w:r w:rsidRPr="00D5256D">
        <w:rPr>
          <w:i/>
        </w:rPr>
        <w:t>wrong</w:t>
      </w:r>
      <w:proofErr w:type="gramEnd"/>
      <w:r w:rsidRPr="00D5256D">
        <w:rPr>
          <w:i/>
        </w:rPr>
        <w:t xml:space="preserve"> but some are useful</w:t>
      </w:r>
      <w:r>
        <w:t xml:space="preserve">’” (p80). Models are only as ‘useful’ as their </w:t>
      </w:r>
      <w:r>
        <w:lastRenderedPageBreak/>
        <w:t xml:space="preserve">representation of the physical realities.  </w:t>
      </w:r>
      <w:proofErr w:type="gramStart"/>
      <w:r>
        <w:t>In order to</w:t>
      </w:r>
      <w:proofErr w:type="gramEnd"/>
      <w:r>
        <w:t xml:space="preserve"> ascertain such ‘usefulness’ both the programming code and </w:t>
      </w:r>
      <w:r w:rsidR="00FF0E14">
        <w:t>confirmation of the model’s</w:t>
      </w:r>
      <w:r>
        <w:t xml:space="preserve"> prediction are </w:t>
      </w:r>
      <w:r w:rsidR="00AF7387">
        <w:t>required</w:t>
      </w:r>
      <w:r>
        <w:t>.</w:t>
      </w:r>
    </w:p>
    <w:p w14:paraId="1DA23ADA" w14:textId="474CF004" w:rsidR="00FF0E14" w:rsidRDefault="00D5256D" w:rsidP="00D5256D">
      <w:r>
        <w:t>When a model prediction is checked using another model construct</w:t>
      </w:r>
      <w:r w:rsidR="00FF0E14">
        <w:t>,</w:t>
      </w:r>
      <w:r>
        <w:t xml:space="preserve"> </w:t>
      </w:r>
      <w:r w:rsidR="00FF0E14">
        <w:t>verification of the model is undertaken. Verification is not validation (Robinson, pers</w:t>
      </w:r>
      <w:r w:rsidR="00FB70DD">
        <w:t>.</w:t>
      </w:r>
      <w:r w:rsidR="00FF0E14">
        <w:t xml:space="preserve"> comm.).</w:t>
      </w:r>
      <w:r w:rsidR="00590D25">
        <w:t xml:space="preserve"> </w:t>
      </w:r>
      <w:proofErr w:type="gramStart"/>
      <w:r w:rsidR="00590D25">
        <w:t>A number of</w:t>
      </w:r>
      <w:proofErr w:type="gramEnd"/>
      <w:r w:rsidR="00590D25">
        <w:t xml:space="preserve"> papers report verification in their analyses which should not be confused with validation.</w:t>
      </w:r>
    </w:p>
    <w:p w14:paraId="300C9686" w14:textId="47435ECE" w:rsidR="002C3E72" w:rsidRDefault="00FF0E14" w:rsidP="00D5256D">
      <w:r>
        <w:t xml:space="preserve">When field studies are </w:t>
      </w:r>
      <w:proofErr w:type="gramStart"/>
      <w:r>
        <w:t>undertaken</w:t>
      </w:r>
      <w:proofErr w:type="gramEnd"/>
      <w:r>
        <w:t xml:space="preserve"> and site-specific data are incorporated into a </w:t>
      </w:r>
      <w:proofErr w:type="spellStart"/>
      <w:r>
        <w:t>vapour</w:t>
      </w:r>
      <w:proofErr w:type="spellEnd"/>
      <w:r>
        <w:t xml:space="preserve"> intrusion model then validation is undertaken</w:t>
      </w:r>
      <w:r w:rsidR="00B85146">
        <w:t xml:space="preserve"> to compare prediction with reality. H</w:t>
      </w:r>
      <w:r>
        <w:t xml:space="preserve">owever, in the case of </w:t>
      </w:r>
      <w:proofErr w:type="spellStart"/>
      <w:r>
        <w:t>vapour</w:t>
      </w:r>
      <w:proofErr w:type="spellEnd"/>
      <w:r>
        <w:t xml:space="preserve"> intrusion models, no </w:t>
      </w:r>
      <w:proofErr w:type="spellStart"/>
      <w:r>
        <w:t>vapour</w:t>
      </w:r>
      <w:proofErr w:type="spellEnd"/>
      <w:r>
        <w:t xml:space="preserve"> intrusion model has been completely field validated.</w:t>
      </w:r>
      <w:r w:rsidR="00457925">
        <w:t xml:space="preserve">  Studies using contaminated sites which have incorporated field measurements into model predictions and then measured indoor concentrations are prone to the effects of heterogeneity and spatial and temporal change</w:t>
      </w:r>
      <w:r w:rsidR="00B85146">
        <w:t>s</w:t>
      </w:r>
      <w:r w:rsidR="00457925">
        <w:t xml:space="preserve">. These are complex settings and </w:t>
      </w:r>
      <w:proofErr w:type="gramStart"/>
      <w:r w:rsidR="00457925">
        <w:t>control</w:t>
      </w:r>
      <w:proofErr w:type="gramEnd"/>
      <w:r w:rsidR="00457925">
        <w:t xml:space="preserve"> or measurement</w:t>
      </w:r>
      <w:r w:rsidR="002C3E72">
        <w:t xml:space="preserve"> of </w:t>
      </w:r>
      <w:r w:rsidR="00322CAE">
        <w:t xml:space="preserve">all </w:t>
      </w:r>
      <w:r w:rsidR="002C3E72">
        <w:t xml:space="preserve">influencing variables is problematic. Synthetic controlled experiments have not been attempted. </w:t>
      </w:r>
    </w:p>
    <w:p w14:paraId="2F5AA2D7" w14:textId="4B6C94A8" w:rsidR="00D5256D" w:rsidRDefault="002C3E72" w:rsidP="00D5256D">
      <w:proofErr w:type="spellStart"/>
      <w:r>
        <w:t>Provoost</w:t>
      </w:r>
      <w:proofErr w:type="spellEnd"/>
      <w:r w:rsidR="00322CAE">
        <w:t>, Tillman, Weaver</w:t>
      </w:r>
      <w:r>
        <w:t xml:space="preserve"> </w:t>
      </w:r>
      <w:r w:rsidR="007F3045">
        <w:t>et al.,</w:t>
      </w:r>
      <w:r>
        <w:t xml:space="preserve"> (2010) in a comprehensive review</w:t>
      </w:r>
      <w:r w:rsidR="00322CAE">
        <w:t xml:space="preserve"> of </w:t>
      </w:r>
      <w:proofErr w:type="spellStart"/>
      <w:r w:rsidR="00322CAE">
        <w:t>vapour</w:t>
      </w:r>
      <w:proofErr w:type="spellEnd"/>
      <w:r w:rsidR="00322CAE">
        <w:t xml:space="preserve"> intrusion cite that the ‘</w:t>
      </w:r>
      <w:r w:rsidR="00322CAE" w:rsidRPr="00590D25">
        <w:rPr>
          <w:i/>
        </w:rPr>
        <w:t>difficulty in evaluating whether or not vapor intrusion is occurring stems from the temporal and spatial variability in soil gas and sub-slab measurements, unknown</w:t>
      </w:r>
      <w:r w:rsidR="00590D25" w:rsidRPr="00590D25">
        <w:rPr>
          <w:i/>
        </w:rPr>
        <w:t xml:space="preserve"> indoor sources confounding indoor air sampling and a lack of information on the accuracy of algorithms</w:t>
      </w:r>
      <w:r w:rsidR="007268C0">
        <w:rPr>
          <w:i/>
        </w:rPr>
        <w:t>”</w:t>
      </w:r>
      <w:r w:rsidR="00590D25">
        <w:t xml:space="preserve"> (from Tillman and Weaver</w:t>
      </w:r>
      <w:r w:rsidR="007268C0">
        <w:t xml:space="preserve">, </w:t>
      </w:r>
      <w:r w:rsidR="00590D25">
        <w:t>2005).</w:t>
      </w:r>
    </w:p>
    <w:p w14:paraId="634671F8" w14:textId="7E98E1D2" w:rsidR="00A1602D" w:rsidRDefault="00A1602D" w:rsidP="00D5256D">
      <w:r>
        <w:t xml:space="preserve">The </w:t>
      </w:r>
      <w:r w:rsidR="007268C0">
        <w:t xml:space="preserve">subsequent uncertainty </w:t>
      </w:r>
      <w:r>
        <w:t>associated with the use of predictive models has</w:t>
      </w:r>
      <w:r w:rsidR="00B9234E">
        <w:t xml:space="preserve"> resulted in significant caution in the application of predictive models</w:t>
      </w:r>
      <w:r w:rsidR="002D55BC">
        <w:t xml:space="preserve">. </w:t>
      </w:r>
      <w:proofErr w:type="spellStart"/>
      <w:r w:rsidR="002D55BC">
        <w:t>Schuver</w:t>
      </w:r>
      <w:proofErr w:type="spellEnd"/>
      <w:r w:rsidR="002D55BC">
        <w:t xml:space="preserve"> (2010) reported that “</w:t>
      </w:r>
      <w:r w:rsidR="002D55BC" w:rsidRPr="002D55BC">
        <w:rPr>
          <w:i/>
        </w:rPr>
        <w:t>to a large degree the US</w:t>
      </w:r>
      <w:r w:rsidRPr="002D55BC">
        <w:rPr>
          <w:i/>
        </w:rPr>
        <w:t xml:space="preserve">EPA </w:t>
      </w:r>
      <w:r w:rsidR="002D55BC" w:rsidRPr="002D55BC">
        <w:rPr>
          <w:i/>
        </w:rPr>
        <w:t xml:space="preserve">has </w:t>
      </w:r>
      <w:r w:rsidR="002D55BC">
        <w:rPr>
          <w:i/>
        </w:rPr>
        <w:t>not been using predictive models</w:t>
      </w:r>
      <w:r w:rsidR="002D55BC" w:rsidRPr="002D55BC">
        <w:rPr>
          <w:i/>
        </w:rPr>
        <w:t xml:space="preserve"> for making vapor intrusion risk management decisions for some time</w:t>
      </w:r>
      <w:r w:rsidR="002D55BC">
        <w:rPr>
          <w:i/>
        </w:rPr>
        <w:t xml:space="preserve">” </w:t>
      </w:r>
      <w:r w:rsidR="002D55BC" w:rsidRPr="002D55BC">
        <w:t>and</w:t>
      </w:r>
      <w:r w:rsidR="002D55BC">
        <w:rPr>
          <w:i/>
        </w:rPr>
        <w:t xml:space="preserve"> “… we have been devoting all available energies to lessons from observational studies” </w:t>
      </w:r>
      <w:r w:rsidR="002D55BC" w:rsidRPr="002D55BC">
        <w:t>(p1).</w:t>
      </w:r>
    </w:p>
    <w:p w14:paraId="13662182" w14:textId="4A1C1F16" w:rsidR="00C6780C" w:rsidRDefault="00C6780C" w:rsidP="00D5256D">
      <w:r>
        <w:t xml:space="preserve">While there are limitations in </w:t>
      </w:r>
      <w:proofErr w:type="spellStart"/>
      <w:r>
        <w:t>vapour</w:t>
      </w:r>
      <w:proofErr w:type="spellEnd"/>
      <w:r>
        <w:t xml:space="preserve"> in</w:t>
      </w:r>
      <w:r w:rsidR="00AD22D7">
        <w:t xml:space="preserve">trusion modelling, such </w:t>
      </w:r>
      <w:r>
        <w:t xml:space="preserve">modelling still plays an important part in </w:t>
      </w:r>
      <w:proofErr w:type="spellStart"/>
      <w:r>
        <w:t>vapour</w:t>
      </w:r>
      <w:proofErr w:type="spellEnd"/>
      <w:r>
        <w:t xml:space="preserve"> intrusion risk assessment, particularly when site development is yet to occur. On this basis</w:t>
      </w:r>
      <w:r w:rsidR="00AD22D7">
        <w:t>,</w:t>
      </w:r>
      <w:r>
        <w:t xml:space="preserve"> it is therefore important to appreciate the details within such models, what they represent, how they can be used, and the limitations they are associated with. </w:t>
      </w:r>
    </w:p>
    <w:p w14:paraId="1F1B31F7" w14:textId="32390ED4" w:rsidR="00E14595" w:rsidRPr="00147FA8" w:rsidRDefault="00E14595" w:rsidP="005E0798">
      <w:pPr>
        <w:pStyle w:val="Heading3"/>
      </w:pPr>
      <w:bookmarkStart w:id="64" w:name="_Toc461684076"/>
      <w:r w:rsidRPr="00147FA8">
        <w:t xml:space="preserve">Using media inputs and </w:t>
      </w:r>
      <w:r w:rsidR="00DE4A51" w:rsidRPr="00147FA8">
        <w:t>predicting</w:t>
      </w:r>
      <w:r w:rsidRPr="00147FA8">
        <w:t xml:space="preserve"> indoor air</w:t>
      </w:r>
      <w:r w:rsidR="00DE4A51" w:rsidRPr="00147FA8">
        <w:t xml:space="preserve"> concentrations</w:t>
      </w:r>
      <w:bookmarkEnd w:id="64"/>
    </w:p>
    <w:p w14:paraId="0BABB2F4" w14:textId="33E17B1D" w:rsidR="00590D25" w:rsidRPr="00147FA8" w:rsidRDefault="00590D25" w:rsidP="00590D25">
      <w:r w:rsidRPr="00147FA8">
        <w:t xml:space="preserve">Environmental media inputs for </w:t>
      </w:r>
      <w:proofErr w:type="spellStart"/>
      <w:r w:rsidRPr="00147FA8">
        <w:t>vapour</w:t>
      </w:r>
      <w:proofErr w:type="spellEnd"/>
      <w:r w:rsidRPr="00147FA8">
        <w:t xml:space="preserve"> intrusion models such as JEM include groundwater concentrations, soil concentration</w:t>
      </w:r>
      <w:r w:rsidR="00147FA8">
        <w:t>s</w:t>
      </w:r>
      <w:r w:rsidRPr="00147FA8">
        <w:t xml:space="preserve"> and soil </w:t>
      </w:r>
      <w:proofErr w:type="spellStart"/>
      <w:r w:rsidRPr="00147FA8">
        <w:t>vapour</w:t>
      </w:r>
      <w:proofErr w:type="spellEnd"/>
      <w:r w:rsidRPr="00147FA8">
        <w:t xml:space="preserve"> concentrations</w:t>
      </w:r>
      <w:r w:rsidR="00C97ADC" w:rsidRPr="00147FA8">
        <w:t xml:space="preserve">. Each of these media concentrations reflect a </w:t>
      </w:r>
      <w:r w:rsidR="00652890" w:rsidRPr="00147FA8">
        <w:t>certain level</w:t>
      </w:r>
      <w:r w:rsidR="00C97ADC" w:rsidRPr="00147FA8">
        <w:t xml:space="preserve"> of uncertainty as follows:</w:t>
      </w:r>
    </w:p>
    <w:p w14:paraId="4C0D66A6" w14:textId="7BC6214F" w:rsidR="00A1602D" w:rsidRDefault="00A1602D" w:rsidP="0015648C">
      <w:pPr>
        <w:pStyle w:val="ListParagraph"/>
        <w:numPr>
          <w:ilvl w:val="0"/>
          <w:numId w:val="18"/>
        </w:numPr>
        <w:ind w:left="708"/>
      </w:pPr>
      <w:r w:rsidRPr="00147FA8">
        <w:t xml:space="preserve">Soil contaminant concentrations as inputs to </w:t>
      </w:r>
      <w:proofErr w:type="spellStart"/>
      <w:r w:rsidRPr="00147FA8">
        <w:t>vapour</w:t>
      </w:r>
      <w:proofErr w:type="spellEnd"/>
      <w:r w:rsidRPr="00147FA8">
        <w:t xml:space="preserve"> intrusion modelling require</w:t>
      </w:r>
      <w:r w:rsidRPr="002D55BC">
        <w:t xml:space="preserve"> equilibrium phase partitioning assumptions which have not aligned with laboratory experiments. </w:t>
      </w:r>
      <w:r w:rsidR="00AD22D7">
        <w:t>Subsequently,</w:t>
      </w:r>
      <w:r w:rsidRPr="002D55BC">
        <w:t xml:space="preserve"> </w:t>
      </w:r>
      <w:r w:rsidR="00AD22D7">
        <w:t>using</w:t>
      </w:r>
      <w:r w:rsidRPr="002D55BC">
        <w:t xml:space="preserve"> soil concentrations</w:t>
      </w:r>
      <w:r w:rsidR="00AD22D7">
        <w:t xml:space="preserve"> as inputs to </w:t>
      </w:r>
      <w:proofErr w:type="spellStart"/>
      <w:r w:rsidRPr="002D55BC">
        <w:t>vapour</w:t>
      </w:r>
      <w:proofErr w:type="spellEnd"/>
      <w:r w:rsidRPr="002D55BC">
        <w:t xml:space="preserve"> intrusion modelling is not recommended</w:t>
      </w:r>
      <w:r w:rsidR="00AD22D7">
        <w:t xml:space="preserve"> (including the development of generic soil screening levels)</w:t>
      </w:r>
      <w:r w:rsidRPr="002D55BC">
        <w:t xml:space="preserve"> </w:t>
      </w:r>
      <w:r w:rsidR="00AD22D7">
        <w:t>and has</w:t>
      </w:r>
      <w:r w:rsidR="00C6780C">
        <w:t xml:space="preserve">, </w:t>
      </w:r>
      <w:r w:rsidR="00DE4A51" w:rsidRPr="002D55BC">
        <w:t xml:space="preserve">not been undertaken by the US EPA </w:t>
      </w:r>
      <w:r w:rsidR="00C6780C">
        <w:t>(Johnson, 2009</w:t>
      </w:r>
      <w:r w:rsidR="00B9234E" w:rsidRPr="002D55BC">
        <w:t>)</w:t>
      </w:r>
      <w:r w:rsidRPr="002D55BC">
        <w:t>.</w:t>
      </w:r>
      <w:r w:rsidR="00DE4A51" w:rsidRPr="002D55BC">
        <w:t xml:space="preserve"> This</w:t>
      </w:r>
      <w:r w:rsidR="00C6780C">
        <w:t xml:space="preserve"> introduces uncertainty to the modelling. On this basis, the preference has been to use soil </w:t>
      </w:r>
      <w:proofErr w:type="spellStart"/>
      <w:r w:rsidR="00C6780C">
        <w:t>vapour</w:t>
      </w:r>
      <w:proofErr w:type="spellEnd"/>
      <w:r w:rsidR="00C6780C">
        <w:t xml:space="preserve"> concentrations as inputs to the modelling.</w:t>
      </w:r>
    </w:p>
    <w:p w14:paraId="609425E5" w14:textId="77777777" w:rsidR="00AF7387" w:rsidRDefault="00AF7387" w:rsidP="00AF7387">
      <w:pPr>
        <w:pStyle w:val="ListParagraph"/>
        <w:ind w:left="708"/>
      </w:pPr>
    </w:p>
    <w:p w14:paraId="21471BB2" w14:textId="7AF8BD92" w:rsidR="00C97ADC" w:rsidRDefault="00C97ADC" w:rsidP="00AD22D7">
      <w:pPr>
        <w:pStyle w:val="ListParagraph"/>
        <w:numPr>
          <w:ilvl w:val="0"/>
          <w:numId w:val="18"/>
        </w:numPr>
        <w:ind w:left="708"/>
      </w:pPr>
      <w:r>
        <w:t xml:space="preserve">Groundwater contaminant concentrations – </w:t>
      </w:r>
      <w:proofErr w:type="spellStart"/>
      <w:r>
        <w:t>vapour</w:t>
      </w:r>
      <w:proofErr w:type="spellEnd"/>
      <w:r>
        <w:t xml:space="preserve"> intrusion modelling from groundwater is considered to over-estimate the indoor air concentrations due to a lack of </w:t>
      </w:r>
      <w:r>
        <w:lastRenderedPageBreak/>
        <w:t xml:space="preserve">consideration of the capillary fringe zone and its impact on </w:t>
      </w:r>
      <w:proofErr w:type="spellStart"/>
      <w:r>
        <w:t>v</w:t>
      </w:r>
      <w:r w:rsidR="000C7D24">
        <w:t>apour</w:t>
      </w:r>
      <w:proofErr w:type="spellEnd"/>
      <w:r w:rsidR="000C7D24">
        <w:t xml:space="preserve"> diffusion</w:t>
      </w:r>
      <w:r w:rsidR="00AD22D7">
        <w:t xml:space="preserve">.  In </w:t>
      </w:r>
      <w:r w:rsidR="003644D8">
        <w:t>addition,</w:t>
      </w:r>
      <w:r w:rsidR="00AD22D7">
        <w:t xml:space="preserve"> </w:t>
      </w:r>
      <w:r w:rsidR="009518E3">
        <w:t xml:space="preserve">heterogeneity of </w:t>
      </w:r>
      <w:r w:rsidR="00FE5F26">
        <w:t xml:space="preserve">contaminant </w:t>
      </w:r>
      <w:r w:rsidR="009518E3">
        <w:t>distribution across well sampling locations</w:t>
      </w:r>
      <w:r w:rsidR="00FE5F26">
        <w:t xml:space="preserve"> from which samples are drawn and tested</w:t>
      </w:r>
      <w:r w:rsidR="00AD22D7">
        <w:t xml:space="preserve"> may also influence results</w:t>
      </w:r>
      <w:r w:rsidR="00DE4A51">
        <w:t xml:space="preserve">.  </w:t>
      </w:r>
      <w:r w:rsidR="00AD22D7">
        <w:t xml:space="preserve">Recently (refer </w:t>
      </w:r>
      <w:proofErr w:type="spellStart"/>
      <w:r w:rsidR="007F3045">
        <w:t>Provoost</w:t>
      </w:r>
      <w:proofErr w:type="spellEnd"/>
      <w:r w:rsidR="007F3045">
        <w:t xml:space="preserve"> et al.,</w:t>
      </w:r>
      <w:r w:rsidR="00AD22D7">
        <w:t xml:space="preserve"> 2011</w:t>
      </w:r>
      <w:r w:rsidR="003644D8">
        <w:t>) the</w:t>
      </w:r>
      <w:r w:rsidR="00DE4A51">
        <w:t xml:space="preserve"> use of Henry’s Law partitioning from groundwater to soil air as an accurate tool, based on laboratory experimentation with toluene, has recently been questioned. </w:t>
      </w:r>
      <w:r w:rsidR="0031511C">
        <w:t xml:space="preserve">Pennell </w:t>
      </w:r>
      <w:r w:rsidR="007F3045">
        <w:t>et al.,</w:t>
      </w:r>
      <w:r w:rsidR="0031511C">
        <w:t xml:space="preserve"> (2016) further commented </w:t>
      </w:r>
      <w:r w:rsidR="00777000">
        <w:t xml:space="preserve">that </w:t>
      </w:r>
      <w:proofErr w:type="gramStart"/>
      <w:r w:rsidR="0031511C">
        <w:t>on the basis of</w:t>
      </w:r>
      <w:proofErr w:type="gramEnd"/>
      <w:r w:rsidR="0031511C">
        <w:t xml:space="preserve"> field data and numerical modellin</w:t>
      </w:r>
      <w:r w:rsidR="00777000">
        <w:t xml:space="preserve">g, </w:t>
      </w:r>
      <w:r w:rsidR="0031511C">
        <w:t>groundwater concentrations were not an appropriat</w:t>
      </w:r>
      <w:r w:rsidR="00777000">
        <w:t xml:space="preserve">e indicator of </w:t>
      </w:r>
      <w:proofErr w:type="spellStart"/>
      <w:r w:rsidR="00777000">
        <w:t>vapour</w:t>
      </w:r>
      <w:proofErr w:type="spellEnd"/>
      <w:r w:rsidR="00777000">
        <w:t xml:space="preserve"> intrusion</w:t>
      </w:r>
      <w:r w:rsidR="0031511C">
        <w:t xml:space="preserve"> risks for the </w:t>
      </w:r>
      <w:proofErr w:type="spellStart"/>
      <w:r w:rsidR="0031511C">
        <w:t>neighbo</w:t>
      </w:r>
      <w:r w:rsidR="00147FA8">
        <w:t>u</w:t>
      </w:r>
      <w:r w:rsidR="0031511C">
        <w:t>rhood</w:t>
      </w:r>
      <w:proofErr w:type="spellEnd"/>
      <w:r w:rsidR="0031511C">
        <w:t xml:space="preserve"> studied.</w:t>
      </w:r>
    </w:p>
    <w:p w14:paraId="7D1F75FE" w14:textId="4B3F58C8" w:rsidR="00147FA8" w:rsidRDefault="00147FA8" w:rsidP="0031511C">
      <w:pPr>
        <w:ind w:left="708"/>
      </w:pPr>
      <w:r>
        <w:t xml:space="preserve">Taken collectively while groundwater concentration inputs exhibit some uncertainty based on </w:t>
      </w:r>
      <w:r w:rsidR="001F02E0">
        <w:t xml:space="preserve">the above issues </w:t>
      </w:r>
      <w:r>
        <w:t>the potential to underestimate indoor air concentrations appears limited, principally due to the influence of the capillary fringe zone</w:t>
      </w:r>
      <w:r w:rsidR="00AF7387">
        <w:t>, however, this needs to be reviewed on a case-by-case basis</w:t>
      </w:r>
      <w:r w:rsidR="00AA0CBA">
        <w:t>.</w:t>
      </w:r>
    </w:p>
    <w:p w14:paraId="2A816435" w14:textId="560914C6" w:rsidR="00BD691A" w:rsidRDefault="00652890" w:rsidP="0015648C">
      <w:pPr>
        <w:pStyle w:val="ListParagraph"/>
        <w:numPr>
          <w:ilvl w:val="0"/>
          <w:numId w:val="18"/>
        </w:numPr>
      </w:pPr>
      <w:r>
        <w:t xml:space="preserve">Soil </w:t>
      </w:r>
      <w:proofErr w:type="spellStart"/>
      <w:r w:rsidR="00DE4A51">
        <w:t>vapour</w:t>
      </w:r>
      <w:proofErr w:type="spellEnd"/>
      <w:r w:rsidR="00DE4A51">
        <w:t xml:space="preserve"> concentrations ar</w:t>
      </w:r>
      <w:r w:rsidR="00596DED">
        <w:t>e considered to represent the most appropriat</w:t>
      </w:r>
      <w:r w:rsidR="002E6E2C">
        <w:t>e</w:t>
      </w:r>
      <w:r w:rsidR="00DE4A51">
        <w:t xml:space="preserve"> </w:t>
      </w:r>
      <w:r>
        <w:t>contaminant concentrations as inputs</w:t>
      </w:r>
      <w:r w:rsidR="00A1602D">
        <w:t xml:space="preserve"> to </w:t>
      </w:r>
      <w:proofErr w:type="spellStart"/>
      <w:r w:rsidR="00A1602D">
        <w:t>vapour</w:t>
      </w:r>
      <w:proofErr w:type="spellEnd"/>
      <w:r w:rsidR="00A1602D">
        <w:t xml:space="preserve"> intrusion modelling</w:t>
      </w:r>
      <w:r w:rsidR="00BD691A">
        <w:t xml:space="preserve"> as they inherently address the partitioning assumptions. They </w:t>
      </w:r>
      <w:proofErr w:type="gramStart"/>
      <w:r w:rsidR="00BD691A">
        <w:t>are</w:t>
      </w:r>
      <w:proofErr w:type="gramEnd"/>
      <w:r w:rsidR="00BD691A">
        <w:t xml:space="preserve"> however, prone to spatial and temporal change with the latter of greater concern closer to the surface. Soil </w:t>
      </w:r>
      <w:proofErr w:type="spellStart"/>
      <w:r w:rsidR="00BD691A">
        <w:t>vapour</w:t>
      </w:r>
      <w:proofErr w:type="spellEnd"/>
      <w:r w:rsidR="00BD691A">
        <w:t xml:space="preserve"> profiling, however, is a useful tool in the examination of the attenuation of </w:t>
      </w:r>
      <w:proofErr w:type="spellStart"/>
      <w:r w:rsidR="00BD691A">
        <w:t>vapours</w:t>
      </w:r>
      <w:proofErr w:type="spellEnd"/>
      <w:r w:rsidR="00BD691A">
        <w:t xml:space="preserve"> with depth, provided the soil </w:t>
      </w:r>
      <w:proofErr w:type="spellStart"/>
      <w:r w:rsidR="00BD691A">
        <w:t>vapour</w:t>
      </w:r>
      <w:proofErr w:type="spellEnd"/>
      <w:r w:rsidR="00BD691A">
        <w:t xml:space="preserve"> sampling is undertaken consistent with validated techniques.  </w:t>
      </w:r>
    </w:p>
    <w:p w14:paraId="715886D3" w14:textId="3D7B59BB" w:rsidR="00E14595" w:rsidRDefault="0044442C" w:rsidP="005E0798">
      <w:pPr>
        <w:pStyle w:val="Heading3"/>
      </w:pPr>
      <w:bookmarkStart w:id="65" w:name="_Toc461684077"/>
      <w:r>
        <w:t xml:space="preserve">Uncertainty, </w:t>
      </w:r>
      <w:proofErr w:type="gramStart"/>
      <w:r>
        <w:t>variability</w:t>
      </w:r>
      <w:proofErr w:type="gramEnd"/>
      <w:r>
        <w:t xml:space="preserve"> and sensitivity </w:t>
      </w:r>
      <w:r w:rsidR="00E14595" w:rsidRPr="00305EE3">
        <w:t xml:space="preserve">in </w:t>
      </w:r>
      <w:proofErr w:type="spellStart"/>
      <w:r w:rsidR="00E14595" w:rsidRPr="00305EE3">
        <w:t>vapour</w:t>
      </w:r>
      <w:proofErr w:type="spellEnd"/>
      <w:r w:rsidR="00E14595" w:rsidRPr="00305EE3">
        <w:t xml:space="preserve"> intrusion modelling</w:t>
      </w:r>
      <w:bookmarkEnd w:id="65"/>
    </w:p>
    <w:p w14:paraId="58305FC5" w14:textId="356EC473" w:rsidR="0044442C" w:rsidRDefault="00AE5AF9" w:rsidP="00D11E46">
      <w:r>
        <w:t>A sensitive model variable or parameter is one whose variance has the greatest impact on the model outcome (in this case a pre</w:t>
      </w:r>
      <w:r w:rsidR="00D11E46">
        <w:t>dicted indoor air concentration)</w:t>
      </w:r>
      <w:r>
        <w:t xml:space="preserve">. </w:t>
      </w:r>
      <w:r w:rsidR="0044442C">
        <w:t>Uncertainty reflects precision in the way a variable is measured while variability is the naturally expected variation. Uncertainty can be considered using a probability distribution and one can improve this by gathering more data, however</w:t>
      </w:r>
      <w:r w:rsidR="00146703">
        <w:t xml:space="preserve">, variability is inherent in the system and cannot be eliminated by gathering more information </w:t>
      </w:r>
      <w:r w:rsidR="007F3045">
        <w:t xml:space="preserve">(see </w:t>
      </w:r>
      <w:proofErr w:type="spellStart"/>
      <w:r w:rsidR="007F3045">
        <w:t>Provoost</w:t>
      </w:r>
      <w:proofErr w:type="spellEnd"/>
      <w:r w:rsidR="007F3045">
        <w:t xml:space="preserve"> et al.,</w:t>
      </w:r>
      <w:r w:rsidR="00146703">
        <w:t xml:space="preserve"> 2014) </w:t>
      </w:r>
    </w:p>
    <w:p w14:paraId="5F775D7E" w14:textId="107CCF56" w:rsidR="00D11E46" w:rsidRDefault="00AE5AF9" w:rsidP="00D11E46">
      <w:proofErr w:type="gramStart"/>
      <w:r>
        <w:t>A</w:t>
      </w:r>
      <w:r w:rsidR="00BD691A">
        <w:t xml:space="preserve"> number of</w:t>
      </w:r>
      <w:proofErr w:type="gramEnd"/>
      <w:r w:rsidR="00BD691A">
        <w:t xml:space="preserve"> authors have exami</w:t>
      </w:r>
      <w:r w:rsidR="00117A7B">
        <w:t xml:space="preserve">ned the sensitivity of </w:t>
      </w:r>
      <w:proofErr w:type="spellStart"/>
      <w:r w:rsidR="00117A7B">
        <w:t>vapour</w:t>
      </w:r>
      <w:proofErr w:type="spellEnd"/>
      <w:r w:rsidR="00117A7B">
        <w:t xml:space="preserve"> models with generally consistent results.  </w:t>
      </w:r>
    </w:p>
    <w:p w14:paraId="7D55E459" w14:textId="77777777" w:rsidR="00D11E46" w:rsidRDefault="00117A7B" w:rsidP="00D11E46">
      <w:r>
        <w:t>Tillman and Weaver (2005</w:t>
      </w:r>
      <w:r w:rsidR="00D11E46">
        <w:t>, p31</w:t>
      </w:r>
      <w:r>
        <w:t>) in examining the JEM</w:t>
      </w:r>
      <w:r w:rsidR="00D11E46">
        <w:t xml:space="preserve"> undertook an “</w:t>
      </w:r>
      <w:r w:rsidR="00D11E46" w:rsidRPr="00D11E46">
        <w:rPr>
          <w:i/>
        </w:rPr>
        <w:t>automated uncertainty analysis that accounted for synergism across model input parameters</w:t>
      </w:r>
      <w:r w:rsidR="00D11E46">
        <w:rPr>
          <w:i/>
        </w:rPr>
        <w:t>,</w:t>
      </w:r>
      <w:r w:rsidR="00D11E46" w:rsidRPr="00D11E46">
        <w:rPr>
          <w:i/>
        </w:rPr>
        <w:t xml:space="preserve"> identified the nonlinearity of the JEM equation and subsequent response to parameter variation (with a skew toward increased risk) and the limitations of a “one-at-a-time” uncertainty analysis (increased model uncertainty compared to</w:t>
      </w:r>
      <w:r w:rsidR="00D11E46">
        <w:rPr>
          <w:i/>
        </w:rPr>
        <w:t xml:space="preserve"> </w:t>
      </w:r>
      <w:r w:rsidR="00D11E46" w:rsidRPr="00D11E46">
        <w:rPr>
          <w:i/>
        </w:rPr>
        <w:t>grouped variable analysis). Of particular interest was the finding that the air exchange rate was ranked as “the single most sensitive input parameter of the model”</w:t>
      </w:r>
      <w:r w:rsidR="00D11E46">
        <w:t xml:space="preserve"> </w:t>
      </w:r>
      <w:r w:rsidR="00D11E46" w:rsidRPr="00D11E46">
        <w:rPr>
          <w:i/>
        </w:rPr>
        <w:t>(Weaver &amp; Tillman, 2005, p. 31)</w:t>
      </w:r>
      <w:r w:rsidR="00D11E46">
        <w:t xml:space="preserve">” (from </w:t>
      </w:r>
      <w:proofErr w:type="spellStart"/>
      <w:r w:rsidR="00D11E46">
        <w:t>Turczynowicz</w:t>
      </w:r>
      <w:proofErr w:type="spellEnd"/>
      <w:r w:rsidR="00D11E46">
        <w:t xml:space="preserve"> and Robinson, 2007, p1624).  </w:t>
      </w:r>
    </w:p>
    <w:p w14:paraId="2BF828AE" w14:textId="7573456B" w:rsidR="00D11E46" w:rsidRPr="00D11E46" w:rsidRDefault="00D11E46" w:rsidP="00D11E46">
      <w:proofErr w:type="spellStart"/>
      <w:r>
        <w:t>Turczynowicz</w:t>
      </w:r>
      <w:proofErr w:type="spellEnd"/>
      <w:r>
        <w:t xml:space="preserve"> and Robinson (2001) in the development of a </w:t>
      </w:r>
      <w:r w:rsidR="00FA1478">
        <w:t xml:space="preserve">non-steady state model for a </w:t>
      </w:r>
      <w:r>
        <w:t>crawl space</w:t>
      </w:r>
      <w:r w:rsidR="00FA1478">
        <w:t xml:space="preserve"> house found that variance in house parameters were the greatest contribution to the changes in the cumulative indoor human dose (CIHD). Recently Moradi </w:t>
      </w:r>
      <w:r w:rsidR="007F3045">
        <w:t>et al.,</w:t>
      </w:r>
      <w:r w:rsidR="00FA1478">
        <w:t xml:space="preserve"> (2015) reported that results from a global sensitivity analysis technique based on Sobol indices used to evaluate the JEM found that building air exchange rate, regardless of soil type and soil depth was the most sensitive model parameter.</w:t>
      </w:r>
    </w:p>
    <w:p w14:paraId="1D6E9686" w14:textId="527BAB7C" w:rsidR="00D11E46" w:rsidRDefault="007645A2" w:rsidP="00D11E46">
      <w:proofErr w:type="spellStart"/>
      <w:r>
        <w:lastRenderedPageBreak/>
        <w:t>Provoost</w:t>
      </w:r>
      <w:proofErr w:type="spellEnd"/>
      <w:r>
        <w:t xml:space="preserve"> </w:t>
      </w:r>
      <w:r w:rsidR="007F3045">
        <w:t>et al.,</w:t>
      </w:r>
      <w:r>
        <w:t xml:space="preserve"> (2014) in a probabilistic </w:t>
      </w:r>
      <w:r w:rsidR="00EA5E5D">
        <w:t xml:space="preserve">risk assessment examined uncertainty and variability across </w:t>
      </w:r>
      <w:r w:rsidR="0044442C">
        <w:t>parameters</w:t>
      </w:r>
      <w:r w:rsidR="00EA5E5D">
        <w:t xml:space="preserve"> </w:t>
      </w:r>
      <w:r w:rsidR="0044442C">
        <w:t xml:space="preserve">for six </w:t>
      </w:r>
      <w:proofErr w:type="spellStart"/>
      <w:r w:rsidR="0044442C">
        <w:t>vapour</w:t>
      </w:r>
      <w:proofErr w:type="spellEnd"/>
      <w:r w:rsidR="0044442C">
        <w:t xml:space="preserve"> intrusion algorithms.  These parameters were grouped into those that were uncertain and those that were</w:t>
      </w:r>
      <w:r w:rsidR="00146703">
        <w:t xml:space="preserve"> variable and field data was drawn from two well documented sites to contrast predictions and observations.  Deterministic</w:t>
      </w:r>
      <w:r w:rsidR="0091407B">
        <w:t xml:space="preserve"> and probabilistic approaches were used. The authors reported that a clear trend in the contribution of parameters to indoor air concentrations between algorithms or contaminants could not be established. Furthermore, the sensitivity analysis revealed </w:t>
      </w:r>
      <w:r w:rsidR="001F02E0">
        <w:t xml:space="preserve">that </w:t>
      </w:r>
      <w:r w:rsidR="0091407B">
        <w:t>depending on the algorithms and contaminants</w:t>
      </w:r>
      <w:r w:rsidR="001F02E0">
        <w:t>,</w:t>
      </w:r>
      <w:r w:rsidR="0091407B">
        <w:t xml:space="preserve"> different parameters drive the variation in the indoor air concentration</w:t>
      </w:r>
      <w:r w:rsidR="001F02E0">
        <w:t>;</w:t>
      </w:r>
      <w:r w:rsidR="0091407B">
        <w:t xml:space="preserve"> an</w:t>
      </w:r>
      <w:r w:rsidR="00327FAD">
        <w:t>d</w:t>
      </w:r>
      <w:r w:rsidR="0091407B">
        <w:t xml:space="preserve"> consistent with Fisher </w:t>
      </w:r>
      <w:r w:rsidR="007F3045">
        <w:t>et al.,</w:t>
      </w:r>
      <w:r w:rsidR="0091407B">
        <w:t xml:space="preserve"> (2002) they recommend using more than one algorithm to account for uncertainty and variability. </w:t>
      </w:r>
      <w:r w:rsidR="00146703">
        <w:t xml:space="preserve">  </w:t>
      </w:r>
    </w:p>
    <w:p w14:paraId="6C395266" w14:textId="6DB2B766" w:rsidR="00E14595" w:rsidRPr="00757443" w:rsidRDefault="00E14595" w:rsidP="005E0798">
      <w:pPr>
        <w:pStyle w:val="Heading3"/>
      </w:pPr>
      <w:bookmarkStart w:id="66" w:name="_Toc461684078"/>
      <w:r w:rsidRPr="00757443">
        <w:t xml:space="preserve">Limitations of available </w:t>
      </w:r>
      <w:proofErr w:type="spellStart"/>
      <w:r w:rsidRPr="00757443">
        <w:t>vapour</w:t>
      </w:r>
      <w:proofErr w:type="spellEnd"/>
      <w:r w:rsidRPr="00757443">
        <w:t xml:space="preserve"> intrusion models</w:t>
      </w:r>
      <w:bookmarkEnd w:id="66"/>
    </w:p>
    <w:p w14:paraId="08532A69" w14:textId="0B6949BF" w:rsidR="00AE5AF9" w:rsidRDefault="00327FAD" w:rsidP="00327FAD">
      <w:r>
        <w:t>The</w:t>
      </w:r>
      <w:r w:rsidR="009B1FED">
        <w:t>re are a range of</w:t>
      </w:r>
      <w:r>
        <w:t xml:space="preserve"> limitations across </w:t>
      </w:r>
      <w:proofErr w:type="spellStart"/>
      <w:r>
        <w:t>vapour</w:t>
      </w:r>
      <w:proofErr w:type="spellEnd"/>
      <w:r>
        <w:t xml:space="preserve"> intrusion models </w:t>
      </w:r>
      <w:r w:rsidR="009B1FED">
        <w:t xml:space="preserve">that </w:t>
      </w:r>
      <w:r>
        <w:t xml:space="preserve">have been described by </w:t>
      </w:r>
      <w:r w:rsidR="009C51CF">
        <w:t>various authors and may be summarized as follows:</w:t>
      </w:r>
    </w:p>
    <w:p w14:paraId="65ECE1A3" w14:textId="6DA82710" w:rsidR="009C51CF" w:rsidRDefault="009C51CF" w:rsidP="0015648C">
      <w:pPr>
        <w:pStyle w:val="ListParagraph"/>
        <w:numPr>
          <w:ilvl w:val="0"/>
          <w:numId w:val="19"/>
        </w:numPr>
      </w:pPr>
      <w:r>
        <w:t>Lack of complete field validation.</w:t>
      </w:r>
    </w:p>
    <w:p w14:paraId="5E963FB8" w14:textId="703DE8F5" w:rsidR="009C51CF" w:rsidRDefault="009C51CF" w:rsidP="0015648C">
      <w:pPr>
        <w:pStyle w:val="ListParagraph"/>
        <w:numPr>
          <w:ilvl w:val="0"/>
          <w:numId w:val="19"/>
        </w:numPr>
      </w:pPr>
      <w:r>
        <w:t>Do not account for spatial and temporal change.</w:t>
      </w:r>
    </w:p>
    <w:p w14:paraId="44757551" w14:textId="225420AA" w:rsidR="009C51CF" w:rsidRDefault="009C51CF" w:rsidP="0015648C">
      <w:pPr>
        <w:pStyle w:val="ListParagraph"/>
        <w:numPr>
          <w:ilvl w:val="0"/>
          <w:numId w:val="19"/>
        </w:numPr>
      </w:pPr>
      <w:r>
        <w:t>Do not account for aerobic or anaerobic degradation (some of these may result in increased human health risks</w:t>
      </w:r>
      <w:r w:rsidR="009B1FED">
        <w:t>)</w:t>
      </w:r>
      <w:r>
        <w:t>.</w:t>
      </w:r>
    </w:p>
    <w:p w14:paraId="5B3F93E4" w14:textId="5E8E3617" w:rsidR="009C51CF" w:rsidRDefault="009C51CF" w:rsidP="0015648C">
      <w:pPr>
        <w:pStyle w:val="ListParagraph"/>
        <w:numPr>
          <w:ilvl w:val="0"/>
          <w:numId w:val="19"/>
        </w:numPr>
      </w:pPr>
      <w:r>
        <w:t>Partitioning assumptions</w:t>
      </w:r>
      <w:r w:rsidR="009B1FED">
        <w:t xml:space="preserve"> from soil and groundwater</w:t>
      </w:r>
      <w:r>
        <w:t xml:space="preserve"> may not reflect reality</w:t>
      </w:r>
      <w:r w:rsidR="009B1FED">
        <w:t xml:space="preserve"> and are not consistent with field or laboratory observations.</w:t>
      </w:r>
    </w:p>
    <w:p w14:paraId="10BE08C5" w14:textId="0C76D7D2" w:rsidR="009B1FED" w:rsidRDefault="009B1FED" w:rsidP="0015648C">
      <w:pPr>
        <w:pStyle w:val="ListParagraph"/>
        <w:numPr>
          <w:ilvl w:val="0"/>
          <w:numId w:val="19"/>
        </w:numPr>
      </w:pPr>
      <w:r>
        <w:t>Partitioning characteristics of phase separated hydrocarbons</w:t>
      </w:r>
      <w:r w:rsidR="001209A4">
        <w:t xml:space="preserve"> not understood.</w:t>
      </w:r>
    </w:p>
    <w:p w14:paraId="27D1955E" w14:textId="1EF499FB" w:rsidR="009C51CF" w:rsidRDefault="009B1FED" w:rsidP="0015648C">
      <w:pPr>
        <w:pStyle w:val="ListParagraph"/>
        <w:numPr>
          <w:ilvl w:val="0"/>
          <w:numId w:val="19"/>
        </w:numPr>
      </w:pPr>
      <w:r>
        <w:t>Some variables are difficult to measure or unmeasurable (</w:t>
      </w:r>
      <w:proofErr w:type="gramStart"/>
      <w:r>
        <w:t>e.g.</w:t>
      </w:r>
      <w:proofErr w:type="gramEnd"/>
      <w:r>
        <w:t xml:space="preserve"> crack distribution, geometry and flow through cracks).</w:t>
      </w:r>
    </w:p>
    <w:p w14:paraId="150524E8" w14:textId="76DE2130" w:rsidR="009B1FED" w:rsidRDefault="009B1FED" w:rsidP="0015648C">
      <w:pPr>
        <w:pStyle w:val="ListParagraph"/>
        <w:numPr>
          <w:ilvl w:val="0"/>
          <w:numId w:val="19"/>
        </w:numPr>
      </w:pPr>
      <w:r>
        <w:t>Do not account for meteorological influences on air exchange rates.</w:t>
      </w:r>
    </w:p>
    <w:p w14:paraId="42AC146A" w14:textId="67207A1F" w:rsidR="009B1FED" w:rsidRDefault="009B1FED" w:rsidP="0015648C">
      <w:pPr>
        <w:pStyle w:val="ListParagraph"/>
        <w:numPr>
          <w:ilvl w:val="0"/>
          <w:numId w:val="19"/>
        </w:numPr>
      </w:pPr>
      <w:r>
        <w:t>Do not account for reversibility of pressure gradients or differential flux through the surface.</w:t>
      </w:r>
    </w:p>
    <w:p w14:paraId="2E96E17A" w14:textId="48FE3272" w:rsidR="009B1FED" w:rsidRDefault="009B1FED" w:rsidP="0015648C">
      <w:pPr>
        <w:pStyle w:val="ListParagraph"/>
        <w:numPr>
          <w:ilvl w:val="0"/>
          <w:numId w:val="19"/>
        </w:numPr>
      </w:pPr>
      <w:r>
        <w:t>Do not account for soil heterogeneity</w:t>
      </w:r>
      <w:r w:rsidR="001209A4">
        <w:t>.</w:t>
      </w:r>
    </w:p>
    <w:p w14:paraId="5A555A93" w14:textId="7BEB7DDE" w:rsidR="009B1FED" w:rsidRDefault="009B1FED" w:rsidP="0015648C">
      <w:pPr>
        <w:pStyle w:val="ListParagraph"/>
        <w:numPr>
          <w:ilvl w:val="0"/>
          <w:numId w:val="19"/>
        </w:numPr>
      </w:pPr>
      <w:r>
        <w:t>Do not account</w:t>
      </w:r>
      <w:r w:rsidR="001209A4">
        <w:t xml:space="preserve"> for climatic factors and all building designs.</w:t>
      </w:r>
    </w:p>
    <w:p w14:paraId="1448A097" w14:textId="373804A9" w:rsidR="001209A4" w:rsidRDefault="001209A4" w:rsidP="0015648C">
      <w:pPr>
        <w:pStyle w:val="ListParagraph"/>
        <w:numPr>
          <w:ilvl w:val="0"/>
          <w:numId w:val="19"/>
        </w:numPr>
      </w:pPr>
      <w:r>
        <w:t>Do not incorporate ventilation or inhalation dosimetry models.</w:t>
      </w:r>
    </w:p>
    <w:p w14:paraId="7B1785E2" w14:textId="348E1055" w:rsidR="001209A4" w:rsidRDefault="001209A4" w:rsidP="0015648C">
      <w:pPr>
        <w:pStyle w:val="ListParagraph"/>
        <w:numPr>
          <w:ilvl w:val="0"/>
          <w:numId w:val="19"/>
        </w:numPr>
      </w:pPr>
      <w:r>
        <w:t>Do not account for preferential pathways.</w:t>
      </w:r>
    </w:p>
    <w:p w14:paraId="4915625F" w14:textId="5E8DD4E7" w:rsidR="001209A4" w:rsidRDefault="001209A4" w:rsidP="0015648C">
      <w:pPr>
        <w:pStyle w:val="ListParagraph"/>
        <w:numPr>
          <w:ilvl w:val="0"/>
          <w:numId w:val="19"/>
        </w:numPr>
      </w:pPr>
      <w:r>
        <w:t>Do not account for the influences of water tables.</w:t>
      </w:r>
    </w:p>
    <w:p w14:paraId="262A87BD" w14:textId="3C72C37E" w:rsidR="001F02E0" w:rsidRDefault="001F02E0" w:rsidP="0015648C">
      <w:pPr>
        <w:pStyle w:val="ListParagraph"/>
        <w:numPr>
          <w:ilvl w:val="0"/>
          <w:numId w:val="19"/>
        </w:numPr>
      </w:pPr>
      <w:r>
        <w:t>Do not consider mixtures</w:t>
      </w:r>
      <w:r w:rsidR="00E20A31">
        <w:t>.</w:t>
      </w:r>
    </w:p>
    <w:p w14:paraId="022D7FCF" w14:textId="32B6BD1F" w:rsidR="00A56299" w:rsidRDefault="00A56299" w:rsidP="00A56299">
      <w:r>
        <w:t>These limitations provide perspective to the uncertainties and variability that occurs and recognition that model outputs are not absolute measures of exposures.</w:t>
      </w:r>
    </w:p>
    <w:p w14:paraId="6B994346" w14:textId="6D6E9C6B" w:rsidR="001209A4" w:rsidRDefault="001209A4" w:rsidP="001209A4">
      <w:r>
        <w:t>USA EPA (2015) in discussing principles and recommendations for mathematical modelling (p113) suggest that “</w:t>
      </w:r>
      <w:r w:rsidRPr="001209A4">
        <w:rPr>
          <w:i/>
        </w:rPr>
        <w:t>when suitable constructed, documented and verified, mathematical models can provide an acceptable line of evidence supporting risk management decisions pertaining to vapor intrusion</w:t>
      </w:r>
      <w:r>
        <w:t>”. However, US EPA (2015) consider</w:t>
      </w:r>
      <w:r w:rsidR="00A56299">
        <w:t xml:space="preserve"> that modelling should be used in conjunction with other lines of evidence and are useful when used to verify magnitudes; explore the range of outcomes through uncertainty analysis and generate bounding estimates.</w:t>
      </w:r>
    </w:p>
    <w:p w14:paraId="6E1AF5BC" w14:textId="423E708C" w:rsidR="00E14595" w:rsidRDefault="00E14595" w:rsidP="001D0A48">
      <w:pPr>
        <w:pStyle w:val="Heading3"/>
      </w:pPr>
      <w:bookmarkStart w:id="67" w:name="_Toc461684079"/>
      <w:proofErr w:type="spellStart"/>
      <w:r w:rsidRPr="00757443">
        <w:t>Vapour</w:t>
      </w:r>
      <w:proofErr w:type="spellEnd"/>
      <w:r w:rsidRPr="00757443">
        <w:t xml:space="preserve"> intrusion input parameters</w:t>
      </w:r>
      <w:bookmarkEnd w:id="67"/>
    </w:p>
    <w:p w14:paraId="70707423" w14:textId="542E0952" w:rsidR="005E0798" w:rsidRDefault="00A56299" w:rsidP="005E0798">
      <w:r>
        <w:t xml:space="preserve">This discussion is focused </w:t>
      </w:r>
      <w:proofErr w:type="gramStart"/>
      <w:r>
        <w:t>towards</w:t>
      </w:r>
      <w:proofErr w:type="gramEnd"/>
      <w:r>
        <w:t xml:space="preserve"> the JEM</w:t>
      </w:r>
      <w:r w:rsidR="004D1D97">
        <w:t xml:space="preserve"> and variants</w:t>
      </w:r>
      <w:r>
        <w:t xml:space="preserve"> due to its widespread </w:t>
      </w:r>
      <w:r w:rsidR="00EB2AB8">
        <w:t xml:space="preserve">use in Australia but </w:t>
      </w:r>
      <w:r>
        <w:t xml:space="preserve">information is also applicable across other </w:t>
      </w:r>
      <w:proofErr w:type="spellStart"/>
      <w:r>
        <w:t>vapour</w:t>
      </w:r>
      <w:proofErr w:type="spellEnd"/>
      <w:r>
        <w:t xml:space="preserve"> intrusion models.</w:t>
      </w:r>
    </w:p>
    <w:p w14:paraId="656BD890" w14:textId="038255AA" w:rsidR="00A56299" w:rsidRPr="005E0798" w:rsidRDefault="00A56299" w:rsidP="005E0798">
      <w:r>
        <w:lastRenderedPageBreak/>
        <w:t>Input parameters may be grouped across environmental properties</w:t>
      </w:r>
      <w:r w:rsidR="004D1D97">
        <w:t xml:space="preserve"> (soil properties, source depth)</w:t>
      </w:r>
      <w:r>
        <w:t xml:space="preserve">, </w:t>
      </w:r>
      <w:proofErr w:type="spellStart"/>
      <w:r>
        <w:t>physico</w:t>
      </w:r>
      <w:proofErr w:type="spellEnd"/>
      <w:r>
        <w:t>-chemical contaminant properties</w:t>
      </w:r>
      <w:r w:rsidR="004D1D97">
        <w:t xml:space="preserve"> (</w:t>
      </w:r>
      <w:proofErr w:type="gramStart"/>
      <w:r w:rsidR="004D1D97">
        <w:t>e.g.</w:t>
      </w:r>
      <w:proofErr w:type="gramEnd"/>
      <w:r w:rsidR="004D1D97">
        <w:t xml:space="preserve"> </w:t>
      </w:r>
      <w:proofErr w:type="spellStart"/>
      <w:r w:rsidR="004D1D97">
        <w:t>vapour</w:t>
      </w:r>
      <w:proofErr w:type="spellEnd"/>
      <w:r w:rsidR="004D1D97">
        <w:t xml:space="preserve"> diffusion coefficients, </w:t>
      </w:r>
      <w:r w:rsidR="002E42AD">
        <w:t>Henry’s Constant</w:t>
      </w:r>
      <w:r w:rsidR="004D1D97">
        <w:t xml:space="preserve">), </w:t>
      </w:r>
      <w:r>
        <w:t xml:space="preserve">and building </w:t>
      </w:r>
      <w:r w:rsidR="004D1D97">
        <w:t>propert</w:t>
      </w:r>
      <w:r>
        <w:t>ies</w:t>
      </w:r>
      <w:r w:rsidR="004D1D97">
        <w:t xml:space="preserve"> (e.g. volume, area, air exchange rate). Johnson (2005)</w:t>
      </w:r>
      <w:r w:rsidR="001F02E0">
        <w:t>,</w:t>
      </w:r>
      <w:r w:rsidR="004D1D97">
        <w:t xml:space="preserve"> </w:t>
      </w:r>
      <w:r w:rsidR="00E57CC0">
        <w:t>in providing commentary on application-specific critical inputs</w:t>
      </w:r>
      <w:r w:rsidR="001F02E0">
        <w:t>,</w:t>
      </w:r>
      <w:r w:rsidR="00E57CC0">
        <w:t xml:space="preserve"> </w:t>
      </w:r>
      <w:r w:rsidR="004D1D97">
        <w:t xml:space="preserve">considers eight primary model inputs and thirteen secondary inputs. The model characterization is </w:t>
      </w:r>
      <w:r w:rsidR="00E57CC0">
        <w:t xml:space="preserve">as </w:t>
      </w:r>
      <w:r w:rsidR="004D1D97">
        <w:t>depicted in</w:t>
      </w:r>
      <w:r w:rsidR="0026255A">
        <w:t xml:space="preserve"> </w:t>
      </w:r>
      <w:r w:rsidR="009878B7">
        <w:fldChar w:fldCharType="begin"/>
      </w:r>
      <w:r w:rsidR="009878B7">
        <w:instrText xml:space="preserve"> REF _Ref454908843 \h </w:instrText>
      </w:r>
      <w:r w:rsidR="009878B7">
        <w:fldChar w:fldCharType="separate"/>
      </w:r>
      <w:r w:rsidR="006A5935">
        <w:t xml:space="preserve">Figure </w:t>
      </w:r>
      <w:r w:rsidR="006A5935">
        <w:rPr>
          <w:noProof/>
        </w:rPr>
        <w:t>13</w:t>
      </w:r>
      <w:r w:rsidR="009878B7">
        <w:fldChar w:fldCharType="end"/>
      </w:r>
      <w:r w:rsidR="009878B7">
        <w:t>.</w:t>
      </w:r>
    </w:p>
    <w:p w14:paraId="44758865" w14:textId="235D5653" w:rsidR="0026255A" w:rsidRDefault="0026255A" w:rsidP="0026255A">
      <w:pPr>
        <w:pStyle w:val="Caption"/>
        <w:keepNext/>
      </w:pPr>
      <w:bookmarkStart w:id="68" w:name="_Ref454908843"/>
      <w:bookmarkStart w:id="69" w:name="_Ref454908834"/>
      <w:bookmarkStart w:id="70" w:name="_Ref454911538"/>
      <w:bookmarkStart w:id="71" w:name="_Ref453601875"/>
      <w:r>
        <w:t xml:space="preserve">Figure </w:t>
      </w:r>
      <w:fldSimple w:instr=" SEQ Figure \* ARABIC ">
        <w:r w:rsidR="006A5935">
          <w:rPr>
            <w:noProof/>
          </w:rPr>
          <w:t>13</w:t>
        </w:r>
      </w:fldSimple>
      <w:bookmarkEnd w:id="68"/>
      <w:r>
        <w:t>: J&amp;E Conceptual Model showing primary model inputs and s</w:t>
      </w:r>
      <w:r w:rsidR="001F02E0">
        <w:t xml:space="preserve">ystem components (from Johnson </w:t>
      </w:r>
      <w:r>
        <w:t>2005)</w:t>
      </w:r>
      <w:bookmarkEnd w:id="69"/>
      <w:bookmarkEnd w:id="70"/>
    </w:p>
    <w:p w14:paraId="3BF625F2" w14:textId="71A83F33" w:rsidR="00AF5AA3" w:rsidRDefault="0026255A">
      <w:r w:rsidRPr="0026255A">
        <w:rPr>
          <w:noProof/>
          <w:lang w:eastAsia="en-US"/>
        </w:rPr>
        <w:drawing>
          <wp:inline distT="0" distB="0" distL="0" distR="0" wp14:anchorId="5E8D83E8" wp14:editId="6E10F9F2">
            <wp:extent cx="6038063" cy="2954358"/>
            <wp:effectExtent l="0" t="0" r="1270" b="0"/>
            <wp:docPr id="15" name="Picture 15" descr="K:\2016\UofA\enHealth\2016_06_28\JEM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2016\UofA\enHealth\2016_06_28\JEM200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71260" cy="2970601"/>
                    </a:xfrm>
                    <a:prstGeom prst="rect">
                      <a:avLst/>
                    </a:prstGeom>
                    <a:noFill/>
                    <a:ln>
                      <a:noFill/>
                    </a:ln>
                  </pic:spPr>
                </pic:pic>
              </a:graphicData>
            </a:graphic>
          </wp:inline>
        </w:drawing>
      </w:r>
    </w:p>
    <w:p w14:paraId="31D173F6" w14:textId="05FD3964" w:rsidR="00A418BF" w:rsidRDefault="009878B7" w:rsidP="009878B7">
      <w:r>
        <w:t xml:space="preserve">In terms of the primary inputs and reasonable values these have been suggested by Johnson (2005) and are reproduced from his paper in </w:t>
      </w:r>
      <w:r>
        <w:fldChar w:fldCharType="begin"/>
      </w:r>
      <w:r>
        <w:instrText xml:space="preserve"> REF _Ref454910512 \h </w:instrText>
      </w:r>
      <w:r>
        <w:fldChar w:fldCharType="separate"/>
      </w:r>
      <w:r w:rsidR="006A5935">
        <w:t xml:space="preserve">Table </w:t>
      </w:r>
      <w:r w:rsidR="006A5935">
        <w:rPr>
          <w:noProof/>
        </w:rPr>
        <w:t>2</w:t>
      </w:r>
      <w:r>
        <w:fldChar w:fldCharType="end"/>
      </w:r>
      <w:r w:rsidR="008E6EA9">
        <w:t xml:space="preserve"> being based on a combination of literature, physical </w:t>
      </w:r>
      <w:proofErr w:type="gramStart"/>
      <w:r w:rsidR="008E6EA9">
        <w:t>constraints</w:t>
      </w:r>
      <w:proofErr w:type="gramEnd"/>
      <w:r w:rsidR="008E6EA9">
        <w:t xml:space="preserve"> and experience</w:t>
      </w:r>
      <w:r>
        <w:t xml:space="preserve">.  </w:t>
      </w:r>
      <w:r w:rsidR="00EB2AB8">
        <w:t>Note that Johnson (2005) states that his model is only designed to generate the attenuation factor (</w:t>
      </w:r>
      <w:r w:rsidR="00EB2AB8">
        <w:rPr>
          <w:rFonts w:cs="Arial"/>
        </w:rPr>
        <w:t>α</w:t>
      </w:r>
      <w:r w:rsidR="00EB2AB8">
        <w:t xml:space="preserve">) which is the ratio of the predicted indoor air concentration ton the estimated soil </w:t>
      </w:r>
      <w:proofErr w:type="spellStart"/>
      <w:r w:rsidR="00EB2AB8">
        <w:t>vapour</w:t>
      </w:r>
      <w:proofErr w:type="spellEnd"/>
      <w:r w:rsidR="00EB2AB8">
        <w:t xml:space="preserve"> at a specific depth. A number of software packages (</w:t>
      </w:r>
      <w:proofErr w:type="gramStart"/>
      <w:r w:rsidR="00EB2AB8">
        <w:t>e.g.</w:t>
      </w:r>
      <w:proofErr w:type="gramEnd"/>
      <w:r w:rsidR="00EB2AB8">
        <w:t xml:space="preserve"> BPRISC) and structured spreadsheets extend this ratio to the predicted steady-state indoor air concentration over the period of interest.  </w:t>
      </w:r>
    </w:p>
    <w:p w14:paraId="2D18BC90" w14:textId="1F8ADBC0" w:rsidR="009878B7" w:rsidRDefault="002E42AD" w:rsidP="009878B7">
      <w:r>
        <w:t xml:space="preserve">Primary inputs reflect the key variables as depicted in </w:t>
      </w:r>
      <w:r>
        <w:fldChar w:fldCharType="begin"/>
      </w:r>
      <w:r>
        <w:instrText xml:space="preserve"> REF _Ref454908843 \h </w:instrText>
      </w:r>
      <w:r>
        <w:fldChar w:fldCharType="separate"/>
      </w:r>
      <w:r w:rsidR="006A5935">
        <w:t xml:space="preserve">Figure </w:t>
      </w:r>
      <w:r w:rsidR="006A5935">
        <w:rPr>
          <w:noProof/>
        </w:rPr>
        <w:t>13</w:t>
      </w:r>
      <w:r>
        <w:fldChar w:fldCharType="end"/>
      </w:r>
      <w:r>
        <w:t xml:space="preserve">. Secondary input components include additional </w:t>
      </w:r>
      <w:r w:rsidR="00A418BF">
        <w:t>parameters as presented in</w:t>
      </w:r>
      <w:r w:rsidR="00722E80">
        <w:t xml:space="preserve"> </w:t>
      </w:r>
      <w:r w:rsidR="00722E80">
        <w:fldChar w:fldCharType="begin"/>
      </w:r>
      <w:r w:rsidR="00722E80">
        <w:instrText xml:space="preserve"> REF _Ref454913627 \h </w:instrText>
      </w:r>
      <w:r w:rsidR="00722E80">
        <w:fldChar w:fldCharType="separate"/>
      </w:r>
      <w:r w:rsidR="006A5935">
        <w:t xml:space="preserve">Table </w:t>
      </w:r>
      <w:r w:rsidR="006A5935">
        <w:rPr>
          <w:noProof/>
        </w:rPr>
        <w:t>3</w:t>
      </w:r>
      <w:r w:rsidR="00722E80">
        <w:fldChar w:fldCharType="end"/>
      </w:r>
      <w:r w:rsidR="00722E80">
        <w:t xml:space="preserve"> as</w:t>
      </w:r>
      <w:r w:rsidR="00A418BF">
        <w:t xml:space="preserve"> reproduced from Johnson (2005, p72)</w:t>
      </w:r>
      <w:r w:rsidR="00722E80">
        <w:t>.</w:t>
      </w:r>
    </w:p>
    <w:p w14:paraId="2E05A976" w14:textId="5E8F52D2" w:rsidR="00722E80" w:rsidRDefault="00722E80" w:rsidP="009878B7">
      <w:r>
        <w:t>Note that the effective diffusion coefficients are dependent on moisture saturation and total porosity relationships and these</w:t>
      </w:r>
      <w:r w:rsidR="00E57CC0">
        <w:t xml:space="preserve"> relationships are outlined in Figure 3</w:t>
      </w:r>
      <w:r w:rsidR="001F02E0">
        <w:t xml:space="preserve"> of Johnson (2005</w:t>
      </w:r>
      <w:r w:rsidR="00E57CC0">
        <w:t>, p71). It is important to note that the inter-relationships between some variables need to be understood to ensure that realistic values are used as JEM inputs.</w:t>
      </w:r>
    </w:p>
    <w:p w14:paraId="36282545" w14:textId="099EE996" w:rsidR="00E57CC0" w:rsidRDefault="00E57CC0" w:rsidP="009878B7">
      <w:r>
        <w:t>The reference to Parameters A. B and C in Table 3 refer to the elements of the J&amp;E algorithm:</w:t>
      </w:r>
    </w:p>
    <w:p w14:paraId="3073D85D" w14:textId="1C0359DE" w:rsidR="00E57CC0" w:rsidRPr="005E0798" w:rsidRDefault="00E57CC0" w:rsidP="009878B7">
      <w:r w:rsidRPr="00E57CC0">
        <w:rPr>
          <w:noProof/>
          <w:lang w:eastAsia="en-US"/>
        </w:rPr>
        <w:lastRenderedPageBreak/>
        <w:drawing>
          <wp:inline distT="0" distB="0" distL="0" distR="0" wp14:anchorId="12539907" wp14:editId="14D4A5CD">
            <wp:extent cx="3217883" cy="974856"/>
            <wp:effectExtent l="0" t="0" r="1905" b="0"/>
            <wp:docPr id="21" name="Picture 21" descr="K:\2016\UofA\enHealth\equations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2016\UofA\enHealth\equations_000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62887" cy="988490"/>
                    </a:xfrm>
                    <a:prstGeom prst="rect">
                      <a:avLst/>
                    </a:prstGeom>
                    <a:noFill/>
                    <a:ln>
                      <a:noFill/>
                    </a:ln>
                  </pic:spPr>
                </pic:pic>
              </a:graphicData>
            </a:graphic>
          </wp:inline>
        </w:drawing>
      </w:r>
    </w:p>
    <w:p w14:paraId="141EA139" w14:textId="12D5EC4B" w:rsidR="009878B7" w:rsidRDefault="009878B7" w:rsidP="009878B7">
      <w:pPr>
        <w:pStyle w:val="Caption"/>
        <w:keepNext/>
      </w:pPr>
      <w:bookmarkStart w:id="72" w:name="_Ref454910512"/>
      <w:bookmarkStart w:id="73" w:name="_Ref454910500"/>
      <w:r>
        <w:t xml:space="preserve">Table </w:t>
      </w:r>
      <w:fldSimple w:instr=" SEQ Table \* ARABIC ">
        <w:r w:rsidR="006A5935">
          <w:rPr>
            <w:noProof/>
          </w:rPr>
          <w:t>2</w:t>
        </w:r>
      </w:fldSimple>
      <w:bookmarkEnd w:id="72"/>
      <w:r>
        <w:t>: Johnson (2005) recommendations for reasonable primary input values</w:t>
      </w:r>
      <w:bookmarkEnd w:id="73"/>
    </w:p>
    <w:p w14:paraId="4AB14FF4" w14:textId="1B15F0EE" w:rsidR="00AF5AA3" w:rsidRDefault="009878B7">
      <w:r w:rsidRPr="009878B7">
        <w:rPr>
          <w:noProof/>
          <w:lang w:eastAsia="en-US"/>
        </w:rPr>
        <w:drawing>
          <wp:inline distT="0" distB="0" distL="0" distR="0" wp14:anchorId="21C99EC1" wp14:editId="7FA01473">
            <wp:extent cx="6248400" cy="5758453"/>
            <wp:effectExtent l="0" t="0" r="0" b="0"/>
            <wp:docPr id="18" name="Picture 18" descr="C:\Users\Owner\Desktop\2016_06_28\Table1JEMPrimary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2016_06_28\Table1JEMPrimary_NEW.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66773" cy="5775386"/>
                    </a:xfrm>
                    <a:prstGeom prst="rect">
                      <a:avLst/>
                    </a:prstGeom>
                    <a:noFill/>
                    <a:ln>
                      <a:noFill/>
                    </a:ln>
                  </pic:spPr>
                </pic:pic>
              </a:graphicData>
            </a:graphic>
          </wp:inline>
        </w:drawing>
      </w:r>
    </w:p>
    <w:p w14:paraId="23DE23DB" w14:textId="77777777" w:rsidR="002702CB" w:rsidRDefault="002702CB"/>
    <w:p w14:paraId="29520CB2" w14:textId="6E649612" w:rsidR="00AF5AA3" w:rsidRDefault="002702CB">
      <w:proofErr w:type="gramStart"/>
      <w:r>
        <w:t>where</w:t>
      </w:r>
      <w:proofErr w:type="gramEnd"/>
    </w:p>
    <w:p w14:paraId="14FD1FE8" w14:textId="47CC96FF" w:rsidR="00AF5AA3" w:rsidRDefault="002702CB">
      <w:r w:rsidRPr="002702CB">
        <w:rPr>
          <w:noProof/>
          <w:lang w:eastAsia="en-US"/>
        </w:rPr>
        <w:lastRenderedPageBreak/>
        <w:drawing>
          <wp:inline distT="0" distB="0" distL="0" distR="0" wp14:anchorId="53C0449B" wp14:editId="1E232656">
            <wp:extent cx="3216771" cy="672575"/>
            <wp:effectExtent l="0" t="0" r="3175" b="0"/>
            <wp:docPr id="22" name="Picture 22" descr="K:\2016\UofA\enHealth\equations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2016\UofA\enHealth\equations_000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54762" cy="701427"/>
                    </a:xfrm>
                    <a:prstGeom prst="rect">
                      <a:avLst/>
                    </a:prstGeom>
                    <a:noFill/>
                    <a:ln>
                      <a:noFill/>
                    </a:ln>
                  </pic:spPr>
                </pic:pic>
              </a:graphicData>
            </a:graphic>
          </wp:inline>
        </w:drawing>
      </w:r>
    </w:p>
    <w:p w14:paraId="79F03568" w14:textId="77777777" w:rsidR="002702CB" w:rsidRDefault="002702CB">
      <w:r>
        <w:t xml:space="preserve">and </w:t>
      </w:r>
    </w:p>
    <w:p w14:paraId="78671201" w14:textId="1EEA9452" w:rsidR="001F02E0" w:rsidRDefault="002702CB">
      <w:r>
        <w:t xml:space="preserve">A is the </w:t>
      </w:r>
      <w:proofErr w:type="spellStart"/>
      <w:r>
        <w:t>vapour</w:t>
      </w:r>
      <w:proofErr w:type="spellEnd"/>
      <w:r>
        <w:t xml:space="preserve"> attenuation coefficient where there is no foundation</w:t>
      </w:r>
      <w:r w:rsidR="00433A74">
        <w:t>.</w:t>
      </w:r>
    </w:p>
    <w:p w14:paraId="755B2608" w14:textId="2848D62C" w:rsidR="002702CB" w:rsidRDefault="002702CB">
      <w:r>
        <w:t>B is a measure of the relative significance of advection and diffusion for transport across the building foundation (B&gt;</w:t>
      </w:r>
      <w:r w:rsidR="001F02E0">
        <w:t xml:space="preserve">&gt;1: advection; B&lt;&lt;1: </w:t>
      </w:r>
      <w:r>
        <w:t>diffusion)</w:t>
      </w:r>
      <w:r w:rsidR="00433A74">
        <w:t>.</w:t>
      </w:r>
    </w:p>
    <w:p w14:paraId="66E093DE" w14:textId="50C2622C" w:rsidR="002702CB" w:rsidRDefault="00AE0576">
      <w:r>
        <w:t xml:space="preserve">C is equal to the </w:t>
      </w:r>
      <w:proofErr w:type="spellStart"/>
      <w:r w:rsidR="002702CB">
        <w:t>vapour</w:t>
      </w:r>
      <w:proofErr w:type="spellEnd"/>
      <w:r w:rsidR="002702CB">
        <w:t xml:space="preserve"> attenuation coefficient for </w:t>
      </w:r>
      <w:proofErr w:type="spellStart"/>
      <w:r w:rsidR="002702CB">
        <w:t>vapours</w:t>
      </w:r>
      <w:proofErr w:type="spellEnd"/>
      <w:r w:rsidR="002702CB">
        <w:t xml:space="preserve"> immediately below the foundation and indoor air provided B&gt;&gt;1.</w:t>
      </w:r>
    </w:p>
    <w:p w14:paraId="7CFB4CEB" w14:textId="66B13843" w:rsidR="00722E80" w:rsidRDefault="00722E80" w:rsidP="00722E80">
      <w:pPr>
        <w:pStyle w:val="Caption"/>
        <w:keepNext/>
      </w:pPr>
      <w:bookmarkStart w:id="74" w:name="_Ref454913627"/>
      <w:r>
        <w:t xml:space="preserve">Table </w:t>
      </w:r>
      <w:fldSimple w:instr=" SEQ Table \* ARABIC ">
        <w:r w:rsidR="006A5935">
          <w:rPr>
            <w:noProof/>
          </w:rPr>
          <w:t>3</w:t>
        </w:r>
      </w:fldSimple>
      <w:bookmarkEnd w:id="74"/>
      <w:r>
        <w:t>: Example inputs and outputs across 4 scenarios from Johnson (2005)</w:t>
      </w:r>
    </w:p>
    <w:p w14:paraId="6F76105F" w14:textId="77777777" w:rsidR="002702CB" w:rsidRDefault="00722E80">
      <w:r w:rsidRPr="00722E80">
        <w:rPr>
          <w:noProof/>
          <w:lang w:eastAsia="en-US"/>
        </w:rPr>
        <w:drawing>
          <wp:inline distT="0" distB="0" distL="0" distR="0" wp14:anchorId="53004F95" wp14:editId="38F06391">
            <wp:extent cx="5943600" cy="4758982"/>
            <wp:effectExtent l="0" t="0" r="0" b="3810"/>
            <wp:docPr id="20" name="Picture 20" descr="C:\Users\Owner\Desktop\2016_06_28\Table1JEMPrimary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2016_06_28\Table1JEMPrimary_00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4758982"/>
                    </a:xfrm>
                    <a:prstGeom prst="rect">
                      <a:avLst/>
                    </a:prstGeom>
                    <a:noFill/>
                    <a:ln>
                      <a:noFill/>
                    </a:ln>
                  </pic:spPr>
                </pic:pic>
              </a:graphicData>
            </a:graphic>
          </wp:inline>
        </w:drawing>
      </w:r>
    </w:p>
    <w:p w14:paraId="72670C65" w14:textId="57C40F52" w:rsidR="00AF5AA3" w:rsidRDefault="002702CB">
      <w:r>
        <w:t xml:space="preserve">All these parameters require site-specific consideration and application. </w:t>
      </w:r>
      <w:r w:rsidR="0028136B">
        <w:t>It is important in considering the selection of inputs that site-specific data be obtained preferably through field measurements but if not available</w:t>
      </w:r>
      <w:r w:rsidR="000D5C80">
        <w:t>,</w:t>
      </w:r>
      <w:r w:rsidR="0028136B">
        <w:t xml:space="preserve"> then alignment with the sit</w:t>
      </w:r>
      <w:r w:rsidR="000D5C80">
        <w:t xml:space="preserve">e characteristics </w:t>
      </w:r>
      <w:r w:rsidR="0028136B">
        <w:t xml:space="preserve">should be </w:t>
      </w:r>
      <w:r w:rsidR="000D5C80">
        <w:lastRenderedPageBreak/>
        <w:t>attempted. For example, examination of field soil bore logs to confirm geology with subsequent literature associated information</w:t>
      </w:r>
      <w:r w:rsidR="00AE0576">
        <w:t xml:space="preserve"> on characteristics; geotechnical testing may provide data on soil moisture and soil properties while on-site inspection may provide information on geometries and sources.  Johnson (2005) subsequently proposed a generalized flow chart for identifying application-specific critical and non-critical para</w:t>
      </w:r>
      <w:r w:rsidR="001F02E0">
        <w:t>meters based on calculation of p</w:t>
      </w:r>
      <w:r w:rsidR="00AE0576">
        <w:t>arameters A, B and C (see Figure 2, p68).</w:t>
      </w:r>
    </w:p>
    <w:p w14:paraId="3B3129A1" w14:textId="2230F2CF" w:rsidR="001F02E0" w:rsidRDefault="001F02E0">
      <w:r>
        <w:t>Although, the JEM model details have been presented because of widespread use, it should be stressed that there are problems wit</w:t>
      </w:r>
      <w:r w:rsidR="00CD02BE">
        <w:t xml:space="preserve">h the model and other models might also be used.  </w:t>
      </w:r>
    </w:p>
    <w:p w14:paraId="4ADFC631" w14:textId="498F324E" w:rsidR="00CD02BE" w:rsidRDefault="00CD02BE">
      <w:r>
        <w:t xml:space="preserve">A range of review questions have been presented in the front of this document to aid the reader in the use of </w:t>
      </w:r>
      <w:proofErr w:type="spellStart"/>
      <w:r>
        <w:t>vapour</w:t>
      </w:r>
      <w:proofErr w:type="spellEnd"/>
      <w:r>
        <w:t xml:space="preserve"> intrusion models.</w:t>
      </w:r>
    </w:p>
    <w:p w14:paraId="3D592617" w14:textId="77777777" w:rsidR="004D1D97" w:rsidRDefault="004D1D97">
      <w:pPr>
        <w:rPr>
          <w:rFonts w:eastAsiaTheme="majorEastAsia" w:cstheme="majorBidi"/>
          <w:b/>
          <w:bCs/>
          <w:smallCaps/>
          <w:color w:val="000000" w:themeColor="text1"/>
          <w:sz w:val="24"/>
          <w:szCs w:val="28"/>
        </w:rPr>
      </w:pPr>
      <w:r>
        <w:br w:type="page"/>
      </w:r>
    </w:p>
    <w:p w14:paraId="1BBB6912" w14:textId="6B2674BB" w:rsidR="00E14595" w:rsidRPr="00114A7A" w:rsidRDefault="00E14595" w:rsidP="003B6D28">
      <w:pPr>
        <w:pStyle w:val="Heading2"/>
      </w:pPr>
      <w:bookmarkStart w:id="75" w:name="_Toc461684080"/>
      <w:r w:rsidRPr="00114A7A">
        <w:lastRenderedPageBreak/>
        <w:t xml:space="preserve">Measurement </w:t>
      </w:r>
      <w:r w:rsidR="00305EE3" w:rsidRPr="00114A7A">
        <w:t xml:space="preserve">and assessment </w:t>
      </w:r>
      <w:r w:rsidRPr="00114A7A">
        <w:t>methods</w:t>
      </w:r>
      <w:bookmarkEnd w:id="71"/>
      <w:bookmarkEnd w:id="75"/>
    </w:p>
    <w:p w14:paraId="7FBAA1DD" w14:textId="07BEDBEB" w:rsidR="00E14595" w:rsidRDefault="00E14595" w:rsidP="0008564A">
      <w:pPr>
        <w:pStyle w:val="Heading3"/>
      </w:pPr>
      <w:bookmarkStart w:id="76" w:name="_Toc461684081"/>
      <w:r w:rsidRPr="009C51CF">
        <w:t>Significance of empirical data</w:t>
      </w:r>
      <w:bookmarkEnd w:id="76"/>
    </w:p>
    <w:p w14:paraId="40076A1D" w14:textId="621CE6C2" w:rsidR="00AF5AA3" w:rsidRDefault="00AF5AA3" w:rsidP="00AF5AA3">
      <w:r>
        <w:t xml:space="preserve">It is important to </w:t>
      </w:r>
      <w:proofErr w:type="spellStart"/>
      <w:r>
        <w:t>recognise</w:t>
      </w:r>
      <w:proofErr w:type="spellEnd"/>
      <w:r>
        <w:t xml:space="preserve"> that </w:t>
      </w:r>
      <w:proofErr w:type="spellStart"/>
      <w:r>
        <w:t>vapour</w:t>
      </w:r>
      <w:proofErr w:type="spellEnd"/>
      <w:r>
        <w:t xml:space="preserve"> measurement data contains information that i</w:t>
      </w:r>
      <w:r w:rsidR="00192B02">
        <w:t xml:space="preserve">s richer in detail and </w:t>
      </w:r>
      <w:proofErr w:type="gramStart"/>
      <w:r w:rsidR="00192B02">
        <w:t>takes in</w:t>
      </w:r>
      <w:r>
        <w:t>to account</w:t>
      </w:r>
      <w:proofErr w:type="gramEnd"/>
      <w:r>
        <w:t xml:space="preserve"> processes that modelling </w:t>
      </w:r>
      <w:r w:rsidR="00512224">
        <w:t xml:space="preserve">currently </w:t>
      </w:r>
      <w:r>
        <w:t>cannot, particularly in complex systems where spatial and temporal change can influence results. As such</w:t>
      </w:r>
      <w:r w:rsidR="00512224">
        <w:t>,</w:t>
      </w:r>
      <w:r>
        <w:t xml:space="preserve"> empirical data </w:t>
      </w:r>
      <w:r w:rsidR="00387DF8">
        <w:t xml:space="preserve">are highly valued and preferred as a tool in the assessment process. This is evident in the recent US EPA (2015) guidance where the move away from predictive </w:t>
      </w:r>
      <w:r w:rsidR="008911CD">
        <w:t>modelling</w:t>
      </w:r>
      <w:r w:rsidR="00387DF8">
        <w:t xml:space="preserve"> towards understanding changes in transport compartment has occurred with </w:t>
      </w:r>
      <w:proofErr w:type="spellStart"/>
      <w:r w:rsidR="00387DF8">
        <w:t>vapour</w:t>
      </w:r>
      <w:proofErr w:type="spellEnd"/>
      <w:r w:rsidR="00387DF8">
        <w:t xml:space="preserve"> intrusion modelling now considered as a line of evidence </w:t>
      </w:r>
      <w:proofErr w:type="gramStart"/>
      <w:r w:rsidR="00387DF8">
        <w:t>provided that</w:t>
      </w:r>
      <w:proofErr w:type="gramEnd"/>
      <w:r w:rsidR="00387DF8">
        <w:t xml:space="preserve"> they are “…suitably constructed, documented and </w:t>
      </w:r>
      <w:r w:rsidR="003644D8">
        <w:t>verified.</w:t>
      </w:r>
      <w:r w:rsidR="00387DF8">
        <w:t>” (p113).</w:t>
      </w:r>
      <w:r w:rsidR="00512224">
        <w:t xml:space="preserve"> Unfortunately, many models do not fulfil such criteria.</w:t>
      </w:r>
    </w:p>
    <w:p w14:paraId="5B121CF3" w14:textId="09CD8A81" w:rsidR="00387DF8" w:rsidRPr="00AF5AA3" w:rsidRDefault="00387DF8" w:rsidP="00AF5AA3">
      <w:r>
        <w:t>In structuring and collecting empirical data it is important that the sampling and analytical procedures meet the data quality objectives set for the investigation and that methods are validated and consistent with the ratifying agency methodologies. Deviations from any standard methodologies need to be validated to ensure they are representative of the objective of the method.</w:t>
      </w:r>
    </w:p>
    <w:p w14:paraId="35E0A2AE" w14:textId="7B38974F" w:rsidR="00E14595" w:rsidRPr="009C51CF" w:rsidRDefault="00E14595" w:rsidP="0008564A">
      <w:pPr>
        <w:pStyle w:val="Heading3"/>
      </w:pPr>
      <w:bookmarkStart w:id="77" w:name="_Toc461684082"/>
      <w:r w:rsidRPr="009C51CF">
        <w:t>Sampling design</w:t>
      </w:r>
      <w:bookmarkEnd w:id="77"/>
    </w:p>
    <w:p w14:paraId="23588039" w14:textId="205447E5" w:rsidR="00387DF8" w:rsidRDefault="00387DF8" w:rsidP="00387DF8">
      <w:r>
        <w:t>The sampling plan is generally expressed as part of a sampling and quality assurance plan (SAQP) which details:</w:t>
      </w:r>
    </w:p>
    <w:p w14:paraId="5C56DBE1" w14:textId="62061B61" w:rsidR="00387DF8" w:rsidRDefault="0028136B" w:rsidP="0015648C">
      <w:pPr>
        <w:pStyle w:val="ListParagraph"/>
        <w:numPr>
          <w:ilvl w:val="0"/>
          <w:numId w:val="20"/>
        </w:numPr>
      </w:pPr>
      <w:r>
        <w:t xml:space="preserve">The site history and </w:t>
      </w:r>
      <w:r w:rsidR="00EB2AB8">
        <w:t>potential site source distribution</w:t>
      </w:r>
      <w:r w:rsidR="001A0007">
        <w:t xml:space="preserve"> and nature of COI</w:t>
      </w:r>
      <w:r w:rsidR="004D7F5A">
        <w:t>.</w:t>
      </w:r>
    </w:p>
    <w:p w14:paraId="45876469" w14:textId="381269C5" w:rsidR="001A0007" w:rsidRDefault="001A0007" w:rsidP="0015648C">
      <w:pPr>
        <w:pStyle w:val="ListParagraph"/>
        <w:numPr>
          <w:ilvl w:val="0"/>
          <w:numId w:val="20"/>
        </w:numPr>
      </w:pPr>
      <w:r>
        <w:t>The objectives of the sampling plan and scope</w:t>
      </w:r>
      <w:r w:rsidR="004D7F5A">
        <w:t>.</w:t>
      </w:r>
    </w:p>
    <w:p w14:paraId="35708B99" w14:textId="4A4E5EC5" w:rsidR="00660D25" w:rsidRDefault="00660D25" w:rsidP="0015648C">
      <w:pPr>
        <w:pStyle w:val="ListParagraph"/>
        <w:numPr>
          <w:ilvl w:val="0"/>
          <w:numId w:val="20"/>
        </w:numPr>
      </w:pPr>
      <w:r>
        <w:t>A preliminary conceptual site model subject to iterative development.</w:t>
      </w:r>
    </w:p>
    <w:p w14:paraId="2BFB5C73" w14:textId="2A2F9EAE" w:rsidR="001A0007" w:rsidRDefault="001A0007" w:rsidP="0015648C">
      <w:pPr>
        <w:pStyle w:val="ListParagraph"/>
        <w:numPr>
          <w:ilvl w:val="0"/>
          <w:numId w:val="20"/>
        </w:numPr>
      </w:pPr>
      <w:r>
        <w:t>The sampling and analytical techniques to be used and data quality objectives</w:t>
      </w:r>
      <w:r w:rsidR="004D7F5A">
        <w:t>.</w:t>
      </w:r>
    </w:p>
    <w:p w14:paraId="1BA315BC" w14:textId="1B7CD809" w:rsidR="004D7F5A" w:rsidRDefault="004D7F5A" w:rsidP="0015648C">
      <w:pPr>
        <w:pStyle w:val="ListParagraph"/>
        <w:numPr>
          <w:ilvl w:val="0"/>
          <w:numId w:val="20"/>
        </w:numPr>
      </w:pPr>
      <w:r>
        <w:t xml:space="preserve">Time frames for sampling durations of </w:t>
      </w:r>
      <w:proofErr w:type="spellStart"/>
      <w:r>
        <w:t>vapour</w:t>
      </w:r>
      <w:proofErr w:type="spellEnd"/>
      <w:r>
        <w:t xml:space="preserve"> and gases.</w:t>
      </w:r>
    </w:p>
    <w:p w14:paraId="0288B700" w14:textId="2DB097F0" w:rsidR="001A0007" w:rsidRDefault="001A0007" w:rsidP="0015648C">
      <w:pPr>
        <w:pStyle w:val="ListParagraph"/>
        <w:numPr>
          <w:ilvl w:val="0"/>
          <w:numId w:val="20"/>
        </w:numPr>
      </w:pPr>
      <w:r>
        <w:t>The lateral and vertical distribution of sampling locations</w:t>
      </w:r>
      <w:r w:rsidR="004D7F5A">
        <w:t>.</w:t>
      </w:r>
    </w:p>
    <w:p w14:paraId="441B41AA" w14:textId="19918D32" w:rsidR="001A0007" w:rsidRDefault="001A0007" w:rsidP="0015648C">
      <w:pPr>
        <w:pStyle w:val="ListParagraph"/>
        <w:numPr>
          <w:ilvl w:val="0"/>
          <w:numId w:val="20"/>
        </w:numPr>
      </w:pPr>
      <w:r>
        <w:t>Methods of drilling and sampling installations</w:t>
      </w:r>
      <w:r w:rsidR="004D7F5A">
        <w:t>.</w:t>
      </w:r>
    </w:p>
    <w:p w14:paraId="734012D5" w14:textId="5AA989F9" w:rsidR="001A0007" w:rsidRDefault="001A0007" w:rsidP="0015648C">
      <w:pPr>
        <w:pStyle w:val="ListParagraph"/>
        <w:numPr>
          <w:ilvl w:val="0"/>
          <w:numId w:val="20"/>
        </w:numPr>
      </w:pPr>
      <w:r>
        <w:t>Use of generic techniques to identify elevated source concentrations prior to more detailed sampling</w:t>
      </w:r>
      <w:r w:rsidR="004D7F5A">
        <w:t>.</w:t>
      </w:r>
    </w:p>
    <w:p w14:paraId="07E62DA1" w14:textId="2A24244A" w:rsidR="001A0007" w:rsidRDefault="001A0007" w:rsidP="0015648C">
      <w:pPr>
        <w:pStyle w:val="ListParagraph"/>
        <w:numPr>
          <w:ilvl w:val="0"/>
          <w:numId w:val="20"/>
        </w:numPr>
      </w:pPr>
      <w:r>
        <w:t>Methods of interpretation and relevant screening target concentrations</w:t>
      </w:r>
      <w:r w:rsidR="004D7F5A">
        <w:t xml:space="preserve"> for results.</w:t>
      </w:r>
    </w:p>
    <w:p w14:paraId="100E593F" w14:textId="2219D0EF" w:rsidR="004D7F5A" w:rsidRDefault="004D7F5A" w:rsidP="004D7F5A">
      <w:r>
        <w:t>Some of the factors requiring consideration include:</w:t>
      </w:r>
    </w:p>
    <w:p w14:paraId="3B6E4090" w14:textId="5FBA916B" w:rsidR="00192B02" w:rsidRDefault="00192B02" w:rsidP="0015648C">
      <w:pPr>
        <w:pStyle w:val="ListParagraph"/>
        <w:numPr>
          <w:ilvl w:val="0"/>
          <w:numId w:val="21"/>
        </w:numPr>
      </w:pPr>
      <w:r>
        <w:t>Distribution of gas wells, and appropriate instrumentation methods for preferential pathway assessment.</w:t>
      </w:r>
    </w:p>
    <w:p w14:paraId="53712B61" w14:textId="1CA32FD2" w:rsidR="004D7F5A" w:rsidRDefault="004D7F5A" w:rsidP="0015648C">
      <w:pPr>
        <w:pStyle w:val="ListParagraph"/>
        <w:numPr>
          <w:ilvl w:val="0"/>
          <w:numId w:val="21"/>
        </w:numPr>
      </w:pPr>
      <w:r>
        <w:t xml:space="preserve">Concurrent transport compartment assessment – the dynamic nature of </w:t>
      </w:r>
      <w:proofErr w:type="spellStart"/>
      <w:r>
        <w:t>vapour</w:t>
      </w:r>
      <w:proofErr w:type="spellEnd"/>
      <w:r>
        <w:t xml:space="preserve"> migration increases as one progresses from soil at depth to soil within the top 1.5 m to the sub-slab, to indoor air and to ambient air.  There are different gradients applying at different locations such that diffusion-based concentration gradients are replaced by </w:t>
      </w:r>
      <w:r w:rsidR="003171AB">
        <w:t xml:space="preserve">permeability-based pressure differentials leading to indoor entry, </w:t>
      </w:r>
      <w:proofErr w:type="gramStart"/>
      <w:r w:rsidR="003171AB">
        <w:t>distribution</w:t>
      </w:r>
      <w:proofErr w:type="gramEnd"/>
      <w:r w:rsidR="003171AB">
        <w:t xml:space="preserve"> and partial elimination processes.  These dynamic forces require concurrent or near-concurrent sampling strategies to be employed enabling comparisons of results obtained to be made if relationships are required.</w:t>
      </w:r>
    </w:p>
    <w:p w14:paraId="4E6C3F02" w14:textId="77777777" w:rsidR="006477E1" w:rsidRDefault="006477E1" w:rsidP="006477E1">
      <w:pPr>
        <w:pStyle w:val="ListParagraph"/>
      </w:pPr>
    </w:p>
    <w:p w14:paraId="0D88D618" w14:textId="68EC5B02" w:rsidR="004F054C" w:rsidRDefault="003171AB" w:rsidP="0015648C">
      <w:pPr>
        <w:pStyle w:val="ListParagraph"/>
        <w:numPr>
          <w:ilvl w:val="0"/>
          <w:numId w:val="21"/>
        </w:numPr>
      </w:pPr>
      <w:r>
        <w:lastRenderedPageBreak/>
        <w:t>Sampling techniques may be passive (diffusion-based matrix) or active (adsorbent-based matrix</w:t>
      </w:r>
      <w:r w:rsidR="00660D25">
        <w:t>, evacuated canisters</w:t>
      </w:r>
      <w:r>
        <w:t xml:space="preserve">).  Which techniques to employ will </w:t>
      </w:r>
      <w:proofErr w:type="gramStart"/>
      <w:r>
        <w:t>be a reflection of</w:t>
      </w:r>
      <w:proofErr w:type="gramEnd"/>
      <w:r w:rsidR="004F054C">
        <w:t>:</w:t>
      </w:r>
      <w:r>
        <w:t xml:space="preserve"> </w:t>
      </w:r>
    </w:p>
    <w:p w14:paraId="2A8A2BF7" w14:textId="77777777" w:rsidR="004F054C" w:rsidRDefault="003171AB" w:rsidP="0015648C">
      <w:pPr>
        <w:pStyle w:val="ListParagraph"/>
        <w:numPr>
          <w:ilvl w:val="1"/>
          <w:numId w:val="21"/>
        </w:numPr>
      </w:pPr>
      <w:r>
        <w:t>objectives (relative comparisons and “</w:t>
      </w:r>
      <w:proofErr w:type="gramStart"/>
      <w:r>
        <w:t>hot-spotting</w:t>
      </w:r>
      <w:proofErr w:type="gramEnd"/>
      <w:r>
        <w:t xml:space="preserve">” for delineation purposes to quantitative data for exposure assessment; </w:t>
      </w:r>
    </w:p>
    <w:p w14:paraId="1DEEE7AE" w14:textId="77777777" w:rsidR="004F054C" w:rsidRDefault="004F054C" w:rsidP="0015648C">
      <w:pPr>
        <w:pStyle w:val="ListParagraph"/>
        <w:numPr>
          <w:ilvl w:val="1"/>
          <w:numId w:val="21"/>
        </w:numPr>
      </w:pPr>
      <w:r>
        <w:t>Cost</w:t>
      </w:r>
    </w:p>
    <w:p w14:paraId="1E56E37E" w14:textId="0E966118" w:rsidR="004F054C" w:rsidRDefault="004F054C" w:rsidP="0015648C">
      <w:pPr>
        <w:pStyle w:val="ListParagraph"/>
        <w:numPr>
          <w:ilvl w:val="1"/>
          <w:numId w:val="21"/>
        </w:numPr>
      </w:pPr>
      <w:r>
        <w:t>T</w:t>
      </w:r>
      <w:r w:rsidR="003171AB">
        <w:t>imeframes</w:t>
      </w:r>
      <w:r>
        <w:t xml:space="preserve"> for assessment.</w:t>
      </w:r>
    </w:p>
    <w:p w14:paraId="77B8C094" w14:textId="01F520B2" w:rsidR="004F054C" w:rsidRDefault="004F054C" w:rsidP="0015648C">
      <w:pPr>
        <w:pStyle w:val="ListParagraph"/>
        <w:numPr>
          <w:ilvl w:val="1"/>
          <w:numId w:val="21"/>
        </w:numPr>
      </w:pPr>
      <w:r>
        <w:t>C</w:t>
      </w:r>
      <w:r w:rsidR="003171AB">
        <w:t>onsistency between the COI and the sampling</w:t>
      </w:r>
      <w:r>
        <w:t xml:space="preserve"> analytical profile and </w:t>
      </w:r>
    </w:p>
    <w:p w14:paraId="6E362337" w14:textId="0D0467E7" w:rsidR="003171AB" w:rsidRDefault="004F054C" w:rsidP="0015648C">
      <w:pPr>
        <w:pStyle w:val="ListParagraph"/>
        <w:numPr>
          <w:ilvl w:val="1"/>
          <w:numId w:val="21"/>
        </w:numPr>
      </w:pPr>
      <w:r>
        <w:t>Required limits of reporting.</w:t>
      </w:r>
    </w:p>
    <w:p w14:paraId="0E35CE52" w14:textId="05DFCB78" w:rsidR="00660D25" w:rsidRDefault="004F054C" w:rsidP="0015648C">
      <w:pPr>
        <w:pStyle w:val="ListParagraph"/>
        <w:numPr>
          <w:ilvl w:val="0"/>
          <w:numId w:val="21"/>
        </w:numPr>
      </w:pPr>
      <w:r>
        <w:t>The evaluation of worst</w:t>
      </w:r>
      <w:r w:rsidR="00433A74">
        <w:t>-</w:t>
      </w:r>
      <w:r>
        <w:t xml:space="preserve">case scenarios (WCS) and </w:t>
      </w:r>
      <w:proofErr w:type="gramStart"/>
      <w:r>
        <w:t>best case</w:t>
      </w:r>
      <w:proofErr w:type="gramEnd"/>
      <w:r>
        <w:t xml:space="preserve"> scenarios (BCS) and comparisons with the realities of the population of </w:t>
      </w:r>
      <w:r w:rsidR="00660D25">
        <w:t>interest and their activity patterns is important. The sampling durations for atmospheric exposure should match the potential population residence times.</w:t>
      </w:r>
      <w:r w:rsidR="00433A74">
        <w:t xml:space="preserve"> </w:t>
      </w:r>
      <w:r w:rsidR="00660D25">
        <w:t>Settings where closed doors and windows may apply should be considered</w:t>
      </w:r>
      <w:r w:rsidR="00166020">
        <w:t xml:space="preserve"> and sampling within areas or greatest occupancy </w:t>
      </w:r>
      <w:r w:rsidR="003644D8">
        <w:t>time.</w:t>
      </w:r>
      <w:r w:rsidR="00660D25">
        <w:t xml:space="preserve">  </w:t>
      </w:r>
    </w:p>
    <w:p w14:paraId="3BFB086F" w14:textId="4AAFD490" w:rsidR="00966645" w:rsidRDefault="00660D25" w:rsidP="0015648C">
      <w:pPr>
        <w:pStyle w:val="ListParagraph"/>
        <w:numPr>
          <w:ilvl w:val="0"/>
          <w:numId w:val="21"/>
        </w:numPr>
      </w:pPr>
      <w:r>
        <w:t xml:space="preserve">Spatial and temporal variability should be </w:t>
      </w:r>
      <w:r w:rsidR="00966645">
        <w:t>evaluated through concurrent sampling at different sampling locations with a dwelling</w:t>
      </w:r>
      <w:r>
        <w:t>.</w:t>
      </w:r>
      <w:r w:rsidR="00433A74">
        <w:t xml:space="preserve"> </w:t>
      </w:r>
      <w:r w:rsidR="00966645">
        <w:t>Temporal variations in terms of diurnal or seasonal differences should be factored into the sampling program due to published differences in indoor concentrations within the day and across seasons.</w:t>
      </w:r>
    </w:p>
    <w:p w14:paraId="51B467B6" w14:textId="2018AD21" w:rsidR="00966645" w:rsidRDefault="00E14595" w:rsidP="0015648C">
      <w:pPr>
        <w:pStyle w:val="ListParagraph"/>
        <w:numPr>
          <w:ilvl w:val="0"/>
          <w:numId w:val="21"/>
        </w:numPr>
      </w:pPr>
      <w:r w:rsidRPr="009C51CF">
        <w:t>Delineation methods</w:t>
      </w:r>
      <w:r w:rsidR="00966645">
        <w:t xml:space="preserve"> using rapid techniques</w:t>
      </w:r>
      <w:r w:rsidR="008318D0">
        <w:t xml:space="preserve">, </w:t>
      </w:r>
      <w:proofErr w:type="gramStart"/>
      <w:r w:rsidR="008318D0">
        <w:t>e.g.</w:t>
      </w:r>
      <w:proofErr w:type="gramEnd"/>
      <w:r w:rsidR="008318D0">
        <w:t xml:space="preserve"> </w:t>
      </w:r>
      <w:proofErr w:type="spellStart"/>
      <w:r w:rsidR="00966645">
        <w:t>Geoprobing</w:t>
      </w:r>
      <w:r w:rsidR="008318D0" w:rsidRPr="008318D0">
        <w:rPr>
          <w:vertAlign w:val="superscript"/>
        </w:rPr>
        <w:t>TM</w:t>
      </w:r>
      <w:proofErr w:type="spellEnd"/>
      <w:r w:rsidR="008318D0">
        <w:t xml:space="preserve"> or passive </w:t>
      </w:r>
      <w:r w:rsidR="00966645">
        <w:t>samplers, e.g. Waterloo Membrane Samplers should be considered</w:t>
      </w:r>
      <w:r w:rsidR="008318D0">
        <w:t xml:space="preserve"> as these may provide cost-efficient means of determining </w:t>
      </w:r>
      <w:r w:rsidR="00B53854">
        <w:t xml:space="preserve">the </w:t>
      </w:r>
      <w:r w:rsidR="008318D0">
        <w:t xml:space="preserve">nature and extent of soil </w:t>
      </w:r>
      <w:proofErr w:type="spellStart"/>
      <w:r w:rsidR="008318D0">
        <w:t>vapour</w:t>
      </w:r>
      <w:proofErr w:type="spellEnd"/>
      <w:r w:rsidR="008318D0">
        <w:t xml:space="preserve"> distribution</w:t>
      </w:r>
      <w:r w:rsidR="00966645">
        <w:t>.</w:t>
      </w:r>
      <w:r w:rsidR="00433A74">
        <w:t xml:space="preserve"> </w:t>
      </w:r>
      <w:r w:rsidR="00B53854">
        <w:t>This is particularly the case for large sites where the site history presents the potential for extensive contamination.</w:t>
      </w:r>
      <w:r w:rsidR="00433A74">
        <w:t xml:space="preserve"> </w:t>
      </w:r>
      <w:r w:rsidR="00B53854">
        <w:t>Furthermore, the use of po</w:t>
      </w:r>
      <w:r w:rsidR="00166020">
        <w:t>r</w:t>
      </w:r>
      <w:r w:rsidR="00B53854">
        <w:t>table GC-MS instrumentation should be considered although such techniques are well established in the US, in Australia they are still considered relatively novel and expensive.</w:t>
      </w:r>
    </w:p>
    <w:p w14:paraId="41371930" w14:textId="0ADDCE97" w:rsidR="00E14595" w:rsidRPr="009C51CF" w:rsidRDefault="00E14595" w:rsidP="0008564A">
      <w:pPr>
        <w:pStyle w:val="Heading3"/>
      </w:pPr>
      <w:bookmarkStart w:id="78" w:name="_Toc461684083"/>
      <w:r w:rsidRPr="009C51CF">
        <w:t>Sampling methods</w:t>
      </w:r>
      <w:r w:rsidR="00E20A31">
        <w:t xml:space="preserve">, </w:t>
      </w:r>
      <w:proofErr w:type="gramStart"/>
      <w:r w:rsidR="00E20A31">
        <w:t>analysis</w:t>
      </w:r>
      <w:proofErr w:type="gramEnd"/>
      <w:r w:rsidR="001055F0">
        <w:t xml:space="preserve"> and assessment</w:t>
      </w:r>
      <w:bookmarkEnd w:id="78"/>
    </w:p>
    <w:p w14:paraId="79CE1A6E" w14:textId="04C84D6E" w:rsidR="00E14595" w:rsidRDefault="00B53854" w:rsidP="00BB41C5">
      <w:pPr>
        <w:pStyle w:val="Heading4"/>
      </w:pPr>
      <w:r>
        <w:t>Non-land</w:t>
      </w:r>
      <w:r w:rsidR="00E14595" w:rsidRPr="009C51CF">
        <w:t xml:space="preserve">fill </w:t>
      </w:r>
      <w:proofErr w:type="spellStart"/>
      <w:r>
        <w:t>vapour</w:t>
      </w:r>
      <w:proofErr w:type="spellEnd"/>
      <w:r>
        <w:t xml:space="preserve"> and gas</w:t>
      </w:r>
    </w:p>
    <w:p w14:paraId="6B614E88" w14:textId="28349863" w:rsidR="00B53854" w:rsidRDefault="00B53854" w:rsidP="00B53854">
      <w:r>
        <w:t xml:space="preserve">Non-landfill </w:t>
      </w:r>
      <w:proofErr w:type="spellStart"/>
      <w:r>
        <w:t>vapour</w:t>
      </w:r>
      <w:proofErr w:type="spellEnd"/>
      <w:r>
        <w:t xml:space="preserve"> and gas </w:t>
      </w:r>
      <w:r w:rsidR="000B347D">
        <w:t xml:space="preserve">sampling and </w:t>
      </w:r>
      <w:r w:rsidR="00512224">
        <w:t>assessment refer</w:t>
      </w:r>
      <w:r>
        <w:t xml:space="preserve"> to </w:t>
      </w:r>
      <w:proofErr w:type="spellStart"/>
      <w:r w:rsidR="00166020">
        <w:t>vapour</w:t>
      </w:r>
      <w:proofErr w:type="spellEnd"/>
      <w:r w:rsidR="00166020">
        <w:t xml:space="preserve"> intrusion processes</w:t>
      </w:r>
      <w:r w:rsidR="004D1D3D">
        <w:t xml:space="preserve"> associated with contaminated soils or groundwater.</w:t>
      </w:r>
    </w:p>
    <w:p w14:paraId="4DB8F140" w14:textId="3CDE40B9" w:rsidR="000B347D" w:rsidRDefault="000B347D" w:rsidP="000B347D">
      <w:pPr>
        <w:spacing w:after="0"/>
      </w:pPr>
      <w:r>
        <w:t xml:space="preserve">Sampling methods across transport compartments have been detailed over </w:t>
      </w:r>
      <w:proofErr w:type="gramStart"/>
      <w:r>
        <w:t>a number of</w:t>
      </w:r>
      <w:proofErr w:type="gramEnd"/>
      <w:r>
        <w:t xml:space="preserve"> recent documents</w:t>
      </w:r>
      <w:r w:rsidR="00512224">
        <w:t xml:space="preserve"> that have addressed field ass</w:t>
      </w:r>
      <w:r w:rsidR="007F3045">
        <w:t xml:space="preserve">essment of </w:t>
      </w:r>
      <w:proofErr w:type="spellStart"/>
      <w:r w:rsidR="007F3045">
        <w:t>vapours</w:t>
      </w:r>
      <w:proofErr w:type="spellEnd"/>
      <w:r w:rsidR="007F3045">
        <w:t xml:space="preserve"> (Davis et al.,</w:t>
      </w:r>
      <w:r w:rsidR="00512224">
        <w:t xml:space="preserve"> 2009); </w:t>
      </w:r>
      <w:proofErr w:type="spellStart"/>
      <w:r w:rsidR="00512224">
        <w:t>vapour</w:t>
      </w:r>
      <w:proofErr w:type="spellEnd"/>
      <w:r w:rsidR="00512224">
        <w:t xml:space="preserve"> intrusion assessment (CRC CARE, 2013); the fundamentals of screening, investigation and management (ITRC, 2014) and the more recent</w:t>
      </w:r>
      <w:r w:rsidR="003644D8">
        <w:t xml:space="preserve"> updated OSWER (US EPA, 2015a) </w:t>
      </w:r>
      <w:r w:rsidR="00512224">
        <w:t>assessment and mitigation guidance</w:t>
      </w:r>
      <w:r w:rsidR="00CE7887">
        <w:t>.</w:t>
      </w:r>
      <w:r w:rsidR="00512224">
        <w:t xml:space="preserve">   </w:t>
      </w:r>
    </w:p>
    <w:p w14:paraId="1D1ABFDE" w14:textId="77777777" w:rsidR="00512224" w:rsidRDefault="00512224" w:rsidP="000B347D">
      <w:pPr>
        <w:spacing w:after="0"/>
      </w:pPr>
    </w:p>
    <w:p w14:paraId="0A28734F" w14:textId="556CCAA5" w:rsidR="003C65EF" w:rsidRDefault="003C65EF" w:rsidP="003C65EF">
      <w:r>
        <w:t xml:space="preserve">Davis </w:t>
      </w:r>
      <w:r w:rsidR="007F3045">
        <w:t>et al.,</w:t>
      </w:r>
      <w:r>
        <w:t xml:space="preserve"> (2009) discuss </w:t>
      </w:r>
      <w:proofErr w:type="spellStart"/>
      <w:r>
        <w:t>vapour</w:t>
      </w:r>
      <w:proofErr w:type="spellEnd"/>
      <w:r>
        <w:t xml:space="preserve"> an</w:t>
      </w:r>
      <w:r w:rsidR="00A47C39">
        <w:t>d gas sampling (pp29-44) including the use of</w:t>
      </w:r>
      <w:r>
        <w:t>:</w:t>
      </w:r>
    </w:p>
    <w:p w14:paraId="34489C79" w14:textId="4A9C7731" w:rsidR="003C65EF" w:rsidRDefault="00D338E2" w:rsidP="0015648C">
      <w:pPr>
        <w:pStyle w:val="ListParagraph"/>
        <w:numPr>
          <w:ilvl w:val="0"/>
          <w:numId w:val="22"/>
        </w:numPr>
      </w:pPr>
      <w:r>
        <w:t>Temporary spear probes (</w:t>
      </w:r>
      <w:proofErr w:type="gramStart"/>
      <w:r>
        <w:t>e.g.</w:t>
      </w:r>
      <w:proofErr w:type="gramEnd"/>
      <w:r>
        <w:t xml:space="preserve"> </w:t>
      </w:r>
      <w:proofErr w:type="spellStart"/>
      <w:r>
        <w:t>GeoProbe</w:t>
      </w:r>
      <w:r w:rsidRPr="00D338E2">
        <w:rPr>
          <w:vertAlign w:val="superscript"/>
        </w:rPr>
        <w:t>TM</w:t>
      </w:r>
      <w:proofErr w:type="spellEnd"/>
      <w:r>
        <w:t>)</w:t>
      </w:r>
    </w:p>
    <w:p w14:paraId="6F957F5F" w14:textId="2ECB4009" w:rsidR="00A47C39" w:rsidRDefault="00A47C39" w:rsidP="0015648C">
      <w:pPr>
        <w:pStyle w:val="ListParagraph"/>
        <w:numPr>
          <w:ilvl w:val="0"/>
          <w:numId w:val="22"/>
        </w:numPr>
      </w:pPr>
      <w:r>
        <w:t>Permanent multi-level probes/samplers.</w:t>
      </w:r>
    </w:p>
    <w:p w14:paraId="70B2CC64" w14:textId="65661D49" w:rsidR="00A47C39" w:rsidRDefault="00A47C39" w:rsidP="0015648C">
      <w:pPr>
        <w:pStyle w:val="ListParagraph"/>
        <w:numPr>
          <w:ilvl w:val="0"/>
          <w:numId w:val="22"/>
        </w:numPr>
      </w:pPr>
      <w:r>
        <w:t>On-line VOC and oxygen probes.</w:t>
      </w:r>
    </w:p>
    <w:p w14:paraId="5B5458FB" w14:textId="3DE604C4" w:rsidR="00A47C39" w:rsidRDefault="00A47C39" w:rsidP="0015648C">
      <w:pPr>
        <w:pStyle w:val="ListParagraph"/>
        <w:numPr>
          <w:ilvl w:val="0"/>
          <w:numId w:val="22"/>
        </w:numPr>
      </w:pPr>
      <w:r>
        <w:t>Sub-slab sampling.</w:t>
      </w:r>
    </w:p>
    <w:p w14:paraId="5A23EFDE" w14:textId="067B1FA1" w:rsidR="00A47C39" w:rsidRDefault="00A47C39" w:rsidP="0015648C">
      <w:pPr>
        <w:pStyle w:val="ListParagraph"/>
        <w:numPr>
          <w:ilvl w:val="0"/>
          <w:numId w:val="22"/>
        </w:numPr>
      </w:pPr>
      <w:r>
        <w:t>Measurement across the capillary fringe.</w:t>
      </w:r>
    </w:p>
    <w:p w14:paraId="6150C8A7" w14:textId="3A49A1FD" w:rsidR="00A47C39" w:rsidRDefault="00A47C39" w:rsidP="0015648C">
      <w:pPr>
        <w:pStyle w:val="ListParagraph"/>
        <w:numPr>
          <w:ilvl w:val="0"/>
          <w:numId w:val="22"/>
        </w:numPr>
      </w:pPr>
      <w:r>
        <w:t>Soil gas sampling issues such as location, depth frequency, probe integrity tubing type, sample volume, purge volumes, sample flow rates, environmental conditions.</w:t>
      </w:r>
    </w:p>
    <w:p w14:paraId="0F24761E" w14:textId="77777777" w:rsidR="00CE7887" w:rsidRDefault="00CE7887" w:rsidP="00CE7887">
      <w:pPr>
        <w:pStyle w:val="ListParagraph"/>
      </w:pPr>
    </w:p>
    <w:p w14:paraId="42F52287" w14:textId="1911E5D0" w:rsidR="00A47C39" w:rsidRDefault="00A47C39" w:rsidP="0015648C">
      <w:pPr>
        <w:pStyle w:val="ListParagraph"/>
        <w:numPr>
          <w:ilvl w:val="0"/>
          <w:numId w:val="22"/>
        </w:numPr>
      </w:pPr>
      <w:r>
        <w:t xml:space="preserve">Flux chambers (static and dynamic) </w:t>
      </w:r>
      <w:r w:rsidR="00CD656A">
        <w:t>and factors to consider such as</w:t>
      </w:r>
      <w:r>
        <w:t>:</w:t>
      </w:r>
    </w:p>
    <w:p w14:paraId="12C313D0" w14:textId="59193A60" w:rsidR="00A47C39" w:rsidRDefault="00A47C39" w:rsidP="0015648C">
      <w:pPr>
        <w:pStyle w:val="ListParagraph"/>
        <w:numPr>
          <w:ilvl w:val="1"/>
          <w:numId w:val="22"/>
        </w:numPr>
      </w:pPr>
      <w:r>
        <w:t>Area coverage</w:t>
      </w:r>
      <w:r w:rsidR="00CD656A">
        <w:t>.</w:t>
      </w:r>
    </w:p>
    <w:p w14:paraId="2ECFE4A2" w14:textId="5F81794D" w:rsidR="00A47C39" w:rsidRDefault="00A47C39" w:rsidP="0015648C">
      <w:pPr>
        <w:pStyle w:val="ListParagraph"/>
        <w:numPr>
          <w:ilvl w:val="1"/>
          <w:numId w:val="22"/>
        </w:numPr>
      </w:pPr>
      <w:r>
        <w:t>Deployment period</w:t>
      </w:r>
      <w:r w:rsidR="00CD656A">
        <w:t>.</w:t>
      </w:r>
    </w:p>
    <w:p w14:paraId="7F2A60DC" w14:textId="0DD56B28" w:rsidR="00A47C39" w:rsidRDefault="00A47C39" w:rsidP="0015648C">
      <w:pPr>
        <w:pStyle w:val="ListParagraph"/>
        <w:numPr>
          <w:ilvl w:val="1"/>
          <w:numId w:val="22"/>
        </w:numPr>
      </w:pPr>
      <w:r>
        <w:t>Environmental conditions</w:t>
      </w:r>
      <w:r w:rsidR="00CD656A">
        <w:t>.</w:t>
      </w:r>
    </w:p>
    <w:p w14:paraId="2D3DD3C9" w14:textId="24CAE9A7" w:rsidR="00A47C39" w:rsidRDefault="00A47C39" w:rsidP="0015648C">
      <w:pPr>
        <w:pStyle w:val="ListParagraph"/>
        <w:numPr>
          <w:ilvl w:val="1"/>
          <w:numId w:val="22"/>
        </w:numPr>
      </w:pPr>
      <w:r>
        <w:t xml:space="preserve">Differing COIs </w:t>
      </w:r>
      <w:proofErr w:type="gramStart"/>
      <w:r>
        <w:t>e.g.</w:t>
      </w:r>
      <w:proofErr w:type="gramEnd"/>
      <w:r>
        <w:t xml:space="preserve"> petroleum vs chlorinated hydrocarbons</w:t>
      </w:r>
      <w:r w:rsidR="00CD656A">
        <w:t>.</w:t>
      </w:r>
    </w:p>
    <w:p w14:paraId="58C6EC0A" w14:textId="1D379AFC" w:rsidR="00A47C39" w:rsidRDefault="00A47C39" w:rsidP="0015648C">
      <w:pPr>
        <w:pStyle w:val="ListParagraph"/>
        <w:numPr>
          <w:ilvl w:val="1"/>
          <w:numId w:val="22"/>
        </w:numPr>
      </w:pPr>
      <w:r>
        <w:t>Basements</w:t>
      </w:r>
      <w:r w:rsidR="00CD656A">
        <w:t>.</w:t>
      </w:r>
    </w:p>
    <w:p w14:paraId="698CECBD" w14:textId="760EC848" w:rsidR="00A47C39" w:rsidRDefault="00A47C39" w:rsidP="0015648C">
      <w:pPr>
        <w:pStyle w:val="ListParagraph"/>
        <w:numPr>
          <w:ilvl w:val="1"/>
          <w:numId w:val="22"/>
        </w:numPr>
      </w:pPr>
      <w:r>
        <w:t xml:space="preserve">Changed </w:t>
      </w:r>
      <w:proofErr w:type="gramStart"/>
      <w:r>
        <w:t>land form</w:t>
      </w:r>
      <w:proofErr w:type="gramEnd"/>
      <w:r w:rsidR="00CD656A">
        <w:t>.</w:t>
      </w:r>
    </w:p>
    <w:p w14:paraId="248CF232" w14:textId="2409EB52" w:rsidR="00A47C39" w:rsidRDefault="00A47C39" w:rsidP="0015648C">
      <w:pPr>
        <w:pStyle w:val="ListParagraph"/>
        <w:numPr>
          <w:ilvl w:val="1"/>
          <w:numId w:val="22"/>
        </w:numPr>
      </w:pPr>
      <w:r>
        <w:t>Sub-surface condition</w:t>
      </w:r>
      <w:r w:rsidR="00CD656A">
        <w:t>.</w:t>
      </w:r>
    </w:p>
    <w:p w14:paraId="4EAB2E23" w14:textId="2945F9D0" w:rsidR="00A47C39" w:rsidRDefault="00A47C39" w:rsidP="0015648C">
      <w:pPr>
        <w:pStyle w:val="ListParagraph"/>
        <w:numPr>
          <w:ilvl w:val="0"/>
          <w:numId w:val="22"/>
        </w:numPr>
      </w:pPr>
      <w:r>
        <w:t>Crawl space and indoor/outdoor air sampling</w:t>
      </w:r>
      <w:r w:rsidR="00CD656A">
        <w:t>.</w:t>
      </w:r>
    </w:p>
    <w:p w14:paraId="02466B0A" w14:textId="7E32FCBC" w:rsidR="00A47C39" w:rsidRDefault="00A47C39" w:rsidP="0015648C">
      <w:pPr>
        <w:pStyle w:val="ListParagraph"/>
        <w:numPr>
          <w:ilvl w:val="0"/>
          <w:numId w:val="22"/>
        </w:numPr>
      </w:pPr>
      <w:r>
        <w:t>Passive implant sampling</w:t>
      </w:r>
      <w:r w:rsidR="00CD656A">
        <w:t>.</w:t>
      </w:r>
    </w:p>
    <w:p w14:paraId="7E5B5017" w14:textId="004026F6" w:rsidR="00A47C39" w:rsidRDefault="00A47C39" w:rsidP="0015648C">
      <w:pPr>
        <w:pStyle w:val="ListParagraph"/>
        <w:numPr>
          <w:ilvl w:val="0"/>
          <w:numId w:val="22"/>
        </w:numPr>
      </w:pPr>
      <w:r>
        <w:t>Sample collection and analysis.</w:t>
      </w:r>
    </w:p>
    <w:p w14:paraId="38235148" w14:textId="7ECD75ED" w:rsidR="00085D6D" w:rsidRDefault="00085D6D" w:rsidP="0015648C">
      <w:pPr>
        <w:pStyle w:val="ListParagraph"/>
        <w:numPr>
          <w:ilvl w:val="0"/>
          <w:numId w:val="22"/>
        </w:numPr>
      </w:pPr>
      <w:r>
        <w:t>Active methods and the range of adsorbent materials (</w:t>
      </w:r>
      <w:proofErr w:type="gramStart"/>
      <w:r>
        <w:t>e.g.</w:t>
      </w:r>
      <w:proofErr w:type="gramEnd"/>
      <w:r>
        <w:t xml:space="preserve"> US EPA TO-17 methods)</w:t>
      </w:r>
      <w:r w:rsidR="00CD656A">
        <w:t>.</w:t>
      </w:r>
    </w:p>
    <w:p w14:paraId="24B2ED76" w14:textId="3BF8A02F" w:rsidR="00085D6D" w:rsidRDefault="00085D6D" w:rsidP="0015648C">
      <w:pPr>
        <w:pStyle w:val="ListParagraph"/>
        <w:numPr>
          <w:ilvl w:val="0"/>
          <w:numId w:val="22"/>
        </w:numPr>
      </w:pPr>
      <w:r>
        <w:t>(Evacuated) Canisters (</w:t>
      </w:r>
      <w:proofErr w:type="gramStart"/>
      <w:r w:rsidR="00925826">
        <w:t>i.e.</w:t>
      </w:r>
      <w:proofErr w:type="gramEnd"/>
      <w:r w:rsidR="00925826">
        <w:t xml:space="preserve"> </w:t>
      </w:r>
      <w:r>
        <w:t xml:space="preserve">US EPA </w:t>
      </w:r>
      <w:r w:rsidR="00925826">
        <w:t>TO 14A/</w:t>
      </w:r>
      <w:r>
        <w:t>TO-15 methods)</w:t>
      </w:r>
      <w:r w:rsidR="00CD656A">
        <w:t>.</w:t>
      </w:r>
    </w:p>
    <w:p w14:paraId="15DC00D4" w14:textId="2E580F5B" w:rsidR="00085D6D" w:rsidRDefault="00085D6D" w:rsidP="0015648C">
      <w:pPr>
        <w:pStyle w:val="ListParagraph"/>
        <w:numPr>
          <w:ilvl w:val="0"/>
          <w:numId w:val="22"/>
        </w:numPr>
      </w:pPr>
      <w:r>
        <w:t>Passive methods</w:t>
      </w:r>
      <w:r w:rsidR="00CD656A">
        <w:t>.</w:t>
      </w:r>
    </w:p>
    <w:p w14:paraId="194C7E6A" w14:textId="66B52430" w:rsidR="00085D6D" w:rsidRDefault="00085D6D" w:rsidP="00E04410">
      <w:r>
        <w:t xml:space="preserve">Across all these methods it is important to understand the conceptual site model, exposure pathways, preferential pathways, transport across the various compartments, the </w:t>
      </w:r>
      <w:proofErr w:type="gramStart"/>
      <w:r>
        <w:t>COI</w:t>
      </w:r>
      <w:proofErr w:type="gramEnd"/>
      <w:r>
        <w:t xml:space="preserve"> and the required limits of reporting.</w:t>
      </w:r>
      <w:r w:rsidR="00433A74">
        <w:t xml:space="preserve"> </w:t>
      </w:r>
      <w:r w:rsidR="00E04410">
        <w:t>The placement of sampling locations should limit confounding</w:t>
      </w:r>
      <w:r w:rsidR="00CD656A">
        <w:t xml:space="preserve"> (use of pre-sampling surveys for indoor air sampling and removal of indoor sources) and uncontrollable influences such as shallow &lt;1.5m soil </w:t>
      </w:r>
      <w:proofErr w:type="spellStart"/>
      <w:r w:rsidR="00CD656A">
        <w:t>vapour</w:t>
      </w:r>
      <w:proofErr w:type="spellEnd"/>
      <w:r w:rsidR="00CD656A">
        <w:t xml:space="preserve"> implants that are affected by atmospheric and precipitation infiltration.</w:t>
      </w:r>
    </w:p>
    <w:p w14:paraId="5AAA0041" w14:textId="4E3A31EF" w:rsidR="00085D6D" w:rsidRDefault="00B64A35" w:rsidP="00085D6D">
      <w:r>
        <w:t>Further information on respective sampling practices is also presented in CRC CARE (2013) in Appendices F and G. The CRC CARE documentation, however, is orientated towards petroleum hydrocarbons and any information obtained from those sources should ensure the information is relevant to the volatile compound or substance of interest.</w:t>
      </w:r>
    </w:p>
    <w:p w14:paraId="0911D04E" w14:textId="167E527B" w:rsidR="00A47C39" w:rsidRDefault="00DC36ED" w:rsidP="00315015">
      <w:r>
        <w:t>Comprehensive information is available in recent publications from ITRC (2014) and US EPA (2015a).</w:t>
      </w:r>
      <w:r w:rsidR="00433A74">
        <w:t xml:space="preserve"> </w:t>
      </w:r>
      <w:r>
        <w:t xml:space="preserve">The latter being devoted to all </w:t>
      </w:r>
      <w:proofErr w:type="spellStart"/>
      <w:r>
        <w:t>vapour</w:t>
      </w:r>
      <w:proofErr w:type="spellEnd"/>
      <w:r>
        <w:t xml:space="preserve"> intrusion assessment </w:t>
      </w:r>
      <w:r w:rsidR="00315015">
        <w:t xml:space="preserve">and </w:t>
      </w:r>
      <w:r>
        <w:t xml:space="preserve">not being specifically focused </w:t>
      </w:r>
      <w:r w:rsidR="00315015">
        <w:t>o</w:t>
      </w:r>
      <w:r w:rsidR="00E04410">
        <w:t>n petroleum hy</w:t>
      </w:r>
      <w:r w:rsidR="00CB72BE">
        <w:t>drocarbons which was the ITRC (2014) objective</w:t>
      </w:r>
      <w:r w:rsidR="00315015">
        <w:t>.</w:t>
      </w:r>
      <w:r w:rsidR="00E04410">
        <w:t xml:space="preserve"> US EPA (2015a, pp87-105) present general principles and recommendations for sampling across indoor air, outdoor air, soil gas and groundwater for volatiles but do not recommend bulk</w:t>
      </w:r>
      <w:r w:rsidR="00CD656A">
        <w:t xml:space="preserve"> soil sampling </w:t>
      </w:r>
      <w:proofErr w:type="gramStart"/>
      <w:r w:rsidR="00CD656A">
        <w:t>on the basis of</w:t>
      </w:r>
      <w:proofErr w:type="gramEnd"/>
      <w:r w:rsidR="00CD656A">
        <w:t xml:space="preserve"> volatile losses during sampling and limited use in </w:t>
      </w:r>
      <w:proofErr w:type="spellStart"/>
      <w:r w:rsidR="00CD656A">
        <w:t>vapour</w:t>
      </w:r>
      <w:proofErr w:type="spellEnd"/>
      <w:r w:rsidR="00CD656A">
        <w:t xml:space="preserve"> intrusion modelling due to uncertainties regarding partitioning as</w:t>
      </w:r>
      <w:r w:rsidR="00CB72BE">
        <w:t>s</w:t>
      </w:r>
      <w:r w:rsidR="00CD656A">
        <w:t>umptions.</w:t>
      </w:r>
    </w:p>
    <w:p w14:paraId="51D27EA1" w14:textId="41E0DA3D" w:rsidR="00CD656A" w:rsidRDefault="00CD656A" w:rsidP="00315015">
      <w:r>
        <w:t xml:space="preserve">Some of the </w:t>
      </w:r>
      <w:proofErr w:type="gramStart"/>
      <w:r>
        <w:t>US</w:t>
      </w:r>
      <w:proofErr w:type="gramEnd"/>
      <w:r>
        <w:t xml:space="preserve"> EPA (2015a) recommendations are as follows:</w:t>
      </w:r>
    </w:p>
    <w:p w14:paraId="6A212D26" w14:textId="652B721C" w:rsidR="00CD656A" w:rsidRDefault="00CD656A" w:rsidP="0015648C">
      <w:pPr>
        <w:pStyle w:val="ListParagraph"/>
        <w:numPr>
          <w:ilvl w:val="0"/>
          <w:numId w:val="23"/>
        </w:numPr>
      </w:pPr>
      <w:r>
        <w:t>Sampling and analytical methods should be capable of obtaining reliable analytical detection of concentrations less than project appropriate risk-based screening levels (</w:t>
      </w:r>
      <w:proofErr w:type="gramStart"/>
      <w:r>
        <w:t>e.g.</w:t>
      </w:r>
      <w:proofErr w:type="gramEnd"/>
      <w:r>
        <w:t xml:space="preserve"> VISLs) with established site-specific data quality objectives.</w:t>
      </w:r>
    </w:p>
    <w:p w14:paraId="4EC5928F" w14:textId="635B5089" w:rsidR="00CD656A" w:rsidRDefault="00330A05" w:rsidP="0015648C">
      <w:pPr>
        <w:pStyle w:val="ListParagraph"/>
        <w:numPr>
          <w:ilvl w:val="0"/>
          <w:numId w:val="23"/>
        </w:numPr>
      </w:pPr>
      <w:r>
        <w:t>S</w:t>
      </w:r>
      <w:r w:rsidR="00CD656A">
        <w:t xml:space="preserve">ampling locations and durations </w:t>
      </w:r>
      <w:r>
        <w:t xml:space="preserve">should </w:t>
      </w:r>
      <w:proofErr w:type="gramStart"/>
      <w:r>
        <w:t>take</w:t>
      </w:r>
      <w:r w:rsidR="00CD656A">
        <w:t xml:space="preserve"> into account</w:t>
      </w:r>
      <w:proofErr w:type="gramEnd"/>
      <w:r w:rsidR="00CD656A">
        <w:t xml:space="preserve"> spatial and temporal variability</w:t>
      </w:r>
      <w:r>
        <w:t xml:space="preserve"> for characterization of human exposures.</w:t>
      </w:r>
    </w:p>
    <w:p w14:paraId="412D8D2F" w14:textId="7F35B53F" w:rsidR="00330A05" w:rsidRDefault="00330A05" w:rsidP="0015648C">
      <w:pPr>
        <w:pStyle w:val="ListParagraph"/>
        <w:numPr>
          <w:ilvl w:val="0"/>
          <w:numId w:val="23"/>
        </w:numPr>
      </w:pPr>
      <w:r>
        <w:t xml:space="preserve">Several rounds of sampling are recommended to develop an understanding of temporal variability </w:t>
      </w:r>
      <w:proofErr w:type="gramStart"/>
      <w:r>
        <w:t>in order to</w:t>
      </w:r>
      <w:proofErr w:type="gramEnd"/>
      <w:r>
        <w:t xml:space="preserve"> </w:t>
      </w:r>
      <w:r w:rsidR="00CB72BE">
        <w:t>“</w:t>
      </w:r>
      <w:r w:rsidR="00CB72BE" w:rsidRPr="00CB72BE">
        <w:rPr>
          <w:i/>
        </w:rPr>
        <w:t>ensure that final risk management decisions are based upon a consideration of a reasonable maximum vapor intrusion condition</w:t>
      </w:r>
      <w:r w:rsidR="00CB72BE">
        <w:t>” (p88).</w:t>
      </w:r>
    </w:p>
    <w:p w14:paraId="4A7738C2" w14:textId="5F4FD6F0" w:rsidR="00CB72BE" w:rsidRDefault="00CB72BE" w:rsidP="0015648C">
      <w:pPr>
        <w:pStyle w:val="ListParagraph"/>
        <w:numPr>
          <w:ilvl w:val="0"/>
          <w:numId w:val="23"/>
        </w:numPr>
      </w:pPr>
      <w:r>
        <w:lastRenderedPageBreak/>
        <w:t>Indoor air</w:t>
      </w:r>
      <w:r w:rsidR="004D606B">
        <w:t xml:space="preserve"> testing is for the assessment of human health risk and to determine whether </w:t>
      </w:r>
      <w:proofErr w:type="spellStart"/>
      <w:r w:rsidR="004D606B">
        <w:t>vapour</w:t>
      </w:r>
      <w:proofErr w:type="spellEnd"/>
      <w:r w:rsidR="004D606B">
        <w:t xml:space="preserve"> intrusion is occurring.  It provides a direct approach and time-integrated sampling over appropriate exposure durations are recommended.  Due to variability</w:t>
      </w:r>
      <w:r w:rsidR="002F223D">
        <w:t>, “</w:t>
      </w:r>
      <w:r w:rsidR="002F223D" w:rsidRPr="002F223D">
        <w:rPr>
          <w:i/>
        </w:rPr>
        <w:t>a single indoor air sample collected at a randomly chosen time is insufficient information to estimate an average exposure</w:t>
      </w:r>
      <w:r w:rsidR="002F223D">
        <w:t>” (p89).</w:t>
      </w:r>
    </w:p>
    <w:p w14:paraId="7038DF7D" w14:textId="7FDED99B" w:rsidR="00211876" w:rsidRDefault="002F223D" w:rsidP="0015648C">
      <w:pPr>
        <w:pStyle w:val="ListParagraph"/>
        <w:numPr>
          <w:ilvl w:val="0"/>
          <w:numId w:val="23"/>
        </w:numPr>
      </w:pPr>
      <w:r>
        <w:t xml:space="preserve">Indoor </w:t>
      </w:r>
      <w:proofErr w:type="gramStart"/>
      <w:r>
        <w:t>air time</w:t>
      </w:r>
      <w:proofErr w:type="gramEnd"/>
      <w:r>
        <w:t>-integrated samples may be collected using</w:t>
      </w:r>
      <w:r w:rsidR="00211876">
        <w:t>:</w:t>
      </w:r>
      <w:r>
        <w:t xml:space="preserve"> </w:t>
      </w:r>
    </w:p>
    <w:p w14:paraId="14F5AEE0" w14:textId="6530FD73" w:rsidR="002F223D" w:rsidRDefault="00211876" w:rsidP="0015648C">
      <w:pPr>
        <w:pStyle w:val="ListParagraph"/>
        <w:numPr>
          <w:ilvl w:val="1"/>
          <w:numId w:val="23"/>
        </w:numPr>
      </w:pPr>
      <w:r>
        <w:t>E</w:t>
      </w:r>
      <w:r w:rsidR="002F223D">
        <w:t>vacuated canisters as described in EPA Methods TO-14A and TO-15.  Canisters should be certified clean with flow rates checked periodically during the period of sampling.  Variability acceptance rates should be +/- 30% (p90).</w:t>
      </w:r>
    </w:p>
    <w:p w14:paraId="23782415" w14:textId="4744D94E" w:rsidR="00211876" w:rsidRDefault="00211876" w:rsidP="0015648C">
      <w:pPr>
        <w:pStyle w:val="ListParagraph"/>
        <w:numPr>
          <w:ilvl w:val="1"/>
          <w:numId w:val="23"/>
        </w:numPr>
      </w:pPr>
      <w:r>
        <w:t>Sorbent samplers as used in occupational hygiene.  These may include those in active model where air is drawn through the sampler (advection) or those in passive mode based on diffusion of air.  The latter have shown good correlation with active techniques provided the limitations of the samplers are understood.</w:t>
      </w:r>
    </w:p>
    <w:p w14:paraId="37515848" w14:textId="13FBACA4" w:rsidR="00211876" w:rsidRDefault="00211876" w:rsidP="0015648C">
      <w:pPr>
        <w:pStyle w:val="ListParagraph"/>
        <w:numPr>
          <w:ilvl w:val="0"/>
          <w:numId w:val="23"/>
        </w:numPr>
      </w:pPr>
      <w:r>
        <w:t>Samples should be collected directly above the foundation floor (basement or crawl space) and in the living areas at the breathing level zone height for the most sensitive population</w:t>
      </w:r>
      <w:r w:rsidR="00433A74">
        <w:t>.</w:t>
      </w:r>
      <w:r>
        <w:t xml:space="preserve"> In larger areas consideration should be given based on internal partitions; HVAC layout; sub-surface contaminant distribution; observable entry points, closed rooms.</w:t>
      </w:r>
    </w:p>
    <w:p w14:paraId="6B297C12" w14:textId="6028A4B8" w:rsidR="00211876" w:rsidRDefault="00211876" w:rsidP="0015648C">
      <w:pPr>
        <w:pStyle w:val="ListParagraph"/>
        <w:numPr>
          <w:ilvl w:val="0"/>
          <w:numId w:val="23"/>
        </w:numPr>
      </w:pPr>
      <w:r>
        <w:t>Multiple rounds of i</w:t>
      </w:r>
      <w:r w:rsidR="00E03BC7">
        <w:t>ndoor air testing are recommended and indoor source identification (</w:t>
      </w:r>
      <w:proofErr w:type="gramStart"/>
      <w:r w:rsidR="00E03BC7">
        <w:t>e.g.</w:t>
      </w:r>
      <w:proofErr w:type="gramEnd"/>
      <w:r w:rsidR="00E03BC7">
        <w:t xml:space="preserve"> pre-sampling survey)</w:t>
      </w:r>
      <w:r w:rsidR="00F73597">
        <w:t xml:space="preserve"> </w:t>
      </w:r>
      <w:r w:rsidR="00E03BC7">
        <w:t xml:space="preserve">and </w:t>
      </w:r>
      <w:r w:rsidR="00F73597">
        <w:t xml:space="preserve">subsequent </w:t>
      </w:r>
      <w:r w:rsidR="00E03BC7">
        <w:t>removal</w:t>
      </w:r>
      <w:r w:rsidR="00F73597">
        <w:t xml:space="preserve"> of identified sources should be undertaken</w:t>
      </w:r>
      <w:r w:rsidR="00E03BC7">
        <w:t xml:space="preserve"> to avoid o</w:t>
      </w:r>
      <w:r w:rsidR="00F73597">
        <w:t>r minimize confounding</w:t>
      </w:r>
      <w:r w:rsidR="00E03BC7">
        <w:t>.</w:t>
      </w:r>
      <w:r w:rsidR="00433A74">
        <w:t xml:space="preserve"> </w:t>
      </w:r>
      <w:r w:rsidR="00E97803">
        <w:t>Indoor sources</w:t>
      </w:r>
      <w:r w:rsidR="00E03BC7">
        <w:t xml:space="preserve"> should be removed 24-72 hours prior to the start of sampling.</w:t>
      </w:r>
    </w:p>
    <w:p w14:paraId="58FAD623" w14:textId="68277549" w:rsidR="00E03BC7" w:rsidRPr="003C65EF" w:rsidRDefault="00E03BC7" w:rsidP="0015648C">
      <w:pPr>
        <w:pStyle w:val="ListParagraph"/>
        <w:numPr>
          <w:ilvl w:val="0"/>
          <w:numId w:val="23"/>
        </w:numPr>
      </w:pPr>
      <w:r>
        <w:t>Concurrent sampling should be undertaken for indoor air, sub-slab and outdoor (ambient) air.</w:t>
      </w:r>
    </w:p>
    <w:p w14:paraId="58653558" w14:textId="471A1FB6" w:rsidR="000B347D" w:rsidRDefault="00E03BC7" w:rsidP="0015648C">
      <w:pPr>
        <w:pStyle w:val="ListParagraph"/>
        <w:numPr>
          <w:ilvl w:val="0"/>
          <w:numId w:val="23"/>
        </w:numPr>
        <w:spacing w:after="0"/>
      </w:pPr>
      <w:r>
        <w:t xml:space="preserve">Grab samples may be used in some cases to examine entry points, identify indoor contributors, and </w:t>
      </w:r>
      <w:r w:rsidR="00F73597">
        <w:t>identify</w:t>
      </w:r>
      <w:r>
        <w:t xml:space="preserve"> indoor </w:t>
      </w:r>
      <w:proofErr w:type="spellStart"/>
      <w:r>
        <w:t>vapour</w:t>
      </w:r>
      <w:proofErr w:type="spellEnd"/>
      <w:r>
        <w:t xml:space="preserve"> intrusion volatile</w:t>
      </w:r>
      <w:r w:rsidR="00F73597">
        <w:t>s</w:t>
      </w:r>
      <w:r>
        <w:t>.</w:t>
      </w:r>
    </w:p>
    <w:p w14:paraId="3ABEADF0" w14:textId="388AF2BD" w:rsidR="00E03BC7" w:rsidRDefault="00E97803" w:rsidP="0015648C">
      <w:pPr>
        <w:pStyle w:val="ListParagraph"/>
        <w:numPr>
          <w:ilvl w:val="0"/>
          <w:numId w:val="23"/>
        </w:numPr>
        <w:spacing w:after="0"/>
      </w:pPr>
      <w:r>
        <w:t xml:space="preserve">Supplementary </w:t>
      </w:r>
      <w:r w:rsidR="00E03BC7">
        <w:t>data</w:t>
      </w:r>
      <w:r>
        <w:t xml:space="preserve"> that should</w:t>
      </w:r>
      <w:r w:rsidR="00E03BC7">
        <w:t xml:space="preserve"> be collected</w:t>
      </w:r>
      <w:r>
        <w:t xml:space="preserve"> include</w:t>
      </w:r>
      <w:r w:rsidR="00E03BC7">
        <w:t>:</w:t>
      </w:r>
    </w:p>
    <w:p w14:paraId="4969E594" w14:textId="5E30B6B7" w:rsidR="00E03BC7" w:rsidRDefault="00E03BC7" w:rsidP="0015648C">
      <w:pPr>
        <w:pStyle w:val="ListParagraph"/>
        <w:numPr>
          <w:ilvl w:val="1"/>
          <w:numId w:val="23"/>
        </w:numPr>
        <w:spacing w:after="0"/>
      </w:pPr>
      <w:r>
        <w:t>Building occupancy – occupant characteristics, hours of occupancy- USEPA recommends considering hours of building occupancy when establishing the sampling duration for characterizing indoor air exposures.</w:t>
      </w:r>
    </w:p>
    <w:p w14:paraId="0DDE83CB" w14:textId="024DF5BE" w:rsidR="0007168B" w:rsidRDefault="0007168B" w:rsidP="0015648C">
      <w:pPr>
        <w:pStyle w:val="ListParagraph"/>
        <w:numPr>
          <w:ilvl w:val="1"/>
          <w:numId w:val="23"/>
        </w:numPr>
        <w:spacing w:after="0"/>
      </w:pPr>
      <w:r>
        <w:t>Pressure differentials be measured between indoors and sub-slab.</w:t>
      </w:r>
    </w:p>
    <w:p w14:paraId="55256D94" w14:textId="7F481714" w:rsidR="0007168B" w:rsidRDefault="0007168B" w:rsidP="0015648C">
      <w:pPr>
        <w:pStyle w:val="ListParagraph"/>
        <w:numPr>
          <w:ilvl w:val="1"/>
          <w:numId w:val="23"/>
        </w:numPr>
        <w:spacing w:after="0"/>
      </w:pPr>
      <w:r>
        <w:t>Presence and operation of a mitigation system.</w:t>
      </w:r>
    </w:p>
    <w:p w14:paraId="2509C159" w14:textId="58716685" w:rsidR="0007168B" w:rsidRDefault="0007168B" w:rsidP="0015648C">
      <w:pPr>
        <w:pStyle w:val="ListParagraph"/>
        <w:numPr>
          <w:ilvl w:val="1"/>
          <w:numId w:val="23"/>
        </w:numPr>
        <w:spacing w:after="0"/>
      </w:pPr>
      <w:r>
        <w:t>Physical conditions – cracks, drains, crawl spaces, foundation modifications.</w:t>
      </w:r>
    </w:p>
    <w:p w14:paraId="1176D63C" w14:textId="388272BC" w:rsidR="0007168B" w:rsidRDefault="0007168B" w:rsidP="0015648C">
      <w:pPr>
        <w:pStyle w:val="ListParagraph"/>
        <w:numPr>
          <w:ilvl w:val="1"/>
          <w:numId w:val="23"/>
        </w:numPr>
        <w:spacing w:after="0"/>
      </w:pPr>
      <w:r>
        <w:t xml:space="preserve">Building heating, </w:t>
      </w:r>
      <w:proofErr w:type="gramStart"/>
      <w:r>
        <w:t>ventilation</w:t>
      </w:r>
      <w:proofErr w:type="gramEnd"/>
      <w:r>
        <w:t xml:space="preserve"> and cooling.</w:t>
      </w:r>
    </w:p>
    <w:p w14:paraId="4EBA5460" w14:textId="4A998C46" w:rsidR="0007168B" w:rsidRDefault="0007168B" w:rsidP="0015648C">
      <w:pPr>
        <w:pStyle w:val="ListParagraph"/>
        <w:numPr>
          <w:ilvl w:val="1"/>
          <w:numId w:val="23"/>
        </w:numPr>
        <w:spacing w:after="0"/>
      </w:pPr>
      <w:r>
        <w:t>HVAC operating characteristics</w:t>
      </w:r>
    </w:p>
    <w:p w14:paraId="7FA72D45" w14:textId="03A2460C" w:rsidR="0007168B" w:rsidRDefault="0007168B" w:rsidP="0015648C">
      <w:pPr>
        <w:pStyle w:val="ListParagraph"/>
        <w:numPr>
          <w:ilvl w:val="1"/>
          <w:numId w:val="23"/>
        </w:numPr>
        <w:spacing w:after="0"/>
      </w:pPr>
      <w:r>
        <w:t xml:space="preserve">Indoor and outdoor sources of </w:t>
      </w:r>
      <w:proofErr w:type="spellStart"/>
      <w:r>
        <w:t>vapour</w:t>
      </w:r>
      <w:proofErr w:type="spellEnd"/>
      <w:r>
        <w:t>-forming chemicals</w:t>
      </w:r>
    </w:p>
    <w:p w14:paraId="0365DF61" w14:textId="4FA060E3" w:rsidR="0007168B" w:rsidRDefault="0007168B" w:rsidP="0015648C">
      <w:pPr>
        <w:pStyle w:val="ListParagraph"/>
        <w:numPr>
          <w:ilvl w:val="1"/>
          <w:numId w:val="23"/>
        </w:numPr>
        <w:spacing w:after="0"/>
      </w:pPr>
      <w:r>
        <w:t>Basement sumps and groundwater testing.</w:t>
      </w:r>
    </w:p>
    <w:p w14:paraId="56B1C50C" w14:textId="58926FB5" w:rsidR="0007168B" w:rsidRDefault="0007168B" w:rsidP="0015648C">
      <w:pPr>
        <w:pStyle w:val="ListParagraph"/>
        <w:numPr>
          <w:ilvl w:val="1"/>
          <w:numId w:val="23"/>
        </w:numPr>
        <w:spacing w:after="0"/>
      </w:pPr>
      <w:r>
        <w:t>Presence and operation of any indoor air treatment systems.</w:t>
      </w:r>
    </w:p>
    <w:p w14:paraId="38A85735" w14:textId="37C9F0EC" w:rsidR="002F223D" w:rsidRDefault="0007168B" w:rsidP="0015648C">
      <w:pPr>
        <w:pStyle w:val="ListParagraph"/>
        <w:numPr>
          <w:ilvl w:val="0"/>
          <w:numId w:val="23"/>
        </w:numPr>
        <w:spacing w:after="0"/>
      </w:pPr>
      <w:r>
        <w:t>Outdoor sampling to characterize ambient air at one to two locations surrounding the building of interest</w:t>
      </w:r>
      <w:r w:rsidR="00CA6ABF">
        <w:t xml:space="preserve"> at equivalent durations to indoor air </w:t>
      </w:r>
      <w:proofErr w:type="gramStart"/>
      <w:r w:rsidR="00CA6ABF">
        <w:t>samples</w:t>
      </w:r>
      <w:proofErr w:type="gramEnd"/>
    </w:p>
    <w:p w14:paraId="592C57B0" w14:textId="54B27C70" w:rsidR="00925826" w:rsidRDefault="00925826" w:rsidP="0015648C">
      <w:pPr>
        <w:pStyle w:val="ListParagraph"/>
        <w:numPr>
          <w:ilvl w:val="0"/>
          <w:numId w:val="23"/>
        </w:numPr>
        <w:spacing w:after="0"/>
      </w:pPr>
      <w:r>
        <w:t>Evaluation and development of analyte lists.</w:t>
      </w:r>
    </w:p>
    <w:p w14:paraId="5E5CB86A" w14:textId="63298E8E" w:rsidR="00925826" w:rsidRDefault="00925826" w:rsidP="0015648C">
      <w:pPr>
        <w:pStyle w:val="ListParagraph"/>
        <w:numPr>
          <w:ilvl w:val="0"/>
          <w:numId w:val="23"/>
        </w:numPr>
        <w:spacing w:after="0"/>
      </w:pPr>
      <w:r>
        <w:t>Complementary data such as measured air exchange rates.</w:t>
      </w:r>
    </w:p>
    <w:p w14:paraId="4C4EC61C" w14:textId="6C14DD4E" w:rsidR="00925826" w:rsidRDefault="00925826" w:rsidP="0015648C">
      <w:pPr>
        <w:pStyle w:val="ListParagraph"/>
        <w:numPr>
          <w:ilvl w:val="0"/>
          <w:numId w:val="23"/>
        </w:numPr>
        <w:spacing w:after="0"/>
      </w:pPr>
      <w:r>
        <w:t>Sub-slab sampling consistent with US EPA-ERT 2007 Standard Operating Procedure.</w:t>
      </w:r>
    </w:p>
    <w:p w14:paraId="777AF710" w14:textId="2668196E" w:rsidR="00925826" w:rsidRDefault="00FE7EFF" w:rsidP="0015648C">
      <w:pPr>
        <w:pStyle w:val="ListParagraph"/>
        <w:numPr>
          <w:ilvl w:val="1"/>
          <w:numId w:val="23"/>
        </w:numPr>
        <w:spacing w:after="0"/>
      </w:pPr>
      <w:r>
        <w:t xml:space="preserve">Due to spatial variability multiple sample locations should be used, </w:t>
      </w:r>
      <w:proofErr w:type="gramStart"/>
      <w:r>
        <w:t>e.g.</w:t>
      </w:r>
      <w:proofErr w:type="gramEnd"/>
      <w:r>
        <w:t xml:space="preserve"> 3 samples per 1500 square feet (~150m</w:t>
      </w:r>
      <w:r w:rsidRPr="00FE7EFF">
        <w:rPr>
          <w:vertAlign w:val="superscript"/>
        </w:rPr>
        <w:t>2</w:t>
      </w:r>
      <w:r>
        <w:t>).</w:t>
      </w:r>
    </w:p>
    <w:p w14:paraId="2C5E95A3" w14:textId="17234FF1" w:rsidR="00FE7EFF" w:rsidRDefault="00FE7EFF" w:rsidP="0015648C">
      <w:pPr>
        <w:pStyle w:val="ListParagraph"/>
        <w:numPr>
          <w:ilvl w:val="1"/>
          <w:numId w:val="23"/>
        </w:numPr>
        <w:spacing w:after="0"/>
      </w:pPr>
      <w:r>
        <w:t>Should include one centrally located sampling point.</w:t>
      </w:r>
    </w:p>
    <w:p w14:paraId="78620007" w14:textId="6D26ADAB" w:rsidR="00FE7EFF" w:rsidRDefault="00FE7EFF" w:rsidP="0015648C">
      <w:pPr>
        <w:pStyle w:val="ListParagraph"/>
        <w:numPr>
          <w:ilvl w:val="1"/>
          <w:numId w:val="23"/>
        </w:numPr>
        <w:spacing w:after="0"/>
      </w:pPr>
      <w:r>
        <w:lastRenderedPageBreak/>
        <w:t>Several rounds are recommended for assessing temporal variability.</w:t>
      </w:r>
    </w:p>
    <w:p w14:paraId="7FE15EF2" w14:textId="7799A278" w:rsidR="006274A7" w:rsidRDefault="006274A7" w:rsidP="0015648C">
      <w:pPr>
        <w:pStyle w:val="ListParagraph"/>
        <w:numPr>
          <w:ilvl w:val="1"/>
          <w:numId w:val="23"/>
        </w:numPr>
        <w:spacing w:after="0"/>
      </w:pPr>
      <w:r>
        <w:t xml:space="preserve">Leak testing be performed, </w:t>
      </w:r>
      <w:proofErr w:type="gramStart"/>
      <w:r>
        <w:t>e.g.</w:t>
      </w:r>
      <w:proofErr w:type="gramEnd"/>
      <w:r>
        <w:t xml:space="preserve"> helium.</w:t>
      </w:r>
    </w:p>
    <w:p w14:paraId="5BFACF0D" w14:textId="3C1CD692" w:rsidR="006274A7" w:rsidRDefault="006274A7" w:rsidP="0015648C">
      <w:pPr>
        <w:pStyle w:val="ListParagraph"/>
        <w:numPr>
          <w:ilvl w:val="1"/>
          <w:numId w:val="23"/>
        </w:numPr>
        <w:spacing w:after="0"/>
      </w:pPr>
      <w:r>
        <w:t>An equilibrium time of at least two hours be allowed prior to sampling following sampler implants.</w:t>
      </w:r>
    </w:p>
    <w:p w14:paraId="3960853E" w14:textId="7BD4E860" w:rsidR="006274A7" w:rsidRDefault="006274A7" w:rsidP="0015648C">
      <w:pPr>
        <w:pStyle w:val="ListParagraph"/>
        <w:numPr>
          <w:ilvl w:val="1"/>
          <w:numId w:val="23"/>
        </w:numPr>
        <w:spacing w:after="0"/>
      </w:pPr>
      <w:r>
        <w:t>Identifying sub-slab cables, avoiding groundwater areas, and underground utilities and structures.</w:t>
      </w:r>
    </w:p>
    <w:p w14:paraId="31E3A72F" w14:textId="75B160E6" w:rsidR="006274A7" w:rsidRDefault="006274A7" w:rsidP="0015648C">
      <w:pPr>
        <w:pStyle w:val="ListParagraph"/>
        <w:numPr>
          <w:ilvl w:val="1"/>
          <w:numId w:val="23"/>
        </w:numPr>
        <w:spacing w:after="0"/>
      </w:pPr>
      <w:r>
        <w:t>Basement wall samples should be considered.</w:t>
      </w:r>
    </w:p>
    <w:p w14:paraId="30DF43E7" w14:textId="4D01A599" w:rsidR="006274A7" w:rsidRDefault="006274A7" w:rsidP="0015648C">
      <w:pPr>
        <w:pStyle w:val="ListParagraph"/>
        <w:numPr>
          <w:ilvl w:val="1"/>
          <w:numId w:val="23"/>
        </w:numPr>
        <w:spacing w:after="0"/>
      </w:pPr>
      <w:r>
        <w:t>Additional complementary data as per 10. Above.</w:t>
      </w:r>
    </w:p>
    <w:p w14:paraId="533AB067" w14:textId="15D72A3F" w:rsidR="006274A7" w:rsidRDefault="006274A7" w:rsidP="0015648C">
      <w:pPr>
        <w:pStyle w:val="ListParagraph"/>
        <w:numPr>
          <w:ilvl w:val="1"/>
          <w:numId w:val="23"/>
        </w:numPr>
        <w:spacing w:after="0"/>
      </w:pPr>
      <w:r>
        <w:t>Collection of relevant meteorological data that can influence soil gas concentrations.</w:t>
      </w:r>
    </w:p>
    <w:p w14:paraId="7A7C623D" w14:textId="7CBC9512" w:rsidR="006274A7" w:rsidRDefault="006274A7" w:rsidP="0015648C">
      <w:pPr>
        <w:pStyle w:val="ListParagraph"/>
        <w:numPr>
          <w:ilvl w:val="1"/>
          <w:numId w:val="23"/>
        </w:numPr>
        <w:spacing w:after="0"/>
      </w:pPr>
      <w:r>
        <w:t xml:space="preserve">Installation after indoor air sampling or before </w:t>
      </w:r>
      <w:r w:rsidR="00E97803">
        <w:t xml:space="preserve">provided </w:t>
      </w:r>
      <w:r>
        <w:t>sufficient indoor clearance of introduce</w:t>
      </w:r>
      <w:r w:rsidR="00E97803">
        <w:t>d</w:t>
      </w:r>
      <w:r>
        <w:t xml:space="preserve"> volatiles from the sub-slab installation</w:t>
      </w:r>
      <w:r w:rsidR="00E97803">
        <w:t xml:space="preserve"> </w:t>
      </w:r>
      <w:proofErr w:type="spellStart"/>
      <w:r w:rsidR="00E97803">
        <w:t>occurrs</w:t>
      </w:r>
      <w:proofErr w:type="spellEnd"/>
      <w:r>
        <w:t>.</w:t>
      </w:r>
    </w:p>
    <w:p w14:paraId="57527DBF" w14:textId="5607A66B" w:rsidR="006274A7" w:rsidRDefault="00F32336" w:rsidP="0015648C">
      <w:pPr>
        <w:pStyle w:val="ListParagraph"/>
        <w:numPr>
          <w:ilvl w:val="0"/>
          <w:numId w:val="23"/>
        </w:numPr>
        <w:spacing w:after="0"/>
      </w:pPr>
      <w:r>
        <w:t>Soil gas installation consistent with US EPA-ERT 2001 Standard Operating Procedure</w:t>
      </w:r>
      <w:r w:rsidR="00B61B28">
        <w:t>.</w:t>
      </w:r>
    </w:p>
    <w:p w14:paraId="44A419AA" w14:textId="77777777" w:rsidR="00B61B28" w:rsidRPr="00B61B28" w:rsidRDefault="00B61B28" w:rsidP="0015648C">
      <w:pPr>
        <w:pStyle w:val="ListParagraph"/>
        <w:numPr>
          <w:ilvl w:val="1"/>
          <w:numId w:val="23"/>
        </w:numPr>
      </w:pPr>
      <w:r w:rsidRPr="00B61B28">
        <w:t>Equilibration time of 2 hours for temporary driven probes and 48 hours for permanent probes.</w:t>
      </w:r>
    </w:p>
    <w:p w14:paraId="121FC2AD" w14:textId="77777777" w:rsidR="002D5D00" w:rsidRDefault="002D5D00" w:rsidP="0015648C">
      <w:pPr>
        <w:pStyle w:val="ListParagraph"/>
        <w:numPr>
          <w:ilvl w:val="1"/>
          <w:numId w:val="23"/>
        </w:numPr>
        <w:spacing w:after="0"/>
      </w:pPr>
      <w:r>
        <w:t>Meteorological conditions be recorded.</w:t>
      </w:r>
    </w:p>
    <w:p w14:paraId="7E8832CE" w14:textId="4C596087" w:rsidR="00B61B28" w:rsidRDefault="002D5D00" w:rsidP="0015648C">
      <w:pPr>
        <w:pStyle w:val="ListParagraph"/>
        <w:numPr>
          <w:ilvl w:val="1"/>
          <w:numId w:val="23"/>
        </w:numPr>
        <w:spacing w:after="0"/>
      </w:pPr>
      <w:r>
        <w:t xml:space="preserve">Samples should preferably be taken directly beneath the building as </w:t>
      </w:r>
      <w:proofErr w:type="spellStart"/>
      <w:r>
        <w:t>vapours</w:t>
      </w:r>
      <w:proofErr w:type="spellEnd"/>
      <w:r>
        <w:t xml:space="preserve"> are greater beneath the building than from those outside, </w:t>
      </w:r>
      <w:proofErr w:type="gramStart"/>
      <w:r>
        <w:t>i.e.</w:t>
      </w:r>
      <w:proofErr w:type="gramEnd"/>
      <w:r>
        <w:t xml:space="preserve"> ‘exterior’ gas samples.</w:t>
      </w:r>
    </w:p>
    <w:p w14:paraId="1BD909F0" w14:textId="3DA577D4" w:rsidR="002D5D00" w:rsidRDefault="002D5D00" w:rsidP="0015648C">
      <w:pPr>
        <w:pStyle w:val="ListParagraph"/>
        <w:numPr>
          <w:ilvl w:val="1"/>
          <w:numId w:val="23"/>
        </w:numPr>
        <w:spacing w:after="0"/>
      </w:pPr>
      <w:r>
        <w:t xml:space="preserve">Deeper soil gas samples collected in the vadose zone immediately above the source of </w:t>
      </w:r>
      <w:proofErr w:type="spellStart"/>
      <w:r>
        <w:t>vapour</w:t>
      </w:r>
      <w:proofErr w:type="spellEnd"/>
      <w:r>
        <w:t xml:space="preserve"> contamination are less susceptible to </w:t>
      </w:r>
      <w:r w:rsidR="00772EAE">
        <w:t>ambient air infiltration and should be collected.</w:t>
      </w:r>
    </w:p>
    <w:p w14:paraId="0FF2D536" w14:textId="3446CDDA" w:rsidR="00772EAE" w:rsidRDefault="00772EAE" w:rsidP="0015648C">
      <w:pPr>
        <w:pStyle w:val="ListParagraph"/>
        <w:numPr>
          <w:ilvl w:val="1"/>
          <w:numId w:val="23"/>
        </w:numPr>
        <w:spacing w:after="0"/>
      </w:pPr>
      <w:r>
        <w:t xml:space="preserve">Several rounds of sampling are recommended due to temporal </w:t>
      </w:r>
      <w:proofErr w:type="gramStart"/>
      <w:r>
        <w:t>variance</w:t>
      </w:r>
      <w:proofErr w:type="gramEnd"/>
    </w:p>
    <w:p w14:paraId="42072C06" w14:textId="551C4574" w:rsidR="002F223D" w:rsidRDefault="002F223D" w:rsidP="00B61B28">
      <w:pPr>
        <w:spacing w:after="0"/>
        <w:ind w:left="348"/>
      </w:pPr>
    </w:p>
    <w:p w14:paraId="38A14BA2" w14:textId="1244167D" w:rsidR="002F223D" w:rsidRDefault="00925826" w:rsidP="000B347D">
      <w:pPr>
        <w:spacing w:after="0"/>
      </w:pPr>
      <w:r>
        <w:t>ITRC (2014)</w:t>
      </w:r>
      <w:r w:rsidR="00FE7EFF">
        <w:t xml:space="preserve"> has developed a comprehensive guidance document with detailed information </w:t>
      </w:r>
      <w:r w:rsidR="00EF2E4C">
        <w:t>on sampling practices presented in Appendix G, “</w:t>
      </w:r>
      <w:r w:rsidR="00EF2E4C" w:rsidRPr="00EF2E4C">
        <w:rPr>
          <w:i/>
        </w:rPr>
        <w:t>Investigation Methods and Analysis Toolbox</w:t>
      </w:r>
      <w:r w:rsidR="00EF2E4C">
        <w:t>”, pp179-246. Some useful summary table information has been included from this source in Appendix 1, 2 and 3 being respectfully:</w:t>
      </w:r>
    </w:p>
    <w:p w14:paraId="65923FAA" w14:textId="73F80531" w:rsidR="00EF2E4C" w:rsidRDefault="00EF2E4C" w:rsidP="0015648C">
      <w:pPr>
        <w:pStyle w:val="ListParagraph"/>
        <w:numPr>
          <w:ilvl w:val="0"/>
          <w:numId w:val="24"/>
        </w:numPr>
        <w:spacing w:after="0"/>
      </w:pPr>
      <w:r>
        <w:t>“</w:t>
      </w:r>
      <w:r w:rsidRPr="00EF2E4C">
        <w:rPr>
          <w:i/>
        </w:rPr>
        <w:t>Summary of analytical methods for soil gas, indoor, and ambient air samples</w:t>
      </w:r>
      <w:r>
        <w:t>”.</w:t>
      </w:r>
    </w:p>
    <w:p w14:paraId="1A6CDC2C" w14:textId="12D60F2D" w:rsidR="00EF2E4C" w:rsidRDefault="00EF2E4C" w:rsidP="0015648C">
      <w:pPr>
        <w:pStyle w:val="ListParagraph"/>
        <w:numPr>
          <w:ilvl w:val="0"/>
          <w:numId w:val="24"/>
        </w:numPr>
        <w:spacing w:after="0"/>
      </w:pPr>
      <w:r>
        <w:t>“</w:t>
      </w:r>
      <w:r w:rsidRPr="00EF2E4C">
        <w:rPr>
          <w:i/>
        </w:rPr>
        <w:t>Matrix of recommendations for various quantitative options to evaluate vapor intrusion</w:t>
      </w:r>
      <w:r>
        <w:t>”.</w:t>
      </w:r>
    </w:p>
    <w:p w14:paraId="7E2CF4BF" w14:textId="0096FE01" w:rsidR="00EF2E4C" w:rsidRDefault="00EF2E4C" w:rsidP="0015648C">
      <w:pPr>
        <w:pStyle w:val="ListParagraph"/>
        <w:numPr>
          <w:ilvl w:val="0"/>
          <w:numId w:val="24"/>
        </w:numPr>
        <w:spacing w:after="0"/>
      </w:pPr>
      <w:r>
        <w:t>“</w:t>
      </w:r>
      <w:r w:rsidRPr="00EF2E4C">
        <w:rPr>
          <w:i/>
        </w:rPr>
        <w:t>Advantages and disadvantages of various investigative strategies</w:t>
      </w:r>
      <w:r>
        <w:t>”.</w:t>
      </w:r>
    </w:p>
    <w:p w14:paraId="0657EA92" w14:textId="3451D4D0" w:rsidR="00925826" w:rsidRDefault="00925826" w:rsidP="000B347D">
      <w:pPr>
        <w:spacing w:after="0"/>
      </w:pPr>
    </w:p>
    <w:p w14:paraId="08C58C4F" w14:textId="7C08638B" w:rsidR="006477E1" w:rsidRDefault="00925826" w:rsidP="00824A6B">
      <w:pPr>
        <w:spacing w:after="0"/>
      </w:pPr>
      <w:r>
        <w:t xml:space="preserve">The interpretation of </w:t>
      </w:r>
      <w:r w:rsidR="00EF2E4C">
        <w:t xml:space="preserve">sampling </w:t>
      </w:r>
      <w:r>
        <w:t xml:space="preserve">data </w:t>
      </w:r>
      <w:r w:rsidR="00926C79">
        <w:t>for assessment purposes s</w:t>
      </w:r>
      <w:r>
        <w:t>eeks to determine (a)</w:t>
      </w:r>
      <w:r w:rsidR="00926C79">
        <w:t xml:space="preserve"> whether </w:t>
      </w:r>
      <w:proofErr w:type="spellStart"/>
      <w:r w:rsidR="00926C79">
        <w:t>vapour</w:t>
      </w:r>
      <w:proofErr w:type="spellEnd"/>
      <w:r w:rsidR="00926C79">
        <w:t xml:space="preserve"> intrusion is occurring and (b) what risks are associated with the indoor air exposures </w:t>
      </w:r>
      <w:proofErr w:type="gramStart"/>
      <w:r w:rsidR="00926C79">
        <w:t>by</w:t>
      </w:r>
      <w:proofErr w:type="gramEnd"/>
      <w:r w:rsidR="00926C79">
        <w:t xml:space="preserve"> </w:t>
      </w:r>
    </w:p>
    <w:p w14:paraId="4CD396AE" w14:textId="690128CA" w:rsidR="002F223D" w:rsidRDefault="00926C79" w:rsidP="00824A6B">
      <w:pPr>
        <w:spacing w:after="0"/>
      </w:pPr>
      <w:r>
        <w:t>occupants. Concurrent testing across transport compartments including ambient air, enables evaluation of relationships of COPC across those compartments</w:t>
      </w:r>
      <w:r w:rsidR="00824A6B">
        <w:t xml:space="preserve"> and potentially source apportionment</w:t>
      </w:r>
      <w:r>
        <w:t xml:space="preserve">. </w:t>
      </w:r>
      <w:proofErr w:type="gramStart"/>
      <w:r>
        <w:t>In order to</w:t>
      </w:r>
      <w:proofErr w:type="gramEnd"/>
      <w:r>
        <w:t xml:space="preserve"> achieve this, it is important that the analytical profiles are consistent and that reporting limits are sufficient</w:t>
      </w:r>
      <w:r w:rsidR="00824A6B">
        <w:t xml:space="preserve">. Lower reporting limits will be required as one progresses to above ground sampling. Extension of the </w:t>
      </w:r>
      <w:proofErr w:type="spellStart"/>
      <w:r w:rsidR="00824A6B">
        <w:t>vapour</w:t>
      </w:r>
      <w:proofErr w:type="spellEnd"/>
      <w:r w:rsidR="00824A6B">
        <w:t xml:space="preserve"> transport compartment analysis can be made by inclusion of soil and groundwater contaminant concentrations </w:t>
      </w:r>
      <w:proofErr w:type="gramStart"/>
      <w:r w:rsidR="00824A6B">
        <w:t>in order to</w:t>
      </w:r>
      <w:proofErr w:type="gramEnd"/>
      <w:r w:rsidR="00824A6B">
        <w:t xml:space="preserve"> examine potential sources. Source characterization is important in ensuring impacts associated with that source are confirmed and can subsequently be remediated or mitigated.</w:t>
      </w:r>
    </w:p>
    <w:p w14:paraId="3AEE0161" w14:textId="42E2F791" w:rsidR="00824A6B" w:rsidRDefault="00824A6B" w:rsidP="00824A6B">
      <w:pPr>
        <w:spacing w:after="0"/>
      </w:pPr>
    </w:p>
    <w:p w14:paraId="251626AD" w14:textId="1C1DF39E" w:rsidR="00222634" w:rsidRDefault="00824A6B" w:rsidP="00824A6B">
      <w:pPr>
        <w:spacing w:after="0"/>
      </w:pPr>
      <w:r>
        <w:t>In terms of exposure assessment and risk,</w:t>
      </w:r>
      <w:r w:rsidR="00222634">
        <w:t xml:space="preserve"> once available data have been collected the options default to those</w:t>
      </w:r>
      <w:r>
        <w:t xml:space="preserve"> </w:t>
      </w:r>
      <w:r w:rsidR="00222634">
        <w:t>associated with risk assessment practice</w:t>
      </w:r>
      <w:r w:rsidR="00E3198A">
        <w:t xml:space="preserve"> (refer earlier)</w:t>
      </w:r>
      <w:r w:rsidR="00222634">
        <w:t xml:space="preserve"> and will vary depending on the stage and level of assessment being undertaken:</w:t>
      </w:r>
    </w:p>
    <w:p w14:paraId="0D215817" w14:textId="343258C5" w:rsidR="00222634" w:rsidRDefault="00222634" w:rsidP="00824A6B">
      <w:pPr>
        <w:spacing w:after="0"/>
      </w:pPr>
    </w:p>
    <w:p w14:paraId="0A844247" w14:textId="6C86B648" w:rsidR="00222634" w:rsidRDefault="00222634" w:rsidP="00824A6B">
      <w:pPr>
        <w:spacing w:after="0"/>
      </w:pPr>
      <w:r w:rsidRPr="00792FC4">
        <w:rPr>
          <w:i/>
        </w:rPr>
        <w:t>Tier 1 assessment</w:t>
      </w:r>
      <w:r>
        <w:t xml:space="preserve"> – </w:t>
      </w:r>
      <w:r w:rsidR="00792FC4">
        <w:t xml:space="preserve">Semi-quantitative assessment of </w:t>
      </w:r>
      <w:r>
        <w:t xml:space="preserve">preliminary information on soil </w:t>
      </w:r>
      <w:proofErr w:type="spellStart"/>
      <w:r>
        <w:t>vapour</w:t>
      </w:r>
      <w:proofErr w:type="spellEnd"/>
      <w:r>
        <w:t xml:space="preserve">, </w:t>
      </w:r>
      <w:proofErr w:type="gramStart"/>
      <w:r>
        <w:t>soil</w:t>
      </w:r>
      <w:proofErr w:type="gramEnd"/>
      <w:r>
        <w:t xml:space="preserve"> or groundwater concentrations through evaluation of hea</w:t>
      </w:r>
      <w:r w:rsidR="00E97803">
        <w:t>lth-based screening levels (e.g.,</w:t>
      </w:r>
      <w:r>
        <w:t xml:space="preserve"> the ASC NEPM interim HILs for c</w:t>
      </w:r>
      <w:r w:rsidR="00E97803">
        <w:t xml:space="preserve">hlorinated hydrocarbons </w:t>
      </w:r>
      <w:r>
        <w:t xml:space="preserve">or HSLs for petroleum hydrocarbons, noting their limitations and uncertainties). Should data be unavailable </w:t>
      </w:r>
      <w:proofErr w:type="gramStart"/>
      <w:r w:rsidR="00792FC4">
        <w:t>e.g.</w:t>
      </w:r>
      <w:proofErr w:type="gramEnd"/>
      <w:r w:rsidR="00792FC4">
        <w:t xml:space="preserve"> </w:t>
      </w:r>
      <w:r>
        <w:t>the US EPA</w:t>
      </w:r>
      <w:r w:rsidR="00792FC4">
        <w:t xml:space="preserve"> (2014a</w:t>
      </w:r>
      <w:r>
        <w:t>) VISLs could be reviewed taking into account their limitat</w:t>
      </w:r>
      <w:r w:rsidR="00792FC4">
        <w:t>ions (US EPA 2015a, pp106-108).</w:t>
      </w:r>
      <w:r w:rsidR="00A83F9E">
        <w:t xml:space="preserve"> Soil </w:t>
      </w:r>
      <w:proofErr w:type="spellStart"/>
      <w:r w:rsidR="00A83F9E">
        <w:t>vapour</w:t>
      </w:r>
      <w:proofErr w:type="spellEnd"/>
      <w:r w:rsidR="00A83F9E">
        <w:t xml:space="preserve"> results may also be compared to regulatory agency-derived toxicological contaminant endpoints for inhalation as a conservative measure, with subsequent consideration of exceedances via consideration of attenuation factors and other variables at the Tier 2 level.</w:t>
      </w:r>
    </w:p>
    <w:p w14:paraId="4149D273" w14:textId="333FDE85" w:rsidR="00792FC4" w:rsidRDefault="00A83F9E" w:rsidP="00824A6B">
      <w:pPr>
        <w:spacing w:after="0"/>
      </w:pPr>
      <w:r>
        <w:t>I</w:t>
      </w:r>
      <w:r w:rsidR="00792FC4">
        <w:t>f screening levels are exceeded, unavailable or not valid:</w:t>
      </w:r>
    </w:p>
    <w:p w14:paraId="56BCB8F4" w14:textId="39EB3915" w:rsidR="00792FC4" w:rsidRDefault="00792FC4" w:rsidP="00824A6B">
      <w:pPr>
        <w:spacing w:after="0"/>
      </w:pPr>
      <w:r w:rsidRPr="00792FC4">
        <w:rPr>
          <w:i/>
        </w:rPr>
        <w:t>Tier 2 assessment</w:t>
      </w:r>
      <w:r>
        <w:t xml:space="preserve"> – Quantitative assessment using existing or additional data to support </w:t>
      </w:r>
      <w:proofErr w:type="spellStart"/>
      <w:r>
        <w:t>vapour</w:t>
      </w:r>
      <w:proofErr w:type="spellEnd"/>
      <w:r>
        <w:t xml:space="preserve"> intrusion modelling using site-specific variables, measurement data across transport compartments and examination of generic attenuation factors or site-specific attenuation factors. Exposure modelling and estimations to enable quantitative estimates of human health risk.</w:t>
      </w:r>
    </w:p>
    <w:p w14:paraId="5A33D304" w14:textId="65BA4671" w:rsidR="00E3198A" w:rsidRDefault="00792FC4" w:rsidP="00E3198A">
      <w:r w:rsidRPr="00792FC4">
        <w:rPr>
          <w:i/>
        </w:rPr>
        <w:t>Tier 3 assessment</w:t>
      </w:r>
      <w:r>
        <w:t xml:space="preserve"> – </w:t>
      </w:r>
      <w:proofErr w:type="gramStart"/>
      <w:r>
        <w:t>Further more</w:t>
      </w:r>
      <w:proofErr w:type="gramEnd"/>
      <w:r>
        <w:t xml:space="preserve"> detailed evaluations should Tier 2 assessment be insufficient</w:t>
      </w:r>
      <w:r w:rsidR="00E3198A">
        <w:t xml:space="preserve"> and/or lacking in confidence. This may involve refinement and increased detail in elements of the exposure assessment.</w:t>
      </w:r>
      <w:r w:rsidR="00433A74">
        <w:t xml:space="preserve"> </w:t>
      </w:r>
      <w:r w:rsidR="00E3198A">
        <w:t xml:space="preserve">May include the collection of additional data, such as soil </w:t>
      </w:r>
      <w:proofErr w:type="spellStart"/>
      <w:r w:rsidR="00E3198A">
        <w:t>vapour</w:t>
      </w:r>
      <w:proofErr w:type="spellEnd"/>
      <w:r w:rsidR="00E3198A">
        <w:t xml:space="preserve"> sampling, ambient air sampling, analysis of dust, biological monitoring and additional site investigations may be needed to support Tier 3 assessments.</w:t>
      </w:r>
    </w:p>
    <w:p w14:paraId="72D8DF8D" w14:textId="1EE4E1BB" w:rsidR="00E14595" w:rsidRPr="006A0BDD" w:rsidRDefault="00B53854" w:rsidP="006A0BDD">
      <w:pPr>
        <w:pStyle w:val="Heading4"/>
      </w:pPr>
      <w:r w:rsidRPr="006A0BDD">
        <w:t>L</w:t>
      </w:r>
      <w:r w:rsidR="00E14595" w:rsidRPr="006A0BDD">
        <w:t>andfill gas</w:t>
      </w:r>
    </w:p>
    <w:p w14:paraId="6D5E7EC7" w14:textId="56DB1954" w:rsidR="004D1D3D" w:rsidRDefault="004D1D3D" w:rsidP="00824A6B">
      <w:pPr>
        <w:spacing w:after="0"/>
      </w:pPr>
      <w:r>
        <w:t>Land fill gas also considered as “</w:t>
      </w:r>
      <w:r w:rsidRPr="00493030">
        <w:rPr>
          <w:i/>
        </w:rPr>
        <w:t>hazardous ground gases</w:t>
      </w:r>
      <w:r>
        <w:t>”</w:t>
      </w:r>
      <w:r w:rsidR="00493030">
        <w:t xml:space="preserve"> </w:t>
      </w:r>
      <w:r>
        <w:t>(NSW EPA</w:t>
      </w:r>
      <w:r w:rsidR="009D1283">
        <w:t xml:space="preserve"> 20</w:t>
      </w:r>
      <w:r w:rsidR="000B347D">
        <w:t>12)</w:t>
      </w:r>
      <w:r w:rsidR="000078E2">
        <w:t xml:space="preserve"> reflect gases and </w:t>
      </w:r>
      <w:proofErr w:type="spellStart"/>
      <w:r w:rsidR="000078E2">
        <w:t>vapour</w:t>
      </w:r>
      <w:proofErr w:type="spellEnd"/>
      <w:r w:rsidR="000078E2">
        <w:t xml:space="preserve"> arising from waste repositories.</w:t>
      </w:r>
    </w:p>
    <w:p w14:paraId="2E67935E" w14:textId="77777777" w:rsidR="00824A6B" w:rsidRPr="004D1D3D" w:rsidRDefault="00824A6B" w:rsidP="00824A6B">
      <w:pPr>
        <w:spacing w:after="0"/>
      </w:pPr>
    </w:p>
    <w:p w14:paraId="33EB7351" w14:textId="3B0CCDBE" w:rsidR="00192B02" w:rsidRDefault="00925826" w:rsidP="00824A6B">
      <w:pPr>
        <w:spacing w:after="0"/>
      </w:pPr>
      <w:r>
        <w:t xml:space="preserve">Sampling of these gases and </w:t>
      </w:r>
      <w:proofErr w:type="spellStart"/>
      <w:r>
        <w:t>vapours</w:t>
      </w:r>
      <w:proofErr w:type="spellEnd"/>
      <w:r w:rsidR="00C05028">
        <w:t xml:space="preserve"> </w:t>
      </w:r>
      <w:r w:rsidR="00192B02">
        <w:t xml:space="preserve">are similar in many ways to hydrocarbon-contaminated sites albeit with an emphasis on advection, limited attenuation, volumetric flows of high concentrations of explosive, combustible and acutely toxic gases and </w:t>
      </w:r>
      <w:proofErr w:type="spellStart"/>
      <w:r w:rsidR="00192B02">
        <w:t>vapours</w:t>
      </w:r>
      <w:proofErr w:type="spellEnd"/>
      <w:r w:rsidR="00192B02">
        <w:t>.</w:t>
      </w:r>
    </w:p>
    <w:p w14:paraId="6DA2D0CC" w14:textId="2ACB2683" w:rsidR="00192B02" w:rsidRDefault="00192B02" w:rsidP="00824A6B">
      <w:pPr>
        <w:spacing w:after="0"/>
      </w:pPr>
    </w:p>
    <w:p w14:paraId="4E91351F" w14:textId="45E16517" w:rsidR="00192B02" w:rsidRDefault="00192B02" w:rsidP="00824A6B">
      <w:pPr>
        <w:spacing w:after="0"/>
      </w:pPr>
      <w:r>
        <w:t>Other differences in terms of site assessment include:</w:t>
      </w:r>
    </w:p>
    <w:p w14:paraId="3F4B861B" w14:textId="0AC281E3" w:rsidR="004A5931" w:rsidRDefault="004A5931" w:rsidP="0015648C">
      <w:pPr>
        <w:pStyle w:val="ListParagraph"/>
        <w:numPr>
          <w:ilvl w:val="0"/>
          <w:numId w:val="26"/>
        </w:numPr>
        <w:spacing w:after="0"/>
      </w:pPr>
      <w:r>
        <w:t>A larger range of volatile substances including inorganic and organic compounds and elements (radon, mercury)</w:t>
      </w:r>
      <w:r w:rsidR="00DF79BF">
        <w:t>.</w:t>
      </w:r>
    </w:p>
    <w:p w14:paraId="36C6B39E" w14:textId="29EF0D36" w:rsidR="006477E1" w:rsidRDefault="00DF79BF" w:rsidP="0015648C">
      <w:pPr>
        <w:pStyle w:val="ListParagraph"/>
        <w:numPr>
          <w:ilvl w:val="0"/>
          <w:numId w:val="25"/>
        </w:numPr>
        <w:spacing w:after="0"/>
      </w:pPr>
      <w:r>
        <w:t>Substances at greater concentrations, with greater volatility and acute risks (fire, explosion, toxicity).</w:t>
      </w:r>
    </w:p>
    <w:p w14:paraId="7C2FA793" w14:textId="18439E85" w:rsidR="00DF79BF" w:rsidRDefault="004A5931" w:rsidP="0015648C">
      <w:pPr>
        <w:pStyle w:val="ListParagraph"/>
        <w:numPr>
          <w:ilvl w:val="0"/>
          <w:numId w:val="25"/>
        </w:numPr>
        <w:spacing w:after="0"/>
      </w:pPr>
      <w:r>
        <w:t>A greater emphasis on sub-surface heterogeneity</w:t>
      </w:r>
      <w:r w:rsidR="00DF79BF">
        <w:t xml:space="preserve"> resulting in preferential pathways enabling pressure driven advective flows</w:t>
      </w:r>
      <w:r w:rsidR="00192B02">
        <w:t xml:space="preserve"> that are influenced more heavily by barometric pressure changes</w:t>
      </w:r>
      <w:r w:rsidR="00DF79BF">
        <w:t>.</w:t>
      </w:r>
    </w:p>
    <w:p w14:paraId="54AFADAB" w14:textId="0B575199" w:rsidR="00543D7C" w:rsidRDefault="00DF79BF" w:rsidP="0015648C">
      <w:pPr>
        <w:pStyle w:val="ListParagraph"/>
        <w:numPr>
          <w:ilvl w:val="0"/>
          <w:numId w:val="25"/>
        </w:numPr>
        <w:spacing w:after="0"/>
      </w:pPr>
      <w:r>
        <w:t>Sub</w:t>
      </w:r>
      <w:r w:rsidR="007917D0">
        <w:t>-</w:t>
      </w:r>
      <w:r>
        <w:t xml:space="preserve">surface </w:t>
      </w:r>
      <w:r w:rsidR="007917D0">
        <w:t xml:space="preserve">source material </w:t>
      </w:r>
      <w:proofErr w:type="gramStart"/>
      <w:r>
        <w:t>bio</w:t>
      </w:r>
      <w:r w:rsidR="007917D0">
        <w:t>-</w:t>
      </w:r>
      <w:r>
        <w:t>degradation</w:t>
      </w:r>
      <w:proofErr w:type="gramEnd"/>
      <w:r>
        <w:t xml:space="preserve"> and reaction processes that continue to generate</w:t>
      </w:r>
      <w:r w:rsidR="00543D7C">
        <w:t xml:space="preserve"> hazardous ground gases </w:t>
      </w:r>
      <w:r w:rsidR="00192B02">
        <w:t>over</w:t>
      </w:r>
      <w:r w:rsidR="00543D7C">
        <w:t xml:space="preserve"> time such that source depletion may take many years</w:t>
      </w:r>
      <w:r w:rsidR="00192B02">
        <w:t>.</w:t>
      </w:r>
    </w:p>
    <w:p w14:paraId="3AA48B5A" w14:textId="0731BA93" w:rsidR="004A5931" w:rsidRDefault="00C05028" w:rsidP="0015648C">
      <w:pPr>
        <w:pStyle w:val="ListParagraph"/>
        <w:numPr>
          <w:ilvl w:val="0"/>
          <w:numId w:val="25"/>
        </w:numPr>
        <w:spacing w:after="0"/>
      </w:pPr>
      <w:r>
        <w:t>In addition</w:t>
      </w:r>
      <w:r w:rsidR="004A5931">
        <w:t xml:space="preserve">, these sites are considered in terms of “emissions” and “intrusions” </w:t>
      </w:r>
      <w:r w:rsidR="00192B02">
        <w:t xml:space="preserve">with models examining atmospheric emissions from these sites; groundwater transport of volatile materials with subsequent off-site </w:t>
      </w:r>
      <w:proofErr w:type="spellStart"/>
      <w:r w:rsidR="00192B02">
        <w:t>vapour</w:t>
      </w:r>
      <w:proofErr w:type="spellEnd"/>
      <w:r w:rsidR="00192B02">
        <w:t xml:space="preserve"> intrusion and advective distribution and diffusion off-site</w:t>
      </w:r>
      <w:r w:rsidR="00D4021E">
        <w:t xml:space="preserve"> of sub-surface gases and </w:t>
      </w:r>
      <w:proofErr w:type="spellStart"/>
      <w:r w:rsidR="00D4021E">
        <w:t>vapours</w:t>
      </w:r>
      <w:proofErr w:type="spellEnd"/>
      <w:r w:rsidR="00D4021E">
        <w:t>.</w:t>
      </w:r>
    </w:p>
    <w:p w14:paraId="67499565" w14:textId="77777777" w:rsidR="004A5931" w:rsidRDefault="004A5931" w:rsidP="00824A6B">
      <w:pPr>
        <w:spacing w:after="0"/>
      </w:pPr>
    </w:p>
    <w:p w14:paraId="1557E77A" w14:textId="362D38EA" w:rsidR="002F223D" w:rsidRDefault="007917D0" w:rsidP="00824A6B">
      <w:pPr>
        <w:spacing w:after="0"/>
      </w:pPr>
      <w:r>
        <w:lastRenderedPageBreak/>
        <w:t>An extensive range of k</w:t>
      </w:r>
      <w:r w:rsidR="00D4021E">
        <w:t>ey documents</w:t>
      </w:r>
      <w:r>
        <w:t xml:space="preserve"> are available across </w:t>
      </w:r>
      <w:r w:rsidR="00F85597">
        <w:t xml:space="preserve">sampling, </w:t>
      </w:r>
      <w:proofErr w:type="gramStart"/>
      <w:r w:rsidR="00F85597">
        <w:t>analysis</w:t>
      </w:r>
      <w:proofErr w:type="gramEnd"/>
      <w:r w:rsidR="00F85597">
        <w:t xml:space="preserve"> and </w:t>
      </w:r>
      <w:r w:rsidR="00D4021E">
        <w:t>assessment procedures</w:t>
      </w:r>
      <w:r>
        <w:t>. These include those from the UK Environment Agency (EA, 2004; 2010; 2012a. b; 2014) encompassing monitoring, risk assessment and management guidance; US EPA guidance specific to closed and abandoned landfill facilities (US EPA, 2005a, b); NSW EPA (2012) guidance on hazardous ground gas assessment and UK CIRIA guidance</w:t>
      </w:r>
      <w:r w:rsidR="007F3045">
        <w:t xml:space="preserve"> (Wilson et al.,</w:t>
      </w:r>
      <w:r w:rsidR="00930D63">
        <w:t xml:space="preserve"> 2007; Baker, 2009) focused on risk assessment and management.</w:t>
      </w:r>
    </w:p>
    <w:p w14:paraId="51EC735D" w14:textId="77777777" w:rsidR="00D4021E" w:rsidRDefault="00D4021E" w:rsidP="00824A6B">
      <w:pPr>
        <w:spacing w:after="0"/>
      </w:pPr>
    </w:p>
    <w:p w14:paraId="13170B27" w14:textId="4A6424F0" w:rsidR="00F85597" w:rsidRDefault="00F85597">
      <w:r>
        <w:t>Both the US EPA and the UK EA have provided structured methodologies for sampling and analyses in terms of gases such as methane</w:t>
      </w:r>
      <w:r w:rsidR="007637A6">
        <w:t xml:space="preserve"> and</w:t>
      </w:r>
      <w:r>
        <w:t xml:space="preserve"> carbon dioxide subject to large scale volumetric flows</w:t>
      </w:r>
      <w:r w:rsidR="007637A6">
        <w:t>,</w:t>
      </w:r>
      <w:r>
        <w:t xml:space="preserve"> and other lower </w:t>
      </w:r>
      <w:r w:rsidR="007637A6">
        <w:t>concentration hazardous g</w:t>
      </w:r>
      <w:r w:rsidR="00930D63">
        <w:t xml:space="preserve">ases and </w:t>
      </w:r>
      <w:proofErr w:type="spellStart"/>
      <w:r w:rsidR="00930D63">
        <w:t>vapours</w:t>
      </w:r>
      <w:proofErr w:type="spellEnd"/>
      <w:r w:rsidR="00930D63">
        <w:t xml:space="preserve">. NSW EPA has </w:t>
      </w:r>
      <w:r w:rsidR="007637A6">
        <w:t>based</w:t>
      </w:r>
      <w:r w:rsidR="00930D63">
        <w:t xml:space="preserve"> their</w:t>
      </w:r>
      <w:r w:rsidR="007637A6">
        <w:t xml:space="preserve"> guidance on UK approaches</w:t>
      </w:r>
      <w:r w:rsidR="00930D63">
        <w:t xml:space="preserve"> as published in the CIRIA and EA documentation as the information is extensive and current. </w:t>
      </w:r>
      <w:r w:rsidR="00B24B83">
        <w:t xml:space="preserve">It is considered that this </w:t>
      </w:r>
      <w:proofErr w:type="gramStart"/>
      <w:r w:rsidR="00B24B83">
        <w:t>is a reflection of</w:t>
      </w:r>
      <w:proofErr w:type="gramEnd"/>
      <w:r w:rsidR="00B24B83">
        <w:t xml:space="preserve"> the issues in the UK from landfill sites and the subsequent input into the development of resources for assessment</w:t>
      </w:r>
      <w:r w:rsidR="00734A58">
        <w:t xml:space="preserve"> (which are extensive)</w:t>
      </w:r>
      <w:r w:rsidR="00B24B83">
        <w:t>.</w:t>
      </w:r>
    </w:p>
    <w:p w14:paraId="32D16B73" w14:textId="370657A3" w:rsidR="00B763CB" w:rsidRDefault="00B763CB" w:rsidP="00F85597">
      <w:r w:rsidRPr="00F01900">
        <w:rPr>
          <w:i/>
        </w:rPr>
        <w:t>Sampling</w:t>
      </w:r>
      <w:r w:rsidR="00597520">
        <w:rPr>
          <w:i/>
        </w:rPr>
        <w:t>/testing</w:t>
      </w:r>
      <w:r w:rsidRPr="00F01900">
        <w:rPr>
          <w:i/>
        </w:rPr>
        <w:t xml:space="preserve"> approaches</w:t>
      </w:r>
      <w:r>
        <w:t xml:space="preserve"> to landfills </w:t>
      </w:r>
      <w:r w:rsidR="000C0918">
        <w:t xml:space="preserve">for </w:t>
      </w:r>
      <w:r w:rsidR="00B53E3F">
        <w:t xml:space="preserve">both ground gases and </w:t>
      </w:r>
      <w:r w:rsidR="000C0918">
        <w:t xml:space="preserve">trace components </w:t>
      </w:r>
      <w:r>
        <w:t>may include:</w:t>
      </w:r>
    </w:p>
    <w:p w14:paraId="38C62CB8" w14:textId="77777777" w:rsidR="00B53E3F" w:rsidRPr="00B53E3F" w:rsidRDefault="00B53E3F" w:rsidP="0015648C">
      <w:pPr>
        <w:pStyle w:val="ListParagraph"/>
        <w:numPr>
          <w:ilvl w:val="0"/>
          <w:numId w:val="28"/>
        </w:numPr>
      </w:pPr>
      <w:r w:rsidRPr="00B53E3F">
        <w:t>Field measurement equipment (instrumentation using Infra-red (IR); electrochemical cells (EC); photo-</w:t>
      </w:r>
      <w:proofErr w:type="spellStart"/>
      <w:r w:rsidRPr="00B53E3F">
        <w:t>ionisation</w:t>
      </w:r>
      <w:proofErr w:type="spellEnd"/>
      <w:r w:rsidRPr="00B53E3F">
        <w:t xml:space="preserve"> detection (PID); flame ionization detection (FID); gas chromatograph (GC) with or without mass </w:t>
      </w:r>
      <w:proofErr w:type="gramStart"/>
      <w:r w:rsidRPr="00B53E3F">
        <w:t>spectrometry(</w:t>
      </w:r>
      <w:proofErr w:type="gramEnd"/>
      <w:r w:rsidRPr="00B53E3F">
        <w:t>MS))</w:t>
      </w:r>
    </w:p>
    <w:p w14:paraId="395DA206" w14:textId="075C9A75" w:rsidR="000C0918" w:rsidRPr="000C0918" w:rsidRDefault="00B763CB" w:rsidP="0015648C">
      <w:pPr>
        <w:pStyle w:val="ListParagraph"/>
        <w:numPr>
          <w:ilvl w:val="0"/>
          <w:numId w:val="27"/>
        </w:numPr>
        <w:rPr>
          <w:rFonts w:cs="Arial"/>
          <w:color w:val="000000"/>
          <w:sz w:val="20"/>
          <w:szCs w:val="20"/>
        </w:rPr>
      </w:pPr>
      <w:r>
        <w:t xml:space="preserve">monitoring wells with implants (as in </w:t>
      </w:r>
      <w:proofErr w:type="spellStart"/>
      <w:r>
        <w:t>vapour</w:t>
      </w:r>
      <w:proofErr w:type="spellEnd"/>
      <w:r>
        <w:t xml:space="preserve"> intrusion assessment) </w:t>
      </w:r>
      <w:r w:rsidR="00B53E3F">
        <w:t>or for ground gas (</w:t>
      </w:r>
      <w:r w:rsidR="00862CAB">
        <w:fldChar w:fldCharType="begin"/>
      </w:r>
      <w:r w:rsidR="00862CAB">
        <w:instrText xml:space="preserve"> REF _Ref455064230 \h </w:instrText>
      </w:r>
      <w:r w:rsidR="00862CAB">
        <w:fldChar w:fldCharType="separate"/>
      </w:r>
      <w:r w:rsidR="006A5935">
        <w:t xml:space="preserve">Figure </w:t>
      </w:r>
      <w:r w:rsidR="006A5935">
        <w:rPr>
          <w:noProof/>
        </w:rPr>
        <w:t>14</w:t>
      </w:r>
      <w:r w:rsidR="00862CAB">
        <w:fldChar w:fldCharType="end"/>
      </w:r>
      <w:r w:rsidR="00B53E3F">
        <w:t>).</w:t>
      </w:r>
    </w:p>
    <w:p w14:paraId="04984A63" w14:textId="49E58D35" w:rsidR="000C0918" w:rsidRDefault="000C0918" w:rsidP="0015648C">
      <w:pPr>
        <w:pStyle w:val="ListParagraph"/>
        <w:numPr>
          <w:ilvl w:val="0"/>
          <w:numId w:val="27"/>
        </w:numPr>
      </w:pPr>
      <w:r>
        <w:t>flux chambers</w:t>
      </w:r>
    </w:p>
    <w:p w14:paraId="0666FEC7" w14:textId="3D7AE66B" w:rsidR="000C0918" w:rsidRDefault="000C0918" w:rsidP="0015648C">
      <w:pPr>
        <w:pStyle w:val="ListParagraph"/>
        <w:numPr>
          <w:ilvl w:val="0"/>
          <w:numId w:val="27"/>
        </w:numPr>
      </w:pPr>
      <w:r>
        <w:t>passive samplers</w:t>
      </w:r>
    </w:p>
    <w:p w14:paraId="2EE67A9A" w14:textId="2B84DC75" w:rsidR="000C0918" w:rsidRDefault="000C0918" w:rsidP="0015648C">
      <w:pPr>
        <w:pStyle w:val="ListParagraph"/>
        <w:numPr>
          <w:ilvl w:val="0"/>
          <w:numId w:val="27"/>
        </w:numPr>
      </w:pPr>
      <w:r>
        <w:t>ambient measurement</w:t>
      </w:r>
    </w:p>
    <w:p w14:paraId="350C1FE2" w14:textId="77777777" w:rsidR="00B53E3F" w:rsidRDefault="000C0918" w:rsidP="0015648C">
      <w:pPr>
        <w:pStyle w:val="ListParagraph"/>
        <w:numPr>
          <w:ilvl w:val="0"/>
          <w:numId w:val="27"/>
        </w:numPr>
      </w:pPr>
      <w:r>
        <w:t xml:space="preserve">surface emission measurement </w:t>
      </w:r>
    </w:p>
    <w:p w14:paraId="6EFBE996" w14:textId="19C6BCE9" w:rsidR="00B53E3F" w:rsidRDefault="00B53E3F" w:rsidP="0015648C">
      <w:pPr>
        <w:pStyle w:val="ListParagraph"/>
        <w:numPr>
          <w:ilvl w:val="0"/>
          <w:numId w:val="27"/>
        </w:numPr>
      </w:pPr>
      <w:r>
        <w:t>flow and pressure measurement – bulk gases</w:t>
      </w:r>
    </w:p>
    <w:p w14:paraId="7849E446" w14:textId="79A8927A" w:rsidR="00B53E3F" w:rsidRDefault="00B53E3F" w:rsidP="0015648C">
      <w:pPr>
        <w:pStyle w:val="ListParagraph"/>
        <w:numPr>
          <w:ilvl w:val="0"/>
          <w:numId w:val="27"/>
        </w:numPr>
      </w:pPr>
      <w:r>
        <w:t>field measurement – trace gases (as above- PID; FID; GC/MS)</w:t>
      </w:r>
    </w:p>
    <w:p w14:paraId="21B8E9FA" w14:textId="2BC3442B" w:rsidR="00B53E3F" w:rsidRDefault="00B53E3F" w:rsidP="0015648C">
      <w:pPr>
        <w:pStyle w:val="ListParagraph"/>
        <w:numPr>
          <w:ilvl w:val="0"/>
          <w:numId w:val="27"/>
        </w:numPr>
      </w:pPr>
      <w:r>
        <w:t>sampling – bulk gases (Summa canisters/</w:t>
      </w:r>
      <w:proofErr w:type="spellStart"/>
      <w:r>
        <w:t>Tedlar</w:t>
      </w:r>
      <w:proofErr w:type="spellEnd"/>
      <w:r>
        <w:t xml:space="preserve"> bags)</w:t>
      </w:r>
    </w:p>
    <w:p w14:paraId="79CB5F46" w14:textId="3552EE02" w:rsidR="00B53E3F" w:rsidRDefault="00B53E3F" w:rsidP="0015648C">
      <w:pPr>
        <w:pStyle w:val="ListParagraph"/>
        <w:numPr>
          <w:ilvl w:val="0"/>
          <w:numId w:val="27"/>
        </w:numPr>
      </w:pPr>
      <w:r>
        <w:t>sampling - trace gases (Summa canisters/</w:t>
      </w:r>
      <w:proofErr w:type="spellStart"/>
      <w:r>
        <w:t>Tedlar</w:t>
      </w:r>
      <w:proofErr w:type="spellEnd"/>
      <w:r>
        <w:t xml:space="preserve"> bags/ Sorbent tubes/Passive samplers)</w:t>
      </w:r>
    </w:p>
    <w:p w14:paraId="230A4DF8" w14:textId="18A0FD92" w:rsidR="000C0918" w:rsidRDefault="000C0918" w:rsidP="00F01900">
      <w:pPr>
        <w:pStyle w:val="ListParagraph"/>
      </w:pPr>
      <w:r>
        <w:t>(</w:t>
      </w:r>
      <w:proofErr w:type="gramStart"/>
      <w:r>
        <w:t>from</w:t>
      </w:r>
      <w:proofErr w:type="gramEnd"/>
      <w:r>
        <w:t xml:space="preserve"> NSW EPA, 2012, </w:t>
      </w:r>
      <w:r w:rsidR="00B53E3F">
        <w:t>Appendix 4, refer Table 4.3 for more detail</w:t>
      </w:r>
      <w:r>
        <w:t>)</w:t>
      </w:r>
    </w:p>
    <w:p w14:paraId="06E1D717" w14:textId="3C59793E" w:rsidR="00597520" w:rsidRDefault="00597520" w:rsidP="00597520">
      <w:pPr>
        <w:pStyle w:val="Caption"/>
        <w:keepNext/>
      </w:pPr>
      <w:bookmarkStart w:id="79" w:name="_Ref455064230"/>
      <w:r>
        <w:lastRenderedPageBreak/>
        <w:t xml:space="preserve">Figure </w:t>
      </w:r>
      <w:fldSimple w:instr=" SEQ Figure \* ARABIC ">
        <w:r w:rsidR="006A5935">
          <w:rPr>
            <w:noProof/>
          </w:rPr>
          <w:t>14</w:t>
        </w:r>
      </w:fldSimple>
      <w:bookmarkEnd w:id="79"/>
      <w:r>
        <w:t>: Features of a landfill gas monitoring borehole (from EA, 2004)</w:t>
      </w:r>
    </w:p>
    <w:p w14:paraId="47D20F6A" w14:textId="0DF8B0D9" w:rsidR="00597520" w:rsidRDefault="00597520" w:rsidP="000C0918">
      <w:r w:rsidRPr="007637A6">
        <w:rPr>
          <w:noProof/>
          <w:lang w:eastAsia="en-US"/>
        </w:rPr>
        <w:drawing>
          <wp:inline distT="0" distB="0" distL="0" distR="0" wp14:anchorId="18A521B8" wp14:editId="120B3BC1">
            <wp:extent cx="2909455" cy="3483610"/>
            <wp:effectExtent l="0" t="0" r="571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8745" cy="3494733"/>
                    </a:xfrm>
                    <a:prstGeom prst="rect">
                      <a:avLst/>
                    </a:prstGeom>
                    <a:noFill/>
                    <a:ln>
                      <a:noFill/>
                    </a:ln>
                  </pic:spPr>
                </pic:pic>
              </a:graphicData>
            </a:graphic>
          </wp:inline>
        </w:drawing>
      </w:r>
    </w:p>
    <w:p w14:paraId="67C64485" w14:textId="77777777" w:rsidR="00597520" w:rsidRDefault="00597520" w:rsidP="000C0918"/>
    <w:p w14:paraId="396D08AB" w14:textId="7EE9E386" w:rsidR="000C0918" w:rsidRPr="000C0918" w:rsidRDefault="00930D63" w:rsidP="000C0918">
      <w:r>
        <w:t>Typical a</w:t>
      </w:r>
      <w:r w:rsidR="00597520">
        <w:t>nalytical</w:t>
      </w:r>
      <w:r w:rsidR="00F01900">
        <w:t xml:space="preserve"> approaches need to cover both volumetric gas </w:t>
      </w:r>
      <w:r w:rsidR="006477E1">
        <w:t>d</w:t>
      </w:r>
      <w:r w:rsidR="00F01900">
        <w:t>etermination/concentrations for bulk ground gas and qualitative and quantitative determination for trace gases.</w:t>
      </w:r>
      <w:r w:rsidR="005B1CC4">
        <w:t xml:space="preserve"> Bulk gases are detailed in </w:t>
      </w:r>
      <w:r w:rsidR="005B1CC4">
        <w:fldChar w:fldCharType="begin"/>
      </w:r>
      <w:r w:rsidR="005B1CC4">
        <w:instrText xml:space="preserve"> REF _Ref455047740 \h </w:instrText>
      </w:r>
      <w:r w:rsidR="005B1CC4">
        <w:fldChar w:fldCharType="separate"/>
      </w:r>
      <w:r w:rsidR="006A5935">
        <w:t xml:space="preserve">Table </w:t>
      </w:r>
      <w:r w:rsidR="006A5935">
        <w:rPr>
          <w:noProof/>
        </w:rPr>
        <w:t>4</w:t>
      </w:r>
      <w:r w:rsidR="005B1CC4">
        <w:fldChar w:fldCharType="end"/>
      </w:r>
      <w:r w:rsidR="00597520">
        <w:t xml:space="preserve"> with measurement based on field instrumentation (on-site) or off-site</w:t>
      </w:r>
      <w:r>
        <w:t>,</w:t>
      </w:r>
      <w:r w:rsidR="00597520">
        <w:t xml:space="preserve"> following sampling with canisters or </w:t>
      </w:r>
      <w:proofErr w:type="spellStart"/>
      <w:r w:rsidR="00597520">
        <w:t>Tedlar</w:t>
      </w:r>
      <w:proofErr w:type="spellEnd"/>
      <w:r w:rsidR="00597520">
        <w:t xml:space="preserve"> bags.</w:t>
      </w:r>
    </w:p>
    <w:p w14:paraId="65E64658" w14:textId="020AF5BD" w:rsidR="005B1CC4" w:rsidRDefault="005B1CC4" w:rsidP="005B1CC4">
      <w:pPr>
        <w:pStyle w:val="Caption"/>
        <w:keepNext/>
      </w:pPr>
      <w:bookmarkStart w:id="80" w:name="_Ref455047740"/>
      <w:bookmarkStart w:id="81" w:name="_Ref455047725"/>
      <w:r>
        <w:t xml:space="preserve">Table </w:t>
      </w:r>
      <w:fldSimple w:instr=" SEQ Table \* ARABIC ">
        <w:r w:rsidR="006A5935">
          <w:rPr>
            <w:noProof/>
          </w:rPr>
          <w:t>4</w:t>
        </w:r>
      </w:fldSimple>
      <w:bookmarkEnd w:id="80"/>
      <w:r>
        <w:t>: Typical range of bulk gases in landfill gas (from EA, 2004)</w:t>
      </w:r>
      <w:bookmarkEnd w:id="81"/>
    </w:p>
    <w:p w14:paraId="0E221030" w14:textId="32334597" w:rsidR="000C0918" w:rsidRPr="000C0918" w:rsidRDefault="005B1CC4" w:rsidP="000C0918">
      <w:r w:rsidRPr="005B1CC4">
        <w:rPr>
          <w:noProof/>
          <w:lang w:eastAsia="en-US"/>
        </w:rPr>
        <w:drawing>
          <wp:inline distT="0" distB="0" distL="0" distR="0" wp14:anchorId="2317DCF2" wp14:editId="64191B25">
            <wp:extent cx="3113405" cy="2161540"/>
            <wp:effectExtent l="0" t="0" r="0" b="0"/>
            <wp:docPr id="30" name="Picture 30" descr="C:\Users\Owner\Pictures\MP Navigator EX\2016_06_30\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Pictures\MP Navigator EX\2016_06_30\IMG_000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13405" cy="2161540"/>
                    </a:xfrm>
                    <a:prstGeom prst="rect">
                      <a:avLst/>
                    </a:prstGeom>
                    <a:noFill/>
                    <a:ln>
                      <a:noFill/>
                    </a:ln>
                  </pic:spPr>
                </pic:pic>
              </a:graphicData>
            </a:graphic>
          </wp:inline>
        </w:drawing>
      </w:r>
    </w:p>
    <w:p w14:paraId="2DE396BC" w14:textId="0F4844B6" w:rsidR="001F5354" w:rsidRPr="00930D63" w:rsidRDefault="005B1CC4" w:rsidP="00930D63">
      <w:r w:rsidRPr="00930D63">
        <w:t>In terms of trace gases</w:t>
      </w:r>
      <w:r w:rsidR="00941492" w:rsidRPr="00930D63">
        <w:t>,</w:t>
      </w:r>
      <w:r w:rsidRPr="00930D63">
        <w:t xml:space="preserve"> a diverse range has been identified and </w:t>
      </w:r>
      <w:r w:rsidR="00F85597" w:rsidRPr="00930D63">
        <w:t xml:space="preserve">EA (2010) </w:t>
      </w:r>
      <w:r w:rsidR="00941492" w:rsidRPr="00930D63">
        <w:t xml:space="preserve">cite </w:t>
      </w:r>
      <w:r w:rsidR="007637A6" w:rsidRPr="00930D63">
        <w:t xml:space="preserve">over </w:t>
      </w:r>
      <w:r w:rsidR="00F85597" w:rsidRPr="00930D63">
        <w:t xml:space="preserve">500 substances </w:t>
      </w:r>
      <w:r w:rsidR="00930D63">
        <w:t xml:space="preserve">that </w:t>
      </w:r>
      <w:r w:rsidR="00F85597" w:rsidRPr="00930D63">
        <w:t>have been reported in landfill gases (</w:t>
      </w:r>
      <w:r w:rsidR="00941492" w:rsidRPr="00930D63">
        <w:t>EA</w:t>
      </w:r>
      <w:r w:rsidR="00B24B83" w:rsidRPr="00930D63">
        <w:t>,</w:t>
      </w:r>
      <w:r w:rsidR="00941492" w:rsidRPr="00930D63">
        <w:t xml:space="preserve"> </w:t>
      </w:r>
      <w:r w:rsidR="00F85597" w:rsidRPr="00930D63">
        <w:t xml:space="preserve">2002b). </w:t>
      </w:r>
      <w:r w:rsidR="00941492" w:rsidRPr="00930D63">
        <w:t>The average co</w:t>
      </w:r>
      <w:r w:rsidR="00930D63">
        <w:t>ncentrations of some of these are</w:t>
      </w:r>
      <w:r w:rsidR="00941492" w:rsidRPr="00930D63">
        <w:t xml:space="preserve"> presented in</w:t>
      </w:r>
      <w:r w:rsidR="00930D63">
        <w:t xml:space="preserve"> Table 5</w:t>
      </w:r>
      <w:r w:rsidR="00941492" w:rsidRPr="00930D63">
        <w:t>.</w:t>
      </w:r>
      <w:r w:rsidR="00425E25" w:rsidRPr="00930D63">
        <w:t xml:space="preserve"> Recommended </w:t>
      </w:r>
      <w:r w:rsidR="001F5354" w:rsidRPr="00930D63">
        <w:t xml:space="preserve">trace components for monitoring are </w:t>
      </w:r>
      <w:r w:rsidR="001F5354" w:rsidRPr="00930D63">
        <w:lastRenderedPageBreak/>
        <w:t xml:space="preserve">suggested in </w:t>
      </w:r>
      <w:r w:rsidR="00930D63">
        <w:t xml:space="preserve">Table 6 </w:t>
      </w:r>
      <w:r w:rsidR="001F5354" w:rsidRPr="00930D63">
        <w:t xml:space="preserve">with additional components also including mercury (as Hg), PCDDs and PCDFs and carbon monoxide.  </w:t>
      </w:r>
    </w:p>
    <w:p w14:paraId="59C67FE3" w14:textId="24E599BE" w:rsidR="00941492" w:rsidRDefault="00941492" w:rsidP="00941492">
      <w:pPr>
        <w:pStyle w:val="Caption"/>
        <w:keepNext/>
      </w:pPr>
      <w:bookmarkStart w:id="82" w:name="_Ref455048681"/>
      <w:r>
        <w:t xml:space="preserve">Table </w:t>
      </w:r>
      <w:fldSimple w:instr=" SEQ Table \* ARABIC ">
        <w:r w:rsidR="006A5935">
          <w:rPr>
            <w:noProof/>
          </w:rPr>
          <w:t>5</w:t>
        </w:r>
      </w:fldSimple>
      <w:bookmarkEnd w:id="82"/>
      <w:r>
        <w:t xml:space="preserve">: Average concentration of a variety of trace </w:t>
      </w:r>
      <w:proofErr w:type="spellStart"/>
      <w:r>
        <w:t>vapours</w:t>
      </w:r>
      <w:proofErr w:type="spellEnd"/>
      <w:r>
        <w:t xml:space="preserve"> in landfill gas (from EA, 2004; 2002</w:t>
      </w:r>
      <w:r w:rsidR="00425E25">
        <w:t>b</w:t>
      </w:r>
      <w:r>
        <w:t>)</w:t>
      </w:r>
    </w:p>
    <w:p w14:paraId="503C8227" w14:textId="4F02C3DA" w:rsidR="00F85597" w:rsidRPr="000C0918" w:rsidRDefault="00941492" w:rsidP="005B1CC4">
      <w:r w:rsidRPr="005B1CC4">
        <w:rPr>
          <w:noProof/>
          <w:lang w:eastAsia="en-US"/>
        </w:rPr>
        <w:drawing>
          <wp:inline distT="0" distB="0" distL="0" distR="0" wp14:anchorId="38247A9F" wp14:editId="4F02150A">
            <wp:extent cx="5943600" cy="4981575"/>
            <wp:effectExtent l="0" t="0" r="0" b="9525"/>
            <wp:docPr id="31" name="Picture 31" descr="C:\Users\Owner\Pictures\MP Navigator EX\2016_06_30\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Pictures\MP Navigator EX\2016_06_30\IMG_000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4981575"/>
                    </a:xfrm>
                    <a:prstGeom prst="rect">
                      <a:avLst/>
                    </a:prstGeom>
                    <a:noFill/>
                    <a:ln>
                      <a:noFill/>
                    </a:ln>
                  </pic:spPr>
                </pic:pic>
              </a:graphicData>
            </a:graphic>
          </wp:inline>
        </w:drawing>
      </w:r>
    </w:p>
    <w:p w14:paraId="09FB908B" w14:textId="77777777" w:rsidR="00425E25" w:rsidRDefault="00B6541E">
      <w:r>
        <w:br w:type="page"/>
      </w:r>
    </w:p>
    <w:p w14:paraId="11AE7372" w14:textId="77777777" w:rsidR="006477E1" w:rsidRDefault="006477E1" w:rsidP="00425E25">
      <w:pPr>
        <w:pStyle w:val="Caption"/>
        <w:keepNext/>
      </w:pPr>
      <w:bookmarkStart w:id="83" w:name="_Ref455049442"/>
    </w:p>
    <w:p w14:paraId="12B0D2E6" w14:textId="77777777" w:rsidR="006477E1" w:rsidRDefault="006477E1" w:rsidP="00425E25">
      <w:pPr>
        <w:pStyle w:val="Caption"/>
        <w:keepNext/>
      </w:pPr>
    </w:p>
    <w:p w14:paraId="12E4EB88" w14:textId="55BB6F7C" w:rsidR="00425E25" w:rsidRDefault="00425E25" w:rsidP="00425E25">
      <w:pPr>
        <w:pStyle w:val="Caption"/>
        <w:keepNext/>
      </w:pPr>
      <w:r>
        <w:t xml:space="preserve">Table </w:t>
      </w:r>
      <w:fldSimple w:instr=" SEQ Table \* ARABIC ">
        <w:r w:rsidR="006A5935">
          <w:rPr>
            <w:noProof/>
          </w:rPr>
          <w:t>6</w:t>
        </w:r>
      </w:fldSimple>
      <w:bookmarkEnd w:id="83"/>
      <w:r>
        <w:t>: Priority trace components for monitoring (</w:t>
      </w:r>
      <w:r w:rsidR="001F5354">
        <w:t>f</w:t>
      </w:r>
      <w:r>
        <w:t>rom EA, 2010)</w:t>
      </w:r>
    </w:p>
    <w:p w14:paraId="2EA21397" w14:textId="2D1E99B5" w:rsidR="00F85597" w:rsidRDefault="00F01900">
      <w:r w:rsidRPr="00F01900">
        <w:rPr>
          <w:noProof/>
          <w:lang w:eastAsia="en-US"/>
        </w:rPr>
        <w:drawing>
          <wp:inline distT="0" distB="0" distL="0" distR="0" wp14:anchorId="7DDE8B1C" wp14:editId="5F3F9F89">
            <wp:extent cx="5803900" cy="5055870"/>
            <wp:effectExtent l="0" t="0" r="6350" b="0"/>
            <wp:docPr id="29" name="Picture 29" descr="C:\Users\Owner\Pictures\MP Navigator EX\2016_06_30\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Pictures\MP Navigator EX\2016_06_30\IMG_000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03900" cy="5055870"/>
                    </a:xfrm>
                    <a:prstGeom prst="rect">
                      <a:avLst/>
                    </a:prstGeom>
                    <a:noFill/>
                    <a:ln>
                      <a:noFill/>
                    </a:ln>
                  </pic:spPr>
                </pic:pic>
              </a:graphicData>
            </a:graphic>
          </wp:inline>
        </w:drawing>
      </w:r>
    </w:p>
    <w:p w14:paraId="4BA4401A" w14:textId="797AD9F1" w:rsidR="00597520" w:rsidRDefault="00930D63" w:rsidP="00930D63">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E20A31">
        <w:t xml:space="preserve">Typical </w:t>
      </w:r>
      <w:r w:rsidR="00E20A31">
        <w:t>a</w:t>
      </w:r>
      <w:r w:rsidR="00910ADB" w:rsidRPr="00E20A31">
        <w:t>nalytical methods</w:t>
      </w:r>
      <w:r w:rsidR="00910ADB" w:rsidRPr="00930D63">
        <w:t xml:space="preserve"> for priority trace gases are detailed in</w:t>
      </w:r>
      <w:r>
        <w:t xml:space="preserve"> Table 7</w:t>
      </w:r>
      <w:r w:rsidR="00910ADB">
        <w:t xml:space="preserve">. </w:t>
      </w:r>
    </w:p>
    <w:p w14:paraId="65B4A8DF" w14:textId="77777777" w:rsidR="006477E1" w:rsidRDefault="006477E1" w:rsidP="00910ADB">
      <w:pPr>
        <w:pStyle w:val="Caption"/>
        <w:keepNext/>
      </w:pPr>
      <w:bookmarkStart w:id="84" w:name="_Ref455050515"/>
    </w:p>
    <w:p w14:paraId="727F3795" w14:textId="77777777" w:rsidR="006477E1" w:rsidRDefault="006477E1" w:rsidP="00910ADB">
      <w:pPr>
        <w:pStyle w:val="Caption"/>
        <w:keepNext/>
      </w:pPr>
    </w:p>
    <w:p w14:paraId="000B1271" w14:textId="4151999F" w:rsidR="00910ADB" w:rsidRDefault="00910ADB" w:rsidP="00910ADB">
      <w:pPr>
        <w:pStyle w:val="Caption"/>
        <w:keepNext/>
      </w:pPr>
      <w:r>
        <w:t xml:space="preserve">Table </w:t>
      </w:r>
      <w:fldSimple w:instr=" SEQ Table \* ARABIC ">
        <w:r w:rsidR="006A5935">
          <w:rPr>
            <w:noProof/>
          </w:rPr>
          <w:t>7</w:t>
        </w:r>
      </w:fldSimple>
      <w:bookmarkEnd w:id="84"/>
      <w:r>
        <w:t>: Recommended methods for monitored priority trace components in landfill gas (from EA, 2010)</w:t>
      </w:r>
    </w:p>
    <w:p w14:paraId="03F54F7A" w14:textId="77777777" w:rsidR="00910ADB" w:rsidRDefault="00910ADB">
      <w:r>
        <w:rPr>
          <w:noProof/>
          <w:lang w:eastAsia="en-US"/>
        </w:rPr>
        <w:drawing>
          <wp:inline distT="0" distB="0" distL="0" distR="0" wp14:anchorId="5D9453CC" wp14:editId="3EB81ED1">
            <wp:extent cx="5426075" cy="2207260"/>
            <wp:effectExtent l="0" t="0" r="3175"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26075" cy="2207260"/>
                    </a:xfrm>
                    <a:prstGeom prst="rect">
                      <a:avLst/>
                    </a:prstGeom>
                    <a:noFill/>
                  </pic:spPr>
                </pic:pic>
              </a:graphicData>
            </a:graphic>
          </wp:inline>
        </w:drawing>
      </w:r>
    </w:p>
    <w:p w14:paraId="437488E2" w14:textId="77777777" w:rsidR="00930D63" w:rsidRDefault="00930D63" w:rsidP="00F37070">
      <w:pPr>
        <w:spacing w:after="0"/>
        <w:rPr>
          <w:i/>
        </w:rPr>
      </w:pPr>
    </w:p>
    <w:p w14:paraId="53E53102" w14:textId="7FF069F8" w:rsidR="00910ADB" w:rsidRDefault="00F37070" w:rsidP="00F37070">
      <w:pPr>
        <w:spacing w:after="0"/>
      </w:pPr>
      <w:r w:rsidRPr="00E20A31">
        <w:t>Assessment methods</w:t>
      </w:r>
      <w:r>
        <w:t xml:space="preserve"> are presented in NSW EPA (2012) for both ground gases and trace gases.  </w:t>
      </w:r>
    </w:p>
    <w:p w14:paraId="4643B150" w14:textId="77777777" w:rsidR="003523FD" w:rsidRDefault="003523FD" w:rsidP="003523FD">
      <w:pPr>
        <w:spacing w:after="0"/>
      </w:pPr>
    </w:p>
    <w:p w14:paraId="1AFFEC63" w14:textId="7CCCFAAE" w:rsidR="008B434B" w:rsidRDefault="00F37070" w:rsidP="003523FD">
      <w:pPr>
        <w:spacing w:after="0"/>
      </w:pPr>
      <w:r>
        <w:t xml:space="preserve">In terms </w:t>
      </w:r>
      <w:r w:rsidR="00C16D45">
        <w:t xml:space="preserve">of bulk </w:t>
      </w:r>
      <w:r>
        <w:t xml:space="preserve">ground gases, a multi-level risk assessment based on </w:t>
      </w:r>
      <w:r w:rsidR="00C16D45">
        <w:t>the Department of Planning (now Department of Planning and Infrastructure) is recommended. The components of this include preliminary screening, risk classification and prioritization followed by risk analysis and assessment. Preliminary screening determines</w:t>
      </w:r>
      <w:r w:rsidR="008B434B">
        <w:t xml:space="preserve"> whether further evaluation is </w:t>
      </w:r>
      <w:proofErr w:type="gramStart"/>
      <w:r w:rsidR="008B434B">
        <w:t>required</w:t>
      </w:r>
      <w:proofErr w:type="gramEnd"/>
      <w:r w:rsidR="008B434B">
        <w:t xml:space="preserve"> and</w:t>
      </w:r>
      <w:r w:rsidR="00C16D45">
        <w:t xml:space="preserve"> risk classification and prioritization</w:t>
      </w:r>
      <w:r w:rsidR="008B434B">
        <w:t xml:space="preserve"> determines the response and complexity of the required assessment across</w:t>
      </w:r>
      <w:r w:rsidR="00C16D45">
        <w:t xml:space="preserve"> 3 levels of </w:t>
      </w:r>
      <w:r w:rsidR="008B434B">
        <w:t xml:space="preserve">iterative </w:t>
      </w:r>
      <w:r w:rsidR="00C16D45">
        <w:t>assessment of increasing</w:t>
      </w:r>
      <w:r w:rsidR="008B434B">
        <w:t xml:space="preserve"> complexity.</w:t>
      </w:r>
    </w:p>
    <w:p w14:paraId="4F5AEE2B" w14:textId="77777777" w:rsidR="008B434B" w:rsidRDefault="008B434B" w:rsidP="003523FD">
      <w:pPr>
        <w:spacing w:after="0"/>
      </w:pPr>
    </w:p>
    <w:p w14:paraId="6E678804" w14:textId="61A728F5" w:rsidR="003523FD" w:rsidRPr="00433A74" w:rsidRDefault="008B434B" w:rsidP="00E20A31">
      <w:pPr>
        <w:pStyle w:val="Caption"/>
        <w:keepNext/>
        <w:rPr>
          <w:i w:val="0"/>
          <w:color w:val="auto"/>
          <w:sz w:val="22"/>
          <w:szCs w:val="22"/>
        </w:rPr>
      </w:pPr>
      <w:r w:rsidRPr="00433A74">
        <w:rPr>
          <w:i w:val="0"/>
          <w:color w:val="auto"/>
          <w:sz w:val="22"/>
          <w:szCs w:val="22"/>
        </w:rPr>
        <w:t xml:space="preserve">Level 1 </w:t>
      </w:r>
      <w:r w:rsidR="003523FD" w:rsidRPr="00433A74">
        <w:rPr>
          <w:i w:val="0"/>
          <w:color w:val="auto"/>
          <w:sz w:val="22"/>
          <w:szCs w:val="22"/>
        </w:rPr>
        <w:t>assessment is qualitative in nature and based on hazard identification and the traditional risk analysis frameworks embodying likelihood and consequence.  Level 2 reflects a semi-quantitative evaluation based on the determination of gas screening values (= maximum borehole flow rate (L/</w:t>
      </w:r>
      <w:proofErr w:type="spellStart"/>
      <w:r w:rsidR="003523FD" w:rsidRPr="00433A74">
        <w:rPr>
          <w:i w:val="0"/>
          <w:color w:val="auto"/>
          <w:sz w:val="22"/>
          <w:szCs w:val="22"/>
        </w:rPr>
        <w:t>hr</w:t>
      </w:r>
      <w:proofErr w:type="spellEnd"/>
      <w:r w:rsidR="003523FD" w:rsidRPr="00433A74">
        <w:rPr>
          <w:i w:val="0"/>
          <w:color w:val="auto"/>
          <w:sz w:val="22"/>
          <w:szCs w:val="22"/>
        </w:rPr>
        <w:t>) x maximum gas concentration (%) for methane and carbon dioxide</w:t>
      </w:r>
      <w:r w:rsidR="00E20A31" w:rsidRPr="00433A74">
        <w:rPr>
          <w:i w:val="0"/>
          <w:color w:val="auto"/>
          <w:sz w:val="22"/>
          <w:szCs w:val="22"/>
        </w:rPr>
        <w:t>)</w:t>
      </w:r>
      <w:r w:rsidR="003462EB" w:rsidRPr="00433A74">
        <w:rPr>
          <w:i w:val="0"/>
          <w:color w:val="auto"/>
          <w:sz w:val="22"/>
          <w:szCs w:val="22"/>
        </w:rPr>
        <w:t>.</w:t>
      </w:r>
      <w:r w:rsidR="003523FD" w:rsidRPr="00433A74">
        <w:rPr>
          <w:i w:val="0"/>
          <w:color w:val="auto"/>
          <w:sz w:val="22"/>
          <w:szCs w:val="22"/>
        </w:rPr>
        <w:t xml:space="preserve"> The GSVs are then assessed against classification criteria for risk severity outputs as presented in</w:t>
      </w:r>
      <w:r w:rsidR="00E20A31" w:rsidRPr="00433A74">
        <w:rPr>
          <w:i w:val="0"/>
          <w:color w:val="auto"/>
          <w:sz w:val="22"/>
          <w:szCs w:val="22"/>
        </w:rPr>
        <w:t xml:space="preserve"> Table 8. </w:t>
      </w:r>
      <w:r w:rsidR="009F18B1" w:rsidRPr="00433A74">
        <w:rPr>
          <w:i w:val="0"/>
          <w:color w:val="auto"/>
          <w:sz w:val="22"/>
          <w:szCs w:val="22"/>
        </w:rPr>
        <w:t xml:space="preserve">The evaluation of trace gases (and </w:t>
      </w:r>
      <w:proofErr w:type="spellStart"/>
      <w:r w:rsidR="009F18B1" w:rsidRPr="00433A74">
        <w:rPr>
          <w:i w:val="0"/>
          <w:color w:val="auto"/>
          <w:sz w:val="22"/>
          <w:szCs w:val="22"/>
        </w:rPr>
        <w:t>vapours</w:t>
      </w:r>
      <w:proofErr w:type="spellEnd"/>
      <w:r w:rsidR="009F18B1" w:rsidRPr="00433A74">
        <w:rPr>
          <w:i w:val="0"/>
          <w:color w:val="auto"/>
          <w:sz w:val="22"/>
          <w:szCs w:val="22"/>
        </w:rPr>
        <w:t>) follows the processes of risk assessment previously described for site contamination assessments</w:t>
      </w:r>
      <w:r w:rsidR="00E20A31" w:rsidRPr="00433A74">
        <w:rPr>
          <w:i w:val="0"/>
          <w:color w:val="auto"/>
          <w:sz w:val="22"/>
          <w:szCs w:val="22"/>
        </w:rPr>
        <w:t>.</w:t>
      </w:r>
    </w:p>
    <w:p w14:paraId="16643841" w14:textId="2471E922" w:rsidR="00F37070" w:rsidRDefault="00F37070" w:rsidP="003523FD">
      <w:pPr>
        <w:spacing w:after="0"/>
      </w:pPr>
      <w:r>
        <w:t>Further information on exposure assessment is presented in detail in EA (2010a, b)</w:t>
      </w:r>
      <w:r w:rsidR="009F18B1">
        <w:t xml:space="preserve"> taking note that the exposure assessments described therein involve all media concentrations and not just gases and </w:t>
      </w:r>
      <w:proofErr w:type="spellStart"/>
      <w:r w:rsidR="009F18B1">
        <w:t>vapour</w:t>
      </w:r>
      <w:r w:rsidR="00E20A31">
        <w:t>s</w:t>
      </w:r>
      <w:proofErr w:type="spellEnd"/>
      <w:r w:rsidR="009F18B1">
        <w:t xml:space="preserve"> and </w:t>
      </w:r>
      <w:r w:rsidR="00E20A31">
        <w:t xml:space="preserve">this </w:t>
      </w:r>
      <w:r w:rsidR="009F18B1">
        <w:t xml:space="preserve">subsequently involves a </w:t>
      </w:r>
      <w:r w:rsidR="00E20A31">
        <w:t>higher</w:t>
      </w:r>
      <w:r w:rsidR="009F18B1">
        <w:t xml:space="preserve"> degree of complexity.</w:t>
      </w:r>
    </w:p>
    <w:p w14:paraId="0BE98FB6" w14:textId="77777777" w:rsidR="00910ADB" w:rsidRDefault="00910ADB" w:rsidP="003523FD">
      <w:pPr>
        <w:spacing w:after="0"/>
      </w:pPr>
    </w:p>
    <w:p w14:paraId="36348C94" w14:textId="67E7AB24" w:rsidR="007637A6" w:rsidRDefault="00E20A31">
      <w:r>
        <w:t xml:space="preserve">A range of review questions is presented at the beginning of this document which will aid the reader in considering the pertinent aspects of sampling, </w:t>
      </w:r>
      <w:proofErr w:type="gramStart"/>
      <w:r>
        <w:t>analysis</w:t>
      </w:r>
      <w:proofErr w:type="gramEnd"/>
      <w:r>
        <w:t xml:space="preserve"> and assessment.</w:t>
      </w:r>
      <w:r w:rsidR="007637A6">
        <w:br w:type="page"/>
      </w:r>
    </w:p>
    <w:p w14:paraId="15E6A078" w14:textId="77777777" w:rsidR="006477E1" w:rsidRDefault="006477E1" w:rsidP="003462EB">
      <w:pPr>
        <w:pStyle w:val="Caption"/>
        <w:keepNext/>
      </w:pPr>
      <w:bookmarkStart w:id="85" w:name="_Ref455055661"/>
    </w:p>
    <w:p w14:paraId="3914E7F5" w14:textId="2B397426" w:rsidR="00910ADB" w:rsidRDefault="003462EB" w:rsidP="00E20A31">
      <w:pPr>
        <w:pStyle w:val="Caption"/>
        <w:keepNext/>
      </w:pPr>
      <w:r>
        <w:t xml:space="preserve">Table </w:t>
      </w:r>
      <w:fldSimple w:instr=" SEQ Table \* ARABIC ">
        <w:r w:rsidR="006A5935">
          <w:rPr>
            <w:noProof/>
          </w:rPr>
          <w:t>8</w:t>
        </w:r>
      </w:fldSimple>
      <w:bookmarkEnd w:id="85"/>
      <w:r>
        <w:t>: Modified Wilson and Card classification (from NSW EPA, 2012, p31)</w:t>
      </w:r>
      <w:r w:rsidR="003523FD" w:rsidRPr="003523FD">
        <w:rPr>
          <w:noProof/>
          <w:lang w:eastAsia="en-US"/>
        </w:rPr>
        <w:drawing>
          <wp:inline distT="0" distB="0" distL="0" distR="0" wp14:anchorId="082A8D8E" wp14:editId="63852A8B">
            <wp:extent cx="5735955" cy="7451090"/>
            <wp:effectExtent l="0" t="0" r="0" b="0"/>
            <wp:docPr id="66" name="Picture 66" descr="K:\2016\UofA\enHealth\Documentation\PICS\2016_06_30\WCclassif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2016\UofA\enHealth\Documentation\PICS\2016_06_30\WCclassification.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5955" cy="7451090"/>
                    </a:xfrm>
                    <a:prstGeom prst="rect">
                      <a:avLst/>
                    </a:prstGeom>
                    <a:noFill/>
                    <a:ln>
                      <a:noFill/>
                    </a:ln>
                  </pic:spPr>
                </pic:pic>
              </a:graphicData>
            </a:graphic>
          </wp:inline>
        </w:drawing>
      </w:r>
      <w:r w:rsidR="00910ADB">
        <w:br w:type="page"/>
      </w:r>
    </w:p>
    <w:p w14:paraId="051954D7" w14:textId="77777777" w:rsidR="006477E1" w:rsidRDefault="006477E1" w:rsidP="00824A6B">
      <w:pPr>
        <w:spacing w:after="0"/>
      </w:pPr>
    </w:p>
    <w:p w14:paraId="670AA355" w14:textId="5A98F937" w:rsidR="00E14595" w:rsidRDefault="00E14595" w:rsidP="000F1A4A">
      <w:pPr>
        <w:pStyle w:val="Heading2"/>
      </w:pPr>
      <w:bookmarkStart w:id="86" w:name="_Toc461684084"/>
      <w:r w:rsidRPr="000B347D">
        <w:t>Multiple lines of evidence</w:t>
      </w:r>
      <w:bookmarkEnd w:id="86"/>
    </w:p>
    <w:p w14:paraId="399D8D7F" w14:textId="7319DC94" w:rsidR="00EF2E4C" w:rsidRPr="00EF2E4C" w:rsidRDefault="00EF2E4C" w:rsidP="00EF2E4C">
      <w:r>
        <w:t xml:space="preserve">The complexity of the </w:t>
      </w:r>
      <w:proofErr w:type="spellStart"/>
      <w:r>
        <w:t>vapour</w:t>
      </w:r>
      <w:proofErr w:type="spellEnd"/>
      <w:r>
        <w:t xml:space="preserve"> intrusion process and the difficulty in the evaluation of dynamic indoor air exposures in space and time has </w:t>
      </w:r>
      <w:r w:rsidR="008E0D8F">
        <w:t xml:space="preserve">led to </w:t>
      </w:r>
      <w:r>
        <w:t>a multiple lines of evidence approach</w:t>
      </w:r>
      <w:r w:rsidR="008E0D8F">
        <w:t xml:space="preserve"> being</w:t>
      </w:r>
      <w:r w:rsidR="000039B2">
        <w:t xml:space="preserve"> considered</w:t>
      </w:r>
      <w:r w:rsidR="008E0D8F">
        <w:t xml:space="preserve"> the optimal strategy.</w:t>
      </w:r>
      <w:r w:rsidR="00E47DAA">
        <w:t xml:space="preserve"> Pennell </w:t>
      </w:r>
      <w:r w:rsidR="007F3045">
        <w:t>et al.,</w:t>
      </w:r>
      <w:r w:rsidR="00E47DAA">
        <w:t xml:space="preserve"> (2016) combined field data with numerical </w:t>
      </w:r>
      <w:r w:rsidR="008911CD">
        <w:t>modelling</w:t>
      </w:r>
      <w:r w:rsidR="00E47DAA">
        <w:t xml:space="preserve"> as a multiple lines of evidence approach.</w:t>
      </w:r>
      <w:r w:rsidR="008E0D8F">
        <w:t xml:space="preserve"> This considers</w:t>
      </w:r>
      <w:r w:rsidR="00D4021E">
        <w:t xml:space="preserve"> results from </w:t>
      </w:r>
      <w:r w:rsidR="008911CD">
        <w:t>modelling</w:t>
      </w:r>
      <w:r>
        <w:t xml:space="preserve"> and measurement but </w:t>
      </w:r>
      <w:r w:rsidR="00E47DAA">
        <w:t xml:space="preserve">in addition </w:t>
      </w:r>
      <w:r w:rsidR="008E0D8F">
        <w:t>supplementary</w:t>
      </w:r>
      <w:r w:rsidR="00543D7C">
        <w:t xml:space="preserve"> information relevant to gas or </w:t>
      </w:r>
      <w:proofErr w:type="spellStart"/>
      <w:r w:rsidR="00543D7C">
        <w:t>vapour</w:t>
      </w:r>
      <w:proofErr w:type="spellEnd"/>
      <w:r w:rsidR="00543D7C">
        <w:t xml:space="preserve"> migration</w:t>
      </w:r>
      <w:r w:rsidR="00E47DAA">
        <w:t xml:space="preserve"> may also contribute as individual lines of evidence</w:t>
      </w:r>
      <w:r w:rsidR="00D4021E">
        <w:t xml:space="preserve">. These lines of evidence </w:t>
      </w:r>
      <w:r w:rsidR="00E47DAA">
        <w:t>discussed</w:t>
      </w:r>
      <w:r w:rsidR="00112D52">
        <w:t xml:space="preserve"> below</w:t>
      </w:r>
      <w:r w:rsidR="00D4021E">
        <w:t>.</w:t>
      </w:r>
    </w:p>
    <w:p w14:paraId="51780CE0" w14:textId="5AA61F67" w:rsidR="00BD691A" w:rsidRDefault="00BD691A" w:rsidP="00D4021E">
      <w:pPr>
        <w:pStyle w:val="Heading3"/>
      </w:pPr>
      <w:bookmarkStart w:id="87" w:name="_Toc461684085"/>
      <w:r w:rsidRPr="00D4021E">
        <w:t>Modelling and measurement</w:t>
      </w:r>
      <w:bookmarkEnd w:id="87"/>
    </w:p>
    <w:p w14:paraId="320F8956" w14:textId="42300E0E" w:rsidR="008E0D8F" w:rsidRPr="008E0D8F" w:rsidRDefault="008E0D8F" w:rsidP="008E0D8F">
      <w:r>
        <w:t xml:space="preserve">A variety of </w:t>
      </w:r>
      <w:proofErr w:type="spellStart"/>
      <w:r>
        <w:t>vapour</w:t>
      </w:r>
      <w:proofErr w:type="spellEnd"/>
      <w:r>
        <w:t xml:space="preserve"> intrusion models have been mentioned and available software allows predictions to be made of (ultimately) indoor air concentrations.  Site-specific input data and/or the use of probability distribution functions aid in model calibration. Measurement methods have also been discussed</w:t>
      </w:r>
      <w:r w:rsidR="003F646A">
        <w:t xml:space="preserve"> </w:t>
      </w:r>
      <w:proofErr w:type="gramStart"/>
      <w:r w:rsidR="003F646A">
        <w:t>as a means to</w:t>
      </w:r>
      <w:proofErr w:type="gramEnd"/>
      <w:r w:rsidR="003F646A">
        <w:t xml:space="preserve"> evaluate model predictions but also to record sub-surface, indoor air and ambient air concentrations to enable source characterization, source apportionment and exposures to be estimated and compared against exposure levels not considered to represent a risk to human health.</w:t>
      </w:r>
    </w:p>
    <w:p w14:paraId="1E28E399" w14:textId="04161391" w:rsidR="00E14595" w:rsidRDefault="00E14595" w:rsidP="000F1A4A">
      <w:pPr>
        <w:pStyle w:val="Heading3"/>
      </w:pPr>
      <w:bookmarkStart w:id="88" w:name="_Toc461684086"/>
      <w:r w:rsidRPr="000B347D">
        <w:t>Spatial and temporal concerns</w:t>
      </w:r>
      <w:bookmarkEnd w:id="88"/>
    </w:p>
    <w:p w14:paraId="5DF9645C" w14:textId="0B1143FB" w:rsidR="000039B2" w:rsidRPr="000039B2" w:rsidRDefault="000039B2" w:rsidP="000039B2">
      <w:r>
        <w:t>The evaluation of spatial differences and changes over time coupled with their influencing variables provides confidence that worst case settings have been evaluated.</w:t>
      </w:r>
      <w:r w:rsidR="00AD5366">
        <w:t xml:space="preserve">  This facet is a significant limitation of current </w:t>
      </w:r>
      <w:proofErr w:type="spellStart"/>
      <w:r w:rsidR="00AD5366">
        <w:t>vapour</w:t>
      </w:r>
      <w:proofErr w:type="spellEnd"/>
      <w:r w:rsidR="00AD5366">
        <w:t xml:space="preserve"> intrusion modelling practices.</w:t>
      </w:r>
      <w:r>
        <w:t xml:space="preserve"> This ensures that changing environmental conditions will not impact on the most sensitive subgroup of the population and </w:t>
      </w:r>
      <w:r w:rsidR="00AD5366">
        <w:t xml:space="preserve">at </w:t>
      </w:r>
      <w:r>
        <w:t xml:space="preserve">any time that has not been captured during sampling regimes.  This area is the most difficult area to assess and may require significant resource commitment </w:t>
      </w:r>
      <w:proofErr w:type="gramStart"/>
      <w:r>
        <w:t>in order to</w:t>
      </w:r>
      <w:proofErr w:type="gramEnd"/>
      <w:r>
        <w:t xml:space="preserve"> fulfil as it</w:t>
      </w:r>
      <w:r w:rsidR="00AD5366">
        <w:t xml:space="preserve"> requires extended monitoring programs. This is an area for further research outcomes that may enable the establishment of relationships which could minimize the sampling regimes that are currently required to achieve confidence and hence overall save costs.</w:t>
      </w:r>
    </w:p>
    <w:p w14:paraId="21B037C1" w14:textId="357EA88E" w:rsidR="00E14595" w:rsidRDefault="00E14595" w:rsidP="000F1A4A">
      <w:pPr>
        <w:pStyle w:val="Heading3"/>
      </w:pPr>
      <w:bookmarkStart w:id="89" w:name="_Toc461684087"/>
      <w:r w:rsidRPr="000B347D">
        <w:t>Building design</w:t>
      </w:r>
      <w:r w:rsidR="00BD691A" w:rsidRPr="000B347D">
        <w:t xml:space="preserve"> and ventilation</w:t>
      </w:r>
      <w:bookmarkEnd w:id="89"/>
    </w:p>
    <w:p w14:paraId="57151C50" w14:textId="3069AD35" w:rsidR="00AD5366" w:rsidRPr="00AD5366" w:rsidRDefault="00AD5366" w:rsidP="00AD5366">
      <w:r>
        <w:t>Architectural and engineering information related to existing or proposed buildings provides supplementary information relevant to indoor air exposures. Active ventilation s</w:t>
      </w:r>
      <w:r w:rsidR="00D51ADA">
        <w:t>ystems;</w:t>
      </w:r>
      <w:r>
        <w:t xml:space="preserve"> passive structural vent</w:t>
      </w:r>
      <w:r w:rsidR="00D51ADA">
        <w:t>ilation designs;</w:t>
      </w:r>
      <w:r>
        <w:t xml:space="preserve"> susp</w:t>
      </w:r>
      <w:r w:rsidR="00D51ADA">
        <w:t>ended concrete or wooden floors;</w:t>
      </w:r>
      <w:r>
        <w:t xml:space="preserve"> “waffle-pod” foundati</w:t>
      </w:r>
      <w:r w:rsidR="00D51ADA">
        <w:t>on designs;</w:t>
      </w:r>
      <w:r>
        <w:t xml:space="preserve"> heating and cooling syste</w:t>
      </w:r>
      <w:r w:rsidR="00D51ADA">
        <w:t>ms; internal atria which are sealed to the indoor environment but open to atmosphere</w:t>
      </w:r>
      <w:r w:rsidR="00F818EB">
        <w:t>; and sub-surface service lines/drains/sumps through</w:t>
      </w:r>
      <w:r>
        <w:t xml:space="preserve"> </w:t>
      </w:r>
      <w:r w:rsidR="00F818EB">
        <w:t>the foundation are all factors that may play a part in influencing the indoor exposures.</w:t>
      </w:r>
    </w:p>
    <w:p w14:paraId="0057B26C" w14:textId="33CED750" w:rsidR="00E14595" w:rsidRDefault="00E14595" w:rsidP="000F1A4A">
      <w:pPr>
        <w:pStyle w:val="Heading3"/>
      </w:pPr>
      <w:bookmarkStart w:id="90" w:name="_Toc461684088"/>
      <w:r w:rsidRPr="000B347D">
        <w:t>Preferential pathways</w:t>
      </w:r>
      <w:bookmarkEnd w:id="90"/>
    </w:p>
    <w:p w14:paraId="2126DAC0" w14:textId="6126867F" w:rsidR="00F818EB" w:rsidRPr="00F818EB" w:rsidRDefault="00F818EB" w:rsidP="00F818EB">
      <w:r>
        <w:t xml:space="preserve">Preferential pathways are pathways of least resistance to </w:t>
      </w:r>
      <w:proofErr w:type="spellStart"/>
      <w:r>
        <w:t>vapour</w:t>
      </w:r>
      <w:proofErr w:type="spellEnd"/>
      <w:r>
        <w:t xml:space="preserve"> flow and enable pressure-driven advection to occur which minimizes the influence of attenuation processes </w:t>
      </w:r>
      <w:r w:rsidR="00862CAB">
        <w:t xml:space="preserve">and can </w:t>
      </w:r>
      <w:r w:rsidR="003644D8">
        <w:t>increase</w:t>
      </w:r>
      <w:r w:rsidR="00862CAB">
        <w:t xml:space="preserve"> exposures and risks indoors. In the case of existing buildings these require evaluation through identification and measurement while for buildings under construction it is important to ensure that service lines are sealed and do not result in entry points into the building interior.  The treatment of preferential pathways is thus a line of evidence that minimizes exposure risks which cannot be assessed with current </w:t>
      </w:r>
      <w:proofErr w:type="spellStart"/>
      <w:r w:rsidR="00862CAB">
        <w:t>vapour</w:t>
      </w:r>
      <w:proofErr w:type="spellEnd"/>
      <w:r w:rsidR="00862CAB">
        <w:t xml:space="preserve"> intrusion models.</w:t>
      </w:r>
      <w:r>
        <w:t xml:space="preserve"> </w:t>
      </w:r>
    </w:p>
    <w:p w14:paraId="57267D25" w14:textId="18744753" w:rsidR="00FD60B3" w:rsidRDefault="00FD60B3" w:rsidP="00FD60B3">
      <w:pPr>
        <w:pStyle w:val="Heading3"/>
      </w:pPr>
      <w:bookmarkStart w:id="91" w:name="_Toc461684089"/>
      <w:r w:rsidRPr="000B347D">
        <w:lastRenderedPageBreak/>
        <w:t>Phyto-assessment methods</w:t>
      </w:r>
      <w:bookmarkEnd w:id="91"/>
    </w:p>
    <w:p w14:paraId="1E7BEAFE" w14:textId="11B99F8B" w:rsidR="00286E3A" w:rsidRDefault="00862CAB" w:rsidP="00286E3A">
      <w:r>
        <w:t>Phyto-assessment methods are methods of assessment that are base</w:t>
      </w:r>
      <w:r w:rsidR="00127DC1">
        <w:t>d on plant uptake of contaminan</w:t>
      </w:r>
      <w:r>
        <w:t>t</w:t>
      </w:r>
      <w:r w:rsidR="00127DC1">
        <w:t>s</w:t>
      </w:r>
      <w:r w:rsidR="00CB3A5A">
        <w:t>. There are a few publications related to soils contaminated with hydrocarbons</w:t>
      </w:r>
      <w:r w:rsidR="00286E3A">
        <w:t xml:space="preserve"> which suggest that plant biomass may be used as an indicator of the presence of hydrocarbons at various depths in soil, depending on the plant root zones. These studies (</w:t>
      </w:r>
      <w:proofErr w:type="gramStart"/>
      <w:r w:rsidR="00286E3A">
        <w:t>e.g.</w:t>
      </w:r>
      <w:proofErr w:type="gramEnd"/>
      <w:r w:rsidR="00286E3A">
        <w:t xml:space="preserve"> </w:t>
      </w:r>
      <w:proofErr w:type="spellStart"/>
      <w:r w:rsidR="00286E3A">
        <w:t>Ikhaiagbe</w:t>
      </w:r>
      <w:proofErr w:type="spellEnd"/>
      <w:r w:rsidR="00286E3A">
        <w:t xml:space="preserve"> et al</w:t>
      </w:r>
      <w:r w:rsidR="00112D52">
        <w:t>.</w:t>
      </w:r>
      <w:r w:rsidR="00286E3A">
        <w:t>, 2</w:t>
      </w:r>
      <w:r w:rsidR="00112D52">
        <w:t xml:space="preserve">013; </w:t>
      </w:r>
      <w:proofErr w:type="spellStart"/>
      <w:r w:rsidR="00112D52">
        <w:t>Ikhajiagbe</w:t>
      </w:r>
      <w:proofErr w:type="spellEnd"/>
      <w:r w:rsidR="00112D52">
        <w:t xml:space="preserve"> and </w:t>
      </w:r>
      <w:proofErr w:type="spellStart"/>
      <w:r w:rsidR="00112D52">
        <w:t>Unuagbokhe</w:t>
      </w:r>
      <w:proofErr w:type="spellEnd"/>
      <w:r w:rsidR="00112D52">
        <w:t xml:space="preserve">, </w:t>
      </w:r>
      <w:r w:rsidR="00286E3A">
        <w:t>2013</w:t>
      </w:r>
      <w:r w:rsidR="000F152A">
        <w:t xml:space="preserve">; Bramley-Alves </w:t>
      </w:r>
      <w:r w:rsidR="007F3045">
        <w:t>et al.,</w:t>
      </w:r>
      <w:r w:rsidR="000F152A">
        <w:t xml:space="preserve"> 2014</w:t>
      </w:r>
      <w:r w:rsidR="00286E3A">
        <w:t>) are generally related to growth impacts and yields and/or phytoremediation aspects, however, they do support the potential that</w:t>
      </w:r>
      <w:r w:rsidR="00CB3A5A">
        <w:t xml:space="preserve"> </w:t>
      </w:r>
      <w:r w:rsidR="00286E3A">
        <w:t>the presence of soil hydrocarbons may be assessed using plants. Further research is required in this area</w:t>
      </w:r>
      <w:r w:rsidR="000F152A">
        <w:t>.</w:t>
      </w:r>
    </w:p>
    <w:p w14:paraId="3F647B67" w14:textId="16D04A35" w:rsidR="00E14595" w:rsidRPr="000B347D" w:rsidRDefault="00E14595" w:rsidP="00286E3A">
      <w:pPr>
        <w:pStyle w:val="Heading3"/>
      </w:pPr>
      <w:bookmarkStart w:id="92" w:name="_Toc461684090"/>
      <w:r w:rsidRPr="000B347D">
        <w:t>Attenuation factors</w:t>
      </w:r>
      <w:bookmarkEnd w:id="92"/>
    </w:p>
    <w:p w14:paraId="0CDEF1AB" w14:textId="254BE93B" w:rsidR="00E14595" w:rsidRDefault="00112D52" w:rsidP="003C3DC1">
      <w:pPr>
        <w:pStyle w:val="Heading4"/>
      </w:pPr>
      <w:bookmarkStart w:id="93" w:name="_Ref454605366"/>
      <w:r>
        <w:t xml:space="preserve"> </w:t>
      </w:r>
      <w:r w:rsidR="00E14595" w:rsidRPr="000B347D">
        <w:t>Generic</w:t>
      </w:r>
      <w:bookmarkEnd w:id="93"/>
    </w:p>
    <w:p w14:paraId="77BC8D88" w14:textId="518F3ABF" w:rsidR="00510AC1" w:rsidRPr="00433A74" w:rsidRDefault="00510AC1" w:rsidP="00510AC1">
      <w:proofErr w:type="gramStart"/>
      <w:r w:rsidRPr="00433A74">
        <w:t>A number of</w:t>
      </w:r>
      <w:proofErr w:type="gramEnd"/>
      <w:r w:rsidRPr="00433A74">
        <w:t xml:space="preserve"> publications have cited various generic attenuation factors (NSW EPA, 2012; US EPA 2002; US EPA 2012) and these have been drawn from various databases.</w:t>
      </w:r>
      <w:r w:rsidR="006F5B7A" w:rsidRPr="00433A74">
        <w:t xml:space="preserve"> The reader is referred to those publications. In the most recent US EPA (2015) publication information on the use of generi</w:t>
      </w:r>
      <w:r w:rsidR="00673A66" w:rsidRPr="00433A74">
        <w:t xml:space="preserve">c </w:t>
      </w:r>
      <w:r w:rsidR="006F5B7A" w:rsidRPr="00433A74">
        <w:t xml:space="preserve">attenuation factors the outcomes of the US EPA’s </w:t>
      </w:r>
      <w:proofErr w:type="spellStart"/>
      <w:r w:rsidR="006F5B7A" w:rsidRPr="00433A74">
        <w:t>vapour</w:t>
      </w:r>
      <w:proofErr w:type="spellEnd"/>
      <w:r w:rsidR="006F5B7A" w:rsidRPr="00433A74">
        <w:t xml:space="preserve"> intrusion database analyses are presented. According to US EPA (2015a, pA3),</w:t>
      </w:r>
    </w:p>
    <w:p w14:paraId="7F0967BB" w14:textId="535E4F94" w:rsidR="006F5B7A" w:rsidRPr="00433A74" w:rsidRDefault="006F5B7A" w:rsidP="00510AC1">
      <w:r w:rsidRPr="00433A74">
        <w:t>“</w:t>
      </w:r>
      <w:r w:rsidRPr="00433A74">
        <w:rPr>
          <w:i/>
        </w:rPr>
        <w:t xml:space="preserve">The information in </w:t>
      </w:r>
      <w:r w:rsidRPr="00433A74">
        <w:rPr>
          <w:i/>
          <w:iCs/>
        </w:rPr>
        <w:t xml:space="preserve">EPA’s Vapor Intrusion Database: Evaluation and Characterization of Attenuation Factors for Chlorinated Volatile Organic Compounds and Residential Buildings </w:t>
      </w:r>
      <w:r w:rsidRPr="00433A74">
        <w:rPr>
          <w:i/>
        </w:rPr>
        <w:t xml:space="preserve">(EPA 2012a) is used to derive recommended attenuation factor values for use in evaluating subsurface sample concentrations collected as part of vapor intrusion investigations. EPA’s vapor intrusion database consists of numerous pairings of concentrations in indoor air and subsurface samples (groundwater, sub-slab soil gas, exterior soil gas, and crawlspace vapor) from actual sites. It represents the most comprehensive compilation of vapor intrusion data for chlorinated hydrocarbons (CHCs) available </w:t>
      </w:r>
      <w:proofErr w:type="gramStart"/>
      <w:r w:rsidRPr="00433A74">
        <w:rPr>
          <w:i/>
        </w:rPr>
        <w:t>at this time</w:t>
      </w:r>
      <w:proofErr w:type="gramEnd"/>
      <w:r w:rsidRPr="00433A74">
        <w:t>.”.</w:t>
      </w:r>
    </w:p>
    <w:p w14:paraId="03E18715" w14:textId="7ECDA55F" w:rsidR="00673A66" w:rsidRPr="00433A74" w:rsidRDefault="00034928" w:rsidP="00112D52">
      <w:pPr>
        <w:pStyle w:val="Caption"/>
        <w:keepNext/>
        <w:rPr>
          <w:i w:val="0"/>
          <w:color w:val="auto"/>
          <w:sz w:val="22"/>
          <w:szCs w:val="22"/>
        </w:rPr>
      </w:pPr>
      <w:r w:rsidRPr="00433A74">
        <w:rPr>
          <w:i w:val="0"/>
          <w:color w:val="auto"/>
          <w:sz w:val="22"/>
          <w:szCs w:val="22"/>
        </w:rPr>
        <w:t xml:space="preserve">The </w:t>
      </w:r>
      <w:r w:rsidR="007C0074" w:rsidRPr="00433A74">
        <w:rPr>
          <w:i w:val="0"/>
          <w:color w:val="auto"/>
          <w:sz w:val="22"/>
          <w:szCs w:val="22"/>
        </w:rPr>
        <w:t>attenuation factor</w:t>
      </w:r>
      <w:r w:rsidRPr="00433A74">
        <w:rPr>
          <w:i w:val="0"/>
          <w:color w:val="auto"/>
          <w:sz w:val="22"/>
          <w:szCs w:val="22"/>
        </w:rPr>
        <w:t xml:space="preserve"> distribution across the transport compartments</w:t>
      </w:r>
      <w:r w:rsidR="007C0074" w:rsidRPr="00433A74">
        <w:rPr>
          <w:i w:val="0"/>
          <w:color w:val="auto"/>
          <w:sz w:val="22"/>
          <w:szCs w:val="22"/>
        </w:rPr>
        <w:t xml:space="preserve"> for that database</w:t>
      </w:r>
      <w:r w:rsidRPr="00433A74">
        <w:rPr>
          <w:i w:val="0"/>
          <w:color w:val="auto"/>
          <w:sz w:val="22"/>
          <w:szCs w:val="22"/>
        </w:rPr>
        <w:t xml:space="preserve"> </w:t>
      </w:r>
      <w:r w:rsidR="007C0074" w:rsidRPr="00433A74">
        <w:rPr>
          <w:i w:val="0"/>
          <w:color w:val="auto"/>
          <w:sz w:val="22"/>
          <w:szCs w:val="22"/>
        </w:rPr>
        <w:t xml:space="preserve">is presented in </w:t>
      </w:r>
      <w:r w:rsidR="007C0074" w:rsidRPr="00433A74">
        <w:rPr>
          <w:i w:val="0"/>
          <w:color w:val="auto"/>
          <w:sz w:val="22"/>
          <w:szCs w:val="22"/>
        </w:rPr>
        <w:fldChar w:fldCharType="begin"/>
      </w:r>
      <w:r w:rsidR="007C0074" w:rsidRPr="00433A74">
        <w:rPr>
          <w:i w:val="0"/>
          <w:color w:val="auto"/>
          <w:sz w:val="22"/>
          <w:szCs w:val="22"/>
        </w:rPr>
        <w:instrText xml:space="preserve"> REF _Ref455075960 \h </w:instrText>
      </w:r>
      <w:r w:rsidR="00112D52" w:rsidRPr="00433A74">
        <w:rPr>
          <w:i w:val="0"/>
          <w:color w:val="auto"/>
          <w:sz w:val="22"/>
          <w:szCs w:val="22"/>
        </w:rPr>
        <w:instrText xml:space="preserve"> \* MERGEFORMAT </w:instrText>
      </w:r>
      <w:r w:rsidR="007C0074" w:rsidRPr="00433A74">
        <w:rPr>
          <w:i w:val="0"/>
          <w:color w:val="auto"/>
          <w:sz w:val="22"/>
          <w:szCs w:val="22"/>
        </w:rPr>
      </w:r>
      <w:r w:rsidR="007C0074" w:rsidRPr="00433A74">
        <w:rPr>
          <w:i w:val="0"/>
          <w:color w:val="auto"/>
          <w:sz w:val="22"/>
          <w:szCs w:val="22"/>
        </w:rPr>
        <w:fldChar w:fldCharType="separate"/>
      </w:r>
      <w:r w:rsidR="006A5935" w:rsidRPr="00433A74">
        <w:rPr>
          <w:i w:val="0"/>
          <w:color w:val="auto"/>
          <w:sz w:val="22"/>
          <w:szCs w:val="22"/>
        </w:rPr>
        <w:t xml:space="preserve">Figure </w:t>
      </w:r>
      <w:r w:rsidR="006A5935" w:rsidRPr="00433A74">
        <w:rPr>
          <w:i w:val="0"/>
          <w:noProof/>
          <w:color w:val="auto"/>
          <w:sz w:val="22"/>
          <w:szCs w:val="22"/>
        </w:rPr>
        <w:t>15</w:t>
      </w:r>
      <w:r w:rsidR="007C0074" w:rsidRPr="00433A74">
        <w:rPr>
          <w:i w:val="0"/>
          <w:color w:val="auto"/>
          <w:sz w:val="22"/>
          <w:szCs w:val="22"/>
        </w:rPr>
        <w:fldChar w:fldCharType="end"/>
      </w:r>
      <w:r w:rsidR="007C0074" w:rsidRPr="00433A74">
        <w:rPr>
          <w:i w:val="0"/>
          <w:color w:val="auto"/>
          <w:sz w:val="22"/>
          <w:szCs w:val="22"/>
        </w:rPr>
        <w:t xml:space="preserve"> and the recommended attenuation factors are presented in </w:t>
      </w:r>
      <w:r w:rsidR="00112D52" w:rsidRPr="00433A74">
        <w:rPr>
          <w:i w:val="0"/>
          <w:color w:val="auto"/>
          <w:sz w:val="22"/>
          <w:szCs w:val="22"/>
        </w:rPr>
        <w:t xml:space="preserve">Table 9. </w:t>
      </w:r>
      <w:r w:rsidR="007C0074" w:rsidRPr="00433A74">
        <w:rPr>
          <w:i w:val="0"/>
          <w:color w:val="auto"/>
          <w:sz w:val="22"/>
          <w:szCs w:val="22"/>
        </w:rPr>
        <w:t>These attenuation factors support the derivation of the US EPA (2014a) VISLs.</w:t>
      </w:r>
      <w:r w:rsidR="00112D52" w:rsidRPr="00433A74">
        <w:rPr>
          <w:i w:val="0"/>
          <w:color w:val="auto"/>
          <w:sz w:val="22"/>
          <w:szCs w:val="22"/>
        </w:rPr>
        <w:t xml:space="preserve"> </w:t>
      </w:r>
      <w:r w:rsidR="00673A66" w:rsidRPr="00433A74">
        <w:rPr>
          <w:i w:val="0"/>
          <w:color w:val="auto"/>
          <w:sz w:val="22"/>
          <w:szCs w:val="22"/>
        </w:rPr>
        <w:t xml:space="preserve">There are </w:t>
      </w:r>
      <w:proofErr w:type="gramStart"/>
      <w:r w:rsidR="00673A66" w:rsidRPr="00433A74">
        <w:rPr>
          <w:i w:val="0"/>
          <w:color w:val="auto"/>
          <w:sz w:val="22"/>
          <w:szCs w:val="22"/>
        </w:rPr>
        <w:t>a number of</w:t>
      </w:r>
      <w:proofErr w:type="gramEnd"/>
      <w:r w:rsidR="00673A66" w:rsidRPr="00433A74">
        <w:rPr>
          <w:i w:val="0"/>
          <w:color w:val="auto"/>
          <w:sz w:val="22"/>
          <w:szCs w:val="22"/>
        </w:rPr>
        <w:t xml:space="preserve"> considerations required in the use of these attenuation factors as presented in </w:t>
      </w:r>
      <w:r w:rsidR="00112D52" w:rsidRPr="00433A74">
        <w:rPr>
          <w:i w:val="0"/>
          <w:color w:val="auto"/>
          <w:sz w:val="22"/>
          <w:szCs w:val="22"/>
        </w:rPr>
        <w:t>Table 9</w:t>
      </w:r>
      <w:r w:rsidR="00673A66" w:rsidRPr="00433A74">
        <w:rPr>
          <w:color w:val="auto"/>
        </w:rPr>
        <w:t xml:space="preserve">, </w:t>
      </w:r>
      <w:r w:rsidRPr="00433A74">
        <w:rPr>
          <w:i w:val="0"/>
          <w:color w:val="auto"/>
          <w:sz w:val="22"/>
          <w:szCs w:val="22"/>
        </w:rPr>
        <w:t>with a specific focus on:</w:t>
      </w:r>
    </w:p>
    <w:p w14:paraId="775146BE" w14:textId="0EA38F10" w:rsidR="00713CA2" w:rsidRPr="00433A74" w:rsidRDefault="00112D52" w:rsidP="0015648C">
      <w:pPr>
        <w:pStyle w:val="ListParagraph"/>
        <w:numPr>
          <w:ilvl w:val="0"/>
          <w:numId w:val="29"/>
        </w:numPr>
      </w:pPr>
      <w:r w:rsidRPr="00433A74">
        <w:t xml:space="preserve">whether site conditions </w:t>
      </w:r>
      <w:r w:rsidR="00673A66" w:rsidRPr="00433A74">
        <w:t xml:space="preserve">fit the generic model of </w:t>
      </w:r>
      <w:proofErr w:type="spellStart"/>
      <w:r w:rsidR="00673A66" w:rsidRPr="00433A74">
        <w:t>vapour</w:t>
      </w:r>
      <w:proofErr w:type="spellEnd"/>
      <w:r w:rsidR="00673A66" w:rsidRPr="00433A74">
        <w:t xml:space="preserve"> intrusion described at Section 6.5.2 </w:t>
      </w:r>
      <w:r w:rsidR="00AD1D26" w:rsidRPr="00433A74">
        <w:t xml:space="preserve">(see </w:t>
      </w:r>
      <w:r w:rsidR="00673A66" w:rsidRPr="00433A74">
        <w:t>(</w:t>
      </w:r>
      <w:r w:rsidR="00AD1D26" w:rsidRPr="00433A74">
        <w:fldChar w:fldCharType="begin"/>
      </w:r>
      <w:r w:rsidR="00AD1D26" w:rsidRPr="00433A74">
        <w:instrText xml:space="preserve"> REF _Ref454908843 \h </w:instrText>
      </w:r>
      <w:r w:rsidR="00AD1D26" w:rsidRPr="00433A74">
        <w:fldChar w:fldCharType="separate"/>
      </w:r>
      <w:r w:rsidR="006A5935" w:rsidRPr="00433A74">
        <w:t xml:space="preserve">Figure </w:t>
      </w:r>
      <w:r w:rsidR="006A5935" w:rsidRPr="00433A74">
        <w:rPr>
          <w:noProof/>
        </w:rPr>
        <w:t>13</w:t>
      </w:r>
      <w:r w:rsidR="00AD1D26" w:rsidRPr="00433A74">
        <w:fldChar w:fldCharType="end"/>
      </w:r>
      <w:r w:rsidR="00AD1D26" w:rsidRPr="00433A74">
        <w:t>))</w:t>
      </w:r>
      <w:r w:rsidR="00034928" w:rsidRPr="00433A74">
        <w:t xml:space="preserve"> </w:t>
      </w:r>
      <w:r w:rsidR="00673A66" w:rsidRPr="00433A74">
        <w:t>with sub-surface conditions characterized base</w:t>
      </w:r>
      <w:r w:rsidR="00AD1D26" w:rsidRPr="00433A74">
        <w:t>d on recommendations at Section</w:t>
      </w:r>
      <w:r w:rsidR="00673A66" w:rsidRPr="00433A74">
        <w:t xml:space="preserve"> 6</w:t>
      </w:r>
      <w:r w:rsidR="00AD1D26" w:rsidRPr="00433A74">
        <w:t xml:space="preserve">.3 (pp71-86) </w:t>
      </w:r>
      <w:r w:rsidR="00673A66" w:rsidRPr="00433A74">
        <w:t xml:space="preserve">and </w:t>
      </w:r>
      <w:r w:rsidR="00AD1D26" w:rsidRPr="00433A74">
        <w:t xml:space="preserve">Section </w:t>
      </w:r>
      <w:r w:rsidR="00673A66" w:rsidRPr="00433A74">
        <w:t>6.4</w:t>
      </w:r>
      <w:r w:rsidR="00AD1D26" w:rsidRPr="00433A74">
        <w:t xml:space="preserve"> (pp</w:t>
      </w:r>
      <w:r w:rsidR="00673A66" w:rsidRPr="00433A74">
        <w:t>.</w:t>
      </w:r>
      <w:r w:rsidR="00AD1D26" w:rsidRPr="00433A74">
        <w:t>87-105).</w:t>
      </w:r>
    </w:p>
    <w:p w14:paraId="57C6D90B" w14:textId="4A87A987" w:rsidR="007C0074" w:rsidRPr="00433A74" w:rsidRDefault="007C0074" w:rsidP="0015648C">
      <w:pPr>
        <w:pStyle w:val="ListParagraph"/>
        <w:numPr>
          <w:ilvl w:val="0"/>
          <w:numId w:val="29"/>
        </w:numPr>
      </w:pPr>
      <w:r w:rsidRPr="00433A74">
        <w:t>The reader is also referred to pp 105-112 (US EPA, 2015a) for an understanding of the VISLs and attenuation factors and their application.</w:t>
      </w:r>
    </w:p>
    <w:p w14:paraId="5873060D" w14:textId="51ADDF06" w:rsidR="00713CA2" w:rsidRDefault="00713CA2" w:rsidP="00713CA2">
      <w:pPr>
        <w:rPr>
          <w:highlight w:val="yellow"/>
        </w:rPr>
      </w:pPr>
    </w:p>
    <w:p w14:paraId="390B4F22" w14:textId="6DFF656A" w:rsidR="00713CA2" w:rsidRDefault="00713CA2" w:rsidP="00713CA2">
      <w:pPr>
        <w:rPr>
          <w:highlight w:val="yellow"/>
        </w:rPr>
      </w:pPr>
    </w:p>
    <w:p w14:paraId="6B34D1B3" w14:textId="3D4F8FDF" w:rsidR="00713CA2" w:rsidRDefault="00713CA2" w:rsidP="00713CA2">
      <w:pPr>
        <w:rPr>
          <w:highlight w:val="yellow"/>
        </w:rPr>
      </w:pPr>
    </w:p>
    <w:p w14:paraId="304F3C93" w14:textId="41753601" w:rsidR="00734A58" w:rsidRDefault="00734A58" w:rsidP="00713CA2">
      <w:pPr>
        <w:rPr>
          <w:highlight w:val="yellow"/>
        </w:rPr>
      </w:pPr>
    </w:p>
    <w:p w14:paraId="6BCCE6AC" w14:textId="77777777" w:rsidR="006477E1" w:rsidRDefault="006477E1" w:rsidP="00734A58">
      <w:pPr>
        <w:pStyle w:val="Caption"/>
        <w:keepNext/>
      </w:pPr>
      <w:bookmarkStart w:id="94" w:name="_Ref455072993"/>
      <w:bookmarkStart w:id="95" w:name="_Ref455075986"/>
    </w:p>
    <w:p w14:paraId="125C241F" w14:textId="77777777" w:rsidR="006477E1" w:rsidRDefault="006477E1" w:rsidP="00734A58">
      <w:pPr>
        <w:pStyle w:val="Caption"/>
        <w:keepNext/>
      </w:pPr>
    </w:p>
    <w:p w14:paraId="364E201F" w14:textId="36603F48" w:rsidR="00734A58" w:rsidRDefault="00734A58" w:rsidP="00734A58">
      <w:pPr>
        <w:pStyle w:val="Caption"/>
        <w:keepNext/>
      </w:pPr>
      <w:r>
        <w:t xml:space="preserve">Table </w:t>
      </w:r>
      <w:fldSimple w:instr=" SEQ Table \* ARABIC ">
        <w:r w:rsidR="006A5935">
          <w:rPr>
            <w:noProof/>
          </w:rPr>
          <w:t>9</w:t>
        </w:r>
      </w:fldSimple>
      <w:bookmarkEnd w:id="94"/>
      <w:r>
        <w:t xml:space="preserve">: Recommended </w:t>
      </w:r>
      <w:proofErr w:type="spellStart"/>
      <w:r>
        <w:t>vapour</w:t>
      </w:r>
      <w:proofErr w:type="spellEnd"/>
      <w:r>
        <w:t xml:space="preserve"> attenuation factors for risk-based screening of the </w:t>
      </w:r>
      <w:proofErr w:type="spellStart"/>
      <w:r>
        <w:t>vapour</w:t>
      </w:r>
      <w:proofErr w:type="spellEnd"/>
      <w:r>
        <w:t xml:space="preserve"> </w:t>
      </w:r>
      <w:r w:rsidR="00112D52">
        <w:t>intrusion pathway (from US EPA, 2015a</w:t>
      </w:r>
      <w:r w:rsidR="00127DC1">
        <w:t>)</w:t>
      </w:r>
      <w:bookmarkEnd w:id="95"/>
    </w:p>
    <w:p w14:paraId="7E978ABE" w14:textId="509994A7" w:rsidR="00034928" w:rsidRDefault="00734A58" w:rsidP="00713CA2">
      <w:pPr>
        <w:rPr>
          <w:highlight w:val="yellow"/>
        </w:rPr>
      </w:pPr>
      <w:r w:rsidRPr="00734A58">
        <w:rPr>
          <w:noProof/>
          <w:lang w:eastAsia="en-US"/>
        </w:rPr>
        <w:drawing>
          <wp:inline distT="0" distB="0" distL="0" distR="0" wp14:anchorId="283E7BBF" wp14:editId="6F566A35">
            <wp:extent cx="5720715" cy="3098165"/>
            <wp:effectExtent l="0" t="0" r="0" b="6985"/>
            <wp:docPr id="25" name="Picture 25" descr="K:\2016\UofA\enHealth\Documentation\PICS\2016_06_30\A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2016\UofA\enHealth\Documentation\PICS\2016_06_30\AFs.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20715" cy="3098165"/>
                    </a:xfrm>
                    <a:prstGeom prst="rect">
                      <a:avLst/>
                    </a:prstGeom>
                    <a:noFill/>
                    <a:ln>
                      <a:noFill/>
                    </a:ln>
                  </pic:spPr>
                </pic:pic>
              </a:graphicData>
            </a:graphic>
          </wp:inline>
        </w:drawing>
      </w:r>
    </w:p>
    <w:p w14:paraId="367281C6" w14:textId="2A10453E" w:rsidR="00034928" w:rsidRDefault="00034928" w:rsidP="00713CA2">
      <w:pPr>
        <w:rPr>
          <w:highlight w:val="yellow"/>
        </w:rPr>
      </w:pPr>
    </w:p>
    <w:p w14:paraId="633A2126" w14:textId="14D39400" w:rsidR="00034928" w:rsidRDefault="00034928" w:rsidP="00034928">
      <w:pPr>
        <w:pStyle w:val="Caption"/>
        <w:keepNext/>
      </w:pPr>
      <w:bookmarkStart w:id="96" w:name="_Ref455075960"/>
      <w:r>
        <w:lastRenderedPageBreak/>
        <w:t xml:space="preserve">Figure </w:t>
      </w:r>
      <w:fldSimple w:instr=" SEQ Figure \* ARABIC ">
        <w:r w:rsidR="006A5935">
          <w:rPr>
            <w:noProof/>
          </w:rPr>
          <w:t>15</w:t>
        </w:r>
      </w:fldSimple>
      <w:bookmarkEnd w:id="96"/>
      <w:r>
        <w:t>: Box-and-whisk</w:t>
      </w:r>
      <w:r w:rsidR="007C0074">
        <w:t>e</w:t>
      </w:r>
      <w:r w:rsidR="00112D52">
        <w:t xml:space="preserve">rs plot </w:t>
      </w:r>
      <w:proofErr w:type="spellStart"/>
      <w:r w:rsidR="00112D52">
        <w:t>summ</w:t>
      </w:r>
      <w:r>
        <w:t>arising</w:t>
      </w:r>
      <w:proofErr w:type="spellEnd"/>
      <w:r>
        <w:t xml:space="preserve"> attenuation factor distributions for groundwater, exterior soil gas, sub-slab gas and crawl space (from US EPA 2015a).</w:t>
      </w:r>
    </w:p>
    <w:p w14:paraId="4D3D25ED" w14:textId="7D028917" w:rsidR="00034928" w:rsidRDefault="00034928" w:rsidP="00713CA2">
      <w:pPr>
        <w:rPr>
          <w:highlight w:val="yellow"/>
        </w:rPr>
      </w:pPr>
      <w:r w:rsidRPr="00034928">
        <w:rPr>
          <w:noProof/>
          <w:lang w:eastAsia="en-US"/>
        </w:rPr>
        <w:drawing>
          <wp:inline distT="0" distB="0" distL="0" distR="0" wp14:anchorId="6642B397" wp14:editId="06FB97FD">
            <wp:extent cx="4655185" cy="3196590"/>
            <wp:effectExtent l="0" t="0" r="0" b="3810"/>
            <wp:docPr id="71" name="Picture 71" descr="K:\2016\UofA\enHealth\Documentation\PICS\2016_06_30\BoxandWhiskersplotUSEPA2015d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2016\UofA\enHealth\Documentation\PICS\2016_06_30\BoxandWhiskersplotUSEPA2015data.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55185" cy="3196590"/>
                    </a:xfrm>
                    <a:prstGeom prst="rect">
                      <a:avLst/>
                    </a:prstGeom>
                    <a:noFill/>
                    <a:ln>
                      <a:noFill/>
                    </a:ln>
                  </pic:spPr>
                </pic:pic>
              </a:graphicData>
            </a:graphic>
          </wp:inline>
        </w:drawing>
      </w:r>
    </w:p>
    <w:p w14:paraId="5FE9E76A" w14:textId="3E3301CB" w:rsidR="00E14595" w:rsidRDefault="004513AA" w:rsidP="003C3DC1">
      <w:pPr>
        <w:pStyle w:val="Heading4"/>
      </w:pPr>
      <w:r>
        <w:t xml:space="preserve"> </w:t>
      </w:r>
      <w:r w:rsidR="00E14595" w:rsidRPr="000B347D">
        <w:t>Site-specific</w:t>
      </w:r>
    </w:p>
    <w:p w14:paraId="45D8AECC" w14:textId="324E349C" w:rsidR="004513AA" w:rsidRDefault="004513AA" w:rsidP="004513AA">
      <w:r>
        <w:t>Site-specific attenuation factors may be estimated should there be sufficient factors to support such determinations. These include but are not limited to:</w:t>
      </w:r>
    </w:p>
    <w:p w14:paraId="2E365391" w14:textId="2274DA0E" w:rsidR="004513AA" w:rsidRDefault="004513AA" w:rsidP="0015648C">
      <w:pPr>
        <w:pStyle w:val="ListParagraph"/>
        <w:numPr>
          <w:ilvl w:val="0"/>
          <w:numId w:val="30"/>
        </w:numPr>
      </w:pPr>
      <w:r>
        <w:t>Single source at depth with overlying uncontaminated material</w:t>
      </w:r>
      <w:r w:rsidR="00E6666C">
        <w:t>.</w:t>
      </w:r>
    </w:p>
    <w:p w14:paraId="60D76E9C" w14:textId="23C8C317" w:rsidR="004513AA" w:rsidRDefault="004513AA" w:rsidP="0015648C">
      <w:pPr>
        <w:pStyle w:val="ListParagraph"/>
        <w:numPr>
          <w:ilvl w:val="0"/>
          <w:numId w:val="30"/>
        </w:numPr>
      </w:pPr>
      <w:r>
        <w:t>Depth concentration profiling from source to near surface (1.5m)</w:t>
      </w:r>
      <w:r w:rsidR="00E6666C">
        <w:t>.</w:t>
      </w:r>
    </w:p>
    <w:p w14:paraId="5089341B" w14:textId="71DAE02F" w:rsidR="004513AA" w:rsidRDefault="004513AA" w:rsidP="0015648C">
      <w:pPr>
        <w:pStyle w:val="ListParagraph"/>
        <w:numPr>
          <w:ilvl w:val="0"/>
          <w:numId w:val="30"/>
        </w:numPr>
      </w:pPr>
      <w:r>
        <w:t xml:space="preserve">Consistent </w:t>
      </w:r>
      <w:r w:rsidR="00E6666C">
        <w:t xml:space="preserve">sampling and </w:t>
      </w:r>
      <w:r>
        <w:t xml:space="preserve">test results in terms of the </w:t>
      </w:r>
      <w:r w:rsidR="00E6666C">
        <w:t>analysis method and the COPC.</w:t>
      </w:r>
    </w:p>
    <w:p w14:paraId="77C87F6B" w14:textId="703E4692" w:rsidR="00E6666C" w:rsidRDefault="00E6666C" w:rsidP="0015648C">
      <w:pPr>
        <w:pStyle w:val="ListParagraph"/>
        <w:numPr>
          <w:ilvl w:val="0"/>
          <w:numId w:val="30"/>
        </w:numPr>
      </w:pPr>
      <w:r>
        <w:t>Consistent geology/hydrogeology although heterogeneity is inherent in these systems.</w:t>
      </w:r>
    </w:p>
    <w:p w14:paraId="20263086" w14:textId="4B5DC084" w:rsidR="00E6666C" w:rsidRDefault="00E6666C" w:rsidP="0015648C">
      <w:pPr>
        <w:pStyle w:val="ListParagraph"/>
        <w:numPr>
          <w:ilvl w:val="0"/>
          <w:numId w:val="30"/>
        </w:numPr>
      </w:pPr>
      <w:r>
        <w:t>Concurrent depth profiling such that measurements are undertaken at the same time and under the same environmental conditions.</w:t>
      </w:r>
    </w:p>
    <w:p w14:paraId="66AF6649" w14:textId="446C2B8C" w:rsidR="00E6666C" w:rsidRDefault="00E6666C" w:rsidP="0015648C">
      <w:pPr>
        <w:pStyle w:val="ListParagraph"/>
        <w:numPr>
          <w:ilvl w:val="0"/>
          <w:numId w:val="30"/>
        </w:numPr>
      </w:pPr>
      <w:r>
        <w:t>Multiple rounds of depth profiling which may capture differing environmental conditions.</w:t>
      </w:r>
    </w:p>
    <w:p w14:paraId="6D09216E" w14:textId="561BD687" w:rsidR="00E6666C" w:rsidRDefault="00E6666C" w:rsidP="00E6666C">
      <w:r>
        <w:t>Caution is required due to the inherent heterogeneity of the sub-surface such that explicit comparisons (</w:t>
      </w:r>
      <w:proofErr w:type="gramStart"/>
      <w:r>
        <w:t>e.g.</w:t>
      </w:r>
      <w:proofErr w:type="gramEnd"/>
      <w:r>
        <w:t xml:space="preserve"> using only a couple of results) should be avoided. Statistical analyses and averaging processes with an understanding of variability is suggested.</w:t>
      </w:r>
    </w:p>
    <w:p w14:paraId="2B5FB37D" w14:textId="66BF5E0E" w:rsidR="00E14595" w:rsidRDefault="00E14595" w:rsidP="000F1A4A">
      <w:pPr>
        <w:pStyle w:val="Heading3"/>
      </w:pPr>
      <w:bookmarkStart w:id="97" w:name="_Toc461684091"/>
      <w:r w:rsidRPr="000B347D">
        <w:t>Concentration gradients</w:t>
      </w:r>
      <w:bookmarkEnd w:id="97"/>
    </w:p>
    <w:p w14:paraId="56882FA1" w14:textId="5CD07A5E" w:rsidR="00E6666C" w:rsidRPr="00E6666C" w:rsidRDefault="00E6666C" w:rsidP="00E6666C">
      <w:r>
        <w:t xml:space="preserve">The estimation of concentration gradients of soil </w:t>
      </w:r>
      <w:proofErr w:type="spellStart"/>
      <w:r>
        <w:t>vapour</w:t>
      </w:r>
      <w:proofErr w:type="spellEnd"/>
      <w:r>
        <w:t xml:space="preserve"> in the sub-surface is a useful tool</w:t>
      </w:r>
      <w:r w:rsidR="00A72960">
        <w:t xml:space="preserve"> and should be considered as par</w:t>
      </w:r>
      <w:r w:rsidR="00112D52">
        <w:t>t of the conceptual site model of exposure</w:t>
      </w:r>
      <w:r w:rsidR="00A72960">
        <w:t>. These may be undertaken using cost-effective passive sampling methods. These can aid in establishing sources and source apportionment and provide additional information for targeted sampling using more robust standards methods for quantitative d</w:t>
      </w:r>
      <w:r w:rsidR="00112D52">
        <w:t>e</w:t>
      </w:r>
      <w:r w:rsidR="00A72960">
        <w:t>terminations.</w:t>
      </w:r>
    </w:p>
    <w:p w14:paraId="6371A90A" w14:textId="354CF138" w:rsidR="009553E8" w:rsidRDefault="00E14595" w:rsidP="00C05028">
      <w:pPr>
        <w:pStyle w:val="Heading3"/>
      </w:pPr>
      <w:bookmarkStart w:id="98" w:name="_Toc461684092"/>
      <w:r w:rsidRPr="000B347D">
        <w:lastRenderedPageBreak/>
        <w:t>Potential sub-surface changes over time of key influencing variables</w:t>
      </w:r>
      <w:bookmarkEnd w:id="98"/>
    </w:p>
    <w:p w14:paraId="59D502D0" w14:textId="44F354DF" w:rsidR="00A72960" w:rsidRDefault="00A72960" w:rsidP="001B12EB">
      <w:r>
        <w:t>A key factor associated with environmental assessment is that environmental conditions are constantly changing and that change over time may provide additional information to suppo</w:t>
      </w:r>
      <w:r w:rsidR="001B12EB">
        <w:t>rt decision making. For example, n</w:t>
      </w:r>
      <w:r>
        <w:t xml:space="preserve">ewly constructed very large foundation slabs may result in “wetting up” over time depending on topography and drainage systems limiting </w:t>
      </w:r>
      <w:proofErr w:type="spellStart"/>
      <w:r>
        <w:t>vapour</w:t>
      </w:r>
      <w:proofErr w:type="spellEnd"/>
      <w:r>
        <w:t xml:space="preserve"> migrat</w:t>
      </w:r>
      <w:r w:rsidR="001B12EB">
        <w:t xml:space="preserve">ion. The changes that may be introduced by construction and landscaping that could impact some of the key variables facilitating </w:t>
      </w:r>
      <w:proofErr w:type="spellStart"/>
      <w:r w:rsidR="001B12EB">
        <w:t>vapour</w:t>
      </w:r>
      <w:proofErr w:type="spellEnd"/>
      <w:r w:rsidR="001B12EB">
        <w:t xml:space="preserve"> intrusion may be an additional useful line of evidence.</w:t>
      </w:r>
    </w:p>
    <w:p w14:paraId="1A6EC930" w14:textId="3DFDFEE4" w:rsidR="009553E8" w:rsidRDefault="009553E8" w:rsidP="00380D14">
      <w:pPr>
        <w:spacing w:after="0"/>
      </w:pPr>
    </w:p>
    <w:p w14:paraId="17DFBEA2" w14:textId="6A19FB53" w:rsidR="00F93362" w:rsidRDefault="00F93362">
      <w:r>
        <w:rPr>
          <w:b/>
          <w:bCs/>
          <w:smallCaps/>
        </w:rPr>
        <w:br w:type="page"/>
      </w:r>
    </w:p>
    <w:p w14:paraId="6C03953D" w14:textId="3A6A377E" w:rsidR="00E14595" w:rsidRDefault="00E14595" w:rsidP="00F93362">
      <w:pPr>
        <w:pStyle w:val="Heading1"/>
      </w:pPr>
      <w:bookmarkStart w:id="99" w:name="_Toc461684093"/>
      <w:r w:rsidRPr="009553E8">
        <w:lastRenderedPageBreak/>
        <w:t>Risk Management</w:t>
      </w:r>
      <w:bookmarkEnd w:id="99"/>
    </w:p>
    <w:p w14:paraId="693B2E2C" w14:textId="274390DA" w:rsidR="00A83F9E" w:rsidRDefault="00BC1C7E" w:rsidP="00A83F9E">
      <w:pPr>
        <w:pStyle w:val="Heading2"/>
      </w:pPr>
      <w:bookmarkStart w:id="100" w:name="_Toc461684094"/>
      <w:r>
        <w:t>Basis of</w:t>
      </w:r>
      <w:r w:rsidR="00A83F9E">
        <w:t xml:space="preserve"> management</w:t>
      </w:r>
      <w:bookmarkEnd w:id="100"/>
    </w:p>
    <w:p w14:paraId="1EC00A30" w14:textId="081E3BB5" w:rsidR="00127DC1" w:rsidRDefault="00127DC1" w:rsidP="00127DC1">
      <w:r>
        <w:t>Risk-based corrective action (RBCR) was one of the initia</w:t>
      </w:r>
      <w:r w:rsidR="001B12EB">
        <w:t xml:space="preserve">l approaches </w:t>
      </w:r>
      <w:r w:rsidR="00972899">
        <w:t>for risk management of petroleum rele</w:t>
      </w:r>
      <w:r w:rsidR="00112D52">
        <w:t>ase sites (see ASTM- E1739- 95, 1995</w:t>
      </w:r>
      <w:r w:rsidR="00972899">
        <w:t xml:space="preserve">) and this approach has been sustained, </w:t>
      </w:r>
      <w:r w:rsidR="00916BDB">
        <w:t xml:space="preserve">having been </w:t>
      </w:r>
      <w:r w:rsidR="00972899">
        <w:t xml:space="preserve">recognized </w:t>
      </w:r>
      <w:r w:rsidR="00916BDB">
        <w:t xml:space="preserve">as </w:t>
      </w:r>
      <w:r w:rsidR="00A83F9E">
        <w:t>important</w:t>
      </w:r>
      <w:r w:rsidR="00916BDB">
        <w:t>,</w:t>
      </w:r>
      <w:r w:rsidR="00A83F9E">
        <w:t xml:space="preserve"> with increasing attention paid to using risk assessment to facilitate decision-making</w:t>
      </w:r>
      <w:r w:rsidR="00916BDB">
        <w:t xml:space="preserve"> (see US EPA</w:t>
      </w:r>
      <w:r w:rsidR="00112D52">
        <w:t>,</w:t>
      </w:r>
      <w:r w:rsidR="00916BDB">
        <w:t xml:space="preserve"> 2014a). </w:t>
      </w:r>
    </w:p>
    <w:p w14:paraId="5A6E8F19" w14:textId="4B270ECB" w:rsidR="00CF17DD" w:rsidRDefault="00972899" w:rsidP="00127DC1">
      <w:r>
        <w:t>G</w:t>
      </w:r>
      <w:r w:rsidR="00730298">
        <w:t xml:space="preserve">eneral recommendations about risk-informed decision-making </w:t>
      </w:r>
      <w:r>
        <w:t xml:space="preserve">in relation to </w:t>
      </w:r>
      <w:proofErr w:type="spellStart"/>
      <w:r>
        <w:t>vapour</w:t>
      </w:r>
      <w:proofErr w:type="spellEnd"/>
      <w:r>
        <w:t xml:space="preserve"> intrusion </w:t>
      </w:r>
      <w:r w:rsidR="00CF17DD">
        <w:t xml:space="preserve">are </w:t>
      </w:r>
      <w:r>
        <w:t>well detailed in</w:t>
      </w:r>
      <w:r w:rsidR="00112D52">
        <w:t xml:space="preserve"> a series of publications from the US (</w:t>
      </w:r>
      <w:r w:rsidR="008253E1" w:rsidRPr="00916BDB">
        <w:t>ASTM E</w:t>
      </w:r>
      <w:r w:rsidR="008253E1">
        <w:t xml:space="preserve">1739-95, </w:t>
      </w:r>
      <w:r w:rsidR="008253E1" w:rsidRPr="00916BDB">
        <w:t>2015</w:t>
      </w:r>
      <w:r w:rsidR="008253E1">
        <w:t>; US EPA 2015a; ITRC, 2014</w:t>
      </w:r>
      <w:r w:rsidR="008253E1" w:rsidRPr="00916BDB">
        <w:t>)</w:t>
      </w:r>
      <w:r w:rsidR="008253E1">
        <w:t xml:space="preserve">, the UK (EA, 2004) and in Australia by the NSW EPA (2012). </w:t>
      </w:r>
      <w:r w:rsidR="00CF17DD">
        <w:t xml:space="preserve">The reader is referred to these documents for </w:t>
      </w:r>
      <w:r w:rsidR="008253E1">
        <w:t xml:space="preserve">further </w:t>
      </w:r>
      <w:r w:rsidR="00CF17DD">
        <w:t>detailed information.</w:t>
      </w:r>
    </w:p>
    <w:p w14:paraId="6092DC78" w14:textId="7CB5A6E9" w:rsidR="00F8623F" w:rsidRDefault="00F8623F" w:rsidP="00127DC1">
      <w:r>
        <w:t xml:space="preserve">It is important to recognize that the </w:t>
      </w:r>
      <w:r w:rsidR="00730298">
        <w:t xml:space="preserve">risk management information </w:t>
      </w:r>
      <w:r>
        <w:t xml:space="preserve">detailed </w:t>
      </w:r>
      <w:r w:rsidR="00CF17DD">
        <w:t>below</w:t>
      </w:r>
      <w:r>
        <w:t xml:space="preserve"> assumes that the precursors to the risk management options have been evalu</w:t>
      </w:r>
      <w:r w:rsidR="008253E1">
        <w:t>ated. Specifically, that</w:t>
      </w:r>
      <w:r>
        <w:t>:</w:t>
      </w:r>
    </w:p>
    <w:p w14:paraId="25F6C58D" w14:textId="2877C457" w:rsidR="00F8623F" w:rsidRDefault="00F8623F" w:rsidP="0015648C">
      <w:pPr>
        <w:pStyle w:val="ListParagraph"/>
        <w:numPr>
          <w:ilvl w:val="0"/>
          <w:numId w:val="31"/>
        </w:numPr>
      </w:pPr>
      <w:r>
        <w:t>A sound conceptual site model has been developed.</w:t>
      </w:r>
    </w:p>
    <w:p w14:paraId="15B4064A" w14:textId="2E8523D2" w:rsidR="00F8623F" w:rsidRDefault="00F8623F" w:rsidP="0015648C">
      <w:pPr>
        <w:pStyle w:val="ListParagraph"/>
        <w:numPr>
          <w:ilvl w:val="0"/>
          <w:numId w:val="31"/>
        </w:numPr>
      </w:pPr>
      <w:r>
        <w:t>The conceptual site model is supported by multiple lines of evidence</w:t>
      </w:r>
      <w:r w:rsidR="008253E1">
        <w:t>.</w:t>
      </w:r>
    </w:p>
    <w:p w14:paraId="7D69FF35" w14:textId="215B3E24" w:rsidR="00F6393B" w:rsidRDefault="00F6393B" w:rsidP="0015648C">
      <w:pPr>
        <w:pStyle w:val="ListParagraph"/>
        <w:numPr>
          <w:ilvl w:val="0"/>
          <w:numId w:val="31"/>
        </w:numPr>
      </w:pPr>
      <w:r>
        <w:t xml:space="preserve">That the subsurface </w:t>
      </w:r>
      <w:proofErr w:type="spellStart"/>
      <w:r>
        <w:t>vapour</w:t>
      </w:r>
      <w:proofErr w:type="spellEnd"/>
      <w:r>
        <w:t xml:space="preserve"> sources have been characterized sufficiently to support risk management decisions for the site.</w:t>
      </w:r>
    </w:p>
    <w:p w14:paraId="7FFFE661" w14:textId="0AAE19C8" w:rsidR="0017519A" w:rsidRDefault="0017519A" w:rsidP="0017519A">
      <w:pPr>
        <w:pStyle w:val="Heading2"/>
      </w:pPr>
      <w:bookmarkStart w:id="101" w:name="_Toc461684095"/>
      <w:r>
        <w:t>Risk management measures</w:t>
      </w:r>
      <w:bookmarkEnd w:id="101"/>
    </w:p>
    <w:p w14:paraId="2ED1DA7B" w14:textId="24B2F223" w:rsidR="00F8623F" w:rsidRDefault="00F6393B" w:rsidP="00127DC1">
      <w:r>
        <w:t>Vapor control strategies can be managed by</w:t>
      </w:r>
      <w:r w:rsidR="00CF17DD">
        <w:t xml:space="preserve"> three approaches being,</w:t>
      </w:r>
      <w:r>
        <w:t xml:space="preserve"> environmental remediation, institutional controls (ICs), building mitigation or any combination of these.  The former reduces or eliminates the exposure threat by removing the contaminant from the environment; </w:t>
      </w:r>
      <w:r w:rsidR="00CF17DD">
        <w:t>ICs are administrative and legal controls that help minimize the potential for human exposure and may protect site integrity while building controls prevent or minimize by truncating the exposure pathway prior to building entry</w:t>
      </w:r>
      <w:r>
        <w:t xml:space="preserve"> (ITRC, 2014).</w:t>
      </w:r>
    </w:p>
    <w:p w14:paraId="6C93EA8A" w14:textId="460BB7FE" w:rsidR="00730298" w:rsidRDefault="0017519A" w:rsidP="00127DC1">
      <w:r>
        <w:t>US EPA (2015a, p132)</w:t>
      </w:r>
      <w:r w:rsidR="008253E1">
        <w:t>,</w:t>
      </w:r>
      <w:r>
        <w:t xml:space="preserve"> in considering options for response action when it has been d</w:t>
      </w:r>
      <w:r w:rsidR="00FE4177">
        <w:t>e</w:t>
      </w:r>
      <w:r>
        <w:t>termined</w:t>
      </w:r>
      <w:r w:rsidR="00FE4177">
        <w:t xml:space="preserve"> that reduction of indoor air exposures is warranted, recommends that such program selection, recommendation and documentation be consistent with legislative frameworks and existing program guidance. Furthermore, the selection of a health-pro</w:t>
      </w:r>
      <w:r w:rsidR="00CB10EF">
        <w:t>tective interim response action</w:t>
      </w:r>
      <w:r w:rsidR="00FE4177">
        <w:t xml:space="preserve"> or actions will be dependent on site-specific considerations including:</w:t>
      </w:r>
    </w:p>
    <w:p w14:paraId="2FE9FADE" w14:textId="6FBA61A2" w:rsidR="00FE4177" w:rsidRDefault="00FE4177" w:rsidP="0015648C">
      <w:pPr>
        <w:pStyle w:val="ListParagraph"/>
        <w:numPr>
          <w:ilvl w:val="0"/>
          <w:numId w:val="32"/>
        </w:numPr>
      </w:pPr>
      <w:r>
        <w:t xml:space="preserve">Nature of sub-surface </w:t>
      </w:r>
      <w:proofErr w:type="spellStart"/>
      <w:r>
        <w:t>vapour</w:t>
      </w:r>
      <w:proofErr w:type="spellEnd"/>
      <w:r>
        <w:t xml:space="preserve"> source</w:t>
      </w:r>
      <w:r w:rsidR="00636124">
        <w:t>.</w:t>
      </w:r>
    </w:p>
    <w:p w14:paraId="702D21AE" w14:textId="169C8675" w:rsidR="00FE4177" w:rsidRDefault="00FE4177" w:rsidP="0015648C">
      <w:pPr>
        <w:pStyle w:val="ListParagraph"/>
        <w:numPr>
          <w:ilvl w:val="0"/>
          <w:numId w:val="32"/>
        </w:numPr>
      </w:pPr>
      <w:r>
        <w:t>Magnitude of the exposure above clean-up levels</w:t>
      </w:r>
      <w:r w:rsidR="00636124">
        <w:t>.</w:t>
      </w:r>
    </w:p>
    <w:p w14:paraId="17E4ED56" w14:textId="0810F770" w:rsidR="00FE4177" w:rsidRDefault="00FE4177" w:rsidP="0015648C">
      <w:pPr>
        <w:pStyle w:val="ListParagraph"/>
        <w:numPr>
          <w:ilvl w:val="0"/>
          <w:numId w:val="32"/>
        </w:numPr>
      </w:pPr>
      <w:r>
        <w:t>The severity of the potential adverse health effects or health hazard</w:t>
      </w:r>
      <w:r w:rsidR="00636124">
        <w:t>.</w:t>
      </w:r>
    </w:p>
    <w:p w14:paraId="3F9E50C9" w14:textId="42862062" w:rsidR="00FE4177" w:rsidRDefault="00FE4177" w:rsidP="0015648C">
      <w:pPr>
        <w:pStyle w:val="ListParagraph"/>
        <w:numPr>
          <w:ilvl w:val="0"/>
          <w:numId w:val="32"/>
        </w:numPr>
      </w:pPr>
      <w:r>
        <w:t>Building features and conditions</w:t>
      </w:r>
      <w:r w:rsidR="00636124">
        <w:t>.</w:t>
      </w:r>
    </w:p>
    <w:p w14:paraId="2CCCEE54" w14:textId="0702C98B" w:rsidR="00FE4177" w:rsidRDefault="00FE4177" w:rsidP="0015648C">
      <w:pPr>
        <w:pStyle w:val="ListParagraph"/>
        <w:numPr>
          <w:ilvl w:val="0"/>
          <w:numId w:val="32"/>
        </w:numPr>
      </w:pPr>
      <w:r>
        <w:t>Climate and season</w:t>
      </w:r>
      <w:r w:rsidR="00636124">
        <w:t xml:space="preserve"> (which influence ventilation).</w:t>
      </w:r>
    </w:p>
    <w:p w14:paraId="29044A2B" w14:textId="1CF9B119" w:rsidR="00636124" w:rsidRDefault="00636124" w:rsidP="0015648C">
      <w:pPr>
        <w:pStyle w:val="ListParagraph"/>
        <w:numPr>
          <w:ilvl w:val="0"/>
          <w:numId w:val="32"/>
        </w:numPr>
      </w:pPr>
      <w:r>
        <w:t>The quality of ambient air in the vicinity.</w:t>
      </w:r>
    </w:p>
    <w:p w14:paraId="0E7682DF" w14:textId="544BF71D" w:rsidR="00636124" w:rsidRDefault="00CB10EF" w:rsidP="0015648C">
      <w:pPr>
        <w:pStyle w:val="ListParagraph"/>
        <w:numPr>
          <w:ilvl w:val="0"/>
          <w:numId w:val="32"/>
        </w:numPr>
      </w:pPr>
      <w:r>
        <w:t>T</w:t>
      </w:r>
      <w:r w:rsidR="00636124">
        <w:t>he feasibility of implementing a given option quickly.</w:t>
      </w:r>
    </w:p>
    <w:p w14:paraId="1F430392" w14:textId="4A9E61F7" w:rsidR="00FE4177" w:rsidRPr="00CB10EF" w:rsidRDefault="00636124" w:rsidP="00CB10EF">
      <w:pPr>
        <w:pStyle w:val="Caption"/>
        <w:keepNext/>
        <w:rPr>
          <w:i w:val="0"/>
          <w:color w:val="auto"/>
          <w:sz w:val="22"/>
          <w:szCs w:val="22"/>
        </w:rPr>
      </w:pPr>
      <w:r w:rsidRPr="00CB10EF">
        <w:rPr>
          <w:i w:val="0"/>
          <w:color w:val="auto"/>
          <w:sz w:val="22"/>
          <w:szCs w:val="22"/>
        </w:rPr>
        <w:t xml:space="preserve">The response actions should limit the amount of time individuals are exposed to concentrations that correspond to unacceptable human health risk. US EPA (2015a) have considered a matrix of options in this </w:t>
      </w:r>
      <w:proofErr w:type="gramStart"/>
      <w:r w:rsidRPr="00CB10EF">
        <w:rPr>
          <w:i w:val="0"/>
          <w:color w:val="auto"/>
          <w:sz w:val="22"/>
          <w:szCs w:val="22"/>
        </w:rPr>
        <w:t>regard</w:t>
      </w:r>
      <w:proofErr w:type="gramEnd"/>
      <w:r w:rsidRPr="00CB10EF">
        <w:rPr>
          <w:i w:val="0"/>
          <w:color w:val="auto"/>
          <w:sz w:val="22"/>
          <w:szCs w:val="22"/>
        </w:rPr>
        <w:t xml:space="preserve"> and these are presented in</w:t>
      </w:r>
      <w:r w:rsidR="00FD479F" w:rsidRPr="00CB10EF">
        <w:rPr>
          <w:i w:val="0"/>
          <w:color w:val="auto"/>
          <w:sz w:val="22"/>
          <w:szCs w:val="22"/>
        </w:rPr>
        <w:t xml:space="preserve"> </w:t>
      </w:r>
      <w:r w:rsidR="00CB10EF" w:rsidRPr="00CB10EF">
        <w:rPr>
          <w:i w:val="0"/>
          <w:color w:val="auto"/>
          <w:sz w:val="22"/>
          <w:szCs w:val="22"/>
        </w:rPr>
        <w:t xml:space="preserve">Table 10. </w:t>
      </w:r>
      <w:r w:rsidRPr="00CB10EF">
        <w:rPr>
          <w:i w:val="0"/>
          <w:color w:val="auto"/>
          <w:sz w:val="22"/>
          <w:szCs w:val="22"/>
        </w:rPr>
        <w:t>In addition to the matrix options</w:t>
      </w:r>
      <w:r w:rsidR="00651E31" w:rsidRPr="00CB10EF">
        <w:rPr>
          <w:i w:val="0"/>
          <w:color w:val="auto"/>
          <w:sz w:val="22"/>
          <w:szCs w:val="22"/>
        </w:rPr>
        <w:t xml:space="preserve"> </w:t>
      </w:r>
      <w:r w:rsidR="00F26D03" w:rsidRPr="00CB10EF">
        <w:rPr>
          <w:i w:val="0"/>
          <w:color w:val="auto"/>
          <w:sz w:val="22"/>
          <w:szCs w:val="22"/>
        </w:rPr>
        <w:t xml:space="preserve">a mitigation quick guide for decision-making is </w:t>
      </w:r>
      <w:r w:rsidR="00651E31" w:rsidRPr="00CB10EF">
        <w:rPr>
          <w:i w:val="0"/>
          <w:color w:val="auto"/>
          <w:sz w:val="22"/>
          <w:szCs w:val="22"/>
        </w:rPr>
        <w:t xml:space="preserve">also </w:t>
      </w:r>
      <w:r w:rsidR="00F26D03" w:rsidRPr="00CB10EF">
        <w:rPr>
          <w:i w:val="0"/>
          <w:color w:val="auto"/>
          <w:sz w:val="22"/>
          <w:szCs w:val="22"/>
        </w:rPr>
        <w:t>presented in</w:t>
      </w:r>
      <w:r w:rsidR="0052137B">
        <w:rPr>
          <w:i w:val="0"/>
          <w:color w:val="auto"/>
          <w:sz w:val="22"/>
          <w:szCs w:val="22"/>
        </w:rPr>
        <w:t xml:space="preserve"> Table 11</w:t>
      </w:r>
      <w:r w:rsidR="00F26D03" w:rsidRPr="00CB10EF">
        <w:rPr>
          <w:i w:val="0"/>
          <w:color w:val="auto"/>
          <w:sz w:val="22"/>
          <w:szCs w:val="22"/>
        </w:rPr>
        <w:t xml:space="preserve">.  </w:t>
      </w:r>
      <w:r w:rsidR="00651E31" w:rsidRPr="00CB10EF">
        <w:rPr>
          <w:i w:val="0"/>
          <w:color w:val="auto"/>
          <w:sz w:val="22"/>
          <w:szCs w:val="22"/>
        </w:rPr>
        <w:t>Finally</w:t>
      </w:r>
      <w:r w:rsidR="001F08BF" w:rsidRPr="00CB10EF">
        <w:rPr>
          <w:i w:val="0"/>
          <w:color w:val="auto"/>
          <w:sz w:val="22"/>
          <w:szCs w:val="22"/>
        </w:rPr>
        <w:t>,</w:t>
      </w:r>
      <w:r w:rsidR="00651E31" w:rsidRPr="00CB10EF">
        <w:rPr>
          <w:i w:val="0"/>
          <w:color w:val="auto"/>
          <w:sz w:val="22"/>
          <w:szCs w:val="22"/>
        </w:rPr>
        <w:t xml:space="preserve"> a</w:t>
      </w:r>
      <w:r w:rsidR="00F26D03" w:rsidRPr="00CB10EF">
        <w:rPr>
          <w:i w:val="0"/>
          <w:color w:val="auto"/>
          <w:sz w:val="22"/>
          <w:szCs w:val="22"/>
        </w:rPr>
        <w:t xml:space="preserve"> summary of</w:t>
      </w:r>
      <w:r w:rsidR="00A77223" w:rsidRPr="00CB10EF">
        <w:rPr>
          <w:i w:val="0"/>
          <w:color w:val="auto"/>
          <w:sz w:val="22"/>
          <w:szCs w:val="22"/>
        </w:rPr>
        <w:t xml:space="preserve"> </w:t>
      </w:r>
      <w:r w:rsidR="00A77223" w:rsidRPr="00CB10EF">
        <w:rPr>
          <w:i w:val="0"/>
          <w:color w:val="auto"/>
          <w:sz w:val="22"/>
          <w:szCs w:val="22"/>
        </w:rPr>
        <w:lastRenderedPageBreak/>
        <w:t>mitigat</w:t>
      </w:r>
      <w:r w:rsidR="00651E31" w:rsidRPr="00CB10EF">
        <w:rPr>
          <w:i w:val="0"/>
          <w:color w:val="auto"/>
          <w:sz w:val="22"/>
          <w:szCs w:val="22"/>
        </w:rPr>
        <w:t>ion methods (ITRC, 2014) is</w:t>
      </w:r>
      <w:r w:rsidR="00A77223" w:rsidRPr="00CB10EF">
        <w:rPr>
          <w:i w:val="0"/>
          <w:color w:val="auto"/>
          <w:sz w:val="22"/>
          <w:szCs w:val="22"/>
        </w:rPr>
        <w:t xml:space="preserve"> included as Appendix 4 including costings (</w:t>
      </w:r>
      <w:r w:rsidR="00CB10EF" w:rsidRPr="00CB10EF">
        <w:rPr>
          <w:i w:val="0"/>
          <w:color w:val="auto"/>
          <w:sz w:val="22"/>
          <w:szCs w:val="22"/>
        </w:rPr>
        <w:t xml:space="preserve">note that these costings are in </w:t>
      </w:r>
      <w:r w:rsidR="00A77223" w:rsidRPr="00CB10EF">
        <w:rPr>
          <w:i w:val="0"/>
          <w:color w:val="auto"/>
          <w:sz w:val="22"/>
          <w:szCs w:val="22"/>
        </w:rPr>
        <w:t xml:space="preserve">US </w:t>
      </w:r>
      <w:r w:rsidR="00CB10EF" w:rsidRPr="00CB10EF">
        <w:rPr>
          <w:i w:val="0"/>
          <w:color w:val="auto"/>
          <w:sz w:val="22"/>
          <w:szCs w:val="22"/>
        </w:rPr>
        <w:t>dollars</w:t>
      </w:r>
      <w:r w:rsidR="00A77223" w:rsidRPr="00CB10EF">
        <w:rPr>
          <w:i w:val="0"/>
          <w:color w:val="auto"/>
          <w:sz w:val="22"/>
          <w:szCs w:val="22"/>
        </w:rPr>
        <w:t>).</w:t>
      </w:r>
    </w:p>
    <w:p w14:paraId="38D5960C" w14:textId="0B575635" w:rsidR="00A77223" w:rsidRDefault="00651E31" w:rsidP="00651E31">
      <w:r>
        <w:t xml:space="preserve">NSW EPA (2012) also present </w:t>
      </w:r>
      <w:r w:rsidR="00781BEE">
        <w:t>similar site management approaches as gas protection measures which may include:</w:t>
      </w:r>
    </w:p>
    <w:p w14:paraId="2F7B3E3F" w14:textId="77777777" w:rsidR="00781BEE" w:rsidRDefault="00781BEE" w:rsidP="0015648C">
      <w:pPr>
        <w:pStyle w:val="ListParagraph"/>
        <w:numPr>
          <w:ilvl w:val="0"/>
          <w:numId w:val="33"/>
        </w:numPr>
      </w:pPr>
      <w:r>
        <w:t xml:space="preserve">Passive measures such as: </w:t>
      </w:r>
    </w:p>
    <w:p w14:paraId="738A67A9" w14:textId="53AC1BC4" w:rsidR="00781BEE" w:rsidRDefault="00781BEE" w:rsidP="0015648C">
      <w:pPr>
        <w:pStyle w:val="ListParagraph"/>
        <w:numPr>
          <w:ilvl w:val="1"/>
          <w:numId w:val="33"/>
        </w:numPr>
      </w:pPr>
      <w:r>
        <w:t xml:space="preserve">source removal </w:t>
      </w:r>
    </w:p>
    <w:p w14:paraId="148980C9" w14:textId="11562145" w:rsidR="00781BEE" w:rsidRDefault="00781BEE" w:rsidP="0015648C">
      <w:pPr>
        <w:pStyle w:val="ListParagraph"/>
        <w:numPr>
          <w:ilvl w:val="1"/>
          <w:numId w:val="33"/>
        </w:numPr>
      </w:pPr>
      <w:r>
        <w:t>membranes</w:t>
      </w:r>
    </w:p>
    <w:p w14:paraId="1D4E9B5E" w14:textId="5530C710" w:rsidR="00781BEE" w:rsidRDefault="00781BEE" w:rsidP="0015648C">
      <w:pPr>
        <w:pStyle w:val="ListParagraph"/>
        <w:numPr>
          <w:ilvl w:val="1"/>
          <w:numId w:val="33"/>
        </w:numPr>
      </w:pPr>
      <w:r>
        <w:t>passive venting</w:t>
      </w:r>
    </w:p>
    <w:p w14:paraId="3092EE0C" w14:textId="6468A353" w:rsidR="00781BEE" w:rsidRDefault="00781BEE" w:rsidP="0015648C">
      <w:pPr>
        <w:pStyle w:val="ListParagraph"/>
        <w:numPr>
          <w:ilvl w:val="1"/>
          <w:numId w:val="33"/>
        </w:numPr>
      </w:pPr>
      <w:r>
        <w:t>upgraded slabs and vertical barriers.</w:t>
      </w:r>
    </w:p>
    <w:p w14:paraId="6EB8A493" w14:textId="77777777" w:rsidR="00781BEE" w:rsidRDefault="00781BEE" w:rsidP="0015648C">
      <w:pPr>
        <w:pStyle w:val="ListParagraph"/>
        <w:numPr>
          <w:ilvl w:val="0"/>
          <w:numId w:val="33"/>
        </w:numPr>
      </w:pPr>
      <w:r>
        <w:t>Active protection measures such as:</w:t>
      </w:r>
    </w:p>
    <w:p w14:paraId="6A9949EE" w14:textId="77777777" w:rsidR="00781BEE" w:rsidRDefault="00781BEE" w:rsidP="0015648C">
      <w:pPr>
        <w:pStyle w:val="ListParagraph"/>
        <w:numPr>
          <w:ilvl w:val="1"/>
          <w:numId w:val="33"/>
        </w:numPr>
      </w:pPr>
      <w:r>
        <w:t>sub-slab depressurization systems</w:t>
      </w:r>
    </w:p>
    <w:p w14:paraId="37603DD9" w14:textId="77777777" w:rsidR="00781BEE" w:rsidRDefault="00781BEE" w:rsidP="0015648C">
      <w:pPr>
        <w:pStyle w:val="ListParagraph"/>
        <w:numPr>
          <w:ilvl w:val="1"/>
          <w:numId w:val="33"/>
        </w:numPr>
      </w:pPr>
      <w:r>
        <w:t>active venting systems</w:t>
      </w:r>
    </w:p>
    <w:p w14:paraId="399EC18E" w14:textId="77777777" w:rsidR="00781BEE" w:rsidRDefault="00781BEE" w:rsidP="0015648C">
      <w:pPr>
        <w:pStyle w:val="ListParagraph"/>
        <w:numPr>
          <w:ilvl w:val="1"/>
          <w:numId w:val="33"/>
        </w:numPr>
      </w:pPr>
      <w:r>
        <w:t>vented sumps</w:t>
      </w:r>
    </w:p>
    <w:p w14:paraId="0081821B" w14:textId="77777777" w:rsidR="00781BEE" w:rsidRDefault="00781BEE" w:rsidP="0015648C">
      <w:pPr>
        <w:pStyle w:val="ListParagraph"/>
        <w:numPr>
          <w:ilvl w:val="1"/>
          <w:numId w:val="33"/>
        </w:numPr>
      </w:pPr>
      <w:r>
        <w:t>active gas extraction wells or trenches</w:t>
      </w:r>
    </w:p>
    <w:p w14:paraId="3DE7135A" w14:textId="28CAA0A4" w:rsidR="00781BEE" w:rsidRDefault="00781BEE" w:rsidP="0015648C">
      <w:pPr>
        <w:pStyle w:val="ListParagraph"/>
        <w:numPr>
          <w:ilvl w:val="1"/>
          <w:numId w:val="33"/>
        </w:numPr>
      </w:pPr>
      <w:r>
        <w:t>building over-</w:t>
      </w:r>
      <w:proofErr w:type="spellStart"/>
      <w:r>
        <w:t>pressurisation</w:t>
      </w:r>
      <w:proofErr w:type="spellEnd"/>
      <w:r>
        <w:t xml:space="preserve"> systems and sub-slab over-</w:t>
      </w:r>
      <w:proofErr w:type="spellStart"/>
      <w:r>
        <w:t>pressurisation</w:t>
      </w:r>
      <w:proofErr w:type="spellEnd"/>
      <w:r>
        <w:t xml:space="preserve"> systems.</w:t>
      </w:r>
    </w:p>
    <w:p w14:paraId="0CA77797" w14:textId="77777777" w:rsidR="00781BEE" w:rsidRDefault="00781BEE" w:rsidP="0015648C">
      <w:pPr>
        <w:pStyle w:val="ListParagraph"/>
        <w:numPr>
          <w:ilvl w:val="0"/>
          <w:numId w:val="33"/>
        </w:numPr>
      </w:pPr>
      <w:r>
        <w:t xml:space="preserve">Management controls for ground gases are considered to include: </w:t>
      </w:r>
    </w:p>
    <w:p w14:paraId="122D772B" w14:textId="2E096CF2" w:rsidR="00781BEE" w:rsidRDefault="00781BEE" w:rsidP="0015648C">
      <w:pPr>
        <w:pStyle w:val="ListParagraph"/>
        <w:numPr>
          <w:ilvl w:val="1"/>
          <w:numId w:val="33"/>
        </w:numPr>
      </w:pPr>
      <w:r>
        <w:t>Restrictions on land use</w:t>
      </w:r>
    </w:p>
    <w:p w14:paraId="3AA53BEF" w14:textId="395EA347" w:rsidR="00781BEE" w:rsidRDefault="00781BEE" w:rsidP="0015648C">
      <w:pPr>
        <w:pStyle w:val="ListParagraph"/>
        <w:numPr>
          <w:ilvl w:val="1"/>
          <w:numId w:val="33"/>
        </w:numPr>
      </w:pPr>
      <w:r>
        <w:t xml:space="preserve">Restrictions on building design or </w:t>
      </w:r>
      <w:proofErr w:type="gramStart"/>
      <w:r>
        <w:t>use</w:t>
      </w:r>
      <w:proofErr w:type="gramEnd"/>
    </w:p>
    <w:p w14:paraId="7EAAA651" w14:textId="6D61D05D" w:rsidR="00781BEE" w:rsidRDefault="00781BEE" w:rsidP="0015648C">
      <w:pPr>
        <w:pStyle w:val="ListParagraph"/>
        <w:numPr>
          <w:ilvl w:val="1"/>
          <w:numId w:val="33"/>
        </w:numPr>
      </w:pPr>
      <w:r>
        <w:t>Safe work procedures and practice</w:t>
      </w:r>
    </w:p>
    <w:p w14:paraId="5C836BD5" w14:textId="5483ADC7" w:rsidR="00781BEE" w:rsidRDefault="00781BEE" w:rsidP="0015648C">
      <w:pPr>
        <w:pStyle w:val="ListParagraph"/>
        <w:numPr>
          <w:ilvl w:val="1"/>
          <w:numId w:val="33"/>
        </w:numPr>
      </w:pPr>
      <w:r>
        <w:t>Monitoring systems</w:t>
      </w:r>
    </w:p>
    <w:p w14:paraId="17250ACD" w14:textId="53C44D11" w:rsidR="00A17789" w:rsidRDefault="00781BEE" w:rsidP="0015648C">
      <w:pPr>
        <w:pStyle w:val="ListParagraph"/>
        <w:numPr>
          <w:ilvl w:val="1"/>
          <w:numId w:val="33"/>
        </w:numPr>
      </w:pPr>
      <w:r>
        <w:t>Alarms and management plans</w:t>
      </w:r>
      <w:r w:rsidR="00CB10EF">
        <w:t>.</w:t>
      </w:r>
    </w:p>
    <w:p w14:paraId="09E36AAA" w14:textId="3D4EFDBC" w:rsidR="00A17789" w:rsidRDefault="0052137B">
      <w:pPr>
        <w:sectPr w:rsidR="00A17789" w:rsidSect="00F73597">
          <w:pgSz w:w="12240" w:h="15840"/>
          <w:pgMar w:top="1701" w:right="1440" w:bottom="1440" w:left="1440" w:header="851" w:footer="851" w:gutter="0"/>
          <w:cols w:space="720"/>
          <w:docGrid w:linePitch="299"/>
        </w:sectPr>
      </w:pPr>
      <w:r>
        <w:t>Guidance for gas values and scores for the efficacy of protection measures are reproduced in Table 12 and Table 13.</w:t>
      </w:r>
      <w:r w:rsidR="00A17789">
        <w:br w:type="page"/>
      </w:r>
    </w:p>
    <w:p w14:paraId="2CCD5C05" w14:textId="4CC60CCE" w:rsidR="00A17789" w:rsidRDefault="00A17789"/>
    <w:p w14:paraId="64E60C5B" w14:textId="69D9549B" w:rsidR="00A17789" w:rsidRDefault="00A17789"/>
    <w:p w14:paraId="07F47091" w14:textId="77777777" w:rsidR="00A17789" w:rsidRDefault="00A17789" w:rsidP="00A17789">
      <w:pPr>
        <w:pStyle w:val="Caption"/>
        <w:keepNext/>
      </w:pPr>
      <w:r>
        <w:t xml:space="preserve">Table </w:t>
      </w:r>
      <w:fldSimple w:instr=" SEQ Table \* ARABIC ">
        <w:r w:rsidR="006A5935">
          <w:rPr>
            <w:noProof/>
          </w:rPr>
          <w:t>10</w:t>
        </w:r>
      </w:fldSimple>
      <w:r>
        <w:t xml:space="preserve">: Matrix of options to respond to human health risk from </w:t>
      </w:r>
      <w:proofErr w:type="spellStart"/>
      <w:r>
        <w:t>vapour</w:t>
      </w:r>
      <w:proofErr w:type="spellEnd"/>
      <w:r>
        <w:t xml:space="preserve"> intrusion (from US EPA 2015a).</w:t>
      </w:r>
    </w:p>
    <w:p w14:paraId="506D0E23" w14:textId="77777777" w:rsidR="0052137B" w:rsidRDefault="00A17789">
      <w:r w:rsidRPr="00636124">
        <w:rPr>
          <w:noProof/>
          <w:lang w:eastAsia="en-US"/>
        </w:rPr>
        <w:drawing>
          <wp:inline distT="0" distB="0" distL="0" distR="0" wp14:anchorId="332A27D7" wp14:editId="5CCCBC9F">
            <wp:extent cx="5943600" cy="6287135"/>
            <wp:effectExtent l="0" t="0" r="0" b="0"/>
            <wp:docPr id="288" name="Picture 288" descr="K:\2016\UofA\enHealth\Documentation\PICS\Options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2016\UofA\enHealth\Documentation\PICS\Optionsmatrix.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6287135"/>
                    </a:xfrm>
                    <a:prstGeom prst="rect">
                      <a:avLst/>
                    </a:prstGeom>
                    <a:noFill/>
                    <a:ln>
                      <a:noFill/>
                    </a:ln>
                  </pic:spPr>
                </pic:pic>
              </a:graphicData>
            </a:graphic>
          </wp:inline>
        </w:drawing>
      </w:r>
    </w:p>
    <w:p w14:paraId="7D2209B9" w14:textId="77777777" w:rsidR="0052137B" w:rsidRDefault="0052137B">
      <w:pPr>
        <w:sectPr w:rsidR="0052137B" w:rsidSect="00F73597">
          <w:pgSz w:w="12240" w:h="15840"/>
          <w:pgMar w:top="1701" w:right="1440" w:bottom="1440" w:left="1440" w:header="851" w:footer="851" w:gutter="0"/>
          <w:cols w:space="720"/>
          <w:docGrid w:linePitch="299"/>
        </w:sectPr>
      </w:pPr>
    </w:p>
    <w:p w14:paraId="0D5B4B5A" w14:textId="77777777" w:rsidR="0052137B" w:rsidRDefault="0052137B">
      <w:pPr>
        <w:rPr>
          <w:noProof/>
          <w:lang w:eastAsia="en-US"/>
        </w:rPr>
      </w:pPr>
    </w:p>
    <w:p w14:paraId="47A7503F" w14:textId="3C09582C" w:rsidR="0052137B" w:rsidRDefault="0052137B" w:rsidP="0052137B">
      <w:pPr>
        <w:pStyle w:val="Caption"/>
        <w:keepNext/>
        <w:rPr>
          <w:i w:val="0"/>
          <w:iCs w:val="0"/>
        </w:rPr>
      </w:pPr>
      <w:r>
        <w:t xml:space="preserve">Table 11: </w:t>
      </w:r>
      <w:proofErr w:type="spellStart"/>
      <w:r>
        <w:t>Vapour</w:t>
      </w:r>
      <w:proofErr w:type="spellEnd"/>
      <w:r>
        <w:t xml:space="preserve"> intrusion building mitigation quick guide (from US EPA, 2015a).</w:t>
      </w:r>
    </w:p>
    <w:p w14:paraId="345248EC" w14:textId="46D75393" w:rsidR="00A17789" w:rsidRDefault="0052137B">
      <w:r w:rsidRPr="00F26D03">
        <w:rPr>
          <w:noProof/>
          <w:lang w:eastAsia="en-US"/>
        </w:rPr>
        <w:drawing>
          <wp:inline distT="0" distB="0" distL="0" distR="0" wp14:anchorId="4DAE023F" wp14:editId="7536ADCB">
            <wp:extent cx="5943600" cy="6536690"/>
            <wp:effectExtent l="0" t="0" r="0" b="0"/>
            <wp:docPr id="106" name="Picture 106" descr="K:\2016\UofA\enHealth\Documentation\PICS\2016_06_30\Buildingmitig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2016\UofA\enHealth\Documentation\PICS\2016_06_30\Buildingmitigatio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6536690"/>
                    </a:xfrm>
                    <a:prstGeom prst="rect">
                      <a:avLst/>
                    </a:prstGeom>
                    <a:noFill/>
                    <a:ln>
                      <a:noFill/>
                    </a:ln>
                  </pic:spPr>
                </pic:pic>
              </a:graphicData>
            </a:graphic>
          </wp:inline>
        </w:drawing>
      </w:r>
      <w:r w:rsidR="00A17789">
        <w:br w:type="page"/>
      </w:r>
    </w:p>
    <w:p w14:paraId="3224952E" w14:textId="77777777" w:rsidR="00FD479F" w:rsidRDefault="00FD479F">
      <w:bookmarkStart w:id="102" w:name="_Ref455089604"/>
    </w:p>
    <w:p w14:paraId="18A69241" w14:textId="44F5F89F" w:rsidR="0015285A" w:rsidRDefault="0015285A" w:rsidP="0015285A">
      <w:pPr>
        <w:pStyle w:val="Caption"/>
        <w:keepNext/>
      </w:pPr>
      <w:r>
        <w:t xml:space="preserve">Table </w:t>
      </w:r>
      <w:bookmarkEnd w:id="102"/>
      <w:r w:rsidR="0052137B">
        <w:t>12</w:t>
      </w:r>
      <w:r>
        <w:t>: Guidance values for gas protection (from NSW</w:t>
      </w:r>
      <w:r w:rsidR="00FD479F">
        <w:t xml:space="preserve"> </w:t>
      </w:r>
      <w:r>
        <w:t>EPA, 2012, p46)</w:t>
      </w:r>
    </w:p>
    <w:p w14:paraId="529A0C04" w14:textId="15B80E98" w:rsidR="00A77223" w:rsidRDefault="0015285A" w:rsidP="001314CE">
      <w:r w:rsidRPr="0015285A">
        <w:rPr>
          <w:noProof/>
          <w:lang w:eastAsia="en-US"/>
        </w:rPr>
        <w:drawing>
          <wp:inline distT="0" distB="0" distL="0" distR="0" wp14:anchorId="2A995770" wp14:editId="089E2F2E">
            <wp:extent cx="5720715" cy="3219450"/>
            <wp:effectExtent l="0" t="0" r="0" b="0"/>
            <wp:docPr id="305" name="Picture 305" descr="K:\2016\UofA\enHealth\Documentation\PICS\2016_06_30\HAZsc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K:\2016\UofA\enHealth\Documentation\PICS\2016_06_30\HAZscore.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20715" cy="3219450"/>
                    </a:xfrm>
                    <a:prstGeom prst="rect">
                      <a:avLst/>
                    </a:prstGeom>
                    <a:noFill/>
                    <a:ln>
                      <a:noFill/>
                    </a:ln>
                  </pic:spPr>
                </pic:pic>
              </a:graphicData>
            </a:graphic>
          </wp:inline>
        </w:drawing>
      </w:r>
    </w:p>
    <w:p w14:paraId="51149C62" w14:textId="55156F5F" w:rsidR="0052137B" w:rsidRDefault="0052137B" w:rsidP="001314CE"/>
    <w:p w14:paraId="5597DFAB" w14:textId="4F9E66A9" w:rsidR="0015285A" w:rsidRDefault="0015285A" w:rsidP="0015285A">
      <w:pPr>
        <w:pStyle w:val="Caption"/>
        <w:keepNext/>
        <w:rPr>
          <w:rFonts w:eastAsiaTheme="majorEastAsia" w:cstheme="majorBidi"/>
          <w:b/>
          <w:bCs/>
          <w:smallCaps/>
          <w:color w:val="000000" w:themeColor="text1"/>
          <w:sz w:val="24"/>
          <w:szCs w:val="28"/>
        </w:rPr>
      </w:pPr>
      <w:bookmarkStart w:id="103" w:name="_Ref455089616"/>
      <w:r>
        <w:lastRenderedPageBreak/>
        <w:t>Table</w:t>
      </w:r>
      <w:bookmarkEnd w:id="103"/>
      <w:r w:rsidR="0052137B">
        <w:t xml:space="preserve"> 13</w:t>
      </w:r>
      <w:r>
        <w:t>: Scores for protection measures (from NSW EPA, 2012, p47).</w:t>
      </w:r>
      <w:r w:rsidRPr="0015285A">
        <w:rPr>
          <w:noProof/>
          <w:lang w:eastAsia="en-US"/>
        </w:rPr>
        <w:drawing>
          <wp:inline distT="0" distB="0" distL="0" distR="0" wp14:anchorId="65C80580" wp14:editId="01428471">
            <wp:extent cx="5697220" cy="7670380"/>
            <wp:effectExtent l="0" t="0" r="0" b="6985"/>
            <wp:docPr id="306" name="Picture 306" descr="K:\2016\UofA\enHealth\Documentation\PICS\2016_06_30\Ef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K:\2016\UofA\enHealth\Documentation\PICS\2016_06_30\Eff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04088" cy="7679626"/>
                    </a:xfrm>
                    <a:prstGeom prst="rect">
                      <a:avLst/>
                    </a:prstGeom>
                    <a:noFill/>
                    <a:ln>
                      <a:noFill/>
                    </a:ln>
                  </pic:spPr>
                </pic:pic>
              </a:graphicData>
            </a:graphic>
          </wp:inline>
        </w:drawing>
      </w:r>
      <w:r>
        <w:br w:type="page"/>
      </w:r>
    </w:p>
    <w:p w14:paraId="1BF91978" w14:textId="7BB13401" w:rsidR="00C05028" w:rsidRDefault="00C05028" w:rsidP="00C05028">
      <w:pPr>
        <w:pStyle w:val="Heading2"/>
      </w:pPr>
      <w:bookmarkStart w:id="104" w:name="_Toc461684096"/>
      <w:r w:rsidRPr="00916BDB">
        <w:lastRenderedPageBreak/>
        <w:t>Post-mitigation assessment</w:t>
      </w:r>
      <w:r w:rsidR="00A77223">
        <w:t xml:space="preserve"> and sustainability/cost benefit</w:t>
      </w:r>
      <w:bookmarkEnd w:id="104"/>
    </w:p>
    <w:p w14:paraId="35194D83" w14:textId="1240C316" w:rsidR="009C4689" w:rsidRDefault="00A77223" w:rsidP="00A77223">
      <w:r>
        <w:t>An important concept for building community confidence is to ascertain the efficacy</w:t>
      </w:r>
      <w:r w:rsidR="00FD479F">
        <w:t xml:space="preserve"> of the mitigation measures and </w:t>
      </w:r>
      <w:r w:rsidR="00530617">
        <w:t xml:space="preserve">to provide information on how that efficacy was evaluated. </w:t>
      </w:r>
      <w:r w:rsidR="009C4689">
        <w:t xml:space="preserve">This may range </w:t>
      </w:r>
      <w:r w:rsidR="00530617">
        <w:t>across differing types of investigations including</w:t>
      </w:r>
      <w:r w:rsidR="009C4689">
        <w:t xml:space="preserve"> indoor air assessments or sub-surface </w:t>
      </w:r>
      <w:proofErr w:type="spellStart"/>
      <w:r w:rsidR="009C4689">
        <w:t>vapour</w:t>
      </w:r>
      <w:proofErr w:type="spellEnd"/>
      <w:r w:rsidR="009C4689">
        <w:t xml:space="preserve"> distrib</w:t>
      </w:r>
      <w:r w:rsidR="00530617">
        <w:t xml:space="preserve">ution assessments following </w:t>
      </w:r>
      <w:r w:rsidR="009C4689">
        <w:t>remedial site measures.</w:t>
      </w:r>
    </w:p>
    <w:p w14:paraId="5499BFAE" w14:textId="392120A4" w:rsidR="00A77223" w:rsidRPr="00A77223" w:rsidRDefault="009C4689" w:rsidP="00A77223">
      <w:r>
        <w:t>In ad</w:t>
      </w:r>
      <w:r w:rsidR="00FD479F">
        <w:t>dition</w:t>
      </w:r>
      <w:r>
        <w:t xml:space="preserve">, </w:t>
      </w:r>
      <w:r w:rsidR="001F08BF">
        <w:t>for</w:t>
      </w:r>
      <w:r>
        <w:t xml:space="preserve"> the mitigation measure chosen, sustainability evaluations combined with cost benefit assessments </w:t>
      </w:r>
      <w:r w:rsidR="001F08BF">
        <w:t xml:space="preserve">should be considered. This would enable </w:t>
      </w:r>
      <w:r>
        <w:t>low environmental impact and efficient</w:t>
      </w:r>
      <w:r w:rsidR="00530617">
        <w:t xml:space="preserve"> </w:t>
      </w:r>
      <w:r>
        <w:t>measures to be selected and implemented.</w:t>
      </w:r>
    </w:p>
    <w:p w14:paraId="253997EE" w14:textId="46EDFA3C" w:rsidR="00530617" w:rsidRDefault="00530617" w:rsidP="00530617">
      <w:pPr>
        <w:spacing w:after="0"/>
      </w:pPr>
      <w:r>
        <w:t xml:space="preserve">A range of issues should therefore be reviewed as part of the risk management framework including details of the CSM, sub-surface sources, assessment efficacy, nature of issues and corrective response actions. Review questions are presented at the beginning of this document. </w:t>
      </w:r>
    </w:p>
    <w:p w14:paraId="63B1DE96" w14:textId="77777777" w:rsidR="00530617" w:rsidRDefault="00530617" w:rsidP="00530617">
      <w:pPr>
        <w:pStyle w:val="ListParagraph"/>
      </w:pPr>
    </w:p>
    <w:p w14:paraId="51AEFF86" w14:textId="77777777" w:rsidR="00530617" w:rsidRDefault="00530617" w:rsidP="00530617">
      <w:pPr>
        <w:pStyle w:val="ListParagraph"/>
        <w:sectPr w:rsidR="00530617" w:rsidSect="00F73597">
          <w:pgSz w:w="12240" w:h="15840"/>
          <w:pgMar w:top="1701" w:right="1440" w:bottom="1440" w:left="1440" w:header="851" w:footer="851" w:gutter="0"/>
          <w:cols w:space="720"/>
          <w:docGrid w:linePitch="299"/>
        </w:sectPr>
      </w:pPr>
    </w:p>
    <w:p w14:paraId="09A47762" w14:textId="24D9C6DE" w:rsidR="00530617" w:rsidRDefault="00530617" w:rsidP="00530617">
      <w:pPr>
        <w:pStyle w:val="ListParagraph"/>
      </w:pPr>
    </w:p>
    <w:p w14:paraId="3131BEB0" w14:textId="2D695649" w:rsidR="00E14595" w:rsidRDefault="00E14595" w:rsidP="00380D14">
      <w:pPr>
        <w:pStyle w:val="Heading1"/>
        <w:spacing w:before="0" w:after="0"/>
      </w:pPr>
      <w:bookmarkStart w:id="105" w:name="_Toc461684097"/>
      <w:r w:rsidRPr="009553E8">
        <w:t>Risk Communication</w:t>
      </w:r>
      <w:bookmarkEnd w:id="105"/>
    </w:p>
    <w:p w14:paraId="322C2F48" w14:textId="77777777" w:rsidR="00E14595" w:rsidRPr="00530617" w:rsidRDefault="00E14595" w:rsidP="00530617">
      <w:pPr>
        <w:pStyle w:val="Heading2"/>
      </w:pPr>
      <w:bookmarkStart w:id="106" w:name="_Toc461684098"/>
      <w:r w:rsidRPr="00530617">
        <w:t>Objective of risk communication</w:t>
      </w:r>
      <w:bookmarkEnd w:id="106"/>
    </w:p>
    <w:p w14:paraId="5AB054BF" w14:textId="32A5B4A7" w:rsidR="000F28CF" w:rsidRPr="00466927" w:rsidRDefault="000F28CF" w:rsidP="00D93628">
      <w:r>
        <w:t xml:space="preserve">The </w:t>
      </w:r>
      <w:r w:rsidRPr="001A0F39">
        <w:t>enHealth</w:t>
      </w:r>
      <w:r w:rsidR="00AB6122" w:rsidRPr="001A0F39">
        <w:t xml:space="preserve"> (2012a)</w:t>
      </w:r>
      <w:r w:rsidR="00AB6122">
        <w:t xml:space="preserve"> risk assessment framework presented in Figure 5 includes a stakeholder, risk communication and community consultation element which is embodied across all stages of the risk assessment process. This fundamental premise seeks to ensure that all stakeholders are involved and engaged in issues which directly affect them, particularly communities potentially affected by </w:t>
      </w:r>
      <w:proofErr w:type="spellStart"/>
      <w:r w:rsidR="00AB6122">
        <w:t>vapour</w:t>
      </w:r>
      <w:proofErr w:type="spellEnd"/>
      <w:r w:rsidR="00AB6122">
        <w:t xml:space="preserve"> intrusion where exposures may have already been occurring over many years.  enHealth </w:t>
      </w:r>
      <w:r w:rsidR="00AB6122" w:rsidRPr="001A0F39">
        <w:t>(2012a, p88)</w:t>
      </w:r>
      <w:r w:rsidR="00AB6122">
        <w:t xml:space="preserve"> further states that “</w:t>
      </w:r>
      <w:r w:rsidR="00AB6122" w:rsidRPr="003E530F">
        <w:rPr>
          <w:i/>
        </w:rPr>
        <w:t>engaging with stakeholders as part of the EHRA risk process is a cornerstone to effective risk management</w:t>
      </w:r>
      <w:r w:rsidR="003E530F" w:rsidRPr="003E530F">
        <w:rPr>
          <w:i/>
        </w:rPr>
        <w:t>… over which a concerned community can feel a sense of ‘ownership</w:t>
      </w:r>
      <w:r w:rsidR="00852DD3">
        <w:t xml:space="preserve">’” </w:t>
      </w:r>
      <w:r w:rsidR="003E530F">
        <w:t>while “</w:t>
      </w:r>
      <w:r w:rsidR="003E530F" w:rsidRPr="003E530F">
        <w:rPr>
          <w:i/>
        </w:rPr>
        <w:t xml:space="preserve">effective community engagement can also facilitate transfer </w:t>
      </w:r>
      <w:r w:rsidR="003E530F">
        <w:rPr>
          <w:i/>
        </w:rPr>
        <w:t>of risk assessment and risk management information, a process referred to as risk communication”.</w:t>
      </w:r>
      <w:r w:rsidR="00466927">
        <w:rPr>
          <w:i/>
        </w:rPr>
        <w:t xml:space="preserve"> </w:t>
      </w:r>
      <w:r w:rsidR="00466927">
        <w:t xml:space="preserve">The objective of risk communication is therefore knowledge transfer, </w:t>
      </w:r>
      <w:proofErr w:type="gramStart"/>
      <w:r w:rsidR="00466927">
        <w:t>engagement</w:t>
      </w:r>
      <w:proofErr w:type="gramEnd"/>
      <w:r w:rsidR="00466927">
        <w:t xml:space="preserve"> and empowerment of the affected community such that transparency and evidence-based approaches to exposures are mitigated building confidence and acceptance by both the regulatory agencies and the community and other impacted stakeholders.</w:t>
      </w:r>
    </w:p>
    <w:p w14:paraId="641E9BB8" w14:textId="7D42B335" w:rsidR="00E14595" w:rsidRPr="00530617" w:rsidRDefault="00530617" w:rsidP="00530617">
      <w:pPr>
        <w:pStyle w:val="Heading2"/>
      </w:pPr>
      <w:bookmarkStart w:id="107" w:name="_Toc461684099"/>
      <w:r w:rsidRPr="00530617">
        <w:rPr>
          <w:sz w:val="20"/>
          <w:szCs w:val="20"/>
        </w:rPr>
        <w:t>US EPA</w:t>
      </w:r>
      <w:r>
        <w:t xml:space="preserve"> and </w:t>
      </w:r>
      <w:r w:rsidR="00B76A1F" w:rsidRPr="00530617">
        <w:t xml:space="preserve">the </w:t>
      </w:r>
      <w:r w:rsidR="00E14595" w:rsidRPr="00530617">
        <w:t>seven cardinal rules of risk communication</w:t>
      </w:r>
      <w:bookmarkEnd w:id="107"/>
    </w:p>
    <w:p w14:paraId="29F61A33" w14:textId="0D916E2B" w:rsidR="00466927" w:rsidRDefault="00466927" w:rsidP="00466927">
      <w:r>
        <w:t>Fundamental work</w:t>
      </w:r>
      <w:r w:rsidR="00723035">
        <w:t xml:space="preserve"> on risk communication was published by</w:t>
      </w:r>
      <w:r w:rsidR="00FA41E2">
        <w:t xml:space="preserve"> </w:t>
      </w:r>
      <w:proofErr w:type="spellStart"/>
      <w:r w:rsidR="00124933">
        <w:t>Covell</w:t>
      </w:r>
      <w:r w:rsidR="0028526B">
        <w:t>o</w:t>
      </w:r>
      <w:proofErr w:type="spellEnd"/>
      <w:r w:rsidR="00124933">
        <w:t xml:space="preserve"> and Allen (1988) as part of the US EPA’s “</w:t>
      </w:r>
      <w:r w:rsidR="00124933" w:rsidRPr="00124933">
        <w:rPr>
          <w:i/>
        </w:rPr>
        <w:t>Seven Cardinal Rules of Risk Communication</w:t>
      </w:r>
      <w:r w:rsidR="00124933">
        <w:t xml:space="preserve">”.  These rules </w:t>
      </w:r>
      <w:r w:rsidR="00530617">
        <w:t>are</w:t>
      </w:r>
      <w:r w:rsidR="00124933">
        <w:t>:</w:t>
      </w:r>
    </w:p>
    <w:p w14:paraId="68EC0F39" w14:textId="6A1A3A0B" w:rsidR="00124933" w:rsidRPr="00124933" w:rsidRDefault="00124933" w:rsidP="00466927">
      <w:pPr>
        <w:rPr>
          <w:i/>
        </w:rPr>
      </w:pPr>
      <w:r>
        <w:t>“</w:t>
      </w:r>
      <w:r w:rsidRPr="00124933">
        <w:rPr>
          <w:i/>
        </w:rPr>
        <w:t>Rule 1:  Accept and involve the public as a legitimate partner.</w:t>
      </w:r>
    </w:p>
    <w:p w14:paraId="2CF7AE81" w14:textId="2480AAE6" w:rsidR="00124933" w:rsidRPr="00124933" w:rsidRDefault="00124933" w:rsidP="00466927">
      <w:pPr>
        <w:rPr>
          <w:i/>
        </w:rPr>
      </w:pPr>
      <w:r w:rsidRPr="00124933">
        <w:rPr>
          <w:i/>
        </w:rPr>
        <w:t>Rule 2: Plan carefully and evaluate your efforts.</w:t>
      </w:r>
    </w:p>
    <w:p w14:paraId="6157E354" w14:textId="38999EB8" w:rsidR="00466927" w:rsidRPr="00124933" w:rsidRDefault="00124933" w:rsidP="00466927">
      <w:pPr>
        <w:rPr>
          <w:i/>
        </w:rPr>
      </w:pPr>
      <w:r w:rsidRPr="00124933">
        <w:rPr>
          <w:i/>
        </w:rPr>
        <w:t>Rule 3: Listen to the public’s specific concerns.</w:t>
      </w:r>
    </w:p>
    <w:p w14:paraId="71933D0A" w14:textId="36A843A9" w:rsidR="00124933" w:rsidRPr="00124933" w:rsidRDefault="00124933" w:rsidP="00466927">
      <w:pPr>
        <w:rPr>
          <w:i/>
        </w:rPr>
      </w:pPr>
      <w:r w:rsidRPr="00124933">
        <w:rPr>
          <w:i/>
        </w:rPr>
        <w:t>Rule 4: Be honest, frank, and open.</w:t>
      </w:r>
    </w:p>
    <w:p w14:paraId="786ADCDF" w14:textId="3FA3AC98" w:rsidR="00124933" w:rsidRPr="00124933" w:rsidRDefault="00124933" w:rsidP="00466927">
      <w:pPr>
        <w:rPr>
          <w:i/>
        </w:rPr>
      </w:pPr>
      <w:r w:rsidRPr="00124933">
        <w:rPr>
          <w:i/>
        </w:rPr>
        <w:t>Rule 5: Co-ordinate and collaborate with other credible sources.</w:t>
      </w:r>
    </w:p>
    <w:p w14:paraId="70386C67" w14:textId="633F104A" w:rsidR="00124933" w:rsidRPr="00124933" w:rsidRDefault="00124933" w:rsidP="00466927">
      <w:pPr>
        <w:rPr>
          <w:i/>
        </w:rPr>
      </w:pPr>
      <w:r w:rsidRPr="00124933">
        <w:rPr>
          <w:i/>
        </w:rPr>
        <w:t>Rule 6: Meet the needs of the media.</w:t>
      </w:r>
    </w:p>
    <w:p w14:paraId="052122C2" w14:textId="2C2E00FD" w:rsidR="00124933" w:rsidRDefault="00124933" w:rsidP="00466927">
      <w:r w:rsidRPr="00124933">
        <w:rPr>
          <w:i/>
        </w:rPr>
        <w:t>Rule 7: Speak clearly and with compassion.</w:t>
      </w:r>
      <w:r>
        <w:t>”</w:t>
      </w:r>
    </w:p>
    <w:p w14:paraId="7BE8BCDA" w14:textId="0CD78985" w:rsidR="00124933" w:rsidRDefault="00124933" w:rsidP="00466927">
      <w:r>
        <w:t xml:space="preserve">These principles have been </w:t>
      </w:r>
      <w:r w:rsidR="00E02C0E">
        <w:t>the cornerstone of subsequent publications on community engagement and risk communication to avoid community outrage on public health issues.</w:t>
      </w:r>
    </w:p>
    <w:p w14:paraId="41A35A62" w14:textId="2D065A11" w:rsidR="00D93628" w:rsidRDefault="00AB6122" w:rsidP="00D93628">
      <w:pPr>
        <w:pStyle w:val="Heading2"/>
      </w:pPr>
      <w:bookmarkStart w:id="108" w:name="_Toc461684100"/>
      <w:r>
        <w:t xml:space="preserve">enHealth and </w:t>
      </w:r>
      <w:r w:rsidR="00BC1C7E" w:rsidRPr="00530617">
        <w:rPr>
          <w:sz w:val="20"/>
          <w:szCs w:val="20"/>
        </w:rPr>
        <w:t>ASC NEPM</w:t>
      </w:r>
      <w:r w:rsidR="00BC1C7E">
        <w:t xml:space="preserve"> g</w:t>
      </w:r>
      <w:r w:rsidR="00D93628">
        <w:t>uidance</w:t>
      </w:r>
      <w:bookmarkEnd w:id="108"/>
    </w:p>
    <w:p w14:paraId="43C35CC0" w14:textId="7A2FE2C7" w:rsidR="00E02C0E" w:rsidRDefault="00E02C0E" w:rsidP="00E02C0E">
      <w:r w:rsidRPr="001A0F39">
        <w:t>enHealth (2012a, pp88-94)</w:t>
      </w:r>
      <w:r>
        <w:t xml:space="preserve"> discuss community engagement in environmental health risk assessment with further emphasis towards risk perception and heuristics where the latter reflects the psychological term to describe the process whereby people frame their perceptions of risk. Issues of the social context of risk perception and the differences in ‘real’ and perceived’ risk is </w:t>
      </w:r>
      <w:proofErr w:type="gramStart"/>
      <w:r>
        <w:t>explored</w:t>
      </w:r>
      <w:proofErr w:type="gramEnd"/>
      <w:r>
        <w:t xml:space="preserve"> and the Australian context is presented. The discussion </w:t>
      </w:r>
      <w:r w:rsidR="00994BD2">
        <w:t>extends to</w:t>
      </w:r>
      <w:r>
        <w:t xml:space="preserve"> ‘risk communication – things to know and things to avoid’</w:t>
      </w:r>
      <w:r w:rsidR="00994BD2">
        <w:t>; understanding conflicts and planning in risk communication and concludes with an illustrative example.</w:t>
      </w:r>
    </w:p>
    <w:p w14:paraId="4DF5BE43" w14:textId="77777777" w:rsidR="00994BD2" w:rsidRDefault="00994BD2" w:rsidP="00E02C0E"/>
    <w:p w14:paraId="23C81FF0" w14:textId="1A1BF198" w:rsidR="00994BD2" w:rsidRDefault="00994BD2" w:rsidP="00E02C0E">
      <w:r>
        <w:t xml:space="preserve">The ASC NEPM </w:t>
      </w:r>
      <w:r w:rsidR="001A0F39">
        <w:t>(Volume 20,</w:t>
      </w:r>
      <w:r w:rsidR="005E138A">
        <w:t xml:space="preserve"> Schedule B8) also discusses community engagement and risk communication and presents a “</w:t>
      </w:r>
      <w:r w:rsidR="005E138A" w:rsidRPr="005E138A">
        <w:rPr>
          <w:i/>
        </w:rPr>
        <w:t>systematic approach to effective community consultation and risk communication in relation to the assessment of site contamination</w:t>
      </w:r>
      <w:r w:rsidR="005E138A">
        <w:t xml:space="preserve">”. As a </w:t>
      </w:r>
      <w:r w:rsidR="00884930">
        <w:t>‘</w:t>
      </w:r>
      <w:r w:rsidR="005E138A">
        <w:t>tool</w:t>
      </w:r>
      <w:r w:rsidR="00884930">
        <w:t>’</w:t>
      </w:r>
      <w:r w:rsidR="005E138A">
        <w:t xml:space="preserve"> for effective consultation</w:t>
      </w:r>
      <w:r w:rsidR="00884930">
        <w:t xml:space="preserve"> by consultants and regulators, three principles to the approach were taken in the Schedule including:</w:t>
      </w:r>
    </w:p>
    <w:p w14:paraId="3C859023" w14:textId="6F02AE45" w:rsidR="00884930" w:rsidRPr="005A64A9" w:rsidRDefault="00884930" w:rsidP="00711FF5">
      <w:pPr>
        <w:pStyle w:val="ListParagraph"/>
        <w:keepLines/>
        <w:numPr>
          <w:ilvl w:val="0"/>
          <w:numId w:val="6"/>
        </w:numPr>
        <w:tabs>
          <w:tab w:val="num" w:pos="360"/>
        </w:tabs>
        <w:spacing w:after="120" w:line="240" w:lineRule="auto"/>
        <w:jc w:val="both"/>
        <w:rPr>
          <w:rFonts w:eastAsia="Times New Roman" w:cs="Arial"/>
          <w:i/>
          <w:lang w:val="en-AU" w:eastAsia="en-AU"/>
        </w:rPr>
      </w:pPr>
      <w:r w:rsidRPr="005A64A9">
        <w:rPr>
          <w:rFonts w:eastAsia="Times New Roman" w:cs="Arial"/>
          <w:lang w:val="en-AU" w:eastAsia="en-AU"/>
        </w:rPr>
        <w:t>“</w:t>
      </w:r>
      <w:proofErr w:type="gramStart"/>
      <w:r w:rsidRPr="005A64A9">
        <w:rPr>
          <w:rFonts w:eastAsia="Times New Roman" w:cs="Arial"/>
          <w:i/>
          <w:lang w:val="en-AU" w:eastAsia="en-AU"/>
        </w:rPr>
        <w:t>that</w:t>
      </w:r>
      <w:proofErr w:type="gramEnd"/>
      <w:r w:rsidRPr="005A64A9">
        <w:rPr>
          <w:rFonts w:eastAsia="Times New Roman" w:cs="Arial"/>
          <w:i/>
          <w:lang w:val="en-AU" w:eastAsia="en-AU"/>
        </w:rPr>
        <w:t xml:space="preserve"> an evaluation regarding the probable need, nature and extent of community engagement for a project should be carried out by site managers with expertise in risk communication at an early stage in the preliminary assessment of site contamination, and should detailed investigations identify contamination that has the potential (or the perceived potential) to have an impact on any stakeholder</w:t>
      </w:r>
    </w:p>
    <w:p w14:paraId="6AF76D32" w14:textId="77777777" w:rsidR="00884930" w:rsidRPr="005A64A9" w:rsidRDefault="00884930" w:rsidP="00711FF5">
      <w:pPr>
        <w:pStyle w:val="ListParagraph"/>
        <w:keepLines/>
        <w:numPr>
          <w:ilvl w:val="0"/>
          <w:numId w:val="6"/>
        </w:numPr>
        <w:tabs>
          <w:tab w:val="num" w:pos="360"/>
        </w:tabs>
        <w:spacing w:after="120" w:line="240" w:lineRule="auto"/>
        <w:jc w:val="both"/>
        <w:rPr>
          <w:rFonts w:eastAsia="Times New Roman" w:cs="Arial"/>
          <w:i/>
          <w:lang w:val="en-AU" w:eastAsia="en-AU"/>
        </w:rPr>
      </w:pPr>
      <w:r w:rsidRPr="005A64A9">
        <w:rPr>
          <w:rFonts w:eastAsia="Times New Roman" w:cs="Arial"/>
          <w:i/>
          <w:lang w:val="en-AU" w:eastAsia="en-AU"/>
        </w:rPr>
        <w:t xml:space="preserve">that interaction with the community cannot simply be a technical process; it requires skills in listening and communicating and should be a two-way </w:t>
      </w:r>
      <w:proofErr w:type="gramStart"/>
      <w:r w:rsidRPr="005A64A9">
        <w:rPr>
          <w:rFonts w:eastAsia="Times New Roman" w:cs="Arial"/>
          <w:i/>
          <w:lang w:val="en-AU" w:eastAsia="en-AU"/>
        </w:rPr>
        <w:t>process</w:t>
      </w:r>
      <w:proofErr w:type="gramEnd"/>
    </w:p>
    <w:p w14:paraId="3125193E" w14:textId="51006C2E" w:rsidR="00884930" w:rsidRPr="005A64A9" w:rsidRDefault="00884930" w:rsidP="00711FF5">
      <w:pPr>
        <w:pStyle w:val="ListParagraph"/>
        <w:keepLines/>
        <w:numPr>
          <w:ilvl w:val="0"/>
          <w:numId w:val="6"/>
        </w:numPr>
        <w:tabs>
          <w:tab w:val="num" w:pos="360"/>
        </w:tabs>
        <w:spacing w:after="120" w:line="240" w:lineRule="auto"/>
        <w:jc w:val="both"/>
        <w:rPr>
          <w:rFonts w:eastAsia="Times New Roman" w:cs="Arial"/>
          <w:lang w:val="en-AU" w:eastAsia="en-AU"/>
        </w:rPr>
      </w:pPr>
      <w:r w:rsidRPr="005A64A9">
        <w:rPr>
          <w:rFonts w:eastAsia="Times New Roman" w:cs="Arial"/>
          <w:i/>
          <w:lang w:val="en-AU" w:eastAsia="en-AU"/>
        </w:rPr>
        <w:t>t</w:t>
      </w:r>
      <w:r w:rsidR="0028526B" w:rsidRPr="005A64A9">
        <w:rPr>
          <w:rFonts w:eastAsia="Times New Roman" w:cs="Arial"/>
          <w:i/>
          <w:lang w:val="en-AU" w:eastAsia="en-AU"/>
        </w:rPr>
        <w:t xml:space="preserve">hat </w:t>
      </w:r>
      <w:r w:rsidRPr="005A64A9">
        <w:rPr>
          <w:rFonts w:eastAsia="Times New Roman" w:cs="Arial"/>
          <w:i/>
          <w:lang w:val="en-AU" w:eastAsia="en-AU"/>
        </w:rPr>
        <w:t xml:space="preserve">for sites with contentious issues, engagement with the community </w:t>
      </w:r>
      <w:proofErr w:type="gramStart"/>
      <w:r w:rsidRPr="005A64A9">
        <w:rPr>
          <w:rFonts w:eastAsia="Times New Roman" w:cs="Arial"/>
          <w:i/>
          <w:lang w:val="en-AU" w:eastAsia="en-AU"/>
        </w:rPr>
        <w:t>is considered to be</w:t>
      </w:r>
      <w:proofErr w:type="gramEnd"/>
      <w:r w:rsidRPr="005A64A9">
        <w:rPr>
          <w:rFonts w:eastAsia="Times New Roman" w:cs="Arial"/>
          <w:i/>
          <w:lang w:val="en-AU" w:eastAsia="en-AU"/>
        </w:rPr>
        <w:t xml:space="preserve"> essential. This is particularly the case when the contamination at the site has the potential (or the perceived potential) to have an impact on any stakeholder and where impacts are known to extend outside the boundaries of the site</w:t>
      </w:r>
      <w:r w:rsidRPr="005A64A9">
        <w:rPr>
          <w:rFonts w:eastAsia="Times New Roman" w:cs="Arial"/>
          <w:lang w:val="en-AU" w:eastAsia="en-AU"/>
        </w:rPr>
        <w:t>.” (p1).</w:t>
      </w:r>
    </w:p>
    <w:p w14:paraId="38CA1CC0" w14:textId="3D100D17" w:rsidR="00E02C0E" w:rsidRPr="00E02C0E" w:rsidRDefault="00884930" w:rsidP="00E02C0E">
      <w:r>
        <w:t xml:space="preserve">The document subsequently specifies situations </w:t>
      </w:r>
      <w:r w:rsidR="0028526B">
        <w:t xml:space="preserve">required with the community which include amenity/nuisance; significant contamination; site proximity; controversial sites issues. The guidance explores </w:t>
      </w:r>
      <w:proofErr w:type="spellStart"/>
      <w:r w:rsidR="0028526B">
        <w:t>Covello</w:t>
      </w:r>
      <w:proofErr w:type="spellEnd"/>
      <w:r w:rsidR="004356A3">
        <w:t xml:space="preserve"> and Allen</w:t>
      </w:r>
      <w:r w:rsidR="0028526B">
        <w:t>’s Cardinal rules and provides community engagement techniques; consultation ‘do’s’ and ‘don’ts’ and concludes with a case study.</w:t>
      </w:r>
    </w:p>
    <w:p w14:paraId="6FAFA5F7" w14:textId="391ADCEA" w:rsidR="00884930" w:rsidRDefault="00E14595" w:rsidP="00884930">
      <w:pPr>
        <w:pStyle w:val="Heading2"/>
      </w:pPr>
      <w:bookmarkStart w:id="109" w:name="_Toc461684101"/>
      <w:r w:rsidRPr="00641387">
        <w:rPr>
          <w:sz w:val="20"/>
          <w:szCs w:val="20"/>
        </w:rPr>
        <w:t>CRC CARE</w:t>
      </w:r>
      <w:r w:rsidRPr="00E14595">
        <w:t xml:space="preserve"> guidance</w:t>
      </w:r>
      <w:bookmarkEnd w:id="109"/>
    </w:p>
    <w:p w14:paraId="407ED8AF" w14:textId="4D7C4376" w:rsidR="00884930" w:rsidRDefault="00275EAA" w:rsidP="00884930">
      <w:r>
        <w:t>Heath and Pollard (2010) produced a “</w:t>
      </w:r>
      <w:r w:rsidRPr="00275EAA">
        <w:rPr>
          <w:i/>
        </w:rPr>
        <w:t>Guideline for stakeholder engagement</w:t>
      </w:r>
      <w:r>
        <w:t>” under a title of “</w:t>
      </w:r>
      <w:r w:rsidRPr="00275EAA">
        <w:rPr>
          <w:i/>
        </w:rPr>
        <w:t>Remediation and management of contaminated sites</w:t>
      </w:r>
      <w:r>
        <w:t>” for CRC CARE. This document was orientated towards</w:t>
      </w:r>
      <w:r w:rsidR="00350FFA">
        <w:t xml:space="preserve"> practitioners to enable effective engagement with “</w:t>
      </w:r>
      <w:r w:rsidR="00350FFA" w:rsidRPr="00350FFA">
        <w:rPr>
          <w:i/>
        </w:rPr>
        <w:t>individuals and groups who may have an interest in the remediation and management of a contaminated site</w:t>
      </w:r>
      <w:r w:rsidR="00350FFA">
        <w:t>” (p11).</w:t>
      </w:r>
    </w:p>
    <w:p w14:paraId="5D4B9740" w14:textId="7730DC60" w:rsidR="00884930" w:rsidRDefault="00411537" w:rsidP="00884930">
      <w:r>
        <w:t>The document builds on the ASC NEPM information and is considered as ancillary to any regulatory guidance from individual State EPAs and the Territory EPA that may have specific requirements. The document explores the concepts of understanding stakeholder engagement, risk communication and risk perception and provides supportive documentation for further reference thro</w:t>
      </w:r>
      <w:r w:rsidR="006E6D00">
        <w:t>ughout the discussions. Stakeholder techniques and planning are considered together with the most appropriate methods of documentation and reporting across the stakeholder groups.</w:t>
      </w:r>
      <w:r>
        <w:t xml:space="preserve"> </w:t>
      </w:r>
    </w:p>
    <w:p w14:paraId="6168FCC6" w14:textId="77777777" w:rsidR="00E14595" w:rsidRPr="00E14595" w:rsidRDefault="00E14595" w:rsidP="007C6CF4">
      <w:pPr>
        <w:pStyle w:val="Heading2"/>
      </w:pPr>
      <w:bookmarkStart w:id="110" w:name="_Toc461684102"/>
      <w:r w:rsidRPr="00E14595">
        <w:t>Optimal communication strategies</w:t>
      </w:r>
      <w:bookmarkEnd w:id="110"/>
    </w:p>
    <w:p w14:paraId="13B61392" w14:textId="58B4C9C2" w:rsidR="009553E8" w:rsidRDefault="008E6E5C" w:rsidP="00380D14">
      <w:pPr>
        <w:spacing w:after="0"/>
      </w:pPr>
      <w:r>
        <w:t>The success of structured risk communication will be dependent on optimal consider</w:t>
      </w:r>
      <w:r w:rsidR="00641387">
        <w:t xml:space="preserve">ation and incorporation of the seven cardinal rules </w:t>
      </w:r>
      <w:r>
        <w:t xml:space="preserve">as developed by </w:t>
      </w:r>
      <w:proofErr w:type="spellStart"/>
      <w:r>
        <w:t>Covello</w:t>
      </w:r>
      <w:proofErr w:type="spellEnd"/>
      <w:r>
        <w:t xml:space="preserve"> and Allen (1998). It is important to ensure an evidence-based and transparent approach is used in risk assessment which can be explained in non-technical terms to affected stakeholders and in particular the public. Engagement through their understanding and empowerment in decision making will enable successful and confident outcomes to </w:t>
      </w:r>
      <w:r w:rsidR="00884930">
        <w:t>address</w:t>
      </w:r>
      <w:r>
        <w:t xml:space="preserve"> not only present exposures but also those that occurred in the past and </w:t>
      </w:r>
      <w:r w:rsidR="00641387">
        <w:t xml:space="preserve">those that </w:t>
      </w:r>
      <w:r>
        <w:t xml:space="preserve">may occur in the future. </w:t>
      </w:r>
    </w:p>
    <w:p w14:paraId="3EC86F08" w14:textId="366DDE77" w:rsidR="001314CE" w:rsidRDefault="001314CE" w:rsidP="00380D14">
      <w:pPr>
        <w:spacing w:after="0"/>
      </w:pPr>
    </w:p>
    <w:p w14:paraId="286265B3" w14:textId="51AC2C61" w:rsidR="006477E1" w:rsidRDefault="00641387" w:rsidP="00380D14">
      <w:pPr>
        <w:spacing w:after="0"/>
      </w:pPr>
      <w:r>
        <w:t>Review questions to consider have been presented at the beginning of this document.</w:t>
      </w:r>
    </w:p>
    <w:p w14:paraId="552F77E1" w14:textId="77777777" w:rsidR="005143C2" w:rsidRDefault="005143C2" w:rsidP="00380D14">
      <w:pPr>
        <w:spacing w:after="0"/>
      </w:pPr>
    </w:p>
    <w:p w14:paraId="645A80B5" w14:textId="77777777" w:rsidR="006477E1" w:rsidRDefault="006477E1" w:rsidP="00380D14">
      <w:pPr>
        <w:spacing w:after="0"/>
      </w:pPr>
    </w:p>
    <w:p w14:paraId="6A57874D" w14:textId="67BDCCD6" w:rsidR="005143C2" w:rsidRDefault="005143C2" w:rsidP="00380D14">
      <w:pPr>
        <w:pStyle w:val="Heading1"/>
        <w:spacing w:before="0" w:after="0"/>
      </w:pPr>
      <w:bookmarkStart w:id="111" w:name="_Toc461684103"/>
      <w:r>
        <w:t>Future research needs</w:t>
      </w:r>
      <w:bookmarkEnd w:id="111"/>
    </w:p>
    <w:p w14:paraId="223E2E6E" w14:textId="77777777" w:rsidR="005143C2" w:rsidRDefault="005143C2" w:rsidP="005143C2"/>
    <w:p w14:paraId="5656D32D" w14:textId="2AAD00AD" w:rsidR="005143C2" w:rsidRDefault="005143C2" w:rsidP="005143C2">
      <w:r>
        <w:t xml:space="preserve">The complexity of </w:t>
      </w:r>
      <w:proofErr w:type="spellStart"/>
      <w:r>
        <w:t>vapour</w:t>
      </w:r>
      <w:proofErr w:type="spellEnd"/>
      <w:r>
        <w:t xml:space="preserve"> intrusion processes and the range of uncertainties and limitations that currently exist lend themselves to the need for further research. Research requirements across modelling, measurement, exposure assessment and population impacts are suggested.</w:t>
      </w:r>
    </w:p>
    <w:p w14:paraId="57D28344" w14:textId="4CCCC795" w:rsidR="005143C2" w:rsidRDefault="005143C2" w:rsidP="005143C2">
      <w:pPr>
        <w:pStyle w:val="Heading2"/>
      </w:pPr>
      <w:bookmarkStart w:id="112" w:name="_Toc461684104"/>
      <w:r>
        <w:t>Modelling</w:t>
      </w:r>
      <w:r w:rsidR="00264F65">
        <w:t xml:space="preserve"> and measurement</w:t>
      </w:r>
      <w:bookmarkEnd w:id="112"/>
    </w:p>
    <w:p w14:paraId="1E6DE6CE" w14:textId="77777777" w:rsidR="00D87173" w:rsidRDefault="00D87173" w:rsidP="00D87173">
      <w:pPr>
        <w:spacing w:after="0"/>
      </w:pPr>
    </w:p>
    <w:p w14:paraId="611D7872" w14:textId="4494E04E" w:rsidR="005143C2" w:rsidRDefault="005143C2" w:rsidP="005143C2">
      <w:r>
        <w:t>In cases where no buildings are involved, model development for:</w:t>
      </w:r>
    </w:p>
    <w:p w14:paraId="0EF9E1B6" w14:textId="1CD6093F" w:rsidR="005143C2" w:rsidRDefault="005143C2" w:rsidP="005143C2">
      <w:pPr>
        <w:spacing w:after="0"/>
      </w:pPr>
      <w:r>
        <w:t>(a)    spills to the water table</w:t>
      </w:r>
    </w:p>
    <w:p w14:paraId="7A770A71" w14:textId="5A27F3A5" w:rsidR="005143C2" w:rsidRDefault="005143C2" w:rsidP="005143C2">
      <w:pPr>
        <w:spacing w:after="0"/>
      </w:pPr>
      <w:r>
        <w:t>(b)    plumes below the water table</w:t>
      </w:r>
    </w:p>
    <w:p w14:paraId="49BAF322" w14:textId="0916DB1C" w:rsidR="005143C2" w:rsidRDefault="005143C2" w:rsidP="005143C2">
      <w:pPr>
        <w:spacing w:after="0"/>
      </w:pPr>
    </w:p>
    <w:p w14:paraId="62D47D51" w14:textId="3B412593" w:rsidR="005143C2" w:rsidRDefault="005143C2" w:rsidP="005143C2">
      <w:pPr>
        <w:spacing w:after="0"/>
      </w:pPr>
      <w:r>
        <w:t>Factors to be considered include:</w:t>
      </w:r>
    </w:p>
    <w:p w14:paraId="4D4B54DD" w14:textId="7FAFFC93" w:rsidR="00D87173" w:rsidRDefault="00D87173" w:rsidP="0015648C">
      <w:pPr>
        <w:pStyle w:val="ListParagraph"/>
        <w:numPr>
          <w:ilvl w:val="0"/>
          <w:numId w:val="36"/>
        </w:numPr>
        <w:spacing w:after="0"/>
      </w:pPr>
      <w:r>
        <w:t>Time dependency</w:t>
      </w:r>
      <w:r w:rsidR="00635FC4">
        <w:t>.</w:t>
      </w:r>
    </w:p>
    <w:p w14:paraId="3B7B43D3" w14:textId="36040ED9" w:rsidR="00D87173" w:rsidRDefault="00D87173" w:rsidP="0015648C">
      <w:pPr>
        <w:pStyle w:val="ListParagraph"/>
        <w:numPr>
          <w:ilvl w:val="0"/>
          <w:numId w:val="36"/>
        </w:numPr>
        <w:spacing w:after="0"/>
      </w:pPr>
      <w:r>
        <w:t>Spatial variability and preferential pathways</w:t>
      </w:r>
      <w:r w:rsidR="00635FC4">
        <w:t>.</w:t>
      </w:r>
    </w:p>
    <w:p w14:paraId="20C5A8DA" w14:textId="06978B7D" w:rsidR="00D87173" w:rsidRDefault="00D87173" w:rsidP="0015648C">
      <w:pPr>
        <w:pStyle w:val="ListParagraph"/>
        <w:numPr>
          <w:ilvl w:val="0"/>
          <w:numId w:val="36"/>
        </w:numPr>
        <w:spacing w:after="0"/>
      </w:pPr>
      <w:r>
        <w:t>Depth to water table</w:t>
      </w:r>
      <w:r w:rsidR="00635FC4">
        <w:t>.</w:t>
      </w:r>
    </w:p>
    <w:p w14:paraId="6EF22D5C" w14:textId="58B2728B" w:rsidR="00D87173" w:rsidRDefault="00D87173" w:rsidP="0015648C">
      <w:pPr>
        <w:pStyle w:val="ListParagraph"/>
        <w:numPr>
          <w:ilvl w:val="0"/>
          <w:numId w:val="36"/>
        </w:numPr>
        <w:spacing w:after="0"/>
      </w:pPr>
      <w:r>
        <w:t>Water table fluctuations</w:t>
      </w:r>
      <w:r w:rsidR="00635FC4">
        <w:t>.</w:t>
      </w:r>
    </w:p>
    <w:p w14:paraId="6DA19052" w14:textId="3F7627F0" w:rsidR="00D87173" w:rsidRDefault="00635FC4" w:rsidP="0015648C">
      <w:pPr>
        <w:pStyle w:val="ListParagraph"/>
        <w:numPr>
          <w:ilvl w:val="0"/>
          <w:numId w:val="36"/>
        </w:numPr>
        <w:spacing w:after="0"/>
      </w:pPr>
      <w:r>
        <w:t>Single substances.</w:t>
      </w:r>
    </w:p>
    <w:p w14:paraId="638DEEDD" w14:textId="0621A011" w:rsidR="00635FC4" w:rsidRDefault="00635FC4" w:rsidP="0015648C">
      <w:pPr>
        <w:pStyle w:val="ListParagraph"/>
        <w:numPr>
          <w:ilvl w:val="0"/>
          <w:numId w:val="36"/>
        </w:numPr>
        <w:spacing w:after="0"/>
      </w:pPr>
      <w:r>
        <w:t>Mixtures – equilibrium of phases and phase partitioning.</w:t>
      </w:r>
    </w:p>
    <w:p w14:paraId="13A52764" w14:textId="390A74E9" w:rsidR="00635FC4" w:rsidRDefault="00635FC4" w:rsidP="0015648C">
      <w:pPr>
        <w:pStyle w:val="ListParagraph"/>
        <w:numPr>
          <w:ilvl w:val="0"/>
          <w:numId w:val="36"/>
        </w:numPr>
        <w:spacing w:after="0"/>
      </w:pPr>
      <w:r>
        <w:t>Atmospheric variations – pressure and temperature effects.</w:t>
      </w:r>
    </w:p>
    <w:p w14:paraId="66FE9F14" w14:textId="39FA496F" w:rsidR="00635FC4" w:rsidRDefault="00635FC4" w:rsidP="0015648C">
      <w:pPr>
        <w:pStyle w:val="ListParagraph"/>
        <w:numPr>
          <w:ilvl w:val="0"/>
          <w:numId w:val="36"/>
        </w:numPr>
        <w:spacing w:after="0"/>
      </w:pPr>
      <w:r>
        <w:t>Water movement – Richard’s Equation.</w:t>
      </w:r>
    </w:p>
    <w:p w14:paraId="32E17B49" w14:textId="3D3BB5F1" w:rsidR="00635FC4" w:rsidRDefault="00635FC4" w:rsidP="0015648C">
      <w:pPr>
        <w:pStyle w:val="ListParagraph"/>
        <w:numPr>
          <w:ilvl w:val="0"/>
          <w:numId w:val="36"/>
        </w:numPr>
        <w:spacing w:after="0"/>
      </w:pPr>
      <w:r>
        <w:t>Transport equations.</w:t>
      </w:r>
    </w:p>
    <w:p w14:paraId="178C2153" w14:textId="5747B21A" w:rsidR="00635FC4" w:rsidRDefault="00635FC4" w:rsidP="0015648C">
      <w:pPr>
        <w:pStyle w:val="ListParagraph"/>
        <w:numPr>
          <w:ilvl w:val="0"/>
          <w:numId w:val="36"/>
        </w:numPr>
        <w:spacing w:after="0"/>
      </w:pPr>
      <w:r>
        <w:t>Soil moisture.</w:t>
      </w:r>
    </w:p>
    <w:p w14:paraId="6CA4657B" w14:textId="600DB467" w:rsidR="00635FC4" w:rsidRDefault="00635FC4" w:rsidP="0015648C">
      <w:pPr>
        <w:pStyle w:val="ListParagraph"/>
        <w:numPr>
          <w:ilvl w:val="0"/>
          <w:numId w:val="36"/>
        </w:numPr>
        <w:spacing w:after="0"/>
      </w:pPr>
      <w:r>
        <w:t>Spatial variability of soils – moisture, pressure, capillary fringes.</w:t>
      </w:r>
    </w:p>
    <w:p w14:paraId="08CEB7C0" w14:textId="3646668B" w:rsidR="00635FC4" w:rsidRDefault="00635FC4" w:rsidP="0015648C">
      <w:pPr>
        <w:pStyle w:val="ListParagraph"/>
        <w:numPr>
          <w:ilvl w:val="0"/>
          <w:numId w:val="36"/>
        </w:numPr>
        <w:spacing w:after="0"/>
      </w:pPr>
      <w:r>
        <w:t>Degradation.</w:t>
      </w:r>
    </w:p>
    <w:p w14:paraId="45D8B7D7" w14:textId="6CA25836" w:rsidR="00635FC4" w:rsidRDefault="00635FC4" w:rsidP="00635FC4">
      <w:pPr>
        <w:spacing w:after="0"/>
      </w:pPr>
    </w:p>
    <w:p w14:paraId="2B1F0BC6" w14:textId="1B3B49F4" w:rsidR="00635FC4" w:rsidRDefault="00635FC4" w:rsidP="00635FC4">
      <w:pPr>
        <w:spacing w:after="0"/>
      </w:pPr>
      <w:r>
        <w:t>In cases where buildings are present</w:t>
      </w:r>
      <w:r w:rsidR="00DD0DAA">
        <w:t xml:space="preserve"> additional areas should be investigated including</w:t>
      </w:r>
      <w:r>
        <w:t>:</w:t>
      </w:r>
    </w:p>
    <w:p w14:paraId="1B91A185" w14:textId="1CDA29D9" w:rsidR="00635FC4" w:rsidRDefault="00635FC4" w:rsidP="00635FC4">
      <w:pPr>
        <w:spacing w:after="0"/>
      </w:pPr>
    </w:p>
    <w:p w14:paraId="788421A7" w14:textId="42F627F7" w:rsidR="00635FC4" w:rsidRDefault="00635FC4" w:rsidP="0015648C">
      <w:pPr>
        <w:pStyle w:val="ListParagraph"/>
        <w:numPr>
          <w:ilvl w:val="0"/>
          <w:numId w:val="37"/>
        </w:numPr>
        <w:spacing w:after="0"/>
      </w:pPr>
      <w:proofErr w:type="gramStart"/>
      <w:r>
        <w:t>All of</w:t>
      </w:r>
      <w:proofErr w:type="gramEnd"/>
      <w:r>
        <w:t xml:space="preserve"> the above.</w:t>
      </w:r>
    </w:p>
    <w:p w14:paraId="7867F71C" w14:textId="47F1FADB" w:rsidR="00635FC4" w:rsidRDefault="00635FC4" w:rsidP="0015648C">
      <w:pPr>
        <w:pStyle w:val="ListParagraph"/>
        <w:numPr>
          <w:ilvl w:val="0"/>
          <w:numId w:val="37"/>
        </w:numPr>
        <w:spacing w:after="0"/>
      </w:pPr>
      <w:r>
        <w:t xml:space="preserve">Interaction of building with soil surface </w:t>
      </w:r>
      <w:proofErr w:type="spellStart"/>
      <w:r>
        <w:t>vapour</w:t>
      </w:r>
      <w:proofErr w:type="spellEnd"/>
      <w:r w:rsidR="00264F65">
        <w:t>.</w:t>
      </w:r>
    </w:p>
    <w:p w14:paraId="69BF1B50" w14:textId="2B944449" w:rsidR="00635FC4" w:rsidRDefault="00635FC4" w:rsidP="0015648C">
      <w:pPr>
        <w:pStyle w:val="ListParagraph"/>
        <w:numPr>
          <w:ilvl w:val="0"/>
          <w:numId w:val="37"/>
        </w:numPr>
        <w:spacing w:after="0"/>
      </w:pPr>
      <w:r>
        <w:t>Building structure and entry</w:t>
      </w:r>
      <w:r w:rsidR="00264F65">
        <w:t xml:space="preserve"> characteristics.</w:t>
      </w:r>
    </w:p>
    <w:p w14:paraId="720C6987" w14:textId="07854D20" w:rsidR="00264F65" w:rsidRDefault="00264F65" w:rsidP="0015648C">
      <w:pPr>
        <w:pStyle w:val="ListParagraph"/>
        <w:numPr>
          <w:ilvl w:val="0"/>
          <w:numId w:val="37"/>
        </w:numPr>
        <w:spacing w:after="0"/>
      </w:pPr>
      <w:r>
        <w:t>Building ventilation characteristics.</w:t>
      </w:r>
    </w:p>
    <w:p w14:paraId="1FEC8B6F" w14:textId="2E3D053B" w:rsidR="00264F65" w:rsidRDefault="00264F65" w:rsidP="0015648C">
      <w:pPr>
        <w:pStyle w:val="ListParagraph"/>
        <w:numPr>
          <w:ilvl w:val="0"/>
          <w:numId w:val="37"/>
        </w:numPr>
        <w:spacing w:after="0"/>
      </w:pPr>
      <w:r>
        <w:t xml:space="preserve">Atmospheric effects on buildings </w:t>
      </w:r>
      <w:r w:rsidR="00DD0DAA">
        <w:t>–</w:t>
      </w:r>
      <w:r>
        <w:t xml:space="preserve"> pressure</w:t>
      </w:r>
      <w:r w:rsidR="00DD0DAA">
        <w:t>, temperature, wind.</w:t>
      </w:r>
    </w:p>
    <w:p w14:paraId="333AEBA0" w14:textId="4219E6FE" w:rsidR="00DD0DAA" w:rsidRDefault="00DD0DAA" w:rsidP="0015648C">
      <w:pPr>
        <w:pStyle w:val="ListParagraph"/>
        <w:numPr>
          <w:ilvl w:val="0"/>
          <w:numId w:val="37"/>
        </w:numPr>
        <w:spacing w:after="0"/>
      </w:pPr>
      <w:r>
        <w:t>Internal spatial distribution of volatiles.</w:t>
      </w:r>
    </w:p>
    <w:p w14:paraId="76BF7629" w14:textId="78D9AFB0" w:rsidR="00DD0DAA" w:rsidRDefault="00DD0DAA" w:rsidP="0015648C">
      <w:pPr>
        <w:pStyle w:val="ListParagraph"/>
        <w:numPr>
          <w:ilvl w:val="0"/>
          <w:numId w:val="37"/>
        </w:numPr>
        <w:spacing w:after="0"/>
      </w:pPr>
      <w:r>
        <w:t>Temporal changes within buildings.</w:t>
      </w:r>
    </w:p>
    <w:p w14:paraId="5235ECB2" w14:textId="0BE43B99" w:rsidR="00DD0DAA" w:rsidRDefault="00DD0DAA" w:rsidP="0015648C">
      <w:pPr>
        <w:pStyle w:val="ListParagraph"/>
        <w:numPr>
          <w:ilvl w:val="0"/>
          <w:numId w:val="37"/>
        </w:numPr>
        <w:spacing w:after="0"/>
      </w:pPr>
      <w:r>
        <w:t>Relationships between internal volatile concentrations and variables influencing those changes.</w:t>
      </w:r>
    </w:p>
    <w:p w14:paraId="4DCF20C4" w14:textId="22E254BF" w:rsidR="00DD0DAA" w:rsidRDefault="00DD0DAA" w:rsidP="00DD0DAA">
      <w:pPr>
        <w:pStyle w:val="ListParagraph"/>
        <w:spacing w:after="0"/>
      </w:pPr>
    </w:p>
    <w:p w14:paraId="5FD9F49B" w14:textId="77777777" w:rsidR="00DD0DAA" w:rsidRDefault="00DD0DAA" w:rsidP="00DD0DAA">
      <w:pPr>
        <w:pStyle w:val="ListParagraph"/>
        <w:spacing w:after="0"/>
      </w:pPr>
    </w:p>
    <w:p w14:paraId="3D576509" w14:textId="65A2F499" w:rsidR="005143C2" w:rsidRDefault="005143C2" w:rsidP="005143C2">
      <w:pPr>
        <w:spacing w:after="0"/>
      </w:pPr>
    </w:p>
    <w:p w14:paraId="378E86D8" w14:textId="10CFB8C6" w:rsidR="005143C2" w:rsidRDefault="00DD0DAA" w:rsidP="00DD0DAA">
      <w:pPr>
        <w:pStyle w:val="Heading2"/>
      </w:pPr>
      <w:bookmarkStart w:id="113" w:name="_Toc461684105"/>
      <w:r>
        <w:t>Exposure assessment and population impacts</w:t>
      </w:r>
      <w:bookmarkEnd w:id="113"/>
    </w:p>
    <w:p w14:paraId="0BF03C5B" w14:textId="77777777" w:rsidR="00DD0DAA" w:rsidRPr="00DD0DAA" w:rsidRDefault="00DD0DAA" w:rsidP="00DD0DAA">
      <w:pPr>
        <w:spacing w:after="0"/>
      </w:pPr>
    </w:p>
    <w:p w14:paraId="017B809E" w14:textId="49FFC796" w:rsidR="00DD0DAA" w:rsidRDefault="00DD0DAA" w:rsidP="00DD0DAA">
      <w:r>
        <w:t xml:space="preserve">Research examining existing population impacts from </w:t>
      </w:r>
      <w:proofErr w:type="spellStart"/>
      <w:r>
        <w:t>vapour</w:t>
      </w:r>
      <w:proofErr w:type="spellEnd"/>
      <w:r>
        <w:t xml:space="preserve"> intrusion combined</w:t>
      </w:r>
      <w:r w:rsidR="005F1206">
        <w:t xml:space="preserve"> with impro</w:t>
      </w:r>
      <w:r>
        <w:t>ved understanding of inhalation dosimetry is required. Areas of suggested investigation include:</w:t>
      </w:r>
    </w:p>
    <w:p w14:paraId="756D7EDB" w14:textId="0BF53730" w:rsidR="00DD0DAA" w:rsidRDefault="00DD0DAA" w:rsidP="0015648C">
      <w:pPr>
        <w:pStyle w:val="ListParagraph"/>
        <w:numPr>
          <w:ilvl w:val="0"/>
          <w:numId w:val="38"/>
        </w:numPr>
      </w:pPr>
      <w:r>
        <w:t xml:space="preserve">Epidemiological studies across Australia examining </w:t>
      </w:r>
      <w:proofErr w:type="spellStart"/>
      <w:r>
        <w:t>vapour</w:t>
      </w:r>
      <w:proofErr w:type="spellEnd"/>
      <w:r>
        <w:t xml:space="preserve"> intrusion outcomes for chlorinated hydrocarbons and petroleum hydrocarbons.</w:t>
      </w:r>
    </w:p>
    <w:p w14:paraId="5952E622" w14:textId="2C37DDAD" w:rsidR="00DD0DAA" w:rsidRDefault="00DD0DAA" w:rsidP="0015648C">
      <w:pPr>
        <w:pStyle w:val="ListParagraph"/>
        <w:numPr>
          <w:ilvl w:val="0"/>
          <w:numId w:val="38"/>
        </w:numPr>
      </w:pPr>
      <w:r>
        <w:t xml:space="preserve">Determining effective dose considering time, </w:t>
      </w:r>
      <w:proofErr w:type="gramStart"/>
      <w:r>
        <w:t>duration</w:t>
      </w:r>
      <w:proofErr w:type="gramEnd"/>
      <w:r>
        <w:t xml:space="preserve"> and inhalation uptake.</w:t>
      </w:r>
    </w:p>
    <w:p w14:paraId="763FEF04" w14:textId="28B39AE1" w:rsidR="00DD0DAA" w:rsidRDefault="00DD0DAA" w:rsidP="0015648C">
      <w:pPr>
        <w:pStyle w:val="ListParagraph"/>
        <w:numPr>
          <w:ilvl w:val="0"/>
          <w:numId w:val="38"/>
        </w:numPr>
      </w:pPr>
      <w:r>
        <w:t>Short-term versus long-term exposures – how could differences lead to adverse pathologies?</w:t>
      </w:r>
    </w:p>
    <w:p w14:paraId="0D4966BC" w14:textId="5B1210BF" w:rsidR="00DD0DAA" w:rsidRDefault="00DD0DAA" w:rsidP="0015648C">
      <w:pPr>
        <w:pStyle w:val="ListParagraph"/>
        <w:numPr>
          <w:ilvl w:val="0"/>
          <w:numId w:val="38"/>
        </w:numPr>
      </w:pPr>
      <w:r>
        <w:t>Time dependent</w:t>
      </w:r>
      <w:r w:rsidR="005F1206">
        <w:t xml:space="preserve"> versu</w:t>
      </w:r>
      <w:r>
        <w:t>s averaged exposure</w:t>
      </w:r>
      <w:r w:rsidR="005F1206">
        <w:t xml:space="preserve"> – what is important to consider and why?</w:t>
      </w:r>
    </w:p>
    <w:p w14:paraId="3C3EAEA3" w14:textId="2BF82E21" w:rsidR="005F1206" w:rsidRDefault="005F1206" w:rsidP="0015648C">
      <w:pPr>
        <w:pStyle w:val="ListParagraph"/>
        <w:numPr>
          <w:ilvl w:val="0"/>
          <w:numId w:val="38"/>
        </w:numPr>
      </w:pPr>
      <w:r>
        <w:t>Matching toxicological outcomes with exposure assessment for volatile substances of interest – what is the latest science?</w:t>
      </w:r>
    </w:p>
    <w:p w14:paraId="6B0E625B" w14:textId="2EF3D2A9" w:rsidR="005F1206" w:rsidRDefault="005F1206" w:rsidP="0015648C">
      <w:pPr>
        <w:pStyle w:val="ListParagraph"/>
        <w:numPr>
          <w:ilvl w:val="0"/>
          <w:numId w:val="38"/>
        </w:numPr>
      </w:pPr>
      <w:r>
        <w:t xml:space="preserve">What are the </w:t>
      </w:r>
      <w:proofErr w:type="gramStart"/>
      <w:r>
        <w:t>worst case</w:t>
      </w:r>
      <w:proofErr w:type="gramEnd"/>
      <w:r>
        <w:t xml:space="preserve"> settings for confined environments in Australia?</w:t>
      </w:r>
    </w:p>
    <w:p w14:paraId="5AE57A74" w14:textId="6D87C449" w:rsidR="005F1206" w:rsidRDefault="005F1206" w:rsidP="0015648C">
      <w:pPr>
        <w:pStyle w:val="ListParagraph"/>
        <w:numPr>
          <w:ilvl w:val="0"/>
          <w:numId w:val="38"/>
        </w:numPr>
      </w:pPr>
      <w:r>
        <w:t>Which population exposures warrant the greatest concern?</w:t>
      </w:r>
    </w:p>
    <w:p w14:paraId="4856741F" w14:textId="1258A4EE" w:rsidR="005F1206" w:rsidRDefault="005F1206" w:rsidP="0015648C">
      <w:pPr>
        <w:pStyle w:val="ListParagraph"/>
        <w:numPr>
          <w:ilvl w:val="0"/>
          <w:numId w:val="38"/>
        </w:numPr>
      </w:pPr>
      <w:r>
        <w:t>Development of indoor air sampling methods based on spatial and temporal indoor contaminant distribution.</w:t>
      </w:r>
    </w:p>
    <w:p w14:paraId="4A1E77FD" w14:textId="30D43298" w:rsidR="005F1206" w:rsidRDefault="005F1206" w:rsidP="0015648C">
      <w:pPr>
        <w:pStyle w:val="ListParagraph"/>
        <w:numPr>
          <w:ilvl w:val="0"/>
          <w:numId w:val="38"/>
        </w:numPr>
      </w:pPr>
      <w:r>
        <w:t xml:space="preserve">Development of non-invasive biological monitoring methods for </w:t>
      </w:r>
      <w:proofErr w:type="spellStart"/>
      <w:r>
        <w:t>vapour</w:t>
      </w:r>
      <w:proofErr w:type="spellEnd"/>
      <w:r>
        <w:t xml:space="preserve"> intrusion assessment.</w:t>
      </w:r>
    </w:p>
    <w:p w14:paraId="3CBD8728" w14:textId="15EDD9A4" w:rsidR="005F1206" w:rsidRDefault="005F1206" w:rsidP="0015648C">
      <w:pPr>
        <w:pStyle w:val="ListParagraph"/>
        <w:numPr>
          <w:ilvl w:val="0"/>
          <w:numId w:val="38"/>
        </w:numPr>
      </w:pPr>
      <w:r>
        <w:t>Assessment of relationships between inhalation dose and body burden</w:t>
      </w:r>
      <w:r w:rsidR="005A64A9">
        <w:t>.</w:t>
      </w:r>
    </w:p>
    <w:p w14:paraId="24C282A7" w14:textId="180A900E" w:rsidR="005F1206" w:rsidRDefault="005F1206" w:rsidP="0015648C">
      <w:pPr>
        <w:pStyle w:val="ListParagraph"/>
        <w:numPr>
          <w:ilvl w:val="0"/>
          <w:numId w:val="38"/>
        </w:numPr>
      </w:pPr>
      <w:r>
        <w:t xml:space="preserve">Development of exposure assessment tools aligned to </w:t>
      </w:r>
      <w:r w:rsidR="004F768F">
        <w:t xml:space="preserve">biological markers of </w:t>
      </w:r>
      <w:r>
        <w:t>body burden.</w:t>
      </w:r>
    </w:p>
    <w:p w14:paraId="5134649D" w14:textId="77777777" w:rsidR="005F1206" w:rsidRDefault="005F1206" w:rsidP="004F768F">
      <w:pPr>
        <w:pStyle w:val="ListParagraph"/>
      </w:pPr>
    </w:p>
    <w:p w14:paraId="5A72E572" w14:textId="43181DE2" w:rsidR="00DD0DAA" w:rsidRDefault="00DD0DAA" w:rsidP="00DD0DAA"/>
    <w:p w14:paraId="0F3F3D59" w14:textId="77777777" w:rsidR="00DD0DAA" w:rsidRPr="00DD0DAA" w:rsidRDefault="00DD0DAA" w:rsidP="00DD0DAA">
      <w:pPr>
        <w:sectPr w:rsidR="00DD0DAA" w:rsidRPr="00DD0DAA" w:rsidSect="00F73597">
          <w:pgSz w:w="12240" w:h="15840"/>
          <w:pgMar w:top="1701" w:right="1440" w:bottom="1440" w:left="1440" w:header="851" w:footer="851" w:gutter="0"/>
          <w:cols w:space="720"/>
          <w:docGrid w:linePitch="299"/>
        </w:sectPr>
      </w:pPr>
    </w:p>
    <w:p w14:paraId="7F4FC5C1" w14:textId="3086CF28" w:rsidR="0046681D" w:rsidRPr="0046681D" w:rsidRDefault="0046681D" w:rsidP="0046681D">
      <w:pPr>
        <w:pStyle w:val="Heading1"/>
        <w:numPr>
          <w:ilvl w:val="0"/>
          <w:numId w:val="0"/>
        </w:numPr>
        <w:spacing w:before="0" w:after="0"/>
        <w:sectPr w:rsidR="0046681D" w:rsidRPr="0046681D" w:rsidSect="00F73597">
          <w:pgSz w:w="12240" w:h="15840"/>
          <w:pgMar w:top="1701" w:right="1440" w:bottom="1440" w:left="1440" w:header="851" w:footer="851" w:gutter="0"/>
          <w:cols w:space="720"/>
          <w:docGrid w:linePitch="299"/>
        </w:sectPr>
      </w:pPr>
    </w:p>
    <w:p w14:paraId="2B23EA8A" w14:textId="0BFF877A" w:rsidR="00E14595" w:rsidRDefault="00B43AF7" w:rsidP="00380D14">
      <w:pPr>
        <w:pStyle w:val="Heading1"/>
        <w:spacing w:before="0" w:after="0"/>
      </w:pPr>
      <w:bookmarkStart w:id="114" w:name="_Toc461684106"/>
      <w:r>
        <w:lastRenderedPageBreak/>
        <w:t>R</w:t>
      </w:r>
      <w:r w:rsidR="00E14595" w:rsidRPr="009553E8">
        <w:t>eferences</w:t>
      </w:r>
      <w:bookmarkEnd w:id="114"/>
    </w:p>
    <w:p w14:paraId="1BE97033" w14:textId="77777777" w:rsidR="009553E8" w:rsidRPr="009553E8" w:rsidRDefault="009553E8" w:rsidP="00380D14">
      <w:pPr>
        <w:spacing w:after="0"/>
      </w:pPr>
    </w:p>
    <w:p w14:paraId="4154BC0C" w14:textId="062E0211" w:rsidR="000D014A" w:rsidRPr="00A721F9" w:rsidRDefault="000D014A" w:rsidP="00195B58">
      <w:pPr>
        <w:rPr>
          <w:rFonts w:cs="Arial"/>
        </w:rPr>
      </w:pPr>
      <w:r w:rsidRPr="00A721F9">
        <w:rPr>
          <w:rFonts w:cs="Arial"/>
        </w:rPr>
        <w:t>ABS (2014)</w:t>
      </w:r>
      <w:r w:rsidRPr="00A721F9">
        <w:rPr>
          <w:rFonts w:cs="Arial"/>
          <w:lang w:val="en"/>
        </w:rPr>
        <w:t xml:space="preserve"> </w:t>
      </w:r>
      <w:r w:rsidRPr="00A721F9">
        <w:rPr>
          <w:rFonts w:cs="Arial"/>
          <w:i/>
          <w:lang w:val="en"/>
        </w:rPr>
        <w:t>Cat</w:t>
      </w:r>
      <w:r w:rsidR="00A721F9" w:rsidRPr="00A721F9">
        <w:rPr>
          <w:rFonts w:cs="Arial"/>
          <w:i/>
          <w:lang w:val="en"/>
        </w:rPr>
        <w:t>alogue</w:t>
      </w:r>
      <w:r w:rsidRPr="00A721F9">
        <w:rPr>
          <w:rFonts w:cs="Arial"/>
          <w:i/>
          <w:lang w:val="en"/>
        </w:rPr>
        <w:t xml:space="preserve"> No. 4338.0 - Profiles of Health, Australia, 2011-13.</w:t>
      </w:r>
      <w:r w:rsidRPr="00A721F9">
        <w:rPr>
          <w:rFonts w:cs="Arial"/>
          <w:lang w:val="en"/>
        </w:rPr>
        <w:t xml:space="preserve">  Australian Bureau of Statistics, Canberra.  </w:t>
      </w:r>
    </w:p>
    <w:p w14:paraId="305497EE" w14:textId="15B2FC78" w:rsidR="007476B2" w:rsidRPr="00C4442F" w:rsidRDefault="007476B2" w:rsidP="007476B2">
      <w:pPr>
        <w:spacing w:after="0"/>
        <w:rPr>
          <w:i/>
        </w:rPr>
      </w:pPr>
      <w:r w:rsidRPr="00C4442F">
        <w:t xml:space="preserve">API (2010) BIOVAPOR – </w:t>
      </w:r>
      <w:r w:rsidRPr="00C4442F">
        <w:rPr>
          <w:i/>
        </w:rPr>
        <w:t>A 1-D Vapor Intrusion Model with Oxygen-Limited Biodegradation</w:t>
      </w:r>
    </w:p>
    <w:p w14:paraId="38554DB1" w14:textId="0AEE799D" w:rsidR="007476B2" w:rsidRPr="00C4442F" w:rsidRDefault="007476B2" w:rsidP="007476B2">
      <w:pPr>
        <w:spacing w:after="0"/>
        <w:rPr>
          <w:color w:val="0000FF"/>
        </w:rPr>
      </w:pPr>
      <w:r w:rsidRPr="00C4442F">
        <w:rPr>
          <w:i/>
        </w:rPr>
        <w:t>(Version 2.0)</w:t>
      </w:r>
      <w:r w:rsidR="00C4442F">
        <w:t xml:space="preserve">. </w:t>
      </w:r>
      <w:r w:rsidRPr="00C4442F">
        <w:t xml:space="preserve">Washington, DC: American Petroleum Institute. </w:t>
      </w:r>
      <w:r w:rsidR="00C4442F">
        <w:t xml:space="preserve">Available at </w:t>
      </w:r>
      <w:r w:rsidRPr="00C4442F">
        <w:rPr>
          <w:color w:val="0000FF"/>
        </w:rPr>
        <w:t>http://www.api.org/</w:t>
      </w:r>
    </w:p>
    <w:p w14:paraId="3B925D09" w14:textId="77777777" w:rsidR="007476B2" w:rsidRPr="00C4442F" w:rsidRDefault="007476B2" w:rsidP="007476B2">
      <w:pPr>
        <w:spacing w:after="0"/>
        <w:rPr>
          <w:color w:val="0000FF"/>
        </w:rPr>
      </w:pPr>
      <w:r w:rsidRPr="00C4442F">
        <w:rPr>
          <w:color w:val="0000FF"/>
        </w:rPr>
        <w:t>Environment-Health-and-Safety/Clean-Water/</w:t>
      </w:r>
      <w:proofErr w:type="gramStart"/>
      <w:r w:rsidRPr="00C4442F">
        <w:rPr>
          <w:color w:val="0000FF"/>
        </w:rPr>
        <w:t>Ground-Water</w:t>
      </w:r>
      <w:proofErr w:type="gramEnd"/>
      <w:r w:rsidRPr="00C4442F">
        <w:rPr>
          <w:color w:val="0000FF"/>
        </w:rPr>
        <w:t>/Vapor-Intrusion/Biovapor-</w:t>
      </w:r>
    </w:p>
    <w:p w14:paraId="7FAD5874" w14:textId="45D65B9A" w:rsidR="007476B2" w:rsidRPr="00C4442F" w:rsidRDefault="007476B2" w:rsidP="007476B2">
      <w:pPr>
        <w:spacing w:after="0"/>
      </w:pPr>
      <w:r w:rsidRPr="00C4442F">
        <w:rPr>
          <w:color w:val="0000FF"/>
        </w:rPr>
        <w:t>Form.aspx</w:t>
      </w:r>
      <w:r w:rsidRPr="00C4442F">
        <w:t>.</w:t>
      </w:r>
    </w:p>
    <w:p w14:paraId="4B84F5F7" w14:textId="77777777" w:rsidR="007476B2" w:rsidRPr="00C7193D" w:rsidRDefault="007476B2" w:rsidP="007476B2">
      <w:pPr>
        <w:spacing w:after="0"/>
        <w:rPr>
          <w:highlight w:val="yellow"/>
        </w:rPr>
      </w:pPr>
    </w:p>
    <w:p w14:paraId="41B14827" w14:textId="055A9680" w:rsidR="008A1884" w:rsidRPr="00C4442F" w:rsidRDefault="00C4442F" w:rsidP="008A1884">
      <w:r>
        <w:t>ASTM E</w:t>
      </w:r>
      <w:r w:rsidR="008A1884" w:rsidRPr="00C4442F">
        <w:t xml:space="preserve">1739-95 (1995) </w:t>
      </w:r>
      <w:r w:rsidR="008A1884" w:rsidRPr="00C4442F">
        <w:rPr>
          <w:i/>
        </w:rPr>
        <w:t>Standard guide for Risk-based Corrective Action Applied at Petroleum Release Sites.</w:t>
      </w:r>
      <w:r w:rsidR="008A1884" w:rsidRPr="00C4442F">
        <w:t xml:space="preserve">  ASTM International, West Conshohocken, PA. USA.</w:t>
      </w:r>
    </w:p>
    <w:p w14:paraId="5D624526" w14:textId="77777777" w:rsidR="00C4442F" w:rsidRPr="00C4442F" w:rsidRDefault="00C4442F" w:rsidP="00C4442F">
      <w:r w:rsidRPr="00C4442F">
        <w:t xml:space="preserve">ASTM D7758-11 (2011) </w:t>
      </w:r>
      <w:r w:rsidRPr="00C4442F">
        <w:rPr>
          <w:i/>
        </w:rPr>
        <w:t xml:space="preserve">Standard Practice for Passive Soil Gas Sampling in the Vadose Zone for Source Identification, Spatial Variability Assessment, Monitoring, and Vapor Intrusion Evaluations. </w:t>
      </w:r>
      <w:r w:rsidRPr="00C4442F">
        <w:t xml:space="preserve">ASTM International, West Conshohocken, PA. Available at  </w:t>
      </w:r>
      <w:hyperlink r:id="rId55" w:history="1">
        <w:r w:rsidRPr="00C4442F">
          <w:rPr>
            <w:color w:val="0088CC"/>
          </w:rPr>
          <w:t>www.astm.org</w:t>
        </w:r>
      </w:hyperlink>
      <w:r w:rsidRPr="00C4442F">
        <w:rPr>
          <w:color w:val="0088CC"/>
        </w:rPr>
        <w:t xml:space="preserve">. </w:t>
      </w:r>
      <w:r w:rsidRPr="00C4442F">
        <w:t>[accessed 25 June 2016].</w:t>
      </w:r>
    </w:p>
    <w:p w14:paraId="1E21E41C" w14:textId="0D42BEA9" w:rsidR="003E3686" w:rsidRPr="00C4442F" w:rsidRDefault="003E3686" w:rsidP="003E3686">
      <w:r w:rsidRPr="00C4442F">
        <w:t>ASTM D7663-12 (2012</w:t>
      </w:r>
      <w:r w:rsidR="00C4442F">
        <w:t>a</w:t>
      </w:r>
      <w:r w:rsidRPr="00C4442F">
        <w:t xml:space="preserve">) </w:t>
      </w:r>
      <w:r w:rsidRPr="00C4442F">
        <w:rPr>
          <w:i/>
        </w:rPr>
        <w:t>Standard Practice for Active Soil Gas Sampling in the Vadose Zone for Vapor Intrusion Evaluations</w:t>
      </w:r>
      <w:r w:rsidR="009E1458" w:rsidRPr="00C4442F">
        <w:t>.</w:t>
      </w:r>
      <w:r w:rsidRPr="00C4442F">
        <w:t xml:space="preserve"> ASTM International, West Conshohocken, PA.  Available at  </w:t>
      </w:r>
      <w:hyperlink r:id="rId56" w:history="1">
        <w:r w:rsidRPr="00C4442F">
          <w:rPr>
            <w:color w:val="0088CC"/>
          </w:rPr>
          <w:t>www.astm.org</w:t>
        </w:r>
      </w:hyperlink>
      <w:r w:rsidRPr="00C4442F">
        <w:rPr>
          <w:color w:val="0088CC"/>
        </w:rPr>
        <w:t xml:space="preserve">. </w:t>
      </w:r>
      <w:r w:rsidRPr="00C4442F">
        <w:t>[accessed 25 June 2016].</w:t>
      </w:r>
    </w:p>
    <w:p w14:paraId="5FF6033B" w14:textId="77777777" w:rsidR="00C4442F" w:rsidRPr="00C4442F" w:rsidRDefault="00C4442F" w:rsidP="00C4442F">
      <w:r w:rsidRPr="00C4442F">
        <w:t xml:space="preserve">ASTM D7648-12 (2012b) </w:t>
      </w:r>
      <w:r w:rsidRPr="00C4442F">
        <w:rPr>
          <w:i/>
        </w:rPr>
        <w:t>Standard Practice for Active Soil Gas Sampling for Direct Push or Manual-Driven Hand-Sampling Equipment.</w:t>
      </w:r>
      <w:r w:rsidRPr="00C4442F">
        <w:t xml:space="preserve"> ASTM International, West Conshohocken, PA. Available at  </w:t>
      </w:r>
      <w:hyperlink r:id="rId57" w:history="1">
        <w:r w:rsidRPr="00C4442F">
          <w:rPr>
            <w:color w:val="0088CC"/>
          </w:rPr>
          <w:t>www.astm.org</w:t>
        </w:r>
      </w:hyperlink>
      <w:r w:rsidRPr="00C4442F">
        <w:rPr>
          <w:color w:val="0088CC"/>
        </w:rPr>
        <w:t xml:space="preserve">. </w:t>
      </w:r>
      <w:r w:rsidRPr="00C4442F">
        <w:t>[accessed 25 June 2016].</w:t>
      </w:r>
    </w:p>
    <w:p w14:paraId="3C98A294" w14:textId="50C55558" w:rsidR="003E3686" w:rsidRPr="00C4442F" w:rsidRDefault="003E3686" w:rsidP="003E3686">
      <w:r w:rsidRPr="00C4442F">
        <w:t>ASTM E2600-15 (2015</w:t>
      </w:r>
      <w:r w:rsidR="00C4442F">
        <w:t>a</w:t>
      </w:r>
      <w:r w:rsidRPr="00C4442F">
        <w:t xml:space="preserve">) </w:t>
      </w:r>
      <w:r w:rsidRPr="00C4442F">
        <w:rPr>
          <w:i/>
        </w:rPr>
        <w:t>Standard Guide for Vapor Encroachment Screening on Property Involved in Real Estate Transactions</w:t>
      </w:r>
      <w:r w:rsidR="009E1458" w:rsidRPr="00C4442F">
        <w:t>.</w:t>
      </w:r>
      <w:r w:rsidRPr="00C4442F">
        <w:t xml:space="preserve"> ASTM International, West Conshohocken, PA. Available at  </w:t>
      </w:r>
      <w:hyperlink r:id="rId58" w:history="1">
        <w:r w:rsidRPr="00C4442F">
          <w:rPr>
            <w:color w:val="0088CC"/>
          </w:rPr>
          <w:t>www.astm.org</w:t>
        </w:r>
      </w:hyperlink>
      <w:r w:rsidRPr="00C4442F">
        <w:rPr>
          <w:color w:val="0088CC"/>
        </w:rPr>
        <w:t xml:space="preserve">. </w:t>
      </w:r>
      <w:r w:rsidRPr="00C4442F">
        <w:t>[accessed 25 June 2016].</w:t>
      </w:r>
    </w:p>
    <w:p w14:paraId="44B832DF" w14:textId="6B9E2A8A" w:rsidR="00C4442F" w:rsidRPr="00C4442F" w:rsidRDefault="00C4442F" w:rsidP="00C4442F">
      <w:r w:rsidRPr="00C4442F">
        <w:t xml:space="preserve">ASTM E1739-95 </w:t>
      </w:r>
      <w:r>
        <w:t>(2015b)</w:t>
      </w:r>
      <w:r w:rsidRPr="00C4442F">
        <w:t xml:space="preserve"> </w:t>
      </w:r>
      <w:r w:rsidRPr="00C4442F">
        <w:rPr>
          <w:i/>
        </w:rPr>
        <w:t>Standard Guide for Risk-Based Corrective Action Applied at Petroleum Release Sites.</w:t>
      </w:r>
      <w:r w:rsidRPr="00C4442F">
        <w:t xml:space="preserve"> ASTM International, West Conshohocken, PA. Available at  </w:t>
      </w:r>
      <w:hyperlink r:id="rId59" w:history="1">
        <w:r w:rsidRPr="00C4442F">
          <w:rPr>
            <w:color w:val="0088CC"/>
          </w:rPr>
          <w:t>www.astm.org</w:t>
        </w:r>
      </w:hyperlink>
      <w:r w:rsidRPr="00C4442F">
        <w:rPr>
          <w:color w:val="0088CC"/>
        </w:rPr>
        <w:t xml:space="preserve">. </w:t>
      </w:r>
      <w:r w:rsidRPr="00C4442F">
        <w:t>[accessed 25 June 2016].</w:t>
      </w:r>
    </w:p>
    <w:p w14:paraId="14E3FF7A" w14:textId="6CEF498E" w:rsidR="00C4442F" w:rsidRPr="00C4442F" w:rsidRDefault="00C4442F" w:rsidP="00C4442F">
      <w:r w:rsidRPr="00C4442F">
        <w:t>ASTM E2081-00 (2015</w:t>
      </w:r>
      <w:r>
        <w:t>c)</w:t>
      </w:r>
      <w:r w:rsidRPr="00C4442F">
        <w:t xml:space="preserve"> </w:t>
      </w:r>
      <w:r w:rsidRPr="00C4442F">
        <w:rPr>
          <w:i/>
        </w:rPr>
        <w:t>Standard Guide for Risk-Based Corrective Action</w:t>
      </w:r>
      <w:r w:rsidRPr="00C4442F">
        <w:t xml:space="preserve">. ASTM International, West Conshohocken, PA. Available at  </w:t>
      </w:r>
      <w:hyperlink r:id="rId60" w:history="1">
        <w:r w:rsidRPr="00C4442F">
          <w:rPr>
            <w:color w:val="0088CC"/>
          </w:rPr>
          <w:t>www.astm.org</w:t>
        </w:r>
      </w:hyperlink>
      <w:r w:rsidRPr="00C4442F">
        <w:rPr>
          <w:color w:val="0088CC"/>
        </w:rPr>
        <w:t xml:space="preserve">. </w:t>
      </w:r>
      <w:r w:rsidRPr="00C4442F">
        <w:t>[accessed 25 June 2016].</w:t>
      </w:r>
    </w:p>
    <w:p w14:paraId="46A1EE7E" w14:textId="2487940D" w:rsidR="003E3686" w:rsidRPr="00C4442F" w:rsidRDefault="003E3686" w:rsidP="003E3686">
      <w:r w:rsidRPr="00C4442F">
        <w:t xml:space="preserve">ASTM E2993-16 (2016) </w:t>
      </w:r>
      <w:r w:rsidRPr="00C4442F">
        <w:rPr>
          <w:i/>
        </w:rPr>
        <w:t>Standard Guide for Evaluating Potential Hazard as a Resul</w:t>
      </w:r>
      <w:r w:rsidR="009E1458" w:rsidRPr="00C4442F">
        <w:rPr>
          <w:i/>
        </w:rPr>
        <w:t>t of Methane in the Vadose Zone</w:t>
      </w:r>
      <w:r w:rsidR="009E1458" w:rsidRPr="00C4442F">
        <w:t>.</w:t>
      </w:r>
      <w:r w:rsidRPr="00C4442F">
        <w:t xml:space="preserve"> ASTM International, West Conshohocken, PA. Available at  </w:t>
      </w:r>
      <w:hyperlink r:id="rId61" w:history="1">
        <w:r w:rsidRPr="00C4442F">
          <w:rPr>
            <w:color w:val="0088CC"/>
          </w:rPr>
          <w:t>www.astm.org</w:t>
        </w:r>
      </w:hyperlink>
      <w:r w:rsidRPr="00C4442F">
        <w:rPr>
          <w:color w:val="0088CC"/>
        </w:rPr>
        <w:t xml:space="preserve">. </w:t>
      </w:r>
      <w:r w:rsidRPr="00C4442F">
        <w:t>[accessed 25 June 2016].</w:t>
      </w:r>
    </w:p>
    <w:p w14:paraId="1E3E394B" w14:textId="158FF8DC" w:rsidR="009E1458" w:rsidRPr="00C4442F" w:rsidRDefault="009E1458" w:rsidP="009E1458">
      <w:r w:rsidRPr="00C4442F">
        <w:rPr>
          <w:rFonts w:cs="Arial"/>
        </w:rPr>
        <w:t xml:space="preserve">ATSDR (2001) </w:t>
      </w:r>
      <w:r w:rsidRPr="00C4442F">
        <w:rPr>
          <w:rFonts w:cs="Arial"/>
          <w:i/>
        </w:rPr>
        <w:t xml:space="preserve">Landfill Gas Primer. An Overview for Environmental Health Professionals. </w:t>
      </w:r>
      <w:r w:rsidRPr="00C4442F">
        <w:rPr>
          <w:rFonts w:cs="Arial"/>
        </w:rPr>
        <w:t xml:space="preserve">Agency. Agency for Toxic Substances and Disease Registry, Department of </w:t>
      </w:r>
      <w:proofErr w:type="gramStart"/>
      <w:r w:rsidRPr="00C4442F">
        <w:rPr>
          <w:rFonts w:cs="Arial"/>
        </w:rPr>
        <w:t>Health</w:t>
      </w:r>
      <w:proofErr w:type="gramEnd"/>
      <w:r w:rsidRPr="00C4442F">
        <w:rPr>
          <w:rFonts w:cs="Arial"/>
        </w:rPr>
        <w:t xml:space="preserve"> and Human Services. </w:t>
      </w:r>
      <w:r w:rsidR="00C4442F">
        <w:rPr>
          <w:rFonts w:cs="Arial"/>
        </w:rPr>
        <w:t xml:space="preserve">Available at </w:t>
      </w:r>
      <w:hyperlink r:id="rId62" w:history="1">
        <w:r w:rsidRPr="00C4442F">
          <w:rPr>
            <w:rStyle w:val="Hyperlink"/>
          </w:rPr>
          <w:t>http://www.atsdr.cdc.gov/HAC/landfill/html/intro.html</w:t>
        </w:r>
      </w:hyperlink>
      <w:r w:rsidRPr="00C4442F">
        <w:t>.</w:t>
      </w:r>
      <w:r w:rsidR="00C4442F">
        <w:rPr>
          <w:rFonts w:cs="Arial"/>
        </w:rPr>
        <w:t>[a</w:t>
      </w:r>
      <w:r w:rsidRPr="00C4442F">
        <w:rPr>
          <w:rFonts w:cs="Arial"/>
        </w:rPr>
        <w:t>ccessed 25 June 2016].</w:t>
      </w:r>
    </w:p>
    <w:p w14:paraId="5B40F61C" w14:textId="5D6B2FCD" w:rsidR="000D014A" w:rsidRPr="00C4442F" w:rsidRDefault="00FD0F85" w:rsidP="001B4150">
      <w:pPr>
        <w:spacing w:after="0"/>
        <w:rPr>
          <w:rFonts w:cs="Arial"/>
        </w:rPr>
      </w:pPr>
      <w:r w:rsidRPr="00C4442F">
        <w:rPr>
          <w:rFonts w:cs="Arial"/>
        </w:rPr>
        <w:t xml:space="preserve">ATSDR, (2014) </w:t>
      </w:r>
      <w:r w:rsidR="00807085">
        <w:rPr>
          <w:rFonts w:cs="Arial"/>
          <w:i/>
        </w:rPr>
        <w:t>Interaction Profiles for Toxic S</w:t>
      </w:r>
      <w:r w:rsidRPr="00C4442F">
        <w:rPr>
          <w:rFonts w:cs="Arial"/>
          <w:i/>
        </w:rPr>
        <w:t>ubstances.</w:t>
      </w:r>
      <w:r w:rsidRPr="00C4442F">
        <w:rPr>
          <w:rFonts w:cs="Arial"/>
        </w:rPr>
        <w:t xml:space="preserve">  </w:t>
      </w:r>
      <w:r w:rsidR="009E1458" w:rsidRPr="00C4442F">
        <w:rPr>
          <w:rFonts w:cs="Arial"/>
        </w:rPr>
        <w:t xml:space="preserve">Agency for Toxic Substances and Disease Registry, Department of </w:t>
      </w:r>
      <w:proofErr w:type="gramStart"/>
      <w:r w:rsidR="009E1458" w:rsidRPr="00C4442F">
        <w:rPr>
          <w:rFonts w:cs="Arial"/>
        </w:rPr>
        <w:t>Health</w:t>
      </w:r>
      <w:proofErr w:type="gramEnd"/>
      <w:r w:rsidR="009E1458" w:rsidRPr="00C4442F">
        <w:rPr>
          <w:rFonts w:cs="Arial"/>
        </w:rPr>
        <w:t xml:space="preserve"> and Human Services.  </w:t>
      </w:r>
      <w:r w:rsidRPr="00C4442F">
        <w:rPr>
          <w:rFonts w:cs="Arial"/>
        </w:rPr>
        <w:t xml:space="preserve">Toxic Substances Portal </w:t>
      </w:r>
      <w:r w:rsidR="00C4442F">
        <w:rPr>
          <w:rFonts w:cs="Arial"/>
        </w:rPr>
        <w:t>at</w:t>
      </w:r>
      <w:r w:rsidRPr="00C4442F">
        <w:rPr>
          <w:rFonts w:cs="Arial"/>
        </w:rPr>
        <w:t xml:space="preserve"> </w:t>
      </w:r>
      <w:hyperlink r:id="rId63" w:history="1">
        <w:r w:rsidRPr="00C4442F">
          <w:rPr>
            <w:rStyle w:val="Hyperlink"/>
            <w:rFonts w:cs="Arial"/>
          </w:rPr>
          <w:t>http://www.atsdr.cdc.gov/interactionprofiles/index.asp</w:t>
        </w:r>
      </w:hyperlink>
      <w:r w:rsidRPr="00C4442F">
        <w:rPr>
          <w:rFonts w:cs="Arial"/>
        </w:rPr>
        <w:t xml:space="preserve"> [accessed 13/06/2016].</w:t>
      </w:r>
    </w:p>
    <w:p w14:paraId="4607988E" w14:textId="77777777" w:rsidR="009E1458" w:rsidRPr="00C7193D" w:rsidRDefault="009E1458" w:rsidP="001B4150">
      <w:pPr>
        <w:spacing w:after="0"/>
        <w:rPr>
          <w:rFonts w:cs="Arial"/>
          <w:highlight w:val="yellow"/>
        </w:rPr>
      </w:pPr>
    </w:p>
    <w:p w14:paraId="13245293" w14:textId="44CF6FB4" w:rsidR="000A1C54" w:rsidRPr="00D21299" w:rsidRDefault="000A1C54" w:rsidP="001B4150">
      <w:pPr>
        <w:spacing w:after="0"/>
        <w:rPr>
          <w:rFonts w:cs="Arial"/>
        </w:rPr>
      </w:pPr>
      <w:r w:rsidRPr="00D21299">
        <w:rPr>
          <w:rFonts w:cs="Arial"/>
        </w:rPr>
        <w:t xml:space="preserve">ATSDR (2016) </w:t>
      </w:r>
      <w:r w:rsidRPr="00D21299">
        <w:rPr>
          <w:rFonts w:cs="Arial"/>
          <w:i/>
        </w:rPr>
        <w:t>On-line glossary.</w:t>
      </w:r>
      <w:r w:rsidRPr="00D21299">
        <w:rPr>
          <w:rFonts w:cs="Arial"/>
        </w:rPr>
        <w:t xml:space="preserve"> </w:t>
      </w:r>
      <w:r w:rsidR="009E1458" w:rsidRPr="00D21299">
        <w:rPr>
          <w:rFonts w:cs="Arial"/>
        </w:rPr>
        <w:t xml:space="preserve">Agency for Toxic Substances and Disease Registry, Department of </w:t>
      </w:r>
      <w:proofErr w:type="gramStart"/>
      <w:r w:rsidR="009E1458" w:rsidRPr="00D21299">
        <w:rPr>
          <w:rFonts w:cs="Arial"/>
        </w:rPr>
        <w:t>Health</w:t>
      </w:r>
      <w:proofErr w:type="gramEnd"/>
      <w:r w:rsidR="009E1458" w:rsidRPr="00D21299">
        <w:rPr>
          <w:rFonts w:cs="Arial"/>
        </w:rPr>
        <w:t xml:space="preserve"> and Human Services.  </w:t>
      </w:r>
      <w:r w:rsidR="00D21299" w:rsidRPr="00D21299">
        <w:rPr>
          <w:rFonts w:cs="Arial"/>
        </w:rPr>
        <w:t>Available at</w:t>
      </w:r>
      <w:r w:rsidRPr="00D21299">
        <w:rPr>
          <w:rFonts w:cs="Arial"/>
        </w:rPr>
        <w:t xml:space="preserve"> </w:t>
      </w:r>
      <w:hyperlink r:id="rId64" w:history="1">
        <w:r w:rsidRPr="00D21299">
          <w:rPr>
            <w:rStyle w:val="Hyperlink"/>
            <w:rFonts w:cs="Arial"/>
          </w:rPr>
          <w:t>http://www.atsdr.cdc.gov/glossary.html</w:t>
        </w:r>
      </w:hyperlink>
    </w:p>
    <w:p w14:paraId="3BADC1D5" w14:textId="6D3AE050" w:rsidR="000A1C54" w:rsidRPr="00D21299" w:rsidRDefault="00D21299" w:rsidP="001B4150">
      <w:pPr>
        <w:spacing w:after="0"/>
        <w:rPr>
          <w:rFonts w:cs="Arial"/>
        </w:rPr>
      </w:pPr>
      <w:r w:rsidRPr="00D21299">
        <w:rPr>
          <w:rFonts w:cs="Arial"/>
        </w:rPr>
        <w:t>[a</w:t>
      </w:r>
      <w:r w:rsidR="000A1C54" w:rsidRPr="00D21299">
        <w:rPr>
          <w:rFonts w:cs="Arial"/>
        </w:rPr>
        <w:t>ccessed 12 June 2016].</w:t>
      </w:r>
    </w:p>
    <w:p w14:paraId="719855C5" w14:textId="77777777" w:rsidR="001B4150" w:rsidRPr="00C7193D" w:rsidRDefault="001B4150" w:rsidP="001B4150">
      <w:pPr>
        <w:spacing w:after="0"/>
        <w:rPr>
          <w:rFonts w:cs="Arial"/>
          <w:highlight w:val="yellow"/>
        </w:rPr>
      </w:pPr>
    </w:p>
    <w:p w14:paraId="4F198C3E" w14:textId="6ED00F6E" w:rsidR="00616317" w:rsidRPr="00D21299" w:rsidRDefault="00616317" w:rsidP="00616317">
      <w:r w:rsidRPr="00D21299">
        <w:t xml:space="preserve">Baker K (2009) </w:t>
      </w:r>
      <w:r w:rsidR="00807085">
        <w:rPr>
          <w:i/>
        </w:rPr>
        <w:t>The VOCs Handbook: Investigating, Assessing and Managing Risks from Inhalation of VOCs at L</w:t>
      </w:r>
      <w:r w:rsidRPr="00D21299">
        <w:rPr>
          <w:i/>
        </w:rPr>
        <w:t>a</w:t>
      </w:r>
      <w:r w:rsidR="00807085">
        <w:rPr>
          <w:i/>
        </w:rPr>
        <w:t>nd Affected by C</w:t>
      </w:r>
      <w:r w:rsidRPr="00D21299">
        <w:rPr>
          <w:i/>
        </w:rPr>
        <w:t>ontamination.</w:t>
      </w:r>
      <w:r w:rsidRPr="00D21299">
        <w:t xml:space="preserve"> Construction Industry Research and Information Association (CIRIA), London, UK. CIRIA C682.</w:t>
      </w:r>
    </w:p>
    <w:p w14:paraId="0DD1CA25" w14:textId="1896A73B" w:rsidR="00761282" w:rsidRPr="00C4442F" w:rsidRDefault="00761282" w:rsidP="00195B58">
      <w:pPr>
        <w:rPr>
          <w:rFonts w:cs="Arial"/>
        </w:rPr>
      </w:pPr>
      <w:proofErr w:type="spellStart"/>
      <w:r w:rsidRPr="00C4442F">
        <w:rPr>
          <w:rFonts w:cs="Arial"/>
        </w:rPr>
        <w:t>Belkebir</w:t>
      </w:r>
      <w:proofErr w:type="spellEnd"/>
      <w:r w:rsidR="00C4442F">
        <w:rPr>
          <w:rFonts w:cs="Arial"/>
        </w:rPr>
        <w:t>,</w:t>
      </w:r>
      <w:r w:rsidRPr="00C4442F">
        <w:rPr>
          <w:rFonts w:cs="Arial"/>
        </w:rPr>
        <w:t xml:space="preserve"> E, Rousselle</w:t>
      </w:r>
      <w:r w:rsidR="00C4442F">
        <w:rPr>
          <w:rFonts w:cs="Arial"/>
        </w:rPr>
        <w:t>,</w:t>
      </w:r>
      <w:r w:rsidRPr="00C4442F">
        <w:rPr>
          <w:rFonts w:cs="Arial"/>
        </w:rPr>
        <w:t xml:space="preserve"> C, </w:t>
      </w:r>
      <w:proofErr w:type="spellStart"/>
      <w:r w:rsidRPr="00C4442F">
        <w:rPr>
          <w:rFonts w:cs="Arial"/>
        </w:rPr>
        <w:t>Duboudin</w:t>
      </w:r>
      <w:proofErr w:type="spellEnd"/>
      <w:r w:rsidR="00C4442F">
        <w:rPr>
          <w:rFonts w:cs="Arial"/>
        </w:rPr>
        <w:t>,</w:t>
      </w:r>
      <w:r w:rsidRPr="00C4442F">
        <w:rPr>
          <w:rFonts w:cs="Arial"/>
        </w:rPr>
        <w:t xml:space="preserve"> C, </w:t>
      </w:r>
      <w:proofErr w:type="spellStart"/>
      <w:r w:rsidR="00336655" w:rsidRPr="00C4442F">
        <w:rPr>
          <w:rFonts w:cs="Arial"/>
        </w:rPr>
        <w:t>Bodin</w:t>
      </w:r>
      <w:proofErr w:type="spellEnd"/>
      <w:r w:rsidR="00C4442F">
        <w:rPr>
          <w:rFonts w:cs="Arial"/>
        </w:rPr>
        <w:t>,</w:t>
      </w:r>
      <w:r w:rsidR="00336655" w:rsidRPr="00C4442F">
        <w:rPr>
          <w:rFonts w:cs="Arial"/>
        </w:rPr>
        <w:t xml:space="preserve"> L</w:t>
      </w:r>
      <w:r w:rsidR="00C4442F">
        <w:rPr>
          <w:rFonts w:cs="Arial"/>
        </w:rPr>
        <w:t>,</w:t>
      </w:r>
      <w:r w:rsidR="00336655" w:rsidRPr="00C4442F">
        <w:rPr>
          <w:rFonts w:cs="Arial"/>
        </w:rPr>
        <w:t xml:space="preserve"> and </w:t>
      </w:r>
      <w:proofErr w:type="spellStart"/>
      <w:r w:rsidR="00336655" w:rsidRPr="00C4442F">
        <w:rPr>
          <w:rFonts w:cs="Arial"/>
        </w:rPr>
        <w:t>Bonvallot</w:t>
      </w:r>
      <w:proofErr w:type="spellEnd"/>
      <w:r w:rsidR="00C4442F">
        <w:rPr>
          <w:rFonts w:cs="Arial"/>
        </w:rPr>
        <w:t>,</w:t>
      </w:r>
      <w:r w:rsidR="00336655" w:rsidRPr="00C4442F">
        <w:rPr>
          <w:rFonts w:cs="Arial"/>
        </w:rPr>
        <w:t xml:space="preserve"> N (2011) </w:t>
      </w:r>
      <w:r w:rsidRPr="00C4442F">
        <w:rPr>
          <w:rFonts w:cs="Arial"/>
        </w:rPr>
        <w:t xml:space="preserve">Haber’s rule duration adjustments should not be used systemically for risk assessment in public health decision-making.  </w:t>
      </w:r>
      <w:r w:rsidRPr="00C4442F">
        <w:rPr>
          <w:rFonts w:cs="Arial"/>
          <w:i/>
        </w:rPr>
        <w:t>Toxicology Letters 204</w:t>
      </w:r>
      <w:r w:rsidRPr="00C4442F">
        <w:rPr>
          <w:rFonts w:cs="Arial"/>
        </w:rPr>
        <w:t>: 148-155</w:t>
      </w:r>
      <w:r w:rsidR="00C4442F">
        <w:rPr>
          <w:rFonts w:cs="Arial"/>
        </w:rPr>
        <w:t>.</w:t>
      </w:r>
    </w:p>
    <w:p w14:paraId="1AAF8804" w14:textId="6EB44EC8" w:rsidR="0067475E" w:rsidRPr="00C4442F" w:rsidRDefault="00C4442F" w:rsidP="0067475E">
      <w:pPr>
        <w:rPr>
          <w:lang w:val="en" w:eastAsia="en-US"/>
        </w:rPr>
      </w:pPr>
      <w:r>
        <w:rPr>
          <w:lang w:val="nl-NL"/>
        </w:rPr>
        <w:t xml:space="preserve">Van den Berg, R </w:t>
      </w:r>
      <w:r w:rsidR="0067475E" w:rsidRPr="00C4442F">
        <w:rPr>
          <w:lang w:val="nl-NL"/>
        </w:rPr>
        <w:t xml:space="preserve">(1993) </w:t>
      </w:r>
      <w:r w:rsidR="0067475E" w:rsidRPr="00C4442F">
        <w:rPr>
          <w:lang w:val="en"/>
        </w:rPr>
        <w:t xml:space="preserve">Human exposure to contaminated soil: a model (CSOIL) used for assessment of human-toxicological intervention values for soil clean-up. </w:t>
      </w:r>
      <w:r w:rsidR="0067475E" w:rsidRPr="00C4442F">
        <w:rPr>
          <w:lang w:val="nl-NL"/>
        </w:rPr>
        <w:t xml:space="preserve">In: Arendt F, Annokkee GJ, Bosman R, Brink WJ van den, eds. </w:t>
      </w:r>
      <w:r w:rsidR="00807085">
        <w:rPr>
          <w:i/>
          <w:lang w:val="nl-NL"/>
        </w:rPr>
        <w:t>Contaminated S</w:t>
      </w:r>
      <w:r w:rsidR="0067475E" w:rsidRPr="00C4442F">
        <w:rPr>
          <w:i/>
          <w:lang w:val="nl-NL"/>
        </w:rPr>
        <w:t>oil '93.</w:t>
      </w:r>
      <w:r w:rsidR="0067475E" w:rsidRPr="00C4442F">
        <w:rPr>
          <w:lang w:val="nl-NL"/>
        </w:rPr>
        <w:t xml:space="preserve"> Dordrecht: Kluwer, 1993;481-2.</w:t>
      </w:r>
    </w:p>
    <w:p w14:paraId="6BC33B92" w14:textId="648323A3" w:rsidR="000F152A" w:rsidRPr="00C4442F" w:rsidRDefault="000F152A" w:rsidP="000F152A">
      <w:r w:rsidRPr="00C4442F">
        <w:t xml:space="preserve">Bramley-Alves, J, </w:t>
      </w:r>
      <w:proofErr w:type="spellStart"/>
      <w:r w:rsidRPr="00C4442F">
        <w:t>Wasley</w:t>
      </w:r>
      <w:proofErr w:type="spellEnd"/>
      <w:r w:rsidRPr="00C4442F">
        <w:t>, J, King, C, Powell, S, and Robinson, SA (2014) Phytoremediation of hydrocarbon contaminants in sub-</w:t>
      </w:r>
      <w:proofErr w:type="spellStart"/>
      <w:r w:rsidRPr="00C4442F">
        <w:t>antarctic</w:t>
      </w:r>
      <w:proofErr w:type="spellEnd"/>
      <w:r w:rsidRPr="00C4442F">
        <w:t xml:space="preserve"> soils: an effective management option. </w:t>
      </w:r>
      <w:r w:rsidRPr="00C4442F">
        <w:rPr>
          <w:i/>
        </w:rPr>
        <w:t>Journal of Environmental Management</w:t>
      </w:r>
      <w:r w:rsidRPr="00C4442F">
        <w:t>, 142 60-69.</w:t>
      </w:r>
    </w:p>
    <w:p w14:paraId="454DE4F4" w14:textId="4A42EF97" w:rsidR="00382B26" w:rsidRPr="00C4442F" w:rsidRDefault="00382B26" w:rsidP="00FD7F0E">
      <w:r w:rsidRPr="00C4442F">
        <w:t>Burk</w:t>
      </w:r>
      <w:r w:rsidR="00FD7F0E" w:rsidRPr="00C4442F">
        <w:t>, T</w:t>
      </w:r>
      <w:r w:rsidR="00C4442F">
        <w:t>,</w:t>
      </w:r>
      <w:r w:rsidRPr="00C4442F">
        <w:t xml:space="preserve"> and </w:t>
      </w:r>
      <w:proofErr w:type="spellStart"/>
      <w:r w:rsidRPr="00C4442F">
        <w:t>Zarus</w:t>
      </w:r>
      <w:proofErr w:type="spellEnd"/>
      <w:r w:rsidR="00FD7F0E" w:rsidRPr="00C4442F">
        <w:t>, G</w:t>
      </w:r>
      <w:r w:rsidRPr="00C4442F">
        <w:t xml:space="preserve"> (2013) </w:t>
      </w:r>
      <w:r w:rsidR="00FD7F0E" w:rsidRPr="00C4442F">
        <w:t>Community exposures to chemic</w:t>
      </w:r>
      <w:r w:rsidR="00C4442F">
        <w:t>als through vapor intrusion: A review of p</w:t>
      </w:r>
      <w:r w:rsidR="00FD7F0E" w:rsidRPr="00C4442F">
        <w:t xml:space="preserve">ast </w:t>
      </w:r>
      <w:r w:rsidR="00C4442F">
        <w:t>ATSDR public health e</w:t>
      </w:r>
      <w:r w:rsidR="00FD7F0E" w:rsidRPr="00C4442F">
        <w:t xml:space="preserve">valuations. </w:t>
      </w:r>
      <w:r w:rsidRPr="00C4442F">
        <w:rPr>
          <w:i/>
          <w:lang w:val="en" w:eastAsia="en-US"/>
        </w:rPr>
        <w:t>J Env</w:t>
      </w:r>
      <w:r w:rsidR="00FD7F0E" w:rsidRPr="00C4442F">
        <w:rPr>
          <w:i/>
          <w:lang w:val="en" w:eastAsia="en-US"/>
        </w:rPr>
        <w:t xml:space="preserve">iron Health. </w:t>
      </w:r>
      <w:r w:rsidR="00FD7F0E" w:rsidRPr="00C4442F">
        <w:rPr>
          <w:lang w:val="en" w:eastAsia="en-US"/>
        </w:rPr>
        <w:t>May; 75(9): 36–41</w:t>
      </w:r>
      <w:r w:rsidR="00C4442F">
        <w:rPr>
          <w:lang w:val="en" w:eastAsia="en-US"/>
        </w:rPr>
        <w:t>.</w:t>
      </w:r>
    </w:p>
    <w:p w14:paraId="42CEE42F" w14:textId="283085AD" w:rsidR="00B43AF7" w:rsidRDefault="00B43AF7" w:rsidP="00CE67CC">
      <w:r>
        <w:t xml:space="preserve">CARB (2000) </w:t>
      </w:r>
      <w:r w:rsidRPr="00B43AF7">
        <w:rPr>
          <w:i/>
        </w:rPr>
        <w:t>Glossary of Air Pollution Terms.</w:t>
      </w:r>
      <w:r>
        <w:t xml:space="preserve">  Californian Air Resources Board.  Available at </w:t>
      </w:r>
      <w:hyperlink r:id="rId65" w:history="1">
        <w:r w:rsidRPr="00AB5F71">
          <w:rPr>
            <w:rStyle w:val="Hyperlink"/>
          </w:rPr>
          <w:t>https://www.arb.ca.gov/html/gloss.htm</w:t>
        </w:r>
      </w:hyperlink>
      <w:r>
        <w:t xml:space="preserve"> [accessed 25 June 2016].</w:t>
      </w:r>
    </w:p>
    <w:p w14:paraId="642B79FD" w14:textId="47848AD5" w:rsidR="00CE67CC" w:rsidRDefault="00CE67CC" w:rsidP="00CE67CC">
      <w:r>
        <w:t xml:space="preserve">CCME (2006) </w:t>
      </w:r>
      <w:r w:rsidRPr="00727F8F">
        <w:rPr>
          <w:i/>
        </w:rPr>
        <w:t>A Protocol for the Derivation of Environmental and Human Health Soil Quality Guidelines</w:t>
      </w:r>
      <w:r>
        <w:t>. Canadian Council of Ministers of the Environment (CCME), Manitoba.</w:t>
      </w:r>
    </w:p>
    <w:p w14:paraId="1241FB32" w14:textId="77777777" w:rsidR="00CE67CC" w:rsidRDefault="00CE67CC" w:rsidP="00CE67CC">
      <w:r>
        <w:t xml:space="preserve">CCME (2014) </w:t>
      </w:r>
      <w:r w:rsidRPr="00727F8F">
        <w:rPr>
          <w:i/>
        </w:rPr>
        <w:t xml:space="preserve">A Protocol for the Derivation of Soil </w:t>
      </w:r>
      <w:proofErr w:type="spellStart"/>
      <w:r w:rsidRPr="00727F8F">
        <w:rPr>
          <w:i/>
        </w:rPr>
        <w:t>Vapour</w:t>
      </w:r>
      <w:proofErr w:type="spellEnd"/>
      <w:r w:rsidRPr="00727F8F">
        <w:rPr>
          <w:i/>
        </w:rPr>
        <w:t xml:space="preserve"> Quality Guidelines for Protection of Human Exposures via Inhalation of </w:t>
      </w:r>
      <w:proofErr w:type="spellStart"/>
      <w:r w:rsidRPr="00727F8F">
        <w:rPr>
          <w:i/>
        </w:rPr>
        <w:t>Vapours</w:t>
      </w:r>
      <w:proofErr w:type="spellEnd"/>
      <w:r w:rsidRPr="00727F8F">
        <w:rPr>
          <w:i/>
        </w:rPr>
        <w:t>.</w:t>
      </w:r>
      <w:r>
        <w:t xml:space="preserve"> Canadian Council of Ministers of the Environment (CCME), Manitoba.</w:t>
      </w:r>
    </w:p>
    <w:p w14:paraId="7631B9A3" w14:textId="1C6C895B" w:rsidR="00616317" w:rsidRPr="00C4442F" w:rsidRDefault="00616317" w:rsidP="00616317">
      <w:pPr>
        <w:rPr>
          <w:lang w:val="en-GB"/>
        </w:rPr>
      </w:pPr>
      <w:proofErr w:type="gramStart"/>
      <w:r w:rsidRPr="00C4442F">
        <w:t>CL:AIRE</w:t>
      </w:r>
      <w:proofErr w:type="gramEnd"/>
      <w:r w:rsidRPr="00C4442F">
        <w:t xml:space="preserve"> (2012) </w:t>
      </w:r>
      <w:r w:rsidRPr="00C4442F">
        <w:rPr>
          <w:i/>
        </w:rPr>
        <w:t xml:space="preserve">A </w:t>
      </w:r>
      <w:r w:rsidR="00807085">
        <w:rPr>
          <w:i/>
        </w:rPr>
        <w:t>Pragmatic Approach to Ground Gas Risk A</w:t>
      </w:r>
      <w:r w:rsidRPr="00C4442F">
        <w:rPr>
          <w:i/>
        </w:rPr>
        <w:t>ssessment.</w:t>
      </w:r>
      <w:r w:rsidRPr="00C4442F">
        <w:t xml:space="preserve">  </w:t>
      </w:r>
      <w:r w:rsidRPr="00C4442F">
        <w:rPr>
          <w:i/>
        </w:rPr>
        <w:t>Research Bulletin No. 17.</w:t>
      </w:r>
      <w:r w:rsidRPr="00C4442F">
        <w:t xml:space="preserve"> </w:t>
      </w:r>
      <w:r w:rsidRPr="00C4442F">
        <w:rPr>
          <w:lang w:val="en-GB"/>
        </w:rPr>
        <w:t>Contaminated Land: Applications in Real Environments (</w:t>
      </w:r>
      <w:proofErr w:type="gramStart"/>
      <w:r w:rsidRPr="00C4442F">
        <w:rPr>
          <w:lang w:val="en-GB"/>
        </w:rPr>
        <w:t>CL:AIRE</w:t>
      </w:r>
      <w:proofErr w:type="gramEnd"/>
      <w:r w:rsidRPr="00C4442F">
        <w:rPr>
          <w:lang w:val="en-GB"/>
        </w:rPr>
        <w:t>), London, UK.</w:t>
      </w:r>
    </w:p>
    <w:p w14:paraId="7FC26DB5" w14:textId="5DFAAAE5" w:rsidR="00B76A1F" w:rsidRPr="00D21299" w:rsidRDefault="006E6D00" w:rsidP="00D45FA0">
      <w:pPr>
        <w:spacing w:after="0"/>
      </w:pPr>
      <w:proofErr w:type="spellStart"/>
      <w:r w:rsidRPr="00D21299">
        <w:t>Covello</w:t>
      </w:r>
      <w:proofErr w:type="spellEnd"/>
      <w:r w:rsidR="00D21299" w:rsidRPr="00D21299">
        <w:t>,</w:t>
      </w:r>
      <w:r w:rsidRPr="00D21299">
        <w:t xml:space="preserve"> V and </w:t>
      </w:r>
      <w:r w:rsidR="00B76A1F" w:rsidRPr="00D21299">
        <w:t>Allen</w:t>
      </w:r>
      <w:r w:rsidR="00D21299" w:rsidRPr="00D21299">
        <w:t>,</w:t>
      </w:r>
      <w:r w:rsidRPr="00D21299">
        <w:t xml:space="preserve"> F</w:t>
      </w:r>
      <w:r w:rsidR="00C4442F">
        <w:t xml:space="preserve"> (1988)</w:t>
      </w:r>
      <w:r w:rsidR="00B76A1F" w:rsidRPr="00D21299">
        <w:t xml:space="preserve"> </w:t>
      </w:r>
      <w:r w:rsidR="00B76A1F" w:rsidRPr="00D21299">
        <w:rPr>
          <w:rStyle w:val="HTMLCite"/>
          <w:rFonts w:cs="Arial"/>
        </w:rPr>
        <w:t>Seven Cardinal Rules of Risk Communication</w:t>
      </w:r>
      <w:r w:rsidR="00B76A1F" w:rsidRPr="00D21299">
        <w:t>, Washington, D.C.: U.S. Environmental Protection Agency, Office of Policy Analysis.</w:t>
      </w:r>
    </w:p>
    <w:p w14:paraId="0953E0DD" w14:textId="77777777" w:rsidR="00495C74" w:rsidRPr="00C7193D" w:rsidRDefault="00495C74" w:rsidP="00D45FA0">
      <w:pPr>
        <w:spacing w:after="0"/>
        <w:rPr>
          <w:highlight w:val="yellow"/>
        </w:rPr>
      </w:pPr>
    </w:p>
    <w:p w14:paraId="4355351B" w14:textId="2C4A9CAE" w:rsidR="00495C74" w:rsidRPr="00D21299" w:rsidRDefault="00495C74" w:rsidP="00D45FA0">
      <w:pPr>
        <w:spacing w:after="0"/>
      </w:pPr>
      <w:r w:rsidRPr="00D21299">
        <w:t xml:space="preserve">Davis, GB, </w:t>
      </w:r>
      <w:proofErr w:type="spellStart"/>
      <w:r w:rsidRPr="00D21299">
        <w:t>Trefry</w:t>
      </w:r>
      <w:proofErr w:type="spellEnd"/>
      <w:r w:rsidRPr="00D21299">
        <w:t xml:space="preserve">, MG and Patterson, BM (2009) </w:t>
      </w:r>
      <w:r w:rsidR="00807085">
        <w:rPr>
          <w:i/>
        </w:rPr>
        <w:t xml:space="preserve">Petroleum </w:t>
      </w:r>
      <w:proofErr w:type="spellStart"/>
      <w:r w:rsidR="00807085">
        <w:rPr>
          <w:i/>
        </w:rPr>
        <w:t>Vapour</w:t>
      </w:r>
      <w:proofErr w:type="spellEnd"/>
      <w:r w:rsidR="00807085">
        <w:rPr>
          <w:i/>
        </w:rPr>
        <w:t xml:space="preserve"> Model C</w:t>
      </w:r>
      <w:r w:rsidRPr="00D21299">
        <w:rPr>
          <w:i/>
        </w:rPr>
        <w:t>omparison. Technical Report No.9.</w:t>
      </w:r>
      <w:r w:rsidRPr="00D21299">
        <w:t xml:space="preserve"> Cooperative Research Centre for Contamination and Remediation of the Environment (CRC CARE). Adelaide, South Australia.</w:t>
      </w:r>
    </w:p>
    <w:p w14:paraId="61581027" w14:textId="77777777" w:rsidR="00495C74" w:rsidRPr="00C7193D" w:rsidRDefault="00495C74" w:rsidP="00D45FA0">
      <w:pPr>
        <w:spacing w:after="0"/>
        <w:rPr>
          <w:highlight w:val="yellow"/>
        </w:rPr>
      </w:pPr>
    </w:p>
    <w:p w14:paraId="2D6FDAF4" w14:textId="77777777" w:rsidR="004C7696" w:rsidRPr="00C4442F" w:rsidRDefault="004C7696" w:rsidP="004C7696">
      <w:pPr>
        <w:spacing w:after="0"/>
      </w:pPr>
      <w:r w:rsidRPr="00C4442F">
        <w:t xml:space="preserve">DEFRA (2012) </w:t>
      </w:r>
      <w:r w:rsidRPr="00C4442F">
        <w:rPr>
          <w:i/>
        </w:rPr>
        <w:t xml:space="preserve">Environmental Protection Act 1990: Pat 2A.  Contaminated Land Statutory Guidance. </w:t>
      </w:r>
      <w:r w:rsidRPr="00C4442F">
        <w:t>Department for Environment, Food and Rural Affairs, London.</w:t>
      </w:r>
    </w:p>
    <w:p w14:paraId="75443900" w14:textId="77BF1B5F" w:rsidR="004C7696" w:rsidRPr="00C7193D" w:rsidRDefault="004C7696" w:rsidP="004C7696">
      <w:pPr>
        <w:spacing w:after="0"/>
        <w:rPr>
          <w:highlight w:val="yellow"/>
        </w:rPr>
      </w:pPr>
    </w:p>
    <w:p w14:paraId="6C6290D2" w14:textId="77777777" w:rsidR="004C7696" w:rsidRPr="00C7193D" w:rsidRDefault="004C7696" w:rsidP="004C7696">
      <w:pPr>
        <w:spacing w:after="0"/>
        <w:rPr>
          <w:i/>
          <w:highlight w:val="yellow"/>
        </w:rPr>
      </w:pPr>
    </w:p>
    <w:p w14:paraId="67897E11" w14:textId="78D86670" w:rsidR="00841E14" w:rsidRPr="00807085" w:rsidRDefault="00841E14" w:rsidP="00A7347C">
      <w:pPr>
        <w:spacing w:after="0"/>
      </w:pPr>
      <w:r w:rsidRPr="00807085">
        <w:lastRenderedPageBreak/>
        <w:t xml:space="preserve">DEFRA (2014) SP1010 – </w:t>
      </w:r>
      <w:r w:rsidRPr="00807085">
        <w:rPr>
          <w:i/>
        </w:rPr>
        <w:t>Development of Category 4 Screening Levels for Assessment of Land Affected by Contamination.</w:t>
      </w:r>
      <w:r w:rsidRPr="00807085">
        <w:t xml:space="preserve"> Final Project Report (Revision 2). Contaminated Land: Applications in Real Environments, Department for Environment, Food and Rural Affairs, London.</w:t>
      </w:r>
    </w:p>
    <w:p w14:paraId="50E9E1EA" w14:textId="20F9F3D6" w:rsidR="00A7347C" w:rsidRPr="00C7193D" w:rsidRDefault="00A7347C" w:rsidP="00A7347C">
      <w:pPr>
        <w:spacing w:after="0"/>
        <w:rPr>
          <w:highlight w:val="yellow"/>
        </w:rPr>
      </w:pPr>
    </w:p>
    <w:p w14:paraId="377B56E9" w14:textId="25E73D2C" w:rsidR="00511B86" w:rsidRPr="0003011C" w:rsidRDefault="00511B86" w:rsidP="00511B86">
      <w:pPr>
        <w:autoSpaceDE w:val="0"/>
        <w:autoSpaceDN w:val="0"/>
        <w:adjustRightInd w:val="0"/>
        <w:spacing w:after="0" w:line="240" w:lineRule="auto"/>
        <w:rPr>
          <w:rFonts w:cs="Arial"/>
        </w:rPr>
      </w:pPr>
      <w:proofErr w:type="spellStart"/>
      <w:r w:rsidRPr="0003011C">
        <w:rPr>
          <w:rFonts w:cs="Arial"/>
        </w:rPr>
        <w:t>DeVaull</w:t>
      </w:r>
      <w:proofErr w:type="spellEnd"/>
      <w:r w:rsidR="00826700" w:rsidRPr="0003011C">
        <w:rPr>
          <w:rFonts w:cs="Arial"/>
        </w:rPr>
        <w:t>, GE</w:t>
      </w:r>
      <w:r w:rsidRPr="0003011C">
        <w:rPr>
          <w:rFonts w:cs="Arial"/>
        </w:rPr>
        <w:t xml:space="preserve"> </w:t>
      </w:r>
      <w:r w:rsidR="00826700" w:rsidRPr="0003011C">
        <w:rPr>
          <w:rFonts w:cs="Arial"/>
        </w:rPr>
        <w:t>(</w:t>
      </w:r>
      <w:r w:rsidRPr="0003011C">
        <w:rPr>
          <w:rFonts w:cs="Arial"/>
        </w:rPr>
        <w:t>2007</w:t>
      </w:r>
      <w:r w:rsidR="00826700" w:rsidRPr="0003011C">
        <w:rPr>
          <w:rFonts w:cs="Arial"/>
        </w:rPr>
        <w:t xml:space="preserve">) </w:t>
      </w:r>
      <w:r w:rsidRPr="0003011C">
        <w:rPr>
          <w:rFonts w:cs="Arial"/>
        </w:rPr>
        <w:t xml:space="preserve">Indoor vapor intrusion with oxygen-limited biodegradation for a subsurface </w:t>
      </w:r>
      <w:r w:rsidR="00826700" w:rsidRPr="0003011C">
        <w:rPr>
          <w:rFonts w:cs="Arial"/>
        </w:rPr>
        <w:t>gasoline source.</w:t>
      </w:r>
      <w:r w:rsidRPr="0003011C">
        <w:rPr>
          <w:rFonts w:cs="Arial"/>
        </w:rPr>
        <w:t xml:space="preserve"> </w:t>
      </w:r>
      <w:r w:rsidRPr="0003011C">
        <w:rPr>
          <w:rFonts w:cs="Arial"/>
          <w:i/>
          <w:iCs/>
        </w:rPr>
        <w:t>Environmental Science and Technology</w:t>
      </w:r>
      <w:r w:rsidR="0003011C">
        <w:rPr>
          <w:rFonts w:cs="Arial"/>
          <w:i/>
          <w:iCs/>
        </w:rPr>
        <w:t>,</w:t>
      </w:r>
      <w:r w:rsidRPr="0003011C">
        <w:rPr>
          <w:rFonts w:cs="Arial"/>
          <w:i/>
          <w:iCs/>
        </w:rPr>
        <w:t xml:space="preserve"> </w:t>
      </w:r>
      <w:r w:rsidRPr="0003011C">
        <w:rPr>
          <w:rFonts w:cs="Arial"/>
        </w:rPr>
        <w:t>41 (9): 3241–3248.</w:t>
      </w:r>
    </w:p>
    <w:p w14:paraId="1E279FC8" w14:textId="77777777" w:rsidR="00511B86" w:rsidRPr="00C7193D" w:rsidRDefault="00511B86" w:rsidP="007B1FD1">
      <w:pPr>
        <w:spacing w:after="0"/>
        <w:rPr>
          <w:highlight w:val="yellow"/>
        </w:rPr>
      </w:pPr>
    </w:p>
    <w:p w14:paraId="37565965" w14:textId="3C3A333A" w:rsidR="007B1FD1" w:rsidRPr="00807085" w:rsidRDefault="007B1FD1" w:rsidP="007B1FD1">
      <w:pPr>
        <w:spacing w:after="0"/>
      </w:pPr>
      <w:r w:rsidRPr="00807085">
        <w:t xml:space="preserve">DHHS (2008a) </w:t>
      </w:r>
      <w:r w:rsidRPr="00807085">
        <w:rPr>
          <w:i/>
        </w:rPr>
        <w:t>DHHS Memorandum from Divisional Director, DHAC (MS F59) to all DHAC staff, 6 February 2008.</w:t>
      </w:r>
      <w:r w:rsidRPr="00807085">
        <w:t xml:space="preserve">  Available at </w:t>
      </w:r>
      <w:hyperlink r:id="rId66" w:history="1">
        <w:r w:rsidRPr="00807085">
          <w:rPr>
            <w:rStyle w:val="Hyperlink"/>
          </w:rPr>
          <w:t>http://www.atsdr.cdc.gov/publications_sites.html</w:t>
        </w:r>
      </w:hyperlink>
      <w:r w:rsidR="00807085">
        <w:t>. [a</w:t>
      </w:r>
      <w:r w:rsidRPr="00807085">
        <w:t>ccessed 25 June 2016].</w:t>
      </w:r>
    </w:p>
    <w:p w14:paraId="33958783" w14:textId="77777777" w:rsidR="007B1FD1" w:rsidRPr="00C7193D" w:rsidRDefault="007B1FD1" w:rsidP="00A7347C">
      <w:pPr>
        <w:spacing w:after="0"/>
        <w:rPr>
          <w:highlight w:val="yellow"/>
        </w:rPr>
      </w:pPr>
    </w:p>
    <w:p w14:paraId="300C25B2" w14:textId="02F8CA9F" w:rsidR="00A7347C" w:rsidRPr="00807085" w:rsidRDefault="00A7347C" w:rsidP="00A7347C">
      <w:pPr>
        <w:spacing w:after="0"/>
      </w:pPr>
      <w:r w:rsidRPr="00807085">
        <w:t>DHHS (2008</w:t>
      </w:r>
      <w:r w:rsidR="007B1FD1" w:rsidRPr="00807085">
        <w:t>b</w:t>
      </w:r>
      <w:r w:rsidRPr="00807085">
        <w:t xml:space="preserve">) </w:t>
      </w:r>
      <w:r w:rsidRPr="00807085">
        <w:rPr>
          <w:i/>
        </w:rPr>
        <w:t>Evaluating Vapor Intrusion Pathways at Hazardous Waste Sites.</w:t>
      </w:r>
      <w:r w:rsidR="007B1FD1" w:rsidRPr="00807085">
        <w:t xml:space="preserve"> Available at </w:t>
      </w:r>
      <w:hyperlink r:id="rId67" w:history="1">
        <w:r w:rsidR="007B1FD1" w:rsidRPr="00807085">
          <w:rPr>
            <w:rStyle w:val="Hyperlink"/>
          </w:rPr>
          <w:t>http://www.atsdr.cdc.gov/publications_sites.html</w:t>
        </w:r>
      </w:hyperlink>
      <w:r w:rsidR="00807085">
        <w:t>. [a</w:t>
      </w:r>
      <w:r w:rsidR="007B1FD1" w:rsidRPr="00807085">
        <w:t>ccessed 25 June 2016].</w:t>
      </w:r>
    </w:p>
    <w:p w14:paraId="6DFAC2F0" w14:textId="77777777" w:rsidR="00A7347C" w:rsidRPr="00C7193D" w:rsidRDefault="00A7347C" w:rsidP="00F37070">
      <w:pPr>
        <w:spacing w:after="0"/>
        <w:rPr>
          <w:highlight w:val="yellow"/>
        </w:rPr>
      </w:pPr>
    </w:p>
    <w:p w14:paraId="3B0075AA" w14:textId="01F90AD1" w:rsidR="00F37070" w:rsidRPr="00807085" w:rsidRDefault="004A289E" w:rsidP="00F37070">
      <w:pPr>
        <w:spacing w:after="0"/>
      </w:pPr>
      <w:r w:rsidRPr="00807085">
        <w:t>DOP</w:t>
      </w:r>
      <w:r w:rsidR="00F37070" w:rsidRPr="00807085">
        <w:t xml:space="preserve"> </w:t>
      </w:r>
      <w:r w:rsidR="00807085">
        <w:t>(</w:t>
      </w:r>
      <w:r w:rsidR="00F37070" w:rsidRPr="00807085">
        <w:t>2011</w:t>
      </w:r>
      <w:r w:rsidR="00807085">
        <w:t>)</w:t>
      </w:r>
      <w:r w:rsidR="00F37070" w:rsidRPr="00807085">
        <w:t xml:space="preserve"> </w:t>
      </w:r>
      <w:r w:rsidR="00807085">
        <w:rPr>
          <w:i/>
        </w:rPr>
        <w:t>Assessment G</w:t>
      </w:r>
      <w:r w:rsidR="00F37070" w:rsidRPr="00807085">
        <w:rPr>
          <w:i/>
        </w:rPr>
        <w:t>uidelin</w:t>
      </w:r>
      <w:r w:rsidR="00807085">
        <w:rPr>
          <w:i/>
        </w:rPr>
        <w:t>e – Multi-level Risk A</w:t>
      </w:r>
      <w:r w:rsidR="00807085" w:rsidRPr="00807085">
        <w:rPr>
          <w:i/>
        </w:rPr>
        <w:t>ssessment.</w:t>
      </w:r>
      <w:r w:rsidR="00F37070" w:rsidRPr="00807085">
        <w:t xml:space="preserve"> NSW Department of</w:t>
      </w:r>
    </w:p>
    <w:p w14:paraId="0F272FA6" w14:textId="5ACFF144" w:rsidR="00F37070" w:rsidRPr="00807085" w:rsidRDefault="00F37070" w:rsidP="004A289E">
      <w:pPr>
        <w:spacing w:after="0"/>
      </w:pPr>
      <w:r w:rsidRPr="00807085">
        <w:t>Planning</w:t>
      </w:r>
      <w:r w:rsidR="004A289E" w:rsidRPr="00807085">
        <w:t xml:space="preserve"> (now, Department of Planning and Infrastructure)</w:t>
      </w:r>
      <w:r w:rsidRPr="00807085">
        <w:t xml:space="preserve">, Sydney, NSW, available at </w:t>
      </w:r>
      <w:hyperlink r:id="rId68" w:history="1">
        <w:r w:rsidR="004A289E" w:rsidRPr="00807085">
          <w:rPr>
            <w:rStyle w:val="Hyperlink"/>
          </w:rPr>
          <w:t>http://www.planning.nsw.gov.au/~/media/Files/DPE/Guidelines/assessment-guideline-multi-level-risk-assessment-2011-05.ashx</w:t>
        </w:r>
      </w:hyperlink>
      <w:r w:rsidR="00807085">
        <w:t xml:space="preserve"> [a</w:t>
      </w:r>
      <w:r w:rsidR="004A289E" w:rsidRPr="00807085">
        <w:t>ccessed 30 June 2016]</w:t>
      </w:r>
    </w:p>
    <w:p w14:paraId="2478A970" w14:textId="77777777" w:rsidR="004A289E" w:rsidRPr="00C7193D" w:rsidRDefault="004A289E" w:rsidP="004A289E">
      <w:pPr>
        <w:spacing w:after="0"/>
        <w:rPr>
          <w:highlight w:val="yellow"/>
        </w:rPr>
      </w:pPr>
    </w:p>
    <w:p w14:paraId="12E31DB2" w14:textId="7E8CCCCC" w:rsidR="00B458D0" w:rsidRPr="00807085" w:rsidRDefault="00B458D0" w:rsidP="00B458D0">
      <w:r w:rsidRPr="00807085">
        <w:t>DTSC (2015</w:t>
      </w:r>
      <w:r w:rsidR="00807085">
        <w:t>a</w:t>
      </w:r>
      <w:r w:rsidRPr="00807085">
        <w:t xml:space="preserve">) </w:t>
      </w:r>
      <w:r w:rsidRPr="00807085">
        <w:rPr>
          <w:i/>
        </w:rPr>
        <w:t xml:space="preserve">Advisory Active Soil Gas Investigations. </w:t>
      </w:r>
      <w:r w:rsidRPr="00807085">
        <w:t xml:space="preserve"> Department of Toxic Substances, California Environment Protection Agency, California, USA.</w:t>
      </w:r>
    </w:p>
    <w:p w14:paraId="2DF6F4AE" w14:textId="733755DD" w:rsidR="00B458D0" w:rsidRPr="00807085" w:rsidRDefault="00B458D0" w:rsidP="00B458D0">
      <w:r w:rsidRPr="00807085">
        <w:t>DTSC (2015</w:t>
      </w:r>
      <w:r w:rsidR="00807085">
        <w:t>b</w:t>
      </w:r>
      <w:r w:rsidRPr="00807085">
        <w:t xml:space="preserve">) </w:t>
      </w:r>
      <w:r w:rsidRPr="00807085">
        <w:rPr>
          <w:i/>
        </w:rPr>
        <w:t>Guidance for the Evaluation and Mitigation of Sub-surface Vapor Intrusion to Indoor Air (Vapor Intrusion Guidance).</w:t>
      </w:r>
      <w:r w:rsidRPr="00807085">
        <w:t xml:space="preserve">  Department of Toxic Substances, California Environment Protection Agency, California, USA.</w:t>
      </w:r>
    </w:p>
    <w:p w14:paraId="2561CB80" w14:textId="56FBFA67" w:rsidR="00D45FA0" w:rsidRPr="00807085" w:rsidRDefault="00D45FA0" w:rsidP="00A7347C">
      <w:pPr>
        <w:spacing w:after="0"/>
      </w:pPr>
      <w:r w:rsidRPr="00807085">
        <w:t>EA (2002</w:t>
      </w:r>
      <w:r w:rsidR="00D03561" w:rsidRPr="00807085">
        <w:t>a</w:t>
      </w:r>
      <w:r w:rsidR="00807085">
        <w:t>)</w:t>
      </w:r>
      <w:r w:rsidRPr="00807085">
        <w:t xml:space="preserve"> </w:t>
      </w:r>
      <w:r w:rsidRPr="00807085">
        <w:rPr>
          <w:i/>
        </w:rPr>
        <w:t>The Contaminated Land Exposure Assessment (CLEA) Model: Technical Basis and</w:t>
      </w:r>
      <w:r w:rsidR="00D03561" w:rsidRPr="00807085">
        <w:rPr>
          <w:i/>
        </w:rPr>
        <w:t xml:space="preserve"> </w:t>
      </w:r>
      <w:r w:rsidRPr="00807085">
        <w:rPr>
          <w:i/>
        </w:rPr>
        <w:t>Algorithms.</w:t>
      </w:r>
      <w:r w:rsidRPr="00807085">
        <w:t xml:space="preserve"> Bristol, United Kingdom: The Environment Agency (EA), Department of</w:t>
      </w:r>
    </w:p>
    <w:p w14:paraId="33C8B2CF" w14:textId="77777777" w:rsidR="00D45FA0" w:rsidRPr="00807085" w:rsidRDefault="00D45FA0" w:rsidP="00A7347C">
      <w:pPr>
        <w:spacing w:after="0"/>
      </w:pPr>
      <w:r w:rsidRPr="00807085">
        <w:t>Environment, Food and Rural Affairs.</w:t>
      </w:r>
    </w:p>
    <w:p w14:paraId="05BFB633" w14:textId="77777777" w:rsidR="00616317" w:rsidRPr="00C7193D" w:rsidRDefault="00616317" w:rsidP="00A7347C">
      <w:pPr>
        <w:spacing w:after="0"/>
        <w:rPr>
          <w:highlight w:val="yellow"/>
        </w:rPr>
      </w:pPr>
    </w:p>
    <w:p w14:paraId="3DF98115" w14:textId="4ADD3626" w:rsidR="00D03561" w:rsidRPr="00807085" w:rsidRDefault="00D03561" w:rsidP="00D03561">
      <w:r w:rsidRPr="00807085">
        <w:rPr>
          <w:bCs/>
        </w:rPr>
        <w:t>EA (2002b)</w:t>
      </w:r>
      <w:r w:rsidRPr="00807085">
        <w:rPr>
          <w:b/>
          <w:bCs/>
        </w:rPr>
        <w:t xml:space="preserve"> </w:t>
      </w:r>
      <w:r w:rsidR="00807085">
        <w:rPr>
          <w:i/>
        </w:rPr>
        <w:t>Investigation of the Composition, Emissions and Effects of Trace C</w:t>
      </w:r>
      <w:r w:rsidRPr="00807085">
        <w:rPr>
          <w:i/>
        </w:rPr>
        <w:t>omponen</w:t>
      </w:r>
      <w:r w:rsidR="00807085">
        <w:rPr>
          <w:i/>
        </w:rPr>
        <w:t>ts in Landfill G</w:t>
      </w:r>
      <w:r w:rsidRPr="00807085">
        <w:rPr>
          <w:i/>
        </w:rPr>
        <w:t>as.</w:t>
      </w:r>
      <w:r w:rsidRPr="00807085">
        <w:t xml:space="preserve"> R&amp;D Technical Report P1-438/TR, Environment Agency, Bristol.</w:t>
      </w:r>
    </w:p>
    <w:p w14:paraId="3B96711C" w14:textId="729B1B5B" w:rsidR="00616317" w:rsidRPr="00807085" w:rsidRDefault="00616317" w:rsidP="00616317">
      <w:pPr>
        <w:spacing w:after="0"/>
      </w:pPr>
      <w:r w:rsidRPr="00807085">
        <w:t>EA (2004</w:t>
      </w:r>
      <w:r w:rsidR="00E54C79" w:rsidRPr="00807085">
        <w:t>a</w:t>
      </w:r>
      <w:r w:rsidRPr="00807085">
        <w:t xml:space="preserve">) </w:t>
      </w:r>
      <w:r w:rsidR="00807085">
        <w:rPr>
          <w:i/>
        </w:rPr>
        <w:t>Guidance on the Management of Landfill G</w:t>
      </w:r>
      <w:r w:rsidRPr="00807085">
        <w:rPr>
          <w:i/>
        </w:rPr>
        <w:t xml:space="preserve">as. Landfill Directive. </w:t>
      </w:r>
      <w:r w:rsidRPr="00807085">
        <w:t xml:space="preserve">  Environment Agency/Scottish Environment Agency, Bristol, UK. LFTGN 03.</w:t>
      </w:r>
    </w:p>
    <w:p w14:paraId="6BE2A9CD" w14:textId="77777777" w:rsidR="00F8623F" w:rsidRPr="00C7193D" w:rsidRDefault="00F8623F" w:rsidP="00616317">
      <w:pPr>
        <w:spacing w:after="0"/>
        <w:rPr>
          <w:highlight w:val="yellow"/>
        </w:rPr>
      </w:pPr>
    </w:p>
    <w:p w14:paraId="65D83C73" w14:textId="0DA7DD9F" w:rsidR="00616317" w:rsidRPr="00807085" w:rsidRDefault="00616317" w:rsidP="00616317">
      <w:pPr>
        <w:spacing w:after="0"/>
      </w:pPr>
      <w:r w:rsidRPr="00807085">
        <w:t>EA (2004</w:t>
      </w:r>
      <w:r w:rsidR="00E54C79" w:rsidRPr="00807085">
        <w:t>b</w:t>
      </w:r>
      <w:r w:rsidR="00807085">
        <w:t xml:space="preserve">) </w:t>
      </w:r>
      <w:r w:rsidR="00807085" w:rsidRPr="00807085">
        <w:rPr>
          <w:i/>
        </w:rPr>
        <w:t>Environment A</w:t>
      </w:r>
      <w:r w:rsidRPr="00807085">
        <w:rPr>
          <w:i/>
        </w:rPr>
        <w:t>ge</w:t>
      </w:r>
      <w:r w:rsidR="00807085">
        <w:rPr>
          <w:i/>
        </w:rPr>
        <w:t>ncy Guidance on Assessment of Risks from Landfill S</w:t>
      </w:r>
      <w:r w:rsidRPr="00807085">
        <w:rPr>
          <w:i/>
        </w:rPr>
        <w:t>ites.  External consultation Version 1.0.</w:t>
      </w:r>
      <w:r w:rsidRPr="00807085">
        <w:t xml:space="preserve">  Environment Agency, Bristol, UK.  </w:t>
      </w:r>
    </w:p>
    <w:p w14:paraId="459DE614" w14:textId="77777777" w:rsidR="00616317" w:rsidRPr="00C7193D" w:rsidRDefault="00616317" w:rsidP="00616317">
      <w:pPr>
        <w:spacing w:after="0"/>
        <w:rPr>
          <w:highlight w:val="yellow"/>
        </w:rPr>
      </w:pPr>
    </w:p>
    <w:p w14:paraId="29E984B8" w14:textId="76FD9A9E" w:rsidR="00D45FA0" w:rsidRPr="00807085" w:rsidRDefault="00D45FA0" w:rsidP="00616317">
      <w:pPr>
        <w:spacing w:after="0"/>
      </w:pPr>
      <w:r w:rsidRPr="00807085">
        <w:t>EA (2009</w:t>
      </w:r>
      <w:r w:rsidR="00C85579" w:rsidRPr="00807085">
        <w:t>a</w:t>
      </w:r>
      <w:r w:rsidRPr="00807085">
        <w:t xml:space="preserve">) </w:t>
      </w:r>
      <w:r w:rsidR="00807085">
        <w:rPr>
          <w:i/>
        </w:rPr>
        <w:t>Human Health Toxicological Assessment of Contaminants in S</w:t>
      </w:r>
      <w:r w:rsidRPr="00807085">
        <w:rPr>
          <w:i/>
        </w:rPr>
        <w:t>oil.</w:t>
      </w:r>
      <w:r w:rsidRPr="00807085">
        <w:t xml:space="preserve">  Environment Agency, Bristol. Science Report – Final SC050021/SR2.</w:t>
      </w:r>
    </w:p>
    <w:p w14:paraId="6E998F6B" w14:textId="77777777" w:rsidR="00D45FA0" w:rsidRPr="00C7193D" w:rsidRDefault="00D45FA0" w:rsidP="00616317">
      <w:pPr>
        <w:spacing w:after="0"/>
        <w:rPr>
          <w:highlight w:val="yellow"/>
        </w:rPr>
      </w:pPr>
    </w:p>
    <w:p w14:paraId="2614EDD2" w14:textId="27219908" w:rsidR="00D45FA0" w:rsidRPr="00807085" w:rsidRDefault="00D45FA0" w:rsidP="00D45FA0">
      <w:r w:rsidRPr="00807085">
        <w:t>EA (2009</w:t>
      </w:r>
      <w:r w:rsidR="00C85579" w:rsidRPr="00807085">
        <w:t>b</w:t>
      </w:r>
      <w:r w:rsidRPr="00807085">
        <w:t xml:space="preserve">) </w:t>
      </w:r>
      <w:r w:rsidR="00807085">
        <w:rPr>
          <w:i/>
        </w:rPr>
        <w:t>Updated Technical B</w:t>
      </w:r>
      <w:r w:rsidRPr="00807085">
        <w:rPr>
          <w:i/>
        </w:rPr>
        <w:t>ackground to the CLEA model.</w:t>
      </w:r>
      <w:r w:rsidRPr="00807085">
        <w:t xml:space="preserve"> Environment Agency, Bristol. Science report SC050021/SR3.</w:t>
      </w:r>
    </w:p>
    <w:p w14:paraId="61E19CBE" w14:textId="28B469E6" w:rsidR="00841E14" w:rsidRPr="00807085" w:rsidRDefault="00841E14" w:rsidP="00841E14">
      <w:r w:rsidRPr="00807085">
        <w:lastRenderedPageBreak/>
        <w:t>EA (2009</w:t>
      </w:r>
      <w:r w:rsidR="00C85579" w:rsidRPr="00807085">
        <w:t>c</w:t>
      </w:r>
      <w:r w:rsidRPr="00807085">
        <w:t xml:space="preserve">) </w:t>
      </w:r>
      <w:r w:rsidRPr="00807085">
        <w:rPr>
          <w:i/>
        </w:rPr>
        <w:t>Using Soil Guideline Values.</w:t>
      </w:r>
      <w:r w:rsidRPr="00807085">
        <w:t xml:space="preserve"> Environment Agency, Bristol. </w:t>
      </w:r>
      <w:r w:rsidR="00807085">
        <w:t>Science R</w:t>
      </w:r>
      <w:r w:rsidRPr="00807085">
        <w:t>eport: SC050021/SGV.</w:t>
      </w:r>
    </w:p>
    <w:p w14:paraId="7C1BC787" w14:textId="30225D2E" w:rsidR="00616317" w:rsidRPr="00807085" w:rsidRDefault="00616317" w:rsidP="00616317">
      <w:r w:rsidRPr="00807085">
        <w:t xml:space="preserve">EA (2010) </w:t>
      </w:r>
      <w:r w:rsidR="00807085">
        <w:rPr>
          <w:i/>
        </w:rPr>
        <w:t>Guidance for Monitoring Trace Components in Landfill G</w:t>
      </w:r>
      <w:r w:rsidRPr="00807085">
        <w:rPr>
          <w:i/>
        </w:rPr>
        <w:t>as.</w:t>
      </w:r>
      <w:r w:rsidRPr="00807085">
        <w:t xml:space="preserve">   Environment Agency Wales, Bristol, UK. LFTGN 04v3.0.</w:t>
      </w:r>
    </w:p>
    <w:p w14:paraId="1F547646" w14:textId="3E901EA8" w:rsidR="00616317" w:rsidRPr="00CF66E8" w:rsidRDefault="00616317" w:rsidP="00616317">
      <w:r w:rsidRPr="00CF66E8">
        <w:t>EA (2012</w:t>
      </w:r>
      <w:r w:rsidR="00C85579" w:rsidRPr="00CF66E8">
        <w:t>a</w:t>
      </w:r>
      <w:r w:rsidR="00CF66E8">
        <w:rPr>
          <w:i/>
        </w:rPr>
        <w:t>) Exposure Assessment of Landfill Sites. Volume 1: Main R</w:t>
      </w:r>
      <w:r w:rsidRPr="00CF66E8">
        <w:rPr>
          <w:i/>
        </w:rPr>
        <w:t xml:space="preserve">eport. </w:t>
      </w:r>
      <w:r w:rsidRPr="00CF66E8">
        <w:t>Environment Agency, Bristol, UK. Report: P1-396/R.</w:t>
      </w:r>
    </w:p>
    <w:p w14:paraId="124BF7FF" w14:textId="3139BF4C" w:rsidR="00616317" w:rsidRPr="00CF66E8" w:rsidRDefault="00616317" w:rsidP="00616317">
      <w:r w:rsidRPr="00CF66E8">
        <w:t>EA (2012</w:t>
      </w:r>
      <w:r w:rsidR="00C85579" w:rsidRPr="00CF66E8">
        <w:t>b</w:t>
      </w:r>
      <w:r w:rsidR="00CF66E8">
        <w:rPr>
          <w:i/>
        </w:rPr>
        <w:t>) Exposure Assessment of L</w:t>
      </w:r>
      <w:r w:rsidRPr="00CF66E8">
        <w:rPr>
          <w:i/>
        </w:rPr>
        <w:t>an</w:t>
      </w:r>
      <w:r w:rsidR="00CF66E8">
        <w:rPr>
          <w:i/>
        </w:rPr>
        <w:t>dfill S</w:t>
      </w:r>
      <w:r w:rsidRPr="00CF66E8">
        <w:rPr>
          <w:i/>
        </w:rPr>
        <w:t xml:space="preserve">ites. Volume 2: Appendices. </w:t>
      </w:r>
      <w:r w:rsidRPr="00CF66E8">
        <w:t>Environment Agency, Bristol, UK. Report: P1-396/R.</w:t>
      </w:r>
    </w:p>
    <w:p w14:paraId="2224B3EE" w14:textId="34C2CE0F" w:rsidR="00616317" w:rsidRPr="00CF66E8" w:rsidRDefault="00616317" w:rsidP="00616317">
      <w:r w:rsidRPr="00CF66E8">
        <w:t xml:space="preserve">EA (2014) </w:t>
      </w:r>
      <w:r w:rsidR="00CF66E8">
        <w:rPr>
          <w:i/>
        </w:rPr>
        <w:t>Briefing Note.  Continuous Monitoring on Landfill S</w:t>
      </w:r>
      <w:r w:rsidRPr="00CF66E8">
        <w:rPr>
          <w:i/>
        </w:rPr>
        <w:t>ites.</w:t>
      </w:r>
      <w:r w:rsidRPr="00CF66E8">
        <w:t xml:space="preserve">  Environment Agency, Bristol, UK.  </w:t>
      </w:r>
    </w:p>
    <w:p w14:paraId="13F9B8F5" w14:textId="32A03700" w:rsidR="00841E14" w:rsidRPr="00CF66E8" w:rsidRDefault="00841E14" w:rsidP="00841E14">
      <w:r w:rsidRPr="00CF66E8">
        <w:t xml:space="preserve">EA (2015) </w:t>
      </w:r>
      <w:r w:rsidRPr="00CF66E8">
        <w:rPr>
          <w:i/>
        </w:rPr>
        <w:t>CLEA Software (Version 1.05) Handbook.</w:t>
      </w:r>
      <w:r w:rsidRPr="00CF66E8">
        <w:t xml:space="preserve"> Environment Agency, Bristol. Science report: SC050021/SR4.</w:t>
      </w:r>
    </w:p>
    <w:p w14:paraId="6632BA7D" w14:textId="0EEE45AC" w:rsidR="00841E14" w:rsidRPr="00CF66E8" w:rsidRDefault="00841E14" w:rsidP="00841E14">
      <w:r w:rsidRPr="00CF66E8">
        <w:t xml:space="preserve">EA (2016) </w:t>
      </w:r>
      <w:r w:rsidR="00CF66E8">
        <w:rPr>
          <w:i/>
          <w:lang w:val="en"/>
        </w:rPr>
        <w:t>Managing and Reducing Land Contamination: Guiding P</w:t>
      </w:r>
      <w:r w:rsidRPr="00CF66E8">
        <w:rPr>
          <w:i/>
          <w:lang w:val="en"/>
        </w:rPr>
        <w:t xml:space="preserve">rinciples (GPLC). </w:t>
      </w:r>
      <w:r w:rsidRPr="00CF66E8">
        <w:rPr>
          <w:lang w:val="en"/>
        </w:rPr>
        <w:t>Envi</w:t>
      </w:r>
      <w:r w:rsidR="00CF66E8">
        <w:rPr>
          <w:lang w:val="en"/>
        </w:rPr>
        <w:t>ronment Agency, UK.  Available at</w:t>
      </w:r>
      <w:r w:rsidRPr="00CF66E8">
        <w:rPr>
          <w:lang w:val="en"/>
        </w:rPr>
        <w:t xml:space="preserve"> </w:t>
      </w:r>
      <w:hyperlink r:id="rId69" w:history="1">
        <w:r w:rsidRPr="00CF66E8">
          <w:rPr>
            <w:rStyle w:val="Hyperlink"/>
            <w:lang w:val="en"/>
          </w:rPr>
          <w:t>https://www.gov.uk/government/publications/managing-and-reducing-land-contamination</w:t>
        </w:r>
      </w:hyperlink>
      <w:r w:rsidR="00CF66E8">
        <w:rPr>
          <w:lang w:val="en"/>
        </w:rPr>
        <w:t>.  [a</w:t>
      </w:r>
      <w:r w:rsidRPr="00CF66E8">
        <w:rPr>
          <w:lang w:val="en"/>
        </w:rPr>
        <w:t>ccessed 23 June 2016].</w:t>
      </w:r>
    </w:p>
    <w:p w14:paraId="0A43048E" w14:textId="0AC551E0" w:rsidR="001D392A" w:rsidRPr="00CF66E8" w:rsidRDefault="00E76084" w:rsidP="00D45FA0">
      <w:pPr>
        <w:spacing w:after="0"/>
      </w:pPr>
      <w:r w:rsidRPr="00CF66E8">
        <w:t xml:space="preserve">EEA (2015) </w:t>
      </w:r>
      <w:r w:rsidRPr="00CF66E8">
        <w:rPr>
          <w:i/>
        </w:rPr>
        <w:t>The Eur</w:t>
      </w:r>
      <w:r w:rsidR="00CF66E8">
        <w:rPr>
          <w:i/>
        </w:rPr>
        <w:t>opean Environment Agency.  Who We Are, What We Do and How We Do I</w:t>
      </w:r>
      <w:r w:rsidRPr="00CF66E8">
        <w:rPr>
          <w:i/>
        </w:rPr>
        <w:t>t.</w:t>
      </w:r>
      <w:r w:rsidRPr="00CF66E8">
        <w:t xml:space="preserve"> The European Environment Agency, Copenhagen</w:t>
      </w:r>
      <w:r w:rsidR="001D392A" w:rsidRPr="00CF66E8">
        <w:t xml:space="preserve">. </w:t>
      </w:r>
      <w:r w:rsidRPr="00CF66E8">
        <w:t>TH-01-15-053-EN-N doi:10.2800/471334</w:t>
      </w:r>
      <w:r w:rsidR="001D392A" w:rsidRPr="00CF66E8">
        <w:t>.</w:t>
      </w:r>
    </w:p>
    <w:p w14:paraId="742159D4" w14:textId="77777777" w:rsidR="001D392A" w:rsidRPr="00C7193D" w:rsidRDefault="001D392A" w:rsidP="00D45FA0">
      <w:pPr>
        <w:spacing w:after="0"/>
        <w:rPr>
          <w:rFonts w:cs="Open Sans"/>
          <w:color w:val="000000"/>
          <w:sz w:val="16"/>
          <w:szCs w:val="16"/>
          <w:highlight w:val="yellow"/>
        </w:rPr>
      </w:pPr>
    </w:p>
    <w:p w14:paraId="70514DE6" w14:textId="791C27A6" w:rsidR="00665D37" w:rsidRPr="00CF66E8" w:rsidRDefault="00CF66E8" w:rsidP="00D45FA0">
      <w:pPr>
        <w:spacing w:after="0"/>
      </w:pPr>
      <w:r>
        <w:t>enHealth (2012a)</w:t>
      </w:r>
      <w:r w:rsidR="00665D37" w:rsidRPr="00CF66E8">
        <w:t xml:space="preserve"> </w:t>
      </w:r>
      <w:r>
        <w:rPr>
          <w:i/>
        </w:rPr>
        <w:t>Environmental Health Risk Assessment. Guidelines for Assessing Human Health Risks from Environmental H</w:t>
      </w:r>
      <w:r w:rsidR="00665D37" w:rsidRPr="00CF66E8">
        <w:rPr>
          <w:i/>
        </w:rPr>
        <w:t>azards</w:t>
      </w:r>
      <w:r w:rsidR="00665D37" w:rsidRPr="00CF66E8">
        <w:t xml:space="preserve">, enHealth Subcommittee (enHealth) of the Australian Health Protection Principal Committee, Canberra, Australia. </w:t>
      </w:r>
    </w:p>
    <w:p w14:paraId="0BA4CF18" w14:textId="77777777" w:rsidR="00D45FA0" w:rsidRPr="00C7193D" w:rsidRDefault="00D45FA0" w:rsidP="00D45FA0">
      <w:pPr>
        <w:spacing w:after="0"/>
        <w:rPr>
          <w:highlight w:val="yellow"/>
        </w:rPr>
      </w:pPr>
    </w:p>
    <w:p w14:paraId="27B72153" w14:textId="0A594BCB" w:rsidR="00665D37" w:rsidRPr="00CF66E8" w:rsidRDefault="00665D37" w:rsidP="002E4BD6">
      <w:pPr>
        <w:spacing w:after="0"/>
      </w:pPr>
      <w:r w:rsidRPr="00CF66E8">
        <w:t xml:space="preserve">enHealth (2012b), </w:t>
      </w:r>
      <w:r w:rsidR="00CF66E8">
        <w:rPr>
          <w:i/>
        </w:rPr>
        <w:t>Australian Exposure Factors G</w:t>
      </w:r>
      <w:r w:rsidRPr="00CF66E8">
        <w:rPr>
          <w:i/>
        </w:rPr>
        <w:t>uidance</w:t>
      </w:r>
      <w:r w:rsidRPr="00CF66E8">
        <w:t>, Environmental Health Subcommittee (enHealth) of the Australian Health Protection Principal Committee, Canberra, Australia.</w:t>
      </w:r>
    </w:p>
    <w:p w14:paraId="3ED6820B" w14:textId="77777777" w:rsidR="00D45FA0" w:rsidRPr="00C7193D" w:rsidRDefault="00D45FA0" w:rsidP="002E4BD6">
      <w:pPr>
        <w:spacing w:after="0"/>
        <w:rPr>
          <w:highlight w:val="yellow"/>
        </w:rPr>
      </w:pPr>
    </w:p>
    <w:p w14:paraId="35346C5E" w14:textId="6570D7D7" w:rsidR="002E4BD6" w:rsidRPr="006871A2" w:rsidRDefault="002E4BD6" w:rsidP="002E4BD6">
      <w:pPr>
        <w:spacing w:after="0"/>
      </w:pPr>
      <w:r w:rsidRPr="006871A2">
        <w:t>Evans,</w:t>
      </w:r>
      <w:r w:rsidR="006871A2">
        <w:t xml:space="preserve"> D,</w:t>
      </w:r>
      <w:r w:rsidRPr="006871A2">
        <w:t xml:space="preserve"> Hers</w:t>
      </w:r>
      <w:r w:rsidR="00CF66E8">
        <w:t>, I, Wolters, RM, Boddington, RT</w:t>
      </w:r>
      <w:r w:rsidRPr="006871A2">
        <w:t xml:space="preserve">B, and Hall, DH (2002) </w:t>
      </w:r>
      <w:proofErr w:type="spellStart"/>
      <w:r w:rsidR="006871A2" w:rsidRPr="006871A2">
        <w:rPr>
          <w:i/>
          <w:iCs/>
        </w:rPr>
        <w:t>Vapour</w:t>
      </w:r>
      <w:proofErr w:type="spellEnd"/>
      <w:r w:rsidR="006871A2" w:rsidRPr="006871A2">
        <w:rPr>
          <w:i/>
          <w:iCs/>
        </w:rPr>
        <w:t xml:space="preserve"> Transfer of Soil C</w:t>
      </w:r>
      <w:r w:rsidRPr="006871A2">
        <w:rPr>
          <w:i/>
          <w:iCs/>
        </w:rPr>
        <w:t>ontaminants</w:t>
      </w:r>
      <w:r w:rsidR="006871A2" w:rsidRPr="006871A2">
        <w:t>. R</w:t>
      </w:r>
      <w:r w:rsidR="00807085">
        <w:t>&amp;D</w:t>
      </w:r>
      <w:r w:rsidR="006871A2" w:rsidRPr="006871A2">
        <w:t xml:space="preserve"> Technical R</w:t>
      </w:r>
      <w:r w:rsidRPr="006871A2">
        <w:t>eport P5-018/TR. Almondsbury, Bristol, UK: Environment Agency.</w:t>
      </w:r>
    </w:p>
    <w:p w14:paraId="5605BC3C" w14:textId="77777777" w:rsidR="002E4BD6" w:rsidRPr="00C7193D" w:rsidRDefault="002E4BD6" w:rsidP="002E4BD6">
      <w:pPr>
        <w:spacing w:after="0"/>
        <w:rPr>
          <w:highlight w:val="yellow"/>
        </w:rPr>
      </w:pPr>
    </w:p>
    <w:p w14:paraId="51CB9B09" w14:textId="2570F452" w:rsidR="00FA611A" w:rsidRPr="006871A2" w:rsidRDefault="00FA611A" w:rsidP="001F26B5">
      <w:pPr>
        <w:spacing w:after="0"/>
      </w:pPr>
      <w:r w:rsidRPr="006871A2">
        <w:t>Ferguson</w:t>
      </w:r>
      <w:r w:rsidR="006871A2" w:rsidRPr="006871A2">
        <w:t>,</w:t>
      </w:r>
      <w:r w:rsidRPr="006871A2">
        <w:t xml:space="preserve"> C, </w:t>
      </w:r>
      <w:proofErr w:type="spellStart"/>
      <w:r w:rsidRPr="006871A2">
        <w:t>Darmendrail</w:t>
      </w:r>
      <w:proofErr w:type="spellEnd"/>
      <w:r w:rsidRPr="006871A2">
        <w:t xml:space="preserve">, D, </w:t>
      </w:r>
      <w:proofErr w:type="spellStart"/>
      <w:r w:rsidRPr="006871A2">
        <w:t>Freier</w:t>
      </w:r>
      <w:proofErr w:type="spellEnd"/>
      <w:r w:rsidRPr="006871A2">
        <w:t xml:space="preserve">, K, Jensen, BK, Jensen, J, </w:t>
      </w:r>
      <w:proofErr w:type="spellStart"/>
      <w:r w:rsidRPr="006871A2">
        <w:t>Kasamas</w:t>
      </w:r>
      <w:proofErr w:type="spellEnd"/>
      <w:r w:rsidRPr="006871A2">
        <w:t xml:space="preserve">, H, </w:t>
      </w:r>
      <w:proofErr w:type="spellStart"/>
      <w:r w:rsidRPr="006871A2">
        <w:t>Urzelai</w:t>
      </w:r>
      <w:proofErr w:type="spellEnd"/>
      <w:r w:rsidRPr="006871A2">
        <w:t xml:space="preserve">, A. and </w:t>
      </w:r>
      <w:proofErr w:type="spellStart"/>
      <w:r w:rsidRPr="006871A2">
        <w:t>Vegter</w:t>
      </w:r>
      <w:proofErr w:type="spellEnd"/>
      <w:r w:rsidRPr="006871A2">
        <w:t xml:space="preserve">, J. (Eds) (1998) </w:t>
      </w:r>
      <w:r w:rsidRPr="00CF66E8">
        <w:rPr>
          <w:i/>
        </w:rPr>
        <w:t>Risk Assessment for Contaminated Sites in Europe. Volume 1. Scientific Basis.</w:t>
      </w:r>
      <w:r w:rsidRPr="006871A2">
        <w:t xml:space="preserve"> LQM Press, Nottingham.</w:t>
      </w:r>
    </w:p>
    <w:p w14:paraId="10A71B42" w14:textId="77777777" w:rsidR="00841E14" w:rsidRPr="00C7193D" w:rsidRDefault="00841E14" w:rsidP="001F26B5">
      <w:pPr>
        <w:spacing w:after="0"/>
        <w:rPr>
          <w:rFonts w:cs="Arial"/>
          <w:highlight w:val="yellow"/>
        </w:rPr>
      </w:pPr>
    </w:p>
    <w:p w14:paraId="115841FA" w14:textId="133FFC13" w:rsidR="00F800D9" w:rsidRPr="006871A2" w:rsidRDefault="00F800D9" w:rsidP="001F26B5">
      <w:pPr>
        <w:spacing w:after="0"/>
      </w:pPr>
      <w:proofErr w:type="spellStart"/>
      <w:r w:rsidRPr="006871A2">
        <w:t>Filipsson</w:t>
      </w:r>
      <w:proofErr w:type="spellEnd"/>
      <w:r w:rsidR="006871A2">
        <w:t>,</w:t>
      </w:r>
      <w:r w:rsidRPr="006871A2">
        <w:t xml:space="preserve"> AF, Sand</w:t>
      </w:r>
      <w:r w:rsidR="006871A2" w:rsidRPr="006871A2">
        <w:t>,</w:t>
      </w:r>
      <w:r w:rsidRPr="006871A2">
        <w:t xml:space="preserve"> S, Nilsson</w:t>
      </w:r>
      <w:r w:rsidR="006871A2" w:rsidRPr="006871A2">
        <w:t>,</w:t>
      </w:r>
      <w:r w:rsidRPr="006871A2">
        <w:t xml:space="preserve"> J and </w:t>
      </w:r>
      <w:proofErr w:type="spellStart"/>
      <w:r w:rsidRPr="006871A2">
        <w:t>Victorin</w:t>
      </w:r>
      <w:proofErr w:type="spellEnd"/>
      <w:r w:rsidR="006871A2" w:rsidRPr="006871A2">
        <w:t>,</w:t>
      </w:r>
      <w:r w:rsidR="006871A2">
        <w:t xml:space="preserve"> K (2003) </w:t>
      </w:r>
      <w:r w:rsidRPr="006871A2">
        <w:t xml:space="preserve">The benchmark dose method – review of available models, and recommendations for application in health risk assessment.  </w:t>
      </w:r>
      <w:r w:rsidRPr="006871A2">
        <w:rPr>
          <w:i/>
        </w:rPr>
        <w:t>Crit</w:t>
      </w:r>
      <w:r w:rsidR="006871A2">
        <w:rPr>
          <w:i/>
        </w:rPr>
        <w:t>ical</w:t>
      </w:r>
      <w:r w:rsidRPr="006871A2">
        <w:rPr>
          <w:i/>
        </w:rPr>
        <w:t xml:space="preserve"> Rev</w:t>
      </w:r>
      <w:r w:rsidR="006871A2">
        <w:rPr>
          <w:i/>
        </w:rPr>
        <w:t>iews in</w:t>
      </w:r>
      <w:r w:rsidRPr="006871A2">
        <w:rPr>
          <w:i/>
        </w:rPr>
        <w:t xml:space="preserve"> Toxicol</w:t>
      </w:r>
      <w:r w:rsidR="006871A2">
        <w:rPr>
          <w:i/>
        </w:rPr>
        <w:t>ogy</w:t>
      </w:r>
      <w:r w:rsidR="006871A2">
        <w:t>,</w:t>
      </w:r>
      <w:r w:rsidRPr="006871A2">
        <w:t xml:space="preserve"> 33(5): 505-42.</w:t>
      </w:r>
    </w:p>
    <w:p w14:paraId="7E8ED869" w14:textId="77777777" w:rsidR="00F800D9" w:rsidRPr="00C7193D" w:rsidRDefault="00F800D9" w:rsidP="001F26B5">
      <w:pPr>
        <w:spacing w:after="0"/>
        <w:rPr>
          <w:highlight w:val="yellow"/>
        </w:rPr>
      </w:pPr>
    </w:p>
    <w:p w14:paraId="4D663812" w14:textId="0E417511" w:rsidR="001F26B5" w:rsidRPr="00CF66E8" w:rsidRDefault="00CF66E8" w:rsidP="001F26B5">
      <w:pPr>
        <w:spacing w:after="0"/>
        <w:rPr>
          <w:rFonts w:cs="Arial"/>
        </w:rPr>
      </w:pPr>
      <w:r>
        <w:t>Fisher, BE</w:t>
      </w:r>
      <w:r w:rsidR="001F26B5" w:rsidRPr="00CF66E8">
        <w:t>A,</w:t>
      </w:r>
      <w:r>
        <w:t xml:space="preserve"> Ireland, MP, </w:t>
      </w:r>
      <w:proofErr w:type="spellStart"/>
      <w:r>
        <w:t>Boyland</w:t>
      </w:r>
      <w:proofErr w:type="spellEnd"/>
      <w:r>
        <w:t>, DT</w:t>
      </w:r>
      <w:r w:rsidR="001F26B5" w:rsidRPr="00CF66E8">
        <w:t xml:space="preserve">, </w:t>
      </w:r>
      <w:r>
        <w:t>and Critten, SP</w:t>
      </w:r>
      <w:r w:rsidR="001F26B5" w:rsidRPr="00CF66E8">
        <w:t xml:space="preserve"> (2002). Why use one model? An approach for encompassing model uncertainty and improving best practice. </w:t>
      </w:r>
      <w:r w:rsidR="001F26B5" w:rsidRPr="00CF66E8">
        <w:rPr>
          <w:i/>
        </w:rPr>
        <w:t xml:space="preserve">Environmental </w:t>
      </w:r>
      <w:r w:rsidR="008911CD" w:rsidRPr="00CF66E8">
        <w:rPr>
          <w:i/>
        </w:rPr>
        <w:t>Modelling</w:t>
      </w:r>
      <w:r w:rsidR="001F26B5" w:rsidRPr="00CF66E8">
        <w:rPr>
          <w:i/>
        </w:rPr>
        <w:t xml:space="preserve"> and Assessment</w:t>
      </w:r>
      <w:r w:rsidR="001F26B5" w:rsidRPr="00CF66E8">
        <w:t xml:space="preserve">, 7, 291-299. </w:t>
      </w:r>
    </w:p>
    <w:p w14:paraId="43C7B11F" w14:textId="77777777" w:rsidR="001F26B5" w:rsidRPr="00C7193D" w:rsidRDefault="001F26B5" w:rsidP="001F26B5">
      <w:pPr>
        <w:spacing w:after="0"/>
        <w:rPr>
          <w:rFonts w:cs="Arial"/>
          <w:highlight w:val="yellow"/>
        </w:rPr>
      </w:pPr>
    </w:p>
    <w:p w14:paraId="7214F0BA" w14:textId="012270A7" w:rsidR="002B5AB1" w:rsidRPr="00CF66E8" w:rsidRDefault="006E6D00" w:rsidP="001F26B5">
      <w:pPr>
        <w:spacing w:after="0"/>
        <w:rPr>
          <w:rFonts w:cs="Arial"/>
        </w:rPr>
      </w:pPr>
      <w:proofErr w:type="spellStart"/>
      <w:r w:rsidRPr="00CF66E8">
        <w:rPr>
          <w:rFonts w:cs="Arial"/>
        </w:rPr>
        <w:lastRenderedPageBreak/>
        <w:t>Forand</w:t>
      </w:r>
      <w:proofErr w:type="spellEnd"/>
      <w:r w:rsidR="00CF66E8">
        <w:rPr>
          <w:rFonts w:cs="Arial"/>
        </w:rPr>
        <w:t>,</w:t>
      </w:r>
      <w:r w:rsidR="002B5AB1" w:rsidRPr="00CF66E8">
        <w:rPr>
          <w:rFonts w:cs="Arial"/>
        </w:rPr>
        <w:t xml:space="preserve"> SP, Lewis-</w:t>
      </w:r>
      <w:proofErr w:type="spellStart"/>
      <w:r w:rsidR="002B5AB1" w:rsidRPr="00CF66E8">
        <w:rPr>
          <w:rFonts w:cs="Arial"/>
        </w:rPr>
        <w:t>Michl</w:t>
      </w:r>
      <w:proofErr w:type="spellEnd"/>
      <w:r w:rsidR="00CF66E8">
        <w:rPr>
          <w:rFonts w:cs="Arial"/>
        </w:rPr>
        <w:t>,</w:t>
      </w:r>
      <w:r w:rsidR="002B5AB1" w:rsidRPr="00CF66E8">
        <w:rPr>
          <w:rFonts w:cs="Arial"/>
        </w:rPr>
        <w:t xml:space="preserve"> EL</w:t>
      </w:r>
      <w:r w:rsidR="00CF66E8">
        <w:rPr>
          <w:rFonts w:cs="Arial"/>
        </w:rPr>
        <w:t>,</w:t>
      </w:r>
      <w:r w:rsidR="002B5AB1" w:rsidRPr="00CF66E8">
        <w:rPr>
          <w:rFonts w:cs="Arial"/>
        </w:rPr>
        <w:t xml:space="preserve"> and Gomez</w:t>
      </w:r>
      <w:r w:rsidR="00CF66E8">
        <w:rPr>
          <w:rFonts w:cs="Arial"/>
        </w:rPr>
        <w:t>, MI (2012) Adverse birth o</w:t>
      </w:r>
      <w:r w:rsidR="002B5AB1" w:rsidRPr="00CF66E8">
        <w:rPr>
          <w:rFonts w:cs="Arial"/>
        </w:rPr>
        <w:t>utcomes</w:t>
      </w:r>
      <w:r w:rsidR="00CF66E8">
        <w:rPr>
          <w:rFonts w:cs="Arial"/>
        </w:rPr>
        <w:t xml:space="preserve"> and maternal exposure to trichloroethylene and t</w:t>
      </w:r>
      <w:r w:rsidR="002B5AB1" w:rsidRPr="00CF66E8">
        <w:rPr>
          <w:rFonts w:cs="Arial"/>
        </w:rPr>
        <w:t xml:space="preserve">etrachloroethylene through soil </w:t>
      </w:r>
      <w:proofErr w:type="spellStart"/>
      <w:r w:rsidR="002B5AB1" w:rsidRPr="00CF66E8">
        <w:rPr>
          <w:rFonts w:cs="Arial"/>
        </w:rPr>
        <w:t>vapour</w:t>
      </w:r>
      <w:proofErr w:type="spellEnd"/>
      <w:r w:rsidR="002B5AB1" w:rsidRPr="00CF66E8">
        <w:rPr>
          <w:rFonts w:cs="Arial"/>
        </w:rPr>
        <w:t xml:space="preserve"> intrusion in New York State</w:t>
      </w:r>
      <w:r w:rsidR="002B5AB1" w:rsidRPr="00CF66E8">
        <w:rPr>
          <w:rFonts w:cs="Arial"/>
          <w:b/>
          <w:i/>
        </w:rPr>
        <w:t xml:space="preserve">. </w:t>
      </w:r>
      <w:r w:rsidR="002B5AB1" w:rsidRPr="00CF66E8">
        <w:rPr>
          <w:rFonts w:cs="Arial"/>
          <w:i/>
        </w:rPr>
        <w:t>Environment Health Perspectives</w:t>
      </w:r>
      <w:r w:rsidR="002B5AB1" w:rsidRPr="00CF66E8">
        <w:rPr>
          <w:rFonts w:cs="Arial"/>
        </w:rPr>
        <w:t xml:space="preserve"> </w:t>
      </w:r>
      <w:r w:rsidR="002B5AB1" w:rsidRPr="00CF66E8">
        <w:rPr>
          <w:rFonts w:cs="Arial"/>
          <w:i/>
        </w:rPr>
        <w:t>120</w:t>
      </w:r>
      <w:r w:rsidR="002B5AB1" w:rsidRPr="00CF66E8">
        <w:rPr>
          <w:rFonts w:cs="Arial"/>
        </w:rPr>
        <w:t>, (4): 616-621.</w:t>
      </w:r>
    </w:p>
    <w:p w14:paraId="4ADC0A94" w14:textId="77777777" w:rsidR="001F26B5" w:rsidRPr="00C7193D" w:rsidRDefault="001F26B5" w:rsidP="001F26B5">
      <w:pPr>
        <w:spacing w:after="0"/>
        <w:rPr>
          <w:rFonts w:cs="Arial"/>
          <w:highlight w:val="yellow"/>
        </w:rPr>
      </w:pPr>
    </w:p>
    <w:p w14:paraId="22DCEEA3" w14:textId="04B04450" w:rsidR="001B4150" w:rsidRPr="00BA1F7C" w:rsidRDefault="001B4150" w:rsidP="001B4150">
      <w:r w:rsidRPr="00BA1F7C">
        <w:t>Ginsberg</w:t>
      </w:r>
      <w:r w:rsidR="00BA1F7C" w:rsidRPr="00BA1F7C">
        <w:t>,</w:t>
      </w:r>
      <w:r w:rsidRPr="00BA1F7C">
        <w:t xml:space="preserve"> GL, </w:t>
      </w:r>
      <w:proofErr w:type="spellStart"/>
      <w:r w:rsidRPr="00BA1F7C">
        <w:t>Asgharian</w:t>
      </w:r>
      <w:proofErr w:type="spellEnd"/>
      <w:r w:rsidR="00BA1F7C" w:rsidRPr="00BA1F7C">
        <w:t>,</w:t>
      </w:r>
      <w:r w:rsidRPr="00BA1F7C">
        <w:t xml:space="preserve"> B, Kimbell, </w:t>
      </w:r>
      <w:r w:rsidR="00D73C5D">
        <w:t xml:space="preserve">JS, </w:t>
      </w:r>
      <w:proofErr w:type="spellStart"/>
      <w:r w:rsidR="00D73C5D">
        <w:t>Ultman</w:t>
      </w:r>
      <w:proofErr w:type="spellEnd"/>
      <w:r w:rsidR="00D73C5D">
        <w:t xml:space="preserve">, JS, and </w:t>
      </w:r>
      <w:proofErr w:type="spellStart"/>
      <w:r w:rsidR="00D73C5D">
        <w:t>Jarabek</w:t>
      </w:r>
      <w:proofErr w:type="spellEnd"/>
      <w:r w:rsidR="00D73C5D">
        <w:t xml:space="preserve">, </w:t>
      </w:r>
      <w:proofErr w:type="gramStart"/>
      <w:r w:rsidR="00D73C5D">
        <w:t>AM</w:t>
      </w:r>
      <w:r w:rsidRPr="00BA1F7C">
        <w:t xml:space="preserve">  (</w:t>
      </w:r>
      <w:proofErr w:type="gramEnd"/>
      <w:r w:rsidRPr="00BA1F7C">
        <w:t>2008)</w:t>
      </w:r>
      <w:r w:rsidR="00BA1F7C">
        <w:t xml:space="preserve"> </w:t>
      </w:r>
      <w:r w:rsidR="008911CD" w:rsidRPr="00BA1F7C">
        <w:t>Modelling</w:t>
      </w:r>
      <w:r w:rsidRPr="00BA1F7C">
        <w:t xml:space="preserve"> approaches for estimating the dosimetry of inhaled toxicants in children. </w:t>
      </w:r>
      <w:r w:rsidRPr="00BA1F7C">
        <w:rPr>
          <w:i/>
          <w:iCs/>
          <w:lang w:val="en-AU" w:eastAsia="en-AU"/>
        </w:rPr>
        <w:t>J</w:t>
      </w:r>
      <w:r w:rsidR="00CF66E8">
        <w:rPr>
          <w:i/>
          <w:iCs/>
          <w:lang w:val="en-AU" w:eastAsia="en-AU"/>
        </w:rPr>
        <w:t>ournal of</w:t>
      </w:r>
      <w:r w:rsidRPr="00BA1F7C">
        <w:rPr>
          <w:i/>
          <w:iCs/>
          <w:lang w:val="en-AU" w:eastAsia="en-AU"/>
        </w:rPr>
        <w:t xml:space="preserve"> Toxicol</w:t>
      </w:r>
      <w:r w:rsidR="00CF66E8">
        <w:rPr>
          <w:i/>
          <w:iCs/>
          <w:lang w:val="en-AU" w:eastAsia="en-AU"/>
        </w:rPr>
        <w:t>ogy and</w:t>
      </w:r>
      <w:r w:rsidRPr="00BA1F7C">
        <w:rPr>
          <w:i/>
          <w:iCs/>
          <w:lang w:val="en-AU" w:eastAsia="en-AU"/>
        </w:rPr>
        <w:t xml:space="preserve"> Environ</w:t>
      </w:r>
      <w:r w:rsidR="00CF66E8">
        <w:rPr>
          <w:i/>
          <w:iCs/>
          <w:lang w:val="en-AU" w:eastAsia="en-AU"/>
        </w:rPr>
        <w:t>mental</w:t>
      </w:r>
      <w:r w:rsidRPr="00BA1F7C">
        <w:rPr>
          <w:iCs/>
          <w:lang w:val="en-AU" w:eastAsia="en-AU"/>
        </w:rPr>
        <w:t xml:space="preserve"> </w:t>
      </w:r>
      <w:r w:rsidRPr="00CF66E8">
        <w:rPr>
          <w:i/>
          <w:iCs/>
          <w:lang w:val="en-AU" w:eastAsia="en-AU"/>
        </w:rPr>
        <w:t>Health</w:t>
      </w:r>
      <w:r w:rsidRPr="00BA1F7C">
        <w:t>, Part A, 71: 166-195.</w:t>
      </w:r>
    </w:p>
    <w:p w14:paraId="77CD5DF3" w14:textId="3889835B" w:rsidR="002A372F" w:rsidRPr="006871A2" w:rsidRDefault="002A372F" w:rsidP="00195B58">
      <w:pPr>
        <w:rPr>
          <w:rFonts w:cs="Arial"/>
          <w:lang w:val="en-AU" w:eastAsia="en-AU"/>
        </w:rPr>
      </w:pPr>
      <w:proofErr w:type="spellStart"/>
      <w:r w:rsidRPr="006871A2">
        <w:rPr>
          <w:rFonts w:cs="Arial"/>
          <w:lang w:val="en-AU" w:eastAsia="en-AU"/>
        </w:rPr>
        <w:t>Grassman</w:t>
      </w:r>
      <w:proofErr w:type="spellEnd"/>
      <w:r w:rsidR="006871A2" w:rsidRPr="006871A2">
        <w:rPr>
          <w:rFonts w:cs="Arial"/>
          <w:lang w:val="en-AU" w:eastAsia="en-AU"/>
        </w:rPr>
        <w:t>,</w:t>
      </w:r>
      <w:r w:rsidRPr="006871A2">
        <w:rPr>
          <w:rFonts w:cs="Arial"/>
          <w:lang w:val="en-AU" w:eastAsia="en-AU"/>
        </w:rPr>
        <w:t xml:space="preserve"> JA, Kimmel, CA and Neumann</w:t>
      </w:r>
      <w:r w:rsidR="006871A2" w:rsidRPr="006871A2">
        <w:rPr>
          <w:rFonts w:cs="Arial"/>
          <w:lang w:val="en-AU" w:eastAsia="en-AU"/>
        </w:rPr>
        <w:t>,</w:t>
      </w:r>
      <w:r w:rsidRPr="006871A2">
        <w:rPr>
          <w:rFonts w:cs="Arial"/>
          <w:lang w:val="en-AU" w:eastAsia="en-AU"/>
        </w:rPr>
        <w:t xml:space="preserve"> DA (1998) Accounting for Variability in Responsiveness in Human Health Risk Assessment.  In: Neumann DA and Kimmel (Eds). </w:t>
      </w:r>
      <w:r w:rsidRPr="006871A2">
        <w:rPr>
          <w:rFonts w:cs="Arial"/>
          <w:i/>
          <w:lang w:val="en-AU" w:eastAsia="en-AU"/>
        </w:rPr>
        <w:t xml:space="preserve">Human Variability in response to </w:t>
      </w:r>
      <w:r w:rsidR="00D73C5D">
        <w:rPr>
          <w:rFonts w:cs="Arial"/>
          <w:i/>
          <w:lang w:val="en-AU" w:eastAsia="en-AU"/>
        </w:rPr>
        <w:t>Chemical Exposures.  Measures, Modelling and Risk A</w:t>
      </w:r>
      <w:r w:rsidRPr="006871A2">
        <w:rPr>
          <w:rFonts w:cs="Arial"/>
          <w:i/>
          <w:lang w:val="en-AU" w:eastAsia="en-AU"/>
        </w:rPr>
        <w:t xml:space="preserve">ssessment. </w:t>
      </w:r>
      <w:r w:rsidRPr="006871A2">
        <w:rPr>
          <w:rFonts w:cs="Arial"/>
          <w:lang w:val="en-AU" w:eastAsia="en-AU"/>
        </w:rPr>
        <w:t>International Life Sci</w:t>
      </w:r>
      <w:r w:rsidR="006871A2" w:rsidRPr="006871A2">
        <w:rPr>
          <w:rFonts w:cs="Arial"/>
          <w:lang w:val="en-AU" w:eastAsia="en-AU"/>
        </w:rPr>
        <w:t>ences Institute, Washington DC,</w:t>
      </w:r>
      <w:r w:rsidRPr="006871A2">
        <w:rPr>
          <w:rFonts w:cs="Arial"/>
          <w:lang w:val="en-AU" w:eastAsia="en-AU"/>
        </w:rPr>
        <w:t xml:space="preserve"> pp1-26.</w:t>
      </w:r>
    </w:p>
    <w:p w14:paraId="3A37EB64" w14:textId="04735007" w:rsidR="00CE67CC" w:rsidRDefault="00CE67CC" w:rsidP="00CE67CC">
      <w:r>
        <w:t xml:space="preserve">Health Canada (2010a) </w:t>
      </w:r>
      <w:r w:rsidR="006871A2">
        <w:rPr>
          <w:i/>
        </w:rPr>
        <w:t>Federal Contaminated Sites Risk Assessment in Canada Part I: G</w:t>
      </w:r>
      <w:r w:rsidRPr="00CE67CC">
        <w:rPr>
          <w:i/>
        </w:rPr>
        <w:t>ui</w:t>
      </w:r>
      <w:r w:rsidR="006871A2">
        <w:rPr>
          <w:i/>
        </w:rPr>
        <w:t>dance on Human Health Preliminary Q</w:t>
      </w:r>
      <w:r w:rsidRPr="00CE67CC">
        <w:rPr>
          <w:i/>
        </w:rPr>
        <w:t>uant</w:t>
      </w:r>
      <w:r w:rsidR="006871A2">
        <w:rPr>
          <w:i/>
        </w:rPr>
        <w:t>itative Risk A</w:t>
      </w:r>
      <w:r w:rsidRPr="00CE67CC">
        <w:rPr>
          <w:i/>
        </w:rPr>
        <w:t xml:space="preserve">ssessment </w:t>
      </w:r>
      <w:r>
        <w:t>(PQRA). Health Canada, Ontario.</w:t>
      </w:r>
    </w:p>
    <w:p w14:paraId="110FFAAE" w14:textId="77777777" w:rsidR="00727F8F" w:rsidRDefault="00727F8F" w:rsidP="00727F8F">
      <w:r>
        <w:t xml:space="preserve">Health Canada (2010b) </w:t>
      </w:r>
      <w:r w:rsidRPr="00727F8F">
        <w:rPr>
          <w:i/>
        </w:rPr>
        <w:t>Federal Contaminated Sites Risk Assessment in Canada Part II: Health Canada Toxicological Reference Values (TRVs)</w:t>
      </w:r>
      <w:r>
        <w:t>. Health Canada, Ontario.</w:t>
      </w:r>
    </w:p>
    <w:p w14:paraId="2D10ABA5" w14:textId="77777777" w:rsidR="00727F8F" w:rsidRDefault="00727F8F" w:rsidP="00727F8F">
      <w:r>
        <w:t xml:space="preserve">Health Canada (2010c) </w:t>
      </w:r>
      <w:r w:rsidRPr="00727F8F">
        <w:rPr>
          <w:i/>
        </w:rPr>
        <w:t>Federal Contaminated Sites Risk Assessment in Canada Part V: Guidance on Human Health Detailed Quantitative Risk Assessment of Chemicals (</w:t>
      </w:r>
      <w:proofErr w:type="spellStart"/>
      <w:r w:rsidRPr="00727F8F">
        <w:rPr>
          <w:i/>
        </w:rPr>
        <w:t>DQRAchem</w:t>
      </w:r>
      <w:proofErr w:type="spellEnd"/>
      <w:r w:rsidRPr="00727F8F">
        <w:rPr>
          <w:i/>
        </w:rPr>
        <w:t>).</w:t>
      </w:r>
      <w:r w:rsidRPr="00EF431C">
        <w:t xml:space="preserve"> </w:t>
      </w:r>
      <w:r>
        <w:t>Health Canada, Ontario.</w:t>
      </w:r>
    </w:p>
    <w:p w14:paraId="001723EC" w14:textId="77777777" w:rsidR="00727F8F" w:rsidRDefault="00727F8F" w:rsidP="00727F8F">
      <w:r>
        <w:t xml:space="preserve">Health Canada (2010d) </w:t>
      </w:r>
      <w:r w:rsidRPr="00727F8F">
        <w:rPr>
          <w:i/>
        </w:rPr>
        <w:t xml:space="preserve">Federal Contaminated Sites Risk Assessment in Canada Part VII: Guidance for Soil </w:t>
      </w:r>
      <w:proofErr w:type="spellStart"/>
      <w:r w:rsidRPr="00727F8F">
        <w:rPr>
          <w:i/>
        </w:rPr>
        <w:t>Vapour</w:t>
      </w:r>
      <w:proofErr w:type="spellEnd"/>
      <w:r w:rsidRPr="00727F8F">
        <w:rPr>
          <w:i/>
        </w:rPr>
        <w:t xml:space="preserve"> Intrusion Assessment at Contaminated Sites.</w:t>
      </w:r>
      <w:r>
        <w:t xml:space="preserve"> Health Canada, Ontario.</w:t>
      </w:r>
    </w:p>
    <w:p w14:paraId="58C8D40F" w14:textId="420FBD56" w:rsidR="006E6D00" w:rsidRPr="00CE67CC" w:rsidRDefault="006E6D00" w:rsidP="00195B58">
      <w:pPr>
        <w:rPr>
          <w:rFonts w:cs="Arial"/>
          <w:lang w:val="en-AU" w:eastAsia="en-AU"/>
        </w:rPr>
      </w:pPr>
      <w:r w:rsidRPr="00CE67CC">
        <w:rPr>
          <w:rFonts w:cs="Arial"/>
          <w:lang w:val="en-AU" w:eastAsia="en-AU"/>
        </w:rPr>
        <w:t>Heath</w:t>
      </w:r>
      <w:r w:rsidR="00CE67CC">
        <w:rPr>
          <w:rFonts w:cs="Arial"/>
          <w:lang w:val="en-AU" w:eastAsia="en-AU"/>
        </w:rPr>
        <w:t>,</w:t>
      </w:r>
      <w:r w:rsidRPr="00CE67CC">
        <w:rPr>
          <w:rFonts w:cs="Arial"/>
          <w:lang w:val="en-AU" w:eastAsia="en-AU"/>
        </w:rPr>
        <w:t xml:space="preserve"> L, Pollard</w:t>
      </w:r>
      <w:r w:rsidR="00CE67CC">
        <w:rPr>
          <w:rFonts w:cs="Arial"/>
          <w:lang w:val="en-AU" w:eastAsia="en-AU"/>
        </w:rPr>
        <w:t>,</w:t>
      </w:r>
      <w:r w:rsidRPr="00CE67CC">
        <w:rPr>
          <w:rFonts w:cs="Arial"/>
          <w:lang w:val="en-AU" w:eastAsia="en-AU"/>
        </w:rPr>
        <w:t xml:space="preserve"> S, </w:t>
      </w:r>
      <w:proofErr w:type="spellStart"/>
      <w:r w:rsidRPr="00CE67CC">
        <w:rPr>
          <w:rFonts w:cs="Arial"/>
          <w:lang w:val="en-AU" w:eastAsia="en-AU"/>
        </w:rPr>
        <w:t>Hrudey</w:t>
      </w:r>
      <w:proofErr w:type="spellEnd"/>
      <w:r w:rsidR="00D73C5D">
        <w:rPr>
          <w:rFonts w:cs="Arial"/>
          <w:lang w:val="en-AU" w:eastAsia="en-AU"/>
        </w:rPr>
        <w:t xml:space="preserve">, </w:t>
      </w:r>
      <w:r w:rsidRPr="00CE67CC">
        <w:rPr>
          <w:rFonts w:cs="Arial"/>
          <w:lang w:val="en-AU" w:eastAsia="en-AU"/>
        </w:rPr>
        <w:t>S</w:t>
      </w:r>
      <w:r w:rsidR="00D73C5D">
        <w:rPr>
          <w:rFonts w:cs="Arial"/>
          <w:lang w:val="en-AU" w:eastAsia="en-AU"/>
        </w:rPr>
        <w:t>,</w:t>
      </w:r>
      <w:r w:rsidRPr="00CE67CC">
        <w:rPr>
          <w:rFonts w:cs="Arial"/>
          <w:lang w:val="en-AU" w:eastAsia="en-AU"/>
        </w:rPr>
        <w:t xml:space="preserve"> and Smith, G (2010) </w:t>
      </w:r>
      <w:r w:rsidR="00D73C5D">
        <w:rPr>
          <w:rFonts w:cs="Arial"/>
          <w:i/>
          <w:lang w:val="en-AU" w:eastAsia="en-AU"/>
        </w:rPr>
        <w:t>Engaging the C</w:t>
      </w:r>
      <w:r w:rsidR="006871A2">
        <w:rPr>
          <w:rFonts w:cs="Arial"/>
          <w:i/>
          <w:lang w:val="en-AU" w:eastAsia="en-AU"/>
        </w:rPr>
        <w:t>ommunity: A H</w:t>
      </w:r>
      <w:r w:rsidR="00D73C5D">
        <w:rPr>
          <w:rFonts w:cs="Arial"/>
          <w:i/>
          <w:lang w:val="en-AU" w:eastAsia="en-AU"/>
        </w:rPr>
        <w:t>andbook for P</w:t>
      </w:r>
      <w:r w:rsidRPr="00CE67CC">
        <w:rPr>
          <w:rFonts w:cs="Arial"/>
          <w:i/>
          <w:lang w:val="en-AU" w:eastAsia="en-AU"/>
        </w:rPr>
        <w:t>rofessio</w:t>
      </w:r>
      <w:r w:rsidR="00D73C5D">
        <w:rPr>
          <w:rFonts w:cs="Arial"/>
          <w:i/>
          <w:lang w:val="en-AU" w:eastAsia="en-AU"/>
        </w:rPr>
        <w:t>nals Managing Contaminated L</w:t>
      </w:r>
      <w:r w:rsidR="009D39EA" w:rsidRPr="00CE67CC">
        <w:rPr>
          <w:rFonts w:cs="Arial"/>
          <w:i/>
          <w:lang w:val="en-AU" w:eastAsia="en-AU"/>
        </w:rPr>
        <w:t xml:space="preserve">and. </w:t>
      </w:r>
      <w:r w:rsidRPr="00CE67CC">
        <w:rPr>
          <w:rFonts w:cs="Arial"/>
          <w:lang w:val="en-AU" w:eastAsia="en-AU"/>
        </w:rPr>
        <w:t>C</w:t>
      </w:r>
      <w:r w:rsidR="00CE67CC">
        <w:rPr>
          <w:rFonts w:cs="Arial"/>
          <w:lang w:val="en-AU" w:eastAsia="en-AU"/>
        </w:rPr>
        <w:t xml:space="preserve">ooperative </w:t>
      </w:r>
      <w:r w:rsidRPr="00CE67CC">
        <w:rPr>
          <w:rFonts w:cs="Arial"/>
          <w:lang w:val="en-AU" w:eastAsia="en-AU"/>
        </w:rPr>
        <w:t>R</w:t>
      </w:r>
      <w:r w:rsidR="00CE67CC">
        <w:rPr>
          <w:rFonts w:cs="Arial"/>
          <w:lang w:val="en-AU" w:eastAsia="en-AU"/>
        </w:rPr>
        <w:t xml:space="preserve">esearch </w:t>
      </w:r>
      <w:r w:rsidRPr="00CE67CC">
        <w:rPr>
          <w:rFonts w:cs="Arial"/>
          <w:lang w:val="en-AU" w:eastAsia="en-AU"/>
        </w:rPr>
        <w:t>C</w:t>
      </w:r>
      <w:r w:rsidR="00CE67CC">
        <w:rPr>
          <w:rFonts w:cs="Arial"/>
          <w:lang w:val="en-AU" w:eastAsia="en-AU"/>
        </w:rPr>
        <w:t>entre</w:t>
      </w:r>
      <w:r w:rsidRPr="00CE67CC">
        <w:rPr>
          <w:rFonts w:cs="Arial"/>
          <w:lang w:val="en-AU" w:eastAsia="en-AU"/>
        </w:rPr>
        <w:t xml:space="preserve"> for Contamination Assessment and Remediation of the Environment, Adelaide, Australia.</w:t>
      </w:r>
    </w:p>
    <w:p w14:paraId="6582139D" w14:textId="304353EB" w:rsidR="00E14595" w:rsidRPr="00D73C5D" w:rsidRDefault="00E14595" w:rsidP="00195B58">
      <w:pPr>
        <w:rPr>
          <w:rFonts w:cs="Arial"/>
        </w:rPr>
      </w:pPr>
      <w:r w:rsidRPr="00D73C5D">
        <w:rPr>
          <w:rFonts w:cs="Arial"/>
        </w:rPr>
        <w:t xml:space="preserve">IARC (2014) </w:t>
      </w:r>
      <w:r w:rsidR="00D73C5D">
        <w:rPr>
          <w:rFonts w:cs="Arial"/>
          <w:i/>
        </w:rPr>
        <w:t>Trichloroethylene, Tetrachloroethylene, and Some Other Chlorinated A</w:t>
      </w:r>
      <w:r w:rsidRPr="00D73C5D">
        <w:rPr>
          <w:rFonts w:cs="Arial"/>
          <w:i/>
        </w:rPr>
        <w:t>gents.</w:t>
      </w:r>
      <w:r w:rsidRPr="00D73C5D">
        <w:rPr>
          <w:rFonts w:cs="Arial"/>
          <w:b/>
          <w:i/>
        </w:rPr>
        <w:t xml:space="preserve">  </w:t>
      </w:r>
      <w:r w:rsidRPr="00D73C5D">
        <w:rPr>
          <w:rFonts w:cs="Arial"/>
        </w:rPr>
        <w:t xml:space="preserve">Volume 106.  IARC Monographs on the Evaluation of Carcinogenic Risks to Humans.  International Agency for Research on Cancer, World Health </w:t>
      </w:r>
      <w:proofErr w:type="spellStart"/>
      <w:r w:rsidRPr="00D73C5D">
        <w:rPr>
          <w:rFonts w:cs="Arial"/>
        </w:rPr>
        <w:t>Organisation</w:t>
      </w:r>
      <w:proofErr w:type="spellEnd"/>
      <w:r w:rsidRPr="00D73C5D">
        <w:rPr>
          <w:rFonts w:cs="Arial"/>
        </w:rPr>
        <w:t>.</w:t>
      </w:r>
    </w:p>
    <w:p w14:paraId="2E54775E" w14:textId="2FF35059" w:rsidR="000F152A" w:rsidRPr="00D73C5D" w:rsidRDefault="00560A53" w:rsidP="00560A53">
      <w:proofErr w:type="spellStart"/>
      <w:r w:rsidRPr="00D73C5D">
        <w:t>Ikhajiagbe</w:t>
      </w:r>
      <w:proofErr w:type="spellEnd"/>
      <w:r w:rsidRPr="00D73C5D">
        <w:t>, B</w:t>
      </w:r>
      <w:r w:rsidR="00D73C5D">
        <w:t>,</w:t>
      </w:r>
      <w:r w:rsidRPr="00D73C5D">
        <w:t xml:space="preserve"> and </w:t>
      </w:r>
      <w:proofErr w:type="spellStart"/>
      <w:r w:rsidRPr="00D73C5D">
        <w:t>Unuagbokhe</w:t>
      </w:r>
      <w:proofErr w:type="spellEnd"/>
      <w:r w:rsidRPr="00D73C5D">
        <w:t>, AS (2013)</w:t>
      </w:r>
      <w:r w:rsidRPr="00D73C5D">
        <w:rPr>
          <w:sz w:val="24"/>
          <w:szCs w:val="24"/>
        </w:rPr>
        <w:t xml:space="preserve"> </w:t>
      </w:r>
      <w:r w:rsidR="00D73C5D">
        <w:t>Phyto-assessment of an enhanced naturally attenuated oil-polluted soil after exposure to various concentrations of sodium bicarbonate s</w:t>
      </w:r>
      <w:r w:rsidRPr="00D73C5D">
        <w:t xml:space="preserve">olution. </w:t>
      </w:r>
      <w:r w:rsidRPr="00D73C5D">
        <w:rPr>
          <w:i/>
        </w:rPr>
        <w:t>International Journal of Scientific Research in Environmental Sciences,</w:t>
      </w:r>
      <w:r w:rsidRPr="00D73C5D">
        <w:t xml:space="preserve"> 1(9), pp. 250-262.</w:t>
      </w:r>
    </w:p>
    <w:p w14:paraId="0EDFB078" w14:textId="6FABD55E" w:rsidR="000F152A" w:rsidRPr="00D73C5D" w:rsidRDefault="00560A53" w:rsidP="00CC1F18">
      <w:pPr>
        <w:rPr>
          <w:rFonts w:cs="Arial"/>
          <w:color w:val="000000"/>
          <w:sz w:val="23"/>
          <w:szCs w:val="23"/>
        </w:rPr>
      </w:pPr>
      <w:proofErr w:type="spellStart"/>
      <w:r w:rsidRPr="00D73C5D">
        <w:t>Ikhaiagbe</w:t>
      </w:r>
      <w:proofErr w:type="spellEnd"/>
      <w:r w:rsidRPr="00D73C5D">
        <w:t>, B</w:t>
      </w:r>
      <w:r w:rsidR="00D73C5D">
        <w:t>,</w:t>
      </w:r>
      <w:r w:rsidRPr="00D73C5D">
        <w:t xml:space="preserve"> </w:t>
      </w:r>
      <w:proofErr w:type="spellStart"/>
      <w:r w:rsidRPr="00D73C5D">
        <w:t>Anoliefo</w:t>
      </w:r>
      <w:proofErr w:type="spellEnd"/>
      <w:r w:rsidRPr="00D73C5D">
        <w:t xml:space="preserve">, GO, </w:t>
      </w:r>
      <w:proofErr w:type="spellStart"/>
      <w:r w:rsidRPr="00D73C5D">
        <w:t>Jolaoso</w:t>
      </w:r>
      <w:proofErr w:type="spellEnd"/>
      <w:r w:rsidRPr="00D73C5D">
        <w:t xml:space="preserve">, MA, and </w:t>
      </w:r>
      <w:proofErr w:type="spellStart"/>
      <w:r w:rsidRPr="00D73C5D">
        <w:t>Oshomoh</w:t>
      </w:r>
      <w:proofErr w:type="spellEnd"/>
      <w:r w:rsidR="00D73C5D">
        <w:t>,</w:t>
      </w:r>
      <w:r w:rsidRPr="00D73C5D">
        <w:t xml:space="preserve"> EO (2013) Phyto</w:t>
      </w:r>
      <w:r w:rsidR="00D73C5D">
        <w:t>-assessment of a waste engine oil-polluted soil exposed to two different intervals of monitored natural attenuation u</w:t>
      </w:r>
      <w:r w:rsidRPr="00D73C5D">
        <w:t>sing African Yam Bean (</w:t>
      </w:r>
      <w:proofErr w:type="spellStart"/>
      <w:r w:rsidRPr="00D73C5D">
        <w:t>Sphenostylis</w:t>
      </w:r>
      <w:proofErr w:type="spellEnd"/>
      <w:r w:rsidRPr="00D73C5D">
        <w:t xml:space="preserve"> </w:t>
      </w:r>
      <w:proofErr w:type="spellStart"/>
      <w:r w:rsidRPr="00D73C5D">
        <w:t>stenocarpa</w:t>
      </w:r>
      <w:proofErr w:type="spellEnd"/>
      <w:r w:rsidRPr="00D73C5D">
        <w:t xml:space="preserve">).  </w:t>
      </w:r>
      <w:r w:rsidRPr="00D73C5D">
        <w:rPr>
          <w:i/>
        </w:rPr>
        <w:t>Pakistan Journal of Biological Sciences</w:t>
      </w:r>
      <w:r w:rsidR="00D73C5D">
        <w:t xml:space="preserve">, </w:t>
      </w:r>
      <w:r w:rsidRPr="00D73C5D">
        <w:t>16(14): 680-685.</w:t>
      </w:r>
    </w:p>
    <w:p w14:paraId="1A65E8A5" w14:textId="26E97C8E" w:rsidR="00B43AF7" w:rsidRDefault="00B43AF7" w:rsidP="00CC1F18">
      <w:pPr>
        <w:rPr>
          <w:rFonts w:cs="Arial"/>
          <w:color w:val="000000"/>
        </w:rPr>
      </w:pPr>
      <w:r>
        <w:rPr>
          <w:rFonts w:cs="Arial"/>
          <w:color w:val="000000"/>
        </w:rPr>
        <w:t xml:space="preserve">IPCS (1999) </w:t>
      </w:r>
      <w:r w:rsidR="00034D76" w:rsidRPr="00034D76">
        <w:rPr>
          <w:rFonts w:cs="Arial"/>
          <w:i/>
          <w:color w:val="000000"/>
        </w:rPr>
        <w:t>Principles for the Assessment of Risks to Human Health from Exposure to Chemicals. Environmental Health Criteria 210.</w:t>
      </w:r>
      <w:r w:rsidR="00034D76">
        <w:rPr>
          <w:rFonts w:cs="Arial"/>
          <w:color w:val="000000"/>
        </w:rPr>
        <w:t xml:space="preserve"> International </w:t>
      </w:r>
      <w:proofErr w:type="spellStart"/>
      <w:r w:rsidR="00034D76">
        <w:rPr>
          <w:rFonts w:cs="Arial"/>
          <w:color w:val="000000"/>
        </w:rPr>
        <w:t>Programme</w:t>
      </w:r>
      <w:proofErr w:type="spellEnd"/>
      <w:r w:rsidR="00034D76">
        <w:rPr>
          <w:rFonts w:cs="Arial"/>
          <w:color w:val="000000"/>
        </w:rPr>
        <w:t xml:space="preserve"> on Chemical Safety, World Health </w:t>
      </w:r>
      <w:proofErr w:type="spellStart"/>
      <w:r w:rsidR="00034D76">
        <w:rPr>
          <w:rFonts w:cs="Arial"/>
          <w:color w:val="000000"/>
        </w:rPr>
        <w:t>Organisation</w:t>
      </w:r>
      <w:proofErr w:type="spellEnd"/>
      <w:r w:rsidR="00034D76">
        <w:rPr>
          <w:rFonts w:cs="Arial"/>
          <w:color w:val="000000"/>
        </w:rPr>
        <w:t xml:space="preserve">, Geneva.  Available </w:t>
      </w:r>
      <w:hyperlink r:id="rId70" w:history="1">
        <w:r w:rsidR="00034D76" w:rsidRPr="00AB5F71">
          <w:rPr>
            <w:rStyle w:val="Hyperlink"/>
            <w:rFonts w:cs="Arial"/>
          </w:rPr>
          <w:t>http://www.inchem.org/documents/ehc/ehc/ehc210.htm</w:t>
        </w:r>
      </w:hyperlink>
      <w:r w:rsidR="00034D76">
        <w:rPr>
          <w:rFonts w:cs="Arial"/>
          <w:color w:val="000000"/>
        </w:rPr>
        <w:t xml:space="preserve"> [accessed 25 June 2016].</w:t>
      </w:r>
    </w:p>
    <w:p w14:paraId="6659B043" w14:textId="6AC5D245" w:rsidR="00CC1F18" w:rsidRPr="00D73C5D" w:rsidRDefault="00CC1F18" w:rsidP="00034D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Arial"/>
          <w:color w:val="000000"/>
        </w:rPr>
      </w:pPr>
      <w:r w:rsidRPr="00D73C5D">
        <w:rPr>
          <w:rFonts w:cs="Arial"/>
          <w:color w:val="000000"/>
        </w:rPr>
        <w:lastRenderedPageBreak/>
        <w:t xml:space="preserve">ITRC (2007a) </w:t>
      </w:r>
      <w:proofErr w:type="spellStart"/>
      <w:r w:rsidRPr="00D73C5D">
        <w:rPr>
          <w:rFonts w:cs="Arial"/>
          <w:i/>
          <w:color w:val="000000"/>
        </w:rPr>
        <w:t>Vapour</w:t>
      </w:r>
      <w:proofErr w:type="spellEnd"/>
      <w:r w:rsidRPr="00D73C5D">
        <w:rPr>
          <w:rFonts w:cs="Arial"/>
          <w:i/>
          <w:color w:val="000000"/>
        </w:rPr>
        <w:t xml:space="preserve"> Intrusion Pathway: A Practical Guideline. </w:t>
      </w:r>
      <w:r w:rsidRPr="00D73C5D">
        <w:rPr>
          <w:rFonts w:cs="Arial"/>
          <w:color w:val="000000"/>
        </w:rPr>
        <w:t xml:space="preserve"> </w:t>
      </w:r>
      <w:r w:rsidRPr="00D73C5D">
        <w:rPr>
          <w:rFonts w:cs="Arial"/>
          <w:i/>
          <w:color w:val="000000"/>
        </w:rPr>
        <w:t>VI-1.</w:t>
      </w:r>
      <w:r w:rsidRPr="00D73C5D">
        <w:rPr>
          <w:rFonts w:cs="Arial"/>
          <w:color w:val="000000"/>
        </w:rPr>
        <w:t xml:space="preserve">  Washington, DC: Interstate Technology </w:t>
      </w:r>
      <w:r w:rsidR="00D73C5D">
        <w:rPr>
          <w:rFonts w:cs="Arial"/>
          <w:color w:val="000000"/>
        </w:rPr>
        <w:t>and</w:t>
      </w:r>
      <w:r w:rsidRPr="00D73C5D">
        <w:rPr>
          <w:rFonts w:cs="Arial"/>
          <w:color w:val="000000"/>
        </w:rPr>
        <w:t xml:space="preserve"> Regulatory Council, Vapor Intrusion Team. Available at </w:t>
      </w:r>
      <w:hyperlink r:id="rId71" w:history="1">
        <w:r w:rsidRPr="00D73C5D">
          <w:rPr>
            <w:rStyle w:val="Hyperlink"/>
            <w:rFonts w:cs="Arial"/>
          </w:rPr>
          <w:t>www.itrcweb.org</w:t>
        </w:r>
      </w:hyperlink>
      <w:r w:rsidR="00D73C5D">
        <w:rPr>
          <w:rFonts w:cs="Arial"/>
          <w:color w:val="000000"/>
        </w:rPr>
        <w:t xml:space="preserve"> [accessed 25 June 2016]</w:t>
      </w:r>
      <w:r w:rsidRPr="00D73C5D">
        <w:rPr>
          <w:rFonts w:cs="Arial"/>
          <w:color w:val="000000"/>
        </w:rPr>
        <w:t>.</w:t>
      </w:r>
    </w:p>
    <w:p w14:paraId="19CBE8DD" w14:textId="15E95619" w:rsidR="00CC1F18" w:rsidRPr="00D73C5D" w:rsidRDefault="00CC1F18" w:rsidP="00CC1F18">
      <w:pPr>
        <w:rPr>
          <w:rFonts w:cs="Arial"/>
          <w:color w:val="000000"/>
        </w:rPr>
      </w:pPr>
      <w:r w:rsidRPr="00D73C5D">
        <w:rPr>
          <w:rFonts w:cs="Arial"/>
          <w:color w:val="000000"/>
        </w:rPr>
        <w:t xml:space="preserve">ITRC (2007b) </w:t>
      </w:r>
      <w:proofErr w:type="spellStart"/>
      <w:r w:rsidRPr="00D73C5D">
        <w:rPr>
          <w:rFonts w:cs="Arial"/>
          <w:i/>
          <w:color w:val="000000"/>
        </w:rPr>
        <w:t>Vapour</w:t>
      </w:r>
      <w:proofErr w:type="spellEnd"/>
      <w:r w:rsidRPr="00D73C5D">
        <w:rPr>
          <w:rFonts w:cs="Arial"/>
          <w:i/>
          <w:color w:val="000000"/>
        </w:rPr>
        <w:t xml:space="preserve"> Intrusion Pathway: Investigative Approaches for Typical Scenarios.  A Supplement to </w:t>
      </w:r>
      <w:proofErr w:type="spellStart"/>
      <w:r w:rsidRPr="00D73C5D">
        <w:rPr>
          <w:rFonts w:cs="Arial"/>
          <w:i/>
          <w:color w:val="000000"/>
        </w:rPr>
        <w:t>Vapour</w:t>
      </w:r>
      <w:proofErr w:type="spellEnd"/>
      <w:r w:rsidRPr="00D73C5D">
        <w:rPr>
          <w:rFonts w:cs="Arial"/>
          <w:i/>
          <w:color w:val="000000"/>
        </w:rPr>
        <w:t xml:space="preserve"> Intrusion Pathway: A Practical Guideline.</w:t>
      </w:r>
      <w:r w:rsidRPr="00D73C5D">
        <w:rPr>
          <w:rFonts w:cs="Arial"/>
          <w:color w:val="000000"/>
        </w:rPr>
        <w:t xml:space="preserve"> Washington, DC: Interstate Technology </w:t>
      </w:r>
      <w:r w:rsidR="00D73C5D">
        <w:rPr>
          <w:rFonts w:cs="Arial"/>
          <w:color w:val="000000"/>
        </w:rPr>
        <w:t xml:space="preserve">and </w:t>
      </w:r>
      <w:r w:rsidRPr="00D73C5D">
        <w:rPr>
          <w:rFonts w:cs="Arial"/>
          <w:color w:val="000000"/>
        </w:rPr>
        <w:t xml:space="preserve">Regulatory Council. Available at </w:t>
      </w:r>
      <w:hyperlink r:id="rId72" w:history="1">
        <w:r w:rsidRPr="00D73C5D">
          <w:rPr>
            <w:rStyle w:val="Hyperlink"/>
            <w:rFonts w:cs="Arial"/>
          </w:rPr>
          <w:t>www.itrcweb.org</w:t>
        </w:r>
      </w:hyperlink>
      <w:r w:rsidR="00D73C5D">
        <w:rPr>
          <w:rFonts w:cs="Arial"/>
          <w:color w:val="000000"/>
        </w:rPr>
        <w:t xml:space="preserve"> [accessed 25 June 2016]</w:t>
      </w:r>
      <w:r w:rsidRPr="00D73C5D">
        <w:rPr>
          <w:rFonts w:cs="Arial"/>
          <w:color w:val="000000"/>
        </w:rPr>
        <w:t>.</w:t>
      </w:r>
    </w:p>
    <w:p w14:paraId="3EB116B0" w14:textId="708169AA" w:rsidR="00CC1F18" w:rsidRPr="00D73C5D" w:rsidRDefault="00CC1F18" w:rsidP="00CC1F18">
      <w:pPr>
        <w:rPr>
          <w:rFonts w:cs="Arial"/>
          <w:color w:val="000000"/>
        </w:rPr>
      </w:pPr>
      <w:r w:rsidRPr="00D73C5D">
        <w:rPr>
          <w:rFonts w:cs="Arial"/>
          <w:color w:val="000000"/>
        </w:rPr>
        <w:t xml:space="preserve">ITRC (2014) </w:t>
      </w:r>
      <w:r w:rsidRPr="00D73C5D">
        <w:rPr>
          <w:rFonts w:cs="Arial"/>
          <w:i/>
          <w:color w:val="000000"/>
        </w:rPr>
        <w:t>Petroleum Vapor Intrusion Pathway. Fundamentals of Screening, Investigation and Management.</w:t>
      </w:r>
      <w:r w:rsidRPr="00D73C5D">
        <w:rPr>
          <w:rFonts w:cs="Arial"/>
          <w:color w:val="000000"/>
        </w:rPr>
        <w:t xml:space="preserve"> Washington, DC: Interstate Technology </w:t>
      </w:r>
      <w:r w:rsidR="00D73C5D">
        <w:rPr>
          <w:rFonts w:cs="Arial"/>
          <w:color w:val="000000"/>
        </w:rPr>
        <w:t>and</w:t>
      </w:r>
      <w:r w:rsidRPr="00D73C5D">
        <w:rPr>
          <w:rFonts w:cs="Arial"/>
          <w:color w:val="000000"/>
        </w:rPr>
        <w:t xml:space="preserve"> Regulatory Council. Available at </w:t>
      </w:r>
      <w:hyperlink r:id="rId73" w:history="1">
        <w:r w:rsidRPr="00D73C5D">
          <w:rPr>
            <w:rStyle w:val="Hyperlink"/>
            <w:rFonts w:cs="Arial"/>
          </w:rPr>
          <w:t>www.itrcweb.org</w:t>
        </w:r>
      </w:hyperlink>
      <w:r w:rsidR="00D73C5D">
        <w:rPr>
          <w:rFonts w:cs="Arial"/>
          <w:color w:val="000000"/>
        </w:rPr>
        <w:t xml:space="preserve"> [accessed 25 June 2016]</w:t>
      </w:r>
      <w:r w:rsidRPr="00D73C5D">
        <w:rPr>
          <w:rFonts w:cs="Arial"/>
          <w:color w:val="000000"/>
        </w:rPr>
        <w:t>.</w:t>
      </w:r>
    </w:p>
    <w:p w14:paraId="786A5966" w14:textId="6D698078" w:rsidR="0067475E" w:rsidRPr="00D73C5D" w:rsidRDefault="0067475E" w:rsidP="0067475E">
      <w:pPr>
        <w:rPr>
          <w:lang w:val="en" w:eastAsia="en-US"/>
        </w:rPr>
      </w:pPr>
      <w:r w:rsidRPr="00D73C5D">
        <w:rPr>
          <w:lang w:val="en" w:eastAsia="en-US"/>
        </w:rPr>
        <w:t>Janssen</w:t>
      </w:r>
      <w:r w:rsidR="00D73C5D">
        <w:rPr>
          <w:lang w:val="en" w:eastAsia="en-US"/>
        </w:rPr>
        <w:t>,</w:t>
      </w:r>
      <w:r w:rsidRPr="00D73C5D">
        <w:rPr>
          <w:lang w:val="en" w:eastAsia="en-US"/>
        </w:rPr>
        <w:t xml:space="preserve"> PHM, </w:t>
      </w:r>
      <w:proofErr w:type="spellStart"/>
      <w:r w:rsidRPr="00D73C5D">
        <w:rPr>
          <w:lang w:val="en" w:eastAsia="en-US"/>
        </w:rPr>
        <w:t>Heuberger</w:t>
      </w:r>
      <w:proofErr w:type="spellEnd"/>
      <w:r w:rsidR="00D73C5D">
        <w:rPr>
          <w:lang w:val="en" w:eastAsia="en-US"/>
        </w:rPr>
        <w:t>,</w:t>
      </w:r>
      <w:r w:rsidRPr="00D73C5D">
        <w:rPr>
          <w:lang w:val="en" w:eastAsia="en-US"/>
        </w:rPr>
        <w:t xml:space="preserve"> PSC, Sanders</w:t>
      </w:r>
      <w:r w:rsidR="00D73C5D">
        <w:rPr>
          <w:lang w:val="en" w:eastAsia="en-US"/>
        </w:rPr>
        <w:t>,</w:t>
      </w:r>
      <w:r w:rsidRPr="00D73C5D">
        <w:rPr>
          <w:lang w:val="en" w:eastAsia="en-US"/>
        </w:rPr>
        <w:t xml:space="preserve"> R (1992) </w:t>
      </w:r>
      <w:r w:rsidRPr="00D73C5D">
        <w:rPr>
          <w:i/>
          <w:lang w:val="en" w:eastAsia="en-US"/>
        </w:rPr>
        <w:t>UNCSAM 1.1: A Software Package for Sensitivity and Uncertainty Analysis. Manual.</w:t>
      </w:r>
      <w:r w:rsidRPr="00D73C5D">
        <w:rPr>
          <w:lang w:val="en" w:eastAsia="en-US"/>
        </w:rPr>
        <w:t xml:space="preserve"> </w:t>
      </w:r>
      <w:proofErr w:type="spellStart"/>
      <w:r w:rsidRPr="00D73C5D">
        <w:rPr>
          <w:lang w:val="en" w:eastAsia="en-US"/>
        </w:rPr>
        <w:t>Bilthoven</w:t>
      </w:r>
      <w:proofErr w:type="spellEnd"/>
      <w:r w:rsidRPr="00D73C5D">
        <w:rPr>
          <w:lang w:val="en" w:eastAsia="en-US"/>
        </w:rPr>
        <w:t>, the Netherlands: National Institute for Public Health an</w:t>
      </w:r>
      <w:r w:rsidR="00D73C5D">
        <w:rPr>
          <w:lang w:val="en" w:eastAsia="en-US"/>
        </w:rPr>
        <w:t>d the Environment (RIVM). RIVM Report N</w:t>
      </w:r>
      <w:r w:rsidRPr="00D73C5D">
        <w:rPr>
          <w:lang w:val="en" w:eastAsia="en-US"/>
        </w:rPr>
        <w:t>o. 959101004.</w:t>
      </w:r>
    </w:p>
    <w:p w14:paraId="595BF6EB" w14:textId="4D6BF07A" w:rsidR="00C7193D" w:rsidRPr="00C7193D" w:rsidRDefault="00C7193D" w:rsidP="00D45FA0">
      <w:pPr>
        <w:spacing w:after="0"/>
      </w:pPr>
      <w:r w:rsidRPr="00C7193D">
        <w:t>Johnson</w:t>
      </w:r>
      <w:r w:rsidR="00D73C5D">
        <w:t>,</w:t>
      </w:r>
      <w:r w:rsidRPr="00C7193D">
        <w:t xml:space="preserve"> P (2005) Identification of application-specific critical inputs</w:t>
      </w:r>
      <w:r>
        <w:t xml:space="preserve"> for the 1991 Johnson and Ettinger vapor intrusion algorithm. </w:t>
      </w:r>
      <w:r w:rsidRPr="00737BC2">
        <w:rPr>
          <w:i/>
        </w:rPr>
        <w:t>Groundwater Monitoring and Remediation</w:t>
      </w:r>
      <w:r>
        <w:t>. 25, (1): 63-78.</w:t>
      </w:r>
    </w:p>
    <w:p w14:paraId="19179646" w14:textId="77777777" w:rsidR="00C7193D" w:rsidRPr="00C7193D" w:rsidRDefault="00C7193D" w:rsidP="00D45FA0">
      <w:pPr>
        <w:spacing w:after="0"/>
        <w:rPr>
          <w:highlight w:val="yellow"/>
        </w:rPr>
      </w:pPr>
    </w:p>
    <w:p w14:paraId="6BBBB7FB" w14:textId="7AD673A9" w:rsidR="00596DED" w:rsidRPr="00D73C5D" w:rsidRDefault="00D73C5D" w:rsidP="00D45FA0">
      <w:pPr>
        <w:spacing w:after="0"/>
      </w:pPr>
      <w:r>
        <w:t>Johnson, P (2009) Review C</w:t>
      </w:r>
      <w:r w:rsidR="00596DED" w:rsidRPr="00D73C5D">
        <w:t>omments for C</w:t>
      </w:r>
      <w:r w:rsidR="0083654B">
        <w:t xml:space="preserve">ollaborative </w:t>
      </w:r>
      <w:r w:rsidR="00596DED" w:rsidRPr="00D73C5D">
        <w:t>R</w:t>
      </w:r>
      <w:r w:rsidR="0083654B">
        <w:t xml:space="preserve">esearch </w:t>
      </w:r>
      <w:r w:rsidR="00596DED" w:rsidRPr="00D73C5D">
        <w:t>C</w:t>
      </w:r>
      <w:r w:rsidR="0083654B">
        <w:t>entre</w:t>
      </w:r>
      <w:r w:rsidR="00596DED" w:rsidRPr="00D73C5D">
        <w:t xml:space="preserve"> for Contamination Assessment and Remediation of the</w:t>
      </w:r>
      <w:r>
        <w:t xml:space="preserve"> Environment, No 10. Technical Report, HSLs for Petroleum Hydrocarbons in Soil and G</w:t>
      </w:r>
      <w:r w:rsidR="00596DED" w:rsidRPr="00D73C5D">
        <w:t>roun</w:t>
      </w:r>
      <w:r w:rsidR="00C7193D" w:rsidRPr="00D73C5D">
        <w:t>dwater: Technical development guideline, working d</w:t>
      </w:r>
      <w:r w:rsidR="00596DED" w:rsidRPr="00D73C5D">
        <w:t>ra</w:t>
      </w:r>
      <w:r w:rsidR="0083654B">
        <w:t>ft 2009 (</w:t>
      </w:r>
      <w:proofErr w:type="spellStart"/>
      <w:r w:rsidR="0083654B">
        <w:t>Friebel</w:t>
      </w:r>
      <w:proofErr w:type="spellEnd"/>
      <w:r w:rsidR="0083654B">
        <w:t xml:space="preserve">, E and </w:t>
      </w:r>
      <w:proofErr w:type="spellStart"/>
      <w:r w:rsidR="0083654B">
        <w:t>Nadebaum</w:t>
      </w:r>
      <w:proofErr w:type="spellEnd"/>
      <w:r w:rsidR="0083654B">
        <w:t>, P). CRC CARE. Adelaide.</w:t>
      </w:r>
    </w:p>
    <w:p w14:paraId="5BB96CB9" w14:textId="77777777" w:rsidR="00596DED" w:rsidRPr="00C7193D" w:rsidRDefault="00596DED" w:rsidP="00D45FA0">
      <w:pPr>
        <w:spacing w:after="0"/>
        <w:rPr>
          <w:highlight w:val="yellow"/>
        </w:rPr>
      </w:pPr>
    </w:p>
    <w:p w14:paraId="7DA384A8" w14:textId="7BEAE5C0" w:rsidR="003359B1" w:rsidRDefault="003359B1" w:rsidP="00D45FA0">
      <w:pPr>
        <w:spacing w:after="0"/>
      </w:pPr>
      <w:r>
        <w:t>Johnston, JE, and Gibson, JM (2014) Spatiotemporal variability of tetrachloroethylene in residential indoor air due to vapor intrusion: a longitudinal, community-based study.  Journal of Exposure Science and Environmental Epidemiology, 24: 564-571.</w:t>
      </w:r>
    </w:p>
    <w:p w14:paraId="599DDB97" w14:textId="77777777" w:rsidR="003359B1" w:rsidRDefault="003359B1" w:rsidP="00D45FA0">
      <w:pPr>
        <w:spacing w:after="0"/>
      </w:pPr>
    </w:p>
    <w:p w14:paraId="7B4F38FC" w14:textId="08F6B9D4" w:rsidR="003359B1" w:rsidRDefault="003359B1" w:rsidP="003359B1">
      <w:pPr>
        <w:spacing w:after="0"/>
      </w:pPr>
      <w:r>
        <w:t>Johnston, JE, and Gibson, JM (2015) Indoor air contamination from hazardous waste sites: Improving the evidence base for decision-making.  International Journal of Environmental Research and Public Health</w:t>
      </w:r>
      <w:r w:rsidR="00BA1F7C">
        <w:t>, 12: 15040-15057; doi:10.3390/ijerph121214960.</w:t>
      </w:r>
    </w:p>
    <w:p w14:paraId="2580C561" w14:textId="77777777" w:rsidR="003359B1" w:rsidRDefault="003359B1" w:rsidP="00D45FA0">
      <w:pPr>
        <w:spacing w:after="0"/>
      </w:pPr>
    </w:p>
    <w:p w14:paraId="6096D61F" w14:textId="3EA3FDC4" w:rsidR="00D45FA0" w:rsidRPr="003A7B29" w:rsidRDefault="00D45FA0" w:rsidP="00D45FA0">
      <w:pPr>
        <w:spacing w:after="0"/>
      </w:pPr>
      <w:r w:rsidRPr="003A7B29">
        <w:t>Krylov</w:t>
      </w:r>
      <w:r w:rsidR="003A7B29" w:rsidRPr="003A7B29">
        <w:t>,</w:t>
      </w:r>
      <w:r w:rsidRPr="003A7B29">
        <w:t xml:space="preserve"> VV, and Ferguson</w:t>
      </w:r>
      <w:r w:rsidR="003A7B29" w:rsidRPr="003A7B29">
        <w:t>,</w:t>
      </w:r>
      <w:r w:rsidR="0083654B">
        <w:t xml:space="preserve"> CC (1998)</w:t>
      </w:r>
      <w:r w:rsidR="003A7B29">
        <w:t xml:space="preserve"> Contamination of indoor air by toxic soil </w:t>
      </w:r>
      <w:proofErr w:type="spellStart"/>
      <w:r w:rsidR="003A7B29">
        <w:t>vapours</w:t>
      </w:r>
      <w:proofErr w:type="spellEnd"/>
      <w:r w:rsidR="003A7B29">
        <w:t>: Effects of subfloor ventilation and other p</w:t>
      </w:r>
      <w:r w:rsidRPr="003A7B29">
        <w:t>rotective</w:t>
      </w:r>
      <w:r w:rsidR="003A7B29">
        <w:t xml:space="preserve"> m</w:t>
      </w:r>
      <w:r w:rsidRPr="003A7B29">
        <w:t xml:space="preserve">easures. </w:t>
      </w:r>
      <w:r w:rsidRPr="003A7B29">
        <w:rPr>
          <w:i/>
        </w:rPr>
        <w:t>Building and Environment</w:t>
      </w:r>
      <w:r w:rsidRPr="003A7B29">
        <w:t xml:space="preserve"> 33(6): 331-347.</w:t>
      </w:r>
    </w:p>
    <w:p w14:paraId="40A600BE" w14:textId="77777777" w:rsidR="00C7193D" w:rsidRPr="00C7193D" w:rsidRDefault="00C7193D" w:rsidP="00D45FA0">
      <w:pPr>
        <w:spacing w:after="0"/>
        <w:rPr>
          <w:highlight w:val="yellow"/>
        </w:rPr>
      </w:pPr>
    </w:p>
    <w:p w14:paraId="4FCBD65D" w14:textId="266D697C" w:rsidR="002341DD" w:rsidRPr="0083654B" w:rsidRDefault="002341DD" w:rsidP="00665D37">
      <w:r w:rsidRPr="0083654B">
        <w:t>Langley, AJ (1991)</w:t>
      </w:r>
      <w:r w:rsidR="00A21559" w:rsidRPr="0083654B">
        <w:t xml:space="preserve"> Protecting the publ</w:t>
      </w:r>
      <w:r w:rsidR="0083654B">
        <w:t xml:space="preserve">ic: Biological monitoring.  In: </w:t>
      </w:r>
      <w:r w:rsidR="00DF3D84">
        <w:t xml:space="preserve">O </w:t>
      </w:r>
      <w:r w:rsidR="00A21559" w:rsidRPr="0083654B">
        <w:t xml:space="preserve">El </w:t>
      </w:r>
      <w:proofErr w:type="spellStart"/>
      <w:r w:rsidR="00A21559" w:rsidRPr="0083654B">
        <w:t>Saadi</w:t>
      </w:r>
      <w:proofErr w:type="spellEnd"/>
      <w:r w:rsidR="00A21559" w:rsidRPr="0083654B">
        <w:t>,</w:t>
      </w:r>
      <w:r w:rsidR="0083654B">
        <w:t xml:space="preserve"> and </w:t>
      </w:r>
      <w:r w:rsidR="00DF3D84">
        <w:t xml:space="preserve">AJ </w:t>
      </w:r>
      <w:r w:rsidR="00A21559" w:rsidRPr="0083654B">
        <w:t>Langley</w:t>
      </w:r>
      <w:r w:rsidR="00DF3D84">
        <w:t xml:space="preserve"> (E</w:t>
      </w:r>
      <w:r w:rsidR="0083654B">
        <w:t>ds</w:t>
      </w:r>
      <w:r w:rsidR="00DF3D84">
        <w:t>.</w:t>
      </w:r>
      <w:r w:rsidR="0083654B">
        <w:t xml:space="preserve">). </w:t>
      </w:r>
      <w:r w:rsidR="0083654B" w:rsidRPr="0083654B">
        <w:rPr>
          <w:i/>
        </w:rPr>
        <w:t>The Health Risk Assessment and Management of Contaminated Sites</w:t>
      </w:r>
      <w:r w:rsidR="00A21559" w:rsidRPr="0083654B">
        <w:t>, South Australian Health Commission, Adelaide.</w:t>
      </w:r>
    </w:p>
    <w:p w14:paraId="759D5AC3" w14:textId="4CDAEBBC" w:rsidR="00795A1F" w:rsidRPr="0083654B" w:rsidRDefault="00795A1F" w:rsidP="00795A1F">
      <w:r w:rsidRPr="0083654B">
        <w:t>Langley</w:t>
      </w:r>
      <w:r w:rsidR="0083654B">
        <w:t>,</w:t>
      </w:r>
      <w:r w:rsidRPr="0083654B">
        <w:t xml:space="preserve"> AJ</w:t>
      </w:r>
      <w:r w:rsidR="0083654B">
        <w:t>,</w:t>
      </w:r>
      <w:r w:rsidRPr="0083654B">
        <w:t xml:space="preserve"> and El </w:t>
      </w:r>
      <w:proofErr w:type="spellStart"/>
      <w:r w:rsidRPr="0083654B">
        <w:t>Saadi</w:t>
      </w:r>
      <w:proofErr w:type="spellEnd"/>
      <w:r w:rsidR="0083654B">
        <w:t>,</w:t>
      </w:r>
      <w:r w:rsidRPr="0083654B">
        <w:t xml:space="preserve"> O (Eds.) </w:t>
      </w:r>
      <w:r w:rsidR="0083654B">
        <w:t xml:space="preserve">(1991) </w:t>
      </w:r>
      <w:r w:rsidR="0083654B" w:rsidRPr="0083654B">
        <w:rPr>
          <w:i/>
        </w:rPr>
        <w:t>The Health Risk Assessment and Management of Contaminated Sites</w:t>
      </w:r>
      <w:r w:rsidR="0083654B">
        <w:rPr>
          <w:i/>
        </w:rPr>
        <w:t xml:space="preserve">. </w:t>
      </w:r>
      <w:r w:rsidRPr="0083654B">
        <w:rPr>
          <w:i/>
        </w:rPr>
        <w:t>Proceedings of a National Workshop on the Health Risk Assessment and Management of Contaminated Sites</w:t>
      </w:r>
      <w:r w:rsidR="0083654B">
        <w:t xml:space="preserve">. </w:t>
      </w:r>
      <w:r w:rsidRPr="0083654B">
        <w:t>South Australian Health Commission, Adelaide.</w:t>
      </w:r>
    </w:p>
    <w:p w14:paraId="1B04AA4B" w14:textId="1F3E1C34" w:rsidR="00665D37" w:rsidRPr="0083654B" w:rsidRDefault="00665D37" w:rsidP="00665D37">
      <w:r w:rsidRPr="0083654B">
        <w:t>Langley, A</w:t>
      </w:r>
      <w:r w:rsidR="002341DD" w:rsidRPr="0083654B">
        <w:t>J</w:t>
      </w:r>
      <w:r w:rsidRPr="0083654B">
        <w:t xml:space="preserve"> </w:t>
      </w:r>
      <w:r w:rsidR="002341DD" w:rsidRPr="0083654B">
        <w:t>and</w:t>
      </w:r>
      <w:r w:rsidRPr="0083654B">
        <w:t xml:space="preserve"> v</w:t>
      </w:r>
      <w:r w:rsidR="00A21559" w:rsidRPr="0083654B">
        <w:t>an Alphen, M (E</w:t>
      </w:r>
      <w:r w:rsidRPr="0083654B">
        <w:t>ds</w:t>
      </w:r>
      <w:r w:rsidR="0083654B">
        <w:t>.</w:t>
      </w:r>
      <w:r w:rsidRPr="0083654B">
        <w:t>) (1</w:t>
      </w:r>
      <w:r w:rsidR="0083654B">
        <w:t>993)</w:t>
      </w:r>
      <w:r w:rsidRPr="0083654B">
        <w:t xml:space="preserve"> </w:t>
      </w:r>
      <w:r w:rsidR="0083654B" w:rsidRPr="0083654B">
        <w:rPr>
          <w:i/>
        </w:rPr>
        <w:t>The Health Risk Assessment and Management of Contaminated Sites</w:t>
      </w:r>
      <w:r w:rsidR="0083654B">
        <w:rPr>
          <w:i/>
        </w:rPr>
        <w:t>.</w:t>
      </w:r>
      <w:r w:rsidRPr="0083654B">
        <w:rPr>
          <w:i/>
        </w:rPr>
        <w:t xml:space="preserve"> Proceedings of the Second National Workshop on the Health Risk Assessment and Management of Contaminated Sites</w:t>
      </w:r>
      <w:r w:rsidRPr="0083654B">
        <w:t xml:space="preserve">, </w:t>
      </w:r>
      <w:r w:rsidRPr="00067D7C">
        <w:rPr>
          <w:i/>
        </w:rPr>
        <w:t>Contaminat</w:t>
      </w:r>
      <w:r w:rsidR="00067D7C">
        <w:rPr>
          <w:i/>
        </w:rPr>
        <w:t>ed Sites Monograph Series No. 2.</w:t>
      </w:r>
      <w:r w:rsidRPr="0083654B">
        <w:t xml:space="preserve"> South Australian Health Commission, Adelaide.</w:t>
      </w:r>
    </w:p>
    <w:p w14:paraId="214A13F5" w14:textId="414462DC" w:rsidR="00665D37" w:rsidRPr="00067D7C" w:rsidRDefault="00665D37" w:rsidP="00665D37">
      <w:r w:rsidRPr="00067D7C">
        <w:lastRenderedPageBreak/>
        <w:t>Langley, A</w:t>
      </w:r>
      <w:r w:rsidR="002341DD" w:rsidRPr="00067D7C">
        <w:t>J</w:t>
      </w:r>
      <w:r w:rsidRPr="00067D7C">
        <w:t xml:space="preserve">, Markey, B </w:t>
      </w:r>
      <w:r w:rsidR="00067D7C">
        <w:t xml:space="preserve">and </w:t>
      </w:r>
      <w:r w:rsidRPr="00067D7C">
        <w:t>Hill</w:t>
      </w:r>
      <w:r w:rsidR="00A21559" w:rsidRPr="00067D7C">
        <w:t>, H (E</w:t>
      </w:r>
      <w:r w:rsidRPr="00067D7C">
        <w:t>ds</w:t>
      </w:r>
      <w:r w:rsidR="00067D7C">
        <w:t>.) (1996)</w:t>
      </w:r>
      <w:r w:rsidR="00067D7C" w:rsidRPr="00067D7C">
        <w:rPr>
          <w:i/>
        </w:rPr>
        <w:t xml:space="preserve"> </w:t>
      </w:r>
      <w:r w:rsidR="00067D7C" w:rsidRPr="0083654B">
        <w:rPr>
          <w:i/>
        </w:rPr>
        <w:t>The Health Risk Assessment and Management of Contaminated Sites</w:t>
      </w:r>
      <w:r w:rsidR="00067D7C">
        <w:rPr>
          <w:i/>
        </w:rPr>
        <w:t>.</w:t>
      </w:r>
      <w:r w:rsidR="002F04CC" w:rsidRPr="00067D7C">
        <w:rPr>
          <w:i/>
        </w:rPr>
        <w:t xml:space="preserve"> Proceedings of the Third National Workshop on the Health Risk A</w:t>
      </w:r>
      <w:r w:rsidRPr="00067D7C">
        <w:rPr>
          <w:i/>
        </w:rPr>
        <w:t xml:space="preserve">ssessment and </w:t>
      </w:r>
      <w:r w:rsidR="002F04CC" w:rsidRPr="00067D7C">
        <w:rPr>
          <w:i/>
        </w:rPr>
        <w:t>Management of Contaminated S</w:t>
      </w:r>
      <w:r w:rsidRPr="00067D7C">
        <w:rPr>
          <w:i/>
        </w:rPr>
        <w:t>ites</w:t>
      </w:r>
      <w:r w:rsidR="002F04CC" w:rsidRPr="00067D7C">
        <w:t xml:space="preserve">, </w:t>
      </w:r>
      <w:r w:rsidR="002F04CC" w:rsidRPr="00067D7C">
        <w:rPr>
          <w:i/>
        </w:rPr>
        <w:t>Contaminated Sites Monograph Series N</w:t>
      </w:r>
      <w:r w:rsidR="00067D7C">
        <w:rPr>
          <w:i/>
        </w:rPr>
        <w:t xml:space="preserve">o. 5. </w:t>
      </w:r>
      <w:r w:rsidRPr="00067D7C">
        <w:t xml:space="preserve">South Australian Health </w:t>
      </w:r>
      <w:r w:rsidR="00067D7C">
        <w:t>Commission, Adelaide.</w:t>
      </w:r>
    </w:p>
    <w:p w14:paraId="31EC6077" w14:textId="52BB09A8" w:rsidR="00665D37" w:rsidRPr="00067D7C" w:rsidRDefault="00665D37" w:rsidP="00665D37">
      <w:r w:rsidRPr="00067D7C">
        <w:t>Langley, A</w:t>
      </w:r>
      <w:r w:rsidR="002341DD" w:rsidRPr="00067D7C">
        <w:t>J</w:t>
      </w:r>
      <w:r w:rsidRPr="00067D7C">
        <w:t xml:space="preserve">, Imray, </w:t>
      </w:r>
      <w:r w:rsidR="00A21559" w:rsidRPr="00067D7C">
        <w:t xml:space="preserve">P, Lock, W </w:t>
      </w:r>
      <w:r w:rsidR="00067D7C">
        <w:t xml:space="preserve">and </w:t>
      </w:r>
      <w:r w:rsidR="00A21559" w:rsidRPr="00067D7C">
        <w:t>Hill, H (E</w:t>
      </w:r>
      <w:r w:rsidR="002F04CC" w:rsidRPr="00067D7C">
        <w:t>ds</w:t>
      </w:r>
      <w:r w:rsidR="00067D7C">
        <w:t>.</w:t>
      </w:r>
      <w:r w:rsidR="002F04CC" w:rsidRPr="00067D7C">
        <w:t xml:space="preserve">) </w:t>
      </w:r>
      <w:r w:rsidR="00067D7C">
        <w:t>(</w:t>
      </w:r>
      <w:r w:rsidR="002F04CC" w:rsidRPr="00067D7C">
        <w:t>1998</w:t>
      </w:r>
      <w:r w:rsidR="00067D7C">
        <w:t>)</w:t>
      </w:r>
      <w:r w:rsidRPr="00067D7C">
        <w:t xml:space="preserve"> </w:t>
      </w:r>
      <w:r w:rsidR="00F85538" w:rsidRPr="0083654B">
        <w:rPr>
          <w:i/>
        </w:rPr>
        <w:t>The Health Risk Assessment and Management of Contaminated Sites</w:t>
      </w:r>
      <w:r w:rsidR="00F85538">
        <w:rPr>
          <w:i/>
        </w:rPr>
        <w:t>.</w:t>
      </w:r>
      <w:r w:rsidR="00F85538">
        <w:t xml:space="preserve"> </w:t>
      </w:r>
      <w:r w:rsidRPr="00067D7C">
        <w:rPr>
          <w:i/>
        </w:rPr>
        <w:t>Pr</w:t>
      </w:r>
      <w:r w:rsidR="002F04CC" w:rsidRPr="00067D7C">
        <w:rPr>
          <w:i/>
        </w:rPr>
        <w:t>oceedings of the Fourth National Workshop on the Health Risk Assessment and Management of Contaminated S</w:t>
      </w:r>
      <w:r w:rsidRPr="00067D7C">
        <w:rPr>
          <w:i/>
        </w:rPr>
        <w:t>ites</w:t>
      </w:r>
      <w:r w:rsidR="002F04CC" w:rsidRPr="00067D7C">
        <w:t xml:space="preserve">, </w:t>
      </w:r>
      <w:r w:rsidR="002F04CC" w:rsidRPr="00F85538">
        <w:rPr>
          <w:i/>
        </w:rPr>
        <w:t>Contaminated Sites Monograph S</w:t>
      </w:r>
      <w:r w:rsidRPr="00F85538">
        <w:rPr>
          <w:i/>
        </w:rPr>
        <w:t>eries</w:t>
      </w:r>
      <w:r w:rsidR="002F04CC" w:rsidRPr="00F85538">
        <w:rPr>
          <w:i/>
        </w:rPr>
        <w:t xml:space="preserve"> No.6</w:t>
      </w:r>
      <w:r w:rsidR="00F85538">
        <w:rPr>
          <w:i/>
        </w:rPr>
        <w:t>.</w:t>
      </w:r>
      <w:r w:rsidR="00F85538">
        <w:t xml:space="preserve"> </w:t>
      </w:r>
      <w:r w:rsidRPr="00067D7C">
        <w:t>South Australian Health</w:t>
      </w:r>
      <w:r w:rsidR="00F85538">
        <w:t xml:space="preserve"> Commission, Adelaide</w:t>
      </w:r>
      <w:r w:rsidRPr="00067D7C">
        <w:t>.</w:t>
      </w:r>
    </w:p>
    <w:p w14:paraId="543E378B" w14:textId="00E56334" w:rsidR="00665D37" w:rsidRPr="00255ED8" w:rsidRDefault="00665D37" w:rsidP="00665D37">
      <w:pPr>
        <w:rPr>
          <w:rFonts w:cs="Arial"/>
        </w:rPr>
      </w:pPr>
      <w:r w:rsidRPr="00255ED8">
        <w:t>Langley, A</w:t>
      </w:r>
      <w:r w:rsidR="002341DD" w:rsidRPr="00255ED8">
        <w:t>J</w:t>
      </w:r>
      <w:r w:rsidR="00A21559" w:rsidRPr="00255ED8">
        <w:t xml:space="preserve">, </w:t>
      </w:r>
      <w:proofErr w:type="spellStart"/>
      <w:r w:rsidR="00A21559" w:rsidRPr="00255ED8">
        <w:t>Gilbey</w:t>
      </w:r>
      <w:proofErr w:type="spellEnd"/>
      <w:r w:rsidR="00A21559" w:rsidRPr="00255ED8">
        <w:t xml:space="preserve">, M </w:t>
      </w:r>
      <w:r w:rsidR="00255ED8">
        <w:t>and</w:t>
      </w:r>
      <w:r w:rsidR="00A21559" w:rsidRPr="00255ED8">
        <w:t xml:space="preserve"> Kennedy, B (E</w:t>
      </w:r>
      <w:r w:rsidRPr="00255ED8">
        <w:t>ds</w:t>
      </w:r>
      <w:r w:rsidR="00255ED8">
        <w:t>.</w:t>
      </w:r>
      <w:r w:rsidRPr="00255ED8">
        <w:t xml:space="preserve">) </w:t>
      </w:r>
      <w:r w:rsidR="002F04CC" w:rsidRPr="00255ED8">
        <w:t>(</w:t>
      </w:r>
      <w:r w:rsidRPr="00255ED8">
        <w:t>2003</w:t>
      </w:r>
      <w:r w:rsidR="002F04CC" w:rsidRPr="00255ED8">
        <w:t>)</w:t>
      </w:r>
      <w:r w:rsidR="00255ED8">
        <w:t xml:space="preserve"> </w:t>
      </w:r>
      <w:r w:rsidR="00255ED8" w:rsidRPr="00255ED8">
        <w:rPr>
          <w:i/>
        </w:rPr>
        <w:t>Health and Environmental Assessment of Site C</w:t>
      </w:r>
      <w:r w:rsidR="00255ED8">
        <w:rPr>
          <w:i/>
        </w:rPr>
        <w:t>ontamination</w:t>
      </w:r>
      <w:r w:rsidRPr="00255ED8">
        <w:rPr>
          <w:i/>
        </w:rPr>
        <w:t>,</w:t>
      </w:r>
      <w:r w:rsidRPr="00255ED8">
        <w:t xml:space="preserve"> </w:t>
      </w:r>
      <w:r w:rsidR="002F04CC" w:rsidRPr="00255ED8">
        <w:rPr>
          <w:i/>
        </w:rPr>
        <w:t>Proceedings of the Fifth National Workshop on the Assessment of Site C</w:t>
      </w:r>
      <w:r w:rsidRPr="00255ED8">
        <w:rPr>
          <w:i/>
        </w:rPr>
        <w:t>ontamination</w:t>
      </w:r>
      <w:r w:rsidRPr="00255ED8">
        <w:t xml:space="preserve">, National Environment Protection Council Service Corporation, </w:t>
      </w:r>
      <w:r w:rsidR="002F04CC" w:rsidRPr="00255ED8">
        <w:t>Adelaide.</w:t>
      </w:r>
    </w:p>
    <w:p w14:paraId="4FCE4D94" w14:textId="02F7837D" w:rsidR="0067475E" w:rsidRPr="00255ED8" w:rsidRDefault="0067475E" w:rsidP="0067475E">
      <w:pPr>
        <w:rPr>
          <w:lang w:val="en" w:eastAsia="en-US"/>
        </w:rPr>
      </w:pPr>
      <w:proofErr w:type="spellStart"/>
      <w:r w:rsidRPr="00255ED8">
        <w:rPr>
          <w:lang w:val="en" w:eastAsia="en-US"/>
        </w:rPr>
        <w:t>Lijzen</w:t>
      </w:r>
      <w:proofErr w:type="spellEnd"/>
      <w:r w:rsidR="00255ED8">
        <w:rPr>
          <w:lang w:val="en" w:eastAsia="en-US"/>
        </w:rPr>
        <w:t>,</w:t>
      </w:r>
      <w:r w:rsidRPr="00255ED8">
        <w:rPr>
          <w:lang w:val="en" w:eastAsia="en-US"/>
        </w:rPr>
        <w:t xml:space="preserve"> JPA, </w:t>
      </w:r>
      <w:proofErr w:type="spellStart"/>
      <w:r w:rsidRPr="00255ED8">
        <w:rPr>
          <w:lang w:val="en" w:eastAsia="en-US"/>
        </w:rPr>
        <w:t>Baars</w:t>
      </w:r>
      <w:proofErr w:type="spellEnd"/>
      <w:r w:rsidR="00255ED8">
        <w:rPr>
          <w:lang w:val="en" w:eastAsia="en-US"/>
        </w:rPr>
        <w:t>,</w:t>
      </w:r>
      <w:r w:rsidRPr="00255ED8">
        <w:rPr>
          <w:lang w:val="en" w:eastAsia="en-US"/>
        </w:rPr>
        <w:t xml:space="preserve"> AJ, </w:t>
      </w:r>
      <w:proofErr w:type="spellStart"/>
      <w:r w:rsidRPr="00255ED8">
        <w:rPr>
          <w:lang w:val="en" w:eastAsia="en-US"/>
        </w:rPr>
        <w:t>Otte</w:t>
      </w:r>
      <w:proofErr w:type="spellEnd"/>
      <w:r w:rsidR="00255ED8">
        <w:rPr>
          <w:lang w:val="en" w:eastAsia="en-US"/>
        </w:rPr>
        <w:t>,</w:t>
      </w:r>
      <w:r w:rsidRPr="00255ED8">
        <w:rPr>
          <w:lang w:val="en" w:eastAsia="en-US"/>
        </w:rPr>
        <w:t xml:space="preserve"> PF, </w:t>
      </w:r>
      <w:proofErr w:type="spellStart"/>
      <w:r w:rsidRPr="00255ED8">
        <w:rPr>
          <w:lang w:val="en" w:eastAsia="en-US"/>
        </w:rPr>
        <w:t>Rikken</w:t>
      </w:r>
      <w:proofErr w:type="spellEnd"/>
      <w:r w:rsidR="00255ED8">
        <w:rPr>
          <w:lang w:val="en" w:eastAsia="en-US"/>
        </w:rPr>
        <w:t>,</w:t>
      </w:r>
      <w:r w:rsidRPr="00255ED8">
        <w:rPr>
          <w:lang w:val="en" w:eastAsia="en-US"/>
        </w:rPr>
        <w:t xml:space="preserve"> MGJ, </w:t>
      </w:r>
      <w:proofErr w:type="spellStart"/>
      <w:r w:rsidRPr="00255ED8">
        <w:rPr>
          <w:lang w:val="en" w:eastAsia="en-US"/>
        </w:rPr>
        <w:t>Swartjes</w:t>
      </w:r>
      <w:proofErr w:type="spellEnd"/>
      <w:r w:rsidR="00255ED8">
        <w:rPr>
          <w:lang w:val="en" w:eastAsia="en-US"/>
        </w:rPr>
        <w:t>,</w:t>
      </w:r>
      <w:r w:rsidRPr="00255ED8">
        <w:rPr>
          <w:lang w:val="en" w:eastAsia="en-US"/>
        </w:rPr>
        <w:t xml:space="preserve"> FA, </w:t>
      </w:r>
      <w:proofErr w:type="spellStart"/>
      <w:r w:rsidRPr="00255ED8">
        <w:rPr>
          <w:lang w:val="en" w:eastAsia="en-US"/>
        </w:rPr>
        <w:t>Verbruggen</w:t>
      </w:r>
      <w:proofErr w:type="spellEnd"/>
      <w:r w:rsidR="00255ED8">
        <w:rPr>
          <w:lang w:val="en" w:eastAsia="en-US"/>
        </w:rPr>
        <w:t>,</w:t>
      </w:r>
      <w:r w:rsidRPr="00255ED8">
        <w:rPr>
          <w:lang w:val="en" w:eastAsia="en-US"/>
        </w:rPr>
        <w:t xml:space="preserve"> EMJ, Van </w:t>
      </w:r>
      <w:proofErr w:type="spellStart"/>
      <w:r w:rsidRPr="00255ED8">
        <w:rPr>
          <w:lang w:val="en" w:eastAsia="en-US"/>
        </w:rPr>
        <w:t>Wezel</w:t>
      </w:r>
      <w:proofErr w:type="spellEnd"/>
      <w:r w:rsidR="00255ED8">
        <w:rPr>
          <w:lang w:val="en" w:eastAsia="en-US"/>
        </w:rPr>
        <w:t>, AP</w:t>
      </w:r>
      <w:r w:rsidRPr="00255ED8">
        <w:rPr>
          <w:lang w:val="en" w:eastAsia="en-US"/>
        </w:rPr>
        <w:t xml:space="preserve"> (2001) </w:t>
      </w:r>
      <w:r w:rsidR="00255ED8">
        <w:rPr>
          <w:i/>
          <w:lang w:val="en" w:eastAsia="en-US"/>
        </w:rPr>
        <w:t>Technical E</w:t>
      </w:r>
      <w:r w:rsidRPr="00255ED8">
        <w:rPr>
          <w:i/>
          <w:lang w:val="en" w:eastAsia="en-US"/>
        </w:rPr>
        <w:t>valuation of the Intervention Values for Soil/sediment and Groundwater.</w:t>
      </w:r>
      <w:r w:rsidR="00255ED8">
        <w:rPr>
          <w:lang w:val="en" w:eastAsia="en-US"/>
        </w:rPr>
        <w:t xml:space="preserve"> </w:t>
      </w:r>
      <w:r w:rsidRPr="00255ED8">
        <w:rPr>
          <w:lang w:val="en" w:eastAsia="en-US"/>
        </w:rPr>
        <w:t>National Institute for Public Health and the Environment (RIVM).</w:t>
      </w:r>
      <w:r w:rsidR="00255ED8" w:rsidRPr="00255ED8">
        <w:rPr>
          <w:lang w:val="en" w:eastAsia="en-US"/>
        </w:rPr>
        <w:t xml:space="preserve"> </w:t>
      </w:r>
      <w:proofErr w:type="spellStart"/>
      <w:r w:rsidR="00255ED8" w:rsidRPr="00255ED8">
        <w:rPr>
          <w:lang w:val="en" w:eastAsia="en-US"/>
        </w:rPr>
        <w:t>Bilthoven</w:t>
      </w:r>
      <w:proofErr w:type="spellEnd"/>
      <w:r w:rsidR="00255ED8" w:rsidRPr="00255ED8">
        <w:rPr>
          <w:lang w:val="en" w:eastAsia="en-US"/>
        </w:rPr>
        <w:t>, the Netherlands</w:t>
      </w:r>
      <w:r w:rsidR="00255ED8">
        <w:rPr>
          <w:lang w:val="en" w:eastAsia="en-US"/>
        </w:rPr>
        <w:t>.</w:t>
      </w:r>
      <w:r w:rsidR="00255ED8" w:rsidRPr="00255ED8">
        <w:rPr>
          <w:lang w:val="en" w:eastAsia="en-US"/>
        </w:rPr>
        <w:t xml:space="preserve"> </w:t>
      </w:r>
      <w:r w:rsidR="00255ED8">
        <w:rPr>
          <w:lang w:val="en" w:eastAsia="en-US"/>
        </w:rPr>
        <w:t xml:space="preserve"> RIVM Report N</w:t>
      </w:r>
      <w:r w:rsidRPr="00255ED8">
        <w:rPr>
          <w:lang w:val="en" w:eastAsia="en-US"/>
        </w:rPr>
        <w:t>o. 711701023.</w:t>
      </w:r>
    </w:p>
    <w:p w14:paraId="37C08FCB" w14:textId="54F5A26D" w:rsidR="0067475E" w:rsidRPr="00255ED8" w:rsidRDefault="0067475E" w:rsidP="0067475E">
      <w:pPr>
        <w:rPr>
          <w:lang w:val="en" w:eastAsia="en-US"/>
        </w:rPr>
      </w:pPr>
      <w:proofErr w:type="spellStart"/>
      <w:r w:rsidRPr="00255ED8">
        <w:rPr>
          <w:lang w:val="en" w:eastAsia="en-US"/>
        </w:rPr>
        <w:t>Lijzen</w:t>
      </w:r>
      <w:proofErr w:type="spellEnd"/>
      <w:r w:rsidR="00255ED8">
        <w:rPr>
          <w:lang w:val="en" w:eastAsia="en-US"/>
        </w:rPr>
        <w:t>,</w:t>
      </w:r>
      <w:r w:rsidRPr="00255ED8">
        <w:rPr>
          <w:lang w:val="en" w:eastAsia="en-US"/>
        </w:rPr>
        <w:t xml:space="preserve"> JPA, </w:t>
      </w:r>
      <w:proofErr w:type="spellStart"/>
      <w:r w:rsidRPr="00255ED8">
        <w:rPr>
          <w:lang w:val="en" w:eastAsia="en-US"/>
        </w:rPr>
        <w:t>Otte</w:t>
      </w:r>
      <w:proofErr w:type="spellEnd"/>
      <w:r w:rsidR="00255ED8">
        <w:rPr>
          <w:lang w:val="en" w:eastAsia="en-US"/>
        </w:rPr>
        <w:t>,</w:t>
      </w:r>
      <w:r w:rsidRPr="00255ED8">
        <w:rPr>
          <w:lang w:val="en" w:eastAsia="en-US"/>
        </w:rPr>
        <w:t xml:space="preserve"> PF, Kovar</w:t>
      </w:r>
      <w:r w:rsidR="00255ED8">
        <w:rPr>
          <w:lang w:val="en" w:eastAsia="en-US"/>
        </w:rPr>
        <w:t xml:space="preserve">, K, </w:t>
      </w:r>
      <w:r w:rsidR="00255ED8" w:rsidRPr="007F3045">
        <w:rPr>
          <w:i/>
          <w:lang w:val="en" w:eastAsia="en-US"/>
        </w:rPr>
        <w:t>et al</w:t>
      </w:r>
      <w:r w:rsidR="00255ED8" w:rsidRPr="00255ED8">
        <w:rPr>
          <w:i/>
          <w:lang w:val="en" w:eastAsia="en-US"/>
        </w:rPr>
        <w:t>.</w:t>
      </w:r>
      <w:r w:rsidR="00255ED8">
        <w:rPr>
          <w:lang w:val="en" w:eastAsia="en-US"/>
        </w:rPr>
        <w:t xml:space="preserve"> (2003) </w:t>
      </w:r>
      <w:r w:rsidR="00255ED8" w:rsidRPr="00255ED8">
        <w:rPr>
          <w:i/>
          <w:lang w:val="en" w:eastAsia="en-US"/>
        </w:rPr>
        <w:t>Progress R</w:t>
      </w:r>
      <w:r w:rsidRPr="00255ED8">
        <w:rPr>
          <w:i/>
          <w:lang w:val="en" w:eastAsia="en-US"/>
        </w:rPr>
        <w:t xml:space="preserve">eport. Evaluation of the </w:t>
      </w:r>
      <w:r w:rsidR="00255ED8" w:rsidRPr="00255ED8">
        <w:rPr>
          <w:i/>
          <w:lang w:val="en" w:eastAsia="en-US"/>
        </w:rPr>
        <w:t>Remediation Urgency Methodology: A</w:t>
      </w:r>
      <w:r w:rsidRPr="00255ED8">
        <w:rPr>
          <w:i/>
          <w:lang w:val="en" w:eastAsia="en-US"/>
        </w:rPr>
        <w:t>nalys</w:t>
      </w:r>
      <w:r w:rsidR="00255ED8" w:rsidRPr="00255ED8">
        <w:rPr>
          <w:i/>
          <w:lang w:val="en" w:eastAsia="en-US"/>
        </w:rPr>
        <w:t>is of Restraints and First Exploration of S</w:t>
      </w:r>
      <w:r w:rsidRPr="00255ED8">
        <w:rPr>
          <w:i/>
          <w:lang w:val="en" w:eastAsia="en-US"/>
        </w:rPr>
        <w:t>olutions.</w:t>
      </w:r>
      <w:r w:rsidRPr="00255ED8">
        <w:rPr>
          <w:lang w:val="en" w:eastAsia="en-US"/>
        </w:rPr>
        <w:t xml:space="preserve"> </w:t>
      </w:r>
      <w:r w:rsidR="00255ED8" w:rsidRPr="00255ED8">
        <w:rPr>
          <w:lang w:val="en" w:eastAsia="en-US"/>
        </w:rPr>
        <w:t xml:space="preserve">National Institute for Public Health and the Environment (RIVM). </w:t>
      </w:r>
      <w:proofErr w:type="spellStart"/>
      <w:r w:rsidR="00255ED8" w:rsidRPr="00255ED8">
        <w:rPr>
          <w:lang w:val="en" w:eastAsia="en-US"/>
        </w:rPr>
        <w:t>Bilthoven</w:t>
      </w:r>
      <w:proofErr w:type="spellEnd"/>
      <w:r w:rsidR="00255ED8" w:rsidRPr="00255ED8">
        <w:rPr>
          <w:lang w:val="en" w:eastAsia="en-US"/>
        </w:rPr>
        <w:t>, the Netherlands</w:t>
      </w:r>
      <w:r w:rsidR="00255ED8">
        <w:rPr>
          <w:lang w:val="en" w:eastAsia="en-US"/>
        </w:rPr>
        <w:t>.</w:t>
      </w:r>
      <w:r w:rsidR="00255ED8" w:rsidRPr="00255ED8">
        <w:rPr>
          <w:lang w:val="en" w:eastAsia="en-US"/>
        </w:rPr>
        <w:t xml:space="preserve">  </w:t>
      </w:r>
      <w:r w:rsidR="00255ED8">
        <w:rPr>
          <w:lang w:val="en" w:eastAsia="en-US"/>
        </w:rPr>
        <w:t>RIVM Report N</w:t>
      </w:r>
      <w:r w:rsidRPr="00255ED8">
        <w:rPr>
          <w:lang w:val="en" w:eastAsia="en-US"/>
        </w:rPr>
        <w:t>o. 711701033.</w:t>
      </w:r>
    </w:p>
    <w:p w14:paraId="21905236" w14:textId="164E07C4" w:rsidR="0067475E" w:rsidRPr="00255ED8" w:rsidRDefault="0067475E" w:rsidP="0067475E">
      <w:pPr>
        <w:rPr>
          <w:lang w:val="en" w:eastAsia="en-US"/>
        </w:rPr>
      </w:pPr>
      <w:proofErr w:type="spellStart"/>
      <w:r w:rsidRPr="00255ED8">
        <w:rPr>
          <w:lang w:val="en" w:eastAsia="en-US"/>
        </w:rPr>
        <w:t>Lijzen</w:t>
      </w:r>
      <w:proofErr w:type="spellEnd"/>
      <w:r w:rsidR="00255ED8">
        <w:rPr>
          <w:lang w:val="en" w:eastAsia="en-US"/>
        </w:rPr>
        <w:t xml:space="preserve">, </w:t>
      </w:r>
      <w:r w:rsidRPr="00255ED8">
        <w:rPr>
          <w:lang w:val="en" w:eastAsia="en-US"/>
        </w:rPr>
        <w:t xml:space="preserve">JPA, </w:t>
      </w:r>
      <w:proofErr w:type="spellStart"/>
      <w:r w:rsidRPr="00255ED8">
        <w:rPr>
          <w:lang w:val="en" w:eastAsia="en-US"/>
        </w:rPr>
        <w:t>Otte</w:t>
      </w:r>
      <w:proofErr w:type="spellEnd"/>
      <w:r w:rsidRPr="00255ED8">
        <w:rPr>
          <w:lang w:val="en" w:eastAsia="en-US"/>
        </w:rPr>
        <w:t xml:space="preserve">, PF, Bakker, J, </w:t>
      </w:r>
      <w:proofErr w:type="spellStart"/>
      <w:r w:rsidRPr="00255ED8">
        <w:rPr>
          <w:lang w:val="en" w:eastAsia="en-US"/>
        </w:rPr>
        <w:t>Swartjes</w:t>
      </w:r>
      <w:proofErr w:type="spellEnd"/>
      <w:r w:rsidRPr="00255ED8">
        <w:rPr>
          <w:lang w:val="en" w:eastAsia="en-US"/>
        </w:rPr>
        <w:t xml:space="preserve">, JFA, </w:t>
      </w:r>
      <w:proofErr w:type="spellStart"/>
      <w:r w:rsidRPr="00255ED8">
        <w:rPr>
          <w:lang w:val="en" w:eastAsia="en-US"/>
        </w:rPr>
        <w:t>Baars</w:t>
      </w:r>
      <w:proofErr w:type="spellEnd"/>
      <w:r w:rsidRPr="00255ED8">
        <w:rPr>
          <w:lang w:val="en" w:eastAsia="en-US"/>
        </w:rPr>
        <w:t xml:space="preserve">, AJ, </w:t>
      </w:r>
      <w:proofErr w:type="spellStart"/>
      <w:r w:rsidR="003644D8" w:rsidRPr="00255ED8">
        <w:rPr>
          <w:lang w:val="en" w:eastAsia="en-US"/>
        </w:rPr>
        <w:t>Oomen</w:t>
      </w:r>
      <w:proofErr w:type="spellEnd"/>
      <w:r w:rsidR="003644D8">
        <w:rPr>
          <w:lang w:val="en" w:eastAsia="en-US"/>
        </w:rPr>
        <w:t xml:space="preserve">, </w:t>
      </w:r>
      <w:r w:rsidR="003644D8" w:rsidRPr="00255ED8">
        <w:rPr>
          <w:lang w:val="en" w:eastAsia="en-US"/>
        </w:rPr>
        <w:t>AG</w:t>
      </w:r>
      <w:r w:rsidR="003644D8">
        <w:rPr>
          <w:lang w:val="en" w:eastAsia="en-US"/>
        </w:rPr>
        <w:t xml:space="preserve">, </w:t>
      </w:r>
      <w:r w:rsidR="003644D8" w:rsidRPr="00255ED8">
        <w:rPr>
          <w:lang w:val="en" w:eastAsia="en-US"/>
        </w:rPr>
        <w:t>and</w:t>
      </w:r>
      <w:r w:rsidRPr="00255ED8">
        <w:rPr>
          <w:lang w:val="en" w:eastAsia="en-US"/>
        </w:rPr>
        <w:t xml:space="preserve"> </w:t>
      </w:r>
      <w:r w:rsidR="003644D8" w:rsidRPr="00255ED8">
        <w:rPr>
          <w:lang w:val="en" w:eastAsia="en-US"/>
        </w:rPr>
        <w:t>Brand</w:t>
      </w:r>
      <w:r w:rsidR="003644D8">
        <w:rPr>
          <w:lang w:val="en" w:eastAsia="en-US"/>
        </w:rPr>
        <w:t xml:space="preserve">, </w:t>
      </w:r>
      <w:r w:rsidR="003644D8" w:rsidRPr="00255ED8">
        <w:rPr>
          <w:lang w:val="en" w:eastAsia="en-US"/>
        </w:rPr>
        <w:t>E</w:t>
      </w:r>
      <w:r w:rsidRPr="00255ED8">
        <w:rPr>
          <w:lang w:val="en" w:eastAsia="en-US"/>
        </w:rPr>
        <w:t xml:space="preserve"> </w:t>
      </w:r>
      <w:r w:rsidR="00255ED8">
        <w:rPr>
          <w:lang w:val="en" w:eastAsia="en-US"/>
        </w:rPr>
        <w:t xml:space="preserve">(2008) </w:t>
      </w:r>
      <w:r w:rsidR="00255ED8" w:rsidRPr="00255ED8">
        <w:rPr>
          <w:i/>
          <w:lang w:val="en" w:eastAsia="en-US"/>
        </w:rPr>
        <w:t>Guidance for Site-Specific Human-Toxicological Risk Assessment of Soil C</w:t>
      </w:r>
      <w:r w:rsidRPr="00255ED8">
        <w:rPr>
          <w:i/>
          <w:lang w:val="en" w:eastAsia="en-US"/>
        </w:rPr>
        <w:t>ontamination.</w:t>
      </w:r>
      <w:r w:rsidR="00255ED8">
        <w:rPr>
          <w:lang w:val="en" w:eastAsia="en-US"/>
        </w:rPr>
        <w:t xml:space="preserve"> </w:t>
      </w:r>
      <w:r w:rsidRPr="00255ED8">
        <w:rPr>
          <w:lang w:val="en" w:eastAsia="en-US"/>
        </w:rPr>
        <w:t xml:space="preserve">National Institute for Public Health and the Environment (RIVM). </w:t>
      </w:r>
      <w:proofErr w:type="spellStart"/>
      <w:r w:rsidR="00255ED8" w:rsidRPr="00255ED8">
        <w:rPr>
          <w:lang w:val="en" w:eastAsia="en-US"/>
        </w:rPr>
        <w:t>Bilthoven</w:t>
      </w:r>
      <w:proofErr w:type="spellEnd"/>
      <w:r w:rsidR="00255ED8" w:rsidRPr="00255ED8">
        <w:rPr>
          <w:lang w:val="en" w:eastAsia="en-US"/>
        </w:rPr>
        <w:t>, the Netherlands</w:t>
      </w:r>
      <w:r w:rsidR="00255ED8">
        <w:rPr>
          <w:lang w:val="en" w:eastAsia="en-US"/>
        </w:rPr>
        <w:t>.</w:t>
      </w:r>
      <w:r w:rsidR="00255ED8" w:rsidRPr="00255ED8">
        <w:rPr>
          <w:lang w:val="en" w:eastAsia="en-US"/>
        </w:rPr>
        <w:t xml:space="preserve"> </w:t>
      </w:r>
      <w:r w:rsidRPr="00255ED8">
        <w:rPr>
          <w:lang w:val="en" w:eastAsia="en-US"/>
        </w:rPr>
        <w:t>RIVM report no. 711701050.</w:t>
      </w:r>
    </w:p>
    <w:p w14:paraId="4BC45BDB" w14:textId="0E6501D4" w:rsidR="00616317" w:rsidRPr="00255ED8" w:rsidRDefault="00616317" w:rsidP="00616317">
      <w:r w:rsidRPr="00255ED8">
        <w:t xml:space="preserve">Mallett, H, Cox, L, Wilson, S, and Corban, M (2014) </w:t>
      </w:r>
      <w:r w:rsidR="00255ED8">
        <w:rPr>
          <w:i/>
        </w:rPr>
        <w:t>Good Practice on the Testing and Verification of Protection Systems for Buildings against Hazardous Ground G</w:t>
      </w:r>
      <w:r w:rsidRPr="00255ED8">
        <w:rPr>
          <w:i/>
        </w:rPr>
        <w:t>ases.</w:t>
      </w:r>
      <w:r w:rsidRPr="00255ED8">
        <w:t xml:space="preserve"> Construction Industry Research and Information Association (CIRIA), London, UK. CIRIA C735.</w:t>
      </w:r>
    </w:p>
    <w:p w14:paraId="1D67A8D3" w14:textId="4F14AF4A" w:rsidR="00677D1F" w:rsidRPr="00717FDF" w:rsidRDefault="00677D1F" w:rsidP="00195B58">
      <w:pPr>
        <w:rPr>
          <w:rFonts w:cs="Arial"/>
        </w:rPr>
      </w:pPr>
      <w:r w:rsidRPr="00717FDF">
        <w:rPr>
          <w:rFonts w:cs="Arial"/>
        </w:rPr>
        <w:t>Manno, M</w:t>
      </w:r>
      <w:r w:rsidR="00717FDF">
        <w:rPr>
          <w:rFonts w:cs="Arial"/>
        </w:rPr>
        <w:t>,</w:t>
      </w:r>
      <w:r w:rsidRPr="00717FDF">
        <w:rPr>
          <w:rFonts w:cs="Arial"/>
        </w:rPr>
        <w:t xml:space="preserve"> </w:t>
      </w:r>
      <w:r w:rsidRPr="00717FDF">
        <w:rPr>
          <w:rFonts w:cs="Arial"/>
          <w:i/>
        </w:rPr>
        <w:t>et al</w:t>
      </w:r>
      <w:r w:rsidR="00717FDF" w:rsidRPr="00717FDF">
        <w:rPr>
          <w:rFonts w:cs="Arial"/>
          <w:i/>
        </w:rPr>
        <w:t>.</w:t>
      </w:r>
      <w:r w:rsidR="00717FDF">
        <w:rPr>
          <w:rFonts w:cs="Arial"/>
        </w:rPr>
        <w:t xml:space="preserve"> (2010)</w:t>
      </w:r>
      <w:r w:rsidRPr="00717FDF">
        <w:rPr>
          <w:rFonts w:cs="Arial"/>
        </w:rPr>
        <w:t xml:space="preserve"> Biomonitoring for occupational health risk assessment (BOHRA).  </w:t>
      </w:r>
      <w:r w:rsidRPr="00717FDF">
        <w:rPr>
          <w:rFonts w:cs="Arial"/>
          <w:i/>
        </w:rPr>
        <w:t>Toxicology Letters</w:t>
      </w:r>
      <w:r w:rsidR="00717FDF">
        <w:rPr>
          <w:rFonts w:cs="Arial"/>
        </w:rPr>
        <w:t xml:space="preserve"> 192:</w:t>
      </w:r>
      <w:r w:rsidRPr="00717FDF">
        <w:rPr>
          <w:rFonts w:cs="Arial"/>
        </w:rPr>
        <w:t xml:space="preserve"> 3-16.</w:t>
      </w:r>
    </w:p>
    <w:p w14:paraId="3C281F79" w14:textId="29260090" w:rsidR="00155136" w:rsidRPr="00717FDF" w:rsidRDefault="00155136" w:rsidP="002A372F">
      <w:proofErr w:type="spellStart"/>
      <w:r w:rsidRPr="00717FDF">
        <w:t>Martuzzi</w:t>
      </w:r>
      <w:proofErr w:type="spellEnd"/>
      <w:r w:rsidRPr="00717FDF">
        <w:t xml:space="preserve">, M, </w:t>
      </w:r>
      <w:proofErr w:type="spellStart"/>
      <w:r w:rsidRPr="00717FDF">
        <w:t>Pasetto</w:t>
      </w:r>
      <w:proofErr w:type="spellEnd"/>
      <w:r w:rsidRPr="00717FDF">
        <w:t>,</w:t>
      </w:r>
      <w:r w:rsidR="00717FDF">
        <w:t xml:space="preserve"> R and Martin-Olmedo, P (2014) Industrially c</w:t>
      </w:r>
      <w:r w:rsidRPr="00717FDF">
        <w:t>ontaminate</w:t>
      </w:r>
      <w:r w:rsidR="00717FDF">
        <w:t>d sites and h</w:t>
      </w:r>
      <w:r w:rsidRPr="00717FDF">
        <w:t xml:space="preserve">ealth.  </w:t>
      </w:r>
      <w:r w:rsidRPr="00717FDF">
        <w:rPr>
          <w:i/>
        </w:rPr>
        <w:t>Journal of Environmental and Public Health</w:t>
      </w:r>
      <w:r w:rsidR="00717FDF">
        <w:t xml:space="preserve">, </w:t>
      </w:r>
      <w:r w:rsidRPr="00717FDF">
        <w:t>Article ID 198574, pp1-2.</w:t>
      </w:r>
    </w:p>
    <w:p w14:paraId="13D66117" w14:textId="77777777" w:rsidR="00717FDF" w:rsidRPr="00717FDF" w:rsidRDefault="00717FDF" w:rsidP="00717FDF">
      <w:r w:rsidRPr="00717FDF">
        <w:t xml:space="preserve">MDEP (2002) </w:t>
      </w:r>
      <w:r w:rsidRPr="00717FDF">
        <w:rPr>
          <w:i/>
        </w:rPr>
        <w:t>Indoor Air Sampling and Evaluation Guide WSC Policy #2-430.</w:t>
      </w:r>
      <w:r w:rsidRPr="00717FDF">
        <w:t xml:space="preserve"> Office of Research and Standards, Department of Environmental Protection, Boston, MA, USA.</w:t>
      </w:r>
    </w:p>
    <w:p w14:paraId="43B7EBB4" w14:textId="42AACACA" w:rsidR="00781370" w:rsidRPr="00717FDF" w:rsidRDefault="00781370" w:rsidP="00781370">
      <w:r w:rsidRPr="00717FDF">
        <w:t xml:space="preserve">MDEP (2011) </w:t>
      </w:r>
      <w:r w:rsidRPr="00717FDF">
        <w:rPr>
          <w:i/>
        </w:rPr>
        <w:t>Interim Final Vapor Intrusion Guidance.</w:t>
      </w:r>
      <w:r w:rsidRPr="00717FDF">
        <w:t xml:space="preserve"> Massachusetts Department of Environment Protection, Boston, MA, USA.</w:t>
      </w:r>
    </w:p>
    <w:p w14:paraId="7377444B" w14:textId="77777777" w:rsidR="00B97D79" w:rsidRPr="00717FDF" w:rsidRDefault="00B97D79" w:rsidP="00B97D79">
      <w:pPr>
        <w:autoSpaceDE w:val="0"/>
        <w:autoSpaceDN w:val="0"/>
        <w:adjustRightInd w:val="0"/>
        <w:spacing w:after="0" w:line="240" w:lineRule="auto"/>
        <w:rPr>
          <w:rFonts w:cs="Arial"/>
        </w:rPr>
      </w:pPr>
      <w:proofErr w:type="spellStart"/>
      <w:r w:rsidRPr="00717FDF">
        <w:rPr>
          <w:rFonts w:cs="Arial"/>
        </w:rPr>
        <w:t>MfE</w:t>
      </w:r>
      <w:proofErr w:type="spellEnd"/>
      <w:r w:rsidRPr="00717FDF">
        <w:rPr>
          <w:rFonts w:cs="Arial"/>
        </w:rPr>
        <w:t xml:space="preserve"> (1999) </w:t>
      </w:r>
      <w:r w:rsidRPr="00717FDF">
        <w:rPr>
          <w:i/>
        </w:rPr>
        <w:t>Guidelines for Assessing and Managing Petroleum Hydrocarbon Contaminated Sites in New Zealand (Revised 2011).</w:t>
      </w:r>
      <w:r w:rsidRPr="00717FDF">
        <w:t xml:space="preserve"> </w:t>
      </w:r>
      <w:r w:rsidRPr="00717FDF">
        <w:rPr>
          <w:rFonts w:cs="Arial"/>
        </w:rPr>
        <w:t>Ministry for the Environment, Wellington, New Zealand.</w:t>
      </w:r>
    </w:p>
    <w:p w14:paraId="2C610A58" w14:textId="77777777" w:rsidR="00B97D79" w:rsidRPr="00C7193D" w:rsidRDefault="00B97D79" w:rsidP="00B97D79">
      <w:pPr>
        <w:autoSpaceDE w:val="0"/>
        <w:autoSpaceDN w:val="0"/>
        <w:adjustRightInd w:val="0"/>
        <w:spacing w:after="0" w:line="240" w:lineRule="auto"/>
        <w:rPr>
          <w:rFonts w:cs="Arial"/>
          <w:highlight w:val="yellow"/>
        </w:rPr>
      </w:pPr>
    </w:p>
    <w:p w14:paraId="2C01B389" w14:textId="4BDF4A49" w:rsidR="00B97D79" w:rsidRPr="00DF3D84" w:rsidRDefault="00B97D79" w:rsidP="00B97D79">
      <w:pPr>
        <w:autoSpaceDE w:val="0"/>
        <w:autoSpaceDN w:val="0"/>
        <w:adjustRightInd w:val="0"/>
        <w:spacing w:after="0" w:line="240" w:lineRule="auto"/>
        <w:rPr>
          <w:rFonts w:cs="Arial"/>
        </w:rPr>
      </w:pPr>
      <w:proofErr w:type="spellStart"/>
      <w:r w:rsidRPr="00DF3D84">
        <w:rPr>
          <w:rFonts w:cs="Arial"/>
        </w:rPr>
        <w:t>MfE</w:t>
      </w:r>
      <w:proofErr w:type="spellEnd"/>
      <w:r w:rsidRPr="00DF3D84">
        <w:rPr>
          <w:rFonts w:cs="Arial"/>
        </w:rPr>
        <w:t xml:space="preserve"> (2001) </w:t>
      </w:r>
      <w:r w:rsidRPr="00DF3D84">
        <w:rPr>
          <w:i/>
        </w:rPr>
        <w:t>A Guide for the Management of Closing and Closed Landfills in New Zealand</w:t>
      </w:r>
      <w:r w:rsidRPr="00DF3D84">
        <w:rPr>
          <w:rFonts w:cs="Arial"/>
          <w:i/>
        </w:rPr>
        <w:t>.</w:t>
      </w:r>
      <w:r w:rsidRPr="00DF3D84">
        <w:rPr>
          <w:rFonts w:cs="Arial"/>
        </w:rPr>
        <w:t xml:space="preserve"> Ministry for the Environment, Wellington, New Zealand.</w:t>
      </w:r>
    </w:p>
    <w:p w14:paraId="50319DF9" w14:textId="77777777" w:rsidR="00B97D79" w:rsidRPr="00C7193D" w:rsidRDefault="00B97D79" w:rsidP="00B97D79">
      <w:pPr>
        <w:autoSpaceDE w:val="0"/>
        <w:autoSpaceDN w:val="0"/>
        <w:adjustRightInd w:val="0"/>
        <w:spacing w:after="0" w:line="240" w:lineRule="auto"/>
        <w:rPr>
          <w:rFonts w:cs="Arial"/>
          <w:highlight w:val="yellow"/>
        </w:rPr>
      </w:pPr>
    </w:p>
    <w:p w14:paraId="0A730ED8" w14:textId="7EF3201B" w:rsidR="00B97D79" w:rsidRPr="00DF3D84" w:rsidRDefault="00B97D79" w:rsidP="00B97D79">
      <w:pPr>
        <w:autoSpaceDE w:val="0"/>
        <w:autoSpaceDN w:val="0"/>
        <w:adjustRightInd w:val="0"/>
        <w:spacing w:after="0" w:line="240" w:lineRule="auto"/>
        <w:rPr>
          <w:rFonts w:cs="Arial"/>
        </w:rPr>
      </w:pPr>
      <w:proofErr w:type="spellStart"/>
      <w:r w:rsidRPr="00DF3D84">
        <w:rPr>
          <w:rFonts w:cs="Arial"/>
        </w:rPr>
        <w:lastRenderedPageBreak/>
        <w:t>MfE</w:t>
      </w:r>
      <w:proofErr w:type="spellEnd"/>
      <w:r w:rsidRPr="00DF3D84">
        <w:rPr>
          <w:rFonts w:cs="Arial"/>
        </w:rPr>
        <w:t xml:space="preserve"> (2011</w:t>
      </w:r>
      <w:r w:rsidRPr="00DF3D84">
        <w:rPr>
          <w:rFonts w:cs="Arial"/>
          <w:i/>
        </w:rPr>
        <w:t xml:space="preserve">) </w:t>
      </w:r>
      <w:r w:rsidRPr="00DF3D84">
        <w:rPr>
          <w:i/>
        </w:rPr>
        <w:t>Methodology for Deriving Standards for Contaminants in Soil to protect Human Health</w:t>
      </w:r>
      <w:r w:rsidR="00DF3D84">
        <w:rPr>
          <w:rFonts w:cs="Arial"/>
        </w:rPr>
        <w:t>.</w:t>
      </w:r>
      <w:r w:rsidRPr="00DF3D84">
        <w:rPr>
          <w:rFonts w:cs="Arial"/>
        </w:rPr>
        <w:t xml:space="preserve"> Ministry for the Environment, Wellington, New Zealand. Publication number ME 1055.</w:t>
      </w:r>
    </w:p>
    <w:p w14:paraId="042C51A9" w14:textId="77777777" w:rsidR="00B97D79" w:rsidRPr="00C7193D" w:rsidRDefault="00B97D79" w:rsidP="00B97D79">
      <w:pPr>
        <w:autoSpaceDE w:val="0"/>
        <w:autoSpaceDN w:val="0"/>
        <w:adjustRightInd w:val="0"/>
        <w:spacing w:after="0" w:line="240" w:lineRule="auto"/>
        <w:rPr>
          <w:rFonts w:cs="Arial"/>
          <w:highlight w:val="yellow"/>
        </w:rPr>
      </w:pPr>
    </w:p>
    <w:p w14:paraId="0E5B4B7A" w14:textId="77777777" w:rsidR="00DF3D84" w:rsidRDefault="00DF3D84" w:rsidP="00FA1478">
      <w:pPr>
        <w:rPr>
          <w:highlight w:val="yellow"/>
        </w:rPr>
        <w:sectPr w:rsidR="00DF3D84" w:rsidSect="00067D7C">
          <w:pgSz w:w="12240" w:h="15840"/>
          <w:pgMar w:top="1800" w:right="1440" w:bottom="1440" w:left="1440" w:header="850" w:footer="850" w:gutter="0"/>
          <w:cols w:space="720"/>
          <w:docGrid w:linePitch="299"/>
        </w:sectPr>
      </w:pPr>
    </w:p>
    <w:p w14:paraId="55FEF509" w14:textId="176B19C8" w:rsidR="00FA1478" w:rsidRPr="00DF3D84" w:rsidRDefault="00FA1478" w:rsidP="00FA1478">
      <w:pPr>
        <w:rPr>
          <w:rFonts w:cs="Arial"/>
        </w:rPr>
      </w:pPr>
      <w:r w:rsidRPr="00DF3D84">
        <w:lastRenderedPageBreak/>
        <w:t>Moolgavkar</w:t>
      </w:r>
      <w:r w:rsidR="00DF3D84">
        <w:t>,</w:t>
      </w:r>
      <w:r w:rsidRPr="00DF3D84">
        <w:t xml:space="preserve"> SH, Moller</w:t>
      </w:r>
      <w:r w:rsidR="00DF3D84">
        <w:t>,</w:t>
      </w:r>
      <w:r w:rsidRPr="00DF3D84">
        <w:t xml:space="preserve"> H</w:t>
      </w:r>
      <w:r w:rsidR="00DF3D84">
        <w:t>,</w:t>
      </w:r>
      <w:r w:rsidRPr="00DF3D84">
        <w:t xml:space="preserve"> and Woodward</w:t>
      </w:r>
      <w:r w:rsidR="00DF3D84">
        <w:t>,</w:t>
      </w:r>
      <w:r w:rsidRPr="00DF3D84">
        <w:t xml:space="preserve"> A (1999). Principles of the epidemiological approach to QEP. In</w:t>
      </w:r>
      <w:r w:rsidR="00DF3D84">
        <w:t>:</w:t>
      </w:r>
      <w:r w:rsidRPr="00DF3D84">
        <w:t xml:space="preserve"> SH Moolgavkar, L </w:t>
      </w:r>
      <w:proofErr w:type="spellStart"/>
      <w:r w:rsidRPr="00DF3D84">
        <w:t>Krewski</w:t>
      </w:r>
      <w:proofErr w:type="spellEnd"/>
      <w:r w:rsidRPr="00DF3D84">
        <w:t xml:space="preserve">, L </w:t>
      </w:r>
      <w:proofErr w:type="spellStart"/>
      <w:r w:rsidRPr="00DF3D84">
        <w:t>Zeise</w:t>
      </w:r>
      <w:proofErr w:type="spellEnd"/>
      <w:r w:rsidRPr="00DF3D84">
        <w:t xml:space="preserve"> </w:t>
      </w:r>
      <w:r w:rsidRPr="00DF3D84">
        <w:rPr>
          <w:i/>
        </w:rPr>
        <w:t>et al.</w:t>
      </w:r>
      <w:r w:rsidRPr="00DF3D84">
        <w:t xml:space="preserve"> (Eds), </w:t>
      </w:r>
      <w:r w:rsidR="00DF3D84">
        <w:rPr>
          <w:rFonts w:ascii="TradeGothic-LightOblique" w:hAnsi="TradeGothic-LightOblique" w:cs="TradeGothic-LightOblique"/>
          <w:i/>
          <w:iCs/>
        </w:rPr>
        <w:t>Quantitative Estimation and Prediction of Human Cancer R</w:t>
      </w:r>
      <w:r w:rsidRPr="00DF3D84">
        <w:rPr>
          <w:rFonts w:ascii="TradeGothic-LightOblique" w:hAnsi="TradeGothic-LightOblique" w:cs="TradeGothic-LightOblique"/>
          <w:i/>
          <w:iCs/>
        </w:rPr>
        <w:t>isks.</w:t>
      </w:r>
      <w:r w:rsidR="00DF3D84">
        <w:t xml:space="preserve"> </w:t>
      </w:r>
      <w:r w:rsidRPr="00DF3D84">
        <w:t>International Agency for Research on Cancer,</w:t>
      </w:r>
      <w:r w:rsidR="00DF3D84" w:rsidRPr="00DF3D84">
        <w:t xml:space="preserve"> Lyon</w:t>
      </w:r>
      <w:r w:rsidR="00DF3D84">
        <w:t>.</w:t>
      </w:r>
      <w:r w:rsidRPr="00DF3D84">
        <w:t xml:space="preserve"> Scientific Publication 131. [as cited in enHealth 2012a].</w:t>
      </w:r>
    </w:p>
    <w:p w14:paraId="4E719027" w14:textId="3BBACCC1" w:rsidR="00FA1478" w:rsidRPr="00DF3D84" w:rsidRDefault="003644D8" w:rsidP="00FA1478">
      <w:pPr>
        <w:spacing w:after="0"/>
      </w:pPr>
      <w:r>
        <w:t xml:space="preserve">Moradi, </w:t>
      </w:r>
      <w:r w:rsidR="00FA1478" w:rsidRPr="00DF3D84">
        <w:t xml:space="preserve">A, </w:t>
      </w:r>
      <w:proofErr w:type="spellStart"/>
      <w:r w:rsidR="00FA1478" w:rsidRPr="00DF3D84">
        <w:t>Tootkaboni</w:t>
      </w:r>
      <w:proofErr w:type="spellEnd"/>
      <w:r w:rsidR="00DF3D84">
        <w:t>,</w:t>
      </w:r>
      <w:r w:rsidR="00FA1478" w:rsidRPr="00DF3D84">
        <w:t xml:space="preserve"> M</w:t>
      </w:r>
      <w:r w:rsidR="00DF3D84">
        <w:t xml:space="preserve">, </w:t>
      </w:r>
      <w:r w:rsidR="00FA1478" w:rsidRPr="00DF3D84">
        <w:t>Kelly</w:t>
      </w:r>
      <w:r w:rsidR="00DF3D84">
        <w:t>, G, and</w:t>
      </w:r>
      <w:r w:rsidR="00FA1478" w:rsidRPr="00DF3D84">
        <w:t xml:space="preserve"> Pennell KG (2015) A variance decomposition approach to uncertainty quantification and sensitivity analysis of</w:t>
      </w:r>
      <w:r w:rsidR="000B2095">
        <w:t xml:space="preserve"> the Johnson and Ettinger model.</w:t>
      </w:r>
      <w:r w:rsidR="00FA1478" w:rsidRPr="00DF3D84">
        <w:t xml:space="preserve"> </w:t>
      </w:r>
      <w:r w:rsidR="00FA1478" w:rsidRPr="000B2095">
        <w:rPr>
          <w:i/>
        </w:rPr>
        <w:t xml:space="preserve">Journal of the Air </w:t>
      </w:r>
      <w:r w:rsidR="000B2095" w:rsidRPr="000B2095">
        <w:rPr>
          <w:i/>
        </w:rPr>
        <w:t>and</w:t>
      </w:r>
      <w:r w:rsidR="00FA1478" w:rsidRPr="000B2095">
        <w:rPr>
          <w:i/>
        </w:rPr>
        <w:t xml:space="preserve"> Waste Management Association</w:t>
      </w:r>
      <w:r w:rsidR="00FA1478" w:rsidRPr="00DF3D84">
        <w:t>, 65:2, 154-164, DOI: 10.1080/10962247.2014.980469</w:t>
      </w:r>
    </w:p>
    <w:p w14:paraId="77636900" w14:textId="77777777" w:rsidR="00FA1478" w:rsidRPr="00C7193D" w:rsidRDefault="00FA1478" w:rsidP="00FA1478">
      <w:pPr>
        <w:spacing w:after="0"/>
        <w:rPr>
          <w:rFonts w:cs="Arial"/>
          <w:highlight w:val="yellow"/>
        </w:rPr>
      </w:pPr>
    </w:p>
    <w:p w14:paraId="5589E2B5" w14:textId="6DB7DA43" w:rsidR="00ED087A" w:rsidRPr="000B2095" w:rsidRDefault="000B2095" w:rsidP="00FA1478">
      <w:pPr>
        <w:spacing w:after="0"/>
        <w:rPr>
          <w:rFonts w:cs="Arial"/>
        </w:rPr>
      </w:pPr>
      <w:r>
        <w:rPr>
          <w:rFonts w:cs="Arial"/>
        </w:rPr>
        <w:t xml:space="preserve">NRC </w:t>
      </w:r>
      <w:r w:rsidR="00ED087A" w:rsidRPr="000B2095">
        <w:rPr>
          <w:rFonts w:cs="Arial"/>
        </w:rPr>
        <w:t xml:space="preserve">(1983) </w:t>
      </w:r>
      <w:r w:rsidR="00ED087A" w:rsidRPr="000B2095">
        <w:rPr>
          <w:rFonts w:cs="Arial"/>
          <w:i/>
        </w:rPr>
        <w:t>Risk Assessment in the Federal Government: Managing the Process.</w:t>
      </w:r>
      <w:r w:rsidR="00ED087A" w:rsidRPr="000B2095">
        <w:rPr>
          <w:rFonts w:cs="Arial"/>
        </w:rPr>
        <w:t xml:space="preserve"> </w:t>
      </w:r>
      <w:r w:rsidRPr="000B2095">
        <w:rPr>
          <w:rFonts w:cs="Arial"/>
        </w:rPr>
        <w:t>National Research Council</w:t>
      </w:r>
      <w:r>
        <w:rPr>
          <w:rFonts w:cs="Arial"/>
        </w:rPr>
        <w:t xml:space="preserve">. </w:t>
      </w:r>
      <w:r w:rsidRPr="000B2095">
        <w:rPr>
          <w:rFonts w:cs="Arial"/>
        </w:rPr>
        <w:t>National Academy Press</w:t>
      </w:r>
      <w:r>
        <w:rPr>
          <w:rFonts w:cs="Arial"/>
        </w:rPr>
        <w:t>,</w:t>
      </w:r>
      <w:r w:rsidRPr="000B2095">
        <w:rPr>
          <w:rFonts w:cs="Arial"/>
        </w:rPr>
        <w:t xml:space="preserve"> </w:t>
      </w:r>
      <w:r>
        <w:rPr>
          <w:rFonts w:cs="Arial"/>
        </w:rPr>
        <w:t>Washington, DC.</w:t>
      </w:r>
    </w:p>
    <w:p w14:paraId="3EA021E3" w14:textId="77777777" w:rsidR="00FA1478" w:rsidRPr="00C7193D" w:rsidRDefault="00FA1478" w:rsidP="00FA1478">
      <w:pPr>
        <w:spacing w:after="0"/>
        <w:rPr>
          <w:rFonts w:cs="Arial"/>
          <w:highlight w:val="yellow"/>
        </w:rPr>
      </w:pPr>
    </w:p>
    <w:p w14:paraId="628D3E3C" w14:textId="77777777" w:rsidR="00FA1478" w:rsidRPr="000B2095" w:rsidRDefault="002F04CC" w:rsidP="00FA1478">
      <w:pPr>
        <w:spacing w:after="0"/>
      </w:pPr>
      <w:r w:rsidRPr="000B2095">
        <w:t>NEPC (1999</w:t>
      </w:r>
      <w:r w:rsidR="00A21559" w:rsidRPr="000B2095">
        <w:t>, as amended</w:t>
      </w:r>
      <w:r w:rsidRPr="000B2095">
        <w:t xml:space="preserve">) </w:t>
      </w:r>
      <w:r w:rsidRPr="000B2095">
        <w:rPr>
          <w:i/>
        </w:rPr>
        <w:t>National Environment Protection (Assessment of Site Contamination) Measure</w:t>
      </w:r>
      <w:r w:rsidRPr="000B2095">
        <w:t>, National Environment Protection Council, Canberra.</w:t>
      </w:r>
    </w:p>
    <w:p w14:paraId="5C3EF672" w14:textId="7F7FBD47" w:rsidR="002F04CC" w:rsidRPr="00C7193D" w:rsidRDefault="002F04CC" w:rsidP="00FA1478">
      <w:pPr>
        <w:spacing w:after="0"/>
        <w:rPr>
          <w:highlight w:val="yellow"/>
        </w:rPr>
      </w:pPr>
      <w:r w:rsidRPr="00C7193D">
        <w:rPr>
          <w:highlight w:val="yellow"/>
        </w:rPr>
        <w:t xml:space="preserve"> </w:t>
      </w:r>
    </w:p>
    <w:p w14:paraId="56AE9997" w14:textId="77777777" w:rsidR="00795A1F" w:rsidRPr="000B2095" w:rsidRDefault="00761282" w:rsidP="00795A1F">
      <w:pPr>
        <w:spacing w:after="0"/>
      </w:pPr>
      <w:r w:rsidRPr="000B2095">
        <w:rPr>
          <w:rFonts w:cs="Arial"/>
        </w:rPr>
        <w:t xml:space="preserve">NEPC (2004) </w:t>
      </w:r>
      <w:r w:rsidRPr="000B2095">
        <w:rPr>
          <w:rFonts w:cs="Arial"/>
          <w:i/>
        </w:rPr>
        <w:t>Report on the Review of the Practicability of a 10 Minute Sulphur Dioxide Standard.</w:t>
      </w:r>
      <w:r w:rsidRPr="000B2095">
        <w:rPr>
          <w:rFonts w:cs="Arial"/>
        </w:rPr>
        <w:t xml:space="preserve">  National Environment Protection (Ambient Air Quality) Measure.  National Enviro</w:t>
      </w:r>
      <w:r w:rsidR="00795A1F" w:rsidRPr="000B2095">
        <w:rPr>
          <w:rFonts w:cs="Arial"/>
        </w:rPr>
        <w:t xml:space="preserve">nment Protection Council, </w:t>
      </w:r>
      <w:r w:rsidR="00795A1F" w:rsidRPr="000B2095">
        <w:t>Canberra.</w:t>
      </w:r>
    </w:p>
    <w:p w14:paraId="0498916C" w14:textId="77777777" w:rsidR="00795A1F" w:rsidRPr="00C7193D" w:rsidRDefault="00795A1F" w:rsidP="00FA1478">
      <w:pPr>
        <w:spacing w:after="0"/>
        <w:rPr>
          <w:rFonts w:cs="Arial"/>
          <w:highlight w:val="yellow"/>
        </w:rPr>
      </w:pPr>
    </w:p>
    <w:p w14:paraId="1D86AC68" w14:textId="006EDF9B" w:rsidR="00FA1478" w:rsidRPr="000B2095" w:rsidRDefault="00795A1F" w:rsidP="00795A1F">
      <w:pPr>
        <w:spacing w:after="0"/>
        <w:rPr>
          <w:rFonts w:cs="Arial"/>
        </w:rPr>
      </w:pPr>
      <w:r w:rsidRPr="000B2095">
        <w:rPr>
          <w:rFonts w:cs="Arial"/>
        </w:rPr>
        <w:t xml:space="preserve">NEPC (2005) </w:t>
      </w:r>
      <w:r w:rsidRPr="000B2095">
        <w:rPr>
          <w:i/>
        </w:rPr>
        <w:t xml:space="preserve">Review of the National Environment Protection (Assessment of Site Contamination) Measure. </w:t>
      </w:r>
      <w:r w:rsidRPr="000B2095">
        <w:rPr>
          <w:rFonts w:cs="Arial"/>
          <w:i/>
        </w:rPr>
        <w:t>Issues Paper. June 2005.</w:t>
      </w:r>
      <w:r w:rsidRPr="000B2095">
        <w:rPr>
          <w:rFonts w:cs="Arial"/>
        </w:rPr>
        <w:t xml:space="preserve">  National Environment Protection Council, </w:t>
      </w:r>
      <w:r w:rsidRPr="000B2095">
        <w:t>Canberra.</w:t>
      </w:r>
    </w:p>
    <w:p w14:paraId="57557D62" w14:textId="77777777" w:rsidR="00795A1F" w:rsidRPr="00C7193D" w:rsidRDefault="00795A1F" w:rsidP="00FA1478">
      <w:pPr>
        <w:spacing w:after="0"/>
        <w:rPr>
          <w:highlight w:val="yellow"/>
        </w:rPr>
      </w:pPr>
    </w:p>
    <w:p w14:paraId="523CC330" w14:textId="0325AC74" w:rsidR="00781370" w:rsidRPr="000B2095" w:rsidRDefault="00781370" w:rsidP="00FA1478">
      <w:pPr>
        <w:spacing w:after="0"/>
      </w:pPr>
      <w:r w:rsidRPr="000B2095">
        <w:t xml:space="preserve">NJDEP (2013) </w:t>
      </w:r>
      <w:r w:rsidRPr="000B2095">
        <w:rPr>
          <w:i/>
        </w:rPr>
        <w:t>Vapor Intrusion Technical Guidance. Site Remediation Program.</w:t>
      </w:r>
      <w:r w:rsidRPr="000B2095">
        <w:t xml:space="preserve"> New Jersey Department of Environment Protection, New Jersey, USA.</w:t>
      </w:r>
    </w:p>
    <w:p w14:paraId="5A031944" w14:textId="77777777" w:rsidR="00FA1478" w:rsidRPr="00C7193D" w:rsidRDefault="00FA1478" w:rsidP="00FA1478">
      <w:pPr>
        <w:spacing w:after="0"/>
        <w:rPr>
          <w:highlight w:val="yellow"/>
        </w:rPr>
      </w:pPr>
    </w:p>
    <w:p w14:paraId="4D593FEB" w14:textId="0CF34706" w:rsidR="008F4035" w:rsidRPr="000B2095" w:rsidRDefault="008F4035" w:rsidP="00FA1478">
      <w:pPr>
        <w:spacing w:after="0"/>
        <w:rPr>
          <w:rFonts w:cs="Arial"/>
        </w:rPr>
      </w:pPr>
      <w:r w:rsidRPr="000B2095">
        <w:rPr>
          <w:rFonts w:cs="Arial"/>
        </w:rPr>
        <w:t xml:space="preserve">NSW DECCW (2010) </w:t>
      </w:r>
      <w:proofErr w:type="spellStart"/>
      <w:r w:rsidRPr="000B2095">
        <w:rPr>
          <w:rFonts w:cs="Arial"/>
          <w:i/>
        </w:rPr>
        <w:t>Vapour</w:t>
      </w:r>
      <w:proofErr w:type="spellEnd"/>
      <w:r w:rsidRPr="000B2095">
        <w:rPr>
          <w:rFonts w:cs="Arial"/>
          <w:i/>
        </w:rPr>
        <w:t xml:space="preserve"> Intrusion Technical Guidance Note.</w:t>
      </w:r>
      <w:r w:rsidRPr="000B2095">
        <w:rPr>
          <w:rFonts w:cs="Arial"/>
        </w:rPr>
        <w:t xml:space="preserve">  New South Wales Department of Environment, Climate Change and Water, Sydney.</w:t>
      </w:r>
    </w:p>
    <w:p w14:paraId="6BF85884" w14:textId="77777777" w:rsidR="00FA1478" w:rsidRPr="00C7193D" w:rsidRDefault="00FA1478" w:rsidP="00FA1478">
      <w:pPr>
        <w:spacing w:after="0"/>
        <w:rPr>
          <w:rFonts w:cs="Arial"/>
          <w:highlight w:val="yellow"/>
        </w:rPr>
      </w:pPr>
    </w:p>
    <w:p w14:paraId="73F5FAF3" w14:textId="77777777" w:rsidR="008F4035" w:rsidRPr="000B2095" w:rsidRDefault="008F4035" w:rsidP="00195B58">
      <w:pPr>
        <w:rPr>
          <w:rFonts w:cs="Arial"/>
        </w:rPr>
      </w:pPr>
      <w:r w:rsidRPr="000B2095">
        <w:rPr>
          <w:rFonts w:cs="Arial"/>
        </w:rPr>
        <w:t xml:space="preserve">NSW EPA (2012) </w:t>
      </w:r>
      <w:r w:rsidRPr="000B2095">
        <w:rPr>
          <w:rFonts w:cs="Arial"/>
          <w:i/>
        </w:rPr>
        <w:t>Guidelines for the Assessment and Management of Sites Impacted by Hazardous Ground Gases.</w:t>
      </w:r>
      <w:r w:rsidRPr="000B2095">
        <w:rPr>
          <w:rFonts w:cs="Arial"/>
        </w:rPr>
        <w:t xml:space="preserve">  New South Wales Environment Protection Authority, Sydney.</w:t>
      </w:r>
    </w:p>
    <w:p w14:paraId="66C66EB8" w14:textId="0C9B1897" w:rsidR="006477E1" w:rsidRPr="000B2095" w:rsidRDefault="006477E1" w:rsidP="00195B58">
      <w:r w:rsidRPr="000B2095">
        <w:t xml:space="preserve">NSW EPA (2014) </w:t>
      </w:r>
      <w:r w:rsidRPr="000B2095">
        <w:rPr>
          <w:i/>
        </w:rPr>
        <w:t>Technical Note: Investigation of Service Station Sites.</w:t>
      </w:r>
      <w:r w:rsidRPr="000B2095">
        <w:t xml:space="preserve">  State of NSW and Environment Protection Authority, Sydney, New South Wales.</w:t>
      </w:r>
    </w:p>
    <w:p w14:paraId="4B767540" w14:textId="6F673E1A" w:rsidR="003B6D28" w:rsidRPr="000B2095" w:rsidRDefault="006A0BDD" w:rsidP="00195B58">
      <w:pPr>
        <w:rPr>
          <w:rFonts w:cs="Arial"/>
        </w:rPr>
      </w:pPr>
      <w:proofErr w:type="spellStart"/>
      <w:r w:rsidRPr="000B2095">
        <w:t>NY</w:t>
      </w:r>
      <w:r w:rsidR="003B6D28" w:rsidRPr="000B2095">
        <w:t>SDoH</w:t>
      </w:r>
      <w:proofErr w:type="spellEnd"/>
      <w:r w:rsidR="003B6D28" w:rsidRPr="000B2095">
        <w:t xml:space="preserve"> (2006) </w:t>
      </w:r>
      <w:r w:rsidR="003B6D28" w:rsidRPr="000B2095">
        <w:rPr>
          <w:i/>
        </w:rPr>
        <w:t>Final. Guidance for Evaluating Soil Vapor Intrusion in the State of New York.</w:t>
      </w:r>
      <w:r w:rsidR="003B6D28" w:rsidRPr="000B2095">
        <w:t xml:space="preserve"> New York State Department of Health, New York, USA.</w:t>
      </w:r>
    </w:p>
    <w:p w14:paraId="5A856C28" w14:textId="0B4A5BBD" w:rsidR="009D39EA" w:rsidRPr="000B2095" w:rsidRDefault="00987E89" w:rsidP="00195B58">
      <w:r w:rsidRPr="000B2095">
        <w:rPr>
          <w:rFonts w:cs="Arial"/>
        </w:rPr>
        <w:t xml:space="preserve">OECD (2011) </w:t>
      </w:r>
      <w:r w:rsidRPr="000B2095">
        <w:rPr>
          <w:i/>
          <w:iCs/>
        </w:rPr>
        <w:t>Guidance Document for the Derivation of an Acute Reference Concentration (</w:t>
      </w:r>
      <w:proofErr w:type="spellStart"/>
      <w:r w:rsidRPr="000B2095">
        <w:rPr>
          <w:i/>
          <w:iCs/>
        </w:rPr>
        <w:t>ARfC</w:t>
      </w:r>
      <w:proofErr w:type="spellEnd"/>
      <w:r w:rsidRPr="000B2095">
        <w:rPr>
          <w:i/>
          <w:iCs/>
        </w:rPr>
        <w:t xml:space="preserve">). </w:t>
      </w:r>
      <w:r w:rsidR="00E67708">
        <w:t xml:space="preserve">Organization for Economic </w:t>
      </w:r>
      <w:r w:rsidRPr="000B2095">
        <w:t>Co-operat</w:t>
      </w:r>
      <w:r w:rsidR="000B2095">
        <w:t>ion and Development. Paris, France. Available at</w:t>
      </w:r>
      <w:r w:rsidRPr="000B2095">
        <w:t xml:space="preserve"> </w:t>
      </w:r>
      <w:hyperlink r:id="rId74" w:history="1">
        <w:r w:rsidRPr="000B2095">
          <w:rPr>
            <w:rStyle w:val="Hyperlink"/>
          </w:rPr>
          <w:t>http://www.oecd.org/dataoecd/41/60/48542016.pdf</w:t>
        </w:r>
      </w:hyperlink>
      <w:r w:rsidR="000B2095">
        <w:t xml:space="preserve"> [</w:t>
      </w:r>
      <w:r w:rsidRPr="000B2095">
        <w:t>accessed 19 June 2016].</w:t>
      </w:r>
    </w:p>
    <w:p w14:paraId="4DB0642B" w14:textId="48E04867" w:rsidR="003938F3" w:rsidRPr="000B2095" w:rsidRDefault="003938F3" w:rsidP="00195B58">
      <w:pPr>
        <w:rPr>
          <w:rFonts w:cs="Arial"/>
        </w:rPr>
      </w:pPr>
      <w:r w:rsidRPr="000B2095">
        <w:rPr>
          <w:rFonts w:cs="Arial"/>
        </w:rPr>
        <w:t xml:space="preserve">Oxford Dictionary (2016) </w:t>
      </w:r>
      <w:r w:rsidRPr="000B2095">
        <w:rPr>
          <w:rFonts w:cs="Arial"/>
          <w:i/>
        </w:rPr>
        <w:t>Oxford dictionaries on-line</w:t>
      </w:r>
      <w:r w:rsidR="000B2095">
        <w:rPr>
          <w:rFonts w:cs="Arial"/>
        </w:rPr>
        <w:t xml:space="preserve"> Available at </w:t>
      </w:r>
      <w:hyperlink r:id="rId75" w:history="1">
        <w:r w:rsidR="000B2095" w:rsidRPr="00F5432D">
          <w:rPr>
            <w:rStyle w:val="Hyperlink"/>
            <w:rFonts w:cs="Arial"/>
          </w:rPr>
          <w:t>http://www.oxforddictionaries.com/definition/english</w:t>
        </w:r>
      </w:hyperlink>
      <w:r w:rsidR="000B2095">
        <w:rPr>
          <w:rFonts w:cs="Arial"/>
        </w:rPr>
        <w:t xml:space="preserve"> [a</w:t>
      </w:r>
      <w:r w:rsidRPr="000B2095">
        <w:rPr>
          <w:rFonts w:cs="Arial"/>
        </w:rPr>
        <w:t>ccessed 11 June 2016].</w:t>
      </w:r>
    </w:p>
    <w:p w14:paraId="54693299" w14:textId="379B55C8" w:rsidR="007B0102" w:rsidRPr="000B2095" w:rsidRDefault="007B0102" w:rsidP="00195B58">
      <w:pPr>
        <w:rPr>
          <w:rFonts w:cs="Arial"/>
        </w:rPr>
      </w:pPr>
      <w:r w:rsidRPr="000B2095">
        <w:rPr>
          <w:rFonts w:cs="Arial"/>
        </w:rPr>
        <w:t>Ott</w:t>
      </w:r>
      <w:r w:rsidR="000B2095" w:rsidRPr="000B2095">
        <w:rPr>
          <w:rFonts w:cs="Arial"/>
        </w:rPr>
        <w:t>,</w:t>
      </w:r>
      <w:r w:rsidRPr="000B2095">
        <w:rPr>
          <w:rFonts w:cs="Arial"/>
        </w:rPr>
        <w:t xml:space="preserve"> WR (1982) Concepts of human exposure to air pollution. </w:t>
      </w:r>
      <w:r w:rsidRPr="000B2095">
        <w:rPr>
          <w:rFonts w:cs="Arial"/>
          <w:i/>
        </w:rPr>
        <w:t>Environment International</w:t>
      </w:r>
      <w:r w:rsidR="000B2095">
        <w:rPr>
          <w:rFonts w:cs="Arial"/>
        </w:rPr>
        <w:t xml:space="preserve"> 7: </w:t>
      </w:r>
      <w:r w:rsidRPr="000B2095">
        <w:rPr>
          <w:rFonts w:cs="Arial"/>
        </w:rPr>
        <w:t>179-196.</w:t>
      </w:r>
    </w:p>
    <w:p w14:paraId="2210A36D" w14:textId="6E4EEB25" w:rsidR="0067475E" w:rsidRPr="000B2095" w:rsidRDefault="0067475E" w:rsidP="0067475E">
      <w:pPr>
        <w:rPr>
          <w:lang w:val="en" w:eastAsia="en-US"/>
        </w:rPr>
      </w:pPr>
      <w:proofErr w:type="spellStart"/>
      <w:r w:rsidRPr="000B2095">
        <w:rPr>
          <w:lang w:val="en" w:eastAsia="en-US"/>
        </w:rPr>
        <w:lastRenderedPageBreak/>
        <w:t>Otte</w:t>
      </w:r>
      <w:proofErr w:type="spellEnd"/>
      <w:r w:rsidR="000B2095">
        <w:rPr>
          <w:lang w:val="en" w:eastAsia="en-US"/>
        </w:rPr>
        <w:t xml:space="preserve">, PF, </w:t>
      </w:r>
      <w:proofErr w:type="spellStart"/>
      <w:r w:rsidR="000B2095">
        <w:rPr>
          <w:lang w:val="en" w:eastAsia="en-US"/>
        </w:rPr>
        <w:t>Lijzen</w:t>
      </w:r>
      <w:proofErr w:type="spellEnd"/>
      <w:r w:rsidR="000B2095">
        <w:rPr>
          <w:lang w:val="en" w:eastAsia="en-US"/>
        </w:rPr>
        <w:t xml:space="preserve">, JPA, </w:t>
      </w:r>
      <w:proofErr w:type="spellStart"/>
      <w:r w:rsidR="000B2095">
        <w:rPr>
          <w:lang w:val="en" w:eastAsia="en-US"/>
        </w:rPr>
        <w:t>Otte</w:t>
      </w:r>
      <w:proofErr w:type="spellEnd"/>
      <w:r w:rsidR="000B2095">
        <w:rPr>
          <w:lang w:val="en" w:eastAsia="en-US"/>
        </w:rPr>
        <w:t xml:space="preserve">, JG, </w:t>
      </w:r>
      <w:proofErr w:type="spellStart"/>
      <w:r w:rsidRPr="000B2095">
        <w:rPr>
          <w:lang w:val="en" w:eastAsia="en-US"/>
        </w:rPr>
        <w:t>Swartjes</w:t>
      </w:r>
      <w:proofErr w:type="spellEnd"/>
      <w:r w:rsidRPr="000B2095">
        <w:rPr>
          <w:lang w:val="en" w:eastAsia="en-US"/>
        </w:rPr>
        <w:t xml:space="preserve">, FA, </w:t>
      </w:r>
      <w:proofErr w:type="spellStart"/>
      <w:r w:rsidRPr="000B2095">
        <w:rPr>
          <w:lang w:val="en" w:eastAsia="en-US"/>
        </w:rPr>
        <w:t>Versluijs</w:t>
      </w:r>
      <w:proofErr w:type="spellEnd"/>
      <w:r w:rsidR="000B2095">
        <w:rPr>
          <w:lang w:val="en" w:eastAsia="en-US"/>
        </w:rPr>
        <w:t>, CW</w:t>
      </w:r>
      <w:r w:rsidRPr="000B2095">
        <w:rPr>
          <w:lang w:val="en" w:eastAsia="en-US"/>
        </w:rPr>
        <w:t xml:space="preserve"> (2001) </w:t>
      </w:r>
      <w:r w:rsidR="000B2095">
        <w:rPr>
          <w:i/>
          <w:lang w:val="en" w:eastAsia="en-US"/>
        </w:rPr>
        <w:t>Evaluation and Revision of the CSOIL Parameter S</w:t>
      </w:r>
      <w:r w:rsidRPr="000B2095">
        <w:rPr>
          <w:i/>
          <w:lang w:val="en" w:eastAsia="en-US"/>
        </w:rPr>
        <w:t>et. Propo</w:t>
      </w:r>
      <w:r w:rsidR="000B2095">
        <w:rPr>
          <w:i/>
          <w:lang w:val="en" w:eastAsia="en-US"/>
        </w:rPr>
        <w:t>sed Parameter Set for Human Exposure Modelling and D</w:t>
      </w:r>
      <w:r w:rsidRPr="000B2095">
        <w:rPr>
          <w:i/>
          <w:lang w:val="en" w:eastAsia="en-US"/>
        </w:rPr>
        <w:t>erivi</w:t>
      </w:r>
      <w:r w:rsidR="000B2095">
        <w:rPr>
          <w:i/>
          <w:lang w:val="en" w:eastAsia="en-US"/>
        </w:rPr>
        <w:t>ng Intervention Values for the First Series of C</w:t>
      </w:r>
      <w:r w:rsidRPr="000B2095">
        <w:rPr>
          <w:i/>
          <w:lang w:val="en" w:eastAsia="en-US"/>
        </w:rPr>
        <w:t>ompounds.</w:t>
      </w:r>
      <w:r w:rsidR="000B2095">
        <w:rPr>
          <w:lang w:val="en" w:eastAsia="en-US"/>
        </w:rPr>
        <w:t xml:space="preserve"> </w:t>
      </w:r>
      <w:r w:rsidRPr="000B2095">
        <w:rPr>
          <w:lang w:val="en" w:eastAsia="en-US"/>
        </w:rPr>
        <w:t xml:space="preserve">National Institute for Public Health and the Environment (RIVM). </w:t>
      </w:r>
      <w:proofErr w:type="spellStart"/>
      <w:r w:rsidR="000B2095">
        <w:rPr>
          <w:lang w:val="en" w:eastAsia="en-US"/>
        </w:rPr>
        <w:t>Bilthoven</w:t>
      </w:r>
      <w:proofErr w:type="spellEnd"/>
      <w:r w:rsidR="000B2095">
        <w:rPr>
          <w:lang w:val="en" w:eastAsia="en-US"/>
        </w:rPr>
        <w:t>, the Netherlands. RIVM Report N</w:t>
      </w:r>
      <w:r w:rsidRPr="000B2095">
        <w:rPr>
          <w:lang w:val="en" w:eastAsia="en-US"/>
        </w:rPr>
        <w:t>o.711701021, pp.125.</w:t>
      </w:r>
    </w:p>
    <w:p w14:paraId="307CBB01" w14:textId="78B624E0" w:rsidR="0067475E" w:rsidRPr="000B3F3E" w:rsidRDefault="0067475E" w:rsidP="0067475E">
      <w:pPr>
        <w:rPr>
          <w:lang w:val="en" w:eastAsia="en-US"/>
        </w:rPr>
      </w:pPr>
      <w:proofErr w:type="spellStart"/>
      <w:r w:rsidRPr="000B3F3E">
        <w:rPr>
          <w:lang w:val="en" w:eastAsia="en-US"/>
        </w:rPr>
        <w:t>Otte</w:t>
      </w:r>
      <w:proofErr w:type="spellEnd"/>
      <w:r w:rsidR="000B3F3E">
        <w:rPr>
          <w:lang w:val="en" w:eastAsia="en-US"/>
        </w:rPr>
        <w:t>,</w:t>
      </w:r>
      <w:r w:rsidRPr="000B3F3E">
        <w:rPr>
          <w:lang w:val="en" w:eastAsia="en-US"/>
        </w:rPr>
        <w:t xml:space="preserve"> PF, </w:t>
      </w:r>
      <w:proofErr w:type="spellStart"/>
      <w:r w:rsidRPr="000B3F3E">
        <w:rPr>
          <w:lang w:val="en" w:eastAsia="en-US"/>
        </w:rPr>
        <w:t>Lijzen</w:t>
      </w:r>
      <w:proofErr w:type="spellEnd"/>
      <w:r w:rsidR="000B3F3E">
        <w:rPr>
          <w:lang w:val="en" w:eastAsia="en-US"/>
        </w:rPr>
        <w:t>,</w:t>
      </w:r>
      <w:r w:rsidRPr="000B3F3E">
        <w:rPr>
          <w:lang w:val="en" w:eastAsia="en-US"/>
        </w:rPr>
        <w:t xml:space="preserve"> JPA, Mennen</w:t>
      </w:r>
      <w:r w:rsidR="000B3F3E">
        <w:rPr>
          <w:lang w:val="en" w:eastAsia="en-US"/>
        </w:rPr>
        <w:t>,</w:t>
      </w:r>
      <w:r w:rsidRPr="000B3F3E">
        <w:rPr>
          <w:lang w:val="en" w:eastAsia="en-US"/>
        </w:rPr>
        <w:t xml:space="preserve"> MG, </w:t>
      </w:r>
      <w:proofErr w:type="spellStart"/>
      <w:r w:rsidRPr="000B3F3E">
        <w:rPr>
          <w:lang w:val="en" w:eastAsia="en-US"/>
        </w:rPr>
        <w:t>Spijker</w:t>
      </w:r>
      <w:proofErr w:type="spellEnd"/>
      <w:r w:rsidR="000B3F3E">
        <w:rPr>
          <w:lang w:val="en" w:eastAsia="en-US"/>
        </w:rPr>
        <w:t>, J (2007</w:t>
      </w:r>
      <w:r w:rsidR="000B3F3E" w:rsidRPr="0001542F">
        <w:rPr>
          <w:i/>
          <w:lang w:val="en" w:eastAsia="en-US"/>
        </w:rPr>
        <w:t>) Guidance on Air Quality Measurement for Assessing Risks of Contaminated S</w:t>
      </w:r>
      <w:r w:rsidRPr="0001542F">
        <w:rPr>
          <w:i/>
          <w:lang w:val="en" w:eastAsia="en-US"/>
        </w:rPr>
        <w:t>o</w:t>
      </w:r>
      <w:r w:rsidR="000B3F3E" w:rsidRPr="0001542F">
        <w:rPr>
          <w:i/>
          <w:lang w:val="en" w:eastAsia="en-US"/>
        </w:rPr>
        <w:t>il.</w:t>
      </w:r>
      <w:r w:rsidR="000B3F3E">
        <w:rPr>
          <w:lang w:val="en" w:eastAsia="en-US"/>
        </w:rPr>
        <w:t xml:space="preserve"> </w:t>
      </w:r>
      <w:r w:rsidRPr="000B3F3E">
        <w:rPr>
          <w:lang w:val="en" w:eastAsia="en-US"/>
        </w:rPr>
        <w:t>National Institute for Public Health and the Environment</w:t>
      </w:r>
      <w:r w:rsidR="0001542F">
        <w:rPr>
          <w:lang w:val="en" w:eastAsia="en-US"/>
        </w:rPr>
        <w:t xml:space="preserve"> </w:t>
      </w:r>
      <w:r w:rsidR="0001542F" w:rsidRPr="000B3F3E">
        <w:rPr>
          <w:lang w:val="en" w:eastAsia="en-US"/>
        </w:rPr>
        <w:t xml:space="preserve">(RIVM). </w:t>
      </w:r>
      <w:proofErr w:type="spellStart"/>
      <w:r w:rsidR="0001542F">
        <w:rPr>
          <w:lang w:val="en" w:eastAsia="en-US"/>
        </w:rPr>
        <w:t>Bilthoven</w:t>
      </w:r>
      <w:proofErr w:type="spellEnd"/>
      <w:r w:rsidR="0001542F">
        <w:rPr>
          <w:lang w:val="en" w:eastAsia="en-US"/>
        </w:rPr>
        <w:t xml:space="preserve">, the Netherlands. </w:t>
      </w:r>
      <w:r w:rsidRPr="000B3F3E">
        <w:rPr>
          <w:lang w:val="en" w:eastAsia="en-US"/>
        </w:rPr>
        <w:t xml:space="preserve"> </w:t>
      </w:r>
      <w:r w:rsidR="0001542F">
        <w:rPr>
          <w:lang w:val="en" w:eastAsia="en-US"/>
        </w:rPr>
        <w:t>RIVM Report N</w:t>
      </w:r>
      <w:r w:rsidRPr="000B3F3E">
        <w:rPr>
          <w:lang w:val="en" w:eastAsia="en-US"/>
        </w:rPr>
        <w:t>o. 711701048. (In Dutch).</w:t>
      </w:r>
    </w:p>
    <w:p w14:paraId="64379983" w14:textId="174101AF" w:rsidR="0031511C" w:rsidRPr="0001542F" w:rsidRDefault="0031511C" w:rsidP="0031511C">
      <w:r w:rsidRPr="0001542F">
        <w:t xml:space="preserve">Pennell, KG, Scammell, MK, McClean MD, </w:t>
      </w:r>
      <w:proofErr w:type="spellStart"/>
      <w:r w:rsidRPr="0001542F">
        <w:t>Suuberg</w:t>
      </w:r>
      <w:proofErr w:type="spellEnd"/>
      <w:r w:rsidRPr="0001542F">
        <w:t xml:space="preserve">, EM, Moradi, A, </w:t>
      </w:r>
      <w:proofErr w:type="spellStart"/>
      <w:r w:rsidRPr="0001542F">
        <w:t>Roghani</w:t>
      </w:r>
      <w:proofErr w:type="spellEnd"/>
      <w:r w:rsidRPr="0001542F">
        <w:t xml:space="preserve">, Ames MJ, </w:t>
      </w:r>
      <w:proofErr w:type="spellStart"/>
      <w:r w:rsidRPr="0001542F">
        <w:t>Friguglietti</w:t>
      </w:r>
      <w:proofErr w:type="spellEnd"/>
      <w:r w:rsidRPr="0001542F">
        <w:t xml:space="preserve">, L, </w:t>
      </w:r>
      <w:proofErr w:type="spellStart"/>
      <w:r w:rsidRPr="0001542F">
        <w:t>Indeglia</w:t>
      </w:r>
      <w:proofErr w:type="spellEnd"/>
      <w:r w:rsidRPr="0001542F">
        <w:t>, PA, Shen</w:t>
      </w:r>
      <w:r w:rsidRPr="0001542F">
        <w:rPr>
          <w:color w:val="000000" w:themeColor="text1"/>
        </w:rPr>
        <w:t xml:space="preserve">, R, </w:t>
      </w:r>
      <w:r w:rsidRPr="0001542F">
        <w:t xml:space="preserve">Yao Y, </w:t>
      </w:r>
      <w:r w:rsidR="0001542F">
        <w:t xml:space="preserve">and </w:t>
      </w:r>
      <w:proofErr w:type="spellStart"/>
      <w:r w:rsidR="0001542F">
        <w:t>Heiger</w:t>
      </w:r>
      <w:proofErr w:type="spellEnd"/>
      <w:r w:rsidR="0001542F">
        <w:t>-Bernays, WJ</w:t>
      </w:r>
      <w:r w:rsidRPr="0001542F">
        <w:t xml:space="preserve"> (2016) Field data and numerical </w:t>
      </w:r>
      <w:r w:rsidR="008911CD" w:rsidRPr="0001542F">
        <w:t>modelling</w:t>
      </w:r>
      <w:r w:rsidRPr="0001542F">
        <w:t xml:space="preserve">: A multiple lines of evidence approach for assessing vapor intrusion exposure risks. </w:t>
      </w:r>
      <w:r w:rsidRPr="0001542F">
        <w:rPr>
          <w:i/>
        </w:rPr>
        <w:t>Science of the Total Environment</w:t>
      </w:r>
      <w:r w:rsidR="0001542F">
        <w:t>,</w:t>
      </w:r>
      <w:r w:rsidRPr="0001542F">
        <w:t xml:space="preserve"> 556: 291–301.</w:t>
      </w:r>
    </w:p>
    <w:p w14:paraId="54983CB5" w14:textId="1ABBB39A" w:rsidR="002A372F" w:rsidRPr="0001542F" w:rsidRDefault="0001542F" w:rsidP="00195B58">
      <w:pPr>
        <w:rPr>
          <w:rFonts w:cs="Arial"/>
        </w:rPr>
      </w:pPr>
      <w:proofErr w:type="spellStart"/>
      <w:r>
        <w:rPr>
          <w:rFonts w:cs="Arial"/>
        </w:rPr>
        <w:t>Pirastu</w:t>
      </w:r>
      <w:proofErr w:type="spellEnd"/>
      <w:r>
        <w:rPr>
          <w:rFonts w:cs="Arial"/>
        </w:rPr>
        <w:t xml:space="preserve">, R, </w:t>
      </w:r>
      <w:proofErr w:type="spellStart"/>
      <w:r>
        <w:rPr>
          <w:rFonts w:cs="Arial"/>
        </w:rPr>
        <w:t>Comba</w:t>
      </w:r>
      <w:proofErr w:type="spellEnd"/>
      <w:r>
        <w:rPr>
          <w:rFonts w:cs="Arial"/>
        </w:rPr>
        <w:t xml:space="preserve">, P, </w:t>
      </w:r>
      <w:proofErr w:type="spellStart"/>
      <w:r>
        <w:rPr>
          <w:rFonts w:cs="Arial"/>
        </w:rPr>
        <w:t>L</w:t>
      </w:r>
      <w:r w:rsidR="002A372F" w:rsidRPr="0001542F">
        <w:rPr>
          <w:rFonts w:cs="Arial"/>
        </w:rPr>
        <w:t>avarone</w:t>
      </w:r>
      <w:proofErr w:type="spellEnd"/>
      <w:r w:rsidR="002A372F" w:rsidRPr="0001542F">
        <w:rPr>
          <w:rFonts w:cs="Arial"/>
        </w:rPr>
        <w:t xml:space="preserve">, I, Zona, A, Conti, S, Minelli, G, Manno, V, </w:t>
      </w:r>
      <w:proofErr w:type="spellStart"/>
      <w:r w:rsidR="002A372F" w:rsidRPr="0001542F">
        <w:rPr>
          <w:rFonts w:cs="Arial"/>
        </w:rPr>
        <w:t>Mincuzzi</w:t>
      </w:r>
      <w:proofErr w:type="spellEnd"/>
      <w:r w:rsidR="002A372F" w:rsidRPr="0001542F">
        <w:rPr>
          <w:rFonts w:cs="Arial"/>
        </w:rPr>
        <w:t xml:space="preserve">, A, </w:t>
      </w:r>
      <w:proofErr w:type="spellStart"/>
      <w:r w:rsidR="002A372F" w:rsidRPr="0001542F">
        <w:rPr>
          <w:rFonts w:cs="Arial"/>
        </w:rPr>
        <w:t>Minerba</w:t>
      </w:r>
      <w:proofErr w:type="spellEnd"/>
      <w:r w:rsidR="002A372F" w:rsidRPr="0001542F">
        <w:rPr>
          <w:rFonts w:cs="Arial"/>
        </w:rPr>
        <w:t xml:space="preserve">, S, </w:t>
      </w:r>
      <w:proofErr w:type="spellStart"/>
      <w:r w:rsidR="002A372F" w:rsidRPr="0001542F">
        <w:rPr>
          <w:rFonts w:cs="Arial"/>
        </w:rPr>
        <w:t>Forastiere</w:t>
      </w:r>
      <w:proofErr w:type="spellEnd"/>
      <w:r w:rsidR="002A372F" w:rsidRPr="0001542F">
        <w:rPr>
          <w:rFonts w:cs="Arial"/>
        </w:rPr>
        <w:t xml:space="preserve">, F, </w:t>
      </w:r>
      <w:proofErr w:type="spellStart"/>
      <w:r w:rsidR="002A372F" w:rsidRPr="0001542F">
        <w:rPr>
          <w:rFonts w:cs="Arial"/>
        </w:rPr>
        <w:t>Mataloni</w:t>
      </w:r>
      <w:proofErr w:type="spellEnd"/>
      <w:r w:rsidR="002A372F" w:rsidRPr="0001542F">
        <w:rPr>
          <w:rFonts w:cs="Arial"/>
        </w:rPr>
        <w:t>, F</w:t>
      </w:r>
      <w:r>
        <w:rPr>
          <w:rFonts w:cs="Arial"/>
        </w:rPr>
        <w:t>,</w:t>
      </w:r>
      <w:r w:rsidR="002A372F" w:rsidRPr="0001542F">
        <w:rPr>
          <w:rFonts w:cs="Arial"/>
        </w:rPr>
        <w:t xml:space="preserve"> </w:t>
      </w:r>
      <w:r w:rsidR="00155136" w:rsidRPr="0001542F">
        <w:rPr>
          <w:rFonts w:cs="Arial"/>
        </w:rPr>
        <w:t xml:space="preserve">and </w:t>
      </w:r>
      <w:proofErr w:type="spellStart"/>
      <w:r w:rsidR="00155136" w:rsidRPr="0001542F">
        <w:rPr>
          <w:rFonts w:cs="Arial"/>
        </w:rPr>
        <w:t>Biggeri</w:t>
      </w:r>
      <w:proofErr w:type="spellEnd"/>
      <w:r w:rsidR="00155136" w:rsidRPr="0001542F">
        <w:rPr>
          <w:rFonts w:cs="Arial"/>
        </w:rPr>
        <w:t xml:space="preserve">, A (2013) </w:t>
      </w:r>
      <w:r>
        <w:rPr>
          <w:rFonts w:cs="Arial"/>
        </w:rPr>
        <w:t>Environment and health in contaminated s</w:t>
      </w:r>
      <w:r w:rsidR="002A372F" w:rsidRPr="0001542F">
        <w:rPr>
          <w:rFonts w:cs="Arial"/>
        </w:rPr>
        <w:t>it</w:t>
      </w:r>
      <w:r>
        <w:rPr>
          <w:rFonts w:cs="Arial"/>
        </w:rPr>
        <w:t>es: The c</w:t>
      </w:r>
      <w:r w:rsidR="002A372F" w:rsidRPr="0001542F">
        <w:rPr>
          <w:rFonts w:cs="Arial"/>
        </w:rPr>
        <w:t>ase of Taranto, Italy.</w:t>
      </w:r>
      <w:r w:rsidR="006B062E" w:rsidRPr="0001542F">
        <w:rPr>
          <w:rFonts w:cs="Arial"/>
        </w:rPr>
        <w:t xml:space="preserve">  </w:t>
      </w:r>
      <w:r w:rsidR="006B062E" w:rsidRPr="0001542F">
        <w:rPr>
          <w:rFonts w:cs="Arial"/>
          <w:i/>
        </w:rPr>
        <w:t xml:space="preserve">Journal of </w:t>
      </w:r>
      <w:r w:rsidR="00155136" w:rsidRPr="0001542F">
        <w:rPr>
          <w:rFonts w:cs="Arial"/>
          <w:i/>
        </w:rPr>
        <w:t>Environmental and Public Health,</w:t>
      </w:r>
      <w:r>
        <w:rPr>
          <w:rFonts w:cs="Arial"/>
        </w:rPr>
        <w:t xml:space="preserve"> </w:t>
      </w:r>
      <w:r w:rsidR="006B062E" w:rsidRPr="0001542F">
        <w:rPr>
          <w:rFonts w:cs="Arial"/>
        </w:rPr>
        <w:t>Article ID 753719, pp1-20.</w:t>
      </w:r>
    </w:p>
    <w:p w14:paraId="3EE430F4" w14:textId="36A40A5A" w:rsidR="003938F3" w:rsidRPr="0001542F" w:rsidRDefault="003938F3" w:rsidP="00195B58">
      <w:pPr>
        <w:rPr>
          <w:rFonts w:cs="Arial"/>
        </w:rPr>
      </w:pPr>
      <w:r w:rsidRPr="0001542F">
        <w:rPr>
          <w:rFonts w:cs="Arial"/>
        </w:rPr>
        <w:t>Porter</w:t>
      </w:r>
      <w:r w:rsidR="0001542F">
        <w:rPr>
          <w:rFonts w:cs="Arial"/>
        </w:rPr>
        <w:t>,</w:t>
      </w:r>
      <w:r w:rsidRPr="0001542F">
        <w:rPr>
          <w:rFonts w:cs="Arial"/>
        </w:rPr>
        <w:t xml:space="preserve"> N</w:t>
      </w:r>
      <w:r w:rsidR="00FB70DD" w:rsidRPr="0001542F">
        <w:rPr>
          <w:rFonts w:cs="Arial"/>
        </w:rPr>
        <w:t>,</w:t>
      </w:r>
      <w:r w:rsidRPr="0001542F">
        <w:rPr>
          <w:rFonts w:cs="Arial"/>
        </w:rPr>
        <w:t xml:space="preserve"> and </w:t>
      </w:r>
      <w:proofErr w:type="spellStart"/>
      <w:r w:rsidRPr="0001542F">
        <w:rPr>
          <w:rFonts w:cs="Arial"/>
        </w:rPr>
        <w:t>Tepe</w:t>
      </w:r>
      <w:proofErr w:type="spellEnd"/>
      <w:r w:rsidR="00FB70DD" w:rsidRPr="0001542F">
        <w:rPr>
          <w:rFonts w:cs="Arial"/>
        </w:rPr>
        <w:t>,</w:t>
      </w:r>
      <w:r w:rsidRPr="0001542F">
        <w:rPr>
          <w:rFonts w:cs="Arial"/>
        </w:rPr>
        <w:t xml:space="preserve"> S (2013) </w:t>
      </w:r>
      <w:r w:rsidR="0001542F">
        <w:rPr>
          <w:rFonts w:cs="Arial"/>
          <w:i/>
        </w:rPr>
        <w:t>Air E</w:t>
      </w:r>
      <w:r w:rsidRPr="0001542F">
        <w:rPr>
          <w:rFonts w:cs="Arial"/>
          <w:i/>
        </w:rPr>
        <w:t>missions from Non</w:t>
      </w:r>
      <w:r w:rsidR="0001542F">
        <w:rPr>
          <w:rFonts w:cs="Arial"/>
          <w:i/>
        </w:rPr>
        <w:t>-Hazardous Waste Landfills – a Literature R</w:t>
      </w:r>
      <w:r w:rsidRPr="0001542F">
        <w:rPr>
          <w:rFonts w:cs="Arial"/>
          <w:i/>
        </w:rPr>
        <w:t>eview.</w:t>
      </w:r>
      <w:r w:rsidRPr="0001542F">
        <w:rPr>
          <w:rFonts w:cs="Arial"/>
        </w:rPr>
        <w:t xml:space="preserve">  </w:t>
      </w:r>
      <w:r w:rsidRPr="0001542F">
        <w:rPr>
          <w:rFonts w:cs="Arial"/>
          <w:i/>
        </w:rPr>
        <w:t>Air Quality Health Impacts from Putrescible Landfills.</w:t>
      </w:r>
      <w:r w:rsidRPr="0001542F">
        <w:rPr>
          <w:rFonts w:cs="Arial"/>
        </w:rPr>
        <w:t xml:space="preserve">  A report prepared by RMIT for the Vict</w:t>
      </w:r>
      <w:r w:rsidR="0001542F">
        <w:rPr>
          <w:rFonts w:cs="Arial"/>
        </w:rPr>
        <w:t>orian EPA.  RMIT/</w:t>
      </w:r>
      <w:r w:rsidRPr="0001542F">
        <w:rPr>
          <w:rFonts w:cs="Arial"/>
        </w:rPr>
        <w:t>EPA Victoria, Melbourne.</w:t>
      </w:r>
    </w:p>
    <w:p w14:paraId="261F6DDE" w14:textId="0E03E706" w:rsidR="00CB5C10" w:rsidRPr="0001542F" w:rsidRDefault="00CB5C10" w:rsidP="00CB5C10">
      <w:proofErr w:type="spellStart"/>
      <w:r w:rsidRPr="0001542F">
        <w:t>Provoost</w:t>
      </w:r>
      <w:proofErr w:type="spellEnd"/>
      <w:r w:rsidRPr="0001542F">
        <w:t xml:space="preserve">, J, Bosman, A, Reijnders, L, </w:t>
      </w:r>
      <w:proofErr w:type="spellStart"/>
      <w:r w:rsidRPr="0001542F">
        <w:t>Bronders</w:t>
      </w:r>
      <w:proofErr w:type="spellEnd"/>
      <w:r w:rsidRPr="0001542F">
        <w:t xml:space="preserve">, J, </w:t>
      </w:r>
      <w:proofErr w:type="spellStart"/>
      <w:r w:rsidRPr="0001542F">
        <w:t>Touc</w:t>
      </w:r>
      <w:r w:rsidR="0001542F">
        <w:t>hant</w:t>
      </w:r>
      <w:proofErr w:type="spellEnd"/>
      <w:r w:rsidR="0001542F">
        <w:t xml:space="preserve">, K, and </w:t>
      </w:r>
      <w:proofErr w:type="spellStart"/>
      <w:r w:rsidR="0001542F">
        <w:t>Swartjes</w:t>
      </w:r>
      <w:proofErr w:type="spellEnd"/>
      <w:r w:rsidR="0001542F">
        <w:t>, F (2009)</w:t>
      </w:r>
      <w:r w:rsidRPr="0001542F">
        <w:t xml:space="preserve"> </w:t>
      </w:r>
      <w:proofErr w:type="spellStart"/>
      <w:r w:rsidRPr="0001542F">
        <w:t>Vapour</w:t>
      </w:r>
      <w:proofErr w:type="spellEnd"/>
      <w:r w:rsidRPr="0001542F">
        <w:t xml:space="preserve"> intrusion from the vadose zone – seven algorithms compared. </w:t>
      </w:r>
      <w:r w:rsidRPr="0001542F">
        <w:rPr>
          <w:i/>
        </w:rPr>
        <w:t>Journal of Soils and Sediments - Protection, Risk Assessment,</w:t>
      </w:r>
      <w:r w:rsidR="0001542F">
        <w:rPr>
          <w:i/>
        </w:rPr>
        <w:t xml:space="preserve"> </w:t>
      </w:r>
      <w:r w:rsidRPr="0001542F">
        <w:rPr>
          <w:i/>
        </w:rPr>
        <w:t>and Remediation.</w:t>
      </w:r>
      <w:r w:rsidRPr="0001542F">
        <w:t xml:space="preserve"> Available at  </w:t>
      </w:r>
      <w:hyperlink r:id="rId76" w:history="1">
        <w:r w:rsidRPr="0001542F">
          <w:rPr>
            <w:rStyle w:val="Hyperlink"/>
          </w:rPr>
          <w:t>http://dx.doi.org/10.1007/s11368-009-0127-4</w:t>
        </w:r>
      </w:hyperlink>
      <w:r w:rsidR="0001542F">
        <w:t xml:space="preserve"> [a</w:t>
      </w:r>
      <w:r w:rsidRPr="0001542F">
        <w:t>ccessed 25 June 2016].</w:t>
      </w:r>
    </w:p>
    <w:p w14:paraId="5E3D3DB5" w14:textId="3456C247" w:rsidR="00FB70DD" w:rsidRPr="0001542F" w:rsidRDefault="00FB70DD" w:rsidP="00FB70DD">
      <w:pPr>
        <w:rPr>
          <w:color w:val="6B9F25" w:themeColor="hyperlink"/>
          <w:u w:val="single"/>
        </w:rPr>
      </w:pPr>
      <w:proofErr w:type="spellStart"/>
      <w:r w:rsidRPr="0001542F">
        <w:t>Provoost</w:t>
      </w:r>
      <w:proofErr w:type="spellEnd"/>
      <w:r w:rsidRPr="0001542F">
        <w:t>, J</w:t>
      </w:r>
      <w:r w:rsidR="00430371" w:rsidRPr="0001542F">
        <w:t>, Tillman, FD, Weaver, JW, Reijnders, L</w:t>
      </w:r>
      <w:r w:rsidRPr="0001542F">
        <w:t xml:space="preserve">, </w:t>
      </w:r>
      <w:proofErr w:type="spellStart"/>
      <w:r w:rsidRPr="0001542F">
        <w:t>Bronders</w:t>
      </w:r>
      <w:proofErr w:type="spellEnd"/>
      <w:r w:rsidRPr="0001542F">
        <w:t>, J</w:t>
      </w:r>
      <w:r w:rsidR="00430371" w:rsidRPr="0001542F">
        <w:t>, Van Keer, I</w:t>
      </w:r>
      <w:r w:rsidRPr="0001542F">
        <w:t xml:space="preserve">, </w:t>
      </w:r>
      <w:r w:rsidR="00430371" w:rsidRPr="0001542F">
        <w:t>and</w:t>
      </w:r>
      <w:r w:rsidR="0001542F">
        <w:t xml:space="preserve"> </w:t>
      </w:r>
      <w:proofErr w:type="spellStart"/>
      <w:r w:rsidR="0001542F">
        <w:t>Swartjes</w:t>
      </w:r>
      <w:proofErr w:type="spellEnd"/>
      <w:r w:rsidR="0001542F">
        <w:t xml:space="preserve">, F. (2010) </w:t>
      </w:r>
      <w:proofErr w:type="spellStart"/>
      <w:r w:rsidR="0001542F">
        <w:t>Vapour</w:t>
      </w:r>
      <w:proofErr w:type="spellEnd"/>
      <w:r w:rsidR="0001542F">
        <w:t xml:space="preserve"> intrusion into b</w:t>
      </w:r>
      <w:r w:rsidRPr="0001542F">
        <w:t xml:space="preserve">uildings </w:t>
      </w:r>
      <w:r w:rsidR="00430371" w:rsidRPr="0001542F">
        <w:t>–</w:t>
      </w:r>
      <w:r w:rsidRPr="0001542F">
        <w:t xml:space="preserve"> A</w:t>
      </w:r>
      <w:r w:rsidR="00430371" w:rsidRPr="0001542F">
        <w:t xml:space="preserve"> </w:t>
      </w:r>
      <w:r w:rsidR="0001542F">
        <w:t>literature review.</w:t>
      </w:r>
      <w:r w:rsidRPr="0001542F">
        <w:t xml:space="preserve"> </w:t>
      </w:r>
      <w:r w:rsidR="0001542F">
        <w:t xml:space="preserve"> In: JA Daniels </w:t>
      </w:r>
      <w:r w:rsidRPr="0001542F">
        <w:t xml:space="preserve">(Ed.), </w:t>
      </w:r>
      <w:r w:rsidR="0001542F" w:rsidRPr="0001542F">
        <w:rPr>
          <w:i/>
        </w:rPr>
        <w:t>Advances in Environmental Research</w:t>
      </w:r>
      <w:r w:rsidR="0001542F">
        <w:t>, Volume 5, C</w:t>
      </w:r>
      <w:r w:rsidR="0001542F" w:rsidRPr="0001542F">
        <w:t>hapter 2</w:t>
      </w:r>
      <w:r w:rsidR="0001542F">
        <w:t>.</w:t>
      </w:r>
      <w:r w:rsidR="0001542F" w:rsidRPr="0001542F">
        <w:t xml:space="preserve"> </w:t>
      </w:r>
      <w:r w:rsidRPr="0001542F">
        <w:t>Nova Science Publishers Inc., New York, ISBN 978-1-61668-744-1.</w:t>
      </w:r>
      <w:r w:rsidR="00430371" w:rsidRPr="0001542F">
        <w:t xml:space="preserve"> </w:t>
      </w:r>
      <w:r w:rsidR="0001542F">
        <w:t>Available at</w:t>
      </w:r>
      <w:r w:rsidRPr="0001542F">
        <w:t xml:space="preserve"> </w:t>
      </w:r>
      <w:hyperlink r:id="rId77" w:history="1">
        <w:r w:rsidR="00430371" w:rsidRPr="0001542F">
          <w:rPr>
            <w:rStyle w:val="Hyperlink"/>
          </w:rPr>
          <w:t>https://www.novapublishers.com/catalog/product_info.php?products_id=14005</w:t>
        </w:r>
      </w:hyperlink>
      <w:r w:rsidR="0001542F">
        <w:rPr>
          <w:rStyle w:val="Hyperlink"/>
        </w:rPr>
        <w:t xml:space="preserve"> </w:t>
      </w:r>
      <w:r w:rsidR="0001542F" w:rsidRPr="0001542F">
        <w:rPr>
          <w:rStyle w:val="Hyperlink"/>
          <w:color w:val="000000" w:themeColor="text1"/>
        </w:rPr>
        <w:t>[accessed 25 June 2016]</w:t>
      </w:r>
      <w:r w:rsidR="0001542F">
        <w:rPr>
          <w:rStyle w:val="Hyperlink"/>
          <w:color w:val="000000" w:themeColor="text1"/>
        </w:rPr>
        <w:t>.</w:t>
      </w:r>
    </w:p>
    <w:p w14:paraId="09338B59" w14:textId="11A100B8" w:rsidR="00596DED" w:rsidRPr="00C7193D" w:rsidRDefault="0001542F" w:rsidP="00596DED">
      <w:pPr>
        <w:rPr>
          <w:highlight w:val="yellow"/>
        </w:rPr>
      </w:pPr>
      <w:proofErr w:type="spellStart"/>
      <w:r>
        <w:t>Provoost</w:t>
      </w:r>
      <w:proofErr w:type="spellEnd"/>
      <w:r>
        <w:t xml:space="preserve">, J, </w:t>
      </w:r>
      <w:proofErr w:type="spellStart"/>
      <w:r>
        <w:t>Ottoy</w:t>
      </w:r>
      <w:proofErr w:type="spellEnd"/>
      <w:r>
        <w:t xml:space="preserve">, R, Reijnders, L, </w:t>
      </w:r>
      <w:proofErr w:type="spellStart"/>
      <w:r>
        <w:t>Bronders</w:t>
      </w:r>
      <w:proofErr w:type="spellEnd"/>
      <w:r>
        <w:t>, J</w:t>
      </w:r>
      <w:r w:rsidR="00596DED" w:rsidRPr="0001542F">
        <w:t>,</w:t>
      </w:r>
      <w:r>
        <w:t xml:space="preserve"> Van Keer, I, </w:t>
      </w:r>
      <w:proofErr w:type="spellStart"/>
      <w:r>
        <w:t>Swartjes</w:t>
      </w:r>
      <w:proofErr w:type="spellEnd"/>
      <w:r>
        <w:t xml:space="preserve">, F, </w:t>
      </w:r>
      <w:proofErr w:type="spellStart"/>
      <w:r>
        <w:t>Wilczek</w:t>
      </w:r>
      <w:proofErr w:type="spellEnd"/>
      <w:r>
        <w:t>, D</w:t>
      </w:r>
      <w:r w:rsidR="00596DED" w:rsidRPr="0001542F">
        <w:t xml:space="preserve">, </w:t>
      </w:r>
      <w:r>
        <w:t>and Poelmans, D</w:t>
      </w:r>
      <w:r w:rsidR="00596DED" w:rsidRPr="0001542F">
        <w:t xml:space="preserve"> (2011). Henry’s equilibrium partitioning between ground water and soil air: Predictions versus observations. </w:t>
      </w:r>
      <w:r w:rsidR="00596DED" w:rsidRPr="00493A7A">
        <w:rPr>
          <w:i/>
        </w:rPr>
        <w:t>Journal of Environmental Protection</w:t>
      </w:r>
      <w:r w:rsidR="00493A7A">
        <w:t xml:space="preserve">, 2: 873-881. </w:t>
      </w:r>
    </w:p>
    <w:p w14:paraId="0E3C4F03" w14:textId="33F7B2C7" w:rsidR="007D0DEA" w:rsidRPr="00493A7A" w:rsidRDefault="00CB5C10" w:rsidP="007D0DEA">
      <w:pPr>
        <w:rPr>
          <w:rFonts w:cs="Arial"/>
        </w:rPr>
      </w:pPr>
      <w:proofErr w:type="spellStart"/>
      <w:r w:rsidRPr="00493A7A">
        <w:t>Provoost</w:t>
      </w:r>
      <w:proofErr w:type="spellEnd"/>
      <w:r w:rsidRPr="00493A7A">
        <w:t>, J, Reijnders, L</w:t>
      </w:r>
      <w:r w:rsidR="007D0DEA" w:rsidRPr="00493A7A">
        <w:t xml:space="preserve">, </w:t>
      </w:r>
      <w:r w:rsidRPr="00493A7A">
        <w:t>and</w:t>
      </w:r>
      <w:r w:rsidR="00493A7A">
        <w:t xml:space="preserve"> </w:t>
      </w:r>
      <w:proofErr w:type="spellStart"/>
      <w:r w:rsidR="00493A7A">
        <w:t>Bronders</w:t>
      </w:r>
      <w:proofErr w:type="spellEnd"/>
      <w:r w:rsidR="00493A7A">
        <w:t>, J</w:t>
      </w:r>
      <w:r w:rsidR="007D0DEA" w:rsidRPr="00493A7A">
        <w:t xml:space="preserve"> (2013). Accuracy and conservatism of </w:t>
      </w:r>
      <w:proofErr w:type="spellStart"/>
      <w:r w:rsidR="007D0DEA" w:rsidRPr="00493A7A">
        <w:t>vapour</w:t>
      </w:r>
      <w:proofErr w:type="spellEnd"/>
      <w:r w:rsidR="007D0DEA" w:rsidRPr="00493A7A">
        <w:t xml:space="preserve"> intrusion algorithms for contaminated land management. </w:t>
      </w:r>
      <w:r w:rsidR="007D0DEA" w:rsidRPr="00493A7A">
        <w:rPr>
          <w:i/>
        </w:rPr>
        <w:t>Journal of Environment and Pollution</w:t>
      </w:r>
      <w:r w:rsidR="007D0DEA" w:rsidRPr="00493A7A">
        <w:t xml:space="preserve">, </w:t>
      </w:r>
      <w:r w:rsidR="00493A7A">
        <w:t xml:space="preserve">Volume </w:t>
      </w:r>
      <w:r w:rsidR="007D0DEA" w:rsidRPr="00493A7A">
        <w:t>2</w:t>
      </w:r>
      <w:r w:rsidR="00493A7A">
        <w:t>, No. 2</w:t>
      </w:r>
      <w:r w:rsidR="007D0DEA" w:rsidRPr="00493A7A">
        <w:t xml:space="preserve">. Available at </w:t>
      </w:r>
      <w:hyperlink r:id="rId78" w:history="1">
        <w:r w:rsidR="007D0DEA" w:rsidRPr="00493A7A">
          <w:rPr>
            <w:rStyle w:val="Hyperlink"/>
          </w:rPr>
          <w:t>http://dx.doi.org/10.5539/ep.v2n2p71</w:t>
        </w:r>
      </w:hyperlink>
      <w:r w:rsidR="00493A7A">
        <w:t xml:space="preserve"> [a</w:t>
      </w:r>
      <w:r w:rsidR="007D0DEA" w:rsidRPr="00493A7A">
        <w:t>ccessed 25 June 2016].</w:t>
      </w:r>
    </w:p>
    <w:p w14:paraId="64AC2341" w14:textId="15F57A22" w:rsidR="00D1227C" w:rsidRPr="00493A7A" w:rsidRDefault="00493A7A" w:rsidP="00D1227C">
      <w:pPr>
        <w:autoSpaceDE w:val="0"/>
        <w:autoSpaceDN w:val="0"/>
        <w:adjustRightInd w:val="0"/>
        <w:spacing w:line="240" w:lineRule="exact"/>
        <w:rPr>
          <w:rFonts w:cs="Arial"/>
        </w:rPr>
      </w:pPr>
      <w:r>
        <w:rPr>
          <w:rFonts w:cs="Arial"/>
          <w:lang w:val="en-AU"/>
        </w:rPr>
        <w:t>Robinson, NI</w:t>
      </w:r>
      <w:r w:rsidR="00D1227C" w:rsidRPr="00493A7A">
        <w:rPr>
          <w:rFonts w:cs="Arial"/>
          <w:lang w:val="en-AU"/>
        </w:rPr>
        <w:t xml:space="preserve"> </w:t>
      </w:r>
      <w:r>
        <w:rPr>
          <w:rFonts w:cs="Arial"/>
          <w:lang w:val="en-AU"/>
        </w:rPr>
        <w:t>(</w:t>
      </w:r>
      <w:r w:rsidR="00D1227C" w:rsidRPr="00493A7A">
        <w:rPr>
          <w:rFonts w:cs="Arial"/>
          <w:lang w:val="en-AU"/>
        </w:rPr>
        <w:t>2003</w:t>
      </w:r>
      <w:r>
        <w:rPr>
          <w:rFonts w:cs="Arial"/>
          <w:lang w:val="en-AU"/>
        </w:rPr>
        <w:t>)</w:t>
      </w:r>
      <w:r w:rsidR="00D1227C" w:rsidRPr="00493A7A">
        <w:rPr>
          <w:rFonts w:cs="Arial"/>
          <w:lang w:val="en-AU"/>
        </w:rPr>
        <w:t xml:space="preserve"> Modelling the migration of VOCs from soils to dwelling interiors. In</w:t>
      </w:r>
      <w:r>
        <w:rPr>
          <w:rFonts w:cs="Arial"/>
          <w:lang w:val="en-AU"/>
        </w:rPr>
        <w:t>: AJ Langley, M</w:t>
      </w:r>
      <w:r w:rsidRPr="00493A7A">
        <w:rPr>
          <w:rFonts w:cs="Arial"/>
          <w:lang w:val="en-AU"/>
        </w:rPr>
        <w:t xml:space="preserve"> </w:t>
      </w:r>
      <w:proofErr w:type="spellStart"/>
      <w:r w:rsidRPr="00493A7A">
        <w:rPr>
          <w:rFonts w:cs="Arial"/>
          <w:lang w:val="en-AU"/>
        </w:rPr>
        <w:t>G</w:t>
      </w:r>
      <w:r>
        <w:rPr>
          <w:rFonts w:cs="Arial"/>
          <w:lang w:val="en-AU"/>
        </w:rPr>
        <w:t>ilbey</w:t>
      </w:r>
      <w:proofErr w:type="spellEnd"/>
      <w:r>
        <w:rPr>
          <w:rFonts w:cs="Arial"/>
          <w:lang w:val="en-AU"/>
        </w:rPr>
        <w:t>, and B</w:t>
      </w:r>
      <w:r w:rsidRPr="00493A7A">
        <w:rPr>
          <w:rFonts w:cs="Arial"/>
          <w:lang w:val="en-AU"/>
        </w:rPr>
        <w:t xml:space="preserve"> Kennedy</w:t>
      </w:r>
      <w:r>
        <w:rPr>
          <w:rFonts w:cs="Arial"/>
          <w:lang w:val="en-AU"/>
        </w:rPr>
        <w:t xml:space="preserve"> (Eds.)</w:t>
      </w:r>
      <w:r w:rsidR="00D1227C" w:rsidRPr="00493A7A">
        <w:rPr>
          <w:rFonts w:cs="Arial"/>
          <w:lang w:val="en-AU"/>
        </w:rPr>
        <w:t xml:space="preserve">  P</w:t>
      </w:r>
      <w:r>
        <w:rPr>
          <w:rFonts w:cs="Arial"/>
          <w:i/>
          <w:iCs/>
          <w:lang w:val="en-AU"/>
        </w:rPr>
        <w:t>roceedings of the Fifth National Workshop on the Assessment of Site C</w:t>
      </w:r>
      <w:r w:rsidR="00D1227C" w:rsidRPr="00493A7A">
        <w:rPr>
          <w:rFonts w:cs="Arial"/>
          <w:i/>
          <w:iCs/>
          <w:lang w:val="en-AU"/>
        </w:rPr>
        <w:t>ontamination</w:t>
      </w:r>
      <w:r>
        <w:rPr>
          <w:rFonts w:cs="Arial"/>
          <w:lang w:val="en-AU"/>
        </w:rPr>
        <w:t xml:space="preserve">. </w:t>
      </w:r>
      <w:r w:rsidRPr="00493A7A">
        <w:rPr>
          <w:rFonts w:cs="Arial"/>
          <w:lang w:val="en-AU"/>
        </w:rPr>
        <w:t>NEPC Service Corporation</w:t>
      </w:r>
      <w:r w:rsidR="008E29AD">
        <w:rPr>
          <w:rFonts w:cs="Arial"/>
          <w:lang w:val="en-AU"/>
        </w:rPr>
        <w:t>, Adelaide,</w:t>
      </w:r>
      <w:r w:rsidRPr="00493A7A">
        <w:rPr>
          <w:rFonts w:cs="Arial"/>
          <w:lang w:val="en-AU"/>
        </w:rPr>
        <w:t xml:space="preserve"> </w:t>
      </w:r>
      <w:r w:rsidR="00D1227C" w:rsidRPr="00493A7A">
        <w:rPr>
          <w:rFonts w:cs="Arial"/>
          <w:lang w:val="en-AU"/>
        </w:rPr>
        <w:t>pp. 4</w:t>
      </w:r>
      <w:r w:rsidR="008E29AD">
        <w:rPr>
          <w:rFonts w:cs="Arial"/>
          <w:lang w:val="en-AU"/>
        </w:rPr>
        <w:t>7–71.</w:t>
      </w:r>
    </w:p>
    <w:p w14:paraId="39B8B1BD" w14:textId="77777777" w:rsidR="008E29AD" w:rsidRDefault="008E29AD" w:rsidP="00D1227C">
      <w:pPr>
        <w:spacing w:after="0"/>
        <w:rPr>
          <w:rFonts w:cs="Arial"/>
          <w:highlight w:val="yellow"/>
        </w:rPr>
        <w:sectPr w:rsidR="008E29AD" w:rsidSect="00067D7C">
          <w:pgSz w:w="12240" w:h="15840"/>
          <w:pgMar w:top="1800" w:right="1440" w:bottom="1440" w:left="1440" w:header="850" w:footer="850" w:gutter="0"/>
          <w:cols w:space="720"/>
          <w:docGrid w:linePitch="299"/>
        </w:sectPr>
      </w:pPr>
    </w:p>
    <w:p w14:paraId="3C0C1BC2" w14:textId="4B9DFFBE" w:rsidR="00F85CEE" w:rsidRPr="008E29AD" w:rsidRDefault="00F85CEE" w:rsidP="008E29AD">
      <w:pPr>
        <w:rPr>
          <w:rFonts w:cs="Arial"/>
        </w:rPr>
      </w:pPr>
      <w:r w:rsidRPr="008E29AD">
        <w:rPr>
          <w:rFonts w:cs="Arial"/>
        </w:rPr>
        <w:lastRenderedPageBreak/>
        <w:t xml:space="preserve">SA EPA (2009) </w:t>
      </w:r>
      <w:r w:rsidRPr="008E29AD">
        <w:rPr>
          <w:rFonts w:cs="Arial"/>
          <w:i/>
        </w:rPr>
        <w:t>Site Con</w:t>
      </w:r>
      <w:r w:rsidR="008E29AD">
        <w:rPr>
          <w:rFonts w:cs="Arial"/>
          <w:i/>
        </w:rPr>
        <w:t>tamination. Guidelines for the Assessment and Remediation of Groundwater C</w:t>
      </w:r>
      <w:r w:rsidRPr="008E29AD">
        <w:rPr>
          <w:rFonts w:cs="Arial"/>
          <w:i/>
        </w:rPr>
        <w:t>ontamination.</w:t>
      </w:r>
      <w:r w:rsidRPr="008E29AD">
        <w:rPr>
          <w:rFonts w:cs="Arial"/>
        </w:rPr>
        <w:t xml:space="preserve"> South Australian Environment Protection Authority, Adelaide.</w:t>
      </w:r>
    </w:p>
    <w:p w14:paraId="6896FE09" w14:textId="261A29C4" w:rsidR="00F85CEE" w:rsidRPr="008E29AD" w:rsidRDefault="00F85CEE" w:rsidP="00195B58">
      <w:pPr>
        <w:rPr>
          <w:rFonts w:cs="Arial"/>
        </w:rPr>
      </w:pPr>
      <w:r w:rsidRPr="008E29AD">
        <w:rPr>
          <w:rFonts w:cs="Arial"/>
        </w:rPr>
        <w:t xml:space="preserve">SA EPA (2015) </w:t>
      </w:r>
      <w:r w:rsidR="008E29AD">
        <w:rPr>
          <w:rFonts w:cs="Arial"/>
          <w:i/>
        </w:rPr>
        <w:t>Draft for Public C</w:t>
      </w:r>
      <w:r w:rsidRPr="008E29AD">
        <w:rPr>
          <w:rFonts w:cs="Arial"/>
          <w:i/>
        </w:rPr>
        <w:t>o</w:t>
      </w:r>
      <w:r w:rsidR="008E29AD">
        <w:rPr>
          <w:rFonts w:cs="Arial"/>
          <w:i/>
        </w:rPr>
        <w:t>nsultation. Guidelines for the Assessment and Remediation of Site C</w:t>
      </w:r>
      <w:r w:rsidRPr="008E29AD">
        <w:rPr>
          <w:rFonts w:cs="Arial"/>
          <w:i/>
        </w:rPr>
        <w:t>ontamination.</w:t>
      </w:r>
      <w:r w:rsidRPr="008E29AD">
        <w:rPr>
          <w:rFonts w:cs="Arial"/>
        </w:rPr>
        <w:t xml:space="preserve"> South Australian Environment Protection Authority, Adelaide.</w:t>
      </w:r>
    </w:p>
    <w:p w14:paraId="769F037B" w14:textId="5B6C228C" w:rsidR="00A03A8D" w:rsidRPr="008E29AD" w:rsidRDefault="00A03A8D" w:rsidP="00195B58">
      <w:pPr>
        <w:rPr>
          <w:rFonts w:cs="Arial"/>
        </w:rPr>
      </w:pPr>
      <w:proofErr w:type="spellStart"/>
      <w:r w:rsidRPr="008E29AD">
        <w:t>Saltelli</w:t>
      </w:r>
      <w:proofErr w:type="spellEnd"/>
      <w:r w:rsidRPr="008E29AD">
        <w:t xml:space="preserve">, </w:t>
      </w:r>
      <w:r w:rsidR="008E29AD">
        <w:t xml:space="preserve">A and </w:t>
      </w:r>
      <w:proofErr w:type="spellStart"/>
      <w:r w:rsidR="008E29AD">
        <w:t>Funtowicz</w:t>
      </w:r>
      <w:proofErr w:type="spellEnd"/>
      <w:r w:rsidR="008E29AD">
        <w:t>, S (2014) When all models are w</w:t>
      </w:r>
      <w:r w:rsidRPr="008E29AD">
        <w:t xml:space="preserve">rong.  </w:t>
      </w:r>
      <w:r w:rsidRPr="008E29AD">
        <w:rPr>
          <w:i/>
        </w:rPr>
        <w:t>Issues in Science and Technology</w:t>
      </w:r>
      <w:r w:rsidRPr="008E29AD">
        <w:t>, Winter 2014, pp79-85.</w:t>
      </w:r>
    </w:p>
    <w:p w14:paraId="344D3A0D" w14:textId="39B53145" w:rsidR="004C5BD7" w:rsidRPr="008E29AD" w:rsidRDefault="004C5BD7" w:rsidP="00195B58">
      <w:pPr>
        <w:rPr>
          <w:rFonts w:cs="Arial"/>
          <w:i/>
        </w:rPr>
      </w:pPr>
      <w:proofErr w:type="spellStart"/>
      <w:r w:rsidRPr="008E29AD">
        <w:rPr>
          <w:rFonts w:cs="Arial"/>
        </w:rPr>
        <w:t>Schleier</w:t>
      </w:r>
      <w:proofErr w:type="spellEnd"/>
      <w:r w:rsidRPr="008E29AD">
        <w:rPr>
          <w:rFonts w:cs="Arial"/>
        </w:rPr>
        <w:t xml:space="preserve"> </w:t>
      </w:r>
      <w:r w:rsidRPr="008E29AD">
        <w:rPr>
          <w:rFonts w:cs="Arial"/>
          <w:u w:val="single"/>
        </w:rPr>
        <w:t>III</w:t>
      </w:r>
      <w:r w:rsidRPr="008E29AD">
        <w:rPr>
          <w:rFonts w:cs="Arial"/>
        </w:rPr>
        <w:t>, JJ, Marshall, LA, Davis, RS and Peterson, RKD (2015)</w:t>
      </w:r>
      <w:r w:rsidR="000D2AD0" w:rsidRPr="008E29AD">
        <w:rPr>
          <w:rFonts w:cs="Arial"/>
        </w:rPr>
        <w:t xml:space="preserve"> A quantitative approach for integrating multiple lines of evidence for the evaluation of environmental health risks. </w:t>
      </w:r>
      <w:r w:rsidR="000D2AD0" w:rsidRPr="008E29AD">
        <w:rPr>
          <w:rFonts w:cs="Arial"/>
          <w:i/>
        </w:rPr>
        <w:t>Peer</w:t>
      </w:r>
      <w:r w:rsidR="008E29AD">
        <w:rPr>
          <w:rFonts w:cs="Arial"/>
          <w:i/>
        </w:rPr>
        <w:t xml:space="preserve"> </w:t>
      </w:r>
      <w:r w:rsidR="000D2AD0" w:rsidRPr="008E29AD">
        <w:rPr>
          <w:rFonts w:cs="Arial"/>
          <w:i/>
        </w:rPr>
        <w:t>J</w:t>
      </w:r>
      <w:r w:rsidR="008E29AD">
        <w:rPr>
          <w:rFonts w:cs="Arial"/>
          <w:i/>
        </w:rPr>
        <w:t>ournal</w:t>
      </w:r>
      <w:r w:rsidR="000D2AD0" w:rsidRPr="008E29AD">
        <w:rPr>
          <w:rFonts w:cs="Arial"/>
          <w:i/>
        </w:rPr>
        <w:t xml:space="preserve"> </w:t>
      </w:r>
      <w:r w:rsidR="0086454E" w:rsidRPr="008E29AD">
        <w:rPr>
          <w:rFonts w:cs="Arial"/>
          <w:i/>
        </w:rPr>
        <w:t>3: e</w:t>
      </w:r>
      <w:r w:rsidR="000D2AD0" w:rsidRPr="008E29AD">
        <w:rPr>
          <w:rFonts w:cs="Arial"/>
          <w:i/>
        </w:rPr>
        <w:t>730; DOI10.7717/peerj.730.</w:t>
      </w:r>
    </w:p>
    <w:p w14:paraId="7455EF6C" w14:textId="04A25C04" w:rsidR="00A81D3B" w:rsidRPr="008E29AD" w:rsidRDefault="008E29AD" w:rsidP="00195B58">
      <w:pPr>
        <w:rPr>
          <w:rFonts w:cs="Arial"/>
        </w:rPr>
      </w:pPr>
      <w:proofErr w:type="spellStart"/>
      <w:r>
        <w:rPr>
          <w:rFonts w:cs="Arial"/>
        </w:rPr>
        <w:t>Schuver</w:t>
      </w:r>
      <w:proofErr w:type="spellEnd"/>
      <w:r>
        <w:rPr>
          <w:rFonts w:cs="Arial"/>
        </w:rPr>
        <w:t xml:space="preserve"> H (2010) </w:t>
      </w:r>
      <w:r w:rsidR="002E6E2C" w:rsidRPr="008E29AD">
        <w:rPr>
          <w:rFonts w:cs="Arial"/>
        </w:rPr>
        <w:t>Peer Review of Report on Health Screeni</w:t>
      </w:r>
      <w:r>
        <w:rPr>
          <w:rFonts w:cs="Arial"/>
        </w:rPr>
        <w:t xml:space="preserve">ng Level. </w:t>
      </w:r>
      <w:r w:rsidR="00A83ABF">
        <w:rPr>
          <w:rFonts w:cs="Arial"/>
        </w:rPr>
        <w:t xml:space="preserve"> </w:t>
      </w:r>
      <w:r>
        <w:rPr>
          <w:rFonts w:cs="Arial"/>
        </w:rPr>
        <w:t>Email corre</w:t>
      </w:r>
      <w:r w:rsidR="00A83ABF">
        <w:rPr>
          <w:rFonts w:cs="Arial"/>
        </w:rPr>
        <w:t xml:space="preserve">spondence from Dr Henry </w:t>
      </w:r>
      <w:proofErr w:type="spellStart"/>
      <w:r w:rsidR="00A83ABF">
        <w:rPr>
          <w:rFonts w:cs="Arial"/>
        </w:rPr>
        <w:t>Schuver</w:t>
      </w:r>
      <w:proofErr w:type="spellEnd"/>
      <w:r w:rsidR="00A83ABF">
        <w:rPr>
          <w:rFonts w:cs="Arial"/>
        </w:rPr>
        <w:t>,</w:t>
      </w:r>
      <w:r w:rsidR="002E6E2C" w:rsidRPr="008E29AD">
        <w:rPr>
          <w:rFonts w:cs="Arial"/>
        </w:rPr>
        <w:t xml:space="preserve"> US EPA to Dr Prashant Srivastava, CRC CARE, 13 January 2010.</w:t>
      </w:r>
    </w:p>
    <w:p w14:paraId="304E57D5" w14:textId="23CAFAC4" w:rsidR="00035057" w:rsidRPr="00A83ABF" w:rsidRDefault="00035057" w:rsidP="00195B58">
      <w:pPr>
        <w:rPr>
          <w:rFonts w:cs="Arial"/>
        </w:rPr>
      </w:pPr>
      <w:proofErr w:type="spellStart"/>
      <w:r w:rsidRPr="00A83ABF">
        <w:rPr>
          <w:rFonts w:cs="Arial"/>
        </w:rPr>
        <w:t>Sobus</w:t>
      </w:r>
      <w:proofErr w:type="spellEnd"/>
      <w:r w:rsidR="004C5BD7" w:rsidRPr="00A83ABF">
        <w:rPr>
          <w:rFonts w:cs="Arial"/>
        </w:rPr>
        <w:t xml:space="preserve">, JR, </w:t>
      </w:r>
      <w:proofErr w:type="spellStart"/>
      <w:r w:rsidR="004C5BD7" w:rsidRPr="00A83ABF">
        <w:rPr>
          <w:rFonts w:cs="Arial"/>
        </w:rPr>
        <w:t>DeWoskin</w:t>
      </w:r>
      <w:proofErr w:type="spellEnd"/>
      <w:r w:rsidR="004C5BD7" w:rsidRPr="00A83ABF">
        <w:rPr>
          <w:rFonts w:cs="Arial"/>
        </w:rPr>
        <w:t xml:space="preserve">, RS, Tan Y-M, </w:t>
      </w:r>
      <w:proofErr w:type="spellStart"/>
      <w:r w:rsidR="004C5BD7" w:rsidRPr="00A83ABF">
        <w:rPr>
          <w:rFonts w:cs="Arial"/>
        </w:rPr>
        <w:t>Pleil</w:t>
      </w:r>
      <w:proofErr w:type="spellEnd"/>
      <w:r w:rsidR="004C5BD7" w:rsidRPr="00A83ABF">
        <w:rPr>
          <w:rFonts w:cs="Arial"/>
        </w:rPr>
        <w:t xml:space="preserve">, JD, Phillips, MB, George, BJ, Christensen, K, </w:t>
      </w:r>
      <w:proofErr w:type="spellStart"/>
      <w:r w:rsidR="004C5BD7" w:rsidRPr="00A83ABF">
        <w:rPr>
          <w:rFonts w:cs="Arial"/>
        </w:rPr>
        <w:t>Schreinem</w:t>
      </w:r>
      <w:r w:rsidR="00A83ABF">
        <w:rPr>
          <w:rFonts w:cs="Arial"/>
        </w:rPr>
        <w:t>achers</w:t>
      </w:r>
      <w:proofErr w:type="spellEnd"/>
      <w:r w:rsidR="00A83ABF">
        <w:rPr>
          <w:rFonts w:cs="Arial"/>
        </w:rPr>
        <w:t>, DM, Williams, MA, Cohen-</w:t>
      </w:r>
      <w:r w:rsidR="004C5BD7" w:rsidRPr="00A83ABF">
        <w:rPr>
          <w:rFonts w:cs="Arial"/>
        </w:rPr>
        <w:t>Hubal, EA</w:t>
      </w:r>
      <w:r w:rsidR="00A83ABF">
        <w:rPr>
          <w:rFonts w:cs="Arial"/>
        </w:rPr>
        <w:t>,</w:t>
      </w:r>
      <w:r w:rsidR="004C5BD7" w:rsidRPr="00A83ABF">
        <w:rPr>
          <w:rFonts w:cs="Arial"/>
        </w:rPr>
        <w:t xml:space="preserve"> and Edwards, S</w:t>
      </w:r>
      <w:r w:rsidR="000D2AD0" w:rsidRPr="00A83ABF">
        <w:rPr>
          <w:rFonts w:cs="Arial"/>
        </w:rPr>
        <w:t xml:space="preserve">W (2015) </w:t>
      </w:r>
      <w:r w:rsidR="00A83ABF">
        <w:rPr>
          <w:rFonts w:cs="Arial"/>
        </w:rPr>
        <w:t xml:space="preserve">Uses of NHANES biomarker data for chemical risk assessment: Trends, </w:t>
      </w:r>
      <w:proofErr w:type="gramStart"/>
      <w:r w:rsidR="00A83ABF">
        <w:rPr>
          <w:rFonts w:cs="Arial"/>
        </w:rPr>
        <w:t>challenges</w:t>
      </w:r>
      <w:proofErr w:type="gramEnd"/>
      <w:r w:rsidR="00A83ABF">
        <w:rPr>
          <w:rFonts w:cs="Arial"/>
        </w:rPr>
        <w:t xml:space="preserve"> and o</w:t>
      </w:r>
      <w:r w:rsidR="004C5BD7" w:rsidRPr="00A83ABF">
        <w:rPr>
          <w:rFonts w:cs="Arial"/>
        </w:rPr>
        <w:t xml:space="preserve">pportunities. </w:t>
      </w:r>
      <w:r w:rsidR="004C5BD7" w:rsidRPr="00A83ABF">
        <w:rPr>
          <w:rFonts w:cs="Arial"/>
          <w:i/>
        </w:rPr>
        <w:t>Environmental Health Perspectives</w:t>
      </w:r>
      <w:r w:rsidR="004C5BD7" w:rsidRPr="00A83ABF">
        <w:rPr>
          <w:rFonts w:cs="Arial"/>
        </w:rPr>
        <w:t>, 123 (10): 919-927.</w:t>
      </w:r>
    </w:p>
    <w:p w14:paraId="3DB61E0D" w14:textId="4A948CCD" w:rsidR="00064BE4" w:rsidRPr="00C65C98" w:rsidRDefault="002B5AB1" w:rsidP="00195B58">
      <w:pPr>
        <w:rPr>
          <w:rFonts w:cs="Arial"/>
        </w:rPr>
      </w:pPr>
      <w:r w:rsidRPr="00C65C98">
        <w:rPr>
          <w:rFonts w:cs="Arial"/>
        </w:rPr>
        <w:t xml:space="preserve">Steffen, C, </w:t>
      </w:r>
      <w:proofErr w:type="spellStart"/>
      <w:r w:rsidRPr="00C65C98">
        <w:rPr>
          <w:rFonts w:cs="Arial"/>
        </w:rPr>
        <w:t>Auclerc</w:t>
      </w:r>
      <w:proofErr w:type="spellEnd"/>
      <w:r w:rsidRPr="00C65C98">
        <w:rPr>
          <w:rFonts w:cs="Arial"/>
        </w:rPr>
        <w:t xml:space="preserve">, MF, </w:t>
      </w:r>
      <w:proofErr w:type="spellStart"/>
      <w:r w:rsidRPr="00C65C98">
        <w:rPr>
          <w:rFonts w:cs="Arial"/>
        </w:rPr>
        <w:t>Auvrignon</w:t>
      </w:r>
      <w:proofErr w:type="spellEnd"/>
      <w:r w:rsidRPr="00C65C98">
        <w:rPr>
          <w:rFonts w:cs="Arial"/>
        </w:rPr>
        <w:t xml:space="preserve">, A, Baruchel, A, </w:t>
      </w:r>
      <w:proofErr w:type="spellStart"/>
      <w:r w:rsidRPr="00C65C98">
        <w:rPr>
          <w:rFonts w:cs="Arial"/>
        </w:rPr>
        <w:t>Kebaili</w:t>
      </w:r>
      <w:proofErr w:type="spellEnd"/>
      <w:r w:rsidRPr="00C65C98">
        <w:rPr>
          <w:rFonts w:cs="Arial"/>
        </w:rPr>
        <w:t xml:space="preserve">, K, </w:t>
      </w:r>
      <w:proofErr w:type="spellStart"/>
      <w:r w:rsidRPr="00C65C98">
        <w:rPr>
          <w:rFonts w:cs="Arial"/>
        </w:rPr>
        <w:t>Lambilliotte</w:t>
      </w:r>
      <w:proofErr w:type="spellEnd"/>
      <w:r w:rsidRPr="00C65C98">
        <w:rPr>
          <w:rFonts w:cs="Arial"/>
        </w:rPr>
        <w:t xml:space="preserve">, A, </w:t>
      </w:r>
      <w:proofErr w:type="spellStart"/>
      <w:r w:rsidRPr="00C65C98">
        <w:rPr>
          <w:rFonts w:cs="Arial"/>
        </w:rPr>
        <w:t>Leverger</w:t>
      </w:r>
      <w:proofErr w:type="spellEnd"/>
      <w:r w:rsidRPr="00C65C98">
        <w:rPr>
          <w:rFonts w:cs="Arial"/>
        </w:rPr>
        <w:t>, G</w:t>
      </w:r>
      <w:r w:rsidR="00ED0920">
        <w:rPr>
          <w:rFonts w:cs="Arial"/>
        </w:rPr>
        <w:t xml:space="preserve">, </w:t>
      </w:r>
      <w:proofErr w:type="spellStart"/>
      <w:r w:rsidR="00ED0920">
        <w:rPr>
          <w:rFonts w:cs="Arial"/>
        </w:rPr>
        <w:t>Sommelet</w:t>
      </w:r>
      <w:proofErr w:type="spellEnd"/>
      <w:r w:rsidR="00ED0920">
        <w:rPr>
          <w:rFonts w:cs="Arial"/>
        </w:rPr>
        <w:t xml:space="preserve">, D, </w:t>
      </w:r>
      <w:proofErr w:type="spellStart"/>
      <w:r w:rsidR="00ED0920">
        <w:rPr>
          <w:rFonts w:cs="Arial"/>
        </w:rPr>
        <w:t>Vilmer</w:t>
      </w:r>
      <w:proofErr w:type="spellEnd"/>
      <w:r w:rsidR="00ED0920">
        <w:rPr>
          <w:rFonts w:cs="Arial"/>
        </w:rPr>
        <w:t xml:space="preserve">, E, </w:t>
      </w:r>
      <w:proofErr w:type="spellStart"/>
      <w:r w:rsidR="00ED0920">
        <w:rPr>
          <w:rFonts w:cs="Arial"/>
        </w:rPr>
        <w:t>Hemon</w:t>
      </w:r>
      <w:proofErr w:type="spellEnd"/>
      <w:r w:rsidR="00ED0920">
        <w:rPr>
          <w:rFonts w:cs="Arial"/>
        </w:rPr>
        <w:t xml:space="preserve">, D, and </w:t>
      </w:r>
      <w:proofErr w:type="spellStart"/>
      <w:r w:rsidR="00ED0920">
        <w:rPr>
          <w:rFonts w:cs="Arial"/>
        </w:rPr>
        <w:t>Clavel</w:t>
      </w:r>
      <w:proofErr w:type="spellEnd"/>
      <w:r w:rsidR="00ED0920">
        <w:rPr>
          <w:rFonts w:cs="Arial"/>
        </w:rPr>
        <w:t>, J</w:t>
      </w:r>
      <w:r w:rsidR="00064BE4" w:rsidRPr="00C65C98">
        <w:rPr>
          <w:rFonts w:cs="Arial"/>
        </w:rPr>
        <w:t xml:space="preserve"> </w:t>
      </w:r>
      <w:r w:rsidR="00ED0920">
        <w:rPr>
          <w:rFonts w:cs="Arial"/>
        </w:rPr>
        <w:t>(</w:t>
      </w:r>
      <w:r w:rsidR="00064BE4" w:rsidRPr="00C65C98">
        <w:rPr>
          <w:rFonts w:cs="Arial"/>
        </w:rPr>
        <w:t>2004</w:t>
      </w:r>
      <w:r w:rsidR="00ED0920">
        <w:rPr>
          <w:rFonts w:cs="Arial"/>
        </w:rPr>
        <w:t>)</w:t>
      </w:r>
      <w:r w:rsidR="00064BE4" w:rsidRPr="00C65C98">
        <w:rPr>
          <w:rFonts w:cs="Arial"/>
        </w:rPr>
        <w:t xml:space="preserve"> Acute childhood </w:t>
      </w:r>
      <w:proofErr w:type="spellStart"/>
      <w:r w:rsidR="00064BE4" w:rsidRPr="00C65C98">
        <w:rPr>
          <w:rFonts w:cs="Arial"/>
        </w:rPr>
        <w:t>leukaemia</w:t>
      </w:r>
      <w:proofErr w:type="spellEnd"/>
      <w:r w:rsidR="00064BE4" w:rsidRPr="00C65C98">
        <w:rPr>
          <w:rFonts w:cs="Arial"/>
        </w:rPr>
        <w:t xml:space="preserve"> and environmental exposure to potential sources of benzene and other hydrocarbons: a case-control study</w:t>
      </w:r>
      <w:r w:rsidR="00064BE4" w:rsidRPr="00C65C98">
        <w:rPr>
          <w:rFonts w:cs="Arial"/>
          <w:i/>
        </w:rPr>
        <w:t>.  Occup</w:t>
      </w:r>
      <w:r w:rsidR="00C65C98">
        <w:rPr>
          <w:rFonts w:cs="Arial"/>
          <w:i/>
        </w:rPr>
        <w:t>ational and</w:t>
      </w:r>
      <w:r w:rsidR="00064BE4" w:rsidRPr="00C65C98">
        <w:rPr>
          <w:rFonts w:cs="Arial"/>
          <w:i/>
        </w:rPr>
        <w:t xml:space="preserve"> Environ</w:t>
      </w:r>
      <w:r w:rsidR="00C65C98">
        <w:rPr>
          <w:rFonts w:cs="Arial"/>
          <w:i/>
        </w:rPr>
        <w:t>mental</w:t>
      </w:r>
      <w:r w:rsidR="00064BE4" w:rsidRPr="00C65C98">
        <w:rPr>
          <w:rFonts w:cs="Arial"/>
          <w:i/>
        </w:rPr>
        <w:t xml:space="preserve"> Med</w:t>
      </w:r>
      <w:r w:rsidR="00C65C98">
        <w:rPr>
          <w:rFonts w:cs="Arial"/>
          <w:i/>
        </w:rPr>
        <w:t>icine,</w:t>
      </w:r>
      <w:r w:rsidR="00064BE4" w:rsidRPr="00C65C98">
        <w:rPr>
          <w:rFonts w:cs="Arial"/>
        </w:rPr>
        <w:t xml:space="preserve"> 61 (9): 773-778.</w:t>
      </w:r>
    </w:p>
    <w:p w14:paraId="7FEA09EA" w14:textId="5276219B" w:rsidR="00382BE1" w:rsidRPr="000243FD" w:rsidRDefault="00382BE1" w:rsidP="009D39EA">
      <w:pPr>
        <w:rPr>
          <w:lang w:val="en"/>
        </w:rPr>
      </w:pPr>
      <w:proofErr w:type="spellStart"/>
      <w:r w:rsidRPr="000243FD">
        <w:rPr>
          <w:lang w:val="en"/>
        </w:rPr>
        <w:t>Swartjes</w:t>
      </w:r>
      <w:proofErr w:type="spellEnd"/>
      <w:r w:rsidR="000243FD">
        <w:rPr>
          <w:lang w:val="en"/>
        </w:rPr>
        <w:t>,</w:t>
      </w:r>
      <w:r w:rsidR="002941BC" w:rsidRPr="000243FD">
        <w:rPr>
          <w:lang w:val="en"/>
        </w:rPr>
        <w:t xml:space="preserve"> FA (2015) Human health risk assessment related to contaminated land: state of the art.  </w:t>
      </w:r>
      <w:r w:rsidR="002941BC" w:rsidRPr="000243FD">
        <w:rPr>
          <w:i/>
          <w:lang w:val="en"/>
        </w:rPr>
        <w:t>Environ Geochem Health</w:t>
      </w:r>
      <w:r w:rsidR="002941BC" w:rsidRPr="000243FD">
        <w:rPr>
          <w:lang w:val="en"/>
        </w:rPr>
        <w:t xml:space="preserve"> 37:651-673.</w:t>
      </w:r>
    </w:p>
    <w:p w14:paraId="6825D109" w14:textId="672B7434" w:rsidR="000D220A" w:rsidRPr="000243FD" w:rsidRDefault="000D220A" w:rsidP="000D220A">
      <w:r w:rsidRPr="000243FD">
        <w:t>Tillman</w:t>
      </w:r>
      <w:r w:rsidR="00C65C98">
        <w:t xml:space="preserve"> Jr</w:t>
      </w:r>
      <w:r w:rsidR="00ED0920">
        <w:t>, FD, and Weaver, JW (2005)</w:t>
      </w:r>
      <w:r w:rsidRPr="000243FD">
        <w:t xml:space="preserve"> </w:t>
      </w:r>
      <w:r w:rsidRPr="000243FD">
        <w:rPr>
          <w:i/>
          <w:iCs/>
        </w:rPr>
        <w:t xml:space="preserve">Review of recent research on </w:t>
      </w:r>
      <w:proofErr w:type="spellStart"/>
      <w:r w:rsidRPr="000243FD">
        <w:rPr>
          <w:i/>
          <w:iCs/>
        </w:rPr>
        <w:t>vapour</w:t>
      </w:r>
      <w:proofErr w:type="spellEnd"/>
      <w:r w:rsidRPr="000243FD">
        <w:rPr>
          <w:i/>
          <w:iCs/>
        </w:rPr>
        <w:t xml:space="preserve"> intrusion</w:t>
      </w:r>
      <w:r w:rsidRPr="000243FD">
        <w:t xml:space="preserve">. </w:t>
      </w:r>
      <w:r w:rsidR="00ED0920" w:rsidRPr="000243FD">
        <w:t>Office of Research and Development</w:t>
      </w:r>
      <w:r w:rsidR="00ED0920">
        <w:t>, US</w:t>
      </w:r>
      <w:r w:rsidR="00ED0920" w:rsidRPr="000243FD">
        <w:t xml:space="preserve"> Environmental Protection Agency</w:t>
      </w:r>
      <w:r w:rsidR="00ED0920">
        <w:t>,</w:t>
      </w:r>
      <w:r w:rsidR="00ED0920" w:rsidRPr="000243FD">
        <w:t xml:space="preserve"> </w:t>
      </w:r>
      <w:r w:rsidR="00ED0920">
        <w:t xml:space="preserve">Washington, DC. </w:t>
      </w:r>
      <w:r w:rsidRPr="000243FD">
        <w:t>EPA/600/R-05/106.</w:t>
      </w:r>
    </w:p>
    <w:p w14:paraId="33ABAEAE" w14:textId="730884D9" w:rsidR="00C65C98" w:rsidRPr="00C65C98" w:rsidRDefault="00C65C98" w:rsidP="00C65C98">
      <w:r w:rsidRPr="000243FD">
        <w:t>Tillman</w:t>
      </w:r>
      <w:r>
        <w:t xml:space="preserve"> Jr, FD, and Weaver, JW (2007</w:t>
      </w:r>
      <w:r w:rsidR="00ED0920">
        <w:t>)</w:t>
      </w:r>
      <w:r w:rsidRPr="000243FD">
        <w:t xml:space="preserve"> </w:t>
      </w:r>
      <w:r w:rsidRPr="00C65C98">
        <w:rPr>
          <w:iCs/>
        </w:rPr>
        <w:t>Temporal</w:t>
      </w:r>
      <w:r>
        <w:rPr>
          <w:iCs/>
        </w:rPr>
        <w:t xml:space="preserve"> moisture content variability beneath and external to a building and the potential effects on vapor intrusion risk assessment</w:t>
      </w:r>
      <w:r w:rsidRPr="00C65C98">
        <w:rPr>
          <w:i/>
          <w:iCs/>
        </w:rPr>
        <w:t>.  Science of the Total Environment</w:t>
      </w:r>
      <w:r>
        <w:rPr>
          <w:iCs/>
        </w:rPr>
        <w:t>, 379:1-15.</w:t>
      </w:r>
    </w:p>
    <w:p w14:paraId="5AC94458" w14:textId="4A14FE43" w:rsidR="00D11E46" w:rsidRPr="000243FD" w:rsidRDefault="00D11E46" w:rsidP="00D11E46">
      <w:pPr>
        <w:spacing w:after="0"/>
      </w:pPr>
      <w:proofErr w:type="spellStart"/>
      <w:r w:rsidRPr="000243FD">
        <w:t>Turczyno</w:t>
      </w:r>
      <w:r w:rsidR="00ED0920">
        <w:t>wicz</w:t>
      </w:r>
      <w:proofErr w:type="spellEnd"/>
      <w:r w:rsidR="00ED0920">
        <w:t>, L, and Robinson, N (2001)</w:t>
      </w:r>
      <w:r w:rsidRPr="000243FD">
        <w:t xml:space="preserve"> A model to derive soil criteria for benzene migrating from soil to dwelling interior in homes with crawl spaces. </w:t>
      </w:r>
      <w:r w:rsidRPr="000243FD">
        <w:rPr>
          <w:i/>
          <w:iCs/>
        </w:rPr>
        <w:t>Hum</w:t>
      </w:r>
      <w:r w:rsidR="000243FD" w:rsidRPr="000243FD">
        <w:rPr>
          <w:i/>
          <w:iCs/>
        </w:rPr>
        <w:t>an and</w:t>
      </w:r>
      <w:r w:rsidR="000243FD">
        <w:rPr>
          <w:i/>
          <w:iCs/>
        </w:rPr>
        <w:t xml:space="preserve"> Ecological</w:t>
      </w:r>
      <w:r w:rsidRPr="000243FD">
        <w:rPr>
          <w:i/>
          <w:iCs/>
        </w:rPr>
        <w:t xml:space="preserve"> Risk Assess</w:t>
      </w:r>
      <w:r w:rsidR="000243FD">
        <w:t xml:space="preserve">ment, </w:t>
      </w:r>
      <w:r w:rsidRPr="000243FD">
        <w:t>7:387–415.</w:t>
      </w:r>
    </w:p>
    <w:p w14:paraId="1AD5D0DC" w14:textId="77777777" w:rsidR="00D11E46" w:rsidRPr="00C7193D" w:rsidRDefault="00D11E46" w:rsidP="00495C74">
      <w:pPr>
        <w:spacing w:after="0"/>
        <w:rPr>
          <w:highlight w:val="yellow"/>
        </w:rPr>
      </w:pPr>
    </w:p>
    <w:p w14:paraId="7CDD52BC" w14:textId="4554A2C3" w:rsidR="0084711A" w:rsidRPr="001155EA" w:rsidRDefault="0084711A" w:rsidP="00495C74">
      <w:pPr>
        <w:spacing w:after="0"/>
      </w:pPr>
      <w:proofErr w:type="spellStart"/>
      <w:r w:rsidRPr="001155EA">
        <w:t>Turczynowicz</w:t>
      </w:r>
      <w:proofErr w:type="spellEnd"/>
      <w:r w:rsidR="00ED0920">
        <w:t>,</w:t>
      </w:r>
      <w:r w:rsidRPr="001155EA">
        <w:t xml:space="preserve"> L, Fitzgerald</w:t>
      </w:r>
      <w:r w:rsidR="00ED0920">
        <w:t>,</w:t>
      </w:r>
      <w:r w:rsidRPr="001155EA">
        <w:t xml:space="preserve"> DJ, </w:t>
      </w:r>
      <w:proofErr w:type="spellStart"/>
      <w:r w:rsidRPr="001155EA">
        <w:t>Nitschke</w:t>
      </w:r>
      <w:proofErr w:type="spellEnd"/>
      <w:r w:rsidR="001155EA" w:rsidRPr="001155EA">
        <w:t>,</w:t>
      </w:r>
      <w:r w:rsidRPr="001155EA">
        <w:t xml:space="preserve"> M, Mangas</w:t>
      </w:r>
      <w:r w:rsidR="001155EA" w:rsidRPr="001155EA">
        <w:t>,</w:t>
      </w:r>
      <w:r w:rsidRPr="001155EA">
        <w:t xml:space="preserve"> S</w:t>
      </w:r>
      <w:r w:rsidR="00ED0920">
        <w:t>,</w:t>
      </w:r>
      <w:r w:rsidRPr="001155EA">
        <w:t xml:space="preserve"> and McLean</w:t>
      </w:r>
      <w:r w:rsidR="00ED0920">
        <w:t>,</w:t>
      </w:r>
      <w:r w:rsidRPr="001155EA">
        <w:t xml:space="preserve"> A (2007</w:t>
      </w:r>
      <w:r w:rsidR="00114A7A" w:rsidRPr="001155EA">
        <w:t>a</w:t>
      </w:r>
      <w:r w:rsidRPr="001155EA">
        <w:t>) Site contamination he</w:t>
      </w:r>
      <w:r w:rsidR="00D015E4" w:rsidRPr="001155EA">
        <w:t>alth risk assessment case study involving t</w:t>
      </w:r>
      <w:r w:rsidRPr="001155EA">
        <w:t xml:space="preserve">enants living on a former gas works site. </w:t>
      </w:r>
      <w:r w:rsidRPr="001155EA">
        <w:rPr>
          <w:i/>
        </w:rPr>
        <w:t>Journal of Toxicology and Environmental Health</w:t>
      </w:r>
      <w:r w:rsidRPr="001155EA">
        <w:t xml:space="preserve"> Part A, 70:1638-1653.</w:t>
      </w:r>
    </w:p>
    <w:p w14:paraId="17D39725" w14:textId="77777777" w:rsidR="00495C74" w:rsidRPr="00C7193D" w:rsidRDefault="00495C74" w:rsidP="00495C74">
      <w:pPr>
        <w:spacing w:after="0"/>
        <w:rPr>
          <w:highlight w:val="yellow"/>
        </w:rPr>
      </w:pPr>
    </w:p>
    <w:p w14:paraId="290AF162" w14:textId="6B7AEDAA" w:rsidR="00114A7A" w:rsidRPr="001155EA" w:rsidRDefault="00510AC1" w:rsidP="00495C74">
      <w:pPr>
        <w:autoSpaceDE w:val="0"/>
        <w:autoSpaceDN w:val="0"/>
        <w:adjustRightInd w:val="0"/>
        <w:spacing w:after="0" w:line="240" w:lineRule="auto"/>
      </w:pPr>
      <w:proofErr w:type="spellStart"/>
      <w:r w:rsidRPr="001155EA">
        <w:t>Turczynowicz</w:t>
      </w:r>
      <w:proofErr w:type="spellEnd"/>
      <w:r w:rsidRPr="001155EA">
        <w:t>, L and Robinson, NI</w:t>
      </w:r>
      <w:r w:rsidR="00114A7A" w:rsidRPr="001155EA">
        <w:t xml:space="preserve"> </w:t>
      </w:r>
      <w:r w:rsidRPr="001155EA">
        <w:t>(</w:t>
      </w:r>
      <w:r w:rsidR="00114A7A" w:rsidRPr="001155EA">
        <w:t>2007</w:t>
      </w:r>
      <w:r w:rsidRPr="001155EA">
        <w:t>b)</w:t>
      </w:r>
      <w:r w:rsidR="00B43AF7">
        <w:t xml:space="preserve"> </w:t>
      </w:r>
      <w:r w:rsidR="00114A7A" w:rsidRPr="001155EA">
        <w:t xml:space="preserve">Exposure assessment </w:t>
      </w:r>
      <w:r w:rsidR="008911CD" w:rsidRPr="001155EA">
        <w:t>modelling</w:t>
      </w:r>
      <w:r w:rsidR="00114A7A" w:rsidRPr="001155EA">
        <w:t xml:space="preserve"> for volatiles - Towards an Australian indoor vapor intrusion model. </w:t>
      </w:r>
      <w:r w:rsidR="00114A7A" w:rsidRPr="001155EA">
        <w:rPr>
          <w:i/>
        </w:rPr>
        <w:t>J</w:t>
      </w:r>
      <w:r w:rsidR="001155EA" w:rsidRPr="001155EA">
        <w:rPr>
          <w:i/>
        </w:rPr>
        <w:t>ournal of</w:t>
      </w:r>
      <w:r w:rsidR="00114A7A" w:rsidRPr="001155EA">
        <w:rPr>
          <w:i/>
        </w:rPr>
        <w:t xml:space="preserve"> Toxicol</w:t>
      </w:r>
      <w:r w:rsidR="001155EA" w:rsidRPr="001155EA">
        <w:rPr>
          <w:i/>
        </w:rPr>
        <w:t>ogy and</w:t>
      </w:r>
      <w:r w:rsidR="00114A7A" w:rsidRPr="001155EA">
        <w:rPr>
          <w:i/>
        </w:rPr>
        <w:t xml:space="preserve"> Environ</w:t>
      </w:r>
      <w:r w:rsidR="001155EA" w:rsidRPr="001155EA">
        <w:rPr>
          <w:i/>
        </w:rPr>
        <w:t>mental</w:t>
      </w:r>
      <w:r w:rsidR="00114A7A" w:rsidRPr="001155EA">
        <w:rPr>
          <w:i/>
        </w:rPr>
        <w:t xml:space="preserve"> Health</w:t>
      </w:r>
      <w:r w:rsidR="00114A7A" w:rsidRPr="001155EA">
        <w:t>, Part A 70: 1619-1634.</w:t>
      </w:r>
    </w:p>
    <w:p w14:paraId="48EE25D5" w14:textId="77777777" w:rsidR="00495C74" w:rsidRPr="00C7193D" w:rsidRDefault="00495C74" w:rsidP="00495C74">
      <w:pPr>
        <w:autoSpaceDE w:val="0"/>
        <w:autoSpaceDN w:val="0"/>
        <w:adjustRightInd w:val="0"/>
        <w:spacing w:after="0" w:line="240" w:lineRule="auto"/>
        <w:rPr>
          <w:highlight w:val="yellow"/>
        </w:rPr>
      </w:pPr>
    </w:p>
    <w:p w14:paraId="74063B0F" w14:textId="0ABCC61B" w:rsidR="004F0289" w:rsidRPr="001155EA" w:rsidRDefault="004F0289" w:rsidP="00ED0920">
      <w:proofErr w:type="spellStart"/>
      <w:r w:rsidRPr="001155EA">
        <w:rPr>
          <w:lang w:val="en"/>
        </w:rPr>
        <w:lastRenderedPageBreak/>
        <w:t>Turczynowicz</w:t>
      </w:r>
      <w:proofErr w:type="spellEnd"/>
      <w:r w:rsidRPr="001155EA">
        <w:rPr>
          <w:lang w:val="en"/>
        </w:rPr>
        <w:t xml:space="preserve">, L, </w:t>
      </w:r>
      <w:proofErr w:type="spellStart"/>
      <w:r w:rsidRPr="001155EA">
        <w:rPr>
          <w:lang w:val="en"/>
        </w:rPr>
        <w:t>Pisaniello</w:t>
      </w:r>
      <w:proofErr w:type="spellEnd"/>
      <w:r w:rsidRPr="001155EA">
        <w:rPr>
          <w:lang w:val="en"/>
        </w:rPr>
        <w:t>, D and Williamson</w:t>
      </w:r>
      <w:r w:rsidR="001155EA" w:rsidRPr="001155EA">
        <w:rPr>
          <w:lang w:val="en"/>
        </w:rPr>
        <w:t>,</w:t>
      </w:r>
      <w:r w:rsidRPr="001155EA">
        <w:rPr>
          <w:lang w:val="en"/>
        </w:rPr>
        <w:t xml:space="preserve"> T (2012) </w:t>
      </w:r>
      <w:r w:rsidR="001155EA" w:rsidRPr="001155EA">
        <w:t>Health r</w:t>
      </w:r>
      <w:r w:rsidR="001155EA">
        <w:t>isk assessment and vapor intrusion: a review and Australian p</w:t>
      </w:r>
      <w:r w:rsidRPr="001155EA">
        <w:t>erspective</w:t>
      </w:r>
      <w:r w:rsidRPr="001155EA">
        <w:rPr>
          <w:lang w:val="en"/>
        </w:rPr>
        <w:t xml:space="preserve">. </w:t>
      </w:r>
      <w:r w:rsidRPr="001155EA">
        <w:rPr>
          <w:i/>
        </w:rPr>
        <w:t>Human and Ecological Risk Assessment,</w:t>
      </w:r>
      <w:r w:rsidRPr="001155EA">
        <w:t xml:space="preserve"> 18: 984–1013.</w:t>
      </w:r>
    </w:p>
    <w:p w14:paraId="450F51FD" w14:textId="7D76A458" w:rsidR="005878B9" w:rsidRPr="00734804" w:rsidRDefault="005878B9" w:rsidP="00495C74">
      <w:pPr>
        <w:spacing w:after="0"/>
      </w:pPr>
      <w:r w:rsidRPr="00734804">
        <w:t xml:space="preserve">US DoD (2009) </w:t>
      </w:r>
      <w:r w:rsidRPr="00734804">
        <w:rPr>
          <w:i/>
        </w:rPr>
        <w:t>DoD Vapor Intrusion Handbook.</w:t>
      </w:r>
      <w:r w:rsidRPr="00734804">
        <w:t xml:space="preserve"> Office of the Under Secretary of Defense, Department of Defense, Washington DC</w:t>
      </w:r>
      <w:r w:rsidR="00ED0920">
        <w:t>.</w:t>
      </w:r>
      <w:r w:rsidRPr="00734804">
        <w:t xml:space="preserve"> 20301-3000.</w:t>
      </w:r>
    </w:p>
    <w:p w14:paraId="03C9E6ED" w14:textId="77777777" w:rsidR="00495C74" w:rsidRPr="00C7193D" w:rsidRDefault="00495C74" w:rsidP="00495C74">
      <w:pPr>
        <w:spacing w:after="0"/>
        <w:rPr>
          <w:highlight w:val="yellow"/>
        </w:rPr>
      </w:pPr>
    </w:p>
    <w:p w14:paraId="29BE5D66" w14:textId="0C5CCD10" w:rsidR="00E80AC3" w:rsidRPr="00ED0920" w:rsidRDefault="00E80AC3" w:rsidP="00495C74">
      <w:pPr>
        <w:spacing w:after="0"/>
        <w:rPr>
          <w:lang w:val="en"/>
        </w:rPr>
      </w:pPr>
      <w:r w:rsidRPr="00ED0920">
        <w:rPr>
          <w:lang w:val="en"/>
        </w:rPr>
        <w:t xml:space="preserve">US EPA (1994) </w:t>
      </w:r>
      <w:r w:rsidRPr="00ED0920">
        <w:rPr>
          <w:i/>
          <w:lang w:val="en"/>
        </w:rPr>
        <w:t>Methods for Derivation of Inhalation Reference Concentrations (</w:t>
      </w:r>
      <w:proofErr w:type="spellStart"/>
      <w:r w:rsidRPr="00ED0920">
        <w:rPr>
          <w:i/>
          <w:lang w:val="en"/>
        </w:rPr>
        <w:t>RfCs</w:t>
      </w:r>
      <w:proofErr w:type="spellEnd"/>
      <w:r w:rsidRPr="00ED0920">
        <w:rPr>
          <w:i/>
          <w:lang w:val="en"/>
        </w:rPr>
        <w:t>) and Application of Inhalation Dosimetry.</w:t>
      </w:r>
      <w:r w:rsidR="00ED0920">
        <w:rPr>
          <w:lang w:val="en"/>
        </w:rPr>
        <w:t xml:space="preserve"> </w:t>
      </w:r>
      <w:r w:rsidR="00ED0920" w:rsidRPr="00ED0920">
        <w:rPr>
          <w:lang w:val="en"/>
        </w:rPr>
        <w:t>Office of Health and Environmental Assessment</w:t>
      </w:r>
      <w:r w:rsidR="00ED0920">
        <w:rPr>
          <w:lang w:val="en"/>
        </w:rPr>
        <w:t xml:space="preserve">, </w:t>
      </w:r>
      <w:r w:rsidR="00ED0920" w:rsidRPr="00ED0920">
        <w:rPr>
          <w:lang w:val="en"/>
        </w:rPr>
        <w:t>Office of Research and Development</w:t>
      </w:r>
      <w:r w:rsidR="00ED0920">
        <w:rPr>
          <w:lang w:val="en"/>
        </w:rPr>
        <w:t>, U</w:t>
      </w:r>
      <w:r w:rsidRPr="00ED0920">
        <w:rPr>
          <w:lang w:val="en"/>
        </w:rPr>
        <w:t>S E</w:t>
      </w:r>
      <w:r w:rsidR="00ED0920">
        <w:rPr>
          <w:lang w:val="en"/>
        </w:rPr>
        <w:t>nvironmental Protection Agency, Washington, DC.</w:t>
      </w:r>
      <w:r w:rsidRPr="00ED0920">
        <w:rPr>
          <w:lang w:val="en"/>
        </w:rPr>
        <w:t xml:space="preserve"> EPA/600/8-90/066F.</w:t>
      </w:r>
    </w:p>
    <w:p w14:paraId="642F3FE7" w14:textId="77777777" w:rsidR="00495C74" w:rsidRPr="00C7193D" w:rsidRDefault="00495C74" w:rsidP="00495C74">
      <w:pPr>
        <w:spacing w:after="0"/>
        <w:rPr>
          <w:highlight w:val="yellow"/>
        </w:rPr>
      </w:pPr>
    </w:p>
    <w:p w14:paraId="28225E97" w14:textId="04E2C799" w:rsidR="009D39EA" w:rsidRPr="00ED0920" w:rsidRDefault="00E80AC3" w:rsidP="00495C74">
      <w:pPr>
        <w:spacing w:after="0"/>
        <w:rPr>
          <w:rFonts w:cs="Arial"/>
        </w:rPr>
      </w:pPr>
      <w:r w:rsidRPr="00ED0920">
        <w:t>US EPA</w:t>
      </w:r>
      <w:r w:rsidR="009D39EA" w:rsidRPr="00ED0920">
        <w:t xml:space="preserve"> (1995a) </w:t>
      </w:r>
      <w:r w:rsidR="00A2600A">
        <w:rPr>
          <w:rFonts w:ascii="TradeGothic-LightOblique" w:hAnsi="TradeGothic-LightOblique" w:cs="TradeGothic-LightOblique"/>
          <w:i/>
          <w:iCs/>
        </w:rPr>
        <w:t>Guidance for Risk C</w:t>
      </w:r>
      <w:r w:rsidR="002941BC" w:rsidRPr="00ED0920">
        <w:rPr>
          <w:rFonts w:ascii="TradeGothic-LightOblique" w:hAnsi="TradeGothic-LightOblique" w:cs="TradeGothic-LightOblique"/>
          <w:i/>
          <w:iCs/>
        </w:rPr>
        <w:t>haracteriz</w:t>
      </w:r>
      <w:r w:rsidR="009D39EA" w:rsidRPr="00ED0920">
        <w:rPr>
          <w:rFonts w:ascii="TradeGothic-LightOblique" w:hAnsi="TradeGothic-LightOblique" w:cs="TradeGothic-LightOblique"/>
          <w:i/>
          <w:iCs/>
        </w:rPr>
        <w:t>ation</w:t>
      </w:r>
      <w:r w:rsidR="009D39EA" w:rsidRPr="00ED0920">
        <w:t>. US Environmental Protection Agency Sci</w:t>
      </w:r>
      <w:r w:rsidR="00ED0920">
        <w:t>ence Policy Council. Washington, DC.</w:t>
      </w:r>
    </w:p>
    <w:p w14:paraId="03ADD35F" w14:textId="77777777" w:rsidR="00495C74" w:rsidRPr="00C7193D" w:rsidRDefault="00495C74" w:rsidP="00495C74">
      <w:pPr>
        <w:spacing w:after="0"/>
        <w:rPr>
          <w:rFonts w:cs="Arial"/>
          <w:highlight w:val="yellow"/>
        </w:rPr>
      </w:pPr>
    </w:p>
    <w:p w14:paraId="6B00BE31" w14:textId="6B208A51" w:rsidR="0035415C" w:rsidRPr="00DB370D" w:rsidRDefault="0035415C" w:rsidP="00495C74">
      <w:pPr>
        <w:spacing w:after="0"/>
        <w:rPr>
          <w:rFonts w:cs="Arial"/>
        </w:rPr>
      </w:pPr>
      <w:r w:rsidRPr="00DB370D">
        <w:rPr>
          <w:rFonts w:cs="Arial"/>
        </w:rPr>
        <w:t>US EPA (2002</w:t>
      </w:r>
      <w:r w:rsidRPr="00DB370D">
        <w:rPr>
          <w:rFonts w:cs="Arial"/>
          <w:b/>
        </w:rPr>
        <w:t xml:space="preserve">) </w:t>
      </w:r>
      <w:r w:rsidRPr="00DB370D">
        <w:rPr>
          <w:rFonts w:cs="Arial"/>
          <w:i/>
        </w:rPr>
        <w:t>OSWER Draft Guidance for Evaluating the Vapor Intrusion to Indoor Air Pathway from Groundwater and Soils (Subsurface Vapor Intrusion Guidance). Tables.</w:t>
      </w:r>
      <w:r w:rsidRPr="00DB370D">
        <w:rPr>
          <w:rFonts w:cs="Arial"/>
          <w:color w:val="000000"/>
        </w:rPr>
        <w:t xml:space="preserve"> </w:t>
      </w:r>
      <w:r w:rsidR="00DB370D" w:rsidRPr="00DB370D">
        <w:rPr>
          <w:rFonts w:cs="Arial"/>
          <w:color w:val="000000"/>
        </w:rPr>
        <w:t>Office of Superfund Remediation and Technology Innovation</w:t>
      </w:r>
      <w:r w:rsidR="00DB370D">
        <w:rPr>
          <w:rFonts w:cs="Arial"/>
          <w:color w:val="000000"/>
        </w:rPr>
        <w:t>,</w:t>
      </w:r>
      <w:r w:rsidR="00DB370D" w:rsidRPr="00DB370D">
        <w:rPr>
          <w:rFonts w:cs="Arial"/>
          <w:color w:val="000000"/>
        </w:rPr>
        <w:t xml:space="preserve"> Office of Solid Waste and Emergency Response</w:t>
      </w:r>
      <w:r w:rsidR="00DB370D">
        <w:rPr>
          <w:rFonts w:cs="Arial"/>
          <w:color w:val="000000"/>
        </w:rPr>
        <w:t>,</w:t>
      </w:r>
      <w:r w:rsidR="00DB370D" w:rsidRPr="00DB370D">
        <w:rPr>
          <w:rFonts w:cs="Arial"/>
          <w:color w:val="000000"/>
        </w:rPr>
        <w:t xml:space="preserve"> </w:t>
      </w:r>
      <w:r w:rsidRPr="00DB370D">
        <w:rPr>
          <w:rFonts w:cs="Arial"/>
          <w:color w:val="000000"/>
        </w:rPr>
        <w:t>US E</w:t>
      </w:r>
      <w:r w:rsidR="00DB370D">
        <w:rPr>
          <w:rFonts w:cs="Arial"/>
          <w:color w:val="000000"/>
        </w:rPr>
        <w:t xml:space="preserve">nvironmental Protection Agency, </w:t>
      </w:r>
      <w:r w:rsidRPr="00DB370D">
        <w:rPr>
          <w:rFonts w:cs="Arial"/>
          <w:color w:val="000000"/>
        </w:rPr>
        <w:t xml:space="preserve">Washington, DC 20460. </w:t>
      </w:r>
      <w:r w:rsidRPr="00DB370D">
        <w:rPr>
          <w:rFonts w:cs="Arial"/>
        </w:rPr>
        <w:t>EPA 530-D-02-004. [Now superseded by OSWER 2015].</w:t>
      </w:r>
    </w:p>
    <w:p w14:paraId="54CB9853" w14:textId="77777777" w:rsidR="0035415C" w:rsidRPr="00C7193D" w:rsidRDefault="0035415C" w:rsidP="00495C74">
      <w:pPr>
        <w:spacing w:after="0"/>
        <w:rPr>
          <w:rFonts w:cs="Arial"/>
          <w:highlight w:val="yellow"/>
        </w:rPr>
      </w:pPr>
    </w:p>
    <w:p w14:paraId="338A81AC" w14:textId="3680A65C" w:rsidR="00CC1F18" w:rsidRPr="00DB370D" w:rsidRDefault="00CC1F18" w:rsidP="00495C74">
      <w:pPr>
        <w:spacing w:after="0"/>
        <w:rPr>
          <w:lang w:val="en"/>
        </w:rPr>
      </w:pPr>
      <w:r w:rsidRPr="00DB370D">
        <w:rPr>
          <w:lang w:val="en"/>
        </w:rPr>
        <w:t xml:space="preserve">US EPA (2005a) </w:t>
      </w:r>
      <w:r w:rsidR="00A2600A">
        <w:rPr>
          <w:i/>
          <w:lang w:val="en"/>
        </w:rPr>
        <w:t xml:space="preserve">Guidance for Evaluating Landfill Gas Emissions from Closed or Abandoned Facilities. </w:t>
      </w:r>
      <w:r w:rsidRPr="00DB370D">
        <w:rPr>
          <w:lang w:val="en"/>
        </w:rPr>
        <w:t>Office of Research and Development,</w:t>
      </w:r>
      <w:r w:rsidR="00A2600A" w:rsidRPr="00A2600A">
        <w:rPr>
          <w:lang w:val="en"/>
        </w:rPr>
        <w:t xml:space="preserve"> </w:t>
      </w:r>
      <w:r w:rsidR="00A2600A" w:rsidRPr="00DB370D">
        <w:rPr>
          <w:lang w:val="en"/>
        </w:rPr>
        <w:t>US Environmental Protection Agency</w:t>
      </w:r>
      <w:r w:rsidR="00A2600A">
        <w:rPr>
          <w:lang w:val="en"/>
        </w:rPr>
        <w:t>;</w:t>
      </w:r>
      <w:r w:rsidRPr="00DB370D">
        <w:rPr>
          <w:lang w:val="en"/>
        </w:rPr>
        <w:t xml:space="preserve"> Air Pollution </w:t>
      </w:r>
      <w:r w:rsidR="00A2600A">
        <w:rPr>
          <w:lang w:val="en"/>
        </w:rPr>
        <w:t xml:space="preserve">Prevention and Control Division; </w:t>
      </w:r>
      <w:r w:rsidRPr="00DB370D">
        <w:rPr>
          <w:lang w:val="en"/>
        </w:rPr>
        <w:t>National Risk Management Research Laboratory, Research Triangle Park, North Carolina. EPA-600/R-05/123a.</w:t>
      </w:r>
    </w:p>
    <w:p w14:paraId="06C1794D" w14:textId="77777777" w:rsidR="00495C74" w:rsidRPr="00C7193D" w:rsidRDefault="00495C74" w:rsidP="00495C74">
      <w:pPr>
        <w:spacing w:after="0"/>
        <w:rPr>
          <w:highlight w:val="yellow"/>
          <w:lang w:val="en"/>
        </w:rPr>
      </w:pPr>
    </w:p>
    <w:p w14:paraId="639D84AA" w14:textId="025792C4" w:rsidR="00CC1F18" w:rsidRPr="00A2600A" w:rsidRDefault="00CC1F18" w:rsidP="00495C74">
      <w:pPr>
        <w:spacing w:after="0"/>
        <w:rPr>
          <w:lang w:val="en"/>
        </w:rPr>
      </w:pPr>
      <w:r w:rsidRPr="00A2600A">
        <w:rPr>
          <w:lang w:val="en"/>
        </w:rPr>
        <w:t xml:space="preserve">US EPA (2005b) </w:t>
      </w:r>
      <w:r w:rsidRPr="00A2600A">
        <w:rPr>
          <w:i/>
          <w:lang w:val="en"/>
        </w:rPr>
        <w:t xml:space="preserve">Guidance for evaluating landfill gas emissions from closed or abandoned facilities.  </w:t>
      </w:r>
      <w:r w:rsidRPr="00A2600A">
        <w:rPr>
          <w:lang w:val="en"/>
        </w:rPr>
        <w:t>Appendix C</w:t>
      </w:r>
      <w:r w:rsidR="00A2600A">
        <w:rPr>
          <w:lang w:val="en"/>
        </w:rPr>
        <w:t>.</w:t>
      </w:r>
      <w:r w:rsidRPr="00A2600A">
        <w:rPr>
          <w:lang w:val="en"/>
        </w:rPr>
        <w:t xml:space="preserve"> Office of Research and Development, </w:t>
      </w:r>
      <w:r w:rsidR="00A2600A" w:rsidRPr="00A2600A">
        <w:rPr>
          <w:lang w:val="en"/>
        </w:rPr>
        <w:t>US Environmental Protection Agency</w:t>
      </w:r>
      <w:r w:rsidR="00A2600A">
        <w:rPr>
          <w:lang w:val="en"/>
        </w:rPr>
        <w:t xml:space="preserve">; </w:t>
      </w:r>
      <w:r w:rsidRPr="00A2600A">
        <w:rPr>
          <w:lang w:val="en"/>
        </w:rPr>
        <w:t xml:space="preserve">Air Pollution </w:t>
      </w:r>
      <w:r w:rsidR="00A2600A">
        <w:rPr>
          <w:lang w:val="en"/>
        </w:rPr>
        <w:t>Prevention and Control Division;</w:t>
      </w:r>
      <w:r w:rsidRPr="00A2600A">
        <w:rPr>
          <w:lang w:val="en"/>
        </w:rPr>
        <w:t xml:space="preserve"> National Risk Management Research Laboratory, Research Triangle Park, North Carolina. EPA-600/R-05/123b.</w:t>
      </w:r>
    </w:p>
    <w:p w14:paraId="5B66AC7D" w14:textId="77777777" w:rsidR="00495C74" w:rsidRPr="00C7193D" w:rsidRDefault="00495C74" w:rsidP="00495C74">
      <w:pPr>
        <w:spacing w:after="0"/>
        <w:rPr>
          <w:highlight w:val="yellow"/>
        </w:rPr>
      </w:pPr>
    </w:p>
    <w:p w14:paraId="57A8C40E" w14:textId="5646D154" w:rsidR="0035415C" w:rsidRPr="00A2600A" w:rsidRDefault="0035415C" w:rsidP="00495C74">
      <w:pPr>
        <w:spacing w:after="0"/>
      </w:pPr>
      <w:r w:rsidRPr="00A2600A">
        <w:t xml:space="preserve">US EPA (2008) </w:t>
      </w:r>
      <w:r w:rsidRPr="00A2600A">
        <w:rPr>
          <w:i/>
        </w:rPr>
        <w:t>Indoor Air Vapor Intrusion Mitigation Approaches.</w:t>
      </w:r>
      <w:r w:rsidRPr="00A2600A">
        <w:t xml:space="preserve"> Office of Research and Development, </w:t>
      </w:r>
      <w:r w:rsidR="00A2600A" w:rsidRPr="00A2600A">
        <w:rPr>
          <w:color w:val="000000"/>
        </w:rPr>
        <w:t>US Environmental Protection Agency</w:t>
      </w:r>
      <w:r w:rsidR="00A2600A">
        <w:rPr>
          <w:color w:val="000000"/>
        </w:rPr>
        <w:t>;</w:t>
      </w:r>
      <w:r w:rsidR="00A2600A" w:rsidRPr="00A2600A">
        <w:t xml:space="preserve"> </w:t>
      </w:r>
      <w:r w:rsidRPr="00A2600A">
        <w:t>National Risk Management Research Laboratory</w:t>
      </w:r>
      <w:r w:rsidR="00A2600A">
        <w:t xml:space="preserve">, </w:t>
      </w:r>
      <w:r w:rsidRPr="00A2600A">
        <w:t>Cincinnati, OH.</w:t>
      </w:r>
      <w:r w:rsidRPr="00A2600A">
        <w:rPr>
          <w:rFonts w:cs="Arial"/>
          <w:color w:val="232E85"/>
          <w:sz w:val="20"/>
          <w:szCs w:val="20"/>
        </w:rPr>
        <w:t xml:space="preserve"> </w:t>
      </w:r>
      <w:r w:rsidRPr="00A2600A">
        <w:t>EPA/600/R-08-115.</w:t>
      </w:r>
    </w:p>
    <w:p w14:paraId="4D82C7C7" w14:textId="77777777" w:rsidR="00495C74" w:rsidRPr="00C7193D" w:rsidRDefault="00495C74" w:rsidP="00495C74">
      <w:pPr>
        <w:spacing w:after="0"/>
        <w:rPr>
          <w:highlight w:val="yellow"/>
          <w:lang w:val="en"/>
        </w:rPr>
      </w:pPr>
    </w:p>
    <w:p w14:paraId="7C6DB0DD" w14:textId="5F918E1F" w:rsidR="000F658C" w:rsidRPr="00055436" w:rsidRDefault="000F658C" w:rsidP="00A2600A">
      <w:pPr>
        <w:rPr>
          <w:lang w:val="en"/>
        </w:rPr>
      </w:pPr>
      <w:r w:rsidRPr="00055436">
        <w:rPr>
          <w:lang w:val="en"/>
        </w:rPr>
        <w:t xml:space="preserve">US EPA (2009a) </w:t>
      </w:r>
      <w:r w:rsidRPr="00055436">
        <w:rPr>
          <w:i/>
          <w:lang w:val="en"/>
        </w:rPr>
        <w:t>Status Report: Advances in Inhalation Dosimetry of Gases and Vapors with Portal of Entry Effects in the Upper Respiratory Tract.</w:t>
      </w:r>
      <w:r w:rsidR="00274C6B">
        <w:rPr>
          <w:lang w:val="en"/>
        </w:rPr>
        <w:t xml:space="preserve"> US</w:t>
      </w:r>
      <w:r w:rsidRPr="00055436">
        <w:rPr>
          <w:lang w:val="en"/>
        </w:rPr>
        <w:t xml:space="preserve"> Environmental Pr</w:t>
      </w:r>
      <w:r w:rsidR="00055436">
        <w:rPr>
          <w:lang w:val="en"/>
        </w:rPr>
        <w:t>otection Agency, Washington, DC.</w:t>
      </w:r>
      <w:r w:rsidRPr="00055436">
        <w:rPr>
          <w:lang w:val="en"/>
        </w:rPr>
        <w:t xml:space="preserve"> EPA/600/R-09/072.</w:t>
      </w:r>
    </w:p>
    <w:p w14:paraId="14D880CE" w14:textId="38A96CDB" w:rsidR="000F658C" w:rsidRPr="00274C6B" w:rsidRDefault="000F658C" w:rsidP="00195B58">
      <w:pPr>
        <w:rPr>
          <w:lang w:val="en"/>
        </w:rPr>
      </w:pPr>
      <w:r w:rsidRPr="00274C6B">
        <w:rPr>
          <w:lang w:val="en"/>
        </w:rPr>
        <w:t xml:space="preserve">US EPA (2009b) </w:t>
      </w:r>
      <w:r w:rsidRPr="00274C6B">
        <w:rPr>
          <w:i/>
          <w:lang w:val="en"/>
        </w:rPr>
        <w:t>Highlights of the Child-Specific Exposure Factors Handbook (Final Report).</w:t>
      </w:r>
      <w:r w:rsidR="00274C6B">
        <w:rPr>
          <w:lang w:val="en"/>
        </w:rPr>
        <w:t xml:space="preserve"> US</w:t>
      </w:r>
      <w:r w:rsidRPr="00274C6B">
        <w:rPr>
          <w:lang w:val="en"/>
        </w:rPr>
        <w:t xml:space="preserve"> Environmental Protection Agency, Washington, DC</w:t>
      </w:r>
      <w:r w:rsidR="00274C6B">
        <w:rPr>
          <w:lang w:val="en"/>
        </w:rPr>
        <w:t>.</w:t>
      </w:r>
      <w:r w:rsidRPr="00274C6B">
        <w:rPr>
          <w:lang w:val="en"/>
        </w:rPr>
        <w:t xml:space="preserve"> EPA/600/R-08/135. </w:t>
      </w:r>
    </w:p>
    <w:p w14:paraId="64F593A2" w14:textId="4F309FF5" w:rsidR="006545F5" w:rsidRPr="00274C6B" w:rsidRDefault="006545F5" w:rsidP="00195B58">
      <w:pPr>
        <w:rPr>
          <w:rFonts w:cs="Arial"/>
        </w:rPr>
      </w:pPr>
      <w:r w:rsidRPr="00274C6B">
        <w:rPr>
          <w:lang w:val="en"/>
        </w:rPr>
        <w:t>US EPA (2011</w:t>
      </w:r>
      <w:r w:rsidR="004B63AE" w:rsidRPr="00274C6B">
        <w:rPr>
          <w:lang w:val="en"/>
        </w:rPr>
        <w:t>a</w:t>
      </w:r>
      <w:r w:rsidRPr="00274C6B">
        <w:rPr>
          <w:lang w:val="en"/>
        </w:rPr>
        <w:t xml:space="preserve">) </w:t>
      </w:r>
      <w:r w:rsidRPr="00274C6B">
        <w:rPr>
          <w:i/>
          <w:lang w:val="en"/>
        </w:rPr>
        <w:t>Status Report: Advances in Inhalation Dosimetry for Gases with Lower Respiratory Tract and Systemic Effects.</w:t>
      </w:r>
      <w:r w:rsidR="00274C6B">
        <w:rPr>
          <w:lang w:val="en"/>
        </w:rPr>
        <w:t xml:space="preserve"> US</w:t>
      </w:r>
      <w:r w:rsidRPr="00274C6B">
        <w:rPr>
          <w:lang w:val="en"/>
        </w:rPr>
        <w:t xml:space="preserve"> Environmental Pro</w:t>
      </w:r>
      <w:r w:rsidR="00274C6B">
        <w:rPr>
          <w:lang w:val="en"/>
        </w:rPr>
        <w:t xml:space="preserve">tection Agency, Washington, DC. </w:t>
      </w:r>
      <w:r w:rsidRPr="00274C6B">
        <w:rPr>
          <w:lang w:val="en"/>
        </w:rPr>
        <w:t>EPA/600/R-11/067.</w:t>
      </w:r>
    </w:p>
    <w:p w14:paraId="2DA4D55E" w14:textId="4AF8B2A4" w:rsidR="004B63AE" w:rsidRPr="00274C6B" w:rsidRDefault="004B63AE" w:rsidP="00195B58">
      <w:pPr>
        <w:rPr>
          <w:lang w:val="en"/>
        </w:rPr>
      </w:pPr>
      <w:r w:rsidRPr="00274C6B">
        <w:rPr>
          <w:lang w:val="en"/>
        </w:rPr>
        <w:lastRenderedPageBreak/>
        <w:t>US EPA (2011</w:t>
      </w:r>
      <w:r w:rsidR="00274C6B">
        <w:rPr>
          <w:lang w:val="en"/>
        </w:rPr>
        <w:t>b</w:t>
      </w:r>
      <w:r w:rsidRPr="00274C6B">
        <w:rPr>
          <w:lang w:val="en"/>
        </w:rPr>
        <w:t>) Exposure Factors Handbook 2011 Edition (Final). U.S. Environmental Protection Agency, Washington, DC, EPA/600/R-09/052F.</w:t>
      </w:r>
    </w:p>
    <w:p w14:paraId="1B2A8675" w14:textId="06737017" w:rsidR="0060399C" w:rsidRPr="00274C6B" w:rsidRDefault="00274C6B" w:rsidP="00195B58">
      <w:r w:rsidRPr="00274C6B">
        <w:t>US EPA (2011c</w:t>
      </w:r>
      <w:r w:rsidR="0060399C" w:rsidRPr="00274C6B">
        <w:t xml:space="preserve">). </w:t>
      </w:r>
      <w:r w:rsidR="0060399C" w:rsidRPr="00274C6B">
        <w:rPr>
          <w:i/>
          <w:iCs/>
        </w:rPr>
        <w:t>Risk Characterization Program</w:t>
      </w:r>
      <w:r w:rsidR="0060399C" w:rsidRPr="00274C6B">
        <w:t>. Science and Technology Policy Counci</w:t>
      </w:r>
      <w:r>
        <w:t>l. Last modified 25 January 2011</w:t>
      </w:r>
      <w:r w:rsidR="0060399C" w:rsidRPr="00274C6B">
        <w:t xml:space="preserve">.  </w:t>
      </w:r>
      <w:r w:rsidR="000D5154" w:rsidRPr="00274C6B">
        <w:t>[As cited in US EPA, 2014</w:t>
      </w:r>
      <w:r>
        <w:t>b</w:t>
      </w:r>
      <w:r w:rsidR="000D5154" w:rsidRPr="00274C6B">
        <w:t>]</w:t>
      </w:r>
    </w:p>
    <w:p w14:paraId="18E8C9F0" w14:textId="4E8C1228" w:rsidR="0035415C" w:rsidRPr="006A76C5" w:rsidRDefault="0035415C" w:rsidP="0035415C">
      <w:pPr>
        <w:autoSpaceDE w:val="0"/>
        <w:autoSpaceDN w:val="0"/>
        <w:adjustRightInd w:val="0"/>
        <w:spacing w:after="157" w:line="240" w:lineRule="auto"/>
        <w:rPr>
          <w:rFonts w:cs="Arial"/>
          <w:color w:val="000000"/>
        </w:rPr>
      </w:pPr>
      <w:r w:rsidRPr="006A76C5">
        <w:rPr>
          <w:rFonts w:cs="Arial"/>
        </w:rPr>
        <w:t xml:space="preserve">US EPA </w:t>
      </w:r>
      <w:r w:rsidR="00274C6B" w:rsidRPr="006A76C5">
        <w:rPr>
          <w:rFonts w:cs="Arial"/>
        </w:rPr>
        <w:t>(2011d</w:t>
      </w:r>
      <w:r w:rsidRPr="006A76C5">
        <w:rPr>
          <w:rFonts w:cs="Arial"/>
        </w:rPr>
        <w:t xml:space="preserve">) </w:t>
      </w:r>
      <w:r w:rsidRPr="006A76C5">
        <w:rPr>
          <w:rFonts w:cs="Arial"/>
          <w:i/>
          <w:color w:val="000000"/>
        </w:rPr>
        <w:t>Background Indoor Air Concentrations of Volatile Organic Compounds in North American Residences (1990—2005): A Compilation of Statistics for Assessing Vapor Intrusion.</w:t>
      </w:r>
      <w:r w:rsidR="006A76C5">
        <w:rPr>
          <w:rFonts w:cs="Arial"/>
          <w:color w:val="000000"/>
        </w:rPr>
        <w:t xml:space="preserve"> </w:t>
      </w:r>
      <w:r w:rsidRPr="006A76C5">
        <w:rPr>
          <w:rFonts w:cs="Arial"/>
          <w:color w:val="000000"/>
        </w:rPr>
        <w:t>Office of Sol</w:t>
      </w:r>
      <w:r w:rsidR="006A76C5">
        <w:rPr>
          <w:rFonts w:cs="Arial"/>
          <w:color w:val="000000"/>
        </w:rPr>
        <w:t xml:space="preserve">id Waste and Emergency Response, </w:t>
      </w:r>
      <w:r w:rsidR="006A76C5" w:rsidRPr="006A76C5">
        <w:rPr>
          <w:rFonts w:cs="Arial"/>
          <w:color w:val="000000"/>
        </w:rPr>
        <w:t>US Environmental Protection Agency</w:t>
      </w:r>
      <w:r w:rsidR="006A76C5">
        <w:rPr>
          <w:rFonts w:cs="Arial"/>
          <w:color w:val="000000"/>
        </w:rPr>
        <w:t>,</w:t>
      </w:r>
      <w:r w:rsidRPr="006A76C5">
        <w:rPr>
          <w:rFonts w:cs="Arial"/>
          <w:color w:val="000000"/>
        </w:rPr>
        <w:t xml:space="preserve"> Washington, DC 20460. EPA 530-R-10-001.</w:t>
      </w:r>
    </w:p>
    <w:p w14:paraId="439D246E" w14:textId="3399EAA1" w:rsidR="00CC1F18" w:rsidRPr="006A76C5" w:rsidRDefault="00274C6B" w:rsidP="00CC1F18">
      <w:pPr>
        <w:autoSpaceDE w:val="0"/>
        <w:autoSpaceDN w:val="0"/>
        <w:adjustRightInd w:val="0"/>
        <w:spacing w:after="157" w:line="240" w:lineRule="auto"/>
        <w:rPr>
          <w:rFonts w:cs="Arial"/>
          <w:color w:val="000000"/>
          <w:sz w:val="23"/>
          <w:szCs w:val="23"/>
        </w:rPr>
      </w:pPr>
      <w:r w:rsidRPr="006A76C5">
        <w:rPr>
          <w:rFonts w:cs="Arial"/>
        </w:rPr>
        <w:t>US EPA (2011e</w:t>
      </w:r>
      <w:r w:rsidR="00CC1F18" w:rsidRPr="006A76C5">
        <w:rPr>
          <w:rFonts w:cs="Arial"/>
        </w:rPr>
        <w:t xml:space="preserve">) </w:t>
      </w:r>
      <w:r w:rsidR="00CC1F18" w:rsidRPr="006A76C5">
        <w:rPr>
          <w:rFonts w:cs="Arial"/>
          <w:i/>
        </w:rPr>
        <w:t>Petroleum Hydrocarbons and C</w:t>
      </w:r>
      <w:r w:rsidR="006A76C5">
        <w:rPr>
          <w:rFonts w:cs="Arial"/>
          <w:i/>
        </w:rPr>
        <w:t>hlorinated Hydrocarbons Differ in Their Potential f</w:t>
      </w:r>
      <w:r w:rsidR="00CC1F18" w:rsidRPr="006A76C5">
        <w:rPr>
          <w:rFonts w:cs="Arial"/>
          <w:i/>
        </w:rPr>
        <w:t>or Vapor Intrusion.</w:t>
      </w:r>
      <w:r w:rsidR="00CC1F18" w:rsidRPr="006A76C5">
        <w:rPr>
          <w:rFonts w:cs="Arial"/>
        </w:rPr>
        <w:t xml:space="preserve"> </w:t>
      </w:r>
      <w:r w:rsidR="00CC1F18" w:rsidRPr="006A76C5">
        <w:rPr>
          <w:rFonts w:cs="Arial"/>
          <w:color w:val="000000"/>
        </w:rPr>
        <w:t>Office of Underground Storage Tanks</w:t>
      </w:r>
      <w:r w:rsidR="006A76C5">
        <w:rPr>
          <w:rFonts w:cs="Arial"/>
          <w:color w:val="000000"/>
        </w:rPr>
        <w:t xml:space="preserve">, </w:t>
      </w:r>
      <w:r w:rsidR="006A76C5" w:rsidRPr="006A76C5">
        <w:rPr>
          <w:rFonts w:cs="Arial"/>
          <w:color w:val="000000"/>
        </w:rPr>
        <w:t xml:space="preserve">US Environmental Protection Agency, </w:t>
      </w:r>
      <w:r w:rsidR="00CC1F18" w:rsidRPr="006A76C5">
        <w:rPr>
          <w:rFonts w:cs="Arial"/>
          <w:color w:val="000000"/>
        </w:rPr>
        <w:t>Washington, DC 20460.</w:t>
      </w:r>
    </w:p>
    <w:p w14:paraId="0B5ECCA1" w14:textId="55380A10" w:rsidR="006545F5" w:rsidRPr="006A76C5" w:rsidRDefault="006545F5" w:rsidP="00195B58">
      <w:pPr>
        <w:rPr>
          <w:lang w:val="en"/>
        </w:rPr>
      </w:pPr>
      <w:r w:rsidRPr="006A76C5">
        <w:rPr>
          <w:lang w:val="en"/>
        </w:rPr>
        <w:t>US EPA (2012</w:t>
      </w:r>
      <w:r w:rsidR="0035415C" w:rsidRPr="006A76C5">
        <w:rPr>
          <w:lang w:val="en"/>
        </w:rPr>
        <w:t>a</w:t>
      </w:r>
      <w:r w:rsidRPr="006A76C5">
        <w:rPr>
          <w:lang w:val="en"/>
        </w:rPr>
        <w:t xml:space="preserve">) </w:t>
      </w:r>
      <w:r w:rsidRPr="006A76C5">
        <w:rPr>
          <w:i/>
          <w:lang w:val="en"/>
        </w:rPr>
        <w:t>Advances in Inhalation Gas Dosimetry for Derivation of a Reference Concentration (</w:t>
      </w:r>
      <w:proofErr w:type="spellStart"/>
      <w:r w:rsidRPr="006A76C5">
        <w:rPr>
          <w:i/>
          <w:lang w:val="en"/>
        </w:rPr>
        <w:t>RfC</w:t>
      </w:r>
      <w:proofErr w:type="spellEnd"/>
      <w:r w:rsidRPr="006A76C5">
        <w:rPr>
          <w:i/>
          <w:lang w:val="en"/>
        </w:rPr>
        <w:t>) and Use in Risk Assessment.</w:t>
      </w:r>
      <w:r w:rsidRPr="006A76C5">
        <w:rPr>
          <w:lang w:val="en"/>
        </w:rPr>
        <w:t xml:space="preserve"> U.S. Environmental Pr</w:t>
      </w:r>
      <w:r w:rsidR="006A76C5">
        <w:rPr>
          <w:lang w:val="en"/>
        </w:rPr>
        <w:t xml:space="preserve">otection Agency, Washington, DC </w:t>
      </w:r>
      <w:r w:rsidR="006A76C5" w:rsidRPr="006A76C5">
        <w:rPr>
          <w:rFonts w:cs="Arial"/>
          <w:color w:val="000000"/>
        </w:rPr>
        <w:t xml:space="preserve">20460. </w:t>
      </w:r>
      <w:r w:rsidRPr="006A76C5">
        <w:rPr>
          <w:lang w:val="en"/>
        </w:rPr>
        <w:t>EPA/600/R-12/044.</w:t>
      </w:r>
    </w:p>
    <w:p w14:paraId="60F1FF56" w14:textId="153E9F59" w:rsidR="0035415C" w:rsidRPr="006A76C5" w:rsidRDefault="0035415C" w:rsidP="0035415C">
      <w:pPr>
        <w:autoSpaceDE w:val="0"/>
        <w:autoSpaceDN w:val="0"/>
        <w:adjustRightInd w:val="0"/>
        <w:spacing w:after="157" w:line="240" w:lineRule="auto"/>
        <w:rPr>
          <w:rFonts w:cs="Arial"/>
          <w:color w:val="000000"/>
          <w:sz w:val="23"/>
          <w:szCs w:val="23"/>
        </w:rPr>
      </w:pPr>
      <w:r w:rsidRPr="006A76C5">
        <w:rPr>
          <w:rFonts w:cs="Arial"/>
        </w:rPr>
        <w:t xml:space="preserve">US EPA (2012b) </w:t>
      </w:r>
      <w:r w:rsidRPr="006A76C5">
        <w:rPr>
          <w:rFonts w:cs="Arial"/>
          <w:i/>
        </w:rPr>
        <w:t>EPA’s Vapor Intrusion Database: Evaluation and Characterization of Attenuation Factors for Chlorinated Volatile Organic Compounds and Residential Buildings.</w:t>
      </w:r>
      <w:r w:rsidRPr="006A76C5">
        <w:rPr>
          <w:rFonts w:cs="Arial"/>
        </w:rPr>
        <w:t xml:space="preserve"> </w:t>
      </w:r>
      <w:r w:rsidRPr="006A76C5">
        <w:rPr>
          <w:rFonts w:cs="Arial"/>
          <w:color w:val="000000"/>
        </w:rPr>
        <w:t>Office of Sol</w:t>
      </w:r>
      <w:r w:rsidR="006A76C5">
        <w:rPr>
          <w:rFonts w:cs="Arial"/>
          <w:color w:val="000000"/>
        </w:rPr>
        <w:t xml:space="preserve">id Waste and Emergency Response, </w:t>
      </w:r>
      <w:r w:rsidR="006A76C5" w:rsidRPr="006A76C5">
        <w:rPr>
          <w:rFonts w:cs="Arial"/>
          <w:color w:val="000000"/>
        </w:rPr>
        <w:t xml:space="preserve">US Environmental Protection Agency, </w:t>
      </w:r>
      <w:r w:rsidRPr="006A76C5">
        <w:rPr>
          <w:rFonts w:cs="Arial"/>
          <w:color w:val="000000"/>
        </w:rPr>
        <w:t>Washington, DC 20460. EPA 530-R-10-002.</w:t>
      </w:r>
    </w:p>
    <w:p w14:paraId="39FE0B1A" w14:textId="457E66B3" w:rsidR="0035415C" w:rsidRPr="006A76C5" w:rsidRDefault="0035415C" w:rsidP="0035415C">
      <w:pPr>
        <w:autoSpaceDE w:val="0"/>
        <w:autoSpaceDN w:val="0"/>
        <w:adjustRightInd w:val="0"/>
        <w:spacing w:after="157" w:line="240" w:lineRule="auto"/>
        <w:rPr>
          <w:rFonts w:cs="Arial"/>
          <w:color w:val="000000"/>
        </w:rPr>
      </w:pPr>
      <w:r w:rsidRPr="006A76C5">
        <w:rPr>
          <w:rFonts w:cs="Arial"/>
          <w:color w:val="000000"/>
        </w:rPr>
        <w:t xml:space="preserve">US EPA (2012c) </w:t>
      </w:r>
      <w:r w:rsidRPr="006A76C5">
        <w:rPr>
          <w:rFonts w:cs="Arial"/>
          <w:i/>
          <w:color w:val="000000"/>
        </w:rPr>
        <w:t>Conceptual Model Scenarios for the Vapor Intrusion Pathway.</w:t>
      </w:r>
      <w:r w:rsidRPr="006A76C5">
        <w:rPr>
          <w:rFonts w:cs="Arial"/>
          <w:color w:val="000000"/>
        </w:rPr>
        <w:t xml:space="preserve">  </w:t>
      </w:r>
      <w:r w:rsidR="006A76C5" w:rsidRPr="006A76C5">
        <w:rPr>
          <w:rFonts w:cs="Arial"/>
          <w:color w:val="000000"/>
        </w:rPr>
        <w:t>Office of Sol</w:t>
      </w:r>
      <w:r w:rsidR="006A76C5">
        <w:rPr>
          <w:rFonts w:cs="Arial"/>
          <w:color w:val="000000"/>
        </w:rPr>
        <w:t xml:space="preserve">id Waste and Emergency Response, </w:t>
      </w:r>
      <w:r w:rsidR="006A76C5" w:rsidRPr="006A76C5">
        <w:rPr>
          <w:rFonts w:cs="Arial"/>
          <w:color w:val="000000"/>
        </w:rPr>
        <w:t xml:space="preserve">US Environmental Protection Agency, Washington, DC 20460. </w:t>
      </w:r>
      <w:r w:rsidRPr="006A76C5">
        <w:rPr>
          <w:rFonts w:cs="Arial"/>
          <w:color w:val="000000"/>
        </w:rPr>
        <w:t>EPA 530-R-10-003.</w:t>
      </w:r>
    </w:p>
    <w:p w14:paraId="1B0C0FE4" w14:textId="741BDF3F" w:rsidR="00F506A3" w:rsidRPr="006A76C5" w:rsidRDefault="00F506A3" w:rsidP="00F506A3">
      <w:pPr>
        <w:rPr>
          <w:rFonts w:cs="Arial"/>
        </w:rPr>
      </w:pPr>
      <w:r w:rsidRPr="006A76C5">
        <w:rPr>
          <w:rFonts w:cs="Arial"/>
        </w:rPr>
        <w:t xml:space="preserve">US EPA (2013) </w:t>
      </w:r>
      <w:r w:rsidRPr="006A76C5">
        <w:rPr>
          <w:rFonts w:cs="Arial"/>
          <w:i/>
        </w:rPr>
        <w:t>Evaluation</w:t>
      </w:r>
      <w:r w:rsidR="006A76C5" w:rsidRPr="006A76C5">
        <w:rPr>
          <w:rFonts w:cs="Arial"/>
          <w:i/>
        </w:rPr>
        <w:t xml:space="preserve"> of Empirical Data t</w:t>
      </w:r>
      <w:r w:rsidRPr="006A76C5">
        <w:rPr>
          <w:rFonts w:cs="Arial"/>
          <w:i/>
        </w:rPr>
        <w:t>o Support Soil Vapo</w:t>
      </w:r>
      <w:r w:rsidR="006A76C5">
        <w:rPr>
          <w:rFonts w:cs="Arial"/>
          <w:i/>
        </w:rPr>
        <w:t>r Intrusion Screening Criteria f</w:t>
      </w:r>
      <w:r w:rsidRPr="006A76C5">
        <w:rPr>
          <w:rFonts w:cs="Arial"/>
          <w:i/>
        </w:rPr>
        <w:t>or Petroleum Hydrocarbon Compounds.</w:t>
      </w:r>
      <w:r w:rsidRPr="006A76C5">
        <w:rPr>
          <w:rFonts w:cs="Arial"/>
        </w:rPr>
        <w:t xml:space="preserve"> </w:t>
      </w:r>
      <w:r w:rsidR="006A76C5" w:rsidRPr="006A76C5">
        <w:rPr>
          <w:rFonts w:cs="Arial"/>
          <w:color w:val="000000"/>
        </w:rPr>
        <w:t>Office of Sol</w:t>
      </w:r>
      <w:r w:rsidR="006A76C5">
        <w:rPr>
          <w:rFonts w:cs="Arial"/>
          <w:color w:val="000000"/>
        </w:rPr>
        <w:t xml:space="preserve">id Waste and Emergency Response, </w:t>
      </w:r>
      <w:r w:rsidR="006A76C5" w:rsidRPr="006A76C5">
        <w:rPr>
          <w:rFonts w:cs="Arial"/>
          <w:color w:val="000000"/>
        </w:rPr>
        <w:t xml:space="preserve">US Environmental Protection Agency, Washington, DC 20460. </w:t>
      </w:r>
      <w:r w:rsidRPr="006A76C5">
        <w:rPr>
          <w:rFonts w:cs="Arial"/>
          <w:color w:val="000000"/>
        </w:rPr>
        <w:t>EPA 510-R-13-001.</w:t>
      </w:r>
    </w:p>
    <w:p w14:paraId="5C369C6D" w14:textId="0D4B2B0B" w:rsidR="00957185" w:rsidRPr="006A76C5" w:rsidRDefault="00957185" w:rsidP="00195B58">
      <w:pPr>
        <w:rPr>
          <w:rFonts w:cs="Arial"/>
        </w:rPr>
      </w:pPr>
      <w:r w:rsidRPr="006A76C5">
        <w:rPr>
          <w:rFonts w:cs="Arial"/>
        </w:rPr>
        <w:t>US EPA (2014</w:t>
      </w:r>
      <w:r w:rsidR="000D5154" w:rsidRPr="006A76C5">
        <w:rPr>
          <w:rFonts w:cs="Arial"/>
        </w:rPr>
        <w:t>a</w:t>
      </w:r>
      <w:r w:rsidRPr="006A76C5">
        <w:rPr>
          <w:rFonts w:cs="Arial"/>
        </w:rPr>
        <w:t xml:space="preserve">) </w:t>
      </w:r>
      <w:r w:rsidR="006A76C5">
        <w:rPr>
          <w:rFonts w:cs="Arial"/>
          <w:i/>
        </w:rPr>
        <w:t>Vapor Intrusion S</w:t>
      </w:r>
      <w:r w:rsidRPr="006A76C5">
        <w:rPr>
          <w:rFonts w:cs="Arial"/>
          <w:i/>
        </w:rPr>
        <w:t>cree</w:t>
      </w:r>
      <w:r w:rsidR="006A76C5">
        <w:rPr>
          <w:rFonts w:cs="Arial"/>
          <w:i/>
        </w:rPr>
        <w:t>ning Level C</w:t>
      </w:r>
      <w:r w:rsidRPr="006A76C5">
        <w:rPr>
          <w:rFonts w:cs="Arial"/>
          <w:i/>
        </w:rPr>
        <w:t>alculator. User’s Guide.</w:t>
      </w:r>
      <w:r w:rsidRPr="006A76C5">
        <w:rPr>
          <w:rFonts w:cs="Arial"/>
          <w:color w:val="000000"/>
        </w:rPr>
        <w:t xml:space="preserve"> </w:t>
      </w:r>
      <w:r w:rsidR="007B4FF7" w:rsidRPr="006A76C5">
        <w:rPr>
          <w:rFonts w:cs="Arial"/>
          <w:color w:val="000000"/>
        </w:rPr>
        <w:t xml:space="preserve">Office of Superfund Remediation and Technology Innovation, </w:t>
      </w:r>
      <w:r w:rsidR="006A76C5" w:rsidRPr="006A76C5">
        <w:rPr>
          <w:rFonts w:cs="Arial"/>
          <w:color w:val="000000"/>
        </w:rPr>
        <w:t xml:space="preserve">Office of Solid Waste and Emergency Response, US Environmental Protection Agency, </w:t>
      </w:r>
      <w:r w:rsidR="007B4FF7" w:rsidRPr="006A76C5">
        <w:rPr>
          <w:rFonts w:cs="Arial"/>
          <w:color w:val="000000"/>
        </w:rPr>
        <w:t>Washington, DC 20460.</w:t>
      </w:r>
    </w:p>
    <w:p w14:paraId="4BA8DC50" w14:textId="4CC6D96D" w:rsidR="001C3043" w:rsidRPr="006A76C5" w:rsidRDefault="001C3043" w:rsidP="001C3043">
      <w:pPr>
        <w:rPr>
          <w:rFonts w:cs="Arial"/>
          <w:color w:val="000000"/>
        </w:rPr>
      </w:pPr>
      <w:r w:rsidRPr="006A76C5">
        <w:rPr>
          <w:rFonts w:cs="Arial"/>
        </w:rPr>
        <w:t xml:space="preserve">US EPA (2014b) </w:t>
      </w:r>
      <w:r w:rsidRPr="006A76C5">
        <w:rPr>
          <w:rFonts w:cs="Arial"/>
          <w:i/>
        </w:rPr>
        <w:t>Framework for Human Health Risk Assessment to Inform Decision Making.</w:t>
      </w:r>
      <w:r w:rsidRPr="006A76C5">
        <w:rPr>
          <w:rFonts w:cs="Arial"/>
          <w:color w:val="000000"/>
        </w:rPr>
        <w:t xml:space="preserve"> Office of the Science Advisor, Risk Assessment Forum, </w:t>
      </w:r>
      <w:r w:rsidR="006A76C5" w:rsidRPr="006A76C5">
        <w:rPr>
          <w:rFonts w:cs="Arial"/>
          <w:color w:val="000000"/>
        </w:rPr>
        <w:t xml:space="preserve">US Environmental Protection Agency, </w:t>
      </w:r>
      <w:r w:rsidRPr="006A76C5">
        <w:rPr>
          <w:rFonts w:cs="Arial"/>
          <w:color w:val="000000"/>
        </w:rPr>
        <w:t>Washington, DC 20460.</w:t>
      </w:r>
    </w:p>
    <w:p w14:paraId="6A13B770" w14:textId="3DE9A40B" w:rsidR="003E7B9F" w:rsidRPr="006A76C5" w:rsidRDefault="00957185" w:rsidP="00195B58">
      <w:pPr>
        <w:rPr>
          <w:rFonts w:cs="Arial"/>
        </w:rPr>
      </w:pPr>
      <w:r w:rsidRPr="006A76C5">
        <w:rPr>
          <w:rFonts w:cs="Arial"/>
        </w:rPr>
        <w:t>US EPA (2015</w:t>
      </w:r>
      <w:r w:rsidR="00195B58" w:rsidRPr="006A76C5">
        <w:rPr>
          <w:rFonts w:cs="Arial"/>
        </w:rPr>
        <w:t>a</w:t>
      </w:r>
      <w:r w:rsidRPr="006A76C5">
        <w:rPr>
          <w:rFonts w:cs="Arial"/>
        </w:rPr>
        <w:t>)</w:t>
      </w:r>
      <w:r w:rsidR="007B4FF7" w:rsidRPr="006A76C5">
        <w:rPr>
          <w:rFonts w:cs="Arial"/>
        </w:rPr>
        <w:t xml:space="preserve"> </w:t>
      </w:r>
      <w:r w:rsidR="006A76C5">
        <w:rPr>
          <w:rFonts w:cs="Arial"/>
          <w:i/>
        </w:rPr>
        <w:t>OSWER Technical Guide for Assessing and Mitigating the Vapor Intrusion Pathway from Subsurface V</w:t>
      </w:r>
      <w:r w:rsidR="003E7B9F" w:rsidRPr="006A76C5">
        <w:rPr>
          <w:rFonts w:cs="Arial"/>
          <w:i/>
        </w:rPr>
        <w:t>apor</w:t>
      </w:r>
      <w:r w:rsidR="006A76C5">
        <w:rPr>
          <w:rFonts w:cs="Arial"/>
          <w:i/>
        </w:rPr>
        <w:t xml:space="preserve"> Sources to Indoor A</w:t>
      </w:r>
      <w:r w:rsidR="003E7B9F" w:rsidRPr="006A76C5">
        <w:rPr>
          <w:rFonts w:cs="Arial"/>
          <w:i/>
        </w:rPr>
        <w:t>ir.</w:t>
      </w:r>
      <w:r w:rsidR="003E7B9F" w:rsidRPr="006A76C5">
        <w:rPr>
          <w:rFonts w:cs="Arial"/>
          <w:color w:val="000000"/>
        </w:rPr>
        <w:t xml:space="preserve"> Office of Superfund Remediation and Technology Innovation,</w:t>
      </w:r>
      <w:r w:rsidR="000B481C" w:rsidRPr="000B481C">
        <w:rPr>
          <w:rFonts w:cs="Arial"/>
          <w:color w:val="000000"/>
        </w:rPr>
        <w:t xml:space="preserve"> </w:t>
      </w:r>
      <w:r w:rsidR="000B481C" w:rsidRPr="006A76C5">
        <w:rPr>
          <w:rFonts w:cs="Arial"/>
          <w:color w:val="000000"/>
        </w:rPr>
        <w:t xml:space="preserve">Office of Solid Waste and Emergency Response, US Environmental Protection Agency, </w:t>
      </w:r>
      <w:r w:rsidR="003E7B9F" w:rsidRPr="006A76C5">
        <w:rPr>
          <w:rFonts w:cs="Arial"/>
          <w:color w:val="000000"/>
        </w:rPr>
        <w:t>Washington, DC 20460. OSWER Publication 9200.2-154.</w:t>
      </w:r>
    </w:p>
    <w:p w14:paraId="660FCE3F" w14:textId="08C1EBEA" w:rsidR="00195B58" w:rsidRPr="000B481C" w:rsidRDefault="00195B58" w:rsidP="00195B58">
      <w:pPr>
        <w:rPr>
          <w:rFonts w:cs="Arial"/>
        </w:rPr>
      </w:pPr>
      <w:r w:rsidRPr="000B481C">
        <w:rPr>
          <w:rFonts w:cs="Arial"/>
        </w:rPr>
        <w:t xml:space="preserve">US EPA (2015b) </w:t>
      </w:r>
      <w:r w:rsidRPr="000B481C">
        <w:rPr>
          <w:rFonts w:cs="Arial"/>
          <w:i/>
        </w:rPr>
        <w:t>Science to Protect Public Health and the Environment</w:t>
      </w:r>
      <w:r w:rsidRPr="000B481C">
        <w:rPr>
          <w:rFonts w:cs="Arial"/>
        </w:rPr>
        <w:t>.</w:t>
      </w:r>
      <w:r w:rsidRPr="000B481C">
        <w:rPr>
          <w:rFonts w:cs="Arial"/>
          <w:b/>
        </w:rPr>
        <w:t xml:space="preserve">  </w:t>
      </w:r>
      <w:r w:rsidRPr="000B481C">
        <w:rPr>
          <w:rFonts w:cs="Arial"/>
        </w:rPr>
        <w:t xml:space="preserve">EPA Research Program Overview, 2016 to 2019.   Office of Superfund Remediation and Technology Innovation, </w:t>
      </w:r>
      <w:r w:rsidR="000B481C" w:rsidRPr="000B481C">
        <w:rPr>
          <w:rFonts w:cs="Arial"/>
        </w:rPr>
        <w:t>Office of Research and Development</w:t>
      </w:r>
      <w:r w:rsidR="000B481C">
        <w:rPr>
          <w:rFonts w:cs="Arial"/>
        </w:rPr>
        <w:t>,</w:t>
      </w:r>
      <w:r w:rsidR="000B481C" w:rsidRPr="000B481C">
        <w:rPr>
          <w:rFonts w:cs="Arial"/>
        </w:rPr>
        <w:t xml:space="preserve"> US Environmental Protection Agency,</w:t>
      </w:r>
      <w:r w:rsidR="000B481C">
        <w:rPr>
          <w:rFonts w:cs="Arial"/>
        </w:rPr>
        <w:t xml:space="preserve"> `</w:t>
      </w:r>
      <w:r w:rsidRPr="000B481C">
        <w:rPr>
          <w:rFonts w:cs="Arial"/>
        </w:rPr>
        <w:t>Washington, DC 20460. OSWER Publication 9200.2-154.</w:t>
      </w:r>
    </w:p>
    <w:p w14:paraId="4A9814B7" w14:textId="710A63DA" w:rsidR="0035415C" w:rsidRPr="006A76C5" w:rsidRDefault="0035415C" w:rsidP="0035415C">
      <w:pPr>
        <w:autoSpaceDE w:val="0"/>
        <w:autoSpaceDN w:val="0"/>
        <w:adjustRightInd w:val="0"/>
        <w:spacing w:after="157" w:line="240" w:lineRule="auto"/>
        <w:rPr>
          <w:rFonts w:cs="Arial"/>
          <w:color w:val="000000"/>
          <w:sz w:val="23"/>
          <w:szCs w:val="23"/>
        </w:rPr>
      </w:pPr>
      <w:r w:rsidRPr="006A76C5">
        <w:rPr>
          <w:rFonts w:cs="Arial"/>
        </w:rPr>
        <w:lastRenderedPageBreak/>
        <w:t xml:space="preserve">US EPA (2015c) </w:t>
      </w:r>
      <w:r w:rsidRPr="006A76C5">
        <w:rPr>
          <w:rFonts w:cs="Arial"/>
          <w:i/>
        </w:rPr>
        <w:t xml:space="preserve">Technical Guide for Addressing Petroleum Vapor Intrusion at Leaking Underground Storage Tank Sites. </w:t>
      </w:r>
      <w:r w:rsidRPr="006A76C5">
        <w:rPr>
          <w:rFonts w:cs="Arial"/>
          <w:color w:val="000000"/>
        </w:rPr>
        <w:t xml:space="preserve">Office of Underground Storage </w:t>
      </w:r>
      <w:proofErr w:type="gramStart"/>
      <w:r w:rsidRPr="006A76C5">
        <w:rPr>
          <w:rFonts w:cs="Arial"/>
          <w:color w:val="000000"/>
        </w:rPr>
        <w:t>Tanks</w:t>
      </w:r>
      <w:r w:rsidR="006A76C5">
        <w:rPr>
          <w:rFonts w:cs="Arial"/>
          <w:color w:val="000000"/>
        </w:rPr>
        <w:t xml:space="preserve">, </w:t>
      </w:r>
      <w:r w:rsidRPr="006A76C5">
        <w:rPr>
          <w:rFonts w:cs="Arial"/>
          <w:color w:val="000000"/>
        </w:rPr>
        <w:t xml:space="preserve"> </w:t>
      </w:r>
      <w:r w:rsidR="006A76C5" w:rsidRPr="006A76C5">
        <w:rPr>
          <w:rFonts w:cs="Arial"/>
          <w:color w:val="000000"/>
        </w:rPr>
        <w:t>US</w:t>
      </w:r>
      <w:proofErr w:type="gramEnd"/>
      <w:r w:rsidR="006A76C5" w:rsidRPr="006A76C5">
        <w:rPr>
          <w:rFonts w:cs="Arial"/>
          <w:color w:val="000000"/>
        </w:rPr>
        <w:t xml:space="preserve"> Environmental Protection Agency</w:t>
      </w:r>
      <w:r w:rsidR="006A76C5">
        <w:rPr>
          <w:rFonts w:cs="Arial"/>
          <w:color w:val="000000"/>
        </w:rPr>
        <w:t>,</w:t>
      </w:r>
      <w:r w:rsidR="006A76C5" w:rsidRPr="006A76C5">
        <w:rPr>
          <w:rFonts w:cs="Arial"/>
          <w:color w:val="000000"/>
        </w:rPr>
        <w:t xml:space="preserve"> </w:t>
      </w:r>
      <w:r w:rsidRPr="006A76C5">
        <w:rPr>
          <w:rFonts w:cs="Arial"/>
          <w:color w:val="000000"/>
        </w:rPr>
        <w:t>Washington, DC 20460. EPA 510-R-15-001.</w:t>
      </w:r>
    </w:p>
    <w:p w14:paraId="2A30914A" w14:textId="2027AB9D" w:rsidR="00FB17CA" w:rsidRPr="00274C6B" w:rsidRDefault="00FB17CA" w:rsidP="00FB17CA">
      <w:r w:rsidRPr="00274C6B">
        <w:t xml:space="preserve">van </w:t>
      </w:r>
      <w:proofErr w:type="spellStart"/>
      <w:r w:rsidRPr="00274C6B">
        <w:t>Liedekerke</w:t>
      </w:r>
      <w:proofErr w:type="spellEnd"/>
      <w:r w:rsidRPr="00274C6B">
        <w:t>,</w:t>
      </w:r>
      <w:r w:rsidR="006A76C5">
        <w:t xml:space="preserve"> M,</w:t>
      </w:r>
      <w:r w:rsidRPr="00274C6B">
        <w:t xml:space="preserve"> Prokop, MG, Sabine </w:t>
      </w:r>
      <w:proofErr w:type="spellStart"/>
      <w:r w:rsidRPr="00274C6B">
        <w:t>Rabl</w:t>
      </w:r>
      <w:proofErr w:type="spellEnd"/>
      <w:r w:rsidRPr="00274C6B">
        <w:t xml:space="preserve">-Berger, S, </w:t>
      </w:r>
      <w:proofErr w:type="spellStart"/>
      <w:r w:rsidRPr="00274C6B">
        <w:t>Kibblewhite</w:t>
      </w:r>
      <w:proofErr w:type="spellEnd"/>
      <w:r w:rsidRPr="00274C6B">
        <w:t>, M</w:t>
      </w:r>
      <w:r w:rsidR="00274C6B">
        <w:t>,</w:t>
      </w:r>
      <w:r w:rsidR="006A76C5">
        <w:t xml:space="preserve"> and </w:t>
      </w:r>
      <w:proofErr w:type="spellStart"/>
      <w:r w:rsidRPr="00274C6B">
        <w:t>Louwagie</w:t>
      </w:r>
      <w:proofErr w:type="spellEnd"/>
      <w:r w:rsidRPr="00274C6B">
        <w:t xml:space="preserve">, G (2014) </w:t>
      </w:r>
      <w:r w:rsidRPr="00274C6B">
        <w:rPr>
          <w:i/>
        </w:rPr>
        <w:t>Progress in the Management of Contaminated Sites in Europe.</w:t>
      </w:r>
      <w:r w:rsidRPr="00274C6B">
        <w:t xml:space="preserve"> JRC Reference Reports.</w:t>
      </w:r>
      <w:r w:rsidRPr="00274C6B">
        <w:rPr>
          <w:rFonts w:ascii="OYNQG Y+ PF Square Sans Pro" w:hAnsi="OYNQG Y+ PF Square Sans Pro" w:cs="OYNQG Y+ PF Square Sans Pro"/>
          <w:color w:val="000000"/>
          <w:sz w:val="24"/>
          <w:szCs w:val="24"/>
        </w:rPr>
        <w:t xml:space="preserve"> </w:t>
      </w:r>
      <w:r w:rsidRPr="00274C6B">
        <w:t>Report EUR 26376 EN</w:t>
      </w:r>
      <w:r w:rsidR="00274C6B">
        <w:rPr>
          <w:rFonts w:ascii="OYNQG Y+ PF Square Sans Pro" w:hAnsi="OYNQG Y+ PF Square Sans Pro" w:cs="OYNQG Y+ PF Square Sans Pro"/>
          <w:sz w:val="12"/>
          <w:szCs w:val="12"/>
        </w:rPr>
        <w:t xml:space="preserve">. </w:t>
      </w:r>
      <w:r w:rsidRPr="00274C6B">
        <w:t>Publicatio</w:t>
      </w:r>
      <w:r w:rsidR="00274C6B">
        <w:t xml:space="preserve">ns Office of the European Union, </w:t>
      </w:r>
      <w:r w:rsidR="00274C6B" w:rsidRPr="00274C6B">
        <w:t>Luxembourg</w:t>
      </w:r>
      <w:r w:rsidR="00274C6B">
        <w:t>.</w:t>
      </w:r>
    </w:p>
    <w:p w14:paraId="5F1E6A04" w14:textId="7E385037" w:rsidR="0067475E" w:rsidRPr="00274C6B" w:rsidRDefault="0067475E" w:rsidP="0067475E">
      <w:pPr>
        <w:rPr>
          <w:lang w:val="en" w:eastAsia="en-US"/>
        </w:rPr>
      </w:pPr>
      <w:r w:rsidRPr="00274C6B">
        <w:rPr>
          <w:lang w:val="en" w:eastAsia="en-US"/>
        </w:rPr>
        <w:t xml:space="preserve">Van </w:t>
      </w:r>
      <w:proofErr w:type="spellStart"/>
      <w:r w:rsidRPr="00274C6B">
        <w:rPr>
          <w:lang w:val="en" w:eastAsia="en-US"/>
        </w:rPr>
        <w:t>Wijnen</w:t>
      </w:r>
      <w:proofErr w:type="spellEnd"/>
      <w:r w:rsidR="00274C6B">
        <w:rPr>
          <w:lang w:val="en" w:eastAsia="en-US"/>
        </w:rPr>
        <w:t>,</w:t>
      </w:r>
      <w:r w:rsidRPr="00274C6B">
        <w:rPr>
          <w:lang w:val="en" w:eastAsia="en-US"/>
        </w:rPr>
        <w:t xml:space="preserve"> HJ</w:t>
      </w:r>
      <w:r w:rsidR="00274C6B">
        <w:rPr>
          <w:lang w:val="en" w:eastAsia="en-US"/>
        </w:rPr>
        <w:t>,</w:t>
      </w:r>
      <w:r w:rsidRPr="00274C6B">
        <w:rPr>
          <w:lang w:val="en" w:eastAsia="en-US"/>
        </w:rPr>
        <w:t xml:space="preserve"> and </w:t>
      </w:r>
      <w:proofErr w:type="spellStart"/>
      <w:r w:rsidRPr="00274C6B">
        <w:rPr>
          <w:lang w:val="en" w:eastAsia="en-US"/>
        </w:rPr>
        <w:t>Lijzen</w:t>
      </w:r>
      <w:proofErr w:type="spellEnd"/>
      <w:r w:rsidR="00274C6B">
        <w:rPr>
          <w:lang w:val="en" w:eastAsia="en-US"/>
        </w:rPr>
        <w:t>, JPA (2006)</w:t>
      </w:r>
      <w:r w:rsidRPr="00274C6B">
        <w:rPr>
          <w:lang w:val="en" w:eastAsia="en-US"/>
        </w:rPr>
        <w:t xml:space="preserve"> </w:t>
      </w:r>
      <w:r w:rsidRPr="00274C6B">
        <w:rPr>
          <w:i/>
          <w:lang w:val="en" w:eastAsia="en-US"/>
        </w:rPr>
        <w:t xml:space="preserve">Validation </w:t>
      </w:r>
      <w:r w:rsidR="00274C6B" w:rsidRPr="00274C6B">
        <w:rPr>
          <w:i/>
          <w:lang w:val="en" w:eastAsia="en-US"/>
        </w:rPr>
        <w:t>of the VOLASOIL Model using Air Measurements from Dutch Contaminated S</w:t>
      </w:r>
      <w:r w:rsidRPr="00274C6B">
        <w:rPr>
          <w:i/>
          <w:lang w:val="en" w:eastAsia="en-US"/>
        </w:rPr>
        <w:t>ites.</w:t>
      </w:r>
      <w:r w:rsidRPr="00274C6B">
        <w:rPr>
          <w:lang w:val="en" w:eastAsia="en-US"/>
        </w:rPr>
        <w:t xml:space="preserve">: National Institute for Public Health and the Environment (RIVM). </w:t>
      </w:r>
      <w:proofErr w:type="spellStart"/>
      <w:r w:rsidR="00274C6B" w:rsidRPr="00274C6B">
        <w:rPr>
          <w:lang w:val="en" w:eastAsia="en-US"/>
        </w:rPr>
        <w:t>Bilthoven</w:t>
      </w:r>
      <w:proofErr w:type="spellEnd"/>
      <w:r w:rsidR="00274C6B" w:rsidRPr="00274C6B">
        <w:rPr>
          <w:lang w:val="en" w:eastAsia="en-US"/>
        </w:rPr>
        <w:t>, the Netherlands</w:t>
      </w:r>
      <w:r w:rsidR="00274C6B">
        <w:rPr>
          <w:lang w:val="en" w:eastAsia="en-US"/>
        </w:rPr>
        <w:t xml:space="preserve">. </w:t>
      </w:r>
      <w:r w:rsidRPr="00274C6B">
        <w:rPr>
          <w:lang w:val="en" w:eastAsia="en-US"/>
        </w:rPr>
        <w:t>RIVM report no. 711701401.</w:t>
      </w:r>
    </w:p>
    <w:p w14:paraId="61A2867B" w14:textId="33CCFD63" w:rsidR="0067475E" w:rsidRPr="004E3010" w:rsidRDefault="004E3010" w:rsidP="0067475E">
      <w:r w:rsidRPr="004E3010">
        <w:t xml:space="preserve">VIC EPA (2014) </w:t>
      </w:r>
      <w:r w:rsidRPr="00274C6B">
        <w:rPr>
          <w:i/>
        </w:rPr>
        <w:t>Siting, Design, Operation and Rehabilitation of L</w:t>
      </w:r>
      <w:r w:rsidR="002B118C" w:rsidRPr="00274C6B">
        <w:rPr>
          <w:i/>
        </w:rPr>
        <w:t xml:space="preserve">andfills. </w:t>
      </w:r>
      <w:r w:rsidR="002B118C" w:rsidRPr="004E3010">
        <w:t xml:space="preserve"> Publication 788.2. Environment Protectio</w:t>
      </w:r>
      <w:r w:rsidRPr="004E3010">
        <w:t>n Authority, Victoria</w:t>
      </w:r>
      <w:r w:rsidR="002B118C" w:rsidRPr="004E3010">
        <w:t>.</w:t>
      </w:r>
    </w:p>
    <w:p w14:paraId="50021513" w14:textId="534E3503" w:rsidR="0067475E" w:rsidRPr="00274C6B" w:rsidRDefault="0067475E" w:rsidP="0067475E">
      <w:pPr>
        <w:rPr>
          <w:lang w:val="en" w:eastAsia="en-US"/>
        </w:rPr>
      </w:pPr>
      <w:proofErr w:type="spellStart"/>
      <w:r w:rsidRPr="00274C6B">
        <w:t>Waitz</w:t>
      </w:r>
      <w:proofErr w:type="spellEnd"/>
      <w:r w:rsidR="00274C6B">
        <w:t>,</w:t>
      </w:r>
      <w:r w:rsidRPr="00274C6B">
        <w:t xml:space="preserve"> MFW, </w:t>
      </w:r>
      <w:proofErr w:type="spellStart"/>
      <w:r w:rsidRPr="00274C6B">
        <w:t>Freier</w:t>
      </w:r>
      <w:proofErr w:type="spellEnd"/>
      <w:r w:rsidR="00274C6B">
        <w:t>,</w:t>
      </w:r>
      <w:r w:rsidRPr="00274C6B">
        <w:t xml:space="preserve"> JI, </w:t>
      </w:r>
      <w:proofErr w:type="spellStart"/>
      <w:r w:rsidRPr="00274C6B">
        <w:t>Kreule</w:t>
      </w:r>
      <w:proofErr w:type="spellEnd"/>
      <w:r w:rsidR="00274C6B">
        <w:t>,</w:t>
      </w:r>
      <w:r w:rsidRPr="00274C6B">
        <w:t xml:space="preserve"> P </w:t>
      </w:r>
      <w:r w:rsidR="00274C6B">
        <w:t>and</w:t>
      </w:r>
      <w:r w:rsidRPr="00274C6B">
        <w:t xml:space="preserve"> </w:t>
      </w:r>
      <w:proofErr w:type="spellStart"/>
      <w:r w:rsidRPr="00274C6B">
        <w:t>Swartjes</w:t>
      </w:r>
      <w:proofErr w:type="spellEnd"/>
      <w:r w:rsidR="00274C6B">
        <w:t>,</w:t>
      </w:r>
      <w:r w:rsidRPr="00274C6B">
        <w:t xml:space="preserve"> FA (1996) </w:t>
      </w:r>
      <w:r w:rsidR="00274C6B">
        <w:rPr>
          <w:i/>
        </w:rPr>
        <w:t>The VOLASOIL Risk Assessment Model based on CSOIL for Soils Contaminated with Volatile C</w:t>
      </w:r>
      <w:r w:rsidRPr="00274C6B">
        <w:rPr>
          <w:i/>
        </w:rPr>
        <w:t>ompounds.</w:t>
      </w:r>
      <w:r w:rsidR="00274C6B">
        <w:t xml:space="preserve"> </w:t>
      </w:r>
      <w:proofErr w:type="spellStart"/>
      <w:r w:rsidR="00274C6B" w:rsidRPr="00274C6B">
        <w:rPr>
          <w:lang w:val="en" w:eastAsia="en-US"/>
        </w:rPr>
        <w:t>Bilthoven</w:t>
      </w:r>
      <w:proofErr w:type="spellEnd"/>
      <w:r w:rsidR="00274C6B" w:rsidRPr="00274C6B">
        <w:rPr>
          <w:lang w:val="en" w:eastAsia="en-US"/>
        </w:rPr>
        <w:t>, the Netherlands</w:t>
      </w:r>
      <w:r w:rsidR="00274C6B">
        <w:t>. RIVM Report 715810014</w:t>
      </w:r>
      <w:r w:rsidRPr="00274C6B">
        <w:t>.</w:t>
      </w:r>
    </w:p>
    <w:p w14:paraId="6E59DA66" w14:textId="66EE9D93" w:rsidR="00511B86" w:rsidRPr="00274C6B" w:rsidRDefault="00274C6B" w:rsidP="00511B86">
      <w:r>
        <w:t xml:space="preserve">Weaver, J (2012). </w:t>
      </w:r>
      <w:proofErr w:type="spellStart"/>
      <w:r>
        <w:t>BioVapor</w:t>
      </w:r>
      <w:proofErr w:type="spellEnd"/>
      <w:r>
        <w:t xml:space="preserve"> model e</w:t>
      </w:r>
      <w:r w:rsidR="00511B86" w:rsidRPr="00274C6B">
        <w:t xml:space="preserve">valuation. In: </w:t>
      </w:r>
      <w:r w:rsidR="00511B86" w:rsidRPr="00274C6B">
        <w:rPr>
          <w:i/>
        </w:rPr>
        <w:t>Pre-Conference Workshop for 23rd National Tanks Conference</w:t>
      </w:r>
      <w:r w:rsidR="00511B86" w:rsidRPr="00274C6B">
        <w:t>: New England Interstate Water Pollution Control Commission. St. Louis, MO.</w:t>
      </w:r>
    </w:p>
    <w:p w14:paraId="1727C5F3" w14:textId="3DD4BD80" w:rsidR="000A1C54" w:rsidRPr="00274C6B" w:rsidRDefault="000A1C54" w:rsidP="00195B58">
      <w:pPr>
        <w:rPr>
          <w:rFonts w:cs="Arial"/>
        </w:rPr>
      </w:pPr>
      <w:r w:rsidRPr="00274C6B">
        <w:rPr>
          <w:rFonts w:cs="Arial"/>
        </w:rPr>
        <w:t xml:space="preserve">WHO (2001) </w:t>
      </w:r>
      <w:r w:rsidR="00274C6B">
        <w:rPr>
          <w:rFonts w:cs="Arial"/>
          <w:i/>
        </w:rPr>
        <w:t>Glossary of Exposure A</w:t>
      </w:r>
      <w:r w:rsidRPr="00274C6B">
        <w:rPr>
          <w:rFonts w:cs="Arial"/>
          <w:i/>
        </w:rPr>
        <w:t>ssessment-related</w:t>
      </w:r>
      <w:r w:rsidR="00274C6B">
        <w:rPr>
          <w:rFonts w:cs="Arial"/>
          <w:i/>
        </w:rPr>
        <w:t xml:space="preserve"> Terms: A C</w:t>
      </w:r>
      <w:r w:rsidRPr="00274C6B">
        <w:rPr>
          <w:rFonts w:cs="Arial"/>
          <w:i/>
        </w:rPr>
        <w:t>ompilation</w:t>
      </w:r>
      <w:r w:rsidR="00165103" w:rsidRPr="00274C6B">
        <w:rPr>
          <w:rFonts w:cs="Arial"/>
          <w:i/>
        </w:rPr>
        <w:t>.</w:t>
      </w:r>
      <w:r w:rsidR="00274C6B">
        <w:rPr>
          <w:rFonts w:cs="Arial"/>
        </w:rPr>
        <w:t xml:space="preserve">  IPC</w:t>
      </w:r>
      <w:r w:rsidR="00165103" w:rsidRPr="00274C6B">
        <w:rPr>
          <w:rFonts w:cs="Arial"/>
        </w:rPr>
        <w:t>S harmoniza</w:t>
      </w:r>
      <w:r w:rsidR="00274C6B">
        <w:rPr>
          <w:rFonts w:cs="Arial"/>
        </w:rPr>
        <w:t xml:space="preserve">tion, World Health </w:t>
      </w:r>
      <w:proofErr w:type="spellStart"/>
      <w:r w:rsidR="00274C6B">
        <w:rPr>
          <w:rFonts w:cs="Arial"/>
        </w:rPr>
        <w:t>Organisation</w:t>
      </w:r>
      <w:proofErr w:type="spellEnd"/>
      <w:r w:rsidR="00274C6B">
        <w:rPr>
          <w:rFonts w:cs="Arial"/>
        </w:rPr>
        <w:t>, Geneva.</w:t>
      </w:r>
    </w:p>
    <w:p w14:paraId="5697AE81" w14:textId="2F0D10C5" w:rsidR="00051884" w:rsidRPr="00274C6B" w:rsidRDefault="00051884" w:rsidP="00195B58">
      <w:pPr>
        <w:rPr>
          <w:rFonts w:cs="Arial"/>
        </w:rPr>
      </w:pPr>
      <w:r w:rsidRPr="00274C6B">
        <w:rPr>
          <w:rFonts w:cs="Arial"/>
        </w:rPr>
        <w:t xml:space="preserve">WHO (2010) </w:t>
      </w:r>
      <w:r w:rsidR="00274C6B">
        <w:rPr>
          <w:rFonts w:cs="Arial"/>
          <w:i/>
        </w:rPr>
        <w:t>WHO Human Health Risk Assessment T</w:t>
      </w:r>
      <w:r w:rsidRPr="00274C6B">
        <w:rPr>
          <w:rFonts w:cs="Arial"/>
          <w:i/>
        </w:rPr>
        <w:t>oolkit</w:t>
      </w:r>
      <w:r w:rsidR="0046681D" w:rsidRPr="00274C6B">
        <w:rPr>
          <w:rFonts w:cs="Arial"/>
          <w:i/>
        </w:rPr>
        <w:t>.</w:t>
      </w:r>
      <w:r w:rsidRPr="00274C6B">
        <w:rPr>
          <w:rFonts w:cs="Arial"/>
          <w:i/>
        </w:rPr>
        <w:t xml:space="preserve"> Chemical Hazards</w:t>
      </w:r>
      <w:r w:rsidR="00D61978" w:rsidRPr="00274C6B">
        <w:rPr>
          <w:rFonts w:cs="Arial"/>
          <w:i/>
        </w:rPr>
        <w:t>.</w:t>
      </w:r>
      <w:r w:rsidR="00D61978" w:rsidRPr="00274C6B">
        <w:rPr>
          <w:rFonts w:cs="Arial"/>
        </w:rPr>
        <w:t xml:space="preserve"> </w:t>
      </w:r>
      <w:r w:rsidR="00D61978" w:rsidRPr="00274C6B">
        <w:rPr>
          <w:rFonts w:cs="Arial"/>
          <w:i/>
        </w:rPr>
        <w:t>Harmonization Project Document No. 8</w:t>
      </w:r>
      <w:r w:rsidR="00806509" w:rsidRPr="00274C6B">
        <w:rPr>
          <w:rFonts w:cs="Arial"/>
          <w:i/>
        </w:rPr>
        <w:t>.</w:t>
      </w:r>
      <w:r w:rsidR="00274C6B">
        <w:rPr>
          <w:rFonts w:cs="Arial"/>
        </w:rPr>
        <w:t xml:space="preserve">  World Health Organization,</w:t>
      </w:r>
      <w:r w:rsidR="00806509" w:rsidRPr="00274C6B">
        <w:rPr>
          <w:rFonts w:cs="Arial"/>
        </w:rPr>
        <w:t xml:space="preserve"> the International</w:t>
      </w:r>
      <w:r w:rsidR="0046681D" w:rsidRPr="00274C6B">
        <w:rPr>
          <w:rFonts w:cs="Arial"/>
        </w:rPr>
        <w:t xml:space="preserve"> </w:t>
      </w:r>
      <w:proofErr w:type="spellStart"/>
      <w:r w:rsidR="00806509" w:rsidRPr="00274C6B">
        <w:rPr>
          <w:rFonts w:cs="Arial"/>
        </w:rPr>
        <w:t>Labour</w:t>
      </w:r>
      <w:proofErr w:type="spellEnd"/>
      <w:r w:rsidR="00806509" w:rsidRPr="00274C6B">
        <w:rPr>
          <w:rFonts w:cs="Arial"/>
        </w:rPr>
        <w:t xml:space="preserve"> </w:t>
      </w:r>
      <w:proofErr w:type="gramStart"/>
      <w:r w:rsidR="00806509" w:rsidRPr="00274C6B">
        <w:rPr>
          <w:rFonts w:cs="Arial"/>
        </w:rPr>
        <w:t>Organization</w:t>
      </w:r>
      <w:proofErr w:type="gramEnd"/>
      <w:r w:rsidR="00806509" w:rsidRPr="00274C6B">
        <w:rPr>
          <w:rFonts w:cs="Arial"/>
        </w:rPr>
        <w:t xml:space="preserve"> and the United Nations En</w:t>
      </w:r>
      <w:r w:rsidR="00274C6B">
        <w:rPr>
          <w:rFonts w:cs="Arial"/>
        </w:rPr>
        <w:t xml:space="preserve">vironment </w:t>
      </w:r>
      <w:proofErr w:type="spellStart"/>
      <w:r w:rsidR="00274C6B">
        <w:rPr>
          <w:rFonts w:cs="Arial"/>
        </w:rPr>
        <w:t>Programme</w:t>
      </w:r>
      <w:proofErr w:type="spellEnd"/>
      <w:r w:rsidR="00274C6B">
        <w:rPr>
          <w:rFonts w:cs="Arial"/>
        </w:rPr>
        <w:t>,</w:t>
      </w:r>
      <w:r w:rsidR="000A7027" w:rsidRPr="00274C6B">
        <w:rPr>
          <w:rFonts w:cs="Arial"/>
        </w:rPr>
        <w:t xml:space="preserve"> WHO, Geneva.</w:t>
      </w:r>
    </w:p>
    <w:p w14:paraId="734256E9" w14:textId="71E6B149" w:rsidR="000A7027" w:rsidRPr="00274C6B" w:rsidRDefault="000A7027" w:rsidP="00195B58">
      <w:pPr>
        <w:rPr>
          <w:rFonts w:cs="Arial"/>
        </w:rPr>
      </w:pPr>
      <w:r w:rsidRPr="00274C6B">
        <w:rPr>
          <w:rFonts w:cs="Arial"/>
        </w:rPr>
        <w:t>WHO (</w:t>
      </w:r>
      <w:r w:rsidR="00274C6B">
        <w:rPr>
          <w:rFonts w:cs="Arial"/>
        </w:rPr>
        <w:t>2016) Epidemiology.  Available at</w:t>
      </w:r>
      <w:r w:rsidRPr="00274C6B">
        <w:rPr>
          <w:rFonts w:cs="Arial"/>
        </w:rPr>
        <w:t xml:space="preserve"> </w:t>
      </w:r>
      <w:hyperlink r:id="rId79" w:history="1">
        <w:r w:rsidRPr="00274C6B">
          <w:rPr>
            <w:rStyle w:val="Hyperlink"/>
            <w:rFonts w:cs="Arial"/>
          </w:rPr>
          <w:t>http://www.who.int/topics/epidemiology/en/</w:t>
        </w:r>
      </w:hyperlink>
      <w:r w:rsidR="00274C6B">
        <w:rPr>
          <w:rFonts w:cs="Arial"/>
        </w:rPr>
        <w:t xml:space="preserve"> [accessed 21 June </w:t>
      </w:r>
      <w:r w:rsidRPr="00274C6B">
        <w:rPr>
          <w:rFonts w:cs="Arial"/>
        </w:rPr>
        <w:t>2016].</w:t>
      </w:r>
    </w:p>
    <w:p w14:paraId="286F145D" w14:textId="6DDB3102" w:rsidR="00616317" w:rsidRPr="00274C6B" w:rsidRDefault="00616317" w:rsidP="00616317">
      <w:r w:rsidRPr="00274C6B">
        <w:t xml:space="preserve">Wilson, S, </w:t>
      </w:r>
      <w:proofErr w:type="spellStart"/>
      <w:r w:rsidRPr="00274C6B">
        <w:t>Ollver</w:t>
      </w:r>
      <w:proofErr w:type="spellEnd"/>
      <w:r w:rsidRPr="00274C6B">
        <w:t>, S, Mallett, H, Hutchings, H</w:t>
      </w:r>
      <w:r w:rsidR="00274C6B">
        <w:t>,</w:t>
      </w:r>
      <w:r w:rsidRPr="00274C6B">
        <w:t xml:space="preserve"> and Card, G (2007) </w:t>
      </w:r>
      <w:r w:rsidR="00274C6B">
        <w:rPr>
          <w:i/>
        </w:rPr>
        <w:t>Assessing Risks posed by Hazardous Ground Gases to B</w:t>
      </w:r>
      <w:r w:rsidRPr="00274C6B">
        <w:rPr>
          <w:i/>
        </w:rPr>
        <w:t>uildings.</w:t>
      </w:r>
      <w:r w:rsidRPr="00274C6B">
        <w:t xml:space="preserve"> Construction Industry Research and Information Association (CIRIA), London, UK. CIRIA C665.</w:t>
      </w:r>
    </w:p>
    <w:p w14:paraId="2C71B11B" w14:textId="52AB887A" w:rsidR="00616317" w:rsidRDefault="00616317" w:rsidP="00616317">
      <w:r w:rsidRPr="00274C6B">
        <w:t xml:space="preserve">Wilson, S, Abbot, A and Mallett, H (2014) </w:t>
      </w:r>
      <w:r w:rsidR="00274C6B" w:rsidRPr="00274C6B">
        <w:rPr>
          <w:i/>
        </w:rPr>
        <w:t>Guidance on the Use of Plastic M</w:t>
      </w:r>
      <w:r w:rsidRPr="00274C6B">
        <w:rPr>
          <w:i/>
        </w:rPr>
        <w:t>embr</w:t>
      </w:r>
      <w:r w:rsidR="00274C6B" w:rsidRPr="00274C6B">
        <w:rPr>
          <w:i/>
        </w:rPr>
        <w:t xml:space="preserve">anes as VOC </w:t>
      </w:r>
      <w:proofErr w:type="spellStart"/>
      <w:r w:rsidR="00274C6B" w:rsidRPr="00274C6B">
        <w:rPr>
          <w:i/>
        </w:rPr>
        <w:t>Vapour</w:t>
      </w:r>
      <w:proofErr w:type="spellEnd"/>
      <w:r w:rsidR="00274C6B" w:rsidRPr="00274C6B">
        <w:rPr>
          <w:i/>
        </w:rPr>
        <w:t xml:space="preserve"> B</w:t>
      </w:r>
      <w:r w:rsidRPr="00274C6B">
        <w:rPr>
          <w:i/>
        </w:rPr>
        <w:t xml:space="preserve">arriers. </w:t>
      </w:r>
      <w:r w:rsidRPr="00274C6B">
        <w:t>Construction Industry Research and Information Association (CIRIA), London, UK. CIRIA C748.</w:t>
      </w:r>
    </w:p>
    <w:p w14:paraId="31AE5C88" w14:textId="46166167" w:rsidR="0046681D" w:rsidRDefault="0046681D" w:rsidP="00195B58">
      <w:pPr>
        <w:rPr>
          <w:rFonts w:cs="Arial"/>
        </w:rPr>
      </w:pPr>
    </w:p>
    <w:p w14:paraId="63A37D44" w14:textId="77777777" w:rsidR="0046681D" w:rsidRPr="002C31D4" w:rsidRDefault="0046681D" w:rsidP="00195B58">
      <w:pPr>
        <w:rPr>
          <w:rFonts w:cs="Arial"/>
        </w:rPr>
      </w:pPr>
    </w:p>
    <w:p w14:paraId="14A9DDB3" w14:textId="77777777" w:rsidR="0035415C" w:rsidRPr="002C31D4" w:rsidRDefault="0035415C" w:rsidP="0035415C">
      <w:pPr>
        <w:spacing w:after="0"/>
        <w:rPr>
          <w:rFonts w:cs="Arial"/>
        </w:rPr>
      </w:pPr>
    </w:p>
    <w:p w14:paraId="67407A94" w14:textId="77777777" w:rsidR="0035415C" w:rsidRPr="003E1A7D" w:rsidRDefault="0035415C" w:rsidP="0035415C">
      <w:pPr>
        <w:autoSpaceDE w:val="0"/>
        <w:autoSpaceDN w:val="0"/>
        <w:adjustRightInd w:val="0"/>
        <w:spacing w:after="157" w:line="240" w:lineRule="auto"/>
        <w:rPr>
          <w:rFonts w:cs="Arial"/>
          <w:color w:val="000000"/>
          <w:sz w:val="23"/>
          <w:szCs w:val="23"/>
        </w:rPr>
      </w:pPr>
    </w:p>
    <w:p w14:paraId="2FAB6DB0" w14:textId="77777777" w:rsidR="0035415C" w:rsidRDefault="0035415C" w:rsidP="0035415C">
      <w:pPr>
        <w:rPr>
          <w:rFonts w:cs="Arial"/>
        </w:rPr>
      </w:pPr>
    </w:p>
    <w:p w14:paraId="2A9D3D94" w14:textId="77777777" w:rsidR="009553E8" w:rsidRDefault="009553E8" w:rsidP="00380D14">
      <w:pPr>
        <w:spacing w:after="0"/>
        <w:rPr>
          <w:rFonts w:eastAsiaTheme="majorEastAsia" w:cstheme="majorBidi"/>
          <w:bCs/>
          <w:smallCaps/>
          <w:color w:val="000000" w:themeColor="text1"/>
          <w:sz w:val="28"/>
          <w:szCs w:val="36"/>
        </w:rPr>
      </w:pPr>
      <w:r>
        <w:br w:type="page"/>
      </w:r>
    </w:p>
    <w:p w14:paraId="2E19F664" w14:textId="77777777" w:rsidR="003D0539" w:rsidRDefault="003D0539" w:rsidP="0046681D">
      <w:pPr>
        <w:pStyle w:val="Heading1"/>
        <w:numPr>
          <w:ilvl w:val="0"/>
          <w:numId w:val="0"/>
        </w:numPr>
        <w:spacing w:before="0" w:after="0"/>
        <w:ind w:left="432" w:hanging="432"/>
      </w:pPr>
    </w:p>
    <w:p w14:paraId="6D5031CD" w14:textId="6429E060" w:rsidR="00E14595" w:rsidRPr="00E14595" w:rsidRDefault="00E14595" w:rsidP="00380D14">
      <w:pPr>
        <w:pStyle w:val="Heading1"/>
        <w:spacing w:before="0" w:after="0"/>
      </w:pPr>
      <w:bookmarkStart w:id="115" w:name="_Toc461684107"/>
      <w:r w:rsidRPr="00E14595">
        <w:t>Appendices</w:t>
      </w:r>
      <w:bookmarkEnd w:id="115"/>
    </w:p>
    <w:p w14:paraId="10CD6210" w14:textId="7ED1AEE8" w:rsidR="00477197" w:rsidRDefault="00477197" w:rsidP="0067475E">
      <w:pPr>
        <w:pStyle w:val="ListParagraph"/>
        <w:rPr>
          <w:lang w:val="en" w:eastAsia="en-US"/>
        </w:rPr>
      </w:pPr>
    </w:p>
    <w:p w14:paraId="4D2FFE9B" w14:textId="77777777" w:rsidR="00477197" w:rsidRDefault="00477197">
      <w:pPr>
        <w:rPr>
          <w:lang w:val="en" w:eastAsia="en-US"/>
        </w:rPr>
      </w:pPr>
      <w:r>
        <w:rPr>
          <w:lang w:val="en" w:eastAsia="en-US"/>
        </w:rPr>
        <w:br w:type="page"/>
      </w:r>
    </w:p>
    <w:p w14:paraId="71EFEC6F" w14:textId="77777777" w:rsidR="00477197" w:rsidRDefault="00477197" w:rsidP="00477197">
      <w:pPr>
        <w:jc w:val="center"/>
        <w:rPr>
          <w:b/>
          <w:sz w:val="36"/>
          <w:szCs w:val="36"/>
          <w:lang w:val="en" w:eastAsia="en-US"/>
        </w:rPr>
      </w:pPr>
    </w:p>
    <w:p w14:paraId="1A2A91E0" w14:textId="77777777" w:rsidR="00477197" w:rsidRDefault="00477197" w:rsidP="00477197">
      <w:pPr>
        <w:jc w:val="center"/>
        <w:rPr>
          <w:b/>
          <w:sz w:val="36"/>
          <w:szCs w:val="36"/>
          <w:lang w:val="en" w:eastAsia="en-US"/>
        </w:rPr>
      </w:pPr>
    </w:p>
    <w:p w14:paraId="32B88021" w14:textId="77777777" w:rsidR="00477197" w:rsidRDefault="00477197" w:rsidP="00477197">
      <w:pPr>
        <w:jc w:val="center"/>
        <w:rPr>
          <w:b/>
          <w:sz w:val="36"/>
          <w:szCs w:val="36"/>
          <w:lang w:val="en" w:eastAsia="en-US"/>
        </w:rPr>
      </w:pPr>
    </w:p>
    <w:p w14:paraId="2973ADFA" w14:textId="77777777" w:rsidR="00477197" w:rsidRDefault="00477197" w:rsidP="00477197">
      <w:pPr>
        <w:jc w:val="center"/>
        <w:rPr>
          <w:b/>
          <w:sz w:val="36"/>
          <w:szCs w:val="36"/>
          <w:lang w:val="en" w:eastAsia="en-US"/>
        </w:rPr>
      </w:pPr>
    </w:p>
    <w:p w14:paraId="4F75F958" w14:textId="77777777" w:rsidR="00477197" w:rsidRDefault="00477197" w:rsidP="00477197">
      <w:pPr>
        <w:jc w:val="center"/>
        <w:rPr>
          <w:b/>
          <w:sz w:val="36"/>
          <w:szCs w:val="36"/>
          <w:lang w:val="en" w:eastAsia="en-US"/>
        </w:rPr>
      </w:pPr>
    </w:p>
    <w:p w14:paraId="3E2ABD91" w14:textId="77777777" w:rsidR="00477197" w:rsidRDefault="00477197" w:rsidP="00477197">
      <w:pPr>
        <w:jc w:val="center"/>
        <w:rPr>
          <w:b/>
          <w:sz w:val="36"/>
          <w:szCs w:val="36"/>
          <w:lang w:val="en" w:eastAsia="en-US"/>
        </w:rPr>
      </w:pPr>
    </w:p>
    <w:p w14:paraId="4ECFAE2A" w14:textId="77777777" w:rsidR="00477197" w:rsidRDefault="00477197" w:rsidP="00477197">
      <w:pPr>
        <w:jc w:val="center"/>
        <w:rPr>
          <w:b/>
          <w:sz w:val="36"/>
          <w:szCs w:val="36"/>
          <w:lang w:val="en" w:eastAsia="en-US"/>
        </w:rPr>
      </w:pPr>
    </w:p>
    <w:p w14:paraId="512C450E" w14:textId="77777777" w:rsidR="00477197" w:rsidRDefault="00477197" w:rsidP="00477197">
      <w:pPr>
        <w:jc w:val="center"/>
        <w:rPr>
          <w:b/>
          <w:sz w:val="36"/>
          <w:szCs w:val="36"/>
          <w:lang w:val="en" w:eastAsia="en-US"/>
        </w:rPr>
      </w:pPr>
    </w:p>
    <w:p w14:paraId="3ADCC0BC" w14:textId="77777777" w:rsidR="00477197" w:rsidRDefault="00477197" w:rsidP="00477197">
      <w:pPr>
        <w:jc w:val="center"/>
        <w:rPr>
          <w:b/>
          <w:sz w:val="36"/>
          <w:szCs w:val="36"/>
          <w:lang w:val="en" w:eastAsia="en-US"/>
        </w:rPr>
      </w:pPr>
      <w:r w:rsidRPr="00477197">
        <w:rPr>
          <w:b/>
          <w:sz w:val="36"/>
          <w:szCs w:val="36"/>
          <w:lang w:val="en" w:eastAsia="en-US"/>
        </w:rPr>
        <w:t>Appendix 1</w:t>
      </w:r>
      <w:r>
        <w:rPr>
          <w:b/>
          <w:sz w:val="36"/>
          <w:szCs w:val="36"/>
          <w:lang w:val="en" w:eastAsia="en-US"/>
        </w:rPr>
        <w:t xml:space="preserve"> </w:t>
      </w:r>
    </w:p>
    <w:p w14:paraId="0900CD53" w14:textId="0190A6B0" w:rsidR="00477197" w:rsidRDefault="00477197" w:rsidP="00477197">
      <w:pPr>
        <w:jc w:val="center"/>
        <w:rPr>
          <w:b/>
          <w:sz w:val="36"/>
          <w:szCs w:val="36"/>
          <w:lang w:val="en" w:eastAsia="en-US"/>
        </w:rPr>
      </w:pPr>
      <w:r>
        <w:rPr>
          <w:b/>
          <w:sz w:val="36"/>
          <w:szCs w:val="36"/>
          <w:lang w:val="en" w:eastAsia="en-US"/>
        </w:rPr>
        <w:t>Summary of analytical methods for soil gas, indoor and ambient air samples (</w:t>
      </w:r>
      <w:r w:rsidR="00DF379C">
        <w:rPr>
          <w:b/>
          <w:sz w:val="36"/>
          <w:szCs w:val="36"/>
          <w:lang w:val="en" w:eastAsia="en-US"/>
        </w:rPr>
        <w:t xml:space="preserve">extracted </w:t>
      </w:r>
      <w:r>
        <w:rPr>
          <w:b/>
          <w:sz w:val="36"/>
          <w:szCs w:val="36"/>
          <w:lang w:val="en" w:eastAsia="en-US"/>
        </w:rPr>
        <w:t>from ITRC, 2014)</w:t>
      </w:r>
    </w:p>
    <w:p w14:paraId="066C8201" w14:textId="5D5FBB88" w:rsidR="00477197" w:rsidRDefault="00477197">
      <w:pPr>
        <w:rPr>
          <w:b/>
          <w:sz w:val="36"/>
          <w:szCs w:val="36"/>
          <w:lang w:val="en" w:eastAsia="en-US"/>
        </w:rPr>
      </w:pPr>
      <w:r>
        <w:rPr>
          <w:b/>
          <w:sz w:val="36"/>
          <w:szCs w:val="36"/>
          <w:lang w:val="en" w:eastAsia="en-US"/>
        </w:rPr>
        <w:br w:type="page"/>
      </w:r>
    </w:p>
    <w:p w14:paraId="3CAA2D8B" w14:textId="26932BFA" w:rsidR="00C70BC2" w:rsidRDefault="00C70BC2">
      <w:pPr>
        <w:rPr>
          <w:b/>
          <w:sz w:val="36"/>
          <w:szCs w:val="36"/>
          <w:lang w:val="en" w:eastAsia="en-US"/>
        </w:rPr>
      </w:pPr>
    </w:p>
    <w:p w14:paraId="770AD2E2" w14:textId="693818D0" w:rsidR="00C70BC2" w:rsidRDefault="00C70BC2">
      <w:pPr>
        <w:rPr>
          <w:b/>
          <w:sz w:val="36"/>
          <w:szCs w:val="36"/>
          <w:lang w:val="en" w:eastAsia="en-US"/>
        </w:rPr>
      </w:pPr>
    </w:p>
    <w:p w14:paraId="281CD994" w14:textId="77777777" w:rsidR="00C70BC2" w:rsidRDefault="00C70BC2">
      <w:pPr>
        <w:rPr>
          <w:b/>
          <w:sz w:val="36"/>
          <w:szCs w:val="36"/>
          <w:lang w:val="en" w:eastAsia="en-US"/>
        </w:rPr>
      </w:pPr>
    </w:p>
    <w:p w14:paraId="7FA6B11D" w14:textId="51ACB3D6" w:rsidR="00C70BC2" w:rsidRDefault="00C70BC2" w:rsidP="00C70BC2">
      <w:pPr>
        <w:pStyle w:val="Caption"/>
        <w:keepNext/>
      </w:pPr>
      <w:r>
        <w:t xml:space="preserve">Table </w:t>
      </w:r>
      <w:fldSimple w:instr=" SEQ Table \* ARABIC ">
        <w:r w:rsidR="006A5935">
          <w:rPr>
            <w:noProof/>
          </w:rPr>
          <w:t>11</w:t>
        </w:r>
      </w:fldSimple>
      <w:r>
        <w:t>: Summary of analytical methods for soil gas, indoor and ambient air samples (from ITRC, 2014, pp236-238)</w:t>
      </w:r>
    </w:p>
    <w:p w14:paraId="61E1BC86" w14:textId="7986D6A2" w:rsidR="00C85118" w:rsidRDefault="00C70BC2">
      <w:pPr>
        <w:rPr>
          <w:i/>
          <w:iCs/>
          <w:color w:val="323232" w:themeColor="text2"/>
          <w:sz w:val="18"/>
          <w:szCs w:val="18"/>
        </w:rPr>
      </w:pPr>
      <w:r w:rsidRPr="00C70BC2">
        <w:rPr>
          <w:noProof/>
          <w:lang w:eastAsia="en-US"/>
        </w:rPr>
        <w:drawing>
          <wp:inline distT="0" distB="0" distL="0" distR="0" wp14:anchorId="035C6165" wp14:editId="239DEDCD">
            <wp:extent cx="5409928" cy="5879365"/>
            <wp:effectExtent l="0" t="0" r="635" b="7620"/>
            <wp:docPr id="302" name="Picture 302" descr="K:\2016\UofA\enHealth\Documentation\PICS\2016_06_30\An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K:\2016\UofA\enHealth\Documentation\PICS\2016_06_30\Anal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17936" cy="5888068"/>
                    </a:xfrm>
                    <a:prstGeom prst="rect">
                      <a:avLst/>
                    </a:prstGeom>
                    <a:noFill/>
                    <a:ln>
                      <a:noFill/>
                    </a:ln>
                  </pic:spPr>
                </pic:pic>
              </a:graphicData>
            </a:graphic>
          </wp:inline>
        </w:drawing>
      </w:r>
      <w:r w:rsidR="00C85118">
        <w:br w:type="page"/>
      </w:r>
    </w:p>
    <w:p w14:paraId="1C9DD853" w14:textId="0C60AED3" w:rsidR="00C85118" w:rsidRDefault="00C70BC2">
      <w:pPr>
        <w:rPr>
          <w:i/>
          <w:iCs/>
          <w:color w:val="323232" w:themeColor="text2"/>
          <w:sz w:val="18"/>
          <w:szCs w:val="18"/>
        </w:rPr>
      </w:pPr>
      <w:r w:rsidRPr="00C70BC2">
        <w:rPr>
          <w:noProof/>
          <w:lang w:eastAsia="en-US"/>
        </w:rPr>
        <w:lastRenderedPageBreak/>
        <w:drawing>
          <wp:inline distT="0" distB="0" distL="0" distR="0" wp14:anchorId="1F631A4C" wp14:editId="03DA8836">
            <wp:extent cx="5410830" cy="7412990"/>
            <wp:effectExtent l="0" t="0" r="0" b="0"/>
            <wp:docPr id="303" name="Picture 303" descr="K:\2016\UofA\enHealth\Documentation\PICS\2016_06_30\An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2016\UofA\enHealth\Documentation\PICS\2016_06_30\Anal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15388" cy="7419234"/>
                    </a:xfrm>
                    <a:prstGeom prst="rect">
                      <a:avLst/>
                    </a:prstGeom>
                    <a:noFill/>
                    <a:ln>
                      <a:noFill/>
                    </a:ln>
                  </pic:spPr>
                </pic:pic>
              </a:graphicData>
            </a:graphic>
          </wp:inline>
        </w:drawing>
      </w:r>
    </w:p>
    <w:p w14:paraId="21C0DD98" w14:textId="03C4756F" w:rsidR="00C70BC2" w:rsidRDefault="00C85118">
      <w:r>
        <w:br w:type="page"/>
      </w:r>
      <w:r w:rsidR="00E94C89" w:rsidRPr="00E94C89">
        <w:rPr>
          <w:noProof/>
          <w:lang w:eastAsia="en-US"/>
        </w:rPr>
        <w:lastRenderedPageBreak/>
        <w:drawing>
          <wp:inline distT="0" distB="0" distL="0" distR="0" wp14:anchorId="5BC9AFB8" wp14:editId="0026E7A9">
            <wp:extent cx="5410830" cy="3446145"/>
            <wp:effectExtent l="0" t="0" r="0" b="1905"/>
            <wp:docPr id="304" name="Picture 304" descr="K:\2016\UofA\enHealth\Documentation\PICS\2016_06_30\An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K:\2016\UofA\enHealth\Documentation\PICS\2016_06_30\Anal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17609" cy="3450462"/>
                    </a:xfrm>
                    <a:prstGeom prst="rect">
                      <a:avLst/>
                    </a:prstGeom>
                    <a:noFill/>
                    <a:ln>
                      <a:noFill/>
                    </a:ln>
                  </pic:spPr>
                </pic:pic>
              </a:graphicData>
            </a:graphic>
          </wp:inline>
        </w:drawing>
      </w:r>
    </w:p>
    <w:p w14:paraId="7750F76A" w14:textId="77777777" w:rsidR="00C85118" w:rsidRDefault="00C85118">
      <w:pPr>
        <w:rPr>
          <w:i/>
          <w:iCs/>
          <w:color w:val="323232" w:themeColor="text2"/>
          <w:sz w:val="18"/>
          <w:szCs w:val="18"/>
        </w:rPr>
      </w:pPr>
    </w:p>
    <w:p w14:paraId="6F4E651F" w14:textId="77777777" w:rsidR="00C85118" w:rsidRDefault="00C85118" w:rsidP="00C85118">
      <w:pPr>
        <w:jc w:val="center"/>
        <w:rPr>
          <w:b/>
          <w:sz w:val="36"/>
          <w:szCs w:val="36"/>
          <w:lang w:val="en" w:eastAsia="en-US"/>
        </w:rPr>
      </w:pPr>
    </w:p>
    <w:p w14:paraId="7FAC66AA" w14:textId="77777777" w:rsidR="00C85118" w:rsidRDefault="00C85118" w:rsidP="00C85118">
      <w:pPr>
        <w:jc w:val="center"/>
        <w:rPr>
          <w:b/>
          <w:sz w:val="36"/>
          <w:szCs w:val="36"/>
          <w:lang w:val="en" w:eastAsia="en-US"/>
        </w:rPr>
      </w:pPr>
    </w:p>
    <w:p w14:paraId="6A165071" w14:textId="77777777" w:rsidR="00C85118" w:rsidRDefault="00C85118" w:rsidP="00C85118">
      <w:pPr>
        <w:jc w:val="center"/>
        <w:rPr>
          <w:b/>
          <w:sz w:val="36"/>
          <w:szCs w:val="36"/>
          <w:lang w:val="en" w:eastAsia="en-US"/>
        </w:rPr>
      </w:pPr>
    </w:p>
    <w:p w14:paraId="11669DEE" w14:textId="77777777" w:rsidR="00C85118" w:rsidRDefault="00C85118" w:rsidP="00C85118">
      <w:pPr>
        <w:jc w:val="center"/>
        <w:rPr>
          <w:b/>
          <w:sz w:val="36"/>
          <w:szCs w:val="36"/>
          <w:lang w:val="en" w:eastAsia="en-US"/>
        </w:rPr>
      </w:pPr>
    </w:p>
    <w:p w14:paraId="296E7C48" w14:textId="77777777" w:rsidR="00C85118" w:rsidRDefault="00C85118" w:rsidP="00C85118">
      <w:pPr>
        <w:jc w:val="center"/>
        <w:rPr>
          <w:b/>
          <w:sz w:val="36"/>
          <w:szCs w:val="36"/>
          <w:lang w:val="en" w:eastAsia="en-US"/>
        </w:rPr>
      </w:pPr>
    </w:p>
    <w:p w14:paraId="53488950" w14:textId="77777777" w:rsidR="00C85118" w:rsidRDefault="00C85118" w:rsidP="00C85118">
      <w:pPr>
        <w:jc w:val="center"/>
        <w:rPr>
          <w:b/>
          <w:sz w:val="36"/>
          <w:szCs w:val="36"/>
          <w:lang w:val="en" w:eastAsia="en-US"/>
        </w:rPr>
      </w:pPr>
    </w:p>
    <w:p w14:paraId="43898FAB" w14:textId="0EA4D99D" w:rsidR="00C85118" w:rsidRDefault="00C85118" w:rsidP="00C85118">
      <w:pPr>
        <w:jc w:val="center"/>
        <w:rPr>
          <w:b/>
          <w:sz w:val="36"/>
          <w:szCs w:val="36"/>
          <w:lang w:val="en" w:eastAsia="en-US"/>
        </w:rPr>
      </w:pPr>
    </w:p>
    <w:p w14:paraId="653D1893" w14:textId="796D5F39" w:rsidR="00E94C89" w:rsidRDefault="00E94C89" w:rsidP="00C85118">
      <w:pPr>
        <w:jc w:val="center"/>
        <w:rPr>
          <w:b/>
          <w:sz w:val="36"/>
          <w:szCs w:val="36"/>
          <w:lang w:val="en" w:eastAsia="en-US"/>
        </w:rPr>
      </w:pPr>
    </w:p>
    <w:p w14:paraId="73EB0FEE" w14:textId="675ADD73" w:rsidR="00E94C89" w:rsidRDefault="00E94C89" w:rsidP="00C85118">
      <w:pPr>
        <w:jc w:val="center"/>
        <w:rPr>
          <w:b/>
          <w:sz w:val="36"/>
          <w:szCs w:val="36"/>
          <w:lang w:val="en" w:eastAsia="en-US"/>
        </w:rPr>
      </w:pPr>
    </w:p>
    <w:p w14:paraId="23EE728D" w14:textId="74541712" w:rsidR="00E94C89" w:rsidRDefault="00E94C89" w:rsidP="00C85118">
      <w:pPr>
        <w:jc w:val="center"/>
        <w:rPr>
          <w:b/>
          <w:sz w:val="36"/>
          <w:szCs w:val="36"/>
          <w:lang w:val="en" w:eastAsia="en-US"/>
        </w:rPr>
      </w:pPr>
    </w:p>
    <w:p w14:paraId="59060BA4" w14:textId="5B6BD1EB" w:rsidR="00E94C89" w:rsidRDefault="00E94C89" w:rsidP="00C85118">
      <w:pPr>
        <w:jc w:val="center"/>
        <w:rPr>
          <w:b/>
          <w:sz w:val="36"/>
          <w:szCs w:val="36"/>
          <w:lang w:val="en" w:eastAsia="en-US"/>
        </w:rPr>
      </w:pPr>
    </w:p>
    <w:p w14:paraId="52611630" w14:textId="329AB0EC" w:rsidR="00E94C89" w:rsidRDefault="00E94C89" w:rsidP="00C85118">
      <w:pPr>
        <w:jc w:val="center"/>
        <w:rPr>
          <w:b/>
          <w:sz w:val="36"/>
          <w:szCs w:val="36"/>
          <w:lang w:val="en" w:eastAsia="en-US"/>
        </w:rPr>
      </w:pPr>
    </w:p>
    <w:p w14:paraId="73822672" w14:textId="62EA37CA" w:rsidR="00E94C89" w:rsidRDefault="00E94C89" w:rsidP="00C85118">
      <w:pPr>
        <w:jc w:val="center"/>
        <w:rPr>
          <w:b/>
          <w:sz w:val="36"/>
          <w:szCs w:val="36"/>
          <w:lang w:val="en" w:eastAsia="en-US"/>
        </w:rPr>
      </w:pPr>
    </w:p>
    <w:p w14:paraId="4E6B3A71" w14:textId="270C5F87" w:rsidR="00E94C89" w:rsidRDefault="00E94C89" w:rsidP="00C85118">
      <w:pPr>
        <w:jc w:val="center"/>
        <w:rPr>
          <w:b/>
          <w:sz w:val="36"/>
          <w:szCs w:val="36"/>
          <w:lang w:val="en" w:eastAsia="en-US"/>
        </w:rPr>
      </w:pPr>
    </w:p>
    <w:p w14:paraId="20B97D82" w14:textId="03211746" w:rsidR="00E94C89" w:rsidRDefault="00E94C89" w:rsidP="00C85118">
      <w:pPr>
        <w:jc w:val="center"/>
        <w:rPr>
          <w:b/>
          <w:sz w:val="36"/>
          <w:szCs w:val="36"/>
          <w:lang w:val="en" w:eastAsia="en-US"/>
        </w:rPr>
      </w:pPr>
    </w:p>
    <w:p w14:paraId="27869D4A" w14:textId="35E46666" w:rsidR="00E94C89" w:rsidRDefault="00E94C89" w:rsidP="00C85118">
      <w:pPr>
        <w:jc w:val="center"/>
        <w:rPr>
          <w:b/>
          <w:sz w:val="36"/>
          <w:szCs w:val="36"/>
          <w:lang w:val="en" w:eastAsia="en-US"/>
        </w:rPr>
      </w:pPr>
    </w:p>
    <w:p w14:paraId="16391553" w14:textId="66F807FD" w:rsidR="00E94C89" w:rsidRDefault="00E94C89" w:rsidP="00C85118">
      <w:pPr>
        <w:jc w:val="center"/>
        <w:rPr>
          <w:b/>
          <w:sz w:val="36"/>
          <w:szCs w:val="36"/>
          <w:lang w:val="en" w:eastAsia="en-US"/>
        </w:rPr>
      </w:pPr>
    </w:p>
    <w:p w14:paraId="545774BD" w14:textId="77777777" w:rsidR="00E94C89" w:rsidRDefault="00E94C89" w:rsidP="00C85118">
      <w:pPr>
        <w:jc w:val="center"/>
        <w:rPr>
          <w:b/>
          <w:sz w:val="36"/>
          <w:szCs w:val="36"/>
          <w:lang w:val="en" w:eastAsia="en-US"/>
        </w:rPr>
      </w:pPr>
    </w:p>
    <w:p w14:paraId="3E3B2757" w14:textId="77777777" w:rsidR="00C85118" w:rsidRDefault="00C85118" w:rsidP="00C85118">
      <w:pPr>
        <w:jc w:val="center"/>
        <w:rPr>
          <w:b/>
          <w:sz w:val="36"/>
          <w:szCs w:val="36"/>
          <w:lang w:val="en" w:eastAsia="en-US"/>
        </w:rPr>
      </w:pPr>
    </w:p>
    <w:p w14:paraId="06863620" w14:textId="7E2CF76A" w:rsidR="00C85118" w:rsidRDefault="00C85118" w:rsidP="00C85118">
      <w:pPr>
        <w:jc w:val="center"/>
        <w:rPr>
          <w:b/>
          <w:sz w:val="36"/>
          <w:szCs w:val="36"/>
          <w:lang w:val="en" w:eastAsia="en-US"/>
        </w:rPr>
      </w:pPr>
      <w:r w:rsidRPr="00477197">
        <w:rPr>
          <w:b/>
          <w:sz w:val="36"/>
          <w:szCs w:val="36"/>
          <w:lang w:val="en" w:eastAsia="en-US"/>
        </w:rPr>
        <w:t xml:space="preserve">Appendix </w:t>
      </w:r>
      <w:r>
        <w:rPr>
          <w:b/>
          <w:sz w:val="36"/>
          <w:szCs w:val="36"/>
          <w:lang w:val="en" w:eastAsia="en-US"/>
        </w:rPr>
        <w:t>2</w:t>
      </w:r>
    </w:p>
    <w:p w14:paraId="65D72FFB" w14:textId="10416AE8" w:rsidR="00C85118" w:rsidRDefault="00C85118" w:rsidP="00C85118">
      <w:pPr>
        <w:jc w:val="center"/>
        <w:rPr>
          <w:b/>
          <w:sz w:val="36"/>
          <w:szCs w:val="36"/>
          <w:lang w:val="en" w:eastAsia="en-US"/>
        </w:rPr>
      </w:pPr>
      <w:r>
        <w:rPr>
          <w:b/>
          <w:sz w:val="36"/>
          <w:szCs w:val="36"/>
          <w:lang w:val="en" w:eastAsia="en-US"/>
        </w:rPr>
        <w:t>Advantages and disadvantages of various investigative strategies (</w:t>
      </w:r>
      <w:r w:rsidR="00DF379C">
        <w:rPr>
          <w:b/>
          <w:sz w:val="36"/>
          <w:szCs w:val="36"/>
          <w:lang w:val="en" w:eastAsia="en-US"/>
        </w:rPr>
        <w:t xml:space="preserve">extracted </w:t>
      </w:r>
      <w:r>
        <w:rPr>
          <w:b/>
          <w:sz w:val="36"/>
          <w:szCs w:val="36"/>
          <w:lang w:val="en" w:eastAsia="en-US"/>
        </w:rPr>
        <w:t>from ITRC, 2014)</w:t>
      </w:r>
    </w:p>
    <w:p w14:paraId="6A9F4755" w14:textId="77777777" w:rsidR="00C85118" w:rsidRDefault="00C85118">
      <w:pPr>
        <w:rPr>
          <w:i/>
          <w:iCs/>
          <w:color w:val="323232" w:themeColor="text2"/>
          <w:sz w:val="18"/>
          <w:szCs w:val="18"/>
        </w:rPr>
      </w:pPr>
    </w:p>
    <w:p w14:paraId="7E0E90B1" w14:textId="35E911E5" w:rsidR="00477197" w:rsidRDefault="00EA73F6" w:rsidP="00C85118">
      <w:pPr>
        <w:pStyle w:val="Caption"/>
        <w:keepNext/>
        <w:jc w:val="center"/>
        <w:rPr>
          <w:b/>
          <w:sz w:val="36"/>
          <w:szCs w:val="36"/>
          <w:lang w:val="en" w:eastAsia="en-US"/>
        </w:rPr>
      </w:pPr>
      <w:r>
        <w:lastRenderedPageBreak/>
        <w:t xml:space="preserve">Table </w:t>
      </w:r>
      <w:fldSimple w:instr=" SEQ Table \* ARABIC ">
        <w:r w:rsidR="006A5935">
          <w:rPr>
            <w:noProof/>
          </w:rPr>
          <w:t>12</w:t>
        </w:r>
      </w:fldSimple>
      <w:r>
        <w:t xml:space="preserve">: Matrix of recommendations for various evaluation options for </w:t>
      </w:r>
      <w:proofErr w:type="spellStart"/>
      <w:r>
        <w:t>vapour</w:t>
      </w:r>
      <w:proofErr w:type="spellEnd"/>
      <w:r>
        <w:t xml:space="preserve"> intrusion (from ITRC,2014,</w:t>
      </w:r>
      <w:r w:rsidR="00C85118">
        <w:t xml:space="preserve"> </w:t>
      </w:r>
      <w:r>
        <w:t>pp239-241).</w:t>
      </w:r>
      <w:r w:rsidR="0006640F" w:rsidRPr="0006640F">
        <w:rPr>
          <w:b/>
          <w:noProof/>
          <w:sz w:val="36"/>
          <w:szCs w:val="36"/>
          <w:lang w:eastAsia="en-US"/>
        </w:rPr>
        <w:drawing>
          <wp:inline distT="0" distB="0" distL="0" distR="0" wp14:anchorId="3BBD8635" wp14:editId="374B4433">
            <wp:extent cx="5728225" cy="7403957"/>
            <wp:effectExtent l="0" t="0" r="6350" b="6985"/>
            <wp:docPr id="299" name="Picture 299" descr="K:\2016\UofA\enHealth\Documentation\PICS\2016_06_30\MatrixRe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2016\UofA\enHealth\Documentation\PICS\2016_06_30\MatrixRec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1396" cy="7446832"/>
                    </a:xfrm>
                    <a:prstGeom prst="rect">
                      <a:avLst/>
                    </a:prstGeom>
                    <a:noFill/>
                    <a:ln>
                      <a:noFill/>
                    </a:ln>
                  </pic:spPr>
                </pic:pic>
              </a:graphicData>
            </a:graphic>
          </wp:inline>
        </w:drawing>
      </w:r>
    </w:p>
    <w:p w14:paraId="391E72D1" w14:textId="570DF75A" w:rsidR="00477197" w:rsidRDefault="0006640F" w:rsidP="00477197">
      <w:pPr>
        <w:jc w:val="center"/>
        <w:rPr>
          <w:b/>
          <w:sz w:val="36"/>
          <w:szCs w:val="36"/>
          <w:lang w:val="en" w:eastAsia="en-US"/>
        </w:rPr>
      </w:pPr>
      <w:r w:rsidRPr="0006640F">
        <w:rPr>
          <w:b/>
          <w:noProof/>
          <w:sz w:val="36"/>
          <w:szCs w:val="36"/>
          <w:lang w:eastAsia="en-US"/>
        </w:rPr>
        <w:lastRenderedPageBreak/>
        <w:drawing>
          <wp:inline distT="0" distB="0" distL="0" distR="0" wp14:anchorId="56414091" wp14:editId="1F0FD560">
            <wp:extent cx="4420870" cy="7677937"/>
            <wp:effectExtent l="0" t="0" r="0" b="0"/>
            <wp:docPr id="300" name="Picture 300" descr="K:\2016\UofA\enHealth\Documentation\PICS\2016_06_30\MatrixRe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K:\2016\UofA\enHealth\Documentation\PICS\2016_06_30\MatrixRec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422097" cy="7680068"/>
                    </a:xfrm>
                    <a:prstGeom prst="rect">
                      <a:avLst/>
                    </a:prstGeom>
                    <a:noFill/>
                    <a:ln>
                      <a:noFill/>
                    </a:ln>
                  </pic:spPr>
                </pic:pic>
              </a:graphicData>
            </a:graphic>
          </wp:inline>
        </w:drawing>
      </w:r>
    </w:p>
    <w:p w14:paraId="5EAF0FEF" w14:textId="431AFEEF" w:rsidR="0006640F" w:rsidRDefault="0006640F">
      <w:pPr>
        <w:rPr>
          <w:b/>
          <w:sz w:val="36"/>
          <w:szCs w:val="36"/>
          <w:lang w:val="en" w:eastAsia="en-US"/>
        </w:rPr>
      </w:pPr>
      <w:r w:rsidRPr="0006640F">
        <w:rPr>
          <w:b/>
          <w:noProof/>
          <w:sz w:val="36"/>
          <w:szCs w:val="36"/>
          <w:lang w:eastAsia="en-US"/>
        </w:rPr>
        <w:lastRenderedPageBreak/>
        <w:drawing>
          <wp:inline distT="0" distB="0" distL="0" distR="0" wp14:anchorId="23DA9C2B" wp14:editId="4D68865F">
            <wp:extent cx="4352925" cy="7791293"/>
            <wp:effectExtent l="0" t="0" r="0" b="635"/>
            <wp:docPr id="301" name="Picture 301" descr="K:\2016\UofA\enHealth\Documentation\PICS\2016_06_30\MatrixRe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2016\UofA\enHealth\Documentation\PICS\2016_06_30\MatrixRec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353842" cy="7792934"/>
                    </a:xfrm>
                    <a:prstGeom prst="rect">
                      <a:avLst/>
                    </a:prstGeom>
                    <a:noFill/>
                    <a:ln>
                      <a:noFill/>
                    </a:ln>
                  </pic:spPr>
                </pic:pic>
              </a:graphicData>
            </a:graphic>
          </wp:inline>
        </w:drawing>
      </w:r>
      <w:r>
        <w:rPr>
          <w:b/>
          <w:sz w:val="36"/>
          <w:szCs w:val="36"/>
          <w:lang w:val="en" w:eastAsia="en-US"/>
        </w:rPr>
        <w:br w:type="page"/>
      </w:r>
    </w:p>
    <w:p w14:paraId="2775565B" w14:textId="1651902E" w:rsidR="00D72716" w:rsidRDefault="00D72716" w:rsidP="00477197">
      <w:pPr>
        <w:jc w:val="center"/>
        <w:rPr>
          <w:b/>
          <w:sz w:val="36"/>
          <w:szCs w:val="36"/>
          <w:lang w:val="en" w:eastAsia="en-US"/>
        </w:rPr>
      </w:pPr>
    </w:p>
    <w:p w14:paraId="5214E484" w14:textId="725CE75D" w:rsidR="00D72716" w:rsidRDefault="00D72716" w:rsidP="00477197">
      <w:pPr>
        <w:jc w:val="center"/>
        <w:rPr>
          <w:b/>
          <w:sz w:val="36"/>
          <w:szCs w:val="36"/>
          <w:lang w:val="en" w:eastAsia="en-US"/>
        </w:rPr>
      </w:pPr>
    </w:p>
    <w:p w14:paraId="7124BE10" w14:textId="00705B08" w:rsidR="00D72716" w:rsidRDefault="00D72716" w:rsidP="00477197">
      <w:pPr>
        <w:jc w:val="center"/>
        <w:rPr>
          <w:b/>
          <w:sz w:val="36"/>
          <w:szCs w:val="36"/>
          <w:lang w:val="en" w:eastAsia="en-US"/>
        </w:rPr>
      </w:pPr>
    </w:p>
    <w:p w14:paraId="7160F4A1" w14:textId="09956999" w:rsidR="00D72716" w:rsidRDefault="00D72716" w:rsidP="00477197">
      <w:pPr>
        <w:jc w:val="center"/>
        <w:rPr>
          <w:b/>
          <w:sz w:val="36"/>
          <w:szCs w:val="36"/>
          <w:lang w:val="en" w:eastAsia="en-US"/>
        </w:rPr>
      </w:pPr>
    </w:p>
    <w:p w14:paraId="4400DABD" w14:textId="2AC01C1C" w:rsidR="00D72716" w:rsidRDefault="00D72716" w:rsidP="00477197">
      <w:pPr>
        <w:jc w:val="center"/>
        <w:rPr>
          <w:b/>
          <w:sz w:val="36"/>
          <w:szCs w:val="36"/>
          <w:lang w:val="en" w:eastAsia="en-US"/>
        </w:rPr>
      </w:pPr>
    </w:p>
    <w:p w14:paraId="27031971" w14:textId="6795E74F" w:rsidR="00D72716" w:rsidRDefault="00D72716" w:rsidP="00477197">
      <w:pPr>
        <w:jc w:val="center"/>
        <w:rPr>
          <w:b/>
          <w:sz w:val="36"/>
          <w:szCs w:val="36"/>
          <w:lang w:val="en" w:eastAsia="en-US"/>
        </w:rPr>
      </w:pPr>
    </w:p>
    <w:p w14:paraId="7CD7AB1F" w14:textId="46B4A3D7" w:rsidR="00D72716" w:rsidRDefault="00D72716" w:rsidP="00477197">
      <w:pPr>
        <w:jc w:val="center"/>
        <w:rPr>
          <w:b/>
          <w:sz w:val="36"/>
          <w:szCs w:val="36"/>
          <w:lang w:val="en" w:eastAsia="en-US"/>
        </w:rPr>
      </w:pPr>
    </w:p>
    <w:p w14:paraId="1AFE3BFC" w14:textId="41BF061B" w:rsidR="00D72716" w:rsidRDefault="00D72716" w:rsidP="00477197">
      <w:pPr>
        <w:jc w:val="center"/>
        <w:rPr>
          <w:b/>
          <w:sz w:val="36"/>
          <w:szCs w:val="36"/>
          <w:lang w:val="en" w:eastAsia="en-US"/>
        </w:rPr>
      </w:pPr>
    </w:p>
    <w:p w14:paraId="15034984" w14:textId="4E2BD595" w:rsidR="00D72716" w:rsidRDefault="00D72716" w:rsidP="00D72716">
      <w:pPr>
        <w:jc w:val="center"/>
        <w:rPr>
          <w:b/>
          <w:sz w:val="36"/>
          <w:szCs w:val="36"/>
          <w:lang w:val="en" w:eastAsia="en-US"/>
        </w:rPr>
      </w:pPr>
      <w:r w:rsidRPr="00477197">
        <w:rPr>
          <w:b/>
          <w:sz w:val="36"/>
          <w:szCs w:val="36"/>
          <w:lang w:val="en" w:eastAsia="en-US"/>
        </w:rPr>
        <w:t xml:space="preserve">Appendix </w:t>
      </w:r>
      <w:r>
        <w:rPr>
          <w:b/>
          <w:sz w:val="36"/>
          <w:szCs w:val="36"/>
          <w:lang w:val="en" w:eastAsia="en-US"/>
        </w:rPr>
        <w:t>3</w:t>
      </w:r>
    </w:p>
    <w:p w14:paraId="3A2815A2" w14:textId="376FB3E0" w:rsidR="001E7626" w:rsidRDefault="00D72716" w:rsidP="00D72716">
      <w:pPr>
        <w:jc w:val="center"/>
        <w:rPr>
          <w:b/>
          <w:sz w:val="36"/>
          <w:szCs w:val="36"/>
          <w:lang w:val="en" w:eastAsia="en-US"/>
        </w:rPr>
      </w:pPr>
      <w:r>
        <w:rPr>
          <w:b/>
          <w:sz w:val="36"/>
          <w:szCs w:val="36"/>
          <w:lang w:val="en" w:eastAsia="en-US"/>
        </w:rPr>
        <w:t>Advantages and disadvantages of various investigative strategies (</w:t>
      </w:r>
      <w:r w:rsidR="00DF379C">
        <w:rPr>
          <w:b/>
          <w:sz w:val="36"/>
          <w:szCs w:val="36"/>
          <w:lang w:val="en" w:eastAsia="en-US"/>
        </w:rPr>
        <w:t xml:space="preserve">extracted </w:t>
      </w:r>
      <w:r>
        <w:rPr>
          <w:b/>
          <w:sz w:val="36"/>
          <w:szCs w:val="36"/>
          <w:lang w:val="en" w:eastAsia="en-US"/>
        </w:rPr>
        <w:t>from ITRC, 2014)</w:t>
      </w:r>
    </w:p>
    <w:p w14:paraId="58651648" w14:textId="77777777" w:rsidR="001E7626" w:rsidRDefault="001E7626">
      <w:pPr>
        <w:rPr>
          <w:b/>
          <w:sz w:val="36"/>
          <w:szCs w:val="36"/>
          <w:lang w:val="en" w:eastAsia="en-US"/>
        </w:rPr>
      </w:pPr>
      <w:r>
        <w:rPr>
          <w:b/>
          <w:sz w:val="36"/>
          <w:szCs w:val="36"/>
          <w:lang w:val="en" w:eastAsia="en-US"/>
        </w:rPr>
        <w:br w:type="page"/>
      </w:r>
    </w:p>
    <w:p w14:paraId="29E8DC30" w14:textId="22380F3E" w:rsidR="001E7626" w:rsidRDefault="001E7626" w:rsidP="001E7626">
      <w:pPr>
        <w:pStyle w:val="Caption"/>
        <w:keepNext/>
      </w:pPr>
      <w:r>
        <w:lastRenderedPageBreak/>
        <w:t xml:space="preserve">Table </w:t>
      </w:r>
      <w:fldSimple w:instr=" SEQ Table \* ARABIC ">
        <w:r w:rsidR="006A5935">
          <w:rPr>
            <w:noProof/>
          </w:rPr>
          <w:t>13</w:t>
        </w:r>
      </w:fldSimple>
      <w:r>
        <w:t>: Advantages and disadvantages of various investigative</w:t>
      </w:r>
    </w:p>
    <w:p w14:paraId="723CEA60" w14:textId="77777777" w:rsidR="001E7626" w:rsidRDefault="001E7626">
      <w:pPr>
        <w:rPr>
          <w:b/>
          <w:sz w:val="36"/>
          <w:szCs w:val="36"/>
          <w:lang w:val="en" w:eastAsia="en-US"/>
        </w:rPr>
      </w:pPr>
      <w:r w:rsidRPr="001E7626">
        <w:rPr>
          <w:b/>
          <w:noProof/>
          <w:sz w:val="36"/>
          <w:szCs w:val="36"/>
          <w:lang w:eastAsia="en-US"/>
        </w:rPr>
        <w:drawing>
          <wp:inline distT="0" distB="0" distL="0" distR="0" wp14:anchorId="2F4292EA" wp14:editId="7F04D2A1">
            <wp:extent cx="5417185" cy="7504125"/>
            <wp:effectExtent l="0" t="0" r="0" b="1905"/>
            <wp:docPr id="294" name="Picture 294" descr="K:\2016\UofA\enHealth\Documentation\PICS\2016_06_30\ADsD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2016\UofA\enHealth\Documentation\PICS\2016_06_30\ADsDis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26413" cy="7516908"/>
                    </a:xfrm>
                    <a:prstGeom prst="rect">
                      <a:avLst/>
                    </a:prstGeom>
                    <a:noFill/>
                    <a:ln>
                      <a:noFill/>
                    </a:ln>
                  </pic:spPr>
                </pic:pic>
              </a:graphicData>
            </a:graphic>
          </wp:inline>
        </w:drawing>
      </w:r>
    </w:p>
    <w:p w14:paraId="42A42089" w14:textId="179EDC55" w:rsidR="001E7626" w:rsidRDefault="001E7626">
      <w:pPr>
        <w:rPr>
          <w:b/>
          <w:sz w:val="36"/>
          <w:szCs w:val="36"/>
          <w:lang w:val="en" w:eastAsia="en-US"/>
        </w:rPr>
      </w:pPr>
      <w:r w:rsidRPr="001E7626">
        <w:rPr>
          <w:b/>
          <w:noProof/>
          <w:sz w:val="36"/>
          <w:szCs w:val="36"/>
          <w:lang w:eastAsia="en-US"/>
        </w:rPr>
        <w:lastRenderedPageBreak/>
        <w:drawing>
          <wp:inline distT="0" distB="0" distL="0" distR="0" wp14:anchorId="33C1AACE" wp14:editId="1B2D695F">
            <wp:extent cx="5516245" cy="7662823"/>
            <wp:effectExtent l="0" t="0" r="8255" b="0"/>
            <wp:docPr id="295" name="Picture 295" descr="K:\2016\UofA\enHealth\Documentation\PICS\2016_06_30\ADsD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2016\UofA\enHealth\Documentation\PICS\2016_06_30\ADsDis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521662" cy="7670347"/>
                    </a:xfrm>
                    <a:prstGeom prst="rect">
                      <a:avLst/>
                    </a:prstGeom>
                    <a:noFill/>
                    <a:ln>
                      <a:noFill/>
                    </a:ln>
                  </pic:spPr>
                </pic:pic>
              </a:graphicData>
            </a:graphic>
          </wp:inline>
        </w:drawing>
      </w:r>
      <w:r>
        <w:rPr>
          <w:b/>
          <w:sz w:val="36"/>
          <w:szCs w:val="36"/>
          <w:lang w:val="en" w:eastAsia="en-US"/>
        </w:rPr>
        <w:br w:type="page"/>
      </w:r>
      <w:r w:rsidRPr="001E7626">
        <w:rPr>
          <w:b/>
          <w:noProof/>
          <w:sz w:val="36"/>
          <w:szCs w:val="36"/>
          <w:lang w:eastAsia="en-US"/>
        </w:rPr>
        <w:lastRenderedPageBreak/>
        <w:drawing>
          <wp:inline distT="0" distB="0" distL="0" distR="0" wp14:anchorId="76264CCD" wp14:editId="51CB8015">
            <wp:extent cx="5501640" cy="7949990"/>
            <wp:effectExtent l="0" t="0" r="3810" b="0"/>
            <wp:docPr id="296" name="Picture 296" descr="K:\2016\UofA\enHealth\Documentation\PICS\2016_06_30\ADsDi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2016\UofA\enHealth\Documentation\PICS\2016_06_30\ADsDis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504788" cy="7954539"/>
                    </a:xfrm>
                    <a:prstGeom prst="rect">
                      <a:avLst/>
                    </a:prstGeom>
                    <a:noFill/>
                    <a:ln>
                      <a:noFill/>
                    </a:ln>
                  </pic:spPr>
                </pic:pic>
              </a:graphicData>
            </a:graphic>
          </wp:inline>
        </w:drawing>
      </w:r>
    </w:p>
    <w:p w14:paraId="7A01101E" w14:textId="077DCC86" w:rsidR="00F26D03" w:rsidRDefault="00DD2C2B">
      <w:pPr>
        <w:rPr>
          <w:b/>
          <w:sz w:val="36"/>
          <w:szCs w:val="36"/>
          <w:lang w:val="en" w:eastAsia="en-US"/>
        </w:rPr>
      </w:pPr>
      <w:r w:rsidRPr="00DD2C2B">
        <w:rPr>
          <w:b/>
          <w:noProof/>
          <w:sz w:val="36"/>
          <w:szCs w:val="36"/>
          <w:lang w:eastAsia="en-US"/>
        </w:rPr>
        <w:lastRenderedPageBreak/>
        <w:drawing>
          <wp:inline distT="0" distB="0" distL="0" distR="0" wp14:anchorId="64E5C1F2" wp14:editId="13966D8D">
            <wp:extent cx="5509190" cy="7541910"/>
            <wp:effectExtent l="0" t="0" r="0" b="1905"/>
            <wp:docPr id="297" name="Picture 297" descr="K:\2016\UofA\enHealth\Documentation\PICS\2016_06_30\ADsDi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K:\2016\UofA\enHealth\Documentation\PICS\2016_06_30\ADsDis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512336" cy="7546217"/>
                    </a:xfrm>
                    <a:prstGeom prst="rect">
                      <a:avLst/>
                    </a:prstGeom>
                    <a:noFill/>
                    <a:ln>
                      <a:noFill/>
                    </a:ln>
                  </pic:spPr>
                </pic:pic>
              </a:graphicData>
            </a:graphic>
          </wp:inline>
        </w:drawing>
      </w:r>
    </w:p>
    <w:p w14:paraId="0E8A51BB" w14:textId="5E6BDFE0" w:rsidR="00DD2C2B" w:rsidRDefault="00DD2C2B">
      <w:pPr>
        <w:rPr>
          <w:b/>
          <w:sz w:val="36"/>
          <w:szCs w:val="36"/>
          <w:lang w:val="en" w:eastAsia="en-US"/>
        </w:rPr>
      </w:pPr>
      <w:r>
        <w:rPr>
          <w:b/>
          <w:sz w:val="36"/>
          <w:szCs w:val="36"/>
          <w:lang w:val="en" w:eastAsia="en-US"/>
        </w:rPr>
        <w:lastRenderedPageBreak/>
        <w:br w:type="page"/>
      </w:r>
    </w:p>
    <w:p w14:paraId="6B788AE9" w14:textId="0F10F670" w:rsidR="00DD2C2B" w:rsidRDefault="00DD2C2B">
      <w:pPr>
        <w:rPr>
          <w:b/>
          <w:sz w:val="36"/>
          <w:szCs w:val="36"/>
          <w:lang w:val="en" w:eastAsia="en-US"/>
        </w:rPr>
      </w:pPr>
      <w:r w:rsidRPr="00DD2C2B">
        <w:rPr>
          <w:b/>
          <w:noProof/>
          <w:sz w:val="36"/>
          <w:szCs w:val="36"/>
          <w:lang w:eastAsia="en-US"/>
        </w:rPr>
        <w:lastRenderedPageBreak/>
        <w:drawing>
          <wp:inline distT="0" distB="0" distL="0" distR="0" wp14:anchorId="295C9318" wp14:editId="4802804A">
            <wp:extent cx="2266950" cy="7776179"/>
            <wp:effectExtent l="0" t="0" r="0" b="0"/>
            <wp:docPr id="298" name="Picture 298" descr="K:\2016\UofA\enHealth\Documentation\PICS\2016_06_30\ADsDi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2016\UofA\enHealth\Documentation\PICS\2016_06_30\ADsDis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67764" cy="7778970"/>
                    </a:xfrm>
                    <a:prstGeom prst="rect">
                      <a:avLst/>
                    </a:prstGeom>
                    <a:noFill/>
                    <a:ln>
                      <a:noFill/>
                    </a:ln>
                  </pic:spPr>
                </pic:pic>
              </a:graphicData>
            </a:graphic>
          </wp:inline>
        </w:drawing>
      </w:r>
    </w:p>
    <w:p w14:paraId="4FC1DA6F" w14:textId="77777777" w:rsidR="00D72716" w:rsidRPr="00477197" w:rsidRDefault="00D72716" w:rsidP="00D72716">
      <w:pPr>
        <w:jc w:val="center"/>
        <w:rPr>
          <w:b/>
          <w:sz w:val="36"/>
          <w:szCs w:val="36"/>
          <w:lang w:val="en" w:eastAsia="en-US"/>
        </w:rPr>
      </w:pPr>
    </w:p>
    <w:p w14:paraId="585A2375" w14:textId="77777777" w:rsidR="00D72716" w:rsidRDefault="00D72716" w:rsidP="00477197">
      <w:pPr>
        <w:jc w:val="center"/>
        <w:rPr>
          <w:b/>
          <w:sz w:val="36"/>
          <w:szCs w:val="36"/>
          <w:lang w:val="en" w:eastAsia="en-US"/>
        </w:rPr>
      </w:pPr>
    </w:p>
    <w:p w14:paraId="22E6D160" w14:textId="04C02BCC" w:rsidR="00477197" w:rsidRDefault="00477197" w:rsidP="00477197">
      <w:pPr>
        <w:jc w:val="center"/>
        <w:rPr>
          <w:b/>
          <w:sz w:val="36"/>
          <w:szCs w:val="36"/>
          <w:lang w:val="en" w:eastAsia="en-US"/>
        </w:rPr>
      </w:pPr>
    </w:p>
    <w:p w14:paraId="5B5CED20" w14:textId="77777777" w:rsidR="00477197" w:rsidRPr="00477197" w:rsidRDefault="00477197" w:rsidP="00477197">
      <w:pPr>
        <w:jc w:val="center"/>
        <w:rPr>
          <w:b/>
          <w:sz w:val="36"/>
          <w:szCs w:val="36"/>
          <w:lang w:val="en" w:eastAsia="en-US"/>
        </w:rPr>
      </w:pPr>
    </w:p>
    <w:p w14:paraId="1DCDD731" w14:textId="77777777" w:rsidR="0067475E" w:rsidRPr="00E46A74" w:rsidRDefault="0067475E" w:rsidP="0067475E">
      <w:pPr>
        <w:pStyle w:val="ListParagraph"/>
        <w:ind w:left="360"/>
        <w:rPr>
          <w:lang w:val="en" w:eastAsia="en-US"/>
        </w:rPr>
      </w:pPr>
    </w:p>
    <w:p w14:paraId="0CB8C3FA" w14:textId="320165E4" w:rsidR="00A0603C" w:rsidRDefault="00A0603C" w:rsidP="0067475E"/>
    <w:p w14:paraId="2743099D" w14:textId="5B057606" w:rsidR="00E14595" w:rsidRDefault="00E14595" w:rsidP="00380D14">
      <w:pPr>
        <w:spacing w:after="0"/>
      </w:pPr>
    </w:p>
    <w:p w14:paraId="51D4A3ED" w14:textId="77777777" w:rsidR="00A0603C" w:rsidRDefault="00A0603C" w:rsidP="00380D14">
      <w:pPr>
        <w:spacing w:after="0"/>
      </w:pPr>
    </w:p>
    <w:p w14:paraId="65A19768" w14:textId="77777777" w:rsidR="00A0603C" w:rsidRDefault="00A0603C" w:rsidP="00380D14">
      <w:pPr>
        <w:spacing w:after="0"/>
      </w:pPr>
    </w:p>
    <w:p w14:paraId="7BDB0FBD" w14:textId="77777777" w:rsidR="00F26D03" w:rsidRDefault="00F26D03" w:rsidP="00F26D03">
      <w:pPr>
        <w:jc w:val="center"/>
        <w:rPr>
          <w:b/>
          <w:sz w:val="36"/>
          <w:szCs w:val="36"/>
          <w:lang w:val="en" w:eastAsia="en-US"/>
        </w:rPr>
      </w:pPr>
    </w:p>
    <w:p w14:paraId="4527389F" w14:textId="77777777" w:rsidR="00F26D03" w:rsidRDefault="00F26D03" w:rsidP="00F26D03">
      <w:pPr>
        <w:jc w:val="center"/>
        <w:rPr>
          <w:b/>
          <w:sz w:val="36"/>
          <w:szCs w:val="36"/>
          <w:lang w:val="en" w:eastAsia="en-US"/>
        </w:rPr>
      </w:pPr>
    </w:p>
    <w:p w14:paraId="677F6BC0" w14:textId="77777777" w:rsidR="00F26D03" w:rsidRDefault="00F26D03" w:rsidP="00F26D03">
      <w:pPr>
        <w:jc w:val="center"/>
        <w:rPr>
          <w:b/>
          <w:sz w:val="36"/>
          <w:szCs w:val="36"/>
          <w:lang w:val="en" w:eastAsia="en-US"/>
        </w:rPr>
      </w:pPr>
    </w:p>
    <w:p w14:paraId="6C936CDC" w14:textId="60C304C2" w:rsidR="00F26D03" w:rsidRDefault="00F26D03" w:rsidP="00F26D03">
      <w:pPr>
        <w:jc w:val="center"/>
        <w:rPr>
          <w:b/>
          <w:sz w:val="36"/>
          <w:szCs w:val="36"/>
          <w:lang w:val="en" w:eastAsia="en-US"/>
        </w:rPr>
      </w:pPr>
      <w:r w:rsidRPr="00477197">
        <w:rPr>
          <w:b/>
          <w:sz w:val="36"/>
          <w:szCs w:val="36"/>
          <w:lang w:val="en" w:eastAsia="en-US"/>
        </w:rPr>
        <w:t xml:space="preserve">Appendix </w:t>
      </w:r>
      <w:r>
        <w:rPr>
          <w:b/>
          <w:sz w:val="36"/>
          <w:szCs w:val="36"/>
          <w:lang w:val="en" w:eastAsia="en-US"/>
        </w:rPr>
        <w:t>4</w:t>
      </w:r>
    </w:p>
    <w:p w14:paraId="6EC42F2D" w14:textId="4EC3D7D6" w:rsidR="00373401" w:rsidRDefault="00F26D03" w:rsidP="00F26D03">
      <w:pPr>
        <w:jc w:val="center"/>
        <w:rPr>
          <w:b/>
          <w:sz w:val="36"/>
          <w:szCs w:val="36"/>
          <w:lang w:val="en" w:eastAsia="en-US"/>
        </w:rPr>
      </w:pPr>
      <w:r>
        <w:rPr>
          <w:b/>
          <w:sz w:val="36"/>
          <w:szCs w:val="36"/>
          <w:lang w:val="en" w:eastAsia="en-US"/>
        </w:rPr>
        <w:t>Summary of mitigation methods (</w:t>
      </w:r>
      <w:r w:rsidR="00DF379C">
        <w:rPr>
          <w:b/>
          <w:sz w:val="36"/>
          <w:szCs w:val="36"/>
          <w:lang w:val="en" w:eastAsia="en-US"/>
        </w:rPr>
        <w:t xml:space="preserve">Extracted </w:t>
      </w:r>
      <w:r>
        <w:rPr>
          <w:b/>
          <w:sz w:val="36"/>
          <w:szCs w:val="36"/>
          <w:lang w:val="en" w:eastAsia="en-US"/>
        </w:rPr>
        <w:t>from ITRC, 2014)</w:t>
      </w:r>
    </w:p>
    <w:p w14:paraId="1CC6F454" w14:textId="77777777" w:rsidR="00373401" w:rsidRDefault="00373401">
      <w:pPr>
        <w:rPr>
          <w:b/>
          <w:sz w:val="36"/>
          <w:szCs w:val="36"/>
          <w:lang w:val="en" w:eastAsia="en-US"/>
        </w:rPr>
      </w:pPr>
      <w:r>
        <w:rPr>
          <w:b/>
          <w:sz w:val="36"/>
          <w:szCs w:val="36"/>
          <w:lang w:val="en" w:eastAsia="en-US"/>
        </w:rPr>
        <w:br w:type="page"/>
      </w:r>
    </w:p>
    <w:p w14:paraId="7144FF76" w14:textId="7525EAFA" w:rsidR="00373401" w:rsidRDefault="00373401" w:rsidP="00373401">
      <w:pPr>
        <w:pStyle w:val="Caption"/>
        <w:keepNext/>
      </w:pPr>
      <w:r>
        <w:lastRenderedPageBreak/>
        <w:t xml:space="preserve">Table </w:t>
      </w:r>
      <w:fldSimple w:instr=" SEQ Table \* ARABIC ">
        <w:r w:rsidR="006A5935">
          <w:rPr>
            <w:noProof/>
          </w:rPr>
          <w:t>14</w:t>
        </w:r>
      </w:fldSimple>
      <w:r>
        <w:t>: Summary of Mitigation measures (ITRC, 2014, pp303-305)</w:t>
      </w:r>
    </w:p>
    <w:p w14:paraId="033A6898" w14:textId="65CD6A2F" w:rsidR="00A0603C" w:rsidRDefault="00373401" w:rsidP="00380D14">
      <w:pPr>
        <w:spacing w:after="0"/>
      </w:pPr>
      <w:r w:rsidRPr="00373401">
        <w:rPr>
          <w:noProof/>
          <w:lang w:eastAsia="en-US"/>
        </w:rPr>
        <w:drawing>
          <wp:inline distT="0" distB="0" distL="0" distR="0" wp14:anchorId="48899D6F" wp14:editId="28AFA2B4">
            <wp:extent cx="5705475" cy="944880"/>
            <wp:effectExtent l="0" t="0" r="9525" b="7620"/>
            <wp:docPr id="290" name="Picture 290" descr="K:\2016\UofA\enHealth\Documentation\PICS\2016_06_30\Buildingmitig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2016\UofA\enHealth\Documentation\PICS\2016_06_30\Buildingmitigation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05475" cy="944880"/>
                    </a:xfrm>
                    <a:prstGeom prst="rect">
                      <a:avLst/>
                    </a:prstGeom>
                    <a:noFill/>
                    <a:ln>
                      <a:noFill/>
                    </a:ln>
                  </pic:spPr>
                </pic:pic>
              </a:graphicData>
            </a:graphic>
          </wp:inline>
        </w:drawing>
      </w:r>
    </w:p>
    <w:p w14:paraId="146F7C32" w14:textId="13ACC6DE" w:rsidR="00373401" w:rsidRDefault="00373401" w:rsidP="00380D14">
      <w:pPr>
        <w:spacing w:after="0"/>
      </w:pPr>
      <w:r w:rsidRPr="00373401">
        <w:rPr>
          <w:noProof/>
          <w:lang w:eastAsia="en-US"/>
        </w:rPr>
        <w:lastRenderedPageBreak/>
        <w:drawing>
          <wp:inline distT="0" distB="0" distL="0" distR="0" wp14:anchorId="5605BC37" wp14:editId="03630D2C">
            <wp:extent cx="5357931" cy="7625080"/>
            <wp:effectExtent l="0" t="0" r="0" b="0"/>
            <wp:docPr id="292" name="Picture 292" descr="K:\2016\UofA\enHealth\Documentation\PICS\2016_06_30\Buildingmitiga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2016\UofA\enHealth\Documentation\PICS\2016_06_30\Buildingmitigation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359356" cy="7627108"/>
                    </a:xfrm>
                    <a:prstGeom prst="rect">
                      <a:avLst/>
                    </a:prstGeom>
                    <a:noFill/>
                    <a:ln>
                      <a:noFill/>
                    </a:ln>
                  </pic:spPr>
                </pic:pic>
              </a:graphicData>
            </a:graphic>
          </wp:inline>
        </w:drawing>
      </w:r>
    </w:p>
    <w:p w14:paraId="6655ED04" w14:textId="77777777" w:rsidR="00373401" w:rsidRDefault="00373401">
      <w:r>
        <w:br w:type="page"/>
      </w:r>
    </w:p>
    <w:p w14:paraId="60E03060" w14:textId="1F65156B" w:rsidR="00373401" w:rsidRPr="00E14595" w:rsidRDefault="00373401" w:rsidP="00380D14">
      <w:pPr>
        <w:spacing w:after="0"/>
      </w:pPr>
      <w:r w:rsidRPr="00373401">
        <w:rPr>
          <w:noProof/>
          <w:lang w:eastAsia="en-US"/>
        </w:rPr>
        <w:lastRenderedPageBreak/>
        <w:drawing>
          <wp:inline distT="0" distB="0" distL="0" distR="0" wp14:anchorId="4180C59B" wp14:editId="0E61D24D">
            <wp:extent cx="5342817" cy="6687820"/>
            <wp:effectExtent l="0" t="0" r="0" b="0"/>
            <wp:docPr id="293" name="Picture 293" descr="K:\2016\UofA\enHealth\Documentation\PICS\2016_06_30\Buildingmitigati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2016\UofA\enHealth\Documentation\PICS\2016_06_30\Buildingmitigation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43811" cy="6689064"/>
                    </a:xfrm>
                    <a:prstGeom prst="rect">
                      <a:avLst/>
                    </a:prstGeom>
                    <a:noFill/>
                    <a:ln>
                      <a:noFill/>
                    </a:ln>
                  </pic:spPr>
                </pic:pic>
              </a:graphicData>
            </a:graphic>
          </wp:inline>
        </w:drawing>
      </w:r>
    </w:p>
    <w:sectPr w:rsidR="00373401" w:rsidRPr="00E14595" w:rsidSect="00067D7C">
      <w:pgSz w:w="12240" w:h="15840"/>
      <w:pgMar w:top="1800" w:right="1440" w:bottom="1440" w:left="1440" w:header="850" w:footer="85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F441C4" w14:textId="77777777" w:rsidR="008B4357" w:rsidRDefault="008B4357" w:rsidP="00E14595">
      <w:pPr>
        <w:spacing w:after="0" w:line="240" w:lineRule="auto"/>
      </w:pPr>
      <w:r>
        <w:separator/>
      </w:r>
    </w:p>
  </w:endnote>
  <w:endnote w:type="continuationSeparator" w:id="0">
    <w:p w14:paraId="10DCC386" w14:textId="77777777" w:rsidR="008B4357" w:rsidRDefault="008B4357" w:rsidP="00E145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Open Sans">
    <w:charset w:val="00"/>
    <w:family w:val="swiss"/>
    <w:pitch w:val="variable"/>
    <w:sig w:usb0="E00002EF" w:usb1="4000205B" w:usb2="00000028" w:usb3="00000000" w:csb0="0000019F" w:csb1="00000000"/>
  </w:font>
  <w:font w:name="Arial MT">
    <w:altName w:val="Arial MT"/>
    <w:panose1 w:val="00000000000000000000"/>
    <w:charset w:val="00"/>
    <w:family w:val="swiss"/>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radeGothic-LightOblique">
    <w:altName w:val="Calibri"/>
    <w:panose1 w:val="00000000000000000000"/>
    <w:charset w:val="00"/>
    <w:family w:val="swiss"/>
    <w:notTrueType/>
    <w:pitch w:val="default"/>
    <w:sig w:usb0="00000003" w:usb1="00000000" w:usb2="00000000" w:usb3="00000000" w:csb0="00000001" w:csb1="00000000"/>
  </w:font>
  <w:font w:name="OYNQG Y+ PF Square Sans Pro">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5411608"/>
      <w:docPartObj>
        <w:docPartGallery w:val="Page Numbers (Bottom of Page)"/>
        <w:docPartUnique/>
      </w:docPartObj>
    </w:sdtPr>
    <w:sdtContent>
      <w:sdt>
        <w:sdtPr>
          <w:id w:val="1740910089"/>
          <w:docPartObj>
            <w:docPartGallery w:val="Page Numbers (Top of Page)"/>
            <w:docPartUnique/>
          </w:docPartObj>
        </w:sdtPr>
        <w:sdtContent>
          <w:p w14:paraId="1AB8148A" w14:textId="6B672094" w:rsidR="008D4243" w:rsidRDefault="008D4243">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4827BB">
              <w:rPr>
                <w:b/>
                <w:bCs/>
                <w:noProof/>
              </w:rPr>
              <w:t>8</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4827BB">
              <w:rPr>
                <w:b/>
                <w:bCs/>
                <w:noProof/>
              </w:rPr>
              <w:t>128</w:t>
            </w:r>
            <w:r>
              <w:rPr>
                <w:b/>
                <w:bCs/>
                <w:sz w:val="24"/>
                <w:szCs w:val="24"/>
              </w:rPr>
              <w:fldChar w:fldCharType="end"/>
            </w:r>
          </w:p>
        </w:sdtContent>
      </w:sdt>
    </w:sdtContent>
  </w:sdt>
  <w:p w14:paraId="22F8BC2A" w14:textId="7852D33C" w:rsidR="008D4243" w:rsidRDefault="008D424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65B3A1" w14:textId="77777777" w:rsidR="008B4357" w:rsidRDefault="008B4357" w:rsidP="00E14595">
      <w:pPr>
        <w:spacing w:after="0" w:line="240" w:lineRule="auto"/>
      </w:pPr>
      <w:r>
        <w:separator/>
      </w:r>
    </w:p>
  </w:footnote>
  <w:footnote w:type="continuationSeparator" w:id="0">
    <w:p w14:paraId="3912AE50" w14:textId="77777777" w:rsidR="008B4357" w:rsidRDefault="008B4357" w:rsidP="00E1459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8E57C" w14:textId="603F528B" w:rsidR="008D4243" w:rsidRDefault="008D4243">
    <w:pPr>
      <w:pStyle w:val="Header"/>
    </w:pPr>
    <w:r w:rsidRPr="00FA73D9">
      <w:rPr>
        <w:rFonts w:ascii="Calibri" w:hAnsi="Calibri"/>
        <w:b/>
        <w:noProof/>
        <w:lang w:eastAsia="en-US"/>
      </w:rPr>
      <w:drawing>
        <wp:anchor distT="0" distB="0" distL="114300" distR="114300" simplePos="0" relativeHeight="251659264" behindDoc="0" locked="0" layoutInCell="1" allowOverlap="1" wp14:anchorId="76B8A4AD" wp14:editId="02BD1DA4">
          <wp:simplePos x="0" y="0"/>
          <wp:positionH relativeFrom="column">
            <wp:posOffset>5414411</wp:posOffset>
          </wp:positionH>
          <wp:positionV relativeFrom="paragraph">
            <wp:posOffset>-288324</wp:posOffset>
          </wp:positionV>
          <wp:extent cx="1040130" cy="982345"/>
          <wp:effectExtent l="0" t="0" r="7620" b="8255"/>
          <wp:wrapSquare wrapText="bothSides"/>
          <wp:docPr id="11" name="Picture 11" descr="ARILogo_colour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ILogo_colour_lar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40130" cy="982345"/>
                  </a:xfrm>
                  <a:prstGeom prst="rect">
                    <a:avLst/>
                  </a:prstGeom>
                  <a:noFill/>
                  <a:ln>
                    <a:noFill/>
                  </a:ln>
                </pic:spPr>
              </pic:pic>
            </a:graphicData>
          </a:graphic>
        </wp:anchor>
      </w:drawing>
    </w:r>
    <w:r w:rsidRPr="00FA73D9">
      <w:rPr>
        <w:rFonts w:ascii="Calibri" w:hAnsi="Calibri"/>
        <w:b/>
        <w:noProof/>
        <w:sz w:val="36"/>
        <w:szCs w:val="36"/>
        <w:lang w:eastAsia="en-US"/>
      </w:rPr>
      <w:drawing>
        <wp:anchor distT="0" distB="0" distL="114300" distR="114300" simplePos="0" relativeHeight="251657216" behindDoc="0" locked="0" layoutInCell="0" allowOverlap="0" wp14:anchorId="23708144" wp14:editId="2E1BE2F9">
          <wp:simplePos x="0" y="0"/>
          <wp:positionH relativeFrom="page">
            <wp:posOffset>529390</wp:posOffset>
          </wp:positionH>
          <wp:positionV relativeFrom="page">
            <wp:posOffset>384843</wp:posOffset>
          </wp:positionV>
          <wp:extent cx="1990090" cy="612140"/>
          <wp:effectExtent l="0" t="0" r="0" b="0"/>
          <wp:wrapSquare wrapText="left"/>
          <wp:docPr id="19" name="Picture 19" descr="UoA_logo_cmy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oA_logo_cmyk.gif"/>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90090" cy="61214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F08B2"/>
    <w:multiLevelType w:val="hybridMultilevel"/>
    <w:tmpl w:val="69184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D05AAE"/>
    <w:multiLevelType w:val="hybridMultilevel"/>
    <w:tmpl w:val="32FE9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EB6680"/>
    <w:multiLevelType w:val="hybridMultilevel"/>
    <w:tmpl w:val="FF529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0C2DBB"/>
    <w:multiLevelType w:val="hybridMultilevel"/>
    <w:tmpl w:val="5B3A53D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BE0097"/>
    <w:multiLevelType w:val="hybridMultilevel"/>
    <w:tmpl w:val="815081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06D5B4E"/>
    <w:multiLevelType w:val="hybridMultilevel"/>
    <w:tmpl w:val="9878DA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2BF4C09"/>
    <w:multiLevelType w:val="hybridMultilevel"/>
    <w:tmpl w:val="7FD463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82775B"/>
    <w:multiLevelType w:val="multilevel"/>
    <w:tmpl w:val="A5622F0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2520" w:hanging="720"/>
      </w:pPr>
    </w:lvl>
    <w:lvl w:ilvl="3">
      <w:start w:val="1"/>
      <w:numFmt w:val="decimal"/>
      <w:pStyle w:val="Heading4"/>
      <w:lvlText w:val="%1.%2.%3.%4"/>
      <w:lvlJc w:val="left"/>
      <w:pPr>
        <w:ind w:left="428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15B619AF"/>
    <w:multiLevelType w:val="hybridMultilevel"/>
    <w:tmpl w:val="1F6CCC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294704"/>
    <w:multiLevelType w:val="hybridMultilevel"/>
    <w:tmpl w:val="50BCC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D9526CF"/>
    <w:multiLevelType w:val="hybridMultilevel"/>
    <w:tmpl w:val="14380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600BB6"/>
    <w:multiLevelType w:val="hybridMultilevel"/>
    <w:tmpl w:val="CDEA0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4828E8"/>
    <w:multiLevelType w:val="hybridMultilevel"/>
    <w:tmpl w:val="E8EE7062"/>
    <w:lvl w:ilvl="0" w:tplc="831C721A">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B3F3A86"/>
    <w:multiLevelType w:val="hybridMultilevel"/>
    <w:tmpl w:val="D9B6D3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C015BB7"/>
    <w:multiLevelType w:val="hybridMultilevel"/>
    <w:tmpl w:val="6D5E280A"/>
    <w:lvl w:ilvl="0" w:tplc="0C090001">
      <w:start w:val="1"/>
      <w:numFmt w:val="bullet"/>
      <w:lvlText w:val=""/>
      <w:lvlJc w:val="left"/>
      <w:pPr>
        <w:ind w:left="-1407" w:hanging="360"/>
      </w:pPr>
      <w:rPr>
        <w:rFonts w:ascii="Symbol" w:hAnsi="Symbol" w:hint="default"/>
      </w:rPr>
    </w:lvl>
    <w:lvl w:ilvl="1" w:tplc="0C090003" w:tentative="1">
      <w:start w:val="1"/>
      <w:numFmt w:val="bullet"/>
      <w:lvlText w:val="o"/>
      <w:lvlJc w:val="left"/>
      <w:pPr>
        <w:ind w:left="-687" w:hanging="360"/>
      </w:pPr>
      <w:rPr>
        <w:rFonts w:ascii="Courier New" w:hAnsi="Courier New" w:cs="Courier New" w:hint="default"/>
      </w:rPr>
    </w:lvl>
    <w:lvl w:ilvl="2" w:tplc="0C090005" w:tentative="1">
      <w:start w:val="1"/>
      <w:numFmt w:val="bullet"/>
      <w:lvlText w:val=""/>
      <w:lvlJc w:val="left"/>
      <w:pPr>
        <w:ind w:left="33" w:hanging="360"/>
      </w:pPr>
      <w:rPr>
        <w:rFonts w:ascii="Wingdings" w:hAnsi="Wingdings" w:hint="default"/>
      </w:rPr>
    </w:lvl>
    <w:lvl w:ilvl="3" w:tplc="0C090001" w:tentative="1">
      <w:start w:val="1"/>
      <w:numFmt w:val="bullet"/>
      <w:lvlText w:val=""/>
      <w:lvlJc w:val="left"/>
      <w:pPr>
        <w:ind w:left="753" w:hanging="360"/>
      </w:pPr>
      <w:rPr>
        <w:rFonts w:ascii="Symbol" w:hAnsi="Symbol" w:hint="default"/>
      </w:rPr>
    </w:lvl>
    <w:lvl w:ilvl="4" w:tplc="0C090003" w:tentative="1">
      <w:start w:val="1"/>
      <w:numFmt w:val="bullet"/>
      <w:lvlText w:val="o"/>
      <w:lvlJc w:val="left"/>
      <w:pPr>
        <w:ind w:left="1473" w:hanging="360"/>
      </w:pPr>
      <w:rPr>
        <w:rFonts w:ascii="Courier New" w:hAnsi="Courier New" w:cs="Courier New" w:hint="default"/>
      </w:rPr>
    </w:lvl>
    <w:lvl w:ilvl="5" w:tplc="0C090005" w:tentative="1">
      <w:start w:val="1"/>
      <w:numFmt w:val="bullet"/>
      <w:lvlText w:val=""/>
      <w:lvlJc w:val="left"/>
      <w:pPr>
        <w:ind w:left="2193" w:hanging="360"/>
      </w:pPr>
      <w:rPr>
        <w:rFonts w:ascii="Wingdings" w:hAnsi="Wingdings" w:hint="default"/>
      </w:rPr>
    </w:lvl>
    <w:lvl w:ilvl="6" w:tplc="0C090001" w:tentative="1">
      <w:start w:val="1"/>
      <w:numFmt w:val="bullet"/>
      <w:lvlText w:val=""/>
      <w:lvlJc w:val="left"/>
      <w:pPr>
        <w:ind w:left="2913" w:hanging="360"/>
      </w:pPr>
      <w:rPr>
        <w:rFonts w:ascii="Symbol" w:hAnsi="Symbol" w:hint="default"/>
      </w:rPr>
    </w:lvl>
    <w:lvl w:ilvl="7" w:tplc="0C090003" w:tentative="1">
      <w:start w:val="1"/>
      <w:numFmt w:val="bullet"/>
      <w:lvlText w:val="o"/>
      <w:lvlJc w:val="left"/>
      <w:pPr>
        <w:ind w:left="3633" w:hanging="360"/>
      </w:pPr>
      <w:rPr>
        <w:rFonts w:ascii="Courier New" w:hAnsi="Courier New" w:cs="Courier New" w:hint="default"/>
      </w:rPr>
    </w:lvl>
    <w:lvl w:ilvl="8" w:tplc="0C090005" w:tentative="1">
      <w:start w:val="1"/>
      <w:numFmt w:val="bullet"/>
      <w:lvlText w:val=""/>
      <w:lvlJc w:val="left"/>
      <w:pPr>
        <w:ind w:left="4353" w:hanging="360"/>
      </w:pPr>
      <w:rPr>
        <w:rFonts w:ascii="Wingdings" w:hAnsi="Wingdings" w:hint="default"/>
      </w:rPr>
    </w:lvl>
  </w:abstractNum>
  <w:abstractNum w:abstractNumId="15" w15:restartNumberingAfterBreak="0">
    <w:nsid w:val="355E1B85"/>
    <w:multiLevelType w:val="hybridMultilevel"/>
    <w:tmpl w:val="EFB23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D151BC4"/>
    <w:multiLevelType w:val="hybridMultilevel"/>
    <w:tmpl w:val="C25C0058"/>
    <w:lvl w:ilvl="0" w:tplc="BF1412FC">
      <w:start w:val="1"/>
      <w:numFmt w:val="bullet"/>
      <w:pStyle w:val="BodyBullets"/>
      <w:lvlText w:val=""/>
      <w:lvlJc w:val="left"/>
      <w:pPr>
        <w:tabs>
          <w:tab w:val="num" w:pos="-284"/>
        </w:tabs>
        <w:ind w:left="0" w:firstLine="0"/>
      </w:pPr>
      <w:rPr>
        <w:rFonts w:ascii="Symbol" w:hAnsi="Symbol" w:hint="default"/>
        <w:color w:val="000000"/>
        <w:sz w:val="20"/>
        <w:szCs w:val="20"/>
      </w:rPr>
    </w:lvl>
    <w:lvl w:ilvl="1" w:tplc="FC1C6488">
      <w:start w:val="1"/>
      <w:numFmt w:val="bullet"/>
      <w:lvlText w:val="o"/>
      <w:lvlJc w:val="left"/>
      <w:pPr>
        <w:tabs>
          <w:tab w:val="num" w:pos="1980"/>
        </w:tabs>
        <w:ind w:left="198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F3F10F3"/>
    <w:multiLevelType w:val="hybridMultilevel"/>
    <w:tmpl w:val="EEFE2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FE91880"/>
    <w:multiLevelType w:val="hybridMultilevel"/>
    <w:tmpl w:val="5E38ED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12E4FCF"/>
    <w:multiLevelType w:val="hybridMultilevel"/>
    <w:tmpl w:val="F870AD5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0" w15:restartNumberingAfterBreak="0">
    <w:nsid w:val="4224311D"/>
    <w:multiLevelType w:val="hybridMultilevel"/>
    <w:tmpl w:val="D8303950"/>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21" w15:restartNumberingAfterBreak="0">
    <w:nsid w:val="43501FAE"/>
    <w:multiLevelType w:val="hybridMultilevel"/>
    <w:tmpl w:val="2FD43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4246D0D"/>
    <w:multiLevelType w:val="hybridMultilevel"/>
    <w:tmpl w:val="2572EE0A"/>
    <w:lvl w:ilvl="0" w:tplc="64FEBB98">
      <w:start w:val="1"/>
      <w:numFmt w:val="lowerLetter"/>
      <w:lvlText w:val="(%1)"/>
      <w:lvlJc w:val="left"/>
      <w:pPr>
        <w:ind w:left="720" w:hanging="360"/>
      </w:pPr>
      <w:rPr>
        <w:rFonts w:eastAsiaTheme="minorEastAsia" w:cstheme="minorBidi"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E097364"/>
    <w:multiLevelType w:val="hybridMultilevel"/>
    <w:tmpl w:val="42702D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EA60908"/>
    <w:multiLevelType w:val="hybridMultilevel"/>
    <w:tmpl w:val="53EAB5F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F1E0688"/>
    <w:multiLevelType w:val="hybridMultilevel"/>
    <w:tmpl w:val="9656C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A0F3C76"/>
    <w:multiLevelType w:val="hybridMultilevel"/>
    <w:tmpl w:val="76D09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2564B40"/>
    <w:multiLevelType w:val="hybridMultilevel"/>
    <w:tmpl w:val="191A6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32C5A3C"/>
    <w:multiLevelType w:val="hybridMultilevel"/>
    <w:tmpl w:val="0B52A7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3B270AE"/>
    <w:multiLevelType w:val="hybridMultilevel"/>
    <w:tmpl w:val="3F6438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3C42BFB"/>
    <w:multiLevelType w:val="hybridMultilevel"/>
    <w:tmpl w:val="00143850"/>
    <w:lvl w:ilvl="0" w:tplc="0C090001">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31" w15:restartNumberingAfterBreak="0">
    <w:nsid w:val="640C7D48"/>
    <w:multiLevelType w:val="hybridMultilevel"/>
    <w:tmpl w:val="F8F0BAB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4BD658F"/>
    <w:multiLevelType w:val="hybridMultilevel"/>
    <w:tmpl w:val="938CF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8043096"/>
    <w:multiLevelType w:val="hybridMultilevel"/>
    <w:tmpl w:val="6D444958"/>
    <w:lvl w:ilvl="0" w:tplc="0C090001">
      <w:start w:val="1"/>
      <w:numFmt w:val="bullet"/>
      <w:lvlText w:val=""/>
      <w:lvlJc w:val="left"/>
      <w:pPr>
        <w:ind w:left="-1407" w:hanging="360"/>
      </w:pPr>
      <w:rPr>
        <w:rFonts w:ascii="Symbol" w:hAnsi="Symbol" w:hint="default"/>
      </w:rPr>
    </w:lvl>
    <w:lvl w:ilvl="1" w:tplc="0C090003" w:tentative="1">
      <w:start w:val="1"/>
      <w:numFmt w:val="bullet"/>
      <w:lvlText w:val="o"/>
      <w:lvlJc w:val="left"/>
      <w:pPr>
        <w:ind w:left="-687" w:hanging="360"/>
      </w:pPr>
      <w:rPr>
        <w:rFonts w:ascii="Courier New" w:hAnsi="Courier New" w:cs="Courier New" w:hint="default"/>
      </w:rPr>
    </w:lvl>
    <w:lvl w:ilvl="2" w:tplc="0C090005" w:tentative="1">
      <w:start w:val="1"/>
      <w:numFmt w:val="bullet"/>
      <w:lvlText w:val=""/>
      <w:lvlJc w:val="left"/>
      <w:pPr>
        <w:ind w:left="33" w:hanging="360"/>
      </w:pPr>
      <w:rPr>
        <w:rFonts w:ascii="Wingdings" w:hAnsi="Wingdings" w:hint="default"/>
      </w:rPr>
    </w:lvl>
    <w:lvl w:ilvl="3" w:tplc="0C090001" w:tentative="1">
      <w:start w:val="1"/>
      <w:numFmt w:val="bullet"/>
      <w:lvlText w:val=""/>
      <w:lvlJc w:val="left"/>
      <w:pPr>
        <w:ind w:left="753" w:hanging="360"/>
      </w:pPr>
      <w:rPr>
        <w:rFonts w:ascii="Symbol" w:hAnsi="Symbol" w:hint="default"/>
      </w:rPr>
    </w:lvl>
    <w:lvl w:ilvl="4" w:tplc="0C090003" w:tentative="1">
      <w:start w:val="1"/>
      <w:numFmt w:val="bullet"/>
      <w:lvlText w:val="o"/>
      <w:lvlJc w:val="left"/>
      <w:pPr>
        <w:ind w:left="1473" w:hanging="360"/>
      </w:pPr>
      <w:rPr>
        <w:rFonts w:ascii="Courier New" w:hAnsi="Courier New" w:cs="Courier New" w:hint="default"/>
      </w:rPr>
    </w:lvl>
    <w:lvl w:ilvl="5" w:tplc="0C090005" w:tentative="1">
      <w:start w:val="1"/>
      <w:numFmt w:val="bullet"/>
      <w:lvlText w:val=""/>
      <w:lvlJc w:val="left"/>
      <w:pPr>
        <w:ind w:left="2193" w:hanging="360"/>
      </w:pPr>
      <w:rPr>
        <w:rFonts w:ascii="Wingdings" w:hAnsi="Wingdings" w:hint="default"/>
      </w:rPr>
    </w:lvl>
    <w:lvl w:ilvl="6" w:tplc="0C090001" w:tentative="1">
      <w:start w:val="1"/>
      <w:numFmt w:val="bullet"/>
      <w:lvlText w:val=""/>
      <w:lvlJc w:val="left"/>
      <w:pPr>
        <w:ind w:left="2913" w:hanging="360"/>
      </w:pPr>
      <w:rPr>
        <w:rFonts w:ascii="Symbol" w:hAnsi="Symbol" w:hint="default"/>
      </w:rPr>
    </w:lvl>
    <w:lvl w:ilvl="7" w:tplc="0C090003" w:tentative="1">
      <w:start w:val="1"/>
      <w:numFmt w:val="bullet"/>
      <w:lvlText w:val="o"/>
      <w:lvlJc w:val="left"/>
      <w:pPr>
        <w:ind w:left="3633" w:hanging="360"/>
      </w:pPr>
      <w:rPr>
        <w:rFonts w:ascii="Courier New" w:hAnsi="Courier New" w:cs="Courier New" w:hint="default"/>
      </w:rPr>
    </w:lvl>
    <w:lvl w:ilvl="8" w:tplc="0C090005" w:tentative="1">
      <w:start w:val="1"/>
      <w:numFmt w:val="bullet"/>
      <w:lvlText w:val=""/>
      <w:lvlJc w:val="left"/>
      <w:pPr>
        <w:ind w:left="4353" w:hanging="360"/>
      </w:pPr>
      <w:rPr>
        <w:rFonts w:ascii="Wingdings" w:hAnsi="Wingdings" w:hint="default"/>
      </w:rPr>
    </w:lvl>
  </w:abstractNum>
  <w:abstractNum w:abstractNumId="34" w15:restartNumberingAfterBreak="0">
    <w:nsid w:val="6C140169"/>
    <w:multiLevelType w:val="hybridMultilevel"/>
    <w:tmpl w:val="C88297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D175A3E"/>
    <w:multiLevelType w:val="hybridMultilevel"/>
    <w:tmpl w:val="AF3C2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A330A7"/>
    <w:multiLevelType w:val="hybridMultilevel"/>
    <w:tmpl w:val="FD368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001378C"/>
    <w:multiLevelType w:val="hybridMultilevel"/>
    <w:tmpl w:val="51F6CDF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8" w15:restartNumberingAfterBreak="0">
    <w:nsid w:val="72366192"/>
    <w:multiLevelType w:val="hybridMultilevel"/>
    <w:tmpl w:val="840408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5DB277F"/>
    <w:multiLevelType w:val="hybridMultilevel"/>
    <w:tmpl w:val="BFD4B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652687F"/>
    <w:multiLevelType w:val="hybridMultilevel"/>
    <w:tmpl w:val="20605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7455835"/>
    <w:multiLevelType w:val="hybridMultilevel"/>
    <w:tmpl w:val="78282A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8005889"/>
    <w:multiLevelType w:val="hybridMultilevel"/>
    <w:tmpl w:val="A970AF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D2D7029"/>
    <w:multiLevelType w:val="hybridMultilevel"/>
    <w:tmpl w:val="C7F229E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DF86012"/>
    <w:multiLevelType w:val="hybridMultilevel"/>
    <w:tmpl w:val="4B8CA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27862936">
    <w:abstractNumId w:val="7"/>
  </w:num>
  <w:num w:numId="2" w16cid:durableId="312607016">
    <w:abstractNumId w:val="44"/>
  </w:num>
  <w:num w:numId="3" w16cid:durableId="552235369">
    <w:abstractNumId w:val="14"/>
  </w:num>
  <w:num w:numId="4" w16cid:durableId="375586887">
    <w:abstractNumId w:val="33"/>
  </w:num>
  <w:num w:numId="5" w16cid:durableId="1307317117">
    <w:abstractNumId w:val="20"/>
  </w:num>
  <w:num w:numId="6" w16cid:durableId="69545182">
    <w:abstractNumId w:val="41"/>
  </w:num>
  <w:num w:numId="7" w16cid:durableId="1997411554">
    <w:abstractNumId w:val="30"/>
  </w:num>
  <w:num w:numId="8" w16cid:durableId="722796820">
    <w:abstractNumId w:val="42"/>
  </w:num>
  <w:num w:numId="9" w16cid:durableId="481040881">
    <w:abstractNumId w:val="22"/>
  </w:num>
  <w:num w:numId="10" w16cid:durableId="928929677">
    <w:abstractNumId w:val="8"/>
  </w:num>
  <w:num w:numId="11" w16cid:durableId="1747993972">
    <w:abstractNumId w:val="34"/>
  </w:num>
  <w:num w:numId="12" w16cid:durableId="709720974">
    <w:abstractNumId w:val="11"/>
  </w:num>
  <w:num w:numId="13" w16cid:durableId="238906223">
    <w:abstractNumId w:val="16"/>
  </w:num>
  <w:num w:numId="14" w16cid:durableId="887230723">
    <w:abstractNumId w:val="12"/>
  </w:num>
  <w:num w:numId="15" w16cid:durableId="378167647">
    <w:abstractNumId w:val="10"/>
  </w:num>
  <w:num w:numId="16" w16cid:durableId="2126608014">
    <w:abstractNumId w:val="1"/>
  </w:num>
  <w:num w:numId="17" w16cid:durableId="1883327466">
    <w:abstractNumId w:val="36"/>
  </w:num>
  <w:num w:numId="18" w16cid:durableId="588544742">
    <w:abstractNumId w:val="43"/>
  </w:num>
  <w:num w:numId="19" w16cid:durableId="676540160">
    <w:abstractNumId w:val="9"/>
  </w:num>
  <w:num w:numId="20" w16cid:durableId="365302932">
    <w:abstractNumId w:val="32"/>
  </w:num>
  <w:num w:numId="21" w16cid:durableId="1062211992">
    <w:abstractNumId w:val="31"/>
  </w:num>
  <w:num w:numId="22" w16cid:durableId="135539199">
    <w:abstractNumId w:val="6"/>
  </w:num>
  <w:num w:numId="23" w16cid:durableId="1134445750">
    <w:abstractNumId w:val="24"/>
  </w:num>
  <w:num w:numId="24" w16cid:durableId="989480723">
    <w:abstractNumId w:val="35"/>
  </w:num>
  <w:num w:numId="25" w16cid:durableId="507867985">
    <w:abstractNumId w:val="19"/>
  </w:num>
  <w:num w:numId="26" w16cid:durableId="912472650">
    <w:abstractNumId w:val="37"/>
  </w:num>
  <w:num w:numId="27" w16cid:durableId="1507402370">
    <w:abstractNumId w:val="25"/>
  </w:num>
  <w:num w:numId="28" w16cid:durableId="1246526798">
    <w:abstractNumId w:val="0"/>
  </w:num>
  <w:num w:numId="29" w16cid:durableId="2048795344">
    <w:abstractNumId w:val="15"/>
  </w:num>
  <w:num w:numId="30" w16cid:durableId="1242563544">
    <w:abstractNumId w:val="39"/>
  </w:num>
  <w:num w:numId="31" w16cid:durableId="2030794058">
    <w:abstractNumId w:val="21"/>
  </w:num>
  <w:num w:numId="32" w16cid:durableId="255096558">
    <w:abstractNumId w:val="40"/>
  </w:num>
  <w:num w:numId="33" w16cid:durableId="648556243">
    <w:abstractNumId w:val="18"/>
  </w:num>
  <w:num w:numId="34" w16cid:durableId="170682720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476068586">
    <w:abstractNumId w:val="3"/>
  </w:num>
  <w:num w:numId="36" w16cid:durableId="2110538929">
    <w:abstractNumId w:val="26"/>
  </w:num>
  <w:num w:numId="37" w16cid:durableId="1971476774">
    <w:abstractNumId w:val="17"/>
  </w:num>
  <w:num w:numId="38" w16cid:durableId="687559230">
    <w:abstractNumId w:val="2"/>
  </w:num>
  <w:num w:numId="39" w16cid:durableId="814563079">
    <w:abstractNumId w:val="27"/>
  </w:num>
  <w:num w:numId="40" w16cid:durableId="127473729">
    <w:abstractNumId w:val="23"/>
  </w:num>
  <w:num w:numId="41" w16cid:durableId="597909936">
    <w:abstractNumId w:val="29"/>
  </w:num>
  <w:num w:numId="42" w16cid:durableId="2118520031">
    <w:abstractNumId w:val="4"/>
  </w:num>
  <w:num w:numId="43" w16cid:durableId="786314736">
    <w:abstractNumId w:val="13"/>
  </w:num>
  <w:num w:numId="44" w16cid:durableId="1257057477">
    <w:abstractNumId w:val="5"/>
  </w:num>
  <w:num w:numId="45" w16cid:durableId="535656221">
    <w:abstractNumId w:val="28"/>
  </w:num>
  <w:num w:numId="46" w16cid:durableId="153574646">
    <w:abstractNumId w:val="3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4595"/>
    <w:rsid w:val="00001D8D"/>
    <w:rsid w:val="0000381C"/>
    <w:rsid w:val="000039B2"/>
    <w:rsid w:val="00004353"/>
    <w:rsid w:val="000078E2"/>
    <w:rsid w:val="0001542F"/>
    <w:rsid w:val="000157FE"/>
    <w:rsid w:val="00016743"/>
    <w:rsid w:val="000208BE"/>
    <w:rsid w:val="00024398"/>
    <w:rsid w:val="000243FD"/>
    <w:rsid w:val="0003011C"/>
    <w:rsid w:val="00030342"/>
    <w:rsid w:val="00032769"/>
    <w:rsid w:val="000329FA"/>
    <w:rsid w:val="00033698"/>
    <w:rsid w:val="00034928"/>
    <w:rsid w:val="00034D76"/>
    <w:rsid w:val="00035057"/>
    <w:rsid w:val="00042A24"/>
    <w:rsid w:val="00043D9F"/>
    <w:rsid w:val="000466B3"/>
    <w:rsid w:val="000512A9"/>
    <w:rsid w:val="00051884"/>
    <w:rsid w:val="000531BC"/>
    <w:rsid w:val="000553FC"/>
    <w:rsid w:val="00055436"/>
    <w:rsid w:val="0006036A"/>
    <w:rsid w:val="00062D1F"/>
    <w:rsid w:val="000631D8"/>
    <w:rsid w:val="00064BE4"/>
    <w:rsid w:val="0006640F"/>
    <w:rsid w:val="000666FB"/>
    <w:rsid w:val="00066B70"/>
    <w:rsid w:val="00067999"/>
    <w:rsid w:val="00067D7C"/>
    <w:rsid w:val="000700A1"/>
    <w:rsid w:val="00071323"/>
    <w:rsid w:val="0007168B"/>
    <w:rsid w:val="000727A6"/>
    <w:rsid w:val="00073A7F"/>
    <w:rsid w:val="00084F8A"/>
    <w:rsid w:val="0008564A"/>
    <w:rsid w:val="00085D6D"/>
    <w:rsid w:val="000869FA"/>
    <w:rsid w:val="00090B8B"/>
    <w:rsid w:val="000937B8"/>
    <w:rsid w:val="000A009F"/>
    <w:rsid w:val="000A1C54"/>
    <w:rsid w:val="000A4C3C"/>
    <w:rsid w:val="000A5E95"/>
    <w:rsid w:val="000A7027"/>
    <w:rsid w:val="000B180F"/>
    <w:rsid w:val="000B2095"/>
    <w:rsid w:val="000B30BE"/>
    <w:rsid w:val="000B347D"/>
    <w:rsid w:val="000B3F3E"/>
    <w:rsid w:val="000B4094"/>
    <w:rsid w:val="000B47B2"/>
    <w:rsid w:val="000B481C"/>
    <w:rsid w:val="000B48C9"/>
    <w:rsid w:val="000B511D"/>
    <w:rsid w:val="000C0918"/>
    <w:rsid w:val="000C0949"/>
    <w:rsid w:val="000C2967"/>
    <w:rsid w:val="000C3E9C"/>
    <w:rsid w:val="000C4FDB"/>
    <w:rsid w:val="000C5A5F"/>
    <w:rsid w:val="000C652D"/>
    <w:rsid w:val="000C66CB"/>
    <w:rsid w:val="000C7D24"/>
    <w:rsid w:val="000D014A"/>
    <w:rsid w:val="000D043A"/>
    <w:rsid w:val="000D220A"/>
    <w:rsid w:val="000D2AD0"/>
    <w:rsid w:val="000D41BE"/>
    <w:rsid w:val="000D5154"/>
    <w:rsid w:val="000D5A28"/>
    <w:rsid w:val="000D5C80"/>
    <w:rsid w:val="000D6BEA"/>
    <w:rsid w:val="000E6789"/>
    <w:rsid w:val="000E72F2"/>
    <w:rsid w:val="000F152A"/>
    <w:rsid w:val="000F1A4A"/>
    <w:rsid w:val="000F28CF"/>
    <w:rsid w:val="000F658C"/>
    <w:rsid w:val="000F74C6"/>
    <w:rsid w:val="001044AE"/>
    <w:rsid w:val="0010468A"/>
    <w:rsid w:val="001052A6"/>
    <w:rsid w:val="001055F0"/>
    <w:rsid w:val="00107C1D"/>
    <w:rsid w:val="00110E5A"/>
    <w:rsid w:val="00111EE6"/>
    <w:rsid w:val="00112838"/>
    <w:rsid w:val="00112D52"/>
    <w:rsid w:val="00114A7A"/>
    <w:rsid w:val="001155EA"/>
    <w:rsid w:val="00115BC8"/>
    <w:rsid w:val="00117A7B"/>
    <w:rsid w:val="0012035E"/>
    <w:rsid w:val="001209A4"/>
    <w:rsid w:val="00120C7B"/>
    <w:rsid w:val="00122BCC"/>
    <w:rsid w:val="00124933"/>
    <w:rsid w:val="00127DC1"/>
    <w:rsid w:val="0013081E"/>
    <w:rsid w:val="001314CE"/>
    <w:rsid w:val="0014382C"/>
    <w:rsid w:val="00146703"/>
    <w:rsid w:val="00147FA8"/>
    <w:rsid w:val="0015124A"/>
    <w:rsid w:val="0015285A"/>
    <w:rsid w:val="0015478F"/>
    <w:rsid w:val="001549F1"/>
    <w:rsid w:val="00155136"/>
    <w:rsid w:val="0015648C"/>
    <w:rsid w:val="00160B42"/>
    <w:rsid w:val="00162B3B"/>
    <w:rsid w:val="00165103"/>
    <w:rsid w:val="00166020"/>
    <w:rsid w:val="00170765"/>
    <w:rsid w:val="00174713"/>
    <w:rsid w:val="0017519A"/>
    <w:rsid w:val="00181477"/>
    <w:rsid w:val="00181581"/>
    <w:rsid w:val="001831C9"/>
    <w:rsid w:val="00192B02"/>
    <w:rsid w:val="001931D8"/>
    <w:rsid w:val="00193AFF"/>
    <w:rsid w:val="00194F39"/>
    <w:rsid w:val="00195B58"/>
    <w:rsid w:val="00196032"/>
    <w:rsid w:val="001A0007"/>
    <w:rsid w:val="001A0F39"/>
    <w:rsid w:val="001A4BF1"/>
    <w:rsid w:val="001B12EB"/>
    <w:rsid w:val="001B4150"/>
    <w:rsid w:val="001B468F"/>
    <w:rsid w:val="001B6655"/>
    <w:rsid w:val="001C3043"/>
    <w:rsid w:val="001D0A48"/>
    <w:rsid w:val="001D36D5"/>
    <w:rsid w:val="001D392A"/>
    <w:rsid w:val="001D3930"/>
    <w:rsid w:val="001E2F5C"/>
    <w:rsid w:val="001E5C8D"/>
    <w:rsid w:val="001E7626"/>
    <w:rsid w:val="001F02E0"/>
    <w:rsid w:val="001F08BF"/>
    <w:rsid w:val="001F0CE2"/>
    <w:rsid w:val="001F26B5"/>
    <w:rsid w:val="001F3CCD"/>
    <w:rsid w:val="001F5354"/>
    <w:rsid w:val="00200213"/>
    <w:rsid w:val="0020300F"/>
    <w:rsid w:val="0020434E"/>
    <w:rsid w:val="002048D2"/>
    <w:rsid w:val="00211876"/>
    <w:rsid w:val="0021256E"/>
    <w:rsid w:val="002130B8"/>
    <w:rsid w:val="0021384A"/>
    <w:rsid w:val="00214254"/>
    <w:rsid w:val="002177E2"/>
    <w:rsid w:val="00220B16"/>
    <w:rsid w:val="00222634"/>
    <w:rsid w:val="00225A23"/>
    <w:rsid w:val="002309FE"/>
    <w:rsid w:val="002341DD"/>
    <w:rsid w:val="00240A47"/>
    <w:rsid w:val="00244197"/>
    <w:rsid w:val="0025585A"/>
    <w:rsid w:val="00255E30"/>
    <w:rsid w:val="00255ED8"/>
    <w:rsid w:val="00261246"/>
    <w:rsid w:val="00261D8A"/>
    <w:rsid w:val="0026255A"/>
    <w:rsid w:val="0026420B"/>
    <w:rsid w:val="00264F65"/>
    <w:rsid w:val="00265782"/>
    <w:rsid w:val="002669D1"/>
    <w:rsid w:val="002702CB"/>
    <w:rsid w:val="002732E1"/>
    <w:rsid w:val="00274C6B"/>
    <w:rsid w:val="00275EAA"/>
    <w:rsid w:val="002778C5"/>
    <w:rsid w:val="0028124B"/>
    <w:rsid w:val="0028136B"/>
    <w:rsid w:val="00282215"/>
    <w:rsid w:val="00284835"/>
    <w:rsid w:val="002848DD"/>
    <w:rsid w:val="0028526B"/>
    <w:rsid w:val="00285F2C"/>
    <w:rsid w:val="00285FDF"/>
    <w:rsid w:val="00286E3A"/>
    <w:rsid w:val="00290F23"/>
    <w:rsid w:val="00292E66"/>
    <w:rsid w:val="002941BC"/>
    <w:rsid w:val="00295459"/>
    <w:rsid w:val="00295641"/>
    <w:rsid w:val="002A041B"/>
    <w:rsid w:val="002A372F"/>
    <w:rsid w:val="002A3C38"/>
    <w:rsid w:val="002A3FA7"/>
    <w:rsid w:val="002A655E"/>
    <w:rsid w:val="002B04B2"/>
    <w:rsid w:val="002B118C"/>
    <w:rsid w:val="002B5AB1"/>
    <w:rsid w:val="002B5CEC"/>
    <w:rsid w:val="002C2013"/>
    <w:rsid w:val="002C31D4"/>
    <w:rsid w:val="002C3E72"/>
    <w:rsid w:val="002C7936"/>
    <w:rsid w:val="002D4B03"/>
    <w:rsid w:val="002D4D72"/>
    <w:rsid w:val="002D5328"/>
    <w:rsid w:val="002D55BC"/>
    <w:rsid w:val="002D5D00"/>
    <w:rsid w:val="002E42AD"/>
    <w:rsid w:val="002E4AF9"/>
    <w:rsid w:val="002E4BD6"/>
    <w:rsid w:val="002E6B1D"/>
    <w:rsid w:val="002E6E2C"/>
    <w:rsid w:val="002E7855"/>
    <w:rsid w:val="002F04CC"/>
    <w:rsid w:val="002F0A12"/>
    <w:rsid w:val="002F223D"/>
    <w:rsid w:val="002F47BF"/>
    <w:rsid w:val="002F7ECF"/>
    <w:rsid w:val="00301AE9"/>
    <w:rsid w:val="00305D5F"/>
    <w:rsid w:val="00305EE3"/>
    <w:rsid w:val="003065F5"/>
    <w:rsid w:val="003067CA"/>
    <w:rsid w:val="00311547"/>
    <w:rsid w:val="003139AC"/>
    <w:rsid w:val="00315015"/>
    <w:rsid w:val="0031511C"/>
    <w:rsid w:val="003171AB"/>
    <w:rsid w:val="00322CAE"/>
    <w:rsid w:val="00324710"/>
    <w:rsid w:val="003247D4"/>
    <w:rsid w:val="00325B0F"/>
    <w:rsid w:val="00327FAD"/>
    <w:rsid w:val="0033074A"/>
    <w:rsid w:val="00330A05"/>
    <w:rsid w:val="0033128C"/>
    <w:rsid w:val="00331ADA"/>
    <w:rsid w:val="00331D4C"/>
    <w:rsid w:val="00332C6F"/>
    <w:rsid w:val="0033324C"/>
    <w:rsid w:val="003359B1"/>
    <w:rsid w:val="00336655"/>
    <w:rsid w:val="003462EB"/>
    <w:rsid w:val="00346A37"/>
    <w:rsid w:val="00350FFA"/>
    <w:rsid w:val="003523C2"/>
    <w:rsid w:val="003523FD"/>
    <w:rsid w:val="0035415C"/>
    <w:rsid w:val="003547D1"/>
    <w:rsid w:val="003644D8"/>
    <w:rsid w:val="00364E10"/>
    <w:rsid w:val="00367A77"/>
    <w:rsid w:val="00373401"/>
    <w:rsid w:val="0037423F"/>
    <w:rsid w:val="003756DC"/>
    <w:rsid w:val="00377582"/>
    <w:rsid w:val="00380D14"/>
    <w:rsid w:val="00382B26"/>
    <w:rsid w:val="00382BE1"/>
    <w:rsid w:val="00384533"/>
    <w:rsid w:val="00385ECC"/>
    <w:rsid w:val="00386C65"/>
    <w:rsid w:val="00387DF8"/>
    <w:rsid w:val="00390772"/>
    <w:rsid w:val="00390B54"/>
    <w:rsid w:val="00391D01"/>
    <w:rsid w:val="0039361E"/>
    <w:rsid w:val="003938F3"/>
    <w:rsid w:val="00394781"/>
    <w:rsid w:val="0039521C"/>
    <w:rsid w:val="003A0694"/>
    <w:rsid w:val="003A3CFC"/>
    <w:rsid w:val="003A72C9"/>
    <w:rsid w:val="003A7A36"/>
    <w:rsid w:val="003A7B29"/>
    <w:rsid w:val="003B6D28"/>
    <w:rsid w:val="003C3C6C"/>
    <w:rsid w:val="003C3DC1"/>
    <w:rsid w:val="003C65EF"/>
    <w:rsid w:val="003D038D"/>
    <w:rsid w:val="003D0539"/>
    <w:rsid w:val="003D07A0"/>
    <w:rsid w:val="003D5B3B"/>
    <w:rsid w:val="003E1A7D"/>
    <w:rsid w:val="003E3686"/>
    <w:rsid w:val="003E3FDA"/>
    <w:rsid w:val="003E434F"/>
    <w:rsid w:val="003E530F"/>
    <w:rsid w:val="003E7B9F"/>
    <w:rsid w:val="003F2786"/>
    <w:rsid w:val="003F3896"/>
    <w:rsid w:val="003F5FE0"/>
    <w:rsid w:val="003F646A"/>
    <w:rsid w:val="003F7822"/>
    <w:rsid w:val="003F7C06"/>
    <w:rsid w:val="0040159F"/>
    <w:rsid w:val="0040290A"/>
    <w:rsid w:val="00411537"/>
    <w:rsid w:val="0041215C"/>
    <w:rsid w:val="0041514A"/>
    <w:rsid w:val="00425015"/>
    <w:rsid w:val="00425E25"/>
    <w:rsid w:val="00430371"/>
    <w:rsid w:val="00433A74"/>
    <w:rsid w:val="004356A3"/>
    <w:rsid w:val="00437D1B"/>
    <w:rsid w:val="0044002E"/>
    <w:rsid w:val="00440A00"/>
    <w:rsid w:val="00440E99"/>
    <w:rsid w:val="004414D4"/>
    <w:rsid w:val="00443139"/>
    <w:rsid w:val="0044442C"/>
    <w:rsid w:val="004513AA"/>
    <w:rsid w:val="0045166C"/>
    <w:rsid w:val="004541DC"/>
    <w:rsid w:val="00454255"/>
    <w:rsid w:val="00457239"/>
    <w:rsid w:val="00457925"/>
    <w:rsid w:val="00460A7C"/>
    <w:rsid w:val="00465279"/>
    <w:rsid w:val="0046681D"/>
    <w:rsid w:val="00466927"/>
    <w:rsid w:val="00467C85"/>
    <w:rsid w:val="004751AD"/>
    <w:rsid w:val="00476BA6"/>
    <w:rsid w:val="00477197"/>
    <w:rsid w:val="00477A3E"/>
    <w:rsid w:val="004827BB"/>
    <w:rsid w:val="00492AA1"/>
    <w:rsid w:val="00493030"/>
    <w:rsid w:val="004935FB"/>
    <w:rsid w:val="00493A7A"/>
    <w:rsid w:val="00493C51"/>
    <w:rsid w:val="00495C74"/>
    <w:rsid w:val="00495DCD"/>
    <w:rsid w:val="004A289E"/>
    <w:rsid w:val="004A58E0"/>
    <w:rsid w:val="004A5931"/>
    <w:rsid w:val="004A59A9"/>
    <w:rsid w:val="004B0FAC"/>
    <w:rsid w:val="004B516F"/>
    <w:rsid w:val="004B63AE"/>
    <w:rsid w:val="004C050C"/>
    <w:rsid w:val="004C0A5E"/>
    <w:rsid w:val="004C5BD7"/>
    <w:rsid w:val="004C7696"/>
    <w:rsid w:val="004D1D3D"/>
    <w:rsid w:val="004D1D97"/>
    <w:rsid w:val="004D3780"/>
    <w:rsid w:val="004D4C65"/>
    <w:rsid w:val="004D606B"/>
    <w:rsid w:val="004D7F5A"/>
    <w:rsid w:val="004E2136"/>
    <w:rsid w:val="004E2796"/>
    <w:rsid w:val="004E3010"/>
    <w:rsid w:val="004F0134"/>
    <w:rsid w:val="004F0289"/>
    <w:rsid w:val="004F054C"/>
    <w:rsid w:val="004F511A"/>
    <w:rsid w:val="004F768F"/>
    <w:rsid w:val="00500ECF"/>
    <w:rsid w:val="005017B6"/>
    <w:rsid w:val="00502BE5"/>
    <w:rsid w:val="00503460"/>
    <w:rsid w:val="00506AF9"/>
    <w:rsid w:val="00510AC1"/>
    <w:rsid w:val="00511B86"/>
    <w:rsid w:val="00512224"/>
    <w:rsid w:val="00513156"/>
    <w:rsid w:val="005143C2"/>
    <w:rsid w:val="00516371"/>
    <w:rsid w:val="0052137B"/>
    <w:rsid w:val="00523717"/>
    <w:rsid w:val="005249E3"/>
    <w:rsid w:val="005250E3"/>
    <w:rsid w:val="00525839"/>
    <w:rsid w:val="005278D2"/>
    <w:rsid w:val="00527CF1"/>
    <w:rsid w:val="0053044D"/>
    <w:rsid w:val="00530617"/>
    <w:rsid w:val="00533F40"/>
    <w:rsid w:val="0053707E"/>
    <w:rsid w:val="005374CE"/>
    <w:rsid w:val="00541284"/>
    <w:rsid w:val="00543D7C"/>
    <w:rsid w:val="005451B8"/>
    <w:rsid w:val="00545D4B"/>
    <w:rsid w:val="005473C5"/>
    <w:rsid w:val="005515BA"/>
    <w:rsid w:val="00553A2A"/>
    <w:rsid w:val="00555071"/>
    <w:rsid w:val="00560A53"/>
    <w:rsid w:val="00561DA9"/>
    <w:rsid w:val="00562377"/>
    <w:rsid w:val="005661C2"/>
    <w:rsid w:val="00566AED"/>
    <w:rsid w:val="00583730"/>
    <w:rsid w:val="005858B2"/>
    <w:rsid w:val="005878B9"/>
    <w:rsid w:val="00590D25"/>
    <w:rsid w:val="00596DED"/>
    <w:rsid w:val="00597520"/>
    <w:rsid w:val="00597531"/>
    <w:rsid w:val="005976D5"/>
    <w:rsid w:val="005A0193"/>
    <w:rsid w:val="005A0D21"/>
    <w:rsid w:val="005A3134"/>
    <w:rsid w:val="005A4665"/>
    <w:rsid w:val="005A60F4"/>
    <w:rsid w:val="005A64A9"/>
    <w:rsid w:val="005A64E0"/>
    <w:rsid w:val="005A72C5"/>
    <w:rsid w:val="005B1CC4"/>
    <w:rsid w:val="005B4DC2"/>
    <w:rsid w:val="005C0266"/>
    <w:rsid w:val="005C0774"/>
    <w:rsid w:val="005C0E9D"/>
    <w:rsid w:val="005C336D"/>
    <w:rsid w:val="005C5A1E"/>
    <w:rsid w:val="005D0979"/>
    <w:rsid w:val="005D1540"/>
    <w:rsid w:val="005D16DB"/>
    <w:rsid w:val="005D436F"/>
    <w:rsid w:val="005D59B8"/>
    <w:rsid w:val="005D608B"/>
    <w:rsid w:val="005D70D8"/>
    <w:rsid w:val="005E0798"/>
    <w:rsid w:val="005E138A"/>
    <w:rsid w:val="005E2067"/>
    <w:rsid w:val="005F1206"/>
    <w:rsid w:val="005F3D36"/>
    <w:rsid w:val="005F44BE"/>
    <w:rsid w:val="005F6030"/>
    <w:rsid w:val="005F7044"/>
    <w:rsid w:val="0060399C"/>
    <w:rsid w:val="00603EA1"/>
    <w:rsid w:val="00605E7D"/>
    <w:rsid w:val="006116DE"/>
    <w:rsid w:val="00613858"/>
    <w:rsid w:val="006141DC"/>
    <w:rsid w:val="00616317"/>
    <w:rsid w:val="00620D72"/>
    <w:rsid w:val="006229F9"/>
    <w:rsid w:val="00622B9A"/>
    <w:rsid w:val="00623DA2"/>
    <w:rsid w:val="00626354"/>
    <w:rsid w:val="006274A7"/>
    <w:rsid w:val="00630112"/>
    <w:rsid w:val="00635FC4"/>
    <w:rsid w:val="00636124"/>
    <w:rsid w:val="00641387"/>
    <w:rsid w:val="00642A2D"/>
    <w:rsid w:val="00645977"/>
    <w:rsid w:val="006477E1"/>
    <w:rsid w:val="00647D37"/>
    <w:rsid w:val="00651E31"/>
    <w:rsid w:val="0065286A"/>
    <w:rsid w:val="00652890"/>
    <w:rsid w:val="006545F5"/>
    <w:rsid w:val="00654BA7"/>
    <w:rsid w:val="00660D25"/>
    <w:rsid w:val="00664997"/>
    <w:rsid w:val="00665D37"/>
    <w:rsid w:val="00666257"/>
    <w:rsid w:val="006670FB"/>
    <w:rsid w:val="006729EA"/>
    <w:rsid w:val="00673A66"/>
    <w:rsid w:val="0067475E"/>
    <w:rsid w:val="006773FD"/>
    <w:rsid w:val="00677D1F"/>
    <w:rsid w:val="006809EB"/>
    <w:rsid w:val="00680B7D"/>
    <w:rsid w:val="00682A0E"/>
    <w:rsid w:val="006850EC"/>
    <w:rsid w:val="006871A2"/>
    <w:rsid w:val="00687B0F"/>
    <w:rsid w:val="00690E7B"/>
    <w:rsid w:val="00693929"/>
    <w:rsid w:val="00693DAB"/>
    <w:rsid w:val="00693FCB"/>
    <w:rsid w:val="00695436"/>
    <w:rsid w:val="006958DF"/>
    <w:rsid w:val="006A06BD"/>
    <w:rsid w:val="006A0BDD"/>
    <w:rsid w:val="006A5935"/>
    <w:rsid w:val="006A6E8F"/>
    <w:rsid w:val="006A76C5"/>
    <w:rsid w:val="006A7F74"/>
    <w:rsid w:val="006B01B9"/>
    <w:rsid w:val="006B062E"/>
    <w:rsid w:val="006B21D2"/>
    <w:rsid w:val="006B2384"/>
    <w:rsid w:val="006B5D48"/>
    <w:rsid w:val="006C101F"/>
    <w:rsid w:val="006C2F51"/>
    <w:rsid w:val="006D2FA1"/>
    <w:rsid w:val="006E331F"/>
    <w:rsid w:val="006E5839"/>
    <w:rsid w:val="006E630E"/>
    <w:rsid w:val="006E681B"/>
    <w:rsid w:val="006E6D00"/>
    <w:rsid w:val="006F184F"/>
    <w:rsid w:val="006F5B7A"/>
    <w:rsid w:val="00702204"/>
    <w:rsid w:val="00711FD5"/>
    <w:rsid w:val="00711FF5"/>
    <w:rsid w:val="007128BD"/>
    <w:rsid w:val="00713CA2"/>
    <w:rsid w:val="00713D6C"/>
    <w:rsid w:val="007152B4"/>
    <w:rsid w:val="007162BA"/>
    <w:rsid w:val="00717CA2"/>
    <w:rsid w:val="00717FDF"/>
    <w:rsid w:val="0072116B"/>
    <w:rsid w:val="00722E80"/>
    <w:rsid w:val="00723035"/>
    <w:rsid w:val="007268C0"/>
    <w:rsid w:val="00726CD3"/>
    <w:rsid w:val="00727F8F"/>
    <w:rsid w:val="00730298"/>
    <w:rsid w:val="00734804"/>
    <w:rsid w:val="00734A58"/>
    <w:rsid w:val="00737BC2"/>
    <w:rsid w:val="00743DF1"/>
    <w:rsid w:val="007476B2"/>
    <w:rsid w:val="00753299"/>
    <w:rsid w:val="007569DC"/>
    <w:rsid w:val="00757443"/>
    <w:rsid w:val="007577A1"/>
    <w:rsid w:val="00761282"/>
    <w:rsid w:val="007637A6"/>
    <w:rsid w:val="007645A2"/>
    <w:rsid w:val="00767B08"/>
    <w:rsid w:val="00772589"/>
    <w:rsid w:val="00772EAE"/>
    <w:rsid w:val="00774F54"/>
    <w:rsid w:val="00777000"/>
    <w:rsid w:val="0077738E"/>
    <w:rsid w:val="00781370"/>
    <w:rsid w:val="00781BEE"/>
    <w:rsid w:val="0078574B"/>
    <w:rsid w:val="007907E4"/>
    <w:rsid w:val="007917D0"/>
    <w:rsid w:val="00792982"/>
    <w:rsid w:val="00792FC4"/>
    <w:rsid w:val="00795A1F"/>
    <w:rsid w:val="007A3FAF"/>
    <w:rsid w:val="007A66AD"/>
    <w:rsid w:val="007B0102"/>
    <w:rsid w:val="007B1FD1"/>
    <w:rsid w:val="007B39F7"/>
    <w:rsid w:val="007B49F3"/>
    <w:rsid w:val="007B4FF7"/>
    <w:rsid w:val="007B68B9"/>
    <w:rsid w:val="007B70B4"/>
    <w:rsid w:val="007B7281"/>
    <w:rsid w:val="007B76C8"/>
    <w:rsid w:val="007C0074"/>
    <w:rsid w:val="007C31A4"/>
    <w:rsid w:val="007C6CF4"/>
    <w:rsid w:val="007C7CF4"/>
    <w:rsid w:val="007D0DEA"/>
    <w:rsid w:val="007D2406"/>
    <w:rsid w:val="007D2808"/>
    <w:rsid w:val="007D2A9F"/>
    <w:rsid w:val="007D51CB"/>
    <w:rsid w:val="007E1944"/>
    <w:rsid w:val="007E3E99"/>
    <w:rsid w:val="007E690C"/>
    <w:rsid w:val="007F265E"/>
    <w:rsid w:val="007F3045"/>
    <w:rsid w:val="007F3A12"/>
    <w:rsid w:val="007F7D2D"/>
    <w:rsid w:val="00800EF6"/>
    <w:rsid w:val="00806509"/>
    <w:rsid w:val="00807085"/>
    <w:rsid w:val="00811DBC"/>
    <w:rsid w:val="008128DC"/>
    <w:rsid w:val="00815166"/>
    <w:rsid w:val="0081569A"/>
    <w:rsid w:val="00816146"/>
    <w:rsid w:val="00817AB2"/>
    <w:rsid w:val="00820AEA"/>
    <w:rsid w:val="008216E2"/>
    <w:rsid w:val="00821C9E"/>
    <w:rsid w:val="00824A6B"/>
    <w:rsid w:val="008251E2"/>
    <w:rsid w:val="008253E1"/>
    <w:rsid w:val="00826700"/>
    <w:rsid w:val="008318D0"/>
    <w:rsid w:val="00835FEE"/>
    <w:rsid w:val="0083654B"/>
    <w:rsid w:val="00840D9D"/>
    <w:rsid w:val="00841179"/>
    <w:rsid w:val="00841E14"/>
    <w:rsid w:val="00841EC0"/>
    <w:rsid w:val="00844390"/>
    <w:rsid w:val="0084711A"/>
    <w:rsid w:val="00850FE7"/>
    <w:rsid w:val="00852DD3"/>
    <w:rsid w:val="00854A10"/>
    <w:rsid w:val="00855ADA"/>
    <w:rsid w:val="008622B3"/>
    <w:rsid w:val="00862CAB"/>
    <w:rsid w:val="00862E12"/>
    <w:rsid w:val="0086454E"/>
    <w:rsid w:val="0087433C"/>
    <w:rsid w:val="0087756F"/>
    <w:rsid w:val="0087772D"/>
    <w:rsid w:val="00880E9A"/>
    <w:rsid w:val="00884089"/>
    <w:rsid w:val="00884930"/>
    <w:rsid w:val="00885A9F"/>
    <w:rsid w:val="00886A90"/>
    <w:rsid w:val="008875DA"/>
    <w:rsid w:val="00887C55"/>
    <w:rsid w:val="00887D29"/>
    <w:rsid w:val="008901F4"/>
    <w:rsid w:val="008911CD"/>
    <w:rsid w:val="00892349"/>
    <w:rsid w:val="008965D6"/>
    <w:rsid w:val="00896FB9"/>
    <w:rsid w:val="008A0EFA"/>
    <w:rsid w:val="008A1884"/>
    <w:rsid w:val="008A278F"/>
    <w:rsid w:val="008A4029"/>
    <w:rsid w:val="008A4EE7"/>
    <w:rsid w:val="008A68F6"/>
    <w:rsid w:val="008B3E42"/>
    <w:rsid w:val="008B434B"/>
    <w:rsid w:val="008B4357"/>
    <w:rsid w:val="008B4934"/>
    <w:rsid w:val="008B652C"/>
    <w:rsid w:val="008C5DF8"/>
    <w:rsid w:val="008D4243"/>
    <w:rsid w:val="008D7E76"/>
    <w:rsid w:val="008E0D8F"/>
    <w:rsid w:val="008E163A"/>
    <w:rsid w:val="008E286B"/>
    <w:rsid w:val="008E29AD"/>
    <w:rsid w:val="008E346D"/>
    <w:rsid w:val="008E6E5C"/>
    <w:rsid w:val="008E6EA9"/>
    <w:rsid w:val="008E7BDE"/>
    <w:rsid w:val="008F4035"/>
    <w:rsid w:val="008F53B6"/>
    <w:rsid w:val="008F7280"/>
    <w:rsid w:val="00903291"/>
    <w:rsid w:val="00903312"/>
    <w:rsid w:val="00910ADB"/>
    <w:rsid w:val="0091407B"/>
    <w:rsid w:val="00916BDB"/>
    <w:rsid w:val="00925826"/>
    <w:rsid w:val="00926C79"/>
    <w:rsid w:val="00930D63"/>
    <w:rsid w:val="00941492"/>
    <w:rsid w:val="00942938"/>
    <w:rsid w:val="009437E7"/>
    <w:rsid w:val="0094517A"/>
    <w:rsid w:val="009455F8"/>
    <w:rsid w:val="00946966"/>
    <w:rsid w:val="009518E3"/>
    <w:rsid w:val="00953746"/>
    <w:rsid w:val="009553E8"/>
    <w:rsid w:val="00957185"/>
    <w:rsid w:val="0096356A"/>
    <w:rsid w:val="0096510B"/>
    <w:rsid w:val="00966645"/>
    <w:rsid w:val="00971172"/>
    <w:rsid w:val="00972899"/>
    <w:rsid w:val="009756D5"/>
    <w:rsid w:val="009805A5"/>
    <w:rsid w:val="00983BCF"/>
    <w:rsid w:val="00985056"/>
    <w:rsid w:val="009878B7"/>
    <w:rsid w:val="00987E89"/>
    <w:rsid w:val="00990D1D"/>
    <w:rsid w:val="009918CE"/>
    <w:rsid w:val="00993CB9"/>
    <w:rsid w:val="00994BD2"/>
    <w:rsid w:val="0099536F"/>
    <w:rsid w:val="009A47BA"/>
    <w:rsid w:val="009A5033"/>
    <w:rsid w:val="009A74D2"/>
    <w:rsid w:val="009B1ED2"/>
    <w:rsid w:val="009B1FED"/>
    <w:rsid w:val="009B31C7"/>
    <w:rsid w:val="009B326B"/>
    <w:rsid w:val="009B60D7"/>
    <w:rsid w:val="009B63E4"/>
    <w:rsid w:val="009C0034"/>
    <w:rsid w:val="009C4689"/>
    <w:rsid w:val="009C51CF"/>
    <w:rsid w:val="009C612B"/>
    <w:rsid w:val="009D1283"/>
    <w:rsid w:val="009D39EA"/>
    <w:rsid w:val="009D6B1B"/>
    <w:rsid w:val="009D7EA5"/>
    <w:rsid w:val="009E107C"/>
    <w:rsid w:val="009E1458"/>
    <w:rsid w:val="009E1642"/>
    <w:rsid w:val="009E2FCF"/>
    <w:rsid w:val="009E3B6C"/>
    <w:rsid w:val="009F18B1"/>
    <w:rsid w:val="009F29D2"/>
    <w:rsid w:val="009F32F6"/>
    <w:rsid w:val="009F7406"/>
    <w:rsid w:val="00A014B1"/>
    <w:rsid w:val="00A037C3"/>
    <w:rsid w:val="00A039BE"/>
    <w:rsid w:val="00A03A8D"/>
    <w:rsid w:val="00A04F5D"/>
    <w:rsid w:val="00A0544C"/>
    <w:rsid w:val="00A0603C"/>
    <w:rsid w:val="00A0658C"/>
    <w:rsid w:val="00A065FE"/>
    <w:rsid w:val="00A06E15"/>
    <w:rsid w:val="00A1602D"/>
    <w:rsid w:val="00A17789"/>
    <w:rsid w:val="00A2019F"/>
    <w:rsid w:val="00A21559"/>
    <w:rsid w:val="00A22BE6"/>
    <w:rsid w:val="00A2600A"/>
    <w:rsid w:val="00A2629A"/>
    <w:rsid w:val="00A32844"/>
    <w:rsid w:val="00A40A0C"/>
    <w:rsid w:val="00A418BF"/>
    <w:rsid w:val="00A42F87"/>
    <w:rsid w:val="00A45D86"/>
    <w:rsid w:val="00A47C39"/>
    <w:rsid w:val="00A501A3"/>
    <w:rsid w:val="00A5068D"/>
    <w:rsid w:val="00A52152"/>
    <w:rsid w:val="00A53B84"/>
    <w:rsid w:val="00A56299"/>
    <w:rsid w:val="00A56D72"/>
    <w:rsid w:val="00A56D92"/>
    <w:rsid w:val="00A721F9"/>
    <w:rsid w:val="00A72420"/>
    <w:rsid w:val="00A72960"/>
    <w:rsid w:val="00A7296E"/>
    <w:rsid w:val="00A7347C"/>
    <w:rsid w:val="00A73F13"/>
    <w:rsid w:val="00A754D1"/>
    <w:rsid w:val="00A77223"/>
    <w:rsid w:val="00A77B3F"/>
    <w:rsid w:val="00A81778"/>
    <w:rsid w:val="00A81D3B"/>
    <w:rsid w:val="00A83A25"/>
    <w:rsid w:val="00A83ABF"/>
    <w:rsid w:val="00A83F9E"/>
    <w:rsid w:val="00A87453"/>
    <w:rsid w:val="00A92E85"/>
    <w:rsid w:val="00A95021"/>
    <w:rsid w:val="00A9568B"/>
    <w:rsid w:val="00A979B3"/>
    <w:rsid w:val="00A97D56"/>
    <w:rsid w:val="00AA0CBA"/>
    <w:rsid w:val="00AA1D1B"/>
    <w:rsid w:val="00AA4903"/>
    <w:rsid w:val="00AB6122"/>
    <w:rsid w:val="00AC53AF"/>
    <w:rsid w:val="00AC6AFA"/>
    <w:rsid w:val="00AD1D26"/>
    <w:rsid w:val="00AD2209"/>
    <w:rsid w:val="00AD22D7"/>
    <w:rsid w:val="00AD2F2F"/>
    <w:rsid w:val="00AD5366"/>
    <w:rsid w:val="00AD6690"/>
    <w:rsid w:val="00AE0576"/>
    <w:rsid w:val="00AE2309"/>
    <w:rsid w:val="00AE3CBF"/>
    <w:rsid w:val="00AE5AF9"/>
    <w:rsid w:val="00AE672A"/>
    <w:rsid w:val="00AF0B90"/>
    <w:rsid w:val="00AF5AA3"/>
    <w:rsid w:val="00AF7387"/>
    <w:rsid w:val="00B00989"/>
    <w:rsid w:val="00B0328A"/>
    <w:rsid w:val="00B0683E"/>
    <w:rsid w:val="00B07B2A"/>
    <w:rsid w:val="00B1111B"/>
    <w:rsid w:val="00B12C37"/>
    <w:rsid w:val="00B14BD4"/>
    <w:rsid w:val="00B23801"/>
    <w:rsid w:val="00B24B83"/>
    <w:rsid w:val="00B27E89"/>
    <w:rsid w:val="00B312B1"/>
    <w:rsid w:val="00B3405B"/>
    <w:rsid w:val="00B3447A"/>
    <w:rsid w:val="00B40FB5"/>
    <w:rsid w:val="00B43AF7"/>
    <w:rsid w:val="00B458D0"/>
    <w:rsid w:val="00B468CC"/>
    <w:rsid w:val="00B46E93"/>
    <w:rsid w:val="00B53854"/>
    <w:rsid w:val="00B53E3F"/>
    <w:rsid w:val="00B54DE4"/>
    <w:rsid w:val="00B559FD"/>
    <w:rsid w:val="00B57B5C"/>
    <w:rsid w:val="00B61B28"/>
    <w:rsid w:val="00B6351F"/>
    <w:rsid w:val="00B64704"/>
    <w:rsid w:val="00B64A35"/>
    <w:rsid w:val="00B6541E"/>
    <w:rsid w:val="00B65DBC"/>
    <w:rsid w:val="00B71C6B"/>
    <w:rsid w:val="00B755D6"/>
    <w:rsid w:val="00B763CB"/>
    <w:rsid w:val="00B76A1F"/>
    <w:rsid w:val="00B85146"/>
    <w:rsid w:val="00B868F7"/>
    <w:rsid w:val="00B87A90"/>
    <w:rsid w:val="00B9234E"/>
    <w:rsid w:val="00B94328"/>
    <w:rsid w:val="00B97D79"/>
    <w:rsid w:val="00BA11E2"/>
    <w:rsid w:val="00BA1F7C"/>
    <w:rsid w:val="00BA33AB"/>
    <w:rsid w:val="00BA3BD8"/>
    <w:rsid w:val="00BA579B"/>
    <w:rsid w:val="00BA5AEF"/>
    <w:rsid w:val="00BB2062"/>
    <w:rsid w:val="00BB2426"/>
    <w:rsid w:val="00BB255A"/>
    <w:rsid w:val="00BB41C5"/>
    <w:rsid w:val="00BB578B"/>
    <w:rsid w:val="00BC1C7E"/>
    <w:rsid w:val="00BC3650"/>
    <w:rsid w:val="00BD691A"/>
    <w:rsid w:val="00BE085C"/>
    <w:rsid w:val="00BE1509"/>
    <w:rsid w:val="00BE54E8"/>
    <w:rsid w:val="00BE62A0"/>
    <w:rsid w:val="00BF3DE0"/>
    <w:rsid w:val="00BF4C6B"/>
    <w:rsid w:val="00BF541D"/>
    <w:rsid w:val="00BF70DF"/>
    <w:rsid w:val="00BF7B94"/>
    <w:rsid w:val="00C0088E"/>
    <w:rsid w:val="00C00989"/>
    <w:rsid w:val="00C0423C"/>
    <w:rsid w:val="00C04FC9"/>
    <w:rsid w:val="00C05028"/>
    <w:rsid w:val="00C06974"/>
    <w:rsid w:val="00C06D53"/>
    <w:rsid w:val="00C06E25"/>
    <w:rsid w:val="00C100A6"/>
    <w:rsid w:val="00C1177E"/>
    <w:rsid w:val="00C14825"/>
    <w:rsid w:val="00C15B31"/>
    <w:rsid w:val="00C16D45"/>
    <w:rsid w:val="00C17846"/>
    <w:rsid w:val="00C26456"/>
    <w:rsid w:val="00C30AD5"/>
    <w:rsid w:val="00C33FC6"/>
    <w:rsid w:val="00C364AB"/>
    <w:rsid w:val="00C36B77"/>
    <w:rsid w:val="00C400F5"/>
    <w:rsid w:val="00C41263"/>
    <w:rsid w:val="00C4442F"/>
    <w:rsid w:val="00C45155"/>
    <w:rsid w:val="00C46EDA"/>
    <w:rsid w:val="00C47F96"/>
    <w:rsid w:val="00C5124C"/>
    <w:rsid w:val="00C55603"/>
    <w:rsid w:val="00C56C37"/>
    <w:rsid w:val="00C56E0C"/>
    <w:rsid w:val="00C56FD7"/>
    <w:rsid w:val="00C57318"/>
    <w:rsid w:val="00C60D38"/>
    <w:rsid w:val="00C63FC1"/>
    <w:rsid w:val="00C65C98"/>
    <w:rsid w:val="00C6780C"/>
    <w:rsid w:val="00C70BC2"/>
    <w:rsid w:val="00C7193D"/>
    <w:rsid w:val="00C747ED"/>
    <w:rsid w:val="00C74D17"/>
    <w:rsid w:val="00C800F9"/>
    <w:rsid w:val="00C847C8"/>
    <w:rsid w:val="00C85118"/>
    <w:rsid w:val="00C85579"/>
    <w:rsid w:val="00C85A43"/>
    <w:rsid w:val="00C873B9"/>
    <w:rsid w:val="00C95300"/>
    <w:rsid w:val="00C97ADC"/>
    <w:rsid w:val="00CA362E"/>
    <w:rsid w:val="00CA3780"/>
    <w:rsid w:val="00CA6ABF"/>
    <w:rsid w:val="00CB10EF"/>
    <w:rsid w:val="00CB3A5A"/>
    <w:rsid w:val="00CB5C10"/>
    <w:rsid w:val="00CB72BE"/>
    <w:rsid w:val="00CC10F9"/>
    <w:rsid w:val="00CC1E78"/>
    <w:rsid w:val="00CC1F18"/>
    <w:rsid w:val="00CC3AE7"/>
    <w:rsid w:val="00CD02BE"/>
    <w:rsid w:val="00CD3B40"/>
    <w:rsid w:val="00CD3F40"/>
    <w:rsid w:val="00CD4CA8"/>
    <w:rsid w:val="00CD5838"/>
    <w:rsid w:val="00CD656A"/>
    <w:rsid w:val="00CE026E"/>
    <w:rsid w:val="00CE5C44"/>
    <w:rsid w:val="00CE67CC"/>
    <w:rsid w:val="00CE7887"/>
    <w:rsid w:val="00CF12B7"/>
    <w:rsid w:val="00CF17DD"/>
    <w:rsid w:val="00CF18D7"/>
    <w:rsid w:val="00CF66E8"/>
    <w:rsid w:val="00D015E4"/>
    <w:rsid w:val="00D03561"/>
    <w:rsid w:val="00D06EA7"/>
    <w:rsid w:val="00D1011E"/>
    <w:rsid w:val="00D11E46"/>
    <w:rsid w:val="00D1227C"/>
    <w:rsid w:val="00D1249C"/>
    <w:rsid w:val="00D1587D"/>
    <w:rsid w:val="00D15CB4"/>
    <w:rsid w:val="00D17984"/>
    <w:rsid w:val="00D21299"/>
    <w:rsid w:val="00D233FF"/>
    <w:rsid w:val="00D24820"/>
    <w:rsid w:val="00D24943"/>
    <w:rsid w:val="00D268BB"/>
    <w:rsid w:val="00D338E2"/>
    <w:rsid w:val="00D4021E"/>
    <w:rsid w:val="00D45FA0"/>
    <w:rsid w:val="00D51ADA"/>
    <w:rsid w:val="00D5256D"/>
    <w:rsid w:val="00D5369F"/>
    <w:rsid w:val="00D5546A"/>
    <w:rsid w:val="00D55E12"/>
    <w:rsid w:val="00D61978"/>
    <w:rsid w:val="00D72716"/>
    <w:rsid w:val="00D73C5D"/>
    <w:rsid w:val="00D775B1"/>
    <w:rsid w:val="00D77DFD"/>
    <w:rsid w:val="00D8498B"/>
    <w:rsid w:val="00D86D86"/>
    <w:rsid w:val="00D87173"/>
    <w:rsid w:val="00D912BB"/>
    <w:rsid w:val="00D93628"/>
    <w:rsid w:val="00DA263F"/>
    <w:rsid w:val="00DA4CBF"/>
    <w:rsid w:val="00DA5B51"/>
    <w:rsid w:val="00DA7561"/>
    <w:rsid w:val="00DB0CFF"/>
    <w:rsid w:val="00DB370D"/>
    <w:rsid w:val="00DB40FD"/>
    <w:rsid w:val="00DB7251"/>
    <w:rsid w:val="00DC0777"/>
    <w:rsid w:val="00DC36ED"/>
    <w:rsid w:val="00DC7230"/>
    <w:rsid w:val="00DD0DAA"/>
    <w:rsid w:val="00DD0E01"/>
    <w:rsid w:val="00DD2C2B"/>
    <w:rsid w:val="00DD356D"/>
    <w:rsid w:val="00DE07AB"/>
    <w:rsid w:val="00DE3E31"/>
    <w:rsid w:val="00DE4A51"/>
    <w:rsid w:val="00DF379C"/>
    <w:rsid w:val="00DF3D84"/>
    <w:rsid w:val="00DF5EBE"/>
    <w:rsid w:val="00DF701E"/>
    <w:rsid w:val="00DF79BF"/>
    <w:rsid w:val="00E0071B"/>
    <w:rsid w:val="00E0199D"/>
    <w:rsid w:val="00E02C0E"/>
    <w:rsid w:val="00E037C3"/>
    <w:rsid w:val="00E03BC7"/>
    <w:rsid w:val="00E04410"/>
    <w:rsid w:val="00E0448B"/>
    <w:rsid w:val="00E06C0C"/>
    <w:rsid w:val="00E0726D"/>
    <w:rsid w:val="00E14595"/>
    <w:rsid w:val="00E17FE6"/>
    <w:rsid w:val="00E20A31"/>
    <w:rsid w:val="00E23548"/>
    <w:rsid w:val="00E24DB7"/>
    <w:rsid w:val="00E27CA0"/>
    <w:rsid w:val="00E3198A"/>
    <w:rsid w:val="00E33479"/>
    <w:rsid w:val="00E34858"/>
    <w:rsid w:val="00E36A93"/>
    <w:rsid w:val="00E42AE7"/>
    <w:rsid w:val="00E46A74"/>
    <w:rsid w:val="00E47DAA"/>
    <w:rsid w:val="00E47DF9"/>
    <w:rsid w:val="00E539E9"/>
    <w:rsid w:val="00E54C79"/>
    <w:rsid w:val="00E57CC0"/>
    <w:rsid w:val="00E61E7A"/>
    <w:rsid w:val="00E63A45"/>
    <w:rsid w:val="00E64F69"/>
    <w:rsid w:val="00E64FA3"/>
    <w:rsid w:val="00E6666C"/>
    <w:rsid w:val="00E67708"/>
    <w:rsid w:val="00E71138"/>
    <w:rsid w:val="00E76084"/>
    <w:rsid w:val="00E7642F"/>
    <w:rsid w:val="00E77502"/>
    <w:rsid w:val="00E80AC3"/>
    <w:rsid w:val="00E81F2A"/>
    <w:rsid w:val="00E821FA"/>
    <w:rsid w:val="00E86320"/>
    <w:rsid w:val="00E87BB7"/>
    <w:rsid w:val="00E903E9"/>
    <w:rsid w:val="00E94C89"/>
    <w:rsid w:val="00E970B5"/>
    <w:rsid w:val="00E97803"/>
    <w:rsid w:val="00EA0DA6"/>
    <w:rsid w:val="00EA363F"/>
    <w:rsid w:val="00EA5E5D"/>
    <w:rsid w:val="00EA6507"/>
    <w:rsid w:val="00EA66D8"/>
    <w:rsid w:val="00EA6CC0"/>
    <w:rsid w:val="00EA73F6"/>
    <w:rsid w:val="00EB1C51"/>
    <w:rsid w:val="00EB2533"/>
    <w:rsid w:val="00EB2AB8"/>
    <w:rsid w:val="00EB2FD8"/>
    <w:rsid w:val="00EB427F"/>
    <w:rsid w:val="00EB538B"/>
    <w:rsid w:val="00EB7E6D"/>
    <w:rsid w:val="00EC0A1B"/>
    <w:rsid w:val="00EC54C4"/>
    <w:rsid w:val="00EC6FF5"/>
    <w:rsid w:val="00ED087A"/>
    <w:rsid w:val="00ED0920"/>
    <w:rsid w:val="00ED114A"/>
    <w:rsid w:val="00ED2891"/>
    <w:rsid w:val="00ED3D31"/>
    <w:rsid w:val="00EE3183"/>
    <w:rsid w:val="00EE4267"/>
    <w:rsid w:val="00EE5980"/>
    <w:rsid w:val="00EF0EE9"/>
    <w:rsid w:val="00EF2BF7"/>
    <w:rsid w:val="00EF2E4C"/>
    <w:rsid w:val="00EF431C"/>
    <w:rsid w:val="00EF709A"/>
    <w:rsid w:val="00F01900"/>
    <w:rsid w:val="00F04204"/>
    <w:rsid w:val="00F12B9A"/>
    <w:rsid w:val="00F14A4E"/>
    <w:rsid w:val="00F20DB8"/>
    <w:rsid w:val="00F21223"/>
    <w:rsid w:val="00F26D03"/>
    <w:rsid w:val="00F32336"/>
    <w:rsid w:val="00F3269E"/>
    <w:rsid w:val="00F333B4"/>
    <w:rsid w:val="00F37070"/>
    <w:rsid w:val="00F4105C"/>
    <w:rsid w:val="00F429C9"/>
    <w:rsid w:val="00F42A44"/>
    <w:rsid w:val="00F42E66"/>
    <w:rsid w:val="00F43631"/>
    <w:rsid w:val="00F43C8E"/>
    <w:rsid w:val="00F4597E"/>
    <w:rsid w:val="00F506A3"/>
    <w:rsid w:val="00F51F46"/>
    <w:rsid w:val="00F54B0A"/>
    <w:rsid w:val="00F5524A"/>
    <w:rsid w:val="00F552CA"/>
    <w:rsid w:val="00F55B08"/>
    <w:rsid w:val="00F5716A"/>
    <w:rsid w:val="00F6393B"/>
    <w:rsid w:val="00F653D6"/>
    <w:rsid w:val="00F676DD"/>
    <w:rsid w:val="00F73597"/>
    <w:rsid w:val="00F74900"/>
    <w:rsid w:val="00F75C4E"/>
    <w:rsid w:val="00F800D9"/>
    <w:rsid w:val="00F815C5"/>
    <w:rsid w:val="00F818EB"/>
    <w:rsid w:val="00F82115"/>
    <w:rsid w:val="00F8320A"/>
    <w:rsid w:val="00F85538"/>
    <w:rsid w:val="00F85597"/>
    <w:rsid w:val="00F85CEE"/>
    <w:rsid w:val="00F8623F"/>
    <w:rsid w:val="00F93362"/>
    <w:rsid w:val="00F93777"/>
    <w:rsid w:val="00FA1478"/>
    <w:rsid w:val="00FA41E2"/>
    <w:rsid w:val="00FA4FDA"/>
    <w:rsid w:val="00FA5D18"/>
    <w:rsid w:val="00FA611A"/>
    <w:rsid w:val="00FB17CA"/>
    <w:rsid w:val="00FB6CBB"/>
    <w:rsid w:val="00FB70DD"/>
    <w:rsid w:val="00FC20AF"/>
    <w:rsid w:val="00FC21B6"/>
    <w:rsid w:val="00FC5823"/>
    <w:rsid w:val="00FD0F85"/>
    <w:rsid w:val="00FD31BD"/>
    <w:rsid w:val="00FD479F"/>
    <w:rsid w:val="00FD54ED"/>
    <w:rsid w:val="00FD60B3"/>
    <w:rsid w:val="00FD62C6"/>
    <w:rsid w:val="00FD7F0E"/>
    <w:rsid w:val="00FE4177"/>
    <w:rsid w:val="00FE4DDC"/>
    <w:rsid w:val="00FE535C"/>
    <w:rsid w:val="00FE5F26"/>
    <w:rsid w:val="00FE7EFF"/>
    <w:rsid w:val="00FF0E14"/>
    <w:rsid w:val="00FF14C9"/>
    <w:rsid w:val="00FF228D"/>
  </w:rsids>
  <m:mathPr>
    <m:mathFont m:val="Cambria Math"/>
    <m:brkBin m:val="before"/>
    <m:brkBinSub m:val="--"/>
    <m:smallFrac m:val="0"/>
    <m:dispDef/>
    <m:lMargin m:val="0"/>
    <m:rMargin m:val="0"/>
    <m:defJc m:val="centerGroup"/>
    <m:wrapIndent m:val="1440"/>
    <m:intLim m:val="subSup"/>
    <m:naryLim m:val="undOvr"/>
  </m:mathPr>
  <w:themeFontLang w:val="pt-B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9CBCAE"/>
  <w15:docId w15:val="{5E6726BB-ED5E-4745-87A7-D968B383B5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78B9"/>
    <w:rPr>
      <w:rFonts w:ascii="Arial" w:hAnsi="Arial"/>
    </w:rPr>
  </w:style>
  <w:style w:type="paragraph" w:styleId="Heading1">
    <w:name w:val="heading 1"/>
    <w:basedOn w:val="Normal"/>
    <w:next w:val="Normal"/>
    <w:link w:val="Heading1Char"/>
    <w:uiPriority w:val="9"/>
    <w:qFormat/>
    <w:rsid w:val="005F7044"/>
    <w:pPr>
      <w:keepNext/>
      <w:keepLines/>
      <w:numPr>
        <w:numId w:val="1"/>
      </w:numPr>
      <w:pBdr>
        <w:bottom w:val="single" w:sz="4" w:space="1" w:color="595959" w:themeColor="text1" w:themeTint="A6"/>
      </w:pBdr>
      <w:spacing w:before="360"/>
      <w:outlineLvl w:val="0"/>
    </w:pPr>
    <w:rPr>
      <w:rFonts w:eastAsiaTheme="majorEastAsia" w:cstheme="majorBidi"/>
      <w:b/>
      <w:bCs/>
      <w:smallCaps/>
      <w:color w:val="000000" w:themeColor="text1"/>
      <w:sz w:val="28"/>
      <w:szCs w:val="36"/>
    </w:rPr>
  </w:style>
  <w:style w:type="paragraph" w:styleId="Heading2">
    <w:name w:val="heading 2"/>
    <w:basedOn w:val="Normal"/>
    <w:next w:val="Normal"/>
    <w:link w:val="Heading2Char"/>
    <w:uiPriority w:val="9"/>
    <w:unhideWhenUsed/>
    <w:qFormat/>
    <w:rsid w:val="005F7044"/>
    <w:pPr>
      <w:keepNext/>
      <w:keepLines/>
      <w:numPr>
        <w:ilvl w:val="1"/>
        <w:numId w:val="1"/>
      </w:numPr>
      <w:spacing w:before="360" w:after="0"/>
      <w:outlineLvl w:val="1"/>
    </w:pPr>
    <w:rPr>
      <w:rFonts w:eastAsiaTheme="majorEastAsia" w:cstheme="majorBidi"/>
      <w:b/>
      <w:bCs/>
      <w:smallCaps/>
      <w:color w:val="000000" w:themeColor="text1"/>
      <w:sz w:val="24"/>
      <w:szCs w:val="28"/>
    </w:rPr>
  </w:style>
  <w:style w:type="paragraph" w:styleId="Heading3">
    <w:name w:val="heading 3"/>
    <w:basedOn w:val="Normal"/>
    <w:next w:val="Normal"/>
    <w:link w:val="Heading3Char"/>
    <w:uiPriority w:val="9"/>
    <w:unhideWhenUsed/>
    <w:qFormat/>
    <w:rsid w:val="006477E1"/>
    <w:pPr>
      <w:keepNext/>
      <w:keepLines/>
      <w:numPr>
        <w:ilvl w:val="2"/>
        <w:numId w:val="1"/>
      </w:numPr>
      <w:spacing w:before="200" w:after="0"/>
      <w:ind w:left="720"/>
      <w:outlineLvl w:val="2"/>
    </w:pPr>
    <w:rPr>
      <w:rFonts w:eastAsiaTheme="majorEastAsia" w:cstheme="majorBidi"/>
      <w:b/>
      <w:bCs/>
      <w:color w:val="000000" w:themeColor="text1"/>
    </w:rPr>
  </w:style>
  <w:style w:type="paragraph" w:styleId="Heading4">
    <w:name w:val="heading 4"/>
    <w:basedOn w:val="Normal"/>
    <w:next w:val="Normal"/>
    <w:link w:val="Heading4Char"/>
    <w:uiPriority w:val="9"/>
    <w:unhideWhenUsed/>
    <w:qFormat/>
    <w:rsid w:val="006A0BDD"/>
    <w:pPr>
      <w:keepNext/>
      <w:keepLines/>
      <w:numPr>
        <w:ilvl w:val="3"/>
        <w:numId w:val="1"/>
      </w:numPr>
      <w:spacing w:before="200" w:after="0"/>
      <w:ind w:left="0" w:firstLine="0"/>
      <w:outlineLvl w:val="3"/>
    </w:pPr>
    <w:rPr>
      <w:rFonts w:eastAsiaTheme="majorEastAsia" w:cstheme="majorBidi"/>
      <w:b/>
      <w:bCs/>
      <w:i/>
      <w:iCs/>
      <w:color w:val="000000" w:themeColor="text1"/>
    </w:rPr>
  </w:style>
  <w:style w:type="paragraph" w:styleId="Heading5">
    <w:name w:val="heading 5"/>
    <w:basedOn w:val="Normal"/>
    <w:next w:val="Normal"/>
    <w:link w:val="Heading5Char"/>
    <w:uiPriority w:val="9"/>
    <w:unhideWhenUsed/>
    <w:qFormat/>
    <w:rsid w:val="003C3DC1"/>
    <w:pPr>
      <w:keepNext/>
      <w:keepLines/>
      <w:numPr>
        <w:ilvl w:val="4"/>
        <w:numId w:val="1"/>
      </w:numPr>
      <w:spacing w:before="200" w:after="0"/>
      <w:outlineLvl w:val="4"/>
    </w:pPr>
    <w:rPr>
      <w:rFonts w:asciiTheme="majorHAnsi" w:eastAsiaTheme="majorEastAsia" w:hAnsiTheme="majorHAnsi" w:cstheme="majorBidi"/>
      <w:b/>
      <w:color w:val="252525" w:themeColor="text2" w:themeShade="BF"/>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outlineLvl w:val="5"/>
    </w:pPr>
    <w:rPr>
      <w:rFonts w:asciiTheme="majorHAnsi" w:eastAsiaTheme="majorEastAsia" w:hAnsiTheme="majorHAnsi" w:cstheme="majorBidi"/>
      <w:i/>
      <w:iCs/>
      <w:color w:val="252525" w:themeColor="text2" w:themeShade="BF"/>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7044"/>
    <w:rPr>
      <w:rFonts w:ascii="Arial" w:eastAsiaTheme="majorEastAsia" w:hAnsi="Arial" w:cstheme="majorBidi"/>
      <w:b/>
      <w:bCs/>
      <w:smallCaps/>
      <w:color w:val="000000" w:themeColor="text1"/>
      <w:sz w:val="28"/>
      <w:szCs w:val="36"/>
    </w:rPr>
  </w:style>
  <w:style w:type="character" w:customStyle="1" w:styleId="Heading2Char">
    <w:name w:val="Heading 2 Char"/>
    <w:basedOn w:val="DefaultParagraphFont"/>
    <w:link w:val="Heading2"/>
    <w:uiPriority w:val="9"/>
    <w:rsid w:val="005F7044"/>
    <w:rPr>
      <w:rFonts w:ascii="Arial" w:eastAsiaTheme="majorEastAsia" w:hAnsi="Arial" w:cstheme="majorBidi"/>
      <w:b/>
      <w:bCs/>
      <w:smallCaps/>
      <w:color w:val="000000" w:themeColor="text1"/>
      <w:sz w:val="24"/>
      <w:szCs w:val="28"/>
    </w:rPr>
  </w:style>
  <w:style w:type="character" w:customStyle="1" w:styleId="Heading3Char">
    <w:name w:val="Heading 3 Char"/>
    <w:basedOn w:val="DefaultParagraphFont"/>
    <w:link w:val="Heading3"/>
    <w:uiPriority w:val="9"/>
    <w:rsid w:val="006477E1"/>
    <w:rPr>
      <w:rFonts w:ascii="Arial" w:eastAsiaTheme="majorEastAsia" w:hAnsi="Arial" w:cstheme="majorBidi"/>
      <w:b/>
      <w:bCs/>
      <w:color w:val="000000" w:themeColor="text1"/>
    </w:rPr>
  </w:style>
  <w:style w:type="character" w:customStyle="1" w:styleId="Heading4Char">
    <w:name w:val="Heading 4 Char"/>
    <w:basedOn w:val="DefaultParagraphFont"/>
    <w:link w:val="Heading4"/>
    <w:uiPriority w:val="9"/>
    <w:rsid w:val="006A0BDD"/>
    <w:rPr>
      <w:rFonts w:ascii="Arial" w:eastAsiaTheme="majorEastAsia" w:hAnsi="Arial" w:cstheme="majorBidi"/>
      <w:b/>
      <w:bCs/>
      <w:i/>
      <w:iCs/>
      <w:color w:val="000000" w:themeColor="text1"/>
    </w:rPr>
  </w:style>
  <w:style w:type="character" w:customStyle="1" w:styleId="Heading5Char">
    <w:name w:val="Heading 5 Char"/>
    <w:basedOn w:val="DefaultParagraphFont"/>
    <w:link w:val="Heading5"/>
    <w:uiPriority w:val="9"/>
    <w:rsid w:val="003C3DC1"/>
    <w:rPr>
      <w:rFonts w:asciiTheme="majorHAnsi" w:eastAsiaTheme="majorEastAsia" w:hAnsiTheme="majorHAnsi" w:cstheme="majorBidi"/>
      <w:b/>
      <w:color w:val="252525" w:themeColor="text2" w:themeShade="BF"/>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52525" w:themeColor="text2" w:themeShade="BF"/>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leChar">
    <w:name w:val="Title Char"/>
    <w:basedOn w:val="DefaultParagraphFont"/>
    <w:link w:val="Title"/>
    <w:uiPriority w:val="10"/>
    <w:rPr>
      <w:rFonts w:asciiTheme="majorHAnsi" w:eastAsiaTheme="majorEastAsia" w:hAnsiTheme="majorHAnsi" w:cstheme="majorBidi"/>
      <w:color w:val="000000" w:themeColor="text1"/>
      <w:sz w:val="56"/>
      <w:szCs w:val="56"/>
    </w:rPr>
  </w:style>
  <w:style w:type="paragraph" w:styleId="Subtitle">
    <w:name w:val="Subtitle"/>
    <w:basedOn w:val="Normal"/>
    <w:next w:val="Normal"/>
    <w:link w:val="SubtitleChar"/>
    <w:uiPriority w:val="11"/>
    <w:qFormat/>
    <w:pPr>
      <w:numPr>
        <w:ilvl w:val="1"/>
      </w:numPr>
    </w:pPr>
    <w:rPr>
      <w:color w:val="5A5A5A" w:themeColor="text1" w:themeTint="A5"/>
      <w:spacing w:val="10"/>
    </w:rPr>
  </w:style>
  <w:style w:type="character" w:customStyle="1" w:styleId="SubtitleChar">
    <w:name w:val="Subtitle Char"/>
    <w:basedOn w:val="DefaultParagraphFont"/>
    <w:link w:val="Subtitle"/>
    <w:uiPriority w:val="11"/>
    <w:rPr>
      <w:color w:val="5A5A5A" w:themeColor="text1" w:themeTint="A5"/>
      <w:spacing w:val="10"/>
    </w:rPr>
  </w:style>
  <w:style w:type="character" w:styleId="SubtleEmphasis">
    <w:name w:val="Subtle Emphasis"/>
    <w:basedOn w:val="DefaultParagraphFont"/>
    <w:uiPriority w:val="19"/>
    <w:qFormat/>
    <w:rPr>
      <w:i/>
      <w:iCs/>
      <w:color w:val="404040" w:themeColor="text1" w:themeTint="BF"/>
    </w:rPr>
  </w:style>
  <w:style w:type="character" w:styleId="Emphasis">
    <w:name w:val="Emphasis"/>
    <w:basedOn w:val="DefaultParagraphFont"/>
    <w:uiPriority w:val="20"/>
    <w:qFormat/>
    <w:rPr>
      <w:i/>
      <w:iCs/>
      <w:color w:val="auto"/>
    </w:rPr>
  </w:style>
  <w:style w:type="character" w:styleId="IntenseEmphasis">
    <w:name w:val="Intense Emphasis"/>
    <w:basedOn w:val="DefaultParagraphFont"/>
    <w:uiPriority w:val="21"/>
    <w:qFormat/>
    <w:rPr>
      <w:b/>
      <w:bCs/>
      <w:i/>
      <w:iCs/>
      <w:caps/>
    </w:rPr>
  </w:style>
  <w:style w:type="character" w:styleId="Strong">
    <w:name w:val="Strong"/>
    <w:basedOn w:val="DefaultParagraphFont"/>
    <w:uiPriority w:val="22"/>
    <w:qFormat/>
    <w:rPr>
      <w:b/>
      <w:bCs/>
      <w:color w:val="000000" w:themeColor="text1"/>
    </w:rPr>
  </w:style>
  <w:style w:type="paragraph" w:styleId="Quote">
    <w:name w:val="Quote"/>
    <w:basedOn w:val="Normal"/>
    <w:next w:val="Normal"/>
    <w:link w:val="QuoteChar"/>
    <w:uiPriority w:val="29"/>
    <w:qFormat/>
    <w:pPr>
      <w:spacing w:before="160"/>
      <w:ind w:left="720" w:right="720"/>
    </w:pPr>
    <w:rPr>
      <w:i/>
      <w:iCs/>
      <w:color w:val="000000" w:themeColor="text1"/>
    </w:rPr>
  </w:style>
  <w:style w:type="character" w:customStyle="1" w:styleId="QuoteChar">
    <w:name w:val="Quote Char"/>
    <w:basedOn w:val="DefaultParagraphFont"/>
    <w:link w:val="Quote"/>
    <w:uiPriority w:val="29"/>
    <w:rPr>
      <w:i/>
      <w:iCs/>
      <w:color w:val="000000" w:themeColor="text1"/>
    </w:rPr>
  </w:style>
  <w:style w:type="paragraph" w:styleId="IntenseQuote">
    <w:name w:val="Intense Quote"/>
    <w:basedOn w:val="Normal"/>
    <w:next w:val="Normal"/>
    <w:link w:val="IntenseQuoteChar"/>
    <w:uiPriority w:val="30"/>
    <w:qFormat/>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Pr>
      <w:color w:val="000000" w:themeColor="text1"/>
      <w:shd w:val="clear" w:color="auto" w:fill="F2F2F2" w:themeFill="background1" w:themeFillShade="F2"/>
    </w:rPr>
  </w:style>
  <w:style w:type="character" w:styleId="SubtleReference">
    <w:name w:val="Subtle Reference"/>
    <w:basedOn w:val="DefaultParagraphFont"/>
    <w:uiPriority w:val="31"/>
    <w:qFormat/>
    <w:rPr>
      <w:smallCaps/>
      <w:color w:val="404040" w:themeColor="text1" w:themeTint="BF"/>
      <w:u w:val="single" w:color="7F7F7F" w:themeColor="text1" w:themeTint="80"/>
    </w:rPr>
  </w:style>
  <w:style w:type="character" w:styleId="IntenseReference">
    <w:name w:val="Intense Reference"/>
    <w:basedOn w:val="DefaultParagraphFont"/>
    <w:uiPriority w:val="32"/>
    <w:qFormat/>
    <w:rPr>
      <w:b/>
      <w:bCs/>
      <w:smallCaps/>
      <w:u w:val="single"/>
    </w:rPr>
  </w:style>
  <w:style w:type="character" w:styleId="BookTitle">
    <w:name w:val="Book Title"/>
    <w:basedOn w:val="DefaultParagraphFont"/>
    <w:uiPriority w:val="33"/>
    <w:qFormat/>
    <w:rPr>
      <w:b w:val="0"/>
      <w:bCs w:val="0"/>
      <w:smallCaps/>
      <w:spacing w:val="5"/>
    </w:rPr>
  </w:style>
  <w:style w:type="paragraph" w:styleId="Caption">
    <w:name w:val="caption"/>
    <w:basedOn w:val="Normal"/>
    <w:next w:val="Normal"/>
    <w:uiPriority w:val="35"/>
    <w:unhideWhenUsed/>
    <w:qFormat/>
    <w:pPr>
      <w:spacing w:after="200" w:line="240" w:lineRule="auto"/>
    </w:pPr>
    <w:rPr>
      <w:i/>
      <w:iCs/>
      <w:color w:val="323232" w:themeColor="text2"/>
      <w:sz w:val="18"/>
      <w:szCs w:val="18"/>
    </w:rPr>
  </w:style>
  <w:style w:type="paragraph" w:styleId="TOCHeading">
    <w:name w:val="TOC Heading"/>
    <w:basedOn w:val="Heading1"/>
    <w:next w:val="Normal"/>
    <w:uiPriority w:val="39"/>
    <w:semiHidden/>
    <w:unhideWhenUsed/>
    <w:qFormat/>
    <w:pPr>
      <w:outlineLvl w:val="9"/>
    </w:pPr>
  </w:style>
  <w:style w:type="paragraph" w:styleId="NoSpacing">
    <w:name w:val="No Spacing"/>
    <w:uiPriority w:val="1"/>
    <w:qFormat/>
    <w:pPr>
      <w:spacing w:after="0" w:line="240" w:lineRule="auto"/>
    </w:pPr>
  </w:style>
  <w:style w:type="paragraph" w:styleId="ListParagraph">
    <w:name w:val="List Paragraph"/>
    <w:basedOn w:val="Normal"/>
    <w:uiPriority w:val="34"/>
    <w:qFormat/>
    <w:pPr>
      <w:ind w:left="720"/>
      <w:contextualSpacing/>
    </w:pPr>
  </w:style>
  <w:style w:type="paragraph" w:styleId="Header">
    <w:name w:val="header"/>
    <w:basedOn w:val="Normal"/>
    <w:link w:val="HeaderChar"/>
    <w:unhideWhenUsed/>
    <w:rsid w:val="00E14595"/>
    <w:pPr>
      <w:tabs>
        <w:tab w:val="center" w:pos="4513"/>
        <w:tab w:val="right" w:pos="9026"/>
      </w:tabs>
      <w:spacing w:after="0" w:line="240" w:lineRule="auto"/>
    </w:pPr>
  </w:style>
  <w:style w:type="character" w:customStyle="1" w:styleId="HeaderChar">
    <w:name w:val="Header Char"/>
    <w:basedOn w:val="DefaultParagraphFont"/>
    <w:link w:val="Header"/>
    <w:rsid w:val="00E14595"/>
  </w:style>
  <w:style w:type="paragraph" w:styleId="Footer">
    <w:name w:val="footer"/>
    <w:basedOn w:val="Normal"/>
    <w:link w:val="FooterChar"/>
    <w:uiPriority w:val="99"/>
    <w:unhideWhenUsed/>
    <w:rsid w:val="00E145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E14595"/>
  </w:style>
  <w:style w:type="character" w:customStyle="1" w:styleId="definition">
    <w:name w:val="definition"/>
    <w:basedOn w:val="DefaultParagraphFont"/>
    <w:rsid w:val="008E346D"/>
  </w:style>
  <w:style w:type="character" w:customStyle="1" w:styleId="punctuation">
    <w:name w:val="punctuation"/>
    <w:basedOn w:val="DefaultParagraphFont"/>
    <w:rsid w:val="008E346D"/>
  </w:style>
  <w:style w:type="character" w:styleId="Hyperlink">
    <w:name w:val="Hyperlink"/>
    <w:basedOn w:val="DefaultParagraphFont"/>
    <w:uiPriority w:val="99"/>
    <w:unhideWhenUsed/>
    <w:rsid w:val="006670FB"/>
    <w:rPr>
      <w:color w:val="6B9F25" w:themeColor="hyperlink"/>
      <w:u w:val="single"/>
    </w:rPr>
  </w:style>
  <w:style w:type="paragraph" w:customStyle="1" w:styleId="Default">
    <w:name w:val="Default"/>
    <w:rsid w:val="00BA11E2"/>
    <w:pPr>
      <w:autoSpaceDE w:val="0"/>
      <w:autoSpaceDN w:val="0"/>
      <w:adjustRightInd w:val="0"/>
      <w:spacing w:after="0" w:line="240" w:lineRule="auto"/>
    </w:pPr>
    <w:rPr>
      <w:rFonts w:ascii="Arial" w:hAnsi="Arial" w:cs="Arial"/>
      <w:color w:val="000000"/>
      <w:sz w:val="24"/>
      <w:szCs w:val="24"/>
    </w:rPr>
  </w:style>
  <w:style w:type="paragraph" w:styleId="BalloonText">
    <w:name w:val="Balloon Text"/>
    <w:basedOn w:val="Normal"/>
    <w:link w:val="BalloonTextChar"/>
    <w:uiPriority w:val="99"/>
    <w:semiHidden/>
    <w:unhideWhenUsed/>
    <w:rsid w:val="0029564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95641"/>
    <w:rPr>
      <w:rFonts w:ascii="Tahoma" w:hAnsi="Tahoma" w:cs="Tahoma"/>
      <w:sz w:val="16"/>
      <w:szCs w:val="16"/>
    </w:rPr>
  </w:style>
  <w:style w:type="paragraph" w:styleId="NormalWeb">
    <w:name w:val="Normal (Web)"/>
    <w:basedOn w:val="Normal"/>
    <w:uiPriority w:val="99"/>
    <w:semiHidden/>
    <w:unhideWhenUsed/>
    <w:rsid w:val="00290F23"/>
    <w:pPr>
      <w:spacing w:before="100" w:beforeAutospacing="1" w:after="100" w:afterAutospacing="1" w:line="240" w:lineRule="auto"/>
    </w:pPr>
    <w:rPr>
      <w:rFonts w:ascii="Times New Roman" w:hAnsi="Times New Roman" w:cs="Times New Roman"/>
      <w:sz w:val="24"/>
      <w:szCs w:val="24"/>
      <w:lang w:val="en-AU" w:eastAsia="en-AU"/>
    </w:rPr>
  </w:style>
  <w:style w:type="character" w:styleId="HTMLCite">
    <w:name w:val="HTML Cite"/>
    <w:basedOn w:val="DefaultParagraphFont"/>
    <w:uiPriority w:val="99"/>
    <w:semiHidden/>
    <w:unhideWhenUsed/>
    <w:rsid w:val="00B76A1F"/>
    <w:rPr>
      <w:i/>
      <w:iCs/>
    </w:rPr>
  </w:style>
  <w:style w:type="paragraph" w:styleId="TOC1">
    <w:name w:val="toc 1"/>
    <w:basedOn w:val="Normal"/>
    <w:next w:val="Normal"/>
    <w:autoRedefine/>
    <w:uiPriority w:val="39"/>
    <w:unhideWhenUsed/>
    <w:rsid w:val="00275EAA"/>
    <w:pPr>
      <w:spacing w:after="100"/>
    </w:pPr>
  </w:style>
  <w:style w:type="paragraph" w:styleId="TOC2">
    <w:name w:val="toc 2"/>
    <w:basedOn w:val="Normal"/>
    <w:next w:val="Normal"/>
    <w:autoRedefine/>
    <w:uiPriority w:val="39"/>
    <w:unhideWhenUsed/>
    <w:rsid w:val="00275EAA"/>
    <w:pPr>
      <w:spacing w:after="100"/>
      <w:ind w:left="220"/>
    </w:pPr>
  </w:style>
  <w:style w:type="paragraph" w:styleId="TOC3">
    <w:name w:val="toc 3"/>
    <w:basedOn w:val="Normal"/>
    <w:next w:val="Normal"/>
    <w:autoRedefine/>
    <w:uiPriority w:val="39"/>
    <w:unhideWhenUsed/>
    <w:rsid w:val="00275EAA"/>
    <w:pPr>
      <w:spacing w:after="100"/>
      <w:ind w:left="440"/>
    </w:pPr>
  </w:style>
  <w:style w:type="character" w:customStyle="1" w:styleId="A7">
    <w:name w:val="A7"/>
    <w:uiPriority w:val="99"/>
    <w:rsid w:val="00261246"/>
    <w:rPr>
      <w:rFonts w:cs="Calibri"/>
      <w:color w:val="000000"/>
      <w:sz w:val="22"/>
      <w:szCs w:val="22"/>
    </w:rPr>
  </w:style>
  <w:style w:type="paragraph" w:styleId="TOC4">
    <w:name w:val="toc 4"/>
    <w:basedOn w:val="Normal"/>
    <w:next w:val="Normal"/>
    <w:autoRedefine/>
    <w:uiPriority w:val="39"/>
    <w:unhideWhenUsed/>
    <w:rsid w:val="0006036A"/>
    <w:pPr>
      <w:spacing w:after="100"/>
      <w:ind w:left="660"/>
    </w:pPr>
    <w:rPr>
      <w:rFonts w:asciiTheme="minorHAnsi" w:hAnsiTheme="minorHAnsi"/>
      <w:lang w:eastAsia="en-US"/>
    </w:rPr>
  </w:style>
  <w:style w:type="paragraph" w:styleId="TOC5">
    <w:name w:val="toc 5"/>
    <w:basedOn w:val="Normal"/>
    <w:next w:val="Normal"/>
    <w:autoRedefine/>
    <w:uiPriority w:val="39"/>
    <w:unhideWhenUsed/>
    <w:rsid w:val="0006036A"/>
    <w:pPr>
      <w:spacing w:after="100"/>
      <w:ind w:left="880"/>
    </w:pPr>
    <w:rPr>
      <w:rFonts w:asciiTheme="minorHAnsi" w:hAnsiTheme="minorHAnsi"/>
      <w:lang w:eastAsia="en-US"/>
    </w:rPr>
  </w:style>
  <w:style w:type="paragraph" w:styleId="TOC6">
    <w:name w:val="toc 6"/>
    <w:basedOn w:val="Normal"/>
    <w:next w:val="Normal"/>
    <w:autoRedefine/>
    <w:uiPriority w:val="39"/>
    <w:unhideWhenUsed/>
    <w:rsid w:val="0006036A"/>
    <w:pPr>
      <w:spacing w:after="100"/>
      <w:ind w:left="1100"/>
    </w:pPr>
    <w:rPr>
      <w:rFonts w:asciiTheme="minorHAnsi" w:hAnsiTheme="minorHAnsi"/>
      <w:lang w:eastAsia="en-US"/>
    </w:rPr>
  </w:style>
  <w:style w:type="paragraph" w:styleId="TOC7">
    <w:name w:val="toc 7"/>
    <w:basedOn w:val="Normal"/>
    <w:next w:val="Normal"/>
    <w:autoRedefine/>
    <w:uiPriority w:val="39"/>
    <w:unhideWhenUsed/>
    <w:rsid w:val="0006036A"/>
    <w:pPr>
      <w:spacing w:after="100"/>
      <w:ind w:left="1320"/>
    </w:pPr>
    <w:rPr>
      <w:rFonts w:asciiTheme="minorHAnsi" w:hAnsiTheme="minorHAnsi"/>
      <w:lang w:eastAsia="en-US"/>
    </w:rPr>
  </w:style>
  <w:style w:type="paragraph" w:styleId="TOC8">
    <w:name w:val="toc 8"/>
    <w:basedOn w:val="Normal"/>
    <w:next w:val="Normal"/>
    <w:autoRedefine/>
    <w:uiPriority w:val="39"/>
    <w:unhideWhenUsed/>
    <w:rsid w:val="0006036A"/>
    <w:pPr>
      <w:spacing w:after="100"/>
      <w:ind w:left="1540"/>
    </w:pPr>
    <w:rPr>
      <w:rFonts w:asciiTheme="minorHAnsi" w:hAnsiTheme="minorHAnsi"/>
      <w:lang w:eastAsia="en-US"/>
    </w:rPr>
  </w:style>
  <w:style w:type="paragraph" w:styleId="TOC9">
    <w:name w:val="toc 9"/>
    <w:basedOn w:val="Normal"/>
    <w:next w:val="Normal"/>
    <w:autoRedefine/>
    <w:uiPriority w:val="39"/>
    <w:unhideWhenUsed/>
    <w:rsid w:val="0006036A"/>
    <w:pPr>
      <w:spacing w:after="100"/>
      <w:ind w:left="1760"/>
    </w:pPr>
    <w:rPr>
      <w:rFonts w:asciiTheme="minorHAnsi" w:hAnsiTheme="minorHAnsi"/>
      <w:lang w:eastAsia="en-US"/>
    </w:rPr>
  </w:style>
  <w:style w:type="paragraph" w:customStyle="1" w:styleId="StyletextLeft0cmHanging127cm">
    <w:name w:val="Style text + Left:  0 cm Hanging:  1.27 cm"/>
    <w:basedOn w:val="Normal"/>
    <w:qFormat/>
    <w:rsid w:val="00665D37"/>
    <w:pPr>
      <w:spacing w:before="120" w:after="120" w:line="240" w:lineRule="auto"/>
      <w:ind w:left="720" w:hanging="720"/>
      <w:jc w:val="both"/>
    </w:pPr>
    <w:rPr>
      <w:rFonts w:ascii="Book Antiqua" w:eastAsia="Times New Roman" w:hAnsi="Book Antiqua" w:cs="Times New Roman"/>
      <w:szCs w:val="20"/>
      <w:lang w:val="en-AU" w:eastAsia="en-AU"/>
    </w:rPr>
  </w:style>
  <w:style w:type="paragraph" w:customStyle="1" w:styleId="BodyBullets">
    <w:name w:val="Body Bullets"/>
    <w:link w:val="BodyBulletsChar"/>
    <w:rsid w:val="0084711A"/>
    <w:pPr>
      <w:numPr>
        <w:numId w:val="13"/>
      </w:numPr>
      <w:tabs>
        <w:tab w:val="left" w:pos="180"/>
      </w:tabs>
      <w:spacing w:before="57" w:after="113" w:line="230" w:lineRule="exact"/>
    </w:pPr>
    <w:rPr>
      <w:rFonts w:ascii="Arial" w:eastAsia="Times New Roman" w:hAnsi="Arial" w:cs="Times New Roman"/>
      <w:color w:val="000000"/>
      <w:sz w:val="20"/>
      <w:szCs w:val="20"/>
      <w:lang w:val="en-AU" w:eastAsia="en-US"/>
    </w:rPr>
  </w:style>
  <w:style w:type="character" w:customStyle="1" w:styleId="BodyBulletsChar">
    <w:name w:val="Body Bullets Char"/>
    <w:basedOn w:val="DefaultParagraphFont"/>
    <w:link w:val="BodyBullets"/>
    <w:rsid w:val="0084711A"/>
    <w:rPr>
      <w:rFonts w:ascii="Arial" w:eastAsia="Times New Roman" w:hAnsi="Arial" w:cs="Times New Roman"/>
      <w:color w:val="000000"/>
      <w:sz w:val="20"/>
      <w:szCs w:val="20"/>
      <w:lang w:val="en-AU" w:eastAsia="en-US"/>
    </w:rPr>
  </w:style>
  <w:style w:type="paragraph" w:customStyle="1" w:styleId="Pa6">
    <w:name w:val="Pa6"/>
    <w:basedOn w:val="Default"/>
    <w:next w:val="Default"/>
    <w:uiPriority w:val="99"/>
    <w:rsid w:val="00E76084"/>
    <w:pPr>
      <w:spacing w:line="161" w:lineRule="atLeast"/>
    </w:pPr>
    <w:rPr>
      <w:rFonts w:ascii="Open Sans" w:hAnsi="Open Sans" w:cstheme="minorBidi"/>
      <w:color w:val="auto"/>
    </w:rPr>
  </w:style>
  <w:style w:type="paragraph" w:customStyle="1" w:styleId="Pa2">
    <w:name w:val="Pa2"/>
    <w:basedOn w:val="Default"/>
    <w:next w:val="Default"/>
    <w:uiPriority w:val="99"/>
    <w:rsid w:val="000C3E9C"/>
    <w:pPr>
      <w:spacing w:line="241" w:lineRule="atLeast"/>
    </w:pPr>
    <w:rPr>
      <w:rFonts w:ascii="Arial MT" w:hAnsi="Arial MT" w:cstheme="minorBidi"/>
      <w:color w:val="auto"/>
    </w:rPr>
  </w:style>
  <w:style w:type="paragraph" w:customStyle="1" w:styleId="Pa7">
    <w:name w:val="Pa7"/>
    <w:basedOn w:val="Default"/>
    <w:next w:val="Default"/>
    <w:uiPriority w:val="99"/>
    <w:rsid w:val="000C3E9C"/>
    <w:pPr>
      <w:spacing w:line="241" w:lineRule="atLeast"/>
    </w:pPr>
    <w:rPr>
      <w:rFonts w:ascii="Arial MT" w:hAnsi="Arial MT" w:cstheme="minorBidi"/>
      <w:color w:val="auto"/>
    </w:rPr>
  </w:style>
  <w:style w:type="character" w:styleId="CommentReference">
    <w:name w:val="annotation reference"/>
    <w:basedOn w:val="DefaultParagraphFont"/>
    <w:uiPriority w:val="99"/>
    <w:semiHidden/>
    <w:unhideWhenUsed/>
    <w:rsid w:val="007B76C8"/>
    <w:rPr>
      <w:sz w:val="16"/>
      <w:szCs w:val="16"/>
    </w:rPr>
  </w:style>
  <w:style w:type="paragraph" w:styleId="CommentText">
    <w:name w:val="annotation text"/>
    <w:basedOn w:val="Normal"/>
    <w:link w:val="CommentTextChar"/>
    <w:uiPriority w:val="99"/>
    <w:semiHidden/>
    <w:unhideWhenUsed/>
    <w:rsid w:val="007B76C8"/>
    <w:pPr>
      <w:spacing w:line="240" w:lineRule="auto"/>
    </w:pPr>
    <w:rPr>
      <w:sz w:val="20"/>
      <w:szCs w:val="20"/>
    </w:rPr>
  </w:style>
  <w:style w:type="character" w:customStyle="1" w:styleId="CommentTextChar">
    <w:name w:val="Comment Text Char"/>
    <w:basedOn w:val="DefaultParagraphFont"/>
    <w:link w:val="CommentText"/>
    <w:uiPriority w:val="99"/>
    <w:semiHidden/>
    <w:rsid w:val="007B76C8"/>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7B76C8"/>
    <w:rPr>
      <w:b/>
      <w:bCs/>
    </w:rPr>
  </w:style>
  <w:style w:type="character" w:customStyle="1" w:styleId="CommentSubjectChar">
    <w:name w:val="Comment Subject Char"/>
    <w:basedOn w:val="CommentTextChar"/>
    <w:link w:val="CommentSubject"/>
    <w:uiPriority w:val="99"/>
    <w:semiHidden/>
    <w:rsid w:val="007B76C8"/>
    <w:rPr>
      <w:rFonts w:ascii="Arial" w:hAnsi="Arial"/>
      <w:b/>
      <w:bCs/>
      <w:sz w:val="20"/>
      <w:szCs w:val="20"/>
    </w:rPr>
  </w:style>
  <w:style w:type="character" w:styleId="FollowedHyperlink">
    <w:name w:val="FollowedHyperlink"/>
    <w:basedOn w:val="DefaultParagraphFont"/>
    <w:uiPriority w:val="99"/>
    <w:semiHidden/>
    <w:unhideWhenUsed/>
    <w:rsid w:val="002848DD"/>
    <w:rPr>
      <w:color w:val="B26B02" w:themeColor="followedHyperlink"/>
      <w:u w:val="single"/>
    </w:rPr>
  </w:style>
  <w:style w:type="table" w:styleId="TableGrid">
    <w:name w:val="Table Grid"/>
    <w:basedOn w:val="TableNormal"/>
    <w:uiPriority w:val="39"/>
    <w:unhideWhenUsed/>
    <w:rsid w:val="00F653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AD2F2F"/>
    <w:pPr>
      <w:widowControl w:val="0"/>
      <w:spacing w:before="158" w:after="0" w:line="240" w:lineRule="auto"/>
      <w:ind w:left="118"/>
    </w:pPr>
    <w:rPr>
      <w:rFonts w:ascii="Calibri" w:eastAsia="Calibri" w:hAnsi="Calibri"/>
      <w:lang w:eastAsia="en-US"/>
    </w:rPr>
  </w:style>
  <w:style w:type="character" w:customStyle="1" w:styleId="BodyTextChar">
    <w:name w:val="Body Text Char"/>
    <w:basedOn w:val="DefaultParagraphFont"/>
    <w:link w:val="BodyText"/>
    <w:uiPriority w:val="1"/>
    <w:rsid w:val="00AD2F2F"/>
    <w:rPr>
      <w:rFonts w:ascii="Calibri" w:eastAsia="Calibri" w:hAnsi="Calibr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798171">
      <w:bodyDiv w:val="1"/>
      <w:marLeft w:val="0"/>
      <w:marRight w:val="0"/>
      <w:marTop w:val="0"/>
      <w:marBottom w:val="0"/>
      <w:divBdr>
        <w:top w:val="none" w:sz="0" w:space="0" w:color="auto"/>
        <w:left w:val="none" w:sz="0" w:space="0" w:color="auto"/>
        <w:bottom w:val="none" w:sz="0" w:space="0" w:color="auto"/>
        <w:right w:val="none" w:sz="0" w:space="0" w:color="auto"/>
      </w:divBdr>
      <w:divsChild>
        <w:div w:id="1120220941">
          <w:marLeft w:val="0"/>
          <w:marRight w:val="0"/>
          <w:marTop w:val="0"/>
          <w:marBottom w:val="0"/>
          <w:divBdr>
            <w:top w:val="none" w:sz="0" w:space="0" w:color="auto"/>
            <w:left w:val="none" w:sz="0" w:space="0" w:color="auto"/>
            <w:bottom w:val="none" w:sz="0" w:space="0" w:color="auto"/>
            <w:right w:val="none" w:sz="0" w:space="0" w:color="auto"/>
          </w:divBdr>
          <w:divsChild>
            <w:div w:id="601836691">
              <w:marLeft w:val="-300"/>
              <w:marRight w:val="0"/>
              <w:marTop w:val="0"/>
              <w:marBottom w:val="0"/>
              <w:divBdr>
                <w:top w:val="none" w:sz="0" w:space="0" w:color="auto"/>
                <w:left w:val="none" w:sz="0" w:space="0" w:color="auto"/>
                <w:bottom w:val="none" w:sz="0" w:space="0" w:color="auto"/>
                <w:right w:val="none" w:sz="0" w:space="0" w:color="auto"/>
              </w:divBdr>
              <w:divsChild>
                <w:div w:id="1020669896">
                  <w:marLeft w:val="0"/>
                  <w:marRight w:val="0"/>
                  <w:marTop w:val="0"/>
                  <w:marBottom w:val="0"/>
                  <w:divBdr>
                    <w:top w:val="none" w:sz="0" w:space="0" w:color="auto"/>
                    <w:left w:val="none" w:sz="0" w:space="0" w:color="auto"/>
                    <w:bottom w:val="none" w:sz="0" w:space="0" w:color="auto"/>
                    <w:right w:val="none" w:sz="0" w:space="0" w:color="auto"/>
                  </w:divBdr>
                  <w:divsChild>
                    <w:div w:id="1339194492">
                      <w:marLeft w:val="-300"/>
                      <w:marRight w:val="0"/>
                      <w:marTop w:val="0"/>
                      <w:marBottom w:val="0"/>
                      <w:divBdr>
                        <w:top w:val="none" w:sz="0" w:space="0" w:color="auto"/>
                        <w:left w:val="none" w:sz="0" w:space="0" w:color="auto"/>
                        <w:bottom w:val="none" w:sz="0" w:space="0" w:color="auto"/>
                        <w:right w:val="none" w:sz="0" w:space="0" w:color="auto"/>
                      </w:divBdr>
                      <w:divsChild>
                        <w:div w:id="153310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0311099">
      <w:bodyDiv w:val="1"/>
      <w:marLeft w:val="0"/>
      <w:marRight w:val="0"/>
      <w:marTop w:val="0"/>
      <w:marBottom w:val="0"/>
      <w:divBdr>
        <w:top w:val="none" w:sz="0" w:space="0" w:color="auto"/>
        <w:left w:val="none" w:sz="0" w:space="0" w:color="auto"/>
        <w:bottom w:val="none" w:sz="0" w:space="0" w:color="auto"/>
        <w:right w:val="none" w:sz="0" w:space="0" w:color="auto"/>
      </w:divBdr>
      <w:divsChild>
        <w:div w:id="922252226">
          <w:marLeft w:val="0"/>
          <w:marRight w:val="0"/>
          <w:marTop w:val="0"/>
          <w:marBottom w:val="0"/>
          <w:divBdr>
            <w:top w:val="none" w:sz="0" w:space="0" w:color="auto"/>
            <w:left w:val="none" w:sz="0" w:space="0" w:color="auto"/>
            <w:bottom w:val="none" w:sz="0" w:space="0" w:color="auto"/>
            <w:right w:val="none" w:sz="0" w:space="0" w:color="auto"/>
          </w:divBdr>
          <w:divsChild>
            <w:div w:id="1859587338">
              <w:marLeft w:val="0"/>
              <w:marRight w:val="0"/>
              <w:marTop w:val="0"/>
              <w:marBottom w:val="0"/>
              <w:divBdr>
                <w:top w:val="none" w:sz="0" w:space="0" w:color="auto"/>
                <w:left w:val="none" w:sz="0" w:space="0" w:color="auto"/>
                <w:bottom w:val="none" w:sz="0" w:space="0" w:color="auto"/>
                <w:right w:val="none" w:sz="0" w:space="0" w:color="auto"/>
              </w:divBdr>
              <w:divsChild>
                <w:div w:id="425465220">
                  <w:marLeft w:val="0"/>
                  <w:marRight w:val="0"/>
                  <w:marTop w:val="0"/>
                  <w:marBottom w:val="0"/>
                  <w:divBdr>
                    <w:top w:val="none" w:sz="0" w:space="0" w:color="auto"/>
                    <w:left w:val="none" w:sz="0" w:space="0" w:color="auto"/>
                    <w:bottom w:val="none" w:sz="0" w:space="0" w:color="auto"/>
                    <w:right w:val="none" w:sz="0" w:space="0" w:color="auto"/>
                  </w:divBdr>
                  <w:divsChild>
                    <w:div w:id="1714114660">
                      <w:marLeft w:val="0"/>
                      <w:marRight w:val="0"/>
                      <w:marTop w:val="0"/>
                      <w:marBottom w:val="0"/>
                      <w:divBdr>
                        <w:top w:val="none" w:sz="0" w:space="0" w:color="auto"/>
                        <w:left w:val="none" w:sz="0" w:space="0" w:color="auto"/>
                        <w:bottom w:val="none" w:sz="0" w:space="0" w:color="auto"/>
                        <w:right w:val="none" w:sz="0" w:space="0" w:color="auto"/>
                      </w:divBdr>
                      <w:divsChild>
                        <w:div w:id="581717994">
                          <w:marLeft w:val="0"/>
                          <w:marRight w:val="0"/>
                          <w:marTop w:val="0"/>
                          <w:marBottom w:val="0"/>
                          <w:divBdr>
                            <w:top w:val="none" w:sz="0" w:space="0" w:color="auto"/>
                            <w:left w:val="none" w:sz="0" w:space="0" w:color="auto"/>
                            <w:bottom w:val="none" w:sz="0" w:space="0" w:color="auto"/>
                            <w:right w:val="none" w:sz="0" w:space="0" w:color="auto"/>
                          </w:divBdr>
                          <w:divsChild>
                            <w:div w:id="1971475436">
                              <w:marLeft w:val="0"/>
                              <w:marRight w:val="0"/>
                              <w:marTop w:val="0"/>
                              <w:marBottom w:val="0"/>
                              <w:divBdr>
                                <w:top w:val="none" w:sz="0" w:space="0" w:color="auto"/>
                                <w:left w:val="none" w:sz="0" w:space="0" w:color="auto"/>
                                <w:bottom w:val="none" w:sz="0" w:space="0" w:color="auto"/>
                                <w:right w:val="none" w:sz="0" w:space="0" w:color="auto"/>
                              </w:divBdr>
                              <w:divsChild>
                                <w:div w:id="1810828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8046333">
      <w:bodyDiv w:val="1"/>
      <w:marLeft w:val="0"/>
      <w:marRight w:val="0"/>
      <w:marTop w:val="0"/>
      <w:marBottom w:val="0"/>
      <w:divBdr>
        <w:top w:val="none" w:sz="0" w:space="0" w:color="auto"/>
        <w:left w:val="none" w:sz="0" w:space="0" w:color="auto"/>
        <w:bottom w:val="none" w:sz="0" w:space="0" w:color="auto"/>
        <w:right w:val="none" w:sz="0" w:space="0" w:color="auto"/>
      </w:divBdr>
    </w:div>
    <w:div w:id="674265431">
      <w:bodyDiv w:val="1"/>
      <w:marLeft w:val="0"/>
      <w:marRight w:val="0"/>
      <w:marTop w:val="0"/>
      <w:marBottom w:val="0"/>
      <w:divBdr>
        <w:top w:val="none" w:sz="0" w:space="0" w:color="auto"/>
        <w:left w:val="none" w:sz="0" w:space="0" w:color="auto"/>
        <w:bottom w:val="none" w:sz="0" w:space="0" w:color="auto"/>
        <w:right w:val="none" w:sz="0" w:space="0" w:color="auto"/>
      </w:divBdr>
    </w:div>
    <w:div w:id="980307082">
      <w:bodyDiv w:val="1"/>
      <w:marLeft w:val="0"/>
      <w:marRight w:val="0"/>
      <w:marTop w:val="0"/>
      <w:marBottom w:val="0"/>
      <w:divBdr>
        <w:top w:val="none" w:sz="0" w:space="0" w:color="auto"/>
        <w:left w:val="none" w:sz="0" w:space="0" w:color="auto"/>
        <w:bottom w:val="none" w:sz="0" w:space="0" w:color="auto"/>
        <w:right w:val="none" w:sz="0" w:space="0" w:color="auto"/>
      </w:divBdr>
    </w:div>
    <w:div w:id="1158035324">
      <w:bodyDiv w:val="1"/>
      <w:marLeft w:val="0"/>
      <w:marRight w:val="0"/>
      <w:marTop w:val="0"/>
      <w:marBottom w:val="0"/>
      <w:divBdr>
        <w:top w:val="none" w:sz="0" w:space="0" w:color="auto"/>
        <w:left w:val="none" w:sz="0" w:space="0" w:color="auto"/>
        <w:bottom w:val="none" w:sz="0" w:space="0" w:color="auto"/>
        <w:right w:val="none" w:sz="0" w:space="0" w:color="auto"/>
      </w:divBdr>
    </w:div>
    <w:div w:id="1167214516">
      <w:bodyDiv w:val="1"/>
      <w:marLeft w:val="0"/>
      <w:marRight w:val="0"/>
      <w:marTop w:val="0"/>
      <w:marBottom w:val="0"/>
      <w:divBdr>
        <w:top w:val="none" w:sz="0" w:space="0" w:color="auto"/>
        <w:left w:val="none" w:sz="0" w:space="0" w:color="auto"/>
        <w:bottom w:val="none" w:sz="0" w:space="0" w:color="auto"/>
        <w:right w:val="none" w:sz="0" w:space="0" w:color="auto"/>
      </w:divBdr>
    </w:div>
    <w:div w:id="1318415217">
      <w:bodyDiv w:val="1"/>
      <w:marLeft w:val="0"/>
      <w:marRight w:val="0"/>
      <w:marTop w:val="0"/>
      <w:marBottom w:val="0"/>
      <w:divBdr>
        <w:top w:val="none" w:sz="0" w:space="0" w:color="auto"/>
        <w:left w:val="none" w:sz="0" w:space="0" w:color="auto"/>
        <w:bottom w:val="none" w:sz="0" w:space="0" w:color="auto"/>
        <w:right w:val="none" w:sz="0" w:space="0" w:color="auto"/>
      </w:divBdr>
      <w:divsChild>
        <w:div w:id="1968201246">
          <w:marLeft w:val="0"/>
          <w:marRight w:val="0"/>
          <w:marTop w:val="0"/>
          <w:marBottom w:val="0"/>
          <w:divBdr>
            <w:top w:val="none" w:sz="0" w:space="0" w:color="auto"/>
            <w:left w:val="none" w:sz="0" w:space="0" w:color="auto"/>
            <w:bottom w:val="none" w:sz="0" w:space="0" w:color="auto"/>
            <w:right w:val="none" w:sz="0" w:space="0" w:color="auto"/>
          </w:divBdr>
          <w:divsChild>
            <w:div w:id="1487893775">
              <w:marLeft w:val="0"/>
              <w:marRight w:val="0"/>
              <w:marTop w:val="0"/>
              <w:marBottom w:val="0"/>
              <w:divBdr>
                <w:top w:val="none" w:sz="0" w:space="0" w:color="auto"/>
                <w:left w:val="none" w:sz="0" w:space="0" w:color="auto"/>
                <w:bottom w:val="none" w:sz="0" w:space="0" w:color="auto"/>
                <w:right w:val="none" w:sz="0" w:space="0" w:color="auto"/>
              </w:divBdr>
              <w:divsChild>
                <w:div w:id="468934638">
                  <w:marLeft w:val="0"/>
                  <w:marRight w:val="0"/>
                  <w:marTop w:val="0"/>
                  <w:marBottom w:val="0"/>
                  <w:divBdr>
                    <w:top w:val="none" w:sz="0" w:space="0" w:color="auto"/>
                    <w:left w:val="none" w:sz="0" w:space="0" w:color="auto"/>
                    <w:bottom w:val="none" w:sz="0" w:space="0" w:color="auto"/>
                    <w:right w:val="none" w:sz="0" w:space="0" w:color="auto"/>
                  </w:divBdr>
                  <w:divsChild>
                    <w:div w:id="1107575460">
                      <w:marLeft w:val="0"/>
                      <w:marRight w:val="0"/>
                      <w:marTop w:val="0"/>
                      <w:marBottom w:val="0"/>
                      <w:divBdr>
                        <w:top w:val="none" w:sz="0" w:space="0" w:color="auto"/>
                        <w:left w:val="none" w:sz="0" w:space="0" w:color="auto"/>
                        <w:bottom w:val="none" w:sz="0" w:space="0" w:color="auto"/>
                        <w:right w:val="none" w:sz="0" w:space="0" w:color="auto"/>
                      </w:divBdr>
                      <w:divsChild>
                        <w:div w:id="2002391503">
                          <w:marLeft w:val="0"/>
                          <w:marRight w:val="0"/>
                          <w:marTop w:val="0"/>
                          <w:marBottom w:val="0"/>
                          <w:divBdr>
                            <w:top w:val="none" w:sz="0" w:space="0" w:color="auto"/>
                            <w:left w:val="none" w:sz="0" w:space="0" w:color="auto"/>
                            <w:bottom w:val="none" w:sz="0" w:space="0" w:color="auto"/>
                            <w:right w:val="none" w:sz="0" w:space="0" w:color="auto"/>
                          </w:divBdr>
                          <w:divsChild>
                            <w:div w:id="1292903626">
                              <w:marLeft w:val="0"/>
                              <w:marRight w:val="0"/>
                              <w:marTop w:val="0"/>
                              <w:marBottom w:val="0"/>
                              <w:divBdr>
                                <w:top w:val="none" w:sz="0" w:space="0" w:color="auto"/>
                                <w:left w:val="none" w:sz="0" w:space="0" w:color="auto"/>
                                <w:bottom w:val="none" w:sz="0" w:space="0" w:color="auto"/>
                                <w:right w:val="none" w:sz="0" w:space="0" w:color="auto"/>
                              </w:divBdr>
                              <w:divsChild>
                                <w:div w:id="174622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5840999">
      <w:bodyDiv w:val="1"/>
      <w:marLeft w:val="0"/>
      <w:marRight w:val="0"/>
      <w:marTop w:val="0"/>
      <w:marBottom w:val="0"/>
      <w:divBdr>
        <w:top w:val="none" w:sz="0" w:space="0" w:color="auto"/>
        <w:left w:val="none" w:sz="0" w:space="0" w:color="auto"/>
        <w:bottom w:val="none" w:sz="0" w:space="0" w:color="auto"/>
        <w:right w:val="none" w:sz="0" w:space="0" w:color="auto"/>
      </w:divBdr>
    </w:div>
    <w:div w:id="1356882445">
      <w:bodyDiv w:val="1"/>
      <w:marLeft w:val="0"/>
      <w:marRight w:val="0"/>
      <w:marTop w:val="0"/>
      <w:marBottom w:val="0"/>
      <w:divBdr>
        <w:top w:val="none" w:sz="0" w:space="0" w:color="auto"/>
        <w:left w:val="none" w:sz="0" w:space="0" w:color="auto"/>
        <w:bottom w:val="none" w:sz="0" w:space="0" w:color="auto"/>
        <w:right w:val="none" w:sz="0" w:space="0" w:color="auto"/>
      </w:divBdr>
      <w:divsChild>
        <w:div w:id="24912011">
          <w:marLeft w:val="720"/>
          <w:marRight w:val="0"/>
          <w:marTop w:val="0"/>
          <w:marBottom w:val="0"/>
          <w:divBdr>
            <w:top w:val="none" w:sz="0" w:space="0" w:color="auto"/>
            <w:left w:val="none" w:sz="0" w:space="0" w:color="auto"/>
            <w:bottom w:val="none" w:sz="0" w:space="0" w:color="auto"/>
            <w:right w:val="none" w:sz="0" w:space="0" w:color="auto"/>
          </w:divBdr>
        </w:div>
        <w:div w:id="226769914">
          <w:marLeft w:val="720"/>
          <w:marRight w:val="0"/>
          <w:marTop w:val="0"/>
          <w:marBottom w:val="0"/>
          <w:divBdr>
            <w:top w:val="none" w:sz="0" w:space="0" w:color="auto"/>
            <w:left w:val="none" w:sz="0" w:space="0" w:color="auto"/>
            <w:bottom w:val="none" w:sz="0" w:space="0" w:color="auto"/>
            <w:right w:val="none" w:sz="0" w:space="0" w:color="auto"/>
          </w:divBdr>
        </w:div>
        <w:div w:id="273096680">
          <w:marLeft w:val="720"/>
          <w:marRight w:val="0"/>
          <w:marTop w:val="0"/>
          <w:marBottom w:val="0"/>
          <w:divBdr>
            <w:top w:val="none" w:sz="0" w:space="0" w:color="auto"/>
            <w:left w:val="none" w:sz="0" w:space="0" w:color="auto"/>
            <w:bottom w:val="none" w:sz="0" w:space="0" w:color="auto"/>
            <w:right w:val="none" w:sz="0" w:space="0" w:color="auto"/>
          </w:divBdr>
        </w:div>
        <w:div w:id="930548352">
          <w:marLeft w:val="720"/>
          <w:marRight w:val="0"/>
          <w:marTop w:val="0"/>
          <w:marBottom w:val="0"/>
          <w:divBdr>
            <w:top w:val="none" w:sz="0" w:space="0" w:color="auto"/>
            <w:left w:val="none" w:sz="0" w:space="0" w:color="auto"/>
            <w:bottom w:val="none" w:sz="0" w:space="0" w:color="auto"/>
            <w:right w:val="none" w:sz="0" w:space="0" w:color="auto"/>
          </w:divBdr>
        </w:div>
        <w:div w:id="933167614">
          <w:marLeft w:val="720"/>
          <w:marRight w:val="0"/>
          <w:marTop w:val="0"/>
          <w:marBottom w:val="0"/>
          <w:divBdr>
            <w:top w:val="none" w:sz="0" w:space="0" w:color="auto"/>
            <w:left w:val="none" w:sz="0" w:space="0" w:color="auto"/>
            <w:bottom w:val="none" w:sz="0" w:space="0" w:color="auto"/>
            <w:right w:val="none" w:sz="0" w:space="0" w:color="auto"/>
          </w:divBdr>
        </w:div>
        <w:div w:id="961152455">
          <w:marLeft w:val="720"/>
          <w:marRight w:val="0"/>
          <w:marTop w:val="0"/>
          <w:marBottom w:val="0"/>
          <w:divBdr>
            <w:top w:val="none" w:sz="0" w:space="0" w:color="auto"/>
            <w:left w:val="none" w:sz="0" w:space="0" w:color="auto"/>
            <w:bottom w:val="none" w:sz="0" w:space="0" w:color="auto"/>
            <w:right w:val="none" w:sz="0" w:space="0" w:color="auto"/>
          </w:divBdr>
        </w:div>
        <w:div w:id="1506894876">
          <w:marLeft w:val="720"/>
          <w:marRight w:val="0"/>
          <w:marTop w:val="0"/>
          <w:marBottom w:val="0"/>
          <w:divBdr>
            <w:top w:val="none" w:sz="0" w:space="0" w:color="auto"/>
            <w:left w:val="none" w:sz="0" w:space="0" w:color="auto"/>
            <w:bottom w:val="none" w:sz="0" w:space="0" w:color="auto"/>
            <w:right w:val="none" w:sz="0" w:space="0" w:color="auto"/>
          </w:divBdr>
        </w:div>
        <w:div w:id="1592664078">
          <w:marLeft w:val="720"/>
          <w:marRight w:val="0"/>
          <w:marTop w:val="0"/>
          <w:marBottom w:val="0"/>
          <w:divBdr>
            <w:top w:val="none" w:sz="0" w:space="0" w:color="auto"/>
            <w:left w:val="none" w:sz="0" w:space="0" w:color="auto"/>
            <w:bottom w:val="none" w:sz="0" w:space="0" w:color="auto"/>
            <w:right w:val="none" w:sz="0" w:space="0" w:color="auto"/>
          </w:divBdr>
        </w:div>
        <w:div w:id="1706099909">
          <w:marLeft w:val="720"/>
          <w:marRight w:val="0"/>
          <w:marTop w:val="0"/>
          <w:marBottom w:val="0"/>
          <w:divBdr>
            <w:top w:val="none" w:sz="0" w:space="0" w:color="auto"/>
            <w:left w:val="none" w:sz="0" w:space="0" w:color="auto"/>
            <w:bottom w:val="none" w:sz="0" w:space="0" w:color="auto"/>
            <w:right w:val="none" w:sz="0" w:space="0" w:color="auto"/>
          </w:divBdr>
        </w:div>
        <w:div w:id="1738090080">
          <w:marLeft w:val="720"/>
          <w:marRight w:val="0"/>
          <w:marTop w:val="0"/>
          <w:marBottom w:val="0"/>
          <w:divBdr>
            <w:top w:val="none" w:sz="0" w:space="0" w:color="auto"/>
            <w:left w:val="none" w:sz="0" w:space="0" w:color="auto"/>
            <w:bottom w:val="none" w:sz="0" w:space="0" w:color="auto"/>
            <w:right w:val="none" w:sz="0" w:space="0" w:color="auto"/>
          </w:divBdr>
        </w:div>
        <w:div w:id="1881892423">
          <w:marLeft w:val="720"/>
          <w:marRight w:val="0"/>
          <w:marTop w:val="0"/>
          <w:marBottom w:val="0"/>
          <w:divBdr>
            <w:top w:val="none" w:sz="0" w:space="0" w:color="auto"/>
            <w:left w:val="none" w:sz="0" w:space="0" w:color="auto"/>
            <w:bottom w:val="none" w:sz="0" w:space="0" w:color="auto"/>
            <w:right w:val="none" w:sz="0" w:space="0" w:color="auto"/>
          </w:divBdr>
        </w:div>
      </w:divsChild>
    </w:div>
    <w:div w:id="1452820421">
      <w:bodyDiv w:val="1"/>
      <w:marLeft w:val="0"/>
      <w:marRight w:val="0"/>
      <w:marTop w:val="0"/>
      <w:marBottom w:val="0"/>
      <w:divBdr>
        <w:top w:val="none" w:sz="0" w:space="0" w:color="auto"/>
        <w:left w:val="none" w:sz="0" w:space="0" w:color="auto"/>
        <w:bottom w:val="none" w:sz="0" w:space="0" w:color="auto"/>
        <w:right w:val="none" w:sz="0" w:space="0" w:color="auto"/>
      </w:divBdr>
      <w:divsChild>
        <w:div w:id="81680092">
          <w:marLeft w:val="0"/>
          <w:marRight w:val="0"/>
          <w:marTop w:val="0"/>
          <w:marBottom w:val="0"/>
          <w:divBdr>
            <w:top w:val="none" w:sz="0" w:space="0" w:color="auto"/>
            <w:left w:val="none" w:sz="0" w:space="0" w:color="auto"/>
            <w:bottom w:val="none" w:sz="0" w:space="0" w:color="auto"/>
            <w:right w:val="none" w:sz="0" w:space="0" w:color="auto"/>
          </w:divBdr>
          <w:divsChild>
            <w:div w:id="73432243">
              <w:marLeft w:val="0"/>
              <w:marRight w:val="0"/>
              <w:marTop w:val="0"/>
              <w:marBottom w:val="0"/>
              <w:divBdr>
                <w:top w:val="none" w:sz="0" w:space="0" w:color="auto"/>
                <w:left w:val="none" w:sz="0" w:space="0" w:color="auto"/>
                <w:bottom w:val="none" w:sz="0" w:space="0" w:color="auto"/>
                <w:right w:val="none" w:sz="0" w:space="0" w:color="auto"/>
              </w:divBdr>
              <w:divsChild>
                <w:div w:id="799692095">
                  <w:marLeft w:val="0"/>
                  <w:marRight w:val="0"/>
                  <w:marTop w:val="0"/>
                  <w:marBottom w:val="0"/>
                  <w:divBdr>
                    <w:top w:val="none" w:sz="0" w:space="0" w:color="auto"/>
                    <w:left w:val="none" w:sz="0" w:space="0" w:color="auto"/>
                    <w:bottom w:val="none" w:sz="0" w:space="0" w:color="auto"/>
                    <w:right w:val="none" w:sz="0" w:space="0" w:color="auto"/>
                  </w:divBdr>
                  <w:divsChild>
                    <w:div w:id="599869910">
                      <w:marLeft w:val="0"/>
                      <w:marRight w:val="0"/>
                      <w:marTop w:val="0"/>
                      <w:marBottom w:val="0"/>
                      <w:divBdr>
                        <w:top w:val="none" w:sz="0" w:space="0" w:color="auto"/>
                        <w:left w:val="none" w:sz="0" w:space="0" w:color="auto"/>
                        <w:bottom w:val="none" w:sz="0" w:space="0" w:color="auto"/>
                        <w:right w:val="none" w:sz="0" w:space="0" w:color="auto"/>
                      </w:divBdr>
                      <w:divsChild>
                        <w:div w:id="68425800">
                          <w:marLeft w:val="0"/>
                          <w:marRight w:val="0"/>
                          <w:marTop w:val="0"/>
                          <w:marBottom w:val="0"/>
                          <w:divBdr>
                            <w:top w:val="none" w:sz="0" w:space="0" w:color="auto"/>
                            <w:left w:val="none" w:sz="0" w:space="0" w:color="auto"/>
                            <w:bottom w:val="none" w:sz="0" w:space="0" w:color="auto"/>
                            <w:right w:val="none" w:sz="0" w:space="0" w:color="auto"/>
                          </w:divBdr>
                          <w:divsChild>
                            <w:div w:id="1153137733">
                              <w:marLeft w:val="0"/>
                              <w:marRight w:val="0"/>
                              <w:marTop w:val="0"/>
                              <w:marBottom w:val="0"/>
                              <w:divBdr>
                                <w:top w:val="none" w:sz="0" w:space="0" w:color="auto"/>
                                <w:left w:val="none" w:sz="0" w:space="0" w:color="auto"/>
                                <w:bottom w:val="none" w:sz="0" w:space="0" w:color="auto"/>
                                <w:right w:val="none" w:sz="0" w:space="0" w:color="auto"/>
                              </w:divBdr>
                              <w:divsChild>
                                <w:div w:id="1104768219">
                                  <w:marLeft w:val="0"/>
                                  <w:marRight w:val="0"/>
                                  <w:marTop w:val="0"/>
                                  <w:marBottom w:val="0"/>
                                  <w:divBdr>
                                    <w:top w:val="none" w:sz="0" w:space="0" w:color="auto"/>
                                    <w:left w:val="none" w:sz="0" w:space="0" w:color="auto"/>
                                    <w:bottom w:val="none" w:sz="0" w:space="0" w:color="auto"/>
                                    <w:right w:val="none" w:sz="0" w:space="0" w:color="auto"/>
                                  </w:divBdr>
                                  <w:divsChild>
                                    <w:div w:id="1753428810">
                                      <w:marLeft w:val="0"/>
                                      <w:marRight w:val="0"/>
                                      <w:marTop w:val="0"/>
                                      <w:marBottom w:val="0"/>
                                      <w:divBdr>
                                        <w:top w:val="none" w:sz="0" w:space="0" w:color="auto"/>
                                        <w:left w:val="none" w:sz="0" w:space="0" w:color="auto"/>
                                        <w:bottom w:val="none" w:sz="0" w:space="0" w:color="auto"/>
                                        <w:right w:val="none" w:sz="0" w:space="0" w:color="auto"/>
                                      </w:divBdr>
                                      <w:divsChild>
                                        <w:div w:id="894655570">
                                          <w:marLeft w:val="0"/>
                                          <w:marRight w:val="0"/>
                                          <w:marTop w:val="0"/>
                                          <w:marBottom w:val="0"/>
                                          <w:divBdr>
                                            <w:top w:val="none" w:sz="0" w:space="0" w:color="auto"/>
                                            <w:left w:val="none" w:sz="0" w:space="0" w:color="auto"/>
                                            <w:bottom w:val="none" w:sz="0" w:space="0" w:color="auto"/>
                                            <w:right w:val="none" w:sz="0" w:space="0" w:color="auto"/>
                                          </w:divBdr>
                                          <w:divsChild>
                                            <w:div w:id="369184401">
                                              <w:marLeft w:val="0"/>
                                              <w:marRight w:val="0"/>
                                              <w:marTop w:val="0"/>
                                              <w:marBottom w:val="0"/>
                                              <w:divBdr>
                                                <w:top w:val="none" w:sz="0" w:space="0" w:color="auto"/>
                                                <w:left w:val="none" w:sz="0" w:space="0" w:color="auto"/>
                                                <w:bottom w:val="none" w:sz="0" w:space="0" w:color="auto"/>
                                                <w:right w:val="none" w:sz="0" w:space="0" w:color="auto"/>
                                              </w:divBdr>
                                              <w:divsChild>
                                                <w:div w:id="722289999">
                                                  <w:marLeft w:val="0"/>
                                                  <w:marRight w:val="0"/>
                                                  <w:marTop w:val="0"/>
                                                  <w:marBottom w:val="0"/>
                                                  <w:divBdr>
                                                    <w:top w:val="none" w:sz="0" w:space="0" w:color="auto"/>
                                                    <w:left w:val="none" w:sz="0" w:space="0" w:color="auto"/>
                                                    <w:bottom w:val="none" w:sz="0" w:space="0" w:color="auto"/>
                                                    <w:right w:val="none" w:sz="0" w:space="0" w:color="auto"/>
                                                  </w:divBdr>
                                                  <w:divsChild>
                                                    <w:div w:id="692462966">
                                                      <w:marLeft w:val="0"/>
                                                      <w:marRight w:val="0"/>
                                                      <w:marTop w:val="0"/>
                                                      <w:marBottom w:val="0"/>
                                                      <w:divBdr>
                                                        <w:top w:val="none" w:sz="0" w:space="0" w:color="auto"/>
                                                        <w:left w:val="none" w:sz="0" w:space="0" w:color="auto"/>
                                                        <w:bottom w:val="none" w:sz="0" w:space="0" w:color="auto"/>
                                                        <w:right w:val="none" w:sz="0" w:space="0" w:color="auto"/>
                                                      </w:divBdr>
                                                      <w:divsChild>
                                                        <w:div w:id="698361389">
                                                          <w:marLeft w:val="0"/>
                                                          <w:marRight w:val="0"/>
                                                          <w:marTop w:val="0"/>
                                                          <w:marBottom w:val="0"/>
                                                          <w:divBdr>
                                                            <w:top w:val="none" w:sz="0" w:space="0" w:color="auto"/>
                                                            <w:left w:val="none" w:sz="0" w:space="0" w:color="auto"/>
                                                            <w:bottom w:val="none" w:sz="0" w:space="0" w:color="auto"/>
                                                            <w:right w:val="none" w:sz="0" w:space="0" w:color="auto"/>
                                                          </w:divBdr>
                                                          <w:divsChild>
                                                            <w:div w:id="58215040">
                                                              <w:marLeft w:val="0"/>
                                                              <w:marRight w:val="0"/>
                                                              <w:marTop w:val="0"/>
                                                              <w:marBottom w:val="0"/>
                                                              <w:divBdr>
                                                                <w:top w:val="none" w:sz="0" w:space="0" w:color="auto"/>
                                                                <w:left w:val="none" w:sz="0" w:space="0" w:color="auto"/>
                                                                <w:bottom w:val="none" w:sz="0" w:space="0" w:color="auto"/>
                                                                <w:right w:val="none" w:sz="0" w:space="0" w:color="auto"/>
                                                              </w:divBdr>
                                                              <w:divsChild>
                                                                <w:div w:id="244606657">
                                                                  <w:marLeft w:val="0"/>
                                                                  <w:marRight w:val="0"/>
                                                                  <w:marTop w:val="0"/>
                                                                  <w:marBottom w:val="0"/>
                                                                  <w:divBdr>
                                                                    <w:top w:val="none" w:sz="0" w:space="0" w:color="auto"/>
                                                                    <w:left w:val="none" w:sz="0" w:space="0" w:color="auto"/>
                                                                    <w:bottom w:val="none" w:sz="0" w:space="0" w:color="auto"/>
                                                                    <w:right w:val="none" w:sz="0" w:space="0" w:color="auto"/>
                                                                  </w:divBdr>
                                                                </w:div>
                                                                <w:div w:id="989598985">
                                                                  <w:marLeft w:val="0"/>
                                                                  <w:marRight w:val="0"/>
                                                                  <w:marTop w:val="0"/>
                                                                  <w:marBottom w:val="0"/>
                                                                  <w:divBdr>
                                                                    <w:top w:val="none" w:sz="0" w:space="0" w:color="auto"/>
                                                                    <w:left w:val="none" w:sz="0" w:space="0" w:color="auto"/>
                                                                    <w:bottom w:val="none" w:sz="0" w:space="0" w:color="auto"/>
                                                                    <w:right w:val="none" w:sz="0" w:space="0" w:color="auto"/>
                                                                  </w:divBdr>
                                                                </w:div>
                                                                <w:div w:id="1281112054">
                                                                  <w:marLeft w:val="240"/>
                                                                  <w:marRight w:val="0"/>
                                                                  <w:marTop w:val="0"/>
                                                                  <w:marBottom w:val="0"/>
                                                                  <w:divBdr>
                                                                    <w:top w:val="none" w:sz="0" w:space="0" w:color="auto"/>
                                                                    <w:left w:val="none" w:sz="0" w:space="0" w:color="auto"/>
                                                                    <w:bottom w:val="none" w:sz="0" w:space="0" w:color="auto"/>
                                                                    <w:right w:val="none" w:sz="0" w:space="0" w:color="auto"/>
                                                                  </w:divBdr>
                                                                  <w:divsChild>
                                                                    <w:div w:id="241572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11600433">
      <w:bodyDiv w:val="1"/>
      <w:marLeft w:val="0"/>
      <w:marRight w:val="0"/>
      <w:marTop w:val="0"/>
      <w:marBottom w:val="0"/>
      <w:divBdr>
        <w:top w:val="none" w:sz="0" w:space="0" w:color="auto"/>
        <w:left w:val="none" w:sz="0" w:space="0" w:color="auto"/>
        <w:bottom w:val="none" w:sz="0" w:space="0" w:color="auto"/>
        <w:right w:val="none" w:sz="0" w:space="0" w:color="auto"/>
      </w:divBdr>
    </w:div>
    <w:div w:id="1637493022">
      <w:bodyDiv w:val="1"/>
      <w:marLeft w:val="0"/>
      <w:marRight w:val="0"/>
      <w:marTop w:val="0"/>
      <w:marBottom w:val="0"/>
      <w:divBdr>
        <w:top w:val="none" w:sz="0" w:space="0" w:color="auto"/>
        <w:left w:val="none" w:sz="0" w:space="0" w:color="auto"/>
        <w:bottom w:val="none" w:sz="0" w:space="0" w:color="auto"/>
        <w:right w:val="none" w:sz="0" w:space="0" w:color="auto"/>
      </w:divBdr>
      <w:divsChild>
        <w:div w:id="216547342">
          <w:marLeft w:val="0"/>
          <w:marRight w:val="0"/>
          <w:marTop w:val="0"/>
          <w:marBottom w:val="0"/>
          <w:divBdr>
            <w:top w:val="none" w:sz="0" w:space="0" w:color="auto"/>
            <w:left w:val="none" w:sz="0" w:space="0" w:color="auto"/>
            <w:bottom w:val="none" w:sz="0" w:space="0" w:color="auto"/>
            <w:right w:val="none" w:sz="0" w:space="0" w:color="auto"/>
          </w:divBdr>
          <w:divsChild>
            <w:div w:id="2025277198">
              <w:marLeft w:val="-300"/>
              <w:marRight w:val="0"/>
              <w:marTop w:val="0"/>
              <w:marBottom w:val="0"/>
              <w:divBdr>
                <w:top w:val="none" w:sz="0" w:space="0" w:color="auto"/>
                <w:left w:val="none" w:sz="0" w:space="0" w:color="auto"/>
                <w:bottom w:val="none" w:sz="0" w:space="0" w:color="auto"/>
                <w:right w:val="none" w:sz="0" w:space="0" w:color="auto"/>
              </w:divBdr>
              <w:divsChild>
                <w:div w:id="1102260967">
                  <w:marLeft w:val="0"/>
                  <w:marRight w:val="0"/>
                  <w:marTop w:val="0"/>
                  <w:marBottom w:val="0"/>
                  <w:divBdr>
                    <w:top w:val="none" w:sz="0" w:space="0" w:color="auto"/>
                    <w:left w:val="none" w:sz="0" w:space="0" w:color="auto"/>
                    <w:bottom w:val="none" w:sz="0" w:space="0" w:color="auto"/>
                    <w:right w:val="none" w:sz="0" w:space="0" w:color="auto"/>
                  </w:divBdr>
                  <w:divsChild>
                    <w:div w:id="1670475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2286484">
      <w:bodyDiv w:val="1"/>
      <w:marLeft w:val="0"/>
      <w:marRight w:val="0"/>
      <w:marTop w:val="0"/>
      <w:marBottom w:val="0"/>
      <w:divBdr>
        <w:top w:val="none" w:sz="0" w:space="0" w:color="auto"/>
        <w:left w:val="none" w:sz="0" w:space="0" w:color="auto"/>
        <w:bottom w:val="none" w:sz="0" w:space="0" w:color="auto"/>
        <w:right w:val="none" w:sz="0" w:space="0" w:color="auto"/>
      </w:divBdr>
    </w:div>
    <w:div w:id="1748645122">
      <w:bodyDiv w:val="1"/>
      <w:marLeft w:val="0"/>
      <w:marRight w:val="0"/>
      <w:marTop w:val="0"/>
      <w:marBottom w:val="0"/>
      <w:divBdr>
        <w:top w:val="none" w:sz="0" w:space="0" w:color="auto"/>
        <w:left w:val="none" w:sz="0" w:space="0" w:color="auto"/>
        <w:bottom w:val="none" w:sz="0" w:space="0" w:color="auto"/>
        <w:right w:val="none" w:sz="0" w:space="0" w:color="auto"/>
      </w:divBdr>
      <w:divsChild>
        <w:div w:id="1043947559">
          <w:marLeft w:val="0"/>
          <w:marRight w:val="0"/>
          <w:marTop w:val="0"/>
          <w:marBottom w:val="0"/>
          <w:divBdr>
            <w:top w:val="none" w:sz="0" w:space="0" w:color="auto"/>
            <w:left w:val="none" w:sz="0" w:space="0" w:color="auto"/>
            <w:bottom w:val="none" w:sz="0" w:space="0" w:color="auto"/>
            <w:right w:val="none" w:sz="0" w:space="0" w:color="auto"/>
          </w:divBdr>
          <w:divsChild>
            <w:div w:id="2061173495">
              <w:marLeft w:val="1440"/>
              <w:marRight w:val="0"/>
              <w:marTop w:val="0"/>
              <w:marBottom w:val="0"/>
              <w:divBdr>
                <w:top w:val="none" w:sz="0" w:space="0" w:color="auto"/>
                <w:left w:val="none" w:sz="0" w:space="0" w:color="auto"/>
                <w:bottom w:val="none" w:sz="0" w:space="0" w:color="auto"/>
                <w:right w:val="none" w:sz="0" w:space="0" w:color="auto"/>
              </w:divBdr>
            </w:div>
          </w:divsChild>
        </w:div>
      </w:divsChild>
    </w:div>
    <w:div w:id="2042169642">
      <w:bodyDiv w:val="1"/>
      <w:marLeft w:val="0"/>
      <w:marRight w:val="0"/>
      <w:marTop w:val="0"/>
      <w:marBottom w:val="0"/>
      <w:divBdr>
        <w:top w:val="none" w:sz="0" w:space="0" w:color="auto"/>
        <w:left w:val="none" w:sz="0" w:space="0" w:color="auto"/>
        <w:bottom w:val="none" w:sz="0" w:space="0" w:color="auto"/>
        <w:right w:val="none" w:sz="0" w:space="0" w:color="auto"/>
      </w:divBdr>
    </w:div>
    <w:div w:id="2143182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www.claire.co.uk/index.php?option=com_content&amp;view=article&amp;id=924:assessing-risks-associated-with-gases-and-vapours-info-ra2-4&amp;catid=981:environment-agency-document-archive&amp;highlight=WyJ2YXBvdXIiLCJpbnRydXNpb24iLCJ2YXBvdXIgaW50cnVzaW9uIl0=&amp;Itemid=310" TargetMode="External"/><Relationship Id="rId26" Type="http://schemas.openxmlformats.org/officeDocument/2006/relationships/hyperlink" Target="http://www.astm.org/" TargetMode="External"/><Relationship Id="rId39" Type="http://schemas.openxmlformats.org/officeDocument/2006/relationships/image" Target="media/image18.jpeg"/><Relationship Id="rId21" Type="http://schemas.openxmlformats.org/officeDocument/2006/relationships/hyperlink" Target="https://www.epa.gov/landfills" TargetMode="External"/><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image" Target="media/image26.png"/><Relationship Id="rId50" Type="http://schemas.openxmlformats.org/officeDocument/2006/relationships/image" Target="media/image29.jpeg"/><Relationship Id="rId55" Type="http://schemas.openxmlformats.org/officeDocument/2006/relationships/hyperlink" Target="http://www.astm.org/" TargetMode="External"/><Relationship Id="rId63" Type="http://schemas.openxmlformats.org/officeDocument/2006/relationships/hyperlink" Target="http://www.atsdr.cdc.gov/interactionprofiles/index.asp" TargetMode="External"/><Relationship Id="rId68" Type="http://schemas.openxmlformats.org/officeDocument/2006/relationships/hyperlink" Target="http://www.planning.nsw.gov.au/~/media/Files/DPE/Guidelines/assessment-guideline-multi-level-risk-assessment-2011-05.ashx" TargetMode="External"/><Relationship Id="rId76" Type="http://schemas.openxmlformats.org/officeDocument/2006/relationships/hyperlink" Target="http://dx.doi.org/10.1007/s11368-009-0127-4" TargetMode="External"/><Relationship Id="rId84" Type="http://schemas.openxmlformats.org/officeDocument/2006/relationships/image" Target="media/image38.jpeg"/><Relationship Id="rId89" Type="http://schemas.openxmlformats.org/officeDocument/2006/relationships/image" Target="media/image43.jpeg"/><Relationship Id="rId7" Type="http://schemas.openxmlformats.org/officeDocument/2006/relationships/footnotes" Target="footnotes.xml"/><Relationship Id="rId71" Type="http://schemas.openxmlformats.org/officeDocument/2006/relationships/hyperlink" Target="http://www.itrcweb.org" TargetMode="External"/><Relationship Id="rId92" Type="http://schemas.openxmlformats.org/officeDocument/2006/relationships/image" Target="media/image46.jpe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hyperlink" Target="https://www.epa.gov/risk/human-health-risk-assessment" TargetMode="External"/><Relationship Id="rId11" Type="http://schemas.openxmlformats.org/officeDocument/2006/relationships/header" Target="header1.xml"/><Relationship Id="rId24" Type="http://schemas.openxmlformats.org/officeDocument/2006/relationships/hyperlink" Target="https://www.astm.org/ABOUT/full_overview.html" TargetMode="External"/><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hyperlink" Target="http://www.astm.org/" TargetMode="External"/><Relationship Id="rId66" Type="http://schemas.openxmlformats.org/officeDocument/2006/relationships/hyperlink" Target="http://www.atsdr.cdc.gov/publications_sites.html" TargetMode="External"/><Relationship Id="rId74" Type="http://schemas.openxmlformats.org/officeDocument/2006/relationships/hyperlink" Target="http://www.oecd.org/dataoecd/41/60/48542016.pdf" TargetMode="External"/><Relationship Id="rId79" Type="http://schemas.openxmlformats.org/officeDocument/2006/relationships/hyperlink" Target="http://www.who.int/topics/epidemiology/en/" TargetMode="External"/><Relationship Id="rId87" Type="http://schemas.openxmlformats.org/officeDocument/2006/relationships/image" Target="media/image41.jpeg"/><Relationship Id="rId5" Type="http://schemas.openxmlformats.org/officeDocument/2006/relationships/settings" Target="settings.xml"/><Relationship Id="rId61" Type="http://schemas.openxmlformats.org/officeDocument/2006/relationships/hyperlink" Target="http://www.astm.org/" TargetMode="External"/><Relationship Id="rId82" Type="http://schemas.openxmlformats.org/officeDocument/2006/relationships/image" Target="media/image36.jpeg"/><Relationship Id="rId90" Type="http://schemas.openxmlformats.org/officeDocument/2006/relationships/image" Target="media/image44.jpeg"/><Relationship Id="rId95" Type="http://schemas.openxmlformats.org/officeDocument/2006/relationships/theme" Target="theme/theme1.xml"/><Relationship Id="rId19" Type="http://schemas.openxmlformats.org/officeDocument/2006/relationships/hyperlink" Target="http://www.epa.gov/oswer/vaporintrusion/index.html" TargetMode="External"/><Relationship Id="rId14" Type="http://schemas.openxmlformats.org/officeDocument/2006/relationships/image" Target="media/image6.jpeg"/><Relationship Id="rId22" Type="http://schemas.openxmlformats.org/officeDocument/2006/relationships/hyperlink" Target="http://www.itrcweb.org/About/About" TargetMode="External"/><Relationship Id="rId27" Type="http://schemas.openxmlformats.org/officeDocument/2006/relationships/hyperlink" Target="http://www.atsdr.cdc.gov/HAC/landfill/html/intro.html" TargetMode="External"/><Relationship Id="rId30" Type="http://schemas.openxmlformats.org/officeDocument/2006/relationships/image" Target="media/image9.emf"/><Relationship Id="rId35" Type="http://schemas.openxmlformats.org/officeDocument/2006/relationships/image" Target="media/image14.jpeg"/><Relationship Id="rId43" Type="http://schemas.openxmlformats.org/officeDocument/2006/relationships/image" Target="media/image22.emf"/><Relationship Id="rId48" Type="http://schemas.openxmlformats.org/officeDocument/2006/relationships/image" Target="media/image27.jpeg"/><Relationship Id="rId56" Type="http://schemas.openxmlformats.org/officeDocument/2006/relationships/hyperlink" Target="http://www.astm.org/" TargetMode="External"/><Relationship Id="rId64" Type="http://schemas.openxmlformats.org/officeDocument/2006/relationships/hyperlink" Target="http://www.atsdr.cdc.gov/glossary.html" TargetMode="External"/><Relationship Id="rId69" Type="http://schemas.openxmlformats.org/officeDocument/2006/relationships/hyperlink" Target="https://www.gov.uk/government/publications/managing-and-reducing-land-contamination" TargetMode="External"/><Relationship Id="rId77" Type="http://schemas.openxmlformats.org/officeDocument/2006/relationships/hyperlink" Target="https://www.novapublishers.com/catalog/product_info.php?products_id=14005" TargetMode="Externa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hyperlink" Target="http://www.itrcweb.org" TargetMode="External"/><Relationship Id="rId80" Type="http://schemas.openxmlformats.org/officeDocument/2006/relationships/image" Target="media/image34.jpeg"/><Relationship Id="rId85" Type="http://schemas.openxmlformats.org/officeDocument/2006/relationships/image" Target="media/image39.jpeg"/><Relationship Id="rId93" Type="http://schemas.openxmlformats.org/officeDocument/2006/relationships/image" Target="media/image47.jpe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hyperlink" Target="https://www.gov.uk/government/publications/managing-and-reducing-land-contamination" TargetMode="External"/><Relationship Id="rId25" Type="http://schemas.openxmlformats.org/officeDocument/2006/relationships/hyperlink" Target="http://www.astm.org/" TargetMode="External"/><Relationship Id="rId33" Type="http://schemas.openxmlformats.org/officeDocument/2006/relationships/image" Target="media/image12.emf"/><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hyperlink" Target="http://www.astm.org/" TargetMode="External"/><Relationship Id="rId67" Type="http://schemas.openxmlformats.org/officeDocument/2006/relationships/hyperlink" Target="http://www.atsdr.cdc.gov/publications_sites.html" TargetMode="External"/><Relationship Id="rId20" Type="http://schemas.openxmlformats.org/officeDocument/2006/relationships/hyperlink" Target="http://www.clu-in.org/issues/default.focus/sec/Vapor_Intrusion/cat/Site_Investigation_Tools" TargetMode="External"/><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hyperlink" Target="http://www.atsdr.cdc.gov/HAC/landfill/html/intro.html" TargetMode="External"/><Relationship Id="rId70" Type="http://schemas.openxmlformats.org/officeDocument/2006/relationships/hyperlink" Target="http://www.inchem.org/documents/ehc/ehc/ehc210.htm" TargetMode="External"/><Relationship Id="rId75" Type="http://schemas.openxmlformats.org/officeDocument/2006/relationships/hyperlink" Target="http://www.oxforddictionaries.com/definition/english" TargetMode="External"/><Relationship Id="rId83" Type="http://schemas.openxmlformats.org/officeDocument/2006/relationships/image" Target="media/image37.jpeg"/><Relationship Id="rId88" Type="http://schemas.openxmlformats.org/officeDocument/2006/relationships/image" Target="media/image42.jpeg"/><Relationship Id="rId91"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www.itrcweb.org/Guidance" TargetMode="External"/><Relationship Id="rId28" Type="http://schemas.openxmlformats.org/officeDocument/2006/relationships/hyperlink" Target="https://clu-in.org/issues/default.focus/sec/Vapor_Intrusion/cat/Policy_and_Guidance/" TargetMode="External"/><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hyperlink" Target="http://www.astm.org/" TargetMode="External"/><Relationship Id="rId10" Type="http://schemas.openxmlformats.org/officeDocument/2006/relationships/image" Target="media/image2.emf"/><Relationship Id="rId31" Type="http://schemas.openxmlformats.org/officeDocument/2006/relationships/image" Target="media/image10.emf"/><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hyperlink" Target="http://www.astm.org/" TargetMode="External"/><Relationship Id="rId65" Type="http://schemas.openxmlformats.org/officeDocument/2006/relationships/hyperlink" Target="https://www.arb.ca.gov/html/gloss.htm" TargetMode="External"/><Relationship Id="rId73" Type="http://schemas.openxmlformats.org/officeDocument/2006/relationships/hyperlink" Target="http://www.itrcweb.org" TargetMode="External"/><Relationship Id="rId78" Type="http://schemas.openxmlformats.org/officeDocument/2006/relationships/hyperlink" Target="http://dx.doi.org/10.5539/ep.v2n2p71" TargetMode="External"/><Relationship Id="rId81" Type="http://schemas.openxmlformats.org/officeDocument/2006/relationships/image" Target="media/image35.jpeg"/><Relationship Id="rId86" Type="http://schemas.openxmlformats.org/officeDocument/2006/relationships/image" Target="media/image40.jpeg"/><Relationship Id="rId9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wner\AppData\Roaming\Microsoft\Templates\Report%20design%20(blank).dotx" TargetMode="External"/></Relationships>
</file>

<file path=word/theme/theme1.xml><?xml version="1.0" encoding="utf-8"?>
<a:theme xmlns:a="http://schemas.openxmlformats.org/drawingml/2006/main" name="Office Theme">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A4BA7689-34C3-466A-A836-2411E30572C0}">
  <ds:schemaRefs>
    <ds:schemaRef ds:uri="http://schemas.openxmlformats.org/officeDocument/2006/bibliography"/>
  </ds:schemaRefs>
</ds:datastoreItem>
</file>

<file path=customXml/itemProps2.xml><?xml version="1.0" encoding="utf-8"?>
<ds:datastoreItem xmlns:ds="http://schemas.openxmlformats.org/officeDocument/2006/customXml" ds:itemID="{499EA1EC-B023-4266-9865-E1EDA122A8C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Report design (blank).dotx</Template>
  <TotalTime>32</TotalTime>
  <Pages>132</Pages>
  <Words>30403</Words>
  <Characters>195799</Characters>
  <Application>Microsoft Office Word</Application>
  <DocSecurity>0</DocSecurity>
  <Lines>10877</Lines>
  <Paragraphs>5517</Paragraphs>
  <ScaleCrop>false</ScaleCrop>
  <HeadingPairs>
    <vt:vector size="2" baseType="variant">
      <vt:variant>
        <vt:lpstr>Title</vt:lpstr>
      </vt:variant>
      <vt:variant>
        <vt:i4>1</vt:i4>
      </vt:variant>
    </vt:vector>
  </HeadingPairs>
  <TitlesOfParts>
    <vt:vector size="1" baseType="lpstr">
      <vt:lpstr/>
    </vt:vector>
  </TitlesOfParts>
  <Company>The University of Adelaide</Company>
  <LinksUpToDate>false</LinksUpToDate>
  <CharactersWithSpaces>220685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enHealth literature review – Vapour intrusions – hazardous ground gases</dc:title>
  <dc:subject/>
  <dc:creator>University of Adelaide</dc:creator>
  <cp:keywords/>
  <dc:description/>
  <cp:lastModifiedBy>ARNOLD, Max</cp:lastModifiedBy>
  <cp:revision>14</cp:revision>
  <cp:lastPrinted>2016-09-13T06:56:00Z</cp:lastPrinted>
  <dcterms:created xsi:type="dcterms:W3CDTF">2023-12-13T23:59:00Z</dcterms:created>
  <dcterms:modified xsi:type="dcterms:W3CDTF">2023-12-20T00:17:00Z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TC034577159991</vt:lpwstr>
  </property>
</Properties>
</file>