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FBDD" w14:textId="1CEC734A" w:rsidR="00285F7D" w:rsidRPr="00F22877" w:rsidRDefault="00285F7D" w:rsidP="00F22877">
      <w:pPr>
        <w:pStyle w:val="Heading1"/>
        <w:rPr>
          <w:color w:val="auto"/>
          <w:sz w:val="56"/>
          <w:szCs w:val="56"/>
        </w:rPr>
      </w:pPr>
      <w:bookmarkStart w:id="0" w:name="_Hlk104543296"/>
      <w:bookmarkStart w:id="1" w:name="_Toc153957649"/>
      <w:r w:rsidRPr="00F22877">
        <w:rPr>
          <w:color w:val="auto"/>
          <w:sz w:val="56"/>
          <w:szCs w:val="56"/>
        </w:rPr>
        <w:t>Guidance for injuries caused by vaccine administration – COVID-19 Vaccine Claims Scheme</w:t>
      </w:r>
      <w:bookmarkEnd w:id="1"/>
    </w:p>
    <w:p w14:paraId="23EF2273" w14:textId="3DF73435" w:rsidR="005A1351" w:rsidRDefault="002875BF" w:rsidP="00CA7142">
      <w:pPr>
        <w:spacing w:after="180"/>
        <w:rPr>
          <w:rFonts w:cstheme="minorHAnsi"/>
        </w:rPr>
      </w:pPr>
      <w:bookmarkStart w:id="2" w:name="_Hlk104543308"/>
      <w:bookmarkEnd w:id="0"/>
      <w:r w:rsidRPr="00E92600">
        <w:rPr>
          <w:rFonts w:cstheme="minorHAnsi"/>
        </w:rPr>
        <w:t xml:space="preserve">This document </w:t>
      </w:r>
      <w:r>
        <w:rPr>
          <w:rFonts w:cstheme="minorHAnsi"/>
        </w:rPr>
        <w:t>is intended as a guide</w:t>
      </w:r>
      <w:r w:rsidRPr="00E92600">
        <w:rPr>
          <w:rFonts w:cstheme="minorHAnsi"/>
        </w:rPr>
        <w:t xml:space="preserve"> for </w:t>
      </w:r>
      <w:r>
        <w:rPr>
          <w:rFonts w:cstheme="minorHAnsi"/>
        </w:rPr>
        <w:t xml:space="preserve">medical practitioners </w:t>
      </w:r>
      <w:r w:rsidRPr="00E92600">
        <w:rPr>
          <w:rFonts w:cstheme="minorHAnsi"/>
        </w:rPr>
        <w:t xml:space="preserve">providing clinical opinion in support of COVID-19 vaccine </w:t>
      </w:r>
      <w:r>
        <w:rPr>
          <w:rFonts w:cstheme="minorHAnsi"/>
        </w:rPr>
        <w:t xml:space="preserve">administration injury </w:t>
      </w:r>
      <w:r w:rsidRPr="00E92600">
        <w:rPr>
          <w:rFonts w:cstheme="minorHAnsi"/>
        </w:rPr>
        <w:t xml:space="preserve">claims following vaccination with a </w:t>
      </w:r>
      <w:r>
        <w:rPr>
          <w:rFonts w:cstheme="minorHAnsi"/>
        </w:rPr>
        <w:t>Therapeutic Goods Administration (TGA)</w:t>
      </w:r>
      <w:r w:rsidRPr="00E92600">
        <w:rPr>
          <w:rFonts w:cstheme="minorHAnsi"/>
        </w:rPr>
        <w:t xml:space="preserve"> approved</w:t>
      </w:r>
      <w:r>
        <w:rPr>
          <w:rFonts w:cstheme="minorHAnsi"/>
        </w:rPr>
        <w:t xml:space="preserve"> or provisionally approved</w:t>
      </w:r>
      <w:r w:rsidRPr="00E92600">
        <w:rPr>
          <w:rFonts w:cstheme="minorHAnsi"/>
        </w:rPr>
        <w:t xml:space="preserve"> </w:t>
      </w:r>
      <w:r>
        <w:rPr>
          <w:rFonts w:cstheme="minorHAnsi"/>
        </w:rPr>
        <w:t xml:space="preserve">COVID-19 </w:t>
      </w:r>
      <w:r w:rsidRPr="00E92600">
        <w:rPr>
          <w:rFonts w:cstheme="minorHAnsi"/>
        </w:rPr>
        <w:t>vaccine</w:t>
      </w:r>
      <w:r>
        <w:rPr>
          <w:rFonts w:cstheme="minorHAnsi"/>
        </w:rPr>
        <w:t xml:space="preserve"> in accordance with the COVID-19 Vaccine Claims Scheme (the Scheme)</w:t>
      </w:r>
      <w:r w:rsidRPr="00E92600">
        <w:rPr>
          <w:rFonts w:cstheme="minorHAnsi"/>
        </w:rPr>
        <w:t xml:space="preserve">. </w:t>
      </w:r>
    </w:p>
    <w:sdt>
      <w:sdtPr>
        <w:rPr>
          <w:rFonts w:asciiTheme="minorHAnsi" w:eastAsiaTheme="minorHAnsi" w:hAnsiTheme="minorHAnsi" w:cs="Times New Roman"/>
          <w:color w:val="auto"/>
          <w:sz w:val="24"/>
          <w:szCs w:val="24"/>
          <w:lang w:val="en-AU"/>
        </w:rPr>
        <w:id w:val="621345017"/>
        <w:docPartObj>
          <w:docPartGallery w:val="Table of Contents"/>
          <w:docPartUnique/>
        </w:docPartObj>
      </w:sdtPr>
      <w:sdtEndPr>
        <w:rPr>
          <w:b/>
          <w:bCs/>
          <w:noProof/>
        </w:rPr>
      </w:sdtEndPr>
      <w:sdtContent>
        <w:p w14:paraId="74E59022" w14:textId="77777777" w:rsidR="005A1351" w:rsidRDefault="005A1351" w:rsidP="005A1351">
          <w:pPr>
            <w:pStyle w:val="TOCHeading"/>
          </w:pPr>
          <w:r>
            <w:t>Table of Contents</w:t>
          </w:r>
        </w:p>
        <w:p w14:paraId="11CFE0ED" w14:textId="266EDB78" w:rsidR="001B14DA" w:rsidRDefault="005A1351">
          <w:pPr>
            <w:pStyle w:val="TOC1"/>
            <w:tabs>
              <w:tab w:val="right" w:leader="dot" w:pos="9016"/>
            </w:tabs>
            <w:rPr>
              <w:rFonts w:eastAsiaTheme="minorEastAsia" w:cstheme="minorBidi"/>
              <w:noProof/>
              <w:sz w:val="22"/>
              <w:szCs w:val="22"/>
              <w:lang w:eastAsia="en-AU"/>
            </w:rPr>
          </w:pPr>
          <w:r>
            <w:fldChar w:fldCharType="begin"/>
          </w:r>
          <w:r>
            <w:instrText xml:space="preserve"> TOC \o "1-3" \h \z \u </w:instrText>
          </w:r>
          <w:r>
            <w:fldChar w:fldCharType="separate"/>
          </w:r>
          <w:hyperlink w:anchor="_Toc153957649" w:history="1">
            <w:r w:rsidR="001B14DA" w:rsidRPr="00ED4E53">
              <w:rPr>
                <w:rStyle w:val="Hyperlink"/>
                <w:noProof/>
              </w:rPr>
              <w:t>Guidance for injuries caused by vaccine administration – COVID-19 Vaccine Claims Scheme</w:t>
            </w:r>
            <w:r w:rsidR="001B14DA">
              <w:rPr>
                <w:noProof/>
                <w:webHidden/>
              </w:rPr>
              <w:tab/>
            </w:r>
            <w:r w:rsidR="001B14DA">
              <w:rPr>
                <w:noProof/>
                <w:webHidden/>
              </w:rPr>
              <w:fldChar w:fldCharType="begin"/>
            </w:r>
            <w:r w:rsidR="001B14DA">
              <w:rPr>
                <w:noProof/>
                <w:webHidden/>
              </w:rPr>
              <w:instrText xml:space="preserve"> PAGEREF _Toc153957649 \h </w:instrText>
            </w:r>
            <w:r w:rsidR="001B14DA">
              <w:rPr>
                <w:noProof/>
                <w:webHidden/>
              </w:rPr>
            </w:r>
            <w:r w:rsidR="001B14DA">
              <w:rPr>
                <w:noProof/>
                <w:webHidden/>
              </w:rPr>
              <w:fldChar w:fldCharType="separate"/>
            </w:r>
            <w:r w:rsidR="00400D7E">
              <w:rPr>
                <w:noProof/>
                <w:webHidden/>
              </w:rPr>
              <w:t>1</w:t>
            </w:r>
            <w:r w:rsidR="001B14DA">
              <w:rPr>
                <w:noProof/>
                <w:webHidden/>
              </w:rPr>
              <w:fldChar w:fldCharType="end"/>
            </w:r>
          </w:hyperlink>
        </w:p>
        <w:p w14:paraId="6EF4ACC7" w14:textId="4CFF7423" w:rsidR="001B14DA" w:rsidRDefault="001B14DA">
          <w:pPr>
            <w:pStyle w:val="TOC2"/>
            <w:tabs>
              <w:tab w:val="right" w:leader="dot" w:pos="9016"/>
            </w:tabs>
            <w:rPr>
              <w:rFonts w:eastAsiaTheme="minorEastAsia" w:cstheme="minorBidi"/>
              <w:noProof/>
              <w:sz w:val="22"/>
              <w:szCs w:val="22"/>
              <w:lang w:eastAsia="en-AU"/>
            </w:rPr>
          </w:pPr>
          <w:hyperlink w:anchor="_Toc153957650" w:history="1">
            <w:r w:rsidRPr="00ED4E53">
              <w:rPr>
                <w:rStyle w:val="Hyperlink"/>
                <w:noProof/>
              </w:rPr>
              <w:t>Assessment Criteria for Claims</w:t>
            </w:r>
            <w:r>
              <w:rPr>
                <w:noProof/>
                <w:webHidden/>
              </w:rPr>
              <w:tab/>
            </w:r>
            <w:r>
              <w:rPr>
                <w:noProof/>
                <w:webHidden/>
              </w:rPr>
              <w:fldChar w:fldCharType="begin"/>
            </w:r>
            <w:r>
              <w:rPr>
                <w:noProof/>
                <w:webHidden/>
              </w:rPr>
              <w:instrText xml:space="preserve"> PAGEREF _Toc153957650 \h </w:instrText>
            </w:r>
            <w:r>
              <w:rPr>
                <w:noProof/>
                <w:webHidden/>
              </w:rPr>
            </w:r>
            <w:r>
              <w:rPr>
                <w:noProof/>
                <w:webHidden/>
              </w:rPr>
              <w:fldChar w:fldCharType="separate"/>
            </w:r>
            <w:r w:rsidR="00400D7E">
              <w:rPr>
                <w:noProof/>
                <w:webHidden/>
              </w:rPr>
              <w:t>2</w:t>
            </w:r>
            <w:r>
              <w:rPr>
                <w:noProof/>
                <w:webHidden/>
              </w:rPr>
              <w:fldChar w:fldCharType="end"/>
            </w:r>
          </w:hyperlink>
        </w:p>
        <w:p w14:paraId="3B952F7A" w14:textId="379ADADB" w:rsidR="001B14DA" w:rsidRDefault="001B14DA">
          <w:pPr>
            <w:pStyle w:val="TOC2"/>
            <w:tabs>
              <w:tab w:val="right" w:leader="dot" w:pos="9016"/>
            </w:tabs>
            <w:rPr>
              <w:rFonts w:eastAsiaTheme="minorEastAsia" w:cstheme="minorBidi"/>
              <w:noProof/>
              <w:sz w:val="22"/>
              <w:szCs w:val="22"/>
              <w:lang w:eastAsia="en-AU"/>
            </w:rPr>
          </w:pPr>
          <w:hyperlink w:anchor="_Toc153957651" w:history="1">
            <w:r w:rsidRPr="00ED4E53">
              <w:rPr>
                <w:rStyle w:val="Hyperlink"/>
                <w:noProof/>
              </w:rPr>
              <w:t>Fatal outcomes from claimable injuries</w:t>
            </w:r>
            <w:r>
              <w:rPr>
                <w:noProof/>
                <w:webHidden/>
              </w:rPr>
              <w:tab/>
            </w:r>
            <w:r>
              <w:rPr>
                <w:noProof/>
                <w:webHidden/>
              </w:rPr>
              <w:fldChar w:fldCharType="begin"/>
            </w:r>
            <w:r>
              <w:rPr>
                <w:noProof/>
                <w:webHidden/>
              </w:rPr>
              <w:instrText xml:space="preserve"> PAGEREF _Toc153957651 \h </w:instrText>
            </w:r>
            <w:r>
              <w:rPr>
                <w:noProof/>
                <w:webHidden/>
              </w:rPr>
            </w:r>
            <w:r>
              <w:rPr>
                <w:noProof/>
                <w:webHidden/>
              </w:rPr>
              <w:fldChar w:fldCharType="separate"/>
            </w:r>
            <w:r w:rsidR="00400D7E">
              <w:rPr>
                <w:noProof/>
                <w:webHidden/>
              </w:rPr>
              <w:t>4</w:t>
            </w:r>
            <w:r>
              <w:rPr>
                <w:noProof/>
                <w:webHidden/>
              </w:rPr>
              <w:fldChar w:fldCharType="end"/>
            </w:r>
          </w:hyperlink>
        </w:p>
        <w:p w14:paraId="654B256C" w14:textId="6334E861" w:rsidR="001B14DA" w:rsidRDefault="001B14DA">
          <w:pPr>
            <w:pStyle w:val="TOC2"/>
            <w:tabs>
              <w:tab w:val="right" w:leader="dot" w:pos="9016"/>
            </w:tabs>
            <w:rPr>
              <w:rFonts w:eastAsiaTheme="minorEastAsia" w:cstheme="minorBidi"/>
              <w:noProof/>
              <w:sz w:val="22"/>
              <w:szCs w:val="22"/>
              <w:lang w:eastAsia="en-AU"/>
            </w:rPr>
          </w:pPr>
          <w:hyperlink w:anchor="_Toc153957652" w:history="1">
            <w:r w:rsidRPr="00ED4E53">
              <w:rPr>
                <w:rStyle w:val="Hyperlink"/>
                <w:noProof/>
              </w:rPr>
              <w:t>Role of the reporting practitioner:</w:t>
            </w:r>
            <w:r>
              <w:rPr>
                <w:noProof/>
                <w:webHidden/>
              </w:rPr>
              <w:tab/>
            </w:r>
            <w:r>
              <w:rPr>
                <w:noProof/>
                <w:webHidden/>
              </w:rPr>
              <w:fldChar w:fldCharType="begin"/>
            </w:r>
            <w:r>
              <w:rPr>
                <w:noProof/>
                <w:webHidden/>
              </w:rPr>
              <w:instrText xml:space="preserve"> PAGEREF _Toc153957652 \h </w:instrText>
            </w:r>
            <w:r>
              <w:rPr>
                <w:noProof/>
                <w:webHidden/>
              </w:rPr>
            </w:r>
            <w:r>
              <w:rPr>
                <w:noProof/>
                <w:webHidden/>
              </w:rPr>
              <w:fldChar w:fldCharType="separate"/>
            </w:r>
            <w:r w:rsidR="00400D7E">
              <w:rPr>
                <w:noProof/>
                <w:webHidden/>
              </w:rPr>
              <w:t>5</w:t>
            </w:r>
            <w:r>
              <w:rPr>
                <w:noProof/>
                <w:webHidden/>
              </w:rPr>
              <w:fldChar w:fldCharType="end"/>
            </w:r>
          </w:hyperlink>
        </w:p>
        <w:p w14:paraId="0EE792BA" w14:textId="1571F74C" w:rsidR="001B14DA" w:rsidRDefault="001B14DA">
          <w:pPr>
            <w:pStyle w:val="TOC2"/>
            <w:tabs>
              <w:tab w:val="right" w:leader="dot" w:pos="9016"/>
            </w:tabs>
            <w:rPr>
              <w:rFonts w:eastAsiaTheme="minorEastAsia" w:cstheme="minorBidi"/>
              <w:noProof/>
              <w:sz w:val="22"/>
              <w:szCs w:val="22"/>
              <w:lang w:eastAsia="en-AU"/>
            </w:rPr>
          </w:pPr>
          <w:hyperlink w:anchor="_Toc153957653" w:history="1">
            <w:r w:rsidRPr="00ED4E53">
              <w:rPr>
                <w:rStyle w:val="Hyperlink"/>
                <w:rFonts w:cstheme="minorHAnsi"/>
                <w:noProof/>
              </w:rPr>
              <w:t>Role of case definitions and causality assessment:</w:t>
            </w:r>
            <w:r>
              <w:rPr>
                <w:noProof/>
                <w:webHidden/>
              </w:rPr>
              <w:tab/>
            </w:r>
            <w:r>
              <w:rPr>
                <w:noProof/>
                <w:webHidden/>
              </w:rPr>
              <w:fldChar w:fldCharType="begin"/>
            </w:r>
            <w:r>
              <w:rPr>
                <w:noProof/>
                <w:webHidden/>
              </w:rPr>
              <w:instrText xml:space="preserve"> PAGEREF _Toc153957653 \h </w:instrText>
            </w:r>
            <w:r>
              <w:rPr>
                <w:noProof/>
                <w:webHidden/>
              </w:rPr>
            </w:r>
            <w:r>
              <w:rPr>
                <w:noProof/>
                <w:webHidden/>
              </w:rPr>
              <w:fldChar w:fldCharType="separate"/>
            </w:r>
            <w:r w:rsidR="00400D7E">
              <w:rPr>
                <w:noProof/>
                <w:webHidden/>
              </w:rPr>
              <w:t>6</w:t>
            </w:r>
            <w:r>
              <w:rPr>
                <w:noProof/>
                <w:webHidden/>
              </w:rPr>
              <w:fldChar w:fldCharType="end"/>
            </w:r>
          </w:hyperlink>
        </w:p>
        <w:p w14:paraId="64F4B206" w14:textId="48B46BCD" w:rsidR="001B14DA" w:rsidRDefault="001B14DA">
          <w:pPr>
            <w:pStyle w:val="TOC2"/>
            <w:tabs>
              <w:tab w:val="right" w:leader="dot" w:pos="9016"/>
            </w:tabs>
            <w:rPr>
              <w:rFonts w:eastAsiaTheme="minorEastAsia" w:cstheme="minorBidi"/>
              <w:noProof/>
              <w:sz w:val="22"/>
              <w:szCs w:val="22"/>
              <w:lang w:eastAsia="en-AU"/>
            </w:rPr>
          </w:pPr>
          <w:hyperlink w:anchor="_Toc153957654" w:history="1">
            <w:r w:rsidRPr="00ED4E53">
              <w:rPr>
                <w:rStyle w:val="Hyperlink"/>
                <w:noProof/>
              </w:rPr>
              <w:t>Final diagnosis</w:t>
            </w:r>
            <w:r>
              <w:rPr>
                <w:noProof/>
                <w:webHidden/>
              </w:rPr>
              <w:tab/>
            </w:r>
            <w:r>
              <w:rPr>
                <w:noProof/>
                <w:webHidden/>
              </w:rPr>
              <w:fldChar w:fldCharType="begin"/>
            </w:r>
            <w:r>
              <w:rPr>
                <w:noProof/>
                <w:webHidden/>
              </w:rPr>
              <w:instrText xml:space="preserve"> PAGEREF _Toc153957654 \h </w:instrText>
            </w:r>
            <w:r>
              <w:rPr>
                <w:noProof/>
                <w:webHidden/>
              </w:rPr>
            </w:r>
            <w:r>
              <w:rPr>
                <w:noProof/>
                <w:webHidden/>
              </w:rPr>
              <w:fldChar w:fldCharType="separate"/>
            </w:r>
            <w:r w:rsidR="00400D7E">
              <w:rPr>
                <w:noProof/>
                <w:webHidden/>
              </w:rPr>
              <w:t>7</w:t>
            </w:r>
            <w:r>
              <w:rPr>
                <w:noProof/>
                <w:webHidden/>
              </w:rPr>
              <w:fldChar w:fldCharType="end"/>
            </w:r>
          </w:hyperlink>
        </w:p>
        <w:p w14:paraId="1A5E82D3" w14:textId="11B27F8B" w:rsidR="001B14DA" w:rsidRDefault="001B14DA">
          <w:pPr>
            <w:pStyle w:val="TOC2"/>
            <w:tabs>
              <w:tab w:val="right" w:leader="dot" w:pos="9016"/>
            </w:tabs>
            <w:rPr>
              <w:rFonts w:eastAsiaTheme="minorEastAsia" w:cstheme="minorBidi"/>
              <w:noProof/>
              <w:sz w:val="22"/>
              <w:szCs w:val="22"/>
              <w:lang w:eastAsia="en-AU"/>
            </w:rPr>
          </w:pPr>
          <w:hyperlink w:anchor="_Toc153957655" w:history="1">
            <w:r w:rsidRPr="00ED4E53">
              <w:rPr>
                <w:rStyle w:val="Hyperlink"/>
                <w:noProof/>
              </w:rPr>
              <w:t>Claimable vaccines and administration injuries:</w:t>
            </w:r>
            <w:r>
              <w:rPr>
                <w:noProof/>
                <w:webHidden/>
              </w:rPr>
              <w:tab/>
            </w:r>
            <w:r>
              <w:rPr>
                <w:noProof/>
                <w:webHidden/>
              </w:rPr>
              <w:fldChar w:fldCharType="begin"/>
            </w:r>
            <w:r>
              <w:rPr>
                <w:noProof/>
                <w:webHidden/>
              </w:rPr>
              <w:instrText xml:space="preserve"> PAGEREF _Toc153957655 \h </w:instrText>
            </w:r>
            <w:r>
              <w:rPr>
                <w:noProof/>
                <w:webHidden/>
              </w:rPr>
            </w:r>
            <w:r>
              <w:rPr>
                <w:noProof/>
                <w:webHidden/>
              </w:rPr>
              <w:fldChar w:fldCharType="separate"/>
            </w:r>
            <w:r w:rsidR="00400D7E">
              <w:rPr>
                <w:noProof/>
                <w:webHidden/>
              </w:rPr>
              <w:t>8</w:t>
            </w:r>
            <w:r>
              <w:rPr>
                <w:noProof/>
                <w:webHidden/>
              </w:rPr>
              <w:fldChar w:fldCharType="end"/>
            </w:r>
          </w:hyperlink>
        </w:p>
        <w:p w14:paraId="36CD88AF" w14:textId="619A3E5D" w:rsidR="001B14DA" w:rsidRDefault="001B14DA">
          <w:pPr>
            <w:pStyle w:val="TOC2"/>
            <w:tabs>
              <w:tab w:val="right" w:leader="dot" w:pos="9016"/>
            </w:tabs>
            <w:rPr>
              <w:rFonts w:eastAsiaTheme="minorEastAsia" w:cstheme="minorBidi"/>
              <w:noProof/>
              <w:sz w:val="22"/>
              <w:szCs w:val="22"/>
              <w:lang w:eastAsia="en-AU"/>
            </w:rPr>
          </w:pPr>
          <w:hyperlink w:anchor="_Toc153957656" w:history="1">
            <w:r w:rsidRPr="00ED4E53">
              <w:rPr>
                <w:rStyle w:val="Hyperlink"/>
                <w:noProof/>
              </w:rPr>
              <w:t>Types of evidence that should be considered by the treating doctor when making a statement</w:t>
            </w:r>
            <w:r>
              <w:rPr>
                <w:noProof/>
                <w:webHidden/>
              </w:rPr>
              <w:tab/>
            </w:r>
            <w:r>
              <w:rPr>
                <w:noProof/>
                <w:webHidden/>
              </w:rPr>
              <w:fldChar w:fldCharType="begin"/>
            </w:r>
            <w:r>
              <w:rPr>
                <w:noProof/>
                <w:webHidden/>
              </w:rPr>
              <w:instrText xml:space="preserve"> PAGEREF _Toc153957656 \h </w:instrText>
            </w:r>
            <w:r>
              <w:rPr>
                <w:noProof/>
                <w:webHidden/>
              </w:rPr>
            </w:r>
            <w:r>
              <w:rPr>
                <w:noProof/>
                <w:webHidden/>
              </w:rPr>
              <w:fldChar w:fldCharType="separate"/>
            </w:r>
            <w:r w:rsidR="00400D7E">
              <w:rPr>
                <w:noProof/>
                <w:webHidden/>
              </w:rPr>
              <w:t>9</w:t>
            </w:r>
            <w:r>
              <w:rPr>
                <w:noProof/>
                <w:webHidden/>
              </w:rPr>
              <w:fldChar w:fldCharType="end"/>
            </w:r>
          </w:hyperlink>
        </w:p>
        <w:p w14:paraId="0601659D" w14:textId="352895AC" w:rsidR="001B14DA" w:rsidRDefault="001B14DA">
          <w:pPr>
            <w:pStyle w:val="TOC3"/>
            <w:tabs>
              <w:tab w:val="left" w:pos="880"/>
              <w:tab w:val="right" w:leader="dot" w:pos="9016"/>
            </w:tabs>
            <w:rPr>
              <w:noProof/>
            </w:rPr>
          </w:pPr>
          <w:hyperlink w:anchor="_Toc153957657" w:history="1">
            <w:r w:rsidRPr="00ED4E53">
              <w:rPr>
                <w:rStyle w:val="Hyperlink"/>
                <w:noProof/>
              </w:rPr>
              <w:t>I.</w:t>
            </w:r>
            <w:r>
              <w:rPr>
                <w:noProof/>
              </w:rPr>
              <w:tab/>
            </w:r>
            <w:r w:rsidRPr="00ED4E53">
              <w:rPr>
                <w:rStyle w:val="Hyperlink"/>
                <w:noProof/>
              </w:rPr>
              <w:t>Shoulder injury related to vaccine administration</w:t>
            </w:r>
            <w:r>
              <w:rPr>
                <w:noProof/>
                <w:webHidden/>
              </w:rPr>
              <w:tab/>
            </w:r>
            <w:r>
              <w:rPr>
                <w:noProof/>
                <w:webHidden/>
              </w:rPr>
              <w:fldChar w:fldCharType="begin"/>
            </w:r>
            <w:r>
              <w:rPr>
                <w:noProof/>
                <w:webHidden/>
              </w:rPr>
              <w:instrText xml:space="preserve"> PAGEREF _Toc153957657 \h </w:instrText>
            </w:r>
            <w:r>
              <w:rPr>
                <w:noProof/>
                <w:webHidden/>
              </w:rPr>
            </w:r>
            <w:r>
              <w:rPr>
                <w:noProof/>
                <w:webHidden/>
              </w:rPr>
              <w:fldChar w:fldCharType="separate"/>
            </w:r>
            <w:r w:rsidR="00400D7E">
              <w:rPr>
                <w:noProof/>
                <w:webHidden/>
              </w:rPr>
              <w:t>10</w:t>
            </w:r>
            <w:r>
              <w:rPr>
                <w:noProof/>
                <w:webHidden/>
              </w:rPr>
              <w:fldChar w:fldCharType="end"/>
            </w:r>
          </w:hyperlink>
        </w:p>
        <w:p w14:paraId="7EA3E8CF" w14:textId="10C26A35" w:rsidR="001B14DA" w:rsidRDefault="001B14DA">
          <w:pPr>
            <w:pStyle w:val="TOC3"/>
            <w:tabs>
              <w:tab w:val="left" w:pos="880"/>
              <w:tab w:val="right" w:leader="dot" w:pos="9016"/>
            </w:tabs>
            <w:rPr>
              <w:noProof/>
            </w:rPr>
          </w:pPr>
          <w:hyperlink w:anchor="_Toc153957658" w:history="1">
            <w:r w:rsidRPr="00ED4E53">
              <w:rPr>
                <w:rStyle w:val="Hyperlink"/>
                <w:noProof/>
              </w:rPr>
              <w:t>II.</w:t>
            </w:r>
            <w:r>
              <w:rPr>
                <w:noProof/>
              </w:rPr>
              <w:tab/>
            </w:r>
            <w:r w:rsidRPr="00ED4E53">
              <w:rPr>
                <w:rStyle w:val="Hyperlink"/>
                <w:noProof/>
              </w:rPr>
              <w:t>Administration injures of a moderate to significant nature, giving rise to permanent impairment or the need for an extended period of medical treatment</w:t>
            </w:r>
            <w:r>
              <w:rPr>
                <w:noProof/>
                <w:webHidden/>
              </w:rPr>
              <w:tab/>
            </w:r>
            <w:r>
              <w:rPr>
                <w:noProof/>
                <w:webHidden/>
              </w:rPr>
              <w:fldChar w:fldCharType="begin"/>
            </w:r>
            <w:r>
              <w:rPr>
                <w:noProof/>
                <w:webHidden/>
              </w:rPr>
              <w:instrText xml:space="preserve"> PAGEREF _Toc153957658 \h </w:instrText>
            </w:r>
            <w:r>
              <w:rPr>
                <w:noProof/>
                <w:webHidden/>
              </w:rPr>
            </w:r>
            <w:r>
              <w:rPr>
                <w:noProof/>
                <w:webHidden/>
              </w:rPr>
              <w:fldChar w:fldCharType="separate"/>
            </w:r>
            <w:r w:rsidR="00400D7E">
              <w:rPr>
                <w:noProof/>
                <w:webHidden/>
              </w:rPr>
              <w:t>11</w:t>
            </w:r>
            <w:r>
              <w:rPr>
                <w:noProof/>
                <w:webHidden/>
              </w:rPr>
              <w:fldChar w:fldCharType="end"/>
            </w:r>
          </w:hyperlink>
        </w:p>
        <w:p w14:paraId="712756EA" w14:textId="4B77081E" w:rsidR="001B14DA" w:rsidRDefault="001B14DA">
          <w:pPr>
            <w:pStyle w:val="TOC2"/>
            <w:tabs>
              <w:tab w:val="right" w:leader="dot" w:pos="9016"/>
            </w:tabs>
            <w:rPr>
              <w:rFonts w:eastAsiaTheme="minorEastAsia" w:cstheme="minorBidi"/>
              <w:noProof/>
              <w:sz w:val="22"/>
              <w:szCs w:val="22"/>
              <w:lang w:eastAsia="en-AU"/>
            </w:rPr>
          </w:pPr>
          <w:hyperlink w:anchor="_Toc153957659" w:history="1">
            <w:r w:rsidRPr="00ED4E53">
              <w:rPr>
                <w:rStyle w:val="Hyperlink"/>
                <w:noProof/>
              </w:rPr>
              <w:t>Version history</w:t>
            </w:r>
            <w:r>
              <w:rPr>
                <w:noProof/>
                <w:webHidden/>
              </w:rPr>
              <w:tab/>
            </w:r>
            <w:r>
              <w:rPr>
                <w:noProof/>
                <w:webHidden/>
              </w:rPr>
              <w:fldChar w:fldCharType="begin"/>
            </w:r>
            <w:r>
              <w:rPr>
                <w:noProof/>
                <w:webHidden/>
              </w:rPr>
              <w:instrText xml:space="preserve"> PAGEREF _Toc153957659 \h </w:instrText>
            </w:r>
            <w:r>
              <w:rPr>
                <w:noProof/>
                <w:webHidden/>
              </w:rPr>
            </w:r>
            <w:r>
              <w:rPr>
                <w:noProof/>
                <w:webHidden/>
              </w:rPr>
              <w:fldChar w:fldCharType="separate"/>
            </w:r>
            <w:r w:rsidR="00400D7E">
              <w:rPr>
                <w:noProof/>
                <w:webHidden/>
              </w:rPr>
              <w:t>12</w:t>
            </w:r>
            <w:r>
              <w:rPr>
                <w:noProof/>
                <w:webHidden/>
              </w:rPr>
              <w:fldChar w:fldCharType="end"/>
            </w:r>
          </w:hyperlink>
        </w:p>
        <w:p w14:paraId="6EF31EF8" w14:textId="0D3E49D2" w:rsidR="005A1351" w:rsidRDefault="005A1351" w:rsidP="005A1351">
          <w:r>
            <w:rPr>
              <w:b/>
              <w:bCs/>
              <w:noProof/>
            </w:rPr>
            <w:fldChar w:fldCharType="end"/>
          </w:r>
        </w:p>
      </w:sdtContent>
    </w:sdt>
    <w:p w14:paraId="5CD1D74C" w14:textId="77777777" w:rsidR="00DC32E8" w:rsidRPr="00F22877" w:rsidRDefault="00DC32E8" w:rsidP="00DC32E8">
      <w:pPr>
        <w:pStyle w:val="Heading2"/>
      </w:pPr>
      <w:bookmarkStart w:id="3" w:name="_Toc153957650"/>
      <w:r w:rsidRPr="00F22877">
        <w:lastRenderedPageBreak/>
        <w:t>Assessment Criteria for Claims</w:t>
      </w:r>
      <w:bookmarkEnd w:id="3"/>
    </w:p>
    <w:p w14:paraId="793D5D04" w14:textId="2B004077" w:rsidR="00DC32E8" w:rsidRDefault="00DC32E8" w:rsidP="00DC32E8">
      <w:pPr>
        <w:spacing w:after="180"/>
        <w:rPr>
          <w:rFonts w:cstheme="minorHAnsi"/>
        </w:rPr>
      </w:pPr>
      <w:r>
        <w:rPr>
          <w:rFonts w:cstheme="minorHAnsi"/>
        </w:rPr>
        <w:t xml:space="preserve">The approach to the Department of Health and Aged Care’s (the Department) assessment and the type of evidence that would be expected in support of a claim for injury caused by vaccine administration is covered below. </w:t>
      </w:r>
    </w:p>
    <w:p w14:paraId="42265D8F" w14:textId="27EE918A" w:rsidR="00DC32E8" w:rsidRDefault="00DC32E8" w:rsidP="00DC32E8">
      <w:pPr>
        <w:spacing w:after="180"/>
        <w:rPr>
          <w:rFonts w:cstheme="minorHAnsi"/>
        </w:rPr>
      </w:pPr>
      <w:r>
        <w:rPr>
          <w:rFonts w:cstheme="minorHAnsi"/>
        </w:rPr>
        <w:t xml:space="preserve">The key threshold for assessment is whether the Claimant, in conjunction with the Reporting Practitioner, have submitted sufficient evidence to meet the claims criteria. Where missing or unclear information is provided, </w:t>
      </w:r>
      <w:r w:rsidR="00CA71E1">
        <w:rPr>
          <w:rFonts w:cstheme="minorHAnsi"/>
        </w:rPr>
        <w:t>Services Australia</w:t>
      </w:r>
      <w:r>
        <w:rPr>
          <w:rFonts w:cstheme="minorHAnsi"/>
        </w:rPr>
        <w:t xml:space="preserve"> may seek further information from the Claimant, Reporting Practitioner, or another Medical Practitioner</w:t>
      </w:r>
      <w:r w:rsidR="00CA71E1">
        <w:rPr>
          <w:rFonts w:cstheme="minorHAnsi"/>
        </w:rPr>
        <w:t>.</w:t>
      </w:r>
      <w:r>
        <w:rPr>
          <w:rFonts w:cstheme="minorHAnsi"/>
        </w:rPr>
        <w:t xml:space="preserve"> </w:t>
      </w:r>
    </w:p>
    <w:p w14:paraId="54E02192" w14:textId="77777777" w:rsidR="00DC32E8" w:rsidRDefault="00DC32E8" w:rsidP="00DC32E8">
      <w:pPr>
        <w:spacing w:after="180"/>
        <w:rPr>
          <w:rFonts w:cstheme="minorHAnsi"/>
        </w:rPr>
      </w:pPr>
      <w:r>
        <w:rPr>
          <w:rFonts w:cstheme="minorHAnsi"/>
        </w:rPr>
        <w:t>Departmental Medical Officers will assess whether the evidence provided in support of the claim is sufficient to meet the threshold required to satisfy the criteria. The Department will not re-diagnose the claimant or perform causality assessment on behalf of the Reporting Practitioner.</w:t>
      </w:r>
    </w:p>
    <w:p w14:paraId="3574CA16" w14:textId="3A8E260F" w:rsidR="00DC32E8" w:rsidRDefault="00DC32E8" w:rsidP="00DC32E8">
      <w:pPr>
        <w:pStyle w:val="Criterion"/>
      </w:pPr>
      <w:r w:rsidRPr="001410C4">
        <w:rPr>
          <w:rStyle w:val="Strong"/>
        </w:rPr>
        <w:t>Criterion 1</w:t>
      </w:r>
      <w:r w:rsidRPr="001410C4">
        <w:t xml:space="preserve">: The patient has been diagnosed with a claimable injury(s) by a </w:t>
      </w:r>
      <w:r w:rsidR="007F71DD">
        <w:t>Treating</w:t>
      </w:r>
      <w:r w:rsidR="007F71DD" w:rsidRPr="001410C4">
        <w:t xml:space="preserve"> </w:t>
      </w:r>
      <w:r>
        <w:t>P</w:t>
      </w:r>
      <w:r w:rsidRPr="001410C4">
        <w:t>ractitioner in the relevant field of practice. This diagnosis is accompanied by sufficient information to explain how that diagnosis was established including any diagnostic criteria and/or case definitions relied upon for this case</w:t>
      </w:r>
    </w:p>
    <w:p w14:paraId="5C7984FC" w14:textId="77777777" w:rsidR="00DC32E8" w:rsidRDefault="00DC32E8" w:rsidP="00DC32E8">
      <w:pPr>
        <w:rPr>
          <w:rFonts w:ascii="Calibri" w:hAnsi="Calibri"/>
        </w:rPr>
      </w:pPr>
      <w:r>
        <w:t xml:space="preserve">The Reporting Practitioner’s statement should confirm that that the patient has been diagnosed with a claimable injury and explain how that diagnosis was established. This may include the following information: </w:t>
      </w:r>
    </w:p>
    <w:p w14:paraId="3CEF8CF7" w14:textId="3AF9DFE9" w:rsidR="00DC32E8" w:rsidRDefault="00DC32E8" w:rsidP="00DC32E8">
      <w:pPr>
        <w:pStyle w:val="ListParagraph"/>
        <w:numPr>
          <w:ilvl w:val="0"/>
          <w:numId w:val="21"/>
        </w:numPr>
        <w:spacing w:before="0" w:after="0"/>
        <w:contextualSpacing w:val="0"/>
        <w:rPr>
          <w:rFonts w:eastAsia="Times New Roman"/>
        </w:rPr>
      </w:pPr>
      <w:r>
        <w:rPr>
          <w:rFonts w:eastAsia="Times New Roman"/>
        </w:rPr>
        <w:t>Details of the diagnosing Medical Practitioner, including confirmation that this Practitioner is a specialist in the relevant field of practice</w:t>
      </w:r>
      <w:r w:rsidR="007F71DD">
        <w:rPr>
          <w:rFonts w:eastAsia="Times New Roman"/>
        </w:rPr>
        <w:t>;</w:t>
      </w:r>
      <w:r>
        <w:rPr>
          <w:rFonts w:eastAsia="Times New Roman"/>
        </w:rPr>
        <w:t xml:space="preserve"> </w:t>
      </w:r>
    </w:p>
    <w:p w14:paraId="4CFFBC44" w14:textId="6C7D468C" w:rsidR="00DC32E8" w:rsidRPr="003E20B1" w:rsidRDefault="00DC32E8" w:rsidP="00DC32E8">
      <w:pPr>
        <w:pStyle w:val="ListParagraph"/>
        <w:numPr>
          <w:ilvl w:val="0"/>
          <w:numId w:val="21"/>
        </w:numPr>
        <w:spacing w:before="0" w:after="0"/>
        <w:contextualSpacing w:val="0"/>
        <w:rPr>
          <w:rFonts w:eastAsia="Times New Roman"/>
        </w:rPr>
      </w:pPr>
      <w:r w:rsidRPr="003E20B1">
        <w:rPr>
          <w:rFonts w:eastAsia="Times New Roman"/>
        </w:rPr>
        <w:t>Description of relevant clinical findings, including symptoms, physical examination findings, and investigation results relied upon in establishing the diagnosis</w:t>
      </w:r>
      <w:r w:rsidR="007F71DD">
        <w:rPr>
          <w:rFonts w:eastAsia="Times New Roman"/>
        </w:rPr>
        <w:t>; and</w:t>
      </w:r>
    </w:p>
    <w:p w14:paraId="09E6630F" w14:textId="29DEF1FC" w:rsidR="00DC32E8" w:rsidRPr="003E20B1" w:rsidRDefault="00DC32E8" w:rsidP="00DC32E8">
      <w:pPr>
        <w:pStyle w:val="ListParagraph"/>
        <w:numPr>
          <w:ilvl w:val="0"/>
          <w:numId w:val="21"/>
        </w:numPr>
        <w:spacing w:before="0" w:after="0"/>
        <w:contextualSpacing w:val="0"/>
        <w:rPr>
          <w:rFonts w:eastAsia="Times New Roman"/>
          <w:color w:val="000000" w:themeColor="text1"/>
        </w:rPr>
      </w:pPr>
      <w:r w:rsidRPr="003E20B1">
        <w:rPr>
          <w:rFonts w:eastAsia="Times New Roman"/>
          <w:color w:val="000000" w:themeColor="text1"/>
        </w:rPr>
        <w:t xml:space="preserve">Reference to recognised clinical guidelines relevant to the diagnosis of a claimable </w:t>
      </w:r>
      <w:r>
        <w:rPr>
          <w:rFonts w:eastAsia="Times New Roman"/>
          <w:color w:val="000000" w:themeColor="text1"/>
        </w:rPr>
        <w:t>injury</w:t>
      </w:r>
      <w:r w:rsidRPr="003E20B1">
        <w:rPr>
          <w:rFonts w:eastAsia="Times New Roman"/>
          <w:color w:val="000000" w:themeColor="text1"/>
        </w:rPr>
        <w:t xml:space="preserve">. Alternatively, an explanation as to why the diagnosed claimable </w:t>
      </w:r>
      <w:r>
        <w:rPr>
          <w:rFonts w:eastAsia="Times New Roman"/>
          <w:color w:val="000000" w:themeColor="text1"/>
        </w:rPr>
        <w:t>injury</w:t>
      </w:r>
      <w:r w:rsidRPr="003E20B1">
        <w:rPr>
          <w:rFonts w:eastAsia="Times New Roman"/>
          <w:color w:val="000000" w:themeColor="text1"/>
        </w:rPr>
        <w:t xml:space="preserve"> is </w:t>
      </w:r>
      <w:r>
        <w:rPr>
          <w:rFonts w:eastAsia="Times New Roman"/>
          <w:color w:val="000000" w:themeColor="text1"/>
        </w:rPr>
        <w:t xml:space="preserve">the </w:t>
      </w:r>
      <w:r w:rsidRPr="003E20B1">
        <w:rPr>
          <w:rFonts w:eastAsia="Times New Roman"/>
          <w:color w:val="000000" w:themeColor="text1"/>
        </w:rPr>
        <w:t xml:space="preserve">most likely diagnosis in the </w:t>
      </w:r>
      <w:r w:rsidR="007F71DD">
        <w:rPr>
          <w:rFonts w:eastAsia="Times New Roman"/>
          <w:color w:val="000000" w:themeColor="text1"/>
        </w:rPr>
        <w:t>c</w:t>
      </w:r>
      <w:r w:rsidRPr="003E20B1">
        <w:rPr>
          <w:rFonts w:eastAsia="Times New Roman"/>
          <w:color w:val="000000" w:themeColor="text1"/>
        </w:rPr>
        <w:t>laimant’s case where deviating from recognised guidelines</w:t>
      </w:r>
      <w:r w:rsidR="007F71DD">
        <w:rPr>
          <w:rFonts w:eastAsia="Times New Roman"/>
          <w:color w:val="000000" w:themeColor="text1"/>
        </w:rPr>
        <w:t>.</w:t>
      </w:r>
      <w:r w:rsidRPr="003E20B1" w:rsidDel="00FC22EA">
        <w:rPr>
          <w:rFonts w:cstheme="minorHAnsi"/>
          <w:color w:val="000000" w:themeColor="text1"/>
        </w:rPr>
        <w:t xml:space="preserve"> </w:t>
      </w:r>
    </w:p>
    <w:p w14:paraId="6672EE92" w14:textId="77777777" w:rsidR="00DC32E8" w:rsidRPr="00041CCB" w:rsidRDefault="00DC32E8" w:rsidP="00DC32E8">
      <w:pPr>
        <w:pStyle w:val="Criterion"/>
      </w:pPr>
      <w:r w:rsidRPr="004B7A6E">
        <w:rPr>
          <w:rStyle w:val="Strong"/>
        </w:rPr>
        <w:t>Criterion 2</w:t>
      </w:r>
      <w:r w:rsidRPr="001410C4">
        <w:t xml:space="preserve">: The </w:t>
      </w:r>
      <w:r>
        <w:t>R</w:t>
      </w:r>
      <w:r w:rsidRPr="001410C4">
        <w:t xml:space="preserve">eporting </w:t>
      </w:r>
      <w:r>
        <w:t>P</w:t>
      </w:r>
      <w:r w:rsidRPr="001410C4">
        <w:t>ractitioner has provided opinion that the most likely cause of the diagnosed injury(s) is COVID-19 vaccination. Other causes have been considered and appear less likely to have contributed to the individual’s diagnosis.</w:t>
      </w:r>
    </w:p>
    <w:p w14:paraId="623732C0" w14:textId="68F60D16" w:rsidR="00DC32E8" w:rsidRPr="003E20B1" w:rsidRDefault="00DC32E8" w:rsidP="00DC32E8">
      <w:pPr>
        <w:rPr>
          <w:rFonts w:ascii="Calibri" w:hAnsi="Calibri"/>
          <w:color w:val="000000" w:themeColor="text1"/>
        </w:rPr>
      </w:pPr>
      <w:r w:rsidRPr="003E20B1">
        <w:rPr>
          <w:color w:val="000000" w:themeColor="text1"/>
        </w:rPr>
        <w:t xml:space="preserve">The </w:t>
      </w:r>
      <w:r>
        <w:rPr>
          <w:color w:val="000000" w:themeColor="text1"/>
        </w:rPr>
        <w:t>Reporting Practitioner</w:t>
      </w:r>
      <w:r w:rsidRPr="003E20B1">
        <w:rPr>
          <w:color w:val="000000" w:themeColor="text1"/>
        </w:rPr>
        <w:t xml:space="preserve">’s statement should explain why COVID-19 vaccination is the most likely cause of the diagnosed claimable </w:t>
      </w:r>
      <w:r>
        <w:rPr>
          <w:color w:val="000000" w:themeColor="text1"/>
        </w:rPr>
        <w:t>injury</w:t>
      </w:r>
      <w:r w:rsidRPr="003E20B1">
        <w:rPr>
          <w:color w:val="000000" w:themeColor="text1"/>
        </w:rPr>
        <w:t>, including where opinion is based upon the diagnosis or view from a specialist doctor who has examined the patient. This statement may include the following:</w:t>
      </w:r>
    </w:p>
    <w:p w14:paraId="7AA2D62C" w14:textId="3623D585" w:rsidR="00DC32E8" w:rsidRPr="003E20B1" w:rsidRDefault="00DC32E8" w:rsidP="00DC32E8">
      <w:pPr>
        <w:pStyle w:val="ListParagraph"/>
        <w:numPr>
          <w:ilvl w:val="0"/>
          <w:numId w:val="22"/>
        </w:numPr>
        <w:spacing w:before="0" w:after="0"/>
        <w:contextualSpacing w:val="0"/>
        <w:rPr>
          <w:rFonts w:eastAsia="Times New Roman"/>
          <w:color w:val="000000" w:themeColor="text1"/>
        </w:rPr>
      </w:pPr>
      <w:r w:rsidRPr="003E20B1">
        <w:rPr>
          <w:rFonts w:eastAsia="Times New Roman"/>
          <w:color w:val="000000" w:themeColor="text1"/>
        </w:rPr>
        <w:t xml:space="preserve">Provision of an opinion from the </w:t>
      </w:r>
      <w:r>
        <w:rPr>
          <w:rFonts w:eastAsia="Times New Roman"/>
          <w:color w:val="000000" w:themeColor="text1"/>
        </w:rPr>
        <w:t>Reporting Practitioner</w:t>
      </w:r>
      <w:r w:rsidRPr="003E20B1">
        <w:rPr>
          <w:rFonts w:eastAsia="Times New Roman"/>
          <w:color w:val="000000" w:themeColor="text1"/>
        </w:rPr>
        <w:t xml:space="preserve"> that the COVID-19 vaccination is the most likely cause of the diagnosed claimable </w:t>
      </w:r>
      <w:r>
        <w:rPr>
          <w:rFonts w:eastAsia="Times New Roman"/>
          <w:color w:val="000000" w:themeColor="text1"/>
        </w:rPr>
        <w:t>injury</w:t>
      </w:r>
      <w:r w:rsidRPr="003E20B1">
        <w:rPr>
          <w:rFonts w:eastAsia="Times New Roman"/>
          <w:color w:val="000000" w:themeColor="text1"/>
        </w:rPr>
        <w:t>, and confirmation as to whether this opinion is based on the assessment of another Treating Practitioner</w:t>
      </w:r>
      <w:r w:rsidR="007F71DD">
        <w:rPr>
          <w:rFonts w:eastAsia="Times New Roman"/>
          <w:color w:val="000000" w:themeColor="text1"/>
        </w:rPr>
        <w:t>.</w:t>
      </w:r>
    </w:p>
    <w:p w14:paraId="53FF61CD" w14:textId="23D0E13E" w:rsidR="00DC32E8" w:rsidRPr="003E20B1" w:rsidRDefault="00DC32E8" w:rsidP="00DC32E8">
      <w:pPr>
        <w:pStyle w:val="ListParagraph"/>
        <w:numPr>
          <w:ilvl w:val="0"/>
          <w:numId w:val="22"/>
        </w:numPr>
        <w:spacing w:before="0" w:after="0"/>
        <w:contextualSpacing w:val="0"/>
        <w:rPr>
          <w:rFonts w:eastAsia="Times New Roman"/>
          <w:color w:val="000000" w:themeColor="text1"/>
        </w:rPr>
      </w:pPr>
      <w:r w:rsidRPr="003E20B1">
        <w:rPr>
          <w:rFonts w:eastAsia="Times New Roman"/>
          <w:color w:val="000000" w:themeColor="text1"/>
        </w:rPr>
        <w:t xml:space="preserve">Reference to opinion provided by one or multiple Treating Practitioner/s regarding the most likely cause of the diagnosed claimable </w:t>
      </w:r>
      <w:r>
        <w:rPr>
          <w:rFonts w:eastAsia="Times New Roman"/>
          <w:color w:val="000000" w:themeColor="text1"/>
        </w:rPr>
        <w:t>injury</w:t>
      </w:r>
      <w:r w:rsidR="007F71DD">
        <w:rPr>
          <w:rFonts w:eastAsia="Times New Roman"/>
          <w:color w:val="000000" w:themeColor="text1"/>
        </w:rPr>
        <w:t>.</w:t>
      </w:r>
    </w:p>
    <w:p w14:paraId="0757CD38" w14:textId="1878F7CD" w:rsidR="00DC32E8" w:rsidRPr="003E20B1" w:rsidRDefault="00DC32E8" w:rsidP="00DC32E8">
      <w:pPr>
        <w:pStyle w:val="ListParagraph"/>
        <w:numPr>
          <w:ilvl w:val="0"/>
          <w:numId w:val="22"/>
        </w:numPr>
        <w:spacing w:before="0" w:after="0"/>
        <w:contextualSpacing w:val="0"/>
        <w:rPr>
          <w:rFonts w:eastAsia="Times New Roman"/>
          <w:color w:val="000000" w:themeColor="text1"/>
        </w:rPr>
      </w:pPr>
      <w:r w:rsidRPr="003E20B1">
        <w:rPr>
          <w:rFonts w:eastAsia="Times New Roman"/>
          <w:color w:val="000000" w:themeColor="text1"/>
        </w:rPr>
        <w:t xml:space="preserve">Explanation regarding how other causes of the diagnosed claimable </w:t>
      </w:r>
      <w:r>
        <w:rPr>
          <w:rFonts w:eastAsia="Times New Roman"/>
          <w:color w:val="000000" w:themeColor="text1"/>
        </w:rPr>
        <w:t>injury</w:t>
      </w:r>
      <w:r w:rsidRPr="003E20B1">
        <w:rPr>
          <w:rFonts w:eastAsia="Times New Roman"/>
          <w:color w:val="000000" w:themeColor="text1"/>
        </w:rPr>
        <w:t xml:space="preserve"> have been considered, and appear less likely than COVID-19 vaccination, including any relevant clinical findings or investigation results</w:t>
      </w:r>
      <w:r w:rsidR="007F71DD">
        <w:rPr>
          <w:rFonts w:eastAsia="Times New Roman"/>
          <w:color w:val="000000" w:themeColor="text1"/>
        </w:rPr>
        <w:t>.</w:t>
      </w:r>
    </w:p>
    <w:p w14:paraId="4E68855B" w14:textId="2E7BB63D" w:rsidR="00DC32E8" w:rsidRPr="003E20B1" w:rsidRDefault="00DC32E8" w:rsidP="00DC32E8">
      <w:pPr>
        <w:pStyle w:val="ListParagraph"/>
        <w:numPr>
          <w:ilvl w:val="0"/>
          <w:numId w:val="22"/>
        </w:numPr>
        <w:spacing w:before="0" w:after="0"/>
        <w:contextualSpacing w:val="0"/>
        <w:rPr>
          <w:rFonts w:eastAsia="Times New Roman"/>
          <w:color w:val="000000" w:themeColor="text1"/>
        </w:rPr>
      </w:pPr>
      <w:r w:rsidRPr="003E20B1">
        <w:rPr>
          <w:rFonts w:eastAsia="Times New Roman"/>
          <w:color w:val="000000" w:themeColor="text1"/>
        </w:rPr>
        <w:lastRenderedPageBreak/>
        <w:t xml:space="preserve">Reference to recognised causality assessment guidelines relevant to the diagnosis of the claimable </w:t>
      </w:r>
      <w:r>
        <w:rPr>
          <w:rFonts w:eastAsia="Times New Roman"/>
          <w:color w:val="000000" w:themeColor="text1"/>
        </w:rPr>
        <w:t>injury</w:t>
      </w:r>
      <w:r w:rsidRPr="003E20B1">
        <w:rPr>
          <w:rFonts w:eastAsia="Times New Roman"/>
          <w:color w:val="000000" w:themeColor="text1"/>
        </w:rPr>
        <w:t>. Alternatively</w:t>
      </w:r>
      <w:r>
        <w:rPr>
          <w:rFonts w:eastAsia="Times New Roman"/>
          <w:color w:val="000000" w:themeColor="text1"/>
        </w:rPr>
        <w:t>,</w:t>
      </w:r>
      <w:r w:rsidRPr="003E20B1">
        <w:rPr>
          <w:rFonts w:eastAsia="Times New Roman"/>
          <w:color w:val="000000" w:themeColor="text1"/>
        </w:rPr>
        <w:t xml:space="preserve"> an explanation as to why</w:t>
      </w:r>
      <w:r>
        <w:rPr>
          <w:rFonts w:eastAsia="Times New Roman"/>
          <w:color w:val="000000" w:themeColor="text1"/>
        </w:rPr>
        <w:t xml:space="preserve"> </w:t>
      </w:r>
      <w:r w:rsidRPr="003E20B1">
        <w:rPr>
          <w:rFonts w:eastAsia="Times New Roman"/>
          <w:color w:val="000000" w:themeColor="text1"/>
        </w:rPr>
        <w:t xml:space="preserve">COVID-19 vaccination is </w:t>
      </w:r>
      <w:r>
        <w:rPr>
          <w:rFonts w:eastAsia="Times New Roman"/>
          <w:color w:val="000000" w:themeColor="text1"/>
        </w:rPr>
        <w:t xml:space="preserve">the </w:t>
      </w:r>
      <w:r w:rsidRPr="003E20B1">
        <w:rPr>
          <w:rFonts w:eastAsia="Times New Roman"/>
          <w:color w:val="000000" w:themeColor="text1"/>
        </w:rPr>
        <w:t xml:space="preserve">most likely cause of the claimable </w:t>
      </w:r>
      <w:r>
        <w:rPr>
          <w:rFonts w:eastAsia="Times New Roman"/>
          <w:color w:val="000000" w:themeColor="text1"/>
        </w:rPr>
        <w:t>injury</w:t>
      </w:r>
      <w:r w:rsidRPr="003E20B1">
        <w:rPr>
          <w:rFonts w:eastAsia="Times New Roman"/>
          <w:color w:val="000000" w:themeColor="text1"/>
        </w:rPr>
        <w:t xml:space="preserve"> in the claimant’s case, where deviating from recognised causality assessment guidelines. </w:t>
      </w:r>
    </w:p>
    <w:p w14:paraId="1AD0CDC0" w14:textId="77777777" w:rsidR="00DC32E8" w:rsidRPr="00F22877" w:rsidRDefault="00DC32E8" w:rsidP="00DC32E8">
      <w:pPr>
        <w:pStyle w:val="Heading2"/>
      </w:pPr>
      <w:bookmarkStart w:id="4" w:name="_Toc153957651"/>
      <w:r w:rsidRPr="00F22877">
        <w:lastRenderedPageBreak/>
        <w:t>Fatal outcomes from claimable injuries</w:t>
      </w:r>
      <w:bookmarkEnd w:id="4"/>
    </w:p>
    <w:p w14:paraId="5772027C" w14:textId="77777777" w:rsidR="00DC32E8" w:rsidRPr="00487FF5" w:rsidRDefault="00DC32E8" w:rsidP="00DC32E8">
      <w:pPr>
        <w:rPr>
          <w:rFonts w:cstheme="minorHAnsi"/>
        </w:rPr>
      </w:pPr>
      <w:r w:rsidRPr="00487FF5">
        <w:rPr>
          <w:rFonts w:cstheme="minorHAnsi"/>
        </w:rPr>
        <w:t xml:space="preserve">For claims where a fatal outcome has occurred (Tier 3), a death certificate is required. The same assessment process is followed, and the same evidence requirements apply regarding the </w:t>
      </w:r>
      <w:r>
        <w:rPr>
          <w:rFonts w:cstheme="minorHAnsi"/>
        </w:rPr>
        <w:t>injury</w:t>
      </w:r>
      <w:r w:rsidRPr="00487FF5">
        <w:rPr>
          <w:rFonts w:cstheme="minorHAnsi"/>
        </w:rPr>
        <w:t xml:space="preserve"> that resulted in death. Specifically, the </w:t>
      </w:r>
      <w:r>
        <w:rPr>
          <w:rFonts w:cstheme="minorHAnsi"/>
        </w:rPr>
        <w:t>R</w:t>
      </w:r>
      <w:r w:rsidRPr="00487FF5">
        <w:rPr>
          <w:rFonts w:cstheme="minorHAnsi"/>
        </w:rPr>
        <w:t xml:space="preserve">eporting </w:t>
      </w:r>
      <w:r>
        <w:rPr>
          <w:rFonts w:cstheme="minorHAnsi"/>
        </w:rPr>
        <w:t>P</w:t>
      </w:r>
      <w:r w:rsidRPr="00487FF5">
        <w:rPr>
          <w:rFonts w:cstheme="minorHAnsi"/>
        </w:rPr>
        <w:t xml:space="preserve">ractitioner must address whether the patient was diagnosed with a claimable injury and provide an opinion that the injury was most likely caused by COVID-19 vaccination and that other causes have been considered and appear less likely to have contributed to the individual’s diagnosis. Additionally, a medical practitioner must provide an opinion as to whether the injury suffered by the COVID-19 Vaccine Recipient has caused, or materially contributed to, their death </w:t>
      </w:r>
      <w:r w:rsidRPr="00487FF5">
        <w:rPr>
          <w:rFonts w:ascii="Calibri" w:eastAsia="Times New Roman" w:hAnsi="Calibri" w:cs="Calibri"/>
        </w:rPr>
        <w:t>(having regard to the cause(s) of death specified in the death certificate or medical cause of death certificate)</w:t>
      </w:r>
      <w:r w:rsidRPr="00487FF5">
        <w:rPr>
          <w:rFonts w:cstheme="minorHAnsi"/>
        </w:rPr>
        <w:t>.</w:t>
      </w:r>
    </w:p>
    <w:p w14:paraId="4BD630AE" w14:textId="77777777" w:rsidR="00DC32E8" w:rsidRPr="00277AD1" w:rsidRDefault="00DC32E8" w:rsidP="00DC32E8">
      <w:pPr>
        <w:rPr>
          <w:rFonts w:cstheme="minorHAnsi"/>
        </w:rPr>
      </w:pPr>
      <w:r>
        <w:rPr>
          <w:rFonts w:cstheme="minorHAnsi"/>
        </w:rPr>
        <w:t>I</w:t>
      </w:r>
      <w:r w:rsidRPr="00277AD1">
        <w:rPr>
          <w:rFonts w:cstheme="minorHAnsi"/>
        </w:rPr>
        <w:t xml:space="preserve">n the case of a fatal outcome, a forensic pathologist may be considered a relevant speciality for the </w:t>
      </w:r>
      <w:r>
        <w:rPr>
          <w:rFonts w:cstheme="minorHAnsi"/>
        </w:rPr>
        <w:t>injuries</w:t>
      </w:r>
      <w:r w:rsidRPr="00277AD1">
        <w:rPr>
          <w:rFonts w:cstheme="minorHAnsi"/>
        </w:rPr>
        <w:t xml:space="preserve"> covered by the </w:t>
      </w:r>
      <w:r>
        <w:rPr>
          <w:rFonts w:cstheme="minorHAnsi"/>
        </w:rPr>
        <w:t>S</w:t>
      </w:r>
      <w:r w:rsidRPr="00277AD1">
        <w:rPr>
          <w:rFonts w:cstheme="minorHAnsi"/>
        </w:rPr>
        <w:t>cheme</w:t>
      </w:r>
      <w:r>
        <w:rPr>
          <w:rFonts w:cstheme="minorHAnsi"/>
        </w:rPr>
        <w:t xml:space="preserve">. </w:t>
      </w:r>
    </w:p>
    <w:p w14:paraId="7FF7F1DF" w14:textId="6A857E45" w:rsidR="005A1351" w:rsidRDefault="005A1351" w:rsidP="005A1351">
      <w:pPr>
        <w:spacing w:before="0" w:after="160" w:line="259" w:lineRule="auto"/>
        <w:rPr>
          <w:rFonts w:asciiTheme="majorHAnsi" w:eastAsiaTheme="majorEastAsia" w:hAnsiTheme="majorHAnsi" w:cstheme="majorBidi"/>
          <w:spacing w:val="-10"/>
          <w:kern w:val="28"/>
          <w:sz w:val="56"/>
          <w:szCs w:val="56"/>
        </w:rPr>
      </w:pPr>
    </w:p>
    <w:p w14:paraId="46A5A834" w14:textId="155F0876" w:rsidR="002C4BCD" w:rsidRPr="00F22877" w:rsidRDefault="002C4BCD" w:rsidP="00F22877">
      <w:pPr>
        <w:pStyle w:val="Heading2"/>
      </w:pPr>
      <w:bookmarkStart w:id="5" w:name="_Toc153957652"/>
      <w:bookmarkEnd w:id="2"/>
      <w:r w:rsidRPr="00F22877">
        <w:lastRenderedPageBreak/>
        <w:t>Role of the reporting practitioner:</w:t>
      </w:r>
      <w:bookmarkEnd w:id="5"/>
    </w:p>
    <w:p w14:paraId="10462788" w14:textId="558B8B0B" w:rsidR="002875BF" w:rsidRPr="00E92600" w:rsidRDefault="002875BF" w:rsidP="002875BF">
      <w:pPr>
        <w:pStyle w:val="ListBullet"/>
        <w:numPr>
          <w:ilvl w:val="0"/>
          <w:numId w:val="5"/>
        </w:numPr>
      </w:pPr>
      <w:bookmarkStart w:id="6" w:name="_Hlk104543365"/>
      <w:r>
        <w:t xml:space="preserve">A </w:t>
      </w:r>
      <w:r w:rsidR="004C6B8E">
        <w:t>R</w:t>
      </w:r>
      <w:r>
        <w:t xml:space="preserve">eporting </w:t>
      </w:r>
      <w:r w:rsidR="004C6B8E">
        <w:t>P</w:t>
      </w:r>
      <w:r>
        <w:t xml:space="preserve">ractitioner is an Australian registered </w:t>
      </w:r>
      <w:r w:rsidR="007F71DD">
        <w:t>M</w:t>
      </w:r>
      <w:r>
        <w:t xml:space="preserve">edical </w:t>
      </w:r>
      <w:r w:rsidR="007F71DD">
        <w:t>P</w:t>
      </w:r>
      <w:r>
        <w:t xml:space="preserve">ractitioner that is qualified (by reference to their professional qualifications and expertise) </w:t>
      </w:r>
      <w:r w:rsidRPr="00E92600">
        <w:t>to prepare a report on</w:t>
      </w:r>
      <w:r>
        <w:t xml:space="preserve"> a patient submitting a claim under the Scheme (the </w:t>
      </w:r>
      <w:r w:rsidR="004C6B8E">
        <w:t>c</w:t>
      </w:r>
      <w:r>
        <w:t>laimant) outlining the claimant’s injury as a result of the Harm suffered, including any treatment required.</w:t>
      </w:r>
      <w:r w:rsidRPr="00E92600">
        <w:t xml:space="preserve"> </w:t>
      </w:r>
    </w:p>
    <w:p w14:paraId="6E673A1C" w14:textId="69F4658D" w:rsidR="002875BF" w:rsidRPr="00FB7391" w:rsidRDefault="002875BF" w:rsidP="002875BF">
      <w:pPr>
        <w:pStyle w:val="ListBullet"/>
        <w:numPr>
          <w:ilvl w:val="0"/>
          <w:numId w:val="5"/>
        </w:numPr>
      </w:pPr>
      <w:r>
        <w:rPr>
          <w:lang w:val="en-US"/>
        </w:rPr>
        <w:t xml:space="preserve">The Reporting Practitioner is responsible for completing the Services Australia ‘COVID-19 Vaccine Claims Scheme Medical Report Form (MO063)’. The intention of this form is </w:t>
      </w:r>
      <w:r w:rsidR="00765BE5">
        <w:rPr>
          <w:lang w:val="en-US"/>
        </w:rPr>
        <w:t xml:space="preserve">to </w:t>
      </w:r>
      <w:r w:rsidR="00867A4E">
        <w:rPr>
          <w:lang w:val="en-US"/>
        </w:rPr>
        <w:t>ascertain</w:t>
      </w:r>
      <w:r>
        <w:rPr>
          <w:lang w:val="en-US"/>
        </w:rPr>
        <w:t xml:space="preserve"> the </w:t>
      </w:r>
      <w:r w:rsidR="00765BE5">
        <w:rPr>
          <w:lang w:val="en-US"/>
        </w:rPr>
        <w:t>R</w:t>
      </w:r>
      <w:r>
        <w:rPr>
          <w:lang w:val="en-US"/>
        </w:rPr>
        <w:t xml:space="preserve">eporting </w:t>
      </w:r>
      <w:r w:rsidR="00765BE5">
        <w:rPr>
          <w:lang w:val="en-US"/>
        </w:rPr>
        <w:t>P</w:t>
      </w:r>
      <w:r>
        <w:rPr>
          <w:lang w:val="en-US"/>
        </w:rPr>
        <w:t xml:space="preserve">ractitioner’s opinion of the circumstances, nature and severity of the Harm claimed under the Scheme.  </w:t>
      </w:r>
    </w:p>
    <w:p w14:paraId="092D3CBC" w14:textId="550708B4" w:rsidR="002875BF" w:rsidRPr="00CD2851" w:rsidRDefault="002875BF" w:rsidP="002875BF">
      <w:pPr>
        <w:pStyle w:val="ListBullet"/>
        <w:numPr>
          <w:ilvl w:val="0"/>
          <w:numId w:val="5"/>
        </w:numPr>
      </w:pPr>
      <w:r>
        <w:rPr>
          <w:rFonts w:cstheme="minorHAnsi"/>
        </w:rPr>
        <w:t>The Reporting Practitioner may</w:t>
      </w:r>
      <w:r w:rsidR="00765BE5">
        <w:rPr>
          <w:rFonts w:cstheme="minorHAnsi"/>
        </w:rPr>
        <w:t xml:space="preserve"> be</w:t>
      </w:r>
      <w:r>
        <w:rPr>
          <w:rFonts w:cstheme="minorHAnsi"/>
        </w:rPr>
        <w:t xml:space="preserve">, but is not required to be, the Treating Practitioner. The Treating Practitioner is a Medical Practitioner who is, or has been involved in, the diagnosis, assessment and/or treatment of the Claimant’s claimable injury. </w:t>
      </w:r>
    </w:p>
    <w:p w14:paraId="1BDABFE1" w14:textId="5BD68B45" w:rsidR="007F71DD" w:rsidRPr="007F71DD" w:rsidRDefault="002875BF" w:rsidP="00617EC0">
      <w:pPr>
        <w:pStyle w:val="ListBullet"/>
        <w:tabs>
          <w:tab w:val="clear" w:pos="360"/>
          <w:tab w:val="num" w:pos="720"/>
        </w:tabs>
        <w:ind w:left="720"/>
        <w:rPr>
          <w:rFonts w:ascii="Cambria" w:hAnsi="Cambria" w:cstheme="minorHAnsi"/>
        </w:rPr>
      </w:pPr>
      <w:r w:rsidRPr="007F71DD">
        <w:rPr>
          <w:rFonts w:cstheme="minorHAnsi"/>
        </w:rPr>
        <w:t xml:space="preserve">The Reporting Practitioner is not required to be a qualified specialist in the speciality relevant to the Harm suffered by the Claimant, however any opinion voiced by the Reporting Practitioner pertaining to the Harm claimed must be based on the relevant qualified specialist’s assessment, i.e. </w:t>
      </w:r>
      <w:r w:rsidR="007F71DD" w:rsidRPr="00617EC0">
        <w:rPr>
          <w:rFonts w:cstheme="minorHAnsi"/>
        </w:rPr>
        <w:t>a Claimant’s regular General Practitioner may prepare a report to be submitted under the Scheme, with opinions expressed in that report based on separate assessment of the Claimant by a practitioner practicing in the relevant field of practice.</w:t>
      </w:r>
      <w:r w:rsidR="007F71DD" w:rsidRPr="007F71DD">
        <w:rPr>
          <w:rFonts w:ascii="Cambria" w:hAnsi="Cambria" w:cstheme="minorHAnsi"/>
        </w:rPr>
        <w:t xml:space="preserve"> </w:t>
      </w:r>
    </w:p>
    <w:p w14:paraId="09C6C644" w14:textId="1B0CA896" w:rsidR="00765BE5" w:rsidRPr="007F71DD" w:rsidRDefault="00765BE5" w:rsidP="00701EB6">
      <w:pPr>
        <w:pStyle w:val="ListBullet"/>
        <w:numPr>
          <w:ilvl w:val="0"/>
          <w:numId w:val="5"/>
        </w:numPr>
        <w:rPr>
          <w:rFonts w:cstheme="minorHAnsi"/>
        </w:rPr>
      </w:pPr>
      <w:r w:rsidRPr="007F71DD">
        <w:rPr>
          <w:rFonts w:cstheme="minorHAnsi"/>
        </w:rPr>
        <w:t xml:space="preserve">Where the Reporting Practitioner completing an MO063 Medical Report Form is not the Treating Practitioner who has been involved in diagnosis or treatment of the Harm claimed under the Scheme, supporting documentation that may be provided includes, but is not limited </w:t>
      </w:r>
      <w:proofErr w:type="gramStart"/>
      <w:r w:rsidRPr="007F71DD">
        <w:rPr>
          <w:rFonts w:cstheme="minorHAnsi"/>
        </w:rPr>
        <w:t>to:</w:t>
      </w:r>
      <w:proofErr w:type="gramEnd"/>
      <w:r w:rsidRPr="007F71DD">
        <w:rPr>
          <w:rFonts w:cstheme="minorHAnsi"/>
        </w:rPr>
        <w:t xml:space="preserve"> correspondence from the Treating Practitioner relevant to the Harm suffered, a hospital discharge summary relevant to the Harm suffered, or investigation results relevant to the Harm suffered. </w:t>
      </w:r>
    </w:p>
    <w:p w14:paraId="696ECB45" w14:textId="2F97ABFA" w:rsidR="002875BF" w:rsidRDefault="002875BF" w:rsidP="002875BF">
      <w:pPr>
        <w:pStyle w:val="ListBullet"/>
        <w:numPr>
          <w:ilvl w:val="0"/>
          <w:numId w:val="5"/>
        </w:numPr>
      </w:pPr>
      <w:r>
        <w:t>The relevant field of practice for a qualified practitioner’s diagnosis is listed in tabular form below for each clinical injury covered by the Scheme.</w:t>
      </w:r>
    </w:p>
    <w:p w14:paraId="0C06D317" w14:textId="15F809CD" w:rsidR="00607B42" w:rsidRDefault="00607B42" w:rsidP="00607B42">
      <w:pPr>
        <w:pStyle w:val="ListBullet"/>
        <w:numPr>
          <w:ilvl w:val="0"/>
          <w:numId w:val="5"/>
        </w:numPr>
      </w:pPr>
      <w:r>
        <w:t xml:space="preserve">There is no requirement to lodge an adverse event report through the TGA in order to lodge a claim. Adverse event reporting to the TGA is a separate and distinct process to the Scheme. However, adverse event reports form an important part of Australia’s approach to monitoring vaccine safety. </w:t>
      </w:r>
    </w:p>
    <w:p w14:paraId="679CAEEC" w14:textId="3E61A6D8" w:rsidR="00765BE5" w:rsidRDefault="00765BE5" w:rsidP="00765BE5">
      <w:pPr>
        <w:pStyle w:val="ListBullet"/>
        <w:numPr>
          <w:ilvl w:val="0"/>
          <w:numId w:val="0"/>
        </w:numPr>
        <w:ind w:left="360" w:hanging="360"/>
      </w:pPr>
    </w:p>
    <w:p w14:paraId="173F3032" w14:textId="77777777" w:rsidR="00765BE5" w:rsidRPr="00434B69" w:rsidRDefault="00765BE5" w:rsidP="00765BE5">
      <w:pPr>
        <w:pStyle w:val="Heading2"/>
        <w:rPr>
          <w:rFonts w:asciiTheme="minorHAnsi" w:hAnsiTheme="minorHAnsi" w:cstheme="minorHAnsi"/>
        </w:rPr>
      </w:pPr>
      <w:bookmarkStart w:id="7" w:name="_Toc131405262"/>
      <w:bookmarkStart w:id="8" w:name="_Toc153957653"/>
      <w:r w:rsidRPr="00434B69">
        <w:rPr>
          <w:rFonts w:asciiTheme="minorHAnsi" w:hAnsiTheme="minorHAnsi" w:cstheme="minorHAnsi"/>
        </w:rPr>
        <w:lastRenderedPageBreak/>
        <w:t>Role of case definitions and causality assessment:</w:t>
      </w:r>
      <w:bookmarkEnd w:id="7"/>
      <w:bookmarkEnd w:id="8"/>
    </w:p>
    <w:p w14:paraId="6E28AE26" w14:textId="56093988" w:rsidR="00765BE5" w:rsidRPr="00434B69" w:rsidRDefault="00765BE5" w:rsidP="00765BE5">
      <w:pPr>
        <w:pStyle w:val="ListBullet"/>
        <w:spacing w:before="0" w:after="0"/>
        <w:rPr>
          <w:rFonts w:cstheme="minorHAnsi"/>
        </w:rPr>
      </w:pPr>
      <w:bookmarkStart w:id="9" w:name="_Hlk120541989"/>
      <w:r w:rsidRPr="00434B69">
        <w:rPr>
          <w:rFonts w:cstheme="minorHAnsi"/>
        </w:rPr>
        <w:t xml:space="preserve">A treating Medical Practitioner may choose to refer to any of the recommended national or international adverse event following immunisation (AEFI) case definition(s) to assist with expressing the level of diagnostic certainty associated with the claimant’s case, for example surveillance case definitions provided by the </w:t>
      </w:r>
      <w:proofErr w:type="spellStart"/>
      <w:r w:rsidRPr="00434B69">
        <w:rPr>
          <w:rFonts w:cstheme="minorHAnsi"/>
        </w:rPr>
        <w:t>Centers</w:t>
      </w:r>
      <w:proofErr w:type="spellEnd"/>
      <w:r w:rsidRPr="00434B69">
        <w:rPr>
          <w:rFonts w:cstheme="minorHAnsi"/>
        </w:rPr>
        <w:t xml:space="preserve"> for Disease Control and Prevention, or AEFI case definitions provided by The Brighton Collaboration. However, the Department accepts that the use of such case definitions is intended primarily as a pharmacovigilance tool in the surveillance of adverse event following immunisation, and this may not always be in line with an individual’s clinical diagnosis. </w:t>
      </w:r>
    </w:p>
    <w:p w14:paraId="29ADECA7" w14:textId="49660EDE" w:rsidR="00765BE5" w:rsidRPr="00434B69" w:rsidRDefault="00765BE5" w:rsidP="00765BE5">
      <w:pPr>
        <w:pStyle w:val="ListBullet"/>
        <w:spacing w:before="0" w:after="0"/>
        <w:rPr>
          <w:rFonts w:cstheme="minorHAnsi"/>
        </w:rPr>
      </w:pPr>
      <w:r w:rsidRPr="00434B69">
        <w:rPr>
          <w:rFonts w:cstheme="minorHAnsi"/>
        </w:rPr>
        <w:t>A treating Medical Practitioner may also choose to refer to formal causality assessment frameworks such as the World Health Organization (WHO) causality assessment of adverse events following immunization.</w:t>
      </w:r>
      <w:r w:rsidRPr="00434B69">
        <w:rPr>
          <w:rStyle w:val="FootnoteReference"/>
          <w:rFonts w:cstheme="minorHAnsi"/>
        </w:rPr>
        <w:footnoteReference w:id="1"/>
      </w:r>
      <w:r w:rsidRPr="00434B69">
        <w:rPr>
          <w:rFonts w:cstheme="minorHAnsi"/>
        </w:rPr>
        <w:t xml:space="preserve"> However, the Department accepts that causality assessment frameworks are not always utilised by practitioners when forming a clinical opinion with regards to causation for an individual’s diagnosis. </w:t>
      </w:r>
    </w:p>
    <w:p w14:paraId="105C9E75" w14:textId="77777777" w:rsidR="00765BE5" w:rsidRPr="00434B69" w:rsidRDefault="00765BE5" w:rsidP="00765BE5">
      <w:pPr>
        <w:pStyle w:val="ListBullet"/>
        <w:spacing w:before="0" w:after="0"/>
        <w:rPr>
          <w:rFonts w:cstheme="minorHAnsi"/>
        </w:rPr>
      </w:pPr>
      <w:r w:rsidRPr="00434B69">
        <w:rPr>
          <w:rFonts w:cstheme="minorHAnsi"/>
        </w:rPr>
        <w:t xml:space="preserve">Whilst case definition and causality assessment information, if available, may assist in the assessment of a claim, it is not a requirement. A claim under the Scheme may still undergo medical assessment in the absence of such information. </w:t>
      </w:r>
    </w:p>
    <w:p w14:paraId="4C37B589" w14:textId="2C8909F8" w:rsidR="00765BE5" w:rsidRPr="00434B69" w:rsidRDefault="00765BE5" w:rsidP="00765BE5">
      <w:pPr>
        <w:pStyle w:val="ListBullet"/>
        <w:spacing w:before="0" w:after="0"/>
        <w:rPr>
          <w:rFonts w:cstheme="minorHAnsi"/>
        </w:rPr>
      </w:pPr>
      <w:r w:rsidRPr="00434B69">
        <w:rPr>
          <w:rFonts w:cstheme="minorHAnsi"/>
        </w:rPr>
        <w:t>The Department accepts that the claims approved via the Scheme will not necessarily reflect the TGA’s case numbers of adverse events reported for that condition due to:</w:t>
      </w:r>
    </w:p>
    <w:p w14:paraId="103C2A1B" w14:textId="77777777" w:rsidR="00765BE5" w:rsidRPr="00434B69" w:rsidRDefault="00765BE5" w:rsidP="00617EC0">
      <w:pPr>
        <w:pStyle w:val="ListBullet3"/>
        <w:numPr>
          <w:ilvl w:val="0"/>
          <w:numId w:val="23"/>
        </w:numPr>
        <w:rPr>
          <w:rFonts w:cstheme="minorHAnsi"/>
        </w:rPr>
      </w:pPr>
      <w:r w:rsidRPr="00434B69">
        <w:rPr>
          <w:rFonts w:cstheme="minorHAnsi"/>
        </w:rPr>
        <w:t>The difference between a surveillance case definition for pharmacovigilance purposes and a clinical diagnosis for an individual.</w:t>
      </w:r>
    </w:p>
    <w:p w14:paraId="6F27FF69" w14:textId="77777777" w:rsidR="00765BE5" w:rsidRPr="00434B69" w:rsidRDefault="00765BE5" w:rsidP="00617EC0">
      <w:pPr>
        <w:pStyle w:val="ListBullet3"/>
        <w:numPr>
          <w:ilvl w:val="0"/>
          <w:numId w:val="23"/>
        </w:numPr>
        <w:rPr>
          <w:rFonts w:cstheme="minorHAnsi"/>
        </w:rPr>
      </w:pPr>
      <w:r w:rsidRPr="00434B69">
        <w:rPr>
          <w:rFonts w:cstheme="minorHAnsi"/>
        </w:rPr>
        <w:t xml:space="preserve">Non-mandatory adverse event reporting to the TGA. </w:t>
      </w:r>
    </w:p>
    <w:p w14:paraId="434A70F4" w14:textId="18AD6F10" w:rsidR="00765BE5" w:rsidRDefault="00765BE5" w:rsidP="00617EC0">
      <w:pPr>
        <w:pStyle w:val="ListBullet3"/>
        <w:numPr>
          <w:ilvl w:val="0"/>
          <w:numId w:val="23"/>
        </w:numPr>
        <w:rPr>
          <w:rFonts w:cstheme="minorHAnsi"/>
        </w:rPr>
      </w:pPr>
      <w:r w:rsidRPr="00434B69">
        <w:rPr>
          <w:rFonts w:cstheme="minorHAnsi"/>
        </w:rPr>
        <w:t>No requirement for an adverse event report to be submitted to the TGA for a claim to be approved.</w:t>
      </w:r>
      <w:bookmarkEnd w:id="9"/>
    </w:p>
    <w:p w14:paraId="7C3767F5" w14:textId="134A7613" w:rsidR="00DC32E8" w:rsidRDefault="00DC32E8" w:rsidP="00DC32E8">
      <w:pPr>
        <w:pStyle w:val="ListBullet3"/>
        <w:rPr>
          <w:rFonts w:cstheme="minorHAnsi"/>
        </w:rPr>
      </w:pPr>
    </w:p>
    <w:p w14:paraId="238FEA41" w14:textId="77777777" w:rsidR="00DC32E8" w:rsidRPr="00F22877" w:rsidRDefault="00DC32E8" w:rsidP="00DC32E8">
      <w:pPr>
        <w:pStyle w:val="Heading2"/>
      </w:pPr>
      <w:bookmarkStart w:id="10" w:name="_Toc153957654"/>
      <w:r w:rsidRPr="00F22877">
        <w:lastRenderedPageBreak/>
        <w:t>Final diagnosis</w:t>
      </w:r>
      <w:bookmarkEnd w:id="10"/>
    </w:p>
    <w:p w14:paraId="631A7B41" w14:textId="77777777" w:rsidR="00DC32E8" w:rsidRPr="00DC32E8" w:rsidRDefault="00DC32E8" w:rsidP="00DC32E8">
      <w:pPr>
        <w:spacing w:before="0" w:after="160" w:line="259" w:lineRule="auto"/>
        <w:rPr>
          <w:rFonts w:cstheme="minorHAnsi"/>
        </w:rPr>
      </w:pPr>
      <w:r w:rsidRPr="0052681E">
        <w:rPr>
          <w:rFonts w:eastAsia="Times New Roman" w:cstheme="minorHAnsi"/>
          <w:lang w:eastAsia="en-AU"/>
        </w:rPr>
        <w:t xml:space="preserve">In order to assess claimants equitably, all claimants must have an established, or otherwise termed final diagnosis, and either have received or be receiving treatment at the time that the claim is lodged. Symptoms that are indicative of a condition/s but where a claimant does not have a diagnosed condition/s, are not eligible for assessment under the Scheme. </w:t>
      </w:r>
    </w:p>
    <w:p w14:paraId="09F75CEF" w14:textId="77777777" w:rsidR="00DC32E8" w:rsidRPr="0073529D" w:rsidRDefault="00DC32E8" w:rsidP="00DC32E8">
      <w:pPr>
        <w:pStyle w:val="FootnoteText"/>
        <w:rPr>
          <w:sz w:val="24"/>
          <w:szCs w:val="24"/>
        </w:rPr>
      </w:pPr>
      <w:r w:rsidRPr="0073529D">
        <w:rPr>
          <w:sz w:val="24"/>
          <w:szCs w:val="24"/>
        </w:rPr>
        <w:t xml:space="preserve">For the purposes of this document, a ‘final’ diagnosis is a recognised </w:t>
      </w:r>
      <w:r>
        <w:rPr>
          <w:sz w:val="24"/>
          <w:szCs w:val="24"/>
        </w:rPr>
        <w:t>injury</w:t>
      </w:r>
      <w:r w:rsidRPr="0073529D">
        <w:rPr>
          <w:sz w:val="24"/>
          <w:szCs w:val="24"/>
        </w:rPr>
        <w:t xml:space="preserve"> that: </w:t>
      </w:r>
    </w:p>
    <w:p w14:paraId="71B4FB03" w14:textId="68DE594C" w:rsidR="00DC32E8" w:rsidRPr="0073529D" w:rsidRDefault="00DC32E8" w:rsidP="00DC32E8">
      <w:pPr>
        <w:pStyle w:val="FootnoteText"/>
        <w:numPr>
          <w:ilvl w:val="0"/>
          <w:numId w:val="20"/>
        </w:numPr>
        <w:spacing w:before="40"/>
        <w:rPr>
          <w:sz w:val="24"/>
          <w:szCs w:val="24"/>
        </w:rPr>
      </w:pPr>
      <w:r w:rsidRPr="0073529D">
        <w:rPr>
          <w:sz w:val="24"/>
          <w:szCs w:val="24"/>
        </w:rPr>
        <w:t>has been identified by an Australian registered Medical Practitioner through the evaluation of patient history, examination and review of relevant laboratory and imaging data</w:t>
      </w:r>
      <w:r w:rsidR="007F71DD">
        <w:rPr>
          <w:sz w:val="24"/>
          <w:szCs w:val="24"/>
        </w:rPr>
        <w:t>;</w:t>
      </w:r>
    </w:p>
    <w:p w14:paraId="470E9927" w14:textId="3DF653A7" w:rsidR="00DC32E8" w:rsidRPr="0073529D" w:rsidRDefault="00DC32E8" w:rsidP="00DC32E8">
      <w:pPr>
        <w:pStyle w:val="FootnoteText"/>
        <w:numPr>
          <w:ilvl w:val="0"/>
          <w:numId w:val="20"/>
        </w:numPr>
        <w:spacing w:before="40"/>
        <w:rPr>
          <w:sz w:val="24"/>
          <w:szCs w:val="24"/>
        </w:rPr>
      </w:pPr>
      <w:r w:rsidRPr="0073529D">
        <w:rPr>
          <w:sz w:val="24"/>
          <w:szCs w:val="24"/>
        </w:rPr>
        <w:t>has entailed consideration and exclusion of relevant differential diagnoses</w:t>
      </w:r>
      <w:r w:rsidR="007F71DD">
        <w:rPr>
          <w:sz w:val="24"/>
          <w:szCs w:val="24"/>
        </w:rPr>
        <w:t>; and</w:t>
      </w:r>
    </w:p>
    <w:p w14:paraId="161638C6" w14:textId="77777777" w:rsidR="00DC32E8" w:rsidRPr="0073529D" w:rsidRDefault="00DC32E8" w:rsidP="00DC32E8">
      <w:pPr>
        <w:pStyle w:val="FootnoteText"/>
        <w:numPr>
          <w:ilvl w:val="0"/>
          <w:numId w:val="20"/>
        </w:numPr>
        <w:spacing w:before="40"/>
        <w:rPr>
          <w:sz w:val="24"/>
          <w:szCs w:val="24"/>
        </w:rPr>
      </w:pPr>
      <w:r w:rsidRPr="0073529D">
        <w:rPr>
          <w:sz w:val="24"/>
          <w:szCs w:val="24"/>
        </w:rPr>
        <w:t xml:space="preserve">lacks clinical uncertainty due to completion of standard medical processes required to establish the existence of the </w:t>
      </w:r>
      <w:r>
        <w:rPr>
          <w:sz w:val="24"/>
          <w:szCs w:val="24"/>
        </w:rPr>
        <w:t>injury</w:t>
      </w:r>
      <w:r w:rsidRPr="0073529D">
        <w:rPr>
          <w:sz w:val="24"/>
          <w:szCs w:val="24"/>
        </w:rPr>
        <w:t xml:space="preserve">. </w:t>
      </w:r>
    </w:p>
    <w:p w14:paraId="6D8CC1F8" w14:textId="77777777" w:rsidR="00DC32E8" w:rsidRPr="00F41A0B" w:rsidRDefault="00DC32E8" w:rsidP="00DC32E8">
      <w:pPr>
        <w:pStyle w:val="FootnoteText"/>
      </w:pPr>
      <w:r w:rsidRPr="0073529D">
        <w:rPr>
          <w:sz w:val="24"/>
          <w:szCs w:val="24"/>
        </w:rPr>
        <w:t xml:space="preserve">For the avoidance of doubt, a treating doctor discussing a symptom or sign experienced by the patient is not considered a final diagnosis. It is noted that an administrative analysis of clinical evidence may, at times, differ from what would otherwise be considered typical in clinical practice. It is also acknowledged that diagnostic opinions may change over time, and this evolution of clinical opinion will not, of itself, preclude the administrative </w:t>
      </w:r>
      <w:r>
        <w:rPr>
          <w:sz w:val="24"/>
          <w:szCs w:val="24"/>
        </w:rPr>
        <w:t>c</w:t>
      </w:r>
      <w:r w:rsidRPr="0073529D">
        <w:rPr>
          <w:sz w:val="24"/>
          <w:szCs w:val="24"/>
        </w:rPr>
        <w:t xml:space="preserve">riteria listed herein from being satisfied. </w:t>
      </w:r>
    </w:p>
    <w:p w14:paraId="2AA06EF3" w14:textId="77777777" w:rsidR="00DC32E8" w:rsidRPr="00DC32E8" w:rsidRDefault="00DC32E8" w:rsidP="00434B69">
      <w:pPr>
        <w:pStyle w:val="ListBullet3"/>
        <w:ind w:left="0" w:firstLine="0"/>
        <w:rPr>
          <w:rFonts w:cstheme="minorHAnsi"/>
        </w:rPr>
      </w:pPr>
    </w:p>
    <w:p w14:paraId="4C51C747" w14:textId="400DD9EA" w:rsidR="00285F7D" w:rsidRPr="00F22877" w:rsidRDefault="00285F7D" w:rsidP="00F22877">
      <w:pPr>
        <w:pStyle w:val="Heading2"/>
      </w:pPr>
      <w:bookmarkStart w:id="11" w:name="_Hlk104543435"/>
      <w:bookmarkStart w:id="12" w:name="_Toc153957655"/>
      <w:bookmarkEnd w:id="6"/>
      <w:r w:rsidRPr="00F22877">
        <w:lastRenderedPageBreak/>
        <w:t>Claimable vaccines and</w:t>
      </w:r>
      <w:r w:rsidR="0024781F" w:rsidRPr="00F22877">
        <w:t xml:space="preserve"> </w:t>
      </w:r>
      <w:r w:rsidR="00235556" w:rsidRPr="00F22877">
        <w:t>administration injuries</w:t>
      </w:r>
      <w:r w:rsidRPr="00F22877">
        <w:t>:</w:t>
      </w:r>
      <w:bookmarkEnd w:id="12"/>
    </w:p>
    <w:p w14:paraId="7856CB54" w14:textId="647F1B85" w:rsidR="00285F7D" w:rsidRDefault="00285F7D" w:rsidP="00285F7D">
      <w:pPr>
        <w:spacing w:after="180"/>
        <w:rPr>
          <w:rFonts w:cstheme="minorHAnsi"/>
        </w:rPr>
      </w:pPr>
      <w:r w:rsidRPr="00E92600">
        <w:rPr>
          <w:rFonts w:cstheme="minorHAnsi"/>
        </w:rPr>
        <w:t xml:space="preserve">A list of TGA </w:t>
      </w:r>
      <w:r>
        <w:rPr>
          <w:rFonts w:cstheme="minorHAnsi"/>
        </w:rPr>
        <w:t xml:space="preserve">provisionally </w:t>
      </w:r>
      <w:r w:rsidRPr="00E92600">
        <w:rPr>
          <w:rFonts w:cstheme="minorHAnsi"/>
        </w:rPr>
        <w:t xml:space="preserve">approved COVID-19 vaccines is available on the </w:t>
      </w:r>
      <w:hyperlink r:id="rId8" w:history="1">
        <w:r w:rsidRPr="00570940">
          <w:rPr>
            <w:rStyle w:val="Hyperlink"/>
            <w:rFonts w:cstheme="minorHAnsi"/>
          </w:rPr>
          <w:t>TGA website</w:t>
        </w:r>
      </w:hyperlink>
      <w:r>
        <w:rPr>
          <w:rFonts w:cstheme="minorHAnsi"/>
        </w:rPr>
        <w:t xml:space="preserve">. Please note that not all registered COVID-19 vaccines </w:t>
      </w:r>
      <w:r w:rsidR="002875BF">
        <w:rPr>
          <w:rFonts w:cstheme="minorHAnsi"/>
        </w:rPr>
        <w:t xml:space="preserve">listed on this website </w:t>
      </w:r>
      <w:r>
        <w:rPr>
          <w:rFonts w:cstheme="minorHAnsi"/>
        </w:rPr>
        <w:t>are supplied, or part of the vaccine roll-out in Australia.</w:t>
      </w:r>
    </w:p>
    <w:p w14:paraId="7B4FB87F" w14:textId="05F2A91D" w:rsidR="002875BF" w:rsidRPr="002875BF" w:rsidRDefault="002875BF" w:rsidP="00487FF5">
      <w:pPr>
        <w:spacing w:before="0" w:after="160" w:line="259" w:lineRule="auto"/>
      </w:pPr>
      <w:r w:rsidRPr="00A1204B">
        <w:t>Injuries claimable under the Scheme for a COVID-19 vaccines can be found in the</w:t>
      </w:r>
      <w:r w:rsidRPr="00A1204B">
        <w:rPr>
          <w:rFonts w:eastAsia="Times New Roman"/>
          <w:lang w:eastAsia="en-AU"/>
        </w:rPr>
        <w:t xml:space="preserve"> COVID-19 Vaccine Claims Scheme Policy 202</w:t>
      </w:r>
      <w:r w:rsidR="00204777" w:rsidRPr="00A1204B">
        <w:rPr>
          <w:rFonts w:eastAsia="Times New Roman"/>
          <w:lang w:eastAsia="en-AU"/>
        </w:rPr>
        <w:t>1</w:t>
      </w:r>
      <w:r w:rsidRPr="00A1204B">
        <w:rPr>
          <w:rFonts w:eastAsia="Times New Roman"/>
          <w:lang w:eastAsia="en-AU"/>
        </w:rPr>
        <w:t>, Version 1.</w:t>
      </w:r>
      <w:r w:rsidR="00A17AD1" w:rsidRPr="00A1204B">
        <w:rPr>
          <w:rFonts w:eastAsia="Times New Roman"/>
          <w:lang w:eastAsia="en-AU"/>
        </w:rPr>
        <w:t>5</w:t>
      </w:r>
      <w:r w:rsidRPr="00A1204B">
        <w:rPr>
          <w:rFonts w:eastAsia="Times New Roman"/>
          <w:lang w:eastAsia="en-AU"/>
        </w:rPr>
        <w:t xml:space="preserve">, dated </w:t>
      </w:r>
      <w:r w:rsidR="00A1204B" w:rsidRPr="00A1204B">
        <w:rPr>
          <w:rFonts w:eastAsia="Times New Roman"/>
          <w:lang w:eastAsia="en-AU"/>
        </w:rPr>
        <w:t>19</w:t>
      </w:r>
      <w:r w:rsidR="00701FE9" w:rsidRPr="00A1204B">
        <w:rPr>
          <w:rFonts w:eastAsia="Times New Roman"/>
          <w:lang w:eastAsia="en-AU"/>
        </w:rPr>
        <w:t xml:space="preserve"> </w:t>
      </w:r>
      <w:r w:rsidR="00C94169" w:rsidRPr="00A1204B">
        <w:rPr>
          <w:rFonts w:eastAsia="Times New Roman"/>
          <w:lang w:eastAsia="en-AU"/>
        </w:rPr>
        <w:t xml:space="preserve">December </w:t>
      </w:r>
      <w:r w:rsidR="00701FE9" w:rsidRPr="00A1204B">
        <w:rPr>
          <w:rFonts w:eastAsia="Times New Roman"/>
          <w:lang w:eastAsia="en-AU"/>
        </w:rPr>
        <w:t>2023</w:t>
      </w:r>
      <w:r w:rsidRPr="00A1204B">
        <w:rPr>
          <w:rFonts w:eastAsia="Times New Roman"/>
          <w:lang w:eastAsia="en-AU"/>
        </w:rPr>
        <w:t>.</w:t>
      </w:r>
      <w:r w:rsidRPr="00A17AD1">
        <w:rPr>
          <w:rFonts w:eastAsia="Times New Roman"/>
          <w:lang w:eastAsia="en-AU"/>
        </w:rPr>
        <w:t xml:space="preserve"> </w:t>
      </w:r>
    </w:p>
    <w:p w14:paraId="34C33BDE" w14:textId="1E9F57D9" w:rsidR="00285F7D" w:rsidRDefault="00285F7D" w:rsidP="00285F7D">
      <w:pPr>
        <w:rPr>
          <w:rFonts w:cstheme="minorHAnsi"/>
        </w:rPr>
      </w:pPr>
      <w:r w:rsidRPr="007D3728">
        <w:rPr>
          <w:rFonts w:cstheme="minorHAnsi"/>
        </w:rPr>
        <w:t xml:space="preserve">The </w:t>
      </w:r>
      <w:r w:rsidR="00AA4C4D">
        <w:rPr>
          <w:rFonts w:cstheme="minorHAnsi"/>
        </w:rPr>
        <w:t>Scheme</w:t>
      </w:r>
      <w:r w:rsidRPr="007D3728">
        <w:rPr>
          <w:rFonts w:cstheme="minorHAnsi"/>
        </w:rPr>
        <w:t xml:space="preserve"> has been established to support </w:t>
      </w:r>
      <w:r w:rsidRPr="007D3728">
        <w:rPr>
          <w:rFonts w:cstheme="minorHAnsi"/>
          <w:shd w:val="clear" w:color="auto" w:fill="FFFFFF"/>
        </w:rPr>
        <w:t xml:space="preserve">people who suffer a moderate to significant injury </w:t>
      </w:r>
      <w:r w:rsidR="0063799A">
        <w:rPr>
          <w:rFonts w:cstheme="minorHAnsi"/>
          <w:shd w:val="clear" w:color="auto" w:fill="FFFFFF"/>
        </w:rPr>
        <w:t>during the</w:t>
      </w:r>
      <w:r w:rsidR="00770932">
        <w:rPr>
          <w:rFonts w:cstheme="minorHAnsi"/>
          <w:shd w:val="clear" w:color="auto" w:fill="FFFFFF"/>
        </w:rPr>
        <w:t xml:space="preserve"> physical act of</w:t>
      </w:r>
      <w:r w:rsidR="0063799A">
        <w:rPr>
          <w:rFonts w:cstheme="minorHAnsi"/>
          <w:shd w:val="clear" w:color="auto" w:fill="FFFFFF"/>
        </w:rPr>
        <w:t xml:space="preserve"> </w:t>
      </w:r>
      <w:r w:rsidRPr="007D3728">
        <w:rPr>
          <w:rFonts w:cstheme="minorHAnsi"/>
          <w:shd w:val="clear" w:color="auto" w:fill="FFFFFF"/>
        </w:rPr>
        <w:t>administration of an approved COVID-19 vaccine.</w:t>
      </w:r>
      <w:r w:rsidRPr="007D3728">
        <w:rPr>
          <w:rFonts w:cstheme="minorHAnsi"/>
        </w:rPr>
        <w:t xml:space="preserve"> </w:t>
      </w:r>
    </w:p>
    <w:p w14:paraId="1B13984D" w14:textId="2BC4AA6B" w:rsidR="008413F8" w:rsidRDefault="008413F8" w:rsidP="00484659">
      <w:pPr>
        <w:rPr>
          <w:rFonts w:cstheme="minorHAnsi"/>
          <w:i/>
          <w:iCs/>
        </w:rPr>
      </w:pPr>
      <w:r>
        <w:rPr>
          <w:rFonts w:cstheme="minorHAnsi"/>
        </w:rPr>
        <w:t>Any clinical condition arising after the administration of a COVID-19 Vaccine that is not currently covered under the definition of ‘COVID-19 Vaccine Related Harm’, included in the COVID-19 Vaccine Claims Scheme Policy 2021</w:t>
      </w:r>
      <w:r w:rsidR="009578A9">
        <w:rPr>
          <w:rFonts w:cstheme="minorHAnsi"/>
        </w:rPr>
        <w:t xml:space="preserve"> (Scheme Policy)</w:t>
      </w:r>
      <w:r>
        <w:rPr>
          <w:rFonts w:cstheme="minorHAnsi"/>
        </w:rPr>
        <w:t xml:space="preserve">, is not considered to be COVID-19 Vaccine Administration Related Harm. </w:t>
      </w:r>
    </w:p>
    <w:p w14:paraId="2A8A5FEA" w14:textId="17EFB8F2" w:rsidR="0063799A" w:rsidRPr="00E92600" w:rsidRDefault="0063799A" w:rsidP="0063799A">
      <w:pPr>
        <w:spacing w:after="180"/>
        <w:rPr>
          <w:rFonts w:cstheme="minorHAnsi"/>
        </w:rPr>
      </w:pPr>
      <w:r>
        <w:rPr>
          <w:rFonts w:cstheme="minorHAnsi"/>
        </w:rPr>
        <w:t>C</w:t>
      </w:r>
      <w:r w:rsidRPr="00E92600">
        <w:rPr>
          <w:rFonts w:cstheme="minorHAnsi"/>
        </w:rPr>
        <w:t xml:space="preserve">laims against the following </w:t>
      </w:r>
      <w:r>
        <w:rPr>
          <w:rFonts w:cstheme="minorHAnsi"/>
        </w:rPr>
        <w:t>injuries</w:t>
      </w:r>
      <w:r w:rsidRPr="00E92600">
        <w:rPr>
          <w:rFonts w:cstheme="minorHAnsi"/>
        </w:rPr>
        <w:t xml:space="preserve"> are eligible for lodgement.</w:t>
      </w:r>
      <w:r>
        <w:rPr>
          <w:rFonts w:cstheme="minorHAnsi"/>
        </w:rPr>
        <w:t xml:space="preserve"> These injuries are also referred to as ‘claimable </w:t>
      </w:r>
      <w:proofErr w:type="gramStart"/>
      <w:r w:rsidR="00867A4E">
        <w:rPr>
          <w:rFonts w:cstheme="minorHAnsi"/>
        </w:rPr>
        <w:t>injuries’</w:t>
      </w:r>
      <w:proofErr w:type="gramEnd"/>
      <w:r>
        <w:rPr>
          <w:rFonts w:cstheme="minorHAnsi"/>
        </w:rPr>
        <w:t>.</w:t>
      </w:r>
    </w:p>
    <w:tbl>
      <w:tblPr>
        <w:tblStyle w:val="TableTGAblack"/>
        <w:tblW w:w="5000" w:type="pct"/>
        <w:tblLook w:val="04A0" w:firstRow="1" w:lastRow="0" w:firstColumn="1" w:lastColumn="0" w:noHBand="0" w:noVBand="1"/>
        <w:tblDescription w:val="This table is a list of Injury claims included under the Scheme if thresholds are met"/>
      </w:tblPr>
      <w:tblGrid>
        <w:gridCol w:w="9016"/>
      </w:tblGrid>
      <w:tr w:rsidR="00285F7D" w:rsidRPr="001F4308" w14:paraId="2A526606" w14:textId="77777777" w:rsidTr="001F43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bookmarkEnd w:id="11"/>
          <w:p w14:paraId="68E4BDCE" w14:textId="7B4C8C5B" w:rsidR="00285F7D" w:rsidRPr="001F4308" w:rsidRDefault="00285F7D" w:rsidP="001F4308">
            <w:r w:rsidRPr="001F4308">
              <w:t xml:space="preserve">Injury claims included under the </w:t>
            </w:r>
            <w:r w:rsidR="009578A9" w:rsidRPr="001F4308">
              <w:t>S</w:t>
            </w:r>
            <w:r w:rsidRPr="001F4308">
              <w:t>cheme if thresholds are met</w:t>
            </w:r>
          </w:p>
        </w:tc>
      </w:tr>
      <w:tr w:rsidR="00285F7D" w:rsidRPr="001F4308" w14:paraId="1FA6F45E" w14:textId="77777777" w:rsidTr="001F4308">
        <w:trPr>
          <w:cantSplit w:val="0"/>
        </w:trPr>
        <w:tc>
          <w:tcPr>
            <w:cnfStyle w:val="001000000000" w:firstRow="0" w:lastRow="0" w:firstColumn="1" w:lastColumn="0" w:oddVBand="0" w:evenVBand="0" w:oddHBand="0" w:evenHBand="0" w:firstRowFirstColumn="0" w:firstRowLastColumn="0" w:lastRowFirstColumn="0" w:lastRowLastColumn="0"/>
            <w:tcW w:w="5000" w:type="pct"/>
          </w:tcPr>
          <w:p w14:paraId="3620B405" w14:textId="77777777" w:rsidR="00285F7D" w:rsidRPr="001F4308" w:rsidRDefault="00285F7D" w:rsidP="001F4308">
            <w:r w:rsidRPr="001F4308">
              <w:t>Shoulder injury related to vaccine administration (SIRVA)</w:t>
            </w:r>
          </w:p>
        </w:tc>
      </w:tr>
      <w:tr w:rsidR="00285F7D" w:rsidRPr="001F4308" w14:paraId="17737357" w14:textId="77777777" w:rsidTr="001F4308">
        <w:tc>
          <w:tcPr>
            <w:cnfStyle w:val="001000000000" w:firstRow="0" w:lastRow="0" w:firstColumn="1" w:lastColumn="0" w:oddVBand="0" w:evenVBand="0" w:oddHBand="0" w:evenHBand="0" w:firstRowFirstColumn="0" w:firstRowLastColumn="0" w:lastRowFirstColumn="0" w:lastRowLastColumn="0"/>
            <w:tcW w:w="5000" w:type="pct"/>
          </w:tcPr>
          <w:p w14:paraId="62F977BD" w14:textId="77777777" w:rsidR="00285F7D" w:rsidRPr="001F4308" w:rsidRDefault="00285F7D" w:rsidP="001F4308">
            <w:r w:rsidRPr="001F4308">
              <w:t>Administration injures of a moderate to significant nature, giving rise to permanent impairment or the need for an extended period of medical treatment</w:t>
            </w:r>
          </w:p>
        </w:tc>
      </w:tr>
    </w:tbl>
    <w:p w14:paraId="431C96BD" w14:textId="77777777" w:rsidR="00285F7D" w:rsidRDefault="00285F7D" w:rsidP="00285F7D">
      <w:pPr>
        <w:rPr>
          <w:rFonts w:cstheme="minorHAnsi"/>
        </w:rPr>
      </w:pPr>
    </w:p>
    <w:tbl>
      <w:tblPr>
        <w:tblStyle w:val="TableTGAblack"/>
        <w:tblW w:w="0" w:type="auto"/>
        <w:tblLook w:val="04A0" w:firstRow="1" w:lastRow="0" w:firstColumn="1" w:lastColumn="0" w:noHBand="0" w:noVBand="1"/>
        <w:tblDescription w:val="This table is a list of Injury claims excluded from the Scheme"/>
      </w:tblPr>
      <w:tblGrid>
        <w:gridCol w:w="9016"/>
      </w:tblGrid>
      <w:tr w:rsidR="00285F7D" w:rsidRPr="001F4308" w14:paraId="4BE3C123" w14:textId="77777777" w:rsidTr="001F4308">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9016" w:type="dxa"/>
          </w:tcPr>
          <w:p w14:paraId="3ACFAB19" w14:textId="42B1869B" w:rsidR="00285F7D" w:rsidRPr="001F4308" w:rsidRDefault="00285F7D" w:rsidP="001F4308">
            <w:r w:rsidRPr="001F4308">
              <w:t xml:space="preserve">Injury claims excluded from the </w:t>
            </w:r>
            <w:r w:rsidR="009578A9" w:rsidRPr="001F4308">
              <w:t>S</w:t>
            </w:r>
            <w:r w:rsidRPr="001F4308">
              <w:t>cheme</w:t>
            </w:r>
          </w:p>
        </w:tc>
      </w:tr>
      <w:tr w:rsidR="00285F7D" w:rsidRPr="001F4308" w14:paraId="5B5211B9" w14:textId="77777777" w:rsidTr="001F4308">
        <w:tc>
          <w:tcPr>
            <w:cnfStyle w:val="001000000000" w:firstRow="0" w:lastRow="0" w:firstColumn="1" w:lastColumn="0" w:oddVBand="0" w:evenVBand="0" w:oddHBand="0" w:evenHBand="0" w:firstRowFirstColumn="0" w:firstRowLastColumn="0" w:lastRowFirstColumn="0" w:lastRowLastColumn="0"/>
            <w:tcW w:w="9016" w:type="dxa"/>
          </w:tcPr>
          <w:p w14:paraId="7B753A7F" w14:textId="2A5CD486" w:rsidR="00285F7D" w:rsidRPr="001F4308" w:rsidRDefault="00285F7D" w:rsidP="001F4308">
            <w:r w:rsidRPr="001F4308">
              <w:t>Injuries that do not require hospitalisation</w:t>
            </w:r>
          </w:p>
        </w:tc>
      </w:tr>
      <w:tr w:rsidR="00285F7D" w:rsidRPr="001F4308" w14:paraId="7704E4C1" w14:textId="77777777" w:rsidTr="001F4308">
        <w:tc>
          <w:tcPr>
            <w:cnfStyle w:val="001000000000" w:firstRow="0" w:lastRow="0" w:firstColumn="1" w:lastColumn="0" w:oddVBand="0" w:evenVBand="0" w:oddHBand="0" w:evenHBand="0" w:firstRowFirstColumn="0" w:firstRowLastColumn="0" w:lastRowFirstColumn="0" w:lastRowLastColumn="0"/>
            <w:tcW w:w="9016" w:type="dxa"/>
          </w:tcPr>
          <w:p w14:paraId="767EBC26" w14:textId="6E6DBD72" w:rsidR="00285F7D" w:rsidRPr="001F4308" w:rsidRDefault="00285F7D" w:rsidP="001F4308">
            <w:r w:rsidRPr="001F4308">
              <w:t>Injuries that do not meet the $1</w:t>
            </w:r>
            <w:r w:rsidR="00235556" w:rsidRPr="001F4308">
              <w:t>,</w:t>
            </w:r>
            <w:r w:rsidRPr="001F4308">
              <w:t xml:space="preserve">000 </w:t>
            </w:r>
            <w:r w:rsidR="00235556" w:rsidRPr="001F4308">
              <w:t>loss</w:t>
            </w:r>
            <w:r w:rsidRPr="001F4308">
              <w:t xml:space="preserve"> threshold</w:t>
            </w:r>
            <w:r w:rsidR="00235556" w:rsidRPr="001F4308">
              <w:t xml:space="preserve"> to access the Scheme</w:t>
            </w:r>
          </w:p>
        </w:tc>
      </w:tr>
      <w:tr w:rsidR="00285F7D" w:rsidRPr="001F4308" w14:paraId="5B19D11B" w14:textId="77777777" w:rsidTr="001F4308">
        <w:tc>
          <w:tcPr>
            <w:cnfStyle w:val="001000000000" w:firstRow="0" w:lastRow="0" w:firstColumn="1" w:lastColumn="0" w:oddVBand="0" w:evenVBand="0" w:oddHBand="0" w:evenHBand="0" w:firstRowFirstColumn="0" w:firstRowLastColumn="0" w:lastRowFirstColumn="0" w:lastRowLastColumn="0"/>
            <w:tcW w:w="9016" w:type="dxa"/>
          </w:tcPr>
          <w:p w14:paraId="11C8B022" w14:textId="27BD26E7" w:rsidR="00285F7D" w:rsidRPr="001F4308" w:rsidRDefault="00235556" w:rsidP="001F4308">
            <w:r w:rsidRPr="001F4308">
              <w:t>COVID</w:t>
            </w:r>
            <w:r w:rsidR="00285F7D" w:rsidRPr="001F4308">
              <w:t>-19 infection post C</w:t>
            </w:r>
            <w:r w:rsidRPr="001F4308">
              <w:t>OVID</w:t>
            </w:r>
            <w:r w:rsidR="00285F7D" w:rsidRPr="001F4308">
              <w:t>-19 vaccination</w:t>
            </w:r>
          </w:p>
        </w:tc>
      </w:tr>
      <w:tr w:rsidR="00285F7D" w:rsidRPr="001F4308" w14:paraId="79FE0346" w14:textId="77777777" w:rsidTr="001F4308">
        <w:tc>
          <w:tcPr>
            <w:cnfStyle w:val="001000000000" w:firstRow="0" w:lastRow="0" w:firstColumn="1" w:lastColumn="0" w:oddVBand="0" w:evenVBand="0" w:oddHBand="0" w:evenHBand="0" w:firstRowFirstColumn="0" w:firstRowLastColumn="0" w:lastRowFirstColumn="0" w:lastRowLastColumn="0"/>
            <w:tcW w:w="9016" w:type="dxa"/>
          </w:tcPr>
          <w:p w14:paraId="0877E0F6" w14:textId="77777777" w:rsidR="00285F7D" w:rsidRPr="001F4308" w:rsidRDefault="00285F7D" w:rsidP="001F4308">
            <w:r w:rsidRPr="001F4308">
              <w:t xml:space="preserve">Psychological distress </w:t>
            </w:r>
          </w:p>
        </w:tc>
      </w:tr>
      <w:tr w:rsidR="002C4BCD" w:rsidRPr="001F4308" w14:paraId="48148F70" w14:textId="77777777" w:rsidTr="001F4308">
        <w:tc>
          <w:tcPr>
            <w:cnfStyle w:val="001000000000" w:firstRow="0" w:lastRow="0" w:firstColumn="1" w:lastColumn="0" w:oddVBand="0" w:evenVBand="0" w:oddHBand="0" w:evenHBand="0" w:firstRowFirstColumn="0" w:firstRowLastColumn="0" w:lastRowFirstColumn="0" w:lastRowLastColumn="0"/>
            <w:tcW w:w="9016" w:type="dxa"/>
          </w:tcPr>
          <w:p w14:paraId="3F916676" w14:textId="53BC67F7" w:rsidR="002C4BCD" w:rsidRPr="001F4308" w:rsidRDefault="002C4BCD" w:rsidP="001F4308">
            <w:r w:rsidRPr="001F4308">
              <w:t xml:space="preserve">Any clinical condition that </w:t>
            </w:r>
            <w:r w:rsidR="004240DD" w:rsidRPr="001F4308">
              <w:t xml:space="preserve">is not recognised as a claimable clinical condition under the </w:t>
            </w:r>
            <w:r w:rsidR="00611D7A">
              <w:t>S</w:t>
            </w:r>
            <w:r w:rsidR="004240DD" w:rsidRPr="001F4308">
              <w:t>cheme</w:t>
            </w:r>
          </w:p>
        </w:tc>
      </w:tr>
    </w:tbl>
    <w:p w14:paraId="79D7DF91" w14:textId="61EBB600" w:rsidR="00285F7D" w:rsidRPr="007D3728" w:rsidRDefault="00285F7D" w:rsidP="001F4308">
      <w:bookmarkStart w:id="13" w:name="_Hlk104543618"/>
      <w:r>
        <w:t>Injuries</w:t>
      </w:r>
      <w:r w:rsidRPr="007D3728">
        <w:t xml:space="preserve"> with only mild impact would likely be made ineligible by virtue of the $</w:t>
      </w:r>
      <w:r>
        <w:t>1</w:t>
      </w:r>
      <w:r w:rsidR="00235556">
        <w:t>,</w:t>
      </w:r>
      <w:r w:rsidRPr="007D3728">
        <w:t xml:space="preserve">000 cost threshold as well as requirement for hospitalisation. </w:t>
      </w:r>
      <w:r w:rsidRPr="007D3728">
        <w:rPr>
          <w:lang w:eastAsia="en-AU"/>
        </w:rPr>
        <w:t xml:space="preserve">It is anticipated that these thresholds will exclude most claims </w:t>
      </w:r>
      <w:r w:rsidR="001F4308" w:rsidRPr="007D3728">
        <w:rPr>
          <w:lang w:eastAsia="en-AU"/>
        </w:rPr>
        <w:t>for</w:t>
      </w:r>
      <w:r w:rsidR="001F4308">
        <w:rPr>
          <w:lang w:eastAsia="en-AU"/>
        </w:rPr>
        <w:t>:</w:t>
      </w:r>
    </w:p>
    <w:p w14:paraId="69A8C1B2" w14:textId="2AB1FE82" w:rsidR="00285F7D" w:rsidRPr="007D3728" w:rsidRDefault="00285F7D" w:rsidP="00285F7D">
      <w:pPr>
        <w:pStyle w:val="ListParagraph"/>
        <w:numPr>
          <w:ilvl w:val="0"/>
          <w:numId w:val="6"/>
        </w:numPr>
        <w:rPr>
          <w:rFonts w:cstheme="minorHAnsi"/>
          <w:lang w:eastAsia="en-AU"/>
        </w:rPr>
      </w:pPr>
      <w:r>
        <w:rPr>
          <w:rFonts w:cstheme="minorHAnsi"/>
          <w:lang w:eastAsia="en-AU"/>
        </w:rPr>
        <w:t>n</w:t>
      </w:r>
      <w:r w:rsidRPr="007D3728">
        <w:rPr>
          <w:rFonts w:cstheme="minorHAnsi"/>
          <w:lang w:eastAsia="en-AU"/>
        </w:rPr>
        <w:t>eedlestick injury</w:t>
      </w:r>
    </w:p>
    <w:p w14:paraId="0A1BCBF8" w14:textId="660027C4" w:rsidR="00285F7D" w:rsidRPr="007D3728" w:rsidRDefault="00285F7D" w:rsidP="00285F7D">
      <w:pPr>
        <w:pStyle w:val="ListParagraph"/>
        <w:numPr>
          <w:ilvl w:val="0"/>
          <w:numId w:val="6"/>
        </w:numPr>
        <w:rPr>
          <w:rFonts w:cstheme="minorHAnsi"/>
          <w:lang w:eastAsia="en-AU"/>
        </w:rPr>
      </w:pPr>
      <w:r>
        <w:rPr>
          <w:rFonts w:cstheme="minorHAnsi"/>
          <w:lang w:eastAsia="en-AU"/>
        </w:rPr>
        <w:t>d</w:t>
      </w:r>
      <w:r w:rsidRPr="007D3728">
        <w:rPr>
          <w:rFonts w:cstheme="minorHAnsi"/>
          <w:lang w:eastAsia="en-AU"/>
        </w:rPr>
        <w:t>osage error</w:t>
      </w:r>
    </w:p>
    <w:p w14:paraId="676C97B2" w14:textId="7DED46C5" w:rsidR="00285F7D" w:rsidRPr="007D3728" w:rsidRDefault="00285F7D" w:rsidP="00285F7D">
      <w:pPr>
        <w:pStyle w:val="ListParagraph"/>
        <w:numPr>
          <w:ilvl w:val="0"/>
          <w:numId w:val="6"/>
        </w:numPr>
        <w:rPr>
          <w:rFonts w:cstheme="minorHAnsi"/>
          <w:lang w:eastAsia="en-AU"/>
        </w:rPr>
      </w:pPr>
      <w:r>
        <w:rPr>
          <w:rFonts w:cstheme="minorHAnsi"/>
          <w:lang w:eastAsia="en-AU"/>
        </w:rPr>
        <w:t>in</w:t>
      </w:r>
      <w:r w:rsidRPr="007D3728">
        <w:rPr>
          <w:rFonts w:cstheme="minorHAnsi"/>
          <w:lang w:eastAsia="en-AU"/>
        </w:rPr>
        <w:t>correct administration route</w:t>
      </w:r>
    </w:p>
    <w:p w14:paraId="7369E90B" w14:textId="26110665" w:rsidR="0063799A" w:rsidRDefault="00285F7D" w:rsidP="0063799A">
      <w:pPr>
        <w:pStyle w:val="ListParagraph"/>
        <w:numPr>
          <w:ilvl w:val="0"/>
          <w:numId w:val="6"/>
        </w:numPr>
        <w:rPr>
          <w:rFonts w:cstheme="minorHAnsi"/>
          <w:lang w:eastAsia="en-AU"/>
        </w:rPr>
      </w:pPr>
      <w:r>
        <w:rPr>
          <w:rFonts w:cstheme="minorHAnsi"/>
          <w:lang w:eastAsia="en-AU"/>
        </w:rPr>
        <w:t>i</w:t>
      </w:r>
      <w:r w:rsidRPr="007D3728">
        <w:rPr>
          <w:rFonts w:cstheme="minorHAnsi"/>
          <w:lang w:eastAsia="en-AU"/>
        </w:rPr>
        <w:t>ncorrect vaccine administered</w:t>
      </w:r>
      <w:r>
        <w:rPr>
          <w:rFonts w:cstheme="minorHAnsi"/>
          <w:lang w:eastAsia="en-AU"/>
        </w:rPr>
        <w:t>.</w:t>
      </w:r>
    </w:p>
    <w:p w14:paraId="762F2030" w14:textId="12C0DDD1" w:rsidR="0063799A" w:rsidRDefault="0063799A" w:rsidP="00487FF5">
      <w:pPr>
        <w:spacing w:after="180"/>
        <w:rPr>
          <w:rFonts w:cstheme="minorHAnsi"/>
        </w:rPr>
      </w:pPr>
      <w:r w:rsidRPr="0063799A">
        <w:rPr>
          <w:rFonts w:cstheme="minorHAnsi"/>
        </w:rPr>
        <w:t xml:space="preserve">The list of eligible </w:t>
      </w:r>
      <w:r w:rsidR="00B636BB">
        <w:rPr>
          <w:rFonts w:cstheme="minorHAnsi"/>
        </w:rPr>
        <w:t>injurie</w:t>
      </w:r>
      <w:r w:rsidRPr="0063799A">
        <w:rPr>
          <w:rFonts w:cstheme="minorHAnsi"/>
        </w:rPr>
        <w:t>s may be amended</w:t>
      </w:r>
      <w:r w:rsidRPr="00487FF5">
        <w:rPr>
          <w:rFonts w:cstheme="minorHAnsi"/>
        </w:rPr>
        <w:t xml:space="preserve"> over the period of the Scheme.</w:t>
      </w:r>
    </w:p>
    <w:p w14:paraId="3B251F69" w14:textId="77777777" w:rsidR="00867A4E" w:rsidRDefault="00867A4E">
      <w:pPr>
        <w:spacing w:before="0" w:after="160" w:line="259" w:lineRule="auto"/>
        <w:rPr>
          <w:rFonts w:asciiTheme="majorHAnsi" w:eastAsiaTheme="majorEastAsia" w:hAnsiTheme="majorHAnsi" w:cstheme="majorBidi"/>
          <w:color w:val="2F5496" w:themeColor="accent1" w:themeShade="BF"/>
          <w:sz w:val="32"/>
          <w:szCs w:val="32"/>
        </w:rPr>
      </w:pPr>
      <w:bookmarkStart w:id="14" w:name="_Hlk104544196"/>
      <w:bookmarkEnd w:id="13"/>
      <w:r>
        <w:br w:type="page"/>
      </w:r>
    </w:p>
    <w:p w14:paraId="71942BC0" w14:textId="290CC764" w:rsidR="00285F7D" w:rsidRPr="00F22877" w:rsidRDefault="00285F7D" w:rsidP="00F22877">
      <w:pPr>
        <w:pStyle w:val="Heading2"/>
      </w:pPr>
      <w:bookmarkStart w:id="15" w:name="_Toc153957656"/>
      <w:r w:rsidRPr="00F22877">
        <w:lastRenderedPageBreak/>
        <w:t xml:space="preserve">Types of evidence that should be considered by the treating doctor when making a </w:t>
      </w:r>
      <w:proofErr w:type="gramStart"/>
      <w:r w:rsidRPr="00F22877">
        <w:t>statement</w:t>
      </w:r>
      <w:bookmarkEnd w:id="15"/>
      <w:proofErr w:type="gramEnd"/>
    </w:p>
    <w:p w14:paraId="5C5F5EBB" w14:textId="77777777" w:rsidR="00285F7D" w:rsidRPr="00F22877" w:rsidRDefault="00285F7D" w:rsidP="00F22877">
      <w:pPr>
        <w:pStyle w:val="Heading3"/>
      </w:pPr>
      <w:bookmarkStart w:id="16" w:name="_Toc153957657"/>
      <w:r w:rsidRPr="00F22877">
        <w:lastRenderedPageBreak/>
        <w:t xml:space="preserve">Shoulder injury related to vaccine </w:t>
      </w:r>
      <w:proofErr w:type="gramStart"/>
      <w:r w:rsidRPr="00F22877">
        <w:t>administration</w:t>
      </w:r>
      <w:bookmarkEnd w:id="16"/>
      <w:proofErr w:type="gramEnd"/>
    </w:p>
    <w:p w14:paraId="51C2210C" w14:textId="77777777" w:rsidR="00285F7D" w:rsidRPr="00AF309A" w:rsidRDefault="00285F7D" w:rsidP="00285F7D">
      <w:pPr>
        <w:rPr>
          <w:rFonts w:cstheme="minorHAnsi"/>
        </w:rPr>
      </w:pPr>
      <w:r w:rsidRPr="00AF309A">
        <w:rPr>
          <w:rFonts w:cstheme="minorHAnsi"/>
        </w:rPr>
        <w:t xml:space="preserve">Points to consider for claims including </w:t>
      </w:r>
      <w:r>
        <w:rPr>
          <w:rFonts w:cstheme="minorHAnsi"/>
        </w:rPr>
        <w:t>shoulder injury related to vaccine administration</w:t>
      </w:r>
      <w:r w:rsidRPr="00AF309A">
        <w:rPr>
          <w:rFonts w:cstheme="minorHAnsi"/>
        </w:rPr>
        <w:t>.</w:t>
      </w:r>
    </w:p>
    <w:tbl>
      <w:tblPr>
        <w:tblStyle w:val="TableTGAblack"/>
        <w:tblW w:w="5000" w:type="pct"/>
        <w:tblLook w:val="04A0" w:firstRow="1" w:lastRow="0" w:firstColumn="1" w:lastColumn="0" w:noHBand="0" w:noVBand="1"/>
      </w:tblPr>
      <w:tblGrid>
        <w:gridCol w:w="2333"/>
        <w:gridCol w:w="6683"/>
      </w:tblGrid>
      <w:tr w:rsidR="00285F7D" w:rsidRPr="005A7924" w14:paraId="3E2E1246" w14:textId="77777777" w:rsidTr="004B7A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94" w:type="pct"/>
          </w:tcPr>
          <w:p w14:paraId="1F7A9F87" w14:textId="77777777" w:rsidR="00285F7D" w:rsidRPr="000E1455" w:rsidRDefault="00285F7D" w:rsidP="00937ED7">
            <w:pPr>
              <w:spacing w:after="180"/>
              <w:rPr>
                <w:rFonts w:cstheme="minorHAnsi"/>
                <w:b w:val="0"/>
                <w:bCs/>
              </w:rPr>
            </w:pPr>
            <w:bookmarkStart w:id="17" w:name="_Hlk104544260"/>
            <w:bookmarkEnd w:id="14"/>
            <w:r w:rsidRPr="000E1455">
              <w:rPr>
                <w:rFonts w:cstheme="minorHAnsi"/>
                <w:bCs/>
              </w:rPr>
              <w:t>Evidence requirement</w:t>
            </w:r>
          </w:p>
        </w:tc>
        <w:tc>
          <w:tcPr>
            <w:tcW w:w="3706" w:type="pct"/>
          </w:tcPr>
          <w:p w14:paraId="3E46D389" w14:textId="77777777" w:rsidR="00285F7D" w:rsidRPr="000E1455" w:rsidRDefault="00285F7D" w:rsidP="00937ED7">
            <w:pPr>
              <w:spacing w:after="180"/>
              <w:cnfStyle w:val="100000000000" w:firstRow="1" w:lastRow="0" w:firstColumn="0" w:lastColumn="0" w:oddVBand="0" w:evenVBand="0" w:oddHBand="0" w:evenHBand="0" w:firstRowFirstColumn="0" w:firstRowLastColumn="0" w:lastRowFirstColumn="0" w:lastRowLastColumn="0"/>
              <w:rPr>
                <w:rFonts w:cstheme="minorHAnsi"/>
                <w:b w:val="0"/>
                <w:bCs/>
              </w:rPr>
            </w:pPr>
            <w:r w:rsidRPr="000E1455">
              <w:rPr>
                <w:rFonts w:cstheme="minorHAnsi"/>
                <w:bCs/>
              </w:rPr>
              <w:t>Types of evidence that should be considered for shoulder injury related to vaccine administration</w:t>
            </w:r>
          </w:p>
        </w:tc>
      </w:tr>
      <w:tr w:rsidR="00285F7D" w:rsidRPr="005A7924" w14:paraId="528FF9AC" w14:textId="77777777" w:rsidTr="004B7A6E">
        <w:tc>
          <w:tcPr>
            <w:cnfStyle w:val="001000000000" w:firstRow="0" w:lastRow="0" w:firstColumn="1" w:lastColumn="0" w:oddVBand="0" w:evenVBand="0" w:oddHBand="0" w:evenHBand="0" w:firstRowFirstColumn="0" w:firstRowLastColumn="0" w:lastRowFirstColumn="0" w:lastRowLastColumn="0"/>
            <w:tcW w:w="1294" w:type="pct"/>
          </w:tcPr>
          <w:p w14:paraId="087FE9AA" w14:textId="6898BE92" w:rsidR="00285F7D" w:rsidRPr="004B7A6E" w:rsidRDefault="00285F7D" w:rsidP="004B7A6E">
            <w:pPr>
              <w:rPr>
                <w:rStyle w:val="Strong"/>
              </w:rPr>
            </w:pPr>
            <w:r w:rsidRPr="004B7A6E">
              <w:rPr>
                <w:rStyle w:val="Strong"/>
              </w:rPr>
              <w:t>Diagnosis</w:t>
            </w:r>
          </w:p>
          <w:p w14:paraId="2E33D741" w14:textId="5E56BAFE" w:rsidR="00285F7D" w:rsidRPr="000E1455" w:rsidRDefault="00285F7D" w:rsidP="004B7A6E">
            <w:r w:rsidRPr="000E1455">
              <w:t xml:space="preserve">The patient has been diagnosed with a claimable injury(s) by a </w:t>
            </w:r>
            <w:r w:rsidR="004C6B8E">
              <w:t>R</w:t>
            </w:r>
            <w:r w:rsidRPr="000E1455">
              <w:t xml:space="preserve">eporting </w:t>
            </w:r>
            <w:r w:rsidR="004C6B8E">
              <w:t>P</w:t>
            </w:r>
            <w:r w:rsidRPr="000E1455">
              <w:t>ractitioner in the relevant field of practice</w:t>
            </w:r>
          </w:p>
        </w:tc>
        <w:tc>
          <w:tcPr>
            <w:tcW w:w="3706" w:type="pct"/>
          </w:tcPr>
          <w:p w14:paraId="15D5B0CF" w14:textId="03C85B26"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0E1455">
              <w:t xml:space="preserve">The relevant field of practice is not </w:t>
            </w:r>
            <w:r w:rsidR="000A095D" w:rsidRPr="000E1455">
              <w:t>restricted but</w:t>
            </w:r>
            <w:r w:rsidRPr="000E1455">
              <w:t xml:space="preserve"> requires a practicing medical doctor with reg</w:t>
            </w:r>
            <w:r w:rsidRPr="004B7A6E">
              <w:t>istration in Australia</w:t>
            </w:r>
            <w:r w:rsidR="000A095D" w:rsidRPr="004B7A6E">
              <w:t>.</w:t>
            </w:r>
          </w:p>
          <w:p w14:paraId="41ECA0A8" w14:textId="7D95BFA6"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Examples of diagnostic criteria and/or case definitions that a treating doctor may rely upon</w:t>
            </w:r>
            <w:r w:rsidR="000A095D" w:rsidRPr="004B7A6E">
              <w:t xml:space="preserve"> include</w:t>
            </w:r>
            <w:r w:rsidRPr="004B7A6E">
              <w:t>:</w:t>
            </w:r>
          </w:p>
          <w:p w14:paraId="2DDC345C" w14:textId="45076C0B"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 xml:space="preserve">Australian Immunisation Handbook: </w:t>
            </w:r>
            <w:hyperlink r:id="rId9" w:history="1">
              <w:r w:rsidR="007F71DD">
                <w:rPr>
                  <w:rStyle w:val="Hyperlink"/>
                </w:rPr>
                <w:t>Avoiding shoulder injury related to vaccine administration | The Australian Immunisation Handbook (health.gov.au)</w:t>
              </w:r>
            </w:hyperlink>
          </w:p>
          <w:p w14:paraId="73D17367" w14:textId="7777777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 xml:space="preserve">RACGP: </w:t>
            </w:r>
            <w:hyperlink r:id="rId10" w:history="1">
              <w:r w:rsidRPr="000E1455">
                <w:rPr>
                  <w:rStyle w:val="Hyperlink"/>
                  <w:rFonts w:cstheme="minorHAnsi"/>
                </w:rPr>
                <w:t>RACGP - Don’t aim too high: Avoiding shoulder injury related to vaccine administration</w:t>
              </w:r>
            </w:hyperlink>
          </w:p>
          <w:p w14:paraId="45452948" w14:textId="7777777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 xml:space="preserve">Melbourne Vaccine Education Centre: </w:t>
            </w:r>
            <w:hyperlink r:id="rId11" w:history="1">
              <w:r w:rsidRPr="000E1455">
                <w:rPr>
                  <w:rStyle w:val="Hyperlink"/>
                  <w:rFonts w:cstheme="minorHAnsi"/>
                </w:rPr>
                <w:t>Shoulder injury related to vaccine administration - The Melbourne Vaccine Education Centre (MVEC) (mcri.edu.au)</w:t>
              </w:r>
            </w:hyperlink>
          </w:p>
          <w:p w14:paraId="012E120D" w14:textId="37BC12A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color w:val="2B2B2B"/>
                <w:shd w:val="clear" w:color="auto" w:fill="FFFFFF"/>
              </w:rPr>
              <w:t>UpToDate</w:t>
            </w:r>
            <w:r w:rsidRPr="000E1455">
              <w:rPr>
                <w:rFonts w:cstheme="minorHAnsi"/>
              </w:rPr>
              <w:t xml:space="preserve"> </w:t>
            </w:r>
            <w:hyperlink r:id="rId12" w:history="1">
              <w:r w:rsidRPr="000E1455">
                <w:rPr>
                  <w:rStyle w:val="Hyperlink"/>
                  <w:rFonts w:cstheme="minorHAnsi"/>
                  <w:shd w:val="clear" w:color="auto" w:fill="FFFFFF"/>
                </w:rPr>
                <w:t>Standard immunizations for children and adolescents: Overview - UpToDate</w:t>
              </w:r>
            </w:hyperlink>
          </w:p>
          <w:p w14:paraId="5F772A81" w14:textId="77777777" w:rsidR="00285F7D" w:rsidRPr="000E1455" w:rsidRDefault="00285F7D" w:rsidP="004B7A6E">
            <w:pPr>
              <w:cnfStyle w:val="000000000000" w:firstRow="0" w:lastRow="0" w:firstColumn="0" w:lastColumn="0" w:oddVBand="0" w:evenVBand="0" w:oddHBand="0" w:evenHBand="0" w:firstRowFirstColumn="0" w:firstRowLastColumn="0" w:lastRowFirstColumn="0" w:lastRowLastColumn="0"/>
            </w:pPr>
            <w:r w:rsidRPr="000E1455">
              <w:t xml:space="preserve">Clinical information that should be outlined to support the diagnosis OR appropriate justification </w:t>
            </w:r>
            <w:r w:rsidRPr="004B7A6E">
              <w:t>provided</w:t>
            </w:r>
            <w:r w:rsidRPr="000E1455">
              <w:t xml:space="preserve"> for absence of information:</w:t>
            </w:r>
          </w:p>
          <w:p w14:paraId="79A67007" w14:textId="7777777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Acute onset of pain in a shoulder following administration of vaccination.</w:t>
            </w:r>
          </w:p>
          <w:p w14:paraId="0124A7B2" w14:textId="7777777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Reduced range of motion in the shoulder.</w:t>
            </w:r>
          </w:p>
          <w:p w14:paraId="7642018C" w14:textId="63EA0171"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 xml:space="preserve">Vaccination location appropriate with </w:t>
            </w:r>
            <w:r w:rsidR="00B636BB">
              <w:rPr>
                <w:rFonts w:cstheme="minorHAnsi"/>
              </w:rPr>
              <w:t>injury</w:t>
            </w:r>
            <w:r w:rsidRPr="000E1455">
              <w:rPr>
                <w:rFonts w:cstheme="minorHAnsi"/>
              </w:rPr>
              <w:t>.</w:t>
            </w:r>
          </w:p>
          <w:p w14:paraId="5D42464E" w14:textId="77777777" w:rsidR="00285F7D" w:rsidRPr="000E1455" w:rsidRDefault="00285F7D" w:rsidP="00285F7D">
            <w:pPr>
              <w:pStyle w:val="ListParagraph"/>
              <w:numPr>
                <w:ilvl w:val="0"/>
                <w:numId w:val="4"/>
              </w:num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0E1455">
              <w:rPr>
                <w:rFonts w:cstheme="minorHAnsi"/>
              </w:rPr>
              <w:t>Imaging findings consistent with diagnosis.</w:t>
            </w:r>
          </w:p>
        </w:tc>
      </w:tr>
      <w:tr w:rsidR="00285F7D" w:rsidRPr="005A7924" w14:paraId="21D327EF" w14:textId="77777777" w:rsidTr="004B7A6E">
        <w:tc>
          <w:tcPr>
            <w:cnfStyle w:val="001000000000" w:firstRow="0" w:lastRow="0" w:firstColumn="1" w:lastColumn="0" w:oddVBand="0" w:evenVBand="0" w:oddHBand="0" w:evenHBand="0" w:firstRowFirstColumn="0" w:firstRowLastColumn="0" w:lastRowFirstColumn="0" w:lastRowLastColumn="0"/>
            <w:tcW w:w="1294" w:type="pct"/>
          </w:tcPr>
          <w:p w14:paraId="786A256E" w14:textId="67098009" w:rsidR="00285F7D" w:rsidRPr="004B7A6E" w:rsidRDefault="00285F7D" w:rsidP="004B7A6E">
            <w:pPr>
              <w:rPr>
                <w:rStyle w:val="Strong"/>
              </w:rPr>
            </w:pPr>
            <w:r w:rsidRPr="004B7A6E">
              <w:rPr>
                <w:rStyle w:val="Strong"/>
              </w:rPr>
              <w:t>Link to vaccination</w:t>
            </w:r>
          </w:p>
        </w:tc>
        <w:tc>
          <w:tcPr>
            <w:tcW w:w="3706" w:type="pct"/>
          </w:tcPr>
          <w:p w14:paraId="1B2AE706" w14:textId="77777777" w:rsidR="00285F7D" w:rsidRPr="000E1455" w:rsidRDefault="00285F7D" w:rsidP="004B7A6E">
            <w:pPr>
              <w:cnfStyle w:val="000000000000" w:firstRow="0" w:lastRow="0" w:firstColumn="0" w:lastColumn="0" w:oddVBand="0" w:evenVBand="0" w:oddHBand="0" w:evenHBand="0" w:firstRowFirstColumn="0" w:firstRowLastColumn="0" w:lastRowFirstColumn="0" w:lastRowLastColumn="0"/>
            </w:pPr>
            <w:r w:rsidRPr="000E1455">
              <w:t>Pain onset within 48 hours of vaccination.</w:t>
            </w:r>
          </w:p>
          <w:p w14:paraId="57ED809C" w14:textId="77777777"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Pain and reduced range of motion limited to the shoulder where the injection occurred.</w:t>
            </w:r>
          </w:p>
          <w:p w14:paraId="4D6BB9B0" w14:textId="77777777"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No pre-existing condition that would cause the symptoms.</w:t>
            </w:r>
          </w:p>
          <w:p w14:paraId="38BF66AF" w14:textId="2BD196CD"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 xml:space="preserve">Consider exclusion of other causes as the most likely cause for the </w:t>
            </w:r>
            <w:r w:rsidR="00B636BB">
              <w:t>injury</w:t>
            </w:r>
            <w:r w:rsidRPr="000E1455">
              <w:t xml:space="preserve">. </w:t>
            </w:r>
          </w:p>
        </w:tc>
      </w:tr>
    </w:tbl>
    <w:p w14:paraId="2A63E17D" w14:textId="0D559607" w:rsidR="00F22877" w:rsidRPr="00F22877" w:rsidRDefault="00F22877" w:rsidP="00DA073D">
      <w:pPr>
        <w:spacing w:before="0" w:after="160" w:line="259" w:lineRule="auto"/>
      </w:pPr>
      <w:bookmarkStart w:id="18" w:name="_Hlk104544369"/>
      <w:bookmarkEnd w:id="17"/>
      <w:r>
        <w:br w:type="page"/>
      </w:r>
    </w:p>
    <w:p w14:paraId="3E490797" w14:textId="284CB871" w:rsidR="00285F7D" w:rsidRPr="00F22877" w:rsidRDefault="00285F7D" w:rsidP="00F22877">
      <w:pPr>
        <w:pStyle w:val="Heading3"/>
      </w:pPr>
      <w:bookmarkStart w:id="19" w:name="_Toc153957658"/>
      <w:r w:rsidRPr="00F22877">
        <w:lastRenderedPageBreak/>
        <w:t xml:space="preserve">Administration injures of a moderate to significant nature, giving rise to permanent impairment or the need for an extended period of medical </w:t>
      </w:r>
      <w:proofErr w:type="gramStart"/>
      <w:r w:rsidRPr="00F22877">
        <w:t>treatment</w:t>
      </w:r>
      <w:bookmarkEnd w:id="19"/>
      <w:proofErr w:type="gramEnd"/>
    </w:p>
    <w:p w14:paraId="12B4F450" w14:textId="77777777" w:rsidR="00285F7D" w:rsidRPr="00AF309A" w:rsidRDefault="00285F7D" w:rsidP="00285F7D">
      <w:pPr>
        <w:rPr>
          <w:rFonts w:cstheme="minorHAnsi"/>
        </w:rPr>
      </w:pPr>
      <w:r w:rsidRPr="00AF309A">
        <w:rPr>
          <w:rFonts w:cstheme="minorHAnsi"/>
        </w:rPr>
        <w:t xml:space="preserve">Points to consider for claims including </w:t>
      </w:r>
      <w:r>
        <w:rPr>
          <w:rFonts w:cstheme="minorHAnsi"/>
        </w:rPr>
        <w:t>administration injures of a moderate to significant nature, giving rise to permanent impairment or the need for an extended period of medical treatment</w:t>
      </w:r>
      <w:r w:rsidRPr="00AF309A">
        <w:rPr>
          <w:rFonts w:cstheme="minorHAnsi"/>
        </w:rPr>
        <w:t>.</w:t>
      </w:r>
    </w:p>
    <w:tbl>
      <w:tblPr>
        <w:tblStyle w:val="TableTGAblack"/>
        <w:tblW w:w="5000" w:type="pct"/>
        <w:tblLook w:val="04A0" w:firstRow="1" w:lastRow="0" w:firstColumn="1" w:lastColumn="0" w:noHBand="0" w:noVBand="1"/>
      </w:tblPr>
      <w:tblGrid>
        <w:gridCol w:w="2333"/>
        <w:gridCol w:w="6683"/>
      </w:tblGrid>
      <w:tr w:rsidR="00285F7D" w:rsidRPr="004B7A6E" w14:paraId="2CB6B909" w14:textId="77777777" w:rsidTr="004B7A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4" w:type="pct"/>
          </w:tcPr>
          <w:bookmarkEnd w:id="18"/>
          <w:p w14:paraId="430D6D57" w14:textId="77777777" w:rsidR="00285F7D" w:rsidRPr="004B7A6E" w:rsidRDefault="00285F7D" w:rsidP="004B7A6E">
            <w:r w:rsidRPr="004B7A6E">
              <w:t>Evidence requirement</w:t>
            </w:r>
          </w:p>
        </w:tc>
        <w:tc>
          <w:tcPr>
            <w:tcW w:w="3706" w:type="pct"/>
          </w:tcPr>
          <w:p w14:paraId="752878FF" w14:textId="77777777" w:rsidR="00285F7D" w:rsidRPr="004B7A6E" w:rsidRDefault="00285F7D" w:rsidP="004B7A6E">
            <w:pPr>
              <w:cnfStyle w:val="100000000000" w:firstRow="1" w:lastRow="0" w:firstColumn="0" w:lastColumn="0" w:oddVBand="0" w:evenVBand="0" w:oddHBand="0" w:evenHBand="0" w:firstRowFirstColumn="0" w:firstRowLastColumn="0" w:lastRowFirstColumn="0" w:lastRowLastColumn="0"/>
            </w:pPr>
            <w:r w:rsidRPr="004B7A6E">
              <w:t>Types of evidence that should be considered for shoulder injury related to vaccine administration</w:t>
            </w:r>
          </w:p>
        </w:tc>
      </w:tr>
      <w:tr w:rsidR="00285F7D" w:rsidRPr="004B7A6E" w14:paraId="2500ED7E" w14:textId="77777777" w:rsidTr="004B7A6E">
        <w:tc>
          <w:tcPr>
            <w:cnfStyle w:val="001000000000" w:firstRow="0" w:lastRow="0" w:firstColumn="1" w:lastColumn="0" w:oddVBand="0" w:evenVBand="0" w:oddHBand="0" w:evenHBand="0" w:firstRowFirstColumn="0" w:firstRowLastColumn="0" w:lastRowFirstColumn="0" w:lastRowLastColumn="0"/>
            <w:tcW w:w="1294" w:type="pct"/>
          </w:tcPr>
          <w:p w14:paraId="78E56568" w14:textId="773D34CD" w:rsidR="00285F7D" w:rsidRPr="004B7A6E" w:rsidRDefault="00285F7D" w:rsidP="004B7A6E">
            <w:pPr>
              <w:rPr>
                <w:rStyle w:val="Strong"/>
              </w:rPr>
            </w:pPr>
            <w:r w:rsidRPr="004B7A6E">
              <w:rPr>
                <w:rStyle w:val="Strong"/>
              </w:rPr>
              <w:t>Diagnosis</w:t>
            </w:r>
          </w:p>
          <w:p w14:paraId="13705081" w14:textId="77777777" w:rsidR="00285F7D" w:rsidRPr="004B7A6E" w:rsidRDefault="00285F7D" w:rsidP="004B7A6E">
            <w:r w:rsidRPr="004B7A6E">
              <w:t>The patient has been diagnosed with a claimable injury(s) by a reporting practitioner in the relevant field of practice</w:t>
            </w:r>
          </w:p>
        </w:tc>
        <w:tc>
          <w:tcPr>
            <w:tcW w:w="3706" w:type="pct"/>
          </w:tcPr>
          <w:p w14:paraId="56CD12F1" w14:textId="32E07F19"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 xml:space="preserve">The relevant field of practice is not </w:t>
            </w:r>
            <w:r w:rsidR="004B7A6E" w:rsidRPr="004B7A6E">
              <w:t>restricted but</w:t>
            </w:r>
            <w:r w:rsidRPr="004B7A6E">
              <w:t xml:space="preserve"> requires a practicing medical doctor with registration in Australia</w:t>
            </w:r>
            <w:r w:rsidR="000A095D" w:rsidRPr="004B7A6E">
              <w:t>.</w:t>
            </w:r>
          </w:p>
          <w:p w14:paraId="145C9C97" w14:textId="77777777"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Clinical information that should be outlined to support the diagnosis OR appropriate justification provided for absence of information:</w:t>
            </w:r>
          </w:p>
          <w:p w14:paraId="3FF01C0E" w14:textId="77777777" w:rsidR="00285F7D" w:rsidRPr="004B7A6E" w:rsidRDefault="00285F7D" w:rsidP="004B7A6E">
            <w:pPr>
              <w:pStyle w:val="ListBullet2"/>
              <w:cnfStyle w:val="000000000000" w:firstRow="0" w:lastRow="0" w:firstColumn="0" w:lastColumn="0" w:oddVBand="0" w:evenVBand="0" w:oddHBand="0" w:evenHBand="0" w:firstRowFirstColumn="0" w:firstRowLastColumn="0" w:lastRowFirstColumn="0" w:lastRowLastColumn="0"/>
            </w:pPr>
            <w:r w:rsidRPr="004B7A6E">
              <w:t>Vaccine administration information.</w:t>
            </w:r>
          </w:p>
          <w:p w14:paraId="79711EB2" w14:textId="77777777" w:rsidR="00285F7D" w:rsidRPr="004B7A6E" w:rsidRDefault="00285F7D" w:rsidP="004B7A6E">
            <w:pPr>
              <w:pStyle w:val="ListBullet2"/>
              <w:cnfStyle w:val="000000000000" w:firstRow="0" w:lastRow="0" w:firstColumn="0" w:lastColumn="0" w:oddVBand="0" w:evenVBand="0" w:oddHBand="0" w:evenHBand="0" w:firstRowFirstColumn="0" w:firstRowLastColumn="0" w:lastRowFirstColumn="0" w:lastRowLastColumn="0"/>
            </w:pPr>
            <w:r w:rsidRPr="004B7A6E">
              <w:t>Nature of injury.</w:t>
            </w:r>
          </w:p>
          <w:p w14:paraId="03B39C29" w14:textId="77777777" w:rsidR="00285F7D" w:rsidRPr="004B7A6E" w:rsidRDefault="00285F7D" w:rsidP="004B7A6E">
            <w:pPr>
              <w:pStyle w:val="ListBullet2"/>
              <w:cnfStyle w:val="000000000000" w:firstRow="0" w:lastRow="0" w:firstColumn="0" w:lastColumn="0" w:oddVBand="0" w:evenVBand="0" w:oddHBand="0" w:evenHBand="0" w:firstRowFirstColumn="0" w:firstRowLastColumn="0" w:lastRowFirstColumn="0" w:lastRowLastColumn="0"/>
            </w:pPr>
            <w:r w:rsidRPr="004B7A6E">
              <w:t>Nature of ongoing impairment.</w:t>
            </w:r>
          </w:p>
          <w:p w14:paraId="1C7A905C" w14:textId="77777777" w:rsidR="00285F7D" w:rsidRPr="004B7A6E" w:rsidRDefault="00285F7D" w:rsidP="004B7A6E">
            <w:pPr>
              <w:pStyle w:val="ListBullet2"/>
              <w:cnfStyle w:val="000000000000" w:firstRow="0" w:lastRow="0" w:firstColumn="0" w:lastColumn="0" w:oddVBand="0" w:evenVBand="0" w:oddHBand="0" w:evenHBand="0" w:firstRowFirstColumn="0" w:firstRowLastColumn="0" w:lastRowFirstColumn="0" w:lastRowLastColumn="0"/>
            </w:pPr>
            <w:r w:rsidRPr="004B7A6E">
              <w:t>Demonstrated need for ongoing medical treatment.</w:t>
            </w:r>
          </w:p>
        </w:tc>
      </w:tr>
      <w:tr w:rsidR="00285F7D" w:rsidRPr="004B7A6E" w14:paraId="65AA3E62" w14:textId="77777777" w:rsidTr="004B7A6E">
        <w:tc>
          <w:tcPr>
            <w:cnfStyle w:val="001000000000" w:firstRow="0" w:lastRow="0" w:firstColumn="1" w:lastColumn="0" w:oddVBand="0" w:evenVBand="0" w:oddHBand="0" w:evenHBand="0" w:firstRowFirstColumn="0" w:firstRowLastColumn="0" w:lastRowFirstColumn="0" w:lastRowLastColumn="0"/>
            <w:tcW w:w="1294" w:type="pct"/>
          </w:tcPr>
          <w:p w14:paraId="2FA3CCF9" w14:textId="3311DB1A" w:rsidR="00285F7D" w:rsidRPr="004B7A6E" w:rsidRDefault="00285F7D" w:rsidP="004B7A6E">
            <w:pPr>
              <w:rPr>
                <w:rStyle w:val="Strong"/>
              </w:rPr>
            </w:pPr>
            <w:r w:rsidRPr="004B7A6E">
              <w:rPr>
                <w:rStyle w:val="Strong"/>
              </w:rPr>
              <w:t>Link to vaccination</w:t>
            </w:r>
          </w:p>
        </w:tc>
        <w:tc>
          <w:tcPr>
            <w:tcW w:w="3706" w:type="pct"/>
          </w:tcPr>
          <w:p w14:paraId="39FB29E6" w14:textId="77777777"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Demonstrated link between the vaccination and injury.</w:t>
            </w:r>
          </w:p>
          <w:p w14:paraId="7383344B" w14:textId="49204584"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No pre-existing condit</w:t>
            </w:r>
            <w:r w:rsidR="00B636BB">
              <w:t>ion</w:t>
            </w:r>
            <w:r w:rsidRPr="004B7A6E">
              <w:t xml:space="preserve"> that can otherwise explain the injury.</w:t>
            </w:r>
          </w:p>
          <w:p w14:paraId="0B7A15FD" w14:textId="77777777"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 xml:space="preserve">Exclusion of other causes as the most likely cause for the injury. </w:t>
            </w:r>
          </w:p>
        </w:tc>
      </w:tr>
    </w:tbl>
    <w:p w14:paraId="452D1E9B" w14:textId="77777777" w:rsidR="009B18F5" w:rsidRPr="00F22877" w:rsidRDefault="009B18F5" w:rsidP="00F22877">
      <w:pPr>
        <w:pStyle w:val="Heading2"/>
      </w:pPr>
      <w:bookmarkStart w:id="20" w:name="_Toc153957659"/>
      <w:r w:rsidRPr="00F22877">
        <w:lastRenderedPageBreak/>
        <w:t>Version history</w:t>
      </w:r>
      <w:bookmarkEnd w:id="20"/>
    </w:p>
    <w:tbl>
      <w:tblPr>
        <w:tblStyle w:val="TableTGAblack"/>
        <w:tblW w:w="9038" w:type="dxa"/>
        <w:tblLayout w:type="fixed"/>
        <w:tblLook w:val="04A0" w:firstRow="1" w:lastRow="0" w:firstColumn="1" w:lastColumn="0" w:noHBand="0" w:noVBand="1"/>
        <w:tblDescription w:val="Version history table"/>
      </w:tblPr>
      <w:tblGrid>
        <w:gridCol w:w="1276"/>
        <w:gridCol w:w="3242"/>
        <w:gridCol w:w="2712"/>
        <w:gridCol w:w="1808"/>
      </w:tblGrid>
      <w:tr w:rsidR="00285F7D" w:rsidRPr="004B7A6E" w14:paraId="302A88B0" w14:textId="77777777" w:rsidTr="004B7A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654B1285" w14:textId="77777777" w:rsidR="00285F7D" w:rsidRPr="004B7A6E" w:rsidRDefault="00285F7D" w:rsidP="004B7A6E">
            <w:r w:rsidRPr="004B7A6E">
              <w:t>Version</w:t>
            </w:r>
          </w:p>
        </w:tc>
        <w:tc>
          <w:tcPr>
            <w:tcW w:w="3242" w:type="dxa"/>
          </w:tcPr>
          <w:p w14:paraId="0C126AA9" w14:textId="77777777" w:rsidR="00285F7D" w:rsidRPr="004B7A6E" w:rsidRDefault="00285F7D" w:rsidP="004B7A6E">
            <w:pPr>
              <w:cnfStyle w:val="100000000000" w:firstRow="1" w:lastRow="0" w:firstColumn="0" w:lastColumn="0" w:oddVBand="0" w:evenVBand="0" w:oddHBand="0" w:evenHBand="0" w:firstRowFirstColumn="0" w:firstRowLastColumn="0" w:lastRowFirstColumn="0" w:lastRowLastColumn="0"/>
            </w:pPr>
            <w:r w:rsidRPr="004B7A6E">
              <w:t>Description of change</w:t>
            </w:r>
          </w:p>
        </w:tc>
        <w:tc>
          <w:tcPr>
            <w:tcW w:w="2712" w:type="dxa"/>
          </w:tcPr>
          <w:p w14:paraId="39928FEA" w14:textId="77777777" w:rsidR="00285F7D" w:rsidRPr="004B7A6E" w:rsidRDefault="00285F7D" w:rsidP="004B7A6E">
            <w:pPr>
              <w:cnfStyle w:val="100000000000" w:firstRow="1" w:lastRow="0" w:firstColumn="0" w:lastColumn="0" w:oddVBand="0" w:evenVBand="0" w:oddHBand="0" w:evenHBand="0" w:firstRowFirstColumn="0" w:firstRowLastColumn="0" w:lastRowFirstColumn="0" w:lastRowLastColumn="0"/>
            </w:pPr>
            <w:r w:rsidRPr="004B7A6E">
              <w:t>Author</w:t>
            </w:r>
          </w:p>
        </w:tc>
        <w:tc>
          <w:tcPr>
            <w:tcW w:w="1808" w:type="dxa"/>
          </w:tcPr>
          <w:p w14:paraId="46A7D887" w14:textId="77777777" w:rsidR="00285F7D" w:rsidRPr="004B7A6E" w:rsidRDefault="00285F7D" w:rsidP="004B7A6E">
            <w:pPr>
              <w:cnfStyle w:val="100000000000" w:firstRow="1" w:lastRow="0" w:firstColumn="0" w:lastColumn="0" w:oddVBand="0" w:evenVBand="0" w:oddHBand="0" w:evenHBand="0" w:firstRowFirstColumn="0" w:firstRowLastColumn="0" w:lastRowFirstColumn="0" w:lastRowLastColumn="0"/>
            </w:pPr>
            <w:r w:rsidRPr="004B7A6E">
              <w:t>Effective date</w:t>
            </w:r>
          </w:p>
        </w:tc>
      </w:tr>
      <w:tr w:rsidR="00285F7D" w:rsidRPr="004B7A6E" w14:paraId="6FBD013B" w14:textId="77777777" w:rsidTr="004B7A6E">
        <w:trPr>
          <w:trHeight w:val="956"/>
        </w:trPr>
        <w:tc>
          <w:tcPr>
            <w:cnfStyle w:val="001000000000" w:firstRow="0" w:lastRow="0" w:firstColumn="1" w:lastColumn="0" w:oddVBand="0" w:evenVBand="0" w:oddHBand="0" w:evenHBand="0" w:firstRowFirstColumn="0" w:firstRowLastColumn="0" w:lastRowFirstColumn="0" w:lastRowLastColumn="0"/>
            <w:tcW w:w="1276" w:type="dxa"/>
          </w:tcPr>
          <w:p w14:paraId="6ACA9303" w14:textId="495430EE" w:rsidR="00285F7D" w:rsidRPr="004B7A6E" w:rsidRDefault="002957D5" w:rsidP="004B7A6E">
            <w:r w:rsidRPr="004B7A6E">
              <w:t>V1.0</w:t>
            </w:r>
          </w:p>
        </w:tc>
        <w:tc>
          <w:tcPr>
            <w:tcW w:w="3242" w:type="dxa"/>
          </w:tcPr>
          <w:p w14:paraId="7876DA70" w14:textId="3195049F" w:rsidR="00285F7D" w:rsidRPr="004B7A6E" w:rsidRDefault="00CD59AD" w:rsidP="004B7A6E">
            <w:pPr>
              <w:cnfStyle w:val="000000000000" w:firstRow="0" w:lastRow="0" w:firstColumn="0" w:lastColumn="0" w:oddVBand="0" w:evenVBand="0" w:oddHBand="0" w:evenHBand="0" w:firstRowFirstColumn="0" w:firstRowLastColumn="0" w:lastRowFirstColumn="0" w:lastRowLastColumn="0"/>
            </w:pPr>
            <w:r w:rsidRPr="004B7A6E">
              <w:t>Original Publication</w:t>
            </w:r>
          </w:p>
        </w:tc>
        <w:tc>
          <w:tcPr>
            <w:tcW w:w="2712" w:type="dxa"/>
          </w:tcPr>
          <w:p w14:paraId="02A700BD" w14:textId="07C90E42" w:rsidR="00285F7D" w:rsidRPr="004B7A6E" w:rsidRDefault="00285F7D" w:rsidP="004B7A6E">
            <w:pPr>
              <w:cnfStyle w:val="000000000000" w:firstRow="0" w:lastRow="0" w:firstColumn="0" w:lastColumn="0" w:oddVBand="0" w:evenVBand="0" w:oddHBand="0" w:evenHBand="0" w:firstRowFirstColumn="0" w:firstRowLastColumn="0" w:lastRowFirstColumn="0" w:lastRowLastColumn="0"/>
            </w:pPr>
            <w:r w:rsidRPr="004B7A6E">
              <w:t>MBD</w:t>
            </w:r>
            <w:r w:rsidR="00CD59AD" w:rsidRPr="004B7A6E">
              <w:t>/Department of Health</w:t>
            </w:r>
          </w:p>
        </w:tc>
        <w:tc>
          <w:tcPr>
            <w:tcW w:w="1808" w:type="dxa"/>
          </w:tcPr>
          <w:p w14:paraId="5BD4047C" w14:textId="4EE5D33E" w:rsidR="00285F7D" w:rsidRPr="004B7A6E" w:rsidRDefault="002957D5" w:rsidP="004B7A6E">
            <w:pPr>
              <w:cnfStyle w:val="000000000000" w:firstRow="0" w:lastRow="0" w:firstColumn="0" w:lastColumn="0" w:oddVBand="0" w:evenVBand="0" w:oddHBand="0" w:evenHBand="0" w:firstRowFirstColumn="0" w:firstRowLastColumn="0" w:lastRowFirstColumn="0" w:lastRowLastColumn="0"/>
            </w:pPr>
            <w:r w:rsidRPr="004B7A6E">
              <w:t>13</w:t>
            </w:r>
            <w:r w:rsidR="00285F7D" w:rsidRPr="004B7A6E">
              <w:t xml:space="preserve">/12/2021 </w:t>
            </w:r>
          </w:p>
        </w:tc>
      </w:tr>
      <w:tr w:rsidR="00CD59AD" w:rsidRPr="004B7A6E" w14:paraId="40E129A8" w14:textId="77777777" w:rsidTr="004B7A6E">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16A8342" w14:textId="392A1954" w:rsidR="00CD59AD" w:rsidRPr="004B7A6E" w:rsidRDefault="00CD59AD" w:rsidP="004B7A6E">
            <w:r w:rsidRPr="004B7A6E">
              <w:t>V1.1</w:t>
            </w:r>
          </w:p>
        </w:tc>
        <w:tc>
          <w:tcPr>
            <w:tcW w:w="3242" w:type="dxa"/>
          </w:tcPr>
          <w:p w14:paraId="08A92E3A" w14:textId="5CE334BD" w:rsidR="00CD59AD" w:rsidRPr="004B7A6E" w:rsidRDefault="00CD59AD" w:rsidP="004B7A6E">
            <w:pPr>
              <w:cnfStyle w:val="000000000000" w:firstRow="0" w:lastRow="0" w:firstColumn="0" w:lastColumn="0" w:oddVBand="0" w:evenVBand="0" w:oddHBand="0" w:evenHBand="0" w:firstRowFirstColumn="0" w:firstRowLastColumn="0" w:lastRowFirstColumn="0" w:lastRowLastColumn="0"/>
            </w:pPr>
            <w:r w:rsidRPr="004B7A6E">
              <w:t xml:space="preserve">Clarification of claimable </w:t>
            </w:r>
            <w:r w:rsidR="00867A4E">
              <w:t>injuries</w:t>
            </w:r>
            <w:r w:rsidRPr="004B7A6E">
              <w:t>.</w:t>
            </w:r>
          </w:p>
          <w:p w14:paraId="5D5F1DC4" w14:textId="0FC634C2" w:rsidR="00CD59AD" w:rsidRPr="004B7A6E" w:rsidRDefault="00CD59AD" w:rsidP="004B7A6E">
            <w:pPr>
              <w:cnfStyle w:val="000000000000" w:firstRow="0" w:lastRow="0" w:firstColumn="0" w:lastColumn="0" w:oddVBand="0" w:evenVBand="0" w:oddHBand="0" w:evenHBand="0" w:firstRowFirstColumn="0" w:firstRowLastColumn="0" w:lastRowFirstColumn="0" w:lastRowLastColumn="0"/>
            </w:pPr>
            <w:r w:rsidRPr="004B7A6E">
              <w:t xml:space="preserve">Clarification of assessment process and evidence requirements in section “Fatal outcomes of claimable </w:t>
            </w:r>
            <w:r w:rsidR="00867A4E">
              <w:t>injuries</w:t>
            </w:r>
            <w:r w:rsidRPr="004B7A6E">
              <w:t>.”</w:t>
            </w:r>
          </w:p>
          <w:p w14:paraId="2E3A6261" w14:textId="48592284" w:rsidR="00CD59AD" w:rsidRPr="004B7A6E" w:rsidRDefault="00CD59AD" w:rsidP="004B7A6E">
            <w:pPr>
              <w:cnfStyle w:val="000000000000" w:firstRow="0" w:lastRow="0" w:firstColumn="0" w:lastColumn="0" w:oddVBand="0" w:evenVBand="0" w:oddHBand="0" w:evenHBand="0" w:firstRowFirstColumn="0" w:firstRowLastColumn="0" w:lastRowFirstColumn="0" w:lastRowLastColumn="0"/>
            </w:pPr>
            <w:r w:rsidRPr="004B7A6E">
              <w:t>Administrative change – numbering of resource documents.</w:t>
            </w:r>
          </w:p>
        </w:tc>
        <w:tc>
          <w:tcPr>
            <w:tcW w:w="2712" w:type="dxa"/>
          </w:tcPr>
          <w:p w14:paraId="10DCFBA8" w14:textId="4D67705C" w:rsidR="00CD59AD" w:rsidRPr="004B7A6E" w:rsidRDefault="00CD59AD" w:rsidP="004B7A6E">
            <w:pPr>
              <w:cnfStyle w:val="000000000000" w:firstRow="0" w:lastRow="0" w:firstColumn="0" w:lastColumn="0" w:oddVBand="0" w:evenVBand="0" w:oddHBand="0" w:evenHBand="0" w:firstRowFirstColumn="0" w:firstRowLastColumn="0" w:lastRowFirstColumn="0" w:lastRowLastColumn="0"/>
            </w:pPr>
            <w:r w:rsidRPr="004B7A6E">
              <w:t>MBD/Department of Health</w:t>
            </w:r>
          </w:p>
        </w:tc>
        <w:tc>
          <w:tcPr>
            <w:tcW w:w="1808" w:type="dxa"/>
          </w:tcPr>
          <w:p w14:paraId="08AF1C66" w14:textId="41E2B232" w:rsidR="00CD59AD" w:rsidRPr="004B7A6E" w:rsidRDefault="00867A4E" w:rsidP="004B7A6E">
            <w:pPr>
              <w:cnfStyle w:val="000000000000" w:firstRow="0" w:lastRow="0" w:firstColumn="0" w:lastColumn="0" w:oddVBand="0" w:evenVBand="0" w:oddHBand="0" w:evenHBand="0" w:firstRowFirstColumn="0" w:firstRowLastColumn="0" w:lastRowFirstColumn="0" w:lastRowLastColumn="0"/>
            </w:pPr>
            <w:r>
              <w:t>13</w:t>
            </w:r>
            <w:r w:rsidR="00CD59AD" w:rsidRPr="004B7A6E">
              <w:t>/0</w:t>
            </w:r>
            <w:r w:rsidR="00ED3090" w:rsidRPr="004B7A6E">
              <w:t>5</w:t>
            </w:r>
            <w:r w:rsidR="00CD59AD" w:rsidRPr="004B7A6E">
              <w:t>/2022</w:t>
            </w:r>
          </w:p>
        </w:tc>
      </w:tr>
      <w:tr w:rsidR="006921CC" w:rsidRPr="004B7A6E" w14:paraId="62508FE1" w14:textId="77777777" w:rsidTr="00811325">
        <w:trPr>
          <w:trHeight w:val="4360"/>
        </w:trPr>
        <w:tc>
          <w:tcPr>
            <w:cnfStyle w:val="001000000000" w:firstRow="0" w:lastRow="0" w:firstColumn="1" w:lastColumn="0" w:oddVBand="0" w:evenVBand="0" w:oddHBand="0" w:evenHBand="0" w:firstRowFirstColumn="0" w:firstRowLastColumn="0" w:lastRowFirstColumn="0" w:lastRowLastColumn="0"/>
            <w:tcW w:w="1276" w:type="dxa"/>
          </w:tcPr>
          <w:p w14:paraId="087909AD" w14:textId="17896F53" w:rsidR="006921CC" w:rsidRPr="004B7A6E" w:rsidRDefault="006921CC" w:rsidP="004B7A6E">
            <w:r>
              <w:t>V1.2</w:t>
            </w:r>
          </w:p>
        </w:tc>
        <w:tc>
          <w:tcPr>
            <w:tcW w:w="3242" w:type="dxa"/>
          </w:tcPr>
          <w:p w14:paraId="0A847F2F" w14:textId="079A1B24" w:rsidR="006921CC" w:rsidRDefault="006921CC" w:rsidP="004B7A6E">
            <w:pPr>
              <w:cnfStyle w:val="000000000000" w:firstRow="0" w:lastRow="0" w:firstColumn="0" w:lastColumn="0" w:oddVBand="0" w:evenVBand="0" w:oddHBand="0" w:evenHBand="0" w:firstRowFirstColumn="0" w:firstRowLastColumn="0" w:lastRowFirstColumn="0" w:lastRowLastColumn="0"/>
            </w:pPr>
            <w:r>
              <w:t xml:space="preserve">Clarification of assessment process and requirements in sections “Role of the reporting practitioner”, “Claimable vaccines and administration injuries” and “Assessment criteria for claims. </w:t>
            </w:r>
          </w:p>
          <w:p w14:paraId="058BB901" w14:textId="77777777" w:rsidR="006921CC" w:rsidRPr="004B7A6E" w:rsidRDefault="006921CC" w:rsidP="004B7A6E">
            <w:pPr>
              <w:cnfStyle w:val="000000000000" w:firstRow="0" w:lastRow="0" w:firstColumn="0" w:lastColumn="0" w:oddVBand="0" w:evenVBand="0" w:oddHBand="0" w:evenHBand="0" w:firstRowFirstColumn="0" w:firstRowLastColumn="0" w:lastRowFirstColumn="0" w:lastRowLastColumn="0"/>
            </w:pPr>
            <w:r>
              <w:t>Administrative change – insertion of table of content.</w:t>
            </w:r>
          </w:p>
          <w:p w14:paraId="5C45126F" w14:textId="77777777" w:rsidR="006921CC" w:rsidRDefault="006921CC" w:rsidP="004B7A6E">
            <w:pPr>
              <w:cnfStyle w:val="000000000000" w:firstRow="0" w:lastRow="0" w:firstColumn="0" w:lastColumn="0" w:oddVBand="0" w:evenVBand="0" w:oddHBand="0" w:evenHBand="0" w:firstRowFirstColumn="0" w:firstRowLastColumn="0" w:lastRowFirstColumn="0" w:lastRowLastColumn="0"/>
            </w:pPr>
            <w:r>
              <w:t>Added definition of ‘final diagnosis’ and clarified wording of Criterion 1 and Criterion 2.</w:t>
            </w:r>
          </w:p>
          <w:p w14:paraId="2674DA16" w14:textId="60E11991" w:rsidR="006921CC" w:rsidRPr="004B7A6E" w:rsidRDefault="006921CC" w:rsidP="004B7A6E">
            <w:pPr>
              <w:cnfStyle w:val="000000000000" w:firstRow="0" w:lastRow="0" w:firstColumn="0" w:lastColumn="0" w:oddVBand="0" w:evenVBand="0" w:oddHBand="0" w:evenHBand="0" w:firstRowFirstColumn="0" w:firstRowLastColumn="0" w:lastRowFirstColumn="0" w:lastRowLastColumn="0"/>
            </w:pPr>
            <w:r>
              <w:t>Policy information updated to reflect policy updates.</w:t>
            </w:r>
          </w:p>
        </w:tc>
        <w:tc>
          <w:tcPr>
            <w:tcW w:w="2712" w:type="dxa"/>
          </w:tcPr>
          <w:p w14:paraId="1959927B" w14:textId="13C469FC" w:rsidR="006921CC" w:rsidRPr="004B7A6E" w:rsidRDefault="006921CC" w:rsidP="004B7A6E">
            <w:pPr>
              <w:cnfStyle w:val="000000000000" w:firstRow="0" w:lastRow="0" w:firstColumn="0" w:lastColumn="0" w:oddVBand="0" w:evenVBand="0" w:oddHBand="0" w:evenHBand="0" w:firstRowFirstColumn="0" w:firstRowLastColumn="0" w:lastRowFirstColumn="0" w:lastRowLastColumn="0"/>
            </w:pPr>
            <w:r w:rsidRPr="004B7A6E">
              <w:t>MB</w:t>
            </w:r>
            <w:r w:rsidR="004C6B8E">
              <w:t>&amp;</w:t>
            </w:r>
            <w:r w:rsidR="000A4F6C">
              <w:t>DH</w:t>
            </w:r>
            <w:r w:rsidRPr="004B7A6E">
              <w:t>D/Department of Health</w:t>
            </w:r>
            <w:r>
              <w:t xml:space="preserve"> and Aged Care</w:t>
            </w:r>
          </w:p>
          <w:p w14:paraId="6BDF4639" w14:textId="37299C83" w:rsidR="006921CC" w:rsidRPr="004B7A6E" w:rsidRDefault="006921CC" w:rsidP="004B7A6E">
            <w:pPr>
              <w:cnfStyle w:val="000000000000" w:firstRow="0" w:lastRow="0" w:firstColumn="0" w:lastColumn="0" w:oddVBand="0" w:evenVBand="0" w:oddHBand="0" w:evenHBand="0" w:firstRowFirstColumn="0" w:firstRowLastColumn="0" w:lastRowFirstColumn="0" w:lastRowLastColumn="0"/>
            </w:pPr>
          </w:p>
        </w:tc>
        <w:tc>
          <w:tcPr>
            <w:tcW w:w="1808" w:type="dxa"/>
          </w:tcPr>
          <w:p w14:paraId="6F95D671" w14:textId="0C2593E4" w:rsidR="006921CC" w:rsidRPr="004B7A6E" w:rsidRDefault="006921CC" w:rsidP="004B7A6E">
            <w:pPr>
              <w:cnfStyle w:val="000000000000" w:firstRow="0" w:lastRow="0" w:firstColumn="0" w:lastColumn="0" w:oddVBand="0" w:evenVBand="0" w:oddHBand="0" w:evenHBand="0" w:firstRowFirstColumn="0" w:firstRowLastColumn="0" w:lastRowFirstColumn="0" w:lastRowLastColumn="0"/>
            </w:pPr>
            <w:r>
              <w:t>3/04/2023</w:t>
            </w:r>
          </w:p>
        </w:tc>
      </w:tr>
      <w:tr w:rsidR="00434B69" w:rsidRPr="004B7A6E" w14:paraId="1E56FEE0" w14:textId="77777777" w:rsidTr="00811325">
        <w:trPr>
          <w:trHeight w:val="4360"/>
        </w:trPr>
        <w:tc>
          <w:tcPr>
            <w:cnfStyle w:val="001000000000" w:firstRow="0" w:lastRow="0" w:firstColumn="1" w:lastColumn="0" w:oddVBand="0" w:evenVBand="0" w:oddHBand="0" w:evenHBand="0" w:firstRowFirstColumn="0" w:firstRowLastColumn="0" w:lastRowFirstColumn="0" w:lastRowLastColumn="0"/>
            <w:tcW w:w="1276" w:type="dxa"/>
          </w:tcPr>
          <w:p w14:paraId="73674E3C" w14:textId="4C743DDC" w:rsidR="00434B69" w:rsidRDefault="00434B69" w:rsidP="004B7A6E">
            <w:r>
              <w:t>V1.3</w:t>
            </w:r>
          </w:p>
        </w:tc>
        <w:tc>
          <w:tcPr>
            <w:tcW w:w="3242" w:type="dxa"/>
          </w:tcPr>
          <w:p w14:paraId="2258C94C" w14:textId="77777777" w:rsidR="00434B69" w:rsidRDefault="00434B69" w:rsidP="004B7A6E">
            <w:pPr>
              <w:cnfStyle w:val="000000000000" w:firstRow="0" w:lastRow="0" w:firstColumn="0" w:lastColumn="0" w:oddVBand="0" w:evenVBand="0" w:oddHBand="0" w:evenHBand="0" w:firstRowFirstColumn="0" w:firstRowLastColumn="0" w:lastRowFirstColumn="0" w:lastRowLastColumn="0"/>
            </w:pPr>
            <w:r>
              <w:t xml:space="preserve">Minor amendments to definition of Reporting Practitioner. </w:t>
            </w:r>
          </w:p>
          <w:p w14:paraId="5D31386D" w14:textId="381B344D" w:rsidR="00434B69" w:rsidRDefault="00434B69" w:rsidP="004B7A6E">
            <w:pPr>
              <w:cnfStyle w:val="000000000000" w:firstRow="0" w:lastRow="0" w:firstColumn="0" w:lastColumn="0" w:oddVBand="0" w:evenVBand="0" w:oddHBand="0" w:evenHBand="0" w:firstRowFirstColumn="0" w:firstRowLastColumn="0" w:lastRowFirstColumn="0" w:lastRowLastColumn="0"/>
            </w:pPr>
            <w:r>
              <w:t xml:space="preserve">Addition of ‘Role of case definitions and causality assessment’ </w:t>
            </w:r>
          </w:p>
        </w:tc>
        <w:tc>
          <w:tcPr>
            <w:tcW w:w="2712" w:type="dxa"/>
          </w:tcPr>
          <w:p w14:paraId="444E8557" w14:textId="4C0CA32A" w:rsidR="00434B69" w:rsidRPr="004B7A6E" w:rsidRDefault="00434B69" w:rsidP="004B7A6E">
            <w:pPr>
              <w:cnfStyle w:val="000000000000" w:firstRow="0" w:lastRow="0" w:firstColumn="0" w:lastColumn="0" w:oddVBand="0" w:evenVBand="0" w:oddHBand="0" w:evenHBand="0" w:firstRowFirstColumn="0" w:firstRowLastColumn="0" w:lastRowFirstColumn="0" w:lastRowLastColumn="0"/>
            </w:pPr>
            <w:r>
              <w:t>MB&amp;DHD/Department of Health and Aged Care</w:t>
            </w:r>
          </w:p>
        </w:tc>
        <w:tc>
          <w:tcPr>
            <w:tcW w:w="1808" w:type="dxa"/>
          </w:tcPr>
          <w:p w14:paraId="135E28FC" w14:textId="54D5F9C6" w:rsidR="00434B69" w:rsidRDefault="00080C8E" w:rsidP="004B7A6E">
            <w:pPr>
              <w:cnfStyle w:val="000000000000" w:firstRow="0" w:lastRow="0" w:firstColumn="0" w:lastColumn="0" w:oddVBand="0" w:evenVBand="0" w:oddHBand="0" w:evenHBand="0" w:firstRowFirstColumn="0" w:firstRowLastColumn="0" w:lastRowFirstColumn="0" w:lastRowLastColumn="0"/>
            </w:pPr>
            <w:r>
              <w:t>01/08/2023</w:t>
            </w:r>
          </w:p>
        </w:tc>
      </w:tr>
      <w:tr w:rsidR="00701FE9" w:rsidRPr="004B7A6E" w14:paraId="41BD5C97" w14:textId="77777777" w:rsidTr="001246CF">
        <w:trPr>
          <w:trHeight w:val="70"/>
        </w:trPr>
        <w:tc>
          <w:tcPr>
            <w:cnfStyle w:val="001000000000" w:firstRow="0" w:lastRow="0" w:firstColumn="1" w:lastColumn="0" w:oddVBand="0" w:evenVBand="0" w:oddHBand="0" w:evenHBand="0" w:firstRowFirstColumn="0" w:firstRowLastColumn="0" w:lastRowFirstColumn="0" w:lastRowLastColumn="0"/>
            <w:tcW w:w="1276" w:type="dxa"/>
          </w:tcPr>
          <w:p w14:paraId="1E4B3028" w14:textId="052C6876" w:rsidR="00701FE9" w:rsidRPr="00FE441C" w:rsidRDefault="00701FE9" w:rsidP="004B7A6E">
            <w:r w:rsidRPr="00FE441C">
              <w:t>V1.4</w:t>
            </w:r>
          </w:p>
        </w:tc>
        <w:tc>
          <w:tcPr>
            <w:tcW w:w="3242" w:type="dxa"/>
          </w:tcPr>
          <w:p w14:paraId="45833650" w14:textId="580EF6C1" w:rsidR="00701FE9" w:rsidRPr="00FE441C" w:rsidRDefault="00701FE9" w:rsidP="004B7A6E">
            <w:pPr>
              <w:cnfStyle w:val="000000000000" w:firstRow="0" w:lastRow="0" w:firstColumn="0" w:lastColumn="0" w:oddVBand="0" w:evenVBand="0" w:oddHBand="0" w:evenHBand="0" w:firstRowFirstColumn="0" w:firstRowLastColumn="0" w:lastRowFirstColumn="0" w:lastRowLastColumn="0"/>
            </w:pPr>
            <w:r w:rsidRPr="00FE441C">
              <w:t>Minor amendment to refer to update version of the Policy</w:t>
            </w:r>
          </w:p>
        </w:tc>
        <w:tc>
          <w:tcPr>
            <w:tcW w:w="2712" w:type="dxa"/>
          </w:tcPr>
          <w:p w14:paraId="55C7755A" w14:textId="3D8EF70D" w:rsidR="00701FE9" w:rsidRPr="00FE441C" w:rsidRDefault="00701FE9" w:rsidP="004B7A6E">
            <w:pPr>
              <w:cnfStyle w:val="000000000000" w:firstRow="0" w:lastRow="0" w:firstColumn="0" w:lastColumn="0" w:oddVBand="0" w:evenVBand="0" w:oddHBand="0" w:evenHBand="0" w:firstRowFirstColumn="0" w:firstRowLastColumn="0" w:lastRowFirstColumn="0" w:lastRowLastColumn="0"/>
            </w:pPr>
            <w:r w:rsidRPr="00FE441C">
              <w:t>MBD/Department of Health</w:t>
            </w:r>
          </w:p>
        </w:tc>
        <w:tc>
          <w:tcPr>
            <w:tcW w:w="1808" w:type="dxa"/>
          </w:tcPr>
          <w:p w14:paraId="5FEDD2D0" w14:textId="2C6DBBE1" w:rsidR="00701FE9" w:rsidRPr="00FE441C" w:rsidRDefault="00FE441C" w:rsidP="004B7A6E">
            <w:pPr>
              <w:cnfStyle w:val="000000000000" w:firstRow="0" w:lastRow="0" w:firstColumn="0" w:lastColumn="0" w:oddVBand="0" w:evenVBand="0" w:oddHBand="0" w:evenHBand="0" w:firstRowFirstColumn="0" w:firstRowLastColumn="0" w:lastRowFirstColumn="0" w:lastRowLastColumn="0"/>
            </w:pPr>
            <w:r>
              <w:t>19</w:t>
            </w:r>
            <w:r w:rsidR="00701FE9" w:rsidRPr="00FE441C">
              <w:t xml:space="preserve">/11/23 </w:t>
            </w:r>
          </w:p>
        </w:tc>
      </w:tr>
    </w:tbl>
    <w:p w14:paraId="3BE288C3" w14:textId="77777777" w:rsidR="00280050" w:rsidRDefault="00280050" w:rsidP="00D85FAB"/>
    <w:sectPr w:rsidR="00280050" w:rsidSect="004B7A6E">
      <w:footerReference w:type="default" r:id="rId13"/>
      <w:headerReference w:type="first" r:id="rId14"/>
      <w:footnotePr>
        <w:numFmt w:val="lowerRoman"/>
      </w:footnotePr>
      <w:pgSz w:w="11906" w:h="16838"/>
      <w:pgMar w:top="993" w:right="1440" w:bottom="1440"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0344" w14:textId="77777777" w:rsidR="00BF4AB0" w:rsidRDefault="00BF4AB0" w:rsidP="00F56BE9">
      <w:pPr>
        <w:spacing w:after="0"/>
      </w:pPr>
      <w:r>
        <w:separator/>
      </w:r>
    </w:p>
  </w:endnote>
  <w:endnote w:type="continuationSeparator" w:id="0">
    <w:p w14:paraId="035B28CE" w14:textId="77777777" w:rsidR="00BF4AB0" w:rsidRDefault="00BF4AB0" w:rsidP="00F56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90522"/>
      <w:docPartObj>
        <w:docPartGallery w:val="Page Numbers (Bottom of Page)"/>
        <w:docPartUnique/>
      </w:docPartObj>
    </w:sdtPr>
    <w:sdtEndPr>
      <w:rPr>
        <w:rFonts w:ascii="Calibri" w:hAnsi="Calibri" w:cs="Calibri"/>
        <w:noProof/>
      </w:rPr>
    </w:sdtEndPr>
    <w:sdtContent>
      <w:p w14:paraId="056E5E1E" w14:textId="77777777" w:rsidR="008C20AA" w:rsidRPr="008C20AA" w:rsidRDefault="00F56BE9">
        <w:pPr>
          <w:pStyle w:val="Footer"/>
          <w:jc w:val="center"/>
          <w:rPr>
            <w:rFonts w:ascii="Calibri" w:hAnsi="Calibri" w:cs="Calibri"/>
          </w:rPr>
        </w:pPr>
        <w:r w:rsidRPr="008C20AA">
          <w:rPr>
            <w:rFonts w:ascii="Calibri" w:hAnsi="Calibri" w:cs="Calibri"/>
          </w:rPr>
          <w:fldChar w:fldCharType="begin"/>
        </w:r>
        <w:r w:rsidRPr="008C20AA">
          <w:rPr>
            <w:rFonts w:ascii="Calibri" w:hAnsi="Calibri" w:cs="Calibri"/>
          </w:rPr>
          <w:instrText xml:space="preserve"> PAGE   \* MERGEFORMAT </w:instrText>
        </w:r>
        <w:r w:rsidRPr="008C20AA">
          <w:rPr>
            <w:rFonts w:ascii="Calibri" w:hAnsi="Calibri" w:cs="Calibri"/>
          </w:rPr>
          <w:fldChar w:fldCharType="separate"/>
        </w:r>
        <w:r>
          <w:rPr>
            <w:rFonts w:ascii="Calibri" w:hAnsi="Calibri" w:cs="Calibri"/>
            <w:noProof/>
          </w:rPr>
          <w:t>4</w:t>
        </w:r>
        <w:r w:rsidRPr="008C20AA">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DF13" w14:textId="77777777" w:rsidR="00BF4AB0" w:rsidRDefault="00BF4AB0" w:rsidP="00F56BE9">
      <w:pPr>
        <w:spacing w:after="0"/>
      </w:pPr>
      <w:r>
        <w:separator/>
      </w:r>
    </w:p>
  </w:footnote>
  <w:footnote w:type="continuationSeparator" w:id="0">
    <w:p w14:paraId="043DFE75" w14:textId="77777777" w:rsidR="00BF4AB0" w:rsidRDefault="00BF4AB0" w:rsidP="00F56BE9">
      <w:pPr>
        <w:spacing w:after="0"/>
      </w:pPr>
      <w:r>
        <w:continuationSeparator/>
      </w:r>
    </w:p>
  </w:footnote>
  <w:footnote w:id="1">
    <w:p w14:paraId="42C71D00" w14:textId="77777777" w:rsidR="00765BE5" w:rsidRDefault="00765BE5" w:rsidP="00765BE5">
      <w:pPr>
        <w:pStyle w:val="FootnoteText"/>
      </w:pPr>
      <w:r>
        <w:rPr>
          <w:rStyle w:val="FootnoteReference"/>
        </w:rPr>
        <w:footnoteRef/>
      </w:r>
      <w:r>
        <w:t xml:space="preserve"> Causality assessment of an adverse event following immunization (AEFI): user manual for the revised WHO classification second edition, 2019 update. Geneva: World Health Organization;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221C" w14:textId="1F2419E1" w:rsidR="004B7A6E" w:rsidRDefault="00F41A0B">
    <w:pPr>
      <w:pStyle w:val="Header"/>
    </w:pPr>
    <w:r>
      <w:rPr>
        <w:noProof/>
        <w:lang w:eastAsia="en-AU"/>
      </w:rPr>
      <w:drawing>
        <wp:inline distT="0" distB="0" distL="0" distR="0" wp14:anchorId="7C8770B6" wp14:editId="150746ED">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9C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C8C5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984F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023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BEF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07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AC2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4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505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B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CE0F54"/>
    <w:multiLevelType w:val="hybridMultilevel"/>
    <w:tmpl w:val="CD20FA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474FE2"/>
    <w:multiLevelType w:val="hybridMultilevel"/>
    <w:tmpl w:val="8BB4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C0EA3"/>
    <w:multiLevelType w:val="hybridMultilevel"/>
    <w:tmpl w:val="8D72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F2ECB"/>
    <w:multiLevelType w:val="hybridMultilevel"/>
    <w:tmpl w:val="6886611C"/>
    <w:lvl w:ilvl="0" w:tplc="E6A02C98">
      <w:start w:val="1"/>
      <w:numFmt w:val="upperRoman"/>
      <w:pStyle w:val="Heading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E36CEE"/>
    <w:multiLevelType w:val="hybridMultilevel"/>
    <w:tmpl w:val="5310E7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8A4066"/>
    <w:multiLevelType w:val="hybridMultilevel"/>
    <w:tmpl w:val="B13CB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0A763F3"/>
    <w:multiLevelType w:val="hybridMultilevel"/>
    <w:tmpl w:val="72E09468"/>
    <w:lvl w:ilvl="0" w:tplc="0C090003">
      <w:start w:val="1"/>
      <w:numFmt w:val="bullet"/>
      <w:lvlText w:val="o"/>
      <w:lvlJc w:val="left"/>
      <w:pPr>
        <w:ind w:left="926" w:hanging="360"/>
      </w:pPr>
      <w:rPr>
        <w:rFonts w:ascii="Courier New" w:hAnsi="Courier New" w:cs="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7" w15:restartNumberingAfterBreak="0">
    <w:nsid w:val="566E0C1A"/>
    <w:multiLevelType w:val="hybridMultilevel"/>
    <w:tmpl w:val="F33CE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CC6085"/>
    <w:multiLevelType w:val="hybridMultilevel"/>
    <w:tmpl w:val="DC961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E67511"/>
    <w:multiLevelType w:val="hybridMultilevel"/>
    <w:tmpl w:val="E250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6E66A4"/>
    <w:multiLevelType w:val="hybridMultilevel"/>
    <w:tmpl w:val="C5528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7B37276"/>
    <w:multiLevelType w:val="hybridMultilevel"/>
    <w:tmpl w:val="B842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427267"/>
    <w:multiLevelType w:val="hybridMultilevel"/>
    <w:tmpl w:val="60E0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273613">
    <w:abstractNumId w:val="13"/>
  </w:num>
  <w:num w:numId="2" w16cid:durableId="1870681867">
    <w:abstractNumId w:val="22"/>
  </w:num>
  <w:num w:numId="3" w16cid:durableId="1128207557">
    <w:abstractNumId w:val="11"/>
  </w:num>
  <w:num w:numId="4" w16cid:durableId="1982533735">
    <w:abstractNumId w:val="17"/>
  </w:num>
  <w:num w:numId="5" w16cid:durableId="765074506">
    <w:abstractNumId w:val="18"/>
  </w:num>
  <w:num w:numId="6" w16cid:durableId="936519748">
    <w:abstractNumId w:val="12"/>
  </w:num>
  <w:num w:numId="7" w16cid:durableId="391077180">
    <w:abstractNumId w:val="21"/>
  </w:num>
  <w:num w:numId="8" w16cid:durableId="1068190565">
    <w:abstractNumId w:val="14"/>
  </w:num>
  <w:num w:numId="9" w16cid:durableId="707950314">
    <w:abstractNumId w:val="9"/>
  </w:num>
  <w:num w:numId="10" w16cid:durableId="838929504">
    <w:abstractNumId w:val="7"/>
  </w:num>
  <w:num w:numId="11" w16cid:durableId="1437292943">
    <w:abstractNumId w:val="6"/>
  </w:num>
  <w:num w:numId="12" w16cid:durableId="1379235747">
    <w:abstractNumId w:val="5"/>
  </w:num>
  <w:num w:numId="13" w16cid:durableId="1257055603">
    <w:abstractNumId w:val="4"/>
  </w:num>
  <w:num w:numId="14" w16cid:durableId="922950902">
    <w:abstractNumId w:val="8"/>
  </w:num>
  <w:num w:numId="15" w16cid:durableId="1844396993">
    <w:abstractNumId w:val="3"/>
  </w:num>
  <w:num w:numId="16" w16cid:durableId="1144279068">
    <w:abstractNumId w:val="2"/>
  </w:num>
  <w:num w:numId="17" w16cid:durableId="991760282">
    <w:abstractNumId w:val="1"/>
  </w:num>
  <w:num w:numId="18" w16cid:durableId="2124690797">
    <w:abstractNumId w:val="0"/>
  </w:num>
  <w:num w:numId="19" w16cid:durableId="89090212">
    <w:abstractNumId w:val="10"/>
  </w:num>
  <w:num w:numId="20" w16cid:durableId="941305871">
    <w:abstractNumId w:val="19"/>
  </w:num>
  <w:num w:numId="21" w16cid:durableId="2056269021">
    <w:abstractNumId w:val="15"/>
  </w:num>
  <w:num w:numId="22" w16cid:durableId="1636763844">
    <w:abstractNumId w:val="20"/>
  </w:num>
  <w:num w:numId="23" w16cid:durableId="257102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7D"/>
    <w:rsid w:val="0006266A"/>
    <w:rsid w:val="00080C8E"/>
    <w:rsid w:val="000A095D"/>
    <w:rsid w:val="000A4F6C"/>
    <w:rsid w:val="000A57F7"/>
    <w:rsid w:val="001246CF"/>
    <w:rsid w:val="001410C4"/>
    <w:rsid w:val="001951EA"/>
    <w:rsid w:val="001A36A3"/>
    <w:rsid w:val="001A7FEF"/>
    <w:rsid w:val="001B14DA"/>
    <w:rsid w:val="001F4308"/>
    <w:rsid w:val="00204777"/>
    <w:rsid w:val="002272D2"/>
    <w:rsid w:val="00235556"/>
    <w:rsid w:val="0024781F"/>
    <w:rsid w:val="002671DF"/>
    <w:rsid w:val="00267741"/>
    <w:rsid w:val="00280050"/>
    <w:rsid w:val="00285F7D"/>
    <w:rsid w:val="002875BF"/>
    <w:rsid w:val="002957D5"/>
    <w:rsid w:val="002C4BCD"/>
    <w:rsid w:val="002E0392"/>
    <w:rsid w:val="00311716"/>
    <w:rsid w:val="003A34F5"/>
    <w:rsid w:val="00400D7E"/>
    <w:rsid w:val="004161E8"/>
    <w:rsid w:val="00417222"/>
    <w:rsid w:val="004240DD"/>
    <w:rsid w:val="00434B69"/>
    <w:rsid w:val="00484659"/>
    <w:rsid w:val="00487FF5"/>
    <w:rsid w:val="004B2124"/>
    <w:rsid w:val="004B7A6E"/>
    <w:rsid w:val="004C0FFD"/>
    <w:rsid w:val="004C6B8E"/>
    <w:rsid w:val="004F67A7"/>
    <w:rsid w:val="00506C8C"/>
    <w:rsid w:val="00551320"/>
    <w:rsid w:val="005A1351"/>
    <w:rsid w:val="00607B42"/>
    <w:rsid w:val="00611D7A"/>
    <w:rsid w:val="00617EC0"/>
    <w:rsid w:val="0063799A"/>
    <w:rsid w:val="006921CC"/>
    <w:rsid w:val="006D69E4"/>
    <w:rsid w:val="006F141E"/>
    <w:rsid w:val="00701FE9"/>
    <w:rsid w:val="00712A7E"/>
    <w:rsid w:val="007619B1"/>
    <w:rsid w:val="00765BE5"/>
    <w:rsid w:val="00770932"/>
    <w:rsid w:val="007A15B6"/>
    <w:rsid w:val="007B3E5C"/>
    <w:rsid w:val="007D0414"/>
    <w:rsid w:val="007F71DD"/>
    <w:rsid w:val="0083621E"/>
    <w:rsid w:val="008413F8"/>
    <w:rsid w:val="00843129"/>
    <w:rsid w:val="00867A4E"/>
    <w:rsid w:val="008D3946"/>
    <w:rsid w:val="009102F6"/>
    <w:rsid w:val="009578A9"/>
    <w:rsid w:val="00987979"/>
    <w:rsid w:val="009A657C"/>
    <w:rsid w:val="009B18F5"/>
    <w:rsid w:val="00A06D6D"/>
    <w:rsid w:val="00A1204B"/>
    <w:rsid w:val="00A17AD1"/>
    <w:rsid w:val="00A25D87"/>
    <w:rsid w:val="00A947BF"/>
    <w:rsid w:val="00AA4C4D"/>
    <w:rsid w:val="00AE12EA"/>
    <w:rsid w:val="00B636BB"/>
    <w:rsid w:val="00BE1B6F"/>
    <w:rsid w:val="00BF4AB0"/>
    <w:rsid w:val="00C27EDC"/>
    <w:rsid w:val="00C94169"/>
    <w:rsid w:val="00CA7142"/>
    <w:rsid w:val="00CA71E1"/>
    <w:rsid w:val="00CB72EA"/>
    <w:rsid w:val="00CB7D99"/>
    <w:rsid w:val="00CD59AD"/>
    <w:rsid w:val="00D65E4F"/>
    <w:rsid w:val="00D75D69"/>
    <w:rsid w:val="00D85FAB"/>
    <w:rsid w:val="00DA073D"/>
    <w:rsid w:val="00DC32E8"/>
    <w:rsid w:val="00DF7E08"/>
    <w:rsid w:val="00EB74CA"/>
    <w:rsid w:val="00ED3090"/>
    <w:rsid w:val="00ED7E97"/>
    <w:rsid w:val="00F14D6C"/>
    <w:rsid w:val="00F22877"/>
    <w:rsid w:val="00F41A0B"/>
    <w:rsid w:val="00F56BE9"/>
    <w:rsid w:val="00F719DC"/>
    <w:rsid w:val="00FA43B9"/>
    <w:rsid w:val="00FB64D7"/>
    <w:rsid w:val="00FE441C"/>
    <w:rsid w:val="00FE7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9A5F"/>
  <w15:chartTrackingRefBased/>
  <w15:docId w15:val="{F4CA7E53-42D6-4A6A-A096-B5DFBFF2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C4"/>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285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nTOCheading2"/>
    <w:next w:val="Normal"/>
    <w:link w:val="Heading2Char"/>
    <w:uiPriority w:val="9"/>
    <w:unhideWhenUsed/>
    <w:qFormat/>
    <w:rsid w:val="00F22877"/>
    <w:pPr>
      <w:outlineLvl w:val="1"/>
    </w:pPr>
  </w:style>
  <w:style w:type="paragraph" w:styleId="Heading3">
    <w:name w:val="heading 3"/>
    <w:basedOn w:val="Heading2"/>
    <w:next w:val="Normal"/>
    <w:link w:val="Heading3Char"/>
    <w:uiPriority w:val="9"/>
    <w:unhideWhenUsed/>
    <w:qFormat/>
    <w:rsid w:val="00F22877"/>
    <w:pPr>
      <w:numPr>
        <w:numId w:val="1"/>
      </w:numPr>
      <w:outlineLvl w:val="2"/>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2877"/>
    <w:rPr>
      <w:rFonts w:ascii="Calibri" w:eastAsia="Cambria" w:hAnsi="Calibri"/>
      <w:b/>
      <w:sz w:val="32"/>
      <w:szCs w:val="20"/>
    </w:rPr>
  </w:style>
  <w:style w:type="paragraph" w:styleId="ListParagraph">
    <w:name w:val="List Paragraph"/>
    <w:aliases w:val="Noise heading,RUS List,Credits,Text,Cell bullets,Rec para,alphabet listing,Number abc,a List Paragraph,List Paragraph1,En tête 1,Normal 1,MICA-List,Colorful List - Accent 11,Dot pt,No Spacing1,List Paragraph Char Char Char,Indicator Text"/>
    <w:basedOn w:val="Normal"/>
    <w:link w:val="ListParagraphChar"/>
    <w:uiPriority w:val="34"/>
    <w:qFormat/>
    <w:rsid w:val="00285F7D"/>
    <w:pPr>
      <w:ind w:left="720"/>
      <w:contextualSpacing/>
    </w:pPr>
  </w:style>
  <w:style w:type="table" w:styleId="TableGrid">
    <w:name w:val="Table Grid"/>
    <w:basedOn w:val="TableNormal"/>
    <w:uiPriority w:val="39"/>
    <w:rsid w:val="0028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ise heading Char,RUS List Char,Credits Char,Text Char,Cell bullets Char,Rec para Char,alphabet listing Char,Number abc Char,a List Paragraph Char,List Paragraph1 Char,En tête 1 Char,Normal 1 Char,MICA-List Char,Dot pt Char"/>
    <w:basedOn w:val="DefaultParagraphFont"/>
    <w:link w:val="ListParagraph"/>
    <w:uiPriority w:val="34"/>
    <w:locked/>
    <w:rsid w:val="00285F7D"/>
  </w:style>
  <w:style w:type="character" w:styleId="Hyperlink">
    <w:name w:val="Hyperlink"/>
    <w:basedOn w:val="DefaultParagraphFont"/>
    <w:uiPriority w:val="99"/>
    <w:unhideWhenUsed/>
    <w:rsid w:val="00285F7D"/>
    <w:rPr>
      <w:color w:val="0000FF"/>
      <w:u w:val="single"/>
    </w:rPr>
  </w:style>
  <w:style w:type="paragraph" w:styleId="Footer">
    <w:name w:val="footer"/>
    <w:basedOn w:val="Normal"/>
    <w:link w:val="FooterChar"/>
    <w:uiPriority w:val="99"/>
    <w:unhideWhenUsed/>
    <w:rsid w:val="00285F7D"/>
    <w:pPr>
      <w:tabs>
        <w:tab w:val="center" w:pos="4513"/>
        <w:tab w:val="right" w:pos="9026"/>
      </w:tabs>
      <w:spacing w:after="0"/>
    </w:pPr>
  </w:style>
  <w:style w:type="character" w:customStyle="1" w:styleId="FooterChar">
    <w:name w:val="Footer Char"/>
    <w:basedOn w:val="DefaultParagraphFont"/>
    <w:link w:val="Footer"/>
    <w:uiPriority w:val="99"/>
    <w:rsid w:val="00285F7D"/>
  </w:style>
  <w:style w:type="paragraph" w:styleId="Title">
    <w:name w:val="Title"/>
    <w:basedOn w:val="Normal"/>
    <w:next w:val="Normal"/>
    <w:link w:val="TitleChar"/>
    <w:qFormat/>
    <w:rsid w:val="00285F7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5F7D"/>
    <w:rPr>
      <w:rFonts w:asciiTheme="majorHAnsi" w:eastAsiaTheme="majorEastAsia" w:hAnsiTheme="majorHAnsi" w:cstheme="majorBidi"/>
      <w:spacing w:val="-10"/>
      <w:kern w:val="28"/>
      <w:sz w:val="56"/>
      <w:szCs w:val="56"/>
    </w:rPr>
  </w:style>
  <w:style w:type="table" w:customStyle="1" w:styleId="TableTGAblack">
    <w:name w:val="Table TGA black"/>
    <w:basedOn w:val="TableNormal"/>
    <w:uiPriority w:val="99"/>
    <w:rsid w:val="004B7A6E"/>
    <w:pPr>
      <w:spacing w:after="0" w:line="240" w:lineRule="auto"/>
    </w:pPr>
    <w:rPr>
      <w:rFonts w:ascii="Calibri" w:eastAsia="Cambria" w:hAnsi="Calibri"/>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1F3864" w:themeFill="accent1" w:themeFillShade="8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NonTOCheading2">
    <w:name w:val="Non TOC heading 2"/>
    <w:basedOn w:val="Normal"/>
    <w:next w:val="Normal"/>
    <w:rsid w:val="004B7A6E"/>
    <w:pPr>
      <w:keepNext/>
      <w:keepLines/>
      <w:pageBreakBefore/>
      <w:spacing w:after="180" w:line="240" w:lineRule="atLeast"/>
      <w:outlineLvl w:val="0"/>
    </w:pPr>
    <w:rPr>
      <w:rFonts w:ascii="Calibri" w:eastAsia="Cambria" w:hAnsi="Calibri"/>
      <w:b/>
      <w:sz w:val="32"/>
      <w:szCs w:val="20"/>
    </w:rPr>
  </w:style>
  <w:style w:type="paragraph" w:styleId="FootnoteText">
    <w:name w:val="footnote text"/>
    <w:basedOn w:val="Normal"/>
    <w:link w:val="FootnoteTextChar"/>
    <w:uiPriority w:val="99"/>
    <w:unhideWhenUsed/>
    <w:rsid w:val="00F56BE9"/>
    <w:pPr>
      <w:spacing w:after="0"/>
    </w:pPr>
    <w:rPr>
      <w:sz w:val="20"/>
      <w:szCs w:val="20"/>
    </w:rPr>
  </w:style>
  <w:style w:type="character" w:customStyle="1" w:styleId="FootnoteTextChar">
    <w:name w:val="Footnote Text Char"/>
    <w:basedOn w:val="DefaultParagraphFont"/>
    <w:link w:val="FootnoteText"/>
    <w:uiPriority w:val="99"/>
    <w:rsid w:val="00F56BE9"/>
    <w:rPr>
      <w:sz w:val="20"/>
      <w:szCs w:val="20"/>
    </w:rPr>
  </w:style>
  <w:style w:type="character" w:styleId="FootnoteReference">
    <w:name w:val="footnote reference"/>
    <w:basedOn w:val="DefaultParagraphFont"/>
    <w:uiPriority w:val="99"/>
    <w:semiHidden/>
    <w:unhideWhenUsed/>
    <w:rsid w:val="00F56BE9"/>
    <w:rPr>
      <w:vertAlign w:val="superscript"/>
    </w:rPr>
  </w:style>
  <w:style w:type="paragraph" w:styleId="BalloonText">
    <w:name w:val="Balloon Text"/>
    <w:basedOn w:val="Normal"/>
    <w:link w:val="BalloonTextChar"/>
    <w:uiPriority w:val="99"/>
    <w:semiHidden/>
    <w:unhideWhenUsed/>
    <w:rsid w:val="00F56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E9"/>
    <w:rPr>
      <w:rFonts w:ascii="Segoe UI" w:hAnsi="Segoe UI" w:cs="Segoe UI"/>
      <w:sz w:val="18"/>
      <w:szCs w:val="18"/>
    </w:rPr>
  </w:style>
  <w:style w:type="paragraph" w:styleId="Header">
    <w:name w:val="header"/>
    <w:basedOn w:val="Normal"/>
    <w:link w:val="HeaderChar"/>
    <w:uiPriority w:val="99"/>
    <w:unhideWhenUsed/>
    <w:rsid w:val="0024781F"/>
    <w:pPr>
      <w:tabs>
        <w:tab w:val="center" w:pos="4513"/>
        <w:tab w:val="right" w:pos="9026"/>
      </w:tabs>
      <w:spacing w:after="0"/>
    </w:pPr>
  </w:style>
  <w:style w:type="character" w:customStyle="1" w:styleId="HeaderChar">
    <w:name w:val="Header Char"/>
    <w:basedOn w:val="DefaultParagraphFont"/>
    <w:link w:val="Header"/>
    <w:uiPriority w:val="99"/>
    <w:rsid w:val="0024781F"/>
  </w:style>
  <w:style w:type="character" w:styleId="FollowedHyperlink">
    <w:name w:val="FollowedHyperlink"/>
    <w:basedOn w:val="DefaultParagraphFont"/>
    <w:uiPriority w:val="99"/>
    <w:semiHidden/>
    <w:unhideWhenUsed/>
    <w:rsid w:val="00CD59AD"/>
    <w:rPr>
      <w:color w:val="954F72" w:themeColor="followedHyperlink"/>
      <w:u w:val="single"/>
    </w:rPr>
  </w:style>
  <w:style w:type="paragraph" w:customStyle="1" w:styleId="Criterion">
    <w:name w:val="Criterion"/>
    <w:link w:val="CriterionChar"/>
    <w:qFormat/>
    <w:rsid w:val="004B7A6E"/>
    <w:pPr>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spacing w:before="120" w:after="120"/>
    </w:pPr>
    <w:rPr>
      <w:rFonts w:asciiTheme="minorHAnsi" w:hAnsiTheme="minorHAnsi" w:cstheme="minorHAnsi"/>
    </w:rPr>
  </w:style>
  <w:style w:type="character" w:styleId="Strong">
    <w:name w:val="Strong"/>
    <w:basedOn w:val="DefaultParagraphFont"/>
    <w:uiPriority w:val="22"/>
    <w:qFormat/>
    <w:rsid w:val="001410C4"/>
    <w:rPr>
      <w:b/>
      <w:bCs/>
    </w:rPr>
  </w:style>
  <w:style w:type="character" w:customStyle="1" w:styleId="CriterionChar">
    <w:name w:val="Criterion Char"/>
    <w:basedOn w:val="DefaultParagraphFont"/>
    <w:link w:val="Criterion"/>
    <w:rsid w:val="004B7A6E"/>
    <w:rPr>
      <w:rFonts w:asciiTheme="minorHAnsi" w:hAnsiTheme="minorHAnsi" w:cstheme="minorHAnsi"/>
      <w:shd w:val="clear" w:color="auto" w:fill="D9E2F3" w:themeFill="accent1" w:themeFillTint="33"/>
    </w:rPr>
  </w:style>
  <w:style w:type="paragraph" w:styleId="ListBullet2">
    <w:name w:val="List Bullet 2"/>
    <w:basedOn w:val="Normal"/>
    <w:uiPriority w:val="99"/>
    <w:unhideWhenUsed/>
    <w:rsid w:val="004B7A6E"/>
    <w:pPr>
      <w:numPr>
        <w:numId w:val="10"/>
      </w:numPr>
      <w:contextualSpacing/>
    </w:pPr>
  </w:style>
  <w:style w:type="paragraph" w:styleId="TOCHeading">
    <w:name w:val="TOC Heading"/>
    <w:basedOn w:val="Heading1"/>
    <w:next w:val="Normal"/>
    <w:uiPriority w:val="39"/>
    <w:unhideWhenUsed/>
    <w:qFormat/>
    <w:rsid w:val="002875BF"/>
    <w:pPr>
      <w:spacing w:line="259" w:lineRule="auto"/>
      <w:outlineLvl w:val="9"/>
    </w:pPr>
    <w:rPr>
      <w:lang w:val="en-US"/>
    </w:rPr>
  </w:style>
  <w:style w:type="paragraph" w:styleId="TOC1">
    <w:name w:val="toc 1"/>
    <w:basedOn w:val="Normal"/>
    <w:next w:val="Normal"/>
    <w:autoRedefine/>
    <w:uiPriority w:val="39"/>
    <w:unhideWhenUsed/>
    <w:rsid w:val="002875BF"/>
    <w:pPr>
      <w:spacing w:after="100"/>
    </w:pPr>
  </w:style>
  <w:style w:type="paragraph" w:styleId="TOC2">
    <w:name w:val="toc 2"/>
    <w:basedOn w:val="Normal"/>
    <w:next w:val="Normal"/>
    <w:autoRedefine/>
    <w:uiPriority w:val="39"/>
    <w:unhideWhenUsed/>
    <w:rsid w:val="002875BF"/>
    <w:pPr>
      <w:spacing w:after="100"/>
      <w:ind w:left="240"/>
    </w:pPr>
  </w:style>
  <w:style w:type="paragraph" w:styleId="ListBullet">
    <w:name w:val="List Bullet"/>
    <w:basedOn w:val="Normal"/>
    <w:uiPriority w:val="99"/>
    <w:semiHidden/>
    <w:unhideWhenUsed/>
    <w:rsid w:val="002875BF"/>
    <w:pPr>
      <w:numPr>
        <w:numId w:val="9"/>
      </w:numPr>
      <w:contextualSpacing/>
    </w:pPr>
  </w:style>
  <w:style w:type="character" w:styleId="CommentReference">
    <w:name w:val="annotation reference"/>
    <w:basedOn w:val="DefaultParagraphFont"/>
    <w:uiPriority w:val="99"/>
    <w:semiHidden/>
    <w:unhideWhenUsed/>
    <w:rsid w:val="00607B42"/>
    <w:rPr>
      <w:sz w:val="16"/>
      <w:szCs w:val="16"/>
    </w:rPr>
  </w:style>
  <w:style w:type="paragraph" w:styleId="CommentText">
    <w:name w:val="annotation text"/>
    <w:basedOn w:val="Normal"/>
    <w:link w:val="CommentTextChar"/>
    <w:uiPriority w:val="99"/>
    <w:unhideWhenUsed/>
    <w:rsid w:val="00607B42"/>
    <w:rPr>
      <w:sz w:val="20"/>
      <w:szCs w:val="20"/>
    </w:rPr>
  </w:style>
  <w:style w:type="character" w:customStyle="1" w:styleId="CommentTextChar">
    <w:name w:val="Comment Text Char"/>
    <w:basedOn w:val="DefaultParagraphFont"/>
    <w:link w:val="CommentText"/>
    <w:uiPriority w:val="99"/>
    <w:rsid w:val="00607B4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07B42"/>
    <w:rPr>
      <w:b/>
      <w:bCs/>
    </w:rPr>
  </w:style>
  <w:style w:type="character" w:customStyle="1" w:styleId="CommentSubjectChar">
    <w:name w:val="Comment Subject Char"/>
    <w:basedOn w:val="CommentTextChar"/>
    <w:link w:val="CommentSubject"/>
    <w:uiPriority w:val="99"/>
    <w:semiHidden/>
    <w:rsid w:val="00607B42"/>
    <w:rPr>
      <w:rFonts w:asciiTheme="minorHAnsi" w:hAnsiTheme="minorHAnsi"/>
      <w:b/>
      <w:bCs/>
      <w:sz w:val="20"/>
      <w:szCs w:val="20"/>
    </w:rPr>
  </w:style>
  <w:style w:type="character" w:customStyle="1" w:styleId="Heading3Char">
    <w:name w:val="Heading 3 Char"/>
    <w:basedOn w:val="DefaultParagraphFont"/>
    <w:link w:val="Heading3"/>
    <w:uiPriority w:val="9"/>
    <w:rsid w:val="00F22877"/>
    <w:rPr>
      <w:rFonts w:asciiTheme="minorHAnsi" w:eastAsiaTheme="majorEastAsia" w:hAnsiTheme="minorHAnsi" w:cstheme="minorHAnsi"/>
      <w:color w:val="2F5496" w:themeColor="accent1" w:themeShade="BF"/>
      <w:sz w:val="26"/>
      <w:szCs w:val="26"/>
    </w:rPr>
  </w:style>
  <w:style w:type="paragraph" w:styleId="Revision">
    <w:name w:val="Revision"/>
    <w:hidden/>
    <w:uiPriority w:val="99"/>
    <w:semiHidden/>
    <w:rsid w:val="00765BE5"/>
    <w:pPr>
      <w:spacing w:after="0" w:line="240" w:lineRule="auto"/>
    </w:pPr>
    <w:rPr>
      <w:rFonts w:asciiTheme="minorHAnsi" w:hAnsiTheme="minorHAnsi"/>
    </w:rPr>
  </w:style>
  <w:style w:type="paragraph" w:styleId="ListBullet3">
    <w:name w:val="List Bullet 3"/>
    <w:basedOn w:val="Normal"/>
    <w:uiPriority w:val="99"/>
    <w:unhideWhenUsed/>
    <w:rsid w:val="00765BE5"/>
    <w:pPr>
      <w:ind w:left="926" w:hanging="360"/>
      <w:contextualSpacing/>
    </w:pPr>
  </w:style>
  <w:style w:type="paragraph" w:styleId="TOC3">
    <w:name w:val="toc 3"/>
    <w:basedOn w:val="Normal"/>
    <w:next w:val="Normal"/>
    <w:autoRedefine/>
    <w:uiPriority w:val="39"/>
    <w:unhideWhenUsed/>
    <w:rsid w:val="001B14D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vid-19-vaccine-provisional-registr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todate.com/contents/standard-immunizations-for-children-and-adolescents-overview?search=shoulder%20injury%20post%20vaccination&amp;source=search_result&amp;selectedTitle=1~150&amp;usage_type=default&amp;display_ra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vec.mcri.edu.au/references/shoulder-injury-related-to-vaccine-administ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cgp.org.au/afp/2016/may/don%E2%80%99t-aim-too-high-avoiding-shoulder-injury-related-to-vaccine-administration/" TargetMode="External"/><Relationship Id="rId4" Type="http://schemas.openxmlformats.org/officeDocument/2006/relationships/settings" Target="settings.xml"/><Relationship Id="rId9" Type="http://schemas.openxmlformats.org/officeDocument/2006/relationships/hyperlink" Target="https://immunisationhandbook.health.gov.au/resources/publications/avoiding-shoulder-injury-related-to-vaccine-administr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7F33-9242-4DDF-B44D-D44636C5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COVID-19 Vaccine Claims Scheme – Guidance for injuries caused by vaccine administration</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Claims Scheme – Guidance for injuries caused by vaccine administration</dc:title>
  <dc:subject>COVID-19 Vaccine</dc:subject>
  <dc:creator>Australian Government Department of Health and Aged Care</dc:creator>
  <cp:keywords>vaccine; COVID-19; COVID-19 Vaccine; Communicable diseases; Emergency health management; Immunisation</cp:keywords>
  <dc:description/>
  <cp:lastModifiedBy>KEMP, Byron</cp:lastModifiedBy>
  <cp:revision>3</cp:revision>
  <cp:lastPrinted>2023-12-19T22:42:00Z</cp:lastPrinted>
  <dcterms:created xsi:type="dcterms:W3CDTF">2023-12-19T22:42:00Z</dcterms:created>
  <dcterms:modified xsi:type="dcterms:W3CDTF">2023-12-19T22:43:00Z</dcterms:modified>
</cp:coreProperties>
</file>