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416B7" w14:textId="77777777" w:rsidR="00517DA6" w:rsidRPr="00903864" w:rsidRDefault="00517DA6" w:rsidP="00517DA6">
      <w:pPr>
        <w:rPr>
          <w:rFonts w:ascii="Cambria" w:hAnsi="Cambria"/>
        </w:rPr>
      </w:pPr>
    </w:p>
    <w:p w14:paraId="7A5844EA" w14:textId="77777777" w:rsidR="00517DA6" w:rsidRPr="00903864" w:rsidRDefault="00517DA6" w:rsidP="001D7C0B">
      <w:pPr>
        <w:pStyle w:val="Heading1"/>
        <w:rPr>
          <w:rFonts w:ascii="Cambria" w:hAnsi="Cambria" w:cstheme="minorHAnsi"/>
          <w:color w:val="auto"/>
          <w:sz w:val="56"/>
          <w:szCs w:val="56"/>
        </w:rPr>
      </w:pPr>
      <w:bookmarkStart w:id="0" w:name="_Toc153956538"/>
      <w:r w:rsidRPr="00903864">
        <w:rPr>
          <w:rFonts w:ascii="Cambria" w:hAnsi="Cambria" w:cstheme="minorHAnsi"/>
          <w:color w:val="auto"/>
          <w:sz w:val="56"/>
          <w:szCs w:val="56"/>
        </w:rPr>
        <w:t>Guidance for conditions – COVID-19 Vaccine Claims Scheme</w:t>
      </w:r>
      <w:bookmarkEnd w:id="0"/>
    </w:p>
    <w:p w14:paraId="2758CE6E" w14:textId="77777777" w:rsidR="00517DA6" w:rsidRPr="00903864" w:rsidRDefault="00517DA6" w:rsidP="00517DA6">
      <w:pPr>
        <w:spacing w:after="180"/>
        <w:rPr>
          <w:rFonts w:ascii="Cambria" w:hAnsi="Cambria" w:cstheme="minorHAnsi"/>
        </w:rPr>
      </w:pPr>
      <w:r w:rsidRPr="00903864">
        <w:rPr>
          <w:rFonts w:ascii="Cambria" w:hAnsi="Cambria" w:cstheme="minorHAnsi"/>
        </w:rPr>
        <w:t xml:space="preserve">This document is intended as a guide for Medical Practitioners providing clinical opinion in support of COVID-19 vaccine Harm claims following vaccination with a Therapeutic Goods Administration (TGA) approved or provisionally approved COVID-19 vaccine in accordance with the COVID-19 Vaccine Claims Scheme (the Scheme). </w:t>
      </w:r>
    </w:p>
    <w:p w14:paraId="79EDDD63" w14:textId="77777777" w:rsidR="00B87044" w:rsidRPr="00903864" w:rsidRDefault="00B87044" w:rsidP="00B87044">
      <w:pPr>
        <w:pStyle w:val="ListParagraph"/>
        <w:numPr>
          <w:ilvl w:val="0"/>
          <w:numId w:val="21"/>
        </w:numPr>
        <w:spacing w:after="180"/>
        <w:rPr>
          <w:rFonts w:ascii="Cambria" w:hAnsi="Cambria" w:cstheme="minorHAnsi"/>
        </w:rPr>
      </w:pPr>
      <w:bookmarkStart w:id="1" w:name="_Hlk130307698"/>
      <w:r w:rsidRPr="00903864">
        <w:rPr>
          <w:rFonts w:ascii="Cambria" w:hAnsi="Cambria" w:cstheme="minorHAnsi"/>
        </w:rPr>
        <w:t xml:space="preserve">Tier 1: </w:t>
      </w:r>
    </w:p>
    <w:p w14:paraId="35531308" w14:textId="77777777" w:rsidR="00B87044" w:rsidRPr="00903864" w:rsidRDefault="00B87044" w:rsidP="00B87044">
      <w:pPr>
        <w:pStyle w:val="ListParagraph"/>
        <w:numPr>
          <w:ilvl w:val="1"/>
          <w:numId w:val="21"/>
        </w:numPr>
        <w:spacing w:after="180"/>
        <w:rPr>
          <w:rFonts w:ascii="Cambria" w:hAnsi="Cambria" w:cstheme="minorHAnsi"/>
        </w:rPr>
      </w:pPr>
      <w:r w:rsidRPr="00903864">
        <w:rPr>
          <w:rFonts w:ascii="Cambria" w:hAnsi="Cambria" w:cstheme="minorHAnsi"/>
        </w:rPr>
        <w:t xml:space="preserve">Covers claims where the recompense claimed for the Harm is less than the amount of $20,000 AUD. </w:t>
      </w:r>
    </w:p>
    <w:p w14:paraId="4F0DDB51" w14:textId="77777777" w:rsidR="00B87044" w:rsidRPr="00903864" w:rsidRDefault="00B87044" w:rsidP="00B87044">
      <w:pPr>
        <w:pStyle w:val="ListParagraph"/>
        <w:numPr>
          <w:ilvl w:val="1"/>
          <w:numId w:val="21"/>
        </w:numPr>
        <w:spacing w:after="180"/>
        <w:rPr>
          <w:rFonts w:ascii="Cambria" w:hAnsi="Cambria" w:cstheme="minorHAnsi"/>
        </w:rPr>
      </w:pPr>
      <w:r w:rsidRPr="00903864">
        <w:rPr>
          <w:rFonts w:ascii="Cambria" w:hAnsi="Cambria" w:cstheme="minorHAnsi"/>
        </w:rPr>
        <w:t>Covers claims where the recompense claimed for the Harm is less than the amount of $16,000 AUD and Pain and Suffering is being claimed</w:t>
      </w:r>
      <w:bookmarkEnd w:id="1"/>
      <w:r w:rsidRPr="00903864">
        <w:rPr>
          <w:rFonts w:ascii="Cambria" w:hAnsi="Cambria" w:cstheme="minorHAnsi"/>
        </w:rPr>
        <w:t xml:space="preserve">.  </w:t>
      </w:r>
    </w:p>
    <w:p w14:paraId="61A3A238" w14:textId="77777777" w:rsidR="00B87044" w:rsidRPr="00903864" w:rsidRDefault="00B87044" w:rsidP="00B87044">
      <w:pPr>
        <w:pStyle w:val="ListParagraph"/>
        <w:numPr>
          <w:ilvl w:val="0"/>
          <w:numId w:val="21"/>
        </w:numPr>
        <w:spacing w:after="180"/>
        <w:rPr>
          <w:rFonts w:ascii="Cambria" w:hAnsi="Cambria" w:cstheme="minorHAnsi"/>
        </w:rPr>
      </w:pPr>
      <w:r w:rsidRPr="00903864">
        <w:rPr>
          <w:rFonts w:ascii="Cambria" w:hAnsi="Cambria" w:cstheme="minorHAnsi"/>
        </w:rPr>
        <w:t xml:space="preserve">Tier 2: </w:t>
      </w:r>
    </w:p>
    <w:p w14:paraId="5D93187B" w14:textId="77777777" w:rsidR="00B87044" w:rsidRPr="00903864" w:rsidRDefault="00B87044" w:rsidP="00B87044">
      <w:pPr>
        <w:pStyle w:val="ListParagraph"/>
        <w:numPr>
          <w:ilvl w:val="1"/>
          <w:numId w:val="21"/>
        </w:numPr>
        <w:spacing w:after="180"/>
        <w:rPr>
          <w:rFonts w:ascii="Cambria" w:hAnsi="Cambria" w:cstheme="minorHAnsi"/>
        </w:rPr>
      </w:pPr>
      <w:r w:rsidRPr="00903864">
        <w:rPr>
          <w:rFonts w:ascii="Cambria" w:hAnsi="Cambria" w:cstheme="minorHAnsi"/>
        </w:rPr>
        <w:t>Covers claims where the recompense claimed for the Harm is greater than $20,000 AUD.</w:t>
      </w:r>
    </w:p>
    <w:p w14:paraId="6F1F143A" w14:textId="77777777" w:rsidR="00B87044" w:rsidRPr="00903864" w:rsidRDefault="00B87044" w:rsidP="00B87044">
      <w:pPr>
        <w:pStyle w:val="ListParagraph"/>
        <w:numPr>
          <w:ilvl w:val="0"/>
          <w:numId w:val="21"/>
        </w:numPr>
        <w:spacing w:after="180"/>
        <w:rPr>
          <w:rFonts w:ascii="Cambria" w:hAnsi="Cambria" w:cstheme="minorHAnsi"/>
        </w:rPr>
      </w:pPr>
      <w:r w:rsidRPr="00903864">
        <w:rPr>
          <w:rFonts w:ascii="Cambria" w:hAnsi="Cambria" w:cstheme="minorHAnsi"/>
        </w:rPr>
        <w:t xml:space="preserve">Tier 3: </w:t>
      </w:r>
    </w:p>
    <w:p w14:paraId="1657E457" w14:textId="77777777" w:rsidR="00B87044" w:rsidRPr="00903864" w:rsidRDefault="00B87044" w:rsidP="00B87044">
      <w:pPr>
        <w:pStyle w:val="ListParagraph"/>
        <w:numPr>
          <w:ilvl w:val="1"/>
          <w:numId w:val="21"/>
        </w:numPr>
        <w:spacing w:after="180"/>
        <w:rPr>
          <w:rFonts w:ascii="Cambria" w:hAnsi="Cambria" w:cstheme="minorHAnsi"/>
        </w:rPr>
      </w:pPr>
      <w:r w:rsidRPr="00903864">
        <w:rPr>
          <w:rFonts w:ascii="Cambria" w:hAnsi="Cambria" w:cstheme="minorHAnsi"/>
        </w:rPr>
        <w:t>Covers claims in relation to Harm that caused, or materially contributed to, the death of a COVID-19 Vaccine Recipient.</w:t>
      </w:r>
    </w:p>
    <w:p w14:paraId="720544F8" w14:textId="28F99299" w:rsidR="001D7C0B" w:rsidRPr="00903864" w:rsidRDefault="001D7C0B" w:rsidP="001D7C0B">
      <w:pPr>
        <w:spacing w:after="180"/>
        <w:rPr>
          <w:rFonts w:ascii="Cambria" w:hAnsi="Cambria" w:cstheme="minorHAnsi"/>
        </w:rPr>
      </w:pPr>
      <w:r w:rsidRPr="00903864">
        <w:rPr>
          <w:rFonts w:ascii="Cambria" w:hAnsi="Cambria" w:cstheme="minorHAnsi"/>
        </w:rPr>
        <w:br w:type="page"/>
      </w:r>
    </w:p>
    <w:sdt>
      <w:sdtPr>
        <w:rPr>
          <w:rFonts w:ascii="Cambria" w:eastAsiaTheme="minorHAnsi" w:hAnsi="Cambria" w:cs="Times New Roman"/>
          <w:color w:val="auto"/>
          <w:sz w:val="24"/>
          <w:szCs w:val="24"/>
          <w:lang w:val="en-AU"/>
        </w:rPr>
        <w:id w:val="-388038868"/>
        <w:docPartObj>
          <w:docPartGallery w:val="Table of Contents"/>
          <w:docPartUnique/>
        </w:docPartObj>
      </w:sdtPr>
      <w:sdtEndPr>
        <w:rPr>
          <w:b/>
          <w:bCs/>
          <w:noProof/>
        </w:rPr>
      </w:sdtEndPr>
      <w:sdtContent>
        <w:p w14:paraId="7144E290" w14:textId="77777777" w:rsidR="00517DA6" w:rsidRPr="00903864" w:rsidRDefault="00517DA6" w:rsidP="00517DA6">
          <w:pPr>
            <w:pStyle w:val="TOCHeading"/>
            <w:rPr>
              <w:rFonts w:ascii="Cambria" w:hAnsi="Cambria"/>
            </w:rPr>
          </w:pPr>
          <w:r w:rsidRPr="00903864">
            <w:rPr>
              <w:rFonts w:ascii="Cambria" w:hAnsi="Cambria"/>
            </w:rPr>
            <w:t>Table of Contents</w:t>
          </w:r>
        </w:p>
        <w:p w14:paraId="409936A4" w14:textId="133D29A6" w:rsidR="00C578CE" w:rsidRDefault="00517DA6">
          <w:pPr>
            <w:pStyle w:val="TOC1"/>
            <w:tabs>
              <w:tab w:val="right" w:leader="dot" w:pos="9016"/>
            </w:tabs>
            <w:rPr>
              <w:rFonts w:eastAsiaTheme="minorEastAsia" w:cstheme="minorBidi"/>
              <w:noProof/>
              <w:sz w:val="22"/>
              <w:szCs w:val="22"/>
              <w:lang w:eastAsia="en-AU"/>
            </w:rPr>
          </w:pPr>
          <w:r w:rsidRPr="00903864">
            <w:rPr>
              <w:rFonts w:ascii="Cambria" w:hAnsi="Cambria"/>
            </w:rPr>
            <w:fldChar w:fldCharType="begin"/>
          </w:r>
          <w:r w:rsidRPr="00903864">
            <w:rPr>
              <w:rFonts w:ascii="Cambria" w:hAnsi="Cambria"/>
            </w:rPr>
            <w:instrText xml:space="preserve"> TOC \o "1-3" \h \z \u </w:instrText>
          </w:r>
          <w:r w:rsidRPr="00903864">
            <w:rPr>
              <w:rFonts w:ascii="Cambria" w:hAnsi="Cambria"/>
            </w:rPr>
            <w:fldChar w:fldCharType="separate"/>
          </w:r>
          <w:hyperlink w:anchor="_Toc153956538" w:history="1">
            <w:r w:rsidR="00C578CE" w:rsidRPr="00FA5994">
              <w:rPr>
                <w:rStyle w:val="Hyperlink"/>
                <w:rFonts w:ascii="Cambria" w:hAnsi="Cambria" w:cstheme="minorHAnsi"/>
                <w:noProof/>
              </w:rPr>
              <w:t>Guidance for conditions – COVID-19 Vaccine Claims Scheme</w:t>
            </w:r>
            <w:r w:rsidR="00C578CE">
              <w:rPr>
                <w:noProof/>
                <w:webHidden/>
              </w:rPr>
              <w:tab/>
            </w:r>
            <w:r w:rsidR="00C578CE">
              <w:rPr>
                <w:noProof/>
                <w:webHidden/>
              </w:rPr>
              <w:fldChar w:fldCharType="begin"/>
            </w:r>
            <w:r w:rsidR="00C578CE">
              <w:rPr>
                <w:noProof/>
                <w:webHidden/>
              </w:rPr>
              <w:instrText xml:space="preserve"> PAGEREF _Toc153956538 \h </w:instrText>
            </w:r>
            <w:r w:rsidR="00C578CE">
              <w:rPr>
                <w:noProof/>
                <w:webHidden/>
              </w:rPr>
            </w:r>
            <w:r w:rsidR="00C578CE">
              <w:rPr>
                <w:noProof/>
                <w:webHidden/>
              </w:rPr>
              <w:fldChar w:fldCharType="separate"/>
            </w:r>
            <w:r w:rsidR="00D10C2A">
              <w:rPr>
                <w:noProof/>
                <w:webHidden/>
              </w:rPr>
              <w:t>1</w:t>
            </w:r>
            <w:r w:rsidR="00C578CE">
              <w:rPr>
                <w:noProof/>
                <w:webHidden/>
              </w:rPr>
              <w:fldChar w:fldCharType="end"/>
            </w:r>
          </w:hyperlink>
        </w:p>
        <w:p w14:paraId="50D21622" w14:textId="592AA29D" w:rsidR="00C578CE" w:rsidRDefault="00D10C2A">
          <w:pPr>
            <w:pStyle w:val="TOC2"/>
            <w:rPr>
              <w:rFonts w:eastAsiaTheme="minorEastAsia" w:cstheme="minorBidi"/>
              <w:noProof/>
              <w:sz w:val="22"/>
              <w:szCs w:val="22"/>
              <w:lang w:eastAsia="en-AU"/>
            </w:rPr>
          </w:pPr>
          <w:hyperlink w:anchor="_Toc153956539" w:history="1">
            <w:r w:rsidR="00C578CE" w:rsidRPr="00FA5994">
              <w:rPr>
                <w:rStyle w:val="Hyperlink"/>
                <w:rFonts w:ascii="Cambria" w:hAnsi="Cambria"/>
                <w:noProof/>
              </w:rPr>
              <w:t>Assessment criteria for claims</w:t>
            </w:r>
            <w:r w:rsidR="00C578CE">
              <w:rPr>
                <w:noProof/>
                <w:webHidden/>
              </w:rPr>
              <w:tab/>
            </w:r>
            <w:r w:rsidR="00C578CE">
              <w:rPr>
                <w:noProof/>
                <w:webHidden/>
              </w:rPr>
              <w:fldChar w:fldCharType="begin"/>
            </w:r>
            <w:r w:rsidR="00C578CE">
              <w:rPr>
                <w:noProof/>
                <w:webHidden/>
              </w:rPr>
              <w:instrText xml:space="preserve"> PAGEREF _Toc153956539 \h </w:instrText>
            </w:r>
            <w:r w:rsidR="00C578CE">
              <w:rPr>
                <w:noProof/>
                <w:webHidden/>
              </w:rPr>
            </w:r>
            <w:r w:rsidR="00C578CE">
              <w:rPr>
                <w:noProof/>
                <w:webHidden/>
              </w:rPr>
              <w:fldChar w:fldCharType="separate"/>
            </w:r>
            <w:r>
              <w:rPr>
                <w:noProof/>
                <w:webHidden/>
              </w:rPr>
              <w:t>4</w:t>
            </w:r>
            <w:r w:rsidR="00C578CE">
              <w:rPr>
                <w:noProof/>
                <w:webHidden/>
              </w:rPr>
              <w:fldChar w:fldCharType="end"/>
            </w:r>
          </w:hyperlink>
        </w:p>
        <w:p w14:paraId="26A7E70D" w14:textId="37709848" w:rsidR="00C578CE" w:rsidRDefault="00D10C2A">
          <w:pPr>
            <w:pStyle w:val="TOC2"/>
            <w:rPr>
              <w:rFonts w:eastAsiaTheme="minorEastAsia" w:cstheme="minorBidi"/>
              <w:noProof/>
              <w:sz w:val="22"/>
              <w:szCs w:val="22"/>
              <w:lang w:eastAsia="en-AU"/>
            </w:rPr>
          </w:pPr>
          <w:hyperlink w:anchor="_Toc153956540" w:history="1">
            <w:r w:rsidR="00C578CE" w:rsidRPr="00FA5994">
              <w:rPr>
                <w:rStyle w:val="Hyperlink"/>
                <w:rFonts w:ascii="Cambria" w:hAnsi="Cambria"/>
                <w:noProof/>
              </w:rPr>
              <w:t>Role of the Reporting Practitioner:</w:t>
            </w:r>
            <w:r w:rsidR="00C578CE">
              <w:rPr>
                <w:noProof/>
                <w:webHidden/>
              </w:rPr>
              <w:tab/>
            </w:r>
            <w:r w:rsidR="00C578CE">
              <w:rPr>
                <w:noProof/>
                <w:webHidden/>
              </w:rPr>
              <w:fldChar w:fldCharType="begin"/>
            </w:r>
            <w:r w:rsidR="00C578CE">
              <w:rPr>
                <w:noProof/>
                <w:webHidden/>
              </w:rPr>
              <w:instrText xml:space="preserve"> PAGEREF _Toc153956540 \h </w:instrText>
            </w:r>
            <w:r w:rsidR="00C578CE">
              <w:rPr>
                <w:noProof/>
                <w:webHidden/>
              </w:rPr>
            </w:r>
            <w:r w:rsidR="00C578CE">
              <w:rPr>
                <w:noProof/>
                <w:webHidden/>
              </w:rPr>
              <w:fldChar w:fldCharType="separate"/>
            </w:r>
            <w:r>
              <w:rPr>
                <w:noProof/>
                <w:webHidden/>
              </w:rPr>
              <w:t>5</w:t>
            </w:r>
            <w:r w:rsidR="00C578CE">
              <w:rPr>
                <w:noProof/>
                <w:webHidden/>
              </w:rPr>
              <w:fldChar w:fldCharType="end"/>
            </w:r>
          </w:hyperlink>
        </w:p>
        <w:p w14:paraId="1257A941" w14:textId="02BA8CE9" w:rsidR="00C578CE" w:rsidRDefault="00D10C2A">
          <w:pPr>
            <w:pStyle w:val="TOC2"/>
            <w:rPr>
              <w:rFonts w:eastAsiaTheme="minorEastAsia" w:cstheme="minorBidi"/>
              <w:noProof/>
              <w:sz w:val="22"/>
              <w:szCs w:val="22"/>
              <w:lang w:eastAsia="en-AU"/>
            </w:rPr>
          </w:pPr>
          <w:hyperlink w:anchor="_Toc153956541" w:history="1">
            <w:r w:rsidR="00C578CE" w:rsidRPr="00FA5994">
              <w:rPr>
                <w:rStyle w:val="Hyperlink"/>
                <w:rFonts w:ascii="Cambria" w:hAnsi="Cambria"/>
                <w:noProof/>
              </w:rPr>
              <w:t>Role of case definitions and causality assessment:</w:t>
            </w:r>
            <w:r w:rsidR="00C578CE">
              <w:rPr>
                <w:noProof/>
                <w:webHidden/>
              </w:rPr>
              <w:tab/>
            </w:r>
            <w:r w:rsidR="00C578CE">
              <w:rPr>
                <w:noProof/>
                <w:webHidden/>
              </w:rPr>
              <w:fldChar w:fldCharType="begin"/>
            </w:r>
            <w:r w:rsidR="00C578CE">
              <w:rPr>
                <w:noProof/>
                <w:webHidden/>
              </w:rPr>
              <w:instrText xml:space="preserve"> PAGEREF _Toc153956541 \h </w:instrText>
            </w:r>
            <w:r w:rsidR="00C578CE">
              <w:rPr>
                <w:noProof/>
                <w:webHidden/>
              </w:rPr>
            </w:r>
            <w:r w:rsidR="00C578CE">
              <w:rPr>
                <w:noProof/>
                <w:webHidden/>
              </w:rPr>
              <w:fldChar w:fldCharType="separate"/>
            </w:r>
            <w:r>
              <w:rPr>
                <w:noProof/>
                <w:webHidden/>
              </w:rPr>
              <w:t>6</w:t>
            </w:r>
            <w:r w:rsidR="00C578CE">
              <w:rPr>
                <w:noProof/>
                <w:webHidden/>
              </w:rPr>
              <w:fldChar w:fldCharType="end"/>
            </w:r>
          </w:hyperlink>
        </w:p>
        <w:p w14:paraId="4804D9AF" w14:textId="5E3E4D97" w:rsidR="00C578CE" w:rsidRDefault="00D10C2A">
          <w:pPr>
            <w:pStyle w:val="TOC2"/>
            <w:rPr>
              <w:rFonts w:eastAsiaTheme="minorEastAsia" w:cstheme="minorBidi"/>
              <w:noProof/>
              <w:sz w:val="22"/>
              <w:szCs w:val="22"/>
              <w:lang w:eastAsia="en-AU"/>
            </w:rPr>
          </w:pPr>
          <w:hyperlink w:anchor="_Toc153956542" w:history="1">
            <w:r w:rsidR="00C578CE" w:rsidRPr="00FA5994">
              <w:rPr>
                <w:rStyle w:val="Hyperlink"/>
                <w:rFonts w:ascii="Cambria" w:hAnsi="Cambria"/>
                <w:noProof/>
              </w:rPr>
              <w:t>Final diagnosis</w:t>
            </w:r>
            <w:r w:rsidR="00C578CE">
              <w:rPr>
                <w:noProof/>
                <w:webHidden/>
              </w:rPr>
              <w:tab/>
            </w:r>
            <w:r w:rsidR="00C578CE">
              <w:rPr>
                <w:noProof/>
                <w:webHidden/>
              </w:rPr>
              <w:fldChar w:fldCharType="begin"/>
            </w:r>
            <w:r w:rsidR="00C578CE">
              <w:rPr>
                <w:noProof/>
                <w:webHidden/>
              </w:rPr>
              <w:instrText xml:space="preserve"> PAGEREF _Toc153956542 \h </w:instrText>
            </w:r>
            <w:r w:rsidR="00C578CE">
              <w:rPr>
                <w:noProof/>
                <w:webHidden/>
              </w:rPr>
            </w:r>
            <w:r w:rsidR="00C578CE">
              <w:rPr>
                <w:noProof/>
                <w:webHidden/>
              </w:rPr>
              <w:fldChar w:fldCharType="separate"/>
            </w:r>
            <w:r>
              <w:rPr>
                <w:noProof/>
                <w:webHidden/>
              </w:rPr>
              <w:t>6</w:t>
            </w:r>
            <w:r w:rsidR="00C578CE">
              <w:rPr>
                <w:noProof/>
                <w:webHidden/>
              </w:rPr>
              <w:fldChar w:fldCharType="end"/>
            </w:r>
          </w:hyperlink>
        </w:p>
        <w:p w14:paraId="7D1FFBD1" w14:textId="2E880734" w:rsidR="00C578CE" w:rsidRDefault="00D10C2A">
          <w:pPr>
            <w:pStyle w:val="TOC2"/>
            <w:rPr>
              <w:rFonts w:eastAsiaTheme="minorEastAsia" w:cstheme="minorBidi"/>
              <w:noProof/>
              <w:sz w:val="22"/>
              <w:szCs w:val="22"/>
              <w:lang w:eastAsia="en-AU"/>
            </w:rPr>
          </w:pPr>
          <w:hyperlink w:anchor="_Toc153956543" w:history="1">
            <w:r w:rsidR="00C578CE" w:rsidRPr="00FA5994">
              <w:rPr>
                <w:rStyle w:val="Hyperlink"/>
                <w:rFonts w:ascii="Cambria" w:hAnsi="Cambria"/>
                <w:noProof/>
              </w:rPr>
              <w:t>Claimable vaccines and clinical conditions:</w:t>
            </w:r>
            <w:r w:rsidR="00C578CE">
              <w:rPr>
                <w:noProof/>
                <w:webHidden/>
              </w:rPr>
              <w:tab/>
            </w:r>
            <w:r w:rsidR="00C578CE">
              <w:rPr>
                <w:noProof/>
                <w:webHidden/>
              </w:rPr>
              <w:fldChar w:fldCharType="begin"/>
            </w:r>
            <w:r w:rsidR="00C578CE">
              <w:rPr>
                <w:noProof/>
                <w:webHidden/>
              </w:rPr>
              <w:instrText xml:space="preserve"> PAGEREF _Toc153956543 \h </w:instrText>
            </w:r>
            <w:r w:rsidR="00C578CE">
              <w:rPr>
                <w:noProof/>
                <w:webHidden/>
              </w:rPr>
            </w:r>
            <w:r w:rsidR="00C578CE">
              <w:rPr>
                <w:noProof/>
                <w:webHidden/>
              </w:rPr>
              <w:fldChar w:fldCharType="separate"/>
            </w:r>
            <w:r>
              <w:rPr>
                <w:noProof/>
                <w:webHidden/>
              </w:rPr>
              <w:t>7</w:t>
            </w:r>
            <w:r w:rsidR="00C578CE">
              <w:rPr>
                <w:noProof/>
                <w:webHidden/>
              </w:rPr>
              <w:fldChar w:fldCharType="end"/>
            </w:r>
          </w:hyperlink>
        </w:p>
        <w:p w14:paraId="4F0C7AAF" w14:textId="30BC8D53" w:rsidR="00C578CE" w:rsidRDefault="00D10C2A">
          <w:pPr>
            <w:pStyle w:val="TOC2"/>
            <w:rPr>
              <w:rFonts w:eastAsiaTheme="minorEastAsia" w:cstheme="minorBidi"/>
              <w:noProof/>
              <w:sz w:val="22"/>
              <w:szCs w:val="22"/>
              <w:lang w:eastAsia="en-AU"/>
            </w:rPr>
          </w:pPr>
          <w:hyperlink w:anchor="_Toc153956544" w:history="1">
            <w:r w:rsidR="00C578CE" w:rsidRPr="00FA5994">
              <w:rPr>
                <w:rStyle w:val="Hyperlink"/>
                <w:rFonts w:ascii="Cambria" w:hAnsi="Cambria"/>
                <w:noProof/>
              </w:rPr>
              <w:t>Types of evidence that should be considered by the Reporting Practitioner when making a statement</w:t>
            </w:r>
            <w:r w:rsidR="00C578CE">
              <w:rPr>
                <w:noProof/>
                <w:webHidden/>
              </w:rPr>
              <w:tab/>
            </w:r>
            <w:r w:rsidR="00C578CE">
              <w:rPr>
                <w:noProof/>
                <w:webHidden/>
              </w:rPr>
              <w:fldChar w:fldCharType="begin"/>
            </w:r>
            <w:r w:rsidR="00C578CE">
              <w:rPr>
                <w:noProof/>
                <w:webHidden/>
              </w:rPr>
              <w:instrText xml:space="preserve"> PAGEREF _Toc153956544 \h </w:instrText>
            </w:r>
            <w:r w:rsidR="00C578CE">
              <w:rPr>
                <w:noProof/>
                <w:webHidden/>
              </w:rPr>
            </w:r>
            <w:r w:rsidR="00C578CE">
              <w:rPr>
                <w:noProof/>
                <w:webHidden/>
              </w:rPr>
              <w:fldChar w:fldCharType="separate"/>
            </w:r>
            <w:r>
              <w:rPr>
                <w:noProof/>
                <w:webHidden/>
              </w:rPr>
              <w:t>8</w:t>
            </w:r>
            <w:r w:rsidR="00C578CE">
              <w:rPr>
                <w:noProof/>
                <w:webHidden/>
              </w:rPr>
              <w:fldChar w:fldCharType="end"/>
            </w:r>
          </w:hyperlink>
        </w:p>
        <w:p w14:paraId="2CCB6BDC" w14:textId="5B03ADFE" w:rsidR="00C578CE" w:rsidRDefault="00D10C2A">
          <w:pPr>
            <w:pStyle w:val="TOC2"/>
            <w:tabs>
              <w:tab w:val="left" w:pos="660"/>
            </w:tabs>
            <w:rPr>
              <w:rFonts w:eastAsiaTheme="minorEastAsia" w:cstheme="minorBidi"/>
              <w:noProof/>
              <w:sz w:val="22"/>
              <w:szCs w:val="22"/>
              <w:lang w:eastAsia="en-AU"/>
            </w:rPr>
          </w:pPr>
          <w:hyperlink w:anchor="_Toc153956545" w:history="1">
            <w:r w:rsidR="00C578CE" w:rsidRPr="00FA5994">
              <w:rPr>
                <w:rStyle w:val="Hyperlink"/>
                <w:rFonts w:ascii="Cambria" w:hAnsi="Cambria"/>
                <w:noProof/>
              </w:rPr>
              <w:t>I.</w:t>
            </w:r>
            <w:r w:rsidR="00C578CE">
              <w:rPr>
                <w:rFonts w:eastAsiaTheme="minorEastAsia" w:cstheme="minorBidi"/>
                <w:noProof/>
                <w:sz w:val="22"/>
                <w:szCs w:val="22"/>
                <w:lang w:eastAsia="en-AU"/>
              </w:rPr>
              <w:tab/>
            </w:r>
            <w:r w:rsidR="00C578CE" w:rsidRPr="00FA5994">
              <w:rPr>
                <w:rStyle w:val="Hyperlink"/>
                <w:rFonts w:ascii="Cambria" w:hAnsi="Cambria"/>
                <w:noProof/>
              </w:rPr>
              <w:t>Anaphylactic reaction</w:t>
            </w:r>
            <w:r w:rsidR="00C578CE">
              <w:rPr>
                <w:noProof/>
                <w:webHidden/>
              </w:rPr>
              <w:tab/>
            </w:r>
            <w:r w:rsidR="00C578CE">
              <w:rPr>
                <w:noProof/>
                <w:webHidden/>
              </w:rPr>
              <w:fldChar w:fldCharType="begin"/>
            </w:r>
            <w:r w:rsidR="00C578CE">
              <w:rPr>
                <w:noProof/>
                <w:webHidden/>
              </w:rPr>
              <w:instrText xml:space="preserve"> PAGEREF _Toc153956545 \h </w:instrText>
            </w:r>
            <w:r w:rsidR="00C578CE">
              <w:rPr>
                <w:noProof/>
                <w:webHidden/>
              </w:rPr>
            </w:r>
            <w:r w:rsidR="00C578CE">
              <w:rPr>
                <w:noProof/>
                <w:webHidden/>
              </w:rPr>
              <w:fldChar w:fldCharType="separate"/>
            </w:r>
            <w:r>
              <w:rPr>
                <w:noProof/>
                <w:webHidden/>
              </w:rPr>
              <w:t>8</w:t>
            </w:r>
            <w:r w:rsidR="00C578CE">
              <w:rPr>
                <w:noProof/>
                <w:webHidden/>
              </w:rPr>
              <w:fldChar w:fldCharType="end"/>
            </w:r>
          </w:hyperlink>
        </w:p>
        <w:p w14:paraId="12F59A10" w14:textId="4E20FC17" w:rsidR="00C578CE" w:rsidRDefault="00D10C2A">
          <w:pPr>
            <w:pStyle w:val="TOC3"/>
            <w:tabs>
              <w:tab w:val="right" w:leader="dot" w:pos="9016"/>
            </w:tabs>
            <w:rPr>
              <w:rFonts w:eastAsiaTheme="minorEastAsia" w:cstheme="minorBidi"/>
              <w:noProof/>
              <w:sz w:val="22"/>
              <w:szCs w:val="22"/>
              <w:lang w:eastAsia="en-AU"/>
            </w:rPr>
          </w:pPr>
          <w:hyperlink w:anchor="_Toc153956546" w:history="1">
            <w:r w:rsidR="00C578CE" w:rsidRPr="00FA5994">
              <w:rPr>
                <w:rStyle w:val="Hyperlink"/>
                <w:rFonts w:ascii="Cambria" w:hAnsi="Cambria"/>
                <w:noProof/>
              </w:rPr>
              <w:t>Resources for Anaphylaxis</w:t>
            </w:r>
            <w:r w:rsidR="00C578CE">
              <w:rPr>
                <w:noProof/>
                <w:webHidden/>
              </w:rPr>
              <w:tab/>
            </w:r>
            <w:r w:rsidR="00C578CE">
              <w:rPr>
                <w:noProof/>
                <w:webHidden/>
              </w:rPr>
              <w:fldChar w:fldCharType="begin"/>
            </w:r>
            <w:r w:rsidR="00C578CE">
              <w:rPr>
                <w:noProof/>
                <w:webHidden/>
              </w:rPr>
              <w:instrText xml:space="preserve"> PAGEREF _Toc153956546 \h </w:instrText>
            </w:r>
            <w:r w:rsidR="00C578CE">
              <w:rPr>
                <w:noProof/>
                <w:webHidden/>
              </w:rPr>
            </w:r>
            <w:r w:rsidR="00C578CE">
              <w:rPr>
                <w:noProof/>
                <w:webHidden/>
              </w:rPr>
              <w:fldChar w:fldCharType="separate"/>
            </w:r>
            <w:r>
              <w:rPr>
                <w:noProof/>
                <w:webHidden/>
              </w:rPr>
              <w:t>9</w:t>
            </w:r>
            <w:r w:rsidR="00C578CE">
              <w:rPr>
                <w:noProof/>
                <w:webHidden/>
              </w:rPr>
              <w:fldChar w:fldCharType="end"/>
            </w:r>
          </w:hyperlink>
        </w:p>
        <w:p w14:paraId="732401B2" w14:textId="12229D5D" w:rsidR="00C578CE" w:rsidRDefault="00D10C2A">
          <w:pPr>
            <w:pStyle w:val="TOC3"/>
            <w:tabs>
              <w:tab w:val="right" w:leader="dot" w:pos="9016"/>
            </w:tabs>
            <w:rPr>
              <w:rFonts w:eastAsiaTheme="minorEastAsia" w:cstheme="minorBidi"/>
              <w:noProof/>
              <w:sz w:val="22"/>
              <w:szCs w:val="22"/>
              <w:lang w:eastAsia="en-AU"/>
            </w:rPr>
          </w:pPr>
          <w:hyperlink w:anchor="_Toc153956547" w:history="1">
            <w:r w:rsidR="00C578CE" w:rsidRPr="00FA5994">
              <w:rPr>
                <w:rStyle w:val="Hyperlink"/>
                <w:rFonts w:ascii="Cambria" w:hAnsi="Cambria"/>
                <w:noProof/>
              </w:rPr>
              <w:t>Product Information</w:t>
            </w:r>
            <w:r w:rsidR="00C578CE">
              <w:rPr>
                <w:noProof/>
                <w:webHidden/>
              </w:rPr>
              <w:tab/>
            </w:r>
            <w:r w:rsidR="00C578CE">
              <w:rPr>
                <w:noProof/>
                <w:webHidden/>
              </w:rPr>
              <w:fldChar w:fldCharType="begin"/>
            </w:r>
            <w:r w:rsidR="00C578CE">
              <w:rPr>
                <w:noProof/>
                <w:webHidden/>
              </w:rPr>
              <w:instrText xml:space="preserve"> PAGEREF _Toc153956547 \h </w:instrText>
            </w:r>
            <w:r w:rsidR="00C578CE">
              <w:rPr>
                <w:noProof/>
                <w:webHidden/>
              </w:rPr>
            </w:r>
            <w:r w:rsidR="00C578CE">
              <w:rPr>
                <w:noProof/>
                <w:webHidden/>
              </w:rPr>
              <w:fldChar w:fldCharType="separate"/>
            </w:r>
            <w:r>
              <w:rPr>
                <w:noProof/>
                <w:webHidden/>
              </w:rPr>
              <w:t>9</w:t>
            </w:r>
            <w:r w:rsidR="00C578CE">
              <w:rPr>
                <w:noProof/>
                <w:webHidden/>
              </w:rPr>
              <w:fldChar w:fldCharType="end"/>
            </w:r>
          </w:hyperlink>
        </w:p>
        <w:p w14:paraId="4761F81C" w14:textId="57B2E500" w:rsidR="00C578CE" w:rsidRDefault="00D10C2A">
          <w:pPr>
            <w:pStyle w:val="TOC2"/>
            <w:tabs>
              <w:tab w:val="left" w:pos="880"/>
            </w:tabs>
            <w:rPr>
              <w:rFonts w:eastAsiaTheme="minorEastAsia" w:cstheme="minorBidi"/>
              <w:noProof/>
              <w:sz w:val="22"/>
              <w:szCs w:val="22"/>
              <w:lang w:eastAsia="en-AU"/>
            </w:rPr>
          </w:pPr>
          <w:hyperlink w:anchor="_Toc153956548" w:history="1">
            <w:r w:rsidR="00C578CE" w:rsidRPr="00FA5994">
              <w:rPr>
                <w:rStyle w:val="Hyperlink"/>
                <w:rFonts w:ascii="Cambria" w:hAnsi="Cambria"/>
                <w:noProof/>
              </w:rPr>
              <w:t>II.</w:t>
            </w:r>
            <w:r w:rsidR="00C578CE">
              <w:rPr>
                <w:rFonts w:eastAsiaTheme="minorEastAsia" w:cstheme="minorBidi"/>
                <w:noProof/>
                <w:sz w:val="22"/>
                <w:szCs w:val="22"/>
                <w:lang w:eastAsia="en-AU"/>
              </w:rPr>
              <w:tab/>
            </w:r>
            <w:r w:rsidR="00C578CE" w:rsidRPr="00FA5994">
              <w:rPr>
                <w:rStyle w:val="Hyperlink"/>
                <w:rFonts w:ascii="Cambria" w:hAnsi="Cambria"/>
                <w:noProof/>
              </w:rPr>
              <w:t>Thrombosis with Thrombocytopenia Syndrome (TTS)</w:t>
            </w:r>
            <w:r w:rsidR="00C578CE">
              <w:rPr>
                <w:noProof/>
                <w:webHidden/>
              </w:rPr>
              <w:tab/>
            </w:r>
            <w:r w:rsidR="00C578CE">
              <w:rPr>
                <w:noProof/>
                <w:webHidden/>
              </w:rPr>
              <w:fldChar w:fldCharType="begin"/>
            </w:r>
            <w:r w:rsidR="00C578CE">
              <w:rPr>
                <w:noProof/>
                <w:webHidden/>
              </w:rPr>
              <w:instrText xml:space="preserve"> PAGEREF _Toc153956548 \h </w:instrText>
            </w:r>
            <w:r w:rsidR="00C578CE">
              <w:rPr>
                <w:noProof/>
                <w:webHidden/>
              </w:rPr>
            </w:r>
            <w:r w:rsidR="00C578CE">
              <w:rPr>
                <w:noProof/>
                <w:webHidden/>
              </w:rPr>
              <w:fldChar w:fldCharType="separate"/>
            </w:r>
            <w:r>
              <w:rPr>
                <w:noProof/>
                <w:webHidden/>
              </w:rPr>
              <w:t>9</w:t>
            </w:r>
            <w:r w:rsidR="00C578CE">
              <w:rPr>
                <w:noProof/>
                <w:webHidden/>
              </w:rPr>
              <w:fldChar w:fldCharType="end"/>
            </w:r>
          </w:hyperlink>
        </w:p>
        <w:p w14:paraId="14781A20" w14:textId="21B6FEB8" w:rsidR="00C578CE" w:rsidRDefault="00D10C2A">
          <w:pPr>
            <w:pStyle w:val="TOC3"/>
            <w:tabs>
              <w:tab w:val="right" w:leader="dot" w:pos="9016"/>
            </w:tabs>
            <w:rPr>
              <w:rFonts w:eastAsiaTheme="minorEastAsia" w:cstheme="minorBidi"/>
              <w:noProof/>
              <w:sz w:val="22"/>
              <w:szCs w:val="22"/>
              <w:lang w:eastAsia="en-AU"/>
            </w:rPr>
          </w:pPr>
          <w:hyperlink w:anchor="_Toc153956549" w:history="1">
            <w:r w:rsidR="00C578CE" w:rsidRPr="00FA5994">
              <w:rPr>
                <w:rStyle w:val="Hyperlink"/>
                <w:rFonts w:ascii="Cambria" w:hAnsi="Cambria"/>
                <w:noProof/>
              </w:rPr>
              <w:t>Resources for TTS</w:t>
            </w:r>
            <w:r w:rsidR="00C578CE">
              <w:rPr>
                <w:noProof/>
                <w:webHidden/>
              </w:rPr>
              <w:tab/>
            </w:r>
            <w:r w:rsidR="00C578CE">
              <w:rPr>
                <w:noProof/>
                <w:webHidden/>
              </w:rPr>
              <w:fldChar w:fldCharType="begin"/>
            </w:r>
            <w:r w:rsidR="00C578CE">
              <w:rPr>
                <w:noProof/>
                <w:webHidden/>
              </w:rPr>
              <w:instrText xml:space="preserve"> PAGEREF _Toc153956549 \h </w:instrText>
            </w:r>
            <w:r w:rsidR="00C578CE">
              <w:rPr>
                <w:noProof/>
                <w:webHidden/>
              </w:rPr>
            </w:r>
            <w:r w:rsidR="00C578CE">
              <w:rPr>
                <w:noProof/>
                <w:webHidden/>
              </w:rPr>
              <w:fldChar w:fldCharType="separate"/>
            </w:r>
            <w:r>
              <w:rPr>
                <w:noProof/>
                <w:webHidden/>
              </w:rPr>
              <w:t>10</w:t>
            </w:r>
            <w:r w:rsidR="00C578CE">
              <w:rPr>
                <w:noProof/>
                <w:webHidden/>
              </w:rPr>
              <w:fldChar w:fldCharType="end"/>
            </w:r>
          </w:hyperlink>
        </w:p>
        <w:p w14:paraId="5E8EE9D5" w14:textId="081E0E48" w:rsidR="00C578CE" w:rsidRDefault="00D10C2A">
          <w:pPr>
            <w:pStyle w:val="TOC3"/>
            <w:tabs>
              <w:tab w:val="right" w:leader="dot" w:pos="9016"/>
            </w:tabs>
            <w:rPr>
              <w:rFonts w:eastAsiaTheme="minorEastAsia" w:cstheme="minorBidi"/>
              <w:noProof/>
              <w:sz w:val="22"/>
              <w:szCs w:val="22"/>
              <w:lang w:eastAsia="en-AU"/>
            </w:rPr>
          </w:pPr>
          <w:hyperlink w:anchor="_Toc153956550" w:history="1">
            <w:r w:rsidR="00C578CE" w:rsidRPr="00FA5994">
              <w:rPr>
                <w:rStyle w:val="Hyperlink"/>
                <w:rFonts w:ascii="Cambria" w:hAnsi="Cambria"/>
                <w:noProof/>
              </w:rPr>
              <w:t>Product Information</w:t>
            </w:r>
            <w:r w:rsidR="00C578CE">
              <w:rPr>
                <w:noProof/>
                <w:webHidden/>
              </w:rPr>
              <w:tab/>
            </w:r>
            <w:r w:rsidR="00C578CE">
              <w:rPr>
                <w:noProof/>
                <w:webHidden/>
              </w:rPr>
              <w:fldChar w:fldCharType="begin"/>
            </w:r>
            <w:r w:rsidR="00C578CE">
              <w:rPr>
                <w:noProof/>
                <w:webHidden/>
              </w:rPr>
              <w:instrText xml:space="preserve"> PAGEREF _Toc153956550 \h </w:instrText>
            </w:r>
            <w:r w:rsidR="00C578CE">
              <w:rPr>
                <w:noProof/>
                <w:webHidden/>
              </w:rPr>
            </w:r>
            <w:r w:rsidR="00C578CE">
              <w:rPr>
                <w:noProof/>
                <w:webHidden/>
              </w:rPr>
              <w:fldChar w:fldCharType="separate"/>
            </w:r>
            <w:r>
              <w:rPr>
                <w:noProof/>
                <w:webHidden/>
              </w:rPr>
              <w:t>11</w:t>
            </w:r>
            <w:r w:rsidR="00C578CE">
              <w:rPr>
                <w:noProof/>
                <w:webHidden/>
              </w:rPr>
              <w:fldChar w:fldCharType="end"/>
            </w:r>
          </w:hyperlink>
        </w:p>
        <w:p w14:paraId="2BAD70AA" w14:textId="733E4798" w:rsidR="00C578CE" w:rsidRDefault="00D10C2A">
          <w:pPr>
            <w:pStyle w:val="TOC2"/>
            <w:tabs>
              <w:tab w:val="left" w:pos="880"/>
            </w:tabs>
            <w:rPr>
              <w:rFonts w:eastAsiaTheme="minorEastAsia" w:cstheme="minorBidi"/>
              <w:noProof/>
              <w:sz w:val="22"/>
              <w:szCs w:val="22"/>
              <w:lang w:eastAsia="en-AU"/>
            </w:rPr>
          </w:pPr>
          <w:hyperlink w:anchor="_Toc153956551" w:history="1">
            <w:r w:rsidR="00C578CE" w:rsidRPr="00FA5994">
              <w:rPr>
                <w:rStyle w:val="Hyperlink"/>
                <w:rFonts w:ascii="Cambria" w:hAnsi="Cambria"/>
                <w:noProof/>
              </w:rPr>
              <w:t>III.</w:t>
            </w:r>
            <w:r w:rsidR="00C578CE">
              <w:rPr>
                <w:rFonts w:eastAsiaTheme="minorEastAsia" w:cstheme="minorBidi"/>
                <w:noProof/>
                <w:sz w:val="22"/>
                <w:szCs w:val="22"/>
                <w:lang w:eastAsia="en-AU"/>
              </w:rPr>
              <w:tab/>
            </w:r>
            <w:r w:rsidR="00C578CE" w:rsidRPr="00FA5994">
              <w:rPr>
                <w:rStyle w:val="Hyperlink"/>
                <w:rFonts w:ascii="Cambria" w:hAnsi="Cambria"/>
                <w:noProof/>
              </w:rPr>
              <w:t>Myocarditis</w:t>
            </w:r>
            <w:r w:rsidR="00C578CE">
              <w:rPr>
                <w:noProof/>
                <w:webHidden/>
              </w:rPr>
              <w:tab/>
            </w:r>
            <w:r w:rsidR="00C578CE">
              <w:rPr>
                <w:noProof/>
                <w:webHidden/>
              </w:rPr>
              <w:fldChar w:fldCharType="begin"/>
            </w:r>
            <w:r w:rsidR="00C578CE">
              <w:rPr>
                <w:noProof/>
                <w:webHidden/>
              </w:rPr>
              <w:instrText xml:space="preserve"> PAGEREF _Toc153956551 \h </w:instrText>
            </w:r>
            <w:r w:rsidR="00C578CE">
              <w:rPr>
                <w:noProof/>
                <w:webHidden/>
              </w:rPr>
            </w:r>
            <w:r w:rsidR="00C578CE">
              <w:rPr>
                <w:noProof/>
                <w:webHidden/>
              </w:rPr>
              <w:fldChar w:fldCharType="separate"/>
            </w:r>
            <w:r>
              <w:rPr>
                <w:noProof/>
                <w:webHidden/>
              </w:rPr>
              <w:t>12</w:t>
            </w:r>
            <w:r w:rsidR="00C578CE">
              <w:rPr>
                <w:noProof/>
                <w:webHidden/>
              </w:rPr>
              <w:fldChar w:fldCharType="end"/>
            </w:r>
          </w:hyperlink>
        </w:p>
        <w:p w14:paraId="37C7ECE5" w14:textId="36A0A36D" w:rsidR="00C578CE" w:rsidRDefault="00D10C2A">
          <w:pPr>
            <w:pStyle w:val="TOC3"/>
            <w:tabs>
              <w:tab w:val="right" w:leader="dot" w:pos="9016"/>
            </w:tabs>
            <w:rPr>
              <w:rFonts w:eastAsiaTheme="minorEastAsia" w:cstheme="minorBidi"/>
              <w:noProof/>
              <w:sz w:val="22"/>
              <w:szCs w:val="22"/>
              <w:lang w:eastAsia="en-AU"/>
            </w:rPr>
          </w:pPr>
          <w:hyperlink w:anchor="_Toc153956552" w:history="1">
            <w:r w:rsidR="00C578CE" w:rsidRPr="00FA5994">
              <w:rPr>
                <w:rStyle w:val="Hyperlink"/>
                <w:rFonts w:ascii="Cambria" w:hAnsi="Cambria"/>
                <w:noProof/>
              </w:rPr>
              <w:t>Resources for Myocarditis</w:t>
            </w:r>
            <w:r w:rsidR="00C578CE">
              <w:rPr>
                <w:noProof/>
                <w:webHidden/>
              </w:rPr>
              <w:tab/>
            </w:r>
            <w:r w:rsidR="00C578CE">
              <w:rPr>
                <w:noProof/>
                <w:webHidden/>
              </w:rPr>
              <w:fldChar w:fldCharType="begin"/>
            </w:r>
            <w:r w:rsidR="00C578CE">
              <w:rPr>
                <w:noProof/>
                <w:webHidden/>
              </w:rPr>
              <w:instrText xml:space="preserve"> PAGEREF _Toc153956552 \h </w:instrText>
            </w:r>
            <w:r w:rsidR="00C578CE">
              <w:rPr>
                <w:noProof/>
                <w:webHidden/>
              </w:rPr>
            </w:r>
            <w:r w:rsidR="00C578CE">
              <w:rPr>
                <w:noProof/>
                <w:webHidden/>
              </w:rPr>
              <w:fldChar w:fldCharType="separate"/>
            </w:r>
            <w:r>
              <w:rPr>
                <w:noProof/>
                <w:webHidden/>
              </w:rPr>
              <w:t>12</w:t>
            </w:r>
            <w:r w:rsidR="00C578CE">
              <w:rPr>
                <w:noProof/>
                <w:webHidden/>
              </w:rPr>
              <w:fldChar w:fldCharType="end"/>
            </w:r>
          </w:hyperlink>
        </w:p>
        <w:p w14:paraId="0BD7DD71" w14:textId="633CC774" w:rsidR="00C578CE" w:rsidRDefault="00D10C2A">
          <w:pPr>
            <w:pStyle w:val="TOC3"/>
            <w:tabs>
              <w:tab w:val="right" w:leader="dot" w:pos="9016"/>
            </w:tabs>
            <w:rPr>
              <w:rFonts w:eastAsiaTheme="minorEastAsia" w:cstheme="minorBidi"/>
              <w:noProof/>
              <w:sz w:val="22"/>
              <w:szCs w:val="22"/>
              <w:lang w:eastAsia="en-AU"/>
            </w:rPr>
          </w:pPr>
          <w:hyperlink w:anchor="_Toc153956553" w:history="1">
            <w:r w:rsidR="00C578CE" w:rsidRPr="00FA5994">
              <w:rPr>
                <w:rStyle w:val="Hyperlink"/>
                <w:rFonts w:ascii="Cambria" w:hAnsi="Cambria"/>
                <w:noProof/>
              </w:rPr>
              <w:t>Product Information</w:t>
            </w:r>
            <w:r w:rsidR="00C578CE">
              <w:rPr>
                <w:noProof/>
                <w:webHidden/>
              </w:rPr>
              <w:tab/>
            </w:r>
            <w:r w:rsidR="00C578CE">
              <w:rPr>
                <w:noProof/>
                <w:webHidden/>
              </w:rPr>
              <w:fldChar w:fldCharType="begin"/>
            </w:r>
            <w:r w:rsidR="00C578CE">
              <w:rPr>
                <w:noProof/>
                <w:webHidden/>
              </w:rPr>
              <w:instrText xml:space="preserve"> PAGEREF _Toc153956553 \h </w:instrText>
            </w:r>
            <w:r w:rsidR="00C578CE">
              <w:rPr>
                <w:noProof/>
                <w:webHidden/>
              </w:rPr>
            </w:r>
            <w:r w:rsidR="00C578CE">
              <w:rPr>
                <w:noProof/>
                <w:webHidden/>
              </w:rPr>
              <w:fldChar w:fldCharType="separate"/>
            </w:r>
            <w:r>
              <w:rPr>
                <w:noProof/>
                <w:webHidden/>
              </w:rPr>
              <w:t>13</w:t>
            </w:r>
            <w:r w:rsidR="00C578CE">
              <w:rPr>
                <w:noProof/>
                <w:webHidden/>
              </w:rPr>
              <w:fldChar w:fldCharType="end"/>
            </w:r>
          </w:hyperlink>
        </w:p>
        <w:p w14:paraId="73570021" w14:textId="35EEED35" w:rsidR="00C578CE" w:rsidRDefault="00D10C2A">
          <w:pPr>
            <w:pStyle w:val="TOC2"/>
            <w:tabs>
              <w:tab w:val="left" w:pos="880"/>
            </w:tabs>
            <w:rPr>
              <w:rFonts w:eastAsiaTheme="minorEastAsia" w:cstheme="minorBidi"/>
              <w:noProof/>
              <w:sz w:val="22"/>
              <w:szCs w:val="22"/>
              <w:lang w:eastAsia="en-AU"/>
            </w:rPr>
          </w:pPr>
          <w:hyperlink w:anchor="_Toc153956554" w:history="1">
            <w:r w:rsidR="00C578CE" w:rsidRPr="00FA5994">
              <w:rPr>
                <w:rStyle w:val="Hyperlink"/>
                <w:rFonts w:ascii="Cambria" w:hAnsi="Cambria"/>
                <w:noProof/>
              </w:rPr>
              <w:t>IV.</w:t>
            </w:r>
            <w:r w:rsidR="00C578CE">
              <w:rPr>
                <w:rFonts w:eastAsiaTheme="minorEastAsia" w:cstheme="minorBidi"/>
                <w:noProof/>
                <w:sz w:val="22"/>
                <w:szCs w:val="22"/>
                <w:lang w:eastAsia="en-AU"/>
              </w:rPr>
              <w:tab/>
            </w:r>
            <w:r w:rsidR="00C578CE" w:rsidRPr="00FA5994">
              <w:rPr>
                <w:rStyle w:val="Hyperlink"/>
                <w:rFonts w:ascii="Cambria" w:hAnsi="Cambria"/>
                <w:noProof/>
              </w:rPr>
              <w:t>Pericarditis</w:t>
            </w:r>
            <w:r w:rsidR="00C578CE">
              <w:rPr>
                <w:noProof/>
                <w:webHidden/>
              </w:rPr>
              <w:tab/>
            </w:r>
            <w:r w:rsidR="00C578CE">
              <w:rPr>
                <w:noProof/>
                <w:webHidden/>
              </w:rPr>
              <w:fldChar w:fldCharType="begin"/>
            </w:r>
            <w:r w:rsidR="00C578CE">
              <w:rPr>
                <w:noProof/>
                <w:webHidden/>
              </w:rPr>
              <w:instrText xml:space="preserve"> PAGEREF _Toc153956554 \h </w:instrText>
            </w:r>
            <w:r w:rsidR="00C578CE">
              <w:rPr>
                <w:noProof/>
                <w:webHidden/>
              </w:rPr>
            </w:r>
            <w:r w:rsidR="00C578CE">
              <w:rPr>
                <w:noProof/>
                <w:webHidden/>
              </w:rPr>
              <w:fldChar w:fldCharType="separate"/>
            </w:r>
            <w:r>
              <w:rPr>
                <w:noProof/>
                <w:webHidden/>
              </w:rPr>
              <w:t>13</w:t>
            </w:r>
            <w:r w:rsidR="00C578CE">
              <w:rPr>
                <w:noProof/>
                <w:webHidden/>
              </w:rPr>
              <w:fldChar w:fldCharType="end"/>
            </w:r>
          </w:hyperlink>
        </w:p>
        <w:p w14:paraId="6BACE826" w14:textId="1842DF0A" w:rsidR="00C578CE" w:rsidRDefault="00D10C2A">
          <w:pPr>
            <w:pStyle w:val="TOC3"/>
            <w:tabs>
              <w:tab w:val="right" w:leader="dot" w:pos="9016"/>
            </w:tabs>
            <w:rPr>
              <w:rFonts w:eastAsiaTheme="minorEastAsia" w:cstheme="minorBidi"/>
              <w:noProof/>
              <w:sz w:val="22"/>
              <w:szCs w:val="22"/>
              <w:lang w:eastAsia="en-AU"/>
            </w:rPr>
          </w:pPr>
          <w:hyperlink w:anchor="_Toc153956555" w:history="1">
            <w:r w:rsidR="00C578CE" w:rsidRPr="00FA5994">
              <w:rPr>
                <w:rStyle w:val="Hyperlink"/>
                <w:rFonts w:ascii="Cambria" w:hAnsi="Cambria"/>
                <w:noProof/>
              </w:rPr>
              <w:t>Resources for Pericarditis</w:t>
            </w:r>
            <w:r w:rsidR="00C578CE">
              <w:rPr>
                <w:noProof/>
                <w:webHidden/>
              </w:rPr>
              <w:tab/>
            </w:r>
            <w:r w:rsidR="00C578CE">
              <w:rPr>
                <w:noProof/>
                <w:webHidden/>
              </w:rPr>
              <w:fldChar w:fldCharType="begin"/>
            </w:r>
            <w:r w:rsidR="00C578CE">
              <w:rPr>
                <w:noProof/>
                <w:webHidden/>
              </w:rPr>
              <w:instrText xml:space="preserve"> PAGEREF _Toc153956555 \h </w:instrText>
            </w:r>
            <w:r w:rsidR="00C578CE">
              <w:rPr>
                <w:noProof/>
                <w:webHidden/>
              </w:rPr>
            </w:r>
            <w:r w:rsidR="00C578CE">
              <w:rPr>
                <w:noProof/>
                <w:webHidden/>
              </w:rPr>
              <w:fldChar w:fldCharType="separate"/>
            </w:r>
            <w:r>
              <w:rPr>
                <w:noProof/>
                <w:webHidden/>
              </w:rPr>
              <w:t>14</w:t>
            </w:r>
            <w:r w:rsidR="00C578CE">
              <w:rPr>
                <w:noProof/>
                <w:webHidden/>
              </w:rPr>
              <w:fldChar w:fldCharType="end"/>
            </w:r>
          </w:hyperlink>
        </w:p>
        <w:p w14:paraId="6352E4E0" w14:textId="59F4DF0E" w:rsidR="00C578CE" w:rsidRDefault="00D10C2A">
          <w:pPr>
            <w:pStyle w:val="TOC3"/>
            <w:tabs>
              <w:tab w:val="right" w:leader="dot" w:pos="9016"/>
            </w:tabs>
            <w:rPr>
              <w:rFonts w:eastAsiaTheme="minorEastAsia" w:cstheme="minorBidi"/>
              <w:noProof/>
              <w:sz w:val="22"/>
              <w:szCs w:val="22"/>
              <w:lang w:eastAsia="en-AU"/>
            </w:rPr>
          </w:pPr>
          <w:hyperlink w:anchor="_Toc153956556" w:history="1">
            <w:r w:rsidR="00C578CE" w:rsidRPr="00FA5994">
              <w:rPr>
                <w:rStyle w:val="Hyperlink"/>
                <w:rFonts w:ascii="Cambria" w:hAnsi="Cambria"/>
                <w:noProof/>
              </w:rPr>
              <w:t>Product Information</w:t>
            </w:r>
            <w:r w:rsidR="00C578CE">
              <w:rPr>
                <w:noProof/>
                <w:webHidden/>
              </w:rPr>
              <w:tab/>
            </w:r>
            <w:r w:rsidR="00C578CE">
              <w:rPr>
                <w:noProof/>
                <w:webHidden/>
              </w:rPr>
              <w:fldChar w:fldCharType="begin"/>
            </w:r>
            <w:r w:rsidR="00C578CE">
              <w:rPr>
                <w:noProof/>
                <w:webHidden/>
              </w:rPr>
              <w:instrText xml:space="preserve"> PAGEREF _Toc153956556 \h </w:instrText>
            </w:r>
            <w:r w:rsidR="00C578CE">
              <w:rPr>
                <w:noProof/>
                <w:webHidden/>
              </w:rPr>
            </w:r>
            <w:r w:rsidR="00C578CE">
              <w:rPr>
                <w:noProof/>
                <w:webHidden/>
              </w:rPr>
              <w:fldChar w:fldCharType="separate"/>
            </w:r>
            <w:r>
              <w:rPr>
                <w:noProof/>
                <w:webHidden/>
              </w:rPr>
              <w:t>14</w:t>
            </w:r>
            <w:r w:rsidR="00C578CE">
              <w:rPr>
                <w:noProof/>
                <w:webHidden/>
              </w:rPr>
              <w:fldChar w:fldCharType="end"/>
            </w:r>
          </w:hyperlink>
        </w:p>
        <w:p w14:paraId="7E2354F1" w14:textId="72F770B0" w:rsidR="00C578CE" w:rsidRDefault="00D10C2A">
          <w:pPr>
            <w:pStyle w:val="TOC2"/>
            <w:tabs>
              <w:tab w:val="left" w:pos="660"/>
            </w:tabs>
            <w:rPr>
              <w:rFonts w:eastAsiaTheme="minorEastAsia" w:cstheme="minorBidi"/>
              <w:noProof/>
              <w:sz w:val="22"/>
              <w:szCs w:val="22"/>
              <w:lang w:eastAsia="en-AU"/>
            </w:rPr>
          </w:pPr>
          <w:hyperlink w:anchor="_Toc153956557" w:history="1">
            <w:r w:rsidR="00C578CE" w:rsidRPr="00FA5994">
              <w:rPr>
                <w:rStyle w:val="Hyperlink"/>
                <w:rFonts w:ascii="Cambria" w:hAnsi="Cambria"/>
                <w:noProof/>
              </w:rPr>
              <w:t>V.</w:t>
            </w:r>
            <w:r w:rsidR="00C578CE">
              <w:rPr>
                <w:rFonts w:eastAsiaTheme="minorEastAsia" w:cstheme="minorBidi"/>
                <w:noProof/>
                <w:sz w:val="22"/>
                <w:szCs w:val="22"/>
                <w:lang w:eastAsia="en-AU"/>
              </w:rPr>
              <w:tab/>
            </w:r>
            <w:r w:rsidR="00C578CE" w:rsidRPr="00FA5994">
              <w:rPr>
                <w:rStyle w:val="Hyperlink"/>
                <w:rFonts w:ascii="Cambria" w:hAnsi="Cambria"/>
                <w:noProof/>
              </w:rPr>
              <w:t>Capillary Leak Syndrome</w:t>
            </w:r>
            <w:r w:rsidR="00C578CE">
              <w:rPr>
                <w:noProof/>
                <w:webHidden/>
              </w:rPr>
              <w:tab/>
            </w:r>
            <w:r w:rsidR="00C578CE">
              <w:rPr>
                <w:noProof/>
                <w:webHidden/>
              </w:rPr>
              <w:fldChar w:fldCharType="begin"/>
            </w:r>
            <w:r w:rsidR="00C578CE">
              <w:rPr>
                <w:noProof/>
                <w:webHidden/>
              </w:rPr>
              <w:instrText xml:space="preserve"> PAGEREF _Toc153956557 \h </w:instrText>
            </w:r>
            <w:r w:rsidR="00C578CE">
              <w:rPr>
                <w:noProof/>
                <w:webHidden/>
              </w:rPr>
            </w:r>
            <w:r w:rsidR="00C578CE">
              <w:rPr>
                <w:noProof/>
                <w:webHidden/>
              </w:rPr>
              <w:fldChar w:fldCharType="separate"/>
            </w:r>
            <w:r>
              <w:rPr>
                <w:noProof/>
                <w:webHidden/>
              </w:rPr>
              <w:t>14</w:t>
            </w:r>
            <w:r w:rsidR="00C578CE">
              <w:rPr>
                <w:noProof/>
                <w:webHidden/>
              </w:rPr>
              <w:fldChar w:fldCharType="end"/>
            </w:r>
          </w:hyperlink>
        </w:p>
        <w:p w14:paraId="2C7E8D26" w14:textId="523DEAC2" w:rsidR="00C578CE" w:rsidRDefault="00D10C2A">
          <w:pPr>
            <w:pStyle w:val="TOC3"/>
            <w:tabs>
              <w:tab w:val="right" w:leader="dot" w:pos="9016"/>
            </w:tabs>
            <w:rPr>
              <w:rFonts w:eastAsiaTheme="minorEastAsia" w:cstheme="minorBidi"/>
              <w:noProof/>
              <w:sz w:val="22"/>
              <w:szCs w:val="22"/>
              <w:lang w:eastAsia="en-AU"/>
            </w:rPr>
          </w:pPr>
          <w:hyperlink w:anchor="_Toc153956558" w:history="1">
            <w:r w:rsidR="00C578CE" w:rsidRPr="00FA5994">
              <w:rPr>
                <w:rStyle w:val="Hyperlink"/>
                <w:rFonts w:ascii="Cambria" w:hAnsi="Cambria"/>
                <w:noProof/>
              </w:rPr>
              <w:t>Resources for Capillary Leak Syndrome:</w:t>
            </w:r>
            <w:r w:rsidR="00C578CE">
              <w:rPr>
                <w:noProof/>
                <w:webHidden/>
              </w:rPr>
              <w:tab/>
            </w:r>
            <w:r w:rsidR="00C578CE">
              <w:rPr>
                <w:noProof/>
                <w:webHidden/>
              </w:rPr>
              <w:fldChar w:fldCharType="begin"/>
            </w:r>
            <w:r w:rsidR="00C578CE">
              <w:rPr>
                <w:noProof/>
                <w:webHidden/>
              </w:rPr>
              <w:instrText xml:space="preserve"> PAGEREF _Toc153956558 \h </w:instrText>
            </w:r>
            <w:r w:rsidR="00C578CE">
              <w:rPr>
                <w:noProof/>
                <w:webHidden/>
              </w:rPr>
            </w:r>
            <w:r w:rsidR="00C578CE">
              <w:rPr>
                <w:noProof/>
                <w:webHidden/>
              </w:rPr>
              <w:fldChar w:fldCharType="separate"/>
            </w:r>
            <w:r>
              <w:rPr>
                <w:noProof/>
                <w:webHidden/>
              </w:rPr>
              <w:t>15</w:t>
            </w:r>
            <w:r w:rsidR="00C578CE">
              <w:rPr>
                <w:noProof/>
                <w:webHidden/>
              </w:rPr>
              <w:fldChar w:fldCharType="end"/>
            </w:r>
          </w:hyperlink>
        </w:p>
        <w:p w14:paraId="0DF9BE5A" w14:textId="128EF605" w:rsidR="00C578CE" w:rsidRDefault="00D10C2A">
          <w:pPr>
            <w:pStyle w:val="TOC3"/>
            <w:tabs>
              <w:tab w:val="right" w:leader="dot" w:pos="9016"/>
            </w:tabs>
            <w:rPr>
              <w:rFonts w:eastAsiaTheme="minorEastAsia" w:cstheme="minorBidi"/>
              <w:noProof/>
              <w:sz w:val="22"/>
              <w:szCs w:val="22"/>
              <w:lang w:eastAsia="en-AU"/>
            </w:rPr>
          </w:pPr>
          <w:hyperlink w:anchor="_Toc153956559" w:history="1">
            <w:r w:rsidR="00C578CE" w:rsidRPr="00FA5994">
              <w:rPr>
                <w:rStyle w:val="Hyperlink"/>
                <w:rFonts w:ascii="Cambria" w:hAnsi="Cambria"/>
                <w:noProof/>
              </w:rPr>
              <w:t>Product Information</w:t>
            </w:r>
            <w:r w:rsidR="00C578CE">
              <w:rPr>
                <w:noProof/>
                <w:webHidden/>
              </w:rPr>
              <w:tab/>
            </w:r>
            <w:r w:rsidR="00C578CE">
              <w:rPr>
                <w:noProof/>
                <w:webHidden/>
              </w:rPr>
              <w:fldChar w:fldCharType="begin"/>
            </w:r>
            <w:r w:rsidR="00C578CE">
              <w:rPr>
                <w:noProof/>
                <w:webHidden/>
              </w:rPr>
              <w:instrText xml:space="preserve"> PAGEREF _Toc153956559 \h </w:instrText>
            </w:r>
            <w:r w:rsidR="00C578CE">
              <w:rPr>
                <w:noProof/>
                <w:webHidden/>
              </w:rPr>
            </w:r>
            <w:r w:rsidR="00C578CE">
              <w:rPr>
                <w:noProof/>
                <w:webHidden/>
              </w:rPr>
              <w:fldChar w:fldCharType="separate"/>
            </w:r>
            <w:r>
              <w:rPr>
                <w:noProof/>
                <w:webHidden/>
              </w:rPr>
              <w:t>16</w:t>
            </w:r>
            <w:r w:rsidR="00C578CE">
              <w:rPr>
                <w:noProof/>
                <w:webHidden/>
              </w:rPr>
              <w:fldChar w:fldCharType="end"/>
            </w:r>
          </w:hyperlink>
        </w:p>
        <w:p w14:paraId="41084A7A" w14:textId="18AA3C3C" w:rsidR="00C578CE" w:rsidRDefault="00D10C2A">
          <w:pPr>
            <w:pStyle w:val="TOC2"/>
            <w:tabs>
              <w:tab w:val="left" w:pos="880"/>
            </w:tabs>
            <w:rPr>
              <w:rFonts w:eastAsiaTheme="minorEastAsia" w:cstheme="minorBidi"/>
              <w:noProof/>
              <w:sz w:val="22"/>
              <w:szCs w:val="22"/>
              <w:lang w:eastAsia="en-AU"/>
            </w:rPr>
          </w:pPr>
          <w:hyperlink w:anchor="_Toc153956560" w:history="1">
            <w:r w:rsidR="00C578CE" w:rsidRPr="00FA5994">
              <w:rPr>
                <w:rStyle w:val="Hyperlink"/>
                <w:rFonts w:ascii="Cambria" w:hAnsi="Cambria"/>
                <w:noProof/>
              </w:rPr>
              <w:t>VI.</w:t>
            </w:r>
            <w:r w:rsidR="00C578CE">
              <w:rPr>
                <w:rFonts w:eastAsiaTheme="minorEastAsia" w:cstheme="minorBidi"/>
                <w:noProof/>
                <w:sz w:val="22"/>
                <w:szCs w:val="22"/>
                <w:lang w:eastAsia="en-AU"/>
              </w:rPr>
              <w:tab/>
            </w:r>
            <w:r w:rsidR="00C578CE" w:rsidRPr="00FA5994">
              <w:rPr>
                <w:rStyle w:val="Hyperlink"/>
                <w:rFonts w:ascii="Cambria" w:hAnsi="Cambria"/>
                <w:noProof/>
              </w:rPr>
              <w:t>Guillain Barré Syndrome</w:t>
            </w:r>
            <w:r w:rsidR="00C578CE">
              <w:rPr>
                <w:noProof/>
                <w:webHidden/>
              </w:rPr>
              <w:tab/>
            </w:r>
            <w:r w:rsidR="00C578CE">
              <w:rPr>
                <w:noProof/>
                <w:webHidden/>
              </w:rPr>
              <w:fldChar w:fldCharType="begin"/>
            </w:r>
            <w:r w:rsidR="00C578CE">
              <w:rPr>
                <w:noProof/>
                <w:webHidden/>
              </w:rPr>
              <w:instrText xml:space="preserve"> PAGEREF _Toc153956560 \h </w:instrText>
            </w:r>
            <w:r w:rsidR="00C578CE">
              <w:rPr>
                <w:noProof/>
                <w:webHidden/>
              </w:rPr>
            </w:r>
            <w:r w:rsidR="00C578CE">
              <w:rPr>
                <w:noProof/>
                <w:webHidden/>
              </w:rPr>
              <w:fldChar w:fldCharType="separate"/>
            </w:r>
            <w:r>
              <w:rPr>
                <w:noProof/>
                <w:webHidden/>
              </w:rPr>
              <w:t>16</w:t>
            </w:r>
            <w:r w:rsidR="00C578CE">
              <w:rPr>
                <w:noProof/>
                <w:webHidden/>
              </w:rPr>
              <w:fldChar w:fldCharType="end"/>
            </w:r>
          </w:hyperlink>
        </w:p>
        <w:p w14:paraId="761E049B" w14:textId="7E0DABBD" w:rsidR="00C578CE" w:rsidRDefault="00D10C2A">
          <w:pPr>
            <w:pStyle w:val="TOC3"/>
            <w:tabs>
              <w:tab w:val="right" w:leader="dot" w:pos="9016"/>
            </w:tabs>
            <w:rPr>
              <w:rFonts w:eastAsiaTheme="minorEastAsia" w:cstheme="minorBidi"/>
              <w:noProof/>
              <w:sz w:val="22"/>
              <w:szCs w:val="22"/>
              <w:lang w:eastAsia="en-AU"/>
            </w:rPr>
          </w:pPr>
          <w:hyperlink w:anchor="_Toc153956561" w:history="1">
            <w:r w:rsidR="00C578CE" w:rsidRPr="00FA5994">
              <w:rPr>
                <w:rStyle w:val="Hyperlink"/>
                <w:rFonts w:ascii="Cambria" w:hAnsi="Cambria"/>
                <w:noProof/>
              </w:rPr>
              <w:t>Resources for GBS</w:t>
            </w:r>
            <w:r w:rsidR="00C578CE">
              <w:rPr>
                <w:noProof/>
                <w:webHidden/>
              </w:rPr>
              <w:tab/>
            </w:r>
            <w:r w:rsidR="00C578CE">
              <w:rPr>
                <w:noProof/>
                <w:webHidden/>
              </w:rPr>
              <w:fldChar w:fldCharType="begin"/>
            </w:r>
            <w:r w:rsidR="00C578CE">
              <w:rPr>
                <w:noProof/>
                <w:webHidden/>
              </w:rPr>
              <w:instrText xml:space="preserve"> PAGEREF _Toc153956561 \h </w:instrText>
            </w:r>
            <w:r w:rsidR="00C578CE">
              <w:rPr>
                <w:noProof/>
                <w:webHidden/>
              </w:rPr>
            </w:r>
            <w:r w:rsidR="00C578CE">
              <w:rPr>
                <w:noProof/>
                <w:webHidden/>
              </w:rPr>
              <w:fldChar w:fldCharType="separate"/>
            </w:r>
            <w:r>
              <w:rPr>
                <w:noProof/>
                <w:webHidden/>
              </w:rPr>
              <w:t>17</w:t>
            </w:r>
            <w:r w:rsidR="00C578CE">
              <w:rPr>
                <w:noProof/>
                <w:webHidden/>
              </w:rPr>
              <w:fldChar w:fldCharType="end"/>
            </w:r>
          </w:hyperlink>
        </w:p>
        <w:p w14:paraId="78A3A9CA" w14:textId="4128D384" w:rsidR="00C578CE" w:rsidRDefault="00D10C2A">
          <w:pPr>
            <w:pStyle w:val="TOC3"/>
            <w:tabs>
              <w:tab w:val="right" w:leader="dot" w:pos="9016"/>
            </w:tabs>
            <w:rPr>
              <w:rFonts w:eastAsiaTheme="minorEastAsia" w:cstheme="minorBidi"/>
              <w:noProof/>
              <w:sz w:val="22"/>
              <w:szCs w:val="22"/>
              <w:lang w:eastAsia="en-AU"/>
            </w:rPr>
          </w:pPr>
          <w:hyperlink w:anchor="_Toc153956562" w:history="1">
            <w:r w:rsidR="00C578CE" w:rsidRPr="00FA5994">
              <w:rPr>
                <w:rStyle w:val="Hyperlink"/>
                <w:rFonts w:ascii="Cambria" w:hAnsi="Cambria"/>
                <w:noProof/>
              </w:rPr>
              <w:t>Product Information</w:t>
            </w:r>
            <w:r w:rsidR="00C578CE">
              <w:rPr>
                <w:noProof/>
                <w:webHidden/>
              </w:rPr>
              <w:tab/>
            </w:r>
            <w:r w:rsidR="00C578CE">
              <w:rPr>
                <w:noProof/>
                <w:webHidden/>
              </w:rPr>
              <w:fldChar w:fldCharType="begin"/>
            </w:r>
            <w:r w:rsidR="00C578CE">
              <w:rPr>
                <w:noProof/>
                <w:webHidden/>
              </w:rPr>
              <w:instrText xml:space="preserve"> PAGEREF _Toc153956562 \h </w:instrText>
            </w:r>
            <w:r w:rsidR="00C578CE">
              <w:rPr>
                <w:noProof/>
                <w:webHidden/>
              </w:rPr>
            </w:r>
            <w:r w:rsidR="00C578CE">
              <w:rPr>
                <w:noProof/>
                <w:webHidden/>
              </w:rPr>
              <w:fldChar w:fldCharType="separate"/>
            </w:r>
            <w:r>
              <w:rPr>
                <w:noProof/>
                <w:webHidden/>
              </w:rPr>
              <w:t>17</w:t>
            </w:r>
            <w:r w:rsidR="00C578CE">
              <w:rPr>
                <w:noProof/>
                <w:webHidden/>
              </w:rPr>
              <w:fldChar w:fldCharType="end"/>
            </w:r>
          </w:hyperlink>
        </w:p>
        <w:p w14:paraId="39B59169" w14:textId="089ADB98" w:rsidR="00C578CE" w:rsidRDefault="00D10C2A">
          <w:pPr>
            <w:pStyle w:val="TOC2"/>
            <w:tabs>
              <w:tab w:val="left" w:pos="880"/>
            </w:tabs>
            <w:rPr>
              <w:rFonts w:eastAsiaTheme="minorEastAsia" w:cstheme="minorBidi"/>
              <w:noProof/>
              <w:sz w:val="22"/>
              <w:szCs w:val="22"/>
              <w:lang w:eastAsia="en-AU"/>
            </w:rPr>
          </w:pPr>
          <w:hyperlink w:anchor="_Toc153956563" w:history="1">
            <w:r w:rsidR="00C578CE" w:rsidRPr="00FA5994">
              <w:rPr>
                <w:rStyle w:val="Hyperlink"/>
                <w:rFonts w:ascii="Cambria" w:hAnsi="Cambria"/>
                <w:noProof/>
              </w:rPr>
              <w:t>VII.</w:t>
            </w:r>
            <w:r w:rsidR="00C578CE">
              <w:rPr>
                <w:rFonts w:eastAsiaTheme="minorEastAsia" w:cstheme="minorBidi"/>
                <w:noProof/>
                <w:sz w:val="22"/>
                <w:szCs w:val="22"/>
                <w:lang w:eastAsia="en-AU"/>
              </w:rPr>
              <w:tab/>
            </w:r>
            <w:r w:rsidR="00C578CE" w:rsidRPr="00FA5994">
              <w:rPr>
                <w:rStyle w:val="Hyperlink"/>
                <w:rFonts w:ascii="Cambria" w:hAnsi="Cambria"/>
                <w:noProof/>
              </w:rPr>
              <w:t>Thrombocytopenia including Immune Thrombocytopenia</w:t>
            </w:r>
            <w:r w:rsidR="00C578CE">
              <w:rPr>
                <w:noProof/>
                <w:webHidden/>
              </w:rPr>
              <w:tab/>
            </w:r>
            <w:r w:rsidR="00C578CE">
              <w:rPr>
                <w:noProof/>
                <w:webHidden/>
              </w:rPr>
              <w:fldChar w:fldCharType="begin"/>
            </w:r>
            <w:r w:rsidR="00C578CE">
              <w:rPr>
                <w:noProof/>
                <w:webHidden/>
              </w:rPr>
              <w:instrText xml:space="preserve"> PAGEREF _Toc153956563 \h </w:instrText>
            </w:r>
            <w:r w:rsidR="00C578CE">
              <w:rPr>
                <w:noProof/>
                <w:webHidden/>
              </w:rPr>
            </w:r>
            <w:r w:rsidR="00C578CE">
              <w:rPr>
                <w:noProof/>
                <w:webHidden/>
              </w:rPr>
              <w:fldChar w:fldCharType="separate"/>
            </w:r>
            <w:r>
              <w:rPr>
                <w:noProof/>
                <w:webHidden/>
              </w:rPr>
              <w:t>18</w:t>
            </w:r>
            <w:r w:rsidR="00C578CE">
              <w:rPr>
                <w:noProof/>
                <w:webHidden/>
              </w:rPr>
              <w:fldChar w:fldCharType="end"/>
            </w:r>
          </w:hyperlink>
        </w:p>
        <w:p w14:paraId="059839B2" w14:textId="34690EFA" w:rsidR="00C578CE" w:rsidRDefault="00D10C2A">
          <w:pPr>
            <w:pStyle w:val="TOC3"/>
            <w:tabs>
              <w:tab w:val="right" w:leader="dot" w:pos="9016"/>
            </w:tabs>
            <w:rPr>
              <w:rFonts w:eastAsiaTheme="minorEastAsia" w:cstheme="minorBidi"/>
              <w:noProof/>
              <w:sz w:val="22"/>
              <w:szCs w:val="22"/>
              <w:lang w:eastAsia="en-AU"/>
            </w:rPr>
          </w:pPr>
          <w:hyperlink w:anchor="_Toc153956564" w:history="1">
            <w:r w:rsidR="00C578CE" w:rsidRPr="00FA5994">
              <w:rPr>
                <w:rStyle w:val="Hyperlink"/>
                <w:rFonts w:ascii="Cambria" w:hAnsi="Cambria"/>
                <w:noProof/>
              </w:rPr>
              <w:t>Resources for thrombocytopenia</w:t>
            </w:r>
            <w:r w:rsidR="00C578CE">
              <w:rPr>
                <w:noProof/>
                <w:webHidden/>
              </w:rPr>
              <w:tab/>
            </w:r>
            <w:r w:rsidR="00C578CE">
              <w:rPr>
                <w:noProof/>
                <w:webHidden/>
              </w:rPr>
              <w:fldChar w:fldCharType="begin"/>
            </w:r>
            <w:r w:rsidR="00C578CE">
              <w:rPr>
                <w:noProof/>
                <w:webHidden/>
              </w:rPr>
              <w:instrText xml:space="preserve"> PAGEREF _Toc153956564 \h </w:instrText>
            </w:r>
            <w:r w:rsidR="00C578CE">
              <w:rPr>
                <w:noProof/>
                <w:webHidden/>
              </w:rPr>
            </w:r>
            <w:r w:rsidR="00C578CE">
              <w:rPr>
                <w:noProof/>
                <w:webHidden/>
              </w:rPr>
              <w:fldChar w:fldCharType="separate"/>
            </w:r>
            <w:r>
              <w:rPr>
                <w:noProof/>
                <w:webHidden/>
              </w:rPr>
              <w:t>20</w:t>
            </w:r>
            <w:r w:rsidR="00C578CE">
              <w:rPr>
                <w:noProof/>
                <w:webHidden/>
              </w:rPr>
              <w:fldChar w:fldCharType="end"/>
            </w:r>
          </w:hyperlink>
        </w:p>
        <w:p w14:paraId="3BEA1F41" w14:textId="1A2549D5" w:rsidR="00C578CE" w:rsidRDefault="00D10C2A">
          <w:pPr>
            <w:pStyle w:val="TOC3"/>
            <w:tabs>
              <w:tab w:val="right" w:leader="dot" w:pos="9016"/>
            </w:tabs>
            <w:rPr>
              <w:rFonts w:eastAsiaTheme="minorEastAsia" w:cstheme="minorBidi"/>
              <w:noProof/>
              <w:sz w:val="22"/>
              <w:szCs w:val="22"/>
              <w:lang w:eastAsia="en-AU"/>
            </w:rPr>
          </w:pPr>
          <w:hyperlink w:anchor="_Toc153956565" w:history="1">
            <w:r w:rsidR="00C578CE" w:rsidRPr="00FA5994">
              <w:rPr>
                <w:rStyle w:val="Hyperlink"/>
                <w:rFonts w:ascii="Cambria" w:hAnsi="Cambria"/>
                <w:noProof/>
              </w:rPr>
              <w:t>Product Information</w:t>
            </w:r>
            <w:r w:rsidR="00C578CE">
              <w:rPr>
                <w:noProof/>
                <w:webHidden/>
              </w:rPr>
              <w:tab/>
            </w:r>
            <w:r w:rsidR="00C578CE">
              <w:rPr>
                <w:noProof/>
                <w:webHidden/>
              </w:rPr>
              <w:fldChar w:fldCharType="begin"/>
            </w:r>
            <w:r w:rsidR="00C578CE">
              <w:rPr>
                <w:noProof/>
                <w:webHidden/>
              </w:rPr>
              <w:instrText xml:space="preserve"> PAGEREF _Toc153956565 \h </w:instrText>
            </w:r>
            <w:r w:rsidR="00C578CE">
              <w:rPr>
                <w:noProof/>
                <w:webHidden/>
              </w:rPr>
            </w:r>
            <w:r w:rsidR="00C578CE">
              <w:rPr>
                <w:noProof/>
                <w:webHidden/>
              </w:rPr>
              <w:fldChar w:fldCharType="separate"/>
            </w:r>
            <w:r>
              <w:rPr>
                <w:noProof/>
                <w:webHidden/>
              </w:rPr>
              <w:t>20</w:t>
            </w:r>
            <w:r w:rsidR="00C578CE">
              <w:rPr>
                <w:noProof/>
                <w:webHidden/>
              </w:rPr>
              <w:fldChar w:fldCharType="end"/>
            </w:r>
          </w:hyperlink>
        </w:p>
        <w:p w14:paraId="1FBDE64B" w14:textId="1E672137" w:rsidR="00C578CE" w:rsidRDefault="00D10C2A">
          <w:pPr>
            <w:pStyle w:val="TOC2"/>
            <w:tabs>
              <w:tab w:val="left" w:pos="1100"/>
            </w:tabs>
            <w:rPr>
              <w:rFonts w:eastAsiaTheme="minorEastAsia" w:cstheme="minorBidi"/>
              <w:noProof/>
              <w:sz w:val="22"/>
              <w:szCs w:val="22"/>
              <w:lang w:eastAsia="en-AU"/>
            </w:rPr>
          </w:pPr>
          <w:hyperlink w:anchor="_Toc153956566" w:history="1">
            <w:r w:rsidR="00C578CE" w:rsidRPr="00FA5994">
              <w:rPr>
                <w:rStyle w:val="Hyperlink"/>
                <w:rFonts w:ascii="Cambria" w:hAnsi="Cambria"/>
                <w:noProof/>
              </w:rPr>
              <w:t>VIII.</w:t>
            </w:r>
            <w:r w:rsidR="00C578CE">
              <w:rPr>
                <w:rFonts w:eastAsiaTheme="minorEastAsia" w:cstheme="minorBidi"/>
                <w:noProof/>
                <w:sz w:val="22"/>
                <w:szCs w:val="22"/>
                <w:lang w:eastAsia="en-AU"/>
              </w:rPr>
              <w:tab/>
            </w:r>
            <w:r w:rsidR="00C578CE" w:rsidRPr="00FA5994">
              <w:rPr>
                <w:rStyle w:val="Hyperlink"/>
                <w:rFonts w:ascii="Cambria" w:hAnsi="Cambria"/>
                <w:noProof/>
              </w:rPr>
              <w:t>Cerebral venous sinus thrombosis (CVST) without thrombocytopenia</w:t>
            </w:r>
            <w:r w:rsidR="00C578CE">
              <w:rPr>
                <w:noProof/>
                <w:webHidden/>
              </w:rPr>
              <w:tab/>
            </w:r>
            <w:r w:rsidR="00C578CE">
              <w:rPr>
                <w:noProof/>
                <w:webHidden/>
              </w:rPr>
              <w:fldChar w:fldCharType="begin"/>
            </w:r>
            <w:r w:rsidR="00C578CE">
              <w:rPr>
                <w:noProof/>
                <w:webHidden/>
              </w:rPr>
              <w:instrText xml:space="preserve"> PAGEREF _Toc153956566 \h </w:instrText>
            </w:r>
            <w:r w:rsidR="00C578CE">
              <w:rPr>
                <w:noProof/>
                <w:webHidden/>
              </w:rPr>
            </w:r>
            <w:r w:rsidR="00C578CE">
              <w:rPr>
                <w:noProof/>
                <w:webHidden/>
              </w:rPr>
              <w:fldChar w:fldCharType="separate"/>
            </w:r>
            <w:r>
              <w:rPr>
                <w:noProof/>
                <w:webHidden/>
              </w:rPr>
              <w:t>20</w:t>
            </w:r>
            <w:r w:rsidR="00C578CE">
              <w:rPr>
                <w:noProof/>
                <w:webHidden/>
              </w:rPr>
              <w:fldChar w:fldCharType="end"/>
            </w:r>
          </w:hyperlink>
        </w:p>
        <w:p w14:paraId="53389161" w14:textId="335F1BEE" w:rsidR="00C578CE" w:rsidRDefault="00D10C2A">
          <w:pPr>
            <w:pStyle w:val="TOC3"/>
            <w:tabs>
              <w:tab w:val="right" w:leader="dot" w:pos="9016"/>
            </w:tabs>
            <w:rPr>
              <w:rFonts w:eastAsiaTheme="minorEastAsia" w:cstheme="minorBidi"/>
              <w:noProof/>
              <w:sz w:val="22"/>
              <w:szCs w:val="22"/>
              <w:lang w:eastAsia="en-AU"/>
            </w:rPr>
          </w:pPr>
          <w:hyperlink w:anchor="_Toc153956567" w:history="1">
            <w:r w:rsidR="00C578CE" w:rsidRPr="00FA5994">
              <w:rPr>
                <w:rStyle w:val="Hyperlink"/>
                <w:rFonts w:ascii="Cambria" w:hAnsi="Cambria"/>
                <w:noProof/>
              </w:rPr>
              <w:t>Resources for CVST without thrombocytopenia</w:t>
            </w:r>
            <w:r w:rsidR="00C578CE">
              <w:rPr>
                <w:noProof/>
                <w:webHidden/>
              </w:rPr>
              <w:tab/>
            </w:r>
            <w:r w:rsidR="00C578CE">
              <w:rPr>
                <w:noProof/>
                <w:webHidden/>
              </w:rPr>
              <w:fldChar w:fldCharType="begin"/>
            </w:r>
            <w:r w:rsidR="00C578CE">
              <w:rPr>
                <w:noProof/>
                <w:webHidden/>
              </w:rPr>
              <w:instrText xml:space="preserve"> PAGEREF _Toc153956567 \h </w:instrText>
            </w:r>
            <w:r w:rsidR="00C578CE">
              <w:rPr>
                <w:noProof/>
                <w:webHidden/>
              </w:rPr>
            </w:r>
            <w:r w:rsidR="00C578CE">
              <w:rPr>
                <w:noProof/>
                <w:webHidden/>
              </w:rPr>
              <w:fldChar w:fldCharType="separate"/>
            </w:r>
            <w:r>
              <w:rPr>
                <w:noProof/>
                <w:webHidden/>
              </w:rPr>
              <w:t>22</w:t>
            </w:r>
            <w:r w:rsidR="00C578CE">
              <w:rPr>
                <w:noProof/>
                <w:webHidden/>
              </w:rPr>
              <w:fldChar w:fldCharType="end"/>
            </w:r>
          </w:hyperlink>
        </w:p>
        <w:p w14:paraId="3C2E10AD" w14:textId="5E959D8B" w:rsidR="00C578CE" w:rsidRDefault="00D10C2A">
          <w:pPr>
            <w:pStyle w:val="TOC3"/>
            <w:tabs>
              <w:tab w:val="right" w:leader="dot" w:pos="9016"/>
            </w:tabs>
            <w:rPr>
              <w:rFonts w:eastAsiaTheme="minorEastAsia" w:cstheme="minorBidi"/>
              <w:noProof/>
              <w:sz w:val="22"/>
              <w:szCs w:val="22"/>
              <w:lang w:eastAsia="en-AU"/>
            </w:rPr>
          </w:pPr>
          <w:hyperlink w:anchor="_Toc153956568" w:history="1">
            <w:r w:rsidR="00C578CE" w:rsidRPr="00FA5994">
              <w:rPr>
                <w:rStyle w:val="Hyperlink"/>
                <w:rFonts w:ascii="Cambria" w:hAnsi="Cambria"/>
                <w:noProof/>
              </w:rPr>
              <w:t>Product Information</w:t>
            </w:r>
            <w:r w:rsidR="00C578CE">
              <w:rPr>
                <w:noProof/>
                <w:webHidden/>
              </w:rPr>
              <w:tab/>
            </w:r>
            <w:r w:rsidR="00C578CE">
              <w:rPr>
                <w:noProof/>
                <w:webHidden/>
              </w:rPr>
              <w:fldChar w:fldCharType="begin"/>
            </w:r>
            <w:r w:rsidR="00C578CE">
              <w:rPr>
                <w:noProof/>
                <w:webHidden/>
              </w:rPr>
              <w:instrText xml:space="preserve"> PAGEREF _Toc153956568 \h </w:instrText>
            </w:r>
            <w:r w:rsidR="00C578CE">
              <w:rPr>
                <w:noProof/>
                <w:webHidden/>
              </w:rPr>
            </w:r>
            <w:r w:rsidR="00C578CE">
              <w:rPr>
                <w:noProof/>
                <w:webHidden/>
              </w:rPr>
              <w:fldChar w:fldCharType="separate"/>
            </w:r>
            <w:r>
              <w:rPr>
                <w:noProof/>
                <w:webHidden/>
              </w:rPr>
              <w:t>22</w:t>
            </w:r>
            <w:r w:rsidR="00C578CE">
              <w:rPr>
                <w:noProof/>
                <w:webHidden/>
              </w:rPr>
              <w:fldChar w:fldCharType="end"/>
            </w:r>
          </w:hyperlink>
        </w:p>
        <w:p w14:paraId="4E429FE7" w14:textId="5373D9EE" w:rsidR="00C578CE" w:rsidRDefault="00D10C2A">
          <w:pPr>
            <w:pStyle w:val="TOC2"/>
            <w:tabs>
              <w:tab w:val="left" w:pos="880"/>
            </w:tabs>
            <w:rPr>
              <w:rFonts w:eastAsiaTheme="minorEastAsia" w:cstheme="minorBidi"/>
              <w:noProof/>
              <w:sz w:val="22"/>
              <w:szCs w:val="22"/>
              <w:lang w:eastAsia="en-AU"/>
            </w:rPr>
          </w:pPr>
          <w:hyperlink w:anchor="_Toc153956569" w:history="1">
            <w:r w:rsidR="00C578CE" w:rsidRPr="00FA5994">
              <w:rPr>
                <w:rStyle w:val="Hyperlink"/>
                <w:rFonts w:ascii="Cambria" w:hAnsi="Cambria"/>
                <w:noProof/>
              </w:rPr>
              <w:t>IX.</w:t>
            </w:r>
            <w:r w:rsidR="00C578CE">
              <w:rPr>
                <w:rFonts w:eastAsiaTheme="minorEastAsia" w:cstheme="minorBidi"/>
                <w:noProof/>
                <w:sz w:val="22"/>
                <w:szCs w:val="22"/>
                <w:lang w:eastAsia="en-AU"/>
              </w:rPr>
              <w:tab/>
            </w:r>
            <w:r w:rsidR="00C578CE" w:rsidRPr="00FA5994">
              <w:rPr>
                <w:rStyle w:val="Hyperlink"/>
                <w:rFonts w:ascii="Cambria" w:hAnsi="Cambria"/>
                <w:noProof/>
              </w:rPr>
              <w:t>Erythema Multiforme Major</w:t>
            </w:r>
            <w:r w:rsidR="00C578CE">
              <w:rPr>
                <w:noProof/>
                <w:webHidden/>
              </w:rPr>
              <w:tab/>
            </w:r>
            <w:r w:rsidR="00C578CE">
              <w:rPr>
                <w:noProof/>
                <w:webHidden/>
              </w:rPr>
              <w:fldChar w:fldCharType="begin"/>
            </w:r>
            <w:r w:rsidR="00C578CE">
              <w:rPr>
                <w:noProof/>
                <w:webHidden/>
              </w:rPr>
              <w:instrText xml:space="preserve"> PAGEREF _Toc153956569 \h </w:instrText>
            </w:r>
            <w:r w:rsidR="00C578CE">
              <w:rPr>
                <w:noProof/>
                <w:webHidden/>
              </w:rPr>
            </w:r>
            <w:r w:rsidR="00C578CE">
              <w:rPr>
                <w:noProof/>
                <w:webHidden/>
              </w:rPr>
              <w:fldChar w:fldCharType="separate"/>
            </w:r>
            <w:r>
              <w:rPr>
                <w:noProof/>
                <w:webHidden/>
              </w:rPr>
              <w:t>22</w:t>
            </w:r>
            <w:r w:rsidR="00C578CE">
              <w:rPr>
                <w:noProof/>
                <w:webHidden/>
              </w:rPr>
              <w:fldChar w:fldCharType="end"/>
            </w:r>
          </w:hyperlink>
        </w:p>
        <w:p w14:paraId="6CFD3FB3" w14:textId="21E842C1" w:rsidR="00C578CE" w:rsidRDefault="00D10C2A">
          <w:pPr>
            <w:pStyle w:val="TOC3"/>
            <w:tabs>
              <w:tab w:val="right" w:leader="dot" w:pos="9016"/>
            </w:tabs>
            <w:rPr>
              <w:rFonts w:eastAsiaTheme="minorEastAsia" w:cstheme="minorBidi"/>
              <w:noProof/>
              <w:sz w:val="22"/>
              <w:szCs w:val="22"/>
              <w:lang w:eastAsia="en-AU"/>
            </w:rPr>
          </w:pPr>
          <w:hyperlink w:anchor="_Toc153956570" w:history="1">
            <w:r w:rsidR="00C578CE" w:rsidRPr="00FA5994">
              <w:rPr>
                <w:rStyle w:val="Hyperlink"/>
                <w:rFonts w:ascii="Cambria" w:hAnsi="Cambria"/>
                <w:noProof/>
              </w:rPr>
              <w:t>Resources for Erythema Multiforme major</w:t>
            </w:r>
            <w:r w:rsidR="00C578CE">
              <w:rPr>
                <w:noProof/>
                <w:webHidden/>
              </w:rPr>
              <w:tab/>
            </w:r>
            <w:r w:rsidR="00C578CE">
              <w:rPr>
                <w:noProof/>
                <w:webHidden/>
              </w:rPr>
              <w:fldChar w:fldCharType="begin"/>
            </w:r>
            <w:r w:rsidR="00C578CE">
              <w:rPr>
                <w:noProof/>
                <w:webHidden/>
              </w:rPr>
              <w:instrText xml:space="preserve"> PAGEREF _Toc153956570 \h </w:instrText>
            </w:r>
            <w:r w:rsidR="00C578CE">
              <w:rPr>
                <w:noProof/>
                <w:webHidden/>
              </w:rPr>
            </w:r>
            <w:r w:rsidR="00C578CE">
              <w:rPr>
                <w:noProof/>
                <w:webHidden/>
              </w:rPr>
              <w:fldChar w:fldCharType="separate"/>
            </w:r>
            <w:r>
              <w:rPr>
                <w:noProof/>
                <w:webHidden/>
              </w:rPr>
              <w:t>24</w:t>
            </w:r>
            <w:r w:rsidR="00C578CE">
              <w:rPr>
                <w:noProof/>
                <w:webHidden/>
              </w:rPr>
              <w:fldChar w:fldCharType="end"/>
            </w:r>
          </w:hyperlink>
        </w:p>
        <w:p w14:paraId="4A81AD9D" w14:textId="7D1A45B7" w:rsidR="00C578CE" w:rsidRDefault="00D10C2A">
          <w:pPr>
            <w:pStyle w:val="TOC3"/>
            <w:tabs>
              <w:tab w:val="right" w:leader="dot" w:pos="9016"/>
            </w:tabs>
            <w:rPr>
              <w:rFonts w:eastAsiaTheme="minorEastAsia" w:cstheme="minorBidi"/>
              <w:noProof/>
              <w:sz w:val="22"/>
              <w:szCs w:val="22"/>
              <w:lang w:eastAsia="en-AU"/>
            </w:rPr>
          </w:pPr>
          <w:hyperlink w:anchor="_Toc153956571" w:history="1">
            <w:r w:rsidR="00C578CE" w:rsidRPr="00FA5994">
              <w:rPr>
                <w:rStyle w:val="Hyperlink"/>
                <w:rFonts w:ascii="Cambria" w:hAnsi="Cambria"/>
                <w:noProof/>
              </w:rPr>
              <w:t>Product Information</w:t>
            </w:r>
            <w:r w:rsidR="00C578CE">
              <w:rPr>
                <w:noProof/>
                <w:webHidden/>
              </w:rPr>
              <w:tab/>
            </w:r>
            <w:r w:rsidR="00C578CE">
              <w:rPr>
                <w:noProof/>
                <w:webHidden/>
              </w:rPr>
              <w:fldChar w:fldCharType="begin"/>
            </w:r>
            <w:r w:rsidR="00C578CE">
              <w:rPr>
                <w:noProof/>
                <w:webHidden/>
              </w:rPr>
              <w:instrText xml:space="preserve"> PAGEREF _Toc153956571 \h </w:instrText>
            </w:r>
            <w:r w:rsidR="00C578CE">
              <w:rPr>
                <w:noProof/>
                <w:webHidden/>
              </w:rPr>
            </w:r>
            <w:r w:rsidR="00C578CE">
              <w:rPr>
                <w:noProof/>
                <w:webHidden/>
              </w:rPr>
              <w:fldChar w:fldCharType="separate"/>
            </w:r>
            <w:r>
              <w:rPr>
                <w:noProof/>
                <w:webHidden/>
              </w:rPr>
              <w:t>24</w:t>
            </w:r>
            <w:r w:rsidR="00C578CE">
              <w:rPr>
                <w:noProof/>
                <w:webHidden/>
              </w:rPr>
              <w:fldChar w:fldCharType="end"/>
            </w:r>
          </w:hyperlink>
        </w:p>
        <w:p w14:paraId="6BEE35FA" w14:textId="0F789677" w:rsidR="00C578CE" w:rsidRDefault="00D10C2A">
          <w:pPr>
            <w:pStyle w:val="TOC2"/>
            <w:tabs>
              <w:tab w:val="left" w:pos="660"/>
            </w:tabs>
            <w:rPr>
              <w:rFonts w:eastAsiaTheme="minorEastAsia" w:cstheme="minorBidi"/>
              <w:noProof/>
              <w:sz w:val="22"/>
              <w:szCs w:val="22"/>
              <w:lang w:eastAsia="en-AU"/>
            </w:rPr>
          </w:pPr>
          <w:hyperlink w:anchor="_Toc153956572" w:history="1">
            <w:r w:rsidR="00C578CE" w:rsidRPr="00FA5994">
              <w:rPr>
                <w:rStyle w:val="Hyperlink"/>
                <w:rFonts w:ascii="Cambria" w:hAnsi="Cambria"/>
                <w:noProof/>
              </w:rPr>
              <w:t>X.</w:t>
            </w:r>
            <w:r w:rsidR="00C578CE">
              <w:rPr>
                <w:rFonts w:eastAsiaTheme="minorEastAsia" w:cstheme="minorBidi"/>
                <w:noProof/>
                <w:sz w:val="22"/>
                <w:szCs w:val="22"/>
                <w:lang w:eastAsia="en-AU"/>
              </w:rPr>
              <w:tab/>
            </w:r>
            <w:r w:rsidR="00C578CE" w:rsidRPr="00FA5994">
              <w:rPr>
                <w:rStyle w:val="Hyperlink"/>
                <w:rFonts w:ascii="Cambria" w:hAnsi="Cambria"/>
                <w:noProof/>
              </w:rPr>
              <w:t>Transverse Myelitis</w:t>
            </w:r>
            <w:r w:rsidR="00C578CE">
              <w:rPr>
                <w:noProof/>
                <w:webHidden/>
              </w:rPr>
              <w:tab/>
            </w:r>
            <w:r w:rsidR="00C578CE">
              <w:rPr>
                <w:noProof/>
                <w:webHidden/>
              </w:rPr>
              <w:fldChar w:fldCharType="begin"/>
            </w:r>
            <w:r w:rsidR="00C578CE">
              <w:rPr>
                <w:noProof/>
                <w:webHidden/>
              </w:rPr>
              <w:instrText xml:space="preserve"> PAGEREF _Toc153956572 \h </w:instrText>
            </w:r>
            <w:r w:rsidR="00C578CE">
              <w:rPr>
                <w:noProof/>
                <w:webHidden/>
              </w:rPr>
            </w:r>
            <w:r w:rsidR="00C578CE">
              <w:rPr>
                <w:noProof/>
                <w:webHidden/>
              </w:rPr>
              <w:fldChar w:fldCharType="separate"/>
            </w:r>
            <w:r>
              <w:rPr>
                <w:noProof/>
                <w:webHidden/>
              </w:rPr>
              <w:t>25</w:t>
            </w:r>
            <w:r w:rsidR="00C578CE">
              <w:rPr>
                <w:noProof/>
                <w:webHidden/>
              </w:rPr>
              <w:fldChar w:fldCharType="end"/>
            </w:r>
          </w:hyperlink>
        </w:p>
        <w:p w14:paraId="2C999EC6" w14:textId="16E8FC40" w:rsidR="00C578CE" w:rsidRDefault="00D10C2A">
          <w:pPr>
            <w:pStyle w:val="TOC3"/>
            <w:tabs>
              <w:tab w:val="right" w:leader="dot" w:pos="9016"/>
            </w:tabs>
            <w:rPr>
              <w:rFonts w:eastAsiaTheme="minorEastAsia" w:cstheme="minorBidi"/>
              <w:noProof/>
              <w:sz w:val="22"/>
              <w:szCs w:val="22"/>
              <w:lang w:eastAsia="en-AU"/>
            </w:rPr>
          </w:pPr>
          <w:hyperlink w:anchor="_Toc153956573" w:history="1">
            <w:r w:rsidR="00C578CE" w:rsidRPr="00FA5994">
              <w:rPr>
                <w:rStyle w:val="Hyperlink"/>
                <w:rFonts w:ascii="Cambria" w:hAnsi="Cambria"/>
                <w:noProof/>
              </w:rPr>
              <w:t>Resources for Transverse Myelitis</w:t>
            </w:r>
            <w:r w:rsidR="00C578CE">
              <w:rPr>
                <w:noProof/>
                <w:webHidden/>
              </w:rPr>
              <w:tab/>
            </w:r>
            <w:r w:rsidR="00C578CE">
              <w:rPr>
                <w:noProof/>
                <w:webHidden/>
              </w:rPr>
              <w:fldChar w:fldCharType="begin"/>
            </w:r>
            <w:r w:rsidR="00C578CE">
              <w:rPr>
                <w:noProof/>
                <w:webHidden/>
              </w:rPr>
              <w:instrText xml:space="preserve"> PAGEREF _Toc153956573 \h </w:instrText>
            </w:r>
            <w:r w:rsidR="00C578CE">
              <w:rPr>
                <w:noProof/>
                <w:webHidden/>
              </w:rPr>
            </w:r>
            <w:r w:rsidR="00C578CE">
              <w:rPr>
                <w:noProof/>
                <w:webHidden/>
              </w:rPr>
              <w:fldChar w:fldCharType="separate"/>
            </w:r>
            <w:r>
              <w:rPr>
                <w:noProof/>
                <w:webHidden/>
              </w:rPr>
              <w:t>26</w:t>
            </w:r>
            <w:r w:rsidR="00C578CE">
              <w:rPr>
                <w:noProof/>
                <w:webHidden/>
              </w:rPr>
              <w:fldChar w:fldCharType="end"/>
            </w:r>
          </w:hyperlink>
        </w:p>
        <w:p w14:paraId="1C6CDB96" w14:textId="48A3FC4A" w:rsidR="00C578CE" w:rsidRDefault="00D10C2A">
          <w:pPr>
            <w:pStyle w:val="TOC3"/>
            <w:tabs>
              <w:tab w:val="right" w:leader="dot" w:pos="9016"/>
            </w:tabs>
            <w:rPr>
              <w:rFonts w:eastAsiaTheme="minorEastAsia" w:cstheme="minorBidi"/>
              <w:noProof/>
              <w:sz w:val="22"/>
              <w:szCs w:val="22"/>
              <w:lang w:eastAsia="en-AU"/>
            </w:rPr>
          </w:pPr>
          <w:hyperlink w:anchor="_Toc153956574" w:history="1">
            <w:r w:rsidR="00C578CE" w:rsidRPr="00FA5994">
              <w:rPr>
                <w:rStyle w:val="Hyperlink"/>
                <w:rFonts w:ascii="Cambria" w:hAnsi="Cambria"/>
                <w:noProof/>
              </w:rPr>
              <w:t>Product Information</w:t>
            </w:r>
            <w:r w:rsidR="00C578CE">
              <w:rPr>
                <w:noProof/>
                <w:webHidden/>
              </w:rPr>
              <w:tab/>
            </w:r>
            <w:r w:rsidR="00C578CE">
              <w:rPr>
                <w:noProof/>
                <w:webHidden/>
              </w:rPr>
              <w:fldChar w:fldCharType="begin"/>
            </w:r>
            <w:r w:rsidR="00C578CE">
              <w:rPr>
                <w:noProof/>
                <w:webHidden/>
              </w:rPr>
              <w:instrText xml:space="preserve"> PAGEREF _Toc153956574 \h </w:instrText>
            </w:r>
            <w:r w:rsidR="00C578CE">
              <w:rPr>
                <w:noProof/>
                <w:webHidden/>
              </w:rPr>
            </w:r>
            <w:r w:rsidR="00C578CE">
              <w:rPr>
                <w:noProof/>
                <w:webHidden/>
              </w:rPr>
              <w:fldChar w:fldCharType="separate"/>
            </w:r>
            <w:r>
              <w:rPr>
                <w:noProof/>
                <w:webHidden/>
              </w:rPr>
              <w:t>26</w:t>
            </w:r>
            <w:r w:rsidR="00C578CE">
              <w:rPr>
                <w:noProof/>
                <w:webHidden/>
              </w:rPr>
              <w:fldChar w:fldCharType="end"/>
            </w:r>
          </w:hyperlink>
        </w:p>
        <w:p w14:paraId="1730D22D" w14:textId="1C594421" w:rsidR="00C578CE" w:rsidRDefault="00D10C2A">
          <w:pPr>
            <w:pStyle w:val="TOC2"/>
            <w:rPr>
              <w:rFonts w:eastAsiaTheme="minorEastAsia" w:cstheme="minorBidi"/>
              <w:noProof/>
              <w:sz w:val="22"/>
              <w:szCs w:val="22"/>
              <w:lang w:eastAsia="en-AU"/>
            </w:rPr>
          </w:pPr>
          <w:hyperlink w:anchor="_Toc153956575" w:history="1">
            <w:r w:rsidR="00C578CE" w:rsidRPr="00FA5994">
              <w:rPr>
                <w:rStyle w:val="Hyperlink"/>
                <w:rFonts w:ascii="Cambria" w:hAnsi="Cambria" w:cs="Arial"/>
                <w:b/>
                <w:bCs/>
                <w:noProof/>
              </w:rPr>
              <w:t>Version history</w:t>
            </w:r>
            <w:r w:rsidR="00C578CE">
              <w:rPr>
                <w:noProof/>
                <w:webHidden/>
              </w:rPr>
              <w:tab/>
            </w:r>
            <w:r w:rsidR="00C578CE">
              <w:rPr>
                <w:noProof/>
                <w:webHidden/>
              </w:rPr>
              <w:fldChar w:fldCharType="begin"/>
            </w:r>
            <w:r w:rsidR="00C578CE">
              <w:rPr>
                <w:noProof/>
                <w:webHidden/>
              </w:rPr>
              <w:instrText xml:space="preserve"> PAGEREF _Toc153956575 \h </w:instrText>
            </w:r>
            <w:r w:rsidR="00C578CE">
              <w:rPr>
                <w:noProof/>
                <w:webHidden/>
              </w:rPr>
            </w:r>
            <w:r w:rsidR="00C578CE">
              <w:rPr>
                <w:noProof/>
                <w:webHidden/>
              </w:rPr>
              <w:fldChar w:fldCharType="separate"/>
            </w:r>
            <w:r>
              <w:rPr>
                <w:noProof/>
                <w:webHidden/>
              </w:rPr>
              <w:t>27</w:t>
            </w:r>
            <w:r w:rsidR="00C578CE">
              <w:rPr>
                <w:noProof/>
                <w:webHidden/>
              </w:rPr>
              <w:fldChar w:fldCharType="end"/>
            </w:r>
          </w:hyperlink>
        </w:p>
        <w:p w14:paraId="3F4189C0" w14:textId="46FBC32B" w:rsidR="00517DA6" w:rsidRPr="00903864" w:rsidRDefault="00517DA6" w:rsidP="00517DA6">
          <w:pPr>
            <w:rPr>
              <w:rFonts w:ascii="Cambria" w:hAnsi="Cambria"/>
              <w:b/>
              <w:bCs/>
              <w:noProof/>
            </w:rPr>
          </w:pPr>
          <w:r w:rsidRPr="00903864">
            <w:rPr>
              <w:rFonts w:ascii="Cambria" w:hAnsi="Cambria"/>
              <w:b/>
              <w:bCs/>
              <w:noProof/>
            </w:rPr>
            <w:fldChar w:fldCharType="end"/>
          </w:r>
        </w:p>
      </w:sdtContent>
    </w:sdt>
    <w:p w14:paraId="504E4E09" w14:textId="77777777" w:rsidR="00517DA6" w:rsidRPr="00903864" w:rsidRDefault="00517DA6" w:rsidP="00517DA6">
      <w:pPr>
        <w:spacing w:after="180"/>
        <w:rPr>
          <w:rFonts w:ascii="Cambria" w:hAnsi="Cambria" w:cstheme="minorHAnsi"/>
        </w:rPr>
      </w:pPr>
    </w:p>
    <w:p w14:paraId="67148D74" w14:textId="77777777" w:rsidR="00517DA6" w:rsidRPr="00903864" w:rsidRDefault="00517DA6" w:rsidP="00517DA6">
      <w:pPr>
        <w:spacing w:before="0" w:after="160" w:line="259" w:lineRule="auto"/>
        <w:rPr>
          <w:rFonts w:ascii="Cambria" w:hAnsi="Cambria" w:cstheme="minorHAnsi"/>
        </w:rPr>
      </w:pPr>
      <w:r w:rsidRPr="00903864">
        <w:rPr>
          <w:rFonts w:ascii="Cambria" w:hAnsi="Cambria" w:cstheme="minorHAnsi"/>
        </w:rPr>
        <w:br w:type="page"/>
      </w:r>
    </w:p>
    <w:p w14:paraId="787DD18A" w14:textId="77777777" w:rsidR="00E90B1B" w:rsidRPr="00903864" w:rsidRDefault="00E90B1B" w:rsidP="00E90B1B">
      <w:pPr>
        <w:pStyle w:val="Heading2"/>
        <w:rPr>
          <w:rFonts w:ascii="Cambria" w:hAnsi="Cambria"/>
        </w:rPr>
      </w:pPr>
      <w:bookmarkStart w:id="2" w:name="_Toc153956539"/>
      <w:r w:rsidRPr="00903864">
        <w:rPr>
          <w:rFonts w:ascii="Cambria" w:hAnsi="Cambria"/>
        </w:rPr>
        <w:lastRenderedPageBreak/>
        <w:t>Assessment criteria for claims</w:t>
      </w:r>
      <w:bookmarkEnd w:id="2"/>
    </w:p>
    <w:p w14:paraId="7E188C8B" w14:textId="0ED4B3EC" w:rsidR="00E11E03" w:rsidRPr="00903864" w:rsidRDefault="00E11E03" w:rsidP="00E90B1B">
      <w:pPr>
        <w:spacing w:after="180"/>
        <w:rPr>
          <w:rFonts w:ascii="Cambria" w:hAnsi="Cambria" w:cstheme="minorHAnsi"/>
        </w:rPr>
      </w:pPr>
      <w:r w:rsidRPr="00903864">
        <w:rPr>
          <w:rFonts w:ascii="Cambria" w:hAnsi="Cambria" w:cstheme="minorHAnsi"/>
        </w:rPr>
        <w:t>The approach to the Department of Health and Aged Care’s (the Department) assessment and the type of evidence that would be expected in support of a Tier 2 or Tier 3 claim is covered below for each claimable condition.</w:t>
      </w:r>
    </w:p>
    <w:p w14:paraId="614BDA7D" w14:textId="0474561F" w:rsidR="00E90B1B" w:rsidRPr="00903864" w:rsidRDefault="00E90B1B" w:rsidP="00E90B1B">
      <w:pPr>
        <w:spacing w:after="180"/>
        <w:rPr>
          <w:rFonts w:ascii="Cambria" w:hAnsi="Cambria" w:cstheme="minorHAnsi"/>
        </w:rPr>
      </w:pPr>
      <w:r w:rsidRPr="00903864">
        <w:rPr>
          <w:rFonts w:ascii="Cambria" w:hAnsi="Cambria" w:cstheme="minorHAnsi"/>
        </w:rPr>
        <w:t xml:space="preserve">The key threshold for assessment is whether the claimant, in conjunction with the Reporting Practitioner, has submitted sufficient evidence to meet the Scheme criteria. Where missing or unclear information is provided, the Department may seek further information from the claimant, Reporting Practitioner or another Medical Practitioner via Services Australia. </w:t>
      </w:r>
    </w:p>
    <w:p w14:paraId="3609E84B" w14:textId="77777777" w:rsidR="00E90B1B" w:rsidRPr="00903864" w:rsidRDefault="00E90B1B" w:rsidP="00E90B1B">
      <w:pPr>
        <w:spacing w:after="180"/>
        <w:rPr>
          <w:rFonts w:ascii="Cambria" w:hAnsi="Cambria" w:cstheme="minorHAnsi"/>
        </w:rPr>
      </w:pPr>
      <w:r w:rsidRPr="00903864">
        <w:rPr>
          <w:rFonts w:ascii="Cambria" w:hAnsi="Cambria" w:cstheme="minorHAnsi"/>
        </w:rPr>
        <w:t>Departmental Medical Officers will assess whether the evidence provided in support of the claim is sufficient to meet the threshold required to satisfy the criteria. The Department will not re-diagnose the claimant or perform causality assessment on behalf of the Reporting Practitioner.</w:t>
      </w:r>
    </w:p>
    <w:p w14:paraId="35215AE4" w14:textId="77777777" w:rsidR="00E90B1B" w:rsidRPr="00903864" w:rsidRDefault="00E90B1B" w:rsidP="00E90B1B">
      <w:pPr>
        <w:pStyle w:val="Criteriontext"/>
        <w:rPr>
          <w:rFonts w:ascii="Cambria" w:hAnsi="Cambria"/>
        </w:rPr>
      </w:pPr>
      <w:r w:rsidRPr="00903864">
        <w:rPr>
          <w:rStyle w:val="Strong"/>
          <w:rFonts w:ascii="Cambria" w:hAnsi="Cambria"/>
        </w:rPr>
        <w:t>Criterion 1</w:t>
      </w:r>
      <w:r w:rsidRPr="00903864">
        <w:rPr>
          <w:rFonts w:ascii="Cambria" w:hAnsi="Cambria"/>
        </w:rPr>
        <w:t>: The patient has been diagnosed with a claimable medical condition(s) by a Treating Practitioner in the relevant field of practice. This diagnosis is accompanied by sufficient information to explain how that diagnosis was established including any diagnostic criteria and/or case definitions relied upon for this case.</w:t>
      </w:r>
    </w:p>
    <w:p w14:paraId="5BA8A7E8" w14:textId="77777777" w:rsidR="00E90B1B" w:rsidRPr="00903864" w:rsidRDefault="00E90B1B" w:rsidP="00E90B1B">
      <w:pPr>
        <w:rPr>
          <w:rFonts w:ascii="Cambria" w:hAnsi="Cambria"/>
        </w:rPr>
      </w:pPr>
      <w:r w:rsidRPr="00903864">
        <w:rPr>
          <w:rFonts w:ascii="Cambria" w:hAnsi="Cambria"/>
        </w:rPr>
        <w:t xml:space="preserve">The Reporting Practitioner’s statement should confirm that that the patient has been diagnosed with a claimable condition and explain how that diagnosis was established. This may include the following information: </w:t>
      </w:r>
    </w:p>
    <w:p w14:paraId="703E4944" w14:textId="77777777" w:rsidR="00E90B1B" w:rsidRPr="00903864" w:rsidRDefault="00E90B1B" w:rsidP="00E90B1B">
      <w:pPr>
        <w:pStyle w:val="ListParagraph"/>
        <w:numPr>
          <w:ilvl w:val="0"/>
          <w:numId w:val="19"/>
        </w:numPr>
        <w:spacing w:before="0" w:after="0"/>
        <w:contextualSpacing w:val="0"/>
        <w:rPr>
          <w:rFonts w:ascii="Cambria" w:eastAsia="Times New Roman" w:hAnsi="Cambria"/>
        </w:rPr>
      </w:pPr>
      <w:r w:rsidRPr="00903864">
        <w:rPr>
          <w:rFonts w:ascii="Cambria" w:eastAsia="Times New Roman" w:hAnsi="Cambria"/>
        </w:rPr>
        <w:t xml:space="preserve">Details of the diagnosing Medical Practitioner, including confirmation that this Practitioner is a specialist in the relevant field of </w:t>
      </w:r>
      <w:proofErr w:type="gramStart"/>
      <w:r w:rsidRPr="00903864">
        <w:rPr>
          <w:rFonts w:ascii="Cambria" w:eastAsia="Times New Roman" w:hAnsi="Cambria"/>
        </w:rPr>
        <w:t>practice;</w:t>
      </w:r>
      <w:proofErr w:type="gramEnd"/>
      <w:r w:rsidRPr="00903864">
        <w:rPr>
          <w:rFonts w:ascii="Cambria" w:eastAsia="Times New Roman" w:hAnsi="Cambria"/>
        </w:rPr>
        <w:t xml:space="preserve"> </w:t>
      </w:r>
    </w:p>
    <w:p w14:paraId="208DBBAD" w14:textId="77777777" w:rsidR="00E90B1B" w:rsidRPr="00903864" w:rsidRDefault="00E90B1B" w:rsidP="00E90B1B">
      <w:pPr>
        <w:pStyle w:val="ListParagraph"/>
        <w:numPr>
          <w:ilvl w:val="0"/>
          <w:numId w:val="19"/>
        </w:numPr>
        <w:spacing w:before="0" w:after="0"/>
        <w:contextualSpacing w:val="0"/>
        <w:rPr>
          <w:rFonts w:ascii="Cambria" w:eastAsia="Times New Roman" w:hAnsi="Cambria"/>
        </w:rPr>
      </w:pPr>
      <w:r w:rsidRPr="00903864">
        <w:rPr>
          <w:rFonts w:ascii="Cambria" w:eastAsia="Times New Roman" w:hAnsi="Cambria"/>
        </w:rPr>
        <w:t>Description of relevant clinical findings, including symptoms, physical examination findings, and investigation results relied upon in establishing the diagnosis; and</w:t>
      </w:r>
    </w:p>
    <w:p w14:paraId="7865ACFE" w14:textId="3C2B4156" w:rsidR="00E90B1B" w:rsidRPr="00903864" w:rsidRDefault="00E90B1B" w:rsidP="00E90B1B">
      <w:pPr>
        <w:pStyle w:val="ListParagraph"/>
        <w:numPr>
          <w:ilvl w:val="0"/>
          <w:numId w:val="19"/>
        </w:numPr>
        <w:spacing w:before="0" w:after="0"/>
        <w:contextualSpacing w:val="0"/>
        <w:rPr>
          <w:rFonts w:ascii="Cambria" w:eastAsia="Times New Roman" w:hAnsi="Cambria"/>
          <w:color w:val="000000" w:themeColor="text1"/>
        </w:rPr>
      </w:pPr>
      <w:r w:rsidRPr="00903864">
        <w:rPr>
          <w:rFonts w:ascii="Cambria" w:eastAsia="Times New Roman" w:hAnsi="Cambria"/>
          <w:color w:val="000000" w:themeColor="text1"/>
        </w:rPr>
        <w:t xml:space="preserve">Reference to recognised clinical guidelines relevant to the diagnosis of a claimable condition. Alternatively, an explanation as to why the diagnosed claimable condition is the most likely diagnosis in the claimant’s case </w:t>
      </w:r>
      <w:proofErr w:type="gramStart"/>
      <w:r w:rsidRPr="00903864">
        <w:rPr>
          <w:rFonts w:ascii="Cambria" w:eastAsia="Times New Roman" w:hAnsi="Cambria"/>
          <w:color w:val="000000" w:themeColor="text1"/>
        </w:rPr>
        <w:t>where</w:t>
      </w:r>
      <w:proofErr w:type="gramEnd"/>
      <w:r w:rsidRPr="00903864">
        <w:rPr>
          <w:rFonts w:ascii="Cambria" w:eastAsia="Times New Roman" w:hAnsi="Cambria"/>
          <w:color w:val="000000" w:themeColor="text1"/>
        </w:rPr>
        <w:t xml:space="preserve"> deviating from recognised guidelines.</w:t>
      </w:r>
      <w:r w:rsidRPr="00903864" w:rsidDel="00FC22EA">
        <w:rPr>
          <w:rFonts w:ascii="Cambria" w:hAnsi="Cambria" w:cstheme="minorHAnsi"/>
          <w:color w:val="000000" w:themeColor="text1"/>
        </w:rPr>
        <w:t xml:space="preserve"> </w:t>
      </w:r>
    </w:p>
    <w:p w14:paraId="62765F06" w14:textId="77777777" w:rsidR="00E732B1" w:rsidRPr="00903864" w:rsidRDefault="00E732B1" w:rsidP="00903864">
      <w:pPr>
        <w:pStyle w:val="ListParagraph"/>
        <w:spacing w:before="0" w:after="0"/>
        <w:contextualSpacing w:val="0"/>
        <w:rPr>
          <w:rFonts w:ascii="Cambria" w:eastAsia="Times New Roman" w:hAnsi="Cambria"/>
          <w:color w:val="000000" w:themeColor="text1"/>
        </w:rPr>
      </w:pPr>
    </w:p>
    <w:p w14:paraId="7B3B28E4" w14:textId="77777777" w:rsidR="00E90B1B" w:rsidRPr="00903864" w:rsidRDefault="00E90B1B" w:rsidP="00E90B1B">
      <w:pPr>
        <w:pStyle w:val="Criteriontext"/>
        <w:rPr>
          <w:rFonts w:ascii="Cambria" w:hAnsi="Cambria"/>
        </w:rPr>
      </w:pPr>
      <w:r w:rsidRPr="00903864">
        <w:rPr>
          <w:rStyle w:val="Strong"/>
          <w:rFonts w:ascii="Cambria" w:hAnsi="Cambria"/>
        </w:rPr>
        <w:t>Criterion 2</w:t>
      </w:r>
      <w:r w:rsidRPr="00903864">
        <w:rPr>
          <w:rFonts w:ascii="Cambria" w:hAnsi="Cambria"/>
        </w:rPr>
        <w:t>: The Reporting Practitioner has provided opinion that the most likely cause of the diagnosed condition(s) is COVID-19 vaccination. Other causes have been considered and appear less likely to have contributed to the individual’s diagnosis.</w:t>
      </w:r>
    </w:p>
    <w:p w14:paraId="279CB056" w14:textId="77777777" w:rsidR="00E90B1B" w:rsidRPr="00903864" w:rsidRDefault="00E90B1B" w:rsidP="00E90B1B">
      <w:pPr>
        <w:rPr>
          <w:rFonts w:ascii="Cambria" w:hAnsi="Cambria"/>
          <w:color w:val="000000" w:themeColor="text1"/>
        </w:rPr>
      </w:pPr>
      <w:r w:rsidRPr="00903864">
        <w:rPr>
          <w:rFonts w:ascii="Cambria" w:hAnsi="Cambria"/>
          <w:color w:val="000000" w:themeColor="text1"/>
        </w:rPr>
        <w:t>The Reporting Practitioner’s statement should explain why COVID-19 vaccination is the most likely cause of the diagnosed claimable condition, including where opinion is based upon the diagnosis or view from a specialist doctor who has examined the patient. This statement may include the following:</w:t>
      </w:r>
    </w:p>
    <w:p w14:paraId="4125904F" w14:textId="77777777" w:rsidR="00E90B1B" w:rsidRPr="00903864" w:rsidRDefault="00E90B1B" w:rsidP="00E90B1B">
      <w:pPr>
        <w:pStyle w:val="ListParagraph"/>
        <w:numPr>
          <w:ilvl w:val="0"/>
          <w:numId w:val="20"/>
        </w:numPr>
        <w:spacing w:before="0" w:after="0"/>
        <w:contextualSpacing w:val="0"/>
        <w:rPr>
          <w:rFonts w:ascii="Cambria" w:eastAsia="Times New Roman" w:hAnsi="Cambria"/>
          <w:color w:val="000000" w:themeColor="text1"/>
        </w:rPr>
      </w:pPr>
      <w:r w:rsidRPr="00903864">
        <w:rPr>
          <w:rFonts w:ascii="Cambria" w:eastAsia="Times New Roman" w:hAnsi="Cambria"/>
          <w:color w:val="000000" w:themeColor="text1"/>
        </w:rPr>
        <w:t>Provision of an opinion from the Reporting Practitioner that the COVID-19 vaccination is the most likely cause of the diagnosed claimable condition, and confirmation as to whether this opinion is based on the assessment of another Treating Practitioner.</w:t>
      </w:r>
    </w:p>
    <w:p w14:paraId="591E01F6" w14:textId="77777777" w:rsidR="00E90B1B" w:rsidRPr="00903864" w:rsidRDefault="00E90B1B" w:rsidP="00E90B1B">
      <w:pPr>
        <w:pStyle w:val="ListParagraph"/>
        <w:numPr>
          <w:ilvl w:val="0"/>
          <w:numId w:val="20"/>
        </w:numPr>
        <w:spacing w:before="0" w:after="0"/>
        <w:contextualSpacing w:val="0"/>
        <w:rPr>
          <w:rFonts w:ascii="Cambria" w:eastAsia="Times New Roman" w:hAnsi="Cambria"/>
          <w:color w:val="000000" w:themeColor="text1"/>
        </w:rPr>
      </w:pPr>
      <w:r w:rsidRPr="00903864">
        <w:rPr>
          <w:rFonts w:ascii="Cambria" w:eastAsia="Times New Roman" w:hAnsi="Cambria"/>
          <w:color w:val="000000" w:themeColor="text1"/>
        </w:rPr>
        <w:t>Reference to opinion provided by one or multiple Treating Practitioner/s regarding the most likely cause of the diagnosed claimable condition.</w:t>
      </w:r>
    </w:p>
    <w:p w14:paraId="6F3E1D58" w14:textId="77777777" w:rsidR="00E90B1B" w:rsidRPr="00903864" w:rsidRDefault="00E90B1B" w:rsidP="00E90B1B">
      <w:pPr>
        <w:pStyle w:val="ListParagraph"/>
        <w:numPr>
          <w:ilvl w:val="0"/>
          <w:numId w:val="20"/>
        </w:numPr>
        <w:spacing w:before="0" w:after="0"/>
        <w:contextualSpacing w:val="0"/>
        <w:rPr>
          <w:rFonts w:ascii="Cambria" w:eastAsia="Times New Roman" w:hAnsi="Cambria"/>
          <w:color w:val="000000" w:themeColor="text1"/>
        </w:rPr>
      </w:pPr>
      <w:r w:rsidRPr="00903864">
        <w:rPr>
          <w:rFonts w:ascii="Cambria" w:eastAsia="Times New Roman" w:hAnsi="Cambria"/>
          <w:color w:val="000000" w:themeColor="text1"/>
        </w:rPr>
        <w:lastRenderedPageBreak/>
        <w:t>Explanation regarding how other causes of the diagnosed claimable condition have been considered, and appear less likely than COVID-19 vaccination, including any relevant clinical findings or investigation results.</w:t>
      </w:r>
    </w:p>
    <w:p w14:paraId="3CF8B726" w14:textId="2E1F288C" w:rsidR="00E90B1B" w:rsidRPr="00903864" w:rsidRDefault="00E90B1B" w:rsidP="00E90B1B">
      <w:pPr>
        <w:pStyle w:val="ListParagraph"/>
        <w:numPr>
          <w:ilvl w:val="0"/>
          <w:numId w:val="20"/>
        </w:numPr>
        <w:spacing w:before="0"/>
        <w:ind w:left="714" w:hanging="357"/>
        <w:contextualSpacing w:val="0"/>
        <w:rPr>
          <w:rFonts w:ascii="Cambria" w:eastAsia="Times New Roman" w:hAnsi="Cambria"/>
          <w:color w:val="000000" w:themeColor="text1"/>
        </w:rPr>
      </w:pPr>
      <w:r w:rsidRPr="00903864">
        <w:rPr>
          <w:rFonts w:ascii="Cambria" w:eastAsia="Times New Roman" w:hAnsi="Cambria"/>
          <w:color w:val="000000" w:themeColor="text1"/>
        </w:rPr>
        <w:t>Reference to recognised causality assessment guidelines relevant to the diagnosis of the claimable condition. Alternatively</w:t>
      </w:r>
      <w:r w:rsidR="00903864" w:rsidRPr="00903864">
        <w:rPr>
          <w:rFonts w:ascii="Cambria" w:eastAsia="Times New Roman" w:hAnsi="Cambria"/>
          <w:color w:val="000000" w:themeColor="text1"/>
        </w:rPr>
        <w:t>,</w:t>
      </w:r>
      <w:r w:rsidRPr="00903864">
        <w:rPr>
          <w:rFonts w:ascii="Cambria" w:eastAsia="Times New Roman" w:hAnsi="Cambria"/>
          <w:color w:val="000000" w:themeColor="text1"/>
        </w:rPr>
        <w:t xml:space="preserve"> an explanation as to why COVID-19 vaccination is the most likely cause of the claimable condition in the claimant’s case, where deviating from recognised causality assessment guidelines. </w:t>
      </w:r>
    </w:p>
    <w:p w14:paraId="12151526" w14:textId="77777777" w:rsidR="00E732B1" w:rsidRPr="00903864" w:rsidRDefault="00E732B1" w:rsidP="00903864">
      <w:pPr>
        <w:pStyle w:val="ListParagraph"/>
        <w:spacing w:before="0"/>
        <w:ind w:left="714"/>
        <w:contextualSpacing w:val="0"/>
        <w:rPr>
          <w:rFonts w:ascii="Cambria" w:eastAsia="Times New Roman" w:hAnsi="Cambria"/>
          <w:color w:val="000000" w:themeColor="text1"/>
        </w:rPr>
      </w:pPr>
    </w:p>
    <w:p w14:paraId="2C970226" w14:textId="77777777" w:rsidR="00E90B1B" w:rsidRPr="00903864" w:rsidRDefault="00E90B1B" w:rsidP="00E90B1B">
      <w:pPr>
        <w:pStyle w:val="Criteriontext"/>
        <w:rPr>
          <w:rStyle w:val="Strong"/>
          <w:rFonts w:ascii="Cambria" w:hAnsi="Cambria"/>
        </w:rPr>
      </w:pPr>
      <w:r w:rsidRPr="00903864">
        <w:rPr>
          <w:rStyle w:val="Strong"/>
          <w:rFonts w:ascii="Cambria" w:hAnsi="Cambria"/>
        </w:rPr>
        <w:t>Fatal outcomes from claimable conditions</w:t>
      </w:r>
    </w:p>
    <w:p w14:paraId="383A4160" w14:textId="7C634BC3" w:rsidR="00E90B1B" w:rsidRPr="00903864" w:rsidRDefault="00E90B1B" w:rsidP="00E90B1B">
      <w:pPr>
        <w:spacing w:before="0" w:after="0"/>
        <w:rPr>
          <w:rFonts w:ascii="Cambria" w:hAnsi="Cambria"/>
          <w:color w:val="000000" w:themeColor="text1"/>
        </w:rPr>
      </w:pPr>
      <w:r w:rsidRPr="00903864">
        <w:rPr>
          <w:rFonts w:ascii="Cambria" w:hAnsi="Cambria" w:cstheme="minorHAnsi"/>
          <w:color w:val="000000" w:themeColor="text1"/>
        </w:rPr>
        <w:t xml:space="preserve">For claims where a fatal outcome has occurred (Tier 3), a death certificate is required. </w:t>
      </w:r>
      <w:r w:rsidRPr="00903864">
        <w:rPr>
          <w:rFonts w:ascii="Cambria" w:hAnsi="Cambria"/>
          <w:color w:val="000000" w:themeColor="text1"/>
        </w:rPr>
        <w:t>The same assessment process is followed</w:t>
      </w:r>
      <w:r w:rsidR="00903864" w:rsidRPr="00903864">
        <w:rPr>
          <w:rFonts w:ascii="Cambria" w:hAnsi="Cambria"/>
          <w:color w:val="000000" w:themeColor="text1"/>
        </w:rPr>
        <w:t>,</w:t>
      </w:r>
      <w:r w:rsidRPr="00903864">
        <w:rPr>
          <w:rFonts w:ascii="Cambria" w:hAnsi="Cambria"/>
          <w:color w:val="000000" w:themeColor="text1"/>
        </w:rPr>
        <w:t xml:space="preserve"> and the same evidence requirements apply regarding the condition that resulted in death</w:t>
      </w:r>
      <w:r w:rsidRPr="00903864">
        <w:rPr>
          <w:rFonts w:ascii="Cambria" w:hAnsi="Cambria" w:cstheme="minorHAnsi"/>
          <w:color w:val="000000" w:themeColor="text1"/>
        </w:rPr>
        <w:t xml:space="preserve">. Specifically, the Reporting Practitioner must address whether the patient was diagnosed with a claimable medical condition and provide an opinion that the condition was most likely caused by COVID-19 vaccination and that other causes have been considered and appear less likely to have contributed to the individual’s diagnosis. Additionally, a Medical Practitioner must provide an opinion as to whether the condition suffered by the COVID-19 Vaccine Recipient has caused, or materially contributed to, their death </w:t>
      </w:r>
      <w:r w:rsidRPr="00903864">
        <w:rPr>
          <w:rFonts w:ascii="Cambria" w:eastAsia="Times New Roman" w:hAnsi="Cambria" w:cs="Calibri"/>
          <w:color w:val="000000" w:themeColor="text1"/>
        </w:rPr>
        <w:t>(having regard to the cause(s) of death specified in the death certificate or medical cause of death certificate).</w:t>
      </w:r>
    </w:p>
    <w:p w14:paraId="16814697" w14:textId="226D78A9" w:rsidR="00E90B1B" w:rsidRPr="00903864" w:rsidRDefault="00E90B1B" w:rsidP="00903864">
      <w:pPr>
        <w:rPr>
          <w:rFonts w:ascii="Cambria" w:hAnsi="Cambria" w:cstheme="minorHAnsi"/>
        </w:rPr>
      </w:pPr>
      <w:r w:rsidRPr="00903864">
        <w:rPr>
          <w:rFonts w:ascii="Cambria" w:hAnsi="Cambria" w:cstheme="minorHAnsi"/>
        </w:rPr>
        <w:t>In the case of a fatal outcome, a forensic pathologist may be considered a relevant speciality for the conditions covered by the Scheme.</w:t>
      </w:r>
    </w:p>
    <w:p w14:paraId="1A838158" w14:textId="0449990D" w:rsidR="00517DA6" w:rsidRPr="00903864" w:rsidRDefault="00517DA6" w:rsidP="001D7C0B">
      <w:pPr>
        <w:pStyle w:val="Heading2"/>
        <w:rPr>
          <w:rFonts w:ascii="Cambria" w:hAnsi="Cambria"/>
        </w:rPr>
      </w:pPr>
      <w:bookmarkStart w:id="3" w:name="_Toc153956540"/>
      <w:r w:rsidRPr="00903864">
        <w:rPr>
          <w:rFonts w:ascii="Cambria" w:hAnsi="Cambria"/>
        </w:rPr>
        <w:t>Role of the Reporting Practitioner:</w:t>
      </w:r>
      <w:bookmarkEnd w:id="3"/>
    </w:p>
    <w:p w14:paraId="4205DD84" w14:textId="77777777" w:rsidR="00517DA6" w:rsidRPr="00903864" w:rsidRDefault="00517DA6" w:rsidP="00517DA6">
      <w:pPr>
        <w:pStyle w:val="ListBullet"/>
        <w:rPr>
          <w:rFonts w:ascii="Cambria" w:hAnsi="Cambria"/>
        </w:rPr>
      </w:pPr>
      <w:r w:rsidRPr="00903864">
        <w:rPr>
          <w:rFonts w:ascii="Cambria" w:hAnsi="Cambria"/>
        </w:rPr>
        <w:t xml:space="preserve">A Reporting Practitioner is an Australian registered Medical Practitioner that is qualified (by reference to their professional qualifications and expertise) to prepare a report on a patient submitting a claim under the Scheme (the claimant) outlining the claimant’s condition as a result of the Harm suffered, including any treatment required. </w:t>
      </w:r>
    </w:p>
    <w:p w14:paraId="760FF4E8" w14:textId="77777777" w:rsidR="00517DA6" w:rsidRPr="00903864" w:rsidRDefault="00517DA6" w:rsidP="00517DA6">
      <w:pPr>
        <w:pStyle w:val="ListBullet"/>
        <w:rPr>
          <w:rFonts w:ascii="Cambria" w:hAnsi="Cambria"/>
        </w:rPr>
      </w:pPr>
      <w:r w:rsidRPr="00903864">
        <w:rPr>
          <w:rFonts w:ascii="Cambria" w:hAnsi="Cambria"/>
          <w:lang w:val="en-US"/>
        </w:rPr>
        <w:t xml:space="preserve">The Reporting Practitioner is responsible for completing the Services Australia ‘COVID-19 Vaccine Claims Scheme Medical Report Form (MO063)’. The intention of this form is to ascertain the Reporting Practitioner’s opinion of the circumstances, nature and severity of the Harm claimed under the Scheme.  </w:t>
      </w:r>
    </w:p>
    <w:p w14:paraId="5D334DF5" w14:textId="16FE702A" w:rsidR="00517DA6" w:rsidRPr="00903864" w:rsidRDefault="00517DA6" w:rsidP="00517DA6">
      <w:pPr>
        <w:pStyle w:val="ListBullet"/>
        <w:rPr>
          <w:rFonts w:ascii="Cambria" w:hAnsi="Cambria"/>
        </w:rPr>
      </w:pPr>
      <w:r w:rsidRPr="00903864">
        <w:rPr>
          <w:rFonts w:ascii="Cambria" w:hAnsi="Cambria" w:cstheme="minorHAnsi"/>
        </w:rPr>
        <w:t>The Reporting Practitioner may</w:t>
      </w:r>
      <w:r w:rsidR="00E732B1" w:rsidRPr="00903864">
        <w:rPr>
          <w:rFonts w:ascii="Cambria" w:hAnsi="Cambria" w:cstheme="minorHAnsi"/>
        </w:rPr>
        <w:t xml:space="preserve"> be</w:t>
      </w:r>
      <w:r w:rsidRPr="00903864">
        <w:rPr>
          <w:rFonts w:ascii="Cambria" w:hAnsi="Cambria" w:cstheme="minorHAnsi"/>
        </w:rPr>
        <w:t xml:space="preserve">, but is not required to be, the Treating Practitioner. The Treating Practitioner is a Medical Practitioner who is, or has been involved in, the diagnosis, assessment and/or treatment of the Claimant’s claimable condition. </w:t>
      </w:r>
    </w:p>
    <w:p w14:paraId="14429C94" w14:textId="320D9052" w:rsidR="00517DA6" w:rsidRPr="00903864" w:rsidRDefault="00517DA6" w:rsidP="00517DA6">
      <w:pPr>
        <w:pStyle w:val="ListBullet"/>
        <w:rPr>
          <w:rFonts w:ascii="Cambria" w:hAnsi="Cambria"/>
        </w:rPr>
      </w:pPr>
      <w:r w:rsidRPr="00903864">
        <w:rPr>
          <w:rFonts w:ascii="Cambria" w:hAnsi="Cambria" w:cstheme="minorHAnsi"/>
        </w:rPr>
        <w:t>The Reporting Practitioner is not required to be a qualified specialist in the speciality relevant to the Harm suffered by the Claimant, however any opinion voiced by the Reporting Practitioner pertaining to the Harm claimed must be based on the relevant qualified specialist’s assessment, i.e.</w:t>
      </w:r>
      <w:r w:rsidR="00A63048" w:rsidRPr="00903864">
        <w:rPr>
          <w:rFonts w:ascii="Cambria" w:hAnsi="Cambria" w:cstheme="minorHAnsi"/>
        </w:rPr>
        <w:t xml:space="preserve"> a Claimant’s regular General Practitioner may prepare a report to be submitted under the Scheme, with opinions expressed in that report based on separate assessment of the Claimant by</w:t>
      </w:r>
      <w:r w:rsidRPr="00903864">
        <w:rPr>
          <w:rFonts w:ascii="Cambria" w:hAnsi="Cambria" w:cstheme="minorHAnsi"/>
        </w:rPr>
        <w:t xml:space="preserve"> a practitioner practicing in the relevant field of practice. </w:t>
      </w:r>
    </w:p>
    <w:p w14:paraId="4D666E3C" w14:textId="621B79A3" w:rsidR="00E44C94" w:rsidRPr="00903864" w:rsidRDefault="00E44C94" w:rsidP="00517DA6">
      <w:pPr>
        <w:pStyle w:val="ListBullet"/>
        <w:rPr>
          <w:rFonts w:ascii="Cambria" w:hAnsi="Cambria"/>
        </w:rPr>
      </w:pPr>
      <w:r w:rsidRPr="00903864">
        <w:rPr>
          <w:rFonts w:ascii="Cambria" w:hAnsi="Cambria" w:cstheme="minorHAnsi"/>
        </w:rPr>
        <w:t>Where the Reporting Practitioner completi</w:t>
      </w:r>
      <w:r w:rsidR="006E75C5" w:rsidRPr="00903864">
        <w:rPr>
          <w:rFonts w:ascii="Cambria" w:hAnsi="Cambria" w:cstheme="minorHAnsi"/>
        </w:rPr>
        <w:t>ng</w:t>
      </w:r>
      <w:r w:rsidRPr="00903864">
        <w:rPr>
          <w:rFonts w:ascii="Cambria" w:hAnsi="Cambria" w:cstheme="minorHAnsi"/>
        </w:rPr>
        <w:t xml:space="preserve"> a</w:t>
      </w:r>
      <w:r w:rsidR="00E90B1B" w:rsidRPr="00903864">
        <w:rPr>
          <w:rFonts w:ascii="Cambria" w:hAnsi="Cambria" w:cstheme="minorHAnsi"/>
        </w:rPr>
        <w:t>n</w:t>
      </w:r>
      <w:r w:rsidRPr="00903864">
        <w:rPr>
          <w:rFonts w:ascii="Cambria" w:hAnsi="Cambria" w:cstheme="minorHAnsi"/>
        </w:rPr>
        <w:t xml:space="preserve"> </w:t>
      </w:r>
      <w:r w:rsidR="0071556E" w:rsidRPr="00903864">
        <w:rPr>
          <w:rFonts w:ascii="Cambria" w:hAnsi="Cambria" w:cstheme="minorHAnsi"/>
        </w:rPr>
        <w:t>MO063</w:t>
      </w:r>
      <w:r w:rsidR="00E90B1B" w:rsidRPr="00903864">
        <w:rPr>
          <w:rFonts w:ascii="Cambria" w:hAnsi="Cambria" w:cstheme="minorHAnsi"/>
        </w:rPr>
        <w:t xml:space="preserve"> Medical Report Form</w:t>
      </w:r>
      <w:r w:rsidRPr="00903864">
        <w:rPr>
          <w:rFonts w:ascii="Cambria" w:hAnsi="Cambria" w:cstheme="minorHAnsi"/>
        </w:rPr>
        <w:t xml:space="preserve"> is not the Treating Practitioner who has been involved in diagnosis or treatment of the Harm claimed under the Scheme</w:t>
      </w:r>
      <w:r w:rsidR="0071556E" w:rsidRPr="00903864">
        <w:rPr>
          <w:rFonts w:ascii="Cambria" w:hAnsi="Cambria" w:cstheme="minorHAnsi"/>
        </w:rPr>
        <w:t>,</w:t>
      </w:r>
      <w:r w:rsidR="006E75C5" w:rsidRPr="00903864">
        <w:rPr>
          <w:rFonts w:ascii="Cambria" w:hAnsi="Cambria" w:cstheme="minorHAnsi"/>
        </w:rPr>
        <w:t xml:space="preserve"> supporting documentation that may be provided </w:t>
      </w:r>
      <w:r w:rsidR="006E75C5" w:rsidRPr="00903864">
        <w:rPr>
          <w:rFonts w:ascii="Cambria" w:hAnsi="Cambria" w:cstheme="minorHAnsi"/>
        </w:rPr>
        <w:lastRenderedPageBreak/>
        <w:t xml:space="preserve">includes, but is not limited </w:t>
      </w:r>
      <w:proofErr w:type="gramStart"/>
      <w:r w:rsidR="006E75C5" w:rsidRPr="00903864">
        <w:rPr>
          <w:rFonts w:ascii="Cambria" w:hAnsi="Cambria" w:cstheme="minorHAnsi"/>
        </w:rPr>
        <w:t>to:</w:t>
      </w:r>
      <w:proofErr w:type="gramEnd"/>
      <w:r w:rsidR="006E75C5" w:rsidRPr="00903864">
        <w:rPr>
          <w:rFonts w:ascii="Cambria" w:hAnsi="Cambria" w:cstheme="minorHAnsi"/>
        </w:rPr>
        <w:t xml:space="preserve"> correspondence from the Treating Practitioner relevant to the Harm suffered, a hospital discharge summary relevant to the Harm suffered, or investigation results relevant to the Harm suffered. </w:t>
      </w:r>
    </w:p>
    <w:p w14:paraId="5A7D94CF" w14:textId="19D7389D" w:rsidR="00517DA6" w:rsidRPr="00903864" w:rsidRDefault="00517DA6" w:rsidP="00517DA6">
      <w:pPr>
        <w:pStyle w:val="ListBullet"/>
        <w:rPr>
          <w:rFonts w:ascii="Cambria" w:hAnsi="Cambria"/>
        </w:rPr>
      </w:pPr>
      <w:r w:rsidRPr="00903864">
        <w:rPr>
          <w:rFonts w:ascii="Cambria" w:hAnsi="Cambria"/>
        </w:rPr>
        <w:t xml:space="preserve">The relevant field of practice for a qualified practitioner’s diagnosis is listed in tabular form below for each clinical </w:t>
      </w:r>
      <w:r w:rsidR="00332227" w:rsidRPr="00903864">
        <w:rPr>
          <w:rFonts w:ascii="Cambria" w:hAnsi="Cambria"/>
        </w:rPr>
        <w:t xml:space="preserve">claimable </w:t>
      </w:r>
      <w:r w:rsidRPr="00903864">
        <w:rPr>
          <w:rFonts w:ascii="Cambria" w:hAnsi="Cambria"/>
        </w:rPr>
        <w:t>condition covered by the Scheme.</w:t>
      </w:r>
    </w:p>
    <w:p w14:paraId="1EC2A823" w14:textId="77777777" w:rsidR="00517DA6" w:rsidRPr="00903864" w:rsidRDefault="00517DA6" w:rsidP="00517DA6">
      <w:pPr>
        <w:pStyle w:val="ListBullet"/>
        <w:rPr>
          <w:rFonts w:ascii="Cambria" w:hAnsi="Cambria"/>
        </w:rPr>
      </w:pPr>
      <w:r w:rsidRPr="00903864">
        <w:rPr>
          <w:rFonts w:ascii="Cambria" w:hAnsi="Cambria"/>
        </w:rPr>
        <w:t xml:space="preserve">There is no requirement to lodge an adverse event report through the TGA in order to lodge a claim. Adverse event reporting to the TGA is a separate and distinct process to the Scheme. However, adverse event reports form an important part of Australia’s approach to monitoring vaccine safety. </w:t>
      </w:r>
    </w:p>
    <w:p w14:paraId="2CB8FF83" w14:textId="27CD013A" w:rsidR="00517DA6" w:rsidRPr="00903864" w:rsidRDefault="00517DA6" w:rsidP="001D7C0B">
      <w:pPr>
        <w:pStyle w:val="Heading2"/>
        <w:rPr>
          <w:rFonts w:ascii="Cambria" w:hAnsi="Cambria"/>
        </w:rPr>
      </w:pPr>
      <w:bookmarkStart w:id="4" w:name="_Toc153956541"/>
      <w:r w:rsidRPr="00903864">
        <w:rPr>
          <w:rFonts w:ascii="Cambria" w:hAnsi="Cambria"/>
        </w:rPr>
        <w:t>Role of case definitions</w:t>
      </w:r>
      <w:r w:rsidR="00E732B1" w:rsidRPr="00903864">
        <w:rPr>
          <w:rFonts w:ascii="Cambria" w:hAnsi="Cambria"/>
        </w:rPr>
        <w:t xml:space="preserve"> and causality assessment</w:t>
      </w:r>
      <w:r w:rsidRPr="00903864">
        <w:rPr>
          <w:rFonts w:ascii="Cambria" w:hAnsi="Cambria"/>
        </w:rPr>
        <w:t>:</w:t>
      </w:r>
      <w:bookmarkEnd w:id="4"/>
    </w:p>
    <w:p w14:paraId="502F124A" w14:textId="764C3D98" w:rsidR="00517DA6" w:rsidRPr="00903864" w:rsidRDefault="00517DA6" w:rsidP="00517DA6">
      <w:pPr>
        <w:pStyle w:val="ListBullet"/>
        <w:rPr>
          <w:rFonts w:ascii="Cambria" w:hAnsi="Cambria"/>
        </w:rPr>
      </w:pPr>
      <w:bookmarkStart w:id="5" w:name="_Hlk120541989"/>
      <w:r w:rsidRPr="00903864">
        <w:rPr>
          <w:rFonts w:ascii="Cambria" w:hAnsi="Cambria"/>
        </w:rPr>
        <w:t>A treating Medical Practitioner may choose to refer to any of the recommended national or international adverse event following immunisation (AEFI) case definition(s) to assist with expressing the level of diagnostic certainty associated with the claimant’s case</w:t>
      </w:r>
      <w:r w:rsidR="00E90B1B" w:rsidRPr="00903864">
        <w:rPr>
          <w:rFonts w:ascii="Cambria" w:hAnsi="Cambria"/>
        </w:rPr>
        <w:t xml:space="preserve">, for example surveillance case definitions provided by the </w:t>
      </w:r>
      <w:proofErr w:type="spellStart"/>
      <w:r w:rsidR="00E90B1B" w:rsidRPr="00903864">
        <w:rPr>
          <w:rFonts w:ascii="Cambria" w:hAnsi="Cambria"/>
        </w:rPr>
        <w:t>Centers</w:t>
      </w:r>
      <w:proofErr w:type="spellEnd"/>
      <w:r w:rsidR="00E90B1B" w:rsidRPr="00903864">
        <w:rPr>
          <w:rFonts w:ascii="Cambria" w:hAnsi="Cambria"/>
        </w:rPr>
        <w:t xml:space="preserve"> for Disease Control and Prevention, or AEFI case definitions provided by The Brighton Collaboration</w:t>
      </w:r>
      <w:r w:rsidRPr="00903864">
        <w:rPr>
          <w:rFonts w:ascii="Cambria" w:hAnsi="Cambria"/>
        </w:rPr>
        <w:t>. However, the Department of Health and Aged Care accepts that</w:t>
      </w:r>
      <w:r w:rsidR="00096C60" w:rsidRPr="00903864">
        <w:rPr>
          <w:rFonts w:ascii="Cambria" w:hAnsi="Cambria"/>
        </w:rPr>
        <w:t xml:space="preserve"> the use of such case definitions</w:t>
      </w:r>
      <w:r w:rsidR="00E11E03" w:rsidRPr="00903864">
        <w:rPr>
          <w:rFonts w:ascii="Cambria" w:hAnsi="Cambria"/>
        </w:rPr>
        <w:t xml:space="preserve"> is</w:t>
      </w:r>
      <w:r w:rsidR="00096C60" w:rsidRPr="00903864">
        <w:rPr>
          <w:rFonts w:ascii="Cambria" w:hAnsi="Cambria"/>
        </w:rPr>
        <w:t xml:space="preserve"> intended primarily as a pharmacovigilance tool</w:t>
      </w:r>
      <w:r w:rsidR="00AE0DEE" w:rsidRPr="00903864">
        <w:rPr>
          <w:rFonts w:ascii="Cambria" w:hAnsi="Cambria"/>
        </w:rPr>
        <w:t xml:space="preserve"> in the surveillance of adverse event following immunisation</w:t>
      </w:r>
      <w:r w:rsidR="00096C60" w:rsidRPr="00903864">
        <w:rPr>
          <w:rFonts w:ascii="Cambria" w:hAnsi="Cambria"/>
        </w:rPr>
        <w:t>,</w:t>
      </w:r>
      <w:r w:rsidRPr="00903864">
        <w:rPr>
          <w:rFonts w:ascii="Cambria" w:hAnsi="Cambria"/>
        </w:rPr>
        <w:t xml:space="preserve"> </w:t>
      </w:r>
      <w:r w:rsidR="00E11E03" w:rsidRPr="00903864">
        <w:rPr>
          <w:rFonts w:ascii="Cambria" w:hAnsi="Cambria"/>
        </w:rPr>
        <w:t>and this</w:t>
      </w:r>
      <w:r w:rsidRPr="00903864">
        <w:rPr>
          <w:rFonts w:ascii="Cambria" w:hAnsi="Cambria"/>
        </w:rPr>
        <w:t xml:space="preserve"> may not always be in line with an individual’s clinical diagnosis.</w:t>
      </w:r>
      <w:r w:rsidR="00096C60" w:rsidRPr="00903864">
        <w:rPr>
          <w:rFonts w:ascii="Cambria" w:hAnsi="Cambria"/>
        </w:rPr>
        <w:t xml:space="preserve"> </w:t>
      </w:r>
    </w:p>
    <w:p w14:paraId="7C237378" w14:textId="45A409CE" w:rsidR="00E732B1" w:rsidRPr="00903864" w:rsidRDefault="00E732B1" w:rsidP="00517DA6">
      <w:pPr>
        <w:pStyle w:val="ListBullet"/>
        <w:rPr>
          <w:rFonts w:ascii="Cambria" w:hAnsi="Cambria"/>
        </w:rPr>
      </w:pPr>
      <w:r w:rsidRPr="00903864">
        <w:rPr>
          <w:rFonts w:ascii="Cambria" w:hAnsi="Cambria"/>
        </w:rPr>
        <w:t>A treating Medical Practitioner may also choose to refer to formal causality assessment frameworks such as the World Health Organization (WHO) causality assessment of adverse events following immunization.</w:t>
      </w:r>
      <w:r w:rsidRPr="00903864">
        <w:rPr>
          <w:rStyle w:val="FootnoteReference"/>
          <w:rFonts w:ascii="Cambria" w:hAnsi="Cambria"/>
        </w:rPr>
        <w:footnoteReference w:id="1"/>
      </w:r>
      <w:r w:rsidRPr="00903864">
        <w:rPr>
          <w:rFonts w:ascii="Cambria" w:hAnsi="Cambria"/>
        </w:rPr>
        <w:t xml:space="preserve"> However, the Department of Health and Aged care accepts that causality assessment frameworks are not always utilised by practitioners when forming a clinical opinion with regards to causation for an individual’s diagnosis. </w:t>
      </w:r>
    </w:p>
    <w:p w14:paraId="191BCA8D" w14:textId="6AF227C3" w:rsidR="00096C60" w:rsidRPr="00903864" w:rsidRDefault="00096C60" w:rsidP="00517DA6">
      <w:pPr>
        <w:pStyle w:val="ListBullet"/>
        <w:rPr>
          <w:rFonts w:ascii="Cambria" w:hAnsi="Cambria"/>
        </w:rPr>
      </w:pPr>
      <w:r w:rsidRPr="00903864">
        <w:rPr>
          <w:rFonts w:ascii="Cambria" w:hAnsi="Cambria"/>
        </w:rPr>
        <w:t xml:space="preserve">Whilst </w:t>
      </w:r>
      <w:r w:rsidR="00E732B1" w:rsidRPr="00903864">
        <w:rPr>
          <w:rFonts w:ascii="Cambria" w:hAnsi="Cambria"/>
        </w:rPr>
        <w:t>case definition and causality assessment</w:t>
      </w:r>
      <w:r w:rsidRPr="00903864">
        <w:rPr>
          <w:rFonts w:ascii="Cambria" w:hAnsi="Cambria"/>
        </w:rPr>
        <w:t xml:space="preserve"> information, if available, may assist in the assessment of a claim, it is not a requirement. A claim under the Scheme may still undergo medical assessment in the absence of such information. </w:t>
      </w:r>
    </w:p>
    <w:p w14:paraId="5D3E02E6" w14:textId="73956D57" w:rsidR="00517DA6" w:rsidRPr="00903864" w:rsidRDefault="00517DA6" w:rsidP="00517DA6">
      <w:pPr>
        <w:pStyle w:val="ListBullet"/>
        <w:rPr>
          <w:rFonts w:ascii="Cambria" w:hAnsi="Cambria"/>
        </w:rPr>
      </w:pPr>
      <w:r w:rsidRPr="00903864">
        <w:rPr>
          <w:rFonts w:ascii="Cambria" w:hAnsi="Cambria"/>
        </w:rPr>
        <w:t>The Department of Health and Aged Care accepts that the claims approved via the Scheme will not necessarily reflect the TGA’s case numbers</w:t>
      </w:r>
      <w:r w:rsidR="00332227" w:rsidRPr="00903864">
        <w:rPr>
          <w:rFonts w:ascii="Cambria" w:hAnsi="Cambria"/>
        </w:rPr>
        <w:t xml:space="preserve"> of adverse events reported</w:t>
      </w:r>
      <w:r w:rsidRPr="00903864">
        <w:rPr>
          <w:rFonts w:ascii="Cambria" w:hAnsi="Cambria"/>
        </w:rPr>
        <w:t xml:space="preserve"> for that condition due to:</w:t>
      </w:r>
    </w:p>
    <w:p w14:paraId="2F021EBA" w14:textId="6F262AFF" w:rsidR="00517DA6" w:rsidRPr="00903864" w:rsidRDefault="00517DA6" w:rsidP="00517DA6">
      <w:pPr>
        <w:pStyle w:val="ListBullet3"/>
        <w:rPr>
          <w:rFonts w:ascii="Cambria" w:hAnsi="Cambria"/>
        </w:rPr>
      </w:pPr>
      <w:r w:rsidRPr="00903864">
        <w:rPr>
          <w:rFonts w:ascii="Cambria" w:hAnsi="Cambria"/>
        </w:rPr>
        <w:t>The difference between a surveillance case definition</w:t>
      </w:r>
      <w:r w:rsidR="00096C60" w:rsidRPr="00903864">
        <w:rPr>
          <w:rFonts w:ascii="Cambria" w:hAnsi="Cambria"/>
        </w:rPr>
        <w:t xml:space="preserve"> for pharmacovigilance purposes</w:t>
      </w:r>
      <w:r w:rsidRPr="00903864">
        <w:rPr>
          <w:rFonts w:ascii="Cambria" w:hAnsi="Cambria"/>
        </w:rPr>
        <w:t xml:space="preserve"> and a clinical diagnosis for an individual.</w:t>
      </w:r>
    </w:p>
    <w:p w14:paraId="7F6191FE" w14:textId="77777777" w:rsidR="00517DA6" w:rsidRPr="00903864" w:rsidRDefault="00517DA6" w:rsidP="00517DA6">
      <w:pPr>
        <w:pStyle w:val="ListBullet3"/>
        <w:rPr>
          <w:rFonts w:ascii="Cambria" w:hAnsi="Cambria"/>
        </w:rPr>
      </w:pPr>
      <w:r w:rsidRPr="00903864">
        <w:rPr>
          <w:rFonts w:ascii="Cambria" w:hAnsi="Cambria"/>
        </w:rPr>
        <w:t xml:space="preserve">Non-mandatory adverse event reporting to the TGA. </w:t>
      </w:r>
    </w:p>
    <w:p w14:paraId="5D2AC7F7" w14:textId="4169575F" w:rsidR="00517DA6" w:rsidRPr="00903864" w:rsidRDefault="00517DA6" w:rsidP="00517DA6">
      <w:pPr>
        <w:pStyle w:val="ListBullet3"/>
        <w:rPr>
          <w:rFonts w:ascii="Cambria" w:hAnsi="Cambria"/>
        </w:rPr>
      </w:pPr>
      <w:r w:rsidRPr="00903864">
        <w:rPr>
          <w:rFonts w:ascii="Cambria" w:hAnsi="Cambria"/>
        </w:rPr>
        <w:t>No requirement for an adverse event report to be submitted to the TGA for a claim to be approved.</w:t>
      </w:r>
    </w:p>
    <w:p w14:paraId="385C7BE7" w14:textId="77777777" w:rsidR="0071556E" w:rsidRPr="00903864" w:rsidRDefault="0071556E" w:rsidP="0071556E">
      <w:pPr>
        <w:pStyle w:val="Heading2"/>
        <w:rPr>
          <w:rFonts w:ascii="Cambria" w:hAnsi="Cambria"/>
        </w:rPr>
      </w:pPr>
      <w:bookmarkStart w:id="6" w:name="_Toc153956542"/>
      <w:bookmarkEnd w:id="5"/>
      <w:r w:rsidRPr="00903864">
        <w:rPr>
          <w:rFonts w:ascii="Cambria" w:hAnsi="Cambria"/>
        </w:rPr>
        <w:t>Final diagnosis</w:t>
      </w:r>
      <w:bookmarkEnd w:id="6"/>
    </w:p>
    <w:p w14:paraId="4AC7B021" w14:textId="2121D835" w:rsidR="00617041" w:rsidRPr="00903864" w:rsidRDefault="00617041" w:rsidP="00903864">
      <w:pPr>
        <w:spacing w:before="0" w:after="160" w:line="259" w:lineRule="auto"/>
        <w:rPr>
          <w:rFonts w:ascii="Cambria" w:hAnsi="Cambria"/>
        </w:rPr>
      </w:pPr>
      <w:r w:rsidRPr="00903864">
        <w:rPr>
          <w:rFonts w:ascii="Cambria" w:eastAsia="Times New Roman" w:hAnsi="Cambria"/>
          <w:lang w:eastAsia="en-AU"/>
        </w:rPr>
        <w:t xml:space="preserve">In order to assess claimants equitably, all claimants must have an established, or otherwise termed final diagnosis, and either have received or be receiving treatment at the time that the claim is lodged. Symptoms that are indicative of a condition/s but where a claimant does not have a diagnosed condition/s, are not eligible for assessment under the Scheme. </w:t>
      </w:r>
    </w:p>
    <w:p w14:paraId="4F0A319F" w14:textId="01E8606C" w:rsidR="0071556E" w:rsidRPr="00903864" w:rsidRDefault="0071556E" w:rsidP="0071556E">
      <w:pPr>
        <w:pStyle w:val="FootnoteText"/>
        <w:rPr>
          <w:rFonts w:ascii="Cambria" w:hAnsi="Cambria"/>
          <w:sz w:val="24"/>
          <w:szCs w:val="24"/>
        </w:rPr>
      </w:pPr>
      <w:r w:rsidRPr="00903864">
        <w:rPr>
          <w:rFonts w:ascii="Cambria" w:hAnsi="Cambria"/>
          <w:sz w:val="24"/>
          <w:szCs w:val="24"/>
        </w:rPr>
        <w:lastRenderedPageBreak/>
        <w:t>For the purposes of this document, a</w:t>
      </w:r>
      <w:r w:rsidR="00E732B1" w:rsidRPr="00903864">
        <w:rPr>
          <w:rFonts w:ascii="Cambria" w:hAnsi="Cambria"/>
          <w:sz w:val="24"/>
          <w:szCs w:val="24"/>
        </w:rPr>
        <w:t>n established, or otherwise termed</w:t>
      </w:r>
      <w:r w:rsidRPr="00903864">
        <w:rPr>
          <w:rFonts w:ascii="Cambria" w:hAnsi="Cambria"/>
          <w:sz w:val="24"/>
          <w:szCs w:val="24"/>
        </w:rPr>
        <w:t xml:space="preserve"> ‘final’</w:t>
      </w:r>
      <w:r w:rsidR="00E732B1" w:rsidRPr="00903864">
        <w:rPr>
          <w:rFonts w:ascii="Cambria" w:hAnsi="Cambria"/>
          <w:sz w:val="24"/>
          <w:szCs w:val="24"/>
        </w:rPr>
        <w:t>,</w:t>
      </w:r>
      <w:r w:rsidRPr="00903864">
        <w:rPr>
          <w:rFonts w:ascii="Cambria" w:hAnsi="Cambria"/>
          <w:sz w:val="24"/>
          <w:szCs w:val="24"/>
        </w:rPr>
        <w:t xml:space="preserve"> diagnosis is a recognised medical condition that: </w:t>
      </w:r>
    </w:p>
    <w:p w14:paraId="551E7F65" w14:textId="77777777" w:rsidR="0071556E" w:rsidRPr="00903864" w:rsidRDefault="0071556E" w:rsidP="0071556E">
      <w:pPr>
        <w:pStyle w:val="FootnoteText"/>
        <w:numPr>
          <w:ilvl w:val="0"/>
          <w:numId w:val="18"/>
        </w:numPr>
        <w:rPr>
          <w:rFonts w:ascii="Cambria" w:hAnsi="Cambria"/>
          <w:sz w:val="24"/>
          <w:szCs w:val="24"/>
        </w:rPr>
      </w:pPr>
      <w:r w:rsidRPr="00903864">
        <w:rPr>
          <w:rFonts w:ascii="Cambria" w:hAnsi="Cambria"/>
          <w:sz w:val="24"/>
          <w:szCs w:val="24"/>
        </w:rPr>
        <w:t xml:space="preserve">has been identified by an Australian registered Medical Practitioner through the evaluation of patient history, examination and review of relevant laboratory and imaging </w:t>
      </w:r>
      <w:proofErr w:type="gramStart"/>
      <w:r w:rsidRPr="00903864">
        <w:rPr>
          <w:rFonts w:ascii="Cambria" w:hAnsi="Cambria"/>
          <w:sz w:val="24"/>
          <w:szCs w:val="24"/>
        </w:rPr>
        <w:t>data;</w:t>
      </w:r>
      <w:proofErr w:type="gramEnd"/>
      <w:r w:rsidRPr="00903864">
        <w:rPr>
          <w:rFonts w:ascii="Cambria" w:hAnsi="Cambria"/>
          <w:sz w:val="24"/>
          <w:szCs w:val="24"/>
        </w:rPr>
        <w:t xml:space="preserve"> </w:t>
      </w:r>
    </w:p>
    <w:p w14:paraId="0E0A2F58" w14:textId="77777777" w:rsidR="0071556E" w:rsidRPr="00903864" w:rsidRDefault="0071556E" w:rsidP="0071556E">
      <w:pPr>
        <w:pStyle w:val="FootnoteText"/>
        <w:numPr>
          <w:ilvl w:val="0"/>
          <w:numId w:val="18"/>
        </w:numPr>
        <w:rPr>
          <w:rFonts w:ascii="Cambria" w:hAnsi="Cambria"/>
          <w:sz w:val="24"/>
          <w:szCs w:val="24"/>
        </w:rPr>
      </w:pPr>
      <w:r w:rsidRPr="00903864">
        <w:rPr>
          <w:rFonts w:ascii="Cambria" w:hAnsi="Cambria"/>
          <w:sz w:val="24"/>
          <w:szCs w:val="24"/>
        </w:rPr>
        <w:t xml:space="preserve">has entailed consideration and exclusion of relevant differential </w:t>
      </w:r>
      <w:proofErr w:type="gramStart"/>
      <w:r w:rsidRPr="00903864">
        <w:rPr>
          <w:rFonts w:ascii="Cambria" w:hAnsi="Cambria"/>
          <w:sz w:val="24"/>
          <w:szCs w:val="24"/>
        </w:rPr>
        <w:t>diagnoses;</w:t>
      </w:r>
      <w:proofErr w:type="gramEnd"/>
      <w:r w:rsidRPr="00903864">
        <w:rPr>
          <w:rFonts w:ascii="Cambria" w:hAnsi="Cambria"/>
          <w:sz w:val="24"/>
          <w:szCs w:val="24"/>
        </w:rPr>
        <w:t xml:space="preserve"> </w:t>
      </w:r>
    </w:p>
    <w:p w14:paraId="37C6FACB" w14:textId="77777777" w:rsidR="0071556E" w:rsidRPr="00903864" w:rsidRDefault="0071556E" w:rsidP="0071556E">
      <w:pPr>
        <w:pStyle w:val="FootnoteText"/>
        <w:numPr>
          <w:ilvl w:val="0"/>
          <w:numId w:val="18"/>
        </w:numPr>
        <w:rPr>
          <w:rFonts w:ascii="Cambria" w:hAnsi="Cambria"/>
          <w:sz w:val="24"/>
          <w:szCs w:val="24"/>
        </w:rPr>
      </w:pPr>
      <w:r w:rsidRPr="00903864">
        <w:rPr>
          <w:rFonts w:ascii="Cambria" w:hAnsi="Cambria"/>
          <w:sz w:val="24"/>
          <w:szCs w:val="24"/>
        </w:rPr>
        <w:t xml:space="preserve">lacks clinical uncertainty due to completion of standard medical processes required to establish the existence of the medical condition. </w:t>
      </w:r>
    </w:p>
    <w:p w14:paraId="678FFD95" w14:textId="77777777" w:rsidR="0071556E" w:rsidRPr="00903864" w:rsidRDefault="0071556E" w:rsidP="0071556E">
      <w:pPr>
        <w:rPr>
          <w:rFonts w:ascii="Cambria" w:hAnsi="Cambria"/>
        </w:rPr>
      </w:pPr>
      <w:r w:rsidRPr="00903864">
        <w:rPr>
          <w:rFonts w:ascii="Cambria" w:hAnsi="Cambria"/>
        </w:rPr>
        <w:t>For the avoidance of doubt, a treating doctor discussing a symptom or sign experienced by the patient is not considered a final diagnosis. It is noted that an administrative analysis of clinical evidence may, at times, differ from what would otherwise be considered typical in clinical practice. It is also acknowledged that diagnostic opinions may change over time, and this evolution of clinical opinion will not, of itself, preclude the administrative Criteria listed herein from being satisfied.</w:t>
      </w:r>
    </w:p>
    <w:p w14:paraId="7D91AFCD" w14:textId="2EFA34DE" w:rsidR="00517DA6" w:rsidRPr="00903864" w:rsidRDefault="00517DA6" w:rsidP="001D7C0B">
      <w:pPr>
        <w:pStyle w:val="Heading2"/>
        <w:rPr>
          <w:rFonts w:ascii="Cambria" w:hAnsi="Cambria"/>
        </w:rPr>
      </w:pPr>
      <w:bookmarkStart w:id="7" w:name="_Toc153956543"/>
      <w:r w:rsidRPr="00903864">
        <w:rPr>
          <w:rFonts w:ascii="Cambria" w:hAnsi="Cambria"/>
        </w:rPr>
        <w:t>Claimable vaccines and clinical conditions:</w:t>
      </w:r>
      <w:bookmarkEnd w:id="7"/>
    </w:p>
    <w:p w14:paraId="591236C5" w14:textId="414715E9" w:rsidR="00517DA6" w:rsidRPr="00903864" w:rsidRDefault="00517DA6" w:rsidP="00517DA6">
      <w:pPr>
        <w:rPr>
          <w:rFonts w:ascii="Cambria" w:hAnsi="Cambria"/>
        </w:rPr>
      </w:pPr>
      <w:r w:rsidRPr="00903864">
        <w:rPr>
          <w:rFonts w:ascii="Cambria" w:hAnsi="Cambria"/>
        </w:rPr>
        <w:t xml:space="preserve">A list of TGA approved COVID-19 vaccines is available on the </w:t>
      </w:r>
      <w:hyperlink r:id="rId8" w:history="1">
        <w:r w:rsidRPr="00903864">
          <w:rPr>
            <w:rStyle w:val="Hyperlink"/>
            <w:rFonts w:ascii="Cambria" w:hAnsi="Cambria" w:cstheme="minorHAnsi"/>
          </w:rPr>
          <w:t>TGA website</w:t>
        </w:r>
      </w:hyperlink>
      <w:r w:rsidRPr="00903864">
        <w:rPr>
          <w:rFonts w:ascii="Cambria" w:hAnsi="Cambria"/>
        </w:rPr>
        <w:t>. Please note that not all registered COVID-19 vaccines listed on this website are supplied, or part of the vaccine roll-out in Australia.</w:t>
      </w:r>
    </w:p>
    <w:p w14:paraId="2ACC019A" w14:textId="6C73DEFD" w:rsidR="00517DA6" w:rsidRPr="00903864" w:rsidRDefault="00517DA6" w:rsidP="00517DA6">
      <w:pPr>
        <w:spacing w:before="0" w:after="160" w:line="259" w:lineRule="auto"/>
        <w:rPr>
          <w:rFonts w:ascii="Cambria" w:hAnsi="Cambria"/>
        </w:rPr>
      </w:pPr>
      <w:r w:rsidRPr="00FC5AAB">
        <w:rPr>
          <w:rFonts w:ascii="Cambria" w:hAnsi="Cambria"/>
        </w:rPr>
        <w:t>Conditions claimable under the Scheme for a COVID-19 vaccine can be found in the</w:t>
      </w:r>
      <w:r w:rsidRPr="00FC5AAB">
        <w:rPr>
          <w:rFonts w:ascii="Cambria" w:eastAsia="Times New Roman" w:hAnsi="Cambria"/>
          <w:lang w:eastAsia="en-AU"/>
        </w:rPr>
        <w:t xml:space="preserve"> COVID-19 Vaccine Claims Scheme Policy 2021, Version 1.</w:t>
      </w:r>
      <w:r w:rsidR="00DE6874" w:rsidRPr="00FC5AAB">
        <w:rPr>
          <w:rFonts w:ascii="Cambria" w:eastAsia="Times New Roman" w:hAnsi="Cambria"/>
          <w:lang w:eastAsia="en-AU"/>
        </w:rPr>
        <w:t>5</w:t>
      </w:r>
      <w:r w:rsidRPr="00FC5AAB">
        <w:rPr>
          <w:rFonts w:ascii="Cambria" w:eastAsia="Times New Roman" w:hAnsi="Cambria"/>
          <w:lang w:eastAsia="en-AU"/>
        </w:rPr>
        <w:t xml:space="preserve">, dated </w:t>
      </w:r>
      <w:r w:rsidR="005E196B" w:rsidRPr="00FC5AAB">
        <w:rPr>
          <w:rFonts w:ascii="Cambria" w:eastAsia="Times New Roman" w:hAnsi="Cambria"/>
          <w:lang w:eastAsia="en-AU"/>
        </w:rPr>
        <w:t xml:space="preserve">13 </w:t>
      </w:r>
      <w:r w:rsidR="00485A34" w:rsidRPr="00FC5AAB">
        <w:rPr>
          <w:rFonts w:ascii="Cambria" w:eastAsia="Times New Roman" w:hAnsi="Cambria"/>
          <w:lang w:eastAsia="en-AU"/>
        </w:rPr>
        <w:t xml:space="preserve">December </w:t>
      </w:r>
      <w:r w:rsidR="00DE6874" w:rsidRPr="00FC5AAB">
        <w:rPr>
          <w:rFonts w:ascii="Cambria" w:eastAsia="Times New Roman" w:hAnsi="Cambria"/>
          <w:lang w:eastAsia="en-AU"/>
        </w:rPr>
        <w:t xml:space="preserve">2023. </w:t>
      </w:r>
    </w:p>
    <w:p w14:paraId="5345096D" w14:textId="29AC0121" w:rsidR="00AB2525" w:rsidRPr="00903864" w:rsidRDefault="00517DA6" w:rsidP="00517DA6">
      <w:pPr>
        <w:spacing w:after="180"/>
        <w:rPr>
          <w:rFonts w:ascii="Cambria" w:hAnsi="Cambria"/>
        </w:rPr>
      </w:pPr>
      <w:r w:rsidRPr="00903864">
        <w:rPr>
          <w:rFonts w:ascii="Cambria" w:hAnsi="Cambria" w:cstheme="minorHAnsi"/>
        </w:rPr>
        <w:t xml:space="preserve">Claims against the following conditions are eligible for lodgement. These conditions are also referred to as ‘claimable </w:t>
      </w:r>
      <w:proofErr w:type="gramStart"/>
      <w:r w:rsidRPr="00903864">
        <w:rPr>
          <w:rFonts w:ascii="Cambria" w:hAnsi="Cambria" w:cstheme="minorHAnsi"/>
        </w:rPr>
        <w:t>conditions’</w:t>
      </w:r>
      <w:proofErr w:type="gramEnd"/>
      <w:r w:rsidRPr="00903864">
        <w:rPr>
          <w:rFonts w:ascii="Cambria" w:hAnsi="Cambria" w:cstheme="minorHAnsi"/>
        </w:rPr>
        <w:t>.</w:t>
      </w:r>
      <w:r w:rsidRPr="00903864">
        <w:rPr>
          <w:rFonts w:ascii="Cambria" w:hAnsi="Cambria"/>
        </w:rPr>
        <w:t xml:space="preserve"> </w:t>
      </w:r>
    </w:p>
    <w:tbl>
      <w:tblPr>
        <w:tblStyle w:val="TableTGAblack"/>
        <w:tblW w:w="5000" w:type="pct"/>
        <w:tblLook w:val="04A0" w:firstRow="1" w:lastRow="0" w:firstColumn="1" w:lastColumn="0" w:noHBand="0" w:noVBand="1"/>
        <w:tblDescription w:val="Claims against the following conditions are eligible for lodgement."/>
      </w:tblPr>
      <w:tblGrid>
        <w:gridCol w:w="5453"/>
        <w:gridCol w:w="3563"/>
      </w:tblGrid>
      <w:tr w:rsidR="00517DA6" w:rsidRPr="00903864" w14:paraId="38050524" w14:textId="77777777" w:rsidTr="00B101DB">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100" w:firstRow="0" w:lastRow="0" w:firstColumn="1" w:lastColumn="0" w:oddVBand="0" w:evenVBand="0" w:oddHBand="0" w:evenHBand="0" w:firstRowFirstColumn="1" w:firstRowLastColumn="0" w:lastRowFirstColumn="0" w:lastRowLastColumn="0"/>
            <w:tcW w:w="3024" w:type="pct"/>
          </w:tcPr>
          <w:p w14:paraId="42137568" w14:textId="77777777" w:rsidR="00517DA6" w:rsidRPr="00903864" w:rsidRDefault="00517DA6" w:rsidP="00B101DB">
            <w:r w:rsidRPr="00903864">
              <w:t>Clinical Condition</w:t>
            </w:r>
          </w:p>
        </w:tc>
        <w:tc>
          <w:tcPr>
            <w:tcW w:w="1976" w:type="pct"/>
          </w:tcPr>
          <w:p w14:paraId="7F8BFA0F" w14:textId="77777777" w:rsidR="00517DA6" w:rsidRPr="00903864" w:rsidRDefault="00517DA6" w:rsidP="00B101DB">
            <w:pPr>
              <w:cnfStyle w:val="100000000000" w:firstRow="1" w:lastRow="0" w:firstColumn="0" w:lastColumn="0" w:oddVBand="0" w:evenVBand="0" w:oddHBand="0" w:evenHBand="0" w:firstRowFirstColumn="0" w:firstRowLastColumn="0" w:lastRowFirstColumn="0" w:lastRowLastColumn="0"/>
              <w:rPr>
                <w:rFonts w:ascii="Cambria" w:hAnsi="Cambria"/>
              </w:rPr>
            </w:pPr>
            <w:r w:rsidRPr="00903864">
              <w:rPr>
                <w:rFonts w:ascii="Cambria" w:hAnsi="Cambria"/>
              </w:rPr>
              <w:t>Applicable Vaccine(s)</w:t>
            </w:r>
          </w:p>
        </w:tc>
      </w:tr>
      <w:tr w:rsidR="00517DA6" w:rsidRPr="00903864" w14:paraId="37E317C3" w14:textId="77777777" w:rsidTr="00B101DB">
        <w:tc>
          <w:tcPr>
            <w:cnfStyle w:val="001000000000" w:firstRow="0" w:lastRow="0" w:firstColumn="1" w:lastColumn="0" w:oddVBand="0" w:evenVBand="0" w:oddHBand="0" w:evenHBand="0" w:firstRowFirstColumn="0" w:firstRowLastColumn="0" w:lastRowFirstColumn="0" w:lastRowLastColumn="0"/>
            <w:tcW w:w="3024" w:type="pct"/>
          </w:tcPr>
          <w:p w14:paraId="33A2FAF0" w14:textId="77777777" w:rsidR="00517DA6" w:rsidRPr="00903864" w:rsidRDefault="00517DA6" w:rsidP="00B101DB">
            <w:r w:rsidRPr="00903864">
              <w:t>Anaphylactic reaction</w:t>
            </w:r>
          </w:p>
        </w:tc>
        <w:tc>
          <w:tcPr>
            <w:tcW w:w="1976" w:type="pct"/>
          </w:tcPr>
          <w:p w14:paraId="0E81A042" w14:textId="77777777" w:rsidR="00517DA6" w:rsidRPr="00903864" w:rsidRDefault="00517DA6" w:rsidP="00B101DB">
            <w:pPr>
              <w:pStyle w:val="ListBullet"/>
              <w:numPr>
                <w:ilvl w:val="0"/>
                <w:numId w:val="0"/>
              </w:numPr>
              <w:ind w:left="360"/>
              <w:cnfStyle w:val="000000000000" w:firstRow="0" w:lastRow="0" w:firstColumn="0" w:lastColumn="0" w:oddVBand="0" w:evenVBand="0" w:oddHBand="0" w:evenHBand="0" w:firstRowFirstColumn="0" w:firstRowLastColumn="0" w:lastRowFirstColumn="0" w:lastRowLastColumn="0"/>
            </w:pPr>
            <w:proofErr w:type="spellStart"/>
            <w:r w:rsidRPr="00903864">
              <w:t>Vaxzevria</w:t>
            </w:r>
            <w:proofErr w:type="spellEnd"/>
            <w:r w:rsidRPr="00903864">
              <w:t xml:space="preserve"> (AstraZeneca)</w:t>
            </w:r>
          </w:p>
          <w:p w14:paraId="1DEDBA01" w14:textId="77777777" w:rsidR="00517DA6" w:rsidRPr="00903864" w:rsidRDefault="00517DA6" w:rsidP="00B101DB">
            <w:pPr>
              <w:pStyle w:val="ListBullet"/>
              <w:numPr>
                <w:ilvl w:val="0"/>
                <w:numId w:val="0"/>
              </w:numPr>
              <w:ind w:left="360"/>
              <w:cnfStyle w:val="000000000000" w:firstRow="0" w:lastRow="0" w:firstColumn="0" w:lastColumn="0" w:oddVBand="0" w:evenVBand="0" w:oddHBand="0" w:evenHBand="0" w:firstRowFirstColumn="0" w:firstRowLastColumn="0" w:lastRowFirstColumn="0" w:lastRowLastColumn="0"/>
            </w:pPr>
            <w:r w:rsidRPr="00903864">
              <w:t>Comirnaty (Pfizer)</w:t>
            </w:r>
          </w:p>
          <w:p w14:paraId="44056A6A" w14:textId="77777777" w:rsidR="00517DA6" w:rsidRPr="00903864" w:rsidRDefault="00517DA6" w:rsidP="00B101DB">
            <w:pPr>
              <w:pStyle w:val="ListBullet"/>
              <w:numPr>
                <w:ilvl w:val="0"/>
                <w:numId w:val="0"/>
              </w:numPr>
              <w:ind w:left="360"/>
              <w:cnfStyle w:val="000000000000" w:firstRow="0" w:lastRow="0" w:firstColumn="0" w:lastColumn="0" w:oddVBand="0" w:evenVBand="0" w:oddHBand="0" w:evenHBand="0" w:firstRowFirstColumn="0" w:firstRowLastColumn="0" w:lastRowFirstColumn="0" w:lastRowLastColumn="0"/>
            </w:pPr>
            <w:r w:rsidRPr="00903864">
              <w:t>Spikevax (Moderna)</w:t>
            </w:r>
          </w:p>
          <w:p w14:paraId="1ED04B3D" w14:textId="77777777" w:rsidR="00517DA6" w:rsidRPr="00903864" w:rsidRDefault="00517DA6" w:rsidP="00B101DB">
            <w:pPr>
              <w:pStyle w:val="ListBullet"/>
              <w:numPr>
                <w:ilvl w:val="0"/>
                <w:numId w:val="0"/>
              </w:numPr>
              <w:ind w:left="360"/>
              <w:cnfStyle w:val="000000000000" w:firstRow="0" w:lastRow="0" w:firstColumn="0" w:lastColumn="0" w:oddVBand="0" w:evenVBand="0" w:oddHBand="0" w:evenHBand="0" w:firstRowFirstColumn="0" w:firstRowLastColumn="0" w:lastRowFirstColumn="0" w:lastRowLastColumn="0"/>
            </w:pPr>
            <w:r w:rsidRPr="00903864">
              <w:t>Nuvaxovid (Novavax)</w:t>
            </w:r>
          </w:p>
        </w:tc>
      </w:tr>
      <w:tr w:rsidR="00517DA6" w:rsidRPr="00903864" w14:paraId="551DB7D3" w14:textId="77777777" w:rsidTr="00B101DB">
        <w:tc>
          <w:tcPr>
            <w:cnfStyle w:val="001000000000" w:firstRow="0" w:lastRow="0" w:firstColumn="1" w:lastColumn="0" w:oddVBand="0" w:evenVBand="0" w:oddHBand="0" w:evenHBand="0" w:firstRowFirstColumn="0" w:firstRowLastColumn="0" w:lastRowFirstColumn="0" w:lastRowLastColumn="0"/>
            <w:tcW w:w="3024" w:type="pct"/>
          </w:tcPr>
          <w:p w14:paraId="1E135AF3" w14:textId="77777777" w:rsidR="00517DA6" w:rsidRPr="00903864" w:rsidRDefault="00517DA6" w:rsidP="00B101DB">
            <w:r w:rsidRPr="00903864">
              <w:t>Thrombosis with Thrombocytopenia Syndrome</w:t>
            </w:r>
          </w:p>
        </w:tc>
        <w:tc>
          <w:tcPr>
            <w:tcW w:w="1976" w:type="pct"/>
          </w:tcPr>
          <w:p w14:paraId="6794DE36" w14:textId="77777777" w:rsidR="00517DA6" w:rsidRPr="00903864" w:rsidRDefault="00517DA6" w:rsidP="00B101DB">
            <w:pPr>
              <w:pStyle w:val="ListBullet"/>
              <w:numPr>
                <w:ilvl w:val="0"/>
                <w:numId w:val="0"/>
              </w:numPr>
              <w:ind w:left="360"/>
              <w:cnfStyle w:val="000000000000" w:firstRow="0" w:lastRow="0" w:firstColumn="0" w:lastColumn="0" w:oddVBand="0" w:evenVBand="0" w:oddHBand="0" w:evenHBand="0" w:firstRowFirstColumn="0" w:firstRowLastColumn="0" w:lastRowFirstColumn="0" w:lastRowLastColumn="0"/>
            </w:pPr>
            <w:proofErr w:type="spellStart"/>
            <w:r w:rsidRPr="00903864">
              <w:t>Vaxzevria</w:t>
            </w:r>
            <w:proofErr w:type="spellEnd"/>
            <w:r w:rsidRPr="00903864">
              <w:t xml:space="preserve"> (AstraZeneca)</w:t>
            </w:r>
          </w:p>
        </w:tc>
      </w:tr>
      <w:tr w:rsidR="00517DA6" w:rsidRPr="00903864" w14:paraId="265869CC" w14:textId="77777777" w:rsidTr="00B101DB">
        <w:tc>
          <w:tcPr>
            <w:cnfStyle w:val="001000000000" w:firstRow="0" w:lastRow="0" w:firstColumn="1" w:lastColumn="0" w:oddVBand="0" w:evenVBand="0" w:oddHBand="0" w:evenHBand="0" w:firstRowFirstColumn="0" w:firstRowLastColumn="0" w:lastRowFirstColumn="0" w:lastRowLastColumn="0"/>
            <w:tcW w:w="3024" w:type="pct"/>
          </w:tcPr>
          <w:p w14:paraId="7021FD4E" w14:textId="77777777" w:rsidR="00517DA6" w:rsidRPr="00903864" w:rsidRDefault="00517DA6" w:rsidP="00B101DB">
            <w:r w:rsidRPr="00903864">
              <w:t xml:space="preserve">Myocarditis </w:t>
            </w:r>
          </w:p>
        </w:tc>
        <w:tc>
          <w:tcPr>
            <w:tcW w:w="1976" w:type="pct"/>
          </w:tcPr>
          <w:p w14:paraId="62FF8980" w14:textId="77777777" w:rsidR="00517DA6" w:rsidRPr="00903864" w:rsidRDefault="00517DA6" w:rsidP="00B101DB">
            <w:pPr>
              <w:pStyle w:val="ListBullet"/>
              <w:numPr>
                <w:ilvl w:val="0"/>
                <w:numId w:val="0"/>
              </w:numPr>
              <w:ind w:left="360"/>
              <w:cnfStyle w:val="000000000000" w:firstRow="0" w:lastRow="0" w:firstColumn="0" w:lastColumn="0" w:oddVBand="0" w:evenVBand="0" w:oddHBand="0" w:evenHBand="0" w:firstRowFirstColumn="0" w:firstRowLastColumn="0" w:lastRowFirstColumn="0" w:lastRowLastColumn="0"/>
            </w:pPr>
            <w:r w:rsidRPr="00903864">
              <w:t>Comirnaty (Pfizer)</w:t>
            </w:r>
          </w:p>
          <w:p w14:paraId="004AF08F" w14:textId="77777777" w:rsidR="00517DA6" w:rsidRPr="00903864" w:rsidRDefault="00517DA6" w:rsidP="00B101DB">
            <w:pPr>
              <w:pStyle w:val="ListBullet"/>
              <w:numPr>
                <w:ilvl w:val="0"/>
                <w:numId w:val="0"/>
              </w:numPr>
              <w:ind w:left="360"/>
              <w:cnfStyle w:val="000000000000" w:firstRow="0" w:lastRow="0" w:firstColumn="0" w:lastColumn="0" w:oddVBand="0" w:evenVBand="0" w:oddHBand="0" w:evenHBand="0" w:firstRowFirstColumn="0" w:firstRowLastColumn="0" w:lastRowFirstColumn="0" w:lastRowLastColumn="0"/>
            </w:pPr>
            <w:r w:rsidRPr="00903864">
              <w:t>Spikevax (Moderna)</w:t>
            </w:r>
          </w:p>
          <w:p w14:paraId="55FB577E" w14:textId="77777777" w:rsidR="00517DA6" w:rsidRPr="00903864" w:rsidRDefault="00517DA6" w:rsidP="00B101DB">
            <w:pPr>
              <w:pStyle w:val="ListBullet"/>
              <w:numPr>
                <w:ilvl w:val="0"/>
                <w:numId w:val="0"/>
              </w:numPr>
              <w:ind w:left="360"/>
              <w:cnfStyle w:val="000000000000" w:firstRow="0" w:lastRow="0" w:firstColumn="0" w:lastColumn="0" w:oddVBand="0" w:evenVBand="0" w:oddHBand="0" w:evenHBand="0" w:firstRowFirstColumn="0" w:firstRowLastColumn="0" w:lastRowFirstColumn="0" w:lastRowLastColumn="0"/>
            </w:pPr>
            <w:r w:rsidRPr="00903864">
              <w:t>Nuvaxovid (Novavax)</w:t>
            </w:r>
          </w:p>
        </w:tc>
      </w:tr>
      <w:tr w:rsidR="00517DA6" w:rsidRPr="00903864" w14:paraId="5759DF3F" w14:textId="77777777" w:rsidTr="00B101DB">
        <w:tc>
          <w:tcPr>
            <w:cnfStyle w:val="001000000000" w:firstRow="0" w:lastRow="0" w:firstColumn="1" w:lastColumn="0" w:oddVBand="0" w:evenVBand="0" w:oddHBand="0" w:evenHBand="0" w:firstRowFirstColumn="0" w:firstRowLastColumn="0" w:lastRowFirstColumn="0" w:lastRowLastColumn="0"/>
            <w:tcW w:w="3024" w:type="pct"/>
          </w:tcPr>
          <w:p w14:paraId="28DF83FD" w14:textId="77777777" w:rsidR="00517DA6" w:rsidRPr="00903864" w:rsidRDefault="00517DA6" w:rsidP="00B101DB">
            <w:r w:rsidRPr="00903864">
              <w:t>Pericarditis</w:t>
            </w:r>
          </w:p>
        </w:tc>
        <w:tc>
          <w:tcPr>
            <w:tcW w:w="1976" w:type="pct"/>
          </w:tcPr>
          <w:p w14:paraId="21D74253" w14:textId="77777777" w:rsidR="00517DA6" w:rsidRPr="00903864" w:rsidRDefault="00517DA6" w:rsidP="00B101DB">
            <w:pPr>
              <w:pStyle w:val="ListBullet"/>
              <w:numPr>
                <w:ilvl w:val="0"/>
                <w:numId w:val="0"/>
              </w:numPr>
              <w:ind w:left="360"/>
              <w:cnfStyle w:val="000000000000" w:firstRow="0" w:lastRow="0" w:firstColumn="0" w:lastColumn="0" w:oddVBand="0" w:evenVBand="0" w:oddHBand="0" w:evenHBand="0" w:firstRowFirstColumn="0" w:firstRowLastColumn="0" w:lastRowFirstColumn="0" w:lastRowLastColumn="0"/>
            </w:pPr>
            <w:r w:rsidRPr="00903864">
              <w:t>Comirnaty (Pfizer)</w:t>
            </w:r>
          </w:p>
          <w:p w14:paraId="5A183395" w14:textId="77777777" w:rsidR="00517DA6" w:rsidRPr="00903864" w:rsidRDefault="00517DA6" w:rsidP="00B101DB">
            <w:pPr>
              <w:pStyle w:val="ListBullet"/>
              <w:numPr>
                <w:ilvl w:val="0"/>
                <w:numId w:val="0"/>
              </w:numPr>
              <w:ind w:left="360"/>
              <w:cnfStyle w:val="000000000000" w:firstRow="0" w:lastRow="0" w:firstColumn="0" w:lastColumn="0" w:oddVBand="0" w:evenVBand="0" w:oddHBand="0" w:evenHBand="0" w:firstRowFirstColumn="0" w:firstRowLastColumn="0" w:lastRowFirstColumn="0" w:lastRowLastColumn="0"/>
            </w:pPr>
            <w:r w:rsidRPr="00903864">
              <w:t>Spikevax (Moderna)</w:t>
            </w:r>
          </w:p>
          <w:p w14:paraId="6D7FB544" w14:textId="77777777" w:rsidR="00517DA6" w:rsidRPr="00903864" w:rsidRDefault="00517DA6" w:rsidP="00B101DB">
            <w:pPr>
              <w:pStyle w:val="ListBullet"/>
              <w:numPr>
                <w:ilvl w:val="0"/>
                <w:numId w:val="0"/>
              </w:numPr>
              <w:ind w:left="360"/>
              <w:cnfStyle w:val="000000000000" w:firstRow="0" w:lastRow="0" w:firstColumn="0" w:lastColumn="0" w:oddVBand="0" w:evenVBand="0" w:oddHBand="0" w:evenHBand="0" w:firstRowFirstColumn="0" w:firstRowLastColumn="0" w:lastRowFirstColumn="0" w:lastRowLastColumn="0"/>
            </w:pPr>
            <w:r w:rsidRPr="00903864">
              <w:t>Nuvaxovid (Novavax)</w:t>
            </w:r>
          </w:p>
        </w:tc>
      </w:tr>
      <w:tr w:rsidR="00517DA6" w:rsidRPr="00903864" w14:paraId="3977066D" w14:textId="77777777" w:rsidTr="00B101DB">
        <w:tc>
          <w:tcPr>
            <w:cnfStyle w:val="001000000000" w:firstRow="0" w:lastRow="0" w:firstColumn="1" w:lastColumn="0" w:oddVBand="0" w:evenVBand="0" w:oddHBand="0" w:evenHBand="0" w:firstRowFirstColumn="0" w:firstRowLastColumn="0" w:lastRowFirstColumn="0" w:lastRowLastColumn="0"/>
            <w:tcW w:w="3024" w:type="pct"/>
          </w:tcPr>
          <w:p w14:paraId="2DD6634E" w14:textId="77777777" w:rsidR="00517DA6" w:rsidRPr="00903864" w:rsidRDefault="00517DA6" w:rsidP="00B101DB">
            <w:r w:rsidRPr="00903864">
              <w:t>Capillary Leak Syndrome</w:t>
            </w:r>
          </w:p>
        </w:tc>
        <w:tc>
          <w:tcPr>
            <w:tcW w:w="1976" w:type="pct"/>
          </w:tcPr>
          <w:p w14:paraId="14AC8500" w14:textId="77777777" w:rsidR="00517DA6" w:rsidRPr="00903864" w:rsidRDefault="00517DA6" w:rsidP="00B101DB">
            <w:pPr>
              <w:pStyle w:val="ListBullet"/>
              <w:numPr>
                <w:ilvl w:val="0"/>
                <w:numId w:val="0"/>
              </w:numPr>
              <w:ind w:left="360"/>
              <w:cnfStyle w:val="000000000000" w:firstRow="0" w:lastRow="0" w:firstColumn="0" w:lastColumn="0" w:oddVBand="0" w:evenVBand="0" w:oddHBand="0" w:evenHBand="0" w:firstRowFirstColumn="0" w:firstRowLastColumn="0" w:lastRowFirstColumn="0" w:lastRowLastColumn="0"/>
            </w:pPr>
            <w:proofErr w:type="spellStart"/>
            <w:r w:rsidRPr="00903864">
              <w:t>Vaxzevria</w:t>
            </w:r>
            <w:proofErr w:type="spellEnd"/>
            <w:r w:rsidRPr="00903864">
              <w:t xml:space="preserve"> (AstraZeneca)</w:t>
            </w:r>
          </w:p>
        </w:tc>
      </w:tr>
      <w:tr w:rsidR="00517DA6" w:rsidRPr="00903864" w14:paraId="2F4DC742" w14:textId="77777777" w:rsidTr="00B101DB">
        <w:tc>
          <w:tcPr>
            <w:cnfStyle w:val="001000000000" w:firstRow="0" w:lastRow="0" w:firstColumn="1" w:lastColumn="0" w:oddVBand="0" w:evenVBand="0" w:oddHBand="0" w:evenHBand="0" w:firstRowFirstColumn="0" w:firstRowLastColumn="0" w:lastRowFirstColumn="0" w:lastRowLastColumn="0"/>
            <w:tcW w:w="3024" w:type="pct"/>
          </w:tcPr>
          <w:p w14:paraId="263E4AA2" w14:textId="77777777" w:rsidR="00517DA6" w:rsidRPr="00903864" w:rsidRDefault="00517DA6" w:rsidP="00B101DB">
            <w:r w:rsidRPr="00903864">
              <w:t>Guillain Barré Syndrome (GBS)</w:t>
            </w:r>
          </w:p>
        </w:tc>
        <w:tc>
          <w:tcPr>
            <w:tcW w:w="1976" w:type="pct"/>
          </w:tcPr>
          <w:p w14:paraId="3EC1E3D2" w14:textId="77777777" w:rsidR="00517DA6" w:rsidRPr="00903864" w:rsidRDefault="00517DA6" w:rsidP="00B101DB">
            <w:pPr>
              <w:pStyle w:val="ListBullet"/>
              <w:numPr>
                <w:ilvl w:val="0"/>
                <w:numId w:val="0"/>
              </w:numPr>
              <w:ind w:left="360"/>
              <w:cnfStyle w:val="000000000000" w:firstRow="0" w:lastRow="0" w:firstColumn="0" w:lastColumn="0" w:oddVBand="0" w:evenVBand="0" w:oddHBand="0" w:evenHBand="0" w:firstRowFirstColumn="0" w:firstRowLastColumn="0" w:lastRowFirstColumn="0" w:lastRowLastColumn="0"/>
            </w:pPr>
            <w:proofErr w:type="spellStart"/>
            <w:r w:rsidRPr="00903864">
              <w:t>Vaxzevria</w:t>
            </w:r>
            <w:proofErr w:type="spellEnd"/>
            <w:r w:rsidRPr="00903864">
              <w:t xml:space="preserve"> (AstraZeneca)</w:t>
            </w:r>
          </w:p>
        </w:tc>
      </w:tr>
      <w:tr w:rsidR="00517DA6" w:rsidRPr="00903864" w14:paraId="07931C2E" w14:textId="77777777" w:rsidTr="00B101DB">
        <w:tc>
          <w:tcPr>
            <w:cnfStyle w:val="001000000000" w:firstRow="0" w:lastRow="0" w:firstColumn="1" w:lastColumn="0" w:oddVBand="0" w:evenVBand="0" w:oddHBand="0" w:evenHBand="0" w:firstRowFirstColumn="0" w:firstRowLastColumn="0" w:lastRowFirstColumn="0" w:lastRowLastColumn="0"/>
            <w:tcW w:w="3024" w:type="pct"/>
          </w:tcPr>
          <w:p w14:paraId="55E1EBE4" w14:textId="77777777" w:rsidR="00517DA6" w:rsidRPr="00903864" w:rsidRDefault="00517DA6" w:rsidP="00B101DB">
            <w:r w:rsidRPr="00903864">
              <w:t>Thrombocytopenia including Immune Thrombocytopenia, where this represents a final diagnosis</w:t>
            </w:r>
          </w:p>
        </w:tc>
        <w:tc>
          <w:tcPr>
            <w:tcW w:w="1976" w:type="pct"/>
          </w:tcPr>
          <w:p w14:paraId="57237D84" w14:textId="77777777" w:rsidR="00517DA6" w:rsidRPr="00903864" w:rsidRDefault="00517DA6" w:rsidP="00B101DB">
            <w:pPr>
              <w:pStyle w:val="ListBullet"/>
              <w:numPr>
                <w:ilvl w:val="0"/>
                <w:numId w:val="0"/>
              </w:numPr>
              <w:ind w:left="360"/>
              <w:cnfStyle w:val="000000000000" w:firstRow="0" w:lastRow="0" w:firstColumn="0" w:lastColumn="0" w:oddVBand="0" w:evenVBand="0" w:oddHBand="0" w:evenHBand="0" w:firstRowFirstColumn="0" w:firstRowLastColumn="0" w:lastRowFirstColumn="0" w:lastRowLastColumn="0"/>
            </w:pPr>
            <w:proofErr w:type="spellStart"/>
            <w:r w:rsidRPr="00903864">
              <w:t>Vaxzevria</w:t>
            </w:r>
            <w:proofErr w:type="spellEnd"/>
            <w:r w:rsidRPr="00903864">
              <w:t xml:space="preserve"> (AstraZeneca)</w:t>
            </w:r>
          </w:p>
        </w:tc>
      </w:tr>
      <w:tr w:rsidR="00517DA6" w:rsidRPr="00903864" w14:paraId="42F4B89B" w14:textId="77777777" w:rsidTr="00B101DB">
        <w:tc>
          <w:tcPr>
            <w:cnfStyle w:val="001000000000" w:firstRow="0" w:lastRow="0" w:firstColumn="1" w:lastColumn="0" w:oddVBand="0" w:evenVBand="0" w:oddHBand="0" w:evenHBand="0" w:firstRowFirstColumn="0" w:firstRowLastColumn="0" w:lastRowFirstColumn="0" w:lastRowLastColumn="0"/>
            <w:tcW w:w="3024" w:type="pct"/>
          </w:tcPr>
          <w:p w14:paraId="31ACC16A" w14:textId="77777777" w:rsidR="00517DA6" w:rsidRPr="00903864" w:rsidRDefault="00517DA6" w:rsidP="00B101DB">
            <w:r w:rsidRPr="00903864">
              <w:lastRenderedPageBreak/>
              <w:t>CVST without thrombocytopenia</w:t>
            </w:r>
          </w:p>
        </w:tc>
        <w:tc>
          <w:tcPr>
            <w:tcW w:w="1976" w:type="pct"/>
          </w:tcPr>
          <w:p w14:paraId="4B84DBE5" w14:textId="77777777" w:rsidR="00517DA6" w:rsidRPr="00903864" w:rsidRDefault="00517DA6" w:rsidP="00B101DB">
            <w:pPr>
              <w:pStyle w:val="ListBullet"/>
              <w:numPr>
                <w:ilvl w:val="0"/>
                <w:numId w:val="0"/>
              </w:numPr>
              <w:ind w:left="360"/>
              <w:cnfStyle w:val="000000000000" w:firstRow="0" w:lastRow="0" w:firstColumn="0" w:lastColumn="0" w:oddVBand="0" w:evenVBand="0" w:oddHBand="0" w:evenHBand="0" w:firstRowFirstColumn="0" w:firstRowLastColumn="0" w:lastRowFirstColumn="0" w:lastRowLastColumn="0"/>
            </w:pPr>
            <w:proofErr w:type="spellStart"/>
            <w:r w:rsidRPr="00903864">
              <w:rPr>
                <w:bCs/>
                <w:color w:val="auto"/>
                <w:szCs w:val="22"/>
              </w:rPr>
              <w:t>Vaxzevria</w:t>
            </w:r>
            <w:proofErr w:type="spellEnd"/>
            <w:r w:rsidRPr="00903864">
              <w:rPr>
                <w:bCs/>
                <w:color w:val="auto"/>
                <w:szCs w:val="22"/>
              </w:rPr>
              <w:t xml:space="preserve"> (AstraZeneca)</w:t>
            </w:r>
          </w:p>
        </w:tc>
      </w:tr>
      <w:tr w:rsidR="00517DA6" w:rsidRPr="00903864" w14:paraId="48096B38" w14:textId="77777777" w:rsidTr="00B101DB">
        <w:tc>
          <w:tcPr>
            <w:cnfStyle w:val="001000000000" w:firstRow="0" w:lastRow="0" w:firstColumn="1" w:lastColumn="0" w:oddVBand="0" w:evenVBand="0" w:oddHBand="0" w:evenHBand="0" w:firstRowFirstColumn="0" w:firstRowLastColumn="0" w:lastRowFirstColumn="0" w:lastRowLastColumn="0"/>
            <w:tcW w:w="3024" w:type="pct"/>
          </w:tcPr>
          <w:p w14:paraId="415AF909" w14:textId="77777777" w:rsidR="00517DA6" w:rsidRPr="00903864" w:rsidRDefault="00517DA6" w:rsidP="00B101DB">
            <w:r w:rsidRPr="00903864">
              <w:t>Erythema Multiforme Major</w:t>
            </w:r>
          </w:p>
        </w:tc>
        <w:tc>
          <w:tcPr>
            <w:tcW w:w="1976" w:type="pct"/>
          </w:tcPr>
          <w:p w14:paraId="5A10A93B" w14:textId="77777777" w:rsidR="00517DA6" w:rsidRPr="00903864" w:rsidRDefault="00517DA6" w:rsidP="00B101DB">
            <w:pPr>
              <w:pStyle w:val="ListBullet"/>
              <w:numPr>
                <w:ilvl w:val="0"/>
                <w:numId w:val="0"/>
              </w:numPr>
              <w:ind w:left="360"/>
              <w:cnfStyle w:val="000000000000" w:firstRow="0" w:lastRow="0" w:firstColumn="0" w:lastColumn="0" w:oddVBand="0" w:evenVBand="0" w:oddHBand="0" w:evenHBand="0" w:firstRowFirstColumn="0" w:firstRowLastColumn="0" w:lastRowFirstColumn="0" w:lastRowLastColumn="0"/>
            </w:pPr>
            <w:r w:rsidRPr="00903864">
              <w:rPr>
                <w:color w:val="000000" w:themeColor="text1"/>
              </w:rPr>
              <w:t>Spikevax (Moderna)</w:t>
            </w:r>
          </w:p>
          <w:p w14:paraId="4C3929E7" w14:textId="77777777" w:rsidR="00517DA6" w:rsidRPr="00903864" w:rsidRDefault="00517DA6" w:rsidP="00B101DB">
            <w:pPr>
              <w:pStyle w:val="ListBullet"/>
              <w:numPr>
                <w:ilvl w:val="0"/>
                <w:numId w:val="0"/>
              </w:numPr>
              <w:ind w:left="360"/>
              <w:cnfStyle w:val="000000000000" w:firstRow="0" w:lastRow="0" w:firstColumn="0" w:lastColumn="0" w:oddVBand="0" w:evenVBand="0" w:oddHBand="0" w:evenHBand="0" w:firstRowFirstColumn="0" w:firstRowLastColumn="0" w:lastRowFirstColumn="0" w:lastRowLastColumn="0"/>
            </w:pPr>
            <w:r w:rsidRPr="00903864">
              <w:rPr>
                <w:color w:val="000000" w:themeColor="text1"/>
              </w:rPr>
              <w:t>Comirnaty (Pfizer)</w:t>
            </w:r>
          </w:p>
        </w:tc>
      </w:tr>
      <w:tr w:rsidR="00517DA6" w:rsidRPr="00903864" w14:paraId="17421287" w14:textId="77777777" w:rsidTr="00B101DB">
        <w:tc>
          <w:tcPr>
            <w:cnfStyle w:val="001000000000" w:firstRow="0" w:lastRow="0" w:firstColumn="1" w:lastColumn="0" w:oddVBand="0" w:evenVBand="0" w:oddHBand="0" w:evenHBand="0" w:firstRowFirstColumn="0" w:firstRowLastColumn="0" w:lastRowFirstColumn="0" w:lastRowLastColumn="0"/>
            <w:tcW w:w="3024" w:type="pct"/>
          </w:tcPr>
          <w:p w14:paraId="2C631731" w14:textId="77777777" w:rsidR="00517DA6" w:rsidRPr="00903864" w:rsidRDefault="00517DA6" w:rsidP="00B101DB">
            <w:r w:rsidRPr="00903864">
              <w:t>Transverse Myelitis</w:t>
            </w:r>
          </w:p>
        </w:tc>
        <w:tc>
          <w:tcPr>
            <w:tcW w:w="1976" w:type="pct"/>
          </w:tcPr>
          <w:p w14:paraId="707D7017" w14:textId="77777777" w:rsidR="00517DA6" w:rsidRPr="00903864" w:rsidRDefault="00517DA6" w:rsidP="00B101DB">
            <w:pPr>
              <w:pStyle w:val="ListBullet"/>
              <w:numPr>
                <w:ilvl w:val="0"/>
                <w:numId w:val="0"/>
              </w:numPr>
              <w:ind w:left="360"/>
              <w:cnfStyle w:val="000000000000" w:firstRow="0" w:lastRow="0" w:firstColumn="0" w:lastColumn="0" w:oddVBand="0" w:evenVBand="0" w:oddHBand="0" w:evenHBand="0" w:firstRowFirstColumn="0" w:firstRowLastColumn="0" w:lastRowFirstColumn="0" w:lastRowLastColumn="0"/>
            </w:pPr>
            <w:proofErr w:type="spellStart"/>
            <w:r w:rsidRPr="00903864">
              <w:rPr>
                <w:bCs/>
                <w:color w:val="auto"/>
                <w:szCs w:val="22"/>
              </w:rPr>
              <w:t>Vaxzevria</w:t>
            </w:r>
            <w:proofErr w:type="spellEnd"/>
            <w:r w:rsidRPr="00903864">
              <w:rPr>
                <w:bCs/>
                <w:color w:val="auto"/>
                <w:szCs w:val="22"/>
              </w:rPr>
              <w:t xml:space="preserve"> (AstraZeneca)</w:t>
            </w:r>
          </w:p>
        </w:tc>
      </w:tr>
    </w:tbl>
    <w:p w14:paraId="5CCD755F" w14:textId="77777777" w:rsidR="00517DA6" w:rsidRPr="00903864" w:rsidRDefault="00517DA6" w:rsidP="00517DA6">
      <w:pPr>
        <w:rPr>
          <w:rFonts w:ascii="Cambria" w:hAnsi="Cambria"/>
        </w:rPr>
      </w:pPr>
      <w:r w:rsidRPr="00903864">
        <w:rPr>
          <w:rFonts w:ascii="Cambria" w:hAnsi="Cambria"/>
        </w:rPr>
        <w:t>Further clinical conditions may be added to this Table by amendment if new clinical conditions are added to the Australian Product Information document for the specific vaccine product and when verified by the Therapeutic Goods Administration as a serious clinical condition to be covered under the Scheme.</w:t>
      </w:r>
    </w:p>
    <w:p w14:paraId="511C9D6B" w14:textId="77777777" w:rsidR="00517DA6" w:rsidRPr="00903864" w:rsidRDefault="00517DA6" w:rsidP="00517DA6">
      <w:pPr>
        <w:spacing w:after="180"/>
        <w:rPr>
          <w:rFonts w:ascii="Cambria" w:hAnsi="Cambria" w:cstheme="minorHAnsi"/>
        </w:rPr>
      </w:pPr>
      <w:r w:rsidRPr="00903864">
        <w:rPr>
          <w:rFonts w:ascii="Cambria" w:hAnsi="Cambria" w:cstheme="minorHAnsi"/>
        </w:rPr>
        <w:t>The list of eligible conditions may be amended over the two-year period of the Scheme.</w:t>
      </w:r>
    </w:p>
    <w:p w14:paraId="4EFC01C7" w14:textId="6F5DCABF" w:rsidR="00517DA6" w:rsidRPr="00903864" w:rsidRDefault="00517DA6" w:rsidP="001D7C0B">
      <w:pPr>
        <w:pStyle w:val="Heading2"/>
        <w:rPr>
          <w:rFonts w:ascii="Cambria" w:hAnsi="Cambria"/>
        </w:rPr>
      </w:pPr>
      <w:bookmarkStart w:id="8" w:name="_Toc153956544"/>
      <w:r w:rsidRPr="00903864">
        <w:rPr>
          <w:rFonts w:ascii="Cambria" w:hAnsi="Cambria"/>
        </w:rPr>
        <w:t xml:space="preserve">Types of evidence that should be considered by the Reporting Practitioner when making a </w:t>
      </w:r>
      <w:proofErr w:type="gramStart"/>
      <w:r w:rsidRPr="00903864">
        <w:rPr>
          <w:rFonts w:ascii="Cambria" w:hAnsi="Cambria"/>
        </w:rPr>
        <w:t>statement</w:t>
      </w:r>
      <w:bookmarkEnd w:id="8"/>
      <w:proofErr w:type="gramEnd"/>
    </w:p>
    <w:p w14:paraId="34DD0397" w14:textId="7AAB327F" w:rsidR="00517DA6" w:rsidRPr="00903864" w:rsidRDefault="00517DA6" w:rsidP="001D7C0B">
      <w:pPr>
        <w:pStyle w:val="Heading2"/>
        <w:numPr>
          <w:ilvl w:val="0"/>
          <w:numId w:val="1"/>
        </w:numPr>
        <w:rPr>
          <w:rFonts w:ascii="Cambria" w:hAnsi="Cambria"/>
        </w:rPr>
      </w:pPr>
      <w:bookmarkStart w:id="9" w:name="_Toc153956545"/>
      <w:r w:rsidRPr="00903864">
        <w:rPr>
          <w:rFonts w:ascii="Cambria" w:hAnsi="Cambria"/>
        </w:rPr>
        <w:t>Anaphylactic reaction</w:t>
      </w:r>
      <w:bookmarkEnd w:id="9"/>
    </w:p>
    <w:p w14:paraId="1DDF7899" w14:textId="77777777" w:rsidR="00517DA6" w:rsidRPr="00903864" w:rsidRDefault="00517DA6" w:rsidP="00517DA6">
      <w:pPr>
        <w:rPr>
          <w:rFonts w:ascii="Cambria" w:hAnsi="Cambria" w:cstheme="minorHAnsi"/>
        </w:rPr>
      </w:pPr>
      <w:r w:rsidRPr="00903864">
        <w:rPr>
          <w:rFonts w:ascii="Cambria" w:hAnsi="Cambria" w:cstheme="minorHAnsi"/>
        </w:rPr>
        <w:t>Points to consider for claims including anaphylaxis.</w:t>
      </w:r>
    </w:p>
    <w:tbl>
      <w:tblPr>
        <w:tblStyle w:val="TableTGAblack"/>
        <w:tblW w:w="5000" w:type="pct"/>
        <w:tblLook w:val="04A0" w:firstRow="1" w:lastRow="0" w:firstColumn="1" w:lastColumn="0" w:noHBand="0" w:noVBand="1"/>
        <w:tblDescription w:val="Points to consider for claims including anaphylaxis."/>
      </w:tblPr>
      <w:tblGrid>
        <w:gridCol w:w="2333"/>
        <w:gridCol w:w="6683"/>
      </w:tblGrid>
      <w:tr w:rsidR="00517DA6" w:rsidRPr="00903864" w14:paraId="32373027" w14:textId="77777777" w:rsidTr="00B101DB">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100" w:firstRow="0" w:lastRow="0" w:firstColumn="1" w:lastColumn="0" w:oddVBand="0" w:evenVBand="0" w:oddHBand="0" w:evenHBand="0" w:firstRowFirstColumn="1" w:firstRowLastColumn="0" w:lastRowFirstColumn="0" w:lastRowLastColumn="0"/>
            <w:tcW w:w="1294" w:type="pct"/>
          </w:tcPr>
          <w:p w14:paraId="212236AA" w14:textId="77777777" w:rsidR="00517DA6" w:rsidRPr="00903864" w:rsidRDefault="00517DA6" w:rsidP="00B101DB">
            <w:r w:rsidRPr="00903864">
              <w:t>Evidence requirement</w:t>
            </w:r>
          </w:p>
        </w:tc>
        <w:tc>
          <w:tcPr>
            <w:tcW w:w="3706" w:type="pct"/>
          </w:tcPr>
          <w:p w14:paraId="3897CA43" w14:textId="77777777" w:rsidR="00517DA6" w:rsidRPr="00903864" w:rsidRDefault="00517DA6" w:rsidP="00B101DB">
            <w:pPr>
              <w:cnfStyle w:val="100000000000" w:firstRow="1" w:lastRow="0" w:firstColumn="0" w:lastColumn="0" w:oddVBand="0" w:evenVBand="0" w:oddHBand="0" w:evenHBand="0" w:firstRowFirstColumn="0" w:firstRowLastColumn="0" w:lastRowFirstColumn="0" w:lastRowLastColumn="0"/>
              <w:rPr>
                <w:rFonts w:ascii="Cambria" w:hAnsi="Cambria"/>
              </w:rPr>
            </w:pPr>
            <w:r w:rsidRPr="00903864">
              <w:rPr>
                <w:rFonts w:ascii="Cambria" w:hAnsi="Cambria"/>
              </w:rPr>
              <w:t>Types of evidence that should be considered for anaphylaxis</w:t>
            </w:r>
          </w:p>
        </w:tc>
      </w:tr>
      <w:tr w:rsidR="00517DA6" w:rsidRPr="00903864" w14:paraId="73E911C4" w14:textId="77777777" w:rsidTr="00B101DB">
        <w:trPr>
          <w:cantSplit w:val="0"/>
        </w:trPr>
        <w:tc>
          <w:tcPr>
            <w:cnfStyle w:val="001000000000" w:firstRow="0" w:lastRow="0" w:firstColumn="1" w:lastColumn="0" w:oddVBand="0" w:evenVBand="0" w:oddHBand="0" w:evenHBand="0" w:firstRowFirstColumn="0" w:firstRowLastColumn="0" w:lastRowFirstColumn="0" w:lastRowLastColumn="0"/>
            <w:tcW w:w="1294" w:type="pct"/>
          </w:tcPr>
          <w:p w14:paraId="0A3F0A68" w14:textId="77777777" w:rsidR="00517DA6" w:rsidRPr="00903864" w:rsidRDefault="00517DA6" w:rsidP="00B101DB">
            <w:pPr>
              <w:rPr>
                <w:rStyle w:val="Strong"/>
              </w:rPr>
            </w:pPr>
            <w:r w:rsidRPr="00903864">
              <w:rPr>
                <w:rStyle w:val="Strong"/>
              </w:rPr>
              <w:t>Diagnosis</w:t>
            </w:r>
          </w:p>
          <w:p w14:paraId="2F7F0123" w14:textId="77777777" w:rsidR="00517DA6" w:rsidRPr="00903864" w:rsidRDefault="00517DA6" w:rsidP="00B101DB">
            <w:pPr>
              <w:spacing w:after="180"/>
              <w:rPr>
                <w:rFonts w:cstheme="minorHAnsi"/>
              </w:rPr>
            </w:pPr>
            <w:r w:rsidRPr="00903864">
              <w:rPr>
                <w:rFonts w:cstheme="minorHAnsi"/>
              </w:rPr>
              <w:t>The patient has been diagnosed with a claimable medical condition(s) by a Reporting Practitioner in the relevant field of practice</w:t>
            </w:r>
          </w:p>
        </w:tc>
        <w:tc>
          <w:tcPr>
            <w:tcW w:w="3706" w:type="pct"/>
          </w:tcPr>
          <w:p w14:paraId="365B6EE3" w14:textId="77777777" w:rsidR="00517DA6" w:rsidRPr="00903864" w:rsidRDefault="00517DA6" w:rsidP="00B101DB">
            <w:pPr>
              <w:spacing w:after="180"/>
              <w:cnfStyle w:val="000000000000" w:firstRow="0" w:lastRow="0" w:firstColumn="0" w:lastColumn="0" w:oddVBand="0" w:evenVBand="0" w:oddHBand="0" w:evenHBand="0" w:firstRowFirstColumn="0" w:firstRowLastColumn="0" w:lastRowFirstColumn="0" w:lastRowLastColumn="0"/>
              <w:rPr>
                <w:rFonts w:cstheme="minorHAnsi"/>
              </w:rPr>
            </w:pPr>
            <w:r w:rsidRPr="00903864">
              <w:rPr>
                <w:rFonts w:cstheme="minorHAnsi"/>
              </w:rPr>
              <w:t>The relevant field of practice is not restricted but requires a practicing medical doctor with registration in Australia.</w:t>
            </w:r>
          </w:p>
          <w:p w14:paraId="482089C9" w14:textId="680826BF" w:rsidR="00517DA6" w:rsidRPr="00903864" w:rsidRDefault="007177BF" w:rsidP="00B101DB">
            <w:pPr>
              <w:spacing w:after="18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Clinical features of anaphylactic reaction are variable, but multiple of the following symptoms and signs may be elicited,</w:t>
            </w:r>
            <w:r>
              <w:rPr>
                <w:rStyle w:val="FootnoteReference"/>
                <w:rFonts w:cstheme="minorHAnsi"/>
              </w:rPr>
              <w:footnoteReference w:id="2"/>
            </w:r>
            <w:r>
              <w:rPr>
                <w:rFonts w:cstheme="minorHAnsi"/>
              </w:rPr>
              <w:t xml:space="preserve"> and should be outlined to support the diagnosis OR appropriate justification provided for absence of information:</w:t>
            </w:r>
          </w:p>
          <w:p w14:paraId="2352CECB" w14:textId="77777777" w:rsidR="00517DA6" w:rsidRPr="00903864" w:rsidRDefault="00517DA6" w:rsidP="00B101DB">
            <w:pPr>
              <w:pStyle w:val="ListBullet"/>
              <w:cnfStyle w:val="000000000000" w:firstRow="0" w:lastRow="0" w:firstColumn="0" w:lastColumn="0" w:oddVBand="0" w:evenVBand="0" w:oddHBand="0" w:evenHBand="0" w:firstRowFirstColumn="0" w:firstRowLastColumn="0" w:lastRowFirstColumn="0" w:lastRowLastColumn="0"/>
            </w:pPr>
            <w:r w:rsidRPr="00903864">
              <w:t xml:space="preserve">Acute onset </w:t>
            </w:r>
          </w:p>
          <w:p w14:paraId="3AD4155E" w14:textId="53D74A14" w:rsidR="00517DA6" w:rsidRDefault="00517DA6" w:rsidP="00B101DB">
            <w:pPr>
              <w:pStyle w:val="ListBullet"/>
              <w:cnfStyle w:val="000000000000" w:firstRow="0" w:lastRow="0" w:firstColumn="0" w:lastColumn="0" w:oddVBand="0" w:evenVBand="0" w:oddHBand="0" w:evenHBand="0" w:firstRowFirstColumn="0" w:firstRowLastColumn="0" w:lastRowFirstColumn="0" w:lastRowLastColumn="0"/>
            </w:pPr>
            <w:r w:rsidRPr="00903864">
              <w:t>Difficult or noisy breathing</w:t>
            </w:r>
          </w:p>
          <w:p w14:paraId="0541CB71" w14:textId="5498F336" w:rsidR="00A94885" w:rsidRDefault="00A94885" w:rsidP="00B101DB">
            <w:pPr>
              <w:pStyle w:val="ListBullet"/>
              <w:cnfStyle w:val="000000000000" w:firstRow="0" w:lastRow="0" w:firstColumn="0" w:lastColumn="0" w:oddVBand="0" w:evenVBand="0" w:oddHBand="0" w:evenHBand="0" w:firstRowFirstColumn="0" w:firstRowLastColumn="0" w:lastRowFirstColumn="0" w:lastRowLastColumn="0"/>
            </w:pPr>
            <w:r>
              <w:t xml:space="preserve">Typical skin features, including urticaria, flushing, and/or </w:t>
            </w:r>
            <w:proofErr w:type="gramStart"/>
            <w:r>
              <w:t>angioedema</w:t>
            </w:r>
            <w:proofErr w:type="gramEnd"/>
          </w:p>
          <w:p w14:paraId="0AB74DE4" w14:textId="5081B400" w:rsidR="00A94885" w:rsidRPr="00903864" w:rsidRDefault="00A94885" w:rsidP="00B101DB">
            <w:pPr>
              <w:pStyle w:val="ListBullet"/>
              <w:cnfStyle w:val="000000000000" w:firstRow="0" w:lastRow="0" w:firstColumn="0" w:lastColumn="0" w:oddVBand="0" w:evenVBand="0" w:oddHBand="0" w:evenHBand="0" w:firstRowFirstColumn="0" w:firstRowLastColumn="0" w:lastRowFirstColumn="0" w:lastRowLastColumn="0"/>
            </w:pPr>
            <w:r>
              <w:t>Hypotension</w:t>
            </w:r>
          </w:p>
          <w:p w14:paraId="754485E5" w14:textId="77777777" w:rsidR="00517DA6" w:rsidRPr="00903864" w:rsidRDefault="00517DA6" w:rsidP="00B101DB">
            <w:pPr>
              <w:pStyle w:val="ListBullet"/>
              <w:cnfStyle w:val="000000000000" w:firstRow="0" w:lastRow="0" w:firstColumn="0" w:lastColumn="0" w:oddVBand="0" w:evenVBand="0" w:oddHBand="0" w:evenHBand="0" w:firstRowFirstColumn="0" w:firstRowLastColumn="0" w:lastRowFirstColumn="0" w:lastRowLastColumn="0"/>
            </w:pPr>
            <w:r w:rsidRPr="00903864">
              <w:t>Swelling of tongue</w:t>
            </w:r>
          </w:p>
          <w:p w14:paraId="60D19EB8" w14:textId="77777777" w:rsidR="00517DA6" w:rsidRPr="00903864" w:rsidRDefault="00517DA6" w:rsidP="00B101DB">
            <w:pPr>
              <w:pStyle w:val="ListBullet"/>
              <w:cnfStyle w:val="000000000000" w:firstRow="0" w:lastRow="0" w:firstColumn="0" w:lastColumn="0" w:oddVBand="0" w:evenVBand="0" w:oddHBand="0" w:evenHBand="0" w:firstRowFirstColumn="0" w:firstRowLastColumn="0" w:lastRowFirstColumn="0" w:lastRowLastColumn="0"/>
            </w:pPr>
            <w:r w:rsidRPr="00903864">
              <w:t>Swelling or tightness in throat</w:t>
            </w:r>
          </w:p>
          <w:p w14:paraId="64C2F4D9" w14:textId="77777777" w:rsidR="00517DA6" w:rsidRPr="00903864" w:rsidRDefault="00517DA6" w:rsidP="00B101DB">
            <w:pPr>
              <w:pStyle w:val="ListBullet"/>
              <w:cnfStyle w:val="000000000000" w:firstRow="0" w:lastRow="0" w:firstColumn="0" w:lastColumn="0" w:oddVBand="0" w:evenVBand="0" w:oddHBand="0" w:evenHBand="0" w:firstRowFirstColumn="0" w:firstRowLastColumn="0" w:lastRowFirstColumn="0" w:lastRowLastColumn="0"/>
            </w:pPr>
            <w:r w:rsidRPr="00903864">
              <w:t xml:space="preserve">Difficulty talking or hoarse </w:t>
            </w:r>
            <w:proofErr w:type="gramStart"/>
            <w:r w:rsidRPr="00903864">
              <w:t>voice</w:t>
            </w:r>
            <w:proofErr w:type="gramEnd"/>
          </w:p>
          <w:p w14:paraId="26381A46" w14:textId="77777777" w:rsidR="00517DA6" w:rsidRPr="00903864" w:rsidRDefault="00517DA6" w:rsidP="00B101DB">
            <w:pPr>
              <w:pStyle w:val="ListBullet"/>
              <w:cnfStyle w:val="000000000000" w:firstRow="0" w:lastRow="0" w:firstColumn="0" w:lastColumn="0" w:oddVBand="0" w:evenVBand="0" w:oddHBand="0" w:evenHBand="0" w:firstRowFirstColumn="0" w:firstRowLastColumn="0" w:lastRowFirstColumn="0" w:lastRowLastColumn="0"/>
            </w:pPr>
            <w:r w:rsidRPr="00903864">
              <w:t>Wheeze or persistent cough (unlike the cough in asthma, the onset of coughing during anaphylaxis is usually sudden)</w:t>
            </w:r>
          </w:p>
          <w:p w14:paraId="5154C96B" w14:textId="77777777" w:rsidR="00517DA6" w:rsidRPr="00903864" w:rsidRDefault="00517DA6" w:rsidP="00B101DB">
            <w:pPr>
              <w:pStyle w:val="ListBullet"/>
              <w:cnfStyle w:val="000000000000" w:firstRow="0" w:lastRow="0" w:firstColumn="0" w:lastColumn="0" w:oddVBand="0" w:evenVBand="0" w:oddHBand="0" w:evenHBand="0" w:firstRowFirstColumn="0" w:firstRowLastColumn="0" w:lastRowFirstColumn="0" w:lastRowLastColumn="0"/>
            </w:pPr>
            <w:r w:rsidRPr="00903864">
              <w:t>Persistent dizziness or collapse</w:t>
            </w:r>
          </w:p>
          <w:p w14:paraId="3CBFED7B" w14:textId="77777777" w:rsidR="00517DA6" w:rsidRPr="00903864" w:rsidRDefault="00517DA6" w:rsidP="00B101DB">
            <w:pPr>
              <w:pStyle w:val="ListBullet"/>
              <w:cnfStyle w:val="000000000000" w:firstRow="0" w:lastRow="0" w:firstColumn="0" w:lastColumn="0" w:oddVBand="0" w:evenVBand="0" w:oddHBand="0" w:evenHBand="0" w:firstRowFirstColumn="0" w:firstRowLastColumn="0" w:lastRowFirstColumn="0" w:lastRowLastColumn="0"/>
            </w:pPr>
            <w:r w:rsidRPr="00903864">
              <w:t>Pale and floppy (young children)</w:t>
            </w:r>
          </w:p>
          <w:p w14:paraId="2A0658D5" w14:textId="77777777" w:rsidR="00517DA6" w:rsidRPr="00903864" w:rsidRDefault="00517DA6" w:rsidP="00B101DB">
            <w:pPr>
              <w:pStyle w:val="ListBullet"/>
              <w:cnfStyle w:val="000000000000" w:firstRow="0" w:lastRow="0" w:firstColumn="0" w:lastColumn="0" w:oddVBand="0" w:evenVBand="0" w:oddHBand="0" w:evenHBand="0" w:firstRowFirstColumn="0" w:firstRowLastColumn="0" w:lastRowFirstColumn="0" w:lastRowLastColumn="0"/>
            </w:pPr>
            <w:r w:rsidRPr="00903864">
              <w:t xml:space="preserve">Abdominal pain, </w:t>
            </w:r>
            <w:proofErr w:type="gramStart"/>
            <w:r w:rsidRPr="00903864">
              <w:t>vomiting</w:t>
            </w:r>
            <w:proofErr w:type="gramEnd"/>
          </w:p>
          <w:p w14:paraId="508AB25A" w14:textId="77777777" w:rsidR="00517DA6" w:rsidRPr="00903864" w:rsidRDefault="00517DA6" w:rsidP="00B101DB">
            <w:pPr>
              <w:pStyle w:val="ListBullet"/>
              <w:cnfStyle w:val="000000000000" w:firstRow="0" w:lastRow="0" w:firstColumn="0" w:lastColumn="0" w:oddVBand="0" w:evenVBand="0" w:oddHBand="0" w:evenHBand="0" w:firstRowFirstColumn="0" w:firstRowLastColumn="0" w:lastRowFirstColumn="0" w:lastRowLastColumn="0"/>
            </w:pPr>
            <w:r w:rsidRPr="00903864">
              <w:t>Evidence of administration of adrenaline</w:t>
            </w:r>
          </w:p>
        </w:tc>
      </w:tr>
      <w:tr w:rsidR="00517DA6" w:rsidRPr="00903864" w14:paraId="196B784A" w14:textId="77777777" w:rsidTr="00B101DB">
        <w:trPr>
          <w:cantSplit w:val="0"/>
        </w:trPr>
        <w:tc>
          <w:tcPr>
            <w:cnfStyle w:val="001000000000" w:firstRow="0" w:lastRow="0" w:firstColumn="1" w:lastColumn="0" w:oddVBand="0" w:evenVBand="0" w:oddHBand="0" w:evenHBand="0" w:firstRowFirstColumn="0" w:firstRowLastColumn="0" w:lastRowFirstColumn="0" w:lastRowLastColumn="0"/>
            <w:tcW w:w="1294" w:type="pct"/>
          </w:tcPr>
          <w:p w14:paraId="4F5B7BB2" w14:textId="77777777" w:rsidR="00517DA6" w:rsidRPr="00903864" w:rsidRDefault="00517DA6" w:rsidP="00B101DB">
            <w:pPr>
              <w:rPr>
                <w:rStyle w:val="Strong"/>
              </w:rPr>
            </w:pPr>
            <w:r w:rsidRPr="00903864">
              <w:rPr>
                <w:rStyle w:val="Strong"/>
              </w:rPr>
              <w:lastRenderedPageBreak/>
              <w:t>Link to vaccination</w:t>
            </w:r>
          </w:p>
          <w:p w14:paraId="03A5404C" w14:textId="77777777" w:rsidR="00517DA6" w:rsidRPr="00903864" w:rsidRDefault="00517DA6" w:rsidP="00B101DB">
            <w:pPr>
              <w:spacing w:after="180"/>
              <w:rPr>
                <w:rFonts w:cstheme="minorHAnsi"/>
              </w:rPr>
            </w:pPr>
            <w:r w:rsidRPr="00903864">
              <w:rPr>
                <w:rFonts w:cstheme="minorHAnsi"/>
              </w:rPr>
              <w:t xml:space="preserve">Opinion that the most likely cause of the diagnosed condition(s) is COVID-19 vaccination </w:t>
            </w:r>
            <w:proofErr w:type="spellStart"/>
            <w:r w:rsidRPr="00903864">
              <w:rPr>
                <w:rFonts w:cstheme="minorHAnsi"/>
              </w:rPr>
              <w:t>Vaxzevria</w:t>
            </w:r>
            <w:proofErr w:type="spellEnd"/>
            <w:r w:rsidRPr="00903864">
              <w:rPr>
                <w:rFonts w:cstheme="minorHAnsi"/>
              </w:rPr>
              <w:t xml:space="preserve"> (AstraZeneca) (COVID-19 vaccine AstraZeneca); OR Comirnaty (Pfizer), OR Spikevax (Moderna) OR </w:t>
            </w:r>
            <w:r w:rsidRPr="00903864">
              <w:t>Nuvaxovid (Novavax)</w:t>
            </w:r>
          </w:p>
        </w:tc>
        <w:tc>
          <w:tcPr>
            <w:tcW w:w="3706" w:type="pct"/>
          </w:tcPr>
          <w:p w14:paraId="75A054E9" w14:textId="4D3995F3" w:rsidR="00517DA6" w:rsidRPr="00903864" w:rsidRDefault="00517DA6" w:rsidP="00B101DB">
            <w:pPr>
              <w:spacing w:after="180"/>
              <w:cnfStyle w:val="000000000000" w:firstRow="0" w:lastRow="0" w:firstColumn="0" w:lastColumn="0" w:oddVBand="0" w:evenVBand="0" w:oddHBand="0" w:evenHBand="0" w:firstRowFirstColumn="0" w:firstRowLastColumn="0" w:lastRowFirstColumn="0" w:lastRowLastColumn="0"/>
              <w:rPr>
                <w:rFonts w:cstheme="minorHAnsi"/>
                <w:vertAlign w:val="superscript"/>
              </w:rPr>
            </w:pPr>
            <w:r w:rsidRPr="00903864">
              <w:rPr>
                <w:rFonts w:cstheme="minorHAnsi"/>
              </w:rPr>
              <w:t>Reactions typically occur within minutes to hours of exposure.</w:t>
            </w:r>
            <w:r w:rsidRPr="00903864">
              <w:rPr>
                <w:rStyle w:val="FootnoteReference"/>
                <w:rFonts w:cstheme="minorHAnsi"/>
              </w:rPr>
              <w:footnoteReference w:id="3"/>
            </w:r>
            <w:r w:rsidRPr="00903864">
              <w:rPr>
                <w:rFonts w:cstheme="minorHAnsi"/>
              </w:rPr>
              <w:t xml:space="preserve"> </w:t>
            </w:r>
            <w:r w:rsidR="00224965" w:rsidRPr="00903864">
              <w:rPr>
                <w:rFonts w:cstheme="minorHAnsi"/>
              </w:rPr>
              <w:t xml:space="preserve"> For anaphylaxis after receipt of</w:t>
            </w:r>
            <w:r w:rsidR="00D476F8" w:rsidRPr="00903864">
              <w:rPr>
                <w:rFonts w:cstheme="minorHAnsi"/>
              </w:rPr>
              <w:t xml:space="preserve"> a</w:t>
            </w:r>
            <w:r w:rsidR="00224965" w:rsidRPr="00903864">
              <w:rPr>
                <w:rFonts w:cstheme="minorHAnsi"/>
              </w:rPr>
              <w:t xml:space="preserve"> COVID-19 vaccine, a</w:t>
            </w:r>
            <w:r w:rsidRPr="00903864">
              <w:rPr>
                <w:rFonts w:cstheme="minorHAnsi"/>
              </w:rPr>
              <w:t xml:space="preserve"> range of 1 minute to 19 hours has been reported with a median time to onset of 10 minutes</w:t>
            </w:r>
            <w:r w:rsidR="00F15D1A">
              <w:rPr>
                <w:rFonts w:cstheme="minorHAnsi"/>
              </w:rPr>
              <w:t>.</w:t>
            </w:r>
            <w:r w:rsidR="00224965" w:rsidRPr="00903864">
              <w:rPr>
                <w:rStyle w:val="FootnoteReference"/>
                <w:rFonts w:cstheme="minorHAnsi"/>
              </w:rPr>
              <w:footnoteReference w:id="4"/>
            </w:r>
          </w:p>
          <w:p w14:paraId="571345D9" w14:textId="07CF29DE" w:rsidR="00517DA6" w:rsidRPr="00903864" w:rsidRDefault="00517DA6" w:rsidP="00903864">
            <w:pPr>
              <w:cnfStyle w:val="000000000000" w:firstRow="0" w:lastRow="0" w:firstColumn="0" w:lastColumn="0" w:oddVBand="0" w:evenVBand="0" w:oddHBand="0" w:evenHBand="0" w:firstRowFirstColumn="0" w:firstRowLastColumn="0" w:lastRowFirstColumn="0" w:lastRowLastColumn="0"/>
            </w:pPr>
            <w:r w:rsidRPr="00903864">
              <w:t xml:space="preserve">Consider exclusion of causes other than the COVID-19 vaccination for the claimant’s claimable condition of anaphylaxis. </w:t>
            </w:r>
            <w:r w:rsidRPr="00903864">
              <w:rPr>
                <w:rFonts w:cstheme="minorHAnsi"/>
              </w:rPr>
              <w:t xml:space="preserve">Common diagnostic dilemmas have been summarised by the World Allergy Organisation (see </w:t>
            </w:r>
            <w:hyperlink w:anchor="_Resources_for_Anaphylaxis:" w:history="1">
              <w:r w:rsidRPr="00903864">
                <w:rPr>
                  <w:rStyle w:val="Hyperlink"/>
                  <w:rFonts w:cstheme="minorHAnsi"/>
                </w:rPr>
                <w:t>resources for anaphylaxis</w:t>
              </w:r>
            </w:hyperlink>
            <w:r w:rsidRPr="00903864">
              <w:rPr>
                <w:rFonts w:cstheme="minorHAnsi"/>
              </w:rPr>
              <w:t>)</w:t>
            </w:r>
            <w:r w:rsidR="00903864" w:rsidRPr="00903864">
              <w:rPr>
                <w:rFonts w:cstheme="minorHAnsi"/>
              </w:rPr>
              <w:t xml:space="preserve">. </w:t>
            </w:r>
          </w:p>
        </w:tc>
      </w:tr>
    </w:tbl>
    <w:p w14:paraId="4AF27C49" w14:textId="77777777" w:rsidR="00517DA6" w:rsidRPr="00903864" w:rsidRDefault="00517DA6" w:rsidP="001D7C0B">
      <w:pPr>
        <w:pStyle w:val="Heading3"/>
        <w:rPr>
          <w:rFonts w:ascii="Cambria" w:hAnsi="Cambria"/>
        </w:rPr>
      </w:pPr>
      <w:bookmarkStart w:id="11" w:name="_Resources_for_Anaphylaxis:"/>
      <w:bookmarkStart w:id="12" w:name="_Toc153956546"/>
      <w:bookmarkEnd w:id="11"/>
      <w:r w:rsidRPr="00903864">
        <w:rPr>
          <w:rFonts w:ascii="Cambria" w:hAnsi="Cambria"/>
        </w:rPr>
        <w:t>Resources for Anaphylaxis</w:t>
      </w:r>
      <w:bookmarkEnd w:id="12"/>
    </w:p>
    <w:p w14:paraId="5396C859" w14:textId="77777777" w:rsidR="00517DA6" w:rsidRPr="00903864" w:rsidRDefault="00517DA6" w:rsidP="00517DA6">
      <w:pPr>
        <w:spacing w:after="180"/>
        <w:rPr>
          <w:rFonts w:ascii="Cambria" w:hAnsi="Cambria" w:cstheme="minorHAnsi"/>
        </w:rPr>
      </w:pPr>
      <w:proofErr w:type="gramStart"/>
      <w:r w:rsidRPr="00903864">
        <w:rPr>
          <w:rFonts w:ascii="Cambria" w:hAnsi="Cambria" w:cstheme="minorHAnsi"/>
        </w:rPr>
        <w:t>A number of</w:t>
      </w:r>
      <w:proofErr w:type="gramEnd"/>
      <w:r w:rsidRPr="00903864">
        <w:rPr>
          <w:rFonts w:ascii="Cambria" w:hAnsi="Cambria" w:cstheme="minorHAnsi"/>
        </w:rPr>
        <w:t xml:space="preserve"> national and international bodies have provided guidance for healthcare practitioners on anaphylaxis. Diagnosis of the condition and assessment of the link to vaccination should occur in line with recognised guidelines, for example:</w:t>
      </w:r>
    </w:p>
    <w:p w14:paraId="5A90D147" w14:textId="06EA0CE7" w:rsidR="00517DA6" w:rsidRPr="00903864" w:rsidRDefault="00517DA6" w:rsidP="00517DA6">
      <w:pPr>
        <w:pStyle w:val="ListParagraph"/>
        <w:numPr>
          <w:ilvl w:val="0"/>
          <w:numId w:val="2"/>
        </w:numPr>
        <w:spacing w:after="180"/>
        <w:rPr>
          <w:rFonts w:ascii="Cambria" w:hAnsi="Cambria" w:cstheme="minorHAnsi"/>
        </w:rPr>
      </w:pPr>
      <w:r w:rsidRPr="00903864">
        <w:rPr>
          <w:rFonts w:ascii="Cambria" w:hAnsi="Cambria" w:cstheme="minorHAnsi"/>
        </w:rPr>
        <w:t xml:space="preserve">The Australasian Society of Clinical Immunology and Allergy provides guidance on the acute management of anaphylaxis </w:t>
      </w:r>
      <w:hyperlink r:id="rId9" w:history="1">
        <w:r w:rsidRPr="00903864">
          <w:rPr>
            <w:rStyle w:val="Hyperlink"/>
            <w:rFonts w:ascii="Cambria" w:hAnsi="Cambria" w:cstheme="minorHAnsi"/>
          </w:rPr>
          <w:t>https://www.allergy.org.au/hp/papers/acute-management-of-anaphylaxis-guidelines</w:t>
        </w:r>
      </w:hyperlink>
      <w:r w:rsidRPr="00903864">
        <w:rPr>
          <w:rFonts w:ascii="Cambria" w:hAnsi="Cambria" w:cstheme="minorHAnsi"/>
        </w:rPr>
        <w:t xml:space="preserve">. </w:t>
      </w:r>
    </w:p>
    <w:p w14:paraId="00B96D8F" w14:textId="4CDAAF95" w:rsidR="00517DA6" w:rsidRPr="00903864" w:rsidRDefault="00517DA6" w:rsidP="00517DA6">
      <w:pPr>
        <w:pStyle w:val="ListParagraph"/>
        <w:numPr>
          <w:ilvl w:val="0"/>
          <w:numId w:val="2"/>
        </w:numPr>
        <w:spacing w:after="180"/>
        <w:rPr>
          <w:rFonts w:ascii="Cambria" w:hAnsi="Cambria" w:cstheme="minorHAnsi"/>
        </w:rPr>
      </w:pPr>
      <w:r w:rsidRPr="00903864">
        <w:rPr>
          <w:rFonts w:ascii="Cambria" w:hAnsi="Cambria" w:cstheme="minorHAnsi"/>
        </w:rPr>
        <w:t xml:space="preserve">The Royal Children’s Hospital Melbourne has published a clinical guideline on anaphylaxis </w:t>
      </w:r>
      <w:hyperlink r:id="rId10" w:history="1">
        <w:r w:rsidRPr="00903864">
          <w:rPr>
            <w:rStyle w:val="Hyperlink"/>
            <w:rFonts w:ascii="Cambria" w:hAnsi="Cambria" w:cstheme="minorHAnsi"/>
          </w:rPr>
          <w:t>https://www.rch.org.au/clinicalguide/guideline_index/Anaphylaxis/</w:t>
        </w:r>
      </w:hyperlink>
      <w:r w:rsidR="00E7059B" w:rsidRPr="00903864">
        <w:rPr>
          <w:rStyle w:val="Hyperlink"/>
          <w:rFonts w:ascii="Cambria" w:hAnsi="Cambria" w:cstheme="minorHAnsi"/>
        </w:rPr>
        <w:t xml:space="preserve">. </w:t>
      </w:r>
    </w:p>
    <w:p w14:paraId="64ACB57A" w14:textId="0C20552C" w:rsidR="00517DA6" w:rsidRPr="00903864" w:rsidRDefault="00517DA6" w:rsidP="00517DA6">
      <w:pPr>
        <w:pStyle w:val="ListParagraph"/>
        <w:numPr>
          <w:ilvl w:val="0"/>
          <w:numId w:val="2"/>
        </w:numPr>
        <w:spacing w:after="180"/>
        <w:rPr>
          <w:rFonts w:ascii="Cambria" w:hAnsi="Cambria" w:cstheme="minorHAnsi"/>
        </w:rPr>
      </w:pPr>
      <w:r w:rsidRPr="00903864">
        <w:rPr>
          <w:rFonts w:ascii="Cambria" w:hAnsi="Cambria" w:cstheme="minorHAnsi"/>
        </w:rPr>
        <w:t xml:space="preserve">The World Allergy Organisation has published guidance on anaphylaxis </w:t>
      </w:r>
      <w:hyperlink r:id="rId11" w:history="1">
        <w:r w:rsidRPr="00903864">
          <w:rPr>
            <w:rStyle w:val="Hyperlink"/>
            <w:rFonts w:ascii="Cambria" w:hAnsi="Cambria" w:cstheme="minorHAnsi"/>
          </w:rPr>
          <w:t>www.sciencedirect.com/science/article/pii/S1939455120303756</w:t>
        </w:r>
      </w:hyperlink>
      <w:r w:rsidR="00E7059B" w:rsidRPr="00903864">
        <w:rPr>
          <w:rStyle w:val="Hyperlink"/>
          <w:rFonts w:ascii="Cambria" w:hAnsi="Cambria" w:cstheme="minorHAnsi"/>
        </w:rPr>
        <w:t xml:space="preserve">. </w:t>
      </w:r>
    </w:p>
    <w:p w14:paraId="50BB01CE" w14:textId="77777777" w:rsidR="00517DA6" w:rsidRPr="00903864" w:rsidRDefault="00517DA6" w:rsidP="001D7C0B">
      <w:pPr>
        <w:pStyle w:val="Heading3"/>
        <w:rPr>
          <w:rFonts w:ascii="Cambria" w:hAnsi="Cambria"/>
        </w:rPr>
      </w:pPr>
      <w:bookmarkStart w:id="13" w:name="_Toc131405270"/>
      <w:bookmarkStart w:id="14" w:name="_Toc153956547"/>
      <w:r w:rsidRPr="00903864">
        <w:rPr>
          <w:rFonts w:ascii="Cambria" w:hAnsi="Cambria"/>
        </w:rPr>
        <w:t>Product Information</w:t>
      </w:r>
      <w:bookmarkEnd w:id="13"/>
      <w:bookmarkEnd w:id="14"/>
    </w:p>
    <w:p w14:paraId="31412423" w14:textId="77777777" w:rsidR="00517DA6" w:rsidRPr="00903864" w:rsidRDefault="00D10C2A" w:rsidP="00517DA6">
      <w:pPr>
        <w:pStyle w:val="ListBullet"/>
        <w:rPr>
          <w:rStyle w:val="Hyperlink"/>
          <w:rFonts w:ascii="Cambria" w:hAnsi="Cambria"/>
        </w:rPr>
      </w:pPr>
      <w:hyperlink r:id="rId12" w:history="1">
        <w:r w:rsidR="00517DA6" w:rsidRPr="00903864">
          <w:rPr>
            <w:rStyle w:val="Hyperlink"/>
            <w:rFonts w:ascii="Cambria" w:hAnsi="Cambria" w:cstheme="minorHAnsi"/>
          </w:rPr>
          <w:t>Product Information Comirnaty (Pfizer)</w:t>
        </w:r>
      </w:hyperlink>
      <w:r w:rsidR="00517DA6" w:rsidRPr="00903864">
        <w:rPr>
          <w:rStyle w:val="Hyperlink"/>
          <w:rFonts w:ascii="Cambria" w:hAnsi="Cambria"/>
        </w:rPr>
        <w:t xml:space="preserve"> </w:t>
      </w:r>
    </w:p>
    <w:p w14:paraId="2B142690" w14:textId="77777777" w:rsidR="00517DA6" w:rsidRPr="00903864" w:rsidRDefault="00D10C2A" w:rsidP="00517DA6">
      <w:pPr>
        <w:pStyle w:val="ListBullet"/>
        <w:rPr>
          <w:rStyle w:val="Hyperlink"/>
          <w:rFonts w:ascii="Cambria" w:hAnsi="Cambria"/>
        </w:rPr>
      </w:pPr>
      <w:hyperlink r:id="rId13" w:history="1">
        <w:r w:rsidR="00517DA6" w:rsidRPr="00903864">
          <w:rPr>
            <w:rStyle w:val="Hyperlink"/>
            <w:rFonts w:ascii="Cambria" w:hAnsi="Cambria" w:cstheme="minorHAnsi"/>
          </w:rPr>
          <w:t>Product Information Spikevax (Moderna)</w:t>
        </w:r>
      </w:hyperlink>
    </w:p>
    <w:p w14:paraId="3F181F9B" w14:textId="77777777" w:rsidR="00517DA6" w:rsidRPr="00903864" w:rsidRDefault="00D10C2A" w:rsidP="00517DA6">
      <w:pPr>
        <w:pStyle w:val="ListBullet"/>
        <w:rPr>
          <w:rStyle w:val="Hyperlink"/>
          <w:rFonts w:ascii="Cambria" w:hAnsi="Cambria" w:cstheme="minorHAnsi"/>
        </w:rPr>
      </w:pPr>
      <w:hyperlink r:id="rId14" w:history="1">
        <w:r w:rsidR="00517DA6" w:rsidRPr="00903864">
          <w:rPr>
            <w:rStyle w:val="Hyperlink"/>
            <w:rFonts w:ascii="Cambria" w:hAnsi="Cambria" w:cstheme="minorHAnsi"/>
          </w:rPr>
          <w:t xml:space="preserve">Product Information </w:t>
        </w:r>
        <w:proofErr w:type="spellStart"/>
        <w:r w:rsidR="00517DA6" w:rsidRPr="00903864">
          <w:rPr>
            <w:rStyle w:val="Hyperlink"/>
            <w:rFonts w:ascii="Cambria" w:hAnsi="Cambria" w:cstheme="minorHAnsi"/>
          </w:rPr>
          <w:t>Vaxzevria</w:t>
        </w:r>
        <w:proofErr w:type="spellEnd"/>
        <w:r w:rsidR="00517DA6" w:rsidRPr="00903864">
          <w:rPr>
            <w:rStyle w:val="Hyperlink"/>
            <w:rFonts w:ascii="Cambria" w:hAnsi="Cambria" w:cstheme="minorHAnsi"/>
          </w:rPr>
          <w:t xml:space="preserve"> (AstraZeneca)</w:t>
        </w:r>
      </w:hyperlink>
    </w:p>
    <w:p w14:paraId="1B81471E" w14:textId="77777777" w:rsidR="00517DA6" w:rsidRPr="00903864" w:rsidRDefault="00D10C2A" w:rsidP="00517DA6">
      <w:pPr>
        <w:pStyle w:val="ListBullet"/>
        <w:rPr>
          <w:rStyle w:val="Hyperlink"/>
          <w:rFonts w:ascii="Cambria" w:hAnsi="Cambria"/>
        </w:rPr>
      </w:pPr>
      <w:hyperlink r:id="rId15" w:history="1">
        <w:r w:rsidR="00517DA6" w:rsidRPr="00903864">
          <w:rPr>
            <w:rStyle w:val="Hyperlink"/>
            <w:rFonts w:ascii="Cambria" w:hAnsi="Cambria" w:cstheme="minorHAnsi"/>
          </w:rPr>
          <w:t>Product Information Nuvaxovid (Novavax)</w:t>
        </w:r>
      </w:hyperlink>
    </w:p>
    <w:p w14:paraId="0036831D" w14:textId="77777777" w:rsidR="00517DA6" w:rsidRPr="00903864" w:rsidRDefault="00517DA6" w:rsidP="001D7C0B">
      <w:pPr>
        <w:pStyle w:val="Heading2"/>
        <w:numPr>
          <w:ilvl w:val="0"/>
          <w:numId w:val="1"/>
        </w:numPr>
        <w:rPr>
          <w:rFonts w:ascii="Cambria" w:hAnsi="Cambria"/>
        </w:rPr>
      </w:pPr>
      <w:bookmarkStart w:id="15" w:name="_Toc153956548"/>
      <w:r w:rsidRPr="00903864">
        <w:rPr>
          <w:rFonts w:ascii="Cambria" w:hAnsi="Cambria"/>
        </w:rPr>
        <w:t>Thrombosis with Thrombocytopenia Syndrome (TTS)</w:t>
      </w:r>
      <w:bookmarkEnd w:id="15"/>
    </w:p>
    <w:p w14:paraId="465093F3" w14:textId="77777777" w:rsidR="00517DA6" w:rsidRPr="00903864" w:rsidRDefault="00517DA6" w:rsidP="00517DA6">
      <w:pPr>
        <w:spacing w:after="180"/>
        <w:rPr>
          <w:rFonts w:ascii="Cambria" w:hAnsi="Cambria" w:cstheme="minorHAnsi"/>
        </w:rPr>
      </w:pPr>
      <w:r w:rsidRPr="00903864">
        <w:rPr>
          <w:rFonts w:ascii="Cambria" w:hAnsi="Cambria" w:cstheme="minorHAnsi"/>
        </w:rPr>
        <w:t>Points to consider for claims including TTS.</w:t>
      </w:r>
    </w:p>
    <w:tbl>
      <w:tblPr>
        <w:tblStyle w:val="TableTGAblack"/>
        <w:tblW w:w="5000" w:type="pct"/>
        <w:tblLook w:val="04A0" w:firstRow="1" w:lastRow="0" w:firstColumn="1" w:lastColumn="0" w:noHBand="0" w:noVBand="1"/>
        <w:tblDescription w:val="Points to consider for claims including Thrombocytopenia Syndrome (TTS)"/>
      </w:tblPr>
      <w:tblGrid>
        <w:gridCol w:w="2333"/>
        <w:gridCol w:w="6683"/>
      </w:tblGrid>
      <w:tr w:rsidR="00517DA6" w:rsidRPr="00903864" w14:paraId="1FD0B113" w14:textId="77777777" w:rsidTr="00B101DB">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100" w:firstRow="0" w:lastRow="0" w:firstColumn="1" w:lastColumn="0" w:oddVBand="0" w:evenVBand="0" w:oddHBand="0" w:evenHBand="0" w:firstRowFirstColumn="1" w:firstRowLastColumn="0" w:lastRowFirstColumn="0" w:lastRowLastColumn="0"/>
            <w:tcW w:w="1294" w:type="pct"/>
          </w:tcPr>
          <w:p w14:paraId="1C48B5C3" w14:textId="77777777" w:rsidR="00517DA6" w:rsidRPr="00903864" w:rsidRDefault="00517DA6" w:rsidP="00B101DB">
            <w:r w:rsidRPr="00903864">
              <w:lastRenderedPageBreak/>
              <w:t>Evidence requirement</w:t>
            </w:r>
          </w:p>
        </w:tc>
        <w:tc>
          <w:tcPr>
            <w:tcW w:w="3706" w:type="pct"/>
          </w:tcPr>
          <w:p w14:paraId="2C71AB98" w14:textId="77777777" w:rsidR="00517DA6" w:rsidRPr="00903864" w:rsidRDefault="00517DA6" w:rsidP="00B101DB">
            <w:pPr>
              <w:cnfStyle w:val="100000000000" w:firstRow="1" w:lastRow="0" w:firstColumn="0" w:lastColumn="0" w:oddVBand="0" w:evenVBand="0" w:oddHBand="0" w:evenHBand="0" w:firstRowFirstColumn="0" w:firstRowLastColumn="0" w:lastRowFirstColumn="0" w:lastRowLastColumn="0"/>
              <w:rPr>
                <w:rFonts w:ascii="Cambria" w:hAnsi="Cambria"/>
              </w:rPr>
            </w:pPr>
            <w:r w:rsidRPr="00903864">
              <w:rPr>
                <w:rFonts w:ascii="Cambria" w:hAnsi="Cambria"/>
              </w:rPr>
              <w:t>Types of evidence that should be considered for TTS</w:t>
            </w:r>
          </w:p>
        </w:tc>
      </w:tr>
      <w:tr w:rsidR="00517DA6" w:rsidRPr="00903864" w14:paraId="7F93F6DB" w14:textId="77777777" w:rsidTr="00B101DB">
        <w:trPr>
          <w:cantSplit w:val="0"/>
        </w:trPr>
        <w:tc>
          <w:tcPr>
            <w:cnfStyle w:val="001000000000" w:firstRow="0" w:lastRow="0" w:firstColumn="1" w:lastColumn="0" w:oddVBand="0" w:evenVBand="0" w:oddHBand="0" w:evenHBand="0" w:firstRowFirstColumn="0" w:firstRowLastColumn="0" w:lastRowFirstColumn="0" w:lastRowLastColumn="0"/>
            <w:tcW w:w="1294" w:type="pct"/>
          </w:tcPr>
          <w:p w14:paraId="2425EAFD" w14:textId="77777777" w:rsidR="00517DA6" w:rsidRPr="00903864" w:rsidRDefault="00517DA6" w:rsidP="00B101DB">
            <w:pPr>
              <w:rPr>
                <w:rStyle w:val="Strong"/>
              </w:rPr>
            </w:pPr>
            <w:r w:rsidRPr="00903864">
              <w:rPr>
                <w:rStyle w:val="Strong"/>
              </w:rPr>
              <w:t>Diagnosis</w:t>
            </w:r>
          </w:p>
          <w:p w14:paraId="5DB4B184" w14:textId="77777777" w:rsidR="00517DA6" w:rsidRPr="00903864" w:rsidRDefault="00517DA6" w:rsidP="00B101DB">
            <w:r w:rsidRPr="00903864">
              <w:t>The patient has been diagnosed with a claimable medical condition(s) by a Reporting Practitioner in the relevant field of practice</w:t>
            </w:r>
          </w:p>
        </w:tc>
        <w:tc>
          <w:tcPr>
            <w:tcW w:w="3706" w:type="pct"/>
          </w:tcPr>
          <w:p w14:paraId="27C28B55" w14:textId="00B1A926" w:rsidR="00617041" w:rsidRPr="00903864" w:rsidRDefault="00617041" w:rsidP="00B101DB">
            <w:pPr>
              <w:cnfStyle w:val="000000000000" w:firstRow="0" w:lastRow="0" w:firstColumn="0" w:lastColumn="0" w:oddVBand="0" w:evenVBand="0" w:oddHBand="0" w:evenHBand="0" w:firstRowFirstColumn="0" w:firstRowLastColumn="0" w:lastRowFirstColumn="0" w:lastRowLastColumn="0"/>
            </w:pPr>
            <w:bookmarkStart w:id="16" w:name="_Hlk130307596"/>
            <w:r w:rsidRPr="00903864">
              <w:t xml:space="preserve">The relevant fields of practice are Haematology, and, where clinically appropriate, Paediatrics (including General or subspecialty Paediatrics). </w:t>
            </w:r>
          </w:p>
          <w:bookmarkEnd w:id="16"/>
          <w:p w14:paraId="19DBE0E9" w14:textId="77777777" w:rsidR="00517DA6" w:rsidRPr="00903864" w:rsidRDefault="00517DA6" w:rsidP="00B101DB">
            <w:pPr>
              <w:cnfStyle w:val="000000000000" w:firstRow="0" w:lastRow="0" w:firstColumn="0" w:lastColumn="0" w:oddVBand="0" w:evenVBand="0" w:oddHBand="0" w:evenHBand="0" w:firstRowFirstColumn="0" w:firstRowLastColumn="0" w:lastRowFirstColumn="0" w:lastRowLastColumn="0"/>
            </w:pPr>
            <w:r w:rsidRPr="00903864">
              <w:t>Clinical information that should be outlined to support the diagnosis OR appropriate justification provided for absence of information:</w:t>
            </w:r>
          </w:p>
          <w:p w14:paraId="234FFE92" w14:textId="77777777" w:rsidR="00517DA6" w:rsidRPr="00903864" w:rsidRDefault="00517DA6" w:rsidP="00B101DB">
            <w:pPr>
              <w:pStyle w:val="ListBullet"/>
              <w:cnfStyle w:val="000000000000" w:firstRow="0" w:lastRow="0" w:firstColumn="0" w:lastColumn="0" w:oddVBand="0" w:evenVBand="0" w:oddHBand="0" w:evenHBand="0" w:firstRowFirstColumn="0" w:firstRowLastColumn="0" w:lastRowFirstColumn="0" w:lastRowLastColumn="0"/>
            </w:pPr>
            <w:r w:rsidRPr="00903864">
              <w:t>Thrombocytopenia (platelet count &lt;150 x10</w:t>
            </w:r>
            <w:r w:rsidRPr="00903864">
              <w:rPr>
                <w:vertAlign w:val="superscript"/>
              </w:rPr>
              <w:t>9</w:t>
            </w:r>
            <w:r w:rsidRPr="00903864">
              <w:t>/L; or a significant fall in platelet count)</w:t>
            </w:r>
          </w:p>
          <w:p w14:paraId="4EE5FC28" w14:textId="3D44336C" w:rsidR="00517DA6" w:rsidRPr="00903864" w:rsidRDefault="00517DA6" w:rsidP="00B101DB">
            <w:pPr>
              <w:pStyle w:val="ListBullet"/>
              <w:cnfStyle w:val="000000000000" w:firstRow="0" w:lastRow="0" w:firstColumn="0" w:lastColumn="0" w:oddVBand="0" w:evenVBand="0" w:oddHBand="0" w:evenHBand="0" w:firstRowFirstColumn="0" w:firstRowLastColumn="0" w:lastRowFirstColumn="0" w:lastRowLastColumn="0"/>
            </w:pPr>
            <w:r w:rsidRPr="00903864">
              <w:t xml:space="preserve">D-dimer </w:t>
            </w:r>
            <w:r w:rsidR="002D7CB5">
              <w:t>markedly above the</w:t>
            </w:r>
            <w:r w:rsidRPr="00903864">
              <w:t xml:space="preserve"> upper limit of normal</w:t>
            </w:r>
          </w:p>
          <w:p w14:paraId="6807718E" w14:textId="77777777" w:rsidR="00517DA6" w:rsidRPr="00903864" w:rsidRDefault="00517DA6" w:rsidP="00B101DB">
            <w:pPr>
              <w:pStyle w:val="ListBullet"/>
              <w:cnfStyle w:val="000000000000" w:firstRow="0" w:lastRow="0" w:firstColumn="0" w:lastColumn="0" w:oddVBand="0" w:evenVBand="0" w:oddHBand="0" w:evenHBand="0" w:firstRowFirstColumn="0" w:firstRowLastColumn="0" w:lastRowFirstColumn="0" w:lastRowLastColumn="0"/>
            </w:pPr>
            <w:r w:rsidRPr="00903864">
              <w:t>Anti-platelet factor 4 antibodies (in the absence of prior heparin)</w:t>
            </w:r>
          </w:p>
          <w:p w14:paraId="009C4B6D" w14:textId="77777777" w:rsidR="00517DA6" w:rsidRPr="00903864" w:rsidRDefault="00517DA6" w:rsidP="00B101DB">
            <w:pPr>
              <w:pStyle w:val="ListBullet2"/>
              <w:cnfStyle w:val="000000000000" w:firstRow="0" w:lastRow="0" w:firstColumn="0" w:lastColumn="0" w:oddVBand="0" w:evenVBand="0" w:oddHBand="0" w:evenHBand="0" w:firstRowFirstColumn="0" w:firstRowLastColumn="0" w:lastRowFirstColumn="0" w:lastRowLastColumn="0"/>
            </w:pPr>
            <w:proofErr w:type="spellStart"/>
            <w:r w:rsidRPr="00903864">
              <w:t>e.g</w:t>
            </w:r>
            <w:proofErr w:type="spellEnd"/>
            <w:r w:rsidRPr="00903864">
              <w:t xml:space="preserve"> ELISA or functional testing</w:t>
            </w:r>
          </w:p>
          <w:p w14:paraId="07064B39" w14:textId="77777777" w:rsidR="00517DA6" w:rsidRPr="00903864" w:rsidRDefault="00517DA6" w:rsidP="00B101DB">
            <w:pPr>
              <w:pStyle w:val="ListBullet"/>
              <w:cnfStyle w:val="000000000000" w:firstRow="0" w:lastRow="0" w:firstColumn="0" w:lastColumn="0" w:oddVBand="0" w:evenVBand="0" w:oddHBand="0" w:evenHBand="0" w:firstRowFirstColumn="0" w:firstRowLastColumn="0" w:lastRowFirstColumn="0" w:lastRowLastColumn="0"/>
            </w:pPr>
            <w:r w:rsidRPr="00903864">
              <w:t>Presence of thrombosis such as:</w:t>
            </w:r>
          </w:p>
          <w:p w14:paraId="17808D25" w14:textId="77777777" w:rsidR="00517DA6" w:rsidRPr="00903864" w:rsidRDefault="00517DA6" w:rsidP="00B101DB">
            <w:pPr>
              <w:pStyle w:val="ListBullet2"/>
              <w:cnfStyle w:val="000000000000" w:firstRow="0" w:lastRow="0" w:firstColumn="0" w:lastColumn="0" w:oddVBand="0" w:evenVBand="0" w:oddHBand="0" w:evenHBand="0" w:firstRowFirstColumn="0" w:firstRowLastColumn="0" w:lastRowFirstColumn="0" w:lastRowLastColumn="0"/>
            </w:pPr>
            <w:r w:rsidRPr="00903864">
              <w:t>cerebral venous sinus thrombosis (CVST)</w:t>
            </w:r>
          </w:p>
          <w:p w14:paraId="39B395B4" w14:textId="77777777" w:rsidR="00517DA6" w:rsidRPr="00903864" w:rsidRDefault="00517DA6" w:rsidP="00B101DB">
            <w:pPr>
              <w:pStyle w:val="ListBullet2"/>
              <w:cnfStyle w:val="000000000000" w:firstRow="0" w:lastRow="0" w:firstColumn="0" w:lastColumn="0" w:oddVBand="0" w:evenVBand="0" w:oddHBand="0" w:evenHBand="0" w:firstRowFirstColumn="0" w:firstRowLastColumn="0" w:lastRowFirstColumn="0" w:lastRowLastColumn="0"/>
            </w:pPr>
            <w:r w:rsidRPr="00903864">
              <w:t>thrombosis in the splanchnic (abdominal) circulation</w:t>
            </w:r>
          </w:p>
          <w:p w14:paraId="3982E0A3" w14:textId="77777777" w:rsidR="00517DA6" w:rsidRPr="00903864" w:rsidRDefault="00517DA6" w:rsidP="00B101DB">
            <w:pPr>
              <w:pStyle w:val="ListBullet2"/>
              <w:cnfStyle w:val="000000000000" w:firstRow="0" w:lastRow="0" w:firstColumn="0" w:lastColumn="0" w:oddVBand="0" w:evenVBand="0" w:oddHBand="0" w:evenHBand="0" w:firstRowFirstColumn="0" w:firstRowLastColumn="0" w:lastRowFirstColumn="0" w:lastRowLastColumn="0"/>
            </w:pPr>
            <w:r w:rsidRPr="00903864">
              <w:t>pulmonary emboli (PE)</w:t>
            </w:r>
          </w:p>
          <w:p w14:paraId="6CF09EE2" w14:textId="77777777" w:rsidR="00517DA6" w:rsidRPr="00903864" w:rsidRDefault="00517DA6" w:rsidP="00B101DB">
            <w:pPr>
              <w:pStyle w:val="ListBullet2"/>
              <w:cnfStyle w:val="000000000000" w:firstRow="0" w:lastRow="0" w:firstColumn="0" w:lastColumn="0" w:oddVBand="0" w:evenVBand="0" w:oddHBand="0" w:evenHBand="0" w:firstRowFirstColumn="0" w:firstRowLastColumn="0" w:lastRowFirstColumn="0" w:lastRowLastColumn="0"/>
            </w:pPr>
            <w:r w:rsidRPr="00903864">
              <w:t>deep vein thrombosis (DVT)</w:t>
            </w:r>
          </w:p>
          <w:p w14:paraId="660C43DA" w14:textId="77777777" w:rsidR="00517DA6" w:rsidRPr="00903864" w:rsidRDefault="00517DA6" w:rsidP="00B101DB">
            <w:pPr>
              <w:pStyle w:val="ListBullet2"/>
              <w:cnfStyle w:val="000000000000" w:firstRow="0" w:lastRow="0" w:firstColumn="0" w:lastColumn="0" w:oddVBand="0" w:evenVBand="0" w:oddHBand="0" w:evenHBand="0" w:firstRowFirstColumn="0" w:firstRowLastColumn="0" w:lastRowFirstColumn="0" w:lastRowLastColumn="0"/>
            </w:pPr>
            <w:r w:rsidRPr="00903864">
              <w:t xml:space="preserve">arterial thrombosis </w:t>
            </w:r>
          </w:p>
        </w:tc>
      </w:tr>
      <w:tr w:rsidR="00517DA6" w:rsidRPr="00903864" w14:paraId="5F63D39D" w14:textId="77777777" w:rsidTr="00B101DB">
        <w:tc>
          <w:tcPr>
            <w:cnfStyle w:val="001000000000" w:firstRow="0" w:lastRow="0" w:firstColumn="1" w:lastColumn="0" w:oddVBand="0" w:evenVBand="0" w:oddHBand="0" w:evenHBand="0" w:firstRowFirstColumn="0" w:firstRowLastColumn="0" w:lastRowFirstColumn="0" w:lastRowLastColumn="0"/>
            <w:tcW w:w="1294" w:type="pct"/>
          </w:tcPr>
          <w:p w14:paraId="6A7228A4" w14:textId="77777777" w:rsidR="00517DA6" w:rsidRPr="00903864" w:rsidRDefault="00517DA6" w:rsidP="00B101DB">
            <w:r w:rsidRPr="00903864">
              <w:rPr>
                <w:rStyle w:val="Strong"/>
              </w:rPr>
              <w:t>Link to vaccination</w:t>
            </w:r>
            <w:r w:rsidRPr="00903864">
              <w:t xml:space="preserve"> Opinion that the most likely cause of the diagnosed condition(s) is COVID-19 vaccination </w:t>
            </w:r>
            <w:proofErr w:type="spellStart"/>
            <w:r w:rsidRPr="00903864">
              <w:t>Vaxzevria</w:t>
            </w:r>
            <w:proofErr w:type="spellEnd"/>
            <w:r w:rsidRPr="00903864">
              <w:t xml:space="preserve"> (AstraZeneca) (Covid-19 vaccine AstraZeneca)</w:t>
            </w:r>
          </w:p>
        </w:tc>
        <w:tc>
          <w:tcPr>
            <w:tcW w:w="3706" w:type="pct"/>
          </w:tcPr>
          <w:p w14:paraId="388E09CC" w14:textId="14966676" w:rsidR="00517DA6" w:rsidRPr="00903864" w:rsidRDefault="00517DA6" w:rsidP="00B101DB">
            <w:pPr>
              <w:cnfStyle w:val="000000000000" w:firstRow="0" w:lastRow="0" w:firstColumn="0" w:lastColumn="0" w:oddVBand="0" w:evenVBand="0" w:oddHBand="0" w:evenHBand="0" w:firstRowFirstColumn="0" w:firstRowLastColumn="0" w:lastRowFirstColumn="0" w:lastRowLastColumn="0"/>
            </w:pPr>
            <w:r w:rsidRPr="00903864">
              <w:t>Typical time to onset is 4-42 days</w:t>
            </w:r>
            <w:r w:rsidR="00F35FF9">
              <w:t>.</w:t>
            </w:r>
            <w:r w:rsidR="00D2505E" w:rsidRPr="00903864">
              <w:rPr>
                <w:rStyle w:val="FootnoteReference"/>
              </w:rPr>
              <w:footnoteReference w:id="5"/>
            </w:r>
          </w:p>
          <w:p w14:paraId="5FBC8C6B" w14:textId="3185E2D2" w:rsidR="00517DA6" w:rsidRPr="00903864" w:rsidRDefault="00517DA6" w:rsidP="00903864">
            <w:pPr>
              <w:cnfStyle w:val="000000000000" w:firstRow="0" w:lastRow="0" w:firstColumn="0" w:lastColumn="0" w:oddVBand="0" w:evenVBand="0" w:oddHBand="0" w:evenHBand="0" w:firstRowFirstColumn="0" w:firstRowLastColumn="0" w:lastRowFirstColumn="0" w:lastRowLastColumn="0"/>
            </w:pPr>
            <w:r w:rsidRPr="00903864">
              <w:t>The WHO recommends that cases occurring up to 100 days should also be carefully monitored</w:t>
            </w:r>
            <w:r w:rsidR="007361D8" w:rsidRPr="00903864">
              <w:t>.</w:t>
            </w:r>
            <w:r w:rsidR="0088408F" w:rsidRPr="00903864">
              <w:rPr>
                <w:rStyle w:val="FootnoteReference"/>
              </w:rPr>
              <w:footnoteReference w:id="6"/>
            </w:r>
          </w:p>
        </w:tc>
      </w:tr>
    </w:tbl>
    <w:p w14:paraId="13BA19B6" w14:textId="77777777" w:rsidR="00517DA6" w:rsidRPr="00903864" w:rsidRDefault="00517DA6" w:rsidP="001D7C0B">
      <w:pPr>
        <w:pStyle w:val="Heading3"/>
        <w:rPr>
          <w:rFonts w:ascii="Cambria" w:hAnsi="Cambria"/>
        </w:rPr>
      </w:pPr>
      <w:bookmarkStart w:id="17" w:name="_Toc153956549"/>
      <w:r w:rsidRPr="00903864">
        <w:rPr>
          <w:rFonts w:ascii="Cambria" w:hAnsi="Cambria"/>
        </w:rPr>
        <w:t>Resources for TTS</w:t>
      </w:r>
      <w:bookmarkEnd w:id="17"/>
    </w:p>
    <w:p w14:paraId="65790F44" w14:textId="77777777" w:rsidR="00517DA6" w:rsidRPr="00903864" w:rsidRDefault="00517DA6" w:rsidP="00517DA6">
      <w:pPr>
        <w:spacing w:after="180"/>
        <w:rPr>
          <w:rFonts w:ascii="Cambria" w:hAnsi="Cambria" w:cstheme="minorHAnsi"/>
        </w:rPr>
      </w:pPr>
      <w:proofErr w:type="gramStart"/>
      <w:r w:rsidRPr="00903864">
        <w:rPr>
          <w:rFonts w:ascii="Cambria" w:hAnsi="Cambria" w:cstheme="minorHAnsi"/>
        </w:rPr>
        <w:t>A number of</w:t>
      </w:r>
      <w:proofErr w:type="gramEnd"/>
      <w:r w:rsidRPr="00903864">
        <w:rPr>
          <w:rFonts w:ascii="Cambria" w:hAnsi="Cambria" w:cstheme="minorHAnsi"/>
        </w:rPr>
        <w:t xml:space="preserve"> national and international bodies have provided guidance for healthcare practitioners on TTS.</w:t>
      </w:r>
    </w:p>
    <w:p w14:paraId="3F3E89EC" w14:textId="77777777" w:rsidR="007361D8" w:rsidRPr="00903864" w:rsidRDefault="00517DA6" w:rsidP="000B0C0D">
      <w:pPr>
        <w:pStyle w:val="ListNumber"/>
        <w:ind w:left="720"/>
        <w:rPr>
          <w:rFonts w:ascii="Cambria" w:hAnsi="Cambria" w:cstheme="minorHAnsi"/>
          <w:color w:val="0000FF"/>
          <w:u w:val="single"/>
        </w:rPr>
      </w:pPr>
      <w:r w:rsidRPr="00903864">
        <w:rPr>
          <w:rFonts w:ascii="Cambria" w:hAnsi="Cambria" w:cstheme="minorHAnsi"/>
        </w:rPr>
        <w:t xml:space="preserve">Primary care approach to thrombosis with thrombocytopenia syndrome after COVID-19 AstraZeneca vaccine </w:t>
      </w:r>
    </w:p>
    <w:p w14:paraId="36276700" w14:textId="159F4297" w:rsidR="003D5454" w:rsidRPr="00903864" w:rsidRDefault="00D10C2A" w:rsidP="000B0C0D">
      <w:pPr>
        <w:pStyle w:val="ListNumber"/>
        <w:numPr>
          <w:ilvl w:val="0"/>
          <w:numId w:val="0"/>
        </w:numPr>
        <w:ind w:left="720"/>
        <w:rPr>
          <w:rStyle w:val="Hyperlink"/>
          <w:rFonts w:ascii="Cambria" w:hAnsi="Cambria" w:cstheme="minorHAnsi"/>
        </w:rPr>
      </w:pPr>
      <w:hyperlink r:id="rId16" w:history="1">
        <w:proofErr w:type="spellStart"/>
        <w:r w:rsidR="003D5454" w:rsidRPr="00903864">
          <w:rPr>
            <w:rStyle w:val="Hyperlink"/>
            <w:rFonts w:ascii="Cambria" w:hAnsi="Cambria" w:cstheme="minorHAnsi"/>
          </w:rPr>
          <w:t>Vaxzevria</w:t>
        </w:r>
        <w:proofErr w:type="spellEnd"/>
        <w:r w:rsidR="003D5454" w:rsidRPr="00903864">
          <w:rPr>
            <w:rStyle w:val="Hyperlink"/>
            <w:rFonts w:ascii="Cambria" w:hAnsi="Cambria" w:cstheme="minorHAnsi"/>
          </w:rPr>
          <w:t xml:space="preserve"> (AstraZeneca) vaccine and thrombosis with thrombocytopenia syndrome (TTS) - Australian Government Department of Health and Aged and ATAGI clinical guidance</w:t>
        </w:r>
      </w:hyperlink>
    </w:p>
    <w:p w14:paraId="1D88F33C" w14:textId="77777777" w:rsidR="00517DA6" w:rsidRPr="00903864" w:rsidRDefault="00517DA6" w:rsidP="000B0C0D">
      <w:pPr>
        <w:pStyle w:val="ListNumber"/>
        <w:ind w:left="720"/>
        <w:rPr>
          <w:rFonts w:ascii="Cambria" w:hAnsi="Cambria" w:cstheme="minorHAnsi"/>
        </w:rPr>
      </w:pPr>
      <w:r w:rsidRPr="00903864">
        <w:rPr>
          <w:rFonts w:ascii="Cambria" w:hAnsi="Cambria" w:cstheme="minorHAnsi"/>
        </w:rPr>
        <w:t xml:space="preserve">The Thrombosis and Haemostasis Society Australia New Zealand (THANZ) has published advice for haematologists and multidisciplinary guidance for doctors at </w:t>
      </w:r>
      <w:hyperlink r:id="rId17" w:history="1">
        <w:r w:rsidRPr="00903864">
          <w:rPr>
            <w:rStyle w:val="Hyperlink"/>
            <w:rFonts w:ascii="Cambria" w:hAnsi="Cambria" w:cstheme="minorHAnsi"/>
          </w:rPr>
          <w:t>https://www.thanz.org.au/resources/covid-19</w:t>
        </w:r>
      </w:hyperlink>
      <w:r w:rsidRPr="00903864">
        <w:rPr>
          <w:rFonts w:ascii="Cambria" w:hAnsi="Cambria" w:cstheme="minorHAnsi"/>
        </w:rPr>
        <w:t>.</w:t>
      </w:r>
    </w:p>
    <w:p w14:paraId="29E8168C" w14:textId="77777777" w:rsidR="00517DA6" w:rsidRPr="00903864" w:rsidRDefault="00517DA6" w:rsidP="000B0C0D">
      <w:pPr>
        <w:pStyle w:val="ListBullet3"/>
        <w:ind w:left="1286"/>
        <w:rPr>
          <w:rFonts w:ascii="Cambria" w:hAnsi="Cambria"/>
          <w:u w:val="single"/>
        </w:rPr>
      </w:pPr>
      <w:r w:rsidRPr="00903864">
        <w:rPr>
          <w:rFonts w:ascii="Cambria" w:hAnsi="Cambria"/>
        </w:rPr>
        <w:t xml:space="preserve">Advisory Statement for Haematologists on Suspected Vaccine Induced Prothrombotic Immune Thrombocytopenia (VIPIT)/Vaccine induced immune </w:t>
      </w:r>
      <w:proofErr w:type="gramStart"/>
      <w:r w:rsidRPr="00903864">
        <w:rPr>
          <w:rFonts w:ascii="Cambria" w:hAnsi="Cambria"/>
        </w:rPr>
        <w:t>thrombocytopenia</w:t>
      </w:r>
      <w:proofErr w:type="gramEnd"/>
    </w:p>
    <w:p w14:paraId="47B5B2DB" w14:textId="77777777" w:rsidR="00517DA6" w:rsidRPr="00903864" w:rsidRDefault="00517DA6" w:rsidP="000B0C0D">
      <w:pPr>
        <w:pStyle w:val="ListBullet3"/>
        <w:ind w:left="1286"/>
        <w:rPr>
          <w:rFonts w:ascii="Cambria" w:hAnsi="Cambria"/>
          <w:u w:val="single"/>
        </w:rPr>
      </w:pPr>
      <w:r w:rsidRPr="00903864">
        <w:rPr>
          <w:rFonts w:ascii="Cambria" w:hAnsi="Cambria"/>
        </w:rPr>
        <w:t xml:space="preserve">Multidisciplinary VITT Guideline for Doctors </w:t>
      </w:r>
    </w:p>
    <w:p w14:paraId="209B45AA" w14:textId="35D623F1" w:rsidR="00517DA6" w:rsidRPr="00903864" w:rsidRDefault="003D5454" w:rsidP="000B0C0D">
      <w:pPr>
        <w:pStyle w:val="ListNumber"/>
        <w:ind w:left="720"/>
        <w:rPr>
          <w:rFonts w:ascii="Cambria" w:hAnsi="Cambria"/>
          <w:color w:val="0000FF"/>
          <w:u w:val="single"/>
        </w:rPr>
      </w:pPr>
      <w:r w:rsidRPr="00903864">
        <w:rPr>
          <w:rFonts w:ascii="Cambria" w:hAnsi="Cambria"/>
        </w:rPr>
        <w:t>G</w:t>
      </w:r>
      <w:r w:rsidR="00517DA6" w:rsidRPr="00903864">
        <w:rPr>
          <w:rFonts w:ascii="Cambria" w:hAnsi="Cambria"/>
        </w:rPr>
        <w:t>uidance on TTS published by the World Health Organisation</w:t>
      </w:r>
      <w:r w:rsidR="005D2D57">
        <w:rPr>
          <w:rFonts w:ascii="Cambria" w:hAnsi="Cambria"/>
        </w:rPr>
        <w:t xml:space="preserve">. </w:t>
      </w:r>
      <w:r w:rsidR="00517DA6" w:rsidRPr="00903864">
        <w:rPr>
          <w:rFonts w:ascii="Cambria" w:hAnsi="Cambria"/>
        </w:rPr>
        <w:t xml:space="preserve"> </w:t>
      </w:r>
      <w:r w:rsidRPr="00903864">
        <w:rPr>
          <w:rFonts w:ascii="Cambria" w:hAnsi="Cambria" w:cstheme="minorHAnsi"/>
        </w:rPr>
        <w:t xml:space="preserve"> </w:t>
      </w:r>
      <w:hyperlink r:id="rId18" w:history="1">
        <w:r w:rsidR="00C62575" w:rsidRPr="00C62575">
          <w:rPr>
            <w:rStyle w:val="Hyperlink"/>
            <w:rFonts w:ascii="Cambria" w:hAnsi="Cambria" w:cstheme="minorHAnsi"/>
          </w:rPr>
          <w:t>https://www.who.int/publications/i/item/9789240061989</w:t>
        </w:r>
      </w:hyperlink>
      <w:r w:rsidR="00210B39">
        <w:rPr>
          <w:rFonts w:ascii="Cambria" w:hAnsi="Cambria" w:cstheme="minorHAnsi"/>
        </w:rPr>
        <w:t xml:space="preserve">. </w:t>
      </w:r>
    </w:p>
    <w:p w14:paraId="7FCC56E2" w14:textId="77777777" w:rsidR="00517DA6" w:rsidRPr="00903864" w:rsidRDefault="00517DA6" w:rsidP="001D7C0B">
      <w:pPr>
        <w:pStyle w:val="Heading3"/>
        <w:rPr>
          <w:rFonts w:ascii="Cambria" w:hAnsi="Cambria"/>
        </w:rPr>
      </w:pPr>
      <w:bookmarkStart w:id="18" w:name="_Toc131405273"/>
      <w:bookmarkStart w:id="19" w:name="_Toc153956550"/>
      <w:r w:rsidRPr="00903864">
        <w:rPr>
          <w:rFonts w:ascii="Cambria" w:hAnsi="Cambria"/>
        </w:rPr>
        <w:t>Product Information</w:t>
      </w:r>
      <w:bookmarkEnd w:id="18"/>
      <w:bookmarkEnd w:id="19"/>
    </w:p>
    <w:p w14:paraId="5D2E0AEB" w14:textId="77777777" w:rsidR="00517DA6" w:rsidRPr="00903864" w:rsidRDefault="00D10C2A" w:rsidP="00517DA6">
      <w:pPr>
        <w:pStyle w:val="ListBullet"/>
        <w:rPr>
          <w:rStyle w:val="Hyperlink"/>
          <w:rFonts w:ascii="Cambria" w:hAnsi="Cambria" w:cstheme="minorHAnsi"/>
        </w:rPr>
      </w:pPr>
      <w:hyperlink r:id="rId19" w:history="1">
        <w:r w:rsidR="00517DA6" w:rsidRPr="00903864">
          <w:rPr>
            <w:rStyle w:val="Hyperlink"/>
            <w:rFonts w:ascii="Cambria" w:hAnsi="Cambria" w:cstheme="minorHAnsi"/>
          </w:rPr>
          <w:t xml:space="preserve">Product Information </w:t>
        </w:r>
        <w:proofErr w:type="spellStart"/>
        <w:r w:rsidR="00517DA6" w:rsidRPr="00903864">
          <w:rPr>
            <w:rStyle w:val="Hyperlink"/>
            <w:rFonts w:ascii="Cambria" w:hAnsi="Cambria" w:cstheme="minorHAnsi"/>
          </w:rPr>
          <w:t>Vaxzevria</w:t>
        </w:r>
        <w:proofErr w:type="spellEnd"/>
        <w:r w:rsidR="00517DA6" w:rsidRPr="00903864">
          <w:rPr>
            <w:rStyle w:val="Hyperlink"/>
            <w:rFonts w:ascii="Cambria" w:hAnsi="Cambria" w:cstheme="minorHAnsi"/>
          </w:rPr>
          <w:t xml:space="preserve"> (AstraZeneca)</w:t>
        </w:r>
      </w:hyperlink>
    </w:p>
    <w:p w14:paraId="4A65CC16" w14:textId="77777777" w:rsidR="00517DA6" w:rsidRPr="00903864" w:rsidRDefault="00517DA6" w:rsidP="00517DA6">
      <w:pPr>
        <w:pStyle w:val="ListBullet"/>
        <w:numPr>
          <w:ilvl w:val="0"/>
          <w:numId w:val="0"/>
        </w:numPr>
        <w:ind w:left="357" w:hanging="357"/>
        <w:rPr>
          <w:rStyle w:val="Hyperlink"/>
          <w:rFonts w:ascii="Cambria" w:hAnsi="Cambria" w:cstheme="minorHAnsi"/>
        </w:rPr>
      </w:pPr>
    </w:p>
    <w:p w14:paraId="3E53455A" w14:textId="77777777" w:rsidR="00517DA6" w:rsidRPr="00903864" w:rsidRDefault="00517DA6" w:rsidP="00517DA6">
      <w:pPr>
        <w:pStyle w:val="ListBullet"/>
        <w:numPr>
          <w:ilvl w:val="0"/>
          <w:numId w:val="0"/>
        </w:numPr>
        <w:ind w:left="357" w:hanging="357"/>
        <w:rPr>
          <w:rStyle w:val="Hyperlink"/>
          <w:rFonts w:ascii="Cambria" w:hAnsi="Cambria" w:cstheme="minorHAnsi"/>
        </w:rPr>
      </w:pPr>
    </w:p>
    <w:p w14:paraId="1B9873FA" w14:textId="77777777" w:rsidR="00517DA6" w:rsidRPr="00903864" w:rsidRDefault="00517DA6" w:rsidP="00517DA6">
      <w:pPr>
        <w:spacing w:before="0" w:after="160" w:line="259" w:lineRule="auto"/>
        <w:rPr>
          <w:rStyle w:val="Hyperlink"/>
          <w:rFonts w:ascii="Cambria" w:hAnsi="Cambria" w:cstheme="minorHAnsi"/>
        </w:rPr>
      </w:pPr>
      <w:r w:rsidRPr="00903864">
        <w:rPr>
          <w:rStyle w:val="Hyperlink"/>
          <w:rFonts w:ascii="Cambria" w:hAnsi="Cambria" w:cstheme="minorHAnsi"/>
        </w:rPr>
        <w:br w:type="page"/>
      </w:r>
    </w:p>
    <w:p w14:paraId="42A5EEF9" w14:textId="77777777" w:rsidR="00517DA6" w:rsidRPr="00903864" w:rsidRDefault="00517DA6" w:rsidP="001D7C0B">
      <w:pPr>
        <w:pStyle w:val="Heading2"/>
        <w:numPr>
          <w:ilvl w:val="0"/>
          <w:numId w:val="1"/>
        </w:numPr>
        <w:rPr>
          <w:rFonts w:ascii="Cambria" w:hAnsi="Cambria"/>
        </w:rPr>
      </w:pPr>
      <w:bookmarkStart w:id="20" w:name="_Toc153956551"/>
      <w:r w:rsidRPr="00903864">
        <w:rPr>
          <w:rFonts w:ascii="Cambria" w:hAnsi="Cambria"/>
        </w:rPr>
        <w:lastRenderedPageBreak/>
        <w:t>Myocarditis</w:t>
      </w:r>
      <w:bookmarkEnd w:id="20"/>
      <w:r w:rsidRPr="00903864">
        <w:rPr>
          <w:rFonts w:ascii="Cambria" w:hAnsi="Cambria"/>
        </w:rPr>
        <w:t xml:space="preserve"> </w:t>
      </w:r>
    </w:p>
    <w:p w14:paraId="72CDA64A" w14:textId="77777777" w:rsidR="00517DA6" w:rsidRPr="00903864" w:rsidRDefault="00517DA6" w:rsidP="00517DA6">
      <w:pPr>
        <w:rPr>
          <w:rFonts w:ascii="Cambria" w:hAnsi="Cambria" w:cs="Calibri"/>
        </w:rPr>
      </w:pPr>
      <w:r w:rsidRPr="00903864">
        <w:rPr>
          <w:rFonts w:ascii="Cambria" w:hAnsi="Cambria" w:cs="Calibri"/>
        </w:rPr>
        <w:t>Points to consider for claims including myocarditis.</w:t>
      </w:r>
    </w:p>
    <w:tbl>
      <w:tblPr>
        <w:tblStyle w:val="TableTGAblack"/>
        <w:tblW w:w="5000" w:type="pct"/>
        <w:tblLook w:val="04A0" w:firstRow="1" w:lastRow="0" w:firstColumn="1" w:lastColumn="0" w:noHBand="0" w:noVBand="1"/>
        <w:tblDescription w:val="Points to consider for claims including myocarditis."/>
      </w:tblPr>
      <w:tblGrid>
        <w:gridCol w:w="2333"/>
        <w:gridCol w:w="6683"/>
      </w:tblGrid>
      <w:tr w:rsidR="00517DA6" w:rsidRPr="00903864" w14:paraId="6FEF8D0B" w14:textId="77777777" w:rsidTr="00B101DB">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100" w:firstRow="0" w:lastRow="0" w:firstColumn="1" w:lastColumn="0" w:oddVBand="0" w:evenVBand="0" w:oddHBand="0" w:evenHBand="0" w:firstRowFirstColumn="1" w:firstRowLastColumn="0" w:lastRowFirstColumn="0" w:lastRowLastColumn="0"/>
            <w:tcW w:w="1294" w:type="pct"/>
          </w:tcPr>
          <w:p w14:paraId="56714AEF" w14:textId="77777777" w:rsidR="00517DA6" w:rsidRPr="00903864" w:rsidRDefault="00517DA6" w:rsidP="00B101DB">
            <w:r w:rsidRPr="00903864">
              <w:t>Evidence requirement</w:t>
            </w:r>
          </w:p>
        </w:tc>
        <w:tc>
          <w:tcPr>
            <w:tcW w:w="3706" w:type="pct"/>
          </w:tcPr>
          <w:p w14:paraId="53549BF3" w14:textId="77777777" w:rsidR="00517DA6" w:rsidRPr="00903864" w:rsidRDefault="00517DA6" w:rsidP="00B101DB">
            <w:pPr>
              <w:cnfStyle w:val="100000000000" w:firstRow="1" w:lastRow="0" w:firstColumn="0" w:lastColumn="0" w:oddVBand="0" w:evenVBand="0" w:oddHBand="0" w:evenHBand="0" w:firstRowFirstColumn="0" w:firstRowLastColumn="0" w:lastRowFirstColumn="0" w:lastRowLastColumn="0"/>
              <w:rPr>
                <w:rFonts w:ascii="Cambria" w:hAnsi="Cambria"/>
              </w:rPr>
            </w:pPr>
            <w:r w:rsidRPr="00903864">
              <w:rPr>
                <w:rFonts w:ascii="Cambria" w:hAnsi="Cambria"/>
              </w:rPr>
              <w:t>Types of evidence that should be considered for Myocarditis</w:t>
            </w:r>
          </w:p>
        </w:tc>
      </w:tr>
      <w:tr w:rsidR="00517DA6" w:rsidRPr="00903864" w14:paraId="0D3DC848" w14:textId="77777777" w:rsidTr="00B101DB">
        <w:trPr>
          <w:cantSplit w:val="0"/>
        </w:trPr>
        <w:tc>
          <w:tcPr>
            <w:cnfStyle w:val="001000000000" w:firstRow="0" w:lastRow="0" w:firstColumn="1" w:lastColumn="0" w:oddVBand="0" w:evenVBand="0" w:oddHBand="0" w:evenHBand="0" w:firstRowFirstColumn="0" w:firstRowLastColumn="0" w:lastRowFirstColumn="0" w:lastRowLastColumn="0"/>
            <w:tcW w:w="1294" w:type="pct"/>
          </w:tcPr>
          <w:p w14:paraId="5402E20B" w14:textId="77777777" w:rsidR="00517DA6" w:rsidRPr="00903864" w:rsidRDefault="00517DA6" w:rsidP="00B101DB">
            <w:pPr>
              <w:rPr>
                <w:rStyle w:val="Strong"/>
              </w:rPr>
            </w:pPr>
            <w:r w:rsidRPr="00903864">
              <w:rPr>
                <w:rStyle w:val="Strong"/>
              </w:rPr>
              <w:t>Diagnosis</w:t>
            </w:r>
          </w:p>
          <w:p w14:paraId="0DA6B45D" w14:textId="77777777" w:rsidR="00517DA6" w:rsidRPr="00903864" w:rsidRDefault="00517DA6" w:rsidP="00B101DB">
            <w:r w:rsidRPr="00903864">
              <w:t>The patient has been diagnosed with a claimable medical condition(s) by a Reporting Practitioner in the relevant field of practice</w:t>
            </w:r>
          </w:p>
        </w:tc>
        <w:tc>
          <w:tcPr>
            <w:tcW w:w="3706" w:type="pct"/>
          </w:tcPr>
          <w:p w14:paraId="53672B2D" w14:textId="785B5C77" w:rsidR="00AE0DEE" w:rsidRPr="00903864" w:rsidRDefault="00617041" w:rsidP="00B101DB">
            <w:pPr>
              <w:cnfStyle w:val="000000000000" w:firstRow="0" w:lastRow="0" w:firstColumn="0" w:lastColumn="0" w:oddVBand="0" w:evenVBand="0" w:oddHBand="0" w:evenHBand="0" w:firstRowFirstColumn="0" w:firstRowLastColumn="0" w:lastRowFirstColumn="0" w:lastRowLastColumn="0"/>
            </w:pPr>
            <w:r w:rsidRPr="00903864">
              <w:t xml:space="preserve">The relevant fields of practice are Cardiology, and, where clinically appropriate, Paediatrics (including General or subspecialty Paediatrics). </w:t>
            </w:r>
          </w:p>
          <w:p w14:paraId="5C73CCBE" w14:textId="31423139" w:rsidR="00517DA6" w:rsidRPr="00903864" w:rsidRDefault="00517DA6" w:rsidP="00B101DB">
            <w:pPr>
              <w:cnfStyle w:val="000000000000" w:firstRow="0" w:lastRow="0" w:firstColumn="0" w:lastColumn="0" w:oddVBand="0" w:evenVBand="0" w:oddHBand="0" w:evenHBand="0" w:firstRowFirstColumn="0" w:firstRowLastColumn="0" w:lastRowFirstColumn="0" w:lastRowLastColumn="0"/>
            </w:pPr>
            <w:r w:rsidRPr="00903864">
              <w:t>Clinical information that should be outlined to support the diagnosis OR appropriate justification provided for absence of information:</w:t>
            </w:r>
          </w:p>
          <w:p w14:paraId="6182789A" w14:textId="77777777" w:rsidR="00517DA6" w:rsidRPr="00903864" w:rsidRDefault="00517DA6" w:rsidP="00B101DB">
            <w:pPr>
              <w:pStyle w:val="ListBullet"/>
              <w:cnfStyle w:val="000000000000" w:firstRow="0" w:lastRow="0" w:firstColumn="0" w:lastColumn="0" w:oddVBand="0" w:evenVBand="0" w:oddHBand="0" w:evenHBand="0" w:firstRowFirstColumn="0" w:firstRowLastColumn="0" w:lastRowFirstColumn="0" w:lastRowLastColumn="0"/>
            </w:pPr>
            <w:r w:rsidRPr="00903864">
              <w:t>Findings consistent with myocarditis are varied and may include:</w:t>
            </w:r>
          </w:p>
          <w:p w14:paraId="1D825F19" w14:textId="56C9BFEE" w:rsidR="002D7CB5" w:rsidRDefault="002D7CB5" w:rsidP="00B101DB">
            <w:pPr>
              <w:pStyle w:val="ListBullet2"/>
              <w:cnfStyle w:val="000000000000" w:firstRow="0" w:lastRow="0" w:firstColumn="0" w:lastColumn="0" w:oddVBand="0" w:evenVBand="0" w:oddHBand="0" w:evenHBand="0" w:firstRowFirstColumn="0" w:firstRowLastColumn="0" w:lastRowFirstColumn="0" w:lastRowLastColumn="0"/>
            </w:pPr>
            <w:r>
              <w:t>Symptoms may include chest pain or dyspnoea,</w:t>
            </w:r>
          </w:p>
          <w:p w14:paraId="65599525" w14:textId="46B486E7" w:rsidR="00517DA6" w:rsidRPr="00903864" w:rsidRDefault="002D7CB5" w:rsidP="00B101DB">
            <w:pPr>
              <w:pStyle w:val="ListBullet2"/>
              <w:cnfStyle w:val="000000000000" w:firstRow="0" w:lastRow="0" w:firstColumn="0" w:lastColumn="0" w:oddVBand="0" w:evenVBand="0" w:oddHBand="0" w:evenHBand="0" w:firstRowFirstColumn="0" w:firstRowLastColumn="0" w:lastRowFirstColumn="0" w:lastRowLastColumn="0"/>
            </w:pPr>
            <w:r>
              <w:t>E</w:t>
            </w:r>
            <w:r w:rsidR="00517DA6" w:rsidRPr="00903864">
              <w:t>levated troponin,</w:t>
            </w:r>
          </w:p>
          <w:p w14:paraId="40B10C0E" w14:textId="77777777" w:rsidR="002D7CB5" w:rsidRDefault="00517DA6" w:rsidP="00B101DB">
            <w:pPr>
              <w:pStyle w:val="ListBullet2"/>
              <w:cnfStyle w:val="000000000000" w:firstRow="0" w:lastRow="0" w:firstColumn="0" w:lastColumn="0" w:oddVBand="0" w:evenVBand="0" w:oddHBand="0" w:evenHBand="0" w:firstRowFirstColumn="0" w:firstRowLastColumn="0" w:lastRowFirstColumn="0" w:lastRowLastColumn="0"/>
            </w:pPr>
            <w:r w:rsidRPr="00903864">
              <w:t xml:space="preserve">ECG showing ST or T-wave abnormalities, premature atrial or ventricular complexes, </w:t>
            </w:r>
          </w:p>
          <w:p w14:paraId="38BB872E" w14:textId="4CE847B3" w:rsidR="00517DA6" w:rsidRPr="00903864" w:rsidRDefault="002D7CB5" w:rsidP="00B101DB">
            <w:pPr>
              <w:pStyle w:val="ListBullet2"/>
              <w:cnfStyle w:val="000000000000" w:firstRow="0" w:lastRow="0" w:firstColumn="0" w:lastColumn="0" w:oddVBand="0" w:evenVBand="0" w:oddHBand="0" w:evenHBand="0" w:firstRowFirstColumn="0" w:firstRowLastColumn="0" w:lastRowFirstColumn="0" w:lastRowLastColumn="0"/>
            </w:pPr>
            <w:r>
              <w:t>A</w:t>
            </w:r>
            <w:r w:rsidR="00517DA6" w:rsidRPr="00903864">
              <w:t>bnormal echocardiogram or cardiac MRI.</w:t>
            </w:r>
          </w:p>
        </w:tc>
      </w:tr>
      <w:tr w:rsidR="00517DA6" w:rsidRPr="00903864" w14:paraId="6ACF3B89" w14:textId="77777777" w:rsidTr="00B101DB">
        <w:tc>
          <w:tcPr>
            <w:cnfStyle w:val="001000000000" w:firstRow="0" w:lastRow="0" w:firstColumn="1" w:lastColumn="0" w:oddVBand="0" w:evenVBand="0" w:oddHBand="0" w:evenHBand="0" w:firstRowFirstColumn="0" w:firstRowLastColumn="0" w:lastRowFirstColumn="0" w:lastRowLastColumn="0"/>
            <w:tcW w:w="1294" w:type="pct"/>
          </w:tcPr>
          <w:p w14:paraId="16391A19" w14:textId="77777777" w:rsidR="00517DA6" w:rsidRPr="00903864" w:rsidRDefault="00517DA6" w:rsidP="00B101DB">
            <w:r w:rsidRPr="00903864">
              <w:rPr>
                <w:rStyle w:val="Strong"/>
              </w:rPr>
              <w:t>Link to vaccination</w:t>
            </w:r>
            <w:r w:rsidRPr="00903864">
              <w:t xml:space="preserve"> Opinion that the most likely cause of the diagnosed condition(s) is COVID-19 vaccination Comirnaty (Pfizer), OR Spikevax (Moderna), OR Nuvaxovid (Novavax)</w:t>
            </w:r>
          </w:p>
        </w:tc>
        <w:tc>
          <w:tcPr>
            <w:tcW w:w="3706" w:type="pct"/>
          </w:tcPr>
          <w:p w14:paraId="27AADD71" w14:textId="64CC1D57" w:rsidR="00517DA6" w:rsidRPr="00903864" w:rsidRDefault="00517DA6" w:rsidP="00B101DB">
            <w:pPr>
              <w:cnfStyle w:val="000000000000" w:firstRow="0" w:lastRow="0" w:firstColumn="0" w:lastColumn="0" w:oddVBand="0" w:evenVBand="0" w:oddHBand="0" w:evenHBand="0" w:firstRowFirstColumn="0" w:firstRowLastColumn="0" w:lastRowFirstColumn="0" w:lastRowLastColumn="0"/>
            </w:pPr>
            <w:r w:rsidRPr="00903864">
              <w:t>Symptoms of vaccine-induced myocarditis typically begin within a few days of vaccination</w:t>
            </w:r>
            <w:r w:rsidR="00244AB8">
              <w:t>.</w:t>
            </w:r>
            <w:r w:rsidR="0088408F" w:rsidRPr="00903864">
              <w:rPr>
                <w:rStyle w:val="FootnoteReference"/>
              </w:rPr>
              <w:footnoteReference w:id="7"/>
            </w:r>
            <w:r w:rsidR="0088408F" w:rsidRPr="00903864">
              <w:rPr>
                <w:vertAlign w:val="superscript"/>
              </w:rPr>
              <w:t>,</w:t>
            </w:r>
            <w:r w:rsidR="0088408F" w:rsidRPr="00903864">
              <w:rPr>
                <w:rStyle w:val="FootnoteReference"/>
              </w:rPr>
              <w:footnoteReference w:id="8"/>
            </w:r>
            <w:r w:rsidRPr="00903864">
              <w:t xml:space="preserve"> The median time of symptom onset has recently been published in the Journal of the American Medical Association</w:t>
            </w:r>
            <w:bookmarkStart w:id="22" w:name="_Ref131173928"/>
            <w:r w:rsidR="0088408F" w:rsidRPr="00903864">
              <w:rPr>
                <w:rStyle w:val="FootnoteReference"/>
              </w:rPr>
              <w:footnoteReference w:id="9"/>
            </w:r>
            <w:bookmarkEnd w:id="22"/>
            <w:r w:rsidRPr="00903864">
              <w:t xml:space="preserve"> as: </w:t>
            </w:r>
          </w:p>
          <w:p w14:paraId="60FDFFE8" w14:textId="77777777" w:rsidR="00517DA6" w:rsidRPr="00903864" w:rsidRDefault="00517DA6" w:rsidP="00B101DB">
            <w:pPr>
              <w:pStyle w:val="ListBullet"/>
              <w:cnfStyle w:val="000000000000" w:firstRow="0" w:lastRow="0" w:firstColumn="0" w:lastColumn="0" w:oddVBand="0" w:evenVBand="0" w:oddHBand="0" w:evenHBand="0" w:firstRowFirstColumn="0" w:firstRowLastColumn="0" w:lastRowFirstColumn="0" w:lastRowLastColumn="0"/>
            </w:pPr>
            <w:r w:rsidRPr="00903864">
              <w:t xml:space="preserve">3.5 days with a range of 3-10.8 days </w:t>
            </w:r>
          </w:p>
          <w:p w14:paraId="60A9BD47" w14:textId="63F73AB0" w:rsidR="00517DA6" w:rsidRPr="00903864" w:rsidRDefault="00517DA6" w:rsidP="00903864">
            <w:pPr>
              <w:cnfStyle w:val="000000000000" w:firstRow="0" w:lastRow="0" w:firstColumn="0" w:lastColumn="0" w:oddVBand="0" w:evenVBand="0" w:oddHBand="0" w:evenHBand="0" w:firstRowFirstColumn="0" w:firstRowLastColumn="0" w:lastRowFirstColumn="0" w:lastRowLastColumn="0"/>
            </w:pPr>
            <w:r w:rsidRPr="00903864">
              <w:t xml:space="preserve">As myocarditis has a range of aetiologies, it is important to consider and exclude causes unrelated to vaccination, which may include infectious or autoimmune causes. Other causes of the claimant’s symptoms should also be considered and excluded. </w:t>
            </w:r>
          </w:p>
        </w:tc>
      </w:tr>
    </w:tbl>
    <w:p w14:paraId="2B2BE271" w14:textId="77777777" w:rsidR="00517DA6" w:rsidRPr="00903864" w:rsidRDefault="00517DA6" w:rsidP="001D7C0B">
      <w:pPr>
        <w:pStyle w:val="Heading3"/>
        <w:rPr>
          <w:rFonts w:ascii="Cambria" w:hAnsi="Cambria"/>
        </w:rPr>
      </w:pPr>
      <w:bookmarkStart w:id="23" w:name="_Toc153956552"/>
      <w:r w:rsidRPr="00903864">
        <w:rPr>
          <w:rFonts w:ascii="Cambria" w:hAnsi="Cambria"/>
        </w:rPr>
        <w:t>Resources for Myocarditis</w:t>
      </w:r>
      <w:bookmarkEnd w:id="23"/>
    </w:p>
    <w:p w14:paraId="4D9AE3A3" w14:textId="77777777" w:rsidR="00517DA6" w:rsidRPr="00903864" w:rsidRDefault="00517DA6" w:rsidP="00517DA6">
      <w:pPr>
        <w:spacing w:after="180"/>
        <w:rPr>
          <w:rFonts w:ascii="Cambria" w:hAnsi="Cambria" w:cs="Calibri"/>
        </w:rPr>
      </w:pPr>
      <w:proofErr w:type="gramStart"/>
      <w:r w:rsidRPr="00903864">
        <w:rPr>
          <w:rFonts w:ascii="Cambria" w:hAnsi="Cambria" w:cs="Calibri"/>
        </w:rPr>
        <w:t>A number of</w:t>
      </w:r>
      <w:proofErr w:type="gramEnd"/>
      <w:r w:rsidRPr="00903864">
        <w:rPr>
          <w:rFonts w:ascii="Cambria" w:hAnsi="Cambria" w:cs="Calibri"/>
        </w:rPr>
        <w:t xml:space="preserve"> national and international bodies have provided guidance for healthcare practitioners on myocarditis. Diagnosis of the condition and assessment of the link to vaccination should occur in line with recognised guidelines, for example:</w:t>
      </w:r>
    </w:p>
    <w:p w14:paraId="622949E7" w14:textId="77777777" w:rsidR="007361D8" w:rsidRPr="00903864" w:rsidRDefault="00517DA6" w:rsidP="00210B39">
      <w:pPr>
        <w:pStyle w:val="ListNumber"/>
        <w:numPr>
          <w:ilvl w:val="0"/>
          <w:numId w:val="8"/>
        </w:numPr>
        <w:ind w:left="827" w:hanging="357"/>
        <w:rPr>
          <w:rFonts w:ascii="Cambria" w:hAnsi="Cambria"/>
          <w:color w:val="0000FF"/>
          <w:u w:val="single"/>
        </w:rPr>
      </w:pPr>
      <w:r w:rsidRPr="00903864">
        <w:rPr>
          <w:rFonts w:ascii="Cambria" w:hAnsi="Cambria"/>
        </w:rPr>
        <w:lastRenderedPageBreak/>
        <w:t xml:space="preserve">The Department of Health and Aged Care has published guidance jointly with the Australian Technical Advisory Group on Immunisation (ATAGI) and the Cardiac Society of Australia and New Zealand (CSANZ). </w:t>
      </w:r>
    </w:p>
    <w:p w14:paraId="4A1BD535" w14:textId="7CD067C1" w:rsidR="00517DA6" w:rsidRPr="00903864" w:rsidRDefault="00D10C2A" w:rsidP="00210B39">
      <w:pPr>
        <w:pStyle w:val="ListNumber"/>
        <w:numPr>
          <w:ilvl w:val="0"/>
          <w:numId w:val="0"/>
        </w:numPr>
        <w:ind w:left="827"/>
        <w:rPr>
          <w:rStyle w:val="Hyperlink"/>
          <w:rFonts w:ascii="Cambria" w:hAnsi="Cambria"/>
        </w:rPr>
      </w:pPr>
      <w:hyperlink r:id="rId20" w:history="1">
        <w:r w:rsidR="007361D8" w:rsidRPr="00903864">
          <w:rPr>
            <w:rStyle w:val="Hyperlink"/>
            <w:rFonts w:ascii="Cambria" w:hAnsi="Cambria"/>
          </w:rPr>
          <w:t>COVID-19 vaccination – Guidance on myocarditis and pericarditis after COVID-19 vaccines | Australian Government Department of Health and Aged Care</w:t>
        </w:r>
      </w:hyperlink>
    </w:p>
    <w:p w14:paraId="28CF28CC" w14:textId="79789343" w:rsidR="00517DA6" w:rsidRPr="00903864" w:rsidRDefault="00517DA6" w:rsidP="00210B39">
      <w:pPr>
        <w:pStyle w:val="ListNumber"/>
        <w:ind w:left="717"/>
        <w:rPr>
          <w:rFonts w:ascii="Cambria" w:hAnsi="Cambria"/>
        </w:rPr>
      </w:pPr>
      <w:r w:rsidRPr="00903864">
        <w:rPr>
          <w:rFonts w:ascii="Cambria" w:hAnsi="Cambria" w:cstheme="minorHAnsi"/>
        </w:rPr>
        <w:t xml:space="preserve">The Brighton Collaboration has published a case definition for myocarditis and pericarditis </w:t>
      </w:r>
      <w:hyperlink r:id="rId21" w:history="1">
        <w:r w:rsidR="00244AB8" w:rsidRPr="00744566">
          <w:rPr>
            <w:rStyle w:val="Hyperlink"/>
            <w:rFonts w:ascii="Cambria" w:hAnsi="Cambria" w:cstheme="minorHAnsi"/>
          </w:rPr>
          <w:t>https://brightoncollaboration.us/myocarditis-case-definition-update/</w:t>
        </w:r>
      </w:hyperlink>
    </w:p>
    <w:p w14:paraId="2E5CEC15" w14:textId="77777777" w:rsidR="00517DA6" w:rsidRPr="00903864" w:rsidRDefault="00517DA6" w:rsidP="001D7C0B">
      <w:pPr>
        <w:pStyle w:val="Heading3"/>
        <w:rPr>
          <w:rFonts w:ascii="Cambria" w:hAnsi="Cambria"/>
        </w:rPr>
      </w:pPr>
      <w:bookmarkStart w:id="24" w:name="_Toc131405276"/>
      <w:bookmarkStart w:id="25" w:name="_Toc153956553"/>
      <w:r w:rsidRPr="00903864">
        <w:rPr>
          <w:rFonts w:ascii="Cambria" w:hAnsi="Cambria"/>
        </w:rPr>
        <w:t>Product Information</w:t>
      </w:r>
      <w:bookmarkEnd w:id="24"/>
      <w:bookmarkEnd w:id="25"/>
    </w:p>
    <w:p w14:paraId="3DD9B087" w14:textId="77777777" w:rsidR="00517DA6" w:rsidRPr="00903864" w:rsidRDefault="00D10C2A" w:rsidP="00517DA6">
      <w:pPr>
        <w:pStyle w:val="ListBullet"/>
        <w:rPr>
          <w:rStyle w:val="Hyperlink"/>
          <w:rFonts w:ascii="Cambria" w:hAnsi="Cambria" w:cstheme="minorHAnsi"/>
        </w:rPr>
      </w:pPr>
      <w:hyperlink r:id="rId22" w:history="1">
        <w:r w:rsidR="00517DA6" w:rsidRPr="00903864">
          <w:rPr>
            <w:rStyle w:val="Hyperlink"/>
            <w:rFonts w:ascii="Cambria" w:hAnsi="Cambria" w:cstheme="minorHAnsi"/>
          </w:rPr>
          <w:t>Product Information Comirnaty (Pfizer)</w:t>
        </w:r>
      </w:hyperlink>
    </w:p>
    <w:p w14:paraId="63560F25" w14:textId="77777777" w:rsidR="00517DA6" w:rsidRPr="00903864" w:rsidRDefault="00D10C2A" w:rsidP="00517DA6">
      <w:pPr>
        <w:pStyle w:val="ListBullet"/>
        <w:rPr>
          <w:rStyle w:val="Hyperlink"/>
          <w:rFonts w:ascii="Cambria" w:hAnsi="Cambria" w:cstheme="minorHAnsi"/>
        </w:rPr>
      </w:pPr>
      <w:hyperlink r:id="rId23" w:history="1">
        <w:r w:rsidR="00517DA6" w:rsidRPr="00903864">
          <w:rPr>
            <w:rStyle w:val="Hyperlink"/>
            <w:rFonts w:ascii="Cambria" w:hAnsi="Cambria" w:cstheme="minorHAnsi"/>
          </w:rPr>
          <w:t>Product Information Spikevax (Moderna)</w:t>
        </w:r>
      </w:hyperlink>
    </w:p>
    <w:p w14:paraId="778FF20D" w14:textId="77777777" w:rsidR="00517DA6" w:rsidRPr="00903864" w:rsidRDefault="00517DA6" w:rsidP="00517DA6">
      <w:pPr>
        <w:pStyle w:val="ListBullet"/>
        <w:numPr>
          <w:ilvl w:val="0"/>
          <w:numId w:val="0"/>
        </w:numPr>
        <w:ind w:left="360" w:hanging="360"/>
        <w:rPr>
          <w:rStyle w:val="Hyperlink"/>
          <w:rFonts w:ascii="Cambria" w:hAnsi="Cambria" w:cstheme="minorHAnsi"/>
        </w:rPr>
      </w:pPr>
    </w:p>
    <w:p w14:paraId="6845E756" w14:textId="77777777" w:rsidR="00517DA6" w:rsidRPr="00903864" w:rsidRDefault="00517DA6" w:rsidP="001D7C0B">
      <w:pPr>
        <w:pStyle w:val="Heading2"/>
        <w:numPr>
          <w:ilvl w:val="0"/>
          <w:numId w:val="1"/>
        </w:numPr>
        <w:rPr>
          <w:rFonts w:ascii="Cambria" w:hAnsi="Cambria"/>
        </w:rPr>
      </w:pPr>
      <w:bookmarkStart w:id="26" w:name="_Toc153956554"/>
      <w:r w:rsidRPr="00903864">
        <w:rPr>
          <w:rFonts w:ascii="Cambria" w:hAnsi="Cambria"/>
        </w:rPr>
        <w:t>Pericarditis</w:t>
      </w:r>
      <w:bookmarkEnd w:id="26"/>
    </w:p>
    <w:p w14:paraId="5CC8CFF1" w14:textId="77777777" w:rsidR="00517DA6" w:rsidRPr="00903864" w:rsidRDefault="00517DA6" w:rsidP="00517DA6">
      <w:pPr>
        <w:rPr>
          <w:rFonts w:ascii="Cambria" w:hAnsi="Cambria" w:cs="Calibri"/>
        </w:rPr>
      </w:pPr>
      <w:r w:rsidRPr="00903864">
        <w:rPr>
          <w:rFonts w:ascii="Cambria" w:hAnsi="Cambria" w:cs="Calibri"/>
        </w:rPr>
        <w:t>Points to consider for claims including myocarditis and pericarditis.</w:t>
      </w:r>
    </w:p>
    <w:tbl>
      <w:tblPr>
        <w:tblStyle w:val="TableTGAblack"/>
        <w:tblW w:w="5000" w:type="pct"/>
        <w:tblLook w:val="04A0" w:firstRow="1" w:lastRow="0" w:firstColumn="1" w:lastColumn="0" w:noHBand="0" w:noVBand="1"/>
        <w:tblDescription w:val="Points to consider for claims including myocarditis and pericarditis"/>
      </w:tblPr>
      <w:tblGrid>
        <w:gridCol w:w="2333"/>
        <w:gridCol w:w="6683"/>
      </w:tblGrid>
      <w:tr w:rsidR="00517DA6" w:rsidRPr="00903864" w14:paraId="494E97E2" w14:textId="77777777" w:rsidTr="00B101DB">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100" w:firstRow="0" w:lastRow="0" w:firstColumn="1" w:lastColumn="0" w:oddVBand="0" w:evenVBand="0" w:oddHBand="0" w:evenHBand="0" w:firstRowFirstColumn="1" w:firstRowLastColumn="0" w:lastRowFirstColumn="0" w:lastRowLastColumn="0"/>
            <w:tcW w:w="1294" w:type="pct"/>
          </w:tcPr>
          <w:p w14:paraId="1EDE3A80" w14:textId="77777777" w:rsidR="00517DA6" w:rsidRPr="00903864" w:rsidRDefault="00517DA6" w:rsidP="00B101DB">
            <w:r w:rsidRPr="00903864">
              <w:t>Evidence requirement</w:t>
            </w:r>
          </w:p>
        </w:tc>
        <w:tc>
          <w:tcPr>
            <w:tcW w:w="3706" w:type="pct"/>
          </w:tcPr>
          <w:p w14:paraId="4E771432" w14:textId="77777777" w:rsidR="00517DA6" w:rsidRPr="00903864" w:rsidRDefault="00517DA6" w:rsidP="00B101DB">
            <w:pPr>
              <w:cnfStyle w:val="100000000000" w:firstRow="1" w:lastRow="0" w:firstColumn="0" w:lastColumn="0" w:oddVBand="0" w:evenVBand="0" w:oddHBand="0" w:evenHBand="0" w:firstRowFirstColumn="0" w:firstRowLastColumn="0" w:lastRowFirstColumn="0" w:lastRowLastColumn="0"/>
              <w:rPr>
                <w:rFonts w:ascii="Cambria" w:hAnsi="Cambria"/>
              </w:rPr>
            </w:pPr>
            <w:r w:rsidRPr="00903864">
              <w:rPr>
                <w:rFonts w:ascii="Cambria" w:hAnsi="Cambria"/>
              </w:rPr>
              <w:t>Types of evidence that should be considered for Pericarditis</w:t>
            </w:r>
          </w:p>
        </w:tc>
      </w:tr>
      <w:tr w:rsidR="00517DA6" w:rsidRPr="00903864" w14:paraId="61B3DE0A" w14:textId="77777777" w:rsidTr="00B101DB">
        <w:trPr>
          <w:cantSplit w:val="0"/>
        </w:trPr>
        <w:tc>
          <w:tcPr>
            <w:cnfStyle w:val="001000000000" w:firstRow="0" w:lastRow="0" w:firstColumn="1" w:lastColumn="0" w:oddVBand="0" w:evenVBand="0" w:oddHBand="0" w:evenHBand="0" w:firstRowFirstColumn="0" w:firstRowLastColumn="0" w:lastRowFirstColumn="0" w:lastRowLastColumn="0"/>
            <w:tcW w:w="1294" w:type="pct"/>
          </w:tcPr>
          <w:p w14:paraId="67258B25" w14:textId="77777777" w:rsidR="00517DA6" w:rsidRPr="00903864" w:rsidRDefault="00517DA6" w:rsidP="00B101DB">
            <w:pPr>
              <w:rPr>
                <w:rStyle w:val="Strong"/>
              </w:rPr>
            </w:pPr>
            <w:r w:rsidRPr="00903864">
              <w:rPr>
                <w:rStyle w:val="Strong"/>
              </w:rPr>
              <w:t>Diagnosis</w:t>
            </w:r>
          </w:p>
          <w:p w14:paraId="265806AD" w14:textId="77777777" w:rsidR="00517DA6" w:rsidRPr="00903864" w:rsidRDefault="00517DA6" w:rsidP="00B101DB">
            <w:r w:rsidRPr="00903864">
              <w:t>The patient has been diagnosed with a claimable medical condition(s) by a Reporting Practitioner in the relevant field of practice</w:t>
            </w:r>
          </w:p>
        </w:tc>
        <w:tc>
          <w:tcPr>
            <w:tcW w:w="3706" w:type="pct"/>
          </w:tcPr>
          <w:p w14:paraId="1CD3E73C" w14:textId="1E935CB6" w:rsidR="00AE0DEE" w:rsidRPr="00903864" w:rsidRDefault="00B0581B" w:rsidP="00B101DB">
            <w:pPr>
              <w:cnfStyle w:val="000000000000" w:firstRow="0" w:lastRow="0" w:firstColumn="0" w:lastColumn="0" w:oddVBand="0" w:evenVBand="0" w:oddHBand="0" w:evenHBand="0" w:firstRowFirstColumn="0" w:firstRowLastColumn="0" w:lastRowFirstColumn="0" w:lastRowLastColumn="0"/>
            </w:pPr>
            <w:bookmarkStart w:id="27" w:name="_Hlk130308024"/>
            <w:r w:rsidRPr="00903864">
              <w:t xml:space="preserve">The relevant fields of practice are Cardiology, and, where clinically appropriate, Paediatrics (including General or subspecialty Paediatrics). </w:t>
            </w:r>
            <w:bookmarkEnd w:id="27"/>
          </w:p>
          <w:p w14:paraId="28A921B8" w14:textId="7145C643" w:rsidR="00517DA6" w:rsidRPr="00903864" w:rsidRDefault="00517DA6" w:rsidP="00B101DB">
            <w:pPr>
              <w:cnfStyle w:val="000000000000" w:firstRow="0" w:lastRow="0" w:firstColumn="0" w:lastColumn="0" w:oddVBand="0" w:evenVBand="0" w:oddHBand="0" w:evenHBand="0" w:firstRowFirstColumn="0" w:firstRowLastColumn="0" w:lastRowFirstColumn="0" w:lastRowLastColumn="0"/>
            </w:pPr>
            <w:r w:rsidRPr="00903864">
              <w:t>Clinical information that should be outlined to support the diagnosis OR appropriate justification provided for absence of information:</w:t>
            </w:r>
          </w:p>
          <w:p w14:paraId="7B7F5A2B" w14:textId="77777777" w:rsidR="00517DA6" w:rsidRPr="00903864" w:rsidRDefault="00517DA6" w:rsidP="00B101DB">
            <w:pPr>
              <w:pStyle w:val="ListBullet"/>
              <w:cnfStyle w:val="000000000000" w:firstRow="0" w:lastRow="0" w:firstColumn="0" w:lastColumn="0" w:oddVBand="0" w:evenVBand="0" w:oddHBand="0" w:evenHBand="0" w:firstRowFirstColumn="0" w:firstRowLastColumn="0" w:lastRowFirstColumn="0" w:lastRowLastColumn="0"/>
            </w:pPr>
            <w:r w:rsidRPr="00903864">
              <w:t>Patient’s clinical presentation and assessment, including more than one of the following:</w:t>
            </w:r>
          </w:p>
          <w:p w14:paraId="5FB32B04" w14:textId="77777777" w:rsidR="00517DA6" w:rsidRPr="00903864" w:rsidRDefault="00517DA6" w:rsidP="00B101DB">
            <w:pPr>
              <w:pStyle w:val="ListNumber2"/>
              <w:cnfStyle w:val="000000000000" w:firstRow="0" w:lastRow="0" w:firstColumn="0" w:lastColumn="0" w:oddVBand="0" w:evenVBand="0" w:oddHBand="0" w:evenHBand="0" w:firstRowFirstColumn="0" w:firstRowLastColumn="0" w:lastRowFirstColumn="0" w:lastRowLastColumn="0"/>
            </w:pPr>
            <w:r w:rsidRPr="00903864">
              <w:t>Chest pain</w:t>
            </w:r>
          </w:p>
          <w:p w14:paraId="77861AFB" w14:textId="77777777" w:rsidR="00517DA6" w:rsidRPr="00903864" w:rsidRDefault="00517DA6" w:rsidP="00B101DB">
            <w:pPr>
              <w:pStyle w:val="ListNumber2"/>
              <w:cnfStyle w:val="000000000000" w:firstRow="0" w:lastRow="0" w:firstColumn="0" w:lastColumn="0" w:oddVBand="0" w:evenVBand="0" w:oddHBand="0" w:evenHBand="0" w:firstRowFirstColumn="0" w:firstRowLastColumn="0" w:lastRowFirstColumn="0" w:lastRowLastColumn="0"/>
            </w:pPr>
            <w:r w:rsidRPr="00903864">
              <w:t>Pericardial rub</w:t>
            </w:r>
          </w:p>
          <w:p w14:paraId="6EC609EA" w14:textId="77777777" w:rsidR="00517DA6" w:rsidRPr="00903864" w:rsidRDefault="00517DA6" w:rsidP="00B101DB">
            <w:pPr>
              <w:pStyle w:val="ListNumber2"/>
              <w:cnfStyle w:val="000000000000" w:firstRow="0" w:lastRow="0" w:firstColumn="0" w:lastColumn="0" w:oddVBand="0" w:evenVBand="0" w:oddHBand="0" w:evenHBand="0" w:firstRowFirstColumn="0" w:firstRowLastColumn="0" w:lastRowFirstColumn="0" w:lastRowLastColumn="0"/>
            </w:pPr>
            <w:r w:rsidRPr="00903864">
              <w:t>Electrocardiogram changes</w:t>
            </w:r>
          </w:p>
          <w:p w14:paraId="3E77443A" w14:textId="77777777" w:rsidR="00517DA6" w:rsidRPr="00903864" w:rsidRDefault="00517DA6" w:rsidP="00B101DB">
            <w:pPr>
              <w:pStyle w:val="ListNumber2"/>
              <w:cnfStyle w:val="000000000000" w:firstRow="0" w:lastRow="0" w:firstColumn="0" w:lastColumn="0" w:oddVBand="0" w:evenVBand="0" w:oddHBand="0" w:evenHBand="0" w:firstRowFirstColumn="0" w:firstRowLastColumn="0" w:lastRowFirstColumn="0" w:lastRowLastColumn="0"/>
            </w:pPr>
            <w:r w:rsidRPr="00903864">
              <w:t>Pericardial effusion</w:t>
            </w:r>
          </w:p>
          <w:p w14:paraId="00814668" w14:textId="77777777" w:rsidR="00517DA6" w:rsidRPr="00903864" w:rsidRDefault="00517DA6" w:rsidP="00B101DB">
            <w:pPr>
              <w:pStyle w:val="ListBullet"/>
              <w:cnfStyle w:val="000000000000" w:firstRow="0" w:lastRow="0" w:firstColumn="0" w:lastColumn="0" w:oddVBand="0" w:evenVBand="0" w:oddHBand="0" w:evenHBand="0" w:firstRowFirstColumn="0" w:firstRowLastColumn="0" w:lastRowFirstColumn="0" w:lastRowLastColumn="0"/>
            </w:pPr>
            <w:r w:rsidRPr="00903864">
              <w:t>Supporting findings are:</w:t>
            </w:r>
          </w:p>
          <w:p w14:paraId="7A76B561" w14:textId="77777777" w:rsidR="00517DA6" w:rsidRPr="00903864" w:rsidRDefault="00517DA6" w:rsidP="00B101DB">
            <w:pPr>
              <w:pStyle w:val="ListBullet2"/>
              <w:cnfStyle w:val="000000000000" w:firstRow="0" w:lastRow="0" w:firstColumn="0" w:lastColumn="0" w:oddVBand="0" w:evenVBand="0" w:oddHBand="0" w:evenHBand="0" w:firstRowFirstColumn="0" w:firstRowLastColumn="0" w:lastRowFirstColumn="0" w:lastRowLastColumn="0"/>
            </w:pPr>
            <w:r w:rsidRPr="00903864">
              <w:t xml:space="preserve">Increase in inflammatory </w:t>
            </w:r>
            <w:proofErr w:type="gramStart"/>
            <w:r w:rsidRPr="00903864">
              <w:t>markers;</w:t>
            </w:r>
            <w:proofErr w:type="gramEnd"/>
          </w:p>
          <w:p w14:paraId="371953E2" w14:textId="77777777" w:rsidR="00517DA6" w:rsidRPr="00903864" w:rsidRDefault="00517DA6" w:rsidP="00B101DB">
            <w:pPr>
              <w:pStyle w:val="ListBullet2"/>
              <w:cnfStyle w:val="000000000000" w:firstRow="0" w:lastRow="0" w:firstColumn="0" w:lastColumn="0" w:oddVBand="0" w:evenVBand="0" w:oddHBand="0" w:evenHBand="0" w:firstRowFirstColumn="0" w:firstRowLastColumn="0" w:lastRowFirstColumn="0" w:lastRowLastColumn="0"/>
            </w:pPr>
            <w:r w:rsidRPr="00903864">
              <w:t>Evidence of inflammation on multimodal imaging</w:t>
            </w:r>
          </w:p>
        </w:tc>
      </w:tr>
      <w:tr w:rsidR="00517DA6" w:rsidRPr="00903864" w14:paraId="731EB2B8" w14:textId="77777777" w:rsidTr="00B101DB">
        <w:tc>
          <w:tcPr>
            <w:cnfStyle w:val="001000000000" w:firstRow="0" w:lastRow="0" w:firstColumn="1" w:lastColumn="0" w:oddVBand="0" w:evenVBand="0" w:oddHBand="0" w:evenHBand="0" w:firstRowFirstColumn="0" w:firstRowLastColumn="0" w:lastRowFirstColumn="0" w:lastRowLastColumn="0"/>
            <w:tcW w:w="1294" w:type="pct"/>
          </w:tcPr>
          <w:p w14:paraId="4C5A16C6" w14:textId="77777777" w:rsidR="00517DA6" w:rsidRPr="00903864" w:rsidRDefault="00517DA6" w:rsidP="00B101DB">
            <w:pPr>
              <w:rPr>
                <w:rStyle w:val="Strong"/>
              </w:rPr>
            </w:pPr>
            <w:r w:rsidRPr="00903864">
              <w:rPr>
                <w:rStyle w:val="Strong"/>
              </w:rPr>
              <w:lastRenderedPageBreak/>
              <w:t>Link to vaccination</w:t>
            </w:r>
          </w:p>
          <w:p w14:paraId="37288E69" w14:textId="77777777" w:rsidR="00517DA6" w:rsidRPr="00903864" w:rsidRDefault="00517DA6" w:rsidP="00B101DB">
            <w:r w:rsidRPr="00903864">
              <w:t>Opinion that the most likely cause of the diagnosed condition(s) is COVID-19 vaccination Comirnaty (Pfizer), OR Spikevax (Moderna) OR Nuvaxovid (Novavax)</w:t>
            </w:r>
          </w:p>
        </w:tc>
        <w:tc>
          <w:tcPr>
            <w:tcW w:w="3706" w:type="pct"/>
          </w:tcPr>
          <w:p w14:paraId="29EC1BE0" w14:textId="135F8877" w:rsidR="00517DA6" w:rsidRPr="00903864" w:rsidRDefault="00517DA6" w:rsidP="00B101DB">
            <w:pPr>
              <w:cnfStyle w:val="000000000000" w:firstRow="0" w:lastRow="0" w:firstColumn="0" w:lastColumn="0" w:oddVBand="0" w:evenVBand="0" w:oddHBand="0" w:evenHBand="0" w:firstRowFirstColumn="0" w:firstRowLastColumn="0" w:lastRowFirstColumn="0" w:lastRowLastColumn="0"/>
            </w:pPr>
            <w:r w:rsidRPr="00903864">
              <w:t>The Journal of the American Medical Association</w:t>
            </w:r>
            <w:r w:rsidR="00473186" w:rsidRPr="00903864">
              <w:rPr>
                <w:rStyle w:val="FootnoteReference"/>
              </w:rPr>
              <w:footnoteReference w:id="10"/>
            </w:r>
            <w:r w:rsidRPr="00903864">
              <w:t xml:space="preserve"> published the median time to symptom onset:</w:t>
            </w:r>
          </w:p>
          <w:p w14:paraId="61F63006" w14:textId="6127448F" w:rsidR="00517DA6" w:rsidRPr="00903864" w:rsidRDefault="00517DA6" w:rsidP="00B101DB">
            <w:pPr>
              <w:pStyle w:val="ListBullet"/>
              <w:cnfStyle w:val="000000000000" w:firstRow="0" w:lastRow="0" w:firstColumn="0" w:lastColumn="0" w:oddVBand="0" w:evenVBand="0" w:oddHBand="0" w:evenHBand="0" w:firstRowFirstColumn="0" w:firstRowLastColumn="0" w:lastRowFirstColumn="0" w:lastRowLastColumn="0"/>
            </w:pPr>
            <w:r w:rsidRPr="00903864">
              <w:t>20 days with a range of 6-41 days</w:t>
            </w:r>
            <w:r w:rsidR="00192B42" w:rsidRPr="00903864">
              <w:t>.</w:t>
            </w:r>
          </w:p>
          <w:p w14:paraId="30B38C6B" w14:textId="165885BD" w:rsidR="00517DA6" w:rsidRPr="00903864" w:rsidRDefault="00517DA6" w:rsidP="00903864">
            <w:pPr>
              <w:cnfStyle w:val="000000000000" w:firstRow="0" w:lastRow="0" w:firstColumn="0" w:lastColumn="0" w:oddVBand="0" w:evenVBand="0" w:oddHBand="0" w:evenHBand="0" w:firstRowFirstColumn="0" w:firstRowLastColumn="0" w:lastRowFirstColumn="0" w:lastRowLastColumn="0"/>
            </w:pPr>
            <w:r w:rsidRPr="00903864">
              <w:t xml:space="preserve">As pericarditis has a range of aetiologies, it is important to consider and exclude causes unrelated to vaccination, which may include infectious or autoimmune causes. Other causes of the claimant’s symptoms should also be considered and excluded. </w:t>
            </w:r>
          </w:p>
        </w:tc>
      </w:tr>
    </w:tbl>
    <w:p w14:paraId="7BBB327A" w14:textId="77777777" w:rsidR="00517DA6" w:rsidRPr="00903864" w:rsidRDefault="00517DA6" w:rsidP="001D7C0B">
      <w:pPr>
        <w:pStyle w:val="Heading3"/>
        <w:rPr>
          <w:rFonts w:ascii="Cambria" w:hAnsi="Cambria"/>
        </w:rPr>
      </w:pPr>
      <w:bookmarkStart w:id="28" w:name="_Toc153956555"/>
      <w:r w:rsidRPr="00903864">
        <w:rPr>
          <w:rFonts w:ascii="Cambria" w:hAnsi="Cambria"/>
        </w:rPr>
        <w:t>Resources for Pericarditis</w:t>
      </w:r>
      <w:bookmarkEnd w:id="28"/>
    </w:p>
    <w:p w14:paraId="578C796A" w14:textId="77777777" w:rsidR="00517DA6" w:rsidRPr="00903864" w:rsidRDefault="00517DA6" w:rsidP="00517DA6">
      <w:pPr>
        <w:spacing w:after="180"/>
        <w:rPr>
          <w:rFonts w:ascii="Cambria" w:hAnsi="Cambria" w:cs="Calibri"/>
        </w:rPr>
      </w:pPr>
      <w:proofErr w:type="gramStart"/>
      <w:r w:rsidRPr="00903864">
        <w:rPr>
          <w:rFonts w:ascii="Cambria" w:hAnsi="Cambria" w:cs="Calibri"/>
        </w:rPr>
        <w:t>A number of</w:t>
      </w:r>
      <w:proofErr w:type="gramEnd"/>
      <w:r w:rsidRPr="00903864">
        <w:rPr>
          <w:rFonts w:ascii="Cambria" w:hAnsi="Cambria" w:cs="Calibri"/>
        </w:rPr>
        <w:t xml:space="preserve"> national and international bodies have provided guidance for healthcare practitioners on pericarditis. Diagnosis of the condition and assessment of the link to vaccination should occur in line with recognised guidelines, for example:</w:t>
      </w:r>
    </w:p>
    <w:p w14:paraId="2E9D0D68" w14:textId="71577DBD" w:rsidR="00473186" w:rsidRPr="00903864" w:rsidRDefault="00473186" w:rsidP="0082237A">
      <w:pPr>
        <w:pStyle w:val="ListNumber"/>
        <w:numPr>
          <w:ilvl w:val="0"/>
          <w:numId w:val="0"/>
        </w:numPr>
        <w:ind w:left="720" w:hanging="360"/>
        <w:rPr>
          <w:rStyle w:val="Hyperlink"/>
          <w:rFonts w:ascii="Cambria" w:hAnsi="Cambria"/>
        </w:rPr>
      </w:pPr>
      <w:r w:rsidRPr="00903864">
        <w:rPr>
          <w:rFonts w:ascii="Cambria" w:hAnsi="Cambria"/>
        </w:rPr>
        <w:t xml:space="preserve">1) </w:t>
      </w:r>
      <w:r w:rsidR="00517DA6" w:rsidRPr="00903864">
        <w:rPr>
          <w:rFonts w:ascii="Cambria" w:hAnsi="Cambria"/>
        </w:rPr>
        <w:t>The Department of Health and Aged Care has published guidance jointly with the Australian Technical Advisory Group on Immunisation (ATAGI) and the Cardiac Society of Australia and New Zealand (CSANZ).</w:t>
      </w:r>
      <w:r w:rsidRPr="00903864" w:rsidDel="00473186">
        <w:rPr>
          <w:rFonts w:ascii="Cambria" w:hAnsi="Cambria"/>
        </w:rPr>
        <w:t xml:space="preserve"> </w:t>
      </w:r>
      <w:r w:rsidRPr="00903864">
        <w:rPr>
          <w:rStyle w:val="Hyperlink"/>
          <w:rFonts w:ascii="Cambria" w:hAnsi="Cambria" w:cstheme="minorHAnsi"/>
        </w:rPr>
        <w:t xml:space="preserve"> </w:t>
      </w:r>
      <w:hyperlink r:id="rId24" w:history="1">
        <w:r w:rsidRPr="00903864">
          <w:rPr>
            <w:rStyle w:val="Hyperlink"/>
            <w:rFonts w:ascii="Cambria" w:hAnsi="Cambria"/>
          </w:rPr>
          <w:t>COVID-19 vaccination – Guidance on myocarditis and pericarditis after COVID-19 vaccines | Australian Government Department of Health and Aged Care</w:t>
        </w:r>
      </w:hyperlink>
    </w:p>
    <w:p w14:paraId="74F253E5" w14:textId="713170F1" w:rsidR="00517DA6" w:rsidRPr="00903864" w:rsidRDefault="00473186" w:rsidP="0082237A">
      <w:pPr>
        <w:pStyle w:val="ListNumber"/>
        <w:numPr>
          <w:ilvl w:val="0"/>
          <w:numId w:val="0"/>
        </w:numPr>
        <w:ind w:left="720"/>
        <w:rPr>
          <w:rFonts w:ascii="Cambria" w:hAnsi="Cambria"/>
        </w:rPr>
      </w:pPr>
      <w:r w:rsidRPr="00903864">
        <w:rPr>
          <w:rFonts w:ascii="Cambria" w:hAnsi="Cambria" w:cstheme="minorHAnsi"/>
        </w:rPr>
        <w:t xml:space="preserve">2) </w:t>
      </w:r>
      <w:r w:rsidR="00517DA6" w:rsidRPr="00903864">
        <w:rPr>
          <w:rFonts w:ascii="Cambria" w:hAnsi="Cambria" w:cstheme="minorHAnsi"/>
        </w:rPr>
        <w:t xml:space="preserve">The Brighton Collaboration has published a case definition for myocarditis and pericarditis </w:t>
      </w:r>
      <w:hyperlink r:id="rId25" w:history="1">
        <w:r w:rsidR="00517DA6" w:rsidRPr="00903864">
          <w:rPr>
            <w:rStyle w:val="Hyperlink"/>
            <w:rFonts w:ascii="Cambria" w:hAnsi="Cambria" w:cstheme="minorHAnsi"/>
          </w:rPr>
          <w:t>https://brightoncollaboration.us/myocarditis-case-definition-update/</w:t>
        </w:r>
      </w:hyperlink>
    </w:p>
    <w:p w14:paraId="0F8964C4" w14:textId="77777777" w:rsidR="00517DA6" w:rsidRPr="00903864" w:rsidRDefault="00517DA6" w:rsidP="001D7C0B">
      <w:pPr>
        <w:pStyle w:val="Heading3"/>
        <w:rPr>
          <w:rFonts w:ascii="Cambria" w:hAnsi="Cambria"/>
        </w:rPr>
      </w:pPr>
      <w:bookmarkStart w:id="29" w:name="_Toc131405279"/>
      <w:bookmarkStart w:id="30" w:name="_Toc153956556"/>
      <w:r w:rsidRPr="00903864">
        <w:rPr>
          <w:rFonts w:ascii="Cambria" w:hAnsi="Cambria"/>
        </w:rPr>
        <w:t>Product Information</w:t>
      </w:r>
      <w:bookmarkEnd w:id="29"/>
      <w:bookmarkEnd w:id="30"/>
    </w:p>
    <w:p w14:paraId="24EB6E53" w14:textId="77777777" w:rsidR="00517DA6" w:rsidRPr="00903864" w:rsidRDefault="00D10C2A" w:rsidP="00517DA6">
      <w:pPr>
        <w:pStyle w:val="ListBullet"/>
        <w:rPr>
          <w:rStyle w:val="Hyperlink"/>
          <w:rFonts w:ascii="Cambria" w:hAnsi="Cambria"/>
        </w:rPr>
      </w:pPr>
      <w:hyperlink r:id="rId26" w:history="1">
        <w:r w:rsidR="00517DA6" w:rsidRPr="00903864">
          <w:rPr>
            <w:rStyle w:val="Hyperlink"/>
            <w:rFonts w:ascii="Cambria" w:hAnsi="Cambria" w:cstheme="minorHAnsi"/>
          </w:rPr>
          <w:t>Product Information Comirnaty (Pfizer)</w:t>
        </w:r>
      </w:hyperlink>
      <w:r w:rsidR="00517DA6" w:rsidRPr="00903864">
        <w:rPr>
          <w:rStyle w:val="Hyperlink"/>
          <w:rFonts w:ascii="Cambria" w:hAnsi="Cambria"/>
        </w:rPr>
        <w:t xml:space="preserve"> </w:t>
      </w:r>
    </w:p>
    <w:p w14:paraId="76F425B0" w14:textId="77777777" w:rsidR="00517DA6" w:rsidRPr="00903864" w:rsidRDefault="00D10C2A" w:rsidP="00517DA6">
      <w:pPr>
        <w:pStyle w:val="ListBullet"/>
        <w:rPr>
          <w:rStyle w:val="Hyperlink"/>
          <w:rFonts w:ascii="Cambria" w:hAnsi="Cambria" w:cstheme="minorHAnsi"/>
        </w:rPr>
      </w:pPr>
      <w:hyperlink r:id="rId27" w:history="1">
        <w:r w:rsidR="00517DA6" w:rsidRPr="00903864">
          <w:rPr>
            <w:rStyle w:val="Hyperlink"/>
            <w:rFonts w:ascii="Cambria" w:hAnsi="Cambria" w:cstheme="minorHAnsi"/>
          </w:rPr>
          <w:t>Product Information Spikevax (Moderna)</w:t>
        </w:r>
      </w:hyperlink>
    </w:p>
    <w:p w14:paraId="0F56D258" w14:textId="77777777" w:rsidR="00517DA6" w:rsidRPr="00903864" w:rsidRDefault="00517DA6" w:rsidP="00517DA6">
      <w:pPr>
        <w:pStyle w:val="ListBullet"/>
        <w:numPr>
          <w:ilvl w:val="0"/>
          <w:numId w:val="0"/>
        </w:numPr>
        <w:ind w:left="357" w:hanging="357"/>
        <w:rPr>
          <w:rStyle w:val="Hyperlink"/>
          <w:rFonts w:ascii="Cambria" w:hAnsi="Cambria" w:cstheme="minorHAnsi"/>
        </w:rPr>
      </w:pPr>
    </w:p>
    <w:p w14:paraId="10D021C2" w14:textId="77777777" w:rsidR="00517DA6" w:rsidRPr="00903864" w:rsidRDefault="00517DA6" w:rsidP="001D7C0B">
      <w:pPr>
        <w:pStyle w:val="Heading2"/>
        <w:numPr>
          <w:ilvl w:val="0"/>
          <w:numId w:val="1"/>
        </w:numPr>
        <w:rPr>
          <w:rFonts w:ascii="Cambria" w:hAnsi="Cambria"/>
        </w:rPr>
      </w:pPr>
      <w:bookmarkStart w:id="31" w:name="_Toc153956557"/>
      <w:r w:rsidRPr="00903864">
        <w:rPr>
          <w:rFonts w:ascii="Cambria" w:hAnsi="Cambria"/>
        </w:rPr>
        <w:t>Capillary Leak Syndrome</w:t>
      </w:r>
      <w:bookmarkEnd w:id="31"/>
    </w:p>
    <w:p w14:paraId="1BABD443" w14:textId="77777777" w:rsidR="00517DA6" w:rsidRPr="00903864" w:rsidRDefault="00517DA6" w:rsidP="00517DA6">
      <w:pPr>
        <w:rPr>
          <w:rFonts w:ascii="Cambria" w:hAnsi="Cambria" w:cs="Calibri"/>
        </w:rPr>
      </w:pPr>
      <w:r w:rsidRPr="00903864">
        <w:rPr>
          <w:rFonts w:ascii="Cambria" w:hAnsi="Cambria" w:cs="Calibri"/>
        </w:rPr>
        <w:t>Points to consider for claims including Capillary Leak Syndrome (CLS)</w:t>
      </w:r>
    </w:p>
    <w:tbl>
      <w:tblPr>
        <w:tblStyle w:val="TableTGAblack"/>
        <w:tblW w:w="5000" w:type="pct"/>
        <w:tblLook w:val="04A0" w:firstRow="1" w:lastRow="0" w:firstColumn="1" w:lastColumn="0" w:noHBand="0" w:noVBand="1"/>
        <w:tblDescription w:val="Points to consider for claims including Capillary Leak Syndrome (CLS)"/>
      </w:tblPr>
      <w:tblGrid>
        <w:gridCol w:w="2333"/>
        <w:gridCol w:w="6683"/>
      </w:tblGrid>
      <w:tr w:rsidR="00517DA6" w:rsidRPr="00903864" w14:paraId="29CF0935" w14:textId="77777777" w:rsidTr="00B101DB">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100" w:firstRow="0" w:lastRow="0" w:firstColumn="1" w:lastColumn="0" w:oddVBand="0" w:evenVBand="0" w:oddHBand="0" w:evenHBand="0" w:firstRowFirstColumn="1" w:firstRowLastColumn="0" w:lastRowFirstColumn="0" w:lastRowLastColumn="0"/>
            <w:tcW w:w="1294" w:type="pct"/>
          </w:tcPr>
          <w:p w14:paraId="29FADE71" w14:textId="77777777" w:rsidR="00517DA6" w:rsidRPr="00903864" w:rsidRDefault="00517DA6" w:rsidP="00B101DB">
            <w:r w:rsidRPr="00903864">
              <w:lastRenderedPageBreak/>
              <w:t>Evidence requirement</w:t>
            </w:r>
          </w:p>
        </w:tc>
        <w:tc>
          <w:tcPr>
            <w:tcW w:w="3706" w:type="pct"/>
          </w:tcPr>
          <w:p w14:paraId="18344F33" w14:textId="77777777" w:rsidR="00517DA6" w:rsidRPr="00903864" w:rsidRDefault="00517DA6" w:rsidP="00B101DB">
            <w:pPr>
              <w:cnfStyle w:val="100000000000" w:firstRow="1" w:lastRow="0" w:firstColumn="0" w:lastColumn="0" w:oddVBand="0" w:evenVBand="0" w:oddHBand="0" w:evenHBand="0" w:firstRowFirstColumn="0" w:firstRowLastColumn="0" w:lastRowFirstColumn="0" w:lastRowLastColumn="0"/>
              <w:rPr>
                <w:rFonts w:ascii="Cambria" w:hAnsi="Cambria"/>
              </w:rPr>
            </w:pPr>
            <w:r w:rsidRPr="00903864">
              <w:rPr>
                <w:rFonts w:ascii="Cambria" w:hAnsi="Cambria"/>
              </w:rPr>
              <w:t>Types of evidence that should be considered for CLS</w:t>
            </w:r>
          </w:p>
        </w:tc>
      </w:tr>
      <w:tr w:rsidR="00517DA6" w:rsidRPr="00903864" w14:paraId="1CEF20C2" w14:textId="77777777" w:rsidTr="00B101DB">
        <w:tc>
          <w:tcPr>
            <w:cnfStyle w:val="001000000000" w:firstRow="0" w:lastRow="0" w:firstColumn="1" w:lastColumn="0" w:oddVBand="0" w:evenVBand="0" w:oddHBand="0" w:evenHBand="0" w:firstRowFirstColumn="0" w:firstRowLastColumn="0" w:lastRowFirstColumn="0" w:lastRowLastColumn="0"/>
            <w:tcW w:w="1294" w:type="pct"/>
          </w:tcPr>
          <w:p w14:paraId="06A0FA25" w14:textId="77777777" w:rsidR="00517DA6" w:rsidRPr="00903864" w:rsidRDefault="00517DA6" w:rsidP="00B101DB">
            <w:pPr>
              <w:rPr>
                <w:rStyle w:val="Strong"/>
              </w:rPr>
            </w:pPr>
            <w:r w:rsidRPr="00903864">
              <w:rPr>
                <w:rStyle w:val="Strong"/>
              </w:rPr>
              <w:t>Diagnosis</w:t>
            </w:r>
          </w:p>
          <w:p w14:paraId="68A90048" w14:textId="77777777" w:rsidR="00517DA6" w:rsidRPr="00903864" w:rsidRDefault="00517DA6" w:rsidP="00B101DB">
            <w:r w:rsidRPr="00903864">
              <w:t>The patient has been diagnosed with a claimable medical condition(s) by a treating doctor in the relevant field of practice</w:t>
            </w:r>
          </w:p>
        </w:tc>
        <w:tc>
          <w:tcPr>
            <w:tcW w:w="3706" w:type="pct"/>
          </w:tcPr>
          <w:p w14:paraId="367CB5C1" w14:textId="606C5B8F" w:rsidR="00517DA6" w:rsidRPr="00903864" w:rsidRDefault="00517DA6" w:rsidP="00B101DB">
            <w:pPr>
              <w:cnfStyle w:val="000000000000" w:firstRow="0" w:lastRow="0" w:firstColumn="0" w:lastColumn="0" w:oddVBand="0" w:evenVBand="0" w:oddHBand="0" w:evenHBand="0" w:firstRowFirstColumn="0" w:firstRowLastColumn="0" w:lastRowFirstColumn="0" w:lastRowLastColumn="0"/>
            </w:pPr>
            <w:bookmarkStart w:id="32" w:name="_Hlk130308043"/>
            <w:r w:rsidRPr="00903864">
              <w:t>The relevant fields of practice are Intensive Care Medicine</w:t>
            </w:r>
            <w:r w:rsidR="006B0285" w:rsidRPr="00903864">
              <w:t>,</w:t>
            </w:r>
            <w:r w:rsidRPr="00903864">
              <w:t xml:space="preserve"> Haematology</w:t>
            </w:r>
            <w:r w:rsidR="006B0285" w:rsidRPr="00903864">
              <w:t>,</w:t>
            </w:r>
            <w:r w:rsidRPr="00903864">
              <w:t xml:space="preserve"> </w:t>
            </w:r>
            <w:r w:rsidR="006B0285" w:rsidRPr="00903864">
              <w:t>and</w:t>
            </w:r>
            <w:r w:rsidR="00F87D2E" w:rsidRPr="00903864">
              <w:t xml:space="preserve">, where </w:t>
            </w:r>
            <w:r w:rsidR="006B0285" w:rsidRPr="00903864">
              <w:t xml:space="preserve">clinically </w:t>
            </w:r>
            <w:r w:rsidR="00F87D2E" w:rsidRPr="00903864">
              <w:t xml:space="preserve">appropriate, </w:t>
            </w:r>
            <w:r w:rsidR="006B0285" w:rsidRPr="00903864">
              <w:t>Paediatrics</w:t>
            </w:r>
            <w:r w:rsidR="00F87D2E" w:rsidRPr="00903864">
              <w:t xml:space="preserve"> (including General or subspecial</w:t>
            </w:r>
            <w:r w:rsidR="004B3B98" w:rsidRPr="00903864">
              <w:t>ty</w:t>
            </w:r>
            <w:r w:rsidR="00F87D2E" w:rsidRPr="00903864">
              <w:t xml:space="preserve"> Paediatric</w:t>
            </w:r>
            <w:r w:rsidR="004B3B98" w:rsidRPr="00903864">
              <w:t>s</w:t>
            </w:r>
            <w:r w:rsidR="00F87D2E" w:rsidRPr="00903864">
              <w:t>)</w:t>
            </w:r>
            <w:r w:rsidRPr="00903864">
              <w:t>.</w:t>
            </w:r>
          </w:p>
          <w:bookmarkEnd w:id="32"/>
          <w:p w14:paraId="695580A8" w14:textId="77777777" w:rsidR="00517DA6" w:rsidRPr="00903864" w:rsidRDefault="00517DA6" w:rsidP="00B101DB">
            <w:pPr>
              <w:cnfStyle w:val="000000000000" w:firstRow="0" w:lastRow="0" w:firstColumn="0" w:lastColumn="0" w:oddVBand="0" w:evenVBand="0" w:oddHBand="0" w:evenHBand="0" w:firstRowFirstColumn="0" w:firstRowLastColumn="0" w:lastRowFirstColumn="0" w:lastRowLastColumn="0"/>
            </w:pPr>
            <w:r w:rsidRPr="00903864">
              <w:t>Capillary Leak Syndrome (CLS) is a very rare condition with indefinite pathogenesis that is usually diagnosed after exclusion of other diseases that cause systemic capillary leakage.</w:t>
            </w:r>
          </w:p>
          <w:p w14:paraId="10359B2E" w14:textId="77777777" w:rsidR="00517DA6" w:rsidRPr="00903864" w:rsidRDefault="00517DA6" w:rsidP="00B101DB">
            <w:pPr>
              <w:cnfStyle w:val="000000000000" w:firstRow="0" w:lastRow="0" w:firstColumn="0" w:lastColumn="0" w:oddVBand="0" w:evenVBand="0" w:oddHBand="0" w:evenHBand="0" w:firstRowFirstColumn="0" w:firstRowLastColumn="0" w:lastRowFirstColumn="0" w:lastRowLastColumn="0"/>
            </w:pPr>
            <w:r w:rsidRPr="00903864">
              <w:t>Clinical information that should be outlined to support the diagnosis OR appropriate justification provided for absence of information:</w:t>
            </w:r>
          </w:p>
          <w:p w14:paraId="738EE7A2" w14:textId="77777777" w:rsidR="00517DA6" w:rsidRPr="00903864" w:rsidRDefault="00517DA6" w:rsidP="00B101DB">
            <w:pPr>
              <w:pStyle w:val="ListBullet"/>
              <w:cnfStyle w:val="000000000000" w:firstRow="0" w:lastRow="0" w:firstColumn="0" w:lastColumn="0" w:oddVBand="0" w:evenVBand="0" w:oddHBand="0" w:evenHBand="0" w:firstRowFirstColumn="0" w:firstRowLastColumn="0" w:lastRowFirstColumn="0" w:lastRowLastColumn="0"/>
            </w:pPr>
            <w:r w:rsidRPr="00903864">
              <w:t xml:space="preserve">Acute episode of oedema, hypotension, haemoconcentration and </w:t>
            </w:r>
            <w:proofErr w:type="spellStart"/>
            <w:r w:rsidRPr="00903864">
              <w:t>hypoalbuminaemia</w:t>
            </w:r>
            <w:proofErr w:type="spellEnd"/>
          </w:p>
          <w:p w14:paraId="4C592D55" w14:textId="77777777" w:rsidR="00517DA6" w:rsidRPr="00903864" w:rsidRDefault="00517DA6" w:rsidP="00B101DB">
            <w:pPr>
              <w:pStyle w:val="ListBullet"/>
              <w:cnfStyle w:val="000000000000" w:firstRow="0" w:lastRow="0" w:firstColumn="0" w:lastColumn="0" w:oddVBand="0" w:evenVBand="0" w:oddHBand="0" w:evenHBand="0" w:firstRowFirstColumn="0" w:firstRowLastColumn="0" w:lastRowFirstColumn="0" w:lastRowLastColumn="0"/>
            </w:pPr>
            <w:r w:rsidRPr="00903864">
              <w:t xml:space="preserve">Steps taken to exclude other causes of capillary </w:t>
            </w:r>
            <w:proofErr w:type="gramStart"/>
            <w:r w:rsidRPr="00903864">
              <w:t>leak</w:t>
            </w:r>
            <w:proofErr w:type="gramEnd"/>
          </w:p>
          <w:p w14:paraId="142CFCE9" w14:textId="77777777" w:rsidR="00517DA6" w:rsidRPr="00903864" w:rsidRDefault="00517DA6" w:rsidP="00B101DB">
            <w:pPr>
              <w:pStyle w:val="ListBullet"/>
              <w:cnfStyle w:val="000000000000" w:firstRow="0" w:lastRow="0" w:firstColumn="0" w:lastColumn="0" w:oddVBand="0" w:evenVBand="0" w:oddHBand="0" w:evenHBand="0" w:firstRowFirstColumn="0" w:firstRowLastColumn="0" w:lastRowFirstColumn="0" w:lastRowLastColumn="0"/>
            </w:pPr>
            <w:r w:rsidRPr="00903864">
              <w:t>Intensive supportive therapy required</w:t>
            </w:r>
          </w:p>
        </w:tc>
      </w:tr>
      <w:tr w:rsidR="00517DA6" w:rsidRPr="00903864" w14:paraId="50F9B05B" w14:textId="77777777" w:rsidTr="00B101DB">
        <w:tc>
          <w:tcPr>
            <w:cnfStyle w:val="001000000000" w:firstRow="0" w:lastRow="0" w:firstColumn="1" w:lastColumn="0" w:oddVBand="0" w:evenVBand="0" w:oddHBand="0" w:evenHBand="0" w:firstRowFirstColumn="0" w:firstRowLastColumn="0" w:lastRowFirstColumn="0" w:lastRowLastColumn="0"/>
            <w:tcW w:w="1294" w:type="pct"/>
          </w:tcPr>
          <w:p w14:paraId="1CC8691A" w14:textId="77777777" w:rsidR="00517DA6" w:rsidRPr="00903864" w:rsidRDefault="00517DA6" w:rsidP="00B101DB">
            <w:r w:rsidRPr="00903864">
              <w:rPr>
                <w:rStyle w:val="Strong"/>
              </w:rPr>
              <w:t>Link to vaccination</w:t>
            </w:r>
            <w:r w:rsidRPr="00903864">
              <w:t xml:space="preserve"> - Opinion that the most likely cause of the diagnosed condition(s) is COVID-19 vaccination </w:t>
            </w:r>
            <w:proofErr w:type="spellStart"/>
            <w:r w:rsidRPr="00903864">
              <w:t>Vaxzevria</w:t>
            </w:r>
            <w:proofErr w:type="spellEnd"/>
            <w:r w:rsidRPr="00903864">
              <w:t xml:space="preserve"> (AstraZeneca)</w:t>
            </w:r>
          </w:p>
        </w:tc>
        <w:tc>
          <w:tcPr>
            <w:tcW w:w="3706" w:type="pct"/>
          </w:tcPr>
          <w:p w14:paraId="4F74CDE1" w14:textId="7F806AFF" w:rsidR="00517DA6" w:rsidRPr="00903864" w:rsidRDefault="00517DA6" w:rsidP="00B101DB">
            <w:pPr>
              <w:cnfStyle w:val="000000000000" w:firstRow="0" w:lastRow="0" w:firstColumn="0" w:lastColumn="0" w:oddVBand="0" w:evenVBand="0" w:oddHBand="0" w:evenHBand="0" w:firstRowFirstColumn="0" w:firstRowLastColumn="0" w:lastRowFirstColumn="0" w:lastRowLastColumn="0"/>
            </w:pPr>
            <w:r w:rsidRPr="00903864">
              <w:t>Typical time to onset is within days following vaccination</w:t>
            </w:r>
            <w:r w:rsidR="000A38C2" w:rsidRPr="00903864">
              <w:t>.</w:t>
            </w:r>
            <w:bookmarkStart w:id="33" w:name="_Ref131174008"/>
            <w:r w:rsidR="007361D8" w:rsidRPr="00903864">
              <w:rPr>
                <w:rStyle w:val="FootnoteReference"/>
              </w:rPr>
              <w:footnoteReference w:id="11"/>
            </w:r>
            <w:bookmarkEnd w:id="33"/>
          </w:p>
          <w:p w14:paraId="4F0B1CDC" w14:textId="0AAF1661" w:rsidR="00517DA6" w:rsidRPr="00903864" w:rsidRDefault="00517DA6" w:rsidP="00B101DB">
            <w:pPr>
              <w:cnfStyle w:val="000000000000" w:firstRow="0" w:lastRow="0" w:firstColumn="0" w:lastColumn="0" w:oddVBand="0" w:evenVBand="0" w:oddHBand="0" w:evenHBand="0" w:firstRowFirstColumn="0" w:firstRowLastColumn="0" w:lastRowFirstColumn="0" w:lastRowLastColumn="0"/>
            </w:pPr>
            <w:r w:rsidRPr="00903864">
              <w:t>Very rare events of CLS have been reported following AstraZeneca vaccine in the UK and Europe</w:t>
            </w:r>
            <w:r w:rsidR="007361D8" w:rsidRPr="00903864">
              <w:t>.</w:t>
            </w:r>
            <w:bookmarkStart w:id="34" w:name="_Ref131174080"/>
            <w:r w:rsidR="0088408F" w:rsidRPr="00903864">
              <w:rPr>
                <w:rStyle w:val="FootnoteReference"/>
              </w:rPr>
              <w:footnoteReference w:id="12"/>
            </w:r>
            <w:bookmarkEnd w:id="34"/>
            <w:r w:rsidRPr="00903864">
              <w:t xml:space="preserve"> </w:t>
            </w:r>
            <w:proofErr w:type="spellStart"/>
            <w:r w:rsidRPr="00903864">
              <w:t>Vaxzevria</w:t>
            </w:r>
            <w:proofErr w:type="spellEnd"/>
            <w:r w:rsidRPr="00903864">
              <w:t xml:space="preserve"> (AstraZeneca) is contraindicated in people with </w:t>
            </w:r>
            <w:proofErr w:type="gramStart"/>
            <w:r w:rsidRPr="00903864">
              <w:t>a past history</w:t>
            </w:r>
            <w:proofErr w:type="gramEnd"/>
            <w:r w:rsidRPr="00903864">
              <w:t xml:space="preserve"> of CLS.</w:t>
            </w:r>
          </w:p>
          <w:p w14:paraId="785F01E1" w14:textId="77777777" w:rsidR="00517DA6" w:rsidRPr="00903864" w:rsidRDefault="00517DA6" w:rsidP="00B101DB">
            <w:pPr>
              <w:pStyle w:val="ListBullet"/>
              <w:cnfStyle w:val="000000000000" w:firstRow="0" w:lastRow="0" w:firstColumn="0" w:lastColumn="0" w:oddVBand="0" w:evenVBand="0" w:oddHBand="0" w:evenHBand="0" w:firstRowFirstColumn="0" w:firstRowLastColumn="0" w:lastRowFirstColumn="0" w:lastRowLastColumn="0"/>
            </w:pPr>
            <w:r w:rsidRPr="00903864">
              <w:t xml:space="preserve">Likely causes of CLS other than vaccination with </w:t>
            </w:r>
            <w:proofErr w:type="spellStart"/>
            <w:r w:rsidRPr="00903864">
              <w:t>Vaxzevria</w:t>
            </w:r>
            <w:proofErr w:type="spellEnd"/>
            <w:r w:rsidRPr="00903864">
              <w:t xml:space="preserve"> (AstraZeneca) include: </w:t>
            </w:r>
          </w:p>
          <w:p w14:paraId="6FD80C65" w14:textId="77777777" w:rsidR="00517DA6" w:rsidRPr="00903864" w:rsidRDefault="00517DA6" w:rsidP="00B101DB">
            <w:pPr>
              <w:pStyle w:val="ListBullet2"/>
              <w:cnfStyle w:val="000000000000" w:firstRow="0" w:lastRow="0" w:firstColumn="0" w:lastColumn="0" w:oddVBand="0" w:evenVBand="0" w:oddHBand="0" w:evenHBand="0" w:firstRowFirstColumn="0" w:firstRowLastColumn="0" w:lastRowFirstColumn="0" w:lastRowLastColumn="0"/>
            </w:pPr>
            <w:r w:rsidRPr="00903864">
              <w:t xml:space="preserve">Sepsis </w:t>
            </w:r>
            <w:proofErr w:type="gramStart"/>
            <w:r w:rsidRPr="00903864">
              <w:t>and;</w:t>
            </w:r>
            <w:proofErr w:type="gramEnd"/>
          </w:p>
          <w:p w14:paraId="0CBD307C" w14:textId="56BE765A" w:rsidR="00517DA6" w:rsidRPr="00903864" w:rsidRDefault="00517DA6" w:rsidP="00903864">
            <w:pPr>
              <w:pStyle w:val="ListBullet2"/>
              <w:cnfStyle w:val="000000000000" w:firstRow="0" w:lastRow="0" w:firstColumn="0" w:lastColumn="0" w:oddVBand="0" w:evenVBand="0" w:oddHBand="0" w:evenHBand="0" w:firstRowFirstColumn="0" w:firstRowLastColumn="0" w:lastRowFirstColumn="0" w:lastRowLastColumn="0"/>
            </w:pPr>
            <w:r w:rsidRPr="00903864">
              <w:t>anaphylaxis</w:t>
            </w:r>
          </w:p>
        </w:tc>
      </w:tr>
    </w:tbl>
    <w:p w14:paraId="15EF6C73" w14:textId="77777777" w:rsidR="00517DA6" w:rsidRPr="00903864" w:rsidRDefault="00517DA6" w:rsidP="001D7C0B">
      <w:pPr>
        <w:pStyle w:val="Heading3"/>
        <w:rPr>
          <w:rFonts w:ascii="Cambria" w:hAnsi="Cambria"/>
        </w:rPr>
      </w:pPr>
      <w:bookmarkStart w:id="35" w:name="_Toc153956558"/>
      <w:r w:rsidRPr="00903864">
        <w:rPr>
          <w:rFonts w:ascii="Cambria" w:hAnsi="Cambria"/>
        </w:rPr>
        <w:t>Resources for Capillary Leak Syndrome:</w:t>
      </w:r>
      <w:bookmarkEnd w:id="35"/>
    </w:p>
    <w:p w14:paraId="1D204601" w14:textId="77777777" w:rsidR="00517DA6" w:rsidRPr="00903864" w:rsidRDefault="00517DA6" w:rsidP="00517DA6">
      <w:pPr>
        <w:spacing w:after="180"/>
        <w:rPr>
          <w:rFonts w:ascii="Cambria" w:hAnsi="Cambria" w:cstheme="minorHAnsi"/>
        </w:rPr>
      </w:pPr>
      <w:proofErr w:type="gramStart"/>
      <w:r w:rsidRPr="00903864">
        <w:rPr>
          <w:rFonts w:ascii="Cambria" w:hAnsi="Cambria" w:cstheme="minorHAnsi"/>
        </w:rPr>
        <w:t>A number of</w:t>
      </w:r>
      <w:proofErr w:type="gramEnd"/>
      <w:r w:rsidRPr="00903864">
        <w:rPr>
          <w:rFonts w:ascii="Cambria" w:hAnsi="Cambria" w:cstheme="minorHAnsi"/>
        </w:rPr>
        <w:t xml:space="preserve"> national and international bodies have provided reports or guidance for healthcare practitioners on CLS. Diagnosis of the condition and assessment of the link to vaccination should occur in line with recognised guidelines, for example:</w:t>
      </w:r>
    </w:p>
    <w:p w14:paraId="51A328AF" w14:textId="77777777" w:rsidR="007361D8" w:rsidRPr="00903864" w:rsidRDefault="00517DA6" w:rsidP="005E5634">
      <w:pPr>
        <w:pStyle w:val="ListNumber"/>
        <w:numPr>
          <w:ilvl w:val="0"/>
          <w:numId w:val="10"/>
        </w:numPr>
        <w:ind w:left="827" w:hanging="357"/>
        <w:rPr>
          <w:rFonts w:ascii="Cambria" w:hAnsi="Cambria" w:cstheme="minorHAnsi"/>
          <w:color w:val="0000FF"/>
          <w:u w:val="single"/>
        </w:rPr>
      </w:pPr>
      <w:r w:rsidRPr="00903864">
        <w:rPr>
          <w:rFonts w:ascii="Cambria" w:hAnsi="Cambria" w:cstheme="minorHAnsi"/>
        </w:rPr>
        <w:t xml:space="preserve">The Australian Technical Advisory Group on Immunisation (ATAGI) published clinical guidance on COVID-19 </w:t>
      </w:r>
      <w:proofErr w:type="gramStart"/>
      <w:r w:rsidRPr="00903864">
        <w:rPr>
          <w:rFonts w:ascii="Cambria" w:hAnsi="Cambria" w:cstheme="minorHAnsi"/>
        </w:rPr>
        <w:t>vaccines</w:t>
      </w:r>
      <w:proofErr w:type="gramEnd"/>
      <w:r w:rsidRPr="00903864">
        <w:rPr>
          <w:rFonts w:ascii="Cambria" w:hAnsi="Cambria" w:cstheme="minorHAnsi"/>
        </w:rPr>
        <w:t xml:space="preserve"> </w:t>
      </w:r>
    </w:p>
    <w:p w14:paraId="7A2A601D" w14:textId="5FF4E933" w:rsidR="00517DA6" w:rsidRPr="00903864" w:rsidRDefault="00D10C2A" w:rsidP="005E5634">
      <w:pPr>
        <w:pStyle w:val="ListNumber"/>
        <w:numPr>
          <w:ilvl w:val="0"/>
          <w:numId w:val="0"/>
        </w:numPr>
        <w:ind w:left="827"/>
        <w:rPr>
          <w:rStyle w:val="Hyperlink"/>
          <w:rFonts w:ascii="Cambria" w:hAnsi="Cambria" w:cstheme="minorHAnsi"/>
        </w:rPr>
      </w:pPr>
      <w:hyperlink r:id="rId28" w:history="1">
        <w:r w:rsidR="007361D8" w:rsidRPr="00903864">
          <w:rPr>
            <w:rStyle w:val="Hyperlink"/>
            <w:rFonts w:ascii="Cambria" w:hAnsi="Cambria"/>
          </w:rPr>
          <w:t>ATAGI clinical guidance for COVID-19 vaccine providers | Australian Government Department of Health and Aged Care</w:t>
        </w:r>
      </w:hyperlink>
    </w:p>
    <w:p w14:paraId="46B62AE0" w14:textId="77777777" w:rsidR="00517DA6" w:rsidRPr="00903864" w:rsidRDefault="00517DA6" w:rsidP="005E5634">
      <w:pPr>
        <w:pStyle w:val="ListNumber"/>
        <w:ind w:left="717"/>
        <w:rPr>
          <w:rStyle w:val="Hyperlink"/>
          <w:rFonts w:ascii="Cambria" w:hAnsi="Cambria" w:cstheme="minorHAnsi"/>
        </w:rPr>
      </w:pPr>
      <w:r w:rsidRPr="00903864">
        <w:rPr>
          <w:rFonts w:ascii="Cambria" w:hAnsi="Cambria" w:cstheme="minorHAnsi"/>
        </w:rPr>
        <w:t xml:space="preserve">The EMA published a dear healthcare professional letter that advises of CLS cases following vaccination with </w:t>
      </w:r>
      <w:proofErr w:type="spellStart"/>
      <w:r w:rsidRPr="00903864">
        <w:rPr>
          <w:rFonts w:ascii="Cambria" w:hAnsi="Cambria" w:cstheme="minorHAnsi"/>
        </w:rPr>
        <w:t>Vaxzevria</w:t>
      </w:r>
      <w:proofErr w:type="spellEnd"/>
      <w:r w:rsidRPr="00903864">
        <w:rPr>
          <w:rFonts w:ascii="Cambria" w:hAnsi="Cambria" w:cstheme="minorHAnsi"/>
        </w:rPr>
        <w:t xml:space="preserve"> (AstraZeneca). </w:t>
      </w:r>
      <w:hyperlink r:id="rId29" w:history="1">
        <w:r w:rsidRPr="00903864">
          <w:rPr>
            <w:rStyle w:val="Hyperlink"/>
            <w:rFonts w:ascii="Cambria" w:hAnsi="Cambria" w:cstheme="minorHAnsi"/>
          </w:rPr>
          <w:t>www.ema.europa.eu/en/documents/dhpc/direct-healthcare-professional-</w:t>
        </w:r>
        <w:r w:rsidRPr="00903864">
          <w:rPr>
            <w:rStyle w:val="Hyperlink"/>
            <w:rFonts w:ascii="Cambria" w:hAnsi="Cambria" w:cstheme="minorHAnsi"/>
          </w:rPr>
          <w:lastRenderedPageBreak/>
          <w:t>communication-dhpc-vaxzevria-previously-covid-19-vaccine-astrazeneca_en-1.pdf</w:t>
        </w:r>
      </w:hyperlink>
    </w:p>
    <w:p w14:paraId="5597B468" w14:textId="77777777" w:rsidR="00517DA6" w:rsidRPr="00903864" w:rsidRDefault="00517DA6" w:rsidP="00DE3010">
      <w:pPr>
        <w:pStyle w:val="ListNumber"/>
        <w:ind w:left="717"/>
        <w:rPr>
          <w:rFonts w:ascii="Cambria" w:hAnsi="Cambria" w:cstheme="minorHAnsi"/>
        </w:rPr>
      </w:pPr>
      <w:r w:rsidRPr="00903864">
        <w:rPr>
          <w:rFonts w:ascii="Cambria" w:hAnsi="Cambria" w:cstheme="minorHAnsi"/>
        </w:rPr>
        <w:t xml:space="preserve">The Canadian Medical Association Journal has published a case study on systemic capillary leak following the COVID-19 Vaccine AstraZeneca (ChAdOx1) </w:t>
      </w:r>
      <w:hyperlink r:id="rId30" w:history="1">
        <w:r w:rsidRPr="00903864">
          <w:rPr>
            <w:rStyle w:val="Hyperlink"/>
            <w:rFonts w:ascii="Cambria" w:hAnsi="Cambria" w:cstheme="minorHAnsi"/>
          </w:rPr>
          <w:t>https://www.cmaj.ca/content/193/34/E1341</w:t>
        </w:r>
      </w:hyperlink>
    </w:p>
    <w:p w14:paraId="37F0DC3D" w14:textId="77777777" w:rsidR="00517DA6" w:rsidRPr="00903864" w:rsidRDefault="00517DA6" w:rsidP="001D7C0B">
      <w:pPr>
        <w:pStyle w:val="Heading3"/>
        <w:rPr>
          <w:rFonts w:ascii="Cambria" w:hAnsi="Cambria"/>
        </w:rPr>
      </w:pPr>
      <w:bookmarkStart w:id="36" w:name="_Toc131405282"/>
      <w:bookmarkStart w:id="37" w:name="_Toc153956559"/>
      <w:r w:rsidRPr="00903864">
        <w:rPr>
          <w:rFonts w:ascii="Cambria" w:hAnsi="Cambria"/>
        </w:rPr>
        <w:t>Product Information</w:t>
      </w:r>
      <w:bookmarkEnd w:id="36"/>
      <w:bookmarkEnd w:id="37"/>
    </w:p>
    <w:p w14:paraId="2E3DDD90" w14:textId="77777777" w:rsidR="00517DA6" w:rsidRPr="00903864" w:rsidRDefault="00D10C2A" w:rsidP="00517DA6">
      <w:pPr>
        <w:pStyle w:val="ListBullet"/>
        <w:rPr>
          <w:rStyle w:val="Hyperlink"/>
          <w:rFonts w:ascii="Cambria" w:hAnsi="Cambria" w:cstheme="minorHAnsi"/>
        </w:rPr>
      </w:pPr>
      <w:hyperlink r:id="rId31" w:history="1">
        <w:r w:rsidR="00517DA6" w:rsidRPr="00903864">
          <w:rPr>
            <w:rStyle w:val="Hyperlink"/>
            <w:rFonts w:ascii="Cambria" w:hAnsi="Cambria" w:cstheme="minorHAnsi"/>
          </w:rPr>
          <w:t xml:space="preserve">Product Information </w:t>
        </w:r>
        <w:proofErr w:type="spellStart"/>
        <w:r w:rsidR="00517DA6" w:rsidRPr="00903864">
          <w:rPr>
            <w:rStyle w:val="Hyperlink"/>
            <w:rFonts w:ascii="Cambria" w:hAnsi="Cambria" w:cstheme="minorHAnsi"/>
          </w:rPr>
          <w:t>Vaxzevria</w:t>
        </w:r>
        <w:proofErr w:type="spellEnd"/>
        <w:r w:rsidR="00517DA6" w:rsidRPr="00903864">
          <w:rPr>
            <w:rStyle w:val="Hyperlink"/>
            <w:rFonts w:ascii="Cambria" w:hAnsi="Cambria" w:cstheme="minorHAnsi"/>
          </w:rPr>
          <w:t xml:space="preserve"> (AstraZeneca)</w:t>
        </w:r>
      </w:hyperlink>
    </w:p>
    <w:p w14:paraId="1669A925" w14:textId="77777777" w:rsidR="00517DA6" w:rsidRPr="00903864" w:rsidRDefault="00517DA6" w:rsidP="00517DA6">
      <w:pPr>
        <w:pStyle w:val="ListBullet"/>
        <w:numPr>
          <w:ilvl w:val="0"/>
          <w:numId w:val="0"/>
        </w:numPr>
        <w:rPr>
          <w:rFonts w:ascii="Cambria" w:hAnsi="Cambria" w:cstheme="minorHAnsi"/>
        </w:rPr>
      </w:pPr>
    </w:p>
    <w:p w14:paraId="6E8A9D05" w14:textId="77777777" w:rsidR="00517DA6" w:rsidRPr="00903864" w:rsidRDefault="00517DA6" w:rsidP="001D7C0B">
      <w:pPr>
        <w:pStyle w:val="Heading2"/>
        <w:numPr>
          <w:ilvl w:val="0"/>
          <w:numId w:val="1"/>
        </w:numPr>
        <w:rPr>
          <w:rFonts w:ascii="Cambria" w:hAnsi="Cambria"/>
        </w:rPr>
      </w:pPr>
      <w:bookmarkStart w:id="38" w:name="_Toc153956560"/>
      <w:r w:rsidRPr="00903864">
        <w:rPr>
          <w:rFonts w:ascii="Cambria" w:hAnsi="Cambria"/>
        </w:rPr>
        <w:t>Guillain Barré Syndrome</w:t>
      </w:r>
      <w:bookmarkEnd w:id="38"/>
      <w:r w:rsidRPr="00903864">
        <w:rPr>
          <w:rFonts w:ascii="Cambria" w:hAnsi="Cambria"/>
        </w:rPr>
        <w:t xml:space="preserve"> </w:t>
      </w:r>
    </w:p>
    <w:p w14:paraId="56B6CBF1" w14:textId="77777777" w:rsidR="00517DA6" w:rsidRPr="00903864" w:rsidRDefault="00517DA6" w:rsidP="00517DA6">
      <w:pPr>
        <w:rPr>
          <w:rFonts w:ascii="Cambria" w:hAnsi="Cambria" w:cs="Calibri"/>
        </w:rPr>
      </w:pPr>
      <w:r w:rsidRPr="00903864">
        <w:rPr>
          <w:rFonts w:ascii="Cambria" w:hAnsi="Cambria" w:cs="Calibri"/>
        </w:rPr>
        <w:t>Points to consider for claims including Guillain Barr</w:t>
      </w:r>
      <w:r w:rsidRPr="00903864">
        <w:rPr>
          <w:rFonts w:ascii="Cambria" w:hAnsi="Cambria"/>
        </w:rPr>
        <w:t xml:space="preserve">é </w:t>
      </w:r>
      <w:r w:rsidRPr="00903864">
        <w:rPr>
          <w:rFonts w:ascii="Cambria" w:hAnsi="Cambria" w:cs="Calibri"/>
        </w:rPr>
        <w:t>Syndrome (GBS)</w:t>
      </w:r>
    </w:p>
    <w:tbl>
      <w:tblPr>
        <w:tblStyle w:val="TableTGAblack"/>
        <w:tblW w:w="5000" w:type="pct"/>
        <w:tblLook w:val="04A0" w:firstRow="1" w:lastRow="0" w:firstColumn="1" w:lastColumn="0" w:noHBand="0" w:noVBand="1"/>
        <w:tblDescription w:val="Points to consider for claims including Guillain Barre Syndrome (GBS)"/>
      </w:tblPr>
      <w:tblGrid>
        <w:gridCol w:w="2333"/>
        <w:gridCol w:w="6683"/>
      </w:tblGrid>
      <w:tr w:rsidR="00517DA6" w:rsidRPr="00903864" w14:paraId="1D171C64" w14:textId="77777777" w:rsidTr="00B101D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4" w:type="pct"/>
          </w:tcPr>
          <w:p w14:paraId="3DBAB198" w14:textId="77777777" w:rsidR="00517DA6" w:rsidRPr="00903864" w:rsidRDefault="00517DA6" w:rsidP="00B101DB">
            <w:r w:rsidRPr="00903864">
              <w:t>Evidence requirement</w:t>
            </w:r>
          </w:p>
        </w:tc>
        <w:tc>
          <w:tcPr>
            <w:tcW w:w="3706" w:type="pct"/>
          </w:tcPr>
          <w:p w14:paraId="3E3BF447" w14:textId="77777777" w:rsidR="00517DA6" w:rsidRPr="00903864" w:rsidRDefault="00517DA6" w:rsidP="00B101DB">
            <w:pPr>
              <w:cnfStyle w:val="100000000000" w:firstRow="1" w:lastRow="0" w:firstColumn="0" w:lastColumn="0" w:oddVBand="0" w:evenVBand="0" w:oddHBand="0" w:evenHBand="0" w:firstRowFirstColumn="0" w:firstRowLastColumn="0" w:lastRowFirstColumn="0" w:lastRowLastColumn="0"/>
              <w:rPr>
                <w:rFonts w:ascii="Cambria" w:hAnsi="Cambria"/>
              </w:rPr>
            </w:pPr>
            <w:r w:rsidRPr="00903864">
              <w:rPr>
                <w:rFonts w:ascii="Cambria" w:hAnsi="Cambria"/>
              </w:rPr>
              <w:t>Types of evidence that should be considered for GBS</w:t>
            </w:r>
          </w:p>
        </w:tc>
      </w:tr>
      <w:tr w:rsidR="00517DA6" w:rsidRPr="00903864" w14:paraId="4C96AB37" w14:textId="77777777" w:rsidTr="00B101DB">
        <w:tc>
          <w:tcPr>
            <w:cnfStyle w:val="001000000000" w:firstRow="0" w:lastRow="0" w:firstColumn="1" w:lastColumn="0" w:oddVBand="0" w:evenVBand="0" w:oddHBand="0" w:evenHBand="0" w:firstRowFirstColumn="0" w:firstRowLastColumn="0" w:lastRowFirstColumn="0" w:lastRowLastColumn="0"/>
            <w:tcW w:w="1294" w:type="pct"/>
          </w:tcPr>
          <w:p w14:paraId="1AA8DE94" w14:textId="77777777" w:rsidR="00517DA6" w:rsidRPr="00903864" w:rsidRDefault="00517DA6" w:rsidP="00B101DB">
            <w:pPr>
              <w:rPr>
                <w:rStyle w:val="Strong"/>
              </w:rPr>
            </w:pPr>
            <w:r w:rsidRPr="00903864">
              <w:rPr>
                <w:rStyle w:val="Strong"/>
              </w:rPr>
              <w:t>Diagnosis</w:t>
            </w:r>
          </w:p>
          <w:p w14:paraId="5B6F9AB9" w14:textId="77777777" w:rsidR="00517DA6" w:rsidRPr="00903864" w:rsidRDefault="00517DA6" w:rsidP="00B101DB">
            <w:r w:rsidRPr="00903864">
              <w:t>The patient has been diagnosed with a claimable medical condition(s) by a treating doctor in the relevant field of practice</w:t>
            </w:r>
          </w:p>
        </w:tc>
        <w:tc>
          <w:tcPr>
            <w:tcW w:w="3706" w:type="pct"/>
          </w:tcPr>
          <w:p w14:paraId="638F8592" w14:textId="7CD3BA16" w:rsidR="00517DA6" w:rsidRPr="00903864" w:rsidRDefault="00517DA6" w:rsidP="00B101DB">
            <w:pPr>
              <w:cnfStyle w:val="000000000000" w:firstRow="0" w:lastRow="0" w:firstColumn="0" w:lastColumn="0" w:oddVBand="0" w:evenVBand="0" w:oddHBand="0" w:evenHBand="0" w:firstRowFirstColumn="0" w:firstRowLastColumn="0" w:lastRowFirstColumn="0" w:lastRowLastColumn="0"/>
            </w:pPr>
            <w:bookmarkStart w:id="39" w:name="_Hlk130308123"/>
            <w:r w:rsidRPr="00903864">
              <w:t>The relevant fields of practice are Neurology</w:t>
            </w:r>
            <w:r w:rsidR="006B0285" w:rsidRPr="00903864">
              <w:t>,</w:t>
            </w:r>
            <w:r w:rsidRPr="00903864">
              <w:t xml:space="preserve"> Immunology</w:t>
            </w:r>
            <w:r w:rsidR="006B0285" w:rsidRPr="00903864">
              <w:t>,</w:t>
            </w:r>
            <w:r w:rsidRPr="00903864">
              <w:t xml:space="preserve"> </w:t>
            </w:r>
            <w:r w:rsidR="006B0285" w:rsidRPr="00903864">
              <w:t>and</w:t>
            </w:r>
            <w:r w:rsidR="00F87D2E" w:rsidRPr="00903864">
              <w:t>, where</w:t>
            </w:r>
            <w:r w:rsidR="006B0285" w:rsidRPr="00903864">
              <w:t xml:space="preserve"> clinically</w:t>
            </w:r>
            <w:r w:rsidR="00F87D2E" w:rsidRPr="00903864">
              <w:t xml:space="preserve"> appropriate, Paediatric</w:t>
            </w:r>
            <w:r w:rsidR="006B0285" w:rsidRPr="00903864">
              <w:t>s</w:t>
            </w:r>
            <w:r w:rsidR="00F87D2E" w:rsidRPr="00903864">
              <w:t xml:space="preserve"> (including General or subspecial</w:t>
            </w:r>
            <w:r w:rsidR="004B3B98" w:rsidRPr="00903864">
              <w:t xml:space="preserve">ty </w:t>
            </w:r>
            <w:r w:rsidR="00F87D2E" w:rsidRPr="00903864">
              <w:t>Paediatric</w:t>
            </w:r>
            <w:r w:rsidR="004B3B98" w:rsidRPr="00903864">
              <w:t>s</w:t>
            </w:r>
            <w:r w:rsidR="00F87D2E" w:rsidRPr="00903864">
              <w:t>)</w:t>
            </w:r>
            <w:r w:rsidRPr="00903864">
              <w:t>.</w:t>
            </w:r>
          </w:p>
          <w:bookmarkEnd w:id="39"/>
          <w:p w14:paraId="2A7C561C" w14:textId="63CF3309" w:rsidR="00AE0DEE" w:rsidRPr="00903864" w:rsidRDefault="00517DA6" w:rsidP="00B101DB">
            <w:pPr>
              <w:cnfStyle w:val="000000000000" w:firstRow="0" w:lastRow="0" w:firstColumn="0" w:lastColumn="0" w:oddVBand="0" w:evenVBand="0" w:oddHBand="0" w:evenHBand="0" w:firstRowFirstColumn="0" w:firstRowLastColumn="0" w:lastRowFirstColumn="0" w:lastRowLastColumn="0"/>
            </w:pPr>
            <w:r w:rsidRPr="00903864">
              <w:t>GBS is a rare immune disorder in which the body’s immune system attacks nerve cells. The causes are not fully understood, but it often follows a viral infection. It tends to affect both sides of the body. In many cases symptoms resolve within months but can sometimes take up to 2 years.</w:t>
            </w:r>
          </w:p>
          <w:p w14:paraId="63E5A554" w14:textId="200CEA11" w:rsidR="00517DA6" w:rsidRPr="00903864" w:rsidRDefault="00517DA6" w:rsidP="00B101DB">
            <w:pPr>
              <w:cnfStyle w:val="000000000000" w:firstRow="0" w:lastRow="0" w:firstColumn="0" w:lastColumn="0" w:oddVBand="0" w:evenVBand="0" w:oddHBand="0" w:evenHBand="0" w:firstRowFirstColumn="0" w:firstRowLastColumn="0" w:lastRowFirstColumn="0" w:lastRowLastColumn="0"/>
            </w:pPr>
            <w:r w:rsidRPr="00903864">
              <w:t>Clinical information that should be outlined to support the diagnosis OR appropriate justification provided for absence of information:</w:t>
            </w:r>
          </w:p>
          <w:p w14:paraId="7C047163" w14:textId="77777777" w:rsidR="00517DA6" w:rsidRPr="00903864" w:rsidRDefault="00517DA6" w:rsidP="00B101DB">
            <w:pPr>
              <w:pStyle w:val="ListBullet"/>
              <w:cnfStyle w:val="000000000000" w:firstRow="0" w:lastRow="0" w:firstColumn="0" w:lastColumn="0" w:oddVBand="0" w:evenVBand="0" w:oddHBand="0" w:evenHBand="0" w:firstRowFirstColumn="0" w:firstRowLastColumn="0" w:lastRowFirstColumn="0" w:lastRowLastColumn="0"/>
            </w:pPr>
            <w:r w:rsidRPr="00903864">
              <w:t xml:space="preserve">Monophasic illness pattern AND interval between onset and nadir of weakness is 12 hours to 28 days AND subsequent clinical </w:t>
            </w:r>
            <w:proofErr w:type="gramStart"/>
            <w:r w:rsidRPr="00903864">
              <w:t>plateau</w:t>
            </w:r>
            <w:proofErr w:type="gramEnd"/>
          </w:p>
          <w:p w14:paraId="517ED60E" w14:textId="77777777" w:rsidR="00517DA6" w:rsidRPr="00903864" w:rsidRDefault="00517DA6" w:rsidP="00B101DB">
            <w:pPr>
              <w:pStyle w:val="ListBullet"/>
              <w:cnfStyle w:val="000000000000" w:firstRow="0" w:lastRow="0" w:firstColumn="0" w:lastColumn="0" w:oddVBand="0" w:evenVBand="0" w:oddHBand="0" w:evenHBand="0" w:firstRowFirstColumn="0" w:firstRowLastColumn="0" w:lastRowFirstColumn="0" w:lastRowLastColumn="0"/>
            </w:pPr>
            <w:r w:rsidRPr="00903864">
              <w:t>Muscle strength – bilateral and flaccid paralysis of limbs</w:t>
            </w:r>
          </w:p>
          <w:p w14:paraId="09E6B0EE" w14:textId="77777777" w:rsidR="00517DA6" w:rsidRPr="00903864" w:rsidRDefault="00517DA6" w:rsidP="00B101DB">
            <w:pPr>
              <w:pStyle w:val="ListBullet"/>
              <w:cnfStyle w:val="000000000000" w:firstRow="0" w:lastRow="0" w:firstColumn="0" w:lastColumn="0" w:oddVBand="0" w:evenVBand="0" w:oddHBand="0" w:evenHBand="0" w:firstRowFirstColumn="0" w:firstRowLastColumn="0" w:lastRowFirstColumn="0" w:lastRowLastColumn="0"/>
            </w:pPr>
            <w:r w:rsidRPr="00903864">
              <w:t xml:space="preserve">Deep tendon reflexes – decreased or absent in weak </w:t>
            </w:r>
            <w:proofErr w:type="gramStart"/>
            <w:r w:rsidRPr="00903864">
              <w:t>limbs</w:t>
            </w:r>
            <w:proofErr w:type="gramEnd"/>
          </w:p>
          <w:p w14:paraId="721E45C4" w14:textId="77777777" w:rsidR="00517DA6" w:rsidRPr="00903864" w:rsidRDefault="00517DA6" w:rsidP="00B101DB">
            <w:pPr>
              <w:pStyle w:val="ListBullet"/>
              <w:cnfStyle w:val="000000000000" w:firstRow="0" w:lastRow="0" w:firstColumn="0" w:lastColumn="0" w:oddVBand="0" w:evenVBand="0" w:oddHBand="0" w:evenHBand="0" w:firstRowFirstColumn="0" w:firstRowLastColumn="0" w:lastRowFirstColumn="0" w:lastRowLastColumn="0"/>
            </w:pPr>
            <w:r w:rsidRPr="00903864">
              <w:t>No identified alternative diagnosis for weakness</w:t>
            </w:r>
          </w:p>
          <w:p w14:paraId="0E676FF6" w14:textId="77777777" w:rsidR="00517DA6" w:rsidRPr="00903864" w:rsidRDefault="00517DA6" w:rsidP="00B101DB">
            <w:pPr>
              <w:pStyle w:val="ListBullet"/>
              <w:cnfStyle w:val="000000000000" w:firstRow="0" w:lastRow="0" w:firstColumn="0" w:lastColumn="0" w:oddVBand="0" w:evenVBand="0" w:oddHBand="0" w:evenHBand="0" w:firstRowFirstColumn="0" w:firstRowLastColumn="0" w:lastRowFirstColumn="0" w:lastRowLastColumn="0"/>
            </w:pPr>
            <w:r w:rsidRPr="00903864">
              <w:t xml:space="preserve">If CSF obtained: White Blood Cell count (&lt;50/µL), elevated </w:t>
            </w:r>
            <w:proofErr w:type="gramStart"/>
            <w:r w:rsidRPr="00903864">
              <w:t>protein</w:t>
            </w:r>
            <w:proofErr w:type="gramEnd"/>
          </w:p>
          <w:p w14:paraId="313ED84E" w14:textId="77777777" w:rsidR="00517DA6" w:rsidRPr="00903864" w:rsidRDefault="00517DA6" w:rsidP="00B101DB">
            <w:pPr>
              <w:pStyle w:val="ListBullet"/>
              <w:numPr>
                <w:ilvl w:val="0"/>
                <w:numId w:val="0"/>
              </w:numPr>
              <w:cnfStyle w:val="000000000000" w:firstRow="0" w:lastRow="0" w:firstColumn="0" w:lastColumn="0" w:oddVBand="0" w:evenVBand="0" w:oddHBand="0" w:evenHBand="0" w:firstRowFirstColumn="0" w:firstRowLastColumn="0" w:lastRowFirstColumn="0" w:lastRowLastColumn="0"/>
            </w:pPr>
          </w:p>
          <w:p w14:paraId="52FCFB0E" w14:textId="77777777" w:rsidR="00517DA6" w:rsidRPr="00903864" w:rsidRDefault="00517DA6" w:rsidP="00B101DB">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rsidRPr="00903864">
              <w:t xml:space="preserve">The following additional investigations may lend support to the diagnosis: </w:t>
            </w:r>
          </w:p>
          <w:p w14:paraId="4E38364E" w14:textId="77777777" w:rsidR="00517DA6" w:rsidRPr="00903864" w:rsidRDefault="00517DA6" w:rsidP="00517DA6">
            <w:pPr>
              <w:pStyle w:val="ListBullet"/>
              <w:numPr>
                <w:ilvl w:val="0"/>
                <w:numId w:val="16"/>
              </w:numPr>
              <w:cnfStyle w:val="000000000000" w:firstRow="0" w:lastRow="0" w:firstColumn="0" w:lastColumn="0" w:oddVBand="0" w:evenVBand="0" w:oddHBand="0" w:evenHBand="0" w:firstRowFirstColumn="0" w:firstRowLastColumn="0" w:lastRowFirstColumn="0" w:lastRowLastColumn="0"/>
            </w:pPr>
            <w:r w:rsidRPr="00903864">
              <w:t>Evidence of autonomic dysfunction</w:t>
            </w:r>
          </w:p>
          <w:p w14:paraId="5D882F97" w14:textId="77777777" w:rsidR="00517DA6" w:rsidRPr="00903864" w:rsidRDefault="00517DA6" w:rsidP="00517DA6">
            <w:pPr>
              <w:pStyle w:val="ListBullet"/>
              <w:numPr>
                <w:ilvl w:val="0"/>
                <w:numId w:val="16"/>
              </w:numPr>
              <w:cnfStyle w:val="000000000000" w:firstRow="0" w:lastRow="0" w:firstColumn="0" w:lastColumn="0" w:oddVBand="0" w:evenVBand="0" w:oddHBand="0" w:evenHBand="0" w:firstRowFirstColumn="0" w:firstRowLastColumn="0" w:lastRowFirstColumn="0" w:lastRowLastColumn="0"/>
            </w:pPr>
            <w:r w:rsidRPr="00903864">
              <w:t xml:space="preserve">Features of motor or sensory neuropathy on nerve conduction studies or electromyography. </w:t>
            </w:r>
          </w:p>
        </w:tc>
      </w:tr>
      <w:tr w:rsidR="00517DA6" w:rsidRPr="00903864" w14:paraId="7923DEB5" w14:textId="77777777" w:rsidTr="00B101DB">
        <w:trPr>
          <w:trHeight w:val="3039"/>
        </w:trPr>
        <w:tc>
          <w:tcPr>
            <w:cnfStyle w:val="001000000000" w:firstRow="0" w:lastRow="0" w:firstColumn="1" w:lastColumn="0" w:oddVBand="0" w:evenVBand="0" w:oddHBand="0" w:evenHBand="0" w:firstRowFirstColumn="0" w:firstRowLastColumn="0" w:lastRowFirstColumn="0" w:lastRowLastColumn="0"/>
            <w:tcW w:w="1294" w:type="pct"/>
          </w:tcPr>
          <w:p w14:paraId="4B334462" w14:textId="77777777" w:rsidR="00517DA6" w:rsidRPr="00903864" w:rsidRDefault="00517DA6" w:rsidP="00B101DB">
            <w:r w:rsidRPr="00903864">
              <w:rPr>
                <w:rStyle w:val="Strong"/>
              </w:rPr>
              <w:lastRenderedPageBreak/>
              <w:t xml:space="preserve">Link to vaccination </w:t>
            </w:r>
            <w:r w:rsidRPr="00903864">
              <w:t xml:space="preserve">Opinion that the most likely cause of the diagnosed condition(s) is COVID-19 vaccination </w:t>
            </w:r>
            <w:proofErr w:type="spellStart"/>
            <w:r w:rsidRPr="00903864">
              <w:t>Vaxzevria</w:t>
            </w:r>
            <w:proofErr w:type="spellEnd"/>
            <w:r w:rsidRPr="00903864">
              <w:t xml:space="preserve"> (AstraZeneca)</w:t>
            </w:r>
          </w:p>
        </w:tc>
        <w:tc>
          <w:tcPr>
            <w:tcW w:w="3706" w:type="pct"/>
          </w:tcPr>
          <w:p w14:paraId="08D3308E" w14:textId="6CCEA533" w:rsidR="00517DA6" w:rsidRPr="00903864" w:rsidRDefault="00517DA6" w:rsidP="00B101DB">
            <w:pPr>
              <w:cnfStyle w:val="000000000000" w:firstRow="0" w:lastRow="0" w:firstColumn="0" w:lastColumn="0" w:oddVBand="0" w:evenVBand="0" w:oddHBand="0" w:evenHBand="0" w:firstRowFirstColumn="0" w:firstRowLastColumn="0" w:lastRowFirstColumn="0" w:lastRowLastColumn="0"/>
              <w:rPr>
                <w:vertAlign w:val="superscript"/>
              </w:rPr>
            </w:pPr>
            <w:r w:rsidRPr="00903864">
              <w:t>Typical time to onset is 2-42 days following vaccination</w:t>
            </w:r>
            <w:r w:rsidR="000A38C2" w:rsidRPr="00903864">
              <w:t>.</w:t>
            </w:r>
            <w:r w:rsidR="00FF7240" w:rsidRPr="00903864">
              <w:rPr>
                <w:rStyle w:val="FootnoteReference"/>
              </w:rPr>
              <w:footnoteReference w:id="13"/>
            </w:r>
            <w:r w:rsidR="00FF7240" w:rsidRPr="00903864" w:rsidDel="00FF7240">
              <w:rPr>
                <w:vertAlign w:val="superscript"/>
              </w:rPr>
              <w:t xml:space="preserve"> </w:t>
            </w:r>
          </w:p>
          <w:p w14:paraId="10051FC9" w14:textId="5DA4A218" w:rsidR="00B0581B" w:rsidRPr="00903864" w:rsidRDefault="00B0581B" w:rsidP="00B101DB">
            <w:pPr>
              <w:cnfStyle w:val="000000000000" w:firstRow="0" w:lastRow="0" w:firstColumn="0" w:lastColumn="0" w:oddVBand="0" w:evenVBand="0" w:oddHBand="0" w:evenHBand="0" w:firstRowFirstColumn="0" w:firstRowLastColumn="0" w:lastRowFirstColumn="0" w:lastRowLastColumn="0"/>
            </w:pPr>
            <w:r w:rsidRPr="00903864">
              <w:t xml:space="preserve">As Guillain-Barré Syndrome has a range of aetiologies, it is important to consider and exclude causes unrelated to vaccination, which may include infectious. Other causes of the claimant’s symptoms should also be considered and excluded. </w:t>
            </w:r>
          </w:p>
          <w:p w14:paraId="5D113B7C" w14:textId="1EE5C008" w:rsidR="00517DA6" w:rsidRPr="00903864" w:rsidRDefault="00517DA6" w:rsidP="00903864">
            <w:pPr>
              <w:cnfStyle w:val="000000000000" w:firstRow="0" w:lastRow="0" w:firstColumn="0" w:lastColumn="0" w:oddVBand="0" w:evenVBand="0" w:oddHBand="0" w:evenHBand="0" w:firstRowFirstColumn="0" w:firstRowLastColumn="0" w:lastRowFirstColumn="0" w:lastRowLastColumn="0"/>
            </w:pPr>
            <w:r w:rsidRPr="00903864">
              <w:t xml:space="preserve">Very rare events of Guillain-Barré Syndrome (GBS), have been reported following vaccination with </w:t>
            </w:r>
            <w:proofErr w:type="spellStart"/>
            <w:r w:rsidRPr="00903864">
              <w:t>Vaxzevria</w:t>
            </w:r>
            <w:proofErr w:type="spellEnd"/>
            <w:r w:rsidRPr="00903864">
              <w:t xml:space="preserve"> (AstraZeneca)</w:t>
            </w:r>
            <w:r w:rsidR="000A38C2" w:rsidRPr="00903864">
              <w:t>.</w:t>
            </w:r>
            <w:r w:rsidR="00FF7240" w:rsidRPr="00903864">
              <w:rPr>
                <w:rStyle w:val="FootnoteReference"/>
              </w:rPr>
              <w:footnoteReference w:id="14"/>
            </w:r>
            <w:r w:rsidR="00FF7240" w:rsidRPr="00903864" w:rsidDel="00FF7240">
              <w:rPr>
                <w:vertAlign w:val="superscript"/>
              </w:rPr>
              <w:t xml:space="preserve"> </w:t>
            </w:r>
          </w:p>
        </w:tc>
      </w:tr>
    </w:tbl>
    <w:p w14:paraId="7023BDB6" w14:textId="77777777" w:rsidR="00517DA6" w:rsidRPr="00903864" w:rsidRDefault="00517DA6" w:rsidP="001D7C0B">
      <w:pPr>
        <w:pStyle w:val="Heading3"/>
        <w:rPr>
          <w:rFonts w:ascii="Cambria" w:hAnsi="Cambria"/>
        </w:rPr>
      </w:pPr>
      <w:bookmarkStart w:id="42" w:name="_Toc153956561"/>
      <w:r w:rsidRPr="00903864">
        <w:rPr>
          <w:rFonts w:ascii="Cambria" w:hAnsi="Cambria"/>
        </w:rPr>
        <w:t>Resources for GBS</w:t>
      </w:r>
      <w:bookmarkEnd w:id="42"/>
    </w:p>
    <w:p w14:paraId="2631E7FA" w14:textId="77777777" w:rsidR="00517DA6" w:rsidRPr="00903864" w:rsidRDefault="00517DA6" w:rsidP="00517DA6">
      <w:pPr>
        <w:rPr>
          <w:rFonts w:ascii="Cambria" w:hAnsi="Cambria"/>
        </w:rPr>
      </w:pPr>
      <w:r w:rsidRPr="00903864">
        <w:rPr>
          <w:rFonts w:ascii="Cambria" w:hAnsi="Cambria"/>
        </w:rPr>
        <w:t>Several national and international bodies have provided guidance for healthcare practitioners on GBS. Diagnosis of the condition and assessment of the link to vaccination should occur in line with recognised guidelines, for example:</w:t>
      </w:r>
    </w:p>
    <w:p w14:paraId="639D3B35" w14:textId="0182C71E" w:rsidR="00517DA6" w:rsidRPr="00903864" w:rsidRDefault="00517DA6" w:rsidP="00332AEB">
      <w:pPr>
        <w:pStyle w:val="ListNumber"/>
        <w:numPr>
          <w:ilvl w:val="0"/>
          <w:numId w:val="11"/>
        </w:numPr>
        <w:ind w:left="717" w:hanging="357"/>
        <w:rPr>
          <w:rStyle w:val="Hyperlink"/>
          <w:rFonts w:ascii="Cambria" w:hAnsi="Cambria" w:cs="Calibri"/>
        </w:rPr>
      </w:pPr>
      <w:r w:rsidRPr="00903864">
        <w:rPr>
          <w:rFonts w:ascii="Cambria" w:hAnsi="Cambria" w:cs="Calibri"/>
        </w:rPr>
        <w:t xml:space="preserve">The Australian Technical Advisory Group on Immunisation (ATAGI) published clinical guidance on COVID-19 vaccines </w:t>
      </w:r>
      <w:hyperlink r:id="rId32" w:history="1">
        <w:r w:rsidR="007361D8" w:rsidRPr="00903864">
          <w:rPr>
            <w:rStyle w:val="Hyperlink"/>
            <w:rFonts w:ascii="Cambria" w:hAnsi="Cambria"/>
          </w:rPr>
          <w:t>ATAGI clinical guidance for COVID-19 vaccine providers | Australian Government Department of Health and Aged Care</w:t>
        </w:r>
      </w:hyperlink>
    </w:p>
    <w:p w14:paraId="21F554D8" w14:textId="77777777" w:rsidR="00517DA6" w:rsidRPr="00903864" w:rsidRDefault="00517DA6" w:rsidP="00332AEB">
      <w:pPr>
        <w:pStyle w:val="ListNumber"/>
        <w:ind w:left="607"/>
        <w:rPr>
          <w:rFonts w:ascii="Cambria" w:hAnsi="Cambria" w:cs="Calibri"/>
        </w:rPr>
      </w:pPr>
      <w:r w:rsidRPr="00903864">
        <w:rPr>
          <w:rFonts w:ascii="Cambria" w:hAnsi="Cambria" w:cs="Calibri"/>
        </w:rPr>
        <w:t xml:space="preserve">The Brighton Collaboration published a case definition for Guillain Barré   Syndrome </w:t>
      </w:r>
      <w:hyperlink r:id="rId33" w:history="1">
        <w:r w:rsidRPr="00903864">
          <w:rPr>
            <w:rStyle w:val="Hyperlink"/>
            <w:rFonts w:ascii="Cambria" w:hAnsi="Cambria" w:cs="Calibri"/>
          </w:rPr>
          <w:t>Guillain Barré and Miller Fisher Syndromes: Case Definition Companion Guide - Brighton Collaboration</w:t>
        </w:r>
      </w:hyperlink>
    </w:p>
    <w:p w14:paraId="5BC4AE38" w14:textId="77777777" w:rsidR="00517DA6" w:rsidRPr="00903864" w:rsidRDefault="00517DA6" w:rsidP="001D7C0B">
      <w:pPr>
        <w:pStyle w:val="Heading3"/>
        <w:rPr>
          <w:rFonts w:ascii="Cambria" w:hAnsi="Cambria"/>
        </w:rPr>
      </w:pPr>
      <w:bookmarkStart w:id="43" w:name="_Toc131405285"/>
      <w:bookmarkStart w:id="44" w:name="_Toc153956562"/>
      <w:r w:rsidRPr="00903864">
        <w:rPr>
          <w:rFonts w:ascii="Cambria" w:hAnsi="Cambria"/>
        </w:rPr>
        <w:t>Product Information</w:t>
      </w:r>
      <w:bookmarkEnd w:id="43"/>
      <w:bookmarkEnd w:id="44"/>
    </w:p>
    <w:p w14:paraId="235C8CB0" w14:textId="77777777" w:rsidR="00517DA6" w:rsidRPr="00903864" w:rsidRDefault="00D10C2A" w:rsidP="00517DA6">
      <w:pPr>
        <w:pStyle w:val="ListBullet"/>
        <w:rPr>
          <w:rStyle w:val="Hyperlink"/>
          <w:rFonts w:ascii="Cambria" w:hAnsi="Cambria" w:cstheme="minorHAnsi"/>
        </w:rPr>
      </w:pPr>
      <w:hyperlink r:id="rId34" w:history="1">
        <w:r w:rsidR="00517DA6" w:rsidRPr="00903864">
          <w:rPr>
            <w:rStyle w:val="Hyperlink"/>
            <w:rFonts w:ascii="Cambria" w:hAnsi="Cambria" w:cstheme="minorHAnsi"/>
          </w:rPr>
          <w:t xml:space="preserve">Product Information </w:t>
        </w:r>
        <w:proofErr w:type="spellStart"/>
        <w:r w:rsidR="00517DA6" w:rsidRPr="00903864">
          <w:rPr>
            <w:rStyle w:val="Hyperlink"/>
            <w:rFonts w:ascii="Cambria" w:hAnsi="Cambria" w:cstheme="minorHAnsi"/>
          </w:rPr>
          <w:t>Vaxzevria</w:t>
        </w:r>
        <w:proofErr w:type="spellEnd"/>
        <w:r w:rsidR="00517DA6" w:rsidRPr="00903864">
          <w:rPr>
            <w:rStyle w:val="Hyperlink"/>
            <w:rFonts w:ascii="Cambria" w:hAnsi="Cambria" w:cstheme="minorHAnsi"/>
          </w:rPr>
          <w:t xml:space="preserve"> (AstraZeneca)</w:t>
        </w:r>
      </w:hyperlink>
    </w:p>
    <w:p w14:paraId="308DF675" w14:textId="77777777" w:rsidR="00517DA6" w:rsidRPr="00903864" w:rsidRDefault="00517DA6" w:rsidP="00517DA6">
      <w:pPr>
        <w:spacing w:before="0" w:after="160" w:line="259" w:lineRule="auto"/>
        <w:rPr>
          <w:rStyle w:val="Hyperlink"/>
          <w:rFonts w:ascii="Cambria" w:hAnsi="Cambria" w:cstheme="minorHAnsi"/>
        </w:rPr>
      </w:pPr>
      <w:r w:rsidRPr="00903864">
        <w:rPr>
          <w:rStyle w:val="Hyperlink"/>
          <w:rFonts w:ascii="Cambria" w:hAnsi="Cambria" w:cstheme="minorHAnsi"/>
        </w:rPr>
        <w:br w:type="page"/>
      </w:r>
    </w:p>
    <w:p w14:paraId="5134BB06" w14:textId="77777777" w:rsidR="00517DA6" w:rsidRPr="00903864" w:rsidRDefault="00517DA6" w:rsidP="001D7C0B">
      <w:pPr>
        <w:pStyle w:val="Heading2"/>
        <w:numPr>
          <w:ilvl w:val="0"/>
          <w:numId w:val="1"/>
        </w:numPr>
        <w:rPr>
          <w:rFonts w:ascii="Cambria" w:hAnsi="Cambria"/>
        </w:rPr>
      </w:pPr>
      <w:bookmarkStart w:id="45" w:name="_Toc153956563"/>
      <w:r w:rsidRPr="00903864">
        <w:rPr>
          <w:rFonts w:ascii="Cambria" w:hAnsi="Cambria"/>
        </w:rPr>
        <w:lastRenderedPageBreak/>
        <w:t>Thrombocytopenia including Immune Thrombocytopenia</w:t>
      </w:r>
      <w:bookmarkEnd w:id="45"/>
    </w:p>
    <w:p w14:paraId="6EF7AAD2" w14:textId="77777777" w:rsidR="00517DA6" w:rsidRPr="00903864" w:rsidRDefault="00517DA6" w:rsidP="00517DA6">
      <w:pPr>
        <w:rPr>
          <w:rFonts w:ascii="Cambria" w:hAnsi="Cambria" w:cstheme="minorHAnsi"/>
        </w:rPr>
      </w:pPr>
      <w:r w:rsidRPr="00903864">
        <w:rPr>
          <w:rFonts w:ascii="Cambria" w:hAnsi="Cambria" w:cstheme="minorHAnsi"/>
        </w:rPr>
        <w:t xml:space="preserve">Points to consider for claims including immune </w:t>
      </w:r>
      <w:proofErr w:type="gramStart"/>
      <w:r w:rsidRPr="00903864">
        <w:rPr>
          <w:rFonts w:ascii="Cambria" w:hAnsi="Cambria" w:cstheme="minorHAnsi"/>
        </w:rPr>
        <w:t>thrombocytopenia</w:t>
      </w:r>
      <w:proofErr w:type="gramEnd"/>
    </w:p>
    <w:tbl>
      <w:tblPr>
        <w:tblStyle w:val="TableTGAblack"/>
        <w:tblW w:w="5000" w:type="pct"/>
        <w:tblLook w:val="04A0" w:firstRow="1" w:lastRow="0" w:firstColumn="1" w:lastColumn="0" w:noHBand="0" w:noVBand="1"/>
        <w:tblDescription w:val="Points to consider for claims including immune thrombocytopenia"/>
      </w:tblPr>
      <w:tblGrid>
        <w:gridCol w:w="2333"/>
        <w:gridCol w:w="6683"/>
      </w:tblGrid>
      <w:tr w:rsidR="00517DA6" w:rsidRPr="00903864" w14:paraId="4632C316" w14:textId="77777777" w:rsidTr="00B101DB">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100" w:firstRow="0" w:lastRow="0" w:firstColumn="1" w:lastColumn="0" w:oddVBand="0" w:evenVBand="0" w:oddHBand="0" w:evenHBand="0" w:firstRowFirstColumn="1" w:firstRowLastColumn="0" w:lastRowFirstColumn="0" w:lastRowLastColumn="0"/>
            <w:tcW w:w="1294" w:type="pct"/>
          </w:tcPr>
          <w:p w14:paraId="2E612BBB" w14:textId="77777777" w:rsidR="00517DA6" w:rsidRPr="00903864" w:rsidRDefault="00517DA6" w:rsidP="00B101DB">
            <w:r w:rsidRPr="00903864">
              <w:lastRenderedPageBreak/>
              <w:t>Evidence requirement</w:t>
            </w:r>
          </w:p>
        </w:tc>
        <w:tc>
          <w:tcPr>
            <w:tcW w:w="3706" w:type="pct"/>
          </w:tcPr>
          <w:p w14:paraId="60D77F12" w14:textId="77777777" w:rsidR="00517DA6" w:rsidRPr="00903864" w:rsidRDefault="00517DA6" w:rsidP="00B101DB">
            <w:pPr>
              <w:cnfStyle w:val="100000000000" w:firstRow="1" w:lastRow="0" w:firstColumn="0" w:lastColumn="0" w:oddVBand="0" w:evenVBand="0" w:oddHBand="0" w:evenHBand="0" w:firstRowFirstColumn="0" w:firstRowLastColumn="0" w:lastRowFirstColumn="0" w:lastRowLastColumn="0"/>
              <w:rPr>
                <w:rFonts w:ascii="Cambria" w:hAnsi="Cambria"/>
              </w:rPr>
            </w:pPr>
            <w:r w:rsidRPr="00903864">
              <w:rPr>
                <w:rFonts w:ascii="Cambria" w:hAnsi="Cambria"/>
              </w:rPr>
              <w:t>Types of evidence that should be considered for thrombocytopenia</w:t>
            </w:r>
          </w:p>
        </w:tc>
      </w:tr>
      <w:tr w:rsidR="00517DA6" w:rsidRPr="00903864" w14:paraId="5E17F61E" w14:textId="77777777" w:rsidTr="00B101DB">
        <w:trPr>
          <w:trHeight w:val="7964"/>
        </w:trPr>
        <w:tc>
          <w:tcPr>
            <w:cnfStyle w:val="001000000000" w:firstRow="0" w:lastRow="0" w:firstColumn="1" w:lastColumn="0" w:oddVBand="0" w:evenVBand="0" w:oddHBand="0" w:evenHBand="0" w:firstRowFirstColumn="0" w:firstRowLastColumn="0" w:lastRowFirstColumn="0" w:lastRowLastColumn="0"/>
            <w:tcW w:w="1294" w:type="pct"/>
          </w:tcPr>
          <w:p w14:paraId="2472EBE6" w14:textId="77777777" w:rsidR="00517DA6" w:rsidRPr="00903864" w:rsidRDefault="00517DA6" w:rsidP="00B101DB">
            <w:pPr>
              <w:rPr>
                <w:rStyle w:val="Strong"/>
              </w:rPr>
            </w:pPr>
            <w:r w:rsidRPr="00903864">
              <w:rPr>
                <w:rStyle w:val="Strong"/>
              </w:rPr>
              <w:t>Diagnosis</w:t>
            </w:r>
          </w:p>
          <w:p w14:paraId="67D0A647" w14:textId="77777777" w:rsidR="00517DA6" w:rsidRPr="00903864" w:rsidRDefault="00517DA6" w:rsidP="00B101DB">
            <w:r w:rsidRPr="00903864">
              <w:t>The patient has been diagnosed with a claimable medical condition(s) by a treating doctor in the relevant field of practice</w:t>
            </w:r>
          </w:p>
        </w:tc>
        <w:tc>
          <w:tcPr>
            <w:tcW w:w="3706" w:type="pct"/>
          </w:tcPr>
          <w:p w14:paraId="4A87D5D2" w14:textId="5D53E85A" w:rsidR="00517DA6" w:rsidRPr="00903864" w:rsidRDefault="00517DA6" w:rsidP="00B101DB">
            <w:pPr>
              <w:cnfStyle w:val="000000000000" w:firstRow="0" w:lastRow="0" w:firstColumn="0" w:lastColumn="0" w:oddVBand="0" w:evenVBand="0" w:oddHBand="0" w:evenHBand="0" w:firstRowFirstColumn="0" w:firstRowLastColumn="0" w:lastRowFirstColumn="0" w:lastRowLastColumn="0"/>
            </w:pPr>
            <w:r w:rsidRPr="00903864">
              <w:t>The relevant fields of practice are Haematology</w:t>
            </w:r>
            <w:r w:rsidR="006B0285" w:rsidRPr="00903864">
              <w:t>,</w:t>
            </w:r>
            <w:r w:rsidRPr="00903864">
              <w:t xml:space="preserve"> Immunology</w:t>
            </w:r>
            <w:r w:rsidR="006B0285" w:rsidRPr="00903864">
              <w:t>,</w:t>
            </w:r>
            <w:r w:rsidRPr="00903864">
              <w:t xml:space="preserve"> </w:t>
            </w:r>
            <w:r w:rsidR="006B0285" w:rsidRPr="00903864">
              <w:t>and</w:t>
            </w:r>
            <w:r w:rsidR="00F87D2E" w:rsidRPr="00903864">
              <w:t xml:space="preserve">, where </w:t>
            </w:r>
            <w:r w:rsidR="006B0285" w:rsidRPr="00903864">
              <w:t xml:space="preserve">clinically </w:t>
            </w:r>
            <w:r w:rsidR="00F87D2E" w:rsidRPr="00903864">
              <w:t>appropriate, Paediatric</w:t>
            </w:r>
            <w:r w:rsidR="006B0285" w:rsidRPr="00903864">
              <w:t>s</w:t>
            </w:r>
            <w:r w:rsidR="00F87D2E" w:rsidRPr="00903864">
              <w:t xml:space="preserve"> (including</w:t>
            </w:r>
            <w:r w:rsidR="006B0285" w:rsidRPr="00903864">
              <w:t xml:space="preserve"> </w:t>
            </w:r>
            <w:r w:rsidR="00F87D2E" w:rsidRPr="00903864">
              <w:t>General or subspecial</w:t>
            </w:r>
            <w:r w:rsidR="004B3B98" w:rsidRPr="00903864">
              <w:t>ty</w:t>
            </w:r>
            <w:r w:rsidR="00F87D2E" w:rsidRPr="00903864">
              <w:t xml:space="preserve"> Paediatric</w:t>
            </w:r>
            <w:r w:rsidR="004B3B98" w:rsidRPr="00903864">
              <w:t>s</w:t>
            </w:r>
            <w:r w:rsidR="00F87D2E" w:rsidRPr="00903864">
              <w:t>)</w:t>
            </w:r>
            <w:r w:rsidRPr="00903864">
              <w:t>.</w:t>
            </w:r>
          </w:p>
          <w:p w14:paraId="5822C5EF" w14:textId="77777777" w:rsidR="00517DA6" w:rsidRPr="00903864" w:rsidRDefault="00517DA6" w:rsidP="00B101DB">
            <w:pPr>
              <w:cnfStyle w:val="000000000000" w:firstRow="0" w:lastRow="0" w:firstColumn="0" w:lastColumn="0" w:oddVBand="0" w:evenVBand="0" w:oddHBand="0" w:evenHBand="0" w:firstRowFirstColumn="0" w:firstRowLastColumn="0" w:lastRowFirstColumn="0" w:lastRowLastColumn="0"/>
            </w:pPr>
            <w:r w:rsidRPr="00903864">
              <w:t xml:space="preserve">Thrombocytopenia must be established as a final diagnosis to be eligible for a claim. </w:t>
            </w:r>
          </w:p>
          <w:p w14:paraId="49104A33" w14:textId="6AA73081" w:rsidR="00517DA6" w:rsidRPr="00903864" w:rsidRDefault="00517DA6" w:rsidP="00B101DB">
            <w:pPr>
              <w:cnfStyle w:val="000000000000" w:firstRow="0" w:lastRow="0" w:firstColumn="0" w:lastColumn="0" w:oddVBand="0" w:evenVBand="0" w:oddHBand="0" w:evenHBand="0" w:firstRowFirstColumn="0" w:firstRowLastColumn="0" w:lastRowFirstColumn="0" w:lastRowLastColumn="0"/>
            </w:pPr>
            <w:r w:rsidRPr="00903864">
              <w:t>Immune thrombocytopenia is a diagnosis of exclusion with no unique identifying features when it occurs after vaccination</w:t>
            </w:r>
            <w:r w:rsidR="000A38C2" w:rsidRPr="00903864">
              <w:t>.</w:t>
            </w:r>
            <w:r w:rsidR="00E83D64" w:rsidRPr="00903864">
              <w:rPr>
                <w:rStyle w:val="FootnoteReference"/>
              </w:rPr>
              <w:footnoteReference w:id="15"/>
            </w:r>
            <w:r w:rsidRPr="00903864">
              <w:t xml:space="preserve">  Response to corticosteroids, intravenous immunoglobulin (IVIg), and other standard treatments used in ITP, such as TPO (thrombopoietin) agonists, supports the diagnosis of ITP post COVID-19 vaccination.</w:t>
            </w:r>
          </w:p>
          <w:p w14:paraId="10FB6158" w14:textId="7A124571" w:rsidR="00517DA6" w:rsidRPr="00903864" w:rsidRDefault="00517DA6" w:rsidP="00B101DB">
            <w:pPr>
              <w:cnfStyle w:val="000000000000" w:firstRow="0" w:lastRow="0" w:firstColumn="0" w:lastColumn="0" w:oddVBand="0" w:evenVBand="0" w:oddHBand="0" w:evenHBand="0" w:firstRowFirstColumn="0" w:firstRowLastColumn="0" w:lastRowFirstColumn="0" w:lastRowLastColumn="0"/>
            </w:pPr>
            <w:r w:rsidRPr="00903864">
              <w:t>Immune thrombocytopenia has also emerged as a complication of Covid-19 infection.</w:t>
            </w:r>
            <w:r w:rsidR="000A38C2" w:rsidRPr="00903864">
              <w:rPr>
                <w:rStyle w:val="FootnoteReference"/>
              </w:rPr>
              <w:footnoteReference w:id="16"/>
            </w:r>
          </w:p>
          <w:p w14:paraId="16D22624" w14:textId="77777777" w:rsidR="00517DA6" w:rsidRPr="00903864" w:rsidRDefault="00517DA6" w:rsidP="00B101DB">
            <w:pPr>
              <w:cnfStyle w:val="000000000000" w:firstRow="0" w:lastRow="0" w:firstColumn="0" w:lastColumn="0" w:oddVBand="0" w:evenVBand="0" w:oddHBand="0" w:evenHBand="0" w:firstRowFirstColumn="0" w:firstRowLastColumn="0" w:lastRowFirstColumn="0" w:lastRowLastColumn="0"/>
            </w:pPr>
            <w:r w:rsidRPr="00903864">
              <w:t>The autoimmune bleeding disorder is characterised by a decrease in the number of platelets, which can cause minor bruising in some patients and excessive bleeding and long-term illness in others.</w:t>
            </w:r>
          </w:p>
          <w:p w14:paraId="023EBD3E" w14:textId="1BC86F68" w:rsidR="00517DA6" w:rsidRPr="00903864" w:rsidRDefault="00517DA6" w:rsidP="00B101DB">
            <w:pPr>
              <w:cnfStyle w:val="000000000000" w:firstRow="0" w:lastRow="0" w:firstColumn="0" w:lastColumn="0" w:oddVBand="0" w:evenVBand="0" w:oddHBand="0" w:evenHBand="0" w:firstRowFirstColumn="0" w:firstRowLastColumn="0" w:lastRowFirstColumn="0" w:lastRowLastColumn="0"/>
            </w:pPr>
            <w:r w:rsidRPr="00903864">
              <w:t>Clinical information that should be outlined to support the diagnosis OR appropriate justification provided for absence of information:</w:t>
            </w:r>
            <w:r w:rsidR="004B7893">
              <w:rPr>
                <w:rStyle w:val="FootnoteReference"/>
              </w:rPr>
              <w:footnoteReference w:id="17"/>
            </w:r>
            <w:r w:rsidR="004B7893">
              <w:rPr>
                <w:vertAlign w:val="superscript"/>
              </w:rPr>
              <w:t xml:space="preserve">, </w:t>
            </w:r>
            <w:r w:rsidR="004B7893">
              <w:rPr>
                <w:rStyle w:val="FootnoteReference"/>
              </w:rPr>
              <w:footnoteReference w:id="18"/>
            </w:r>
          </w:p>
          <w:p w14:paraId="3BEE99D0" w14:textId="058FCD44" w:rsidR="00517DA6" w:rsidRPr="00903864" w:rsidRDefault="00517DA6" w:rsidP="00B101DB">
            <w:pPr>
              <w:pStyle w:val="ListBullet"/>
              <w:cnfStyle w:val="000000000000" w:firstRow="0" w:lastRow="0" w:firstColumn="0" w:lastColumn="0" w:oddVBand="0" w:evenVBand="0" w:oddHBand="0" w:evenHBand="0" w:firstRowFirstColumn="0" w:firstRowLastColumn="0" w:lastRowFirstColumn="0" w:lastRowLastColumn="0"/>
            </w:pPr>
            <w:r w:rsidRPr="00903864">
              <w:t>Thrombocytopenia (platelet count &lt;150 x109/L)</w:t>
            </w:r>
            <w:r w:rsidR="002D7CB5">
              <w:t>,</w:t>
            </w:r>
          </w:p>
          <w:p w14:paraId="32DC1D7A" w14:textId="52A5E915" w:rsidR="00517DA6" w:rsidRDefault="00517DA6" w:rsidP="00B101DB">
            <w:pPr>
              <w:pStyle w:val="ListBullet"/>
              <w:cnfStyle w:val="000000000000" w:firstRow="0" w:lastRow="0" w:firstColumn="0" w:lastColumn="0" w:oddVBand="0" w:evenVBand="0" w:oddHBand="0" w:evenHBand="0" w:firstRowFirstColumn="0" w:firstRowLastColumn="0" w:lastRowFirstColumn="0" w:lastRowLastColumn="0"/>
            </w:pPr>
            <w:r w:rsidRPr="00903864">
              <w:t>Clinical signs or symptoms of bleeding</w:t>
            </w:r>
            <w:r w:rsidR="002D7CB5">
              <w:t>,</w:t>
            </w:r>
          </w:p>
          <w:p w14:paraId="74673477" w14:textId="77777777" w:rsidR="002D7CB5" w:rsidRDefault="002D7CB5" w:rsidP="00B101DB">
            <w:pPr>
              <w:pStyle w:val="ListBullet"/>
              <w:cnfStyle w:val="000000000000" w:firstRow="0" w:lastRow="0" w:firstColumn="0" w:lastColumn="0" w:oddVBand="0" w:evenVBand="0" w:oddHBand="0" w:evenHBand="0" w:firstRowFirstColumn="0" w:firstRowLastColumn="0" w:lastRowFirstColumn="0" w:lastRowLastColumn="0"/>
            </w:pPr>
            <w:r>
              <w:t>Peripheral blood film examination consistent with immune thrombocytopenia,</w:t>
            </w:r>
          </w:p>
          <w:p w14:paraId="472649D3" w14:textId="77777777" w:rsidR="002D7CB5" w:rsidRDefault="002D7CB5" w:rsidP="00B101DB">
            <w:pPr>
              <w:pStyle w:val="ListBullet"/>
              <w:cnfStyle w:val="000000000000" w:firstRow="0" w:lastRow="0" w:firstColumn="0" w:lastColumn="0" w:oddVBand="0" w:evenVBand="0" w:oddHBand="0" w:evenHBand="0" w:firstRowFirstColumn="0" w:firstRowLastColumn="0" w:lastRowFirstColumn="0" w:lastRowLastColumn="0"/>
            </w:pPr>
            <w:r>
              <w:t xml:space="preserve">Consideration/exclusion of alternative causes of thrombocytopenia, including but not limited </w:t>
            </w:r>
            <w:proofErr w:type="gramStart"/>
            <w:r>
              <w:t>to:</w:t>
            </w:r>
            <w:proofErr w:type="gramEnd"/>
            <w:r>
              <w:t xml:space="preserve"> myelodysplastic syndrome, haematological malignancy, hypersplenism, liver disease,</w:t>
            </w:r>
          </w:p>
          <w:p w14:paraId="4B8F936F" w14:textId="4F3092AC" w:rsidR="002D7CB5" w:rsidRPr="00903864" w:rsidRDefault="002D7CB5" w:rsidP="00B101DB">
            <w:pPr>
              <w:pStyle w:val="ListBullet"/>
              <w:cnfStyle w:val="000000000000" w:firstRow="0" w:lastRow="0" w:firstColumn="0" w:lastColumn="0" w:oddVBand="0" w:evenVBand="0" w:oddHBand="0" w:evenHBand="0" w:firstRowFirstColumn="0" w:firstRowLastColumn="0" w:lastRowFirstColumn="0" w:lastRowLastColumn="0"/>
            </w:pPr>
            <w:r>
              <w:t xml:space="preserve">Bone marrow biopsy is not required to confirm a diagnosis of Thrombocytopenia, including Immune Thrombocytopenia, but if performed, pathologic features support the diagnosis of Thrombocytopenia, including Immune Thrombocytopenia. </w:t>
            </w:r>
          </w:p>
        </w:tc>
      </w:tr>
      <w:tr w:rsidR="00517DA6" w:rsidRPr="00903864" w14:paraId="6E7DAB65" w14:textId="77777777" w:rsidTr="00B101DB">
        <w:tc>
          <w:tcPr>
            <w:cnfStyle w:val="001000000000" w:firstRow="0" w:lastRow="0" w:firstColumn="1" w:lastColumn="0" w:oddVBand="0" w:evenVBand="0" w:oddHBand="0" w:evenHBand="0" w:firstRowFirstColumn="0" w:firstRowLastColumn="0" w:lastRowFirstColumn="0" w:lastRowLastColumn="0"/>
            <w:tcW w:w="1294" w:type="pct"/>
          </w:tcPr>
          <w:p w14:paraId="5849D336" w14:textId="77777777" w:rsidR="00517DA6" w:rsidRPr="00903864" w:rsidRDefault="00517DA6" w:rsidP="00B101DB">
            <w:r w:rsidRPr="00903864">
              <w:rPr>
                <w:rStyle w:val="Strong"/>
              </w:rPr>
              <w:lastRenderedPageBreak/>
              <w:t xml:space="preserve">Link to vaccination </w:t>
            </w:r>
            <w:r w:rsidRPr="00903864">
              <w:t xml:space="preserve">Opinion that the most likely cause of the diagnosed condition(s) is COVID-19 vaccination </w:t>
            </w:r>
            <w:proofErr w:type="spellStart"/>
            <w:r w:rsidRPr="00903864">
              <w:t>Vaxzevria</w:t>
            </w:r>
            <w:proofErr w:type="spellEnd"/>
            <w:r w:rsidRPr="00903864">
              <w:t xml:space="preserve"> (AstraZeneca)</w:t>
            </w:r>
          </w:p>
        </w:tc>
        <w:tc>
          <w:tcPr>
            <w:tcW w:w="3706" w:type="pct"/>
          </w:tcPr>
          <w:p w14:paraId="23389131" w14:textId="1BC9B5F6" w:rsidR="00517DA6" w:rsidRPr="00903864" w:rsidRDefault="00517DA6" w:rsidP="00B101DB">
            <w:pPr>
              <w:cnfStyle w:val="000000000000" w:firstRow="0" w:lastRow="0" w:firstColumn="0" w:lastColumn="0" w:oddVBand="0" w:evenVBand="0" w:oddHBand="0" w:evenHBand="0" w:firstRowFirstColumn="0" w:firstRowLastColumn="0" w:lastRowFirstColumn="0" w:lastRowLastColumn="0"/>
              <w:rPr>
                <w:vertAlign w:val="superscript"/>
              </w:rPr>
            </w:pPr>
            <w:r w:rsidRPr="00903864">
              <w:t xml:space="preserve">Typical time to onset within </w:t>
            </w:r>
            <w:r w:rsidR="00D375FD">
              <w:t>28</w:t>
            </w:r>
            <w:r w:rsidRPr="00903864">
              <w:t xml:space="preserve"> days following vaccination</w:t>
            </w:r>
            <w:bookmarkStart w:id="50" w:name="_Hlk131172844"/>
            <w:r w:rsidR="007361D8" w:rsidRPr="00903864">
              <w:t>.</w:t>
            </w:r>
            <w:bookmarkEnd w:id="50"/>
            <w:r w:rsidR="00D375FD">
              <w:rPr>
                <w:rStyle w:val="FootnoteReference"/>
              </w:rPr>
              <w:footnoteReference w:id="19"/>
            </w:r>
          </w:p>
          <w:p w14:paraId="51C231AA" w14:textId="222E4E58" w:rsidR="00B0581B" w:rsidRPr="00903864" w:rsidRDefault="00B0581B" w:rsidP="00B101DB">
            <w:pPr>
              <w:cnfStyle w:val="000000000000" w:firstRow="0" w:lastRow="0" w:firstColumn="0" w:lastColumn="0" w:oddVBand="0" w:evenVBand="0" w:oddHBand="0" w:evenHBand="0" w:firstRowFirstColumn="0" w:firstRowLastColumn="0" w:lastRowFirstColumn="0" w:lastRowLastColumn="0"/>
            </w:pPr>
            <w:r w:rsidRPr="00903864">
              <w:t>As Thrombocytopenia, including immune th</w:t>
            </w:r>
            <w:r w:rsidR="00035089" w:rsidRPr="00903864">
              <w:t>rombocytopenia,</w:t>
            </w:r>
            <w:r w:rsidRPr="00903864">
              <w:t xml:space="preserve"> has a range of aetiologies, it is important to consider and exclude causes unrelated to vaccination, which may include infectious</w:t>
            </w:r>
            <w:r w:rsidR="00035089" w:rsidRPr="00903864">
              <w:t xml:space="preserve">, </w:t>
            </w:r>
            <w:r w:rsidRPr="00903864">
              <w:t>autoimmune causes</w:t>
            </w:r>
            <w:r w:rsidR="00035089" w:rsidRPr="00903864">
              <w:t>, medications or liver disease</w:t>
            </w:r>
            <w:r w:rsidRPr="00903864">
              <w:t xml:space="preserve">. Other causes of the claimant’s symptoms should also be considered and excluded. </w:t>
            </w:r>
          </w:p>
          <w:p w14:paraId="650E3E6C" w14:textId="6A24EDE5" w:rsidR="00517DA6" w:rsidRPr="00903864" w:rsidRDefault="00517DA6" w:rsidP="00903864">
            <w:pPr>
              <w:cnfStyle w:val="000000000000" w:firstRow="0" w:lastRow="0" w:firstColumn="0" w:lastColumn="0" w:oddVBand="0" w:evenVBand="0" w:oddHBand="0" w:evenHBand="0" w:firstRowFirstColumn="0" w:firstRowLastColumn="0" w:lastRowFirstColumn="0" w:lastRowLastColumn="0"/>
            </w:pPr>
            <w:r w:rsidRPr="00903864">
              <w:t xml:space="preserve">A link to thrombocytopenia including immune thrombocytopenia has been reported following vaccination with </w:t>
            </w:r>
            <w:proofErr w:type="spellStart"/>
            <w:r w:rsidRPr="00903864">
              <w:t>Vaxzevria</w:t>
            </w:r>
            <w:proofErr w:type="spellEnd"/>
            <w:r w:rsidRPr="00903864">
              <w:t xml:space="preserve"> (AstraZeneca)</w:t>
            </w:r>
            <w:r w:rsidR="007361D8" w:rsidRPr="00903864">
              <w:t>.</w:t>
            </w:r>
            <w:r w:rsidR="004F1AC3">
              <w:rPr>
                <w:vertAlign w:val="superscript"/>
              </w:rPr>
              <w:t>16</w:t>
            </w:r>
            <w:r w:rsidR="00234068" w:rsidRPr="00903864" w:rsidDel="00234068">
              <w:rPr>
                <w:rStyle w:val="FootnoteReference"/>
              </w:rPr>
              <w:t xml:space="preserve"> </w:t>
            </w:r>
          </w:p>
        </w:tc>
      </w:tr>
    </w:tbl>
    <w:p w14:paraId="66252CB0" w14:textId="77777777" w:rsidR="00517DA6" w:rsidRPr="00903864" w:rsidRDefault="00517DA6" w:rsidP="001D7C0B">
      <w:pPr>
        <w:pStyle w:val="Heading3"/>
        <w:rPr>
          <w:rFonts w:ascii="Cambria" w:hAnsi="Cambria"/>
        </w:rPr>
      </w:pPr>
      <w:bookmarkStart w:id="52" w:name="_Toc153956564"/>
      <w:r w:rsidRPr="00903864">
        <w:rPr>
          <w:rFonts w:ascii="Cambria" w:hAnsi="Cambria"/>
        </w:rPr>
        <w:t>Resources for thrombocytopenia</w:t>
      </w:r>
      <w:bookmarkEnd w:id="52"/>
    </w:p>
    <w:p w14:paraId="3B304477" w14:textId="77777777" w:rsidR="00517DA6" w:rsidRPr="00903864" w:rsidRDefault="00517DA6" w:rsidP="00517DA6">
      <w:pPr>
        <w:spacing w:after="180"/>
        <w:rPr>
          <w:rFonts w:ascii="Cambria" w:hAnsi="Cambria" w:cstheme="minorHAnsi"/>
        </w:rPr>
      </w:pPr>
      <w:proofErr w:type="gramStart"/>
      <w:r w:rsidRPr="00903864">
        <w:rPr>
          <w:rFonts w:ascii="Cambria" w:hAnsi="Cambria" w:cstheme="minorHAnsi"/>
        </w:rPr>
        <w:t>A number of</w:t>
      </w:r>
      <w:proofErr w:type="gramEnd"/>
      <w:r w:rsidRPr="00903864">
        <w:rPr>
          <w:rFonts w:ascii="Cambria" w:hAnsi="Cambria" w:cstheme="minorHAnsi"/>
        </w:rPr>
        <w:t xml:space="preserve"> national and international bodies have provided reports and guidance for healthcare practitioners on thrombocytopenia:</w:t>
      </w:r>
    </w:p>
    <w:p w14:paraId="7C694142" w14:textId="77777777" w:rsidR="007361D8" w:rsidRPr="00903864" w:rsidRDefault="00517DA6" w:rsidP="00517DA6">
      <w:pPr>
        <w:pStyle w:val="ListNumber"/>
        <w:numPr>
          <w:ilvl w:val="0"/>
          <w:numId w:val="12"/>
        </w:numPr>
        <w:ind w:left="470" w:hanging="357"/>
        <w:rPr>
          <w:rFonts w:ascii="Cambria" w:hAnsi="Cambria"/>
          <w:color w:val="0000FF"/>
          <w:u w:val="single"/>
        </w:rPr>
      </w:pPr>
      <w:r w:rsidRPr="00903864">
        <w:rPr>
          <w:rFonts w:ascii="Cambria" w:hAnsi="Cambria" w:cstheme="minorHAnsi"/>
        </w:rPr>
        <w:t xml:space="preserve">The Australian Technical Advisory Group on Immunisation (ATAGI) published clinical guidance on COVID-19 </w:t>
      </w:r>
      <w:proofErr w:type="gramStart"/>
      <w:r w:rsidRPr="00903864">
        <w:rPr>
          <w:rFonts w:ascii="Cambria" w:hAnsi="Cambria" w:cstheme="minorHAnsi"/>
        </w:rPr>
        <w:t>vaccines</w:t>
      </w:r>
      <w:proofErr w:type="gramEnd"/>
      <w:r w:rsidRPr="00903864">
        <w:rPr>
          <w:rFonts w:ascii="Cambria" w:hAnsi="Cambria" w:cstheme="minorHAnsi"/>
        </w:rPr>
        <w:t xml:space="preserve"> </w:t>
      </w:r>
    </w:p>
    <w:p w14:paraId="53CE13AF" w14:textId="77777777" w:rsidR="00234068" w:rsidRPr="00903864" w:rsidRDefault="00D10C2A" w:rsidP="007361D8">
      <w:pPr>
        <w:pStyle w:val="ListNumber"/>
        <w:numPr>
          <w:ilvl w:val="0"/>
          <w:numId w:val="0"/>
        </w:numPr>
        <w:ind w:left="470"/>
        <w:rPr>
          <w:rStyle w:val="Hyperlink"/>
          <w:rFonts w:ascii="Cambria" w:hAnsi="Cambria"/>
        </w:rPr>
      </w:pPr>
      <w:hyperlink r:id="rId35" w:history="1">
        <w:r w:rsidR="007361D8" w:rsidRPr="00903864">
          <w:rPr>
            <w:rStyle w:val="Hyperlink"/>
            <w:rFonts w:ascii="Cambria" w:hAnsi="Cambria"/>
          </w:rPr>
          <w:t>ATAGI clinical guidance for COVID-19 vaccine providers | Australian Government Department of Health and Aged Care</w:t>
        </w:r>
      </w:hyperlink>
    </w:p>
    <w:p w14:paraId="56C4C3B0" w14:textId="1994C7FD" w:rsidR="00517DA6" w:rsidRPr="00903864" w:rsidRDefault="00517DA6" w:rsidP="00903864">
      <w:pPr>
        <w:pStyle w:val="ListNumber"/>
        <w:rPr>
          <w:rStyle w:val="Hyperlink"/>
          <w:rFonts w:ascii="Cambria" w:hAnsi="Cambria"/>
        </w:rPr>
      </w:pPr>
      <w:r w:rsidRPr="00903864">
        <w:rPr>
          <w:rFonts w:ascii="Cambria" w:hAnsi="Cambria"/>
        </w:rPr>
        <w:t xml:space="preserve">The Brighton Collaboration published a case definition for Thrombocytopenia </w:t>
      </w:r>
      <w:hyperlink r:id="rId36" w:history="1">
        <w:r w:rsidRPr="00903864">
          <w:rPr>
            <w:rStyle w:val="Hyperlink"/>
            <w:rFonts w:ascii="Cambria" w:hAnsi="Cambria" w:cstheme="minorHAnsi"/>
          </w:rPr>
          <w:t>https://brightoncollaboration.us/thrombocytopenia-case-definition-companion-guide/</w:t>
        </w:r>
      </w:hyperlink>
    </w:p>
    <w:p w14:paraId="5594283A" w14:textId="48AE7420" w:rsidR="00517DA6" w:rsidRPr="00903864" w:rsidRDefault="00517DA6" w:rsidP="00517DA6">
      <w:pPr>
        <w:pStyle w:val="ListNumber"/>
        <w:rPr>
          <w:rStyle w:val="Hyperlink"/>
          <w:rFonts w:ascii="Cambria" w:hAnsi="Cambria"/>
        </w:rPr>
      </w:pPr>
      <w:r w:rsidRPr="00903864">
        <w:rPr>
          <w:rFonts w:ascii="Cambria" w:hAnsi="Cambria" w:cstheme="minorHAnsi"/>
        </w:rPr>
        <w:t xml:space="preserve">Nature </w:t>
      </w:r>
      <w:r w:rsidR="000A7D96" w:rsidRPr="00903864">
        <w:rPr>
          <w:rFonts w:ascii="Cambria" w:hAnsi="Cambria" w:cstheme="minorHAnsi"/>
        </w:rPr>
        <w:t>M</w:t>
      </w:r>
      <w:r w:rsidRPr="00903864">
        <w:rPr>
          <w:rFonts w:ascii="Cambria" w:hAnsi="Cambria" w:cstheme="minorHAnsi"/>
        </w:rPr>
        <w:t xml:space="preserve">edicine reports a link between </w:t>
      </w:r>
      <w:proofErr w:type="spellStart"/>
      <w:r w:rsidRPr="00903864">
        <w:rPr>
          <w:rFonts w:ascii="Cambria" w:hAnsi="Cambria" w:cstheme="minorHAnsi"/>
        </w:rPr>
        <w:t>Vaxzevria</w:t>
      </w:r>
      <w:proofErr w:type="spellEnd"/>
      <w:r w:rsidRPr="00903864">
        <w:rPr>
          <w:rFonts w:ascii="Cambria" w:hAnsi="Cambria" w:cstheme="minorHAnsi"/>
        </w:rPr>
        <w:t xml:space="preserve"> (AstraZeneca) and immune thrombocytopenia </w:t>
      </w:r>
      <w:hyperlink r:id="rId37" w:history="1">
        <w:r w:rsidRPr="00903864">
          <w:rPr>
            <w:rStyle w:val="Hyperlink"/>
            <w:rFonts w:ascii="Cambria" w:hAnsi="Cambria" w:cstheme="minorHAnsi"/>
          </w:rPr>
          <w:t>https://www.nature.com/articles/s41591-021-01419-1</w:t>
        </w:r>
      </w:hyperlink>
    </w:p>
    <w:p w14:paraId="13091BE7" w14:textId="77777777" w:rsidR="00517DA6" w:rsidRPr="00903864" w:rsidRDefault="00517DA6" w:rsidP="001D7C0B">
      <w:pPr>
        <w:pStyle w:val="Heading3"/>
        <w:rPr>
          <w:rFonts w:ascii="Cambria" w:hAnsi="Cambria"/>
        </w:rPr>
      </w:pPr>
      <w:bookmarkStart w:id="53" w:name="_Toc131405288"/>
      <w:bookmarkStart w:id="54" w:name="_Toc153956565"/>
      <w:r w:rsidRPr="00903864">
        <w:rPr>
          <w:rFonts w:ascii="Cambria" w:hAnsi="Cambria"/>
        </w:rPr>
        <w:t>Product Information</w:t>
      </w:r>
      <w:bookmarkEnd w:id="53"/>
      <w:bookmarkEnd w:id="54"/>
    </w:p>
    <w:p w14:paraId="5F8016F3" w14:textId="77777777" w:rsidR="00517DA6" w:rsidRPr="00903864" w:rsidRDefault="00D10C2A" w:rsidP="00517DA6">
      <w:pPr>
        <w:pStyle w:val="ListBullet"/>
        <w:spacing w:after="160" w:line="259" w:lineRule="auto"/>
        <w:rPr>
          <w:rStyle w:val="Hyperlink"/>
          <w:rFonts w:ascii="Cambria" w:hAnsi="Cambria" w:cstheme="minorHAnsi"/>
        </w:rPr>
      </w:pPr>
      <w:hyperlink r:id="rId38" w:history="1">
        <w:r w:rsidR="00517DA6" w:rsidRPr="00903864">
          <w:rPr>
            <w:rStyle w:val="Hyperlink"/>
            <w:rFonts w:ascii="Cambria" w:hAnsi="Cambria" w:cstheme="minorHAnsi"/>
          </w:rPr>
          <w:t xml:space="preserve">Product Information </w:t>
        </w:r>
        <w:proofErr w:type="spellStart"/>
        <w:r w:rsidR="00517DA6" w:rsidRPr="00903864">
          <w:rPr>
            <w:rStyle w:val="Hyperlink"/>
            <w:rFonts w:ascii="Cambria" w:hAnsi="Cambria" w:cstheme="minorHAnsi"/>
          </w:rPr>
          <w:t>Vaxzevria</w:t>
        </w:r>
        <w:proofErr w:type="spellEnd"/>
        <w:r w:rsidR="00517DA6" w:rsidRPr="00903864">
          <w:rPr>
            <w:rStyle w:val="Hyperlink"/>
            <w:rFonts w:ascii="Cambria" w:hAnsi="Cambria" w:cstheme="minorHAnsi"/>
          </w:rPr>
          <w:t xml:space="preserve"> (AstraZeneca)</w:t>
        </w:r>
      </w:hyperlink>
    </w:p>
    <w:p w14:paraId="4FFD64A8" w14:textId="77777777" w:rsidR="00517DA6" w:rsidRPr="00903864" w:rsidRDefault="00517DA6" w:rsidP="00517DA6">
      <w:pPr>
        <w:pStyle w:val="ListBullet"/>
        <w:numPr>
          <w:ilvl w:val="0"/>
          <w:numId w:val="0"/>
        </w:numPr>
        <w:spacing w:after="160" w:line="259" w:lineRule="auto"/>
        <w:rPr>
          <w:rStyle w:val="Hyperlink"/>
          <w:rFonts w:ascii="Cambria" w:hAnsi="Cambria" w:cstheme="minorHAnsi"/>
        </w:rPr>
      </w:pPr>
    </w:p>
    <w:p w14:paraId="470B6EF3" w14:textId="77777777" w:rsidR="00517DA6" w:rsidRPr="00903864" w:rsidRDefault="00517DA6" w:rsidP="001D7C0B">
      <w:pPr>
        <w:pStyle w:val="Heading2"/>
        <w:numPr>
          <w:ilvl w:val="0"/>
          <w:numId w:val="1"/>
        </w:numPr>
        <w:rPr>
          <w:rFonts w:ascii="Cambria" w:hAnsi="Cambria"/>
        </w:rPr>
      </w:pPr>
      <w:bookmarkStart w:id="55" w:name="_Toc129857822"/>
      <w:bookmarkStart w:id="56" w:name="_Toc129865452"/>
      <w:bookmarkStart w:id="57" w:name="_Toc129865541"/>
      <w:bookmarkStart w:id="58" w:name="_Toc130196920"/>
      <w:bookmarkStart w:id="59" w:name="_Toc121208323"/>
      <w:bookmarkStart w:id="60" w:name="_Toc153956566"/>
      <w:bookmarkEnd w:id="55"/>
      <w:bookmarkEnd w:id="56"/>
      <w:bookmarkEnd w:id="57"/>
      <w:bookmarkEnd w:id="58"/>
      <w:r w:rsidRPr="00903864">
        <w:rPr>
          <w:rFonts w:ascii="Cambria" w:hAnsi="Cambria"/>
        </w:rPr>
        <w:t xml:space="preserve">Cerebral venous sinus thrombosis (CVST) without </w:t>
      </w:r>
      <w:bookmarkEnd w:id="59"/>
      <w:r w:rsidRPr="00903864">
        <w:rPr>
          <w:rFonts w:ascii="Cambria" w:hAnsi="Cambria"/>
        </w:rPr>
        <w:t>thrombocytopenia</w:t>
      </w:r>
      <w:bookmarkEnd w:id="60"/>
    </w:p>
    <w:p w14:paraId="1CAC4C07" w14:textId="77777777" w:rsidR="00517DA6" w:rsidRPr="00903864" w:rsidRDefault="00517DA6" w:rsidP="00517DA6">
      <w:pPr>
        <w:rPr>
          <w:rFonts w:ascii="Cambria" w:hAnsi="Cambria" w:cstheme="minorHAnsi"/>
        </w:rPr>
      </w:pPr>
      <w:r w:rsidRPr="00903864">
        <w:rPr>
          <w:rFonts w:ascii="Cambria" w:hAnsi="Cambria" w:cstheme="minorHAnsi"/>
        </w:rPr>
        <w:t xml:space="preserve">Points to consider for claims including CVST without </w:t>
      </w:r>
      <w:proofErr w:type="gramStart"/>
      <w:r w:rsidRPr="00903864">
        <w:rPr>
          <w:rFonts w:ascii="Cambria" w:hAnsi="Cambria" w:cstheme="minorHAnsi"/>
        </w:rPr>
        <w:t>thrombocytopenia</w:t>
      </w:r>
      <w:proofErr w:type="gramEnd"/>
    </w:p>
    <w:tbl>
      <w:tblPr>
        <w:tblStyle w:val="TableTGAblack"/>
        <w:tblpPr w:leftFromText="180" w:rightFromText="180" w:topFromText="60" w:vertAnchor="text" w:horzAnchor="margin" w:tblpY="14"/>
        <w:tblW w:w="4958" w:type="pct"/>
        <w:tblLook w:val="04A0" w:firstRow="1" w:lastRow="0" w:firstColumn="1" w:lastColumn="0" w:noHBand="0" w:noVBand="1"/>
      </w:tblPr>
      <w:tblGrid>
        <w:gridCol w:w="3864"/>
        <w:gridCol w:w="5076"/>
      </w:tblGrid>
      <w:tr w:rsidR="00517DA6" w:rsidRPr="00903864" w14:paraId="55EAAEA5" w14:textId="77777777" w:rsidTr="00B101DB">
        <w:trPr>
          <w:cnfStyle w:val="100000000000" w:firstRow="1" w:lastRow="0" w:firstColumn="0" w:lastColumn="0" w:oddVBand="0" w:evenVBand="0" w:oddHBand="0" w:evenHBand="0" w:firstRowFirstColumn="0" w:firstRowLastColumn="0" w:lastRowFirstColumn="0" w:lastRowLastColumn="0"/>
          <w:trHeight w:val="509"/>
          <w:tblHeader/>
        </w:trPr>
        <w:tc>
          <w:tcPr>
            <w:cnfStyle w:val="001000000100" w:firstRow="0" w:lastRow="0" w:firstColumn="1" w:lastColumn="0" w:oddVBand="0" w:evenVBand="0" w:oddHBand="0" w:evenHBand="0" w:firstRowFirstColumn="1" w:firstRowLastColumn="0" w:lastRowFirstColumn="0" w:lastRowLastColumn="0"/>
            <w:tcW w:w="0" w:type="pct"/>
            <w:tcBorders>
              <w:top w:val="single" w:sz="4" w:space="0" w:color="000000"/>
              <w:left w:val="single" w:sz="4" w:space="0" w:color="000000"/>
              <w:bottom w:val="single" w:sz="4" w:space="0" w:color="000000"/>
              <w:right w:val="single" w:sz="4" w:space="0" w:color="000000"/>
            </w:tcBorders>
            <w:hideMark/>
          </w:tcPr>
          <w:p w14:paraId="18ED63AA" w14:textId="77777777" w:rsidR="00517DA6" w:rsidRPr="00903864" w:rsidRDefault="00517DA6" w:rsidP="00B101DB">
            <w:pPr>
              <w:rPr>
                <w:szCs w:val="22"/>
              </w:rPr>
            </w:pPr>
            <w:r w:rsidRPr="00903864">
              <w:rPr>
                <w:szCs w:val="22"/>
              </w:rPr>
              <w:lastRenderedPageBreak/>
              <w:t>Evidence requirement</w:t>
            </w:r>
          </w:p>
        </w:tc>
        <w:tc>
          <w:tcPr>
            <w:tcW w:w="0" w:type="pct"/>
            <w:tcBorders>
              <w:top w:val="single" w:sz="4" w:space="0" w:color="000000"/>
              <w:left w:val="single" w:sz="4" w:space="0" w:color="000000"/>
              <w:bottom w:val="single" w:sz="4" w:space="0" w:color="000000"/>
              <w:right w:val="single" w:sz="4" w:space="0" w:color="000000"/>
            </w:tcBorders>
            <w:hideMark/>
          </w:tcPr>
          <w:p w14:paraId="6615304C" w14:textId="77777777" w:rsidR="00517DA6" w:rsidRPr="00903864" w:rsidRDefault="00517DA6" w:rsidP="00B101DB">
            <w:pPr>
              <w:cnfStyle w:val="100000000000" w:firstRow="1" w:lastRow="0" w:firstColumn="0" w:lastColumn="0" w:oddVBand="0" w:evenVBand="0" w:oddHBand="0" w:evenHBand="0" w:firstRowFirstColumn="0" w:firstRowLastColumn="0" w:lastRowFirstColumn="0" w:lastRowLastColumn="0"/>
              <w:rPr>
                <w:rFonts w:ascii="Cambria" w:hAnsi="Cambria"/>
                <w:szCs w:val="22"/>
              </w:rPr>
            </w:pPr>
            <w:r w:rsidRPr="00903864">
              <w:rPr>
                <w:rFonts w:ascii="Cambria" w:hAnsi="Cambria"/>
                <w:szCs w:val="22"/>
              </w:rPr>
              <w:t>Types of evidence that should be considered for CVST without thrombocytopenia</w:t>
            </w:r>
          </w:p>
        </w:tc>
      </w:tr>
      <w:tr w:rsidR="00517DA6" w:rsidRPr="00903864" w14:paraId="643D530C" w14:textId="77777777" w:rsidTr="00B101DB">
        <w:trPr>
          <w:cnfStyle w:val="100000000000" w:firstRow="1" w:lastRow="0" w:firstColumn="0" w:lastColumn="0" w:oddVBand="0" w:evenVBand="0" w:oddHBand="0" w:evenHBand="0" w:firstRowFirstColumn="0" w:firstRowLastColumn="0" w:lastRowFirstColumn="0" w:lastRowLastColumn="0"/>
          <w:trHeight w:val="509"/>
          <w:tblHeader/>
        </w:trPr>
        <w:tc>
          <w:tcPr>
            <w:cnfStyle w:val="001000000100" w:firstRow="0" w:lastRow="0" w:firstColumn="1" w:lastColumn="0" w:oddVBand="0" w:evenVBand="0" w:oddHBand="0" w:evenHBand="0" w:firstRowFirstColumn="1" w:firstRowLastColumn="0" w:lastRowFirstColumn="0" w:lastRowLastColumn="0"/>
            <w:tcW w:w="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73AE462" w14:textId="77777777" w:rsidR="00517DA6" w:rsidRPr="00903864" w:rsidRDefault="00517DA6" w:rsidP="00B101DB">
            <w:pPr>
              <w:rPr>
                <w:rStyle w:val="Strong"/>
                <w:rFonts w:cstheme="minorHAnsi"/>
                <w:b/>
                <w:bCs w:val="0"/>
                <w:color w:val="000000" w:themeColor="text1"/>
              </w:rPr>
            </w:pPr>
            <w:r w:rsidRPr="00903864">
              <w:rPr>
                <w:rStyle w:val="Strong"/>
                <w:rFonts w:cstheme="minorHAnsi"/>
                <w:bCs w:val="0"/>
                <w:color w:val="000000" w:themeColor="text1"/>
                <w:szCs w:val="22"/>
              </w:rPr>
              <w:t>Diagnosis</w:t>
            </w:r>
          </w:p>
          <w:p w14:paraId="1958416C" w14:textId="77777777" w:rsidR="00517DA6" w:rsidRPr="00903864" w:rsidRDefault="00517DA6" w:rsidP="00B101DB">
            <w:pPr>
              <w:rPr>
                <w:b w:val="0"/>
              </w:rPr>
            </w:pPr>
            <w:r w:rsidRPr="00903864">
              <w:rPr>
                <w:rFonts w:cstheme="minorHAnsi"/>
                <w:b w:val="0"/>
                <w:color w:val="000000" w:themeColor="text1"/>
                <w:szCs w:val="22"/>
              </w:rPr>
              <w:t>The patient has been diagnosed with a claimable medical condition(s) by a treating doctor in the relevant field of practice</w:t>
            </w:r>
          </w:p>
        </w:tc>
        <w:tc>
          <w:tcPr>
            <w:tcW w:w="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9D27A17" w14:textId="4C14E1DF" w:rsidR="00517DA6" w:rsidRPr="00903864" w:rsidRDefault="00517DA6" w:rsidP="00B101DB">
            <w:pPr>
              <w:cnfStyle w:val="100000000000" w:firstRow="1" w:lastRow="0" w:firstColumn="0" w:lastColumn="0" w:oddVBand="0" w:evenVBand="0" w:oddHBand="0" w:evenHBand="0" w:firstRowFirstColumn="0" w:firstRowLastColumn="0" w:lastRowFirstColumn="0" w:lastRowLastColumn="0"/>
              <w:rPr>
                <w:rFonts w:ascii="Cambria" w:hAnsi="Cambria"/>
                <w:b w:val="0"/>
                <w:bCs/>
                <w:color w:val="000000" w:themeColor="text1"/>
                <w:szCs w:val="22"/>
              </w:rPr>
            </w:pPr>
            <w:r w:rsidRPr="00903864">
              <w:rPr>
                <w:rFonts w:ascii="Cambria" w:hAnsi="Cambria"/>
                <w:b w:val="0"/>
                <w:bCs/>
                <w:color w:val="000000" w:themeColor="text1"/>
                <w:szCs w:val="22"/>
              </w:rPr>
              <w:t>The relevant fields of practice are Haematology</w:t>
            </w:r>
            <w:r w:rsidR="006B0285" w:rsidRPr="00903864">
              <w:rPr>
                <w:rFonts w:ascii="Cambria" w:hAnsi="Cambria"/>
                <w:b w:val="0"/>
                <w:bCs/>
                <w:color w:val="000000" w:themeColor="text1"/>
                <w:szCs w:val="22"/>
              </w:rPr>
              <w:t>,</w:t>
            </w:r>
            <w:r w:rsidRPr="00903864">
              <w:rPr>
                <w:rFonts w:ascii="Cambria" w:hAnsi="Cambria"/>
                <w:b w:val="0"/>
                <w:bCs/>
                <w:color w:val="000000" w:themeColor="text1"/>
                <w:szCs w:val="22"/>
              </w:rPr>
              <w:t xml:space="preserve"> Neurology</w:t>
            </w:r>
            <w:r w:rsidR="006B0285" w:rsidRPr="00903864">
              <w:rPr>
                <w:rFonts w:ascii="Cambria" w:hAnsi="Cambria"/>
                <w:b w:val="0"/>
                <w:bCs/>
                <w:color w:val="000000" w:themeColor="text1"/>
                <w:szCs w:val="22"/>
              </w:rPr>
              <w:t>,</w:t>
            </w:r>
            <w:r w:rsidR="00903864" w:rsidRPr="00903864">
              <w:rPr>
                <w:rFonts w:ascii="Cambria" w:hAnsi="Cambria"/>
                <w:b w:val="0"/>
                <w:bCs/>
                <w:color w:val="000000" w:themeColor="text1"/>
                <w:szCs w:val="22"/>
              </w:rPr>
              <w:t xml:space="preserve"> and, where clinically appropriate, Paediatrics (including General or subspecialty Paediatrics). </w:t>
            </w:r>
          </w:p>
          <w:p w14:paraId="4AA2A47D" w14:textId="77777777" w:rsidR="00517DA6" w:rsidRPr="00903864" w:rsidRDefault="00517DA6" w:rsidP="00B101DB">
            <w:pPr>
              <w:cnfStyle w:val="100000000000" w:firstRow="1" w:lastRow="0" w:firstColumn="0" w:lastColumn="0" w:oddVBand="0" w:evenVBand="0" w:oddHBand="0" w:evenHBand="0" w:firstRowFirstColumn="0" w:firstRowLastColumn="0" w:lastRowFirstColumn="0" w:lastRowLastColumn="0"/>
              <w:rPr>
                <w:rFonts w:ascii="Cambria" w:hAnsi="Cambria"/>
                <w:b w:val="0"/>
                <w:bCs/>
                <w:color w:val="000000" w:themeColor="text1"/>
                <w:szCs w:val="22"/>
              </w:rPr>
            </w:pPr>
            <w:r w:rsidRPr="00903864">
              <w:rPr>
                <w:rFonts w:ascii="Cambria" w:hAnsi="Cambria"/>
                <w:b w:val="0"/>
                <w:bCs/>
                <w:color w:val="000000" w:themeColor="text1"/>
                <w:szCs w:val="22"/>
              </w:rPr>
              <w:t xml:space="preserve">CVST is a rare condition of the neurovascular system which can be defined as thrombotic occlusion of the cerebral venous sinuses. CVST without thrombocytopenia refers to the presence of CVST without a concurrent low platelet count. CVST without thrombocytopenia is differentiated from CVST with thrombocytopenia, which may occur as a result of Thrombosis with Thrombocytopenia Syndrome (TTS). Symptoms of CVST without thrombocytopenia can include headache, visual changes, vomiting and seizures. CVST without thrombocytopenia is a serious </w:t>
            </w:r>
            <w:proofErr w:type="gramStart"/>
            <w:r w:rsidRPr="00903864">
              <w:rPr>
                <w:rFonts w:ascii="Cambria" w:hAnsi="Cambria"/>
                <w:b w:val="0"/>
                <w:bCs/>
                <w:color w:val="000000" w:themeColor="text1"/>
                <w:szCs w:val="22"/>
              </w:rPr>
              <w:t>condition, and</w:t>
            </w:r>
            <w:proofErr w:type="gramEnd"/>
            <w:r w:rsidRPr="00903864">
              <w:rPr>
                <w:rFonts w:ascii="Cambria" w:hAnsi="Cambria"/>
                <w:b w:val="0"/>
                <w:bCs/>
                <w:color w:val="000000" w:themeColor="text1"/>
                <w:szCs w:val="22"/>
              </w:rPr>
              <w:t xml:space="preserve"> can be fatal.</w:t>
            </w:r>
            <w:r w:rsidRPr="00903864">
              <w:rPr>
                <w:rStyle w:val="FootnoteReference"/>
                <w:rFonts w:ascii="Cambria" w:hAnsi="Cambria"/>
                <w:b w:val="0"/>
                <w:bCs/>
                <w:color w:val="000000" w:themeColor="text1"/>
                <w:szCs w:val="22"/>
              </w:rPr>
              <w:footnoteReference w:id="20"/>
            </w:r>
          </w:p>
          <w:p w14:paraId="5C8D2AF9" w14:textId="77777777" w:rsidR="00517DA6" w:rsidRPr="00903864" w:rsidRDefault="00517DA6" w:rsidP="00B101DB">
            <w:pPr>
              <w:cnfStyle w:val="100000000000" w:firstRow="1" w:lastRow="0" w:firstColumn="0" w:lastColumn="0" w:oddVBand="0" w:evenVBand="0" w:oddHBand="0" w:evenHBand="0" w:firstRowFirstColumn="0" w:firstRowLastColumn="0" w:lastRowFirstColumn="0" w:lastRowLastColumn="0"/>
              <w:rPr>
                <w:rFonts w:ascii="Cambria" w:hAnsi="Cambria"/>
                <w:b w:val="0"/>
                <w:bCs/>
                <w:color w:val="000000" w:themeColor="text1"/>
                <w:szCs w:val="22"/>
              </w:rPr>
            </w:pPr>
            <w:r w:rsidRPr="00903864">
              <w:rPr>
                <w:rFonts w:ascii="Cambria" w:hAnsi="Cambria"/>
                <w:b w:val="0"/>
                <w:bCs/>
                <w:color w:val="000000" w:themeColor="text1"/>
                <w:szCs w:val="22"/>
              </w:rPr>
              <w:t>Clinical information that should be outlined to support the diagnosis OR appropriate justification provided for absence of information:</w:t>
            </w:r>
          </w:p>
          <w:p w14:paraId="2EB66AF3" w14:textId="77777777" w:rsidR="00517DA6" w:rsidRPr="00903864" w:rsidRDefault="00517DA6" w:rsidP="00517DA6">
            <w:pPr>
              <w:pStyle w:val="ListParagraph"/>
              <w:numPr>
                <w:ilvl w:val="0"/>
                <w:numId w:val="13"/>
              </w:numPr>
              <w:cnfStyle w:val="100000000000" w:firstRow="1" w:lastRow="0" w:firstColumn="0" w:lastColumn="0" w:oddVBand="0" w:evenVBand="0" w:oddHBand="0" w:evenHBand="0" w:firstRowFirstColumn="0" w:firstRowLastColumn="0" w:lastRowFirstColumn="0" w:lastRowLastColumn="0"/>
              <w:rPr>
                <w:rFonts w:ascii="Cambria" w:hAnsi="Cambria"/>
                <w:b w:val="0"/>
                <w:bCs/>
                <w:color w:val="000000" w:themeColor="text1"/>
                <w:szCs w:val="22"/>
              </w:rPr>
            </w:pPr>
            <w:r w:rsidRPr="00903864">
              <w:rPr>
                <w:rFonts w:ascii="Cambria" w:hAnsi="Cambria"/>
                <w:b w:val="0"/>
                <w:bCs/>
                <w:color w:val="000000" w:themeColor="text1"/>
                <w:szCs w:val="22"/>
              </w:rPr>
              <w:t>Evidence of cerebral venous sinus thrombosis on imaging such as Computer Tomography scanning or Magnetic Resonance Imaging.</w:t>
            </w:r>
          </w:p>
          <w:p w14:paraId="2731B39C" w14:textId="77777777" w:rsidR="00517DA6" w:rsidRPr="00903864" w:rsidRDefault="00517DA6" w:rsidP="00517DA6">
            <w:pPr>
              <w:pStyle w:val="ListBullet"/>
              <w:numPr>
                <w:ilvl w:val="0"/>
                <w:numId w:val="13"/>
              </w:numPr>
              <w:tabs>
                <w:tab w:val="left" w:pos="720"/>
              </w:tabs>
              <w:cnfStyle w:val="100000000000" w:firstRow="1" w:lastRow="0" w:firstColumn="0" w:lastColumn="0" w:oddVBand="0" w:evenVBand="0" w:oddHBand="0" w:evenHBand="0" w:firstRowFirstColumn="0" w:firstRowLastColumn="0" w:lastRowFirstColumn="0" w:lastRowLastColumn="0"/>
              <w:rPr>
                <w:rFonts w:ascii="Cambria" w:hAnsi="Cambria"/>
                <w:b w:val="0"/>
                <w:bCs/>
                <w:color w:val="000000" w:themeColor="text1"/>
                <w:szCs w:val="22"/>
              </w:rPr>
            </w:pPr>
            <w:r w:rsidRPr="00903864">
              <w:rPr>
                <w:rFonts w:ascii="Cambria" w:hAnsi="Cambria"/>
                <w:b w:val="0"/>
                <w:bCs/>
                <w:color w:val="000000" w:themeColor="text1"/>
                <w:szCs w:val="22"/>
              </w:rPr>
              <w:t>No documented evidence of thrombocytopenia (platelet count &lt;150 x10</w:t>
            </w:r>
            <w:r w:rsidRPr="00903864">
              <w:rPr>
                <w:rFonts w:ascii="Cambria" w:hAnsi="Cambria"/>
                <w:b w:val="0"/>
                <w:bCs/>
                <w:color w:val="000000" w:themeColor="text1"/>
                <w:szCs w:val="22"/>
                <w:vertAlign w:val="superscript"/>
              </w:rPr>
              <w:t>9</w:t>
            </w:r>
            <w:r w:rsidRPr="00903864">
              <w:rPr>
                <w:rFonts w:ascii="Cambria" w:hAnsi="Cambria"/>
                <w:b w:val="0"/>
                <w:bCs/>
                <w:color w:val="000000" w:themeColor="text1"/>
                <w:szCs w:val="22"/>
              </w:rPr>
              <w:t>/L;) nor a significant fall in platelet count.</w:t>
            </w:r>
          </w:p>
          <w:p w14:paraId="38C43E84" w14:textId="3757E8FC" w:rsidR="00517DA6" w:rsidRPr="00903864" w:rsidRDefault="00517DA6" w:rsidP="00517DA6">
            <w:pPr>
              <w:pStyle w:val="ListBullet"/>
              <w:numPr>
                <w:ilvl w:val="0"/>
                <w:numId w:val="13"/>
              </w:numPr>
              <w:cnfStyle w:val="100000000000" w:firstRow="1" w:lastRow="0" w:firstColumn="0" w:lastColumn="0" w:oddVBand="0" w:evenVBand="0" w:oddHBand="0" w:evenHBand="0" w:firstRowFirstColumn="0" w:firstRowLastColumn="0" w:lastRowFirstColumn="0" w:lastRowLastColumn="0"/>
              <w:rPr>
                <w:rFonts w:ascii="Cambria" w:hAnsi="Cambria"/>
                <w:b w:val="0"/>
                <w:bCs/>
                <w:color w:val="000000" w:themeColor="text1"/>
                <w:szCs w:val="22"/>
              </w:rPr>
            </w:pPr>
            <w:r w:rsidRPr="00903864">
              <w:rPr>
                <w:rFonts w:ascii="Cambria" w:hAnsi="Cambria"/>
                <w:b w:val="0"/>
                <w:bCs/>
                <w:color w:val="000000" w:themeColor="text1"/>
                <w:szCs w:val="22"/>
              </w:rPr>
              <w:t>Onset 4-30 days post-vaccination</w:t>
            </w:r>
            <w:r w:rsidR="00963EBD">
              <w:rPr>
                <w:rFonts w:ascii="Cambria" w:hAnsi="Cambria"/>
                <w:b w:val="0"/>
                <w:bCs/>
                <w:color w:val="000000" w:themeColor="text1"/>
                <w:szCs w:val="22"/>
              </w:rPr>
              <w:t>.</w:t>
            </w:r>
            <w:r w:rsidRPr="00903864">
              <w:rPr>
                <w:rStyle w:val="FootnoteReference"/>
                <w:rFonts w:ascii="Cambria" w:hAnsi="Cambria"/>
                <w:b w:val="0"/>
                <w:bCs/>
                <w:color w:val="000000" w:themeColor="text1"/>
                <w:szCs w:val="22"/>
              </w:rPr>
              <w:footnoteReference w:id="21"/>
            </w:r>
          </w:p>
          <w:p w14:paraId="5B9F156F" w14:textId="4291E66F" w:rsidR="00517DA6" w:rsidRPr="00903864" w:rsidRDefault="00517DA6" w:rsidP="00517DA6">
            <w:pPr>
              <w:pStyle w:val="ListBullet"/>
              <w:numPr>
                <w:ilvl w:val="0"/>
                <w:numId w:val="13"/>
              </w:numPr>
              <w:cnfStyle w:val="100000000000" w:firstRow="1" w:lastRow="0" w:firstColumn="0" w:lastColumn="0" w:oddVBand="0" w:evenVBand="0" w:oddHBand="0" w:evenHBand="0" w:firstRowFirstColumn="0" w:firstRowLastColumn="0" w:lastRowFirstColumn="0" w:lastRowLastColumn="0"/>
              <w:rPr>
                <w:rFonts w:ascii="Cambria" w:hAnsi="Cambria"/>
                <w:b w:val="0"/>
                <w:bCs/>
                <w:color w:val="000000" w:themeColor="text1"/>
                <w:szCs w:val="22"/>
              </w:rPr>
            </w:pPr>
            <w:r w:rsidRPr="00903864">
              <w:rPr>
                <w:rFonts w:ascii="Cambria" w:hAnsi="Cambria"/>
                <w:b w:val="0"/>
                <w:bCs/>
                <w:color w:val="000000" w:themeColor="text1"/>
                <w:szCs w:val="22"/>
              </w:rPr>
              <w:t>Absence of other clear cause (for instance otitis media or intracranial malignancy)</w:t>
            </w:r>
            <w:r w:rsidR="00963EBD">
              <w:rPr>
                <w:rFonts w:ascii="Cambria" w:hAnsi="Cambria"/>
                <w:b w:val="0"/>
                <w:bCs/>
                <w:color w:val="000000" w:themeColor="text1"/>
                <w:szCs w:val="22"/>
              </w:rPr>
              <w:t>.</w:t>
            </w:r>
          </w:p>
          <w:p w14:paraId="0106281B" w14:textId="77777777" w:rsidR="00517DA6" w:rsidRPr="00903864" w:rsidRDefault="00517DA6" w:rsidP="00B101DB">
            <w:pPr>
              <w:cnfStyle w:val="100000000000" w:firstRow="1" w:lastRow="0" w:firstColumn="0" w:lastColumn="0" w:oddVBand="0" w:evenVBand="0" w:oddHBand="0" w:evenHBand="0" w:firstRowFirstColumn="0" w:firstRowLastColumn="0" w:lastRowFirstColumn="0" w:lastRowLastColumn="0"/>
              <w:rPr>
                <w:rFonts w:ascii="Cambria" w:hAnsi="Cambria"/>
                <w:b w:val="0"/>
                <w:color w:val="000000" w:themeColor="text1"/>
                <w:szCs w:val="22"/>
              </w:rPr>
            </w:pPr>
          </w:p>
        </w:tc>
      </w:tr>
    </w:tbl>
    <w:p w14:paraId="1FA7D8E4" w14:textId="77777777" w:rsidR="00517DA6" w:rsidRPr="00903864" w:rsidRDefault="00517DA6" w:rsidP="00517DA6">
      <w:pPr>
        <w:rPr>
          <w:rFonts w:ascii="Cambria" w:hAnsi="Cambria" w:cstheme="minorHAnsi"/>
        </w:rPr>
      </w:pPr>
    </w:p>
    <w:tbl>
      <w:tblPr>
        <w:tblStyle w:val="TableTGAblack"/>
        <w:tblpPr w:leftFromText="180" w:rightFromText="180" w:topFromText="60" w:vertAnchor="text" w:horzAnchor="margin" w:tblpY="14"/>
        <w:tblW w:w="4958" w:type="pct"/>
        <w:tblLook w:val="04A0" w:firstRow="1" w:lastRow="0" w:firstColumn="1" w:lastColumn="0" w:noHBand="0" w:noVBand="1"/>
      </w:tblPr>
      <w:tblGrid>
        <w:gridCol w:w="4204"/>
        <w:gridCol w:w="4736"/>
      </w:tblGrid>
      <w:tr w:rsidR="00517DA6" w:rsidRPr="00903864" w14:paraId="3D2D4F73" w14:textId="77777777" w:rsidTr="00B101DB">
        <w:trPr>
          <w:cnfStyle w:val="100000000000" w:firstRow="1" w:lastRow="0" w:firstColumn="0" w:lastColumn="0" w:oddVBand="0" w:evenVBand="0" w:oddHBand="0" w:evenHBand="0" w:firstRowFirstColumn="0" w:firstRowLastColumn="0" w:lastRowFirstColumn="0" w:lastRowLastColumn="0"/>
          <w:trHeight w:val="509"/>
          <w:tblHeader/>
        </w:trPr>
        <w:tc>
          <w:tcPr>
            <w:cnfStyle w:val="001000000100" w:firstRow="0" w:lastRow="0" w:firstColumn="1" w:lastColumn="0" w:oddVBand="0" w:evenVBand="0" w:oddHBand="0" w:evenHBand="0" w:firstRowFirstColumn="1" w:firstRowLastColumn="0" w:lastRowFirstColumn="0" w:lastRowLastColumn="0"/>
            <w:tcW w:w="235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538667E" w14:textId="77777777" w:rsidR="00517DA6" w:rsidRPr="00903864" w:rsidRDefault="00517DA6" w:rsidP="00B101DB">
            <w:pPr>
              <w:rPr>
                <w:rStyle w:val="Strong"/>
                <w:b/>
                <w:bCs w:val="0"/>
                <w:color w:val="000000"/>
              </w:rPr>
            </w:pPr>
            <w:r w:rsidRPr="00903864">
              <w:rPr>
                <w:rStyle w:val="Strong"/>
                <w:bCs w:val="0"/>
                <w:szCs w:val="22"/>
              </w:rPr>
              <w:lastRenderedPageBreak/>
              <w:t xml:space="preserve">Link to vaccination </w:t>
            </w:r>
          </w:p>
          <w:p w14:paraId="5FC0A412" w14:textId="77777777" w:rsidR="00517DA6" w:rsidRPr="00903864" w:rsidRDefault="00517DA6" w:rsidP="00B101DB">
            <w:pPr>
              <w:rPr>
                <w:rStyle w:val="Strong"/>
                <w:bCs w:val="0"/>
                <w:color w:val="000000" w:themeColor="text1"/>
                <w:szCs w:val="22"/>
              </w:rPr>
            </w:pPr>
            <w:r w:rsidRPr="00903864">
              <w:rPr>
                <w:b w:val="0"/>
                <w:color w:val="auto"/>
                <w:szCs w:val="22"/>
              </w:rPr>
              <w:t xml:space="preserve">Opinion that the most likely cause of the diagnosed condition(s) is COVID-19 vaccination </w:t>
            </w:r>
            <w:proofErr w:type="spellStart"/>
            <w:r w:rsidRPr="00903864">
              <w:rPr>
                <w:b w:val="0"/>
                <w:bCs/>
                <w:color w:val="auto"/>
                <w:szCs w:val="22"/>
              </w:rPr>
              <w:t>Vaxzevria</w:t>
            </w:r>
            <w:proofErr w:type="spellEnd"/>
            <w:r w:rsidRPr="00903864">
              <w:rPr>
                <w:b w:val="0"/>
                <w:bCs/>
                <w:color w:val="auto"/>
                <w:szCs w:val="22"/>
              </w:rPr>
              <w:t xml:space="preserve"> (AstraZeneca)</w:t>
            </w:r>
          </w:p>
        </w:tc>
        <w:tc>
          <w:tcPr>
            <w:tcW w:w="2649"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C633E7F" w14:textId="303B4449" w:rsidR="00517DA6" w:rsidRPr="0061550A" w:rsidRDefault="00517DA6" w:rsidP="00B101DB">
            <w:pPr>
              <w:cnfStyle w:val="100000000000" w:firstRow="1" w:lastRow="0" w:firstColumn="0" w:lastColumn="0" w:oddVBand="0" w:evenVBand="0" w:oddHBand="0" w:evenHBand="0" w:firstRowFirstColumn="0" w:firstRowLastColumn="0" w:lastRowFirstColumn="0" w:lastRowLastColumn="0"/>
              <w:rPr>
                <w:rFonts w:ascii="Cambria" w:hAnsi="Cambria"/>
                <w:b w:val="0"/>
                <w:bCs/>
                <w:color w:val="000000" w:themeColor="text1"/>
                <w:szCs w:val="22"/>
                <w:vertAlign w:val="superscript"/>
              </w:rPr>
            </w:pPr>
            <w:r w:rsidRPr="00903864">
              <w:rPr>
                <w:rFonts w:ascii="Cambria" w:hAnsi="Cambria"/>
                <w:b w:val="0"/>
                <w:bCs/>
                <w:color w:val="000000" w:themeColor="text1"/>
                <w:szCs w:val="22"/>
              </w:rPr>
              <w:t>Typical time to onset is between 4-16 days after vaccination, and less frequently 16-30 days.</w:t>
            </w:r>
          </w:p>
          <w:p w14:paraId="066186ED" w14:textId="77777777" w:rsidR="00517DA6" w:rsidRPr="00903864" w:rsidRDefault="00517DA6" w:rsidP="00B101DB">
            <w:pPr>
              <w:cnfStyle w:val="100000000000" w:firstRow="1" w:lastRow="0" w:firstColumn="0" w:lastColumn="0" w:oddVBand="0" w:evenVBand="0" w:oddHBand="0" w:evenHBand="0" w:firstRowFirstColumn="0" w:firstRowLastColumn="0" w:lastRowFirstColumn="0" w:lastRowLastColumn="0"/>
              <w:rPr>
                <w:rFonts w:ascii="Cambria" w:hAnsi="Cambria"/>
                <w:bCs/>
                <w:color w:val="000000" w:themeColor="text1"/>
                <w:szCs w:val="22"/>
              </w:rPr>
            </w:pPr>
            <w:r w:rsidRPr="00903864">
              <w:rPr>
                <w:rFonts w:ascii="Cambria" w:hAnsi="Cambria"/>
                <w:b w:val="0"/>
                <w:bCs/>
                <w:color w:val="000000" w:themeColor="text1"/>
                <w:szCs w:val="22"/>
              </w:rPr>
              <w:t xml:space="preserve">A link to CVST without thrombocytopenia following vaccination with </w:t>
            </w:r>
            <w:proofErr w:type="spellStart"/>
            <w:r w:rsidRPr="00903864">
              <w:rPr>
                <w:rFonts w:ascii="Cambria" w:hAnsi="Cambria"/>
                <w:b w:val="0"/>
                <w:bCs/>
                <w:color w:val="000000" w:themeColor="text1"/>
                <w:szCs w:val="22"/>
              </w:rPr>
              <w:t>Vaxzevria</w:t>
            </w:r>
            <w:proofErr w:type="spellEnd"/>
            <w:r w:rsidRPr="00903864">
              <w:rPr>
                <w:rFonts w:ascii="Cambria" w:hAnsi="Cambria"/>
                <w:b w:val="0"/>
                <w:bCs/>
                <w:color w:val="000000" w:themeColor="text1"/>
                <w:szCs w:val="22"/>
              </w:rPr>
              <w:t xml:space="preserve"> (AstraZeneca) has been established.</w:t>
            </w:r>
          </w:p>
          <w:p w14:paraId="40CABFCF" w14:textId="5CC6FC04" w:rsidR="00517DA6" w:rsidRPr="00903864" w:rsidRDefault="00517DA6" w:rsidP="00903864">
            <w:pPr>
              <w:cnfStyle w:val="100000000000" w:firstRow="1" w:lastRow="0" w:firstColumn="0" w:lastColumn="0" w:oddVBand="0" w:evenVBand="0" w:oddHBand="0" w:evenHBand="0" w:firstRowFirstColumn="0" w:firstRowLastColumn="0" w:lastRowFirstColumn="0" w:lastRowLastColumn="0"/>
              <w:rPr>
                <w:rFonts w:ascii="Cambria" w:hAnsi="Cambria"/>
                <w:b w:val="0"/>
                <w:bCs/>
                <w:color w:val="000000" w:themeColor="text1"/>
                <w:szCs w:val="22"/>
              </w:rPr>
            </w:pPr>
            <w:r w:rsidRPr="00903864">
              <w:rPr>
                <w:rFonts w:ascii="Cambria" w:hAnsi="Cambria"/>
                <w:b w:val="0"/>
                <w:bCs/>
                <w:color w:val="000000" w:themeColor="text1"/>
                <w:szCs w:val="22"/>
              </w:rPr>
              <w:t xml:space="preserve">Causes other than the vaccination received by the claimant may </w:t>
            </w:r>
            <w:proofErr w:type="gramStart"/>
            <w:r w:rsidRPr="00903864">
              <w:rPr>
                <w:rFonts w:ascii="Cambria" w:hAnsi="Cambria"/>
                <w:b w:val="0"/>
                <w:bCs/>
                <w:color w:val="000000" w:themeColor="text1"/>
                <w:szCs w:val="22"/>
              </w:rPr>
              <w:t>include, but</w:t>
            </w:r>
            <w:proofErr w:type="gramEnd"/>
            <w:r w:rsidRPr="00903864">
              <w:rPr>
                <w:rFonts w:ascii="Cambria" w:hAnsi="Cambria"/>
                <w:b w:val="0"/>
                <w:bCs/>
                <w:color w:val="000000" w:themeColor="text1"/>
                <w:szCs w:val="22"/>
              </w:rPr>
              <w:t xml:space="preserve"> are not limited to: vasculitis and other autoimmune conditions, inherited or acquired thrombophilia, known risk factors for venous thromboembolism and pathology involving the central nervous system and head and neck including infection, inflammation, malignancy and trauma. These other potential causes should be addressed by the Reporting or Treating Practitioner when seeking to establish causation.</w:t>
            </w:r>
          </w:p>
        </w:tc>
      </w:tr>
    </w:tbl>
    <w:p w14:paraId="0E4DD429" w14:textId="77777777" w:rsidR="00517DA6" w:rsidRPr="00903864" w:rsidRDefault="00517DA6" w:rsidP="001D7C0B">
      <w:pPr>
        <w:pStyle w:val="Heading3"/>
        <w:rPr>
          <w:rFonts w:ascii="Cambria" w:hAnsi="Cambria"/>
        </w:rPr>
      </w:pPr>
      <w:bookmarkStart w:id="63" w:name="_Toc121208324"/>
      <w:bookmarkStart w:id="64" w:name="_Toc153956567"/>
      <w:r w:rsidRPr="00903864">
        <w:rPr>
          <w:rFonts w:ascii="Cambria" w:hAnsi="Cambria"/>
        </w:rPr>
        <w:t xml:space="preserve">Resources for CVST without </w:t>
      </w:r>
      <w:bookmarkEnd w:id="63"/>
      <w:r w:rsidRPr="00903864">
        <w:rPr>
          <w:rFonts w:ascii="Cambria" w:hAnsi="Cambria"/>
        </w:rPr>
        <w:t>thrombocytopenia</w:t>
      </w:r>
      <w:bookmarkEnd w:id="64"/>
    </w:p>
    <w:p w14:paraId="5AD0D327" w14:textId="77777777" w:rsidR="00517DA6" w:rsidRPr="00903864" w:rsidRDefault="00517DA6" w:rsidP="00517DA6">
      <w:pPr>
        <w:pStyle w:val="ListNumber"/>
        <w:numPr>
          <w:ilvl w:val="0"/>
          <w:numId w:val="14"/>
        </w:numPr>
        <w:rPr>
          <w:rFonts w:ascii="Cambria" w:hAnsi="Cambria" w:cstheme="minorHAnsi"/>
        </w:rPr>
      </w:pPr>
      <w:r w:rsidRPr="00903864">
        <w:rPr>
          <w:rFonts w:ascii="Cambria" w:hAnsi="Cambria" w:cstheme="minorHAnsi"/>
        </w:rPr>
        <w:t xml:space="preserve">The Australian Technical Advisory Group on Immunisation (ATAGI) published clinical guidance on COVID-19 </w:t>
      </w:r>
      <w:proofErr w:type="gramStart"/>
      <w:r w:rsidRPr="00903864">
        <w:rPr>
          <w:rFonts w:ascii="Cambria" w:hAnsi="Cambria" w:cstheme="minorHAnsi"/>
        </w:rPr>
        <w:t>vaccines</w:t>
      </w:r>
      <w:proofErr w:type="gramEnd"/>
      <w:r w:rsidRPr="00903864">
        <w:rPr>
          <w:rFonts w:ascii="Cambria" w:hAnsi="Cambria" w:cstheme="minorHAnsi"/>
        </w:rPr>
        <w:t xml:space="preserve"> </w:t>
      </w:r>
    </w:p>
    <w:p w14:paraId="18416A18" w14:textId="5FCB1E58" w:rsidR="00517DA6" w:rsidRPr="00903864" w:rsidRDefault="00D10C2A" w:rsidP="00656F3B">
      <w:pPr>
        <w:pStyle w:val="ListNumber"/>
        <w:numPr>
          <w:ilvl w:val="0"/>
          <w:numId w:val="0"/>
        </w:numPr>
        <w:ind w:left="720"/>
        <w:rPr>
          <w:rFonts w:ascii="Cambria" w:hAnsi="Cambria" w:cstheme="minorHAnsi"/>
        </w:rPr>
      </w:pPr>
      <w:hyperlink r:id="rId39" w:history="1">
        <w:r w:rsidR="00656F3B" w:rsidRPr="00744566">
          <w:rPr>
            <w:rStyle w:val="Hyperlink"/>
            <w:rFonts w:ascii="Cambria" w:hAnsi="Cambria" w:cstheme="minorHAnsi"/>
          </w:rPr>
          <w:t>https://www.health.gov.au/sites/default/files/documents/2021/10/covid-19-vaccination-atagi-clinical-guidance-on-covid-19-vaccine-in-australia-in-2021.pdf</w:t>
        </w:r>
      </w:hyperlink>
    </w:p>
    <w:p w14:paraId="1138EC5F" w14:textId="77777777" w:rsidR="00517DA6" w:rsidRPr="00903864" w:rsidRDefault="00517DA6" w:rsidP="001D7C0B">
      <w:pPr>
        <w:pStyle w:val="Heading3"/>
        <w:rPr>
          <w:rFonts w:ascii="Cambria" w:hAnsi="Cambria"/>
        </w:rPr>
      </w:pPr>
      <w:bookmarkStart w:id="65" w:name="_Toc121208325"/>
      <w:bookmarkStart w:id="66" w:name="_Toc131405291"/>
      <w:bookmarkStart w:id="67" w:name="_Toc153956568"/>
      <w:r w:rsidRPr="00903864">
        <w:rPr>
          <w:rFonts w:ascii="Cambria" w:hAnsi="Cambria"/>
        </w:rPr>
        <w:t>Product Information</w:t>
      </w:r>
      <w:bookmarkEnd w:id="65"/>
      <w:bookmarkEnd w:id="66"/>
      <w:bookmarkEnd w:id="67"/>
    </w:p>
    <w:p w14:paraId="4FD0B773" w14:textId="77777777" w:rsidR="00517DA6" w:rsidRPr="00903864" w:rsidRDefault="00D10C2A" w:rsidP="00517DA6">
      <w:pPr>
        <w:pStyle w:val="ListBullet"/>
        <w:ind w:left="357" w:hanging="357"/>
        <w:rPr>
          <w:rStyle w:val="Hyperlink"/>
          <w:rFonts w:ascii="Cambria" w:hAnsi="Cambria" w:cstheme="minorHAnsi"/>
        </w:rPr>
      </w:pPr>
      <w:hyperlink r:id="rId40" w:history="1">
        <w:r w:rsidR="00517DA6" w:rsidRPr="00903864">
          <w:rPr>
            <w:rStyle w:val="Hyperlink"/>
            <w:rFonts w:ascii="Cambria" w:hAnsi="Cambria" w:cstheme="minorHAnsi"/>
          </w:rPr>
          <w:t xml:space="preserve">Product Information </w:t>
        </w:r>
        <w:proofErr w:type="spellStart"/>
        <w:r w:rsidR="00517DA6" w:rsidRPr="00903864">
          <w:rPr>
            <w:rStyle w:val="Hyperlink"/>
            <w:rFonts w:ascii="Cambria" w:hAnsi="Cambria" w:cstheme="minorHAnsi"/>
          </w:rPr>
          <w:t>Vaxzevria</w:t>
        </w:r>
        <w:proofErr w:type="spellEnd"/>
        <w:r w:rsidR="00517DA6" w:rsidRPr="00903864">
          <w:rPr>
            <w:rStyle w:val="Hyperlink"/>
            <w:rFonts w:ascii="Cambria" w:hAnsi="Cambria" w:cstheme="minorHAnsi"/>
          </w:rPr>
          <w:t xml:space="preserve"> (AstraZeneca)</w:t>
        </w:r>
      </w:hyperlink>
    </w:p>
    <w:p w14:paraId="151AA6CC" w14:textId="77777777" w:rsidR="00517DA6" w:rsidRPr="00903864" w:rsidRDefault="00517DA6" w:rsidP="00517DA6">
      <w:pPr>
        <w:pStyle w:val="ListBullet"/>
        <w:numPr>
          <w:ilvl w:val="0"/>
          <w:numId w:val="0"/>
        </w:numPr>
        <w:ind w:left="357"/>
        <w:rPr>
          <w:rStyle w:val="Hyperlink"/>
          <w:rFonts w:ascii="Cambria" w:hAnsi="Cambria" w:cstheme="minorHAnsi"/>
        </w:rPr>
      </w:pPr>
    </w:p>
    <w:p w14:paraId="3A7DA8CA" w14:textId="77777777" w:rsidR="00517DA6" w:rsidRPr="00903864" w:rsidRDefault="00517DA6" w:rsidP="001D7C0B">
      <w:pPr>
        <w:pStyle w:val="Heading2"/>
        <w:numPr>
          <w:ilvl w:val="0"/>
          <w:numId w:val="1"/>
        </w:numPr>
        <w:rPr>
          <w:rFonts w:ascii="Cambria" w:hAnsi="Cambria"/>
        </w:rPr>
      </w:pPr>
      <w:bookmarkStart w:id="68" w:name="_Toc153956569"/>
      <w:r w:rsidRPr="00903864">
        <w:rPr>
          <w:rFonts w:ascii="Cambria" w:hAnsi="Cambria"/>
        </w:rPr>
        <w:t>Erythema Multiforme Major</w:t>
      </w:r>
      <w:bookmarkEnd w:id="68"/>
    </w:p>
    <w:p w14:paraId="01C12E92" w14:textId="77777777" w:rsidR="00517DA6" w:rsidRPr="00903864" w:rsidRDefault="00517DA6" w:rsidP="00517DA6">
      <w:pPr>
        <w:rPr>
          <w:rFonts w:ascii="Cambria" w:hAnsi="Cambria" w:cstheme="minorHAnsi"/>
        </w:rPr>
      </w:pPr>
      <w:r w:rsidRPr="00903864">
        <w:rPr>
          <w:rFonts w:ascii="Cambria" w:hAnsi="Cambria" w:cstheme="minorHAnsi"/>
        </w:rPr>
        <w:t>Points to consider for claims including Erythema Multiforme Major:</w:t>
      </w:r>
    </w:p>
    <w:tbl>
      <w:tblPr>
        <w:tblStyle w:val="TableTGAblack"/>
        <w:tblpPr w:leftFromText="180" w:rightFromText="180" w:topFromText="60" w:vertAnchor="text" w:horzAnchor="margin" w:tblpY="740"/>
        <w:tblW w:w="4971" w:type="pct"/>
        <w:tblLook w:val="06A0" w:firstRow="1" w:lastRow="0" w:firstColumn="1" w:lastColumn="0" w:noHBand="1" w:noVBand="1"/>
      </w:tblPr>
      <w:tblGrid>
        <w:gridCol w:w="4288"/>
        <w:gridCol w:w="4676"/>
      </w:tblGrid>
      <w:tr w:rsidR="00517DA6" w:rsidRPr="00903864" w14:paraId="08C95297" w14:textId="77777777" w:rsidTr="00B101DB">
        <w:trPr>
          <w:cnfStyle w:val="100000000000" w:firstRow="1" w:lastRow="0" w:firstColumn="0" w:lastColumn="0" w:oddVBand="0" w:evenVBand="0" w:oddHBand="0" w:evenHBand="0" w:firstRowFirstColumn="0" w:firstRowLastColumn="0" w:lastRowFirstColumn="0" w:lastRowLastColumn="0"/>
          <w:trHeight w:val="193"/>
          <w:tblHeader/>
        </w:trPr>
        <w:tc>
          <w:tcPr>
            <w:cnfStyle w:val="001000000100" w:firstRow="0" w:lastRow="0" w:firstColumn="1" w:lastColumn="0" w:oddVBand="0" w:evenVBand="0" w:oddHBand="0" w:evenHBand="0" w:firstRowFirstColumn="1" w:firstRowLastColumn="0" w:lastRowFirstColumn="0" w:lastRowLastColumn="0"/>
            <w:tcW w:w="0" w:type="pct"/>
            <w:tcBorders>
              <w:top w:val="single" w:sz="4" w:space="0" w:color="000000"/>
              <w:left w:val="single" w:sz="4" w:space="0" w:color="000000"/>
              <w:bottom w:val="single" w:sz="4" w:space="0" w:color="000000"/>
              <w:right w:val="single" w:sz="4" w:space="0" w:color="000000"/>
            </w:tcBorders>
            <w:hideMark/>
          </w:tcPr>
          <w:p w14:paraId="6B243AB4" w14:textId="77777777" w:rsidR="00517DA6" w:rsidRPr="00903864" w:rsidRDefault="00517DA6" w:rsidP="00B101DB">
            <w:pPr>
              <w:widowControl w:val="0"/>
            </w:pPr>
            <w:r w:rsidRPr="00903864">
              <w:t>Evidence requirement</w:t>
            </w:r>
          </w:p>
        </w:tc>
        <w:tc>
          <w:tcPr>
            <w:tcW w:w="0" w:type="pct"/>
            <w:tcBorders>
              <w:top w:val="single" w:sz="4" w:space="0" w:color="000000"/>
              <w:left w:val="single" w:sz="4" w:space="0" w:color="000000"/>
              <w:bottom w:val="single" w:sz="4" w:space="0" w:color="000000"/>
              <w:right w:val="single" w:sz="4" w:space="0" w:color="000000"/>
            </w:tcBorders>
            <w:hideMark/>
          </w:tcPr>
          <w:p w14:paraId="67ECF6EA" w14:textId="77777777" w:rsidR="00517DA6" w:rsidRPr="00903864" w:rsidRDefault="00517DA6" w:rsidP="00B101DB">
            <w:pPr>
              <w:widowControl w:val="0"/>
              <w:cnfStyle w:val="100000000000" w:firstRow="1" w:lastRow="0" w:firstColumn="0" w:lastColumn="0" w:oddVBand="0" w:evenVBand="0" w:oddHBand="0" w:evenHBand="0" w:firstRowFirstColumn="0" w:firstRowLastColumn="0" w:lastRowFirstColumn="0" w:lastRowLastColumn="0"/>
              <w:rPr>
                <w:rFonts w:ascii="Cambria" w:hAnsi="Cambria"/>
                <w:b w:val="0"/>
                <w:bCs/>
              </w:rPr>
            </w:pPr>
            <w:r w:rsidRPr="00903864">
              <w:rPr>
                <w:rFonts w:ascii="Cambria" w:hAnsi="Cambria"/>
                <w:bCs/>
              </w:rPr>
              <w:t>Types of evidence that should be considered for Erythema Multiforme Major</w:t>
            </w:r>
          </w:p>
        </w:tc>
      </w:tr>
      <w:tr w:rsidR="00517DA6" w:rsidRPr="00903864" w14:paraId="790442C4" w14:textId="77777777" w:rsidTr="00B101DB">
        <w:trPr>
          <w:trHeight w:val="193"/>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000000"/>
              <w:left w:val="single" w:sz="4" w:space="0" w:color="000000"/>
              <w:bottom w:val="single" w:sz="4" w:space="0" w:color="000000"/>
              <w:right w:val="single" w:sz="4" w:space="0" w:color="000000"/>
            </w:tcBorders>
            <w:hideMark/>
          </w:tcPr>
          <w:p w14:paraId="2E722DB1" w14:textId="77777777" w:rsidR="00517DA6" w:rsidRPr="00903864" w:rsidRDefault="00517DA6" w:rsidP="00B101DB">
            <w:pPr>
              <w:widowControl w:val="0"/>
              <w:rPr>
                <w:rStyle w:val="Strong"/>
                <w:color w:val="000000" w:themeColor="text1"/>
              </w:rPr>
            </w:pPr>
            <w:r w:rsidRPr="00903864">
              <w:rPr>
                <w:rStyle w:val="Strong"/>
                <w:color w:val="000000" w:themeColor="text1"/>
              </w:rPr>
              <w:t>Diagnosis</w:t>
            </w:r>
          </w:p>
          <w:p w14:paraId="6D4FBA09" w14:textId="77777777" w:rsidR="00517DA6" w:rsidRPr="00903864" w:rsidRDefault="00517DA6" w:rsidP="00B101DB">
            <w:pPr>
              <w:widowControl w:val="0"/>
              <w:rPr>
                <w:bCs/>
                <w:color w:val="000000" w:themeColor="text1"/>
              </w:rPr>
            </w:pPr>
            <w:r w:rsidRPr="00903864">
              <w:rPr>
                <w:bCs/>
                <w:color w:val="000000" w:themeColor="text1"/>
              </w:rPr>
              <w:t xml:space="preserve">The patient has been diagnosed with a claimable medical condition(s) by a treating doctor in the relevant field of </w:t>
            </w:r>
            <w:proofErr w:type="gramStart"/>
            <w:r w:rsidRPr="00903864">
              <w:rPr>
                <w:bCs/>
                <w:color w:val="000000" w:themeColor="text1"/>
              </w:rPr>
              <w:t>practice</w:t>
            </w:r>
            <w:proofErr w:type="gramEnd"/>
          </w:p>
          <w:p w14:paraId="26A0EA33" w14:textId="77777777" w:rsidR="00517DA6" w:rsidRPr="00903864" w:rsidRDefault="00517DA6" w:rsidP="00B101DB">
            <w:pPr>
              <w:widowControl w:val="0"/>
              <w:rPr>
                <w:b/>
                <w:bCs/>
                <w:color w:val="000000" w:themeColor="text1"/>
              </w:rPr>
            </w:pPr>
          </w:p>
          <w:p w14:paraId="064574FB" w14:textId="77777777" w:rsidR="00517DA6" w:rsidRPr="00903864" w:rsidRDefault="00517DA6" w:rsidP="00B101DB">
            <w:pPr>
              <w:widowControl w:val="0"/>
              <w:rPr>
                <w:b/>
                <w:bCs/>
              </w:rPr>
            </w:pPr>
          </w:p>
        </w:tc>
        <w:tc>
          <w:tcPr>
            <w:tcW w:w="0" w:type="pct"/>
            <w:tcBorders>
              <w:top w:val="single" w:sz="4" w:space="0" w:color="000000"/>
              <w:left w:val="single" w:sz="4" w:space="0" w:color="000000"/>
              <w:bottom w:val="single" w:sz="4" w:space="0" w:color="000000"/>
              <w:right w:val="single" w:sz="4" w:space="0" w:color="000000"/>
            </w:tcBorders>
          </w:tcPr>
          <w:p w14:paraId="31A57B7B" w14:textId="6736F3C5" w:rsidR="00517DA6" w:rsidRPr="00903864" w:rsidRDefault="00517DA6" w:rsidP="00B101DB">
            <w:pPr>
              <w:widowControl w:val="0"/>
              <w:cnfStyle w:val="000000000000" w:firstRow="0" w:lastRow="0" w:firstColumn="0" w:lastColumn="0" w:oddVBand="0" w:evenVBand="0" w:oddHBand="0" w:evenHBand="0" w:firstRowFirstColumn="0" w:firstRowLastColumn="0" w:lastRowFirstColumn="0" w:lastRowLastColumn="0"/>
              <w:rPr>
                <w:b/>
                <w:bCs/>
                <w:color w:val="000000" w:themeColor="text1"/>
              </w:rPr>
            </w:pPr>
            <w:r w:rsidRPr="00903864">
              <w:rPr>
                <w:bCs/>
                <w:color w:val="000000" w:themeColor="text1"/>
              </w:rPr>
              <w:t>The relevant fields of practice are Dermatology</w:t>
            </w:r>
            <w:r w:rsidR="006B0285" w:rsidRPr="00903864">
              <w:rPr>
                <w:bCs/>
                <w:color w:val="000000" w:themeColor="text1"/>
              </w:rPr>
              <w:t>,</w:t>
            </w:r>
            <w:r w:rsidRPr="00903864">
              <w:rPr>
                <w:bCs/>
                <w:color w:val="000000" w:themeColor="text1"/>
              </w:rPr>
              <w:t xml:space="preserve"> Immunology</w:t>
            </w:r>
            <w:r w:rsidR="006B0285" w:rsidRPr="00903864">
              <w:rPr>
                <w:bCs/>
                <w:color w:val="000000" w:themeColor="text1"/>
              </w:rPr>
              <w:t>,</w:t>
            </w:r>
            <w:r w:rsidRPr="00903864">
              <w:rPr>
                <w:bCs/>
                <w:color w:val="000000" w:themeColor="text1"/>
              </w:rPr>
              <w:t xml:space="preserve"> </w:t>
            </w:r>
            <w:r w:rsidR="006B0285" w:rsidRPr="00903864">
              <w:rPr>
                <w:bCs/>
                <w:color w:val="000000" w:themeColor="text1"/>
              </w:rPr>
              <w:t>and, where clinically appropriate, Paediatrics (including General or subspecial</w:t>
            </w:r>
            <w:r w:rsidR="004B3B98" w:rsidRPr="00903864">
              <w:rPr>
                <w:bCs/>
                <w:color w:val="000000" w:themeColor="text1"/>
              </w:rPr>
              <w:t>ty</w:t>
            </w:r>
            <w:r w:rsidR="006B0285" w:rsidRPr="00903864">
              <w:rPr>
                <w:bCs/>
                <w:color w:val="000000" w:themeColor="text1"/>
              </w:rPr>
              <w:t xml:space="preserve"> Paediatric</w:t>
            </w:r>
            <w:r w:rsidR="004B3B98" w:rsidRPr="00903864">
              <w:rPr>
                <w:bCs/>
                <w:color w:val="000000" w:themeColor="text1"/>
              </w:rPr>
              <w:t>s</w:t>
            </w:r>
            <w:r w:rsidR="006B0285" w:rsidRPr="00903864">
              <w:rPr>
                <w:bCs/>
                <w:color w:val="000000" w:themeColor="text1"/>
              </w:rPr>
              <w:t>)</w:t>
            </w:r>
            <w:r w:rsidRPr="00903864">
              <w:rPr>
                <w:bCs/>
                <w:color w:val="000000" w:themeColor="text1"/>
              </w:rPr>
              <w:t xml:space="preserve">. </w:t>
            </w:r>
          </w:p>
          <w:p w14:paraId="347EDD4C" w14:textId="4232AAC0" w:rsidR="00517DA6" w:rsidRPr="00903864" w:rsidRDefault="00517DA6" w:rsidP="00B101DB">
            <w:pPr>
              <w:widowControl w:val="0"/>
              <w:cnfStyle w:val="000000000000" w:firstRow="0" w:lastRow="0" w:firstColumn="0" w:lastColumn="0" w:oddVBand="0" w:evenVBand="0" w:oddHBand="0" w:evenHBand="0" w:firstRowFirstColumn="0" w:firstRowLastColumn="0" w:lastRowFirstColumn="0" w:lastRowLastColumn="0"/>
              <w:rPr>
                <w:bCs/>
                <w:color w:val="000000" w:themeColor="text1"/>
              </w:rPr>
            </w:pPr>
            <w:r w:rsidRPr="00903864">
              <w:rPr>
                <w:bCs/>
                <w:color w:val="000000" w:themeColor="text1"/>
              </w:rPr>
              <w:t xml:space="preserve">Erythema multiforme is an acute disorder of the mucocutaneous system </w:t>
            </w:r>
            <w:r w:rsidRPr="00903864">
              <w:rPr>
                <w:bCs/>
                <w:color w:val="000000" w:themeColor="text1"/>
              </w:rPr>
              <w:lastRenderedPageBreak/>
              <w:t>characterised by distinct, target-like lesions present on the skin. It is mediated by the immune system. It can be caused by medications and infections but has also been reported after vaccinations.</w:t>
            </w:r>
            <w:r w:rsidRPr="00903864">
              <w:rPr>
                <w:rStyle w:val="FootnoteReference"/>
                <w:bCs/>
                <w:color w:val="000000" w:themeColor="text1"/>
              </w:rPr>
              <w:footnoteReference w:id="22"/>
            </w:r>
            <w:r w:rsidRPr="00903864">
              <w:rPr>
                <w:bCs/>
                <w:color w:val="000000" w:themeColor="text1"/>
              </w:rPr>
              <w:t xml:space="preserve"> Erythema multiforme can be separated into erythema multiforme minor (80% of cases) and erythema multiforme major (20% of cases). </w:t>
            </w:r>
          </w:p>
          <w:p w14:paraId="01FC8E9F" w14:textId="5FFFFA30" w:rsidR="00517DA6" w:rsidRPr="00903864" w:rsidRDefault="00517DA6" w:rsidP="00B101DB">
            <w:pPr>
              <w:widowControl w:val="0"/>
              <w:cnfStyle w:val="000000000000" w:firstRow="0" w:lastRow="0" w:firstColumn="0" w:lastColumn="0" w:oddVBand="0" w:evenVBand="0" w:oddHBand="0" w:evenHBand="0" w:firstRowFirstColumn="0" w:firstRowLastColumn="0" w:lastRowFirstColumn="0" w:lastRowLastColumn="0"/>
              <w:rPr>
                <w:bCs/>
                <w:color w:val="000000" w:themeColor="text1"/>
              </w:rPr>
            </w:pPr>
            <w:r w:rsidRPr="00903864">
              <w:rPr>
                <w:bCs/>
                <w:color w:val="000000" w:themeColor="text1"/>
              </w:rPr>
              <w:t>Erythema multiforme major is a more severe disease with increased involvement of the mucosa compared to erythema multiforme minor. Erythema multiforme major is the claimable condition referred to in this document.</w:t>
            </w:r>
          </w:p>
          <w:p w14:paraId="50F80D5A" w14:textId="77777777" w:rsidR="00517DA6" w:rsidRPr="00903864" w:rsidRDefault="00517DA6" w:rsidP="00B101DB">
            <w:pPr>
              <w:widowControl w:val="0"/>
              <w:cnfStyle w:val="000000000000" w:firstRow="0" w:lastRow="0" w:firstColumn="0" w:lastColumn="0" w:oddVBand="0" w:evenVBand="0" w:oddHBand="0" w:evenHBand="0" w:firstRowFirstColumn="0" w:firstRowLastColumn="0" w:lastRowFirstColumn="0" w:lastRowLastColumn="0"/>
              <w:rPr>
                <w:b/>
                <w:bCs/>
                <w:color w:val="000000" w:themeColor="text1"/>
              </w:rPr>
            </w:pPr>
            <w:r w:rsidRPr="00903864">
              <w:rPr>
                <w:bCs/>
                <w:color w:val="000000" w:themeColor="text1"/>
              </w:rPr>
              <w:t>Clinical information that should be outlined to support the diagnosis OR appropriate justification provided for absence of information:</w:t>
            </w:r>
          </w:p>
          <w:p w14:paraId="57251A40" w14:textId="77777777" w:rsidR="00517DA6" w:rsidRPr="00903864" w:rsidRDefault="00517DA6" w:rsidP="00517DA6">
            <w:pPr>
              <w:pStyle w:val="ListBullet"/>
              <w:widowControl w:val="0"/>
              <w:ind w:left="357" w:hanging="357"/>
              <w:cnfStyle w:val="000000000000" w:firstRow="0" w:lastRow="0" w:firstColumn="0" w:lastColumn="0" w:oddVBand="0" w:evenVBand="0" w:oddHBand="0" w:evenHBand="0" w:firstRowFirstColumn="0" w:firstRowLastColumn="0" w:lastRowFirstColumn="0" w:lastRowLastColumn="0"/>
              <w:rPr>
                <w:bCs/>
                <w:color w:val="000000" w:themeColor="text1"/>
              </w:rPr>
            </w:pPr>
            <w:r w:rsidRPr="00903864">
              <w:rPr>
                <w:bCs/>
                <w:color w:val="000000" w:themeColor="text1"/>
              </w:rPr>
              <w:t xml:space="preserve">Characteristic lesions of either or both mucosa and skin present. </w:t>
            </w:r>
          </w:p>
          <w:p w14:paraId="456CF0F3" w14:textId="77777777" w:rsidR="00517DA6" w:rsidRPr="00903864" w:rsidRDefault="00517DA6" w:rsidP="00517DA6">
            <w:pPr>
              <w:pStyle w:val="ListBullet"/>
              <w:widowControl w:val="0"/>
              <w:ind w:left="357" w:hanging="357"/>
              <w:cnfStyle w:val="000000000000" w:firstRow="0" w:lastRow="0" w:firstColumn="0" w:lastColumn="0" w:oddVBand="0" w:evenVBand="0" w:oddHBand="0" w:evenHBand="0" w:firstRowFirstColumn="0" w:firstRowLastColumn="0" w:lastRowFirstColumn="0" w:lastRowLastColumn="0"/>
              <w:rPr>
                <w:bCs/>
                <w:color w:val="000000" w:themeColor="text1"/>
              </w:rPr>
            </w:pPr>
            <w:r w:rsidRPr="00903864">
              <w:rPr>
                <w:bCs/>
                <w:color w:val="000000" w:themeColor="text1"/>
              </w:rPr>
              <w:t xml:space="preserve">It is noted that sometimes a diagnosis of Erythema Multiforme Major may be made in the absence of cutaneous involvement – this should be explicitly stated by the Treating or Reporting Practitioner.  </w:t>
            </w:r>
          </w:p>
          <w:p w14:paraId="7F648319" w14:textId="77777777" w:rsidR="00517DA6" w:rsidRPr="00903864" w:rsidRDefault="00517DA6" w:rsidP="00517DA6">
            <w:pPr>
              <w:pStyle w:val="ListBullet"/>
              <w:widowControl w:val="0"/>
              <w:ind w:left="357" w:hanging="357"/>
              <w:cnfStyle w:val="000000000000" w:firstRow="0" w:lastRow="0" w:firstColumn="0" w:lastColumn="0" w:oddVBand="0" w:evenVBand="0" w:oddHBand="0" w:evenHBand="0" w:firstRowFirstColumn="0" w:firstRowLastColumn="0" w:lastRowFirstColumn="0" w:lastRowLastColumn="0"/>
              <w:rPr>
                <w:b/>
                <w:bCs/>
                <w:color w:val="000000" w:themeColor="text1"/>
              </w:rPr>
            </w:pPr>
            <w:r w:rsidRPr="00903864">
              <w:rPr>
                <w:bCs/>
                <w:color w:val="000000" w:themeColor="text1"/>
              </w:rPr>
              <w:t xml:space="preserve">Explanation that the claimant’s presentation constitutes Erythema Multiforme Major and not Erythema Multiforme Minor; and </w:t>
            </w:r>
          </w:p>
          <w:p w14:paraId="4E065AB4" w14:textId="77777777" w:rsidR="00517DA6" w:rsidRPr="00903864" w:rsidRDefault="00517DA6" w:rsidP="00517DA6">
            <w:pPr>
              <w:pStyle w:val="ListBullet"/>
              <w:widowControl w:val="0"/>
              <w:ind w:left="357" w:hanging="357"/>
              <w:cnfStyle w:val="000000000000" w:firstRow="0" w:lastRow="0" w:firstColumn="0" w:lastColumn="0" w:oddVBand="0" w:evenVBand="0" w:oddHBand="0" w:evenHBand="0" w:firstRowFirstColumn="0" w:firstRowLastColumn="0" w:lastRowFirstColumn="0" w:lastRowLastColumn="0"/>
              <w:rPr>
                <w:b/>
                <w:bCs/>
                <w:color w:val="000000" w:themeColor="text1"/>
              </w:rPr>
            </w:pPr>
            <w:r w:rsidRPr="00903864">
              <w:rPr>
                <w:bCs/>
                <w:color w:val="000000" w:themeColor="text1"/>
              </w:rPr>
              <w:t xml:space="preserve">Consideration of alternative diagnoses.  </w:t>
            </w:r>
          </w:p>
          <w:p w14:paraId="64D298B6" w14:textId="77777777" w:rsidR="00517DA6" w:rsidRPr="00903864" w:rsidRDefault="00517DA6" w:rsidP="00B101DB">
            <w:pPr>
              <w:pStyle w:val="ListBullet"/>
              <w:widowControl w:val="0"/>
              <w:numPr>
                <w:ilvl w:val="0"/>
                <w:numId w:val="0"/>
              </w:numPr>
              <w:tabs>
                <w:tab w:val="left" w:pos="720"/>
              </w:tabs>
              <w:ind w:left="357" w:hanging="357"/>
              <w:cnfStyle w:val="000000000000" w:firstRow="0" w:lastRow="0" w:firstColumn="0" w:lastColumn="0" w:oddVBand="0" w:evenVBand="0" w:oddHBand="0" w:evenHBand="0" w:firstRowFirstColumn="0" w:firstRowLastColumn="0" w:lastRowFirstColumn="0" w:lastRowLastColumn="0"/>
              <w:rPr>
                <w:bCs/>
                <w:color w:val="000000" w:themeColor="text1"/>
              </w:rPr>
            </w:pPr>
          </w:p>
          <w:p w14:paraId="7E39587A" w14:textId="77777777" w:rsidR="00517DA6" w:rsidRPr="00903864" w:rsidRDefault="00517DA6" w:rsidP="00B101DB">
            <w:pPr>
              <w:pStyle w:val="ListBullet"/>
              <w:widowControl w:val="0"/>
              <w:numPr>
                <w:ilvl w:val="0"/>
                <w:numId w:val="0"/>
              </w:numPr>
              <w:tabs>
                <w:tab w:val="left" w:pos="720"/>
              </w:tabs>
              <w:cnfStyle w:val="000000000000" w:firstRow="0" w:lastRow="0" w:firstColumn="0" w:lastColumn="0" w:oddVBand="0" w:evenVBand="0" w:oddHBand="0" w:evenHBand="0" w:firstRowFirstColumn="0" w:firstRowLastColumn="0" w:lastRowFirstColumn="0" w:lastRowLastColumn="0"/>
              <w:rPr>
                <w:b/>
                <w:bCs/>
                <w:color w:val="000000" w:themeColor="text1"/>
              </w:rPr>
            </w:pPr>
            <w:r w:rsidRPr="00903864">
              <w:rPr>
                <w:bCs/>
                <w:color w:val="000000" w:themeColor="text1"/>
              </w:rPr>
              <w:t xml:space="preserve">Supportive findings may include skin </w:t>
            </w:r>
            <w:proofErr w:type="gramStart"/>
            <w:r w:rsidRPr="00903864">
              <w:rPr>
                <w:bCs/>
                <w:color w:val="000000" w:themeColor="text1"/>
              </w:rPr>
              <w:t>biopsy,</w:t>
            </w:r>
            <w:proofErr w:type="gramEnd"/>
            <w:r w:rsidRPr="00903864">
              <w:rPr>
                <w:bCs/>
                <w:color w:val="000000" w:themeColor="text1"/>
              </w:rPr>
              <w:t xml:space="preserve"> however this is not required.</w:t>
            </w:r>
          </w:p>
        </w:tc>
      </w:tr>
      <w:tr w:rsidR="00517DA6" w:rsidRPr="00903864" w14:paraId="69C8A3A7" w14:textId="77777777" w:rsidTr="00B101DB">
        <w:trPr>
          <w:trHeight w:val="193"/>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000000"/>
              <w:left w:val="single" w:sz="4" w:space="0" w:color="000000"/>
              <w:bottom w:val="single" w:sz="4" w:space="0" w:color="000000"/>
              <w:right w:val="single" w:sz="4" w:space="0" w:color="000000"/>
            </w:tcBorders>
            <w:hideMark/>
          </w:tcPr>
          <w:p w14:paraId="3382628C" w14:textId="77777777" w:rsidR="00517DA6" w:rsidRPr="00903864" w:rsidRDefault="00517DA6" w:rsidP="00B101DB">
            <w:pPr>
              <w:widowControl w:val="0"/>
              <w:rPr>
                <w:rStyle w:val="Strong"/>
              </w:rPr>
            </w:pPr>
            <w:r w:rsidRPr="00903864">
              <w:rPr>
                <w:rStyle w:val="Strong"/>
                <w:color w:val="000000" w:themeColor="text1"/>
              </w:rPr>
              <w:lastRenderedPageBreak/>
              <w:t xml:space="preserve">Link to vaccination </w:t>
            </w:r>
          </w:p>
          <w:p w14:paraId="2C0B6CC0" w14:textId="77777777" w:rsidR="00517DA6" w:rsidRPr="00903864" w:rsidRDefault="00517DA6" w:rsidP="00B101DB">
            <w:pPr>
              <w:widowControl w:val="0"/>
              <w:rPr>
                <w:rStyle w:val="Strong"/>
                <w:b w:val="0"/>
                <w:bCs w:val="0"/>
                <w:color w:val="000000" w:themeColor="text1"/>
              </w:rPr>
            </w:pPr>
            <w:r w:rsidRPr="00903864">
              <w:rPr>
                <w:color w:val="000000" w:themeColor="text1"/>
              </w:rPr>
              <w:t>Opinion that the most likely cause of the diagnosed condition(s) is COVID-19 vaccination Spikevax (Moderna) OR Comirnaty (Pfizer).</w:t>
            </w:r>
          </w:p>
        </w:tc>
        <w:tc>
          <w:tcPr>
            <w:tcW w:w="0" w:type="pct"/>
            <w:tcBorders>
              <w:top w:val="single" w:sz="4" w:space="0" w:color="000000"/>
              <w:left w:val="single" w:sz="4" w:space="0" w:color="000000"/>
              <w:bottom w:val="single" w:sz="4" w:space="0" w:color="000000"/>
              <w:right w:val="single" w:sz="4" w:space="0" w:color="000000"/>
            </w:tcBorders>
            <w:hideMark/>
          </w:tcPr>
          <w:p w14:paraId="4D57DE10" w14:textId="77777777" w:rsidR="00517DA6" w:rsidRPr="00903864" w:rsidRDefault="00517DA6" w:rsidP="00B101DB">
            <w:pPr>
              <w:widowControl w:val="0"/>
              <w:cnfStyle w:val="000000000000" w:firstRow="0" w:lastRow="0" w:firstColumn="0" w:lastColumn="0" w:oddVBand="0" w:evenVBand="0" w:oddHBand="0" w:evenHBand="0" w:firstRowFirstColumn="0" w:firstRowLastColumn="0" w:lastRowFirstColumn="0" w:lastRowLastColumn="0"/>
              <w:rPr>
                <w:bCs/>
              </w:rPr>
            </w:pPr>
            <w:r w:rsidRPr="00903864">
              <w:rPr>
                <w:bCs/>
                <w:color w:val="000000" w:themeColor="text1"/>
              </w:rPr>
              <w:t>Typical time to onset is 1-2 days after vaccination.</w:t>
            </w:r>
            <w:r w:rsidRPr="00903864">
              <w:rPr>
                <w:rStyle w:val="FootnoteReference"/>
                <w:bCs/>
                <w:color w:val="000000" w:themeColor="text1"/>
              </w:rPr>
              <w:footnoteReference w:id="23"/>
            </w:r>
            <w:r w:rsidRPr="00903864">
              <w:rPr>
                <w:bCs/>
                <w:color w:val="000000" w:themeColor="text1"/>
              </w:rPr>
              <w:t xml:space="preserve"> Occasionally, onset may be up to a week or more after vaccination.</w:t>
            </w:r>
          </w:p>
          <w:p w14:paraId="5F84193A" w14:textId="58BEFFAA" w:rsidR="00517DA6" w:rsidRPr="00903864" w:rsidRDefault="00517DA6" w:rsidP="00903864">
            <w:pPr>
              <w:widowControl w:val="0"/>
              <w:cnfStyle w:val="000000000000" w:firstRow="0" w:lastRow="0" w:firstColumn="0" w:lastColumn="0" w:oddVBand="0" w:evenVBand="0" w:oddHBand="0" w:evenHBand="0" w:firstRowFirstColumn="0" w:firstRowLastColumn="0" w:lastRowFirstColumn="0" w:lastRowLastColumn="0"/>
              <w:rPr>
                <w:bCs/>
                <w:color w:val="000000" w:themeColor="text1"/>
              </w:rPr>
            </w:pPr>
            <w:r w:rsidRPr="00903864">
              <w:rPr>
                <w:bCs/>
                <w:color w:val="000000" w:themeColor="text1"/>
              </w:rPr>
              <w:t>A link to Erythema Multiforme following vaccination with Comirnaty (Pfizer) and Spikevax (Moderna) vaccinations has been established.</w:t>
            </w:r>
          </w:p>
        </w:tc>
      </w:tr>
    </w:tbl>
    <w:p w14:paraId="513B38D9" w14:textId="77777777" w:rsidR="00517DA6" w:rsidRPr="00903864" w:rsidRDefault="00517DA6" w:rsidP="001D7C0B">
      <w:pPr>
        <w:pStyle w:val="Heading3"/>
        <w:rPr>
          <w:rFonts w:ascii="Cambria" w:hAnsi="Cambria"/>
        </w:rPr>
      </w:pPr>
      <w:bookmarkStart w:id="70" w:name="_Toc121208321"/>
      <w:bookmarkStart w:id="71" w:name="_Toc153956570"/>
      <w:r w:rsidRPr="00903864">
        <w:rPr>
          <w:rFonts w:ascii="Cambria" w:hAnsi="Cambria"/>
        </w:rPr>
        <w:lastRenderedPageBreak/>
        <w:t>Resources for Erythema Multiforme major</w:t>
      </w:r>
      <w:bookmarkEnd w:id="70"/>
      <w:bookmarkEnd w:id="71"/>
    </w:p>
    <w:p w14:paraId="6800CE59" w14:textId="77777777" w:rsidR="00517DA6" w:rsidRPr="00903864" w:rsidRDefault="00517DA6" w:rsidP="00517DA6">
      <w:pPr>
        <w:pStyle w:val="ListNumber"/>
        <w:numPr>
          <w:ilvl w:val="0"/>
          <w:numId w:val="15"/>
        </w:numPr>
        <w:rPr>
          <w:rFonts w:ascii="Cambria" w:hAnsi="Cambria" w:cstheme="minorHAnsi"/>
        </w:rPr>
      </w:pPr>
      <w:r w:rsidRPr="00903864">
        <w:rPr>
          <w:rFonts w:ascii="Cambria" w:hAnsi="Cambria" w:cstheme="minorHAnsi"/>
        </w:rPr>
        <w:t xml:space="preserve">The Australian Technical Advisory Group on Immunisation (ATAGI) published clinical guidance on COVID-19 vaccines </w:t>
      </w:r>
      <w:hyperlink r:id="rId41" w:history="1">
        <w:r w:rsidRPr="00903864">
          <w:rPr>
            <w:rStyle w:val="Hyperlink"/>
            <w:rFonts w:ascii="Cambria" w:hAnsi="Cambria" w:cstheme="minorHAnsi"/>
          </w:rPr>
          <w:t>https://www.health.gov.au/sites/default/files/documents/2021/10/covid-19-vaccination-atagi-clinical-guidance-on-covid-19-vaccine-in-australia-in-2021.pdf</w:t>
        </w:r>
      </w:hyperlink>
    </w:p>
    <w:p w14:paraId="01F90D4B" w14:textId="77777777" w:rsidR="00517DA6" w:rsidRPr="00903864" w:rsidRDefault="00D10C2A" w:rsidP="00517DA6">
      <w:pPr>
        <w:pStyle w:val="ListNumber"/>
        <w:numPr>
          <w:ilvl w:val="0"/>
          <w:numId w:val="15"/>
        </w:numPr>
        <w:rPr>
          <w:rFonts w:ascii="Cambria" w:hAnsi="Cambria" w:cstheme="minorHAnsi"/>
        </w:rPr>
      </w:pPr>
      <w:hyperlink r:id="rId42" w:history="1">
        <w:r w:rsidR="00517DA6" w:rsidRPr="00903864">
          <w:rPr>
            <w:rStyle w:val="Hyperlink"/>
            <w:rFonts w:ascii="Cambria" w:hAnsi="Cambria"/>
          </w:rPr>
          <w:t>Erythema multiforme reactions after Pfizer/BioNTech (BNT162b2) and Moderna (mRNA-1273) COVID-19 vaccination: A case series - PMC (nih.gov)</w:t>
        </w:r>
      </w:hyperlink>
    </w:p>
    <w:p w14:paraId="4A7FAB5F" w14:textId="77777777" w:rsidR="00517DA6" w:rsidRPr="00903864" w:rsidRDefault="00517DA6" w:rsidP="001D7C0B">
      <w:pPr>
        <w:pStyle w:val="Heading3"/>
        <w:rPr>
          <w:rFonts w:ascii="Cambria" w:hAnsi="Cambria"/>
        </w:rPr>
      </w:pPr>
      <w:bookmarkStart w:id="72" w:name="_Toc121208322"/>
      <w:bookmarkStart w:id="73" w:name="_Toc131405294"/>
      <w:bookmarkStart w:id="74" w:name="_Toc153956571"/>
      <w:r w:rsidRPr="00903864">
        <w:rPr>
          <w:rFonts w:ascii="Cambria" w:hAnsi="Cambria"/>
        </w:rPr>
        <w:t>Product Information</w:t>
      </w:r>
      <w:bookmarkEnd w:id="72"/>
      <w:bookmarkEnd w:id="73"/>
      <w:bookmarkEnd w:id="74"/>
    </w:p>
    <w:p w14:paraId="1EDE2D0A" w14:textId="77777777" w:rsidR="00517DA6" w:rsidRPr="00903864" w:rsidRDefault="00D10C2A" w:rsidP="00517DA6">
      <w:pPr>
        <w:pStyle w:val="ListBullet"/>
        <w:ind w:left="357" w:hanging="357"/>
        <w:rPr>
          <w:rStyle w:val="Hyperlink"/>
          <w:rFonts w:ascii="Cambria" w:hAnsi="Cambria"/>
        </w:rPr>
      </w:pPr>
      <w:hyperlink r:id="rId43" w:history="1">
        <w:r w:rsidR="00517DA6" w:rsidRPr="00903864">
          <w:rPr>
            <w:rStyle w:val="Hyperlink"/>
            <w:rFonts w:ascii="Cambria" w:hAnsi="Cambria" w:cstheme="minorHAnsi"/>
          </w:rPr>
          <w:t>Product Information Comirnaty (Pfizer)</w:t>
        </w:r>
      </w:hyperlink>
      <w:r w:rsidR="00517DA6" w:rsidRPr="00903864">
        <w:rPr>
          <w:rStyle w:val="Hyperlink"/>
          <w:rFonts w:ascii="Cambria" w:hAnsi="Cambria"/>
        </w:rPr>
        <w:t xml:space="preserve"> </w:t>
      </w:r>
    </w:p>
    <w:p w14:paraId="4C7294BA" w14:textId="77777777" w:rsidR="00517DA6" w:rsidRPr="00903864" w:rsidRDefault="00D10C2A" w:rsidP="00517DA6">
      <w:pPr>
        <w:pStyle w:val="ListBullet"/>
        <w:ind w:left="357" w:hanging="357"/>
        <w:rPr>
          <w:rStyle w:val="Hyperlink"/>
          <w:rFonts w:ascii="Cambria" w:hAnsi="Cambria"/>
        </w:rPr>
      </w:pPr>
      <w:hyperlink r:id="rId44" w:history="1">
        <w:r w:rsidR="00517DA6" w:rsidRPr="00903864">
          <w:rPr>
            <w:rStyle w:val="Hyperlink"/>
            <w:rFonts w:ascii="Cambria" w:hAnsi="Cambria" w:cstheme="minorHAnsi"/>
          </w:rPr>
          <w:t>Product Information Spikevax (Moderna)</w:t>
        </w:r>
      </w:hyperlink>
    </w:p>
    <w:p w14:paraId="62C070F8" w14:textId="77777777" w:rsidR="00517DA6" w:rsidRPr="00903864" w:rsidRDefault="00517DA6" w:rsidP="00517DA6">
      <w:pPr>
        <w:pStyle w:val="ListBullet"/>
        <w:numPr>
          <w:ilvl w:val="0"/>
          <w:numId w:val="0"/>
        </w:numPr>
        <w:tabs>
          <w:tab w:val="left" w:pos="720"/>
        </w:tabs>
        <w:ind w:left="357"/>
        <w:rPr>
          <w:rStyle w:val="Hyperlink"/>
          <w:rFonts w:ascii="Cambria" w:hAnsi="Cambria" w:cstheme="minorHAnsi"/>
        </w:rPr>
      </w:pPr>
    </w:p>
    <w:p w14:paraId="0BBACC4A" w14:textId="77777777" w:rsidR="00517DA6" w:rsidRPr="00903864" w:rsidRDefault="00517DA6" w:rsidP="00517DA6">
      <w:pPr>
        <w:pStyle w:val="ListBullet"/>
        <w:numPr>
          <w:ilvl w:val="0"/>
          <w:numId w:val="0"/>
        </w:numPr>
        <w:tabs>
          <w:tab w:val="left" w:pos="720"/>
        </w:tabs>
        <w:ind w:left="357" w:hanging="357"/>
        <w:rPr>
          <w:rFonts w:ascii="Cambria" w:hAnsi="Cambria"/>
          <w:b/>
          <w:bCs/>
        </w:rPr>
      </w:pPr>
    </w:p>
    <w:p w14:paraId="183BDF78" w14:textId="77777777" w:rsidR="00517DA6" w:rsidRPr="00903864" w:rsidRDefault="00517DA6" w:rsidP="00517DA6">
      <w:pPr>
        <w:pStyle w:val="ListBullet"/>
        <w:numPr>
          <w:ilvl w:val="0"/>
          <w:numId w:val="0"/>
        </w:numPr>
        <w:tabs>
          <w:tab w:val="left" w:pos="720"/>
        </w:tabs>
        <w:ind w:left="720"/>
        <w:rPr>
          <w:rFonts w:ascii="Cambria" w:hAnsi="Cambria" w:cstheme="minorHAnsi"/>
          <w:b/>
          <w:bCs/>
        </w:rPr>
      </w:pPr>
    </w:p>
    <w:p w14:paraId="4BF8B4FE" w14:textId="77777777" w:rsidR="00517DA6" w:rsidRPr="00903864" w:rsidRDefault="00517DA6" w:rsidP="00517DA6">
      <w:pPr>
        <w:rPr>
          <w:rFonts w:ascii="Cambria" w:hAnsi="Cambria"/>
        </w:rPr>
      </w:pPr>
      <w:r w:rsidRPr="00903864">
        <w:rPr>
          <w:rFonts w:ascii="Cambria" w:hAnsi="Cambria" w:cstheme="minorHAnsi"/>
          <w:b/>
          <w:bCs/>
        </w:rPr>
        <w:br w:type="page"/>
      </w:r>
    </w:p>
    <w:p w14:paraId="1F44492B" w14:textId="77777777" w:rsidR="00517DA6" w:rsidRPr="00903864" w:rsidRDefault="00517DA6" w:rsidP="001D7C0B">
      <w:pPr>
        <w:pStyle w:val="Heading2"/>
        <w:numPr>
          <w:ilvl w:val="0"/>
          <w:numId w:val="1"/>
        </w:numPr>
        <w:rPr>
          <w:rFonts w:ascii="Cambria" w:hAnsi="Cambria"/>
        </w:rPr>
      </w:pPr>
      <w:bookmarkStart w:id="75" w:name="_Toc153956572"/>
      <w:r w:rsidRPr="00903864">
        <w:rPr>
          <w:rFonts w:ascii="Cambria" w:hAnsi="Cambria"/>
        </w:rPr>
        <w:lastRenderedPageBreak/>
        <w:t>Transverse Myelitis</w:t>
      </w:r>
      <w:bookmarkEnd w:id="75"/>
    </w:p>
    <w:tbl>
      <w:tblPr>
        <w:tblStyle w:val="TableTGAblack"/>
        <w:tblpPr w:leftFromText="180" w:rightFromText="180" w:topFromText="60" w:vertAnchor="text" w:horzAnchor="margin" w:tblpY="794"/>
        <w:tblW w:w="5000" w:type="pct"/>
        <w:tblLook w:val="04A0" w:firstRow="1" w:lastRow="0" w:firstColumn="1" w:lastColumn="0" w:noHBand="0" w:noVBand="1"/>
      </w:tblPr>
      <w:tblGrid>
        <w:gridCol w:w="2333"/>
        <w:gridCol w:w="6683"/>
      </w:tblGrid>
      <w:tr w:rsidR="00517DA6" w:rsidRPr="00903864" w14:paraId="33C3BCC9" w14:textId="77777777" w:rsidTr="00B101DB">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100" w:firstRow="0" w:lastRow="0" w:firstColumn="1" w:lastColumn="0" w:oddVBand="0" w:evenVBand="0" w:oddHBand="0" w:evenHBand="0" w:firstRowFirstColumn="1" w:firstRowLastColumn="0" w:lastRowFirstColumn="0" w:lastRowLastColumn="0"/>
            <w:tcW w:w="1294" w:type="pct"/>
            <w:tcBorders>
              <w:top w:val="single" w:sz="4" w:space="0" w:color="000000"/>
              <w:left w:val="single" w:sz="4" w:space="0" w:color="000000"/>
              <w:bottom w:val="single" w:sz="4" w:space="0" w:color="000000"/>
              <w:right w:val="single" w:sz="4" w:space="0" w:color="000000"/>
            </w:tcBorders>
            <w:hideMark/>
          </w:tcPr>
          <w:p w14:paraId="19B7C8BF" w14:textId="77777777" w:rsidR="00517DA6" w:rsidRPr="00903864" w:rsidRDefault="00517DA6" w:rsidP="00B101DB">
            <w:r w:rsidRPr="00903864">
              <w:t>Evidence requirement</w:t>
            </w:r>
          </w:p>
        </w:tc>
        <w:tc>
          <w:tcPr>
            <w:tcW w:w="3706" w:type="pct"/>
            <w:tcBorders>
              <w:top w:val="single" w:sz="4" w:space="0" w:color="000000"/>
              <w:left w:val="single" w:sz="4" w:space="0" w:color="000000"/>
              <w:bottom w:val="single" w:sz="4" w:space="0" w:color="000000"/>
              <w:right w:val="single" w:sz="4" w:space="0" w:color="000000"/>
            </w:tcBorders>
            <w:hideMark/>
          </w:tcPr>
          <w:p w14:paraId="3A9CFDDC" w14:textId="77777777" w:rsidR="00517DA6" w:rsidRPr="00903864" w:rsidRDefault="00517DA6" w:rsidP="00B101DB">
            <w:pPr>
              <w:cnfStyle w:val="100000000000" w:firstRow="1" w:lastRow="0" w:firstColumn="0" w:lastColumn="0" w:oddVBand="0" w:evenVBand="0" w:oddHBand="0" w:evenHBand="0" w:firstRowFirstColumn="0" w:firstRowLastColumn="0" w:lastRowFirstColumn="0" w:lastRowLastColumn="0"/>
              <w:rPr>
                <w:rFonts w:ascii="Cambria" w:hAnsi="Cambria"/>
              </w:rPr>
            </w:pPr>
            <w:r w:rsidRPr="00903864">
              <w:rPr>
                <w:rFonts w:ascii="Cambria" w:hAnsi="Cambria"/>
              </w:rPr>
              <w:t>Types of evidence that should be considered for Transverse Myelitis</w:t>
            </w:r>
          </w:p>
        </w:tc>
      </w:tr>
      <w:tr w:rsidR="00517DA6" w:rsidRPr="00903864" w14:paraId="4D6460FB" w14:textId="77777777" w:rsidTr="00B101DB">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100" w:firstRow="0" w:lastRow="0" w:firstColumn="1" w:lastColumn="0" w:oddVBand="0" w:evenVBand="0" w:oddHBand="0" w:evenHBand="0" w:firstRowFirstColumn="1" w:firstRowLastColumn="0" w:lastRowFirstColumn="0" w:lastRowLastColumn="0"/>
            <w:tcW w:w="1294"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72E3904" w14:textId="77777777" w:rsidR="00517DA6" w:rsidRPr="00903864" w:rsidRDefault="00517DA6" w:rsidP="00B101DB">
            <w:pPr>
              <w:rPr>
                <w:rStyle w:val="Strong"/>
                <w:b/>
                <w:color w:val="000000" w:themeColor="text1"/>
              </w:rPr>
            </w:pPr>
            <w:r w:rsidRPr="00903864">
              <w:rPr>
                <w:rStyle w:val="Strong"/>
                <w:bCs w:val="0"/>
                <w:color w:val="000000" w:themeColor="text1"/>
              </w:rPr>
              <w:t>Diagnosis</w:t>
            </w:r>
            <w:r w:rsidRPr="00903864">
              <w:rPr>
                <w:rStyle w:val="Strong"/>
                <w:color w:val="000000" w:themeColor="text1"/>
              </w:rPr>
              <w:t>:</w:t>
            </w:r>
          </w:p>
          <w:p w14:paraId="434E5207" w14:textId="77777777" w:rsidR="00517DA6" w:rsidRPr="00903864" w:rsidRDefault="00517DA6" w:rsidP="00B101DB">
            <w:pPr>
              <w:rPr>
                <w:b w:val="0"/>
              </w:rPr>
            </w:pPr>
            <w:r w:rsidRPr="00903864">
              <w:rPr>
                <w:b w:val="0"/>
                <w:color w:val="000000" w:themeColor="text1"/>
              </w:rPr>
              <w:t>The patient has been diagnosed with a claimable medical condition(s) by a treating doctor in the relevant field of practice</w:t>
            </w:r>
          </w:p>
        </w:tc>
        <w:tc>
          <w:tcPr>
            <w:tcW w:w="370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EADAEE3" w14:textId="46CD8C4F" w:rsidR="00517DA6" w:rsidRPr="00903864" w:rsidRDefault="00517DA6" w:rsidP="00B101DB">
            <w:pPr>
              <w:cnfStyle w:val="100000000000" w:firstRow="1" w:lastRow="0" w:firstColumn="0" w:lastColumn="0" w:oddVBand="0" w:evenVBand="0" w:oddHBand="0" w:evenHBand="0" w:firstRowFirstColumn="0" w:firstRowLastColumn="0" w:lastRowFirstColumn="0" w:lastRowLastColumn="0"/>
              <w:rPr>
                <w:rFonts w:ascii="Cambria" w:hAnsi="Cambria"/>
                <w:b w:val="0"/>
                <w:color w:val="000000" w:themeColor="text1"/>
              </w:rPr>
            </w:pPr>
            <w:r w:rsidRPr="00903864">
              <w:rPr>
                <w:rFonts w:ascii="Cambria" w:hAnsi="Cambria"/>
                <w:b w:val="0"/>
                <w:color w:val="000000" w:themeColor="text1"/>
              </w:rPr>
              <w:t>The relevant fields of practice are Neurology</w:t>
            </w:r>
            <w:r w:rsidR="006B0285" w:rsidRPr="00903864">
              <w:rPr>
                <w:rFonts w:ascii="Cambria" w:hAnsi="Cambria"/>
                <w:b w:val="0"/>
                <w:color w:val="000000" w:themeColor="text1"/>
              </w:rPr>
              <w:t>,</w:t>
            </w:r>
            <w:r w:rsidRPr="00903864">
              <w:rPr>
                <w:rFonts w:ascii="Cambria" w:hAnsi="Cambria"/>
                <w:b w:val="0"/>
                <w:color w:val="000000" w:themeColor="text1"/>
              </w:rPr>
              <w:t xml:space="preserve"> Immunology</w:t>
            </w:r>
            <w:r w:rsidR="006B0285" w:rsidRPr="00903864">
              <w:rPr>
                <w:rFonts w:ascii="Cambria" w:hAnsi="Cambria"/>
                <w:b w:val="0"/>
                <w:color w:val="000000" w:themeColor="text1"/>
              </w:rPr>
              <w:t>,</w:t>
            </w:r>
            <w:r w:rsidRPr="00903864">
              <w:rPr>
                <w:rFonts w:ascii="Cambria" w:hAnsi="Cambria"/>
                <w:b w:val="0"/>
                <w:color w:val="000000" w:themeColor="text1"/>
              </w:rPr>
              <w:t xml:space="preserve"> </w:t>
            </w:r>
            <w:r w:rsidR="006B0285" w:rsidRPr="00903864">
              <w:rPr>
                <w:rFonts w:ascii="Cambria" w:hAnsi="Cambria"/>
                <w:b w:val="0"/>
                <w:color w:val="000000" w:themeColor="text1"/>
              </w:rPr>
              <w:t>and, where clinically appropriate, Paediatrics (including General or subspecial</w:t>
            </w:r>
            <w:r w:rsidR="004B3B98" w:rsidRPr="00903864">
              <w:rPr>
                <w:rFonts w:ascii="Cambria" w:hAnsi="Cambria"/>
                <w:b w:val="0"/>
                <w:color w:val="000000" w:themeColor="text1"/>
              </w:rPr>
              <w:t>ty</w:t>
            </w:r>
            <w:r w:rsidR="006B0285" w:rsidRPr="00903864">
              <w:rPr>
                <w:rFonts w:ascii="Cambria" w:hAnsi="Cambria"/>
                <w:b w:val="0"/>
                <w:color w:val="000000" w:themeColor="text1"/>
              </w:rPr>
              <w:t xml:space="preserve"> Paediatric</w:t>
            </w:r>
            <w:r w:rsidR="004B3B98" w:rsidRPr="00903864">
              <w:rPr>
                <w:rFonts w:ascii="Cambria" w:hAnsi="Cambria"/>
                <w:b w:val="0"/>
                <w:color w:val="000000" w:themeColor="text1"/>
              </w:rPr>
              <w:t>s</w:t>
            </w:r>
            <w:r w:rsidR="006B0285" w:rsidRPr="00903864">
              <w:rPr>
                <w:rFonts w:ascii="Cambria" w:hAnsi="Cambria"/>
                <w:b w:val="0"/>
                <w:color w:val="000000" w:themeColor="text1"/>
              </w:rPr>
              <w:t>)</w:t>
            </w:r>
            <w:r w:rsidRPr="00903864">
              <w:rPr>
                <w:rFonts w:ascii="Cambria" w:hAnsi="Cambria"/>
                <w:b w:val="0"/>
                <w:color w:val="000000" w:themeColor="text1"/>
              </w:rPr>
              <w:t>.</w:t>
            </w:r>
          </w:p>
          <w:p w14:paraId="581AF3DC" w14:textId="77777777" w:rsidR="00517DA6" w:rsidRPr="00903864" w:rsidRDefault="00517DA6" w:rsidP="00B101DB">
            <w:pPr>
              <w:cnfStyle w:val="100000000000" w:firstRow="1" w:lastRow="0" w:firstColumn="0" w:lastColumn="0" w:oddVBand="0" w:evenVBand="0" w:oddHBand="0" w:evenHBand="0" w:firstRowFirstColumn="0" w:firstRowLastColumn="0" w:lastRowFirstColumn="0" w:lastRowLastColumn="0"/>
              <w:rPr>
                <w:rFonts w:ascii="Cambria" w:hAnsi="Cambria"/>
                <w:b w:val="0"/>
                <w:bCs/>
                <w:color w:val="000000" w:themeColor="text1"/>
              </w:rPr>
            </w:pPr>
            <w:r w:rsidRPr="00903864">
              <w:rPr>
                <w:rFonts w:ascii="Cambria" w:hAnsi="Cambria"/>
                <w:b w:val="0"/>
                <w:color w:val="000000" w:themeColor="text1"/>
              </w:rPr>
              <w:t xml:space="preserve">Transverse Myelitis is a rare neurological disorder which is caused by inflammation of one or more level/s of the spinal cord. There are </w:t>
            </w:r>
            <w:proofErr w:type="gramStart"/>
            <w:r w:rsidRPr="00903864">
              <w:rPr>
                <w:rFonts w:ascii="Cambria" w:hAnsi="Cambria"/>
                <w:b w:val="0"/>
                <w:color w:val="000000" w:themeColor="text1"/>
              </w:rPr>
              <w:t>a number of</w:t>
            </w:r>
            <w:proofErr w:type="gramEnd"/>
            <w:r w:rsidRPr="00903864">
              <w:rPr>
                <w:rFonts w:ascii="Cambria" w:hAnsi="Cambria"/>
                <w:b w:val="0"/>
                <w:color w:val="000000" w:themeColor="text1"/>
              </w:rPr>
              <w:t xml:space="preserve"> causes of Transverse Myelitis including infections and underlying demyelinating conditions – occasionally, a cause is not found (idiopathic).</w:t>
            </w:r>
            <w:r w:rsidRPr="00903864">
              <w:rPr>
                <w:rStyle w:val="FootnoteReference"/>
                <w:rFonts w:ascii="Cambria" w:hAnsi="Cambria"/>
                <w:b w:val="0"/>
                <w:color w:val="000000" w:themeColor="text1"/>
              </w:rPr>
              <w:footnoteReference w:id="24"/>
            </w:r>
            <w:r w:rsidRPr="00903864">
              <w:rPr>
                <w:rFonts w:ascii="Cambria" w:hAnsi="Cambria"/>
                <w:b w:val="0"/>
                <w:color w:val="000000" w:themeColor="text1"/>
              </w:rPr>
              <w:t xml:space="preserve"> </w:t>
            </w:r>
          </w:p>
          <w:p w14:paraId="06C7E954" w14:textId="77777777" w:rsidR="00517DA6" w:rsidRPr="00903864" w:rsidRDefault="00517DA6" w:rsidP="00B101DB">
            <w:pPr>
              <w:cnfStyle w:val="100000000000" w:firstRow="1" w:lastRow="0" w:firstColumn="0" w:lastColumn="0" w:oddVBand="0" w:evenVBand="0" w:oddHBand="0" w:evenHBand="0" w:firstRowFirstColumn="0" w:firstRowLastColumn="0" w:lastRowFirstColumn="0" w:lastRowLastColumn="0"/>
              <w:rPr>
                <w:rFonts w:ascii="Cambria" w:hAnsi="Cambria"/>
                <w:b w:val="0"/>
                <w:color w:val="000000" w:themeColor="text1"/>
              </w:rPr>
            </w:pPr>
            <w:r w:rsidRPr="00903864">
              <w:rPr>
                <w:rFonts w:ascii="Cambria" w:hAnsi="Cambria"/>
                <w:b w:val="0"/>
                <w:color w:val="000000" w:themeColor="text1"/>
              </w:rPr>
              <w:t>Clinical information that should be outlined to support the diagnosis</w:t>
            </w:r>
            <w:r w:rsidRPr="00903864">
              <w:rPr>
                <w:rStyle w:val="FootnoteReference"/>
                <w:rFonts w:ascii="Cambria" w:hAnsi="Cambria"/>
                <w:b w:val="0"/>
                <w:color w:val="000000" w:themeColor="text1"/>
              </w:rPr>
              <w:footnoteReference w:id="25"/>
            </w:r>
            <w:r w:rsidRPr="00903864">
              <w:rPr>
                <w:rFonts w:ascii="Cambria" w:hAnsi="Cambria"/>
                <w:b w:val="0"/>
                <w:color w:val="000000" w:themeColor="text1"/>
              </w:rPr>
              <w:t xml:space="preserve"> OR appropriate justification provided for absence of information:</w:t>
            </w:r>
          </w:p>
          <w:p w14:paraId="3E4EFD9A" w14:textId="77777777" w:rsidR="00517DA6" w:rsidRPr="00903864" w:rsidRDefault="00517DA6" w:rsidP="00517DA6">
            <w:pPr>
              <w:pStyle w:val="ListBullet"/>
              <w:ind w:left="357" w:hanging="357"/>
              <w:cnfStyle w:val="100000000000" w:firstRow="1" w:lastRow="0" w:firstColumn="0" w:lastColumn="0" w:oddVBand="0" w:evenVBand="0" w:oddHBand="0" w:evenHBand="0" w:firstRowFirstColumn="0" w:firstRowLastColumn="0" w:lastRowFirstColumn="0" w:lastRowLastColumn="0"/>
              <w:rPr>
                <w:rFonts w:ascii="Cambria" w:hAnsi="Cambria"/>
                <w:b w:val="0"/>
                <w:bCs/>
                <w:color w:val="000000" w:themeColor="text1"/>
              </w:rPr>
            </w:pPr>
            <w:r w:rsidRPr="00903864">
              <w:rPr>
                <w:rFonts w:ascii="Cambria" w:hAnsi="Cambria"/>
                <w:b w:val="0"/>
                <w:color w:val="000000" w:themeColor="text1"/>
              </w:rPr>
              <w:t>At least one feature of myelopathy, for example, neurological signs or symptoms,</w:t>
            </w:r>
          </w:p>
          <w:p w14:paraId="7763DEB9" w14:textId="77777777" w:rsidR="00517DA6" w:rsidRPr="00903864" w:rsidRDefault="00517DA6" w:rsidP="00517DA6">
            <w:pPr>
              <w:pStyle w:val="ListBullet"/>
              <w:ind w:left="357" w:hanging="357"/>
              <w:cnfStyle w:val="100000000000" w:firstRow="1" w:lastRow="0" w:firstColumn="0" w:lastColumn="0" w:oddVBand="0" w:evenVBand="0" w:oddHBand="0" w:evenHBand="0" w:firstRowFirstColumn="0" w:firstRowLastColumn="0" w:lastRowFirstColumn="0" w:lastRowLastColumn="0"/>
              <w:rPr>
                <w:rFonts w:ascii="Cambria" w:hAnsi="Cambria"/>
                <w:b w:val="0"/>
                <w:bCs/>
                <w:color w:val="000000" w:themeColor="text1"/>
              </w:rPr>
            </w:pPr>
            <w:r w:rsidRPr="00903864">
              <w:rPr>
                <w:rFonts w:ascii="Cambria" w:hAnsi="Cambria"/>
                <w:b w:val="0"/>
                <w:color w:val="000000" w:themeColor="text1"/>
              </w:rPr>
              <w:t>Evidence of spinal cord inflammation, for example CSF pleocytosis, or characteristic imaging findings.</w:t>
            </w:r>
          </w:p>
        </w:tc>
      </w:tr>
      <w:tr w:rsidR="00517DA6" w:rsidRPr="00903864" w14:paraId="5DB2E79B" w14:textId="77777777" w:rsidTr="00B101DB">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100" w:firstRow="0" w:lastRow="0" w:firstColumn="1" w:lastColumn="0" w:oddVBand="0" w:evenVBand="0" w:oddHBand="0" w:evenHBand="0" w:firstRowFirstColumn="1" w:firstRowLastColumn="0" w:lastRowFirstColumn="0" w:lastRowLastColumn="0"/>
            <w:tcW w:w="1294"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EE96E1A" w14:textId="77777777" w:rsidR="00517DA6" w:rsidRPr="00903864" w:rsidRDefault="00517DA6" w:rsidP="00B101DB">
            <w:pPr>
              <w:rPr>
                <w:rStyle w:val="Strong"/>
              </w:rPr>
            </w:pPr>
            <w:r w:rsidRPr="00903864">
              <w:rPr>
                <w:rStyle w:val="Strong"/>
                <w:bCs w:val="0"/>
                <w:color w:val="000000" w:themeColor="text1"/>
              </w:rPr>
              <w:t>Link to vaccination</w:t>
            </w:r>
            <w:r w:rsidRPr="00903864">
              <w:rPr>
                <w:rStyle w:val="Strong"/>
                <w:color w:val="000000" w:themeColor="text1"/>
              </w:rPr>
              <w:t xml:space="preserve">: </w:t>
            </w:r>
            <w:r w:rsidRPr="00903864">
              <w:rPr>
                <w:b w:val="0"/>
                <w:color w:val="000000" w:themeColor="text1"/>
              </w:rPr>
              <w:t xml:space="preserve">Opinion that the most likely cause of the diagnosed condition(s) is COVID-19 vaccination </w:t>
            </w:r>
            <w:proofErr w:type="spellStart"/>
            <w:r w:rsidRPr="00903864">
              <w:rPr>
                <w:b w:val="0"/>
                <w:color w:val="000000" w:themeColor="text1"/>
              </w:rPr>
              <w:t>Vaxzevria</w:t>
            </w:r>
            <w:proofErr w:type="spellEnd"/>
            <w:r w:rsidRPr="00903864">
              <w:rPr>
                <w:b w:val="0"/>
                <w:color w:val="000000" w:themeColor="text1"/>
              </w:rPr>
              <w:t xml:space="preserve"> (AstraZeneca)</w:t>
            </w:r>
          </w:p>
        </w:tc>
        <w:tc>
          <w:tcPr>
            <w:tcW w:w="370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C31AB04" w14:textId="43A2AFF8" w:rsidR="00517DA6" w:rsidRDefault="00517DA6" w:rsidP="00B101DB">
            <w:pPr>
              <w:cnfStyle w:val="100000000000" w:firstRow="1" w:lastRow="0" w:firstColumn="0" w:lastColumn="0" w:oddVBand="0" w:evenVBand="0" w:oddHBand="0" w:evenHBand="0" w:firstRowFirstColumn="0" w:firstRowLastColumn="0" w:lastRowFirstColumn="0" w:lastRowLastColumn="0"/>
              <w:rPr>
                <w:color w:val="000000" w:themeColor="text1"/>
              </w:rPr>
            </w:pPr>
            <w:r w:rsidRPr="00903864">
              <w:rPr>
                <w:rFonts w:ascii="Cambria" w:hAnsi="Cambria"/>
                <w:b w:val="0"/>
                <w:color w:val="000000" w:themeColor="text1"/>
              </w:rPr>
              <w:t xml:space="preserve">A link to Transverse Myelitis following vaccination with </w:t>
            </w:r>
            <w:proofErr w:type="spellStart"/>
            <w:r w:rsidRPr="00903864">
              <w:rPr>
                <w:rFonts w:ascii="Cambria" w:hAnsi="Cambria"/>
                <w:b w:val="0"/>
                <w:color w:val="000000" w:themeColor="text1"/>
              </w:rPr>
              <w:t>Vaxzevria</w:t>
            </w:r>
            <w:proofErr w:type="spellEnd"/>
            <w:r w:rsidRPr="00903864">
              <w:rPr>
                <w:rFonts w:ascii="Cambria" w:hAnsi="Cambria"/>
                <w:b w:val="0"/>
                <w:color w:val="000000" w:themeColor="text1"/>
              </w:rPr>
              <w:t xml:space="preserve"> (AstraZeneca) has been rarely reported.</w:t>
            </w:r>
            <w:r w:rsidRPr="00903864">
              <w:rPr>
                <w:rStyle w:val="FootnoteReference"/>
                <w:rFonts w:ascii="Cambria" w:hAnsi="Cambria"/>
                <w:b w:val="0"/>
                <w:color w:val="000000" w:themeColor="text1"/>
              </w:rPr>
              <w:footnoteReference w:id="26"/>
            </w:r>
          </w:p>
          <w:p w14:paraId="5345A757" w14:textId="48BF8C21" w:rsidR="00903864" w:rsidRPr="00903864" w:rsidRDefault="00903864" w:rsidP="00B101DB">
            <w:pPr>
              <w:cnfStyle w:val="100000000000" w:firstRow="1" w:lastRow="0" w:firstColumn="0" w:lastColumn="0" w:oddVBand="0" w:evenVBand="0" w:oddHBand="0" w:evenHBand="0" w:firstRowFirstColumn="0" w:firstRowLastColumn="0" w:lastRowFirstColumn="0" w:lastRowLastColumn="0"/>
              <w:rPr>
                <w:rFonts w:ascii="Cambria" w:hAnsi="Cambria"/>
                <w:b w:val="0"/>
                <w:bCs/>
                <w:color w:val="000000" w:themeColor="text1"/>
              </w:rPr>
            </w:pPr>
            <w:r>
              <w:rPr>
                <w:rFonts w:ascii="Cambria" w:hAnsi="Cambria"/>
                <w:b w:val="0"/>
                <w:bCs/>
                <w:color w:val="000000" w:themeColor="text1"/>
              </w:rPr>
              <w:t xml:space="preserve">As Transverse Myelitis has a range of aetiologies, it is important to consider and exclude causes unrelated to vaccination, which may include infectious or autoimmune causes. Other causes of the claimant’s symptoms should also be considered and excluded. </w:t>
            </w:r>
          </w:p>
          <w:p w14:paraId="0478ECF5" w14:textId="4443D36A" w:rsidR="00035089" w:rsidRPr="00903864" w:rsidRDefault="00035089" w:rsidP="00903864">
            <w:pPr>
              <w:cnfStyle w:val="100000000000" w:firstRow="1" w:lastRow="0" w:firstColumn="0" w:lastColumn="0" w:oddVBand="0" w:evenVBand="0" w:oddHBand="0" w:evenHBand="0" w:firstRowFirstColumn="0" w:firstRowLastColumn="0" w:lastRowFirstColumn="0" w:lastRowLastColumn="0"/>
              <w:rPr>
                <w:rFonts w:ascii="Cambria" w:hAnsi="Cambria"/>
                <w:b w:val="0"/>
                <w:bCs/>
              </w:rPr>
            </w:pPr>
            <w:r w:rsidRPr="00903864">
              <w:rPr>
                <w:rFonts w:ascii="Cambria" w:hAnsi="Cambria"/>
                <w:bCs/>
              </w:rPr>
              <w:t xml:space="preserve">As </w:t>
            </w:r>
            <w:r w:rsidRPr="00903864">
              <w:rPr>
                <w:rFonts w:ascii="Cambria" w:hAnsi="Cambria"/>
                <w:b w:val="0"/>
                <w:bCs/>
              </w:rPr>
              <w:t>Transverse Myelitis</w:t>
            </w:r>
            <w:r w:rsidRPr="00903864">
              <w:rPr>
                <w:rFonts w:ascii="Cambria" w:hAnsi="Cambria"/>
                <w:bCs/>
              </w:rPr>
              <w:t xml:space="preserve"> has a range of aetiologies, it is important to consider and exclude causes unrelated to vaccination, which may include infectious or autoimmune causes. Other causes of the claimant’s symptoms should also be considered and excluded. </w:t>
            </w:r>
          </w:p>
          <w:p w14:paraId="0CACD6A3" w14:textId="77777777" w:rsidR="00517DA6" w:rsidRPr="00903864" w:rsidRDefault="00517DA6" w:rsidP="00B101DB">
            <w:pPr>
              <w:cnfStyle w:val="100000000000" w:firstRow="1" w:lastRow="0" w:firstColumn="0" w:lastColumn="0" w:oddVBand="0" w:evenVBand="0" w:oddHBand="0" w:evenHBand="0" w:firstRowFirstColumn="0" w:firstRowLastColumn="0" w:lastRowFirstColumn="0" w:lastRowLastColumn="0"/>
              <w:rPr>
                <w:rFonts w:ascii="Cambria" w:hAnsi="Cambria"/>
                <w:color w:val="000000" w:themeColor="text1"/>
              </w:rPr>
            </w:pPr>
            <w:r w:rsidRPr="00903864">
              <w:rPr>
                <w:rFonts w:ascii="Cambria" w:hAnsi="Cambria"/>
                <w:bCs/>
              </w:rPr>
              <w:t>Bradford-Hill Criteria.</w:t>
            </w:r>
          </w:p>
        </w:tc>
      </w:tr>
    </w:tbl>
    <w:p w14:paraId="336C0E95" w14:textId="77777777" w:rsidR="00517DA6" w:rsidRPr="00903864" w:rsidRDefault="00517DA6" w:rsidP="00517DA6">
      <w:pPr>
        <w:rPr>
          <w:rFonts w:ascii="Cambria" w:hAnsi="Cambria" w:cstheme="minorHAnsi"/>
        </w:rPr>
      </w:pPr>
      <w:r w:rsidRPr="00903864">
        <w:rPr>
          <w:rFonts w:ascii="Cambria" w:hAnsi="Cambria" w:cstheme="minorHAnsi"/>
        </w:rPr>
        <w:t>Points to consider for claims including Transverse Myelitis</w:t>
      </w:r>
    </w:p>
    <w:p w14:paraId="335B2DD6" w14:textId="77777777" w:rsidR="00AB2525" w:rsidRPr="00903864" w:rsidRDefault="00AB2525">
      <w:pPr>
        <w:spacing w:before="0" w:after="160"/>
        <w:rPr>
          <w:rFonts w:ascii="Cambria" w:eastAsiaTheme="majorEastAsia" w:hAnsi="Cambria" w:cstheme="majorBidi"/>
          <w:b/>
          <w:color w:val="1F3763" w:themeColor="accent1" w:themeShade="7F"/>
          <w:szCs w:val="26"/>
        </w:rPr>
      </w:pPr>
      <w:bookmarkStart w:id="79" w:name="_Toc121208282"/>
      <w:r w:rsidRPr="00903864">
        <w:rPr>
          <w:rFonts w:ascii="Cambria" w:hAnsi="Cambria"/>
        </w:rPr>
        <w:br w:type="page"/>
      </w:r>
    </w:p>
    <w:p w14:paraId="53784BD6" w14:textId="7C430D1E" w:rsidR="00517DA6" w:rsidRPr="00903864" w:rsidRDefault="00517DA6" w:rsidP="001D7C0B">
      <w:pPr>
        <w:pStyle w:val="Heading3"/>
        <w:rPr>
          <w:rFonts w:ascii="Cambria" w:hAnsi="Cambria"/>
        </w:rPr>
      </w:pPr>
      <w:bookmarkStart w:id="80" w:name="_Toc153956573"/>
      <w:r w:rsidRPr="00903864">
        <w:rPr>
          <w:rFonts w:ascii="Cambria" w:hAnsi="Cambria"/>
        </w:rPr>
        <w:lastRenderedPageBreak/>
        <w:t xml:space="preserve">Resources for </w:t>
      </w:r>
      <w:bookmarkEnd w:id="79"/>
      <w:r w:rsidRPr="00903864">
        <w:rPr>
          <w:rFonts w:ascii="Cambria" w:hAnsi="Cambria"/>
        </w:rPr>
        <w:t>Transverse Myelitis</w:t>
      </w:r>
      <w:bookmarkEnd w:id="80"/>
    </w:p>
    <w:p w14:paraId="49022530" w14:textId="77777777" w:rsidR="00517DA6" w:rsidRPr="00903864" w:rsidRDefault="00517DA6" w:rsidP="00517DA6">
      <w:pPr>
        <w:spacing w:after="180"/>
        <w:rPr>
          <w:rFonts w:ascii="Cambria" w:hAnsi="Cambria" w:cstheme="minorHAnsi"/>
        </w:rPr>
      </w:pPr>
      <w:r w:rsidRPr="00903864">
        <w:rPr>
          <w:rFonts w:ascii="Cambria" w:hAnsi="Cambria" w:cstheme="minorHAnsi"/>
        </w:rPr>
        <w:t>Several national and international bodies have provided reports and guidance for healthcare practitioners on Transverse Myelitis.</w:t>
      </w:r>
    </w:p>
    <w:p w14:paraId="7259711C" w14:textId="77777777" w:rsidR="00517DA6" w:rsidRPr="00903864" w:rsidRDefault="00517DA6" w:rsidP="00517DA6">
      <w:pPr>
        <w:pStyle w:val="ListNumber"/>
        <w:numPr>
          <w:ilvl w:val="0"/>
          <w:numId w:val="17"/>
        </w:numPr>
        <w:spacing w:line="276" w:lineRule="auto"/>
        <w:rPr>
          <w:rFonts w:ascii="Cambria" w:hAnsi="Cambria" w:cstheme="minorHAnsi"/>
        </w:rPr>
      </w:pPr>
      <w:r w:rsidRPr="00903864">
        <w:rPr>
          <w:rFonts w:ascii="Cambria" w:hAnsi="Cambria" w:cstheme="minorHAnsi"/>
        </w:rPr>
        <w:t xml:space="preserve">The Australian Technical Advisory Group on Immunisation (ATAGI) published clinical guidance on COVID-19 </w:t>
      </w:r>
      <w:proofErr w:type="gramStart"/>
      <w:r w:rsidRPr="00903864">
        <w:rPr>
          <w:rFonts w:ascii="Cambria" w:hAnsi="Cambria" w:cstheme="minorHAnsi"/>
        </w:rPr>
        <w:t>vaccines</w:t>
      </w:r>
      <w:proofErr w:type="gramEnd"/>
      <w:r w:rsidRPr="00903864">
        <w:rPr>
          <w:rFonts w:ascii="Cambria" w:hAnsi="Cambria" w:cstheme="minorHAnsi"/>
        </w:rPr>
        <w:t xml:space="preserve"> </w:t>
      </w:r>
    </w:p>
    <w:p w14:paraId="6C5534BB" w14:textId="5010D5D1" w:rsidR="00517DA6" w:rsidRPr="00903864" w:rsidRDefault="00D10C2A" w:rsidP="00AB2525">
      <w:pPr>
        <w:pStyle w:val="ListNumber"/>
        <w:numPr>
          <w:ilvl w:val="0"/>
          <w:numId w:val="0"/>
        </w:numPr>
        <w:spacing w:line="276" w:lineRule="auto"/>
        <w:ind w:left="473"/>
        <w:rPr>
          <w:rFonts w:ascii="Cambria" w:hAnsi="Cambria"/>
        </w:rPr>
      </w:pPr>
      <w:hyperlink r:id="rId45" w:history="1">
        <w:r w:rsidR="00AB2525" w:rsidRPr="00903864">
          <w:rPr>
            <w:rStyle w:val="Hyperlink"/>
            <w:rFonts w:ascii="Cambria" w:hAnsi="Cambria" w:cstheme="minorHAnsi"/>
          </w:rPr>
          <w:t>https://www.health.gov.au/sites/default/files/documents/2021/10/covid-19-vaccination-atagi-clinical-guidance-on-covid-19-vaccine-in-australia-in-2021.pdf</w:t>
        </w:r>
      </w:hyperlink>
    </w:p>
    <w:p w14:paraId="1BD4E9FD" w14:textId="77777777" w:rsidR="00517DA6" w:rsidRPr="00903864" w:rsidRDefault="00D10C2A" w:rsidP="00517DA6">
      <w:pPr>
        <w:pStyle w:val="ListNumber"/>
        <w:numPr>
          <w:ilvl w:val="0"/>
          <w:numId w:val="17"/>
        </w:numPr>
        <w:spacing w:line="276" w:lineRule="auto"/>
        <w:rPr>
          <w:rFonts w:ascii="Cambria" w:hAnsi="Cambria" w:cstheme="minorHAnsi"/>
        </w:rPr>
      </w:pPr>
      <w:hyperlink r:id="rId46" w:history="1">
        <w:r w:rsidR="00517DA6" w:rsidRPr="00903864">
          <w:rPr>
            <w:rStyle w:val="Hyperlink"/>
            <w:rFonts w:ascii="Cambria" w:hAnsi="Cambria"/>
          </w:rPr>
          <w:t xml:space="preserve">What is Transverse Myelitis (TM)? | Johns Hopkins Transverse Myelitis </w:t>
        </w:r>
        <w:proofErr w:type="spellStart"/>
        <w:r w:rsidR="00517DA6" w:rsidRPr="00903864">
          <w:rPr>
            <w:rStyle w:val="Hyperlink"/>
            <w:rFonts w:ascii="Cambria" w:hAnsi="Cambria"/>
          </w:rPr>
          <w:t>Center</w:t>
        </w:r>
        <w:proofErr w:type="spellEnd"/>
        <w:r w:rsidR="00517DA6" w:rsidRPr="00903864">
          <w:rPr>
            <w:rStyle w:val="Hyperlink"/>
            <w:rFonts w:ascii="Cambria" w:hAnsi="Cambria"/>
          </w:rPr>
          <w:t xml:space="preserve"> (hopkinsmedicine.org)</w:t>
        </w:r>
      </w:hyperlink>
    </w:p>
    <w:p w14:paraId="522152B8" w14:textId="77777777" w:rsidR="00517DA6" w:rsidRPr="00903864" w:rsidRDefault="00517DA6" w:rsidP="00517DA6">
      <w:pPr>
        <w:pStyle w:val="ListNumber"/>
        <w:numPr>
          <w:ilvl w:val="0"/>
          <w:numId w:val="17"/>
        </w:numPr>
        <w:spacing w:line="276" w:lineRule="auto"/>
        <w:rPr>
          <w:rFonts w:ascii="Cambria" w:hAnsi="Cambria"/>
          <w:color w:val="0000FF"/>
          <w:u w:val="single"/>
        </w:rPr>
      </w:pPr>
      <w:r w:rsidRPr="00903864">
        <w:rPr>
          <w:rFonts w:ascii="Cambria" w:hAnsi="Cambria"/>
        </w:rPr>
        <w:t xml:space="preserve">The Brighton Collaboration published a case definition for Transverse Myelitis </w:t>
      </w:r>
      <w:hyperlink r:id="rId47" w:history="1">
        <w:r w:rsidRPr="00903864">
          <w:rPr>
            <w:rStyle w:val="Hyperlink"/>
            <w:rFonts w:ascii="Cambria" w:hAnsi="Cambria"/>
          </w:rPr>
          <w:t>SPEAC_D2.5.2.1_Myelitis-Case-Definition-Companion-Guide_V3.0_13Feb2021_format12066-1.pdf (brightoncollaboration.us)</w:t>
        </w:r>
      </w:hyperlink>
    </w:p>
    <w:p w14:paraId="636F4571" w14:textId="77777777" w:rsidR="00517DA6" w:rsidRPr="00903864" w:rsidRDefault="00517DA6" w:rsidP="00517DA6">
      <w:pPr>
        <w:pStyle w:val="ListNumber"/>
        <w:numPr>
          <w:ilvl w:val="0"/>
          <w:numId w:val="17"/>
        </w:numPr>
        <w:spacing w:line="276" w:lineRule="auto"/>
        <w:rPr>
          <w:rFonts w:ascii="Cambria" w:hAnsi="Cambria"/>
        </w:rPr>
      </w:pPr>
      <w:r w:rsidRPr="00903864">
        <w:rPr>
          <w:rFonts w:ascii="Cambria" w:hAnsi="Cambria"/>
        </w:rPr>
        <w:t xml:space="preserve">Product Information: </w:t>
      </w:r>
      <w:hyperlink r:id="rId48" w:history="1">
        <w:r w:rsidRPr="00903864">
          <w:rPr>
            <w:rStyle w:val="Hyperlink"/>
            <w:rFonts w:ascii="Cambria" w:hAnsi="Cambria" w:cstheme="minorHAnsi"/>
          </w:rPr>
          <w:t xml:space="preserve">Product Information </w:t>
        </w:r>
        <w:proofErr w:type="spellStart"/>
        <w:r w:rsidRPr="00903864">
          <w:rPr>
            <w:rStyle w:val="Hyperlink"/>
            <w:rFonts w:ascii="Cambria" w:hAnsi="Cambria" w:cstheme="minorHAnsi"/>
          </w:rPr>
          <w:t>Vaxzevria</w:t>
        </w:r>
        <w:proofErr w:type="spellEnd"/>
        <w:r w:rsidRPr="00903864">
          <w:rPr>
            <w:rStyle w:val="Hyperlink"/>
            <w:rFonts w:ascii="Cambria" w:hAnsi="Cambria" w:cstheme="minorHAnsi"/>
          </w:rPr>
          <w:t xml:space="preserve"> (AstraZeneca)</w:t>
        </w:r>
      </w:hyperlink>
    </w:p>
    <w:p w14:paraId="3EC7EFC5" w14:textId="77777777" w:rsidR="00517DA6" w:rsidRPr="00903864" w:rsidRDefault="00517DA6" w:rsidP="001D7C0B">
      <w:pPr>
        <w:pStyle w:val="Heading3"/>
        <w:rPr>
          <w:rFonts w:ascii="Cambria" w:hAnsi="Cambria"/>
        </w:rPr>
      </w:pPr>
      <w:bookmarkStart w:id="81" w:name="_Toc121208283"/>
      <w:bookmarkStart w:id="82" w:name="_Toc131405297"/>
      <w:bookmarkStart w:id="83" w:name="_Toc153956574"/>
      <w:r w:rsidRPr="00903864">
        <w:rPr>
          <w:rFonts w:ascii="Cambria" w:hAnsi="Cambria"/>
        </w:rPr>
        <w:t>Product Information</w:t>
      </w:r>
      <w:bookmarkEnd w:id="81"/>
      <w:bookmarkEnd w:id="82"/>
      <w:bookmarkEnd w:id="83"/>
    </w:p>
    <w:p w14:paraId="7B78A5A3" w14:textId="664DC155" w:rsidR="001D7C0B" w:rsidRPr="00903864" w:rsidRDefault="00D10C2A" w:rsidP="001D7C0B">
      <w:pPr>
        <w:pStyle w:val="ListBullet"/>
        <w:ind w:left="357" w:hanging="357"/>
        <w:rPr>
          <w:rFonts w:ascii="Cambria" w:hAnsi="Cambria" w:cstheme="minorHAnsi"/>
          <w:color w:val="0000FF"/>
          <w:u w:val="single"/>
        </w:rPr>
      </w:pPr>
      <w:hyperlink r:id="rId49" w:history="1">
        <w:r w:rsidR="00517DA6" w:rsidRPr="00903864">
          <w:rPr>
            <w:rStyle w:val="Hyperlink"/>
            <w:rFonts w:ascii="Cambria" w:hAnsi="Cambria" w:cstheme="minorHAnsi"/>
          </w:rPr>
          <w:t xml:space="preserve">Product Information </w:t>
        </w:r>
        <w:proofErr w:type="spellStart"/>
        <w:r w:rsidR="00517DA6" w:rsidRPr="00903864">
          <w:rPr>
            <w:rStyle w:val="Hyperlink"/>
            <w:rFonts w:ascii="Cambria" w:hAnsi="Cambria" w:cstheme="minorHAnsi"/>
          </w:rPr>
          <w:t>Vaxzevria</w:t>
        </w:r>
        <w:proofErr w:type="spellEnd"/>
        <w:r w:rsidR="00517DA6" w:rsidRPr="00903864">
          <w:rPr>
            <w:rStyle w:val="Hyperlink"/>
            <w:rFonts w:ascii="Cambria" w:hAnsi="Cambria" w:cstheme="minorHAnsi"/>
          </w:rPr>
          <w:t xml:space="preserve"> (AstraZeneca)</w:t>
        </w:r>
      </w:hyperlink>
      <w:r w:rsidR="001D7C0B" w:rsidRPr="00903864">
        <w:rPr>
          <w:rFonts w:ascii="Cambria" w:hAnsi="Cambria" w:cs="Arial"/>
          <w:b/>
          <w:bCs/>
          <w:sz w:val="28"/>
          <w:szCs w:val="28"/>
        </w:rPr>
        <w:br w:type="page"/>
      </w:r>
    </w:p>
    <w:p w14:paraId="52006DC3" w14:textId="6551500B" w:rsidR="00517DA6" w:rsidRPr="00903864" w:rsidRDefault="00517DA6" w:rsidP="001D7C0B">
      <w:pPr>
        <w:pStyle w:val="Heading2"/>
        <w:rPr>
          <w:rFonts w:ascii="Cambria" w:hAnsi="Cambria" w:cs="Arial"/>
          <w:b/>
          <w:bCs/>
          <w:color w:val="auto"/>
          <w:sz w:val="28"/>
          <w:szCs w:val="28"/>
        </w:rPr>
      </w:pPr>
      <w:bookmarkStart w:id="84" w:name="_Toc153956575"/>
      <w:r w:rsidRPr="00903864">
        <w:rPr>
          <w:rFonts w:ascii="Cambria" w:hAnsi="Cambria" w:cs="Arial"/>
          <w:b/>
          <w:bCs/>
          <w:color w:val="auto"/>
          <w:sz w:val="28"/>
          <w:szCs w:val="28"/>
        </w:rPr>
        <w:lastRenderedPageBreak/>
        <w:t>Version history</w:t>
      </w:r>
      <w:bookmarkEnd w:id="84"/>
    </w:p>
    <w:tbl>
      <w:tblPr>
        <w:tblStyle w:val="TableTGAblack"/>
        <w:tblW w:w="9038" w:type="dxa"/>
        <w:tblLayout w:type="fixed"/>
        <w:tblLook w:val="04A0" w:firstRow="1" w:lastRow="0" w:firstColumn="1" w:lastColumn="0" w:noHBand="0" w:noVBand="1"/>
        <w:tblDescription w:val="Version history table"/>
      </w:tblPr>
      <w:tblGrid>
        <w:gridCol w:w="1276"/>
        <w:gridCol w:w="3242"/>
        <w:gridCol w:w="2712"/>
        <w:gridCol w:w="1808"/>
      </w:tblGrid>
      <w:tr w:rsidR="00517DA6" w:rsidRPr="00903864" w14:paraId="62609B25" w14:textId="77777777" w:rsidTr="00D116B4">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100" w:firstRow="0" w:lastRow="0" w:firstColumn="1" w:lastColumn="0" w:oddVBand="0" w:evenVBand="0" w:oddHBand="0" w:evenHBand="0" w:firstRowFirstColumn="1" w:firstRowLastColumn="0" w:lastRowFirstColumn="0" w:lastRowLastColumn="0"/>
            <w:tcW w:w="1276" w:type="dxa"/>
          </w:tcPr>
          <w:p w14:paraId="757FBC9C" w14:textId="77777777" w:rsidR="00517DA6" w:rsidRPr="00903864" w:rsidRDefault="00517DA6" w:rsidP="00B101DB">
            <w:r w:rsidRPr="00903864">
              <w:t>Version</w:t>
            </w:r>
          </w:p>
        </w:tc>
        <w:tc>
          <w:tcPr>
            <w:tcW w:w="3242" w:type="dxa"/>
          </w:tcPr>
          <w:p w14:paraId="4073A6A8" w14:textId="77777777" w:rsidR="00517DA6" w:rsidRPr="00903864" w:rsidRDefault="00517DA6" w:rsidP="00B101DB">
            <w:pPr>
              <w:cnfStyle w:val="100000000000" w:firstRow="1" w:lastRow="0" w:firstColumn="0" w:lastColumn="0" w:oddVBand="0" w:evenVBand="0" w:oddHBand="0" w:evenHBand="0" w:firstRowFirstColumn="0" w:firstRowLastColumn="0" w:lastRowFirstColumn="0" w:lastRowLastColumn="0"/>
              <w:rPr>
                <w:rFonts w:ascii="Cambria" w:hAnsi="Cambria"/>
              </w:rPr>
            </w:pPr>
            <w:r w:rsidRPr="00903864">
              <w:rPr>
                <w:rFonts w:ascii="Cambria" w:hAnsi="Cambria"/>
              </w:rPr>
              <w:t>Description of change</w:t>
            </w:r>
          </w:p>
        </w:tc>
        <w:tc>
          <w:tcPr>
            <w:tcW w:w="2712" w:type="dxa"/>
          </w:tcPr>
          <w:p w14:paraId="2FCD49C8" w14:textId="77777777" w:rsidR="00517DA6" w:rsidRPr="00903864" w:rsidRDefault="00517DA6" w:rsidP="00B101DB">
            <w:pPr>
              <w:cnfStyle w:val="100000000000" w:firstRow="1" w:lastRow="0" w:firstColumn="0" w:lastColumn="0" w:oddVBand="0" w:evenVBand="0" w:oddHBand="0" w:evenHBand="0" w:firstRowFirstColumn="0" w:firstRowLastColumn="0" w:lastRowFirstColumn="0" w:lastRowLastColumn="0"/>
              <w:rPr>
                <w:rFonts w:ascii="Cambria" w:hAnsi="Cambria"/>
              </w:rPr>
            </w:pPr>
            <w:r w:rsidRPr="00903864">
              <w:rPr>
                <w:rFonts w:ascii="Cambria" w:hAnsi="Cambria"/>
              </w:rPr>
              <w:t>Author</w:t>
            </w:r>
          </w:p>
        </w:tc>
        <w:tc>
          <w:tcPr>
            <w:tcW w:w="1808" w:type="dxa"/>
          </w:tcPr>
          <w:p w14:paraId="719453D2" w14:textId="77777777" w:rsidR="00517DA6" w:rsidRPr="00903864" w:rsidRDefault="00517DA6" w:rsidP="00B101DB">
            <w:pPr>
              <w:cnfStyle w:val="100000000000" w:firstRow="1" w:lastRow="0" w:firstColumn="0" w:lastColumn="0" w:oddVBand="0" w:evenVBand="0" w:oddHBand="0" w:evenHBand="0" w:firstRowFirstColumn="0" w:firstRowLastColumn="0" w:lastRowFirstColumn="0" w:lastRowLastColumn="0"/>
              <w:rPr>
                <w:rFonts w:ascii="Cambria" w:hAnsi="Cambria"/>
              </w:rPr>
            </w:pPr>
            <w:r w:rsidRPr="00903864">
              <w:rPr>
                <w:rFonts w:ascii="Cambria" w:hAnsi="Cambria"/>
              </w:rPr>
              <w:t>Effective date</w:t>
            </w:r>
          </w:p>
        </w:tc>
      </w:tr>
      <w:tr w:rsidR="00517DA6" w:rsidRPr="00903864" w14:paraId="6B09D372" w14:textId="77777777" w:rsidTr="00D116B4">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2F2CBE06" w14:textId="77777777" w:rsidR="00517DA6" w:rsidRPr="00903864" w:rsidRDefault="00517DA6" w:rsidP="00B101DB">
            <w:r w:rsidRPr="00903864">
              <w:t>V1.0</w:t>
            </w:r>
          </w:p>
        </w:tc>
        <w:tc>
          <w:tcPr>
            <w:tcW w:w="3242" w:type="dxa"/>
          </w:tcPr>
          <w:p w14:paraId="6282AF04" w14:textId="77777777" w:rsidR="00517DA6" w:rsidRPr="00903864" w:rsidRDefault="00517DA6" w:rsidP="00B101DB">
            <w:pPr>
              <w:cnfStyle w:val="000000000000" w:firstRow="0" w:lastRow="0" w:firstColumn="0" w:lastColumn="0" w:oddVBand="0" w:evenVBand="0" w:oddHBand="0" w:evenHBand="0" w:firstRowFirstColumn="0" w:firstRowLastColumn="0" w:lastRowFirstColumn="0" w:lastRowLastColumn="0"/>
            </w:pPr>
            <w:r w:rsidRPr="00903864">
              <w:t>Original publication</w:t>
            </w:r>
          </w:p>
        </w:tc>
        <w:tc>
          <w:tcPr>
            <w:tcW w:w="2712" w:type="dxa"/>
          </w:tcPr>
          <w:p w14:paraId="4A810731" w14:textId="77777777" w:rsidR="00517DA6" w:rsidRPr="00903864" w:rsidRDefault="00517DA6" w:rsidP="00B101DB">
            <w:pPr>
              <w:cnfStyle w:val="000000000000" w:firstRow="0" w:lastRow="0" w:firstColumn="0" w:lastColumn="0" w:oddVBand="0" w:evenVBand="0" w:oddHBand="0" w:evenHBand="0" w:firstRowFirstColumn="0" w:firstRowLastColumn="0" w:lastRowFirstColumn="0" w:lastRowLastColumn="0"/>
            </w:pPr>
            <w:r w:rsidRPr="00903864">
              <w:t>MBD / Department of Health and Aged Care</w:t>
            </w:r>
          </w:p>
        </w:tc>
        <w:tc>
          <w:tcPr>
            <w:tcW w:w="1808" w:type="dxa"/>
          </w:tcPr>
          <w:p w14:paraId="52FDBB5D" w14:textId="77777777" w:rsidR="00517DA6" w:rsidRPr="00903864" w:rsidRDefault="00517DA6" w:rsidP="00B101DB">
            <w:pPr>
              <w:cnfStyle w:val="000000000000" w:firstRow="0" w:lastRow="0" w:firstColumn="0" w:lastColumn="0" w:oddVBand="0" w:evenVBand="0" w:oddHBand="0" w:evenHBand="0" w:firstRowFirstColumn="0" w:firstRowLastColumn="0" w:lastRowFirstColumn="0" w:lastRowLastColumn="0"/>
            </w:pPr>
            <w:r w:rsidRPr="00903864">
              <w:t xml:space="preserve">13/12/2021 </w:t>
            </w:r>
          </w:p>
        </w:tc>
      </w:tr>
      <w:tr w:rsidR="00517DA6" w:rsidRPr="00903864" w14:paraId="5CDE7F94" w14:textId="77777777" w:rsidTr="00D116B4">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7301B57F" w14:textId="77777777" w:rsidR="00517DA6" w:rsidRPr="00903864" w:rsidRDefault="00517DA6" w:rsidP="00B101DB">
            <w:r w:rsidRPr="00903864">
              <w:t>V1.1</w:t>
            </w:r>
          </w:p>
        </w:tc>
        <w:tc>
          <w:tcPr>
            <w:tcW w:w="3242" w:type="dxa"/>
          </w:tcPr>
          <w:p w14:paraId="239CB75C" w14:textId="77777777" w:rsidR="00517DA6" w:rsidRPr="00903864" w:rsidRDefault="00517DA6" w:rsidP="00B101DB">
            <w:pPr>
              <w:cnfStyle w:val="000000000000" w:firstRow="0" w:lastRow="0" w:firstColumn="0" w:lastColumn="0" w:oddVBand="0" w:evenVBand="0" w:oddHBand="0" w:evenHBand="0" w:firstRowFirstColumn="0" w:firstRowLastColumn="0" w:lastRowFirstColumn="0" w:lastRowLastColumn="0"/>
            </w:pPr>
            <w:r w:rsidRPr="00903864">
              <w:t>Addition of an applicable vaccine.</w:t>
            </w:r>
          </w:p>
          <w:p w14:paraId="4E32FF64" w14:textId="77777777" w:rsidR="00517DA6" w:rsidRPr="00903864" w:rsidRDefault="00517DA6" w:rsidP="00B101DB">
            <w:pPr>
              <w:cnfStyle w:val="000000000000" w:firstRow="0" w:lastRow="0" w:firstColumn="0" w:lastColumn="0" w:oddVBand="0" w:evenVBand="0" w:oddHBand="0" w:evenHBand="0" w:firstRowFirstColumn="0" w:firstRowLastColumn="0" w:lastRowFirstColumn="0" w:lastRowLastColumn="0"/>
            </w:pPr>
            <w:r w:rsidRPr="00903864">
              <w:t>Clarification of assessment process and evidence requirements in section “Fatal outcomes of claimable conditions.”</w:t>
            </w:r>
          </w:p>
          <w:p w14:paraId="157C774C" w14:textId="77777777" w:rsidR="00517DA6" w:rsidRPr="00903864" w:rsidRDefault="00517DA6" w:rsidP="00B101DB">
            <w:pPr>
              <w:cnfStyle w:val="000000000000" w:firstRow="0" w:lastRow="0" w:firstColumn="0" w:lastColumn="0" w:oddVBand="0" w:evenVBand="0" w:oddHBand="0" w:evenHBand="0" w:firstRowFirstColumn="0" w:firstRowLastColumn="0" w:lastRowFirstColumn="0" w:lastRowLastColumn="0"/>
            </w:pPr>
            <w:r w:rsidRPr="00903864">
              <w:t>Amendment of types of evidence that should be considered for pericarditis.</w:t>
            </w:r>
          </w:p>
          <w:p w14:paraId="62F95B86" w14:textId="77777777" w:rsidR="00517DA6" w:rsidRPr="00903864" w:rsidRDefault="00517DA6" w:rsidP="00B101DB">
            <w:pPr>
              <w:cnfStyle w:val="000000000000" w:firstRow="0" w:lastRow="0" w:firstColumn="0" w:lastColumn="0" w:oddVBand="0" w:evenVBand="0" w:oddHBand="0" w:evenHBand="0" w:firstRowFirstColumn="0" w:firstRowLastColumn="0" w:lastRowFirstColumn="0" w:lastRowLastColumn="0"/>
            </w:pPr>
            <w:r w:rsidRPr="00903864">
              <w:t>Administrative change – numbering of resource documents.</w:t>
            </w:r>
          </w:p>
        </w:tc>
        <w:tc>
          <w:tcPr>
            <w:tcW w:w="2712" w:type="dxa"/>
          </w:tcPr>
          <w:p w14:paraId="1339175F" w14:textId="77777777" w:rsidR="00517DA6" w:rsidRPr="00903864" w:rsidRDefault="00517DA6" w:rsidP="00B101DB">
            <w:pPr>
              <w:cnfStyle w:val="000000000000" w:firstRow="0" w:lastRow="0" w:firstColumn="0" w:lastColumn="0" w:oddVBand="0" w:evenVBand="0" w:oddHBand="0" w:evenHBand="0" w:firstRowFirstColumn="0" w:firstRowLastColumn="0" w:lastRowFirstColumn="0" w:lastRowLastColumn="0"/>
            </w:pPr>
            <w:r w:rsidRPr="00903864">
              <w:t>THERAPEUTIC GOODS ADMINISTRATION and MBD/Department of Health and Aged Care</w:t>
            </w:r>
          </w:p>
        </w:tc>
        <w:tc>
          <w:tcPr>
            <w:tcW w:w="1808" w:type="dxa"/>
          </w:tcPr>
          <w:p w14:paraId="10425C60" w14:textId="77777777" w:rsidR="00517DA6" w:rsidRPr="00903864" w:rsidRDefault="00517DA6" w:rsidP="00B101DB">
            <w:pPr>
              <w:cnfStyle w:val="000000000000" w:firstRow="0" w:lastRow="0" w:firstColumn="0" w:lastColumn="0" w:oddVBand="0" w:evenVBand="0" w:oddHBand="0" w:evenHBand="0" w:firstRowFirstColumn="0" w:firstRowLastColumn="0" w:lastRowFirstColumn="0" w:lastRowLastColumn="0"/>
            </w:pPr>
            <w:r w:rsidRPr="00903864">
              <w:t>22/4/2022</w:t>
            </w:r>
          </w:p>
        </w:tc>
      </w:tr>
      <w:tr w:rsidR="00AB2525" w:rsidRPr="00903864" w14:paraId="4C155489" w14:textId="77777777" w:rsidTr="00D116B4">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5ED12D27" w14:textId="77777777" w:rsidR="00AB2525" w:rsidRPr="00903864" w:rsidRDefault="00AB2525" w:rsidP="00B101DB">
            <w:r w:rsidRPr="00903864">
              <w:t xml:space="preserve">V1.2 </w:t>
            </w:r>
          </w:p>
        </w:tc>
        <w:tc>
          <w:tcPr>
            <w:tcW w:w="3242" w:type="dxa"/>
            <w:vMerge w:val="restart"/>
          </w:tcPr>
          <w:p w14:paraId="19BE0996" w14:textId="77777777" w:rsidR="00AB2525" w:rsidRPr="00903864" w:rsidRDefault="00AB2525" w:rsidP="00B101DB">
            <w:pPr>
              <w:cnfStyle w:val="000000000000" w:firstRow="0" w:lastRow="0" w:firstColumn="0" w:lastColumn="0" w:oddVBand="0" w:evenVBand="0" w:oddHBand="0" w:evenHBand="0" w:firstRowFirstColumn="0" w:firstRowLastColumn="0" w:lastRowFirstColumn="0" w:lastRowLastColumn="0"/>
            </w:pPr>
            <w:r w:rsidRPr="00903864">
              <w:t>Addition of a table of contents</w:t>
            </w:r>
          </w:p>
          <w:p w14:paraId="2A827FDB" w14:textId="77777777" w:rsidR="00AB2525" w:rsidRPr="00903864" w:rsidRDefault="00AB2525" w:rsidP="00B101DB">
            <w:pPr>
              <w:cnfStyle w:val="000000000000" w:firstRow="0" w:lastRow="0" w:firstColumn="0" w:lastColumn="0" w:oddVBand="0" w:evenVBand="0" w:oddHBand="0" w:evenHBand="0" w:firstRowFirstColumn="0" w:firstRowLastColumn="0" w:lastRowFirstColumn="0" w:lastRowLastColumn="0"/>
            </w:pPr>
            <w:r w:rsidRPr="00903864">
              <w:t xml:space="preserve">Clarification of death certificate requirements and </w:t>
            </w:r>
            <w:r w:rsidRPr="00903864">
              <w:lastRenderedPageBreak/>
              <w:t xml:space="preserve">having regard to cause of death in “Fatal Outcomes of Claimable </w:t>
            </w:r>
            <w:proofErr w:type="gramStart"/>
            <w:r w:rsidRPr="00903864">
              <w:t>Conditions”</w:t>
            </w:r>
            <w:proofErr w:type="gramEnd"/>
          </w:p>
          <w:p w14:paraId="6B6FCF85" w14:textId="77777777" w:rsidR="00AB2525" w:rsidRPr="00903864" w:rsidRDefault="00AB2525" w:rsidP="00B101DB">
            <w:pPr>
              <w:cnfStyle w:val="000000000000" w:firstRow="0" w:lastRow="0" w:firstColumn="0" w:lastColumn="0" w:oddVBand="0" w:evenVBand="0" w:oddHBand="0" w:evenHBand="0" w:firstRowFirstColumn="0" w:firstRowLastColumn="0" w:lastRowFirstColumn="0" w:lastRowLastColumn="0"/>
            </w:pPr>
            <w:r w:rsidRPr="00903864">
              <w:t xml:space="preserve">Additional evidence required in the claimable condition of anaphylaxis, </w:t>
            </w:r>
            <w:proofErr w:type="spellStart"/>
            <w:r w:rsidRPr="00903864">
              <w:t>i.e</w:t>
            </w:r>
            <w:proofErr w:type="spellEnd"/>
            <w:r w:rsidRPr="00903864">
              <w:t xml:space="preserve"> administration of </w:t>
            </w:r>
            <w:proofErr w:type="gramStart"/>
            <w:r w:rsidRPr="00903864">
              <w:t>adrenaline</w:t>
            </w:r>
            <w:proofErr w:type="gramEnd"/>
          </w:p>
          <w:p w14:paraId="3B790ECA" w14:textId="77777777" w:rsidR="00AB2525" w:rsidRPr="00903864" w:rsidRDefault="00AB2525" w:rsidP="00B101DB">
            <w:pPr>
              <w:cnfStyle w:val="000000000000" w:firstRow="0" w:lastRow="0" w:firstColumn="0" w:lastColumn="0" w:oddVBand="0" w:evenVBand="0" w:oddHBand="0" w:evenHBand="0" w:firstRowFirstColumn="0" w:firstRowLastColumn="0" w:lastRowFirstColumn="0" w:lastRowLastColumn="0"/>
            </w:pPr>
            <w:r w:rsidRPr="00903864">
              <w:t>Updated wording for Tier 1, 2 and 3 claims</w:t>
            </w:r>
          </w:p>
          <w:p w14:paraId="2E391D65" w14:textId="77777777" w:rsidR="00AB2525" w:rsidRPr="00903864" w:rsidRDefault="00AB2525" w:rsidP="00B101DB">
            <w:pPr>
              <w:cnfStyle w:val="000000000000" w:firstRow="0" w:lastRow="0" w:firstColumn="0" w:lastColumn="0" w:oddVBand="0" w:evenVBand="0" w:oddHBand="0" w:evenHBand="0" w:firstRowFirstColumn="0" w:firstRowLastColumn="0" w:lastRowFirstColumn="0" w:lastRowLastColumn="0"/>
            </w:pPr>
            <w:r w:rsidRPr="00903864">
              <w:t>Rewording of “Link to Vaccination” section for clarity</w:t>
            </w:r>
          </w:p>
          <w:p w14:paraId="60298681" w14:textId="77777777" w:rsidR="00AB2525" w:rsidRPr="00903864" w:rsidRDefault="00AB2525" w:rsidP="00B101DB">
            <w:pPr>
              <w:cnfStyle w:val="000000000000" w:firstRow="0" w:lastRow="0" w:firstColumn="0" w:lastColumn="0" w:oddVBand="0" w:evenVBand="0" w:oddHBand="0" w:evenHBand="0" w:firstRowFirstColumn="0" w:firstRowLastColumn="0" w:lastRowFirstColumn="0" w:lastRowLastColumn="0"/>
            </w:pPr>
            <w:r w:rsidRPr="00903864">
              <w:t>Clarification of the role of the “Reporting Practitioner”</w:t>
            </w:r>
          </w:p>
          <w:p w14:paraId="3419E266" w14:textId="77777777" w:rsidR="00AB2525" w:rsidRPr="00903864" w:rsidRDefault="00AB2525" w:rsidP="00B101DB">
            <w:pPr>
              <w:cnfStyle w:val="000000000000" w:firstRow="0" w:lastRow="0" w:firstColumn="0" w:lastColumn="0" w:oddVBand="0" w:evenVBand="0" w:oddHBand="0" w:evenHBand="0" w:firstRowFirstColumn="0" w:firstRowLastColumn="0" w:lastRowFirstColumn="0" w:lastRowLastColumn="0"/>
            </w:pPr>
            <w:r w:rsidRPr="00903864">
              <w:t xml:space="preserve">Further clarification added to “Assessment Criteria for </w:t>
            </w:r>
            <w:proofErr w:type="gramStart"/>
            <w:r w:rsidRPr="00903864">
              <w:t>Claims”</w:t>
            </w:r>
            <w:proofErr w:type="gramEnd"/>
          </w:p>
          <w:p w14:paraId="600F2D3B" w14:textId="77777777" w:rsidR="00AB2525" w:rsidRPr="00903864" w:rsidRDefault="00AB2525" w:rsidP="00B101DB">
            <w:pPr>
              <w:cnfStyle w:val="000000000000" w:firstRow="0" w:lastRow="0" w:firstColumn="0" w:lastColumn="0" w:oddVBand="0" w:evenVBand="0" w:oddHBand="0" w:evenHBand="0" w:firstRowFirstColumn="0" w:firstRowLastColumn="0" w:lastRowFirstColumn="0" w:lastRowLastColumn="0"/>
            </w:pPr>
            <w:r w:rsidRPr="00903864">
              <w:t xml:space="preserve">Very minor wording changes throughout, including addition of resources and minor edits for syntax throughout the </w:t>
            </w:r>
            <w:proofErr w:type="gramStart"/>
            <w:r w:rsidRPr="00903864">
              <w:t>document</w:t>
            </w:r>
            <w:proofErr w:type="gramEnd"/>
          </w:p>
          <w:p w14:paraId="414729E5" w14:textId="18B25760" w:rsidR="00AB2525" w:rsidRPr="00903864" w:rsidRDefault="00AB2525" w:rsidP="00B101DB">
            <w:pPr>
              <w:cnfStyle w:val="000000000000" w:firstRow="0" w:lastRow="0" w:firstColumn="0" w:lastColumn="0" w:oddVBand="0" w:evenVBand="0" w:oddHBand="0" w:evenHBand="0" w:firstRowFirstColumn="0" w:firstRowLastColumn="0" w:lastRowFirstColumn="0" w:lastRowLastColumn="0"/>
            </w:pPr>
            <w:r w:rsidRPr="00903864">
              <w:t xml:space="preserve">Added new claimable conditions: CVST without thrombocytopenia, Transverse Myelitis and Erythema Multiforme Major. Minor updates to GBS. Added definition of ‘final diagnosis’ and clarified wording of Criterion 1 and Criterion 2. </w:t>
            </w:r>
          </w:p>
        </w:tc>
        <w:tc>
          <w:tcPr>
            <w:tcW w:w="2712" w:type="dxa"/>
            <w:vMerge w:val="restart"/>
          </w:tcPr>
          <w:p w14:paraId="621EFA86" w14:textId="77777777" w:rsidR="00AB2525" w:rsidRPr="00903864" w:rsidDel="00A46742" w:rsidRDefault="00AB2525" w:rsidP="00B101DB">
            <w:pPr>
              <w:cnfStyle w:val="000000000000" w:firstRow="0" w:lastRow="0" w:firstColumn="0" w:lastColumn="0" w:oddVBand="0" w:evenVBand="0" w:oddHBand="0" w:evenHBand="0" w:firstRowFirstColumn="0" w:firstRowLastColumn="0" w:lastRowFirstColumn="0" w:lastRowLastColumn="0"/>
            </w:pPr>
            <w:r w:rsidRPr="00903864">
              <w:lastRenderedPageBreak/>
              <w:t>Therapeutic Goods Administration and MBD/Department of Health and Aged Care</w:t>
            </w:r>
          </w:p>
        </w:tc>
        <w:tc>
          <w:tcPr>
            <w:tcW w:w="1808" w:type="dxa"/>
            <w:vMerge w:val="restart"/>
          </w:tcPr>
          <w:p w14:paraId="597DD9B2" w14:textId="5E7B70F7" w:rsidR="00AB2525" w:rsidRPr="00903864" w:rsidRDefault="00AB2525" w:rsidP="00B101DB">
            <w:pPr>
              <w:cnfStyle w:val="000000000000" w:firstRow="0" w:lastRow="0" w:firstColumn="0" w:lastColumn="0" w:oddVBand="0" w:evenVBand="0" w:oddHBand="0" w:evenHBand="0" w:firstRowFirstColumn="0" w:firstRowLastColumn="0" w:lastRowFirstColumn="0" w:lastRowLastColumn="0"/>
            </w:pPr>
            <w:r w:rsidRPr="00903864">
              <w:t>3/4/23</w:t>
            </w:r>
          </w:p>
        </w:tc>
      </w:tr>
      <w:tr w:rsidR="00AB2525" w:rsidRPr="00903864" w14:paraId="21DC1922" w14:textId="77777777" w:rsidTr="00D116B4">
        <w:trPr>
          <w:trHeight w:val="1418"/>
        </w:trPr>
        <w:tc>
          <w:tcPr>
            <w:cnfStyle w:val="001000000000" w:firstRow="0" w:lastRow="0" w:firstColumn="1" w:lastColumn="0" w:oddVBand="0" w:evenVBand="0" w:oddHBand="0" w:evenHBand="0" w:firstRowFirstColumn="0" w:firstRowLastColumn="0" w:lastRowFirstColumn="0" w:lastRowLastColumn="0"/>
            <w:tcW w:w="1276" w:type="dxa"/>
            <w:tcBorders>
              <w:top w:val="nil"/>
            </w:tcBorders>
          </w:tcPr>
          <w:p w14:paraId="6958E18F" w14:textId="77777777" w:rsidR="00AB2525" w:rsidRPr="00903864" w:rsidRDefault="00AB2525" w:rsidP="00B101DB"/>
        </w:tc>
        <w:tc>
          <w:tcPr>
            <w:tcW w:w="3242" w:type="dxa"/>
            <w:vMerge/>
            <w:tcBorders>
              <w:top w:val="nil"/>
            </w:tcBorders>
          </w:tcPr>
          <w:p w14:paraId="11D22A55" w14:textId="034F6A6C" w:rsidR="00AB2525" w:rsidRPr="00903864" w:rsidRDefault="00AB2525" w:rsidP="00B101DB">
            <w:pPr>
              <w:cnfStyle w:val="000000000000" w:firstRow="0" w:lastRow="0" w:firstColumn="0" w:lastColumn="0" w:oddVBand="0" w:evenVBand="0" w:oddHBand="0" w:evenHBand="0" w:firstRowFirstColumn="0" w:firstRowLastColumn="0" w:lastRowFirstColumn="0" w:lastRowLastColumn="0"/>
            </w:pPr>
          </w:p>
        </w:tc>
        <w:tc>
          <w:tcPr>
            <w:tcW w:w="2712" w:type="dxa"/>
            <w:vMerge/>
          </w:tcPr>
          <w:p w14:paraId="46AEAA43" w14:textId="77777777" w:rsidR="00AB2525" w:rsidRPr="00903864" w:rsidRDefault="00AB2525" w:rsidP="00B101DB">
            <w:pPr>
              <w:cnfStyle w:val="000000000000" w:firstRow="0" w:lastRow="0" w:firstColumn="0" w:lastColumn="0" w:oddVBand="0" w:evenVBand="0" w:oddHBand="0" w:evenHBand="0" w:firstRowFirstColumn="0" w:firstRowLastColumn="0" w:lastRowFirstColumn="0" w:lastRowLastColumn="0"/>
            </w:pPr>
          </w:p>
        </w:tc>
        <w:tc>
          <w:tcPr>
            <w:tcW w:w="1808" w:type="dxa"/>
            <w:vMerge/>
          </w:tcPr>
          <w:p w14:paraId="35C6ACB3" w14:textId="2BD67CB8" w:rsidR="00AB2525" w:rsidRPr="00903864" w:rsidRDefault="00AB2525" w:rsidP="00B101DB">
            <w:pPr>
              <w:cnfStyle w:val="000000000000" w:firstRow="0" w:lastRow="0" w:firstColumn="0" w:lastColumn="0" w:oddVBand="0" w:evenVBand="0" w:oddHBand="0" w:evenHBand="0" w:firstRowFirstColumn="0" w:firstRowLastColumn="0" w:lastRowFirstColumn="0" w:lastRowLastColumn="0"/>
            </w:pPr>
          </w:p>
        </w:tc>
      </w:tr>
      <w:tr w:rsidR="00D116B4" w:rsidRPr="00903864" w14:paraId="3586E013" w14:textId="77777777" w:rsidTr="00D116B4">
        <w:tc>
          <w:tcPr>
            <w:cnfStyle w:val="001000000000" w:firstRow="0" w:lastRow="0" w:firstColumn="1" w:lastColumn="0" w:oddVBand="0" w:evenVBand="0" w:oddHBand="0" w:evenHBand="0" w:firstRowFirstColumn="0" w:firstRowLastColumn="0" w:lastRowFirstColumn="0" w:lastRowLastColumn="0"/>
            <w:tcW w:w="1276" w:type="dxa"/>
          </w:tcPr>
          <w:p w14:paraId="4FE0C156" w14:textId="3F2D282B" w:rsidR="00D116B4" w:rsidRPr="00903864" w:rsidRDefault="00D116B4" w:rsidP="002820A9">
            <w:r w:rsidRPr="00903864">
              <w:lastRenderedPageBreak/>
              <w:t>V1.3</w:t>
            </w:r>
          </w:p>
        </w:tc>
        <w:tc>
          <w:tcPr>
            <w:tcW w:w="3242" w:type="dxa"/>
          </w:tcPr>
          <w:p w14:paraId="5050FEB9" w14:textId="77777777" w:rsidR="00D116B4" w:rsidRPr="00903864" w:rsidRDefault="00D116B4" w:rsidP="002820A9">
            <w:pPr>
              <w:cnfStyle w:val="000000000000" w:firstRow="0" w:lastRow="0" w:firstColumn="0" w:lastColumn="0" w:oddVBand="0" w:evenVBand="0" w:oddHBand="0" w:evenHBand="0" w:firstRowFirstColumn="0" w:firstRowLastColumn="0" w:lastRowFirstColumn="0" w:lastRowLastColumn="0"/>
            </w:pPr>
            <w:r w:rsidRPr="00903864">
              <w:t xml:space="preserve">Clarification of General Paediatrician and subspecialist Paediatrician as a relevant specialty field in the diagnosis of all claimable conditions. </w:t>
            </w:r>
          </w:p>
          <w:p w14:paraId="5AB2FEEE" w14:textId="77777777" w:rsidR="00D116B4" w:rsidRPr="00903864" w:rsidRDefault="00D116B4" w:rsidP="002820A9">
            <w:pPr>
              <w:cnfStyle w:val="000000000000" w:firstRow="0" w:lastRow="0" w:firstColumn="0" w:lastColumn="0" w:oddVBand="0" w:evenVBand="0" w:oddHBand="0" w:evenHBand="0" w:firstRowFirstColumn="0" w:firstRowLastColumn="0" w:lastRowFirstColumn="0" w:lastRowLastColumn="0"/>
            </w:pPr>
          </w:p>
          <w:p w14:paraId="27BD69DC" w14:textId="77777777" w:rsidR="00D116B4" w:rsidRPr="00903864" w:rsidRDefault="00D116B4" w:rsidP="002820A9">
            <w:pPr>
              <w:cnfStyle w:val="000000000000" w:firstRow="0" w:lastRow="0" w:firstColumn="0" w:lastColumn="0" w:oddVBand="0" w:evenVBand="0" w:oddHBand="0" w:evenHBand="0" w:firstRowFirstColumn="0" w:firstRowLastColumn="0" w:lastRowFirstColumn="0" w:lastRowLastColumn="0"/>
            </w:pPr>
            <w:r w:rsidRPr="00903864">
              <w:t xml:space="preserve">Minor clarification regarding the role of the Reporting Practitioner. </w:t>
            </w:r>
          </w:p>
          <w:p w14:paraId="2665474B" w14:textId="77777777" w:rsidR="00D116B4" w:rsidRPr="00903864" w:rsidRDefault="00D116B4" w:rsidP="002820A9">
            <w:pPr>
              <w:cnfStyle w:val="000000000000" w:firstRow="0" w:lastRow="0" w:firstColumn="0" w:lastColumn="0" w:oddVBand="0" w:evenVBand="0" w:oddHBand="0" w:evenHBand="0" w:firstRowFirstColumn="0" w:firstRowLastColumn="0" w:lastRowFirstColumn="0" w:lastRowLastColumn="0"/>
            </w:pPr>
          </w:p>
          <w:p w14:paraId="5C68ADDD" w14:textId="77777777" w:rsidR="00D116B4" w:rsidRPr="00903864" w:rsidRDefault="00D116B4" w:rsidP="002820A9">
            <w:pPr>
              <w:cnfStyle w:val="000000000000" w:firstRow="0" w:lastRow="0" w:firstColumn="0" w:lastColumn="0" w:oddVBand="0" w:evenVBand="0" w:oddHBand="0" w:evenHBand="0" w:firstRowFirstColumn="0" w:firstRowLastColumn="0" w:lastRowFirstColumn="0" w:lastRowLastColumn="0"/>
            </w:pPr>
            <w:r w:rsidRPr="00903864">
              <w:t>Updated references</w:t>
            </w:r>
            <w:r w:rsidR="00B171BC" w:rsidRPr="00903864">
              <w:t xml:space="preserve">, and referencing style made uniform throughout document. </w:t>
            </w:r>
          </w:p>
          <w:p w14:paraId="7C65D7FB" w14:textId="0537D887" w:rsidR="00AE0DEE" w:rsidRPr="00903864" w:rsidRDefault="00AE0DEE" w:rsidP="002820A9">
            <w:pPr>
              <w:cnfStyle w:val="000000000000" w:firstRow="0" w:lastRow="0" w:firstColumn="0" w:lastColumn="0" w:oddVBand="0" w:evenVBand="0" w:oddHBand="0" w:evenHBand="0" w:firstRowFirstColumn="0" w:firstRowLastColumn="0" w:lastRowFirstColumn="0" w:lastRowLastColumn="0"/>
            </w:pPr>
            <w:r w:rsidRPr="00903864">
              <w:t xml:space="preserve">Clarification regarding the role of AEFI case definitions in the Claims assessment process. </w:t>
            </w:r>
          </w:p>
        </w:tc>
        <w:tc>
          <w:tcPr>
            <w:tcW w:w="2712" w:type="dxa"/>
          </w:tcPr>
          <w:p w14:paraId="6A1BACEB" w14:textId="168BF251" w:rsidR="00D116B4" w:rsidRPr="00903864" w:rsidRDefault="00B171BC" w:rsidP="002820A9">
            <w:pPr>
              <w:cnfStyle w:val="000000000000" w:firstRow="0" w:lastRow="0" w:firstColumn="0" w:lastColumn="0" w:oddVBand="0" w:evenVBand="0" w:oddHBand="0" w:evenHBand="0" w:firstRowFirstColumn="0" w:firstRowLastColumn="0" w:lastRowFirstColumn="0" w:lastRowLastColumn="0"/>
            </w:pPr>
            <w:r w:rsidRPr="00903864">
              <w:t xml:space="preserve">Therapeutic Goods Administration </w:t>
            </w:r>
          </w:p>
        </w:tc>
        <w:tc>
          <w:tcPr>
            <w:tcW w:w="1808" w:type="dxa"/>
          </w:tcPr>
          <w:p w14:paraId="42C5B393" w14:textId="19F5E3E0" w:rsidR="00D116B4" w:rsidRPr="00903864" w:rsidRDefault="006320BA" w:rsidP="002820A9">
            <w:pPr>
              <w:cnfStyle w:val="000000000000" w:firstRow="0" w:lastRow="0" w:firstColumn="0" w:lastColumn="0" w:oddVBand="0" w:evenVBand="0" w:oddHBand="0" w:evenHBand="0" w:firstRowFirstColumn="0" w:firstRowLastColumn="0" w:lastRowFirstColumn="0" w:lastRowLastColumn="0"/>
            </w:pPr>
            <w:r>
              <w:t>26</w:t>
            </w:r>
            <w:r w:rsidR="00B171BC" w:rsidRPr="006320BA">
              <w:t>/</w:t>
            </w:r>
            <w:r>
              <w:t>09</w:t>
            </w:r>
            <w:r w:rsidR="00B171BC" w:rsidRPr="006320BA">
              <w:t>/2023</w:t>
            </w:r>
          </w:p>
        </w:tc>
      </w:tr>
      <w:tr w:rsidR="00DE6874" w:rsidRPr="00903864" w14:paraId="08E84F62" w14:textId="77777777" w:rsidTr="00D116B4">
        <w:tc>
          <w:tcPr>
            <w:cnfStyle w:val="001000000000" w:firstRow="0" w:lastRow="0" w:firstColumn="1" w:lastColumn="0" w:oddVBand="0" w:evenVBand="0" w:oddHBand="0" w:evenHBand="0" w:firstRowFirstColumn="0" w:firstRowLastColumn="0" w:lastRowFirstColumn="0" w:lastRowLastColumn="0"/>
            <w:tcW w:w="1276" w:type="dxa"/>
          </w:tcPr>
          <w:p w14:paraId="34EF7A27" w14:textId="7CB435AB" w:rsidR="00DE6874" w:rsidRPr="00275D2C" w:rsidRDefault="00DE6874" w:rsidP="002820A9">
            <w:r w:rsidRPr="00275D2C">
              <w:t xml:space="preserve">V1.4 </w:t>
            </w:r>
          </w:p>
        </w:tc>
        <w:tc>
          <w:tcPr>
            <w:tcW w:w="3242" w:type="dxa"/>
          </w:tcPr>
          <w:p w14:paraId="622DF22C" w14:textId="6D27A509" w:rsidR="00DE6874" w:rsidRPr="00275D2C" w:rsidRDefault="00DE6874" w:rsidP="002820A9">
            <w:pPr>
              <w:cnfStyle w:val="000000000000" w:firstRow="0" w:lastRow="0" w:firstColumn="0" w:lastColumn="0" w:oddVBand="0" w:evenVBand="0" w:oddHBand="0" w:evenHBand="0" w:firstRowFirstColumn="0" w:firstRowLastColumn="0" w:lastRowFirstColumn="0" w:lastRowLastColumn="0"/>
            </w:pPr>
            <w:r w:rsidRPr="00275D2C">
              <w:t>Minor Amendment to refer to updated Policy version</w:t>
            </w:r>
          </w:p>
        </w:tc>
        <w:tc>
          <w:tcPr>
            <w:tcW w:w="2712" w:type="dxa"/>
          </w:tcPr>
          <w:p w14:paraId="06A33DA0" w14:textId="77777777" w:rsidR="00DE6874" w:rsidRPr="00275D2C" w:rsidRDefault="00DE6874" w:rsidP="002820A9">
            <w:pPr>
              <w:cnfStyle w:val="000000000000" w:firstRow="0" w:lastRow="0" w:firstColumn="0" w:lastColumn="0" w:oddVBand="0" w:evenVBand="0" w:oddHBand="0" w:evenHBand="0" w:firstRowFirstColumn="0" w:firstRowLastColumn="0" w:lastRowFirstColumn="0" w:lastRowLastColumn="0"/>
            </w:pPr>
            <w:r w:rsidRPr="00275D2C">
              <w:t>MBD/Department of Health and Aged Care</w:t>
            </w:r>
          </w:p>
          <w:p w14:paraId="17B0712E" w14:textId="6C154274" w:rsidR="00DE6874" w:rsidRPr="00275D2C" w:rsidRDefault="00DE6874" w:rsidP="002820A9">
            <w:pPr>
              <w:cnfStyle w:val="000000000000" w:firstRow="0" w:lastRow="0" w:firstColumn="0" w:lastColumn="0" w:oddVBand="0" w:evenVBand="0" w:oddHBand="0" w:evenHBand="0" w:firstRowFirstColumn="0" w:firstRowLastColumn="0" w:lastRowFirstColumn="0" w:lastRowLastColumn="0"/>
            </w:pPr>
          </w:p>
        </w:tc>
        <w:tc>
          <w:tcPr>
            <w:tcW w:w="1808" w:type="dxa"/>
          </w:tcPr>
          <w:p w14:paraId="66F2BA77" w14:textId="16E41600" w:rsidR="00DE6874" w:rsidRPr="00275D2C" w:rsidRDefault="00640CA1" w:rsidP="002820A9">
            <w:pPr>
              <w:cnfStyle w:val="000000000000" w:firstRow="0" w:lastRow="0" w:firstColumn="0" w:lastColumn="0" w:oddVBand="0" w:evenVBand="0" w:oddHBand="0" w:evenHBand="0" w:firstRowFirstColumn="0" w:firstRowLastColumn="0" w:lastRowFirstColumn="0" w:lastRowLastColumn="0"/>
            </w:pPr>
            <w:r w:rsidRPr="00275D2C">
              <w:t>1</w:t>
            </w:r>
            <w:r w:rsidR="00275D2C">
              <w:t>9</w:t>
            </w:r>
            <w:r w:rsidR="00DE6874" w:rsidRPr="00275D2C">
              <w:t>/1</w:t>
            </w:r>
            <w:r w:rsidRPr="00275D2C">
              <w:t>2</w:t>
            </w:r>
            <w:r w:rsidR="00DE6874" w:rsidRPr="00275D2C">
              <w:t>/23</w:t>
            </w:r>
          </w:p>
        </w:tc>
      </w:tr>
    </w:tbl>
    <w:p w14:paraId="13BCF97B" w14:textId="77777777" w:rsidR="00517DA6" w:rsidRPr="00903864" w:rsidRDefault="00517DA6" w:rsidP="00517DA6">
      <w:pPr>
        <w:rPr>
          <w:rFonts w:ascii="Cambria" w:hAnsi="Cambria"/>
        </w:rPr>
      </w:pPr>
    </w:p>
    <w:p w14:paraId="237267AA" w14:textId="77777777" w:rsidR="00FB71B8" w:rsidRPr="00903864" w:rsidRDefault="00FB71B8">
      <w:pPr>
        <w:rPr>
          <w:rFonts w:ascii="Cambria" w:hAnsi="Cambria"/>
        </w:rPr>
      </w:pPr>
    </w:p>
    <w:sectPr w:rsidR="00FB71B8" w:rsidRPr="00903864" w:rsidSect="0053051D">
      <w:footerReference w:type="default" r:id="rId50"/>
      <w:headerReference w:type="first" r:id="rId51"/>
      <w:pgSz w:w="11906" w:h="16838"/>
      <w:pgMar w:top="1440" w:right="1440" w:bottom="56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A1B34" w14:textId="77777777" w:rsidR="00A2544B" w:rsidRDefault="00A2544B" w:rsidP="00517DA6">
      <w:pPr>
        <w:spacing w:before="0" w:after="0"/>
      </w:pPr>
      <w:r>
        <w:separator/>
      </w:r>
    </w:p>
  </w:endnote>
  <w:endnote w:type="continuationSeparator" w:id="0">
    <w:p w14:paraId="530FF489" w14:textId="77777777" w:rsidR="00A2544B" w:rsidRDefault="00A2544B" w:rsidP="00517D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212873"/>
      <w:docPartObj>
        <w:docPartGallery w:val="Page Numbers (Bottom of Page)"/>
        <w:docPartUnique/>
      </w:docPartObj>
    </w:sdtPr>
    <w:sdtEndPr>
      <w:rPr>
        <w:noProof/>
      </w:rPr>
    </w:sdtEndPr>
    <w:sdtContent>
      <w:p w14:paraId="2E5D7783" w14:textId="7997698F" w:rsidR="00AB2525" w:rsidRDefault="00AB25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6991FE" w14:textId="77777777" w:rsidR="00AB2525" w:rsidRDefault="00AB2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E74E7" w14:textId="77777777" w:rsidR="00A2544B" w:rsidRDefault="00A2544B" w:rsidP="00517DA6">
      <w:pPr>
        <w:spacing w:before="0" w:after="0"/>
      </w:pPr>
      <w:r>
        <w:separator/>
      </w:r>
    </w:p>
  </w:footnote>
  <w:footnote w:type="continuationSeparator" w:id="0">
    <w:p w14:paraId="3A0AEEB2" w14:textId="77777777" w:rsidR="00A2544B" w:rsidRDefault="00A2544B" w:rsidP="00517DA6">
      <w:pPr>
        <w:spacing w:before="0" w:after="0"/>
      </w:pPr>
      <w:r>
        <w:continuationSeparator/>
      </w:r>
    </w:p>
  </w:footnote>
  <w:footnote w:id="1">
    <w:p w14:paraId="4118FE0D" w14:textId="197F8E05" w:rsidR="00E732B1" w:rsidRDefault="00E732B1">
      <w:pPr>
        <w:pStyle w:val="FootnoteText"/>
      </w:pPr>
      <w:r>
        <w:rPr>
          <w:rStyle w:val="FootnoteReference"/>
        </w:rPr>
        <w:footnoteRef/>
      </w:r>
      <w:r>
        <w:t xml:space="preserve"> Causality assessment of an adverse event following immunization (AEFI): user manual for the revised WHO classification second edition, 2019 update. Geneva: World Health Organization; 2019. </w:t>
      </w:r>
    </w:p>
  </w:footnote>
  <w:footnote w:id="2">
    <w:p w14:paraId="1BC3540A" w14:textId="16DC047E" w:rsidR="007177BF" w:rsidRDefault="007177BF">
      <w:pPr>
        <w:pStyle w:val="FootnoteText"/>
      </w:pPr>
      <w:r>
        <w:rPr>
          <w:rStyle w:val="FootnoteReference"/>
        </w:rPr>
        <w:footnoteRef/>
      </w:r>
      <w:r>
        <w:t xml:space="preserve"> </w:t>
      </w:r>
      <w:bookmarkStart w:id="10" w:name="_Hlk140055875"/>
      <w:r>
        <w:t xml:space="preserve">Australasian society of Clinical Immunology and Allergy. Guidelines: Acute Management of Anaphylaxis. 2023. </w:t>
      </w:r>
      <w:bookmarkEnd w:id="10"/>
    </w:p>
  </w:footnote>
  <w:footnote w:id="3">
    <w:p w14:paraId="59E5E144" w14:textId="738F78EF" w:rsidR="00517DA6" w:rsidRPr="00224965" w:rsidRDefault="00517DA6" w:rsidP="00517DA6">
      <w:pPr>
        <w:pStyle w:val="FootnoteText"/>
        <w:rPr>
          <w:rFonts w:cstheme="minorHAnsi"/>
        </w:rPr>
      </w:pPr>
      <w:r>
        <w:rPr>
          <w:rStyle w:val="FootnoteReference"/>
        </w:rPr>
        <w:footnoteRef/>
      </w:r>
      <w:r>
        <w:t xml:space="preserve"> </w:t>
      </w:r>
      <w:r w:rsidR="00224965">
        <w:rPr>
          <w:rStyle w:val="Hyperlink"/>
        </w:rPr>
        <w:t xml:space="preserve"> </w:t>
      </w:r>
      <w:r w:rsidR="00224965">
        <w:rPr>
          <w:rStyle w:val="Hyperlink"/>
          <w:u w:val="none"/>
        </w:rPr>
        <w:t xml:space="preserve">McNeil MM, DeStefano F. Vaccine-associated hypersensitivity. </w:t>
      </w:r>
      <w:r w:rsidR="00224965">
        <w:rPr>
          <w:rStyle w:val="Hyperlink"/>
          <w:i/>
          <w:iCs/>
          <w:u w:val="none"/>
        </w:rPr>
        <w:t xml:space="preserve">J Allergy Clin Immunol. </w:t>
      </w:r>
      <w:r w:rsidR="00224965">
        <w:rPr>
          <w:rStyle w:val="Hyperlink"/>
          <w:u w:val="none"/>
        </w:rPr>
        <w:t xml:space="preserve">2018;141(2):463-472. </w:t>
      </w:r>
    </w:p>
  </w:footnote>
  <w:footnote w:id="4">
    <w:p w14:paraId="6976742F" w14:textId="53B2C073" w:rsidR="00224965" w:rsidRPr="00224965" w:rsidRDefault="00224965">
      <w:pPr>
        <w:pStyle w:val="FootnoteText"/>
      </w:pPr>
      <w:r>
        <w:rPr>
          <w:rStyle w:val="FootnoteReference"/>
        </w:rPr>
        <w:footnoteRef/>
      </w:r>
      <w:r>
        <w:t xml:space="preserve"> Shimabukuro TT, Cole M, </w:t>
      </w:r>
      <w:r>
        <w:t xml:space="preserve">Su JR. Reports of Anaphylaxis After Receipt of mRNA COVID-19 Vaccines in the US-December 14, 2020-Janaury 18, 2021. </w:t>
      </w:r>
      <w:r>
        <w:rPr>
          <w:i/>
          <w:iCs/>
        </w:rPr>
        <w:t xml:space="preserve">JAMA. </w:t>
      </w:r>
      <w:r>
        <w:t xml:space="preserve">2021;325(11):1101-1102. </w:t>
      </w:r>
    </w:p>
  </w:footnote>
  <w:footnote w:id="5">
    <w:p w14:paraId="1D394B05" w14:textId="2480FB5E" w:rsidR="00D2505E" w:rsidRDefault="00D2505E">
      <w:pPr>
        <w:pStyle w:val="FootnoteText"/>
      </w:pPr>
      <w:r>
        <w:rPr>
          <w:rStyle w:val="FootnoteReference"/>
        </w:rPr>
        <w:footnoteRef/>
      </w:r>
      <w:r>
        <w:t xml:space="preserve"> Thrombosis and Haemostasis society of Australia and New Zealand. Suspected Vaccine induced immune thrombotic thrombocytopenia (VITT): THANZ Advisory Statement for Haematologists. Updated 18 December 2021. </w:t>
      </w:r>
    </w:p>
  </w:footnote>
  <w:footnote w:id="6">
    <w:p w14:paraId="39081380" w14:textId="621F625B" w:rsidR="0088408F" w:rsidRDefault="0088408F">
      <w:pPr>
        <w:pStyle w:val="FootnoteText"/>
      </w:pPr>
      <w:r>
        <w:rPr>
          <w:rStyle w:val="FootnoteReference"/>
        </w:rPr>
        <w:footnoteRef/>
      </w:r>
      <w:r>
        <w:t xml:space="preserve"> </w:t>
      </w:r>
      <w:r w:rsidR="00D2505E">
        <w:rPr>
          <w:rStyle w:val="Hyperlink"/>
          <w:rFonts w:cstheme="minorHAnsi"/>
        </w:rPr>
        <w:t xml:space="preserve"> World Health Organization. Guidance for clinical case management of thrombosis with thrombocytopenia syndrome (TTS) following vaccination to prevent coronavirus disease (COVID-19)</w:t>
      </w:r>
      <w:r w:rsidR="003D5454">
        <w:rPr>
          <w:rStyle w:val="Hyperlink"/>
          <w:rFonts w:cstheme="minorHAnsi"/>
        </w:rPr>
        <w:t xml:space="preserve">. Updated 20 April 2023. </w:t>
      </w:r>
      <w:hyperlink r:id="rId1" w:history="1">
        <w:r w:rsidR="003D5454" w:rsidRPr="000F1AE4">
          <w:rPr>
            <w:rStyle w:val="Hyperlink"/>
            <w:rFonts w:cstheme="minorHAnsi"/>
          </w:rPr>
          <w:t>https://www.who.int/publications/i/item/9789240061989</w:t>
        </w:r>
      </w:hyperlink>
      <w:r w:rsidR="003D5454">
        <w:rPr>
          <w:rStyle w:val="Hyperlink"/>
          <w:rFonts w:cstheme="minorHAnsi"/>
        </w:rPr>
        <w:t xml:space="preserve">. </w:t>
      </w:r>
    </w:p>
  </w:footnote>
  <w:footnote w:id="7">
    <w:p w14:paraId="01F0DE1E" w14:textId="690D2EDF" w:rsidR="0088408F" w:rsidRDefault="0088408F">
      <w:pPr>
        <w:pStyle w:val="FootnoteText"/>
      </w:pPr>
      <w:r>
        <w:rPr>
          <w:rStyle w:val="FootnoteReference"/>
        </w:rPr>
        <w:footnoteRef/>
      </w:r>
      <w:r>
        <w:t xml:space="preserve"> </w:t>
      </w:r>
      <w:r w:rsidR="00A35ECE">
        <w:rPr>
          <w:rStyle w:val="Hyperlink"/>
        </w:rPr>
        <w:t xml:space="preserve"> Australian Government Department of Health and Aged Care. Guidance on Myocarditis and Pericarditis after COVID-19 vaccines. Updated 9 November 2022. </w:t>
      </w:r>
      <w:hyperlink r:id="rId2" w:history="1">
        <w:r w:rsidR="00A35ECE" w:rsidRPr="000F1AE4">
          <w:rPr>
            <w:rStyle w:val="Hyperlink"/>
          </w:rPr>
          <w:t>https://www.health.gov.au/sites/default/files/documents/2022/11/covid-19-vaccination-guidance-on-myocarditis-and-pericarditis-after-covid-19-vaccines.pdf</w:t>
        </w:r>
      </w:hyperlink>
      <w:r w:rsidR="00A35ECE">
        <w:rPr>
          <w:rStyle w:val="Hyperlink"/>
        </w:rPr>
        <w:t xml:space="preserve">. </w:t>
      </w:r>
    </w:p>
  </w:footnote>
  <w:footnote w:id="8">
    <w:p w14:paraId="043D70C4" w14:textId="39CC1DD8" w:rsidR="0088408F" w:rsidRPr="00E24814" w:rsidRDefault="0088408F">
      <w:pPr>
        <w:pStyle w:val="FootnoteText"/>
      </w:pPr>
      <w:r>
        <w:rPr>
          <w:rStyle w:val="FootnoteReference"/>
        </w:rPr>
        <w:footnoteRef/>
      </w:r>
      <w:r>
        <w:t xml:space="preserve"> </w:t>
      </w:r>
      <w:r w:rsidR="00E24814">
        <w:rPr>
          <w:rStyle w:val="Hyperlink"/>
        </w:rPr>
        <w:t xml:space="preserve"> </w:t>
      </w:r>
      <w:bookmarkStart w:id="21" w:name="_Hlk136849337"/>
      <w:r w:rsidR="00E24814" w:rsidRPr="00903864">
        <w:rPr>
          <w:rStyle w:val="Hyperlink"/>
          <w:u w:val="none"/>
        </w:rPr>
        <w:t xml:space="preserve">Heidecker B, Dagan N, Balicer R et al. Myocarditis following COVID-19 vaccine: incidence, presentation, diagnosis, pathophysiology, therapy and outcomes put into perspective. A clinical consensus document supported by the Heart Failure Association of the European Society of Cardiology (ESC) and the ESC Working Group on Myocardial and Pericardial Diseases. </w:t>
      </w:r>
      <w:r w:rsidR="00E24814" w:rsidRPr="00903864">
        <w:rPr>
          <w:rStyle w:val="Hyperlink"/>
          <w:i/>
          <w:iCs/>
          <w:u w:val="none"/>
        </w:rPr>
        <w:t xml:space="preserve">Eur J Heart Fail. </w:t>
      </w:r>
      <w:r w:rsidR="00E24814" w:rsidRPr="00903864">
        <w:rPr>
          <w:rStyle w:val="Hyperlink"/>
          <w:u w:val="none"/>
        </w:rPr>
        <w:t xml:space="preserve">2022. </w:t>
      </w:r>
    </w:p>
    <w:bookmarkEnd w:id="21"/>
  </w:footnote>
  <w:footnote w:id="9">
    <w:p w14:paraId="00EEBAB3" w14:textId="66A1B278" w:rsidR="0088408F" w:rsidRPr="002765D4" w:rsidRDefault="0088408F">
      <w:pPr>
        <w:pStyle w:val="FootnoteText"/>
      </w:pPr>
      <w:r>
        <w:rPr>
          <w:rStyle w:val="FootnoteReference"/>
        </w:rPr>
        <w:footnoteRef/>
      </w:r>
      <w:r>
        <w:t xml:space="preserve"> </w:t>
      </w:r>
      <w:r w:rsidR="002765D4">
        <w:rPr>
          <w:rStyle w:val="Hyperlink"/>
        </w:rPr>
        <w:t xml:space="preserve"> </w:t>
      </w:r>
      <w:r w:rsidR="002765D4" w:rsidRPr="00903864">
        <w:rPr>
          <w:rStyle w:val="Hyperlink"/>
          <w:u w:val="none"/>
        </w:rPr>
        <w:t xml:space="preserve">Oster ME, Shay DK, </w:t>
      </w:r>
      <w:r w:rsidR="002765D4" w:rsidRPr="00903864">
        <w:rPr>
          <w:rStyle w:val="Hyperlink"/>
          <w:u w:val="none"/>
        </w:rPr>
        <w:t>Su JR et al. Myocarditis Cases Reported After mRNA-Based COVID-19 Vaccination in the US Fro</w:t>
      </w:r>
      <w:r w:rsidR="002765D4">
        <w:rPr>
          <w:rStyle w:val="Hyperlink"/>
          <w:u w:val="none"/>
        </w:rPr>
        <w:t>m</w:t>
      </w:r>
      <w:r w:rsidR="002765D4" w:rsidRPr="00903864">
        <w:rPr>
          <w:rStyle w:val="Hyperlink"/>
          <w:u w:val="none"/>
        </w:rPr>
        <w:t xml:space="preserve"> December 2020 to August 2021. </w:t>
      </w:r>
      <w:r w:rsidR="002765D4">
        <w:rPr>
          <w:rStyle w:val="Hyperlink"/>
          <w:i/>
          <w:iCs/>
          <w:u w:val="none"/>
        </w:rPr>
        <w:t xml:space="preserve">JAMA. </w:t>
      </w:r>
      <w:r w:rsidR="002765D4">
        <w:rPr>
          <w:rStyle w:val="Hyperlink"/>
          <w:u w:val="none"/>
        </w:rPr>
        <w:t xml:space="preserve">2022;327(4):331-340. </w:t>
      </w:r>
    </w:p>
  </w:footnote>
  <w:footnote w:id="10">
    <w:p w14:paraId="5076D32A" w14:textId="23ECE8B6" w:rsidR="00473186" w:rsidRPr="00473186" w:rsidRDefault="00473186">
      <w:pPr>
        <w:pStyle w:val="FootnoteText"/>
      </w:pPr>
      <w:r>
        <w:rPr>
          <w:rStyle w:val="FootnoteReference"/>
        </w:rPr>
        <w:footnoteRef/>
      </w:r>
      <w:r>
        <w:t xml:space="preserve"> Diaz GA, Parsons GT, Gering SK et al. Myocarditis and Pericarditis After Vaccination for COVID-19. </w:t>
      </w:r>
      <w:r>
        <w:rPr>
          <w:i/>
          <w:iCs/>
        </w:rPr>
        <w:t xml:space="preserve">JAMA. </w:t>
      </w:r>
      <w:r>
        <w:t xml:space="preserve">2021;326(12):1210-1212. </w:t>
      </w:r>
    </w:p>
  </w:footnote>
  <w:footnote w:id="11">
    <w:p w14:paraId="086C6993" w14:textId="64489EFA" w:rsidR="007361D8" w:rsidRDefault="007361D8">
      <w:pPr>
        <w:pStyle w:val="FootnoteText"/>
      </w:pPr>
      <w:r>
        <w:rPr>
          <w:rStyle w:val="FootnoteReference"/>
        </w:rPr>
        <w:footnoteRef/>
      </w:r>
      <w:r>
        <w:t xml:space="preserve"> </w:t>
      </w:r>
      <w:r w:rsidR="00192B42">
        <w:rPr>
          <w:rStyle w:val="Hyperlink"/>
          <w:rFonts w:cstheme="minorHAnsi"/>
        </w:rPr>
        <w:t xml:space="preserve">European Medicines Agency. </w:t>
      </w:r>
      <w:r w:rsidR="00192B42">
        <w:rPr>
          <w:rStyle w:val="Hyperlink"/>
          <w:rFonts w:cstheme="minorHAnsi"/>
        </w:rPr>
        <w:t xml:space="preserve">Vaxzevria: EMA advises against use in people with history of capillary leak syndrome. 2021. </w:t>
      </w:r>
      <w:hyperlink r:id="rId3" w:history="1">
        <w:r w:rsidR="00192B42" w:rsidRPr="000F1AE4">
          <w:rPr>
            <w:rStyle w:val="Hyperlink"/>
            <w:rFonts w:cstheme="minorHAnsi"/>
          </w:rPr>
          <w:t>https://www.ema.europa.eu/en/news/vaxzevria-ema-advises-against-use-people-history-capillary-leak-syndrome</w:t>
        </w:r>
      </w:hyperlink>
      <w:r w:rsidR="00192B42">
        <w:rPr>
          <w:rStyle w:val="Hyperlink"/>
          <w:rFonts w:cstheme="minorHAnsi"/>
        </w:rPr>
        <w:t xml:space="preserve">. </w:t>
      </w:r>
    </w:p>
  </w:footnote>
  <w:footnote w:id="12">
    <w:p w14:paraId="6C2768D6" w14:textId="3172B1FF" w:rsidR="0088408F" w:rsidRPr="00A84AC6" w:rsidRDefault="0088408F">
      <w:pPr>
        <w:pStyle w:val="FootnoteText"/>
      </w:pPr>
      <w:r>
        <w:rPr>
          <w:rStyle w:val="FootnoteReference"/>
        </w:rPr>
        <w:footnoteRef/>
      </w:r>
      <w:r>
        <w:t xml:space="preserve"> </w:t>
      </w:r>
      <w:hyperlink r:id="rId4" w:history="1"/>
      <w:r w:rsidR="00A84AC6">
        <w:rPr>
          <w:rStyle w:val="Hyperlink"/>
        </w:rPr>
        <w:t>Rugg</w:t>
      </w:r>
      <w:r w:rsidR="00A84AC6" w:rsidRPr="00903864">
        <w:rPr>
          <w:rStyle w:val="Hyperlink"/>
          <w:u w:val="none"/>
        </w:rPr>
        <w:t>iero R, Balzano N, Di Napoli R et al. Capillary leak syndrome following COVID-19 vaccination: Data from the European pharmacovigilance database Eudravigilance.</w:t>
      </w:r>
      <w:r w:rsidR="00A84AC6">
        <w:rPr>
          <w:rStyle w:val="Hyperlink"/>
        </w:rPr>
        <w:t xml:space="preserve"> </w:t>
      </w:r>
      <w:r w:rsidR="00A84AC6">
        <w:rPr>
          <w:rStyle w:val="Hyperlink"/>
          <w:i/>
          <w:iCs/>
          <w:u w:val="none"/>
        </w:rPr>
        <w:t xml:space="preserve">Front Immunol. </w:t>
      </w:r>
      <w:r w:rsidR="00A84AC6">
        <w:rPr>
          <w:rStyle w:val="Hyperlink"/>
          <w:u w:val="none"/>
        </w:rPr>
        <w:t xml:space="preserve">2022;13. </w:t>
      </w:r>
    </w:p>
  </w:footnote>
  <w:footnote w:id="13">
    <w:p w14:paraId="3DF588C9" w14:textId="00CBA071" w:rsidR="00FF7240" w:rsidRPr="00FF7240" w:rsidRDefault="00FF7240">
      <w:pPr>
        <w:pStyle w:val="FootnoteText"/>
      </w:pPr>
      <w:r>
        <w:rPr>
          <w:rStyle w:val="FootnoteReference"/>
        </w:rPr>
        <w:footnoteRef/>
      </w:r>
      <w:r>
        <w:t xml:space="preserve"> </w:t>
      </w:r>
      <w:bookmarkStart w:id="40" w:name="_Hlk136869134"/>
      <w:r>
        <w:t>Abara WE, Gee J, Marquez P et al, Reports of Guillain-Barr</w:t>
      </w:r>
      <w:r>
        <w:rPr>
          <w:rFonts w:cstheme="minorHAnsi"/>
        </w:rPr>
        <w:t>é</w:t>
      </w:r>
      <w:r>
        <w:t xml:space="preserve"> Syndrome After COVID-19 Vaccination in the United States. </w:t>
      </w:r>
      <w:r>
        <w:rPr>
          <w:i/>
          <w:iCs/>
        </w:rPr>
        <w:t xml:space="preserve">JAMA. </w:t>
      </w:r>
      <w:r>
        <w:t xml:space="preserve">2023;6(2). </w:t>
      </w:r>
      <w:bookmarkEnd w:id="40"/>
    </w:p>
  </w:footnote>
  <w:footnote w:id="14">
    <w:p w14:paraId="33AE9393" w14:textId="5B20154B" w:rsidR="00FF7240" w:rsidRPr="00FF7240" w:rsidRDefault="00FF7240">
      <w:pPr>
        <w:pStyle w:val="FootnoteText"/>
      </w:pPr>
      <w:r>
        <w:rPr>
          <w:rStyle w:val="FootnoteReference"/>
        </w:rPr>
        <w:footnoteRef/>
      </w:r>
      <w:r>
        <w:t xml:space="preserve"> </w:t>
      </w:r>
      <w:bookmarkStart w:id="41" w:name="_Hlk136869250"/>
      <w:r>
        <w:t>Osowicki J, Morgan HJ, Harris A et al. Guillain-Barr</w:t>
      </w:r>
      <w:r>
        <w:rPr>
          <w:rFonts w:cstheme="minorHAnsi"/>
        </w:rPr>
        <w:t>é</w:t>
      </w:r>
      <w:r>
        <w:t xml:space="preserve"> syndrome temporally associated with COVID-19 vaccines in Victoria, Australia. </w:t>
      </w:r>
      <w:r>
        <w:rPr>
          <w:i/>
          <w:iCs/>
        </w:rPr>
        <w:t xml:space="preserve">Vaccine. </w:t>
      </w:r>
      <w:r>
        <w:t xml:space="preserve">2022;40(52):7579-7585. </w:t>
      </w:r>
      <w:bookmarkEnd w:id="41"/>
    </w:p>
  </w:footnote>
  <w:footnote w:id="15">
    <w:p w14:paraId="219512DB" w14:textId="30A33C3E" w:rsidR="00E83D64" w:rsidRPr="000A38C2" w:rsidRDefault="00E83D64">
      <w:pPr>
        <w:pStyle w:val="FootnoteText"/>
      </w:pPr>
      <w:r>
        <w:rPr>
          <w:rStyle w:val="FootnoteReference"/>
        </w:rPr>
        <w:footnoteRef/>
      </w:r>
      <w:r>
        <w:t xml:space="preserve"> </w:t>
      </w:r>
      <w:bookmarkStart w:id="46" w:name="_Hlk136870381"/>
      <w:r w:rsidR="000A38C2">
        <w:t xml:space="preserve">Ruzicka M, Wurm S, Lindner L et al. Treatment, outcome and re-vaccination of patients with SARS-CoV-2 vaccine-associated immune thrombocytopenia. </w:t>
      </w:r>
      <w:r w:rsidR="000A38C2">
        <w:rPr>
          <w:i/>
          <w:iCs/>
        </w:rPr>
        <w:t xml:space="preserve">Infection. </w:t>
      </w:r>
      <w:r w:rsidR="000A38C2">
        <w:t xml:space="preserve">2022;51:231-238. </w:t>
      </w:r>
      <w:bookmarkEnd w:id="46"/>
    </w:p>
  </w:footnote>
  <w:footnote w:id="16">
    <w:p w14:paraId="29FF05CD" w14:textId="6B773A99" w:rsidR="000A38C2" w:rsidRPr="000A38C2" w:rsidRDefault="000A38C2">
      <w:pPr>
        <w:pStyle w:val="FootnoteText"/>
      </w:pPr>
      <w:r>
        <w:rPr>
          <w:rStyle w:val="FootnoteReference"/>
        </w:rPr>
        <w:footnoteRef/>
      </w:r>
      <w:r>
        <w:t xml:space="preserve"> </w:t>
      </w:r>
      <w:bookmarkStart w:id="47" w:name="_Hlk136870472"/>
      <w:r>
        <w:t xml:space="preserve">Choi PYI, Hsu D, Tran HA et al. Immune thrombocytopenia following vaccination during the COVID-19 pandemic. </w:t>
      </w:r>
      <w:r>
        <w:rPr>
          <w:i/>
          <w:iCs/>
        </w:rPr>
        <w:t xml:space="preserve">Haematologica. </w:t>
      </w:r>
      <w:r>
        <w:t xml:space="preserve">2022;107(5):1193-1196. </w:t>
      </w:r>
      <w:bookmarkEnd w:id="47"/>
    </w:p>
  </w:footnote>
  <w:footnote w:id="17">
    <w:p w14:paraId="01BED298" w14:textId="25981F34" w:rsidR="004B7893" w:rsidRPr="004B7893" w:rsidRDefault="004B7893">
      <w:pPr>
        <w:pStyle w:val="FootnoteText"/>
      </w:pPr>
      <w:bookmarkStart w:id="48" w:name="_Hlk140051630"/>
      <w:r>
        <w:rPr>
          <w:rStyle w:val="FootnoteReference"/>
        </w:rPr>
        <w:footnoteRef/>
      </w:r>
      <w:r>
        <w:t xml:space="preserve"> Choi PYI, Merriman E, Bennett A et al. Consensus guidelines for the management of adult immune thrombocytopenia in Australia and New Zealand. </w:t>
      </w:r>
      <w:r>
        <w:rPr>
          <w:i/>
          <w:iCs/>
        </w:rPr>
        <w:t xml:space="preserve">MJA. </w:t>
      </w:r>
      <w:r>
        <w:t xml:space="preserve">2022;216(1). </w:t>
      </w:r>
    </w:p>
    <w:bookmarkEnd w:id="48"/>
  </w:footnote>
  <w:footnote w:id="18">
    <w:p w14:paraId="7411FC99" w14:textId="61D59FD6" w:rsidR="004B7893" w:rsidRPr="00744734" w:rsidRDefault="004B7893">
      <w:pPr>
        <w:pStyle w:val="FootnoteText"/>
      </w:pPr>
      <w:r>
        <w:rPr>
          <w:rStyle w:val="FootnoteReference"/>
        </w:rPr>
        <w:footnoteRef/>
      </w:r>
      <w:r>
        <w:t xml:space="preserve"> </w:t>
      </w:r>
      <w:bookmarkStart w:id="49" w:name="_Hlk140051646"/>
      <w:r>
        <w:t xml:space="preserve">Provan D, </w:t>
      </w:r>
      <w:r w:rsidR="00744734">
        <w:t xml:space="preserve">Arnold DM, Bussel JB et al. Updated international consensus report on the investigation and management of primary immune thrombocytopenia. </w:t>
      </w:r>
      <w:r w:rsidR="00744734">
        <w:rPr>
          <w:i/>
          <w:iCs/>
        </w:rPr>
        <w:t xml:space="preserve">Blood Advances. </w:t>
      </w:r>
      <w:r w:rsidR="00744734">
        <w:t xml:space="preserve">2019;3(22). </w:t>
      </w:r>
    </w:p>
    <w:bookmarkEnd w:id="49"/>
  </w:footnote>
  <w:footnote w:id="19">
    <w:p w14:paraId="24566F38" w14:textId="5F2FA122" w:rsidR="00D375FD" w:rsidRPr="00D375FD" w:rsidRDefault="00D375FD">
      <w:pPr>
        <w:pStyle w:val="FootnoteText"/>
      </w:pPr>
      <w:r>
        <w:rPr>
          <w:rStyle w:val="FootnoteReference"/>
        </w:rPr>
        <w:footnoteRef/>
      </w:r>
      <w:r>
        <w:t xml:space="preserve"> </w:t>
      </w:r>
      <w:bookmarkStart w:id="51" w:name="_Hlk140051669"/>
      <w:r>
        <w:t xml:space="preserve">Gordon SF, Clothier HJ, Morgan H et al. Immune thrombocytopenia following immunisation with </w:t>
      </w:r>
      <w:r>
        <w:t xml:space="preserve">Vaxzevria ChadOx1-S (AstraZeneca) vaccine, Victoria, Australia. </w:t>
      </w:r>
      <w:r>
        <w:rPr>
          <w:i/>
          <w:iCs/>
        </w:rPr>
        <w:t xml:space="preserve">Vaccine. </w:t>
      </w:r>
      <w:r>
        <w:t xml:space="preserve">2021;39. </w:t>
      </w:r>
      <w:bookmarkEnd w:id="51"/>
    </w:p>
  </w:footnote>
  <w:footnote w:id="20">
    <w:p w14:paraId="27B79351" w14:textId="703CAB1C" w:rsidR="00517DA6" w:rsidRPr="00A66AFD" w:rsidRDefault="00517DA6" w:rsidP="00517DA6">
      <w:pPr>
        <w:pStyle w:val="FootnoteText"/>
      </w:pPr>
      <w:r>
        <w:rPr>
          <w:rStyle w:val="FootnoteReference"/>
        </w:rPr>
        <w:footnoteRef/>
      </w:r>
      <w:r>
        <w:t xml:space="preserve"> </w:t>
      </w:r>
      <w:bookmarkStart w:id="61" w:name="_Hlk136871719"/>
      <w:r w:rsidR="00A66AFD" w:rsidRPr="00903864">
        <w:rPr>
          <w:rStyle w:val="Hyperlink"/>
          <w:u w:val="none"/>
        </w:rPr>
        <w:t xml:space="preserve">Pavord S, Scully M, Hunt BJ et al. Clinical Features of Vaccine-Induced Immune Thrombocytopenia and Thrombosis. </w:t>
      </w:r>
      <w:r w:rsidR="00A66AFD">
        <w:rPr>
          <w:rStyle w:val="Hyperlink"/>
          <w:i/>
          <w:iCs/>
          <w:u w:val="none"/>
        </w:rPr>
        <w:t xml:space="preserve">N Engl J Med. </w:t>
      </w:r>
      <w:r w:rsidR="00A66AFD">
        <w:rPr>
          <w:rStyle w:val="Hyperlink"/>
          <w:u w:val="none"/>
        </w:rPr>
        <w:t xml:space="preserve">2021;385(18):1680-1689. </w:t>
      </w:r>
      <w:bookmarkEnd w:id="61"/>
    </w:p>
  </w:footnote>
  <w:footnote w:id="21">
    <w:p w14:paraId="489B4BFD" w14:textId="627D4323" w:rsidR="00517DA6" w:rsidRPr="00A66AFD" w:rsidRDefault="00517DA6" w:rsidP="00517DA6">
      <w:pPr>
        <w:pStyle w:val="FootnoteText"/>
      </w:pPr>
      <w:r>
        <w:rPr>
          <w:rStyle w:val="FootnoteReference"/>
        </w:rPr>
        <w:footnoteRef/>
      </w:r>
      <w:r>
        <w:t xml:space="preserve"> </w:t>
      </w:r>
      <w:r w:rsidR="00A66AFD">
        <w:rPr>
          <w:rStyle w:val="Hyperlink"/>
        </w:rPr>
        <w:t xml:space="preserve"> </w:t>
      </w:r>
      <w:bookmarkStart w:id="62" w:name="_Hlk136871731"/>
      <w:r w:rsidR="00A66AFD">
        <w:rPr>
          <w:rStyle w:val="Hyperlink"/>
          <w:u w:val="none"/>
        </w:rPr>
        <w:t xml:space="preserve">Kryzwicka K, van de Munckhof A, van Kammen MS et al. Age-Stratified Risk of Cerebral Venous Sinus Thrombosis After SARS-CoV-2 Vaccination. </w:t>
      </w:r>
      <w:r w:rsidR="00A66AFD">
        <w:rPr>
          <w:rStyle w:val="Hyperlink"/>
          <w:i/>
          <w:iCs/>
          <w:u w:val="none"/>
        </w:rPr>
        <w:t xml:space="preserve">Neurology. </w:t>
      </w:r>
      <w:r w:rsidR="00A66AFD">
        <w:rPr>
          <w:rStyle w:val="Hyperlink"/>
          <w:u w:val="none"/>
        </w:rPr>
        <w:t>2022;98(7</w:t>
      </w:r>
      <w:r w:rsidR="00A66AFD">
        <w:rPr>
          <w:rStyle w:val="Hyperlink"/>
          <w:u w:val="none"/>
        </w:rPr>
        <w:t xml:space="preserve">):e759-e768. </w:t>
      </w:r>
      <w:bookmarkEnd w:id="62"/>
    </w:p>
  </w:footnote>
  <w:footnote w:id="22">
    <w:p w14:paraId="227A75B1" w14:textId="7A857A31" w:rsidR="00517DA6" w:rsidRPr="005D1028" w:rsidRDefault="00517DA6" w:rsidP="00517DA6">
      <w:pPr>
        <w:pStyle w:val="FootnoteText"/>
      </w:pPr>
      <w:r>
        <w:rPr>
          <w:rStyle w:val="FootnoteReference"/>
        </w:rPr>
        <w:footnoteRef/>
      </w:r>
      <w:r>
        <w:t xml:space="preserve"> </w:t>
      </w:r>
      <w:r w:rsidR="005D1028">
        <w:rPr>
          <w:rStyle w:val="Hyperlink"/>
        </w:rPr>
        <w:t xml:space="preserve"> </w:t>
      </w:r>
      <w:bookmarkStart w:id="69" w:name="_Hlk136872331"/>
      <w:r w:rsidR="005D1028">
        <w:rPr>
          <w:rStyle w:val="Hyperlink"/>
          <w:u w:val="none"/>
        </w:rPr>
        <w:t xml:space="preserve">Karatas E, Nazim A, Patel P et al. Erythema multiforme reactions after Pfizer/BioNTech (BNT162b2) and Moderna (mRNA-1273) COVID-19 vaccination: A case series. </w:t>
      </w:r>
      <w:r w:rsidR="005D1028">
        <w:rPr>
          <w:rStyle w:val="Hyperlink"/>
          <w:i/>
          <w:iCs/>
          <w:u w:val="none"/>
        </w:rPr>
        <w:t xml:space="preserve">JAAD Case Rep. </w:t>
      </w:r>
      <w:r w:rsidR="005D1028">
        <w:rPr>
          <w:rStyle w:val="Hyperlink"/>
          <w:u w:val="none"/>
        </w:rPr>
        <w:t xml:space="preserve">2023;32:55-58. </w:t>
      </w:r>
      <w:bookmarkEnd w:id="69"/>
    </w:p>
  </w:footnote>
  <w:footnote w:id="23">
    <w:p w14:paraId="1377F2A9" w14:textId="6DAD99E4" w:rsidR="00517DA6" w:rsidRPr="003E20B1" w:rsidRDefault="00517DA6" w:rsidP="00517DA6">
      <w:pPr>
        <w:rPr>
          <w:sz w:val="20"/>
          <w:szCs w:val="20"/>
        </w:rPr>
      </w:pPr>
      <w:r w:rsidRPr="003E20B1">
        <w:rPr>
          <w:rStyle w:val="FootnoteReference"/>
        </w:rPr>
        <w:footnoteRef/>
      </w:r>
      <w:r w:rsidRPr="003E20B1">
        <w:rPr>
          <w:sz w:val="20"/>
          <w:szCs w:val="20"/>
        </w:rPr>
        <w:t xml:space="preserve">  </w:t>
      </w:r>
      <w:r w:rsidR="005D1028">
        <w:rPr>
          <w:rStyle w:val="Hyperlink"/>
          <w:sz w:val="20"/>
          <w:szCs w:val="20"/>
        </w:rPr>
        <w:t xml:space="preserve">Elyoussfi S, Coulson I. Skin reactions to </w:t>
      </w:r>
      <w:r w:rsidR="005D1028" w:rsidRPr="005D1028">
        <w:rPr>
          <w:rStyle w:val="Hyperlink"/>
          <w:sz w:val="20"/>
          <w:szCs w:val="20"/>
        </w:rPr>
        <w:t xml:space="preserve">COVID-19 vaccines. DermNet. Updated May 2023. </w:t>
      </w:r>
      <w:hyperlink r:id="rId5" w:history="1">
        <w:r w:rsidR="005D1028" w:rsidRPr="00903864">
          <w:rPr>
            <w:rStyle w:val="Hyperlink"/>
            <w:sz w:val="20"/>
            <w:szCs w:val="20"/>
          </w:rPr>
          <w:t>COVID-19: Skin Reactions to COVID-19 Vaccines - DermNet (dermnetnz.org)</w:t>
        </w:r>
      </w:hyperlink>
      <w:r w:rsidR="005D1028" w:rsidRPr="00903864">
        <w:rPr>
          <w:sz w:val="20"/>
          <w:szCs w:val="20"/>
        </w:rPr>
        <w:t>.</w:t>
      </w:r>
      <w:r w:rsidR="005D1028">
        <w:t xml:space="preserve"> </w:t>
      </w:r>
    </w:p>
    <w:p w14:paraId="7BA50A45" w14:textId="77777777" w:rsidR="00517DA6" w:rsidRDefault="00517DA6" w:rsidP="00517DA6">
      <w:pPr>
        <w:pStyle w:val="FootnoteText"/>
      </w:pPr>
    </w:p>
  </w:footnote>
  <w:footnote w:id="24">
    <w:p w14:paraId="0587E0D9" w14:textId="37F5B5D7" w:rsidR="00517DA6" w:rsidRPr="005D1028" w:rsidRDefault="00517DA6" w:rsidP="00517DA6">
      <w:pPr>
        <w:pStyle w:val="ListNumber"/>
        <w:numPr>
          <w:ilvl w:val="0"/>
          <w:numId w:val="0"/>
        </w:numPr>
        <w:rPr>
          <w:sz w:val="20"/>
          <w:szCs w:val="20"/>
        </w:rPr>
      </w:pPr>
      <w:r w:rsidRPr="003E20B1">
        <w:rPr>
          <w:rStyle w:val="FootnoteReference"/>
        </w:rPr>
        <w:footnoteRef/>
      </w:r>
      <w:r w:rsidRPr="003E20B1">
        <w:rPr>
          <w:sz w:val="20"/>
          <w:szCs w:val="20"/>
        </w:rPr>
        <w:t xml:space="preserve"> </w:t>
      </w:r>
      <w:r w:rsidR="005D1028">
        <w:rPr>
          <w:rStyle w:val="Hyperlink"/>
          <w:sz w:val="20"/>
          <w:szCs w:val="20"/>
        </w:rPr>
        <w:t xml:space="preserve"> </w:t>
      </w:r>
      <w:bookmarkStart w:id="76" w:name="_Hlk136872717"/>
      <w:r w:rsidR="005D1028">
        <w:rPr>
          <w:rStyle w:val="Hyperlink"/>
          <w:sz w:val="20"/>
          <w:szCs w:val="20"/>
          <w:u w:val="none"/>
        </w:rPr>
        <w:t xml:space="preserve">Beh SC, Greenberg BM, Frohman T, Frohman EM. Transverse myelitis. </w:t>
      </w:r>
      <w:r w:rsidR="005D1028">
        <w:rPr>
          <w:rStyle w:val="Hyperlink"/>
          <w:i/>
          <w:iCs/>
          <w:sz w:val="20"/>
          <w:szCs w:val="20"/>
          <w:u w:val="none"/>
        </w:rPr>
        <w:t xml:space="preserve">Neurol Clin. </w:t>
      </w:r>
      <w:r w:rsidR="005D1028">
        <w:rPr>
          <w:rStyle w:val="Hyperlink"/>
          <w:sz w:val="20"/>
          <w:szCs w:val="20"/>
          <w:u w:val="none"/>
        </w:rPr>
        <w:t xml:space="preserve">2013;31(1):79-138. </w:t>
      </w:r>
      <w:bookmarkEnd w:id="76"/>
    </w:p>
  </w:footnote>
  <w:footnote w:id="25">
    <w:p w14:paraId="48C987F9" w14:textId="684DD63D" w:rsidR="00517DA6" w:rsidRPr="00F52643" w:rsidRDefault="00517DA6" w:rsidP="00517DA6">
      <w:pPr>
        <w:pStyle w:val="FootnoteText"/>
      </w:pPr>
      <w:r w:rsidRPr="00DE2D63">
        <w:rPr>
          <w:rStyle w:val="FootnoteReference"/>
        </w:rPr>
        <w:footnoteRef/>
      </w:r>
      <w:r w:rsidRPr="00DE2D63">
        <w:t xml:space="preserve"> </w:t>
      </w:r>
      <w:r w:rsidR="005D1028">
        <w:rPr>
          <w:rStyle w:val="Hyperlink"/>
        </w:rPr>
        <w:t xml:space="preserve"> </w:t>
      </w:r>
      <w:bookmarkStart w:id="77" w:name="_Hlk136872859"/>
      <w:r w:rsidR="005D1028">
        <w:rPr>
          <w:rStyle w:val="Hyperlink"/>
          <w:u w:val="none"/>
        </w:rPr>
        <w:t xml:space="preserve">Law, B. Safety Platform for Emergency </w:t>
      </w:r>
      <w:r w:rsidR="005D1028">
        <w:rPr>
          <w:rStyle w:val="Hyperlink"/>
          <w:u w:val="none"/>
        </w:rPr>
        <w:t>vACcines</w:t>
      </w:r>
      <w:r w:rsidR="00F52643">
        <w:rPr>
          <w:rStyle w:val="Hyperlink"/>
          <w:u w:val="none"/>
        </w:rPr>
        <w:t xml:space="preserve"> SO2-D2.5.2.1- AESI Case Definition Companion Guide for 1st Tier AESI Acute Myelitis.</w:t>
      </w:r>
      <w:r w:rsidR="00F52643">
        <w:t xml:space="preserve"> Brighton Collaboration. 2021. </w:t>
      </w:r>
    </w:p>
    <w:bookmarkEnd w:id="77"/>
  </w:footnote>
  <w:footnote w:id="26">
    <w:p w14:paraId="76723C90" w14:textId="0D20D9E6" w:rsidR="00517DA6" w:rsidRPr="00F52643" w:rsidRDefault="00517DA6" w:rsidP="00517DA6">
      <w:pPr>
        <w:pStyle w:val="ListNumber"/>
        <w:numPr>
          <w:ilvl w:val="0"/>
          <w:numId w:val="0"/>
        </w:numPr>
      </w:pPr>
      <w:r w:rsidRPr="003E20B1">
        <w:rPr>
          <w:rStyle w:val="FootnoteReference"/>
        </w:rPr>
        <w:footnoteRef/>
      </w:r>
      <w:r w:rsidRPr="003E20B1">
        <w:rPr>
          <w:sz w:val="20"/>
          <w:szCs w:val="20"/>
        </w:rPr>
        <w:t xml:space="preserve"> </w:t>
      </w:r>
      <w:r w:rsidR="00F52643">
        <w:rPr>
          <w:rStyle w:val="Hyperlink"/>
          <w:rFonts w:cstheme="minorHAnsi"/>
          <w:sz w:val="20"/>
          <w:szCs w:val="20"/>
        </w:rPr>
        <w:t xml:space="preserve"> </w:t>
      </w:r>
      <w:bookmarkStart w:id="78" w:name="_Hlk136873050"/>
      <w:r w:rsidR="00F52643">
        <w:rPr>
          <w:rStyle w:val="Hyperlink"/>
          <w:rFonts w:cstheme="minorHAnsi"/>
          <w:sz w:val="20"/>
          <w:szCs w:val="20"/>
          <w:u w:val="none"/>
        </w:rPr>
        <w:t xml:space="preserve">Naz Naeem F, Saba Hasan AF, </w:t>
      </w:r>
      <w:r w:rsidR="00F52643">
        <w:rPr>
          <w:rStyle w:val="Hyperlink"/>
          <w:rFonts w:cstheme="minorHAnsi"/>
          <w:sz w:val="20"/>
          <w:szCs w:val="20"/>
          <w:u w:val="none"/>
        </w:rPr>
        <w:t xml:space="preserve">Doulat Ram M, Waseem S, Hassan Ahmed S, Gul Shaikh T. The association between SARS-CoV-2 vaccines and transverse myelitis: A review. </w:t>
      </w:r>
      <w:r w:rsidR="00F52643">
        <w:rPr>
          <w:rStyle w:val="Hyperlink"/>
          <w:rFonts w:cstheme="minorHAnsi"/>
          <w:i/>
          <w:iCs/>
          <w:sz w:val="20"/>
          <w:szCs w:val="20"/>
          <w:u w:val="none"/>
        </w:rPr>
        <w:t xml:space="preserve">Ann Med Surg (Lond). </w:t>
      </w:r>
      <w:r w:rsidR="00F52643">
        <w:rPr>
          <w:rStyle w:val="Hyperlink"/>
          <w:rFonts w:cstheme="minorHAnsi"/>
          <w:sz w:val="20"/>
          <w:szCs w:val="20"/>
          <w:u w:val="none"/>
        </w:rPr>
        <w:t xml:space="preserve">2022;79. </w:t>
      </w:r>
      <w:bookmarkEnd w:id="78"/>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A49BD" w14:textId="77777777" w:rsidR="00096655" w:rsidRDefault="0006417A">
    <w:pPr>
      <w:pStyle w:val="Header"/>
    </w:pPr>
    <w:r>
      <w:rPr>
        <w:noProof/>
        <w:lang w:eastAsia="en-AU"/>
      </w:rPr>
      <w:drawing>
        <wp:inline distT="0" distB="0" distL="0" distR="0" wp14:anchorId="1D9CE9A0" wp14:editId="27BB6A6E">
          <wp:extent cx="5731510" cy="936625"/>
          <wp:effectExtent l="0" t="0" r="2540" b="0"/>
          <wp:docPr id="1" name="Picture 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66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B80EF58"/>
    <w:lvl w:ilvl="0">
      <w:start w:val="1"/>
      <w:numFmt w:val="upperRoman"/>
      <w:pStyle w:val="ListNumber2"/>
      <w:lvlText w:val="%1."/>
      <w:lvlJc w:val="right"/>
      <w:pPr>
        <w:ind w:left="643" w:hanging="360"/>
      </w:pPr>
    </w:lvl>
  </w:abstractNum>
  <w:abstractNum w:abstractNumId="1" w15:restartNumberingAfterBreak="0">
    <w:nsid w:val="FFFFFF82"/>
    <w:multiLevelType w:val="singleLevel"/>
    <w:tmpl w:val="41584254"/>
    <w:lvl w:ilvl="0">
      <w:start w:val="1"/>
      <w:numFmt w:val="bullet"/>
      <w:pStyle w:val="ListBullet3"/>
      <w:lvlText w:val="o"/>
      <w:lvlJc w:val="left"/>
      <w:pPr>
        <w:ind w:left="926" w:hanging="360"/>
      </w:pPr>
      <w:rPr>
        <w:rFonts w:ascii="Courier New" w:hAnsi="Courier New" w:cs="Courier New" w:hint="default"/>
      </w:rPr>
    </w:lvl>
  </w:abstractNum>
  <w:abstractNum w:abstractNumId="2" w15:restartNumberingAfterBreak="0">
    <w:nsid w:val="FFFFFF83"/>
    <w:multiLevelType w:val="singleLevel"/>
    <w:tmpl w:val="67268282"/>
    <w:lvl w:ilvl="0">
      <w:start w:val="1"/>
      <w:numFmt w:val="bullet"/>
      <w:pStyle w:val="ListBullet2"/>
      <w:lvlText w:val="o"/>
      <w:lvlJc w:val="left"/>
      <w:pPr>
        <w:ind w:left="644" w:hanging="360"/>
      </w:pPr>
      <w:rPr>
        <w:rFonts w:ascii="Courier New" w:hAnsi="Courier New" w:cs="Courier New" w:hint="default"/>
      </w:rPr>
    </w:lvl>
  </w:abstractNum>
  <w:abstractNum w:abstractNumId="3" w15:restartNumberingAfterBreak="0">
    <w:nsid w:val="FFFFFF88"/>
    <w:multiLevelType w:val="singleLevel"/>
    <w:tmpl w:val="DEC48312"/>
    <w:lvl w:ilvl="0">
      <w:start w:val="1"/>
      <w:numFmt w:val="decimal"/>
      <w:pStyle w:val="ListNumber"/>
      <w:lvlText w:val="%1)"/>
      <w:lvlJc w:val="left"/>
      <w:pPr>
        <w:ind w:left="360" w:hanging="360"/>
      </w:pPr>
      <w:rPr>
        <w:color w:val="auto"/>
      </w:rPr>
    </w:lvl>
  </w:abstractNum>
  <w:abstractNum w:abstractNumId="4" w15:restartNumberingAfterBreak="0">
    <w:nsid w:val="FFFFFF89"/>
    <w:multiLevelType w:val="singleLevel"/>
    <w:tmpl w:val="57E669B8"/>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12CE0F54"/>
    <w:multiLevelType w:val="hybridMultilevel"/>
    <w:tmpl w:val="CD20FA8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0C0EB4"/>
    <w:multiLevelType w:val="hybridMultilevel"/>
    <w:tmpl w:val="A2644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2B57A1"/>
    <w:multiLevelType w:val="hybridMultilevel"/>
    <w:tmpl w:val="3BB2865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4244791D"/>
    <w:multiLevelType w:val="hybridMultilevel"/>
    <w:tmpl w:val="4260E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CF2ECB"/>
    <w:multiLevelType w:val="multilevel"/>
    <w:tmpl w:val="1102E2CE"/>
    <w:lvl w:ilvl="0">
      <w:start w:val="1"/>
      <w:numFmt w:val="upperRoman"/>
      <w:lvlText w:val="%1."/>
      <w:lvlJc w:val="righ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495A3B4A"/>
    <w:multiLevelType w:val="hybridMultilevel"/>
    <w:tmpl w:val="B9E8A9D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49BA15FF"/>
    <w:multiLevelType w:val="hybridMultilevel"/>
    <w:tmpl w:val="4484CCAA"/>
    <w:lvl w:ilvl="0" w:tplc="427861C0">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E8A4066"/>
    <w:multiLevelType w:val="hybridMultilevel"/>
    <w:tmpl w:val="B13CB9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D732CD8"/>
    <w:multiLevelType w:val="hybridMultilevel"/>
    <w:tmpl w:val="B406C958"/>
    <w:lvl w:ilvl="0" w:tplc="BE28A04E">
      <w:start w:val="1"/>
      <w:numFmt w:val="decimal"/>
      <w:lvlText w:val="%1."/>
      <w:lvlJc w:val="left"/>
      <w:pPr>
        <w:ind w:left="473" w:hanging="360"/>
      </w:pPr>
      <w:rPr>
        <w:rFonts w:cstheme="minorHAnsi"/>
        <w:color w:val="000000" w:themeColor="text1"/>
      </w:rPr>
    </w:lvl>
    <w:lvl w:ilvl="1" w:tplc="0C090019">
      <w:start w:val="1"/>
      <w:numFmt w:val="lowerLetter"/>
      <w:lvlText w:val="%2."/>
      <w:lvlJc w:val="left"/>
      <w:pPr>
        <w:ind w:left="1193" w:hanging="360"/>
      </w:pPr>
    </w:lvl>
    <w:lvl w:ilvl="2" w:tplc="0C09001B">
      <w:start w:val="1"/>
      <w:numFmt w:val="lowerRoman"/>
      <w:lvlText w:val="%3."/>
      <w:lvlJc w:val="right"/>
      <w:pPr>
        <w:ind w:left="1913" w:hanging="180"/>
      </w:pPr>
    </w:lvl>
    <w:lvl w:ilvl="3" w:tplc="0C09000F">
      <w:start w:val="1"/>
      <w:numFmt w:val="decimal"/>
      <w:lvlText w:val="%4."/>
      <w:lvlJc w:val="left"/>
      <w:pPr>
        <w:ind w:left="2633" w:hanging="360"/>
      </w:pPr>
    </w:lvl>
    <w:lvl w:ilvl="4" w:tplc="0C090019">
      <w:start w:val="1"/>
      <w:numFmt w:val="lowerLetter"/>
      <w:lvlText w:val="%5."/>
      <w:lvlJc w:val="left"/>
      <w:pPr>
        <w:ind w:left="3353" w:hanging="360"/>
      </w:pPr>
    </w:lvl>
    <w:lvl w:ilvl="5" w:tplc="0C09001B">
      <w:start w:val="1"/>
      <w:numFmt w:val="lowerRoman"/>
      <w:lvlText w:val="%6."/>
      <w:lvlJc w:val="right"/>
      <w:pPr>
        <w:ind w:left="4073" w:hanging="180"/>
      </w:pPr>
    </w:lvl>
    <w:lvl w:ilvl="6" w:tplc="0C09000F">
      <w:start w:val="1"/>
      <w:numFmt w:val="decimal"/>
      <w:lvlText w:val="%7."/>
      <w:lvlJc w:val="left"/>
      <w:pPr>
        <w:ind w:left="4793" w:hanging="360"/>
      </w:pPr>
    </w:lvl>
    <w:lvl w:ilvl="7" w:tplc="0C090019">
      <w:start w:val="1"/>
      <w:numFmt w:val="lowerLetter"/>
      <w:lvlText w:val="%8."/>
      <w:lvlJc w:val="left"/>
      <w:pPr>
        <w:ind w:left="5513" w:hanging="360"/>
      </w:pPr>
    </w:lvl>
    <w:lvl w:ilvl="8" w:tplc="0C09001B">
      <w:start w:val="1"/>
      <w:numFmt w:val="lowerRoman"/>
      <w:lvlText w:val="%9."/>
      <w:lvlJc w:val="right"/>
      <w:pPr>
        <w:ind w:left="6233" w:hanging="180"/>
      </w:pPr>
    </w:lvl>
  </w:abstractNum>
  <w:abstractNum w:abstractNumId="14" w15:restartNumberingAfterBreak="0">
    <w:nsid w:val="70E67511"/>
    <w:multiLevelType w:val="hybridMultilevel"/>
    <w:tmpl w:val="E2509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0B0736"/>
    <w:multiLevelType w:val="hybridMultilevel"/>
    <w:tmpl w:val="CB867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6E66A4"/>
    <w:multiLevelType w:val="hybridMultilevel"/>
    <w:tmpl w:val="C5528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8702942"/>
    <w:multiLevelType w:val="hybridMultilevel"/>
    <w:tmpl w:val="243C5C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433238871">
    <w:abstractNumId w:val="9"/>
  </w:num>
  <w:num w:numId="2" w16cid:durableId="1085607518">
    <w:abstractNumId w:val="11"/>
  </w:num>
  <w:num w:numId="3" w16cid:durableId="1107312694">
    <w:abstractNumId w:val="4"/>
  </w:num>
  <w:num w:numId="4" w16cid:durableId="719209439">
    <w:abstractNumId w:val="2"/>
  </w:num>
  <w:num w:numId="5" w16cid:durableId="2089959758">
    <w:abstractNumId w:val="1"/>
  </w:num>
  <w:num w:numId="6" w16cid:durableId="3481354">
    <w:abstractNumId w:val="3"/>
  </w:num>
  <w:num w:numId="7" w16cid:durableId="513034305">
    <w:abstractNumId w:val="0"/>
  </w:num>
  <w:num w:numId="8" w16cid:durableId="1870995783">
    <w:abstractNumId w:val="3"/>
    <w:lvlOverride w:ilvl="0">
      <w:startOverride w:val="1"/>
    </w:lvlOverride>
  </w:num>
  <w:num w:numId="9" w16cid:durableId="1503397300">
    <w:abstractNumId w:val="3"/>
    <w:lvlOverride w:ilvl="0">
      <w:startOverride w:val="1"/>
    </w:lvlOverride>
  </w:num>
  <w:num w:numId="10" w16cid:durableId="178397289">
    <w:abstractNumId w:val="3"/>
    <w:lvlOverride w:ilvl="0">
      <w:startOverride w:val="1"/>
    </w:lvlOverride>
  </w:num>
  <w:num w:numId="11" w16cid:durableId="2085254843">
    <w:abstractNumId w:val="3"/>
    <w:lvlOverride w:ilvl="0">
      <w:startOverride w:val="1"/>
    </w:lvlOverride>
  </w:num>
  <w:num w:numId="12" w16cid:durableId="105080307">
    <w:abstractNumId w:val="3"/>
    <w:lvlOverride w:ilvl="0">
      <w:startOverride w:val="1"/>
    </w:lvlOverride>
  </w:num>
  <w:num w:numId="13" w16cid:durableId="1226598789">
    <w:abstractNumId w:val="17"/>
  </w:num>
  <w:num w:numId="14" w16cid:durableId="2168227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80179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1206948">
    <w:abstractNumId w:val="8"/>
  </w:num>
  <w:num w:numId="17" w16cid:durableId="18941491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3446916">
    <w:abstractNumId w:val="14"/>
  </w:num>
  <w:num w:numId="19" w16cid:durableId="2144233778">
    <w:abstractNumId w:val="12"/>
  </w:num>
  <w:num w:numId="20" w16cid:durableId="613563278">
    <w:abstractNumId w:val="16"/>
  </w:num>
  <w:num w:numId="21" w16cid:durableId="1893542682">
    <w:abstractNumId w:val="5"/>
  </w:num>
  <w:num w:numId="22" w16cid:durableId="22708103">
    <w:abstractNumId w:val="15"/>
  </w:num>
  <w:num w:numId="23" w16cid:durableId="12520832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DA6"/>
    <w:rsid w:val="00035089"/>
    <w:rsid w:val="000432DA"/>
    <w:rsid w:val="0006417A"/>
    <w:rsid w:val="00096C60"/>
    <w:rsid w:val="000A38C2"/>
    <w:rsid w:val="000A7D96"/>
    <w:rsid w:val="000B0C0D"/>
    <w:rsid w:val="000B42C1"/>
    <w:rsid w:val="00122206"/>
    <w:rsid w:val="00140272"/>
    <w:rsid w:val="00187075"/>
    <w:rsid w:val="00192B42"/>
    <w:rsid w:val="001D7C0B"/>
    <w:rsid w:val="00210B39"/>
    <w:rsid w:val="00224965"/>
    <w:rsid w:val="00234068"/>
    <w:rsid w:val="00244728"/>
    <w:rsid w:val="00244AB8"/>
    <w:rsid w:val="00260DA8"/>
    <w:rsid w:val="00260E5D"/>
    <w:rsid w:val="0027115F"/>
    <w:rsid w:val="00275D2C"/>
    <w:rsid w:val="002765D4"/>
    <w:rsid w:val="002D7CB5"/>
    <w:rsid w:val="00312B47"/>
    <w:rsid w:val="00332227"/>
    <w:rsid w:val="00332AEB"/>
    <w:rsid w:val="00351819"/>
    <w:rsid w:val="003700D0"/>
    <w:rsid w:val="003A48A1"/>
    <w:rsid w:val="003D5454"/>
    <w:rsid w:val="00411A9B"/>
    <w:rsid w:val="00473186"/>
    <w:rsid w:val="00485A34"/>
    <w:rsid w:val="004B1FE1"/>
    <w:rsid w:val="004B3B98"/>
    <w:rsid w:val="004B7893"/>
    <w:rsid w:val="004F00B8"/>
    <w:rsid w:val="004F1AC3"/>
    <w:rsid w:val="00517DA6"/>
    <w:rsid w:val="00567245"/>
    <w:rsid w:val="00595E94"/>
    <w:rsid w:val="005B7769"/>
    <w:rsid w:val="005D1028"/>
    <w:rsid w:val="005D2D57"/>
    <w:rsid w:val="005D5F4B"/>
    <w:rsid w:val="005E196B"/>
    <w:rsid w:val="005E5634"/>
    <w:rsid w:val="0061550A"/>
    <w:rsid w:val="00617041"/>
    <w:rsid w:val="006230EE"/>
    <w:rsid w:val="006320BA"/>
    <w:rsid w:val="00640CA1"/>
    <w:rsid w:val="00656F3B"/>
    <w:rsid w:val="006B0285"/>
    <w:rsid w:val="006B4FDC"/>
    <w:rsid w:val="006E75C5"/>
    <w:rsid w:val="0071556E"/>
    <w:rsid w:val="007177BF"/>
    <w:rsid w:val="007361D8"/>
    <w:rsid w:val="00744734"/>
    <w:rsid w:val="00790274"/>
    <w:rsid w:val="00792EFD"/>
    <w:rsid w:val="008058C8"/>
    <w:rsid w:val="0082237A"/>
    <w:rsid w:val="0086697E"/>
    <w:rsid w:val="0088408F"/>
    <w:rsid w:val="00903864"/>
    <w:rsid w:val="00907D8F"/>
    <w:rsid w:val="00963EBD"/>
    <w:rsid w:val="00A2544B"/>
    <w:rsid w:val="00A35ECE"/>
    <w:rsid w:val="00A63048"/>
    <w:rsid w:val="00A66AFD"/>
    <w:rsid w:val="00A84AC6"/>
    <w:rsid w:val="00A94885"/>
    <w:rsid w:val="00AB2525"/>
    <w:rsid w:val="00AE0DEE"/>
    <w:rsid w:val="00B0581B"/>
    <w:rsid w:val="00B171BC"/>
    <w:rsid w:val="00B74AA6"/>
    <w:rsid w:val="00B87044"/>
    <w:rsid w:val="00BD3218"/>
    <w:rsid w:val="00C35E76"/>
    <w:rsid w:val="00C3778A"/>
    <w:rsid w:val="00C40967"/>
    <w:rsid w:val="00C578CE"/>
    <w:rsid w:val="00C62575"/>
    <w:rsid w:val="00CA5000"/>
    <w:rsid w:val="00CD5932"/>
    <w:rsid w:val="00D03103"/>
    <w:rsid w:val="00D10C2A"/>
    <w:rsid w:val="00D116B4"/>
    <w:rsid w:val="00D14228"/>
    <w:rsid w:val="00D2505E"/>
    <w:rsid w:val="00D375FD"/>
    <w:rsid w:val="00D476F8"/>
    <w:rsid w:val="00DB1129"/>
    <w:rsid w:val="00DE3010"/>
    <w:rsid w:val="00DE6874"/>
    <w:rsid w:val="00E11E03"/>
    <w:rsid w:val="00E14B62"/>
    <w:rsid w:val="00E24814"/>
    <w:rsid w:val="00E44C94"/>
    <w:rsid w:val="00E51EE7"/>
    <w:rsid w:val="00E7059B"/>
    <w:rsid w:val="00E732B1"/>
    <w:rsid w:val="00E8246D"/>
    <w:rsid w:val="00E83D64"/>
    <w:rsid w:val="00E90B1B"/>
    <w:rsid w:val="00EA340D"/>
    <w:rsid w:val="00EA5771"/>
    <w:rsid w:val="00EB69DB"/>
    <w:rsid w:val="00EF695D"/>
    <w:rsid w:val="00F15D1A"/>
    <w:rsid w:val="00F3163E"/>
    <w:rsid w:val="00F35FF9"/>
    <w:rsid w:val="00F52643"/>
    <w:rsid w:val="00F87D2E"/>
    <w:rsid w:val="00FB71B8"/>
    <w:rsid w:val="00FC5AAB"/>
    <w:rsid w:val="00FF72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647D7"/>
  <w15:chartTrackingRefBased/>
  <w15:docId w15:val="{E28D8D37-4B63-426F-8FA4-8001551E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DA6"/>
    <w:pPr>
      <w:spacing w:before="120" w:after="120"/>
    </w:pPr>
    <w:rPr>
      <w:rFonts w:cs="Times New Roman"/>
      <w:sz w:val="24"/>
      <w:szCs w:val="24"/>
    </w:rPr>
  </w:style>
  <w:style w:type="paragraph" w:styleId="Heading1">
    <w:name w:val="heading 1"/>
    <w:next w:val="Normal"/>
    <w:link w:val="Heading1Char"/>
    <w:uiPriority w:val="9"/>
    <w:qFormat/>
    <w:rsid w:val="00517DA6"/>
    <w:pPr>
      <w:keepNext/>
      <w:keepLines/>
      <w:spacing w:before="120" w:after="120"/>
      <w:outlineLvl w:val="0"/>
    </w:pPr>
    <w:rPr>
      <w:rFonts w:ascii="Calibri" w:eastAsiaTheme="majorEastAsia" w:hAnsi="Calibr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1D7C0B"/>
    <w:pPr>
      <w:outlineLvl w:val="1"/>
    </w:pPr>
  </w:style>
  <w:style w:type="paragraph" w:styleId="Heading3">
    <w:name w:val="heading 3"/>
    <w:basedOn w:val="Heading2"/>
    <w:next w:val="Normal"/>
    <w:link w:val="Heading3Char"/>
    <w:uiPriority w:val="9"/>
    <w:unhideWhenUsed/>
    <w:qFormat/>
    <w:rsid w:val="00517DA6"/>
    <w:pPr>
      <w:spacing w:before="180"/>
      <w:outlineLvl w:val="2"/>
    </w:pPr>
    <w:rPr>
      <w:rFonts w:asciiTheme="minorHAnsi" w:hAnsiTheme="minorHAnsi"/>
      <w:b/>
      <w:color w:val="1F3763" w:themeColor="accent1" w:themeShade="7F"/>
      <w:sz w:val="24"/>
    </w:rPr>
  </w:style>
  <w:style w:type="paragraph" w:styleId="Heading4">
    <w:name w:val="heading 4"/>
    <w:basedOn w:val="Normal"/>
    <w:next w:val="Normal"/>
    <w:link w:val="Heading4Char"/>
    <w:uiPriority w:val="9"/>
    <w:unhideWhenUsed/>
    <w:qFormat/>
    <w:rsid w:val="00517DA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uiPriority w:val="9"/>
    <w:semiHidden/>
    <w:unhideWhenUsed/>
    <w:qFormat/>
    <w:rsid w:val="00517DA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DA6"/>
    <w:rPr>
      <w:rFonts w:ascii="Calibri" w:eastAsiaTheme="majorEastAsia" w:hAnsi="Calibri" w:cstheme="majorBidi"/>
      <w:color w:val="2F5496" w:themeColor="accent1" w:themeShade="BF"/>
      <w:sz w:val="32"/>
      <w:szCs w:val="32"/>
    </w:rPr>
  </w:style>
  <w:style w:type="character" w:customStyle="1" w:styleId="Heading2Char">
    <w:name w:val="Heading 2 Char"/>
    <w:basedOn w:val="DefaultParagraphFont"/>
    <w:link w:val="Heading2"/>
    <w:uiPriority w:val="9"/>
    <w:rsid w:val="001D7C0B"/>
    <w:rPr>
      <w:rFonts w:ascii="Calibri" w:eastAsiaTheme="majorEastAsia" w:hAnsi="Calibri" w:cstheme="majorBidi"/>
      <w:color w:val="2F5496" w:themeColor="accent1" w:themeShade="BF"/>
      <w:sz w:val="32"/>
      <w:szCs w:val="32"/>
    </w:rPr>
  </w:style>
  <w:style w:type="character" w:customStyle="1" w:styleId="Heading3Char">
    <w:name w:val="Heading 3 Char"/>
    <w:basedOn w:val="DefaultParagraphFont"/>
    <w:link w:val="Heading3"/>
    <w:uiPriority w:val="9"/>
    <w:rsid w:val="00517DA6"/>
    <w:rPr>
      <w:rFonts w:eastAsiaTheme="majorEastAsia" w:cstheme="majorBidi"/>
      <w:b/>
      <w:color w:val="1F3763" w:themeColor="accent1" w:themeShade="7F"/>
      <w:sz w:val="24"/>
      <w:szCs w:val="26"/>
    </w:rPr>
  </w:style>
  <w:style w:type="character" w:customStyle="1" w:styleId="Heading4Char">
    <w:name w:val="Heading 4 Char"/>
    <w:basedOn w:val="DefaultParagraphFont"/>
    <w:link w:val="Heading4"/>
    <w:uiPriority w:val="9"/>
    <w:rsid w:val="00517DA6"/>
    <w:rPr>
      <w:rFonts w:asciiTheme="majorHAnsi" w:eastAsiaTheme="majorEastAsia" w:hAnsiTheme="majorHAnsi" w:cstheme="majorBidi"/>
      <w:i/>
      <w:iCs/>
      <w:color w:val="2F5496" w:themeColor="accent1" w:themeShade="BF"/>
      <w:sz w:val="24"/>
      <w:szCs w:val="24"/>
    </w:rPr>
  </w:style>
  <w:style w:type="character" w:customStyle="1" w:styleId="Heading7Char">
    <w:name w:val="Heading 7 Char"/>
    <w:basedOn w:val="DefaultParagraphFont"/>
    <w:link w:val="Heading7"/>
    <w:uiPriority w:val="9"/>
    <w:semiHidden/>
    <w:rsid w:val="00517DA6"/>
    <w:rPr>
      <w:rFonts w:asciiTheme="majorHAnsi" w:eastAsiaTheme="majorEastAsia" w:hAnsiTheme="majorHAnsi" w:cstheme="majorBidi"/>
      <w:i/>
      <w:iCs/>
      <w:color w:val="1F3763" w:themeColor="accent1" w:themeShade="7F"/>
      <w:sz w:val="24"/>
      <w:szCs w:val="24"/>
    </w:rPr>
  </w:style>
  <w:style w:type="paragraph" w:styleId="ListParagraph">
    <w:name w:val="List Paragraph"/>
    <w:aliases w:val="Noise heading,RUS List,Credits,Text,Cell bullets,Rec para,alphabet listing,Number abc,a List Paragraph,List Paragraph1,En tête 1,Normal 1,MICA-List,Colorful List - Accent 11,Dot pt,No Spacing1,List Paragraph Char Char Char,Indicator Text"/>
    <w:basedOn w:val="Normal"/>
    <w:link w:val="ListParagraphChar"/>
    <w:uiPriority w:val="34"/>
    <w:qFormat/>
    <w:rsid w:val="00517DA6"/>
    <w:pPr>
      <w:ind w:left="720"/>
      <w:contextualSpacing/>
    </w:pPr>
  </w:style>
  <w:style w:type="table" w:styleId="TableGrid">
    <w:name w:val="Table Grid"/>
    <w:basedOn w:val="TableNormal"/>
    <w:uiPriority w:val="39"/>
    <w:rsid w:val="00517DA6"/>
    <w:pPr>
      <w:spacing w:after="0"/>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ise heading Char,RUS List Char,Credits Char,Text Char,Cell bullets Char,Rec para Char,alphabet listing Char,Number abc Char,a List Paragraph Char,List Paragraph1 Char,En tête 1 Char,Normal 1 Char,MICA-List Char,Dot pt Char"/>
    <w:basedOn w:val="DefaultParagraphFont"/>
    <w:link w:val="ListParagraph"/>
    <w:uiPriority w:val="34"/>
    <w:locked/>
    <w:rsid w:val="00517DA6"/>
    <w:rPr>
      <w:rFonts w:cs="Times New Roman"/>
      <w:sz w:val="24"/>
      <w:szCs w:val="24"/>
    </w:rPr>
  </w:style>
  <w:style w:type="character" w:styleId="Hyperlink">
    <w:name w:val="Hyperlink"/>
    <w:basedOn w:val="DefaultParagraphFont"/>
    <w:uiPriority w:val="99"/>
    <w:unhideWhenUsed/>
    <w:rsid w:val="00517DA6"/>
    <w:rPr>
      <w:color w:val="0000FF"/>
      <w:u w:val="single"/>
    </w:rPr>
  </w:style>
  <w:style w:type="paragraph" w:styleId="Footer">
    <w:name w:val="footer"/>
    <w:basedOn w:val="Normal"/>
    <w:link w:val="FooterChar"/>
    <w:uiPriority w:val="99"/>
    <w:unhideWhenUsed/>
    <w:rsid w:val="00517DA6"/>
    <w:pPr>
      <w:tabs>
        <w:tab w:val="center" w:pos="4513"/>
        <w:tab w:val="right" w:pos="9026"/>
      </w:tabs>
      <w:spacing w:after="0"/>
    </w:pPr>
  </w:style>
  <w:style w:type="character" w:customStyle="1" w:styleId="FooterChar">
    <w:name w:val="Footer Char"/>
    <w:basedOn w:val="DefaultParagraphFont"/>
    <w:link w:val="Footer"/>
    <w:uiPriority w:val="99"/>
    <w:rsid w:val="00517DA6"/>
    <w:rPr>
      <w:rFonts w:cs="Times New Roman"/>
      <w:sz w:val="24"/>
      <w:szCs w:val="24"/>
    </w:rPr>
  </w:style>
  <w:style w:type="character" w:styleId="CommentReference">
    <w:name w:val="annotation reference"/>
    <w:basedOn w:val="DefaultParagraphFont"/>
    <w:uiPriority w:val="99"/>
    <w:semiHidden/>
    <w:unhideWhenUsed/>
    <w:rsid w:val="00517DA6"/>
    <w:rPr>
      <w:sz w:val="16"/>
      <w:szCs w:val="16"/>
    </w:rPr>
  </w:style>
  <w:style w:type="paragraph" w:styleId="CommentText">
    <w:name w:val="annotation text"/>
    <w:basedOn w:val="Normal"/>
    <w:link w:val="CommentTextChar"/>
    <w:uiPriority w:val="99"/>
    <w:unhideWhenUsed/>
    <w:rsid w:val="00517DA6"/>
    <w:rPr>
      <w:sz w:val="20"/>
      <w:szCs w:val="20"/>
    </w:rPr>
  </w:style>
  <w:style w:type="character" w:customStyle="1" w:styleId="CommentTextChar">
    <w:name w:val="Comment Text Char"/>
    <w:basedOn w:val="DefaultParagraphFont"/>
    <w:link w:val="CommentText"/>
    <w:uiPriority w:val="99"/>
    <w:rsid w:val="00517DA6"/>
    <w:rPr>
      <w:rFonts w:cs="Times New Roman"/>
      <w:sz w:val="20"/>
      <w:szCs w:val="20"/>
    </w:rPr>
  </w:style>
  <w:style w:type="paragraph" w:styleId="FootnoteText">
    <w:name w:val="footnote text"/>
    <w:basedOn w:val="Normal"/>
    <w:link w:val="FootnoteTextChar"/>
    <w:uiPriority w:val="99"/>
    <w:unhideWhenUsed/>
    <w:rsid w:val="00517DA6"/>
    <w:pPr>
      <w:spacing w:before="40" w:after="0"/>
    </w:pPr>
    <w:rPr>
      <w:sz w:val="20"/>
      <w:szCs w:val="20"/>
    </w:rPr>
  </w:style>
  <w:style w:type="character" w:customStyle="1" w:styleId="FootnoteTextChar">
    <w:name w:val="Footnote Text Char"/>
    <w:basedOn w:val="DefaultParagraphFont"/>
    <w:link w:val="FootnoteText"/>
    <w:uiPriority w:val="99"/>
    <w:rsid w:val="00517DA6"/>
    <w:rPr>
      <w:rFonts w:cs="Times New Roman"/>
      <w:sz w:val="20"/>
      <w:szCs w:val="20"/>
    </w:rPr>
  </w:style>
  <w:style w:type="character" w:styleId="FootnoteReference">
    <w:name w:val="footnote reference"/>
    <w:basedOn w:val="DefaultParagraphFont"/>
    <w:uiPriority w:val="99"/>
    <w:semiHidden/>
    <w:unhideWhenUsed/>
    <w:rsid w:val="00517DA6"/>
    <w:rPr>
      <w:vertAlign w:val="superscript"/>
    </w:rPr>
  </w:style>
  <w:style w:type="paragraph" w:styleId="BalloonText">
    <w:name w:val="Balloon Text"/>
    <w:basedOn w:val="Normal"/>
    <w:link w:val="BalloonTextChar"/>
    <w:uiPriority w:val="99"/>
    <w:semiHidden/>
    <w:unhideWhenUsed/>
    <w:rsid w:val="00517DA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DA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17DA6"/>
    <w:rPr>
      <w:b/>
      <w:bCs/>
    </w:rPr>
  </w:style>
  <w:style w:type="character" w:customStyle="1" w:styleId="CommentSubjectChar">
    <w:name w:val="Comment Subject Char"/>
    <w:basedOn w:val="CommentTextChar"/>
    <w:link w:val="CommentSubject"/>
    <w:uiPriority w:val="99"/>
    <w:semiHidden/>
    <w:rsid w:val="00517DA6"/>
    <w:rPr>
      <w:rFonts w:cs="Times New Roman"/>
      <w:b/>
      <w:bCs/>
      <w:sz w:val="20"/>
      <w:szCs w:val="20"/>
    </w:rPr>
  </w:style>
  <w:style w:type="character" w:styleId="FollowedHyperlink">
    <w:name w:val="FollowedHyperlink"/>
    <w:basedOn w:val="DefaultParagraphFont"/>
    <w:uiPriority w:val="99"/>
    <w:semiHidden/>
    <w:unhideWhenUsed/>
    <w:rsid w:val="00517DA6"/>
    <w:rPr>
      <w:color w:val="954F72" w:themeColor="followedHyperlink"/>
      <w:u w:val="single"/>
    </w:rPr>
  </w:style>
  <w:style w:type="paragraph" w:styleId="Header">
    <w:name w:val="header"/>
    <w:basedOn w:val="Normal"/>
    <w:link w:val="HeaderChar"/>
    <w:uiPriority w:val="99"/>
    <w:unhideWhenUsed/>
    <w:rsid w:val="00517DA6"/>
    <w:pPr>
      <w:tabs>
        <w:tab w:val="center" w:pos="4513"/>
        <w:tab w:val="right" w:pos="9026"/>
      </w:tabs>
      <w:spacing w:after="0"/>
    </w:pPr>
  </w:style>
  <w:style w:type="character" w:customStyle="1" w:styleId="HeaderChar">
    <w:name w:val="Header Char"/>
    <w:basedOn w:val="DefaultParagraphFont"/>
    <w:link w:val="Header"/>
    <w:uiPriority w:val="99"/>
    <w:rsid w:val="00517DA6"/>
    <w:rPr>
      <w:rFonts w:cs="Times New Roman"/>
      <w:sz w:val="24"/>
      <w:szCs w:val="24"/>
    </w:rPr>
  </w:style>
  <w:style w:type="paragraph" w:styleId="Revision">
    <w:name w:val="Revision"/>
    <w:hidden/>
    <w:uiPriority w:val="99"/>
    <w:semiHidden/>
    <w:rsid w:val="00517DA6"/>
    <w:pPr>
      <w:spacing w:after="0"/>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517DA6"/>
    <w:rPr>
      <w:color w:val="605E5C"/>
      <w:shd w:val="clear" w:color="auto" w:fill="E1DFDD"/>
    </w:rPr>
  </w:style>
  <w:style w:type="table" w:customStyle="1" w:styleId="TableTGAblack">
    <w:name w:val="Table TGA black"/>
    <w:basedOn w:val="TableNormal"/>
    <w:uiPriority w:val="99"/>
    <w:rsid w:val="00517DA6"/>
    <w:pPr>
      <w:spacing w:before="60" w:after="0"/>
    </w:pPr>
    <w:rPr>
      <w:rFonts w:ascii="Cambria" w:eastAsia="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keepNext/>
        <w:wordWrap/>
        <w:jc w:val="left"/>
      </w:pPr>
      <w:rPr>
        <w:rFonts w:asciiTheme="minorHAnsi" w:hAnsiTheme="minorHAnsi"/>
        <w:b/>
        <w:color w:val="FFFFFF"/>
        <w:sz w:val="22"/>
      </w:rPr>
      <w:tblPr/>
      <w:tcPr>
        <w:shd w:val="clear" w:color="auto" w:fill="2E74B5" w:themeFill="accent5" w:themeFillShade="BF"/>
        <w:vAlign w:val="center"/>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character" w:customStyle="1" w:styleId="UnresolvedMention2">
    <w:name w:val="Unresolved Mention2"/>
    <w:basedOn w:val="DefaultParagraphFont"/>
    <w:uiPriority w:val="99"/>
    <w:semiHidden/>
    <w:unhideWhenUsed/>
    <w:rsid w:val="00517DA6"/>
    <w:rPr>
      <w:color w:val="605E5C"/>
      <w:shd w:val="clear" w:color="auto" w:fill="E1DFDD"/>
    </w:rPr>
  </w:style>
  <w:style w:type="paragraph" w:customStyle="1" w:styleId="NonTOCheading2">
    <w:name w:val="Non TOC heading 2"/>
    <w:next w:val="Normal"/>
    <w:rsid w:val="00517DA6"/>
    <w:pPr>
      <w:keepNext/>
      <w:keepLines/>
      <w:pageBreakBefore/>
      <w:spacing w:after="180" w:line="240" w:lineRule="atLeast"/>
      <w:outlineLvl w:val="1"/>
    </w:pPr>
    <w:rPr>
      <w:rFonts w:ascii="Arial" w:eastAsia="Cambria" w:hAnsi="Arial" w:cs="Times New Roman"/>
      <w:b/>
      <w:sz w:val="28"/>
      <w:szCs w:val="20"/>
    </w:rPr>
  </w:style>
  <w:style w:type="paragraph" w:styleId="Title">
    <w:name w:val="Title"/>
    <w:basedOn w:val="Normal"/>
    <w:next w:val="Normal"/>
    <w:link w:val="TitleChar"/>
    <w:uiPriority w:val="10"/>
    <w:qFormat/>
    <w:rsid w:val="00517DA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7DA6"/>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517DA6"/>
    <w:rPr>
      <w:color w:val="605E5C"/>
      <w:shd w:val="clear" w:color="auto" w:fill="E1DFDD"/>
    </w:rPr>
  </w:style>
  <w:style w:type="character" w:styleId="Strong">
    <w:name w:val="Strong"/>
    <w:basedOn w:val="DefaultParagraphFont"/>
    <w:uiPriority w:val="22"/>
    <w:qFormat/>
    <w:rsid w:val="00517DA6"/>
    <w:rPr>
      <w:b/>
      <w:bCs/>
    </w:rPr>
  </w:style>
  <w:style w:type="paragraph" w:customStyle="1" w:styleId="Criteriontext">
    <w:name w:val="Criterion text"/>
    <w:link w:val="CriteriontextChar"/>
    <w:qFormat/>
    <w:rsid w:val="00517DA6"/>
    <w:pPr>
      <w:pBdr>
        <w:top w:val="single" w:sz="4" w:space="1" w:color="D9E2F3" w:themeColor="accent1" w:themeTint="33"/>
        <w:left w:val="single" w:sz="4" w:space="4" w:color="D9E2F3" w:themeColor="accent1" w:themeTint="33"/>
        <w:bottom w:val="single" w:sz="4" w:space="1" w:color="D9E2F3" w:themeColor="accent1" w:themeTint="33"/>
        <w:right w:val="single" w:sz="4" w:space="4" w:color="D9E2F3" w:themeColor="accent1" w:themeTint="33"/>
      </w:pBdr>
      <w:shd w:val="clear" w:color="auto" w:fill="D9E2F3" w:themeFill="accent1" w:themeFillTint="33"/>
      <w:spacing w:after="0" w:line="259" w:lineRule="auto"/>
      <w:contextualSpacing/>
    </w:pPr>
    <w:rPr>
      <w:rFonts w:cs="Times New Roman"/>
      <w:sz w:val="24"/>
      <w:szCs w:val="24"/>
    </w:rPr>
  </w:style>
  <w:style w:type="paragraph" w:styleId="ListBullet2">
    <w:name w:val="List Bullet 2"/>
    <w:basedOn w:val="Normal"/>
    <w:uiPriority w:val="99"/>
    <w:unhideWhenUsed/>
    <w:rsid w:val="00517DA6"/>
    <w:pPr>
      <w:numPr>
        <w:numId w:val="4"/>
      </w:numPr>
      <w:spacing w:before="0" w:after="0"/>
      <w:contextualSpacing/>
    </w:pPr>
  </w:style>
  <w:style w:type="character" w:customStyle="1" w:styleId="CriteriontextChar">
    <w:name w:val="Criterion text Char"/>
    <w:basedOn w:val="DefaultParagraphFont"/>
    <w:link w:val="Criteriontext"/>
    <w:rsid w:val="00517DA6"/>
    <w:rPr>
      <w:rFonts w:cs="Times New Roman"/>
      <w:sz w:val="24"/>
      <w:szCs w:val="24"/>
      <w:shd w:val="clear" w:color="auto" w:fill="D9E2F3" w:themeFill="accent1" w:themeFillTint="33"/>
    </w:rPr>
  </w:style>
  <w:style w:type="paragraph" w:styleId="ListBullet">
    <w:name w:val="List Bullet"/>
    <w:basedOn w:val="Normal"/>
    <w:uiPriority w:val="99"/>
    <w:unhideWhenUsed/>
    <w:rsid w:val="00517DA6"/>
    <w:pPr>
      <w:numPr>
        <w:numId w:val="3"/>
      </w:numPr>
      <w:spacing w:before="0" w:after="0"/>
      <w:contextualSpacing/>
    </w:pPr>
  </w:style>
  <w:style w:type="paragraph" w:styleId="ListBullet3">
    <w:name w:val="List Bullet 3"/>
    <w:basedOn w:val="Normal"/>
    <w:uiPriority w:val="99"/>
    <w:unhideWhenUsed/>
    <w:rsid w:val="00517DA6"/>
    <w:pPr>
      <w:numPr>
        <w:numId w:val="5"/>
      </w:numPr>
      <w:contextualSpacing/>
    </w:pPr>
  </w:style>
  <w:style w:type="paragraph" w:styleId="ListNumber">
    <w:name w:val="List Number"/>
    <w:basedOn w:val="Normal"/>
    <w:uiPriority w:val="99"/>
    <w:unhideWhenUsed/>
    <w:rsid w:val="00517DA6"/>
    <w:pPr>
      <w:numPr>
        <w:numId w:val="6"/>
      </w:numPr>
      <w:spacing w:before="0" w:after="0"/>
      <w:contextualSpacing/>
    </w:pPr>
  </w:style>
  <w:style w:type="paragraph" w:styleId="ListNumber2">
    <w:name w:val="List Number 2"/>
    <w:basedOn w:val="Normal"/>
    <w:uiPriority w:val="99"/>
    <w:unhideWhenUsed/>
    <w:rsid w:val="00517DA6"/>
    <w:pPr>
      <w:numPr>
        <w:numId w:val="7"/>
      </w:numPr>
      <w:ind w:left="958" w:hanging="283"/>
      <w:contextualSpacing/>
    </w:pPr>
    <w:rPr>
      <w:rFonts w:eastAsia="Cambria"/>
      <w:color w:val="000000"/>
      <w:sz w:val="22"/>
      <w:szCs w:val="21"/>
      <w:lang w:eastAsia="en-AU"/>
    </w:rPr>
  </w:style>
  <w:style w:type="paragraph" w:styleId="TOCHeading">
    <w:name w:val="TOC Heading"/>
    <w:basedOn w:val="Heading1"/>
    <w:next w:val="Normal"/>
    <w:uiPriority w:val="39"/>
    <w:unhideWhenUsed/>
    <w:qFormat/>
    <w:rsid w:val="00517DA6"/>
    <w:pPr>
      <w:spacing w:before="240" w:after="0" w:line="259" w:lineRule="auto"/>
      <w:outlineLvl w:val="9"/>
    </w:pPr>
    <w:rPr>
      <w:rFonts w:asciiTheme="majorHAnsi" w:hAnsiTheme="majorHAnsi"/>
      <w:lang w:val="en-US"/>
    </w:rPr>
  </w:style>
  <w:style w:type="paragraph" w:styleId="TOC1">
    <w:name w:val="toc 1"/>
    <w:basedOn w:val="Normal"/>
    <w:next w:val="Normal"/>
    <w:autoRedefine/>
    <w:uiPriority w:val="39"/>
    <w:unhideWhenUsed/>
    <w:rsid w:val="00517DA6"/>
    <w:pPr>
      <w:spacing w:after="100"/>
    </w:pPr>
  </w:style>
  <w:style w:type="paragraph" w:styleId="TOC2">
    <w:name w:val="toc 2"/>
    <w:basedOn w:val="Normal"/>
    <w:next w:val="Normal"/>
    <w:autoRedefine/>
    <w:uiPriority w:val="39"/>
    <w:unhideWhenUsed/>
    <w:rsid w:val="00517DA6"/>
    <w:pPr>
      <w:tabs>
        <w:tab w:val="right" w:leader="dot" w:pos="9016"/>
      </w:tabs>
      <w:spacing w:after="100"/>
      <w:ind w:left="240"/>
    </w:pPr>
  </w:style>
  <w:style w:type="paragraph" w:styleId="TOC3">
    <w:name w:val="toc 3"/>
    <w:basedOn w:val="Normal"/>
    <w:next w:val="Normal"/>
    <w:autoRedefine/>
    <w:uiPriority w:val="39"/>
    <w:unhideWhenUsed/>
    <w:rsid w:val="00517DA6"/>
    <w:pPr>
      <w:spacing w:after="100"/>
      <w:ind w:left="480"/>
    </w:pPr>
  </w:style>
  <w:style w:type="paragraph" w:styleId="NoSpacing">
    <w:name w:val="No Spacing"/>
    <w:uiPriority w:val="1"/>
    <w:qFormat/>
    <w:rsid w:val="00517DA6"/>
    <w:pPr>
      <w:spacing w:after="0"/>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bs.tga.gov.au/ebs/picmi/picmirepository.nsf/PICMI?OpenForm&amp;t=pi&amp;q=spikevax" TargetMode="External"/><Relationship Id="rId18" Type="http://schemas.openxmlformats.org/officeDocument/2006/relationships/hyperlink" Target="https://www.who.int/publications/i/item/9789240061989" TargetMode="External"/><Relationship Id="rId26" Type="http://schemas.openxmlformats.org/officeDocument/2006/relationships/hyperlink" Target="https://www.ebs.tga.gov.au/ebs/picmi/picmirepository.nsf/PICMI?OpenForm&amp;t=pi&amp;q=comirnaty" TargetMode="External"/><Relationship Id="rId39" Type="http://schemas.openxmlformats.org/officeDocument/2006/relationships/hyperlink" Target="https://www.health.gov.au/sites/default/files/documents/2021/10/covid-19-vaccination-atagi-clinical-guidance-on-covid-19-vaccine-in-australia-in-2021.pdf" TargetMode="External"/><Relationship Id="rId3" Type="http://schemas.openxmlformats.org/officeDocument/2006/relationships/styles" Target="styles.xml"/><Relationship Id="rId21" Type="http://schemas.openxmlformats.org/officeDocument/2006/relationships/hyperlink" Target="https://brightoncollaboration.us/myocarditis-case-definition-update/" TargetMode="External"/><Relationship Id="rId34" Type="http://schemas.openxmlformats.org/officeDocument/2006/relationships/hyperlink" Target="https://www.ebs.tga.gov.au/ebs/picmi/picmirepository.nsf/PICMI?OpenForm&amp;t=PI&amp;q=Vaxzevria" TargetMode="External"/><Relationship Id="rId42" Type="http://schemas.openxmlformats.org/officeDocument/2006/relationships/hyperlink" Target="https://www.ncbi.nlm.nih.gov/pmc/articles/PMC8786602/" TargetMode="External"/><Relationship Id="rId47" Type="http://schemas.openxmlformats.org/officeDocument/2006/relationships/hyperlink" Target="https://brightoncollaboration.us/wp-content/uploads/2021/03/SPEAC_D2.5.2.1_Myelitis-Case-Definition-Companion-Guide_V3.0_13Feb2021_format12066-1.pdf"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bs.tga.gov.au/ebs/picmi/picmirepository.nsf/PICMI?OpenForm&amp;t=pi&amp;q=comirnaty" TargetMode="External"/><Relationship Id="rId17" Type="http://schemas.openxmlformats.org/officeDocument/2006/relationships/hyperlink" Target="https://www.thanz.org.au/resources/covid-19" TargetMode="External"/><Relationship Id="rId25" Type="http://schemas.openxmlformats.org/officeDocument/2006/relationships/hyperlink" Target="https://brightoncollaboration.us/myocarditis-case-definition-update/" TargetMode="External"/><Relationship Id="rId33" Type="http://schemas.openxmlformats.org/officeDocument/2006/relationships/hyperlink" Target="https://brightoncollaboration.us/guillain-barre-and-miller-fisher-syndromes-case-definition-companion-guide/" TargetMode="External"/><Relationship Id="rId38" Type="http://schemas.openxmlformats.org/officeDocument/2006/relationships/hyperlink" Target="https://www.ebs.tga.gov.au/ebs/picmi/picmirepository.nsf/PICMI?OpenForm&amp;t=PI&amp;q=Vaxzevria" TargetMode="External"/><Relationship Id="rId46" Type="http://schemas.openxmlformats.org/officeDocument/2006/relationships/hyperlink" Target="https://www.hopkinsmedicine.org/neurology_neurosurgery/centers_clinics/transverse_myelitis/about-tm/what-is-transverse-myelitis.html" TargetMode="External"/><Relationship Id="rId2" Type="http://schemas.openxmlformats.org/officeDocument/2006/relationships/numbering" Target="numbering.xml"/><Relationship Id="rId16" Type="http://schemas.openxmlformats.org/officeDocument/2006/relationships/hyperlink" Target="https://www.health.gov.au/our-work/covid-19-vaccines/advice-for-providers/clinical-guidance/tts" TargetMode="External"/><Relationship Id="rId20" Type="http://schemas.openxmlformats.org/officeDocument/2006/relationships/hyperlink" Target="https://www.health.gov.au/resources/publications/covid-19-vaccination-guidance-on-myocarditis-and-pericarditis-after-covid-19-vaccines?language=en" TargetMode="External"/><Relationship Id="rId29" Type="http://schemas.openxmlformats.org/officeDocument/2006/relationships/hyperlink" Target="http://www.ema.europa.eu/en/documents/dhpc/direct-healthcare-professional-communication-dhpc-vaxzevria-previously-covid-19-vaccine-astrazeneca_en-1.pdf" TargetMode="External"/><Relationship Id="rId41" Type="http://schemas.openxmlformats.org/officeDocument/2006/relationships/hyperlink" Target="https://www.health.gov.au/sites/default/files/documents/2021/10/covid-19-vaccination-atagi-clinical-guidance-on-covid-19-vaccine-in-australia-in-202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direct.com/science/article/pii/S1939455120303756" TargetMode="External"/><Relationship Id="rId24" Type="http://schemas.openxmlformats.org/officeDocument/2006/relationships/hyperlink" Target="https://www.health.gov.au/resources/publications/covid-19-vaccination-guidance-on-myocarditis-and-pericarditis-after-covid-19-vaccines?language=en" TargetMode="External"/><Relationship Id="rId32" Type="http://schemas.openxmlformats.org/officeDocument/2006/relationships/hyperlink" Target="https://www.health.gov.au/our-work/covid-19-vaccines/advice-for-providers/clinical-guidance" TargetMode="External"/><Relationship Id="rId37" Type="http://schemas.openxmlformats.org/officeDocument/2006/relationships/hyperlink" Target="https://www.nature.com/articles/s41591-021-01419-1" TargetMode="External"/><Relationship Id="rId40" Type="http://schemas.openxmlformats.org/officeDocument/2006/relationships/hyperlink" Target="https://www.ebs.tga.gov.au/ebs/picmi/picmirepository.nsf/PICMI?OpenForm&amp;t=PI&amp;q=Vaxzevria" TargetMode="External"/><Relationship Id="rId45" Type="http://schemas.openxmlformats.org/officeDocument/2006/relationships/hyperlink" Target="https://www.health.gov.au/sites/default/files/documents/2021/10/covid-19-vaccination-atagi-clinical-guidance-on-covid-19-vaccine-in-australia-in-2021.pdf"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bs.tga.gov.au/ebs/picmi/picmirepository.nsf/PICMI?OpenForm&amp;t=PI&amp;q=nuvaxovid&amp;r=/" TargetMode="External"/><Relationship Id="rId23" Type="http://schemas.openxmlformats.org/officeDocument/2006/relationships/hyperlink" Target="https://www.ebs.tga.gov.au/ebs/picmi/picmirepository.nsf/PICMI?OpenForm&amp;t=pi&amp;q=spikevax" TargetMode="External"/><Relationship Id="rId28" Type="http://schemas.openxmlformats.org/officeDocument/2006/relationships/hyperlink" Target="https://www.health.gov.au/our-work/covid-19-vaccines/advice-for-providers/clinical-guidance" TargetMode="External"/><Relationship Id="rId36" Type="http://schemas.openxmlformats.org/officeDocument/2006/relationships/hyperlink" Target="https://brightoncollaboration.us/thrombocytopenia-case-definition-companion-guide/" TargetMode="External"/><Relationship Id="rId49" Type="http://schemas.openxmlformats.org/officeDocument/2006/relationships/hyperlink" Target="https://www.ebs.tga.gov.au/ebs/picmi/picmirepository.nsf/PICMI?OpenForm&amp;t=PI&amp;q=Vaxzevria" TargetMode="External"/><Relationship Id="rId10" Type="http://schemas.openxmlformats.org/officeDocument/2006/relationships/hyperlink" Target="https://www.rch.org.au/clinicalguide/guideline_index/Anaphylaxis/" TargetMode="External"/><Relationship Id="rId19" Type="http://schemas.openxmlformats.org/officeDocument/2006/relationships/hyperlink" Target="https://www.ebs.tga.gov.au/ebs/picmi/picmirepository.nsf/PICMI?OpenForm&amp;t=PI&amp;q=Vaxzevria" TargetMode="External"/><Relationship Id="rId31" Type="http://schemas.openxmlformats.org/officeDocument/2006/relationships/hyperlink" Target="https://www.ebs.tga.gov.au/ebs/picmi/picmirepository.nsf/PICMI?OpenForm&amp;t=PI&amp;q=Vaxzevria" TargetMode="External"/><Relationship Id="rId44" Type="http://schemas.openxmlformats.org/officeDocument/2006/relationships/hyperlink" Target="https://www.ebs.tga.gov.au/ebs/picmi/picmirepository.nsf/PICMI?OpenForm&amp;t=pi&amp;q=spikevax"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llergy.org.au/hp/papers/acute-management-of-anaphylaxis-guidelines" TargetMode="External"/><Relationship Id="rId14" Type="http://schemas.openxmlformats.org/officeDocument/2006/relationships/hyperlink" Target="https://www.ebs.tga.gov.au/ebs/picmi/picmirepository.nsf/PICMI?OpenForm&amp;t=PI&amp;q=Vaxzevria" TargetMode="External"/><Relationship Id="rId22" Type="http://schemas.openxmlformats.org/officeDocument/2006/relationships/hyperlink" Target="https://www.ebs.tga.gov.au/ebs/picmi/picmirepository.nsf/PICMI?OpenForm&amp;t=pi&amp;q=comirnaty" TargetMode="External"/><Relationship Id="rId27" Type="http://schemas.openxmlformats.org/officeDocument/2006/relationships/hyperlink" Target="https://www.ebs.tga.gov.au/ebs/picmi/picmirepository.nsf/PICMI?OpenForm&amp;t=pi&amp;q=spikevax" TargetMode="External"/><Relationship Id="rId30" Type="http://schemas.openxmlformats.org/officeDocument/2006/relationships/hyperlink" Target="https://www.cmaj.ca/content/193/34/E1341" TargetMode="External"/><Relationship Id="rId35" Type="http://schemas.openxmlformats.org/officeDocument/2006/relationships/hyperlink" Target="https://www.health.gov.au/our-work/covid-19-vaccines/advice-for-providers/clinical-guidance" TargetMode="External"/><Relationship Id="rId43" Type="http://schemas.openxmlformats.org/officeDocument/2006/relationships/hyperlink" Target="https://www.ebs.tga.gov.au/ebs/picmi/picmirepository.nsf/PICMI?OpenForm&amp;t=pi&amp;q=comirnaty" TargetMode="External"/><Relationship Id="rId48" Type="http://schemas.openxmlformats.org/officeDocument/2006/relationships/hyperlink" Target="https://www.ebs.tga.gov.au/ebs/picmi/picmirepository.nsf/PICMI?OpenForm&amp;t=PI&amp;q=Vaxzevria" TargetMode="External"/><Relationship Id="rId8" Type="http://schemas.openxmlformats.org/officeDocument/2006/relationships/hyperlink" Target="https://www.tga.gov.au/covid-19-vaccine-provisional-registrations" TargetMode="External"/><Relationship Id="rId51"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ema.europa.eu/en/news/vaxzevria-ema-advises-against-use-people-history-capillary-leak-syndrome" TargetMode="External"/><Relationship Id="rId2" Type="http://schemas.openxmlformats.org/officeDocument/2006/relationships/hyperlink" Target="https://www.health.gov.au/sites/default/files/documents/2022/11/covid-19-vaccination-guidance-on-myocarditis-and-pericarditis-after-covid-19-vaccines.pdf" TargetMode="External"/><Relationship Id="rId1" Type="http://schemas.openxmlformats.org/officeDocument/2006/relationships/hyperlink" Target="https://www.who.int/publications/i/item/9789240061989" TargetMode="External"/><Relationship Id="rId5" Type="http://schemas.openxmlformats.org/officeDocument/2006/relationships/hyperlink" Target="https://dermnetnz.org/topics/skin-reactions-to-covid-19-vaccines" TargetMode="External"/><Relationship Id="rId4" Type="http://schemas.openxmlformats.org/officeDocument/2006/relationships/hyperlink" Target="https://www.health.gov.au/our-work/covid-19-vaccines/advice-for-providers/clinical-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38CAC-BF20-4567-B70F-F7B38E7A8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7409</Words>
  <Characters>42233</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COVID-19 Vaccine Claims Scheme – Guidance for conditions</vt:lpstr>
    </vt:vector>
  </TitlesOfParts>
  <Company/>
  <LinksUpToDate>false</LinksUpToDate>
  <CharactersWithSpaces>49543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Vaccine Claims Scheme – Guidance for conditions</dc:title>
  <dc:subject/>
  <dc:creator>Australian Government Department of Health and Aged Care</dc:creator>
  <cp:keywords>covid-19; covid-19 vaccine claims scheme; covid-19 vaccines</cp:keywords>
  <dc:description/>
  <cp:lastModifiedBy>KEMP, Byron</cp:lastModifiedBy>
  <cp:revision>3</cp:revision>
  <cp:lastPrinted>2023-12-19T22:23:00Z</cp:lastPrinted>
  <dcterms:created xsi:type="dcterms:W3CDTF">2023-12-19T22:23:00Z</dcterms:created>
  <dcterms:modified xsi:type="dcterms:W3CDTF">2023-12-19T22:24:00Z</dcterms:modified>
</cp:coreProperties>
</file>