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8BE" w14:textId="00EAB618" w:rsidR="009F1F8E" w:rsidRDefault="009F1F8E" w:rsidP="00CB5C6E">
      <w:pPr>
        <w:widowControl w:val="0"/>
        <w:autoSpaceDE w:val="0"/>
        <w:autoSpaceDN w:val="0"/>
        <w:adjustRightInd w:val="0"/>
        <w:spacing w:before="1320" w:line="241" w:lineRule="atLeast"/>
        <w:rPr>
          <w:rFonts w:ascii="Calibri" w:eastAsia="SimSun" w:hAnsi="Calibri" w:cs="Times New Roman"/>
          <w:b/>
          <w:bCs/>
          <w:sz w:val="32"/>
          <w:szCs w:val="32"/>
        </w:rPr>
      </w:pPr>
      <w:r>
        <w:rPr>
          <w:noProof/>
        </w:rPr>
        <w:drawing>
          <wp:anchor distT="0" distB="0" distL="114300" distR="114300" simplePos="0" relativeHeight="251658240" behindDoc="0" locked="0" layoutInCell="1" allowOverlap="1" wp14:anchorId="7A6FABFC" wp14:editId="01A8ADE9">
            <wp:simplePos x="914400" y="1752600"/>
            <wp:positionH relativeFrom="margin">
              <wp:align>left</wp:align>
            </wp:positionH>
            <wp:positionV relativeFrom="margin">
              <wp:align>top</wp:align>
            </wp:positionV>
            <wp:extent cx="3124200" cy="943268"/>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200" cy="943268"/>
                    </a:xfrm>
                    <a:prstGeom prst="rect">
                      <a:avLst/>
                    </a:prstGeom>
                    <a:noFill/>
                    <a:ln>
                      <a:noFill/>
                    </a:ln>
                  </pic:spPr>
                </pic:pic>
              </a:graphicData>
            </a:graphic>
          </wp:anchor>
        </w:drawing>
      </w:r>
    </w:p>
    <w:p w14:paraId="2D1E0956" w14:textId="1E478B5E" w:rsidR="004715BD" w:rsidRPr="0031660E" w:rsidRDefault="004715BD" w:rsidP="00CB5C6E">
      <w:pPr>
        <w:pStyle w:val="Title"/>
        <w:widowControl w:val="0"/>
        <w:pBdr>
          <w:bottom w:val="none" w:sz="0" w:space="0" w:color="auto"/>
        </w:pBdr>
        <w:autoSpaceDE w:val="0"/>
        <w:autoSpaceDN w:val="0"/>
        <w:adjustRightInd w:val="0"/>
        <w:spacing w:before="1320" w:after="160" w:line="241" w:lineRule="atLeast"/>
        <w:contextualSpacing w:val="0"/>
        <w:jc w:val="center"/>
        <w:rPr>
          <w:rFonts w:ascii="Calibri" w:eastAsia="SimSun" w:hAnsi="Calibri" w:cs="Times New Roman"/>
          <w:b/>
          <w:bCs/>
          <w:color w:val="auto"/>
          <w:sz w:val="32"/>
          <w:szCs w:val="32"/>
        </w:rPr>
      </w:pPr>
      <w:r w:rsidRPr="0031660E">
        <w:rPr>
          <w:rFonts w:ascii="Calibri" w:eastAsia="SimSun" w:hAnsi="Calibri" w:cs="Times New Roman"/>
          <w:b/>
          <w:bCs/>
          <w:color w:val="auto"/>
          <w:sz w:val="32"/>
          <w:szCs w:val="32"/>
        </w:rPr>
        <w:t>COST</w:t>
      </w:r>
      <w:r w:rsidRPr="004715BD">
        <w:rPr>
          <w:rFonts w:ascii="Calibri" w:eastAsia="SimSun" w:hAnsi="Calibri" w:cs="Times New Roman"/>
          <w:b/>
          <w:bCs/>
          <w:sz w:val="32"/>
          <w:szCs w:val="32"/>
        </w:rPr>
        <w:t xml:space="preserve"> </w:t>
      </w:r>
      <w:r w:rsidRPr="0031660E">
        <w:rPr>
          <w:rFonts w:ascii="Calibri" w:eastAsia="SimSun" w:hAnsi="Calibri" w:cs="Times New Roman"/>
          <w:b/>
          <w:bCs/>
          <w:color w:val="auto"/>
          <w:sz w:val="32"/>
          <w:szCs w:val="32"/>
        </w:rPr>
        <w:t xml:space="preserve">RECOVERY </w:t>
      </w:r>
      <w:r w:rsidRPr="0031660E">
        <w:rPr>
          <w:rFonts w:asciiTheme="minorHAnsi" w:eastAsia="SimSun" w:hAnsiTheme="minorHAnsi" w:cs="Times New Roman"/>
          <w:b/>
          <w:bCs/>
          <w:color w:val="auto"/>
          <w:spacing w:val="0"/>
          <w:kern w:val="0"/>
          <w:sz w:val="32"/>
          <w:szCs w:val="32"/>
        </w:rPr>
        <w:t>IMPLEMENTATION</w:t>
      </w:r>
      <w:r w:rsidRPr="0031660E">
        <w:rPr>
          <w:rFonts w:ascii="Calibri" w:eastAsia="SimSun" w:hAnsi="Calibri" w:cs="Times New Roman"/>
          <w:b/>
          <w:bCs/>
          <w:color w:val="auto"/>
          <w:sz w:val="32"/>
          <w:szCs w:val="32"/>
        </w:rPr>
        <w:t xml:space="preserve"> STATEMENT</w:t>
      </w:r>
    </w:p>
    <w:p w14:paraId="260FD16F" w14:textId="77777777" w:rsidR="0022390F" w:rsidRPr="0031660E" w:rsidRDefault="004715BD" w:rsidP="004715BD">
      <w:pPr>
        <w:widowControl w:val="0"/>
        <w:autoSpaceDE w:val="0"/>
        <w:autoSpaceDN w:val="0"/>
        <w:adjustRightInd w:val="0"/>
        <w:spacing w:before="240" w:line="241" w:lineRule="atLeast"/>
        <w:jc w:val="center"/>
        <w:rPr>
          <w:rFonts w:ascii="Calibri" w:eastAsia="SimSun" w:hAnsi="Calibri" w:cs="Times New Roman"/>
          <w:sz w:val="32"/>
          <w:szCs w:val="32"/>
        </w:rPr>
      </w:pPr>
      <w:r w:rsidRPr="0031660E">
        <w:rPr>
          <w:rFonts w:ascii="Calibri" w:eastAsia="SimSun" w:hAnsi="Calibri" w:cs="Times New Roman"/>
          <w:sz w:val="32"/>
          <w:szCs w:val="32"/>
        </w:rPr>
        <w:t>Administration of the Prescribed List of Benefits</w:t>
      </w:r>
    </w:p>
    <w:p w14:paraId="7458F45E" w14:textId="026CE167" w:rsidR="004715BD" w:rsidRPr="0031660E" w:rsidRDefault="004715BD" w:rsidP="004715BD">
      <w:pPr>
        <w:widowControl w:val="0"/>
        <w:autoSpaceDE w:val="0"/>
        <w:autoSpaceDN w:val="0"/>
        <w:adjustRightInd w:val="0"/>
        <w:spacing w:before="240" w:line="241" w:lineRule="atLeast"/>
        <w:jc w:val="center"/>
        <w:rPr>
          <w:rFonts w:ascii="Calibri" w:eastAsia="SimSun" w:hAnsi="Calibri" w:cs="Times New Roman"/>
          <w:sz w:val="32"/>
          <w:szCs w:val="32"/>
        </w:rPr>
      </w:pPr>
      <w:r w:rsidRPr="0031660E">
        <w:rPr>
          <w:rFonts w:ascii="Calibri" w:eastAsia="SimSun" w:hAnsi="Calibri" w:cs="Times New Roman"/>
          <w:sz w:val="32"/>
          <w:szCs w:val="32"/>
        </w:rPr>
        <w:t xml:space="preserve"> for Medical Devices and Human Tissue Products</w:t>
      </w:r>
    </w:p>
    <w:p w14:paraId="13A3A8F8" w14:textId="393AE703" w:rsidR="004715BD" w:rsidRPr="0031660E" w:rsidRDefault="004715BD" w:rsidP="004715BD">
      <w:pPr>
        <w:spacing w:before="240" w:after="0" w:line="240" w:lineRule="auto"/>
        <w:jc w:val="center"/>
        <w:rPr>
          <w:rFonts w:ascii="Calibri" w:eastAsia="SimSun" w:hAnsi="Calibri" w:cs="Univers"/>
          <w:b/>
          <w:sz w:val="32"/>
          <w:szCs w:val="32"/>
        </w:rPr>
      </w:pPr>
      <w:r w:rsidRPr="0031660E">
        <w:rPr>
          <w:rFonts w:ascii="Calibri" w:eastAsia="SimSun" w:hAnsi="Calibri" w:cs="Univers"/>
          <w:b/>
          <w:sz w:val="32"/>
          <w:szCs w:val="32"/>
        </w:rPr>
        <w:t>1 July 2023 to 30 June 2024</w:t>
      </w:r>
    </w:p>
    <w:p w14:paraId="23BD42F2" w14:textId="16DD4F78" w:rsidR="009914B2" w:rsidRPr="0031660E" w:rsidRDefault="009914B2" w:rsidP="004715BD">
      <w:pPr>
        <w:spacing w:before="240" w:after="0" w:line="240" w:lineRule="auto"/>
        <w:jc w:val="center"/>
        <w:rPr>
          <w:rFonts w:ascii="Calibri" w:eastAsia="SimSun" w:hAnsi="Calibri" w:cs="Univers"/>
          <w:b/>
          <w:sz w:val="32"/>
          <w:szCs w:val="32"/>
        </w:rPr>
      </w:pPr>
      <w:r w:rsidRPr="0031660E">
        <w:rPr>
          <w:rFonts w:ascii="Calibri" w:eastAsia="SimSun" w:hAnsi="Calibri" w:cs="Univers"/>
          <w:b/>
          <w:sz w:val="32"/>
          <w:szCs w:val="32"/>
        </w:rPr>
        <w:t>Version 1.</w:t>
      </w:r>
      <w:r w:rsidR="0084294B" w:rsidRPr="0031660E">
        <w:rPr>
          <w:rFonts w:ascii="Calibri" w:eastAsia="SimSun" w:hAnsi="Calibri" w:cs="Univers"/>
          <w:b/>
          <w:sz w:val="32"/>
          <w:szCs w:val="32"/>
        </w:rPr>
        <w:t>2</w:t>
      </w:r>
    </w:p>
    <w:p w14:paraId="6341EA34" w14:textId="77777777" w:rsidR="004715BD" w:rsidRPr="0031660E" w:rsidRDefault="004715BD" w:rsidP="00CD5DA1">
      <w:pPr>
        <w:pBdr>
          <w:top w:val="single" w:sz="4" w:space="1" w:color="595959"/>
          <w:left w:val="single" w:sz="4" w:space="4" w:color="595959"/>
          <w:bottom w:val="single" w:sz="4" w:space="1" w:color="595959"/>
          <w:right w:val="single" w:sz="4" w:space="28" w:color="595959"/>
        </w:pBdr>
        <w:spacing w:before="240" w:after="120" w:line="240" w:lineRule="auto"/>
        <w:jc w:val="center"/>
        <w:rPr>
          <w:rFonts w:ascii="Calibri" w:hAnsi="Calibri"/>
        </w:rPr>
      </w:pPr>
      <w:r w:rsidRPr="0031660E">
        <w:rPr>
          <w:rFonts w:ascii="Calibri" w:hAnsi="Calibri"/>
        </w:rPr>
        <w:t xml:space="preserve">Cost recovery involves government entities charging individuals or non-government organisations some or </w:t>
      </w:r>
      <w:proofErr w:type="gramStart"/>
      <w:r w:rsidRPr="0031660E">
        <w:rPr>
          <w:rFonts w:ascii="Calibri" w:hAnsi="Calibri"/>
        </w:rPr>
        <w:t>all of</w:t>
      </w:r>
      <w:proofErr w:type="gramEnd"/>
      <w:r w:rsidRPr="0031660E">
        <w:rPr>
          <w:rFonts w:ascii="Calibri" w:hAnsi="Calibri"/>
        </w:rPr>
        <w:t xml:space="preserve"> the efficient costs of a specific government activity. This may include goods, services or regulation, or a combination of them. The Australian Government Charging Framework, which incorporates the Cost Recovery Guidelines (the CRGs)</w:t>
      </w:r>
      <w:r w:rsidRPr="0031660E">
        <w:rPr>
          <w:rFonts w:ascii="Calibri" w:hAnsi="Calibri"/>
          <w:vertAlign w:val="superscript"/>
        </w:rPr>
        <w:footnoteReference w:id="2"/>
      </w:r>
      <w:r w:rsidRPr="0031660E">
        <w:rPr>
          <w:rFonts w:ascii="Calibri" w:hAnsi="Calibri"/>
        </w:rPr>
        <w:t xml:space="preserve">, sets out the framework under which government entities design, implement and review regulatory charging activities, consistent with the </w:t>
      </w:r>
      <w:r w:rsidRPr="0031660E">
        <w:rPr>
          <w:rFonts w:ascii="Calibri" w:hAnsi="Calibri"/>
          <w:i/>
        </w:rPr>
        <w:t>Public Governance, Performance and Accountability Act 2013</w:t>
      </w:r>
      <w:r w:rsidRPr="0031660E">
        <w:rPr>
          <w:rFonts w:ascii="Calibri" w:hAnsi="Calibri"/>
        </w:rPr>
        <w:t>.</w:t>
      </w:r>
    </w:p>
    <w:p w14:paraId="27B83F1D" w14:textId="77777777" w:rsidR="004715BD" w:rsidRPr="0031660E" w:rsidRDefault="004715BD">
      <w:pPr>
        <w:rPr>
          <w:rFonts w:ascii="Calibri" w:eastAsia="Times New Roman" w:hAnsi="Calibri" w:cs="Times New Roman"/>
          <w:b/>
          <w:sz w:val="28"/>
          <w:szCs w:val="28"/>
        </w:rPr>
      </w:pPr>
      <w:r w:rsidRPr="0031660E">
        <w:rPr>
          <w:rFonts w:ascii="Calibri" w:eastAsia="Times New Roman" w:hAnsi="Calibri" w:cs="Times New Roman"/>
          <w:b/>
          <w:sz w:val="28"/>
          <w:szCs w:val="28"/>
        </w:rPr>
        <w:br w:type="page"/>
      </w:r>
    </w:p>
    <w:p w14:paraId="58AE368E" w14:textId="1A387A14" w:rsidR="00821DAA" w:rsidRPr="0031660E" w:rsidRDefault="007D41D6" w:rsidP="00F232FD">
      <w:pPr>
        <w:pStyle w:val="ListParagraph"/>
        <w:keepNext/>
        <w:numPr>
          <w:ilvl w:val="0"/>
          <w:numId w:val="4"/>
        </w:numPr>
        <w:spacing w:before="240" w:after="200" w:line="240" w:lineRule="auto"/>
        <w:outlineLvl w:val="0"/>
        <w:rPr>
          <w:rFonts w:ascii="Calibri" w:eastAsia="Times New Roman" w:hAnsi="Calibri" w:cs="Times New Roman"/>
          <w:b/>
          <w:sz w:val="28"/>
          <w:szCs w:val="28"/>
        </w:rPr>
      </w:pPr>
      <w:r w:rsidRPr="0031660E">
        <w:rPr>
          <w:rFonts w:ascii="Calibri" w:eastAsia="Times New Roman" w:hAnsi="Calibri" w:cs="Times New Roman"/>
          <w:b/>
          <w:sz w:val="28"/>
          <w:szCs w:val="28"/>
        </w:rPr>
        <w:lastRenderedPageBreak/>
        <w:t>INTRODUCTION</w:t>
      </w:r>
    </w:p>
    <w:p w14:paraId="3D868812" w14:textId="641DF216" w:rsidR="007D41D6" w:rsidRPr="0031660E" w:rsidRDefault="007D41D6" w:rsidP="000A0ED1">
      <w:pPr>
        <w:pStyle w:val="Heading2"/>
      </w:pPr>
      <w:r w:rsidRPr="0031660E">
        <w:t xml:space="preserve">Purpose of the </w:t>
      </w:r>
      <w:r w:rsidR="00D54CE6" w:rsidRPr="0031660E">
        <w:t xml:space="preserve">Cost Recovery Implementation Statement </w:t>
      </w:r>
    </w:p>
    <w:p w14:paraId="5038D991" w14:textId="12B63788" w:rsidR="00CD5DA1" w:rsidRPr="0031660E" w:rsidRDefault="007D41D6" w:rsidP="007D41D6">
      <w:p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 xml:space="preserve">This </w:t>
      </w:r>
      <w:r w:rsidR="00CD5DA1" w:rsidRPr="0031660E">
        <w:rPr>
          <w:rFonts w:ascii="Calibri" w:eastAsia="Times New Roman" w:hAnsi="Calibri" w:cs="Times New Roman"/>
          <w:szCs w:val="24"/>
        </w:rPr>
        <w:t>Cost Recovery Implementation Statement (</w:t>
      </w:r>
      <w:r w:rsidRPr="0031660E">
        <w:rPr>
          <w:rFonts w:ascii="Calibri" w:eastAsia="Times New Roman" w:hAnsi="Calibri" w:cs="Times New Roman"/>
          <w:szCs w:val="24"/>
        </w:rPr>
        <w:t>CRIS</w:t>
      </w:r>
      <w:r w:rsidR="00CD5DA1" w:rsidRPr="0031660E">
        <w:rPr>
          <w:rFonts w:ascii="Calibri" w:eastAsia="Times New Roman" w:hAnsi="Calibri" w:cs="Times New Roman"/>
          <w:szCs w:val="24"/>
        </w:rPr>
        <w:t>):</w:t>
      </w:r>
    </w:p>
    <w:p w14:paraId="008AC459" w14:textId="2777E747" w:rsidR="00CD5DA1" w:rsidRPr="0031660E" w:rsidRDefault="00B722BA" w:rsidP="00F232FD">
      <w:pPr>
        <w:pStyle w:val="ListParagraph"/>
        <w:numPr>
          <w:ilvl w:val="0"/>
          <w:numId w:val="12"/>
        </w:num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p</w:t>
      </w:r>
      <w:r w:rsidR="007D41D6" w:rsidRPr="0031660E">
        <w:rPr>
          <w:rFonts w:ascii="Calibri" w:eastAsia="Times New Roman" w:hAnsi="Calibri" w:cs="Times New Roman"/>
          <w:szCs w:val="24"/>
        </w:rPr>
        <w:t xml:space="preserve">rovides information on how the Department of Health and Aged Care (the </w:t>
      </w:r>
      <w:r w:rsidR="009B5D22" w:rsidRPr="0031660E">
        <w:rPr>
          <w:rFonts w:ascii="Calibri" w:eastAsia="Times New Roman" w:hAnsi="Calibri" w:cs="Times New Roman"/>
          <w:szCs w:val="24"/>
        </w:rPr>
        <w:t>d</w:t>
      </w:r>
      <w:r w:rsidR="007D41D6" w:rsidRPr="0031660E">
        <w:rPr>
          <w:rFonts w:ascii="Calibri" w:eastAsia="Times New Roman" w:hAnsi="Calibri" w:cs="Times New Roman"/>
          <w:szCs w:val="24"/>
        </w:rPr>
        <w:t>epartment) implements cost recovery for</w:t>
      </w:r>
      <w:r w:rsidR="009B5F06" w:rsidRPr="0031660E">
        <w:rPr>
          <w:rFonts w:ascii="Calibri" w:eastAsia="Times New Roman" w:hAnsi="Calibri" w:cs="Times New Roman"/>
          <w:szCs w:val="24"/>
        </w:rPr>
        <w:t xml:space="preserve"> </w:t>
      </w:r>
      <w:r w:rsidR="007D41D6" w:rsidRPr="0031660E">
        <w:rPr>
          <w:rFonts w:ascii="Calibri" w:eastAsia="Times New Roman" w:hAnsi="Calibri" w:cs="Times New Roman"/>
          <w:szCs w:val="24"/>
        </w:rPr>
        <w:t xml:space="preserve">the administration of the </w:t>
      </w:r>
      <w:r w:rsidR="00E26D91" w:rsidRPr="0031660E">
        <w:rPr>
          <w:rFonts w:ascii="Calibri" w:eastAsia="Times New Roman" w:hAnsi="Calibri" w:cs="Times New Roman"/>
          <w:b/>
          <w:bCs/>
          <w:szCs w:val="24"/>
        </w:rPr>
        <w:t xml:space="preserve">Prescribed List of Benefits for Medical Devices </w:t>
      </w:r>
      <w:bookmarkStart w:id="0" w:name="_Hlk151109448"/>
      <w:r w:rsidR="00E26D91" w:rsidRPr="0031660E">
        <w:rPr>
          <w:rFonts w:ascii="Calibri" w:eastAsia="Times New Roman" w:hAnsi="Calibri" w:cs="Times New Roman"/>
          <w:b/>
          <w:bCs/>
          <w:szCs w:val="24"/>
        </w:rPr>
        <w:t>and Human Tissue Products</w:t>
      </w:r>
      <w:r w:rsidR="003B4FC3" w:rsidRPr="0031660E">
        <w:rPr>
          <w:rFonts w:ascii="Calibri" w:eastAsia="Times New Roman" w:hAnsi="Calibri" w:cs="Times New Roman"/>
          <w:b/>
          <w:bCs/>
          <w:szCs w:val="24"/>
        </w:rPr>
        <w:t xml:space="preserve"> </w:t>
      </w:r>
      <w:bookmarkEnd w:id="0"/>
      <w:r w:rsidR="003B4FC3" w:rsidRPr="0031660E">
        <w:rPr>
          <w:rFonts w:ascii="Calibri" w:eastAsia="Times New Roman" w:hAnsi="Calibri" w:cs="Times New Roman"/>
          <w:szCs w:val="24"/>
        </w:rPr>
        <w:t>(the Prescribed List)</w:t>
      </w:r>
      <w:r w:rsidR="007D41D6" w:rsidRPr="0031660E">
        <w:rPr>
          <w:rFonts w:ascii="Calibri" w:eastAsia="Times New Roman" w:hAnsi="Calibri" w:cs="Times New Roman"/>
          <w:szCs w:val="24"/>
        </w:rPr>
        <w:t xml:space="preserve"> </w:t>
      </w:r>
      <w:r w:rsidR="00A764D8" w:rsidRPr="0031660E">
        <w:rPr>
          <w:rFonts w:ascii="Calibri" w:eastAsia="Times New Roman" w:hAnsi="Calibri" w:cs="Times New Roman"/>
          <w:szCs w:val="24"/>
        </w:rPr>
        <w:t>previously known as the Prostheses</w:t>
      </w:r>
      <w:r w:rsidR="00CD5DA1" w:rsidRPr="0031660E">
        <w:rPr>
          <w:rFonts w:ascii="Calibri" w:eastAsia="Times New Roman" w:hAnsi="Calibri" w:cs="Times New Roman"/>
          <w:szCs w:val="24"/>
        </w:rPr>
        <w:t> </w:t>
      </w:r>
      <w:proofErr w:type="gramStart"/>
      <w:r w:rsidR="00A764D8" w:rsidRPr="0031660E">
        <w:rPr>
          <w:rFonts w:ascii="Calibri" w:eastAsia="Times New Roman" w:hAnsi="Calibri" w:cs="Times New Roman"/>
          <w:szCs w:val="24"/>
        </w:rPr>
        <w:t>List</w:t>
      </w:r>
      <w:r w:rsidR="00CD5DA1" w:rsidRPr="0031660E">
        <w:rPr>
          <w:rFonts w:ascii="Calibri" w:eastAsia="Times New Roman" w:hAnsi="Calibri" w:cs="Times New Roman"/>
          <w:szCs w:val="24"/>
        </w:rPr>
        <w:t>;</w:t>
      </w:r>
      <w:proofErr w:type="gramEnd"/>
    </w:p>
    <w:p w14:paraId="21EE367F" w14:textId="1E6125C3" w:rsidR="00CD5DA1" w:rsidRPr="0031660E" w:rsidRDefault="00B722BA" w:rsidP="00F232FD">
      <w:pPr>
        <w:pStyle w:val="ListParagraph"/>
        <w:numPr>
          <w:ilvl w:val="0"/>
          <w:numId w:val="12"/>
        </w:num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o</w:t>
      </w:r>
      <w:r w:rsidR="005B6860" w:rsidRPr="0031660E">
        <w:rPr>
          <w:rFonts w:ascii="Calibri" w:eastAsia="Times New Roman" w:hAnsi="Calibri" w:cs="Times New Roman"/>
          <w:szCs w:val="24"/>
        </w:rPr>
        <w:t xml:space="preserve">utlines the fees that will apply for the 2023-24 financial </w:t>
      </w:r>
      <w:proofErr w:type="gramStart"/>
      <w:r w:rsidR="005B6860" w:rsidRPr="0031660E">
        <w:rPr>
          <w:rFonts w:ascii="Calibri" w:eastAsia="Times New Roman" w:hAnsi="Calibri" w:cs="Times New Roman"/>
          <w:szCs w:val="24"/>
        </w:rPr>
        <w:t>year</w:t>
      </w:r>
      <w:r w:rsidR="00CD5DA1" w:rsidRPr="0031660E">
        <w:rPr>
          <w:rFonts w:ascii="Calibri" w:eastAsia="Times New Roman" w:hAnsi="Calibri" w:cs="Times New Roman"/>
          <w:szCs w:val="24"/>
        </w:rPr>
        <w:t>;</w:t>
      </w:r>
      <w:proofErr w:type="gramEnd"/>
    </w:p>
    <w:p w14:paraId="014079C2" w14:textId="0DCA0FDE" w:rsidR="00CD5DA1" w:rsidRPr="0031660E" w:rsidRDefault="00B722BA" w:rsidP="00F232FD">
      <w:pPr>
        <w:pStyle w:val="ListParagraph"/>
        <w:numPr>
          <w:ilvl w:val="0"/>
          <w:numId w:val="12"/>
        </w:num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d</w:t>
      </w:r>
      <w:r w:rsidR="00CD5DA1" w:rsidRPr="0031660E">
        <w:rPr>
          <w:rFonts w:ascii="Calibri" w:eastAsia="Times New Roman" w:hAnsi="Calibri" w:cs="Times New Roman"/>
          <w:szCs w:val="24"/>
        </w:rPr>
        <w:t xml:space="preserve">escribes </w:t>
      </w:r>
      <w:r w:rsidR="005B6860" w:rsidRPr="0031660E">
        <w:rPr>
          <w:rFonts w:ascii="Calibri" w:eastAsia="Times New Roman" w:hAnsi="Calibri" w:cs="Times New Roman"/>
          <w:szCs w:val="24"/>
        </w:rPr>
        <w:t>the legislative changes to support the administration of cost recovery arrangements relating to the P</w:t>
      </w:r>
      <w:r w:rsidRPr="0031660E">
        <w:rPr>
          <w:rFonts w:ascii="Calibri" w:eastAsia="Times New Roman" w:hAnsi="Calibri" w:cs="Times New Roman"/>
          <w:szCs w:val="24"/>
        </w:rPr>
        <w:t xml:space="preserve">rescribed </w:t>
      </w:r>
      <w:r w:rsidR="005B6860" w:rsidRPr="0031660E">
        <w:rPr>
          <w:rFonts w:ascii="Calibri" w:eastAsia="Times New Roman" w:hAnsi="Calibri" w:cs="Times New Roman"/>
          <w:szCs w:val="24"/>
        </w:rPr>
        <w:t>L</w:t>
      </w:r>
      <w:r w:rsidRPr="0031660E">
        <w:rPr>
          <w:rFonts w:ascii="Calibri" w:eastAsia="Times New Roman" w:hAnsi="Calibri" w:cs="Times New Roman"/>
          <w:szCs w:val="24"/>
        </w:rPr>
        <w:t>ist</w:t>
      </w:r>
      <w:r w:rsidR="00CD5DA1" w:rsidRPr="0031660E">
        <w:rPr>
          <w:rFonts w:ascii="Calibri" w:eastAsia="Times New Roman" w:hAnsi="Calibri" w:cs="Times New Roman"/>
          <w:szCs w:val="24"/>
        </w:rPr>
        <w:t>; and</w:t>
      </w:r>
    </w:p>
    <w:p w14:paraId="4707C7F3" w14:textId="64E944EF" w:rsidR="005B6860" w:rsidRPr="0031660E" w:rsidRDefault="00B722BA" w:rsidP="00F232FD">
      <w:pPr>
        <w:pStyle w:val="ListParagraph"/>
        <w:numPr>
          <w:ilvl w:val="0"/>
          <w:numId w:val="12"/>
        </w:num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p</w:t>
      </w:r>
      <w:r w:rsidR="00CD5DA1" w:rsidRPr="0031660E">
        <w:rPr>
          <w:rFonts w:ascii="Calibri" w:eastAsia="Times New Roman" w:hAnsi="Calibri" w:cs="Times New Roman"/>
          <w:szCs w:val="24"/>
        </w:rPr>
        <w:t xml:space="preserve">rovides </w:t>
      </w:r>
      <w:r w:rsidR="007D41D6" w:rsidRPr="0031660E">
        <w:rPr>
          <w:rFonts w:ascii="Calibri" w:eastAsia="Times New Roman" w:hAnsi="Calibri" w:cs="Times New Roman"/>
          <w:szCs w:val="24"/>
        </w:rPr>
        <w:t xml:space="preserve">financial forecasts for the 2023-24 financial year and three forward years. </w:t>
      </w:r>
    </w:p>
    <w:p w14:paraId="1FB26745" w14:textId="7A6EDF51" w:rsidR="00C57671" w:rsidRPr="0031660E" w:rsidRDefault="007D41D6" w:rsidP="007D41D6">
      <w:p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 xml:space="preserve">The </w:t>
      </w:r>
      <w:r w:rsidR="009B5D22" w:rsidRPr="0031660E">
        <w:rPr>
          <w:rFonts w:ascii="Calibri" w:eastAsia="Times New Roman" w:hAnsi="Calibri" w:cs="Times New Roman"/>
          <w:szCs w:val="24"/>
        </w:rPr>
        <w:t>d</w:t>
      </w:r>
      <w:r w:rsidRPr="0031660E">
        <w:rPr>
          <w:rFonts w:ascii="Calibri" w:eastAsia="Times New Roman" w:hAnsi="Calibri" w:cs="Times New Roman"/>
          <w:szCs w:val="24"/>
        </w:rPr>
        <w:t>epartment will maintain the CRIS until the activity or cost recovery for the activity has been discontinued.</w:t>
      </w:r>
    </w:p>
    <w:p w14:paraId="14CC094B" w14:textId="5E28021D" w:rsidR="002C5AE3" w:rsidRPr="0031660E" w:rsidRDefault="002C5AE3" w:rsidP="000A0ED1">
      <w:pPr>
        <w:pStyle w:val="Heading2"/>
      </w:pPr>
      <w:r w:rsidRPr="0031660E">
        <w:t>Prostheses List Reforms</w:t>
      </w:r>
    </w:p>
    <w:p w14:paraId="7EBE5DD1" w14:textId="3631997E" w:rsidR="004F2EFF" w:rsidRPr="0031660E" w:rsidRDefault="004F2EFF" w:rsidP="004F2EFF">
      <w:r w:rsidRPr="0031660E">
        <w:t>Cost recovery activities associated with the assessment and administration of applications for the listing of medical devices on the Prostheses List commenced in 2007 and the fees were last updated in 2009.</w:t>
      </w:r>
    </w:p>
    <w:p w14:paraId="68220DDD" w14:textId="4758C9A6" w:rsidR="004F2EFF" w:rsidRPr="0031660E" w:rsidRDefault="004F2EFF" w:rsidP="004F2EFF">
      <w:pPr>
        <w:spacing w:before="120" w:after="120" w:line="240" w:lineRule="auto"/>
      </w:pPr>
      <w:r w:rsidRPr="0031660E">
        <w:t xml:space="preserve">In the 2021-22 Budget, the Government committed $22 million over four years to improve the Prostheses List and its arrangements. Under these new arrangements the Prostheses List has been renamed the </w:t>
      </w:r>
      <w:r w:rsidRPr="0031660E">
        <w:rPr>
          <w:b/>
          <w:bCs/>
        </w:rPr>
        <w:t>Prescribed List of Benefits for Medical Devices and Human Tissue Products</w:t>
      </w:r>
      <w:r w:rsidRPr="0031660E">
        <w:t>. The P</w:t>
      </w:r>
      <w:r w:rsidR="00893AC9" w:rsidRPr="0031660E">
        <w:t xml:space="preserve">rescribed </w:t>
      </w:r>
      <w:r w:rsidRPr="0031660E">
        <w:t>L</w:t>
      </w:r>
      <w:r w:rsidR="00893AC9" w:rsidRPr="0031660E">
        <w:t>ist</w:t>
      </w:r>
      <w:r w:rsidRPr="0031660E">
        <w:t xml:space="preserve"> is the Schedule to the Private Health Insurance (Medical Devices and Human Tissue Products) Rules that provides privately insured patients access to safe</w:t>
      </w:r>
      <w:r w:rsidR="00B722BA" w:rsidRPr="0031660E">
        <w:t xml:space="preserve">, </w:t>
      </w:r>
      <w:r w:rsidRPr="0031660E">
        <w:t xml:space="preserve">clinically effective </w:t>
      </w:r>
      <w:r w:rsidR="00B722BA" w:rsidRPr="0031660E">
        <w:t xml:space="preserve">and cost-effective </w:t>
      </w:r>
      <w:r w:rsidRPr="0031660E">
        <w:t xml:space="preserve">medical devices. </w:t>
      </w:r>
    </w:p>
    <w:p w14:paraId="1F89A856" w14:textId="7847A622" w:rsidR="000E0B1A" w:rsidRPr="0031660E" w:rsidRDefault="004F2EFF" w:rsidP="00081807">
      <w:pPr>
        <w:spacing w:before="120" w:after="120" w:line="240" w:lineRule="auto"/>
      </w:pPr>
      <w:r w:rsidRPr="0031660E">
        <w:rPr>
          <w:rFonts w:ascii="Calibri" w:eastAsia="Times New Roman" w:hAnsi="Calibri" w:cs="Times New Roman"/>
        </w:rPr>
        <w:t>As part of t</w:t>
      </w:r>
      <w:r w:rsidR="00893AC9" w:rsidRPr="0031660E">
        <w:rPr>
          <w:rFonts w:ascii="Calibri" w:eastAsia="Times New Roman" w:hAnsi="Calibri" w:cs="Times New Roman"/>
        </w:rPr>
        <w:t xml:space="preserve">he Prostheses List </w:t>
      </w:r>
      <w:r w:rsidRPr="0031660E">
        <w:rPr>
          <w:rFonts w:ascii="Calibri" w:eastAsia="Times New Roman" w:hAnsi="Calibri" w:cs="Times New Roman"/>
        </w:rPr>
        <w:t>reforms</w:t>
      </w:r>
      <w:r w:rsidR="00893AC9" w:rsidRPr="0031660E">
        <w:rPr>
          <w:rFonts w:ascii="Calibri" w:eastAsia="Times New Roman" w:hAnsi="Calibri" w:cs="Times New Roman"/>
        </w:rPr>
        <w:t>,</w:t>
      </w:r>
      <w:r w:rsidRPr="0031660E">
        <w:rPr>
          <w:rFonts w:ascii="Calibri" w:eastAsia="Times New Roman" w:hAnsi="Calibri" w:cs="Times New Roman"/>
        </w:rPr>
        <w:t xml:space="preserve"> the Prostheses List Advisory Committee (PLAC) has been replaced by the Medical Devices and Human Tissue Advisory Committee (MDHTAC). </w:t>
      </w:r>
      <w:r w:rsidR="00081807" w:rsidRPr="0031660E">
        <w:rPr>
          <w:rFonts w:ascii="Calibri" w:eastAsia="Times New Roman" w:hAnsi="Calibri" w:cs="Times New Roman"/>
        </w:rPr>
        <w:t>The</w:t>
      </w:r>
      <w:r w:rsidRPr="0031660E">
        <w:rPr>
          <w:rFonts w:ascii="Calibri" w:eastAsia="Times New Roman" w:hAnsi="Calibri" w:cs="Times New Roman"/>
        </w:rPr>
        <w:t xml:space="preserve"> MDHTAC </w:t>
      </w:r>
      <w:r w:rsidR="00081807" w:rsidRPr="0031660E">
        <w:rPr>
          <w:rFonts w:ascii="Calibri" w:eastAsia="Times New Roman" w:hAnsi="Calibri" w:cs="Times New Roman"/>
        </w:rPr>
        <w:t xml:space="preserve">will </w:t>
      </w:r>
      <w:r w:rsidRPr="0031660E">
        <w:rPr>
          <w:rFonts w:ascii="Calibri" w:eastAsia="Times New Roman" w:hAnsi="Calibri" w:cs="Times New Roman"/>
        </w:rPr>
        <w:t>provide recommendations and advice on the comparative clinical effectiveness and cost</w:t>
      </w:r>
      <w:r w:rsidR="00081807" w:rsidRPr="0031660E">
        <w:rPr>
          <w:rFonts w:ascii="Calibri" w:eastAsia="Times New Roman" w:hAnsi="Calibri" w:cs="Times New Roman"/>
        </w:rPr>
        <w:t>-</w:t>
      </w:r>
      <w:r w:rsidRPr="0031660E">
        <w:rPr>
          <w:rFonts w:ascii="Calibri" w:eastAsia="Times New Roman" w:hAnsi="Calibri" w:cs="Times New Roman"/>
        </w:rPr>
        <w:t>effectiveness of medical devices and human tissue products, and the benefits payable by private health insurers. The new MDHTAC will be supported by six Expert Clinical Advisory Groups (ECAGs).</w:t>
      </w:r>
    </w:p>
    <w:p w14:paraId="45A30897" w14:textId="05B9573E" w:rsidR="004C4A4E" w:rsidRPr="0031660E" w:rsidRDefault="004C4A4E" w:rsidP="004F2EFF">
      <w:r w:rsidRPr="0031660E">
        <w:t>A</w:t>
      </w:r>
      <w:r w:rsidR="000E0B1A" w:rsidRPr="0031660E">
        <w:t xml:space="preserve"> key aspect of the</w:t>
      </w:r>
      <w:r w:rsidRPr="0031660E">
        <w:t xml:space="preserve"> Prostheses List</w:t>
      </w:r>
      <w:r w:rsidR="000E0B1A" w:rsidRPr="0031660E">
        <w:t xml:space="preserve"> reforms is the introduction of modern listing pathways. Applicants (sponsors) will </w:t>
      </w:r>
      <w:r w:rsidRPr="0031660E">
        <w:t>benefit from a</w:t>
      </w:r>
      <w:r w:rsidR="000E0B1A" w:rsidRPr="0031660E">
        <w:t xml:space="preserve"> contemporary, fit-for-purpose process which allows for applications of differing complexity to be dealt with via different pathways.</w:t>
      </w:r>
      <w:r w:rsidRPr="0031660E">
        <w:t xml:space="preserve"> In practice, this will be implemented</w:t>
      </w:r>
      <w:r w:rsidR="00081807" w:rsidRPr="0031660E">
        <w:t xml:space="preserve"> through the introduction of ‘Tiers’, providing</w:t>
      </w:r>
      <w:r w:rsidRPr="0031660E">
        <w:t xml:space="preserve"> streamlined </w:t>
      </w:r>
      <w:r w:rsidR="00081807" w:rsidRPr="0031660E">
        <w:t xml:space="preserve">pathways for the </w:t>
      </w:r>
      <w:r w:rsidRPr="0031660E">
        <w:t xml:space="preserve">application and assessment </w:t>
      </w:r>
      <w:r w:rsidR="00081807" w:rsidRPr="0031660E">
        <w:t>of medical devices</w:t>
      </w:r>
      <w:r w:rsidR="00503D3E" w:rsidRPr="0031660E">
        <w:t xml:space="preserve"> and human tissue products</w:t>
      </w:r>
      <w:r w:rsidRPr="0031660E">
        <w:t xml:space="preserve">. The three Tiers of assessment </w:t>
      </w:r>
      <w:r w:rsidR="00081807" w:rsidRPr="0031660E">
        <w:t>relate directly to</w:t>
      </w:r>
      <w:r w:rsidR="00DF63F8" w:rsidRPr="0031660E">
        <w:t xml:space="preserve"> the level of health technology assessment (HTA) required for these applications, which</w:t>
      </w:r>
      <w:r w:rsidRPr="0031660E">
        <w:t xml:space="preserve"> can be summarised as:</w:t>
      </w:r>
    </w:p>
    <w:p w14:paraId="074297D0" w14:textId="77777777" w:rsidR="00DF63F8" w:rsidRPr="0031660E" w:rsidRDefault="00DF63F8" w:rsidP="00F232FD">
      <w:pPr>
        <w:pStyle w:val="ListParagraph"/>
        <w:numPr>
          <w:ilvl w:val="0"/>
          <w:numId w:val="12"/>
        </w:numPr>
      </w:pPr>
      <w:r w:rsidRPr="0031660E">
        <w:t>Tier 1: Departmental Assessment Pathway</w:t>
      </w:r>
    </w:p>
    <w:p w14:paraId="20C6AFED" w14:textId="43C037DC" w:rsidR="00DF63F8" w:rsidRPr="0031660E" w:rsidRDefault="00DF63F8" w:rsidP="00F232FD">
      <w:pPr>
        <w:pStyle w:val="ListParagraph"/>
        <w:numPr>
          <w:ilvl w:val="0"/>
          <w:numId w:val="12"/>
        </w:numPr>
      </w:pPr>
      <w:r w:rsidRPr="0031660E">
        <w:t>Tier 2: Clinical / Focused HTA Assessment Pathway</w:t>
      </w:r>
    </w:p>
    <w:p w14:paraId="402BC4F8" w14:textId="7DE5B797" w:rsidR="00703D09" w:rsidRPr="0031660E" w:rsidRDefault="00703D09" w:rsidP="00F232FD">
      <w:pPr>
        <w:pStyle w:val="ListParagraph"/>
        <w:numPr>
          <w:ilvl w:val="1"/>
          <w:numId w:val="12"/>
        </w:numPr>
      </w:pPr>
      <w:r w:rsidRPr="0031660E">
        <w:t>Tier 2a: Clinical Assessment</w:t>
      </w:r>
    </w:p>
    <w:p w14:paraId="4D69A014" w14:textId="28DE02AF" w:rsidR="00703D09" w:rsidRPr="0031660E" w:rsidRDefault="00703D09" w:rsidP="00F232FD">
      <w:pPr>
        <w:pStyle w:val="ListParagraph"/>
        <w:numPr>
          <w:ilvl w:val="1"/>
          <w:numId w:val="12"/>
        </w:numPr>
      </w:pPr>
      <w:r w:rsidRPr="0031660E">
        <w:t>Tier 2b: Clinical Assessment and Economic Assessment (simple, complex, other)</w:t>
      </w:r>
    </w:p>
    <w:p w14:paraId="17AD3AC7" w14:textId="4644862E" w:rsidR="004C4A4E" w:rsidRPr="0031660E" w:rsidRDefault="00DF63F8" w:rsidP="00F232FD">
      <w:pPr>
        <w:pStyle w:val="ListParagraph"/>
        <w:numPr>
          <w:ilvl w:val="0"/>
          <w:numId w:val="12"/>
        </w:numPr>
      </w:pPr>
      <w:r w:rsidRPr="0031660E">
        <w:t>Tier 3: Full HTA Pathway (Medical Services Advisory Committee [MSAC]).</w:t>
      </w:r>
    </w:p>
    <w:p w14:paraId="34412E47" w14:textId="3826D03D" w:rsidR="000E0B1A" w:rsidRPr="0031660E" w:rsidRDefault="004C4A4E" w:rsidP="004F2EFF">
      <w:r w:rsidRPr="0031660E">
        <w:t xml:space="preserve">The new cost recovery arrangements are aligned with </w:t>
      </w:r>
      <w:r w:rsidR="00081807" w:rsidRPr="0031660E">
        <w:t>these Tiers and the requisite level of HTA required</w:t>
      </w:r>
      <w:r w:rsidR="008E74B3" w:rsidRPr="0031660E">
        <w:t>.</w:t>
      </w:r>
      <w:r w:rsidR="00E50CC3" w:rsidRPr="0031660E">
        <w:t xml:space="preserve"> </w:t>
      </w:r>
      <w:r w:rsidR="008E74B3" w:rsidRPr="0031660E">
        <w:t xml:space="preserve">This CRIS will provide details of fees payable for each assessment pathway. This informs the presentation of the information, cost model and financial estimates </w:t>
      </w:r>
      <w:r w:rsidR="00081807" w:rsidRPr="0031660E">
        <w:t>below</w:t>
      </w:r>
      <w:r w:rsidR="008E74B3" w:rsidRPr="0031660E">
        <w:t>.</w:t>
      </w:r>
    </w:p>
    <w:p w14:paraId="5591E08E" w14:textId="5FF6C6D7" w:rsidR="000E0B1A" w:rsidRPr="0031660E" w:rsidRDefault="000E0B1A" w:rsidP="000E0B1A">
      <w:r w:rsidRPr="0031660E">
        <w:lastRenderedPageBreak/>
        <w:t>The P</w:t>
      </w:r>
      <w:r w:rsidR="00893AC9" w:rsidRPr="0031660E">
        <w:t xml:space="preserve">rescribed </w:t>
      </w:r>
      <w:r w:rsidRPr="0031660E">
        <w:t>L</w:t>
      </w:r>
      <w:r w:rsidR="00893AC9" w:rsidRPr="0031660E">
        <w:t>ist</w:t>
      </w:r>
      <w:r w:rsidRPr="0031660E">
        <w:t xml:space="preserve"> will continue to be the way in which hospitals, insurers and </w:t>
      </w:r>
      <w:r w:rsidR="00503D3E" w:rsidRPr="0031660E">
        <w:t xml:space="preserve">medical </w:t>
      </w:r>
      <w:r w:rsidRPr="0031660E">
        <w:t xml:space="preserve">device companies </w:t>
      </w:r>
      <w:r w:rsidR="00893AC9" w:rsidRPr="0031660E">
        <w:t>are aware of the</w:t>
      </w:r>
      <w:r w:rsidRPr="0031660E">
        <w:t xml:space="preserve"> benefi</w:t>
      </w:r>
      <w:r w:rsidR="00893AC9" w:rsidRPr="0031660E">
        <w:t>t</w:t>
      </w:r>
      <w:r w:rsidRPr="0031660E">
        <w:t xml:space="preserve"> payable for listed medical devices and human tissue products.</w:t>
      </w:r>
    </w:p>
    <w:p w14:paraId="5C143178" w14:textId="369A395B" w:rsidR="008A0B1A" w:rsidRPr="0031660E" w:rsidRDefault="00DF63F8" w:rsidP="004F2EFF">
      <w:r w:rsidRPr="0031660E">
        <w:t>More</w:t>
      </w:r>
      <w:r w:rsidR="008A0B1A" w:rsidRPr="0031660E">
        <w:t xml:space="preserve"> information </w:t>
      </w:r>
      <w:r w:rsidR="00893AC9" w:rsidRPr="0031660E">
        <w:t>pertaining to the</w:t>
      </w:r>
      <w:r w:rsidR="008A0B1A" w:rsidRPr="0031660E">
        <w:t xml:space="preserve"> </w:t>
      </w:r>
      <w:r w:rsidR="00893AC9" w:rsidRPr="0031660E">
        <w:t xml:space="preserve">Prostheses List </w:t>
      </w:r>
      <w:r w:rsidR="008A0B1A" w:rsidRPr="0031660E">
        <w:t xml:space="preserve">reforms </w:t>
      </w:r>
      <w:r w:rsidRPr="0031660E">
        <w:t xml:space="preserve">are available at </w:t>
      </w:r>
      <w:r w:rsidR="008A0B1A" w:rsidRPr="0031660E">
        <w:t xml:space="preserve">the Department of Health </w:t>
      </w:r>
      <w:r w:rsidRPr="0031660E">
        <w:t>and Aged Care</w:t>
      </w:r>
      <w:r w:rsidR="00081807" w:rsidRPr="0031660E">
        <w:t>’s website</w:t>
      </w:r>
      <w:r w:rsidR="00893AC9" w:rsidRPr="0031660E">
        <w:t>: ‘The Prostheses List r</w:t>
      </w:r>
      <w:r w:rsidRPr="0031660E">
        <w:t>eform</w:t>
      </w:r>
      <w:r w:rsidR="00893AC9" w:rsidRPr="0031660E">
        <w:t>s’.</w:t>
      </w:r>
      <w:r w:rsidR="008A0B1A" w:rsidRPr="0031660E">
        <w:rPr>
          <w:rStyle w:val="FootnoteReference"/>
        </w:rPr>
        <w:footnoteReference w:id="3"/>
      </w:r>
    </w:p>
    <w:p w14:paraId="5B203379" w14:textId="77777777" w:rsidR="004F2EFF" w:rsidRPr="0031660E" w:rsidRDefault="004F2EFF" w:rsidP="004F2EFF">
      <w:pPr>
        <w:spacing w:after="40"/>
        <w:rPr>
          <w:b/>
          <w:bCs/>
        </w:rPr>
      </w:pPr>
      <w:r w:rsidRPr="0031660E">
        <w:rPr>
          <w:b/>
          <w:bCs/>
        </w:rPr>
        <w:t>Revised Cost Recovery Arrangements</w:t>
      </w:r>
    </w:p>
    <w:p w14:paraId="26D6C7D4" w14:textId="55973737" w:rsidR="00C57671" w:rsidRPr="0031660E" w:rsidRDefault="004F2EFF" w:rsidP="004F2EFF">
      <w:pPr>
        <w:spacing w:after="120" w:line="240" w:lineRule="auto"/>
        <w:rPr>
          <w:rFonts w:ascii="Calibri" w:eastAsia="Times New Roman" w:hAnsi="Calibri" w:cs="Times New Roman"/>
        </w:rPr>
      </w:pPr>
      <w:r w:rsidRPr="0031660E">
        <w:rPr>
          <w:rFonts w:ascii="Calibri" w:eastAsia="Times New Roman" w:hAnsi="Calibri" w:cs="Times New Roman"/>
        </w:rPr>
        <w:t>In the 2023-24 Budget the Government announced revised cost recovery arrangements for the P</w:t>
      </w:r>
      <w:r w:rsidR="00893AC9" w:rsidRPr="0031660E">
        <w:rPr>
          <w:rFonts w:ascii="Calibri" w:eastAsia="Times New Roman" w:hAnsi="Calibri" w:cs="Times New Roman"/>
        </w:rPr>
        <w:t xml:space="preserve">rostheses </w:t>
      </w:r>
      <w:r w:rsidRPr="0031660E">
        <w:rPr>
          <w:rFonts w:ascii="Calibri" w:eastAsia="Times New Roman" w:hAnsi="Calibri" w:cs="Times New Roman"/>
        </w:rPr>
        <w:t>L</w:t>
      </w:r>
      <w:r w:rsidR="00893AC9" w:rsidRPr="0031660E">
        <w:rPr>
          <w:rFonts w:ascii="Calibri" w:eastAsia="Times New Roman" w:hAnsi="Calibri" w:cs="Times New Roman"/>
        </w:rPr>
        <w:t>ist</w:t>
      </w:r>
      <w:r w:rsidRPr="0031660E">
        <w:rPr>
          <w:rFonts w:ascii="Calibri" w:eastAsia="Times New Roman" w:hAnsi="Calibri" w:cs="Times New Roman"/>
        </w:rPr>
        <w:t xml:space="preserve"> to reflect the reforms </w:t>
      </w:r>
      <w:r w:rsidRPr="0031660E">
        <w:t xml:space="preserve">in accordance with the Australian Government Charging Framework (AGCF). </w:t>
      </w:r>
      <w:r w:rsidRPr="0031660E">
        <w:rPr>
          <w:rFonts w:ascii="Calibri" w:eastAsia="Times New Roman" w:hAnsi="Calibri" w:cs="Times New Roman"/>
        </w:rPr>
        <w:t>The costs of undertaking regulatory activities associated with the</w:t>
      </w:r>
      <w:r w:rsidR="00893AC9" w:rsidRPr="0031660E">
        <w:rPr>
          <w:rFonts w:ascii="Calibri" w:eastAsia="Times New Roman" w:hAnsi="Calibri" w:cs="Times New Roman"/>
        </w:rPr>
        <w:t xml:space="preserve"> new</w:t>
      </w:r>
      <w:r w:rsidRPr="0031660E">
        <w:rPr>
          <w:rFonts w:ascii="Calibri" w:eastAsia="Times New Roman" w:hAnsi="Calibri" w:cs="Times New Roman"/>
        </w:rPr>
        <w:t xml:space="preserve"> P</w:t>
      </w:r>
      <w:r w:rsidR="00893AC9" w:rsidRPr="0031660E">
        <w:rPr>
          <w:rFonts w:ascii="Calibri" w:eastAsia="Times New Roman" w:hAnsi="Calibri" w:cs="Times New Roman"/>
        </w:rPr>
        <w:t xml:space="preserve">rescribed </w:t>
      </w:r>
      <w:r w:rsidRPr="0031660E">
        <w:rPr>
          <w:rFonts w:ascii="Calibri" w:eastAsia="Times New Roman" w:hAnsi="Calibri" w:cs="Times New Roman"/>
        </w:rPr>
        <w:t>L</w:t>
      </w:r>
      <w:r w:rsidR="00893AC9" w:rsidRPr="0031660E">
        <w:rPr>
          <w:rFonts w:ascii="Calibri" w:eastAsia="Times New Roman" w:hAnsi="Calibri" w:cs="Times New Roman"/>
        </w:rPr>
        <w:t>ist</w:t>
      </w:r>
      <w:r w:rsidRPr="0031660E">
        <w:rPr>
          <w:rFonts w:ascii="Calibri" w:eastAsia="Times New Roman" w:hAnsi="Calibri" w:cs="Times New Roman"/>
        </w:rPr>
        <w:t xml:space="preserve"> will be recovered using a combination of cost recovery fees and levy.</w:t>
      </w:r>
    </w:p>
    <w:p w14:paraId="0B9FB644" w14:textId="77777777" w:rsidR="004F2EFF" w:rsidRPr="0031660E" w:rsidRDefault="004F2EFF" w:rsidP="004F2EFF">
      <w:pPr>
        <w:pStyle w:val="Heading2"/>
      </w:pPr>
      <w:r w:rsidRPr="0031660E">
        <w:t>Description of the regulatory charging activity</w:t>
      </w:r>
    </w:p>
    <w:p w14:paraId="091FFFB6" w14:textId="11A50EF5" w:rsidR="004F2EFF" w:rsidRPr="0031660E" w:rsidRDefault="00893AC9" w:rsidP="004F2EFF">
      <w:r w:rsidRPr="0031660E">
        <w:t xml:space="preserve">The </w:t>
      </w:r>
      <w:r w:rsidR="0020210E" w:rsidRPr="0031660E">
        <w:t xml:space="preserve">assessment of new items, </w:t>
      </w:r>
      <w:r w:rsidRPr="0031660E">
        <w:t>listing</w:t>
      </w:r>
      <w:r w:rsidR="0020210E" w:rsidRPr="0031660E">
        <w:t xml:space="preserve"> and</w:t>
      </w:r>
      <w:r w:rsidRPr="0031660E">
        <w:t xml:space="preserve"> management</w:t>
      </w:r>
      <w:r w:rsidR="0020210E" w:rsidRPr="0031660E">
        <w:t xml:space="preserve"> of item</w:t>
      </w:r>
      <w:r w:rsidR="003B4FC3" w:rsidRPr="0031660E">
        <w:t>s</w:t>
      </w:r>
      <w:r w:rsidRPr="0031660E">
        <w:t xml:space="preserve">, </w:t>
      </w:r>
      <w:r w:rsidR="00503D3E" w:rsidRPr="0031660E">
        <w:t>the</w:t>
      </w:r>
      <w:r w:rsidRPr="0031660E">
        <w:t xml:space="preserve"> maintenance</w:t>
      </w:r>
      <w:r w:rsidR="0020210E" w:rsidRPr="0031660E">
        <w:t xml:space="preserve"> of the relevant supporting infrastructure</w:t>
      </w:r>
      <w:r w:rsidRPr="0031660E">
        <w:t xml:space="preserve"> of the Prescribed List</w:t>
      </w:r>
      <w:r w:rsidR="003B4FC3" w:rsidRPr="0031660E">
        <w:t>,</w:t>
      </w:r>
      <w:r w:rsidR="00503D3E" w:rsidRPr="0031660E">
        <w:t xml:space="preserve"> and, compliance actions,</w:t>
      </w:r>
      <w:r w:rsidRPr="0031660E">
        <w:t xml:space="preserve"> are the regulatory activi</w:t>
      </w:r>
      <w:r w:rsidR="0020210E" w:rsidRPr="0031660E">
        <w:t>ti</w:t>
      </w:r>
      <w:r w:rsidRPr="0031660E">
        <w:t>es</w:t>
      </w:r>
      <w:r w:rsidR="0020210E" w:rsidRPr="0031660E">
        <w:t xml:space="preserve"> that will incur the relevant cost recovery fees and levy. These activities are</w:t>
      </w:r>
      <w:r w:rsidRPr="0031660E">
        <w:t xml:space="preserve"> undertaken by the department </w:t>
      </w:r>
      <w:proofErr w:type="gramStart"/>
      <w:r w:rsidRPr="0031660E">
        <w:t>in order to</w:t>
      </w:r>
      <w:proofErr w:type="gramEnd"/>
      <w:r w:rsidRPr="0031660E">
        <w:t xml:space="preserve"> ensure </w:t>
      </w:r>
      <w:r w:rsidR="004F2EFF" w:rsidRPr="0031660E">
        <w:t>privately insured patients</w:t>
      </w:r>
      <w:r w:rsidR="005B6573" w:rsidRPr="0031660E">
        <w:t xml:space="preserve"> in Australia</w:t>
      </w:r>
      <w:r w:rsidR="004F2EFF" w:rsidRPr="0031660E">
        <w:t xml:space="preserve"> </w:t>
      </w:r>
      <w:r w:rsidR="005B6573" w:rsidRPr="0031660E">
        <w:t xml:space="preserve">have </w:t>
      </w:r>
      <w:r w:rsidR="004F2EFF" w:rsidRPr="0031660E">
        <w:t>access to safe and clinically effective medical devices</w:t>
      </w:r>
      <w:r w:rsidR="0020210E" w:rsidRPr="0031660E">
        <w:t xml:space="preserve">. </w:t>
      </w:r>
      <w:r w:rsidR="004F2EFF" w:rsidRPr="0031660E">
        <w:t xml:space="preserve">The statutory basis of this regulatory charging activity is outlined in the </w:t>
      </w:r>
      <w:r w:rsidR="004F2EFF" w:rsidRPr="0031660E">
        <w:rPr>
          <w:i/>
          <w:iCs/>
        </w:rPr>
        <w:t>Private Health Insurance Act 2007</w:t>
      </w:r>
      <w:r w:rsidR="004F2EFF" w:rsidRPr="0031660E">
        <w:t xml:space="preserve"> and the relevant legislative framework (outlined in section 2.5).</w:t>
      </w:r>
    </w:p>
    <w:p w14:paraId="2BA194A7" w14:textId="0F372E48" w:rsidR="004F2EFF" w:rsidRPr="0031660E" w:rsidRDefault="004F2EFF" w:rsidP="004F2EFF">
      <w:pPr>
        <w:spacing w:before="120" w:after="120" w:line="240" w:lineRule="auto"/>
        <w:rPr>
          <w:rFonts w:ascii="Calibri" w:eastAsia="Times New Roman" w:hAnsi="Calibri" w:cs="Times New Roman"/>
        </w:rPr>
      </w:pPr>
      <w:r w:rsidRPr="0031660E">
        <w:rPr>
          <w:rFonts w:ascii="Calibri" w:eastAsia="Times New Roman" w:hAnsi="Calibri" w:cs="Times New Roman"/>
        </w:rPr>
        <w:t xml:space="preserve">The new </w:t>
      </w:r>
      <w:r w:rsidR="005B6573" w:rsidRPr="0031660E">
        <w:rPr>
          <w:rFonts w:ascii="Calibri" w:eastAsia="Times New Roman" w:hAnsi="Calibri" w:cs="Times New Roman"/>
        </w:rPr>
        <w:t>MDHTAC</w:t>
      </w:r>
      <w:r w:rsidRPr="0031660E">
        <w:rPr>
          <w:rFonts w:ascii="Calibri" w:eastAsia="Times New Roman" w:hAnsi="Calibri" w:cs="Times New Roman"/>
        </w:rPr>
        <w:t xml:space="preserve"> (</w:t>
      </w:r>
      <w:r w:rsidR="0020210E" w:rsidRPr="0031660E">
        <w:rPr>
          <w:rFonts w:ascii="Calibri" w:eastAsia="Times New Roman" w:hAnsi="Calibri" w:cs="Times New Roman"/>
        </w:rPr>
        <w:t>as with</w:t>
      </w:r>
      <w:r w:rsidRPr="0031660E">
        <w:rPr>
          <w:rFonts w:ascii="Calibri" w:eastAsia="Times New Roman" w:hAnsi="Calibri" w:cs="Times New Roman"/>
        </w:rPr>
        <w:t xml:space="preserve"> </w:t>
      </w:r>
      <w:r w:rsidR="005B6573" w:rsidRPr="0031660E">
        <w:rPr>
          <w:rFonts w:ascii="Calibri" w:eastAsia="Times New Roman" w:hAnsi="Calibri" w:cs="Times New Roman"/>
        </w:rPr>
        <w:t xml:space="preserve">the </w:t>
      </w:r>
      <w:r w:rsidRPr="0031660E">
        <w:rPr>
          <w:rFonts w:ascii="Calibri" w:eastAsia="Times New Roman" w:hAnsi="Calibri" w:cs="Times New Roman"/>
        </w:rPr>
        <w:t xml:space="preserve">previous </w:t>
      </w:r>
      <w:r w:rsidR="00B722BA" w:rsidRPr="0031660E">
        <w:rPr>
          <w:rFonts w:ascii="Calibri" w:eastAsia="Times New Roman" w:hAnsi="Calibri" w:cs="Times New Roman"/>
        </w:rPr>
        <w:t>PLAC</w:t>
      </w:r>
      <w:r w:rsidRPr="0031660E">
        <w:rPr>
          <w:rFonts w:ascii="Calibri" w:eastAsia="Times New Roman" w:hAnsi="Calibri" w:cs="Times New Roman"/>
        </w:rPr>
        <w:t xml:space="preserve"> that it replaces) provide</w:t>
      </w:r>
      <w:r w:rsidR="005B6573" w:rsidRPr="0031660E">
        <w:rPr>
          <w:rFonts w:ascii="Calibri" w:eastAsia="Times New Roman" w:hAnsi="Calibri" w:cs="Times New Roman"/>
        </w:rPr>
        <w:t>s</w:t>
      </w:r>
      <w:r w:rsidRPr="0031660E">
        <w:rPr>
          <w:rFonts w:ascii="Calibri" w:eastAsia="Times New Roman" w:hAnsi="Calibri" w:cs="Times New Roman"/>
        </w:rPr>
        <w:t xml:space="preserve"> recommendations and advice about the comparative clinical effectiveness and cost</w:t>
      </w:r>
      <w:r w:rsidR="0020210E" w:rsidRPr="0031660E">
        <w:rPr>
          <w:rFonts w:ascii="Calibri" w:eastAsia="Times New Roman" w:hAnsi="Calibri" w:cs="Times New Roman"/>
        </w:rPr>
        <w:t>-</w:t>
      </w:r>
      <w:r w:rsidRPr="0031660E">
        <w:rPr>
          <w:rFonts w:ascii="Calibri" w:eastAsia="Times New Roman" w:hAnsi="Calibri" w:cs="Times New Roman"/>
        </w:rPr>
        <w:t xml:space="preserve">effectiveness of medical devices and human tissue products using the best available evidence, and the benefits payable by private health insurers. </w:t>
      </w:r>
    </w:p>
    <w:p w14:paraId="70D09299" w14:textId="77777777" w:rsidR="004F2EFF" w:rsidRPr="0031660E" w:rsidRDefault="004F2EFF" w:rsidP="004F2EFF">
      <w:pPr>
        <w:rPr>
          <w:b/>
          <w:bCs/>
        </w:rPr>
      </w:pPr>
      <w:r w:rsidRPr="0031660E">
        <w:rPr>
          <w:b/>
          <w:bCs/>
        </w:rPr>
        <w:t>Assessment and administration of applications (for new items and amended items)</w:t>
      </w:r>
    </w:p>
    <w:p w14:paraId="0C94DFD0" w14:textId="25B90B2F" w:rsidR="004F2EFF" w:rsidRPr="0031660E" w:rsidRDefault="004F2EFF" w:rsidP="004F2EFF">
      <w:r w:rsidRPr="0031660E">
        <w:t xml:space="preserve">The regulatory charging activity involved in assessing and administering </w:t>
      </w:r>
      <w:r w:rsidR="0020210E" w:rsidRPr="0031660E">
        <w:t>applications encompass</w:t>
      </w:r>
      <w:r w:rsidR="005B6573" w:rsidRPr="0031660E">
        <w:t>es</w:t>
      </w:r>
      <w:r w:rsidRPr="0031660E">
        <w:t xml:space="preserve"> the following:</w:t>
      </w:r>
    </w:p>
    <w:p w14:paraId="465AD527" w14:textId="77777777"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management of applications by department staff, including:</w:t>
      </w:r>
    </w:p>
    <w:p w14:paraId="25B0018D" w14:textId="77777777" w:rsidR="004F2EFF" w:rsidRPr="0031660E" w:rsidRDefault="004F2EFF" w:rsidP="00F232FD">
      <w:pPr>
        <w:pStyle w:val="ListParagraph"/>
        <w:numPr>
          <w:ilvl w:val="1"/>
          <w:numId w:val="14"/>
        </w:numPr>
        <w:spacing w:before="120" w:after="120" w:line="240" w:lineRule="auto"/>
        <w:rPr>
          <w:rFonts w:ascii="Calibri" w:eastAsia="Times New Roman" w:hAnsi="Calibri" w:cs="Times New Roman"/>
        </w:rPr>
      </w:pPr>
      <w:r w:rsidRPr="0031660E">
        <w:rPr>
          <w:rFonts w:ascii="Calibri" w:eastAsia="Times New Roman" w:hAnsi="Calibri" w:cs="Times New Roman"/>
        </w:rPr>
        <w:t>undertaking departmental assessments and providing advice to applicants (sponsors) (Tier 1</w:t>
      </w:r>
      <w:proofErr w:type="gramStart"/>
      <w:r w:rsidRPr="0031660E">
        <w:rPr>
          <w:rFonts w:ascii="Calibri" w:eastAsia="Times New Roman" w:hAnsi="Calibri" w:cs="Times New Roman"/>
        </w:rPr>
        <w:t>);</w:t>
      </w:r>
      <w:proofErr w:type="gramEnd"/>
    </w:p>
    <w:p w14:paraId="6C384387" w14:textId="77777777" w:rsidR="004F2EFF" w:rsidRPr="0031660E" w:rsidRDefault="004F2EFF" w:rsidP="00F232FD">
      <w:pPr>
        <w:pStyle w:val="ListParagraph"/>
        <w:numPr>
          <w:ilvl w:val="1"/>
          <w:numId w:val="14"/>
        </w:numPr>
        <w:spacing w:before="120" w:after="120" w:line="240" w:lineRule="auto"/>
        <w:rPr>
          <w:rFonts w:ascii="Calibri" w:eastAsia="Times New Roman" w:hAnsi="Calibri" w:cs="Times New Roman"/>
        </w:rPr>
      </w:pPr>
      <w:r w:rsidRPr="0031660E">
        <w:rPr>
          <w:rFonts w:ascii="Calibri" w:eastAsia="Times New Roman" w:hAnsi="Calibri" w:cs="Times New Roman"/>
        </w:rPr>
        <w:t xml:space="preserve">liaising with applicants on the requirements and progress of the </w:t>
      </w:r>
      <w:proofErr w:type="gramStart"/>
      <w:r w:rsidRPr="0031660E">
        <w:rPr>
          <w:rFonts w:ascii="Calibri" w:eastAsia="Times New Roman" w:hAnsi="Calibri" w:cs="Times New Roman"/>
        </w:rPr>
        <w:t>application;</w:t>
      </w:r>
      <w:proofErr w:type="gramEnd"/>
    </w:p>
    <w:p w14:paraId="458392EB" w14:textId="5CFC8A2F" w:rsidR="004F2EFF" w:rsidRPr="0031660E" w:rsidRDefault="004F2EFF" w:rsidP="00F232FD">
      <w:pPr>
        <w:pStyle w:val="ListParagraph"/>
        <w:numPr>
          <w:ilvl w:val="1"/>
          <w:numId w:val="14"/>
        </w:numPr>
        <w:spacing w:before="120" w:after="120" w:line="240" w:lineRule="auto"/>
        <w:rPr>
          <w:rFonts w:ascii="Calibri" w:eastAsia="Times New Roman" w:hAnsi="Calibri" w:cs="Times New Roman"/>
        </w:rPr>
      </w:pPr>
      <w:r w:rsidRPr="0031660E">
        <w:rPr>
          <w:rFonts w:ascii="Calibri" w:eastAsia="Times New Roman" w:hAnsi="Calibri" w:cs="Times New Roman"/>
        </w:rPr>
        <w:t xml:space="preserve">commissioning </w:t>
      </w:r>
      <w:r w:rsidR="0020210E" w:rsidRPr="0031660E">
        <w:rPr>
          <w:rFonts w:ascii="Calibri" w:eastAsia="Times New Roman" w:hAnsi="Calibri" w:cs="Times New Roman"/>
        </w:rPr>
        <w:t>HTA</w:t>
      </w:r>
      <w:r w:rsidRPr="0031660E">
        <w:rPr>
          <w:rFonts w:ascii="Calibri" w:eastAsia="Times New Roman" w:hAnsi="Calibri" w:cs="Times New Roman"/>
        </w:rPr>
        <w:t xml:space="preserve"> for Tier 2 and Tier 3 applications where required. </w:t>
      </w:r>
    </w:p>
    <w:p w14:paraId="63A82B65" w14:textId="24CBCB55"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 xml:space="preserve">provision of secretariat support by the department to the MDHTAC and its subcommittees, including organising meetings and preparing </w:t>
      </w:r>
      <w:proofErr w:type="gramStart"/>
      <w:r w:rsidRPr="0031660E">
        <w:rPr>
          <w:rFonts w:ascii="Calibri" w:eastAsia="Times New Roman" w:hAnsi="Calibri" w:cs="Times New Roman"/>
        </w:rPr>
        <w:t>papers;</w:t>
      </w:r>
      <w:proofErr w:type="gramEnd"/>
    </w:p>
    <w:p w14:paraId="45959C5B" w14:textId="77777777"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assessment of applications against the criteria for listing by the MDHTAC and its subcommittees and making recommendations to the Minister or the Minister’s delegate(s</w:t>
      </w:r>
      <w:proofErr w:type="gramStart"/>
      <w:r w:rsidRPr="0031660E">
        <w:rPr>
          <w:rFonts w:ascii="Calibri" w:eastAsia="Times New Roman" w:hAnsi="Calibri" w:cs="Times New Roman"/>
        </w:rPr>
        <w:t>);</w:t>
      </w:r>
      <w:proofErr w:type="gramEnd"/>
    </w:p>
    <w:p w14:paraId="179C20A9" w14:textId="77777777"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 xml:space="preserve">making the </w:t>
      </w:r>
      <w:r w:rsidRPr="0031660E">
        <w:rPr>
          <w:rFonts w:ascii="Calibri" w:eastAsia="Times New Roman" w:hAnsi="Calibri" w:cs="Times New Roman"/>
          <w:i/>
          <w:iCs/>
        </w:rPr>
        <w:t xml:space="preserve">Private Health Insurance (Medical Devices and Human Tissue Products) </w:t>
      </w:r>
      <w:proofErr w:type="gramStart"/>
      <w:r w:rsidRPr="0031660E">
        <w:rPr>
          <w:rFonts w:ascii="Calibri" w:eastAsia="Times New Roman" w:hAnsi="Calibri" w:cs="Times New Roman"/>
          <w:i/>
          <w:iCs/>
        </w:rPr>
        <w:t>Rules</w:t>
      </w:r>
      <w:r w:rsidRPr="0031660E">
        <w:rPr>
          <w:rFonts w:ascii="Calibri" w:eastAsia="Times New Roman" w:hAnsi="Calibri" w:cs="Times New Roman"/>
        </w:rPr>
        <w:t>;</w:t>
      </w:r>
      <w:proofErr w:type="gramEnd"/>
    </w:p>
    <w:p w14:paraId="5B9D9F73" w14:textId="72D07D4B"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developing and maintaining IT systems to support the P</w:t>
      </w:r>
      <w:r w:rsidR="003C4B82" w:rsidRPr="0031660E">
        <w:rPr>
          <w:rFonts w:ascii="Calibri" w:eastAsia="Times New Roman" w:hAnsi="Calibri" w:cs="Times New Roman"/>
        </w:rPr>
        <w:t xml:space="preserve">rescribed </w:t>
      </w:r>
      <w:r w:rsidRPr="0031660E">
        <w:rPr>
          <w:rFonts w:ascii="Calibri" w:eastAsia="Times New Roman" w:hAnsi="Calibri" w:cs="Times New Roman"/>
        </w:rPr>
        <w:t>L</w:t>
      </w:r>
      <w:r w:rsidR="003C4B82" w:rsidRPr="0031660E">
        <w:rPr>
          <w:rFonts w:ascii="Calibri" w:eastAsia="Times New Roman" w:hAnsi="Calibri" w:cs="Times New Roman"/>
        </w:rPr>
        <w:t>ist</w:t>
      </w:r>
      <w:r w:rsidRPr="0031660E">
        <w:rPr>
          <w:rFonts w:ascii="Calibri" w:eastAsia="Times New Roman" w:hAnsi="Calibri" w:cs="Times New Roman"/>
        </w:rPr>
        <w:t xml:space="preserve"> (enabling access for applicants, external assessors and departmental staff</w:t>
      </w:r>
      <w:proofErr w:type="gramStart"/>
      <w:r w:rsidRPr="0031660E">
        <w:rPr>
          <w:rFonts w:ascii="Calibri" w:eastAsia="Times New Roman" w:hAnsi="Calibri" w:cs="Times New Roman"/>
        </w:rPr>
        <w:t>);</w:t>
      </w:r>
      <w:proofErr w:type="gramEnd"/>
      <w:r w:rsidRPr="0031660E">
        <w:rPr>
          <w:rFonts w:ascii="Calibri" w:eastAsia="Times New Roman" w:hAnsi="Calibri" w:cs="Times New Roman"/>
        </w:rPr>
        <w:t xml:space="preserve"> </w:t>
      </w:r>
    </w:p>
    <w:p w14:paraId="48FAF77D" w14:textId="394452B9"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 xml:space="preserve">updating guidance material and relevant </w:t>
      </w:r>
      <w:proofErr w:type="gramStart"/>
      <w:r w:rsidRPr="0031660E">
        <w:rPr>
          <w:rFonts w:ascii="Calibri" w:eastAsia="Times New Roman" w:hAnsi="Calibri" w:cs="Times New Roman"/>
        </w:rPr>
        <w:t>legislation;</w:t>
      </w:r>
      <w:proofErr w:type="gramEnd"/>
    </w:p>
    <w:p w14:paraId="5EF541C9" w14:textId="0D264AB1"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reviewing the MDHTAC’s recommendations; and</w:t>
      </w:r>
    </w:p>
    <w:p w14:paraId="01E9B1E3" w14:textId="7FC977D0"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providing and maintaining information for stakeholders about the P</w:t>
      </w:r>
      <w:r w:rsidR="00D17E3F" w:rsidRPr="0031660E">
        <w:rPr>
          <w:rFonts w:ascii="Calibri" w:eastAsia="Times New Roman" w:hAnsi="Calibri" w:cs="Times New Roman"/>
        </w:rPr>
        <w:t xml:space="preserve">rescribed </w:t>
      </w:r>
      <w:r w:rsidRPr="0031660E">
        <w:rPr>
          <w:rFonts w:ascii="Calibri" w:eastAsia="Times New Roman" w:hAnsi="Calibri" w:cs="Times New Roman"/>
        </w:rPr>
        <w:t>L</w:t>
      </w:r>
      <w:r w:rsidR="00D17E3F" w:rsidRPr="0031660E">
        <w:rPr>
          <w:rFonts w:ascii="Calibri" w:eastAsia="Times New Roman" w:hAnsi="Calibri" w:cs="Times New Roman"/>
        </w:rPr>
        <w:t>ist</w:t>
      </w:r>
      <w:r w:rsidRPr="0031660E">
        <w:rPr>
          <w:rFonts w:ascii="Calibri" w:eastAsia="Times New Roman" w:hAnsi="Calibri" w:cs="Times New Roman"/>
        </w:rPr>
        <w:t xml:space="preserve"> processes and policy on the department’s website.</w:t>
      </w:r>
    </w:p>
    <w:p w14:paraId="7D59FA39" w14:textId="7C79C5F5" w:rsidR="004F2EFF" w:rsidRPr="0031660E" w:rsidRDefault="004F2EFF" w:rsidP="004F2EFF">
      <w:pPr>
        <w:spacing w:before="120" w:after="120" w:line="240" w:lineRule="auto"/>
        <w:rPr>
          <w:rFonts w:ascii="Calibri" w:eastAsia="Times New Roman" w:hAnsi="Calibri" w:cs="Times New Roman"/>
          <w:bCs/>
          <w:szCs w:val="24"/>
        </w:rPr>
      </w:pPr>
      <w:r w:rsidRPr="0031660E">
        <w:rPr>
          <w:rFonts w:ascii="Calibri" w:eastAsia="Times New Roman" w:hAnsi="Calibri" w:cs="Times New Roman"/>
          <w:bCs/>
          <w:szCs w:val="24"/>
        </w:rPr>
        <w:t>The key output of this regulatory activity is the P</w:t>
      </w:r>
      <w:r w:rsidR="003C4B82" w:rsidRPr="0031660E">
        <w:rPr>
          <w:rFonts w:ascii="Calibri" w:eastAsia="Times New Roman" w:hAnsi="Calibri" w:cs="Times New Roman"/>
          <w:bCs/>
          <w:szCs w:val="24"/>
        </w:rPr>
        <w:t xml:space="preserve">rescribed </w:t>
      </w:r>
      <w:r w:rsidRPr="0031660E">
        <w:rPr>
          <w:rFonts w:ascii="Calibri" w:eastAsia="Times New Roman" w:hAnsi="Calibri" w:cs="Times New Roman"/>
          <w:bCs/>
          <w:szCs w:val="24"/>
        </w:rPr>
        <w:t>L</w:t>
      </w:r>
      <w:r w:rsidR="003C4B82" w:rsidRPr="0031660E">
        <w:rPr>
          <w:rFonts w:ascii="Calibri" w:eastAsia="Times New Roman" w:hAnsi="Calibri" w:cs="Times New Roman"/>
          <w:bCs/>
          <w:szCs w:val="24"/>
        </w:rPr>
        <w:t xml:space="preserve">ist </w:t>
      </w:r>
      <w:r w:rsidRPr="0031660E">
        <w:rPr>
          <w:rFonts w:ascii="Calibri" w:eastAsia="Times New Roman" w:hAnsi="Calibri" w:cs="Times New Roman"/>
          <w:bCs/>
          <w:szCs w:val="24"/>
        </w:rPr>
        <w:t xml:space="preserve">which is published three times per year in March, July and November. </w:t>
      </w:r>
    </w:p>
    <w:p w14:paraId="2067453E" w14:textId="53A419D0" w:rsidR="00C01401" w:rsidRPr="0031660E" w:rsidRDefault="004F2EFF" w:rsidP="004F2EFF">
      <w:pPr>
        <w:spacing w:before="120" w:after="0" w:line="240" w:lineRule="auto"/>
        <w:rPr>
          <w:b/>
          <w:bCs/>
        </w:rPr>
      </w:pPr>
      <w:r w:rsidRPr="0031660E">
        <w:rPr>
          <w:b/>
          <w:bCs/>
        </w:rPr>
        <w:lastRenderedPageBreak/>
        <w:t>Management of items already listed on the P</w:t>
      </w:r>
      <w:r w:rsidR="00D17E3F" w:rsidRPr="0031660E">
        <w:rPr>
          <w:b/>
          <w:bCs/>
        </w:rPr>
        <w:t xml:space="preserve">rescribed </w:t>
      </w:r>
      <w:r w:rsidRPr="0031660E">
        <w:rPr>
          <w:b/>
          <w:bCs/>
        </w:rPr>
        <w:t>L</w:t>
      </w:r>
      <w:r w:rsidR="00D17E3F" w:rsidRPr="0031660E">
        <w:rPr>
          <w:b/>
          <w:bCs/>
        </w:rPr>
        <w:t>ist</w:t>
      </w:r>
      <w:r w:rsidRPr="0031660E">
        <w:rPr>
          <w:b/>
          <w:bCs/>
        </w:rPr>
        <w:t xml:space="preserve"> and relevant supporting </w:t>
      </w:r>
      <w:proofErr w:type="gramStart"/>
      <w:r w:rsidRPr="0031660E">
        <w:rPr>
          <w:b/>
          <w:bCs/>
        </w:rPr>
        <w:t>infrastructure</w:t>
      </w:r>
      <w:proofErr w:type="gramEnd"/>
    </w:p>
    <w:p w14:paraId="742FBBFA" w14:textId="6D899F2D" w:rsidR="004F2EFF" w:rsidRPr="0031660E" w:rsidRDefault="004F2EFF" w:rsidP="00C01401">
      <w:pPr>
        <w:spacing w:before="240"/>
      </w:pPr>
      <w:r w:rsidRPr="0031660E">
        <w:t>The regulatory charging activity involved the ongoing management of items already listed on the P</w:t>
      </w:r>
      <w:r w:rsidR="00C70055" w:rsidRPr="0031660E">
        <w:t>r</w:t>
      </w:r>
      <w:r w:rsidR="00E86BC8" w:rsidRPr="0031660E">
        <w:t xml:space="preserve">escribed </w:t>
      </w:r>
      <w:r w:rsidRPr="0031660E">
        <w:t>L</w:t>
      </w:r>
      <w:r w:rsidR="00C70055" w:rsidRPr="0031660E">
        <w:t>ist</w:t>
      </w:r>
      <w:r w:rsidRPr="0031660E">
        <w:t>, as undertaken by the department, include</w:t>
      </w:r>
      <w:r w:rsidR="00D17E3F" w:rsidRPr="0031660E">
        <w:t>s</w:t>
      </w:r>
      <w:r w:rsidRPr="0031660E">
        <w:t>:</w:t>
      </w:r>
    </w:p>
    <w:p w14:paraId="664B6652" w14:textId="532A77A2"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administration of the P</w:t>
      </w:r>
      <w:r w:rsidR="000E07AB" w:rsidRPr="0031660E">
        <w:rPr>
          <w:rFonts w:ascii="Calibri" w:eastAsia="Times New Roman" w:hAnsi="Calibri" w:cs="Times New Roman"/>
        </w:rPr>
        <w:t xml:space="preserve">rescribed </w:t>
      </w:r>
      <w:proofErr w:type="gramStart"/>
      <w:r w:rsidRPr="0031660E">
        <w:rPr>
          <w:rFonts w:ascii="Calibri" w:eastAsia="Times New Roman" w:hAnsi="Calibri" w:cs="Times New Roman"/>
        </w:rPr>
        <w:t>L</w:t>
      </w:r>
      <w:r w:rsidR="000E07AB" w:rsidRPr="0031660E">
        <w:rPr>
          <w:rFonts w:ascii="Calibri" w:eastAsia="Times New Roman" w:hAnsi="Calibri" w:cs="Times New Roman"/>
        </w:rPr>
        <w:t>ist</w:t>
      </w:r>
      <w:r w:rsidRPr="0031660E">
        <w:rPr>
          <w:rFonts w:ascii="Calibri" w:eastAsia="Times New Roman" w:hAnsi="Calibri" w:cs="Times New Roman"/>
        </w:rPr>
        <w:t>;</w:t>
      </w:r>
      <w:proofErr w:type="gramEnd"/>
    </w:p>
    <w:p w14:paraId="75A14568" w14:textId="3F42AD65"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provision of advice to and facilitating discussions with sponsors and other stakeholders about the P</w:t>
      </w:r>
      <w:r w:rsidR="000E07AB" w:rsidRPr="0031660E">
        <w:rPr>
          <w:rFonts w:ascii="Calibri" w:eastAsia="Times New Roman" w:hAnsi="Calibri" w:cs="Times New Roman"/>
        </w:rPr>
        <w:t xml:space="preserve">rescribed </w:t>
      </w:r>
      <w:r w:rsidRPr="0031660E">
        <w:rPr>
          <w:rFonts w:ascii="Calibri" w:eastAsia="Times New Roman" w:hAnsi="Calibri" w:cs="Times New Roman"/>
        </w:rPr>
        <w:t>L</w:t>
      </w:r>
      <w:r w:rsidR="000E07AB" w:rsidRPr="0031660E">
        <w:rPr>
          <w:rFonts w:ascii="Calibri" w:eastAsia="Times New Roman" w:hAnsi="Calibri" w:cs="Times New Roman"/>
        </w:rPr>
        <w:t>ist</w:t>
      </w:r>
      <w:r w:rsidRPr="0031660E">
        <w:rPr>
          <w:rFonts w:ascii="Calibri" w:eastAsia="Times New Roman" w:hAnsi="Calibri" w:cs="Times New Roman"/>
        </w:rPr>
        <w:t xml:space="preserve"> </w:t>
      </w:r>
      <w:proofErr w:type="gramStart"/>
      <w:r w:rsidRPr="0031660E">
        <w:rPr>
          <w:rFonts w:ascii="Calibri" w:eastAsia="Times New Roman" w:hAnsi="Calibri" w:cs="Times New Roman"/>
        </w:rPr>
        <w:t>arrangements;</w:t>
      </w:r>
      <w:proofErr w:type="gramEnd"/>
    </w:p>
    <w:p w14:paraId="46F09D05" w14:textId="5C486B4F"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maintenance and provision of advice on the compliance, assurance and enforcement principles and provisions to support the effective administration of the P</w:t>
      </w:r>
      <w:r w:rsidR="000E07AB" w:rsidRPr="0031660E">
        <w:rPr>
          <w:rFonts w:ascii="Calibri" w:eastAsia="Times New Roman" w:hAnsi="Calibri" w:cs="Times New Roman"/>
        </w:rPr>
        <w:t xml:space="preserve">rescribed </w:t>
      </w:r>
      <w:r w:rsidRPr="0031660E">
        <w:rPr>
          <w:rFonts w:ascii="Calibri" w:eastAsia="Times New Roman" w:hAnsi="Calibri" w:cs="Times New Roman"/>
        </w:rPr>
        <w:t>L</w:t>
      </w:r>
      <w:r w:rsidR="000E07AB" w:rsidRPr="0031660E">
        <w:rPr>
          <w:rFonts w:ascii="Calibri" w:eastAsia="Times New Roman" w:hAnsi="Calibri" w:cs="Times New Roman"/>
        </w:rPr>
        <w:t>ist</w:t>
      </w:r>
      <w:r w:rsidRPr="0031660E">
        <w:rPr>
          <w:rFonts w:ascii="Calibri" w:eastAsia="Times New Roman" w:hAnsi="Calibri" w:cs="Times New Roman"/>
        </w:rPr>
        <w:t xml:space="preserve"> compliance </w:t>
      </w:r>
      <w:proofErr w:type="gramStart"/>
      <w:r w:rsidRPr="0031660E">
        <w:rPr>
          <w:rFonts w:ascii="Calibri" w:eastAsia="Times New Roman" w:hAnsi="Calibri" w:cs="Times New Roman"/>
        </w:rPr>
        <w:t>capability;</w:t>
      </w:r>
      <w:proofErr w:type="gramEnd"/>
    </w:p>
    <w:p w14:paraId="17C49492" w14:textId="77777777"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commission, coordination and/or undertaking of post-listing reviews where required; and</w:t>
      </w:r>
    </w:p>
    <w:p w14:paraId="6B847104" w14:textId="53BEC9E4" w:rsidR="004F2EFF" w:rsidRPr="0031660E" w:rsidRDefault="004F2EFF"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depreciation of IT systems used in the administration of the P</w:t>
      </w:r>
      <w:r w:rsidR="000E07AB" w:rsidRPr="0031660E">
        <w:rPr>
          <w:rFonts w:ascii="Calibri" w:eastAsia="Times New Roman" w:hAnsi="Calibri" w:cs="Times New Roman"/>
        </w:rPr>
        <w:t xml:space="preserve">rescribed </w:t>
      </w:r>
      <w:r w:rsidRPr="0031660E">
        <w:rPr>
          <w:rFonts w:ascii="Calibri" w:eastAsia="Times New Roman" w:hAnsi="Calibri" w:cs="Times New Roman"/>
        </w:rPr>
        <w:t>L</w:t>
      </w:r>
      <w:r w:rsidR="000E07AB" w:rsidRPr="0031660E">
        <w:rPr>
          <w:rFonts w:ascii="Calibri" w:eastAsia="Times New Roman" w:hAnsi="Calibri" w:cs="Times New Roman"/>
        </w:rPr>
        <w:t>ist</w:t>
      </w:r>
      <w:r w:rsidRPr="0031660E">
        <w:rPr>
          <w:rFonts w:ascii="Calibri" w:eastAsia="Times New Roman" w:hAnsi="Calibri" w:cs="Times New Roman"/>
        </w:rPr>
        <w:t>.</w:t>
      </w:r>
    </w:p>
    <w:p w14:paraId="6820D511" w14:textId="79D40E65" w:rsidR="00C57671" w:rsidRPr="0031660E" w:rsidRDefault="004F2EFF" w:rsidP="002C5AE3">
      <w:pPr>
        <w:spacing w:before="120" w:after="120" w:line="240" w:lineRule="auto"/>
        <w:rPr>
          <w:rFonts w:ascii="Calibri" w:eastAsia="Times New Roman" w:hAnsi="Calibri" w:cs="Times New Roman"/>
        </w:rPr>
      </w:pPr>
      <w:r w:rsidRPr="0031660E">
        <w:rPr>
          <w:rFonts w:ascii="Calibri" w:eastAsia="Times New Roman" w:hAnsi="Calibri" w:cs="Times New Roman"/>
        </w:rPr>
        <w:t xml:space="preserve">These activities performed are not attributable to a specific sponsor. Under the </w:t>
      </w:r>
      <w:r w:rsidR="000E07AB" w:rsidRPr="0031660E">
        <w:rPr>
          <w:rFonts w:ascii="Calibri" w:eastAsia="Times New Roman" w:hAnsi="Calibri" w:cs="Times New Roman"/>
        </w:rPr>
        <w:t>AGCF</w:t>
      </w:r>
      <w:r w:rsidRPr="0031660E">
        <w:rPr>
          <w:rFonts w:ascii="Calibri" w:eastAsia="Times New Roman" w:hAnsi="Calibri" w:cs="Times New Roman"/>
        </w:rPr>
        <w:t>, these types of costs can be recovered as an annual levy</w:t>
      </w:r>
      <w:r w:rsidR="000E07AB" w:rsidRPr="0031660E">
        <w:rPr>
          <w:rFonts w:ascii="Calibri" w:eastAsia="Times New Roman" w:hAnsi="Calibri" w:cs="Times New Roman"/>
        </w:rPr>
        <w:t xml:space="preserve"> and will be payable by sponsors in accordance with the medical devices included on the Prescribed List</w:t>
      </w:r>
      <w:r w:rsidRPr="0031660E">
        <w:rPr>
          <w:rFonts w:ascii="Calibri" w:eastAsia="Times New Roman" w:hAnsi="Calibri" w:cs="Times New Roman"/>
        </w:rPr>
        <w:t xml:space="preserve">. As outlined in section </w:t>
      </w:r>
      <w:r w:rsidR="00503D3E" w:rsidRPr="0031660E">
        <w:rPr>
          <w:rFonts w:ascii="Calibri" w:eastAsia="Times New Roman" w:hAnsi="Calibri" w:cs="Times New Roman"/>
        </w:rPr>
        <w:t>2</w:t>
      </w:r>
      <w:r w:rsidRPr="0031660E">
        <w:rPr>
          <w:rFonts w:ascii="Calibri" w:eastAsia="Times New Roman" w:hAnsi="Calibri" w:cs="Times New Roman"/>
        </w:rPr>
        <w:t>.</w:t>
      </w:r>
      <w:r w:rsidR="00503D3E" w:rsidRPr="0031660E">
        <w:rPr>
          <w:rFonts w:ascii="Calibri" w:eastAsia="Times New Roman" w:hAnsi="Calibri" w:cs="Times New Roman"/>
        </w:rPr>
        <w:t>4</w:t>
      </w:r>
      <w:r w:rsidRPr="0031660E">
        <w:rPr>
          <w:rFonts w:ascii="Calibri" w:eastAsia="Times New Roman" w:hAnsi="Calibri" w:cs="Times New Roman"/>
        </w:rPr>
        <w:t>, charging for the cost recovery levy is expected to commence in the 2024-25 financial year. Once implemented, this fee will be payable once annually for each item (billing code) that a sponsor has listed on the P</w:t>
      </w:r>
      <w:r w:rsidR="000E07AB" w:rsidRPr="0031660E">
        <w:rPr>
          <w:rFonts w:ascii="Calibri" w:eastAsia="Times New Roman" w:hAnsi="Calibri" w:cs="Times New Roman"/>
        </w:rPr>
        <w:t xml:space="preserve">rescribed </w:t>
      </w:r>
      <w:r w:rsidRPr="0031660E">
        <w:rPr>
          <w:rFonts w:ascii="Calibri" w:eastAsia="Times New Roman" w:hAnsi="Calibri" w:cs="Times New Roman"/>
        </w:rPr>
        <w:t>L</w:t>
      </w:r>
      <w:r w:rsidR="000E07AB" w:rsidRPr="0031660E">
        <w:rPr>
          <w:rFonts w:ascii="Calibri" w:eastAsia="Times New Roman" w:hAnsi="Calibri" w:cs="Times New Roman"/>
        </w:rPr>
        <w:t>ist</w:t>
      </w:r>
      <w:r w:rsidRPr="0031660E">
        <w:rPr>
          <w:rFonts w:ascii="Calibri" w:eastAsia="Times New Roman" w:hAnsi="Calibri" w:cs="Times New Roman"/>
        </w:rPr>
        <w:t xml:space="preserve">. </w:t>
      </w:r>
    </w:p>
    <w:p w14:paraId="484FC2E7" w14:textId="3D5E5E58" w:rsidR="00C53B44" w:rsidRPr="0031660E" w:rsidRDefault="000A0ED1" w:rsidP="008F3A8B">
      <w:pPr>
        <w:pStyle w:val="Heading11"/>
        <w:rPr>
          <w:rFonts w:ascii="Calibri" w:hAnsi="Calibri"/>
        </w:rPr>
      </w:pPr>
      <w:r w:rsidRPr="0031660E">
        <w:t>POLICY AND STATUTORY AUTHORITY TO COST RECOVER</w:t>
      </w:r>
    </w:p>
    <w:p w14:paraId="68B01862" w14:textId="016544D0" w:rsidR="00313AFA" w:rsidRPr="0031660E" w:rsidRDefault="00313AFA" w:rsidP="000A0ED1">
      <w:pPr>
        <w:pStyle w:val="Heading2"/>
      </w:pPr>
      <w:r w:rsidRPr="0031660E">
        <w:t>What policy outcomes will the activity achieve?</w:t>
      </w:r>
    </w:p>
    <w:p w14:paraId="46A45B4A" w14:textId="44DFDC20" w:rsidR="00313AFA" w:rsidRPr="0031660E" w:rsidRDefault="004C1E04" w:rsidP="00313AFA">
      <w:pPr>
        <w:spacing w:before="120" w:after="120" w:line="240" w:lineRule="auto"/>
        <w:rPr>
          <w:rFonts w:ascii="Calibri" w:eastAsia="Times New Roman" w:hAnsi="Calibri" w:cs="Times New Roman"/>
        </w:rPr>
      </w:pPr>
      <w:r w:rsidRPr="0031660E">
        <w:rPr>
          <w:rFonts w:ascii="Calibri" w:eastAsia="Times New Roman" w:hAnsi="Calibri" w:cs="Times New Roman"/>
        </w:rPr>
        <w:t xml:space="preserve">The </w:t>
      </w:r>
      <w:r w:rsidR="00C56842" w:rsidRPr="0031660E">
        <w:rPr>
          <w:rFonts w:ascii="Calibri" w:eastAsia="Times New Roman" w:hAnsi="Calibri" w:cs="Times New Roman"/>
        </w:rPr>
        <w:t xml:space="preserve">activities </w:t>
      </w:r>
      <w:r w:rsidRPr="0031660E">
        <w:rPr>
          <w:rFonts w:ascii="Calibri" w:eastAsia="Times New Roman" w:hAnsi="Calibri" w:cs="Times New Roman"/>
        </w:rPr>
        <w:t>are appropriate for cost recovery for the following reasons:</w:t>
      </w:r>
    </w:p>
    <w:p w14:paraId="2A4F111B" w14:textId="078151F3" w:rsidR="00313AFA" w:rsidRPr="0031660E" w:rsidRDefault="004C1E04" w:rsidP="00F232FD">
      <w:pPr>
        <w:pStyle w:val="ListParagraph"/>
        <w:numPr>
          <w:ilvl w:val="0"/>
          <w:numId w:val="7"/>
        </w:numPr>
        <w:spacing w:before="120" w:after="120" w:line="240" w:lineRule="auto"/>
        <w:rPr>
          <w:rFonts w:ascii="Calibri" w:eastAsia="Times New Roman" w:hAnsi="Calibri" w:cs="Times New Roman"/>
        </w:rPr>
      </w:pPr>
      <w:bookmarkStart w:id="1" w:name="_Hlk100129100"/>
      <w:r w:rsidRPr="0031660E">
        <w:rPr>
          <w:rFonts w:ascii="Calibri" w:eastAsia="Times New Roman" w:hAnsi="Calibri" w:cs="Times New Roman"/>
        </w:rPr>
        <w:t>They</w:t>
      </w:r>
      <w:r w:rsidR="00313AFA" w:rsidRPr="0031660E">
        <w:rPr>
          <w:rFonts w:ascii="Calibri" w:eastAsia="Times New Roman" w:hAnsi="Calibri" w:cs="Times New Roman"/>
        </w:rPr>
        <w:t xml:space="preserve"> provide an important means of improving the efficiency and equity with which Government services are </w:t>
      </w:r>
      <w:proofErr w:type="gramStart"/>
      <w:r w:rsidR="00313AFA" w:rsidRPr="0031660E">
        <w:rPr>
          <w:rFonts w:ascii="Calibri" w:eastAsia="Times New Roman" w:hAnsi="Calibri" w:cs="Times New Roman"/>
        </w:rPr>
        <w:t>provided</w:t>
      </w:r>
      <w:r w:rsidRPr="0031660E">
        <w:rPr>
          <w:rFonts w:ascii="Calibri" w:eastAsia="Times New Roman" w:hAnsi="Calibri" w:cs="Times New Roman"/>
        </w:rPr>
        <w:t>;</w:t>
      </w:r>
      <w:proofErr w:type="gramEnd"/>
    </w:p>
    <w:p w14:paraId="36500FE0" w14:textId="12152641" w:rsidR="00313AFA" w:rsidRPr="0031660E" w:rsidRDefault="004C1E04"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The c</w:t>
      </w:r>
      <w:r w:rsidR="00313AFA" w:rsidRPr="0031660E">
        <w:rPr>
          <w:rFonts w:ascii="Calibri" w:eastAsia="Times New Roman" w:hAnsi="Calibri" w:cs="Times New Roman"/>
        </w:rPr>
        <w:t>harging of fees</w:t>
      </w:r>
      <w:r w:rsidRPr="0031660E">
        <w:rPr>
          <w:rFonts w:ascii="Calibri" w:eastAsia="Times New Roman" w:hAnsi="Calibri" w:cs="Times New Roman"/>
        </w:rPr>
        <w:t xml:space="preserve"> and the levy</w:t>
      </w:r>
      <w:r w:rsidR="00313AFA" w:rsidRPr="0031660E">
        <w:rPr>
          <w:rFonts w:ascii="Calibri" w:eastAsia="Times New Roman" w:hAnsi="Calibri" w:cs="Times New Roman"/>
        </w:rPr>
        <w:t xml:space="preserve"> sends price signals to individuals or groups about the cost or value of a government </w:t>
      </w:r>
      <w:proofErr w:type="gramStart"/>
      <w:r w:rsidR="00313AFA" w:rsidRPr="0031660E">
        <w:rPr>
          <w:rFonts w:ascii="Calibri" w:eastAsia="Times New Roman" w:hAnsi="Calibri" w:cs="Times New Roman"/>
        </w:rPr>
        <w:t>activity</w:t>
      </w:r>
      <w:r w:rsidRPr="0031660E">
        <w:rPr>
          <w:rFonts w:ascii="Calibri" w:eastAsia="Times New Roman" w:hAnsi="Calibri" w:cs="Times New Roman"/>
        </w:rPr>
        <w:t>;</w:t>
      </w:r>
      <w:proofErr w:type="gramEnd"/>
    </w:p>
    <w:p w14:paraId="670F6B68" w14:textId="15E692BA" w:rsidR="004C1E04" w:rsidRPr="0031660E" w:rsidRDefault="00313AFA"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The services are requested by an identifiable group of parties who cause regulatory effort for the listing of their products on the P</w:t>
      </w:r>
      <w:r w:rsidR="00C01401" w:rsidRPr="0031660E">
        <w:rPr>
          <w:rFonts w:ascii="Calibri" w:eastAsia="Times New Roman" w:hAnsi="Calibri" w:cs="Times New Roman"/>
        </w:rPr>
        <w:t xml:space="preserve">rescribed </w:t>
      </w:r>
      <w:proofErr w:type="gramStart"/>
      <w:r w:rsidRPr="0031660E">
        <w:rPr>
          <w:rFonts w:ascii="Calibri" w:eastAsia="Times New Roman" w:hAnsi="Calibri" w:cs="Times New Roman"/>
        </w:rPr>
        <w:t>L</w:t>
      </w:r>
      <w:r w:rsidR="00C01401" w:rsidRPr="0031660E">
        <w:rPr>
          <w:rFonts w:ascii="Calibri" w:eastAsia="Times New Roman" w:hAnsi="Calibri" w:cs="Times New Roman"/>
        </w:rPr>
        <w:t>ist</w:t>
      </w:r>
      <w:r w:rsidR="004C1E04" w:rsidRPr="0031660E">
        <w:rPr>
          <w:rFonts w:ascii="Calibri" w:eastAsia="Times New Roman" w:hAnsi="Calibri" w:cs="Times New Roman"/>
        </w:rPr>
        <w:t>;</w:t>
      </w:r>
      <w:proofErr w:type="gramEnd"/>
    </w:p>
    <w:p w14:paraId="387DE0C3" w14:textId="60D83F73" w:rsidR="00313AFA" w:rsidRPr="0031660E" w:rsidRDefault="004C1E04"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The charging of fees and the levy supports the ongoing sustainability of the P</w:t>
      </w:r>
      <w:r w:rsidR="00C01401" w:rsidRPr="0031660E">
        <w:rPr>
          <w:rFonts w:ascii="Calibri" w:eastAsia="Times New Roman" w:hAnsi="Calibri" w:cs="Times New Roman"/>
        </w:rPr>
        <w:t xml:space="preserve">rescribed </w:t>
      </w:r>
      <w:r w:rsidRPr="0031660E">
        <w:rPr>
          <w:rFonts w:ascii="Calibri" w:eastAsia="Times New Roman" w:hAnsi="Calibri" w:cs="Times New Roman"/>
        </w:rPr>
        <w:t>L</w:t>
      </w:r>
      <w:r w:rsidR="00C01401" w:rsidRPr="0031660E">
        <w:rPr>
          <w:rFonts w:ascii="Calibri" w:eastAsia="Times New Roman" w:hAnsi="Calibri" w:cs="Times New Roman"/>
        </w:rPr>
        <w:t>ist</w:t>
      </w:r>
      <w:r w:rsidRPr="0031660E">
        <w:rPr>
          <w:rFonts w:ascii="Calibri" w:eastAsia="Times New Roman" w:hAnsi="Calibri" w:cs="Times New Roman"/>
        </w:rPr>
        <w:t xml:space="preserve"> as a regulatory activity.</w:t>
      </w:r>
    </w:p>
    <w:p w14:paraId="63080E57" w14:textId="2E737C57" w:rsidR="004C1E04" w:rsidRPr="0031660E" w:rsidRDefault="00184CF1" w:rsidP="004C1E04">
      <w:pPr>
        <w:spacing w:before="120" w:after="120" w:line="240" w:lineRule="auto"/>
        <w:rPr>
          <w:rFonts w:ascii="Calibri" w:eastAsia="Times New Roman" w:hAnsi="Calibri" w:cs="Times New Roman"/>
        </w:rPr>
      </w:pPr>
      <w:r w:rsidRPr="0031660E">
        <w:rPr>
          <w:rFonts w:ascii="Calibri" w:eastAsia="Times New Roman" w:hAnsi="Calibri" w:cs="Times New Roman"/>
        </w:rPr>
        <w:t>This CRIS describes the cost recoverable activities that have contributed to the achievement of Outcome 2 (Program 2.4) as outlined in the 2022-23 Health Portfolio Budget Statement</w:t>
      </w:r>
      <w:r w:rsidR="00E86BC8" w:rsidRPr="0031660E">
        <w:rPr>
          <w:rStyle w:val="FootnoteReference"/>
          <w:rFonts w:ascii="Calibri" w:eastAsia="Times New Roman" w:hAnsi="Calibri" w:cs="Times New Roman"/>
        </w:rPr>
        <w:footnoteReference w:id="4"/>
      </w:r>
      <w:r w:rsidRPr="0031660E">
        <w:rPr>
          <w:rFonts w:ascii="Calibri" w:eastAsia="Times New Roman" w:hAnsi="Calibri" w:cs="Times New Roman"/>
        </w:rPr>
        <w:t>.</w:t>
      </w:r>
    </w:p>
    <w:p w14:paraId="323C62B3" w14:textId="272FB067" w:rsidR="00B432DE" w:rsidRPr="0031660E" w:rsidRDefault="00B432DE" w:rsidP="00B432DE">
      <w:pPr>
        <w:spacing w:before="120" w:after="120" w:line="240" w:lineRule="auto"/>
        <w:rPr>
          <w:rFonts w:ascii="Calibri" w:eastAsia="Times New Roman" w:hAnsi="Calibri" w:cs="Times New Roman"/>
          <w:u w:val="single"/>
        </w:rPr>
      </w:pPr>
      <w:r w:rsidRPr="0031660E">
        <w:rPr>
          <w:rFonts w:ascii="Calibri" w:eastAsia="Times New Roman" w:hAnsi="Calibri" w:cs="Times New Roman"/>
          <w:u w:val="single"/>
        </w:rPr>
        <w:t>Outcome 2: Individual Health Benefits</w:t>
      </w:r>
    </w:p>
    <w:p w14:paraId="6A785A07" w14:textId="6E2FFD70" w:rsidR="00B432DE" w:rsidRPr="0031660E" w:rsidRDefault="00B432DE" w:rsidP="00F232FD">
      <w:pPr>
        <w:pStyle w:val="ListParagraph"/>
        <w:numPr>
          <w:ilvl w:val="0"/>
          <w:numId w:val="7"/>
        </w:numPr>
        <w:spacing w:before="120" w:after="120" w:line="240" w:lineRule="auto"/>
        <w:rPr>
          <w:rFonts w:ascii="Calibri" w:eastAsia="Times New Roman" w:hAnsi="Calibri" w:cs="Times New Roman"/>
        </w:rPr>
      </w:pPr>
      <w:r w:rsidRPr="0031660E">
        <w:rPr>
          <w:rFonts w:ascii="Calibri" w:eastAsia="Times New Roman" w:hAnsi="Calibri" w:cs="Times New Roman"/>
        </w:rPr>
        <w:t>Ensuring improved access for all Australians to cost-effective and affordable medicines, medical, dental and hearing services; improved choice in healthcare services, through guaranteeing Medicare and the Pharmaceutical Benefits Scheme; supporting targeted assistance strategies and private health insurance.</w:t>
      </w:r>
    </w:p>
    <w:p w14:paraId="57A0A254" w14:textId="6A0156E0" w:rsidR="00B432DE" w:rsidRPr="0031660E" w:rsidRDefault="00B432DE" w:rsidP="00B432DE">
      <w:pPr>
        <w:spacing w:before="120" w:after="120" w:line="240" w:lineRule="auto"/>
        <w:rPr>
          <w:rFonts w:ascii="Calibri" w:eastAsia="Times New Roman" w:hAnsi="Calibri" w:cs="Times New Roman"/>
          <w:u w:val="single"/>
        </w:rPr>
      </w:pPr>
      <w:r w:rsidRPr="0031660E">
        <w:rPr>
          <w:rFonts w:ascii="Calibri" w:eastAsia="Times New Roman" w:hAnsi="Calibri" w:cs="Times New Roman"/>
          <w:u w:val="single"/>
        </w:rPr>
        <w:t>Program 2.4: Private Health Insurance</w:t>
      </w:r>
    </w:p>
    <w:p w14:paraId="6BFCB5E0" w14:textId="630700DB" w:rsidR="00B432DE" w:rsidRPr="0031660E" w:rsidRDefault="00B432DE" w:rsidP="00F232FD">
      <w:pPr>
        <w:pStyle w:val="ListParagraph"/>
        <w:numPr>
          <w:ilvl w:val="0"/>
          <w:numId w:val="7"/>
        </w:numPr>
        <w:spacing w:before="120" w:after="120" w:line="240" w:lineRule="auto"/>
      </w:pPr>
      <w:r w:rsidRPr="0031660E">
        <w:rPr>
          <w:rFonts w:ascii="Calibri" w:eastAsia="Times New Roman" w:hAnsi="Calibri" w:cs="Times New Roman"/>
        </w:rPr>
        <w:t>Promote affordable, quality private health insurance and greater choice for consumers.</w:t>
      </w:r>
    </w:p>
    <w:p w14:paraId="66BD717A" w14:textId="59485DB6" w:rsidR="000A0ED1" w:rsidRPr="0031660E" w:rsidRDefault="00B432DE" w:rsidP="00F232FD">
      <w:pPr>
        <w:pStyle w:val="ListParagraph"/>
        <w:numPr>
          <w:ilvl w:val="1"/>
          <w:numId w:val="5"/>
        </w:numPr>
        <w:spacing w:before="120" w:after="120" w:line="240" w:lineRule="auto"/>
      </w:pPr>
      <w:r w:rsidRPr="0031660E">
        <w:t>Modernising and improving the Prostheses List to reduce the cost of medical devices for privately insured consumers, and to streamline access to new medical devices.</w:t>
      </w:r>
    </w:p>
    <w:bookmarkEnd w:id="1"/>
    <w:p w14:paraId="1CD34245" w14:textId="03D17087" w:rsidR="00E94271" w:rsidRPr="0031660E" w:rsidRDefault="00E94271" w:rsidP="000A0ED1">
      <w:pPr>
        <w:pStyle w:val="Heading2"/>
      </w:pPr>
      <w:r w:rsidRPr="0031660E">
        <w:lastRenderedPageBreak/>
        <w:t>Who will pay the regulatory charges?</w:t>
      </w:r>
    </w:p>
    <w:p w14:paraId="0E15CD6E" w14:textId="73F87B4B" w:rsidR="002E38BA" w:rsidRPr="0031660E" w:rsidRDefault="000E07AB" w:rsidP="002E38BA">
      <w:pPr>
        <w:spacing w:before="120" w:after="0" w:line="240" w:lineRule="auto"/>
        <w:rPr>
          <w:rFonts w:ascii="Calibri" w:eastAsia="Times New Roman" w:hAnsi="Calibri" w:cs="Times New Roman"/>
        </w:rPr>
      </w:pPr>
      <w:r w:rsidRPr="0031660E">
        <w:rPr>
          <w:rFonts w:ascii="Calibri" w:eastAsia="Times New Roman" w:hAnsi="Calibri" w:cs="Times New Roman"/>
        </w:rPr>
        <w:t>The applicants</w:t>
      </w:r>
      <w:r w:rsidR="005E65D5" w:rsidRPr="0031660E">
        <w:rPr>
          <w:rFonts w:ascii="Calibri" w:eastAsia="Times New Roman" w:hAnsi="Calibri" w:cs="Times New Roman"/>
        </w:rPr>
        <w:t>,</w:t>
      </w:r>
      <w:r w:rsidRPr="0031660E">
        <w:rPr>
          <w:rFonts w:ascii="Calibri" w:eastAsia="Times New Roman" w:hAnsi="Calibri" w:cs="Times New Roman"/>
        </w:rPr>
        <w:t xml:space="preserve"> </w:t>
      </w:r>
      <w:r w:rsidR="005E65D5" w:rsidRPr="0031660E">
        <w:rPr>
          <w:rFonts w:ascii="Calibri" w:eastAsia="Times New Roman" w:hAnsi="Calibri" w:cs="Times New Roman"/>
        </w:rPr>
        <w:t>m</w:t>
      </w:r>
      <w:r w:rsidR="002E38BA" w:rsidRPr="0031660E">
        <w:rPr>
          <w:rFonts w:ascii="Calibri" w:eastAsia="Times New Roman" w:hAnsi="Calibri" w:cs="Times New Roman"/>
        </w:rPr>
        <w:t xml:space="preserve">edical device companies and suppliers (collectively referred to as </w:t>
      </w:r>
      <w:r w:rsidR="00C01401" w:rsidRPr="0031660E">
        <w:rPr>
          <w:rFonts w:ascii="Calibri" w:eastAsia="Times New Roman" w:hAnsi="Calibri" w:cs="Times New Roman"/>
        </w:rPr>
        <w:t xml:space="preserve">applicants or </w:t>
      </w:r>
      <w:r w:rsidR="002E38BA" w:rsidRPr="0031660E">
        <w:rPr>
          <w:rFonts w:ascii="Calibri" w:eastAsia="Times New Roman" w:hAnsi="Calibri" w:cs="Times New Roman"/>
        </w:rPr>
        <w:t>sponsors)</w:t>
      </w:r>
      <w:r w:rsidR="005E65D5" w:rsidRPr="0031660E">
        <w:rPr>
          <w:rFonts w:ascii="Calibri" w:eastAsia="Times New Roman" w:hAnsi="Calibri" w:cs="Times New Roman"/>
        </w:rPr>
        <w:t>,</w:t>
      </w:r>
      <w:r w:rsidR="002E38BA" w:rsidRPr="0031660E">
        <w:rPr>
          <w:rFonts w:ascii="Calibri" w:eastAsia="Times New Roman" w:hAnsi="Calibri" w:cs="Times New Roman"/>
        </w:rPr>
        <w:t xml:space="preserve"> </w:t>
      </w:r>
      <w:r w:rsidRPr="0031660E">
        <w:rPr>
          <w:rFonts w:ascii="Calibri" w:eastAsia="Times New Roman" w:hAnsi="Calibri" w:cs="Times New Roman"/>
        </w:rPr>
        <w:t xml:space="preserve">who </w:t>
      </w:r>
      <w:r w:rsidR="002E38BA" w:rsidRPr="0031660E">
        <w:rPr>
          <w:rFonts w:ascii="Calibri" w:eastAsia="Times New Roman" w:hAnsi="Calibri" w:cs="Times New Roman"/>
        </w:rPr>
        <w:t xml:space="preserve">apply to list </w:t>
      </w:r>
      <w:r w:rsidR="0050161C" w:rsidRPr="0031660E">
        <w:rPr>
          <w:rFonts w:ascii="Calibri" w:eastAsia="Times New Roman" w:hAnsi="Calibri" w:cs="Times New Roman"/>
        </w:rPr>
        <w:t xml:space="preserve">medical devices and human tissue products </w:t>
      </w:r>
      <w:r w:rsidR="002E38BA" w:rsidRPr="0031660E">
        <w:rPr>
          <w:rFonts w:ascii="Calibri" w:eastAsia="Times New Roman" w:hAnsi="Calibri" w:cs="Times New Roman"/>
        </w:rPr>
        <w:t xml:space="preserve">on the </w:t>
      </w:r>
      <w:r w:rsidR="00184CF1" w:rsidRPr="0031660E">
        <w:rPr>
          <w:rFonts w:ascii="Calibri" w:eastAsia="Times New Roman" w:hAnsi="Calibri" w:cs="Times New Roman"/>
        </w:rPr>
        <w:t>P</w:t>
      </w:r>
      <w:r w:rsidRPr="0031660E">
        <w:rPr>
          <w:rFonts w:ascii="Calibri" w:eastAsia="Times New Roman" w:hAnsi="Calibri" w:cs="Times New Roman"/>
        </w:rPr>
        <w:t xml:space="preserve">rescribed </w:t>
      </w:r>
      <w:r w:rsidR="00184CF1" w:rsidRPr="0031660E">
        <w:rPr>
          <w:rFonts w:ascii="Calibri" w:eastAsia="Times New Roman" w:hAnsi="Calibri" w:cs="Times New Roman"/>
        </w:rPr>
        <w:t>L</w:t>
      </w:r>
      <w:r w:rsidRPr="0031660E">
        <w:rPr>
          <w:rFonts w:ascii="Calibri" w:eastAsia="Times New Roman" w:hAnsi="Calibri" w:cs="Times New Roman"/>
        </w:rPr>
        <w:t>ist</w:t>
      </w:r>
      <w:r w:rsidR="00184CF1" w:rsidRPr="0031660E">
        <w:rPr>
          <w:rFonts w:ascii="Calibri" w:eastAsia="Times New Roman" w:hAnsi="Calibri" w:cs="Times New Roman"/>
        </w:rPr>
        <w:t xml:space="preserve"> </w:t>
      </w:r>
      <w:r w:rsidR="002E38BA" w:rsidRPr="0031660E">
        <w:rPr>
          <w:rFonts w:ascii="Calibri" w:eastAsia="Times New Roman" w:hAnsi="Calibri" w:cs="Times New Roman"/>
        </w:rPr>
        <w:t xml:space="preserve">so </w:t>
      </w:r>
      <w:r w:rsidR="00D17E3F" w:rsidRPr="0031660E">
        <w:rPr>
          <w:rFonts w:ascii="Calibri" w:eastAsia="Times New Roman" w:hAnsi="Calibri" w:cs="Times New Roman"/>
        </w:rPr>
        <w:t xml:space="preserve">that </w:t>
      </w:r>
      <w:r w:rsidR="002E38BA" w:rsidRPr="0031660E">
        <w:rPr>
          <w:rFonts w:ascii="Calibri" w:eastAsia="Times New Roman" w:hAnsi="Calibri" w:cs="Times New Roman"/>
        </w:rPr>
        <w:t>the listed item may be reimbursed by private health insurers</w:t>
      </w:r>
      <w:r w:rsidR="00D17E3F" w:rsidRPr="0031660E">
        <w:rPr>
          <w:rFonts w:ascii="Calibri" w:eastAsia="Times New Roman" w:hAnsi="Calibri" w:cs="Times New Roman"/>
        </w:rPr>
        <w:t>,</w:t>
      </w:r>
      <w:r w:rsidR="00C01401" w:rsidRPr="0031660E">
        <w:rPr>
          <w:rFonts w:ascii="Calibri" w:eastAsia="Times New Roman" w:hAnsi="Calibri" w:cs="Times New Roman"/>
        </w:rPr>
        <w:t xml:space="preserve"> will be liable to pay any relevant cost recovery fees and levies</w:t>
      </w:r>
      <w:r w:rsidR="002E38BA" w:rsidRPr="0031660E">
        <w:rPr>
          <w:rFonts w:ascii="Calibri" w:eastAsia="Times New Roman" w:hAnsi="Calibri" w:cs="Times New Roman"/>
        </w:rPr>
        <w:t>. Through this process, sponsors effectively gain access to the private health market.</w:t>
      </w:r>
    </w:p>
    <w:p w14:paraId="1BF9123A" w14:textId="5FEEA8F6" w:rsidR="0029094E" w:rsidRPr="0031660E" w:rsidRDefault="00E94271" w:rsidP="00AF686A">
      <w:pPr>
        <w:pStyle w:val="Paragraphtext"/>
        <w:spacing w:after="240"/>
        <w:rPr>
          <w:rFonts w:asciiTheme="minorHAnsi" w:hAnsiTheme="minorHAnsi" w:cstheme="minorHAnsi"/>
          <w:color w:val="auto"/>
          <w:sz w:val="22"/>
          <w:szCs w:val="22"/>
        </w:rPr>
      </w:pPr>
      <w:r w:rsidRPr="0031660E">
        <w:rPr>
          <w:rFonts w:asciiTheme="minorHAnsi" w:hAnsiTheme="minorHAnsi" w:cstheme="minorHAnsi"/>
          <w:color w:val="auto"/>
          <w:sz w:val="22"/>
          <w:szCs w:val="22"/>
        </w:rPr>
        <w:t xml:space="preserve">All </w:t>
      </w:r>
      <w:r w:rsidR="00821DAA" w:rsidRPr="0031660E">
        <w:rPr>
          <w:rFonts w:asciiTheme="minorHAnsi" w:hAnsiTheme="minorHAnsi" w:cstheme="minorHAnsi"/>
          <w:color w:val="auto"/>
          <w:sz w:val="22"/>
          <w:szCs w:val="22"/>
        </w:rPr>
        <w:t xml:space="preserve">sponsors who apply to list </w:t>
      </w:r>
      <w:r w:rsidR="0029094E" w:rsidRPr="0031660E">
        <w:rPr>
          <w:rFonts w:asciiTheme="minorHAnsi" w:hAnsiTheme="minorHAnsi" w:cstheme="minorHAnsi"/>
          <w:color w:val="auto"/>
          <w:sz w:val="22"/>
          <w:szCs w:val="22"/>
        </w:rPr>
        <w:t xml:space="preserve">or vary </w:t>
      </w:r>
      <w:r w:rsidR="00821DAA" w:rsidRPr="0031660E">
        <w:rPr>
          <w:rFonts w:asciiTheme="minorHAnsi" w:hAnsiTheme="minorHAnsi" w:cstheme="minorHAnsi"/>
          <w:color w:val="auto"/>
          <w:sz w:val="22"/>
          <w:szCs w:val="22"/>
        </w:rPr>
        <w:t>a</w:t>
      </w:r>
      <w:r w:rsidR="0029094E" w:rsidRPr="0031660E">
        <w:rPr>
          <w:rFonts w:asciiTheme="minorHAnsi" w:hAnsiTheme="minorHAnsi" w:cstheme="minorHAnsi"/>
          <w:color w:val="auto"/>
          <w:sz w:val="22"/>
          <w:szCs w:val="22"/>
        </w:rPr>
        <w:t xml:space="preserve">n item </w:t>
      </w:r>
      <w:r w:rsidR="00821DAA" w:rsidRPr="0031660E">
        <w:rPr>
          <w:rFonts w:asciiTheme="minorHAnsi" w:hAnsiTheme="minorHAnsi" w:cstheme="minorHAnsi"/>
          <w:color w:val="auto"/>
          <w:sz w:val="22"/>
          <w:szCs w:val="22"/>
        </w:rPr>
        <w:t>on the P</w:t>
      </w:r>
      <w:r w:rsidR="000E07AB" w:rsidRPr="0031660E">
        <w:rPr>
          <w:rFonts w:asciiTheme="minorHAnsi" w:hAnsiTheme="minorHAnsi" w:cstheme="minorHAnsi"/>
          <w:color w:val="auto"/>
          <w:sz w:val="22"/>
          <w:szCs w:val="22"/>
        </w:rPr>
        <w:t xml:space="preserve">rescribed </w:t>
      </w:r>
      <w:r w:rsidR="00821DAA" w:rsidRPr="0031660E">
        <w:rPr>
          <w:rFonts w:asciiTheme="minorHAnsi" w:hAnsiTheme="minorHAnsi" w:cstheme="minorHAnsi"/>
          <w:color w:val="auto"/>
          <w:sz w:val="22"/>
          <w:szCs w:val="22"/>
        </w:rPr>
        <w:t>L</w:t>
      </w:r>
      <w:r w:rsidR="000E07AB" w:rsidRPr="0031660E">
        <w:rPr>
          <w:rFonts w:asciiTheme="minorHAnsi" w:hAnsiTheme="minorHAnsi" w:cstheme="minorHAnsi"/>
          <w:color w:val="auto"/>
          <w:sz w:val="22"/>
          <w:szCs w:val="22"/>
        </w:rPr>
        <w:t>ist</w:t>
      </w:r>
      <w:r w:rsidR="00821DAA" w:rsidRPr="0031660E">
        <w:rPr>
          <w:rFonts w:asciiTheme="minorHAnsi" w:hAnsiTheme="minorHAnsi" w:cstheme="minorHAnsi"/>
          <w:color w:val="auto"/>
          <w:sz w:val="22"/>
          <w:szCs w:val="22"/>
        </w:rPr>
        <w:t xml:space="preserve"> </w:t>
      </w:r>
      <w:r w:rsidRPr="0031660E">
        <w:rPr>
          <w:rFonts w:asciiTheme="minorHAnsi" w:hAnsiTheme="minorHAnsi" w:cstheme="minorHAnsi"/>
          <w:color w:val="auto"/>
          <w:sz w:val="22"/>
          <w:szCs w:val="22"/>
        </w:rPr>
        <w:t>are charged fees for services provided</w:t>
      </w:r>
      <w:r w:rsidR="0029094E" w:rsidRPr="0031660E">
        <w:rPr>
          <w:rFonts w:asciiTheme="minorHAnsi" w:hAnsiTheme="minorHAnsi" w:cstheme="minorHAnsi"/>
          <w:color w:val="auto"/>
          <w:sz w:val="22"/>
          <w:szCs w:val="22"/>
        </w:rPr>
        <w:t>. Sponsors will also be required to pay for the general administration and management of the P</w:t>
      </w:r>
      <w:r w:rsidR="000E07AB" w:rsidRPr="0031660E">
        <w:rPr>
          <w:rFonts w:asciiTheme="minorHAnsi" w:hAnsiTheme="minorHAnsi" w:cstheme="minorHAnsi"/>
          <w:color w:val="auto"/>
          <w:sz w:val="22"/>
          <w:szCs w:val="22"/>
        </w:rPr>
        <w:t xml:space="preserve">rescribed </w:t>
      </w:r>
      <w:r w:rsidR="0029094E" w:rsidRPr="0031660E">
        <w:rPr>
          <w:rFonts w:asciiTheme="minorHAnsi" w:hAnsiTheme="minorHAnsi" w:cstheme="minorHAnsi"/>
          <w:color w:val="auto"/>
          <w:sz w:val="22"/>
          <w:szCs w:val="22"/>
        </w:rPr>
        <w:t>L</w:t>
      </w:r>
      <w:r w:rsidR="000E07AB" w:rsidRPr="0031660E">
        <w:rPr>
          <w:rFonts w:asciiTheme="minorHAnsi" w:hAnsiTheme="minorHAnsi" w:cstheme="minorHAnsi"/>
          <w:color w:val="auto"/>
          <w:sz w:val="22"/>
          <w:szCs w:val="22"/>
        </w:rPr>
        <w:t>ist</w:t>
      </w:r>
      <w:r w:rsidR="0029094E" w:rsidRPr="0031660E">
        <w:rPr>
          <w:rFonts w:asciiTheme="minorHAnsi" w:hAnsiTheme="minorHAnsi" w:cstheme="minorHAnsi"/>
          <w:color w:val="auto"/>
          <w:sz w:val="22"/>
          <w:szCs w:val="22"/>
        </w:rPr>
        <w:t xml:space="preserve"> through an annual </w:t>
      </w:r>
      <w:r w:rsidR="000E07AB" w:rsidRPr="0031660E">
        <w:rPr>
          <w:rFonts w:asciiTheme="minorHAnsi" w:hAnsiTheme="minorHAnsi" w:cstheme="minorHAnsi"/>
          <w:color w:val="auto"/>
          <w:sz w:val="22"/>
          <w:szCs w:val="22"/>
        </w:rPr>
        <w:t>c</w:t>
      </w:r>
      <w:r w:rsidR="0029094E" w:rsidRPr="0031660E">
        <w:rPr>
          <w:rFonts w:asciiTheme="minorHAnsi" w:hAnsiTheme="minorHAnsi" w:cstheme="minorHAnsi"/>
          <w:color w:val="auto"/>
          <w:sz w:val="22"/>
          <w:szCs w:val="22"/>
        </w:rPr>
        <w:t xml:space="preserve">ost </w:t>
      </w:r>
      <w:r w:rsidR="000E07AB" w:rsidRPr="0031660E">
        <w:rPr>
          <w:rFonts w:asciiTheme="minorHAnsi" w:hAnsiTheme="minorHAnsi" w:cstheme="minorHAnsi"/>
          <w:color w:val="auto"/>
          <w:sz w:val="22"/>
          <w:szCs w:val="22"/>
        </w:rPr>
        <w:t>r</w:t>
      </w:r>
      <w:r w:rsidR="0029094E" w:rsidRPr="0031660E">
        <w:rPr>
          <w:rFonts w:asciiTheme="minorHAnsi" w:hAnsiTheme="minorHAnsi" w:cstheme="minorHAnsi"/>
          <w:color w:val="auto"/>
          <w:sz w:val="22"/>
          <w:szCs w:val="22"/>
        </w:rPr>
        <w:t xml:space="preserve">ecovery </w:t>
      </w:r>
      <w:r w:rsidR="000E07AB" w:rsidRPr="0031660E">
        <w:rPr>
          <w:rFonts w:asciiTheme="minorHAnsi" w:hAnsiTheme="minorHAnsi" w:cstheme="minorHAnsi"/>
          <w:color w:val="auto"/>
          <w:sz w:val="22"/>
          <w:szCs w:val="22"/>
        </w:rPr>
        <w:t>l</w:t>
      </w:r>
      <w:r w:rsidR="0029094E" w:rsidRPr="0031660E">
        <w:rPr>
          <w:rFonts w:asciiTheme="minorHAnsi" w:hAnsiTheme="minorHAnsi" w:cstheme="minorHAnsi"/>
          <w:color w:val="auto"/>
          <w:sz w:val="22"/>
          <w:szCs w:val="22"/>
        </w:rPr>
        <w:t>evy for each item listed on the P</w:t>
      </w:r>
      <w:r w:rsidR="000E07AB" w:rsidRPr="0031660E">
        <w:rPr>
          <w:rFonts w:asciiTheme="minorHAnsi" w:hAnsiTheme="minorHAnsi" w:cstheme="minorHAnsi"/>
          <w:color w:val="auto"/>
          <w:sz w:val="22"/>
          <w:szCs w:val="22"/>
        </w:rPr>
        <w:t xml:space="preserve">rescribed </w:t>
      </w:r>
      <w:r w:rsidR="0029094E" w:rsidRPr="0031660E">
        <w:rPr>
          <w:rFonts w:asciiTheme="minorHAnsi" w:hAnsiTheme="minorHAnsi" w:cstheme="minorHAnsi"/>
          <w:color w:val="auto"/>
          <w:sz w:val="22"/>
          <w:szCs w:val="22"/>
        </w:rPr>
        <w:t>L</w:t>
      </w:r>
      <w:r w:rsidR="000E07AB" w:rsidRPr="0031660E">
        <w:rPr>
          <w:rFonts w:asciiTheme="minorHAnsi" w:hAnsiTheme="minorHAnsi" w:cstheme="minorHAnsi"/>
          <w:color w:val="auto"/>
          <w:sz w:val="22"/>
          <w:szCs w:val="22"/>
        </w:rPr>
        <w:t>ist</w:t>
      </w:r>
      <w:r w:rsidR="0029094E" w:rsidRPr="0031660E">
        <w:rPr>
          <w:rFonts w:asciiTheme="minorHAnsi" w:hAnsiTheme="minorHAnsi" w:cstheme="minorHAnsi"/>
          <w:color w:val="auto"/>
          <w:sz w:val="22"/>
          <w:szCs w:val="22"/>
        </w:rPr>
        <w:t>.</w:t>
      </w:r>
    </w:p>
    <w:p w14:paraId="0F68FCDA" w14:textId="6689541C" w:rsidR="001A1AD8" w:rsidRPr="0031660E" w:rsidRDefault="0029094E" w:rsidP="001A1AD8">
      <w:pPr>
        <w:pStyle w:val="Paragraphtext"/>
        <w:spacing w:after="240"/>
        <w:rPr>
          <w:rFonts w:asciiTheme="minorHAnsi" w:hAnsiTheme="minorHAnsi" w:cstheme="minorHAnsi"/>
          <w:color w:val="auto"/>
          <w:sz w:val="22"/>
          <w:szCs w:val="22"/>
        </w:rPr>
      </w:pPr>
      <w:r w:rsidRPr="0031660E">
        <w:rPr>
          <w:rFonts w:asciiTheme="minorHAnsi" w:hAnsiTheme="minorHAnsi" w:cstheme="minorHAnsi"/>
          <w:color w:val="auto"/>
          <w:sz w:val="22"/>
          <w:szCs w:val="22"/>
        </w:rPr>
        <w:t xml:space="preserve">There will be some circumstances where no cost recovery fee is payable. </w:t>
      </w:r>
      <w:r w:rsidR="00E94271" w:rsidRPr="0031660E">
        <w:rPr>
          <w:rFonts w:asciiTheme="minorHAnsi" w:hAnsiTheme="minorHAnsi" w:cstheme="minorHAnsi"/>
          <w:color w:val="auto"/>
          <w:sz w:val="22"/>
          <w:szCs w:val="22"/>
        </w:rPr>
        <w:t xml:space="preserve">Policies and processes relating to </w:t>
      </w:r>
      <w:r w:rsidRPr="0031660E">
        <w:rPr>
          <w:rFonts w:asciiTheme="minorHAnsi" w:hAnsiTheme="minorHAnsi" w:cstheme="minorHAnsi"/>
          <w:color w:val="auto"/>
          <w:sz w:val="22"/>
          <w:szCs w:val="22"/>
        </w:rPr>
        <w:t>circumstances where no cost recovery fee is payable</w:t>
      </w:r>
      <w:r w:rsidR="00E94271" w:rsidRPr="0031660E">
        <w:rPr>
          <w:rFonts w:asciiTheme="minorHAnsi" w:hAnsiTheme="minorHAnsi" w:cstheme="minorHAnsi"/>
          <w:color w:val="auto"/>
          <w:sz w:val="22"/>
          <w:szCs w:val="22"/>
        </w:rPr>
        <w:t xml:space="preserve"> have been approved by Government and are stipulated in the supporting regulations.</w:t>
      </w:r>
    </w:p>
    <w:p w14:paraId="02AD1AC0" w14:textId="77777777" w:rsidR="007D41D6" w:rsidRPr="0031660E" w:rsidRDefault="007D41D6" w:rsidP="001A1AD8">
      <w:pPr>
        <w:pStyle w:val="Heading2"/>
      </w:pPr>
      <w:r w:rsidRPr="0031660E">
        <w:t xml:space="preserve">Government policy approval to cost recover the </w:t>
      </w:r>
      <w:proofErr w:type="gramStart"/>
      <w:r w:rsidRPr="0031660E">
        <w:t>activity</w:t>
      </w:r>
      <w:proofErr w:type="gramEnd"/>
    </w:p>
    <w:p w14:paraId="4F551573" w14:textId="1B5F3BD7" w:rsidR="008C6DFC" w:rsidRPr="0031660E" w:rsidRDefault="008C6DFC" w:rsidP="008C6DFC">
      <w:pPr>
        <w:spacing w:before="120" w:after="120" w:line="240" w:lineRule="auto"/>
        <w:rPr>
          <w:rFonts w:ascii="Calibri" w:eastAsia="Times New Roman" w:hAnsi="Calibri" w:cs="Times New Roman"/>
        </w:rPr>
      </w:pPr>
      <w:r w:rsidRPr="0031660E">
        <w:rPr>
          <w:rFonts w:ascii="Calibri" w:eastAsia="Times New Roman" w:hAnsi="Calibri" w:cs="Times New Roman"/>
        </w:rPr>
        <w:t xml:space="preserve">Deregulation of private health insurance benefit setting in the early 2000s resulted in a significant increase in benefit payments through private health insurance arrangements. This </w:t>
      </w:r>
      <w:r w:rsidR="004060D2" w:rsidRPr="0031660E">
        <w:rPr>
          <w:rFonts w:ascii="Calibri" w:eastAsia="Times New Roman" w:hAnsi="Calibri" w:cs="Times New Roman"/>
        </w:rPr>
        <w:t>led to</w:t>
      </w:r>
      <w:r w:rsidRPr="0031660E">
        <w:rPr>
          <w:rFonts w:ascii="Calibri" w:eastAsia="Times New Roman" w:hAnsi="Calibri" w:cs="Times New Roman"/>
        </w:rPr>
        <w:t xml:space="preserve"> an increase to annual private health insurance premiums. To counteract this, a benefit setting mechanism was introduced to determine the amount private health insurers are legally bound to pay for prostheses benefits. The Prostheses List was established as the policy instrument </w:t>
      </w:r>
      <w:r w:rsidR="004060D2" w:rsidRPr="0031660E">
        <w:rPr>
          <w:rFonts w:ascii="Calibri" w:eastAsia="Times New Roman" w:hAnsi="Calibri" w:cs="Times New Roman"/>
        </w:rPr>
        <w:t xml:space="preserve">to manage </w:t>
      </w:r>
      <w:r w:rsidRPr="0031660E">
        <w:rPr>
          <w:rFonts w:ascii="Calibri" w:eastAsia="Times New Roman" w:hAnsi="Calibri" w:cs="Times New Roman"/>
        </w:rPr>
        <w:t>the costs of private health insurance by setting the appropriate benefit for each prosthesis. In February 2003, a decision was made by the Government that some costs associated with clinical assessment and benefit setting processes related to the Prostheses List would be met by sponsors.  Legislation to give effect to th</w:t>
      </w:r>
      <w:r w:rsidR="00250CD5" w:rsidRPr="0031660E">
        <w:rPr>
          <w:rFonts w:ascii="Calibri" w:eastAsia="Times New Roman" w:hAnsi="Calibri" w:cs="Times New Roman"/>
        </w:rPr>
        <w:t>is</w:t>
      </w:r>
      <w:r w:rsidRPr="0031660E">
        <w:rPr>
          <w:rFonts w:ascii="Calibri" w:eastAsia="Times New Roman" w:hAnsi="Calibri" w:cs="Times New Roman"/>
        </w:rPr>
        <w:t xml:space="preserve"> decision commenced </w:t>
      </w:r>
      <w:r w:rsidR="00442833" w:rsidRPr="0031660E">
        <w:rPr>
          <w:rFonts w:ascii="Calibri" w:eastAsia="Times New Roman" w:hAnsi="Calibri" w:cs="Times New Roman"/>
        </w:rPr>
        <w:t xml:space="preserve">on </w:t>
      </w:r>
      <w:r w:rsidRPr="0031660E">
        <w:rPr>
          <w:rFonts w:ascii="Calibri" w:eastAsia="Times New Roman" w:hAnsi="Calibri" w:cs="Times New Roman"/>
        </w:rPr>
        <w:t>31 October 2005.</w:t>
      </w:r>
    </w:p>
    <w:p w14:paraId="0E24C65B" w14:textId="33DC1333" w:rsidR="008C6DFC" w:rsidRPr="0031660E" w:rsidRDefault="008C6DFC" w:rsidP="008C6DFC">
      <w:pPr>
        <w:spacing w:before="120" w:after="0" w:line="240" w:lineRule="auto"/>
      </w:pPr>
      <w:r w:rsidRPr="0031660E">
        <w:t>In the 2021-22 Budget, the Government committed $22 million over four years for the Modernising and Improving the Private Health Insurance Prostheses List Budget</w:t>
      </w:r>
      <w:r w:rsidRPr="0031660E">
        <w:rPr>
          <w:rStyle w:val="FootnoteReference"/>
        </w:rPr>
        <w:footnoteReference w:id="5"/>
      </w:r>
      <w:r w:rsidRPr="0031660E">
        <w:t xml:space="preserve"> measure. This was announced following broad consultation on reform options. The Government consider</w:t>
      </w:r>
      <w:r w:rsidR="005E65D5" w:rsidRPr="0031660E">
        <w:t xml:space="preserve">ed </w:t>
      </w:r>
      <w:r w:rsidRPr="0031660E">
        <w:t xml:space="preserve">these improvements necessary to benefit consumers, because </w:t>
      </w:r>
      <w:proofErr w:type="gramStart"/>
      <w:r w:rsidRPr="0031660E">
        <w:t>a number of</w:t>
      </w:r>
      <w:proofErr w:type="gramEnd"/>
      <w:r w:rsidRPr="0031660E">
        <w:t xml:space="preserve"> reviews of the system have consistently found a high variance in the prices on the Prostheses List compared to prices paid in the public hospital system, with a limited ability for market forces to exert a downward pressure that would benefit consumers.</w:t>
      </w:r>
    </w:p>
    <w:p w14:paraId="68712D8F" w14:textId="67F3F793" w:rsidR="00821DAA" w:rsidRPr="0031660E" w:rsidRDefault="008C6DFC" w:rsidP="005E65D5">
      <w:pPr>
        <w:spacing w:before="120" w:after="0" w:line="240" w:lineRule="auto"/>
        <w:rPr>
          <w:rFonts w:ascii="Calibri" w:eastAsia="Times New Roman" w:hAnsi="Calibri" w:cs="Times New Roman"/>
          <w:highlight w:val="yellow"/>
        </w:rPr>
      </w:pPr>
      <w:r w:rsidRPr="0031660E">
        <w:t>Changes to cost recovery arrangements were included in this initial announcement. Revised cost recovery arrangements have</w:t>
      </w:r>
      <w:r w:rsidR="00250CD5" w:rsidRPr="0031660E">
        <w:t xml:space="preserve"> since</w:t>
      </w:r>
      <w:r w:rsidRPr="0031660E">
        <w:t xml:space="preserve"> been provided </w:t>
      </w:r>
      <w:r w:rsidR="00250CD5" w:rsidRPr="0031660E">
        <w:t xml:space="preserve">for </w:t>
      </w:r>
      <w:r w:rsidRPr="0031660E">
        <w:t xml:space="preserve">through the passage of amendments to the </w:t>
      </w:r>
      <w:r w:rsidRPr="0031660E">
        <w:rPr>
          <w:i/>
          <w:iCs/>
        </w:rPr>
        <w:t xml:space="preserve">Private Health Insurance Act 2007 </w:t>
      </w:r>
      <w:r w:rsidRPr="0031660E">
        <w:t xml:space="preserve">and the </w:t>
      </w:r>
      <w:r w:rsidRPr="0031660E">
        <w:rPr>
          <w:i/>
          <w:iCs/>
        </w:rPr>
        <w:t>Private Health Insurance (Prostheses Application and Listing Fees) Act 2007</w:t>
      </w:r>
      <w:r w:rsidRPr="0031660E">
        <w:t>.</w:t>
      </w:r>
    </w:p>
    <w:p w14:paraId="4793AF55" w14:textId="77777777" w:rsidR="007D41D6" w:rsidRPr="0031660E" w:rsidRDefault="007D41D6" w:rsidP="001A1AD8">
      <w:pPr>
        <w:pStyle w:val="Heading2"/>
      </w:pPr>
      <w:r w:rsidRPr="0031660E">
        <w:t xml:space="preserve">Statutory authority to </w:t>
      </w:r>
      <w:proofErr w:type="gramStart"/>
      <w:r w:rsidRPr="0031660E">
        <w:t>charge</w:t>
      </w:r>
      <w:proofErr w:type="gramEnd"/>
    </w:p>
    <w:p w14:paraId="55E5F759" w14:textId="77777777" w:rsidR="00FC1CC8" w:rsidRPr="0031660E" w:rsidRDefault="00FC1CC8" w:rsidP="00FC1CC8">
      <w:pPr>
        <w:spacing w:before="120" w:after="120" w:line="240" w:lineRule="auto"/>
        <w:rPr>
          <w:rFonts w:ascii="Calibri" w:eastAsia="Times New Roman" w:hAnsi="Calibri" w:cs="Times New Roman"/>
          <w:b/>
          <w:szCs w:val="24"/>
        </w:rPr>
      </w:pPr>
      <w:r w:rsidRPr="0031660E">
        <w:rPr>
          <w:rFonts w:ascii="Calibri" w:eastAsia="Times New Roman" w:hAnsi="Calibri" w:cs="Times New Roman"/>
          <w:b/>
          <w:szCs w:val="24"/>
        </w:rPr>
        <w:t>Legislative amendments</w:t>
      </w:r>
    </w:p>
    <w:p w14:paraId="24EAABE2" w14:textId="77777777" w:rsidR="008C6DFC" w:rsidRPr="0031660E" w:rsidRDefault="008C6DFC" w:rsidP="005E65D5">
      <w:pPr>
        <w:spacing w:before="120" w:after="120" w:line="240" w:lineRule="auto"/>
        <w:rPr>
          <w:rFonts w:ascii="Calibri" w:eastAsia="Times New Roman" w:hAnsi="Calibri" w:cs="Times New Roman"/>
        </w:rPr>
      </w:pPr>
      <w:r w:rsidRPr="0031660E">
        <w:rPr>
          <w:rFonts w:ascii="Calibri" w:eastAsia="Times New Roman" w:hAnsi="Calibri" w:cs="Times New Roman"/>
        </w:rPr>
        <w:t>In March 2023, the Australian Parliament passed the:</w:t>
      </w:r>
    </w:p>
    <w:p w14:paraId="59D0CBA0" w14:textId="130C1789" w:rsidR="008C6DFC" w:rsidRPr="0031660E" w:rsidRDefault="008C6DFC" w:rsidP="00F232FD">
      <w:pPr>
        <w:pStyle w:val="ListParagraph"/>
        <w:numPr>
          <w:ilvl w:val="0"/>
          <w:numId w:val="7"/>
        </w:numPr>
        <w:spacing w:before="120" w:after="120" w:line="240" w:lineRule="auto"/>
        <w:rPr>
          <w:rFonts w:ascii="Calibri" w:eastAsia="Times New Roman" w:hAnsi="Calibri" w:cs="Times New Roman"/>
          <w:i/>
          <w:iCs/>
        </w:rPr>
      </w:pPr>
      <w:r w:rsidRPr="0031660E">
        <w:rPr>
          <w:rFonts w:ascii="Calibri" w:eastAsia="Times New Roman" w:hAnsi="Calibri" w:cs="Times New Roman"/>
          <w:i/>
          <w:iCs/>
        </w:rPr>
        <w:t xml:space="preserve">Private Health Insurance Amendment (Medical Device and Human Tissue Product List and Cost Recovery) Act </w:t>
      </w:r>
      <w:proofErr w:type="gramStart"/>
      <w:r w:rsidRPr="0031660E">
        <w:rPr>
          <w:rFonts w:ascii="Calibri" w:eastAsia="Times New Roman" w:hAnsi="Calibri" w:cs="Times New Roman"/>
          <w:i/>
          <w:iCs/>
        </w:rPr>
        <w:t>2023</w:t>
      </w:r>
      <w:r w:rsidR="005E65D5" w:rsidRPr="0031660E">
        <w:rPr>
          <w:rFonts w:ascii="Calibri" w:eastAsia="Times New Roman" w:hAnsi="Calibri" w:cs="Times New Roman"/>
          <w:i/>
          <w:iCs/>
        </w:rPr>
        <w:t>;</w:t>
      </w:r>
      <w:proofErr w:type="gramEnd"/>
    </w:p>
    <w:p w14:paraId="3A20A0C0" w14:textId="51EF9F3C" w:rsidR="008C6DFC" w:rsidRPr="0031660E" w:rsidRDefault="008C6DFC" w:rsidP="00F232FD">
      <w:pPr>
        <w:pStyle w:val="ListParagraph"/>
        <w:numPr>
          <w:ilvl w:val="0"/>
          <w:numId w:val="7"/>
        </w:numPr>
        <w:spacing w:before="120" w:after="120" w:line="240" w:lineRule="auto"/>
        <w:rPr>
          <w:rFonts w:ascii="Calibri" w:eastAsia="Times New Roman" w:hAnsi="Calibri" w:cs="Times New Roman"/>
          <w:i/>
          <w:iCs/>
        </w:rPr>
      </w:pPr>
      <w:r w:rsidRPr="0031660E">
        <w:rPr>
          <w:rFonts w:ascii="Calibri" w:eastAsia="Times New Roman" w:hAnsi="Calibri" w:cs="Times New Roman"/>
          <w:i/>
          <w:iCs/>
        </w:rPr>
        <w:t>Private Health Insurance (Prostheses Application and Listing Fees) Amendment (Cost Recovery) Act 2023</w:t>
      </w:r>
      <w:r w:rsidR="005E65D5" w:rsidRPr="0031660E">
        <w:rPr>
          <w:rFonts w:ascii="Calibri" w:eastAsia="Times New Roman" w:hAnsi="Calibri" w:cs="Times New Roman"/>
          <w:i/>
          <w:iCs/>
        </w:rPr>
        <w:t>;</w:t>
      </w:r>
      <w:r w:rsidRPr="0031660E">
        <w:rPr>
          <w:rFonts w:ascii="Calibri" w:eastAsia="Times New Roman" w:hAnsi="Calibri" w:cs="Times New Roman"/>
          <w:i/>
          <w:iCs/>
        </w:rPr>
        <w:t xml:space="preserve"> </w:t>
      </w:r>
      <w:r w:rsidRPr="0031660E">
        <w:rPr>
          <w:rFonts w:ascii="Calibri" w:eastAsia="Times New Roman" w:hAnsi="Calibri" w:cs="Times New Roman"/>
        </w:rPr>
        <w:t>and</w:t>
      </w:r>
    </w:p>
    <w:p w14:paraId="10C3C79C" w14:textId="77777777" w:rsidR="008C6DFC" w:rsidRPr="0031660E" w:rsidRDefault="008C6DFC" w:rsidP="00F232FD">
      <w:pPr>
        <w:pStyle w:val="ListParagraph"/>
        <w:numPr>
          <w:ilvl w:val="0"/>
          <w:numId w:val="7"/>
        </w:numPr>
        <w:spacing w:before="120" w:after="120" w:line="240" w:lineRule="auto"/>
        <w:rPr>
          <w:rFonts w:ascii="Calibri" w:eastAsia="Times New Roman" w:hAnsi="Calibri" w:cs="Times New Roman"/>
          <w:i/>
          <w:iCs/>
        </w:rPr>
      </w:pPr>
      <w:r w:rsidRPr="0031660E">
        <w:rPr>
          <w:rFonts w:ascii="Calibri" w:eastAsia="Times New Roman" w:hAnsi="Calibri" w:cs="Times New Roman"/>
          <w:i/>
          <w:iCs/>
        </w:rPr>
        <w:t>Private Health Insurance (National Joint Replacement Register Levy) Amendment (Consequential Amendments) Act 2023.</w:t>
      </w:r>
    </w:p>
    <w:p w14:paraId="41CD67B1" w14:textId="1CD94DD7" w:rsidR="008C6DFC" w:rsidRPr="0031660E" w:rsidRDefault="008C6DFC" w:rsidP="008C6DFC">
      <w:pPr>
        <w:spacing w:before="120" w:after="120" w:line="240" w:lineRule="auto"/>
        <w:rPr>
          <w:rFonts w:ascii="Calibri" w:eastAsia="Times New Roman" w:hAnsi="Calibri" w:cs="Times New Roman"/>
          <w:bCs/>
          <w:szCs w:val="24"/>
        </w:rPr>
      </w:pPr>
      <w:r w:rsidRPr="0031660E">
        <w:rPr>
          <w:rFonts w:ascii="Calibri" w:eastAsia="Times New Roman" w:hAnsi="Calibri" w:cs="Times New Roman"/>
          <w:bCs/>
          <w:szCs w:val="24"/>
        </w:rPr>
        <w:lastRenderedPageBreak/>
        <w:t xml:space="preserve">The purpose of these legislative changes was to provide authority for the revised cost recovery arrangements aligned with the </w:t>
      </w:r>
      <w:r w:rsidR="00C70055" w:rsidRPr="0031660E">
        <w:rPr>
          <w:rFonts w:ascii="Calibri" w:eastAsia="Times New Roman" w:hAnsi="Calibri" w:cs="Times New Roman"/>
          <w:bCs/>
          <w:szCs w:val="24"/>
        </w:rPr>
        <w:t>AGCF</w:t>
      </w:r>
      <w:r w:rsidRPr="0031660E">
        <w:rPr>
          <w:rFonts w:ascii="Calibri" w:eastAsia="Times New Roman" w:hAnsi="Calibri" w:cs="Times New Roman"/>
          <w:bCs/>
          <w:szCs w:val="24"/>
        </w:rPr>
        <w:t xml:space="preserve"> and the </w:t>
      </w:r>
      <w:r w:rsidR="00A26F30" w:rsidRPr="0031660E">
        <w:rPr>
          <w:rFonts w:ascii="Calibri" w:eastAsia="Times New Roman" w:hAnsi="Calibri" w:cs="Times New Roman"/>
          <w:bCs/>
          <w:szCs w:val="24"/>
        </w:rPr>
        <w:t>CRGs under</w:t>
      </w:r>
      <w:r w:rsidRPr="0031660E">
        <w:rPr>
          <w:rFonts w:ascii="Calibri" w:eastAsia="Times New Roman" w:hAnsi="Calibri" w:cs="Times New Roman"/>
          <w:bCs/>
          <w:szCs w:val="24"/>
        </w:rPr>
        <w:t xml:space="preserve"> the following Acts:</w:t>
      </w:r>
    </w:p>
    <w:p w14:paraId="000FB7BD" w14:textId="11E0AA39" w:rsidR="008C6DFC" w:rsidRPr="0031660E" w:rsidRDefault="008C6DFC" w:rsidP="00F232FD">
      <w:pPr>
        <w:pStyle w:val="ListParagraph"/>
        <w:numPr>
          <w:ilvl w:val="0"/>
          <w:numId w:val="7"/>
        </w:numPr>
        <w:spacing w:before="120" w:after="120" w:line="240" w:lineRule="auto"/>
        <w:rPr>
          <w:rFonts w:ascii="Calibri" w:eastAsia="Times New Roman" w:hAnsi="Calibri" w:cs="Times New Roman"/>
          <w:i/>
          <w:iCs/>
        </w:rPr>
      </w:pPr>
      <w:r w:rsidRPr="0031660E">
        <w:rPr>
          <w:rFonts w:ascii="Calibri" w:eastAsia="Times New Roman" w:hAnsi="Calibri" w:cs="Times New Roman"/>
          <w:i/>
          <w:iCs/>
        </w:rPr>
        <w:t>Private Health Insurance Act 2007</w:t>
      </w:r>
      <w:r w:rsidR="005E65D5" w:rsidRPr="0031660E">
        <w:rPr>
          <w:rFonts w:ascii="Calibri" w:eastAsia="Times New Roman" w:hAnsi="Calibri" w:cs="Times New Roman"/>
          <w:i/>
          <w:iCs/>
        </w:rPr>
        <w:t>;</w:t>
      </w:r>
      <w:r w:rsidRPr="0031660E">
        <w:rPr>
          <w:rFonts w:ascii="Calibri" w:eastAsia="Times New Roman" w:hAnsi="Calibri" w:cs="Times New Roman"/>
          <w:i/>
          <w:iCs/>
        </w:rPr>
        <w:t xml:space="preserve"> </w:t>
      </w:r>
      <w:r w:rsidRPr="0031660E">
        <w:rPr>
          <w:rFonts w:ascii="Calibri" w:eastAsia="Times New Roman" w:hAnsi="Calibri" w:cs="Times New Roman"/>
        </w:rPr>
        <w:t>and</w:t>
      </w:r>
    </w:p>
    <w:p w14:paraId="7608773E" w14:textId="77777777" w:rsidR="008C6DFC" w:rsidRPr="0031660E" w:rsidRDefault="008C6DFC" w:rsidP="00F232FD">
      <w:pPr>
        <w:pStyle w:val="ListParagraph"/>
        <w:numPr>
          <w:ilvl w:val="0"/>
          <w:numId w:val="7"/>
        </w:numPr>
        <w:spacing w:before="120" w:after="120" w:line="240" w:lineRule="auto"/>
        <w:rPr>
          <w:rFonts w:ascii="Calibri" w:eastAsia="Times New Roman" w:hAnsi="Calibri" w:cs="Times New Roman"/>
          <w:i/>
          <w:iCs/>
        </w:rPr>
      </w:pPr>
      <w:r w:rsidRPr="0031660E">
        <w:rPr>
          <w:rFonts w:ascii="Calibri" w:eastAsia="Times New Roman" w:hAnsi="Calibri" w:cs="Times New Roman"/>
          <w:i/>
          <w:iCs/>
        </w:rPr>
        <w:t>Private Health Insurance (Prostheses Application and Listing Fees) Act 2007.</w:t>
      </w:r>
    </w:p>
    <w:p w14:paraId="3DD37E76" w14:textId="77777777" w:rsidR="008C6DFC" w:rsidRPr="0031660E" w:rsidRDefault="008C6DFC" w:rsidP="008C6DFC">
      <w:pPr>
        <w:spacing w:before="120" w:after="120" w:line="240" w:lineRule="auto"/>
        <w:rPr>
          <w:rFonts w:ascii="Calibri" w:eastAsia="Times New Roman" w:hAnsi="Calibri" w:cs="Times New Roman"/>
          <w:bCs/>
          <w:iCs/>
          <w:szCs w:val="24"/>
        </w:rPr>
      </w:pPr>
      <w:r w:rsidRPr="0031660E">
        <w:rPr>
          <w:rFonts w:ascii="Calibri" w:eastAsia="Times New Roman" w:hAnsi="Calibri" w:cs="Times New Roman"/>
          <w:bCs/>
          <w:iCs/>
          <w:szCs w:val="24"/>
        </w:rPr>
        <w:t xml:space="preserve">The existing application and listing fees under the </w:t>
      </w:r>
      <w:r w:rsidRPr="0031660E">
        <w:rPr>
          <w:rFonts w:ascii="Calibri" w:eastAsia="Times New Roman" w:hAnsi="Calibri" w:cs="Times New Roman"/>
          <w:bCs/>
          <w:i/>
          <w:szCs w:val="24"/>
        </w:rPr>
        <w:t>Private Health Insurance Act 2007</w:t>
      </w:r>
      <w:r w:rsidRPr="0031660E">
        <w:rPr>
          <w:rFonts w:ascii="Calibri" w:eastAsia="Times New Roman" w:hAnsi="Calibri" w:cs="Times New Roman"/>
          <w:bCs/>
          <w:iCs/>
          <w:szCs w:val="24"/>
        </w:rPr>
        <w:t xml:space="preserve"> have been repealed.</w:t>
      </w:r>
    </w:p>
    <w:p w14:paraId="2BCBA6B9" w14:textId="578C016D" w:rsidR="008C6DFC" w:rsidRPr="0031660E" w:rsidRDefault="008C6DFC" w:rsidP="008C6DFC">
      <w:pPr>
        <w:spacing w:before="120" w:after="120" w:line="240" w:lineRule="auto"/>
        <w:rPr>
          <w:rFonts w:ascii="Calibri" w:eastAsia="Times New Roman" w:hAnsi="Calibri" w:cs="Times New Roman"/>
          <w:bCs/>
          <w:szCs w:val="24"/>
        </w:rPr>
      </w:pPr>
      <w:r w:rsidRPr="0031660E">
        <w:rPr>
          <w:rFonts w:ascii="Calibri" w:eastAsia="Times New Roman" w:hAnsi="Calibri" w:cs="Times New Roman"/>
          <w:bCs/>
          <w:iCs/>
          <w:szCs w:val="24"/>
        </w:rPr>
        <w:t xml:space="preserve">Under the amended subsection 72-10 of the </w:t>
      </w:r>
      <w:r w:rsidRPr="0031660E">
        <w:rPr>
          <w:rFonts w:ascii="Calibri" w:eastAsia="Times New Roman" w:hAnsi="Calibri" w:cs="Times New Roman"/>
          <w:bCs/>
          <w:i/>
          <w:szCs w:val="24"/>
        </w:rPr>
        <w:t>Private Health Insurance Act 2007</w:t>
      </w:r>
      <w:r w:rsidRPr="0031660E">
        <w:rPr>
          <w:rFonts w:ascii="Calibri" w:eastAsia="Times New Roman" w:hAnsi="Calibri" w:cs="Times New Roman"/>
          <w:bCs/>
          <w:iCs/>
          <w:szCs w:val="24"/>
        </w:rPr>
        <w:t xml:space="preserve">, a person may apply to the Minister to have the </w:t>
      </w:r>
      <w:r w:rsidRPr="0031660E">
        <w:rPr>
          <w:rFonts w:ascii="Calibri" w:eastAsia="Times New Roman" w:hAnsi="Calibri" w:cs="Times New Roman"/>
          <w:bCs/>
          <w:i/>
          <w:szCs w:val="24"/>
        </w:rPr>
        <w:t>Private Health Insurance (Medical Devices and Human Tissue Products) Rules</w:t>
      </w:r>
      <w:r w:rsidRPr="0031660E">
        <w:rPr>
          <w:rFonts w:ascii="Calibri" w:eastAsia="Times New Roman" w:hAnsi="Calibri" w:cs="Times New Roman"/>
          <w:bCs/>
          <w:iCs/>
          <w:szCs w:val="24"/>
        </w:rPr>
        <w:t xml:space="preserve"> list the kind of medical device or human tissue product to which the application relates. The application must be accompanied by any fee that the applicant is liable to pay at the time the application is made. Under subsection 72-15, these fee</w:t>
      </w:r>
      <w:r w:rsidR="00C70055" w:rsidRPr="0031660E">
        <w:rPr>
          <w:rFonts w:ascii="Calibri" w:eastAsia="Times New Roman" w:hAnsi="Calibri" w:cs="Times New Roman"/>
          <w:bCs/>
          <w:iCs/>
          <w:szCs w:val="24"/>
        </w:rPr>
        <w:t xml:space="preserve"> amounts</w:t>
      </w:r>
      <w:r w:rsidRPr="0031660E">
        <w:rPr>
          <w:rFonts w:ascii="Calibri" w:eastAsia="Times New Roman" w:hAnsi="Calibri" w:cs="Times New Roman"/>
          <w:bCs/>
          <w:iCs/>
          <w:szCs w:val="24"/>
        </w:rPr>
        <w:t xml:space="preserve"> will be specified in the </w:t>
      </w:r>
      <w:r w:rsidRPr="0031660E">
        <w:rPr>
          <w:rFonts w:ascii="Calibri" w:eastAsia="Times New Roman" w:hAnsi="Calibri" w:cs="Times New Roman"/>
          <w:bCs/>
          <w:i/>
          <w:szCs w:val="24"/>
        </w:rPr>
        <w:t>Private Health Insurance (Medical Devices and Human Tissue Products) Rules</w:t>
      </w:r>
      <w:r w:rsidRPr="0031660E">
        <w:rPr>
          <w:rFonts w:ascii="Calibri" w:eastAsia="Times New Roman" w:hAnsi="Calibri" w:cs="Times New Roman"/>
          <w:bCs/>
          <w:iCs/>
          <w:szCs w:val="24"/>
        </w:rPr>
        <w:t xml:space="preserve">. </w:t>
      </w:r>
    </w:p>
    <w:p w14:paraId="14FA5C12" w14:textId="72EEFB3C" w:rsidR="008C6DFC" w:rsidRPr="0031660E" w:rsidRDefault="008C6DFC" w:rsidP="008C6DFC">
      <w:pPr>
        <w:spacing w:before="120" w:after="120" w:line="240" w:lineRule="auto"/>
        <w:rPr>
          <w:rFonts w:ascii="Calibri" w:eastAsia="Times New Roman" w:hAnsi="Calibri" w:cs="Times New Roman"/>
          <w:bCs/>
          <w:iCs/>
          <w:szCs w:val="24"/>
        </w:rPr>
      </w:pPr>
      <w:r w:rsidRPr="0031660E">
        <w:rPr>
          <w:rFonts w:ascii="Calibri" w:eastAsia="Times New Roman" w:hAnsi="Calibri" w:cs="Times New Roman"/>
          <w:bCs/>
          <w:iCs/>
          <w:szCs w:val="24"/>
        </w:rPr>
        <w:t xml:space="preserve">The </w:t>
      </w:r>
      <w:r w:rsidRPr="0031660E">
        <w:rPr>
          <w:rFonts w:ascii="Calibri" w:eastAsia="Times New Roman" w:hAnsi="Calibri" w:cs="Times New Roman"/>
          <w:bCs/>
          <w:i/>
          <w:szCs w:val="24"/>
        </w:rPr>
        <w:t>Private Health Insurance (Prostheses Application and Listing Fees) Act 2007</w:t>
      </w:r>
      <w:r w:rsidRPr="0031660E">
        <w:rPr>
          <w:rFonts w:ascii="Calibri" w:eastAsia="Times New Roman" w:hAnsi="Calibri" w:cs="Times New Roman"/>
          <w:bCs/>
          <w:iCs/>
          <w:szCs w:val="24"/>
        </w:rPr>
        <w:t xml:space="preserve"> has been amended to be named the </w:t>
      </w:r>
      <w:r w:rsidRPr="0031660E">
        <w:rPr>
          <w:rFonts w:ascii="Calibri" w:eastAsia="Times New Roman" w:hAnsi="Calibri" w:cs="Times New Roman"/>
          <w:bCs/>
          <w:i/>
          <w:szCs w:val="24"/>
        </w:rPr>
        <w:t>Private Health Insurance (Medical Devices and Human Tissue Products Levy) Act 2007</w:t>
      </w:r>
      <w:r w:rsidRPr="0031660E">
        <w:rPr>
          <w:rFonts w:ascii="Calibri" w:eastAsia="Times New Roman" w:hAnsi="Calibri" w:cs="Times New Roman"/>
          <w:bCs/>
          <w:iCs/>
          <w:szCs w:val="24"/>
        </w:rPr>
        <w:t>. This Act provides statutory authority for the imposition of a cost recovery levy on each kind of medical device or human tissue product on the P</w:t>
      </w:r>
      <w:r w:rsidR="005E65D5" w:rsidRPr="0031660E">
        <w:rPr>
          <w:rFonts w:ascii="Calibri" w:eastAsia="Times New Roman" w:hAnsi="Calibri" w:cs="Times New Roman"/>
          <w:bCs/>
          <w:iCs/>
          <w:szCs w:val="24"/>
        </w:rPr>
        <w:t>rescribed List</w:t>
      </w:r>
      <w:r w:rsidRPr="0031660E">
        <w:rPr>
          <w:rFonts w:ascii="Calibri" w:eastAsia="Times New Roman" w:hAnsi="Calibri" w:cs="Times New Roman"/>
          <w:bCs/>
          <w:iCs/>
          <w:szCs w:val="24"/>
        </w:rPr>
        <w:t xml:space="preserve"> Regulations and Rules made under this Act will specify details relating to the levy, including the annual levy amount. These Regulations and Rules will be made prior to the commencement of the levy in the 2024-25 financial year.</w:t>
      </w:r>
    </w:p>
    <w:p w14:paraId="63AACC2B" w14:textId="311FA803" w:rsidR="008C6DFC" w:rsidRPr="0031660E" w:rsidRDefault="008C6DFC" w:rsidP="008C6DFC">
      <w:pPr>
        <w:spacing w:before="120" w:after="120" w:line="240" w:lineRule="auto"/>
        <w:rPr>
          <w:rFonts w:ascii="Calibri" w:eastAsia="Times New Roman" w:hAnsi="Calibri" w:cs="Times New Roman"/>
          <w:bCs/>
          <w:iCs/>
          <w:szCs w:val="24"/>
        </w:rPr>
      </w:pPr>
      <w:r w:rsidRPr="0031660E">
        <w:rPr>
          <w:rFonts w:ascii="Calibri" w:eastAsia="Times New Roman" w:hAnsi="Calibri" w:cs="Times New Roman"/>
          <w:bCs/>
          <w:iCs/>
          <w:szCs w:val="24"/>
        </w:rPr>
        <w:t xml:space="preserve">As a result of these changes to the cost recovery arrangements, the </w:t>
      </w:r>
      <w:r w:rsidRPr="0031660E">
        <w:rPr>
          <w:rFonts w:ascii="Calibri" w:eastAsia="Times New Roman" w:hAnsi="Calibri" w:cs="Times New Roman"/>
          <w:bCs/>
          <w:i/>
          <w:iCs/>
          <w:szCs w:val="24"/>
        </w:rPr>
        <w:t xml:space="preserve">Private Health Insurance (Prostheses Application and Listing Fee) Rules 2018 </w:t>
      </w:r>
      <w:r w:rsidRPr="0031660E">
        <w:rPr>
          <w:rFonts w:ascii="Calibri" w:eastAsia="Times New Roman" w:hAnsi="Calibri" w:cs="Times New Roman"/>
          <w:bCs/>
          <w:iCs/>
          <w:szCs w:val="24"/>
        </w:rPr>
        <w:t>ha</w:t>
      </w:r>
      <w:r w:rsidR="00C70055" w:rsidRPr="0031660E">
        <w:rPr>
          <w:rFonts w:ascii="Calibri" w:eastAsia="Times New Roman" w:hAnsi="Calibri" w:cs="Times New Roman"/>
          <w:bCs/>
          <w:iCs/>
          <w:szCs w:val="24"/>
        </w:rPr>
        <w:t>ve</w:t>
      </w:r>
      <w:r w:rsidRPr="0031660E">
        <w:rPr>
          <w:rFonts w:ascii="Calibri" w:eastAsia="Times New Roman" w:hAnsi="Calibri" w:cs="Times New Roman"/>
          <w:bCs/>
          <w:iCs/>
          <w:szCs w:val="24"/>
        </w:rPr>
        <w:t xml:space="preserve"> been </w:t>
      </w:r>
      <w:r w:rsidR="00943D3B" w:rsidRPr="0031660E">
        <w:rPr>
          <w:rFonts w:ascii="Calibri" w:eastAsia="Times New Roman" w:hAnsi="Calibri" w:cs="Times New Roman"/>
          <w:bCs/>
          <w:iCs/>
          <w:szCs w:val="24"/>
        </w:rPr>
        <w:t>repealed.</w:t>
      </w:r>
      <w:r w:rsidRPr="0031660E">
        <w:rPr>
          <w:rFonts w:ascii="Calibri" w:eastAsia="Times New Roman" w:hAnsi="Calibri" w:cs="Times New Roman"/>
          <w:bCs/>
          <w:iCs/>
          <w:szCs w:val="24"/>
        </w:rPr>
        <w:t xml:space="preserve"> </w:t>
      </w:r>
    </w:p>
    <w:p w14:paraId="2A677F37" w14:textId="77777777" w:rsidR="008C6DFC" w:rsidRPr="0031660E" w:rsidRDefault="008C6DFC" w:rsidP="008C6DFC">
      <w:pPr>
        <w:spacing w:before="120" w:after="120" w:line="240" w:lineRule="auto"/>
        <w:rPr>
          <w:rFonts w:ascii="Calibri" w:eastAsia="Times New Roman" w:hAnsi="Calibri" w:cs="Times New Roman"/>
          <w:bCs/>
          <w:iCs/>
          <w:szCs w:val="24"/>
        </w:rPr>
      </w:pPr>
      <w:r w:rsidRPr="0031660E">
        <w:rPr>
          <w:rFonts w:ascii="Calibri" w:eastAsia="Times New Roman" w:hAnsi="Calibri" w:cs="Times New Roman"/>
          <w:bCs/>
          <w:iCs/>
          <w:szCs w:val="24"/>
        </w:rPr>
        <w:t xml:space="preserve">All Regulations and Rules which relate to cost recovery are outlined below, with </w:t>
      </w:r>
      <w:proofErr w:type="gramStart"/>
      <w:r w:rsidRPr="0031660E">
        <w:rPr>
          <w:rFonts w:ascii="Calibri" w:eastAsia="Times New Roman" w:hAnsi="Calibri" w:cs="Times New Roman"/>
          <w:bCs/>
          <w:iCs/>
          <w:szCs w:val="24"/>
        </w:rPr>
        <w:t>a brief summary</w:t>
      </w:r>
      <w:proofErr w:type="gramEnd"/>
      <w:r w:rsidRPr="0031660E">
        <w:rPr>
          <w:rFonts w:ascii="Calibri" w:eastAsia="Times New Roman" w:hAnsi="Calibri" w:cs="Times New Roman"/>
          <w:bCs/>
          <w:iCs/>
          <w:szCs w:val="24"/>
        </w:rPr>
        <w:t xml:space="preserve"> of their intended purpose.</w:t>
      </w:r>
    </w:p>
    <w:p w14:paraId="31E03D99" w14:textId="6A15136F" w:rsidR="00B75732" w:rsidRPr="0031660E" w:rsidRDefault="00B75732" w:rsidP="00BA2ABB">
      <w:pPr>
        <w:spacing w:before="120" w:after="120" w:line="240" w:lineRule="auto"/>
        <w:rPr>
          <w:rFonts w:ascii="Calibri" w:eastAsia="Times New Roman" w:hAnsi="Calibri" w:cs="Times New Roman"/>
          <w:b/>
          <w:szCs w:val="24"/>
        </w:rPr>
      </w:pPr>
      <w:r w:rsidRPr="0031660E">
        <w:rPr>
          <w:rFonts w:ascii="Calibri" w:eastAsia="Times New Roman" w:hAnsi="Calibri" w:cs="Times New Roman"/>
          <w:b/>
          <w:szCs w:val="24"/>
        </w:rPr>
        <w:t xml:space="preserve">Table 1. </w:t>
      </w:r>
      <w:r w:rsidR="00C57671" w:rsidRPr="0031660E">
        <w:rPr>
          <w:rFonts w:ascii="Calibri" w:eastAsia="Times New Roman" w:hAnsi="Calibri" w:cs="Times New Roman"/>
          <w:b/>
          <w:szCs w:val="24"/>
        </w:rPr>
        <w:t xml:space="preserve">Subordinate legislation specifying details of cost recovery including charges </w:t>
      </w:r>
      <w:proofErr w:type="gramStart"/>
      <w:r w:rsidR="00C57671" w:rsidRPr="0031660E">
        <w:rPr>
          <w:rFonts w:ascii="Calibri" w:eastAsia="Times New Roman" w:hAnsi="Calibri" w:cs="Times New Roman"/>
          <w:b/>
          <w:szCs w:val="24"/>
        </w:rPr>
        <w:t>payable</w:t>
      </w:r>
      <w:proofErr w:type="gramEnd"/>
    </w:p>
    <w:tbl>
      <w:tblPr>
        <w:tblStyle w:val="ListTable3"/>
        <w:tblW w:w="5000" w:type="pct"/>
        <w:tblLook w:val="04A0" w:firstRow="1" w:lastRow="0" w:firstColumn="1" w:lastColumn="0" w:noHBand="0" w:noVBand="1"/>
      </w:tblPr>
      <w:tblGrid>
        <w:gridCol w:w="4670"/>
        <w:gridCol w:w="1439"/>
        <w:gridCol w:w="2907"/>
      </w:tblGrid>
      <w:tr w:rsidR="0031660E" w:rsidRPr="0031660E" w14:paraId="6F617BE5" w14:textId="77777777" w:rsidTr="002F3D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90" w:type="pct"/>
          </w:tcPr>
          <w:p w14:paraId="70B17F31" w14:textId="77777777" w:rsidR="002F3D0D" w:rsidRPr="0031660E" w:rsidRDefault="002F3D0D" w:rsidP="001E1E70">
            <w:pPr>
              <w:spacing w:before="120" w:after="120"/>
              <w:rPr>
                <w:color w:val="auto"/>
                <w:sz w:val="21"/>
                <w:szCs w:val="21"/>
              </w:rPr>
            </w:pPr>
            <w:r w:rsidRPr="0031660E">
              <w:rPr>
                <w:color w:val="auto"/>
                <w:sz w:val="21"/>
                <w:szCs w:val="21"/>
              </w:rPr>
              <w:t>Title of subordinate legislation</w:t>
            </w:r>
          </w:p>
        </w:tc>
        <w:tc>
          <w:tcPr>
            <w:tcW w:w="798" w:type="pct"/>
          </w:tcPr>
          <w:p w14:paraId="3402CB87" w14:textId="70AE3E39" w:rsidR="002F3D0D" w:rsidRPr="0031660E" w:rsidRDefault="002F3D0D" w:rsidP="001E1E70">
            <w:pPr>
              <w:spacing w:before="120" w:after="120"/>
              <w:cnfStyle w:val="100000000000" w:firstRow="1" w:lastRow="0" w:firstColumn="0" w:lastColumn="0" w:oddVBand="0" w:evenVBand="0" w:oddHBand="0" w:evenHBand="0" w:firstRowFirstColumn="0" w:firstRowLastColumn="0" w:lastRowFirstColumn="0" w:lastRowLastColumn="0"/>
              <w:rPr>
                <w:b w:val="0"/>
                <w:bCs w:val="0"/>
                <w:color w:val="auto"/>
                <w:sz w:val="21"/>
                <w:szCs w:val="21"/>
              </w:rPr>
            </w:pPr>
            <w:r w:rsidRPr="0031660E">
              <w:rPr>
                <w:color w:val="auto"/>
                <w:sz w:val="21"/>
                <w:szCs w:val="21"/>
              </w:rPr>
              <w:t>Intended start date</w:t>
            </w:r>
          </w:p>
        </w:tc>
        <w:tc>
          <w:tcPr>
            <w:tcW w:w="1612" w:type="pct"/>
          </w:tcPr>
          <w:p w14:paraId="6A46BA8E" w14:textId="77777777" w:rsidR="002F3D0D" w:rsidRPr="0031660E" w:rsidRDefault="002F3D0D" w:rsidP="001E1E70">
            <w:pPr>
              <w:spacing w:before="120" w:after="120"/>
              <w:cnfStyle w:val="100000000000" w:firstRow="1" w:lastRow="0" w:firstColumn="0" w:lastColumn="0" w:oddVBand="0" w:evenVBand="0" w:oddHBand="0" w:evenHBand="0" w:firstRowFirstColumn="0" w:firstRowLastColumn="0" w:lastRowFirstColumn="0" w:lastRowLastColumn="0"/>
              <w:rPr>
                <w:b w:val="0"/>
                <w:bCs w:val="0"/>
                <w:color w:val="auto"/>
                <w:sz w:val="21"/>
                <w:szCs w:val="21"/>
              </w:rPr>
            </w:pPr>
            <w:r w:rsidRPr="0031660E">
              <w:rPr>
                <w:color w:val="auto"/>
                <w:sz w:val="21"/>
                <w:szCs w:val="21"/>
              </w:rPr>
              <w:t>Purpose in plain English</w:t>
            </w:r>
          </w:p>
        </w:tc>
      </w:tr>
      <w:tr w:rsidR="0031660E" w:rsidRPr="0031660E" w14:paraId="3557BAEC" w14:textId="77777777" w:rsidTr="002F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14:paraId="7884F446" w14:textId="2F68F1C9" w:rsidR="002F3D0D" w:rsidRPr="0031660E" w:rsidRDefault="002F3D0D" w:rsidP="001E1E70">
            <w:pPr>
              <w:spacing w:before="120" w:after="120"/>
              <w:rPr>
                <w:b w:val="0"/>
                <w:bCs w:val="0"/>
                <w:i/>
                <w:iCs/>
                <w:sz w:val="21"/>
                <w:szCs w:val="21"/>
              </w:rPr>
            </w:pPr>
            <w:r w:rsidRPr="0031660E">
              <w:rPr>
                <w:b w:val="0"/>
                <w:bCs w:val="0"/>
                <w:i/>
                <w:iCs/>
                <w:sz w:val="21"/>
                <w:szCs w:val="21"/>
              </w:rPr>
              <w:t>Private Health Insurance (Medical Device</w:t>
            </w:r>
            <w:r w:rsidR="001841A6" w:rsidRPr="0031660E">
              <w:rPr>
                <w:b w:val="0"/>
                <w:bCs w:val="0"/>
                <w:i/>
                <w:iCs/>
                <w:sz w:val="21"/>
                <w:szCs w:val="21"/>
              </w:rPr>
              <w:t>s</w:t>
            </w:r>
            <w:r w:rsidRPr="0031660E">
              <w:rPr>
                <w:b w:val="0"/>
                <w:bCs w:val="0"/>
                <w:i/>
                <w:iCs/>
                <w:sz w:val="21"/>
                <w:szCs w:val="21"/>
              </w:rPr>
              <w:t xml:space="preserve"> and Human Tissue Product</w:t>
            </w:r>
            <w:r w:rsidR="001841A6" w:rsidRPr="0031660E">
              <w:rPr>
                <w:b w:val="0"/>
                <w:bCs w:val="0"/>
                <w:i/>
                <w:iCs/>
                <w:sz w:val="21"/>
                <w:szCs w:val="21"/>
              </w:rPr>
              <w:t>s</w:t>
            </w:r>
            <w:r w:rsidRPr="0031660E">
              <w:rPr>
                <w:b w:val="0"/>
                <w:bCs w:val="0"/>
                <w:i/>
                <w:iCs/>
                <w:sz w:val="21"/>
                <w:szCs w:val="21"/>
              </w:rPr>
              <w:t>) Rules</w:t>
            </w:r>
          </w:p>
        </w:tc>
        <w:tc>
          <w:tcPr>
            <w:tcW w:w="798" w:type="pct"/>
          </w:tcPr>
          <w:p w14:paraId="13257E99" w14:textId="77777777" w:rsidR="002F3D0D" w:rsidRPr="0031660E" w:rsidRDefault="002F3D0D" w:rsidP="001E1E70">
            <w:pPr>
              <w:spacing w:before="120" w:after="120"/>
              <w:cnfStyle w:val="000000100000" w:firstRow="0" w:lastRow="0" w:firstColumn="0" w:lastColumn="0" w:oddVBand="0" w:evenVBand="0" w:oddHBand="1" w:evenHBand="0" w:firstRowFirstColumn="0" w:firstRowLastColumn="0" w:lastRowFirstColumn="0" w:lastRowLastColumn="0"/>
              <w:rPr>
                <w:sz w:val="21"/>
                <w:szCs w:val="21"/>
              </w:rPr>
            </w:pPr>
            <w:r w:rsidRPr="0031660E">
              <w:rPr>
                <w:sz w:val="21"/>
                <w:szCs w:val="21"/>
              </w:rPr>
              <w:t>1 July 2023</w:t>
            </w:r>
          </w:p>
        </w:tc>
        <w:tc>
          <w:tcPr>
            <w:tcW w:w="1612" w:type="pct"/>
          </w:tcPr>
          <w:p w14:paraId="207678E5" w14:textId="77777777" w:rsidR="002F3D0D" w:rsidRPr="0031660E" w:rsidRDefault="002F3D0D" w:rsidP="001E1E70">
            <w:pPr>
              <w:spacing w:before="120" w:after="120"/>
              <w:cnfStyle w:val="000000100000" w:firstRow="0" w:lastRow="0" w:firstColumn="0" w:lastColumn="0" w:oddVBand="0" w:evenVBand="0" w:oddHBand="1" w:evenHBand="0" w:firstRowFirstColumn="0" w:firstRowLastColumn="0" w:lastRowFirstColumn="0" w:lastRowLastColumn="0"/>
              <w:rPr>
                <w:sz w:val="21"/>
                <w:szCs w:val="21"/>
              </w:rPr>
            </w:pPr>
            <w:r w:rsidRPr="0031660E">
              <w:rPr>
                <w:sz w:val="21"/>
                <w:szCs w:val="21"/>
              </w:rPr>
              <w:t>To set out the details for the charging of cost recovery fees</w:t>
            </w:r>
          </w:p>
        </w:tc>
      </w:tr>
      <w:tr w:rsidR="0031660E" w:rsidRPr="0031660E" w14:paraId="4ECEE9E2" w14:textId="77777777" w:rsidTr="002F3D0D">
        <w:tc>
          <w:tcPr>
            <w:cnfStyle w:val="001000000000" w:firstRow="0" w:lastRow="0" w:firstColumn="1" w:lastColumn="0" w:oddVBand="0" w:evenVBand="0" w:oddHBand="0" w:evenHBand="0" w:firstRowFirstColumn="0" w:firstRowLastColumn="0" w:lastRowFirstColumn="0" w:lastRowLastColumn="0"/>
            <w:tcW w:w="2590" w:type="pct"/>
          </w:tcPr>
          <w:p w14:paraId="7188FCA0" w14:textId="77777777" w:rsidR="002F3D0D" w:rsidRPr="0031660E" w:rsidRDefault="002F3D0D" w:rsidP="001E1E70">
            <w:pPr>
              <w:spacing w:before="120" w:after="120"/>
              <w:rPr>
                <w:b w:val="0"/>
                <w:bCs w:val="0"/>
                <w:i/>
                <w:iCs/>
                <w:sz w:val="21"/>
                <w:szCs w:val="21"/>
              </w:rPr>
            </w:pPr>
            <w:r w:rsidRPr="0031660E">
              <w:rPr>
                <w:b w:val="0"/>
                <w:bCs w:val="0"/>
                <w:i/>
                <w:iCs/>
                <w:sz w:val="21"/>
                <w:szCs w:val="21"/>
              </w:rPr>
              <w:t xml:space="preserve">Private Health Insurance (Medical Devices and Human Tissue Products Levy) Rules </w:t>
            </w:r>
          </w:p>
        </w:tc>
        <w:tc>
          <w:tcPr>
            <w:tcW w:w="798" w:type="pct"/>
          </w:tcPr>
          <w:p w14:paraId="7735DF62" w14:textId="77777777" w:rsidR="002F3D0D" w:rsidRPr="0031660E" w:rsidRDefault="002F3D0D" w:rsidP="001E1E70">
            <w:pPr>
              <w:spacing w:before="120" w:after="120"/>
              <w:cnfStyle w:val="000000000000" w:firstRow="0" w:lastRow="0" w:firstColumn="0" w:lastColumn="0" w:oddVBand="0" w:evenVBand="0" w:oddHBand="0" w:evenHBand="0" w:firstRowFirstColumn="0" w:firstRowLastColumn="0" w:lastRowFirstColumn="0" w:lastRowLastColumn="0"/>
              <w:rPr>
                <w:sz w:val="21"/>
                <w:szCs w:val="21"/>
              </w:rPr>
            </w:pPr>
            <w:r w:rsidRPr="0031660E">
              <w:rPr>
                <w:sz w:val="21"/>
                <w:szCs w:val="21"/>
              </w:rPr>
              <w:t>1 July 2024</w:t>
            </w:r>
          </w:p>
        </w:tc>
        <w:tc>
          <w:tcPr>
            <w:tcW w:w="1612" w:type="pct"/>
          </w:tcPr>
          <w:p w14:paraId="68C7A790" w14:textId="77777777" w:rsidR="002F3D0D" w:rsidRPr="0031660E" w:rsidRDefault="002F3D0D" w:rsidP="001E1E70">
            <w:pPr>
              <w:spacing w:before="120" w:after="120"/>
              <w:cnfStyle w:val="000000000000" w:firstRow="0" w:lastRow="0" w:firstColumn="0" w:lastColumn="0" w:oddVBand="0" w:evenVBand="0" w:oddHBand="0" w:evenHBand="0" w:firstRowFirstColumn="0" w:firstRowLastColumn="0" w:lastRowFirstColumn="0" w:lastRowLastColumn="0"/>
              <w:rPr>
                <w:sz w:val="21"/>
                <w:szCs w:val="21"/>
              </w:rPr>
            </w:pPr>
            <w:r w:rsidRPr="0031660E">
              <w:rPr>
                <w:sz w:val="21"/>
                <w:szCs w:val="21"/>
              </w:rPr>
              <w:t>To set out the details for the charging of cost recovery levies</w:t>
            </w:r>
          </w:p>
        </w:tc>
      </w:tr>
      <w:tr w:rsidR="0031660E" w:rsidRPr="0031660E" w14:paraId="41338FC6" w14:textId="77777777" w:rsidTr="002F3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0" w:type="pct"/>
          </w:tcPr>
          <w:p w14:paraId="5A14DAE3" w14:textId="77777777" w:rsidR="002F3D0D" w:rsidRPr="0031660E" w:rsidRDefault="002F3D0D" w:rsidP="001E1E70">
            <w:pPr>
              <w:spacing w:before="120" w:after="120"/>
              <w:rPr>
                <w:b w:val="0"/>
                <w:bCs w:val="0"/>
                <w:i/>
                <w:iCs/>
                <w:sz w:val="21"/>
                <w:szCs w:val="21"/>
              </w:rPr>
            </w:pPr>
            <w:r w:rsidRPr="0031660E">
              <w:rPr>
                <w:b w:val="0"/>
                <w:bCs w:val="0"/>
                <w:i/>
                <w:iCs/>
                <w:sz w:val="21"/>
                <w:szCs w:val="21"/>
              </w:rPr>
              <w:t>Private Health Insurance (Medical Devices and Human Tissue Products Levy) Regulations</w:t>
            </w:r>
          </w:p>
        </w:tc>
        <w:tc>
          <w:tcPr>
            <w:tcW w:w="798" w:type="pct"/>
          </w:tcPr>
          <w:p w14:paraId="76456944" w14:textId="77777777" w:rsidR="002F3D0D" w:rsidRPr="0031660E" w:rsidRDefault="002F3D0D" w:rsidP="001E1E70">
            <w:pPr>
              <w:spacing w:before="120" w:after="120"/>
              <w:cnfStyle w:val="000000100000" w:firstRow="0" w:lastRow="0" w:firstColumn="0" w:lastColumn="0" w:oddVBand="0" w:evenVBand="0" w:oddHBand="1" w:evenHBand="0" w:firstRowFirstColumn="0" w:firstRowLastColumn="0" w:lastRowFirstColumn="0" w:lastRowLastColumn="0"/>
              <w:rPr>
                <w:sz w:val="21"/>
                <w:szCs w:val="21"/>
              </w:rPr>
            </w:pPr>
            <w:r w:rsidRPr="0031660E">
              <w:rPr>
                <w:sz w:val="21"/>
                <w:szCs w:val="21"/>
              </w:rPr>
              <w:t>1 July 2024</w:t>
            </w:r>
          </w:p>
        </w:tc>
        <w:tc>
          <w:tcPr>
            <w:tcW w:w="1612" w:type="pct"/>
          </w:tcPr>
          <w:p w14:paraId="5FE449D7" w14:textId="7E21CFBB" w:rsidR="002F3D0D" w:rsidRPr="0031660E" w:rsidRDefault="002F3D0D" w:rsidP="001E1E70">
            <w:pPr>
              <w:spacing w:before="120" w:after="120"/>
              <w:cnfStyle w:val="000000100000" w:firstRow="0" w:lastRow="0" w:firstColumn="0" w:lastColumn="0" w:oddVBand="0" w:evenVBand="0" w:oddHBand="1" w:evenHBand="0" w:firstRowFirstColumn="0" w:firstRowLastColumn="0" w:lastRowFirstColumn="0" w:lastRowLastColumn="0"/>
              <w:rPr>
                <w:sz w:val="21"/>
                <w:szCs w:val="21"/>
              </w:rPr>
            </w:pPr>
            <w:r w:rsidRPr="0031660E">
              <w:rPr>
                <w:sz w:val="21"/>
                <w:szCs w:val="21"/>
              </w:rPr>
              <w:t xml:space="preserve">To </w:t>
            </w:r>
            <w:r w:rsidR="00FF1DA4" w:rsidRPr="0031660E">
              <w:rPr>
                <w:sz w:val="21"/>
                <w:szCs w:val="21"/>
              </w:rPr>
              <w:t>specify</w:t>
            </w:r>
            <w:r w:rsidRPr="0031660E">
              <w:rPr>
                <w:sz w:val="21"/>
                <w:szCs w:val="21"/>
              </w:rPr>
              <w:t xml:space="preserve"> the amount to be charged for cost recovery levies</w:t>
            </w:r>
          </w:p>
        </w:tc>
      </w:tr>
      <w:tr w:rsidR="0031660E" w:rsidRPr="0031660E" w14:paraId="0957694B" w14:textId="77777777" w:rsidTr="002F3D0D">
        <w:tc>
          <w:tcPr>
            <w:cnfStyle w:val="001000000000" w:firstRow="0" w:lastRow="0" w:firstColumn="1" w:lastColumn="0" w:oddVBand="0" w:evenVBand="0" w:oddHBand="0" w:evenHBand="0" w:firstRowFirstColumn="0" w:firstRowLastColumn="0" w:lastRowFirstColumn="0" w:lastRowLastColumn="0"/>
            <w:tcW w:w="2590" w:type="pct"/>
          </w:tcPr>
          <w:p w14:paraId="795D6F5F" w14:textId="77777777" w:rsidR="002F3D0D" w:rsidRPr="0031660E" w:rsidRDefault="002F3D0D" w:rsidP="001E1E70">
            <w:pPr>
              <w:spacing w:before="120" w:after="120"/>
              <w:rPr>
                <w:rFonts w:cstheme="minorHAnsi"/>
                <w:b w:val="0"/>
                <w:bCs w:val="0"/>
                <w:i/>
                <w:iCs/>
                <w:sz w:val="21"/>
                <w:szCs w:val="21"/>
              </w:rPr>
            </w:pPr>
            <w:r w:rsidRPr="0031660E">
              <w:rPr>
                <w:b w:val="0"/>
                <w:bCs w:val="0"/>
                <w:i/>
                <w:iCs/>
                <w:sz w:val="21"/>
                <w:szCs w:val="21"/>
              </w:rPr>
              <w:t>Private Health Insurance (Levy Administration) Rules</w:t>
            </w:r>
          </w:p>
        </w:tc>
        <w:tc>
          <w:tcPr>
            <w:tcW w:w="798" w:type="pct"/>
          </w:tcPr>
          <w:p w14:paraId="277A02BD" w14:textId="77777777" w:rsidR="002F3D0D" w:rsidRPr="0031660E" w:rsidRDefault="002F3D0D" w:rsidP="001E1E70">
            <w:pPr>
              <w:spacing w:before="120" w:after="120"/>
              <w:cnfStyle w:val="000000000000" w:firstRow="0" w:lastRow="0" w:firstColumn="0" w:lastColumn="0" w:oddVBand="0" w:evenVBand="0" w:oddHBand="0" w:evenHBand="0" w:firstRowFirstColumn="0" w:firstRowLastColumn="0" w:lastRowFirstColumn="0" w:lastRowLastColumn="0"/>
              <w:rPr>
                <w:sz w:val="21"/>
                <w:szCs w:val="21"/>
              </w:rPr>
            </w:pPr>
            <w:r w:rsidRPr="0031660E">
              <w:rPr>
                <w:sz w:val="21"/>
                <w:szCs w:val="21"/>
              </w:rPr>
              <w:t>1 July 2024</w:t>
            </w:r>
          </w:p>
        </w:tc>
        <w:tc>
          <w:tcPr>
            <w:tcW w:w="1612" w:type="pct"/>
          </w:tcPr>
          <w:p w14:paraId="0EC7E155" w14:textId="77777777" w:rsidR="002F3D0D" w:rsidRPr="0031660E" w:rsidRDefault="002F3D0D" w:rsidP="001E1E70">
            <w:pPr>
              <w:spacing w:before="120" w:after="120"/>
              <w:cnfStyle w:val="000000000000" w:firstRow="0" w:lastRow="0" w:firstColumn="0" w:lastColumn="0" w:oddVBand="0" w:evenVBand="0" w:oddHBand="0" w:evenHBand="0" w:firstRowFirstColumn="0" w:firstRowLastColumn="0" w:lastRowFirstColumn="0" w:lastRowLastColumn="0"/>
              <w:rPr>
                <w:sz w:val="21"/>
                <w:szCs w:val="21"/>
              </w:rPr>
            </w:pPr>
            <w:r w:rsidRPr="0031660E">
              <w:rPr>
                <w:sz w:val="21"/>
                <w:szCs w:val="21"/>
              </w:rPr>
              <w:t>To amend overarching levy rules which apply to all Private Health Insurance levies to incorporate the new proposed cost recovery levy</w:t>
            </w:r>
          </w:p>
        </w:tc>
      </w:tr>
    </w:tbl>
    <w:p w14:paraId="2C0AC61F" w14:textId="77777777" w:rsidR="00BA2ABB" w:rsidRPr="0031660E" w:rsidRDefault="00BA2ABB" w:rsidP="00D26DA6">
      <w:pPr>
        <w:spacing w:before="120" w:after="0" w:line="240" w:lineRule="auto"/>
        <w:rPr>
          <w:rFonts w:ascii="Calibri" w:eastAsia="Times New Roman" w:hAnsi="Calibri" w:cs="Times New Roman"/>
          <w:szCs w:val="24"/>
        </w:rPr>
      </w:pPr>
    </w:p>
    <w:p w14:paraId="47A44129" w14:textId="64F5F89D" w:rsidR="007D41D6" w:rsidRPr="0031660E" w:rsidRDefault="007D41D6" w:rsidP="005C2CFE">
      <w:pPr>
        <w:pStyle w:val="Heading11"/>
      </w:pPr>
      <w:r w:rsidRPr="0031660E">
        <w:lastRenderedPageBreak/>
        <w:t xml:space="preserve">COST RECOVERY </w:t>
      </w:r>
      <w:r w:rsidR="008C6DFC" w:rsidRPr="0031660E">
        <w:t>MODEL</w:t>
      </w:r>
    </w:p>
    <w:p w14:paraId="3684B938" w14:textId="61B2571B" w:rsidR="008C6DFC" w:rsidRPr="0031660E" w:rsidRDefault="008C6DFC" w:rsidP="008C6DFC">
      <w:pPr>
        <w:spacing w:before="120" w:after="120" w:line="240" w:lineRule="auto"/>
        <w:rPr>
          <w:rFonts w:ascii="Calibri" w:eastAsia="Times New Roman" w:hAnsi="Calibri" w:cs="Times New Roman"/>
          <w:bCs/>
          <w:szCs w:val="24"/>
        </w:rPr>
      </w:pPr>
      <w:r w:rsidRPr="0031660E">
        <w:rPr>
          <w:rFonts w:ascii="Calibri" w:eastAsia="Times New Roman" w:hAnsi="Calibri" w:cs="Times New Roman"/>
          <w:bCs/>
          <w:szCs w:val="24"/>
        </w:rPr>
        <w:t>The changes to the cost recovery arrangements will result in the imposition of both fees and a levy.  The characteristics of a government activity determine the type of cost recovery charge used.  There are two types of cost recovery charges</w:t>
      </w:r>
      <w:r w:rsidR="00943D3B" w:rsidRPr="0031660E">
        <w:rPr>
          <w:rFonts w:ascii="Calibri" w:eastAsia="Times New Roman" w:hAnsi="Calibri" w:cs="Times New Roman"/>
          <w:bCs/>
          <w:szCs w:val="24"/>
        </w:rPr>
        <w:t>.</w:t>
      </w:r>
    </w:p>
    <w:p w14:paraId="1CC26DA4" w14:textId="149A73E2" w:rsidR="008C6DFC" w:rsidRPr="0031660E" w:rsidRDefault="008C6DFC" w:rsidP="008C6DFC">
      <w:pPr>
        <w:spacing w:before="120" w:after="120" w:line="240" w:lineRule="auto"/>
        <w:rPr>
          <w:rFonts w:ascii="Calibri" w:eastAsia="Times New Roman" w:hAnsi="Calibri" w:cs="Times New Roman"/>
        </w:rPr>
      </w:pPr>
      <w:r w:rsidRPr="0031660E">
        <w:rPr>
          <w:rFonts w:ascii="Calibri" w:eastAsia="Times New Roman" w:hAnsi="Calibri" w:cs="Times New Roman"/>
          <w:b/>
          <w:bCs/>
        </w:rPr>
        <w:t>Cost recovery fees</w:t>
      </w:r>
      <w:r w:rsidRPr="0031660E">
        <w:rPr>
          <w:rFonts w:ascii="Calibri" w:eastAsia="Times New Roman" w:hAnsi="Calibri" w:cs="Times New Roman"/>
        </w:rPr>
        <w:t xml:space="preserve"> will be charged where a direct relationship exists between the regulatory activity and the individual or organisation requesting that specific activity. All regulated entities are charged the same fee for the same activity. Under these circumstances, the activities </w:t>
      </w:r>
      <w:r w:rsidR="00943D3B" w:rsidRPr="0031660E">
        <w:rPr>
          <w:rFonts w:ascii="Calibri" w:eastAsia="Times New Roman" w:hAnsi="Calibri" w:cs="Times New Roman"/>
        </w:rPr>
        <w:t>performed,</w:t>
      </w:r>
      <w:r w:rsidRPr="0031660E">
        <w:rPr>
          <w:rFonts w:ascii="Calibri" w:eastAsia="Times New Roman" w:hAnsi="Calibri" w:cs="Times New Roman"/>
        </w:rPr>
        <w:t xml:space="preserve"> and their associated costs are driven by a specific need and demand created by the applicant. For example, applications for new listings on the P</w:t>
      </w:r>
      <w:r w:rsidR="00D17E3F" w:rsidRPr="0031660E">
        <w:rPr>
          <w:rFonts w:ascii="Calibri" w:eastAsia="Times New Roman" w:hAnsi="Calibri" w:cs="Times New Roman"/>
        </w:rPr>
        <w:t xml:space="preserve">rescribed </w:t>
      </w:r>
      <w:r w:rsidRPr="0031660E">
        <w:rPr>
          <w:rFonts w:ascii="Calibri" w:eastAsia="Times New Roman" w:hAnsi="Calibri" w:cs="Times New Roman"/>
        </w:rPr>
        <w:t>L</w:t>
      </w:r>
      <w:r w:rsidR="00D17E3F" w:rsidRPr="0031660E">
        <w:rPr>
          <w:rFonts w:ascii="Calibri" w:eastAsia="Times New Roman" w:hAnsi="Calibri" w:cs="Times New Roman"/>
        </w:rPr>
        <w:t>ist</w:t>
      </w:r>
      <w:r w:rsidRPr="0031660E">
        <w:rPr>
          <w:rFonts w:ascii="Calibri" w:eastAsia="Times New Roman" w:hAnsi="Calibri" w:cs="Times New Roman"/>
        </w:rPr>
        <w:t xml:space="preserve"> will be charged a cost recovery fee.</w:t>
      </w:r>
    </w:p>
    <w:p w14:paraId="59982B0D" w14:textId="583E1793" w:rsidR="0067745B" w:rsidRPr="0031660E" w:rsidRDefault="008C6DFC" w:rsidP="003A6B65">
      <w:r w:rsidRPr="0031660E">
        <w:rPr>
          <w:b/>
          <w:bCs/>
        </w:rPr>
        <w:t>Cost recovery levy</w:t>
      </w:r>
      <w:r w:rsidRPr="0031660E">
        <w:t xml:space="preserve"> will be charged when the cost of the activity can be reasonably attributed to a broader group of organisations (or individuals) rather than a single entity. In these instances, the level of demand for Government activity or intervention is collectively driven by the industry </w:t>
      </w:r>
      <w:proofErr w:type="gramStart"/>
      <w:r w:rsidRPr="0031660E">
        <w:t>as a whole rather</w:t>
      </w:r>
      <w:proofErr w:type="gramEnd"/>
      <w:r w:rsidRPr="0031660E">
        <w:t xml:space="preserve"> than a single entity within it. For example, ongoing management of already-listed items on the P</w:t>
      </w:r>
      <w:r w:rsidR="00D17E3F" w:rsidRPr="0031660E">
        <w:t xml:space="preserve">rescribed </w:t>
      </w:r>
      <w:r w:rsidRPr="0031660E">
        <w:t>L</w:t>
      </w:r>
      <w:r w:rsidR="00D17E3F" w:rsidRPr="0031660E">
        <w:t>ist</w:t>
      </w:r>
      <w:r w:rsidRPr="0031660E">
        <w:t xml:space="preserve"> will be funded through a levy payable by the </w:t>
      </w:r>
      <w:proofErr w:type="gramStart"/>
      <w:r w:rsidRPr="0031660E">
        <w:t>industry as a whole</w:t>
      </w:r>
      <w:proofErr w:type="gramEnd"/>
      <w:r w:rsidRPr="0031660E">
        <w:t>.</w:t>
      </w:r>
    </w:p>
    <w:p w14:paraId="617F83DB" w14:textId="0239C045" w:rsidR="00E34BC5" w:rsidRPr="0031660E" w:rsidRDefault="00E34BC5" w:rsidP="00E34BC5">
      <w:pPr>
        <w:pStyle w:val="Heading2"/>
      </w:pPr>
      <w:r w:rsidRPr="0031660E">
        <w:t xml:space="preserve">Regulatory activities included in the </w:t>
      </w:r>
      <w:proofErr w:type="gramStart"/>
      <w:r w:rsidRPr="0031660E">
        <w:t>model</w:t>
      </w:r>
      <w:proofErr w:type="gramEnd"/>
    </w:p>
    <w:p w14:paraId="0961E2E2" w14:textId="6C75375B" w:rsidR="009455AA" w:rsidRPr="0031660E" w:rsidRDefault="009455AA" w:rsidP="009455AA">
      <w:pPr>
        <w:spacing w:before="120" w:after="120" w:line="240" w:lineRule="auto"/>
        <w:contextualSpacing/>
        <w:rPr>
          <w:rFonts w:ascii="Calibri" w:eastAsia="Times New Roman" w:hAnsi="Calibri" w:cs="Times New Roman"/>
          <w:bCs/>
          <w:szCs w:val="24"/>
        </w:rPr>
      </w:pPr>
      <w:r w:rsidRPr="0031660E">
        <w:rPr>
          <w:rFonts w:ascii="Calibri" w:eastAsia="Times New Roman" w:hAnsi="Calibri" w:cs="Times New Roman"/>
          <w:bCs/>
          <w:szCs w:val="24"/>
        </w:rPr>
        <w:t>The following business processes are included for each cost recovery fee and the cost recovery levy.</w:t>
      </w:r>
      <w:r w:rsidR="009133D9" w:rsidRPr="0031660E">
        <w:rPr>
          <w:rFonts w:ascii="Calibri" w:eastAsia="Times New Roman" w:hAnsi="Calibri" w:cs="Times New Roman"/>
          <w:bCs/>
          <w:szCs w:val="24"/>
        </w:rPr>
        <w:t xml:space="preserve"> The table also outlines what assessment pathway (Tier) that a relevant fee would be liable to be paid.</w:t>
      </w:r>
    </w:p>
    <w:p w14:paraId="06BD2078" w14:textId="77777777" w:rsidR="00A02C40" w:rsidRPr="0031660E" w:rsidRDefault="00A02C40" w:rsidP="009455AA">
      <w:pPr>
        <w:spacing w:before="120" w:after="120" w:line="240" w:lineRule="auto"/>
        <w:contextualSpacing/>
        <w:rPr>
          <w:rFonts w:ascii="Calibri" w:eastAsia="Times New Roman" w:hAnsi="Calibri" w:cs="Times New Roman"/>
          <w:bCs/>
          <w:szCs w:val="24"/>
        </w:rPr>
      </w:pPr>
    </w:p>
    <w:p w14:paraId="2713DE3D" w14:textId="3D98EEAC" w:rsidR="009455AA" w:rsidRPr="0031660E" w:rsidRDefault="00A02C40" w:rsidP="009455AA">
      <w:pPr>
        <w:spacing w:before="120" w:after="120" w:line="240" w:lineRule="auto"/>
        <w:contextualSpacing/>
        <w:rPr>
          <w:rFonts w:ascii="Calibri" w:eastAsia="Times New Roman" w:hAnsi="Calibri" w:cs="Times New Roman"/>
          <w:b/>
          <w:bCs/>
        </w:rPr>
      </w:pPr>
      <w:r w:rsidRPr="0031660E">
        <w:rPr>
          <w:rFonts w:ascii="Calibri" w:eastAsia="Times New Roman" w:hAnsi="Calibri" w:cs="Times New Roman"/>
          <w:b/>
          <w:bCs/>
        </w:rPr>
        <w:t>Table 2.  Charge categories and business processes</w:t>
      </w:r>
    </w:p>
    <w:tbl>
      <w:tblPr>
        <w:tblStyle w:val="ListTable3"/>
        <w:tblW w:w="5000" w:type="pct"/>
        <w:tblLook w:val="04A0" w:firstRow="1" w:lastRow="0" w:firstColumn="1" w:lastColumn="0" w:noHBand="0" w:noVBand="1"/>
      </w:tblPr>
      <w:tblGrid>
        <w:gridCol w:w="1529"/>
        <w:gridCol w:w="2151"/>
        <w:gridCol w:w="5336"/>
      </w:tblGrid>
      <w:tr w:rsidR="0031660E" w:rsidRPr="0031660E" w14:paraId="0A736969" w14:textId="77777777" w:rsidTr="004C45B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8" w:type="pct"/>
            <w:hideMark/>
          </w:tcPr>
          <w:p w14:paraId="404186DA" w14:textId="2F09095D" w:rsidR="00A02C40" w:rsidRPr="0031660E" w:rsidRDefault="00A02C40" w:rsidP="009737EE">
            <w:pPr>
              <w:spacing w:before="120" w:after="120"/>
              <w:contextualSpacing/>
              <w:rPr>
                <w:rFonts w:ascii="Calibri" w:eastAsia="Times New Roman" w:hAnsi="Calibri" w:cs="Times New Roman"/>
                <w:color w:val="auto"/>
              </w:rPr>
            </w:pPr>
            <w:r w:rsidRPr="0031660E">
              <w:rPr>
                <w:rFonts w:ascii="Calibri" w:eastAsia="Times New Roman" w:hAnsi="Calibri" w:cs="Times New Roman"/>
                <w:color w:val="auto"/>
              </w:rPr>
              <w:t xml:space="preserve">Fee </w:t>
            </w:r>
            <w:r w:rsidR="00B96F3E" w:rsidRPr="0031660E">
              <w:rPr>
                <w:rFonts w:ascii="Calibri" w:eastAsia="Times New Roman" w:hAnsi="Calibri" w:cs="Times New Roman"/>
                <w:color w:val="auto"/>
              </w:rPr>
              <w:t>Name</w:t>
            </w:r>
          </w:p>
        </w:tc>
        <w:tc>
          <w:tcPr>
            <w:tcW w:w="1193" w:type="pct"/>
          </w:tcPr>
          <w:p w14:paraId="54F2D2CB" w14:textId="08B8F634" w:rsidR="00A02C40" w:rsidRPr="0031660E" w:rsidRDefault="00B96F3E" w:rsidP="009737EE">
            <w:pPr>
              <w:spacing w:before="120" w:after="120"/>
              <w:contextualSpacing/>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31660E">
              <w:rPr>
                <w:rFonts w:ascii="Calibri" w:eastAsia="Times New Roman" w:hAnsi="Calibri" w:cs="Times New Roman"/>
                <w:color w:val="auto"/>
              </w:rPr>
              <w:t xml:space="preserve">Which </w:t>
            </w:r>
            <w:r w:rsidR="008E74B3" w:rsidRPr="0031660E">
              <w:rPr>
                <w:rFonts w:ascii="Calibri" w:eastAsia="Times New Roman" w:hAnsi="Calibri" w:cs="Times New Roman"/>
                <w:color w:val="auto"/>
              </w:rPr>
              <w:t xml:space="preserve">Assessment </w:t>
            </w:r>
            <w:r w:rsidR="00A02C40" w:rsidRPr="0031660E">
              <w:rPr>
                <w:rFonts w:ascii="Calibri" w:eastAsia="Times New Roman" w:hAnsi="Calibri" w:cs="Times New Roman"/>
                <w:color w:val="auto"/>
              </w:rPr>
              <w:t>Pathway</w:t>
            </w:r>
            <w:r w:rsidRPr="0031660E">
              <w:rPr>
                <w:rFonts w:ascii="Calibri" w:eastAsia="Times New Roman" w:hAnsi="Calibri" w:cs="Times New Roman"/>
                <w:color w:val="auto"/>
              </w:rPr>
              <w:t xml:space="preserve"> (Tier) Would Pay this Fee?</w:t>
            </w:r>
          </w:p>
        </w:tc>
        <w:tc>
          <w:tcPr>
            <w:tcW w:w="2959" w:type="pct"/>
            <w:hideMark/>
          </w:tcPr>
          <w:p w14:paraId="2CDF37FB" w14:textId="433B4C81" w:rsidR="00A02C40" w:rsidRPr="0031660E" w:rsidRDefault="00A02C40" w:rsidP="009737EE">
            <w:pPr>
              <w:spacing w:before="120" w:after="120"/>
              <w:contextualSpacing/>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rPr>
            </w:pPr>
            <w:r w:rsidRPr="0031660E">
              <w:rPr>
                <w:rFonts w:ascii="Calibri" w:eastAsia="Times New Roman" w:hAnsi="Calibri" w:cs="Times New Roman"/>
                <w:color w:val="auto"/>
              </w:rPr>
              <w:t>Business Processes (Description of service)</w:t>
            </w:r>
          </w:p>
        </w:tc>
      </w:tr>
      <w:tr w:rsidR="0031660E" w:rsidRPr="0031660E" w14:paraId="1D4F5C1D" w14:textId="77777777" w:rsidTr="00A02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8" w:type="pct"/>
            <w:hideMark/>
          </w:tcPr>
          <w:p w14:paraId="089F90BA" w14:textId="1DBB2FEE" w:rsidR="00A02C40" w:rsidRPr="0031660E" w:rsidRDefault="00710B90" w:rsidP="009737EE">
            <w:pPr>
              <w:spacing w:before="120" w:after="120"/>
              <w:contextualSpacing/>
              <w:rPr>
                <w:rFonts w:ascii="Calibri" w:eastAsia="Times New Roman" w:hAnsi="Calibri" w:cs="Times New Roman"/>
              </w:rPr>
            </w:pPr>
            <w:r w:rsidRPr="0031660E">
              <w:rPr>
                <w:rFonts w:ascii="Calibri" w:eastAsia="Times New Roman" w:hAnsi="Calibri" w:cs="Times New Roman"/>
              </w:rPr>
              <w:t>Standard Application</w:t>
            </w:r>
            <w:r w:rsidR="00A02C40" w:rsidRPr="0031660E">
              <w:rPr>
                <w:rFonts w:ascii="Calibri" w:eastAsia="Times New Roman" w:hAnsi="Calibri" w:cs="Times New Roman"/>
              </w:rPr>
              <w:t xml:space="preserve"> Fee </w:t>
            </w:r>
          </w:p>
        </w:tc>
        <w:tc>
          <w:tcPr>
            <w:tcW w:w="1193" w:type="pct"/>
          </w:tcPr>
          <w:p w14:paraId="5FC15E86" w14:textId="0DB8F512" w:rsidR="00A02C40" w:rsidRPr="0031660E" w:rsidRDefault="00A02C40" w:rsidP="00F232F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31660E">
              <w:rPr>
                <w:rFonts w:cstheme="minorHAnsi"/>
                <w:sz w:val="21"/>
                <w:szCs w:val="21"/>
              </w:rPr>
              <w:t xml:space="preserve">Tier </w:t>
            </w:r>
            <w:proofErr w:type="gramStart"/>
            <w:r w:rsidRPr="0031660E">
              <w:rPr>
                <w:rFonts w:cstheme="minorHAnsi"/>
                <w:sz w:val="21"/>
                <w:szCs w:val="21"/>
              </w:rPr>
              <w:t>1</w:t>
            </w:r>
            <w:r w:rsidR="00C01401" w:rsidRPr="0031660E">
              <w:rPr>
                <w:rFonts w:cstheme="minorHAnsi"/>
                <w:sz w:val="21"/>
                <w:szCs w:val="21"/>
              </w:rPr>
              <w:t>;</w:t>
            </w:r>
            <w:proofErr w:type="gramEnd"/>
          </w:p>
          <w:p w14:paraId="6AC3F4D6" w14:textId="5821E7C5" w:rsidR="00A02C40" w:rsidRPr="0031660E" w:rsidRDefault="00A02C40" w:rsidP="00F232F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31660E">
              <w:rPr>
                <w:rFonts w:cstheme="minorHAnsi"/>
                <w:sz w:val="21"/>
                <w:szCs w:val="21"/>
              </w:rPr>
              <w:t xml:space="preserve">Tier </w:t>
            </w:r>
            <w:proofErr w:type="gramStart"/>
            <w:r w:rsidRPr="0031660E">
              <w:rPr>
                <w:rFonts w:cstheme="minorHAnsi"/>
                <w:sz w:val="21"/>
                <w:szCs w:val="21"/>
              </w:rPr>
              <w:t>2a</w:t>
            </w:r>
            <w:r w:rsidR="00C01401" w:rsidRPr="0031660E">
              <w:rPr>
                <w:rFonts w:cstheme="minorHAnsi"/>
                <w:sz w:val="21"/>
                <w:szCs w:val="21"/>
              </w:rPr>
              <w:t>;</w:t>
            </w:r>
            <w:proofErr w:type="gramEnd"/>
          </w:p>
          <w:p w14:paraId="6071F988" w14:textId="5723252F" w:rsidR="00A02C40" w:rsidRPr="0031660E" w:rsidRDefault="00A02C40" w:rsidP="00F232F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31660E">
              <w:rPr>
                <w:rFonts w:cstheme="minorHAnsi"/>
                <w:sz w:val="21"/>
                <w:szCs w:val="21"/>
              </w:rPr>
              <w:t>Tier 2b</w:t>
            </w:r>
            <w:r w:rsidR="00B96F3E" w:rsidRPr="0031660E">
              <w:rPr>
                <w:rFonts w:cstheme="minorHAnsi"/>
                <w:sz w:val="21"/>
                <w:szCs w:val="21"/>
              </w:rPr>
              <w:t xml:space="preserve"> (simple, complex and other)</w:t>
            </w:r>
            <w:r w:rsidR="00C01401" w:rsidRPr="0031660E">
              <w:rPr>
                <w:rFonts w:cstheme="minorHAnsi"/>
                <w:sz w:val="21"/>
                <w:szCs w:val="21"/>
              </w:rPr>
              <w:t>;</w:t>
            </w:r>
            <w:r w:rsidR="00B96F3E" w:rsidRPr="0031660E">
              <w:rPr>
                <w:rFonts w:cstheme="minorHAnsi"/>
                <w:sz w:val="21"/>
                <w:szCs w:val="21"/>
              </w:rPr>
              <w:t xml:space="preserve"> and</w:t>
            </w:r>
          </w:p>
          <w:p w14:paraId="0E1D4466" w14:textId="6123DB22" w:rsidR="00A02C40" w:rsidRPr="0031660E" w:rsidRDefault="00A02C40" w:rsidP="004C45B8">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31660E">
              <w:rPr>
                <w:rFonts w:cstheme="minorHAnsi"/>
                <w:sz w:val="21"/>
                <w:szCs w:val="21"/>
              </w:rPr>
              <w:t>Tier 3</w:t>
            </w:r>
          </w:p>
        </w:tc>
        <w:tc>
          <w:tcPr>
            <w:tcW w:w="2959" w:type="pct"/>
          </w:tcPr>
          <w:p w14:paraId="6C7FF028" w14:textId="028D9F19" w:rsidR="00A02C40" w:rsidRPr="0031660E" w:rsidRDefault="00A02C40" w:rsidP="009737EE">
            <w:pPr>
              <w:spacing w:before="120" w:after="120"/>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31660E">
              <w:rPr>
                <w:rFonts w:ascii="Calibri" w:eastAsia="Times New Roman" w:hAnsi="Calibri" w:cs="Times New Roman"/>
              </w:rPr>
              <w:t>The following activities are included:</w:t>
            </w:r>
          </w:p>
          <w:p w14:paraId="032D1E67" w14:textId="67795D07" w:rsidR="00A02C40" w:rsidRPr="0031660E" w:rsidRDefault="00943D3B" w:rsidP="00F232FD">
            <w:pPr>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31660E">
              <w:rPr>
                <w:rFonts w:cstheme="minorHAnsi"/>
                <w:sz w:val="21"/>
                <w:szCs w:val="21"/>
              </w:rPr>
              <w:t>d</w:t>
            </w:r>
            <w:r w:rsidR="00A02C40" w:rsidRPr="0031660E">
              <w:rPr>
                <w:rFonts w:cstheme="minorHAnsi"/>
                <w:sz w:val="21"/>
                <w:szCs w:val="21"/>
              </w:rPr>
              <w:t xml:space="preserve">epartment assessment of </w:t>
            </w:r>
            <w:proofErr w:type="gramStart"/>
            <w:r w:rsidR="00A02C40" w:rsidRPr="0031660E">
              <w:rPr>
                <w:rFonts w:cstheme="minorHAnsi"/>
                <w:sz w:val="21"/>
                <w:szCs w:val="21"/>
              </w:rPr>
              <w:t>application</w:t>
            </w:r>
            <w:r w:rsidRPr="0031660E">
              <w:rPr>
                <w:rFonts w:cstheme="minorHAnsi"/>
                <w:sz w:val="21"/>
                <w:szCs w:val="21"/>
              </w:rPr>
              <w:t>;</w:t>
            </w:r>
            <w:proofErr w:type="gramEnd"/>
          </w:p>
          <w:p w14:paraId="74F4103C" w14:textId="3E7DA363" w:rsidR="00A02C40" w:rsidRPr="0031660E" w:rsidRDefault="00943D3B" w:rsidP="00F232FD">
            <w:pPr>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31660E">
              <w:rPr>
                <w:rFonts w:cstheme="minorHAnsi"/>
                <w:sz w:val="21"/>
                <w:szCs w:val="21"/>
              </w:rPr>
              <w:t>a</w:t>
            </w:r>
            <w:r w:rsidR="00A02C40" w:rsidRPr="0031660E">
              <w:rPr>
                <w:rFonts w:cstheme="minorHAnsi"/>
                <w:sz w:val="21"/>
                <w:szCs w:val="21"/>
              </w:rPr>
              <w:t>dministrative processing of the request following application submission through H</w:t>
            </w:r>
            <w:r w:rsidRPr="0031660E">
              <w:rPr>
                <w:rFonts w:cstheme="minorHAnsi"/>
                <w:sz w:val="21"/>
                <w:szCs w:val="21"/>
              </w:rPr>
              <w:t xml:space="preserve">ealth </w:t>
            </w:r>
            <w:r w:rsidR="00A02C40" w:rsidRPr="0031660E">
              <w:rPr>
                <w:rFonts w:cstheme="minorHAnsi"/>
                <w:sz w:val="21"/>
                <w:szCs w:val="21"/>
              </w:rPr>
              <w:t>P</w:t>
            </w:r>
            <w:r w:rsidRPr="0031660E">
              <w:rPr>
                <w:rFonts w:cstheme="minorHAnsi"/>
                <w:sz w:val="21"/>
                <w:szCs w:val="21"/>
              </w:rPr>
              <w:t xml:space="preserve">roducts </w:t>
            </w:r>
            <w:r w:rsidR="00A02C40" w:rsidRPr="0031660E">
              <w:rPr>
                <w:rFonts w:cstheme="minorHAnsi"/>
                <w:sz w:val="21"/>
                <w:szCs w:val="21"/>
              </w:rPr>
              <w:t>P</w:t>
            </w:r>
            <w:r w:rsidRPr="0031660E">
              <w:rPr>
                <w:rFonts w:cstheme="minorHAnsi"/>
                <w:sz w:val="21"/>
                <w:szCs w:val="21"/>
              </w:rPr>
              <w:t>ortal (HPP</w:t>
            </w:r>
            <w:proofErr w:type="gramStart"/>
            <w:r w:rsidRPr="0031660E">
              <w:rPr>
                <w:rFonts w:cstheme="minorHAnsi"/>
                <w:sz w:val="21"/>
                <w:szCs w:val="21"/>
              </w:rPr>
              <w:t>);</w:t>
            </w:r>
            <w:proofErr w:type="gramEnd"/>
          </w:p>
          <w:p w14:paraId="521FBE31" w14:textId="0163A52A" w:rsidR="00A02C40" w:rsidRPr="0031660E" w:rsidRDefault="00943D3B" w:rsidP="00F232FD">
            <w:pPr>
              <w:numPr>
                <w:ilvl w:val="0"/>
                <w:numId w:val="10"/>
              </w:numPr>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31660E">
              <w:rPr>
                <w:rFonts w:cstheme="minorHAnsi"/>
                <w:sz w:val="21"/>
                <w:szCs w:val="21"/>
              </w:rPr>
              <w:t>d</w:t>
            </w:r>
            <w:r w:rsidR="00A02C40" w:rsidRPr="0031660E">
              <w:rPr>
                <w:rFonts w:cstheme="minorHAnsi"/>
                <w:sz w:val="21"/>
                <w:szCs w:val="21"/>
              </w:rPr>
              <w:t>epartmental preparation of relevant legislation</w:t>
            </w:r>
            <w:r w:rsidRPr="0031660E">
              <w:rPr>
                <w:rFonts w:cstheme="minorHAnsi"/>
                <w:sz w:val="21"/>
                <w:szCs w:val="21"/>
              </w:rPr>
              <w:t xml:space="preserve">; and </w:t>
            </w:r>
          </w:p>
          <w:p w14:paraId="26D03A0A" w14:textId="6B6D8FFF" w:rsidR="00A02C40" w:rsidRPr="0031660E" w:rsidRDefault="00943D3B" w:rsidP="00F232FD">
            <w:pPr>
              <w:numPr>
                <w:ilvl w:val="0"/>
                <w:numId w:val="9"/>
              </w:numPr>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31660E">
              <w:rPr>
                <w:rFonts w:cstheme="minorHAnsi"/>
                <w:sz w:val="21"/>
                <w:szCs w:val="21"/>
              </w:rPr>
              <w:t>d</w:t>
            </w:r>
            <w:r w:rsidR="00A02C40" w:rsidRPr="0031660E">
              <w:rPr>
                <w:rFonts w:cstheme="minorHAnsi"/>
                <w:sz w:val="21"/>
                <w:szCs w:val="21"/>
              </w:rPr>
              <w:t>epartmental invoicing for application cost recovery</w:t>
            </w:r>
            <w:r w:rsidR="00C01401" w:rsidRPr="0031660E">
              <w:rPr>
                <w:rFonts w:cstheme="minorHAnsi"/>
                <w:sz w:val="21"/>
                <w:szCs w:val="21"/>
              </w:rPr>
              <w:t>.</w:t>
            </w:r>
          </w:p>
        </w:tc>
      </w:tr>
      <w:tr w:rsidR="0031660E" w:rsidRPr="0031660E" w14:paraId="2FF3F435" w14:textId="77777777" w:rsidTr="00A02C40">
        <w:tc>
          <w:tcPr>
            <w:cnfStyle w:val="001000000000" w:firstRow="0" w:lastRow="0" w:firstColumn="1" w:lastColumn="0" w:oddVBand="0" w:evenVBand="0" w:oddHBand="0" w:evenHBand="0" w:firstRowFirstColumn="0" w:firstRowLastColumn="0" w:lastRowFirstColumn="0" w:lastRowLastColumn="0"/>
            <w:tcW w:w="848" w:type="pct"/>
          </w:tcPr>
          <w:p w14:paraId="088D8D25" w14:textId="77777777" w:rsidR="00A02C40" w:rsidRPr="0031660E" w:rsidRDefault="00A02C40" w:rsidP="009737EE">
            <w:pPr>
              <w:spacing w:before="120" w:after="120"/>
              <w:contextualSpacing/>
              <w:rPr>
                <w:rFonts w:ascii="Calibri" w:eastAsia="Times New Roman" w:hAnsi="Calibri" w:cs="Times New Roman"/>
              </w:rPr>
            </w:pPr>
            <w:r w:rsidRPr="0031660E">
              <w:rPr>
                <w:rFonts w:ascii="Calibri" w:eastAsia="Times New Roman" w:hAnsi="Calibri" w:cs="Times New Roman"/>
              </w:rPr>
              <w:t>Clinical Assessment Fee</w:t>
            </w:r>
          </w:p>
        </w:tc>
        <w:tc>
          <w:tcPr>
            <w:tcW w:w="1193" w:type="pct"/>
          </w:tcPr>
          <w:p w14:paraId="7767F7C8" w14:textId="7ECD34C5" w:rsidR="00A02C40" w:rsidRPr="0031660E" w:rsidRDefault="00A02C40" w:rsidP="00F232FD">
            <w:pPr>
              <w:numPr>
                <w:ilvl w:val="0"/>
                <w:numId w:val="11"/>
              </w:numPr>
              <w:ind w:left="360"/>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Tier 2a</w:t>
            </w:r>
            <w:r w:rsidR="00C01401" w:rsidRPr="0031660E">
              <w:rPr>
                <w:rFonts w:cstheme="minorHAnsi"/>
                <w:sz w:val="21"/>
                <w:szCs w:val="21"/>
                <w:lang w:val="en-US"/>
              </w:rPr>
              <w:t>;</w:t>
            </w:r>
            <w:r w:rsidR="00B96F3E" w:rsidRPr="0031660E">
              <w:rPr>
                <w:rFonts w:cstheme="minorHAnsi"/>
                <w:sz w:val="21"/>
                <w:szCs w:val="21"/>
                <w:lang w:val="en-US"/>
              </w:rPr>
              <w:t xml:space="preserve"> and</w:t>
            </w:r>
          </w:p>
          <w:p w14:paraId="06752A82" w14:textId="4DD5080D" w:rsidR="00A02C40" w:rsidRPr="0031660E" w:rsidRDefault="00A02C40" w:rsidP="00F232FD">
            <w:pPr>
              <w:numPr>
                <w:ilvl w:val="0"/>
                <w:numId w:val="11"/>
              </w:numPr>
              <w:ind w:left="360"/>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Tier 2b</w:t>
            </w:r>
            <w:r w:rsidR="00B96F3E" w:rsidRPr="0031660E">
              <w:rPr>
                <w:rFonts w:cstheme="minorHAnsi"/>
                <w:sz w:val="21"/>
                <w:szCs w:val="21"/>
                <w:lang w:val="en-US"/>
              </w:rPr>
              <w:t xml:space="preserve"> (simple, </w:t>
            </w:r>
            <w:proofErr w:type="gramStart"/>
            <w:r w:rsidR="00B96F3E" w:rsidRPr="0031660E">
              <w:rPr>
                <w:rFonts w:cstheme="minorHAnsi"/>
                <w:sz w:val="21"/>
                <w:szCs w:val="21"/>
                <w:lang w:val="en-US"/>
              </w:rPr>
              <w:t>complex</w:t>
            </w:r>
            <w:proofErr w:type="gramEnd"/>
            <w:r w:rsidR="00B96F3E" w:rsidRPr="0031660E">
              <w:rPr>
                <w:rFonts w:cstheme="minorHAnsi"/>
                <w:sz w:val="21"/>
                <w:szCs w:val="21"/>
                <w:lang w:val="en-US"/>
              </w:rPr>
              <w:t xml:space="preserve"> and other)</w:t>
            </w:r>
          </w:p>
        </w:tc>
        <w:tc>
          <w:tcPr>
            <w:tcW w:w="2959" w:type="pct"/>
          </w:tcPr>
          <w:p w14:paraId="396C784B" w14:textId="13D5A705" w:rsidR="00A02C40" w:rsidRPr="0031660E" w:rsidRDefault="00A02C40" w:rsidP="009737EE">
            <w:pPr>
              <w:spacing w:before="120" w:after="12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31660E">
              <w:rPr>
                <w:rFonts w:ascii="Calibri" w:eastAsia="Times New Roman" w:hAnsi="Calibri" w:cs="Times New Roman"/>
              </w:rPr>
              <w:t>The following business processes are included:</w:t>
            </w:r>
          </w:p>
          <w:p w14:paraId="114FA366" w14:textId="25FEAF48" w:rsidR="00A02C40" w:rsidRPr="0031660E" w:rsidRDefault="00943D3B" w:rsidP="00F232FD">
            <w:pPr>
              <w:numPr>
                <w:ilvl w:val="0"/>
                <w:numId w:val="11"/>
              </w:numPr>
              <w:ind w:left="360"/>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c</w:t>
            </w:r>
            <w:r w:rsidR="00A02C40" w:rsidRPr="0031660E">
              <w:rPr>
                <w:rFonts w:cstheme="minorHAnsi"/>
                <w:sz w:val="21"/>
                <w:szCs w:val="21"/>
                <w:lang w:val="en-US"/>
              </w:rPr>
              <w:t xml:space="preserve">linical and expert advice sought to assess the clinical aspects of the </w:t>
            </w:r>
            <w:proofErr w:type="gramStart"/>
            <w:r w:rsidR="00A02C40" w:rsidRPr="0031660E">
              <w:rPr>
                <w:rFonts w:cstheme="minorHAnsi"/>
                <w:sz w:val="21"/>
                <w:szCs w:val="21"/>
                <w:lang w:val="en-US"/>
              </w:rPr>
              <w:t>application</w:t>
            </w:r>
            <w:r w:rsidRPr="0031660E">
              <w:rPr>
                <w:rFonts w:cstheme="minorHAnsi"/>
                <w:sz w:val="21"/>
                <w:szCs w:val="21"/>
                <w:lang w:val="en-US"/>
              </w:rPr>
              <w:t>;</w:t>
            </w:r>
            <w:proofErr w:type="gramEnd"/>
          </w:p>
          <w:p w14:paraId="373C44D7" w14:textId="609BD806" w:rsidR="00A02C40" w:rsidRPr="0031660E" w:rsidRDefault="00943D3B" w:rsidP="00F232FD">
            <w:pPr>
              <w:numPr>
                <w:ilvl w:val="0"/>
                <w:numId w:val="9"/>
              </w:numP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a</w:t>
            </w:r>
            <w:r w:rsidR="00A02C40" w:rsidRPr="0031660E">
              <w:rPr>
                <w:rFonts w:cstheme="minorHAnsi"/>
                <w:sz w:val="21"/>
                <w:szCs w:val="21"/>
                <w:lang w:val="en-US"/>
              </w:rPr>
              <w:t xml:space="preserve">dministrative processing of the request following application submission through </w:t>
            </w:r>
            <w:proofErr w:type="gramStart"/>
            <w:r w:rsidR="00A02C40" w:rsidRPr="0031660E">
              <w:rPr>
                <w:rFonts w:cstheme="minorHAnsi"/>
                <w:sz w:val="21"/>
                <w:szCs w:val="21"/>
                <w:lang w:val="en-US"/>
              </w:rPr>
              <w:t>HPP</w:t>
            </w:r>
            <w:r w:rsidRPr="0031660E">
              <w:rPr>
                <w:rFonts w:cstheme="minorHAnsi"/>
                <w:sz w:val="21"/>
                <w:szCs w:val="21"/>
                <w:lang w:val="en-US"/>
              </w:rPr>
              <w:t>;</w:t>
            </w:r>
            <w:proofErr w:type="gramEnd"/>
          </w:p>
          <w:p w14:paraId="1E29BC35" w14:textId="0E6E9ACE" w:rsidR="00A02C40" w:rsidRPr="0031660E" w:rsidRDefault="00943D3B" w:rsidP="00F232FD">
            <w:pPr>
              <w:numPr>
                <w:ilvl w:val="0"/>
                <w:numId w:val="11"/>
              </w:numPr>
              <w:ind w:left="360"/>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d</w:t>
            </w:r>
            <w:r w:rsidR="00A02C40" w:rsidRPr="0031660E">
              <w:rPr>
                <w:rFonts w:cstheme="minorHAnsi"/>
                <w:sz w:val="21"/>
                <w:szCs w:val="21"/>
                <w:lang w:val="en-US"/>
              </w:rPr>
              <w:t xml:space="preserve">epartmental preparation of relevant </w:t>
            </w:r>
            <w:proofErr w:type="gramStart"/>
            <w:r w:rsidR="00A02C40" w:rsidRPr="0031660E">
              <w:rPr>
                <w:rFonts w:cstheme="minorHAnsi"/>
                <w:sz w:val="21"/>
                <w:szCs w:val="21"/>
                <w:lang w:val="en-US"/>
              </w:rPr>
              <w:t>legislation</w:t>
            </w:r>
            <w:r w:rsidRPr="0031660E">
              <w:rPr>
                <w:rFonts w:cstheme="minorHAnsi"/>
                <w:sz w:val="21"/>
                <w:szCs w:val="21"/>
                <w:lang w:val="en-US"/>
              </w:rPr>
              <w:t>;</w:t>
            </w:r>
            <w:proofErr w:type="gramEnd"/>
          </w:p>
          <w:p w14:paraId="4225F766" w14:textId="555554E5" w:rsidR="00A02C40" w:rsidRPr="0031660E" w:rsidRDefault="00943D3B" w:rsidP="00F232FD">
            <w:pPr>
              <w:numPr>
                <w:ilvl w:val="0"/>
                <w:numId w:val="11"/>
              </w:numPr>
              <w:ind w:left="360"/>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d</w:t>
            </w:r>
            <w:r w:rsidR="00A02C40" w:rsidRPr="0031660E">
              <w:rPr>
                <w:rFonts w:cstheme="minorHAnsi"/>
                <w:sz w:val="21"/>
                <w:szCs w:val="21"/>
                <w:lang w:val="en-US"/>
              </w:rPr>
              <w:t>epartmental invoicing for application cost recovery</w:t>
            </w:r>
            <w:r w:rsidRPr="0031660E">
              <w:rPr>
                <w:rFonts w:cstheme="minorHAnsi"/>
                <w:sz w:val="21"/>
                <w:szCs w:val="21"/>
                <w:lang w:val="en-US"/>
              </w:rPr>
              <w:t>; and</w:t>
            </w:r>
          </w:p>
          <w:p w14:paraId="4590DC18" w14:textId="45A6C1FD" w:rsidR="00A02C40" w:rsidRPr="0031660E" w:rsidRDefault="00943D3B" w:rsidP="00F232FD">
            <w:pPr>
              <w:numPr>
                <w:ilvl w:val="0"/>
                <w:numId w:val="11"/>
              </w:numPr>
              <w:ind w:left="360"/>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a</w:t>
            </w:r>
            <w:r w:rsidR="00A02C40" w:rsidRPr="0031660E">
              <w:rPr>
                <w:rFonts w:cstheme="minorHAnsi"/>
                <w:sz w:val="21"/>
                <w:szCs w:val="21"/>
                <w:lang w:val="en-US"/>
              </w:rPr>
              <w:t>pplication assessment and recommendation by HTA committees:</w:t>
            </w:r>
          </w:p>
          <w:p w14:paraId="61586EF7" w14:textId="296CD6DC" w:rsidR="00A02C40" w:rsidRPr="0031660E" w:rsidRDefault="00943D3B" w:rsidP="00F232F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ECAGs; and</w:t>
            </w:r>
          </w:p>
          <w:p w14:paraId="18A5E94D" w14:textId="267D46C5" w:rsidR="00A02C40" w:rsidRPr="0031660E" w:rsidRDefault="00A02C40" w:rsidP="00F232FD">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rsidRPr="0031660E">
              <w:rPr>
                <w:rFonts w:cstheme="minorHAnsi"/>
                <w:sz w:val="21"/>
                <w:szCs w:val="21"/>
                <w:lang w:val="en-US"/>
              </w:rPr>
              <w:t>MDHTAC</w:t>
            </w:r>
          </w:p>
        </w:tc>
      </w:tr>
      <w:tr w:rsidR="0031660E" w:rsidRPr="0031660E" w14:paraId="303F2678" w14:textId="77777777" w:rsidTr="004C45B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8" w:type="pct"/>
          </w:tcPr>
          <w:p w14:paraId="3CEC68CD" w14:textId="77777777" w:rsidR="00A02C40" w:rsidRPr="0031660E" w:rsidRDefault="00A02C40" w:rsidP="009737EE">
            <w:pPr>
              <w:spacing w:before="120" w:after="120"/>
              <w:contextualSpacing/>
              <w:rPr>
                <w:rFonts w:ascii="Calibri" w:eastAsia="Times New Roman" w:hAnsi="Calibri" w:cs="Times New Roman"/>
              </w:rPr>
            </w:pPr>
            <w:r w:rsidRPr="0031660E">
              <w:rPr>
                <w:rFonts w:ascii="Calibri" w:eastAsia="Times New Roman" w:hAnsi="Calibri" w:cs="Times New Roman"/>
              </w:rPr>
              <w:lastRenderedPageBreak/>
              <w:t>Economic Assessment Fee</w:t>
            </w:r>
          </w:p>
        </w:tc>
        <w:tc>
          <w:tcPr>
            <w:tcW w:w="1193" w:type="pct"/>
          </w:tcPr>
          <w:p w14:paraId="26F120F1" w14:textId="379A7FEB" w:rsidR="00A02C40" w:rsidRPr="0031660E" w:rsidRDefault="00A02C40" w:rsidP="009737EE">
            <w:pPr>
              <w:spacing w:before="120" w:after="120"/>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31660E">
              <w:rPr>
                <w:rFonts w:ascii="Calibri" w:eastAsia="Times New Roman" w:hAnsi="Calibri" w:cs="Times New Roman"/>
              </w:rPr>
              <w:t>Tier 2b</w:t>
            </w:r>
            <w:r w:rsidR="00B96F3E" w:rsidRPr="0031660E">
              <w:rPr>
                <w:rFonts w:ascii="Calibri" w:eastAsia="Times New Roman" w:hAnsi="Calibri" w:cs="Times New Roman"/>
              </w:rPr>
              <w:t xml:space="preserve"> (simple, complex and other)</w:t>
            </w:r>
          </w:p>
        </w:tc>
        <w:tc>
          <w:tcPr>
            <w:tcW w:w="2959" w:type="pct"/>
          </w:tcPr>
          <w:p w14:paraId="547D4841" w14:textId="57EC7FD6" w:rsidR="00A02C40" w:rsidRPr="0031660E" w:rsidRDefault="00A02C40" w:rsidP="009737EE">
            <w:pPr>
              <w:spacing w:before="120" w:after="120"/>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31660E">
              <w:rPr>
                <w:rFonts w:ascii="Calibri" w:eastAsia="Times New Roman" w:hAnsi="Calibri" w:cs="Times New Roman"/>
              </w:rPr>
              <w:t>The following business processes are included:</w:t>
            </w:r>
          </w:p>
          <w:p w14:paraId="6549BFE6" w14:textId="2F10B894" w:rsidR="00A02C40" w:rsidRPr="0031660E" w:rsidRDefault="002065EE" w:rsidP="00F232FD">
            <w:pPr>
              <w:numPr>
                <w:ilvl w:val="0"/>
                <w:numId w:val="11"/>
              </w:numPr>
              <w:ind w:left="360"/>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31660E">
              <w:rPr>
                <w:rFonts w:cstheme="minorHAnsi"/>
                <w:sz w:val="21"/>
                <w:szCs w:val="21"/>
                <w:lang w:val="en-US"/>
              </w:rPr>
              <w:t>d</w:t>
            </w:r>
            <w:r w:rsidR="00A02C40" w:rsidRPr="0031660E">
              <w:rPr>
                <w:rFonts w:cstheme="minorHAnsi"/>
                <w:sz w:val="21"/>
                <w:szCs w:val="21"/>
                <w:lang w:val="en-US"/>
              </w:rPr>
              <w:t xml:space="preserve">evelopment of an economic </w:t>
            </w:r>
            <w:proofErr w:type="gramStart"/>
            <w:r w:rsidR="00A02C40" w:rsidRPr="0031660E">
              <w:rPr>
                <w:rFonts w:cstheme="minorHAnsi"/>
                <w:sz w:val="21"/>
                <w:szCs w:val="21"/>
                <w:lang w:val="en-US"/>
              </w:rPr>
              <w:t>assessment</w:t>
            </w:r>
            <w:r w:rsidR="00943D3B" w:rsidRPr="0031660E">
              <w:rPr>
                <w:rFonts w:cstheme="minorHAnsi"/>
                <w:sz w:val="21"/>
                <w:szCs w:val="21"/>
                <w:lang w:val="en-US"/>
              </w:rPr>
              <w:t>;</w:t>
            </w:r>
            <w:proofErr w:type="gramEnd"/>
            <w:r w:rsidR="00A02C40" w:rsidRPr="0031660E">
              <w:rPr>
                <w:rFonts w:cstheme="minorHAnsi"/>
                <w:sz w:val="21"/>
                <w:szCs w:val="21"/>
                <w:lang w:val="en-US"/>
              </w:rPr>
              <w:t xml:space="preserve"> </w:t>
            </w:r>
          </w:p>
          <w:p w14:paraId="5953D609" w14:textId="2F85C468" w:rsidR="00A02C40" w:rsidRPr="0031660E" w:rsidRDefault="00943D3B" w:rsidP="00F232FD">
            <w:pPr>
              <w:numPr>
                <w:ilvl w:val="0"/>
                <w:numId w:val="11"/>
              </w:numPr>
              <w:ind w:left="360"/>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31660E">
              <w:rPr>
                <w:rFonts w:cstheme="minorHAnsi"/>
                <w:sz w:val="21"/>
                <w:szCs w:val="21"/>
                <w:lang w:val="en-US"/>
              </w:rPr>
              <w:t>l</w:t>
            </w:r>
            <w:r w:rsidR="00A02C40" w:rsidRPr="0031660E">
              <w:rPr>
                <w:rFonts w:cstheme="minorHAnsi"/>
                <w:sz w:val="21"/>
                <w:szCs w:val="21"/>
                <w:lang w:val="en-US"/>
              </w:rPr>
              <w:t xml:space="preserve">iaison between sponsor and the </w:t>
            </w:r>
            <w:r w:rsidR="002065EE" w:rsidRPr="0031660E">
              <w:rPr>
                <w:rFonts w:cstheme="minorHAnsi"/>
                <w:sz w:val="21"/>
                <w:szCs w:val="21"/>
                <w:lang w:val="en-US"/>
              </w:rPr>
              <w:t>d</w:t>
            </w:r>
            <w:r w:rsidR="00A02C40" w:rsidRPr="0031660E">
              <w:rPr>
                <w:rFonts w:cstheme="minorHAnsi"/>
                <w:sz w:val="21"/>
                <w:szCs w:val="21"/>
                <w:lang w:val="en-US"/>
              </w:rPr>
              <w:t xml:space="preserve">epartment to inform the development of the economic assessment of an </w:t>
            </w:r>
            <w:proofErr w:type="gramStart"/>
            <w:r w:rsidR="00A02C40" w:rsidRPr="0031660E">
              <w:rPr>
                <w:rFonts w:cstheme="minorHAnsi"/>
                <w:sz w:val="21"/>
                <w:szCs w:val="21"/>
                <w:lang w:val="en-US"/>
              </w:rPr>
              <w:t>application</w:t>
            </w:r>
            <w:r w:rsidRPr="0031660E">
              <w:rPr>
                <w:rFonts w:cstheme="minorHAnsi"/>
                <w:sz w:val="21"/>
                <w:szCs w:val="21"/>
                <w:lang w:val="en-US"/>
              </w:rPr>
              <w:t>;</w:t>
            </w:r>
            <w:proofErr w:type="gramEnd"/>
          </w:p>
          <w:p w14:paraId="0046FE4D" w14:textId="2BFF9FDD" w:rsidR="00A02C40" w:rsidRPr="0031660E" w:rsidRDefault="00A02C40" w:rsidP="00F232FD">
            <w:pPr>
              <w:numPr>
                <w:ilvl w:val="0"/>
                <w:numId w:val="11"/>
              </w:numPr>
              <w:ind w:left="360"/>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bookmarkStart w:id="2" w:name="_Hlk129262911"/>
            <w:r w:rsidRPr="0031660E">
              <w:rPr>
                <w:rFonts w:cstheme="minorHAnsi"/>
                <w:sz w:val="21"/>
                <w:szCs w:val="21"/>
                <w:lang w:val="en-US"/>
              </w:rPr>
              <w:t>HTA and expert advice (supplier costs</w:t>
            </w:r>
            <w:proofErr w:type="gramStart"/>
            <w:r w:rsidRPr="0031660E">
              <w:rPr>
                <w:rFonts w:cstheme="minorHAnsi"/>
                <w:sz w:val="21"/>
                <w:szCs w:val="21"/>
                <w:lang w:val="en-US"/>
              </w:rPr>
              <w:t>)</w:t>
            </w:r>
            <w:r w:rsidR="00943D3B" w:rsidRPr="0031660E">
              <w:rPr>
                <w:rFonts w:cstheme="minorHAnsi"/>
                <w:sz w:val="21"/>
                <w:szCs w:val="21"/>
                <w:lang w:val="en-US"/>
              </w:rPr>
              <w:t>;</w:t>
            </w:r>
            <w:proofErr w:type="gramEnd"/>
          </w:p>
          <w:bookmarkEnd w:id="2"/>
          <w:p w14:paraId="3E967A15" w14:textId="2F27D4C7" w:rsidR="00A02C40" w:rsidRPr="0031660E" w:rsidRDefault="00943D3B" w:rsidP="00F232FD">
            <w:pPr>
              <w:numPr>
                <w:ilvl w:val="0"/>
                <w:numId w:val="11"/>
              </w:numPr>
              <w:ind w:left="360"/>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31660E">
              <w:rPr>
                <w:rFonts w:cstheme="minorHAnsi"/>
                <w:sz w:val="21"/>
                <w:szCs w:val="21"/>
                <w:lang w:val="en-US"/>
              </w:rPr>
              <w:t>a</w:t>
            </w:r>
            <w:r w:rsidR="00A02C40" w:rsidRPr="0031660E">
              <w:rPr>
                <w:rFonts w:cstheme="minorHAnsi"/>
                <w:sz w:val="21"/>
                <w:szCs w:val="21"/>
                <w:lang w:val="en-US"/>
              </w:rPr>
              <w:t xml:space="preserve">dministrative processing of the request following application submission through </w:t>
            </w:r>
            <w:proofErr w:type="gramStart"/>
            <w:r w:rsidR="00A02C40" w:rsidRPr="0031660E">
              <w:rPr>
                <w:rFonts w:cstheme="minorHAnsi"/>
                <w:sz w:val="21"/>
                <w:szCs w:val="21"/>
                <w:lang w:val="en-US"/>
              </w:rPr>
              <w:t>HPP</w:t>
            </w:r>
            <w:r w:rsidRPr="0031660E">
              <w:rPr>
                <w:rFonts w:cstheme="minorHAnsi"/>
                <w:sz w:val="21"/>
                <w:szCs w:val="21"/>
                <w:lang w:val="en-US"/>
              </w:rPr>
              <w:t>;</w:t>
            </w:r>
            <w:proofErr w:type="gramEnd"/>
          </w:p>
          <w:p w14:paraId="2DD6549E" w14:textId="66A7D3C2" w:rsidR="00A02C40" w:rsidRPr="0031660E" w:rsidRDefault="00943D3B" w:rsidP="00F232FD">
            <w:pPr>
              <w:numPr>
                <w:ilvl w:val="0"/>
                <w:numId w:val="11"/>
              </w:numPr>
              <w:ind w:left="360"/>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31660E">
              <w:rPr>
                <w:rFonts w:cstheme="minorHAnsi"/>
                <w:sz w:val="21"/>
                <w:szCs w:val="21"/>
                <w:lang w:val="en-US"/>
              </w:rPr>
              <w:t>d</w:t>
            </w:r>
            <w:r w:rsidR="00A02C40" w:rsidRPr="0031660E">
              <w:rPr>
                <w:rFonts w:cstheme="minorHAnsi"/>
                <w:sz w:val="21"/>
                <w:szCs w:val="21"/>
                <w:lang w:val="en-US"/>
              </w:rPr>
              <w:t>epartmental preparation of relevant legislation</w:t>
            </w:r>
            <w:r w:rsidRPr="0031660E">
              <w:rPr>
                <w:rFonts w:cstheme="minorHAnsi"/>
                <w:sz w:val="21"/>
                <w:szCs w:val="21"/>
                <w:lang w:val="en-US"/>
              </w:rPr>
              <w:t>; and</w:t>
            </w:r>
          </w:p>
          <w:p w14:paraId="477D62AB" w14:textId="17345E07" w:rsidR="00A02C40" w:rsidRPr="0031660E" w:rsidRDefault="00943D3B" w:rsidP="00F232FD">
            <w:pPr>
              <w:numPr>
                <w:ilvl w:val="0"/>
                <w:numId w:val="11"/>
              </w:numPr>
              <w:ind w:left="36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31660E">
              <w:rPr>
                <w:rFonts w:cstheme="minorHAnsi"/>
                <w:sz w:val="21"/>
                <w:szCs w:val="21"/>
                <w:lang w:val="en-US"/>
              </w:rPr>
              <w:t>d</w:t>
            </w:r>
            <w:r w:rsidR="00A02C40" w:rsidRPr="0031660E">
              <w:rPr>
                <w:rFonts w:cstheme="minorHAnsi"/>
                <w:sz w:val="21"/>
                <w:szCs w:val="21"/>
                <w:lang w:val="en-US"/>
              </w:rPr>
              <w:t>epartmental invoicing for application cost recovery</w:t>
            </w:r>
            <w:r w:rsidRPr="0031660E">
              <w:rPr>
                <w:rFonts w:cstheme="minorHAnsi"/>
                <w:sz w:val="21"/>
                <w:szCs w:val="21"/>
                <w:lang w:val="en-US"/>
              </w:rPr>
              <w:t>.</w:t>
            </w:r>
          </w:p>
        </w:tc>
      </w:tr>
      <w:tr w:rsidR="0031660E" w:rsidRPr="0031660E" w14:paraId="1311BDE5" w14:textId="77777777" w:rsidTr="00A02C40">
        <w:tc>
          <w:tcPr>
            <w:cnfStyle w:val="001000000000" w:firstRow="0" w:lastRow="0" w:firstColumn="1" w:lastColumn="0" w:oddVBand="0" w:evenVBand="0" w:oddHBand="0" w:evenHBand="0" w:firstRowFirstColumn="0" w:firstRowLastColumn="0" w:lastRowFirstColumn="0" w:lastRowLastColumn="0"/>
            <w:tcW w:w="848" w:type="pct"/>
          </w:tcPr>
          <w:p w14:paraId="01B3961A" w14:textId="77777777" w:rsidR="00A02C40" w:rsidRPr="0031660E" w:rsidRDefault="00A02C40" w:rsidP="009737EE">
            <w:pPr>
              <w:spacing w:before="120" w:after="120"/>
              <w:contextualSpacing/>
              <w:rPr>
                <w:rFonts w:ascii="Calibri" w:eastAsia="Times New Roman" w:hAnsi="Calibri" w:cs="Times New Roman"/>
              </w:rPr>
            </w:pPr>
            <w:r w:rsidRPr="0031660E">
              <w:rPr>
                <w:rFonts w:cstheme="minorHAnsi"/>
                <w:sz w:val="21"/>
                <w:szCs w:val="21"/>
                <w:lang w:val="en-US"/>
              </w:rPr>
              <w:t>Full Health Technology Pathway Assessment Fee*</w:t>
            </w:r>
          </w:p>
        </w:tc>
        <w:tc>
          <w:tcPr>
            <w:tcW w:w="1193" w:type="pct"/>
          </w:tcPr>
          <w:p w14:paraId="346B5813" w14:textId="7509BB46" w:rsidR="00A02C40" w:rsidRPr="0031660E" w:rsidRDefault="00A02C40" w:rsidP="009737EE">
            <w:pPr>
              <w:spacing w:before="120" w:after="12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31660E">
              <w:rPr>
                <w:rFonts w:ascii="Calibri" w:eastAsia="Times New Roman" w:hAnsi="Calibri" w:cs="Times New Roman"/>
              </w:rPr>
              <w:t>Tier 3</w:t>
            </w:r>
          </w:p>
        </w:tc>
        <w:tc>
          <w:tcPr>
            <w:tcW w:w="2959" w:type="pct"/>
          </w:tcPr>
          <w:p w14:paraId="61920204" w14:textId="0B897C1F" w:rsidR="00A02C40" w:rsidRPr="0031660E" w:rsidRDefault="00A02C40" w:rsidP="009737EE">
            <w:pPr>
              <w:spacing w:before="120" w:after="120"/>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31660E">
              <w:rPr>
                <w:rFonts w:ascii="Calibri" w:eastAsia="Times New Roman" w:hAnsi="Calibri" w:cs="Times New Roman"/>
              </w:rPr>
              <w:t>The following business processes are included:</w:t>
            </w:r>
          </w:p>
          <w:p w14:paraId="3964317E" w14:textId="00127CD5" w:rsidR="00A02C40" w:rsidRPr="0031660E" w:rsidRDefault="00943D3B" w:rsidP="00F232FD">
            <w:pPr>
              <w:numPr>
                <w:ilvl w:val="0"/>
                <w:numId w:val="11"/>
              </w:numPr>
              <w:ind w:left="360"/>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a</w:t>
            </w:r>
            <w:r w:rsidR="00A02C40" w:rsidRPr="0031660E">
              <w:rPr>
                <w:rFonts w:cstheme="minorHAnsi"/>
                <w:sz w:val="21"/>
                <w:szCs w:val="21"/>
                <w:lang w:val="en-US"/>
              </w:rPr>
              <w:t xml:space="preserve">dministrative processing of the request following application submission through </w:t>
            </w:r>
            <w:proofErr w:type="gramStart"/>
            <w:r w:rsidR="00A02C40" w:rsidRPr="0031660E">
              <w:rPr>
                <w:rFonts w:cstheme="minorHAnsi"/>
                <w:sz w:val="21"/>
                <w:szCs w:val="21"/>
                <w:lang w:val="en-US"/>
              </w:rPr>
              <w:t>HPP</w:t>
            </w:r>
            <w:r w:rsidRPr="0031660E">
              <w:rPr>
                <w:rFonts w:cstheme="minorHAnsi"/>
                <w:sz w:val="21"/>
                <w:szCs w:val="21"/>
                <w:lang w:val="en-US"/>
              </w:rPr>
              <w:t>;</w:t>
            </w:r>
            <w:proofErr w:type="gramEnd"/>
          </w:p>
          <w:p w14:paraId="53CB77AE" w14:textId="530B980A" w:rsidR="00A02C40" w:rsidRPr="0031660E" w:rsidRDefault="00943D3B" w:rsidP="00F232FD">
            <w:pPr>
              <w:numPr>
                <w:ilvl w:val="0"/>
                <w:numId w:val="11"/>
              </w:numPr>
              <w:ind w:left="360"/>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c</w:t>
            </w:r>
            <w:r w:rsidR="00A02C40" w:rsidRPr="0031660E">
              <w:rPr>
                <w:rFonts w:cstheme="minorHAnsi"/>
                <w:sz w:val="21"/>
                <w:szCs w:val="21"/>
                <w:lang w:val="en-US"/>
              </w:rPr>
              <w:t xml:space="preserve">linical and expert advice sought to assess clinical aspects of the </w:t>
            </w:r>
            <w:proofErr w:type="gramStart"/>
            <w:r w:rsidR="00A02C40" w:rsidRPr="0031660E">
              <w:rPr>
                <w:rFonts w:cstheme="minorHAnsi"/>
                <w:sz w:val="21"/>
                <w:szCs w:val="21"/>
                <w:lang w:val="en-US"/>
              </w:rPr>
              <w:t>application</w:t>
            </w:r>
            <w:r w:rsidRPr="0031660E">
              <w:rPr>
                <w:rFonts w:cstheme="minorHAnsi"/>
                <w:sz w:val="21"/>
                <w:szCs w:val="21"/>
                <w:lang w:val="en-US"/>
              </w:rPr>
              <w:t>;</w:t>
            </w:r>
            <w:proofErr w:type="gramEnd"/>
          </w:p>
          <w:p w14:paraId="3FBB1DEF" w14:textId="39CC9DED" w:rsidR="00A02C40" w:rsidRPr="0031660E" w:rsidRDefault="00943D3B" w:rsidP="00F232FD">
            <w:pPr>
              <w:numPr>
                <w:ilvl w:val="0"/>
                <w:numId w:val="11"/>
              </w:numPr>
              <w:ind w:left="360"/>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l</w:t>
            </w:r>
            <w:r w:rsidR="00A02C40" w:rsidRPr="0031660E">
              <w:rPr>
                <w:rFonts w:cstheme="minorHAnsi"/>
                <w:sz w:val="21"/>
                <w:szCs w:val="21"/>
                <w:lang w:val="en-US"/>
              </w:rPr>
              <w:t xml:space="preserve">iaison between internal areas of the </w:t>
            </w:r>
            <w:r w:rsidR="002065EE" w:rsidRPr="0031660E">
              <w:rPr>
                <w:rFonts w:cstheme="minorHAnsi"/>
                <w:sz w:val="21"/>
                <w:szCs w:val="21"/>
                <w:lang w:val="en-US"/>
              </w:rPr>
              <w:t>d</w:t>
            </w:r>
            <w:r w:rsidR="00A02C40" w:rsidRPr="0031660E">
              <w:rPr>
                <w:rFonts w:cstheme="minorHAnsi"/>
                <w:sz w:val="21"/>
                <w:szCs w:val="21"/>
                <w:lang w:val="en-US"/>
              </w:rPr>
              <w:t>epartment throughout the MSAC application process</w:t>
            </w:r>
            <w:r w:rsidRPr="0031660E">
              <w:rPr>
                <w:rFonts w:cstheme="minorHAnsi"/>
                <w:sz w:val="21"/>
                <w:szCs w:val="21"/>
                <w:lang w:val="en-US"/>
              </w:rPr>
              <w:t>:</w:t>
            </w:r>
          </w:p>
          <w:p w14:paraId="08783DDB" w14:textId="01BBA31E" w:rsidR="00A02C40" w:rsidRPr="0031660E" w:rsidRDefault="00943D3B" w:rsidP="00F232F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d</w:t>
            </w:r>
            <w:r w:rsidR="00A02C40" w:rsidRPr="0031660E">
              <w:rPr>
                <w:rFonts w:cstheme="minorHAnsi"/>
                <w:sz w:val="21"/>
                <w:szCs w:val="21"/>
                <w:lang w:val="en-US"/>
              </w:rPr>
              <w:t xml:space="preserve">epartment </w:t>
            </w:r>
            <w:proofErr w:type="gramStart"/>
            <w:r w:rsidR="00A02C40" w:rsidRPr="0031660E">
              <w:rPr>
                <w:rFonts w:cstheme="minorHAnsi"/>
                <w:sz w:val="21"/>
                <w:szCs w:val="21"/>
                <w:lang w:val="en-US"/>
              </w:rPr>
              <w:t>decision</w:t>
            </w:r>
            <w:r w:rsidRPr="0031660E">
              <w:rPr>
                <w:rFonts w:cstheme="minorHAnsi"/>
                <w:sz w:val="21"/>
                <w:szCs w:val="21"/>
                <w:lang w:val="en-US"/>
              </w:rPr>
              <w:t>;</w:t>
            </w:r>
            <w:proofErr w:type="gramEnd"/>
          </w:p>
          <w:p w14:paraId="07E9C0D8" w14:textId="7B513D80" w:rsidR="00A02C40" w:rsidRPr="0031660E" w:rsidRDefault="00943D3B" w:rsidP="00F232F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d</w:t>
            </w:r>
            <w:r w:rsidR="00A02C40" w:rsidRPr="0031660E">
              <w:rPr>
                <w:rFonts w:cstheme="minorHAnsi"/>
                <w:sz w:val="21"/>
                <w:szCs w:val="21"/>
                <w:lang w:val="en-US"/>
              </w:rPr>
              <w:t xml:space="preserve">epartmental preparation of relevant regulation and </w:t>
            </w:r>
            <w:proofErr w:type="gramStart"/>
            <w:r w:rsidR="00A02C40" w:rsidRPr="0031660E">
              <w:rPr>
                <w:rFonts w:cstheme="minorHAnsi"/>
                <w:sz w:val="21"/>
                <w:szCs w:val="21"/>
                <w:lang w:val="en-US"/>
              </w:rPr>
              <w:t>legislation</w:t>
            </w:r>
            <w:r w:rsidRPr="0031660E">
              <w:rPr>
                <w:rFonts w:cstheme="minorHAnsi"/>
                <w:sz w:val="21"/>
                <w:szCs w:val="21"/>
                <w:lang w:val="en-US"/>
              </w:rPr>
              <w:t>;</w:t>
            </w:r>
            <w:proofErr w:type="gramEnd"/>
          </w:p>
          <w:p w14:paraId="2D97E07B" w14:textId="0956AA8E" w:rsidR="00A02C40" w:rsidRPr="0031660E" w:rsidRDefault="00943D3B" w:rsidP="00F232F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heme="minorHAnsi"/>
                <w:sz w:val="21"/>
                <w:szCs w:val="21"/>
                <w:lang w:val="en-US"/>
              </w:rPr>
            </w:pPr>
            <w:r w:rsidRPr="0031660E">
              <w:rPr>
                <w:rFonts w:cstheme="minorHAnsi"/>
                <w:sz w:val="21"/>
                <w:szCs w:val="21"/>
                <w:lang w:val="en-US"/>
              </w:rPr>
              <w:t>d</w:t>
            </w:r>
            <w:r w:rsidR="00A02C40" w:rsidRPr="0031660E">
              <w:rPr>
                <w:rFonts w:cstheme="minorHAnsi"/>
                <w:sz w:val="21"/>
                <w:szCs w:val="21"/>
                <w:lang w:val="en-US"/>
              </w:rPr>
              <w:t>epartmental invoicing for application cost recovery</w:t>
            </w:r>
            <w:r w:rsidRPr="0031660E">
              <w:rPr>
                <w:rFonts w:cstheme="minorHAnsi"/>
                <w:sz w:val="21"/>
                <w:szCs w:val="21"/>
                <w:lang w:val="en-US"/>
              </w:rPr>
              <w:t>;</w:t>
            </w:r>
            <w:r w:rsidR="00654050" w:rsidRPr="0031660E">
              <w:rPr>
                <w:rFonts w:cstheme="minorHAnsi"/>
                <w:sz w:val="21"/>
                <w:szCs w:val="21"/>
                <w:lang w:val="en-US"/>
              </w:rPr>
              <w:t xml:space="preserve"> and</w:t>
            </w:r>
          </w:p>
          <w:p w14:paraId="6E94DF60" w14:textId="2E0B0E7F" w:rsidR="00654050" w:rsidRPr="0031660E" w:rsidRDefault="00943D3B" w:rsidP="00F232F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31660E">
              <w:rPr>
                <w:rFonts w:cstheme="minorHAnsi"/>
                <w:sz w:val="21"/>
                <w:szCs w:val="21"/>
                <w:lang w:val="en-US"/>
              </w:rPr>
              <w:t>a</w:t>
            </w:r>
            <w:r w:rsidR="00A02C40" w:rsidRPr="0031660E">
              <w:rPr>
                <w:rFonts w:cstheme="minorHAnsi"/>
                <w:sz w:val="21"/>
                <w:szCs w:val="21"/>
                <w:lang w:val="en-US"/>
              </w:rPr>
              <w:t xml:space="preserve">pplication assessment and recommendation by </w:t>
            </w:r>
            <w:r w:rsidRPr="0031660E">
              <w:rPr>
                <w:rFonts w:cstheme="minorHAnsi"/>
                <w:sz w:val="21"/>
                <w:szCs w:val="21"/>
                <w:lang w:val="en-US"/>
              </w:rPr>
              <w:t>ECAG</w:t>
            </w:r>
            <w:r w:rsidR="00654050" w:rsidRPr="0031660E">
              <w:rPr>
                <w:rFonts w:cstheme="minorHAnsi"/>
                <w:sz w:val="21"/>
                <w:szCs w:val="21"/>
                <w:lang w:val="en-US"/>
              </w:rPr>
              <w:t xml:space="preserve"> and the</w:t>
            </w:r>
            <w:r w:rsidR="00C01401" w:rsidRPr="0031660E">
              <w:rPr>
                <w:rFonts w:cstheme="minorHAnsi"/>
                <w:sz w:val="21"/>
                <w:szCs w:val="21"/>
                <w:lang w:val="en-US"/>
              </w:rPr>
              <w:t xml:space="preserve"> </w:t>
            </w:r>
            <w:r w:rsidR="00A02C40" w:rsidRPr="0031660E">
              <w:rPr>
                <w:rFonts w:cstheme="minorHAnsi"/>
                <w:sz w:val="21"/>
                <w:szCs w:val="21"/>
                <w:lang w:val="en-US"/>
              </w:rPr>
              <w:t>MDHTAC</w:t>
            </w:r>
          </w:p>
          <w:p w14:paraId="5BE248DA" w14:textId="79D36642" w:rsidR="00A02C40" w:rsidRPr="0031660E" w:rsidRDefault="00A02C40" w:rsidP="0065405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31660E">
              <w:rPr>
                <w:rFonts w:cstheme="minorHAnsi"/>
                <w:sz w:val="18"/>
                <w:szCs w:val="18"/>
                <w:lang w:val="en-US"/>
              </w:rPr>
              <w:t xml:space="preserve">* Note that currently no part of this fee includes the costs of services provided as part of the </w:t>
            </w:r>
            <w:r w:rsidR="002065EE" w:rsidRPr="0031660E">
              <w:rPr>
                <w:rFonts w:cstheme="minorHAnsi"/>
                <w:sz w:val="18"/>
                <w:szCs w:val="18"/>
                <w:lang w:val="en-US"/>
              </w:rPr>
              <w:t>MSAC</w:t>
            </w:r>
            <w:r w:rsidRPr="0031660E">
              <w:rPr>
                <w:rFonts w:cstheme="minorHAnsi"/>
                <w:sz w:val="18"/>
                <w:szCs w:val="18"/>
                <w:lang w:val="en-US"/>
              </w:rPr>
              <w:t xml:space="preserve"> application process. This indicative fee of $4,670 relates only to the services provided in relation to the administration and assessment of the application relating to the </w:t>
            </w:r>
            <w:r w:rsidR="00654050" w:rsidRPr="0031660E">
              <w:rPr>
                <w:rFonts w:cstheme="minorHAnsi"/>
                <w:sz w:val="18"/>
                <w:szCs w:val="18"/>
                <w:lang w:val="en-US"/>
              </w:rPr>
              <w:t xml:space="preserve">Prescribed </w:t>
            </w:r>
            <w:r w:rsidRPr="0031660E">
              <w:rPr>
                <w:rFonts w:cstheme="minorHAnsi"/>
                <w:sz w:val="18"/>
                <w:szCs w:val="18"/>
                <w:lang w:val="en-US"/>
              </w:rPr>
              <w:t>List.</w:t>
            </w:r>
          </w:p>
        </w:tc>
      </w:tr>
      <w:tr w:rsidR="0031660E" w:rsidRPr="0031660E" w14:paraId="37CEE10A" w14:textId="77777777" w:rsidTr="00C01401">
        <w:trPr>
          <w:cnfStyle w:val="000000100000" w:firstRow="0" w:lastRow="0" w:firstColumn="0" w:lastColumn="0" w:oddVBand="0" w:evenVBand="0" w:oddHBand="1" w:evenHBand="0" w:firstRowFirstColumn="0" w:firstRowLastColumn="0" w:lastRowFirstColumn="0" w:lastRowLastColumn="0"/>
          <w:trHeight w:val="2008"/>
        </w:trPr>
        <w:tc>
          <w:tcPr>
            <w:cnfStyle w:val="001000000000" w:firstRow="0" w:lastRow="0" w:firstColumn="1" w:lastColumn="0" w:oddVBand="0" w:evenVBand="0" w:oddHBand="0" w:evenHBand="0" w:firstRowFirstColumn="0" w:firstRowLastColumn="0" w:lastRowFirstColumn="0" w:lastRowLastColumn="0"/>
            <w:tcW w:w="848" w:type="pct"/>
          </w:tcPr>
          <w:p w14:paraId="2AAEC6D8" w14:textId="3D5F58BA" w:rsidR="00A02C40" w:rsidRPr="0031660E" w:rsidRDefault="00A02C40" w:rsidP="009737EE">
            <w:pPr>
              <w:spacing w:before="120" w:after="120"/>
              <w:contextualSpacing/>
              <w:rPr>
                <w:rFonts w:cstheme="minorHAnsi"/>
                <w:sz w:val="21"/>
                <w:szCs w:val="21"/>
                <w:lang w:val="en-US"/>
              </w:rPr>
            </w:pPr>
            <w:r w:rsidRPr="0031660E">
              <w:rPr>
                <w:rFonts w:cstheme="minorHAnsi"/>
                <w:sz w:val="21"/>
                <w:szCs w:val="21"/>
                <w:lang w:val="en-US"/>
              </w:rPr>
              <w:t>P</w:t>
            </w:r>
            <w:r w:rsidR="00D17E3F" w:rsidRPr="0031660E">
              <w:rPr>
                <w:rFonts w:cstheme="minorHAnsi"/>
                <w:sz w:val="21"/>
                <w:szCs w:val="21"/>
                <w:lang w:val="en-US"/>
              </w:rPr>
              <w:t xml:space="preserve">rescribed </w:t>
            </w:r>
            <w:r w:rsidRPr="0031660E">
              <w:rPr>
                <w:rFonts w:cstheme="minorHAnsi"/>
                <w:sz w:val="21"/>
                <w:szCs w:val="21"/>
                <w:lang w:val="en-US"/>
              </w:rPr>
              <w:t>L</w:t>
            </w:r>
            <w:r w:rsidR="00D17E3F" w:rsidRPr="0031660E">
              <w:rPr>
                <w:rFonts w:cstheme="minorHAnsi"/>
                <w:sz w:val="21"/>
                <w:szCs w:val="21"/>
                <w:lang w:val="en-US"/>
              </w:rPr>
              <w:t>ist</w:t>
            </w:r>
            <w:r w:rsidRPr="0031660E">
              <w:rPr>
                <w:rFonts w:cstheme="minorHAnsi"/>
                <w:sz w:val="21"/>
                <w:szCs w:val="21"/>
                <w:lang w:val="en-US"/>
              </w:rPr>
              <w:t xml:space="preserve"> Cost Recovery Levy</w:t>
            </w:r>
          </w:p>
        </w:tc>
        <w:tc>
          <w:tcPr>
            <w:tcW w:w="1193" w:type="pct"/>
          </w:tcPr>
          <w:p w14:paraId="550D46BF" w14:textId="715998B3" w:rsidR="00A02C40" w:rsidRPr="0031660E" w:rsidRDefault="00B96F3E" w:rsidP="009737EE">
            <w:pPr>
              <w:spacing w:before="120" w:after="120"/>
              <w:contextualSpacing/>
              <w:cnfStyle w:val="000000100000" w:firstRow="0" w:lastRow="0" w:firstColumn="0" w:lastColumn="0" w:oddVBand="0" w:evenVBand="0" w:oddHBand="1" w:evenHBand="0" w:firstRowFirstColumn="0" w:firstRowLastColumn="0" w:lastRowFirstColumn="0" w:lastRowLastColumn="0"/>
            </w:pPr>
            <w:r w:rsidRPr="0031660E">
              <w:t>All applicable listed items</w:t>
            </w:r>
          </w:p>
        </w:tc>
        <w:tc>
          <w:tcPr>
            <w:tcW w:w="2959" w:type="pct"/>
          </w:tcPr>
          <w:p w14:paraId="75322265" w14:textId="0C93A485" w:rsidR="00A02C40" w:rsidRPr="0031660E" w:rsidRDefault="00A02C40" w:rsidP="009737EE">
            <w:pPr>
              <w:spacing w:before="120" w:after="120"/>
              <w:contextualSpacing/>
              <w:cnfStyle w:val="000000100000" w:firstRow="0" w:lastRow="0" w:firstColumn="0" w:lastColumn="0" w:oddVBand="0" w:evenVBand="0" w:oddHBand="1" w:evenHBand="0" w:firstRowFirstColumn="0" w:firstRowLastColumn="0" w:lastRowFirstColumn="0" w:lastRowLastColumn="0"/>
            </w:pPr>
            <w:r w:rsidRPr="0031660E">
              <w:t>A cost recovery levy charges the industry for costs which cannot be assigned to a specific sponsor</w:t>
            </w:r>
            <w:r w:rsidR="00654050" w:rsidRPr="0031660E">
              <w:t>.</w:t>
            </w:r>
          </w:p>
          <w:p w14:paraId="1F5E7C12" w14:textId="1E1A8422" w:rsidR="00A02C40" w:rsidRPr="0031660E" w:rsidRDefault="00A02C40" w:rsidP="00C01401">
            <w:pPr>
              <w:contextualSpacing/>
              <w:cnfStyle w:val="000000100000" w:firstRow="0" w:lastRow="0" w:firstColumn="0" w:lastColumn="0" w:oddVBand="0" w:evenVBand="0" w:oddHBand="1" w:evenHBand="0" w:firstRowFirstColumn="0" w:firstRowLastColumn="0" w:lastRowFirstColumn="0" w:lastRowLastColumn="0"/>
            </w:pPr>
            <w:r w:rsidRPr="0031660E">
              <w:t xml:space="preserve">The following are in-scope for the </w:t>
            </w:r>
            <w:r w:rsidR="00654050" w:rsidRPr="0031660E">
              <w:t>c</w:t>
            </w:r>
            <w:r w:rsidRPr="0031660E">
              <w:t xml:space="preserve">ost </w:t>
            </w:r>
            <w:r w:rsidR="00654050" w:rsidRPr="0031660E">
              <w:t>r</w:t>
            </w:r>
            <w:r w:rsidRPr="0031660E">
              <w:t xml:space="preserve">ecovery </w:t>
            </w:r>
            <w:r w:rsidR="00654050" w:rsidRPr="0031660E">
              <w:t>l</w:t>
            </w:r>
            <w:r w:rsidRPr="0031660E">
              <w:t xml:space="preserve">evy: </w:t>
            </w:r>
          </w:p>
          <w:p w14:paraId="06CA904A" w14:textId="6952E310" w:rsidR="00A02C40" w:rsidRPr="0031660E" w:rsidRDefault="00A02C40" w:rsidP="00F232FD">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31660E">
              <w:rPr>
                <w:rFonts w:cstheme="minorHAnsi"/>
                <w:sz w:val="21"/>
                <w:szCs w:val="21"/>
                <w:lang w:val="en-US"/>
              </w:rPr>
              <w:t xml:space="preserve">Prescribed List </w:t>
            </w:r>
            <w:proofErr w:type="gramStart"/>
            <w:r w:rsidR="00C01401" w:rsidRPr="0031660E">
              <w:rPr>
                <w:rFonts w:cstheme="minorHAnsi"/>
                <w:sz w:val="21"/>
                <w:szCs w:val="21"/>
                <w:lang w:val="en-US"/>
              </w:rPr>
              <w:t>a</w:t>
            </w:r>
            <w:r w:rsidRPr="0031660E">
              <w:rPr>
                <w:rFonts w:cstheme="minorHAnsi"/>
                <w:sz w:val="21"/>
                <w:szCs w:val="21"/>
                <w:lang w:val="en-US"/>
              </w:rPr>
              <w:t>dministration</w:t>
            </w:r>
            <w:r w:rsidR="00654050" w:rsidRPr="0031660E">
              <w:rPr>
                <w:rFonts w:cstheme="minorHAnsi"/>
                <w:sz w:val="21"/>
                <w:szCs w:val="21"/>
                <w:lang w:val="en-US"/>
              </w:rPr>
              <w:t>;</w:t>
            </w:r>
            <w:proofErr w:type="gramEnd"/>
          </w:p>
          <w:p w14:paraId="240E20E1" w14:textId="7A4BC106" w:rsidR="00A02C40" w:rsidRPr="0031660E" w:rsidRDefault="00654050" w:rsidP="00F232FD">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31660E">
              <w:rPr>
                <w:rFonts w:cstheme="minorHAnsi"/>
                <w:sz w:val="21"/>
                <w:szCs w:val="21"/>
                <w:lang w:val="en-US"/>
              </w:rPr>
              <w:t>d</w:t>
            </w:r>
            <w:r w:rsidR="00A02C40" w:rsidRPr="0031660E">
              <w:rPr>
                <w:rFonts w:cstheme="minorHAnsi"/>
                <w:sz w:val="21"/>
                <w:szCs w:val="21"/>
                <w:lang w:val="en-US"/>
              </w:rPr>
              <w:t xml:space="preserve">epreciation of IT </w:t>
            </w:r>
            <w:proofErr w:type="gramStart"/>
            <w:r w:rsidR="00A02C40" w:rsidRPr="0031660E">
              <w:rPr>
                <w:rFonts w:cstheme="minorHAnsi"/>
                <w:sz w:val="21"/>
                <w:szCs w:val="21"/>
                <w:lang w:val="en-US"/>
              </w:rPr>
              <w:t>systems</w:t>
            </w:r>
            <w:r w:rsidRPr="0031660E">
              <w:rPr>
                <w:rFonts w:cstheme="minorHAnsi"/>
                <w:sz w:val="21"/>
                <w:szCs w:val="21"/>
                <w:lang w:val="en-US"/>
              </w:rPr>
              <w:t>;</w:t>
            </w:r>
            <w:proofErr w:type="gramEnd"/>
          </w:p>
          <w:p w14:paraId="71D83C7F" w14:textId="3E48EA86" w:rsidR="00A02C40" w:rsidRPr="0031660E" w:rsidRDefault="00654050" w:rsidP="00F232FD">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31660E">
              <w:rPr>
                <w:rFonts w:cstheme="minorHAnsi"/>
                <w:sz w:val="21"/>
                <w:szCs w:val="21"/>
                <w:lang w:val="en-US"/>
              </w:rPr>
              <w:t>c</w:t>
            </w:r>
            <w:r w:rsidR="00A02C40" w:rsidRPr="0031660E">
              <w:rPr>
                <w:rFonts w:cstheme="minorHAnsi"/>
                <w:sz w:val="21"/>
                <w:szCs w:val="21"/>
                <w:lang w:val="en-US"/>
              </w:rPr>
              <w:t>ompliance</w:t>
            </w:r>
            <w:r w:rsidR="002065EE" w:rsidRPr="0031660E">
              <w:rPr>
                <w:rFonts w:cstheme="minorHAnsi"/>
                <w:sz w:val="21"/>
                <w:szCs w:val="21"/>
                <w:lang w:val="en-US"/>
              </w:rPr>
              <w:t xml:space="preserve"> reviews</w:t>
            </w:r>
            <w:r w:rsidRPr="0031660E">
              <w:rPr>
                <w:rFonts w:cstheme="minorHAnsi"/>
                <w:sz w:val="21"/>
                <w:szCs w:val="21"/>
                <w:lang w:val="en-US"/>
              </w:rPr>
              <w:t>; and</w:t>
            </w:r>
          </w:p>
          <w:p w14:paraId="7EEF2798" w14:textId="2E6BBE49" w:rsidR="00A02C40" w:rsidRPr="0031660E" w:rsidDel="003D0CA9" w:rsidRDefault="00654050" w:rsidP="00F232FD">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31660E">
              <w:rPr>
                <w:rFonts w:cstheme="minorHAnsi"/>
                <w:sz w:val="21"/>
                <w:szCs w:val="21"/>
                <w:lang w:val="en-US"/>
              </w:rPr>
              <w:t>p</w:t>
            </w:r>
            <w:r w:rsidR="00A02C40" w:rsidRPr="0031660E">
              <w:rPr>
                <w:rFonts w:cstheme="minorHAnsi"/>
                <w:sz w:val="21"/>
                <w:szCs w:val="21"/>
                <w:lang w:val="en-US"/>
              </w:rPr>
              <w:t xml:space="preserve">ost </w:t>
            </w:r>
            <w:r w:rsidRPr="0031660E">
              <w:rPr>
                <w:rFonts w:cstheme="minorHAnsi"/>
                <w:sz w:val="21"/>
                <w:szCs w:val="21"/>
                <w:lang w:val="en-US"/>
              </w:rPr>
              <w:t>l</w:t>
            </w:r>
            <w:r w:rsidR="00A02C40" w:rsidRPr="0031660E">
              <w:rPr>
                <w:rFonts w:cstheme="minorHAnsi"/>
                <w:sz w:val="21"/>
                <w:szCs w:val="21"/>
                <w:lang w:val="en-US"/>
              </w:rPr>
              <w:t xml:space="preserve">isting </w:t>
            </w:r>
            <w:r w:rsidRPr="0031660E">
              <w:rPr>
                <w:rFonts w:cstheme="minorHAnsi"/>
                <w:sz w:val="21"/>
                <w:szCs w:val="21"/>
                <w:lang w:val="en-US"/>
              </w:rPr>
              <w:t>r</w:t>
            </w:r>
            <w:r w:rsidR="00A02C40" w:rsidRPr="0031660E">
              <w:rPr>
                <w:rFonts w:cstheme="minorHAnsi"/>
                <w:sz w:val="21"/>
                <w:szCs w:val="21"/>
                <w:lang w:val="en-US"/>
              </w:rPr>
              <w:t>eviews</w:t>
            </w:r>
          </w:p>
        </w:tc>
      </w:tr>
    </w:tbl>
    <w:p w14:paraId="083BD058" w14:textId="77777777" w:rsidR="0067745B" w:rsidRPr="0031660E" w:rsidRDefault="0067745B" w:rsidP="003A6B65"/>
    <w:p w14:paraId="1CF02C04" w14:textId="2E955EBA" w:rsidR="007D41D6" w:rsidRPr="0031660E" w:rsidRDefault="007D41D6" w:rsidP="00257FD3">
      <w:pPr>
        <w:pStyle w:val="Heading2"/>
      </w:pPr>
      <w:r w:rsidRPr="0031660E">
        <w:t xml:space="preserve">Costs </w:t>
      </w:r>
      <w:r w:rsidR="00440F1C" w:rsidRPr="0031660E">
        <w:t xml:space="preserve">and assumptions </w:t>
      </w:r>
      <w:r w:rsidRPr="0031660E">
        <w:t xml:space="preserve">of the </w:t>
      </w:r>
      <w:r w:rsidR="00A02C40" w:rsidRPr="0031660E">
        <w:t>regulatory charging activity</w:t>
      </w:r>
    </w:p>
    <w:p w14:paraId="4235A015" w14:textId="2BDDBCDF" w:rsidR="00BA2ABB" w:rsidRPr="0031660E" w:rsidRDefault="00BA2ABB" w:rsidP="00BA2ABB">
      <w:p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 xml:space="preserve">In line with the CRGs, the </w:t>
      </w:r>
      <w:r w:rsidR="00654050" w:rsidRPr="0031660E">
        <w:rPr>
          <w:rFonts w:ascii="Calibri" w:eastAsia="Times New Roman" w:hAnsi="Calibri" w:cs="Times New Roman"/>
          <w:szCs w:val="24"/>
        </w:rPr>
        <w:t>activity-based</w:t>
      </w:r>
      <w:r w:rsidRPr="0031660E">
        <w:rPr>
          <w:rFonts w:ascii="Calibri" w:eastAsia="Times New Roman" w:hAnsi="Calibri" w:cs="Times New Roman"/>
          <w:szCs w:val="24"/>
        </w:rPr>
        <w:t xml:space="preserve"> costing model includes the following costs</w:t>
      </w:r>
      <w:r w:rsidRPr="0031660E">
        <w:rPr>
          <w:rFonts w:ascii="Calibri" w:eastAsia="Times New Roman" w:hAnsi="Calibri" w:cs="Times New Roman"/>
          <w:szCs w:val="24"/>
          <w:vertAlign w:val="superscript"/>
        </w:rPr>
        <w:footnoteReference w:id="6"/>
      </w:r>
      <w:r w:rsidRPr="0031660E">
        <w:rPr>
          <w:rFonts w:ascii="Calibri" w:eastAsia="Times New Roman" w:hAnsi="Calibri" w:cs="Times New Roman"/>
          <w:szCs w:val="24"/>
        </w:rPr>
        <w:t>:</w:t>
      </w:r>
    </w:p>
    <w:p w14:paraId="1E4B1428" w14:textId="3E06F806" w:rsidR="00BA2ABB" w:rsidRPr="0031660E" w:rsidRDefault="00BA2ABB" w:rsidP="00BA2ABB">
      <w:pPr>
        <w:spacing w:before="120" w:after="120" w:line="240" w:lineRule="auto"/>
        <w:rPr>
          <w:rFonts w:ascii="Calibri" w:eastAsia="Times New Roman" w:hAnsi="Calibri" w:cs="Times New Roman"/>
          <w:bCs/>
          <w:szCs w:val="24"/>
        </w:rPr>
      </w:pPr>
      <w:r w:rsidRPr="0031660E">
        <w:rPr>
          <w:rFonts w:ascii="Calibri" w:eastAsia="Times New Roman" w:hAnsi="Calibri" w:cs="Times New Roman"/>
          <w:b/>
          <w:bCs/>
          <w:szCs w:val="24"/>
        </w:rPr>
        <w:t xml:space="preserve">Direct costs: </w:t>
      </w:r>
      <w:r w:rsidR="002065EE" w:rsidRPr="0031660E">
        <w:rPr>
          <w:rFonts w:ascii="Calibri" w:eastAsia="Times New Roman" w:hAnsi="Calibri" w:cs="Times New Roman"/>
        </w:rPr>
        <w:t>D</w:t>
      </w:r>
      <w:r w:rsidRPr="0031660E">
        <w:rPr>
          <w:rFonts w:ascii="Calibri" w:eastAsia="Times New Roman" w:hAnsi="Calibri" w:cs="Times New Roman"/>
        </w:rPr>
        <w:t>irect costs included in this model are staff salaries (including on-costs for superannuation and leave) for those directly involved in the activity, committee costs and supplier costs (e.g. contractors, consultants and legal).</w:t>
      </w:r>
    </w:p>
    <w:p w14:paraId="415103CB" w14:textId="2C65D65F" w:rsidR="00BA2ABB" w:rsidRPr="0031660E" w:rsidRDefault="00BA2ABB" w:rsidP="00BA2ABB">
      <w:pPr>
        <w:spacing w:before="120" w:after="120" w:line="240" w:lineRule="auto"/>
        <w:rPr>
          <w:rFonts w:ascii="Calibri" w:eastAsia="Times New Roman" w:hAnsi="Calibri" w:cs="Times New Roman"/>
          <w:bCs/>
          <w:szCs w:val="24"/>
        </w:rPr>
      </w:pPr>
      <w:r w:rsidRPr="0031660E">
        <w:rPr>
          <w:rFonts w:ascii="Calibri" w:eastAsia="Times New Roman" w:hAnsi="Calibri" w:cs="Times New Roman"/>
          <w:b/>
          <w:bCs/>
          <w:szCs w:val="24"/>
        </w:rPr>
        <w:t xml:space="preserve">Indirect costs: </w:t>
      </w:r>
      <w:r w:rsidRPr="0031660E">
        <w:rPr>
          <w:rFonts w:ascii="Calibri" w:eastAsia="Times New Roman" w:hAnsi="Calibri" w:cs="Times New Roman"/>
        </w:rPr>
        <w:t xml:space="preserve">Indirect costs </w:t>
      </w:r>
      <w:r w:rsidR="00503D3E" w:rsidRPr="0031660E">
        <w:rPr>
          <w:rFonts w:ascii="Calibri" w:eastAsia="Times New Roman" w:hAnsi="Calibri" w:cs="Times New Roman"/>
        </w:rPr>
        <w:t xml:space="preserve">included in this model </w:t>
      </w:r>
      <w:r w:rsidRPr="0031660E">
        <w:rPr>
          <w:rFonts w:ascii="Calibri" w:eastAsia="Times New Roman" w:hAnsi="Calibri" w:cs="Times New Roman"/>
        </w:rPr>
        <w:t xml:space="preserve">are allocated as overheads for staff directly involved in performing the activities using the Department of Finance’s approved costing methodology. Indirect costs include staff training and development, workers compensation </w:t>
      </w:r>
      <w:r w:rsidRPr="0031660E">
        <w:rPr>
          <w:rFonts w:ascii="Calibri" w:eastAsia="Times New Roman" w:hAnsi="Calibri" w:cs="Times New Roman"/>
        </w:rPr>
        <w:lastRenderedPageBreak/>
        <w:t>premium, human resources support, organisational services, desktop ICT services and property operating expenses.</w:t>
      </w:r>
    </w:p>
    <w:p w14:paraId="3951DF3F" w14:textId="17EF88BB" w:rsidR="008C6DFC" w:rsidRPr="0031660E" w:rsidRDefault="008C6DFC" w:rsidP="008C6DFC">
      <w:pPr>
        <w:spacing w:before="120" w:after="120" w:line="240" w:lineRule="auto"/>
        <w:rPr>
          <w:rFonts w:ascii="Calibri" w:eastAsia="Times New Roman" w:hAnsi="Calibri" w:cs="Times New Roman"/>
          <w:b/>
          <w:bCs/>
          <w:szCs w:val="24"/>
        </w:rPr>
      </w:pPr>
      <w:r w:rsidRPr="0031660E">
        <w:rPr>
          <w:rFonts w:ascii="Calibri" w:eastAsia="Times New Roman" w:hAnsi="Calibri" w:cs="Times New Roman"/>
          <w:b/>
          <w:bCs/>
          <w:szCs w:val="24"/>
        </w:rPr>
        <w:t xml:space="preserve">Capital costs: </w:t>
      </w:r>
      <w:r w:rsidR="00FD0426" w:rsidRPr="0031660E">
        <w:rPr>
          <w:rFonts w:ascii="Calibri" w:eastAsia="Times New Roman" w:hAnsi="Calibri" w:cs="Times New Roman"/>
          <w:szCs w:val="24"/>
        </w:rPr>
        <w:t>Capital costs include</w:t>
      </w:r>
      <w:r w:rsidR="00503D3E" w:rsidRPr="0031660E">
        <w:rPr>
          <w:rFonts w:ascii="Calibri" w:eastAsia="Times New Roman" w:hAnsi="Calibri" w:cs="Times New Roman"/>
          <w:szCs w:val="24"/>
        </w:rPr>
        <w:t xml:space="preserve">d in this model comprise </w:t>
      </w:r>
      <w:r w:rsidR="003630CC" w:rsidRPr="0031660E">
        <w:rPr>
          <w:rFonts w:ascii="Calibri" w:eastAsia="Times New Roman" w:hAnsi="Calibri" w:cs="Times New Roman"/>
          <w:szCs w:val="24"/>
        </w:rPr>
        <w:t xml:space="preserve">of </w:t>
      </w:r>
      <w:r w:rsidRPr="0031660E">
        <w:rPr>
          <w:rFonts w:ascii="Calibri" w:eastAsia="Times New Roman" w:hAnsi="Calibri" w:cs="Times New Roman"/>
          <w:szCs w:val="24"/>
        </w:rPr>
        <w:t>depreciation costs associated with the P</w:t>
      </w:r>
      <w:r w:rsidR="00654050" w:rsidRPr="0031660E">
        <w:rPr>
          <w:rFonts w:ascii="Calibri" w:eastAsia="Times New Roman" w:hAnsi="Calibri" w:cs="Times New Roman"/>
          <w:szCs w:val="24"/>
        </w:rPr>
        <w:t xml:space="preserve">rescribed </w:t>
      </w:r>
      <w:r w:rsidRPr="0031660E">
        <w:rPr>
          <w:rFonts w:ascii="Calibri" w:eastAsia="Times New Roman" w:hAnsi="Calibri" w:cs="Times New Roman"/>
          <w:szCs w:val="24"/>
        </w:rPr>
        <w:t>L</w:t>
      </w:r>
      <w:r w:rsidR="00654050" w:rsidRPr="0031660E">
        <w:rPr>
          <w:rFonts w:ascii="Calibri" w:eastAsia="Times New Roman" w:hAnsi="Calibri" w:cs="Times New Roman"/>
          <w:szCs w:val="24"/>
        </w:rPr>
        <w:t>ist</w:t>
      </w:r>
      <w:r w:rsidRPr="0031660E">
        <w:rPr>
          <w:rFonts w:ascii="Calibri" w:eastAsia="Times New Roman" w:hAnsi="Calibri" w:cs="Times New Roman"/>
          <w:szCs w:val="24"/>
        </w:rPr>
        <w:t xml:space="preserve"> IT system</w:t>
      </w:r>
      <w:r w:rsidR="00FD0426" w:rsidRPr="0031660E">
        <w:rPr>
          <w:rFonts w:ascii="Calibri" w:eastAsia="Times New Roman" w:hAnsi="Calibri" w:cs="Times New Roman"/>
          <w:szCs w:val="24"/>
        </w:rPr>
        <w:t xml:space="preserve"> (the HPP)</w:t>
      </w:r>
      <w:r w:rsidRPr="0031660E">
        <w:rPr>
          <w:rFonts w:ascii="Calibri" w:eastAsia="Times New Roman" w:hAnsi="Calibri" w:cs="Times New Roman"/>
          <w:szCs w:val="24"/>
        </w:rPr>
        <w:t>.</w:t>
      </w:r>
      <w:r w:rsidRPr="0031660E">
        <w:rPr>
          <w:rFonts w:ascii="Calibri" w:eastAsia="Times New Roman" w:hAnsi="Calibri" w:cs="Times New Roman"/>
          <w:b/>
          <w:bCs/>
          <w:szCs w:val="24"/>
        </w:rPr>
        <w:t xml:space="preserve"> </w:t>
      </w:r>
    </w:p>
    <w:p w14:paraId="3C1F4A54" w14:textId="412F95EC" w:rsidR="00BA2ABB" w:rsidRPr="0031660E" w:rsidRDefault="00BA2ABB" w:rsidP="00BA2ABB">
      <w:p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Activity</w:t>
      </w:r>
      <w:r w:rsidR="00654050" w:rsidRPr="0031660E">
        <w:rPr>
          <w:rFonts w:ascii="Calibri" w:eastAsia="Times New Roman" w:hAnsi="Calibri" w:cs="Times New Roman"/>
          <w:szCs w:val="24"/>
        </w:rPr>
        <w:t>-</w:t>
      </w:r>
      <w:r w:rsidRPr="0031660E">
        <w:rPr>
          <w:rFonts w:ascii="Calibri" w:eastAsia="Times New Roman" w:hAnsi="Calibri" w:cs="Times New Roman"/>
          <w:szCs w:val="24"/>
        </w:rPr>
        <w:t>based costing methodology has been applied to allocate costs to activities and outputs using volume-based cost drivers. This method enables more informed analysis of the efficiency of outputs and business processes. Costs were estimated on the following basis:</w:t>
      </w:r>
    </w:p>
    <w:p w14:paraId="17733EF3" w14:textId="599745B1" w:rsidR="00BA2ABB" w:rsidRPr="0031660E" w:rsidRDefault="00654050" w:rsidP="00F232FD">
      <w:pPr>
        <w:numPr>
          <w:ilvl w:val="0"/>
          <w:numId w:val="8"/>
        </w:numPr>
        <w:spacing w:after="0" w:line="240" w:lineRule="auto"/>
        <w:rPr>
          <w:rFonts w:ascii="Calibri" w:eastAsia="Times New Roman" w:hAnsi="Calibri" w:cs="Times New Roman"/>
          <w:szCs w:val="24"/>
        </w:rPr>
      </w:pPr>
      <w:r w:rsidRPr="0031660E">
        <w:rPr>
          <w:rFonts w:ascii="Calibri" w:eastAsia="Times New Roman" w:hAnsi="Calibri" w:cs="Times New Roman"/>
          <w:szCs w:val="24"/>
        </w:rPr>
        <w:t>t</w:t>
      </w:r>
      <w:r w:rsidR="00BA2ABB" w:rsidRPr="0031660E">
        <w:rPr>
          <w:rFonts w:ascii="Calibri" w:eastAsia="Times New Roman" w:hAnsi="Calibri" w:cs="Times New Roman"/>
          <w:szCs w:val="24"/>
        </w:rPr>
        <w:t xml:space="preserve">he regulatory activities to be delivered were identified in consultation with relevant </w:t>
      </w:r>
      <w:proofErr w:type="gramStart"/>
      <w:r w:rsidR="00BA2ABB" w:rsidRPr="0031660E">
        <w:rPr>
          <w:rFonts w:ascii="Calibri" w:eastAsia="Times New Roman" w:hAnsi="Calibri" w:cs="Times New Roman"/>
          <w:szCs w:val="24"/>
        </w:rPr>
        <w:t>staff;</w:t>
      </w:r>
      <w:proofErr w:type="gramEnd"/>
    </w:p>
    <w:p w14:paraId="3B42C03A" w14:textId="516A62D8" w:rsidR="00BA2ABB" w:rsidRPr="0031660E" w:rsidRDefault="00AF2CE0" w:rsidP="00F232FD">
      <w:pPr>
        <w:numPr>
          <w:ilvl w:val="0"/>
          <w:numId w:val="8"/>
        </w:numPr>
        <w:spacing w:after="0" w:line="240" w:lineRule="auto"/>
        <w:rPr>
          <w:rFonts w:ascii="Calibri" w:eastAsia="Times New Roman" w:hAnsi="Calibri" w:cs="Times New Roman"/>
          <w:szCs w:val="24"/>
        </w:rPr>
      </w:pPr>
      <w:r w:rsidRPr="0031660E">
        <w:rPr>
          <w:rFonts w:ascii="Calibri" w:eastAsia="Times New Roman" w:hAnsi="Calibri" w:cs="Times New Roman"/>
          <w:szCs w:val="24"/>
        </w:rPr>
        <w:t>MDHTAC</w:t>
      </w:r>
      <w:r w:rsidR="009650C7" w:rsidRPr="0031660E">
        <w:rPr>
          <w:rFonts w:ascii="Calibri" w:eastAsia="Times New Roman" w:hAnsi="Calibri" w:cs="Times New Roman"/>
          <w:szCs w:val="24"/>
        </w:rPr>
        <w:t xml:space="preserve"> and </w:t>
      </w:r>
      <w:r w:rsidR="00654050" w:rsidRPr="0031660E">
        <w:rPr>
          <w:rFonts w:ascii="Calibri" w:eastAsia="Times New Roman" w:hAnsi="Calibri" w:cs="Times New Roman"/>
          <w:szCs w:val="24"/>
        </w:rPr>
        <w:t xml:space="preserve">ECAG </w:t>
      </w:r>
      <w:r w:rsidR="00BA2ABB" w:rsidRPr="0031660E">
        <w:rPr>
          <w:rFonts w:ascii="Calibri" w:eastAsia="Times New Roman" w:hAnsi="Calibri" w:cs="Times New Roman"/>
          <w:szCs w:val="24"/>
        </w:rPr>
        <w:t xml:space="preserve">costs were estimated based on the number of members and meetings, and include wages/salary of members, travel allowances, accommodation, flights and catering as </w:t>
      </w:r>
      <w:proofErr w:type="gramStart"/>
      <w:r w:rsidR="00BA2ABB" w:rsidRPr="0031660E">
        <w:rPr>
          <w:rFonts w:ascii="Calibri" w:eastAsia="Times New Roman" w:hAnsi="Calibri" w:cs="Times New Roman"/>
          <w:szCs w:val="24"/>
        </w:rPr>
        <w:t>applicable;</w:t>
      </w:r>
      <w:proofErr w:type="gramEnd"/>
    </w:p>
    <w:p w14:paraId="0AD543A5" w14:textId="2CF4C035" w:rsidR="00BA2ABB" w:rsidRPr="0031660E" w:rsidRDefault="00FD0426" w:rsidP="00F232FD">
      <w:pPr>
        <w:numPr>
          <w:ilvl w:val="0"/>
          <w:numId w:val="8"/>
        </w:numPr>
        <w:spacing w:after="0" w:line="240" w:lineRule="auto"/>
        <w:rPr>
          <w:rFonts w:ascii="Calibri" w:eastAsia="Times New Roman" w:hAnsi="Calibri" w:cs="Times New Roman"/>
          <w:szCs w:val="24"/>
        </w:rPr>
      </w:pPr>
      <w:r w:rsidRPr="0031660E">
        <w:rPr>
          <w:rFonts w:ascii="Calibri" w:eastAsia="Times New Roman" w:hAnsi="Calibri" w:cs="Times New Roman"/>
          <w:szCs w:val="24"/>
        </w:rPr>
        <w:t>t</w:t>
      </w:r>
      <w:r w:rsidR="00BA2ABB" w:rsidRPr="0031660E">
        <w:rPr>
          <w:rFonts w:ascii="Calibri" w:eastAsia="Times New Roman" w:hAnsi="Calibri" w:cs="Times New Roman"/>
          <w:szCs w:val="24"/>
        </w:rPr>
        <w:t xml:space="preserve">he number of submissions per year </w:t>
      </w:r>
      <w:r w:rsidRPr="0031660E">
        <w:rPr>
          <w:rFonts w:ascii="Calibri" w:eastAsia="Times New Roman" w:hAnsi="Calibri" w:cs="Times New Roman"/>
          <w:szCs w:val="24"/>
        </w:rPr>
        <w:t>was calculated through use of</w:t>
      </w:r>
      <w:r w:rsidR="00BA2ABB" w:rsidRPr="0031660E">
        <w:rPr>
          <w:rFonts w:ascii="Calibri" w:eastAsia="Times New Roman" w:hAnsi="Calibri" w:cs="Times New Roman"/>
          <w:szCs w:val="24"/>
        </w:rPr>
        <w:t xml:space="preserve"> the average number of submissions over a </w:t>
      </w:r>
      <w:r w:rsidR="00D26DA6" w:rsidRPr="0031660E">
        <w:rPr>
          <w:rFonts w:ascii="Calibri" w:eastAsia="Times New Roman" w:hAnsi="Calibri" w:cs="Times New Roman"/>
          <w:szCs w:val="24"/>
        </w:rPr>
        <w:t>3-year</w:t>
      </w:r>
      <w:r w:rsidR="00BA2ABB" w:rsidRPr="0031660E">
        <w:rPr>
          <w:rFonts w:ascii="Calibri" w:eastAsia="Times New Roman" w:hAnsi="Calibri" w:cs="Times New Roman"/>
          <w:szCs w:val="24"/>
        </w:rPr>
        <w:t xml:space="preserve"> </w:t>
      </w:r>
      <w:proofErr w:type="gramStart"/>
      <w:r w:rsidR="00BA2ABB" w:rsidRPr="0031660E">
        <w:rPr>
          <w:rFonts w:ascii="Calibri" w:eastAsia="Times New Roman" w:hAnsi="Calibri" w:cs="Times New Roman"/>
          <w:szCs w:val="24"/>
        </w:rPr>
        <w:t>period;</w:t>
      </w:r>
      <w:proofErr w:type="gramEnd"/>
    </w:p>
    <w:p w14:paraId="6FA42054" w14:textId="376A27EE" w:rsidR="006D48A8" w:rsidRPr="0031660E" w:rsidRDefault="00654050" w:rsidP="00F232FD">
      <w:pPr>
        <w:numPr>
          <w:ilvl w:val="0"/>
          <w:numId w:val="8"/>
        </w:numPr>
        <w:spacing w:after="0" w:line="240" w:lineRule="auto"/>
        <w:rPr>
          <w:rFonts w:ascii="Calibri" w:eastAsia="Times New Roman" w:hAnsi="Calibri" w:cs="Times New Roman"/>
          <w:szCs w:val="24"/>
        </w:rPr>
      </w:pPr>
      <w:r w:rsidRPr="0031660E">
        <w:rPr>
          <w:rFonts w:ascii="Calibri" w:eastAsia="Times New Roman" w:hAnsi="Calibri" w:cs="Times New Roman"/>
          <w:szCs w:val="24"/>
        </w:rPr>
        <w:t>s</w:t>
      </w:r>
      <w:r w:rsidR="00BA2ABB" w:rsidRPr="0031660E">
        <w:rPr>
          <w:rFonts w:ascii="Calibri" w:eastAsia="Times New Roman" w:hAnsi="Calibri" w:cs="Times New Roman"/>
          <w:szCs w:val="24"/>
        </w:rPr>
        <w:t>upplier costs were</w:t>
      </w:r>
      <w:r w:rsidR="00FD0426" w:rsidRPr="0031660E">
        <w:rPr>
          <w:rFonts w:ascii="Calibri" w:eastAsia="Times New Roman" w:hAnsi="Calibri" w:cs="Times New Roman"/>
          <w:szCs w:val="24"/>
        </w:rPr>
        <w:t xml:space="preserve"> determined</w:t>
      </w:r>
      <w:r w:rsidR="00BA2ABB" w:rsidRPr="0031660E">
        <w:rPr>
          <w:rFonts w:ascii="Calibri" w:eastAsia="Times New Roman" w:hAnsi="Calibri" w:cs="Times New Roman"/>
          <w:szCs w:val="24"/>
        </w:rPr>
        <w:t xml:space="preserve"> based on signed contracts; and</w:t>
      </w:r>
    </w:p>
    <w:p w14:paraId="12FE07CC" w14:textId="35C50CBF" w:rsidR="00BA2ABB" w:rsidRPr="0031660E" w:rsidRDefault="00654050" w:rsidP="00F232FD">
      <w:pPr>
        <w:pStyle w:val="ListParagraph"/>
        <w:numPr>
          <w:ilvl w:val="0"/>
          <w:numId w:val="8"/>
        </w:numPr>
        <w:spacing w:after="0" w:line="240" w:lineRule="auto"/>
        <w:rPr>
          <w:rFonts w:ascii="Calibri" w:eastAsia="Times New Roman" w:hAnsi="Calibri" w:cs="Times New Roman"/>
          <w:szCs w:val="24"/>
        </w:rPr>
      </w:pPr>
      <w:r w:rsidRPr="0031660E">
        <w:rPr>
          <w:rFonts w:ascii="Calibri" w:eastAsia="Times New Roman" w:hAnsi="Calibri" w:cs="Times New Roman"/>
          <w:szCs w:val="24"/>
        </w:rPr>
        <w:t>s</w:t>
      </w:r>
      <w:r w:rsidR="00BA2ABB" w:rsidRPr="0031660E">
        <w:rPr>
          <w:rFonts w:ascii="Calibri" w:eastAsia="Times New Roman" w:hAnsi="Calibri" w:cs="Times New Roman"/>
          <w:szCs w:val="24"/>
        </w:rPr>
        <w:t>taff costs/overheads include salaries as recommended by the Department of Finance.</w:t>
      </w:r>
    </w:p>
    <w:p w14:paraId="644DBEC7" w14:textId="21E4DDB2" w:rsidR="00B96F3E" w:rsidRPr="0031660E" w:rsidRDefault="008A0B1A" w:rsidP="00976D6E">
      <w:pPr>
        <w:spacing w:before="120" w:after="120" w:line="240" w:lineRule="auto"/>
        <w:rPr>
          <w:rFonts w:ascii="Calibri" w:eastAsia="Times New Roman" w:hAnsi="Calibri" w:cs="Arial"/>
        </w:rPr>
      </w:pPr>
      <w:r w:rsidRPr="0031660E">
        <w:rPr>
          <w:rFonts w:ascii="Calibri" w:eastAsia="Times New Roman" w:hAnsi="Calibri" w:cs="Arial"/>
          <w:b/>
          <w:bCs/>
        </w:rPr>
        <w:t>Regulatory a</w:t>
      </w:r>
      <w:r w:rsidR="00B96F3E" w:rsidRPr="0031660E">
        <w:rPr>
          <w:rFonts w:ascii="Calibri" w:eastAsia="Times New Roman" w:hAnsi="Calibri" w:cs="Arial"/>
          <w:b/>
          <w:bCs/>
        </w:rPr>
        <w:t>ctivities undertaken but not charged:</w:t>
      </w:r>
      <w:r w:rsidR="00B96F3E" w:rsidRPr="0031660E">
        <w:rPr>
          <w:rFonts w:ascii="Calibri" w:eastAsia="Times New Roman" w:hAnsi="Calibri" w:cs="Arial"/>
        </w:rPr>
        <w:t xml:space="preserve"> </w:t>
      </w:r>
      <w:r w:rsidR="00FD0426" w:rsidRPr="0031660E">
        <w:rPr>
          <w:rFonts w:ascii="Calibri" w:eastAsia="Times New Roman" w:hAnsi="Calibri" w:cs="Arial"/>
        </w:rPr>
        <w:t>T</w:t>
      </w:r>
      <w:r w:rsidR="00B96F3E" w:rsidRPr="0031660E">
        <w:rPr>
          <w:rFonts w:ascii="Calibri" w:eastAsia="Times New Roman" w:hAnsi="Calibri" w:cs="Arial"/>
        </w:rPr>
        <w:t xml:space="preserve">hese include </w:t>
      </w:r>
      <w:r w:rsidR="009133D9" w:rsidRPr="0031660E">
        <w:rPr>
          <w:rFonts w:ascii="Calibri" w:eastAsia="Times New Roman" w:hAnsi="Calibri" w:cs="Arial"/>
        </w:rPr>
        <w:t xml:space="preserve">largely </w:t>
      </w:r>
      <w:r w:rsidRPr="0031660E">
        <w:rPr>
          <w:rFonts w:ascii="Calibri" w:eastAsia="Times New Roman" w:hAnsi="Calibri" w:cs="Arial"/>
        </w:rPr>
        <w:t>direct costs, i.e.</w:t>
      </w:r>
      <w:r w:rsidRPr="0031660E">
        <w:rPr>
          <w:rFonts w:ascii="Calibri" w:eastAsia="Times New Roman" w:hAnsi="Calibri" w:cs="Times New Roman"/>
        </w:rPr>
        <w:t xml:space="preserve"> staff salaries, committee costs and supplier costs (e.g. contractors, consultants and legal),</w:t>
      </w:r>
      <w:r w:rsidR="00B96F3E" w:rsidRPr="0031660E">
        <w:rPr>
          <w:rFonts w:ascii="Calibri" w:eastAsia="Times New Roman" w:hAnsi="Calibri" w:cs="Arial"/>
        </w:rPr>
        <w:t xml:space="preserve"> </w:t>
      </w:r>
      <w:r w:rsidR="009133D9" w:rsidRPr="0031660E">
        <w:rPr>
          <w:rFonts w:ascii="Calibri" w:eastAsia="Times New Roman" w:hAnsi="Calibri" w:cs="Arial"/>
        </w:rPr>
        <w:t>associated</w:t>
      </w:r>
      <w:r w:rsidR="00B96F3E" w:rsidRPr="0031660E">
        <w:rPr>
          <w:rFonts w:ascii="Calibri" w:eastAsia="Times New Roman" w:hAnsi="Calibri" w:cs="Arial"/>
        </w:rPr>
        <w:t xml:space="preserve"> with </w:t>
      </w:r>
      <w:r w:rsidRPr="0031660E">
        <w:rPr>
          <w:rFonts w:ascii="Calibri" w:eastAsia="Times New Roman" w:hAnsi="Calibri" w:cs="Arial"/>
        </w:rPr>
        <w:t>the assessment and management of applications</w:t>
      </w:r>
      <w:r w:rsidR="00B96F3E" w:rsidRPr="0031660E">
        <w:rPr>
          <w:rFonts w:ascii="Calibri" w:eastAsia="Times New Roman" w:hAnsi="Calibri" w:cs="Arial"/>
        </w:rPr>
        <w:t xml:space="preserve"> which could not be attributed to a single applicant (sponsor)</w:t>
      </w:r>
      <w:r w:rsidRPr="0031660E">
        <w:rPr>
          <w:rFonts w:ascii="Calibri" w:eastAsia="Times New Roman" w:hAnsi="Calibri" w:cs="Arial"/>
        </w:rPr>
        <w:t xml:space="preserve">. </w:t>
      </w:r>
      <w:r w:rsidR="00654050" w:rsidRPr="0031660E">
        <w:rPr>
          <w:rFonts w:ascii="Calibri" w:eastAsia="Times New Roman" w:hAnsi="Calibri" w:cs="Arial"/>
        </w:rPr>
        <w:t>Th</w:t>
      </w:r>
      <w:r w:rsidR="00FD0426" w:rsidRPr="0031660E">
        <w:rPr>
          <w:rFonts w:ascii="Calibri" w:eastAsia="Times New Roman" w:hAnsi="Calibri" w:cs="Arial"/>
        </w:rPr>
        <w:t>is</w:t>
      </w:r>
      <w:r w:rsidR="00654050" w:rsidRPr="0031660E">
        <w:rPr>
          <w:rFonts w:ascii="Calibri" w:eastAsia="Times New Roman" w:hAnsi="Calibri" w:cs="Arial"/>
        </w:rPr>
        <w:t xml:space="preserve"> amount</w:t>
      </w:r>
      <w:r w:rsidR="00FD0426" w:rsidRPr="0031660E">
        <w:rPr>
          <w:rFonts w:ascii="Calibri" w:eastAsia="Times New Roman" w:hAnsi="Calibri" w:cs="Arial"/>
        </w:rPr>
        <w:t>s</w:t>
      </w:r>
      <w:r w:rsidR="00654050" w:rsidRPr="0031660E">
        <w:rPr>
          <w:rFonts w:ascii="Calibri" w:eastAsia="Times New Roman" w:hAnsi="Calibri" w:cs="Arial"/>
        </w:rPr>
        <w:t xml:space="preserve"> to a total of $82,000 for this regulatory charging activity.</w:t>
      </w:r>
    </w:p>
    <w:p w14:paraId="601D2253" w14:textId="282F34A9" w:rsidR="002207A1" w:rsidRPr="0031660E" w:rsidRDefault="00976D6E" w:rsidP="00976D6E">
      <w:pPr>
        <w:spacing w:before="120" w:after="120" w:line="240" w:lineRule="auto"/>
        <w:contextualSpacing/>
        <w:rPr>
          <w:rFonts w:ascii="Calibri" w:eastAsia="Times New Roman" w:hAnsi="Calibri" w:cs="Arial"/>
        </w:rPr>
      </w:pPr>
      <w:r w:rsidRPr="0031660E">
        <w:rPr>
          <w:rFonts w:ascii="Calibri" w:eastAsia="Times New Roman" w:hAnsi="Calibri" w:cs="Arial"/>
        </w:rPr>
        <w:t>Using the activity</w:t>
      </w:r>
      <w:r w:rsidR="00C707E8" w:rsidRPr="0031660E">
        <w:rPr>
          <w:rFonts w:ascii="Calibri" w:eastAsia="Times New Roman" w:hAnsi="Calibri" w:cs="Arial"/>
        </w:rPr>
        <w:t>-</w:t>
      </w:r>
      <w:r w:rsidRPr="0031660E">
        <w:rPr>
          <w:rFonts w:ascii="Calibri" w:eastAsia="Times New Roman" w:hAnsi="Calibri" w:cs="Arial"/>
        </w:rPr>
        <w:t xml:space="preserve">based cost mode, the </w:t>
      </w:r>
      <w:r w:rsidR="002207A1" w:rsidRPr="0031660E">
        <w:rPr>
          <w:rFonts w:ascii="Calibri" w:eastAsia="Times New Roman" w:hAnsi="Calibri" w:cs="Arial"/>
        </w:rPr>
        <w:t xml:space="preserve">estimated unit </w:t>
      </w:r>
      <w:r w:rsidR="00FD0426" w:rsidRPr="0031660E">
        <w:rPr>
          <w:rFonts w:ascii="Calibri" w:eastAsia="Times New Roman" w:hAnsi="Calibri" w:cs="Arial"/>
        </w:rPr>
        <w:t xml:space="preserve">cost </w:t>
      </w:r>
      <w:r w:rsidRPr="0031660E">
        <w:rPr>
          <w:rFonts w:ascii="Calibri" w:eastAsia="Times New Roman" w:hAnsi="Calibri" w:cs="Arial"/>
        </w:rPr>
        <w:t>for each payable fee category were determined as follows:</w:t>
      </w:r>
    </w:p>
    <w:p w14:paraId="0750A634" w14:textId="0363ED47" w:rsidR="002207A1" w:rsidRPr="0031660E" w:rsidRDefault="002207A1" w:rsidP="002207A1">
      <w:pPr>
        <w:keepNext/>
        <w:numPr>
          <w:ilvl w:val="1"/>
          <w:numId w:val="0"/>
        </w:numPr>
        <w:spacing w:before="240" w:after="120" w:line="240" w:lineRule="auto"/>
        <w:ind w:left="576" w:hanging="576"/>
        <w:outlineLvl w:val="1"/>
        <w:rPr>
          <w:rFonts w:eastAsia="Times New Roman" w:cstheme="minorHAnsi"/>
          <w:b/>
          <w:bCs/>
          <w:iCs/>
        </w:rPr>
      </w:pPr>
      <w:r w:rsidRPr="0031660E">
        <w:rPr>
          <w:rFonts w:eastAsia="Times New Roman" w:cstheme="minorHAnsi"/>
          <w:b/>
          <w:bCs/>
          <w:iCs/>
        </w:rPr>
        <w:t>Table 3. Estimated unit cost per activity by Tier, effective from 1 July 2023 (2023-24 financial year)</w:t>
      </w:r>
    </w:p>
    <w:tbl>
      <w:tblPr>
        <w:tblStyle w:val="TableGrid"/>
        <w:tblW w:w="5000" w:type="pct"/>
        <w:tblLook w:val="04A0" w:firstRow="1" w:lastRow="0" w:firstColumn="1" w:lastColumn="0" w:noHBand="0" w:noVBand="1"/>
      </w:tblPr>
      <w:tblGrid>
        <w:gridCol w:w="2251"/>
        <w:gridCol w:w="1692"/>
        <w:gridCol w:w="1691"/>
        <w:gridCol w:w="1691"/>
        <w:gridCol w:w="1691"/>
      </w:tblGrid>
      <w:tr w:rsidR="0031660E" w:rsidRPr="0031660E" w14:paraId="18EC2323" w14:textId="5948D0FE" w:rsidTr="002207A1">
        <w:trPr>
          <w:trHeight w:val="615"/>
        </w:trPr>
        <w:tc>
          <w:tcPr>
            <w:tcW w:w="1248" w:type="pct"/>
            <w:shd w:val="clear" w:color="auto" w:fill="000000" w:themeFill="text1"/>
            <w:hideMark/>
          </w:tcPr>
          <w:p w14:paraId="3C04DF2D" w14:textId="71940DF2" w:rsidR="002207A1" w:rsidRPr="0031660E" w:rsidRDefault="00617D91" w:rsidP="00EA5377">
            <w:pPr>
              <w:rPr>
                <w:rFonts w:ascii="Calibri" w:eastAsia="Times New Roman" w:hAnsi="Calibri" w:cs="Times New Roman"/>
                <w:b/>
                <w:bCs/>
                <w:szCs w:val="24"/>
              </w:rPr>
            </w:pPr>
            <w:r w:rsidRPr="0031660E">
              <w:rPr>
                <w:rFonts w:ascii="Calibri" w:eastAsia="Times New Roman" w:hAnsi="Calibri" w:cs="Times New Roman"/>
                <w:b/>
                <w:bCs/>
                <w:szCs w:val="24"/>
              </w:rPr>
              <w:t>Assessment Pathway (Tier)</w:t>
            </w:r>
            <w:r w:rsidR="002207A1" w:rsidRPr="0031660E">
              <w:rPr>
                <w:rFonts w:ascii="Calibri" w:eastAsia="Times New Roman" w:hAnsi="Calibri" w:cs="Times New Roman"/>
                <w:b/>
                <w:bCs/>
                <w:szCs w:val="24"/>
              </w:rPr>
              <w:t xml:space="preserve"> </w:t>
            </w:r>
            <w:r w:rsidR="002207A1" w:rsidRPr="0031660E">
              <w:rPr>
                <w:rFonts w:ascii="Calibri" w:eastAsia="Times New Roman" w:hAnsi="Calibri" w:cs="Times New Roman"/>
                <w:b/>
                <w:bCs/>
                <w:szCs w:val="24"/>
              </w:rPr>
              <w:br/>
              <w:t>2023-24</w:t>
            </w:r>
          </w:p>
        </w:tc>
        <w:tc>
          <w:tcPr>
            <w:tcW w:w="938" w:type="pct"/>
            <w:shd w:val="clear" w:color="auto" w:fill="000000" w:themeFill="text1"/>
            <w:hideMark/>
          </w:tcPr>
          <w:p w14:paraId="21F2835D" w14:textId="77777777" w:rsidR="002207A1" w:rsidRPr="0031660E" w:rsidRDefault="002207A1" w:rsidP="00EA5377">
            <w:pPr>
              <w:rPr>
                <w:rFonts w:ascii="Calibri" w:eastAsia="Times New Roman" w:hAnsi="Calibri" w:cs="Times New Roman"/>
                <w:b/>
                <w:bCs/>
                <w:szCs w:val="24"/>
              </w:rPr>
            </w:pPr>
            <w:r w:rsidRPr="0031660E">
              <w:rPr>
                <w:rFonts w:ascii="Calibri" w:eastAsia="Times New Roman" w:hAnsi="Calibri" w:cs="Times New Roman"/>
                <w:b/>
                <w:bCs/>
                <w:szCs w:val="24"/>
              </w:rPr>
              <w:t>Direct Costs</w:t>
            </w:r>
          </w:p>
        </w:tc>
        <w:tc>
          <w:tcPr>
            <w:tcW w:w="938" w:type="pct"/>
            <w:shd w:val="clear" w:color="auto" w:fill="000000" w:themeFill="text1"/>
            <w:hideMark/>
          </w:tcPr>
          <w:p w14:paraId="6FA63B3B" w14:textId="77777777" w:rsidR="002207A1" w:rsidRPr="0031660E" w:rsidRDefault="002207A1" w:rsidP="00EA5377">
            <w:pPr>
              <w:rPr>
                <w:rFonts w:ascii="Calibri" w:eastAsia="Times New Roman" w:hAnsi="Calibri" w:cs="Times New Roman"/>
                <w:b/>
                <w:bCs/>
                <w:szCs w:val="24"/>
              </w:rPr>
            </w:pPr>
            <w:r w:rsidRPr="0031660E">
              <w:rPr>
                <w:rFonts w:ascii="Calibri" w:eastAsia="Times New Roman" w:hAnsi="Calibri" w:cs="Times New Roman"/>
                <w:b/>
                <w:bCs/>
                <w:szCs w:val="24"/>
              </w:rPr>
              <w:t>Indirect Costs</w:t>
            </w:r>
          </w:p>
        </w:tc>
        <w:tc>
          <w:tcPr>
            <w:tcW w:w="938" w:type="pct"/>
            <w:shd w:val="clear" w:color="auto" w:fill="000000" w:themeFill="text1"/>
            <w:hideMark/>
          </w:tcPr>
          <w:p w14:paraId="573B4C54" w14:textId="77777777" w:rsidR="002207A1" w:rsidRPr="0031660E" w:rsidRDefault="002207A1" w:rsidP="00EA5377">
            <w:pPr>
              <w:rPr>
                <w:rFonts w:ascii="Calibri" w:eastAsia="Times New Roman" w:hAnsi="Calibri" w:cs="Times New Roman"/>
                <w:b/>
                <w:bCs/>
                <w:szCs w:val="24"/>
              </w:rPr>
            </w:pPr>
            <w:r w:rsidRPr="0031660E">
              <w:rPr>
                <w:rFonts w:ascii="Calibri" w:eastAsia="Times New Roman" w:hAnsi="Calibri" w:cs="Times New Roman"/>
                <w:b/>
                <w:bCs/>
                <w:szCs w:val="24"/>
              </w:rPr>
              <w:t>Total Cost</w:t>
            </w:r>
          </w:p>
        </w:tc>
        <w:tc>
          <w:tcPr>
            <w:tcW w:w="938" w:type="pct"/>
            <w:shd w:val="clear" w:color="auto" w:fill="000000" w:themeFill="text1"/>
          </w:tcPr>
          <w:p w14:paraId="598698FB" w14:textId="1D25EEF3" w:rsidR="002207A1" w:rsidRPr="0031660E" w:rsidRDefault="002207A1" w:rsidP="00EA5377">
            <w:pPr>
              <w:rPr>
                <w:rFonts w:ascii="Calibri" w:eastAsia="Times New Roman" w:hAnsi="Calibri" w:cs="Times New Roman"/>
                <w:b/>
                <w:bCs/>
                <w:szCs w:val="24"/>
              </w:rPr>
            </w:pPr>
            <w:r w:rsidRPr="0031660E">
              <w:rPr>
                <w:rFonts w:ascii="Calibri" w:eastAsia="Times New Roman" w:hAnsi="Calibri" w:cs="Times New Roman"/>
                <w:b/>
                <w:bCs/>
                <w:szCs w:val="24"/>
              </w:rPr>
              <w:t xml:space="preserve">Total Fee </w:t>
            </w:r>
            <w:r w:rsidR="00617D91" w:rsidRPr="0031660E">
              <w:rPr>
                <w:rFonts w:ascii="Calibri" w:eastAsia="Times New Roman" w:hAnsi="Calibri" w:cs="Times New Roman"/>
                <w:b/>
                <w:bCs/>
                <w:szCs w:val="24"/>
              </w:rPr>
              <w:t xml:space="preserve">Amount </w:t>
            </w:r>
            <w:r w:rsidRPr="0031660E">
              <w:rPr>
                <w:rFonts w:ascii="Calibri" w:eastAsia="Times New Roman" w:hAnsi="Calibri" w:cs="Times New Roman"/>
                <w:b/>
                <w:bCs/>
                <w:szCs w:val="24"/>
              </w:rPr>
              <w:t>from July 2023</w:t>
            </w:r>
          </w:p>
        </w:tc>
      </w:tr>
      <w:tr w:rsidR="0031660E" w:rsidRPr="0031660E" w14:paraId="433FACCF" w14:textId="1BA7C6ED" w:rsidTr="006D48A8">
        <w:trPr>
          <w:trHeight w:val="300"/>
        </w:trPr>
        <w:tc>
          <w:tcPr>
            <w:tcW w:w="1248" w:type="pct"/>
            <w:hideMark/>
          </w:tcPr>
          <w:p w14:paraId="360CA96B" w14:textId="77777777" w:rsidR="002207A1" w:rsidRPr="0031660E" w:rsidRDefault="002207A1" w:rsidP="002207A1">
            <w:pPr>
              <w:rPr>
                <w:rFonts w:ascii="Calibri" w:eastAsia="Times New Roman" w:hAnsi="Calibri" w:cs="Times New Roman"/>
                <w:szCs w:val="24"/>
              </w:rPr>
            </w:pPr>
            <w:r w:rsidRPr="0031660E">
              <w:rPr>
                <w:rFonts w:ascii="Calibri" w:eastAsia="Times New Roman" w:hAnsi="Calibri" w:cs="Times New Roman"/>
                <w:szCs w:val="24"/>
              </w:rPr>
              <w:t>Tier 1</w:t>
            </w:r>
          </w:p>
        </w:tc>
        <w:tc>
          <w:tcPr>
            <w:tcW w:w="938" w:type="pct"/>
            <w:hideMark/>
          </w:tcPr>
          <w:p w14:paraId="1ECC2E16" w14:textId="18E70C8B"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xml:space="preserve">$     </w:t>
            </w:r>
            <w:r w:rsidR="00D26DA6" w:rsidRPr="0031660E">
              <w:rPr>
                <w:rFonts w:ascii="Calibri" w:eastAsia="Times New Roman" w:hAnsi="Calibri" w:cs="Times New Roman"/>
                <w:szCs w:val="24"/>
              </w:rPr>
              <w:t xml:space="preserve">  </w:t>
            </w:r>
            <w:r w:rsidRPr="0031660E">
              <w:rPr>
                <w:rFonts w:ascii="Calibri" w:eastAsia="Times New Roman" w:hAnsi="Calibri" w:cs="Times New Roman"/>
                <w:szCs w:val="24"/>
              </w:rPr>
              <w:t xml:space="preserve"> 1,108</w:t>
            </w:r>
          </w:p>
        </w:tc>
        <w:tc>
          <w:tcPr>
            <w:tcW w:w="938" w:type="pct"/>
            <w:hideMark/>
          </w:tcPr>
          <w:p w14:paraId="1A10CF05" w14:textId="58F4C606"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265</w:t>
            </w:r>
          </w:p>
        </w:tc>
        <w:tc>
          <w:tcPr>
            <w:tcW w:w="938" w:type="pct"/>
            <w:hideMark/>
          </w:tcPr>
          <w:p w14:paraId="11E2C22B" w14:textId="452E41DB"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1,373</w:t>
            </w:r>
          </w:p>
        </w:tc>
        <w:tc>
          <w:tcPr>
            <w:tcW w:w="938" w:type="pct"/>
            <w:vAlign w:val="bottom"/>
          </w:tcPr>
          <w:p w14:paraId="0E87419A" w14:textId="36D3B4B4" w:rsidR="002207A1" w:rsidRPr="0031660E" w:rsidRDefault="002207A1" w:rsidP="00D26DA6">
            <w:pPr>
              <w:jc w:val="right"/>
              <w:rPr>
                <w:rFonts w:ascii="Calibri" w:eastAsia="Times New Roman" w:hAnsi="Calibri" w:cs="Times New Roman"/>
                <w:szCs w:val="24"/>
              </w:rPr>
            </w:pPr>
            <w:r w:rsidRPr="0031660E">
              <w:rPr>
                <w:rFonts w:ascii="Calibri" w:hAnsi="Calibri" w:cs="Calibri"/>
              </w:rPr>
              <w:t>$          1,370</w:t>
            </w:r>
          </w:p>
        </w:tc>
      </w:tr>
      <w:tr w:rsidR="0031660E" w:rsidRPr="0031660E" w14:paraId="15306F08" w14:textId="75EC59B4" w:rsidTr="006D48A8">
        <w:trPr>
          <w:trHeight w:val="300"/>
        </w:trPr>
        <w:tc>
          <w:tcPr>
            <w:tcW w:w="1248" w:type="pct"/>
            <w:hideMark/>
          </w:tcPr>
          <w:p w14:paraId="7CD55C15" w14:textId="77777777" w:rsidR="002207A1" w:rsidRPr="0031660E" w:rsidRDefault="002207A1" w:rsidP="002207A1">
            <w:pPr>
              <w:rPr>
                <w:rFonts w:ascii="Calibri" w:eastAsia="Times New Roman" w:hAnsi="Calibri" w:cs="Times New Roman"/>
                <w:szCs w:val="24"/>
              </w:rPr>
            </w:pPr>
            <w:r w:rsidRPr="0031660E">
              <w:rPr>
                <w:rFonts w:ascii="Calibri" w:eastAsia="Times New Roman" w:hAnsi="Calibri" w:cs="Times New Roman"/>
                <w:szCs w:val="24"/>
              </w:rPr>
              <w:t>Tier 2a</w:t>
            </w:r>
          </w:p>
        </w:tc>
        <w:tc>
          <w:tcPr>
            <w:tcW w:w="938" w:type="pct"/>
            <w:hideMark/>
          </w:tcPr>
          <w:p w14:paraId="203A9E7F" w14:textId="089157E5"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xml:space="preserve">$     </w:t>
            </w:r>
            <w:r w:rsidR="00D26DA6" w:rsidRPr="0031660E">
              <w:rPr>
                <w:rFonts w:ascii="Calibri" w:eastAsia="Times New Roman" w:hAnsi="Calibri" w:cs="Times New Roman"/>
                <w:szCs w:val="24"/>
              </w:rPr>
              <w:t xml:space="preserve">  </w:t>
            </w:r>
            <w:r w:rsidRPr="0031660E">
              <w:rPr>
                <w:rFonts w:ascii="Calibri" w:eastAsia="Times New Roman" w:hAnsi="Calibri" w:cs="Times New Roman"/>
                <w:szCs w:val="24"/>
              </w:rPr>
              <w:t xml:space="preserve"> 4,934</w:t>
            </w:r>
          </w:p>
        </w:tc>
        <w:tc>
          <w:tcPr>
            <w:tcW w:w="938" w:type="pct"/>
            <w:hideMark/>
          </w:tcPr>
          <w:p w14:paraId="03DF3433" w14:textId="41A76F4F"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527</w:t>
            </w:r>
          </w:p>
        </w:tc>
        <w:tc>
          <w:tcPr>
            <w:tcW w:w="938" w:type="pct"/>
            <w:hideMark/>
          </w:tcPr>
          <w:p w14:paraId="24E235A3" w14:textId="194C03AB"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5,461</w:t>
            </w:r>
          </w:p>
        </w:tc>
        <w:tc>
          <w:tcPr>
            <w:tcW w:w="938" w:type="pct"/>
            <w:vAlign w:val="bottom"/>
          </w:tcPr>
          <w:p w14:paraId="073A4767" w14:textId="60CB7B4E" w:rsidR="002207A1" w:rsidRPr="0031660E" w:rsidRDefault="002207A1" w:rsidP="00D26DA6">
            <w:pPr>
              <w:jc w:val="right"/>
              <w:rPr>
                <w:rFonts w:ascii="Calibri" w:eastAsia="Times New Roman" w:hAnsi="Calibri" w:cs="Times New Roman"/>
                <w:szCs w:val="24"/>
              </w:rPr>
            </w:pPr>
            <w:r w:rsidRPr="0031660E">
              <w:rPr>
                <w:rFonts w:ascii="Calibri" w:hAnsi="Calibri" w:cs="Calibri"/>
              </w:rPr>
              <w:t>$          5,460</w:t>
            </w:r>
          </w:p>
        </w:tc>
      </w:tr>
      <w:tr w:rsidR="0031660E" w:rsidRPr="0031660E" w14:paraId="1F93511B" w14:textId="61D1FB61" w:rsidTr="006D48A8">
        <w:trPr>
          <w:trHeight w:val="300"/>
        </w:trPr>
        <w:tc>
          <w:tcPr>
            <w:tcW w:w="1248" w:type="pct"/>
            <w:hideMark/>
          </w:tcPr>
          <w:p w14:paraId="7E203DF3" w14:textId="038ACF06" w:rsidR="002207A1" w:rsidRPr="0031660E" w:rsidRDefault="002207A1" w:rsidP="002207A1">
            <w:pPr>
              <w:rPr>
                <w:rFonts w:ascii="Calibri" w:eastAsia="Times New Roman" w:hAnsi="Calibri" w:cs="Times New Roman"/>
                <w:szCs w:val="24"/>
              </w:rPr>
            </w:pPr>
            <w:r w:rsidRPr="0031660E">
              <w:rPr>
                <w:rFonts w:ascii="Calibri" w:eastAsia="Times New Roman" w:hAnsi="Calibri" w:cs="Times New Roman"/>
                <w:szCs w:val="24"/>
              </w:rPr>
              <w:t xml:space="preserve">Tier 2b </w:t>
            </w:r>
            <w:r w:rsidR="00596741" w:rsidRPr="0031660E">
              <w:rPr>
                <w:rFonts w:ascii="Calibri" w:eastAsia="Times New Roman" w:hAnsi="Calibri" w:cs="Times New Roman"/>
                <w:szCs w:val="24"/>
              </w:rPr>
              <w:t>Simple</w:t>
            </w:r>
          </w:p>
        </w:tc>
        <w:tc>
          <w:tcPr>
            <w:tcW w:w="938" w:type="pct"/>
            <w:hideMark/>
          </w:tcPr>
          <w:p w14:paraId="35F58E63" w14:textId="165141EB"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13,730</w:t>
            </w:r>
          </w:p>
        </w:tc>
        <w:tc>
          <w:tcPr>
            <w:tcW w:w="938" w:type="pct"/>
            <w:hideMark/>
          </w:tcPr>
          <w:p w14:paraId="2864303A" w14:textId="1C7BC617"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666</w:t>
            </w:r>
          </w:p>
        </w:tc>
        <w:tc>
          <w:tcPr>
            <w:tcW w:w="938" w:type="pct"/>
            <w:hideMark/>
          </w:tcPr>
          <w:p w14:paraId="269AE6C1" w14:textId="4F20D5D3"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14,396</w:t>
            </w:r>
          </w:p>
        </w:tc>
        <w:tc>
          <w:tcPr>
            <w:tcW w:w="938" w:type="pct"/>
            <w:vAlign w:val="bottom"/>
          </w:tcPr>
          <w:p w14:paraId="4FA5A495" w14:textId="107E3BB5" w:rsidR="002207A1" w:rsidRPr="0031660E" w:rsidRDefault="002207A1" w:rsidP="00D26DA6">
            <w:pPr>
              <w:jc w:val="right"/>
              <w:rPr>
                <w:rFonts w:ascii="Calibri" w:eastAsia="Times New Roman" w:hAnsi="Calibri" w:cs="Times New Roman"/>
                <w:szCs w:val="24"/>
              </w:rPr>
            </w:pPr>
            <w:r w:rsidRPr="0031660E">
              <w:rPr>
                <w:rFonts w:ascii="Calibri" w:hAnsi="Calibri" w:cs="Calibri"/>
              </w:rPr>
              <w:t xml:space="preserve">$   </w:t>
            </w:r>
            <w:r w:rsidR="00D26DA6" w:rsidRPr="0031660E">
              <w:rPr>
                <w:rFonts w:ascii="Calibri" w:hAnsi="Calibri" w:cs="Calibri"/>
              </w:rPr>
              <w:t xml:space="preserve"> </w:t>
            </w:r>
            <w:r w:rsidRPr="0031660E">
              <w:rPr>
                <w:rFonts w:ascii="Calibri" w:hAnsi="Calibri" w:cs="Calibri"/>
              </w:rPr>
              <w:t xml:space="preserve">    14,400</w:t>
            </w:r>
          </w:p>
        </w:tc>
      </w:tr>
      <w:tr w:rsidR="0031660E" w:rsidRPr="0031660E" w14:paraId="7D5B3935" w14:textId="20A7DAFF" w:rsidTr="006D48A8">
        <w:trPr>
          <w:trHeight w:val="300"/>
        </w:trPr>
        <w:tc>
          <w:tcPr>
            <w:tcW w:w="1248" w:type="pct"/>
            <w:hideMark/>
          </w:tcPr>
          <w:p w14:paraId="719B4E39" w14:textId="580575E1" w:rsidR="002207A1" w:rsidRPr="0031660E" w:rsidRDefault="002207A1" w:rsidP="002207A1">
            <w:pPr>
              <w:rPr>
                <w:rFonts w:ascii="Calibri" w:eastAsia="Times New Roman" w:hAnsi="Calibri" w:cs="Times New Roman"/>
                <w:szCs w:val="24"/>
              </w:rPr>
            </w:pPr>
            <w:r w:rsidRPr="0031660E">
              <w:rPr>
                <w:rFonts w:ascii="Calibri" w:eastAsia="Times New Roman" w:hAnsi="Calibri" w:cs="Times New Roman"/>
                <w:szCs w:val="24"/>
              </w:rPr>
              <w:t>Tier 2b Complex</w:t>
            </w:r>
          </w:p>
        </w:tc>
        <w:tc>
          <w:tcPr>
            <w:tcW w:w="938" w:type="pct"/>
            <w:hideMark/>
          </w:tcPr>
          <w:p w14:paraId="6E14E39B" w14:textId="65C47CE7"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21,873</w:t>
            </w:r>
          </w:p>
        </w:tc>
        <w:tc>
          <w:tcPr>
            <w:tcW w:w="938" w:type="pct"/>
            <w:hideMark/>
          </w:tcPr>
          <w:p w14:paraId="326C97BD" w14:textId="0513D66C"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666</w:t>
            </w:r>
          </w:p>
        </w:tc>
        <w:tc>
          <w:tcPr>
            <w:tcW w:w="938" w:type="pct"/>
            <w:hideMark/>
          </w:tcPr>
          <w:p w14:paraId="0B05ECD4" w14:textId="0C8657FA"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22,539</w:t>
            </w:r>
          </w:p>
        </w:tc>
        <w:tc>
          <w:tcPr>
            <w:tcW w:w="938" w:type="pct"/>
            <w:vAlign w:val="bottom"/>
          </w:tcPr>
          <w:p w14:paraId="62892D92" w14:textId="55C559AE" w:rsidR="002207A1" w:rsidRPr="0031660E" w:rsidRDefault="002207A1" w:rsidP="00D26DA6">
            <w:pPr>
              <w:jc w:val="right"/>
              <w:rPr>
                <w:rFonts w:ascii="Calibri" w:eastAsia="Times New Roman" w:hAnsi="Calibri" w:cs="Times New Roman"/>
                <w:szCs w:val="24"/>
              </w:rPr>
            </w:pPr>
            <w:r w:rsidRPr="0031660E">
              <w:rPr>
                <w:rFonts w:ascii="Calibri" w:hAnsi="Calibri" w:cs="Calibri"/>
              </w:rPr>
              <w:t xml:space="preserve">$    </w:t>
            </w:r>
            <w:r w:rsidR="00D26DA6" w:rsidRPr="0031660E">
              <w:rPr>
                <w:rFonts w:ascii="Calibri" w:hAnsi="Calibri" w:cs="Calibri"/>
              </w:rPr>
              <w:t xml:space="preserve"> </w:t>
            </w:r>
            <w:r w:rsidRPr="0031660E">
              <w:rPr>
                <w:rFonts w:ascii="Calibri" w:hAnsi="Calibri" w:cs="Calibri"/>
              </w:rPr>
              <w:t xml:space="preserve">   22,540</w:t>
            </w:r>
          </w:p>
        </w:tc>
      </w:tr>
      <w:tr w:rsidR="0031660E" w:rsidRPr="0031660E" w14:paraId="6572DCF6" w14:textId="43A61813" w:rsidTr="006D48A8">
        <w:trPr>
          <w:trHeight w:val="300"/>
        </w:trPr>
        <w:tc>
          <w:tcPr>
            <w:tcW w:w="1248" w:type="pct"/>
            <w:hideMark/>
          </w:tcPr>
          <w:p w14:paraId="2FAEAF4D" w14:textId="5362E7C1" w:rsidR="002207A1" w:rsidRPr="0031660E" w:rsidRDefault="002207A1" w:rsidP="002207A1">
            <w:pPr>
              <w:rPr>
                <w:rFonts w:ascii="Calibri" w:eastAsia="Times New Roman" w:hAnsi="Calibri" w:cs="Times New Roman"/>
                <w:szCs w:val="24"/>
              </w:rPr>
            </w:pPr>
            <w:r w:rsidRPr="0031660E">
              <w:rPr>
                <w:rFonts w:ascii="Calibri" w:eastAsia="Times New Roman" w:hAnsi="Calibri" w:cs="Times New Roman"/>
                <w:szCs w:val="24"/>
              </w:rPr>
              <w:t>Tier 2b Other</w:t>
            </w:r>
          </w:p>
        </w:tc>
        <w:tc>
          <w:tcPr>
            <w:tcW w:w="938" w:type="pct"/>
            <w:hideMark/>
          </w:tcPr>
          <w:p w14:paraId="5B87D8FD" w14:textId="585FB07B"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32,730</w:t>
            </w:r>
          </w:p>
        </w:tc>
        <w:tc>
          <w:tcPr>
            <w:tcW w:w="938" w:type="pct"/>
            <w:hideMark/>
          </w:tcPr>
          <w:p w14:paraId="059C4EB6" w14:textId="735EB16B"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666</w:t>
            </w:r>
          </w:p>
        </w:tc>
        <w:tc>
          <w:tcPr>
            <w:tcW w:w="938" w:type="pct"/>
            <w:hideMark/>
          </w:tcPr>
          <w:p w14:paraId="588445B4" w14:textId="4CA25A92"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33,396</w:t>
            </w:r>
          </w:p>
        </w:tc>
        <w:tc>
          <w:tcPr>
            <w:tcW w:w="938" w:type="pct"/>
            <w:vAlign w:val="bottom"/>
          </w:tcPr>
          <w:p w14:paraId="55F6692B" w14:textId="0F0E5AA1" w:rsidR="002207A1" w:rsidRPr="0031660E" w:rsidRDefault="002207A1" w:rsidP="00D26DA6">
            <w:pPr>
              <w:jc w:val="right"/>
              <w:rPr>
                <w:rFonts w:ascii="Calibri" w:eastAsia="Times New Roman" w:hAnsi="Calibri" w:cs="Times New Roman"/>
                <w:szCs w:val="24"/>
              </w:rPr>
            </w:pPr>
            <w:r w:rsidRPr="0031660E">
              <w:rPr>
                <w:rFonts w:ascii="Calibri" w:hAnsi="Calibri" w:cs="Calibri"/>
              </w:rPr>
              <w:t xml:space="preserve">$    </w:t>
            </w:r>
            <w:r w:rsidR="00D26DA6" w:rsidRPr="0031660E">
              <w:rPr>
                <w:rFonts w:ascii="Calibri" w:hAnsi="Calibri" w:cs="Calibri"/>
              </w:rPr>
              <w:t xml:space="preserve"> </w:t>
            </w:r>
            <w:r w:rsidRPr="0031660E">
              <w:rPr>
                <w:rFonts w:ascii="Calibri" w:hAnsi="Calibri" w:cs="Calibri"/>
              </w:rPr>
              <w:t xml:space="preserve">   33,400</w:t>
            </w:r>
          </w:p>
        </w:tc>
      </w:tr>
      <w:tr w:rsidR="0031660E" w:rsidRPr="0031660E" w14:paraId="5821B1FF" w14:textId="692D6F69" w:rsidTr="006D48A8">
        <w:trPr>
          <w:trHeight w:val="300"/>
        </w:trPr>
        <w:tc>
          <w:tcPr>
            <w:tcW w:w="1248" w:type="pct"/>
            <w:hideMark/>
          </w:tcPr>
          <w:p w14:paraId="0293A9A7" w14:textId="77777777" w:rsidR="002207A1" w:rsidRPr="0031660E" w:rsidRDefault="002207A1" w:rsidP="002207A1">
            <w:pPr>
              <w:rPr>
                <w:rFonts w:ascii="Calibri" w:eastAsia="Times New Roman" w:hAnsi="Calibri" w:cs="Times New Roman"/>
                <w:szCs w:val="24"/>
              </w:rPr>
            </w:pPr>
            <w:r w:rsidRPr="0031660E">
              <w:rPr>
                <w:rFonts w:ascii="Calibri" w:eastAsia="Times New Roman" w:hAnsi="Calibri" w:cs="Times New Roman"/>
                <w:szCs w:val="24"/>
              </w:rPr>
              <w:t>Tier 3</w:t>
            </w:r>
          </w:p>
        </w:tc>
        <w:tc>
          <w:tcPr>
            <w:tcW w:w="938" w:type="pct"/>
            <w:hideMark/>
          </w:tcPr>
          <w:p w14:paraId="75E02ECD" w14:textId="685E9B71"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xml:space="preserve">$     </w:t>
            </w:r>
            <w:r w:rsidR="00D26DA6" w:rsidRPr="0031660E">
              <w:rPr>
                <w:rFonts w:ascii="Calibri" w:eastAsia="Times New Roman" w:hAnsi="Calibri" w:cs="Times New Roman"/>
                <w:szCs w:val="24"/>
              </w:rPr>
              <w:t xml:space="preserve">  </w:t>
            </w:r>
            <w:r w:rsidRPr="0031660E">
              <w:rPr>
                <w:rFonts w:ascii="Calibri" w:eastAsia="Times New Roman" w:hAnsi="Calibri" w:cs="Times New Roman"/>
                <w:szCs w:val="24"/>
              </w:rPr>
              <w:t xml:space="preserve"> 4,062</w:t>
            </w:r>
          </w:p>
        </w:tc>
        <w:tc>
          <w:tcPr>
            <w:tcW w:w="938" w:type="pct"/>
            <w:hideMark/>
          </w:tcPr>
          <w:p w14:paraId="34706516" w14:textId="67F61DCD"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609</w:t>
            </w:r>
          </w:p>
        </w:tc>
        <w:tc>
          <w:tcPr>
            <w:tcW w:w="938" w:type="pct"/>
            <w:hideMark/>
          </w:tcPr>
          <w:p w14:paraId="56E2DC13" w14:textId="688C3A3E"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          4,671</w:t>
            </w:r>
          </w:p>
        </w:tc>
        <w:tc>
          <w:tcPr>
            <w:tcW w:w="938" w:type="pct"/>
            <w:vAlign w:val="bottom"/>
          </w:tcPr>
          <w:p w14:paraId="0F17F25A" w14:textId="1EEAB9A4" w:rsidR="002207A1" w:rsidRPr="0031660E" w:rsidRDefault="002207A1" w:rsidP="00D26DA6">
            <w:pPr>
              <w:jc w:val="right"/>
              <w:rPr>
                <w:rFonts w:ascii="Calibri" w:eastAsia="Times New Roman" w:hAnsi="Calibri" w:cs="Times New Roman"/>
                <w:szCs w:val="24"/>
              </w:rPr>
            </w:pPr>
            <w:r w:rsidRPr="0031660E">
              <w:rPr>
                <w:rFonts w:ascii="Calibri" w:hAnsi="Calibri" w:cs="Calibri"/>
              </w:rPr>
              <w:t>$          4,670</w:t>
            </w:r>
          </w:p>
        </w:tc>
      </w:tr>
      <w:tr w:rsidR="002207A1" w:rsidRPr="0031660E" w14:paraId="4D936DCF" w14:textId="24B92D0E" w:rsidTr="002207A1">
        <w:trPr>
          <w:trHeight w:val="300"/>
        </w:trPr>
        <w:tc>
          <w:tcPr>
            <w:tcW w:w="1248" w:type="pct"/>
          </w:tcPr>
          <w:p w14:paraId="7AC5485C" w14:textId="69B55124" w:rsidR="002207A1" w:rsidRPr="0031660E" w:rsidRDefault="002207A1" w:rsidP="002207A1">
            <w:pPr>
              <w:rPr>
                <w:rFonts w:ascii="Calibri" w:eastAsia="Times New Roman" w:hAnsi="Calibri" w:cs="Times New Roman"/>
                <w:szCs w:val="24"/>
              </w:rPr>
            </w:pPr>
            <w:r w:rsidRPr="0031660E">
              <w:rPr>
                <w:rFonts w:ascii="Calibri" w:eastAsia="Times New Roman" w:hAnsi="Calibri" w:cs="Times New Roman"/>
                <w:szCs w:val="24"/>
              </w:rPr>
              <w:t>Levy</w:t>
            </w:r>
          </w:p>
        </w:tc>
        <w:tc>
          <w:tcPr>
            <w:tcW w:w="938" w:type="pct"/>
          </w:tcPr>
          <w:p w14:paraId="7D75E243" w14:textId="594C0893"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n/a</w:t>
            </w:r>
          </w:p>
        </w:tc>
        <w:tc>
          <w:tcPr>
            <w:tcW w:w="938" w:type="pct"/>
          </w:tcPr>
          <w:p w14:paraId="2E761376" w14:textId="719256C9"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n/a</w:t>
            </w:r>
          </w:p>
        </w:tc>
        <w:tc>
          <w:tcPr>
            <w:tcW w:w="938" w:type="pct"/>
          </w:tcPr>
          <w:p w14:paraId="02D557BC" w14:textId="34F683C8"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n/a</w:t>
            </w:r>
          </w:p>
        </w:tc>
        <w:tc>
          <w:tcPr>
            <w:tcW w:w="938" w:type="pct"/>
          </w:tcPr>
          <w:p w14:paraId="6F023B10" w14:textId="185A79BC" w:rsidR="002207A1" w:rsidRPr="0031660E" w:rsidRDefault="002207A1" w:rsidP="00D26DA6">
            <w:pPr>
              <w:jc w:val="right"/>
              <w:rPr>
                <w:rFonts w:ascii="Calibri" w:eastAsia="Times New Roman" w:hAnsi="Calibri" w:cs="Times New Roman"/>
                <w:szCs w:val="24"/>
              </w:rPr>
            </w:pPr>
            <w:r w:rsidRPr="0031660E">
              <w:rPr>
                <w:rFonts w:ascii="Calibri" w:eastAsia="Times New Roman" w:hAnsi="Calibri" w:cs="Times New Roman"/>
                <w:szCs w:val="24"/>
              </w:rPr>
              <w:t>n/a</w:t>
            </w:r>
          </w:p>
        </w:tc>
      </w:tr>
    </w:tbl>
    <w:p w14:paraId="09C4CC16" w14:textId="77777777" w:rsidR="004C45B8" w:rsidRPr="0031660E" w:rsidRDefault="004C45B8" w:rsidP="004C45B8">
      <w:pPr>
        <w:spacing w:before="360" w:after="120" w:line="240" w:lineRule="auto"/>
        <w:contextualSpacing/>
        <w:rPr>
          <w:rFonts w:ascii="Calibri" w:eastAsia="Times New Roman" w:hAnsi="Calibri" w:cs="Arial"/>
        </w:rPr>
      </w:pPr>
    </w:p>
    <w:p w14:paraId="155526BD" w14:textId="75A65982" w:rsidR="002207A1" w:rsidRPr="0031660E" w:rsidRDefault="00C7474D" w:rsidP="004C45B8">
      <w:pPr>
        <w:spacing w:before="360" w:after="120" w:line="240" w:lineRule="auto"/>
        <w:contextualSpacing/>
        <w:rPr>
          <w:rFonts w:ascii="Calibri" w:eastAsia="Times New Roman" w:hAnsi="Calibri" w:cs="Arial"/>
        </w:rPr>
      </w:pPr>
      <w:r w:rsidRPr="0031660E">
        <w:rPr>
          <w:rFonts w:ascii="Calibri" w:eastAsia="Times New Roman" w:hAnsi="Calibri" w:cs="Arial"/>
        </w:rPr>
        <w:t xml:space="preserve">Using the </w:t>
      </w:r>
      <w:r w:rsidR="00E34BC5" w:rsidRPr="0031660E">
        <w:rPr>
          <w:rFonts w:ascii="Calibri" w:eastAsia="Times New Roman" w:hAnsi="Calibri" w:cs="Arial"/>
        </w:rPr>
        <w:t>activity-based</w:t>
      </w:r>
      <w:r w:rsidRPr="0031660E">
        <w:rPr>
          <w:rFonts w:ascii="Calibri" w:eastAsia="Times New Roman" w:hAnsi="Calibri" w:cs="Arial"/>
        </w:rPr>
        <w:t xml:space="preserve"> cost model</w:t>
      </w:r>
      <w:r w:rsidR="004172D4" w:rsidRPr="0031660E">
        <w:rPr>
          <w:rFonts w:ascii="Calibri" w:eastAsia="Times New Roman" w:hAnsi="Calibri" w:cs="Arial"/>
        </w:rPr>
        <w:t xml:space="preserve"> and estimated volumes, the </w:t>
      </w:r>
      <w:r w:rsidR="00FD0426" w:rsidRPr="0031660E">
        <w:rPr>
          <w:rFonts w:ascii="Calibri" w:eastAsia="Times New Roman" w:hAnsi="Calibri" w:cs="Arial"/>
        </w:rPr>
        <w:t xml:space="preserve">estimated </w:t>
      </w:r>
      <w:r w:rsidR="004172D4" w:rsidRPr="0031660E">
        <w:rPr>
          <w:rFonts w:ascii="Calibri" w:eastAsia="Times New Roman" w:hAnsi="Calibri" w:cs="Arial"/>
        </w:rPr>
        <w:t>total revenue of the regulatory charging activity was determined as follows:</w:t>
      </w:r>
    </w:p>
    <w:p w14:paraId="0C749D7C" w14:textId="5B70F2E1" w:rsidR="002207A1" w:rsidRPr="0031660E" w:rsidRDefault="002207A1" w:rsidP="002207A1">
      <w:pPr>
        <w:keepNext/>
        <w:numPr>
          <w:ilvl w:val="1"/>
          <w:numId w:val="0"/>
        </w:numPr>
        <w:spacing w:before="240" w:after="120" w:line="240" w:lineRule="auto"/>
        <w:ind w:left="576" w:hanging="576"/>
        <w:outlineLvl w:val="1"/>
        <w:rPr>
          <w:rFonts w:eastAsia="Times New Roman" w:cstheme="minorHAnsi"/>
          <w:b/>
          <w:bCs/>
          <w:iCs/>
        </w:rPr>
      </w:pPr>
      <w:r w:rsidRPr="0031660E">
        <w:rPr>
          <w:rFonts w:eastAsia="Times New Roman" w:cstheme="minorHAnsi"/>
          <w:b/>
          <w:bCs/>
          <w:iCs/>
        </w:rPr>
        <w:t>Table 4.  Estimated volumes and revenue for 2023-24, effective from 1 July 2023</w:t>
      </w:r>
      <w:r w:rsidR="004172D4" w:rsidRPr="0031660E">
        <w:rPr>
          <w:rFonts w:eastAsia="Times New Roman" w:cstheme="minorHAnsi"/>
          <w:b/>
          <w:bCs/>
          <w:iCs/>
        </w:rPr>
        <w:t xml:space="preserve"> (2023-24 financial year)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709"/>
        <w:gridCol w:w="1848"/>
        <w:gridCol w:w="1417"/>
        <w:gridCol w:w="2784"/>
      </w:tblGrid>
      <w:tr w:rsidR="0031660E" w:rsidRPr="0031660E" w14:paraId="12A5B82F" w14:textId="77777777" w:rsidTr="00D26DA6">
        <w:trPr>
          <w:trHeight w:val="781"/>
          <w:tblHeader/>
        </w:trPr>
        <w:tc>
          <w:tcPr>
            <w:tcW w:w="1252" w:type="pct"/>
            <w:shd w:val="clear" w:color="auto" w:fill="000000" w:themeFill="text1"/>
            <w:vAlign w:val="center"/>
            <w:hideMark/>
          </w:tcPr>
          <w:p w14:paraId="70CA67D9" w14:textId="57E7FF70" w:rsidR="002207A1" w:rsidRPr="0031660E" w:rsidRDefault="00617D91" w:rsidP="00EA5377">
            <w:pPr>
              <w:spacing w:after="0" w:line="240" w:lineRule="auto"/>
              <w:rPr>
                <w:rFonts w:ascii="Calibri" w:eastAsia="Times New Roman" w:hAnsi="Calibri" w:cs="Times New Roman"/>
                <w:b/>
                <w:szCs w:val="24"/>
                <w:lang w:val="en-US"/>
              </w:rPr>
            </w:pPr>
            <w:r w:rsidRPr="0031660E">
              <w:rPr>
                <w:rFonts w:ascii="Calibri" w:eastAsia="Times New Roman" w:hAnsi="Calibri" w:cs="Times New Roman"/>
                <w:b/>
                <w:szCs w:val="24"/>
                <w:lang w:val="en-US"/>
              </w:rPr>
              <w:t>Assessment Pathway (Tier)</w:t>
            </w:r>
            <w:r w:rsidR="00C7474D" w:rsidRPr="0031660E">
              <w:rPr>
                <w:rFonts w:ascii="Calibri" w:eastAsia="Times New Roman" w:hAnsi="Calibri" w:cs="Times New Roman"/>
                <w:b/>
                <w:szCs w:val="24"/>
                <w:lang w:val="en-US"/>
              </w:rPr>
              <w:t xml:space="preserve"> 2023-24</w:t>
            </w:r>
          </w:p>
        </w:tc>
        <w:tc>
          <w:tcPr>
            <w:tcW w:w="393" w:type="pct"/>
            <w:shd w:val="clear" w:color="auto" w:fill="000000" w:themeFill="text1"/>
            <w:vAlign w:val="center"/>
            <w:hideMark/>
          </w:tcPr>
          <w:p w14:paraId="1FFEECD1" w14:textId="77777777" w:rsidR="002207A1" w:rsidRPr="0031660E" w:rsidRDefault="002207A1" w:rsidP="00EA5377">
            <w:pPr>
              <w:spacing w:after="0" w:line="240" w:lineRule="auto"/>
              <w:rPr>
                <w:rFonts w:ascii="Calibri" w:eastAsia="Times New Roman" w:hAnsi="Calibri" w:cs="Times New Roman"/>
                <w:b/>
                <w:szCs w:val="24"/>
                <w:lang w:val="en-US"/>
              </w:rPr>
            </w:pPr>
            <w:r w:rsidRPr="0031660E">
              <w:rPr>
                <w:rFonts w:ascii="Calibri" w:eastAsia="Times New Roman" w:hAnsi="Calibri" w:cs="Times New Roman"/>
                <w:b/>
                <w:szCs w:val="24"/>
                <w:lang w:val="en-US"/>
              </w:rPr>
              <w:t>Type</w:t>
            </w:r>
          </w:p>
        </w:tc>
        <w:tc>
          <w:tcPr>
            <w:tcW w:w="1025" w:type="pct"/>
            <w:shd w:val="clear" w:color="auto" w:fill="000000" w:themeFill="text1"/>
            <w:vAlign w:val="center"/>
            <w:hideMark/>
          </w:tcPr>
          <w:p w14:paraId="11CFC081" w14:textId="33026DB8" w:rsidR="002207A1" w:rsidRPr="0031660E" w:rsidRDefault="00617D91" w:rsidP="00EA5377">
            <w:pPr>
              <w:spacing w:after="0" w:line="240" w:lineRule="auto"/>
              <w:rPr>
                <w:rFonts w:ascii="Calibri" w:eastAsia="Times New Roman" w:hAnsi="Calibri" w:cs="Times New Roman"/>
                <w:b/>
                <w:szCs w:val="24"/>
                <w:lang w:val="en-US"/>
              </w:rPr>
            </w:pPr>
            <w:r w:rsidRPr="0031660E">
              <w:rPr>
                <w:rFonts w:ascii="Calibri" w:eastAsia="Times New Roman" w:hAnsi="Calibri" w:cs="Times New Roman"/>
                <w:b/>
                <w:szCs w:val="24"/>
                <w:lang w:val="en-US"/>
              </w:rPr>
              <w:t xml:space="preserve">Total Fee Amount </w:t>
            </w:r>
            <w:r w:rsidR="002207A1" w:rsidRPr="0031660E">
              <w:rPr>
                <w:rFonts w:ascii="Calibri" w:eastAsia="Times New Roman" w:hAnsi="Calibri" w:cs="Times New Roman"/>
                <w:b/>
                <w:szCs w:val="24"/>
                <w:lang w:val="en-US"/>
              </w:rPr>
              <w:t>from</w:t>
            </w:r>
            <w:r w:rsidR="00D26DA6" w:rsidRPr="0031660E">
              <w:rPr>
                <w:rFonts w:ascii="Calibri" w:eastAsia="Times New Roman" w:hAnsi="Calibri" w:cs="Times New Roman"/>
                <w:b/>
                <w:szCs w:val="24"/>
                <w:lang w:val="en-US"/>
              </w:rPr>
              <w:t xml:space="preserve"> </w:t>
            </w:r>
            <w:r w:rsidR="002207A1" w:rsidRPr="0031660E">
              <w:rPr>
                <w:rFonts w:ascii="Calibri" w:eastAsia="Times New Roman" w:hAnsi="Calibri" w:cs="Times New Roman"/>
                <w:b/>
                <w:szCs w:val="24"/>
                <w:lang w:val="en-US"/>
              </w:rPr>
              <w:t>July 2023</w:t>
            </w:r>
          </w:p>
        </w:tc>
        <w:tc>
          <w:tcPr>
            <w:tcW w:w="786" w:type="pct"/>
            <w:shd w:val="clear" w:color="auto" w:fill="000000" w:themeFill="text1"/>
            <w:vAlign w:val="center"/>
            <w:hideMark/>
          </w:tcPr>
          <w:p w14:paraId="6A18DFA4" w14:textId="77777777" w:rsidR="002207A1" w:rsidRPr="0031660E" w:rsidRDefault="002207A1" w:rsidP="00EA5377">
            <w:pPr>
              <w:spacing w:after="0" w:line="240" w:lineRule="auto"/>
              <w:rPr>
                <w:rFonts w:ascii="Calibri" w:eastAsia="Times New Roman" w:hAnsi="Calibri" w:cs="Times New Roman"/>
                <w:b/>
                <w:szCs w:val="24"/>
                <w:lang w:val="en-US"/>
              </w:rPr>
            </w:pPr>
            <w:r w:rsidRPr="0031660E">
              <w:rPr>
                <w:rFonts w:ascii="Calibri" w:eastAsia="Times New Roman" w:hAnsi="Calibri" w:cs="Times New Roman"/>
                <w:b/>
                <w:szCs w:val="24"/>
                <w:lang w:val="en-US"/>
              </w:rPr>
              <w:t>Estimated Volume</w:t>
            </w:r>
          </w:p>
        </w:tc>
        <w:tc>
          <w:tcPr>
            <w:tcW w:w="1544" w:type="pct"/>
            <w:shd w:val="clear" w:color="auto" w:fill="000000" w:themeFill="text1"/>
            <w:vAlign w:val="center"/>
            <w:hideMark/>
          </w:tcPr>
          <w:p w14:paraId="57487B0E" w14:textId="1F1C3DBC" w:rsidR="002207A1" w:rsidRPr="0031660E" w:rsidRDefault="002207A1" w:rsidP="00EA5377">
            <w:pPr>
              <w:spacing w:after="0" w:line="240" w:lineRule="auto"/>
              <w:rPr>
                <w:rFonts w:ascii="Calibri" w:eastAsia="Times New Roman" w:hAnsi="Calibri" w:cs="Times New Roman"/>
                <w:b/>
                <w:szCs w:val="24"/>
                <w:lang w:val="en-US"/>
              </w:rPr>
            </w:pPr>
            <w:r w:rsidRPr="0031660E">
              <w:rPr>
                <w:rFonts w:ascii="Calibri" w:eastAsia="Times New Roman" w:hAnsi="Calibri" w:cs="Times New Roman"/>
                <w:b/>
                <w:szCs w:val="24"/>
                <w:lang w:val="en-US"/>
              </w:rPr>
              <w:t>Estimated Revenue for</w:t>
            </w:r>
            <w:r w:rsidR="00D26DA6" w:rsidRPr="0031660E">
              <w:rPr>
                <w:rFonts w:ascii="Calibri" w:eastAsia="Times New Roman" w:hAnsi="Calibri" w:cs="Times New Roman"/>
                <w:b/>
                <w:szCs w:val="24"/>
                <w:lang w:val="en-US"/>
              </w:rPr>
              <w:t xml:space="preserve"> </w:t>
            </w:r>
            <w:r w:rsidRPr="0031660E">
              <w:rPr>
                <w:rFonts w:ascii="Calibri" w:eastAsia="Times New Roman" w:hAnsi="Calibri" w:cs="Times New Roman"/>
                <w:b/>
                <w:szCs w:val="24"/>
                <w:lang w:val="en-US"/>
              </w:rPr>
              <w:t>1 July 2023– 30 June 2024</w:t>
            </w:r>
          </w:p>
        </w:tc>
      </w:tr>
      <w:tr w:rsidR="0031660E" w:rsidRPr="0031660E" w14:paraId="5F62B669" w14:textId="77777777" w:rsidTr="00D26DA6">
        <w:trPr>
          <w:trHeight w:val="250"/>
        </w:trPr>
        <w:tc>
          <w:tcPr>
            <w:tcW w:w="1252" w:type="pct"/>
            <w:shd w:val="clear" w:color="auto" w:fill="auto"/>
            <w:noWrap/>
            <w:vAlign w:val="center"/>
            <w:hideMark/>
          </w:tcPr>
          <w:p w14:paraId="7A978C5B" w14:textId="77777777" w:rsidR="002207A1" w:rsidRPr="0031660E" w:rsidRDefault="002207A1" w:rsidP="002207A1">
            <w:pPr>
              <w:spacing w:after="0" w:line="240" w:lineRule="auto"/>
              <w:ind w:firstLineChars="100" w:firstLine="220"/>
              <w:rPr>
                <w:rFonts w:ascii="Calibri" w:eastAsia="Times New Roman" w:hAnsi="Calibri" w:cs="Times New Roman"/>
                <w:bCs/>
                <w:szCs w:val="24"/>
                <w:lang w:val="en-US"/>
              </w:rPr>
            </w:pPr>
            <w:r w:rsidRPr="0031660E">
              <w:rPr>
                <w:rFonts w:ascii="Calibri" w:eastAsia="Times New Roman" w:hAnsi="Calibri" w:cs="Times New Roman"/>
                <w:bCs/>
                <w:szCs w:val="24"/>
                <w:lang w:val="en-US"/>
              </w:rPr>
              <w:t>Tier 1</w:t>
            </w:r>
          </w:p>
        </w:tc>
        <w:tc>
          <w:tcPr>
            <w:tcW w:w="393" w:type="pct"/>
            <w:shd w:val="clear" w:color="auto" w:fill="auto"/>
            <w:noWrap/>
            <w:vAlign w:val="bottom"/>
            <w:hideMark/>
          </w:tcPr>
          <w:p w14:paraId="22F0827C" w14:textId="77777777" w:rsidR="002207A1" w:rsidRPr="0031660E" w:rsidRDefault="002207A1" w:rsidP="00D26DA6">
            <w:pPr>
              <w:spacing w:after="0" w:line="240" w:lineRule="auto"/>
              <w:jc w:val="right"/>
              <w:rPr>
                <w:rFonts w:ascii="Calibri" w:eastAsia="Times New Roman" w:hAnsi="Calibri" w:cs="Times New Roman"/>
                <w:bCs/>
                <w:szCs w:val="24"/>
                <w:lang w:val="en-US"/>
              </w:rPr>
            </w:pPr>
            <w:r w:rsidRPr="0031660E">
              <w:rPr>
                <w:rFonts w:ascii="Calibri" w:eastAsia="Times New Roman" w:hAnsi="Calibri" w:cs="Times New Roman"/>
                <w:bCs/>
                <w:szCs w:val="24"/>
                <w:lang w:val="en-US"/>
              </w:rPr>
              <w:t>Fee</w:t>
            </w:r>
          </w:p>
        </w:tc>
        <w:tc>
          <w:tcPr>
            <w:tcW w:w="1025" w:type="pct"/>
            <w:shd w:val="clear" w:color="auto" w:fill="auto"/>
            <w:noWrap/>
            <w:vAlign w:val="bottom"/>
          </w:tcPr>
          <w:p w14:paraId="7FCA9999" w14:textId="77777777" w:rsidR="002207A1" w:rsidRPr="0031660E" w:rsidRDefault="002207A1" w:rsidP="00D26DA6">
            <w:pPr>
              <w:spacing w:after="0" w:line="240" w:lineRule="auto"/>
              <w:jc w:val="right"/>
              <w:rPr>
                <w:rFonts w:ascii="Calibri" w:eastAsia="Times New Roman" w:hAnsi="Calibri" w:cs="Times New Roman"/>
                <w:bCs/>
                <w:szCs w:val="24"/>
                <w:highlight w:val="yellow"/>
                <w:lang w:val="en-US"/>
              </w:rPr>
            </w:pPr>
            <w:r w:rsidRPr="0031660E">
              <w:rPr>
                <w:rFonts w:ascii="Calibri" w:hAnsi="Calibri" w:cs="Calibri"/>
              </w:rPr>
              <w:t xml:space="preserve"> $          1,370 </w:t>
            </w:r>
          </w:p>
        </w:tc>
        <w:tc>
          <w:tcPr>
            <w:tcW w:w="786" w:type="pct"/>
            <w:shd w:val="clear" w:color="auto" w:fill="auto"/>
            <w:noWrap/>
            <w:hideMark/>
          </w:tcPr>
          <w:p w14:paraId="1A737886" w14:textId="77777777"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t xml:space="preserve"> 901 </w:t>
            </w:r>
          </w:p>
        </w:tc>
        <w:tc>
          <w:tcPr>
            <w:tcW w:w="1544" w:type="pct"/>
            <w:shd w:val="clear" w:color="auto" w:fill="auto"/>
            <w:noWrap/>
            <w:vAlign w:val="bottom"/>
            <w:hideMark/>
          </w:tcPr>
          <w:p w14:paraId="5AE35C8F" w14:textId="77777777"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rPr>
                <w:rFonts w:ascii="Calibri" w:hAnsi="Calibri" w:cs="Calibri"/>
              </w:rPr>
              <w:t xml:space="preserve"> $  1,234,370 </w:t>
            </w:r>
          </w:p>
        </w:tc>
      </w:tr>
      <w:tr w:rsidR="0031660E" w:rsidRPr="0031660E" w14:paraId="6252FC74" w14:textId="77777777" w:rsidTr="00D26DA6">
        <w:trPr>
          <w:trHeight w:val="250"/>
        </w:trPr>
        <w:tc>
          <w:tcPr>
            <w:tcW w:w="1252" w:type="pct"/>
            <w:shd w:val="clear" w:color="auto" w:fill="auto"/>
            <w:noWrap/>
            <w:vAlign w:val="center"/>
            <w:hideMark/>
          </w:tcPr>
          <w:p w14:paraId="68FCB987" w14:textId="77777777" w:rsidR="002207A1" w:rsidRPr="0031660E" w:rsidRDefault="002207A1" w:rsidP="002207A1">
            <w:pPr>
              <w:spacing w:after="0" w:line="240" w:lineRule="auto"/>
              <w:ind w:firstLineChars="100" w:firstLine="220"/>
              <w:rPr>
                <w:rFonts w:ascii="Calibri" w:eastAsia="Times New Roman" w:hAnsi="Calibri" w:cs="Times New Roman"/>
                <w:bCs/>
                <w:szCs w:val="24"/>
                <w:lang w:val="en-US"/>
              </w:rPr>
            </w:pPr>
            <w:r w:rsidRPr="0031660E">
              <w:rPr>
                <w:rFonts w:ascii="Calibri" w:eastAsia="Times New Roman" w:hAnsi="Calibri" w:cs="Times New Roman"/>
                <w:bCs/>
                <w:szCs w:val="24"/>
                <w:lang w:val="en-US"/>
              </w:rPr>
              <w:t>Tier 2a</w:t>
            </w:r>
          </w:p>
        </w:tc>
        <w:tc>
          <w:tcPr>
            <w:tcW w:w="393" w:type="pct"/>
            <w:shd w:val="clear" w:color="auto" w:fill="auto"/>
            <w:noWrap/>
            <w:vAlign w:val="bottom"/>
            <w:hideMark/>
          </w:tcPr>
          <w:p w14:paraId="426652A6" w14:textId="77777777" w:rsidR="002207A1" w:rsidRPr="0031660E" w:rsidRDefault="002207A1" w:rsidP="00D26DA6">
            <w:pPr>
              <w:spacing w:after="0" w:line="240" w:lineRule="auto"/>
              <w:jc w:val="right"/>
              <w:rPr>
                <w:rFonts w:ascii="Calibri" w:eastAsia="Times New Roman" w:hAnsi="Calibri" w:cs="Times New Roman"/>
                <w:bCs/>
                <w:szCs w:val="24"/>
                <w:lang w:val="en-US"/>
              </w:rPr>
            </w:pPr>
            <w:r w:rsidRPr="0031660E">
              <w:rPr>
                <w:rFonts w:ascii="Calibri" w:eastAsia="Times New Roman" w:hAnsi="Calibri" w:cs="Times New Roman"/>
                <w:bCs/>
                <w:szCs w:val="24"/>
                <w:lang w:val="en-US"/>
              </w:rPr>
              <w:t>Fee</w:t>
            </w:r>
          </w:p>
        </w:tc>
        <w:tc>
          <w:tcPr>
            <w:tcW w:w="1025" w:type="pct"/>
            <w:shd w:val="clear" w:color="auto" w:fill="auto"/>
            <w:noWrap/>
            <w:vAlign w:val="bottom"/>
          </w:tcPr>
          <w:p w14:paraId="6A7D85A4" w14:textId="77777777" w:rsidR="002207A1" w:rsidRPr="0031660E" w:rsidRDefault="002207A1" w:rsidP="00D26DA6">
            <w:pPr>
              <w:spacing w:after="0" w:line="240" w:lineRule="auto"/>
              <w:jc w:val="right"/>
              <w:rPr>
                <w:rFonts w:ascii="Calibri" w:eastAsia="Times New Roman" w:hAnsi="Calibri" w:cs="Times New Roman"/>
                <w:bCs/>
                <w:szCs w:val="24"/>
                <w:highlight w:val="yellow"/>
                <w:lang w:val="en-US"/>
              </w:rPr>
            </w:pPr>
            <w:r w:rsidRPr="0031660E">
              <w:rPr>
                <w:rFonts w:ascii="Calibri" w:hAnsi="Calibri" w:cs="Calibri"/>
              </w:rPr>
              <w:t xml:space="preserve"> $          5,460 </w:t>
            </w:r>
          </w:p>
        </w:tc>
        <w:tc>
          <w:tcPr>
            <w:tcW w:w="786" w:type="pct"/>
            <w:shd w:val="clear" w:color="auto" w:fill="auto"/>
            <w:noWrap/>
            <w:hideMark/>
          </w:tcPr>
          <w:p w14:paraId="6C7CCE86" w14:textId="77777777"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t xml:space="preserve"> 565 </w:t>
            </w:r>
          </w:p>
        </w:tc>
        <w:tc>
          <w:tcPr>
            <w:tcW w:w="1544" w:type="pct"/>
            <w:shd w:val="clear" w:color="auto" w:fill="auto"/>
            <w:noWrap/>
            <w:vAlign w:val="bottom"/>
            <w:hideMark/>
          </w:tcPr>
          <w:p w14:paraId="0B0BE4BE" w14:textId="77777777"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rPr>
                <w:rFonts w:ascii="Calibri" w:hAnsi="Calibri" w:cs="Calibri"/>
              </w:rPr>
              <w:t xml:space="preserve"> $  3,084,900 </w:t>
            </w:r>
          </w:p>
        </w:tc>
      </w:tr>
      <w:tr w:rsidR="0031660E" w:rsidRPr="0031660E" w14:paraId="5F02602F" w14:textId="77777777" w:rsidTr="00D26DA6">
        <w:trPr>
          <w:trHeight w:val="250"/>
        </w:trPr>
        <w:tc>
          <w:tcPr>
            <w:tcW w:w="1252" w:type="pct"/>
            <w:shd w:val="clear" w:color="auto" w:fill="auto"/>
            <w:noWrap/>
            <w:vAlign w:val="center"/>
            <w:hideMark/>
          </w:tcPr>
          <w:p w14:paraId="24ABC728" w14:textId="7F34C310" w:rsidR="002207A1" w:rsidRPr="0031660E" w:rsidRDefault="002207A1" w:rsidP="002207A1">
            <w:pPr>
              <w:spacing w:after="0" w:line="240" w:lineRule="auto"/>
              <w:ind w:firstLineChars="100" w:firstLine="220"/>
              <w:rPr>
                <w:rFonts w:ascii="Calibri" w:eastAsia="Times New Roman" w:hAnsi="Calibri" w:cs="Times New Roman"/>
                <w:bCs/>
                <w:szCs w:val="24"/>
                <w:lang w:val="en-US"/>
              </w:rPr>
            </w:pPr>
            <w:r w:rsidRPr="0031660E">
              <w:rPr>
                <w:rFonts w:ascii="Calibri" w:eastAsia="Times New Roman" w:hAnsi="Calibri" w:cs="Times New Roman"/>
                <w:bCs/>
                <w:szCs w:val="24"/>
                <w:lang w:val="en-US"/>
              </w:rPr>
              <w:t xml:space="preserve">Tier 2b </w:t>
            </w:r>
            <w:r w:rsidR="00596741" w:rsidRPr="0031660E">
              <w:rPr>
                <w:rFonts w:ascii="Calibri" w:eastAsia="Times New Roman" w:hAnsi="Calibri" w:cs="Times New Roman"/>
                <w:bCs/>
                <w:szCs w:val="24"/>
                <w:lang w:val="en-US"/>
              </w:rPr>
              <w:t>Simple</w:t>
            </w:r>
          </w:p>
        </w:tc>
        <w:tc>
          <w:tcPr>
            <w:tcW w:w="393" w:type="pct"/>
            <w:shd w:val="clear" w:color="auto" w:fill="auto"/>
            <w:noWrap/>
            <w:vAlign w:val="bottom"/>
            <w:hideMark/>
          </w:tcPr>
          <w:p w14:paraId="6D041B47" w14:textId="77777777" w:rsidR="002207A1" w:rsidRPr="0031660E" w:rsidRDefault="002207A1" w:rsidP="00D26DA6">
            <w:pPr>
              <w:spacing w:after="0" w:line="240" w:lineRule="auto"/>
              <w:jc w:val="right"/>
              <w:rPr>
                <w:rFonts w:ascii="Calibri" w:eastAsia="Times New Roman" w:hAnsi="Calibri" w:cs="Times New Roman"/>
                <w:bCs/>
                <w:szCs w:val="24"/>
                <w:lang w:val="en-US"/>
              </w:rPr>
            </w:pPr>
            <w:r w:rsidRPr="0031660E">
              <w:rPr>
                <w:rFonts w:ascii="Calibri" w:eastAsia="Times New Roman" w:hAnsi="Calibri" w:cs="Times New Roman"/>
                <w:bCs/>
                <w:szCs w:val="24"/>
                <w:lang w:val="en-US"/>
              </w:rPr>
              <w:t>Fee</w:t>
            </w:r>
          </w:p>
        </w:tc>
        <w:tc>
          <w:tcPr>
            <w:tcW w:w="1025" w:type="pct"/>
            <w:shd w:val="clear" w:color="auto" w:fill="auto"/>
            <w:noWrap/>
            <w:vAlign w:val="bottom"/>
          </w:tcPr>
          <w:p w14:paraId="51975326" w14:textId="7C281715" w:rsidR="002207A1" w:rsidRPr="0031660E" w:rsidRDefault="002207A1" w:rsidP="00D26DA6">
            <w:pPr>
              <w:spacing w:after="0" w:line="240" w:lineRule="auto"/>
              <w:jc w:val="right"/>
              <w:rPr>
                <w:rFonts w:ascii="Calibri" w:eastAsia="Times New Roman" w:hAnsi="Calibri" w:cs="Times New Roman"/>
                <w:bCs/>
                <w:szCs w:val="24"/>
                <w:highlight w:val="yellow"/>
                <w:lang w:val="en-US"/>
              </w:rPr>
            </w:pPr>
            <w:r w:rsidRPr="0031660E">
              <w:rPr>
                <w:rFonts w:ascii="Calibri" w:hAnsi="Calibri" w:cs="Calibri"/>
              </w:rPr>
              <w:t xml:space="preserve"> $</w:t>
            </w:r>
            <w:r w:rsidR="00D26DA6" w:rsidRPr="0031660E">
              <w:rPr>
                <w:rFonts w:ascii="Calibri" w:hAnsi="Calibri" w:cs="Calibri"/>
              </w:rPr>
              <w:t xml:space="preserve"> </w:t>
            </w:r>
            <w:r w:rsidRPr="0031660E">
              <w:rPr>
                <w:rFonts w:ascii="Calibri" w:hAnsi="Calibri" w:cs="Calibri"/>
              </w:rPr>
              <w:t xml:space="preserve">       14,400 </w:t>
            </w:r>
          </w:p>
        </w:tc>
        <w:tc>
          <w:tcPr>
            <w:tcW w:w="786" w:type="pct"/>
            <w:shd w:val="clear" w:color="auto" w:fill="auto"/>
            <w:noWrap/>
            <w:hideMark/>
          </w:tcPr>
          <w:p w14:paraId="355DC96C" w14:textId="77777777"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t xml:space="preserve"> 10 </w:t>
            </w:r>
          </w:p>
        </w:tc>
        <w:tc>
          <w:tcPr>
            <w:tcW w:w="1544" w:type="pct"/>
            <w:shd w:val="clear" w:color="auto" w:fill="auto"/>
            <w:noWrap/>
            <w:vAlign w:val="bottom"/>
            <w:hideMark/>
          </w:tcPr>
          <w:p w14:paraId="6A050E4C" w14:textId="77777777"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rPr>
                <w:rFonts w:ascii="Calibri" w:hAnsi="Calibri" w:cs="Calibri"/>
              </w:rPr>
              <w:t xml:space="preserve"> $     144,000 </w:t>
            </w:r>
          </w:p>
        </w:tc>
      </w:tr>
      <w:tr w:rsidR="0031660E" w:rsidRPr="0031660E" w14:paraId="14AD8904" w14:textId="77777777" w:rsidTr="00D26DA6">
        <w:trPr>
          <w:trHeight w:val="250"/>
        </w:trPr>
        <w:tc>
          <w:tcPr>
            <w:tcW w:w="1252" w:type="pct"/>
            <w:shd w:val="clear" w:color="auto" w:fill="auto"/>
            <w:noWrap/>
            <w:vAlign w:val="center"/>
          </w:tcPr>
          <w:p w14:paraId="7930DE76" w14:textId="77777777" w:rsidR="002207A1" w:rsidRPr="0031660E" w:rsidRDefault="002207A1" w:rsidP="002207A1">
            <w:pPr>
              <w:spacing w:after="0" w:line="240" w:lineRule="auto"/>
              <w:ind w:firstLineChars="100" w:firstLine="220"/>
              <w:rPr>
                <w:rFonts w:ascii="Calibri" w:eastAsia="Times New Roman" w:hAnsi="Calibri" w:cs="Times New Roman"/>
                <w:bCs/>
                <w:szCs w:val="24"/>
                <w:lang w:val="en-US"/>
              </w:rPr>
            </w:pPr>
            <w:r w:rsidRPr="0031660E">
              <w:rPr>
                <w:rFonts w:ascii="Calibri" w:eastAsia="Times New Roman" w:hAnsi="Calibri" w:cs="Times New Roman"/>
                <w:bCs/>
                <w:szCs w:val="24"/>
                <w:lang w:val="en-US"/>
              </w:rPr>
              <w:t>Tier 2b Complex</w:t>
            </w:r>
          </w:p>
        </w:tc>
        <w:tc>
          <w:tcPr>
            <w:tcW w:w="393" w:type="pct"/>
            <w:shd w:val="clear" w:color="auto" w:fill="auto"/>
            <w:noWrap/>
            <w:vAlign w:val="bottom"/>
          </w:tcPr>
          <w:p w14:paraId="62D34A94" w14:textId="77777777" w:rsidR="002207A1" w:rsidRPr="0031660E" w:rsidRDefault="002207A1" w:rsidP="00D26DA6">
            <w:pPr>
              <w:spacing w:after="0" w:line="240" w:lineRule="auto"/>
              <w:jc w:val="right"/>
              <w:rPr>
                <w:rFonts w:ascii="Calibri" w:eastAsia="Times New Roman" w:hAnsi="Calibri" w:cs="Times New Roman"/>
                <w:bCs/>
                <w:szCs w:val="24"/>
                <w:lang w:val="en-US"/>
              </w:rPr>
            </w:pPr>
            <w:r w:rsidRPr="0031660E">
              <w:rPr>
                <w:rFonts w:ascii="Calibri" w:eastAsia="Times New Roman" w:hAnsi="Calibri" w:cs="Times New Roman"/>
                <w:bCs/>
                <w:szCs w:val="24"/>
                <w:lang w:val="en-US"/>
              </w:rPr>
              <w:t>Fee</w:t>
            </w:r>
          </w:p>
        </w:tc>
        <w:tc>
          <w:tcPr>
            <w:tcW w:w="1025" w:type="pct"/>
            <w:shd w:val="clear" w:color="auto" w:fill="auto"/>
            <w:noWrap/>
            <w:vAlign w:val="bottom"/>
          </w:tcPr>
          <w:p w14:paraId="5EE0F764" w14:textId="290A7345" w:rsidR="002207A1" w:rsidRPr="0031660E" w:rsidRDefault="002207A1" w:rsidP="00D26DA6">
            <w:pPr>
              <w:spacing w:after="0" w:line="240" w:lineRule="auto"/>
              <w:jc w:val="right"/>
              <w:rPr>
                <w:rFonts w:ascii="Calibri" w:eastAsia="Times New Roman" w:hAnsi="Calibri" w:cs="Times New Roman"/>
                <w:bCs/>
                <w:szCs w:val="24"/>
                <w:highlight w:val="yellow"/>
                <w:lang w:val="en-US"/>
              </w:rPr>
            </w:pPr>
            <w:r w:rsidRPr="0031660E">
              <w:rPr>
                <w:rFonts w:ascii="Calibri" w:hAnsi="Calibri" w:cs="Calibri"/>
              </w:rPr>
              <w:t xml:space="preserve"> $</w:t>
            </w:r>
            <w:r w:rsidR="00D26DA6" w:rsidRPr="0031660E">
              <w:rPr>
                <w:rFonts w:ascii="Calibri" w:hAnsi="Calibri" w:cs="Calibri"/>
              </w:rPr>
              <w:t xml:space="preserve"> </w:t>
            </w:r>
            <w:r w:rsidRPr="0031660E">
              <w:rPr>
                <w:rFonts w:ascii="Calibri" w:hAnsi="Calibri" w:cs="Calibri"/>
              </w:rPr>
              <w:t xml:space="preserve">       22,540 </w:t>
            </w:r>
          </w:p>
        </w:tc>
        <w:tc>
          <w:tcPr>
            <w:tcW w:w="786" w:type="pct"/>
            <w:shd w:val="clear" w:color="auto" w:fill="auto"/>
            <w:noWrap/>
          </w:tcPr>
          <w:p w14:paraId="777F992E" w14:textId="77777777"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t xml:space="preserve"> 8 </w:t>
            </w:r>
          </w:p>
        </w:tc>
        <w:tc>
          <w:tcPr>
            <w:tcW w:w="1544" w:type="pct"/>
            <w:shd w:val="clear" w:color="auto" w:fill="auto"/>
            <w:noWrap/>
            <w:vAlign w:val="bottom"/>
          </w:tcPr>
          <w:p w14:paraId="75248274" w14:textId="77777777"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rPr>
                <w:rFonts w:ascii="Calibri" w:hAnsi="Calibri" w:cs="Calibri"/>
              </w:rPr>
              <w:t xml:space="preserve"> $     180,320 </w:t>
            </w:r>
          </w:p>
        </w:tc>
      </w:tr>
      <w:tr w:rsidR="0031660E" w:rsidRPr="0031660E" w14:paraId="454CB1A8" w14:textId="77777777" w:rsidTr="00D26DA6">
        <w:trPr>
          <w:trHeight w:val="250"/>
        </w:trPr>
        <w:tc>
          <w:tcPr>
            <w:tcW w:w="1252" w:type="pct"/>
            <w:shd w:val="clear" w:color="auto" w:fill="auto"/>
            <w:noWrap/>
            <w:vAlign w:val="center"/>
          </w:tcPr>
          <w:p w14:paraId="606E0F14" w14:textId="77777777" w:rsidR="002207A1" w:rsidRPr="0031660E" w:rsidRDefault="002207A1" w:rsidP="002207A1">
            <w:pPr>
              <w:spacing w:after="0" w:line="240" w:lineRule="auto"/>
              <w:ind w:firstLineChars="100" w:firstLine="220"/>
              <w:rPr>
                <w:rFonts w:ascii="Calibri" w:eastAsia="Times New Roman" w:hAnsi="Calibri" w:cs="Times New Roman"/>
                <w:bCs/>
                <w:szCs w:val="24"/>
                <w:lang w:val="en-US"/>
              </w:rPr>
            </w:pPr>
            <w:r w:rsidRPr="0031660E">
              <w:rPr>
                <w:rFonts w:ascii="Calibri" w:eastAsia="Times New Roman" w:hAnsi="Calibri" w:cs="Times New Roman"/>
                <w:bCs/>
                <w:szCs w:val="24"/>
                <w:lang w:val="en-US"/>
              </w:rPr>
              <w:t>Tier 2b Other</w:t>
            </w:r>
          </w:p>
        </w:tc>
        <w:tc>
          <w:tcPr>
            <w:tcW w:w="393" w:type="pct"/>
            <w:shd w:val="clear" w:color="auto" w:fill="auto"/>
            <w:noWrap/>
            <w:vAlign w:val="bottom"/>
          </w:tcPr>
          <w:p w14:paraId="79456E0B" w14:textId="77777777" w:rsidR="002207A1" w:rsidRPr="0031660E" w:rsidRDefault="002207A1" w:rsidP="00D26DA6">
            <w:pPr>
              <w:spacing w:after="0" w:line="240" w:lineRule="auto"/>
              <w:jc w:val="right"/>
              <w:rPr>
                <w:rFonts w:ascii="Calibri" w:eastAsia="Times New Roman" w:hAnsi="Calibri" w:cs="Times New Roman"/>
                <w:bCs/>
                <w:szCs w:val="24"/>
                <w:lang w:val="en-US"/>
              </w:rPr>
            </w:pPr>
            <w:r w:rsidRPr="0031660E">
              <w:rPr>
                <w:rFonts w:ascii="Calibri" w:eastAsia="Times New Roman" w:hAnsi="Calibri" w:cs="Times New Roman"/>
                <w:bCs/>
                <w:szCs w:val="24"/>
                <w:lang w:val="en-US"/>
              </w:rPr>
              <w:t>Fee</w:t>
            </w:r>
          </w:p>
        </w:tc>
        <w:tc>
          <w:tcPr>
            <w:tcW w:w="1025" w:type="pct"/>
            <w:shd w:val="clear" w:color="auto" w:fill="auto"/>
            <w:noWrap/>
            <w:vAlign w:val="bottom"/>
          </w:tcPr>
          <w:p w14:paraId="779B9EE5" w14:textId="10F4F49D" w:rsidR="002207A1" w:rsidRPr="0031660E" w:rsidRDefault="002207A1" w:rsidP="00D26DA6">
            <w:pPr>
              <w:spacing w:after="0" w:line="240" w:lineRule="auto"/>
              <w:jc w:val="right"/>
              <w:rPr>
                <w:rFonts w:ascii="Calibri" w:eastAsia="Times New Roman" w:hAnsi="Calibri" w:cs="Times New Roman"/>
                <w:bCs/>
                <w:szCs w:val="24"/>
                <w:highlight w:val="yellow"/>
                <w:lang w:val="en-US"/>
              </w:rPr>
            </w:pPr>
            <w:r w:rsidRPr="0031660E">
              <w:rPr>
                <w:rFonts w:ascii="Calibri" w:hAnsi="Calibri" w:cs="Calibri"/>
              </w:rPr>
              <w:t xml:space="preserve"> $</w:t>
            </w:r>
            <w:r w:rsidR="00D26DA6" w:rsidRPr="0031660E">
              <w:rPr>
                <w:rFonts w:ascii="Calibri" w:hAnsi="Calibri" w:cs="Calibri"/>
              </w:rPr>
              <w:t xml:space="preserve"> </w:t>
            </w:r>
            <w:r w:rsidRPr="0031660E">
              <w:rPr>
                <w:rFonts w:ascii="Calibri" w:hAnsi="Calibri" w:cs="Calibri"/>
              </w:rPr>
              <w:t xml:space="preserve">       33,400 </w:t>
            </w:r>
          </w:p>
        </w:tc>
        <w:tc>
          <w:tcPr>
            <w:tcW w:w="786" w:type="pct"/>
            <w:shd w:val="clear" w:color="auto" w:fill="auto"/>
            <w:noWrap/>
          </w:tcPr>
          <w:p w14:paraId="282B9D9F" w14:textId="77777777"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t xml:space="preserve"> 2 </w:t>
            </w:r>
          </w:p>
        </w:tc>
        <w:tc>
          <w:tcPr>
            <w:tcW w:w="1544" w:type="pct"/>
            <w:shd w:val="clear" w:color="auto" w:fill="auto"/>
            <w:noWrap/>
            <w:vAlign w:val="bottom"/>
          </w:tcPr>
          <w:p w14:paraId="2C4A9BEE" w14:textId="2058D6A5"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rPr>
                <w:rFonts w:ascii="Calibri" w:hAnsi="Calibri" w:cs="Calibri"/>
              </w:rPr>
              <w:t xml:space="preserve"> $       66,800 </w:t>
            </w:r>
          </w:p>
        </w:tc>
      </w:tr>
      <w:tr w:rsidR="0031660E" w:rsidRPr="0031660E" w14:paraId="1F9E356B" w14:textId="77777777" w:rsidTr="00D26DA6">
        <w:trPr>
          <w:trHeight w:val="250"/>
        </w:trPr>
        <w:tc>
          <w:tcPr>
            <w:tcW w:w="1252" w:type="pct"/>
            <w:shd w:val="clear" w:color="auto" w:fill="auto"/>
            <w:noWrap/>
            <w:vAlign w:val="center"/>
            <w:hideMark/>
          </w:tcPr>
          <w:p w14:paraId="2A485CB7" w14:textId="77777777" w:rsidR="002207A1" w:rsidRPr="0031660E" w:rsidRDefault="002207A1" w:rsidP="002207A1">
            <w:pPr>
              <w:spacing w:after="0" w:line="240" w:lineRule="auto"/>
              <w:ind w:firstLineChars="100" w:firstLine="220"/>
              <w:rPr>
                <w:rFonts w:ascii="Calibri" w:eastAsia="Times New Roman" w:hAnsi="Calibri" w:cs="Times New Roman"/>
                <w:bCs/>
                <w:szCs w:val="24"/>
                <w:lang w:val="en-US"/>
              </w:rPr>
            </w:pPr>
            <w:r w:rsidRPr="0031660E">
              <w:rPr>
                <w:rFonts w:ascii="Calibri" w:eastAsia="Times New Roman" w:hAnsi="Calibri" w:cs="Times New Roman"/>
                <w:bCs/>
                <w:szCs w:val="24"/>
                <w:lang w:val="en-US"/>
              </w:rPr>
              <w:t>Tier 3</w:t>
            </w:r>
          </w:p>
        </w:tc>
        <w:tc>
          <w:tcPr>
            <w:tcW w:w="393" w:type="pct"/>
            <w:shd w:val="clear" w:color="auto" w:fill="auto"/>
            <w:noWrap/>
            <w:vAlign w:val="bottom"/>
            <w:hideMark/>
          </w:tcPr>
          <w:p w14:paraId="3519946D" w14:textId="77777777" w:rsidR="002207A1" w:rsidRPr="0031660E" w:rsidRDefault="002207A1" w:rsidP="00D26DA6">
            <w:pPr>
              <w:spacing w:after="0" w:line="240" w:lineRule="auto"/>
              <w:jc w:val="right"/>
              <w:rPr>
                <w:rFonts w:ascii="Calibri" w:eastAsia="Times New Roman" w:hAnsi="Calibri" w:cs="Times New Roman"/>
                <w:bCs/>
                <w:szCs w:val="24"/>
                <w:lang w:val="en-US"/>
              </w:rPr>
            </w:pPr>
            <w:r w:rsidRPr="0031660E">
              <w:rPr>
                <w:rFonts w:ascii="Calibri" w:eastAsia="Times New Roman" w:hAnsi="Calibri" w:cs="Times New Roman"/>
                <w:bCs/>
                <w:szCs w:val="24"/>
                <w:lang w:val="en-US"/>
              </w:rPr>
              <w:t>Fee</w:t>
            </w:r>
          </w:p>
        </w:tc>
        <w:tc>
          <w:tcPr>
            <w:tcW w:w="1025" w:type="pct"/>
            <w:shd w:val="clear" w:color="auto" w:fill="auto"/>
            <w:noWrap/>
            <w:vAlign w:val="bottom"/>
          </w:tcPr>
          <w:p w14:paraId="315FD910" w14:textId="77777777" w:rsidR="002207A1" w:rsidRPr="0031660E" w:rsidRDefault="002207A1" w:rsidP="00D26DA6">
            <w:pPr>
              <w:spacing w:after="0" w:line="240" w:lineRule="auto"/>
              <w:jc w:val="right"/>
              <w:rPr>
                <w:rFonts w:ascii="Calibri" w:eastAsia="Times New Roman" w:hAnsi="Calibri" w:cs="Times New Roman"/>
                <w:bCs/>
                <w:szCs w:val="24"/>
                <w:highlight w:val="yellow"/>
                <w:lang w:val="en-US"/>
              </w:rPr>
            </w:pPr>
            <w:r w:rsidRPr="0031660E">
              <w:rPr>
                <w:rFonts w:ascii="Calibri" w:hAnsi="Calibri" w:cs="Calibri"/>
              </w:rPr>
              <w:t xml:space="preserve"> $          4,670 </w:t>
            </w:r>
          </w:p>
        </w:tc>
        <w:tc>
          <w:tcPr>
            <w:tcW w:w="786" w:type="pct"/>
            <w:shd w:val="clear" w:color="auto" w:fill="auto"/>
            <w:noWrap/>
            <w:hideMark/>
          </w:tcPr>
          <w:p w14:paraId="45170EE2" w14:textId="77777777"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t xml:space="preserve"> 15 </w:t>
            </w:r>
          </w:p>
        </w:tc>
        <w:tc>
          <w:tcPr>
            <w:tcW w:w="1544" w:type="pct"/>
            <w:shd w:val="clear" w:color="auto" w:fill="auto"/>
            <w:noWrap/>
            <w:vAlign w:val="bottom"/>
            <w:hideMark/>
          </w:tcPr>
          <w:p w14:paraId="20A2C64D" w14:textId="0B2F46D8" w:rsidR="002207A1" w:rsidRPr="0031660E" w:rsidRDefault="002207A1" w:rsidP="00D26DA6">
            <w:pPr>
              <w:spacing w:after="0" w:line="240" w:lineRule="auto"/>
              <w:jc w:val="right"/>
              <w:rPr>
                <w:rFonts w:ascii="Calibri" w:eastAsia="Times New Roman" w:hAnsi="Calibri" w:cs="Times New Roman"/>
                <w:b/>
                <w:szCs w:val="24"/>
                <w:highlight w:val="green"/>
                <w:lang w:val="en-US"/>
              </w:rPr>
            </w:pPr>
            <w:r w:rsidRPr="0031660E">
              <w:rPr>
                <w:rFonts w:ascii="Calibri" w:hAnsi="Calibri" w:cs="Calibri"/>
              </w:rPr>
              <w:t xml:space="preserve"> $       70,050 </w:t>
            </w:r>
          </w:p>
        </w:tc>
      </w:tr>
      <w:tr w:rsidR="0031660E" w:rsidRPr="0031660E" w14:paraId="6E198B17" w14:textId="77777777" w:rsidTr="00D26DA6">
        <w:trPr>
          <w:trHeight w:val="250"/>
        </w:trPr>
        <w:tc>
          <w:tcPr>
            <w:tcW w:w="1252" w:type="pct"/>
            <w:shd w:val="clear" w:color="auto" w:fill="auto"/>
            <w:noWrap/>
            <w:vAlign w:val="center"/>
          </w:tcPr>
          <w:p w14:paraId="1373FB40" w14:textId="6AC801C7" w:rsidR="002207A1" w:rsidRPr="0031660E" w:rsidRDefault="002207A1" w:rsidP="002207A1">
            <w:pPr>
              <w:spacing w:after="0" w:line="240" w:lineRule="auto"/>
              <w:ind w:firstLineChars="100" w:firstLine="220"/>
              <w:rPr>
                <w:rFonts w:ascii="Calibri" w:eastAsia="Times New Roman" w:hAnsi="Calibri" w:cs="Times New Roman"/>
                <w:bCs/>
                <w:szCs w:val="24"/>
                <w:lang w:val="en-US"/>
              </w:rPr>
            </w:pPr>
            <w:r w:rsidRPr="0031660E">
              <w:rPr>
                <w:rFonts w:ascii="Calibri" w:eastAsia="Times New Roman" w:hAnsi="Calibri" w:cs="Times New Roman"/>
                <w:bCs/>
                <w:szCs w:val="24"/>
                <w:lang w:val="en-US"/>
              </w:rPr>
              <w:lastRenderedPageBreak/>
              <w:t>Levy</w:t>
            </w:r>
          </w:p>
        </w:tc>
        <w:tc>
          <w:tcPr>
            <w:tcW w:w="393" w:type="pct"/>
            <w:shd w:val="clear" w:color="auto" w:fill="auto"/>
            <w:noWrap/>
            <w:vAlign w:val="bottom"/>
          </w:tcPr>
          <w:p w14:paraId="637A94A0" w14:textId="77777777" w:rsidR="002207A1" w:rsidRPr="0031660E" w:rsidRDefault="002207A1" w:rsidP="00D26DA6">
            <w:pPr>
              <w:spacing w:after="0" w:line="240" w:lineRule="auto"/>
              <w:jc w:val="right"/>
              <w:rPr>
                <w:rFonts w:ascii="Calibri" w:eastAsia="Times New Roman" w:hAnsi="Calibri" w:cs="Times New Roman"/>
                <w:bCs/>
                <w:szCs w:val="24"/>
                <w:lang w:val="en-US"/>
              </w:rPr>
            </w:pPr>
            <w:r w:rsidRPr="0031660E">
              <w:rPr>
                <w:rFonts w:ascii="Calibri" w:eastAsia="Times New Roman" w:hAnsi="Calibri" w:cs="Times New Roman"/>
                <w:bCs/>
                <w:szCs w:val="24"/>
                <w:lang w:val="en-US"/>
              </w:rPr>
              <w:t>Levy</w:t>
            </w:r>
          </w:p>
        </w:tc>
        <w:tc>
          <w:tcPr>
            <w:tcW w:w="1025" w:type="pct"/>
            <w:shd w:val="clear" w:color="auto" w:fill="auto"/>
            <w:noWrap/>
            <w:vAlign w:val="bottom"/>
          </w:tcPr>
          <w:p w14:paraId="70A497D0" w14:textId="4C493929" w:rsidR="002207A1" w:rsidRPr="0031660E" w:rsidRDefault="002207A1" w:rsidP="00D26DA6">
            <w:pPr>
              <w:spacing w:after="0" w:line="240" w:lineRule="auto"/>
              <w:jc w:val="right"/>
              <w:rPr>
                <w:rFonts w:ascii="Calibri" w:eastAsia="Times New Roman" w:hAnsi="Calibri" w:cs="Times New Roman"/>
                <w:bCs/>
                <w:szCs w:val="24"/>
                <w:lang w:val="en-US"/>
              </w:rPr>
            </w:pPr>
            <w:r w:rsidRPr="0031660E">
              <w:rPr>
                <w:rFonts w:ascii="Calibri" w:eastAsia="Times New Roman" w:hAnsi="Calibri" w:cs="Times New Roman"/>
                <w:bCs/>
                <w:szCs w:val="24"/>
                <w:lang w:val="en-US"/>
              </w:rPr>
              <w:t>n/a</w:t>
            </w:r>
          </w:p>
        </w:tc>
        <w:tc>
          <w:tcPr>
            <w:tcW w:w="786" w:type="pct"/>
            <w:shd w:val="clear" w:color="auto" w:fill="auto"/>
            <w:noWrap/>
          </w:tcPr>
          <w:p w14:paraId="7560F0A8" w14:textId="77777777" w:rsidR="002207A1" w:rsidRPr="0031660E" w:rsidRDefault="002207A1" w:rsidP="00D26DA6">
            <w:pPr>
              <w:spacing w:after="0" w:line="240" w:lineRule="auto"/>
              <w:jc w:val="right"/>
            </w:pPr>
            <w:r w:rsidRPr="0031660E">
              <w:t>n/a</w:t>
            </w:r>
          </w:p>
        </w:tc>
        <w:tc>
          <w:tcPr>
            <w:tcW w:w="1544" w:type="pct"/>
            <w:shd w:val="clear" w:color="auto" w:fill="auto"/>
            <w:noWrap/>
            <w:vAlign w:val="bottom"/>
          </w:tcPr>
          <w:p w14:paraId="22FD6507" w14:textId="2FBD8A36" w:rsidR="002207A1" w:rsidRPr="0031660E" w:rsidRDefault="002207A1" w:rsidP="00D26DA6">
            <w:pPr>
              <w:spacing w:after="0" w:line="240" w:lineRule="auto"/>
              <w:jc w:val="right"/>
            </w:pPr>
            <w:r w:rsidRPr="0031660E">
              <w:rPr>
                <w:rFonts w:ascii="Calibri" w:hAnsi="Calibri" w:cs="Calibri"/>
              </w:rPr>
              <w:t xml:space="preserve"> $   </w:t>
            </w:r>
            <w:r w:rsidR="00D26DA6" w:rsidRPr="0031660E">
              <w:rPr>
                <w:rFonts w:ascii="Calibri" w:hAnsi="Calibri" w:cs="Calibri"/>
              </w:rPr>
              <w:t xml:space="preserve"> </w:t>
            </w:r>
            <w:r w:rsidRPr="0031660E">
              <w:rPr>
                <w:rFonts w:ascii="Calibri" w:hAnsi="Calibri" w:cs="Calibri"/>
              </w:rPr>
              <w:t xml:space="preserve">              -   </w:t>
            </w:r>
          </w:p>
        </w:tc>
      </w:tr>
      <w:tr w:rsidR="002207A1" w:rsidRPr="0031660E" w14:paraId="3BDA1F01" w14:textId="77777777" w:rsidTr="00D26DA6">
        <w:trPr>
          <w:trHeight w:val="317"/>
        </w:trPr>
        <w:tc>
          <w:tcPr>
            <w:tcW w:w="1252" w:type="pct"/>
            <w:shd w:val="clear" w:color="auto" w:fill="auto"/>
            <w:noWrap/>
          </w:tcPr>
          <w:p w14:paraId="64F9F17B" w14:textId="77777777" w:rsidR="002207A1" w:rsidRPr="0031660E" w:rsidRDefault="002207A1" w:rsidP="00D26DA6">
            <w:pPr>
              <w:spacing w:after="0" w:line="240" w:lineRule="auto"/>
              <w:ind w:firstLineChars="100" w:firstLine="220"/>
              <w:rPr>
                <w:rFonts w:ascii="Calibri" w:eastAsia="Times New Roman" w:hAnsi="Calibri" w:cs="Times New Roman"/>
                <w:bCs/>
                <w:szCs w:val="24"/>
                <w:lang w:val="en-US"/>
              </w:rPr>
            </w:pPr>
            <w:r w:rsidRPr="0031660E">
              <w:rPr>
                <w:rFonts w:ascii="Calibri" w:eastAsia="Times New Roman" w:hAnsi="Calibri" w:cs="Times New Roman"/>
                <w:bCs/>
                <w:szCs w:val="24"/>
                <w:lang w:val="en-US"/>
              </w:rPr>
              <w:t>Total Revenue</w:t>
            </w:r>
          </w:p>
        </w:tc>
        <w:tc>
          <w:tcPr>
            <w:tcW w:w="3748" w:type="pct"/>
            <w:gridSpan w:val="4"/>
            <w:shd w:val="clear" w:color="auto" w:fill="auto"/>
            <w:noWrap/>
          </w:tcPr>
          <w:p w14:paraId="63B1ECE6" w14:textId="77777777" w:rsidR="002207A1" w:rsidRPr="0031660E" w:rsidRDefault="002207A1" w:rsidP="00D26DA6">
            <w:pPr>
              <w:spacing w:after="0"/>
              <w:jc w:val="right"/>
              <w:rPr>
                <w:rFonts w:ascii="Calibri" w:hAnsi="Calibri" w:cs="Calibri"/>
                <w:b/>
                <w:bCs/>
              </w:rPr>
            </w:pPr>
            <w:r w:rsidRPr="0031660E">
              <w:rPr>
                <w:rFonts w:ascii="Calibri" w:hAnsi="Calibri" w:cs="Calibri"/>
                <w:b/>
                <w:bCs/>
              </w:rPr>
              <w:t xml:space="preserve">$ 4,780,440 </w:t>
            </w:r>
          </w:p>
        </w:tc>
      </w:tr>
    </w:tbl>
    <w:p w14:paraId="264A0BBB" w14:textId="058A1BA1" w:rsidR="00FD65D7" w:rsidRPr="0031660E" w:rsidRDefault="00FD65D7" w:rsidP="00837149">
      <w:pPr>
        <w:spacing w:before="120" w:after="120" w:line="240" w:lineRule="auto"/>
        <w:contextualSpacing/>
        <w:rPr>
          <w:rFonts w:ascii="Calibri" w:eastAsia="Times New Roman" w:hAnsi="Calibri" w:cs="Arial"/>
        </w:rPr>
      </w:pPr>
    </w:p>
    <w:p w14:paraId="1E52987A" w14:textId="50470B33" w:rsidR="004172D4" w:rsidRPr="0031660E" w:rsidRDefault="00440F1C" w:rsidP="00440F1C">
      <w:pPr>
        <w:pStyle w:val="Heading2"/>
      </w:pPr>
      <w:r w:rsidRPr="0031660E">
        <w:t>Cost recovery fees</w:t>
      </w:r>
    </w:p>
    <w:p w14:paraId="07B14BEA" w14:textId="77777777" w:rsidR="004C45B8" w:rsidRPr="0031660E" w:rsidRDefault="00440F1C" w:rsidP="004C45B8">
      <w:pPr>
        <w:spacing w:before="120" w:after="120" w:line="240" w:lineRule="auto"/>
        <w:contextualSpacing/>
        <w:rPr>
          <w:rFonts w:ascii="Calibri" w:eastAsia="Times New Roman" w:hAnsi="Calibri" w:cs="Arial"/>
        </w:rPr>
      </w:pPr>
      <w:r w:rsidRPr="0031660E">
        <w:rPr>
          <w:rFonts w:ascii="Calibri" w:eastAsia="Times New Roman" w:hAnsi="Calibri" w:cs="Arial"/>
        </w:rPr>
        <w:t>The following table outlines the indicative cost recovery fees</w:t>
      </w:r>
      <w:r w:rsidR="00617D91" w:rsidRPr="0031660E">
        <w:rPr>
          <w:rFonts w:ascii="Calibri" w:eastAsia="Times New Roman" w:hAnsi="Calibri" w:cs="Arial"/>
        </w:rPr>
        <w:t xml:space="preserve"> payable</w:t>
      </w:r>
      <w:r w:rsidRPr="0031660E">
        <w:rPr>
          <w:rFonts w:ascii="Calibri" w:eastAsia="Times New Roman" w:hAnsi="Calibri" w:cs="Arial"/>
        </w:rPr>
        <w:t xml:space="preserve"> </w:t>
      </w:r>
      <w:r w:rsidR="00617D91" w:rsidRPr="0031660E">
        <w:rPr>
          <w:rFonts w:ascii="Calibri" w:eastAsia="Times New Roman" w:hAnsi="Calibri" w:cs="Arial"/>
        </w:rPr>
        <w:t xml:space="preserve">for an application in each </w:t>
      </w:r>
      <w:r w:rsidR="00654050" w:rsidRPr="0031660E">
        <w:rPr>
          <w:rFonts w:ascii="Calibri" w:eastAsia="Times New Roman" w:hAnsi="Calibri" w:cs="Arial"/>
        </w:rPr>
        <w:t>Tier</w:t>
      </w:r>
      <w:r w:rsidRPr="0031660E">
        <w:rPr>
          <w:rFonts w:ascii="Calibri" w:eastAsia="Times New Roman" w:hAnsi="Calibri" w:cs="Arial"/>
        </w:rPr>
        <w:t>. This table shows how the regulatory charging will be implemente</w:t>
      </w:r>
      <w:r w:rsidR="00654050" w:rsidRPr="0031660E">
        <w:rPr>
          <w:rFonts w:ascii="Calibri" w:eastAsia="Times New Roman" w:hAnsi="Calibri" w:cs="Arial"/>
        </w:rPr>
        <w:t>d for the Prescribed List.</w:t>
      </w:r>
    </w:p>
    <w:p w14:paraId="10812989" w14:textId="77777777" w:rsidR="004C45B8" w:rsidRPr="0031660E" w:rsidRDefault="004C45B8" w:rsidP="004C45B8">
      <w:pPr>
        <w:spacing w:before="360" w:after="120" w:line="240" w:lineRule="auto"/>
        <w:contextualSpacing/>
        <w:rPr>
          <w:rFonts w:ascii="Calibri" w:eastAsia="Times New Roman" w:hAnsi="Calibri" w:cs="Arial"/>
        </w:rPr>
      </w:pPr>
    </w:p>
    <w:p w14:paraId="2AC24A32" w14:textId="51A2AAF1" w:rsidR="00440F1C" w:rsidRPr="0031660E" w:rsidRDefault="00617D91" w:rsidP="004C45B8">
      <w:pPr>
        <w:spacing w:before="360" w:after="120" w:line="240" w:lineRule="auto"/>
        <w:contextualSpacing/>
        <w:rPr>
          <w:rFonts w:ascii="Calibri" w:eastAsia="Times New Roman" w:hAnsi="Calibri" w:cs="Arial"/>
        </w:rPr>
      </w:pPr>
      <w:r w:rsidRPr="0031660E">
        <w:rPr>
          <w:rFonts w:ascii="Calibri" w:eastAsia="Times New Roman" w:hAnsi="Calibri" w:cs="Arial"/>
        </w:rPr>
        <w:t xml:space="preserve">Details of the invoicing </w:t>
      </w:r>
      <w:r w:rsidR="00FD0426" w:rsidRPr="0031660E">
        <w:rPr>
          <w:rFonts w:ascii="Calibri" w:eastAsia="Times New Roman" w:hAnsi="Calibri" w:cs="Arial"/>
        </w:rPr>
        <w:t xml:space="preserve">processes </w:t>
      </w:r>
      <w:r w:rsidRPr="0031660E">
        <w:rPr>
          <w:rFonts w:ascii="Calibri" w:eastAsia="Times New Roman" w:hAnsi="Calibri" w:cs="Arial"/>
        </w:rPr>
        <w:t xml:space="preserve">will be provided to applicants (sponsors) </w:t>
      </w:r>
      <w:r w:rsidR="008E74B3" w:rsidRPr="0031660E">
        <w:rPr>
          <w:rFonts w:ascii="Calibri" w:eastAsia="Times New Roman" w:hAnsi="Calibri" w:cs="Arial"/>
        </w:rPr>
        <w:t>in supporting documentation. The</w:t>
      </w:r>
      <w:r w:rsidR="0050161C" w:rsidRPr="0031660E">
        <w:rPr>
          <w:rFonts w:ascii="Calibri" w:eastAsia="Times New Roman" w:hAnsi="Calibri" w:cs="Arial"/>
        </w:rPr>
        <w:t xml:space="preserve"> </w:t>
      </w:r>
      <w:r w:rsidR="00710B90" w:rsidRPr="0031660E">
        <w:rPr>
          <w:rFonts w:ascii="Calibri" w:eastAsia="Times New Roman" w:hAnsi="Calibri" w:cs="Arial"/>
        </w:rPr>
        <w:t>standard application</w:t>
      </w:r>
      <w:r w:rsidR="0050161C" w:rsidRPr="0031660E">
        <w:rPr>
          <w:rFonts w:ascii="Calibri" w:eastAsia="Times New Roman" w:hAnsi="Calibri" w:cs="Arial"/>
        </w:rPr>
        <w:t xml:space="preserve"> fee will be p</w:t>
      </w:r>
      <w:r w:rsidR="00654050" w:rsidRPr="0031660E">
        <w:rPr>
          <w:rFonts w:ascii="Calibri" w:eastAsia="Times New Roman" w:hAnsi="Calibri" w:cs="Arial"/>
        </w:rPr>
        <w:t xml:space="preserve">ayable </w:t>
      </w:r>
      <w:r w:rsidR="0050161C" w:rsidRPr="0031660E">
        <w:rPr>
          <w:rFonts w:ascii="Calibri" w:eastAsia="Times New Roman" w:hAnsi="Calibri" w:cs="Arial"/>
        </w:rPr>
        <w:t xml:space="preserve">at the time of application. Subsequent requests for payment of the clinical and economic assessment fees will be made </w:t>
      </w:r>
      <w:r w:rsidR="008E74B3" w:rsidRPr="0031660E">
        <w:rPr>
          <w:rFonts w:ascii="Calibri" w:eastAsia="Times New Roman" w:hAnsi="Calibri" w:cs="Arial"/>
        </w:rPr>
        <w:t xml:space="preserve">by the department </w:t>
      </w:r>
      <w:r w:rsidR="0050161C" w:rsidRPr="0031660E">
        <w:rPr>
          <w:rFonts w:ascii="Calibri" w:eastAsia="Times New Roman" w:hAnsi="Calibri" w:cs="Arial"/>
        </w:rPr>
        <w:t xml:space="preserve">when it is confirmed that the service is required </w:t>
      </w:r>
      <w:r w:rsidR="008E74B3" w:rsidRPr="0031660E">
        <w:rPr>
          <w:rFonts w:ascii="Calibri" w:eastAsia="Times New Roman" w:hAnsi="Calibri" w:cs="Arial"/>
        </w:rPr>
        <w:t>during the assessment of the application</w:t>
      </w:r>
      <w:r w:rsidR="0050161C" w:rsidRPr="0031660E">
        <w:rPr>
          <w:rFonts w:ascii="Calibri" w:eastAsia="Times New Roman" w:hAnsi="Calibri" w:cs="Arial"/>
        </w:rPr>
        <w:t>.</w:t>
      </w:r>
    </w:p>
    <w:p w14:paraId="568D1C3C" w14:textId="6B1DBB76" w:rsidR="00837149" w:rsidRPr="0031660E" w:rsidRDefault="00A02C40" w:rsidP="004C45B8">
      <w:pPr>
        <w:spacing w:before="240" w:after="120" w:line="240" w:lineRule="auto"/>
        <w:rPr>
          <w:rFonts w:ascii="Calibri" w:eastAsia="Times New Roman" w:hAnsi="Calibri" w:cs="Times New Roman"/>
          <w:b/>
          <w:bCs/>
        </w:rPr>
      </w:pPr>
      <w:r w:rsidRPr="0031660E">
        <w:rPr>
          <w:rFonts w:ascii="Calibri" w:eastAsia="Times New Roman" w:hAnsi="Calibri" w:cs="Times New Roman"/>
          <w:b/>
          <w:bCs/>
        </w:rPr>
        <w:t>Table 5:</w:t>
      </w:r>
      <w:r w:rsidR="00837149" w:rsidRPr="0031660E">
        <w:rPr>
          <w:rFonts w:ascii="Calibri" w:eastAsia="Times New Roman" w:hAnsi="Calibri" w:cs="Times New Roman"/>
          <w:b/>
          <w:bCs/>
        </w:rPr>
        <w:t xml:space="preserve"> Fees payable for each fee category displayed by</w:t>
      </w:r>
      <w:r w:rsidRPr="0031660E">
        <w:rPr>
          <w:rFonts w:ascii="Calibri" w:eastAsia="Times New Roman" w:hAnsi="Calibri" w:cs="Times New Roman"/>
          <w:b/>
          <w:bCs/>
        </w:rPr>
        <w:t xml:space="preserve"> Tier of Application</w:t>
      </w:r>
    </w:p>
    <w:tbl>
      <w:tblPr>
        <w:tblStyle w:val="TableGrid"/>
        <w:tblW w:w="5000" w:type="pct"/>
        <w:tblLook w:val="04A0" w:firstRow="1" w:lastRow="0" w:firstColumn="1" w:lastColumn="0" w:noHBand="0" w:noVBand="1"/>
      </w:tblPr>
      <w:tblGrid>
        <w:gridCol w:w="1572"/>
        <w:gridCol w:w="1861"/>
        <w:gridCol w:w="1861"/>
        <w:gridCol w:w="1861"/>
        <w:gridCol w:w="1861"/>
      </w:tblGrid>
      <w:tr w:rsidR="0031660E" w:rsidRPr="0031660E" w14:paraId="31B3E6D6" w14:textId="77777777" w:rsidTr="009737EE">
        <w:tc>
          <w:tcPr>
            <w:tcW w:w="872" w:type="pct"/>
            <w:shd w:val="clear" w:color="auto" w:fill="000000" w:themeFill="text1"/>
            <w:hideMark/>
          </w:tcPr>
          <w:p w14:paraId="09241D42" w14:textId="2B6AC170" w:rsidR="00976D6E" w:rsidRPr="0031660E" w:rsidRDefault="00617D91" w:rsidP="009737EE">
            <w:pPr>
              <w:pStyle w:val="BodyText"/>
              <w:rPr>
                <w:rFonts w:asciiTheme="minorHAnsi" w:hAnsiTheme="minorHAnsi" w:cstheme="minorHAnsi"/>
                <w:b/>
                <w:bCs/>
                <w:sz w:val="22"/>
              </w:rPr>
            </w:pPr>
            <w:r w:rsidRPr="0031660E">
              <w:rPr>
                <w:rFonts w:ascii="Calibri" w:hAnsi="Calibri"/>
                <w:b/>
                <w:szCs w:val="24"/>
                <w:lang w:val="en-US"/>
              </w:rPr>
              <w:t>Assessment Pathway (Tier) 2023-24</w:t>
            </w:r>
          </w:p>
        </w:tc>
        <w:tc>
          <w:tcPr>
            <w:tcW w:w="1032" w:type="pct"/>
            <w:shd w:val="clear" w:color="auto" w:fill="000000" w:themeFill="text1"/>
            <w:hideMark/>
          </w:tcPr>
          <w:p w14:paraId="49831B0F" w14:textId="398BB197" w:rsidR="00976D6E" w:rsidRPr="0031660E" w:rsidRDefault="00976D6E" w:rsidP="009737EE">
            <w:pPr>
              <w:pStyle w:val="BodyText"/>
              <w:rPr>
                <w:rFonts w:asciiTheme="minorHAnsi" w:hAnsiTheme="minorHAnsi" w:cstheme="minorHAnsi"/>
                <w:b/>
                <w:bCs/>
                <w:sz w:val="22"/>
              </w:rPr>
            </w:pPr>
            <w:r w:rsidRPr="0031660E">
              <w:rPr>
                <w:rFonts w:asciiTheme="minorHAnsi" w:hAnsiTheme="minorHAnsi" w:cstheme="minorHAnsi"/>
                <w:b/>
                <w:bCs/>
                <w:sz w:val="22"/>
              </w:rPr>
              <w:t xml:space="preserve">Payable Fee </w:t>
            </w:r>
          </w:p>
        </w:tc>
        <w:tc>
          <w:tcPr>
            <w:tcW w:w="1032" w:type="pct"/>
            <w:shd w:val="clear" w:color="auto" w:fill="000000" w:themeFill="text1"/>
            <w:hideMark/>
          </w:tcPr>
          <w:p w14:paraId="45B1DD20" w14:textId="3F28C7C5" w:rsidR="00976D6E" w:rsidRPr="0031660E" w:rsidRDefault="00976D6E" w:rsidP="009737EE">
            <w:pPr>
              <w:pStyle w:val="BodyText"/>
              <w:rPr>
                <w:rFonts w:asciiTheme="minorHAnsi" w:hAnsiTheme="minorHAnsi" w:cstheme="minorHAnsi"/>
                <w:b/>
                <w:bCs/>
                <w:sz w:val="22"/>
              </w:rPr>
            </w:pPr>
            <w:r w:rsidRPr="0031660E">
              <w:rPr>
                <w:rFonts w:asciiTheme="minorHAnsi" w:hAnsiTheme="minorHAnsi" w:cstheme="minorHAnsi"/>
                <w:b/>
                <w:bCs/>
                <w:sz w:val="22"/>
              </w:rPr>
              <w:t xml:space="preserve">Additional Payable Fee </w:t>
            </w:r>
          </w:p>
        </w:tc>
        <w:tc>
          <w:tcPr>
            <w:tcW w:w="1032" w:type="pct"/>
            <w:shd w:val="clear" w:color="auto" w:fill="000000" w:themeFill="text1"/>
            <w:hideMark/>
          </w:tcPr>
          <w:p w14:paraId="537CE3D3" w14:textId="1A84A936" w:rsidR="00976D6E" w:rsidRPr="0031660E" w:rsidRDefault="00976D6E" w:rsidP="009737EE">
            <w:pPr>
              <w:pStyle w:val="BodyText"/>
              <w:rPr>
                <w:rFonts w:asciiTheme="minorHAnsi" w:hAnsiTheme="minorHAnsi" w:cstheme="minorHAnsi"/>
                <w:b/>
                <w:bCs/>
                <w:sz w:val="22"/>
              </w:rPr>
            </w:pPr>
            <w:r w:rsidRPr="0031660E">
              <w:rPr>
                <w:rFonts w:asciiTheme="minorHAnsi" w:hAnsiTheme="minorHAnsi" w:cstheme="minorHAnsi"/>
                <w:b/>
                <w:bCs/>
                <w:sz w:val="22"/>
              </w:rPr>
              <w:t xml:space="preserve">Additional Payable Fee </w:t>
            </w:r>
          </w:p>
        </w:tc>
        <w:tc>
          <w:tcPr>
            <w:tcW w:w="1032" w:type="pct"/>
            <w:shd w:val="clear" w:color="auto" w:fill="000000" w:themeFill="text1"/>
          </w:tcPr>
          <w:p w14:paraId="793CEF43" w14:textId="697272AC" w:rsidR="00976D6E" w:rsidRPr="0031660E" w:rsidRDefault="00976D6E" w:rsidP="009737EE">
            <w:pPr>
              <w:pStyle w:val="BodyText"/>
              <w:rPr>
                <w:rFonts w:asciiTheme="minorHAnsi" w:hAnsiTheme="minorHAnsi" w:cstheme="minorHAnsi"/>
                <w:b/>
                <w:bCs/>
                <w:sz w:val="22"/>
              </w:rPr>
            </w:pPr>
            <w:r w:rsidRPr="0031660E">
              <w:rPr>
                <w:rFonts w:asciiTheme="minorHAnsi" w:hAnsiTheme="minorHAnsi" w:cstheme="minorHAnsi"/>
                <w:b/>
                <w:bCs/>
                <w:sz w:val="22"/>
              </w:rPr>
              <w:t xml:space="preserve">Total indicative </w:t>
            </w:r>
            <w:r w:rsidR="00617D91" w:rsidRPr="0031660E">
              <w:rPr>
                <w:rFonts w:asciiTheme="minorHAnsi" w:hAnsiTheme="minorHAnsi" w:cstheme="minorHAnsi"/>
                <w:b/>
                <w:bCs/>
                <w:sz w:val="22"/>
              </w:rPr>
              <w:t xml:space="preserve">fee </w:t>
            </w:r>
            <w:r w:rsidRPr="0031660E">
              <w:rPr>
                <w:rFonts w:asciiTheme="minorHAnsi" w:hAnsiTheme="minorHAnsi" w:cstheme="minorHAnsi"/>
                <w:b/>
                <w:bCs/>
                <w:sz w:val="22"/>
              </w:rPr>
              <w:t xml:space="preserve">payable per application </w:t>
            </w:r>
          </w:p>
        </w:tc>
      </w:tr>
      <w:tr w:rsidR="0031660E" w:rsidRPr="0031660E" w14:paraId="4E3BC194" w14:textId="77777777" w:rsidTr="009737EE">
        <w:tc>
          <w:tcPr>
            <w:tcW w:w="872" w:type="pct"/>
            <w:hideMark/>
          </w:tcPr>
          <w:p w14:paraId="5DAB5F34"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Tier 1</w:t>
            </w:r>
          </w:p>
        </w:tc>
        <w:tc>
          <w:tcPr>
            <w:tcW w:w="1032" w:type="pct"/>
            <w:hideMark/>
          </w:tcPr>
          <w:p w14:paraId="12704854" w14:textId="2B57C964" w:rsidR="00976D6E" w:rsidRPr="0031660E" w:rsidRDefault="00710B90" w:rsidP="009737EE">
            <w:pPr>
              <w:pStyle w:val="BodyText"/>
              <w:rPr>
                <w:rFonts w:asciiTheme="minorHAnsi" w:hAnsiTheme="minorHAnsi" w:cstheme="minorHAnsi"/>
                <w:sz w:val="22"/>
              </w:rPr>
            </w:pPr>
            <w:r w:rsidRPr="0031660E">
              <w:rPr>
                <w:rFonts w:asciiTheme="minorHAnsi" w:hAnsiTheme="minorHAnsi" w:cstheme="minorHAnsi"/>
                <w:sz w:val="22"/>
              </w:rPr>
              <w:t>Standard Application</w:t>
            </w:r>
            <w:r w:rsidR="008A0B1A" w:rsidRPr="0031660E">
              <w:rPr>
                <w:rFonts w:asciiTheme="minorHAnsi" w:hAnsiTheme="minorHAnsi" w:cstheme="minorHAnsi"/>
                <w:sz w:val="22"/>
              </w:rPr>
              <w:t xml:space="preserve"> Fee</w:t>
            </w:r>
          </w:p>
          <w:p w14:paraId="78936A58"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amount: $1,370</w:t>
            </w:r>
          </w:p>
        </w:tc>
        <w:tc>
          <w:tcPr>
            <w:tcW w:w="1032" w:type="pct"/>
          </w:tcPr>
          <w:p w14:paraId="4A63BC23"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N/A</w:t>
            </w:r>
          </w:p>
        </w:tc>
        <w:tc>
          <w:tcPr>
            <w:tcW w:w="1032" w:type="pct"/>
          </w:tcPr>
          <w:p w14:paraId="6F356274"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N/A</w:t>
            </w:r>
          </w:p>
        </w:tc>
        <w:tc>
          <w:tcPr>
            <w:tcW w:w="1032" w:type="pct"/>
          </w:tcPr>
          <w:p w14:paraId="6E0EF0E0"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total amount: $1,370</w:t>
            </w:r>
          </w:p>
        </w:tc>
      </w:tr>
      <w:tr w:rsidR="0031660E" w:rsidRPr="0031660E" w14:paraId="10780F6E" w14:textId="77777777" w:rsidTr="009737EE">
        <w:tc>
          <w:tcPr>
            <w:tcW w:w="872" w:type="pct"/>
            <w:hideMark/>
          </w:tcPr>
          <w:p w14:paraId="657E1C83"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Tier 2a</w:t>
            </w:r>
          </w:p>
        </w:tc>
        <w:tc>
          <w:tcPr>
            <w:tcW w:w="1032" w:type="pct"/>
            <w:hideMark/>
          </w:tcPr>
          <w:p w14:paraId="3218ADF3" w14:textId="33910C3E" w:rsidR="00976D6E" w:rsidRPr="0031660E" w:rsidRDefault="00710B90" w:rsidP="009737EE">
            <w:pPr>
              <w:pStyle w:val="BodyText"/>
              <w:rPr>
                <w:rFonts w:asciiTheme="minorHAnsi" w:hAnsiTheme="minorHAnsi" w:cstheme="minorHAnsi"/>
                <w:sz w:val="22"/>
              </w:rPr>
            </w:pPr>
            <w:r w:rsidRPr="0031660E">
              <w:rPr>
                <w:rFonts w:asciiTheme="minorHAnsi" w:hAnsiTheme="minorHAnsi" w:cstheme="minorHAnsi"/>
                <w:sz w:val="22"/>
              </w:rPr>
              <w:t xml:space="preserve">Standard Application </w:t>
            </w:r>
            <w:r w:rsidR="008A0B1A" w:rsidRPr="0031660E">
              <w:rPr>
                <w:rFonts w:asciiTheme="minorHAnsi" w:hAnsiTheme="minorHAnsi" w:cstheme="minorHAnsi"/>
                <w:sz w:val="22"/>
              </w:rPr>
              <w:t>Fee</w:t>
            </w:r>
          </w:p>
          <w:p w14:paraId="77D60D61"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amount: $1,370</w:t>
            </w:r>
          </w:p>
        </w:tc>
        <w:tc>
          <w:tcPr>
            <w:tcW w:w="1032" w:type="pct"/>
            <w:hideMark/>
          </w:tcPr>
          <w:p w14:paraId="69CC34BA"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Clinical Assessment Fee</w:t>
            </w:r>
          </w:p>
          <w:p w14:paraId="5A0FB263" w14:textId="0163DEAF"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amount: $4,090</w:t>
            </w:r>
          </w:p>
        </w:tc>
        <w:tc>
          <w:tcPr>
            <w:tcW w:w="1032" w:type="pct"/>
          </w:tcPr>
          <w:p w14:paraId="273B729B"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N/A</w:t>
            </w:r>
          </w:p>
        </w:tc>
        <w:tc>
          <w:tcPr>
            <w:tcW w:w="1032" w:type="pct"/>
          </w:tcPr>
          <w:p w14:paraId="2EA87AB4" w14:textId="6F627EAB"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total amount: $5,460</w:t>
            </w:r>
          </w:p>
        </w:tc>
      </w:tr>
      <w:tr w:rsidR="0031660E" w:rsidRPr="0031660E" w14:paraId="1F40F0A1" w14:textId="77777777" w:rsidTr="009737EE">
        <w:tc>
          <w:tcPr>
            <w:tcW w:w="872" w:type="pct"/>
            <w:hideMark/>
          </w:tcPr>
          <w:p w14:paraId="68F49FBD"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Tier 2b</w:t>
            </w:r>
          </w:p>
        </w:tc>
        <w:tc>
          <w:tcPr>
            <w:tcW w:w="1032" w:type="pct"/>
            <w:hideMark/>
          </w:tcPr>
          <w:p w14:paraId="0BA0F905" w14:textId="7040AA5A" w:rsidR="00976D6E" w:rsidRPr="0031660E" w:rsidRDefault="00710B90" w:rsidP="009737EE">
            <w:pPr>
              <w:pStyle w:val="BodyText"/>
              <w:rPr>
                <w:rFonts w:asciiTheme="minorHAnsi" w:hAnsiTheme="minorHAnsi" w:cstheme="minorHAnsi"/>
                <w:sz w:val="22"/>
              </w:rPr>
            </w:pPr>
            <w:r w:rsidRPr="0031660E">
              <w:rPr>
                <w:rFonts w:asciiTheme="minorHAnsi" w:hAnsiTheme="minorHAnsi" w:cstheme="minorHAnsi"/>
                <w:sz w:val="22"/>
              </w:rPr>
              <w:t xml:space="preserve">Standard Application </w:t>
            </w:r>
            <w:r w:rsidR="008A0B1A" w:rsidRPr="0031660E">
              <w:rPr>
                <w:rFonts w:asciiTheme="minorHAnsi" w:hAnsiTheme="minorHAnsi" w:cstheme="minorHAnsi"/>
                <w:sz w:val="22"/>
              </w:rPr>
              <w:t>Fee</w:t>
            </w:r>
          </w:p>
          <w:p w14:paraId="397DE2C0"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amount: $1,370</w:t>
            </w:r>
          </w:p>
        </w:tc>
        <w:tc>
          <w:tcPr>
            <w:tcW w:w="1032" w:type="pct"/>
            <w:hideMark/>
          </w:tcPr>
          <w:p w14:paraId="2D70A07D"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Clinical Assessment Fee</w:t>
            </w:r>
          </w:p>
          <w:p w14:paraId="54C9B2DA" w14:textId="30A24E93"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amount: $4,090</w:t>
            </w:r>
          </w:p>
        </w:tc>
        <w:tc>
          <w:tcPr>
            <w:tcW w:w="1032" w:type="pct"/>
            <w:hideMark/>
          </w:tcPr>
          <w:p w14:paraId="58DF2E0F"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Economic Evaluation Fee</w:t>
            </w:r>
          </w:p>
          <w:p w14:paraId="04F6DFA0"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amounts:</w:t>
            </w:r>
          </w:p>
          <w:p w14:paraId="0DEDBF5D" w14:textId="262C2B42" w:rsidR="00976D6E" w:rsidRPr="0031660E" w:rsidRDefault="00976D6E" w:rsidP="00F232FD">
            <w:pPr>
              <w:pStyle w:val="BodyText"/>
              <w:numPr>
                <w:ilvl w:val="0"/>
                <w:numId w:val="16"/>
              </w:numPr>
              <w:spacing w:after="0"/>
              <w:rPr>
                <w:rFonts w:asciiTheme="minorHAnsi" w:hAnsiTheme="minorHAnsi" w:cstheme="minorHAnsi"/>
                <w:sz w:val="22"/>
              </w:rPr>
            </w:pPr>
            <w:r w:rsidRPr="0031660E">
              <w:rPr>
                <w:rFonts w:asciiTheme="minorHAnsi" w:hAnsiTheme="minorHAnsi" w:cstheme="minorHAnsi"/>
                <w:sz w:val="22"/>
              </w:rPr>
              <w:t>$8,940 (</w:t>
            </w:r>
            <w:r w:rsidR="00596741" w:rsidRPr="0031660E">
              <w:rPr>
                <w:rFonts w:asciiTheme="minorHAnsi" w:hAnsiTheme="minorHAnsi" w:cstheme="minorHAnsi"/>
                <w:sz w:val="22"/>
              </w:rPr>
              <w:t>simple</w:t>
            </w:r>
            <w:r w:rsidRPr="0031660E">
              <w:rPr>
                <w:rFonts w:asciiTheme="minorHAnsi" w:hAnsiTheme="minorHAnsi" w:cstheme="minorHAnsi"/>
                <w:sz w:val="22"/>
              </w:rPr>
              <w:t>)</w:t>
            </w:r>
          </w:p>
          <w:p w14:paraId="74D31C23" w14:textId="5658B7C9" w:rsidR="00976D6E" w:rsidRPr="0031660E" w:rsidRDefault="00976D6E" w:rsidP="00F232FD">
            <w:pPr>
              <w:pStyle w:val="BodyText"/>
              <w:numPr>
                <w:ilvl w:val="0"/>
                <w:numId w:val="16"/>
              </w:numPr>
              <w:spacing w:after="0"/>
              <w:rPr>
                <w:rFonts w:asciiTheme="minorHAnsi" w:hAnsiTheme="minorHAnsi" w:cstheme="minorHAnsi"/>
                <w:sz w:val="22"/>
              </w:rPr>
            </w:pPr>
            <w:r w:rsidRPr="0031660E">
              <w:rPr>
                <w:rFonts w:asciiTheme="minorHAnsi" w:hAnsiTheme="minorHAnsi" w:cstheme="minorHAnsi"/>
                <w:sz w:val="22"/>
              </w:rPr>
              <w:t>$17,080 (complex)</w:t>
            </w:r>
          </w:p>
          <w:p w14:paraId="61EB643F" w14:textId="248F761C" w:rsidR="00976D6E" w:rsidRPr="0031660E" w:rsidRDefault="00976D6E" w:rsidP="00F232FD">
            <w:pPr>
              <w:pStyle w:val="BodyText"/>
              <w:numPr>
                <w:ilvl w:val="0"/>
                <w:numId w:val="16"/>
              </w:numPr>
              <w:spacing w:after="0"/>
              <w:rPr>
                <w:rFonts w:asciiTheme="minorHAnsi" w:hAnsiTheme="minorHAnsi" w:cstheme="minorHAnsi"/>
                <w:sz w:val="22"/>
              </w:rPr>
            </w:pPr>
            <w:r w:rsidRPr="0031660E">
              <w:rPr>
                <w:rFonts w:asciiTheme="minorHAnsi" w:hAnsiTheme="minorHAnsi" w:cstheme="minorHAnsi"/>
                <w:sz w:val="22"/>
              </w:rPr>
              <w:t>$27,940 (other)</w:t>
            </w:r>
          </w:p>
        </w:tc>
        <w:tc>
          <w:tcPr>
            <w:tcW w:w="1032" w:type="pct"/>
          </w:tcPr>
          <w:p w14:paraId="1E71B6B5"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total amount:</w:t>
            </w:r>
          </w:p>
          <w:p w14:paraId="0B7AEDDD" w14:textId="078452EE" w:rsidR="00976D6E" w:rsidRPr="0031660E" w:rsidRDefault="00976D6E" w:rsidP="00F232FD">
            <w:pPr>
              <w:pStyle w:val="BodyText"/>
              <w:numPr>
                <w:ilvl w:val="0"/>
                <w:numId w:val="15"/>
              </w:numPr>
              <w:spacing w:after="0"/>
              <w:rPr>
                <w:rFonts w:asciiTheme="minorHAnsi" w:hAnsiTheme="minorHAnsi" w:cstheme="minorHAnsi"/>
                <w:sz w:val="22"/>
              </w:rPr>
            </w:pPr>
            <w:r w:rsidRPr="0031660E">
              <w:rPr>
                <w:rFonts w:asciiTheme="minorHAnsi" w:hAnsiTheme="minorHAnsi" w:cstheme="minorHAnsi"/>
                <w:sz w:val="22"/>
              </w:rPr>
              <w:t>$14,400 (</w:t>
            </w:r>
            <w:r w:rsidR="00596741" w:rsidRPr="0031660E">
              <w:rPr>
                <w:rFonts w:asciiTheme="minorHAnsi" w:hAnsiTheme="minorHAnsi" w:cstheme="minorHAnsi"/>
                <w:sz w:val="22"/>
              </w:rPr>
              <w:t>simple</w:t>
            </w:r>
            <w:r w:rsidRPr="0031660E">
              <w:rPr>
                <w:rFonts w:asciiTheme="minorHAnsi" w:hAnsiTheme="minorHAnsi" w:cstheme="minorHAnsi"/>
                <w:sz w:val="22"/>
              </w:rPr>
              <w:t>)</w:t>
            </w:r>
          </w:p>
          <w:p w14:paraId="0603DBEE" w14:textId="1C645955" w:rsidR="00976D6E" w:rsidRPr="0031660E" w:rsidRDefault="00976D6E" w:rsidP="00F232FD">
            <w:pPr>
              <w:pStyle w:val="BodyText"/>
              <w:numPr>
                <w:ilvl w:val="0"/>
                <w:numId w:val="15"/>
              </w:numPr>
              <w:spacing w:after="0"/>
              <w:rPr>
                <w:rFonts w:asciiTheme="minorHAnsi" w:hAnsiTheme="minorHAnsi" w:cstheme="minorHAnsi"/>
                <w:sz w:val="22"/>
              </w:rPr>
            </w:pPr>
            <w:r w:rsidRPr="0031660E">
              <w:rPr>
                <w:rFonts w:asciiTheme="minorHAnsi" w:hAnsiTheme="minorHAnsi" w:cstheme="minorHAnsi"/>
                <w:sz w:val="22"/>
              </w:rPr>
              <w:t>$22,540 (complex)</w:t>
            </w:r>
          </w:p>
          <w:p w14:paraId="5D18E61E" w14:textId="50C3C4FB" w:rsidR="00976D6E" w:rsidRPr="0031660E" w:rsidRDefault="00976D6E" w:rsidP="00F232FD">
            <w:pPr>
              <w:pStyle w:val="BodyText"/>
              <w:numPr>
                <w:ilvl w:val="0"/>
                <w:numId w:val="15"/>
              </w:numPr>
              <w:spacing w:after="0"/>
              <w:rPr>
                <w:rFonts w:asciiTheme="minorHAnsi" w:hAnsiTheme="minorHAnsi" w:cstheme="minorHAnsi"/>
                <w:sz w:val="22"/>
              </w:rPr>
            </w:pPr>
            <w:r w:rsidRPr="0031660E">
              <w:rPr>
                <w:rFonts w:asciiTheme="minorHAnsi" w:hAnsiTheme="minorHAnsi" w:cstheme="minorHAnsi"/>
                <w:sz w:val="22"/>
              </w:rPr>
              <w:t>$33,400 (other)</w:t>
            </w:r>
          </w:p>
        </w:tc>
      </w:tr>
      <w:tr w:rsidR="0031660E" w:rsidRPr="0031660E" w14:paraId="0326D69B" w14:textId="77777777" w:rsidTr="009737EE">
        <w:tc>
          <w:tcPr>
            <w:tcW w:w="872" w:type="pct"/>
            <w:hideMark/>
          </w:tcPr>
          <w:p w14:paraId="195C2143"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Tier 3</w:t>
            </w:r>
          </w:p>
        </w:tc>
        <w:tc>
          <w:tcPr>
            <w:tcW w:w="1032" w:type="pct"/>
            <w:hideMark/>
          </w:tcPr>
          <w:p w14:paraId="7E74D9D5" w14:textId="5ECB53C5" w:rsidR="00976D6E" w:rsidRPr="0031660E" w:rsidRDefault="00710B90" w:rsidP="009737EE">
            <w:pPr>
              <w:pStyle w:val="BodyText"/>
              <w:rPr>
                <w:rFonts w:asciiTheme="minorHAnsi" w:hAnsiTheme="minorHAnsi" w:cstheme="minorHAnsi"/>
                <w:sz w:val="22"/>
              </w:rPr>
            </w:pPr>
            <w:r w:rsidRPr="0031660E">
              <w:rPr>
                <w:rFonts w:asciiTheme="minorHAnsi" w:hAnsiTheme="minorHAnsi" w:cstheme="minorHAnsi"/>
                <w:sz w:val="22"/>
              </w:rPr>
              <w:t xml:space="preserve">Standard Application </w:t>
            </w:r>
            <w:r w:rsidR="008A0B1A" w:rsidRPr="0031660E">
              <w:rPr>
                <w:rFonts w:asciiTheme="minorHAnsi" w:hAnsiTheme="minorHAnsi" w:cstheme="minorHAnsi"/>
                <w:sz w:val="22"/>
              </w:rPr>
              <w:t>Fee</w:t>
            </w:r>
          </w:p>
          <w:p w14:paraId="63D5C00E"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amount: $1,370</w:t>
            </w:r>
          </w:p>
        </w:tc>
        <w:tc>
          <w:tcPr>
            <w:tcW w:w="1032" w:type="pct"/>
            <w:hideMark/>
          </w:tcPr>
          <w:p w14:paraId="1A35C6B5"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Full HTA (MSAC) Pathway Assessment Fee</w:t>
            </w:r>
          </w:p>
          <w:p w14:paraId="1C14DDA1" w14:textId="0168A662"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amount: $3,300</w:t>
            </w:r>
          </w:p>
        </w:tc>
        <w:tc>
          <w:tcPr>
            <w:tcW w:w="1032" w:type="pct"/>
          </w:tcPr>
          <w:p w14:paraId="67873517" w14:textId="77777777"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N/A</w:t>
            </w:r>
          </w:p>
        </w:tc>
        <w:tc>
          <w:tcPr>
            <w:tcW w:w="1032" w:type="pct"/>
          </w:tcPr>
          <w:p w14:paraId="490C97C2" w14:textId="13C3371C" w:rsidR="00976D6E" w:rsidRPr="0031660E" w:rsidRDefault="00976D6E" w:rsidP="009737EE">
            <w:pPr>
              <w:pStyle w:val="BodyText"/>
              <w:rPr>
                <w:rFonts w:asciiTheme="minorHAnsi" w:hAnsiTheme="minorHAnsi" w:cstheme="minorHAnsi"/>
                <w:sz w:val="22"/>
              </w:rPr>
            </w:pPr>
            <w:r w:rsidRPr="0031660E">
              <w:rPr>
                <w:rFonts w:asciiTheme="minorHAnsi" w:hAnsiTheme="minorHAnsi" w:cstheme="minorHAnsi"/>
                <w:sz w:val="22"/>
              </w:rPr>
              <w:t>Indicative total amount: $4,670</w:t>
            </w:r>
            <w:r w:rsidR="00C963B8" w:rsidRPr="0031660E">
              <w:rPr>
                <w:rStyle w:val="FootnoteReference"/>
                <w:rFonts w:asciiTheme="minorHAnsi" w:hAnsiTheme="minorHAnsi" w:cstheme="minorHAnsi"/>
                <w:sz w:val="22"/>
              </w:rPr>
              <w:footnoteReference w:id="7"/>
            </w:r>
          </w:p>
        </w:tc>
      </w:tr>
    </w:tbl>
    <w:p w14:paraId="2B5EC70E" w14:textId="77777777" w:rsidR="00E34BC5" w:rsidRPr="0031660E" w:rsidRDefault="00E34BC5" w:rsidP="00E34BC5">
      <w:pPr>
        <w:pStyle w:val="Heading2"/>
      </w:pPr>
      <w:r w:rsidRPr="0031660E">
        <w:lastRenderedPageBreak/>
        <w:t>Cost recovery levy</w:t>
      </w:r>
    </w:p>
    <w:p w14:paraId="238FBE32" w14:textId="26250B43" w:rsidR="00B75732" w:rsidRPr="0031660E" w:rsidRDefault="00E34BC5" w:rsidP="00E34BC5">
      <w:pPr>
        <w:spacing w:after="0" w:line="240" w:lineRule="auto"/>
        <w:rPr>
          <w:rFonts w:ascii="Calibri" w:eastAsia="Times New Roman" w:hAnsi="Calibri" w:cs="Times New Roman"/>
          <w:szCs w:val="24"/>
        </w:rPr>
      </w:pPr>
      <w:r w:rsidRPr="0031660E">
        <w:rPr>
          <w:rFonts w:ascii="Calibri" w:eastAsia="Times New Roman" w:hAnsi="Calibri" w:cs="Times New Roman"/>
          <w:szCs w:val="24"/>
        </w:rPr>
        <w:t>The cost recovery levy has been deferred to the 2024-25 financial year. Details on the levy will be provided in the 2024-25 CRIS, prior to its implementation.</w:t>
      </w:r>
    </w:p>
    <w:p w14:paraId="34AD8C6E" w14:textId="77777777" w:rsidR="007D41D6" w:rsidRPr="0031660E" w:rsidRDefault="007D41D6" w:rsidP="00AE4EB4">
      <w:pPr>
        <w:pStyle w:val="Heading11"/>
      </w:pPr>
      <w:r w:rsidRPr="0031660E">
        <w:t>RISK ASSESSMENT</w:t>
      </w:r>
    </w:p>
    <w:p w14:paraId="1D74EFF9" w14:textId="6B817BE0" w:rsidR="00E34BC5" w:rsidRPr="0031660E" w:rsidRDefault="00E34BC5" w:rsidP="00E34BC5">
      <w:pPr>
        <w:spacing w:after="0" w:line="240" w:lineRule="auto"/>
        <w:rPr>
          <w:rFonts w:ascii="Calibri" w:eastAsia="Times New Roman" w:hAnsi="Calibri" w:cs="Times New Roman"/>
        </w:rPr>
      </w:pPr>
      <w:r w:rsidRPr="0031660E">
        <w:rPr>
          <w:rFonts w:ascii="Calibri" w:eastAsia="Times New Roman" w:hAnsi="Calibri" w:cs="Times New Roman"/>
        </w:rPr>
        <w:t>A charging risk assessment (CRA) is required for any regulatory charging policy proposal</w:t>
      </w:r>
      <w:r w:rsidR="008F3A8B" w:rsidRPr="0031660E">
        <w:rPr>
          <w:rFonts w:ascii="Calibri" w:eastAsia="Times New Roman" w:hAnsi="Calibri" w:cs="Times New Roman"/>
        </w:rPr>
        <w:t>.</w:t>
      </w:r>
    </w:p>
    <w:p w14:paraId="3268F9F5" w14:textId="01C3DB1A" w:rsidR="00E34BC5" w:rsidRPr="0031660E" w:rsidRDefault="00E34BC5" w:rsidP="004C45B8">
      <w:pPr>
        <w:spacing w:before="240" w:after="0" w:line="240" w:lineRule="auto"/>
        <w:rPr>
          <w:rFonts w:ascii="Calibri" w:eastAsia="Times New Roman" w:hAnsi="Calibri" w:cs="Times New Roman"/>
        </w:rPr>
      </w:pPr>
      <w:r w:rsidRPr="0031660E">
        <w:rPr>
          <w:rFonts w:ascii="Calibri" w:eastAsia="Times New Roman" w:hAnsi="Calibri" w:cs="Times New Roman"/>
        </w:rPr>
        <w:t xml:space="preserve">A CRA for this activity was undertaken in April 2023, resulting in a ‘medium’ risk rating. This rating is due to the implementation of revised cost recovery arrangements which has resulted in changes to legislation and the imposition of both </w:t>
      </w:r>
      <w:r w:rsidR="00FD0426" w:rsidRPr="0031660E">
        <w:rPr>
          <w:rFonts w:ascii="Calibri" w:eastAsia="Times New Roman" w:hAnsi="Calibri" w:cs="Times New Roman"/>
        </w:rPr>
        <w:t xml:space="preserve">new </w:t>
      </w:r>
      <w:r w:rsidRPr="0031660E">
        <w:rPr>
          <w:rFonts w:ascii="Calibri" w:eastAsia="Times New Roman" w:hAnsi="Calibri" w:cs="Times New Roman"/>
        </w:rPr>
        <w:t xml:space="preserve">fees and a levy. </w:t>
      </w:r>
    </w:p>
    <w:p w14:paraId="3BE8C6FF" w14:textId="77777777" w:rsidR="007D41D6" w:rsidRPr="0031660E" w:rsidRDefault="007D41D6" w:rsidP="00AE4EB4">
      <w:pPr>
        <w:pStyle w:val="Heading11"/>
      </w:pPr>
      <w:r w:rsidRPr="0031660E">
        <w:t>STAKEHOLDER ENGAGEMENT</w:t>
      </w:r>
    </w:p>
    <w:p w14:paraId="0DCDF37F" w14:textId="06BAC8BF" w:rsidR="009133D9" w:rsidRPr="0031660E" w:rsidRDefault="009133D9" w:rsidP="006D48A8">
      <w:p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 xml:space="preserve">The </w:t>
      </w:r>
      <w:r w:rsidR="00654050" w:rsidRPr="0031660E">
        <w:rPr>
          <w:rFonts w:ascii="Calibri" w:eastAsia="Times New Roman" w:hAnsi="Calibri" w:cs="Times New Roman"/>
          <w:szCs w:val="24"/>
        </w:rPr>
        <w:t>d</w:t>
      </w:r>
      <w:r w:rsidRPr="0031660E">
        <w:rPr>
          <w:rFonts w:ascii="Calibri" w:eastAsia="Times New Roman" w:hAnsi="Calibri" w:cs="Times New Roman"/>
          <w:szCs w:val="24"/>
        </w:rPr>
        <w:t>epartment has engaged in significant stakeholder consultation since the</w:t>
      </w:r>
      <w:r w:rsidR="00FD0426" w:rsidRPr="0031660E">
        <w:rPr>
          <w:rFonts w:ascii="Calibri" w:eastAsia="Times New Roman" w:hAnsi="Calibri" w:cs="Times New Roman"/>
          <w:szCs w:val="24"/>
        </w:rPr>
        <w:t xml:space="preserve"> Prostheses List</w:t>
      </w:r>
      <w:r w:rsidRPr="0031660E">
        <w:rPr>
          <w:rFonts w:ascii="Calibri" w:eastAsia="Times New Roman" w:hAnsi="Calibri" w:cs="Times New Roman"/>
          <w:szCs w:val="24"/>
        </w:rPr>
        <w:t xml:space="preserve"> reform work commenced on 1 July 2021. The cost recovery provisions in </w:t>
      </w:r>
      <w:r w:rsidR="00503D3E" w:rsidRPr="0031660E">
        <w:rPr>
          <w:rFonts w:ascii="Calibri" w:eastAsia="Times New Roman" w:hAnsi="Calibri" w:cs="Times New Roman"/>
          <w:szCs w:val="24"/>
        </w:rPr>
        <w:t xml:space="preserve">this CRIS </w:t>
      </w:r>
      <w:r w:rsidRPr="0031660E">
        <w:rPr>
          <w:rFonts w:ascii="Calibri" w:eastAsia="Times New Roman" w:hAnsi="Calibri" w:cs="Times New Roman"/>
          <w:szCs w:val="24"/>
        </w:rPr>
        <w:t>have been developed following extensive consultation. Consultation has included specific consultation papers, webinars, and responses to written questions from stakeholders. Key consultations</w:t>
      </w:r>
      <w:r w:rsidR="00256ED3" w:rsidRPr="0031660E">
        <w:rPr>
          <w:rFonts w:ascii="Calibri" w:eastAsia="Times New Roman" w:hAnsi="Calibri" w:cs="Times New Roman"/>
          <w:szCs w:val="24"/>
        </w:rPr>
        <w:t xml:space="preserve"> pertaining to cost recovery of the Prescribed List</w:t>
      </w:r>
      <w:r w:rsidRPr="0031660E">
        <w:rPr>
          <w:rFonts w:ascii="Calibri" w:eastAsia="Times New Roman" w:hAnsi="Calibri" w:cs="Times New Roman"/>
          <w:szCs w:val="24"/>
        </w:rPr>
        <w:t xml:space="preserve"> include the following:</w:t>
      </w:r>
    </w:p>
    <w:p w14:paraId="28BCED13" w14:textId="12552BE4" w:rsidR="0050161C" w:rsidRPr="0031660E" w:rsidRDefault="00256ED3" w:rsidP="00F232FD">
      <w:pPr>
        <w:pStyle w:val="ListParagraph"/>
        <w:numPr>
          <w:ilvl w:val="0"/>
          <w:numId w:val="8"/>
        </w:num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b</w:t>
      </w:r>
      <w:r w:rsidR="009133D9" w:rsidRPr="0031660E">
        <w:rPr>
          <w:rFonts w:ascii="Calibri" w:eastAsia="Times New Roman" w:hAnsi="Calibri" w:cs="Times New Roman"/>
          <w:szCs w:val="24"/>
        </w:rPr>
        <w:t>etween 16 September and 28 October 2022: Consultation Paper 3(b) – Pathways for applications to the Prostheses List</w:t>
      </w:r>
      <w:r w:rsidR="009133D9" w:rsidRPr="0031660E">
        <w:t xml:space="preserve"> </w:t>
      </w:r>
      <w:r w:rsidR="009133D9" w:rsidRPr="0031660E">
        <w:rPr>
          <w:rFonts w:ascii="Calibri" w:eastAsia="Times New Roman" w:hAnsi="Calibri" w:cs="Times New Roman"/>
          <w:szCs w:val="24"/>
        </w:rPr>
        <w:t xml:space="preserve">included details of the new proposed cost recovery model, including a draft schedule of indicative </w:t>
      </w:r>
      <w:proofErr w:type="gramStart"/>
      <w:r w:rsidR="009133D9" w:rsidRPr="0031660E">
        <w:rPr>
          <w:rFonts w:ascii="Calibri" w:eastAsia="Times New Roman" w:hAnsi="Calibri" w:cs="Times New Roman"/>
          <w:szCs w:val="24"/>
        </w:rPr>
        <w:t>fees</w:t>
      </w:r>
      <w:r w:rsidRPr="0031660E">
        <w:rPr>
          <w:rFonts w:ascii="Calibri" w:eastAsia="Times New Roman" w:hAnsi="Calibri" w:cs="Times New Roman"/>
          <w:szCs w:val="24"/>
        </w:rPr>
        <w:t>;</w:t>
      </w:r>
      <w:proofErr w:type="gramEnd"/>
    </w:p>
    <w:p w14:paraId="139EEFC1" w14:textId="4E993E00" w:rsidR="009133D9" w:rsidRPr="0031660E" w:rsidRDefault="00256ED3" w:rsidP="00F232FD">
      <w:pPr>
        <w:pStyle w:val="ListParagraph"/>
        <w:numPr>
          <w:ilvl w:val="0"/>
          <w:numId w:val="8"/>
        </w:num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b</w:t>
      </w:r>
      <w:r w:rsidR="009133D9" w:rsidRPr="0031660E">
        <w:rPr>
          <w:rFonts w:ascii="Calibri" w:eastAsia="Times New Roman" w:hAnsi="Calibri" w:cs="Times New Roman"/>
          <w:szCs w:val="24"/>
        </w:rPr>
        <w:t>etween 4 November and 11 November 2022: Consultation Paper 4(b) included three Exposure Drafts of the ‘first tranche’ legislative changes and an accompanying Explanatory Memorandum which outlined the intent of the most notable amending items</w:t>
      </w:r>
      <w:r w:rsidRPr="0031660E">
        <w:rPr>
          <w:rFonts w:ascii="Calibri" w:eastAsia="Times New Roman" w:hAnsi="Calibri" w:cs="Times New Roman"/>
          <w:szCs w:val="24"/>
        </w:rPr>
        <w:t>; and</w:t>
      </w:r>
    </w:p>
    <w:p w14:paraId="29AC878A" w14:textId="2805BA7C" w:rsidR="00806ADB" w:rsidRPr="0031660E" w:rsidRDefault="00256ED3" w:rsidP="00F232FD">
      <w:pPr>
        <w:pStyle w:val="ListParagraph"/>
        <w:numPr>
          <w:ilvl w:val="0"/>
          <w:numId w:val="8"/>
        </w:num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b</w:t>
      </w:r>
      <w:r w:rsidR="009133D9" w:rsidRPr="0031660E">
        <w:rPr>
          <w:rFonts w:ascii="Calibri" w:eastAsia="Times New Roman" w:hAnsi="Calibri" w:cs="Times New Roman"/>
          <w:szCs w:val="24"/>
        </w:rPr>
        <w:t xml:space="preserve">etween 20 March and 1 May 2023: </w:t>
      </w:r>
      <w:r w:rsidR="00BC239F" w:rsidRPr="0031660E">
        <w:rPr>
          <w:rFonts w:ascii="Calibri" w:eastAsia="Times New Roman" w:hAnsi="Calibri" w:cs="Times New Roman"/>
          <w:szCs w:val="24"/>
        </w:rPr>
        <w:t>Consultation paper 6(b) on the proposed legislation for cost recovery arrangements. As part of the consultation process, the department convened an information webinar on Monday 3 April</w:t>
      </w:r>
      <w:r w:rsidR="009B5D22" w:rsidRPr="0031660E">
        <w:rPr>
          <w:rFonts w:ascii="Calibri" w:eastAsia="Times New Roman" w:hAnsi="Calibri" w:cs="Times New Roman"/>
          <w:szCs w:val="24"/>
        </w:rPr>
        <w:t>, where</w:t>
      </w:r>
      <w:r w:rsidR="00BC239F" w:rsidRPr="0031660E">
        <w:rPr>
          <w:rFonts w:ascii="Calibri" w:eastAsia="Times New Roman" w:hAnsi="Calibri" w:cs="Times New Roman"/>
          <w:szCs w:val="24"/>
        </w:rPr>
        <w:t xml:space="preserve"> information detailed in </w:t>
      </w:r>
      <w:r w:rsidR="009B5D22" w:rsidRPr="0031660E">
        <w:rPr>
          <w:rFonts w:ascii="Calibri" w:eastAsia="Times New Roman" w:hAnsi="Calibri" w:cs="Times New Roman"/>
          <w:szCs w:val="24"/>
        </w:rPr>
        <w:t>the</w:t>
      </w:r>
      <w:r w:rsidR="00BC239F" w:rsidRPr="0031660E">
        <w:rPr>
          <w:rFonts w:ascii="Calibri" w:eastAsia="Times New Roman" w:hAnsi="Calibri" w:cs="Times New Roman"/>
          <w:szCs w:val="24"/>
        </w:rPr>
        <w:t xml:space="preserve"> </w:t>
      </w:r>
      <w:r w:rsidR="00A26F30" w:rsidRPr="0031660E">
        <w:rPr>
          <w:rFonts w:ascii="Calibri" w:eastAsia="Times New Roman" w:hAnsi="Calibri" w:cs="Times New Roman"/>
          <w:szCs w:val="24"/>
        </w:rPr>
        <w:t xml:space="preserve">consultation paper, </w:t>
      </w:r>
      <w:r w:rsidR="009B5D22" w:rsidRPr="0031660E">
        <w:rPr>
          <w:rFonts w:ascii="Calibri" w:eastAsia="Times New Roman" w:hAnsi="Calibri" w:cs="Times New Roman"/>
          <w:szCs w:val="24"/>
        </w:rPr>
        <w:t>was presented</w:t>
      </w:r>
      <w:r w:rsidR="00BC239F" w:rsidRPr="0031660E">
        <w:rPr>
          <w:rFonts w:ascii="Calibri" w:eastAsia="Times New Roman" w:hAnsi="Calibri" w:cs="Times New Roman"/>
          <w:szCs w:val="24"/>
        </w:rPr>
        <w:t>, and stakeholders had the opportunity to ask questions or raise concerns.</w:t>
      </w:r>
      <w:r w:rsidR="006D48A8" w:rsidRPr="0031660E">
        <w:rPr>
          <w:rFonts w:ascii="Calibri" w:eastAsia="Times New Roman" w:hAnsi="Calibri" w:cs="Times New Roman"/>
          <w:szCs w:val="24"/>
        </w:rPr>
        <w:t xml:space="preserve"> </w:t>
      </w:r>
    </w:p>
    <w:p w14:paraId="6C26F449" w14:textId="09723F99" w:rsidR="007D41D6" w:rsidRPr="0031660E" w:rsidRDefault="007D41D6" w:rsidP="007D41D6">
      <w:p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 xml:space="preserve">The CRIS will be reviewed and updated at least </w:t>
      </w:r>
      <w:r w:rsidR="002B5A29" w:rsidRPr="0031660E">
        <w:rPr>
          <w:rFonts w:ascii="Calibri" w:eastAsia="Times New Roman" w:hAnsi="Calibri" w:cs="Times New Roman"/>
          <w:szCs w:val="24"/>
        </w:rPr>
        <w:t xml:space="preserve">twice </w:t>
      </w:r>
      <w:r w:rsidRPr="0031660E">
        <w:rPr>
          <w:rFonts w:ascii="Calibri" w:eastAsia="Times New Roman" w:hAnsi="Calibri" w:cs="Times New Roman"/>
          <w:szCs w:val="24"/>
        </w:rPr>
        <w:t xml:space="preserve">annually and published on the </w:t>
      </w:r>
      <w:r w:rsidR="009B5D22" w:rsidRPr="0031660E">
        <w:rPr>
          <w:rFonts w:ascii="Calibri" w:eastAsia="Times New Roman" w:hAnsi="Calibri" w:cs="Times New Roman"/>
          <w:szCs w:val="24"/>
        </w:rPr>
        <w:t>d</w:t>
      </w:r>
      <w:r w:rsidRPr="0031660E">
        <w:rPr>
          <w:rFonts w:ascii="Calibri" w:eastAsia="Times New Roman" w:hAnsi="Calibri" w:cs="Times New Roman"/>
          <w:szCs w:val="24"/>
        </w:rPr>
        <w:t>epartment’s website for stakeholders</w:t>
      </w:r>
      <w:r w:rsidR="00ED3BAC" w:rsidRPr="0031660E">
        <w:rPr>
          <w:rFonts w:ascii="Calibri" w:eastAsia="Times New Roman" w:hAnsi="Calibri" w:cs="Times New Roman"/>
          <w:szCs w:val="24"/>
        </w:rPr>
        <w:t xml:space="preserve">. </w:t>
      </w:r>
    </w:p>
    <w:p w14:paraId="16291AAB" w14:textId="765F4020" w:rsidR="002B5A29" w:rsidRPr="0031660E" w:rsidRDefault="002B5A29" w:rsidP="002B5A29">
      <w:pPr>
        <w:spacing w:before="120" w:after="120" w:line="240" w:lineRule="auto"/>
        <w:rPr>
          <w:rFonts w:ascii="Calibri" w:eastAsia="Times New Roman" w:hAnsi="Calibri" w:cs="Times New Roman"/>
          <w:szCs w:val="24"/>
        </w:rPr>
      </w:pPr>
      <w:r w:rsidRPr="0031660E">
        <w:rPr>
          <w:rFonts w:ascii="Calibri" w:eastAsia="Times New Roman" w:hAnsi="Calibri" w:cs="Times New Roman"/>
          <w:szCs w:val="24"/>
        </w:rPr>
        <w:t>Any future changes to the cost recovery charges will require the development of a new CRIS, which will be informed by stakeholder consultation.</w:t>
      </w:r>
    </w:p>
    <w:p w14:paraId="2D767D0C" w14:textId="77777777" w:rsidR="007D41D6" w:rsidRPr="0031660E" w:rsidRDefault="007D41D6" w:rsidP="00AE4EB4">
      <w:pPr>
        <w:pStyle w:val="Heading11"/>
      </w:pPr>
      <w:bookmarkStart w:id="3" w:name="_Hlk151459542"/>
      <w:r w:rsidRPr="0031660E">
        <w:t>FINANCIAL ESTIMATES</w:t>
      </w:r>
    </w:p>
    <w:p w14:paraId="07DB118D" w14:textId="5E33FADF" w:rsidR="007D41D6" w:rsidRPr="0031660E" w:rsidRDefault="007D41D6" w:rsidP="007D41D6">
      <w:pPr>
        <w:spacing w:before="120" w:after="120" w:line="240" w:lineRule="auto"/>
        <w:rPr>
          <w:rFonts w:ascii="Calibri" w:eastAsia="Times New Roman" w:hAnsi="Calibri" w:cs="Times New Roman"/>
          <w:b/>
          <w:iCs/>
          <w:sz w:val="20"/>
          <w:szCs w:val="18"/>
        </w:rPr>
      </w:pPr>
      <w:r w:rsidRPr="0031660E">
        <w:rPr>
          <w:rFonts w:ascii="Calibri" w:eastAsia="Times New Roman" w:hAnsi="Calibri" w:cs="Times New Roman"/>
          <w:szCs w:val="24"/>
        </w:rPr>
        <w:t xml:space="preserve">Table </w:t>
      </w:r>
      <w:r w:rsidR="00256ED3" w:rsidRPr="0031660E">
        <w:rPr>
          <w:rFonts w:ascii="Calibri" w:eastAsia="Times New Roman" w:hAnsi="Calibri" w:cs="Times New Roman"/>
          <w:szCs w:val="24"/>
        </w:rPr>
        <w:t>6</w:t>
      </w:r>
      <w:r w:rsidRPr="0031660E">
        <w:rPr>
          <w:rFonts w:ascii="Calibri" w:eastAsia="Times New Roman" w:hAnsi="Calibri" w:cs="Times New Roman"/>
          <w:szCs w:val="24"/>
        </w:rPr>
        <w:t xml:space="preserve"> reflects the forecast expenses along with the estimated revenue for </w:t>
      </w:r>
      <w:r w:rsidR="00FF1D63" w:rsidRPr="0031660E">
        <w:rPr>
          <w:rFonts w:ascii="Calibri" w:eastAsia="Times New Roman" w:hAnsi="Calibri" w:cs="Times New Roman"/>
          <w:szCs w:val="24"/>
        </w:rPr>
        <w:t>2023-24</w:t>
      </w:r>
      <w:r w:rsidRPr="0031660E">
        <w:rPr>
          <w:rFonts w:ascii="Calibri" w:eastAsia="Times New Roman" w:hAnsi="Calibri" w:cs="Times New Roman"/>
          <w:szCs w:val="24"/>
        </w:rPr>
        <w:t xml:space="preserve"> and three forward years. Should there be any change to the cost recovery fees and charges as set out in this CRIS, a new financial estimates table will be provided.</w:t>
      </w:r>
      <w:r w:rsidR="00806ADB" w:rsidRPr="0031660E">
        <w:rPr>
          <w:rFonts w:ascii="Calibri" w:eastAsia="Times New Roman" w:hAnsi="Calibri" w:cs="Times New Roman"/>
          <w:szCs w:val="24"/>
        </w:rPr>
        <w:t xml:space="preserve"> </w:t>
      </w:r>
    </w:p>
    <w:p w14:paraId="46FD57F2" w14:textId="02D46039" w:rsidR="00806ADB" w:rsidRPr="0031660E" w:rsidRDefault="00806ADB" w:rsidP="00806ADB">
      <w:pPr>
        <w:spacing w:before="120" w:after="120" w:line="240" w:lineRule="auto"/>
        <w:rPr>
          <w:rFonts w:ascii="Calibri" w:eastAsia="Times New Roman" w:hAnsi="Calibri" w:cs="Times New Roman"/>
          <w:b/>
          <w:iCs/>
          <w:sz w:val="20"/>
          <w:szCs w:val="18"/>
        </w:rPr>
      </w:pPr>
      <w:r w:rsidRPr="0031660E">
        <w:rPr>
          <w:rFonts w:ascii="Calibri" w:eastAsia="Times New Roman" w:hAnsi="Calibri" w:cs="Times New Roman"/>
          <w:b/>
          <w:iCs/>
          <w:sz w:val="20"/>
          <w:szCs w:val="18"/>
        </w:rPr>
        <w:t xml:space="preserve">Table </w:t>
      </w:r>
      <w:r w:rsidR="00256ED3" w:rsidRPr="0031660E">
        <w:rPr>
          <w:rFonts w:ascii="Calibri" w:eastAsia="Times New Roman" w:hAnsi="Calibri" w:cs="Times New Roman"/>
          <w:b/>
          <w:iCs/>
          <w:sz w:val="20"/>
          <w:szCs w:val="18"/>
        </w:rPr>
        <w:t>6</w:t>
      </w:r>
      <w:r w:rsidRPr="0031660E">
        <w:rPr>
          <w:rFonts w:ascii="Calibri" w:eastAsia="Times New Roman" w:hAnsi="Calibri" w:cs="Times New Roman"/>
          <w:b/>
          <w:iCs/>
          <w:sz w:val="20"/>
          <w:szCs w:val="18"/>
        </w:rPr>
        <w:t xml:space="preserve">. Financial estimates for </w:t>
      </w:r>
      <w:r w:rsidR="00654389" w:rsidRPr="0031660E">
        <w:rPr>
          <w:rFonts w:ascii="Calibri" w:eastAsia="Times New Roman" w:hAnsi="Calibri" w:cs="Times New Roman"/>
          <w:b/>
          <w:iCs/>
          <w:sz w:val="20"/>
          <w:szCs w:val="18"/>
        </w:rPr>
        <w:t>P</w:t>
      </w:r>
      <w:r w:rsidR="00D17E3F" w:rsidRPr="0031660E">
        <w:rPr>
          <w:rFonts w:ascii="Calibri" w:eastAsia="Times New Roman" w:hAnsi="Calibri" w:cs="Times New Roman"/>
          <w:b/>
          <w:iCs/>
          <w:sz w:val="20"/>
          <w:szCs w:val="18"/>
        </w:rPr>
        <w:t xml:space="preserve">rescribed </w:t>
      </w:r>
      <w:r w:rsidR="00654389" w:rsidRPr="0031660E">
        <w:rPr>
          <w:rFonts w:ascii="Calibri" w:eastAsia="Times New Roman" w:hAnsi="Calibri" w:cs="Times New Roman"/>
          <w:b/>
          <w:iCs/>
          <w:sz w:val="20"/>
          <w:szCs w:val="18"/>
        </w:rPr>
        <w:t>L</w:t>
      </w:r>
      <w:r w:rsidR="00D17E3F" w:rsidRPr="0031660E">
        <w:rPr>
          <w:rFonts w:ascii="Calibri" w:eastAsia="Times New Roman" w:hAnsi="Calibri" w:cs="Times New Roman"/>
          <w:b/>
          <w:iCs/>
          <w:sz w:val="20"/>
          <w:szCs w:val="18"/>
        </w:rPr>
        <w:t>ist</w:t>
      </w:r>
      <w:r w:rsidRPr="0031660E">
        <w:rPr>
          <w:rFonts w:ascii="Calibri" w:eastAsia="Times New Roman" w:hAnsi="Calibri" w:cs="Times New Roman"/>
          <w:b/>
          <w:iCs/>
          <w:sz w:val="20"/>
          <w:szCs w:val="18"/>
        </w:rPr>
        <w:t xml:space="preserve"> cost recovery activities for 2023-24 and three forward years</w:t>
      </w:r>
      <w:r w:rsidR="00A163BF" w:rsidRPr="0031660E">
        <w:rPr>
          <w:rFonts w:ascii="Calibri" w:eastAsia="Times New Roman" w:hAnsi="Calibri" w:cs="Times New Roman"/>
          <w:b/>
          <w:iCs/>
          <w:sz w:val="20"/>
          <w:szCs w:val="18"/>
        </w:rPr>
        <w:t xml:space="preserve"> (new cost recovery arrangements)</w:t>
      </w:r>
    </w:p>
    <w:tbl>
      <w:tblPr>
        <w:tblStyle w:val="ListTable3"/>
        <w:tblW w:w="4950" w:type="pct"/>
        <w:tblLayout w:type="fixed"/>
        <w:tblLook w:val="04A0" w:firstRow="1" w:lastRow="0" w:firstColumn="1" w:lastColumn="0" w:noHBand="0" w:noVBand="1"/>
      </w:tblPr>
      <w:tblGrid>
        <w:gridCol w:w="2548"/>
        <w:gridCol w:w="1559"/>
        <w:gridCol w:w="1417"/>
        <w:gridCol w:w="284"/>
        <w:gridCol w:w="1558"/>
        <w:gridCol w:w="1560"/>
      </w:tblGrid>
      <w:tr w:rsidR="0031660E" w:rsidRPr="0031660E" w14:paraId="71239116" w14:textId="77777777" w:rsidTr="00704DA3">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100" w:firstRow="0" w:lastRow="0" w:firstColumn="1" w:lastColumn="0" w:oddVBand="0" w:evenVBand="0" w:oddHBand="0" w:evenHBand="0" w:firstRowFirstColumn="1" w:firstRowLastColumn="0" w:lastRowFirstColumn="0" w:lastRowLastColumn="0"/>
            <w:tcW w:w="1427" w:type="pct"/>
            <w:hideMark/>
          </w:tcPr>
          <w:p w14:paraId="3ED81E22" w14:textId="77777777" w:rsidR="00B16EB1" w:rsidRPr="0031660E" w:rsidRDefault="00B16EB1" w:rsidP="00BD5E17">
            <w:pPr>
              <w:jc w:val="center"/>
              <w:rPr>
                <w:rFonts w:ascii="Calibri" w:eastAsia="Times New Roman" w:hAnsi="Calibri" w:cs="Calibri"/>
                <w:b w:val="0"/>
                <w:bCs w:val="0"/>
                <w:color w:val="auto"/>
                <w:lang w:eastAsia="en-AU"/>
              </w:rPr>
            </w:pPr>
            <w:r w:rsidRPr="0031660E">
              <w:rPr>
                <w:rFonts w:ascii="Calibri" w:eastAsia="Times New Roman" w:hAnsi="Calibri" w:cs="Calibri"/>
                <w:b w:val="0"/>
                <w:bCs w:val="0"/>
                <w:color w:val="auto"/>
                <w:lang w:eastAsia="en-AU"/>
              </w:rPr>
              <w:t>Forecast Financial Estimates</w:t>
            </w:r>
          </w:p>
        </w:tc>
        <w:tc>
          <w:tcPr>
            <w:tcW w:w="873" w:type="pct"/>
            <w:hideMark/>
          </w:tcPr>
          <w:p w14:paraId="2962C679" w14:textId="77777777" w:rsidR="00C3735D" w:rsidRPr="0031660E" w:rsidRDefault="00B16EB1" w:rsidP="00C37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660E">
              <w:rPr>
                <w:rFonts w:ascii="Calibri" w:eastAsia="Times New Roman" w:hAnsi="Calibri" w:cs="Calibri"/>
                <w:b w:val="0"/>
                <w:bCs w:val="0"/>
                <w:color w:val="auto"/>
                <w:lang w:eastAsia="en-AU"/>
              </w:rPr>
              <w:t>2023-24</w:t>
            </w:r>
          </w:p>
          <w:p w14:paraId="64462B5B" w14:textId="76B56EA6" w:rsidR="00B16EB1" w:rsidRPr="0031660E" w:rsidRDefault="00B16EB1" w:rsidP="00C37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AU"/>
              </w:rPr>
            </w:pPr>
            <w:r w:rsidRPr="0031660E">
              <w:rPr>
                <w:rFonts w:ascii="Calibri" w:eastAsia="Times New Roman" w:hAnsi="Calibri" w:cs="Calibri"/>
                <w:b w:val="0"/>
                <w:bCs w:val="0"/>
                <w:color w:val="auto"/>
                <w:lang w:eastAsia="en-AU"/>
              </w:rPr>
              <w:t>$’000</w:t>
            </w:r>
          </w:p>
        </w:tc>
        <w:tc>
          <w:tcPr>
            <w:tcW w:w="953" w:type="pct"/>
            <w:gridSpan w:val="2"/>
            <w:hideMark/>
          </w:tcPr>
          <w:p w14:paraId="12E4ECE6" w14:textId="77777777" w:rsidR="00C3735D" w:rsidRPr="0031660E" w:rsidRDefault="00B16EB1" w:rsidP="00C37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660E">
              <w:rPr>
                <w:rFonts w:ascii="Calibri" w:eastAsia="Times New Roman" w:hAnsi="Calibri" w:cs="Calibri"/>
                <w:b w:val="0"/>
                <w:bCs w:val="0"/>
                <w:color w:val="auto"/>
                <w:lang w:eastAsia="en-AU"/>
              </w:rPr>
              <w:t>2024-25</w:t>
            </w:r>
          </w:p>
          <w:p w14:paraId="72FA33A6" w14:textId="686C0411" w:rsidR="00B16EB1" w:rsidRPr="0031660E" w:rsidRDefault="00B16EB1" w:rsidP="00C37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AU"/>
              </w:rPr>
            </w:pPr>
            <w:r w:rsidRPr="0031660E">
              <w:rPr>
                <w:rFonts w:ascii="Calibri" w:eastAsia="Times New Roman" w:hAnsi="Calibri" w:cs="Calibri"/>
                <w:b w:val="0"/>
                <w:bCs w:val="0"/>
                <w:color w:val="auto"/>
                <w:lang w:eastAsia="en-AU"/>
              </w:rPr>
              <w:t>$’000</w:t>
            </w:r>
          </w:p>
        </w:tc>
        <w:tc>
          <w:tcPr>
            <w:tcW w:w="873" w:type="pct"/>
            <w:hideMark/>
          </w:tcPr>
          <w:p w14:paraId="1F6390DA" w14:textId="77777777" w:rsidR="00C3735D" w:rsidRPr="0031660E" w:rsidRDefault="00B16EB1" w:rsidP="00C37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AU"/>
              </w:rPr>
            </w:pPr>
            <w:r w:rsidRPr="0031660E">
              <w:rPr>
                <w:rFonts w:ascii="Calibri" w:eastAsia="Times New Roman" w:hAnsi="Calibri" w:cs="Calibri"/>
                <w:b w:val="0"/>
                <w:bCs w:val="0"/>
                <w:color w:val="auto"/>
                <w:lang w:eastAsia="en-AU"/>
              </w:rPr>
              <w:t>2025-26</w:t>
            </w:r>
          </w:p>
          <w:p w14:paraId="039C4F3C" w14:textId="6AC4EA76" w:rsidR="00B16EB1" w:rsidRPr="0031660E" w:rsidRDefault="00B16EB1" w:rsidP="00C37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660E">
              <w:rPr>
                <w:rFonts w:ascii="Calibri" w:eastAsia="Times New Roman" w:hAnsi="Calibri" w:cs="Calibri"/>
                <w:b w:val="0"/>
                <w:bCs w:val="0"/>
                <w:color w:val="auto"/>
                <w:lang w:eastAsia="en-AU"/>
              </w:rPr>
              <w:t>$’000</w:t>
            </w:r>
          </w:p>
        </w:tc>
        <w:tc>
          <w:tcPr>
            <w:tcW w:w="874" w:type="pct"/>
          </w:tcPr>
          <w:p w14:paraId="036373A8" w14:textId="77777777" w:rsidR="00C3735D" w:rsidRPr="0031660E" w:rsidRDefault="00B16EB1" w:rsidP="00C37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lang w:eastAsia="en-AU"/>
              </w:rPr>
            </w:pPr>
            <w:r w:rsidRPr="0031660E">
              <w:rPr>
                <w:rFonts w:ascii="Calibri" w:eastAsia="Times New Roman" w:hAnsi="Calibri" w:cs="Calibri"/>
                <w:b w:val="0"/>
                <w:bCs w:val="0"/>
                <w:color w:val="auto"/>
                <w:lang w:eastAsia="en-AU"/>
              </w:rPr>
              <w:t>2026-27</w:t>
            </w:r>
          </w:p>
          <w:p w14:paraId="1E9861E1" w14:textId="50FFE0E4" w:rsidR="00B16EB1" w:rsidRPr="0031660E" w:rsidRDefault="00B16EB1" w:rsidP="00C3735D">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1660E">
              <w:rPr>
                <w:rFonts w:ascii="Calibri" w:eastAsia="Times New Roman" w:hAnsi="Calibri" w:cs="Calibri"/>
                <w:b w:val="0"/>
                <w:bCs w:val="0"/>
                <w:color w:val="auto"/>
                <w:lang w:eastAsia="en-AU"/>
              </w:rPr>
              <w:t>$’000</w:t>
            </w:r>
          </w:p>
        </w:tc>
      </w:tr>
      <w:tr w:rsidR="0031660E" w:rsidRPr="0031660E" w14:paraId="410F3332" w14:textId="77777777" w:rsidTr="00704DA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427" w:type="pct"/>
            <w:noWrap/>
            <w:hideMark/>
          </w:tcPr>
          <w:p w14:paraId="42EFB955" w14:textId="77777777" w:rsidR="00B16EB1" w:rsidRPr="0031660E" w:rsidRDefault="00B16EB1" w:rsidP="00654389">
            <w:pPr>
              <w:rPr>
                <w:rFonts w:ascii="Calibri" w:eastAsia="Times New Roman" w:hAnsi="Calibri" w:cs="Calibri"/>
                <w:lang w:eastAsia="en-AU"/>
              </w:rPr>
            </w:pPr>
            <w:r w:rsidRPr="0031660E">
              <w:rPr>
                <w:rFonts w:ascii="Calibri" w:eastAsia="Times New Roman" w:hAnsi="Calibri" w:cs="Calibri"/>
                <w:lang w:eastAsia="en-AU"/>
              </w:rPr>
              <w:t>Combined Expenses = X</w:t>
            </w:r>
          </w:p>
        </w:tc>
        <w:tc>
          <w:tcPr>
            <w:tcW w:w="873" w:type="pct"/>
            <w:noWrap/>
          </w:tcPr>
          <w:p w14:paraId="52BB6A0A" w14:textId="315218AC" w:rsidR="00B16EB1" w:rsidRPr="0031660E" w:rsidRDefault="00C3735D" w:rsidP="00C3735D">
            <w:pPr>
              <w:ind w:right="5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1660E">
              <w:t xml:space="preserve">  </w:t>
            </w:r>
            <w:r w:rsidR="00B16EB1" w:rsidRPr="0031660E">
              <w:t>7,527</w:t>
            </w:r>
          </w:p>
        </w:tc>
        <w:tc>
          <w:tcPr>
            <w:tcW w:w="794" w:type="pct"/>
            <w:noWrap/>
          </w:tcPr>
          <w:p w14:paraId="7ADFD4CD" w14:textId="6D84C28F" w:rsidR="00B16EB1" w:rsidRPr="0031660E" w:rsidRDefault="00C3735D" w:rsidP="00C3735D">
            <w:pPr>
              <w:ind w:right="55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1660E">
              <w:t xml:space="preserve"> </w:t>
            </w:r>
            <w:r w:rsidR="00B16EB1" w:rsidRPr="0031660E">
              <w:t>7,772</w:t>
            </w:r>
          </w:p>
        </w:tc>
        <w:tc>
          <w:tcPr>
            <w:tcW w:w="1032" w:type="pct"/>
            <w:gridSpan w:val="2"/>
            <w:noWrap/>
          </w:tcPr>
          <w:p w14:paraId="77F3B99A" w14:textId="7903EDFE" w:rsidR="00B16EB1" w:rsidRPr="0031660E" w:rsidRDefault="00C3735D" w:rsidP="00C3735D">
            <w:pPr>
              <w:ind w:right="88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1660E">
              <w:t xml:space="preserve">  </w:t>
            </w:r>
            <w:r w:rsidR="00704DA3" w:rsidRPr="0031660E">
              <w:t xml:space="preserve">  </w:t>
            </w:r>
            <w:r w:rsidR="00B16EB1" w:rsidRPr="0031660E">
              <w:t>7,904</w:t>
            </w:r>
          </w:p>
        </w:tc>
        <w:tc>
          <w:tcPr>
            <w:tcW w:w="874" w:type="pct"/>
            <w:shd w:val="clear" w:color="auto" w:fill="auto"/>
          </w:tcPr>
          <w:p w14:paraId="5C242FF8" w14:textId="78A40C29" w:rsidR="00B16EB1" w:rsidRPr="0031660E" w:rsidRDefault="00B16EB1" w:rsidP="00C3735D">
            <w:pPr>
              <w:ind w:right="4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1660E">
              <w:t xml:space="preserve"> 8,045 </w:t>
            </w:r>
          </w:p>
        </w:tc>
      </w:tr>
      <w:tr w:rsidR="0031660E" w:rsidRPr="0031660E" w14:paraId="2DC746ED" w14:textId="77777777" w:rsidTr="00704DA3">
        <w:trPr>
          <w:trHeight w:val="300"/>
        </w:trPr>
        <w:tc>
          <w:tcPr>
            <w:cnfStyle w:val="001000000000" w:firstRow="0" w:lastRow="0" w:firstColumn="1" w:lastColumn="0" w:oddVBand="0" w:evenVBand="0" w:oddHBand="0" w:evenHBand="0" w:firstRowFirstColumn="0" w:firstRowLastColumn="0" w:lastRowFirstColumn="0" w:lastRowLastColumn="0"/>
            <w:tcW w:w="1427" w:type="pct"/>
            <w:noWrap/>
            <w:hideMark/>
          </w:tcPr>
          <w:p w14:paraId="0D44EE52" w14:textId="77777777" w:rsidR="00B16EB1" w:rsidRPr="0031660E" w:rsidRDefault="00B16EB1" w:rsidP="00654389">
            <w:pPr>
              <w:rPr>
                <w:rFonts w:ascii="Calibri" w:eastAsia="Times New Roman" w:hAnsi="Calibri" w:cs="Calibri"/>
                <w:lang w:eastAsia="en-AU"/>
              </w:rPr>
            </w:pPr>
            <w:r w:rsidRPr="0031660E">
              <w:rPr>
                <w:rFonts w:ascii="Calibri" w:eastAsia="Times New Roman" w:hAnsi="Calibri" w:cs="Calibri"/>
                <w:lang w:eastAsia="en-AU"/>
              </w:rPr>
              <w:t>Combined Revenue = Y</w:t>
            </w:r>
          </w:p>
        </w:tc>
        <w:tc>
          <w:tcPr>
            <w:tcW w:w="873" w:type="pct"/>
            <w:noWrap/>
          </w:tcPr>
          <w:p w14:paraId="0B59B4B0" w14:textId="13F8228C" w:rsidR="00B16EB1" w:rsidRPr="0031660E" w:rsidRDefault="00C3735D" w:rsidP="00C3735D">
            <w:pPr>
              <w:ind w:right="550"/>
              <w:cnfStyle w:val="000000000000" w:firstRow="0" w:lastRow="0" w:firstColumn="0" w:lastColumn="0" w:oddVBand="0" w:evenVBand="0" w:oddHBand="0" w:evenHBand="0" w:firstRowFirstColumn="0" w:firstRowLastColumn="0" w:lastRowFirstColumn="0" w:lastRowLastColumn="0"/>
            </w:pPr>
            <w:r w:rsidRPr="0031660E">
              <w:t xml:space="preserve">  </w:t>
            </w:r>
            <w:r w:rsidR="00B16EB1" w:rsidRPr="0031660E">
              <w:t>4,780</w:t>
            </w:r>
          </w:p>
        </w:tc>
        <w:tc>
          <w:tcPr>
            <w:tcW w:w="794" w:type="pct"/>
            <w:noWrap/>
          </w:tcPr>
          <w:p w14:paraId="0B756FC6" w14:textId="1928E17C" w:rsidR="00B16EB1" w:rsidRPr="0031660E" w:rsidRDefault="00B16EB1" w:rsidP="00C3735D">
            <w:pPr>
              <w:ind w:right="4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31660E">
              <w:t xml:space="preserve"> 7,692</w:t>
            </w:r>
          </w:p>
        </w:tc>
        <w:tc>
          <w:tcPr>
            <w:tcW w:w="1032" w:type="pct"/>
            <w:gridSpan w:val="2"/>
            <w:noWrap/>
          </w:tcPr>
          <w:p w14:paraId="334DBC5F" w14:textId="4DC982B0" w:rsidR="00B16EB1" w:rsidRPr="0031660E" w:rsidRDefault="00704DA3" w:rsidP="00C3735D">
            <w:pPr>
              <w:ind w:right="88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31660E">
              <w:t xml:space="preserve">  </w:t>
            </w:r>
            <w:r w:rsidR="00C3735D" w:rsidRPr="0031660E">
              <w:t xml:space="preserve">  </w:t>
            </w:r>
            <w:r w:rsidR="00B16EB1" w:rsidRPr="0031660E">
              <w:t>7,827</w:t>
            </w:r>
          </w:p>
        </w:tc>
        <w:tc>
          <w:tcPr>
            <w:tcW w:w="874" w:type="pct"/>
            <w:shd w:val="clear" w:color="auto" w:fill="auto"/>
          </w:tcPr>
          <w:p w14:paraId="48406041" w14:textId="48736E5D" w:rsidR="00B16EB1" w:rsidRPr="0031660E" w:rsidRDefault="00B16EB1" w:rsidP="00C3735D">
            <w:pPr>
              <w:ind w:right="4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31660E">
              <w:t xml:space="preserve"> 7,977 </w:t>
            </w:r>
          </w:p>
        </w:tc>
      </w:tr>
      <w:tr w:rsidR="0031660E" w:rsidRPr="0031660E" w14:paraId="576243F9" w14:textId="77777777" w:rsidTr="00704D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7" w:type="pct"/>
            <w:hideMark/>
          </w:tcPr>
          <w:p w14:paraId="2C70A29A" w14:textId="666BC315" w:rsidR="00B16EB1" w:rsidRPr="0031660E" w:rsidRDefault="00B16EB1" w:rsidP="00654389">
            <w:pPr>
              <w:rPr>
                <w:rFonts w:ascii="Calibri" w:eastAsia="Times New Roman" w:hAnsi="Calibri" w:cs="Calibri"/>
                <w:lang w:eastAsia="en-AU"/>
              </w:rPr>
            </w:pPr>
            <w:r w:rsidRPr="0031660E">
              <w:rPr>
                <w:rFonts w:ascii="Calibri" w:eastAsia="Times New Roman" w:hAnsi="Calibri" w:cs="Calibri"/>
                <w:lang w:eastAsia="en-AU"/>
              </w:rPr>
              <w:t>Balance = X - Y</w:t>
            </w:r>
          </w:p>
        </w:tc>
        <w:tc>
          <w:tcPr>
            <w:tcW w:w="873" w:type="pct"/>
            <w:noWrap/>
          </w:tcPr>
          <w:p w14:paraId="331F41D8" w14:textId="56367F19" w:rsidR="00B16EB1" w:rsidRPr="0031660E" w:rsidRDefault="00C3735D" w:rsidP="00C3735D">
            <w:pPr>
              <w:ind w:right="550"/>
              <w:cnfStyle w:val="000000100000" w:firstRow="0" w:lastRow="0" w:firstColumn="0" w:lastColumn="0" w:oddVBand="0" w:evenVBand="0" w:oddHBand="1" w:evenHBand="0" w:firstRowFirstColumn="0" w:firstRowLastColumn="0" w:lastRowFirstColumn="0" w:lastRowLastColumn="0"/>
            </w:pPr>
            <w:r w:rsidRPr="0031660E">
              <w:t xml:space="preserve"> </w:t>
            </w:r>
            <w:r w:rsidR="00B16EB1" w:rsidRPr="0031660E">
              <w:t>-2,747</w:t>
            </w:r>
          </w:p>
        </w:tc>
        <w:tc>
          <w:tcPr>
            <w:tcW w:w="794" w:type="pct"/>
            <w:noWrap/>
          </w:tcPr>
          <w:p w14:paraId="512DC905" w14:textId="505F1D80" w:rsidR="00B16EB1" w:rsidRPr="0031660E" w:rsidRDefault="00B16EB1" w:rsidP="00C3735D">
            <w:pPr>
              <w:ind w:right="4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1660E">
              <w:t>-79</w:t>
            </w:r>
          </w:p>
        </w:tc>
        <w:tc>
          <w:tcPr>
            <w:tcW w:w="1032" w:type="pct"/>
            <w:gridSpan w:val="2"/>
            <w:noWrap/>
          </w:tcPr>
          <w:p w14:paraId="64859E94" w14:textId="2216FF33" w:rsidR="00B16EB1" w:rsidRPr="0031660E" w:rsidRDefault="00704DA3" w:rsidP="00C3735D">
            <w:pPr>
              <w:ind w:right="110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1660E">
              <w:t xml:space="preserve">  </w:t>
            </w:r>
            <w:r w:rsidR="00C3735D" w:rsidRPr="0031660E">
              <w:t xml:space="preserve"> </w:t>
            </w:r>
            <w:r w:rsidR="00B16EB1" w:rsidRPr="0031660E">
              <w:t>-76</w:t>
            </w:r>
          </w:p>
        </w:tc>
        <w:tc>
          <w:tcPr>
            <w:tcW w:w="874" w:type="pct"/>
            <w:shd w:val="clear" w:color="auto" w:fill="auto"/>
          </w:tcPr>
          <w:p w14:paraId="752184D4" w14:textId="4DD07DA2" w:rsidR="00B16EB1" w:rsidRPr="0031660E" w:rsidRDefault="00B16EB1" w:rsidP="00C3735D">
            <w:pPr>
              <w:ind w:right="44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1660E">
              <w:t>-68</w:t>
            </w:r>
          </w:p>
        </w:tc>
      </w:tr>
      <w:tr w:rsidR="0031660E" w:rsidRPr="0031660E" w14:paraId="43D67ECC" w14:textId="77777777" w:rsidTr="00704DA3">
        <w:trPr>
          <w:trHeight w:val="98"/>
        </w:trPr>
        <w:tc>
          <w:tcPr>
            <w:cnfStyle w:val="001000000000" w:firstRow="0" w:lastRow="0" w:firstColumn="1" w:lastColumn="0" w:oddVBand="0" w:evenVBand="0" w:oddHBand="0" w:evenHBand="0" w:firstRowFirstColumn="0" w:firstRowLastColumn="0" w:lastRowFirstColumn="0" w:lastRowLastColumn="0"/>
            <w:tcW w:w="1427" w:type="pct"/>
            <w:hideMark/>
          </w:tcPr>
          <w:p w14:paraId="51E844AE" w14:textId="4BAE0DF7" w:rsidR="00B16EB1" w:rsidRPr="0031660E" w:rsidRDefault="00B16EB1" w:rsidP="00654389">
            <w:pPr>
              <w:rPr>
                <w:rFonts w:ascii="Calibri" w:eastAsia="Times New Roman" w:hAnsi="Calibri" w:cs="Calibri"/>
                <w:lang w:eastAsia="en-AU"/>
              </w:rPr>
            </w:pPr>
            <w:r w:rsidRPr="0031660E">
              <w:rPr>
                <w:rFonts w:ascii="Calibri" w:eastAsia="Times New Roman" w:hAnsi="Calibri" w:cs="Calibri"/>
                <w:lang w:eastAsia="en-AU"/>
              </w:rPr>
              <w:t>Cumulative Balance</w:t>
            </w:r>
          </w:p>
        </w:tc>
        <w:tc>
          <w:tcPr>
            <w:tcW w:w="873" w:type="pct"/>
            <w:noWrap/>
          </w:tcPr>
          <w:p w14:paraId="435CF3A1" w14:textId="4B249A0B" w:rsidR="00B16EB1" w:rsidRPr="0031660E" w:rsidRDefault="00C3735D" w:rsidP="00C3735D">
            <w:pPr>
              <w:ind w:right="550"/>
              <w:cnfStyle w:val="000000000000" w:firstRow="0" w:lastRow="0" w:firstColumn="0" w:lastColumn="0" w:oddVBand="0" w:evenVBand="0" w:oddHBand="0" w:evenHBand="0" w:firstRowFirstColumn="0" w:firstRowLastColumn="0" w:lastRowFirstColumn="0" w:lastRowLastColumn="0"/>
            </w:pPr>
            <w:r w:rsidRPr="0031660E">
              <w:t xml:space="preserve"> -</w:t>
            </w:r>
            <w:r w:rsidR="00B16EB1" w:rsidRPr="0031660E">
              <w:t>2,747</w:t>
            </w:r>
          </w:p>
        </w:tc>
        <w:tc>
          <w:tcPr>
            <w:tcW w:w="794" w:type="pct"/>
            <w:noWrap/>
          </w:tcPr>
          <w:p w14:paraId="5FFB467F" w14:textId="05063399" w:rsidR="00B16EB1" w:rsidRPr="0031660E" w:rsidRDefault="00B16EB1" w:rsidP="00C3735D">
            <w:pPr>
              <w:ind w:right="55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31660E">
              <w:t>-2,826</w:t>
            </w:r>
          </w:p>
        </w:tc>
        <w:tc>
          <w:tcPr>
            <w:tcW w:w="1032" w:type="pct"/>
            <w:gridSpan w:val="2"/>
            <w:noWrap/>
          </w:tcPr>
          <w:p w14:paraId="45CC5C44" w14:textId="770B78F0" w:rsidR="00B16EB1" w:rsidRPr="0031660E" w:rsidRDefault="00704DA3" w:rsidP="00C3735D">
            <w:pPr>
              <w:ind w:right="88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31660E">
              <w:t xml:space="preserve">  </w:t>
            </w:r>
            <w:r w:rsidR="00B16EB1" w:rsidRPr="0031660E">
              <w:t>-2,902</w:t>
            </w:r>
          </w:p>
        </w:tc>
        <w:tc>
          <w:tcPr>
            <w:tcW w:w="874" w:type="pct"/>
            <w:shd w:val="clear" w:color="auto" w:fill="auto"/>
          </w:tcPr>
          <w:p w14:paraId="4BFC6648" w14:textId="5DFE1CCF" w:rsidR="00B16EB1" w:rsidRPr="0031660E" w:rsidRDefault="00B16EB1" w:rsidP="00C3735D">
            <w:pPr>
              <w:ind w:right="44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31660E">
              <w:t xml:space="preserve">-2,971 </w:t>
            </w:r>
          </w:p>
        </w:tc>
      </w:tr>
      <w:tr w:rsidR="0031660E" w:rsidRPr="0031660E" w14:paraId="69F04CBA" w14:textId="77777777" w:rsidTr="00C3735D">
        <w:trPr>
          <w:cnfStyle w:val="000000100000" w:firstRow="0" w:lastRow="0" w:firstColumn="0" w:lastColumn="0" w:oddVBand="0" w:evenVBand="0" w:oddHBand="1" w:evenHBand="0" w:firstRowFirstColumn="0" w:firstRowLastColumn="0" w:lastRowFirstColumn="0" w:lastRowLastColumn="0"/>
          <w:trHeight w:val="1130"/>
        </w:trPr>
        <w:tc>
          <w:tcPr>
            <w:cnfStyle w:val="001000000000" w:firstRow="0" w:lastRow="0" w:firstColumn="1" w:lastColumn="0" w:oddVBand="0" w:evenVBand="0" w:oddHBand="0" w:evenHBand="0" w:firstRowFirstColumn="0" w:firstRowLastColumn="0" w:lastRowFirstColumn="0" w:lastRowLastColumn="0"/>
            <w:tcW w:w="1427" w:type="pct"/>
            <w:hideMark/>
          </w:tcPr>
          <w:p w14:paraId="147271D3" w14:textId="77777777" w:rsidR="00B16EB1" w:rsidRPr="0031660E" w:rsidRDefault="00B16EB1" w:rsidP="00D26DA6">
            <w:pPr>
              <w:rPr>
                <w:rFonts w:ascii="Calibri" w:eastAsia="Times New Roman" w:hAnsi="Calibri" w:cs="Calibri"/>
                <w:b w:val="0"/>
                <w:bCs w:val="0"/>
                <w:lang w:eastAsia="en-AU"/>
              </w:rPr>
            </w:pPr>
            <w:r w:rsidRPr="0031660E">
              <w:rPr>
                <w:rFonts w:ascii="Calibri" w:eastAsia="Times New Roman" w:hAnsi="Calibri" w:cs="Calibri"/>
                <w:lang w:eastAsia="en-AU"/>
              </w:rPr>
              <w:lastRenderedPageBreak/>
              <w:t xml:space="preserve">Balance Management Strategy </w:t>
            </w:r>
          </w:p>
          <w:p w14:paraId="11977CBD" w14:textId="6EFB3540" w:rsidR="00B16EB1" w:rsidRPr="0031660E" w:rsidRDefault="00B16EB1" w:rsidP="00BD5E17">
            <w:pPr>
              <w:jc w:val="center"/>
              <w:rPr>
                <w:rFonts w:ascii="Calibri" w:eastAsia="Times New Roman" w:hAnsi="Calibri" w:cs="Calibri"/>
                <w:lang w:eastAsia="en-AU"/>
              </w:rPr>
            </w:pPr>
          </w:p>
        </w:tc>
        <w:tc>
          <w:tcPr>
            <w:tcW w:w="3573" w:type="pct"/>
            <w:gridSpan w:val="5"/>
            <w:hideMark/>
          </w:tcPr>
          <w:p w14:paraId="1BEF1125" w14:textId="431DE683" w:rsidR="00B16EB1" w:rsidRPr="0031660E" w:rsidRDefault="00B16EB1" w:rsidP="00BD5E1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highlight w:val="cyan"/>
                <w:lang w:eastAsia="en-AU"/>
              </w:rPr>
            </w:pPr>
            <w:r w:rsidRPr="0031660E">
              <w:rPr>
                <w:rFonts w:ascii="Calibri" w:eastAsia="Times New Roman" w:hAnsi="Calibri" w:cs="Calibri"/>
                <w:lang w:eastAsia="en-AU"/>
              </w:rPr>
              <w:t xml:space="preserve">The forecast deficit is largely due to the decision of the Government not to charge a levy in the 2023-24 financial year. This deficit, together with the small deficits forecast for the following three years, will be funded by a </w:t>
            </w:r>
            <w:proofErr w:type="gramStart"/>
            <w:r w:rsidRPr="0031660E">
              <w:rPr>
                <w:rFonts w:ascii="Calibri" w:eastAsia="Times New Roman" w:hAnsi="Calibri" w:cs="Calibri"/>
                <w:lang w:eastAsia="en-AU"/>
              </w:rPr>
              <w:t>Government</w:t>
            </w:r>
            <w:proofErr w:type="gramEnd"/>
            <w:r w:rsidRPr="0031660E">
              <w:rPr>
                <w:rFonts w:ascii="Calibri" w:eastAsia="Times New Roman" w:hAnsi="Calibri" w:cs="Calibri"/>
                <w:lang w:eastAsia="en-AU"/>
              </w:rPr>
              <w:t xml:space="preserve"> appropriation.</w:t>
            </w:r>
          </w:p>
        </w:tc>
      </w:tr>
    </w:tbl>
    <w:bookmarkEnd w:id="3"/>
    <w:p w14:paraId="14C20079" w14:textId="77777777" w:rsidR="00AE4EB4" w:rsidRPr="0031660E" w:rsidRDefault="007D41D6" w:rsidP="00AE4EB4">
      <w:pPr>
        <w:pStyle w:val="Heading11"/>
        <w:rPr>
          <w:rFonts w:ascii="Arial" w:hAnsi="Arial" w:cs="Arial"/>
          <w:bCs/>
          <w:iCs/>
          <w:sz w:val="24"/>
        </w:rPr>
      </w:pPr>
      <w:r w:rsidRPr="0031660E">
        <w:t>PERFORMANCE</w:t>
      </w:r>
    </w:p>
    <w:p w14:paraId="061BA851" w14:textId="4B440C53" w:rsidR="007D41D6" w:rsidRPr="0031660E" w:rsidRDefault="007D41D6" w:rsidP="00067FF7">
      <w:pPr>
        <w:pStyle w:val="Heading2"/>
      </w:pPr>
      <w:r w:rsidRPr="0031660E">
        <w:t>Financial Performance</w:t>
      </w:r>
    </w:p>
    <w:p w14:paraId="56CD06F3" w14:textId="3DF5E673" w:rsidR="000D61D3" w:rsidRPr="0031660E" w:rsidRDefault="00B67037" w:rsidP="00ED3BAC">
      <w:pPr>
        <w:spacing w:after="0" w:line="240" w:lineRule="auto"/>
      </w:pPr>
      <w:r w:rsidRPr="0031660E">
        <w:t xml:space="preserve">Table </w:t>
      </w:r>
      <w:r w:rsidR="001253CC" w:rsidRPr="0031660E">
        <w:t>7</w:t>
      </w:r>
      <w:r w:rsidRPr="0031660E">
        <w:t xml:space="preserve"> report</w:t>
      </w:r>
      <w:r w:rsidR="001B53C3" w:rsidRPr="0031660E">
        <w:t>s</w:t>
      </w:r>
      <w:r w:rsidRPr="0031660E">
        <w:t xml:space="preserve"> </w:t>
      </w:r>
      <w:r w:rsidR="0031580C" w:rsidRPr="0031660E">
        <w:t>and compare</w:t>
      </w:r>
      <w:r w:rsidR="001B53C3" w:rsidRPr="0031660E">
        <w:t>s</w:t>
      </w:r>
      <w:r w:rsidR="0031580C" w:rsidRPr="0031660E">
        <w:t xml:space="preserve"> </w:t>
      </w:r>
      <w:r w:rsidRPr="0031660E">
        <w:t>the actual financial performance</w:t>
      </w:r>
      <w:r w:rsidR="000D004E" w:rsidRPr="0031660E">
        <w:t xml:space="preserve"> </w:t>
      </w:r>
      <w:r w:rsidR="0031580C" w:rsidRPr="0031660E">
        <w:t xml:space="preserve">against financial forecast </w:t>
      </w:r>
      <w:r w:rsidRPr="0031660E">
        <w:t>for each financial year</w:t>
      </w:r>
      <w:r w:rsidR="001B53C3" w:rsidRPr="0031660E">
        <w:t>, over a 5-year period</w:t>
      </w:r>
      <w:r w:rsidRPr="0031660E">
        <w:t>.</w:t>
      </w:r>
      <w:r w:rsidR="00864DB2" w:rsidRPr="0031660E">
        <w:t xml:space="preserve"> </w:t>
      </w:r>
    </w:p>
    <w:p w14:paraId="618FD96A" w14:textId="36DE901A" w:rsidR="00FB236D" w:rsidRPr="0031660E" w:rsidRDefault="00FB236D" w:rsidP="00FB236D">
      <w:pPr>
        <w:spacing w:before="120" w:after="120" w:line="240" w:lineRule="auto"/>
        <w:rPr>
          <w:rFonts w:ascii="Calibri" w:eastAsia="Times New Roman" w:hAnsi="Calibri" w:cs="Times New Roman"/>
          <w:b/>
          <w:iCs/>
          <w:sz w:val="20"/>
          <w:szCs w:val="18"/>
        </w:rPr>
      </w:pPr>
      <w:r w:rsidRPr="0031660E">
        <w:rPr>
          <w:rFonts w:ascii="Calibri" w:eastAsia="Times New Roman" w:hAnsi="Calibri" w:cs="Times New Roman"/>
          <w:b/>
          <w:iCs/>
          <w:sz w:val="20"/>
          <w:szCs w:val="18"/>
        </w:rPr>
        <w:t xml:space="preserve">Table 7. Financial performance for cost recovered </w:t>
      </w:r>
      <w:proofErr w:type="gramStart"/>
      <w:r w:rsidRPr="0031660E">
        <w:rPr>
          <w:rFonts w:ascii="Calibri" w:eastAsia="Times New Roman" w:hAnsi="Calibri" w:cs="Times New Roman"/>
          <w:b/>
          <w:iCs/>
          <w:sz w:val="20"/>
          <w:szCs w:val="18"/>
        </w:rPr>
        <w:t>activities</w:t>
      </w:r>
      <w:proofErr w:type="gramEnd"/>
    </w:p>
    <w:tbl>
      <w:tblPr>
        <w:tblW w:w="5115" w:type="pct"/>
        <w:tblInd w:w="-10" w:type="dxa"/>
        <w:tblLayout w:type="fixed"/>
        <w:tblLook w:val="04A0" w:firstRow="1" w:lastRow="0" w:firstColumn="1" w:lastColumn="0" w:noHBand="0" w:noVBand="1"/>
        <w:tblCaption w:val="Table 12: Financial performance for cost recovered activities"/>
        <w:tblDescription w:val="This table provides a comparison from the preceding financial year financial forecasts to the actual preceding financial year results, with a material variance explanation where the difference is more than 5% and the Department's balance management strategy explanation for the period."/>
      </w:tblPr>
      <w:tblGrid>
        <w:gridCol w:w="2385"/>
        <w:gridCol w:w="1459"/>
        <w:gridCol w:w="1329"/>
        <w:gridCol w:w="1327"/>
        <w:gridCol w:w="1329"/>
        <w:gridCol w:w="1384"/>
      </w:tblGrid>
      <w:tr w:rsidR="0031660E" w:rsidRPr="0031660E" w14:paraId="223D3C0F" w14:textId="77777777" w:rsidTr="00517DC5">
        <w:trPr>
          <w:trHeight w:val="440"/>
          <w:tblHeader/>
        </w:trPr>
        <w:tc>
          <w:tcPr>
            <w:tcW w:w="1295" w:type="pct"/>
            <w:vMerge w:val="restart"/>
            <w:tcBorders>
              <w:top w:val="single" w:sz="8" w:space="0" w:color="808080"/>
              <w:left w:val="single" w:sz="8" w:space="0" w:color="808080"/>
              <w:bottom w:val="single" w:sz="4" w:space="0" w:color="808080"/>
              <w:right w:val="single" w:sz="4" w:space="0" w:color="808080"/>
            </w:tcBorders>
            <w:shd w:val="clear" w:color="auto" w:fill="000000" w:themeFill="text1"/>
            <w:vAlign w:val="center"/>
            <w:hideMark/>
          </w:tcPr>
          <w:p w14:paraId="4A1F55BE" w14:textId="6C0D6925" w:rsidR="00FB236D" w:rsidRPr="0031660E" w:rsidRDefault="00FB236D" w:rsidP="00E471AB">
            <w:pPr>
              <w:rPr>
                <w:rFonts w:cstheme="minorHAnsi"/>
                <w:b/>
                <w:bCs/>
                <w:lang w:eastAsia="en-AU"/>
              </w:rPr>
            </w:pPr>
            <w:r w:rsidRPr="0031660E">
              <w:rPr>
                <w:rFonts w:cstheme="minorHAnsi"/>
                <w:b/>
                <w:bCs/>
                <w:lang w:eastAsia="en-AU"/>
              </w:rPr>
              <w:t xml:space="preserve">Actual Financial </w:t>
            </w:r>
            <w:r w:rsidR="008F0526" w:rsidRPr="0031660E">
              <w:rPr>
                <w:rFonts w:cstheme="minorHAnsi"/>
                <w:b/>
                <w:bCs/>
                <w:lang w:eastAsia="en-AU"/>
              </w:rPr>
              <w:t>Results</w:t>
            </w:r>
          </w:p>
        </w:tc>
        <w:tc>
          <w:tcPr>
            <w:tcW w:w="792" w:type="pct"/>
            <w:tcBorders>
              <w:top w:val="single" w:sz="8" w:space="0" w:color="808080"/>
              <w:left w:val="nil"/>
              <w:right w:val="single" w:sz="4" w:space="0" w:color="A5A5A5" w:themeColor="accent3"/>
            </w:tcBorders>
            <w:shd w:val="clear" w:color="auto" w:fill="000000" w:themeFill="text1"/>
            <w:vAlign w:val="center"/>
          </w:tcPr>
          <w:p w14:paraId="2F292EB2" w14:textId="55B70ECA" w:rsidR="00FB236D" w:rsidRPr="0031660E" w:rsidRDefault="00FB236D" w:rsidP="00E471AB">
            <w:pPr>
              <w:jc w:val="center"/>
              <w:rPr>
                <w:rFonts w:cstheme="minorHAnsi"/>
                <w:lang w:eastAsia="en-AU"/>
              </w:rPr>
            </w:pPr>
            <w:r w:rsidRPr="0031660E">
              <w:rPr>
                <w:rFonts w:cstheme="minorHAnsi"/>
                <w:b/>
                <w:bCs/>
                <w:lang w:eastAsia="en-AU"/>
              </w:rPr>
              <w:t>2018–19</w:t>
            </w:r>
          </w:p>
        </w:tc>
        <w:tc>
          <w:tcPr>
            <w:tcW w:w="721" w:type="pct"/>
            <w:tcBorders>
              <w:top w:val="single" w:sz="8" w:space="0" w:color="808080"/>
              <w:left w:val="nil"/>
              <w:bottom w:val="nil"/>
              <w:right w:val="single" w:sz="8" w:space="0" w:color="808080"/>
            </w:tcBorders>
            <w:shd w:val="clear" w:color="auto" w:fill="000000" w:themeFill="text1"/>
            <w:vAlign w:val="center"/>
          </w:tcPr>
          <w:p w14:paraId="59F11FE1" w14:textId="3E26601A" w:rsidR="00FB236D" w:rsidRPr="0031660E" w:rsidRDefault="00FB236D" w:rsidP="00E471AB">
            <w:pPr>
              <w:jc w:val="center"/>
              <w:rPr>
                <w:rFonts w:cstheme="minorHAnsi"/>
                <w:b/>
                <w:bCs/>
                <w:lang w:eastAsia="en-AU"/>
              </w:rPr>
            </w:pPr>
            <w:r w:rsidRPr="0031660E">
              <w:rPr>
                <w:rFonts w:cstheme="minorHAnsi"/>
                <w:b/>
                <w:bCs/>
                <w:lang w:eastAsia="en-AU"/>
              </w:rPr>
              <w:t>2019–20</w:t>
            </w:r>
          </w:p>
        </w:tc>
        <w:tc>
          <w:tcPr>
            <w:tcW w:w="720" w:type="pct"/>
            <w:tcBorders>
              <w:top w:val="single" w:sz="8" w:space="0" w:color="808080"/>
              <w:left w:val="single" w:sz="8" w:space="0" w:color="808080"/>
              <w:bottom w:val="nil"/>
              <w:right w:val="single" w:sz="4" w:space="0" w:color="808080"/>
            </w:tcBorders>
            <w:shd w:val="clear" w:color="auto" w:fill="000000" w:themeFill="text1"/>
            <w:vAlign w:val="center"/>
            <w:hideMark/>
          </w:tcPr>
          <w:p w14:paraId="1260E3F1" w14:textId="15E1AE93" w:rsidR="00FB236D" w:rsidRPr="0031660E" w:rsidRDefault="00FB236D" w:rsidP="00E471AB">
            <w:pPr>
              <w:jc w:val="center"/>
              <w:rPr>
                <w:rFonts w:cstheme="minorHAnsi"/>
                <w:b/>
                <w:bCs/>
                <w:lang w:eastAsia="en-AU"/>
              </w:rPr>
            </w:pPr>
            <w:r w:rsidRPr="0031660E">
              <w:rPr>
                <w:rFonts w:cstheme="minorHAnsi"/>
                <w:b/>
                <w:bCs/>
                <w:lang w:eastAsia="en-AU"/>
              </w:rPr>
              <w:t>2020–21</w:t>
            </w:r>
          </w:p>
        </w:tc>
        <w:tc>
          <w:tcPr>
            <w:tcW w:w="721" w:type="pct"/>
            <w:tcBorders>
              <w:top w:val="single" w:sz="8" w:space="0" w:color="808080"/>
              <w:left w:val="nil"/>
              <w:bottom w:val="nil"/>
              <w:right w:val="single" w:sz="4" w:space="0" w:color="808080"/>
            </w:tcBorders>
            <w:shd w:val="clear" w:color="auto" w:fill="000000" w:themeFill="text1"/>
            <w:vAlign w:val="center"/>
            <w:hideMark/>
          </w:tcPr>
          <w:p w14:paraId="2A1548ED" w14:textId="14F4A8E1" w:rsidR="00FB236D" w:rsidRPr="0031660E" w:rsidRDefault="00FB236D" w:rsidP="00E471AB">
            <w:pPr>
              <w:jc w:val="center"/>
              <w:rPr>
                <w:rFonts w:cstheme="minorHAnsi"/>
                <w:b/>
                <w:bCs/>
                <w:lang w:eastAsia="en-AU"/>
              </w:rPr>
            </w:pPr>
            <w:r w:rsidRPr="0031660E">
              <w:rPr>
                <w:rFonts w:cstheme="minorHAnsi"/>
                <w:b/>
                <w:bCs/>
                <w:lang w:eastAsia="en-AU"/>
              </w:rPr>
              <w:t>2021–22</w:t>
            </w:r>
          </w:p>
        </w:tc>
        <w:tc>
          <w:tcPr>
            <w:tcW w:w="750" w:type="pct"/>
            <w:tcBorders>
              <w:top w:val="single" w:sz="8" w:space="0" w:color="808080"/>
              <w:left w:val="nil"/>
              <w:bottom w:val="nil"/>
              <w:right w:val="single" w:sz="8" w:space="0" w:color="808080"/>
            </w:tcBorders>
            <w:shd w:val="clear" w:color="auto" w:fill="000000" w:themeFill="text1"/>
            <w:vAlign w:val="center"/>
          </w:tcPr>
          <w:p w14:paraId="0D9B84AB" w14:textId="07759906" w:rsidR="00FB236D" w:rsidRPr="0031660E" w:rsidRDefault="00FB236D" w:rsidP="00E471AB">
            <w:pPr>
              <w:jc w:val="center"/>
              <w:rPr>
                <w:rFonts w:cstheme="minorHAnsi"/>
                <w:b/>
                <w:bCs/>
                <w:lang w:eastAsia="en-AU"/>
              </w:rPr>
            </w:pPr>
            <w:r w:rsidRPr="0031660E">
              <w:rPr>
                <w:rFonts w:cstheme="minorHAnsi"/>
                <w:b/>
                <w:bCs/>
                <w:lang w:eastAsia="en-AU"/>
              </w:rPr>
              <w:t>2022-23</w:t>
            </w:r>
          </w:p>
        </w:tc>
      </w:tr>
      <w:tr w:rsidR="0031660E" w:rsidRPr="0031660E" w14:paraId="38213DCD" w14:textId="77777777" w:rsidTr="00517DC5">
        <w:trPr>
          <w:trHeight w:val="364"/>
        </w:trPr>
        <w:tc>
          <w:tcPr>
            <w:tcW w:w="1295" w:type="pct"/>
            <w:vMerge/>
            <w:tcBorders>
              <w:top w:val="single" w:sz="8" w:space="0" w:color="808080"/>
              <w:left w:val="single" w:sz="8" w:space="0" w:color="808080"/>
              <w:bottom w:val="single" w:sz="4" w:space="0" w:color="808080"/>
              <w:right w:val="single" w:sz="4" w:space="0" w:color="808080"/>
            </w:tcBorders>
            <w:shd w:val="clear" w:color="auto" w:fill="000000" w:themeFill="text1"/>
            <w:vAlign w:val="center"/>
            <w:hideMark/>
          </w:tcPr>
          <w:p w14:paraId="2235DE2C" w14:textId="77777777" w:rsidR="00FB236D" w:rsidRPr="0031660E" w:rsidRDefault="00FB236D" w:rsidP="00E471AB">
            <w:pPr>
              <w:rPr>
                <w:rFonts w:cstheme="minorHAnsi"/>
                <w:b/>
                <w:bCs/>
                <w:lang w:eastAsia="en-AU"/>
              </w:rPr>
            </w:pPr>
          </w:p>
        </w:tc>
        <w:tc>
          <w:tcPr>
            <w:tcW w:w="792" w:type="pct"/>
            <w:tcBorders>
              <w:top w:val="nil"/>
              <w:left w:val="nil"/>
              <w:bottom w:val="single" w:sz="4" w:space="0" w:color="808080"/>
              <w:right w:val="single" w:sz="4" w:space="0" w:color="A5A5A5" w:themeColor="accent3"/>
            </w:tcBorders>
            <w:shd w:val="clear" w:color="auto" w:fill="000000" w:themeFill="text1"/>
            <w:vAlign w:val="center"/>
          </w:tcPr>
          <w:p w14:paraId="079905D8" w14:textId="46DC4130" w:rsidR="00FB236D" w:rsidRPr="0031660E" w:rsidRDefault="00517DC5" w:rsidP="00E471AB">
            <w:pPr>
              <w:jc w:val="center"/>
              <w:rPr>
                <w:rFonts w:cstheme="minorHAnsi"/>
                <w:lang w:eastAsia="en-AU"/>
              </w:rPr>
            </w:pPr>
            <w:r w:rsidRPr="0031660E">
              <w:rPr>
                <w:rFonts w:cstheme="minorHAnsi"/>
                <w:lang w:eastAsia="en-AU"/>
              </w:rPr>
              <w:t>$</w:t>
            </w:r>
            <w:r w:rsidR="00AF6A95" w:rsidRPr="0031660E">
              <w:rPr>
                <w:rFonts w:cstheme="minorHAnsi"/>
                <w:lang w:eastAsia="en-AU"/>
              </w:rPr>
              <w:t>’000</w:t>
            </w:r>
          </w:p>
        </w:tc>
        <w:tc>
          <w:tcPr>
            <w:tcW w:w="721" w:type="pct"/>
            <w:tcBorders>
              <w:top w:val="nil"/>
              <w:left w:val="nil"/>
              <w:bottom w:val="single" w:sz="4" w:space="0" w:color="808080"/>
              <w:right w:val="single" w:sz="8" w:space="0" w:color="808080"/>
            </w:tcBorders>
            <w:shd w:val="clear" w:color="auto" w:fill="000000" w:themeFill="text1"/>
            <w:vAlign w:val="center"/>
          </w:tcPr>
          <w:p w14:paraId="1481EA5E" w14:textId="51771D51" w:rsidR="00FB236D" w:rsidRPr="0031660E" w:rsidRDefault="00517DC5" w:rsidP="00E471AB">
            <w:pPr>
              <w:jc w:val="center"/>
              <w:rPr>
                <w:rFonts w:cstheme="minorHAnsi"/>
                <w:lang w:eastAsia="en-AU"/>
              </w:rPr>
            </w:pPr>
            <w:r w:rsidRPr="0031660E">
              <w:rPr>
                <w:rFonts w:cstheme="minorHAnsi"/>
                <w:lang w:eastAsia="en-AU"/>
              </w:rPr>
              <w:t>$</w:t>
            </w:r>
            <w:r w:rsidR="00AF6A95" w:rsidRPr="0031660E">
              <w:rPr>
                <w:rFonts w:cstheme="minorHAnsi"/>
                <w:lang w:eastAsia="en-AU"/>
              </w:rPr>
              <w:t>’000</w:t>
            </w:r>
          </w:p>
        </w:tc>
        <w:tc>
          <w:tcPr>
            <w:tcW w:w="720" w:type="pct"/>
            <w:tcBorders>
              <w:top w:val="nil"/>
              <w:left w:val="single" w:sz="8" w:space="0" w:color="808080"/>
              <w:bottom w:val="single" w:sz="4" w:space="0" w:color="808080"/>
              <w:right w:val="single" w:sz="4" w:space="0" w:color="808080"/>
            </w:tcBorders>
            <w:shd w:val="clear" w:color="auto" w:fill="000000" w:themeFill="text1"/>
            <w:vAlign w:val="center"/>
            <w:hideMark/>
          </w:tcPr>
          <w:p w14:paraId="5708C2C8" w14:textId="359385B9" w:rsidR="00FB236D" w:rsidRPr="0031660E" w:rsidRDefault="00517DC5" w:rsidP="00E471AB">
            <w:pPr>
              <w:jc w:val="center"/>
              <w:rPr>
                <w:rFonts w:cstheme="minorHAnsi"/>
                <w:lang w:eastAsia="en-AU"/>
              </w:rPr>
            </w:pPr>
            <w:r w:rsidRPr="0031660E">
              <w:rPr>
                <w:rFonts w:cstheme="minorHAnsi"/>
                <w:lang w:eastAsia="en-AU"/>
              </w:rPr>
              <w:t>$</w:t>
            </w:r>
            <w:r w:rsidR="00AF6A95" w:rsidRPr="0031660E">
              <w:rPr>
                <w:rFonts w:cstheme="minorHAnsi"/>
                <w:lang w:eastAsia="en-AU"/>
              </w:rPr>
              <w:t>’000</w:t>
            </w:r>
          </w:p>
        </w:tc>
        <w:tc>
          <w:tcPr>
            <w:tcW w:w="721" w:type="pct"/>
            <w:tcBorders>
              <w:top w:val="nil"/>
              <w:left w:val="nil"/>
              <w:bottom w:val="single" w:sz="4" w:space="0" w:color="808080"/>
              <w:right w:val="single" w:sz="4" w:space="0" w:color="808080"/>
            </w:tcBorders>
            <w:shd w:val="clear" w:color="auto" w:fill="000000" w:themeFill="text1"/>
            <w:vAlign w:val="center"/>
            <w:hideMark/>
          </w:tcPr>
          <w:p w14:paraId="06255A10" w14:textId="3723251B" w:rsidR="00FB236D" w:rsidRPr="0031660E" w:rsidRDefault="00517DC5" w:rsidP="00E471AB">
            <w:pPr>
              <w:jc w:val="center"/>
              <w:rPr>
                <w:rFonts w:cstheme="minorHAnsi"/>
                <w:lang w:eastAsia="en-AU"/>
              </w:rPr>
            </w:pPr>
            <w:r w:rsidRPr="0031660E">
              <w:rPr>
                <w:rFonts w:cstheme="minorHAnsi"/>
                <w:lang w:eastAsia="en-AU"/>
              </w:rPr>
              <w:t>$</w:t>
            </w:r>
            <w:r w:rsidR="00AF6A95" w:rsidRPr="0031660E">
              <w:rPr>
                <w:rFonts w:cstheme="minorHAnsi"/>
                <w:lang w:eastAsia="en-AU"/>
              </w:rPr>
              <w:t>’000</w:t>
            </w:r>
          </w:p>
        </w:tc>
        <w:tc>
          <w:tcPr>
            <w:tcW w:w="750" w:type="pct"/>
            <w:tcBorders>
              <w:top w:val="nil"/>
              <w:left w:val="nil"/>
              <w:bottom w:val="single" w:sz="4" w:space="0" w:color="808080"/>
              <w:right w:val="single" w:sz="8" w:space="0" w:color="808080"/>
            </w:tcBorders>
            <w:shd w:val="clear" w:color="auto" w:fill="000000" w:themeFill="text1"/>
            <w:vAlign w:val="center"/>
          </w:tcPr>
          <w:p w14:paraId="61FCBE66" w14:textId="525DCCA7" w:rsidR="00FB236D" w:rsidRPr="0031660E" w:rsidRDefault="00517DC5" w:rsidP="00E471AB">
            <w:pPr>
              <w:jc w:val="center"/>
              <w:rPr>
                <w:rFonts w:cstheme="minorHAnsi"/>
                <w:lang w:eastAsia="en-AU"/>
              </w:rPr>
            </w:pPr>
            <w:r w:rsidRPr="0031660E">
              <w:rPr>
                <w:rFonts w:cstheme="minorHAnsi"/>
                <w:lang w:eastAsia="en-AU"/>
              </w:rPr>
              <w:t>$</w:t>
            </w:r>
            <w:r w:rsidR="00AF6A95" w:rsidRPr="0031660E">
              <w:rPr>
                <w:rFonts w:cstheme="minorHAnsi"/>
                <w:lang w:eastAsia="en-AU"/>
              </w:rPr>
              <w:t>’000</w:t>
            </w:r>
          </w:p>
        </w:tc>
      </w:tr>
      <w:tr w:rsidR="0031660E" w:rsidRPr="0031660E" w14:paraId="1DDCA8BD" w14:textId="77777777" w:rsidTr="00517DC5">
        <w:trPr>
          <w:trHeight w:val="490"/>
        </w:trPr>
        <w:tc>
          <w:tcPr>
            <w:tcW w:w="1295" w:type="pct"/>
            <w:tcBorders>
              <w:top w:val="nil"/>
              <w:left w:val="single" w:sz="8" w:space="0" w:color="808080"/>
              <w:bottom w:val="single" w:sz="4" w:space="0" w:color="808080"/>
              <w:right w:val="single" w:sz="4" w:space="0" w:color="808080"/>
            </w:tcBorders>
            <w:shd w:val="clear" w:color="auto" w:fill="auto"/>
            <w:vAlign w:val="center"/>
            <w:hideMark/>
          </w:tcPr>
          <w:p w14:paraId="6E4CA6C7" w14:textId="42ED64B7" w:rsidR="00FB236D" w:rsidRPr="0031660E" w:rsidRDefault="00FB236D" w:rsidP="00E471AB">
            <w:pPr>
              <w:rPr>
                <w:rFonts w:cstheme="minorHAnsi"/>
                <w:lang w:eastAsia="en-AU"/>
              </w:rPr>
            </w:pPr>
            <w:r w:rsidRPr="0031660E">
              <w:rPr>
                <w:rFonts w:cstheme="minorHAnsi"/>
                <w:lang w:eastAsia="en-AU"/>
              </w:rPr>
              <w:t>Combined Expenses = X</w:t>
            </w:r>
          </w:p>
        </w:tc>
        <w:tc>
          <w:tcPr>
            <w:tcW w:w="792" w:type="pct"/>
            <w:tcBorders>
              <w:top w:val="single" w:sz="4" w:space="0" w:color="808080"/>
              <w:left w:val="nil"/>
              <w:bottom w:val="single" w:sz="4" w:space="0" w:color="808080"/>
              <w:right w:val="single" w:sz="4" w:space="0" w:color="A5A5A5" w:themeColor="accent3"/>
            </w:tcBorders>
            <w:vAlign w:val="center"/>
          </w:tcPr>
          <w:p w14:paraId="0DA7212C" w14:textId="0ABD97CC" w:rsidR="00FB236D" w:rsidRPr="0031660E" w:rsidRDefault="00FB236D" w:rsidP="00E471AB">
            <w:pPr>
              <w:jc w:val="center"/>
              <w:rPr>
                <w:rFonts w:cstheme="minorHAnsi"/>
                <w:lang w:eastAsia="en-AU"/>
              </w:rPr>
            </w:pPr>
            <w:r w:rsidRPr="0031660E">
              <w:rPr>
                <w:rFonts w:cstheme="minorHAnsi"/>
                <w:lang w:eastAsia="en-AU"/>
              </w:rPr>
              <w:t>3,840</w:t>
            </w:r>
          </w:p>
        </w:tc>
        <w:tc>
          <w:tcPr>
            <w:tcW w:w="721" w:type="pct"/>
            <w:tcBorders>
              <w:top w:val="nil"/>
              <w:left w:val="nil"/>
              <w:bottom w:val="single" w:sz="4" w:space="0" w:color="808080"/>
              <w:right w:val="single" w:sz="8" w:space="0" w:color="808080"/>
            </w:tcBorders>
            <w:vAlign w:val="center"/>
          </w:tcPr>
          <w:p w14:paraId="5FB058A5" w14:textId="6A23143C" w:rsidR="00FB236D" w:rsidRPr="0031660E" w:rsidRDefault="00517DC5" w:rsidP="00E471AB">
            <w:pPr>
              <w:jc w:val="center"/>
              <w:rPr>
                <w:rFonts w:cstheme="minorHAnsi"/>
                <w:lang w:eastAsia="en-AU"/>
              </w:rPr>
            </w:pPr>
            <w:r w:rsidRPr="0031660E">
              <w:rPr>
                <w:rFonts w:ascii="Calibri" w:hAnsi="Calibri" w:cs="Calibri"/>
              </w:rPr>
              <w:t>5,01</w:t>
            </w:r>
            <w:r w:rsidR="00AF6A95" w:rsidRPr="0031660E">
              <w:rPr>
                <w:rFonts w:ascii="Calibri" w:hAnsi="Calibri" w:cs="Calibri"/>
              </w:rPr>
              <w:t>9</w:t>
            </w:r>
          </w:p>
        </w:tc>
        <w:tc>
          <w:tcPr>
            <w:tcW w:w="720" w:type="pct"/>
            <w:tcBorders>
              <w:top w:val="nil"/>
              <w:left w:val="single" w:sz="8" w:space="0" w:color="808080"/>
              <w:bottom w:val="single" w:sz="4" w:space="0" w:color="808080"/>
              <w:right w:val="single" w:sz="4" w:space="0" w:color="808080"/>
            </w:tcBorders>
            <w:shd w:val="clear" w:color="auto" w:fill="auto"/>
            <w:vAlign w:val="center"/>
          </w:tcPr>
          <w:p w14:paraId="0B458C9C" w14:textId="24923496" w:rsidR="00FB236D" w:rsidRPr="0031660E" w:rsidRDefault="00517DC5" w:rsidP="00E471AB">
            <w:pPr>
              <w:jc w:val="center"/>
              <w:rPr>
                <w:rFonts w:cstheme="minorHAnsi"/>
                <w:lang w:eastAsia="en-AU"/>
              </w:rPr>
            </w:pPr>
            <w:r w:rsidRPr="0031660E">
              <w:rPr>
                <w:rFonts w:cstheme="minorHAnsi"/>
                <w:lang w:eastAsia="en-AU"/>
              </w:rPr>
              <w:t>4,529</w:t>
            </w:r>
          </w:p>
        </w:tc>
        <w:tc>
          <w:tcPr>
            <w:tcW w:w="721" w:type="pct"/>
            <w:tcBorders>
              <w:top w:val="nil"/>
              <w:left w:val="nil"/>
              <w:bottom w:val="single" w:sz="4" w:space="0" w:color="808080"/>
              <w:right w:val="single" w:sz="4" w:space="0" w:color="808080"/>
            </w:tcBorders>
            <w:shd w:val="clear" w:color="auto" w:fill="auto"/>
            <w:vAlign w:val="center"/>
            <w:hideMark/>
          </w:tcPr>
          <w:p w14:paraId="062FE7E9" w14:textId="6259315C" w:rsidR="00FB236D" w:rsidRPr="0031660E" w:rsidRDefault="00517DC5" w:rsidP="00301A58">
            <w:pPr>
              <w:jc w:val="center"/>
              <w:rPr>
                <w:rFonts w:cstheme="minorHAnsi"/>
                <w:lang w:eastAsia="en-AU"/>
              </w:rPr>
            </w:pPr>
            <w:r w:rsidRPr="0031660E">
              <w:rPr>
                <w:rFonts w:cstheme="minorHAnsi"/>
                <w:lang w:eastAsia="en-AU"/>
              </w:rPr>
              <w:t>4,639</w:t>
            </w:r>
          </w:p>
        </w:tc>
        <w:tc>
          <w:tcPr>
            <w:tcW w:w="750" w:type="pct"/>
            <w:tcBorders>
              <w:top w:val="single" w:sz="4" w:space="0" w:color="808080"/>
              <w:left w:val="nil"/>
              <w:bottom w:val="single" w:sz="4" w:space="0" w:color="808080"/>
              <w:right w:val="single" w:sz="8" w:space="0" w:color="808080"/>
            </w:tcBorders>
            <w:shd w:val="clear" w:color="auto" w:fill="auto"/>
            <w:vAlign w:val="center"/>
            <w:hideMark/>
          </w:tcPr>
          <w:p w14:paraId="76E081B3" w14:textId="52508DE7" w:rsidR="00FB236D" w:rsidRPr="0031660E" w:rsidRDefault="00517DC5" w:rsidP="00301A58">
            <w:pPr>
              <w:jc w:val="center"/>
              <w:rPr>
                <w:rFonts w:cstheme="minorHAnsi"/>
                <w:lang w:eastAsia="en-AU"/>
              </w:rPr>
            </w:pPr>
            <w:r w:rsidRPr="0031660E">
              <w:rPr>
                <w:rFonts w:cstheme="minorHAnsi"/>
                <w:lang w:eastAsia="en-AU"/>
              </w:rPr>
              <w:t>4,613</w:t>
            </w:r>
          </w:p>
        </w:tc>
      </w:tr>
      <w:tr w:rsidR="0031660E" w:rsidRPr="0031660E" w14:paraId="20E20B18" w14:textId="77777777" w:rsidTr="00517DC5">
        <w:trPr>
          <w:trHeight w:val="490"/>
        </w:trPr>
        <w:tc>
          <w:tcPr>
            <w:tcW w:w="1295" w:type="pct"/>
            <w:tcBorders>
              <w:top w:val="nil"/>
              <w:left w:val="single" w:sz="8" w:space="0" w:color="808080"/>
              <w:bottom w:val="single" w:sz="4" w:space="0" w:color="808080"/>
              <w:right w:val="single" w:sz="4" w:space="0" w:color="808080"/>
            </w:tcBorders>
            <w:shd w:val="clear" w:color="auto" w:fill="auto"/>
            <w:vAlign w:val="center"/>
            <w:hideMark/>
          </w:tcPr>
          <w:p w14:paraId="3542261D" w14:textId="16109F6A" w:rsidR="00FB236D" w:rsidRPr="0031660E" w:rsidRDefault="00FB236D" w:rsidP="00E471AB">
            <w:pPr>
              <w:rPr>
                <w:rFonts w:cstheme="minorHAnsi"/>
                <w:lang w:eastAsia="en-AU"/>
              </w:rPr>
            </w:pPr>
            <w:r w:rsidRPr="0031660E">
              <w:rPr>
                <w:rFonts w:cstheme="minorHAnsi"/>
                <w:lang w:eastAsia="en-AU"/>
              </w:rPr>
              <w:t>Combined Revenue = Y</w:t>
            </w:r>
          </w:p>
        </w:tc>
        <w:tc>
          <w:tcPr>
            <w:tcW w:w="792" w:type="pct"/>
            <w:tcBorders>
              <w:top w:val="single" w:sz="4" w:space="0" w:color="808080"/>
              <w:left w:val="nil"/>
              <w:bottom w:val="single" w:sz="4" w:space="0" w:color="808080"/>
              <w:right w:val="single" w:sz="4" w:space="0" w:color="A5A5A5" w:themeColor="accent3"/>
            </w:tcBorders>
            <w:vAlign w:val="center"/>
          </w:tcPr>
          <w:p w14:paraId="45BCFD01" w14:textId="757017AC" w:rsidR="00FB236D" w:rsidRPr="0031660E" w:rsidRDefault="00FB236D" w:rsidP="00E471AB">
            <w:pPr>
              <w:jc w:val="center"/>
              <w:rPr>
                <w:rFonts w:cstheme="minorHAnsi"/>
                <w:lang w:eastAsia="en-AU"/>
              </w:rPr>
            </w:pPr>
            <w:r w:rsidRPr="0031660E">
              <w:rPr>
                <w:rFonts w:cstheme="minorHAnsi"/>
                <w:lang w:eastAsia="en-AU"/>
              </w:rPr>
              <w:t>4,72</w:t>
            </w:r>
            <w:r w:rsidR="00F23EAE" w:rsidRPr="0031660E">
              <w:rPr>
                <w:rFonts w:cstheme="minorHAnsi"/>
                <w:lang w:eastAsia="en-AU"/>
              </w:rPr>
              <w:t>2</w:t>
            </w:r>
          </w:p>
        </w:tc>
        <w:tc>
          <w:tcPr>
            <w:tcW w:w="721" w:type="pct"/>
            <w:tcBorders>
              <w:top w:val="nil"/>
              <w:left w:val="nil"/>
              <w:bottom w:val="single" w:sz="4" w:space="0" w:color="808080"/>
              <w:right w:val="single" w:sz="8" w:space="0" w:color="808080"/>
            </w:tcBorders>
            <w:vAlign w:val="center"/>
          </w:tcPr>
          <w:p w14:paraId="7E42DA5D" w14:textId="61801C4F" w:rsidR="00FB236D" w:rsidRPr="0031660E" w:rsidRDefault="00517DC5" w:rsidP="00E471AB">
            <w:pPr>
              <w:jc w:val="center"/>
              <w:rPr>
                <w:rFonts w:cstheme="minorHAnsi"/>
                <w:lang w:eastAsia="en-AU"/>
              </w:rPr>
            </w:pPr>
            <w:r w:rsidRPr="0031660E">
              <w:rPr>
                <w:rFonts w:ascii="Calibri" w:hAnsi="Calibri" w:cs="Calibri"/>
              </w:rPr>
              <w:t>4,791</w:t>
            </w:r>
          </w:p>
        </w:tc>
        <w:tc>
          <w:tcPr>
            <w:tcW w:w="720" w:type="pct"/>
            <w:tcBorders>
              <w:top w:val="nil"/>
              <w:left w:val="single" w:sz="8" w:space="0" w:color="808080"/>
              <w:bottom w:val="single" w:sz="4" w:space="0" w:color="808080"/>
              <w:right w:val="single" w:sz="4" w:space="0" w:color="808080"/>
            </w:tcBorders>
            <w:shd w:val="clear" w:color="auto" w:fill="auto"/>
            <w:vAlign w:val="center"/>
          </w:tcPr>
          <w:p w14:paraId="65C01B2B" w14:textId="3B7CF91E" w:rsidR="00FB236D" w:rsidRPr="0031660E" w:rsidRDefault="00517DC5" w:rsidP="00E471AB">
            <w:pPr>
              <w:jc w:val="center"/>
              <w:rPr>
                <w:rFonts w:cstheme="minorHAnsi"/>
                <w:lang w:eastAsia="en-AU"/>
              </w:rPr>
            </w:pPr>
            <w:r w:rsidRPr="0031660E">
              <w:rPr>
                <w:rFonts w:cstheme="minorHAnsi"/>
                <w:lang w:eastAsia="en-AU"/>
              </w:rPr>
              <w:t>4,736</w:t>
            </w:r>
          </w:p>
        </w:tc>
        <w:tc>
          <w:tcPr>
            <w:tcW w:w="721" w:type="pct"/>
            <w:tcBorders>
              <w:top w:val="nil"/>
              <w:left w:val="nil"/>
              <w:bottom w:val="single" w:sz="4" w:space="0" w:color="808080"/>
              <w:right w:val="single" w:sz="4" w:space="0" w:color="808080"/>
            </w:tcBorders>
            <w:shd w:val="clear" w:color="auto" w:fill="auto"/>
            <w:vAlign w:val="center"/>
            <w:hideMark/>
          </w:tcPr>
          <w:p w14:paraId="15DF245B" w14:textId="12C78B3D" w:rsidR="00FB236D" w:rsidRPr="0031660E" w:rsidRDefault="00517DC5" w:rsidP="00301A58">
            <w:pPr>
              <w:jc w:val="center"/>
              <w:rPr>
                <w:rFonts w:cstheme="minorHAnsi"/>
                <w:lang w:eastAsia="en-AU"/>
              </w:rPr>
            </w:pPr>
            <w:r w:rsidRPr="0031660E">
              <w:rPr>
                <w:rFonts w:cstheme="minorHAnsi"/>
                <w:lang w:eastAsia="en-AU"/>
              </w:rPr>
              <w:t>4,</w:t>
            </w:r>
            <w:r w:rsidR="00F23EAE" w:rsidRPr="0031660E">
              <w:rPr>
                <w:rFonts w:cstheme="minorHAnsi"/>
                <w:lang w:eastAsia="en-AU"/>
              </w:rPr>
              <w:t>600</w:t>
            </w:r>
          </w:p>
        </w:tc>
        <w:tc>
          <w:tcPr>
            <w:tcW w:w="750" w:type="pct"/>
            <w:tcBorders>
              <w:top w:val="single" w:sz="4" w:space="0" w:color="808080"/>
              <w:left w:val="nil"/>
              <w:bottom w:val="single" w:sz="4" w:space="0" w:color="808080"/>
              <w:right w:val="single" w:sz="8" w:space="0" w:color="808080"/>
            </w:tcBorders>
            <w:shd w:val="clear" w:color="auto" w:fill="auto"/>
            <w:vAlign w:val="center"/>
            <w:hideMark/>
          </w:tcPr>
          <w:p w14:paraId="2C826178" w14:textId="7760C73B" w:rsidR="00FB236D" w:rsidRPr="0031660E" w:rsidRDefault="00517DC5" w:rsidP="00301A58">
            <w:pPr>
              <w:jc w:val="center"/>
              <w:rPr>
                <w:rFonts w:cstheme="minorHAnsi"/>
                <w:lang w:eastAsia="en-AU"/>
              </w:rPr>
            </w:pPr>
            <w:r w:rsidRPr="0031660E">
              <w:rPr>
                <w:rFonts w:cstheme="minorHAnsi"/>
                <w:lang w:eastAsia="en-AU"/>
              </w:rPr>
              <w:t>4,58</w:t>
            </w:r>
            <w:r w:rsidR="00F23EAE" w:rsidRPr="0031660E">
              <w:rPr>
                <w:rFonts w:cstheme="minorHAnsi"/>
                <w:lang w:eastAsia="en-AU"/>
              </w:rPr>
              <w:t>3</w:t>
            </w:r>
          </w:p>
        </w:tc>
      </w:tr>
      <w:tr w:rsidR="0031660E" w:rsidRPr="0031660E" w14:paraId="12ABBF0D" w14:textId="77777777" w:rsidTr="00517DC5">
        <w:trPr>
          <w:trHeight w:val="734"/>
        </w:trPr>
        <w:tc>
          <w:tcPr>
            <w:tcW w:w="1295" w:type="pct"/>
            <w:tcBorders>
              <w:top w:val="nil"/>
              <w:left w:val="single" w:sz="8" w:space="0" w:color="808080"/>
              <w:bottom w:val="single" w:sz="4" w:space="0" w:color="808080"/>
              <w:right w:val="single" w:sz="4" w:space="0" w:color="808080"/>
            </w:tcBorders>
            <w:shd w:val="clear" w:color="auto" w:fill="auto"/>
            <w:vAlign w:val="center"/>
            <w:hideMark/>
          </w:tcPr>
          <w:p w14:paraId="1AD04AAC" w14:textId="6F5A9944" w:rsidR="00FB236D" w:rsidRPr="0031660E" w:rsidRDefault="00FB236D" w:rsidP="00FB236D">
            <w:pPr>
              <w:rPr>
                <w:rFonts w:ascii="Calibri" w:hAnsi="Calibri" w:cs="Calibri"/>
              </w:rPr>
            </w:pPr>
            <w:r w:rsidRPr="0031660E">
              <w:rPr>
                <w:rFonts w:ascii="Calibri" w:hAnsi="Calibri" w:cs="Calibri"/>
              </w:rPr>
              <w:t>Balance = X - Y</w:t>
            </w:r>
            <w:r w:rsidRPr="0031660E">
              <w:rPr>
                <w:rFonts w:cstheme="minorHAnsi"/>
                <w:lang w:val="es-ES" w:eastAsia="en-AU"/>
              </w:rPr>
              <w:tab/>
            </w:r>
          </w:p>
        </w:tc>
        <w:tc>
          <w:tcPr>
            <w:tcW w:w="792" w:type="pct"/>
            <w:tcBorders>
              <w:top w:val="single" w:sz="4" w:space="0" w:color="808080"/>
              <w:left w:val="nil"/>
              <w:bottom w:val="single" w:sz="4" w:space="0" w:color="808080"/>
              <w:right w:val="single" w:sz="4" w:space="0" w:color="A5A5A5" w:themeColor="accent3"/>
            </w:tcBorders>
            <w:vAlign w:val="center"/>
          </w:tcPr>
          <w:p w14:paraId="43CD6FBE" w14:textId="68491060" w:rsidR="00FB236D" w:rsidRPr="0031660E" w:rsidRDefault="00517DC5" w:rsidP="00E471AB">
            <w:pPr>
              <w:jc w:val="center"/>
              <w:rPr>
                <w:rFonts w:cstheme="minorHAnsi"/>
                <w:lang w:eastAsia="en-AU"/>
              </w:rPr>
            </w:pPr>
            <w:r w:rsidRPr="0031660E">
              <w:rPr>
                <w:rFonts w:cstheme="minorHAnsi"/>
                <w:lang w:eastAsia="en-AU"/>
              </w:rPr>
              <w:t>881</w:t>
            </w:r>
          </w:p>
        </w:tc>
        <w:tc>
          <w:tcPr>
            <w:tcW w:w="721" w:type="pct"/>
            <w:tcBorders>
              <w:top w:val="nil"/>
              <w:left w:val="nil"/>
              <w:bottom w:val="single" w:sz="4" w:space="0" w:color="808080"/>
              <w:right w:val="single" w:sz="8" w:space="0" w:color="808080"/>
            </w:tcBorders>
            <w:vAlign w:val="center"/>
          </w:tcPr>
          <w:p w14:paraId="3B449BE6" w14:textId="6F413B87" w:rsidR="00FB236D" w:rsidRPr="0031660E" w:rsidRDefault="00517DC5" w:rsidP="00E471AB">
            <w:pPr>
              <w:jc w:val="center"/>
              <w:rPr>
                <w:rFonts w:cstheme="minorHAnsi"/>
                <w:lang w:eastAsia="en-AU"/>
              </w:rPr>
            </w:pPr>
            <w:r w:rsidRPr="0031660E">
              <w:rPr>
                <w:rFonts w:cstheme="minorHAnsi"/>
                <w:lang w:eastAsia="en-AU"/>
              </w:rPr>
              <w:t>-227</w:t>
            </w:r>
          </w:p>
        </w:tc>
        <w:tc>
          <w:tcPr>
            <w:tcW w:w="720" w:type="pct"/>
            <w:tcBorders>
              <w:top w:val="nil"/>
              <w:left w:val="single" w:sz="8" w:space="0" w:color="808080"/>
              <w:bottom w:val="single" w:sz="4" w:space="0" w:color="808080"/>
              <w:right w:val="single" w:sz="4" w:space="0" w:color="808080"/>
            </w:tcBorders>
            <w:shd w:val="clear" w:color="auto" w:fill="auto"/>
            <w:vAlign w:val="center"/>
            <w:hideMark/>
          </w:tcPr>
          <w:p w14:paraId="521D9228" w14:textId="7E82DE59" w:rsidR="00FB236D" w:rsidRPr="0031660E" w:rsidRDefault="00517DC5" w:rsidP="00E471AB">
            <w:pPr>
              <w:jc w:val="center"/>
              <w:rPr>
                <w:rFonts w:cstheme="minorHAnsi"/>
                <w:lang w:eastAsia="en-AU"/>
              </w:rPr>
            </w:pPr>
            <w:r w:rsidRPr="0031660E">
              <w:rPr>
                <w:rFonts w:cstheme="minorHAnsi"/>
                <w:lang w:eastAsia="en-AU"/>
              </w:rPr>
              <w:t>20</w:t>
            </w:r>
            <w:r w:rsidR="00F23EAE" w:rsidRPr="0031660E">
              <w:rPr>
                <w:rFonts w:cstheme="minorHAnsi"/>
                <w:lang w:eastAsia="en-AU"/>
              </w:rPr>
              <w:t>7</w:t>
            </w:r>
          </w:p>
        </w:tc>
        <w:tc>
          <w:tcPr>
            <w:tcW w:w="721" w:type="pct"/>
            <w:tcBorders>
              <w:top w:val="nil"/>
              <w:left w:val="nil"/>
              <w:bottom w:val="single" w:sz="4" w:space="0" w:color="808080"/>
              <w:right w:val="single" w:sz="4" w:space="0" w:color="808080"/>
            </w:tcBorders>
            <w:shd w:val="clear" w:color="auto" w:fill="auto"/>
            <w:vAlign w:val="center"/>
            <w:hideMark/>
          </w:tcPr>
          <w:p w14:paraId="537CECEF" w14:textId="0C355D75" w:rsidR="00FB236D" w:rsidRPr="0031660E" w:rsidRDefault="00517DC5" w:rsidP="00301A58">
            <w:pPr>
              <w:jc w:val="center"/>
              <w:rPr>
                <w:rFonts w:cstheme="minorHAnsi"/>
                <w:lang w:eastAsia="en-AU"/>
              </w:rPr>
            </w:pPr>
            <w:r w:rsidRPr="0031660E">
              <w:rPr>
                <w:rFonts w:cstheme="minorHAnsi"/>
                <w:lang w:eastAsia="en-AU"/>
              </w:rPr>
              <w:t>-39</w:t>
            </w:r>
          </w:p>
        </w:tc>
        <w:tc>
          <w:tcPr>
            <w:tcW w:w="750" w:type="pct"/>
            <w:tcBorders>
              <w:top w:val="single" w:sz="4" w:space="0" w:color="808080"/>
              <w:left w:val="nil"/>
              <w:bottom w:val="single" w:sz="4" w:space="0" w:color="808080"/>
              <w:right w:val="single" w:sz="8" w:space="0" w:color="808080"/>
            </w:tcBorders>
            <w:shd w:val="clear" w:color="auto" w:fill="auto"/>
            <w:vAlign w:val="center"/>
            <w:hideMark/>
          </w:tcPr>
          <w:p w14:paraId="7A9A75F2" w14:textId="425C5A68" w:rsidR="00FB236D" w:rsidRPr="0031660E" w:rsidRDefault="00517DC5" w:rsidP="00301A58">
            <w:pPr>
              <w:jc w:val="center"/>
              <w:rPr>
                <w:rFonts w:cstheme="minorHAnsi"/>
                <w:lang w:eastAsia="en-AU"/>
              </w:rPr>
            </w:pPr>
            <w:r w:rsidRPr="0031660E">
              <w:rPr>
                <w:rFonts w:cstheme="minorHAnsi"/>
                <w:lang w:eastAsia="en-AU"/>
              </w:rPr>
              <w:t>-3</w:t>
            </w:r>
            <w:r w:rsidR="00F23EAE" w:rsidRPr="0031660E">
              <w:rPr>
                <w:rFonts w:cstheme="minorHAnsi"/>
                <w:lang w:eastAsia="en-AU"/>
              </w:rPr>
              <w:t>1</w:t>
            </w:r>
          </w:p>
        </w:tc>
      </w:tr>
      <w:tr w:rsidR="0031660E" w:rsidRPr="0031660E" w14:paraId="77124446" w14:textId="77777777" w:rsidTr="003E34C4">
        <w:trPr>
          <w:trHeight w:val="508"/>
        </w:trPr>
        <w:tc>
          <w:tcPr>
            <w:tcW w:w="1295" w:type="pct"/>
            <w:tcBorders>
              <w:top w:val="nil"/>
              <w:left w:val="single" w:sz="8" w:space="0" w:color="808080"/>
              <w:bottom w:val="single" w:sz="4" w:space="0" w:color="auto"/>
              <w:right w:val="single" w:sz="4" w:space="0" w:color="808080"/>
            </w:tcBorders>
            <w:shd w:val="clear" w:color="auto" w:fill="auto"/>
            <w:vAlign w:val="center"/>
            <w:hideMark/>
          </w:tcPr>
          <w:p w14:paraId="61CD0C32" w14:textId="57F373B8" w:rsidR="00FB236D" w:rsidRPr="0031660E" w:rsidRDefault="00FB236D" w:rsidP="00E471AB">
            <w:pPr>
              <w:rPr>
                <w:rFonts w:cstheme="minorHAnsi"/>
                <w:lang w:eastAsia="en-AU"/>
              </w:rPr>
            </w:pPr>
            <w:r w:rsidRPr="0031660E">
              <w:rPr>
                <w:rFonts w:cstheme="minorHAnsi"/>
                <w:lang w:eastAsia="en-AU"/>
              </w:rPr>
              <w:t>Cumulative balance</w:t>
            </w:r>
          </w:p>
        </w:tc>
        <w:tc>
          <w:tcPr>
            <w:tcW w:w="792" w:type="pct"/>
            <w:tcBorders>
              <w:top w:val="single" w:sz="4" w:space="0" w:color="808080"/>
              <w:left w:val="nil"/>
              <w:bottom w:val="single" w:sz="4" w:space="0" w:color="auto"/>
              <w:right w:val="single" w:sz="4" w:space="0" w:color="A5A5A5" w:themeColor="accent3"/>
            </w:tcBorders>
            <w:vAlign w:val="center"/>
          </w:tcPr>
          <w:p w14:paraId="1259B607" w14:textId="6E3ADE0F" w:rsidR="00FB236D" w:rsidRPr="0031660E" w:rsidRDefault="00517DC5" w:rsidP="00E471AB">
            <w:pPr>
              <w:jc w:val="center"/>
              <w:rPr>
                <w:rFonts w:cstheme="minorHAnsi"/>
                <w:lang w:eastAsia="en-AU"/>
              </w:rPr>
            </w:pPr>
            <w:r w:rsidRPr="0031660E">
              <w:rPr>
                <w:rFonts w:cstheme="minorHAnsi"/>
                <w:lang w:eastAsia="en-AU"/>
              </w:rPr>
              <w:t>2,20</w:t>
            </w:r>
            <w:r w:rsidR="00F23EAE" w:rsidRPr="0031660E">
              <w:rPr>
                <w:rFonts w:cstheme="minorHAnsi"/>
                <w:lang w:eastAsia="en-AU"/>
              </w:rPr>
              <w:t>6</w:t>
            </w:r>
            <w:r w:rsidR="00AB09AA" w:rsidRPr="0031660E">
              <w:rPr>
                <w:rStyle w:val="FootnoteReference"/>
                <w:rFonts w:cstheme="minorHAnsi"/>
                <w:lang w:eastAsia="en-AU"/>
              </w:rPr>
              <w:footnoteReference w:id="8"/>
            </w:r>
          </w:p>
        </w:tc>
        <w:tc>
          <w:tcPr>
            <w:tcW w:w="721" w:type="pct"/>
            <w:tcBorders>
              <w:top w:val="nil"/>
              <w:left w:val="nil"/>
              <w:bottom w:val="single" w:sz="4" w:space="0" w:color="auto"/>
              <w:right w:val="single" w:sz="8" w:space="0" w:color="808080"/>
            </w:tcBorders>
            <w:vAlign w:val="center"/>
          </w:tcPr>
          <w:p w14:paraId="16A8F88C" w14:textId="4C04A66C" w:rsidR="00FB236D" w:rsidRPr="0031660E" w:rsidRDefault="00517DC5" w:rsidP="00E471AB">
            <w:pPr>
              <w:jc w:val="center"/>
              <w:rPr>
                <w:rFonts w:cstheme="minorHAnsi"/>
                <w:lang w:eastAsia="en-AU"/>
              </w:rPr>
            </w:pPr>
            <w:r w:rsidRPr="0031660E">
              <w:rPr>
                <w:rFonts w:cstheme="minorHAnsi"/>
                <w:lang w:eastAsia="en-AU"/>
              </w:rPr>
              <w:t>1,978</w:t>
            </w:r>
          </w:p>
        </w:tc>
        <w:tc>
          <w:tcPr>
            <w:tcW w:w="720" w:type="pct"/>
            <w:tcBorders>
              <w:top w:val="nil"/>
              <w:left w:val="single" w:sz="8" w:space="0" w:color="808080"/>
              <w:bottom w:val="single" w:sz="4" w:space="0" w:color="auto"/>
              <w:right w:val="single" w:sz="4" w:space="0" w:color="808080"/>
            </w:tcBorders>
            <w:shd w:val="clear" w:color="auto" w:fill="auto"/>
            <w:vAlign w:val="center"/>
            <w:hideMark/>
          </w:tcPr>
          <w:p w14:paraId="6B53C9B4" w14:textId="3335D8C7" w:rsidR="00FB236D" w:rsidRPr="0031660E" w:rsidRDefault="00517DC5" w:rsidP="00E471AB">
            <w:pPr>
              <w:jc w:val="center"/>
              <w:rPr>
                <w:rFonts w:cstheme="minorHAnsi"/>
                <w:lang w:eastAsia="en-AU"/>
              </w:rPr>
            </w:pPr>
            <w:r w:rsidRPr="0031660E">
              <w:rPr>
                <w:rFonts w:cstheme="minorHAnsi"/>
                <w:lang w:eastAsia="en-AU"/>
              </w:rPr>
              <w:t>2,185</w:t>
            </w:r>
          </w:p>
        </w:tc>
        <w:tc>
          <w:tcPr>
            <w:tcW w:w="721" w:type="pct"/>
            <w:tcBorders>
              <w:top w:val="nil"/>
              <w:left w:val="nil"/>
              <w:bottom w:val="single" w:sz="4" w:space="0" w:color="auto"/>
              <w:right w:val="single" w:sz="4" w:space="0" w:color="808080"/>
            </w:tcBorders>
            <w:shd w:val="clear" w:color="auto" w:fill="auto"/>
            <w:vAlign w:val="center"/>
            <w:hideMark/>
          </w:tcPr>
          <w:p w14:paraId="086DFD19" w14:textId="764F111D" w:rsidR="00FB236D" w:rsidRPr="0031660E" w:rsidRDefault="00517DC5" w:rsidP="00301A58">
            <w:pPr>
              <w:jc w:val="center"/>
              <w:rPr>
                <w:rFonts w:cstheme="minorHAnsi"/>
                <w:lang w:eastAsia="en-AU"/>
              </w:rPr>
            </w:pPr>
            <w:r w:rsidRPr="0031660E">
              <w:rPr>
                <w:rFonts w:cstheme="minorHAnsi"/>
                <w:lang w:eastAsia="en-AU"/>
              </w:rPr>
              <w:t>2,14</w:t>
            </w:r>
            <w:r w:rsidR="00F23EAE" w:rsidRPr="0031660E">
              <w:rPr>
                <w:rFonts w:cstheme="minorHAnsi"/>
                <w:lang w:eastAsia="en-AU"/>
              </w:rPr>
              <w:t>6</w:t>
            </w:r>
          </w:p>
        </w:tc>
        <w:tc>
          <w:tcPr>
            <w:tcW w:w="750" w:type="pct"/>
            <w:tcBorders>
              <w:top w:val="single" w:sz="4" w:space="0" w:color="808080"/>
              <w:left w:val="nil"/>
              <w:bottom w:val="single" w:sz="4" w:space="0" w:color="auto"/>
              <w:right w:val="single" w:sz="8" w:space="0" w:color="808080"/>
            </w:tcBorders>
            <w:shd w:val="clear" w:color="auto" w:fill="auto"/>
            <w:vAlign w:val="center"/>
            <w:hideMark/>
          </w:tcPr>
          <w:p w14:paraId="7E93618C" w14:textId="56C82D59" w:rsidR="00FB236D" w:rsidRPr="0031660E" w:rsidRDefault="00517DC5" w:rsidP="00301A58">
            <w:pPr>
              <w:jc w:val="center"/>
              <w:rPr>
                <w:rFonts w:cstheme="minorHAnsi"/>
                <w:lang w:eastAsia="en-AU"/>
              </w:rPr>
            </w:pPr>
            <w:r w:rsidRPr="0031660E">
              <w:rPr>
                <w:rFonts w:cstheme="minorHAnsi"/>
                <w:lang w:eastAsia="en-AU"/>
              </w:rPr>
              <w:t>2,115</w:t>
            </w:r>
          </w:p>
        </w:tc>
      </w:tr>
      <w:tr w:rsidR="0031660E" w:rsidRPr="0031660E" w14:paraId="65230239" w14:textId="77777777" w:rsidTr="003E34C4">
        <w:trPr>
          <w:trHeight w:val="508"/>
        </w:trPr>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14:paraId="3D7A20D4" w14:textId="77777777" w:rsidR="003E34C4" w:rsidRPr="0031660E" w:rsidRDefault="003E34C4" w:rsidP="003E34C4">
            <w:pPr>
              <w:rPr>
                <w:rFonts w:cstheme="minorHAnsi"/>
                <w:lang w:eastAsia="en-AU"/>
              </w:rPr>
            </w:pPr>
            <w:r w:rsidRPr="0031660E">
              <w:rPr>
                <w:rFonts w:cstheme="minorHAnsi"/>
                <w:lang w:eastAsia="en-AU"/>
              </w:rPr>
              <w:t>Balance Management</w:t>
            </w:r>
          </w:p>
          <w:p w14:paraId="3DB77F23" w14:textId="114A3844" w:rsidR="003E34C4" w:rsidRPr="0031660E" w:rsidRDefault="003E34C4" w:rsidP="003E34C4">
            <w:pPr>
              <w:rPr>
                <w:rFonts w:cstheme="minorHAnsi"/>
                <w:lang w:eastAsia="en-AU"/>
              </w:rPr>
            </w:pPr>
            <w:r w:rsidRPr="0031660E">
              <w:rPr>
                <w:rFonts w:cstheme="minorHAnsi"/>
                <w:lang w:eastAsia="en-AU"/>
              </w:rPr>
              <w:t>Strategy</w:t>
            </w:r>
          </w:p>
        </w:tc>
        <w:tc>
          <w:tcPr>
            <w:tcW w:w="3705" w:type="pct"/>
            <w:gridSpan w:val="5"/>
            <w:tcBorders>
              <w:top w:val="single" w:sz="4" w:space="0" w:color="auto"/>
              <w:left w:val="single" w:sz="4" w:space="0" w:color="auto"/>
              <w:bottom w:val="single" w:sz="4" w:space="0" w:color="auto"/>
              <w:right w:val="single" w:sz="4" w:space="0" w:color="auto"/>
            </w:tcBorders>
            <w:vAlign w:val="center"/>
          </w:tcPr>
          <w:p w14:paraId="540F2C4A" w14:textId="1A1E872A" w:rsidR="003E34C4" w:rsidRPr="0031660E" w:rsidRDefault="000A7BF6" w:rsidP="003E34C4">
            <w:pPr>
              <w:spacing w:line="240" w:lineRule="auto"/>
              <w:rPr>
                <w:rFonts w:cstheme="minorHAnsi"/>
                <w:lang w:eastAsia="en-AU"/>
              </w:rPr>
            </w:pPr>
            <w:r w:rsidRPr="0031660E">
              <w:rPr>
                <w:rFonts w:cstheme="minorHAnsi"/>
                <w:lang w:eastAsia="en-AU"/>
              </w:rPr>
              <w:t xml:space="preserve">The </w:t>
            </w:r>
            <w:r w:rsidR="003E34C4" w:rsidRPr="0031660E">
              <w:rPr>
                <w:rFonts w:cstheme="minorHAnsi"/>
                <w:lang w:eastAsia="en-AU"/>
              </w:rPr>
              <w:t xml:space="preserve">alignment between revenue and expenses </w:t>
            </w:r>
            <w:r w:rsidRPr="0031660E">
              <w:rPr>
                <w:rFonts w:cstheme="minorHAnsi"/>
                <w:lang w:eastAsia="en-AU"/>
              </w:rPr>
              <w:t xml:space="preserve">have been reviewed as part of ongoing reforms to </w:t>
            </w:r>
            <w:r w:rsidR="003E34C4" w:rsidRPr="0031660E">
              <w:rPr>
                <w:rFonts w:cstheme="minorHAnsi"/>
                <w:lang w:eastAsia="en-AU"/>
              </w:rPr>
              <w:t xml:space="preserve">the administration of the PL. </w:t>
            </w:r>
            <w:r w:rsidRPr="0031660E">
              <w:rPr>
                <w:rFonts w:cstheme="minorHAnsi"/>
                <w:lang w:eastAsia="en-AU"/>
              </w:rPr>
              <w:t xml:space="preserve">New cost recovery arrangements commenced on 1 July 2023, consistent </w:t>
            </w:r>
            <w:r w:rsidR="003E34C4" w:rsidRPr="0031660E">
              <w:rPr>
                <w:rFonts w:cstheme="minorHAnsi"/>
                <w:lang w:eastAsia="en-AU"/>
              </w:rPr>
              <w:t xml:space="preserve">with Australian Government </w:t>
            </w:r>
            <w:r w:rsidR="00655C0F" w:rsidRPr="0031660E">
              <w:rPr>
                <w:rFonts w:cstheme="minorHAnsi"/>
                <w:lang w:eastAsia="en-AU"/>
              </w:rPr>
              <w:t>Charging Framework</w:t>
            </w:r>
            <w:r w:rsidRPr="0031660E">
              <w:rPr>
                <w:rFonts w:cstheme="minorHAnsi"/>
                <w:lang w:eastAsia="en-AU"/>
              </w:rPr>
              <w:t>.</w:t>
            </w:r>
            <w:r w:rsidR="003E34C4" w:rsidRPr="0031660E">
              <w:rPr>
                <w:rFonts w:cstheme="minorHAnsi"/>
                <w:lang w:eastAsia="en-AU"/>
              </w:rPr>
              <w:t xml:space="preserve"> </w:t>
            </w:r>
          </w:p>
        </w:tc>
      </w:tr>
    </w:tbl>
    <w:p w14:paraId="1C72A4A4" w14:textId="77777777" w:rsidR="00FB236D" w:rsidRPr="0031660E" w:rsidRDefault="00FB236D" w:rsidP="00ED3BAC">
      <w:pPr>
        <w:spacing w:after="0" w:line="240" w:lineRule="auto"/>
        <w:rPr>
          <w:rFonts w:ascii="Calibri" w:eastAsia="Times New Roman" w:hAnsi="Calibri" w:cs="Times New Roman"/>
        </w:rPr>
      </w:pPr>
    </w:p>
    <w:p w14:paraId="09E5123C" w14:textId="2F0A97DD" w:rsidR="007D41D6" w:rsidRPr="0031660E" w:rsidRDefault="00E26D91" w:rsidP="00ED3BAC">
      <w:pPr>
        <w:pStyle w:val="Heading2"/>
      </w:pPr>
      <w:r w:rsidRPr="0031660E">
        <w:t>Non-financial Performance</w:t>
      </w:r>
    </w:p>
    <w:p w14:paraId="33F93C66" w14:textId="315B56E5" w:rsidR="007D41D6" w:rsidRPr="0031660E" w:rsidRDefault="007D41D6" w:rsidP="007D41D6">
      <w:pPr>
        <w:spacing w:after="0" w:line="240" w:lineRule="auto"/>
        <w:rPr>
          <w:rFonts w:ascii="Calibri" w:eastAsia="Times New Roman" w:hAnsi="Calibri" w:cs="Times New Roman"/>
        </w:rPr>
      </w:pPr>
      <w:r w:rsidRPr="0031660E">
        <w:rPr>
          <w:rFonts w:ascii="Calibri" w:eastAsia="Times New Roman" w:hAnsi="Calibri" w:cs="Times New Roman"/>
        </w:rPr>
        <w:t xml:space="preserve">In line with the </w:t>
      </w:r>
      <w:r w:rsidR="009B5D22" w:rsidRPr="0031660E">
        <w:rPr>
          <w:rFonts w:ascii="Calibri" w:eastAsia="Times New Roman" w:hAnsi="Calibri" w:cs="Times New Roman"/>
        </w:rPr>
        <w:t>d</w:t>
      </w:r>
      <w:r w:rsidRPr="0031660E">
        <w:rPr>
          <w:rFonts w:ascii="Calibri" w:eastAsia="Times New Roman" w:hAnsi="Calibri" w:cs="Times New Roman"/>
        </w:rPr>
        <w:t xml:space="preserve">epartment’s Performance Measurement and Reporting Framework, the key performance indicators for </w:t>
      </w:r>
      <w:r w:rsidR="00E26D91" w:rsidRPr="0031660E">
        <w:rPr>
          <w:rFonts w:ascii="Calibri" w:eastAsia="Times New Roman" w:hAnsi="Calibri" w:cs="Times New Roman"/>
        </w:rPr>
        <w:t>P</w:t>
      </w:r>
      <w:r w:rsidR="00256ED3" w:rsidRPr="0031660E">
        <w:rPr>
          <w:rFonts w:ascii="Calibri" w:eastAsia="Times New Roman" w:hAnsi="Calibri" w:cs="Times New Roman"/>
        </w:rPr>
        <w:t xml:space="preserve">rescribed </w:t>
      </w:r>
      <w:r w:rsidR="00E26D91" w:rsidRPr="0031660E">
        <w:rPr>
          <w:rFonts w:ascii="Calibri" w:eastAsia="Times New Roman" w:hAnsi="Calibri" w:cs="Times New Roman"/>
        </w:rPr>
        <w:t>L</w:t>
      </w:r>
      <w:r w:rsidR="00256ED3" w:rsidRPr="0031660E">
        <w:rPr>
          <w:rFonts w:ascii="Calibri" w:eastAsia="Times New Roman" w:hAnsi="Calibri" w:cs="Times New Roman"/>
        </w:rPr>
        <w:t>ist</w:t>
      </w:r>
      <w:r w:rsidRPr="0031660E">
        <w:rPr>
          <w:rFonts w:ascii="Calibri" w:eastAsia="Times New Roman" w:hAnsi="Calibri" w:cs="Times New Roman"/>
        </w:rPr>
        <w:t xml:space="preserve"> activity are:</w:t>
      </w:r>
    </w:p>
    <w:p w14:paraId="7BF0AC65" w14:textId="2B56CC1F" w:rsidR="009A31A7" w:rsidRPr="0031660E" w:rsidRDefault="00256ED3" w:rsidP="00F232FD">
      <w:pPr>
        <w:numPr>
          <w:ilvl w:val="0"/>
          <w:numId w:val="2"/>
        </w:numPr>
        <w:spacing w:before="120" w:after="0" w:line="240" w:lineRule="auto"/>
        <w:contextualSpacing/>
        <w:rPr>
          <w:rFonts w:ascii="Calibri" w:eastAsia="Times New Roman" w:hAnsi="Calibri" w:cs="Times New Roman"/>
        </w:rPr>
      </w:pPr>
      <w:r w:rsidRPr="0031660E">
        <w:rPr>
          <w:rFonts w:ascii="Calibri" w:eastAsia="Times New Roman" w:hAnsi="Calibri" w:cs="Times New Roman"/>
        </w:rPr>
        <w:t>t</w:t>
      </w:r>
      <w:r w:rsidR="009A31A7" w:rsidRPr="0031660E">
        <w:rPr>
          <w:rFonts w:ascii="Calibri" w:eastAsia="Times New Roman" w:hAnsi="Calibri" w:cs="Times New Roman"/>
        </w:rPr>
        <w:t>he remaking and publication of the relevant Rules (of which the P</w:t>
      </w:r>
      <w:r w:rsidRPr="0031660E">
        <w:rPr>
          <w:rFonts w:ascii="Calibri" w:eastAsia="Times New Roman" w:hAnsi="Calibri" w:cs="Times New Roman"/>
        </w:rPr>
        <w:t xml:space="preserve">rescribed </w:t>
      </w:r>
      <w:r w:rsidR="009A31A7" w:rsidRPr="0031660E">
        <w:rPr>
          <w:rFonts w:ascii="Calibri" w:eastAsia="Times New Roman" w:hAnsi="Calibri" w:cs="Times New Roman"/>
        </w:rPr>
        <w:t>L</w:t>
      </w:r>
      <w:r w:rsidRPr="0031660E">
        <w:rPr>
          <w:rFonts w:ascii="Calibri" w:eastAsia="Times New Roman" w:hAnsi="Calibri" w:cs="Times New Roman"/>
        </w:rPr>
        <w:t>ist</w:t>
      </w:r>
      <w:r w:rsidR="009A31A7" w:rsidRPr="0031660E">
        <w:rPr>
          <w:rFonts w:ascii="Calibri" w:eastAsia="Times New Roman" w:hAnsi="Calibri" w:cs="Times New Roman"/>
        </w:rPr>
        <w:t xml:space="preserve"> is the Schedule) three times in a </w:t>
      </w:r>
      <w:proofErr w:type="gramStart"/>
      <w:r w:rsidR="009A31A7" w:rsidRPr="0031660E">
        <w:rPr>
          <w:rFonts w:ascii="Calibri" w:eastAsia="Times New Roman" w:hAnsi="Calibri" w:cs="Times New Roman"/>
        </w:rPr>
        <w:t>year;</w:t>
      </w:r>
      <w:proofErr w:type="gramEnd"/>
    </w:p>
    <w:p w14:paraId="7B8EDC29" w14:textId="39FAE488" w:rsidR="007D41D6" w:rsidRPr="0031660E" w:rsidRDefault="00256ED3" w:rsidP="00F232FD">
      <w:pPr>
        <w:numPr>
          <w:ilvl w:val="0"/>
          <w:numId w:val="2"/>
        </w:numPr>
        <w:spacing w:before="120" w:after="0" w:line="240" w:lineRule="auto"/>
        <w:contextualSpacing/>
        <w:rPr>
          <w:rFonts w:ascii="Calibri" w:eastAsia="Times New Roman" w:hAnsi="Calibri" w:cs="Times New Roman"/>
        </w:rPr>
      </w:pPr>
      <w:r w:rsidRPr="0031660E">
        <w:rPr>
          <w:rFonts w:ascii="Calibri" w:eastAsia="Times New Roman" w:hAnsi="Calibri" w:cs="Times New Roman"/>
        </w:rPr>
        <w:t>t</w:t>
      </w:r>
      <w:r w:rsidR="007D41D6" w:rsidRPr="0031660E">
        <w:rPr>
          <w:rFonts w:ascii="Calibri" w:eastAsia="Times New Roman" w:hAnsi="Calibri" w:cs="Times New Roman"/>
        </w:rPr>
        <w:t xml:space="preserve">he </w:t>
      </w:r>
      <w:r w:rsidR="0084380D" w:rsidRPr="0031660E">
        <w:rPr>
          <w:rFonts w:ascii="Calibri" w:eastAsia="Times New Roman" w:hAnsi="Calibri" w:cs="Times New Roman"/>
        </w:rPr>
        <w:t>MDHTAC</w:t>
      </w:r>
      <w:r w:rsidR="007D41D6" w:rsidRPr="0031660E">
        <w:rPr>
          <w:rFonts w:ascii="Calibri" w:eastAsia="Times New Roman" w:hAnsi="Calibri" w:cs="Times New Roman"/>
        </w:rPr>
        <w:t xml:space="preserve"> </w:t>
      </w:r>
      <w:r w:rsidR="00503D3E" w:rsidRPr="0031660E">
        <w:rPr>
          <w:rFonts w:ascii="Calibri" w:eastAsia="Times New Roman" w:hAnsi="Calibri" w:cs="Times New Roman"/>
        </w:rPr>
        <w:t>is</w:t>
      </w:r>
      <w:r w:rsidR="007D41D6" w:rsidRPr="0031660E">
        <w:rPr>
          <w:rFonts w:ascii="Calibri" w:eastAsia="Times New Roman" w:hAnsi="Calibri" w:cs="Times New Roman"/>
        </w:rPr>
        <w:t xml:space="preserve"> supported to </w:t>
      </w:r>
      <w:r w:rsidRPr="0031660E">
        <w:rPr>
          <w:rFonts w:ascii="Calibri" w:eastAsia="Times New Roman" w:hAnsi="Calibri" w:cs="Times New Roman"/>
        </w:rPr>
        <w:t xml:space="preserve">implement the </w:t>
      </w:r>
      <w:r w:rsidR="007D41D6" w:rsidRPr="0031660E">
        <w:rPr>
          <w:rFonts w:ascii="Calibri" w:eastAsia="Times New Roman" w:hAnsi="Calibri" w:cs="Times New Roman"/>
        </w:rPr>
        <w:t>reform</w:t>
      </w:r>
      <w:r w:rsidRPr="0031660E">
        <w:rPr>
          <w:rFonts w:ascii="Calibri" w:eastAsia="Times New Roman" w:hAnsi="Calibri" w:cs="Times New Roman"/>
        </w:rPr>
        <w:t>s</w:t>
      </w:r>
      <w:r w:rsidR="007D41D6" w:rsidRPr="0031660E">
        <w:rPr>
          <w:rFonts w:ascii="Calibri" w:eastAsia="Times New Roman" w:hAnsi="Calibri" w:cs="Times New Roman"/>
        </w:rPr>
        <w:t xml:space="preserve"> </w:t>
      </w:r>
      <w:r w:rsidRPr="0031660E">
        <w:rPr>
          <w:rFonts w:ascii="Calibri" w:eastAsia="Times New Roman" w:hAnsi="Calibri" w:cs="Times New Roman"/>
        </w:rPr>
        <w:t xml:space="preserve">for </w:t>
      </w:r>
      <w:r w:rsidR="007D41D6" w:rsidRPr="0031660E">
        <w:rPr>
          <w:rFonts w:ascii="Calibri" w:eastAsia="Times New Roman" w:hAnsi="Calibri" w:cs="Times New Roman"/>
        </w:rPr>
        <w:t xml:space="preserve">the </w:t>
      </w:r>
      <w:r w:rsidRPr="0031660E">
        <w:rPr>
          <w:rFonts w:ascii="Calibri" w:eastAsia="Times New Roman" w:hAnsi="Calibri" w:cs="Times New Roman"/>
        </w:rPr>
        <w:t>Prescribed Listing</w:t>
      </w:r>
      <w:r w:rsidR="007D41D6" w:rsidRPr="0031660E">
        <w:rPr>
          <w:rFonts w:ascii="Calibri" w:eastAsia="Times New Roman" w:hAnsi="Calibri" w:cs="Times New Roman"/>
        </w:rPr>
        <w:t xml:space="preserve"> arrangements; and</w:t>
      </w:r>
    </w:p>
    <w:p w14:paraId="32A0F932" w14:textId="691E0667" w:rsidR="007D41D6" w:rsidRPr="0031660E" w:rsidRDefault="00256ED3" w:rsidP="00F232FD">
      <w:pPr>
        <w:numPr>
          <w:ilvl w:val="0"/>
          <w:numId w:val="2"/>
        </w:numPr>
        <w:spacing w:before="120" w:after="120" w:line="240" w:lineRule="auto"/>
        <w:contextualSpacing/>
        <w:rPr>
          <w:rFonts w:ascii="Calibri" w:eastAsia="Times New Roman" w:hAnsi="Calibri" w:cs="Times New Roman"/>
        </w:rPr>
      </w:pPr>
      <w:r w:rsidRPr="0031660E">
        <w:rPr>
          <w:rFonts w:ascii="Calibri" w:eastAsia="Times New Roman" w:hAnsi="Calibri" w:cs="Times New Roman"/>
        </w:rPr>
        <w:t>t</w:t>
      </w:r>
      <w:r w:rsidR="007D41D6" w:rsidRPr="0031660E">
        <w:rPr>
          <w:rFonts w:ascii="Calibri" w:eastAsia="Times New Roman" w:hAnsi="Calibri" w:cs="Times New Roman"/>
        </w:rPr>
        <w:t xml:space="preserve">he </w:t>
      </w:r>
      <w:r w:rsidRPr="0031660E">
        <w:rPr>
          <w:rFonts w:ascii="Calibri" w:eastAsia="Times New Roman" w:hAnsi="Calibri" w:cs="Times New Roman"/>
        </w:rPr>
        <w:t>u</w:t>
      </w:r>
      <w:r w:rsidR="007D41D6" w:rsidRPr="0031660E">
        <w:rPr>
          <w:rFonts w:ascii="Calibri" w:eastAsia="Times New Roman" w:hAnsi="Calibri" w:cs="Times New Roman"/>
        </w:rPr>
        <w:t xml:space="preserve">pdated </w:t>
      </w:r>
      <w:r w:rsidR="0084380D" w:rsidRPr="0031660E">
        <w:rPr>
          <w:rFonts w:ascii="Calibri" w:eastAsia="Times New Roman" w:hAnsi="Calibri" w:cs="Times New Roman"/>
        </w:rPr>
        <w:t>P</w:t>
      </w:r>
      <w:r w:rsidRPr="0031660E">
        <w:rPr>
          <w:rFonts w:ascii="Calibri" w:eastAsia="Times New Roman" w:hAnsi="Calibri" w:cs="Times New Roman"/>
        </w:rPr>
        <w:t xml:space="preserve">rescribed </w:t>
      </w:r>
      <w:r w:rsidR="0084380D" w:rsidRPr="0031660E">
        <w:rPr>
          <w:rFonts w:ascii="Calibri" w:eastAsia="Times New Roman" w:hAnsi="Calibri" w:cs="Times New Roman"/>
        </w:rPr>
        <w:t>L</w:t>
      </w:r>
      <w:r w:rsidRPr="0031660E">
        <w:rPr>
          <w:rFonts w:ascii="Calibri" w:eastAsia="Times New Roman" w:hAnsi="Calibri" w:cs="Times New Roman"/>
        </w:rPr>
        <w:t>ist</w:t>
      </w:r>
      <w:r w:rsidR="007D41D6" w:rsidRPr="0031660E">
        <w:rPr>
          <w:rFonts w:ascii="Calibri" w:eastAsia="Times New Roman" w:hAnsi="Calibri" w:cs="Times New Roman"/>
        </w:rPr>
        <w:t xml:space="preserve"> enable</w:t>
      </w:r>
      <w:r w:rsidR="00503D3E" w:rsidRPr="0031660E">
        <w:rPr>
          <w:rFonts w:ascii="Calibri" w:eastAsia="Times New Roman" w:hAnsi="Calibri" w:cs="Times New Roman"/>
        </w:rPr>
        <w:t>s</w:t>
      </w:r>
      <w:r w:rsidR="007D41D6" w:rsidRPr="0031660E">
        <w:rPr>
          <w:rFonts w:ascii="Calibri" w:eastAsia="Times New Roman" w:hAnsi="Calibri" w:cs="Times New Roman"/>
        </w:rPr>
        <w:t xml:space="preserve"> access to devices, including cardiac ablation catheters for atrial fibrillation for privately insured patients.</w:t>
      </w:r>
    </w:p>
    <w:p w14:paraId="6484C702" w14:textId="77777777" w:rsidR="007D41D6" w:rsidRPr="0031660E" w:rsidRDefault="007D41D6" w:rsidP="00E34BC5">
      <w:pPr>
        <w:pStyle w:val="Heading11"/>
      </w:pPr>
      <w:bookmarkStart w:id="4" w:name="_Hlk87548209"/>
      <w:r w:rsidRPr="0031660E">
        <w:lastRenderedPageBreak/>
        <w:t>KEY FORWARD DATES AND EVENTS</w:t>
      </w:r>
    </w:p>
    <w:tbl>
      <w:tblPr>
        <w:tblStyle w:val="ListTable3"/>
        <w:tblW w:w="5000" w:type="pct"/>
        <w:tblLook w:val="01E0" w:firstRow="1" w:lastRow="1" w:firstColumn="1" w:lastColumn="1" w:noHBand="0" w:noVBand="0"/>
      </w:tblPr>
      <w:tblGrid>
        <w:gridCol w:w="6840"/>
        <w:gridCol w:w="2176"/>
      </w:tblGrid>
      <w:tr w:rsidR="0031660E" w:rsidRPr="0031660E" w14:paraId="08E7F467" w14:textId="77777777" w:rsidTr="003E34C4">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793" w:type="pct"/>
            <w:tcBorders>
              <w:bottom w:val="single" w:sz="4" w:space="0" w:color="auto"/>
            </w:tcBorders>
          </w:tcPr>
          <w:p w14:paraId="54D37B61" w14:textId="77777777" w:rsidR="007D41D6" w:rsidRPr="0031660E" w:rsidRDefault="007D41D6" w:rsidP="00DA5AA5">
            <w:pPr>
              <w:keepNext/>
              <w:keepLines/>
              <w:spacing w:before="120" w:after="120"/>
              <w:rPr>
                <w:color w:val="auto"/>
                <w:szCs w:val="24"/>
              </w:rPr>
            </w:pPr>
            <w:bookmarkStart w:id="5" w:name="_Hlk87548140"/>
            <w:bookmarkEnd w:id="4"/>
            <w:r w:rsidRPr="0031660E">
              <w:rPr>
                <w:color w:val="auto"/>
                <w:szCs w:val="24"/>
              </w:rPr>
              <w:t xml:space="preserve">Activity </w:t>
            </w:r>
          </w:p>
        </w:tc>
        <w:tc>
          <w:tcPr>
            <w:cnfStyle w:val="000100001000" w:firstRow="0" w:lastRow="0" w:firstColumn="0" w:lastColumn="1" w:oddVBand="0" w:evenVBand="0" w:oddHBand="0" w:evenHBand="0" w:firstRowFirstColumn="0" w:firstRowLastColumn="1" w:lastRowFirstColumn="0" w:lastRowLastColumn="0"/>
            <w:tcW w:w="1207" w:type="pct"/>
            <w:tcBorders>
              <w:bottom w:val="single" w:sz="4" w:space="0" w:color="auto"/>
            </w:tcBorders>
          </w:tcPr>
          <w:p w14:paraId="50312868" w14:textId="77777777" w:rsidR="007D41D6" w:rsidRPr="0031660E" w:rsidRDefault="007D41D6" w:rsidP="00DA5AA5">
            <w:pPr>
              <w:keepNext/>
              <w:keepLines/>
              <w:spacing w:before="120" w:after="120"/>
              <w:rPr>
                <w:color w:val="auto"/>
                <w:szCs w:val="24"/>
              </w:rPr>
            </w:pPr>
            <w:r w:rsidRPr="0031660E">
              <w:rPr>
                <w:color w:val="auto"/>
                <w:szCs w:val="24"/>
              </w:rPr>
              <w:t>Date</w:t>
            </w:r>
          </w:p>
        </w:tc>
      </w:tr>
      <w:tr w:rsidR="0031660E" w:rsidRPr="0031660E" w14:paraId="2BE241C3" w14:textId="77777777" w:rsidTr="003E34C4">
        <w:trPr>
          <w:cnfStyle w:val="010000000000" w:firstRow="0" w:lastRow="1" w:firstColumn="0" w:lastColumn="0" w:oddVBand="0" w:evenVBand="0" w:oddHBand="0" w:evenHBand="0" w:firstRowFirstColumn="0" w:firstRowLastColumn="0" w:lastRowFirstColumn="0" w:lastRowLastColumn="0"/>
          <w:trHeight w:val="279"/>
        </w:trPr>
        <w:tc>
          <w:tcPr>
            <w:cnfStyle w:val="001000000001" w:firstRow="0" w:lastRow="0" w:firstColumn="1" w:lastColumn="0" w:oddVBand="0" w:evenVBand="0" w:oddHBand="0" w:evenHBand="0" w:firstRowFirstColumn="0" w:firstRowLastColumn="0" w:lastRowFirstColumn="1" w:lastRowLastColumn="0"/>
            <w:tcW w:w="3793" w:type="pct"/>
            <w:tcBorders>
              <w:top w:val="single" w:sz="4" w:space="0" w:color="auto"/>
              <w:left w:val="single" w:sz="4" w:space="0" w:color="auto"/>
              <w:bottom w:val="single" w:sz="4" w:space="0" w:color="auto"/>
              <w:right w:val="single" w:sz="4" w:space="0" w:color="auto"/>
            </w:tcBorders>
          </w:tcPr>
          <w:p w14:paraId="0C3B0B6D" w14:textId="24496181" w:rsidR="003E34C4" w:rsidRPr="0031660E" w:rsidRDefault="003E34C4" w:rsidP="00DA5AA5">
            <w:pPr>
              <w:keepNext/>
              <w:keepLines/>
              <w:spacing w:before="120" w:after="120"/>
              <w:rPr>
                <w:b w:val="0"/>
                <w:bCs w:val="0"/>
                <w:szCs w:val="24"/>
              </w:rPr>
            </w:pPr>
            <w:r w:rsidRPr="0031660E">
              <w:rPr>
                <w:b w:val="0"/>
                <w:bCs w:val="0"/>
                <w:szCs w:val="24"/>
              </w:rPr>
              <w:t>Update CRIS for 202</w:t>
            </w:r>
            <w:r w:rsidR="004F6834" w:rsidRPr="0031660E">
              <w:rPr>
                <w:b w:val="0"/>
                <w:bCs w:val="0"/>
                <w:szCs w:val="24"/>
              </w:rPr>
              <w:t>4</w:t>
            </w:r>
            <w:r w:rsidRPr="0031660E">
              <w:rPr>
                <w:b w:val="0"/>
                <w:bCs w:val="0"/>
                <w:szCs w:val="24"/>
              </w:rPr>
              <w:t>-2</w:t>
            </w:r>
            <w:r w:rsidR="004F6834" w:rsidRPr="0031660E">
              <w:rPr>
                <w:b w:val="0"/>
                <w:bCs w:val="0"/>
                <w:szCs w:val="24"/>
              </w:rPr>
              <w:t>5</w:t>
            </w:r>
          </w:p>
        </w:tc>
        <w:tc>
          <w:tcPr>
            <w:cnfStyle w:val="000100000010" w:firstRow="0" w:lastRow="0" w:firstColumn="0" w:lastColumn="1" w:oddVBand="0" w:evenVBand="0" w:oddHBand="0" w:evenHBand="0" w:firstRowFirstColumn="0" w:firstRowLastColumn="0" w:lastRowFirstColumn="0" w:lastRowLastColumn="1"/>
            <w:tcW w:w="1207" w:type="pct"/>
            <w:tcBorders>
              <w:top w:val="single" w:sz="4" w:space="0" w:color="auto"/>
              <w:left w:val="single" w:sz="4" w:space="0" w:color="auto"/>
              <w:bottom w:val="single" w:sz="4" w:space="0" w:color="auto"/>
              <w:right w:val="single" w:sz="4" w:space="0" w:color="auto"/>
            </w:tcBorders>
          </w:tcPr>
          <w:p w14:paraId="503211D0" w14:textId="0943DE9E" w:rsidR="003E34C4" w:rsidRPr="0031660E" w:rsidRDefault="003E34C4" w:rsidP="00DA5AA5">
            <w:pPr>
              <w:keepNext/>
              <w:keepLines/>
              <w:spacing w:before="120" w:after="120"/>
              <w:rPr>
                <w:b w:val="0"/>
                <w:bCs w:val="0"/>
                <w:szCs w:val="24"/>
              </w:rPr>
            </w:pPr>
            <w:r w:rsidRPr="0031660E">
              <w:rPr>
                <w:b w:val="0"/>
                <w:bCs w:val="0"/>
                <w:szCs w:val="24"/>
              </w:rPr>
              <w:t>June 202</w:t>
            </w:r>
            <w:r w:rsidR="00655C0F" w:rsidRPr="0031660E">
              <w:rPr>
                <w:b w:val="0"/>
                <w:bCs w:val="0"/>
                <w:szCs w:val="24"/>
              </w:rPr>
              <w:t>4</w:t>
            </w:r>
          </w:p>
        </w:tc>
      </w:tr>
    </w:tbl>
    <w:bookmarkEnd w:id="5"/>
    <w:p w14:paraId="78D148DD" w14:textId="77777777" w:rsidR="007D41D6" w:rsidRPr="0031660E" w:rsidRDefault="007D41D6" w:rsidP="00E34BC5">
      <w:pPr>
        <w:pStyle w:val="Heading11"/>
      </w:pPr>
      <w:r w:rsidRPr="0031660E">
        <w:t>CRIS APPROVAL AND CHANGE REGISTER</w:t>
      </w:r>
    </w:p>
    <w:tbl>
      <w:tblPr>
        <w:tblStyle w:val="ListTable3"/>
        <w:tblW w:w="5000" w:type="pct"/>
        <w:tblLook w:val="04A0" w:firstRow="1" w:lastRow="0" w:firstColumn="1" w:lastColumn="0" w:noHBand="0" w:noVBand="1"/>
      </w:tblPr>
      <w:tblGrid>
        <w:gridCol w:w="1367"/>
        <w:gridCol w:w="2241"/>
        <w:gridCol w:w="2889"/>
        <w:gridCol w:w="2519"/>
      </w:tblGrid>
      <w:tr w:rsidR="0031660E" w:rsidRPr="0031660E" w14:paraId="6746B6FF" w14:textId="77777777" w:rsidTr="004C45B8">
        <w:trPr>
          <w:cnfStyle w:val="100000000000" w:firstRow="1" w:lastRow="0" w:firstColumn="0" w:lastColumn="0" w:oddVBand="0" w:evenVBand="0" w:oddHBand="0" w:evenHBand="0" w:firstRowFirstColumn="0" w:firstRowLastColumn="0" w:lastRowFirstColumn="0" w:lastRowLastColumn="0"/>
          <w:trHeight w:val="910"/>
          <w:tblHeader/>
        </w:trPr>
        <w:tc>
          <w:tcPr>
            <w:cnfStyle w:val="001000000100" w:firstRow="0" w:lastRow="0" w:firstColumn="1" w:lastColumn="0" w:oddVBand="0" w:evenVBand="0" w:oddHBand="0" w:evenHBand="0" w:firstRowFirstColumn="1" w:firstRowLastColumn="0" w:lastRowFirstColumn="0" w:lastRowLastColumn="0"/>
            <w:tcW w:w="758" w:type="pct"/>
          </w:tcPr>
          <w:p w14:paraId="0FE54D02" w14:textId="77777777" w:rsidR="007D41D6" w:rsidRPr="0031660E" w:rsidRDefault="007D41D6" w:rsidP="007D41D6">
            <w:pPr>
              <w:spacing w:before="120" w:after="120"/>
              <w:rPr>
                <w:rFonts w:cs="Calibri"/>
                <w:color w:val="auto"/>
              </w:rPr>
            </w:pPr>
            <w:r w:rsidRPr="0031660E">
              <w:rPr>
                <w:rFonts w:cs="Calibri"/>
                <w:color w:val="auto"/>
              </w:rPr>
              <w:t>Date of CRIS Change</w:t>
            </w:r>
          </w:p>
        </w:tc>
        <w:tc>
          <w:tcPr>
            <w:tcW w:w="1243" w:type="pct"/>
          </w:tcPr>
          <w:p w14:paraId="6AC80FFA" w14:textId="77777777" w:rsidR="007D41D6" w:rsidRPr="0031660E" w:rsidRDefault="007D41D6" w:rsidP="007D41D6">
            <w:pPr>
              <w:spacing w:before="120" w:after="120"/>
              <w:cnfStyle w:val="100000000000" w:firstRow="1" w:lastRow="0" w:firstColumn="0" w:lastColumn="0" w:oddVBand="0" w:evenVBand="0" w:oddHBand="0" w:evenHBand="0" w:firstRowFirstColumn="0" w:firstRowLastColumn="0" w:lastRowFirstColumn="0" w:lastRowLastColumn="0"/>
              <w:rPr>
                <w:rFonts w:cs="Calibri"/>
                <w:color w:val="auto"/>
              </w:rPr>
            </w:pPr>
            <w:r w:rsidRPr="0031660E">
              <w:rPr>
                <w:rFonts w:cs="Calibri"/>
                <w:color w:val="auto"/>
              </w:rPr>
              <w:t>CRIS Change</w:t>
            </w:r>
          </w:p>
        </w:tc>
        <w:tc>
          <w:tcPr>
            <w:tcW w:w="1602" w:type="pct"/>
          </w:tcPr>
          <w:p w14:paraId="1819EA40" w14:textId="77777777" w:rsidR="007D41D6" w:rsidRPr="0031660E" w:rsidRDefault="007D41D6" w:rsidP="007D41D6">
            <w:pPr>
              <w:spacing w:before="120" w:after="120"/>
              <w:cnfStyle w:val="100000000000" w:firstRow="1" w:lastRow="0" w:firstColumn="0" w:lastColumn="0" w:oddVBand="0" w:evenVBand="0" w:oddHBand="0" w:evenHBand="0" w:firstRowFirstColumn="0" w:firstRowLastColumn="0" w:lastRowFirstColumn="0" w:lastRowLastColumn="0"/>
              <w:rPr>
                <w:rFonts w:cs="Calibri"/>
                <w:color w:val="auto"/>
              </w:rPr>
            </w:pPr>
            <w:r w:rsidRPr="0031660E">
              <w:rPr>
                <w:rFonts w:cs="Calibri"/>
                <w:color w:val="auto"/>
              </w:rPr>
              <w:t>Approver</w:t>
            </w:r>
          </w:p>
        </w:tc>
        <w:tc>
          <w:tcPr>
            <w:tcW w:w="1397" w:type="pct"/>
          </w:tcPr>
          <w:p w14:paraId="353C599D" w14:textId="77777777" w:rsidR="007D41D6" w:rsidRPr="0031660E" w:rsidRDefault="007D41D6" w:rsidP="007D41D6">
            <w:pPr>
              <w:spacing w:before="120" w:after="120"/>
              <w:cnfStyle w:val="100000000000" w:firstRow="1" w:lastRow="0" w:firstColumn="0" w:lastColumn="0" w:oddVBand="0" w:evenVBand="0" w:oddHBand="0" w:evenHBand="0" w:firstRowFirstColumn="0" w:firstRowLastColumn="0" w:lastRowFirstColumn="0" w:lastRowLastColumn="0"/>
              <w:rPr>
                <w:rFonts w:cs="Calibri"/>
                <w:color w:val="auto"/>
              </w:rPr>
            </w:pPr>
            <w:r w:rsidRPr="0031660E">
              <w:rPr>
                <w:rFonts w:cs="Calibri"/>
                <w:color w:val="auto"/>
              </w:rPr>
              <w:t>Basis for Change</w:t>
            </w:r>
          </w:p>
        </w:tc>
      </w:tr>
      <w:tr w:rsidR="0031660E" w:rsidRPr="0031660E" w14:paraId="69DAB17C" w14:textId="77777777" w:rsidTr="008D26D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58" w:type="pct"/>
          </w:tcPr>
          <w:p w14:paraId="5574366D" w14:textId="0E45F923" w:rsidR="00F730F5" w:rsidRPr="0031660E" w:rsidRDefault="00B25F07" w:rsidP="00F97BA7">
            <w:pPr>
              <w:rPr>
                <w:rFonts w:cstheme="minorHAnsi"/>
                <w:b w:val="0"/>
                <w:bCs w:val="0"/>
              </w:rPr>
            </w:pPr>
            <w:r>
              <w:rPr>
                <w:rFonts w:cstheme="minorHAnsi"/>
                <w:b w:val="0"/>
                <w:bCs w:val="0"/>
              </w:rPr>
              <w:t>November</w:t>
            </w:r>
            <w:r w:rsidRPr="0031660E">
              <w:rPr>
                <w:rFonts w:cstheme="minorHAnsi"/>
                <w:b w:val="0"/>
                <w:bCs w:val="0"/>
              </w:rPr>
              <w:t xml:space="preserve"> </w:t>
            </w:r>
            <w:r w:rsidR="00F730F5" w:rsidRPr="0031660E">
              <w:rPr>
                <w:rFonts w:cstheme="minorHAnsi"/>
                <w:b w:val="0"/>
                <w:bCs w:val="0"/>
              </w:rPr>
              <w:t>2023</w:t>
            </w:r>
          </w:p>
        </w:tc>
        <w:tc>
          <w:tcPr>
            <w:tcW w:w="1243" w:type="pct"/>
          </w:tcPr>
          <w:p w14:paraId="6658C9D7" w14:textId="247F4FDE" w:rsidR="00F730F5" w:rsidRPr="0031660E" w:rsidRDefault="00A23701"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Approval of amended 2023-24 CRIS</w:t>
            </w:r>
            <w:r w:rsidR="00F730F5" w:rsidRPr="0031660E">
              <w:rPr>
                <w:rFonts w:cstheme="minorHAnsi"/>
              </w:rPr>
              <w:t xml:space="preserve"> (V</w:t>
            </w:r>
            <w:r w:rsidR="000028D5">
              <w:rPr>
                <w:rFonts w:cstheme="minorHAnsi"/>
              </w:rPr>
              <w:t xml:space="preserve"> </w:t>
            </w:r>
            <w:r w:rsidR="00F730F5" w:rsidRPr="0031660E">
              <w:rPr>
                <w:rFonts w:cstheme="minorHAnsi"/>
              </w:rPr>
              <w:t>1.2)</w:t>
            </w:r>
          </w:p>
        </w:tc>
        <w:tc>
          <w:tcPr>
            <w:tcW w:w="1602" w:type="pct"/>
          </w:tcPr>
          <w:p w14:paraId="77443091" w14:textId="0AAB6D75" w:rsidR="00F730F5" w:rsidRPr="0031660E" w:rsidRDefault="00F730F5"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First Assistant Secretary, Technology Assessment and Access Division</w:t>
            </w:r>
          </w:p>
        </w:tc>
        <w:tc>
          <w:tcPr>
            <w:tcW w:w="1397" w:type="pct"/>
          </w:tcPr>
          <w:p w14:paraId="0E08275C" w14:textId="3FB033C4" w:rsidR="00F730F5" w:rsidRPr="0031660E" w:rsidRDefault="00F730F5"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Updated for 2022-23 financial results</w:t>
            </w:r>
          </w:p>
        </w:tc>
      </w:tr>
      <w:tr w:rsidR="0031660E" w:rsidRPr="0031660E" w14:paraId="73215530" w14:textId="77777777" w:rsidTr="008D26DD">
        <w:trPr>
          <w:trHeight w:val="57"/>
        </w:trPr>
        <w:tc>
          <w:tcPr>
            <w:cnfStyle w:val="001000000000" w:firstRow="0" w:lastRow="0" w:firstColumn="1" w:lastColumn="0" w:oddVBand="0" w:evenVBand="0" w:oddHBand="0" w:evenHBand="0" w:firstRowFirstColumn="0" w:firstRowLastColumn="0" w:lastRowFirstColumn="0" w:lastRowLastColumn="0"/>
            <w:tcW w:w="758" w:type="pct"/>
          </w:tcPr>
          <w:p w14:paraId="4D68EAF0" w14:textId="31D834EF" w:rsidR="00F97BA7" w:rsidRPr="0031660E" w:rsidRDefault="00F97BA7" w:rsidP="00F97BA7">
            <w:pPr>
              <w:rPr>
                <w:rFonts w:cstheme="minorHAnsi"/>
                <w:b w:val="0"/>
                <w:bCs w:val="0"/>
              </w:rPr>
            </w:pPr>
            <w:r w:rsidRPr="0031660E">
              <w:rPr>
                <w:rFonts w:cstheme="minorHAnsi"/>
                <w:b w:val="0"/>
                <w:bCs w:val="0"/>
              </w:rPr>
              <w:t>June 2023</w:t>
            </w:r>
          </w:p>
        </w:tc>
        <w:tc>
          <w:tcPr>
            <w:tcW w:w="1243" w:type="pct"/>
          </w:tcPr>
          <w:p w14:paraId="4D09D9D8" w14:textId="7C1BBA22"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Update of CRIS for 2023</w:t>
            </w:r>
            <w:r w:rsidRPr="0031660E">
              <w:rPr>
                <w:rFonts w:cstheme="minorHAnsi"/>
              </w:rPr>
              <w:noBreakHyphen/>
              <w:t>24 (Version 1.1)</w:t>
            </w:r>
          </w:p>
        </w:tc>
        <w:tc>
          <w:tcPr>
            <w:tcW w:w="1602" w:type="pct"/>
          </w:tcPr>
          <w:p w14:paraId="0DF71973" w14:textId="5D3DB641"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Minister for Health and Aged Care</w:t>
            </w:r>
          </w:p>
        </w:tc>
        <w:tc>
          <w:tcPr>
            <w:tcW w:w="1397" w:type="pct"/>
          </w:tcPr>
          <w:p w14:paraId="5B980C6B" w14:textId="4167513A"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Annual CRIS update</w:t>
            </w:r>
          </w:p>
        </w:tc>
      </w:tr>
      <w:tr w:rsidR="0031660E" w:rsidRPr="0031660E" w14:paraId="23A0C0FA" w14:textId="77777777" w:rsidTr="008D26D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58" w:type="pct"/>
          </w:tcPr>
          <w:p w14:paraId="1EE7421C" w14:textId="77777777" w:rsidR="00F97BA7" w:rsidRPr="0031660E" w:rsidRDefault="00F97BA7" w:rsidP="00F97BA7">
            <w:pPr>
              <w:rPr>
                <w:rFonts w:cstheme="minorHAnsi"/>
                <w:b w:val="0"/>
                <w:bCs w:val="0"/>
              </w:rPr>
            </w:pPr>
            <w:r w:rsidRPr="0031660E">
              <w:rPr>
                <w:rFonts w:cstheme="minorHAnsi"/>
                <w:b w:val="0"/>
                <w:bCs w:val="0"/>
              </w:rPr>
              <w:t>May 2023</w:t>
            </w:r>
          </w:p>
        </w:tc>
        <w:tc>
          <w:tcPr>
            <w:tcW w:w="1243" w:type="pct"/>
          </w:tcPr>
          <w:p w14:paraId="28DFEE1C"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Consultation draft for the 2023-24 CRIS approved for publication</w:t>
            </w:r>
          </w:p>
        </w:tc>
        <w:tc>
          <w:tcPr>
            <w:tcW w:w="1602" w:type="pct"/>
          </w:tcPr>
          <w:p w14:paraId="31BE7C05"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First Assistant Secretary, Technology Assessment and Access Division</w:t>
            </w:r>
          </w:p>
        </w:tc>
        <w:tc>
          <w:tcPr>
            <w:tcW w:w="1397" w:type="pct"/>
          </w:tcPr>
          <w:p w14:paraId="73A8891B"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Revised Cost Recovery arrangements to be implemented in line with the Australian Government Charging Framework</w:t>
            </w:r>
          </w:p>
        </w:tc>
      </w:tr>
      <w:tr w:rsidR="0031660E" w:rsidRPr="0031660E" w14:paraId="3DB6434E" w14:textId="77777777" w:rsidTr="008D26DD">
        <w:trPr>
          <w:trHeight w:val="57"/>
        </w:trPr>
        <w:tc>
          <w:tcPr>
            <w:cnfStyle w:val="001000000000" w:firstRow="0" w:lastRow="0" w:firstColumn="1" w:lastColumn="0" w:oddVBand="0" w:evenVBand="0" w:oddHBand="0" w:evenHBand="0" w:firstRowFirstColumn="0" w:firstRowLastColumn="0" w:lastRowFirstColumn="0" w:lastRowLastColumn="0"/>
            <w:tcW w:w="758" w:type="pct"/>
          </w:tcPr>
          <w:p w14:paraId="2FF68364" w14:textId="77777777" w:rsidR="00F97BA7" w:rsidRPr="0031660E" w:rsidRDefault="00F97BA7" w:rsidP="00F97BA7">
            <w:pPr>
              <w:rPr>
                <w:rFonts w:cstheme="minorHAnsi"/>
                <w:b w:val="0"/>
                <w:bCs w:val="0"/>
              </w:rPr>
            </w:pPr>
            <w:r w:rsidRPr="0031660E">
              <w:rPr>
                <w:rFonts w:cstheme="minorHAnsi"/>
                <w:b w:val="0"/>
                <w:bCs w:val="0"/>
              </w:rPr>
              <w:t>November 2022</w:t>
            </w:r>
          </w:p>
        </w:tc>
        <w:tc>
          <w:tcPr>
            <w:tcW w:w="1243" w:type="pct"/>
          </w:tcPr>
          <w:p w14:paraId="1F1B7244"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Update of CRIS with 2021-22 financial performance data (Version 1.2)</w:t>
            </w:r>
          </w:p>
        </w:tc>
        <w:tc>
          <w:tcPr>
            <w:tcW w:w="1602" w:type="pct"/>
          </w:tcPr>
          <w:p w14:paraId="7AFB537F"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First Assistant Secretary, Technology Assessment and Access Division</w:t>
            </w:r>
          </w:p>
        </w:tc>
        <w:tc>
          <w:tcPr>
            <w:tcW w:w="1397" w:type="pct"/>
          </w:tcPr>
          <w:p w14:paraId="16BF2334"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Updated for 2021-22 financial results</w:t>
            </w:r>
          </w:p>
        </w:tc>
      </w:tr>
      <w:tr w:rsidR="0031660E" w:rsidRPr="0031660E" w14:paraId="0C6D01A1" w14:textId="77777777" w:rsidTr="008D26D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58" w:type="pct"/>
          </w:tcPr>
          <w:p w14:paraId="1440D0C5" w14:textId="77777777" w:rsidR="00F97BA7" w:rsidRPr="0031660E" w:rsidRDefault="00F97BA7" w:rsidP="00F97BA7">
            <w:pPr>
              <w:rPr>
                <w:rFonts w:cstheme="minorHAnsi"/>
                <w:b w:val="0"/>
                <w:bCs w:val="0"/>
              </w:rPr>
            </w:pPr>
            <w:r w:rsidRPr="0031660E">
              <w:rPr>
                <w:rFonts w:cstheme="minorHAnsi"/>
                <w:b w:val="0"/>
                <w:bCs w:val="0"/>
              </w:rPr>
              <w:t>June 2022</w:t>
            </w:r>
          </w:p>
        </w:tc>
        <w:tc>
          <w:tcPr>
            <w:tcW w:w="1243" w:type="pct"/>
          </w:tcPr>
          <w:p w14:paraId="1595C958"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Update of CRIS for 2022</w:t>
            </w:r>
            <w:r w:rsidRPr="0031660E">
              <w:rPr>
                <w:rFonts w:cstheme="minorHAnsi"/>
              </w:rPr>
              <w:noBreakHyphen/>
              <w:t>23 (Version 1.1)</w:t>
            </w:r>
          </w:p>
        </w:tc>
        <w:tc>
          <w:tcPr>
            <w:tcW w:w="1602" w:type="pct"/>
          </w:tcPr>
          <w:p w14:paraId="2E59FC27"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First Assistant Secretary, Technology Assessment and Access Division</w:t>
            </w:r>
          </w:p>
        </w:tc>
        <w:tc>
          <w:tcPr>
            <w:tcW w:w="1397" w:type="pct"/>
          </w:tcPr>
          <w:p w14:paraId="4D2B2D13"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Annual CRIS update</w:t>
            </w:r>
          </w:p>
        </w:tc>
      </w:tr>
      <w:tr w:rsidR="0031660E" w:rsidRPr="0031660E" w14:paraId="7E261388" w14:textId="77777777" w:rsidTr="008D26DD">
        <w:trPr>
          <w:trHeight w:val="57"/>
        </w:trPr>
        <w:tc>
          <w:tcPr>
            <w:cnfStyle w:val="001000000000" w:firstRow="0" w:lastRow="0" w:firstColumn="1" w:lastColumn="0" w:oddVBand="0" w:evenVBand="0" w:oddHBand="0" w:evenHBand="0" w:firstRowFirstColumn="0" w:firstRowLastColumn="0" w:lastRowFirstColumn="0" w:lastRowLastColumn="0"/>
            <w:tcW w:w="758" w:type="pct"/>
          </w:tcPr>
          <w:p w14:paraId="4CE43B27" w14:textId="77777777" w:rsidR="00F97BA7" w:rsidRPr="0031660E" w:rsidRDefault="00F97BA7" w:rsidP="00F97BA7">
            <w:pPr>
              <w:rPr>
                <w:rFonts w:cstheme="minorHAnsi"/>
                <w:b w:val="0"/>
                <w:bCs w:val="0"/>
              </w:rPr>
            </w:pPr>
            <w:r w:rsidRPr="0031660E">
              <w:rPr>
                <w:rFonts w:cstheme="minorHAnsi"/>
                <w:b w:val="0"/>
                <w:bCs w:val="0"/>
              </w:rPr>
              <w:t>November 2021</w:t>
            </w:r>
          </w:p>
        </w:tc>
        <w:tc>
          <w:tcPr>
            <w:tcW w:w="1243" w:type="pct"/>
          </w:tcPr>
          <w:p w14:paraId="6ABE33D0"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Update of CRIS with 2020</w:t>
            </w:r>
            <w:r w:rsidRPr="0031660E">
              <w:rPr>
                <w:rFonts w:cstheme="minorHAnsi"/>
              </w:rPr>
              <w:noBreakHyphen/>
              <w:t>21 financial performance data (Version 1.1)</w:t>
            </w:r>
          </w:p>
        </w:tc>
        <w:tc>
          <w:tcPr>
            <w:tcW w:w="1602" w:type="pct"/>
          </w:tcPr>
          <w:p w14:paraId="1DD69AF1"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First Assistant Secretary, Technology Assessment and Access Division</w:t>
            </w:r>
          </w:p>
        </w:tc>
        <w:tc>
          <w:tcPr>
            <w:tcW w:w="1397" w:type="pct"/>
          </w:tcPr>
          <w:p w14:paraId="4D02C400"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Updated for 2020-21 financial results</w:t>
            </w:r>
          </w:p>
        </w:tc>
      </w:tr>
      <w:tr w:rsidR="0031660E" w:rsidRPr="0031660E" w14:paraId="1CD7266C" w14:textId="77777777" w:rsidTr="008D26D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58" w:type="pct"/>
          </w:tcPr>
          <w:p w14:paraId="15C838F4" w14:textId="77777777" w:rsidR="00F97BA7" w:rsidRPr="0031660E" w:rsidRDefault="00F97BA7" w:rsidP="00F97BA7">
            <w:pPr>
              <w:rPr>
                <w:rFonts w:cstheme="minorHAnsi"/>
                <w:b w:val="0"/>
                <w:bCs w:val="0"/>
              </w:rPr>
            </w:pPr>
            <w:r w:rsidRPr="0031660E">
              <w:rPr>
                <w:rFonts w:cstheme="minorHAnsi"/>
                <w:b w:val="0"/>
                <w:bCs w:val="0"/>
              </w:rPr>
              <w:t>June 2021</w:t>
            </w:r>
          </w:p>
        </w:tc>
        <w:tc>
          <w:tcPr>
            <w:tcW w:w="1243" w:type="pct"/>
          </w:tcPr>
          <w:p w14:paraId="3D3D9586"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Update of CRIS for 2021</w:t>
            </w:r>
            <w:r w:rsidRPr="0031660E">
              <w:rPr>
                <w:rFonts w:cstheme="minorHAnsi"/>
              </w:rPr>
              <w:noBreakHyphen/>
              <w:t>22 (Version 1.0)</w:t>
            </w:r>
          </w:p>
        </w:tc>
        <w:tc>
          <w:tcPr>
            <w:tcW w:w="1602" w:type="pct"/>
          </w:tcPr>
          <w:p w14:paraId="7E9E07F3"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First Assistant Secretary, Technology Assessment and Access Division</w:t>
            </w:r>
          </w:p>
        </w:tc>
        <w:tc>
          <w:tcPr>
            <w:tcW w:w="1397" w:type="pct"/>
          </w:tcPr>
          <w:p w14:paraId="0FA3E00E"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Annual CRIS update</w:t>
            </w:r>
          </w:p>
        </w:tc>
      </w:tr>
      <w:tr w:rsidR="0031660E" w:rsidRPr="0031660E" w14:paraId="3E688810" w14:textId="77777777" w:rsidTr="008D26DD">
        <w:trPr>
          <w:trHeight w:val="57"/>
        </w:trPr>
        <w:tc>
          <w:tcPr>
            <w:cnfStyle w:val="001000000000" w:firstRow="0" w:lastRow="0" w:firstColumn="1" w:lastColumn="0" w:oddVBand="0" w:evenVBand="0" w:oddHBand="0" w:evenHBand="0" w:firstRowFirstColumn="0" w:firstRowLastColumn="0" w:lastRowFirstColumn="0" w:lastRowLastColumn="0"/>
            <w:tcW w:w="758" w:type="pct"/>
          </w:tcPr>
          <w:p w14:paraId="04E9AC98" w14:textId="77777777" w:rsidR="00F97BA7" w:rsidRPr="0031660E" w:rsidRDefault="00F97BA7" w:rsidP="00F97BA7">
            <w:pPr>
              <w:rPr>
                <w:rFonts w:cstheme="minorHAnsi"/>
                <w:b w:val="0"/>
                <w:bCs w:val="0"/>
              </w:rPr>
            </w:pPr>
            <w:r w:rsidRPr="0031660E">
              <w:rPr>
                <w:rFonts w:cstheme="minorHAnsi"/>
                <w:b w:val="0"/>
                <w:bCs w:val="0"/>
              </w:rPr>
              <w:t>April 2021</w:t>
            </w:r>
          </w:p>
        </w:tc>
        <w:tc>
          <w:tcPr>
            <w:tcW w:w="1243" w:type="pct"/>
          </w:tcPr>
          <w:p w14:paraId="138EEEE8"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Update of CRIS for 2019</w:t>
            </w:r>
            <w:r w:rsidRPr="0031660E">
              <w:rPr>
                <w:rFonts w:cstheme="minorHAnsi"/>
              </w:rPr>
              <w:noBreakHyphen/>
              <w:t>20 performance data</w:t>
            </w:r>
          </w:p>
        </w:tc>
        <w:tc>
          <w:tcPr>
            <w:tcW w:w="1602" w:type="pct"/>
          </w:tcPr>
          <w:p w14:paraId="6D6FE9C9"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First Assistant Secretary, Technology Assessment and Access Division</w:t>
            </w:r>
          </w:p>
        </w:tc>
        <w:tc>
          <w:tcPr>
            <w:tcW w:w="1397" w:type="pct"/>
          </w:tcPr>
          <w:p w14:paraId="7968A400"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Updated for 2019-20 financial results</w:t>
            </w:r>
          </w:p>
        </w:tc>
      </w:tr>
      <w:tr w:rsidR="0031660E" w:rsidRPr="0031660E" w14:paraId="1645D9AC" w14:textId="77777777" w:rsidTr="008D26D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58" w:type="pct"/>
          </w:tcPr>
          <w:p w14:paraId="4B38B596" w14:textId="77777777" w:rsidR="00F97BA7" w:rsidRPr="0031660E" w:rsidRDefault="00F97BA7" w:rsidP="00F97BA7">
            <w:pPr>
              <w:rPr>
                <w:rFonts w:cstheme="minorHAnsi"/>
                <w:b w:val="0"/>
                <w:bCs w:val="0"/>
              </w:rPr>
            </w:pPr>
            <w:r w:rsidRPr="0031660E">
              <w:rPr>
                <w:rFonts w:cstheme="minorHAnsi"/>
                <w:b w:val="0"/>
                <w:bCs w:val="0"/>
              </w:rPr>
              <w:t>June 2020</w:t>
            </w:r>
          </w:p>
        </w:tc>
        <w:tc>
          <w:tcPr>
            <w:tcW w:w="1243" w:type="pct"/>
          </w:tcPr>
          <w:p w14:paraId="599B2B49"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Update of CRIS for 2020-21</w:t>
            </w:r>
          </w:p>
        </w:tc>
        <w:tc>
          <w:tcPr>
            <w:tcW w:w="1602" w:type="pct"/>
          </w:tcPr>
          <w:p w14:paraId="30D869A9"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First Assistant Secretary, Technology Assessment and Access Division</w:t>
            </w:r>
          </w:p>
        </w:tc>
        <w:tc>
          <w:tcPr>
            <w:tcW w:w="1397" w:type="pct"/>
          </w:tcPr>
          <w:p w14:paraId="795A3F93"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 xml:space="preserve">Annual CRIS update </w:t>
            </w:r>
          </w:p>
        </w:tc>
      </w:tr>
      <w:tr w:rsidR="0031660E" w:rsidRPr="0031660E" w14:paraId="4113C104" w14:textId="77777777" w:rsidTr="008D26DD">
        <w:trPr>
          <w:trHeight w:val="57"/>
        </w:trPr>
        <w:tc>
          <w:tcPr>
            <w:cnfStyle w:val="001000000000" w:firstRow="0" w:lastRow="0" w:firstColumn="1" w:lastColumn="0" w:oddVBand="0" w:evenVBand="0" w:oddHBand="0" w:evenHBand="0" w:firstRowFirstColumn="0" w:firstRowLastColumn="0" w:lastRowFirstColumn="0" w:lastRowLastColumn="0"/>
            <w:tcW w:w="758" w:type="pct"/>
          </w:tcPr>
          <w:p w14:paraId="10BC6B49" w14:textId="77777777" w:rsidR="00F97BA7" w:rsidRPr="0031660E" w:rsidRDefault="00F97BA7" w:rsidP="00F97BA7">
            <w:pPr>
              <w:rPr>
                <w:rFonts w:cstheme="minorHAnsi"/>
                <w:b w:val="0"/>
                <w:bCs w:val="0"/>
              </w:rPr>
            </w:pPr>
            <w:r w:rsidRPr="0031660E">
              <w:rPr>
                <w:rFonts w:cstheme="minorHAnsi"/>
                <w:b w:val="0"/>
                <w:bCs w:val="0"/>
              </w:rPr>
              <w:t>November 2019</w:t>
            </w:r>
          </w:p>
        </w:tc>
        <w:tc>
          <w:tcPr>
            <w:tcW w:w="1243" w:type="pct"/>
          </w:tcPr>
          <w:p w14:paraId="276C9428"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Update of CRIS for 2018-19 performance data</w:t>
            </w:r>
          </w:p>
        </w:tc>
        <w:tc>
          <w:tcPr>
            <w:tcW w:w="1602" w:type="pct"/>
          </w:tcPr>
          <w:p w14:paraId="0B7C84B2"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First Assistant Secretary, Technology Assessment and Access Division</w:t>
            </w:r>
          </w:p>
        </w:tc>
        <w:tc>
          <w:tcPr>
            <w:tcW w:w="1397" w:type="pct"/>
          </w:tcPr>
          <w:p w14:paraId="42FB630D"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Updated for 2018-19 financial results</w:t>
            </w:r>
          </w:p>
        </w:tc>
      </w:tr>
      <w:tr w:rsidR="0031660E" w:rsidRPr="0031660E" w14:paraId="7E90DE7F" w14:textId="77777777" w:rsidTr="008D26D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58" w:type="pct"/>
          </w:tcPr>
          <w:p w14:paraId="2DE08162" w14:textId="77777777" w:rsidR="00F97BA7" w:rsidRPr="0031660E" w:rsidRDefault="00F97BA7" w:rsidP="00F97BA7">
            <w:pPr>
              <w:rPr>
                <w:rFonts w:cstheme="minorHAnsi"/>
                <w:b w:val="0"/>
                <w:bCs w:val="0"/>
              </w:rPr>
            </w:pPr>
            <w:r w:rsidRPr="0031660E">
              <w:rPr>
                <w:rFonts w:cstheme="minorHAnsi"/>
                <w:b w:val="0"/>
                <w:bCs w:val="0"/>
              </w:rPr>
              <w:t>June 2019</w:t>
            </w:r>
          </w:p>
        </w:tc>
        <w:tc>
          <w:tcPr>
            <w:tcW w:w="1243" w:type="pct"/>
          </w:tcPr>
          <w:p w14:paraId="18D058A8"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Update of CRIS for 2018-19 and 2019-20</w:t>
            </w:r>
          </w:p>
        </w:tc>
        <w:tc>
          <w:tcPr>
            <w:tcW w:w="1602" w:type="pct"/>
          </w:tcPr>
          <w:p w14:paraId="0BE5E686"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Secretary, Department of Health</w:t>
            </w:r>
          </w:p>
        </w:tc>
        <w:tc>
          <w:tcPr>
            <w:tcW w:w="1397" w:type="pct"/>
          </w:tcPr>
          <w:p w14:paraId="0DC94CB8"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 xml:space="preserve">Updated for 2017-18 financial results and financial estimates </w:t>
            </w:r>
          </w:p>
        </w:tc>
      </w:tr>
      <w:tr w:rsidR="0031660E" w:rsidRPr="0031660E" w14:paraId="2C5AAEE5" w14:textId="77777777" w:rsidTr="008D26DD">
        <w:trPr>
          <w:trHeight w:val="57"/>
        </w:trPr>
        <w:tc>
          <w:tcPr>
            <w:cnfStyle w:val="001000000000" w:firstRow="0" w:lastRow="0" w:firstColumn="1" w:lastColumn="0" w:oddVBand="0" w:evenVBand="0" w:oddHBand="0" w:evenHBand="0" w:firstRowFirstColumn="0" w:firstRowLastColumn="0" w:lastRowFirstColumn="0" w:lastRowLastColumn="0"/>
            <w:tcW w:w="758" w:type="pct"/>
          </w:tcPr>
          <w:p w14:paraId="16B49C0F" w14:textId="77777777" w:rsidR="00F97BA7" w:rsidRPr="0031660E" w:rsidRDefault="00F97BA7" w:rsidP="00F97BA7">
            <w:pPr>
              <w:rPr>
                <w:rFonts w:cstheme="minorHAnsi"/>
                <w:b w:val="0"/>
                <w:bCs w:val="0"/>
              </w:rPr>
            </w:pPr>
            <w:r w:rsidRPr="0031660E">
              <w:rPr>
                <w:rFonts w:cstheme="minorHAnsi"/>
                <w:b w:val="0"/>
                <w:bCs w:val="0"/>
              </w:rPr>
              <w:lastRenderedPageBreak/>
              <w:t>July 2018</w:t>
            </w:r>
          </w:p>
        </w:tc>
        <w:tc>
          <w:tcPr>
            <w:tcW w:w="1243" w:type="pct"/>
          </w:tcPr>
          <w:p w14:paraId="29D3B0E9"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Update of CRIS for 2017-18</w:t>
            </w:r>
          </w:p>
        </w:tc>
        <w:tc>
          <w:tcPr>
            <w:tcW w:w="1602" w:type="pct"/>
          </w:tcPr>
          <w:p w14:paraId="39369CBB"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First Assistant Secretary, Technology Assessment and Access Division</w:t>
            </w:r>
          </w:p>
        </w:tc>
        <w:tc>
          <w:tcPr>
            <w:tcW w:w="1397" w:type="pct"/>
          </w:tcPr>
          <w:p w14:paraId="7F2793B6"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Update of financial estimates</w:t>
            </w:r>
          </w:p>
        </w:tc>
      </w:tr>
      <w:tr w:rsidR="0031660E" w:rsidRPr="0031660E" w14:paraId="14B61EF6" w14:textId="77777777" w:rsidTr="008D26D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58" w:type="pct"/>
          </w:tcPr>
          <w:p w14:paraId="2DF451BF" w14:textId="77777777" w:rsidR="00F97BA7" w:rsidRPr="0031660E" w:rsidRDefault="00F97BA7" w:rsidP="00F97BA7">
            <w:pPr>
              <w:rPr>
                <w:rFonts w:cstheme="minorHAnsi"/>
                <w:b w:val="0"/>
                <w:bCs w:val="0"/>
              </w:rPr>
            </w:pPr>
            <w:r w:rsidRPr="0031660E">
              <w:rPr>
                <w:rFonts w:cstheme="minorHAnsi"/>
                <w:b w:val="0"/>
                <w:bCs w:val="0"/>
              </w:rPr>
              <w:t>February 2018</w:t>
            </w:r>
          </w:p>
        </w:tc>
        <w:tc>
          <w:tcPr>
            <w:tcW w:w="1243" w:type="pct"/>
          </w:tcPr>
          <w:p w14:paraId="10F0DBF7"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 xml:space="preserve">Update of 2016-17 performance data </w:t>
            </w:r>
          </w:p>
        </w:tc>
        <w:tc>
          <w:tcPr>
            <w:tcW w:w="1602" w:type="pct"/>
          </w:tcPr>
          <w:p w14:paraId="03334277"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Secretary, Department of Health</w:t>
            </w:r>
          </w:p>
        </w:tc>
        <w:tc>
          <w:tcPr>
            <w:tcW w:w="1397" w:type="pct"/>
          </w:tcPr>
          <w:p w14:paraId="60897764"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 xml:space="preserve">Updated for 2016-17 financial results </w:t>
            </w:r>
          </w:p>
        </w:tc>
      </w:tr>
      <w:tr w:rsidR="0031660E" w:rsidRPr="0031660E" w14:paraId="5124AAC0" w14:textId="77777777" w:rsidTr="008D26DD">
        <w:trPr>
          <w:trHeight w:val="57"/>
        </w:trPr>
        <w:tc>
          <w:tcPr>
            <w:cnfStyle w:val="001000000000" w:firstRow="0" w:lastRow="0" w:firstColumn="1" w:lastColumn="0" w:oddVBand="0" w:evenVBand="0" w:oddHBand="0" w:evenHBand="0" w:firstRowFirstColumn="0" w:firstRowLastColumn="0" w:lastRowFirstColumn="0" w:lastRowLastColumn="0"/>
            <w:tcW w:w="758" w:type="pct"/>
          </w:tcPr>
          <w:p w14:paraId="29CE6F80" w14:textId="77777777" w:rsidR="00F97BA7" w:rsidRPr="0031660E" w:rsidRDefault="00F97BA7" w:rsidP="00F97BA7">
            <w:pPr>
              <w:rPr>
                <w:rFonts w:cstheme="minorHAnsi"/>
                <w:b w:val="0"/>
                <w:bCs w:val="0"/>
              </w:rPr>
            </w:pPr>
            <w:r w:rsidRPr="0031660E">
              <w:rPr>
                <w:rFonts w:cstheme="minorHAnsi"/>
                <w:b w:val="0"/>
                <w:bCs w:val="0"/>
              </w:rPr>
              <w:t>24 October 2016</w:t>
            </w:r>
          </w:p>
        </w:tc>
        <w:tc>
          <w:tcPr>
            <w:tcW w:w="1243" w:type="pct"/>
          </w:tcPr>
          <w:p w14:paraId="6F985AD0"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Agreement</w:t>
            </w:r>
          </w:p>
        </w:tc>
        <w:tc>
          <w:tcPr>
            <w:tcW w:w="1602" w:type="pct"/>
          </w:tcPr>
          <w:p w14:paraId="42E0CB2F"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Minister for Health and Aged Care</w:t>
            </w:r>
          </w:p>
        </w:tc>
        <w:tc>
          <w:tcPr>
            <w:tcW w:w="1397" w:type="pct"/>
          </w:tcPr>
          <w:p w14:paraId="44DF9A06" w14:textId="77777777" w:rsidR="00F97BA7" w:rsidRPr="0031660E" w:rsidRDefault="00F97BA7" w:rsidP="00F97BA7">
            <w:pPr>
              <w:cnfStyle w:val="000000000000" w:firstRow="0" w:lastRow="0" w:firstColumn="0" w:lastColumn="0" w:oddVBand="0" w:evenVBand="0" w:oddHBand="0" w:evenHBand="0" w:firstRowFirstColumn="0" w:firstRowLastColumn="0" w:lastRowFirstColumn="0" w:lastRowLastColumn="0"/>
              <w:rPr>
                <w:rFonts w:cstheme="minorHAnsi"/>
              </w:rPr>
            </w:pPr>
            <w:r w:rsidRPr="0031660E">
              <w:rPr>
                <w:rFonts w:cstheme="minorHAnsi"/>
              </w:rPr>
              <w:t>Review of Cost Recovery</w:t>
            </w:r>
          </w:p>
        </w:tc>
      </w:tr>
      <w:tr w:rsidR="0031660E" w:rsidRPr="0031660E" w14:paraId="44B715B5" w14:textId="77777777" w:rsidTr="008D26D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58" w:type="pct"/>
          </w:tcPr>
          <w:p w14:paraId="06B76809" w14:textId="77777777" w:rsidR="00F97BA7" w:rsidRPr="0031660E" w:rsidRDefault="00F97BA7" w:rsidP="00F97BA7">
            <w:pPr>
              <w:rPr>
                <w:rFonts w:cstheme="minorHAnsi"/>
                <w:b w:val="0"/>
                <w:bCs w:val="0"/>
              </w:rPr>
            </w:pPr>
            <w:r w:rsidRPr="0031660E">
              <w:rPr>
                <w:rFonts w:cstheme="minorHAnsi"/>
                <w:b w:val="0"/>
                <w:bCs w:val="0"/>
              </w:rPr>
              <w:t>16 August 2016</w:t>
            </w:r>
          </w:p>
        </w:tc>
        <w:tc>
          <w:tcPr>
            <w:tcW w:w="1243" w:type="pct"/>
          </w:tcPr>
          <w:p w14:paraId="451EE468"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Certification</w:t>
            </w:r>
          </w:p>
        </w:tc>
        <w:tc>
          <w:tcPr>
            <w:tcW w:w="1602" w:type="pct"/>
          </w:tcPr>
          <w:p w14:paraId="4D2D3A07"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Secretary, Department of Health</w:t>
            </w:r>
          </w:p>
        </w:tc>
        <w:tc>
          <w:tcPr>
            <w:tcW w:w="1397" w:type="pct"/>
          </w:tcPr>
          <w:p w14:paraId="5B180CFC" w14:textId="77777777" w:rsidR="00F97BA7" w:rsidRPr="0031660E" w:rsidRDefault="00F97BA7" w:rsidP="00F97BA7">
            <w:pPr>
              <w:cnfStyle w:val="000000100000" w:firstRow="0" w:lastRow="0" w:firstColumn="0" w:lastColumn="0" w:oddVBand="0" w:evenVBand="0" w:oddHBand="1" w:evenHBand="0" w:firstRowFirstColumn="0" w:firstRowLastColumn="0" w:lastRowFirstColumn="0" w:lastRowLastColumn="0"/>
              <w:rPr>
                <w:rFonts w:cstheme="minorHAnsi"/>
              </w:rPr>
            </w:pPr>
            <w:r w:rsidRPr="0031660E">
              <w:rPr>
                <w:rFonts w:cstheme="minorHAnsi"/>
              </w:rPr>
              <w:t>Review of Cost Recovery</w:t>
            </w:r>
          </w:p>
        </w:tc>
      </w:tr>
    </w:tbl>
    <w:p w14:paraId="78425415" w14:textId="62B1CA6F" w:rsidR="007D41D6" w:rsidRPr="0031660E" w:rsidRDefault="007D41D6"/>
    <w:p w14:paraId="59AFECB3" w14:textId="4D1869D7" w:rsidR="00E40EED" w:rsidRPr="0031660E" w:rsidRDefault="00E40EED"/>
    <w:p w14:paraId="3CA13CA4" w14:textId="10A029C3" w:rsidR="00E40EED" w:rsidRPr="0031660E" w:rsidRDefault="00E40EED"/>
    <w:p w14:paraId="6B6ECA92" w14:textId="145E2DBD" w:rsidR="00E40EED" w:rsidRPr="0031660E" w:rsidRDefault="00E40EED"/>
    <w:p w14:paraId="7C0D784F" w14:textId="2BCD67EF" w:rsidR="00E40EED" w:rsidRPr="0031660E" w:rsidRDefault="00E40EED"/>
    <w:p w14:paraId="021911C5" w14:textId="16CB7328" w:rsidR="00E40EED" w:rsidRPr="0031660E" w:rsidRDefault="00E40EED"/>
    <w:p w14:paraId="160D8F0B" w14:textId="21354462" w:rsidR="00E40EED" w:rsidRPr="0031660E" w:rsidRDefault="00E40EED"/>
    <w:p w14:paraId="138D1D99" w14:textId="27B540B0" w:rsidR="00E40EED" w:rsidRPr="0031660E" w:rsidRDefault="00E40EED"/>
    <w:p w14:paraId="172F8368" w14:textId="77777777" w:rsidR="00000BD6" w:rsidRPr="0031660E" w:rsidRDefault="00000BD6" w:rsidP="00E40EED">
      <w:pPr>
        <w:rPr>
          <w:b/>
        </w:rPr>
        <w:sectPr w:rsidR="00000BD6" w:rsidRPr="0031660E">
          <w:pgSz w:w="11906" w:h="16838"/>
          <w:pgMar w:top="1440" w:right="1440" w:bottom="1440" w:left="1440" w:header="708" w:footer="708" w:gutter="0"/>
          <w:cols w:space="708"/>
          <w:docGrid w:linePitch="360"/>
        </w:sectPr>
      </w:pPr>
    </w:p>
    <w:p w14:paraId="1F1E0DEF" w14:textId="41AEC9AD" w:rsidR="00E40EED" w:rsidRPr="0031660E" w:rsidRDefault="00E40EED" w:rsidP="00E40EED">
      <w:pPr>
        <w:rPr>
          <w:b/>
        </w:rPr>
      </w:pPr>
      <w:r w:rsidRPr="0031660E">
        <w:rPr>
          <w:b/>
        </w:rPr>
        <w:lastRenderedPageBreak/>
        <w:t>9. ATTACHMENT A – SUMMARY OF MAIN STAKEHOLDER VIEWS ON REQUIRED CRIS CONSULTATION AND RELATED DEPARTMENT RESPONSES  2023-24</w:t>
      </w:r>
    </w:p>
    <w:tbl>
      <w:tblPr>
        <w:tblStyle w:val="TableGrid1"/>
        <w:tblW w:w="5000" w:type="pct"/>
        <w:tblLook w:val="04A0" w:firstRow="1" w:lastRow="0" w:firstColumn="1" w:lastColumn="0" w:noHBand="0" w:noVBand="1"/>
      </w:tblPr>
      <w:tblGrid>
        <w:gridCol w:w="6974"/>
        <w:gridCol w:w="6974"/>
      </w:tblGrid>
      <w:tr w:rsidR="0031660E" w:rsidRPr="0031660E" w14:paraId="614E6BFA" w14:textId="77777777" w:rsidTr="00000BD6">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000000" w:themeFill="text1"/>
          </w:tcPr>
          <w:p w14:paraId="1B4D0265" w14:textId="4B5BCE92" w:rsidR="00E40EED" w:rsidRPr="0031660E" w:rsidRDefault="00E40EED">
            <w:pPr>
              <w:rPr>
                <w:szCs w:val="22"/>
              </w:rPr>
            </w:pPr>
            <w:r w:rsidRPr="0031660E">
              <w:rPr>
                <w:szCs w:val="22"/>
              </w:rPr>
              <w:t xml:space="preserve">Stakeholder Comment </w:t>
            </w:r>
          </w:p>
        </w:tc>
        <w:tc>
          <w:tcPr>
            <w:tcW w:w="2500" w:type="pct"/>
            <w:shd w:val="clear" w:color="auto" w:fill="000000" w:themeFill="text1"/>
          </w:tcPr>
          <w:p w14:paraId="7461A6F1" w14:textId="25ABD290" w:rsidR="00E40EED" w:rsidRPr="0031660E" w:rsidRDefault="00E40EED">
            <w:pPr>
              <w:rPr>
                <w:szCs w:val="22"/>
              </w:rPr>
            </w:pPr>
            <w:r w:rsidRPr="0031660E">
              <w:rPr>
                <w:szCs w:val="22"/>
              </w:rPr>
              <w:t>Response</w:t>
            </w:r>
          </w:p>
        </w:tc>
      </w:tr>
      <w:tr w:rsidR="0031660E" w:rsidRPr="0031660E" w14:paraId="4368E2C2" w14:textId="77777777" w:rsidTr="00C842AE">
        <w:tc>
          <w:tcPr>
            <w:tcW w:w="5000" w:type="pct"/>
            <w:gridSpan w:val="2"/>
            <w:shd w:val="clear" w:color="auto" w:fill="D0CECE" w:themeFill="background2" w:themeFillShade="E6"/>
          </w:tcPr>
          <w:p w14:paraId="16CCA1D3" w14:textId="41C817BE" w:rsidR="00E40EED" w:rsidRPr="0031660E" w:rsidRDefault="00561B42">
            <w:pPr>
              <w:rPr>
                <w:szCs w:val="22"/>
              </w:rPr>
            </w:pPr>
            <w:r w:rsidRPr="0031660E">
              <w:rPr>
                <w:szCs w:val="22"/>
              </w:rPr>
              <w:t>Fees</w:t>
            </w:r>
          </w:p>
        </w:tc>
      </w:tr>
      <w:tr w:rsidR="0031660E" w:rsidRPr="0031660E" w14:paraId="70454603" w14:textId="77777777" w:rsidTr="00000BD6">
        <w:tc>
          <w:tcPr>
            <w:tcW w:w="2500" w:type="pct"/>
          </w:tcPr>
          <w:p w14:paraId="0DC8CA15" w14:textId="21B1CCA9" w:rsidR="00000BD6" w:rsidRPr="0031660E" w:rsidRDefault="000718E6">
            <w:pPr>
              <w:rPr>
                <w:szCs w:val="22"/>
              </w:rPr>
            </w:pPr>
            <w:r w:rsidRPr="0031660E">
              <w:rPr>
                <w:szCs w:val="22"/>
              </w:rPr>
              <w:t>Stakeholders indicated that the level of cost recovery is higher than expected.</w:t>
            </w:r>
          </w:p>
        </w:tc>
        <w:tc>
          <w:tcPr>
            <w:tcW w:w="2500" w:type="pct"/>
          </w:tcPr>
          <w:p w14:paraId="789D70A7" w14:textId="12B7F139" w:rsidR="008542DE" w:rsidRPr="0031660E" w:rsidRDefault="00C842AE">
            <w:pPr>
              <w:rPr>
                <w:szCs w:val="22"/>
              </w:rPr>
            </w:pPr>
            <w:r w:rsidRPr="0031660E">
              <w:rPr>
                <w:szCs w:val="22"/>
              </w:rPr>
              <w:t>The</w:t>
            </w:r>
            <w:r w:rsidR="008542DE" w:rsidRPr="0031660E">
              <w:rPr>
                <w:szCs w:val="22"/>
              </w:rPr>
              <w:t xml:space="preserve"> </w:t>
            </w:r>
            <w:r w:rsidR="00D817DF" w:rsidRPr="0031660E">
              <w:rPr>
                <w:szCs w:val="22"/>
              </w:rPr>
              <w:t>d</w:t>
            </w:r>
            <w:r w:rsidR="008542DE" w:rsidRPr="0031660E">
              <w:rPr>
                <w:szCs w:val="22"/>
              </w:rPr>
              <w:t xml:space="preserve">epartment has developed an activity-based cost model in alignment with the Australian Government Charging Framework.  </w:t>
            </w:r>
          </w:p>
          <w:p w14:paraId="68FEFA5D" w14:textId="689D0DAA" w:rsidR="00000BD6" w:rsidRPr="0031660E" w:rsidRDefault="008542DE">
            <w:pPr>
              <w:rPr>
                <w:szCs w:val="22"/>
              </w:rPr>
            </w:pPr>
            <w:r w:rsidRPr="0031660E">
              <w:rPr>
                <w:szCs w:val="22"/>
              </w:rPr>
              <w:t>The fees represent the minimum efficient cost of administering the Prescribed List</w:t>
            </w:r>
            <w:r w:rsidR="00B15A44" w:rsidRPr="0031660E">
              <w:rPr>
                <w:szCs w:val="22"/>
              </w:rPr>
              <w:t xml:space="preserve"> as determined by a comprehensive review of all relevant expenses incurred during administration and assessment of applications. </w:t>
            </w:r>
          </w:p>
          <w:p w14:paraId="0ED10D9D" w14:textId="77777777" w:rsidR="00B15A44" w:rsidRPr="0031660E" w:rsidRDefault="00B15A44">
            <w:pPr>
              <w:rPr>
                <w:szCs w:val="22"/>
              </w:rPr>
            </w:pPr>
            <w:r w:rsidRPr="0031660E">
              <w:rPr>
                <w:szCs w:val="22"/>
              </w:rPr>
              <w:t>The relative increase in the fees in comparison to the previous cost recovery arrangements is due to factors such as:</w:t>
            </w:r>
          </w:p>
          <w:p w14:paraId="59E59309" w14:textId="6D6ABCB7" w:rsidR="00B15A44" w:rsidRPr="0031660E" w:rsidRDefault="00D817DF" w:rsidP="00B15A44">
            <w:pPr>
              <w:pStyle w:val="ListParagraph"/>
              <w:numPr>
                <w:ilvl w:val="0"/>
                <w:numId w:val="18"/>
              </w:numPr>
              <w:rPr>
                <w:szCs w:val="22"/>
              </w:rPr>
            </w:pPr>
            <w:r w:rsidRPr="0031660E">
              <w:rPr>
                <w:szCs w:val="22"/>
              </w:rPr>
              <w:t>t</w:t>
            </w:r>
            <w:r w:rsidR="00B15A44" w:rsidRPr="0031660E">
              <w:rPr>
                <w:szCs w:val="22"/>
              </w:rPr>
              <w:t xml:space="preserve">he move from partial to full cost </w:t>
            </w:r>
            <w:proofErr w:type="gramStart"/>
            <w:r w:rsidR="00B15A44" w:rsidRPr="0031660E">
              <w:rPr>
                <w:szCs w:val="22"/>
              </w:rPr>
              <w:t>recovery</w:t>
            </w:r>
            <w:r w:rsidRPr="0031660E">
              <w:rPr>
                <w:szCs w:val="22"/>
              </w:rPr>
              <w:t>;</w:t>
            </w:r>
            <w:proofErr w:type="gramEnd"/>
            <w:r w:rsidR="00B15A44" w:rsidRPr="0031660E">
              <w:rPr>
                <w:szCs w:val="22"/>
              </w:rPr>
              <w:t xml:space="preserve"> </w:t>
            </w:r>
          </w:p>
          <w:p w14:paraId="2404AFA8" w14:textId="64AF0480" w:rsidR="00B15A44" w:rsidRPr="0031660E" w:rsidRDefault="00D817DF" w:rsidP="00B15A44">
            <w:pPr>
              <w:pStyle w:val="ListParagraph"/>
              <w:numPr>
                <w:ilvl w:val="0"/>
                <w:numId w:val="18"/>
              </w:numPr>
              <w:rPr>
                <w:szCs w:val="22"/>
              </w:rPr>
            </w:pPr>
            <w:r w:rsidRPr="0031660E">
              <w:rPr>
                <w:szCs w:val="22"/>
              </w:rPr>
              <w:t>e</w:t>
            </w:r>
            <w:r w:rsidR="00B15A44" w:rsidRPr="0031660E">
              <w:rPr>
                <w:szCs w:val="22"/>
              </w:rPr>
              <w:t xml:space="preserve">xisting cost recovery fees have not been amended since </w:t>
            </w:r>
            <w:proofErr w:type="gramStart"/>
            <w:r w:rsidR="00B15A44" w:rsidRPr="0031660E">
              <w:rPr>
                <w:szCs w:val="22"/>
              </w:rPr>
              <w:t>2009</w:t>
            </w:r>
            <w:r w:rsidRPr="0031660E">
              <w:rPr>
                <w:szCs w:val="22"/>
              </w:rPr>
              <w:t>;</w:t>
            </w:r>
            <w:proofErr w:type="gramEnd"/>
          </w:p>
          <w:p w14:paraId="263230F3" w14:textId="3998CF0F" w:rsidR="00B15A44" w:rsidRPr="0031660E" w:rsidRDefault="00D817DF" w:rsidP="00B15A44">
            <w:pPr>
              <w:pStyle w:val="ListParagraph"/>
              <w:numPr>
                <w:ilvl w:val="0"/>
                <w:numId w:val="18"/>
              </w:numPr>
              <w:rPr>
                <w:szCs w:val="22"/>
              </w:rPr>
            </w:pPr>
            <w:r w:rsidRPr="0031660E">
              <w:rPr>
                <w:szCs w:val="22"/>
              </w:rPr>
              <w:t>t</w:t>
            </w:r>
            <w:r w:rsidR="00B15A44" w:rsidRPr="0031660E">
              <w:rPr>
                <w:szCs w:val="22"/>
              </w:rPr>
              <w:t>he inclusion of new expenses hitherto not included in the cost recovery model (i.e. were not included in the model determining fees payable from 2009)</w:t>
            </w:r>
            <w:r w:rsidRPr="0031660E">
              <w:rPr>
                <w:szCs w:val="22"/>
              </w:rPr>
              <w:t>; and</w:t>
            </w:r>
          </w:p>
          <w:p w14:paraId="6103F7C6" w14:textId="266B37D3" w:rsidR="00B15A44" w:rsidRPr="0031660E" w:rsidRDefault="00D817DF" w:rsidP="00B15A44">
            <w:pPr>
              <w:pStyle w:val="ListParagraph"/>
              <w:numPr>
                <w:ilvl w:val="0"/>
                <w:numId w:val="18"/>
              </w:numPr>
              <w:rPr>
                <w:szCs w:val="22"/>
              </w:rPr>
            </w:pPr>
            <w:r w:rsidRPr="0031660E">
              <w:rPr>
                <w:szCs w:val="22"/>
              </w:rPr>
              <w:t>i</w:t>
            </w:r>
            <w:r w:rsidR="00B15A44" w:rsidRPr="0031660E">
              <w:rPr>
                <w:szCs w:val="22"/>
              </w:rPr>
              <w:t xml:space="preserve">ncrease in expenses relating to staffing, supplier costs and IT maintenance, etc. </w:t>
            </w:r>
          </w:p>
        </w:tc>
      </w:tr>
      <w:tr w:rsidR="0031660E" w:rsidRPr="0031660E" w14:paraId="2D58245F" w14:textId="77777777" w:rsidTr="00000BD6">
        <w:tc>
          <w:tcPr>
            <w:tcW w:w="2500" w:type="pct"/>
          </w:tcPr>
          <w:p w14:paraId="6D7A963F" w14:textId="701B4DF0" w:rsidR="00561B42" w:rsidRPr="0031660E" w:rsidRDefault="00E40EED">
            <w:pPr>
              <w:rPr>
                <w:szCs w:val="22"/>
              </w:rPr>
            </w:pPr>
            <w:r w:rsidRPr="0031660E">
              <w:rPr>
                <w:szCs w:val="22"/>
              </w:rPr>
              <w:t xml:space="preserve">Stakeholders indicated that </w:t>
            </w:r>
            <w:r w:rsidR="00DE4174" w:rsidRPr="0031660E">
              <w:rPr>
                <w:szCs w:val="22"/>
              </w:rPr>
              <w:t xml:space="preserve">the fees charged for certain types of applications will not be consistent with the Australian Government Charging Framework. </w:t>
            </w:r>
            <w:r w:rsidR="00561B42" w:rsidRPr="0031660E">
              <w:rPr>
                <w:szCs w:val="22"/>
              </w:rPr>
              <w:t xml:space="preserve">Notably, that the initial assessment fee for amendment applications should be less than that for listing applications. Stakeholders report the proposed fee does not account for the differing types of amendment applications, the different levels of action or assessment required, nor the </w:t>
            </w:r>
            <w:r w:rsidR="00A51170" w:rsidRPr="0031660E">
              <w:rPr>
                <w:szCs w:val="22"/>
              </w:rPr>
              <w:t xml:space="preserve">potential for the </w:t>
            </w:r>
            <w:proofErr w:type="gramStart"/>
            <w:r w:rsidR="00A51170" w:rsidRPr="0031660E">
              <w:rPr>
                <w:szCs w:val="22"/>
              </w:rPr>
              <w:t>Health</w:t>
            </w:r>
            <w:proofErr w:type="gramEnd"/>
            <w:r w:rsidR="00A51170" w:rsidRPr="0031660E">
              <w:rPr>
                <w:szCs w:val="22"/>
              </w:rPr>
              <w:t xml:space="preserve"> Products Portal to provide automated services</w:t>
            </w:r>
            <w:r w:rsidR="00561B42" w:rsidRPr="0031660E">
              <w:rPr>
                <w:szCs w:val="22"/>
              </w:rPr>
              <w:t xml:space="preserve">. </w:t>
            </w:r>
          </w:p>
          <w:p w14:paraId="367E65B7" w14:textId="77777777" w:rsidR="00DE4174" w:rsidRPr="0031660E" w:rsidRDefault="00DE4174">
            <w:pPr>
              <w:rPr>
                <w:szCs w:val="22"/>
              </w:rPr>
            </w:pPr>
          </w:p>
          <w:p w14:paraId="29D014C7" w14:textId="23FF429F" w:rsidR="00DE4174" w:rsidRPr="0031660E" w:rsidRDefault="00DE4174">
            <w:pPr>
              <w:rPr>
                <w:szCs w:val="22"/>
              </w:rPr>
            </w:pPr>
            <w:r w:rsidRPr="0031660E">
              <w:rPr>
                <w:szCs w:val="22"/>
              </w:rPr>
              <w:t xml:space="preserve">Stakeholders proposed waiving fees on amendment applications in which only the ARTG details are being updated on the Prescribed List, and that the List Management application fee is more appropriate for applications seeking to compress multiple billing codes into one.    </w:t>
            </w:r>
          </w:p>
        </w:tc>
        <w:tc>
          <w:tcPr>
            <w:tcW w:w="2500" w:type="pct"/>
          </w:tcPr>
          <w:p w14:paraId="1E010E04" w14:textId="6752DC01" w:rsidR="00E40EED" w:rsidRPr="0031660E" w:rsidRDefault="003D4A8B">
            <w:pPr>
              <w:rPr>
                <w:szCs w:val="22"/>
              </w:rPr>
            </w:pPr>
            <w:r w:rsidRPr="0031660E">
              <w:rPr>
                <w:szCs w:val="22"/>
              </w:rPr>
              <w:t xml:space="preserve">The </w:t>
            </w:r>
            <w:r w:rsidR="00D817DF" w:rsidRPr="0031660E">
              <w:rPr>
                <w:szCs w:val="22"/>
              </w:rPr>
              <w:t>d</w:t>
            </w:r>
            <w:r w:rsidRPr="0031660E">
              <w:rPr>
                <w:szCs w:val="22"/>
              </w:rPr>
              <w:t xml:space="preserve">epartment acknowledges this feedback and confirms that each fee category </w:t>
            </w:r>
            <w:r w:rsidR="001206E1" w:rsidRPr="0031660E">
              <w:rPr>
                <w:szCs w:val="22"/>
              </w:rPr>
              <w:t>has been designed using an activity-based costing model in alignment with the Australian Government Charging Framework</w:t>
            </w:r>
            <w:r w:rsidR="00B15A44" w:rsidRPr="0031660E">
              <w:rPr>
                <w:szCs w:val="22"/>
              </w:rPr>
              <w:t xml:space="preserve"> and represents an accurate account of the work required to assess and process each application received</w:t>
            </w:r>
            <w:r w:rsidR="001206E1" w:rsidRPr="0031660E">
              <w:rPr>
                <w:szCs w:val="22"/>
              </w:rPr>
              <w:t xml:space="preserve">. </w:t>
            </w:r>
          </w:p>
          <w:p w14:paraId="301B1A46" w14:textId="77777777" w:rsidR="001206E1" w:rsidRPr="0031660E" w:rsidRDefault="001206E1">
            <w:pPr>
              <w:rPr>
                <w:szCs w:val="22"/>
              </w:rPr>
            </w:pPr>
          </w:p>
          <w:p w14:paraId="43651643" w14:textId="4E734B1D" w:rsidR="001206E1" w:rsidRPr="0031660E" w:rsidRDefault="00B15A44">
            <w:pPr>
              <w:rPr>
                <w:szCs w:val="22"/>
              </w:rPr>
            </w:pPr>
            <w:r w:rsidRPr="0031660E">
              <w:rPr>
                <w:szCs w:val="22"/>
              </w:rPr>
              <w:t xml:space="preserve">The </w:t>
            </w:r>
            <w:r w:rsidR="00D817DF" w:rsidRPr="0031660E">
              <w:rPr>
                <w:szCs w:val="22"/>
              </w:rPr>
              <w:t>d</w:t>
            </w:r>
            <w:r w:rsidRPr="0031660E">
              <w:rPr>
                <w:szCs w:val="22"/>
              </w:rPr>
              <w:t xml:space="preserve">epartment remains committed to finding efficiencies in process and will conduct regular review of the cost model to ensure that all fees and charges are appropriate, commensurate with the level of work involved, fit for purpose and are reflective of the effort and technology involved in achieving required outcomes. </w:t>
            </w:r>
          </w:p>
          <w:p w14:paraId="4F236182" w14:textId="77777777" w:rsidR="00B15A44" w:rsidRPr="0031660E" w:rsidRDefault="00B15A44">
            <w:pPr>
              <w:rPr>
                <w:szCs w:val="22"/>
              </w:rPr>
            </w:pPr>
          </w:p>
          <w:p w14:paraId="2EB9EA24" w14:textId="28A2CD72" w:rsidR="00B15A44" w:rsidRPr="0031660E" w:rsidRDefault="00B15A44">
            <w:pPr>
              <w:rPr>
                <w:szCs w:val="22"/>
              </w:rPr>
            </w:pPr>
            <w:r w:rsidRPr="0031660E">
              <w:rPr>
                <w:szCs w:val="22"/>
              </w:rPr>
              <w:t xml:space="preserve">The </w:t>
            </w:r>
            <w:r w:rsidR="00D817DF" w:rsidRPr="0031660E">
              <w:rPr>
                <w:szCs w:val="22"/>
              </w:rPr>
              <w:t>d</w:t>
            </w:r>
            <w:r w:rsidRPr="0031660E">
              <w:rPr>
                <w:szCs w:val="22"/>
              </w:rPr>
              <w:t>epartment notes that in some circumstances fee waivers may be available to sponsors submitting applications.</w:t>
            </w:r>
          </w:p>
        </w:tc>
      </w:tr>
      <w:tr w:rsidR="0031660E" w:rsidRPr="0031660E" w14:paraId="48BBBAF0" w14:textId="77777777" w:rsidTr="00000BD6">
        <w:tc>
          <w:tcPr>
            <w:tcW w:w="2500" w:type="pct"/>
          </w:tcPr>
          <w:p w14:paraId="29781A51" w14:textId="2032BE63" w:rsidR="00E40EED" w:rsidRPr="0031660E" w:rsidRDefault="00DE4174">
            <w:pPr>
              <w:rPr>
                <w:szCs w:val="22"/>
              </w:rPr>
            </w:pPr>
            <w:r w:rsidRPr="0031660E">
              <w:rPr>
                <w:szCs w:val="22"/>
              </w:rPr>
              <w:lastRenderedPageBreak/>
              <w:t xml:space="preserve">Stakeholders indicated </w:t>
            </w:r>
            <w:r w:rsidR="00561B42" w:rsidRPr="0031660E">
              <w:rPr>
                <w:szCs w:val="22"/>
              </w:rPr>
              <w:t xml:space="preserve">that </w:t>
            </w:r>
            <w:r w:rsidR="00A51170" w:rsidRPr="0031660E">
              <w:rPr>
                <w:szCs w:val="22"/>
              </w:rPr>
              <w:t xml:space="preserve">List Management Application fees for deletion and transfer applications should not be charged for deletion and transfer applications citing ‘no assessment is required’ </w:t>
            </w:r>
          </w:p>
        </w:tc>
        <w:tc>
          <w:tcPr>
            <w:tcW w:w="2500" w:type="pct"/>
          </w:tcPr>
          <w:p w14:paraId="7F966C0A" w14:textId="71DE9FD1" w:rsidR="00E40EED" w:rsidRPr="0031660E" w:rsidRDefault="003D4A8B">
            <w:pPr>
              <w:rPr>
                <w:szCs w:val="22"/>
              </w:rPr>
            </w:pPr>
            <w:r w:rsidRPr="0031660E">
              <w:rPr>
                <w:szCs w:val="22"/>
              </w:rPr>
              <w:t xml:space="preserve">The </w:t>
            </w:r>
            <w:r w:rsidR="00D817DF" w:rsidRPr="0031660E">
              <w:rPr>
                <w:szCs w:val="22"/>
              </w:rPr>
              <w:t>d</w:t>
            </w:r>
            <w:r w:rsidRPr="0031660E">
              <w:rPr>
                <w:szCs w:val="22"/>
              </w:rPr>
              <w:t>epartment</w:t>
            </w:r>
            <w:r w:rsidR="008542DE" w:rsidRPr="0031660E">
              <w:rPr>
                <w:szCs w:val="22"/>
              </w:rPr>
              <w:t xml:space="preserve"> recognises stakeholder concerns regarding these types of a</w:t>
            </w:r>
            <w:r w:rsidR="00B15A44" w:rsidRPr="0031660E">
              <w:rPr>
                <w:szCs w:val="22"/>
              </w:rPr>
              <w:t>ppl</w:t>
            </w:r>
            <w:r w:rsidR="008542DE" w:rsidRPr="0031660E">
              <w:rPr>
                <w:szCs w:val="22"/>
              </w:rPr>
              <w:t>ications and</w:t>
            </w:r>
            <w:r w:rsidRPr="0031660E">
              <w:rPr>
                <w:szCs w:val="22"/>
              </w:rPr>
              <w:t xml:space="preserve"> confirms that </w:t>
            </w:r>
            <w:r w:rsidR="001206E1" w:rsidRPr="0031660E">
              <w:rPr>
                <w:szCs w:val="22"/>
              </w:rPr>
              <w:t>cost recovery fee</w:t>
            </w:r>
            <w:r w:rsidR="00B15A44" w:rsidRPr="0031660E">
              <w:rPr>
                <w:szCs w:val="22"/>
              </w:rPr>
              <w:t>s</w:t>
            </w:r>
            <w:r w:rsidR="001206E1" w:rsidRPr="0031660E">
              <w:rPr>
                <w:szCs w:val="22"/>
              </w:rPr>
              <w:t xml:space="preserve"> will not be payable for deletion and transfer applications. </w:t>
            </w:r>
          </w:p>
        </w:tc>
      </w:tr>
      <w:tr w:rsidR="0031660E" w:rsidRPr="0031660E" w14:paraId="1BDD94C2" w14:textId="77777777" w:rsidTr="00000BD6">
        <w:tc>
          <w:tcPr>
            <w:tcW w:w="2500" w:type="pct"/>
          </w:tcPr>
          <w:p w14:paraId="3A9AB84E" w14:textId="2968283B" w:rsidR="00A12640" w:rsidRPr="0031660E" w:rsidRDefault="00A12640">
            <w:pPr>
              <w:rPr>
                <w:szCs w:val="22"/>
                <w:highlight w:val="yellow"/>
              </w:rPr>
            </w:pPr>
            <w:r w:rsidRPr="0031660E">
              <w:rPr>
                <w:szCs w:val="22"/>
              </w:rPr>
              <w:t xml:space="preserve">Stakeholders </w:t>
            </w:r>
            <w:r w:rsidR="00D57F89" w:rsidRPr="0031660E">
              <w:rPr>
                <w:szCs w:val="22"/>
              </w:rPr>
              <w:t>requested</w:t>
            </w:r>
            <w:r w:rsidRPr="0031660E">
              <w:rPr>
                <w:szCs w:val="22"/>
              </w:rPr>
              <w:t xml:space="preserve"> a grace period from cost recovery fees of 12 months for applications to compress billing codes that will not be required following the restructure that has occurred for the Prescribed List. </w:t>
            </w:r>
          </w:p>
        </w:tc>
        <w:tc>
          <w:tcPr>
            <w:tcW w:w="2500" w:type="pct"/>
          </w:tcPr>
          <w:p w14:paraId="5C9D5BF4" w14:textId="72F85F8F" w:rsidR="00A12640" w:rsidRPr="0031660E" w:rsidRDefault="00D57F89">
            <w:pPr>
              <w:rPr>
                <w:szCs w:val="22"/>
              </w:rPr>
            </w:pPr>
            <w:r w:rsidRPr="0031660E">
              <w:rPr>
                <w:szCs w:val="22"/>
              </w:rPr>
              <w:t xml:space="preserve">The </w:t>
            </w:r>
            <w:r w:rsidR="00D817DF" w:rsidRPr="0031660E">
              <w:rPr>
                <w:szCs w:val="22"/>
              </w:rPr>
              <w:t>d</w:t>
            </w:r>
            <w:r w:rsidRPr="0031660E">
              <w:rPr>
                <w:szCs w:val="22"/>
              </w:rPr>
              <w:t xml:space="preserve">epartment notes that in some circumstances fee waivers may be available to sponsors submitting applications, however as cost recovery fees are already in place for these types of applications, no additional grace periods will be </w:t>
            </w:r>
            <w:r w:rsidR="0022591A" w:rsidRPr="0031660E">
              <w:rPr>
                <w:szCs w:val="22"/>
              </w:rPr>
              <w:t>available</w:t>
            </w:r>
            <w:r w:rsidRPr="0031660E">
              <w:rPr>
                <w:szCs w:val="22"/>
              </w:rPr>
              <w:t>.</w:t>
            </w:r>
          </w:p>
        </w:tc>
      </w:tr>
      <w:tr w:rsidR="0031660E" w:rsidRPr="0031660E" w14:paraId="5AF054C0" w14:textId="77777777" w:rsidTr="00C842AE">
        <w:tc>
          <w:tcPr>
            <w:tcW w:w="5000" w:type="pct"/>
            <w:gridSpan w:val="2"/>
            <w:shd w:val="clear" w:color="auto" w:fill="D0CECE" w:themeFill="background2" w:themeFillShade="E6"/>
          </w:tcPr>
          <w:p w14:paraId="00FF3DBE" w14:textId="08A25328" w:rsidR="007C1E4E" w:rsidRPr="0031660E" w:rsidRDefault="007C1E4E">
            <w:pPr>
              <w:rPr>
                <w:szCs w:val="22"/>
              </w:rPr>
            </w:pPr>
            <w:r w:rsidRPr="0031660E">
              <w:rPr>
                <w:szCs w:val="22"/>
              </w:rPr>
              <w:t>Non-Financial Performance</w:t>
            </w:r>
          </w:p>
        </w:tc>
      </w:tr>
      <w:tr w:rsidR="0031660E" w:rsidRPr="0031660E" w14:paraId="4E426E77" w14:textId="77777777" w:rsidTr="00000BD6">
        <w:tc>
          <w:tcPr>
            <w:tcW w:w="2500" w:type="pct"/>
          </w:tcPr>
          <w:p w14:paraId="38E79149" w14:textId="3F862900" w:rsidR="00A12640" w:rsidRPr="0031660E" w:rsidRDefault="00A12640">
            <w:pPr>
              <w:rPr>
                <w:szCs w:val="22"/>
              </w:rPr>
            </w:pPr>
            <w:r w:rsidRPr="0031660E">
              <w:rPr>
                <w:szCs w:val="22"/>
              </w:rPr>
              <w:t>Stakeholders recommended that key performance indicators should be developed in consultation with stakeholders, indicating that performance indicators and metrics should be published on a regular basis.</w:t>
            </w:r>
          </w:p>
        </w:tc>
        <w:tc>
          <w:tcPr>
            <w:tcW w:w="2500" w:type="pct"/>
          </w:tcPr>
          <w:p w14:paraId="26BD7BC8" w14:textId="16535F66" w:rsidR="00A12640" w:rsidRPr="0031660E" w:rsidRDefault="00D30EEA">
            <w:pPr>
              <w:rPr>
                <w:szCs w:val="22"/>
              </w:rPr>
            </w:pPr>
            <w:r w:rsidRPr="0031660E">
              <w:rPr>
                <w:szCs w:val="22"/>
              </w:rPr>
              <w:t xml:space="preserve">The </w:t>
            </w:r>
            <w:r w:rsidR="00D817DF" w:rsidRPr="0031660E">
              <w:rPr>
                <w:szCs w:val="22"/>
              </w:rPr>
              <w:t>d</w:t>
            </w:r>
            <w:r w:rsidRPr="0031660E">
              <w:rPr>
                <w:szCs w:val="22"/>
              </w:rPr>
              <w:t xml:space="preserve">epartment notes stakeholder feedback in relation to </w:t>
            </w:r>
            <w:r w:rsidR="00D57F89" w:rsidRPr="0031660E">
              <w:rPr>
                <w:szCs w:val="22"/>
              </w:rPr>
              <w:t>key performance indicators a</w:t>
            </w:r>
            <w:r w:rsidRPr="0031660E">
              <w:rPr>
                <w:szCs w:val="22"/>
              </w:rPr>
              <w:t xml:space="preserve">nd </w:t>
            </w:r>
            <w:r w:rsidR="00FE5CF9" w:rsidRPr="0031660E">
              <w:rPr>
                <w:szCs w:val="22"/>
              </w:rPr>
              <w:t xml:space="preserve">remains committed to the reporting of financial performance of the Prescribed List through regular updates of the CRIS. The Department also reiterates its commitment to continue to consult with stakeholders in relation to the reporting of the performance of the Prescribed List. </w:t>
            </w:r>
          </w:p>
        </w:tc>
      </w:tr>
      <w:tr w:rsidR="0031660E" w:rsidRPr="0031660E" w14:paraId="0CABBE3E" w14:textId="77777777" w:rsidTr="00C842AE">
        <w:tc>
          <w:tcPr>
            <w:tcW w:w="5000" w:type="pct"/>
            <w:gridSpan w:val="2"/>
            <w:shd w:val="clear" w:color="auto" w:fill="D0CECE" w:themeFill="background2" w:themeFillShade="E6"/>
          </w:tcPr>
          <w:p w14:paraId="3247EF15" w14:textId="3FD06015" w:rsidR="007C1E4E" w:rsidRPr="0031660E" w:rsidRDefault="007C1E4E">
            <w:pPr>
              <w:rPr>
                <w:szCs w:val="22"/>
              </w:rPr>
            </w:pPr>
            <w:r w:rsidRPr="0031660E">
              <w:rPr>
                <w:szCs w:val="22"/>
              </w:rPr>
              <w:t xml:space="preserve">Terminology </w:t>
            </w:r>
          </w:p>
        </w:tc>
      </w:tr>
      <w:tr w:rsidR="0031660E" w:rsidRPr="0031660E" w14:paraId="70618132" w14:textId="77777777" w:rsidTr="00000BD6">
        <w:tc>
          <w:tcPr>
            <w:tcW w:w="2500" w:type="pct"/>
          </w:tcPr>
          <w:p w14:paraId="33ADFA2F" w14:textId="3DDC57C8" w:rsidR="00E40EED" w:rsidRPr="0031660E" w:rsidRDefault="00A51170">
            <w:pPr>
              <w:rPr>
                <w:szCs w:val="22"/>
              </w:rPr>
            </w:pPr>
            <w:r w:rsidRPr="0031660E">
              <w:rPr>
                <w:szCs w:val="22"/>
              </w:rPr>
              <w:t xml:space="preserve">Stakeholders noted discrepancy in the terminology used in previous consultation papers in relation to the </w:t>
            </w:r>
            <w:r w:rsidR="00D30EEA" w:rsidRPr="0031660E">
              <w:rPr>
                <w:szCs w:val="22"/>
              </w:rPr>
              <w:t>CRIS and</w:t>
            </w:r>
            <w:r w:rsidRPr="0031660E">
              <w:rPr>
                <w:szCs w:val="22"/>
              </w:rPr>
              <w:t xml:space="preserve"> specified the assumption that ‘Non-Refundable Application Fee’ (Consultation Paper 6(b)) and ‘Initial Assessment Fee’ </w:t>
            </w:r>
            <w:r w:rsidR="00D30EEA" w:rsidRPr="0031660E">
              <w:rPr>
                <w:szCs w:val="22"/>
              </w:rPr>
              <w:t>mean the same thing.</w:t>
            </w:r>
          </w:p>
        </w:tc>
        <w:tc>
          <w:tcPr>
            <w:tcW w:w="2500" w:type="pct"/>
          </w:tcPr>
          <w:p w14:paraId="24C0414C" w14:textId="1337DFF7" w:rsidR="00D30EEA" w:rsidRPr="0031660E" w:rsidRDefault="00D30EEA">
            <w:pPr>
              <w:rPr>
                <w:szCs w:val="22"/>
              </w:rPr>
            </w:pPr>
            <w:r w:rsidRPr="0031660E">
              <w:rPr>
                <w:szCs w:val="22"/>
              </w:rPr>
              <w:t xml:space="preserve">The </w:t>
            </w:r>
            <w:r w:rsidR="00D817DF" w:rsidRPr="0031660E">
              <w:rPr>
                <w:szCs w:val="22"/>
              </w:rPr>
              <w:t>d</w:t>
            </w:r>
            <w:r w:rsidRPr="0031660E">
              <w:rPr>
                <w:szCs w:val="22"/>
              </w:rPr>
              <w:t>epartment acknowledges the discrepancy in terminology and confirms that the following terms are synonymous:</w:t>
            </w:r>
          </w:p>
          <w:p w14:paraId="62384BD3" w14:textId="2101EA2C" w:rsidR="00D30EEA" w:rsidRPr="0031660E" w:rsidRDefault="00D817DF" w:rsidP="00D30EEA">
            <w:pPr>
              <w:pStyle w:val="ListParagraph"/>
              <w:numPr>
                <w:ilvl w:val="0"/>
                <w:numId w:val="19"/>
              </w:numPr>
              <w:rPr>
                <w:szCs w:val="22"/>
              </w:rPr>
            </w:pPr>
            <w:r w:rsidRPr="0031660E">
              <w:rPr>
                <w:szCs w:val="22"/>
              </w:rPr>
              <w:t>‘</w:t>
            </w:r>
            <w:r w:rsidR="00D30EEA" w:rsidRPr="0031660E">
              <w:rPr>
                <w:szCs w:val="22"/>
              </w:rPr>
              <w:t>Non-Refundable Application Fee’ (as previously described in Consultation Paper 6(b)</w:t>
            </w:r>
            <w:proofErr w:type="gramStart"/>
            <w:r w:rsidR="00D30EEA" w:rsidRPr="0031660E">
              <w:rPr>
                <w:szCs w:val="22"/>
              </w:rPr>
              <w:t>)</w:t>
            </w:r>
            <w:r w:rsidRPr="0031660E">
              <w:rPr>
                <w:szCs w:val="22"/>
              </w:rPr>
              <w:t>;</w:t>
            </w:r>
            <w:proofErr w:type="gramEnd"/>
            <w:r w:rsidR="00D30EEA" w:rsidRPr="0031660E">
              <w:rPr>
                <w:szCs w:val="22"/>
              </w:rPr>
              <w:t xml:space="preserve"> </w:t>
            </w:r>
          </w:p>
          <w:p w14:paraId="151C59C4" w14:textId="67284643" w:rsidR="00D30EEA" w:rsidRPr="0031660E" w:rsidRDefault="00D30EEA" w:rsidP="00D30EEA">
            <w:pPr>
              <w:pStyle w:val="ListParagraph"/>
              <w:numPr>
                <w:ilvl w:val="0"/>
                <w:numId w:val="19"/>
              </w:numPr>
              <w:rPr>
                <w:szCs w:val="22"/>
              </w:rPr>
            </w:pPr>
            <w:r w:rsidRPr="0031660E">
              <w:rPr>
                <w:szCs w:val="22"/>
              </w:rPr>
              <w:t>‘Initial Assessment Fee’ (as described in the Draft CRIS)</w:t>
            </w:r>
            <w:r w:rsidR="00D817DF" w:rsidRPr="0031660E">
              <w:rPr>
                <w:szCs w:val="22"/>
              </w:rPr>
              <w:t>;</w:t>
            </w:r>
            <w:r w:rsidRPr="0031660E">
              <w:rPr>
                <w:szCs w:val="22"/>
              </w:rPr>
              <w:t xml:space="preserve"> and </w:t>
            </w:r>
          </w:p>
          <w:p w14:paraId="3463B69D" w14:textId="5006CB38" w:rsidR="00E40EED" w:rsidRPr="0031660E" w:rsidRDefault="00D30EEA" w:rsidP="00D30EEA">
            <w:pPr>
              <w:pStyle w:val="ListParagraph"/>
              <w:numPr>
                <w:ilvl w:val="0"/>
                <w:numId w:val="19"/>
              </w:numPr>
              <w:rPr>
                <w:szCs w:val="22"/>
              </w:rPr>
            </w:pPr>
            <w:r w:rsidRPr="0031660E">
              <w:rPr>
                <w:szCs w:val="22"/>
              </w:rPr>
              <w:t>‘</w:t>
            </w:r>
            <w:r w:rsidR="00710B90" w:rsidRPr="0031660E">
              <w:rPr>
                <w:szCs w:val="22"/>
              </w:rPr>
              <w:t xml:space="preserve">Standard Application </w:t>
            </w:r>
            <w:r w:rsidRPr="0031660E">
              <w:rPr>
                <w:szCs w:val="22"/>
              </w:rPr>
              <w:t xml:space="preserve">Fee’ (which replaces the omitted term </w:t>
            </w:r>
            <w:r w:rsidR="0022591A" w:rsidRPr="0031660E">
              <w:rPr>
                <w:szCs w:val="22"/>
              </w:rPr>
              <w:t>‘</w:t>
            </w:r>
            <w:r w:rsidRPr="0031660E">
              <w:rPr>
                <w:szCs w:val="22"/>
              </w:rPr>
              <w:t>initial assessment fee</w:t>
            </w:r>
            <w:r w:rsidR="0022591A" w:rsidRPr="0031660E">
              <w:rPr>
                <w:szCs w:val="22"/>
              </w:rPr>
              <w:t>’</w:t>
            </w:r>
            <w:r w:rsidRPr="0031660E">
              <w:rPr>
                <w:szCs w:val="22"/>
              </w:rPr>
              <w:t xml:space="preserve"> in the finalised CRIS).</w:t>
            </w:r>
          </w:p>
        </w:tc>
      </w:tr>
      <w:tr w:rsidR="0031660E" w:rsidRPr="0031660E" w14:paraId="24BE831E" w14:textId="77777777" w:rsidTr="00C842AE">
        <w:tc>
          <w:tcPr>
            <w:tcW w:w="5000" w:type="pct"/>
            <w:gridSpan w:val="2"/>
            <w:shd w:val="clear" w:color="auto" w:fill="D0CECE" w:themeFill="background2" w:themeFillShade="E6"/>
          </w:tcPr>
          <w:p w14:paraId="538EB4E4" w14:textId="514F7C95" w:rsidR="007C1E4E" w:rsidRPr="0031660E" w:rsidRDefault="007C1E4E">
            <w:pPr>
              <w:rPr>
                <w:szCs w:val="22"/>
              </w:rPr>
            </w:pPr>
            <w:r w:rsidRPr="0031660E">
              <w:rPr>
                <w:szCs w:val="22"/>
              </w:rPr>
              <w:t>Policy Details</w:t>
            </w:r>
          </w:p>
        </w:tc>
      </w:tr>
      <w:tr w:rsidR="0031660E" w:rsidRPr="0031660E" w14:paraId="6BD2AAD3" w14:textId="77777777" w:rsidTr="00000BD6">
        <w:tc>
          <w:tcPr>
            <w:tcW w:w="2500" w:type="pct"/>
          </w:tcPr>
          <w:p w14:paraId="5B4922D5" w14:textId="77777777" w:rsidR="00A51170" w:rsidRPr="0031660E" w:rsidRDefault="00A51170">
            <w:pPr>
              <w:rPr>
                <w:szCs w:val="22"/>
              </w:rPr>
            </w:pPr>
            <w:r w:rsidRPr="0031660E">
              <w:rPr>
                <w:szCs w:val="22"/>
              </w:rPr>
              <w:t xml:space="preserve">Stakeholders indicated </w:t>
            </w:r>
            <w:r w:rsidR="00A12640" w:rsidRPr="0031660E">
              <w:rPr>
                <w:szCs w:val="22"/>
              </w:rPr>
              <w:t xml:space="preserve">that in addition to the CRIS, further context was needed </w:t>
            </w:r>
            <w:proofErr w:type="gramStart"/>
            <w:r w:rsidR="00A12640" w:rsidRPr="0031660E">
              <w:rPr>
                <w:szCs w:val="22"/>
              </w:rPr>
              <w:t>in order to</w:t>
            </w:r>
            <w:proofErr w:type="gramEnd"/>
            <w:r w:rsidR="00A12640" w:rsidRPr="0031660E">
              <w:rPr>
                <w:szCs w:val="22"/>
              </w:rPr>
              <w:t xml:space="preserve"> provide further feedback on the cost recovery proposal. </w:t>
            </w:r>
          </w:p>
          <w:p w14:paraId="7CF782B7" w14:textId="77777777" w:rsidR="00A12640" w:rsidRPr="0031660E" w:rsidRDefault="00A12640">
            <w:pPr>
              <w:rPr>
                <w:szCs w:val="22"/>
              </w:rPr>
            </w:pPr>
          </w:p>
          <w:p w14:paraId="1A9BB42B" w14:textId="6F8A1632" w:rsidR="00A12640" w:rsidRPr="0031660E" w:rsidRDefault="00A12640">
            <w:pPr>
              <w:rPr>
                <w:szCs w:val="22"/>
              </w:rPr>
            </w:pPr>
            <w:r w:rsidRPr="0031660E">
              <w:rPr>
                <w:szCs w:val="22"/>
              </w:rPr>
              <w:t xml:space="preserve">Stakeholders requested that the Guidance document be released to provide the additional details on the application flow and pathway eligibility. </w:t>
            </w:r>
          </w:p>
        </w:tc>
        <w:tc>
          <w:tcPr>
            <w:tcW w:w="2500" w:type="pct"/>
          </w:tcPr>
          <w:p w14:paraId="41C5A311" w14:textId="185E8BEF" w:rsidR="00A51170" w:rsidRPr="0031660E" w:rsidRDefault="00500E6E">
            <w:pPr>
              <w:rPr>
                <w:szCs w:val="22"/>
              </w:rPr>
            </w:pPr>
            <w:r w:rsidRPr="0031660E">
              <w:rPr>
                <w:szCs w:val="22"/>
              </w:rPr>
              <w:t xml:space="preserve">The </w:t>
            </w:r>
            <w:r w:rsidR="00D817DF" w:rsidRPr="0031660E">
              <w:rPr>
                <w:szCs w:val="22"/>
              </w:rPr>
              <w:t>d</w:t>
            </w:r>
            <w:r w:rsidRPr="0031660E">
              <w:rPr>
                <w:szCs w:val="22"/>
              </w:rPr>
              <w:t xml:space="preserve">epartment acknowledges the need for further context and the need to provide stakeholders with more granular detail regarding the new application pathways. </w:t>
            </w:r>
          </w:p>
          <w:p w14:paraId="61C0C5F8" w14:textId="77777777" w:rsidR="00500E6E" w:rsidRPr="0031660E" w:rsidRDefault="00500E6E">
            <w:pPr>
              <w:rPr>
                <w:szCs w:val="22"/>
              </w:rPr>
            </w:pPr>
          </w:p>
          <w:p w14:paraId="625B838D" w14:textId="71C63BB0" w:rsidR="00500E6E" w:rsidRPr="0031660E" w:rsidRDefault="00500E6E">
            <w:pPr>
              <w:rPr>
                <w:szCs w:val="22"/>
              </w:rPr>
            </w:pPr>
            <w:r w:rsidRPr="0031660E">
              <w:rPr>
                <w:szCs w:val="22"/>
              </w:rPr>
              <w:t xml:space="preserve">The Guidance Document will be published on the Department of Health and Aged Care’s website prior to the commencement of cost recovery arrangements. </w:t>
            </w:r>
          </w:p>
        </w:tc>
      </w:tr>
      <w:tr w:rsidR="0031660E" w:rsidRPr="0031660E" w14:paraId="2C144C22" w14:textId="77777777" w:rsidTr="00C842AE">
        <w:tc>
          <w:tcPr>
            <w:tcW w:w="5000" w:type="pct"/>
            <w:gridSpan w:val="2"/>
            <w:shd w:val="clear" w:color="auto" w:fill="D0CECE" w:themeFill="background2" w:themeFillShade="E6"/>
          </w:tcPr>
          <w:p w14:paraId="70B35D6F" w14:textId="7CE9DD38" w:rsidR="007C1E4E" w:rsidRPr="0031660E" w:rsidRDefault="007C1E4E">
            <w:pPr>
              <w:rPr>
                <w:szCs w:val="22"/>
              </w:rPr>
            </w:pPr>
            <w:r w:rsidRPr="0031660E">
              <w:rPr>
                <w:szCs w:val="22"/>
              </w:rPr>
              <w:t>Impact on Industry</w:t>
            </w:r>
          </w:p>
        </w:tc>
      </w:tr>
      <w:tr w:rsidR="0031660E" w:rsidRPr="0031660E" w14:paraId="34F28847" w14:textId="77777777" w:rsidTr="00000BD6">
        <w:tc>
          <w:tcPr>
            <w:tcW w:w="2500" w:type="pct"/>
          </w:tcPr>
          <w:p w14:paraId="21B981E8" w14:textId="52CB96E9" w:rsidR="00E40EED" w:rsidRPr="0031660E" w:rsidRDefault="00A12640">
            <w:pPr>
              <w:rPr>
                <w:szCs w:val="22"/>
              </w:rPr>
            </w:pPr>
            <w:r w:rsidRPr="0031660E">
              <w:rPr>
                <w:szCs w:val="22"/>
              </w:rPr>
              <w:t xml:space="preserve">Stakeholders noted that increased cost recovery, and the introduction of new cost recovery </w:t>
            </w:r>
            <w:r w:rsidR="00C842AE" w:rsidRPr="0031660E">
              <w:rPr>
                <w:szCs w:val="22"/>
              </w:rPr>
              <w:t>arrangements</w:t>
            </w:r>
            <w:r w:rsidRPr="0031660E">
              <w:rPr>
                <w:szCs w:val="22"/>
              </w:rPr>
              <w:t xml:space="preserve"> directly impact the medical technology </w:t>
            </w:r>
            <w:r w:rsidRPr="0031660E">
              <w:rPr>
                <w:szCs w:val="22"/>
              </w:rPr>
              <w:lastRenderedPageBreak/>
              <w:t xml:space="preserve">sector, and that compounding fees for services across the </w:t>
            </w:r>
            <w:r w:rsidR="00D817DF" w:rsidRPr="0031660E">
              <w:rPr>
                <w:szCs w:val="22"/>
              </w:rPr>
              <w:t>d</w:t>
            </w:r>
            <w:r w:rsidRPr="0031660E">
              <w:rPr>
                <w:szCs w:val="22"/>
              </w:rPr>
              <w:t>epartment of Health and Aged Care is likely to delay access to innovative technology to Australian patients</w:t>
            </w:r>
            <w:r w:rsidR="00500E6E" w:rsidRPr="0031660E">
              <w:rPr>
                <w:szCs w:val="22"/>
              </w:rPr>
              <w:t xml:space="preserve">. </w:t>
            </w:r>
          </w:p>
        </w:tc>
        <w:tc>
          <w:tcPr>
            <w:tcW w:w="2500" w:type="pct"/>
          </w:tcPr>
          <w:p w14:paraId="70A11D49" w14:textId="6181674F" w:rsidR="00E40EED" w:rsidRPr="0031660E" w:rsidRDefault="00500E6E">
            <w:pPr>
              <w:rPr>
                <w:szCs w:val="22"/>
              </w:rPr>
            </w:pPr>
            <w:r w:rsidRPr="0031660E">
              <w:rPr>
                <w:szCs w:val="22"/>
              </w:rPr>
              <w:lastRenderedPageBreak/>
              <w:t xml:space="preserve">The </w:t>
            </w:r>
            <w:r w:rsidR="00D817DF" w:rsidRPr="0031660E">
              <w:rPr>
                <w:szCs w:val="22"/>
              </w:rPr>
              <w:t>d</w:t>
            </w:r>
            <w:r w:rsidRPr="0031660E">
              <w:rPr>
                <w:szCs w:val="22"/>
              </w:rPr>
              <w:t>epartment reiterates its commitment to the principles of cost recovery</w:t>
            </w:r>
            <w:r w:rsidR="00FE5CF9" w:rsidRPr="0031660E">
              <w:rPr>
                <w:szCs w:val="22"/>
              </w:rPr>
              <w:t xml:space="preserve">, in which it is established that it is appropriate in cases where </w:t>
            </w:r>
            <w:r w:rsidR="00FE5CF9" w:rsidRPr="0031660E">
              <w:rPr>
                <w:szCs w:val="22"/>
              </w:rPr>
              <w:lastRenderedPageBreak/>
              <w:t xml:space="preserve">commercial benefit is gained from Government activity, the minimum efficient costs may be recovered </w:t>
            </w:r>
            <w:proofErr w:type="gramStart"/>
            <w:r w:rsidR="00FE5CF9" w:rsidRPr="0031660E">
              <w:rPr>
                <w:szCs w:val="22"/>
              </w:rPr>
              <w:t>in order to</w:t>
            </w:r>
            <w:proofErr w:type="gramEnd"/>
            <w:r w:rsidR="00FE5CF9" w:rsidRPr="0031660E">
              <w:rPr>
                <w:szCs w:val="22"/>
              </w:rPr>
              <w:t xml:space="preserve"> ensure the recipients of that government activity, rather than the general public</w:t>
            </w:r>
            <w:r w:rsidR="00D817DF" w:rsidRPr="0031660E">
              <w:rPr>
                <w:szCs w:val="22"/>
              </w:rPr>
              <w:t>,</w:t>
            </w:r>
            <w:r w:rsidR="00FE5CF9" w:rsidRPr="0031660E">
              <w:rPr>
                <w:szCs w:val="22"/>
              </w:rPr>
              <w:t xml:space="preserve"> bear its costs. </w:t>
            </w:r>
          </w:p>
          <w:p w14:paraId="51F1F115" w14:textId="77777777" w:rsidR="0022591A" w:rsidRPr="0031660E" w:rsidRDefault="0022591A">
            <w:pPr>
              <w:rPr>
                <w:szCs w:val="22"/>
              </w:rPr>
            </w:pPr>
          </w:p>
          <w:p w14:paraId="64B954AE" w14:textId="4F3BFD48" w:rsidR="00FE5CF9" w:rsidRPr="0031660E" w:rsidRDefault="00FE5CF9">
            <w:pPr>
              <w:rPr>
                <w:szCs w:val="22"/>
              </w:rPr>
            </w:pPr>
            <w:r w:rsidRPr="0031660E">
              <w:rPr>
                <w:szCs w:val="22"/>
              </w:rPr>
              <w:t xml:space="preserve">Further the </w:t>
            </w:r>
            <w:r w:rsidR="00D817DF" w:rsidRPr="0031660E">
              <w:rPr>
                <w:szCs w:val="22"/>
              </w:rPr>
              <w:t>d</w:t>
            </w:r>
            <w:r w:rsidRPr="0031660E">
              <w:rPr>
                <w:szCs w:val="22"/>
              </w:rPr>
              <w:t xml:space="preserve">epartment remains committed to improving the efficiency, and productivity of the Prescribed List </w:t>
            </w:r>
            <w:proofErr w:type="gramStart"/>
            <w:r w:rsidRPr="0031660E">
              <w:rPr>
                <w:szCs w:val="22"/>
              </w:rPr>
              <w:t>in order to</w:t>
            </w:r>
            <w:proofErr w:type="gramEnd"/>
            <w:r w:rsidRPr="0031660E">
              <w:rPr>
                <w:szCs w:val="22"/>
              </w:rPr>
              <w:t xml:space="preserve"> ensure that the Australian public is not impacted by these changes. </w:t>
            </w:r>
          </w:p>
        </w:tc>
      </w:tr>
      <w:tr w:rsidR="0031660E" w:rsidRPr="0031660E" w14:paraId="00567D5B" w14:textId="77777777" w:rsidTr="00C04812">
        <w:tc>
          <w:tcPr>
            <w:tcW w:w="2500" w:type="pct"/>
            <w:tcBorders>
              <w:bottom w:val="single" w:sz="4" w:space="0" w:color="auto"/>
            </w:tcBorders>
          </w:tcPr>
          <w:p w14:paraId="19374DF9" w14:textId="3695D439" w:rsidR="000718E6" w:rsidRPr="0031660E" w:rsidRDefault="00C842AE" w:rsidP="000718E6">
            <w:pPr>
              <w:rPr>
                <w:szCs w:val="22"/>
              </w:rPr>
            </w:pPr>
            <w:r w:rsidRPr="0031660E">
              <w:rPr>
                <w:szCs w:val="22"/>
              </w:rPr>
              <w:lastRenderedPageBreak/>
              <w:t>S</w:t>
            </w:r>
            <w:r w:rsidR="000718E6" w:rsidRPr="0031660E">
              <w:rPr>
                <w:szCs w:val="22"/>
              </w:rPr>
              <w:t xml:space="preserve">takeholders </w:t>
            </w:r>
            <w:r w:rsidRPr="0031660E">
              <w:rPr>
                <w:szCs w:val="22"/>
              </w:rPr>
              <w:t>requested clarification on the</w:t>
            </w:r>
            <w:r w:rsidR="000718E6" w:rsidRPr="0031660E">
              <w:rPr>
                <w:szCs w:val="22"/>
              </w:rPr>
              <w:t xml:space="preserve"> forecasted expenses of administering the Prescribed List</w:t>
            </w:r>
            <w:r w:rsidR="007C1E4E" w:rsidRPr="0031660E">
              <w:rPr>
                <w:szCs w:val="22"/>
              </w:rPr>
              <w:t xml:space="preserve"> noting an increase in expenses $4.75m in FY23 (CRIS 2022-23) to $7.69m in FY25 (CRIS 2023-24 Draft)</w:t>
            </w:r>
            <w:r w:rsidRPr="0031660E">
              <w:rPr>
                <w:szCs w:val="22"/>
              </w:rPr>
              <w:t xml:space="preserve">. </w:t>
            </w:r>
            <w:r w:rsidR="000718E6" w:rsidRPr="0031660E">
              <w:rPr>
                <w:szCs w:val="22"/>
              </w:rPr>
              <w:t xml:space="preserve"> </w:t>
            </w:r>
          </w:p>
        </w:tc>
        <w:tc>
          <w:tcPr>
            <w:tcW w:w="2500" w:type="pct"/>
            <w:tcBorders>
              <w:bottom w:val="single" w:sz="4" w:space="0" w:color="auto"/>
            </w:tcBorders>
          </w:tcPr>
          <w:p w14:paraId="3C777FF1" w14:textId="29914457" w:rsidR="008E3505" w:rsidRPr="0031660E" w:rsidRDefault="008E3505" w:rsidP="00C842AE">
            <w:pPr>
              <w:rPr>
                <w:szCs w:val="22"/>
              </w:rPr>
            </w:pPr>
            <w:r w:rsidRPr="0031660E">
              <w:rPr>
                <w:szCs w:val="22"/>
              </w:rPr>
              <w:t xml:space="preserve">The previous cost recovery arrangements reflected a ‘partial cost recovery’ arrangement, which has been in place without change since 2009. To </w:t>
            </w:r>
            <w:r w:rsidR="00D817DF" w:rsidRPr="0031660E">
              <w:rPr>
                <w:szCs w:val="22"/>
              </w:rPr>
              <w:t>align with</w:t>
            </w:r>
            <w:r w:rsidRPr="0031660E">
              <w:rPr>
                <w:szCs w:val="22"/>
              </w:rPr>
              <w:t xml:space="preserve"> the Government’s decision to implement ‘whole of program</w:t>
            </w:r>
            <w:r w:rsidR="00D817DF" w:rsidRPr="0031660E">
              <w:rPr>
                <w:szCs w:val="22"/>
              </w:rPr>
              <w:t>’</w:t>
            </w:r>
            <w:r w:rsidRPr="0031660E">
              <w:rPr>
                <w:szCs w:val="22"/>
              </w:rPr>
              <w:t xml:space="preserve"> cost recovery, the </w:t>
            </w:r>
            <w:r w:rsidR="00D817DF" w:rsidRPr="0031660E">
              <w:rPr>
                <w:szCs w:val="22"/>
              </w:rPr>
              <w:t>d</w:t>
            </w:r>
            <w:r w:rsidRPr="0031660E">
              <w:rPr>
                <w:szCs w:val="22"/>
              </w:rPr>
              <w:t>epartment undertook a full review of all the associated direct and indirect costs that are essential to the administration of the Prescribed List to develop an activity-based costing model</w:t>
            </w:r>
            <w:r w:rsidR="008542DE" w:rsidRPr="0031660E">
              <w:rPr>
                <w:szCs w:val="22"/>
              </w:rPr>
              <w:t xml:space="preserve">. This model reports </w:t>
            </w:r>
            <w:r w:rsidRPr="0031660E">
              <w:rPr>
                <w:szCs w:val="22"/>
              </w:rPr>
              <w:t>all expenses, including those which were previous</w:t>
            </w:r>
            <w:r w:rsidR="008542DE" w:rsidRPr="0031660E">
              <w:rPr>
                <w:szCs w:val="22"/>
              </w:rPr>
              <w:t>ly</w:t>
            </w:r>
            <w:r w:rsidRPr="0031660E">
              <w:rPr>
                <w:szCs w:val="22"/>
              </w:rPr>
              <w:t xml:space="preserve"> funded through Government appropriation</w:t>
            </w:r>
            <w:r w:rsidR="008542DE" w:rsidRPr="0031660E">
              <w:rPr>
                <w:szCs w:val="22"/>
              </w:rPr>
              <w:t xml:space="preserve"> (and as such excluded from the 2009 model)</w:t>
            </w:r>
            <w:r w:rsidRPr="0031660E">
              <w:rPr>
                <w:szCs w:val="22"/>
              </w:rPr>
              <w:t>, relating to the administration</w:t>
            </w:r>
            <w:r w:rsidR="0022591A" w:rsidRPr="0031660E">
              <w:rPr>
                <w:szCs w:val="22"/>
              </w:rPr>
              <w:t xml:space="preserve"> of the Prescribed List.</w:t>
            </w:r>
          </w:p>
          <w:p w14:paraId="38041DC0" w14:textId="77777777" w:rsidR="008542DE" w:rsidRPr="0031660E" w:rsidRDefault="008542DE" w:rsidP="00C842AE">
            <w:pPr>
              <w:rPr>
                <w:szCs w:val="22"/>
              </w:rPr>
            </w:pPr>
          </w:p>
          <w:p w14:paraId="15E26AE4" w14:textId="1E822230" w:rsidR="008E3505" w:rsidRPr="0031660E" w:rsidRDefault="001206E1" w:rsidP="00C842AE">
            <w:pPr>
              <w:rPr>
                <w:szCs w:val="22"/>
              </w:rPr>
            </w:pPr>
            <w:r w:rsidRPr="0031660E">
              <w:rPr>
                <w:szCs w:val="22"/>
              </w:rPr>
              <w:t xml:space="preserve">The observable increase in the forecast expenses is </w:t>
            </w:r>
            <w:r w:rsidR="008E3505" w:rsidRPr="0031660E">
              <w:rPr>
                <w:szCs w:val="22"/>
              </w:rPr>
              <w:t xml:space="preserve">directly </w:t>
            </w:r>
            <w:r w:rsidRPr="0031660E">
              <w:rPr>
                <w:szCs w:val="22"/>
              </w:rPr>
              <w:t>attributable to the</w:t>
            </w:r>
            <w:r w:rsidR="008E3505" w:rsidRPr="0031660E">
              <w:rPr>
                <w:szCs w:val="22"/>
              </w:rPr>
              <w:t xml:space="preserve"> increase and/or inclusion of the following expenses:</w:t>
            </w:r>
            <w:r w:rsidRPr="0031660E">
              <w:rPr>
                <w:szCs w:val="22"/>
              </w:rPr>
              <w:t xml:space="preserve"> </w:t>
            </w:r>
          </w:p>
          <w:p w14:paraId="2D52A89C" w14:textId="4C77DD0A" w:rsidR="008E3505" w:rsidRPr="0031660E" w:rsidRDefault="00C842AE" w:rsidP="008E3505">
            <w:pPr>
              <w:pStyle w:val="ListParagraph"/>
              <w:numPr>
                <w:ilvl w:val="0"/>
                <w:numId w:val="17"/>
              </w:numPr>
              <w:rPr>
                <w:szCs w:val="22"/>
              </w:rPr>
            </w:pPr>
            <w:r w:rsidRPr="0031660E">
              <w:rPr>
                <w:szCs w:val="22"/>
              </w:rPr>
              <w:t xml:space="preserve">staffing </w:t>
            </w:r>
            <w:proofErr w:type="gramStart"/>
            <w:r w:rsidRPr="0031660E">
              <w:rPr>
                <w:szCs w:val="22"/>
              </w:rPr>
              <w:t>costs</w:t>
            </w:r>
            <w:r w:rsidR="008E3505" w:rsidRPr="0031660E">
              <w:rPr>
                <w:szCs w:val="22"/>
              </w:rPr>
              <w:t>;</w:t>
            </w:r>
            <w:proofErr w:type="gramEnd"/>
          </w:p>
          <w:p w14:paraId="0C731C24" w14:textId="1E625AB0" w:rsidR="008E3505" w:rsidRPr="0031660E" w:rsidRDefault="008E3505" w:rsidP="008E3505">
            <w:pPr>
              <w:pStyle w:val="ListParagraph"/>
              <w:numPr>
                <w:ilvl w:val="0"/>
                <w:numId w:val="17"/>
              </w:numPr>
              <w:rPr>
                <w:szCs w:val="22"/>
              </w:rPr>
            </w:pPr>
            <w:r w:rsidRPr="0031660E">
              <w:rPr>
                <w:szCs w:val="22"/>
              </w:rPr>
              <w:t xml:space="preserve">IT maintenance and </w:t>
            </w:r>
            <w:proofErr w:type="gramStart"/>
            <w:r w:rsidRPr="0031660E">
              <w:rPr>
                <w:szCs w:val="22"/>
              </w:rPr>
              <w:t>depreciation;</w:t>
            </w:r>
            <w:proofErr w:type="gramEnd"/>
          </w:p>
          <w:p w14:paraId="4C718626" w14:textId="2D67B954" w:rsidR="008E3505" w:rsidRPr="0031660E" w:rsidRDefault="00C842AE" w:rsidP="008E3505">
            <w:pPr>
              <w:pStyle w:val="ListParagraph"/>
              <w:numPr>
                <w:ilvl w:val="0"/>
                <w:numId w:val="17"/>
              </w:numPr>
              <w:rPr>
                <w:szCs w:val="22"/>
              </w:rPr>
            </w:pPr>
            <w:r w:rsidRPr="0031660E">
              <w:rPr>
                <w:szCs w:val="22"/>
              </w:rPr>
              <w:t>supplier costs</w:t>
            </w:r>
            <w:r w:rsidR="008E3505" w:rsidRPr="0031660E">
              <w:rPr>
                <w:szCs w:val="22"/>
              </w:rPr>
              <w:t>;</w:t>
            </w:r>
            <w:r w:rsidRPr="0031660E">
              <w:rPr>
                <w:szCs w:val="22"/>
              </w:rPr>
              <w:t xml:space="preserve"> and </w:t>
            </w:r>
          </w:p>
          <w:p w14:paraId="79B71967" w14:textId="3A343CB7" w:rsidR="000718E6" w:rsidRPr="0031660E" w:rsidRDefault="008E3505" w:rsidP="008E3505">
            <w:pPr>
              <w:pStyle w:val="ListParagraph"/>
              <w:numPr>
                <w:ilvl w:val="0"/>
                <w:numId w:val="17"/>
              </w:numPr>
              <w:rPr>
                <w:szCs w:val="22"/>
              </w:rPr>
            </w:pPr>
            <w:r w:rsidRPr="0031660E">
              <w:rPr>
                <w:szCs w:val="22"/>
              </w:rPr>
              <w:t>o</w:t>
            </w:r>
            <w:r w:rsidR="00C842AE" w:rsidRPr="0031660E">
              <w:rPr>
                <w:szCs w:val="22"/>
              </w:rPr>
              <w:t xml:space="preserve">verhead costs. </w:t>
            </w:r>
          </w:p>
        </w:tc>
      </w:tr>
      <w:tr w:rsidR="0031660E" w:rsidRPr="0031660E" w14:paraId="1E00B924" w14:textId="77777777" w:rsidTr="00C04812">
        <w:trPr>
          <w:trHeight w:val="1978"/>
        </w:trPr>
        <w:tc>
          <w:tcPr>
            <w:tcW w:w="2500" w:type="pct"/>
            <w:tcBorders>
              <w:top w:val="single" w:sz="4" w:space="0" w:color="auto"/>
              <w:left w:val="single" w:sz="4" w:space="0" w:color="auto"/>
              <w:bottom w:val="single" w:sz="4" w:space="0" w:color="auto"/>
              <w:right w:val="single" w:sz="4" w:space="0" w:color="auto"/>
            </w:tcBorders>
          </w:tcPr>
          <w:p w14:paraId="5342FD4B" w14:textId="05D8744E" w:rsidR="000718E6" w:rsidRPr="0031660E" w:rsidRDefault="000718E6" w:rsidP="000718E6">
            <w:pPr>
              <w:rPr>
                <w:szCs w:val="22"/>
              </w:rPr>
            </w:pPr>
            <w:r w:rsidRPr="0031660E">
              <w:rPr>
                <w:szCs w:val="22"/>
              </w:rPr>
              <w:t>The relationship between Budget expenditure in 2021-22 and the cost recovery fees is unclear and clarification that reform activities should always be funded by the government not industry is requested.</w:t>
            </w:r>
          </w:p>
        </w:tc>
        <w:tc>
          <w:tcPr>
            <w:tcW w:w="2500" w:type="pct"/>
            <w:tcBorders>
              <w:top w:val="single" w:sz="4" w:space="0" w:color="auto"/>
              <w:left w:val="single" w:sz="4" w:space="0" w:color="auto"/>
              <w:bottom w:val="single" w:sz="4" w:space="0" w:color="auto"/>
              <w:right w:val="single" w:sz="4" w:space="0" w:color="auto"/>
            </w:tcBorders>
          </w:tcPr>
          <w:p w14:paraId="77BC8F14" w14:textId="6192457C" w:rsidR="000718E6" w:rsidRPr="0031660E" w:rsidRDefault="007C1E4E">
            <w:pPr>
              <w:rPr>
                <w:szCs w:val="22"/>
              </w:rPr>
            </w:pPr>
            <w:r w:rsidRPr="0031660E">
              <w:rPr>
                <w:szCs w:val="22"/>
              </w:rPr>
              <w:t xml:space="preserve">The </w:t>
            </w:r>
            <w:r w:rsidR="00D817DF" w:rsidRPr="0031660E">
              <w:rPr>
                <w:szCs w:val="22"/>
              </w:rPr>
              <w:t>d</w:t>
            </w:r>
            <w:r w:rsidRPr="0031660E">
              <w:rPr>
                <w:szCs w:val="22"/>
              </w:rPr>
              <w:t xml:space="preserve">epartment confirms that reform work undertaken for the Prescribed List was funded through Government </w:t>
            </w:r>
            <w:r w:rsidR="00C842AE" w:rsidRPr="0031660E">
              <w:rPr>
                <w:szCs w:val="22"/>
              </w:rPr>
              <w:t>appropriation and</w:t>
            </w:r>
            <w:r w:rsidRPr="0031660E">
              <w:rPr>
                <w:szCs w:val="22"/>
              </w:rPr>
              <w:t xml:space="preserve"> does not form any component of the cost recovery fees.  </w:t>
            </w:r>
          </w:p>
          <w:p w14:paraId="4DD9FE5B" w14:textId="77777777" w:rsidR="0022591A" w:rsidRPr="0031660E" w:rsidRDefault="0022591A">
            <w:pPr>
              <w:rPr>
                <w:szCs w:val="22"/>
              </w:rPr>
            </w:pPr>
          </w:p>
          <w:p w14:paraId="4BFC02B5" w14:textId="4973E4FD" w:rsidR="00C842AE" w:rsidRPr="0031660E" w:rsidRDefault="00C842AE">
            <w:pPr>
              <w:rPr>
                <w:szCs w:val="22"/>
              </w:rPr>
            </w:pPr>
            <w:r w:rsidRPr="0031660E">
              <w:rPr>
                <w:szCs w:val="22"/>
              </w:rPr>
              <w:t xml:space="preserve">References to the 2021-22 Budget were provided to give context to the reform work that has been undertaken in relation to the Prescribed List, which occurred in tandem with the development of the cost recovery model. </w:t>
            </w:r>
          </w:p>
        </w:tc>
      </w:tr>
    </w:tbl>
    <w:p w14:paraId="6F7F6C10" w14:textId="1B879D1F" w:rsidR="00E40EED" w:rsidRPr="0031660E" w:rsidRDefault="00C04812">
      <w:pPr>
        <w:rPr>
          <w:strike/>
        </w:rPr>
      </w:pPr>
      <w:r w:rsidRPr="0031660E">
        <w:t xml:space="preserve">  </w:t>
      </w:r>
    </w:p>
    <w:sectPr w:rsidR="00E40EED" w:rsidRPr="0031660E" w:rsidSect="00C048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031C" w14:textId="77777777" w:rsidR="00712D25" w:rsidRDefault="00712D25" w:rsidP="007D41D6">
      <w:pPr>
        <w:spacing w:after="0" w:line="240" w:lineRule="auto"/>
      </w:pPr>
      <w:r>
        <w:separator/>
      </w:r>
    </w:p>
  </w:endnote>
  <w:endnote w:type="continuationSeparator" w:id="0">
    <w:p w14:paraId="6A427D50" w14:textId="77777777" w:rsidR="00712D25" w:rsidRDefault="00712D25" w:rsidP="007D41D6">
      <w:pPr>
        <w:spacing w:after="0" w:line="240" w:lineRule="auto"/>
      </w:pPr>
      <w:r>
        <w:continuationSeparator/>
      </w:r>
    </w:p>
  </w:endnote>
  <w:endnote w:type="continuationNotice" w:id="1">
    <w:p w14:paraId="6C143FF7" w14:textId="77777777" w:rsidR="00712D25" w:rsidRDefault="00712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Univers">
    <w:altName w:val="Univers"/>
    <w:charset w:val="00"/>
    <w:family w:val="swiss"/>
    <w:pitch w:val="variable"/>
    <w:sig w:usb0="80000287" w:usb1="00000000" w:usb2="00000000" w:usb3="00000000" w:csb0="0000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1F8C" w14:textId="77777777" w:rsidR="00712D25" w:rsidRDefault="00712D25" w:rsidP="007D41D6">
      <w:pPr>
        <w:spacing w:after="0" w:line="240" w:lineRule="auto"/>
      </w:pPr>
      <w:r>
        <w:separator/>
      </w:r>
    </w:p>
  </w:footnote>
  <w:footnote w:type="continuationSeparator" w:id="0">
    <w:p w14:paraId="69F26007" w14:textId="77777777" w:rsidR="00712D25" w:rsidRDefault="00712D25" w:rsidP="007D41D6">
      <w:pPr>
        <w:spacing w:after="0" w:line="240" w:lineRule="auto"/>
      </w:pPr>
      <w:r>
        <w:continuationSeparator/>
      </w:r>
    </w:p>
  </w:footnote>
  <w:footnote w:type="continuationNotice" w:id="1">
    <w:p w14:paraId="44533768" w14:textId="77777777" w:rsidR="00712D25" w:rsidRDefault="00712D25">
      <w:pPr>
        <w:spacing w:after="0" w:line="240" w:lineRule="auto"/>
      </w:pPr>
    </w:p>
  </w:footnote>
  <w:footnote w:id="2">
    <w:p w14:paraId="72C2CAD8" w14:textId="214A6FC1" w:rsidR="004715BD" w:rsidRPr="006A2116" w:rsidRDefault="004715BD" w:rsidP="004715BD">
      <w:pPr>
        <w:pStyle w:val="FootnoteText"/>
      </w:pPr>
      <w:r w:rsidRPr="00101163">
        <w:rPr>
          <w:rStyle w:val="FootnoteReference"/>
        </w:rPr>
        <w:footnoteRef/>
      </w:r>
      <w:r w:rsidRPr="00101163">
        <w:t xml:space="preserve"> </w:t>
      </w:r>
      <w:r w:rsidR="0031071A">
        <w:t xml:space="preserve">The Australian Government Charging Framework and the </w:t>
      </w:r>
      <w:r w:rsidR="009B5F06">
        <w:t>CRGs are available on the Department of Finance Website</w:t>
      </w:r>
      <w:r>
        <w:t xml:space="preserve"> </w:t>
      </w:r>
    </w:p>
  </w:footnote>
  <w:footnote w:id="3">
    <w:p w14:paraId="03F03879" w14:textId="4E779CAF" w:rsidR="008A0B1A" w:rsidRDefault="008A0B1A">
      <w:pPr>
        <w:pStyle w:val="FootnoteText"/>
      </w:pPr>
      <w:r>
        <w:rPr>
          <w:rStyle w:val="FootnoteReference"/>
        </w:rPr>
        <w:footnoteRef/>
      </w:r>
      <w:hyperlink r:id="rId1" w:history="1">
        <w:r w:rsidR="00CA77D1" w:rsidRPr="00BB567D">
          <w:rPr>
            <w:rStyle w:val="Hyperlink"/>
            <w:rFonts w:cstheme="minorBidi"/>
          </w:rPr>
          <w:t>https://www.health.gov.au/topics/private-health-insurance/the-prostheses-list/the-prostheses-list-reforms</w:t>
        </w:r>
      </w:hyperlink>
      <w:r w:rsidR="00CA77D1">
        <w:t xml:space="preserve"> </w:t>
      </w:r>
      <w:r w:rsidR="00B722BA">
        <w:t xml:space="preserve">  </w:t>
      </w:r>
    </w:p>
  </w:footnote>
  <w:footnote w:id="4">
    <w:p w14:paraId="1F75E87A" w14:textId="21CD457E" w:rsidR="00E86BC8" w:rsidRDefault="00E86BC8">
      <w:pPr>
        <w:pStyle w:val="FootnoteText"/>
      </w:pPr>
      <w:r>
        <w:rPr>
          <w:rStyle w:val="FootnoteReference"/>
        </w:rPr>
        <w:footnoteRef/>
      </w:r>
      <w:r>
        <w:t xml:space="preserve"> </w:t>
      </w:r>
      <w:hyperlink r:id="rId2" w:history="1">
        <w:r w:rsidRPr="00BB567D">
          <w:rPr>
            <w:rStyle w:val="Hyperlink"/>
            <w:rFonts w:cstheme="minorBidi"/>
          </w:rPr>
          <w:t>https://www.health.gov.au/resources/publications/budget-2022-23-portfolio-budget-statements?language=en</w:t>
        </w:r>
      </w:hyperlink>
      <w:r>
        <w:t xml:space="preserve"> </w:t>
      </w:r>
    </w:p>
  </w:footnote>
  <w:footnote w:id="5">
    <w:p w14:paraId="571F71F7" w14:textId="79497B4C" w:rsidR="008C6DFC" w:rsidRDefault="008C6DFC" w:rsidP="008C6DFC">
      <w:pPr>
        <w:pStyle w:val="FootnoteText"/>
      </w:pPr>
      <w:r>
        <w:rPr>
          <w:rStyle w:val="FootnoteReference"/>
        </w:rPr>
        <w:footnoteRef/>
      </w:r>
      <w:r>
        <w:t xml:space="preserve"> </w:t>
      </w:r>
      <w:hyperlink r:id="rId3" w:history="1">
        <w:r w:rsidR="00C01401" w:rsidRPr="00BB567D">
          <w:rPr>
            <w:rStyle w:val="Hyperlink"/>
            <w:rFonts w:cstheme="minorBidi"/>
          </w:rPr>
          <w:t>https://www.health.gov.au/resources/publications/private-health-insurance-modernising-and-improving-the-private-health-insurance-prostheses-list</w:t>
        </w:r>
      </w:hyperlink>
      <w:r w:rsidR="00C01401">
        <w:t xml:space="preserve"> </w:t>
      </w:r>
      <w:r>
        <w:t xml:space="preserve"> </w:t>
      </w:r>
    </w:p>
  </w:footnote>
  <w:footnote w:id="6">
    <w:p w14:paraId="18FE567C" w14:textId="77777777" w:rsidR="00BA2ABB" w:rsidRPr="002C4838" w:rsidRDefault="00BA2ABB" w:rsidP="00BA2ABB">
      <w:pPr>
        <w:pStyle w:val="FootnoteText"/>
        <w:rPr>
          <w:sz w:val="18"/>
          <w:szCs w:val="18"/>
        </w:rPr>
      </w:pPr>
      <w:r w:rsidRPr="002C4838">
        <w:rPr>
          <w:rStyle w:val="FootnoteReference"/>
          <w:sz w:val="18"/>
          <w:szCs w:val="18"/>
        </w:rPr>
        <w:footnoteRef/>
      </w:r>
      <w:r w:rsidRPr="002C4838">
        <w:rPr>
          <w:sz w:val="18"/>
          <w:szCs w:val="18"/>
        </w:rPr>
        <w:t xml:space="preserve"> Definition of the direct and indirect costs are from </w:t>
      </w:r>
      <w:hyperlink r:id="rId4" w:history="1">
        <w:r w:rsidRPr="002C4838">
          <w:rPr>
            <w:rStyle w:val="Hyperlink"/>
            <w:sz w:val="18"/>
            <w:szCs w:val="18"/>
          </w:rPr>
          <w:t>the CRGs</w:t>
        </w:r>
      </w:hyperlink>
      <w:r w:rsidRPr="002C4838">
        <w:rPr>
          <w:sz w:val="18"/>
          <w:szCs w:val="18"/>
        </w:rPr>
        <w:t xml:space="preserve">. </w:t>
      </w:r>
    </w:p>
  </w:footnote>
  <w:footnote w:id="7">
    <w:p w14:paraId="730143D6" w14:textId="35E4569F" w:rsidR="00C963B8" w:rsidRPr="00C963B8" w:rsidRDefault="00C963B8" w:rsidP="00C963B8">
      <w:pPr>
        <w:pStyle w:val="FootnoteText"/>
      </w:pPr>
      <w:r>
        <w:rPr>
          <w:rStyle w:val="FootnoteReference"/>
        </w:rPr>
        <w:footnoteRef/>
      </w:r>
      <w:r>
        <w:t xml:space="preserve"> </w:t>
      </w:r>
      <w:r w:rsidRPr="00C963B8">
        <w:t>Please note this fee only includes the P</w:t>
      </w:r>
      <w:r>
        <w:t xml:space="preserve">rescribed </w:t>
      </w:r>
      <w:r w:rsidRPr="00C963B8">
        <w:t>L</w:t>
      </w:r>
      <w:r>
        <w:t>ist</w:t>
      </w:r>
      <w:r w:rsidRPr="00C963B8">
        <w:t xml:space="preserve"> component of work and does not include any future fees that may be payable for MSAC </w:t>
      </w:r>
      <w:proofErr w:type="gramStart"/>
      <w:r w:rsidRPr="00C963B8">
        <w:t>assessment</w:t>
      </w:r>
      <w:proofErr w:type="gramEnd"/>
    </w:p>
    <w:p w14:paraId="4325F39B" w14:textId="12946DF8" w:rsidR="00C963B8" w:rsidRDefault="00C963B8">
      <w:pPr>
        <w:pStyle w:val="FootnoteText"/>
      </w:pPr>
    </w:p>
  </w:footnote>
  <w:footnote w:id="8">
    <w:p w14:paraId="6365C4AE" w14:textId="3313832C" w:rsidR="00AB09AA" w:rsidRPr="00AB09AA" w:rsidRDefault="00AB09AA" w:rsidP="00AB09AA">
      <w:pPr>
        <w:pStyle w:val="FootnoteText"/>
        <w:rPr>
          <w:color w:val="FF0000"/>
        </w:rPr>
      </w:pPr>
      <w:r w:rsidRPr="000028D5">
        <w:rPr>
          <w:rStyle w:val="FootnoteReference"/>
        </w:rPr>
        <w:footnoteRef/>
      </w:r>
      <w:r w:rsidRPr="000028D5">
        <w:t xml:space="preserve"> The cumulative balance includes carried forward </w:t>
      </w:r>
      <w:r w:rsidR="00DA178D" w:rsidRPr="000028D5">
        <w:t xml:space="preserve">cumulative balance </w:t>
      </w:r>
      <w:r w:rsidRPr="000028D5">
        <w:t>of $1,325,000 from 2017-18.</w:t>
      </w:r>
      <w:r w:rsidR="00812BF1" w:rsidRPr="000028D5">
        <w:t xml:space="preserve"> The cumulative balance will reset from the 2023-24 financial year following introduction of revised cost recovery arrangements.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68D"/>
    <w:multiLevelType w:val="hybridMultilevel"/>
    <w:tmpl w:val="DBEC6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C42AD"/>
    <w:multiLevelType w:val="hybridMultilevel"/>
    <w:tmpl w:val="519656F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5B208E"/>
    <w:multiLevelType w:val="hybridMultilevel"/>
    <w:tmpl w:val="4D92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27BF5"/>
    <w:multiLevelType w:val="hybridMultilevel"/>
    <w:tmpl w:val="87843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7A51901"/>
    <w:multiLevelType w:val="hybridMultilevel"/>
    <w:tmpl w:val="403CC4B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2B605B"/>
    <w:multiLevelType w:val="hybridMultilevel"/>
    <w:tmpl w:val="87E4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93D6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627C0D"/>
    <w:multiLevelType w:val="hybridMultilevel"/>
    <w:tmpl w:val="89A4F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921A8"/>
    <w:multiLevelType w:val="hybridMultilevel"/>
    <w:tmpl w:val="091A7B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93A025B"/>
    <w:multiLevelType w:val="hybridMultilevel"/>
    <w:tmpl w:val="0164C1CA"/>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0D00A2F"/>
    <w:multiLevelType w:val="multilevel"/>
    <w:tmpl w:val="AB264622"/>
    <w:styleLink w:val="Headings"/>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1985" w:hanging="1985"/>
      </w:pPr>
    </w:lvl>
    <w:lvl w:ilvl="3">
      <w:start w:val="1"/>
      <w:numFmt w:val="decimal"/>
      <w:suff w:val="nothing"/>
      <w:lvlText w:val=""/>
      <w:lvlJc w:val="left"/>
      <w:pPr>
        <w:ind w:left="0" w:firstLine="0"/>
      </w:pPr>
    </w:lvl>
    <w:lvl w:ilvl="4">
      <w:start w:val="1"/>
      <w:numFmt w:val="decimal"/>
      <w:suff w:val="nothing"/>
      <w:lvlText w:val=""/>
      <w:lvlJc w:val="left"/>
      <w:pPr>
        <w:ind w:left="0" w:firstLine="0"/>
      </w:pPr>
    </w:lvl>
    <w:lvl w:ilvl="5">
      <w:start w:val="1"/>
      <w:numFmt w:val="decimal"/>
      <w:suff w:val="nothing"/>
      <w:lvlText w:val=""/>
      <w:lvlJc w:val="left"/>
      <w:pPr>
        <w:ind w:left="0" w:firstLine="0"/>
      </w:pPr>
    </w:lvl>
    <w:lvl w:ilvl="6">
      <w:start w:val="1"/>
      <w:numFmt w:val="upperLetter"/>
      <w:lvlText w:val="Appendix %7"/>
      <w:lvlJc w:val="left"/>
      <w:pPr>
        <w:ind w:left="0" w:firstLine="0"/>
      </w:pPr>
    </w:lvl>
    <w:lvl w:ilvl="7">
      <w:start w:val="1"/>
      <w:numFmt w:val="decimal"/>
      <w:lvlRestart w:val="0"/>
      <w:lvlText w:val="%7.%8"/>
      <w:lvlJc w:val="left"/>
      <w:pPr>
        <w:ind w:left="0" w:firstLine="0"/>
      </w:pPr>
    </w:lvl>
    <w:lvl w:ilvl="8">
      <w:start w:val="1"/>
      <w:numFmt w:val="decimal"/>
      <w:lvlText w:val="%7.%8.%9"/>
      <w:lvlJc w:val="left"/>
      <w:pPr>
        <w:ind w:left="0" w:firstLine="0"/>
      </w:pPr>
    </w:lvl>
  </w:abstractNum>
  <w:abstractNum w:abstractNumId="11" w15:restartNumberingAfterBreak="0">
    <w:nsid w:val="52A302AD"/>
    <w:multiLevelType w:val="hybridMultilevel"/>
    <w:tmpl w:val="DA929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1E76EA"/>
    <w:multiLevelType w:val="hybridMultilevel"/>
    <w:tmpl w:val="F98E84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CD34C23"/>
    <w:multiLevelType w:val="hybridMultilevel"/>
    <w:tmpl w:val="FBF44A4C"/>
    <w:lvl w:ilvl="0" w:tplc="F66C3D02">
      <w:start w:val="1"/>
      <w:numFmt w:val="bullet"/>
      <w:pStyle w:val="Bulletpoin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E290A66"/>
    <w:multiLevelType w:val="hybridMultilevel"/>
    <w:tmpl w:val="E1FAE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6A50D25"/>
    <w:multiLevelType w:val="hybridMultilevel"/>
    <w:tmpl w:val="FB801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160868"/>
    <w:multiLevelType w:val="multilevel"/>
    <w:tmpl w:val="D1E49F8C"/>
    <w:lvl w:ilvl="0">
      <w:start w:val="1"/>
      <w:numFmt w:val="decimal"/>
      <w:pStyle w:val="Heading11"/>
      <w:lvlText w:val="%1"/>
      <w:lvlJc w:val="left"/>
      <w:pPr>
        <w:ind w:left="432" w:hanging="432"/>
      </w:pPr>
    </w:lvl>
    <w:lvl w:ilvl="1">
      <w:start w:val="1"/>
      <w:numFmt w:val="decimal"/>
      <w:pStyle w:val="Heading2"/>
      <w:lvlText w:val="%1.%2"/>
      <w:lvlJc w:val="left"/>
      <w:pPr>
        <w:ind w:left="9507" w:hanging="576"/>
      </w:pPr>
      <w:rPr>
        <w:i w:val="0"/>
      </w:rPr>
    </w:lvl>
    <w:lvl w:ilvl="2">
      <w:start w:val="1"/>
      <w:numFmt w:val="decimal"/>
      <w:pStyle w:val="Heading3"/>
      <w:lvlText w:val="%1.%2.%3"/>
      <w:lvlJc w:val="left"/>
      <w:pPr>
        <w:ind w:left="313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FB24DEB"/>
    <w:multiLevelType w:val="hybridMultilevel"/>
    <w:tmpl w:val="661CC9AA"/>
    <w:lvl w:ilvl="0" w:tplc="0C090001">
      <w:numFmt w:val="bullet"/>
      <w:lvlText w:val=""/>
      <w:lvlJc w:val="left"/>
      <w:pPr>
        <w:ind w:left="720" w:hanging="360"/>
      </w:pPr>
      <w:rPr>
        <w:rFonts w:ascii="Symbol" w:eastAsia="Times New Roman" w:hAnsi="Symbol" w:cs="Times New Roman"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A62088"/>
    <w:multiLevelType w:val="hybridMultilevel"/>
    <w:tmpl w:val="2E8CF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6523940">
    <w:abstractNumId w:val="16"/>
  </w:num>
  <w:num w:numId="2" w16cid:durableId="953436749">
    <w:abstractNumId w:val="2"/>
  </w:num>
  <w:num w:numId="3" w16cid:durableId="1432893955">
    <w:abstractNumId w:val="13"/>
  </w:num>
  <w:num w:numId="4" w16cid:durableId="1279411966">
    <w:abstractNumId w:val="6"/>
  </w:num>
  <w:num w:numId="5" w16cid:durableId="1927110815">
    <w:abstractNumId w:val="4"/>
  </w:num>
  <w:num w:numId="6" w16cid:durableId="1056472183">
    <w:abstractNumId w:val="10"/>
  </w:num>
  <w:num w:numId="7" w16cid:durableId="1331055473">
    <w:abstractNumId w:val="11"/>
  </w:num>
  <w:num w:numId="8" w16cid:durableId="1820606957">
    <w:abstractNumId w:val="18"/>
  </w:num>
  <w:num w:numId="9" w16cid:durableId="1859537404">
    <w:abstractNumId w:val="12"/>
  </w:num>
  <w:num w:numId="10" w16cid:durableId="1959292888">
    <w:abstractNumId w:val="8"/>
  </w:num>
  <w:num w:numId="11" w16cid:durableId="1225992146">
    <w:abstractNumId w:val="14"/>
  </w:num>
  <w:num w:numId="12" w16cid:durableId="1136295811">
    <w:abstractNumId w:val="17"/>
  </w:num>
  <w:num w:numId="13" w16cid:durableId="91556678">
    <w:abstractNumId w:val="1"/>
  </w:num>
  <w:num w:numId="14" w16cid:durableId="1167667675">
    <w:abstractNumId w:val="9"/>
  </w:num>
  <w:num w:numId="15" w16cid:durableId="1379167179">
    <w:abstractNumId w:val="15"/>
  </w:num>
  <w:num w:numId="16" w16cid:durableId="1415275086">
    <w:abstractNumId w:val="3"/>
  </w:num>
  <w:num w:numId="17" w16cid:durableId="323969460">
    <w:abstractNumId w:val="5"/>
  </w:num>
  <w:num w:numId="18" w16cid:durableId="383985551">
    <w:abstractNumId w:val="0"/>
  </w:num>
  <w:num w:numId="19" w16cid:durableId="78088328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D6"/>
    <w:rsid w:val="00000BD6"/>
    <w:rsid w:val="000028D5"/>
    <w:rsid w:val="000154B2"/>
    <w:rsid w:val="0002471C"/>
    <w:rsid w:val="00024C68"/>
    <w:rsid w:val="00030967"/>
    <w:rsid w:val="00052550"/>
    <w:rsid w:val="00057BAE"/>
    <w:rsid w:val="00067FF7"/>
    <w:rsid w:val="000718E6"/>
    <w:rsid w:val="00081807"/>
    <w:rsid w:val="00081D57"/>
    <w:rsid w:val="000865C9"/>
    <w:rsid w:val="000A0ED1"/>
    <w:rsid w:val="000A4EC1"/>
    <w:rsid w:val="000A6F4D"/>
    <w:rsid w:val="000A7BF6"/>
    <w:rsid w:val="000B70DC"/>
    <w:rsid w:val="000D004E"/>
    <w:rsid w:val="000D61D3"/>
    <w:rsid w:val="000E07AB"/>
    <w:rsid w:val="000E0B1A"/>
    <w:rsid w:val="000E35DC"/>
    <w:rsid w:val="001206E1"/>
    <w:rsid w:val="00123A83"/>
    <w:rsid w:val="001253CC"/>
    <w:rsid w:val="00136CA8"/>
    <w:rsid w:val="00142075"/>
    <w:rsid w:val="00173E03"/>
    <w:rsid w:val="001841A6"/>
    <w:rsid w:val="00184CF1"/>
    <w:rsid w:val="001A1AD8"/>
    <w:rsid w:val="001B41AF"/>
    <w:rsid w:val="001B53C3"/>
    <w:rsid w:val="001B6CB9"/>
    <w:rsid w:val="001C4614"/>
    <w:rsid w:val="001C5A28"/>
    <w:rsid w:val="001C7A63"/>
    <w:rsid w:val="001E7F1E"/>
    <w:rsid w:val="001F01AB"/>
    <w:rsid w:val="001F4610"/>
    <w:rsid w:val="0020210E"/>
    <w:rsid w:val="00205D1E"/>
    <w:rsid w:val="002065EE"/>
    <w:rsid w:val="0020719C"/>
    <w:rsid w:val="002207A1"/>
    <w:rsid w:val="0022390F"/>
    <w:rsid w:val="0022591A"/>
    <w:rsid w:val="00226C8D"/>
    <w:rsid w:val="00232CC4"/>
    <w:rsid w:val="002408D7"/>
    <w:rsid w:val="00250CD5"/>
    <w:rsid w:val="00256ED3"/>
    <w:rsid w:val="00257FD3"/>
    <w:rsid w:val="002614D0"/>
    <w:rsid w:val="0026220C"/>
    <w:rsid w:val="00273C6F"/>
    <w:rsid w:val="00277308"/>
    <w:rsid w:val="0029094E"/>
    <w:rsid w:val="00290C50"/>
    <w:rsid w:val="002A069D"/>
    <w:rsid w:val="002A7CD8"/>
    <w:rsid w:val="002B179D"/>
    <w:rsid w:val="002B3E82"/>
    <w:rsid w:val="002B5A29"/>
    <w:rsid w:val="002C5269"/>
    <w:rsid w:val="002C5AE3"/>
    <w:rsid w:val="002D1E7C"/>
    <w:rsid w:val="002E38BA"/>
    <w:rsid w:val="002F3D0D"/>
    <w:rsid w:val="00301544"/>
    <w:rsid w:val="00301A58"/>
    <w:rsid w:val="00304015"/>
    <w:rsid w:val="0031071A"/>
    <w:rsid w:val="00313AFA"/>
    <w:rsid w:val="0031580C"/>
    <w:rsid w:val="0031660E"/>
    <w:rsid w:val="00316BBF"/>
    <w:rsid w:val="003332AD"/>
    <w:rsid w:val="00347844"/>
    <w:rsid w:val="00353442"/>
    <w:rsid w:val="003630CC"/>
    <w:rsid w:val="0037739D"/>
    <w:rsid w:val="003A3973"/>
    <w:rsid w:val="003A6B65"/>
    <w:rsid w:val="003B2AED"/>
    <w:rsid w:val="003B4FC3"/>
    <w:rsid w:val="003C43E4"/>
    <w:rsid w:val="003C4B82"/>
    <w:rsid w:val="003D0CA9"/>
    <w:rsid w:val="003D4A8B"/>
    <w:rsid w:val="003D54A8"/>
    <w:rsid w:val="003D647A"/>
    <w:rsid w:val="003E22B7"/>
    <w:rsid w:val="003E34C4"/>
    <w:rsid w:val="003F5250"/>
    <w:rsid w:val="004060D2"/>
    <w:rsid w:val="004172D4"/>
    <w:rsid w:val="00440F1C"/>
    <w:rsid w:val="00441FAD"/>
    <w:rsid w:val="00442833"/>
    <w:rsid w:val="0045064E"/>
    <w:rsid w:val="00451794"/>
    <w:rsid w:val="004573BD"/>
    <w:rsid w:val="00461D46"/>
    <w:rsid w:val="00465DE4"/>
    <w:rsid w:val="0046798C"/>
    <w:rsid w:val="00467A32"/>
    <w:rsid w:val="004715BD"/>
    <w:rsid w:val="00482414"/>
    <w:rsid w:val="004946F4"/>
    <w:rsid w:val="004A06D6"/>
    <w:rsid w:val="004B4646"/>
    <w:rsid w:val="004C1E04"/>
    <w:rsid w:val="004C45B8"/>
    <w:rsid w:val="004C4A4E"/>
    <w:rsid w:val="004D5640"/>
    <w:rsid w:val="004E0D4F"/>
    <w:rsid w:val="004E18BD"/>
    <w:rsid w:val="004E292F"/>
    <w:rsid w:val="004E4657"/>
    <w:rsid w:val="004F265C"/>
    <w:rsid w:val="004F27BB"/>
    <w:rsid w:val="004F2EFF"/>
    <w:rsid w:val="004F580F"/>
    <w:rsid w:val="004F6834"/>
    <w:rsid w:val="00500E6E"/>
    <w:rsid w:val="0050161C"/>
    <w:rsid w:val="00503D3E"/>
    <w:rsid w:val="005079CD"/>
    <w:rsid w:val="00517DC5"/>
    <w:rsid w:val="00524313"/>
    <w:rsid w:val="00527E93"/>
    <w:rsid w:val="00561B42"/>
    <w:rsid w:val="005644E6"/>
    <w:rsid w:val="00565F4B"/>
    <w:rsid w:val="00574E2D"/>
    <w:rsid w:val="005809B8"/>
    <w:rsid w:val="00596741"/>
    <w:rsid w:val="0059705B"/>
    <w:rsid w:val="005A4A74"/>
    <w:rsid w:val="005B6573"/>
    <w:rsid w:val="005B6860"/>
    <w:rsid w:val="005C2CFE"/>
    <w:rsid w:val="005D5F83"/>
    <w:rsid w:val="005D6BB6"/>
    <w:rsid w:val="005E003F"/>
    <w:rsid w:val="005E2763"/>
    <w:rsid w:val="005E65D5"/>
    <w:rsid w:val="005F30A2"/>
    <w:rsid w:val="0060031C"/>
    <w:rsid w:val="00603570"/>
    <w:rsid w:val="00607B79"/>
    <w:rsid w:val="00610828"/>
    <w:rsid w:val="00613D60"/>
    <w:rsid w:val="00617D91"/>
    <w:rsid w:val="0063165F"/>
    <w:rsid w:val="0064491F"/>
    <w:rsid w:val="00654050"/>
    <w:rsid w:val="00654389"/>
    <w:rsid w:val="00655C0F"/>
    <w:rsid w:val="00660961"/>
    <w:rsid w:val="00661379"/>
    <w:rsid w:val="00666C17"/>
    <w:rsid w:val="0067745B"/>
    <w:rsid w:val="0068185C"/>
    <w:rsid w:val="006D48A8"/>
    <w:rsid w:val="006F0C36"/>
    <w:rsid w:val="00703D09"/>
    <w:rsid w:val="00704DA3"/>
    <w:rsid w:val="00710B90"/>
    <w:rsid w:val="00712D25"/>
    <w:rsid w:val="00755E28"/>
    <w:rsid w:val="00766FAE"/>
    <w:rsid w:val="00772B47"/>
    <w:rsid w:val="0077423C"/>
    <w:rsid w:val="007B129B"/>
    <w:rsid w:val="007B36FB"/>
    <w:rsid w:val="007B795B"/>
    <w:rsid w:val="007C1E4E"/>
    <w:rsid w:val="007D41D6"/>
    <w:rsid w:val="007F7654"/>
    <w:rsid w:val="007F7FC7"/>
    <w:rsid w:val="00806ADB"/>
    <w:rsid w:val="00812BF1"/>
    <w:rsid w:val="00821DAA"/>
    <w:rsid w:val="008224EB"/>
    <w:rsid w:val="00825BC3"/>
    <w:rsid w:val="00834FDD"/>
    <w:rsid w:val="00835F45"/>
    <w:rsid w:val="00837149"/>
    <w:rsid w:val="00840809"/>
    <w:rsid w:val="008427A4"/>
    <w:rsid w:val="0084294B"/>
    <w:rsid w:val="0084380D"/>
    <w:rsid w:val="00845D36"/>
    <w:rsid w:val="008542DE"/>
    <w:rsid w:val="008614E1"/>
    <w:rsid w:val="00864DB2"/>
    <w:rsid w:val="00866A63"/>
    <w:rsid w:val="00870D38"/>
    <w:rsid w:val="008755BE"/>
    <w:rsid w:val="0088341D"/>
    <w:rsid w:val="00893AC9"/>
    <w:rsid w:val="008A0B1A"/>
    <w:rsid w:val="008A26FA"/>
    <w:rsid w:val="008B2890"/>
    <w:rsid w:val="008C6DFC"/>
    <w:rsid w:val="008D0A1B"/>
    <w:rsid w:val="008D26DD"/>
    <w:rsid w:val="008D654C"/>
    <w:rsid w:val="008E3505"/>
    <w:rsid w:val="008E7213"/>
    <w:rsid w:val="008E74B3"/>
    <w:rsid w:val="008F0526"/>
    <w:rsid w:val="008F3A8B"/>
    <w:rsid w:val="0090491C"/>
    <w:rsid w:val="009133D9"/>
    <w:rsid w:val="00931094"/>
    <w:rsid w:val="00933DC9"/>
    <w:rsid w:val="0093450C"/>
    <w:rsid w:val="009360AC"/>
    <w:rsid w:val="00943D3B"/>
    <w:rsid w:val="00944263"/>
    <w:rsid w:val="009455AA"/>
    <w:rsid w:val="00947C97"/>
    <w:rsid w:val="00950F5D"/>
    <w:rsid w:val="009650C7"/>
    <w:rsid w:val="00970859"/>
    <w:rsid w:val="0097685C"/>
    <w:rsid w:val="00976D6E"/>
    <w:rsid w:val="009914B2"/>
    <w:rsid w:val="009A31A7"/>
    <w:rsid w:val="009A34AE"/>
    <w:rsid w:val="009A54FA"/>
    <w:rsid w:val="009B5D22"/>
    <w:rsid w:val="009B5F06"/>
    <w:rsid w:val="009E7F8E"/>
    <w:rsid w:val="009F1F8E"/>
    <w:rsid w:val="00A02C40"/>
    <w:rsid w:val="00A0599A"/>
    <w:rsid w:val="00A12640"/>
    <w:rsid w:val="00A14962"/>
    <w:rsid w:val="00A14D82"/>
    <w:rsid w:val="00A163BF"/>
    <w:rsid w:val="00A217D8"/>
    <w:rsid w:val="00A22019"/>
    <w:rsid w:val="00A23701"/>
    <w:rsid w:val="00A26F30"/>
    <w:rsid w:val="00A34B53"/>
    <w:rsid w:val="00A36EE7"/>
    <w:rsid w:val="00A4080F"/>
    <w:rsid w:val="00A41AC4"/>
    <w:rsid w:val="00A43BFD"/>
    <w:rsid w:val="00A50854"/>
    <w:rsid w:val="00A51170"/>
    <w:rsid w:val="00A55E6D"/>
    <w:rsid w:val="00A62388"/>
    <w:rsid w:val="00A670C2"/>
    <w:rsid w:val="00A73AA2"/>
    <w:rsid w:val="00A764D8"/>
    <w:rsid w:val="00A8053E"/>
    <w:rsid w:val="00A848E9"/>
    <w:rsid w:val="00AA76B3"/>
    <w:rsid w:val="00AB09AA"/>
    <w:rsid w:val="00AC0FF2"/>
    <w:rsid w:val="00AC4609"/>
    <w:rsid w:val="00AD28D9"/>
    <w:rsid w:val="00AE251F"/>
    <w:rsid w:val="00AE49A4"/>
    <w:rsid w:val="00AE4EB4"/>
    <w:rsid w:val="00AF095A"/>
    <w:rsid w:val="00AF2CE0"/>
    <w:rsid w:val="00AF60FD"/>
    <w:rsid w:val="00AF686A"/>
    <w:rsid w:val="00AF6A95"/>
    <w:rsid w:val="00B15A44"/>
    <w:rsid w:val="00B16EB1"/>
    <w:rsid w:val="00B17C66"/>
    <w:rsid w:val="00B25F07"/>
    <w:rsid w:val="00B432DE"/>
    <w:rsid w:val="00B55B8C"/>
    <w:rsid w:val="00B56F8D"/>
    <w:rsid w:val="00B661E1"/>
    <w:rsid w:val="00B67037"/>
    <w:rsid w:val="00B722BA"/>
    <w:rsid w:val="00B75732"/>
    <w:rsid w:val="00B771B3"/>
    <w:rsid w:val="00B86927"/>
    <w:rsid w:val="00B96F3E"/>
    <w:rsid w:val="00BA2ABB"/>
    <w:rsid w:val="00BA471C"/>
    <w:rsid w:val="00BB3356"/>
    <w:rsid w:val="00BB460A"/>
    <w:rsid w:val="00BC239F"/>
    <w:rsid w:val="00BC7F0B"/>
    <w:rsid w:val="00C01401"/>
    <w:rsid w:val="00C04812"/>
    <w:rsid w:val="00C0695B"/>
    <w:rsid w:val="00C3735D"/>
    <w:rsid w:val="00C415F4"/>
    <w:rsid w:val="00C47DD2"/>
    <w:rsid w:val="00C508F2"/>
    <w:rsid w:val="00C53B44"/>
    <w:rsid w:val="00C56842"/>
    <w:rsid w:val="00C57671"/>
    <w:rsid w:val="00C65142"/>
    <w:rsid w:val="00C70055"/>
    <w:rsid w:val="00C707E8"/>
    <w:rsid w:val="00C7474D"/>
    <w:rsid w:val="00C7653B"/>
    <w:rsid w:val="00C842AE"/>
    <w:rsid w:val="00C963B8"/>
    <w:rsid w:val="00CA77D1"/>
    <w:rsid w:val="00CB01BB"/>
    <w:rsid w:val="00CB5C6E"/>
    <w:rsid w:val="00CD188C"/>
    <w:rsid w:val="00CD3C79"/>
    <w:rsid w:val="00CD4E18"/>
    <w:rsid w:val="00CD5DA1"/>
    <w:rsid w:val="00CE3732"/>
    <w:rsid w:val="00CE3DBA"/>
    <w:rsid w:val="00CF0C14"/>
    <w:rsid w:val="00D11AB0"/>
    <w:rsid w:val="00D16F9B"/>
    <w:rsid w:val="00D17E3F"/>
    <w:rsid w:val="00D235B4"/>
    <w:rsid w:val="00D26DA6"/>
    <w:rsid w:val="00D30EEA"/>
    <w:rsid w:val="00D54CE6"/>
    <w:rsid w:val="00D57B2F"/>
    <w:rsid w:val="00D57F89"/>
    <w:rsid w:val="00D66308"/>
    <w:rsid w:val="00D66C7F"/>
    <w:rsid w:val="00D72615"/>
    <w:rsid w:val="00D7339E"/>
    <w:rsid w:val="00D817DF"/>
    <w:rsid w:val="00D87B65"/>
    <w:rsid w:val="00D92CCB"/>
    <w:rsid w:val="00D96721"/>
    <w:rsid w:val="00DA178D"/>
    <w:rsid w:val="00DA2410"/>
    <w:rsid w:val="00DA5AA5"/>
    <w:rsid w:val="00DB22F4"/>
    <w:rsid w:val="00DB71DD"/>
    <w:rsid w:val="00DC2662"/>
    <w:rsid w:val="00DC4BA5"/>
    <w:rsid w:val="00DD1DFE"/>
    <w:rsid w:val="00DE4174"/>
    <w:rsid w:val="00DE636A"/>
    <w:rsid w:val="00DF5471"/>
    <w:rsid w:val="00DF63F8"/>
    <w:rsid w:val="00E02212"/>
    <w:rsid w:val="00E06D83"/>
    <w:rsid w:val="00E2125B"/>
    <w:rsid w:val="00E220D0"/>
    <w:rsid w:val="00E22347"/>
    <w:rsid w:val="00E23DDD"/>
    <w:rsid w:val="00E26D91"/>
    <w:rsid w:val="00E33894"/>
    <w:rsid w:val="00E34BC5"/>
    <w:rsid w:val="00E40EED"/>
    <w:rsid w:val="00E47245"/>
    <w:rsid w:val="00E50CC3"/>
    <w:rsid w:val="00E514CA"/>
    <w:rsid w:val="00E60A33"/>
    <w:rsid w:val="00E8306C"/>
    <w:rsid w:val="00E86BC8"/>
    <w:rsid w:val="00E94271"/>
    <w:rsid w:val="00E97019"/>
    <w:rsid w:val="00EA37C9"/>
    <w:rsid w:val="00EC4281"/>
    <w:rsid w:val="00EC67E6"/>
    <w:rsid w:val="00ED3BAC"/>
    <w:rsid w:val="00F01018"/>
    <w:rsid w:val="00F045A6"/>
    <w:rsid w:val="00F232FD"/>
    <w:rsid w:val="00F23EAE"/>
    <w:rsid w:val="00F31698"/>
    <w:rsid w:val="00F35040"/>
    <w:rsid w:val="00F45D6D"/>
    <w:rsid w:val="00F472E1"/>
    <w:rsid w:val="00F7186B"/>
    <w:rsid w:val="00F730F5"/>
    <w:rsid w:val="00F73B8E"/>
    <w:rsid w:val="00F8602D"/>
    <w:rsid w:val="00F97BA7"/>
    <w:rsid w:val="00FB0A7D"/>
    <w:rsid w:val="00FB236D"/>
    <w:rsid w:val="00FC1CC8"/>
    <w:rsid w:val="00FD0426"/>
    <w:rsid w:val="00FD65D7"/>
    <w:rsid w:val="00FE0749"/>
    <w:rsid w:val="00FE4F12"/>
    <w:rsid w:val="00FE5CF9"/>
    <w:rsid w:val="00FF1D63"/>
    <w:rsid w:val="00FF1D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05FB0"/>
  <w15:docId w15:val="{9DE3E269-0047-4BCB-A0B9-E5C1A93A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FC"/>
  </w:style>
  <w:style w:type="paragraph" w:styleId="Heading1">
    <w:name w:val="heading 1"/>
    <w:basedOn w:val="Normal"/>
    <w:next w:val="Normal"/>
    <w:link w:val="Heading1Char"/>
    <w:uiPriority w:val="9"/>
    <w:qFormat/>
    <w:rsid w:val="007D4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qFormat/>
    <w:rsid w:val="007D41D6"/>
    <w:pPr>
      <w:keepLines w:val="0"/>
      <w:numPr>
        <w:ilvl w:val="1"/>
        <w:numId w:val="1"/>
      </w:numPr>
      <w:spacing w:after="120" w:line="240" w:lineRule="auto"/>
      <w:ind w:left="576"/>
      <w:outlineLvl w:val="1"/>
    </w:pPr>
    <w:rPr>
      <w:rFonts w:ascii="Arial" w:eastAsia="Times New Roman" w:hAnsi="Arial" w:cs="Arial"/>
      <w:b/>
      <w:bCs/>
      <w:iCs/>
      <w:color w:val="auto"/>
      <w:sz w:val="24"/>
      <w:szCs w:val="28"/>
    </w:rPr>
  </w:style>
  <w:style w:type="paragraph" w:styleId="Heading3">
    <w:name w:val="heading 3"/>
    <w:basedOn w:val="Heading2"/>
    <w:next w:val="Normal"/>
    <w:link w:val="Heading3Char"/>
    <w:uiPriority w:val="9"/>
    <w:qFormat/>
    <w:rsid w:val="007D41D6"/>
    <w:pPr>
      <w:numPr>
        <w:ilvl w:val="2"/>
      </w:numPr>
      <w:spacing w:after="60"/>
      <w:ind w:left="7525"/>
      <w:outlineLvl w:val="2"/>
    </w:pPr>
    <w:rPr>
      <w:b w:val="0"/>
      <w:bCs w:val="0"/>
      <w:sz w:val="22"/>
      <w:szCs w:val="26"/>
    </w:rPr>
  </w:style>
  <w:style w:type="paragraph" w:styleId="Heading4">
    <w:name w:val="heading 4"/>
    <w:next w:val="BodyText"/>
    <w:link w:val="Heading4Char"/>
    <w:autoRedefine/>
    <w:uiPriority w:val="9"/>
    <w:unhideWhenUsed/>
    <w:qFormat/>
    <w:rsid w:val="007B36FB"/>
    <w:pPr>
      <w:keepNext/>
      <w:keepLines/>
      <w:spacing w:after="120" w:line="240" w:lineRule="auto"/>
      <w:outlineLvl w:val="3"/>
    </w:pPr>
    <w:rPr>
      <w:rFonts w:ascii="Arial" w:eastAsia="Times New Roman" w:hAnsi="Arial" w:cs="Times New Roman"/>
      <w:b/>
      <w:bCs/>
      <w:iCs/>
      <w:sz w:val="20"/>
      <w:lang w:eastAsia="ja-JP"/>
    </w:rPr>
  </w:style>
  <w:style w:type="paragraph" w:styleId="Heading5">
    <w:name w:val="heading 5"/>
    <w:next w:val="BodyText"/>
    <w:link w:val="Heading5Char"/>
    <w:uiPriority w:val="9"/>
    <w:unhideWhenUsed/>
    <w:qFormat/>
    <w:rsid w:val="007B36FB"/>
    <w:pPr>
      <w:keepNext/>
      <w:keepLines/>
      <w:spacing w:after="60" w:line="240" w:lineRule="auto"/>
      <w:outlineLvl w:val="4"/>
    </w:pPr>
    <w:rPr>
      <w:rFonts w:ascii="Arial" w:eastAsia="Times New Roman" w:hAnsi="Arial" w:cs="Times New Roman"/>
      <w:b/>
      <w:i/>
      <w:sz w:val="20"/>
      <w:lang w:eastAsia="ja-JP"/>
    </w:rPr>
  </w:style>
  <w:style w:type="paragraph" w:styleId="Heading6">
    <w:name w:val="heading 6"/>
    <w:next w:val="BodyText"/>
    <w:link w:val="Heading6Char"/>
    <w:uiPriority w:val="9"/>
    <w:unhideWhenUsed/>
    <w:qFormat/>
    <w:rsid w:val="007B36FB"/>
    <w:pPr>
      <w:keepNext/>
      <w:keepLines/>
      <w:spacing w:after="60" w:line="240" w:lineRule="auto"/>
      <w:outlineLvl w:val="5"/>
    </w:pPr>
    <w:rPr>
      <w:rFonts w:ascii="Arial" w:eastAsia="Times New Roman" w:hAnsi="Arial" w:cs="Times New Roman"/>
      <w:i/>
      <w:iCs/>
      <w:color w:val="252525"/>
      <w:sz w:val="20"/>
      <w:lang w:eastAsia="ja-JP"/>
    </w:rPr>
  </w:style>
  <w:style w:type="paragraph" w:styleId="Heading7">
    <w:name w:val="heading 7"/>
    <w:aliases w:val="App Lvl 1"/>
    <w:next w:val="BodyText"/>
    <w:link w:val="Heading7Char"/>
    <w:uiPriority w:val="9"/>
    <w:unhideWhenUsed/>
    <w:qFormat/>
    <w:rsid w:val="007B36FB"/>
    <w:pPr>
      <w:keepNext/>
      <w:pageBreakBefore/>
      <w:spacing w:after="360" w:line="240" w:lineRule="auto"/>
      <w:ind w:left="720" w:hanging="720"/>
      <w:outlineLvl w:val="6"/>
    </w:pPr>
    <w:rPr>
      <w:rFonts w:ascii="Arial" w:eastAsia="Times New Roman" w:hAnsi="Arial" w:cs="Times New Roman"/>
      <w:b/>
      <w:iCs/>
      <w:color w:val="7030A0"/>
      <w:sz w:val="32"/>
      <w:lang w:eastAsia="ja-JP"/>
    </w:rPr>
  </w:style>
  <w:style w:type="paragraph" w:styleId="Heading8">
    <w:name w:val="heading 8"/>
    <w:aliases w:val="App Lvl 2"/>
    <w:next w:val="BodyText"/>
    <w:link w:val="Heading8Char"/>
    <w:uiPriority w:val="9"/>
    <w:unhideWhenUsed/>
    <w:qFormat/>
    <w:rsid w:val="007B36FB"/>
    <w:pPr>
      <w:spacing w:before="240" w:after="60" w:line="216" w:lineRule="auto"/>
      <w:ind w:left="851" w:hanging="851"/>
      <w:outlineLvl w:val="7"/>
    </w:pPr>
    <w:rPr>
      <w:rFonts w:ascii="Arial" w:eastAsia="Times New Roman" w:hAnsi="Arial" w:cs="Times New Roman"/>
      <w:b/>
      <w:color w:val="7030A0"/>
      <w:sz w:val="28"/>
      <w:szCs w:val="20"/>
      <w:lang w:eastAsia="ja-JP"/>
    </w:rPr>
  </w:style>
  <w:style w:type="paragraph" w:styleId="Heading9">
    <w:name w:val="heading 9"/>
    <w:aliases w:val="App Lvl 3"/>
    <w:basedOn w:val="Normal"/>
    <w:next w:val="Normal"/>
    <w:link w:val="Heading9Char"/>
    <w:uiPriority w:val="9"/>
    <w:qFormat/>
    <w:rsid w:val="007D41D6"/>
    <w:pPr>
      <w:numPr>
        <w:ilvl w:val="8"/>
        <w:numId w:val="1"/>
      </w:numPr>
      <w:spacing w:before="12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41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1D6"/>
    <w:rPr>
      <w:sz w:val="20"/>
      <w:szCs w:val="20"/>
    </w:rPr>
  </w:style>
  <w:style w:type="paragraph" w:customStyle="1" w:styleId="Heading11">
    <w:name w:val="Heading 11"/>
    <w:basedOn w:val="Normal"/>
    <w:next w:val="Normal"/>
    <w:uiPriority w:val="99"/>
    <w:qFormat/>
    <w:rsid w:val="007D41D6"/>
    <w:pPr>
      <w:keepNext/>
      <w:numPr>
        <w:numId w:val="1"/>
      </w:numPr>
      <w:spacing w:before="240" w:after="200" w:line="240" w:lineRule="auto"/>
      <w:outlineLvl w:val="0"/>
    </w:pPr>
    <w:rPr>
      <w:rFonts w:eastAsia="Times New Roman" w:cs="Times New Roman"/>
      <w:b/>
      <w:sz w:val="28"/>
      <w:szCs w:val="28"/>
    </w:rPr>
  </w:style>
  <w:style w:type="character" w:customStyle="1" w:styleId="Heading2Char">
    <w:name w:val="Heading 2 Char"/>
    <w:basedOn w:val="DefaultParagraphFont"/>
    <w:link w:val="Heading2"/>
    <w:uiPriority w:val="9"/>
    <w:rsid w:val="007D41D6"/>
    <w:rPr>
      <w:rFonts w:ascii="Arial" w:eastAsia="Times New Roman" w:hAnsi="Arial" w:cs="Arial"/>
      <w:b/>
      <w:bCs/>
      <w:iCs/>
      <w:sz w:val="24"/>
      <w:szCs w:val="28"/>
    </w:rPr>
  </w:style>
  <w:style w:type="character" w:customStyle="1" w:styleId="Heading3Char">
    <w:name w:val="Heading 3 Char"/>
    <w:basedOn w:val="DefaultParagraphFont"/>
    <w:link w:val="Heading3"/>
    <w:uiPriority w:val="9"/>
    <w:rsid w:val="007D41D6"/>
    <w:rPr>
      <w:rFonts w:ascii="Arial" w:eastAsia="Times New Roman" w:hAnsi="Arial" w:cs="Arial"/>
      <w:iCs/>
      <w:szCs w:val="26"/>
    </w:rPr>
  </w:style>
  <w:style w:type="paragraph" w:customStyle="1" w:styleId="Heading41">
    <w:name w:val="Heading 41"/>
    <w:basedOn w:val="Normal"/>
    <w:next w:val="Normal"/>
    <w:uiPriority w:val="99"/>
    <w:qFormat/>
    <w:rsid w:val="007D41D6"/>
    <w:pPr>
      <w:keepNext/>
      <w:numPr>
        <w:ilvl w:val="3"/>
        <w:numId w:val="1"/>
      </w:numPr>
      <w:spacing w:before="120" w:after="60" w:line="240" w:lineRule="auto"/>
      <w:outlineLvl w:val="3"/>
    </w:pPr>
    <w:rPr>
      <w:rFonts w:eastAsia="Times New Roman" w:cs="Times New Roman"/>
      <w:b/>
      <w:bCs/>
      <w:sz w:val="28"/>
      <w:szCs w:val="28"/>
    </w:rPr>
  </w:style>
  <w:style w:type="paragraph" w:customStyle="1" w:styleId="Heading51">
    <w:name w:val="Heading 51"/>
    <w:basedOn w:val="Normal"/>
    <w:next w:val="Normal"/>
    <w:uiPriority w:val="99"/>
    <w:qFormat/>
    <w:rsid w:val="007D41D6"/>
    <w:pPr>
      <w:numPr>
        <w:ilvl w:val="4"/>
        <w:numId w:val="1"/>
      </w:numPr>
      <w:spacing w:before="120" w:after="60" w:line="240" w:lineRule="auto"/>
      <w:outlineLvl w:val="4"/>
    </w:pPr>
    <w:rPr>
      <w:rFonts w:eastAsia="Times New Roman" w:cs="Times New Roman"/>
      <w:b/>
      <w:bCs/>
      <w:i/>
      <w:iCs/>
      <w:sz w:val="26"/>
      <w:szCs w:val="26"/>
    </w:rPr>
  </w:style>
  <w:style w:type="paragraph" w:customStyle="1" w:styleId="Heading61">
    <w:name w:val="Heading 61"/>
    <w:basedOn w:val="Normal"/>
    <w:next w:val="Normal"/>
    <w:uiPriority w:val="99"/>
    <w:qFormat/>
    <w:rsid w:val="007D41D6"/>
    <w:pPr>
      <w:numPr>
        <w:ilvl w:val="5"/>
        <w:numId w:val="1"/>
      </w:numPr>
      <w:spacing w:before="120" w:after="60" w:line="240" w:lineRule="auto"/>
      <w:outlineLvl w:val="5"/>
    </w:pPr>
    <w:rPr>
      <w:rFonts w:eastAsia="Times New Roman" w:cs="Times New Roman"/>
      <w:b/>
      <w:bCs/>
    </w:rPr>
  </w:style>
  <w:style w:type="paragraph" w:customStyle="1" w:styleId="Heading71">
    <w:name w:val="Heading 71"/>
    <w:basedOn w:val="Normal"/>
    <w:next w:val="Normal"/>
    <w:uiPriority w:val="99"/>
    <w:qFormat/>
    <w:rsid w:val="007D41D6"/>
    <w:pPr>
      <w:numPr>
        <w:ilvl w:val="6"/>
        <w:numId w:val="1"/>
      </w:numPr>
      <w:spacing w:before="120" w:after="60" w:line="240" w:lineRule="auto"/>
      <w:outlineLvl w:val="6"/>
    </w:pPr>
    <w:rPr>
      <w:rFonts w:eastAsia="Times New Roman" w:cs="Times New Roman"/>
      <w:szCs w:val="24"/>
    </w:rPr>
  </w:style>
  <w:style w:type="paragraph" w:customStyle="1" w:styleId="Heading81">
    <w:name w:val="Heading 81"/>
    <w:basedOn w:val="Normal"/>
    <w:next w:val="Normal"/>
    <w:uiPriority w:val="99"/>
    <w:qFormat/>
    <w:rsid w:val="007D41D6"/>
    <w:pPr>
      <w:numPr>
        <w:ilvl w:val="7"/>
        <w:numId w:val="1"/>
      </w:numPr>
      <w:spacing w:before="120" w:after="60" w:line="240" w:lineRule="auto"/>
      <w:outlineLvl w:val="7"/>
    </w:pPr>
    <w:rPr>
      <w:rFonts w:eastAsia="Times New Roman" w:cs="Times New Roman"/>
      <w:i/>
      <w:iCs/>
      <w:szCs w:val="24"/>
    </w:rPr>
  </w:style>
  <w:style w:type="character" w:customStyle="1" w:styleId="Heading9Char">
    <w:name w:val="Heading 9 Char"/>
    <w:aliases w:val="App Lvl 3 Char"/>
    <w:basedOn w:val="DefaultParagraphFont"/>
    <w:link w:val="Heading9"/>
    <w:uiPriority w:val="9"/>
    <w:rsid w:val="007D41D6"/>
    <w:rPr>
      <w:rFonts w:ascii="Arial" w:eastAsia="Times New Roman" w:hAnsi="Arial" w:cs="Arial"/>
    </w:rPr>
  </w:style>
  <w:style w:type="table" w:customStyle="1" w:styleId="TableGrid1">
    <w:name w:val="Table Grid1"/>
    <w:basedOn w:val="TableNormal"/>
    <w:next w:val="TableGrid"/>
    <w:uiPriority w:val="99"/>
    <w:rsid w:val="007D41D6"/>
    <w:pPr>
      <w:spacing w:after="0" w:line="240" w:lineRule="auto"/>
    </w:pPr>
    <w:rPr>
      <w:rFonts w:ascii="Calibri" w:eastAsia="Times New Roman" w:hAnsi="Calibri"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BE5F1"/>
      </w:tcPr>
    </w:tblStylePr>
  </w:style>
  <w:style w:type="character" w:customStyle="1" w:styleId="FootnoteReference1">
    <w:name w:val="Footnote Reference1"/>
    <w:uiPriority w:val="99"/>
    <w:unhideWhenUsed/>
    <w:rsid w:val="007D41D6"/>
    <w:rPr>
      <w:rFonts w:ascii="Calibri" w:hAnsi="Calibri"/>
      <w:color w:val="7F7F7F"/>
      <w:vertAlign w:val="superscript"/>
      <w:lang w:eastAsia="en-AU"/>
    </w:rPr>
  </w:style>
  <w:style w:type="character" w:styleId="CommentReference">
    <w:name w:val="annotation reference"/>
    <w:basedOn w:val="DefaultParagraphFont"/>
    <w:unhideWhenUsed/>
    <w:rsid w:val="007D41D6"/>
    <w:rPr>
      <w:sz w:val="16"/>
      <w:szCs w:val="16"/>
    </w:rPr>
  </w:style>
  <w:style w:type="paragraph" w:customStyle="1" w:styleId="CommentText1">
    <w:name w:val="Comment Text1"/>
    <w:basedOn w:val="Normal"/>
    <w:next w:val="CommentText"/>
    <w:link w:val="CommentTextChar"/>
    <w:uiPriority w:val="99"/>
    <w:unhideWhenUsed/>
    <w:rsid w:val="007D41D6"/>
    <w:pPr>
      <w:spacing w:before="120" w:after="120" w:line="240" w:lineRule="auto"/>
    </w:pPr>
    <w:rPr>
      <w:rFonts w:eastAsia="Times New Roman" w:cs="Times New Roman"/>
      <w:sz w:val="20"/>
      <w:szCs w:val="20"/>
    </w:rPr>
  </w:style>
  <w:style w:type="character" w:customStyle="1" w:styleId="CommentTextChar">
    <w:name w:val="Comment Text Char"/>
    <w:basedOn w:val="DefaultParagraphFont"/>
    <w:link w:val="CommentText1"/>
    <w:rsid w:val="007D41D6"/>
    <w:rPr>
      <w:rFonts w:eastAsia="Times New Roman" w:cs="Times New Roman"/>
      <w:sz w:val="20"/>
      <w:szCs w:val="20"/>
    </w:rPr>
  </w:style>
  <w:style w:type="character" w:customStyle="1" w:styleId="Heading1Char">
    <w:name w:val="Heading 1 Char"/>
    <w:basedOn w:val="DefaultParagraphFont"/>
    <w:link w:val="Heading1"/>
    <w:uiPriority w:val="9"/>
    <w:rsid w:val="007D41D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D4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D41D6"/>
    <w:rPr>
      <w:vertAlign w:val="superscript"/>
    </w:rPr>
  </w:style>
  <w:style w:type="paragraph" w:styleId="CommentText">
    <w:name w:val="annotation text"/>
    <w:basedOn w:val="Normal"/>
    <w:link w:val="CommentTextChar1"/>
    <w:unhideWhenUsed/>
    <w:rsid w:val="007D41D6"/>
    <w:pPr>
      <w:spacing w:line="240" w:lineRule="auto"/>
    </w:pPr>
    <w:rPr>
      <w:sz w:val="20"/>
      <w:szCs w:val="20"/>
    </w:rPr>
  </w:style>
  <w:style w:type="character" w:customStyle="1" w:styleId="CommentTextChar1">
    <w:name w:val="Comment Text Char1"/>
    <w:basedOn w:val="DefaultParagraphFont"/>
    <w:link w:val="CommentText"/>
    <w:rsid w:val="007D41D6"/>
    <w:rPr>
      <w:sz w:val="20"/>
      <w:szCs w:val="20"/>
    </w:rPr>
  </w:style>
  <w:style w:type="paragraph" w:styleId="CommentSubject">
    <w:name w:val="annotation subject"/>
    <w:basedOn w:val="CommentText"/>
    <w:next w:val="CommentText"/>
    <w:link w:val="CommentSubjectChar"/>
    <w:uiPriority w:val="99"/>
    <w:semiHidden/>
    <w:unhideWhenUsed/>
    <w:rsid w:val="009A34AE"/>
    <w:rPr>
      <w:b/>
      <w:bCs/>
    </w:rPr>
  </w:style>
  <w:style w:type="character" w:customStyle="1" w:styleId="CommentSubjectChar">
    <w:name w:val="Comment Subject Char"/>
    <w:basedOn w:val="CommentTextChar1"/>
    <w:link w:val="CommentSubject"/>
    <w:uiPriority w:val="99"/>
    <w:semiHidden/>
    <w:rsid w:val="009A34AE"/>
    <w:rPr>
      <w:b/>
      <w:bCs/>
      <w:sz w:val="20"/>
      <w:szCs w:val="20"/>
    </w:rPr>
  </w:style>
  <w:style w:type="paragraph" w:styleId="BodyText">
    <w:name w:val="Body Text"/>
    <w:basedOn w:val="Normal"/>
    <w:link w:val="BodyTextChar"/>
    <w:uiPriority w:val="99"/>
    <w:unhideWhenUsed/>
    <w:rsid w:val="00277308"/>
    <w:pPr>
      <w:spacing w:after="120" w:line="240" w:lineRule="auto"/>
    </w:pPr>
    <w:rPr>
      <w:rFonts w:ascii="Arial" w:eastAsia="Times New Roman" w:hAnsi="Arial" w:cs="Times New Roman"/>
      <w:sz w:val="20"/>
      <w:lang w:eastAsia="ja-JP"/>
    </w:rPr>
  </w:style>
  <w:style w:type="character" w:customStyle="1" w:styleId="BodyTextChar">
    <w:name w:val="Body Text Char"/>
    <w:basedOn w:val="DefaultParagraphFont"/>
    <w:link w:val="BodyText"/>
    <w:uiPriority w:val="99"/>
    <w:rsid w:val="00277308"/>
    <w:rPr>
      <w:rFonts w:ascii="Arial" w:eastAsia="Times New Roman" w:hAnsi="Arial" w:cs="Times New Roman"/>
      <w:sz w:val="20"/>
      <w:lang w:eastAsia="ja-JP"/>
    </w:rPr>
  </w:style>
  <w:style w:type="paragraph" w:customStyle="1" w:styleId="Bulletpoint">
    <w:name w:val="Bullet point"/>
    <w:qFormat/>
    <w:rsid w:val="00277308"/>
    <w:pPr>
      <w:numPr>
        <w:numId w:val="3"/>
      </w:numPr>
      <w:spacing w:after="120" w:line="240" w:lineRule="auto"/>
    </w:pPr>
    <w:rPr>
      <w:rFonts w:ascii="Arial" w:eastAsia="Times New Roman" w:hAnsi="Arial" w:cs="Times New Roman"/>
      <w:sz w:val="20"/>
      <w:lang w:eastAsia="ja-JP"/>
    </w:rPr>
  </w:style>
  <w:style w:type="paragraph" w:customStyle="1" w:styleId="Bulletpoint2ndlevel">
    <w:name w:val="Bullet point 2nd level"/>
    <w:basedOn w:val="Bulletpoint"/>
    <w:qFormat/>
    <w:rsid w:val="00277308"/>
    <w:pPr>
      <w:numPr>
        <w:numId w:val="0"/>
      </w:numPr>
    </w:pPr>
  </w:style>
  <w:style w:type="paragraph" w:styleId="ListParagraph">
    <w:name w:val="List Paragraph"/>
    <w:aliases w:val="List Paragraph1,Recommendation,List Paragraph11,List Paragraph 1.,#List Paragraph,L,Bullet Level 1,Bullet Point,Bulletr List Paragraph,Content descriptions,FooterText,List Paragraph2,List Paragraph21,Listeafsnit1,リスト段落,列"/>
    <w:basedOn w:val="Normal"/>
    <w:link w:val="ListParagraphChar"/>
    <w:uiPriority w:val="34"/>
    <w:qFormat/>
    <w:rsid w:val="00D54CE6"/>
    <w:pPr>
      <w:ind w:left="720"/>
      <w:contextualSpacing/>
    </w:pPr>
  </w:style>
  <w:style w:type="paragraph" w:customStyle="1" w:styleId="Paragraphtext">
    <w:name w:val="Paragraph text"/>
    <w:basedOn w:val="Normal"/>
    <w:qFormat/>
    <w:rsid w:val="00E94271"/>
    <w:pPr>
      <w:spacing w:before="120" w:after="60" w:line="240" w:lineRule="auto"/>
    </w:pPr>
    <w:rPr>
      <w:rFonts w:ascii="Arial" w:eastAsia="Times New Roman" w:hAnsi="Arial" w:cs="Times New Roman"/>
      <w:color w:val="000000" w:themeColor="text1"/>
      <w:sz w:val="21"/>
      <w:szCs w:val="24"/>
    </w:rPr>
  </w:style>
  <w:style w:type="character" w:customStyle="1" w:styleId="Heading4Char">
    <w:name w:val="Heading 4 Char"/>
    <w:basedOn w:val="DefaultParagraphFont"/>
    <w:link w:val="Heading4"/>
    <w:uiPriority w:val="9"/>
    <w:rsid w:val="007B36FB"/>
    <w:rPr>
      <w:rFonts w:ascii="Arial" w:eastAsia="Times New Roman" w:hAnsi="Arial" w:cs="Times New Roman"/>
      <w:b/>
      <w:bCs/>
      <w:iCs/>
      <w:sz w:val="20"/>
      <w:lang w:eastAsia="ja-JP"/>
    </w:rPr>
  </w:style>
  <w:style w:type="character" w:customStyle="1" w:styleId="Heading5Char">
    <w:name w:val="Heading 5 Char"/>
    <w:basedOn w:val="DefaultParagraphFont"/>
    <w:link w:val="Heading5"/>
    <w:uiPriority w:val="9"/>
    <w:rsid w:val="007B36FB"/>
    <w:rPr>
      <w:rFonts w:ascii="Arial" w:eastAsia="Times New Roman" w:hAnsi="Arial" w:cs="Times New Roman"/>
      <w:b/>
      <w:i/>
      <w:sz w:val="20"/>
      <w:lang w:eastAsia="ja-JP"/>
    </w:rPr>
  </w:style>
  <w:style w:type="character" w:customStyle="1" w:styleId="Heading6Char">
    <w:name w:val="Heading 6 Char"/>
    <w:basedOn w:val="DefaultParagraphFont"/>
    <w:link w:val="Heading6"/>
    <w:uiPriority w:val="9"/>
    <w:rsid w:val="007B36FB"/>
    <w:rPr>
      <w:rFonts w:ascii="Arial" w:eastAsia="Times New Roman" w:hAnsi="Arial" w:cs="Times New Roman"/>
      <w:i/>
      <w:iCs/>
      <w:color w:val="252525"/>
      <w:sz w:val="20"/>
      <w:lang w:eastAsia="ja-JP"/>
    </w:rPr>
  </w:style>
  <w:style w:type="character" w:customStyle="1" w:styleId="Heading7Char">
    <w:name w:val="Heading 7 Char"/>
    <w:aliases w:val="App Lvl 1 Char"/>
    <w:basedOn w:val="DefaultParagraphFont"/>
    <w:link w:val="Heading7"/>
    <w:uiPriority w:val="9"/>
    <w:rsid w:val="007B36FB"/>
    <w:rPr>
      <w:rFonts w:ascii="Arial" w:eastAsia="Times New Roman" w:hAnsi="Arial" w:cs="Times New Roman"/>
      <w:b/>
      <w:iCs/>
      <w:color w:val="7030A0"/>
      <w:sz w:val="32"/>
      <w:lang w:eastAsia="ja-JP"/>
    </w:rPr>
  </w:style>
  <w:style w:type="character" w:customStyle="1" w:styleId="Heading8Char">
    <w:name w:val="Heading 8 Char"/>
    <w:aliases w:val="App Lvl 2 Char"/>
    <w:basedOn w:val="DefaultParagraphFont"/>
    <w:link w:val="Heading8"/>
    <w:uiPriority w:val="9"/>
    <w:rsid w:val="007B36FB"/>
    <w:rPr>
      <w:rFonts w:ascii="Arial" w:eastAsia="Times New Roman" w:hAnsi="Arial" w:cs="Times New Roman"/>
      <w:b/>
      <w:color w:val="7030A0"/>
      <w:sz w:val="28"/>
      <w:szCs w:val="20"/>
      <w:lang w:eastAsia="ja-JP"/>
    </w:rPr>
  </w:style>
  <w:style w:type="numbering" w:customStyle="1" w:styleId="Headings">
    <w:name w:val="Headings"/>
    <w:uiPriority w:val="99"/>
    <w:rsid w:val="007B36FB"/>
    <w:pPr>
      <w:numPr>
        <w:numId w:val="6"/>
      </w:numPr>
    </w:pPr>
  </w:style>
  <w:style w:type="character" w:styleId="Hyperlink">
    <w:name w:val="Hyperlink"/>
    <w:basedOn w:val="DefaultParagraphFont"/>
    <w:uiPriority w:val="99"/>
    <w:rsid w:val="00BA2ABB"/>
    <w:rPr>
      <w:rFonts w:cs="Times New Roman"/>
      <w:color w:val="000000"/>
      <w:u w:val="none"/>
    </w:rPr>
  </w:style>
  <w:style w:type="character" w:styleId="UnresolvedMention">
    <w:name w:val="Unresolved Mention"/>
    <w:basedOn w:val="DefaultParagraphFont"/>
    <w:uiPriority w:val="99"/>
    <w:semiHidden/>
    <w:unhideWhenUsed/>
    <w:rsid w:val="005D5F83"/>
    <w:rPr>
      <w:color w:val="605E5C"/>
      <w:shd w:val="clear" w:color="auto" w:fill="E1DFDD"/>
    </w:rPr>
  </w:style>
  <w:style w:type="table" w:styleId="GridTable4">
    <w:name w:val="Grid Table 4"/>
    <w:basedOn w:val="TableNormal"/>
    <w:uiPriority w:val="49"/>
    <w:rsid w:val="00C508F2"/>
    <w:pPr>
      <w:spacing w:after="0" w:line="240" w:lineRule="auto"/>
    </w:pPr>
    <w:rPr>
      <w:rFonts w:ascii="Times New Roman" w:hAnsi="Times New Roman" w:cs="Times New Roman"/>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8D26D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3">
    <w:name w:val="List Table 3 Accent 3"/>
    <w:basedOn w:val="TableNormal"/>
    <w:uiPriority w:val="48"/>
    <w:rsid w:val="00B75732"/>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Header">
    <w:name w:val="header"/>
    <w:basedOn w:val="Normal"/>
    <w:link w:val="HeaderChar"/>
    <w:uiPriority w:val="99"/>
    <w:unhideWhenUsed/>
    <w:rsid w:val="00471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5BD"/>
  </w:style>
  <w:style w:type="paragraph" w:styleId="Footer">
    <w:name w:val="footer"/>
    <w:basedOn w:val="Normal"/>
    <w:link w:val="FooterChar"/>
    <w:uiPriority w:val="99"/>
    <w:unhideWhenUsed/>
    <w:rsid w:val="00471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5BD"/>
  </w:style>
  <w:style w:type="table" w:styleId="ListTable4-Accent1">
    <w:name w:val="List Table 4 Accent 1"/>
    <w:basedOn w:val="TableNormal"/>
    <w:uiPriority w:val="49"/>
    <w:rsid w:val="002F3D0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oxtype">
    <w:name w:val="Box type"/>
    <w:next w:val="Normal"/>
    <w:qFormat/>
    <w:rsid w:val="00E2234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szCs w:val="24"/>
      <w:lang w:val="en"/>
    </w:rPr>
  </w:style>
  <w:style w:type="character" w:customStyle="1" w:styleId="ListParagraphChar">
    <w:name w:val="List Paragraph Char"/>
    <w:aliases w:val="List Paragraph1 Char,Recommendation Char,List Paragraph11 Char,List Paragraph 1. Char,#List Paragraph Char,L Char,Bullet Level 1 Char,Bullet Point Char,Bulletr List Paragraph Char,Content descriptions Char,FooterText Char,リスト段落 Char"/>
    <w:link w:val="ListParagraph"/>
    <w:uiPriority w:val="34"/>
    <w:qFormat/>
    <w:locked/>
    <w:rsid w:val="00870D38"/>
  </w:style>
  <w:style w:type="table" w:styleId="TableColumns2">
    <w:name w:val="Table Columns 2"/>
    <w:basedOn w:val="TableNormal"/>
    <w:rsid w:val="007B795B"/>
    <w:pPr>
      <w:spacing w:before="120" w:after="0" w:line="240" w:lineRule="exact"/>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D5DA1"/>
    <w:pPr>
      <w:spacing w:after="0" w:line="240" w:lineRule="auto"/>
    </w:pPr>
  </w:style>
  <w:style w:type="paragraph" w:styleId="NoSpacing">
    <w:name w:val="No Spacing"/>
    <w:uiPriority w:val="1"/>
    <w:qFormat/>
    <w:rsid w:val="003A6B65"/>
    <w:pPr>
      <w:spacing w:after="0" w:line="240" w:lineRule="auto"/>
    </w:pPr>
  </w:style>
  <w:style w:type="character" w:styleId="FollowedHyperlink">
    <w:name w:val="FollowedHyperlink"/>
    <w:basedOn w:val="DefaultParagraphFont"/>
    <w:uiPriority w:val="99"/>
    <w:semiHidden/>
    <w:unhideWhenUsed/>
    <w:rsid w:val="00CA77D1"/>
    <w:rPr>
      <w:color w:val="954F72" w:themeColor="followedHyperlink"/>
      <w:u w:val="single"/>
    </w:rPr>
  </w:style>
  <w:style w:type="paragraph" w:styleId="NormalWeb">
    <w:name w:val="Normal (Web)"/>
    <w:basedOn w:val="Normal"/>
    <w:uiPriority w:val="99"/>
    <w:semiHidden/>
    <w:unhideWhenUsed/>
    <w:rsid w:val="00C963B8"/>
    <w:rPr>
      <w:rFonts w:ascii="Times New Roman" w:hAnsi="Times New Roman" w:cs="Times New Roman"/>
      <w:sz w:val="24"/>
      <w:szCs w:val="24"/>
    </w:rPr>
  </w:style>
  <w:style w:type="paragraph" w:styleId="Title">
    <w:name w:val="Title"/>
    <w:basedOn w:val="Normal"/>
    <w:next w:val="Normal"/>
    <w:link w:val="TitleChar"/>
    <w:uiPriority w:val="10"/>
    <w:qFormat/>
    <w:rsid w:val="00CB5C6E"/>
    <w:pPr>
      <w:pBdr>
        <w:bottom w:val="single" w:sz="8" w:space="4" w:color="4472C4" w:themeColor="accent1"/>
      </w:pBdr>
      <w:spacing w:before="120"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B5C6E"/>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0718E6"/>
    <w:pPr>
      <w:autoSpaceDE w:val="0"/>
      <w:autoSpaceDN w:val="0"/>
      <w:adjustRightInd w:val="0"/>
      <w:spacing w:after="0" w:line="240" w:lineRule="auto"/>
    </w:pPr>
    <w:rPr>
      <w:rFonts w:ascii="Fira Sans" w:hAnsi="Fira Sans" w:cs="Fir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4748">
      <w:bodyDiv w:val="1"/>
      <w:marLeft w:val="0"/>
      <w:marRight w:val="0"/>
      <w:marTop w:val="0"/>
      <w:marBottom w:val="0"/>
      <w:divBdr>
        <w:top w:val="none" w:sz="0" w:space="0" w:color="auto"/>
        <w:left w:val="none" w:sz="0" w:space="0" w:color="auto"/>
        <w:bottom w:val="none" w:sz="0" w:space="0" w:color="auto"/>
        <w:right w:val="none" w:sz="0" w:space="0" w:color="auto"/>
      </w:divBdr>
    </w:div>
    <w:div w:id="349378284">
      <w:bodyDiv w:val="1"/>
      <w:marLeft w:val="0"/>
      <w:marRight w:val="0"/>
      <w:marTop w:val="0"/>
      <w:marBottom w:val="0"/>
      <w:divBdr>
        <w:top w:val="none" w:sz="0" w:space="0" w:color="auto"/>
        <w:left w:val="none" w:sz="0" w:space="0" w:color="auto"/>
        <w:bottom w:val="none" w:sz="0" w:space="0" w:color="auto"/>
        <w:right w:val="none" w:sz="0" w:space="0" w:color="auto"/>
      </w:divBdr>
    </w:div>
    <w:div w:id="382145902">
      <w:bodyDiv w:val="1"/>
      <w:marLeft w:val="0"/>
      <w:marRight w:val="0"/>
      <w:marTop w:val="0"/>
      <w:marBottom w:val="0"/>
      <w:divBdr>
        <w:top w:val="none" w:sz="0" w:space="0" w:color="auto"/>
        <w:left w:val="none" w:sz="0" w:space="0" w:color="auto"/>
        <w:bottom w:val="none" w:sz="0" w:space="0" w:color="auto"/>
        <w:right w:val="none" w:sz="0" w:space="0" w:color="auto"/>
      </w:divBdr>
    </w:div>
    <w:div w:id="408893077">
      <w:bodyDiv w:val="1"/>
      <w:marLeft w:val="0"/>
      <w:marRight w:val="0"/>
      <w:marTop w:val="0"/>
      <w:marBottom w:val="0"/>
      <w:divBdr>
        <w:top w:val="none" w:sz="0" w:space="0" w:color="auto"/>
        <w:left w:val="none" w:sz="0" w:space="0" w:color="auto"/>
        <w:bottom w:val="none" w:sz="0" w:space="0" w:color="auto"/>
        <w:right w:val="none" w:sz="0" w:space="0" w:color="auto"/>
      </w:divBdr>
    </w:div>
    <w:div w:id="462164572">
      <w:bodyDiv w:val="1"/>
      <w:marLeft w:val="0"/>
      <w:marRight w:val="0"/>
      <w:marTop w:val="0"/>
      <w:marBottom w:val="0"/>
      <w:divBdr>
        <w:top w:val="none" w:sz="0" w:space="0" w:color="auto"/>
        <w:left w:val="none" w:sz="0" w:space="0" w:color="auto"/>
        <w:bottom w:val="none" w:sz="0" w:space="0" w:color="auto"/>
        <w:right w:val="none" w:sz="0" w:space="0" w:color="auto"/>
      </w:divBdr>
    </w:div>
    <w:div w:id="629552800">
      <w:bodyDiv w:val="1"/>
      <w:marLeft w:val="0"/>
      <w:marRight w:val="0"/>
      <w:marTop w:val="0"/>
      <w:marBottom w:val="0"/>
      <w:divBdr>
        <w:top w:val="none" w:sz="0" w:space="0" w:color="auto"/>
        <w:left w:val="none" w:sz="0" w:space="0" w:color="auto"/>
        <w:bottom w:val="none" w:sz="0" w:space="0" w:color="auto"/>
        <w:right w:val="none" w:sz="0" w:space="0" w:color="auto"/>
      </w:divBdr>
    </w:div>
    <w:div w:id="736130259">
      <w:bodyDiv w:val="1"/>
      <w:marLeft w:val="0"/>
      <w:marRight w:val="0"/>
      <w:marTop w:val="0"/>
      <w:marBottom w:val="0"/>
      <w:divBdr>
        <w:top w:val="none" w:sz="0" w:space="0" w:color="auto"/>
        <w:left w:val="none" w:sz="0" w:space="0" w:color="auto"/>
        <w:bottom w:val="none" w:sz="0" w:space="0" w:color="auto"/>
        <w:right w:val="none" w:sz="0" w:space="0" w:color="auto"/>
      </w:divBdr>
    </w:div>
    <w:div w:id="779879065">
      <w:bodyDiv w:val="1"/>
      <w:marLeft w:val="0"/>
      <w:marRight w:val="0"/>
      <w:marTop w:val="0"/>
      <w:marBottom w:val="0"/>
      <w:divBdr>
        <w:top w:val="none" w:sz="0" w:space="0" w:color="auto"/>
        <w:left w:val="none" w:sz="0" w:space="0" w:color="auto"/>
        <w:bottom w:val="none" w:sz="0" w:space="0" w:color="auto"/>
        <w:right w:val="none" w:sz="0" w:space="0" w:color="auto"/>
      </w:divBdr>
    </w:div>
    <w:div w:id="1011491533">
      <w:bodyDiv w:val="1"/>
      <w:marLeft w:val="0"/>
      <w:marRight w:val="0"/>
      <w:marTop w:val="0"/>
      <w:marBottom w:val="0"/>
      <w:divBdr>
        <w:top w:val="none" w:sz="0" w:space="0" w:color="auto"/>
        <w:left w:val="none" w:sz="0" w:space="0" w:color="auto"/>
        <w:bottom w:val="none" w:sz="0" w:space="0" w:color="auto"/>
        <w:right w:val="none" w:sz="0" w:space="0" w:color="auto"/>
      </w:divBdr>
    </w:div>
    <w:div w:id="1090585592">
      <w:bodyDiv w:val="1"/>
      <w:marLeft w:val="0"/>
      <w:marRight w:val="0"/>
      <w:marTop w:val="0"/>
      <w:marBottom w:val="0"/>
      <w:divBdr>
        <w:top w:val="none" w:sz="0" w:space="0" w:color="auto"/>
        <w:left w:val="none" w:sz="0" w:space="0" w:color="auto"/>
        <w:bottom w:val="none" w:sz="0" w:space="0" w:color="auto"/>
        <w:right w:val="none" w:sz="0" w:space="0" w:color="auto"/>
      </w:divBdr>
    </w:div>
    <w:div w:id="1255356168">
      <w:bodyDiv w:val="1"/>
      <w:marLeft w:val="0"/>
      <w:marRight w:val="0"/>
      <w:marTop w:val="0"/>
      <w:marBottom w:val="0"/>
      <w:divBdr>
        <w:top w:val="none" w:sz="0" w:space="0" w:color="auto"/>
        <w:left w:val="none" w:sz="0" w:space="0" w:color="auto"/>
        <w:bottom w:val="none" w:sz="0" w:space="0" w:color="auto"/>
        <w:right w:val="none" w:sz="0" w:space="0" w:color="auto"/>
      </w:divBdr>
    </w:div>
    <w:div w:id="1279868919">
      <w:bodyDiv w:val="1"/>
      <w:marLeft w:val="0"/>
      <w:marRight w:val="0"/>
      <w:marTop w:val="0"/>
      <w:marBottom w:val="0"/>
      <w:divBdr>
        <w:top w:val="none" w:sz="0" w:space="0" w:color="auto"/>
        <w:left w:val="none" w:sz="0" w:space="0" w:color="auto"/>
        <w:bottom w:val="none" w:sz="0" w:space="0" w:color="auto"/>
        <w:right w:val="none" w:sz="0" w:space="0" w:color="auto"/>
      </w:divBdr>
    </w:div>
    <w:div w:id="1491948166">
      <w:bodyDiv w:val="1"/>
      <w:marLeft w:val="0"/>
      <w:marRight w:val="0"/>
      <w:marTop w:val="0"/>
      <w:marBottom w:val="0"/>
      <w:divBdr>
        <w:top w:val="none" w:sz="0" w:space="0" w:color="auto"/>
        <w:left w:val="none" w:sz="0" w:space="0" w:color="auto"/>
        <w:bottom w:val="none" w:sz="0" w:space="0" w:color="auto"/>
        <w:right w:val="none" w:sz="0" w:space="0" w:color="auto"/>
      </w:divBdr>
    </w:div>
    <w:div w:id="1501504538">
      <w:bodyDiv w:val="1"/>
      <w:marLeft w:val="0"/>
      <w:marRight w:val="0"/>
      <w:marTop w:val="0"/>
      <w:marBottom w:val="0"/>
      <w:divBdr>
        <w:top w:val="none" w:sz="0" w:space="0" w:color="auto"/>
        <w:left w:val="none" w:sz="0" w:space="0" w:color="auto"/>
        <w:bottom w:val="none" w:sz="0" w:space="0" w:color="auto"/>
        <w:right w:val="none" w:sz="0" w:space="0" w:color="auto"/>
      </w:divBdr>
    </w:div>
    <w:div w:id="1606958905">
      <w:bodyDiv w:val="1"/>
      <w:marLeft w:val="0"/>
      <w:marRight w:val="0"/>
      <w:marTop w:val="0"/>
      <w:marBottom w:val="0"/>
      <w:divBdr>
        <w:top w:val="none" w:sz="0" w:space="0" w:color="auto"/>
        <w:left w:val="none" w:sz="0" w:space="0" w:color="auto"/>
        <w:bottom w:val="none" w:sz="0" w:space="0" w:color="auto"/>
        <w:right w:val="none" w:sz="0" w:space="0" w:color="auto"/>
      </w:divBdr>
    </w:div>
    <w:div w:id="175986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resources/publications/private-health-insurance-modernising-and-improving-the-private-health-insurance-prostheses-list" TargetMode="External"/><Relationship Id="rId2" Type="http://schemas.openxmlformats.org/officeDocument/2006/relationships/hyperlink" Target="https://www.health.gov.au/resources/publications/budget-2022-23-portfolio-budget-statements?language=en" TargetMode="External"/><Relationship Id="rId1" Type="http://schemas.openxmlformats.org/officeDocument/2006/relationships/hyperlink" Target="https://www.health.gov.au/topics/private-health-insurance/the-prostheses-list/the-prostheses-list-reforms" TargetMode="External"/><Relationship Id="rId4" Type="http://schemas.openxmlformats.org/officeDocument/2006/relationships/hyperlink" Target="https://www.finance.gov.au/sites/default/files/australian-government-cost-recovery-guideline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0F4972E9B6D6C4D927D9F4C1A32F29B" ma:contentTypeVersion="" ma:contentTypeDescription="PDMS Document Site Content Type" ma:contentTypeScope="" ma:versionID="1426ea2c2821ae8c9fea8172a5b22e4e">
  <xsd:schema xmlns:xsd="http://www.w3.org/2001/XMLSchema" xmlns:xs="http://www.w3.org/2001/XMLSchema" xmlns:p="http://schemas.microsoft.com/office/2006/metadata/properties" xmlns:ns2="C5E6164A-E0BE-4ED7-A80F-3D83E19B4851" targetNamespace="http://schemas.microsoft.com/office/2006/metadata/properties" ma:root="true" ma:fieldsID="b263b47dde1036b308db04ddd71ea001" ns2:_="">
    <xsd:import namespace="C5E6164A-E0BE-4ED7-A80F-3D83E19B485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6164A-E0BE-4ED7-A80F-3D83E19B485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5E6164A-E0BE-4ED7-A80F-3D83E19B4851" xsi:nil="true"/>
  </documentManagement>
</p:properties>
</file>

<file path=customXml/itemProps1.xml><?xml version="1.0" encoding="utf-8"?>
<ds:datastoreItem xmlns:ds="http://schemas.openxmlformats.org/officeDocument/2006/customXml" ds:itemID="{95EEA421-C8E5-4890-9511-66179900232C}">
  <ds:schemaRefs>
    <ds:schemaRef ds:uri="http://schemas.openxmlformats.org/officeDocument/2006/bibliography"/>
  </ds:schemaRefs>
</ds:datastoreItem>
</file>

<file path=customXml/itemProps2.xml><?xml version="1.0" encoding="utf-8"?>
<ds:datastoreItem xmlns:ds="http://schemas.openxmlformats.org/officeDocument/2006/customXml" ds:itemID="{E912B44B-93ED-427B-9007-7B2667543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6164A-E0BE-4ED7-A80F-3D83E19B4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C39F1-7656-4814-839A-9E693CFED8A9}">
  <ds:schemaRefs>
    <ds:schemaRef ds:uri="http://schemas.microsoft.com/sharepoint/v3/contenttype/forms"/>
  </ds:schemaRefs>
</ds:datastoreItem>
</file>

<file path=customXml/itemProps4.xml><?xml version="1.0" encoding="utf-8"?>
<ds:datastoreItem xmlns:ds="http://schemas.openxmlformats.org/officeDocument/2006/customXml" ds:itemID="{5A04616D-AB63-41F8-B468-8853BE45B138}">
  <ds:schemaRefs>
    <ds:schemaRef ds:uri="http://schemas.microsoft.com/office/2006/metadata/properties"/>
    <ds:schemaRef ds:uri="http://schemas.microsoft.com/office/infopath/2007/PartnerControls"/>
    <ds:schemaRef ds:uri="C5E6164A-E0BE-4ED7-A80F-3D83E19B485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5931</Words>
  <Characters>33811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Cost Recovery Implementation Statement – Administration of the Prescribed List of Benefits for Medical Devices and Human Tissue Products – 1 July 2024</vt:lpstr>
    </vt:vector>
  </TitlesOfParts>
  <Company/>
  <LinksUpToDate>false</LinksUpToDate>
  <CharactersWithSpaces>39663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 Administration of the Prescribed List of Benefits for Medical Devices and Human Tissue Products – 1 July 2024</dc:title>
  <dc:subject/>
  <dc:creator>Australian Government Department of Health and Aged Care</dc:creator>
  <cp:keywords/>
  <dc:description/>
  <cp:lastModifiedBy>HAMLEY, Erynn</cp:lastModifiedBy>
  <cp:revision>2</cp:revision>
  <dcterms:created xsi:type="dcterms:W3CDTF">2023-12-01T05:21:00Z</dcterms:created>
  <dcterms:modified xsi:type="dcterms:W3CDTF">2023-12-01T05:21:00Z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0x010100266966F133664895A6EE3632470D45F500D0F4972E9B6D6C4D927D9F4C1A32F29B</vt:lpwstr>
  </property>
</Properties>
</file>