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8C0D" w14:textId="77777777" w:rsidR="007B7F7A" w:rsidRDefault="007B7F7A" w:rsidP="007B7F7A">
      <w:pPr>
        <w:spacing w:before="360"/>
        <w:ind w:right="95"/>
        <w:jc w:val="center"/>
      </w:pPr>
      <w:r>
        <w:rPr>
          <w:caps/>
          <w:noProof/>
          <w:lang w:eastAsia="en-AU"/>
        </w:rPr>
        <w:drawing>
          <wp:inline distT="0" distB="0" distL="0" distR="0" wp14:anchorId="3D5948F4" wp14:editId="25508BE3">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14959502" w14:textId="41C329CC" w:rsidR="007B7F7A" w:rsidRPr="00EC7701" w:rsidRDefault="007B7F7A" w:rsidP="007B7F7A">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r>
        <w:rPr>
          <w:rFonts w:ascii="Montserrat Light" w:hAnsi="Montserrat Light"/>
          <w:sz w:val="32"/>
          <w:szCs w:val="32"/>
        </w:rPr>
        <w:t>Senate Community Affairs Legislation</w:t>
      </w:r>
      <w:r w:rsidRPr="00EC7701">
        <w:rPr>
          <w:rFonts w:ascii="Montserrat Light" w:hAnsi="Montserrat Light"/>
          <w:sz w:val="32"/>
          <w:szCs w:val="32"/>
        </w:rPr>
        <w:t xml:space="preserve"> </w:t>
      </w:r>
      <w:r>
        <w:rPr>
          <w:rFonts w:ascii="Montserrat Light" w:hAnsi="Montserrat Light"/>
          <w:sz w:val="32"/>
          <w:szCs w:val="32"/>
        </w:rPr>
        <w:t xml:space="preserve">Committee </w:t>
      </w:r>
      <w:r w:rsidRPr="00EC7701">
        <w:rPr>
          <w:rFonts w:ascii="Montserrat Light" w:hAnsi="Montserrat Light"/>
          <w:sz w:val="32"/>
          <w:szCs w:val="32"/>
        </w:rPr>
        <w:t>report:</w:t>
      </w:r>
    </w:p>
    <w:p w14:paraId="734EFF0C" w14:textId="3F79F231" w:rsidR="007B7F7A" w:rsidRDefault="007B7F7A" w:rsidP="00515D34">
      <w:pPr>
        <w:spacing w:before="360" w:after="4800"/>
        <w:jc w:val="center"/>
        <w:rPr>
          <w:rFonts w:ascii="Montserrat Light" w:hAnsi="Montserrat Light"/>
          <w:sz w:val="32"/>
          <w:szCs w:val="32"/>
        </w:rPr>
      </w:pPr>
      <w:r w:rsidRPr="007B7F7A">
        <w:rPr>
          <w:rFonts w:ascii="Montserrat Light" w:hAnsi="Montserrat Light"/>
          <w:sz w:val="32"/>
          <w:szCs w:val="32"/>
        </w:rPr>
        <w:t>Aged Care and Other Legislation Amendment (Royal Commission Response No. 2) Bill 2021</w:t>
      </w:r>
    </w:p>
    <w:p w14:paraId="7E6D35E9" w14:textId="4E94C9CA" w:rsidR="007B7F7A" w:rsidRDefault="00F76EF5" w:rsidP="007B7F7A">
      <w:pPr>
        <w:spacing w:before="240"/>
        <w:jc w:val="right"/>
        <w:rPr>
          <w:rFonts w:ascii="Montserrat Light" w:hAnsi="Montserrat Light"/>
          <w:caps/>
          <w:sz w:val="28"/>
          <w:szCs w:val="28"/>
        </w:rPr>
      </w:pPr>
      <w:r>
        <w:rPr>
          <w:rFonts w:ascii="Montserrat Light" w:hAnsi="Montserrat Light"/>
          <w:caps/>
          <w:sz w:val="28"/>
          <w:szCs w:val="28"/>
        </w:rPr>
        <w:t>December</w:t>
      </w:r>
      <w:r w:rsidR="007B7F7A">
        <w:rPr>
          <w:rFonts w:ascii="Montserrat Light" w:hAnsi="Montserrat Light"/>
          <w:caps/>
          <w:sz w:val="28"/>
          <w:szCs w:val="28"/>
        </w:rPr>
        <w:t xml:space="preserve"> 202</w:t>
      </w:r>
      <w:r w:rsidR="005D0E40">
        <w:rPr>
          <w:rFonts w:ascii="Montserrat Light" w:hAnsi="Montserrat Light"/>
          <w:caps/>
          <w:sz w:val="28"/>
          <w:szCs w:val="28"/>
        </w:rPr>
        <w:t>3</w:t>
      </w:r>
      <w:r w:rsidR="007B7F7A">
        <w:rPr>
          <w:rFonts w:ascii="Montserrat Light" w:hAnsi="Montserrat Light"/>
          <w:caps/>
          <w:sz w:val="28"/>
          <w:szCs w:val="28"/>
        </w:rPr>
        <w:t xml:space="preserve"> </w:t>
      </w:r>
    </w:p>
    <w:p w14:paraId="6DB62048" w14:textId="77777777" w:rsidR="007B7F7A" w:rsidRDefault="007B7F7A">
      <w:pPr>
        <w:rPr>
          <w:rFonts w:asciiTheme="minorHAnsi" w:hAnsiTheme="minorHAnsi" w:cstheme="minorHAnsi"/>
          <w:b/>
          <w:bCs/>
        </w:rPr>
      </w:pPr>
      <w:r>
        <w:rPr>
          <w:rFonts w:asciiTheme="minorHAnsi" w:hAnsiTheme="minorHAnsi" w:cstheme="minorHAnsi"/>
          <w:b/>
          <w:bCs/>
        </w:rPr>
        <w:br w:type="page"/>
      </w:r>
    </w:p>
    <w:p w14:paraId="73044A19" w14:textId="0DD079A5" w:rsidR="00A31D06" w:rsidRPr="00A31D06" w:rsidRDefault="00A31D06" w:rsidP="0045724B">
      <w:pPr>
        <w:rPr>
          <w:rFonts w:asciiTheme="minorHAnsi" w:hAnsiTheme="minorHAnsi" w:cstheme="minorHAnsi"/>
          <w:b/>
          <w:bCs/>
        </w:rPr>
      </w:pPr>
      <w:r>
        <w:rPr>
          <w:rFonts w:asciiTheme="minorHAnsi" w:hAnsiTheme="minorHAnsi" w:cstheme="minorHAnsi"/>
          <w:b/>
          <w:bCs/>
        </w:rPr>
        <w:lastRenderedPageBreak/>
        <w:t>Background</w:t>
      </w:r>
    </w:p>
    <w:p w14:paraId="089BFE60" w14:textId="47D53461" w:rsidR="007B7F7A" w:rsidRDefault="007B7F7A" w:rsidP="0045724B">
      <w:pPr>
        <w:rPr>
          <w:rFonts w:asciiTheme="minorHAnsi" w:hAnsiTheme="minorHAnsi" w:cstheme="minorHAnsi"/>
        </w:rPr>
      </w:pPr>
      <w:r>
        <w:rPr>
          <w:rFonts w:asciiTheme="minorHAnsi" w:hAnsiTheme="minorHAnsi" w:cstheme="minorHAnsi"/>
        </w:rPr>
        <w:t xml:space="preserve">The Aged Care and Other Legislation Amendment (Royal Commission Response No. 2) Bill 2021 (2021 Bill) was introduced into the House of Representatives on 1 September 2021. </w:t>
      </w:r>
      <w:r w:rsidR="00EA389A">
        <w:rPr>
          <w:rFonts w:asciiTheme="minorHAnsi" w:hAnsiTheme="minorHAnsi" w:cstheme="minorHAnsi"/>
        </w:rPr>
        <w:br/>
      </w:r>
      <w:r w:rsidRPr="007B7F7A">
        <w:rPr>
          <w:rFonts w:asciiTheme="minorHAnsi" w:hAnsiTheme="minorHAnsi" w:cstheme="minorHAnsi"/>
        </w:rPr>
        <w:t xml:space="preserve">On 31 March 2022, the </w:t>
      </w:r>
      <w:r w:rsidR="00A31D06">
        <w:rPr>
          <w:rFonts w:asciiTheme="minorHAnsi" w:hAnsiTheme="minorHAnsi" w:cstheme="minorHAnsi"/>
        </w:rPr>
        <w:t xml:space="preserve">2021 </w:t>
      </w:r>
      <w:r w:rsidRPr="007B7F7A">
        <w:rPr>
          <w:rFonts w:asciiTheme="minorHAnsi" w:hAnsiTheme="minorHAnsi" w:cstheme="minorHAnsi"/>
        </w:rPr>
        <w:t xml:space="preserve">Bill was returned to the lower house from the Senate with Parliamentary Amendments, however </w:t>
      </w:r>
      <w:r w:rsidR="00DC3D49">
        <w:rPr>
          <w:rFonts w:asciiTheme="minorHAnsi" w:hAnsiTheme="minorHAnsi" w:cstheme="minorHAnsi"/>
        </w:rPr>
        <w:t xml:space="preserve">the Bill </w:t>
      </w:r>
      <w:r w:rsidRPr="007B7F7A">
        <w:rPr>
          <w:rFonts w:asciiTheme="minorHAnsi" w:hAnsiTheme="minorHAnsi" w:cstheme="minorHAnsi"/>
        </w:rPr>
        <w:t>was not scheduled for consideration before the proroguing of</w:t>
      </w:r>
      <w:r w:rsidR="00A836FA">
        <w:rPr>
          <w:rFonts w:asciiTheme="minorHAnsi" w:hAnsiTheme="minorHAnsi" w:cstheme="minorHAnsi"/>
        </w:rPr>
        <w:t xml:space="preserve"> the 46th</w:t>
      </w:r>
      <w:r w:rsidRPr="007B7F7A">
        <w:rPr>
          <w:rFonts w:asciiTheme="minorHAnsi" w:hAnsiTheme="minorHAnsi" w:cstheme="minorHAnsi"/>
        </w:rPr>
        <w:t xml:space="preserve"> Parliament. As a result, the 2021 Bill lapsed prior to securing agreement in the same form by both houses of Parliament.</w:t>
      </w:r>
    </w:p>
    <w:p w14:paraId="2143D0D4" w14:textId="3D83C453" w:rsidR="00C704F7" w:rsidRPr="006E1A78" w:rsidRDefault="007B7F7A" w:rsidP="006702FC">
      <w:pPr>
        <w:rPr>
          <w:lang w:eastAsia="en-AU"/>
        </w:rPr>
      </w:pPr>
      <w:r>
        <w:rPr>
          <w:rFonts w:asciiTheme="minorHAnsi" w:hAnsiTheme="minorHAnsi" w:cstheme="minorHAnsi"/>
        </w:rPr>
        <w:t xml:space="preserve">At the time the 2021 Bill was </w:t>
      </w:r>
      <w:r w:rsidR="00A836FA">
        <w:rPr>
          <w:rFonts w:asciiTheme="minorHAnsi" w:hAnsiTheme="minorHAnsi" w:cstheme="minorHAnsi"/>
        </w:rPr>
        <w:t>introduced,</w:t>
      </w:r>
      <w:r>
        <w:rPr>
          <w:rFonts w:asciiTheme="minorHAnsi" w:hAnsiTheme="minorHAnsi" w:cstheme="minorHAnsi"/>
        </w:rPr>
        <w:t xml:space="preserve"> and the Senate Community Affairs Legislation Committee handed down their report (including the below recommendations), the current </w:t>
      </w:r>
      <w:proofErr w:type="spellStart"/>
      <w:r>
        <w:rPr>
          <w:rFonts w:asciiTheme="minorHAnsi" w:hAnsiTheme="minorHAnsi" w:cstheme="minorHAnsi"/>
        </w:rPr>
        <w:t>Labor</w:t>
      </w:r>
      <w:proofErr w:type="spellEnd"/>
      <w:r>
        <w:rPr>
          <w:rFonts w:asciiTheme="minorHAnsi" w:hAnsiTheme="minorHAnsi" w:cstheme="minorHAnsi"/>
        </w:rPr>
        <w:t xml:space="preserve"> Government was in opposition. </w:t>
      </w:r>
      <w:r w:rsidR="00DC3D49">
        <w:rPr>
          <w:rFonts w:asciiTheme="minorHAnsi" w:hAnsiTheme="minorHAnsi" w:cstheme="minorHAnsi"/>
        </w:rPr>
        <w:t>Since being elected, the</w:t>
      </w:r>
      <w:r w:rsidR="00A31D06">
        <w:rPr>
          <w:rFonts w:asciiTheme="minorHAnsi" w:hAnsiTheme="minorHAnsi" w:cstheme="minorHAnsi"/>
        </w:rPr>
        <w:t xml:space="preserve"> Government introduced the</w:t>
      </w:r>
      <w:r>
        <w:rPr>
          <w:rFonts w:asciiTheme="minorHAnsi" w:hAnsiTheme="minorHAnsi" w:cstheme="minorHAnsi"/>
        </w:rPr>
        <w:t xml:space="preserve"> </w:t>
      </w:r>
      <w:r w:rsidR="00A31D06" w:rsidRPr="00A31D06">
        <w:rPr>
          <w:rFonts w:asciiTheme="minorHAnsi" w:hAnsiTheme="minorHAnsi" w:cstheme="minorHAnsi"/>
          <w:i/>
          <w:iCs/>
        </w:rPr>
        <w:t>Aged Care and Other Legislation Amendment (Royal Commission Response) Act 2022</w:t>
      </w:r>
      <w:r w:rsidR="00A31D06">
        <w:rPr>
          <w:rFonts w:asciiTheme="minorHAnsi" w:hAnsiTheme="minorHAnsi" w:cstheme="minorHAnsi"/>
        </w:rPr>
        <w:t xml:space="preserve"> (RCR Act). </w:t>
      </w:r>
    </w:p>
    <w:p w14:paraId="48F1A73E" w14:textId="0C1F0B1B" w:rsidR="00A31D06" w:rsidRDefault="00A31D06" w:rsidP="00A31D06">
      <w:pPr>
        <w:rPr>
          <w:rFonts w:asciiTheme="minorHAnsi" w:hAnsiTheme="minorHAnsi" w:cstheme="minorHAnsi"/>
          <w:b/>
          <w:bCs/>
        </w:rPr>
      </w:pPr>
      <w:r w:rsidRPr="00A31D06">
        <w:rPr>
          <w:rFonts w:asciiTheme="minorHAnsi" w:hAnsiTheme="minorHAnsi" w:cstheme="minorHAnsi"/>
          <w:b/>
          <w:bCs/>
          <w:noProof/>
        </w:rPr>
        <mc:AlternateContent>
          <mc:Choice Requires="wps">
            <w:drawing>
              <wp:anchor distT="45720" distB="45720" distL="114300" distR="114300" simplePos="0" relativeHeight="251661312" behindDoc="0" locked="0" layoutInCell="1" allowOverlap="1" wp14:anchorId="5DB8CBB3" wp14:editId="037D3092">
                <wp:simplePos x="0" y="0"/>
                <wp:positionH relativeFrom="margin">
                  <wp:align>left</wp:align>
                </wp:positionH>
                <wp:positionV relativeFrom="paragraph">
                  <wp:posOffset>0</wp:posOffset>
                </wp:positionV>
                <wp:extent cx="5657850" cy="704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04850"/>
                        </a:xfrm>
                        <a:prstGeom prst="rect">
                          <a:avLst/>
                        </a:prstGeom>
                        <a:solidFill>
                          <a:schemeClr val="bg2"/>
                        </a:solidFill>
                        <a:ln w="9525">
                          <a:solidFill>
                            <a:srgbClr val="000000"/>
                          </a:solidFill>
                          <a:miter lim="800000"/>
                          <a:headEnd/>
                          <a:tailEnd/>
                        </a:ln>
                      </wps:spPr>
                      <wps:txbx>
                        <w:txbxContent>
                          <w:p w14:paraId="05D3D668" w14:textId="77777777" w:rsidR="00A31D06" w:rsidRDefault="00A31D06" w:rsidP="00A31D06">
                            <w:pPr>
                              <w:rPr>
                                <w:rFonts w:asciiTheme="minorHAnsi" w:hAnsiTheme="minorHAnsi" w:cstheme="minorHAnsi"/>
                              </w:rPr>
                            </w:pPr>
                            <w:r w:rsidRPr="0045724B">
                              <w:rPr>
                                <w:rFonts w:asciiTheme="minorHAnsi" w:hAnsiTheme="minorHAnsi" w:cstheme="minorHAnsi"/>
                                <w:b/>
                                <w:bCs/>
                              </w:rPr>
                              <w:t>Recommendation 2 - 1.10</w:t>
                            </w:r>
                            <w:r w:rsidRPr="0045724B">
                              <w:rPr>
                                <w:rFonts w:asciiTheme="minorHAnsi" w:hAnsiTheme="minorHAnsi" w:cstheme="minorHAnsi"/>
                              </w:rPr>
                              <w:t xml:space="preserve"> Labor Senators urgently call on the Government to address issues surrounding workforce recruitment and retention both in this Bill and more generally.</w:t>
                            </w:r>
                          </w:p>
                          <w:p w14:paraId="6663E443" w14:textId="77777777" w:rsidR="00A31D06" w:rsidRDefault="00A31D06" w:rsidP="00A31D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8CBB3" id="_x0000_t202" coordsize="21600,21600" o:spt="202" path="m,l,21600r21600,l21600,xe">
                <v:stroke joinstyle="miter"/>
                <v:path gradientshapeok="t" o:connecttype="rect"/>
              </v:shapetype>
              <v:shape id="Text Box 2" o:spid="_x0000_s1026" type="#_x0000_t202" style="position:absolute;margin-left:0;margin-top:0;width:445.5pt;height:5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" fillcolor="#e7e6e6 [3214]">
                <v:textbox>
                  <w:txbxContent>
                    <w:p w14:paraId="05D3D668" w14:textId="77777777" w:rsidR="00A31D06" w:rsidRDefault="00A31D06" w:rsidP="00A31D06">
                      <w:pPr>
                        <w:rPr>
                          <w:rFonts w:asciiTheme="minorHAnsi" w:hAnsiTheme="minorHAnsi" w:cstheme="minorHAnsi"/>
                        </w:rPr>
                      </w:pPr>
                      <w:r w:rsidRPr="0045724B">
                        <w:rPr>
                          <w:rFonts w:asciiTheme="minorHAnsi" w:hAnsiTheme="minorHAnsi" w:cstheme="minorHAnsi"/>
                          <w:b/>
                          <w:bCs/>
                        </w:rPr>
                        <w:t>Recommendation 2 - 1.10</w:t>
                      </w:r>
                      <w:r w:rsidRPr="0045724B">
                        <w:rPr>
                          <w:rFonts w:asciiTheme="minorHAnsi" w:hAnsiTheme="minorHAnsi" w:cstheme="minorHAnsi"/>
                        </w:rPr>
                        <w:t xml:space="preserve"> Labor Senators urgently call on the Government to address issues surrounding workforce recruitment and retention both in this Bill and more generally.</w:t>
                      </w:r>
                    </w:p>
                    <w:p w14:paraId="6663E443" w14:textId="77777777" w:rsidR="00A31D06" w:rsidRDefault="00A31D06" w:rsidP="00A31D06"/>
                  </w:txbxContent>
                </v:textbox>
                <w10:wrap type="square" anchorx="margin"/>
              </v:shape>
            </w:pict>
          </mc:Fallback>
        </mc:AlternateContent>
      </w:r>
      <w:r w:rsidRPr="00A529F9">
        <w:rPr>
          <w:rFonts w:asciiTheme="minorHAnsi" w:hAnsiTheme="minorHAnsi" w:cstheme="minorHAnsi"/>
          <w:b/>
          <w:bCs/>
        </w:rPr>
        <w:t xml:space="preserve">The Government’s response to </w:t>
      </w:r>
      <w:r w:rsidR="006702FC">
        <w:rPr>
          <w:rFonts w:asciiTheme="minorHAnsi" w:hAnsiTheme="minorHAnsi" w:cstheme="minorHAnsi"/>
          <w:b/>
          <w:bCs/>
        </w:rPr>
        <w:t>Recommendation 2</w:t>
      </w:r>
      <w:r w:rsidRPr="00A529F9">
        <w:rPr>
          <w:rFonts w:asciiTheme="minorHAnsi" w:hAnsiTheme="minorHAnsi" w:cstheme="minorHAnsi"/>
          <w:b/>
          <w:bCs/>
        </w:rPr>
        <w:t xml:space="preserve"> is:</w:t>
      </w:r>
    </w:p>
    <w:p w14:paraId="6B7F801A" w14:textId="01A3CE08" w:rsidR="006E1A78" w:rsidRPr="00A836FA" w:rsidRDefault="006E1A78" w:rsidP="006E1A78">
      <w:pPr>
        <w:jc w:val="center"/>
        <w:rPr>
          <w:rFonts w:asciiTheme="minorHAnsi" w:hAnsiTheme="minorHAnsi" w:cstheme="minorHAnsi"/>
        </w:rPr>
      </w:pPr>
      <w:r w:rsidRPr="006E1A78">
        <w:rPr>
          <w:rFonts w:asciiTheme="minorHAnsi" w:hAnsiTheme="minorHAnsi" w:cstheme="minorHAnsi"/>
          <w:i/>
          <w:iCs/>
        </w:rPr>
        <w:t>Supports the recommendation</w:t>
      </w:r>
      <w:r w:rsidR="00A836FA">
        <w:rPr>
          <w:rFonts w:asciiTheme="minorHAnsi" w:hAnsiTheme="minorHAnsi" w:cstheme="minorHAnsi"/>
        </w:rPr>
        <w:t>.</w:t>
      </w:r>
    </w:p>
    <w:p w14:paraId="3ABFEF28" w14:textId="4C212A50" w:rsidR="00DC3D49" w:rsidRPr="00DC3D49" w:rsidRDefault="00DC3D49" w:rsidP="0045724B">
      <w:pPr>
        <w:rPr>
          <w:rFonts w:asciiTheme="minorHAnsi" w:hAnsiTheme="minorHAnsi" w:cstheme="minorHAnsi"/>
          <w:i/>
          <w:iCs/>
        </w:rPr>
      </w:pPr>
      <w:r>
        <w:rPr>
          <w:rFonts w:asciiTheme="minorHAnsi" w:hAnsiTheme="minorHAnsi" w:cstheme="minorHAnsi"/>
        </w:rPr>
        <w:t xml:space="preserve">The Government is aware that there are skill shortages in the aged care sector, and much needs to be done to ensure the new requirements under the RCR Act, as well as the </w:t>
      </w:r>
      <w:r w:rsidR="009627FC">
        <w:rPr>
          <w:rFonts w:asciiTheme="minorHAnsi" w:hAnsiTheme="minorHAnsi" w:cstheme="minorHAnsi"/>
        </w:rPr>
        <w:t>subsequently</w:t>
      </w:r>
      <w:r>
        <w:rPr>
          <w:rFonts w:asciiTheme="minorHAnsi" w:hAnsiTheme="minorHAnsi" w:cstheme="minorHAnsi"/>
        </w:rPr>
        <w:t xml:space="preserve"> passed </w:t>
      </w:r>
      <w:r>
        <w:rPr>
          <w:rFonts w:asciiTheme="minorHAnsi" w:hAnsiTheme="minorHAnsi" w:cstheme="minorHAnsi"/>
          <w:i/>
          <w:iCs/>
        </w:rPr>
        <w:t>Aged Care Amendment (Implementing Care Reform) Act 2022</w:t>
      </w:r>
      <w:r>
        <w:rPr>
          <w:rFonts w:asciiTheme="minorHAnsi" w:hAnsiTheme="minorHAnsi" w:cstheme="minorHAnsi"/>
        </w:rPr>
        <w:t xml:space="preserve">, can be met by providers. </w:t>
      </w:r>
      <w:r>
        <w:rPr>
          <w:rFonts w:asciiTheme="minorHAnsi" w:hAnsiTheme="minorHAnsi" w:cstheme="minorHAnsi"/>
          <w:i/>
          <w:iCs/>
        </w:rPr>
        <w:t xml:space="preserve"> </w:t>
      </w:r>
    </w:p>
    <w:p w14:paraId="0E06E5F7" w14:textId="58406A64" w:rsidR="008509B3" w:rsidRDefault="00A31D06" w:rsidP="008509B3">
      <w:pPr>
        <w:spacing w:after="120"/>
        <w:rPr>
          <w:rFonts w:asciiTheme="minorHAnsi" w:hAnsiTheme="minorHAnsi" w:cstheme="minorHAnsi"/>
        </w:rPr>
      </w:pPr>
      <w:r w:rsidRPr="008509B3">
        <w:rPr>
          <w:rFonts w:asciiTheme="minorHAnsi" w:hAnsiTheme="minorHAnsi" w:cstheme="minorHAnsi"/>
        </w:rPr>
        <w:t xml:space="preserve">Since the Government was elected in early </w:t>
      </w:r>
      <w:r w:rsidR="00A836FA" w:rsidRPr="008509B3">
        <w:rPr>
          <w:rFonts w:asciiTheme="minorHAnsi" w:hAnsiTheme="minorHAnsi" w:cstheme="minorHAnsi"/>
        </w:rPr>
        <w:t xml:space="preserve">May </w:t>
      </w:r>
      <w:r w:rsidRPr="008509B3">
        <w:rPr>
          <w:rFonts w:asciiTheme="minorHAnsi" w:hAnsiTheme="minorHAnsi" w:cstheme="minorHAnsi"/>
        </w:rPr>
        <w:t xml:space="preserve">2022, </w:t>
      </w:r>
      <w:proofErr w:type="gramStart"/>
      <w:r w:rsidR="00DC3D49" w:rsidRPr="008509B3">
        <w:rPr>
          <w:rFonts w:asciiTheme="minorHAnsi" w:hAnsiTheme="minorHAnsi" w:cstheme="minorHAnsi"/>
        </w:rPr>
        <w:t xml:space="preserve">a </w:t>
      </w:r>
      <w:r w:rsidR="00CD6E03" w:rsidRPr="008509B3">
        <w:rPr>
          <w:rFonts w:asciiTheme="minorHAnsi" w:hAnsiTheme="minorHAnsi" w:cstheme="minorHAnsi"/>
        </w:rPr>
        <w:t>number of</w:t>
      </w:r>
      <w:proofErr w:type="gramEnd"/>
      <w:r w:rsidR="00CD6E03" w:rsidRPr="008509B3">
        <w:rPr>
          <w:rFonts w:asciiTheme="minorHAnsi" w:hAnsiTheme="minorHAnsi" w:cstheme="minorHAnsi"/>
        </w:rPr>
        <w:t xml:space="preserve"> key steps have been </w:t>
      </w:r>
      <w:r w:rsidR="00BC3473" w:rsidRPr="008509B3">
        <w:rPr>
          <w:rFonts w:asciiTheme="minorHAnsi" w:hAnsiTheme="minorHAnsi" w:cstheme="minorHAnsi"/>
        </w:rPr>
        <w:t>taken to</w:t>
      </w:r>
      <w:r w:rsidR="00DC3D49" w:rsidRPr="008509B3">
        <w:rPr>
          <w:rFonts w:asciiTheme="minorHAnsi" w:hAnsiTheme="minorHAnsi" w:cstheme="minorHAnsi"/>
        </w:rPr>
        <w:t xml:space="preserve"> </w:t>
      </w:r>
      <w:r w:rsidR="00ED67DC" w:rsidRPr="008509B3">
        <w:rPr>
          <w:rFonts w:asciiTheme="minorHAnsi" w:hAnsiTheme="minorHAnsi" w:cstheme="minorHAnsi"/>
        </w:rPr>
        <w:t xml:space="preserve">build, train </w:t>
      </w:r>
      <w:r w:rsidR="00DC3D49" w:rsidRPr="008509B3">
        <w:rPr>
          <w:rFonts w:asciiTheme="minorHAnsi" w:hAnsiTheme="minorHAnsi" w:cstheme="minorHAnsi"/>
        </w:rPr>
        <w:t xml:space="preserve">and </w:t>
      </w:r>
      <w:r w:rsidR="00ED67DC" w:rsidRPr="008509B3">
        <w:rPr>
          <w:rFonts w:asciiTheme="minorHAnsi" w:hAnsiTheme="minorHAnsi" w:cstheme="minorHAnsi"/>
        </w:rPr>
        <w:t>support the aged care workforce</w:t>
      </w:r>
      <w:r w:rsidR="00DC3D49" w:rsidRPr="008509B3">
        <w:rPr>
          <w:rFonts w:asciiTheme="minorHAnsi" w:hAnsiTheme="minorHAnsi" w:cstheme="minorHAnsi"/>
        </w:rPr>
        <w:t xml:space="preserve">. </w:t>
      </w:r>
      <w:r w:rsidR="000743FA">
        <w:rPr>
          <w:rFonts w:asciiTheme="minorHAnsi" w:hAnsiTheme="minorHAnsi" w:cstheme="minorHAnsi"/>
        </w:rPr>
        <w:t xml:space="preserve">This includes </w:t>
      </w:r>
      <w:r w:rsidR="008509B3" w:rsidRPr="008509B3">
        <w:rPr>
          <w:rFonts w:asciiTheme="minorHAnsi" w:hAnsiTheme="minorHAnsi" w:cstheme="minorHAnsi"/>
        </w:rPr>
        <w:t>a series of skills and training initiatives for the aged care workforce, including Fee Free TAFE to support training new and existing aged care workers, and 20,000 new university places to prioritise opportunities for under-represented groups, focusing on areas of national priority or skills needs, such as nursing.</w:t>
      </w:r>
    </w:p>
    <w:p w14:paraId="15C99937" w14:textId="77777777" w:rsidR="005D0E40" w:rsidRDefault="008509B3" w:rsidP="008509B3">
      <w:pPr>
        <w:spacing w:before="120"/>
        <w:rPr>
          <w:rFonts w:asciiTheme="minorHAnsi" w:hAnsiTheme="minorHAnsi" w:cstheme="minorHAnsi"/>
        </w:rPr>
      </w:pPr>
      <w:r w:rsidRPr="00DC3D49">
        <w:rPr>
          <w:rFonts w:asciiTheme="minorHAnsi" w:hAnsiTheme="minorHAnsi" w:cstheme="minorHAnsi"/>
        </w:rPr>
        <w:t xml:space="preserve">The Government also made </w:t>
      </w:r>
      <w:proofErr w:type="gramStart"/>
      <w:r w:rsidRPr="00DC3D49">
        <w:rPr>
          <w:rFonts w:asciiTheme="minorHAnsi" w:hAnsiTheme="minorHAnsi" w:cstheme="minorHAnsi"/>
        </w:rPr>
        <w:t>a</w:t>
      </w:r>
      <w:r w:rsidR="005D0E40">
        <w:rPr>
          <w:rFonts w:asciiTheme="minorHAnsi" w:hAnsiTheme="minorHAnsi" w:cstheme="minorHAnsi"/>
        </w:rPr>
        <w:t xml:space="preserve"> number of</w:t>
      </w:r>
      <w:proofErr w:type="gramEnd"/>
      <w:r w:rsidRPr="00DC3D49">
        <w:rPr>
          <w:rFonts w:asciiTheme="minorHAnsi" w:hAnsiTheme="minorHAnsi" w:cstheme="minorHAnsi"/>
        </w:rPr>
        <w:t xml:space="preserve"> submission</w:t>
      </w:r>
      <w:r w:rsidR="005D0E40">
        <w:rPr>
          <w:rFonts w:asciiTheme="minorHAnsi" w:hAnsiTheme="minorHAnsi" w:cstheme="minorHAnsi"/>
        </w:rPr>
        <w:t>s</w:t>
      </w:r>
      <w:r w:rsidRPr="00DC3D49">
        <w:rPr>
          <w:rFonts w:asciiTheme="minorHAnsi" w:hAnsiTheme="minorHAnsi" w:cstheme="minorHAnsi"/>
        </w:rPr>
        <w:t xml:space="preserve"> to the Fair Work Commission</w:t>
      </w:r>
      <w:r w:rsidR="005D0E40">
        <w:rPr>
          <w:rFonts w:asciiTheme="minorHAnsi" w:hAnsiTheme="minorHAnsi" w:cstheme="minorHAnsi"/>
        </w:rPr>
        <w:t xml:space="preserve"> (FWC)</w:t>
      </w:r>
      <w:r w:rsidRPr="00DC3D49">
        <w:rPr>
          <w:rFonts w:asciiTheme="minorHAnsi" w:hAnsiTheme="minorHAnsi" w:cstheme="minorHAnsi"/>
        </w:rPr>
        <w:t xml:space="preserve"> in support of increased wages for aged care workers and has committed to fund</w:t>
      </w:r>
      <w:r>
        <w:rPr>
          <w:rFonts w:asciiTheme="minorHAnsi" w:hAnsiTheme="minorHAnsi" w:cstheme="minorHAnsi"/>
        </w:rPr>
        <w:t>ing</w:t>
      </w:r>
      <w:r w:rsidRPr="00DC3D49">
        <w:rPr>
          <w:rFonts w:asciiTheme="minorHAnsi" w:hAnsiTheme="minorHAnsi" w:cstheme="minorHAnsi"/>
        </w:rPr>
        <w:t xml:space="preserve"> the </w:t>
      </w:r>
      <w:r>
        <w:rPr>
          <w:rFonts w:asciiTheme="minorHAnsi" w:hAnsiTheme="minorHAnsi" w:cstheme="minorHAnsi"/>
        </w:rPr>
        <w:t>resulting increase in wages</w:t>
      </w:r>
      <w:r w:rsidRPr="00DC3D49">
        <w:rPr>
          <w:rFonts w:asciiTheme="minorHAnsi" w:hAnsiTheme="minorHAnsi" w:cstheme="minorHAnsi"/>
        </w:rPr>
        <w:t>.</w:t>
      </w:r>
      <w:r>
        <w:rPr>
          <w:rFonts w:asciiTheme="minorHAnsi" w:hAnsiTheme="minorHAnsi" w:cstheme="minorHAnsi"/>
        </w:rPr>
        <w:t xml:space="preserve"> </w:t>
      </w:r>
    </w:p>
    <w:p w14:paraId="5E5794BF" w14:textId="75AA75E3" w:rsidR="008509B3" w:rsidRDefault="008509B3" w:rsidP="008509B3">
      <w:pPr>
        <w:spacing w:before="120"/>
        <w:rPr>
          <w:rFonts w:asciiTheme="minorHAnsi" w:hAnsiTheme="minorHAnsi" w:cstheme="minorHAnsi"/>
        </w:rPr>
      </w:pPr>
      <w:r w:rsidRPr="00ED67DC">
        <w:rPr>
          <w:rFonts w:asciiTheme="minorHAnsi" w:hAnsiTheme="minorHAnsi" w:cstheme="minorHAnsi"/>
        </w:rPr>
        <w:t xml:space="preserve">On 4 November 2022, the FWC </w:t>
      </w:r>
      <w:proofErr w:type="gramStart"/>
      <w:r w:rsidRPr="00ED67DC">
        <w:rPr>
          <w:rFonts w:asciiTheme="minorHAnsi" w:hAnsiTheme="minorHAnsi" w:cstheme="minorHAnsi"/>
        </w:rPr>
        <w:t>made a decision</w:t>
      </w:r>
      <w:proofErr w:type="gramEnd"/>
      <w:r w:rsidRPr="00ED67DC">
        <w:rPr>
          <w:rFonts w:asciiTheme="minorHAnsi" w:hAnsiTheme="minorHAnsi" w:cstheme="minorHAnsi"/>
        </w:rPr>
        <w:t xml:space="preserve"> for an interim increase to minimum wages of 15 per cent for aged care workers in direct care roles on the Aged Care Award, the Social, Community, Home Care and Disability Services Award and the Nurses Award. </w:t>
      </w:r>
    </w:p>
    <w:p w14:paraId="0918E38A" w14:textId="6990D27F" w:rsidR="005D0E40" w:rsidRDefault="005D0E40" w:rsidP="008509B3">
      <w:pPr>
        <w:spacing w:before="120"/>
        <w:rPr>
          <w:rFonts w:asciiTheme="minorHAnsi" w:hAnsiTheme="minorHAnsi" w:cstheme="minorHAnsi"/>
        </w:rPr>
      </w:pPr>
      <w:r>
        <w:rPr>
          <w:rFonts w:asciiTheme="minorHAnsi" w:hAnsiTheme="minorHAnsi" w:cstheme="minorHAnsi"/>
        </w:rPr>
        <w:t xml:space="preserve">On 21 February 2023, the FWC </w:t>
      </w:r>
      <w:proofErr w:type="gramStart"/>
      <w:r>
        <w:rPr>
          <w:rFonts w:asciiTheme="minorHAnsi" w:hAnsiTheme="minorHAnsi" w:cstheme="minorHAnsi"/>
        </w:rPr>
        <w:t>made a decision</w:t>
      </w:r>
      <w:proofErr w:type="gramEnd"/>
      <w:r>
        <w:rPr>
          <w:rFonts w:asciiTheme="minorHAnsi" w:hAnsiTheme="minorHAnsi" w:cstheme="minorHAnsi"/>
        </w:rPr>
        <w:t xml:space="preserve"> </w:t>
      </w:r>
      <w:r w:rsidR="00E96946">
        <w:rPr>
          <w:rFonts w:asciiTheme="minorHAnsi" w:hAnsiTheme="minorHAnsi" w:cstheme="minorHAnsi"/>
        </w:rPr>
        <w:t>that the</w:t>
      </w:r>
      <w:r>
        <w:rPr>
          <w:rFonts w:asciiTheme="minorHAnsi" w:hAnsiTheme="minorHAnsi" w:cstheme="minorHAnsi"/>
        </w:rPr>
        <w:t xml:space="preserve"> interim increase to minimum wages of 15 percent </w:t>
      </w:r>
      <w:r w:rsidR="00E96946">
        <w:rPr>
          <w:rFonts w:asciiTheme="minorHAnsi" w:hAnsiTheme="minorHAnsi" w:cstheme="minorHAnsi"/>
        </w:rPr>
        <w:t xml:space="preserve">would also apply to </w:t>
      </w:r>
      <w:r>
        <w:rPr>
          <w:rFonts w:asciiTheme="minorHAnsi" w:hAnsiTheme="minorHAnsi" w:cstheme="minorHAnsi"/>
        </w:rPr>
        <w:t xml:space="preserve">Head Chefs/Cooks under the Aged Care Award, and Recreational Activities Officers/Lifestyle Officers under the Aged Care Awards. </w:t>
      </w:r>
      <w:r w:rsidR="00E96946">
        <w:rPr>
          <w:rFonts w:asciiTheme="minorHAnsi" w:hAnsiTheme="minorHAnsi" w:cstheme="minorHAnsi"/>
        </w:rPr>
        <w:t xml:space="preserve"> The FWC further decided that the interim increases would take effect from 30 June 2023.</w:t>
      </w:r>
    </w:p>
    <w:p w14:paraId="484D5C40" w14:textId="66CBCDC4" w:rsidR="005D0E40" w:rsidRPr="000F739D" w:rsidRDefault="005D0E40" w:rsidP="008509B3">
      <w:pPr>
        <w:spacing w:before="120"/>
        <w:rPr>
          <w:noProof/>
          <w:sz w:val="22"/>
          <w:szCs w:val="22"/>
        </w:rPr>
      </w:pPr>
      <w:r w:rsidRPr="00ED67DC">
        <w:rPr>
          <w:rFonts w:asciiTheme="minorHAnsi" w:hAnsiTheme="minorHAnsi" w:cstheme="minorHAnsi"/>
        </w:rPr>
        <w:lastRenderedPageBreak/>
        <w:t xml:space="preserve">The Government </w:t>
      </w:r>
      <w:r w:rsidR="00B50E01">
        <w:rPr>
          <w:rFonts w:asciiTheme="minorHAnsi" w:hAnsiTheme="minorHAnsi" w:cstheme="minorHAnsi"/>
        </w:rPr>
        <w:t xml:space="preserve">has invested $11.3 billion from 1 July 2023 to fund the FWC’s decision for an interim increase for direct care workers in </w:t>
      </w:r>
      <w:r w:rsidRPr="00ED67DC">
        <w:rPr>
          <w:rFonts w:asciiTheme="minorHAnsi" w:hAnsiTheme="minorHAnsi" w:cstheme="minorHAnsi"/>
        </w:rPr>
        <w:t>the aged care sector.</w:t>
      </w:r>
    </w:p>
    <w:p w14:paraId="5644D537" w14:textId="77777777" w:rsidR="008509B3" w:rsidRPr="008509B3" w:rsidRDefault="008509B3" w:rsidP="008509B3">
      <w:pPr>
        <w:spacing w:after="120"/>
        <w:rPr>
          <w:rFonts w:asciiTheme="minorHAnsi" w:hAnsiTheme="minorHAnsi" w:cstheme="minorHAnsi"/>
        </w:rPr>
      </w:pPr>
      <w:r w:rsidRPr="008509B3">
        <w:rPr>
          <w:rFonts w:asciiTheme="minorHAnsi" w:hAnsiTheme="minorHAnsi" w:cstheme="minorHAnsi"/>
        </w:rPr>
        <w:t>Other workforce initiatives currently underway include:</w:t>
      </w:r>
    </w:p>
    <w:p w14:paraId="29B489C1" w14:textId="77777777" w:rsidR="008509B3" w:rsidRPr="008509B3" w:rsidRDefault="008509B3" w:rsidP="008509B3">
      <w:pPr>
        <w:pStyle w:val="ListParagraph"/>
        <w:numPr>
          <w:ilvl w:val="0"/>
          <w:numId w:val="3"/>
        </w:numPr>
        <w:spacing w:after="120" w:line="259" w:lineRule="auto"/>
        <w:rPr>
          <w:rFonts w:asciiTheme="minorHAnsi" w:hAnsiTheme="minorHAnsi" w:cstheme="minorHAnsi"/>
          <w:sz w:val="24"/>
          <w:szCs w:val="24"/>
        </w:rPr>
      </w:pPr>
      <w:r w:rsidRPr="008509B3">
        <w:rPr>
          <w:rFonts w:asciiTheme="minorHAnsi" w:hAnsiTheme="minorHAnsi" w:cstheme="minorHAnsi"/>
          <w:sz w:val="24"/>
          <w:szCs w:val="24"/>
        </w:rPr>
        <w:t xml:space="preserve">The Workforce Advisory Service - a free, </w:t>
      </w:r>
      <w:proofErr w:type="gramStart"/>
      <w:r w:rsidRPr="008509B3">
        <w:rPr>
          <w:rFonts w:asciiTheme="minorHAnsi" w:hAnsiTheme="minorHAnsi" w:cstheme="minorHAnsi"/>
          <w:sz w:val="24"/>
          <w:szCs w:val="24"/>
        </w:rPr>
        <w:t>independent</w:t>
      </w:r>
      <w:proofErr w:type="gramEnd"/>
      <w:r w:rsidRPr="008509B3">
        <w:rPr>
          <w:rFonts w:asciiTheme="minorHAnsi" w:hAnsiTheme="minorHAnsi" w:cstheme="minorHAnsi"/>
          <w:sz w:val="24"/>
          <w:szCs w:val="24"/>
        </w:rPr>
        <w:t xml:space="preserve"> and confidential service with places available to support residential and home care service providers with best practice advice on attracting, retaining and skilling their workforce.</w:t>
      </w:r>
    </w:p>
    <w:p w14:paraId="0E1584BD" w14:textId="77777777" w:rsidR="008509B3" w:rsidRPr="008509B3" w:rsidRDefault="008509B3" w:rsidP="008509B3">
      <w:pPr>
        <w:pStyle w:val="ListParagraph"/>
        <w:numPr>
          <w:ilvl w:val="0"/>
          <w:numId w:val="3"/>
        </w:numPr>
        <w:spacing w:after="120" w:line="259" w:lineRule="auto"/>
        <w:rPr>
          <w:rFonts w:asciiTheme="minorHAnsi" w:hAnsiTheme="minorHAnsi" w:cstheme="minorHAnsi"/>
          <w:sz w:val="24"/>
          <w:szCs w:val="24"/>
        </w:rPr>
      </w:pPr>
      <w:r w:rsidRPr="008509B3">
        <w:rPr>
          <w:rFonts w:asciiTheme="minorHAnsi" w:hAnsiTheme="minorHAnsi" w:cstheme="minorHAnsi"/>
          <w:sz w:val="24"/>
          <w:szCs w:val="24"/>
        </w:rPr>
        <w:t>The Home Care Workforce Support Program to attract and train 13,000 new aged care workers for the home care sector.</w:t>
      </w:r>
    </w:p>
    <w:p w14:paraId="6A91EF0B" w14:textId="77777777" w:rsidR="008509B3" w:rsidRPr="008509B3" w:rsidRDefault="008509B3" w:rsidP="008509B3">
      <w:pPr>
        <w:pStyle w:val="ListParagraph"/>
        <w:numPr>
          <w:ilvl w:val="0"/>
          <w:numId w:val="3"/>
        </w:numPr>
        <w:spacing w:after="120" w:line="259" w:lineRule="auto"/>
        <w:rPr>
          <w:rFonts w:asciiTheme="minorHAnsi" w:hAnsiTheme="minorHAnsi" w:cstheme="minorHAnsi"/>
          <w:sz w:val="24"/>
          <w:szCs w:val="24"/>
        </w:rPr>
      </w:pPr>
      <w:r w:rsidRPr="008509B3">
        <w:rPr>
          <w:rFonts w:asciiTheme="minorHAnsi" w:hAnsiTheme="minorHAnsi" w:cstheme="minorHAnsi"/>
          <w:sz w:val="24"/>
          <w:szCs w:val="24"/>
        </w:rPr>
        <w:t>The Aged Care Transition to Practice Program to support around 1,400 new aged care nurses with training and professional development.</w:t>
      </w:r>
    </w:p>
    <w:p w14:paraId="12A5BE32" w14:textId="77777777" w:rsidR="008509B3" w:rsidRDefault="008509B3" w:rsidP="008509B3">
      <w:pPr>
        <w:pStyle w:val="ListParagraph"/>
        <w:numPr>
          <w:ilvl w:val="0"/>
          <w:numId w:val="3"/>
        </w:numPr>
        <w:spacing w:after="120" w:line="259" w:lineRule="auto"/>
        <w:rPr>
          <w:rFonts w:asciiTheme="minorHAnsi" w:hAnsiTheme="minorHAnsi" w:cstheme="minorHAnsi"/>
          <w:sz w:val="24"/>
          <w:szCs w:val="24"/>
        </w:rPr>
      </w:pPr>
      <w:r w:rsidRPr="008509B3">
        <w:rPr>
          <w:rFonts w:asciiTheme="minorHAnsi" w:hAnsiTheme="minorHAnsi" w:cstheme="minorHAnsi"/>
          <w:sz w:val="24"/>
          <w:szCs w:val="24"/>
        </w:rPr>
        <w:t>The Clinical Placements Program to provide 5,250 nursing students with the opportunity to undertake high-quality clinical placements in the care and support sector.</w:t>
      </w:r>
    </w:p>
    <w:p w14:paraId="4BEA26A3" w14:textId="7B7E3F0E" w:rsidR="008509B3" w:rsidRPr="008509B3" w:rsidRDefault="008509B3" w:rsidP="008509B3">
      <w:pPr>
        <w:pStyle w:val="ListParagraph"/>
        <w:numPr>
          <w:ilvl w:val="0"/>
          <w:numId w:val="3"/>
        </w:numPr>
        <w:spacing w:after="120" w:line="259" w:lineRule="auto"/>
        <w:rPr>
          <w:rFonts w:asciiTheme="minorHAnsi" w:hAnsiTheme="minorHAnsi" w:cstheme="minorHAnsi"/>
          <w:sz w:val="24"/>
          <w:szCs w:val="24"/>
        </w:rPr>
      </w:pPr>
      <w:r>
        <w:rPr>
          <w:rFonts w:asciiTheme="minorHAnsi" w:hAnsiTheme="minorHAnsi" w:cstheme="minorHAnsi"/>
          <w:sz w:val="24"/>
          <w:szCs w:val="24"/>
        </w:rPr>
        <w:t>T</w:t>
      </w:r>
      <w:r w:rsidRPr="008509B3">
        <w:rPr>
          <w:rFonts w:asciiTheme="minorHAnsi" w:hAnsiTheme="minorHAnsi" w:cstheme="minorHAnsi"/>
          <w:sz w:val="24"/>
          <w:szCs w:val="24"/>
        </w:rPr>
        <w:t xml:space="preserve">he Rural Locum Assistance Program, which supports providers with recruitment challenges. </w:t>
      </w:r>
    </w:p>
    <w:p w14:paraId="1F5026A8" w14:textId="486EFB4B" w:rsidR="00A31D06" w:rsidRPr="00A836FA" w:rsidRDefault="00A31D06" w:rsidP="00A836FA">
      <w:pPr>
        <w:rPr>
          <w:rFonts w:asciiTheme="minorHAnsi" w:hAnsiTheme="minorHAnsi" w:cstheme="minorHAnsi"/>
        </w:rPr>
      </w:pPr>
      <w:r w:rsidRPr="00A836FA">
        <w:rPr>
          <w:rFonts w:asciiTheme="minorHAnsi" w:hAnsiTheme="minorHAnsi" w:cstheme="minorHAnsi"/>
        </w:rPr>
        <w:t xml:space="preserve">Local guidance </w:t>
      </w:r>
      <w:r w:rsidR="000743FA">
        <w:rPr>
          <w:rFonts w:asciiTheme="minorHAnsi" w:hAnsiTheme="minorHAnsi" w:cstheme="minorHAnsi"/>
        </w:rPr>
        <w:t xml:space="preserve">on aged care workforce support </w:t>
      </w:r>
      <w:proofErr w:type="gramStart"/>
      <w:r w:rsidR="000743FA">
        <w:rPr>
          <w:rFonts w:asciiTheme="minorHAnsi" w:hAnsiTheme="minorHAnsi" w:cstheme="minorHAnsi"/>
        </w:rPr>
        <w:t>are</w:t>
      </w:r>
      <w:proofErr w:type="gramEnd"/>
      <w:r w:rsidRPr="00A836FA">
        <w:rPr>
          <w:rFonts w:asciiTheme="minorHAnsi" w:hAnsiTheme="minorHAnsi" w:cstheme="minorHAnsi"/>
        </w:rPr>
        <w:t xml:space="preserve"> provided through the Department’s Regional Stewardship Network.</w:t>
      </w:r>
    </w:p>
    <w:p w14:paraId="60E7D05F" w14:textId="77777777" w:rsidR="00A31D06" w:rsidRPr="000C7AC3" w:rsidRDefault="00A31D06" w:rsidP="000C7AC3">
      <w:pPr>
        <w:pStyle w:val="ListParagraph"/>
        <w:numPr>
          <w:ilvl w:val="0"/>
          <w:numId w:val="3"/>
        </w:numPr>
        <w:spacing w:after="120" w:line="259" w:lineRule="auto"/>
        <w:rPr>
          <w:rFonts w:asciiTheme="minorHAnsi" w:hAnsiTheme="minorHAnsi" w:cstheme="minorHAnsi"/>
          <w:sz w:val="24"/>
          <w:szCs w:val="24"/>
        </w:rPr>
      </w:pPr>
      <w:r w:rsidRPr="000C7AC3">
        <w:rPr>
          <w:rFonts w:asciiTheme="minorHAnsi" w:hAnsiTheme="minorHAnsi" w:cstheme="minorHAnsi"/>
          <w:sz w:val="24"/>
          <w:szCs w:val="24"/>
        </w:rPr>
        <w:t xml:space="preserve">This Network can actively support providers to navigate access to both Commonwealth and state programs. </w:t>
      </w:r>
    </w:p>
    <w:p w14:paraId="5FDE3375" w14:textId="62760859" w:rsidR="00A31D06" w:rsidRPr="004D1839" w:rsidRDefault="00A31D06" w:rsidP="0045724B">
      <w:pPr>
        <w:pStyle w:val="ListParagraph"/>
        <w:numPr>
          <w:ilvl w:val="0"/>
          <w:numId w:val="3"/>
        </w:numPr>
        <w:spacing w:after="120" w:line="259" w:lineRule="auto"/>
        <w:rPr>
          <w:rFonts w:asciiTheme="minorHAnsi" w:hAnsiTheme="minorHAnsi" w:cstheme="minorHAnsi"/>
          <w:sz w:val="24"/>
          <w:szCs w:val="24"/>
        </w:rPr>
      </w:pPr>
      <w:r w:rsidRPr="000C7AC3">
        <w:rPr>
          <w:rFonts w:asciiTheme="minorHAnsi" w:hAnsiTheme="minorHAnsi" w:cstheme="minorHAnsi"/>
          <w:sz w:val="24"/>
          <w:szCs w:val="24"/>
        </w:rPr>
        <w:t>The Network can also link providers with Local Employment Facilitators and Boosting the Local Care Workforce Regional Coordinators (funded by Government).</w:t>
      </w:r>
    </w:p>
    <w:sectPr w:rsidR="00A31D06" w:rsidRPr="004D1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2D22"/>
    <w:multiLevelType w:val="hybridMultilevel"/>
    <w:tmpl w:val="5782AECC"/>
    <w:lvl w:ilvl="0" w:tplc="37B4843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92F4CA9"/>
    <w:multiLevelType w:val="hybridMultilevel"/>
    <w:tmpl w:val="45482F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1557B8"/>
    <w:multiLevelType w:val="hybridMultilevel"/>
    <w:tmpl w:val="9CEEC6EC"/>
    <w:lvl w:ilvl="0" w:tplc="7DEAE790">
      <w:start w:val="1"/>
      <w:numFmt w:val="bullet"/>
      <w:lvlText w:val=""/>
      <w:lvlJc w:val="left"/>
      <w:pPr>
        <w:ind w:left="360" w:hanging="360"/>
      </w:pPr>
      <w:rPr>
        <w:rFonts w:ascii="Symbol" w:hAnsi="Symbol" w:hint="default"/>
      </w:rPr>
    </w:lvl>
    <w:lvl w:ilvl="1" w:tplc="2682D218">
      <w:start w:val="1"/>
      <w:numFmt w:val="bullet"/>
      <w:lvlText w:val="o"/>
      <w:lvlJc w:val="left"/>
      <w:pPr>
        <w:ind w:left="1080" w:hanging="360"/>
      </w:pPr>
      <w:rPr>
        <w:rFonts w:ascii="Courier New" w:hAnsi="Courier New" w:cs="Courier New" w:hint="default"/>
      </w:rPr>
    </w:lvl>
    <w:lvl w:ilvl="2" w:tplc="8B5CABEC">
      <w:start w:val="1"/>
      <w:numFmt w:val="bullet"/>
      <w:lvlText w:val=""/>
      <w:lvlJc w:val="left"/>
      <w:pPr>
        <w:ind w:left="1800" w:hanging="360"/>
      </w:pPr>
      <w:rPr>
        <w:rFonts w:ascii="Wingdings" w:hAnsi="Wingdings" w:hint="default"/>
      </w:rPr>
    </w:lvl>
    <w:lvl w:ilvl="3" w:tplc="0B00518A" w:tentative="1">
      <w:start w:val="1"/>
      <w:numFmt w:val="bullet"/>
      <w:lvlText w:val=""/>
      <w:lvlJc w:val="left"/>
      <w:pPr>
        <w:ind w:left="2520" w:hanging="360"/>
      </w:pPr>
      <w:rPr>
        <w:rFonts w:ascii="Symbol" w:hAnsi="Symbol" w:hint="default"/>
      </w:rPr>
    </w:lvl>
    <w:lvl w:ilvl="4" w:tplc="B06EF652" w:tentative="1">
      <w:start w:val="1"/>
      <w:numFmt w:val="bullet"/>
      <w:lvlText w:val="o"/>
      <w:lvlJc w:val="left"/>
      <w:pPr>
        <w:ind w:left="3240" w:hanging="360"/>
      </w:pPr>
      <w:rPr>
        <w:rFonts w:ascii="Courier New" w:hAnsi="Courier New" w:cs="Courier New" w:hint="default"/>
      </w:rPr>
    </w:lvl>
    <w:lvl w:ilvl="5" w:tplc="44A6EC4A" w:tentative="1">
      <w:start w:val="1"/>
      <w:numFmt w:val="bullet"/>
      <w:lvlText w:val=""/>
      <w:lvlJc w:val="left"/>
      <w:pPr>
        <w:ind w:left="3960" w:hanging="360"/>
      </w:pPr>
      <w:rPr>
        <w:rFonts w:ascii="Wingdings" w:hAnsi="Wingdings" w:hint="default"/>
      </w:rPr>
    </w:lvl>
    <w:lvl w:ilvl="6" w:tplc="78F8413A" w:tentative="1">
      <w:start w:val="1"/>
      <w:numFmt w:val="bullet"/>
      <w:lvlText w:val=""/>
      <w:lvlJc w:val="left"/>
      <w:pPr>
        <w:ind w:left="4680" w:hanging="360"/>
      </w:pPr>
      <w:rPr>
        <w:rFonts w:ascii="Symbol" w:hAnsi="Symbol" w:hint="default"/>
      </w:rPr>
    </w:lvl>
    <w:lvl w:ilvl="7" w:tplc="B83C4C24" w:tentative="1">
      <w:start w:val="1"/>
      <w:numFmt w:val="bullet"/>
      <w:lvlText w:val="o"/>
      <w:lvlJc w:val="left"/>
      <w:pPr>
        <w:ind w:left="5400" w:hanging="360"/>
      </w:pPr>
      <w:rPr>
        <w:rFonts w:ascii="Courier New" w:hAnsi="Courier New" w:cs="Courier New" w:hint="default"/>
      </w:rPr>
    </w:lvl>
    <w:lvl w:ilvl="8" w:tplc="71789A24" w:tentative="1">
      <w:start w:val="1"/>
      <w:numFmt w:val="bullet"/>
      <w:lvlText w:val=""/>
      <w:lvlJc w:val="left"/>
      <w:pPr>
        <w:ind w:left="6120" w:hanging="360"/>
      </w:pPr>
      <w:rPr>
        <w:rFonts w:ascii="Wingdings" w:hAnsi="Wingdings" w:hint="default"/>
      </w:rPr>
    </w:lvl>
  </w:abstractNum>
  <w:num w:numId="1" w16cid:durableId="584648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7739036">
    <w:abstractNumId w:val="1"/>
  </w:num>
  <w:num w:numId="3" w16cid:durableId="1465007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E4"/>
    <w:rsid w:val="000743FA"/>
    <w:rsid w:val="000C7AC3"/>
    <w:rsid w:val="00147886"/>
    <w:rsid w:val="00280050"/>
    <w:rsid w:val="0045724B"/>
    <w:rsid w:val="004B20E4"/>
    <w:rsid w:val="004D1839"/>
    <w:rsid w:val="00515D34"/>
    <w:rsid w:val="0055513C"/>
    <w:rsid w:val="005B02EF"/>
    <w:rsid w:val="005D0E40"/>
    <w:rsid w:val="00610036"/>
    <w:rsid w:val="006451F6"/>
    <w:rsid w:val="006702FC"/>
    <w:rsid w:val="006E1A78"/>
    <w:rsid w:val="007B7F7A"/>
    <w:rsid w:val="007D6BBE"/>
    <w:rsid w:val="008509B3"/>
    <w:rsid w:val="008B6234"/>
    <w:rsid w:val="009627FC"/>
    <w:rsid w:val="00A31D06"/>
    <w:rsid w:val="00A529F9"/>
    <w:rsid w:val="00A602E7"/>
    <w:rsid w:val="00A836FA"/>
    <w:rsid w:val="00B467D4"/>
    <w:rsid w:val="00B50E01"/>
    <w:rsid w:val="00B543EC"/>
    <w:rsid w:val="00BC3473"/>
    <w:rsid w:val="00C42393"/>
    <w:rsid w:val="00C704F7"/>
    <w:rsid w:val="00C96F8A"/>
    <w:rsid w:val="00CD6E03"/>
    <w:rsid w:val="00DC3D49"/>
    <w:rsid w:val="00E96946"/>
    <w:rsid w:val="00EA389A"/>
    <w:rsid w:val="00ED67DC"/>
    <w:rsid w:val="00F14D6C"/>
    <w:rsid w:val="00F76E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ED33"/>
  <w15:chartTrackingRefBased/>
  <w15:docId w15:val="{B5B0A14C-3D67-43B6-9119-9733B52A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393"/>
    <w:rPr>
      <w:color w:val="0563C1"/>
      <w:u w:val="singl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42393"/>
    <w:pPr>
      <w:spacing w:after="0" w:line="240" w:lineRule="auto"/>
      <w:ind w:left="720"/>
    </w:pPr>
    <w:rPr>
      <w:rFonts w:ascii="Calibri" w:hAnsi="Calibri" w:cs="Calibri"/>
      <w:sz w:val="22"/>
      <w:szCs w:val="22"/>
    </w:rPr>
  </w:style>
  <w:style w:type="character" w:styleId="FollowedHyperlink">
    <w:name w:val="FollowedHyperlink"/>
    <w:basedOn w:val="DefaultParagraphFont"/>
    <w:uiPriority w:val="99"/>
    <w:semiHidden/>
    <w:unhideWhenUsed/>
    <w:rsid w:val="00C42393"/>
    <w:rPr>
      <w:color w:val="954F72" w:themeColor="followedHyperlink"/>
      <w:u w:val="singl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A31D06"/>
    <w:rPr>
      <w:rFonts w:ascii="Calibri" w:hAnsi="Calibri" w:cs="Calibri"/>
      <w:sz w:val="22"/>
      <w:szCs w:val="22"/>
    </w:rPr>
  </w:style>
  <w:style w:type="character" w:styleId="CommentReference">
    <w:name w:val="annotation reference"/>
    <w:basedOn w:val="DefaultParagraphFont"/>
    <w:uiPriority w:val="99"/>
    <w:semiHidden/>
    <w:unhideWhenUsed/>
    <w:rsid w:val="00CD6E03"/>
    <w:rPr>
      <w:sz w:val="16"/>
      <w:szCs w:val="16"/>
    </w:rPr>
  </w:style>
  <w:style w:type="paragraph" w:styleId="CommentText">
    <w:name w:val="annotation text"/>
    <w:basedOn w:val="Normal"/>
    <w:link w:val="CommentTextChar"/>
    <w:uiPriority w:val="99"/>
    <w:unhideWhenUsed/>
    <w:rsid w:val="00CD6E03"/>
    <w:pPr>
      <w:spacing w:line="240" w:lineRule="auto"/>
    </w:pPr>
    <w:rPr>
      <w:sz w:val="20"/>
      <w:szCs w:val="20"/>
    </w:rPr>
  </w:style>
  <w:style w:type="character" w:customStyle="1" w:styleId="CommentTextChar">
    <w:name w:val="Comment Text Char"/>
    <w:basedOn w:val="DefaultParagraphFont"/>
    <w:link w:val="CommentText"/>
    <w:uiPriority w:val="99"/>
    <w:rsid w:val="00CD6E03"/>
    <w:rPr>
      <w:sz w:val="20"/>
      <w:szCs w:val="20"/>
    </w:rPr>
  </w:style>
  <w:style w:type="paragraph" w:styleId="CommentSubject">
    <w:name w:val="annotation subject"/>
    <w:basedOn w:val="CommentText"/>
    <w:next w:val="CommentText"/>
    <w:link w:val="CommentSubjectChar"/>
    <w:uiPriority w:val="99"/>
    <w:semiHidden/>
    <w:unhideWhenUsed/>
    <w:rsid w:val="00CD6E03"/>
    <w:rPr>
      <w:b/>
      <w:bCs/>
    </w:rPr>
  </w:style>
  <w:style w:type="character" w:customStyle="1" w:styleId="CommentSubjectChar">
    <w:name w:val="Comment Subject Char"/>
    <w:basedOn w:val="CommentTextChar"/>
    <w:link w:val="CommentSubject"/>
    <w:uiPriority w:val="99"/>
    <w:semiHidden/>
    <w:rsid w:val="00CD6E03"/>
    <w:rPr>
      <w:b/>
      <w:bCs/>
      <w:sz w:val="20"/>
      <w:szCs w:val="20"/>
    </w:rPr>
  </w:style>
  <w:style w:type="paragraph" w:styleId="Revision">
    <w:name w:val="Revision"/>
    <w:hidden/>
    <w:uiPriority w:val="99"/>
    <w:semiHidden/>
    <w:rsid w:val="005D0E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33440">
      <w:bodyDiv w:val="1"/>
      <w:marLeft w:val="0"/>
      <w:marRight w:val="0"/>
      <w:marTop w:val="0"/>
      <w:marBottom w:val="0"/>
      <w:divBdr>
        <w:top w:val="none" w:sz="0" w:space="0" w:color="auto"/>
        <w:left w:val="none" w:sz="0" w:space="0" w:color="auto"/>
        <w:bottom w:val="none" w:sz="0" w:space="0" w:color="auto"/>
        <w:right w:val="none" w:sz="0" w:space="0" w:color="auto"/>
      </w:divBdr>
    </w:div>
    <w:div w:id="750851620">
      <w:bodyDiv w:val="1"/>
      <w:marLeft w:val="0"/>
      <w:marRight w:val="0"/>
      <w:marTop w:val="0"/>
      <w:marBottom w:val="0"/>
      <w:divBdr>
        <w:top w:val="none" w:sz="0" w:space="0" w:color="auto"/>
        <w:left w:val="none" w:sz="0" w:space="0" w:color="auto"/>
        <w:bottom w:val="none" w:sz="0" w:space="0" w:color="auto"/>
        <w:right w:val="none" w:sz="0" w:space="0" w:color="auto"/>
      </w:divBdr>
    </w:div>
    <w:div w:id="1046569233">
      <w:bodyDiv w:val="1"/>
      <w:marLeft w:val="0"/>
      <w:marRight w:val="0"/>
      <w:marTop w:val="0"/>
      <w:marBottom w:val="0"/>
      <w:divBdr>
        <w:top w:val="none" w:sz="0" w:space="0" w:color="auto"/>
        <w:left w:val="none" w:sz="0" w:space="0" w:color="auto"/>
        <w:bottom w:val="none" w:sz="0" w:space="0" w:color="auto"/>
        <w:right w:val="none" w:sz="0" w:space="0" w:color="auto"/>
      </w:divBdr>
    </w:div>
    <w:div w:id="1496651453">
      <w:bodyDiv w:val="1"/>
      <w:marLeft w:val="0"/>
      <w:marRight w:val="0"/>
      <w:marTop w:val="0"/>
      <w:marBottom w:val="0"/>
      <w:divBdr>
        <w:top w:val="none" w:sz="0" w:space="0" w:color="auto"/>
        <w:left w:val="none" w:sz="0" w:space="0" w:color="auto"/>
        <w:bottom w:val="none" w:sz="0" w:space="0" w:color="auto"/>
        <w:right w:val="none" w:sz="0" w:space="0" w:color="auto"/>
      </w:divBdr>
    </w:div>
    <w:div w:id="20100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24CCB4F7E827745804415694067016E" ma:contentTypeVersion="" ma:contentTypeDescription="PDMS Document Site Content Type" ma:contentTypeScope="" ma:versionID="7b56c182858ddf846b575837d7d18658">
  <xsd:schema xmlns:xsd="http://www.w3.org/2001/XMLSchema" xmlns:xs="http://www.w3.org/2001/XMLSchema" xmlns:p="http://schemas.microsoft.com/office/2006/metadata/properties" xmlns:ns2="9CC6586B-3718-40C7-864F-B3547670044C" targetNamespace="http://schemas.microsoft.com/office/2006/metadata/properties" ma:root="true" ma:fieldsID="56c7b20e8cfe3ab75b2f07b38d5548be" ns2:_="">
    <xsd:import namespace="9CC6586B-3718-40C7-864F-B354767004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6586B-3718-40C7-864F-B354767004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CC6586B-3718-40C7-864F-B3547670044C" xsi:nil="true"/>
  </documentManagement>
</p:properties>
</file>

<file path=customXml/itemProps1.xml><?xml version="1.0" encoding="utf-8"?>
<ds:datastoreItem xmlns:ds="http://schemas.openxmlformats.org/officeDocument/2006/customXml" ds:itemID="{B4545381-5B3E-4808-A4CE-AC571B5D3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6586B-3718-40C7-864F-B35476700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D1EAE-E8E3-4706-ADC8-5F99356878A0}">
  <ds:schemaRefs>
    <ds:schemaRef ds:uri="http://schemas.microsoft.com/sharepoint/v3/contenttype/forms"/>
  </ds:schemaRefs>
</ds:datastoreItem>
</file>

<file path=customXml/itemProps3.xml><?xml version="1.0" encoding="utf-8"?>
<ds:datastoreItem xmlns:ds="http://schemas.openxmlformats.org/officeDocument/2006/customXml" ds:itemID="{B103F680-DCA6-4DBC-AB7A-5FFD84C34D28}">
  <ds:schemaRefs>
    <ds:schemaRef ds:uri="http://schemas.microsoft.com/office/2006/metadata/properties"/>
    <ds:schemaRef ds:uri="http://schemas.microsoft.com/office/infopath/2007/PartnerControls"/>
    <ds:schemaRef ds:uri="9CC6586B-3718-40C7-864F-B354767004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Aged Care and Other Legislation Amendment (Royal Commission Response No. 2) Bill 2021</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and Other Legislation Amendment (Royal Commission Response No. 2) Bill 2021</dc:title>
  <dc:subject/>
  <dc:creator>Australian Government Department of Health and Aged Care</dc:creator>
  <cp:keywords>aged care;</cp:keywords>
  <dc:description/>
  <cp:lastModifiedBy>HAMLEY, Erynn</cp:lastModifiedBy>
  <cp:revision>2</cp:revision>
  <cp:lastPrinted>2023-12-18T21:45:00Z</cp:lastPrinted>
  <dcterms:created xsi:type="dcterms:W3CDTF">2023-12-22T00:01:00Z</dcterms:created>
  <dcterms:modified xsi:type="dcterms:W3CDTF">2023-12-22T00:01:00Z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0x010100266966F133664895A6EE3632470D45F500024CCB4F7E827745804415694067016E</vt:lpwstr>
  </property>
</Properties>
</file>