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6184" w14:textId="261C3D0E" w:rsidR="006E4D2E" w:rsidRPr="00F30231" w:rsidRDefault="00F30231" w:rsidP="00F30231">
      <w:pPr>
        <w:pStyle w:val="CoverTitle"/>
        <w:tabs>
          <w:tab w:val="left" w:pos="8505"/>
        </w:tabs>
      </w:pPr>
      <w:r w:rsidRPr="00EC2A27">
        <w:t>Additional A</w:t>
      </w:r>
      <w:r>
        <w:t xml:space="preserve">lcohol and </w:t>
      </w:r>
      <w:r w:rsidRPr="00EC2A27">
        <w:t>O</w:t>
      </w:r>
      <w:r>
        <w:t xml:space="preserve">ther </w:t>
      </w:r>
      <w:r w:rsidRPr="00EC2A27">
        <w:t>D</w:t>
      </w:r>
      <w:r>
        <w:t>rug</w:t>
      </w:r>
      <w:r w:rsidRPr="00EC2A27">
        <w:t xml:space="preserve"> Treatment Services</w:t>
      </w:r>
      <w:r>
        <w:t xml:space="preserve"> funding –</w:t>
      </w:r>
      <w:r w:rsidR="001741C1">
        <w:t xml:space="preserve"> </w:t>
      </w:r>
      <w:r>
        <w:t>Consultation Outcomes Report</w:t>
      </w:r>
    </w:p>
    <w:p w14:paraId="3DF1AFBD" w14:textId="3C941306" w:rsidR="00861324" w:rsidRPr="009D0A21" w:rsidRDefault="00F30231" w:rsidP="00A329F1">
      <w:pPr>
        <w:pStyle w:val="CoverSubheading"/>
        <w:rPr>
          <w:lang w:val="en-AU"/>
        </w:rPr>
      </w:pPr>
      <w:r>
        <w:rPr>
          <w:lang w:val="en-AU"/>
        </w:rPr>
        <w:t xml:space="preserve">Key findings from consultations in the regions of Ceduna (SA), Bundaberg-Hervey Bay (QLD), East Kimberley (WA), and the Goldfields (WA) </w:t>
      </w:r>
    </w:p>
    <w:p w14:paraId="5599F764" w14:textId="0AE00485" w:rsidR="0007747B" w:rsidRPr="009D0A21" w:rsidRDefault="007B5ADC" w:rsidP="0007747B">
      <w:pPr>
        <w:pStyle w:val="CoverDate"/>
        <w:rPr>
          <w:lang w:val="en-AU"/>
        </w:rPr>
      </w:pPr>
      <w:r>
        <w:rPr>
          <w:lang w:val="en-AU"/>
        </w:rPr>
        <w:t>2</w:t>
      </w:r>
      <w:r w:rsidR="00CA5476">
        <w:rPr>
          <w:lang w:val="en-AU"/>
        </w:rPr>
        <w:t>5</w:t>
      </w:r>
      <w:r w:rsidR="00F30231">
        <w:rPr>
          <w:lang w:val="en-AU"/>
        </w:rPr>
        <w:t xml:space="preserve"> Ju</w:t>
      </w:r>
      <w:r>
        <w:rPr>
          <w:lang w:val="en-AU"/>
        </w:rPr>
        <w:t>ly</w:t>
      </w:r>
      <w:r w:rsidR="00F30231">
        <w:rPr>
          <w:lang w:val="en-AU"/>
        </w:rPr>
        <w:t xml:space="preserve"> 2023</w:t>
      </w:r>
    </w:p>
    <w:p w14:paraId="35F195ED" w14:textId="77777777" w:rsidR="00844D85" w:rsidRPr="009D0A21" w:rsidRDefault="00844D85" w:rsidP="00861324"/>
    <w:p w14:paraId="10116E4E" w14:textId="77777777" w:rsidR="00B235F9" w:rsidRPr="009D0A21" w:rsidRDefault="00B235F9">
      <w:pPr>
        <w:spacing w:after="0" w:line="240" w:lineRule="auto"/>
        <w:sectPr w:rsidR="00B235F9" w:rsidRPr="009D0A21" w:rsidSect="0082634B">
          <w:headerReference w:type="default" r:id="rId8"/>
          <w:footerReference w:type="default" r:id="rId9"/>
          <w:headerReference w:type="first" r:id="rId10"/>
          <w:pgSz w:w="11906" w:h="16838" w:code="9"/>
          <w:pgMar w:top="1276" w:right="1134" w:bottom="1440" w:left="1701" w:header="709" w:footer="953" w:gutter="0"/>
          <w:cols w:space="708"/>
          <w:titlePg/>
          <w:docGrid w:linePitch="360"/>
        </w:sectPr>
      </w:pPr>
    </w:p>
    <w:p w14:paraId="5552A946" w14:textId="7A3D6B2C" w:rsidR="00F12C8E" w:rsidRDefault="001E1FB9" w:rsidP="000562BD">
      <w:pPr>
        <w:pStyle w:val="ImprintDetals"/>
        <w:spacing w:before="11400" w:line="360" w:lineRule="auto"/>
      </w:pPr>
      <w:r w:rsidRPr="001F1165">
        <w:rPr>
          <w:noProof/>
        </w:rPr>
        <w:lastRenderedPageBreak/>
        <w:drawing>
          <wp:inline distT="0" distB="0" distL="0" distR="0" wp14:anchorId="46106C44" wp14:editId="7F8071F4">
            <wp:extent cx="1079500" cy="1079500"/>
            <wp:effectExtent l="0" t="0" r="0" b="0"/>
            <wp:docPr id="9" name="Picture 9" descr="ISA 20252 accredit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SA 20252 accreditation mar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165" w:rsidRPr="001F1165">
        <w:rPr>
          <w:noProof/>
        </w:rPr>
        <w:drawing>
          <wp:inline distT="0" distB="0" distL="0" distR="0" wp14:anchorId="0704C55B" wp14:editId="4542DD42">
            <wp:extent cx="2038402" cy="720000"/>
            <wp:effectExtent l="0" t="0" r="0" b="4445"/>
            <wp:docPr id="13" name="Picture 13" descr="ADIA member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DIA member mar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40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06C5" w:rsidRPr="00A36164">
        <w:br/>
      </w:r>
      <w:r w:rsidR="00F406C5" w:rsidRPr="00A36164">
        <w:rPr>
          <w:rFonts w:ascii="Univers Com 45 Light" w:hAnsi="Univers Com 45 Light"/>
        </w:rPr>
        <w:t>© Cultural &amp; Indigenous Research Centre Australia</w:t>
      </w:r>
      <w:r w:rsidR="00F406C5" w:rsidRPr="00A36164">
        <w:rPr>
          <w:rFonts w:ascii="Univers Com 45 Light" w:hAnsi="Univers Com 45 Light"/>
        </w:rPr>
        <w:br/>
        <w:t xml:space="preserve">Developed by the Cultural &amp; Indigenous Research Centre Australia </w:t>
      </w:r>
      <w:r w:rsidR="001F1165">
        <w:rPr>
          <w:rFonts w:ascii="Univers Com 45 Light" w:hAnsi="Univers Com 45 Light"/>
        </w:rPr>
        <w:t>202</w:t>
      </w:r>
      <w:r w:rsidR="0007747B">
        <w:rPr>
          <w:rFonts w:ascii="Univers Com 45 Light" w:hAnsi="Univers Com 45 Light"/>
        </w:rPr>
        <w:t>3</w:t>
      </w:r>
      <w:r w:rsidR="00F406C5" w:rsidRPr="00A36164">
        <w:br/>
        <w:t xml:space="preserve">All research conducted by CIRCA for this project was in compliance with </w:t>
      </w:r>
      <w:r w:rsidR="001F1165" w:rsidRPr="008B78AA">
        <w:t>ISO 20252:2019 Market, Opinion and Social Researc</w:t>
      </w:r>
      <w:r w:rsidR="000562BD">
        <w:t>h</w:t>
      </w:r>
    </w:p>
    <w:p w14:paraId="3AAC485A" w14:textId="77777777" w:rsidR="000562BD" w:rsidRPr="009D0A21" w:rsidRDefault="000562BD" w:rsidP="003C29F4">
      <w:pPr>
        <w:pStyle w:val="ImprintDetals"/>
        <w:spacing w:before="11400" w:line="360" w:lineRule="auto"/>
      </w:pPr>
    </w:p>
    <w:p w14:paraId="61F3B22A" w14:textId="77777777" w:rsidR="00110B0F" w:rsidRDefault="00110B0F" w:rsidP="00110B0F">
      <w:pPr>
        <w:pStyle w:val="ContentsHeading"/>
      </w:pPr>
      <w:r>
        <w:t>Acknowledgements</w:t>
      </w:r>
    </w:p>
    <w:p w14:paraId="5D06D264" w14:textId="77777777" w:rsidR="00110B0F" w:rsidRDefault="00110B0F" w:rsidP="00110B0F">
      <w:r>
        <w:t>We acknowledge Aboriginal and Torres Strait Islander peoples as the Traditional Custodians of the lands and waters in which we work and the knowledge-holders of the oldest continuous cultures in the world. We pay our respects to Elders past and present.</w:t>
      </w:r>
    </w:p>
    <w:p w14:paraId="6361B4CE" w14:textId="77777777" w:rsidR="008B2627" w:rsidRDefault="008B2627" w:rsidP="008B2627">
      <w:pPr>
        <w:rPr>
          <w:color w:val="auto"/>
        </w:rPr>
      </w:pPr>
      <w:r>
        <w:t xml:space="preserve">This project was undertaken by Cultural and Indigenous Research Centre Australia (CIRCA) and funded by the Australian Government. </w:t>
      </w:r>
    </w:p>
    <w:p w14:paraId="0619A988" w14:textId="77777777" w:rsidR="008B2627" w:rsidRDefault="008B2627" w:rsidP="00110B0F"/>
    <w:p w14:paraId="69C23E10" w14:textId="77777777" w:rsidR="00CB709E" w:rsidRDefault="00CB709E" w:rsidP="00EA2C36"/>
    <w:p w14:paraId="5BD3CFB1" w14:textId="77777777" w:rsidR="00EA2C36" w:rsidRDefault="00EA2C36" w:rsidP="00EA2C36"/>
    <w:p w14:paraId="67D39802" w14:textId="77777777" w:rsidR="00EA2C36" w:rsidRPr="009D0A21" w:rsidRDefault="00EA2C36" w:rsidP="00EA2C36"/>
    <w:p w14:paraId="3B7B7558" w14:textId="77777777" w:rsidR="005F3A4C" w:rsidRPr="009D0A21" w:rsidRDefault="005F3A4C">
      <w:pPr>
        <w:spacing w:after="0" w:line="240" w:lineRule="auto"/>
        <w:rPr>
          <w:rFonts w:asciiTheme="majorHAnsi" w:hAnsiTheme="majorHAnsi"/>
          <w:caps/>
          <w:color w:val="DA291C" w:themeColor="background2"/>
          <w:sz w:val="48"/>
          <w:szCs w:val="40"/>
        </w:rPr>
      </w:pPr>
      <w:r w:rsidRPr="009D0A21">
        <w:br w:type="page"/>
      </w:r>
    </w:p>
    <w:p w14:paraId="0A518B09" w14:textId="77777777" w:rsidR="00CB2E67" w:rsidRPr="009D0A21" w:rsidRDefault="00D97CE2" w:rsidP="009B05F9">
      <w:pPr>
        <w:pStyle w:val="ContentsHeading"/>
      </w:pPr>
      <w:r w:rsidRPr="009D0A21">
        <w:lastRenderedPageBreak/>
        <w:t>CONTENTS</w:t>
      </w:r>
    </w:p>
    <w:sdt>
      <w:sdtPr>
        <w:id w:val="11607353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8827BB" w14:textId="74470468" w:rsidR="008F120F" w:rsidRDefault="005E3D51" w:rsidP="006359B6">
          <w:pPr>
            <w:pStyle w:val="TOC1"/>
            <w:rPr>
              <w:rFonts w:eastAsiaTheme="minorEastAsia" w:cstheme="minorBidi"/>
              <w:noProof/>
              <w:sz w:val="22"/>
              <w:lang w:eastAsia="en-AU"/>
            </w:rPr>
          </w:pPr>
          <w:r w:rsidRPr="009D0A21">
            <w:fldChar w:fldCharType="begin"/>
          </w:r>
          <w:r w:rsidR="00746509" w:rsidRPr="009D0A21">
            <w:instrText xml:space="preserve"> TOC \o "1-2" \h \z \u </w:instrText>
          </w:r>
          <w:r w:rsidRPr="009D0A21">
            <w:fldChar w:fldCharType="separate"/>
          </w:r>
          <w:hyperlink w:anchor="_Toc148601540" w:history="1">
            <w:r w:rsidR="008F120F" w:rsidRPr="00290817">
              <w:rPr>
                <w:rStyle w:val="Hyperlink"/>
                <w:rFonts w:ascii="Koblenz Serial Medium" w:hAnsi="Koblenz Serial Medium"/>
                <w:noProof/>
                <w:position w:val="-2"/>
              </w:rPr>
              <w:t>1.</w:t>
            </w:r>
            <w:r w:rsidR="008F120F">
              <w:rPr>
                <w:rFonts w:eastAsiaTheme="minorEastAsia" w:cstheme="minorBidi"/>
                <w:noProof/>
                <w:sz w:val="22"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</w:rPr>
              <w:t>Introduction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_Toc148601540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1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6C69266B" w14:textId="51CF8451" w:rsidR="008F120F" w:rsidRDefault="00A51C36" w:rsidP="008F120F">
          <w:pPr>
            <w:pStyle w:val="TOC2"/>
            <w:rPr>
              <w:rFonts w:eastAsiaTheme="minorEastAsia" w:cstheme="minorBidi"/>
              <w:noProof/>
              <w:lang w:eastAsia="en-AU"/>
            </w:rPr>
          </w:pPr>
          <w:hyperlink w:anchor="_Toc148601541" w:history="1">
            <w:r w:rsidR="008F120F" w:rsidRPr="00290817">
              <w:rPr>
                <w:rStyle w:val="Hyperlink"/>
                <w:noProof/>
                <w:lang w:val="en-US"/>
              </w:rPr>
              <w:t>1.1</w:t>
            </w:r>
            <w:r w:rsidR="008F120F">
              <w:rPr>
                <w:rFonts w:eastAsiaTheme="minorEastAsia" w:cstheme="minorBidi"/>
                <w:noProof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  <w:lang w:val="en-US"/>
              </w:rPr>
              <w:t>Consultations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_Toc148601541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1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18F3CFE2" w14:textId="07FF4BDA" w:rsidR="008F120F" w:rsidRDefault="00A51C36" w:rsidP="006359B6">
          <w:pPr>
            <w:pStyle w:val="TOC1"/>
            <w:rPr>
              <w:rFonts w:eastAsiaTheme="minorEastAsia" w:cstheme="minorBidi"/>
              <w:noProof/>
              <w:sz w:val="22"/>
              <w:lang w:eastAsia="en-AU"/>
            </w:rPr>
          </w:pPr>
          <w:hyperlink w:anchor="_Toc148601542" w:history="1">
            <w:r w:rsidR="008F120F" w:rsidRPr="00290817">
              <w:rPr>
                <w:rStyle w:val="Hyperlink"/>
                <w:rFonts w:ascii="Koblenz Serial Medium" w:hAnsi="Koblenz Serial Medium"/>
                <w:noProof/>
                <w:position w:val="-2"/>
              </w:rPr>
              <w:t>2.</w:t>
            </w:r>
            <w:r w:rsidR="008F120F">
              <w:rPr>
                <w:rFonts w:eastAsiaTheme="minorEastAsia" w:cstheme="minorBidi"/>
                <w:noProof/>
                <w:sz w:val="22"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</w:rPr>
              <w:t>Key Findings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_Toc148601542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3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5C7AD210" w14:textId="5E8B05D9" w:rsidR="008F120F" w:rsidRDefault="00A51C36" w:rsidP="008F120F">
          <w:pPr>
            <w:pStyle w:val="TOC2"/>
            <w:rPr>
              <w:rFonts w:eastAsiaTheme="minorEastAsia" w:cstheme="minorBidi"/>
              <w:noProof/>
              <w:lang w:eastAsia="en-AU"/>
            </w:rPr>
          </w:pPr>
          <w:hyperlink w:anchor="_Toc148601543" w:history="1">
            <w:r w:rsidR="008F120F" w:rsidRPr="00290817">
              <w:rPr>
                <w:rStyle w:val="Hyperlink"/>
                <w:noProof/>
              </w:rPr>
              <w:t>2.1</w:t>
            </w:r>
            <w:r w:rsidR="008F120F">
              <w:rPr>
                <w:rFonts w:eastAsiaTheme="minorEastAsia" w:cstheme="minorBidi"/>
                <w:noProof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</w:rPr>
              <w:t>Ceduna, South Australia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_Toc148601543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4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6ED99C28" w14:textId="7BDC1075" w:rsidR="008F120F" w:rsidRDefault="00A51C36" w:rsidP="008F120F">
          <w:pPr>
            <w:pStyle w:val="TOC2"/>
            <w:rPr>
              <w:rFonts w:eastAsiaTheme="minorEastAsia" w:cstheme="minorBidi"/>
              <w:noProof/>
              <w:lang w:eastAsia="en-AU"/>
            </w:rPr>
          </w:pPr>
          <w:hyperlink w:anchor="_Toc148601544" w:history="1">
            <w:r w:rsidR="008F120F" w:rsidRPr="00290817">
              <w:rPr>
                <w:rStyle w:val="Hyperlink"/>
                <w:noProof/>
              </w:rPr>
              <w:t>2.2</w:t>
            </w:r>
            <w:r w:rsidR="008F120F">
              <w:rPr>
                <w:rFonts w:eastAsiaTheme="minorEastAsia" w:cstheme="minorBidi"/>
                <w:noProof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</w:rPr>
              <w:t>Bundaberg-Hervey Bay, Queensland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_Toc148601544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6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2D489D66" w14:textId="161F6658" w:rsidR="008F120F" w:rsidRDefault="00A51C36" w:rsidP="008F120F">
          <w:pPr>
            <w:pStyle w:val="TOC2"/>
            <w:rPr>
              <w:rFonts w:eastAsiaTheme="minorEastAsia" w:cstheme="minorBidi"/>
              <w:noProof/>
              <w:lang w:eastAsia="en-AU"/>
            </w:rPr>
          </w:pPr>
          <w:hyperlink w:anchor="_Toc148601545" w:history="1">
            <w:r w:rsidR="008F120F" w:rsidRPr="00290817">
              <w:rPr>
                <w:rStyle w:val="Hyperlink"/>
                <w:noProof/>
              </w:rPr>
              <w:t>2.3</w:t>
            </w:r>
            <w:r w:rsidR="008F120F">
              <w:rPr>
                <w:rFonts w:eastAsiaTheme="minorEastAsia" w:cstheme="minorBidi"/>
                <w:noProof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</w:rPr>
              <w:t>East Kimberley, Western Australia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_Toc148601545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7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55CB1710" w14:textId="4C2CC969" w:rsidR="008F120F" w:rsidRDefault="00A51C36" w:rsidP="008F120F">
          <w:pPr>
            <w:pStyle w:val="TOC2"/>
            <w:rPr>
              <w:rFonts w:eastAsiaTheme="minorEastAsia" w:cstheme="minorBidi"/>
              <w:noProof/>
              <w:lang w:eastAsia="en-AU"/>
            </w:rPr>
          </w:pPr>
          <w:hyperlink w:anchor="_Toc148601546" w:history="1">
            <w:r w:rsidR="008F120F" w:rsidRPr="00290817">
              <w:rPr>
                <w:rStyle w:val="Hyperlink"/>
                <w:noProof/>
              </w:rPr>
              <w:t>2.4</w:t>
            </w:r>
            <w:r w:rsidR="008F120F">
              <w:rPr>
                <w:rFonts w:eastAsiaTheme="minorEastAsia" w:cstheme="minorBidi"/>
                <w:noProof/>
                <w:lang w:eastAsia="en-AU"/>
              </w:rPr>
              <w:tab/>
            </w:r>
            <w:r w:rsidR="008F120F" w:rsidRPr="00290817">
              <w:rPr>
                <w:rStyle w:val="Hyperlink"/>
                <w:noProof/>
              </w:rPr>
              <w:t>Goldfields, Western Australia</w:t>
            </w:r>
            <w:r w:rsidR="008F120F">
              <w:rPr>
                <w:noProof/>
                <w:webHidden/>
              </w:rPr>
              <w:tab/>
            </w:r>
            <w:r w:rsidR="008F120F">
              <w:rPr>
                <w:noProof/>
                <w:webHidden/>
              </w:rPr>
              <w:fldChar w:fldCharType="begin"/>
            </w:r>
            <w:r w:rsidR="008F120F">
              <w:rPr>
                <w:noProof/>
                <w:webHidden/>
              </w:rPr>
              <w:instrText xml:space="preserve"> PAGEREF _Toc148601546 \h </w:instrText>
            </w:r>
            <w:r w:rsidR="008F120F">
              <w:rPr>
                <w:noProof/>
                <w:webHidden/>
              </w:rPr>
            </w:r>
            <w:r w:rsidR="008F120F">
              <w:rPr>
                <w:noProof/>
                <w:webHidden/>
              </w:rPr>
              <w:fldChar w:fldCharType="separate"/>
            </w:r>
            <w:r w:rsidR="008F120F">
              <w:rPr>
                <w:noProof/>
                <w:webHidden/>
              </w:rPr>
              <w:t>9</w:t>
            </w:r>
            <w:r w:rsidR="008F120F">
              <w:rPr>
                <w:noProof/>
                <w:webHidden/>
              </w:rPr>
              <w:fldChar w:fldCharType="end"/>
            </w:r>
          </w:hyperlink>
        </w:p>
        <w:p w14:paraId="547F6A13" w14:textId="7ECCE729" w:rsidR="007D6D46" w:rsidRPr="009D0A21" w:rsidRDefault="005E3D51" w:rsidP="006359B6">
          <w:pPr>
            <w:pStyle w:val="TOC1"/>
          </w:pPr>
          <w:r w:rsidRPr="009D0A21">
            <w:fldChar w:fldCharType="end"/>
          </w:r>
        </w:p>
      </w:sdtContent>
    </w:sdt>
    <w:p w14:paraId="592E9A42" w14:textId="77777777" w:rsidR="00F12C8E" w:rsidRPr="009D0A21" w:rsidRDefault="00F12C8E" w:rsidP="00CB2E67">
      <w:pPr>
        <w:sectPr w:rsidR="00F12C8E" w:rsidRPr="009D0A21" w:rsidSect="005F3A4C">
          <w:headerReference w:type="default" r:id="rId13"/>
          <w:pgSz w:w="11906" w:h="16838" w:code="9"/>
          <w:pgMar w:top="1276" w:right="851" w:bottom="1418" w:left="1701" w:header="709" w:footer="811" w:gutter="0"/>
          <w:pgNumType w:fmt="lowerRoman" w:start="1"/>
          <w:cols w:space="708"/>
          <w:docGrid w:linePitch="360"/>
        </w:sectPr>
      </w:pPr>
    </w:p>
    <w:p w14:paraId="7D923C37" w14:textId="31EDA2A5" w:rsidR="00614B93" w:rsidRDefault="0090046B" w:rsidP="000A7E8B">
      <w:pPr>
        <w:pStyle w:val="Heading1"/>
      </w:pPr>
      <w:bookmarkStart w:id="0" w:name="_Toc148601540"/>
      <w:r w:rsidRPr="000A7E8B">
        <w:lastRenderedPageBreak/>
        <w:t>Introduction</w:t>
      </w:r>
      <w:bookmarkEnd w:id="0"/>
    </w:p>
    <w:p w14:paraId="26B20DD4" w14:textId="38F0AA0A" w:rsidR="00F10F5D" w:rsidRDefault="00F10F5D" w:rsidP="00F10F5D">
      <w:r>
        <w:t xml:space="preserve">CIRCA </w:t>
      </w:r>
      <w:r w:rsidR="005E0052">
        <w:t>was</w:t>
      </w:r>
      <w:r>
        <w:t xml:space="preserve"> contracted by the Department of Health &amp; Aged Care (</w:t>
      </w:r>
      <w:r w:rsidR="00653BE6">
        <w:t>the Department</w:t>
      </w:r>
      <w:r>
        <w:t xml:space="preserve">) to review the draft Grant Opportunity Guidelines (GOGs) which have been developed to fund new and support existing alcohol and other drug (AOD) treatment services in the regions of </w:t>
      </w:r>
      <w:r w:rsidRPr="00F474B2">
        <w:t>Ceduna, South Australia; Bundaberg-Hervey Bay, Queensland; East Kimberley, Western Australia; and Goldfields, Western Australia.</w:t>
      </w:r>
    </w:p>
    <w:p w14:paraId="3F67B8AC" w14:textId="5D959C47" w:rsidR="007B1986" w:rsidRDefault="00F10F5D" w:rsidP="002C0077">
      <w:pPr>
        <w:rPr>
          <w:lang w:val="en-US"/>
        </w:rPr>
      </w:pPr>
      <w:r>
        <w:t>This aspect of the project involved c</w:t>
      </w:r>
      <w:r w:rsidRPr="00F10F5D">
        <w:t xml:space="preserve">onsultations with key </w:t>
      </w:r>
      <w:r w:rsidRPr="005E0052">
        <w:t xml:space="preserve">national, </w:t>
      </w:r>
      <w:r w:rsidR="00BE511A" w:rsidRPr="005E0052">
        <w:t>state,</w:t>
      </w:r>
      <w:r w:rsidRPr="005E0052">
        <w:t xml:space="preserve"> and local community</w:t>
      </w:r>
      <w:r w:rsidRPr="00F10F5D">
        <w:t xml:space="preserve"> stakeholders</w:t>
      </w:r>
      <w:r w:rsidR="00BE511A">
        <w:t xml:space="preserve"> across the four regions</w:t>
      </w:r>
      <w:r w:rsidR="004B3D1A">
        <w:t>.</w:t>
      </w:r>
      <w:r w:rsidR="00BE511A">
        <w:t xml:space="preserve"> </w:t>
      </w:r>
      <w:bookmarkStart w:id="1" w:name="_Hlk148599314"/>
      <w:r w:rsidR="002C0077">
        <w:rPr>
          <w:lang w:val="en-US"/>
        </w:rPr>
        <w:t xml:space="preserve">This consultation outcomes report outlines the key findings from the consultations, and </w:t>
      </w:r>
      <w:r w:rsidR="001C4823">
        <w:rPr>
          <w:lang w:val="en-US"/>
        </w:rPr>
        <w:t xml:space="preserve">the specific findings that are relevant to each community. </w:t>
      </w:r>
    </w:p>
    <w:p w14:paraId="5DFBAE78" w14:textId="116CF16E" w:rsidR="002C0077" w:rsidRDefault="001C4823" w:rsidP="002C0077">
      <w:pPr>
        <w:rPr>
          <w:lang w:val="en-US"/>
        </w:rPr>
      </w:pPr>
      <w:r>
        <w:rPr>
          <w:lang w:val="en-US"/>
        </w:rPr>
        <w:t xml:space="preserve">An in-depth final report </w:t>
      </w:r>
      <w:r w:rsidR="00F26413">
        <w:rPr>
          <w:lang w:val="en-US"/>
        </w:rPr>
        <w:t>will then be developed and delivered to the Department. This report will</w:t>
      </w:r>
      <w:r>
        <w:rPr>
          <w:lang w:val="en-US"/>
        </w:rPr>
        <w:t xml:space="preserve"> detail</w:t>
      </w:r>
      <w:r w:rsidR="00F26413">
        <w:rPr>
          <w:lang w:val="en-US"/>
        </w:rPr>
        <w:t xml:space="preserve"> the</w:t>
      </w:r>
      <w:r>
        <w:rPr>
          <w:lang w:val="en-US"/>
        </w:rPr>
        <w:t xml:space="preserve"> methodology, additional findings, and recommendations</w:t>
      </w:r>
      <w:r w:rsidR="00F26413">
        <w:rPr>
          <w:lang w:val="en-US"/>
        </w:rPr>
        <w:t xml:space="preserve"> and other considerations suggested from the consultations. </w:t>
      </w:r>
    </w:p>
    <w:p w14:paraId="0C304BF8" w14:textId="2F2F5F1A" w:rsidR="003E039D" w:rsidRDefault="003E039D" w:rsidP="003E039D">
      <w:pPr>
        <w:pStyle w:val="Heading2"/>
        <w:rPr>
          <w:lang w:val="en-US"/>
        </w:rPr>
      </w:pPr>
      <w:bookmarkStart w:id="2" w:name="_Toc148601541"/>
      <w:bookmarkEnd w:id="1"/>
      <w:r>
        <w:rPr>
          <w:lang w:val="en-US"/>
        </w:rPr>
        <w:t>Consultations</w:t>
      </w:r>
      <w:bookmarkEnd w:id="2"/>
    </w:p>
    <w:p w14:paraId="2A2C4B8B" w14:textId="5C6D6AE2" w:rsidR="003501B0" w:rsidRDefault="003501B0" w:rsidP="003501B0">
      <w:r>
        <w:t xml:space="preserve">Consultations were conducted </w:t>
      </w:r>
      <w:r w:rsidR="003B590C">
        <w:t>across</w:t>
      </w:r>
      <w:r>
        <w:t xml:space="preserve"> three levels: national, state, and local, to capture a variety of viewpoints. The </w:t>
      </w:r>
      <w:r w:rsidR="00F8192F">
        <w:t xml:space="preserve">consultations and broad cohort of stakeholders are outlined in </w:t>
      </w:r>
      <w:r w:rsidR="00F8192F">
        <w:fldChar w:fldCharType="begin"/>
      </w:r>
      <w:r w:rsidR="00F8192F">
        <w:instrText xml:space="preserve"> REF _Ref137560255 \h </w:instrText>
      </w:r>
      <w:r w:rsidR="00F8192F">
        <w:fldChar w:fldCharType="separate"/>
      </w:r>
      <w:r w:rsidR="008D47EC">
        <w:t xml:space="preserve">Table </w:t>
      </w:r>
      <w:r w:rsidR="008D47EC">
        <w:rPr>
          <w:noProof/>
        </w:rPr>
        <w:t>1</w:t>
      </w:r>
      <w:r w:rsidR="00F8192F">
        <w:fldChar w:fldCharType="end"/>
      </w:r>
      <w:r w:rsidR="00F8192F">
        <w:t xml:space="preserve"> below.</w:t>
      </w:r>
    </w:p>
    <w:p w14:paraId="6939A7BA" w14:textId="14C2270F" w:rsidR="003E039D" w:rsidRDefault="003E039D" w:rsidP="003E039D">
      <w:pPr>
        <w:pStyle w:val="TableFigureChartTitle"/>
        <w:rPr>
          <w:color w:val="595959" w:themeColor="text2" w:themeShade="BF"/>
        </w:rPr>
      </w:pPr>
      <w:bookmarkStart w:id="3" w:name="_Ref137560255"/>
      <w:r w:rsidRPr="001E1FB9">
        <w:rPr>
          <w:color w:val="595959" w:themeColor="text2" w:themeShade="BF"/>
        </w:rPr>
        <w:t xml:space="preserve">Table </w:t>
      </w:r>
      <w:r w:rsidR="008D47EC" w:rsidRPr="001E1FB9">
        <w:rPr>
          <w:color w:val="595959" w:themeColor="text2" w:themeShade="BF"/>
        </w:rPr>
        <w:fldChar w:fldCharType="begin"/>
      </w:r>
      <w:r w:rsidR="008D47EC" w:rsidRPr="001E1FB9">
        <w:rPr>
          <w:color w:val="595959" w:themeColor="text2" w:themeShade="BF"/>
        </w:rPr>
        <w:instrText xml:space="preserve"> SEQ Table \* ARABIC </w:instrText>
      </w:r>
      <w:r w:rsidR="008D47EC" w:rsidRPr="001E1FB9">
        <w:rPr>
          <w:color w:val="595959" w:themeColor="text2" w:themeShade="BF"/>
        </w:rPr>
        <w:fldChar w:fldCharType="separate"/>
      </w:r>
      <w:r w:rsidR="008D47EC" w:rsidRPr="001E1FB9">
        <w:rPr>
          <w:noProof/>
          <w:color w:val="595959" w:themeColor="text2" w:themeShade="BF"/>
        </w:rPr>
        <w:t>1</w:t>
      </w:r>
      <w:r w:rsidR="008D47EC" w:rsidRPr="001E1FB9">
        <w:rPr>
          <w:noProof/>
          <w:color w:val="595959" w:themeColor="text2" w:themeShade="BF"/>
        </w:rPr>
        <w:fldChar w:fldCharType="end"/>
      </w:r>
      <w:bookmarkEnd w:id="3"/>
      <w:r w:rsidRPr="001E1FB9">
        <w:rPr>
          <w:color w:val="595959" w:themeColor="text2" w:themeShade="BF"/>
        </w:rPr>
        <w:t>: Participating consultation stakeholders</w:t>
      </w:r>
    </w:p>
    <w:tbl>
      <w:tblPr>
        <w:tblStyle w:val="GridTable4-Accent1"/>
        <w:tblW w:w="94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57"/>
        <w:gridCol w:w="4989"/>
        <w:gridCol w:w="1531"/>
      </w:tblGrid>
      <w:tr w:rsidR="00B46A56" w:rsidRPr="00FF73A6" w14:paraId="5378A285" w14:textId="77777777" w:rsidTr="00B46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DA291C" w:themeFill="background2"/>
          </w:tcPr>
          <w:p w14:paraId="3FF6B809" w14:textId="29AB2F9B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FFFFFF" w:themeColor="background1"/>
              </w:rPr>
            </w:pPr>
            <w:r w:rsidRPr="00B46A56">
              <w:rPr>
                <w:color w:val="FFFFFF" w:themeColor="background1"/>
              </w:rPr>
              <w:t>Level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291C" w:themeFill="background2"/>
          </w:tcPr>
          <w:p w14:paraId="76FF04F6" w14:textId="3A091186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46A56">
              <w:rPr>
                <w:color w:val="FFFFFF" w:themeColor="background1"/>
              </w:rPr>
              <w:t>Region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291C" w:themeFill="background2"/>
          </w:tcPr>
          <w:p w14:paraId="306E4D73" w14:textId="4AB9C947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46A56">
              <w:rPr>
                <w:color w:val="FFFFFF" w:themeColor="background1"/>
              </w:rPr>
              <w:t>Participating stakeholders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DA291C" w:themeFill="background2"/>
          </w:tcPr>
          <w:p w14:paraId="129E06D4" w14:textId="21214222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46A56">
              <w:rPr>
                <w:color w:val="FFFFFF" w:themeColor="background1"/>
              </w:rPr>
              <w:t># participants</w:t>
            </w:r>
          </w:p>
        </w:tc>
      </w:tr>
      <w:tr w:rsidR="00B46A56" w:rsidRPr="00FF73A6" w14:paraId="68CAC59C" w14:textId="77777777" w:rsidTr="00B46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FBCFC2" w:themeFill="accent1" w:themeFillTint="66"/>
          </w:tcPr>
          <w:p w14:paraId="55FFA84C" w14:textId="29DF7023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4BE85F99" w14:textId="77777777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vAlign w:val="center"/>
          </w:tcPr>
          <w:p w14:paraId="2CA85151" w14:textId="12D3B26A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NIAA and DSS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50445702" w14:textId="6CC3AE29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10</w:t>
            </w:r>
          </w:p>
        </w:tc>
      </w:tr>
      <w:tr w:rsidR="00B46A56" w:rsidRPr="00FF73A6" w14:paraId="6E57C130" w14:textId="77777777" w:rsidTr="00B46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shd w:val="clear" w:color="auto" w:fill="FBCFC2" w:themeFill="accent1" w:themeFillTint="66"/>
          </w:tcPr>
          <w:p w14:paraId="460BE25D" w14:textId="2F62DD3C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50F7EAD1" w14:textId="77777777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51F83661" w14:textId="5E705663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NACCHO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A4B1B01" w14:textId="29FD45BE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2</w:t>
            </w:r>
          </w:p>
        </w:tc>
      </w:tr>
      <w:tr w:rsidR="00B46A56" w:rsidRPr="00FF73A6" w14:paraId="2AC268D8" w14:textId="77777777" w:rsidTr="00B46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D6EBD0" w:themeFill="accent3" w:themeFillTint="66"/>
          </w:tcPr>
          <w:p w14:paraId="379B47BF" w14:textId="3A9FC606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EAF5E7" w:themeFill="accent3" w:themeFillTint="33"/>
            <w:vAlign w:val="center"/>
          </w:tcPr>
          <w:p w14:paraId="5B1C4739" w14:textId="02436E36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Ceduna, SA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AF5E7" w:themeFill="accent3" w:themeFillTint="33"/>
            <w:vAlign w:val="center"/>
          </w:tcPr>
          <w:p w14:paraId="66E53191" w14:textId="16AEF18E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AOD Peak, AOD expert, State Health Dept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EAF5E7" w:themeFill="accent3" w:themeFillTint="33"/>
            <w:vAlign w:val="center"/>
          </w:tcPr>
          <w:p w14:paraId="01AB7C0B" w14:textId="7469649C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3</w:t>
            </w:r>
          </w:p>
        </w:tc>
      </w:tr>
      <w:tr w:rsidR="00B46A56" w:rsidRPr="00FF73A6" w14:paraId="03DB1CF5" w14:textId="77777777" w:rsidTr="00B46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6EBD0" w:themeFill="accent3" w:themeFillTint="66"/>
          </w:tcPr>
          <w:p w14:paraId="7F3CFECF" w14:textId="00F66FC2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</w:t>
            </w:r>
          </w:p>
        </w:tc>
        <w:tc>
          <w:tcPr>
            <w:tcW w:w="1757" w:type="dxa"/>
            <w:vAlign w:val="center"/>
          </w:tcPr>
          <w:p w14:paraId="620841F5" w14:textId="6FE7B2EE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Bundaberg-Hervey Bay, QLD</w:t>
            </w:r>
          </w:p>
        </w:tc>
        <w:tc>
          <w:tcPr>
            <w:tcW w:w="4989" w:type="dxa"/>
            <w:vAlign w:val="center"/>
          </w:tcPr>
          <w:p w14:paraId="71D75075" w14:textId="5075830A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AOD Peak, AOD expert, State Health Dept, Aboriginal Health Peak, Australian Government Department of Health and Aged Care (State Office of QLD)</w:t>
            </w:r>
          </w:p>
        </w:tc>
        <w:tc>
          <w:tcPr>
            <w:tcW w:w="1531" w:type="dxa"/>
            <w:vAlign w:val="center"/>
          </w:tcPr>
          <w:p w14:paraId="6C368D64" w14:textId="0A45A5AB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6</w:t>
            </w:r>
          </w:p>
        </w:tc>
      </w:tr>
      <w:tr w:rsidR="00B46A56" w:rsidRPr="00FF73A6" w14:paraId="18A798F9" w14:textId="77777777" w:rsidTr="00B46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6EBD0" w:themeFill="accent3" w:themeFillTint="66"/>
          </w:tcPr>
          <w:p w14:paraId="07F29E93" w14:textId="4EE87AB2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</w:t>
            </w:r>
          </w:p>
        </w:tc>
        <w:tc>
          <w:tcPr>
            <w:tcW w:w="1757" w:type="dxa"/>
            <w:shd w:val="clear" w:color="auto" w:fill="EAF5E7" w:themeFill="accent3" w:themeFillTint="33"/>
            <w:vAlign w:val="center"/>
          </w:tcPr>
          <w:p w14:paraId="01BA3064" w14:textId="26C83FD6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East Kimberley, WA</w:t>
            </w:r>
          </w:p>
        </w:tc>
        <w:tc>
          <w:tcPr>
            <w:tcW w:w="4989" w:type="dxa"/>
            <w:shd w:val="clear" w:color="auto" w:fill="EAF5E7" w:themeFill="accent3" w:themeFillTint="33"/>
            <w:vAlign w:val="center"/>
          </w:tcPr>
          <w:p w14:paraId="5EDF2EA3" w14:textId="47310826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AOD Peak, State Health Dept, State Primary Health Network</w:t>
            </w:r>
          </w:p>
        </w:tc>
        <w:tc>
          <w:tcPr>
            <w:tcW w:w="1531" w:type="dxa"/>
            <w:shd w:val="clear" w:color="auto" w:fill="EAF5E7" w:themeFill="accent3" w:themeFillTint="33"/>
            <w:vAlign w:val="center"/>
          </w:tcPr>
          <w:p w14:paraId="330D19E8" w14:textId="2CF1414D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4</w:t>
            </w:r>
          </w:p>
        </w:tc>
      </w:tr>
      <w:tr w:rsidR="00B46A56" w:rsidRPr="00FF73A6" w14:paraId="42D0565B" w14:textId="77777777" w:rsidTr="00B46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shd w:val="clear" w:color="auto" w:fill="D6EBD0" w:themeFill="accent3" w:themeFillTint="66"/>
          </w:tcPr>
          <w:p w14:paraId="70A44B11" w14:textId="7F087DC2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State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9E0B75F" w14:textId="6B45CA62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Goldfields, WA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6CE79C70" w14:textId="3F127AC3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 xml:space="preserve">AOD Peak, State Health Dept, Aboriginal Health Peak, State Primary Health Network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C69683B" w14:textId="3E62F8F2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5</w:t>
            </w:r>
          </w:p>
        </w:tc>
      </w:tr>
      <w:tr w:rsidR="00B46A56" w:rsidRPr="00FF73A6" w14:paraId="3AD9D869" w14:textId="77777777" w:rsidTr="00B46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C9EBF4" w:themeFill="accent5" w:themeFillTint="66"/>
          </w:tcPr>
          <w:p w14:paraId="4D8DC05E" w14:textId="4C51373C" w:rsidR="00B46A56" w:rsidRPr="00FF73A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Local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E4F5F9" w:themeFill="accent5" w:themeFillTint="33"/>
            <w:vAlign w:val="center"/>
          </w:tcPr>
          <w:p w14:paraId="5219B1C9" w14:textId="6F72030A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Ceduna, SA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4F5F9" w:themeFill="accent5" w:themeFillTint="33"/>
            <w:vAlign w:val="center"/>
          </w:tcPr>
          <w:p w14:paraId="3EC64B7B" w14:textId="42FC6654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ACCHO representative, Aboriginal leaders, PHN representative, Empowered Community representatives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E4F5F9" w:themeFill="accent5" w:themeFillTint="33"/>
            <w:vAlign w:val="center"/>
          </w:tcPr>
          <w:p w14:paraId="584A70E5" w14:textId="75F52AD0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7</w:t>
            </w:r>
          </w:p>
        </w:tc>
      </w:tr>
      <w:tr w:rsidR="00B46A56" w:rsidRPr="00FF73A6" w14:paraId="1B406AEC" w14:textId="77777777" w:rsidTr="00B46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C9EBF4" w:themeFill="accent5" w:themeFillTint="66"/>
          </w:tcPr>
          <w:p w14:paraId="1CD59467" w14:textId="4E247FE4" w:rsid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Local</w:t>
            </w:r>
          </w:p>
        </w:tc>
        <w:tc>
          <w:tcPr>
            <w:tcW w:w="1757" w:type="dxa"/>
            <w:vAlign w:val="center"/>
          </w:tcPr>
          <w:p w14:paraId="48AAE2C6" w14:textId="03EB96FD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Bundaberg-Hervey Bay, QLD</w:t>
            </w:r>
          </w:p>
        </w:tc>
        <w:tc>
          <w:tcPr>
            <w:tcW w:w="4989" w:type="dxa"/>
            <w:vAlign w:val="center"/>
          </w:tcPr>
          <w:p w14:paraId="5ECA97FA" w14:textId="67EE7609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ACCHO representative, Aboriginal leaders, PHN representative</w:t>
            </w:r>
          </w:p>
        </w:tc>
        <w:tc>
          <w:tcPr>
            <w:tcW w:w="1531" w:type="dxa"/>
            <w:vAlign w:val="center"/>
          </w:tcPr>
          <w:p w14:paraId="1D3527B1" w14:textId="597851AA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4</w:t>
            </w:r>
          </w:p>
        </w:tc>
      </w:tr>
      <w:tr w:rsidR="00B46A56" w:rsidRPr="00FF73A6" w14:paraId="201A258E" w14:textId="77777777" w:rsidTr="00B46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C9EBF4" w:themeFill="accent5" w:themeFillTint="66"/>
          </w:tcPr>
          <w:p w14:paraId="0CA2215D" w14:textId="3C805E58" w:rsid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Local</w:t>
            </w:r>
          </w:p>
        </w:tc>
        <w:tc>
          <w:tcPr>
            <w:tcW w:w="1757" w:type="dxa"/>
            <w:shd w:val="clear" w:color="auto" w:fill="E4F5F9" w:themeFill="accent5" w:themeFillTint="33"/>
            <w:vAlign w:val="center"/>
          </w:tcPr>
          <w:p w14:paraId="42E6AC53" w14:textId="000C213C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East Kimberley, WA</w:t>
            </w:r>
          </w:p>
        </w:tc>
        <w:tc>
          <w:tcPr>
            <w:tcW w:w="4989" w:type="dxa"/>
            <w:shd w:val="clear" w:color="auto" w:fill="E4F5F9" w:themeFill="accent5" w:themeFillTint="33"/>
            <w:vAlign w:val="center"/>
          </w:tcPr>
          <w:p w14:paraId="266DC731" w14:textId="42332916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ACCHO representatives, Empowered Community representatives, PHN representatives, Aboriginal leaders</w:t>
            </w:r>
          </w:p>
        </w:tc>
        <w:tc>
          <w:tcPr>
            <w:tcW w:w="1531" w:type="dxa"/>
            <w:shd w:val="clear" w:color="auto" w:fill="E4F5F9" w:themeFill="accent5" w:themeFillTint="33"/>
            <w:vAlign w:val="center"/>
          </w:tcPr>
          <w:p w14:paraId="5C7F70E0" w14:textId="77E1DA5E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6</w:t>
            </w:r>
          </w:p>
        </w:tc>
      </w:tr>
      <w:tr w:rsidR="00B46A56" w:rsidRPr="00FF73A6" w14:paraId="1C88E6A8" w14:textId="77777777" w:rsidTr="00B46A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  <w:shd w:val="clear" w:color="auto" w:fill="C9EBF4" w:themeFill="accent5" w:themeFillTint="66"/>
          </w:tcPr>
          <w:p w14:paraId="04C4A64C" w14:textId="05D5751B" w:rsid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Local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072C65B0" w14:textId="6C63AC8C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Goldfields, WA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14:paraId="4D45CDA1" w14:textId="3FBC0776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 xml:space="preserve">ACCHO representatives, PHN representative, Aboriginal leaders 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9EE7847" w14:textId="2E8352C4" w:rsidR="00B46A5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46A56">
              <w:rPr>
                <w:color w:val="000000" w:themeColor="text1"/>
              </w:rPr>
              <w:t>6</w:t>
            </w:r>
          </w:p>
        </w:tc>
      </w:tr>
      <w:tr w:rsidR="00B46A56" w:rsidRPr="00FF73A6" w14:paraId="655762C7" w14:textId="77777777" w:rsidTr="00B46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DA291C" w:themeFill="background2"/>
          </w:tcPr>
          <w:p w14:paraId="0E3C6A9E" w14:textId="33AC308E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rPr>
                <w:color w:val="FFFFFF" w:themeColor="background1"/>
              </w:rPr>
            </w:pPr>
            <w:r w:rsidRPr="00B46A56">
              <w:rPr>
                <w:color w:val="FFFFFF" w:themeColor="background1"/>
              </w:rPr>
              <w:t>Total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DA291C" w:themeFill="background2"/>
          </w:tcPr>
          <w:p w14:paraId="3ED2DF0B" w14:textId="77777777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DA291C" w:themeFill="background2"/>
          </w:tcPr>
          <w:p w14:paraId="3AC387AB" w14:textId="77777777" w:rsidR="00FF73A6" w:rsidRPr="00B46A56" w:rsidRDefault="00FF73A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DA291C" w:themeFill="background2"/>
          </w:tcPr>
          <w:p w14:paraId="7A38851B" w14:textId="6D383185" w:rsidR="00FF73A6" w:rsidRPr="00B46A56" w:rsidRDefault="00B46A56" w:rsidP="00B46A56">
            <w:pPr>
              <w:pStyle w:val="TableFigureChartTitle"/>
              <w:pBdr>
                <w:top w:val="none" w:sz="0" w:space="0" w:color="auto"/>
              </w:pBdr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46A56">
              <w:rPr>
                <w:color w:val="FFFFFF" w:themeColor="background1"/>
              </w:rPr>
              <w:t>53</w:t>
            </w:r>
          </w:p>
        </w:tc>
      </w:tr>
    </w:tbl>
    <w:p w14:paraId="4F94282E" w14:textId="77777777" w:rsidR="00FF73A6" w:rsidRDefault="00FF73A6" w:rsidP="003E039D">
      <w:pPr>
        <w:pStyle w:val="TableFigureChartTitle"/>
        <w:rPr>
          <w:color w:val="595959" w:themeColor="text2" w:themeShade="BF"/>
        </w:rPr>
      </w:pPr>
    </w:p>
    <w:p w14:paraId="42089C4B" w14:textId="77777777" w:rsidR="00FF73A6" w:rsidRDefault="00FF73A6" w:rsidP="003E039D">
      <w:pPr>
        <w:pStyle w:val="TableFigureChartTitle"/>
        <w:rPr>
          <w:color w:val="595959" w:themeColor="text2" w:themeShade="BF"/>
        </w:rPr>
      </w:pPr>
    </w:p>
    <w:p w14:paraId="734BF88E" w14:textId="77777777" w:rsidR="00FF73A6" w:rsidRDefault="00FF73A6" w:rsidP="003E039D">
      <w:pPr>
        <w:pStyle w:val="TableFigureChartTitle"/>
        <w:rPr>
          <w:color w:val="595959" w:themeColor="text2" w:themeShade="BF"/>
        </w:rPr>
      </w:pPr>
    </w:p>
    <w:p w14:paraId="035B2B58" w14:textId="77777777" w:rsidR="00FF73A6" w:rsidRPr="001E1FB9" w:rsidRDefault="00FF73A6" w:rsidP="003E039D">
      <w:pPr>
        <w:pStyle w:val="TableFigureChartTitle"/>
        <w:rPr>
          <w:color w:val="595959" w:themeColor="text2" w:themeShade="BF"/>
        </w:rPr>
      </w:pPr>
    </w:p>
    <w:p w14:paraId="3AAFBA21" w14:textId="544CFA3A" w:rsidR="00D51EDF" w:rsidRDefault="00F30231" w:rsidP="00BD12A6">
      <w:pPr>
        <w:pStyle w:val="Heading1"/>
      </w:pPr>
      <w:bookmarkStart w:id="4" w:name="_Toc148601542"/>
      <w:r>
        <w:lastRenderedPageBreak/>
        <w:t xml:space="preserve">Key </w:t>
      </w:r>
      <w:r w:rsidR="00D51EDF" w:rsidRPr="00BD12A6">
        <w:t>Findings</w:t>
      </w:r>
      <w:bookmarkEnd w:id="4"/>
    </w:p>
    <w:p w14:paraId="7573EFCB" w14:textId="43F922AC" w:rsidR="009A07CF" w:rsidRDefault="009A07CF" w:rsidP="009A07CF">
      <w:r>
        <w:t xml:space="preserve">While state and local consultations focussed on each region to understand the localised context and specific needs of each region, there were some key findings </w:t>
      </w:r>
      <w:r w:rsidR="0064397A">
        <w:t>uncovered that are</w:t>
      </w:r>
      <w:r>
        <w:t xml:space="preserve"> </w:t>
      </w:r>
      <w:r w:rsidR="003E78EF">
        <w:t xml:space="preserve">relevant across regions. These findings were either gathered through the national stakeholder consultations with </w:t>
      </w:r>
      <w:r w:rsidR="004409EA" w:rsidRPr="004409EA">
        <w:t xml:space="preserve">National Indigenous Australians Agency </w:t>
      </w:r>
      <w:r w:rsidR="004409EA">
        <w:t>(</w:t>
      </w:r>
      <w:r w:rsidR="003E78EF">
        <w:t>NIAA</w:t>
      </w:r>
      <w:r w:rsidR="004409EA">
        <w:t>)</w:t>
      </w:r>
      <w:r w:rsidR="003E78EF">
        <w:t>, D</w:t>
      </w:r>
      <w:r w:rsidR="004409EA">
        <w:t xml:space="preserve">epartment of </w:t>
      </w:r>
      <w:r w:rsidR="003E78EF">
        <w:t>S</w:t>
      </w:r>
      <w:r w:rsidR="004409EA">
        <w:t xml:space="preserve">ocial </w:t>
      </w:r>
      <w:r w:rsidR="003E78EF">
        <w:t>S</w:t>
      </w:r>
      <w:r w:rsidR="004409EA">
        <w:t>ervice</w:t>
      </w:r>
      <w:r w:rsidR="004D7D71">
        <w:t>s</w:t>
      </w:r>
      <w:r w:rsidR="004409EA">
        <w:t xml:space="preserve"> (DSS)</w:t>
      </w:r>
      <w:r w:rsidR="003E78EF">
        <w:t xml:space="preserve">, and </w:t>
      </w:r>
      <w:r w:rsidR="004409EA">
        <w:t>t</w:t>
      </w:r>
      <w:r w:rsidR="004409EA" w:rsidRPr="004409EA">
        <w:t>he National Aboriginal Community Controlled Health Organisation</w:t>
      </w:r>
      <w:r w:rsidR="004409EA">
        <w:t xml:space="preserve"> (</w:t>
      </w:r>
      <w:r w:rsidR="004D7D71">
        <w:t>NACCHO</w:t>
      </w:r>
      <w:r w:rsidR="004409EA">
        <w:t>)</w:t>
      </w:r>
      <w:r w:rsidR="003E78EF">
        <w:t>, or from state and local discussions that spoke of broad</w:t>
      </w:r>
      <w:r w:rsidR="0064397A">
        <w:t>er</w:t>
      </w:r>
      <w:r w:rsidR="003E78EF">
        <w:t xml:space="preserve"> findings.</w:t>
      </w:r>
      <w:r w:rsidR="00FE29C2">
        <w:t xml:space="preserve"> </w:t>
      </w:r>
      <w:r w:rsidR="006A4E3F">
        <w:t>Localised</w:t>
      </w:r>
      <w:r w:rsidR="00FE29C2">
        <w:t xml:space="preserve"> findings relevant to each of the four regions </w:t>
      </w:r>
      <w:r w:rsidR="00390A1D">
        <w:t>are then</w:t>
      </w:r>
      <w:r w:rsidR="00FE29C2">
        <w:t xml:space="preserve"> outlined, focussing on the AOD context of the region, eligibility criteria for the grant and activities to be proposed</w:t>
      </w:r>
      <w:r w:rsidR="00390A1D">
        <w:t>,</w:t>
      </w:r>
      <w:r w:rsidR="00FE29C2">
        <w:t xml:space="preserve"> the cultural appropriateness of the </w:t>
      </w:r>
      <w:r w:rsidR="00390A1D">
        <w:t>grant, and</w:t>
      </w:r>
      <w:r w:rsidR="00FE29C2">
        <w:t xml:space="preserve"> the process for application. </w:t>
      </w:r>
      <w:r w:rsidR="003E78EF">
        <w:t xml:space="preserve"> </w:t>
      </w:r>
    </w:p>
    <w:p w14:paraId="5AFDFCCD" w14:textId="653416A2" w:rsidR="00FA14AF" w:rsidRDefault="00FA14AF" w:rsidP="00830450">
      <w:pPr>
        <w:pStyle w:val="Bulletlist"/>
      </w:pPr>
      <w:r>
        <w:t>Overall, stakeholders</w:t>
      </w:r>
      <w:r w:rsidR="006A4E3F">
        <w:t xml:space="preserve"> across regions</w:t>
      </w:r>
      <w:r>
        <w:t xml:space="preserve"> reported </w:t>
      </w:r>
      <w:r w:rsidRPr="00FA14AF">
        <w:rPr>
          <w:b/>
          <w:bCs/>
        </w:rPr>
        <w:t>that the context of AOD issues and service provision in each of the communities has not improved since the last round of consultations in 2021</w:t>
      </w:r>
      <w:r>
        <w:t xml:space="preserve">. In some cases, there were anecdotal reports that the situation has worsened. </w:t>
      </w:r>
    </w:p>
    <w:p w14:paraId="35941A0C" w14:textId="6CDBD1A6" w:rsidR="00830450" w:rsidRDefault="00194945" w:rsidP="00830450">
      <w:pPr>
        <w:pStyle w:val="Bulletlist"/>
      </w:pPr>
      <w:r>
        <w:t xml:space="preserve">There is </w:t>
      </w:r>
      <w:r w:rsidRPr="009E1104">
        <w:rPr>
          <w:b/>
          <w:bCs/>
        </w:rPr>
        <w:t>general frustration across all levels</w:t>
      </w:r>
      <w:r w:rsidR="0064397A" w:rsidRPr="009E1104">
        <w:rPr>
          <w:b/>
          <w:bCs/>
        </w:rPr>
        <w:t xml:space="preserve"> and stakeholders</w:t>
      </w:r>
      <w:r w:rsidRPr="009E1104">
        <w:rPr>
          <w:b/>
          <w:bCs/>
        </w:rPr>
        <w:t xml:space="preserve"> around grant funding mechanisms, and government consultation</w:t>
      </w:r>
      <w:r w:rsidR="0064397A" w:rsidRPr="009E1104">
        <w:rPr>
          <w:b/>
          <w:bCs/>
        </w:rPr>
        <w:t>s</w:t>
      </w:r>
      <w:r w:rsidR="0064397A">
        <w:t xml:space="preserve"> which do not result in action or change. </w:t>
      </w:r>
      <w:r w:rsidR="002D3818">
        <w:t>There are also reports of duplication in funding from state, federal, and other funding bodies such as NIAA. Stakeholders recommend</w:t>
      </w:r>
      <w:r w:rsidR="00CB1B89">
        <w:t>ed</w:t>
      </w:r>
      <w:r w:rsidR="002D3818">
        <w:t xml:space="preserve"> that an assessment of this funding is undertaken, to ensure there is collaboration and connection, and</w:t>
      </w:r>
      <w:r w:rsidR="00A774B0">
        <w:t xml:space="preserve"> so</w:t>
      </w:r>
      <w:r w:rsidR="002D3818">
        <w:t xml:space="preserve"> gaps in funding can also be identified. </w:t>
      </w:r>
    </w:p>
    <w:p w14:paraId="326B7A62" w14:textId="0B49372A" w:rsidR="00830450" w:rsidRDefault="0064397A" w:rsidP="00830450">
      <w:pPr>
        <w:pStyle w:val="Bulletlist"/>
      </w:pPr>
      <w:r>
        <w:t xml:space="preserve">It was raised in </w:t>
      </w:r>
      <w:r w:rsidR="003E039D">
        <w:t>a number of</w:t>
      </w:r>
      <w:r>
        <w:t xml:space="preserve"> consultation</w:t>
      </w:r>
      <w:r w:rsidR="003E039D">
        <w:t xml:space="preserve"> interviews</w:t>
      </w:r>
      <w:r>
        <w:t xml:space="preserve"> that </w:t>
      </w:r>
      <w:r w:rsidRPr="009E1104">
        <w:rPr>
          <w:b/>
          <w:bCs/>
        </w:rPr>
        <w:t>n</w:t>
      </w:r>
      <w:r w:rsidR="00830450" w:rsidRPr="009E1104">
        <w:rPr>
          <w:b/>
          <w:bCs/>
        </w:rPr>
        <w:t xml:space="preserve">ot all </w:t>
      </w:r>
      <w:r w:rsidR="00376E53" w:rsidRPr="009E1104">
        <w:rPr>
          <w:b/>
          <w:bCs/>
        </w:rPr>
        <w:t xml:space="preserve">Aboriginal Organisations are registered under </w:t>
      </w:r>
      <w:r w:rsidR="00653BE6">
        <w:rPr>
          <w:b/>
          <w:bCs/>
        </w:rPr>
        <w:t xml:space="preserve">the </w:t>
      </w:r>
      <w:r w:rsidR="00376E53" w:rsidRPr="009E1104">
        <w:rPr>
          <w:b/>
          <w:bCs/>
        </w:rPr>
        <w:t>O</w:t>
      </w:r>
      <w:r w:rsidR="00653BE6">
        <w:rPr>
          <w:b/>
          <w:bCs/>
        </w:rPr>
        <w:t xml:space="preserve">ffice of the </w:t>
      </w:r>
      <w:r w:rsidR="00376E53" w:rsidRPr="009E1104">
        <w:rPr>
          <w:b/>
          <w:bCs/>
        </w:rPr>
        <w:t>R</w:t>
      </w:r>
      <w:r w:rsidR="00653BE6">
        <w:rPr>
          <w:b/>
          <w:bCs/>
        </w:rPr>
        <w:t xml:space="preserve">egistrar of </w:t>
      </w:r>
      <w:r w:rsidR="00376E53" w:rsidRPr="009E1104">
        <w:rPr>
          <w:b/>
          <w:bCs/>
        </w:rPr>
        <w:t>I</w:t>
      </w:r>
      <w:r w:rsidR="00653BE6">
        <w:rPr>
          <w:b/>
          <w:bCs/>
        </w:rPr>
        <w:t xml:space="preserve">ndigenous </w:t>
      </w:r>
      <w:r w:rsidRPr="009E1104">
        <w:rPr>
          <w:b/>
          <w:bCs/>
        </w:rPr>
        <w:t>C</w:t>
      </w:r>
      <w:r w:rsidR="00653BE6">
        <w:rPr>
          <w:b/>
          <w:bCs/>
        </w:rPr>
        <w:t>orporations (ORIC)</w:t>
      </w:r>
      <w:r>
        <w:t xml:space="preserve">, which should be considered when articulating the eligibility criteria for grant applications. </w:t>
      </w:r>
      <w:r w:rsidR="00180E5C">
        <w:t xml:space="preserve">Stakeholders also suggested </w:t>
      </w:r>
      <w:r w:rsidR="00180E5C" w:rsidRPr="009E1104">
        <w:t>that</w:t>
      </w:r>
      <w:r w:rsidR="00180E5C" w:rsidRPr="009E1104">
        <w:rPr>
          <w:b/>
          <w:bCs/>
        </w:rPr>
        <w:t xml:space="preserve"> </w:t>
      </w:r>
      <w:r w:rsidR="00180E5C" w:rsidRPr="009E1104">
        <w:t>there should be</w:t>
      </w:r>
      <w:r w:rsidR="00180E5C" w:rsidRPr="009E1104">
        <w:rPr>
          <w:b/>
          <w:bCs/>
        </w:rPr>
        <w:t xml:space="preserve"> more explicit reference to A</w:t>
      </w:r>
      <w:r w:rsidRPr="009E1104">
        <w:rPr>
          <w:b/>
          <w:bCs/>
        </w:rPr>
        <w:t xml:space="preserve">boriginal </w:t>
      </w:r>
      <w:r w:rsidR="00180E5C" w:rsidRPr="009E1104">
        <w:rPr>
          <w:b/>
          <w:bCs/>
        </w:rPr>
        <w:t>C</w:t>
      </w:r>
      <w:r w:rsidRPr="009E1104">
        <w:rPr>
          <w:b/>
          <w:bCs/>
        </w:rPr>
        <w:t xml:space="preserve">ommunity </w:t>
      </w:r>
      <w:r w:rsidR="00180E5C" w:rsidRPr="009E1104">
        <w:rPr>
          <w:b/>
          <w:bCs/>
        </w:rPr>
        <w:t>C</w:t>
      </w:r>
      <w:r w:rsidRPr="009E1104">
        <w:rPr>
          <w:b/>
          <w:bCs/>
        </w:rPr>
        <w:t xml:space="preserve">ontrolled </w:t>
      </w:r>
      <w:r w:rsidR="00180E5C" w:rsidRPr="009E1104">
        <w:rPr>
          <w:b/>
          <w:bCs/>
        </w:rPr>
        <w:t>H</w:t>
      </w:r>
      <w:r w:rsidRPr="009E1104">
        <w:rPr>
          <w:b/>
          <w:bCs/>
        </w:rPr>
        <w:t xml:space="preserve">ealth </w:t>
      </w:r>
      <w:r w:rsidR="00180E5C" w:rsidRPr="009E1104">
        <w:rPr>
          <w:b/>
          <w:bCs/>
        </w:rPr>
        <w:t>O</w:t>
      </w:r>
      <w:r w:rsidRPr="009E1104">
        <w:rPr>
          <w:b/>
          <w:bCs/>
        </w:rPr>
        <w:t>rganisation</w:t>
      </w:r>
      <w:r w:rsidR="00180E5C" w:rsidRPr="009E1104">
        <w:rPr>
          <w:b/>
          <w:bCs/>
        </w:rPr>
        <w:t xml:space="preserve">s </w:t>
      </w:r>
      <w:r w:rsidRPr="009E1104">
        <w:rPr>
          <w:b/>
          <w:bCs/>
        </w:rPr>
        <w:t xml:space="preserve">(ACCHOs) </w:t>
      </w:r>
      <w:r w:rsidR="00180E5C" w:rsidRPr="009E1104">
        <w:rPr>
          <w:b/>
          <w:bCs/>
        </w:rPr>
        <w:t>in the eligibility criteria</w:t>
      </w:r>
      <w:r>
        <w:t>, and they recommend that n</w:t>
      </w:r>
      <w:r w:rsidR="00534526">
        <w:t>on-ACCHOs</w:t>
      </w:r>
      <w:r w:rsidR="00653BE6">
        <w:t xml:space="preserve"> that are applying</w:t>
      </w:r>
      <w:r w:rsidR="00534526">
        <w:t xml:space="preserve"> must have a significant partnership (with a letter of support or </w:t>
      </w:r>
      <w:r w:rsidR="00A774B0">
        <w:t xml:space="preserve">Memorandum </w:t>
      </w:r>
      <w:r w:rsidR="00534526">
        <w:t>o</w:t>
      </w:r>
      <w:r w:rsidR="00A774B0">
        <w:t xml:space="preserve">f </w:t>
      </w:r>
      <w:r w:rsidR="00534526">
        <w:t>U</w:t>
      </w:r>
      <w:r w:rsidR="00A774B0">
        <w:t>nderstanding</w:t>
      </w:r>
      <w:r w:rsidR="00534526">
        <w:t xml:space="preserve">) with an ACCHO.  </w:t>
      </w:r>
    </w:p>
    <w:p w14:paraId="1EF8E786" w14:textId="3A4DAE55" w:rsidR="009E1104" w:rsidRDefault="0051312D" w:rsidP="009E1104">
      <w:pPr>
        <w:pStyle w:val="Bulletlist"/>
      </w:pPr>
      <w:r>
        <w:t xml:space="preserve">Some stakeholders raised the </w:t>
      </w:r>
      <w:r w:rsidRPr="00A01F5E">
        <w:rPr>
          <w:b/>
          <w:bCs/>
        </w:rPr>
        <w:t>i</w:t>
      </w:r>
      <w:r w:rsidR="009E1104" w:rsidRPr="00A01F5E">
        <w:rPr>
          <w:b/>
          <w:bCs/>
        </w:rPr>
        <w:t>ssue of ‘</w:t>
      </w:r>
      <w:r w:rsidRPr="00A01F5E">
        <w:rPr>
          <w:b/>
          <w:bCs/>
        </w:rPr>
        <w:t>b</w:t>
      </w:r>
      <w:r w:rsidR="009E1104" w:rsidRPr="00A01F5E">
        <w:rPr>
          <w:b/>
          <w:bCs/>
        </w:rPr>
        <w:t>lack</w:t>
      </w:r>
      <w:r w:rsidRPr="00A01F5E">
        <w:rPr>
          <w:b/>
          <w:bCs/>
        </w:rPr>
        <w:t xml:space="preserve"> </w:t>
      </w:r>
      <w:r w:rsidR="009E1104" w:rsidRPr="00A01F5E">
        <w:rPr>
          <w:b/>
          <w:bCs/>
        </w:rPr>
        <w:t>cladding’</w:t>
      </w:r>
      <w:r w:rsidR="00A01F5E">
        <w:rPr>
          <w:b/>
          <w:bCs/>
        </w:rPr>
        <w:t xml:space="preserve"> in some regions</w:t>
      </w:r>
      <w:r>
        <w:t>, where</w:t>
      </w:r>
      <w:r w:rsidR="00594FE6">
        <w:t xml:space="preserve"> non-Aboriginal</w:t>
      </w:r>
      <w:r>
        <w:t xml:space="preserve"> or</w:t>
      </w:r>
      <w:r w:rsidR="00594FE6">
        <w:t xml:space="preserve">ganisations identify as being at least 51% </w:t>
      </w:r>
      <w:r w:rsidR="00A01F5E">
        <w:t xml:space="preserve">Aboriginal-owned or </w:t>
      </w:r>
      <w:r w:rsidR="00E11EAE">
        <w:t>controlled, to</w:t>
      </w:r>
      <w:r w:rsidR="00A01F5E">
        <w:t xml:space="preserve"> take advantage of benefits</w:t>
      </w:r>
      <w:r w:rsidR="00A774B0">
        <w:t xml:space="preserve"> or be awarded funding specifically targeting Aboriginal organisations and communities</w:t>
      </w:r>
      <w:r w:rsidR="00A01F5E">
        <w:t>. Stakeholders recommend</w:t>
      </w:r>
      <w:r w:rsidR="00CB1B89">
        <w:t>ed</w:t>
      </w:r>
      <w:r w:rsidR="00A01F5E">
        <w:t xml:space="preserve"> this is mitigated in the selection of grant </w:t>
      </w:r>
      <w:r w:rsidR="00A51C88">
        <w:t>awardees and</w:t>
      </w:r>
      <w:r w:rsidR="00A01F5E">
        <w:t xml:space="preserve"> addressed in the eligibility criteria. </w:t>
      </w:r>
    </w:p>
    <w:p w14:paraId="716AF117" w14:textId="2AF7F0CF" w:rsidR="00830450" w:rsidRDefault="009E1104" w:rsidP="00830450">
      <w:pPr>
        <w:pStyle w:val="Bulletlist"/>
      </w:pPr>
      <w:r>
        <w:t>Further, participants raised that to be</w:t>
      </w:r>
      <w:r w:rsidR="00830450">
        <w:t xml:space="preserve"> eligible for funding, organisations must be able to show they have </w:t>
      </w:r>
      <w:r w:rsidR="00830450" w:rsidRPr="009E1104">
        <w:rPr>
          <w:b/>
          <w:bCs/>
        </w:rPr>
        <w:t>meaningful connections with the community</w:t>
      </w:r>
      <w:r w:rsidR="00830450">
        <w:t xml:space="preserve">, and a successful history of working with </w:t>
      </w:r>
      <w:r w:rsidR="00A774B0">
        <w:t xml:space="preserve">local </w:t>
      </w:r>
      <w:r w:rsidR="00830450">
        <w:t xml:space="preserve">Aboriginal and Torres Strait Islander people living within the region. </w:t>
      </w:r>
    </w:p>
    <w:p w14:paraId="5AF80CD5" w14:textId="1E8A64F6" w:rsidR="009E1104" w:rsidRDefault="009E1104" w:rsidP="00830450">
      <w:pPr>
        <w:pStyle w:val="Bulletlist"/>
      </w:pPr>
      <w:r>
        <w:t>Participants also raised</w:t>
      </w:r>
      <w:r w:rsidR="00A774B0">
        <w:t xml:space="preserve"> a concern about</w:t>
      </w:r>
      <w:r>
        <w:t xml:space="preserve"> </w:t>
      </w:r>
      <w:r w:rsidR="00A774B0">
        <w:t>the</w:t>
      </w:r>
      <w:r>
        <w:t xml:space="preserve"> </w:t>
      </w:r>
      <w:r w:rsidRPr="009E1104">
        <w:rPr>
          <w:b/>
          <w:bCs/>
        </w:rPr>
        <w:t xml:space="preserve">absence of </w:t>
      </w:r>
      <w:r w:rsidR="00A774B0">
        <w:rPr>
          <w:b/>
          <w:bCs/>
        </w:rPr>
        <w:t xml:space="preserve">a </w:t>
      </w:r>
      <w:r w:rsidRPr="009E1104">
        <w:rPr>
          <w:b/>
          <w:bCs/>
        </w:rPr>
        <w:t>reference to Closing the Gap targets</w:t>
      </w:r>
      <w:r>
        <w:t xml:space="preserve"> in the </w:t>
      </w:r>
      <w:r w:rsidR="00A774B0">
        <w:t>GOGs and suggested that</w:t>
      </w:r>
      <w:r>
        <w:t xml:space="preserve"> applicants should be encouraged to have strong reference to and </w:t>
      </w:r>
      <w:r>
        <w:lastRenderedPageBreak/>
        <w:t xml:space="preserve">compliance with the targets. </w:t>
      </w:r>
      <w:r w:rsidR="00A774B0">
        <w:t xml:space="preserve">The GOGs themselves, and design of the grant, should also be </w:t>
      </w:r>
      <w:r w:rsidR="006A4E3F">
        <w:t>developed</w:t>
      </w:r>
      <w:r w:rsidR="00A774B0">
        <w:t xml:space="preserve"> in compliance with the targets. </w:t>
      </w:r>
    </w:p>
    <w:p w14:paraId="1E81348C" w14:textId="7CAC543D" w:rsidR="00E821BF" w:rsidRDefault="00E821BF" w:rsidP="000C6387">
      <w:pPr>
        <w:pStyle w:val="Bulletlist"/>
      </w:pPr>
      <w:r>
        <w:t xml:space="preserve">There is </w:t>
      </w:r>
      <w:r w:rsidRPr="006D1440">
        <w:rPr>
          <w:b/>
          <w:bCs/>
        </w:rPr>
        <w:t xml:space="preserve">concern </w:t>
      </w:r>
      <w:r w:rsidR="009E1104" w:rsidRPr="006D1440">
        <w:rPr>
          <w:b/>
          <w:bCs/>
        </w:rPr>
        <w:t>among</w:t>
      </w:r>
      <w:r w:rsidRPr="006D1440">
        <w:rPr>
          <w:b/>
          <w:bCs/>
        </w:rPr>
        <w:t xml:space="preserve"> the regions about large not-for-profits</w:t>
      </w:r>
      <w:r w:rsidR="006A4E3F">
        <w:rPr>
          <w:b/>
          <w:bCs/>
        </w:rPr>
        <w:t xml:space="preserve"> </w:t>
      </w:r>
      <w:r w:rsidRPr="006D1440">
        <w:rPr>
          <w:b/>
          <w:bCs/>
        </w:rPr>
        <w:t>applying for and being successful in the grant</w:t>
      </w:r>
      <w:r>
        <w:t xml:space="preserve">. </w:t>
      </w:r>
      <w:r w:rsidR="006A4E3F">
        <w:t xml:space="preserve">While they </w:t>
      </w:r>
      <w:r w:rsidR="006A4E3F" w:rsidRPr="006D1440">
        <w:rPr>
          <w:b/>
          <w:bCs/>
        </w:rPr>
        <w:t xml:space="preserve">have the capacity to apply for </w:t>
      </w:r>
      <w:r w:rsidR="006A4E3F">
        <w:rPr>
          <w:b/>
          <w:bCs/>
        </w:rPr>
        <w:t>funding</w:t>
      </w:r>
      <w:r w:rsidR="006A4E3F" w:rsidRPr="006D1440">
        <w:rPr>
          <w:b/>
          <w:bCs/>
        </w:rPr>
        <w:t xml:space="preserve">, </w:t>
      </w:r>
      <w:r w:rsidR="006A4E3F">
        <w:rPr>
          <w:b/>
          <w:bCs/>
        </w:rPr>
        <w:t>stakeholders suggest</w:t>
      </w:r>
      <w:r w:rsidR="00CB1B89">
        <w:rPr>
          <w:b/>
          <w:bCs/>
        </w:rPr>
        <w:t>ed</w:t>
      </w:r>
      <w:r w:rsidR="006A4E3F">
        <w:rPr>
          <w:b/>
          <w:bCs/>
        </w:rPr>
        <w:t xml:space="preserve"> they</w:t>
      </w:r>
      <w:r w:rsidR="006A4E3F" w:rsidRPr="006D1440">
        <w:rPr>
          <w:b/>
          <w:bCs/>
        </w:rPr>
        <w:t xml:space="preserve"> lack the local knowledge</w:t>
      </w:r>
      <w:r w:rsidR="006A4E3F">
        <w:rPr>
          <w:b/>
          <w:bCs/>
        </w:rPr>
        <w:t xml:space="preserve"> to appropriately deliver services.</w:t>
      </w:r>
      <w:r w:rsidR="006A4E3F" w:rsidRPr="006D1440">
        <w:rPr>
          <w:b/>
          <w:bCs/>
        </w:rPr>
        <w:t xml:space="preserve"> </w:t>
      </w:r>
      <w:r w:rsidR="006A4E3F">
        <w:t>Instead, it was recommended that s</w:t>
      </w:r>
      <w:r w:rsidR="009E1104">
        <w:t xml:space="preserve">maller organisations </w:t>
      </w:r>
      <w:r w:rsidR="006A4E3F">
        <w:t>are</w:t>
      </w:r>
      <w:r w:rsidR="009E1104">
        <w:t xml:space="preserve"> encouraged and supported to apply, either through meaningful partnership</w:t>
      </w:r>
      <w:r w:rsidR="006D1440">
        <w:t>s</w:t>
      </w:r>
      <w:r w:rsidR="009E1104">
        <w:t xml:space="preserve"> with larger organisations or </w:t>
      </w:r>
      <w:r w:rsidR="006D1440">
        <w:t xml:space="preserve">being provided the </w:t>
      </w:r>
      <w:r w:rsidR="009E1104">
        <w:t>support to</w:t>
      </w:r>
      <w:r w:rsidR="006D1440">
        <w:t xml:space="preserve"> apply and</w:t>
      </w:r>
      <w:r w:rsidR="009E1104">
        <w:t xml:space="preserve"> deliver </w:t>
      </w:r>
      <w:r w:rsidR="006D1440">
        <w:t xml:space="preserve">grant activities </w:t>
      </w:r>
      <w:r w:rsidR="009E1104">
        <w:t xml:space="preserve">themselves. </w:t>
      </w:r>
    </w:p>
    <w:p w14:paraId="6FD7CB1F" w14:textId="0511CAA7" w:rsidR="001218D2" w:rsidRDefault="001218D2" w:rsidP="001218D2">
      <w:pPr>
        <w:pStyle w:val="Bulletlist"/>
      </w:pPr>
      <w:r>
        <w:t xml:space="preserve">National representatives and </w:t>
      </w:r>
      <w:r w:rsidRPr="001218D2">
        <w:t xml:space="preserve">stakeholders across regions </w:t>
      </w:r>
      <w:r>
        <w:t xml:space="preserve">spoke about the </w:t>
      </w:r>
      <w:r w:rsidRPr="009E1104">
        <w:rPr>
          <w:b/>
          <w:bCs/>
        </w:rPr>
        <w:t>importance of holistic and alternative service provision and activities</w:t>
      </w:r>
      <w:r w:rsidR="00A774B0">
        <w:rPr>
          <w:b/>
          <w:bCs/>
        </w:rPr>
        <w:t xml:space="preserve"> in AOD treatment for Aboriginal and Torres Strait Islander peoples</w:t>
      </w:r>
      <w:r w:rsidR="00A774B0">
        <w:t>.</w:t>
      </w:r>
      <w:r>
        <w:t xml:space="preserve"> </w:t>
      </w:r>
      <w:r w:rsidR="00A774B0">
        <w:t>They suggest</w:t>
      </w:r>
      <w:r w:rsidR="00CB1B89">
        <w:t>ed</w:t>
      </w:r>
      <w:r>
        <w:t xml:space="preserve"> that these</w:t>
      </w:r>
      <w:r w:rsidR="00A774B0">
        <w:t xml:space="preserve"> approaches</w:t>
      </w:r>
      <w:r>
        <w:t xml:space="preserve"> should be encouraged through the GOGs</w:t>
      </w:r>
      <w:r w:rsidR="00A774B0">
        <w:t>, and the</w:t>
      </w:r>
      <w:r>
        <w:t xml:space="preserve"> </w:t>
      </w:r>
      <w:r w:rsidR="00F124C5">
        <w:t>K</w:t>
      </w:r>
      <w:r w:rsidR="00A51C88">
        <w:t xml:space="preserve">ey </w:t>
      </w:r>
      <w:r w:rsidR="00F124C5">
        <w:t>P</w:t>
      </w:r>
      <w:r w:rsidR="00A51C88">
        <w:t xml:space="preserve">erformance </w:t>
      </w:r>
      <w:r w:rsidR="00F124C5">
        <w:t>I</w:t>
      </w:r>
      <w:r w:rsidR="00A51C88">
        <w:t>ndicator</w:t>
      </w:r>
      <w:r w:rsidR="00F124C5">
        <w:t>s</w:t>
      </w:r>
      <w:r w:rsidR="00A51C88">
        <w:t xml:space="preserve"> (KPIs)</w:t>
      </w:r>
      <w:r w:rsidR="009E1104">
        <w:t xml:space="preserve"> and outcome indicators</w:t>
      </w:r>
      <w:r w:rsidR="00F124C5">
        <w:t xml:space="preserve"> should be flexible enough to support this</w:t>
      </w:r>
      <w:r w:rsidR="00A774B0">
        <w:t xml:space="preserve">. </w:t>
      </w:r>
    </w:p>
    <w:p w14:paraId="5596E23E" w14:textId="5166384C" w:rsidR="00EA58E7" w:rsidRPr="001218D2" w:rsidRDefault="00EA58E7" w:rsidP="001218D2">
      <w:pPr>
        <w:pStyle w:val="Bulletlist"/>
      </w:pPr>
      <w:r>
        <w:t xml:space="preserve">Participants across regions also </w:t>
      </w:r>
      <w:r w:rsidR="006A4E3F">
        <w:t>discussed</w:t>
      </w:r>
      <w:r>
        <w:t xml:space="preserve"> </w:t>
      </w:r>
      <w:r w:rsidRPr="00EA58E7">
        <w:rPr>
          <w:b/>
          <w:bCs/>
        </w:rPr>
        <w:t>the importance of including infrastructure and capital works as eligible</w:t>
      </w:r>
      <w:r>
        <w:rPr>
          <w:b/>
          <w:bCs/>
        </w:rPr>
        <w:t xml:space="preserve"> </w:t>
      </w:r>
      <w:r w:rsidRPr="00EA58E7">
        <w:t>in this grant.</w:t>
      </w:r>
      <w:r>
        <w:t xml:space="preserve"> Some stakeholders discussed the shortage of buildings for programs to be run out of</w:t>
      </w:r>
      <w:r w:rsidR="006A4E3F">
        <w:t xml:space="preserve"> in the regions</w:t>
      </w:r>
      <w:r>
        <w:t>, especially for residential rehabilitation services</w:t>
      </w:r>
      <w:r w:rsidR="006A4E3F">
        <w:t>. Other</w:t>
      </w:r>
      <w:r>
        <w:t xml:space="preserve"> </w:t>
      </w:r>
      <w:r w:rsidR="006A4E3F">
        <w:t>existing</w:t>
      </w:r>
      <w:r>
        <w:t xml:space="preserve"> infrastructure is</w:t>
      </w:r>
      <w:r w:rsidR="006A4E3F">
        <w:t xml:space="preserve"> reported as</w:t>
      </w:r>
      <w:r>
        <w:t xml:space="preserve"> old and needing ongoing maintenance. </w:t>
      </w:r>
    </w:p>
    <w:p w14:paraId="7DB9EE42" w14:textId="687BEE1C" w:rsidR="000C6387" w:rsidRDefault="00A774B0" w:rsidP="00194945">
      <w:pPr>
        <w:pStyle w:val="Bulletlist"/>
      </w:pPr>
      <w:r>
        <w:rPr>
          <w:b/>
          <w:bCs/>
        </w:rPr>
        <w:t xml:space="preserve">The consultation findings also revealed the importance of providing support to organisations when </w:t>
      </w:r>
      <w:r w:rsidR="005A3311" w:rsidRPr="00F607A9">
        <w:rPr>
          <w:b/>
          <w:bCs/>
        </w:rPr>
        <w:t>advertis</w:t>
      </w:r>
      <w:r>
        <w:rPr>
          <w:b/>
          <w:bCs/>
        </w:rPr>
        <w:t>ing</w:t>
      </w:r>
      <w:r w:rsidR="005F1E9C">
        <w:rPr>
          <w:b/>
          <w:bCs/>
        </w:rPr>
        <w:t xml:space="preserve"> the</w:t>
      </w:r>
      <w:r w:rsidR="005A3311" w:rsidRPr="00F607A9">
        <w:rPr>
          <w:b/>
          <w:bCs/>
        </w:rPr>
        <w:t xml:space="preserve"> Grant Connect opportunity</w:t>
      </w:r>
      <w:r>
        <w:rPr>
          <w:b/>
          <w:bCs/>
        </w:rPr>
        <w:t xml:space="preserve">. </w:t>
      </w:r>
      <w:r w:rsidR="005A3311">
        <w:t xml:space="preserve">Many Aboriginal organisations delivering these services are understaffed and </w:t>
      </w:r>
      <w:r w:rsidR="006A4E3F">
        <w:t>extremely busy and</w:t>
      </w:r>
      <w:r w:rsidR="005F1E9C">
        <w:t xml:space="preserve"> may not acknowledge notification emails from Grant Connect. Further,</w:t>
      </w:r>
      <w:r w:rsidR="005A3311">
        <w:t xml:space="preserve"> t</w:t>
      </w:r>
      <w:r w:rsidR="005F1E9C">
        <w:t xml:space="preserve">he relevant people </w:t>
      </w:r>
      <w:r w:rsidR="005D460F">
        <w:t xml:space="preserve">in an organisation </w:t>
      </w:r>
      <w:r w:rsidR="005F1E9C">
        <w:t>may not be signed up</w:t>
      </w:r>
      <w:r w:rsidR="005A3311">
        <w:t xml:space="preserve"> </w:t>
      </w:r>
      <w:r w:rsidR="005F1E9C">
        <w:t>for</w:t>
      </w:r>
      <w:r w:rsidR="005A3311">
        <w:t xml:space="preserve"> </w:t>
      </w:r>
      <w:r w:rsidR="001A7F6F">
        <w:t>Grant Connect</w:t>
      </w:r>
      <w:r w:rsidR="005F1E9C">
        <w:t xml:space="preserve"> emails</w:t>
      </w:r>
      <w:r w:rsidR="005A3311">
        <w:t xml:space="preserve">. </w:t>
      </w:r>
      <w:r>
        <w:t>Stakeholders suggested that f</w:t>
      </w:r>
      <w:r w:rsidR="005A3311">
        <w:t xml:space="preserve">orums </w:t>
      </w:r>
      <w:r w:rsidR="009E1104">
        <w:t>must</w:t>
      </w:r>
      <w:r w:rsidR="005A3311">
        <w:t xml:space="preserve"> be held, preferably in-person, to communicate the grant. </w:t>
      </w:r>
      <w:r w:rsidR="00AA1537">
        <w:t>NACCHO have contact with local organisations and ACCHOs and would be a useful conduit to communicat</w:t>
      </w:r>
      <w:r w:rsidR="00F607A9">
        <w:t>e</w:t>
      </w:r>
      <w:r w:rsidR="00AA1537">
        <w:t xml:space="preserve"> the opportunity</w:t>
      </w:r>
      <w:r w:rsidR="00F607A9">
        <w:t xml:space="preserve"> on the ground</w:t>
      </w:r>
      <w:r w:rsidR="00AA1537">
        <w:t xml:space="preserve">. </w:t>
      </w:r>
    </w:p>
    <w:p w14:paraId="4D853623" w14:textId="30A4F3A3" w:rsidR="002D3818" w:rsidRDefault="006A4E3F" w:rsidP="00194945">
      <w:pPr>
        <w:pStyle w:val="Bulletlist"/>
      </w:pPr>
      <w:r>
        <w:t>Many</w:t>
      </w:r>
      <w:r w:rsidR="003611E1">
        <w:t xml:space="preserve"> stakeholders </w:t>
      </w:r>
      <w:r>
        <w:t xml:space="preserve">also </w:t>
      </w:r>
      <w:r w:rsidR="003611E1">
        <w:t>highlighted that the</w:t>
      </w:r>
      <w:r w:rsidR="002D3818">
        <w:rPr>
          <w:b/>
          <w:bCs/>
        </w:rPr>
        <w:t xml:space="preserve"> GOGs must be written in plain English </w:t>
      </w:r>
      <w:r w:rsidR="002D3818" w:rsidRPr="002D3818">
        <w:t xml:space="preserve">to ensure equitable access to the application process and </w:t>
      </w:r>
      <w:r w:rsidR="002D3818">
        <w:t>ultimately the</w:t>
      </w:r>
      <w:r w:rsidR="002D3818" w:rsidRPr="002D3818">
        <w:t xml:space="preserve"> grant funding.</w:t>
      </w:r>
      <w:r w:rsidR="002D3818">
        <w:rPr>
          <w:b/>
          <w:bCs/>
        </w:rPr>
        <w:t xml:space="preserve"> </w:t>
      </w:r>
    </w:p>
    <w:p w14:paraId="113D5C22" w14:textId="6B3013FC" w:rsidR="00D51EDF" w:rsidRPr="009A07CF" w:rsidRDefault="00F30231" w:rsidP="00D51EDF">
      <w:pPr>
        <w:pStyle w:val="Heading2"/>
        <w:rPr>
          <w:b w:val="0"/>
          <w:bCs w:val="0"/>
        </w:rPr>
      </w:pPr>
      <w:bookmarkStart w:id="5" w:name="_Toc148601543"/>
      <w:r w:rsidRPr="009A07CF">
        <w:rPr>
          <w:bCs w:val="0"/>
        </w:rPr>
        <w:t>Ceduna, South Australia</w:t>
      </w:r>
      <w:bookmarkEnd w:id="5"/>
    </w:p>
    <w:p w14:paraId="593A3007" w14:textId="02B92768" w:rsidR="000228FF" w:rsidRDefault="000228FF" w:rsidP="009A07CF">
      <w:pPr>
        <w:pStyle w:val="Heading3"/>
      </w:pPr>
      <w:r>
        <w:t xml:space="preserve">AOD </w:t>
      </w:r>
      <w:r w:rsidR="005E492B">
        <w:t>c</w:t>
      </w:r>
      <w:r>
        <w:t>ontext</w:t>
      </w:r>
      <w:r w:rsidR="005E492B">
        <w:t xml:space="preserve"> of the region</w:t>
      </w:r>
    </w:p>
    <w:p w14:paraId="510BC1D4" w14:textId="2FE556F8" w:rsidR="00076137" w:rsidRDefault="00076137" w:rsidP="00076137">
      <w:pPr>
        <w:pStyle w:val="Bulletlist"/>
      </w:pPr>
      <w:r>
        <w:t xml:space="preserve">Since the </w:t>
      </w:r>
      <w:r w:rsidR="00372FD6">
        <w:t>previous</w:t>
      </w:r>
      <w:r>
        <w:t xml:space="preserve"> consultations in Ceduna,</w:t>
      </w:r>
      <w:r w:rsidR="00A51C88">
        <w:t xml:space="preserve"> participants reported that</w:t>
      </w:r>
      <w:r>
        <w:t xml:space="preserve"> </w:t>
      </w:r>
      <w:r w:rsidRPr="00183868">
        <w:rPr>
          <w:b/>
          <w:bCs/>
        </w:rPr>
        <w:t xml:space="preserve">the AOD situation </w:t>
      </w:r>
      <w:r w:rsidR="00A51C88" w:rsidRPr="00183868">
        <w:rPr>
          <w:b/>
          <w:bCs/>
        </w:rPr>
        <w:t xml:space="preserve">in the region </w:t>
      </w:r>
      <w:r w:rsidRPr="00183868">
        <w:rPr>
          <w:b/>
          <w:bCs/>
        </w:rPr>
        <w:t>has remained the same, with anecdotal reports of issues worsening</w:t>
      </w:r>
      <w:r>
        <w:t xml:space="preserve">. </w:t>
      </w:r>
      <w:r w:rsidR="00372FD6">
        <w:t xml:space="preserve">Funding is needed, as the current support services are </w:t>
      </w:r>
      <w:r w:rsidR="00234C1D">
        <w:t xml:space="preserve">at capacity. </w:t>
      </w:r>
    </w:p>
    <w:p w14:paraId="6CF55CBD" w14:textId="6B499D55" w:rsidR="005E41E7" w:rsidRDefault="00A51C88" w:rsidP="00076137">
      <w:pPr>
        <w:pStyle w:val="Bulletlist"/>
      </w:pPr>
      <w:r>
        <w:t>Local stakeholders discussed the ways in which t</w:t>
      </w:r>
      <w:r w:rsidR="00CA1B93">
        <w:t xml:space="preserve">he </w:t>
      </w:r>
      <w:r w:rsidR="005E41E7" w:rsidRPr="00183868">
        <w:rPr>
          <w:b/>
          <w:bCs/>
        </w:rPr>
        <w:t xml:space="preserve">AOD needs of individuals in outer communities (Oak Valley, Yalata) </w:t>
      </w:r>
      <w:r w:rsidRPr="00183868">
        <w:rPr>
          <w:b/>
          <w:bCs/>
        </w:rPr>
        <w:t>increase the stress</w:t>
      </w:r>
      <w:r w:rsidR="005E41E7" w:rsidRPr="00183868">
        <w:rPr>
          <w:b/>
          <w:bCs/>
        </w:rPr>
        <w:t xml:space="preserve"> on </w:t>
      </w:r>
      <w:r w:rsidRPr="00183868">
        <w:rPr>
          <w:b/>
          <w:bCs/>
        </w:rPr>
        <w:t xml:space="preserve">the </w:t>
      </w:r>
      <w:r w:rsidR="005E41E7" w:rsidRPr="00183868">
        <w:rPr>
          <w:b/>
          <w:bCs/>
        </w:rPr>
        <w:t>service system within Ceduna</w:t>
      </w:r>
      <w:r>
        <w:t xml:space="preserve"> which is already stretched</w:t>
      </w:r>
      <w:r w:rsidR="006A4E3F">
        <w:t xml:space="preserve">. </w:t>
      </w:r>
    </w:p>
    <w:p w14:paraId="5F4800D0" w14:textId="77777777" w:rsidR="00A51C88" w:rsidRDefault="00CA1B93" w:rsidP="00076137">
      <w:pPr>
        <w:pStyle w:val="Bulletlist"/>
      </w:pPr>
      <w:r>
        <w:lastRenderedPageBreak/>
        <w:t xml:space="preserve">There are </w:t>
      </w:r>
      <w:r w:rsidRPr="00183868">
        <w:rPr>
          <w:b/>
          <w:bCs/>
        </w:rPr>
        <w:t>current g</w:t>
      </w:r>
      <w:r w:rsidR="005E41E7" w:rsidRPr="00183868">
        <w:rPr>
          <w:b/>
          <w:bCs/>
        </w:rPr>
        <w:t>aps in</w:t>
      </w:r>
      <w:r w:rsidR="00A51C88">
        <w:t>:</w:t>
      </w:r>
      <w:r w:rsidR="005E41E7">
        <w:t xml:space="preserve"> </w:t>
      </w:r>
    </w:p>
    <w:p w14:paraId="62BF4F7B" w14:textId="77777777" w:rsidR="00A51C88" w:rsidRDefault="005E41E7" w:rsidP="00965716">
      <w:pPr>
        <w:pStyle w:val="Bulletlist"/>
        <w:numPr>
          <w:ilvl w:val="1"/>
          <w:numId w:val="4"/>
        </w:numPr>
      </w:pPr>
      <w:r>
        <w:t>detoxification services</w:t>
      </w:r>
    </w:p>
    <w:p w14:paraId="30636CE2" w14:textId="77777777" w:rsidR="00A51C88" w:rsidRDefault="005E41E7" w:rsidP="00965716">
      <w:pPr>
        <w:pStyle w:val="Bulletlist"/>
        <w:numPr>
          <w:ilvl w:val="1"/>
          <w:numId w:val="4"/>
        </w:numPr>
      </w:pPr>
      <w:r>
        <w:t>post treatment service</w:t>
      </w:r>
      <w:r w:rsidR="00CA1B93">
        <w:t>s</w:t>
      </w:r>
    </w:p>
    <w:p w14:paraId="3264D789" w14:textId="77777777" w:rsidR="00A51C88" w:rsidRDefault="005E41E7" w:rsidP="00965716">
      <w:pPr>
        <w:pStyle w:val="Bulletlist"/>
        <w:numPr>
          <w:ilvl w:val="1"/>
          <w:numId w:val="4"/>
        </w:numPr>
      </w:pPr>
      <w:r w:rsidRPr="005E41E7">
        <w:t>local ‘on Country’ rehabilitation and rehabilitation infrastructure</w:t>
      </w:r>
    </w:p>
    <w:p w14:paraId="13925D1C" w14:textId="77777777" w:rsidR="00A51C88" w:rsidRDefault="005E41E7" w:rsidP="00965716">
      <w:pPr>
        <w:pStyle w:val="Bulletlist"/>
        <w:numPr>
          <w:ilvl w:val="1"/>
          <w:numId w:val="4"/>
        </w:numPr>
      </w:pPr>
      <w:r w:rsidRPr="005E41E7">
        <w:t>professionally qualified staff and clinicians</w:t>
      </w:r>
    </w:p>
    <w:p w14:paraId="742DE065" w14:textId="616AB708" w:rsidR="005E41E7" w:rsidRDefault="005E41E7" w:rsidP="00965716">
      <w:pPr>
        <w:pStyle w:val="Bulletlist"/>
        <w:numPr>
          <w:ilvl w:val="1"/>
          <w:numId w:val="4"/>
        </w:numPr>
      </w:pPr>
      <w:r w:rsidRPr="005E41E7">
        <w:t>accommodation to house AOD clientele</w:t>
      </w:r>
    </w:p>
    <w:p w14:paraId="28516AFD" w14:textId="039B0733" w:rsidR="000228FF" w:rsidRDefault="000228FF" w:rsidP="009A07CF">
      <w:pPr>
        <w:pStyle w:val="Heading3"/>
      </w:pPr>
      <w:r>
        <w:t xml:space="preserve">Eligibility </w:t>
      </w:r>
      <w:r w:rsidR="005E492B">
        <w:t>criteria for the grant</w:t>
      </w:r>
    </w:p>
    <w:p w14:paraId="18C334A1" w14:textId="004E2DFE" w:rsidR="002D2AF2" w:rsidRDefault="006A4E3F" w:rsidP="00A91D43">
      <w:pPr>
        <w:pStyle w:val="Bulletlist"/>
      </w:pPr>
      <w:r>
        <w:t>Some p</w:t>
      </w:r>
      <w:r w:rsidR="006D1440">
        <w:t xml:space="preserve">articipants </w:t>
      </w:r>
      <w:r>
        <w:t>noted</w:t>
      </w:r>
      <w:r w:rsidR="006D1440">
        <w:t xml:space="preserve"> that </w:t>
      </w:r>
      <w:r w:rsidR="002D2AF2" w:rsidRPr="006D1440">
        <w:rPr>
          <w:b/>
          <w:bCs/>
        </w:rPr>
        <w:t xml:space="preserve">Ceduna Hospital delivers </w:t>
      </w:r>
      <w:r w:rsidR="00DB4163" w:rsidRPr="006D1440">
        <w:rPr>
          <w:b/>
          <w:bCs/>
        </w:rPr>
        <w:t xml:space="preserve">the only </w:t>
      </w:r>
      <w:r w:rsidR="002D2AF2" w:rsidRPr="006D1440">
        <w:rPr>
          <w:b/>
          <w:bCs/>
        </w:rPr>
        <w:t>AOD treatment</w:t>
      </w:r>
      <w:r w:rsidR="00DB4163" w:rsidRPr="006D1440">
        <w:rPr>
          <w:b/>
          <w:bCs/>
        </w:rPr>
        <w:t xml:space="preserve"> in the region</w:t>
      </w:r>
      <w:r w:rsidR="002D2AF2">
        <w:t xml:space="preserve">, so, if possible, the eligibility criteria should cover them to apply for funding as well. </w:t>
      </w:r>
      <w:r w:rsidR="00A91D43">
        <w:t xml:space="preserve">Some local stakeholders also suggested that </w:t>
      </w:r>
      <w:r w:rsidR="00A91D43" w:rsidRPr="00183868">
        <w:rPr>
          <w:b/>
          <w:bCs/>
        </w:rPr>
        <w:t>sole traders</w:t>
      </w:r>
      <w:r>
        <w:rPr>
          <w:b/>
          <w:bCs/>
        </w:rPr>
        <w:t>,</w:t>
      </w:r>
      <w:r w:rsidR="00A91D43" w:rsidRPr="00183868">
        <w:rPr>
          <w:b/>
          <w:bCs/>
        </w:rPr>
        <w:t xml:space="preserve"> such as psychologists and psychiatrists, should be eligible</w:t>
      </w:r>
      <w:r w:rsidR="00A91D43">
        <w:t xml:space="preserve">, </w:t>
      </w:r>
      <w:r w:rsidR="001A47A5">
        <w:t xml:space="preserve">as well as small family businesses, </w:t>
      </w:r>
      <w:r w:rsidR="00A91D43">
        <w:t xml:space="preserve">as they are in high demand in the region and are key to delivering AOD services. </w:t>
      </w:r>
    </w:p>
    <w:p w14:paraId="3A09327A" w14:textId="35FBB569" w:rsidR="002D2AF2" w:rsidRDefault="00183868" w:rsidP="002D2AF2">
      <w:pPr>
        <w:pStyle w:val="Bulletlist"/>
      </w:pPr>
      <w:r>
        <w:t xml:space="preserve">Stakeholders </w:t>
      </w:r>
      <w:r w:rsidR="006A4E3F">
        <w:t>discussed the number of</w:t>
      </w:r>
      <w:r w:rsidRPr="00183868">
        <w:rPr>
          <w:b/>
          <w:bCs/>
        </w:rPr>
        <w:t xml:space="preserve"> organisations and groups delivering informal services</w:t>
      </w:r>
      <w:r w:rsidR="002D2AF2">
        <w:t xml:space="preserve"> in</w:t>
      </w:r>
      <w:r>
        <w:t xml:space="preserve"> the</w:t>
      </w:r>
      <w:r w:rsidR="002D2AF2">
        <w:t xml:space="preserve"> Ceduna region, including community groups, churches, </w:t>
      </w:r>
      <w:r w:rsidR="006A4E3F">
        <w:t xml:space="preserve">and </w:t>
      </w:r>
      <w:r w:rsidR="002D2AF2">
        <w:t>Nana’s groups</w:t>
      </w:r>
      <w:r w:rsidR="00DB4163">
        <w:t xml:space="preserve">. </w:t>
      </w:r>
      <w:r>
        <w:t>In the current version of the GOGs, these services m</w:t>
      </w:r>
      <w:r w:rsidR="00DB4163">
        <w:t>ay not be eligible</w:t>
      </w:r>
      <w:r>
        <w:t xml:space="preserve"> for funding,</w:t>
      </w:r>
      <w:r w:rsidR="00DB4163">
        <w:t xml:space="preserve"> but</w:t>
      </w:r>
      <w:r>
        <w:t xml:space="preserve"> stakeholders recommend that the</w:t>
      </w:r>
      <w:r w:rsidR="00DB4163">
        <w:t xml:space="preserve"> Department consider how they might be involved. </w:t>
      </w:r>
    </w:p>
    <w:p w14:paraId="4F72CC03" w14:textId="5FABF5E7" w:rsidR="00DB4163" w:rsidRDefault="00DB4163" w:rsidP="002D2AF2">
      <w:pPr>
        <w:pStyle w:val="Bulletlist"/>
      </w:pPr>
      <w:r w:rsidRPr="00183868">
        <w:rPr>
          <w:b/>
          <w:bCs/>
        </w:rPr>
        <w:t>Partnerships should be encouraged</w:t>
      </w:r>
      <w:r w:rsidR="006A4E3F">
        <w:rPr>
          <w:b/>
          <w:bCs/>
        </w:rPr>
        <w:t xml:space="preserve"> when applying for the grant. However, stakeholders suggest</w:t>
      </w:r>
      <w:r w:rsidR="00CB1B89">
        <w:rPr>
          <w:b/>
          <w:bCs/>
        </w:rPr>
        <w:t>ed</w:t>
      </w:r>
      <w:r w:rsidR="006A4E3F">
        <w:rPr>
          <w:b/>
          <w:bCs/>
        </w:rPr>
        <w:t xml:space="preserve"> that the partnerships should not </w:t>
      </w:r>
      <w:r w:rsidRPr="00183868">
        <w:rPr>
          <w:b/>
          <w:bCs/>
        </w:rPr>
        <w:t xml:space="preserve">just </w:t>
      </w:r>
      <w:r w:rsidR="006A4E3F">
        <w:rPr>
          <w:b/>
          <w:bCs/>
        </w:rPr>
        <w:t>include any</w:t>
      </w:r>
      <w:r w:rsidRPr="00183868">
        <w:rPr>
          <w:b/>
          <w:bCs/>
        </w:rPr>
        <w:t xml:space="preserve"> Aboriginal Organisation</w:t>
      </w:r>
      <w:r w:rsidR="006A4E3F">
        <w:rPr>
          <w:b/>
          <w:bCs/>
        </w:rPr>
        <w:t>,</w:t>
      </w:r>
      <w:r w:rsidRPr="00183868">
        <w:rPr>
          <w:b/>
          <w:bCs/>
        </w:rPr>
        <w:t xml:space="preserve"> but </w:t>
      </w:r>
      <w:r w:rsidR="00183868" w:rsidRPr="006A4E3F">
        <w:rPr>
          <w:b/>
          <w:bCs/>
          <w:u w:val="single"/>
        </w:rPr>
        <w:t>local</w:t>
      </w:r>
      <w:r w:rsidR="00183868" w:rsidRPr="00183868">
        <w:rPr>
          <w:b/>
          <w:bCs/>
        </w:rPr>
        <w:t xml:space="preserve"> </w:t>
      </w:r>
      <w:r w:rsidRPr="00183868">
        <w:rPr>
          <w:b/>
          <w:bCs/>
        </w:rPr>
        <w:t>Aboriginal Organisations</w:t>
      </w:r>
      <w:r w:rsidR="00183868">
        <w:t xml:space="preserve"> who understand the context of the region</w:t>
      </w:r>
      <w:r>
        <w:t xml:space="preserve">. </w:t>
      </w:r>
    </w:p>
    <w:p w14:paraId="234E1D0A" w14:textId="486090D1" w:rsidR="00DB4163" w:rsidRDefault="00183868" w:rsidP="00CB1B89">
      <w:pPr>
        <w:pStyle w:val="Bulletlist"/>
      </w:pPr>
      <w:r>
        <w:t>Within the GOGs, i</w:t>
      </w:r>
      <w:r w:rsidR="00A91D43">
        <w:t xml:space="preserve">nstead of labelling </w:t>
      </w:r>
      <w:r>
        <w:t xml:space="preserve">the target area </w:t>
      </w:r>
      <w:r w:rsidR="00A91D43">
        <w:t xml:space="preserve">as ‘Ceduna region and surrounding areas’, </w:t>
      </w:r>
      <w:r w:rsidR="00A91D43" w:rsidRPr="00CB1B89">
        <w:rPr>
          <w:b/>
          <w:bCs/>
        </w:rPr>
        <w:t>participants s</w:t>
      </w:r>
      <w:r w:rsidR="00DB4163" w:rsidRPr="00CB1B89">
        <w:rPr>
          <w:b/>
          <w:bCs/>
        </w:rPr>
        <w:t>uggest</w:t>
      </w:r>
      <w:r w:rsidR="00A91D43" w:rsidRPr="00CB1B89">
        <w:rPr>
          <w:b/>
          <w:bCs/>
        </w:rPr>
        <w:t xml:space="preserve">ed </w:t>
      </w:r>
      <w:r w:rsidR="00F51804" w:rsidRPr="00CB1B89">
        <w:rPr>
          <w:b/>
          <w:bCs/>
        </w:rPr>
        <w:t>using ‘</w:t>
      </w:r>
      <w:r w:rsidR="00DB4163" w:rsidRPr="00CB1B89">
        <w:rPr>
          <w:b/>
          <w:bCs/>
        </w:rPr>
        <w:t>Far West Coast Region</w:t>
      </w:r>
      <w:r w:rsidR="00F51804" w:rsidRPr="00CB1B89">
        <w:rPr>
          <w:b/>
          <w:bCs/>
        </w:rPr>
        <w:t>’</w:t>
      </w:r>
      <w:r w:rsidR="00A91D43">
        <w:t xml:space="preserve">, </w:t>
      </w:r>
      <w:r w:rsidR="00DB4163">
        <w:t xml:space="preserve">which </w:t>
      </w:r>
      <w:r w:rsidR="00A91D43">
        <w:t xml:space="preserve">is </w:t>
      </w:r>
      <w:r w:rsidR="00DB4163">
        <w:t xml:space="preserve">consistent </w:t>
      </w:r>
      <w:r w:rsidR="00A91D43">
        <w:t>with the terminology of</w:t>
      </w:r>
      <w:r w:rsidR="00DB4163">
        <w:t xml:space="preserve"> NIAA and A</w:t>
      </w:r>
      <w:r w:rsidR="006B31C5">
        <w:t xml:space="preserve">ustralian </w:t>
      </w:r>
      <w:r w:rsidR="00DB4163">
        <w:t>B</w:t>
      </w:r>
      <w:r w:rsidR="006B31C5">
        <w:t xml:space="preserve">ureau of </w:t>
      </w:r>
      <w:r w:rsidR="00DB4163">
        <w:t>S</w:t>
      </w:r>
      <w:r w:rsidR="006B31C5">
        <w:t>tatistics (ABS)</w:t>
      </w:r>
      <w:r w:rsidR="00DB4163">
        <w:t xml:space="preserve"> definition of the region. </w:t>
      </w:r>
    </w:p>
    <w:p w14:paraId="56823BB5" w14:textId="0DB3BC04" w:rsidR="000228FF" w:rsidRDefault="000228FF" w:rsidP="009A07CF">
      <w:pPr>
        <w:pStyle w:val="Heading3"/>
      </w:pPr>
      <w:r>
        <w:t>Cultural appropriateness</w:t>
      </w:r>
      <w:r w:rsidR="00856EF8">
        <w:t xml:space="preserve"> and involvement of community</w:t>
      </w:r>
    </w:p>
    <w:p w14:paraId="0BAA411C" w14:textId="762ED3A5" w:rsidR="008F6EF4" w:rsidRPr="008F6EF4" w:rsidRDefault="00195836" w:rsidP="008F6EF4">
      <w:pPr>
        <w:pStyle w:val="Bulletlist"/>
      </w:pPr>
      <w:r>
        <w:t xml:space="preserve">Consultations with local and state stakeholders revealed that the </w:t>
      </w:r>
      <w:r w:rsidRPr="00195836">
        <w:rPr>
          <w:b/>
          <w:bCs/>
        </w:rPr>
        <w:t>GOGs would be more culturally appropriate if they defined ‘significant role’</w:t>
      </w:r>
      <w:r>
        <w:t xml:space="preserve"> more clearly. There were recommendations that successful organisations should have identified Aboriginal positions and have a vision and mission statement that includes a role with the local Aboriginal communities. </w:t>
      </w:r>
    </w:p>
    <w:p w14:paraId="5D3979C0" w14:textId="2A5EECE5" w:rsidR="000228FF" w:rsidRDefault="000228FF" w:rsidP="009A07CF">
      <w:pPr>
        <w:pStyle w:val="Heading3"/>
      </w:pPr>
      <w:r>
        <w:t xml:space="preserve">Proposed </w:t>
      </w:r>
      <w:r w:rsidR="005E492B">
        <w:t xml:space="preserve">grant </w:t>
      </w:r>
      <w:r>
        <w:t xml:space="preserve">activities </w:t>
      </w:r>
    </w:p>
    <w:p w14:paraId="35B63ADC" w14:textId="49F35123" w:rsidR="008F6EF4" w:rsidRDefault="00176127" w:rsidP="008F6EF4">
      <w:pPr>
        <w:pStyle w:val="Bulletlist"/>
      </w:pPr>
      <w:r>
        <w:t xml:space="preserve">Participants reflected that the Department must </w:t>
      </w:r>
      <w:r w:rsidR="00DB4163">
        <w:t xml:space="preserve">be aware of </w:t>
      </w:r>
      <w:r>
        <w:t xml:space="preserve">the </w:t>
      </w:r>
      <w:r w:rsidR="00DB4163" w:rsidRPr="00176127">
        <w:rPr>
          <w:b/>
          <w:bCs/>
        </w:rPr>
        <w:t xml:space="preserve">transient </w:t>
      </w:r>
      <w:r w:rsidRPr="00176127">
        <w:rPr>
          <w:b/>
          <w:bCs/>
        </w:rPr>
        <w:t>nature of many Aboriginal people</w:t>
      </w:r>
      <w:r w:rsidR="00DB4163" w:rsidRPr="00176127">
        <w:rPr>
          <w:b/>
          <w:bCs/>
        </w:rPr>
        <w:t xml:space="preserve"> who are visiting</w:t>
      </w:r>
      <w:r w:rsidR="00830450" w:rsidRPr="00176127">
        <w:rPr>
          <w:b/>
          <w:bCs/>
        </w:rPr>
        <w:t xml:space="preserve"> the </w:t>
      </w:r>
      <w:r w:rsidRPr="00176127">
        <w:rPr>
          <w:b/>
          <w:bCs/>
        </w:rPr>
        <w:t>region and</w:t>
      </w:r>
      <w:r w:rsidR="00DB4163" w:rsidRPr="00176127">
        <w:rPr>
          <w:b/>
          <w:bCs/>
        </w:rPr>
        <w:t xml:space="preserve"> </w:t>
      </w:r>
      <w:r w:rsidRPr="00176127">
        <w:rPr>
          <w:b/>
          <w:bCs/>
        </w:rPr>
        <w:t xml:space="preserve">acknowledge that funded </w:t>
      </w:r>
      <w:r w:rsidR="00DB4163" w:rsidRPr="00176127">
        <w:rPr>
          <w:b/>
          <w:bCs/>
        </w:rPr>
        <w:t xml:space="preserve">activities need to be </w:t>
      </w:r>
      <w:r w:rsidR="00DB4163" w:rsidRPr="00176127">
        <w:rPr>
          <w:b/>
          <w:bCs/>
        </w:rPr>
        <w:lastRenderedPageBreak/>
        <w:t>able to provide for this</w:t>
      </w:r>
      <w:r w:rsidR="00DB4163">
        <w:t xml:space="preserve">. </w:t>
      </w:r>
      <w:r>
        <w:t>They suggested that s</w:t>
      </w:r>
      <w:r w:rsidR="00830450">
        <w:t xml:space="preserve">uccessful organisations </w:t>
      </w:r>
      <w:r>
        <w:t xml:space="preserve">should be able to </w:t>
      </w:r>
      <w:r w:rsidR="00830450">
        <w:t xml:space="preserve">provide services to people </w:t>
      </w:r>
      <w:r>
        <w:t>from</w:t>
      </w:r>
      <w:r w:rsidR="00830450">
        <w:t xml:space="preserve"> outside of the region. </w:t>
      </w:r>
    </w:p>
    <w:p w14:paraId="2FE73D4F" w14:textId="01B841D9" w:rsidR="005850D9" w:rsidRDefault="005850D9" w:rsidP="005850D9">
      <w:pPr>
        <w:pStyle w:val="Bulletlist"/>
      </w:pPr>
      <w:r>
        <w:t xml:space="preserve">Stakeholders reported that in the Ceduna region, there are instances of </w:t>
      </w:r>
      <w:r w:rsidRPr="005850D9">
        <w:rPr>
          <w:b/>
          <w:bCs/>
        </w:rPr>
        <w:t>different services treating the same clients without coordination or partnership</w:t>
      </w:r>
      <w:r>
        <w:t xml:space="preserve">, so </w:t>
      </w:r>
      <w:r w:rsidR="00381786">
        <w:t>many individuals</w:t>
      </w:r>
      <w:r>
        <w:t xml:space="preserve"> are</w:t>
      </w:r>
      <w:r w:rsidR="00381786">
        <w:t xml:space="preserve"> either</w:t>
      </w:r>
      <w:r>
        <w:t xml:space="preserve"> falling through the gaps or not being treated in an effective way. There were suggestions that funded organisations and ACCHOs should be linking in with the L</w:t>
      </w:r>
      <w:r w:rsidR="00695984">
        <w:t xml:space="preserve">ocal </w:t>
      </w:r>
      <w:r>
        <w:t>H</w:t>
      </w:r>
      <w:r w:rsidR="00695984">
        <w:t xml:space="preserve">ealth </w:t>
      </w:r>
      <w:r>
        <w:t>N</w:t>
      </w:r>
      <w:r w:rsidR="00695984">
        <w:t>etworks</w:t>
      </w:r>
      <w:r w:rsidR="00381786">
        <w:t xml:space="preserve"> and </w:t>
      </w:r>
      <w:r>
        <w:t>local GPs</w:t>
      </w:r>
      <w:r w:rsidR="00381786">
        <w:t xml:space="preserve"> to </w:t>
      </w:r>
      <w:r>
        <w:t>improv</w:t>
      </w:r>
      <w:r w:rsidR="00381786">
        <w:t>e</w:t>
      </w:r>
      <w:r>
        <w:t xml:space="preserve"> the continuum of care for individuals. </w:t>
      </w:r>
    </w:p>
    <w:p w14:paraId="158F5B3C" w14:textId="5FF19675" w:rsidR="00F30231" w:rsidRDefault="000228FF" w:rsidP="009A07CF">
      <w:pPr>
        <w:pStyle w:val="Heading3"/>
      </w:pPr>
      <w:r>
        <w:t>Funding</w:t>
      </w:r>
      <w:r w:rsidR="008137A4">
        <w:t xml:space="preserve"> amount and </w:t>
      </w:r>
      <w:r>
        <w:t>application process</w:t>
      </w:r>
    </w:p>
    <w:p w14:paraId="51BBF4AF" w14:textId="464793BC" w:rsidR="008F6EF4" w:rsidRPr="008F6EF4" w:rsidRDefault="00176127" w:rsidP="008F6EF4">
      <w:pPr>
        <w:pStyle w:val="Bulletlist"/>
      </w:pPr>
      <w:r>
        <w:t xml:space="preserve">Throughout consultations, there was </w:t>
      </w:r>
      <w:r w:rsidRPr="00176127">
        <w:rPr>
          <w:b/>
          <w:bCs/>
        </w:rPr>
        <w:t>s</w:t>
      </w:r>
      <w:r w:rsidR="00566AB4" w:rsidRPr="00176127">
        <w:rPr>
          <w:b/>
          <w:bCs/>
        </w:rPr>
        <w:t xml:space="preserve">ignificant criticism </w:t>
      </w:r>
      <w:r w:rsidRPr="00176127">
        <w:rPr>
          <w:b/>
          <w:bCs/>
        </w:rPr>
        <w:t>regarding</w:t>
      </w:r>
      <w:r w:rsidR="00566AB4" w:rsidRPr="00176127">
        <w:rPr>
          <w:b/>
          <w:bCs/>
        </w:rPr>
        <w:t xml:space="preserve"> the funding mechanism generally</w:t>
      </w:r>
      <w:r w:rsidR="00566AB4">
        <w:t xml:space="preserve">. </w:t>
      </w:r>
      <w:r>
        <w:t xml:space="preserve">In particular, participants noted the disconnected nature of funding, with </w:t>
      </w:r>
      <w:r w:rsidR="00566AB4">
        <w:t>many streams of funding coming from national, state, and other funding bodies</w:t>
      </w:r>
      <w:r w:rsidR="005850D9">
        <w:t xml:space="preserve"> such as NIAA</w:t>
      </w:r>
      <w:r>
        <w:t>.</w:t>
      </w:r>
      <w:r w:rsidR="00566AB4">
        <w:t xml:space="preserve"> </w:t>
      </w:r>
    </w:p>
    <w:p w14:paraId="3AFC9C09" w14:textId="0E0AAF20" w:rsidR="00F30231" w:rsidRPr="009A07CF" w:rsidRDefault="00F30231" w:rsidP="00F30231">
      <w:pPr>
        <w:pStyle w:val="Heading2"/>
        <w:rPr>
          <w:b w:val="0"/>
          <w:bCs w:val="0"/>
        </w:rPr>
      </w:pPr>
      <w:bookmarkStart w:id="6" w:name="_Toc148601544"/>
      <w:r w:rsidRPr="009A07CF">
        <w:rPr>
          <w:bCs w:val="0"/>
        </w:rPr>
        <w:t>Bundaberg-Hervey Bay, Queensland</w:t>
      </w:r>
      <w:bookmarkEnd w:id="6"/>
    </w:p>
    <w:p w14:paraId="67CD8C52" w14:textId="77777777" w:rsidR="005E492B" w:rsidRDefault="005E492B" w:rsidP="005E492B">
      <w:pPr>
        <w:pStyle w:val="Heading3"/>
      </w:pPr>
      <w:r>
        <w:t>AOD context of the region</w:t>
      </w:r>
    </w:p>
    <w:p w14:paraId="04876BAE" w14:textId="771E47A8" w:rsidR="00F51804" w:rsidRPr="00CA1B93" w:rsidRDefault="00F51804" w:rsidP="005850D9">
      <w:pPr>
        <w:pStyle w:val="Bulletlist"/>
      </w:pPr>
      <w:r>
        <w:t>Since the last consultations conducted in the community, participants report</w:t>
      </w:r>
      <w:r w:rsidR="00CB1B89">
        <w:t>ed</w:t>
      </w:r>
      <w:r>
        <w:t xml:space="preserve"> that t</w:t>
      </w:r>
      <w:r w:rsidR="00CA1B93">
        <w:t xml:space="preserve">here is a </w:t>
      </w:r>
      <w:r w:rsidR="00CA1B93" w:rsidRPr="00F51804">
        <w:rPr>
          <w:b/>
          <w:bCs/>
        </w:rPr>
        <w:t>new facility being built in Bundaberg to support withdrawal and rehabilitation needs</w:t>
      </w:r>
      <w:r w:rsidR="00CA1B93">
        <w:t xml:space="preserve"> in Wide Bay.</w:t>
      </w:r>
      <w:r>
        <w:t xml:space="preserve"> Aside from this, </w:t>
      </w:r>
      <w:r w:rsidRPr="005850D9">
        <w:rPr>
          <w:b/>
          <w:bCs/>
        </w:rPr>
        <w:t>the AOD context has not changed drastically nor improved</w:t>
      </w:r>
      <w:r w:rsidR="00381786">
        <w:t>, and there are still major gaps.</w:t>
      </w:r>
    </w:p>
    <w:p w14:paraId="45CC3A82" w14:textId="77777777" w:rsidR="005E492B" w:rsidRDefault="005E492B" w:rsidP="005E492B">
      <w:pPr>
        <w:pStyle w:val="Heading3"/>
      </w:pPr>
      <w:r>
        <w:t>Eligibility criteria for the grant</w:t>
      </w:r>
    </w:p>
    <w:p w14:paraId="43469BE8" w14:textId="591ABDA6" w:rsidR="005D460F" w:rsidRDefault="005D460F" w:rsidP="00FE5767">
      <w:pPr>
        <w:pStyle w:val="Bulletlist"/>
      </w:pPr>
      <w:r>
        <w:t>Participants representing the Bundaberg-Hervey Bay region noted that</w:t>
      </w:r>
      <w:r w:rsidR="00F51804">
        <w:t xml:space="preserve"> in their application for funding,</w:t>
      </w:r>
      <w:r>
        <w:t xml:space="preserve"> </w:t>
      </w:r>
      <w:r w:rsidRPr="00F51804">
        <w:rPr>
          <w:b/>
          <w:bCs/>
        </w:rPr>
        <w:t>applicants should demonstrate</w:t>
      </w:r>
      <w:r w:rsidR="006028D1">
        <w:t>:</w:t>
      </w:r>
      <w:r w:rsidRPr="005D460F">
        <w:t xml:space="preserve"> </w:t>
      </w:r>
    </w:p>
    <w:p w14:paraId="58436657" w14:textId="77777777" w:rsidR="005D460F" w:rsidRDefault="005D460F" w:rsidP="00965716">
      <w:pPr>
        <w:pStyle w:val="Bulletlist"/>
        <w:numPr>
          <w:ilvl w:val="1"/>
          <w:numId w:val="4"/>
        </w:numPr>
      </w:pPr>
      <w:r w:rsidRPr="005D460F">
        <w:t>their existing alcohol and drug workforce capacity</w:t>
      </w:r>
    </w:p>
    <w:p w14:paraId="1C9FF3FB" w14:textId="31CB056E" w:rsidR="006028D1" w:rsidRDefault="005D460F" w:rsidP="00965716">
      <w:pPr>
        <w:pStyle w:val="Bulletlist"/>
        <w:numPr>
          <w:ilvl w:val="1"/>
          <w:numId w:val="4"/>
        </w:numPr>
      </w:pPr>
      <w:r w:rsidRPr="005D460F">
        <w:t xml:space="preserve">their ratio of Indigenous to non-Indigenous workforce </w:t>
      </w:r>
    </w:p>
    <w:p w14:paraId="2BE7C543" w14:textId="7859F351" w:rsidR="00CA1B93" w:rsidRDefault="005D460F" w:rsidP="00965716">
      <w:pPr>
        <w:pStyle w:val="Bulletlist"/>
        <w:numPr>
          <w:ilvl w:val="1"/>
          <w:numId w:val="4"/>
        </w:numPr>
      </w:pPr>
      <w:r w:rsidRPr="005D460F">
        <w:t>information to support their connection to the communitie</w:t>
      </w:r>
      <w:r w:rsidR="006028D1">
        <w:t xml:space="preserve">s (which can be </w:t>
      </w:r>
      <w:r w:rsidRPr="005D460F">
        <w:t>validated by ‘identified’ and accepted Aboriginal and Torres Strait Islander communities</w:t>
      </w:r>
      <w:r w:rsidR="006028D1">
        <w:t>)</w:t>
      </w:r>
      <w:r w:rsidRPr="005D460F">
        <w:t>.</w:t>
      </w:r>
    </w:p>
    <w:p w14:paraId="617A2DD9" w14:textId="606B9B1E" w:rsidR="006028D1" w:rsidRPr="00CA1B93" w:rsidRDefault="006028D1" w:rsidP="006028D1">
      <w:pPr>
        <w:pStyle w:val="Bulletlist"/>
      </w:pPr>
      <w:r>
        <w:t xml:space="preserve">Stakeholders strongly felt that </w:t>
      </w:r>
      <w:r w:rsidRPr="00F51804">
        <w:rPr>
          <w:b/>
          <w:bCs/>
        </w:rPr>
        <w:t>all applications should be Aboriginal</w:t>
      </w:r>
      <w:r w:rsidR="00381786">
        <w:rPr>
          <w:b/>
          <w:bCs/>
        </w:rPr>
        <w:t xml:space="preserve"> and/or Torres Strait Islander</w:t>
      </w:r>
      <w:r w:rsidRPr="00F51804">
        <w:rPr>
          <w:b/>
          <w:bCs/>
        </w:rPr>
        <w:t xml:space="preserve"> led</w:t>
      </w:r>
      <w:r>
        <w:t>, with one local stakeholder stating that only Aboriginal</w:t>
      </w:r>
      <w:r w:rsidR="00381786">
        <w:t xml:space="preserve"> and/or Torres Strait Islander</w:t>
      </w:r>
      <w:r>
        <w:t xml:space="preserve"> organisations should be eligible. </w:t>
      </w:r>
    </w:p>
    <w:p w14:paraId="2FF168C6" w14:textId="77777777" w:rsidR="00856EF8" w:rsidRDefault="00856EF8" w:rsidP="00856EF8">
      <w:pPr>
        <w:pStyle w:val="Heading3"/>
      </w:pPr>
      <w:r>
        <w:lastRenderedPageBreak/>
        <w:t>Cultural appropriateness and involvement of community</w:t>
      </w:r>
    </w:p>
    <w:p w14:paraId="31E62CB6" w14:textId="369EBC84" w:rsidR="00F124C5" w:rsidRDefault="001A7F6F" w:rsidP="00F124C5">
      <w:pPr>
        <w:pStyle w:val="Bulletlist"/>
      </w:pPr>
      <w:r>
        <w:t xml:space="preserve">Participants </w:t>
      </w:r>
      <w:r w:rsidR="00F51804">
        <w:t>suggested</w:t>
      </w:r>
      <w:r>
        <w:t xml:space="preserve"> that </w:t>
      </w:r>
      <w:r w:rsidRPr="00F51804">
        <w:rPr>
          <w:b/>
          <w:bCs/>
        </w:rPr>
        <w:t>c</w:t>
      </w:r>
      <w:r w:rsidR="00F124C5" w:rsidRPr="00F51804">
        <w:rPr>
          <w:b/>
          <w:bCs/>
        </w:rPr>
        <w:t>ultural appropriateness is perhaps not</w:t>
      </w:r>
      <w:r w:rsidR="005B2396" w:rsidRPr="00F51804">
        <w:rPr>
          <w:b/>
          <w:bCs/>
        </w:rPr>
        <w:t xml:space="preserve"> a</w:t>
      </w:r>
      <w:r w:rsidR="00F124C5" w:rsidRPr="00F51804">
        <w:rPr>
          <w:b/>
          <w:bCs/>
        </w:rPr>
        <w:t xml:space="preserve"> </w:t>
      </w:r>
      <w:r w:rsidR="00217F41" w:rsidRPr="00F51804">
        <w:rPr>
          <w:b/>
          <w:bCs/>
        </w:rPr>
        <w:t>strong enough criterion</w:t>
      </w:r>
      <w:r w:rsidR="005B2396" w:rsidRPr="00F51804">
        <w:rPr>
          <w:b/>
          <w:bCs/>
        </w:rPr>
        <w:t xml:space="preserve"> for organisations to demonstrate, and applications should require a demonstration of cultural safety</w:t>
      </w:r>
      <w:r w:rsidR="005B2396">
        <w:t xml:space="preserve"> instead.</w:t>
      </w:r>
      <w:r w:rsidR="00E45D08">
        <w:t xml:space="preserve"> </w:t>
      </w:r>
    </w:p>
    <w:p w14:paraId="73D89677" w14:textId="68663DCD" w:rsidR="00856EF8" w:rsidRPr="00F124C5" w:rsidRDefault="00856EF8" w:rsidP="00F124C5">
      <w:pPr>
        <w:pStyle w:val="Bulletlist"/>
      </w:pPr>
      <w:r>
        <w:t xml:space="preserve">There were also suggestions from local stakeholders that, </w:t>
      </w:r>
      <w:r w:rsidRPr="00856EF8">
        <w:rPr>
          <w:b/>
          <w:bCs/>
        </w:rPr>
        <w:t>in theory, local leaders should have the opportunity to be involved in decision making</w:t>
      </w:r>
      <w:r>
        <w:t xml:space="preserve"> on grant funding. However, they acknowledged that this would be challenging and </w:t>
      </w:r>
      <w:r w:rsidR="00977DB2">
        <w:t>lead to</w:t>
      </w:r>
      <w:r>
        <w:t xml:space="preserve"> unfair advantage</w:t>
      </w:r>
      <w:r w:rsidR="00977DB2">
        <w:t xml:space="preserve"> or conflict of interest</w:t>
      </w:r>
      <w:r>
        <w:t xml:space="preserve"> </w:t>
      </w:r>
      <w:r w:rsidR="00977DB2">
        <w:t>within</w:t>
      </w:r>
      <w:r>
        <w:t xml:space="preserve"> some organisations, depending on the relationship of those involved with the applicants. Instead, </w:t>
      </w:r>
      <w:r w:rsidRPr="00856EF8">
        <w:rPr>
          <w:b/>
          <w:bCs/>
        </w:rPr>
        <w:t>they suggest</w:t>
      </w:r>
      <w:r w:rsidR="00CB1B89">
        <w:rPr>
          <w:b/>
          <w:bCs/>
        </w:rPr>
        <w:t>ed</w:t>
      </w:r>
      <w:r w:rsidRPr="00856EF8">
        <w:rPr>
          <w:b/>
          <w:bCs/>
        </w:rPr>
        <w:t xml:space="preserve"> a local leadership group be set up</w:t>
      </w:r>
      <w:r w:rsidR="00977DB2">
        <w:t xml:space="preserve"> with people who may not work directly in the space. </w:t>
      </w:r>
    </w:p>
    <w:p w14:paraId="1B373BA7" w14:textId="77777777" w:rsidR="005E492B" w:rsidRDefault="005E492B" w:rsidP="005E492B">
      <w:pPr>
        <w:pStyle w:val="Heading3"/>
      </w:pPr>
      <w:r>
        <w:t xml:space="preserve">Proposed grant activities </w:t>
      </w:r>
    </w:p>
    <w:p w14:paraId="3C30039A" w14:textId="5E12592C" w:rsidR="00856EF8" w:rsidRPr="00F26413" w:rsidRDefault="00856EF8" w:rsidP="00CA1B93">
      <w:pPr>
        <w:pStyle w:val="Bulletlist"/>
        <w:rPr>
          <w:b/>
          <w:bCs/>
        </w:rPr>
      </w:pPr>
      <w:r>
        <w:t xml:space="preserve">Local stakeholders for the Bundaberg-Hervey Bay region agreed that the kinds of activities that are </w:t>
      </w:r>
      <w:r w:rsidRPr="00F26413">
        <w:rPr>
          <w:b/>
          <w:bCs/>
        </w:rPr>
        <w:t>likely to be proposed include: rehabilitation services, AOD workforce development, outreach, early intervention</w:t>
      </w:r>
      <w:r w:rsidR="00F26413">
        <w:rPr>
          <w:b/>
          <w:bCs/>
        </w:rPr>
        <w:t xml:space="preserve"> programs</w:t>
      </w:r>
      <w:r w:rsidRPr="00F26413">
        <w:rPr>
          <w:b/>
          <w:bCs/>
        </w:rPr>
        <w:t xml:space="preserve"> that focus on connecting young people to Country programs, and men’s groups. </w:t>
      </w:r>
    </w:p>
    <w:p w14:paraId="058E2619" w14:textId="17C8E5FD" w:rsidR="00F26413" w:rsidRPr="00856EF8" w:rsidRDefault="00F26413" w:rsidP="00CA1B93">
      <w:pPr>
        <w:pStyle w:val="Bulletlist"/>
      </w:pPr>
      <w:r>
        <w:t xml:space="preserve">A suggestion was put forward that while funding </w:t>
      </w:r>
      <w:r w:rsidRPr="00F26413">
        <w:rPr>
          <w:b/>
          <w:bCs/>
        </w:rPr>
        <w:t>rehabilitation centres is essential in the region, they must be built close enough to town for families to visit</w:t>
      </w:r>
      <w:r>
        <w:t xml:space="preserve">, and allow for this, to be </w:t>
      </w:r>
      <w:r w:rsidR="00A54DF7">
        <w:t xml:space="preserve">considered </w:t>
      </w:r>
      <w:r>
        <w:t xml:space="preserve">culturally safe. </w:t>
      </w:r>
    </w:p>
    <w:p w14:paraId="31B90379" w14:textId="081F8954" w:rsidR="00CA1B93" w:rsidRPr="00CA1B93" w:rsidRDefault="00CA1B93" w:rsidP="00CA1B93">
      <w:pPr>
        <w:pStyle w:val="Bulletlist"/>
      </w:pPr>
      <w:r w:rsidRPr="00F51804">
        <w:rPr>
          <w:b/>
          <w:bCs/>
        </w:rPr>
        <w:t xml:space="preserve">Opioid Substitution Treatment (OST) was raised by some participants as </w:t>
      </w:r>
      <w:r w:rsidR="00675955" w:rsidRPr="00F51804">
        <w:rPr>
          <w:b/>
          <w:bCs/>
        </w:rPr>
        <w:t>a potentially in-scope activity</w:t>
      </w:r>
      <w:r w:rsidR="00176127">
        <w:t xml:space="preserve"> to be funded</w:t>
      </w:r>
      <w:r w:rsidR="00856EF8">
        <w:t xml:space="preserve">, which is not currently explicitly listed in the GOGs. </w:t>
      </w:r>
    </w:p>
    <w:p w14:paraId="55AB497C" w14:textId="77777777" w:rsidR="008137A4" w:rsidRDefault="008137A4" w:rsidP="008137A4">
      <w:pPr>
        <w:pStyle w:val="Heading3"/>
      </w:pPr>
      <w:r>
        <w:t>Funding amount and application process</w:t>
      </w:r>
    </w:p>
    <w:p w14:paraId="73742665" w14:textId="7D61926E" w:rsidR="00194945" w:rsidRDefault="009F4677" w:rsidP="00194945">
      <w:pPr>
        <w:pStyle w:val="Bulletlist"/>
      </w:pPr>
      <w:r>
        <w:t xml:space="preserve">There was </w:t>
      </w:r>
      <w:r w:rsidRPr="00F51804">
        <w:rPr>
          <w:b/>
          <w:bCs/>
        </w:rPr>
        <w:t xml:space="preserve">criticism, especially among state-level stakeholders, about the </w:t>
      </w:r>
      <w:r w:rsidR="00B07865" w:rsidRPr="00F51804">
        <w:rPr>
          <w:b/>
          <w:bCs/>
        </w:rPr>
        <w:t>structure of one-off funding payments</w:t>
      </w:r>
      <w:r w:rsidR="00B07865">
        <w:t xml:space="preserve">. Instead, to enable meaningful impact in a community and the organisations delivering services, funding should be continuous. Otherwise, organisations risk implementing activities that then need to be </w:t>
      </w:r>
      <w:r w:rsidR="00381786">
        <w:t>ceased</w:t>
      </w:r>
      <w:r w:rsidR="00B07865">
        <w:t xml:space="preserve"> as soon as the funding stops. </w:t>
      </w:r>
      <w:r w:rsidR="00194945">
        <w:t xml:space="preserve"> </w:t>
      </w:r>
    </w:p>
    <w:p w14:paraId="4B335324" w14:textId="4587327C" w:rsidR="0051312D" w:rsidRPr="00194945" w:rsidRDefault="0051312D" w:rsidP="00194945">
      <w:pPr>
        <w:pStyle w:val="Bulletlist"/>
      </w:pPr>
      <w:r>
        <w:t xml:space="preserve">Local stakeholders felt that </w:t>
      </w:r>
      <w:r w:rsidRPr="00F51804">
        <w:rPr>
          <w:b/>
          <w:bCs/>
        </w:rPr>
        <w:t>4 to 6 months was the minimum amount of time</w:t>
      </w:r>
      <w:r>
        <w:t xml:space="preserve"> for a grant application to be put together</w:t>
      </w:r>
      <w:r w:rsidR="00381786">
        <w:t xml:space="preserve"> by the organisations likely to apply in the Bundaberg-Hervey Bay region</w:t>
      </w:r>
      <w:r>
        <w:t xml:space="preserve">.  </w:t>
      </w:r>
    </w:p>
    <w:p w14:paraId="43701E63" w14:textId="368B1764" w:rsidR="00F30231" w:rsidRPr="009A07CF" w:rsidRDefault="00F30231" w:rsidP="00F30231">
      <w:pPr>
        <w:pStyle w:val="Heading2"/>
        <w:rPr>
          <w:b w:val="0"/>
          <w:bCs w:val="0"/>
        </w:rPr>
      </w:pPr>
      <w:bookmarkStart w:id="7" w:name="_Toc148601545"/>
      <w:r w:rsidRPr="009A07CF">
        <w:rPr>
          <w:bCs w:val="0"/>
        </w:rPr>
        <w:t>East Kimberley, Western Australia</w:t>
      </w:r>
      <w:bookmarkEnd w:id="7"/>
    </w:p>
    <w:p w14:paraId="53AE5563" w14:textId="77777777" w:rsidR="005E492B" w:rsidRDefault="005E492B" w:rsidP="005E492B">
      <w:pPr>
        <w:pStyle w:val="Heading3"/>
      </w:pPr>
      <w:r>
        <w:t>AOD context of the region</w:t>
      </w:r>
    </w:p>
    <w:p w14:paraId="39ED9CB8" w14:textId="055E4310" w:rsidR="00F3498A" w:rsidRDefault="00B275D0" w:rsidP="00F3498A">
      <w:pPr>
        <w:pStyle w:val="Bulletlist"/>
      </w:pPr>
      <w:r>
        <w:t>According to consultation participants representing the East Kimberley region</w:t>
      </w:r>
      <w:r w:rsidR="00F3498A">
        <w:t xml:space="preserve">, the </w:t>
      </w:r>
      <w:r w:rsidR="00F3498A" w:rsidRPr="00B275D0">
        <w:rPr>
          <w:b/>
          <w:bCs/>
        </w:rPr>
        <w:t>AOD issues in the local community have worsened</w:t>
      </w:r>
      <w:r w:rsidRPr="00B275D0">
        <w:rPr>
          <w:b/>
          <w:bCs/>
        </w:rPr>
        <w:t xml:space="preserve"> since the last consultations</w:t>
      </w:r>
      <w:r w:rsidR="00F3498A">
        <w:t>. Stakeholders describe this as the impact of COVID, recent floods, inflation</w:t>
      </w:r>
      <w:r w:rsidR="005A3311">
        <w:t xml:space="preserve">, and housing shortages. Participants spoke about the increase in overcrowded homes, which can lead to an increase in alcohol and drug use. </w:t>
      </w:r>
    </w:p>
    <w:p w14:paraId="560AB63F" w14:textId="42BFD1A5" w:rsidR="005A3311" w:rsidRPr="00F3498A" w:rsidRDefault="005A3311" w:rsidP="00F3498A">
      <w:pPr>
        <w:pStyle w:val="Bulletlist"/>
      </w:pPr>
      <w:r w:rsidRPr="00B275D0">
        <w:rPr>
          <w:b/>
          <w:bCs/>
        </w:rPr>
        <w:lastRenderedPageBreak/>
        <w:t>Transition services are needed</w:t>
      </w:r>
      <w:r>
        <w:t xml:space="preserve"> within the East Kimberley region, with reports of people leaving rehabilitation to an environment which encourages them to return to substance abuse and addiction.</w:t>
      </w:r>
      <w:r w:rsidR="00B275D0">
        <w:t xml:space="preserve"> Further, there is</w:t>
      </w:r>
      <w:r>
        <w:t xml:space="preserve"> </w:t>
      </w:r>
      <w:r w:rsidR="00F607A9">
        <w:t xml:space="preserve">a remaining </w:t>
      </w:r>
      <w:r w:rsidR="00F607A9" w:rsidRPr="00B275D0">
        <w:rPr>
          <w:b/>
          <w:bCs/>
        </w:rPr>
        <w:t>gap in prevention services</w:t>
      </w:r>
      <w:r w:rsidR="00B275D0">
        <w:t>.</w:t>
      </w:r>
    </w:p>
    <w:p w14:paraId="1BEAE513" w14:textId="77777777" w:rsidR="005E492B" w:rsidRDefault="005E492B" w:rsidP="005E492B">
      <w:pPr>
        <w:pStyle w:val="Heading3"/>
      </w:pPr>
      <w:r>
        <w:t>Eligibility criteria for the grant</w:t>
      </w:r>
    </w:p>
    <w:p w14:paraId="12A40FDB" w14:textId="112BD6DB" w:rsidR="009A07CF" w:rsidRDefault="00F51804" w:rsidP="009A07CF">
      <w:pPr>
        <w:pStyle w:val="Bulletlist"/>
      </w:pPr>
      <w:r>
        <w:t xml:space="preserve">According to stakeholders, </w:t>
      </w:r>
      <w:r w:rsidR="00B275D0" w:rsidRPr="00B275D0">
        <w:rPr>
          <w:b/>
          <w:bCs/>
        </w:rPr>
        <w:t>‘</w:t>
      </w:r>
      <w:r w:rsidR="004F0FD6" w:rsidRPr="00B275D0">
        <w:rPr>
          <w:b/>
          <w:bCs/>
        </w:rPr>
        <w:t>East Kimberley</w:t>
      </w:r>
      <w:r w:rsidR="00B275D0" w:rsidRPr="00B275D0">
        <w:rPr>
          <w:b/>
          <w:bCs/>
        </w:rPr>
        <w:t>’</w:t>
      </w:r>
      <w:r w:rsidR="004F0FD6" w:rsidRPr="00B275D0">
        <w:rPr>
          <w:b/>
          <w:bCs/>
        </w:rPr>
        <w:t xml:space="preserve"> as a region should be more </w:t>
      </w:r>
      <w:r w:rsidRPr="00B275D0">
        <w:rPr>
          <w:b/>
          <w:bCs/>
        </w:rPr>
        <w:t xml:space="preserve">clearly </w:t>
      </w:r>
      <w:r w:rsidR="004F0FD6" w:rsidRPr="00B275D0">
        <w:rPr>
          <w:b/>
          <w:bCs/>
        </w:rPr>
        <w:t>defined</w:t>
      </w:r>
      <w:r w:rsidR="00F607A9" w:rsidRPr="00B275D0">
        <w:rPr>
          <w:b/>
          <w:bCs/>
        </w:rPr>
        <w:t xml:space="preserve"> in the GOGs</w:t>
      </w:r>
      <w:r w:rsidRPr="00B275D0">
        <w:rPr>
          <w:b/>
          <w:bCs/>
        </w:rPr>
        <w:t>, and list the associated communities</w:t>
      </w:r>
      <w:r w:rsidR="004F0FD6">
        <w:t xml:space="preserve"> (</w:t>
      </w:r>
      <w:r w:rsidR="0064397A">
        <w:t>i.e.,</w:t>
      </w:r>
      <w:r w:rsidR="004F0FD6">
        <w:t xml:space="preserve"> Halls Creek, Wyndham, Kununurra). Stakeholders suggest</w:t>
      </w:r>
      <w:r w:rsidR="00CB1B89">
        <w:t>ed</w:t>
      </w:r>
      <w:r w:rsidR="004F0FD6">
        <w:t xml:space="preserve"> that it encompasses the entire region that the Cash</w:t>
      </w:r>
      <w:r w:rsidR="00F607A9">
        <w:t>less</w:t>
      </w:r>
      <w:r w:rsidR="004F0FD6">
        <w:t xml:space="preserve"> Debit Card </w:t>
      </w:r>
      <w:r w:rsidR="002C1350">
        <w:t xml:space="preserve">program </w:t>
      </w:r>
      <w:r w:rsidR="004F0FD6">
        <w:t xml:space="preserve">applied </w:t>
      </w:r>
      <w:r>
        <w:t>to, and this should be outlined in the GOGs</w:t>
      </w:r>
      <w:r w:rsidR="004F0FD6">
        <w:t xml:space="preserve">.  </w:t>
      </w:r>
    </w:p>
    <w:p w14:paraId="3C90D6CD" w14:textId="55FD9CF4" w:rsidR="00715E48" w:rsidRPr="009A07CF" w:rsidRDefault="00B275D0" w:rsidP="009A07CF">
      <w:pPr>
        <w:pStyle w:val="Bulletlist"/>
      </w:pPr>
      <w:r>
        <w:t xml:space="preserve">Participants noted that </w:t>
      </w:r>
      <w:r w:rsidRPr="00B275D0">
        <w:rPr>
          <w:b/>
          <w:bCs/>
        </w:rPr>
        <w:t>t</w:t>
      </w:r>
      <w:r w:rsidR="00715E48" w:rsidRPr="00B275D0">
        <w:rPr>
          <w:b/>
          <w:bCs/>
        </w:rPr>
        <w:t xml:space="preserve">he GOGs should </w:t>
      </w:r>
      <w:r w:rsidR="00381786">
        <w:rPr>
          <w:b/>
          <w:bCs/>
        </w:rPr>
        <w:t xml:space="preserve">articulate and </w:t>
      </w:r>
      <w:r w:rsidR="00715E48" w:rsidRPr="00B275D0">
        <w:rPr>
          <w:b/>
          <w:bCs/>
        </w:rPr>
        <w:t xml:space="preserve">allow for people outside the region to access </w:t>
      </w:r>
      <w:r w:rsidR="00381786">
        <w:rPr>
          <w:b/>
          <w:bCs/>
        </w:rPr>
        <w:t xml:space="preserve">local </w:t>
      </w:r>
      <w:r w:rsidR="00715E48" w:rsidRPr="00B275D0">
        <w:rPr>
          <w:b/>
          <w:bCs/>
        </w:rPr>
        <w:t>services</w:t>
      </w:r>
      <w:r w:rsidR="00715E48">
        <w:t>, as the population in this region is particularly mobile</w:t>
      </w:r>
      <w:r w:rsidR="00381786">
        <w:t xml:space="preserve"> and many people move in and out of the region, though continue to require AOD treatment and support. </w:t>
      </w:r>
      <w:r w:rsidR="00715E48">
        <w:t xml:space="preserve"> </w:t>
      </w:r>
    </w:p>
    <w:p w14:paraId="458B07DE" w14:textId="77777777" w:rsidR="00856EF8" w:rsidRDefault="00856EF8" w:rsidP="00856EF8">
      <w:pPr>
        <w:pStyle w:val="Heading3"/>
      </w:pPr>
      <w:r>
        <w:t>Cultural appropriateness and involvement of community</w:t>
      </w:r>
    </w:p>
    <w:p w14:paraId="509C550D" w14:textId="22C1F858" w:rsidR="009A07CF" w:rsidRPr="009A07CF" w:rsidRDefault="00F13587" w:rsidP="009A07CF">
      <w:pPr>
        <w:pStyle w:val="Bulletlist"/>
      </w:pPr>
      <w:r>
        <w:t xml:space="preserve">In terms of having community input into the decision making around grants, </w:t>
      </w:r>
      <w:r w:rsidR="00381786">
        <w:t xml:space="preserve">according to stakeholders, </w:t>
      </w:r>
      <w:r>
        <w:t>as there a very small number of organisations</w:t>
      </w:r>
      <w:r w:rsidR="00381786">
        <w:t xml:space="preserve"> in the region</w:t>
      </w:r>
      <w:r>
        <w:t xml:space="preserve">, local input would be difficult. However, </w:t>
      </w:r>
      <w:r w:rsidRPr="00B275D0">
        <w:rPr>
          <w:b/>
          <w:bCs/>
        </w:rPr>
        <w:t xml:space="preserve">Empowered Communities </w:t>
      </w:r>
      <w:r w:rsidRPr="00381786">
        <w:t>(given their mandate over grant process),</w:t>
      </w:r>
      <w:r w:rsidRPr="00B275D0">
        <w:rPr>
          <w:b/>
          <w:bCs/>
        </w:rPr>
        <w:t xml:space="preserve"> Kimberley Development Commission, and Kimberley District Leadership Group should be involved, and could advise on who is awarded funding</w:t>
      </w:r>
      <w:r>
        <w:t xml:space="preserve">. </w:t>
      </w:r>
    </w:p>
    <w:p w14:paraId="64ADF297" w14:textId="77777777" w:rsidR="005E492B" w:rsidRDefault="005E492B" w:rsidP="005E492B">
      <w:pPr>
        <w:pStyle w:val="Heading3"/>
      </w:pPr>
      <w:r>
        <w:t xml:space="preserve">Proposed grant activities </w:t>
      </w:r>
    </w:p>
    <w:p w14:paraId="2E60F735" w14:textId="5954BE01" w:rsidR="009A07CF" w:rsidRDefault="00194945" w:rsidP="009A07CF">
      <w:pPr>
        <w:pStyle w:val="Bulletlist"/>
      </w:pPr>
      <w:r>
        <w:t xml:space="preserve">The </w:t>
      </w:r>
      <w:r w:rsidRPr="00B275D0">
        <w:rPr>
          <w:b/>
          <w:bCs/>
        </w:rPr>
        <w:t>types of activities that stakeholders believe will be proposed</w:t>
      </w:r>
      <w:r>
        <w:t xml:space="preserve"> in East Kimberley include: </w:t>
      </w:r>
    </w:p>
    <w:p w14:paraId="62FC6EDE" w14:textId="6BD8BE9A" w:rsidR="00194945" w:rsidRDefault="00194945" w:rsidP="00965716">
      <w:pPr>
        <w:pStyle w:val="Bulletlist"/>
        <w:numPr>
          <w:ilvl w:val="1"/>
          <w:numId w:val="4"/>
        </w:numPr>
      </w:pPr>
      <w:r>
        <w:t>‘On Country’ services, cultural yarning</w:t>
      </w:r>
    </w:p>
    <w:p w14:paraId="7EA4932D" w14:textId="25C40A8E" w:rsidR="00194945" w:rsidRDefault="00194945" w:rsidP="00965716">
      <w:pPr>
        <w:pStyle w:val="Bulletlist"/>
        <w:numPr>
          <w:ilvl w:val="1"/>
          <w:numId w:val="4"/>
        </w:numPr>
      </w:pPr>
      <w:r>
        <w:t>Residential rehabilitation</w:t>
      </w:r>
    </w:p>
    <w:p w14:paraId="4595A742" w14:textId="57413487" w:rsidR="00194945" w:rsidRDefault="00194945" w:rsidP="00965716">
      <w:pPr>
        <w:pStyle w:val="Bulletlist"/>
        <w:numPr>
          <w:ilvl w:val="1"/>
          <w:numId w:val="4"/>
        </w:numPr>
      </w:pPr>
      <w:r>
        <w:t>Men’s and women’s safe houses</w:t>
      </w:r>
    </w:p>
    <w:p w14:paraId="36458A97" w14:textId="198E0273" w:rsidR="00EA58E7" w:rsidRDefault="00EA58E7" w:rsidP="00EA58E7">
      <w:pPr>
        <w:pStyle w:val="Bulletlist"/>
      </w:pPr>
      <w:r w:rsidRPr="00EA58E7">
        <w:rPr>
          <w:b/>
          <w:bCs/>
        </w:rPr>
        <w:t xml:space="preserve">Prevention services and activities were also raised by </w:t>
      </w:r>
      <w:r w:rsidR="00A842AC">
        <w:rPr>
          <w:b/>
          <w:bCs/>
        </w:rPr>
        <w:t>stakeholders</w:t>
      </w:r>
      <w:r w:rsidR="00A842AC" w:rsidRPr="00EA58E7">
        <w:rPr>
          <w:b/>
          <w:bCs/>
        </w:rPr>
        <w:t xml:space="preserve"> </w:t>
      </w:r>
      <w:r w:rsidRPr="00EA58E7">
        <w:rPr>
          <w:b/>
          <w:bCs/>
        </w:rPr>
        <w:t xml:space="preserve">as </w:t>
      </w:r>
      <w:r w:rsidR="00A842AC">
        <w:rPr>
          <w:b/>
          <w:bCs/>
        </w:rPr>
        <w:t xml:space="preserve">a </w:t>
      </w:r>
      <w:r w:rsidR="00A842AC" w:rsidRPr="00EA58E7">
        <w:rPr>
          <w:b/>
          <w:bCs/>
        </w:rPr>
        <w:t>need</w:t>
      </w:r>
      <w:r w:rsidR="00E85C03">
        <w:rPr>
          <w:b/>
          <w:bCs/>
        </w:rPr>
        <w:t>,</w:t>
      </w:r>
      <w:r w:rsidR="00A842AC">
        <w:rPr>
          <w:b/>
          <w:bCs/>
        </w:rPr>
        <w:t xml:space="preserve"> and should</w:t>
      </w:r>
      <w:r w:rsidR="00A842AC" w:rsidRPr="00EA58E7">
        <w:rPr>
          <w:b/>
          <w:bCs/>
        </w:rPr>
        <w:t xml:space="preserve"> </w:t>
      </w:r>
      <w:r w:rsidRPr="00EA58E7">
        <w:rPr>
          <w:b/>
          <w:bCs/>
        </w:rPr>
        <w:t>be encouraged</w:t>
      </w:r>
      <w:r>
        <w:t xml:space="preserve">, alongside culturally appropriate and holistic treatment services. </w:t>
      </w:r>
    </w:p>
    <w:p w14:paraId="258000E9" w14:textId="632E56DF" w:rsidR="00EA58E7" w:rsidRPr="00EA58E7" w:rsidRDefault="00EA58E7" w:rsidP="00EA58E7">
      <w:pPr>
        <w:pStyle w:val="Bulletlist"/>
      </w:pPr>
      <w:r w:rsidRPr="00EA58E7">
        <w:t>Due to</w:t>
      </w:r>
      <w:r>
        <w:t xml:space="preserve"> extreme workforce shortages in the region, stakeholders raised the </w:t>
      </w:r>
      <w:r w:rsidRPr="00EA58E7">
        <w:rPr>
          <w:b/>
          <w:bCs/>
        </w:rPr>
        <w:t>need for funded activities to also prioritise workforce development</w:t>
      </w:r>
      <w:r>
        <w:t xml:space="preserve"> and growing the skills of local Aboriginal and Torres Strait Islander peoples. </w:t>
      </w:r>
    </w:p>
    <w:p w14:paraId="6BE5FE01" w14:textId="77777777" w:rsidR="008137A4" w:rsidRDefault="008137A4" w:rsidP="008137A4">
      <w:pPr>
        <w:pStyle w:val="Heading3"/>
      </w:pPr>
      <w:r>
        <w:t>Funding amount and application process</w:t>
      </w:r>
    </w:p>
    <w:p w14:paraId="631607ED" w14:textId="744695B9" w:rsidR="009A07CF" w:rsidRDefault="00B275D0" w:rsidP="009A07CF">
      <w:pPr>
        <w:pStyle w:val="Bulletlist"/>
      </w:pPr>
      <w:r>
        <w:t>State-level and local consultation participants recommend</w:t>
      </w:r>
      <w:r w:rsidR="00CB1B89">
        <w:t>ed</w:t>
      </w:r>
      <w:r>
        <w:t xml:space="preserve"> that for the Department to</w:t>
      </w:r>
      <w:r w:rsidR="009A07CF">
        <w:t xml:space="preserve"> communicate the Grant Opportunity on Grant Connect</w:t>
      </w:r>
      <w:r w:rsidRPr="00B275D0">
        <w:rPr>
          <w:b/>
          <w:bCs/>
        </w:rPr>
        <w:t>, forums should be conducted with potential applicants</w:t>
      </w:r>
      <w:r w:rsidR="009A07CF" w:rsidRPr="00B275D0">
        <w:rPr>
          <w:b/>
          <w:bCs/>
        </w:rPr>
        <w:t xml:space="preserve">. </w:t>
      </w:r>
      <w:r w:rsidRPr="00B275D0">
        <w:rPr>
          <w:b/>
          <w:bCs/>
        </w:rPr>
        <w:t>These would be p</w:t>
      </w:r>
      <w:r w:rsidR="009A07CF" w:rsidRPr="00B275D0">
        <w:rPr>
          <w:b/>
          <w:bCs/>
        </w:rPr>
        <w:t>referably</w:t>
      </w:r>
      <w:r w:rsidRPr="00B275D0">
        <w:rPr>
          <w:b/>
          <w:bCs/>
        </w:rPr>
        <w:t xml:space="preserve"> held</w:t>
      </w:r>
      <w:r w:rsidR="009A07CF" w:rsidRPr="00B275D0">
        <w:rPr>
          <w:b/>
          <w:bCs/>
        </w:rPr>
        <w:t xml:space="preserve"> in-person, with local mediums to connect with people </w:t>
      </w:r>
      <w:r w:rsidR="009A07CF" w:rsidRPr="00B275D0">
        <w:rPr>
          <w:b/>
          <w:bCs/>
        </w:rPr>
        <w:lastRenderedPageBreak/>
        <w:t>on the ground</w:t>
      </w:r>
      <w:r w:rsidR="009A07CF">
        <w:t xml:space="preserve">. </w:t>
      </w:r>
      <w:r w:rsidR="005248E4">
        <w:t xml:space="preserve">Facilitating this prior to the Grant Opportunity being released was also suggested, to allow for organisations to brainstorm and collaborate on proposed </w:t>
      </w:r>
      <w:r w:rsidR="004D7D71">
        <w:t>activities and</w:t>
      </w:r>
      <w:r w:rsidR="00381786">
        <w:t xml:space="preserve"> organise meaningful partnerships. </w:t>
      </w:r>
    </w:p>
    <w:p w14:paraId="49C12D31" w14:textId="56C84EF5" w:rsidR="00976849" w:rsidRPr="009A07CF" w:rsidRDefault="00976849" w:rsidP="009A07CF">
      <w:pPr>
        <w:pStyle w:val="Bulletlist"/>
      </w:pPr>
      <w:r>
        <w:t xml:space="preserve">There were also suggestions that </w:t>
      </w:r>
      <w:r w:rsidRPr="00976849">
        <w:rPr>
          <w:b/>
          <w:bCs/>
        </w:rPr>
        <w:t>all application documentation should be provided in a clear, succinct way, with visual formats.</w:t>
      </w:r>
      <w:r>
        <w:t xml:space="preserve"> </w:t>
      </w:r>
    </w:p>
    <w:p w14:paraId="0E87FAED" w14:textId="31464910" w:rsidR="00F30231" w:rsidRPr="009A07CF" w:rsidRDefault="00F30231" w:rsidP="00F30231">
      <w:pPr>
        <w:pStyle w:val="Heading2"/>
        <w:rPr>
          <w:b w:val="0"/>
          <w:bCs w:val="0"/>
        </w:rPr>
      </w:pPr>
      <w:bookmarkStart w:id="8" w:name="_Toc148601546"/>
      <w:r w:rsidRPr="009A07CF">
        <w:rPr>
          <w:bCs w:val="0"/>
        </w:rPr>
        <w:t>Goldfields, Western Australia</w:t>
      </w:r>
      <w:bookmarkEnd w:id="8"/>
      <w:r w:rsidRPr="009A07CF">
        <w:rPr>
          <w:bCs w:val="0"/>
        </w:rPr>
        <w:t xml:space="preserve"> </w:t>
      </w:r>
    </w:p>
    <w:p w14:paraId="34E3F9F2" w14:textId="77777777" w:rsidR="005E492B" w:rsidRDefault="005E492B" w:rsidP="005E492B">
      <w:pPr>
        <w:pStyle w:val="Heading3"/>
      </w:pPr>
      <w:r>
        <w:t>AOD context of the region</w:t>
      </w:r>
    </w:p>
    <w:p w14:paraId="75757B13" w14:textId="6DFB8828" w:rsidR="00E8416B" w:rsidRDefault="00E8416B" w:rsidP="00275346">
      <w:pPr>
        <w:pStyle w:val="Bulletlist"/>
      </w:pPr>
      <w:r>
        <w:t xml:space="preserve">As with other regions, stakeholders discussed that </w:t>
      </w:r>
      <w:r w:rsidRPr="00381786">
        <w:t xml:space="preserve">AOD issues in the </w:t>
      </w:r>
      <w:r w:rsidR="00686155" w:rsidRPr="00381786">
        <w:t>Goldfields region</w:t>
      </w:r>
      <w:r w:rsidRPr="00381786">
        <w:t xml:space="preserve"> have not improved over the last couple of years, and there has </w:t>
      </w:r>
      <w:r w:rsidR="00686155" w:rsidRPr="00381786">
        <w:t xml:space="preserve">likely </w:t>
      </w:r>
      <w:r w:rsidRPr="00381786">
        <w:t>been a</w:t>
      </w:r>
      <w:r w:rsidR="00686155" w:rsidRPr="00381786">
        <w:t xml:space="preserve">n </w:t>
      </w:r>
      <w:r w:rsidRPr="00381786">
        <w:t>increas</w:t>
      </w:r>
      <w:r w:rsidR="00555F05" w:rsidRPr="00381786">
        <w:t>e.</w:t>
      </w:r>
      <w:r w:rsidR="00555F05">
        <w:t xml:space="preserve"> </w:t>
      </w:r>
      <w:r w:rsidR="00AA476A">
        <w:t>Stakeholders suggest</w:t>
      </w:r>
      <w:r w:rsidR="00CB1B89">
        <w:t>ed</w:t>
      </w:r>
      <w:r w:rsidR="00AA476A">
        <w:t xml:space="preserve"> this was partially an impact of COVID</w:t>
      </w:r>
      <w:r w:rsidR="00830450">
        <w:t xml:space="preserve">, which also resulted in </w:t>
      </w:r>
      <w:r w:rsidR="00275346">
        <w:t xml:space="preserve">an increase in </w:t>
      </w:r>
      <w:r w:rsidR="00830450" w:rsidRPr="00275346">
        <w:rPr>
          <w:b/>
          <w:bCs/>
        </w:rPr>
        <w:t>workforce shortages</w:t>
      </w:r>
      <w:r w:rsidR="00555F05" w:rsidRPr="00275346">
        <w:rPr>
          <w:b/>
          <w:bCs/>
        </w:rPr>
        <w:t xml:space="preserve"> </w:t>
      </w:r>
      <w:r w:rsidR="00686155" w:rsidRPr="00275346">
        <w:rPr>
          <w:b/>
          <w:bCs/>
        </w:rPr>
        <w:t>and family and domestic violence</w:t>
      </w:r>
      <w:r w:rsidR="00686155">
        <w:t>.</w:t>
      </w:r>
      <w:r w:rsidR="00275346">
        <w:t xml:space="preserve"> </w:t>
      </w:r>
    </w:p>
    <w:p w14:paraId="47EA18F8" w14:textId="6B61F443" w:rsidR="00B64063" w:rsidRDefault="001E047F" w:rsidP="00B64063">
      <w:pPr>
        <w:pStyle w:val="Bulletlist"/>
      </w:pPr>
      <w:r>
        <w:t>Participating stakeholders</w:t>
      </w:r>
      <w:r w:rsidR="002D3818">
        <w:t xml:space="preserve"> reported that in the region, there</w:t>
      </w:r>
      <w:r w:rsidR="00AA476A">
        <w:t xml:space="preserve"> are </w:t>
      </w:r>
      <w:r w:rsidR="00AA476A" w:rsidRPr="00686155">
        <w:rPr>
          <w:b/>
          <w:bCs/>
        </w:rPr>
        <w:t xml:space="preserve">gaps in AOD service provision, but also in the wraparound supports </w:t>
      </w:r>
      <w:r w:rsidR="00AA476A">
        <w:t xml:space="preserve">that provide other services to the community, such as family and domestic violence services. </w:t>
      </w:r>
    </w:p>
    <w:p w14:paraId="347C63D7" w14:textId="77777777" w:rsidR="005E492B" w:rsidRDefault="005E492B" w:rsidP="005E492B">
      <w:pPr>
        <w:pStyle w:val="Heading3"/>
      </w:pPr>
      <w:r>
        <w:t>Eligibility criteria for the grant</w:t>
      </w:r>
    </w:p>
    <w:p w14:paraId="2FF2CEAF" w14:textId="30EC5929" w:rsidR="00830450" w:rsidRDefault="00686155" w:rsidP="00830450">
      <w:pPr>
        <w:pStyle w:val="Bulletlist"/>
      </w:pPr>
      <w:r>
        <w:t xml:space="preserve">Participants noted that </w:t>
      </w:r>
      <w:r w:rsidRPr="00686155">
        <w:rPr>
          <w:b/>
          <w:bCs/>
        </w:rPr>
        <w:t>t</w:t>
      </w:r>
      <w:r w:rsidR="00830450" w:rsidRPr="00686155">
        <w:rPr>
          <w:b/>
          <w:bCs/>
        </w:rPr>
        <w:t>here</w:t>
      </w:r>
      <w:r w:rsidR="00830450">
        <w:t xml:space="preserve"> </w:t>
      </w:r>
      <w:r w:rsidR="00830450" w:rsidRPr="00686155">
        <w:rPr>
          <w:b/>
          <w:bCs/>
        </w:rPr>
        <w:t xml:space="preserve">is only one large Aboriginal Medical Service in the Goldfields that is equipped </w:t>
      </w:r>
      <w:r w:rsidR="002C1350">
        <w:rPr>
          <w:b/>
          <w:bCs/>
        </w:rPr>
        <w:t xml:space="preserve">to </w:t>
      </w:r>
      <w:r w:rsidR="00830450" w:rsidRPr="00686155">
        <w:rPr>
          <w:b/>
          <w:bCs/>
        </w:rPr>
        <w:t>deliver significant activities and is a ‘one-stop-shop’</w:t>
      </w:r>
      <w:r w:rsidR="00830450">
        <w:t xml:space="preserve"> – the other organisations in the region only deliver smaller services, and sometimes adjunct services. </w:t>
      </w:r>
      <w:r w:rsidR="00180E5C">
        <w:t>Some of the</w:t>
      </w:r>
      <w:r>
        <w:t xml:space="preserve"> </w:t>
      </w:r>
      <w:r w:rsidR="00180E5C">
        <w:t xml:space="preserve">smaller organisations may not be eligible because their core </w:t>
      </w:r>
      <w:r w:rsidR="008865D3">
        <w:t>service</w:t>
      </w:r>
      <w:r w:rsidR="00180E5C">
        <w:t xml:space="preserve"> is not Primary Health</w:t>
      </w:r>
      <w:r w:rsidR="008865D3">
        <w:t>, though stakeholders suggest</w:t>
      </w:r>
      <w:r w:rsidR="00CB1B89">
        <w:t>ed</w:t>
      </w:r>
      <w:r w:rsidR="008865D3">
        <w:t xml:space="preserve"> that they should be</w:t>
      </w:r>
      <w:r w:rsidR="00180E5C">
        <w:t xml:space="preserve">. </w:t>
      </w:r>
    </w:p>
    <w:p w14:paraId="0D793DED" w14:textId="0CE93075" w:rsidR="00180E5C" w:rsidRDefault="00180E5C" w:rsidP="00180E5C">
      <w:pPr>
        <w:pStyle w:val="Bulletlist"/>
      </w:pPr>
      <w:r>
        <w:t xml:space="preserve">State stakeholders representing the region </w:t>
      </w:r>
      <w:r w:rsidR="00686155">
        <w:t>reported</w:t>
      </w:r>
      <w:r>
        <w:t xml:space="preserve"> that some mainstream providers based in Perth could apply, though would have no understanding of the local or Aboriginal context in the Goldfields. </w:t>
      </w:r>
      <w:r w:rsidR="008865D3">
        <w:t xml:space="preserve">Therefore, </w:t>
      </w:r>
      <w:r w:rsidR="008865D3" w:rsidRPr="008865D3">
        <w:rPr>
          <w:b/>
          <w:bCs/>
        </w:rPr>
        <w:t>local organisations should be prioritised</w:t>
      </w:r>
      <w:r w:rsidR="008865D3">
        <w:t xml:space="preserve">. </w:t>
      </w:r>
    </w:p>
    <w:p w14:paraId="5DAFB995" w14:textId="4DE84316" w:rsidR="00E45D08" w:rsidRDefault="00376E53" w:rsidP="00E45D08">
      <w:pPr>
        <w:pStyle w:val="Bulletlist"/>
      </w:pPr>
      <w:r>
        <w:t xml:space="preserve">Another suggested that to deliver AOD services, </w:t>
      </w:r>
      <w:r w:rsidRPr="008865D3">
        <w:rPr>
          <w:b/>
          <w:bCs/>
        </w:rPr>
        <w:t>organisations should need to show they are certified against one of the National Alcohol and Drug Treatment Quality Frameworks</w:t>
      </w:r>
      <w:r w:rsidR="00E45D08" w:rsidRPr="008865D3">
        <w:rPr>
          <w:b/>
          <w:bCs/>
        </w:rPr>
        <w:t xml:space="preserve">, </w:t>
      </w:r>
      <w:r w:rsidR="00DE74E5">
        <w:rPr>
          <w:b/>
          <w:bCs/>
        </w:rPr>
        <w:t>and demonstrate</w:t>
      </w:r>
      <w:r w:rsidR="00E45D08" w:rsidRPr="008865D3">
        <w:rPr>
          <w:b/>
          <w:bCs/>
        </w:rPr>
        <w:t xml:space="preserve"> evidence-based service delivery</w:t>
      </w:r>
      <w:r w:rsidR="00E45D08">
        <w:t xml:space="preserve">. </w:t>
      </w:r>
    </w:p>
    <w:p w14:paraId="2FBFDF64" w14:textId="3E60A39F" w:rsidR="00376E53" w:rsidRDefault="001E047F" w:rsidP="00376E53">
      <w:pPr>
        <w:pStyle w:val="Bulletlist"/>
      </w:pPr>
      <w:r>
        <w:t>A</w:t>
      </w:r>
      <w:r w:rsidR="00376E53">
        <w:t xml:space="preserve"> stakeholder </w:t>
      </w:r>
      <w:r>
        <w:t xml:space="preserve">representing the Goldfields region </w:t>
      </w:r>
      <w:r w:rsidR="00376E53">
        <w:t xml:space="preserve">suggested a </w:t>
      </w:r>
      <w:r w:rsidR="00376E53" w:rsidRPr="008865D3">
        <w:rPr>
          <w:b/>
          <w:bCs/>
        </w:rPr>
        <w:t xml:space="preserve">definition </w:t>
      </w:r>
      <w:r w:rsidR="005C7EA6">
        <w:rPr>
          <w:b/>
          <w:bCs/>
        </w:rPr>
        <w:t xml:space="preserve">of Aboriginal Community Controlled Organisations </w:t>
      </w:r>
      <w:r w:rsidR="00376E53" w:rsidRPr="008865D3">
        <w:rPr>
          <w:b/>
          <w:bCs/>
        </w:rPr>
        <w:t>that was recently agreed on in West</w:t>
      </w:r>
      <w:r w:rsidR="00DF394A">
        <w:rPr>
          <w:b/>
          <w:bCs/>
        </w:rPr>
        <w:t>ern</w:t>
      </w:r>
      <w:r w:rsidR="00376E53" w:rsidRPr="008865D3">
        <w:rPr>
          <w:b/>
          <w:bCs/>
        </w:rPr>
        <w:t xml:space="preserve"> Australian government tenders</w:t>
      </w:r>
      <w:r>
        <w:rPr>
          <w:b/>
          <w:bCs/>
        </w:rPr>
        <w:t>, which could be utilised in the GOGs</w:t>
      </w:r>
      <w:r w:rsidR="00376E53">
        <w:t xml:space="preserve">:  </w:t>
      </w:r>
    </w:p>
    <w:p w14:paraId="41042331" w14:textId="3D9C09E3" w:rsidR="00376E53" w:rsidRDefault="00E36CB4" w:rsidP="000535D1">
      <w:pPr>
        <w:pStyle w:val="Bulletlist"/>
        <w:numPr>
          <w:ilvl w:val="0"/>
          <w:numId w:val="0"/>
        </w:numPr>
        <w:ind w:left="340"/>
      </w:pPr>
      <w:r>
        <w:t>“</w:t>
      </w:r>
      <w:r w:rsidR="00376E53">
        <w:t>An Aboriginal Community Controlled Organisation is:</w:t>
      </w:r>
    </w:p>
    <w:p w14:paraId="6BD3C158" w14:textId="7FC1987E" w:rsidR="00376E53" w:rsidRDefault="00376E53" w:rsidP="00965716">
      <w:pPr>
        <w:pStyle w:val="Bulletlist"/>
        <w:numPr>
          <w:ilvl w:val="2"/>
          <w:numId w:val="4"/>
        </w:numPr>
      </w:pPr>
      <w:r>
        <w:t xml:space="preserve">Incorporated under State or Federal legislation and not for profit. </w:t>
      </w:r>
    </w:p>
    <w:p w14:paraId="35AD4202" w14:textId="5194E4A0" w:rsidR="00376E53" w:rsidRDefault="00376E53" w:rsidP="00965716">
      <w:pPr>
        <w:pStyle w:val="Bulletlist"/>
        <w:numPr>
          <w:ilvl w:val="2"/>
          <w:numId w:val="4"/>
        </w:numPr>
      </w:pPr>
      <w:r>
        <w:lastRenderedPageBreak/>
        <w:t xml:space="preserve">Controlled and operated by a majority of Aboriginal and/or Torres Strait Islander people. </w:t>
      </w:r>
    </w:p>
    <w:p w14:paraId="52CA1613" w14:textId="4A59F3C6" w:rsidR="00376E53" w:rsidRDefault="00376E53" w:rsidP="00965716">
      <w:pPr>
        <w:pStyle w:val="Bulletlist"/>
        <w:numPr>
          <w:ilvl w:val="2"/>
          <w:numId w:val="4"/>
        </w:numPr>
      </w:pPr>
      <w:r>
        <w:t xml:space="preserve">Involved or connected to the community, or communities, in which it delivers the services. </w:t>
      </w:r>
    </w:p>
    <w:p w14:paraId="7271E7B8" w14:textId="473B448E" w:rsidR="00376E53" w:rsidRDefault="00376E53" w:rsidP="00965716">
      <w:pPr>
        <w:pStyle w:val="Bulletlist"/>
        <w:numPr>
          <w:ilvl w:val="2"/>
          <w:numId w:val="4"/>
        </w:numPr>
      </w:pPr>
      <w:r>
        <w:t>Governed by a majority Aboriginal and/or Torres Strait Islander governing body.</w:t>
      </w:r>
      <w:r w:rsidR="00E36CB4">
        <w:t>”</w:t>
      </w:r>
    </w:p>
    <w:p w14:paraId="4CAEEC7A" w14:textId="77777777" w:rsidR="00856EF8" w:rsidRDefault="00856EF8" w:rsidP="00856EF8">
      <w:pPr>
        <w:pStyle w:val="Heading3"/>
      </w:pPr>
      <w:r>
        <w:t>Cultural appropriateness and involvement of community</w:t>
      </w:r>
    </w:p>
    <w:p w14:paraId="5DC05B8E" w14:textId="4BC2FFE1" w:rsidR="003C024A" w:rsidRDefault="00A7143A" w:rsidP="003C024A">
      <w:pPr>
        <w:pStyle w:val="Bulletlist"/>
      </w:pPr>
      <w:r>
        <w:t>Consultation participants suggest</w:t>
      </w:r>
      <w:r w:rsidR="001E047F">
        <w:t>ed</w:t>
      </w:r>
      <w:r>
        <w:t xml:space="preserve"> that to ensure cultural appropriateness of the process of awarding the grant, </w:t>
      </w:r>
      <w:r w:rsidRPr="008865D3">
        <w:rPr>
          <w:b/>
          <w:bCs/>
        </w:rPr>
        <w:t>there should be a minimum number of Aboriginal or Torres Strait Islander representatives on the selection committee</w:t>
      </w:r>
      <w:r>
        <w:t xml:space="preserve">, and preferably people from the Goldfields region who understand the local context. </w:t>
      </w:r>
    </w:p>
    <w:p w14:paraId="5D596604" w14:textId="62627171" w:rsidR="005B7049" w:rsidRPr="003C024A" w:rsidRDefault="005B7049" w:rsidP="003C024A">
      <w:pPr>
        <w:pStyle w:val="Bulletlist"/>
      </w:pPr>
      <w:r>
        <w:t xml:space="preserve">Representatives </w:t>
      </w:r>
      <w:r w:rsidR="00852F62">
        <w:t xml:space="preserve">of </w:t>
      </w:r>
      <w:r>
        <w:t xml:space="preserve">the Goldfields region also </w:t>
      </w:r>
      <w:r w:rsidRPr="005B7049">
        <w:rPr>
          <w:b/>
          <w:bCs/>
        </w:rPr>
        <w:t>emphasised the need for all applications to clearly outline cultural appropriateness and cultural safety</w:t>
      </w:r>
      <w:r>
        <w:t xml:space="preserve"> and explain how they will deliver this in all proposed activities. </w:t>
      </w:r>
    </w:p>
    <w:p w14:paraId="75CE0601" w14:textId="77777777" w:rsidR="005E492B" w:rsidRDefault="005E492B" w:rsidP="005E492B">
      <w:pPr>
        <w:pStyle w:val="Heading3"/>
      </w:pPr>
      <w:r>
        <w:t xml:space="preserve">Proposed grant activities </w:t>
      </w:r>
    </w:p>
    <w:p w14:paraId="69FFC001" w14:textId="24061668" w:rsidR="00AA621D" w:rsidRDefault="008865D3" w:rsidP="00AA621D">
      <w:pPr>
        <w:pStyle w:val="Bulletlist"/>
      </w:pPr>
      <w:r>
        <w:t>Consultation participants suggest</w:t>
      </w:r>
      <w:r w:rsidR="001E047F">
        <w:t>ed</w:t>
      </w:r>
      <w:r>
        <w:t xml:space="preserve"> that </w:t>
      </w:r>
      <w:r w:rsidRPr="008865D3">
        <w:rPr>
          <w:b/>
          <w:bCs/>
        </w:rPr>
        <w:t>a</w:t>
      </w:r>
      <w:r w:rsidR="001218D2" w:rsidRPr="008865D3">
        <w:rPr>
          <w:b/>
          <w:bCs/>
        </w:rPr>
        <w:t>ctivities that aim to support individuals in more general social and emotional wellbeing should be encouraged</w:t>
      </w:r>
      <w:r w:rsidR="001218D2">
        <w:t xml:space="preserve">, especially in the areas of grief and loss. Stakeholders spoke about a very strong link between AOD issues and grief and Sorry Business. </w:t>
      </w:r>
    </w:p>
    <w:p w14:paraId="06649B04" w14:textId="75A6DCB5" w:rsidR="00E604EB" w:rsidRPr="00AA621D" w:rsidRDefault="001E047F" w:rsidP="00AA621D">
      <w:pPr>
        <w:pStyle w:val="Bulletlist"/>
      </w:pPr>
      <w:r>
        <w:t>Participants also discussed how the Goldfields is an especially large region geographically,</w:t>
      </w:r>
      <w:r w:rsidR="00E604EB">
        <w:t xml:space="preserve"> so </w:t>
      </w:r>
      <w:r w:rsidR="00E604EB" w:rsidRPr="008865D3">
        <w:rPr>
          <w:b/>
          <w:bCs/>
        </w:rPr>
        <w:t xml:space="preserve">travelling between communities </w:t>
      </w:r>
      <w:r w:rsidR="008865D3" w:rsidRPr="008865D3">
        <w:rPr>
          <w:b/>
          <w:bCs/>
        </w:rPr>
        <w:t xml:space="preserve">to deliver services </w:t>
      </w:r>
      <w:r w:rsidR="00E604EB" w:rsidRPr="008865D3">
        <w:rPr>
          <w:b/>
          <w:bCs/>
        </w:rPr>
        <w:t>is needed</w:t>
      </w:r>
      <w:r w:rsidR="008865D3" w:rsidRPr="008865D3">
        <w:rPr>
          <w:b/>
          <w:bCs/>
        </w:rPr>
        <w:t>,</w:t>
      </w:r>
      <w:r w:rsidR="00E604EB" w:rsidRPr="008865D3">
        <w:rPr>
          <w:b/>
          <w:bCs/>
        </w:rPr>
        <w:t xml:space="preserve"> but</w:t>
      </w:r>
      <w:r w:rsidR="008865D3" w:rsidRPr="008865D3">
        <w:rPr>
          <w:b/>
          <w:bCs/>
        </w:rPr>
        <w:t xml:space="preserve"> often</w:t>
      </w:r>
      <w:r w:rsidR="00E604EB" w:rsidRPr="008865D3">
        <w:rPr>
          <w:b/>
          <w:bCs/>
        </w:rPr>
        <w:t xml:space="preserve"> limited by funding</w:t>
      </w:r>
      <w:r w:rsidR="00E604EB">
        <w:t xml:space="preserve">. </w:t>
      </w:r>
      <w:r w:rsidR="008865D3">
        <w:t>Participants recommend</w:t>
      </w:r>
      <w:r w:rsidR="00CB1B89">
        <w:t>ed</w:t>
      </w:r>
      <w:r w:rsidR="008865D3">
        <w:t xml:space="preserve"> that this </w:t>
      </w:r>
      <w:r w:rsidR="00DF394A">
        <w:t xml:space="preserve">be </w:t>
      </w:r>
      <w:r w:rsidR="008865D3">
        <w:t xml:space="preserve">acknowledged when developing the GOGs and overall funding arrangements. </w:t>
      </w:r>
    </w:p>
    <w:p w14:paraId="1C167093" w14:textId="77777777" w:rsidR="008137A4" w:rsidRDefault="008137A4" w:rsidP="008137A4">
      <w:pPr>
        <w:pStyle w:val="Heading3"/>
      </w:pPr>
      <w:r>
        <w:t>Funding amount and application process</w:t>
      </w:r>
    </w:p>
    <w:p w14:paraId="4B8DF3B4" w14:textId="0F900F27" w:rsidR="003C4C33" w:rsidRDefault="003C4C33" w:rsidP="00830450">
      <w:pPr>
        <w:pStyle w:val="Bulletlist"/>
      </w:pPr>
      <w:r>
        <w:t xml:space="preserve">Participants found it difficult to estimate an appropriate amount for grant funding for an organisation. One stakeholder </w:t>
      </w:r>
      <w:r w:rsidRPr="00B068E0">
        <w:rPr>
          <w:b/>
          <w:bCs/>
        </w:rPr>
        <w:t>suggested</w:t>
      </w:r>
      <w:r w:rsidR="00166D6F" w:rsidRPr="00B068E0">
        <w:rPr>
          <w:b/>
          <w:bCs/>
        </w:rPr>
        <w:t xml:space="preserve"> that the Department</w:t>
      </w:r>
      <w:r w:rsidR="00381786">
        <w:rPr>
          <w:b/>
          <w:bCs/>
        </w:rPr>
        <w:t xml:space="preserve"> should first</w:t>
      </w:r>
      <w:r w:rsidRPr="00B068E0">
        <w:rPr>
          <w:b/>
          <w:bCs/>
        </w:rPr>
        <w:t xml:space="preserve"> ask </w:t>
      </w:r>
      <w:r w:rsidR="00381786">
        <w:rPr>
          <w:b/>
          <w:bCs/>
        </w:rPr>
        <w:t xml:space="preserve">grantees </w:t>
      </w:r>
      <w:r w:rsidRPr="00B068E0">
        <w:rPr>
          <w:b/>
          <w:bCs/>
        </w:rPr>
        <w:t xml:space="preserve">what is required, personally visit </w:t>
      </w:r>
      <w:r w:rsidR="00DF394A" w:rsidRPr="00B068E0">
        <w:rPr>
          <w:b/>
          <w:bCs/>
        </w:rPr>
        <w:t>organisations,</w:t>
      </w:r>
      <w:r w:rsidRPr="00B068E0">
        <w:rPr>
          <w:b/>
          <w:bCs/>
        </w:rPr>
        <w:t xml:space="preserve"> and ask them to advise how much they require for </w:t>
      </w:r>
      <w:r w:rsidR="008865D3" w:rsidRPr="00B068E0">
        <w:rPr>
          <w:b/>
          <w:bCs/>
        </w:rPr>
        <w:t>p</w:t>
      </w:r>
      <w:r w:rsidRPr="00B068E0">
        <w:rPr>
          <w:b/>
          <w:bCs/>
        </w:rPr>
        <w:t>rograms to be delivered</w:t>
      </w:r>
      <w:r w:rsidR="00381786">
        <w:rPr>
          <w:b/>
          <w:bCs/>
        </w:rPr>
        <w:t xml:space="preserve">. </w:t>
      </w:r>
    </w:p>
    <w:p w14:paraId="49658F64" w14:textId="1DDF7504" w:rsidR="00784BE8" w:rsidRDefault="00784BE8" w:rsidP="00830450">
      <w:pPr>
        <w:pStyle w:val="Bulletlist"/>
      </w:pPr>
      <w:r>
        <w:t xml:space="preserve">A local stakeholder spoke of the </w:t>
      </w:r>
      <w:r w:rsidRPr="00166D6F">
        <w:rPr>
          <w:b/>
          <w:bCs/>
        </w:rPr>
        <w:t xml:space="preserve">importance for funding bodies to acknowledge there will be </w:t>
      </w:r>
      <w:r w:rsidR="00DF394A">
        <w:rPr>
          <w:b/>
          <w:bCs/>
        </w:rPr>
        <w:t xml:space="preserve">a need </w:t>
      </w:r>
      <w:r w:rsidR="00FD51A3">
        <w:rPr>
          <w:b/>
          <w:bCs/>
        </w:rPr>
        <w:t xml:space="preserve">to allocate </w:t>
      </w:r>
      <w:r w:rsidRPr="00166D6F">
        <w:rPr>
          <w:b/>
          <w:bCs/>
        </w:rPr>
        <w:t>20-25% of grant funding to operational costs and back-office support</w:t>
      </w:r>
      <w:r>
        <w:t xml:space="preserve">. </w:t>
      </w:r>
    </w:p>
    <w:p w14:paraId="37E0B53D" w14:textId="258AA24F" w:rsidR="00830450" w:rsidRDefault="00830450" w:rsidP="00830450">
      <w:pPr>
        <w:pStyle w:val="Bulletlist"/>
      </w:pPr>
      <w:r w:rsidRPr="00166D6F">
        <w:rPr>
          <w:b/>
          <w:bCs/>
        </w:rPr>
        <w:t>Workforce shortages after COVID have also resulted in a skills shortage, where organisations do not have the internal capacity to apply for grant funding</w:t>
      </w:r>
      <w:r>
        <w:t xml:space="preserve">. </w:t>
      </w:r>
      <w:r w:rsidR="00166D6F">
        <w:t>Stakeholders strongly recommend</w:t>
      </w:r>
      <w:r w:rsidR="001E047F">
        <w:t>ed</w:t>
      </w:r>
      <w:r w:rsidR="00166D6F">
        <w:t xml:space="preserve"> this </w:t>
      </w:r>
      <w:r w:rsidR="00F76D34">
        <w:t xml:space="preserve">be </w:t>
      </w:r>
      <w:r w:rsidR="00166D6F">
        <w:t xml:space="preserve">recognised by the Department and appropriate supports </w:t>
      </w:r>
      <w:r w:rsidR="00F76D34">
        <w:t xml:space="preserve">be </w:t>
      </w:r>
      <w:r w:rsidR="00166D6F">
        <w:t xml:space="preserve">given to allow organisations to apply. </w:t>
      </w:r>
    </w:p>
    <w:p w14:paraId="7148C6D5" w14:textId="4A74999D" w:rsidR="00965716" w:rsidRDefault="00F61F39" w:rsidP="00D9252B">
      <w:pPr>
        <w:pStyle w:val="Bulletlist"/>
        <w:rPr>
          <w:b/>
          <w:bCs/>
        </w:rPr>
        <w:sectPr w:rsidR="00965716" w:rsidSect="00AF5E46">
          <w:footerReference w:type="default" r:id="rId14"/>
          <w:pgSz w:w="11906" w:h="16838" w:code="9"/>
          <w:pgMar w:top="1276" w:right="851" w:bottom="1418" w:left="1701" w:header="709" w:footer="811" w:gutter="0"/>
          <w:pgNumType w:start="1"/>
          <w:cols w:space="708"/>
          <w:docGrid w:linePitch="360"/>
        </w:sectPr>
      </w:pPr>
      <w:r>
        <w:t>Local stakeholders suggest</w:t>
      </w:r>
      <w:r w:rsidR="001E047F">
        <w:t>ed</w:t>
      </w:r>
      <w:r>
        <w:t xml:space="preserve"> that </w:t>
      </w:r>
      <w:r w:rsidRPr="00166D6F">
        <w:rPr>
          <w:b/>
          <w:bCs/>
        </w:rPr>
        <w:t xml:space="preserve">forums and information sessions should be held with </w:t>
      </w:r>
      <w:r w:rsidR="00D53060" w:rsidRPr="00166D6F">
        <w:rPr>
          <w:b/>
          <w:bCs/>
        </w:rPr>
        <w:t>organisations</w:t>
      </w:r>
      <w:r w:rsidRPr="00166D6F">
        <w:rPr>
          <w:b/>
          <w:bCs/>
        </w:rPr>
        <w:t xml:space="preserve"> </w:t>
      </w:r>
      <w:r w:rsidR="00D53060" w:rsidRPr="00166D6F">
        <w:rPr>
          <w:b/>
          <w:bCs/>
        </w:rPr>
        <w:t xml:space="preserve">prior to the grant being released so they are informed about the expectations and </w:t>
      </w:r>
      <w:r w:rsidR="00D53060" w:rsidRPr="00166D6F">
        <w:rPr>
          <w:b/>
          <w:bCs/>
        </w:rPr>
        <w:lastRenderedPageBreak/>
        <w:t>criteria</w:t>
      </w:r>
      <w:r w:rsidR="00D53060">
        <w:t xml:space="preserve">. </w:t>
      </w:r>
      <w:r w:rsidR="00166D6F">
        <w:t>They reported that o</w:t>
      </w:r>
      <w:r w:rsidR="00D53060">
        <w:t xml:space="preserve">rganisations will need </w:t>
      </w:r>
      <w:r w:rsidR="00D53060" w:rsidRPr="005E0052">
        <w:rPr>
          <w:b/>
          <w:bCs/>
        </w:rPr>
        <w:t>several months to apply for a grant, and then at least 6 months to execute the proposed activity</w:t>
      </w:r>
      <w:r w:rsidR="002E7FC7">
        <w:rPr>
          <w:b/>
          <w:bCs/>
        </w:rPr>
        <w:t>.</w:t>
      </w:r>
    </w:p>
    <w:p w14:paraId="200DB516" w14:textId="4DE234BF" w:rsidR="00A541C8" w:rsidRPr="009D0A21" w:rsidRDefault="00A541C8" w:rsidP="002E7FC7"/>
    <w:sectPr w:rsidR="00A541C8" w:rsidRPr="009D0A21" w:rsidSect="007B5ADC">
      <w:headerReference w:type="default" r:id="rId15"/>
      <w:footerReference w:type="default" r:id="rId16"/>
      <w:pgSz w:w="11906" w:h="16838" w:code="9"/>
      <w:pgMar w:top="1276" w:right="851" w:bottom="1418" w:left="1701" w:header="709" w:footer="81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EE48B" w14:textId="77777777" w:rsidR="00936862" w:rsidRDefault="00936862" w:rsidP="003B014D">
      <w:pPr>
        <w:spacing w:after="0" w:line="240" w:lineRule="auto"/>
      </w:pPr>
      <w:r>
        <w:separator/>
      </w:r>
    </w:p>
  </w:endnote>
  <w:endnote w:type="continuationSeparator" w:id="0">
    <w:p w14:paraId="7DC38EA3" w14:textId="77777777" w:rsidR="00936862" w:rsidRDefault="00936862" w:rsidP="003B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blenz Serial Medium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Univers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blenz Serial Light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 Light">
    <w:altName w:val="Calibri"/>
    <w:charset w:val="00"/>
    <w:family w:val="auto"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1BF8" w14:textId="77777777" w:rsidR="009D0A21" w:rsidRDefault="009D0A21" w:rsidP="00CB7070">
    <w:pPr>
      <w:pStyle w:val="Footer"/>
      <w:tabs>
        <w:tab w:val="clear" w:pos="9026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E3D51" w:rsidRPr="00CB7070">
      <w:rPr>
        <w:rStyle w:val="PageNumber"/>
        <w:color w:val="DA291C" w:themeColor="background2"/>
        <w:szCs w:val="16"/>
      </w:rPr>
      <w:fldChar w:fldCharType="begin"/>
    </w:r>
    <w:r w:rsidRPr="00CB7070">
      <w:rPr>
        <w:rStyle w:val="PageNumber"/>
        <w:color w:val="DA291C" w:themeColor="background2"/>
        <w:szCs w:val="16"/>
      </w:rPr>
      <w:instrText xml:space="preserve"> PAGE </w:instrText>
    </w:r>
    <w:r w:rsidR="005E3D51" w:rsidRPr="00CB7070">
      <w:rPr>
        <w:rStyle w:val="PageNumber"/>
        <w:color w:val="DA291C" w:themeColor="background2"/>
        <w:szCs w:val="16"/>
      </w:rPr>
      <w:fldChar w:fldCharType="separate"/>
    </w:r>
    <w:r w:rsidR="00A32E99">
      <w:rPr>
        <w:rStyle w:val="PageNumber"/>
        <w:noProof/>
        <w:color w:val="DA291C" w:themeColor="background2"/>
        <w:szCs w:val="16"/>
      </w:rPr>
      <w:t>iii</w:t>
    </w:r>
    <w:r w:rsidR="005E3D51" w:rsidRPr="00CB7070">
      <w:rPr>
        <w:rStyle w:val="PageNumber"/>
        <w:color w:val="DA291C" w:themeColor="background2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2B45" w14:textId="77777777" w:rsidR="009D0A21" w:rsidRDefault="009D0A21" w:rsidP="00CB7070">
    <w:pPr>
      <w:pStyle w:val="Footer"/>
      <w:tabs>
        <w:tab w:val="clear" w:pos="9026"/>
        <w:tab w:val="right" w:pos="9356"/>
      </w:tabs>
      <w:rPr>
        <w:rFonts w:ascii="Arial" w:hAnsi="Arial" w:cs="Arial"/>
        <w:sz w:val="16"/>
        <w:szCs w:val="16"/>
      </w:rPr>
    </w:pPr>
    <w:r w:rsidRPr="00CB7070">
      <w:rPr>
        <w:rFonts w:ascii="Arial" w:hAnsi="Arial" w:cs="Arial"/>
        <w:color w:val="DA291C" w:themeColor="background2"/>
        <w:sz w:val="16"/>
        <w:szCs w:val="16"/>
      </w:rPr>
      <w:sym w:font="Symbol" w:char="F0D3"/>
    </w:r>
    <w:r w:rsidRPr="00CB7070">
      <w:rPr>
        <w:rFonts w:ascii="Arial" w:hAnsi="Arial" w:cs="Arial"/>
        <w:color w:val="DA291C" w:themeColor="background2"/>
        <w:sz w:val="16"/>
        <w:szCs w:val="16"/>
      </w:rPr>
      <w:t xml:space="preserve"> Cultural Perspectives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B7070">
      <w:rPr>
        <w:rFonts w:ascii="Arial" w:hAnsi="Arial" w:cs="Arial"/>
        <w:color w:val="DA291C" w:themeColor="background2"/>
        <w:sz w:val="16"/>
        <w:szCs w:val="16"/>
      </w:rPr>
      <w:t xml:space="preserve">Page </w:t>
    </w:r>
    <w:r w:rsidR="005E3D51" w:rsidRPr="00CB7070">
      <w:rPr>
        <w:rStyle w:val="PageNumber"/>
        <w:color w:val="DA291C" w:themeColor="background2"/>
        <w:szCs w:val="16"/>
      </w:rPr>
      <w:fldChar w:fldCharType="begin"/>
    </w:r>
    <w:r w:rsidRPr="00CB7070">
      <w:rPr>
        <w:rStyle w:val="PageNumber"/>
        <w:color w:val="DA291C" w:themeColor="background2"/>
        <w:szCs w:val="16"/>
      </w:rPr>
      <w:instrText xml:space="preserve"> PAGE </w:instrText>
    </w:r>
    <w:r w:rsidR="005E3D51" w:rsidRPr="00CB7070">
      <w:rPr>
        <w:rStyle w:val="PageNumber"/>
        <w:color w:val="DA291C" w:themeColor="background2"/>
        <w:szCs w:val="16"/>
      </w:rPr>
      <w:fldChar w:fldCharType="separate"/>
    </w:r>
    <w:r w:rsidR="00A32E99">
      <w:rPr>
        <w:rStyle w:val="PageNumber"/>
        <w:noProof/>
        <w:color w:val="DA291C" w:themeColor="background2"/>
        <w:szCs w:val="16"/>
      </w:rPr>
      <w:t>5</w:t>
    </w:r>
    <w:r w:rsidR="005E3D51" w:rsidRPr="00CB7070">
      <w:rPr>
        <w:rStyle w:val="PageNumber"/>
        <w:color w:val="DA291C" w:themeColor="background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6E15" w14:textId="77777777" w:rsidR="009D0A21" w:rsidRPr="004D45DD" w:rsidRDefault="009D0A21" w:rsidP="004D45DD">
    <w:r>
      <w:rPr>
        <w:noProof/>
        <w:lang w:eastAsia="en-AU"/>
      </w:rPr>
      <w:drawing>
        <wp:inline distT="0" distB="0" distL="0" distR="0" wp14:anchorId="69B3BD83" wp14:editId="5CA3BD36">
          <wp:extent cx="1686560" cy="756920"/>
          <wp:effectExtent l="0" t="0" r="8890" b="5080"/>
          <wp:docPr id="3" name="Picture 3" descr="CIR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IR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717E" w14:textId="77777777" w:rsidR="00936862" w:rsidRDefault="00936862" w:rsidP="003B014D">
      <w:pPr>
        <w:spacing w:after="0" w:line="240" w:lineRule="auto"/>
      </w:pPr>
      <w:r>
        <w:separator/>
      </w:r>
    </w:p>
  </w:footnote>
  <w:footnote w:type="continuationSeparator" w:id="0">
    <w:p w14:paraId="4C4F5CF5" w14:textId="77777777" w:rsidR="00936862" w:rsidRDefault="00936862" w:rsidP="003B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B8A" w14:textId="77777777" w:rsidR="009D0A21" w:rsidRPr="001E3CC5" w:rsidRDefault="009D0A21" w:rsidP="001E3CC5">
    <w:pPr>
      <w:pStyle w:val="Header"/>
    </w:pPr>
    <w:r w:rsidRPr="001E3CC5">
      <w:t>Header text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D198" w14:textId="77777777" w:rsidR="009D0A21" w:rsidRDefault="009D0A21">
    <w:pPr>
      <w:pStyle w:val="Header"/>
    </w:pPr>
    <w:r>
      <w:rPr>
        <w:noProof/>
        <w:lang w:eastAsia="en-AU"/>
      </w:rPr>
      <w:drawing>
        <wp:inline distT="0" distB="0" distL="0" distR="0" wp14:anchorId="769CFA11" wp14:editId="20A8F28F">
          <wp:extent cx="1687195" cy="756920"/>
          <wp:effectExtent l="0" t="0" r="8255" b="5080"/>
          <wp:docPr id="12" name="Picture 12" descr="CIR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IR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4144" behindDoc="1" locked="1" layoutInCell="1" allowOverlap="0" wp14:anchorId="48281A55" wp14:editId="79B3CDA7">
          <wp:simplePos x="0" y="0"/>
          <wp:positionH relativeFrom="column">
            <wp:posOffset>-4111625</wp:posOffset>
          </wp:positionH>
          <wp:positionV relativeFrom="paragraph">
            <wp:posOffset>950595</wp:posOffset>
          </wp:positionV>
          <wp:extent cx="12826800" cy="2772000"/>
          <wp:effectExtent l="57150" t="266700" r="70485" b="276225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442517">
                    <a:off x="0" y="0"/>
                    <a:ext cx="12826800" cy="27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3C71" w14:textId="667A380A" w:rsidR="009D0A21" w:rsidRPr="001C6D29" w:rsidRDefault="00A51C36" w:rsidP="007D0F38">
    <w:pPr>
      <w:pStyle w:val="Header"/>
      <w:rPr>
        <w:color w:val="DA291C" w:themeColor="background2"/>
      </w:rPr>
    </w:pPr>
    <w:r>
      <w:fldChar w:fldCharType="begin"/>
    </w:r>
    <w:r>
      <w:instrText xml:space="preserve"> STYLEREF  "Cover Title"  \* MERGEFORMAT </w:instrText>
    </w:r>
    <w:r>
      <w:fldChar w:fldCharType="separate"/>
    </w:r>
    <w:r>
      <w:rPr>
        <w:noProof/>
      </w:rPr>
      <w:t>Additional Alcohol and Other Drug Treatment Services funding – Consultation Outcomes Report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90E9" w14:textId="77777777" w:rsidR="009D0A21" w:rsidRDefault="009D0A21" w:rsidP="00185950">
    <w:pPr>
      <w:pStyle w:val="Header"/>
    </w:pPr>
  </w:p>
  <w:p w14:paraId="4F5C41D1" w14:textId="77777777" w:rsidR="009D0A21" w:rsidRPr="00C54EDA" w:rsidRDefault="009D0A21" w:rsidP="00C54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7pt;height:80.75pt" o:bullet="t">
        <v:imagedata r:id="rId1" o:title="clip_image001"/>
      </v:shape>
    </w:pict>
  </w:numPicBullet>
  <w:abstractNum w:abstractNumId="0" w15:restartNumberingAfterBreak="0">
    <w:nsid w:val="FFFFFF7E"/>
    <w:multiLevelType w:val="singleLevel"/>
    <w:tmpl w:val="8D0C7CF4"/>
    <w:lvl w:ilvl="0">
      <w:start w:val="1"/>
      <w:numFmt w:val="lowerRoman"/>
      <w:pStyle w:val="ListNumber3"/>
      <w:lvlText w:val="%1."/>
      <w:lvlJc w:val="right"/>
      <w:pPr>
        <w:ind w:left="360" w:hanging="360"/>
      </w:pPr>
    </w:lvl>
  </w:abstractNum>
  <w:abstractNum w:abstractNumId="1" w15:restartNumberingAfterBreak="0">
    <w:nsid w:val="02E11DBE"/>
    <w:multiLevelType w:val="hybridMultilevel"/>
    <w:tmpl w:val="49B405AE"/>
    <w:lvl w:ilvl="0" w:tplc="3D345300">
      <w:start w:val="1"/>
      <w:numFmt w:val="lowerLetter"/>
      <w:pStyle w:val="ListParagraph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3FCB"/>
    <w:multiLevelType w:val="multilevel"/>
    <w:tmpl w:val="146AA540"/>
    <w:lvl w:ilvl="0">
      <w:start w:val="1"/>
      <w:numFmt w:val="none"/>
      <w:pStyle w:val="Boxed2Text"/>
      <w:lvlText w:val=""/>
      <w:lvlJc w:val="left"/>
      <w:pPr>
        <w:ind w:left="0" w:firstLine="0"/>
      </w:pPr>
      <w:rPr>
        <w:rFonts w:hint="default"/>
        <w:w w:val="100"/>
        <w:sz w:val="20"/>
      </w:rPr>
    </w:lvl>
    <w:lvl w:ilvl="1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264F90"/>
      </w:rPr>
    </w:lvl>
    <w:lvl w:ilvl="2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9018F5"/>
    <w:multiLevelType w:val="hybridMultilevel"/>
    <w:tmpl w:val="74E86846"/>
    <w:lvl w:ilvl="0" w:tplc="D1566970">
      <w:start w:val="1"/>
      <w:numFmt w:val="lowerLetter"/>
      <w:pStyle w:val="ListNumber2"/>
      <w:lvlText w:val="%1."/>
      <w:lvlJc w:val="left"/>
      <w:pPr>
        <w:ind w:left="360" w:hanging="360"/>
      </w:pPr>
      <w:rPr>
        <w:rFonts w:hint="default"/>
      </w:rPr>
    </w:lvl>
    <w:lvl w:ilvl="1" w:tplc="5DFC24C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3665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0252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BEE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7E5D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B0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AB6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722B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F6B80"/>
    <w:multiLevelType w:val="multilevel"/>
    <w:tmpl w:val="AB240E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0D232A79"/>
    <w:multiLevelType w:val="multilevel"/>
    <w:tmpl w:val="75666942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ascii="Koblenz Serial Medium" w:hAnsi="Koblenz Serial Medium" w:hint="default"/>
        <w:b w:val="0"/>
        <w:i w:val="0"/>
        <w:color w:val="DA291C" w:themeColor="background2"/>
        <w:w w:val="100"/>
        <w:position w:val="-2"/>
        <w:sz w:val="6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color w:val="DA291C" w:themeColor="background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DA291C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787878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DA291C" w:themeColor="background2"/>
        <w:u w:color="787878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2E7"/>
    <w:multiLevelType w:val="multilevel"/>
    <w:tmpl w:val="DC7E8F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3D47ED"/>
    <w:multiLevelType w:val="hybridMultilevel"/>
    <w:tmpl w:val="32263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69FF"/>
    <w:multiLevelType w:val="hybridMultilevel"/>
    <w:tmpl w:val="CBF4F1AA"/>
    <w:lvl w:ilvl="0" w:tplc="A566C572">
      <w:start w:val="1"/>
      <w:numFmt w:val="decimal"/>
      <w:pStyle w:val="Appendixheading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67C2"/>
    <w:multiLevelType w:val="multilevel"/>
    <w:tmpl w:val="38F46CD2"/>
    <w:lvl w:ilvl="0">
      <w:start w:val="1"/>
      <w:numFmt w:val="bullet"/>
      <w:pStyle w:val="OtherHeading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7E5749" w:themeColor="accen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4AFE"/>
    <w:multiLevelType w:val="hybridMultilevel"/>
    <w:tmpl w:val="EFE24646"/>
    <w:lvl w:ilvl="0" w:tplc="72EEA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2"/>
        <w:szCs w:val="20"/>
        <w:u w:val="none"/>
        <w:effect w:val="no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89A5292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6BF"/>
    <w:multiLevelType w:val="multilevel"/>
    <w:tmpl w:val="4B405726"/>
    <w:numStyleLink w:val="CulperBulletList"/>
  </w:abstractNum>
  <w:abstractNum w:abstractNumId="13" w15:restartNumberingAfterBreak="0">
    <w:nsid w:val="33255F1F"/>
    <w:multiLevelType w:val="multilevel"/>
    <w:tmpl w:val="BD1EE1B4"/>
    <w:lvl w:ilvl="0">
      <w:start w:val="1"/>
      <w:numFmt w:val="decimal"/>
      <w:lvlText w:val="%1.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337B3642"/>
    <w:multiLevelType w:val="hybridMultilevel"/>
    <w:tmpl w:val="80606EE4"/>
    <w:lvl w:ilvl="0" w:tplc="4482B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1203"/>
    <w:multiLevelType w:val="multilevel"/>
    <w:tmpl w:val="F3629366"/>
    <w:lvl w:ilvl="0">
      <w:start w:val="1"/>
      <w:numFmt w:val="bullet"/>
      <w:pStyle w:val="ListBullet2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0066CC"/>
        <w:w w:val="100"/>
        <w:sz w:val="20"/>
      </w:rPr>
    </w:lvl>
    <w:lvl w:ilvl="1">
      <w:start w:val="1"/>
      <w:numFmt w:val="bullet"/>
      <w:lvlText w:val="•"/>
      <w:lvlJc w:val="left"/>
      <w:pPr>
        <w:tabs>
          <w:tab w:val="num" w:pos="1077"/>
        </w:tabs>
        <w:ind w:left="1437" w:hanging="360"/>
      </w:pPr>
      <w:rPr>
        <w:rFonts w:ascii="TheSansOffice" w:hAnsi="TheSansOffice" w:hint="default"/>
        <w:color w:val="0066CC"/>
      </w:rPr>
    </w:lvl>
    <w:lvl w:ilvl="2">
      <w:start w:val="1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6" w15:restartNumberingAfterBreak="0">
    <w:nsid w:val="377551F6"/>
    <w:multiLevelType w:val="multilevel"/>
    <w:tmpl w:val="45A6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3E3DA9"/>
    <w:multiLevelType w:val="hybridMultilevel"/>
    <w:tmpl w:val="B9547C2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B0D342B"/>
    <w:multiLevelType w:val="hybridMultilevel"/>
    <w:tmpl w:val="4358F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91C50"/>
    <w:multiLevelType w:val="multilevel"/>
    <w:tmpl w:val="E21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F16FDD"/>
    <w:multiLevelType w:val="multilevel"/>
    <w:tmpl w:val="268C4874"/>
    <w:lvl w:ilvl="0">
      <w:start w:val="1"/>
      <w:numFmt w:val="bullet"/>
      <w:pStyle w:val="List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66CC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Office" w:hAnsi="TheSansOffice" w:hint="default"/>
        <w:color w:val="0066C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E03FA"/>
    <w:multiLevelType w:val="multilevel"/>
    <w:tmpl w:val="73D2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EF65E7"/>
    <w:multiLevelType w:val="multilevel"/>
    <w:tmpl w:val="8CFE5026"/>
    <w:styleLink w:val="CulperNumberedList"/>
    <w:lvl w:ilvl="0">
      <w:start w:val="1"/>
      <w:numFmt w:val="upperLetter"/>
      <w:pStyle w:val="NumberedList0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DA291C" w:themeColor="background2"/>
        <w:sz w:val="22"/>
      </w:rPr>
    </w:lvl>
    <w:lvl w:ilvl="1">
      <w:start w:val="1"/>
      <w:numFmt w:val="lowerRoman"/>
      <w:lvlText w:val="%2."/>
      <w:lvlJc w:val="left"/>
      <w:pPr>
        <w:ind w:left="680" w:hanging="340"/>
      </w:pPr>
      <w:rPr>
        <w:rFonts w:hint="default"/>
        <w:color w:val="787878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C551AE"/>
    <w:multiLevelType w:val="hybridMultilevel"/>
    <w:tmpl w:val="0128D530"/>
    <w:lvl w:ilvl="0" w:tplc="50B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D211C"/>
    <w:multiLevelType w:val="multilevel"/>
    <w:tmpl w:val="E70A21BA"/>
    <w:styleLink w:val="Style1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787878" w:themeColor="text2"/>
        <w:sz w:val="20"/>
      </w:rPr>
    </w:lvl>
    <w:lvl w:ilvl="1">
      <w:start w:val="1"/>
      <w:numFmt w:val="bullet"/>
      <w:lvlText w:val="&gt;"/>
      <w:lvlJc w:val="left"/>
      <w:pPr>
        <w:ind w:left="680" w:hanging="340"/>
      </w:pPr>
      <w:rPr>
        <w:rFonts w:ascii="Century Gothic" w:hAnsi="Century Gothic" w:hint="default"/>
        <w:color w:val="787878" w:themeColor="text2"/>
        <w:sz w:val="20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  <w:color w:val="787878" w:themeColor="text2"/>
        <w:sz w:val="20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787878" w:themeColor="text2"/>
      </w:rPr>
    </w:lvl>
    <w:lvl w:ilvl="4">
      <w:start w:val="1"/>
      <w:numFmt w:val="bullet"/>
      <w:lvlText w:val="–"/>
      <w:lvlJc w:val="left"/>
      <w:pPr>
        <w:ind w:left="1700" w:hanging="340"/>
      </w:pPr>
      <w:rPr>
        <w:rFonts w:ascii="Century Gothic" w:hAnsi="Century Gothic" w:hint="default"/>
        <w:color w:val="787878" w:themeColor="text2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5" w15:restartNumberingAfterBreak="0">
    <w:nsid w:val="57BD4652"/>
    <w:multiLevelType w:val="hybridMultilevel"/>
    <w:tmpl w:val="1674C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D7477"/>
    <w:multiLevelType w:val="hybridMultilevel"/>
    <w:tmpl w:val="B8C02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687E67A0"/>
    <w:multiLevelType w:val="hybridMultilevel"/>
    <w:tmpl w:val="20A22844"/>
    <w:lvl w:ilvl="0" w:tplc="2E3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57438"/>
    <w:multiLevelType w:val="multilevel"/>
    <w:tmpl w:val="01740CA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06"/>
      </w:pPr>
      <w:rPr>
        <w:rFonts w:hint="default"/>
        <w:b w:val="0"/>
        <w:i w:val="0"/>
        <w:color w:val="auto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5C43BE9"/>
    <w:multiLevelType w:val="multilevel"/>
    <w:tmpl w:val="80360122"/>
    <w:styleLink w:val="StyleNumbered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80409A"/>
    <w:multiLevelType w:val="hybridMultilevel"/>
    <w:tmpl w:val="108C35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A17ADF"/>
    <w:multiLevelType w:val="multilevel"/>
    <w:tmpl w:val="2CEA8B7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16C40"/>
    <w:multiLevelType w:val="multilevel"/>
    <w:tmpl w:val="4D4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6977577">
    <w:abstractNumId w:val="10"/>
  </w:num>
  <w:num w:numId="2" w16cid:durableId="1113210847">
    <w:abstractNumId w:val="24"/>
  </w:num>
  <w:num w:numId="3" w16cid:durableId="1629628488">
    <w:abstractNumId w:val="5"/>
  </w:num>
  <w:num w:numId="4" w16cid:durableId="2006931734">
    <w:abstractNumId w:val="12"/>
  </w:num>
  <w:num w:numId="5" w16cid:durableId="1951431337">
    <w:abstractNumId w:val="6"/>
  </w:num>
  <w:num w:numId="6" w16cid:durableId="1225871228">
    <w:abstractNumId w:val="22"/>
  </w:num>
  <w:num w:numId="7" w16cid:durableId="1120223091">
    <w:abstractNumId w:val="1"/>
  </w:num>
  <w:num w:numId="8" w16cid:durableId="1718502774">
    <w:abstractNumId w:val="9"/>
  </w:num>
  <w:num w:numId="9" w16cid:durableId="1272474691">
    <w:abstractNumId w:val="29"/>
  </w:num>
  <w:num w:numId="10" w16cid:durableId="661785960">
    <w:abstractNumId w:val="0"/>
  </w:num>
  <w:num w:numId="11" w16cid:durableId="185557957">
    <w:abstractNumId w:val="15"/>
  </w:num>
  <w:num w:numId="12" w16cid:durableId="1335496733">
    <w:abstractNumId w:val="20"/>
  </w:num>
  <w:num w:numId="13" w16cid:durableId="1743987996">
    <w:abstractNumId w:val="34"/>
  </w:num>
  <w:num w:numId="14" w16cid:durableId="1734234234">
    <w:abstractNumId w:val="32"/>
  </w:num>
  <w:num w:numId="15" w16cid:durableId="1485314283">
    <w:abstractNumId w:val="3"/>
  </w:num>
  <w:num w:numId="16" w16cid:durableId="583802176">
    <w:abstractNumId w:val="7"/>
  </w:num>
  <w:num w:numId="17" w16cid:durableId="1338002177">
    <w:abstractNumId w:val="2"/>
  </w:num>
  <w:num w:numId="18" w16cid:durableId="919876537">
    <w:abstractNumId w:val="31"/>
  </w:num>
  <w:num w:numId="19" w16cid:durableId="1987279992">
    <w:abstractNumId w:val="27"/>
  </w:num>
  <w:num w:numId="20" w16cid:durableId="1296333834">
    <w:abstractNumId w:val="4"/>
  </w:num>
  <w:num w:numId="21" w16cid:durableId="1801454513">
    <w:abstractNumId w:val="25"/>
  </w:num>
  <w:num w:numId="22" w16cid:durableId="10133434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271164">
    <w:abstractNumId w:val="30"/>
  </w:num>
  <w:num w:numId="24" w16cid:durableId="5886598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666073">
    <w:abstractNumId w:val="13"/>
    <w:lvlOverride w:ilvl="0">
      <w:lvl w:ilvl="0">
        <w:start w:val="1"/>
        <w:numFmt w:val="decimal"/>
        <w:lvlText w:val="%1.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6" w16cid:durableId="1110903851">
    <w:abstractNumId w:val="18"/>
  </w:num>
  <w:num w:numId="27" w16cid:durableId="274408430">
    <w:abstractNumId w:val="8"/>
  </w:num>
  <w:num w:numId="28" w16cid:durableId="742485695">
    <w:abstractNumId w:val="23"/>
  </w:num>
  <w:num w:numId="29" w16cid:durableId="1504130687">
    <w:abstractNumId w:val="28"/>
  </w:num>
  <w:num w:numId="30" w16cid:durableId="1909069735">
    <w:abstractNumId w:val="11"/>
  </w:num>
  <w:num w:numId="31" w16cid:durableId="269707216">
    <w:abstractNumId w:val="33"/>
  </w:num>
  <w:num w:numId="32" w16cid:durableId="1438986386">
    <w:abstractNumId w:val="26"/>
  </w:num>
  <w:num w:numId="33" w16cid:durableId="108550955">
    <w:abstractNumId w:val="17"/>
  </w:num>
  <w:num w:numId="34" w16cid:durableId="1560240768">
    <w:abstractNumId w:val="35"/>
  </w:num>
  <w:num w:numId="35" w16cid:durableId="576062402">
    <w:abstractNumId w:val="21"/>
  </w:num>
  <w:num w:numId="36" w16cid:durableId="1783263948">
    <w:abstractNumId w:val="19"/>
  </w:num>
  <w:num w:numId="37" w16cid:durableId="1410346326">
    <w:abstractNumId w:val="16"/>
  </w:num>
  <w:num w:numId="38" w16cid:durableId="1205171932">
    <w:abstractNumId w:val="9"/>
    <w:lvlOverride w:ilvl="0">
      <w:startOverride w:val="1"/>
    </w:lvlOverride>
  </w:num>
  <w:num w:numId="39" w16cid:durableId="1430808809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SortMethod w:val="0000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jI3NjO2MDE1NjdQ0lEKTi0uzszPAykwrAUAr0bGHiwAAAA="/>
  </w:docVars>
  <w:rsids>
    <w:rsidRoot w:val="003A141E"/>
    <w:rsid w:val="0000281E"/>
    <w:rsid w:val="00005FDB"/>
    <w:rsid w:val="0000741B"/>
    <w:rsid w:val="000077E7"/>
    <w:rsid w:val="000228FF"/>
    <w:rsid w:val="00030191"/>
    <w:rsid w:val="0003123D"/>
    <w:rsid w:val="00041731"/>
    <w:rsid w:val="00044431"/>
    <w:rsid w:val="00044A8D"/>
    <w:rsid w:val="00050BFF"/>
    <w:rsid w:val="000535D1"/>
    <w:rsid w:val="000562BD"/>
    <w:rsid w:val="000613AE"/>
    <w:rsid w:val="0006407E"/>
    <w:rsid w:val="0007066C"/>
    <w:rsid w:val="00076137"/>
    <w:rsid w:val="0007747B"/>
    <w:rsid w:val="0008149D"/>
    <w:rsid w:val="00082AFE"/>
    <w:rsid w:val="000864B5"/>
    <w:rsid w:val="00086CAB"/>
    <w:rsid w:val="00094BE0"/>
    <w:rsid w:val="000A223B"/>
    <w:rsid w:val="000A3A98"/>
    <w:rsid w:val="000A7E8B"/>
    <w:rsid w:val="000B443D"/>
    <w:rsid w:val="000B49AF"/>
    <w:rsid w:val="000B50E8"/>
    <w:rsid w:val="000C0469"/>
    <w:rsid w:val="000C614D"/>
    <w:rsid w:val="000C6387"/>
    <w:rsid w:val="000D4543"/>
    <w:rsid w:val="000D5D71"/>
    <w:rsid w:val="000D5EF4"/>
    <w:rsid w:val="000E24FE"/>
    <w:rsid w:val="000E53D5"/>
    <w:rsid w:val="0010295F"/>
    <w:rsid w:val="00103B1F"/>
    <w:rsid w:val="00110B0F"/>
    <w:rsid w:val="00111C52"/>
    <w:rsid w:val="0011266F"/>
    <w:rsid w:val="00113CA8"/>
    <w:rsid w:val="00114322"/>
    <w:rsid w:val="0011670C"/>
    <w:rsid w:val="001218D2"/>
    <w:rsid w:val="00126AE1"/>
    <w:rsid w:val="00127F3C"/>
    <w:rsid w:val="001630B4"/>
    <w:rsid w:val="00166D6F"/>
    <w:rsid w:val="001674BE"/>
    <w:rsid w:val="00170856"/>
    <w:rsid w:val="0017127F"/>
    <w:rsid w:val="001730CA"/>
    <w:rsid w:val="001741C1"/>
    <w:rsid w:val="00176127"/>
    <w:rsid w:val="00180E5C"/>
    <w:rsid w:val="0018140F"/>
    <w:rsid w:val="00182893"/>
    <w:rsid w:val="00183868"/>
    <w:rsid w:val="00185950"/>
    <w:rsid w:val="0018789A"/>
    <w:rsid w:val="00194563"/>
    <w:rsid w:val="00194945"/>
    <w:rsid w:val="00195836"/>
    <w:rsid w:val="00195DF6"/>
    <w:rsid w:val="001970AA"/>
    <w:rsid w:val="001A25A6"/>
    <w:rsid w:val="001A300F"/>
    <w:rsid w:val="001A47A5"/>
    <w:rsid w:val="001A7F6F"/>
    <w:rsid w:val="001B44C1"/>
    <w:rsid w:val="001C21E4"/>
    <w:rsid w:val="001C3A47"/>
    <w:rsid w:val="001C4823"/>
    <w:rsid w:val="001C5E13"/>
    <w:rsid w:val="001C6D29"/>
    <w:rsid w:val="001C6F1F"/>
    <w:rsid w:val="001D3556"/>
    <w:rsid w:val="001D59BC"/>
    <w:rsid w:val="001D7007"/>
    <w:rsid w:val="001E047F"/>
    <w:rsid w:val="001E1FB9"/>
    <w:rsid w:val="001E3CC5"/>
    <w:rsid w:val="001F1165"/>
    <w:rsid w:val="001F4081"/>
    <w:rsid w:val="001F755A"/>
    <w:rsid w:val="00206639"/>
    <w:rsid w:val="002106F9"/>
    <w:rsid w:val="00217F41"/>
    <w:rsid w:val="00221FCF"/>
    <w:rsid w:val="00234C1D"/>
    <w:rsid w:val="00235C1A"/>
    <w:rsid w:val="00240E29"/>
    <w:rsid w:val="002516A7"/>
    <w:rsid w:val="00260A96"/>
    <w:rsid w:val="00262336"/>
    <w:rsid w:val="00263BE2"/>
    <w:rsid w:val="00270308"/>
    <w:rsid w:val="00272049"/>
    <w:rsid w:val="00274F51"/>
    <w:rsid w:val="00275346"/>
    <w:rsid w:val="00280686"/>
    <w:rsid w:val="002828C3"/>
    <w:rsid w:val="0029158D"/>
    <w:rsid w:val="002941FA"/>
    <w:rsid w:val="00294C5B"/>
    <w:rsid w:val="00296DA5"/>
    <w:rsid w:val="002A344D"/>
    <w:rsid w:val="002A76BB"/>
    <w:rsid w:val="002B4007"/>
    <w:rsid w:val="002C0077"/>
    <w:rsid w:val="002C1350"/>
    <w:rsid w:val="002D2AF2"/>
    <w:rsid w:val="002D3818"/>
    <w:rsid w:val="002D682D"/>
    <w:rsid w:val="002E20AA"/>
    <w:rsid w:val="002E7FC7"/>
    <w:rsid w:val="002F1645"/>
    <w:rsid w:val="002F2CE6"/>
    <w:rsid w:val="00305C45"/>
    <w:rsid w:val="00306F37"/>
    <w:rsid w:val="003078F5"/>
    <w:rsid w:val="0031608F"/>
    <w:rsid w:val="00320030"/>
    <w:rsid w:val="00320535"/>
    <w:rsid w:val="00321EAF"/>
    <w:rsid w:val="00331583"/>
    <w:rsid w:val="0033216C"/>
    <w:rsid w:val="00332980"/>
    <w:rsid w:val="00343FD1"/>
    <w:rsid w:val="003501B0"/>
    <w:rsid w:val="003529E8"/>
    <w:rsid w:val="0035318A"/>
    <w:rsid w:val="003611E1"/>
    <w:rsid w:val="0036297C"/>
    <w:rsid w:val="00362EE5"/>
    <w:rsid w:val="0036768A"/>
    <w:rsid w:val="00372FD6"/>
    <w:rsid w:val="0037468A"/>
    <w:rsid w:val="00374D67"/>
    <w:rsid w:val="0037558A"/>
    <w:rsid w:val="00376E53"/>
    <w:rsid w:val="0038060C"/>
    <w:rsid w:val="00381786"/>
    <w:rsid w:val="00386CD0"/>
    <w:rsid w:val="0039035F"/>
    <w:rsid w:val="00390A1D"/>
    <w:rsid w:val="003A141E"/>
    <w:rsid w:val="003A1548"/>
    <w:rsid w:val="003A2332"/>
    <w:rsid w:val="003A36A0"/>
    <w:rsid w:val="003B014D"/>
    <w:rsid w:val="003B590C"/>
    <w:rsid w:val="003C024A"/>
    <w:rsid w:val="003C29F4"/>
    <w:rsid w:val="003C4C33"/>
    <w:rsid w:val="003C6015"/>
    <w:rsid w:val="003D3205"/>
    <w:rsid w:val="003E039D"/>
    <w:rsid w:val="003E5CD2"/>
    <w:rsid w:val="003E7546"/>
    <w:rsid w:val="003E78EF"/>
    <w:rsid w:val="003F6A6D"/>
    <w:rsid w:val="00401148"/>
    <w:rsid w:val="0040553F"/>
    <w:rsid w:val="00412084"/>
    <w:rsid w:val="00423839"/>
    <w:rsid w:val="004326A7"/>
    <w:rsid w:val="004409EA"/>
    <w:rsid w:val="004430F0"/>
    <w:rsid w:val="00445E6A"/>
    <w:rsid w:val="004536DE"/>
    <w:rsid w:val="00457A8E"/>
    <w:rsid w:val="00463721"/>
    <w:rsid w:val="004737DF"/>
    <w:rsid w:val="00484536"/>
    <w:rsid w:val="00484FFC"/>
    <w:rsid w:val="00497EC6"/>
    <w:rsid w:val="004A0BB0"/>
    <w:rsid w:val="004A58BB"/>
    <w:rsid w:val="004B3D1A"/>
    <w:rsid w:val="004B6C63"/>
    <w:rsid w:val="004C2B7D"/>
    <w:rsid w:val="004D331B"/>
    <w:rsid w:val="004D45DD"/>
    <w:rsid w:val="004D7D71"/>
    <w:rsid w:val="004E1D89"/>
    <w:rsid w:val="004E31ED"/>
    <w:rsid w:val="004E3CFB"/>
    <w:rsid w:val="004E5F4C"/>
    <w:rsid w:val="004E7784"/>
    <w:rsid w:val="004F0FD6"/>
    <w:rsid w:val="004F1D36"/>
    <w:rsid w:val="0050762F"/>
    <w:rsid w:val="0051312D"/>
    <w:rsid w:val="00515752"/>
    <w:rsid w:val="00515830"/>
    <w:rsid w:val="0052263A"/>
    <w:rsid w:val="00523905"/>
    <w:rsid w:val="0052410D"/>
    <w:rsid w:val="005248E4"/>
    <w:rsid w:val="00534526"/>
    <w:rsid w:val="00534AD9"/>
    <w:rsid w:val="0053788D"/>
    <w:rsid w:val="00541687"/>
    <w:rsid w:val="005539F9"/>
    <w:rsid w:val="00555F05"/>
    <w:rsid w:val="00561118"/>
    <w:rsid w:val="00562088"/>
    <w:rsid w:val="0056414D"/>
    <w:rsid w:val="00565DED"/>
    <w:rsid w:val="00566AB4"/>
    <w:rsid w:val="00571CA8"/>
    <w:rsid w:val="00572D82"/>
    <w:rsid w:val="00573274"/>
    <w:rsid w:val="005850D9"/>
    <w:rsid w:val="00594DD7"/>
    <w:rsid w:val="00594FE6"/>
    <w:rsid w:val="005A3311"/>
    <w:rsid w:val="005A6FC6"/>
    <w:rsid w:val="005B0A87"/>
    <w:rsid w:val="005B1B4A"/>
    <w:rsid w:val="005B2396"/>
    <w:rsid w:val="005B5A7D"/>
    <w:rsid w:val="005B7049"/>
    <w:rsid w:val="005C0412"/>
    <w:rsid w:val="005C047F"/>
    <w:rsid w:val="005C4ADD"/>
    <w:rsid w:val="005C7EA6"/>
    <w:rsid w:val="005D36BB"/>
    <w:rsid w:val="005D3C06"/>
    <w:rsid w:val="005D460F"/>
    <w:rsid w:val="005D7630"/>
    <w:rsid w:val="005E0052"/>
    <w:rsid w:val="005E3D51"/>
    <w:rsid w:val="005E41E7"/>
    <w:rsid w:val="005E492B"/>
    <w:rsid w:val="005F1E9C"/>
    <w:rsid w:val="005F2809"/>
    <w:rsid w:val="005F3A4C"/>
    <w:rsid w:val="005F68EE"/>
    <w:rsid w:val="006028D1"/>
    <w:rsid w:val="00603BB7"/>
    <w:rsid w:val="00604703"/>
    <w:rsid w:val="0061332F"/>
    <w:rsid w:val="00614B93"/>
    <w:rsid w:val="00615F65"/>
    <w:rsid w:val="00631A33"/>
    <w:rsid w:val="006359B6"/>
    <w:rsid w:val="00636194"/>
    <w:rsid w:val="00640224"/>
    <w:rsid w:val="0064397A"/>
    <w:rsid w:val="00652C7B"/>
    <w:rsid w:val="00653BE6"/>
    <w:rsid w:val="006547DF"/>
    <w:rsid w:val="00656D71"/>
    <w:rsid w:val="00660B61"/>
    <w:rsid w:val="006624F6"/>
    <w:rsid w:val="0066569E"/>
    <w:rsid w:val="00667296"/>
    <w:rsid w:val="0066768F"/>
    <w:rsid w:val="0067486D"/>
    <w:rsid w:val="00675955"/>
    <w:rsid w:val="00680B53"/>
    <w:rsid w:val="00683DE1"/>
    <w:rsid w:val="00683F56"/>
    <w:rsid w:val="00686155"/>
    <w:rsid w:val="0069126A"/>
    <w:rsid w:val="006954D8"/>
    <w:rsid w:val="00695984"/>
    <w:rsid w:val="00697F85"/>
    <w:rsid w:val="006A1905"/>
    <w:rsid w:val="006A4E3F"/>
    <w:rsid w:val="006A583D"/>
    <w:rsid w:val="006A7714"/>
    <w:rsid w:val="006B1B53"/>
    <w:rsid w:val="006B31C5"/>
    <w:rsid w:val="006B626F"/>
    <w:rsid w:val="006C1EE5"/>
    <w:rsid w:val="006D1440"/>
    <w:rsid w:val="006E4D2E"/>
    <w:rsid w:val="006E6D25"/>
    <w:rsid w:val="006F36FB"/>
    <w:rsid w:val="007030BA"/>
    <w:rsid w:val="00704E29"/>
    <w:rsid w:val="007069B3"/>
    <w:rsid w:val="00715E48"/>
    <w:rsid w:val="007219C0"/>
    <w:rsid w:val="0072217B"/>
    <w:rsid w:val="0072505A"/>
    <w:rsid w:val="00725537"/>
    <w:rsid w:val="0073171D"/>
    <w:rsid w:val="0074537A"/>
    <w:rsid w:val="00745B7D"/>
    <w:rsid w:val="00746509"/>
    <w:rsid w:val="007616CE"/>
    <w:rsid w:val="00765533"/>
    <w:rsid w:val="00767185"/>
    <w:rsid w:val="00782548"/>
    <w:rsid w:val="00784BE8"/>
    <w:rsid w:val="0078719A"/>
    <w:rsid w:val="0079146E"/>
    <w:rsid w:val="00795B4E"/>
    <w:rsid w:val="007A75C7"/>
    <w:rsid w:val="007B1986"/>
    <w:rsid w:val="007B3C37"/>
    <w:rsid w:val="007B5ADC"/>
    <w:rsid w:val="007D0F38"/>
    <w:rsid w:val="007D5944"/>
    <w:rsid w:val="007D5B6C"/>
    <w:rsid w:val="007D6D46"/>
    <w:rsid w:val="007E5492"/>
    <w:rsid w:val="007E5546"/>
    <w:rsid w:val="008137A4"/>
    <w:rsid w:val="008141CE"/>
    <w:rsid w:val="0082634B"/>
    <w:rsid w:val="00830450"/>
    <w:rsid w:val="00844D85"/>
    <w:rsid w:val="008467F0"/>
    <w:rsid w:val="008514F4"/>
    <w:rsid w:val="00852F62"/>
    <w:rsid w:val="00856EF8"/>
    <w:rsid w:val="00861324"/>
    <w:rsid w:val="00865293"/>
    <w:rsid w:val="00867727"/>
    <w:rsid w:val="00876F5F"/>
    <w:rsid w:val="008865D3"/>
    <w:rsid w:val="00894261"/>
    <w:rsid w:val="008A1CE9"/>
    <w:rsid w:val="008A392D"/>
    <w:rsid w:val="008B02D7"/>
    <w:rsid w:val="008B2627"/>
    <w:rsid w:val="008C314B"/>
    <w:rsid w:val="008D47EC"/>
    <w:rsid w:val="008E3E52"/>
    <w:rsid w:val="008F120F"/>
    <w:rsid w:val="008F1BE8"/>
    <w:rsid w:val="008F3B90"/>
    <w:rsid w:val="008F6EF4"/>
    <w:rsid w:val="0090046B"/>
    <w:rsid w:val="009159E9"/>
    <w:rsid w:val="0091606F"/>
    <w:rsid w:val="009170C0"/>
    <w:rsid w:val="00936862"/>
    <w:rsid w:val="00941FF6"/>
    <w:rsid w:val="00947AE2"/>
    <w:rsid w:val="0095015E"/>
    <w:rsid w:val="009546ED"/>
    <w:rsid w:val="009569F6"/>
    <w:rsid w:val="00960E7A"/>
    <w:rsid w:val="00965716"/>
    <w:rsid w:val="00976227"/>
    <w:rsid w:val="00976849"/>
    <w:rsid w:val="00976CAC"/>
    <w:rsid w:val="00977CD5"/>
    <w:rsid w:val="00977DB2"/>
    <w:rsid w:val="00980285"/>
    <w:rsid w:val="00986303"/>
    <w:rsid w:val="009A07CF"/>
    <w:rsid w:val="009B05F9"/>
    <w:rsid w:val="009C0428"/>
    <w:rsid w:val="009C1EC1"/>
    <w:rsid w:val="009C481E"/>
    <w:rsid w:val="009C5F3D"/>
    <w:rsid w:val="009D0A21"/>
    <w:rsid w:val="009D4D08"/>
    <w:rsid w:val="009D6056"/>
    <w:rsid w:val="009D6329"/>
    <w:rsid w:val="009E1104"/>
    <w:rsid w:val="009E3A50"/>
    <w:rsid w:val="009E6B90"/>
    <w:rsid w:val="009E7F99"/>
    <w:rsid w:val="009F4677"/>
    <w:rsid w:val="00A01F5E"/>
    <w:rsid w:val="00A11E07"/>
    <w:rsid w:val="00A16D6C"/>
    <w:rsid w:val="00A22B07"/>
    <w:rsid w:val="00A243A2"/>
    <w:rsid w:val="00A25564"/>
    <w:rsid w:val="00A329F1"/>
    <w:rsid w:val="00A32E99"/>
    <w:rsid w:val="00A364F4"/>
    <w:rsid w:val="00A40BDD"/>
    <w:rsid w:val="00A43E01"/>
    <w:rsid w:val="00A47778"/>
    <w:rsid w:val="00A50BA8"/>
    <w:rsid w:val="00A51AA8"/>
    <w:rsid w:val="00A51C36"/>
    <w:rsid w:val="00A51C88"/>
    <w:rsid w:val="00A541C8"/>
    <w:rsid w:val="00A54DF7"/>
    <w:rsid w:val="00A55A27"/>
    <w:rsid w:val="00A6399A"/>
    <w:rsid w:val="00A7143A"/>
    <w:rsid w:val="00A75939"/>
    <w:rsid w:val="00A765D2"/>
    <w:rsid w:val="00A774B0"/>
    <w:rsid w:val="00A842AC"/>
    <w:rsid w:val="00A86D88"/>
    <w:rsid w:val="00A91D43"/>
    <w:rsid w:val="00A93407"/>
    <w:rsid w:val="00A938D0"/>
    <w:rsid w:val="00A97456"/>
    <w:rsid w:val="00AA0200"/>
    <w:rsid w:val="00AA1537"/>
    <w:rsid w:val="00AA3BC6"/>
    <w:rsid w:val="00AA476A"/>
    <w:rsid w:val="00AA621D"/>
    <w:rsid w:val="00AA6854"/>
    <w:rsid w:val="00AB32CF"/>
    <w:rsid w:val="00AC71DB"/>
    <w:rsid w:val="00AD3C55"/>
    <w:rsid w:val="00AD45CB"/>
    <w:rsid w:val="00AD6D76"/>
    <w:rsid w:val="00AF5E46"/>
    <w:rsid w:val="00AF7EAB"/>
    <w:rsid w:val="00B02647"/>
    <w:rsid w:val="00B058B8"/>
    <w:rsid w:val="00B068E0"/>
    <w:rsid w:val="00B07865"/>
    <w:rsid w:val="00B13413"/>
    <w:rsid w:val="00B16E7A"/>
    <w:rsid w:val="00B216EA"/>
    <w:rsid w:val="00B21EFB"/>
    <w:rsid w:val="00B235F9"/>
    <w:rsid w:val="00B275D0"/>
    <w:rsid w:val="00B33BCA"/>
    <w:rsid w:val="00B34551"/>
    <w:rsid w:val="00B37BD3"/>
    <w:rsid w:val="00B413CE"/>
    <w:rsid w:val="00B452E6"/>
    <w:rsid w:val="00B46A56"/>
    <w:rsid w:val="00B6393F"/>
    <w:rsid w:val="00B64063"/>
    <w:rsid w:val="00B70BE9"/>
    <w:rsid w:val="00B70E3C"/>
    <w:rsid w:val="00B74375"/>
    <w:rsid w:val="00B7674A"/>
    <w:rsid w:val="00B80428"/>
    <w:rsid w:val="00B811AF"/>
    <w:rsid w:val="00B8555B"/>
    <w:rsid w:val="00B9353F"/>
    <w:rsid w:val="00BA0DB7"/>
    <w:rsid w:val="00BA3E32"/>
    <w:rsid w:val="00BB7F6A"/>
    <w:rsid w:val="00BC1A40"/>
    <w:rsid w:val="00BC7626"/>
    <w:rsid w:val="00BD12A6"/>
    <w:rsid w:val="00BD1ECC"/>
    <w:rsid w:val="00BD210C"/>
    <w:rsid w:val="00BD5229"/>
    <w:rsid w:val="00BE2DB8"/>
    <w:rsid w:val="00BE45ED"/>
    <w:rsid w:val="00BE511A"/>
    <w:rsid w:val="00C030D5"/>
    <w:rsid w:val="00C10B9D"/>
    <w:rsid w:val="00C12CB5"/>
    <w:rsid w:val="00C3529B"/>
    <w:rsid w:val="00C42A69"/>
    <w:rsid w:val="00C54EDA"/>
    <w:rsid w:val="00C56C66"/>
    <w:rsid w:val="00C74664"/>
    <w:rsid w:val="00C75A43"/>
    <w:rsid w:val="00C87FA3"/>
    <w:rsid w:val="00C97834"/>
    <w:rsid w:val="00CA1B93"/>
    <w:rsid w:val="00CA213A"/>
    <w:rsid w:val="00CA3900"/>
    <w:rsid w:val="00CA5476"/>
    <w:rsid w:val="00CB0B20"/>
    <w:rsid w:val="00CB1B89"/>
    <w:rsid w:val="00CB1E9F"/>
    <w:rsid w:val="00CB283F"/>
    <w:rsid w:val="00CB2E67"/>
    <w:rsid w:val="00CB5A44"/>
    <w:rsid w:val="00CB7070"/>
    <w:rsid w:val="00CB709E"/>
    <w:rsid w:val="00CC0EF5"/>
    <w:rsid w:val="00CD64DD"/>
    <w:rsid w:val="00CE0CED"/>
    <w:rsid w:val="00CE2314"/>
    <w:rsid w:val="00CE5224"/>
    <w:rsid w:val="00CE5461"/>
    <w:rsid w:val="00CE6244"/>
    <w:rsid w:val="00CF56D2"/>
    <w:rsid w:val="00D13519"/>
    <w:rsid w:val="00D232BA"/>
    <w:rsid w:val="00D31A91"/>
    <w:rsid w:val="00D35941"/>
    <w:rsid w:val="00D51EDF"/>
    <w:rsid w:val="00D53060"/>
    <w:rsid w:val="00D57E5F"/>
    <w:rsid w:val="00D63C55"/>
    <w:rsid w:val="00D63EBC"/>
    <w:rsid w:val="00D73021"/>
    <w:rsid w:val="00D86589"/>
    <w:rsid w:val="00D9252B"/>
    <w:rsid w:val="00D9633C"/>
    <w:rsid w:val="00D97CE2"/>
    <w:rsid w:val="00DB26A7"/>
    <w:rsid w:val="00DB4163"/>
    <w:rsid w:val="00DB7169"/>
    <w:rsid w:val="00DB7658"/>
    <w:rsid w:val="00DB7F95"/>
    <w:rsid w:val="00DC53A1"/>
    <w:rsid w:val="00DC5E04"/>
    <w:rsid w:val="00DD626A"/>
    <w:rsid w:val="00DE550C"/>
    <w:rsid w:val="00DE74E5"/>
    <w:rsid w:val="00DF394A"/>
    <w:rsid w:val="00E0456C"/>
    <w:rsid w:val="00E11EAE"/>
    <w:rsid w:val="00E14A4D"/>
    <w:rsid w:val="00E2100F"/>
    <w:rsid w:val="00E21F85"/>
    <w:rsid w:val="00E36CB4"/>
    <w:rsid w:val="00E3719C"/>
    <w:rsid w:val="00E37ED7"/>
    <w:rsid w:val="00E45D08"/>
    <w:rsid w:val="00E604EB"/>
    <w:rsid w:val="00E6395E"/>
    <w:rsid w:val="00E63DB3"/>
    <w:rsid w:val="00E641BF"/>
    <w:rsid w:val="00E67AC2"/>
    <w:rsid w:val="00E821BF"/>
    <w:rsid w:val="00E8416B"/>
    <w:rsid w:val="00E85C03"/>
    <w:rsid w:val="00E9239C"/>
    <w:rsid w:val="00EA2C36"/>
    <w:rsid w:val="00EA58E7"/>
    <w:rsid w:val="00EA7738"/>
    <w:rsid w:val="00EB2CA3"/>
    <w:rsid w:val="00EB4D7F"/>
    <w:rsid w:val="00EB72B3"/>
    <w:rsid w:val="00EB7DB5"/>
    <w:rsid w:val="00EC2F44"/>
    <w:rsid w:val="00ED185A"/>
    <w:rsid w:val="00ED1993"/>
    <w:rsid w:val="00ED3F00"/>
    <w:rsid w:val="00ED4BE4"/>
    <w:rsid w:val="00ED509E"/>
    <w:rsid w:val="00EE56C4"/>
    <w:rsid w:val="00EE5755"/>
    <w:rsid w:val="00EE728D"/>
    <w:rsid w:val="00EE7885"/>
    <w:rsid w:val="00EF4891"/>
    <w:rsid w:val="00F01DBD"/>
    <w:rsid w:val="00F04868"/>
    <w:rsid w:val="00F05031"/>
    <w:rsid w:val="00F07C1B"/>
    <w:rsid w:val="00F10D07"/>
    <w:rsid w:val="00F10F5D"/>
    <w:rsid w:val="00F12416"/>
    <w:rsid w:val="00F124C5"/>
    <w:rsid w:val="00F12C8E"/>
    <w:rsid w:val="00F13587"/>
    <w:rsid w:val="00F145EE"/>
    <w:rsid w:val="00F158EE"/>
    <w:rsid w:val="00F26413"/>
    <w:rsid w:val="00F30231"/>
    <w:rsid w:val="00F328E5"/>
    <w:rsid w:val="00F3498A"/>
    <w:rsid w:val="00F406C5"/>
    <w:rsid w:val="00F46EFC"/>
    <w:rsid w:val="00F51804"/>
    <w:rsid w:val="00F57F48"/>
    <w:rsid w:val="00F607A9"/>
    <w:rsid w:val="00F61F39"/>
    <w:rsid w:val="00F658CE"/>
    <w:rsid w:val="00F70981"/>
    <w:rsid w:val="00F71BA3"/>
    <w:rsid w:val="00F76D34"/>
    <w:rsid w:val="00F76EB9"/>
    <w:rsid w:val="00F77ECF"/>
    <w:rsid w:val="00F8192F"/>
    <w:rsid w:val="00F84EDF"/>
    <w:rsid w:val="00FA14AF"/>
    <w:rsid w:val="00FA16B9"/>
    <w:rsid w:val="00FA553B"/>
    <w:rsid w:val="00FA77C5"/>
    <w:rsid w:val="00FB4EA5"/>
    <w:rsid w:val="00FB55F9"/>
    <w:rsid w:val="00FC1A0A"/>
    <w:rsid w:val="00FC5EBB"/>
    <w:rsid w:val="00FD0454"/>
    <w:rsid w:val="00FD51A3"/>
    <w:rsid w:val="00FE29C2"/>
    <w:rsid w:val="00FE5767"/>
    <w:rsid w:val="00FF2795"/>
    <w:rsid w:val="00FF6269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BF60BB8"/>
  <w15:docId w15:val="{E55C4659-6A37-4E66-9D3D-935E4EFE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AC"/>
    <w:pPr>
      <w:spacing w:after="240" w:line="312" w:lineRule="auto"/>
    </w:pPr>
    <w:rPr>
      <w:rFonts w:asciiTheme="minorHAnsi" w:hAnsiTheme="minorHAnsi"/>
      <w:color w:val="000000" w:themeColor="text1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7E8B"/>
    <w:pPr>
      <w:keepNext/>
      <w:keepLines/>
      <w:pageBreakBefore/>
      <w:numPr>
        <w:numId w:val="3"/>
      </w:numPr>
      <w:spacing w:after="400" w:line="240" w:lineRule="auto"/>
      <w:outlineLvl w:val="0"/>
    </w:pPr>
    <w:rPr>
      <w:rFonts w:asciiTheme="majorHAnsi" w:eastAsiaTheme="majorEastAsia" w:hAnsiTheme="majorHAnsi" w:cstheme="majorBidi"/>
      <w:bCs/>
      <w:caps/>
      <w:color w:val="DA291C" w:themeColor="background2"/>
      <w:position w:val="1"/>
      <w:sz w:val="48"/>
      <w:szCs w:val="28"/>
    </w:rPr>
  </w:style>
  <w:style w:type="paragraph" w:styleId="Heading2">
    <w:name w:val="heading 2"/>
    <w:aliases w:val="Heading 2 (numbered),Part,Major Headings,h2,- Main,Reset numbering,Major,Chapter Title,Attribute Heading 2,Heading 2 DSDN,2,h2 main heading,B Sub/Bold,B Sub/Bold1,B Sub/Bold2,B Sub/Bold11,h2 main heading1,h2 main heading2,B Sub/Bold3,h21"/>
    <w:basedOn w:val="Normal"/>
    <w:next w:val="Normal"/>
    <w:link w:val="Heading2Char"/>
    <w:unhideWhenUsed/>
    <w:qFormat/>
    <w:rsid w:val="004D7D71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bCs/>
      <w:color w:val="DA291C" w:themeColor="background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63C55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bCs/>
      <w:color w:val="DA291C" w:themeColor="background2"/>
    </w:rPr>
  </w:style>
  <w:style w:type="paragraph" w:styleId="Heading4">
    <w:name w:val="heading 4"/>
    <w:basedOn w:val="Normal"/>
    <w:next w:val="Normal"/>
    <w:link w:val="Heading4Char"/>
    <w:qFormat/>
    <w:rsid w:val="0006407E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aliases w:val="ASA5,Para5,Level 3 - i,sub-sub- sub-sub para,5,h5,h51,h52,H5,(A),A,Block Label"/>
    <w:basedOn w:val="Normal"/>
    <w:next w:val="Normal"/>
    <w:link w:val="Heading5Char"/>
    <w:qFormat/>
    <w:rsid w:val="00FA77C5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qFormat/>
    <w:rsid w:val="0006407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787878" w:themeColor="text2"/>
    </w:rPr>
  </w:style>
  <w:style w:type="paragraph" w:styleId="Heading7">
    <w:name w:val="heading 7"/>
    <w:basedOn w:val="Normal"/>
    <w:next w:val="Normal"/>
    <w:link w:val="Heading7Char"/>
    <w:qFormat/>
    <w:rsid w:val="00C97834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A22F0A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C97834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C97834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407E"/>
    <w:pPr>
      <w:tabs>
        <w:tab w:val="center" w:pos="4513"/>
        <w:tab w:val="right" w:pos="9026"/>
      </w:tabs>
      <w:spacing w:after="0" w:line="240" w:lineRule="auto"/>
    </w:pPr>
    <w:rPr>
      <w:color w:val="6D140E" w:themeColor="background2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6407E"/>
    <w:rPr>
      <w:rFonts w:asciiTheme="minorHAnsi" w:hAnsiTheme="minorHAnsi"/>
      <w:color w:val="6D140E" w:themeColor="background2" w:themeShade="80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D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D1993"/>
    <w:rPr>
      <w:rFonts w:asciiTheme="minorHAnsi" w:hAnsiTheme="minorHAnsi"/>
      <w:color w:val="000000" w:themeColor="tex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3B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014D"/>
    <w:rPr>
      <w:rFonts w:ascii="Tahoma" w:hAnsi="Tahoma" w:cs="Tahoma"/>
      <w:sz w:val="16"/>
      <w:szCs w:val="16"/>
      <w:lang w:eastAsia="en-US"/>
    </w:rPr>
  </w:style>
  <w:style w:type="paragraph" w:customStyle="1" w:styleId="CoverTitle">
    <w:name w:val="Cover Title"/>
    <w:basedOn w:val="Normal"/>
    <w:link w:val="CoverTitleChar"/>
    <w:qFormat/>
    <w:rsid w:val="00B16E7A"/>
    <w:pPr>
      <w:widowControl w:val="0"/>
      <w:pBdr>
        <w:bottom w:val="single" w:sz="8" w:space="30" w:color="787878" w:themeColor="text2"/>
      </w:pBdr>
      <w:spacing w:before="7000" w:after="600" w:line="240" w:lineRule="auto"/>
      <w:ind w:left="284"/>
    </w:pPr>
    <w:rPr>
      <w:rFonts w:asciiTheme="majorHAnsi" w:eastAsia="Century Gothic" w:hAnsiTheme="majorHAnsi" w:cs="Century Gothic"/>
      <w:sz w:val="60"/>
      <w:szCs w:val="60"/>
      <w:lang w:val="en-US"/>
    </w:rPr>
  </w:style>
  <w:style w:type="character" w:customStyle="1" w:styleId="CoverTitleChar">
    <w:name w:val="Cover Title Char"/>
    <w:basedOn w:val="DefaultParagraphFont"/>
    <w:link w:val="CoverTitle"/>
    <w:rsid w:val="00B16E7A"/>
    <w:rPr>
      <w:rFonts w:asciiTheme="majorHAnsi" w:eastAsia="Century Gothic" w:hAnsiTheme="majorHAnsi" w:cs="Century Gothic"/>
      <w:color w:val="000000" w:themeColor="text1"/>
      <w:sz w:val="60"/>
      <w:szCs w:val="60"/>
      <w:lang w:val="en-US" w:eastAsia="en-US"/>
    </w:rPr>
  </w:style>
  <w:style w:type="paragraph" w:customStyle="1" w:styleId="CoverSubheading">
    <w:name w:val="Cover Subheading"/>
    <w:basedOn w:val="Normal"/>
    <w:link w:val="CoverSubheadingChar"/>
    <w:qFormat/>
    <w:rsid w:val="00B16E7A"/>
    <w:pPr>
      <w:widowControl w:val="0"/>
      <w:spacing w:after="600" w:line="240" w:lineRule="auto"/>
      <w:ind w:left="284"/>
    </w:pPr>
    <w:rPr>
      <w:rFonts w:eastAsia="Century Gothic" w:cs="Century Gothic"/>
      <w:b/>
      <w:color w:val="DA291C" w:themeColor="background2"/>
      <w:sz w:val="28"/>
      <w:szCs w:val="30"/>
      <w:lang w:val="en-US"/>
    </w:rPr>
  </w:style>
  <w:style w:type="character" w:customStyle="1" w:styleId="CoverSubheadingChar">
    <w:name w:val="Cover Subheading Char"/>
    <w:basedOn w:val="DefaultParagraphFont"/>
    <w:link w:val="CoverSubheading"/>
    <w:rsid w:val="00B16E7A"/>
    <w:rPr>
      <w:rFonts w:asciiTheme="minorHAnsi" w:eastAsia="Century Gothic" w:hAnsiTheme="minorHAnsi" w:cs="Century Gothic"/>
      <w:b/>
      <w:color w:val="DA291C" w:themeColor="background2"/>
      <w:sz w:val="28"/>
      <w:szCs w:val="30"/>
      <w:lang w:val="en-US" w:eastAsia="en-US"/>
    </w:rPr>
  </w:style>
  <w:style w:type="paragraph" w:customStyle="1" w:styleId="CoverDate">
    <w:name w:val="Cover Date"/>
    <w:basedOn w:val="Normal"/>
    <w:link w:val="CoverDateChar"/>
    <w:qFormat/>
    <w:rsid w:val="00B16E7A"/>
    <w:pPr>
      <w:widowControl w:val="0"/>
      <w:spacing w:line="240" w:lineRule="auto"/>
      <w:ind w:left="284"/>
    </w:pPr>
    <w:rPr>
      <w:rFonts w:eastAsia="Century Gothic" w:cs="Century Gothic"/>
      <w:color w:val="242C31"/>
      <w:sz w:val="28"/>
      <w:szCs w:val="30"/>
      <w:lang w:val="en-US"/>
    </w:rPr>
  </w:style>
  <w:style w:type="character" w:customStyle="1" w:styleId="CoverDateChar">
    <w:name w:val="Cover Date Char"/>
    <w:basedOn w:val="DefaultParagraphFont"/>
    <w:link w:val="CoverDate"/>
    <w:rsid w:val="00B16E7A"/>
    <w:rPr>
      <w:rFonts w:asciiTheme="minorHAnsi" w:eastAsia="Century Gothic" w:hAnsiTheme="minorHAnsi" w:cs="Century Gothic"/>
      <w:color w:val="242C31"/>
      <w:sz w:val="28"/>
      <w:szCs w:val="30"/>
      <w:lang w:val="en-US" w:eastAsia="en-US"/>
    </w:rPr>
  </w:style>
  <w:style w:type="table" w:styleId="TableGrid">
    <w:name w:val="Table Grid"/>
    <w:basedOn w:val="TableNormal"/>
    <w:uiPriority w:val="99"/>
    <w:rsid w:val="0078719A"/>
    <w:tblPr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9546ED"/>
    <w:pPr>
      <w:spacing w:line="204" w:lineRule="auto"/>
    </w:pPr>
    <w:rPr>
      <w:rFonts w:asciiTheme="minorHAnsi" w:hAnsiTheme="minorHAnsi"/>
      <w:color w:val="000000" w:themeColor="text1"/>
      <w:sz w:val="22"/>
      <w:szCs w:val="22"/>
      <w:lang w:eastAsia="en-US"/>
    </w:rPr>
  </w:style>
  <w:style w:type="paragraph" w:customStyle="1" w:styleId="ContentsHeading">
    <w:name w:val="Contents Heading"/>
    <w:basedOn w:val="Normal"/>
    <w:link w:val="ContentsHeadingChar"/>
    <w:qFormat/>
    <w:rsid w:val="009B05F9"/>
    <w:pPr>
      <w:pBdr>
        <w:bottom w:val="single" w:sz="8" w:space="10" w:color="787878" w:themeColor="text2"/>
      </w:pBdr>
      <w:spacing w:after="400" w:line="240" w:lineRule="auto"/>
      <w:jc w:val="center"/>
    </w:pPr>
    <w:rPr>
      <w:rFonts w:asciiTheme="majorHAnsi" w:hAnsiTheme="majorHAnsi"/>
      <w:caps/>
      <w:color w:val="DA291C" w:themeColor="background2"/>
      <w:sz w:val="48"/>
      <w:szCs w:val="40"/>
    </w:rPr>
  </w:style>
  <w:style w:type="paragraph" w:customStyle="1" w:styleId="Tabletext">
    <w:name w:val="Table text"/>
    <w:basedOn w:val="Normal"/>
    <w:link w:val="TabletextChar"/>
    <w:qFormat/>
    <w:rsid w:val="00E14A4D"/>
    <w:pPr>
      <w:widowControl w:val="0"/>
      <w:spacing w:before="40" w:after="0" w:line="240" w:lineRule="auto"/>
    </w:pPr>
    <w:rPr>
      <w:rFonts w:eastAsia="Century Gothic" w:cs="Century Gothic"/>
      <w:color w:val="242C31"/>
      <w:sz w:val="20"/>
      <w:szCs w:val="20"/>
      <w:lang w:val="en-US"/>
    </w:rPr>
  </w:style>
  <w:style w:type="character" w:customStyle="1" w:styleId="ContentsHeadingChar">
    <w:name w:val="Contents Heading Char"/>
    <w:basedOn w:val="DefaultParagraphFont"/>
    <w:link w:val="ContentsHeading"/>
    <w:rsid w:val="009B05F9"/>
    <w:rPr>
      <w:rFonts w:asciiTheme="majorHAnsi" w:hAnsiTheme="majorHAnsi"/>
      <w:caps/>
      <w:color w:val="DA291C" w:themeColor="background2"/>
      <w:sz w:val="48"/>
      <w:szCs w:val="40"/>
      <w:lang w:eastAsia="en-US"/>
    </w:rPr>
  </w:style>
  <w:style w:type="character" w:customStyle="1" w:styleId="TabletextChar">
    <w:name w:val="Table text Char"/>
    <w:basedOn w:val="DefaultParagraphFont"/>
    <w:link w:val="Tabletext"/>
    <w:rsid w:val="00E14A4D"/>
    <w:rPr>
      <w:rFonts w:asciiTheme="minorHAnsi" w:eastAsia="Century Gothic" w:hAnsiTheme="minorHAnsi" w:cs="Century Gothic"/>
      <w:color w:val="242C31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A7E8B"/>
    <w:rPr>
      <w:rFonts w:asciiTheme="majorHAnsi" w:eastAsiaTheme="majorEastAsia" w:hAnsiTheme="majorHAnsi" w:cstheme="majorBidi"/>
      <w:bCs/>
      <w:caps/>
      <w:color w:val="DA291C" w:themeColor="background2"/>
      <w:position w:val="1"/>
      <w:sz w:val="48"/>
      <w:szCs w:val="28"/>
      <w:lang w:eastAsia="en-US"/>
    </w:rPr>
  </w:style>
  <w:style w:type="paragraph" w:styleId="TOCHeading">
    <w:name w:val="TOC Heading"/>
    <w:basedOn w:val="Heading1"/>
    <w:next w:val="Normal"/>
    <w:qFormat/>
    <w:rsid w:val="00D9633C"/>
    <w:pPr>
      <w:pageBreakBefore w:val="0"/>
      <w:pBdr>
        <w:bottom w:val="single" w:sz="4" w:space="10" w:color="787878" w:themeColor="text2"/>
      </w:pBdr>
      <w:spacing w:after="600" w:line="264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359B6"/>
    <w:pPr>
      <w:tabs>
        <w:tab w:val="left" w:pos="440"/>
        <w:tab w:val="right" w:pos="9356"/>
      </w:tabs>
    </w:pPr>
    <w:rPr>
      <w:color w:val="auto"/>
      <w:sz w:val="28"/>
    </w:rPr>
  </w:style>
  <w:style w:type="character" w:styleId="Hyperlink">
    <w:name w:val="Hyperlink"/>
    <w:basedOn w:val="DefaultParagraphFont"/>
    <w:uiPriority w:val="99"/>
    <w:unhideWhenUsed/>
    <w:rsid w:val="00CE2314"/>
    <w:rPr>
      <w:rFonts w:asciiTheme="minorHAnsi" w:hAnsiTheme="minorHAnsi"/>
      <w:color w:val="5A747D" w:themeColor="accent6"/>
      <w:sz w:val="20"/>
      <w:u w:val="single"/>
    </w:rPr>
  </w:style>
  <w:style w:type="character" w:customStyle="1" w:styleId="Heading2Char">
    <w:name w:val="Heading 2 Char"/>
    <w:aliases w:val="Heading 2 (numbered) Char,Part Char,Major Headings Char,h2 Char,- Main Char,Reset numbering Char,Major Char,Chapter Title Char,Attribute Heading 2 Char,Heading 2 DSDN Char,2 Char,h2 main heading Char,B Sub/Bold Char,B Sub/Bold1 Char"/>
    <w:basedOn w:val="DefaultParagraphFont"/>
    <w:link w:val="Heading2"/>
    <w:rsid w:val="004D7D71"/>
    <w:rPr>
      <w:rFonts w:asciiTheme="majorHAnsi" w:eastAsiaTheme="majorEastAsia" w:hAnsiTheme="majorHAnsi" w:cstheme="majorBidi"/>
      <w:b/>
      <w:bCs/>
      <w:color w:val="DA291C" w:themeColor="background2"/>
      <w:sz w:val="32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F120F"/>
    <w:pPr>
      <w:tabs>
        <w:tab w:val="left" w:leader="dot" w:pos="880"/>
        <w:tab w:val="right" w:pos="9356"/>
      </w:tabs>
      <w:ind w:left="426" w:hanging="426"/>
    </w:pPr>
    <w:rPr>
      <w:color w:val="auto"/>
    </w:rPr>
  </w:style>
  <w:style w:type="character" w:customStyle="1" w:styleId="Heading3Char">
    <w:name w:val="Heading 3 Char"/>
    <w:basedOn w:val="DefaultParagraphFont"/>
    <w:link w:val="Heading3"/>
    <w:rsid w:val="00D63C55"/>
    <w:rPr>
      <w:rFonts w:asciiTheme="majorHAnsi" w:eastAsiaTheme="majorEastAsia" w:hAnsiTheme="majorHAnsi" w:cstheme="majorBidi"/>
      <w:bCs/>
      <w:color w:val="DA291C" w:themeColor="background2"/>
      <w:sz w:val="22"/>
      <w:szCs w:val="22"/>
      <w:lang w:eastAsia="en-US"/>
    </w:rPr>
  </w:style>
  <w:style w:type="paragraph" w:customStyle="1" w:styleId="TableFigureChartTitle">
    <w:name w:val="Table Figure Chart Title"/>
    <w:basedOn w:val="Normal"/>
    <w:link w:val="TableFigureChartTitleChar"/>
    <w:qFormat/>
    <w:rsid w:val="00CB7070"/>
    <w:pPr>
      <w:pBdr>
        <w:top w:val="single" w:sz="8" w:space="10" w:color="787878" w:themeColor="text2"/>
      </w:pBdr>
      <w:spacing w:after="120"/>
    </w:pPr>
    <w:rPr>
      <w:color w:val="787878" w:themeColor="text2"/>
    </w:rPr>
  </w:style>
  <w:style w:type="character" w:styleId="SubtleReference">
    <w:name w:val="Subtle Reference"/>
    <w:basedOn w:val="DefaultParagraphFont"/>
    <w:uiPriority w:val="31"/>
    <w:semiHidden/>
    <w:rsid w:val="000C614D"/>
    <w:rPr>
      <w:smallCaps/>
      <w:color w:val="7E5749" w:themeColor="accent2"/>
      <w:u w:val="single"/>
    </w:rPr>
  </w:style>
  <w:style w:type="paragraph" w:customStyle="1" w:styleId="TableHeading">
    <w:name w:val="Table Heading"/>
    <w:basedOn w:val="Normal"/>
    <w:link w:val="TableHeadingChar"/>
    <w:qFormat/>
    <w:rsid w:val="00E14A4D"/>
    <w:pPr>
      <w:widowControl w:val="0"/>
      <w:spacing w:after="0" w:line="240" w:lineRule="auto"/>
    </w:pPr>
    <w:rPr>
      <w:rFonts w:eastAsia="Century Gothic" w:cs="Century Gothic"/>
      <w:sz w:val="20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0C614D"/>
    <w:rPr>
      <w:b/>
      <w:bCs/>
    </w:rPr>
  </w:style>
  <w:style w:type="numbering" w:customStyle="1" w:styleId="Style1">
    <w:name w:val="Style1"/>
    <w:uiPriority w:val="99"/>
    <w:rsid w:val="005C047F"/>
    <w:pPr>
      <w:numPr>
        <w:numId w:val="2"/>
      </w:numPr>
    </w:pPr>
  </w:style>
  <w:style w:type="character" w:customStyle="1" w:styleId="TableHeadingChar">
    <w:name w:val="Table Heading Char"/>
    <w:basedOn w:val="DefaultParagraphFont"/>
    <w:link w:val="TableHeading"/>
    <w:rsid w:val="00E14A4D"/>
    <w:rPr>
      <w:rFonts w:asciiTheme="minorHAnsi" w:eastAsia="Century Gothic" w:hAnsiTheme="minorHAnsi" w:cs="Century Gothic"/>
      <w:color w:val="000000" w:themeColor="text1"/>
      <w:szCs w:val="16"/>
      <w:lang w:val="en-US" w:eastAsia="en-US"/>
    </w:rPr>
  </w:style>
  <w:style w:type="paragraph" w:customStyle="1" w:styleId="SourceText">
    <w:name w:val="Source Text"/>
    <w:basedOn w:val="Normal"/>
    <w:link w:val="SourceTextChar"/>
    <w:qFormat/>
    <w:rsid w:val="0078719A"/>
    <w:pPr>
      <w:widowControl w:val="0"/>
      <w:spacing w:before="200" w:line="240" w:lineRule="auto"/>
    </w:pPr>
    <w:rPr>
      <w:rFonts w:eastAsia="Century Gothic" w:cs="Century Gothic"/>
      <w:i/>
      <w:color w:val="5E4136" w:themeColor="accent2" w:themeShade="BF"/>
      <w:sz w:val="16"/>
      <w:szCs w:val="16"/>
      <w:lang w:val="en-US"/>
    </w:rPr>
  </w:style>
  <w:style w:type="paragraph" w:customStyle="1" w:styleId="Bulletlist">
    <w:name w:val="Bullet list"/>
    <w:basedOn w:val="Normal"/>
    <w:link w:val="BulletlistChar"/>
    <w:qFormat/>
    <w:rsid w:val="00320535"/>
    <w:pPr>
      <w:numPr>
        <w:numId w:val="4"/>
      </w:numPr>
    </w:pPr>
  </w:style>
  <w:style w:type="paragraph" w:styleId="Quote">
    <w:name w:val="Quote"/>
    <w:link w:val="QuoteChar"/>
    <w:uiPriority w:val="29"/>
    <w:qFormat/>
    <w:rsid w:val="004430F0"/>
    <w:pPr>
      <w:pBdr>
        <w:top w:val="single" w:sz="8" w:space="1" w:color="E4E4E4" w:themeColor="text2" w:themeTint="33"/>
        <w:left w:val="single" w:sz="8" w:space="31" w:color="E4E4E4" w:themeColor="text2" w:themeTint="33"/>
        <w:bottom w:val="single" w:sz="8" w:space="1" w:color="E4E4E4" w:themeColor="text2" w:themeTint="33"/>
        <w:right w:val="single" w:sz="8" w:space="31" w:color="E4E4E4" w:themeColor="text2" w:themeTint="33"/>
      </w:pBdr>
      <w:shd w:val="clear" w:color="auto" w:fill="E4E4E4" w:themeFill="text2" w:themeFillTint="33"/>
      <w:spacing w:line="312" w:lineRule="auto"/>
      <w:ind w:left="414" w:right="408"/>
    </w:pPr>
    <w:rPr>
      <w:rFonts w:asciiTheme="minorHAnsi" w:hAnsiTheme="minorHAnsi"/>
      <w:iCs/>
      <w:color w:val="000000" w:themeColor="text1"/>
      <w:sz w:val="28"/>
      <w:szCs w:val="22"/>
      <w:lang w:eastAsia="en-US"/>
    </w:rPr>
  </w:style>
  <w:style w:type="character" w:customStyle="1" w:styleId="BulletlistChar">
    <w:name w:val="Bullet list Char"/>
    <w:basedOn w:val="DefaultParagraphFont"/>
    <w:link w:val="Bulletlist"/>
    <w:rsid w:val="00320535"/>
    <w:rPr>
      <w:rFonts w:asciiTheme="minorHAnsi" w:hAnsiTheme="minorHAnsi"/>
      <w:color w:val="000000" w:themeColor="text1"/>
      <w:sz w:val="22"/>
      <w:szCs w:val="22"/>
      <w:lang w:eastAsia="en-US"/>
    </w:rPr>
  </w:style>
  <w:style w:type="character" w:customStyle="1" w:styleId="SourceTextChar">
    <w:name w:val="Source Text Char"/>
    <w:basedOn w:val="DefaultParagraphFont"/>
    <w:link w:val="SourceText"/>
    <w:rsid w:val="0078719A"/>
    <w:rPr>
      <w:rFonts w:asciiTheme="minorHAnsi" w:eastAsia="Century Gothic" w:hAnsiTheme="minorHAnsi" w:cs="Century Gothic"/>
      <w:i/>
      <w:color w:val="5E4136" w:themeColor="accent2" w:themeShade="BF"/>
      <w:sz w:val="16"/>
      <w:szCs w:val="16"/>
      <w:lang w:val="en-US" w:eastAsia="en-US"/>
    </w:rPr>
  </w:style>
  <w:style w:type="table" w:customStyle="1" w:styleId="PeakboundTable">
    <w:name w:val="Peakbound Table"/>
    <w:basedOn w:val="TableNormal"/>
    <w:uiPriority w:val="99"/>
    <w:rsid w:val="0078719A"/>
    <w:pPr>
      <w:spacing w:before="40" w:after="40"/>
    </w:pPr>
    <w:rPr>
      <w:rFonts w:asciiTheme="minorHAnsi" w:hAnsiTheme="minorHAnsi"/>
      <w:color w:val="000000" w:themeColor="text1"/>
      <w:sz w:val="18"/>
    </w:rPr>
    <w:tblPr>
      <w:tblStyleRowBandSize w:val="1"/>
      <w:tblStyleColBandSize w:val="1"/>
      <w:tblBorders>
        <w:bottom w:val="single" w:sz="8" w:space="0" w:color="787878" w:themeColor="text2"/>
        <w:insideH w:val="single" w:sz="8" w:space="0" w:color="787878" w:themeColor="text2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  <w:tblStylePr w:type="firstRow">
      <w:rPr>
        <w:rFonts w:asciiTheme="minorHAnsi" w:hAnsiTheme="minorHAnsi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58967" w:themeFill="accent1"/>
      </w:tcPr>
    </w:tblStylePr>
    <w:tblStylePr w:type="lastRow">
      <w:rPr>
        <w:rFonts w:asciiTheme="minorHAnsi" w:hAnsiTheme="minorHAnsi"/>
        <w:b/>
        <w:color w:val="787878" w:themeColor="text2"/>
        <w:sz w:val="18"/>
      </w:rPr>
      <w:tblPr/>
      <w:tcPr>
        <w:shd w:val="clear" w:color="auto" w:fill="F58967" w:themeFill="accent1"/>
      </w:tcPr>
    </w:tblStylePr>
    <w:tblStylePr w:type="lastCol">
      <w:pPr>
        <w:jc w:val="right"/>
      </w:pPr>
      <w:rPr>
        <w:rFonts w:asciiTheme="minorHAnsi" w:hAnsiTheme="minorHAnsi"/>
        <w:b w:val="0"/>
        <w:sz w:val="18"/>
      </w:rPr>
    </w:tblStylePr>
    <w:tblStylePr w:type="band1Horz">
      <w:tblPr/>
      <w:tcPr>
        <w:shd w:val="clear" w:color="auto" w:fill="FDEDEB"/>
      </w:tcPr>
    </w:tblStylePr>
  </w:style>
  <w:style w:type="character" w:customStyle="1" w:styleId="Heading4Char">
    <w:name w:val="Heading 4 Char"/>
    <w:basedOn w:val="DefaultParagraphFont"/>
    <w:link w:val="Heading4"/>
    <w:rsid w:val="00D63C55"/>
    <w:rPr>
      <w:rFonts w:asciiTheme="majorHAnsi" w:eastAsiaTheme="majorEastAsia" w:hAnsiTheme="majorHAnsi" w:cstheme="majorBidi"/>
      <w:bCs/>
      <w:iCs/>
      <w:color w:val="000000" w:themeColor="text1"/>
      <w:sz w:val="22"/>
      <w:szCs w:val="22"/>
      <w:lang w:eastAsia="en-US"/>
    </w:rPr>
  </w:style>
  <w:style w:type="character" w:customStyle="1" w:styleId="TableFigureChartTitleChar">
    <w:name w:val="Table Figure Chart Title Char"/>
    <w:basedOn w:val="DefaultParagraphFont"/>
    <w:link w:val="TableFigureChartTitle"/>
    <w:rsid w:val="00CB7070"/>
    <w:rPr>
      <w:rFonts w:asciiTheme="minorHAnsi" w:hAnsiTheme="minorHAnsi"/>
      <w:color w:val="787878" w:themeColor="text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30F0"/>
    <w:rPr>
      <w:rFonts w:asciiTheme="minorHAnsi" w:hAnsiTheme="minorHAnsi"/>
      <w:iCs/>
      <w:color w:val="000000" w:themeColor="text1"/>
      <w:sz w:val="28"/>
      <w:szCs w:val="22"/>
      <w:shd w:val="clear" w:color="auto" w:fill="E4E4E4" w:themeFill="text2" w:themeFillTint="33"/>
      <w:lang w:eastAsia="en-US"/>
    </w:rPr>
  </w:style>
  <w:style w:type="character" w:styleId="Emphasis">
    <w:name w:val="Emphasis"/>
    <w:basedOn w:val="DefaultParagraphFont"/>
    <w:uiPriority w:val="20"/>
    <w:qFormat/>
    <w:rsid w:val="004F1D36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0C614D"/>
    <w:rPr>
      <w:rFonts w:asciiTheme="minorHAnsi" w:hAnsiTheme="minorHAnsi"/>
      <w:b/>
      <w:bCs/>
      <w:i/>
      <w:iCs/>
      <w:color w:val="F58967" w:themeColor="accent1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0C614D"/>
    <w:rPr>
      <w:rFonts w:asciiTheme="minorHAnsi" w:hAnsiTheme="minorHAnsi"/>
      <w:i/>
      <w:iCs/>
      <w:color w:val="808080" w:themeColor="text1" w:themeTint="7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A32E99"/>
    <w:pPr>
      <w:tabs>
        <w:tab w:val="left" w:pos="1418"/>
        <w:tab w:val="right" w:pos="9628"/>
      </w:tabs>
      <w:ind w:left="425"/>
    </w:pPr>
    <w:rPr>
      <w:noProof/>
      <w:color w:val="auto"/>
      <w:lang w:eastAsia="en-AU"/>
    </w:rPr>
  </w:style>
  <w:style w:type="paragraph" w:customStyle="1" w:styleId="FigurecontentsPage">
    <w:name w:val="Figure contents Page"/>
    <w:basedOn w:val="Normal"/>
    <w:link w:val="FigurecontentsPageChar"/>
    <w:semiHidden/>
    <w:qFormat/>
    <w:rsid w:val="00F10D07"/>
    <w:pPr>
      <w:tabs>
        <w:tab w:val="right" w:pos="9628"/>
      </w:tabs>
    </w:pPr>
    <w:rPr>
      <w:noProof/>
    </w:rPr>
  </w:style>
  <w:style w:type="character" w:customStyle="1" w:styleId="Heading5Char">
    <w:name w:val="Heading 5 Char"/>
    <w:aliases w:val="ASA5 Char,Para5 Char,Level 3 - i Char,sub-sub- sub-sub para Char,5 Char,h5 Char,h51 Char,h52 Char,H5 Char,(A) Char,A Char,Block Label Char"/>
    <w:basedOn w:val="DefaultParagraphFont"/>
    <w:link w:val="Heading5"/>
    <w:rsid w:val="00D63C55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BC7626"/>
    <w:pPr>
      <w:numPr>
        <w:ilvl w:val="1"/>
      </w:numPr>
    </w:pPr>
    <w:rPr>
      <w:rFonts w:asciiTheme="majorHAnsi" w:eastAsiaTheme="majorEastAsia" w:hAnsiTheme="majorHAnsi" w:cstheme="majorBidi"/>
      <w:i/>
      <w:iCs/>
      <w:color w:val="F5896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77C5"/>
    <w:rPr>
      <w:rFonts w:asciiTheme="majorHAnsi" w:eastAsiaTheme="majorEastAsia" w:hAnsiTheme="majorHAnsi" w:cstheme="majorBidi"/>
      <w:i/>
      <w:iCs/>
      <w:color w:val="F58967" w:themeColor="accent1"/>
      <w:spacing w:val="15"/>
      <w:sz w:val="24"/>
      <w:szCs w:val="24"/>
      <w:lang w:eastAsia="en-US"/>
    </w:rPr>
  </w:style>
  <w:style w:type="paragraph" w:customStyle="1" w:styleId="QuoteMarks">
    <w:name w:val="Quote Marks"/>
    <w:qFormat/>
    <w:rsid w:val="004430F0"/>
    <w:pPr>
      <w:pBdr>
        <w:top w:val="single" w:sz="8" w:space="8" w:color="E4E4E4" w:themeColor="text2" w:themeTint="33"/>
        <w:left w:val="single" w:sz="8" w:space="10" w:color="E4E4E4" w:themeColor="text2" w:themeTint="33"/>
        <w:bottom w:val="single" w:sz="8" w:space="8" w:color="E4E4E4" w:themeColor="text2" w:themeTint="33"/>
        <w:right w:val="single" w:sz="8" w:space="10" w:color="E4E4E4" w:themeColor="text2" w:themeTint="33"/>
      </w:pBdr>
      <w:shd w:val="clear" w:color="auto" w:fill="E4E4E4" w:themeFill="text2" w:themeFillTint="33"/>
    </w:pPr>
    <w:rPr>
      <w:rFonts w:asciiTheme="minorHAnsi" w:hAnsiTheme="minorHAnsi"/>
      <w:iCs/>
      <w:color w:val="000000" w:themeColor="text1"/>
      <w:sz w:val="28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A77C5"/>
    <w:pPr>
      <w:pBdr>
        <w:bottom w:val="single" w:sz="4" w:space="4" w:color="F58967" w:themeColor="accent1"/>
      </w:pBdr>
      <w:spacing w:before="200" w:after="280"/>
      <w:ind w:left="936" w:right="936"/>
    </w:pPr>
    <w:rPr>
      <w:b/>
      <w:bCs/>
      <w:i/>
      <w:iCs/>
      <w:color w:val="F5896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77C5"/>
    <w:rPr>
      <w:rFonts w:asciiTheme="minorHAnsi" w:hAnsiTheme="minorHAnsi"/>
      <w:b/>
      <w:bCs/>
      <w:i/>
      <w:iCs/>
      <w:color w:val="F58967" w:themeColor="accent1"/>
      <w:szCs w:val="22"/>
      <w:lang w:eastAsia="en-US"/>
    </w:rPr>
  </w:style>
  <w:style w:type="character" w:customStyle="1" w:styleId="FigurecontentsPageChar">
    <w:name w:val="Figure contents Page Char"/>
    <w:basedOn w:val="DefaultParagraphFont"/>
    <w:link w:val="FigurecontentsPage"/>
    <w:semiHidden/>
    <w:rsid w:val="00F10D07"/>
    <w:rPr>
      <w:rFonts w:asciiTheme="minorHAnsi" w:hAnsiTheme="minorHAnsi"/>
      <w:noProof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D632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6329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9D6329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F70981"/>
    <w:pPr>
      <w:tabs>
        <w:tab w:val="left" w:pos="1418"/>
        <w:tab w:val="right" w:pos="9628"/>
      </w:tabs>
      <w:spacing w:after="100"/>
      <w:ind w:left="425"/>
    </w:pPr>
    <w:rPr>
      <w:color w:val="7E5749" w:themeColor="accent2"/>
    </w:rPr>
  </w:style>
  <w:style w:type="paragraph" w:styleId="Caption">
    <w:name w:val="caption"/>
    <w:basedOn w:val="TableFigureChartTitle"/>
    <w:next w:val="Normal"/>
    <w:uiPriority w:val="35"/>
    <w:qFormat/>
    <w:rsid w:val="00A16D6C"/>
    <w:pPr>
      <w:pBdr>
        <w:top w:val="single" w:sz="8" w:space="10" w:color="FFFFFF" w:themeColor="background1"/>
        <w:left w:val="single" w:sz="8" w:space="10" w:color="FFFFFF" w:themeColor="background1"/>
        <w:bottom w:val="single" w:sz="8" w:space="10" w:color="FFFFFF" w:themeColor="background1"/>
        <w:right w:val="single" w:sz="8" w:space="10" w:color="FFFFFF" w:themeColor="background1"/>
      </w:pBdr>
      <w:shd w:val="clear" w:color="auto" w:fill="E4E4E4" w:themeFill="text2" w:themeFillTint="33"/>
    </w:pPr>
    <w:rPr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rsid w:val="00D63C55"/>
    <w:rPr>
      <w:rFonts w:asciiTheme="majorHAnsi" w:eastAsiaTheme="majorEastAsia" w:hAnsiTheme="majorHAnsi" w:cstheme="majorBidi"/>
      <w:color w:val="787878" w:themeColor="text2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D63C55"/>
    <w:rPr>
      <w:rFonts w:asciiTheme="majorHAnsi" w:eastAsiaTheme="majorEastAsia" w:hAnsiTheme="majorHAnsi" w:cstheme="majorBidi"/>
      <w:i/>
      <w:iCs/>
      <w:color w:val="A22F0A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63C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D6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ividerHeading">
    <w:name w:val="Divider Heading"/>
    <w:basedOn w:val="CoverTitle"/>
    <w:link w:val="DividerHeadingChar"/>
    <w:qFormat/>
    <w:rsid w:val="00A22B07"/>
    <w:pPr>
      <w:pBdr>
        <w:top w:val="single" w:sz="4" w:space="20" w:color="DA291C" w:themeColor="background2"/>
        <w:bottom w:val="none" w:sz="0" w:space="0" w:color="auto"/>
      </w:pBdr>
      <w:spacing w:before="600"/>
    </w:pPr>
    <w:rPr>
      <w:color w:val="DA291C" w:themeColor="background2"/>
      <w:sz w:val="80"/>
    </w:rPr>
  </w:style>
  <w:style w:type="character" w:customStyle="1" w:styleId="DividerHeadingChar">
    <w:name w:val="Divider Heading Char"/>
    <w:basedOn w:val="CoverTitleChar"/>
    <w:link w:val="DividerHeading"/>
    <w:rsid w:val="00A22B07"/>
    <w:rPr>
      <w:rFonts w:asciiTheme="majorHAnsi" w:eastAsia="Century Gothic" w:hAnsiTheme="majorHAnsi" w:cs="Century Gothic"/>
      <w:color w:val="DA291C" w:themeColor="background2"/>
      <w:sz w:val="80"/>
      <w:szCs w:val="6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0B61"/>
    <w:pPr>
      <w:spacing w:after="0" w:line="240" w:lineRule="auto"/>
    </w:pPr>
    <w:rPr>
      <w:rFonts w:ascii="Consolas" w:hAnsi="Consolas" w:cs="Consolas"/>
      <w:color w:val="auto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0B61"/>
    <w:rPr>
      <w:rFonts w:ascii="Consolas" w:hAnsi="Consolas" w:cs="Consolas"/>
      <w:sz w:val="21"/>
      <w:szCs w:val="21"/>
    </w:rPr>
  </w:style>
  <w:style w:type="paragraph" w:customStyle="1" w:styleId="QuoteSmall">
    <w:name w:val="Quote Small"/>
    <w:basedOn w:val="Quote"/>
    <w:qFormat/>
    <w:rsid w:val="00CB0B20"/>
    <w:rPr>
      <w:sz w:val="22"/>
    </w:rPr>
  </w:style>
  <w:style w:type="paragraph" w:customStyle="1" w:styleId="QuoteMarksSmall">
    <w:name w:val="Quote Marks Small"/>
    <w:basedOn w:val="QuoteMarks"/>
    <w:next w:val="QuoteSmall"/>
    <w:qFormat/>
    <w:rsid w:val="00CB0B20"/>
    <w:pPr>
      <w:pBdr>
        <w:top w:val="single" w:sz="8" w:space="4" w:color="E4E4E4" w:themeColor="text2" w:themeTint="33"/>
        <w:bottom w:val="single" w:sz="8" w:space="4" w:color="E4E4E4" w:themeColor="text2" w:themeTint="33"/>
      </w:pBdr>
    </w:pPr>
  </w:style>
  <w:style w:type="paragraph" w:customStyle="1" w:styleId="TableText0">
    <w:name w:val="Table Text"/>
    <w:basedOn w:val="Normal"/>
    <w:qFormat/>
    <w:rsid w:val="00660B61"/>
    <w:pPr>
      <w:spacing w:before="120" w:after="120" w:line="240" w:lineRule="auto"/>
      <w:jc w:val="both"/>
    </w:pPr>
    <w:rPr>
      <w:rFonts w:ascii="Arial" w:eastAsia="Times New Roman" w:hAnsi="Arial"/>
      <w:color w:val="auto"/>
      <w:szCs w:val="20"/>
    </w:rPr>
  </w:style>
  <w:style w:type="paragraph" w:customStyle="1" w:styleId="Default">
    <w:name w:val="Default"/>
    <w:rsid w:val="00660B6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nhideWhenUsed/>
    <w:rsid w:val="00CB7070"/>
    <w:rPr>
      <w:rFonts w:ascii="Arial" w:hAnsi="Arial" w:cs="Arial" w:hint="default"/>
      <w:sz w:val="16"/>
    </w:rPr>
  </w:style>
  <w:style w:type="paragraph" w:customStyle="1" w:styleId="ImprintDetals">
    <w:name w:val="Imprint Detals"/>
    <w:qFormat/>
    <w:rsid w:val="00412084"/>
    <w:pPr>
      <w:spacing w:before="10000" w:line="480" w:lineRule="auto"/>
    </w:pPr>
    <w:rPr>
      <w:rFonts w:asciiTheme="minorHAnsi" w:hAnsiTheme="minorHAnsi"/>
      <w:color w:val="000000" w:themeColor="text1"/>
      <w:sz w:val="18"/>
      <w:szCs w:val="22"/>
      <w:lang w:eastAsia="en-US"/>
    </w:rPr>
  </w:style>
  <w:style w:type="numbering" w:customStyle="1" w:styleId="CulperBulletList">
    <w:name w:val="Culper Bullet List"/>
    <w:uiPriority w:val="99"/>
    <w:rsid w:val="00320535"/>
    <w:pPr>
      <w:numPr>
        <w:numId w:val="5"/>
      </w:numPr>
    </w:pPr>
  </w:style>
  <w:style w:type="paragraph" w:customStyle="1" w:styleId="NumberedList0">
    <w:name w:val="Numbered List"/>
    <w:qFormat/>
    <w:rsid w:val="0037558A"/>
    <w:pPr>
      <w:numPr>
        <w:numId w:val="6"/>
      </w:numPr>
      <w:spacing w:after="240" w:line="312" w:lineRule="auto"/>
    </w:pPr>
    <w:rPr>
      <w:rFonts w:asciiTheme="minorHAnsi" w:hAnsiTheme="minorHAnsi"/>
      <w:color w:val="000000" w:themeColor="text1"/>
      <w:sz w:val="22"/>
      <w:szCs w:val="22"/>
      <w:lang w:eastAsia="en-US"/>
    </w:rPr>
  </w:style>
  <w:style w:type="numbering" w:customStyle="1" w:styleId="CulperNumberedList">
    <w:name w:val="Culper Numbered List"/>
    <w:uiPriority w:val="99"/>
    <w:rsid w:val="0037558A"/>
    <w:pPr>
      <w:numPr>
        <w:numId w:val="6"/>
      </w:numPr>
    </w:pPr>
  </w:style>
  <w:style w:type="paragraph" w:customStyle="1" w:styleId="PersonnelName">
    <w:name w:val="Personnel Name"/>
    <w:next w:val="PersonnelPosition"/>
    <w:qFormat/>
    <w:rsid w:val="009546ED"/>
    <w:pPr>
      <w:spacing w:after="60"/>
    </w:pPr>
    <w:rPr>
      <w:rFonts w:asciiTheme="minorHAnsi" w:hAnsiTheme="minorHAnsi"/>
      <w:b/>
      <w:color w:val="DA291C" w:themeColor="background2"/>
      <w:sz w:val="36"/>
      <w:szCs w:val="28"/>
      <w:lang w:val="en-US" w:eastAsia="en-US"/>
    </w:rPr>
  </w:style>
  <w:style w:type="paragraph" w:customStyle="1" w:styleId="PersonnelPosition">
    <w:name w:val="Personnel Position"/>
    <w:next w:val="PersonnelCredentials"/>
    <w:qFormat/>
    <w:rsid w:val="009546ED"/>
    <w:pPr>
      <w:spacing w:after="60"/>
    </w:pPr>
    <w:rPr>
      <w:rFonts w:asciiTheme="minorHAnsi" w:hAnsiTheme="minorHAnsi"/>
      <w:color w:val="000000" w:themeColor="text1"/>
      <w:sz w:val="22"/>
      <w:szCs w:val="28"/>
      <w:lang w:val="en-US" w:eastAsia="en-US"/>
    </w:rPr>
  </w:style>
  <w:style w:type="paragraph" w:customStyle="1" w:styleId="PersonnelCredentials">
    <w:name w:val="Personnel Credentials"/>
    <w:qFormat/>
    <w:rsid w:val="00876F5F"/>
    <w:pPr>
      <w:spacing w:before="40"/>
    </w:pPr>
    <w:rPr>
      <w:rFonts w:asciiTheme="minorHAnsi" w:hAnsiTheme="minorHAnsi"/>
      <w:sz w:val="16"/>
      <w:szCs w:val="18"/>
      <w:lang w:val="en-US" w:eastAsia="en-US"/>
    </w:rPr>
  </w:style>
  <w:style w:type="paragraph" w:customStyle="1" w:styleId="BodyHeadingBlue">
    <w:name w:val="Body Heading Blue"/>
    <w:next w:val="Normal"/>
    <w:qFormat/>
    <w:rsid w:val="009546ED"/>
    <w:pPr>
      <w:spacing w:after="120"/>
    </w:pPr>
    <w:rPr>
      <w:rFonts w:asciiTheme="minorHAnsi" w:hAnsiTheme="minorHAnsi"/>
      <w:b/>
      <w:color w:val="DA291C" w:themeColor="background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867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7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7727"/>
    <w:rPr>
      <w:rFonts w:asciiTheme="minorHAnsi" w:hAnsi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67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7727"/>
    <w:rPr>
      <w:rFonts w:asciiTheme="minorHAnsi" w:hAnsiTheme="minorHAnsi"/>
      <w:b/>
      <w:bCs/>
      <w:color w:val="000000" w:themeColor="text1"/>
      <w:lang w:eastAsia="en-US"/>
    </w:rPr>
  </w:style>
  <w:style w:type="numbering" w:customStyle="1" w:styleId="CulperBulletList1">
    <w:name w:val="Culper Bullet List1"/>
    <w:uiPriority w:val="99"/>
    <w:rsid w:val="00BE2DB8"/>
  </w:style>
  <w:style w:type="paragraph" w:styleId="ListParagraph">
    <w:name w:val="List Paragraph"/>
    <w:aliases w:val="First level bullet point,Bullet (1st level),Recommendation,dot point 1,Body Numbering,Brief List Paragraph 1,First level bullet,List Paragraph1,standard lewis,List Paragraph11,L,FooterText,numbered,Paragraphe de liste1,列出段落,列出段落1,Number,b"/>
    <w:basedOn w:val="Normal"/>
    <w:link w:val="ListParagraphChar"/>
    <w:autoRedefine/>
    <w:uiPriority w:val="34"/>
    <w:qFormat/>
    <w:rsid w:val="00F71BA3"/>
    <w:pPr>
      <w:numPr>
        <w:numId w:val="7"/>
      </w:numPr>
      <w:tabs>
        <w:tab w:val="center" w:pos="4513"/>
        <w:tab w:val="right" w:pos="9026"/>
      </w:tabs>
      <w:spacing w:after="0" w:line="360" w:lineRule="auto"/>
      <w:contextualSpacing/>
      <w:jc w:val="both"/>
    </w:pPr>
    <w:rPr>
      <w:rFonts w:ascii="Univers Com 45 Light" w:hAnsi="Univers Com 45 Light"/>
      <w:color w:val="414141"/>
      <w:sz w:val="20"/>
      <w:szCs w:val="20"/>
      <w:lang w:val="en-GB" w:bidi="en-US"/>
    </w:rPr>
  </w:style>
  <w:style w:type="character" w:customStyle="1" w:styleId="ListParagraphChar">
    <w:name w:val="List Paragraph Char"/>
    <w:aliases w:val="First level bullet point Char,Bullet (1st level) Char,Recommendation Char,dot point 1 Char,Body Numbering Char,Brief List Paragraph 1 Char,First level bullet Char,List Paragraph1 Char,standard lewis Char,List Paragraph11 Char,L Char"/>
    <w:basedOn w:val="DefaultParagraphFont"/>
    <w:link w:val="ListParagraph"/>
    <w:uiPriority w:val="34"/>
    <w:qFormat/>
    <w:rsid w:val="00F71BA3"/>
    <w:rPr>
      <w:rFonts w:ascii="Univers Com 45 Light" w:hAnsi="Univers Com 45 Light"/>
      <w:color w:val="414141"/>
      <w:lang w:val="en-GB" w:eastAsia="en-US" w:bidi="en-US"/>
    </w:rPr>
  </w:style>
  <w:style w:type="character" w:customStyle="1" w:styleId="Heading2-newtempplateChar">
    <w:name w:val="Heading 2 - new tempplate Char"/>
    <w:basedOn w:val="DefaultParagraphFont"/>
    <w:link w:val="Heading2-newtempplate"/>
    <w:locked/>
    <w:rsid w:val="00965716"/>
    <w:rPr>
      <w:rFonts w:ascii="Koblenz Serial Light" w:hAnsi="Koblenz Serial Light" w:cstheme="minorBidi"/>
      <w:bCs/>
      <w:color w:val="DA291C"/>
      <w:sz w:val="32"/>
      <w:szCs w:val="26"/>
      <w:lang w:val="en-GB" w:bidi="en-US"/>
    </w:rPr>
  </w:style>
  <w:style w:type="paragraph" w:customStyle="1" w:styleId="Heading2-newtempplate">
    <w:name w:val="Heading 2 - new tempplate"/>
    <w:basedOn w:val="Heading2"/>
    <w:next w:val="Normal"/>
    <w:link w:val="Heading2-newtempplateChar"/>
    <w:autoRedefine/>
    <w:qFormat/>
    <w:rsid w:val="00965716"/>
    <w:pPr>
      <w:keepLines w:val="0"/>
      <w:numPr>
        <w:ilvl w:val="0"/>
        <w:numId w:val="0"/>
      </w:numPr>
      <w:spacing w:line="240" w:lineRule="auto"/>
      <w:jc w:val="both"/>
    </w:pPr>
    <w:rPr>
      <w:rFonts w:ascii="Koblenz Serial Light" w:eastAsia="Calibri" w:hAnsi="Koblenz Serial Light" w:cstheme="minorBidi"/>
      <w:color w:val="DA291C"/>
      <w:lang w:val="en-GB" w:eastAsia="en-AU" w:bidi="en-US"/>
    </w:rPr>
  </w:style>
  <w:style w:type="paragraph" w:styleId="Revision">
    <w:name w:val="Revision"/>
    <w:hidden/>
    <w:uiPriority w:val="99"/>
    <w:semiHidden/>
    <w:rsid w:val="00965716"/>
    <w:rPr>
      <w:rFonts w:asciiTheme="minorHAnsi" w:hAnsiTheme="minorHAnsi"/>
      <w:color w:val="000000" w:themeColor="text1"/>
      <w:sz w:val="22"/>
      <w:szCs w:val="22"/>
      <w:lang w:eastAsia="en-US"/>
    </w:rPr>
  </w:style>
  <w:style w:type="paragraph" w:customStyle="1" w:styleId="Listlettered">
    <w:name w:val="List (lettered)"/>
    <w:basedOn w:val="Normal"/>
    <w:qFormat/>
    <w:rsid w:val="00965716"/>
    <w:pPr>
      <w:ind w:left="709" w:hanging="306"/>
    </w:pPr>
    <w:rPr>
      <w:rFonts w:eastAsia="Cambria"/>
      <w:sz w:val="21"/>
      <w:szCs w:val="24"/>
      <w:lang w:eastAsia="en-AU"/>
    </w:rPr>
  </w:style>
  <w:style w:type="paragraph" w:styleId="ListNumber">
    <w:name w:val="List Number"/>
    <w:basedOn w:val="Normal"/>
    <w:qFormat/>
    <w:rsid w:val="00965716"/>
    <w:pPr>
      <w:numPr>
        <w:numId w:val="9"/>
      </w:numPr>
      <w:spacing w:before="40" w:after="120" w:line="280" w:lineRule="atLeast"/>
    </w:pPr>
    <w:rPr>
      <w:rFonts w:ascii="Arial" w:eastAsia="Times New Roman" w:hAnsi="Arial"/>
      <w:color w:val="auto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rsid w:val="00965716"/>
    <w:rPr>
      <w:sz w:val="16"/>
    </w:rPr>
  </w:style>
  <w:style w:type="paragraph" w:styleId="ListBullet2">
    <w:name w:val="List Bullet 2"/>
    <w:aliases w:val="Dot-dash bullet"/>
    <w:basedOn w:val="ListBullet"/>
    <w:rsid w:val="00965716"/>
    <w:pPr>
      <w:numPr>
        <w:numId w:val="11"/>
      </w:numPr>
      <w:spacing w:line="240" w:lineRule="auto"/>
    </w:pPr>
  </w:style>
  <w:style w:type="paragraph" w:styleId="ListBullet3">
    <w:name w:val="List Bullet 3"/>
    <w:aliases w:val="Indent Quote Bullet"/>
    <w:rsid w:val="00965716"/>
    <w:pPr>
      <w:numPr>
        <w:numId w:val="12"/>
      </w:numPr>
      <w:tabs>
        <w:tab w:val="clear" w:pos="1800"/>
        <w:tab w:val="num" w:pos="1080"/>
      </w:tabs>
      <w:ind w:left="1080"/>
    </w:pPr>
    <w:rPr>
      <w:rFonts w:ascii="TheSansOffice" w:eastAsia="Times New Roman" w:hAnsi="TheSansOffice"/>
      <w:iCs/>
      <w:szCs w:val="24"/>
      <w:lang w:eastAsia="en-US"/>
    </w:rPr>
  </w:style>
  <w:style w:type="paragraph" w:styleId="ListBullet">
    <w:name w:val="List Bullet"/>
    <w:basedOn w:val="Normal"/>
    <w:uiPriority w:val="99"/>
    <w:rsid w:val="00965716"/>
    <w:pPr>
      <w:spacing w:before="40" w:after="80" w:line="280" w:lineRule="atLeast"/>
    </w:pPr>
    <w:rPr>
      <w:rFonts w:ascii="Arial" w:eastAsia="Times New Roman" w:hAnsi="Arial"/>
      <w:iCs/>
      <w:color w:val="auto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965716"/>
    <w:pPr>
      <w:shd w:val="clear" w:color="auto" w:fill="000080"/>
      <w:spacing w:before="40" w:after="120" w:line="280" w:lineRule="atLeas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965716"/>
    <w:rPr>
      <w:rFonts w:ascii="Tahoma" w:eastAsia="Times New Roman" w:hAnsi="Tahoma" w:cs="Tahoma"/>
      <w:shd w:val="clear" w:color="auto" w:fill="000080"/>
      <w:lang w:eastAsia="en-US"/>
    </w:rPr>
  </w:style>
  <w:style w:type="paragraph" w:styleId="ListNumber2">
    <w:name w:val="List Number 2"/>
    <w:basedOn w:val="ListNumber"/>
    <w:rsid w:val="00965716"/>
    <w:pPr>
      <w:numPr>
        <w:numId w:val="15"/>
      </w:numPr>
    </w:pPr>
  </w:style>
  <w:style w:type="paragraph" w:styleId="ListNumber3">
    <w:name w:val="List Number 3"/>
    <w:basedOn w:val="ListNumber2"/>
    <w:rsid w:val="00965716"/>
    <w:pPr>
      <w:numPr>
        <w:numId w:val="10"/>
      </w:numPr>
      <w:spacing w:before="60" w:after="60"/>
      <w:ind w:left="1080"/>
    </w:pPr>
  </w:style>
  <w:style w:type="numbering" w:customStyle="1" w:styleId="StyleBulleted">
    <w:name w:val="Style Bulleted"/>
    <w:basedOn w:val="NoList"/>
    <w:rsid w:val="00965716"/>
    <w:pPr>
      <w:numPr>
        <w:numId w:val="13"/>
      </w:numPr>
    </w:pPr>
  </w:style>
  <w:style w:type="paragraph" w:customStyle="1" w:styleId="ReferencesText">
    <w:name w:val="References Text"/>
    <w:basedOn w:val="Normal"/>
    <w:rsid w:val="00965716"/>
    <w:pPr>
      <w:spacing w:before="40" w:after="120" w:line="320" w:lineRule="atLeast"/>
      <w:ind w:left="567" w:hanging="567"/>
    </w:pPr>
    <w:rPr>
      <w:rFonts w:ascii="Times New Roman" w:eastAsia="Times New Roman" w:hAnsi="Times New Roman"/>
      <w:color w:val="auto"/>
      <w:sz w:val="24"/>
      <w:szCs w:val="20"/>
    </w:rPr>
  </w:style>
  <w:style w:type="paragraph" w:customStyle="1" w:styleId="OtherHeadings">
    <w:name w:val="Other Headings"/>
    <w:basedOn w:val="Heading2"/>
    <w:next w:val="Normal"/>
    <w:rsid w:val="00965716"/>
    <w:pPr>
      <w:keepLines w:val="0"/>
      <w:numPr>
        <w:ilvl w:val="0"/>
        <w:numId w:val="1"/>
      </w:numPr>
      <w:tabs>
        <w:tab w:val="left" w:pos="1134"/>
      </w:tabs>
      <w:spacing w:before="240" w:after="120" w:line="280" w:lineRule="atLeast"/>
      <w:ind w:left="1134" w:hanging="1134"/>
    </w:pPr>
    <w:rPr>
      <w:rFonts w:ascii="Verdana" w:eastAsia="Times New Roman" w:hAnsi="Verdana" w:cs="Times New Roman"/>
      <w:b w:val="0"/>
      <w:bCs w:val="0"/>
      <w:color w:val="auto"/>
      <w:szCs w:val="20"/>
    </w:rPr>
  </w:style>
  <w:style w:type="numbering" w:customStyle="1" w:styleId="StyleNumbered">
    <w:name w:val="Style Numbered"/>
    <w:basedOn w:val="NoList"/>
    <w:rsid w:val="00965716"/>
    <w:pPr>
      <w:numPr>
        <w:numId w:val="14"/>
      </w:numPr>
    </w:pPr>
  </w:style>
  <w:style w:type="table" w:customStyle="1" w:styleId="AusIndustryTable">
    <w:name w:val="AusIndustry Table"/>
    <w:basedOn w:val="TableNormal"/>
    <w:rsid w:val="00965716"/>
    <w:pPr>
      <w:widowControl w:val="0"/>
      <w:spacing w:before="80" w:after="80"/>
    </w:pPr>
    <w:rPr>
      <w:rFonts w:ascii="Arial" w:eastAsia="Times New Roman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Times New Roman" w:hAnsi="Times New Roman"/>
        <w:b w:val="0"/>
        <w:sz w:val="22"/>
      </w:rPr>
    </w:tblStylePr>
  </w:style>
  <w:style w:type="paragraph" w:customStyle="1" w:styleId="TableHeadingNumbered">
    <w:name w:val="Table Heading (Numbered)"/>
    <w:basedOn w:val="TableText0"/>
    <w:next w:val="Normal"/>
    <w:rsid w:val="00965716"/>
    <w:pPr>
      <w:suppressAutoHyphens/>
      <w:spacing w:before="60" w:after="60" w:line="280" w:lineRule="atLeast"/>
      <w:jc w:val="left"/>
    </w:pPr>
    <w:rPr>
      <w:rFonts w:eastAsiaTheme="minorHAnsi" w:cstheme="minorBidi"/>
      <w:iCs/>
      <w:color w:val="FFFFFF" w:themeColor="background1"/>
      <w:sz w:val="20"/>
      <w:szCs w:val="22"/>
    </w:rPr>
  </w:style>
  <w:style w:type="paragraph" w:customStyle="1" w:styleId="DefaultTableText">
    <w:name w:val="Default Table Text"/>
    <w:basedOn w:val="Normal"/>
    <w:rsid w:val="00965716"/>
    <w:pPr>
      <w:spacing w:before="80" w:after="80" w:line="280" w:lineRule="atLeast"/>
    </w:pPr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IndentQuote">
    <w:name w:val="Indent Quote"/>
    <w:basedOn w:val="Normal"/>
    <w:next w:val="Normal"/>
    <w:rsid w:val="00965716"/>
    <w:pPr>
      <w:spacing w:before="40" w:after="120" w:line="320" w:lineRule="atLeast"/>
      <w:ind w:left="567"/>
    </w:pPr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NumberedParas">
    <w:name w:val="Numbered Paras"/>
    <w:basedOn w:val="Normal"/>
    <w:rsid w:val="00965716"/>
    <w:pPr>
      <w:spacing w:before="40" w:after="0" w:line="280" w:lineRule="atLeas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styleId="BodyText">
    <w:name w:val="Body Text"/>
    <w:basedOn w:val="Default"/>
    <w:next w:val="Default"/>
    <w:link w:val="BodyTextChar"/>
    <w:rsid w:val="00965716"/>
    <w:pPr>
      <w:spacing w:before="120" w:after="120"/>
    </w:pPr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965716"/>
    <w:rPr>
      <w:rFonts w:ascii="Arial" w:eastAsia="Times New Roman" w:hAnsi="Arial"/>
      <w:sz w:val="24"/>
      <w:szCs w:val="24"/>
    </w:rPr>
  </w:style>
  <w:style w:type="paragraph" w:customStyle="1" w:styleId="StyleBefore6pt">
    <w:name w:val="Style Before:  6 pt"/>
    <w:basedOn w:val="Normal"/>
    <w:rsid w:val="00965716"/>
    <w:pPr>
      <w:suppressAutoHyphens/>
      <w:spacing w:before="40" w:after="60" w:line="320" w:lineRule="atLeast"/>
    </w:pPr>
    <w:rPr>
      <w:rFonts w:ascii="Arial" w:eastAsia="Times New Roman" w:hAnsi="Arial"/>
      <w:color w:val="auto"/>
      <w:sz w:val="20"/>
      <w:szCs w:val="20"/>
      <w:lang w:eastAsia="ar-SA"/>
    </w:rPr>
  </w:style>
  <w:style w:type="paragraph" w:customStyle="1" w:styleId="StyleBoldGreenBefore6pt">
    <w:name w:val="Style Bold Green Before:  6 pt"/>
    <w:basedOn w:val="Normal"/>
    <w:rsid w:val="00965716"/>
    <w:pPr>
      <w:suppressAutoHyphens/>
      <w:spacing w:before="60" w:after="120" w:line="320" w:lineRule="atLeast"/>
    </w:pPr>
    <w:rPr>
      <w:rFonts w:ascii="Arial" w:eastAsia="Times New Roman" w:hAnsi="Arial"/>
      <w:b/>
      <w:bCs/>
      <w:color w:val="008000"/>
      <w:sz w:val="20"/>
      <w:szCs w:val="20"/>
      <w:lang w:eastAsia="ar-SA"/>
    </w:rPr>
  </w:style>
  <w:style w:type="paragraph" w:customStyle="1" w:styleId="Normal-Style2">
    <w:name w:val="Normal - Style2"/>
    <w:basedOn w:val="Normal"/>
    <w:qFormat/>
    <w:rsid w:val="00965716"/>
    <w:pPr>
      <w:spacing w:before="240" w:after="120" w:line="280" w:lineRule="atLeast"/>
    </w:pPr>
    <w:rPr>
      <w:rFonts w:eastAsia="Times New Roman" w:cs="Calibri"/>
      <w:color w:val="000000"/>
      <w:sz w:val="24"/>
      <w:szCs w:val="20"/>
    </w:rPr>
  </w:style>
  <w:style w:type="paragraph" w:customStyle="1" w:styleId="Normal-Style3bulletpoints">
    <w:name w:val="Normal - Style3 bullet points"/>
    <w:basedOn w:val="Normal-Style2"/>
    <w:qFormat/>
    <w:rsid w:val="00965716"/>
    <w:pPr>
      <w:spacing w:before="0"/>
    </w:pPr>
  </w:style>
  <w:style w:type="paragraph" w:customStyle="1" w:styleId="NormalStyle4subbulletpoint">
    <w:name w:val="Normal Style4 sub bullet point"/>
    <w:basedOn w:val="Normal-Style2"/>
    <w:qFormat/>
    <w:rsid w:val="00965716"/>
    <w:pPr>
      <w:spacing w:before="0" w:after="0"/>
    </w:pPr>
  </w:style>
  <w:style w:type="paragraph" w:customStyle="1" w:styleId="Pa5">
    <w:name w:val="Pa5"/>
    <w:basedOn w:val="Default"/>
    <w:next w:val="Default"/>
    <w:uiPriority w:val="99"/>
    <w:rsid w:val="00965716"/>
    <w:pPr>
      <w:spacing w:line="191" w:lineRule="atLeast"/>
    </w:pPr>
    <w:rPr>
      <w:rFonts w:ascii="Interstate Light" w:hAnsi="Interstate Light" w:cs="Times New Roman"/>
      <w:color w:val="auto"/>
    </w:rPr>
  </w:style>
  <w:style w:type="paragraph" w:customStyle="1" w:styleId="Normalbold">
    <w:name w:val="Normal + bold"/>
    <w:basedOn w:val="Normal"/>
    <w:qFormat/>
    <w:rsid w:val="00965716"/>
    <w:pPr>
      <w:keepNext/>
      <w:spacing w:before="40" w:after="120" w:line="280" w:lineRule="atLeast"/>
    </w:pPr>
    <w:rPr>
      <w:rFonts w:ascii="Arial" w:eastAsia="Times New Roman" w:hAnsi="Arial"/>
      <w:b/>
      <w:color w:val="auto"/>
      <w:sz w:val="20"/>
      <w:szCs w:val="20"/>
    </w:rPr>
  </w:style>
  <w:style w:type="paragraph" w:customStyle="1" w:styleId="Heading2Appendix">
    <w:name w:val="Heading 2 Appendix"/>
    <w:basedOn w:val="Heading2"/>
    <w:next w:val="Normal"/>
    <w:qFormat/>
    <w:rsid w:val="00965716"/>
    <w:pPr>
      <w:keepLines w:val="0"/>
      <w:numPr>
        <w:ilvl w:val="0"/>
        <w:numId w:val="0"/>
      </w:numPr>
      <w:spacing w:before="240" w:after="120" w:line="280" w:lineRule="atLeast"/>
    </w:pPr>
    <w:rPr>
      <w:rFonts w:ascii="Arial" w:eastAsia="Times New Roman" w:hAnsi="Arial" w:cstheme="minorHAnsi"/>
      <w:iCs/>
      <w:color w:val="264F90"/>
      <w:szCs w:val="32"/>
    </w:rPr>
  </w:style>
  <w:style w:type="paragraph" w:customStyle="1" w:styleId="Heading3Appendix">
    <w:name w:val="Heading 3 Appendix"/>
    <w:basedOn w:val="Heading3"/>
    <w:qFormat/>
    <w:rsid w:val="00965716"/>
    <w:pPr>
      <w:keepLines w:val="0"/>
      <w:numPr>
        <w:ilvl w:val="0"/>
        <w:numId w:val="0"/>
      </w:numPr>
      <w:spacing w:before="240" w:after="120" w:line="280" w:lineRule="atLeast"/>
    </w:pPr>
    <w:rPr>
      <w:rFonts w:ascii="Arial" w:eastAsia="Times New Roman" w:hAnsi="Arial" w:cs="Arial"/>
      <w:b/>
      <w:iCs/>
      <w:color w:val="264F90"/>
      <w:sz w:val="24"/>
      <w:szCs w:val="32"/>
    </w:rPr>
  </w:style>
  <w:style w:type="character" w:styleId="FollowedHyperlink">
    <w:name w:val="FollowedHyperlink"/>
    <w:basedOn w:val="DefaultParagraphFont"/>
    <w:rsid w:val="00965716"/>
    <w:rPr>
      <w:color w:val="414141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rsid w:val="00965716"/>
    <w:pPr>
      <w:tabs>
        <w:tab w:val="left" w:pos="1985"/>
        <w:tab w:val="right" w:leader="dot" w:pos="8778"/>
      </w:tabs>
      <w:spacing w:before="40" w:after="120" w:line="280" w:lineRule="atLeast"/>
      <w:ind w:left="1418" w:hanging="284"/>
    </w:pPr>
    <w:rPr>
      <w:rFonts w:ascii="Arial" w:eastAsia="Times New Roman" w:hAnsi="Arial"/>
      <w:color w:val="auto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5716"/>
    <w:rPr>
      <w:color w:val="808080"/>
    </w:rPr>
  </w:style>
  <w:style w:type="paragraph" w:customStyle="1" w:styleId="Normalheaderrow">
    <w:name w:val="Normal + header row"/>
    <w:basedOn w:val="Normal"/>
    <w:qFormat/>
    <w:rsid w:val="00965716"/>
    <w:pPr>
      <w:spacing w:before="40" w:after="120" w:line="280" w:lineRule="atLeast"/>
    </w:pPr>
    <w:rPr>
      <w:rFonts w:ascii="Arial" w:eastAsia="Times New Roman" w:hAnsi="Arial"/>
      <w:color w:val="FFFFFF" w:themeColor="background1"/>
      <w:sz w:val="20"/>
      <w:szCs w:val="20"/>
    </w:rPr>
  </w:style>
  <w:style w:type="paragraph" w:customStyle="1" w:styleId="Heading5appendix">
    <w:name w:val="Heading 5 + appendix"/>
    <w:basedOn w:val="Heading5"/>
    <w:qFormat/>
    <w:rsid w:val="00965716"/>
    <w:pPr>
      <w:keepLines w:val="0"/>
      <w:numPr>
        <w:ilvl w:val="0"/>
        <w:numId w:val="0"/>
      </w:numPr>
      <w:tabs>
        <w:tab w:val="left" w:pos="1985"/>
      </w:tabs>
      <w:spacing w:before="240" w:after="120" w:line="280" w:lineRule="atLeast"/>
      <w:ind w:left="720"/>
    </w:pPr>
    <w:rPr>
      <w:rFonts w:ascii="Arial" w:eastAsia="MS Mincho" w:hAnsi="Arial" w:cs="TimesNewRoman"/>
      <w:b/>
      <w:color w:val="auto"/>
      <w:sz w:val="20"/>
      <w:szCs w:val="26"/>
    </w:rPr>
  </w:style>
  <w:style w:type="character" w:customStyle="1" w:styleId="hvr">
    <w:name w:val="hvr"/>
    <w:basedOn w:val="DefaultParagraphFont"/>
    <w:rsid w:val="00965716"/>
  </w:style>
  <w:style w:type="paragraph" w:customStyle="1" w:styleId="Heading4appendix">
    <w:name w:val="Heading 4 + appendix"/>
    <w:basedOn w:val="Heading4"/>
    <w:qFormat/>
    <w:rsid w:val="00965716"/>
    <w:pPr>
      <w:keepLines w:val="0"/>
      <w:numPr>
        <w:ilvl w:val="0"/>
        <w:numId w:val="0"/>
      </w:numPr>
      <w:spacing w:before="240" w:after="120" w:line="280" w:lineRule="atLeast"/>
    </w:pPr>
    <w:rPr>
      <w:rFonts w:ascii="Arial" w:eastAsia="MS Mincho" w:hAnsi="Arial" w:cs="TimesNewRoman"/>
      <w:color w:val="auto"/>
      <w:sz w:val="20"/>
      <w:szCs w:val="24"/>
    </w:rPr>
  </w:style>
  <w:style w:type="paragraph" w:customStyle="1" w:styleId="inputcomment">
    <w:name w:val="input comment"/>
    <w:basedOn w:val="Normal"/>
    <w:qFormat/>
    <w:rsid w:val="00965716"/>
    <w:pPr>
      <w:suppressAutoHyphens/>
      <w:spacing w:before="180" w:after="60" w:line="240" w:lineRule="auto"/>
    </w:pPr>
    <w:rPr>
      <w:rFonts w:eastAsiaTheme="minorHAnsi" w:cstheme="minorBidi"/>
      <w:b/>
      <w:iCs/>
      <w:color w:val="64B54C" w:themeColor="accent3" w:themeShade="BF"/>
    </w:rPr>
  </w:style>
  <w:style w:type="paragraph" w:customStyle="1" w:styleId="Boxed2Text">
    <w:name w:val="Boxed 2 Text"/>
    <w:basedOn w:val="Normal"/>
    <w:qFormat/>
    <w:rsid w:val="00965716"/>
    <w:pPr>
      <w:numPr>
        <w:numId w:val="17"/>
      </w:numPr>
      <w:pBdr>
        <w:top w:val="single" w:sz="4" w:space="4" w:color="FDE7E0" w:themeColor="accent1" w:themeTint="33"/>
        <w:left w:val="single" w:sz="4" w:space="0" w:color="FDE7E0" w:themeColor="accent1" w:themeTint="33"/>
        <w:bottom w:val="single" w:sz="4" w:space="4" w:color="FDE7E0" w:themeColor="accent1" w:themeTint="33"/>
        <w:right w:val="single" w:sz="4" w:space="0" w:color="FDE7E0" w:themeColor="accent1" w:themeTint="33"/>
      </w:pBdr>
      <w:shd w:val="clear" w:color="auto" w:fill="FDE7E0" w:themeFill="accent1" w:themeFillTint="33"/>
      <w:suppressAutoHyphens/>
      <w:spacing w:before="120" w:after="40" w:line="280" w:lineRule="atLeast"/>
      <w:ind w:right="284"/>
    </w:pPr>
    <w:rPr>
      <w:rFonts w:ascii="Arial" w:eastAsiaTheme="minorHAnsi" w:hAnsi="Arial" w:cstheme="minorBidi"/>
      <w:iCs/>
      <w:color w:val="auto"/>
      <w:sz w:val="20"/>
    </w:rPr>
  </w:style>
  <w:style w:type="paragraph" w:customStyle="1" w:styleId="BodyText1">
    <w:name w:val="Body Text1"/>
    <w:basedOn w:val="Normal"/>
    <w:rsid w:val="00965716"/>
    <w:pPr>
      <w:spacing w:after="120" w:line="240" w:lineRule="auto"/>
    </w:pPr>
    <w:rPr>
      <w:rFonts w:ascii="Cambria" w:eastAsia="Times New Roman" w:hAnsi="Cambria"/>
      <w:iCs/>
      <w:color w:val="auto"/>
      <w:szCs w:val="20"/>
    </w:rPr>
  </w:style>
  <w:style w:type="paragraph" w:styleId="ListBullet4">
    <w:name w:val="List Bullet 4"/>
    <w:basedOn w:val="ListBullet"/>
    <w:unhideWhenUsed/>
    <w:rsid w:val="00965716"/>
    <w:pPr>
      <w:shd w:val="clear" w:color="auto" w:fill="FDE7E0" w:themeFill="accent1" w:themeFillTint="33"/>
      <w:ind w:left="641" w:hanging="357"/>
    </w:pPr>
    <w:rPr>
      <w:rFonts w:cstheme="minorHAnsi"/>
    </w:rPr>
  </w:style>
  <w:style w:type="paragraph" w:customStyle="1" w:styleId="highlightedtext">
    <w:name w:val="highlighted text"/>
    <w:basedOn w:val="Normal"/>
    <w:link w:val="highlightedtextChar"/>
    <w:qFormat/>
    <w:rsid w:val="009657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80" w:after="0" w:line="280" w:lineRule="atLeast"/>
      <w:jc w:val="center"/>
    </w:pPr>
    <w:rPr>
      <w:rFonts w:eastAsiaTheme="minorHAnsi" w:cstheme="minorBidi"/>
      <w:b/>
      <w:iCs/>
      <w:color w:val="437A32" w:themeColor="accent3" w:themeShade="80"/>
    </w:rPr>
  </w:style>
  <w:style w:type="character" w:customStyle="1" w:styleId="highlightedtextChar">
    <w:name w:val="highlighted text Char"/>
    <w:basedOn w:val="DefaultParagraphFont"/>
    <w:link w:val="highlightedtext"/>
    <w:rsid w:val="00965716"/>
    <w:rPr>
      <w:rFonts w:asciiTheme="minorHAnsi" w:eastAsiaTheme="minorHAnsi" w:hAnsiTheme="minorHAnsi" w:cstheme="minorBidi"/>
      <w:b/>
      <w:iCs/>
      <w:color w:val="437A32" w:themeColor="accent3" w:themeShade="80"/>
      <w:sz w:val="22"/>
      <w:szCs w:val="22"/>
      <w:lang w:eastAsia="en-US"/>
    </w:rPr>
  </w:style>
  <w:style w:type="paragraph" w:customStyle="1" w:styleId="Bullet1">
    <w:name w:val="Bullet 1"/>
    <w:basedOn w:val="Normal"/>
    <w:qFormat/>
    <w:rsid w:val="00965716"/>
    <w:pPr>
      <w:numPr>
        <w:numId w:val="18"/>
      </w:numPr>
      <w:suppressAutoHyphens/>
      <w:spacing w:before="120" w:after="60" w:line="280" w:lineRule="atLeast"/>
    </w:pPr>
    <w:rPr>
      <w:rFonts w:eastAsiaTheme="minorHAnsi" w:cstheme="minorBidi"/>
      <w:iCs/>
      <w:color w:val="auto"/>
    </w:rPr>
  </w:style>
  <w:style w:type="paragraph" w:customStyle="1" w:styleId="Bullet2">
    <w:name w:val="Bullet 2"/>
    <w:basedOn w:val="Bullet1"/>
    <w:qFormat/>
    <w:rsid w:val="00965716"/>
    <w:pPr>
      <w:numPr>
        <w:ilvl w:val="1"/>
      </w:numPr>
    </w:pPr>
  </w:style>
  <w:style w:type="paragraph" w:customStyle="1" w:styleId="Bullet3">
    <w:name w:val="Bullet 3"/>
    <w:basedOn w:val="Bullet2"/>
    <w:qFormat/>
    <w:rsid w:val="00965716"/>
    <w:pPr>
      <w:numPr>
        <w:ilvl w:val="2"/>
      </w:numPr>
    </w:pPr>
  </w:style>
  <w:style w:type="numbering" w:customStyle="1" w:styleId="BulletsList">
    <w:name w:val="Bullets List"/>
    <w:uiPriority w:val="99"/>
    <w:rsid w:val="00965716"/>
    <w:pPr>
      <w:numPr>
        <w:numId w:val="18"/>
      </w:numPr>
    </w:pPr>
  </w:style>
  <w:style w:type="numbering" w:customStyle="1" w:styleId="TableHeadingNumbers">
    <w:name w:val="Table Heading Numbers"/>
    <w:uiPriority w:val="99"/>
    <w:rsid w:val="00965716"/>
    <w:pPr>
      <w:numPr>
        <w:numId w:val="19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965716"/>
    <w:rPr>
      <w:rFonts w:asciiTheme="minorHAnsi" w:hAnsiTheme="minorHAnsi"/>
      <w:color w:val="000000" w:themeColor="text1"/>
      <w:sz w:val="22"/>
      <w:szCs w:val="22"/>
      <w:lang w:eastAsia="en-US"/>
    </w:rPr>
  </w:style>
  <w:style w:type="paragraph" w:customStyle="1" w:styleId="Guidelinesbodytext">
    <w:name w:val="Guidelines body text"/>
    <w:basedOn w:val="NoSpacing"/>
    <w:qFormat/>
    <w:rsid w:val="00965716"/>
    <w:pPr>
      <w:spacing w:line="240" w:lineRule="auto"/>
    </w:pPr>
    <w:rPr>
      <w:rFonts w:ascii="Calibri" w:eastAsia="Times New Roman" w:hAnsi="Calibri"/>
      <w:color w:val="000000"/>
      <w:szCs w:val="20"/>
      <w:lang w:val="en-US" w:bidi="en-US"/>
    </w:rPr>
  </w:style>
  <w:style w:type="table" w:customStyle="1" w:styleId="Finance1">
    <w:name w:val="Finance 1"/>
    <w:basedOn w:val="TableNormal"/>
    <w:uiPriority w:val="99"/>
    <w:rsid w:val="00965716"/>
    <w:pPr>
      <w:spacing w:before="60" w:after="60" w:line="200" w:lineRule="atLeast"/>
    </w:pPr>
    <w:rPr>
      <w:rFonts w:asciiTheme="minorHAnsi" w:eastAsiaTheme="minorHAnsi" w:hAnsiTheme="minorHAnsi" w:cstheme="minorBidi"/>
      <w:sz w:val="16"/>
      <w:szCs w:val="22"/>
      <w:lang w:eastAsia="en-US"/>
    </w:rPr>
    <w:tblPr>
      <w:tblStyleRowBandSize w:val="1"/>
      <w:tblStyleColBandSize w:val="1"/>
      <w:tblBorders>
        <w:top w:val="single" w:sz="4" w:space="0" w:color="787878" w:themeColor="text2"/>
        <w:bottom w:val="single" w:sz="4" w:space="0" w:color="787878" w:themeColor="text2"/>
        <w:insideH w:val="single" w:sz="4" w:space="0" w:color="787878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787878" w:themeFill="text2"/>
      </w:tcPr>
    </w:tblStylePr>
    <w:tblStylePr w:type="lastRow">
      <w:tblPr/>
      <w:tcPr>
        <w:shd w:val="clear" w:color="auto" w:fill="787878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787878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DA291C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A291C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table" w:styleId="TableGridLight">
    <w:name w:val="Grid Table Light"/>
    <w:basedOn w:val="TableNormal"/>
    <w:uiPriority w:val="40"/>
    <w:rsid w:val="00965716"/>
    <w:rPr>
      <w:rFonts w:ascii="Arial" w:eastAsia="Times New Roman" w:hAnsi="Arial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1">
    <w:name w:val="Numbered List 1"/>
    <w:basedOn w:val="Normal"/>
    <w:qFormat/>
    <w:rsid w:val="00965716"/>
    <w:pPr>
      <w:numPr>
        <w:numId w:val="20"/>
      </w:numPr>
      <w:suppressAutoHyphens/>
      <w:spacing w:before="180" w:after="60" w:line="280" w:lineRule="atLeast"/>
    </w:pPr>
    <w:rPr>
      <w:rFonts w:eastAsiaTheme="minorHAnsi" w:cstheme="minorBidi"/>
      <w:color w:val="auto"/>
    </w:rPr>
  </w:style>
  <w:style w:type="paragraph" w:customStyle="1" w:styleId="NumberedList2">
    <w:name w:val="Numbered List 2"/>
    <w:basedOn w:val="NumberedList1"/>
    <w:qFormat/>
    <w:rsid w:val="00965716"/>
    <w:pPr>
      <w:numPr>
        <w:ilvl w:val="1"/>
      </w:numPr>
      <w:spacing w:before="120"/>
    </w:pPr>
  </w:style>
  <w:style w:type="paragraph" w:customStyle="1" w:styleId="NumberedList3">
    <w:name w:val="Numbered List 3"/>
    <w:basedOn w:val="NumberedList2"/>
    <w:qFormat/>
    <w:rsid w:val="00965716"/>
    <w:pPr>
      <w:numPr>
        <w:ilvl w:val="2"/>
      </w:numPr>
      <w:ind w:left="851"/>
    </w:pPr>
  </w:style>
  <w:style w:type="numbering" w:customStyle="1" w:styleId="Numberedlist">
    <w:name w:val="Numbered list"/>
    <w:uiPriority w:val="99"/>
    <w:rsid w:val="00965716"/>
    <w:pPr>
      <w:numPr>
        <w:numId w:val="20"/>
      </w:numPr>
    </w:pPr>
  </w:style>
  <w:style w:type="table" w:styleId="GridTable1Light">
    <w:name w:val="Grid Table 1 Light"/>
    <w:basedOn w:val="TableNormal"/>
    <w:uiPriority w:val="46"/>
    <w:rsid w:val="00965716"/>
    <w:rPr>
      <w:rFonts w:ascii="Arial" w:eastAsia="Times New Roman" w:hAnsi="Arial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965716"/>
    <w:rPr>
      <w:rFonts w:ascii="Arial" w:eastAsia="Times New Roman" w:hAnsi="Arial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96571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table" w:styleId="ListTable3-Accent1">
    <w:name w:val="List Table 3 Accent 1"/>
    <w:basedOn w:val="TableNormal"/>
    <w:uiPriority w:val="48"/>
    <w:rsid w:val="0096571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58967" w:themeColor="accent1"/>
        <w:left w:val="single" w:sz="4" w:space="0" w:color="F58967" w:themeColor="accent1"/>
        <w:bottom w:val="single" w:sz="4" w:space="0" w:color="F58967" w:themeColor="accent1"/>
        <w:right w:val="single" w:sz="4" w:space="0" w:color="F5896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967" w:themeFill="accent1"/>
      </w:tcPr>
    </w:tblStylePr>
    <w:tblStylePr w:type="lastRow">
      <w:rPr>
        <w:b/>
        <w:bCs/>
      </w:rPr>
      <w:tblPr/>
      <w:tcPr>
        <w:tcBorders>
          <w:top w:val="double" w:sz="4" w:space="0" w:color="F5896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967" w:themeColor="accent1"/>
          <w:right w:val="single" w:sz="4" w:space="0" w:color="F58967" w:themeColor="accent1"/>
        </w:tcBorders>
      </w:tcPr>
    </w:tblStylePr>
    <w:tblStylePr w:type="band1Horz">
      <w:tblPr/>
      <w:tcPr>
        <w:tcBorders>
          <w:top w:val="single" w:sz="4" w:space="0" w:color="F58967" w:themeColor="accent1"/>
          <w:bottom w:val="single" w:sz="4" w:space="0" w:color="F5896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967" w:themeColor="accent1"/>
          <w:left w:val="nil"/>
        </w:tcBorders>
      </w:tcPr>
    </w:tblStylePr>
    <w:tblStylePr w:type="swCell">
      <w:tblPr/>
      <w:tcPr>
        <w:tcBorders>
          <w:top w:val="double" w:sz="4" w:space="0" w:color="F58967" w:themeColor="accent1"/>
          <w:right w:val="nil"/>
        </w:tcBorders>
      </w:tcPr>
    </w:tblStylePr>
  </w:style>
  <w:style w:type="numbering" w:customStyle="1" w:styleId="Bullets">
    <w:name w:val="Bullets"/>
    <w:basedOn w:val="NoList"/>
    <w:uiPriority w:val="99"/>
    <w:rsid w:val="00965716"/>
    <w:pPr>
      <w:numPr>
        <w:numId w:val="23"/>
      </w:numPr>
    </w:pPr>
  </w:style>
  <w:style w:type="paragraph" w:customStyle="1" w:styleId="Bullets1">
    <w:name w:val="Bullets 1"/>
    <w:basedOn w:val="BodyText"/>
    <w:qFormat/>
    <w:rsid w:val="00965716"/>
    <w:pPr>
      <w:numPr>
        <w:numId w:val="23"/>
      </w:numPr>
      <w:autoSpaceDE/>
      <w:autoSpaceDN/>
      <w:adjustRightInd/>
      <w:spacing w:after="140" w:line="280" w:lineRule="atLeast"/>
    </w:pPr>
    <w:rPr>
      <w:rFonts w:asciiTheme="minorHAnsi" w:eastAsiaTheme="minorHAnsi" w:hAnsiTheme="minorHAnsi"/>
      <w:color w:val="000000" w:themeColor="text1"/>
      <w:sz w:val="22"/>
      <w:szCs w:val="20"/>
      <w:lang w:eastAsia="en-US"/>
    </w:rPr>
  </w:style>
  <w:style w:type="paragraph" w:customStyle="1" w:styleId="Bullets2">
    <w:name w:val="Bullets 2"/>
    <w:basedOn w:val="BodyText"/>
    <w:qFormat/>
    <w:rsid w:val="00965716"/>
    <w:pPr>
      <w:numPr>
        <w:ilvl w:val="1"/>
        <w:numId w:val="23"/>
      </w:numPr>
      <w:autoSpaceDE/>
      <w:autoSpaceDN/>
      <w:adjustRightInd/>
      <w:spacing w:after="140" w:line="280" w:lineRule="atLeast"/>
    </w:pPr>
    <w:rPr>
      <w:rFonts w:asciiTheme="minorHAnsi" w:eastAsiaTheme="minorHAnsi" w:hAnsiTheme="minorHAnsi"/>
      <w:color w:val="000000" w:themeColor="text1"/>
      <w:sz w:val="22"/>
      <w:szCs w:val="20"/>
      <w:lang w:eastAsia="en-US"/>
    </w:rPr>
  </w:style>
  <w:style w:type="paragraph" w:customStyle="1" w:styleId="TableBullets2">
    <w:name w:val="Table Bullets 2"/>
    <w:basedOn w:val="TableText0"/>
    <w:uiPriority w:val="20"/>
    <w:qFormat/>
    <w:rsid w:val="00965716"/>
    <w:pPr>
      <w:numPr>
        <w:ilvl w:val="7"/>
        <w:numId w:val="23"/>
      </w:numPr>
      <w:spacing w:before="40" w:after="100" w:line="280" w:lineRule="atLeast"/>
      <w:ind w:right="113"/>
      <w:jc w:val="left"/>
    </w:pPr>
    <w:rPr>
      <w:rFonts w:asciiTheme="minorHAnsi" w:eastAsiaTheme="minorHAnsi" w:hAnsiTheme="minorHAnsi"/>
      <w:color w:val="000000" w:themeColor="text1"/>
    </w:rPr>
  </w:style>
  <w:style w:type="paragraph" w:customStyle="1" w:styleId="TableBullets1">
    <w:name w:val="Table Bullets 1"/>
    <w:basedOn w:val="TableText0"/>
    <w:uiPriority w:val="20"/>
    <w:qFormat/>
    <w:rsid w:val="00965716"/>
    <w:pPr>
      <w:numPr>
        <w:ilvl w:val="6"/>
        <w:numId w:val="23"/>
      </w:numPr>
      <w:spacing w:before="40" w:after="100" w:line="280" w:lineRule="atLeast"/>
      <w:ind w:right="113"/>
      <w:jc w:val="left"/>
    </w:pPr>
    <w:rPr>
      <w:rFonts w:asciiTheme="minorHAnsi" w:eastAsiaTheme="minorHAnsi" w:hAnsiTheme="minorHAnsi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965716"/>
    <w:rPr>
      <w:color w:val="605E5C"/>
      <w:shd w:val="clear" w:color="auto" w:fill="E1DFDD"/>
    </w:rPr>
  </w:style>
  <w:style w:type="character" w:customStyle="1" w:styleId="Style2Char">
    <w:name w:val="Style2 Char"/>
    <w:basedOn w:val="DefaultParagraphFont"/>
    <w:link w:val="Style2"/>
    <w:locked/>
    <w:rsid w:val="00965716"/>
    <w:rPr>
      <w:rFonts w:eastAsiaTheme="minorHAnsi" w:cs="Calibri"/>
      <w:szCs w:val="24"/>
      <w:lang w:val="en-US"/>
    </w:rPr>
  </w:style>
  <w:style w:type="paragraph" w:customStyle="1" w:styleId="Style2">
    <w:name w:val="Style2"/>
    <w:basedOn w:val="ListParagraph"/>
    <w:link w:val="Style2Char"/>
    <w:qFormat/>
    <w:rsid w:val="00965716"/>
    <w:pPr>
      <w:numPr>
        <w:numId w:val="0"/>
      </w:numPr>
      <w:tabs>
        <w:tab w:val="clear" w:pos="4513"/>
        <w:tab w:val="clear" w:pos="9026"/>
      </w:tabs>
      <w:spacing w:before="120" w:after="120" w:line="276" w:lineRule="auto"/>
      <w:ind w:left="1440" w:right="1440"/>
      <w:contextualSpacing w:val="0"/>
    </w:pPr>
    <w:rPr>
      <w:rFonts w:ascii="Calibri" w:eastAsiaTheme="minorHAnsi" w:hAnsi="Calibri" w:cs="Calibri"/>
      <w:color w:val="auto"/>
      <w:szCs w:val="24"/>
      <w:lang w:val="en-US" w:eastAsia="en-AU" w:bidi="ar-SA"/>
    </w:rPr>
  </w:style>
  <w:style w:type="paragraph" w:customStyle="1" w:styleId="Appendixheading1">
    <w:name w:val="Appendix heading 1"/>
    <w:basedOn w:val="ListParagraph"/>
    <w:next w:val="Normal"/>
    <w:qFormat/>
    <w:rsid w:val="00965716"/>
    <w:pPr>
      <w:numPr>
        <w:numId w:val="8"/>
      </w:numPr>
    </w:pPr>
    <w:rPr>
      <w:b/>
      <w:bCs/>
      <w:color w:val="002060"/>
      <w:sz w:val="32"/>
      <w:szCs w:val="32"/>
      <w:u w:val="single"/>
    </w:rPr>
  </w:style>
  <w:style w:type="paragraph" w:customStyle="1" w:styleId="Appendixstyle2">
    <w:name w:val="Appendix style 2"/>
    <w:basedOn w:val="Normal"/>
    <w:qFormat/>
    <w:rsid w:val="00965716"/>
    <w:rPr>
      <w:b/>
      <w:bCs/>
      <w:color w:val="002060"/>
      <w:sz w:val="28"/>
      <w:szCs w:val="28"/>
    </w:rPr>
  </w:style>
  <w:style w:type="table" w:styleId="ListTable2-Accent1">
    <w:name w:val="List Table 2 Accent 1"/>
    <w:basedOn w:val="TableNormal"/>
    <w:uiPriority w:val="47"/>
    <w:rsid w:val="00FF73A6"/>
    <w:tblPr>
      <w:tblStyleRowBandSize w:val="1"/>
      <w:tblStyleColBandSize w:val="1"/>
      <w:tblBorders>
        <w:top w:val="single" w:sz="4" w:space="0" w:color="F9B8A3" w:themeColor="accent1" w:themeTint="99"/>
        <w:bottom w:val="single" w:sz="4" w:space="0" w:color="F9B8A3" w:themeColor="accent1" w:themeTint="99"/>
        <w:insideH w:val="single" w:sz="4" w:space="0" w:color="F9B8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E0" w:themeFill="accent1" w:themeFillTint="33"/>
      </w:tcPr>
    </w:tblStylePr>
    <w:tblStylePr w:type="band1Horz">
      <w:tblPr/>
      <w:tcPr>
        <w:shd w:val="clear" w:color="auto" w:fill="FDE7E0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F73A6"/>
    <w:tblPr>
      <w:tblStyleRowBandSize w:val="1"/>
      <w:tblStyleColBandSize w:val="1"/>
      <w:tblBorders>
        <w:top w:val="single" w:sz="4" w:space="0" w:color="F9B8A3" w:themeColor="accent1" w:themeTint="99"/>
        <w:left w:val="single" w:sz="4" w:space="0" w:color="F9B8A3" w:themeColor="accent1" w:themeTint="99"/>
        <w:bottom w:val="single" w:sz="4" w:space="0" w:color="F9B8A3" w:themeColor="accent1" w:themeTint="99"/>
        <w:right w:val="single" w:sz="4" w:space="0" w:color="F9B8A3" w:themeColor="accent1" w:themeTint="99"/>
        <w:insideH w:val="single" w:sz="4" w:space="0" w:color="F9B8A3" w:themeColor="accent1" w:themeTint="99"/>
        <w:insideV w:val="single" w:sz="4" w:space="0" w:color="F9B8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967" w:themeColor="accent1"/>
          <w:left w:val="single" w:sz="4" w:space="0" w:color="F58967" w:themeColor="accent1"/>
          <w:bottom w:val="single" w:sz="4" w:space="0" w:color="F58967" w:themeColor="accent1"/>
          <w:right w:val="single" w:sz="4" w:space="0" w:color="F58967" w:themeColor="accent1"/>
          <w:insideH w:val="nil"/>
          <w:insideV w:val="nil"/>
        </w:tcBorders>
        <w:shd w:val="clear" w:color="auto" w:fill="F58967" w:themeFill="accent1"/>
      </w:tcPr>
    </w:tblStylePr>
    <w:tblStylePr w:type="lastRow">
      <w:rPr>
        <w:b/>
        <w:bCs/>
      </w:rPr>
      <w:tblPr/>
      <w:tcPr>
        <w:tcBorders>
          <w:top w:val="double" w:sz="4" w:space="0" w:color="F5896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E0" w:themeFill="accent1" w:themeFillTint="33"/>
      </w:tcPr>
    </w:tblStylePr>
    <w:tblStylePr w:type="band1Horz">
      <w:tblPr/>
      <w:tcPr>
        <w:shd w:val="clear" w:color="auto" w:fill="FDE7E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9814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80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044">
          <w:marLeft w:val="85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05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and%20Hub\Templates\CIRCA%20Templates\Reports\CIRCA_ReportTemplate_Nov2022.dotx" TargetMode="External"/></Relationships>
</file>

<file path=word/theme/theme1.xml><?xml version="1.0" encoding="utf-8"?>
<a:theme xmlns:a="http://schemas.openxmlformats.org/drawingml/2006/main" name="Office Theme">
  <a:themeElements>
    <a:clrScheme name="Circa">
      <a:dk1>
        <a:srgbClr val="000000"/>
      </a:dk1>
      <a:lt1>
        <a:srgbClr val="FFFFFF"/>
      </a:lt1>
      <a:dk2>
        <a:srgbClr val="787878"/>
      </a:dk2>
      <a:lt2>
        <a:srgbClr val="DA291C"/>
      </a:lt2>
      <a:accent1>
        <a:srgbClr val="F58967"/>
      </a:accent1>
      <a:accent2>
        <a:srgbClr val="7E5749"/>
      </a:accent2>
      <a:accent3>
        <a:srgbClr val="9ACF8A"/>
      </a:accent3>
      <a:accent4>
        <a:srgbClr val="43B02A"/>
      </a:accent4>
      <a:accent5>
        <a:srgbClr val="7ACEE4"/>
      </a:accent5>
      <a:accent6>
        <a:srgbClr val="5A747D"/>
      </a:accent6>
      <a:hlink>
        <a:srgbClr val="787878"/>
      </a:hlink>
      <a:folHlink>
        <a:srgbClr val="414141"/>
      </a:folHlink>
    </a:clrScheme>
    <a:fontScheme name="Custom 2">
      <a:majorFont>
        <a:latin typeface="Koblenz Serial Light"/>
        <a:ea typeface=""/>
        <a:cs typeface=""/>
      </a:majorFont>
      <a:minorFont>
        <a:latin typeface="Univers Com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FE32-9AA2-4724-8EA3-B102C764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CIRCA_ReportTemplate_Nov2022.dotx</Template>
  <TotalTime>1</TotalTime>
  <Pages>16</Pages>
  <Words>3452</Words>
  <Characters>19677</Characters>
  <Application>Microsoft Office Word</Application>
  <DocSecurity>4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AOD Treatment Service funding - Consultation Outcomes Report</vt:lpstr>
    </vt:vector>
  </TitlesOfParts>
  <Company>Department of Health and Aged Care</Company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AOD Treatment Service funding - Consultation Outcomes Report</dc:title>
  <dc:subject>Alcohol and Other Drugs Treatment Services</dc:subject>
  <dc:creator>Australian Government Department of Health and Aged Care</dc:creator>
  <cp:keywords>Alcohol; Ceduna; Bundaberg-Hervey Bay; East Kimberley; Goldfields; Cashless Debit Card; CDC; Consultation; Drugs; Prevention; Treatment</cp:keywords>
  <cp:lastModifiedBy>COSTIN, Siobhan</cp:lastModifiedBy>
  <cp:revision>2</cp:revision>
  <cp:lastPrinted>2023-07-25T00:49:00Z</cp:lastPrinted>
  <dcterms:created xsi:type="dcterms:W3CDTF">2023-12-20T05:37:00Z</dcterms:created>
  <dcterms:modified xsi:type="dcterms:W3CDTF">2023-12-20T05:37:00Z</dcterms:modified>
  <cp:category>Alcohol &amp; Other Drugs;Population Health</cp:category>
</cp:coreProperties>
</file>