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6DEB" w14:textId="77777777" w:rsidR="00BA2732" w:rsidRDefault="00CA7FB2" w:rsidP="003D033A">
      <w:pPr>
        <w:pStyle w:val="Title"/>
      </w:pPr>
      <w:r>
        <w:t>Private Health Insur</w:t>
      </w:r>
      <w:r w:rsidR="00F14EE5">
        <w:t>er</w:t>
      </w:r>
      <w:r>
        <w:t xml:space="preserve"> Pandemic Commitment Monitoring</w:t>
      </w:r>
    </w:p>
    <w:p w14:paraId="0CDA7803" w14:textId="5B54DD34" w:rsidR="00B53987" w:rsidRPr="00B53987" w:rsidRDefault="00473AC8" w:rsidP="00B53987">
      <w:r>
        <w:t>December</w:t>
      </w:r>
      <w:r w:rsidR="00CA7FB2">
        <w:t xml:space="preserve"> </w:t>
      </w:r>
      <w:r w:rsidR="00FB7809">
        <w:t>2023</w:t>
      </w:r>
    </w:p>
    <w:p w14:paraId="343AC1F0" w14:textId="77777777" w:rsidR="00FA02BB" w:rsidRPr="00FA02BB" w:rsidRDefault="00CA7FB2" w:rsidP="00895B03">
      <w:pPr>
        <w:pStyle w:val="Heading2"/>
      </w:pPr>
      <w:r>
        <w:t>Background</w:t>
      </w:r>
    </w:p>
    <w:p w14:paraId="4E72603F" w14:textId="274A5A3F" w:rsidR="00473AC8" w:rsidRDefault="001B0B11" w:rsidP="00CA7FB2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P</w:t>
      </w:r>
      <w:r w:rsidR="00CA7FB2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rivate patient</w:t>
      </w:r>
      <w:r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access to health treatment during the COVID-19 pandemic was</w:t>
      </w:r>
      <w:r w:rsidR="00CA7FB2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limited</w:t>
      </w:r>
      <w:r w:rsidR="000E6519">
        <w:t xml:space="preserve"> </w:t>
      </w:r>
      <w:r w:rsidRPr="001B0B11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due to hospital and broader social restrictions put in place to limit the spread of the virus</w:t>
      </w:r>
      <w:r w:rsidR="00CA7FB2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.</w:t>
      </w:r>
    </w:p>
    <w:p w14:paraId="747632F2" w14:textId="4F267F9E" w:rsidR="000E6519" w:rsidRDefault="005D2FD3" w:rsidP="00CA7FB2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Th</w:t>
      </w:r>
      <w:r w:rsidR="001B0B11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ese restrictions led to fewer </w:t>
      </w:r>
      <w:r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claims </w:t>
      </w:r>
      <w:r w:rsidR="001B0B11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for benefits </w:t>
      </w:r>
      <w:r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by people </w:t>
      </w:r>
      <w:r w:rsidR="000E6519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who continued to maintain their private health cover. </w:t>
      </w:r>
      <w:r w:rsidR="00CA7FB2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Some of the</w:t>
      </w:r>
      <w:r w:rsidR="000E6519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se</w:t>
      </w:r>
      <w:r w:rsidR="00CA7FB2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claims </w:t>
      </w:r>
      <w:r w:rsidR="001B0B11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were</w:t>
      </w:r>
      <w:r w:rsidR="001B0B11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</w:t>
      </w:r>
      <w:r w:rsidR="001B0B11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expected to </w:t>
      </w:r>
      <w:r w:rsidR="000E6519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materialise following the pandemic. In instances where these deferred claims for private health insurance benefits are not expected to be made at all, this constitutes a permanent saving for insurers.</w:t>
      </w:r>
    </w:p>
    <w:p w14:paraId="43DC15AE" w14:textId="536D3001" w:rsidR="00CA7FB2" w:rsidRDefault="00CA7FB2" w:rsidP="00CA7FB2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In response, many private health insurers voluntarily committed not to benefit from the pandemic and to return </w:t>
      </w:r>
      <w:r w:rsidR="00B82B88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estimated 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excess savings to their policyholders.</w:t>
      </w:r>
    </w:p>
    <w:p w14:paraId="167D9BD4" w14:textId="5FDE79C4" w:rsidR="004D07BD" w:rsidRDefault="00CA7FB2" w:rsidP="00B82B88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The Department of Health and Aged Care is monitoring private health insurers </w:t>
      </w:r>
      <w:r w:rsidR="00CC685D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against this commitment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and the support provided to policyholders.</w:t>
      </w:r>
    </w:p>
    <w:p w14:paraId="0F3A5E9C" w14:textId="208131C0" w:rsidR="00473AC8" w:rsidRDefault="000E6519" w:rsidP="000E6519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The</w:t>
      </w:r>
      <w:r w:rsidRPr="000E6519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reliability of claims experience data has continued to improve since the pandemic. However, </w:t>
      </w:r>
      <w:r w:rsidR="00CC685D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some insurers continue to state </w:t>
      </w:r>
      <w:r w:rsidRPr="000E6519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there is some uncertainty on the overall direct and indirect impact of COVID</w:t>
      </w:r>
      <w:r w:rsidR="00CC685D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noBreakHyphen/>
      </w:r>
      <w:r w:rsidRPr="000E6519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19, including </w:t>
      </w:r>
      <w:r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on what</w:t>
      </w:r>
      <w:r w:rsidRPr="000E6519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</w:t>
      </w:r>
      <w:r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should be considered</w:t>
      </w:r>
      <w:r w:rsidRPr="000E6519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a deferred claim or a permanent saving for insurers</w:t>
      </w:r>
      <w:r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.</w:t>
      </w:r>
    </w:p>
    <w:p w14:paraId="76D1F3FD" w14:textId="61B3F81E" w:rsidR="00CA7FB2" w:rsidRPr="00CA7FB2" w:rsidRDefault="00CA7FB2" w:rsidP="00CA7FB2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Table 1 </w:t>
      </w:r>
      <w:r w:rsidR="00512193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shows</w:t>
      </w:r>
      <w:r w:rsidR="00512193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the total </w:t>
      </w:r>
      <w:r w:rsidR="00B82B88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estimated 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permanent claim savings </w:t>
      </w:r>
      <w:r w:rsidR="0015544F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identified </w:t>
      </w:r>
      <w:r w:rsidR="00512193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from</w:t>
      </w:r>
      <w:r w:rsidR="00512193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the start of the pandemic to 30 June </w:t>
      </w:r>
      <w:r w:rsidR="0074063C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2023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and the total givebacks provided to policyholders </w:t>
      </w:r>
      <w:r w:rsidR="00512193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during</w:t>
      </w:r>
      <w:r w:rsidR="00512193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the same period. Definitions of these items are provided below the tables.</w:t>
      </w:r>
    </w:p>
    <w:p w14:paraId="6F8A1A42" w14:textId="50428B56" w:rsidR="004D770D" w:rsidRPr="00D808E7" w:rsidRDefault="00512193" w:rsidP="00D808E7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T</w:t>
      </w:r>
      <w:r w:rsidR="004D770D"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here is a difference between when permanent claims are estimated and when givebacks are provided to policyholders. In Table 1, the givebacks are </w:t>
      </w:r>
      <w:r w:rsidR="00FB39D0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calculated as </w:t>
      </w:r>
      <w:r w:rsidR="004D770D"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less than </w:t>
      </w:r>
      <w:r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the </w:t>
      </w:r>
      <w:r w:rsidR="004D770D"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estimated permanent claims savings. </w:t>
      </w:r>
      <w:r w:rsidR="006073FB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G</w:t>
      </w:r>
      <w:r w:rsidR="004D770D"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ivebacks by insurers continue to be announced and </w:t>
      </w:r>
      <w:r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made </w:t>
      </w:r>
      <w:r w:rsidR="004D770D"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after the reported date of 30</w:t>
      </w:r>
      <w:r w:rsidR="00F33FA5"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 </w:t>
      </w:r>
      <w:r w:rsidR="004D770D"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June </w:t>
      </w:r>
      <w:r w:rsidR="0074063C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2023</w:t>
      </w:r>
      <w:r w:rsidR="004D770D"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.</w:t>
      </w:r>
    </w:p>
    <w:p w14:paraId="3FC9FEFA" w14:textId="6597CA68" w:rsidR="00F14EE5" w:rsidRPr="004D07BD" w:rsidRDefault="00CA7FB2" w:rsidP="004D07BD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Table 2 summarises the different </w:t>
      </w:r>
      <w:r w:rsidR="00512193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ways</w:t>
      </w:r>
      <w:r w:rsidR="00512193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private health insurers have returned savings to policyholders. Definitions are provided below the tables.</w:t>
      </w:r>
    </w:p>
    <w:p w14:paraId="43478520" w14:textId="77777777" w:rsidR="004D770D" w:rsidRDefault="004D770D">
      <w:pPr>
        <w:spacing w:before="0" w:after="0" w:line="240" w:lineRule="auto"/>
        <w:rPr>
          <w:b/>
          <w:bCs/>
          <w:szCs w:val="20"/>
          <w:lang w:val="en-US"/>
        </w:rPr>
      </w:pPr>
      <w:r>
        <w:rPr>
          <w:lang w:val="en-US"/>
        </w:rPr>
        <w:br w:type="page"/>
      </w:r>
    </w:p>
    <w:p w14:paraId="29CB0155" w14:textId="39BBE7B6" w:rsidR="009040E9" w:rsidRPr="009040E9" w:rsidRDefault="00CA7FB2" w:rsidP="009040E9">
      <w:pPr>
        <w:pStyle w:val="Tabletitle0"/>
        <w:rPr>
          <w:lang w:val="en-US"/>
        </w:rPr>
      </w:pPr>
      <w:r w:rsidRPr="00CA7FB2">
        <w:rPr>
          <w:lang w:val="en-US"/>
        </w:rPr>
        <w:lastRenderedPageBreak/>
        <w:t xml:space="preserve">Table 1: summary of private health </w:t>
      </w:r>
      <w:proofErr w:type="gramStart"/>
      <w:r w:rsidRPr="00CA7FB2">
        <w:rPr>
          <w:lang w:val="en-US"/>
        </w:rPr>
        <w:t>insurers’</w:t>
      </w:r>
      <w:proofErr w:type="gramEnd"/>
      <w:r w:rsidRPr="00CA7FB2">
        <w:rPr>
          <w:lang w:val="en-US"/>
        </w:rPr>
        <w:t xml:space="preserve"> </w:t>
      </w:r>
      <w:r w:rsidR="00B82B88">
        <w:rPr>
          <w:lang w:val="en-US"/>
        </w:rPr>
        <w:t xml:space="preserve">estimated </w:t>
      </w:r>
      <w:r w:rsidRPr="00CA7FB2">
        <w:rPr>
          <w:lang w:val="en-US"/>
        </w:rPr>
        <w:t xml:space="preserve">permanent claims savings and givebacks to policyholders to 30 June </w:t>
      </w:r>
      <w:r w:rsidR="009B1775">
        <w:rPr>
          <w:lang w:val="en-US"/>
        </w:rPr>
        <w:t>2023</w:t>
      </w:r>
    </w:p>
    <w:tbl>
      <w:tblPr>
        <w:tblStyle w:val="DepartmentofHealthtable"/>
        <w:tblW w:w="8222" w:type="dxa"/>
        <w:tblLook w:val="04A0" w:firstRow="1" w:lastRow="0" w:firstColumn="1" w:lastColumn="0" w:noHBand="0" w:noVBand="1"/>
        <w:tblDescription w:val="Add Alt Text describing the content of the table"/>
      </w:tblPr>
      <w:tblGrid>
        <w:gridCol w:w="5670"/>
        <w:gridCol w:w="2552"/>
      </w:tblGrid>
      <w:tr w:rsidR="00CA7FB2" w:rsidRPr="009040E9" w14:paraId="4DFF717A" w14:textId="77777777" w:rsidTr="00CA7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6BFED226" w14:textId="77777777" w:rsidR="00CA7FB2" w:rsidRPr="009040E9" w:rsidRDefault="00CA7FB2" w:rsidP="00CA7FB2">
            <w:pPr>
              <w:pStyle w:val="Tableheader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Description</w:t>
            </w:r>
          </w:p>
        </w:tc>
        <w:tc>
          <w:tcPr>
            <w:tcW w:w="2552" w:type="dxa"/>
          </w:tcPr>
          <w:p w14:paraId="29D0E575" w14:textId="77777777" w:rsidR="00CA7FB2" w:rsidRPr="009040E9" w:rsidRDefault="00CA7FB2" w:rsidP="00CA7FB2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Amount</w:t>
            </w:r>
          </w:p>
        </w:tc>
      </w:tr>
      <w:tr w:rsidR="00CA7FB2" w:rsidRPr="009040E9" w14:paraId="461240AB" w14:textId="77777777" w:rsidTr="00CA7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5BB12318" w14:textId="7C6B0BE0" w:rsidR="00CA7FB2" w:rsidRPr="009040E9" w:rsidRDefault="00CA7FB2" w:rsidP="009F15C7">
            <w:pPr>
              <w:pStyle w:val="Tabletextleft"/>
            </w:pPr>
            <w:r w:rsidRPr="006E6B8B">
              <w:t xml:space="preserve">Cumulative </w:t>
            </w:r>
            <w:r w:rsidR="00B82B88">
              <w:t xml:space="preserve">estimated </w:t>
            </w:r>
            <w:r w:rsidRPr="006E6B8B">
              <w:t xml:space="preserve">permanent claim savings to 30 June </w:t>
            </w:r>
            <w:r w:rsidR="009B1775">
              <w:t>2023</w:t>
            </w:r>
            <w:r w:rsidR="009F15C7">
              <w:t>*</w:t>
            </w:r>
          </w:p>
        </w:tc>
        <w:tc>
          <w:tcPr>
            <w:tcW w:w="2552" w:type="dxa"/>
          </w:tcPr>
          <w:p w14:paraId="359C3E64" w14:textId="2A274F46" w:rsidR="00CA7FB2" w:rsidRPr="009040E9" w:rsidRDefault="00CA7FB2" w:rsidP="009F15C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AD5C86">
              <w:t>4,</w:t>
            </w:r>
            <w:r w:rsidR="006073FB">
              <w:t>128.8</w:t>
            </w:r>
            <w:r>
              <w:t xml:space="preserve"> million</w:t>
            </w:r>
          </w:p>
        </w:tc>
      </w:tr>
      <w:tr w:rsidR="00CA7FB2" w:rsidRPr="009040E9" w14:paraId="4D94A606" w14:textId="77777777" w:rsidTr="00CA7F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4547BEC1" w14:textId="2D547F6E" w:rsidR="00CA7FB2" w:rsidRPr="009040E9" w:rsidRDefault="00CA7FB2" w:rsidP="009F15C7">
            <w:pPr>
              <w:pStyle w:val="Tabletextleft"/>
            </w:pPr>
            <w:r w:rsidRPr="006E6B8B">
              <w:t xml:space="preserve">Cumulative givebacks to 30 June </w:t>
            </w:r>
            <w:r w:rsidR="009B1775">
              <w:t>2023</w:t>
            </w:r>
            <w:r w:rsidR="009F15C7">
              <w:t>*</w:t>
            </w:r>
          </w:p>
        </w:tc>
        <w:tc>
          <w:tcPr>
            <w:tcW w:w="2552" w:type="dxa"/>
          </w:tcPr>
          <w:p w14:paraId="6C6DDBC3" w14:textId="78EDE7C3" w:rsidR="00CA7FB2" w:rsidRPr="009040E9" w:rsidRDefault="00CA7FB2" w:rsidP="009F15C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</w:t>
            </w:r>
            <w:r w:rsidR="00AD5C86">
              <w:t>3,</w:t>
            </w:r>
            <w:r w:rsidR="006073FB">
              <w:t>496.1</w:t>
            </w:r>
            <w:r>
              <w:t xml:space="preserve"> million</w:t>
            </w:r>
          </w:p>
        </w:tc>
      </w:tr>
      <w:tr w:rsidR="00CA7FB2" w:rsidRPr="009040E9" w14:paraId="105EE9A7" w14:textId="77777777" w:rsidTr="00CA7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5AB21A75" w14:textId="72D933FD" w:rsidR="00CA7FB2" w:rsidRPr="009040E9" w:rsidRDefault="00CA7FB2" w:rsidP="009F15C7">
            <w:pPr>
              <w:pStyle w:val="Tabletextleft"/>
            </w:pPr>
            <w:r w:rsidRPr="006E6B8B">
              <w:t>Percent of givebacks to</w:t>
            </w:r>
            <w:r w:rsidR="00B82B88">
              <w:t xml:space="preserve"> estimated</w:t>
            </w:r>
            <w:r w:rsidRPr="006E6B8B">
              <w:t xml:space="preserve"> permanent claims savings</w:t>
            </w:r>
            <w:r w:rsidR="00C22D8F">
              <w:t xml:space="preserve"> to 30 June 2023</w:t>
            </w:r>
            <w:r w:rsidR="009F15C7">
              <w:t>*</w:t>
            </w:r>
          </w:p>
        </w:tc>
        <w:tc>
          <w:tcPr>
            <w:tcW w:w="2552" w:type="dxa"/>
          </w:tcPr>
          <w:p w14:paraId="7DADD204" w14:textId="59E11189" w:rsidR="00CA7FB2" w:rsidRPr="009040E9" w:rsidRDefault="006073FB" w:rsidP="009F15C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84.7</w:t>
            </w:r>
            <w:r w:rsidR="00CA7FB2">
              <w:t xml:space="preserve"> per cent</w:t>
            </w:r>
          </w:p>
        </w:tc>
      </w:tr>
    </w:tbl>
    <w:p w14:paraId="24366B6F" w14:textId="39A81478" w:rsidR="00CA7FB2" w:rsidRDefault="00C22D8F" w:rsidP="009F15C7">
      <w:pPr>
        <w:pStyle w:val="Tabletextleft"/>
      </w:pPr>
      <w:r>
        <w:t>*Givebacks by insurers continue to be announced and made after the reported date of 30 June 2023.</w:t>
      </w:r>
    </w:p>
    <w:p w14:paraId="0026019C" w14:textId="77777777" w:rsidR="00C22D8F" w:rsidRDefault="00C22D8F" w:rsidP="009F15C7">
      <w:pPr>
        <w:pStyle w:val="Tabletextleft"/>
      </w:pPr>
    </w:p>
    <w:p w14:paraId="437A67FE" w14:textId="456DF98E" w:rsidR="00CA7FB2" w:rsidRPr="009040E9" w:rsidRDefault="00CA7FB2" w:rsidP="003B36F6">
      <w:pPr>
        <w:pStyle w:val="Tabletitle0"/>
        <w:rPr>
          <w:lang w:val="en-US"/>
        </w:rPr>
      </w:pPr>
      <w:r w:rsidRPr="00CA7FB2">
        <w:rPr>
          <w:lang w:val="en-US"/>
        </w:rPr>
        <w:t>Table 2: summary of givebacks by private health insurers to policyholders</w:t>
      </w:r>
    </w:p>
    <w:tbl>
      <w:tblPr>
        <w:tblStyle w:val="DepartmentofHealthtable"/>
        <w:tblW w:w="8222" w:type="dxa"/>
        <w:tblLook w:val="04A0" w:firstRow="1" w:lastRow="0" w:firstColumn="1" w:lastColumn="0" w:noHBand="0" w:noVBand="1"/>
        <w:tblDescription w:val="Add Alt Text describing the content of the table"/>
      </w:tblPr>
      <w:tblGrid>
        <w:gridCol w:w="6804"/>
        <w:gridCol w:w="1418"/>
      </w:tblGrid>
      <w:tr w:rsidR="00CA7FB2" w:rsidRPr="009040E9" w14:paraId="433A12EA" w14:textId="77777777" w:rsidTr="00CA7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49F46094" w14:textId="77777777" w:rsidR="00CA7FB2" w:rsidRPr="009040E9" w:rsidRDefault="00CA7FB2" w:rsidP="003E260A">
            <w:pPr>
              <w:pStyle w:val="Tableheader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Description</w:t>
            </w:r>
          </w:p>
        </w:tc>
        <w:tc>
          <w:tcPr>
            <w:tcW w:w="1418" w:type="dxa"/>
          </w:tcPr>
          <w:p w14:paraId="3F29D76C" w14:textId="77777777" w:rsidR="00CA7FB2" w:rsidRPr="009040E9" w:rsidRDefault="00CA7FB2" w:rsidP="003E260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$ million</w:t>
            </w:r>
          </w:p>
        </w:tc>
      </w:tr>
      <w:tr w:rsidR="00CA7FB2" w:rsidRPr="009040E9" w14:paraId="3EE4098A" w14:textId="77777777" w:rsidTr="00CA7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25F47C31" w14:textId="77777777" w:rsidR="00CA7FB2" w:rsidRPr="009040E9" w:rsidRDefault="00CA7FB2" w:rsidP="009F15C7">
            <w:pPr>
              <w:pStyle w:val="Tabletextleft"/>
            </w:pPr>
            <w:r w:rsidRPr="00580136">
              <w:t>Reduced premiums</w:t>
            </w:r>
          </w:p>
        </w:tc>
        <w:tc>
          <w:tcPr>
            <w:tcW w:w="1418" w:type="dxa"/>
          </w:tcPr>
          <w:p w14:paraId="2F4D2DD5" w14:textId="2A6A8B9D" w:rsidR="00CA7FB2" w:rsidRPr="009040E9" w:rsidRDefault="000F5C8D" w:rsidP="009F15C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1,72</w:t>
            </w:r>
            <w:r w:rsidR="006073FB">
              <w:t>8.7</w:t>
            </w:r>
          </w:p>
        </w:tc>
      </w:tr>
      <w:tr w:rsidR="00CA7FB2" w:rsidRPr="009040E9" w14:paraId="421F1ABB" w14:textId="77777777" w:rsidTr="00CA7F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4D4EBFB6" w14:textId="77777777" w:rsidR="00CA7FB2" w:rsidRPr="009040E9" w:rsidRDefault="00CA7FB2" w:rsidP="009F15C7">
            <w:pPr>
              <w:pStyle w:val="Tabletextleft"/>
            </w:pPr>
            <w:r w:rsidRPr="00580136">
              <w:t>Cashback to policyholders</w:t>
            </w:r>
          </w:p>
        </w:tc>
        <w:tc>
          <w:tcPr>
            <w:tcW w:w="1418" w:type="dxa"/>
          </w:tcPr>
          <w:p w14:paraId="611D7505" w14:textId="547ACD84" w:rsidR="00CA7FB2" w:rsidRPr="009040E9" w:rsidRDefault="006073FB" w:rsidP="009F15C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1,728.7</w:t>
            </w:r>
          </w:p>
        </w:tc>
      </w:tr>
      <w:tr w:rsidR="00CA7FB2" w:rsidRPr="009040E9" w14:paraId="49605115" w14:textId="77777777" w:rsidTr="00CA7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3E515093" w14:textId="77777777" w:rsidR="00CA7FB2" w:rsidRPr="009040E9" w:rsidRDefault="00CA7FB2" w:rsidP="009F15C7">
            <w:pPr>
              <w:pStyle w:val="Tabletextleft"/>
            </w:pPr>
            <w:r w:rsidRPr="00580136">
              <w:t>Expanded benefits at no additional cost</w:t>
            </w:r>
          </w:p>
        </w:tc>
        <w:tc>
          <w:tcPr>
            <w:tcW w:w="1418" w:type="dxa"/>
          </w:tcPr>
          <w:p w14:paraId="508CECAC" w14:textId="062B25BC" w:rsidR="00CA7FB2" w:rsidRPr="009040E9" w:rsidRDefault="00CF53EC" w:rsidP="009F15C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36.0</w:t>
            </w:r>
          </w:p>
        </w:tc>
      </w:tr>
      <w:tr w:rsidR="00CA7FB2" w:rsidRPr="009040E9" w14:paraId="1AE1E2CF" w14:textId="77777777" w:rsidTr="00CA7F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0F13813A" w14:textId="77777777" w:rsidR="00CA7FB2" w:rsidRPr="009040E9" w:rsidRDefault="00CA7FB2" w:rsidP="009F15C7">
            <w:pPr>
              <w:pStyle w:val="Tabletextleft"/>
            </w:pPr>
            <w:r w:rsidRPr="00580136">
              <w:t>Other (includes financial hardship packages)</w:t>
            </w:r>
          </w:p>
        </w:tc>
        <w:tc>
          <w:tcPr>
            <w:tcW w:w="1418" w:type="dxa"/>
          </w:tcPr>
          <w:p w14:paraId="7A514570" w14:textId="40535C89" w:rsidR="00CA7FB2" w:rsidRPr="009040E9" w:rsidRDefault="000F5C8D" w:rsidP="009F15C7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</w:t>
            </w:r>
            <w:r w:rsidR="006073FB">
              <w:t>8</w:t>
            </w:r>
          </w:p>
        </w:tc>
      </w:tr>
      <w:tr w:rsidR="00CA7FB2" w:rsidRPr="009040E9" w14:paraId="7AC2B8F6" w14:textId="77777777" w:rsidTr="00CA7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66C6E242" w14:textId="77777777" w:rsidR="00CA7FB2" w:rsidRPr="00CA7FB2" w:rsidRDefault="00CA7FB2" w:rsidP="009F15C7">
            <w:pPr>
              <w:pStyle w:val="Tabletextleft"/>
            </w:pPr>
            <w:r w:rsidRPr="00CA7FB2">
              <w:t>Total</w:t>
            </w:r>
          </w:p>
        </w:tc>
        <w:tc>
          <w:tcPr>
            <w:tcW w:w="1418" w:type="dxa"/>
          </w:tcPr>
          <w:p w14:paraId="76E2ED9E" w14:textId="4F330599" w:rsidR="00CA7FB2" w:rsidRPr="00CA7FB2" w:rsidRDefault="006073FB" w:rsidP="009F15C7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3,496.</w:t>
            </w:r>
            <w:r w:rsidR="00202F22">
              <w:t>1</w:t>
            </w:r>
          </w:p>
        </w:tc>
      </w:tr>
    </w:tbl>
    <w:p w14:paraId="6F449B2F" w14:textId="77777777" w:rsidR="00895B03" w:rsidRDefault="00895B03" w:rsidP="009F15C7">
      <w:pPr>
        <w:pStyle w:val="Tabletextleft"/>
      </w:pPr>
    </w:p>
    <w:p w14:paraId="6619B177" w14:textId="77777777" w:rsidR="00895B03" w:rsidRDefault="00895B03" w:rsidP="00895B03">
      <w:pPr>
        <w:pStyle w:val="Heading2"/>
      </w:pPr>
      <w:r w:rsidRPr="00895B03">
        <w:t>Definitions</w:t>
      </w:r>
    </w:p>
    <w:p w14:paraId="02BA055D" w14:textId="00387206" w:rsidR="00895B03" w:rsidRDefault="00B82B88" w:rsidP="00895B03">
      <w:pPr>
        <w:pStyle w:val="Heading3"/>
      </w:pPr>
      <w:r>
        <w:t xml:space="preserve">Estimated </w:t>
      </w:r>
      <w:r w:rsidR="00895B03">
        <w:t>Permanent Claim</w:t>
      </w:r>
      <w:r w:rsidR="00B635F4">
        <w:t>s</w:t>
      </w:r>
      <w:r w:rsidR="00895B03">
        <w:t xml:space="preserve"> Savings</w:t>
      </w:r>
    </w:p>
    <w:p w14:paraId="356C802D" w14:textId="3C32DEB6" w:rsidR="00895B03" w:rsidRDefault="00895B03" w:rsidP="00895B03">
      <w:r>
        <w:t>Whil</w:t>
      </w:r>
      <w:r w:rsidR="00C0589A">
        <w:t>e</w:t>
      </w:r>
      <w:r>
        <w:t xml:space="preserve"> all insurers were able to develop their own definition of permanent claims savings, a typical definition is the </w:t>
      </w:r>
      <w:r w:rsidR="00B82B88">
        <w:t xml:space="preserve">estimated </w:t>
      </w:r>
      <w:r>
        <w:t>amount of net missing claims that are unlikely to return, or equivalently, total missing claims less a deferred claims liability.</w:t>
      </w:r>
    </w:p>
    <w:p w14:paraId="1E7E0B74" w14:textId="13163FD9" w:rsidR="00895B03" w:rsidRDefault="00895B03" w:rsidP="00895B03">
      <w:r>
        <w:t xml:space="preserve">Cumulative </w:t>
      </w:r>
      <w:r w:rsidR="00B82B88">
        <w:t>estimated p</w:t>
      </w:r>
      <w:r>
        <w:t xml:space="preserve">ermanent </w:t>
      </w:r>
      <w:r w:rsidR="00B82B88">
        <w:t>c</w:t>
      </w:r>
      <w:r>
        <w:t xml:space="preserve">laims </w:t>
      </w:r>
      <w:r w:rsidR="00B82B88">
        <w:t>s</w:t>
      </w:r>
      <w:r>
        <w:t xml:space="preserve">avings to 30 June </w:t>
      </w:r>
      <w:r w:rsidR="000F5C8D">
        <w:t>2023</w:t>
      </w:r>
      <w:r>
        <w:t xml:space="preserve"> is the sum of </w:t>
      </w:r>
      <w:r w:rsidR="00B82B88">
        <w:t xml:space="preserve">the estimated </w:t>
      </w:r>
      <w:r>
        <w:t>permanent claim savings</w:t>
      </w:r>
      <w:r w:rsidR="005B5E5C">
        <w:t xml:space="preserve"> identified </w:t>
      </w:r>
      <w:r>
        <w:t xml:space="preserve">from the start of the pandemic to 30 June </w:t>
      </w:r>
      <w:r w:rsidR="000F5C8D">
        <w:t>2023</w:t>
      </w:r>
      <w:r>
        <w:t>.</w:t>
      </w:r>
    </w:p>
    <w:p w14:paraId="648A2819" w14:textId="77777777" w:rsidR="00895B03" w:rsidRDefault="00895B03" w:rsidP="00895B03">
      <w:pPr>
        <w:pStyle w:val="Heading3"/>
      </w:pPr>
      <w:r>
        <w:t>Givebacks</w:t>
      </w:r>
    </w:p>
    <w:p w14:paraId="23312173" w14:textId="1460DE33" w:rsidR="00895B03" w:rsidRDefault="00895B03" w:rsidP="00895B03">
      <w:r>
        <w:t xml:space="preserve">Givebacks are actions which are intended to return the permanent claim savings </w:t>
      </w:r>
      <w:r w:rsidR="00C0589A">
        <w:t xml:space="preserve">to </w:t>
      </w:r>
      <w:r>
        <w:t xml:space="preserve">directly benefit members, </w:t>
      </w:r>
      <w:r w:rsidR="00C0589A">
        <w:t xml:space="preserve">through </w:t>
      </w:r>
      <w:r>
        <w:t>for example (not exhaustive):</w:t>
      </w:r>
    </w:p>
    <w:p w14:paraId="2EDCEE81" w14:textId="63391527" w:rsidR="00895B03" w:rsidRDefault="00C0589A" w:rsidP="00895B03">
      <w:pPr>
        <w:pStyle w:val="ListParagraph"/>
        <w:numPr>
          <w:ilvl w:val="0"/>
          <w:numId w:val="27"/>
        </w:numPr>
      </w:pPr>
      <w:r>
        <w:t>c</w:t>
      </w:r>
      <w:r w:rsidR="00895B03">
        <w:t>ashbacks</w:t>
      </w:r>
    </w:p>
    <w:p w14:paraId="6CB68767" w14:textId="77777777" w:rsidR="00895B03" w:rsidRDefault="00895B03" w:rsidP="00895B03">
      <w:pPr>
        <w:pStyle w:val="ListParagraph"/>
        <w:numPr>
          <w:ilvl w:val="0"/>
          <w:numId w:val="27"/>
        </w:numPr>
      </w:pPr>
      <w:r>
        <w:t>lower premium increases</w:t>
      </w:r>
    </w:p>
    <w:p w14:paraId="317571A1" w14:textId="77777777" w:rsidR="00895B03" w:rsidRDefault="00895B03" w:rsidP="00895B03">
      <w:pPr>
        <w:pStyle w:val="ListParagraph"/>
        <w:numPr>
          <w:ilvl w:val="0"/>
          <w:numId w:val="27"/>
        </w:numPr>
      </w:pPr>
      <w:r>
        <w:t>delayed premium increases.</w:t>
      </w:r>
    </w:p>
    <w:p w14:paraId="01950708" w14:textId="76CDC0C2" w:rsidR="00895B03" w:rsidRDefault="00895B03" w:rsidP="00895B03">
      <w:r>
        <w:t xml:space="preserve">Cumulative givebacks to 30 June </w:t>
      </w:r>
      <w:r w:rsidR="000F5C8D">
        <w:t>2023</w:t>
      </w:r>
      <w:r>
        <w:t xml:space="preserve"> are the sum of givebacks from the start of the pandemic to 30 June </w:t>
      </w:r>
      <w:r w:rsidR="000F5C8D">
        <w:t>2023</w:t>
      </w:r>
      <w:r>
        <w:t>.</w:t>
      </w:r>
    </w:p>
    <w:p w14:paraId="4D3B73B4" w14:textId="77777777" w:rsidR="00895B03" w:rsidRDefault="00895B03" w:rsidP="00895B03">
      <w:pPr>
        <w:pStyle w:val="Heading3"/>
      </w:pPr>
      <w:r>
        <w:t xml:space="preserve">Reduced </w:t>
      </w:r>
      <w:proofErr w:type="gramStart"/>
      <w:r>
        <w:t>premiums</w:t>
      </w:r>
      <w:proofErr w:type="gramEnd"/>
    </w:p>
    <w:p w14:paraId="7CD2AA43" w14:textId="77777777" w:rsidR="00895B03" w:rsidRDefault="00895B03" w:rsidP="00895B03">
      <w:r>
        <w:t>Reduced premium includes:</w:t>
      </w:r>
    </w:p>
    <w:p w14:paraId="38DACAE5" w14:textId="1FED7613" w:rsidR="00895B03" w:rsidRDefault="00895B03" w:rsidP="00895B03">
      <w:pPr>
        <w:pStyle w:val="ListParagraph"/>
        <w:numPr>
          <w:ilvl w:val="0"/>
          <w:numId w:val="28"/>
        </w:numPr>
      </w:pPr>
      <w:r>
        <w:t xml:space="preserve">deferring the approved increase in premiums so the policyholder continues to pay the lower premium for </w:t>
      </w:r>
      <w:proofErr w:type="gramStart"/>
      <w:r>
        <w:t>longer</w:t>
      </w:r>
      <w:proofErr w:type="gramEnd"/>
    </w:p>
    <w:p w14:paraId="3CA68517" w14:textId="2EAAC847" w:rsidR="00895B03" w:rsidRDefault="00895B03" w:rsidP="00895B03">
      <w:pPr>
        <w:pStyle w:val="ListParagraph"/>
        <w:numPr>
          <w:ilvl w:val="0"/>
          <w:numId w:val="28"/>
        </w:numPr>
      </w:pPr>
      <w:r>
        <w:t>cancell</w:t>
      </w:r>
      <w:r w:rsidR="00C0589A">
        <w:t>ing</w:t>
      </w:r>
      <w:r>
        <w:t xml:space="preserve"> premium increases, so the policyholder continues to pay a lower </w:t>
      </w:r>
      <w:proofErr w:type="gramStart"/>
      <w:r>
        <w:t>premium</w:t>
      </w:r>
      <w:proofErr w:type="gramEnd"/>
    </w:p>
    <w:p w14:paraId="5AB75BEE" w14:textId="77777777" w:rsidR="003B36F6" w:rsidRDefault="00C0589A">
      <w:pPr>
        <w:pStyle w:val="ListParagraph"/>
        <w:numPr>
          <w:ilvl w:val="0"/>
          <w:numId w:val="28"/>
        </w:numPr>
      </w:pPr>
      <w:r>
        <w:lastRenderedPageBreak/>
        <w:t xml:space="preserve">suspending or waiving premiums for </w:t>
      </w:r>
      <w:proofErr w:type="gramStart"/>
      <w:r>
        <w:t>a period of time</w:t>
      </w:r>
      <w:proofErr w:type="gramEnd"/>
      <w:r>
        <w:t xml:space="preserve"> </w:t>
      </w:r>
      <w:r w:rsidR="00895B03">
        <w:t>in cases of financial hardship</w:t>
      </w:r>
    </w:p>
    <w:p w14:paraId="228857BF" w14:textId="04BDD296" w:rsidR="00895B03" w:rsidRDefault="00895B03">
      <w:pPr>
        <w:pStyle w:val="ListParagraph"/>
        <w:numPr>
          <w:ilvl w:val="0"/>
          <w:numId w:val="28"/>
        </w:numPr>
      </w:pPr>
      <w:r>
        <w:t>discounts on premiums</w:t>
      </w:r>
    </w:p>
    <w:p w14:paraId="639B0743" w14:textId="77777777" w:rsidR="00895B03" w:rsidRDefault="00895B03" w:rsidP="00895B03">
      <w:pPr>
        <w:pStyle w:val="ListParagraph"/>
        <w:numPr>
          <w:ilvl w:val="0"/>
          <w:numId w:val="28"/>
        </w:numPr>
      </w:pPr>
      <w:r>
        <w:t>seeking a lower annual premium increase than budgeted for where the lower premium sought is attributed directly to supporting policyholders.</w:t>
      </w:r>
    </w:p>
    <w:p w14:paraId="4D727D1D" w14:textId="474E921A" w:rsidR="00895B03" w:rsidRDefault="00C0589A" w:rsidP="00895B03">
      <w:r>
        <w:t>S</w:t>
      </w:r>
      <w:r w:rsidR="00895B03">
        <w:t>ome insurers have included premium discounts and premium waivers within financial hardship packages and reported this separately. These have been captured in ‘other’ givebacks.</w:t>
      </w:r>
    </w:p>
    <w:p w14:paraId="3C36B154" w14:textId="77777777" w:rsidR="00895B03" w:rsidRDefault="00895B03" w:rsidP="00FC635C">
      <w:pPr>
        <w:pStyle w:val="Heading3"/>
      </w:pPr>
      <w:r>
        <w:t xml:space="preserve">Expanded benefits at no additional </w:t>
      </w:r>
      <w:proofErr w:type="gramStart"/>
      <w:r>
        <w:t>cost</w:t>
      </w:r>
      <w:proofErr w:type="gramEnd"/>
    </w:p>
    <w:p w14:paraId="193DBDA8" w14:textId="77777777" w:rsidR="00895B03" w:rsidRDefault="00895B03" w:rsidP="00895B03">
      <w:r>
        <w:t>In response to the pandemic, many insurers may have, for example:</w:t>
      </w:r>
    </w:p>
    <w:p w14:paraId="70A19D36" w14:textId="77777777" w:rsidR="00895B03" w:rsidRDefault="00895B03" w:rsidP="00FC635C">
      <w:pPr>
        <w:pStyle w:val="ListParagraph"/>
        <w:numPr>
          <w:ilvl w:val="0"/>
          <w:numId w:val="29"/>
        </w:numPr>
      </w:pPr>
      <w:r>
        <w:t xml:space="preserve">provided private cover for Lung and Chest even if not required within the product </w:t>
      </w:r>
      <w:proofErr w:type="gramStart"/>
      <w:r>
        <w:t>tier</w:t>
      </w:r>
      <w:proofErr w:type="gramEnd"/>
    </w:p>
    <w:p w14:paraId="03190FE4" w14:textId="77777777" w:rsidR="00895B03" w:rsidRDefault="00895B03" w:rsidP="00FC635C">
      <w:pPr>
        <w:pStyle w:val="ListParagraph"/>
        <w:numPr>
          <w:ilvl w:val="0"/>
          <w:numId w:val="29"/>
        </w:numPr>
      </w:pPr>
      <w:r>
        <w:t xml:space="preserve">provided telehealth or other services to </w:t>
      </w:r>
      <w:proofErr w:type="gramStart"/>
      <w:r>
        <w:t>policyholders</w:t>
      </w:r>
      <w:proofErr w:type="gramEnd"/>
    </w:p>
    <w:p w14:paraId="73834743" w14:textId="77777777" w:rsidR="00895B03" w:rsidRDefault="00895B03" w:rsidP="00FC635C">
      <w:pPr>
        <w:pStyle w:val="ListParagraph"/>
        <w:numPr>
          <w:ilvl w:val="0"/>
          <w:numId w:val="29"/>
        </w:numPr>
      </w:pPr>
      <w:r>
        <w:t>rolled over general benefit limits.</w:t>
      </w:r>
    </w:p>
    <w:p w14:paraId="0E51C058" w14:textId="579C1443" w:rsidR="00895B03" w:rsidRDefault="00895B03" w:rsidP="00FC635C">
      <w:pPr>
        <w:pStyle w:val="Heading3"/>
      </w:pPr>
      <w:r>
        <w:t>Further information</w:t>
      </w:r>
      <w:r w:rsidR="00B635F4">
        <w:t xml:space="preserve"> and</w:t>
      </w:r>
      <w:r>
        <w:t xml:space="preserve"> the reporting framework</w:t>
      </w:r>
    </w:p>
    <w:p w14:paraId="3C898277" w14:textId="4D1E23E1" w:rsidR="004D07BD" w:rsidRDefault="00895B03" w:rsidP="00895B03">
      <w:r>
        <w:t xml:space="preserve">To </w:t>
      </w:r>
      <w:r w:rsidR="00C0589A">
        <w:t xml:space="preserve">ensure </w:t>
      </w:r>
      <w:r>
        <w:t xml:space="preserve">consistent reporting from health insurers, </w:t>
      </w:r>
      <w:r w:rsidR="00C0589A">
        <w:t xml:space="preserve">there is </w:t>
      </w:r>
      <w:r>
        <w:t>a framework for reporting pandemic commitments</w:t>
      </w:r>
      <w:r w:rsidR="00C0589A">
        <w:t>. It</w:t>
      </w:r>
      <w:r>
        <w:t xml:space="preserve"> was developed in collaboration with the health insurance sector and other regulatory agencies</w:t>
      </w:r>
      <w:r w:rsidR="005B5E5C">
        <w:t xml:space="preserve"> (specifically, the Australian Competition and Consumer Commission and the Australian Prudential Regulation Authority)</w:t>
      </w:r>
      <w:r>
        <w:t>.</w:t>
      </w:r>
    </w:p>
    <w:p w14:paraId="1986BC69" w14:textId="1CC7EADB" w:rsidR="00FC635C" w:rsidRPr="00895B03" w:rsidRDefault="00000000" w:rsidP="002A24AF">
      <w:hyperlink r:id="rId8" w:history="1">
        <w:r w:rsidR="002A24AF">
          <w:rPr>
            <w:rStyle w:val="Hyperlink"/>
          </w:rPr>
          <w:t>Monitoring Framework for Private Health Insurers’</w:t>
        </w:r>
      </w:hyperlink>
    </w:p>
    <w:sectPr w:rsidR="00FC635C" w:rsidRPr="00895B03" w:rsidSect="00B5398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EF28" w14:textId="77777777" w:rsidR="00765E79" w:rsidRDefault="00765E79" w:rsidP="006B56BB">
      <w:r>
        <w:separator/>
      </w:r>
    </w:p>
    <w:p w14:paraId="5881BDA7" w14:textId="77777777" w:rsidR="00765E79" w:rsidRDefault="00765E79"/>
  </w:endnote>
  <w:endnote w:type="continuationSeparator" w:id="0">
    <w:p w14:paraId="61272AC9" w14:textId="77777777" w:rsidR="00765E79" w:rsidRDefault="00765E79" w:rsidP="006B56BB">
      <w:r>
        <w:continuationSeparator/>
      </w:r>
    </w:p>
    <w:p w14:paraId="36A13DEE" w14:textId="77777777" w:rsidR="00765E79" w:rsidRDefault="00765E79"/>
  </w:endnote>
  <w:endnote w:type="continuationNotice" w:id="1">
    <w:p w14:paraId="224B2521" w14:textId="77777777" w:rsidR="00765E79" w:rsidRDefault="00765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8C0C" w14:textId="580F39CF" w:rsidR="00B53987" w:rsidRDefault="00AA262B" w:rsidP="00B53987">
    <w:pPr>
      <w:pStyle w:val="Footer"/>
    </w:pPr>
    <w:r>
      <w:t xml:space="preserve">Department of Health and Aged Care </w:t>
    </w:r>
    <w:r w:rsidR="00B53987">
      <w:t>–</w:t>
    </w:r>
    <w:r w:rsidR="00D808E7">
      <w:t xml:space="preserve"> </w:t>
    </w:r>
    <w:r w:rsidR="00D808E7" w:rsidRPr="00D808E7">
      <w:t>Private Health Insurer Pandemic Commitment Monitoring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A393" w14:textId="431A1383" w:rsidR="00B53987" w:rsidRDefault="00AA262B" w:rsidP="00B53987">
    <w:pPr>
      <w:pStyle w:val="Footer"/>
    </w:pPr>
    <w:r>
      <w:t xml:space="preserve">Department of Health and Aged Care </w:t>
    </w:r>
    <w:r w:rsidR="00B53987">
      <w:t>–</w:t>
    </w:r>
    <w:r w:rsidR="00A23DB4">
      <w:t xml:space="preserve"> </w:t>
    </w:r>
    <w:r w:rsidR="00A23DB4" w:rsidRPr="00A23DB4">
      <w:t>Private Health Insurer Pandemic Commitment Monitoring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A636" w14:textId="77777777" w:rsidR="00765E79" w:rsidRDefault="00765E79" w:rsidP="006B56BB">
      <w:r>
        <w:separator/>
      </w:r>
    </w:p>
    <w:p w14:paraId="773521C8" w14:textId="77777777" w:rsidR="00765E79" w:rsidRDefault="00765E79"/>
  </w:footnote>
  <w:footnote w:type="continuationSeparator" w:id="0">
    <w:p w14:paraId="4ADBF42F" w14:textId="77777777" w:rsidR="00765E79" w:rsidRDefault="00765E79" w:rsidP="006B56BB">
      <w:r>
        <w:continuationSeparator/>
      </w:r>
    </w:p>
    <w:p w14:paraId="73339054" w14:textId="77777777" w:rsidR="00765E79" w:rsidRDefault="00765E79"/>
  </w:footnote>
  <w:footnote w:type="continuationNotice" w:id="1">
    <w:p w14:paraId="3330C1DA" w14:textId="77777777" w:rsidR="00765E79" w:rsidRDefault="00765E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0264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2FCC" w14:textId="5FB7B9BD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4F35FC25" wp14:editId="6516FC4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D2C95"/>
    <w:multiLevelType w:val="hybridMultilevel"/>
    <w:tmpl w:val="FD5EB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C07F7"/>
    <w:multiLevelType w:val="hybridMultilevel"/>
    <w:tmpl w:val="6F42B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314C8"/>
    <w:multiLevelType w:val="hybridMultilevel"/>
    <w:tmpl w:val="BEECE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48001715">
    <w:abstractNumId w:val="7"/>
  </w:num>
  <w:num w:numId="2" w16cid:durableId="1799453545">
    <w:abstractNumId w:val="17"/>
  </w:num>
  <w:num w:numId="3" w16cid:durableId="667438001">
    <w:abstractNumId w:val="20"/>
  </w:num>
  <w:num w:numId="4" w16cid:durableId="1548563717">
    <w:abstractNumId w:val="8"/>
  </w:num>
  <w:num w:numId="5" w16cid:durableId="1070424676">
    <w:abstractNumId w:val="8"/>
    <w:lvlOverride w:ilvl="0">
      <w:startOverride w:val="1"/>
    </w:lvlOverride>
  </w:num>
  <w:num w:numId="6" w16cid:durableId="625307359">
    <w:abstractNumId w:val="9"/>
  </w:num>
  <w:num w:numId="7" w16cid:durableId="1682463963">
    <w:abstractNumId w:val="15"/>
  </w:num>
  <w:num w:numId="8" w16cid:durableId="331681609">
    <w:abstractNumId w:val="19"/>
  </w:num>
  <w:num w:numId="9" w16cid:durableId="584651851">
    <w:abstractNumId w:val="5"/>
  </w:num>
  <w:num w:numId="10" w16cid:durableId="293483160">
    <w:abstractNumId w:val="4"/>
  </w:num>
  <w:num w:numId="11" w16cid:durableId="931278221">
    <w:abstractNumId w:val="3"/>
  </w:num>
  <w:num w:numId="12" w16cid:durableId="122694281">
    <w:abstractNumId w:val="2"/>
  </w:num>
  <w:num w:numId="13" w16cid:durableId="1405185073">
    <w:abstractNumId w:val="6"/>
  </w:num>
  <w:num w:numId="14" w16cid:durableId="1253468970">
    <w:abstractNumId w:val="1"/>
  </w:num>
  <w:num w:numId="15" w16cid:durableId="118302275">
    <w:abstractNumId w:val="0"/>
  </w:num>
  <w:num w:numId="16" w16cid:durableId="171840102">
    <w:abstractNumId w:val="21"/>
  </w:num>
  <w:num w:numId="17" w16cid:durableId="142234341">
    <w:abstractNumId w:val="11"/>
  </w:num>
  <w:num w:numId="18" w16cid:durableId="1525438259">
    <w:abstractNumId w:val="12"/>
  </w:num>
  <w:num w:numId="19" w16cid:durableId="996809524">
    <w:abstractNumId w:val="14"/>
  </w:num>
  <w:num w:numId="20" w16cid:durableId="2002612537">
    <w:abstractNumId w:val="11"/>
  </w:num>
  <w:num w:numId="21" w16cid:durableId="1178541451">
    <w:abstractNumId w:val="14"/>
  </w:num>
  <w:num w:numId="22" w16cid:durableId="2144149961">
    <w:abstractNumId w:val="21"/>
  </w:num>
  <w:num w:numId="23" w16cid:durableId="110903343">
    <w:abstractNumId w:val="17"/>
  </w:num>
  <w:num w:numId="24" w16cid:durableId="1570340717">
    <w:abstractNumId w:val="20"/>
  </w:num>
  <w:num w:numId="25" w16cid:durableId="2043363718">
    <w:abstractNumId w:val="8"/>
  </w:num>
  <w:num w:numId="26" w16cid:durableId="1771467776">
    <w:abstractNumId w:val="16"/>
  </w:num>
  <w:num w:numId="27" w16cid:durableId="197090183">
    <w:abstractNumId w:val="18"/>
  </w:num>
  <w:num w:numId="28" w16cid:durableId="565649532">
    <w:abstractNumId w:val="13"/>
  </w:num>
  <w:num w:numId="29" w16cid:durableId="1832596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1F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7497A"/>
    <w:rsid w:val="00081AB1"/>
    <w:rsid w:val="00090316"/>
    <w:rsid w:val="00093981"/>
    <w:rsid w:val="000B067A"/>
    <w:rsid w:val="000B1540"/>
    <w:rsid w:val="000B1E53"/>
    <w:rsid w:val="000B2454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6519"/>
    <w:rsid w:val="000F123C"/>
    <w:rsid w:val="000F2FED"/>
    <w:rsid w:val="000F5C8D"/>
    <w:rsid w:val="0010616D"/>
    <w:rsid w:val="00110478"/>
    <w:rsid w:val="0011711B"/>
    <w:rsid w:val="00117F8A"/>
    <w:rsid w:val="00121B9B"/>
    <w:rsid w:val="00122ADC"/>
    <w:rsid w:val="00130F59"/>
    <w:rsid w:val="00133EC0"/>
    <w:rsid w:val="0013485B"/>
    <w:rsid w:val="00141CE5"/>
    <w:rsid w:val="00144908"/>
    <w:rsid w:val="0015544F"/>
    <w:rsid w:val="00156D96"/>
    <w:rsid w:val="001571C7"/>
    <w:rsid w:val="00161094"/>
    <w:rsid w:val="0017665C"/>
    <w:rsid w:val="00177AD2"/>
    <w:rsid w:val="001815A8"/>
    <w:rsid w:val="001840FA"/>
    <w:rsid w:val="00190079"/>
    <w:rsid w:val="00194621"/>
    <w:rsid w:val="0019622E"/>
    <w:rsid w:val="001966A7"/>
    <w:rsid w:val="001A4627"/>
    <w:rsid w:val="001A4979"/>
    <w:rsid w:val="001B0B11"/>
    <w:rsid w:val="001B15D3"/>
    <w:rsid w:val="001B3443"/>
    <w:rsid w:val="001C0326"/>
    <w:rsid w:val="001C192F"/>
    <w:rsid w:val="001C3C42"/>
    <w:rsid w:val="001D7869"/>
    <w:rsid w:val="002026CD"/>
    <w:rsid w:val="00202F22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059B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1BE"/>
    <w:rsid w:val="0027330B"/>
    <w:rsid w:val="00275D59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A24AF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16589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2D1F"/>
    <w:rsid w:val="003B36F6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3AC8"/>
    <w:rsid w:val="0048593C"/>
    <w:rsid w:val="004867E2"/>
    <w:rsid w:val="004929A9"/>
    <w:rsid w:val="004A78D9"/>
    <w:rsid w:val="004C6BCF"/>
    <w:rsid w:val="004D07BD"/>
    <w:rsid w:val="004D17FE"/>
    <w:rsid w:val="004D58BF"/>
    <w:rsid w:val="004D770D"/>
    <w:rsid w:val="004E4335"/>
    <w:rsid w:val="004F13EE"/>
    <w:rsid w:val="004F2022"/>
    <w:rsid w:val="004F2D1E"/>
    <w:rsid w:val="004F7C05"/>
    <w:rsid w:val="00501C94"/>
    <w:rsid w:val="00506432"/>
    <w:rsid w:val="00506E82"/>
    <w:rsid w:val="00512193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B5E5C"/>
    <w:rsid w:val="005C5AEB"/>
    <w:rsid w:val="005D2FD3"/>
    <w:rsid w:val="005E0A3F"/>
    <w:rsid w:val="005E6883"/>
    <w:rsid w:val="005E72B9"/>
    <w:rsid w:val="005E772F"/>
    <w:rsid w:val="005F4ECA"/>
    <w:rsid w:val="006041BE"/>
    <w:rsid w:val="006043C7"/>
    <w:rsid w:val="006073FB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0840"/>
    <w:rsid w:val="00701275"/>
    <w:rsid w:val="00707F56"/>
    <w:rsid w:val="00713558"/>
    <w:rsid w:val="00720D08"/>
    <w:rsid w:val="007263B9"/>
    <w:rsid w:val="00726909"/>
    <w:rsid w:val="007334F8"/>
    <w:rsid w:val="007339CD"/>
    <w:rsid w:val="007359D8"/>
    <w:rsid w:val="007362D4"/>
    <w:rsid w:val="0074063C"/>
    <w:rsid w:val="00765E79"/>
    <w:rsid w:val="0076672A"/>
    <w:rsid w:val="00775E45"/>
    <w:rsid w:val="00776E74"/>
    <w:rsid w:val="00785169"/>
    <w:rsid w:val="007954AB"/>
    <w:rsid w:val="007A14C5"/>
    <w:rsid w:val="007A4A10"/>
    <w:rsid w:val="007A766B"/>
    <w:rsid w:val="007B095C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5B03"/>
    <w:rsid w:val="0089677E"/>
    <w:rsid w:val="008A7438"/>
    <w:rsid w:val="008B1334"/>
    <w:rsid w:val="008B25C7"/>
    <w:rsid w:val="008C0278"/>
    <w:rsid w:val="008C24E9"/>
    <w:rsid w:val="008D0533"/>
    <w:rsid w:val="008D411E"/>
    <w:rsid w:val="008D42CB"/>
    <w:rsid w:val="008D48C9"/>
    <w:rsid w:val="008D6381"/>
    <w:rsid w:val="008E0C77"/>
    <w:rsid w:val="008E625F"/>
    <w:rsid w:val="008F264D"/>
    <w:rsid w:val="008F3C32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A634D"/>
    <w:rsid w:val="009B1570"/>
    <w:rsid w:val="009B1775"/>
    <w:rsid w:val="009C6F10"/>
    <w:rsid w:val="009D148F"/>
    <w:rsid w:val="009D3D70"/>
    <w:rsid w:val="009D6E31"/>
    <w:rsid w:val="009E6F7E"/>
    <w:rsid w:val="009E7A57"/>
    <w:rsid w:val="009F15C7"/>
    <w:rsid w:val="009F4803"/>
    <w:rsid w:val="009F4F6A"/>
    <w:rsid w:val="00A13EB5"/>
    <w:rsid w:val="00A16E36"/>
    <w:rsid w:val="00A23194"/>
    <w:rsid w:val="00A23DB4"/>
    <w:rsid w:val="00A24961"/>
    <w:rsid w:val="00A24B10"/>
    <w:rsid w:val="00A277EF"/>
    <w:rsid w:val="00A30E9B"/>
    <w:rsid w:val="00A361AD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9494B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D5C86"/>
    <w:rsid w:val="00AE0380"/>
    <w:rsid w:val="00AE1D7D"/>
    <w:rsid w:val="00AE2A8B"/>
    <w:rsid w:val="00AE3F64"/>
    <w:rsid w:val="00AF7386"/>
    <w:rsid w:val="00AF7934"/>
    <w:rsid w:val="00B00B81"/>
    <w:rsid w:val="00B04580"/>
    <w:rsid w:val="00B04B09"/>
    <w:rsid w:val="00B15911"/>
    <w:rsid w:val="00B16A51"/>
    <w:rsid w:val="00B170AD"/>
    <w:rsid w:val="00B32222"/>
    <w:rsid w:val="00B3618D"/>
    <w:rsid w:val="00B36233"/>
    <w:rsid w:val="00B42851"/>
    <w:rsid w:val="00B45AC7"/>
    <w:rsid w:val="00B5372F"/>
    <w:rsid w:val="00B53987"/>
    <w:rsid w:val="00B53F32"/>
    <w:rsid w:val="00B61129"/>
    <w:rsid w:val="00B635F4"/>
    <w:rsid w:val="00B67E7F"/>
    <w:rsid w:val="00B82B88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4849"/>
    <w:rsid w:val="00BB5860"/>
    <w:rsid w:val="00BB6AAD"/>
    <w:rsid w:val="00BC4A19"/>
    <w:rsid w:val="00BC4E6D"/>
    <w:rsid w:val="00BD0617"/>
    <w:rsid w:val="00BD2E9B"/>
    <w:rsid w:val="00BD7FB2"/>
    <w:rsid w:val="00BE6A4A"/>
    <w:rsid w:val="00C00930"/>
    <w:rsid w:val="00C0589A"/>
    <w:rsid w:val="00C060AD"/>
    <w:rsid w:val="00C113BF"/>
    <w:rsid w:val="00C2176E"/>
    <w:rsid w:val="00C22D8F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A7FB2"/>
    <w:rsid w:val="00CB5B1A"/>
    <w:rsid w:val="00CC220B"/>
    <w:rsid w:val="00CC5C43"/>
    <w:rsid w:val="00CC685D"/>
    <w:rsid w:val="00CD02AE"/>
    <w:rsid w:val="00CD2A4F"/>
    <w:rsid w:val="00CE03CA"/>
    <w:rsid w:val="00CE22F1"/>
    <w:rsid w:val="00CE50F2"/>
    <w:rsid w:val="00CE6502"/>
    <w:rsid w:val="00CF53EC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808E7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47EC4"/>
    <w:rsid w:val="00E50188"/>
    <w:rsid w:val="00E50BB3"/>
    <w:rsid w:val="00E515CB"/>
    <w:rsid w:val="00E52260"/>
    <w:rsid w:val="00E639B6"/>
    <w:rsid w:val="00E6434B"/>
    <w:rsid w:val="00E6463D"/>
    <w:rsid w:val="00E71295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4996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14EE5"/>
    <w:rsid w:val="00F1764B"/>
    <w:rsid w:val="00F21302"/>
    <w:rsid w:val="00F2430D"/>
    <w:rsid w:val="00F321DE"/>
    <w:rsid w:val="00F33777"/>
    <w:rsid w:val="00F33FA5"/>
    <w:rsid w:val="00F40648"/>
    <w:rsid w:val="00F47DA2"/>
    <w:rsid w:val="00F519FC"/>
    <w:rsid w:val="00F57DFB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39D0"/>
    <w:rsid w:val="00FB6F92"/>
    <w:rsid w:val="00FB7809"/>
    <w:rsid w:val="00FC026E"/>
    <w:rsid w:val="00FC5124"/>
    <w:rsid w:val="00FC635C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0F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9F15C7"/>
    <w:pPr>
      <w:spacing w:before="60" w:after="60"/>
    </w:pPr>
    <w:rPr>
      <w:rFonts w:ascii="Arial" w:hAnsi="Arial"/>
      <w:color w:val="000000" w:themeColor="text1"/>
      <w:sz w:val="18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75D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0B11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4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5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544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5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544F"/>
    <w:rPr>
      <w:rFonts w:ascii="Arial" w:hAnsi="Arial"/>
      <w:b/>
      <w:bCs/>
      <w:color w:val="000000" w:themeColor="text1"/>
      <w:lang w:eastAsia="en-US"/>
    </w:rPr>
  </w:style>
  <w:style w:type="character" w:styleId="FollowedHyperlink">
    <w:name w:val="FollowedHyperlink"/>
    <w:basedOn w:val="DefaultParagraphFont"/>
    <w:semiHidden/>
    <w:unhideWhenUsed/>
    <w:rsid w:val="005B5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monitoring-framework-for-private-health-insure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02F28-63C0-4998-AA3B-F9A31009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Health Insurer pandemic commitment monitoring</vt:lpstr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Health Insurer pandemic commitment monitoring</dc:title>
  <dc:creator/>
  <cp:lastModifiedBy/>
  <cp:revision>1</cp:revision>
  <dcterms:created xsi:type="dcterms:W3CDTF">2023-11-29T23:52:00Z</dcterms:created>
  <dcterms:modified xsi:type="dcterms:W3CDTF">2023-11-29T23:52:00Z</dcterms:modified>
</cp:coreProperties>
</file>