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705ECD9F"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5E187B">
        <w:rPr>
          <w:rFonts w:asciiTheme="minorHAnsi" w:hAnsiTheme="minorHAnsi" w:cstheme="minorHAnsi"/>
          <w:b/>
          <w:bCs/>
          <w:noProof/>
          <w:u w:val="single"/>
        </w:rPr>
        <w:t>2</w:t>
      </w:r>
      <w:r w:rsidR="002F1D15">
        <w:rPr>
          <w:rFonts w:asciiTheme="minorHAnsi" w:hAnsiTheme="minorHAnsi" w:cstheme="minorHAnsi"/>
          <w:b/>
          <w:bCs/>
          <w:noProof/>
          <w:u w:val="single"/>
        </w:rPr>
        <w:t>1</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2D330C">
        <w:rPr>
          <w:rFonts w:asciiTheme="minorHAnsi" w:hAnsiTheme="minorHAnsi" w:cstheme="minorHAnsi"/>
          <w:b/>
          <w:bCs/>
          <w:noProof/>
          <w:u w:val="single"/>
        </w:rPr>
        <w:t>3</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78F241B" w14:textId="4518B58C" w:rsidR="00807835" w:rsidRPr="0088321F" w:rsidRDefault="002F1D15" w:rsidP="005254A9">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02 October</w:t>
      </w:r>
      <w:r w:rsidR="00433EB5">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352861">
        <w:rPr>
          <w:rFonts w:asciiTheme="minorHAnsi" w:hAnsiTheme="minorHAnsi" w:cstheme="minorHAnsi"/>
          <w:sz w:val="24"/>
          <w:szCs w:val="24"/>
          <w:u w:val="single"/>
        </w:rPr>
        <w:t>3</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15</w:t>
      </w:r>
      <w:r w:rsidR="00A97013">
        <w:rPr>
          <w:rFonts w:asciiTheme="minorHAnsi" w:hAnsiTheme="minorHAnsi" w:cstheme="minorHAnsi"/>
          <w:sz w:val="24"/>
          <w:szCs w:val="24"/>
          <w:u w:val="single"/>
        </w:rPr>
        <w:t xml:space="preserve"> </w:t>
      </w:r>
      <w:r w:rsidR="005E187B">
        <w:rPr>
          <w:rFonts w:asciiTheme="minorHAnsi" w:hAnsiTheme="minorHAnsi" w:cstheme="minorHAnsi"/>
          <w:sz w:val="24"/>
          <w:szCs w:val="24"/>
          <w:u w:val="single"/>
        </w:rPr>
        <w:t>October</w:t>
      </w:r>
      <w:r w:rsidR="00924FC7">
        <w:rPr>
          <w:rFonts w:asciiTheme="minorHAnsi" w:hAnsiTheme="minorHAnsi" w:cstheme="minorHAnsi"/>
          <w:sz w:val="24"/>
          <w:szCs w:val="24"/>
          <w:u w:val="single"/>
        </w:rPr>
        <w:t xml:space="preserve"> 202</w:t>
      </w:r>
      <w:r w:rsidR="002D330C">
        <w:rPr>
          <w:rFonts w:asciiTheme="minorHAnsi" w:hAnsiTheme="minorHAnsi" w:cstheme="minorHAnsi"/>
          <w:sz w:val="24"/>
          <w:szCs w:val="24"/>
          <w:u w:val="single"/>
        </w:rPr>
        <w:t>3</w:t>
      </w:r>
    </w:p>
    <w:bookmarkEnd w:id="0"/>
    <w:bookmarkEnd w:id="1"/>
    <w:bookmarkEnd w:id="2"/>
    <w:p w14:paraId="21A994E5" w14:textId="5AD13E51" w:rsidR="007E5662" w:rsidRDefault="007E5662" w:rsidP="00064B2A">
      <w:pPr>
        <w:autoSpaceDE w:val="0"/>
        <w:autoSpaceDN w:val="0"/>
        <w:rPr>
          <w:rFonts w:asciiTheme="minorHAnsi" w:hAnsiTheme="minorHAnsi" w:cstheme="minorHAnsi"/>
          <w:b/>
          <w:bCs/>
          <w:color w:val="000000"/>
          <w:u w:val="single"/>
        </w:rPr>
      </w:pPr>
    </w:p>
    <w:p w14:paraId="2F52F186" w14:textId="77777777" w:rsidR="00EB54ED" w:rsidRDefault="00EB54ED" w:rsidP="00EB54ED">
      <w:pPr>
        <w:rPr>
          <w:b/>
          <w:bCs/>
          <w:sz w:val="22"/>
          <w:szCs w:val="22"/>
          <w:u w:val="single"/>
        </w:rPr>
      </w:pPr>
      <w:r w:rsidRPr="00EB54ED">
        <w:rPr>
          <w:rFonts w:asciiTheme="minorHAnsi" w:hAnsiTheme="minorHAnsi" w:cstheme="minorHAnsi"/>
          <w:b/>
          <w:bCs/>
          <w:color w:val="000000"/>
          <w:u w:val="single"/>
        </w:rPr>
        <w:t>Gonococcal infection</w:t>
      </w:r>
    </w:p>
    <w:p w14:paraId="1C087707" w14:textId="77777777" w:rsidR="00EB54ED" w:rsidRPr="00EB54ED" w:rsidRDefault="00EB54ED" w:rsidP="00EB54ED">
      <w:pPr>
        <w:rPr>
          <w:rFonts w:asciiTheme="minorHAnsi" w:hAnsiTheme="minorHAnsi" w:cstheme="minorHAnsi"/>
          <w:i/>
          <w:iCs/>
        </w:rPr>
      </w:pPr>
      <w:r w:rsidRPr="00EB54ED">
        <w:rPr>
          <w:rFonts w:asciiTheme="minorHAnsi" w:hAnsiTheme="minorHAnsi" w:cstheme="minorHAnsi"/>
          <w:color w:val="000000"/>
        </w:rPr>
        <w:t>Gonorrhoea is highly infectious bacterial infection usually transmitted through unprotected sexual activity with an infected person. In the past 12 months (16 October 2022 – 15 October 2023), there have been 38,915 cases of gonorrhoea reported to the National Notifiable Diseases Surveillance System (NNDSS), which is higher than the historical five-year mean (n=30,811). In the past 3 months (18 July 2023 – 15 October 2023), there have been 9,946 cases of gonorrhoea reported to the NNDSS, which is 33% higher than the historical five-year mean for this period (n=7,454). Increases in antimicrobial resistance (AMR) in gonococcal isolates have also been reported. Further information on AMR surveillance for gonorrhoea is available in the Australian Gonococcal Surveillance Program quarterly and annual reports published in the</w:t>
      </w:r>
      <w:r w:rsidRPr="00EB54ED">
        <w:rPr>
          <w:rFonts w:asciiTheme="minorHAnsi" w:hAnsiTheme="minorHAnsi" w:cstheme="minorHAnsi"/>
        </w:rPr>
        <w:t xml:space="preserve"> </w:t>
      </w:r>
      <w:hyperlink r:id="rId8" w:history="1">
        <w:r w:rsidRPr="00EB54ED">
          <w:rPr>
            <w:rStyle w:val="Hyperlink"/>
            <w:rFonts w:asciiTheme="minorHAnsi" w:hAnsiTheme="minorHAnsi" w:cstheme="minorHAnsi"/>
            <w:i/>
            <w:iCs/>
          </w:rPr>
          <w:t>Communicable Diseases Intelligence</w:t>
        </w:r>
      </w:hyperlink>
      <w:r w:rsidRPr="00EB54ED">
        <w:rPr>
          <w:rFonts w:asciiTheme="minorHAnsi" w:hAnsiTheme="minorHAnsi" w:cstheme="minorHAnsi"/>
          <w:i/>
          <w:iCs/>
        </w:rPr>
        <w:t>.</w:t>
      </w:r>
    </w:p>
    <w:p w14:paraId="28508D4F" w14:textId="3549C80C" w:rsidR="00E04FBA" w:rsidRDefault="00E04FBA" w:rsidP="00064B2A">
      <w:pPr>
        <w:autoSpaceDE w:val="0"/>
        <w:autoSpaceDN w:val="0"/>
        <w:rPr>
          <w:rFonts w:asciiTheme="minorHAnsi" w:hAnsiTheme="minorHAnsi" w:cstheme="minorHAnsi"/>
          <w:b/>
          <w:bCs/>
          <w:color w:val="000000"/>
          <w:u w:val="single"/>
        </w:rPr>
      </w:pPr>
    </w:p>
    <w:p w14:paraId="6968E245" w14:textId="34C5C1D3" w:rsidR="00064B2A" w:rsidRPr="00064B2A" w:rsidRDefault="00064B2A" w:rsidP="00064B2A">
      <w:pPr>
        <w:autoSpaceDE w:val="0"/>
        <w:autoSpaceDN w:val="0"/>
        <w:rPr>
          <w:rFonts w:asciiTheme="minorHAnsi" w:hAnsiTheme="minorHAnsi" w:cstheme="minorHAnsi"/>
          <w:b/>
          <w:bCs/>
          <w:color w:val="000000"/>
          <w:u w:val="single"/>
        </w:rPr>
      </w:pPr>
      <w:r w:rsidRPr="00064B2A">
        <w:rPr>
          <w:rFonts w:asciiTheme="minorHAnsi" w:hAnsiTheme="minorHAnsi" w:cstheme="minorHAnsi"/>
          <w:b/>
          <w:bCs/>
          <w:color w:val="000000"/>
          <w:u w:val="single"/>
        </w:rPr>
        <w:t>Infectious and congenital syphilis</w:t>
      </w:r>
    </w:p>
    <w:p w14:paraId="3F2C4C76"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217E2921" w14:textId="77777777" w:rsidR="00251640" w:rsidRPr="00251640" w:rsidRDefault="00251640" w:rsidP="00251640">
      <w:pPr>
        <w:autoSpaceDE w:val="0"/>
        <w:autoSpaceDN w:val="0"/>
        <w:rPr>
          <w:rFonts w:asciiTheme="minorHAnsi" w:hAnsiTheme="minorHAnsi" w:cstheme="minorHAnsi"/>
          <w:color w:val="000000"/>
        </w:rPr>
      </w:pPr>
    </w:p>
    <w:p w14:paraId="0D85AB71"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i/>
          <w:iCs/>
          <w:color w:val="000000"/>
        </w:rPr>
        <w:t xml:space="preserve">Syphilis response </w:t>
      </w:r>
    </w:p>
    <w:p w14:paraId="5C0EBE3A" w14:textId="5AB5B36A"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On 23 March 2021, the Australian Health Protection Principal Committee (AHPPC) endorsed the </w:t>
      </w:r>
      <w:hyperlink r:id="rId9" w:history="1">
        <w:r w:rsidR="00576615" w:rsidRPr="00576615">
          <w:rPr>
            <w:rStyle w:val="Hyperlink"/>
            <w:rFonts w:asciiTheme="minorHAnsi" w:hAnsiTheme="minorHAnsi" w:cstheme="minorHAnsi"/>
            <w:i/>
            <w:iCs/>
          </w:rPr>
          <w:t>National strategic approach for responding to rising rates of syphilis in Australia</w:t>
        </w:r>
      </w:hyperlink>
      <w:r w:rsidR="00576615" w:rsidRPr="00576615">
        <w:rPr>
          <w:rFonts w:asciiTheme="minorHAnsi" w:hAnsiTheme="minorHAnsi" w:cstheme="minorHAnsi"/>
          <w:i/>
          <w:iCs/>
          <w:color w:val="000000"/>
        </w:rPr>
        <w:t xml:space="preserve"> </w:t>
      </w:r>
      <w:r w:rsidRPr="00251640">
        <w:rPr>
          <w:rFonts w:asciiTheme="minorHAnsi" w:hAnsiTheme="minorHAnsi" w:cstheme="minorHAnsi"/>
          <w:i/>
          <w:iCs/>
          <w:color w:val="000000"/>
        </w:rPr>
        <w:t xml:space="preserve">2021 </w:t>
      </w:r>
      <w:r w:rsidRPr="00251640">
        <w:rPr>
          <w:rFonts w:asciiTheme="minorHAnsi" w:hAnsiTheme="minorHAnsi" w:cstheme="minorHAnsi"/>
          <w:color w:val="000000"/>
        </w:rPr>
        <w:t xml:space="preserve">(Strategic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 </w:t>
      </w:r>
    </w:p>
    <w:p w14:paraId="3CA4AF68" w14:textId="77777777" w:rsidR="00251640" w:rsidRPr="00251640" w:rsidRDefault="00251640" w:rsidP="00251640">
      <w:pPr>
        <w:autoSpaceDE w:val="0"/>
        <w:autoSpaceDN w:val="0"/>
        <w:rPr>
          <w:rFonts w:asciiTheme="minorHAnsi" w:hAnsiTheme="minorHAnsi" w:cstheme="minorHAnsi"/>
          <w:color w:val="000000"/>
        </w:rPr>
      </w:pPr>
    </w:p>
    <w:p w14:paraId="14E9F7AF"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The CDNA and BBVSS are, in collaboration, developing priority public health actions, including those related to workforce and community engagement, to ensure progress is made towards reducing the incidence of syphilis and elimination of congenital syphilis in Australia. </w:t>
      </w:r>
    </w:p>
    <w:p w14:paraId="6ECFB250" w14:textId="77777777" w:rsidR="00251640" w:rsidRPr="00251640" w:rsidRDefault="00251640" w:rsidP="00251640">
      <w:pPr>
        <w:autoSpaceDE w:val="0"/>
        <w:autoSpaceDN w:val="0"/>
        <w:rPr>
          <w:rFonts w:asciiTheme="minorHAnsi" w:hAnsiTheme="minorHAnsi" w:cstheme="minorHAnsi"/>
          <w:color w:val="000000"/>
        </w:rPr>
      </w:pPr>
    </w:p>
    <w:p w14:paraId="30F89AAE"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For further information on national activities related to syphilis refer to the Department’s website </w:t>
      </w:r>
      <w:hyperlink r:id="rId10" w:history="1">
        <w:r w:rsidRPr="00251640">
          <w:rPr>
            <w:rStyle w:val="Hyperlink"/>
            <w:rFonts w:asciiTheme="minorHAnsi" w:hAnsiTheme="minorHAnsi" w:cstheme="minorHAnsi"/>
          </w:rPr>
          <w:t>https://www1.health.gov.au/internet/main/publishing.nsf/Content/ohp-syphilis.htm</w:t>
        </w:r>
      </w:hyperlink>
      <w:r w:rsidRPr="00251640">
        <w:rPr>
          <w:rFonts w:asciiTheme="minorHAnsi" w:hAnsiTheme="minorHAnsi" w:cstheme="minorHAnsi"/>
          <w:color w:val="000000"/>
        </w:rPr>
        <w:t xml:space="preserve"> </w:t>
      </w:r>
    </w:p>
    <w:p w14:paraId="2E341299" w14:textId="5C19B185" w:rsidR="00064B2A" w:rsidRDefault="00064B2A" w:rsidP="00064B2A">
      <w:pPr>
        <w:autoSpaceDE w:val="0"/>
        <w:autoSpaceDN w:val="0"/>
        <w:rPr>
          <w:rFonts w:asciiTheme="minorHAnsi" w:hAnsiTheme="minorHAnsi" w:cstheme="minorHAnsi"/>
          <w:color w:val="0563C2"/>
          <w:sz w:val="23"/>
          <w:szCs w:val="23"/>
        </w:rPr>
      </w:pPr>
    </w:p>
    <w:p w14:paraId="60BC1993" w14:textId="77777777" w:rsidR="00BD34BD" w:rsidRDefault="00BD34BD" w:rsidP="00064B2A">
      <w:pPr>
        <w:autoSpaceDE w:val="0"/>
        <w:autoSpaceDN w:val="0"/>
        <w:rPr>
          <w:rFonts w:asciiTheme="minorHAnsi" w:hAnsiTheme="minorHAnsi" w:cstheme="minorHAnsi"/>
          <w:color w:val="0563C2"/>
          <w:sz w:val="23"/>
          <w:szCs w:val="23"/>
        </w:rPr>
      </w:pPr>
    </w:p>
    <w:p w14:paraId="658E10BC" w14:textId="77777777" w:rsidR="00672E1E" w:rsidRDefault="00672E1E"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88321F" w:rsidRDefault="00017515" w:rsidP="00017515">
      <w:pPr>
        <w:spacing w:after="120"/>
        <w:rPr>
          <w:rFonts w:asciiTheme="minorHAnsi" w:hAnsiTheme="minorHAnsi" w:cstheme="minorHAnsi"/>
          <w:i/>
          <w:sz w:val="16"/>
          <w:szCs w:val="16"/>
        </w:rPr>
      </w:pPr>
      <w:r w:rsidRPr="0088321F">
        <w:rPr>
          <w:rFonts w:asciiTheme="minorHAnsi" w:hAnsiTheme="minorHAnsi" w:cstheme="minorHAnsi"/>
          <w:i/>
          <w:color w:val="000000"/>
          <w:sz w:val="16"/>
          <w:szCs w:val="16"/>
        </w:rPr>
        <w:t xml:space="preserve">Selected diseases are chosen each fortnight based on either exceeding two standard deviations from the 90 day and/or </w:t>
      </w:r>
      <w:proofErr w:type="gramStart"/>
      <w:r w:rsidRPr="0088321F">
        <w:rPr>
          <w:rFonts w:asciiTheme="minorHAnsi" w:hAnsiTheme="minorHAnsi" w:cstheme="minorHAnsi"/>
          <w:i/>
          <w:color w:val="000000"/>
          <w:sz w:val="16"/>
          <w:szCs w:val="16"/>
        </w:rPr>
        <w:t>365 day</w:t>
      </w:r>
      <w:proofErr w:type="gramEnd"/>
      <w:r w:rsidRPr="0088321F">
        <w:rPr>
          <w:rFonts w:asciiTheme="minorHAnsi" w:hAnsiTheme="minorHAnsi" w:cstheme="minorHAnsi"/>
          <w:i/>
          <w:color w:val="000000"/>
          <w:sz w:val="16"/>
          <w:szCs w:val="16"/>
        </w:rPr>
        <w:t xml:space="preserve"> five year rolling mean or other disease issues of significance identified during the reporting period.  </w:t>
      </w:r>
      <w:r w:rsidRPr="0088321F">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88321F" w:rsidRDefault="00017515" w:rsidP="00017515">
      <w:pPr>
        <w:autoSpaceDE w:val="0"/>
        <w:autoSpaceDN w:val="0"/>
        <w:adjustRightInd w:val="0"/>
        <w:spacing w:after="120"/>
        <w:rPr>
          <w:rFonts w:asciiTheme="minorHAnsi" w:hAnsiTheme="minorHAnsi" w:cstheme="minorHAnsi"/>
          <w:i/>
          <w:iCs/>
          <w:color w:val="000000"/>
          <w:sz w:val="16"/>
          <w:szCs w:val="16"/>
        </w:rPr>
      </w:pPr>
      <w:r w:rsidRPr="0088321F">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0BCA5C23"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1</w:t>
      </w:r>
      <w:r w:rsidRPr="0088321F">
        <w:rPr>
          <w:rFonts w:asciiTheme="minorHAnsi" w:hAnsiTheme="minorHAnsi" w:cstheme="minorHAnsi"/>
          <w:i/>
          <w:sz w:val="16"/>
          <w:szCs w:val="16"/>
        </w:rPr>
        <w:t>The past quarter (90 day) surveillance period includes the date range (</w:t>
      </w:r>
      <w:r w:rsidR="002F1D15">
        <w:rPr>
          <w:rFonts w:asciiTheme="minorHAnsi" w:hAnsiTheme="minorHAnsi" w:cstheme="minorHAnsi"/>
          <w:i/>
          <w:sz w:val="16"/>
          <w:szCs w:val="16"/>
        </w:rPr>
        <w:t>18</w:t>
      </w:r>
      <w:r w:rsidR="0081611F" w:rsidRPr="0088321F">
        <w:rPr>
          <w:rFonts w:asciiTheme="minorHAnsi" w:hAnsiTheme="minorHAnsi" w:cstheme="minorHAnsi"/>
          <w:i/>
          <w:sz w:val="16"/>
          <w:szCs w:val="16"/>
        </w:rPr>
        <w:t>/</w:t>
      </w:r>
      <w:r w:rsidR="00E8363C">
        <w:rPr>
          <w:rFonts w:asciiTheme="minorHAnsi" w:hAnsiTheme="minorHAnsi" w:cstheme="minorHAnsi"/>
          <w:i/>
          <w:sz w:val="16"/>
          <w:szCs w:val="16"/>
        </w:rPr>
        <w:t>0</w:t>
      </w:r>
      <w:r w:rsidR="00AF52D0">
        <w:rPr>
          <w:rFonts w:asciiTheme="minorHAnsi" w:hAnsiTheme="minorHAnsi" w:cstheme="minorHAnsi"/>
          <w:i/>
          <w:sz w:val="16"/>
          <w:szCs w:val="16"/>
        </w:rPr>
        <w:t>7</w:t>
      </w:r>
      <w:r w:rsidR="0081611F" w:rsidRPr="0088321F">
        <w:rPr>
          <w:rFonts w:asciiTheme="minorHAnsi" w:hAnsiTheme="minorHAnsi" w:cstheme="minorHAnsi"/>
          <w:i/>
          <w:sz w:val="16"/>
          <w:szCs w:val="16"/>
        </w:rPr>
        <w:t>/20</w:t>
      </w:r>
      <w:r w:rsidR="007F67BA">
        <w:rPr>
          <w:rFonts w:asciiTheme="minorHAnsi" w:hAnsiTheme="minorHAnsi" w:cstheme="minorHAnsi"/>
          <w:i/>
          <w:sz w:val="16"/>
          <w:szCs w:val="16"/>
        </w:rPr>
        <w:t>2</w:t>
      </w:r>
      <w:r w:rsidR="00E8363C">
        <w:rPr>
          <w:rFonts w:asciiTheme="minorHAnsi" w:hAnsiTheme="minorHAnsi" w:cstheme="minorHAnsi"/>
          <w:i/>
          <w:sz w:val="16"/>
          <w:szCs w:val="16"/>
        </w:rPr>
        <w:t>3</w:t>
      </w:r>
      <w:r w:rsidR="0081611F" w:rsidRPr="0088321F">
        <w:rPr>
          <w:rFonts w:asciiTheme="minorHAnsi" w:hAnsiTheme="minorHAnsi" w:cstheme="minorHAnsi"/>
          <w:i/>
          <w:sz w:val="16"/>
          <w:szCs w:val="16"/>
        </w:rPr>
        <w:t xml:space="preserve"> to</w:t>
      </w:r>
      <w:r w:rsidR="005F4765" w:rsidRPr="0088321F">
        <w:rPr>
          <w:rFonts w:asciiTheme="minorHAnsi" w:hAnsiTheme="minorHAnsi" w:cstheme="minorHAnsi"/>
          <w:i/>
          <w:sz w:val="16"/>
          <w:szCs w:val="16"/>
        </w:rPr>
        <w:t xml:space="preserve"> </w:t>
      </w:r>
      <w:r w:rsidR="002F1D15">
        <w:rPr>
          <w:rFonts w:asciiTheme="minorHAnsi" w:hAnsiTheme="minorHAnsi" w:cstheme="minorHAnsi"/>
          <w:i/>
          <w:sz w:val="16"/>
          <w:szCs w:val="16"/>
        </w:rPr>
        <w:t>15</w:t>
      </w:r>
      <w:r w:rsidR="00270632" w:rsidRPr="0088321F">
        <w:rPr>
          <w:rFonts w:asciiTheme="minorHAnsi" w:hAnsiTheme="minorHAnsi" w:cstheme="minorHAnsi"/>
          <w:i/>
          <w:sz w:val="16"/>
          <w:szCs w:val="16"/>
        </w:rPr>
        <w:t>/</w:t>
      </w:r>
      <w:r w:rsidR="00AF52D0">
        <w:rPr>
          <w:rFonts w:asciiTheme="minorHAnsi" w:hAnsiTheme="minorHAnsi" w:cstheme="minorHAnsi"/>
          <w:i/>
          <w:sz w:val="16"/>
          <w:szCs w:val="16"/>
        </w:rPr>
        <w:t>10</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777AAA" w:rsidRPr="0088321F">
        <w:rPr>
          <w:rFonts w:asciiTheme="minorHAnsi" w:hAnsiTheme="minorHAnsi" w:cstheme="minorHAnsi"/>
          <w:i/>
          <w:sz w:val="16"/>
          <w:szCs w:val="16"/>
        </w:rPr>
        <w:t>).</w:t>
      </w:r>
    </w:p>
    <w:p w14:paraId="38B56901" w14:textId="127C4E23"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2</w:t>
      </w:r>
      <w:r w:rsidRPr="0088321F">
        <w:rPr>
          <w:rFonts w:asciiTheme="minorHAnsi" w:hAnsiTheme="minorHAnsi" w:cstheme="minorHAnsi"/>
          <w:i/>
          <w:sz w:val="16"/>
          <w:szCs w:val="16"/>
        </w:rPr>
        <w:t xml:space="preserve">The quarterly (90 day) five year rolling mean is the average </w:t>
      </w:r>
      <w:r w:rsidR="00D26EE8">
        <w:rPr>
          <w:rFonts w:asciiTheme="minorHAnsi" w:hAnsiTheme="minorHAnsi" w:cstheme="minorHAnsi"/>
          <w:i/>
          <w:sz w:val="16"/>
          <w:szCs w:val="16"/>
        </w:rPr>
        <w:t>of</w:t>
      </w:r>
      <w:r w:rsidR="00CA37B4">
        <w:rPr>
          <w:rFonts w:asciiTheme="minorHAnsi" w:hAnsiTheme="minorHAnsi" w:cstheme="minorHAnsi"/>
          <w:i/>
          <w:sz w:val="16"/>
          <w:szCs w:val="16"/>
        </w:rPr>
        <w:t xml:space="preserve"> 5 intervals of 90 days up to</w:t>
      </w:r>
      <w:r w:rsidR="003603F7">
        <w:rPr>
          <w:rFonts w:asciiTheme="minorHAnsi" w:hAnsiTheme="minorHAnsi" w:cstheme="minorHAnsi"/>
          <w:i/>
          <w:sz w:val="16"/>
          <w:szCs w:val="16"/>
        </w:rPr>
        <w:t xml:space="preserve"> </w:t>
      </w:r>
      <w:r w:rsidR="002F1D15">
        <w:rPr>
          <w:rFonts w:asciiTheme="minorHAnsi" w:hAnsiTheme="minorHAnsi" w:cstheme="minorHAnsi"/>
          <w:i/>
          <w:sz w:val="16"/>
          <w:szCs w:val="16"/>
        </w:rPr>
        <w:t>15</w:t>
      </w:r>
      <w:r w:rsidR="00270632" w:rsidRPr="0088321F">
        <w:rPr>
          <w:rFonts w:asciiTheme="minorHAnsi" w:hAnsiTheme="minorHAnsi" w:cstheme="minorHAnsi"/>
          <w:i/>
          <w:sz w:val="16"/>
          <w:szCs w:val="16"/>
        </w:rPr>
        <w:t>/</w:t>
      </w:r>
      <w:r w:rsidR="00AF52D0">
        <w:rPr>
          <w:rFonts w:asciiTheme="minorHAnsi" w:hAnsiTheme="minorHAnsi" w:cstheme="minorHAnsi"/>
          <w:i/>
          <w:sz w:val="16"/>
          <w:szCs w:val="16"/>
        </w:rPr>
        <w:t>10</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Pr="0088321F">
        <w:rPr>
          <w:rFonts w:asciiTheme="minorHAnsi" w:hAnsiTheme="minorHAnsi" w:cstheme="minorHAnsi"/>
          <w:i/>
          <w:sz w:val="16"/>
          <w:szCs w:val="16"/>
        </w:rPr>
        <w:t xml:space="preserve">.  The ratio is the notification activity in the past quarter (90 days) compared with the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rolling mean for the same period.</w:t>
      </w:r>
    </w:p>
    <w:p w14:paraId="228A0A61" w14:textId="094F8D5A"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3</w:t>
      </w:r>
      <w:r w:rsidRPr="0088321F">
        <w:rPr>
          <w:rFonts w:asciiTheme="minorHAnsi" w:hAnsiTheme="minorHAnsi" w:cstheme="minorHAnsi"/>
          <w:i/>
          <w:sz w:val="16"/>
          <w:szCs w:val="16"/>
        </w:rPr>
        <w:t xml:space="preserve">The past year (365 day) surveillance period includes the date range </w:t>
      </w:r>
      <w:r w:rsidR="002C38A0" w:rsidRPr="0088321F">
        <w:rPr>
          <w:rFonts w:asciiTheme="minorHAnsi" w:hAnsiTheme="minorHAnsi" w:cstheme="minorHAnsi"/>
          <w:i/>
          <w:sz w:val="16"/>
          <w:szCs w:val="16"/>
        </w:rPr>
        <w:t>(</w:t>
      </w:r>
      <w:r w:rsidR="002F1D15">
        <w:rPr>
          <w:rFonts w:asciiTheme="minorHAnsi" w:hAnsiTheme="minorHAnsi" w:cstheme="minorHAnsi"/>
          <w:i/>
          <w:sz w:val="16"/>
          <w:szCs w:val="16"/>
        </w:rPr>
        <w:t>16</w:t>
      </w:r>
      <w:r w:rsidR="00421F52" w:rsidRPr="0088321F">
        <w:rPr>
          <w:rFonts w:asciiTheme="minorHAnsi" w:hAnsiTheme="minorHAnsi" w:cstheme="minorHAnsi"/>
          <w:i/>
          <w:sz w:val="16"/>
          <w:szCs w:val="16"/>
        </w:rPr>
        <w:t>/</w:t>
      </w:r>
      <w:r w:rsidR="00AF52D0">
        <w:rPr>
          <w:rFonts w:asciiTheme="minorHAnsi" w:hAnsiTheme="minorHAnsi" w:cstheme="minorHAnsi"/>
          <w:i/>
          <w:sz w:val="16"/>
          <w:szCs w:val="16"/>
        </w:rPr>
        <w:t>10</w:t>
      </w:r>
      <w:r w:rsidR="00421F52" w:rsidRPr="0088321F">
        <w:rPr>
          <w:rFonts w:asciiTheme="minorHAnsi" w:hAnsiTheme="minorHAnsi" w:cstheme="minorHAnsi"/>
          <w:i/>
          <w:sz w:val="16"/>
          <w:szCs w:val="16"/>
        </w:rPr>
        <w:t>/</w:t>
      </w:r>
      <w:r w:rsidR="009C1059">
        <w:rPr>
          <w:rFonts w:asciiTheme="minorHAnsi" w:hAnsiTheme="minorHAnsi" w:cstheme="minorHAnsi"/>
          <w:i/>
          <w:sz w:val="16"/>
          <w:szCs w:val="16"/>
        </w:rPr>
        <w:t>202</w:t>
      </w:r>
      <w:r w:rsidR="002D330C">
        <w:rPr>
          <w:rFonts w:asciiTheme="minorHAnsi" w:hAnsiTheme="minorHAnsi" w:cstheme="minorHAnsi"/>
          <w:i/>
          <w:sz w:val="16"/>
          <w:szCs w:val="16"/>
        </w:rPr>
        <w:t>2</w:t>
      </w:r>
      <w:r w:rsidR="00493076" w:rsidRPr="0088321F">
        <w:rPr>
          <w:rFonts w:asciiTheme="minorHAnsi" w:hAnsiTheme="minorHAnsi" w:cstheme="minorHAnsi"/>
          <w:i/>
          <w:sz w:val="16"/>
          <w:szCs w:val="16"/>
        </w:rPr>
        <w:t xml:space="preserve"> to</w:t>
      </w:r>
      <w:r w:rsidR="00EA74EE">
        <w:rPr>
          <w:rFonts w:asciiTheme="minorHAnsi" w:hAnsiTheme="minorHAnsi" w:cstheme="minorHAnsi"/>
          <w:i/>
          <w:sz w:val="16"/>
          <w:szCs w:val="16"/>
        </w:rPr>
        <w:t xml:space="preserve"> </w:t>
      </w:r>
      <w:r w:rsidR="002F1D15">
        <w:rPr>
          <w:rFonts w:asciiTheme="minorHAnsi" w:hAnsiTheme="minorHAnsi" w:cstheme="minorHAnsi"/>
          <w:i/>
          <w:sz w:val="16"/>
          <w:szCs w:val="16"/>
        </w:rPr>
        <w:t>15</w:t>
      </w:r>
      <w:r w:rsidR="00270632" w:rsidRPr="0088321F">
        <w:rPr>
          <w:rFonts w:asciiTheme="minorHAnsi" w:hAnsiTheme="minorHAnsi" w:cstheme="minorHAnsi"/>
          <w:i/>
          <w:sz w:val="16"/>
          <w:szCs w:val="16"/>
        </w:rPr>
        <w:t>/</w:t>
      </w:r>
      <w:r w:rsidR="00AF52D0">
        <w:rPr>
          <w:rFonts w:asciiTheme="minorHAnsi" w:hAnsiTheme="minorHAnsi" w:cstheme="minorHAnsi"/>
          <w:i/>
          <w:sz w:val="16"/>
          <w:szCs w:val="16"/>
        </w:rPr>
        <w:t>10</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p>
    <w:p w14:paraId="24BCFBDD" w14:textId="70524360"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4</w:t>
      </w:r>
      <w:r w:rsidRPr="0088321F">
        <w:rPr>
          <w:rFonts w:asciiTheme="minorHAnsi" w:hAnsiTheme="minorHAnsi" w:cstheme="minorHAnsi"/>
          <w:i/>
          <w:sz w:val="16"/>
          <w:szCs w:val="16"/>
        </w:rPr>
        <w:t>The yearly (365 day) five year rolling mean is the average o</w:t>
      </w:r>
      <w:r w:rsidR="007F67BA">
        <w:rPr>
          <w:rFonts w:asciiTheme="minorHAnsi" w:hAnsiTheme="minorHAnsi" w:cstheme="minorHAnsi"/>
          <w:i/>
          <w:sz w:val="16"/>
          <w:szCs w:val="16"/>
        </w:rPr>
        <w:t xml:space="preserve">f </w:t>
      </w:r>
      <w:r w:rsidR="00CA37B4">
        <w:rPr>
          <w:rFonts w:asciiTheme="minorHAnsi" w:hAnsiTheme="minorHAnsi" w:cstheme="minorHAnsi"/>
          <w:i/>
          <w:sz w:val="16"/>
          <w:szCs w:val="16"/>
        </w:rPr>
        <w:t>5 intervals of 365 days up to</w:t>
      </w:r>
      <w:r w:rsidR="00A13BC6">
        <w:rPr>
          <w:rFonts w:asciiTheme="minorHAnsi" w:hAnsiTheme="minorHAnsi" w:cstheme="minorHAnsi"/>
          <w:i/>
          <w:sz w:val="16"/>
          <w:szCs w:val="16"/>
        </w:rPr>
        <w:t xml:space="preserve"> </w:t>
      </w:r>
      <w:r w:rsidR="002F1D15">
        <w:rPr>
          <w:rFonts w:asciiTheme="minorHAnsi" w:hAnsiTheme="minorHAnsi" w:cstheme="minorHAnsi"/>
          <w:i/>
          <w:sz w:val="16"/>
          <w:szCs w:val="16"/>
        </w:rPr>
        <w:t>15</w:t>
      </w:r>
      <w:r w:rsidR="00854ED5">
        <w:rPr>
          <w:rFonts w:asciiTheme="minorHAnsi" w:hAnsiTheme="minorHAnsi" w:cstheme="minorHAnsi"/>
          <w:i/>
          <w:sz w:val="16"/>
          <w:szCs w:val="16"/>
        </w:rPr>
        <w:t>/</w:t>
      </w:r>
      <w:r w:rsidR="00AF52D0">
        <w:rPr>
          <w:rFonts w:asciiTheme="minorHAnsi" w:hAnsiTheme="minorHAnsi" w:cstheme="minorHAnsi"/>
          <w:i/>
          <w:sz w:val="16"/>
          <w:szCs w:val="16"/>
        </w:rPr>
        <w:t>10</w:t>
      </w:r>
      <w:r w:rsidR="0071646F">
        <w:rPr>
          <w:rFonts w:asciiTheme="minorHAnsi" w:hAnsiTheme="minorHAnsi" w:cstheme="minorHAnsi"/>
          <w:i/>
          <w:sz w:val="16"/>
          <w:szCs w:val="16"/>
        </w:rPr>
        <w:t>/</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r w:rsidR="00777AAA" w:rsidRPr="0088321F">
        <w:rPr>
          <w:rFonts w:asciiTheme="minorHAnsi" w:hAnsiTheme="minorHAnsi" w:cstheme="minorHAnsi"/>
          <w:i/>
          <w:sz w:val="16"/>
          <w:szCs w:val="16"/>
        </w:rPr>
        <w:t xml:space="preserve"> </w:t>
      </w:r>
      <w:r w:rsidRPr="0088321F">
        <w:rPr>
          <w:rFonts w:asciiTheme="minorHAnsi" w:hAnsiTheme="minorHAnsi" w:cstheme="minorHAnsi"/>
          <w:i/>
          <w:sz w:val="16"/>
          <w:szCs w:val="16"/>
        </w:rPr>
        <w:t xml:space="preserve">The ratio is the notification activity in the past year (365 days) compared with the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88321F">
        <w:rPr>
          <w:rFonts w:asciiTheme="minorHAnsi" w:hAnsiTheme="minorHAnsi" w:cstheme="minorHAnsi"/>
          <w:i/>
          <w:sz w:val="16"/>
          <w:szCs w:val="16"/>
        </w:rPr>
        <w:lastRenderedPageBreak/>
        <w:t xml:space="preserve">The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rolling mean and the ratio of notifications compared with the five year rolling mean should be interpreted with caution.  Changes in surveillance practice, diagnostic techniques and reporting may contribute to increases or decreases in the total notifications received over a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period. Ratios are to be taken as a crude measure of current disease activity and may reflect changes in reporting rather than changes in disease activity.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1B65"/>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7F07"/>
    <w:rsid w:val="002D0BB9"/>
    <w:rsid w:val="002D0D6F"/>
    <w:rsid w:val="002D330C"/>
    <w:rsid w:val="002D44D4"/>
    <w:rsid w:val="002D5CC2"/>
    <w:rsid w:val="002D7C2F"/>
    <w:rsid w:val="002E1413"/>
    <w:rsid w:val="002E4545"/>
    <w:rsid w:val="002E56CD"/>
    <w:rsid w:val="002F1D15"/>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2861"/>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0D5"/>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344"/>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7BD4"/>
    <w:rsid w:val="005C1BF2"/>
    <w:rsid w:val="005C6578"/>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5662"/>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52A19"/>
    <w:rsid w:val="00852E77"/>
    <w:rsid w:val="00853E82"/>
    <w:rsid w:val="0085487C"/>
    <w:rsid w:val="00854ED5"/>
    <w:rsid w:val="008574F9"/>
    <w:rsid w:val="00857758"/>
    <w:rsid w:val="008579AA"/>
    <w:rsid w:val="00862047"/>
    <w:rsid w:val="008622E3"/>
    <w:rsid w:val="0086641F"/>
    <w:rsid w:val="00867F20"/>
    <w:rsid w:val="00871F14"/>
    <w:rsid w:val="008729EA"/>
    <w:rsid w:val="008743B7"/>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3BC6"/>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2D0"/>
    <w:rsid w:val="00AF5BF5"/>
    <w:rsid w:val="00AF7900"/>
    <w:rsid w:val="00B02E68"/>
    <w:rsid w:val="00B06389"/>
    <w:rsid w:val="00B0707D"/>
    <w:rsid w:val="00B0788D"/>
    <w:rsid w:val="00B12477"/>
    <w:rsid w:val="00B127DF"/>
    <w:rsid w:val="00B15C86"/>
    <w:rsid w:val="00B15FBE"/>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34BD"/>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54ED"/>
    <w:rsid w:val="00EB6118"/>
    <w:rsid w:val="00EB7BC9"/>
    <w:rsid w:val="00EC1BBA"/>
    <w:rsid w:val="00ED2863"/>
    <w:rsid w:val="00ED7F90"/>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432A"/>
    <w:rsid w:val="00F6572C"/>
    <w:rsid w:val="00F67698"/>
    <w:rsid w:val="00F67EF2"/>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ascii="Calibri" w:eastAsiaTheme="minorHAnsi" w:hAnsi="Calibri" w:cs="Calibri"/>
      <w:sz w:val="22"/>
      <w:szCs w:val="22"/>
    </w:rPr>
  </w:style>
  <w:style w:type="character" w:customStyle="1" w:styleId="markynid5d1ps">
    <w:name w:val="markynid5d1ps"/>
    <w:basedOn w:val="DefaultParagraphFont"/>
    <w:rsid w:val="007E5662"/>
  </w:style>
  <w:style w:type="character" w:customStyle="1" w:styleId="contentpasted0">
    <w:name w:val="contentpasted0"/>
    <w:basedOn w:val="DefaultParagraphFont"/>
    <w:rsid w:val="007E5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cda-pubs-cdi-cdicur.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1.health.gov.au/internet/main/publishing.nsf/Content/ohp-syphilis.htm" TargetMode="Externa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1759</TotalTime>
  <Pages>2</Pages>
  <Words>610</Words>
  <Characters>3889</Characters>
  <Application>Microsoft Office Word</Application>
  <DocSecurity>0</DocSecurity>
  <Lines>62</Lines>
  <Paragraphs>27</Paragraphs>
  <ScaleCrop>false</ScaleCrop>
  <HeadingPairs>
    <vt:vector size="2" baseType="variant">
      <vt:variant>
        <vt:lpstr>Title</vt:lpstr>
      </vt:variant>
      <vt:variant>
        <vt:i4>1</vt:i4>
      </vt:variant>
    </vt:vector>
  </HeadingPairs>
  <TitlesOfParts>
    <vt:vector size="1" baseType="lpstr">
      <vt:lpstr>NNDSS Fortnightly Report to CDNA</vt:lpstr>
    </vt:vector>
  </TitlesOfParts>
  <Company>DHA</Company>
  <LinksUpToDate>false</LinksUpToDate>
  <CharactersWithSpaces>4472</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STIRZAKER, Stefan</cp:lastModifiedBy>
  <cp:revision>34</cp:revision>
  <cp:lastPrinted>2021-04-13T23:49:00Z</cp:lastPrinted>
  <dcterms:created xsi:type="dcterms:W3CDTF">2022-11-13T22:06:00Z</dcterms:created>
  <dcterms:modified xsi:type="dcterms:W3CDTF">2023-10-23T22:15:00Z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