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AC24" w14:textId="17CDB792" w:rsidR="006D5FD8" w:rsidRPr="002C078F" w:rsidRDefault="006D5FD8" w:rsidP="00815E69">
      <w:pPr>
        <w:pStyle w:val="Title"/>
      </w:pPr>
      <w:r w:rsidRPr="002C078F">
        <w:t>Health Technology Assessment (HTA)</w:t>
      </w:r>
      <w:r w:rsidR="000A7A74">
        <w:t xml:space="preserve"> </w:t>
      </w:r>
      <w:r w:rsidRPr="002C078F">
        <w:t>Consumer Consultative Committee</w:t>
      </w:r>
      <w:r>
        <w:t xml:space="preserve"> (CCC)</w:t>
      </w:r>
    </w:p>
    <w:p w14:paraId="1F38A7F8" w14:textId="6062365B" w:rsidR="006D5FD8" w:rsidRDefault="004F579A" w:rsidP="00815E69">
      <w:pPr>
        <w:pStyle w:val="Heading1"/>
        <w:spacing w:after="360"/>
      </w:pPr>
      <w:r w:rsidRPr="004F579A">
        <w:t>HTA CCC Communique –</w:t>
      </w:r>
      <w:r>
        <w:t xml:space="preserve"> </w:t>
      </w:r>
      <w:r w:rsidR="00F322EF">
        <w:t>Thursday 19</w:t>
      </w:r>
      <w:r w:rsidR="00F322EF" w:rsidRPr="00F322EF">
        <w:rPr>
          <w:vertAlign w:val="superscript"/>
        </w:rPr>
        <w:t>th</w:t>
      </w:r>
      <w:r w:rsidR="00F322EF">
        <w:t xml:space="preserve"> October 2023</w:t>
      </w:r>
      <w:r w:rsidR="004C162C">
        <w:br/>
      </w:r>
      <w:r w:rsidR="00F322EF">
        <w:t>24</w:t>
      </w:r>
      <w:r w:rsidR="009E3784" w:rsidRPr="000A7A74">
        <w:t>th</w:t>
      </w:r>
      <w:r w:rsidR="009E3784">
        <w:t xml:space="preserve"> </w:t>
      </w:r>
      <w:r w:rsidR="006D5FD8">
        <w:t>meeting of the HTA CCC</w:t>
      </w:r>
    </w:p>
    <w:p w14:paraId="55693CF7" w14:textId="715A3A43" w:rsidR="006D5FD8" w:rsidRPr="0025504D" w:rsidRDefault="006D5FD8" w:rsidP="000A7A74">
      <w:pPr>
        <w:pStyle w:val="Heading2"/>
      </w:pPr>
      <w:r w:rsidRPr="0025504D">
        <w:t>Attendees</w:t>
      </w:r>
    </w:p>
    <w:p w14:paraId="2A410256" w14:textId="398F2D29" w:rsidR="00F322EF" w:rsidRPr="00D5183B" w:rsidRDefault="00F322EF" w:rsidP="00F322EF">
      <w:r w:rsidRPr="00D5183B">
        <w:t xml:space="preserve">Consumer representatives from the Pharmaceutical Benefits Advisory Committee (PBAC) and its subcommittee, the Drug Utilisation Sub Committee, the Medical Services Advisory Committee (MSAC) and its subcommittees, and the </w:t>
      </w:r>
      <w:r>
        <w:t>Life Saving Drug</w:t>
      </w:r>
      <w:r w:rsidR="00B75C92">
        <w:t>s</w:t>
      </w:r>
      <w:r>
        <w:t xml:space="preserve"> Program (LSDP) Expert Panel.</w:t>
      </w:r>
    </w:p>
    <w:p w14:paraId="1B03560A" w14:textId="656C33FE" w:rsidR="00F322EF" w:rsidRDefault="00F322EF" w:rsidP="00F322EF">
      <w:r w:rsidRPr="00B13E21">
        <w:t>Departmental representatives from the Consumer Evidence and Engagement Unit (CEEU) and the Office of Health Technology Assessment (OHTA)</w:t>
      </w:r>
      <w:r>
        <w:t>.</w:t>
      </w:r>
    </w:p>
    <w:p w14:paraId="08080AC4" w14:textId="3BF25D3C" w:rsidR="00624C2A" w:rsidRPr="000A7A74" w:rsidRDefault="00624C2A" w:rsidP="004C529A">
      <w:pPr>
        <w:pStyle w:val="Heading2"/>
        <w:spacing w:before="360"/>
      </w:pPr>
      <w:r w:rsidRPr="006E0F67">
        <w:t>Outcomes</w:t>
      </w:r>
    </w:p>
    <w:p w14:paraId="713DF7D7" w14:textId="7396F3DA" w:rsidR="00F322EF" w:rsidRDefault="00F322EF" w:rsidP="00F322EF">
      <w:pPr>
        <w:rPr>
          <w:rFonts w:cs="Arial"/>
          <w:bCs/>
          <w:szCs w:val="22"/>
        </w:rPr>
      </w:pPr>
      <w:r w:rsidRPr="00675FBC">
        <w:rPr>
          <w:rFonts w:cs="Arial"/>
          <w:bCs/>
          <w:szCs w:val="22"/>
        </w:rPr>
        <w:t xml:space="preserve">The Chair </w:t>
      </w:r>
      <w:r>
        <w:rPr>
          <w:rFonts w:cs="Arial"/>
          <w:bCs/>
          <w:szCs w:val="22"/>
        </w:rPr>
        <w:t xml:space="preserve">(Jo Watson) </w:t>
      </w:r>
      <w:r w:rsidRPr="00675FBC">
        <w:rPr>
          <w:rFonts w:cs="Arial"/>
          <w:bCs/>
          <w:szCs w:val="22"/>
        </w:rPr>
        <w:t xml:space="preserve">provided an overview of </w:t>
      </w:r>
      <w:r>
        <w:rPr>
          <w:rFonts w:cs="Arial"/>
          <w:bCs/>
          <w:szCs w:val="22"/>
        </w:rPr>
        <w:t xml:space="preserve">her </w:t>
      </w:r>
      <w:r w:rsidRPr="00675FBC">
        <w:rPr>
          <w:rFonts w:cs="Arial"/>
          <w:bCs/>
          <w:szCs w:val="22"/>
        </w:rPr>
        <w:t xml:space="preserve">activities since the last HTA CCC meeting on </w:t>
      </w:r>
      <w:r>
        <w:rPr>
          <w:rFonts w:cs="Arial"/>
          <w:bCs/>
          <w:szCs w:val="22"/>
        </w:rPr>
        <w:br/>
        <w:t>11</w:t>
      </w:r>
      <w:r w:rsidRPr="00675FBC">
        <w:rPr>
          <w:rFonts w:cs="Arial"/>
          <w:bCs/>
          <w:szCs w:val="22"/>
        </w:rPr>
        <w:t xml:space="preserve"> </w:t>
      </w:r>
      <w:r>
        <w:rPr>
          <w:rFonts w:cs="Arial"/>
          <w:bCs/>
          <w:szCs w:val="22"/>
        </w:rPr>
        <w:t>May</w:t>
      </w:r>
      <w:r w:rsidRPr="00675FBC">
        <w:rPr>
          <w:rFonts w:cs="Arial"/>
          <w:bCs/>
          <w:szCs w:val="22"/>
        </w:rPr>
        <w:t xml:space="preserve"> 202</w:t>
      </w:r>
      <w:r>
        <w:rPr>
          <w:rFonts w:cs="Arial"/>
          <w:bCs/>
          <w:szCs w:val="22"/>
        </w:rPr>
        <w:t xml:space="preserve">3, including: </w:t>
      </w:r>
      <w:r w:rsidRPr="00F322EF">
        <w:rPr>
          <w:rFonts w:cs="Arial"/>
          <w:bCs/>
          <w:szCs w:val="22"/>
        </w:rPr>
        <w:t xml:space="preserve">PBAC and post-PBAC meetings; responses to the </w:t>
      </w:r>
      <w:hyperlink r:id="rId8" w:history="1">
        <w:r w:rsidRPr="00F322EF">
          <w:rPr>
            <w:rStyle w:val="Hyperlink"/>
            <w:rFonts w:cs="Arial"/>
            <w:bCs/>
            <w:szCs w:val="22"/>
          </w:rPr>
          <w:t>capability review</w:t>
        </w:r>
      </w:hyperlink>
      <w:r w:rsidRPr="00F322EF">
        <w:rPr>
          <w:rFonts w:cs="Arial"/>
          <w:bCs/>
          <w:szCs w:val="22"/>
        </w:rPr>
        <w:t xml:space="preserve"> of the Department of Health and Aged Care (the Department); briefings provided for the </w:t>
      </w:r>
      <w:hyperlink r:id="rId9" w:anchor=":~:text=The%20HTA%20Review%20is%20one%20of%20the%20main,HTA%20Review%2C%20which%20a%20reference%20committee%20will%20oversee." w:history="1">
        <w:r w:rsidRPr="00F322EF">
          <w:rPr>
            <w:rStyle w:val="Hyperlink"/>
            <w:rFonts w:cs="Arial"/>
            <w:bCs/>
            <w:szCs w:val="22"/>
          </w:rPr>
          <w:t>HTA</w:t>
        </w:r>
        <w:r w:rsidR="00747DA4">
          <w:rPr>
            <w:rStyle w:val="Hyperlink"/>
            <w:rFonts w:cs="Arial"/>
            <w:bCs/>
            <w:szCs w:val="22"/>
          </w:rPr>
          <w:t xml:space="preserve"> Policy and Methods</w:t>
        </w:r>
        <w:r w:rsidRPr="00F322EF">
          <w:rPr>
            <w:rStyle w:val="Hyperlink"/>
            <w:rFonts w:cs="Arial"/>
            <w:bCs/>
            <w:szCs w:val="22"/>
          </w:rPr>
          <w:t xml:space="preserve"> Review</w:t>
        </w:r>
      </w:hyperlink>
      <w:r w:rsidRPr="00F322EF">
        <w:rPr>
          <w:rFonts w:cs="Arial"/>
          <w:bCs/>
          <w:szCs w:val="22"/>
        </w:rPr>
        <w:t xml:space="preserve">; proposed CEEU restructuring; stakeholder meetings; activities across consumer networks; and </w:t>
      </w:r>
      <w:r w:rsidR="00B93641" w:rsidRPr="00D5255A">
        <w:t xml:space="preserve">the </w:t>
      </w:r>
      <w:r w:rsidR="00B93641">
        <w:rPr>
          <w:rFonts w:cs="Arial"/>
          <w:bCs/>
          <w:szCs w:val="22"/>
        </w:rPr>
        <w:t>C</w:t>
      </w:r>
      <w:r w:rsidR="00B93641" w:rsidRPr="00D5255A">
        <w:t xml:space="preserve">onsumer </w:t>
      </w:r>
      <w:r w:rsidR="00B93641">
        <w:rPr>
          <w:rFonts w:cs="Arial"/>
          <w:bCs/>
          <w:szCs w:val="22"/>
        </w:rPr>
        <w:t>R</w:t>
      </w:r>
      <w:r w:rsidR="00B93641" w:rsidRPr="00D5255A">
        <w:t xml:space="preserve">eference </w:t>
      </w:r>
      <w:r w:rsidR="00B93641">
        <w:rPr>
          <w:rFonts w:cs="Arial"/>
          <w:bCs/>
          <w:szCs w:val="22"/>
        </w:rPr>
        <w:t>G</w:t>
      </w:r>
      <w:r w:rsidR="00B93641" w:rsidRPr="00D5255A">
        <w:t>roup</w:t>
      </w:r>
      <w:r w:rsidRPr="00F322EF">
        <w:rPr>
          <w:rFonts w:cs="Arial"/>
          <w:bCs/>
          <w:szCs w:val="22"/>
        </w:rPr>
        <w:t xml:space="preserve">. The Chair also provided notes on membership activities, including updates to CCC membership, changes to the recruitment process of HTA committee members, and upcoming HTA committee membership renewals. The Chair noted the Prostheses List Advisory Committee was replaced by Medical Devices and Human Tissue Advisory Committee (MDHTAC) in June 2023, with existing subcommittees replaced by Expert Clinical Advisory Groups (ECAGs). The Chair noted the recruitment of a consumer representative for </w:t>
      </w:r>
      <w:r w:rsidR="00FC7E60">
        <w:rPr>
          <w:rFonts w:cs="Arial"/>
          <w:bCs/>
          <w:szCs w:val="22"/>
        </w:rPr>
        <w:t>MDHTAC</w:t>
      </w:r>
      <w:r w:rsidRPr="00F322EF">
        <w:rPr>
          <w:rFonts w:cs="Arial"/>
          <w:bCs/>
          <w:szCs w:val="22"/>
        </w:rPr>
        <w:t xml:space="preserve"> </w:t>
      </w:r>
      <w:r w:rsidR="005F0A6D">
        <w:rPr>
          <w:rFonts w:cs="Arial"/>
          <w:bCs/>
          <w:szCs w:val="22"/>
        </w:rPr>
        <w:t>is</w:t>
      </w:r>
      <w:r w:rsidRPr="00F322EF">
        <w:rPr>
          <w:rFonts w:cs="Arial"/>
          <w:bCs/>
          <w:szCs w:val="22"/>
        </w:rPr>
        <w:t xml:space="preserve"> still being finalised. </w:t>
      </w:r>
    </w:p>
    <w:p w14:paraId="57DA4648" w14:textId="58069C5E" w:rsidR="005F0A6D" w:rsidRDefault="005F0A6D" w:rsidP="00F322EF">
      <w:pPr>
        <w:rPr>
          <w:rFonts w:cs="Arial"/>
          <w:bCs/>
          <w:szCs w:val="22"/>
        </w:rPr>
      </w:pPr>
      <w:r w:rsidRPr="005F0A6D">
        <w:rPr>
          <w:rFonts w:cs="Arial"/>
          <w:bCs/>
          <w:szCs w:val="22"/>
        </w:rPr>
        <w:t xml:space="preserve">The Chair discussed upcoming activities, advising the response to the 2021 House of Representatives inquiry (‘Zimmerman Inquiry’) is </w:t>
      </w:r>
      <w:r w:rsidR="00B93641">
        <w:rPr>
          <w:rFonts w:cs="Arial"/>
          <w:bCs/>
          <w:szCs w:val="22"/>
        </w:rPr>
        <w:t xml:space="preserve">expected </w:t>
      </w:r>
      <w:r w:rsidRPr="005F0A6D">
        <w:rPr>
          <w:rFonts w:cs="Arial"/>
          <w:bCs/>
          <w:szCs w:val="22"/>
        </w:rPr>
        <w:t xml:space="preserve">to be published </w:t>
      </w:r>
      <w:r w:rsidR="00B93641" w:rsidRPr="00D5255A">
        <w:t>before the end of 2023</w:t>
      </w:r>
      <w:r w:rsidRPr="005F0A6D">
        <w:rPr>
          <w:rFonts w:cs="Arial"/>
          <w:bCs/>
          <w:szCs w:val="22"/>
        </w:rPr>
        <w:t xml:space="preserve">, and noted the anticipated relevance to the HTA review. The Chair discussed the importance of supporting consumer networks while HTA review agendas/communiques are published, and outlined developments to the co-design of the Enhanced Consumer Engagement Process, as part of the </w:t>
      </w:r>
      <w:hyperlink r:id="rId10" w:history="1">
        <w:r w:rsidRPr="005F0A6D">
          <w:rPr>
            <w:rStyle w:val="Hyperlink"/>
            <w:rFonts w:cs="Arial"/>
            <w:bCs/>
            <w:szCs w:val="22"/>
          </w:rPr>
          <w:t>Strategic Agreement</w:t>
        </w:r>
      </w:hyperlink>
      <w:r w:rsidRPr="005F0A6D">
        <w:rPr>
          <w:rFonts w:cs="Arial"/>
          <w:bCs/>
          <w:szCs w:val="22"/>
        </w:rPr>
        <w:t xml:space="preserve"> between the Commonwealth and Medicines Australia. The Chair noted the workplan </w:t>
      </w:r>
      <w:r w:rsidR="005B2E38">
        <w:rPr>
          <w:rFonts w:cs="Arial"/>
          <w:bCs/>
          <w:szCs w:val="22"/>
        </w:rPr>
        <w:t xml:space="preserve">schedule </w:t>
      </w:r>
      <w:r w:rsidRPr="005F0A6D">
        <w:rPr>
          <w:rFonts w:cs="Arial"/>
          <w:bCs/>
          <w:szCs w:val="22"/>
        </w:rPr>
        <w:t xml:space="preserve">for the HTA </w:t>
      </w:r>
      <w:r w:rsidR="00B93641">
        <w:rPr>
          <w:rFonts w:cs="Arial"/>
          <w:bCs/>
          <w:szCs w:val="22"/>
        </w:rPr>
        <w:t>P</w:t>
      </w:r>
      <w:r w:rsidR="00B93641" w:rsidRPr="005F0A6D">
        <w:rPr>
          <w:rFonts w:cs="Arial"/>
          <w:bCs/>
          <w:szCs w:val="22"/>
        </w:rPr>
        <w:t xml:space="preserve">olicy </w:t>
      </w:r>
      <w:r w:rsidRPr="005F0A6D">
        <w:rPr>
          <w:rFonts w:cs="Arial"/>
          <w:bCs/>
          <w:szCs w:val="22"/>
        </w:rPr>
        <w:t xml:space="preserve">and </w:t>
      </w:r>
      <w:r w:rsidR="00B93641">
        <w:rPr>
          <w:rFonts w:cs="Arial"/>
          <w:bCs/>
          <w:szCs w:val="22"/>
        </w:rPr>
        <w:t>M</w:t>
      </w:r>
      <w:r w:rsidR="00B93641" w:rsidRPr="005F0A6D">
        <w:rPr>
          <w:rFonts w:cs="Arial"/>
          <w:bCs/>
          <w:szCs w:val="22"/>
        </w:rPr>
        <w:t xml:space="preserve">ethods </w:t>
      </w:r>
      <w:r w:rsidR="00B93641">
        <w:rPr>
          <w:rFonts w:cs="Arial"/>
          <w:bCs/>
          <w:szCs w:val="22"/>
        </w:rPr>
        <w:t>R</w:t>
      </w:r>
      <w:r w:rsidR="00B93641" w:rsidRPr="005F0A6D">
        <w:rPr>
          <w:rFonts w:cs="Arial"/>
          <w:bCs/>
          <w:szCs w:val="22"/>
        </w:rPr>
        <w:t>eview</w:t>
      </w:r>
      <w:r w:rsidRPr="005F0A6D">
        <w:rPr>
          <w:rFonts w:cs="Arial"/>
          <w:bCs/>
          <w:szCs w:val="22"/>
        </w:rPr>
        <w:t>, with consultation input for Phase 1 closing in July</w:t>
      </w:r>
      <w:r w:rsidR="00B533B5">
        <w:rPr>
          <w:rFonts w:cs="Arial"/>
          <w:bCs/>
          <w:szCs w:val="22"/>
        </w:rPr>
        <w:t> 2023</w:t>
      </w:r>
      <w:r w:rsidRPr="005F0A6D">
        <w:rPr>
          <w:rFonts w:cs="Arial"/>
          <w:bCs/>
          <w:szCs w:val="22"/>
        </w:rPr>
        <w:t xml:space="preserve">, and upcoming consultations yet to be confirmed. The Chair described the </w:t>
      </w:r>
      <w:hyperlink r:id="rId11" w:history="1">
        <w:r w:rsidRPr="00B93641">
          <w:rPr>
            <w:rStyle w:val="Hyperlink"/>
            <w:rFonts w:cs="Arial"/>
            <w:bCs/>
            <w:szCs w:val="22"/>
          </w:rPr>
          <w:t>findings of the first consultation</w:t>
        </w:r>
      </w:hyperlink>
      <w:r w:rsidRPr="005F0A6D">
        <w:rPr>
          <w:rFonts w:cs="Arial"/>
          <w:bCs/>
          <w:szCs w:val="22"/>
        </w:rPr>
        <w:t xml:space="preserve">, which echoed the findings of the CEEU’s </w:t>
      </w:r>
      <w:hyperlink r:id="rId12" w:history="1">
        <w:r w:rsidRPr="00D5255A">
          <w:rPr>
            <w:rStyle w:val="Hyperlink"/>
            <w:rFonts w:cs="Arial"/>
            <w:bCs/>
            <w:i/>
            <w:iCs/>
            <w:szCs w:val="22"/>
          </w:rPr>
          <w:t>Conversation for Change Report 2023</w:t>
        </w:r>
      </w:hyperlink>
      <w:r w:rsidRPr="005F0A6D">
        <w:rPr>
          <w:rFonts w:cs="Arial"/>
          <w:bCs/>
          <w:szCs w:val="22"/>
        </w:rPr>
        <w:t xml:space="preserve">, outlining the issues relating to the: current access programs; formation of item restrictions; gap between Commonwealth and state implementations; low visibility of various aspects of listings; need for consistent collection of data; capacity of patient groups; and time relating to resubmissions.    </w:t>
      </w:r>
    </w:p>
    <w:p w14:paraId="34EB536A" w14:textId="2591C848" w:rsidR="00FC0C67" w:rsidRDefault="00F322EF" w:rsidP="005F0A6D">
      <w:pPr>
        <w:rPr>
          <w:rFonts w:cs="Arial"/>
          <w:bCs/>
          <w:szCs w:val="22"/>
        </w:rPr>
      </w:pPr>
      <w:r>
        <w:rPr>
          <w:rFonts w:cs="Arial"/>
          <w:bCs/>
          <w:szCs w:val="22"/>
        </w:rPr>
        <w:t xml:space="preserve">In the CEEU update, the CEEU Lead advised </w:t>
      </w:r>
      <w:r w:rsidR="005F0A6D">
        <w:rPr>
          <w:rFonts w:cs="Arial"/>
          <w:bCs/>
          <w:szCs w:val="22"/>
        </w:rPr>
        <w:t xml:space="preserve">the </w:t>
      </w:r>
      <w:r w:rsidR="005F0A6D" w:rsidRPr="005F0A6D">
        <w:rPr>
          <w:rFonts w:cs="Arial"/>
          <w:bCs/>
          <w:szCs w:val="22"/>
        </w:rPr>
        <w:t xml:space="preserve">activities of the </w:t>
      </w:r>
      <w:r w:rsidR="005F0A6D">
        <w:rPr>
          <w:rFonts w:cs="Arial"/>
          <w:bCs/>
          <w:szCs w:val="22"/>
        </w:rPr>
        <w:t>Unit</w:t>
      </w:r>
      <w:r w:rsidR="005F0A6D" w:rsidRPr="005F0A6D">
        <w:rPr>
          <w:rFonts w:cs="Arial"/>
          <w:bCs/>
          <w:szCs w:val="22"/>
        </w:rPr>
        <w:t xml:space="preserve"> between May and October 2023, including MSAC and PBAC consultation activities, the HTA International (HTAi) conference in June 2023, and the publishing of the </w:t>
      </w:r>
      <w:r w:rsidR="005F0A6D" w:rsidRPr="005F0A6D">
        <w:rPr>
          <w:rFonts w:cs="Arial"/>
          <w:bCs/>
          <w:i/>
          <w:iCs/>
          <w:szCs w:val="22"/>
        </w:rPr>
        <w:t>Conversations for Change Report 2023</w:t>
      </w:r>
      <w:r w:rsidR="005F0A6D" w:rsidRPr="005F0A6D">
        <w:rPr>
          <w:rFonts w:cs="Arial"/>
          <w:bCs/>
          <w:szCs w:val="22"/>
        </w:rPr>
        <w:t xml:space="preserve">. </w:t>
      </w:r>
      <w:r w:rsidR="005F0A6D">
        <w:rPr>
          <w:rFonts w:cs="Arial"/>
          <w:bCs/>
          <w:szCs w:val="22"/>
        </w:rPr>
        <w:t>The Lead</w:t>
      </w:r>
      <w:r w:rsidR="005F0A6D" w:rsidRPr="005F0A6D">
        <w:rPr>
          <w:rFonts w:cs="Arial"/>
          <w:bCs/>
          <w:szCs w:val="22"/>
        </w:rPr>
        <w:t xml:space="preserve"> outlined the ‘consultation toolkit’ project that is currently underway, which seeks to create </w:t>
      </w:r>
      <w:r w:rsidR="005F0A6D" w:rsidRPr="005F0A6D">
        <w:rPr>
          <w:rFonts w:cs="Arial"/>
          <w:bCs/>
          <w:szCs w:val="22"/>
        </w:rPr>
        <w:lastRenderedPageBreak/>
        <w:t xml:space="preserve">resources to build and inform consumer knowledge, with plain language and consistent terminology. </w:t>
      </w:r>
      <w:r w:rsidR="005F0A6D">
        <w:rPr>
          <w:rFonts w:cs="Arial"/>
          <w:bCs/>
          <w:szCs w:val="22"/>
        </w:rPr>
        <w:t>The Lead</w:t>
      </w:r>
      <w:r w:rsidR="005F0A6D" w:rsidRPr="005F0A6D">
        <w:rPr>
          <w:rFonts w:cs="Arial"/>
          <w:bCs/>
          <w:szCs w:val="22"/>
        </w:rPr>
        <w:t xml:space="preserve"> noted other projects the CEEU is working on, </w:t>
      </w:r>
      <w:proofErr w:type="gramStart"/>
      <w:r w:rsidR="005F0A6D" w:rsidRPr="005F0A6D">
        <w:rPr>
          <w:rFonts w:cs="Arial"/>
          <w:bCs/>
          <w:szCs w:val="22"/>
        </w:rPr>
        <w:t>including:</w:t>
      </w:r>
      <w:proofErr w:type="gramEnd"/>
      <w:r w:rsidR="005F0A6D" w:rsidRPr="005F0A6D">
        <w:rPr>
          <w:rFonts w:cs="Arial"/>
          <w:bCs/>
          <w:szCs w:val="22"/>
        </w:rPr>
        <w:t xml:space="preserve"> updating the MSAC consultation process; developing the HTA </w:t>
      </w:r>
      <w:r w:rsidR="00B75C92">
        <w:rPr>
          <w:rFonts w:cs="Arial"/>
          <w:bCs/>
          <w:szCs w:val="22"/>
        </w:rPr>
        <w:t xml:space="preserve">consumer </w:t>
      </w:r>
      <w:r w:rsidR="005F0A6D" w:rsidRPr="005F0A6D">
        <w:rPr>
          <w:rFonts w:cs="Arial"/>
          <w:bCs/>
          <w:szCs w:val="22"/>
        </w:rPr>
        <w:t>committee members</w:t>
      </w:r>
      <w:r w:rsidR="00B75C92">
        <w:rPr>
          <w:rFonts w:cs="Arial"/>
          <w:bCs/>
          <w:szCs w:val="22"/>
        </w:rPr>
        <w:t>’</w:t>
      </w:r>
      <w:r w:rsidR="005F0A6D" w:rsidRPr="005F0A6D">
        <w:rPr>
          <w:rFonts w:cs="Arial"/>
          <w:bCs/>
          <w:szCs w:val="22"/>
        </w:rPr>
        <w:t xml:space="preserve"> induction pac</w:t>
      </w:r>
      <w:r w:rsidR="00DC067D">
        <w:rPr>
          <w:rFonts w:cs="Arial"/>
          <w:bCs/>
          <w:szCs w:val="22"/>
        </w:rPr>
        <w:t>k</w:t>
      </w:r>
      <w:r w:rsidR="005F0A6D" w:rsidRPr="005F0A6D">
        <w:rPr>
          <w:rFonts w:cs="Arial"/>
          <w:bCs/>
          <w:szCs w:val="22"/>
        </w:rPr>
        <w:t xml:space="preserve">; establishing a feedback loop for consumers post Committee meetings; and the ongoing evaluation of the summary of information for patients (SIP) project. The Chair noted the CEEU is going through a number of changes, with plans to recruit additional staff and also to be restructured as a separate entity from the HTA Support Unit. </w:t>
      </w:r>
    </w:p>
    <w:p w14:paraId="2A9107E2" w14:textId="0BF417DA" w:rsidR="00FC7E60" w:rsidRPr="00FC0C67" w:rsidRDefault="00FC7E60" w:rsidP="00FC0C67">
      <w:pPr>
        <w:rPr>
          <w:rFonts w:cs="Arial"/>
          <w:bCs/>
          <w:szCs w:val="22"/>
          <w:lang w:val="en-GB"/>
        </w:rPr>
      </w:pPr>
      <w:r>
        <w:rPr>
          <w:rFonts w:cs="Arial"/>
          <w:bCs/>
          <w:szCs w:val="22"/>
          <w:lang w:val="en-GB"/>
        </w:rPr>
        <w:t xml:space="preserve">The CEEU </w:t>
      </w:r>
      <w:r w:rsidR="00B93641">
        <w:rPr>
          <w:rFonts w:cs="Arial"/>
          <w:bCs/>
          <w:szCs w:val="22"/>
          <w:lang w:val="en-GB"/>
        </w:rPr>
        <w:t>Lead</w:t>
      </w:r>
      <w:r w:rsidR="00B93641" w:rsidRPr="00FC0C67">
        <w:rPr>
          <w:rFonts w:cs="Arial"/>
          <w:bCs/>
          <w:szCs w:val="22"/>
          <w:lang w:val="en-GB"/>
        </w:rPr>
        <w:t xml:space="preserve"> </w:t>
      </w:r>
      <w:r w:rsidR="00FC0C67" w:rsidRPr="00FC0C67">
        <w:rPr>
          <w:rFonts w:cs="Arial"/>
          <w:bCs/>
          <w:szCs w:val="22"/>
          <w:lang w:val="en-GB"/>
        </w:rPr>
        <w:t xml:space="preserve">provided background on the co-design commitments of the Strategic Agreement (2022-2027), noting the establishment of the </w:t>
      </w:r>
      <w:hyperlink r:id="rId13" w:history="1">
        <w:r w:rsidR="00FC0C67" w:rsidRPr="00B93641">
          <w:rPr>
            <w:rStyle w:val="Hyperlink"/>
            <w:rFonts w:cs="Arial"/>
            <w:bCs/>
            <w:szCs w:val="22"/>
            <w:lang w:val="en-GB"/>
          </w:rPr>
          <w:t>Enhanced Consumer Engagement Process (ECEP)</w:t>
        </w:r>
      </w:hyperlink>
      <w:r w:rsidR="00FC0C67" w:rsidRPr="00FC0C67">
        <w:rPr>
          <w:rFonts w:cs="Arial"/>
          <w:bCs/>
          <w:szCs w:val="22"/>
          <w:lang w:val="en-GB"/>
        </w:rPr>
        <w:t xml:space="preserve"> co-designed with consumers. </w:t>
      </w:r>
      <w:r>
        <w:rPr>
          <w:rFonts w:cs="Arial"/>
          <w:bCs/>
          <w:szCs w:val="22"/>
          <w:lang w:val="en-GB"/>
        </w:rPr>
        <w:t>The Lead</w:t>
      </w:r>
      <w:r w:rsidR="00FC0C67" w:rsidRPr="00FC0C67">
        <w:rPr>
          <w:rFonts w:cs="Arial"/>
          <w:bCs/>
          <w:szCs w:val="22"/>
          <w:lang w:val="en-GB"/>
        </w:rPr>
        <w:t xml:space="preserve"> outlined the progress that has taken place in 2023, starting with the co-design proposal developed by the consumer reference group starting in March 2023, and the proposed work plan for co-design group consideration that was developed with consumer groups in October</w:t>
      </w:r>
      <w:r w:rsidR="00E85528">
        <w:rPr>
          <w:rFonts w:cs="Arial"/>
          <w:bCs/>
          <w:szCs w:val="22"/>
          <w:lang w:val="en-GB"/>
        </w:rPr>
        <w:t> 2023</w:t>
      </w:r>
      <w:r w:rsidR="00FC0C67" w:rsidRPr="00FC0C67">
        <w:rPr>
          <w:rFonts w:cs="Arial"/>
          <w:bCs/>
          <w:szCs w:val="22"/>
          <w:lang w:val="en-GB"/>
        </w:rPr>
        <w:t xml:space="preserve">. </w:t>
      </w:r>
      <w:r w:rsidR="00B93641">
        <w:rPr>
          <w:rFonts w:cs="Arial"/>
          <w:bCs/>
          <w:szCs w:val="22"/>
          <w:lang w:val="en-GB"/>
        </w:rPr>
        <w:t>Workshop 1 of the co-design process is scheduled to take place in November 2023 with a consultation on initial ECEP prototypes to follow over the subsequent months.</w:t>
      </w:r>
    </w:p>
    <w:p w14:paraId="61DE586C" w14:textId="25BCBF07" w:rsidR="00AE563F" w:rsidRPr="00AE563F" w:rsidRDefault="00AE563F" w:rsidP="00AE563F">
      <w:pPr>
        <w:rPr>
          <w:rFonts w:cs="Arial"/>
          <w:bCs/>
          <w:szCs w:val="22"/>
          <w:lang w:val="en-GB"/>
        </w:rPr>
      </w:pPr>
      <w:r w:rsidRPr="00AE563F">
        <w:rPr>
          <w:rFonts w:cs="Arial"/>
          <w:bCs/>
          <w:szCs w:val="22"/>
          <w:lang w:val="en-GB"/>
        </w:rPr>
        <w:t>A representative from the OHTA’s MSAC secretariat team and a member of the CEEU presented proposed changes to the current MSAC consultation survey. They advised they had also presented these changes to the MSAC Executive team and MSAC ESC, and collected feedback. The proposed plan suggested the following changes: the alignment of the MSAC survey with current PBAC consultation survey; the use of SKIP-logic in survey design to allow for specific subsets of questions for different types of respondents; the collection of postcode and other diversity measures throughout the survey; and the review of current survey questions for health professionals, individuals, and consumer organisations for more meaningful answers from each respondent type. CCC members provided an array of feedback, noting the need for an out</w:t>
      </w:r>
      <w:r w:rsidR="00DD5543">
        <w:rPr>
          <w:rFonts w:cs="Arial"/>
          <w:bCs/>
          <w:szCs w:val="22"/>
          <w:lang w:val="en-GB"/>
        </w:rPr>
        <w:noBreakHyphen/>
      </w:r>
      <w:r w:rsidRPr="00AE563F">
        <w:rPr>
          <w:rFonts w:cs="Arial"/>
          <w:bCs/>
          <w:szCs w:val="22"/>
          <w:lang w:val="en-GB"/>
        </w:rPr>
        <w:t>of</w:t>
      </w:r>
      <w:r w:rsidR="00DD5543">
        <w:rPr>
          <w:rFonts w:cs="Arial"/>
          <w:bCs/>
          <w:szCs w:val="22"/>
          <w:lang w:val="en-GB"/>
        </w:rPr>
        <w:noBreakHyphen/>
      </w:r>
      <w:r w:rsidRPr="00AE563F">
        <w:rPr>
          <w:rFonts w:cs="Arial"/>
          <w:bCs/>
          <w:szCs w:val="22"/>
          <w:lang w:val="en-GB"/>
        </w:rPr>
        <w:t xml:space="preserve">session meeting with consumer members across MSAC and its sub-committees to review the proposed changes in more detail. </w:t>
      </w:r>
    </w:p>
    <w:p w14:paraId="576ABAA5" w14:textId="3C51B35E" w:rsidR="00AE563F" w:rsidRPr="00FC7E60" w:rsidRDefault="00AE563F" w:rsidP="00AE563F">
      <w:pPr>
        <w:rPr>
          <w:rFonts w:cs="Arial"/>
          <w:bCs/>
          <w:szCs w:val="22"/>
          <w:lang w:val="en-GB"/>
        </w:rPr>
      </w:pPr>
      <w:r w:rsidRPr="00AE563F">
        <w:rPr>
          <w:rFonts w:cs="Arial"/>
          <w:bCs/>
          <w:szCs w:val="22"/>
          <w:lang w:val="en-GB"/>
        </w:rPr>
        <w:t>The Chair</w:t>
      </w:r>
      <w:r w:rsidR="00B677A2">
        <w:rPr>
          <w:rFonts w:cs="Arial"/>
          <w:bCs/>
          <w:szCs w:val="22"/>
          <w:lang w:val="en-GB"/>
        </w:rPr>
        <w:t xml:space="preserve"> </w:t>
      </w:r>
      <w:r w:rsidRPr="00AE563F">
        <w:rPr>
          <w:rFonts w:cs="Arial"/>
          <w:bCs/>
          <w:szCs w:val="22"/>
          <w:lang w:val="en-GB"/>
        </w:rPr>
        <w:t>noted that over time, CCC members have felt some things were missing during inductions to their respective HTA committee roles, including mentoring programs from other experienced members. The Chair advised earlier mentoring pilot programs have taken place, with evaluations being finalised next month. The Chair noted changes within Department</w:t>
      </w:r>
      <w:r w:rsidR="00B677A2">
        <w:rPr>
          <w:rFonts w:cs="Arial"/>
          <w:bCs/>
          <w:szCs w:val="22"/>
          <w:lang w:val="en-GB"/>
        </w:rPr>
        <w:t>al</w:t>
      </w:r>
      <w:r w:rsidRPr="00AE563F">
        <w:rPr>
          <w:rFonts w:cs="Arial"/>
          <w:bCs/>
          <w:szCs w:val="22"/>
          <w:lang w:val="en-GB"/>
        </w:rPr>
        <w:t xml:space="preserve"> structures mean induction support from Committee secretariats is different now than in the past. The Chair described potential factors that need to be considered in order to develop a contemporary induction pack, including: the current processes and available resources; the relevant Department and committee personnel; where committees and sub-committees fit into the overall HTA organisation within the Department; what is expected of CCC members pre-, during, and post-meetings; and how to provide a broader overview of the CCC when members first join. </w:t>
      </w:r>
    </w:p>
    <w:p w14:paraId="12741DC2" w14:textId="255AEC59" w:rsidR="00F322EF" w:rsidRPr="00347B86" w:rsidRDefault="00F322EF" w:rsidP="00F322EF">
      <w:pPr>
        <w:spacing w:before="0" w:after="160" w:line="259" w:lineRule="auto"/>
        <w:rPr>
          <w:szCs w:val="22"/>
          <w:lang w:val="en-GB"/>
        </w:rPr>
      </w:pPr>
      <w:r>
        <w:rPr>
          <w:szCs w:val="22"/>
          <w:lang w:val="en-GB"/>
        </w:rPr>
        <w:t>T</w:t>
      </w:r>
      <w:r w:rsidRPr="008D29E6">
        <w:rPr>
          <w:szCs w:val="22"/>
          <w:lang w:val="en-GB"/>
        </w:rPr>
        <w:t xml:space="preserve">he next CCC meeting </w:t>
      </w:r>
      <w:r>
        <w:rPr>
          <w:szCs w:val="22"/>
          <w:lang w:val="en-GB"/>
        </w:rPr>
        <w:t>is</w:t>
      </w:r>
      <w:r w:rsidRPr="008D29E6">
        <w:rPr>
          <w:szCs w:val="22"/>
          <w:lang w:val="en-GB"/>
        </w:rPr>
        <w:t xml:space="preserve"> scheduled to be held in </w:t>
      </w:r>
      <w:r w:rsidR="00FC0C67">
        <w:rPr>
          <w:szCs w:val="22"/>
          <w:lang w:val="en-GB"/>
        </w:rPr>
        <w:t xml:space="preserve">February 2024. </w:t>
      </w:r>
    </w:p>
    <w:p w14:paraId="464E827C" w14:textId="4F0E1E12" w:rsidR="00CF0D8F" w:rsidRPr="00797883" w:rsidRDefault="00CF0D8F" w:rsidP="001D0BD6">
      <w:pPr>
        <w:spacing w:before="0" w:after="0"/>
        <w:rPr>
          <w:rFonts w:cs="Arial"/>
          <w:bCs/>
          <w:szCs w:val="22"/>
        </w:rPr>
      </w:pPr>
    </w:p>
    <w:sectPr w:rsidR="00CF0D8F" w:rsidRPr="00797883" w:rsidSect="001D0BD6">
      <w:footerReference w:type="default" r:id="rId14"/>
      <w:headerReference w:type="first" r:id="rId15"/>
      <w:footerReference w:type="first" r:id="rId16"/>
      <w:type w:val="continuous"/>
      <w:pgSz w:w="11906" w:h="16838"/>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4063" w14:textId="77777777" w:rsidR="00E92C99" w:rsidRDefault="00E92C99" w:rsidP="006B56BB">
      <w:r>
        <w:separator/>
      </w:r>
    </w:p>
    <w:p w14:paraId="5E87F605" w14:textId="77777777" w:rsidR="00E92C99" w:rsidRDefault="00E92C99"/>
  </w:endnote>
  <w:endnote w:type="continuationSeparator" w:id="0">
    <w:p w14:paraId="1C21408B" w14:textId="77777777" w:rsidR="00E92C99" w:rsidRDefault="00E92C99" w:rsidP="006B56BB">
      <w:r>
        <w:continuationSeparator/>
      </w:r>
    </w:p>
    <w:p w14:paraId="42B5DB74" w14:textId="77777777" w:rsidR="00E92C99" w:rsidRDefault="00E92C99"/>
  </w:endnote>
  <w:endnote w:type="continuationNotice" w:id="1">
    <w:p w14:paraId="7A7BEFF2" w14:textId="77777777" w:rsidR="00E92C99" w:rsidRDefault="00E9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DC2D" w14:textId="38FF3B91" w:rsidR="00440411" w:rsidRPr="006D5FD8" w:rsidRDefault="00F450A9" w:rsidP="00F450A9">
    <w:pPr>
      <w:pStyle w:val="Footer"/>
      <w:jc w:val="center"/>
    </w:pPr>
    <w:r w:rsidRPr="00F450A9">
      <w:t xml:space="preserve">HTA CCC Communique – </w:t>
    </w:r>
    <w:r w:rsidR="00FC7E60">
      <w:t>19 October 2023</w:t>
    </w:r>
    <w:r>
      <w:tab/>
    </w:r>
    <w:r>
      <w:tab/>
    </w:r>
    <w:sdt>
      <w:sdtPr>
        <w:id w:val="208458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712">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658" w14:textId="19B9379F" w:rsidR="001D0BD6" w:rsidRDefault="001D0BD6" w:rsidP="001D0BD6">
    <w:pPr>
      <w:pStyle w:val="Footer"/>
      <w:jc w:val="center"/>
    </w:pPr>
    <w:r w:rsidRPr="00FC7E60">
      <w:t xml:space="preserve">HTA CCC Communique – </w:t>
    </w:r>
    <w:r w:rsidR="00FC7E60" w:rsidRPr="00FC7E60">
      <w:t>19</w:t>
    </w:r>
    <w:r w:rsidRPr="00FC7E60">
      <w:t xml:space="preserve"> </w:t>
    </w:r>
    <w:r w:rsidR="00FC7E60">
      <w:t>October</w:t>
    </w:r>
    <w:r w:rsidRPr="00FC7E60">
      <w:t xml:space="preserve"> </w:t>
    </w:r>
    <w:r w:rsidR="00FC7E60" w:rsidRPr="00FC7E60">
      <w:t>2023</w:t>
    </w:r>
    <w:r w:rsidRPr="00FC7E60">
      <w:tab/>
    </w:r>
    <w:r w:rsidRPr="00FC7E60">
      <w:tab/>
    </w:r>
    <w:sdt>
      <w:sdtPr>
        <w:id w:val="2106539105"/>
        <w:docPartObj>
          <w:docPartGallery w:val="Page Numbers (Bottom of Page)"/>
          <w:docPartUnique/>
        </w:docPartObj>
      </w:sdtPr>
      <w:sdtEndPr>
        <w:rPr>
          <w:noProof/>
        </w:rPr>
      </w:sdtEndPr>
      <w:sdtContent>
        <w:r w:rsidRPr="00FC7E60">
          <w:fldChar w:fldCharType="begin"/>
        </w:r>
        <w:r w:rsidRPr="00FC7E60">
          <w:instrText xml:space="preserve"> PAGE   \* MERGEFORMAT </w:instrText>
        </w:r>
        <w:r w:rsidRPr="00FC7E60">
          <w:fldChar w:fldCharType="separate"/>
        </w:r>
        <w:r w:rsidRPr="00FC7E60">
          <w:t>2</w:t>
        </w:r>
        <w:r w:rsidRPr="00FC7E6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2DEF" w14:textId="77777777" w:rsidR="00E92C99" w:rsidRDefault="00E92C99" w:rsidP="006B56BB">
      <w:r>
        <w:separator/>
      </w:r>
    </w:p>
    <w:p w14:paraId="2E8EEC23" w14:textId="77777777" w:rsidR="00E92C99" w:rsidRDefault="00E92C99"/>
  </w:footnote>
  <w:footnote w:type="continuationSeparator" w:id="0">
    <w:p w14:paraId="454B0DAF" w14:textId="77777777" w:rsidR="00E92C99" w:rsidRDefault="00E92C99" w:rsidP="006B56BB">
      <w:r>
        <w:continuationSeparator/>
      </w:r>
    </w:p>
    <w:p w14:paraId="6B58BE40" w14:textId="77777777" w:rsidR="00E92C99" w:rsidRDefault="00E92C99"/>
  </w:footnote>
  <w:footnote w:type="continuationNotice" w:id="1">
    <w:p w14:paraId="589120D7" w14:textId="77777777" w:rsidR="00E92C99" w:rsidRDefault="00E92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C905" w14:textId="5BD43C05" w:rsidR="001D0BD6" w:rsidRDefault="001D0BD6">
    <w:pPr>
      <w:pStyle w:val="Header"/>
    </w:pPr>
    <w:r>
      <w:rPr>
        <w:noProof/>
      </w:rPr>
      <w:drawing>
        <wp:inline distT="0" distB="0" distL="0" distR="0" wp14:anchorId="780F6F9E" wp14:editId="0339FE82">
          <wp:extent cx="5759450" cy="941705"/>
          <wp:effectExtent l="0" t="0" r="0" b="0"/>
          <wp:docPr id="1" name="Picture 1"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A2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18B0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62A33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542B3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B201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0AF8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650F65"/>
    <w:multiLevelType w:val="hybridMultilevel"/>
    <w:tmpl w:val="92601AB2"/>
    <w:lvl w:ilvl="0" w:tplc="F260070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122339"/>
    <w:multiLevelType w:val="hybridMultilevel"/>
    <w:tmpl w:val="D7542BCE"/>
    <w:lvl w:ilvl="0" w:tplc="04EE923E">
      <w:start w:val="1"/>
      <w:numFmt w:val="bullet"/>
      <w:lvlText w:val="•"/>
      <w:lvlJc w:val="left"/>
      <w:pPr>
        <w:tabs>
          <w:tab w:val="num" w:pos="720"/>
        </w:tabs>
        <w:ind w:left="720" w:hanging="360"/>
      </w:pPr>
      <w:rPr>
        <w:rFonts w:ascii="Arial" w:hAnsi="Arial" w:hint="default"/>
      </w:rPr>
    </w:lvl>
    <w:lvl w:ilvl="1" w:tplc="CA70B2D0" w:tentative="1">
      <w:start w:val="1"/>
      <w:numFmt w:val="bullet"/>
      <w:lvlText w:val="•"/>
      <w:lvlJc w:val="left"/>
      <w:pPr>
        <w:tabs>
          <w:tab w:val="num" w:pos="1440"/>
        </w:tabs>
        <w:ind w:left="1440" w:hanging="360"/>
      </w:pPr>
      <w:rPr>
        <w:rFonts w:ascii="Arial" w:hAnsi="Arial" w:hint="default"/>
      </w:rPr>
    </w:lvl>
    <w:lvl w:ilvl="2" w:tplc="8C5E9AC4" w:tentative="1">
      <w:start w:val="1"/>
      <w:numFmt w:val="bullet"/>
      <w:lvlText w:val="•"/>
      <w:lvlJc w:val="left"/>
      <w:pPr>
        <w:tabs>
          <w:tab w:val="num" w:pos="2160"/>
        </w:tabs>
        <w:ind w:left="2160" w:hanging="360"/>
      </w:pPr>
      <w:rPr>
        <w:rFonts w:ascii="Arial" w:hAnsi="Arial" w:hint="default"/>
      </w:rPr>
    </w:lvl>
    <w:lvl w:ilvl="3" w:tplc="B678CF3A" w:tentative="1">
      <w:start w:val="1"/>
      <w:numFmt w:val="bullet"/>
      <w:lvlText w:val="•"/>
      <w:lvlJc w:val="left"/>
      <w:pPr>
        <w:tabs>
          <w:tab w:val="num" w:pos="2880"/>
        </w:tabs>
        <w:ind w:left="2880" w:hanging="360"/>
      </w:pPr>
      <w:rPr>
        <w:rFonts w:ascii="Arial" w:hAnsi="Arial" w:hint="default"/>
      </w:rPr>
    </w:lvl>
    <w:lvl w:ilvl="4" w:tplc="7CC4DAA2" w:tentative="1">
      <w:start w:val="1"/>
      <w:numFmt w:val="bullet"/>
      <w:lvlText w:val="•"/>
      <w:lvlJc w:val="left"/>
      <w:pPr>
        <w:tabs>
          <w:tab w:val="num" w:pos="3600"/>
        </w:tabs>
        <w:ind w:left="3600" w:hanging="360"/>
      </w:pPr>
      <w:rPr>
        <w:rFonts w:ascii="Arial" w:hAnsi="Arial" w:hint="default"/>
      </w:rPr>
    </w:lvl>
    <w:lvl w:ilvl="5" w:tplc="19620388" w:tentative="1">
      <w:start w:val="1"/>
      <w:numFmt w:val="bullet"/>
      <w:lvlText w:val="•"/>
      <w:lvlJc w:val="left"/>
      <w:pPr>
        <w:tabs>
          <w:tab w:val="num" w:pos="4320"/>
        </w:tabs>
        <w:ind w:left="4320" w:hanging="360"/>
      </w:pPr>
      <w:rPr>
        <w:rFonts w:ascii="Arial" w:hAnsi="Arial" w:hint="default"/>
      </w:rPr>
    </w:lvl>
    <w:lvl w:ilvl="6" w:tplc="B2BA1760" w:tentative="1">
      <w:start w:val="1"/>
      <w:numFmt w:val="bullet"/>
      <w:lvlText w:val="•"/>
      <w:lvlJc w:val="left"/>
      <w:pPr>
        <w:tabs>
          <w:tab w:val="num" w:pos="5040"/>
        </w:tabs>
        <w:ind w:left="5040" w:hanging="360"/>
      </w:pPr>
      <w:rPr>
        <w:rFonts w:ascii="Arial" w:hAnsi="Arial" w:hint="default"/>
      </w:rPr>
    </w:lvl>
    <w:lvl w:ilvl="7" w:tplc="056E85E0" w:tentative="1">
      <w:start w:val="1"/>
      <w:numFmt w:val="bullet"/>
      <w:lvlText w:val="•"/>
      <w:lvlJc w:val="left"/>
      <w:pPr>
        <w:tabs>
          <w:tab w:val="num" w:pos="5760"/>
        </w:tabs>
        <w:ind w:left="5760" w:hanging="360"/>
      </w:pPr>
      <w:rPr>
        <w:rFonts w:ascii="Arial" w:hAnsi="Arial" w:hint="default"/>
      </w:rPr>
    </w:lvl>
    <w:lvl w:ilvl="8" w:tplc="4C56EC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F137BC"/>
    <w:multiLevelType w:val="hybridMultilevel"/>
    <w:tmpl w:val="D674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AB42EB"/>
    <w:multiLevelType w:val="hybridMultilevel"/>
    <w:tmpl w:val="E47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665B9A"/>
    <w:multiLevelType w:val="multilevel"/>
    <w:tmpl w:val="F22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3C4779"/>
    <w:multiLevelType w:val="hybridMultilevel"/>
    <w:tmpl w:val="6EDE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4806EA"/>
    <w:multiLevelType w:val="hybridMultilevel"/>
    <w:tmpl w:val="D1CC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6BF046C"/>
    <w:multiLevelType w:val="hybridMultilevel"/>
    <w:tmpl w:val="8238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C55D7F"/>
    <w:multiLevelType w:val="hybridMultilevel"/>
    <w:tmpl w:val="39BAF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08E0BC5"/>
    <w:multiLevelType w:val="hybridMultilevel"/>
    <w:tmpl w:val="24E4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6217846"/>
    <w:multiLevelType w:val="hybridMultilevel"/>
    <w:tmpl w:val="BD109C62"/>
    <w:lvl w:ilvl="0" w:tplc="C28AD2E2">
      <w:start w:val="1"/>
      <w:numFmt w:val="bullet"/>
      <w:lvlText w:val="•"/>
      <w:lvlJc w:val="left"/>
      <w:pPr>
        <w:tabs>
          <w:tab w:val="num" w:pos="720"/>
        </w:tabs>
        <w:ind w:left="720" w:hanging="360"/>
      </w:pPr>
      <w:rPr>
        <w:rFonts w:ascii="Arial" w:hAnsi="Arial" w:hint="default"/>
      </w:rPr>
    </w:lvl>
    <w:lvl w:ilvl="1" w:tplc="DE166D22" w:tentative="1">
      <w:start w:val="1"/>
      <w:numFmt w:val="bullet"/>
      <w:lvlText w:val="•"/>
      <w:lvlJc w:val="left"/>
      <w:pPr>
        <w:tabs>
          <w:tab w:val="num" w:pos="1440"/>
        </w:tabs>
        <w:ind w:left="1440" w:hanging="360"/>
      </w:pPr>
      <w:rPr>
        <w:rFonts w:ascii="Arial" w:hAnsi="Arial" w:hint="default"/>
      </w:rPr>
    </w:lvl>
    <w:lvl w:ilvl="2" w:tplc="2A008AEE" w:tentative="1">
      <w:start w:val="1"/>
      <w:numFmt w:val="bullet"/>
      <w:lvlText w:val="•"/>
      <w:lvlJc w:val="left"/>
      <w:pPr>
        <w:tabs>
          <w:tab w:val="num" w:pos="2160"/>
        </w:tabs>
        <w:ind w:left="2160" w:hanging="360"/>
      </w:pPr>
      <w:rPr>
        <w:rFonts w:ascii="Arial" w:hAnsi="Arial" w:hint="default"/>
      </w:rPr>
    </w:lvl>
    <w:lvl w:ilvl="3" w:tplc="6ED0C35E" w:tentative="1">
      <w:start w:val="1"/>
      <w:numFmt w:val="bullet"/>
      <w:lvlText w:val="•"/>
      <w:lvlJc w:val="left"/>
      <w:pPr>
        <w:tabs>
          <w:tab w:val="num" w:pos="2880"/>
        </w:tabs>
        <w:ind w:left="2880" w:hanging="360"/>
      </w:pPr>
      <w:rPr>
        <w:rFonts w:ascii="Arial" w:hAnsi="Arial" w:hint="default"/>
      </w:rPr>
    </w:lvl>
    <w:lvl w:ilvl="4" w:tplc="6088DA4C" w:tentative="1">
      <w:start w:val="1"/>
      <w:numFmt w:val="bullet"/>
      <w:lvlText w:val="•"/>
      <w:lvlJc w:val="left"/>
      <w:pPr>
        <w:tabs>
          <w:tab w:val="num" w:pos="3600"/>
        </w:tabs>
        <w:ind w:left="3600" w:hanging="360"/>
      </w:pPr>
      <w:rPr>
        <w:rFonts w:ascii="Arial" w:hAnsi="Arial" w:hint="default"/>
      </w:rPr>
    </w:lvl>
    <w:lvl w:ilvl="5" w:tplc="39AA7C26" w:tentative="1">
      <w:start w:val="1"/>
      <w:numFmt w:val="bullet"/>
      <w:lvlText w:val="•"/>
      <w:lvlJc w:val="left"/>
      <w:pPr>
        <w:tabs>
          <w:tab w:val="num" w:pos="4320"/>
        </w:tabs>
        <w:ind w:left="4320" w:hanging="360"/>
      </w:pPr>
      <w:rPr>
        <w:rFonts w:ascii="Arial" w:hAnsi="Arial" w:hint="default"/>
      </w:rPr>
    </w:lvl>
    <w:lvl w:ilvl="6" w:tplc="3B56C6C8" w:tentative="1">
      <w:start w:val="1"/>
      <w:numFmt w:val="bullet"/>
      <w:lvlText w:val="•"/>
      <w:lvlJc w:val="left"/>
      <w:pPr>
        <w:tabs>
          <w:tab w:val="num" w:pos="5040"/>
        </w:tabs>
        <w:ind w:left="5040" w:hanging="360"/>
      </w:pPr>
      <w:rPr>
        <w:rFonts w:ascii="Arial" w:hAnsi="Arial" w:hint="default"/>
      </w:rPr>
    </w:lvl>
    <w:lvl w:ilvl="7" w:tplc="6DEC96E2" w:tentative="1">
      <w:start w:val="1"/>
      <w:numFmt w:val="bullet"/>
      <w:lvlText w:val="•"/>
      <w:lvlJc w:val="left"/>
      <w:pPr>
        <w:tabs>
          <w:tab w:val="num" w:pos="5760"/>
        </w:tabs>
        <w:ind w:left="5760" w:hanging="360"/>
      </w:pPr>
      <w:rPr>
        <w:rFonts w:ascii="Arial" w:hAnsi="Arial" w:hint="default"/>
      </w:rPr>
    </w:lvl>
    <w:lvl w:ilvl="8" w:tplc="F116743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CB3E02"/>
    <w:multiLevelType w:val="hybridMultilevel"/>
    <w:tmpl w:val="1A56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4339B5"/>
    <w:multiLevelType w:val="hybridMultilevel"/>
    <w:tmpl w:val="054EBAB4"/>
    <w:lvl w:ilvl="0" w:tplc="3D265CDC">
      <w:start w:val="1"/>
      <w:numFmt w:val="bullet"/>
      <w:lvlText w:val="•"/>
      <w:lvlJc w:val="left"/>
      <w:pPr>
        <w:tabs>
          <w:tab w:val="num" w:pos="720"/>
        </w:tabs>
        <w:ind w:left="720" w:hanging="360"/>
      </w:pPr>
      <w:rPr>
        <w:rFonts w:ascii="Arial" w:hAnsi="Arial" w:hint="default"/>
      </w:rPr>
    </w:lvl>
    <w:lvl w:ilvl="1" w:tplc="CEF89990" w:tentative="1">
      <w:start w:val="1"/>
      <w:numFmt w:val="bullet"/>
      <w:lvlText w:val="•"/>
      <w:lvlJc w:val="left"/>
      <w:pPr>
        <w:tabs>
          <w:tab w:val="num" w:pos="1440"/>
        </w:tabs>
        <w:ind w:left="1440" w:hanging="360"/>
      </w:pPr>
      <w:rPr>
        <w:rFonts w:ascii="Arial" w:hAnsi="Arial" w:hint="default"/>
      </w:rPr>
    </w:lvl>
    <w:lvl w:ilvl="2" w:tplc="A6EE6D70" w:tentative="1">
      <w:start w:val="1"/>
      <w:numFmt w:val="bullet"/>
      <w:lvlText w:val="•"/>
      <w:lvlJc w:val="left"/>
      <w:pPr>
        <w:tabs>
          <w:tab w:val="num" w:pos="2160"/>
        </w:tabs>
        <w:ind w:left="2160" w:hanging="360"/>
      </w:pPr>
      <w:rPr>
        <w:rFonts w:ascii="Arial" w:hAnsi="Arial" w:hint="default"/>
      </w:rPr>
    </w:lvl>
    <w:lvl w:ilvl="3" w:tplc="D61A1EA6" w:tentative="1">
      <w:start w:val="1"/>
      <w:numFmt w:val="bullet"/>
      <w:lvlText w:val="•"/>
      <w:lvlJc w:val="left"/>
      <w:pPr>
        <w:tabs>
          <w:tab w:val="num" w:pos="2880"/>
        </w:tabs>
        <w:ind w:left="2880" w:hanging="360"/>
      </w:pPr>
      <w:rPr>
        <w:rFonts w:ascii="Arial" w:hAnsi="Arial" w:hint="default"/>
      </w:rPr>
    </w:lvl>
    <w:lvl w:ilvl="4" w:tplc="2DDEEC70" w:tentative="1">
      <w:start w:val="1"/>
      <w:numFmt w:val="bullet"/>
      <w:lvlText w:val="•"/>
      <w:lvlJc w:val="left"/>
      <w:pPr>
        <w:tabs>
          <w:tab w:val="num" w:pos="3600"/>
        </w:tabs>
        <w:ind w:left="3600" w:hanging="360"/>
      </w:pPr>
      <w:rPr>
        <w:rFonts w:ascii="Arial" w:hAnsi="Arial" w:hint="default"/>
      </w:rPr>
    </w:lvl>
    <w:lvl w:ilvl="5" w:tplc="30404CB8" w:tentative="1">
      <w:start w:val="1"/>
      <w:numFmt w:val="bullet"/>
      <w:lvlText w:val="•"/>
      <w:lvlJc w:val="left"/>
      <w:pPr>
        <w:tabs>
          <w:tab w:val="num" w:pos="4320"/>
        </w:tabs>
        <w:ind w:left="4320" w:hanging="360"/>
      </w:pPr>
      <w:rPr>
        <w:rFonts w:ascii="Arial" w:hAnsi="Arial" w:hint="default"/>
      </w:rPr>
    </w:lvl>
    <w:lvl w:ilvl="6" w:tplc="85C426E0" w:tentative="1">
      <w:start w:val="1"/>
      <w:numFmt w:val="bullet"/>
      <w:lvlText w:val="•"/>
      <w:lvlJc w:val="left"/>
      <w:pPr>
        <w:tabs>
          <w:tab w:val="num" w:pos="5040"/>
        </w:tabs>
        <w:ind w:left="5040" w:hanging="360"/>
      </w:pPr>
      <w:rPr>
        <w:rFonts w:ascii="Arial" w:hAnsi="Arial" w:hint="default"/>
      </w:rPr>
    </w:lvl>
    <w:lvl w:ilvl="7" w:tplc="D8E69854" w:tentative="1">
      <w:start w:val="1"/>
      <w:numFmt w:val="bullet"/>
      <w:lvlText w:val="•"/>
      <w:lvlJc w:val="left"/>
      <w:pPr>
        <w:tabs>
          <w:tab w:val="num" w:pos="5760"/>
        </w:tabs>
        <w:ind w:left="5760" w:hanging="360"/>
      </w:pPr>
      <w:rPr>
        <w:rFonts w:ascii="Arial" w:hAnsi="Arial" w:hint="default"/>
      </w:rPr>
    </w:lvl>
    <w:lvl w:ilvl="8" w:tplc="5698907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C04E5C"/>
    <w:multiLevelType w:val="hybridMultilevel"/>
    <w:tmpl w:val="CBB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7" w15:restartNumberingAfterBreak="0">
    <w:nsid w:val="7F9301DD"/>
    <w:multiLevelType w:val="hybridMultilevel"/>
    <w:tmpl w:val="772A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586805">
    <w:abstractNumId w:val="7"/>
  </w:num>
  <w:num w:numId="2" w16cid:durableId="1809740902">
    <w:abstractNumId w:val="33"/>
  </w:num>
  <w:num w:numId="3" w16cid:durableId="252857170">
    <w:abstractNumId w:val="42"/>
  </w:num>
  <w:num w:numId="4" w16cid:durableId="756439087">
    <w:abstractNumId w:val="8"/>
  </w:num>
  <w:num w:numId="5" w16cid:durableId="1586723511">
    <w:abstractNumId w:val="8"/>
    <w:lvlOverride w:ilvl="0">
      <w:startOverride w:val="1"/>
    </w:lvlOverride>
  </w:num>
  <w:num w:numId="6" w16cid:durableId="2086995811">
    <w:abstractNumId w:val="12"/>
  </w:num>
  <w:num w:numId="7" w16cid:durableId="1667171272">
    <w:abstractNumId w:val="29"/>
  </w:num>
  <w:num w:numId="8" w16cid:durableId="1954556719">
    <w:abstractNumId w:val="41"/>
  </w:num>
  <w:num w:numId="9" w16cid:durableId="1773667631">
    <w:abstractNumId w:val="5"/>
  </w:num>
  <w:num w:numId="10" w16cid:durableId="1576431765">
    <w:abstractNumId w:val="4"/>
  </w:num>
  <w:num w:numId="11" w16cid:durableId="1357078864">
    <w:abstractNumId w:val="3"/>
  </w:num>
  <w:num w:numId="12" w16cid:durableId="493035164">
    <w:abstractNumId w:val="2"/>
  </w:num>
  <w:num w:numId="13" w16cid:durableId="374695554">
    <w:abstractNumId w:val="6"/>
  </w:num>
  <w:num w:numId="14" w16cid:durableId="1827089805">
    <w:abstractNumId w:val="1"/>
  </w:num>
  <w:num w:numId="15" w16cid:durableId="1122770743">
    <w:abstractNumId w:val="0"/>
  </w:num>
  <w:num w:numId="16" w16cid:durableId="1026372402">
    <w:abstractNumId w:val="46"/>
  </w:num>
  <w:num w:numId="17" w16cid:durableId="1148322228">
    <w:abstractNumId w:val="15"/>
  </w:num>
  <w:num w:numId="18" w16cid:durableId="785272790">
    <w:abstractNumId w:val="16"/>
  </w:num>
  <w:num w:numId="19" w16cid:durableId="137575369">
    <w:abstractNumId w:val="23"/>
  </w:num>
  <w:num w:numId="20" w16cid:durableId="194462764">
    <w:abstractNumId w:val="25"/>
  </w:num>
  <w:num w:numId="21" w16cid:durableId="1263416570">
    <w:abstractNumId w:val="43"/>
  </w:num>
  <w:num w:numId="22" w16cid:durableId="1674798013">
    <w:abstractNumId w:val="11"/>
  </w:num>
  <w:num w:numId="23" w16cid:durableId="625895377">
    <w:abstractNumId w:val="15"/>
  </w:num>
  <w:num w:numId="24" w16cid:durableId="1450197370">
    <w:abstractNumId w:val="23"/>
  </w:num>
  <w:num w:numId="25" w16cid:durableId="519664791">
    <w:abstractNumId w:val="42"/>
  </w:num>
  <w:num w:numId="26" w16cid:durableId="1166945275">
    <w:abstractNumId w:val="8"/>
  </w:num>
  <w:num w:numId="27" w16cid:durableId="1591887504">
    <w:abstractNumId w:val="26"/>
  </w:num>
  <w:num w:numId="28" w16cid:durableId="419955072">
    <w:abstractNumId w:val="39"/>
  </w:num>
  <w:num w:numId="29" w16cid:durableId="965310472">
    <w:abstractNumId w:val="30"/>
  </w:num>
  <w:num w:numId="30" w16cid:durableId="1291864167">
    <w:abstractNumId w:val="32"/>
  </w:num>
  <w:num w:numId="31" w16cid:durableId="222913543">
    <w:abstractNumId w:val="13"/>
  </w:num>
  <w:num w:numId="32" w16cid:durableId="1720861925">
    <w:abstractNumId w:val="10"/>
  </w:num>
  <w:num w:numId="33" w16cid:durableId="186065601">
    <w:abstractNumId w:val="19"/>
  </w:num>
  <w:num w:numId="34" w16cid:durableId="692264119">
    <w:abstractNumId w:val="27"/>
  </w:num>
  <w:num w:numId="35" w16cid:durableId="1065182701">
    <w:abstractNumId w:val="40"/>
  </w:num>
  <w:num w:numId="36" w16cid:durableId="1828668843">
    <w:abstractNumId w:val="36"/>
  </w:num>
  <w:num w:numId="37" w16cid:durableId="168374335">
    <w:abstractNumId w:val="37"/>
  </w:num>
  <w:num w:numId="38" w16cid:durableId="597641949">
    <w:abstractNumId w:val="34"/>
  </w:num>
  <w:num w:numId="39" w16cid:durableId="1948928891">
    <w:abstractNumId w:val="14"/>
  </w:num>
  <w:num w:numId="40" w16cid:durableId="1519848190">
    <w:abstractNumId w:val="35"/>
  </w:num>
  <w:num w:numId="41" w16cid:durableId="623578383">
    <w:abstractNumId w:val="44"/>
  </w:num>
  <w:num w:numId="42" w16cid:durableId="1327440270">
    <w:abstractNumId w:val="24"/>
  </w:num>
  <w:num w:numId="43" w16cid:durableId="1012951602">
    <w:abstractNumId w:val="20"/>
  </w:num>
  <w:num w:numId="44" w16cid:durableId="2068607508">
    <w:abstractNumId w:val="22"/>
  </w:num>
  <w:num w:numId="45" w16cid:durableId="654720844">
    <w:abstractNumId w:val="31"/>
  </w:num>
  <w:num w:numId="46" w16cid:durableId="1013414075">
    <w:abstractNumId w:val="34"/>
  </w:num>
  <w:num w:numId="47" w16cid:durableId="1798644094">
    <w:abstractNumId w:val="34"/>
  </w:num>
  <w:num w:numId="48" w16cid:durableId="960722726">
    <w:abstractNumId w:val="34"/>
  </w:num>
  <w:num w:numId="49" w16cid:durableId="857695972">
    <w:abstractNumId w:val="45"/>
  </w:num>
  <w:num w:numId="50" w16cid:durableId="983660297">
    <w:abstractNumId w:val="38"/>
  </w:num>
  <w:num w:numId="51" w16cid:durableId="1328971772">
    <w:abstractNumId w:val="18"/>
  </w:num>
  <w:num w:numId="52" w16cid:durableId="1564100788">
    <w:abstractNumId w:val="28"/>
  </w:num>
  <w:num w:numId="53" w16cid:durableId="530151058">
    <w:abstractNumId w:val="47"/>
  </w:num>
  <w:num w:numId="54" w16cid:durableId="738862885">
    <w:abstractNumId w:val="17"/>
  </w:num>
  <w:num w:numId="55" w16cid:durableId="1275333195">
    <w:abstractNumId w:val="21"/>
  </w:num>
  <w:num w:numId="56" w16cid:durableId="1604147618">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D8"/>
    <w:rsid w:val="00003195"/>
    <w:rsid w:val="000032C7"/>
    <w:rsid w:val="00003743"/>
    <w:rsid w:val="00003C13"/>
    <w:rsid w:val="000047B4"/>
    <w:rsid w:val="00005712"/>
    <w:rsid w:val="00007FD8"/>
    <w:rsid w:val="000117F8"/>
    <w:rsid w:val="00012D70"/>
    <w:rsid w:val="0001460F"/>
    <w:rsid w:val="00022629"/>
    <w:rsid w:val="00026139"/>
    <w:rsid w:val="00027601"/>
    <w:rsid w:val="00030B3C"/>
    <w:rsid w:val="000325F3"/>
    <w:rsid w:val="00033321"/>
    <w:rsid w:val="000338E5"/>
    <w:rsid w:val="00033ECC"/>
    <w:rsid w:val="0003422F"/>
    <w:rsid w:val="0003590B"/>
    <w:rsid w:val="000363BA"/>
    <w:rsid w:val="00043693"/>
    <w:rsid w:val="00046FF0"/>
    <w:rsid w:val="00050176"/>
    <w:rsid w:val="000607B2"/>
    <w:rsid w:val="00067456"/>
    <w:rsid w:val="00071506"/>
    <w:rsid w:val="0007154F"/>
    <w:rsid w:val="000716CF"/>
    <w:rsid w:val="00073093"/>
    <w:rsid w:val="000749B8"/>
    <w:rsid w:val="000806CB"/>
    <w:rsid w:val="00081AB1"/>
    <w:rsid w:val="00086A2B"/>
    <w:rsid w:val="000871E3"/>
    <w:rsid w:val="00090316"/>
    <w:rsid w:val="00093981"/>
    <w:rsid w:val="0009506C"/>
    <w:rsid w:val="000A260F"/>
    <w:rsid w:val="000A7A74"/>
    <w:rsid w:val="000B067A"/>
    <w:rsid w:val="000B1540"/>
    <w:rsid w:val="000B1E53"/>
    <w:rsid w:val="000B33FD"/>
    <w:rsid w:val="000B3B2C"/>
    <w:rsid w:val="000B4ABA"/>
    <w:rsid w:val="000B57A2"/>
    <w:rsid w:val="000C243A"/>
    <w:rsid w:val="000C4B16"/>
    <w:rsid w:val="000C50C3"/>
    <w:rsid w:val="000C5721"/>
    <w:rsid w:val="000C5E14"/>
    <w:rsid w:val="000C6859"/>
    <w:rsid w:val="000D0BCD"/>
    <w:rsid w:val="000D21F6"/>
    <w:rsid w:val="000D2B04"/>
    <w:rsid w:val="000D316B"/>
    <w:rsid w:val="000D4500"/>
    <w:rsid w:val="000D7AEA"/>
    <w:rsid w:val="000E0A39"/>
    <w:rsid w:val="000E2C66"/>
    <w:rsid w:val="000F0659"/>
    <w:rsid w:val="000F123C"/>
    <w:rsid w:val="000F2FED"/>
    <w:rsid w:val="00101D2D"/>
    <w:rsid w:val="0010616D"/>
    <w:rsid w:val="0010683D"/>
    <w:rsid w:val="00110478"/>
    <w:rsid w:val="001141B4"/>
    <w:rsid w:val="0011711B"/>
    <w:rsid w:val="00117F8A"/>
    <w:rsid w:val="00121B9B"/>
    <w:rsid w:val="00122ADC"/>
    <w:rsid w:val="001248F2"/>
    <w:rsid w:val="0013004A"/>
    <w:rsid w:val="00130F59"/>
    <w:rsid w:val="00131D20"/>
    <w:rsid w:val="00132744"/>
    <w:rsid w:val="001332FA"/>
    <w:rsid w:val="00133EC0"/>
    <w:rsid w:val="00136520"/>
    <w:rsid w:val="00140691"/>
    <w:rsid w:val="00141CE5"/>
    <w:rsid w:val="00144908"/>
    <w:rsid w:val="001544B2"/>
    <w:rsid w:val="001571C7"/>
    <w:rsid w:val="00161094"/>
    <w:rsid w:val="0017665C"/>
    <w:rsid w:val="00177AD2"/>
    <w:rsid w:val="001815A8"/>
    <w:rsid w:val="001829D9"/>
    <w:rsid w:val="0018338B"/>
    <w:rsid w:val="001840FA"/>
    <w:rsid w:val="00184E8B"/>
    <w:rsid w:val="00190079"/>
    <w:rsid w:val="0019622E"/>
    <w:rsid w:val="001966A7"/>
    <w:rsid w:val="001A4627"/>
    <w:rsid w:val="001A4979"/>
    <w:rsid w:val="001A5442"/>
    <w:rsid w:val="001A54F8"/>
    <w:rsid w:val="001B15D3"/>
    <w:rsid w:val="001B3443"/>
    <w:rsid w:val="001C0326"/>
    <w:rsid w:val="001C192F"/>
    <w:rsid w:val="001C3C42"/>
    <w:rsid w:val="001D0BD6"/>
    <w:rsid w:val="001D397C"/>
    <w:rsid w:val="001D7869"/>
    <w:rsid w:val="001E5D7E"/>
    <w:rsid w:val="002026CD"/>
    <w:rsid w:val="002033FC"/>
    <w:rsid w:val="002044BB"/>
    <w:rsid w:val="00206FEA"/>
    <w:rsid w:val="0021006B"/>
    <w:rsid w:val="00210B09"/>
    <w:rsid w:val="00210C9E"/>
    <w:rsid w:val="002114C7"/>
    <w:rsid w:val="00211840"/>
    <w:rsid w:val="00217583"/>
    <w:rsid w:val="00220E5F"/>
    <w:rsid w:val="002212B5"/>
    <w:rsid w:val="00226668"/>
    <w:rsid w:val="002274D8"/>
    <w:rsid w:val="00227A2D"/>
    <w:rsid w:val="00233809"/>
    <w:rsid w:val="00235824"/>
    <w:rsid w:val="002374FE"/>
    <w:rsid w:val="00240046"/>
    <w:rsid w:val="00245916"/>
    <w:rsid w:val="0024797F"/>
    <w:rsid w:val="0025119E"/>
    <w:rsid w:val="00251269"/>
    <w:rsid w:val="00252D76"/>
    <w:rsid w:val="002535C0"/>
    <w:rsid w:val="002544BF"/>
    <w:rsid w:val="0025504D"/>
    <w:rsid w:val="00256596"/>
    <w:rsid w:val="002579FE"/>
    <w:rsid w:val="0026311C"/>
    <w:rsid w:val="00263C15"/>
    <w:rsid w:val="002650B4"/>
    <w:rsid w:val="0026660F"/>
    <w:rsid w:val="0026668C"/>
    <w:rsid w:val="00266AC1"/>
    <w:rsid w:val="0027178C"/>
    <w:rsid w:val="002719FA"/>
    <w:rsid w:val="00272668"/>
    <w:rsid w:val="0027330B"/>
    <w:rsid w:val="002803AD"/>
    <w:rsid w:val="00282052"/>
    <w:rsid w:val="0028485E"/>
    <w:rsid w:val="0028519E"/>
    <w:rsid w:val="002856A5"/>
    <w:rsid w:val="002872ED"/>
    <w:rsid w:val="002905C2"/>
    <w:rsid w:val="002920FE"/>
    <w:rsid w:val="002938E8"/>
    <w:rsid w:val="00295481"/>
    <w:rsid w:val="00295AF2"/>
    <w:rsid w:val="00295C91"/>
    <w:rsid w:val="00297151"/>
    <w:rsid w:val="002A1DF5"/>
    <w:rsid w:val="002A2C3A"/>
    <w:rsid w:val="002A6943"/>
    <w:rsid w:val="002B016B"/>
    <w:rsid w:val="002B20E6"/>
    <w:rsid w:val="002B42A3"/>
    <w:rsid w:val="002C07C4"/>
    <w:rsid w:val="002C0CDD"/>
    <w:rsid w:val="002C31CA"/>
    <w:rsid w:val="002C38C4"/>
    <w:rsid w:val="002D2F71"/>
    <w:rsid w:val="002D5310"/>
    <w:rsid w:val="002E1A1D"/>
    <w:rsid w:val="002E4081"/>
    <w:rsid w:val="002E4497"/>
    <w:rsid w:val="002E5B78"/>
    <w:rsid w:val="002F39B7"/>
    <w:rsid w:val="002F3AE3"/>
    <w:rsid w:val="002F3CD6"/>
    <w:rsid w:val="003009D9"/>
    <w:rsid w:val="0030464B"/>
    <w:rsid w:val="00305D17"/>
    <w:rsid w:val="0030786C"/>
    <w:rsid w:val="0032172B"/>
    <w:rsid w:val="003233DE"/>
    <w:rsid w:val="0032466B"/>
    <w:rsid w:val="00331E69"/>
    <w:rsid w:val="00332C28"/>
    <w:rsid w:val="003330EB"/>
    <w:rsid w:val="003415FD"/>
    <w:rsid w:val="003429F0"/>
    <w:rsid w:val="00345A82"/>
    <w:rsid w:val="003469B3"/>
    <w:rsid w:val="003479B1"/>
    <w:rsid w:val="0035097A"/>
    <w:rsid w:val="003540A4"/>
    <w:rsid w:val="00357BCC"/>
    <w:rsid w:val="00360E4E"/>
    <w:rsid w:val="00362529"/>
    <w:rsid w:val="00370AAA"/>
    <w:rsid w:val="0037177F"/>
    <w:rsid w:val="00373CEA"/>
    <w:rsid w:val="00375F77"/>
    <w:rsid w:val="00375FD4"/>
    <w:rsid w:val="00380789"/>
    <w:rsid w:val="00381BBE"/>
    <w:rsid w:val="00382903"/>
    <w:rsid w:val="003846FF"/>
    <w:rsid w:val="00384A02"/>
    <w:rsid w:val="00384E88"/>
    <w:rsid w:val="003857D4"/>
    <w:rsid w:val="00385AD4"/>
    <w:rsid w:val="00387924"/>
    <w:rsid w:val="00390EEC"/>
    <w:rsid w:val="00391D10"/>
    <w:rsid w:val="0039384D"/>
    <w:rsid w:val="00395C23"/>
    <w:rsid w:val="003A2E4F"/>
    <w:rsid w:val="003A4438"/>
    <w:rsid w:val="003A5013"/>
    <w:rsid w:val="003A5078"/>
    <w:rsid w:val="003A62DD"/>
    <w:rsid w:val="003A775A"/>
    <w:rsid w:val="003B213A"/>
    <w:rsid w:val="003B2506"/>
    <w:rsid w:val="003B43AD"/>
    <w:rsid w:val="003C02CB"/>
    <w:rsid w:val="003C0FEC"/>
    <w:rsid w:val="003C2AC8"/>
    <w:rsid w:val="003D033A"/>
    <w:rsid w:val="003D17F9"/>
    <w:rsid w:val="003D2D88"/>
    <w:rsid w:val="003D34B6"/>
    <w:rsid w:val="003D41EA"/>
    <w:rsid w:val="003D4850"/>
    <w:rsid w:val="003D535A"/>
    <w:rsid w:val="003E0B43"/>
    <w:rsid w:val="003E3718"/>
    <w:rsid w:val="003E5265"/>
    <w:rsid w:val="003E5E0C"/>
    <w:rsid w:val="003E7880"/>
    <w:rsid w:val="003E7946"/>
    <w:rsid w:val="003F0955"/>
    <w:rsid w:val="003F5F4D"/>
    <w:rsid w:val="003F646F"/>
    <w:rsid w:val="00400F00"/>
    <w:rsid w:val="00404F8B"/>
    <w:rsid w:val="00405256"/>
    <w:rsid w:val="004057A7"/>
    <w:rsid w:val="00410031"/>
    <w:rsid w:val="00410CBD"/>
    <w:rsid w:val="0041149B"/>
    <w:rsid w:val="00415C81"/>
    <w:rsid w:val="00430DC7"/>
    <w:rsid w:val="00432378"/>
    <w:rsid w:val="00437FC5"/>
    <w:rsid w:val="00440411"/>
    <w:rsid w:val="00440D65"/>
    <w:rsid w:val="004435E6"/>
    <w:rsid w:val="00444420"/>
    <w:rsid w:val="00447E31"/>
    <w:rsid w:val="00453923"/>
    <w:rsid w:val="00454B9B"/>
    <w:rsid w:val="00457858"/>
    <w:rsid w:val="00460B0B"/>
    <w:rsid w:val="00461023"/>
    <w:rsid w:val="00462FAC"/>
    <w:rsid w:val="00463E6D"/>
    <w:rsid w:val="00464631"/>
    <w:rsid w:val="00464B79"/>
    <w:rsid w:val="00467B5E"/>
    <w:rsid w:val="00467BBF"/>
    <w:rsid w:val="00484C16"/>
    <w:rsid w:val="0048593C"/>
    <w:rsid w:val="004867E2"/>
    <w:rsid w:val="00486CE2"/>
    <w:rsid w:val="004929A9"/>
    <w:rsid w:val="004933F0"/>
    <w:rsid w:val="0049515A"/>
    <w:rsid w:val="00497CD8"/>
    <w:rsid w:val="004A78D9"/>
    <w:rsid w:val="004B3EF3"/>
    <w:rsid w:val="004B5A85"/>
    <w:rsid w:val="004C162C"/>
    <w:rsid w:val="004C2706"/>
    <w:rsid w:val="004C529A"/>
    <w:rsid w:val="004C55A6"/>
    <w:rsid w:val="004C6BCF"/>
    <w:rsid w:val="004D21EB"/>
    <w:rsid w:val="004D4712"/>
    <w:rsid w:val="004D58BF"/>
    <w:rsid w:val="004E0EE9"/>
    <w:rsid w:val="004E23D6"/>
    <w:rsid w:val="004E4335"/>
    <w:rsid w:val="004E621B"/>
    <w:rsid w:val="004F0B21"/>
    <w:rsid w:val="004F13EE"/>
    <w:rsid w:val="004F2022"/>
    <w:rsid w:val="004F5476"/>
    <w:rsid w:val="004F579A"/>
    <w:rsid w:val="004F7C05"/>
    <w:rsid w:val="00500C1D"/>
    <w:rsid w:val="00501C94"/>
    <w:rsid w:val="00503B12"/>
    <w:rsid w:val="00506432"/>
    <w:rsid w:val="00512696"/>
    <w:rsid w:val="00514099"/>
    <w:rsid w:val="00514F80"/>
    <w:rsid w:val="005202A1"/>
    <w:rsid w:val="0052051D"/>
    <w:rsid w:val="005314E7"/>
    <w:rsid w:val="0053202F"/>
    <w:rsid w:val="00542046"/>
    <w:rsid w:val="005423A3"/>
    <w:rsid w:val="005443D9"/>
    <w:rsid w:val="00545EE6"/>
    <w:rsid w:val="0054768D"/>
    <w:rsid w:val="005518EC"/>
    <w:rsid w:val="00553300"/>
    <w:rsid w:val="0055474B"/>
    <w:rsid w:val="005550E7"/>
    <w:rsid w:val="005564FB"/>
    <w:rsid w:val="005572C7"/>
    <w:rsid w:val="005622C2"/>
    <w:rsid w:val="005650ED"/>
    <w:rsid w:val="00567B83"/>
    <w:rsid w:val="005744EA"/>
    <w:rsid w:val="00575754"/>
    <w:rsid w:val="00581FBA"/>
    <w:rsid w:val="00587C43"/>
    <w:rsid w:val="00591E20"/>
    <w:rsid w:val="00595408"/>
    <w:rsid w:val="0059564E"/>
    <w:rsid w:val="00595E84"/>
    <w:rsid w:val="00596FB1"/>
    <w:rsid w:val="00597A32"/>
    <w:rsid w:val="005A0C59"/>
    <w:rsid w:val="005A1BBC"/>
    <w:rsid w:val="005A43D4"/>
    <w:rsid w:val="005A48EB"/>
    <w:rsid w:val="005A6CFB"/>
    <w:rsid w:val="005B2E38"/>
    <w:rsid w:val="005B507E"/>
    <w:rsid w:val="005B54CC"/>
    <w:rsid w:val="005B6A57"/>
    <w:rsid w:val="005C18F9"/>
    <w:rsid w:val="005C55A8"/>
    <w:rsid w:val="005C5AEB"/>
    <w:rsid w:val="005D0055"/>
    <w:rsid w:val="005D0E5C"/>
    <w:rsid w:val="005D253A"/>
    <w:rsid w:val="005D2CC0"/>
    <w:rsid w:val="005D3B7D"/>
    <w:rsid w:val="005D650E"/>
    <w:rsid w:val="005E0A3F"/>
    <w:rsid w:val="005E6883"/>
    <w:rsid w:val="005E772F"/>
    <w:rsid w:val="005F0A6D"/>
    <w:rsid w:val="005F4ECA"/>
    <w:rsid w:val="005F7477"/>
    <w:rsid w:val="006036A3"/>
    <w:rsid w:val="006041BE"/>
    <w:rsid w:val="006043C7"/>
    <w:rsid w:val="00607F5F"/>
    <w:rsid w:val="00612C16"/>
    <w:rsid w:val="00617827"/>
    <w:rsid w:val="00624B52"/>
    <w:rsid w:val="00624C2A"/>
    <w:rsid w:val="00625BD8"/>
    <w:rsid w:val="00626CE8"/>
    <w:rsid w:val="00627E56"/>
    <w:rsid w:val="00630794"/>
    <w:rsid w:val="00631DF4"/>
    <w:rsid w:val="00634175"/>
    <w:rsid w:val="006408AC"/>
    <w:rsid w:val="00647539"/>
    <w:rsid w:val="00650D96"/>
    <w:rsid w:val="006511B6"/>
    <w:rsid w:val="006559AF"/>
    <w:rsid w:val="00657FF8"/>
    <w:rsid w:val="00661DE1"/>
    <w:rsid w:val="00662057"/>
    <w:rsid w:val="00664BFD"/>
    <w:rsid w:val="00670C28"/>
    <w:rsid w:val="00670D99"/>
    <w:rsid w:val="00670E2B"/>
    <w:rsid w:val="006724E9"/>
    <w:rsid w:val="006734BB"/>
    <w:rsid w:val="006736D9"/>
    <w:rsid w:val="00674FD9"/>
    <w:rsid w:val="0067697A"/>
    <w:rsid w:val="00676CD4"/>
    <w:rsid w:val="00677B29"/>
    <w:rsid w:val="00677F66"/>
    <w:rsid w:val="0068134A"/>
    <w:rsid w:val="006821EB"/>
    <w:rsid w:val="006821EC"/>
    <w:rsid w:val="006873C0"/>
    <w:rsid w:val="006916BE"/>
    <w:rsid w:val="00692F10"/>
    <w:rsid w:val="006A136D"/>
    <w:rsid w:val="006A2C64"/>
    <w:rsid w:val="006B1044"/>
    <w:rsid w:val="006B1E21"/>
    <w:rsid w:val="006B2286"/>
    <w:rsid w:val="006B3DA7"/>
    <w:rsid w:val="006B56BB"/>
    <w:rsid w:val="006B7C1B"/>
    <w:rsid w:val="006C179C"/>
    <w:rsid w:val="006C4DF3"/>
    <w:rsid w:val="006C77A8"/>
    <w:rsid w:val="006D05D3"/>
    <w:rsid w:val="006D4098"/>
    <w:rsid w:val="006D5FD8"/>
    <w:rsid w:val="006D7681"/>
    <w:rsid w:val="006D7B2E"/>
    <w:rsid w:val="006E02EA"/>
    <w:rsid w:val="006E0968"/>
    <w:rsid w:val="006E26ED"/>
    <w:rsid w:val="006E2AF6"/>
    <w:rsid w:val="006E5E8F"/>
    <w:rsid w:val="006E71CE"/>
    <w:rsid w:val="006F076A"/>
    <w:rsid w:val="006F7697"/>
    <w:rsid w:val="00701275"/>
    <w:rsid w:val="00707F56"/>
    <w:rsid w:val="00713558"/>
    <w:rsid w:val="00720D08"/>
    <w:rsid w:val="00722450"/>
    <w:rsid w:val="007263B9"/>
    <w:rsid w:val="00730E51"/>
    <w:rsid w:val="00731DE4"/>
    <w:rsid w:val="007334F8"/>
    <w:rsid w:val="007339CD"/>
    <w:rsid w:val="007359D8"/>
    <w:rsid w:val="007362D4"/>
    <w:rsid w:val="007375FA"/>
    <w:rsid w:val="00741A57"/>
    <w:rsid w:val="007448E0"/>
    <w:rsid w:val="00746DEC"/>
    <w:rsid w:val="00747DA4"/>
    <w:rsid w:val="007536A6"/>
    <w:rsid w:val="00760783"/>
    <w:rsid w:val="00762699"/>
    <w:rsid w:val="00762CFF"/>
    <w:rsid w:val="0076672A"/>
    <w:rsid w:val="0077404F"/>
    <w:rsid w:val="00775E45"/>
    <w:rsid w:val="007764FE"/>
    <w:rsid w:val="00776E74"/>
    <w:rsid w:val="00785169"/>
    <w:rsid w:val="0078551E"/>
    <w:rsid w:val="007954AB"/>
    <w:rsid w:val="00797883"/>
    <w:rsid w:val="007A14C5"/>
    <w:rsid w:val="007A2837"/>
    <w:rsid w:val="007A4A10"/>
    <w:rsid w:val="007A6205"/>
    <w:rsid w:val="007B1760"/>
    <w:rsid w:val="007B2A4E"/>
    <w:rsid w:val="007B43B5"/>
    <w:rsid w:val="007B48C5"/>
    <w:rsid w:val="007B4E37"/>
    <w:rsid w:val="007C1FDC"/>
    <w:rsid w:val="007C59DB"/>
    <w:rsid w:val="007C6D9C"/>
    <w:rsid w:val="007C7DDB"/>
    <w:rsid w:val="007D2CC7"/>
    <w:rsid w:val="007D673D"/>
    <w:rsid w:val="007E1E47"/>
    <w:rsid w:val="007E4D09"/>
    <w:rsid w:val="007E78E7"/>
    <w:rsid w:val="007F2220"/>
    <w:rsid w:val="007F430B"/>
    <w:rsid w:val="007F4B3E"/>
    <w:rsid w:val="008046A4"/>
    <w:rsid w:val="0080560B"/>
    <w:rsid w:val="008127AF"/>
    <w:rsid w:val="00812B46"/>
    <w:rsid w:val="00815700"/>
    <w:rsid w:val="00815E69"/>
    <w:rsid w:val="00817F48"/>
    <w:rsid w:val="00822E2D"/>
    <w:rsid w:val="008264EB"/>
    <w:rsid w:val="00826B8F"/>
    <w:rsid w:val="0083107F"/>
    <w:rsid w:val="008316DD"/>
    <w:rsid w:val="00831E8A"/>
    <w:rsid w:val="00832F52"/>
    <w:rsid w:val="00835C76"/>
    <w:rsid w:val="008376E2"/>
    <w:rsid w:val="00842A9F"/>
    <w:rsid w:val="00843049"/>
    <w:rsid w:val="00847DFD"/>
    <w:rsid w:val="00850D7C"/>
    <w:rsid w:val="0085209B"/>
    <w:rsid w:val="00856ADD"/>
    <w:rsid w:val="00856B66"/>
    <w:rsid w:val="008601AC"/>
    <w:rsid w:val="00861A5F"/>
    <w:rsid w:val="008644AD"/>
    <w:rsid w:val="00864717"/>
    <w:rsid w:val="00865735"/>
    <w:rsid w:val="00865DDB"/>
    <w:rsid w:val="00867538"/>
    <w:rsid w:val="00873D90"/>
    <w:rsid w:val="00873FC8"/>
    <w:rsid w:val="00875734"/>
    <w:rsid w:val="00884C63"/>
    <w:rsid w:val="00885908"/>
    <w:rsid w:val="0088631D"/>
    <w:rsid w:val="008864B7"/>
    <w:rsid w:val="0089677E"/>
    <w:rsid w:val="008A468D"/>
    <w:rsid w:val="008A7438"/>
    <w:rsid w:val="008B1285"/>
    <w:rsid w:val="008B1334"/>
    <w:rsid w:val="008B1BFD"/>
    <w:rsid w:val="008B25C7"/>
    <w:rsid w:val="008C0278"/>
    <w:rsid w:val="008C2338"/>
    <w:rsid w:val="008C24E9"/>
    <w:rsid w:val="008C4D57"/>
    <w:rsid w:val="008D0533"/>
    <w:rsid w:val="008D1456"/>
    <w:rsid w:val="008D3EFC"/>
    <w:rsid w:val="008D41D1"/>
    <w:rsid w:val="008D42CB"/>
    <w:rsid w:val="008D48C9"/>
    <w:rsid w:val="008D6381"/>
    <w:rsid w:val="008E0C77"/>
    <w:rsid w:val="008E15B0"/>
    <w:rsid w:val="008E1AC1"/>
    <w:rsid w:val="008E625F"/>
    <w:rsid w:val="008F264D"/>
    <w:rsid w:val="00903346"/>
    <w:rsid w:val="009040E9"/>
    <w:rsid w:val="00905A3A"/>
    <w:rsid w:val="00906E5A"/>
    <w:rsid w:val="009074E1"/>
    <w:rsid w:val="00907551"/>
    <w:rsid w:val="009112F7"/>
    <w:rsid w:val="009122AF"/>
    <w:rsid w:val="00912D54"/>
    <w:rsid w:val="0091389F"/>
    <w:rsid w:val="0092008C"/>
    <w:rsid w:val="009208F7"/>
    <w:rsid w:val="00920D33"/>
    <w:rsid w:val="00921649"/>
    <w:rsid w:val="00922517"/>
    <w:rsid w:val="00922722"/>
    <w:rsid w:val="009261E6"/>
    <w:rsid w:val="009268E1"/>
    <w:rsid w:val="009344DE"/>
    <w:rsid w:val="009446ED"/>
    <w:rsid w:val="00945E7F"/>
    <w:rsid w:val="00947AC5"/>
    <w:rsid w:val="009557C1"/>
    <w:rsid w:val="0095683C"/>
    <w:rsid w:val="00960D6E"/>
    <w:rsid w:val="00971D39"/>
    <w:rsid w:val="009724AB"/>
    <w:rsid w:val="00974B59"/>
    <w:rsid w:val="0098122D"/>
    <w:rsid w:val="0098340B"/>
    <w:rsid w:val="009840A0"/>
    <w:rsid w:val="00984947"/>
    <w:rsid w:val="0098588C"/>
    <w:rsid w:val="00986830"/>
    <w:rsid w:val="009924C3"/>
    <w:rsid w:val="00993102"/>
    <w:rsid w:val="00996463"/>
    <w:rsid w:val="009A0E19"/>
    <w:rsid w:val="009B10B7"/>
    <w:rsid w:val="009B1570"/>
    <w:rsid w:val="009B4B4D"/>
    <w:rsid w:val="009C3DE7"/>
    <w:rsid w:val="009C6F10"/>
    <w:rsid w:val="009D0F14"/>
    <w:rsid w:val="009D148F"/>
    <w:rsid w:val="009D3D70"/>
    <w:rsid w:val="009E3784"/>
    <w:rsid w:val="009E45FF"/>
    <w:rsid w:val="009E6F7E"/>
    <w:rsid w:val="009E7A57"/>
    <w:rsid w:val="009F0FFD"/>
    <w:rsid w:val="009F4803"/>
    <w:rsid w:val="009F4F6A"/>
    <w:rsid w:val="00A13EB5"/>
    <w:rsid w:val="00A1675E"/>
    <w:rsid w:val="00A16E36"/>
    <w:rsid w:val="00A2027E"/>
    <w:rsid w:val="00A24961"/>
    <w:rsid w:val="00A24B10"/>
    <w:rsid w:val="00A277EF"/>
    <w:rsid w:val="00A304BE"/>
    <w:rsid w:val="00A30E9B"/>
    <w:rsid w:val="00A331FB"/>
    <w:rsid w:val="00A343C7"/>
    <w:rsid w:val="00A42018"/>
    <w:rsid w:val="00A42E7B"/>
    <w:rsid w:val="00A43763"/>
    <w:rsid w:val="00A4512D"/>
    <w:rsid w:val="00A50244"/>
    <w:rsid w:val="00A551F4"/>
    <w:rsid w:val="00A627D7"/>
    <w:rsid w:val="00A656C7"/>
    <w:rsid w:val="00A705AF"/>
    <w:rsid w:val="00A72454"/>
    <w:rsid w:val="00A77696"/>
    <w:rsid w:val="00A80557"/>
    <w:rsid w:val="00A81D33"/>
    <w:rsid w:val="00A8341C"/>
    <w:rsid w:val="00A85E24"/>
    <w:rsid w:val="00A930AE"/>
    <w:rsid w:val="00A9524C"/>
    <w:rsid w:val="00AA1A95"/>
    <w:rsid w:val="00AA260F"/>
    <w:rsid w:val="00AA6503"/>
    <w:rsid w:val="00AA6A01"/>
    <w:rsid w:val="00AB1EE7"/>
    <w:rsid w:val="00AB4B37"/>
    <w:rsid w:val="00AB5762"/>
    <w:rsid w:val="00AC24B7"/>
    <w:rsid w:val="00AC2679"/>
    <w:rsid w:val="00AC4BE4"/>
    <w:rsid w:val="00AC6B69"/>
    <w:rsid w:val="00AC6DC6"/>
    <w:rsid w:val="00AD05E6"/>
    <w:rsid w:val="00AD0D3F"/>
    <w:rsid w:val="00AD2599"/>
    <w:rsid w:val="00AE1D7D"/>
    <w:rsid w:val="00AE2A8B"/>
    <w:rsid w:val="00AE3F64"/>
    <w:rsid w:val="00AE563F"/>
    <w:rsid w:val="00AE6CB7"/>
    <w:rsid w:val="00AF0368"/>
    <w:rsid w:val="00AF4D2E"/>
    <w:rsid w:val="00AF7386"/>
    <w:rsid w:val="00AF7934"/>
    <w:rsid w:val="00B00B81"/>
    <w:rsid w:val="00B02E11"/>
    <w:rsid w:val="00B04580"/>
    <w:rsid w:val="00B04B09"/>
    <w:rsid w:val="00B07E67"/>
    <w:rsid w:val="00B10A46"/>
    <w:rsid w:val="00B16A51"/>
    <w:rsid w:val="00B22D72"/>
    <w:rsid w:val="00B25823"/>
    <w:rsid w:val="00B2602E"/>
    <w:rsid w:val="00B26D95"/>
    <w:rsid w:val="00B30386"/>
    <w:rsid w:val="00B32222"/>
    <w:rsid w:val="00B35A8D"/>
    <w:rsid w:val="00B3618D"/>
    <w:rsid w:val="00B36233"/>
    <w:rsid w:val="00B42851"/>
    <w:rsid w:val="00B45AC7"/>
    <w:rsid w:val="00B533B5"/>
    <w:rsid w:val="00B5372F"/>
    <w:rsid w:val="00B54577"/>
    <w:rsid w:val="00B5647F"/>
    <w:rsid w:val="00B61129"/>
    <w:rsid w:val="00B677A2"/>
    <w:rsid w:val="00B67E7F"/>
    <w:rsid w:val="00B71079"/>
    <w:rsid w:val="00B74224"/>
    <w:rsid w:val="00B75C92"/>
    <w:rsid w:val="00B839B2"/>
    <w:rsid w:val="00B93641"/>
    <w:rsid w:val="00B94252"/>
    <w:rsid w:val="00B95C9B"/>
    <w:rsid w:val="00B9715A"/>
    <w:rsid w:val="00BA14BE"/>
    <w:rsid w:val="00BA2732"/>
    <w:rsid w:val="00BA293D"/>
    <w:rsid w:val="00BA4216"/>
    <w:rsid w:val="00BA49BC"/>
    <w:rsid w:val="00BA56B7"/>
    <w:rsid w:val="00BA6161"/>
    <w:rsid w:val="00BA7A1E"/>
    <w:rsid w:val="00BB2F6C"/>
    <w:rsid w:val="00BB3875"/>
    <w:rsid w:val="00BB5860"/>
    <w:rsid w:val="00BB6AAD"/>
    <w:rsid w:val="00BC26DB"/>
    <w:rsid w:val="00BC4A19"/>
    <w:rsid w:val="00BC4E6D"/>
    <w:rsid w:val="00BC5A62"/>
    <w:rsid w:val="00BC60A9"/>
    <w:rsid w:val="00BD0617"/>
    <w:rsid w:val="00BD2E9B"/>
    <w:rsid w:val="00BD7929"/>
    <w:rsid w:val="00BD7FB2"/>
    <w:rsid w:val="00BE0B98"/>
    <w:rsid w:val="00BE5A23"/>
    <w:rsid w:val="00BF2CE3"/>
    <w:rsid w:val="00C00930"/>
    <w:rsid w:val="00C02701"/>
    <w:rsid w:val="00C060AD"/>
    <w:rsid w:val="00C113BF"/>
    <w:rsid w:val="00C15CFD"/>
    <w:rsid w:val="00C2176E"/>
    <w:rsid w:val="00C23430"/>
    <w:rsid w:val="00C246D0"/>
    <w:rsid w:val="00C27D67"/>
    <w:rsid w:val="00C363E0"/>
    <w:rsid w:val="00C41A50"/>
    <w:rsid w:val="00C4631F"/>
    <w:rsid w:val="00C47CDE"/>
    <w:rsid w:val="00C47D6A"/>
    <w:rsid w:val="00C47FD1"/>
    <w:rsid w:val="00C50E16"/>
    <w:rsid w:val="00C50E9A"/>
    <w:rsid w:val="00C55258"/>
    <w:rsid w:val="00C606DF"/>
    <w:rsid w:val="00C82EEB"/>
    <w:rsid w:val="00C93F4C"/>
    <w:rsid w:val="00C971DC"/>
    <w:rsid w:val="00CA16B7"/>
    <w:rsid w:val="00CA556A"/>
    <w:rsid w:val="00CA62AE"/>
    <w:rsid w:val="00CB5B1A"/>
    <w:rsid w:val="00CC1C36"/>
    <w:rsid w:val="00CC220B"/>
    <w:rsid w:val="00CC5C43"/>
    <w:rsid w:val="00CD02AE"/>
    <w:rsid w:val="00CD2A4F"/>
    <w:rsid w:val="00CD7233"/>
    <w:rsid w:val="00CE03CA"/>
    <w:rsid w:val="00CE22F1"/>
    <w:rsid w:val="00CE4478"/>
    <w:rsid w:val="00CE50F2"/>
    <w:rsid w:val="00CE6502"/>
    <w:rsid w:val="00CF0D8F"/>
    <w:rsid w:val="00CF12A5"/>
    <w:rsid w:val="00CF2331"/>
    <w:rsid w:val="00CF7D3C"/>
    <w:rsid w:val="00D01F09"/>
    <w:rsid w:val="00D056B0"/>
    <w:rsid w:val="00D072CC"/>
    <w:rsid w:val="00D128A2"/>
    <w:rsid w:val="00D14316"/>
    <w:rsid w:val="00D147EB"/>
    <w:rsid w:val="00D30C4C"/>
    <w:rsid w:val="00D328A2"/>
    <w:rsid w:val="00D3317A"/>
    <w:rsid w:val="00D34667"/>
    <w:rsid w:val="00D401E1"/>
    <w:rsid w:val="00D408B4"/>
    <w:rsid w:val="00D450F4"/>
    <w:rsid w:val="00D524C8"/>
    <w:rsid w:val="00D5255A"/>
    <w:rsid w:val="00D5592D"/>
    <w:rsid w:val="00D6077C"/>
    <w:rsid w:val="00D70E24"/>
    <w:rsid w:val="00D72B61"/>
    <w:rsid w:val="00D72E48"/>
    <w:rsid w:val="00D73225"/>
    <w:rsid w:val="00D75D4C"/>
    <w:rsid w:val="00D7615D"/>
    <w:rsid w:val="00D82F41"/>
    <w:rsid w:val="00D83C23"/>
    <w:rsid w:val="00DA01C5"/>
    <w:rsid w:val="00DA3D1D"/>
    <w:rsid w:val="00DB1906"/>
    <w:rsid w:val="00DB6286"/>
    <w:rsid w:val="00DB645F"/>
    <w:rsid w:val="00DB70BE"/>
    <w:rsid w:val="00DB769E"/>
    <w:rsid w:val="00DB76E9"/>
    <w:rsid w:val="00DC01D1"/>
    <w:rsid w:val="00DC067D"/>
    <w:rsid w:val="00DC0A67"/>
    <w:rsid w:val="00DC1D5E"/>
    <w:rsid w:val="00DC1EB8"/>
    <w:rsid w:val="00DC5220"/>
    <w:rsid w:val="00DD2061"/>
    <w:rsid w:val="00DD5543"/>
    <w:rsid w:val="00DD7DAB"/>
    <w:rsid w:val="00DE3275"/>
    <w:rsid w:val="00DE3355"/>
    <w:rsid w:val="00DE6AD6"/>
    <w:rsid w:val="00DF0C60"/>
    <w:rsid w:val="00DF1A3F"/>
    <w:rsid w:val="00DF486F"/>
    <w:rsid w:val="00DF5003"/>
    <w:rsid w:val="00DF5B5B"/>
    <w:rsid w:val="00DF7619"/>
    <w:rsid w:val="00DF7813"/>
    <w:rsid w:val="00E00989"/>
    <w:rsid w:val="00E00E37"/>
    <w:rsid w:val="00E0405E"/>
    <w:rsid w:val="00E042D8"/>
    <w:rsid w:val="00E07EE7"/>
    <w:rsid w:val="00E106E3"/>
    <w:rsid w:val="00E1103B"/>
    <w:rsid w:val="00E13C4A"/>
    <w:rsid w:val="00E16E02"/>
    <w:rsid w:val="00E17B44"/>
    <w:rsid w:val="00E20F27"/>
    <w:rsid w:val="00E22443"/>
    <w:rsid w:val="00E277BC"/>
    <w:rsid w:val="00E2785A"/>
    <w:rsid w:val="00E27FEA"/>
    <w:rsid w:val="00E4063B"/>
    <w:rsid w:val="00E4086F"/>
    <w:rsid w:val="00E4237B"/>
    <w:rsid w:val="00E42F99"/>
    <w:rsid w:val="00E43B3C"/>
    <w:rsid w:val="00E45349"/>
    <w:rsid w:val="00E47E03"/>
    <w:rsid w:val="00E50188"/>
    <w:rsid w:val="00E50BB3"/>
    <w:rsid w:val="00E50FC1"/>
    <w:rsid w:val="00E515CB"/>
    <w:rsid w:val="00E52260"/>
    <w:rsid w:val="00E52D20"/>
    <w:rsid w:val="00E54FE8"/>
    <w:rsid w:val="00E6008F"/>
    <w:rsid w:val="00E60CF1"/>
    <w:rsid w:val="00E639B6"/>
    <w:rsid w:val="00E6434B"/>
    <w:rsid w:val="00E643B4"/>
    <w:rsid w:val="00E6463D"/>
    <w:rsid w:val="00E6740A"/>
    <w:rsid w:val="00E67C4F"/>
    <w:rsid w:val="00E71EFB"/>
    <w:rsid w:val="00E72E9B"/>
    <w:rsid w:val="00E774D3"/>
    <w:rsid w:val="00E8075A"/>
    <w:rsid w:val="00E84383"/>
    <w:rsid w:val="00E850C3"/>
    <w:rsid w:val="00E85528"/>
    <w:rsid w:val="00E87BB5"/>
    <w:rsid w:val="00E87DF2"/>
    <w:rsid w:val="00E92C99"/>
    <w:rsid w:val="00E9462E"/>
    <w:rsid w:val="00E96198"/>
    <w:rsid w:val="00EA1071"/>
    <w:rsid w:val="00EA470E"/>
    <w:rsid w:val="00EA47A7"/>
    <w:rsid w:val="00EA57EB"/>
    <w:rsid w:val="00EB1E7C"/>
    <w:rsid w:val="00EB3226"/>
    <w:rsid w:val="00EC1382"/>
    <w:rsid w:val="00EC213A"/>
    <w:rsid w:val="00EC7744"/>
    <w:rsid w:val="00ED0DAD"/>
    <w:rsid w:val="00ED0F46"/>
    <w:rsid w:val="00ED174D"/>
    <w:rsid w:val="00ED2373"/>
    <w:rsid w:val="00ED66B2"/>
    <w:rsid w:val="00EE3E8A"/>
    <w:rsid w:val="00EE512F"/>
    <w:rsid w:val="00EF2429"/>
    <w:rsid w:val="00EF58B8"/>
    <w:rsid w:val="00EF6DAB"/>
    <w:rsid w:val="00EF6ECA"/>
    <w:rsid w:val="00EF77C7"/>
    <w:rsid w:val="00EF7CF5"/>
    <w:rsid w:val="00F024E1"/>
    <w:rsid w:val="00F06C10"/>
    <w:rsid w:val="00F1096F"/>
    <w:rsid w:val="00F11F67"/>
    <w:rsid w:val="00F12589"/>
    <w:rsid w:val="00F12595"/>
    <w:rsid w:val="00F134D9"/>
    <w:rsid w:val="00F1403D"/>
    <w:rsid w:val="00F1463F"/>
    <w:rsid w:val="00F210BD"/>
    <w:rsid w:val="00F21302"/>
    <w:rsid w:val="00F219F9"/>
    <w:rsid w:val="00F24E6A"/>
    <w:rsid w:val="00F2544C"/>
    <w:rsid w:val="00F25ABE"/>
    <w:rsid w:val="00F321DE"/>
    <w:rsid w:val="00F322EF"/>
    <w:rsid w:val="00F33327"/>
    <w:rsid w:val="00F33777"/>
    <w:rsid w:val="00F33F21"/>
    <w:rsid w:val="00F35D98"/>
    <w:rsid w:val="00F40648"/>
    <w:rsid w:val="00F450A9"/>
    <w:rsid w:val="00F47DA2"/>
    <w:rsid w:val="00F519FC"/>
    <w:rsid w:val="00F6193F"/>
    <w:rsid w:val="00F6239D"/>
    <w:rsid w:val="00F624C3"/>
    <w:rsid w:val="00F64650"/>
    <w:rsid w:val="00F671E0"/>
    <w:rsid w:val="00F70FD3"/>
    <w:rsid w:val="00F715D2"/>
    <w:rsid w:val="00F71A8C"/>
    <w:rsid w:val="00F7274F"/>
    <w:rsid w:val="00F74E84"/>
    <w:rsid w:val="00F7587C"/>
    <w:rsid w:val="00F76FA8"/>
    <w:rsid w:val="00F87538"/>
    <w:rsid w:val="00F91068"/>
    <w:rsid w:val="00F93F08"/>
    <w:rsid w:val="00F948F3"/>
    <w:rsid w:val="00F94CED"/>
    <w:rsid w:val="00F97403"/>
    <w:rsid w:val="00FA02BB"/>
    <w:rsid w:val="00FA2CEE"/>
    <w:rsid w:val="00FA318C"/>
    <w:rsid w:val="00FB1F1A"/>
    <w:rsid w:val="00FB6BA0"/>
    <w:rsid w:val="00FB6F92"/>
    <w:rsid w:val="00FB7859"/>
    <w:rsid w:val="00FC026E"/>
    <w:rsid w:val="00FC0C67"/>
    <w:rsid w:val="00FC5124"/>
    <w:rsid w:val="00FC7E60"/>
    <w:rsid w:val="00FD4731"/>
    <w:rsid w:val="00FD6768"/>
    <w:rsid w:val="00FD6FC2"/>
    <w:rsid w:val="00FE7A6F"/>
    <w:rsid w:val="00FF0AB0"/>
    <w:rsid w:val="00FF28AC"/>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7A74"/>
    <w:pPr>
      <w:spacing w:before="120" w:after="120"/>
    </w:pPr>
    <w:rPr>
      <w:rFonts w:ascii="Arial" w:hAnsi="Arial"/>
      <w:sz w:val="22"/>
      <w:szCs w:val="24"/>
      <w:lang w:eastAsia="en-US"/>
    </w:rPr>
  </w:style>
  <w:style w:type="paragraph" w:styleId="Heading1">
    <w:name w:val="heading 1"/>
    <w:basedOn w:val="Normal"/>
    <w:next w:val="Normal"/>
    <w:qFormat/>
    <w:rsid w:val="000A7A74"/>
    <w:pPr>
      <w:keepNext/>
      <w:outlineLvl w:val="0"/>
    </w:pPr>
    <w:rPr>
      <w:rFonts w:cs="Arial"/>
      <w:bCs/>
      <w:color w:val="358189" w:themeColor="accent2"/>
      <w:kern w:val="28"/>
      <w:sz w:val="36"/>
      <w:szCs w:val="36"/>
    </w:rPr>
  </w:style>
  <w:style w:type="paragraph" w:styleId="Heading2">
    <w:name w:val="heading 2"/>
    <w:basedOn w:val="Heading1"/>
    <w:next w:val="Normal"/>
    <w:link w:val="Heading2Char"/>
    <w:qFormat/>
    <w:rsid w:val="000A7A74"/>
    <w:pPr>
      <w:outlineLvl w:val="1"/>
    </w:pPr>
    <w:rPr>
      <w:bCs w:val="0"/>
      <w:iCs/>
      <w:color w:val="3F4A75" w:themeColor="text2"/>
      <w:sz w:val="28"/>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0A7A74"/>
    <w:pPr>
      <w:numPr>
        <w:numId w:val="23"/>
      </w:numPr>
      <w:spacing w:before="0" w:after="0"/>
      <w:ind w:left="357" w:hanging="357"/>
      <w:contextualSpacing/>
    </w:pPr>
    <w:rPr>
      <w:color w:val="000000" w:themeColor="text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741A57"/>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2A2C3A"/>
    <w:rPr>
      <w:color w:val="605E5C"/>
      <w:shd w:val="clear" w:color="auto" w:fill="E1DFDD"/>
    </w:rPr>
  </w:style>
  <w:style w:type="character" w:customStyle="1" w:styleId="UnresolvedMention2">
    <w:name w:val="Unresolved Mention2"/>
    <w:basedOn w:val="DefaultParagraphFont"/>
    <w:uiPriority w:val="99"/>
    <w:semiHidden/>
    <w:unhideWhenUsed/>
    <w:rsid w:val="00A304BE"/>
    <w:rPr>
      <w:color w:val="605E5C"/>
      <w:shd w:val="clear" w:color="auto" w:fill="E1DFDD"/>
    </w:rPr>
  </w:style>
  <w:style w:type="character" w:styleId="FollowedHyperlink">
    <w:name w:val="FollowedHyperlink"/>
    <w:basedOn w:val="DefaultParagraphFont"/>
    <w:semiHidden/>
    <w:unhideWhenUsed/>
    <w:rsid w:val="00073093"/>
    <w:rPr>
      <w:color w:val="800080" w:themeColor="followedHyperlink"/>
      <w:u w:val="single"/>
    </w:rPr>
  </w:style>
  <w:style w:type="character" w:customStyle="1" w:styleId="UnresolvedMention3">
    <w:name w:val="Unresolved Mention3"/>
    <w:basedOn w:val="DefaultParagraphFont"/>
    <w:uiPriority w:val="99"/>
    <w:semiHidden/>
    <w:unhideWhenUsed/>
    <w:rsid w:val="00647539"/>
    <w:rPr>
      <w:color w:val="605E5C"/>
      <w:shd w:val="clear" w:color="auto" w:fill="E1DFDD"/>
    </w:rPr>
  </w:style>
  <w:style w:type="character" w:styleId="UnresolvedMention">
    <w:name w:val="Unresolved Mention"/>
    <w:basedOn w:val="DefaultParagraphFont"/>
    <w:uiPriority w:val="99"/>
    <w:semiHidden/>
    <w:unhideWhenUsed/>
    <w:rsid w:val="00850D7C"/>
    <w:rPr>
      <w:color w:val="605E5C"/>
      <w:shd w:val="clear" w:color="auto" w:fill="E1DFDD"/>
    </w:rPr>
  </w:style>
  <w:style w:type="character" w:customStyle="1" w:styleId="Heading2Char">
    <w:name w:val="Heading 2 Char"/>
    <w:basedOn w:val="DefaultParagraphFont"/>
    <w:link w:val="Heading2"/>
    <w:rsid w:val="00F322EF"/>
    <w:rPr>
      <w:rFonts w:ascii="Arial" w:hAnsi="Arial" w:cs="Arial"/>
      <w:iCs/>
      <w:color w:val="3F4A75" w:themeColor="text2"/>
      <w:kern w:val="28"/>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4644">
      <w:bodyDiv w:val="1"/>
      <w:marLeft w:val="0"/>
      <w:marRight w:val="0"/>
      <w:marTop w:val="0"/>
      <w:marBottom w:val="0"/>
      <w:divBdr>
        <w:top w:val="none" w:sz="0" w:space="0" w:color="auto"/>
        <w:left w:val="none" w:sz="0" w:space="0" w:color="auto"/>
        <w:bottom w:val="none" w:sz="0" w:space="0" w:color="auto"/>
        <w:right w:val="none" w:sz="0" w:space="0" w:color="auto"/>
      </w:divBdr>
      <w:divsChild>
        <w:div w:id="673921601">
          <w:marLeft w:val="360"/>
          <w:marRight w:val="0"/>
          <w:marTop w:val="200"/>
          <w:marBottom w:val="0"/>
          <w:divBdr>
            <w:top w:val="none" w:sz="0" w:space="0" w:color="auto"/>
            <w:left w:val="none" w:sz="0" w:space="0" w:color="auto"/>
            <w:bottom w:val="none" w:sz="0" w:space="0" w:color="auto"/>
            <w:right w:val="none" w:sz="0" w:space="0" w:color="auto"/>
          </w:divBdr>
        </w:div>
        <w:div w:id="586771083">
          <w:marLeft w:val="360"/>
          <w:marRight w:val="0"/>
          <w:marTop w:val="200"/>
          <w:marBottom w:val="0"/>
          <w:divBdr>
            <w:top w:val="none" w:sz="0" w:space="0" w:color="auto"/>
            <w:left w:val="none" w:sz="0" w:space="0" w:color="auto"/>
            <w:bottom w:val="none" w:sz="0" w:space="0" w:color="auto"/>
            <w:right w:val="none" w:sz="0" w:space="0" w:color="auto"/>
          </w:divBdr>
        </w:div>
        <w:div w:id="1434476264">
          <w:marLeft w:val="360"/>
          <w:marRight w:val="0"/>
          <w:marTop w:val="200"/>
          <w:marBottom w:val="0"/>
          <w:divBdr>
            <w:top w:val="none" w:sz="0" w:space="0" w:color="auto"/>
            <w:left w:val="none" w:sz="0" w:space="0" w:color="auto"/>
            <w:bottom w:val="none" w:sz="0" w:space="0" w:color="auto"/>
            <w:right w:val="none" w:sz="0" w:space="0" w:color="auto"/>
          </w:divBdr>
        </w:div>
        <w:div w:id="911234364">
          <w:marLeft w:val="360"/>
          <w:marRight w:val="0"/>
          <w:marTop w:val="200"/>
          <w:marBottom w:val="0"/>
          <w:divBdr>
            <w:top w:val="none" w:sz="0" w:space="0" w:color="auto"/>
            <w:left w:val="none" w:sz="0" w:space="0" w:color="auto"/>
            <w:bottom w:val="none" w:sz="0" w:space="0" w:color="auto"/>
            <w:right w:val="none" w:sz="0" w:space="0" w:color="auto"/>
          </w:divBdr>
        </w:div>
        <w:div w:id="1014723019">
          <w:marLeft w:val="360"/>
          <w:marRight w:val="0"/>
          <w:marTop w:val="200"/>
          <w:marBottom w:val="0"/>
          <w:divBdr>
            <w:top w:val="none" w:sz="0" w:space="0" w:color="auto"/>
            <w:left w:val="none" w:sz="0" w:space="0" w:color="auto"/>
            <w:bottom w:val="none" w:sz="0" w:space="0" w:color="auto"/>
            <w:right w:val="none" w:sz="0" w:space="0" w:color="auto"/>
          </w:divBdr>
        </w:div>
        <w:div w:id="1730418909">
          <w:marLeft w:val="360"/>
          <w:marRight w:val="0"/>
          <w:marTop w:val="200"/>
          <w:marBottom w:val="0"/>
          <w:divBdr>
            <w:top w:val="none" w:sz="0" w:space="0" w:color="auto"/>
            <w:left w:val="none" w:sz="0" w:space="0" w:color="auto"/>
            <w:bottom w:val="none" w:sz="0" w:space="0" w:color="auto"/>
            <w:right w:val="none" w:sz="0" w:space="0" w:color="auto"/>
          </w:divBdr>
        </w:div>
        <w:div w:id="1826975508">
          <w:marLeft w:val="360"/>
          <w:marRight w:val="0"/>
          <w:marTop w:val="200"/>
          <w:marBottom w:val="0"/>
          <w:divBdr>
            <w:top w:val="none" w:sz="0" w:space="0" w:color="auto"/>
            <w:left w:val="none" w:sz="0" w:space="0" w:color="auto"/>
            <w:bottom w:val="none" w:sz="0" w:space="0" w:color="auto"/>
            <w:right w:val="none" w:sz="0" w:space="0" w:color="auto"/>
          </w:divBdr>
        </w:div>
        <w:div w:id="1290552334">
          <w:marLeft w:val="360"/>
          <w:marRight w:val="0"/>
          <w:marTop w:val="200"/>
          <w:marBottom w:val="0"/>
          <w:divBdr>
            <w:top w:val="none" w:sz="0" w:space="0" w:color="auto"/>
            <w:left w:val="none" w:sz="0" w:space="0" w:color="auto"/>
            <w:bottom w:val="none" w:sz="0" w:space="0" w:color="auto"/>
            <w:right w:val="none" w:sz="0" w:space="0" w:color="auto"/>
          </w:divBdr>
        </w:div>
        <w:div w:id="1082336398">
          <w:marLeft w:val="360"/>
          <w:marRight w:val="0"/>
          <w:marTop w:val="200"/>
          <w:marBottom w:val="0"/>
          <w:divBdr>
            <w:top w:val="none" w:sz="0" w:space="0" w:color="auto"/>
            <w:left w:val="none" w:sz="0" w:space="0" w:color="auto"/>
            <w:bottom w:val="none" w:sz="0" w:space="0" w:color="auto"/>
            <w:right w:val="none" w:sz="0" w:space="0" w:color="auto"/>
          </w:divBdr>
        </w:div>
        <w:div w:id="1896964416">
          <w:marLeft w:val="360"/>
          <w:marRight w:val="0"/>
          <w:marTop w:val="20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5822811">
      <w:bodyDiv w:val="1"/>
      <w:marLeft w:val="0"/>
      <w:marRight w:val="0"/>
      <w:marTop w:val="0"/>
      <w:marBottom w:val="0"/>
      <w:divBdr>
        <w:top w:val="none" w:sz="0" w:space="0" w:color="auto"/>
        <w:left w:val="none" w:sz="0" w:space="0" w:color="auto"/>
        <w:bottom w:val="none" w:sz="0" w:space="0" w:color="auto"/>
        <w:right w:val="none" w:sz="0" w:space="0" w:color="auto"/>
      </w:divBdr>
      <w:divsChild>
        <w:div w:id="317727224">
          <w:marLeft w:val="360"/>
          <w:marRight w:val="0"/>
          <w:marTop w:val="20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58795">
      <w:bodyDiv w:val="1"/>
      <w:marLeft w:val="0"/>
      <w:marRight w:val="0"/>
      <w:marTop w:val="0"/>
      <w:marBottom w:val="0"/>
      <w:divBdr>
        <w:top w:val="none" w:sz="0" w:space="0" w:color="auto"/>
        <w:left w:val="none" w:sz="0" w:space="0" w:color="auto"/>
        <w:bottom w:val="none" w:sz="0" w:space="0" w:color="auto"/>
        <w:right w:val="none" w:sz="0" w:space="0" w:color="auto"/>
      </w:divBdr>
      <w:divsChild>
        <w:div w:id="103502199">
          <w:marLeft w:val="360"/>
          <w:marRight w:val="0"/>
          <w:marTop w:val="200"/>
          <w:marBottom w:val="0"/>
          <w:divBdr>
            <w:top w:val="none" w:sz="0" w:space="0" w:color="auto"/>
            <w:left w:val="none" w:sz="0" w:space="0" w:color="auto"/>
            <w:bottom w:val="none" w:sz="0" w:space="0" w:color="auto"/>
            <w:right w:val="none" w:sz="0" w:space="0" w:color="auto"/>
          </w:divBdr>
        </w:div>
      </w:divsChild>
    </w:div>
    <w:div w:id="2031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7DD-690F-48B1-AB24-A9E3284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5597</Characters>
  <Application>Microsoft Office Word</Application>
  <DocSecurity>4</DocSecurity>
  <Lines>99</Lines>
  <Paragraphs>29</Paragraphs>
  <ScaleCrop>false</ScaleCrop>
  <HeadingPairs>
    <vt:vector size="2" baseType="variant">
      <vt:variant>
        <vt:lpstr>Title</vt:lpstr>
      </vt:variant>
      <vt:variant>
        <vt:i4>1</vt:i4>
      </vt:variant>
    </vt:vector>
  </HeadingPairs>
  <TitlesOfParts>
    <vt:vector size="1" baseType="lpstr">
      <vt:lpstr>Health Technology Assessment Consumer Consultative Committee (HTACCC) communique – 19 October 2023</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Consumer Consultative Committee (HTACCC) communique – 19 October 2023</dc:title>
  <dc:subject>Health Technology</dc:subject>
  <dc:creator>Australian Goverment Department of Health</dc:creator>
  <cp:keywords>Health Technology; HTC; Consumer Consultative Committee (CCC); Health technologies and digital health</cp:keywords>
  <dc:description/>
  <cp:lastModifiedBy/>
  <cp:revision>1</cp:revision>
  <dcterms:created xsi:type="dcterms:W3CDTF">2023-11-29T05:27:00Z</dcterms:created>
  <dcterms:modified xsi:type="dcterms:W3CDTF">2023-11-29T05:27:00Z</dcterms:modified>
</cp:coreProperties>
</file>